
<file path=[Content_Types].xml><?xml version="1.0" encoding="utf-8"?>
<Types xmlns="http://schemas.openxmlformats.org/package/2006/content-types">
  <Default Extension="xml" ContentType="application/xml"/>
  <Default Extension="bin" ContentType="application/vnd.openxmlformats-officedocument.oleObject"/>
  <Default Extension="wmf" ContentType="image/x-wmf"/>
  <Default Extension="jpeg" ContentType="image/jpeg"/>
  <Default Extension="JPG" ContentType="image/.jpg"/>
  <Default Extension="png" ContentType="image/png"/>
  <Default Extension="emf" ContentType="image/x-emf"/>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header1.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adjustRightInd w:val="0"/>
        <w:snapToGrid w:val="0"/>
        <w:spacing w:before="372" w:beforeLines="80"/>
        <w:jc w:val="center"/>
        <w:rPr>
          <w:rFonts w:eastAsia="华文仿宋"/>
          <w:color w:val="000000" w:themeColor="text1"/>
          <w:kern w:val="44"/>
          <w:sz w:val="48"/>
          <w:szCs w:val="48"/>
          <w14:textFill>
            <w14:solidFill>
              <w14:schemeClr w14:val="tx1"/>
            </w14:solidFill>
          </w14:textFill>
        </w:rPr>
      </w:pPr>
      <w:bookmarkStart w:id="0" w:name="_Toc482032568"/>
      <w:bookmarkStart w:id="1" w:name="_Toc135998004"/>
      <w:bookmarkStart w:id="2" w:name="_Toc152786032"/>
      <w:bookmarkStart w:id="3" w:name="_Toc477530836"/>
    </w:p>
    <w:p>
      <w:pPr>
        <w:adjustRightInd w:val="0"/>
        <w:snapToGrid w:val="0"/>
        <w:spacing w:before="372" w:beforeLines="80"/>
        <w:jc w:val="center"/>
        <w:rPr>
          <w:rFonts w:eastAsia="华文仿宋"/>
          <w:b/>
          <w:color w:val="000000" w:themeColor="text1"/>
          <w:kern w:val="44"/>
          <w:sz w:val="48"/>
          <w:szCs w:val="48"/>
          <w14:textFill>
            <w14:solidFill>
              <w14:schemeClr w14:val="tx1"/>
            </w14:solidFill>
          </w14:textFill>
        </w:rPr>
      </w:pPr>
    </w:p>
    <w:p>
      <w:pPr>
        <w:adjustRightInd w:val="0"/>
        <w:snapToGrid w:val="0"/>
        <w:spacing w:line="360" w:lineRule="auto"/>
        <w:jc w:val="center"/>
        <w:rPr>
          <w:rFonts w:eastAsia="华文仿宋"/>
          <w:b/>
          <w:color w:val="000000" w:themeColor="text1"/>
          <w:kern w:val="44"/>
          <w:sz w:val="44"/>
          <w:szCs w:val="48"/>
          <w14:textFill>
            <w14:solidFill>
              <w14:schemeClr w14:val="tx1"/>
            </w14:solidFill>
          </w14:textFill>
        </w:rPr>
      </w:pPr>
      <w:bookmarkStart w:id="4" w:name="_Hlk57883728"/>
      <w:r>
        <w:rPr>
          <w:rFonts w:hint="eastAsia" w:eastAsia="华文仿宋"/>
          <w:b/>
          <w:color w:val="000000" w:themeColor="text1"/>
          <w:kern w:val="44"/>
          <w:sz w:val="44"/>
          <w:szCs w:val="48"/>
          <w14:textFill>
            <w14:solidFill>
              <w14:schemeClr w14:val="tx1"/>
            </w14:solidFill>
          </w14:textFill>
        </w:rPr>
        <w:t>北部湾港钦州港域大榄坪港区大榄坪南作业区9号10号泊位扩建工程环境影响报告书</w:t>
      </w:r>
    </w:p>
    <w:p>
      <w:pPr>
        <w:adjustRightInd w:val="0"/>
        <w:snapToGrid w:val="0"/>
        <w:spacing w:before="232" w:beforeLines="50"/>
        <w:jc w:val="center"/>
        <w:rPr>
          <w:rFonts w:eastAsia="华文仿宋"/>
          <w:b/>
          <w:color w:val="000000" w:themeColor="text1"/>
          <w:kern w:val="44"/>
          <w:sz w:val="44"/>
          <w:szCs w:val="48"/>
          <w14:textFill>
            <w14:solidFill>
              <w14:schemeClr w14:val="tx1"/>
            </w14:solidFill>
          </w14:textFill>
        </w:rPr>
      </w:pPr>
      <w:r>
        <w:rPr>
          <w:rFonts w:hint="eastAsia" w:eastAsia="华文仿宋"/>
          <w:b/>
          <w:color w:val="000000" w:themeColor="text1"/>
          <w:kern w:val="44"/>
          <w:sz w:val="44"/>
          <w:szCs w:val="48"/>
          <w14:textFill>
            <w14:solidFill>
              <w14:schemeClr w14:val="tx1"/>
            </w14:solidFill>
          </w14:textFill>
        </w:rPr>
        <w:t>（公示稿）</w:t>
      </w:r>
    </w:p>
    <w:p>
      <w:pPr>
        <w:ind w:firstLine="1040"/>
        <w:jc w:val="center"/>
        <w:rPr>
          <w:rFonts w:eastAsia="仿宋"/>
          <w:color w:val="000000" w:themeColor="text1"/>
          <w:sz w:val="52"/>
          <w:szCs w:val="52"/>
          <w14:textFill>
            <w14:solidFill>
              <w14:schemeClr w14:val="tx1"/>
            </w14:solidFill>
          </w14:textFill>
        </w:rPr>
      </w:pPr>
    </w:p>
    <w:bookmarkEnd w:id="4"/>
    <w:p>
      <w:pPr>
        <w:adjustRightInd w:val="0"/>
        <w:snapToGrid w:val="0"/>
        <w:spacing w:line="288" w:lineRule="auto"/>
        <w:rPr>
          <w:rFonts w:eastAsia="仿宋_GB2312"/>
          <w:color w:val="000000" w:themeColor="text1"/>
          <w:sz w:val="36"/>
          <w:szCs w:val="36"/>
          <w14:textFill>
            <w14:solidFill>
              <w14:schemeClr w14:val="tx1"/>
            </w14:solidFill>
          </w14:textFill>
        </w:rPr>
      </w:pPr>
    </w:p>
    <w:p>
      <w:pPr>
        <w:adjustRightInd w:val="0"/>
        <w:snapToGrid w:val="0"/>
        <w:spacing w:line="288" w:lineRule="auto"/>
        <w:rPr>
          <w:rFonts w:eastAsia="仿宋_GB2312"/>
          <w:color w:val="000000" w:themeColor="text1"/>
          <w:sz w:val="36"/>
          <w:szCs w:val="36"/>
          <w14:textFill>
            <w14:solidFill>
              <w14:schemeClr w14:val="tx1"/>
            </w14:solidFill>
          </w14:textFill>
        </w:rPr>
      </w:pPr>
    </w:p>
    <w:p>
      <w:pPr>
        <w:adjustRightInd w:val="0"/>
        <w:snapToGrid w:val="0"/>
        <w:spacing w:line="288" w:lineRule="auto"/>
        <w:rPr>
          <w:rFonts w:eastAsia="仿宋_GB2312"/>
          <w:color w:val="000000" w:themeColor="text1"/>
          <w:sz w:val="36"/>
          <w:szCs w:val="36"/>
          <w14:textFill>
            <w14:solidFill>
              <w14:schemeClr w14:val="tx1"/>
            </w14:solidFill>
          </w14:textFill>
        </w:rPr>
      </w:pPr>
    </w:p>
    <w:p>
      <w:pPr>
        <w:adjustRightInd w:val="0"/>
        <w:snapToGrid w:val="0"/>
        <w:spacing w:line="288" w:lineRule="auto"/>
        <w:rPr>
          <w:rFonts w:eastAsia="仿宋_GB2312"/>
          <w:color w:val="000000" w:themeColor="text1"/>
          <w:sz w:val="36"/>
          <w:szCs w:val="36"/>
          <w14:textFill>
            <w14:solidFill>
              <w14:schemeClr w14:val="tx1"/>
            </w14:solidFill>
          </w14:textFill>
        </w:rPr>
      </w:pPr>
    </w:p>
    <w:p>
      <w:pPr>
        <w:adjustRightInd w:val="0"/>
        <w:snapToGrid w:val="0"/>
        <w:spacing w:line="288" w:lineRule="auto"/>
        <w:rPr>
          <w:rFonts w:eastAsia="仿宋_GB2312"/>
          <w:color w:val="000000" w:themeColor="text1"/>
          <w:sz w:val="36"/>
          <w:szCs w:val="36"/>
          <w14:textFill>
            <w14:solidFill>
              <w14:schemeClr w14:val="tx1"/>
            </w14:solidFill>
          </w14:textFill>
        </w:rPr>
      </w:pPr>
    </w:p>
    <w:p>
      <w:pPr>
        <w:adjustRightInd w:val="0"/>
        <w:snapToGrid w:val="0"/>
        <w:spacing w:line="288" w:lineRule="auto"/>
        <w:rPr>
          <w:rFonts w:eastAsia="仿宋_GB2312"/>
          <w:color w:val="000000" w:themeColor="text1"/>
          <w:sz w:val="36"/>
          <w:szCs w:val="36"/>
          <w14:textFill>
            <w14:solidFill>
              <w14:schemeClr w14:val="tx1"/>
            </w14:solidFill>
          </w14:textFill>
        </w:rPr>
      </w:pPr>
    </w:p>
    <w:p>
      <w:pPr>
        <w:adjustRightInd w:val="0"/>
        <w:snapToGrid w:val="0"/>
        <w:spacing w:line="288" w:lineRule="auto"/>
        <w:rPr>
          <w:rFonts w:eastAsia="仿宋_GB2312"/>
          <w:color w:val="000000" w:themeColor="text1"/>
          <w:sz w:val="36"/>
          <w:szCs w:val="36"/>
          <w14:textFill>
            <w14:solidFill>
              <w14:schemeClr w14:val="tx1"/>
            </w14:solidFill>
          </w14:textFill>
        </w:rPr>
      </w:pPr>
    </w:p>
    <w:p>
      <w:pPr>
        <w:adjustRightInd w:val="0"/>
        <w:snapToGrid w:val="0"/>
        <w:spacing w:line="288" w:lineRule="auto"/>
        <w:rPr>
          <w:rFonts w:eastAsia="仿宋_GB2312"/>
          <w:color w:val="000000" w:themeColor="text1"/>
          <w:sz w:val="36"/>
          <w:szCs w:val="36"/>
          <w14:textFill>
            <w14:solidFill>
              <w14:schemeClr w14:val="tx1"/>
            </w14:solidFill>
          </w14:textFill>
        </w:rPr>
      </w:pPr>
    </w:p>
    <w:p>
      <w:pPr>
        <w:adjustRightInd w:val="0"/>
        <w:snapToGrid w:val="0"/>
        <w:spacing w:line="288" w:lineRule="auto"/>
        <w:rPr>
          <w:rFonts w:eastAsia="仿宋_GB2312"/>
          <w:color w:val="000000" w:themeColor="text1"/>
          <w:sz w:val="36"/>
          <w:szCs w:val="36"/>
          <w14:textFill>
            <w14:solidFill>
              <w14:schemeClr w14:val="tx1"/>
            </w14:solidFill>
          </w14:textFill>
        </w:rPr>
      </w:pPr>
    </w:p>
    <w:p>
      <w:pPr>
        <w:adjustRightInd w:val="0"/>
        <w:snapToGrid w:val="0"/>
        <w:spacing w:line="288" w:lineRule="auto"/>
        <w:rPr>
          <w:rFonts w:eastAsia="仿宋_GB2312"/>
          <w:color w:val="000000" w:themeColor="text1"/>
          <w:sz w:val="36"/>
          <w:szCs w:val="36"/>
          <w14:textFill>
            <w14:solidFill>
              <w14:schemeClr w14:val="tx1"/>
            </w14:solidFill>
          </w14:textFill>
        </w:rPr>
      </w:pPr>
    </w:p>
    <w:p>
      <w:pPr>
        <w:adjustRightInd w:val="0"/>
        <w:snapToGrid w:val="0"/>
        <w:spacing w:line="288" w:lineRule="auto"/>
        <w:rPr>
          <w:rFonts w:eastAsia="仿宋_GB2312"/>
          <w:color w:val="000000" w:themeColor="text1"/>
          <w:sz w:val="36"/>
          <w:szCs w:val="36"/>
          <w14:textFill>
            <w14:solidFill>
              <w14:schemeClr w14:val="tx1"/>
            </w14:solidFill>
          </w14:textFill>
        </w:rPr>
      </w:pPr>
    </w:p>
    <w:p>
      <w:pPr>
        <w:adjustRightInd w:val="0"/>
        <w:snapToGrid w:val="0"/>
        <w:spacing w:line="360" w:lineRule="auto"/>
        <w:jc w:val="center"/>
        <w:rPr>
          <w:rFonts w:ascii="华文仿宋" w:hAnsi="华文仿宋" w:eastAsia="华文仿宋"/>
          <w:color w:val="000000" w:themeColor="text1"/>
          <w:sz w:val="36"/>
          <w:szCs w:val="36"/>
          <w:u w:val="single"/>
          <w14:textFill>
            <w14:solidFill>
              <w14:schemeClr w14:val="tx1"/>
            </w14:solidFill>
          </w14:textFill>
        </w:rPr>
      </w:pPr>
      <w:r>
        <w:rPr>
          <w:rFonts w:hint="eastAsia" w:ascii="华文仿宋" w:hAnsi="华文仿宋" w:eastAsia="华文仿宋"/>
          <w:color w:val="000000" w:themeColor="text1"/>
          <w:sz w:val="36"/>
          <w:szCs w:val="36"/>
          <w14:textFill>
            <w14:solidFill>
              <w14:schemeClr w14:val="tx1"/>
            </w14:solidFill>
          </w14:textFill>
        </w:rPr>
        <w:t>建设单位：广西钦州保税港区宏港码头有限公司</w:t>
      </w:r>
    </w:p>
    <w:p>
      <w:pPr>
        <w:adjustRightInd w:val="0"/>
        <w:snapToGrid w:val="0"/>
        <w:spacing w:line="360" w:lineRule="auto"/>
        <w:jc w:val="center"/>
        <w:rPr>
          <w:rFonts w:ascii="华文仿宋" w:hAnsi="华文仿宋" w:eastAsia="华文仿宋"/>
          <w:color w:val="000000" w:themeColor="text1"/>
          <w:sz w:val="36"/>
          <w:szCs w:val="36"/>
          <w:u w:val="single"/>
          <w14:textFill>
            <w14:solidFill>
              <w14:schemeClr w14:val="tx1"/>
            </w14:solidFill>
          </w14:textFill>
        </w:rPr>
      </w:pPr>
      <w:r>
        <w:rPr>
          <w:rFonts w:hint="eastAsia" w:ascii="华文仿宋" w:hAnsi="华文仿宋" w:eastAsia="华文仿宋"/>
          <w:color w:val="000000" w:themeColor="text1"/>
          <w:sz w:val="36"/>
          <w:szCs w:val="36"/>
          <w14:textFill>
            <w14:solidFill>
              <w14:schemeClr w14:val="tx1"/>
            </w14:solidFill>
          </w14:textFill>
        </w:rPr>
        <w:t>评价单位：广西交科集团有限公司</w:t>
      </w:r>
    </w:p>
    <w:p>
      <w:pPr>
        <w:adjustRightInd w:val="0"/>
        <w:snapToGrid w:val="0"/>
        <w:spacing w:line="360" w:lineRule="auto"/>
        <w:jc w:val="center"/>
        <w:rPr>
          <w:rFonts w:ascii="华文仿宋" w:hAnsi="华文仿宋" w:eastAsia="华文仿宋"/>
          <w:color w:val="000000" w:themeColor="text1"/>
          <w:sz w:val="36"/>
          <w:szCs w:val="36"/>
          <w:u w:val="single"/>
          <w14:textFill>
            <w14:solidFill>
              <w14:schemeClr w14:val="tx1"/>
            </w14:solidFill>
          </w14:textFill>
        </w:rPr>
      </w:pPr>
      <w:r>
        <w:rPr>
          <w:rFonts w:hint="eastAsia" w:ascii="华文仿宋" w:hAnsi="华文仿宋" w:eastAsia="华文仿宋"/>
          <w:color w:val="000000" w:themeColor="text1"/>
          <w:sz w:val="36"/>
          <w:szCs w:val="36"/>
          <w14:textFill>
            <w14:solidFill>
              <w14:schemeClr w14:val="tx1"/>
            </w14:solidFill>
          </w14:textFill>
        </w:rPr>
        <w:t>二〇二四年十一月</w:t>
      </w:r>
    </w:p>
    <w:p>
      <w:pPr>
        <w:rPr>
          <w:color w:val="000000" w:themeColor="text1"/>
          <w14:textFill>
            <w14:solidFill>
              <w14:schemeClr w14:val="tx1"/>
            </w14:solidFill>
          </w14:textFill>
        </w:rPr>
      </w:pPr>
    </w:p>
    <w:p>
      <w:pPr>
        <w:snapToGrid w:val="0"/>
        <w:spacing w:line="360" w:lineRule="auto"/>
        <w:jc w:val="center"/>
        <w:outlineLvl w:val="0"/>
        <w:rPr>
          <w:rFonts w:eastAsia="华文楷体"/>
          <w:b/>
          <w:bCs/>
          <w:color w:val="000000" w:themeColor="text1"/>
          <w:sz w:val="44"/>
          <w:szCs w:val="44"/>
          <w14:textFill>
            <w14:solidFill>
              <w14:schemeClr w14:val="tx1"/>
            </w14:solidFill>
          </w14:textFill>
        </w:rPr>
        <w:sectPr>
          <w:headerReference r:id="rId4" w:type="first"/>
          <w:footerReference r:id="rId7" w:type="first"/>
          <w:footerReference r:id="rId5" w:type="default"/>
          <w:headerReference r:id="rId3" w:type="even"/>
          <w:footerReference r:id="rId6" w:type="even"/>
          <w:type w:val="oddPage"/>
          <w:pgSz w:w="11907" w:h="16840"/>
          <w:pgMar w:top="1440" w:right="1514" w:bottom="1440" w:left="1797" w:header="992" w:footer="851" w:gutter="284"/>
          <w:pgNumType w:fmt="lowerRoman"/>
          <w:cols w:space="425" w:num="1"/>
          <w:docGrid w:type="linesAndChars" w:linePitch="465" w:charSpace="-1866"/>
        </w:sectPr>
      </w:pPr>
    </w:p>
    <w:p>
      <w:pPr>
        <w:snapToGrid w:val="0"/>
        <w:spacing w:line="360" w:lineRule="auto"/>
        <w:jc w:val="center"/>
        <w:outlineLvl w:val="0"/>
        <w:rPr>
          <w:rFonts w:eastAsia="华文楷体"/>
          <w:b/>
          <w:bCs/>
          <w:color w:val="000000" w:themeColor="text1"/>
          <w:sz w:val="44"/>
          <w:szCs w:val="44"/>
          <w14:textFill>
            <w14:solidFill>
              <w14:schemeClr w14:val="tx1"/>
            </w14:solidFill>
          </w14:textFill>
        </w:rPr>
      </w:pPr>
      <w:bookmarkStart w:id="5" w:name="_Toc170918586"/>
      <w:r>
        <w:rPr>
          <w:rFonts w:eastAsia="华文楷体"/>
          <w:b/>
          <w:bCs/>
          <w:color w:val="000000" w:themeColor="text1"/>
          <w:sz w:val="44"/>
          <w:szCs w:val="44"/>
          <w14:textFill>
            <w14:solidFill>
              <w14:schemeClr w14:val="tx1"/>
            </w14:solidFill>
          </w14:textFill>
        </w:rPr>
        <w:t>概  述</w:t>
      </w:r>
      <w:bookmarkEnd w:id="0"/>
      <w:bookmarkEnd w:id="1"/>
      <w:bookmarkEnd w:id="2"/>
      <w:bookmarkEnd w:id="3"/>
      <w:bookmarkEnd w:id="5"/>
    </w:p>
    <w:p>
      <w:pPr>
        <w:spacing w:line="440" w:lineRule="exact"/>
        <w:rPr>
          <w:rFonts w:eastAsia="华文楷体"/>
          <w:b/>
          <w:color w:val="000000" w:themeColor="text1"/>
          <w14:textFill>
            <w14:solidFill>
              <w14:schemeClr w14:val="tx1"/>
            </w14:solidFill>
          </w14:textFill>
        </w:rPr>
      </w:pPr>
      <w:r>
        <w:rPr>
          <w:rFonts w:eastAsia="华文楷体"/>
          <w:b/>
          <w:color w:val="000000" w:themeColor="text1"/>
          <w14:textFill>
            <w14:solidFill>
              <w14:schemeClr w14:val="tx1"/>
            </w14:solidFill>
          </w14:textFill>
        </w:rPr>
        <w:t>一、项目由来</w:t>
      </w:r>
    </w:p>
    <w:p>
      <w:pPr>
        <w:spacing w:line="440" w:lineRule="exact"/>
        <w:ind w:firstLine="462" w:firstLineChars="200"/>
        <w:rPr>
          <w:rFonts w:eastAsia="华文楷体"/>
          <w:color w:val="000000" w:themeColor="text1"/>
          <w14:textFill>
            <w14:solidFill>
              <w14:schemeClr w14:val="tx1"/>
            </w14:solidFill>
          </w14:textFill>
        </w:rPr>
      </w:pPr>
      <w:r>
        <w:rPr>
          <w:rFonts w:hint="eastAsia" w:eastAsia="华文楷体"/>
          <w:color w:val="000000" w:themeColor="text1"/>
          <w14:textFill>
            <w14:solidFill>
              <w14:schemeClr w14:val="tx1"/>
            </w14:solidFill>
          </w14:textFill>
        </w:rPr>
        <w:t>北部湾港钦州港域大榄坪港区大榄坪南作业区9号10号泊位工程是西部陆海新通道重点建设项目，该工程建设2个10万吨级集装箱船泊位，水工结构按靠泊20万吨级集装箱船建设，泊位总长783m，工程于2019年8月30日获得广西壮族自治区发展和改革委员会核准，2020年8月31日开工建设，2023年6月8日通过竣工验收。</w:t>
      </w:r>
    </w:p>
    <w:p>
      <w:pPr>
        <w:spacing w:line="440" w:lineRule="exact"/>
        <w:ind w:firstLine="462" w:firstLineChars="200"/>
        <w:rPr>
          <w:rFonts w:eastAsia="华文楷体"/>
          <w:color w:val="000000" w:themeColor="text1"/>
          <w14:textFill>
            <w14:solidFill>
              <w14:schemeClr w14:val="tx1"/>
            </w14:solidFill>
          </w14:textFill>
        </w:rPr>
      </w:pPr>
      <w:r>
        <w:rPr>
          <w:rFonts w:hint="eastAsia" w:eastAsia="华文楷体"/>
          <w:color w:val="000000" w:themeColor="text1"/>
          <w14:textFill>
            <w14:solidFill>
              <w14:schemeClr w14:val="tx1"/>
            </w14:solidFill>
          </w14:textFill>
        </w:rPr>
        <w:t>根据《</w:t>
      </w:r>
      <w:r>
        <w:rPr>
          <w:rFonts w:hint="eastAsia" w:eastAsia="华文楷体"/>
          <w:color w:val="000000" w:themeColor="text1"/>
          <w:lang w:val="zh-CN"/>
          <w14:textFill>
            <w14:solidFill>
              <w14:schemeClr w14:val="tx1"/>
            </w14:solidFill>
          </w14:textFill>
        </w:rPr>
        <w:t>北部湾</w:t>
      </w:r>
      <w:r>
        <w:rPr>
          <w:rFonts w:eastAsia="华文楷体"/>
          <w:color w:val="000000" w:themeColor="text1"/>
          <w:lang w:val="zh-CN"/>
          <w14:textFill>
            <w14:solidFill>
              <w14:schemeClr w14:val="tx1"/>
            </w14:solidFill>
          </w14:textFill>
        </w:rPr>
        <w:t>港总体规划（2035年）</w:t>
      </w:r>
      <w:r>
        <w:rPr>
          <w:rFonts w:hint="eastAsia" w:eastAsia="华文楷体"/>
          <w:color w:val="000000" w:themeColor="text1"/>
          <w14:textFill>
            <w14:solidFill>
              <w14:schemeClr w14:val="tx1"/>
            </w14:solidFill>
          </w14:textFill>
        </w:rPr>
        <w:t>》，北部湾港钦州港域大榄坪港区大榄坪南作业区9号～</w:t>
      </w:r>
      <w:r>
        <w:rPr>
          <w:rFonts w:eastAsia="华文楷体"/>
          <w:color w:val="000000" w:themeColor="text1"/>
          <w14:textFill>
            <w14:solidFill>
              <w14:schemeClr w14:val="tx1"/>
            </w14:solidFill>
          </w14:textFill>
        </w:rPr>
        <w:t>1</w:t>
      </w:r>
      <w:r>
        <w:rPr>
          <w:rFonts w:hint="eastAsia" w:eastAsia="华文楷体"/>
          <w:color w:val="000000" w:themeColor="text1"/>
          <w14:textFill>
            <w14:solidFill>
              <w14:schemeClr w14:val="tx1"/>
            </w14:solidFill>
          </w14:textFill>
        </w:rPr>
        <w:t>0号泊位规划2个20万吨级集装箱泊位。已建设的9号10号泊位长度无法满足2艘20万吨级集装箱船同时靠泊的要求，需要开展改扩建工作。2023年6月，自治区人民政府印发《关于西部陆海新通道北部湾国际门户港基础设施提升三年行动计划（2023—2025年）的通知》，将9号10号泊位扩建工程列入自治区重点项目，计划2024年12月开工建设。</w:t>
      </w:r>
    </w:p>
    <w:p>
      <w:pPr>
        <w:spacing w:line="440" w:lineRule="exact"/>
        <w:ind w:firstLine="462" w:firstLineChars="200"/>
        <w:rPr>
          <w:rFonts w:eastAsia="华文楷体"/>
          <w:color w:val="000000" w:themeColor="text1"/>
          <w14:textFill>
            <w14:solidFill>
              <w14:schemeClr w14:val="tx1"/>
            </w14:solidFill>
          </w14:textFill>
        </w:rPr>
      </w:pPr>
      <w:r>
        <w:rPr>
          <w:rFonts w:eastAsia="华文楷体"/>
          <w:color w:val="000000" w:themeColor="text1"/>
          <w14:textFill>
            <w14:solidFill>
              <w14:schemeClr w14:val="tx1"/>
            </w14:solidFill>
          </w14:textFill>
        </w:rPr>
        <w:t>为满足</w:t>
      </w:r>
      <w:r>
        <w:rPr>
          <w:rFonts w:hint="eastAsia" w:eastAsia="华文楷体"/>
          <w:color w:val="000000" w:themeColor="text1"/>
          <w14:textFill>
            <w14:solidFill>
              <w14:schemeClr w14:val="tx1"/>
            </w14:solidFill>
          </w14:textFill>
        </w:rPr>
        <w:t>2个20万吨级集装箱船同时靠泊的需求，</w:t>
      </w:r>
      <w:r>
        <w:rPr>
          <w:rFonts w:hint="eastAsia" w:eastAsia="华文楷体"/>
          <w:bCs/>
          <w:color w:val="000000" w:themeColor="text1"/>
          <w14:textFill>
            <w14:solidFill>
              <w14:schemeClr w14:val="tx1"/>
            </w14:solidFill>
          </w14:textFill>
        </w:rPr>
        <w:t>北部湾港钦州港域大榄坪港区大榄坪南作业区9号10号泊位扩建工程拟从10号泊位往南扩建泊位208m，采用方沉箱结构，码头前沿停泊水域宽度123m，停泊水域设计底高程-16.3m，扩建后9号10号泊位岸线总长度为991m，可以满足2艘20万吨级集装箱船同时靠泊要求，同时南侧新建消浪护岸695m，消浪护岸过渡段157.8m，均采用沉箱结构。本次扩建工程港区陆域面积20.63hm</w:t>
      </w:r>
      <w:r>
        <w:rPr>
          <w:rFonts w:hint="eastAsia" w:eastAsia="华文楷体"/>
          <w:bCs/>
          <w:color w:val="000000" w:themeColor="text1"/>
          <w:vertAlign w:val="superscript"/>
          <w14:textFill>
            <w14:solidFill>
              <w14:schemeClr w14:val="tx1"/>
            </w14:solidFill>
          </w14:textFill>
        </w:rPr>
        <w:t>2</w:t>
      </w:r>
      <w:r>
        <w:rPr>
          <w:rFonts w:hint="eastAsia" w:eastAsia="华文楷体"/>
          <w:bCs/>
          <w:color w:val="000000" w:themeColor="text1"/>
          <w14:textFill>
            <w14:solidFill>
              <w14:schemeClr w14:val="tx1"/>
            </w14:solidFill>
          </w14:textFill>
        </w:rPr>
        <w:t>，陆域纵深862.9m，陆域按照使用功能划分为码头前沿作业地带和堆场衔接区，纵深分别为120m、743.1m，将原9号10号泊位预留的22号堆场堆存及新增装卸设备内容纳入本工程设计范围，22号集装箱堆场占地面积约2.4hm</w:t>
      </w:r>
      <w:r>
        <w:rPr>
          <w:rFonts w:hint="eastAsia" w:eastAsia="华文楷体"/>
          <w:bCs/>
          <w:color w:val="000000" w:themeColor="text1"/>
          <w:vertAlign w:val="superscript"/>
          <w14:textFill>
            <w14:solidFill>
              <w14:schemeClr w14:val="tx1"/>
            </w14:solidFill>
          </w14:textFill>
        </w:rPr>
        <w:t>2</w:t>
      </w:r>
      <w:r>
        <w:rPr>
          <w:rFonts w:hint="eastAsia" w:eastAsia="华文楷体"/>
          <w:bCs/>
          <w:color w:val="000000" w:themeColor="text1"/>
          <w14:textFill>
            <w14:solidFill>
              <w14:schemeClr w14:val="tx1"/>
            </w14:solidFill>
          </w14:textFill>
        </w:rPr>
        <w:t>，重、空箱采用混堆方式。</w:t>
      </w:r>
      <w:r>
        <w:rPr>
          <w:rFonts w:eastAsia="华文楷体"/>
          <w:color w:val="000000" w:themeColor="text1"/>
          <w14:textFill>
            <w14:solidFill>
              <w14:schemeClr w14:val="tx1"/>
            </w14:solidFill>
          </w14:textFill>
        </w:rPr>
        <w:t xml:space="preserve"> </w:t>
      </w:r>
    </w:p>
    <w:p>
      <w:pPr>
        <w:spacing w:line="440" w:lineRule="exact"/>
        <w:ind w:firstLine="462" w:firstLineChars="200"/>
        <w:rPr>
          <w:rFonts w:eastAsia="华文楷体"/>
          <w:color w:val="000000" w:themeColor="text1"/>
          <w:u w:val="single"/>
          <w14:textFill>
            <w14:solidFill>
              <w14:schemeClr w14:val="tx1"/>
            </w14:solidFill>
          </w14:textFill>
        </w:rPr>
      </w:pPr>
      <w:r>
        <w:rPr>
          <w:rFonts w:hint="eastAsia" w:eastAsia="华文楷体"/>
          <w:color w:val="000000" w:themeColor="text1"/>
          <w:u w:val="single"/>
          <w14:textFill>
            <w14:solidFill>
              <w14:schemeClr w14:val="tx1"/>
            </w14:solidFill>
          </w14:textFill>
        </w:rPr>
        <w:t>现有北部湾港钦州港域大榄坪港区大榄坪南作业区9号10号码头用海已于2010年取得海域使用权证（国海证094500028（钦州保税港区宏远物流配送中心）、“国海证094500029（钦州保税港区昊鼎物流配送中心项目）”“国海证104500028（钦州保税港区宏泰仓储项目）”），上述海域使用相关业务于2018年7月由广西钦州保税港区开发投资有限责任公司无偿划拨给广西钦州保税港区宏港码头有限公司，用海权属明确。</w:t>
      </w:r>
    </w:p>
    <w:p>
      <w:pPr>
        <w:spacing w:line="440" w:lineRule="exact"/>
        <w:ind w:firstLine="462" w:firstLineChars="200"/>
        <w:rPr>
          <w:rFonts w:eastAsia="华文楷体"/>
          <w:b/>
          <w:color w:val="000000" w:themeColor="text1"/>
          <w:u w:val="single"/>
          <w14:textFill>
            <w14:solidFill>
              <w14:schemeClr w14:val="tx1"/>
            </w14:solidFill>
          </w14:textFill>
        </w:rPr>
      </w:pPr>
      <w:r>
        <w:rPr>
          <w:rFonts w:hint="eastAsia" w:eastAsia="华文楷体"/>
          <w:color w:val="000000" w:themeColor="text1"/>
          <w:u w:val="single"/>
          <w14:textFill>
            <w14:solidFill>
              <w14:schemeClr w14:val="tx1"/>
            </w14:solidFill>
          </w14:textFill>
        </w:rPr>
        <w:t>本次扩建工程港区新增陆域总面积2</w:t>
      </w:r>
      <w:r>
        <w:rPr>
          <w:rFonts w:eastAsia="华文楷体"/>
          <w:color w:val="000000" w:themeColor="text1"/>
          <w:u w:val="single"/>
          <w14:textFill>
            <w14:solidFill>
              <w14:schemeClr w14:val="tx1"/>
            </w14:solidFill>
          </w14:textFill>
        </w:rPr>
        <w:t>0.63hm</w:t>
      </w:r>
      <w:r>
        <w:rPr>
          <w:rFonts w:eastAsia="华文楷体"/>
          <w:color w:val="000000" w:themeColor="text1"/>
          <w:u w:val="single"/>
          <w:vertAlign w:val="superscript"/>
          <w14:textFill>
            <w14:solidFill>
              <w14:schemeClr w14:val="tx1"/>
            </w14:solidFill>
          </w14:textFill>
        </w:rPr>
        <w:t>2</w:t>
      </w:r>
      <w:r>
        <w:rPr>
          <w:rFonts w:hint="eastAsia" w:eastAsia="华文楷体"/>
          <w:color w:val="000000" w:themeColor="text1"/>
          <w:u w:val="single"/>
          <w14:textFill>
            <w14:solidFill>
              <w14:schemeClr w14:val="tx1"/>
            </w14:solidFill>
          </w14:textFill>
        </w:rPr>
        <w:t>，其中宏泰仓储项目权属用海2</w:t>
      </w:r>
      <w:r>
        <w:rPr>
          <w:rFonts w:eastAsia="华文楷体"/>
          <w:color w:val="000000" w:themeColor="text1"/>
          <w:u w:val="single"/>
          <w14:textFill>
            <w14:solidFill>
              <w14:schemeClr w14:val="tx1"/>
            </w14:solidFill>
          </w14:textFill>
        </w:rPr>
        <w:t>.49 hm</w:t>
      </w:r>
      <w:r>
        <w:rPr>
          <w:rFonts w:eastAsia="华文楷体"/>
          <w:color w:val="000000" w:themeColor="text1"/>
          <w:u w:val="single"/>
          <w:vertAlign w:val="superscript"/>
          <w14:textFill>
            <w14:solidFill>
              <w14:schemeClr w14:val="tx1"/>
            </w14:solidFill>
          </w14:textFill>
        </w:rPr>
        <w:t>2</w:t>
      </w:r>
      <w:r>
        <w:rPr>
          <w:rFonts w:hint="eastAsia" w:eastAsia="华文楷体"/>
          <w:color w:val="000000" w:themeColor="text1"/>
          <w:u w:val="single"/>
          <w14:textFill>
            <w14:solidFill>
              <w14:schemeClr w14:val="tx1"/>
            </w14:solidFill>
          </w14:textFill>
        </w:rPr>
        <w:t>已填海，昊鼎物流配送中心项目8</w:t>
      </w:r>
      <w:r>
        <w:rPr>
          <w:rFonts w:eastAsia="华文楷体"/>
          <w:color w:val="000000" w:themeColor="text1"/>
          <w:u w:val="single"/>
          <w14:textFill>
            <w14:solidFill>
              <w14:schemeClr w14:val="tx1"/>
            </w14:solidFill>
          </w14:textFill>
        </w:rPr>
        <w:t>.24 hm</w:t>
      </w:r>
      <w:r>
        <w:rPr>
          <w:rFonts w:eastAsia="华文楷体"/>
          <w:color w:val="000000" w:themeColor="text1"/>
          <w:u w:val="single"/>
          <w:vertAlign w:val="superscript"/>
          <w14:textFill>
            <w14:solidFill>
              <w14:schemeClr w14:val="tx1"/>
            </w14:solidFill>
          </w14:textFill>
        </w:rPr>
        <w:t>2</w:t>
      </w:r>
      <w:r>
        <w:rPr>
          <w:rFonts w:hint="eastAsia" w:eastAsia="华文楷体"/>
          <w:color w:val="000000" w:themeColor="text1"/>
          <w:u w:val="single"/>
          <w14:textFill>
            <w14:solidFill>
              <w14:schemeClr w14:val="tx1"/>
            </w14:solidFill>
          </w14:textFill>
        </w:rPr>
        <w:t>已填海，昊鼎物流配送中心项目9</w:t>
      </w:r>
      <w:r>
        <w:rPr>
          <w:rFonts w:eastAsia="华文楷体"/>
          <w:color w:val="000000" w:themeColor="text1"/>
          <w:u w:val="single"/>
          <w14:textFill>
            <w14:solidFill>
              <w14:schemeClr w14:val="tx1"/>
            </w14:solidFill>
          </w14:textFill>
        </w:rPr>
        <w:t>.9 hm</w:t>
      </w:r>
      <w:r>
        <w:rPr>
          <w:rFonts w:eastAsia="华文楷体"/>
          <w:color w:val="000000" w:themeColor="text1"/>
          <w:u w:val="single"/>
          <w:vertAlign w:val="superscript"/>
          <w14:textFill>
            <w14:solidFill>
              <w14:schemeClr w14:val="tx1"/>
            </w14:solidFill>
          </w14:textFill>
        </w:rPr>
        <w:t>2</w:t>
      </w:r>
      <w:r>
        <w:rPr>
          <w:rFonts w:hint="eastAsia" w:eastAsia="华文楷体"/>
          <w:color w:val="000000" w:themeColor="text1"/>
          <w:u w:val="single"/>
          <w14:textFill>
            <w14:solidFill>
              <w14:schemeClr w14:val="tx1"/>
            </w14:solidFill>
          </w14:textFill>
        </w:rPr>
        <w:t>未填海，用海权属均已无偿划拨给本项目建设单位广西钦州保税港区宏港码头有限公司，用海权属明确。</w:t>
      </w:r>
      <w:r>
        <w:rPr>
          <w:rFonts w:hint="eastAsia" w:eastAsia="华文楷体"/>
          <w:u w:val="single"/>
        </w:rPr>
        <w:t>本次扩建申请用海总面积15.9039hm</w:t>
      </w:r>
      <w:r>
        <w:rPr>
          <w:rFonts w:hint="eastAsia" w:eastAsia="华文楷体"/>
          <w:u w:val="single"/>
          <w:vertAlign w:val="superscript"/>
        </w:rPr>
        <w:t>2</w:t>
      </w:r>
      <w:r>
        <w:rPr>
          <w:rFonts w:hint="eastAsia" w:eastAsia="华文楷体"/>
          <w:u w:val="single"/>
        </w:rPr>
        <w:t>，其中新增港池（停泊水域）用海面积2.5588hm</w:t>
      </w:r>
      <w:r>
        <w:rPr>
          <w:rFonts w:hint="eastAsia" w:eastAsia="华文楷体"/>
          <w:u w:val="single"/>
          <w:vertAlign w:val="superscript"/>
        </w:rPr>
        <w:t>2</w:t>
      </w:r>
      <w:r>
        <w:rPr>
          <w:rFonts w:hint="eastAsia" w:eastAsia="华文楷体"/>
          <w:u w:val="single"/>
        </w:rPr>
        <w:t>，施工用海面积13.3451hm</w:t>
      </w:r>
      <w:r>
        <w:rPr>
          <w:rFonts w:hint="eastAsia" w:eastAsia="华文楷体"/>
          <w:u w:val="single"/>
          <w:vertAlign w:val="superscript"/>
        </w:rPr>
        <w:t>2</w:t>
      </w:r>
      <w:r>
        <w:rPr>
          <w:rFonts w:hint="eastAsia" w:eastAsia="华文楷体"/>
          <w:u w:val="single"/>
        </w:rPr>
        <w:t>；消浪护岸侧施工用海共8.4321 hm</w:t>
      </w:r>
      <w:r>
        <w:rPr>
          <w:rFonts w:hint="eastAsia" w:eastAsia="华文楷体"/>
          <w:u w:val="single"/>
          <w:vertAlign w:val="superscript"/>
        </w:rPr>
        <w:t>2</w:t>
      </w:r>
      <w:r>
        <w:rPr>
          <w:rFonts w:hint="eastAsia" w:eastAsia="华文楷体"/>
          <w:bCs/>
          <w:u w:val="single"/>
        </w:rPr>
        <w:t>为原昊鼎物流配送中心项目填海范围内，目前业主正在申请由填海造地变更港池用海手续，不属于新增用海。</w:t>
      </w:r>
    </w:p>
    <w:p>
      <w:pPr>
        <w:spacing w:line="440" w:lineRule="exact"/>
        <w:ind w:firstLine="462" w:firstLineChars="200"/>
        <w:rPr>
          <w:rFonts w:eastAsia="华文楷体"/>
          <w:color w:val="000000" w:themeColor="text1"/>
          <w14:textFill>
            <w14:solidFill>
              <w14:schemeClr w14:val="tx1"/>
            </w14:solidFill>
          </w14:textFill>
        </w:rPr>
      </w:pPr>
      <w:r>
        <w:rPr>
          <w:rFonts w:eastAsia="华文楷体"/>
          <w:color w:val="000000" w:themeColor="text1"/>
          <w14:textFill>
            <w14:solidFill>
              <w14:schemeClr w14:val="tx1"/>
            </w14:solidFill>
          </w14:textFill>
        </w:rPr>
        <w:t>根据《中华人民共和国环境影响评价法》及《建设项目环境影响评价分类管理名录》（2021年版）等文件的有关规定，本项目属于《建设项目环境影响评价分类管理名录》（2021年版）中“五十二、交通运输业、管道运输业”中“</w:t>
      </w:r>
      <w:r>
        <w:rPr>
          <w:rFonts w:hint="eastAsia" w:eastAsia="华文楷体"/>
          <w:color w:val="000000" w:themeColor="text1"/>
          <w14:textFill>
            <w14:solidFill>
              <w14:schemeClr w14:val="tx1"/>
            </w14:solidFill>
          </w14:textFill>
        </w:rPr>
        <w:t>140集装箱</w:t>
      </w:r>
      <w:r>
        <w:rPr>
          <w:rFonts w:eastAsia="华文楷体"/>
          <w:color w:val="000000" w:themeColor="text1"/>
          <w14:textFill>
            <w14:solidFill>
              <w14:schemeClr w14:val="tx1"/>
            </w14:solidFill>
          </w14:textFill>
        </w:rPr>
        <w:t>专用码头—单个泊位</w:t>
      </w:r>
      <w:r>
        <w:rPr>
          <w:rFonts w:hint="eastAsia" w:eastAsia="华文楷体"/>
          <w:color w:val="000000" w:themeColor="text1"/>
          <w14:textFill>
            <w14:solidFill>
              <w14:schemeClr w14:val="tx1"/>
            </w14:solidFill>
          </w14:textFill>
        </w:rPr>
        <w:t>3</w:t>
      </w:r>
      <w:r>
        <w:rPr>
          <w:rFonts w:eastAsia="华文楷体"/>
          <w:color w:val="000000" w:themeColor="text1"/>
          <w14:textFill>
            <w14:solidFill>
              <w14:schemeClr w14:val="tx1"/>
            </w14:solidFill>
          </w14:textFill>
        </w:rPr>
        <w:t>万吨级及以上的沿海港口”，应编制环境影响报告书。</w:t>
      </w:r>
    </w:p>
    <w:p>
      <w:pPr>
        <w:tabs>
          <w:tab w:val="center" w:pos="4156"/>
        </w:tabs>
        <w:spacing w:line="440" w:lineRule="exact"/>
        <w:rPr>
          <w:rFonts w:eastAsia="华文楷体"/>
          <w:b/>
          <w:color w:val="000000" w:themeColor="text1"/>
          <w14:textFill>
            <w14:solidFill>
              <w14:schemeClr w14:val="tx1"/>
            </w14:solidFill>
          </w14:textFill>
        </w:rPr>
      </w:pPr>
      <w:r>
        <w:rPr>
          <w:rFonts w:eastAsia="华文楷体"/>
          <w:b/>
          <w:color w:val="000000" w:themeColor="text1"/>
          <w14:textFill>
            <w14:solidFill>
              <w14:schemeClr w14:val="tx1"/>
            </w14:solidFill>
          </w14:textFill>
        </w:rPr>
        <w:t>二、项目特点</w:t>
      </w:r>
    </w:p>
    <w:p>
      <w:pPr>
        <w:spacing w:line="440" w:lineRule="exact"/>
        <w:ind w:firstLine="462" w:firstLineChars="200"/>
        <w:rPr>
          <w:rFonts w:eastAsia="华文楷体"/>
          <w:b/>
          <w:color w:val="000000" w:themeColor="text1"/>
          <w14:textFill>
            <w14:solidFill>
              <w14:schemeClr w14:val="tx1"/>
            </w14:solidFill>
          </w14:textFill>
        </w:rPr>
      </w:pPr>
      <w:r>
        <w:rPr>
          <w:rFonts w:hint="eastAsia" w:eastAsia="华文楷体"/>
          <w:b/>
          <w:color w:val="000000" w:themeColor="text1"/>
          <w14:textFill>
            <w14:solidFill>
              <w14:schemeClr w14:val="tx1"/>
            </w14:solidFill>
          </w14:textFill>
        </w:rPr>
        <w:t>1、工程内容</w:t>
      </w:r>
    </w:p>
    <w:p>
      <w:pPr>
        <w:spacing w:line="440" w:lineRule="exact"/>
        <w:ind w:firstLine="462" w:firstLineChars="200"/>
        <w:rPr>
          <w:rFonts w:eastAsia="华文楷体"/>
          <w:bCs/>
          <w:color w:val="000000" w:themeColor="text1"/>
          <w14:textFill>
            <w14:solidFill>
              <w14:schemeClr w14:val="tx1"/>
            </w14:solidFill>
          </w14:textFill>
        </w:rPr>
      </w:pPr>
      <w:r>
        <w:rPr>
          <w:rFonts w:eastAsia="华文楷体"/>
          <w:color w:val="000000" w:themeColor="text1"/>
          <w14:textFill>
            <w14:solidFill>
              <w14:schemeClr w14:val="tx1"/>
            </w14:solidFill>
          </w14:textFill>
        </w:rPr>
        <w:t>本次</w:t>
      </w:r>
      <w:r>
        <w:rPr>
          <w:rFonts w:hint="eastAsia" w:eastAsia="华文楷体"/>
          <w:color w:val="000000" w:themeColor="text1"/>
          <w14:textFill>
            <w14:solidFill>
              <w14:schemeClr w14:val="tx1"/>
            </w14:solidFill>
          </w14:textFill>
        </w:rPr>
        <w:t>大榄坪</w:t>
      </w:r>
      <w:r>
        <w:rPr>
          <w:rFonts w:eastAsia="华文楷体"/>
          <w:color w:val="000000" w:themeColor="text1"/>
          <w14:textFill>
            <w14:solidFill>
              <w14:schemeClr w14:val="tx1"/>
            </w14:solidFill>
          </w14:textFill>
        </w:rPr>
        <w:t>港区大榄坪南作业区</w:t>
      </w:r>
      <w:r>
        <w:rPr>
          <w:rFonts w:hint="eastAsia" w:eastAsia="华文楷体"/>
          <w:color w:val="000000" w:themeColor="text1"/>
          <w14:textFill>
            <w14:solidFill>
              <w14:schemeClr w14:val="tx1"/>
            </w14:solidFill>
          </w14:textFill>
        </w:rPr>
        <w:t>拟将现有的9号、10号共2个1</w:t>
      </w:r>
      <w:r>
        <w:rPr>
          <w:rFonts w:eastAsia="华文楷体"/>
          <w:color w:val="000000" w:themeColor="text1"/>
          <w14:textFill>
            <w14:solidFill>
              <w14:schemeClr w14:val="tx1"/>
            </w14:solidFill>
          </w14:textFill>
        </w:rPr>
        <w:t>0</w:t>
      </w:r>
      <w:r>
        <w:rPr>
          <w:rFonts w:hint="eastAsia" w:eastAsia="华文楷体"/>
          <w:color w:val="000000" w:themeColor="text1"/>
          <w14:textFill>
            <w14:solidFill>
              <w14:schemeClr w14:val="tx1"/>
            </w14:solidFill>
          </w14:textFill>
        </w:rPr>
        <w:t>万吨级集装箱泊位延长岸线后扩建为2个20万吨级集装箱码头</w:t>
      </w:r>
      <w:r>
        <w:rPr>
          <w:rFonts w:eastAsia="华文楷体"/>
          <w:color w:val="000000" w:themeColor="text1"/>
          <w14:textFill>
            <w14:solidFill>
              <w14:schemeClr w14:val="tx1"/>
            </w14:solidFill>
          </w14:textFill>
        </w:rPr>
        <w:t>。</w:t>
      </w:r>
      <w:r>
        <w:rPr>
          <w:rFonts w:hint="eastAsia" w:eastAsia="华文楷体"/>
          <w:color w:val="000000" w:themeColor="text1"/>
          <w14:textFill>
            <w14:solidFill>
              <w14:schemeClr w14:val="tx1"/>
            </w14:solidFill>
          </w14:textFill>
        </w:rPr>
        <w:t>现有泊位岸线长度7</w:t>
      </w:r>
      <w:r>
        <w:rPr>
          <w:rFonts w:eastAsia="华文楷体"/>
          <w:color w:val="000000" w:themeColor="text1"/>
          <w14:textFill>
            <w14:solidFill>
              <w14:schemeClr w14:val="tx1"/>
            </w14:solidFill>
          </w14:textFill>
        </w:rPr>
        <w:t>83</w:t>
      </w:r>
      <w:r>
        <w:rPr>
          <w:rFonts w:hint="eastAsia" w:eastAsia="华文楷体"/>
          <w:color w:val="000000" w:themeColor="text1"/>
          <w14:textFill>
            <w14:solidFill>
              <w14:schemeClr w14:val="tx1"/>
            </w14:solidFill>
          </w14:textFill>
        </w:rPr>
        <w:t>m，拟从已建10号泊位往南扩建泊位208m，扩建后9号10号泊位岸线总长度991m</w:t>
      </w:r>
      <w:r>
        <w:rPr>
          <w:rFonts w:eastAsia="华文楷体"/>
          <w:color w:val="000000" w:themeColor="text1"/>
          <w14:textFill>
            <w14:solidFill>
              <w14:schemeClr w14:val="tx1"/>
            </w14:solidFill>
          </w14:textFill>
        </w:rPr>
        <w:t>。</w:t>
      </w:r>
    </w:p>
    <w:p>
      <w:pPr>
        <w:spacing w:line="440" w:lineRule="exact"/>
        <w:ind w:firstLine="462" w:firstLineChars="200"/>
        <w:rPr>
          <w:rFonts w:eastAsia="华文楷体"/>
          <w:color w:val="000000" w:themeColor="text1"/>
          <w14:textFill>
            <w14:solidFill>
              <w14:schemeClr w14:val="tx1"/>
            </w14:solidFill>
          </w14:textFill>
        </w:rPr>
      </w:pPr>
      <w:r>
        <w:rPr>
          <w:rFonts w:eastAsia="华文楷体"/>
          <w:color w:val="000000" w:themeColor="text1"/>
          <w14:textFill>
            <w14:solidFill>
              <w14:schemeClr w14:val="tx1"/>
            </w14:solidFill>
          </w14:textFill>
        </w:rPr>
        <w:t>本项目工程涉及港池疏浚、水工建筑物、陆域地基处理、</w:t>
      </w:r>
      <w:r>
        <w:rPr>
          <w:rFonts w:hint="eastAsia" w:eastAsia="华文楷体"/>
          <w:color w:val="000000" w:themeColor="text1"/>
          <w14:textFill>
            <w14:solidFill>
              <w14:schemeClr w14:val="tx1"/>
            </w14:solidFill>
          </w14:textFill>
        </w:rPr>
        <w:t>配套工程</w:t>
      </w:r>
      <w:r>
        <w:rPr>
          <w:rFonts w:eastAsia="华文楷体"/>
          <w:color w:val="000000" w:themeColor="text1"/>
          <w14:textFill>
            <w14:solidFill>
              <w14:schemeClr w14:val="tx1"/>
            </w14:solidFill>
          </w14:textFill>
        </w:rPr>
        <w:t>建设。疏浚采用抓斗式挖泥船、绞吸式挖泥船进行疏浚作业，</w:t>
      </w:r>
      <w:r>
        <w:rPr>
          <w:rFonts w:eastAsia="华文楷体"/>
          <w:color w:val="000000" w:themeColor="text1"/>
          <w:u w:val="single"/>
          <w14:textFill>
            <w14:solidFill>
              <w14:schemeClr w14:val="tx1"/>
            </w14:solidFill>
          </w14:textFill>
        </w:rPr>
        <w:t>疏浚工程量</w:t>
      </w:r>
      <w:r>
        <w:rPr>
          <w:rFonts w:hint="eastAsia" w:eastAsia="华文楷体"/>
          <w:color w:val="000000" w:themeColor="text1"/>
          <w:u w:val="single"/>
          <w14:textFill>
            <w14:solidFill>
              <w14:schemeClr w14:val="tx1"/>
            </w14:solidFill>
          </w14:textFill>
        </w:rPr>
        <w:t>204.7</w:t>
      </w:r>
      <w:r>
        <w:rPr>
          <w:rFonts w:eastAsia="华文楷体"/>
          <w:color w:val="000000" w:themeColor="text1"/>
          <w:u w:val="single"/>
          <w14:textFill>
            <w14:solidFill>
              <w14:schemeClr w14:val="tx1"/>
            </w14:solidFill>
          </w14:textFill>
        </w:rPr>
        <w:t>万m</w:t>
      </w:r>
      <w:r>
        <w:rPr>
          <w:rFonts w:eastAsia="华文楷体"/>
          <w:color w:val="000000" w:themeColor="text1"/>
          <w:u w:val="single"/>
          <w:vertAlign w:val="superscript"/>
          <w14:textFill>
            <w14:solidFill>
              <w14:schemeClr w14:val="tx1"/>
            </w14:solidFill>
          </w14:textFill>
        </w:rPr>
        <w:t>3</w:t>
      </w:r>
      <w:r>
        <w:rPr>
          <w:rFonts w:eastAsia="华文楷体"/>
          <w:color w:val="000000" w:themeColor="text1"/>
          <w:u w:val="single"/>
          <w14:textFill>
            <w14:solidFill>
              <w14:schemeClr w14:val="tx1"/>
            </w14:solidFill>
          </w14:textFill>
        </w:rPr>
        <w:t>，疏浚面积约</w:t>
      </w:r>
      <w:r>
        <w:rPr>
          <w:rFonts w:hint="eastAsia" w:eastAsia="华文楷体"/>
          <w:color w:val="000000" w:themeColor="text1"/>
          <w:u w:val="single"/>
          <w14:textFill>
            <w14:solidFill>
              <w14:schemeClr w14:val="tx1"/>
            </w14:solidFill>
          </w14:textFill>
        </w:rPr>
        <w:t>24.87hm</w:t>
      </w:r>
      <w:r>
        <w:rPr>
          <w:rFonts w:hint="eastAsia" w:eastAsia="华文楷体"/>
          <w:color w:val="000000" w:themeColor="text1"/>
          <w:u w:val="single"/>
          <w:vertAlign w:val="superscript"/>
          <w14:textFill>
            <w14:solidFill>
              <w14:schemeClr w14:val="tx1"/>
            </w14:solidFill>
          </w14:textFill>
        </w:rPr>
        <w:t>2</w:t>
      </w:r>
      <w:r>
        <w:rPr>
          <w:rFonts w:hint="eastAsia" w:eastAsia="华文楷体"/>
          <w:color w:val="000000" w:themeColor="text1"/>
          <w:u w:val="single"/>
          <w14:textFill>
            <w14:solidFill>
              <w14:schemeClr w14:val="tx1"/>
            </w14:solidFill>
          </w14:textFill>
        </w:rPr>
        <w:t>，其中码头前沿疏浚面积13.52hm</w:t>
      </w:r>
      <w:r>
        <w:rPr>
          <w:rFonts w:hint="eastAsia" w:eastAsia="华文楷体"/>
          <w:color w:val="000000" w:themeColor="text1"/>
          <w:u w:val="single"/>
          <w:vertAlign w:val="superscript"/>
          <w14:textFill>
            <w14:solidFill>
              <w14:schemeClr w14:val="tx1"/>
            </w14:solidFill>
          </w14:textFill>
        </w:rPr>
        <w:t>2</w:t>
      </w:r>
      <w:r>
        <w:rPr>
          <w:rFonts w:hint="eastAsia" w:eastAsia="华文楷体"/>
          <w:color w:val="000000" w:themeColor="text1"/>
          <w:u w:val="single"/>
          <w14:textFill>
            <w14:solidFill>
              <w14:schemeClr w14:val="tx1"/>
            </w14:solidFill>
          </w14:textFill>
        </w:rPr>
        <w:t>，消浪护岸侧疏浚6.05 hm</w:t>
      </w:r>
      <w:r>
        <w:rPr>
          <w:rFonts w:hint="eastAsia" w:eastAsia="华文楷体"/>
          <w:color w:val="000000" w:themeColor="text1"/>
          <w:u w:val="single"/>
          <w:vertAlign w:val="superscript"/>
          <w14:textFill>
            <w14:solidFill>
              <w14:schemeClr w14:val="tx1"/>
            </w14:solidFill>
          </w14:textFill>
        </w:rPr>
        <w:t>2</w:t>
      </w:r>
      <w:r>
        <w:rPr>
          <w:rFonts w:hint="eastAsia" w:eastAsia="华文楷体"/>
          <w:color w:val="000000" w:themeColor="text1"/>
          <w:u w:val="single"/>
          <w14:textFill>
            <w14:solidFill>
              <w14:schemeClr w14:val="tx1"/>
            </w14:solidFill>
          </w14:textFill>
        </w:rPr>
        <w:t>，疏浚边坡5.3hm</w:t>
      </w:r>
      <w:r>
        <w:rPr>
          <w:rFonts w:hint="eastAsia" w:eastAsia="华文楷体"/>
          <w:color w:val="000000" w:themeColor="text1"/>
          <w:u w:val="single"/>
          <w:vertAlign w:val="superscript"/>
          <w14:textFill>
            <w14:solidFill>
              <w14:schemeClr w14:val="tx1"/>
            </w14:solidFill>
          </w14:textFill>
        </w:rPr>
        <w:t>2</w:t>
      </w:r>
      <w:r>
        <w:rPr>
          <w:rFonts w:hint="eastAsia" w:eastAsia="华文楷体"/>
          <w:color w:val="000000" w:themeColor="text1"/>
          <w14:textFill>
            <w14:solidFill>
              <w14:schemeClr w14:val="tx1"/>
            </w14:solidFill>
          </w14:textFill>
        </w:rPr>
        <w:t>；</w:t>
      </w:r>
      <w:r>
        <w:rPr>
          <w:rFonts w:eastAsia="华文楷体"/>
          <w:color w:val="000000" w:themeColor="text1"/>
          <w14:textFill>
            <w14:solidFill>
              <w14:schemeClr w14:val="tx1"/>
            </w14:solidFill>
          </w14:textFill>
        </w:rPr>
        <w:t>炸礁工程量</w:t>
      </w:r>
      <w:r>
        <w:rPr>
          <w:rFonts w:hint="eastAsia" w:eastAsia="华文楷体"/>
          <w:color w:val="000000" w:themeColor="text1"/>
          <w14:textFill>
            <w14:solidFill>
              <w14:schemeClr w14:val="tx1"/>
            </w14:solidFill>
          </w14:textFill>
        </w:rPr>
        <w:t>47.6</w:t>
      </w:r>
      <w:r>
        <w:rPr>
          <w:rFonts w:eastAsia="华文楷体"/>
          <w:color w:val="000000" w:themeColor="text1"/>
          <w14:textFill>
            <w14:solidFill>
              <w14:schemeClr w14:val="tx1"/>
            </w14:solidFill>
          </w14:textFill>
        </w:rPr>
        <w:t>万m</w:t>
      </w:r>
      <w:r>
        <w:rPr>
          <w:rFonts w:eastAsia="华文楷体"/>
          <w:color w:val="000000" w:themeColor="text1"/>
          <w:vertAlign w:val="superscript"/>
          <w14:textFill>
            <w14:solidFill>
              <w14:schemeClr w14:val="tx1"/>
            </w14:solidFill>
          </w14:textFill>
        </w:rPr>
        <w:t>3</w:t>
      </w:r>
      <w:r>
        <w:rPr>
          <w:rFonts w:eastAsia="华文楷体"/>
          <w:color w:val="000000" w:themeColor="text1"/>
          <w14:textFill>
            <w14:solidFill>
              <w14:schemeClr w14:val="tx1"/>
            </w14:solidFill>
          </w14:textFill>
        </w:rPr>
        <w:t>，炸礁面积约</w:t>
      </w:r>
      <w:r>
        <w:rPr>
          <w:rFonts w:hint="eastAsia" w:eastAsia="华文楷体"/>
          <w:color w:val="000000" w:themeColor="text1"/>
          <w14:textFill>
            <w14:solidFill>
              <w14:schemeClr w14:val="tx1"/>
            </w14:solidFill>
          </w14:textFill>
        </w:rPr>
        <w:t>7.86hm</w:t>
      </w:r>
      <w:r>
        <w:rPr>
          <w:rFonts w:hint="eastAsia" w:eastAsia="华文楷体"/>
          <w:color w:val="000000" w:themeColor="text1"/>
          <w:vertAlign w:val="superscript"/>
          <w14:textFill>
            <w14:solidFill>
              <w14:schemeClr w14:val="tx1"/>
            </w14:solidFill>
          </w14:textFill>
        </w:rPr>
        <w:t>2</w:t>
      </w:r>
      <w:r>
        <w:rPr>
          <w:rFonts w:hint="eastAsia" w:eastAsia="华文楷体"/>
          <w:color w:val="000000" w:themeColor="text1"/>
          <w14:textFill>
            <w14:solidFill>
              <w14:schemeClr w14:val="tx1"/>
            </w14:solidFill>
          </w14:textFill>
        </w:rPr>
        <w:t>；疏浚土石方约81.3万m</w:t>
      </w:r>
      <w:r>
        <w:rPr>
          <w:rFonts w:hint="eastAsia" w:eastAsia="华文楷体"/>
          <w:color w:val="000000" w:themeColor="text1"/>
          <w:vertAlign w:val="superscript"/>
          <w14:textFill>
            <w14:solidFill>
              <w14:schemeClr w14:val="tx1"/>
            </w14:solidFill>
          </w14:textFill>
        </w:rPr>
        <w:t>3</w:t>
      </w:r>
      <w:r>
        <w:rPr>
          <w:rFonts w:hint="eastAsia" w:eastAsia="华文楷体"/>
          <w:color w:val="000000" w:themeColor="text1"/>
          <w14:textFill>
            <w14:solidFill>
              <w14:schemeClr w14:val="tx1"/>
            </w14:solidFill>
          </w14:textFill>
        </w:rPr>
        <w:t>用于本项目依托工程</w:t>
      </w:r>
      <w:bookmarkStart w:id="6" w:name="_Hlk171062974"/>
      <w:r>
        <w:rPr>
          <w:rFonts w:hint="eastAsia" w:eastAsia="华文楷体"/>
          <w:color w:val="000000" w:themeColor="text1"/>
          <w14:textFill>
            <w14:solidFill>
              <w14:schemeClr w14:val="tx1"/>
            </w14:solidFill>
          </w14:textFill>
        </w:rPr>
        <w:t>昊鼎仓储物流中心项目继续填海的陆域吹填</w:t>
      </w:r>
      <w:bookmarkEnd w:id="6"/>
      <w:r>
        <w:rPr>
          <w:rFonts w:hint="eastAsia" w:eastAsia="华文楷体"/>
          <w:color w:val="000000" w:themeColor="text1"/>
          <w14:textFill>
            <w14:solidFill>
              <w14:schemeClr w14:val="tx1"/>
            </w14:solidFill>
          </w14:textFill>
        </w:rPr>
        <w:t>，123.4万m</w:t>
      </w:r>
      <w:r>
        <w:rPr>
          <w:rFonts w:hint="eastAsia" w:eastAsia="华文楷体"/>
          <w:color w:val="000000" w:themeColor="text1"/>
          <w:vertAlign w:val="superscript"/>
          <w14:textFill>
            <w14:solidFill>
              <w14:schemeClr w14:val="tx1"/>
            </w14:solidFill>
          </w14:textFill>
        </w:rPr>
        <w:t>3</w:t>
      </w:r>
      <w:r>
        <w:rPr>
          <w:rFonts w:hint="eastAsia" w:eastAsia="华文楷体"/>
          <w:color w:val="000000" w:themeColor="text1"/>
          <w14:textFill>
            <w14:solidFill>
              <w14:schemeClr w14:val="tx1"/>
            </w14:solidFill>
          </w14:textFill>
        </w:rPr>
        <w:t>经泥驳自航运输至钦州港</w:t>
      </w:r>
      <w:bookmarkStart w:id="7" w:name="_Hlk171063067"/>
      <w:r>
        <w:rPr>
          <w:rFonts w:hint="eastAsia" w:eastAsia="华文楷体"/>
          <w:color w:val="000000" w:themeColor="text1"/>
          <w14:textFill>
            <w14:solidFill>
              <w14:schemeClr w14:val="tx1"/>
            </w14:solidFill>
          </w14:textFill>
        </w:rPr>
        <w:t>30万吨级进港航道疏浚工程疏浚物临时性海洋倾倒区B区抛卸。</w:t>
      </w:r>
      <w:bookmarkEnd w:id="7"/>
      <w:r>
        <w:rPr>
          <w:rFonts w:hint="eastAsia" w:eastAsia="华文楷体"/>
          <w:color w:val="000000" w:themeColor="text1"/>
          <w14:textFill>
            <w14:solidFill>
              <w14:schemeClr w14:val="tx1"/>
            </w14:solidFill>
          </w14:textFill>
        </w:rPr>
        <w:t>水工建筑物包括20万吨级码头方沉箱结构208m，</w:t>
      </w:r>
      <w:r>
        <w:rPr>
          <w:rFonts w:eastAsia="华文楷体"/>
          <w:color w:val="000000" w:themeColor="text1"/>
          <w14:textFill>
            <w14:solidFill>
              <w14:schemeClr w14:val="tx1"/>
            </w14:solidFill>
          </w14:textFill>
        </w:rPr>
        <w:t>新建消浪护岸</w:t>
      </w:r>
      <w:r>
        <w:rPr>
          <w:rFonts w:hint="eastAsia" w:eastAsia="华文楷体"/>
          <w:color w:val="000000" w:themeColor="text1"/>
          <w14:textFill>
            <w14:solidFill>
              <w14:schemeClr w14:val="tx1"/>
            </w14:solidFill>
          </w14:textFill>
        </w:rPr>
        <w:t>695m</w:t>
      </w:r>
      <w:r>
        <w:rPr>
          <w:rFonts w:eastAsia="华文楷体"/>
          <w:color w:val="000000" w:themeColor="text1"/>
          <w14:textFill>
            <w14:solidFill>
              <w14:schemeClr w14:val="tx1"/>
            </w14:solidFill>
          </w14:textFill>
        </w:rPr>
        <w:t>，消浪护岸过渡段157.8m。配套工程包括供电、给排水、消防、通信、</w:t>
      </w:r>
      <w:r>
        <w:rPr>
          <w:rFonts w:hint="eastAsia" w:eastAsia="华文楷体"/>
          <w:color w:val="000000" w:themeColor="text1"/>
          <w14:textFill>
            <w14:solidFill>
              <w14:schemeClr w14:val="tx1"/>
            </w14:solidFill>
          </w14:textFill>
        </w:rPr>
        <w:t>助</w:t>
      </w:r>
      <w:r>
        <w:rPr>
          <w:rFonts w:eastAsia="华文楷体"/>
          <w:color w:val="000000" w:themeColor="text1"/>
          <w14:textFill>
            <w14:solidFill>
              <w14:schemeClr w14:val="tx1"/>
            </w14:solidFill>
          </w14:textFill>
        </w:rPr>
        <w:t>导航工程等。</w:t>
      </w:r>
      <w:r>
        <w:rPr>
          <w:rFonts w:hint="eastAsia" w:eastAsia="华文楷体"/>
          <w:bCs/>
          <w:color w:val="000000" w:themeColor="text1"/>
          <w14:textFill>
            <w14:solidFill>
              <w14:schemeClr w14:val="tx1"/>
            </w14:solidFill>
          </w14:textFill>
        </w:rPr>
        <w:t>扩建前后泊位均无集装箱拆装箱、拼箱、洗箱及危险货物集装箱运输作业。</w:t>
      </w:r>
    </w:p>
    <w:p>
      <w:pPr>
        <w:spacing w:line="440" w:lineRule="exact"/>
        <w:ind w:firstLine="462" w:firstLineChars="200"/>
        <w:rPr>
          <w:rFonts w:eastAsia="华文楷体"/>
          <w:b/>
          <w:color w:val="000000" w:themeColor="text1"/>
          <w14:textFill>
            <w14:solidFill>
              <w14:schemeClr w14:val="tx1"/>
            </w14:solidFill>
          </w14:textFill>
        </w:rPr>
      </w:pPr>
      <w:r>
        <w:rPr>
          <w:rFonts w:hint="eastAsia" w:eastAsia="华文楷体"/>
          <w:b/>
          <w:color w:val="000000" w:themeColor="text1"/>
          <w14:textFill>
            <w14:solidFill>
              <w14:schemeClr w14:val="tx1"/>
            </w14:solidFill>
          </w14:textFill>
        </w:rPr>
        <w:t>2、陆域依托工程可行性</w:t>
      </w:r>
    </w:p>
    <w:p>
      <w:pPr>
        <w:spacing w:line="440" w:lineRule="exact"/>
        <w:ind w:firstLine="462" w:firstLineChars="200"/>
        <w:rPr>
          <w:rFonts w:eastAsia="华文楷体"/>
          <w:color w:val="000000" w:themeColor="text1"/>
          <w14:textFill>
            <w14:solidFill>
              <w14:schemeClr w14:val="tx1"/>
            </w14:solidFill>
          </w14:textFill>
        </w:rPr>
      </w:pPr>
      <w:r>
        <w:rPr>
          <w:rFonts w:eastAsia="华文楷体"/>
          <w:color w:val="000000" w:themeColor="text1"/>
          <w14:textFill>
            <w14:solidFill>
              <w14:schemeClr w14:val="tx1"/>
            </w14:solidFill>
          </w14:textFill>
        </w:rPr>
        <w:t>本项目工程内容</w:t>
      </w:r>
      <w:r>
        <w:rPr>
          <w:rFonts w:hint="eastAsia" w:eastAsia="华文楷体"/>
          <w:color w:val="000000" w:themeColor="text1"/>
          <w:u w:val="single"/>
          <w14:textFill>
            <w14:solidFill>
              <w14:schemeClr w14:val="tx1"/>
            </w14:solidFill>
          </w14:textFill>
        </w:rPr>
        <w:t>不新增</w:t>
      </w:r>
      <w:r>
        <w:rPr>
          <w:rFonts w:eastAsia="华文楷体"/>
          <w:color w:val="000000" w:themeColor="text1"/>
          <w:u w:val="single"/>
          <w14:textFill>
            <w14:solidFill>
              <w14:schemeClr w14:val="tx1"/>
            </w14:solidFill>
          </w14:textFill>
        </w:rPr>
        <w:t>围填海</w:t>
      </w:r>
      <w:r>
        <w:rPr>
          <w:rFonts w:eastAsia="华文楷体"/>
          <w:color w:val="000000" w:themeColor="text1"/>
          <w14:textFill>
            <w14:solidFill>
              <w14:schemeClr w14:val="tx1"/>
            </w14:solidFill>
          </w14:textFill>
        </w:rPr>
        <w:t>，扩建工程陆域形成的未回填区依托</w:t>
      </w:r>
      <w:r>
        <w:rPr>
          <w:rFonts w:hint="eastAsia" w:eastAsia="华文楷体"/>
          <w:color w:val="000000" w:themeColor="text1"/>
          <w14:textFill>
            <w14:solidFill>
              <w14:schemeClr w14:val="tx1"/>
            </w14:solidFill>
          </w14:textFill>
        </w:rPr>
        <w:t>钦州保税港区昊鼎仓储物流中心项目，该项目于2009年9月取得广西壮族自治区海洋局《关于〈昊鼎仓储物流中心项目海洋环境影响报告表〉核准意见的函》（桂海函〔2009〕165号），根据核准意见，项目建设用地38.9219hm</w:t>
      </w:r>
      <w:r>
        <w:rPr>
          <w:rFonts w:hint="eastAsia" w:eastAsia="华文楷体"/>
          <w:color w:val="000000" w:themeColor="text1"/>
          <w:vertAlign w:val="superscript"/>
          <w14:textFill>
            <w14:solidFill>
              <w14:schemeClr w14:val="tx1"/>
            </w14:solidFill>
          </w14:textFill>
        </w:rPr>
        <w:t>2</w:t>
      </w:r>
      <w:r>
        <w:rPr>
          <w:rFonts w:hint="eastAsia" w:eastAsia="华文楷体"/>
          <w:color w:val="000000" w:themeColor="text1"/>
          <w14:textFill>
            <w14:solidFill>
              <w14:schemeClr w14:val="tx1"/>
            </w14:solidFill>
          </w14:textFill>
        </w:rPr>
        <w:t>，全部由填海完成，从海洋环境保护角度分析，同意该工程建设。该项目建设单位广西钦州保税港区开发投资有限责任公司于2009年12月取得钦州保税港区昊鼎仓储物流中心项目海域使用权证书（国海证09400029号），并于2010年开始围填海，至2020年陆续完成9号10号现有泊位区域围填海，但仍有部分海域处于批而未填的状态。2023年11月钦州保税港区昊鼎仓储物流中心项目取得《广西壮族自治区海洋局关于钦州保税港区昊鼎仓储物流中心项目继续填海有关事项的批复》（桂海函〔2023〕年790号，附件6），允许该项目继续实施填海，该项目已编制《钦州港保税区昊鼎仓储物流中心项目围填海历史遗留问题生态保护修复方案》及《钦州港保税区昊鼎仓储物流中心项目围填海历史遗留问题生态评估报告》，</w:t>
      </w:r>
      <w:r>
        <w:rPr>
          <w:rFonts w:hint="eastAsia" w:eastAsia="华文楷体"/>
          <w:color w:val="000000" w:themeColor="text1"/>
          <w:u w:val="single"/>
          <w14:textFill>
            <w14:solidFill>
              <w14:schemeClr w14:val="tx1"/>
            </w14:solidFill>
          </w14:textFill>
        </w:rPr>
        <w:t>围填海陆域形成后作为本项目自动化集装箱码头，不属于房地产开发及低水平重复建设的休闲娱乐项目及污染海洋生态环境的项目，</w:t>
      </w:r>
      <w:r>
        <w:rPr>
          <w:rFonts w:hint="eastAsia" w:eastAsia="华文楷体"/>
          <w:color w:val="000000" w:themeColor="text1"/>
          <w14:textFill>
            <w14:solidFill>
              <w14:schemeClr w14:val="tx1"/>
            </w14:solidFill>
          </w14:textFill>
        </w:rPr>
        <w:t>符合《广西壮族自治区海洋局关于钦州保税港区昊鼎仓储物流中心项目继续填海有关事项的批复》（桂海函</w:t>
      </w:r>
      <w:r>
        <w:rPr>
          <w:rFonts w:eastAsia="华文楷体"/>
          <w:color w:val="000000" w:themeColor="text1"/>
          <w14:textFill>
            <w14:solidFill>
              <w14:schemeClr w14:val="tx1"/>
            </w14:solidFill>
          </w14:textFill>
        </w:rPr>
        <w:t>〔20</w:t>
      </w:r>
      <w:r>
        <w:rPr>
          <w:rFonts w:hint="eastAsia" w:eastAsia="华文楷体"/>
          <w:color w:val="000000" w:themeColor="text1"/>
          <w14:textFill>
            <w14:solidFill>
              <w14:schemeClr w14:val="tx1"/>
            </w14:solidFill>
          </w14:textFill>
        </w:rPr>
        <w:t>23〕790号）中有关事项的要求，项目陆域形成依托该项目建设可行。</w:t>
      </w:r>
    </w:p>
    <w:p>
      <w:pPr>
        <w:spacing w:line="440" w:lineRule="exact"/>
        <w:rPr>
          <w:rFonts w:eastAsia="华文楷体"/>
          <w:b/>
          <w:color w:val="000000" w:themeColor="text1"/>
          <w14:textFill>
            <w14:solidFill>
              <w14:schemeClr w14:val="tx1"/>
            </w14:solidFill>
          </w14:textFill>
        </w:rPr>
      </w:pPr>
      <w:r>
        <w:rPr>
          <w:rFonts w:eastAsia="华文楷体"/>
          <w:b/>
          <w:color w:val="000000" w:themeColor="text1"/>
          <w14:textFill>
            <w14:solidFill>
              <w14:schemeClr w14:val="tx1"/>
            </w14:solidFill>
          </w14:textFill>
        </w:rPr>
        <w:t>三、环境影响评价的工作过程</w:t>
      </w:r>
    </w:p>
    <w:p>
      <w:pPr>
        <w:spacing w:line="440" w:lineRule="exact"/>
        <w:ind w:firstLine="462" w:firstLineChars="200"/>
        <w:rPr>
          <w:rFonts w:eastAsia="华文楷体"/>
          <w:color w:val="000000" w:themeColor="text1"/>
          <w14:textFill>
            <w14:solidFill>
              <w14:schemeClr w14:val="tx1"/>
            </w14:solidFill>
          </w14:textFill>
        </w:rPr>
      </w:pPr>
      <w:r>
        <w:rPr>
          <w:rFonts w:eastAsia="华文楷体"/>
          <w:color w:val="000000" w:themeColor="text1"/>
          <w14:textFill>
            <w14:solidFill>
              <w14:schemeClr w14:val="tx1"/>
            </w14:solidFill>
          </w14:textFill>
        </w:rPr>
        <w:t>建设项目环境影响评价工作程序主要分为三个阶段，即调查分析和工作方案制定阶段，分析论证和预测评价阶段，环境影响评价文件编制阶段。</w:t>
      </w:r>
    </w:p>
    <w:p>
      <w:pPr>
        <w:spacing w:line="440" w:lineRule="exact"/>
        <w:ind w:firstLine="462" w:firstLineChars="200"/>
        <w:rPr>
          <w:rFonts w:eastAsia="华文楷体"/>
          <w:color w:val="000000" w:themeColor="text1"/>
          <w14:textFill>
            <w14:solidFill>
              <w14:schemeClr w14:val="tx1"/>
            </w14:solidFill>
          </w14:textFill>
        </w:rPr>
      </w:pPr>
      <w:r>
        <w:rPr>
          <w:rFonts w:eastAsia="华文楷体"/>
          <w:color w:val="000000" w:themeColor="text1"/>
          <w14:textFill>
            <w14:solidFill>
              <w14:schemeClr w14:val="tx1"/>
            </w14:solidFill>
          </w14:textFill>
        </w:rPr>
        <w:t>（1）调查分析和工作方案制定阶段：依据相关规定确定环境影响评价文件类型，研究相关技术文件和其他有关文件，进行初步工程分析，开展初步的环境状况调查；对环境影响因素进行识别和评价因子进行筛选；明确评价重点和环境保护目标，确定工作等级、评价范围和评价标准，最后制定工作方案。</w:t>
      </w:r>
    </w:p>
    <w:p>
      <w:pPr>
        <w:spacing w:line="440" w:lineRule="exact"/>
        <w:ind w:firstLine="462" w:firstLineChars="200"/>
        <w:rPr>
          <w:rFonts w:eastAsia="华文楷体"/>
          <w:color w:val="000000" w:themeColor="text1"/>
          <w14:textFill>
            <w14:solidFill>
              <w14:schemeClr w14:val="tx1"/>
            </w14:solidFill>
          </w14:textFill>
        </w:rPr>
      </w:pPr>
      <w:r>
        <w:rPr>
          <w:rFonts w:eastAsia="华文楷体"/>
          <w:color w:val="000000" w:themeColor="text1"/>
          <w14:textFill>
            <w14:solidFill>
              <w14:schemeClr w14:val="tx1"/>
            </w14:solidFill>
          </w14:textFill>
        </w:rPr>
        <w:t>（2）分析论证和预测评价阶段：对评价范围内的环境状况调查、监测与评价，并进行建设项目的工程分析，完成各环境要素的环境影响预测与评价。</w:t>
      </w:r>
    </w:p>
    <w:p>
      <w:pPr>
        <w:spacing w:line="440" w:lineRule="exact"/>
        <w:ind w:firstLine="462" w:firstLineChars="200"/>
        <w:rPr>
          <w:color w:val="000000" w:themeColor="text1"/>
          <w14:textFill>
            <w14:solidFill>
              <w14:schemeClr w14:val="tx1"/>
            </w14:solidFill>
          </w14:textFill>
        </w:rPr>
      </w:pPr>
      <w:r>
        <w:rPr>
          <w:rFonts w:eastAsia="华文楷体"/>
          <w:color w:val="000000" w:themeColor="text1"/>
          <w14:textFill>
            <w14:solidFill>
              <w14:schemeClr w14:val="tx1"/>
            </w14:solidFill>
          </w14:textFill>
        </w:rPr>
        <w:t>（3）环境影响评价文件编制阶段：给出建设项目环境可行性的评价结论，提出环境保护措施和建议，进行技术经济论证，完成环境影响评价文件的编制。</w:t>
      </w:r>
    </w:p>
    <w:p>
      <w:pPr>
        <w:spacing w:line="440" w:lineRule="exact"/>
        <w:rPr>
          <w:rFonts w:eastAsia="华文楷体"/>
          <w:color w:val="000000" w:themeColor="text1"/>
          <w14:textFill>
            <w14:solidFill>
              <w14:schemeClr w14:val="tx1"/>
            </w14:solidFill>
          </w14:textFill>
        </w:rPr>
      </w:pPr>
      <w:r>
        <w:rPr>
          <w:rFonts w:eastAsia="华文楷体"/>
          <w:b/>
          <w:color w:val="000000" w:themeColor="text1"/>
          <w14:textFill>
            <w14:solidFill>
              <w14:schemeClr w14:val="tx1"/>
            </w14:solidFill>
          </w14:textFill>
        </w:rPr>
        <w:t>四、分析判定相关情况</w:t>
      </w:r>
    </w:p>
    <w:p>
      <w:pPr>
        <w:spacing w:line="440" w:lineRule="exact"/>
        <w:ind w:firstLine="462" w:firstLineChars="200"/>
        <w:rPr>
          <w:rFonts w:eastAsia="华文楷体"/>
          <w:color w:val="000000" w:themeColor="text1"/>
          <w14:textFill>
            <w14:solidFill>
              <w14:schemeClr w14:val="tx1"/>
            </w14:solidFill>
          </w14:textFill>
        </w:rPr>
      </w:pPr>
      <w:r>
        <w:rPr>
          <w:rFonts w:eastAsia="华文楷体"/>
          <w:color w:val="000000" w:themeColor="text1"/>
          <w14:textFill>
            <w14:solidFill>
              <w14:schemeClr w14:val="tx1"/>
            </w14:solidFill>
          </w14:textFill>
        </w:rPr>
        <w:t>（1）评价等级判定</w:t>
      </w:r>
    </w:p>
    <w:p>
      <w:pPr>
        <w:spacing w:line="440" w:lineRule="exact"/>
        <w:ind w:firstLine="462" w:firstLineChars="200"/>
        <w:rPr>
          <w:rFonts w:eastAsia="华文楷体"/>
          <w:color w:val="000000" w:themeColor="text1"/>
          <w14:textFill>
            <w14:solidFill>
              <w14:schemeClr w14:val="tx1"/>
            </w14:solidFill>
          </w14:textFill>
        </w:rPr>
      </w:pPr>
      <w:r>
        <w:rPr>
          <w:rFonts w:eastAsia="华文楷体"/>
          <w:color w:val="000000" w:themeColor="text1"/>
          <w14:textFill>
            <w14:solidFill>
              <w14:schemeClr w14:val="tx1"/>
            </w14:solidFill>
          </w14:textFill>
        </w:rPr>
        <w:t>根据各要素环境影响评价技术导则的具体要求，并结合拟建项目工程分析成果，判定本项目</w:t>
      </w:r>
      <w:r>
        <w:rPr>
          <w:rFonts w:eastAsia="华文楷体"/>
          <w:color w:val="000000" w:themeColor="text1"/>
          <w:u w:val="single"/>
          <w:lang w:val="zh-CN"/>
          <w14:textFill>
            <w14:solidFill>
              <w14:schemeClr w14:val="tx1"/>
            </w14:solidFill>
          </w14:textFill>
        </w:rPr>
        <w:t>生态影响评价等级确定</w:t>
      </w:r>
      <w:r>
        <w:rPr>
          <w:rFonts w:hint="eastAsia" w:eastAsia="华文楷体"/>
          <w:color w:val="000000" w:themeColor="text1"/>
          <w:u w:val="single"/>
          <w:lang w:val="zh-CN"/>
          <w14:textFill>
            <w14:solidFill>
              <w14:schemeClr w14:val="tx1"/>
            </w14:solidFill>
          </w14:textFill>
        </w:rPr>
        <w:t>为一级</w:t>
      </w:r>
      <w:r>
        <w:rPr>
          <w:rFonts w:hint="eastAsia" w:eastAsia="华文楷体"/>
          <w:color w:val="000000" w:themeColor="text1"/>
          <w:lang w:val="zh-CN"/>
          <w14:textFill>
            <w14:solidFill>
              <w14:schemeClr w14:val="tx1"/>
            </w14:solidFill>
          </w14:textFill>
        </w:rPr>
        <w:t>、</w:t>
      </w:r>
      <w:r>
        <w:rPr>
          <w:rFonts w:hint="eastAsia" w:eastAsia="华文楷体"/>
          <w:color w:val="000000" w:themeColor="text1"/>
          <w:u w:val="single"/>
          <w:lang w:val="zh-CN"/>
          <w14:textFill>
            <w14:solidFill>
              <w14:schemeClr w14:val="tx1"/>
            </w14:solidFill>
          </w14:textFill>
        </w:rPr>
        <w:t>地表水环境影响评价等级为二级</w:t>
      </w:r>
      <w:r>
        <w:rPr>
          <w:rFonts w:hint="eastAsia" w:eastAsia="华文楷体"/>
          <w:color w:val="000000" w:themeColor="text1"/>
          <w:lang w:val="zh-CN"/>
          <w14:textFill>
            <w14:solidFill>
              <w14:schemeClr w14:val="tx1"/>
            </w14:solidFill>
          </w14:textFill>
        </w:rPr>
        <w:t>、</w:t>
      </w:r>
      <w:r>
        <w:rPr>
          <w:rFonts w:eastAsia="华文楷体"/>
          <w:color w:val="000000" w:themeColor="text1"/>
          <w:lang w:val="zh-CN"/>
          <w14:textFill>
            <w14:solidFill>
              <w14:schemeClr w14:val="tx1"/>
            </w14:solidFill>
          </w14:textFill>
        </w:rPr>
        <w:t>声环境影响评价工作等级为三级、</w:t>
      </w:r>
      <w:r>
        <w:rPr>
          <w:rFonts w:eastAsia="华文楷体"/>
          <w:color w:val="000000" w:themeColor="text1"/>
          <w14:textFill>
            <w14:solidFill>
              <w14:schemeClr w14:val="tx1"/>
            </w14:solidFill>
          </w14:textFill>
        </w:rPr>
        <w:t>大气环境影响评价工作等级为</w:t>
      </w:r>
      <w:r>
        <w:rPr>
          <w:rFonts w:hint="eastAsia" w:eastAsia="华文楷体"/>
          <w:color w:val="000000" w:themeColor="text1"/>
          <w14:textFill>
            <w14:solidFill>
              <w14:schemeClr w14:val="tx1"/>
            </w14:solidFill>
          </w14:textFill>
        </w:rPr>
        <w:t>三级</w:t>
      </w:r>
      <w:r>
        <w:rPr>
          <w:rFonts w:eastAsia="华文楷体"/>
          <w:color w:val="000000" w:themeColor="text1"/>
          <w14:textFill>
            <w14:solidFill>
              <w14:schemeClr w14:val="tx1"/>
            </w14:solidFill>
          </w14:textFill>
        </w:rPr>
        <w:t>、环境风险评价工作等级为</w:t>
      </w:r>
      <w:r>
        <w:rPr>
          <w:rFonts w:hint="eastAsia" w:eastAsia="华文楷体"/>
          <w:color w:val="000000" w:themeColor="text1"/>
          <w:lang w:val="zh-CN"/>
          <w14:textFill>
            <w14:solidFill>
              <w14:schemeClr w14:val="tx1"/>
            </w14:solidFill>
          </w14:textFill>
        </w:rPr>
        <w:t>三级</w:t>
      </w:r>
      <w:r>
        <w:rPr>
          <w:rFonts w:eastAsia="华文楷体"/>
          <w:color w:val="000000" w:themeColor="text1"/>
          <w14:textFill>
            <w14:solidFill>
              <w14:schemeClr w14:val="tx1"/>
            </w14:solidFill>
          </w14:textFill>
        </w:rPr>
        <w:t>、不开展地下水和土壤环境影响评价；根据《海洋工程环境影响评价技术导则》（GB/T19485-2014）的具体要求，并结合拟建项目工程分析成果，判定本项目海洋环境要素评价等级如下：</w:t>
      </w:r>
      <w:r>
        <w:rPr>
          <w:rFonts w:hint="eastAsia" w:eastAsia="华文楷体"/>
          <w:color w:val="000000" w:themeColor="text1"/>
          <w14:textFill>
            <w14:solidFill>
              <w14:schemeClr w14:val="tx1"/>
            </w14:solidFill>
          </w14:textFill>
        </w:rPr>
        <w:t>水文动力环境评价工作等级为1级、水质环境评价工作等级为1级、沉积物环境评价工作等级为2级、生态和生物资源环境评价工作等级为1级、</w:t>
      </w:r>
      <w:r>
        <w:rPr>
          <w:rFonts w:eastAsia="华文楷体"/>
          <w:color w:val="000000" w:themeColor="text1"/>
          <w14:textFill>
            <w14:solidFill>
              <w14:schemeClr w14:val="tx1"/>
            </w14:solidFill>
          </w14:textFill>
        </w:rPr>
        <w:t>海洋地形地貌与冲淤环境评价工作等级为3级。</w:t>
      </w:r>
    </w:p>
    <w:p>
      <w:pPr>
        <w:spacing w:line="440" w:lineRule="exact"/>
        <w:ind w:firstLine="462" w:firstLineChars="200"/>
        <w:rPr>
          <w:rFonts w:eastAsia="华文楷体"/>
          <w:color w:val="000000" w:themeColor="text1"/>
          <w14:textFill>
            <w14:solidFill>
              <w14:schemeClr w14:val="tx1"/>
            </w14:solidFill>
          </w14:textFill>
        </w:rPr>
      </w:pPr>
      <w:r>
        <w:rPr>
          <w:rFonts w:eastAsia="华文楷体"/>
          <w:color w:val="000000" w:themeColor="text1"/>
          <w14:textFill>
            <w14:solidFill>
              <w14:schemeClr w14:val="tx1"/>
            </w14:solidFill>
          </w14:textFill>
        </w:rPr>
        <w:t>（2）项目与产业政策相符性分析</w:t>
      </w:r>
    </w:p>
    <w:p>
      <w:pPr>
        <w:spacing w:line="440" w:lineRule="exact"/>
        <w:ind w:firstLine="462" w:firstLineChars="200"/>
        <w:rPr>
          <w:rFonts w:eastAsia="华文楷体"/>
          <w:color w:val="000000" w:themeColor="text1"/>
          <w14:textFill>
            <w14:solidFill>
              <w14:schemeClr w14:val="tx1"/>
            </w14:solidFill>
          </w14:textFill>
        </w:rPr>
      </w:pPr>
      <w:r>
        <w:rPr>
          <w:rFonts w:eastAsia="华文楷体"/>
          <w:color w:val="000000" w:themeColor="text1"/>
          <w14:textFill>
            <w14:solidFill>
              <w14:schemeClr w14:val="tx1"/>
            </w14:solidFill>
          </w14:textFill>
        </w:rPr>
        <w:t>本工程为沿海万吨级以上深水泊位建设，</w:t>
      </w:r>
      <w:r>
        <w:rPr>
          <w:rFonts w:hint="eastAsia" w:eastAsia="华文楷体"/>
          <w:color w:val="000000" w:themeColor="text1"/>
          <w14:textFill>
            <w14:solidFill>
              <w14:schemeClr w14:val="tx1"/>
            </w14:solidFill>
          </w14:textFill>
        </w:rPr>
        <w:t>为</w:t>
      </w:r>
      <w:r>
        <w:rPr>
          <w:rFonts w:eastAsia="华文楷体"/>
          <w:color w:val="000000" w:themeColor="text1"/>
          <w14:textFill>
            <w14:solidFill>
              <w14:schemeClr w14:val="tx1"/>
            </w14:solidFill>
          </w14:textFill>
        </w:rPr>
        <w:t>自动化集装箱泊位。根据《产业结构调整指导目录（</w:t>
      </w:r>
      <w:r>
        <w:rPr>
          <w:rFonts w:hint="eastAsia" w:eastAsia="华文楷体"/>
          <w:color w:val="000000" w:themeColor="text1"/>
          <w14:textFill>
            <w14:solidFill>
              <w14:schemeClr w14:val="tx1"/>
            </w14:solidFill>
          </w14:textFill>
        </w:rPr>
        <w:t>2024年本</w:t>
      </w:r>
      <w:r>
        <w:rPr>
          <w:rFonts w:eastAsia="华文楷体"/>
          <w:color w:val="000000" w:themeColor="text1"/>
          <w14:textFill>
            <w14:solidFill>
              <w14:schemeClr w14:val="tx1"/>
            </w14:solidFill>
          </w14:textFill>
        </w:rPr>
        <w:t>）》，本工程属于鼓励类项目中“第二十五条，水运”分类中“</w:t>
      </w:r>
      <w:r>
        <w:rPr>
          <w:rFonts w:hint="eastAsia" w:eastAsia="华文楷体"/>
          <w:color w:val="000000" w:themeColor="text1"/>
          <w14:textFill>
            <w14:solidFill>
              <w14:schemeClr w14:val="tx1"/>
            </w14:solidFill>
          </w14:textFill>
        </w:rPr>
        <w:t>2</w:t>
      </w:r>
      <w:r>
        <w:rPr>
          <w:rFonts w:eastAsia="华文楷体"/>
          <w:color w:val="000000" w:themeColor="text1"/>
          <w14:textFill>
            <w14:solidFill>
              <w14:schemeClr w14:val="tx1"/>
            </w14:solidFill>
          </w14:textFill>
        </w:rPr>
        <w:t xml:space="preserve">. </w:t>
      </w:r>
      <w:r>
        <w:rPr>
          <w:rFonts w:hint="eastAsia" w:eastAsia="华文楷体"/>
          <w:color w:val="000000" w:themeColor="text1"/>
          <w14:textFill>
            <w14:solidFill>
              <w14:schemeClr w14:val="tx1"/>
            </w14:solidFill>
          </w14:textFill>
        </w:rPr>
        <w:t>码头泊位</w:t>
      </w:r>
      <w:r>
        <w:rPr>
          <w:rFonts w:eastAsia="华文楷体"/>
          <w:color w:val="000000" w:themeColor="text1"/>
          <w14:textFill>
            <w14:solidFill>
              <w14:schemeClr w14:val="tx1"/>
            </w14:solidFill>
          </w14:textFill>
        </w:rPr>
        <w:t>建设”。</w:t>
      </w:r>
      <w:r>
        <w:rPr>
          <w:rFonts w:hint="eastAsia" w:eastAsia="华文楷体"/>
          <w:color w:val="000000" w:themeColor="text1"/>
          <w14:textFill>
            <w14:solidFill>
              <w14:schemeClr w14:val="tx1"/>
            </w14:solidFill>
          </w14:textFill>
        </w:rPr>
        <w:t>本工程建设期和运营期将分别针对各类污染源采取了有针对性的防范措施，能够做到达标排放，符合国家相关的环境保护政策。</w:t>
      </w:r>
    </w:p>
    <w:p>
      <w:pPr>
        <w:spacing w:line="440" w:lineRule="exact"/>
        <w:ind w:firstLine="462" w:firstLineChars="200"/>
        <w:rPr>
          <w:rFonts w:eastAsia="华文楷体"/>
          <w:color w:val="000000" w:themeColor="text1"/>
          <w14:textFill>
            <w14:solidFill>
              <w14:schemeClr w14:val="tx1"/>
            </w14:solidFill>
          </w14:textFill>
        </w:rPr>
      </w:pPr>
      <w:r>
        <w:rPr>
          <w:rFonts w:eastAsia="华文楷体"/>
          <w:color w:val="000000" w:themeColor="text1"/>
          <w14:textFill>
            <w14:solidFill>
              <w14:schemeClr w14:val="tx1"/>
            </w14:solidFill>
          </w14:textFill>
        </w:rPr>
        <w:t>（3）项目与规划相符性分析</w:t>
      </w:r>
    </w:p>
    <w:p>
      <w:pPr>
        <w:spacing w:line="440" w:lineRule="exact"/>
        <w:ind w:firstLine="462" w:firstLineChars="200"/>
        <w:rPr>
          <w:rFonts w:eastAsia="华文楷体"/>
          <w:color w:val="000000" w:themeColor="text1"/>
          <w14:textFill>
            <w14:solidFill>
              <w14:schemeClr w14:val="tx1"/>
            </w14:solidFill>
          </w14:textFill>
        </w:rPr>
      </w:pPr>
      <w:r>
        <w:rPr>
          <w:rFonts w:eastAsia="华文楷体"/>
          <w:color w:val="000000" w:themeColor="text1"/>
          <w14:textFill>
            <w14:solidFill>
              <w14:schemeClr w14:val="tx1"/>
            </w14:solidFill>
          </w14:textFill>
        </w:rPr>
        <w:t>本工程位于《</w:t>
      </w:r>
      <w:r>
        <w:rPr>
          <w:rFonts w:hint="eastAsia" w:eastAsia="华文楷体"/>
          <w:color w:val="000000" w:themeColor="text1"/>
          <w14:textFill>
            <w14:solidFill>
              <w14:schemeClr w14:val="tx1"/>
            </w14:solidFill>
          </w14:textFill>
        </w:rPr>
        <w:t>钦州市</w:t>
      </w:r>
      <w:r>
        <w:rPr>
          <w:rFonts w:eastAsia="华文楷体"/>
          <w:color w:val="000000" w:themeColor="text1"/>
          <w14:textFill>
            <w14:solidFill>
              <w14:schemeClr w14:val="tx1"/>
            </w14:solidFill>
          </w14:textFill>
        </w:rPr>
        <w:t>国土空间总体规划（</w:t>
      </w:r>
      <w:r>
        <w:rPr>
          <w:rFonts w:hint="eastAsia" w:eastAsia="华文楷体"/>
          <w:color w:val="000000" w:themeColor="text1"/>
          <w14:textFill>
            <w14:solidFill>
              <w14:schemeClr w14:val="tx1"/>
            </w14:solidFill>
          </w14:textFill>
        </w:rPr>
        <w:t>2021—2035年</w:t>
      </w:r>
      <w:r>
        <w:rPr>
          <w:rFonts w:eastAsia="华文楷体"/>
          <w:color w:val="000000" w:themeColor="text1"/>
          <w14:textFill>
            <w14:solidFill>
              <w14:schemeClr w14:val="tx1"/>
            </w14:solidFill>
          </w14:textFill>
        </w:rPr>
        <w:t>）》市域海洋功能分区中划定的</w:t>
      </w:r>
      <w:r>
        <w:rPr>
          <w:rFonts w:hint="eastAsia" w:eastAsia="华文楷体"/>
          <w:color w:val="000000" w:themeColor="text1"/>
          <w14:textFill>
            <w14:solidFill>
              <w14:schemeClr w14:val="tx1"/>
            </w14:solidFill>
          </w14:textFill>
        </w:rPr>
        <w:t>钦州港交通运输用海区</w:t>
      </w:r>
      <w:r>
        <w:rPr>
          <w:rFonts w:eastAsia="华文楷体"/>
          <w:color w:val="000000" w:themeColor="text1"/>
          <w14:textFill>
            <w14:solidFill>
              <w14:schemeClr w14:val="tx1"/>
            </w14:solidFill>
          </w14:textFill>
        </w:rPr>
        <w:t>，主要用于近岸港口陆域、码头、港池等航运设施建设</w:t>
      </w:r>
      <w:r>
        <w:rPr>
          <w:rFonts w:hint="eastAsia" w:eastAsia="华文楷体"/>
          <w:color w:val="000000" w:themeColor="text1"/>
          <w14:textFill>
            <w14:solidFill>
              <w14:schemeClr w14:val="tx1"/>
            </w14:solidFill>
          </w14:textFill>
        </w:rPr>
        <w:t>，重点保障平陆运河、金鼓江、大榄坪等发展需求</w:t>
      </w:r>
      <w:r>
        <w:rPr>
          <w:rFonts w:eastAsia="华文楷体"/>
          <w:color w:val="000000" w:themeColor="text1"/>
          <w14:textFill>
            <w14:solidFill>
              <w14:schemeClr w14:val="tx1"/>
            </w14:solidFill>
          </w14:textFill>
        </w:rPr>
        <w:t>。本项目为码头工程，用海类型为交通运输用海，位于大榄坪港区大榄坪南作业区，用海性质与</w:t>
      </w:r>
      <w:r>
        <w:rPr>
          <w:rFonts w:hint="eastAsia" w:eastAsia="华文楷体"/>
          <w:color w:val="000000" w:themeColor="text1"/>
          <w14:textFill>
            <w14:solidFill>
              <w14:schemeClr w14:val="tx1"/>
            </w14:solidFill>
          </w14:textFill>
        </w:rPr>
        <w:t>钦州港交通运输用海区</w:t>
      </w:r>
      <w:r>
        <w:rPr>
          <w:rFonts w:eastAsia="华文楷体"/>
          <w:color w:val="000000" w:themeColor="text1"/>
          <w14:textFill>
            <w14:solidFill>
              <w14:schemeClr w14:val="tx1"/>
            </w14:solidFill>
          </w14:textFill>
        </w:rPr>
        <w:t>的功能类型及用海方式控制相符。</w:t>
      </w:r>
    </w:p>
    <w:p>
      <w:pPr>
        <w:spacing w:line="440" w:lineRule="exact"/>
        <w:ind w:firstLine="462" w:firstLineChars="200"/>
        <w:rPr>
          <w:rFonts w:eastAsia="华文楷体"/>
          <w:color w:val="000000" w:themeColor="text1"/>
          <w14:textFill>
            <w14:solidFill>
              <w14:schemeClr w14:val="tx1"/>
            </w14:solidFill>
          </w14:textFill>
        </w:rPr>
      </w:pPr>
      <w:r>
        <w:rPr>
          <w:rFonts w:hint="eastAsia" w:eastAsia="华文楷体"/>
          <w:color w:val="000000" w:themeColor="text1"/>
          <w14:textFill>
            <w14:solidFill>
              <w14:schemeClr w14:val="tx1"/>
            </w14:solidFill>
          </w14:textFill>
        </w:rPr>
        <w:t>根据《广西壮族自治区生态环境厅关于印发广西壮族自治区近岸海域环境功能区划调整方案的通知》（桂环发〔2023〕9号），本工程位于钦州港大榄坪港口工业区（GX055DⅣ）和钦州港大榄坪排污混合区（GX057DⅣ）。钦州港大榄坪港口工业区（GX055DⅣ）主导功能为港口、工业用海，属四类环境功能区，水质保护目标为海水水质标准第四类；钦州港大榄坪排污混合区（GX057DⅣ）主导功能为港口、工业、生活排污用海，属四类环境功能区，水质保护目标为海水水质标准第四类；两个功能区周围均设置0.5km水质过渡带，水质保护目标为海水水质标准第三类</w:t>
      </w:r>
      <w:r>
        <w:rPr>
          <w:rFonts w:eastAsia="华文楷体"/>
          <w:color w:val="000000" w:themeColor="text1"/>
          <w14:textFill>
            <w14:solidFill>
              <w14:schemeClr w14:val="tx1"/>
            </w14:solidFill>
          </w14:textFill>
        </w:rPr>
        <w:t>。</w:t>
      </w:r>
      <w:r>
        <w:rPr>
          <w:rFonts w:hint="eastAsia" w:eastAsia="华文楷体"/>
          <w:color w:val="000000" w:themeColor="text1"/>
          <w14:textFill>
            <w14:solidFill>
              <w14:schemeClr w14:val="tx1"/>
            </w14:solidFill>
          </w14:textFill>
        </w:rPr>
        <w:t>本工程建设可能造成排污口区域局部污染物排向及扩散速率变化，但不影响排污口污染物正常排放；本项目填海区域陆域纵深仅</w:t>
      </w:r>
      <w:r>
        <w:rPr>
          <w:rFonts w:eastAsia="华文楷体"/>
          <w:color w:val="000000" w:themeColor="text1"/>
          <w14:textFill>
            <w14:solidFill>
              <w14:schemeClr w14:val="tx1"/>
            </w14:solidFill>
          </w14:textFill>
        </w:rPr>
        <w:t>862.9m，项目建设造成的水文动力和冲淤环境变化不大，排污口污染物扩散超过本项目码头前沿后，</w:t>
      </w:r>
      <w:r>
        <w:rPr>
          <w:rFonts w:hint="eastAsia" w:eastAsia="华文楷体"/>
          <w:color w:val="000000" w:themeColor="text1"/>
          <w14:textFill>
            <w14:solidFill>
              <w14:schemeClr w14:val="tx1"/>
            </w14:solidFill>
          </w14:textFill>
        </w:rPr>
        <w:t>其扩散条件</w:t>
      </w:r>
      <w:r>
        <w:rPr>
          <w:rFonts w:eastAsia="华文楷体"/>
          <w:color w:val="000000" w:themeColor="text1"/>
          <w14:textFill>
            <w14:solidFill>
              <w14:schemeClr w14:val="tx1"/>
            </w14:solidFill>
          </w14:textFill>
        </w:rPr>
        <w:t>与本项目建设前基本一致，项目建设对</w:t>
      </w:r>
      <w:r>
        <w:rPr>
          <w:rFonts w:hint="eastAsia" w:eastAsia="华文楷体"/>
          <w:color w:val="000000" w:themeColor="text1"/>
          <w14:textFill>
            <w14:solidFill>
              <w14:schemeClr w14:val="tx1"/>
            </w14:solidFill>
          </w14:textFill>
        </w:rPr>
        <w:t>钦州港大榄坪排污混合区（GX057DⅣ）污染物排放影响较小。</w:t>
      </w:r>
    </w:p>
    <w:p>
      <w:pPr>
        <w:spacing w:line="440" w:lineRule="exact"/>
        <w:ind w:firstLine="462" w:firstLineChars="200"/>
        <w:rPr>
          <w:rFonts w:eastAsia="华文楷体"/>
          <w:color w:val="000000" w:themeColor="text1"/>
          <w14:textFill>
            <w14:solidFill>
              <w14:schemeClr w14:val="tx1"/>
            </w14:solidFill>
          </w14:textFill>
        </w:rPr>
      </w:pPr>
      <w:r>
        <w:rPr>
          <w:rFonts w:eastAsia="华文楷体"/>
          <w:color w:val="000000" w:themeColor="text1"/>
          <w14:textFill>
            <w14:solidFill>
              <w14:schemeClr w14:val="tx1"/>
            </w14:solidFill>
          </w14:textFill>
        </w:rPr>
        <w:t>（4）项目选址合理性分析</w:t>
      </w:r>
    </w:p>
    <w:p>
      <w:pPr>
        <w:spacing w:line="440" w:lineRule="exact"/>
        <w:ind w:firstLine="462" w:firstLineChars="200"/>
        <w:rPr>
          <w:rFonts w:eastAsia="华文楷体"/>
          <w:color w:val="000000" w:themeColor="text1"/>
          <w14:textFill>
            <w14:solidFill>
              <w14:schemeClr w14:val="tx1"/>
            </w14:solidFill>
          </w14:textFill>
        </w:rPr>
      </w:pPr>
      <w:r>
        <w:rPr>
          <w:rFonts w:eastAsia="华文楷体"/>
          <w:color w:val="000000" w:themeColor="text1"/>
          <w14:textFill>
            <w14:solidFill>
              <w14:schemeClr w14:val="tx1"/>
            </w14:solidFill>
          </w14:textFill>
        </w:rPr>
        <w:t>本项目选址位于《北部湾港总体规划（</w:t>
      </w:r>
      <w:r>
        <w:rPr>
          <w:rFonts w:hint="eastAsia" w:eastAsia="华文楷体"/>
          <w:color w:val="000000" w:themeColor="text1"/>
          <w14:textFill>
            <w14:solidFill>
              <w14:schemeClr w14:val="tx1"/>
            </w14:solidFill>
          </w14:textFill>
        </w:rPr>
        <w:t>2035年</w:t>
      </w:r>
      <w:r>
        <w:rPr>
          <w:rFonts w:eastAsia="华文楷体"/>
          <w:color w:val="000000" w:themeColor="text1"/>
          <w14:textFill>
            <w14:solidFill>
              <w14:schemeClr w14:val="tx1"/>
            </w14:solidFill>
          </w14:textFill>
        </w:rPr>
        <w:t>）》中的</w:t>
      </w:r>
      <w:r>
        <w:rPr>
          <w:rFonts w:hint="eastAsia" w:eastAsia="华文楷体"/>
          <w:color w:val="000000" w:themeColor="text1"/>
          <w14:textFill>
            <w14:solidFill>
              <w14:schemeClr w14:val="tx1"/>
            </w14:solidFill>
          </w14:textFill>
        </w:rPr>
        <w:t>大榄坪</w:t>
      </w:r>
      <w:r>
        <w:rPr>
          <w:rFonts w:eastAsia="华文楷体"/>
          <w:color w:val="000000" w:themeColor="text1"/>
          <w14:textFill>
            <w14:solidFill>
              <w14:schemeClr w14:val="tx1"/>
            </w14:solidFill>
          </w14:textFill>
        </w:rPr>
        <w:t>南作业区</w:t>
      </w:r>
      <w:r>
        <w:rPr>
          <w:rFonts w:hint="eastAsia" w:eastAsia="华文楷体"/>
          <w:color w:val="000000" w:themeColor="text1"/>
          <w14:textFill>
            <w14:solidFill>
              <w14:schemeClr w14:val="tx1"/>
            </w14:solidFill>
          </w14:textFill>
        </w:rPr>
        <w:t>，为</w:t>
      </w:r>
      <w:r>
        <w:rPr>
          <w:rFonts w:eastAsia="华文楷体"/>
          <w:color w:val="000000" w:themeColor="text1"/>
          <w14:textFill>
            <w14:solidFill>
              <w14:schemeClr w14:val="tx1"/>
            </w14:solidFill>
          </w14:textFill>
        </w:rPr>
        <w:t>规划集装箱泊位区</w:t>
      </w:r>
      <w:r>
        <w:rPr>
          <w:rFonts w:hint="eastAsia" w:eastAsia="华文楷体"/>
          <w:color w:val="000000" w:themeColor="text1"/>
          <w14:textFill>
            <w14:solidFill>
              <w14:schemeClr w14:val="tx1"/>
            </w14:solidFill>
          </w14:textFill>
        </w:rPr>
        <w:t>，</w:t>
      </w:r>
      <w:r>
        <w:rPr>
          <w:rFonts w:eastAsia="华文楷体"/>
          <w:color w:val="000000" w:themeColor="text1"/>
          <w14:textFill>
            <w14:solidFill>
              <w14:schemeClr w14:val="tx1"/>
            </w14:solidFill>
          </w14:textFill>
        </w:rPr>
        <w:t>项目泊位等级、码头用途均与《钦州港总体规划（2035年）</w:t>
      </w:r>
      <w:r>
        <w:rPr>
          <w:rFonts w:hint="eastAsia" w:eastAsia="华文楷体"/>
          <w:color w:val="000000" w:themeColor="text1"/>
          <w:lang w:eastAsia="zh-CN"/>
          <w14:textFill>
            <w14:solidFill>
              <w14:schemeClr w14:val="tx1"/>
            </w14:solidFill>
          </w14:textFill>
        </w:rPr>
        <w:t>》《</w:t>
      </w:r>
      <w:r>
        <w:rPr>
          <w:rFonts w:eastAsia="华文楷体"/>
          <w:color w:val="000000" w:themeColor="text1"/>
          <w14:textFill>
            <w14:solidFill>
              <w14:schemeClr w14:val="tx1"/>
            </w14:solidFill>
          </w14:textFill>
        </w:rPr>
        <w:t>北部湾港总体规划（</w:t>
      </w:r>
      <w:r>
        <w:rPr>
          <w:rFonts w:hint="eastAsia" w:eastAsia="华文楷体"/>
          <w:color w:val="000000" w:themeColor="text1"/>
          <w14:textFill>
            <w14:solidFill>
              <w14:schemeClr w14:val="tx1"/>
            </w14:solidFill>
          </w14:textFill>
        </w:rPr>
        <w:t>2035年</w:t>
      </w:r>
      <w:r>
        <w:rPr>
          <w:rFonts w:eastAsia="华文楷体"/>
          <w:color w:val="000000" w:themeColor="text1"/>
          <w14:textFill>
            <w14:solidFill>
              <w14:schemeClr w14:val="tx1"/>
            </w14:solidFill>
          </w14:textFill>
        </w:rPr>
        <w:t>）》及其规划环评审查意见</w:t>
      </w:r>
      <w:r>
        <w:rPr>
          <w:rFonts w:eastAsia="华文楷体"/>
          <w:bCs/>
          <w:color w:val="000000" w:themeColor="text1"/>
          <w14:textFill>
            <w14:solidFill>
              <w14:schemeClr w14:val="tx1"/>
            </w14:solidFill>
          </w14:textFill>
        </w:rPr>
        <w:t>相符，选址合理。</w:t>
      </w:r>
    </w:p>
    <w:p>
      <w:pPr>
        <w:spacing w:line="440" w:lineRule="exact"/>
        <w:ind w:firstLine="462" w:firstLineChars="200"/>
        <w:rPr>
          <w:rFonts w:eastAsia="华文楷体"/>
          <w:color w:val="000000" w:themeColor="text1"/>
          <w14:textFill>
            <w14:solidFill>
              <w14:schemeClr w14:val="tx1"/>
            </w14:solidFill>
          </w14:textFill>
        </w:rPr>
      </w:pPr>
      <w:r>
        <w:rPr>
          <w:rFonts w:eastAsia="华文楷体"/>
          <w:color w:val="000000" w:themeColor="text1"/>
          <w14:textFill>
            <w14:solidFill>
              <w14:schemeClr w14:val="tx1"/>
            </w14:solidFill>
          </w14:textFill>
        </w:rPr>
        <w:t>（5）项目与</w:t>
      </w:r>
      <w:r>
        <w:rPr>
          <w:rFonts w:hint="eastAsia" w:eastAsia="华文楷体"/>
          <w:color w:val="000000" w:themeColor="text1"/>
          <w14:textFill>
            <w14:solidFill>
              <w14:schemeClr w14:val="tx1"/>
            </w14:solidFill>
          </w14:textFill>
        </w:rPr>
        <w:t>“</w:t>
      </w:r>
      <w:r>
        <w:rPr>
          <w:rFonts w:hint="eastAsia" w:ascii="华文楷体" w:hAnsi="华文楷体" w:eastAsia="华文楷体"/>
          <w:color w:val="000000" w:themeColor="text1"/>
          <w:lang w:val="zh-CN"/>
          <w14:textFill>
            <w14:solidFill>
              <w14:schemeClr w14:val="tx1"/>
            </w14:solidFill>
          </w14:textFill>
        </w:rPr>
        <w:t>三区三线”“三线一单”</w:t>
      </w:r>
      <w:r>
        <w:rPr>
          <w:rFonts w:eastAsia="华文楷体"/>
          <w:color w:val="000000" w:themeColor="text1"/>
          <w14:textFill>
            <w14:solidFill>
              <w14:schemeClr w14:val="tx1"/>
            </w14:solidFill>
          </w14:textFill>
        </w:rPr>
        <w:t>要求相符性分析</w:t>
      </w:r>
    </w:p>
    <w:p>
      <w:pPr>
        <w:spacing w:line="440" w:lineRule="exact"/>
        <w:ind w:firstLine="462" w:firstLineChars="200"/>
        <w:rPr>
          <w:rFonts w:eastAsia="华文楷体"/>
          <w:color w:val="000000" w:themeColor="text1"/>
          <w14:textFill>
            <w14:solidFill>
              <w14:schemeClr w14:val="tx1"/>
            </w14:solidFill>
          </w14:textFill>
        </w:rPr>
      </w:pPr>
      <w:r>
        <w:rPr>
          <w:rFonts w:eastAsia="华文楷体"/>
          <w:color w:val="000000" w:themeColor="text1"/>
          <w:lang w:val="zh-CN"/>
          <w14:textFill>
            <w14:solidFill>
              <w14:schemeClr w14:val="tx1"/>
            </w14:solidFill>
          </w14:textFill>
        </w:rPr>
        <w:t>项目不涉及占用</w:t>
      </w:r>
      <w:r>
        <w:rPr>
          <w:rFonts w:hint="eastAsia" w:eastAsia="华文楷体"/>
          <w:color w:val="000000" w:themeColor="text1"/>
          <w:lang w:val="zh-CN"/>
          <w14:textFill>
            <w14:solidFill>
              <w14:schemeClr w14:val="tx1"/>
            </w14:solidFill>
          </w14:textFill>
        </w:rPr>
        <w:t>《钦州市国土空间总体规划（2021—2035年）》</w:t>
      </w:r>
      <w:r>
        <w:rPr>
          <w:rFonts w:eastAsia="华文楷体"/>
          <w:color w:val="000000" w:themeColor="text1"/>
          <w:lang w:val="zh-CN"/>
          <w14:textFill>
            <w14:solidFill>
              <w14:schemeClr w14:val="tx1"/>
            </w14:solidFill>
          </w14:textFill>
        </w:rPr>
        <w:t>中的禁止或限制类红线区。</w:t>
      </w:r>
      <w:r>
        <w:rPr>
          <w:rFonts w:hint="eastAsia" w:ascii="华文楷体" w:hAnsi="华文楷体" w:eastAsia="华文楷体"/>
          <w:color w:val="000000" w:themeColor="text1"/>
          <w:lang w:val="zh-CN"/>
          <w14:textFill>
            <w14:solidFill>
              <w14:schemeClr w14:val="tx1"/>
            </w14:solidFill>
          </w14:textFill>
        </w:rPr>
        <w:t>项目位于《钦州市人民政府关于印发钦州市“三线一单”生态环境分区管控实施意见的通知》（钦政发〔2021〕13号）重点管控单元内，符合实施意见中生态环境准入及管控要求清单要求。根据《钦州市自然资源局关于钦州港大榄坪港区大榄坪南作业区9号10号泊位扩建工程是否符合钦州市国土空间总体规划的意见》（钦市自然资函〔2024〕383号），本项目不占用基本农田、生态保护红线，项目位于《钦州市国土空间总体规划（2021—2035年）》中划定的城镇开发边界，项目已纳入《钦州市国土空间总体规划2021—2035年》重点项目建设安排表。综上，项目符合“三区三线”“三线一单”管控要求</w:t>
      </w:r>
      <w:r>
        <w:rPr>
          <w:rFonts w:eastAsia="华文楷体"/>
          <w:color w:val="000000" w:themeColor="text1"/>
          <w:lang w:val="zh-CN"/>
          <w14:textFill>
            <w14:solidFill>
              <w14:schemeClr w14:val="tx1"/>
            </w14:solidFill>
          </w14:textFill>
        </w:rPr>
        <w:t>。</w:t>
      </w:r>
    </w:p>
    <w:p>
      <w:pPr>
        <w:spacing w:line="440" w:lineRule="exact"/>
        <w:rPr>
          <w:rFonts w:eastAsia="华文楷体"/>
          <w:b/>
          <w:color w:val="000000" w:themeColor="text1"/>
          <w14:textFill>
            <w14:solidFill>
              <w14:schemeClr w14:val="tx1"/>
            </w14:solidFill>
          </w14:textFill>
        </w:rPr>
      </w:pPr>
      <w:r>
        <w:rPr>
          <w:rFonts w:eastAsia="华文楷体"/>
          <w:b/>
          <w:color w:val="000000" w:themeColor="text1"/>
          <w14:textFill>
            <w14:solidFill>
              <w14:schemeClr w14:val="tx1"/>
            </w14:solidFill>
          </w14:textFill>
        </w:rPr>
        <w:t>五、关注的主要环境问题及环境影响</w:t>
      </w:r>
    </w:p>
    <w:p>
      <w:pPr>
        <w:spacing w:line="440" w:lineRule="exact"/>
        <w:ind w:firstLine="462" w:firstLineChars="200"/>
        <w:rPr>
          <w:rFonts w:eastAsia="华文楷体"/>
          <w:color w:val="000000" w:themeColor="text1"/>
          <w14:textFill>
            <w14:solidFill>
              <w14:schemeClr w14:val="tx1"/>
            </w14:solidFill>
          </w14:textFill>
        </w:rPr>
      </w:pPr>
      <w:r>
        <w:rPr>
          <w:rFonts w:eastAsia="华文楷体"/>
          <w:color w:val="000000" w:themeColor="text1"/>
          <w14:textFill>
            <w14:solidFill>
              <w14:schemeClr w14:val="tx1"/>
            </w14:solidFill>
          </w14:textFill>
        </w:rPr>
        <w:t>本工程主要环境问题为</w:t>
      </w:r>
      <w:r>
        <w:rPr>
          <w:rFonts w:hint="eastAsia" w:eastAsia="华文楷体"/>
          <w:color w:val="000000" w:themeColor="text1"/>
          <w14:textFill>
            <w14:solidFill>
              <w14:schemeClr w14:val="tx1"/>
            </w14:solidFill>
          </w14:textFill>
        </w:rPr>
        <w:t>施工期疏浚、炸礁等施工行为造成水环境质量下降和水生生物影响，各类施工机械、船舶噪声影响等</w:t>
      </w:r>
      <w:r>
        <w:rPr>
          <w:rFonts w:eastAsia="华文楷体"/>
          <w:color w:val="000000" w:themeColor="text1"/>
          <w14:textFill>
            <w14:solidFill>
              <w14:schemeClr w14:val="tx1"/>
            </w14:solidFill>
          </w14:textFill>
        </w:rPr>
        <w:t>；运营期存在</w:t>
      </w:r>
      <w:r>
        <w:rPr>
          <w:rFonts w:hint="eastAsia" w:eastAsia="华文楷体"/>
          <w:color w:val="000000" w:themeColor="text1"/>
          <w14:textFill>
            <w14:solidFill>
              <w14:schemeClr w14:val="tx1"/>
            </w14:solidFill>
          </w14:textFill>
        </w:rPr>
        <w:t>港区</w:t>
      </w:r>
      <w:r>
        <w:rPr>
          <w:rFonts w:eastAsia="华文楷体"/>
          <w:color w:val="000000" w:themeColor="text1"/>
          <w14:textFill>
            <w14:solidFill>
              <w14:schemeClr w14:val="tx1"/>
            </w14:solidFill>
          </w14:textFill>
        </w:rPr>
        <w:t>生活污水</w:t>
      </w:r>
      <w:r>
        <w:rPr>
          <w:rFonts w:hint="eastAsia" w:eastAsia="华文楷体"/>
          <w:color w:val="000000" w:themeColor="text1"/>
          <w14:textFill>
            <w14:solidFill>
              <w14:schemeClr w14:val="tx1"/>
            </w14:solidFill>
          </w14:textFill>
        </w:rPr>
        <w:t>、集装箱半挂车、集装箱牵引车等</w:t>
      </w:r>
      <w:r>
        <w:rPr>
          <w:rFonts w:eastAsia="华文楷体"/>
          <w:color w:val="000000" w:themeColor="text1"/>
          <w14:textFill>
            <w14:solidFill>
              <w14:schemeClr w14:val="tx1"/>
            </w14:solidFill>
          </w14:textFill>
        </w:rPr>
        <w:t>运输车辆产生的扬尘及废气</w:t>
      </w:r>
      <w:r>
        <w:rPr>
          <w:rFonts w:hint="eastAsia" w:eastAsia="华文楷体"/>
          <w:color w:val="000000" w:themeColor="text1"/>
          <w14:textFill>
            <w14:solidFill>
              <w14:schemeClr w14:val="tx1"/>
            </w14:solidFill>
          </w14:textFill>
        </w:rPr>
        <w:t>、港区生活垃圾、</w:t>
      </w:r>
      <w:r>
        <w:rPr>
          <w:rFonts w:eastAsia="华文楷体"/>
          <w:color w:val="000000" w:themeColor="text1"/>
          <w14:textFill>
            <w14:solidFill>
              <w14:schemeClr w14:val="tx1"/>
            </w14:solidFill>
          </w14:textFill>
        </w:rPr>
        <w:t>机械噪声和到港船舶污水等影响，以及可能的船舶溢油对环境造成的风险影响。本报告针对项目特点，提出相应的施工降尘、降噪和水污染防治措施。</w:t>
      </w:r>
      <w:r>
        <w:rPr>
          <w:rFonts w:hint="eastAsia" w:eastAsia="华文楷体"/>
          <w:color w:val="000000" w:themeColor="text1"/>
          <w14:textFill>
            <w14:solidFill>
              <w14:schemeClr w14:val="tx1"/>
            </w14:solidFill>
          </w14:textFill>
        </w:rPr>
        <w:t>本项目工程范围内不设置住宿生活区，员工办公位于7号、8号泊位后方的办公楼，</w:t>
      </w:r>
      <w:r>
        <w:rPr>
          <w:rFonts w:eastAsia="华文楷体"/>
          <w:color w:val="000000" w:themeColor="text1"/>
          <w14:textFill>
            <w14:solidFill>
              <w14:schemeClr w14:val="tx1"/>
            </w14:solidFill>
          </w14:textFill>
        </w:rPr>
        <w:t>生活污水主要为</w:t>
      </w:r>
      <w:r>
        <w:rPr>
          <w:rFonts w:hint="eastAsia" w:eastAsia="华文楷体"/>
          <w:color w:val="000000" w:themeColor="text1"/>
          <w14:textFill>
            <w14:solidFill>
              <w14:schemeClr w14:val="tx1"/>
            </w14:solidFill>
          </w14:textFill>
        </w:rPr>
        <w:t>码头后方陆域</w:t>
      </w:r>
      <w:r>
        <w:rPr>
          <w:rFonts w:eastAsia="华文楷体"/>
          <w:color w:val="000000" w:themeColor="text1"/>
          <w14:textFill>
            <w14:solidFill>
              <w14:schemeClr w14:val="tx1"/>
            </w14:solidFill>
          </w14:textFill>
        </w:rPr>
        <w:t>内厕所，</w:t>
      </w:r>
      <w:r>
        <w:rPr>
          <w:rFonts w:hint="eastAsia" w:eastAsia="华文楷体"/>
          <w:color w:val="000000" w:themeColor="text1"/>
          <w14:textFill>
            <w14:solidFill>
              <w14:schemeClr w14:val="tx1"/>
            </w14:solidFill>
          </w14:textFill>
        </w:rPr>
        <w:t>通过生活污水处理站预处理达到《污水排入城镇下水道水质标准》（GB/T31962-2015）B级标准，经市政管网进入大榄坪污水处理厂集中处理</w:t>
      </w:r>
      <w:r>
        <w:rPr>
          <w:rFonts w:eastAsia="华文楷体"/>
          <w:color w:val="000000" w:themeColor="text1"/>
          <w14:textFill>
            <w14:solidFill>
              <w14:schemeClr w14:val="tx1"/>
            </w14:solidFill>
          </w14:textFill>
        </w:rPr>
        <w:t>，</w:t>
      </w:r>
      <w:r>
        <w:rPr>
          <w:rFonts w:hint="eastAsia" w:eastAsia="华文楷体"/>
          <w:color w:val="000000" w:themeColor="text1"/>
          <w14:textFill>
            <w14:solidFill>
              <w14:schemeClr w14:val="tx1"/>
            </w14:solidFill>
          </w14:textFill>
        </w:rPr>
        <w:t>船舶污水委托有资质单位转运等环保措施，</w:t>
      </w:r>
      <w:r>
        <w:rPr>
          <w:rFonts w:eastAsia="华文楷体"/>
          <w:color w:val="000000" w:themeColor="text1"/>
          <w14:textFill>
            <w14:solidFill>
              <w14:schemeClr w14:val="tx1"/>
            </w14:solidFill>
          </w14:textFill>
        </w:rPr>
        <w:t>加强船舶垃圾的收集等环保措施，降低码头运营环境影响。在各种环保措施落实的情况下，项目从环境保护角度可行。</w:t>
      </w:r>
    </w:p>
    <w:p>
      <w:pPr>
        <w:spacing w:line="440" w:lineRule="exact"/>
        <w:rPr>
          <w:rFonts w:eastAsia="华文楷体"/>
          <w:b/>
          <w:color w:val="000000" w:themeColor="text1"/>
          <w14:textFill>
            <w14:solidFill>
              <w14:schemeClr w14:val="tx1"/>
            </w14:solidFill>
          </w14:textFill>
        </w:rPr>
      </w:pPr>
      <w:r>
        <w:rPr>
          <w:rFonts w:eastAsia="华文楷体"/>
          <w:b/>
          <w:color w:val="000000" w:themeColor="text1"/>
          <w14:textFill>
            <w14:solidFill>
              <w14:schemeClr w14:val="tx1"/>
            </w14:solidFill>
          </w14:textFill>
        </w:rPr>
        <w:t>六、环境影响评价的主要结论</w:t>
      </w:r>
    </w:p>
    <w:p>
      <w:pPr>
        <w:ind w:firstLine="566" w:firstLineChars="245"/>
        <w:rPr>
          <w:rFonts w:eastAsia="华文楷体"/>
          <w:color w:val="000000" w:themeColor="text1"/>
          <w14:textFill>
            <w14:solidFill>
              <w14:schemeClr w14:val="tx1"/>
            </w14:solidFill>
          </w14:textFill>
        </w:rPr>
      </w:pPr>
      <w:r>
        <w:rPr>
          <w:rFonts w:eastAsia="华文楷体"/>
          <w:color w:val="000000" w:themeColor="text1"/>
          <w14:textFill>
            <w14:solidFill>
              <w14:schemeClr w14:val="tx1"/>
            </w14:solidFill>
          </w14:textFill>
        </w:rPr>
        <w:t>项目的建设未涉及无法避让的重大环境问题，在落实本环评提出的施工期和运营期污染控制措施，制定完善的应急预案后，项目建设对环境的不利影响可得到有效控制或缓解。在本评价提出的环保措施、环保投资有效落实的情况下，项目的建设和营运造成的环境影响在可接受范围内，项目从环境保护角度是可行的。</w:t>
      </w:r>
    </w:p>
    <w:p>
      <w:pPr>
        <w:ind w:firstLine="566" w:firstLineChars="245"/>
        <w:rPr>
          <w:rFonts w:eastAsia="华文楷体"/>
          <w:color w:val="000000" w:themeColor="text1"/>
          <w14:textFill>
            <w14:solidFill>
              <w14:schemeClr w14:val="tx1"/>
            </w14:solidFill>
          </w14:textFill>
        </w:rPr>
      </w:pPr>
    </w:p>
    <w:p>
      <w:pPr>
        <w:ind w:firstLine="566" w:firstLineChars="245"/>
        <w:rPr>
          <w:rFonts w:eastAsia="华文楷体"/>
          <w:color w:val="000000" w:themeColor="text1"/>
          <w14:textFill>
            <w14:solidFill>
              <w14:schemeClr w14:val="tx1"/>
            </w14:solidFill>
          </w14:textFill>
        </w:rPr>
      </w:pPr>
      <w:r>
        <w:rPr>
          <w:rFonts w:eastAsia="华文楷体"/>
          <w:color w:val="000000" w:themeColor="text1"/>
          <w14:textFill>
            <w14:solidFill>
              <w14:schemeClr w14:val="tx1"/>
            </w14:solidFill>
          </w14:textFill>
        </w:rPr>
        <w:br w:type="page"/>
      </w:r>
    </w:p>
    <w:p>
      <w:pPr>
        <w:rPr>
          <w:rFonts w:eastAsia="华文楷体"/>
          <w:color w:val="000000" w:themeColor="text1"/>
          <w14:textFill>
            <w14:solidFill>
              <w14:schemeClr w14:val="tx1"/>
            </w14:solidFill>
          </w14:textFill>
        </w:rPr>
        <w:sectPr>
          <w:headerReference r:id="rId8" w:type="default"/>
          <w:footerReference r:id="rId10" w:type="default"/>
          <w:headerReference r:id="rId9" w:type="even"/>
          <w:footerReference r:id="rId11" w:type="even"/>
          <w:pgSz w:w="11907" w:h="16840"/>
          <w:pgMar w:top="1440" w:right="1514" w:bottom="1440" w:left="1797" w:header="992" w:footer="851" w:gutter="284"/>
          <w:pgNumType w:fmt="lowerRoman" w:start="1"/>
          <w:cols w:space="425" w:num="1"/>
          <w:docGrid w:type="linesAndChars" w:linePitch="465" w:charSpace="-1866"/>
        </w:sectPr>
      </w:pPr>
    </w:p>
    <w:p>
      <w:pPr>
        <w:jc w:val="center"/>
        <w:rPr>
          <w:rFonts w:eastAsia="黑体"/>
          <w:b/>
          <w:color w:val="000000" w:themeColor="text1"/>
          <w:sz w:val="32"/>
          <w:szCs w:val="30"/>
          <w14:textFill>
            <w14:solidFill>
              <w14:schemeClr w14:val="tx1"/>
            </w14:solidFill>
          </w14:textFill>
        </w:rPr>
      </w:pPr>
      <w:r>
        <w:rPr>
          <w:rFonts w:eastAsia="黑体"/>
          <w:b/>
          <w:color w:val="000000" w:themeColor="text1"/>
          <w:sz w:val="32"/>
          <w:szCs w:val="30"/>
          <w14:textFill>
            <w14:solidFill>
              <w14:schemeClr w14:val="tx1"/>
            </w14:solidFill>
          </w14:textFill>
        </w:rPr>
        <w:t>目    录</w:t>
      </w:r>
    </w:p>
    <w:p>
      <w:pPr>
        <w:pStyle w:val="59"/>
        <w:rPr>
          <w:rFonts w:asciiTheme="minorHAnsi" w:hAnsiTheme="minorHAnsi" w:eastAsiaTheme="minorEastAsia" w:cstheme="minorBidi"/>
          <w:bCs w:val="0"/>
          <w:color w:val="000000" w:themeColor="text1"/>
          <w:sz w:val="21"/>
          <w:szCs w:val="22"/>
          <w14:textFill>
            <w14:solidFill>
              <w14:schemeClr w14:val="tx1"/>
            </w14:solidFill>
          </w14:textFill>
        </w:rPr>
      </w:pPr>
      <w:r>
        <w:rPr>
          <w:rFonts w:ascii="Times New Roman" w:hAnsi="Times New Roman"/>
          <w:color w:val="000000" w:themeColor="text1"/>
          <w14:textFill>
            <w14:solidFill>
              <w14:schemeClr w14:val="tx1"/>
            </w14:solidFill>
          </w14:textFill>
        </w:rPr>
        <w:fldChar w:fldCharType="begin"/>
      </w:r>
      <w:r>
        <w:rPr>
          <w:rFonts w:ascii="Times New Roman" w:hAnsi="Times New Roman"/>
          <w:color w:val="000000" w:themeColor="text1"/>
          <w14:textFill>
            <w14:solidFill>
              <w14:schemeClr w14:val="tx1"/>
            </w14:solidFill>
          </w14:textFill>
        </w:rPr>
        <w:instrText xml:space="preserve"> TOC \o "1-2" \h \z \u </w:instrText>
      </w:r>
      <w:r>
        <w:rPr>
          <w:rFonts w:ascii="Times New Roman" w:hAnsi="Times New Roman"/>
          <w:color w:val="000000" w:themeColor="text1"/>
          <w14:textFill>
            <w14:solidFill>
              <w14:schemeClr w14:val="tx1"/>
            </w14:solidFill>
          </w14:textFill>
        </w:rPr>
        <w:fldChar w:fldCharType="separate"/>
      </w:r>
    </w:p>
    <w:p>
      <w:pPr>
        <w:pStyle w:val="59"/>
        <w:rPr>
          <w:rFonts w:asciiTheme="minorHAnsi" w:hAnsiTheme="minorHAnsi" w:eastAsiaTheme="minorEastAsia" w:cstheme="minorBidi"/>
          <w:bCs w:val="0"/>
          <w:color w:val="000000" w:themeColor="text1"/>
          <w:sz w:val="21"/>
          <w:szCs w:val="22"/>
          <w14:textFill>
            <w14:solidFill>
              <w14:schemeClr w14:val="tx1"/>
            </w14:solidFill>
          </w14:textFill>
        </w:rPr>
      </w:pPr>
      <w:r>
        <w:fldChar w:fldCharType="begin"/>
      </w:r>
      <w:r>
        <w:instrText xml:space="preserve"> HYPERLINK \l "_Toc170918587" </w:instrText>
      </w:r>
      <w:r>
        <w:fldChar w:fldCharType="separate"/>
      </w:r>
      <w:r>
        <w:rPr>
          <w:rStyle w:val="144"/>
          <w:bCs w:val="0"/>
          <w:color w:val="000000" w:themeColor="text1"/>
          <w14:textFill>
            <w14:solidFill>
              <w14:schemeClr w14:val="tx1"/>
            </w14:solidFill>
          </w14:textFill>
        </w:rPr>
        <w:t>1</w:t>
      </w:r>
      <w:r>
        <w:rPr>
          <w:rStyle w:val="144"/>
          <w:rFonts w:hint="eastAsia"/>
          <w:bCs w:val="0"/>
          <w:color w:val="000000" w:themeColor="text1"/>
          <w14:textFill>
            <w14:solidFill>
              <w14:schemeClr w14:val="tx1"/>
            </w14:solidFill>
          </w14:textFill>
        </w:rPr>
        <w:t xml:space="preserve"> 总</w:t>
      </w:r>
      <w:r>
        <w:rPr>
          <w:rStyle w:val="144"/>
          <w:bCs w:val="0"/>
          <w:color w:val="000000" w:themeColor="text1"/>
          <w14:textFill>
            <w14:solidFill>
              <w14:schemeClr w14:val="tx1"/>
            </w14:solidFill>
          </w14:textFill>
        </w:rPr>
        <w:t xml:space="preserve"> </w:t>
      </w:r>
      <w:r>
        <w:rPr>
          <w:rStyle w:val="144"/>
          <w:rFonts w:hint="eastAsia"/>
          <w:bCs w:val="0"/>
          <w:color w:val="000000" w:themeColor="text1"/>
          <w14:textFill>
            <w14:solidFill>
              <w14:schemeClr w14:val="tx1"/>
            </w14:solidFill>
          </w14:textFill>
        </w:rPr>
        <w:t>则</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_Toc170918587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- 1 -</w:t>
      </w:r>
      <w:r>
        <w:rPr>
          <w:color w:val="000000" w:themeColor="text1"/>
          <w14:textFill>
            <w14:solidFill>
              <w14:schemeClr w14:val="tx1"/>
            </w14:solidFill>
          </w14:textFill>
        </w:rPr>
        <w:fldChar w:fldCharType="end"/>
      </w:r>
      <w:r>
        <w:rPr>
          <w:color w:val="000000" w:themeColor="text1"/>
          <w14:textFill>
            <w14:solidFill>
              <w14:schemeClr w14:val="tx1"/>
            </w14:solidFill>
          </w14:textFill>
        </w:rPr>
        <w:fldChar w:fldCharType="end"/>
      </w:r>
    </w:p>
    <w:p>
      <w:pPr>
        <w:pStyle w:val="74"/>
        <w:rPr>
          <w:rFonts w:asciiTheme="minorHAnsi" w:hAnsiTheme="minorHAnsi" w:eastAsiaTheme="minorEastAsia" w:cstheme="minorBidi"/>
          <w:color w:val="000000" w:themeColor="text1"/>
          <w:sz w:val="21"/>
          <w:szCs w:val="22"/>
          <w14:textFill>
            <w14:solidFill>
              <w14:schemeClr w14:val="tx1"/>
            </w14:solidFill>
          </w14:textFill>
        </w:rPr>
      </w:pPr>
      <w:r>
        <w:fldChar w:fldCharType="begin"/>
      </w:r>
      <w:r>
        <w:instrText xml:space="preserve"> HYPERLINK \l "_Toc170918588" </w:instrText>
      </w:r>
      <w:r>
        <w:fldChar w:fldCharType="separate"/>
      </w:r>
      <w:r>
        <w:rPr>
          <w:rStyle w:val="144"/>
          <w:color w:val="000000" w:themeColor="text1"/>
          <w14:textFill>
            <w14:solidFill>
              <w14:schemeClr w14:val="tx1"/>
            </w14:solidFill>
          </w14:textFill>
        </w:rPr>
        <w:t>1.1</w:t>
      </w:r>
      <w:r>
        <w:rPr>
          <w:rStyle w:val="144"/>
          <w:rFonts w:hint="eastAsia"/>
          <w:color w:val="000000" w:themeColor="text1"/>
          <w14:textFill>
            <w14:solidFill>
              <w14:schemeClr w14:val="tx1"/>
            </w14:solidFill>
          </w14:textFill>
        </w:rPr>
        <w:t xml:space="preserve"> 编制依据</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_Toc170918588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- 1 -</w:t>
      </w:r>
      <w:r>
        <w:rPr>
          <w:color w:val="000000" w:themeColor="text1"/>
          <w14:textFill>
            <w14:solidFill>
              <w14:schemeClr w14:val="tx1"/>
            </w14:solidFill>
          </w14:textFill>
        </w:rPr>
        <w:fldChar w:fldCharType="end"/>
      </w:r>
      <w:r>
        <w:rPr>
          <w:color w:val="000000" w:themeColor="text1"/>
          <w14:textFill>
            <w14:solidFill>
              <w14:schemeClr w14:val="tx1"/>
            </w14:solidFill>
          </w14:textFill>
        </w:rPr>
        <w:fldChar w:fldCharType="end"/>
      </w:r>
    </w:p>
    <w:p>
      <w:pPr>
        <w:pStyle w:val="74"/>
        <w:rPr>
          <w:rFonts w:asciiTheme="minorHAnsi" w:hAnsiTheme="minorHAnsi" w:eastAsiaTheme="minorEastAsia" w:cstheme="minorBidi"/>
          <w:color w:val="000000" w:themeColor="text1"/>
          <w:sz w:val="21"/>
          <w:szCs w:val="22"/>
          <w14:textFill>
            <w14:solidFill>
              <w14:schemeClr w14:val="tx1"/>
            </w14:solidFill>
          </w14:textFill>
        </w:rPr>
      </w:pPr>
      <w:r>
        <w:fldChar w:fldCharType="begin"/>
      </w:r>
      <w:r>
        <w:instrText xml:space="preserve"> HYPERLINK \l "_Toc170918589" </w:instrText>
      </w:r>
      <w:r>
        <w:fldChar w:fldCharType="separate"/>
      </w:r>
      <w:r>
        <w:rPr>
          <w:rStyle w:val="144"/>
          <w:color w:val="000000" w:themeColor="text1"/>
          <w14:textFill>
            <w14:solidFill>
              <w14:schemeClr w14:val="tx1"/>
            </w14:solidFill>
          </w14:textFill>
        </w:rPr>
        <w:t>1.2</w:t>
      </w:r>
      <w:r>
        <w:rPr>
          <w:rStyle w:val="144"/>
          <w:rFonts w:hint="eastAsia"/>
          <w:color w:val="000000" w:themeColor="text1"/>
          <w14:textFill>
            <w14:solidFill>
              <w14:schemeClr w14:val="tx1"/>
            </w14:solidFill>
          </w14:textFill>
        </w:rPr>
        <w:t xml:space="preserve"> 评价工作等级和评价范围</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_Toc170918589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- 6 -</w:t>
      </w:r>
      <w:r>
        <w:rPr>
          <w:color w:val="000000" w:themeColor="text1"/>
          <w14:textFill>
            <w14:solidFill>
              <w14:schemeClr w14:val="tx1"/>
            </w14:solidFill>
          </w14:textFill>
        </w:rPr>
        <w:fldChar w:fldCharType="end"/>
      </w:r>
      <w:r>
        <w:rPr>
          <w:color w:val="000000" w:themeColor="text1"/>
          <w14:textFill>
            <w14:solidFill>
              <w14:schemeClr w14:val="tx1"/>
            </w14:solidFill>
          </w14:textFill>
        </w:rPr>
        <w:fldChar w:fldCharType="end"/>
      </w:r>
    </w:p>
    <w:p>
      <w:pPr>
        <w:pStyle w:val="74"/>
        <w:rPr>
          <w:rFonts w:asciiTheme="minorHAnsi" w:hAnsiTheme="minorHAnsi" w:eastAsiaTheme="minorEastAsia" w:cstheme="minorBidi"/>
          <w:color w:val="000000" w:themeColor="text1"/>
          <w:sz w:val="21"/>
          <w:szCs w:val="22"/>
          <w14:textFill>
            <w14:solidFill>
              <w14:schemeClr w14:val="tx1"/>
            </w14:solidFill>
          </w14:textFill>
        </w:rPr>
      </w:pPr>
      <w:r>
        <w:fldChar w:fldCharType="begin"/>
      </w:r>
      <w:r>
        <w:instrText xml:space="preserve"> HYPERLINK \l "_Toc170918590" </w:instrText>
      </w:r>
      <w:r>
        <w:fldChar w:fldCharType="separate"/>
      </w:r>
      <w:r>
        <w:rPr>
          <w:rStyle w:val="144"/>
          <w:color w:val="000000" w:themeColor="text1"/>
          <w14:textFill>
            <w14:solidFill>
              <w14:schemeClr w14:val="tx1"/>
            </w14:solidFill>
          </w14:textFill>
        </w:rPr>
        <w:t>1.3</w:t>
      </w:r>
      <w:r>
        <w:rPr>
          <w:rStyle w:val="144"/>
          <w:rFonts w:hint="eastAsia"/>
          <w:color w:val="000000" w:themeColor="text1"/>
          <w14:textFill>
            <w14:solidFill>
              <w14:schemeClr w14:val="tx1"/>
            </w14:solidFill>
          </w14:textFill>
        </w:rPr>
        <w:t xml:space="preserve"> 环境功能区划和评价标准</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_Toc170918590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- 20 -</w:t>
      </w:r>
      <w:r>
        <w:rPr>
          <w:color w:val="000000" w:themeColor="text1"/>
          <w14:textFill>
            <w14:solidFill>
              <w14:schemeClr w14:val="tx1"/>
            </w14:solidFill>
          </w14:textFill>
        </w:rPr>
        <w:fldChar w:fldCharType="end"/>
      </w:r>
      <w:r>
        <w:rPr>
          <w:color w:val="000000" w:themeColor="text1"/>
          <w14:textFill>
            <w14:solidFill>
              <w14:schemeClr w14:val="tx1"/>
            </w14:solidFill>
          </w14:textFill>
        </w:rPr>
        <w:fldChar w:fldCharType="end"/>
      </w:r>
    </w:p>
    <w:p>
      <w:pPr>
        <w:pStyle w:val="74"/>
        <w:rPr>
          <w:rFonts w:asciiTheme="minorHAnsi" w:hAnsiTheme="minorHAnsi" w:eastAsiaTheme="minorEastAsia" w:cstheme="minorBidi"/>
          <w:color w:val="000000" w:themeColor="text1"/>
          <w:sz w:val="21"/>
          <w:szCs w:val="22"/>
          <w14:textFill>
            <w14:solidFill>
              <w14:schemeClr w14:val="tx1"/>
            </w14:solidFill>
          </w14:textFill>
        </w:rPr>
      </w:pPr>
      <w:r>
        <w:fldChar w:fldCharType="begin"/>
      </w:r>
      <w:r>
        <w:instrText xml:space="preserve"> HYPERLINK \l "_Toc170918591" </w:instrText>
      </w:r>
      <w:r>
        <w:fldChar w:fldCharType="separate"/>
      </w:r>
      <w:r>
        <w:rPr>
          <w:rStyle w:val="144"/>
          <w:color w:val="000000" w:themeColor="text1"/>
          <w14:textFill>
            <w14:solidFill>
              <w14:schemeClr w14:val="tx1"/>
            </w14:solidFill>
          </w14:textFill>
        </w:rPr>
        <w:t>1.4</w:t>
      </w:r>
      <w:r>
        <w:rPr>
          <w:rStyle w:val="144"/>
          <w:rFonts w:hint="eastAsia"/>
          <w:color w:val="000000" w:themeColor="text1"/>
          <w14:textFill>
            <w14:solidFill>
              <w14:schemeClr w14:val="tx1"/>
            </w14:solidFill>
          </w14:textFill>
        </w:rPr>
        <w:t xml:space="preserve"> 环境影响因素识别和评价因子筛选</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_Toc170918591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- 26 -</w:t>
      </w:r>
      <w:r>
        <w:rPr>
          <w:color w:val="000000" w:themeColor="text1"/>
          <w14:textFill>
            <w14:solidFill>
              <w14:schemeClr w14:val="tx1"/>
            </w14:solidFill>
          </w14:textFill>
        </w:rPr>
        <w:fldChar w:fldCharType="end"/>
      </w:r>
      <w:r>
        <w:rPr>
          <w:color w:val="000000" w:themeColor="text1"/>
          <w14:textFill>
            <w14:solidFill>
              <w14:schemeClr w14:val="tx1"/>
            </w14:solidFill>
          </w14:textFill>
        </w:rPr>
        <w:fldChar w:fldCharType="end"/>
      </w:r>
    </w:p>
    <w:p>
      <w:pPr>
        <w:pStyle w:val="74"/>
        <w:rPr>
          <w:rFonts w:asciiTheme="minorHAnsi" w:hAnsiTheme="minorHAnsi" w:eastAsiaTheme="minorEastAsia" w:cstheme="minorBidi"/>
          <w:color w:val="000000" w:themeColor="text1"/>
          <w:sz w:val="21"/>
          <w:szCs w:val="22"/>
          <w14:textFill>
            <w14:solidFill>
              <w14:schemeClr w14:val="tx1"/>
            </w14:solidFill>
          </w14:textFill>
        </w:rPr>
      </w:pPr>
      <w:r>
        <w:fldChar w:fldCharType="begin"/>
      </w:r>
      <w:r>
        <w:instrText xml:space="preserve"> HYPERLINK \l "_Toc170918592" </w:instrText>
      </w:r>
      <w:r>
        <w:fldChar w:fldCharType="separate"/>
      </w:r>
      <w:r>
        <w:rPr>
          <w:rStyle w:val="144"/>
          <w:color w:val="000000" w:themeColor="text1"/>
          <w14:textFill>
            <w14:solidFill>
              <w14:schemeClr w14:val="tx1"/>
            </w14:solidFill>
          </w14:textFill>
        </w:rPr>
        <w:t>1.5</w:t>
      </w:r>
      <w:r>
        <w:rPr>
          <w:rStyle w:val="144"/>
          <w:rFonts w:hint="eastAsia"/>
          <w:color w:val="000000" w:themeColor="text1"/>
          <w14:textFill>
            <w14:solidFill>
              <w14:schemeClr w14:val="tx1"/>
            </w14:solidFill>
          </w14:textFill>
        </w:rPr>
        <w:t xml:space="preserve"> 环境保护目标</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_Toc170918592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- 28 -</w:t>
      </w:r>
      <w:r>
        <w:rPr>
          <w:color w:val="000000" w:themeColor="text1"/>
          <w14:textFill>
            <w14:solidFill>
              <w14:schemeClr w14:val="tx1"/>
            </w14:solidFill>
          </w14:textFill>
        </w:rPr>
        <w:fldChar w:fldCharType="end"/>
      </w:r>
      <w:r>
        <w:rPr>
          <w:color w:val="000000" w:themeColor="text1"/>
          <w14:textFill>
            <w14:solidFill>
              <w14:schemeClr w14:val="tx1"/>
            </w14:solidFill>
          </w14:textFill>
        </w:rPr>
        <w:fldChar w:fldCharType="end"/>
      </w:r>
    </w:p>
    <w:p>
      <w:pPr>
        <w:pStyle w:val="74"/>
        <w:rPr>
          <w:rFonts w:asciiTheme="minorHAnsi" w:hAnsiTheme="minorHAnsi" w:eastAsiaTheme="minorEastAsia" w:cstheme="minorBidi"/>
          <w:color w:val="000000" w:themeColor="text1"/>
          <w:sz w:val="21"/>
          <w:szCs w:val="22"/>
          <w14:textFill>
            <w14:solidFill>
              <w14:schemeClr w14:val="tx1"/>
            </w14:solidFill>
          </w14:textFill>
        </w:rPr>
      </w:pPr>
      <w:r>
        <w:fldChar w:fldCharType="begin"/>
      </w:r>
      <w:r>
        <w:instrText xml:space="preserve"> HYPERLINK \l "_Toc170918593" </w:instrText>
      </w:r>
      <w:r>
        <w:fldChar w:fldCharType="separate"/>
      </w:r>
      <w:r>
        <w:rPr>
          <w:rStyle w:val="144"/>
          <w:color w:val="000000" w:themeColor="text1"/>
          <w14:textFill>
            <w14:solidFill>
              <w14:schemeClr w14:val="tx1"/>
            </w14:solidFill>
          </w14:textFill>
        </w:rPr>
        <w:t>1.6</w:t>
      </w:r>
      <w:r>
        <w:rPr>
          <w:rStyle w:val="144"/>
          <w:rFonts w:hint="eastAsia"/>
          <w:color w:val="000000" w:themeColor="text1"/>
          <w14:textFill>
            <w14:solidFill>
              <w14:schemeClr w14:val="tx1"/>
            </w14:solidFill>
          </w14:textFill>
        </w:rPr>
        <w:t xml:space="preserve"> 评价工作程序</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_Toc170918593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- 33 -</w:t>
      </w:r>
      <w:r>
        <w:rPr>
          <w:color w:val="000000" w:themeColor="text1"/>
          <w14:textFill>
            <w14:solidFill>
              <w14:schemeClr w14:val="tx1"/>
            </w14:solidFill>
          </w14:textFill>
        </w:rPr>
        <w:fldChar w:fldCharType="end"/>
      </w:r>
      <w:r>
        <w:rPr>
          <w:color w:val="000000" w:themeColor="text1"/>
          <w14:textFill>
            <w14:solidFill>
              <w14:schemeClr w14:val="tx1"/>
            </w14:solidFill>
          </w14:textFill>
        </w:rPr>
        <w:fldChar w:fldCharType="end"/>
      </w:r>
    </w:p>
    <w:p>
      <w:pPr>
        <w:pStyle w:val="59"/>
        <w:rPr>
          <w:rFonts w:asciiTheme="minorHAnsi" w:hAnsiTheme="minorHAnsi" w:eastAsiaTheme="minorEastAsia" w:cstheme="minorBidi"/>
          <w:bCs w:val="0"/>
          <w:color w:val="000000" w:themeColor="text1"/>
          <w:sz w:val="21"/>
          <w:szCs w:val="22"/>
          <w14:textFill>
            <w14:solidFill>
              <w14:schemeClr w14:val="tx1"/>
            </w14:solidFill>
          </w14:textFill>
        </w:rPr>
      </w:pPr>
      <w:r>
        <w:fldChar w:fldCharType="begin"/>
      </w:r>
      <w:r>
        <w:instrText xml:space="preserve"> HYPERLINK \l "_Toc170918594" </w:instrText>
      </w:r>
      <w:r>
        <w:fldChar w:fldCharType="separate"/>
      </w:r>
      <w:r>
        <w:rPr>
          <w:rStyle w:val="144"/>
          <w:bCs w:val="0"/>
          <w:color w:val="000000" w:themeColor="text1"/>
          <w14:textFill>
            <w14:solidFill>
              <w14:schemeClr w14:val="tx1"/>
            </w14:solidFill>
          </w14:textFill>
        </w:rPr>
        <w:t>2</w:t>
      </w:r>
      <w:r>
        <w:rPr>
          <w:rStyle w:val="144"/>
          <w:rFonts w:hint="eastAsia"/>
          <w:bCs w:val="0"/>
          <w:color w:val="000000" w:themeColor="text1"/>
          <w14:textFill>
            <w14:solidFill>
              <w14:schemeClr w14:val="tx1"/>
            </w14:solidFill>
          </w14:textFill>
        </w:rPr>
        <w:t xml:space="preserve"> 工程概况</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_Toc170918594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- 34 -</w:t>
      </w:r>
      <w:r>
        <w:rPr>
          <w:color w:val="000000" w:themeColor="text1"/>
          <w14:textFill>
            <w14:solidFill>
              <w14:schemeClr w14:val="tx1"/>
            </w14:solidFill>
          </w14:textFill>
        </w:rPr>
        <w:fldChar w:fldCharType="end"/>
      </w:r>
      <w:r>
        <w:rPr>
          <w:color w:val="000000" w:themeColor="text1"/>
          <w14:textFill>
            <w14:solidFill>
              <w14:schemeClr w14:val="tx1"/>
            </w14:solidFill>
          </w14:textFill>
        </w:rPr>
        <w:fldChar w:fldCharType="end"/>
      </w:r>
    </w:p>
    <w:p>
      <w:pPr>
        <w:pStyle w:val="74"/>
        <w:rPr>
          <w:rFonts w:asciiTheme="minorHAnsi" w:hAnsiTheme="minorHAnsi" w:eastAsiaTheme="minorEastAsia" w:cstheme="minorBidi"/>
          <w:color w:val="000000" w:themeColor="text1"/>
          <w:sz w:val="21"/>
          <w:szCs w:val="22"/>
          <w14:textFill>
            <w14:solidFill>
              <w14:schemeClr w14:val="tx1"/>
            </w14:solidFill>
          </w14:textFill>
        </w:rPr>
      </w:pPr>
      <w:r>
        <w:fldChar w:fldCharType="begin"/>
      </w:r>
      <w:r>
        <w:instrText xml:space="preserve"> HYPERLINK \l "_Toc170918595" </w:instrText>
      </w:r>
      <w:r>
        <w:fldChar w:fldCharType="separate"/>
      </w:r>
      <w:r>
        <w:rPr>
          <w:rStyle w:val="144"/>
          <w:color w:val="000000" w:themeColor="text1"/>
          <w14:textFill>
            <w14:solidFill>
              <w14:schemeClr w14:val="tx1"/>
            </w14:solidFill>
          </w14:textFill>
        </w:rPr>
        <w:t>2.1</w:t>
      </w:r>
      <w:r>
        <w:rPr>
          <w:rStyle w:val="144"/>
          <w:rFonts w:hint="eastAsia"/>
          <w:color w:val="000000" w:themeColor="text1"/>
          <w14:textFill>
            <w14:solidFill>
              <w14:schemeClr w14:val="tx1"/>
            </w14:solidFill>
          </w14:textFill>
        </w:rPr>
        <w:t xml:space="preserve"> 现有工程概况</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_Toc170918595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- 34 -</w:t>
      </w:r>
      <w:r>
        <w:rPr>
          <w:color w:val="000000" w:themeColor="text1"/>
          <w14:textFill>
            <w14:solidFill>
              <w14:schemeClr w14:val="tx1"/>
            </w14:solidFill>
          </w14:textFill>
        </w:rPr>
        <w:fldChar w:fldCharType="end"/>
      </w:r>
      <w:r>
        <w:rPr>
          <w:color w:val="000000" w:themeColor="text1"/>
          <w14:textFill>
            <w14:solidFill>
              <w14:schemeClr w14:val="tx1"/>
            </w14:solidFill>
          </w14:textFill>
        </w:rPr>
        <w:fldChar w:fldCharType="end"/>
      </w:r>
    </w:p>
    <w:p>
      <w:pPr>
        <w:pStyle w:val="74"/>
        <w:rPr>
          <w:rFonts w:asciiTheme="minorHAnsi" w:hAnsiTheme="minorHAnsi" w:eastAsiaTheme="minorEastAsia" w:cstheme="minorBidi"/>
          <w:color w:val="000000" w:themeColor="text1"/>
          <w:sz w:val="21"/>
          <w:szCs w:val="22"/>
          <w14:textFill>
            <w14:solidFill>
              <w14:schemeClr w14:val="tx1"/>
            </w14:solidFill>
          </w14:textFill>
        </w:rPr>
      </w:pPr>
      <w:r>
        <w:fldChar w:fldCharType="begin"/>
      </w:r>
      <w:r>
        <w:instrText xml:space="preserve"> HYPERLINK \l "_Toc170918596" </w:instrText>
      </w:r>
      <w:r>
        <w:fldChar w:fldCharType="separate"/>
      </w:r>
      <w:r>
        <w:rPr>
          <w:rStyle w:val="144"/>
          <w:color w:val="000000" w:themeColor="text1"/>
          <w14:textFill>
            <w14:solidFill>
              <w14:schemeClr w14:val="tx1"/>
            </w14:solidFill>
          </w14:textFill>
        </w:rPr>
        <w:t>2.2</w:t>
      </w:r>
      <w:r>
        <w:rPr>
          <w:rStyle w:val="144"/>
          <w:rFonts w:hint="eastAsia"/>
          <w:color w:val="000000" w:themeColor="text1"/>
          <w14:textFill>
            <w14:solidFill>
              <w14:schemeClr w14:val="tx1"/>
            </w14:solidFill>
          </w14:textFill>
        </w:rPr>
        <w:t xml:space="preserve"> 本次扩建工程概况</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_Toc170918596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- 55 -</w:t>
      </w:r>
      <w:r>
        <w:rPr>
          <w:color w:val="000000" w:themeColor="text1"/>
          <w14:textFill>
            <w14:solidFill>
              <w14:schemeClr w14:val="tx1"/>
            </w14:solidFill>
          </w14:textFill>
        </w:rPr>
        <w:fldChar w:fldCharType="end"/>
      </w:r>
      <w:r>
        <w:rPr>
          <w:color w:val="000000" w:themeColor="text1"/>
          <w14:textFill>
            <w14:solidFill>
              <w14:schemeClr w14:val="tx1"/>
            </w14:solidFill>
          </w14:textFill>
        </w:rPr>
        <w:fldChar w:fldCharType="end"/>
      </w:r>
    </w:p>
    <w:p>
      <w:pPr>
        <w:pStyle w:val="74"/>
        <w:rPr>
          <w:rFonts w:asciiTheme="minorHAnsi" w:hAnsiTheme="minorHAnsi" w:eastAsiaTheme="minorEastAsia" w:cstheme="minorBidi"/>
          <w:color w:val="000000" w:themeColor="text1"/>
          <w:sz w:val="21"/>
          <w:szCs w:val="22"/>
          <w14:textFill>
            <w14:solidFill>
              <w14:schemeClr w14:val="tx1"/>
            </w14:solidFill>
          </w14:textFill>
        </w:rPr>
      </w:pPr>
      <w:r>
        <w:fldChar w:fldCharType="begin"/>
      </w:r>
      <w:r>
        <w:instrText xml:space="preserve"> HYPERLINK \l "_Toc170918597" </w:instrText>
      </w:r>
      <w:r>
        <w:fldChar w:fldCharType="separate"/>
      </w:r>
      <w:r>
        <w:rPr>
          <w:rStyle w:val="144"/>
          <w:color w:val="000000" w:themeColor="text1"/>
          <w14:textFill>
            <w14:solidFill>
              <w14:schemeClr w14:val="tx1"/>
            </w14:solidFill>
          </w14:textFill>
        </w:rPr>
        <w:t>2.3</w:t>
      </w:r>
      <w:r>
        <w:rPr>
          <w:rStyle w:val="144"/>
          <w:rFonts w:hint="eastAsia"/>
          <w:color w:val="000000" w:themeColor="text1"/>
          <w14:textFill>
            <w14:solidFill>
              <w14:schemeClr w14:val="tx1"/>
            </w14:solidFill>
          </w14:textFill>
        </w:rPr>
        <w:t xml:space="preserve"> 施工方案</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_Toc170918597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- 75 -</w:t>
      </w:r>
      <w:r>
        <w:rPr>
          <w:color w:val="000000" w:themeColor="text1"/>
          <w14:textFill>
            <w14:solidFill>
              <w14:schemeClr w14:val="tx1"/>
            </w14:solidFill>
          </w14:textFill>
        </w:rPr>
        <w:fldChar w:fldCharType="end"/>
      </w:r>
      <w:r>
        <w:rPr>
          <w:color w:val="000000" w:themeColor="text1"/>
          <w14:textFill>
            <w14:solidFill>
              <w14:schemeClr w14:val="tx1"/>
            </w14:solidFill>
          </w14:textFill>
        </w:rPr>
        <w:fldChar w:fldCharType="end"/>
      </w:r>
    </w:p>
    <w:p>
      <w:pPr>
        <w:pStyle w:val="74"/>
        <w:rPr>
          <w:rFonts w:asciiTheme="minorHAnsi" w:hAnsiTheme="minorHAnsi" w:eastAsiaTheme="minorEastAsia" w:cstheme="minorBidi"/>
          <w:color w:val="000000" w:themeColor="text1"/>
          <w:sz w:val="21"/>
          <w:szCs w:val="22"/>
          <w14:textFill>
            <w14:solidFill>
              <w14:schemeClr w14:val="tx1"/>
            </w14:solidFill>
          </w14:textFill>
        </w:rPr>
      </w:pPr>
      <w:r>
        <w:fldChar w:fldCharType="begin"/>
      </w:r>
      <w:r>
        <w:instrText xml:space="preserve"> HYPERLINK \l "_Toc170918598" </w:instrText>
      </w:r>
      <w:r>
        <w:fldChar w:fldCharType="separate"/>
      </w:r>
      <w:r>
        <w:rPr>
          <w:rStyle w:val="144"/>
          <w:color w:val="000000" w:themeColor="text1"/>
          <w14:textFill>
            <w14:solidFill>
              <w14:schemeClr w14:val="tx1"/>
            </w14:solidFill>
          </w14:textFill>
        </w:rPr>
        <w:t>2.4</w:t>
      </w:r>
      <w:r>
        <w:rPr>
          <w:rStyle w:val="144"/>
          <w:rFonts w:hint="eastAsia"/>
          <w:color w:val="000000" w:themeColor="text1"/>
          <w14:textFill>
            <w14:solidFill>
              <w14:schemeClr w14:val="tx1"/>
            </w14:solidFill>
          </w14:textFill>
        </w:rPr>
        <w:t xml:space="preserve"> 工程分析</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_Toc170918598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- 78 -</w:t>
      </w:r>
      <w:r>
        <w:rPr>
          <w:color w:val="000000" w:themeColor="text1"/>
          <w14:textFill>
            <w14:solidFill>
              <w14:schemeClr w14:val="tx1"/>
            </w14:solidFill>
          </w14:textFill>
        </w:rPr>
        <w:fldChar w:fldCharType="end"/>
      </w:r>
      <w:r>
        <w:rPr>
          <w:color w:val="000000" w:themeColor="text1"/>
          <w14:textFill>
            <w14:solidFill>
              <w14:schemeClr w14:val="tx1"/>
            </w14:solidFill>
          </w14:textFill>
        </w:rPr>
        <w:fldChar w:fldCharType="end"/>
      </w:r>
    </w:p>
    <w:p>
      <w:pPr>
        <w:pStyle w:val="74"/>
        <w:rPr>
          <w:rFonts w:asciiTheme="minorHAnsi" w:hAnsiTheme="minorHAnsi" w:eastAsiaTheme="minorEastAsia" w:cstheme="minorBidi"/>
          <w:color w:val="000000" w:themeColor="text1"/>
          <w:sz w:val="21"/>
          <w:szCs w:val="22"/>
          <w14:textFill>
            <w14:solidFill>
              <w14:schemeClr w14:val="tx1"/>
            </w14:solidFill>
          </w14:textFill>
        </w:rPr>
      </w:pPr>
      <w:r>
        <w:fldChar w:fldCharType="begin"/>
      </w:r>
      <w:r>
        <w:instrText xml:space="preserve"> HYPERLINK \l "_Toc170918599" </w:instrText>
      </w:r>
      <w:r>
        <w:fldChar w:fldCharType="separate"/>
      </w:r>
      <w:r>
        <w:rPr>
          <w:rStyle w:val="144"/>
          <w:color w:val="000000" w:themeColor="text1"/>
          <w14:textFill>
            <w14:solidFill>
              <w14:schemeClr w14:val="tx1"/>
            </w14:solidFill>
          </w14:textFill>
        </w:rPr>
        <w:t>2.5</w:t>
      </w:r>
      <w:r>
        <w:rPr>
          <w:rStyle w:val="144"/>
          <w:rFonts w:hint="eastAsia"/>
          <w:color w:val="000000" w:themeColor="text1"/>
          <w14:textFill>
            <w14:solidFill>
              <w14:schemeClr w14:val="tx1"/>
            </w14:solidFill>
          </w14:textFill>
        </w:rPr>
        <w:t xml:space="preserve"> 规划相符性分析</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_Toc170918599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- 89 -</w:t>
      </w:r>
      <w:r>
        <w:rPr>
          <w:color w:val="000000" w:themeColor="text1"/>
          <w14:textFill>
            <w14:solidFill>
              <w14:schemeClr w14:val="tx1"/>
            </w14:solidFill>
          </w14:textFill>
        </w:rPr>
        <w:fldChar w:fldCharType="end"/>
      </w:r>
      <w:r>
        <w:rPr>
          <w:color w:val="000000" w:themeColor="text1"/>
          <w14:textFill>
            <w14:solidFill>
              <w14:schemeClr w14:val="tx1"/>
            </w14:solidFill>
          </w14:textFill>
        </w:rPr>
        <w:fldChar w:fldCharType="end"/>
      </w:r>
    </w:p>
    <w:p>
      <w:pPr>
        <w:pStyle w:val="59"/>
        <w:rPr>
          <w:rFonts w:asciiTheme="minorHAnsi" w:hAnsiTheme="minorHAnsi" w:eastAsiaTheme="minorEastAsia" w:cstheme="minorBidi"/>
          <w:bCs w:val="0"/>
          <w:color w:val="000000" w:themeColor="text1"/>
          <w:sz w:val="21"/>
          <w:szCs w:val="22"/>
          <w14:textFill>
            <w14:solidFill>
              <w14:schemeClr w14:val="tx1"/>
            </w14:solidFill>
          </w14:textFill>
        </w:rPr>
      </w:pPr>
      <w:r>
        <w:fldChar w:fldCharType="begin"/>
      </w:r>
      <w:r>
        <w:instrText xml:space="preserve"> HYPERLINK \l "_Toc170918600" </w:instrText>
      </w:r>
      <w:r>
        <w:fldChar w:fldCharType="separate"/>
      </w:r>
      <w:r>
        <w:rPr>
          <w:rStyle w:val="144"/>
          <w:bCs w:val="0"/>
          <w:color w:val="000000" w:themeColor="text1"/>
          <w14:textFill>
            <w14:solidFill>
              <w14:schemeClr w14:val="tx1"/>
            </w14:solidFill>
          </w14:textFill>
        </w:rPr>
        <w:t>3</w:t>
      </w:r>
      <w:r>
        <w:rPr>
          <w:rStyle w:val="144"/>
          <w:rFonts w:hint="eastAsia"/>
          <w:bCs w:val="0"/>
          <w:color w:val="000000" w:themeColor="text1"/>
          <w14:textFill>
            <w14:solidFill>
              <w14:schemeClr w14:val="tx1"/>
            </w14:solidFill>
          </w14:textFill>
        </w:rPr>
        <w:t xml:space="preserve"> 环境现状调查与评价</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_Toc170918600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- 106 -</w:t>
      </w:r>
      <w:r>
        <w:rPr>
          <w:color w:val="000000" w:themeColor="text1"/>
          <w14:textFill>
            <w14:solidFill>
              <w14:schemeClr w14:val="tx1"/>
            </w14:solidFill>
          </w14:textFill>
        </w:rPr>
        <w:fldChar w:fldCharType="end"/>
      </w:r>
      <w:r>
        <w:rPr>
          <w:color w:val="000000" w:themeColor="text1"/>
          <w14:textFill>
            <w14:solidFill>
              <w14:schemeClr w14:val="tx1"/>
            </w14:solidFill>
          </w14:textFill>
        </w:rPr>
        <w:fldChar w:fldCharType="end"/>
      </w:r>
    </w:p>
    <w:p>
      <w:pPr>
        <w:pStyle w:val="74"/>
        <w:rPr>
          <w:rFonts w:asciiTheme="minorHAnsi" w:hAnsiTheme="minorHAnsi" w:eastAsiaTheme="minorEastAsia" w:cstheme="minorBidi"/>
          <w:color w:val="000000" w:themeColor="text1"/>
          <w:sz w:val="21"/>
          <w:szCs w:val="22"/>
          <w14:textFill>
            <w14:solidFill>
              <w14:schemeClr w14:val="tx1"/>
            </w14:solidFill>
          </w14:textFill>
        </w:rPr>
      </w:pPr>
      <w:r>
        <w:fldChar w:fldCharType="begin"/>
      </w:r>
      <w:r>
        <w:instrText xml:space="preserve"> HYPERLINK \l "_Toc170918601" </w:instrText>
      </w:r>
      <w:r>
        <w:fldChar w:fldCharType="separate"/>
      </w:r>
      <w:r>
        <w:rPr>
          <w:rStyle w:val="144"/>
          <w:color w:val="000000" w:themeColor="text1"/>
          <w14:textFill>
            <w14:solidFill>
              <w14:schemeClr w14:val="tx1"/>
            </w14:solidFill>
          </w14:textFill>
        </w:rPr>
        <w:t>3.1</w:t>
      </w:r>
      <w:r>
        <w:rPr>
          <w:rStyle w:val="144"/>
          <w:rFonts w:hint="eastAsia"/>
          <w:color w:val="000000" w:themeColor="text1"/>
          <w14:textFill>
            <w14:solidFill>
              <w14:schemeClr w14:val="tx1"/>
            </w14:solidFill>
          </w14:textFill>
        </w:rPr>
        <w:t xml:space="preserve"> 自然环境概况</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_Toc170918601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- 106 -</w:t>
      </w:r>
      <w:r>
        <w:rPr>
          <w:color w:val="000000" w:themeColor="text1"/>
          <w14:textFill>
            <w14:solidFill>
              <w14:schemeClr w14:val="tx1"/>
            </w14:solidFill>
          </w14:textFill>
        </w:rPr>
        <w:fldChar w:fldCharType="end"/>
      </w:r>
      <w:r>
        <w:rPr>
          <w:color w:val="000000" w:themeColor="text1"/>
          <w14:textFill>
            <w14:solidFill>
              <w14:schemeClr w14:val="tx1"/>
            </w14:solidFill>
          </w14:textFill>
        </w:rPr>
        <w:fldChar w:fldCharType="end"/>
      </w:r>
    </w:p>
    <w:p>
      <w:pPr>
        <w:pStyle w:val="74"/>
        <w:rPr>
          <w:rFonts w:asciiTheme="minorHAnsi" w:hAnsiTheme="minorHAnsi" w:eastAsiaTheme="minorEastAsia" w:cstheme="minorBidi"/>
          <w:color w:val="000000" w:themeColor="text1"/>
          <w:sz w:val="21"/>
          <w:szCs w:val="22"/>
          <w14:textFill>
            <w14:solidFill>
              <w14:schemeClr w14:val="tx1"/>
            </w14:solidFill>
          </w14:textFill>
        </w:rPr>
      </w:pPr>
      <w:r>
        <w:fldChar w:fldCharType="begin"/>
      </w:r>
      <w:r>
        <w:instrText xml:space="preserve"> HYPERLINK \l "_Toc170918602" </w:instrText>
      </w:r>
      <w:r>
        <w:fldChar w:fldCharType="separate"/>
      </w:r>
      <w:r>
        <w:rPr>
          <w:rStyle w:val="144"/>
          <w:color w:val="000000" w:themeColor="text1"/>
          <w14:textFill>
            <w14:solidFill>
              <w14:schemeClr w14:val="tx1"/>
            </w14:solidFill>
          </w14:textFill>
        </w:rPr>
        <w:t>3.2</w:t>
      </w:r>
      <w:r>
        <w:rPr>
          <w:rStyle w:val="144"/>
          <w:rFonts w:hint="eastAsia"/>
          <w:color w:val="000000" w:themeColor="text1"/>
          <w14:textFill>
            <w14:solidFill>
              <w14:schemeClr w14:val="tx1"/>
            </w14:solidFill>
          </w14:textFill>
        </w:rPr>
        <w:t xml:space="preserve"> 生态敏感区及珍稀濒危物种调查</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_Toc170918602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- 124 -</w:t>
      </w:r>
      <w:r>
        <w:rPr>
          <w:color w:val="000000" w:themeColor="text1"/>
          <w14:textFill>
            <w14:solidFill>
              <w14:schemeClr w14:val="tx1"/>
            </w14:solidFill>
          </w14:textFill>
        </w:rPr>
        <w:fldChar w:fldCharType="end"/>
      </w:r>
      <w:r>
        <w:rPr>
          <w:color w:val="000000" w:themeColor="text1"/>
          <w14:textFill>
            <w14:solidFill>
              <w14:schemeClr w14:val="tx1"/>
            </w14:solidFill>
          </w14:textFill>
        </w:rPr>
        <w:fldChar w:fldCharType="end"/>
      </w:r>
    </w:p>
    <w:p>
      <w:pPr>
        <w:pStyle w:val="74"/>
        <w:rPr>
          <w:rFonts w:asciiTheme="minorHAnsi" w:hAnsiTheme="minorHAnsi" w:eastAsiaTheme="minorEastAsia" w:cstheme="minorBidi"/>
          <w:color w:val="000000" w:themeColor="text1"/>
          <w:sz w:val="21"/>
          <w:szCs w:val="22"/>
          <w14:textFill>
            <w14:solidFill>
              <w14:schemeClr w14:val="tx1"/>
            </w14:solidFill>
          </w14:textFill>
        </w:rPr>
      </w:pPr>
      <w:r>
        <w:fldChar w:fldCharType="begin"/>
      </w:r>
      <w:r>
        <w:instrText xml:space="preserve"> HYPERLINK \l "_Toc170918603" </w:instrText>
      </w:r>
      <w:r>
        <w:fldChar w:fldCharType="separate"/>
      </w:r>
      <w:r>
        <w:rPr>
          <w:rStyle w:val="144"/>
          <w:color w:val="000000" w:themeColor="text1"/>
          <w14:textFill>
            <w14:solidFill>
              <w14:schemeClr w14:val="tx1"/>
            </w14:solidFill>
          </w14:textFill>
        </w:rPr>
        <w:t>3.3</w:t>
      </w:r>
      <w:r>
        <w:rPr>
          <w:rStyle w:val="144"/>
          <w:rFonts w:hint="eastAsia"/>
          <w:color w:val="000000" w:themeColor="text1"/>
          <w14:textFill>
            <w14:solidFill>
              <w14:schemeClr w14:val="tx1"/>
            </w14:solidFill>
          </w14:textFill>
        </w:rPr>
        <w:t xml:space="preserve"> 海洋环境现状调查</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_Toc170918603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- 131 -</w:t>
      </w:r>
      <w:r>
        <w:rPr>
          <w:color w:val="000000" w:themeColor="text1"/>
          <w14:textFill>
            <w14:solidFill>
              <w14:schemeClr w14:val="tx1"/>
            </w14:solidFill>
          </w14:textFill>
        </w:rPr>
        <w:fldChar w:fldCharType="end"/>
      </w:r>
      <w:r>
        <w:rPr>
          <w:color w:val="000000" w:themeColor="text1"/>
          <w14:textFill>
            <w14:solidFill>
              <w14:schemeClr w14:val="tx1"/>
            </w14:solidFill>
          </w14:textFill>
        </w:rPr>
        <w:fldChar w:fldCharType="end"/>
      </w:r>
    </w:p>
    <w:p>
      <w:pPr>
        <w:pStyle w:val="74"/>
        <w:rPr>
          <w:rFonts w:asciiTheme="minorHAnsi" w:hAnsiTheme="minorHAnsi" w:eastAsiaTheme="minorEastAsia" w:cstheme="minorBidi"/>
          <w:color w:val="000000" w:themeColor="text1"/>
          <w:sz w:val="21"/>
          <w:szCs w:val="22"/>
          <w14:textFill>
            <w14:solidFill>
              <w14:schemeClr w14:val="tx1"/>
            </w14:solidFill>
          </w14:textFill>
        </w:rPr>
      </w:pPr>
      <w:r>
        <w:fldChar w:fldCharType="begin"/>
      </w:r>
      <w:r>
        <w:instrText xml:space="preserve"> HYPERLINK \l "_Toc170918604" </w:instrText>
      </w:r>
      <w:r>
        <w:fldChar w:fldCharType="separate"/>
      </w:r>
      <w:r>
        <w:rPr>
          <w:rStyle w:val="144"/>
          <w:color w:val="000000" w:themeColor="text1"/>
          <w14:textFill>
            <w14:solidFill>
              <w14:schemeClr w14:val="tx1"/>
            </w14:solidFill>
          </w14:textFill>
        </w:rPr>
        <w:t>3.4</w:t>
      </w:r>
      <w:r>
        <w:rPr>
          <w:rStyle w:val="144"/>
          <w:rFonts w:hint="eastAsia"/>
          <w:color w:val="000000" w:themeColor="text1"/>
          <w14:textFill>
            <w14:solidFill>
              <w14:schemeClr w14:val="tx1"/>
            </w14:solidFill>
          </w14:textFill>
        </w:rPr>
        <w:t xml:space="preserve"> 环境空气质量现状调查与评价</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_Toc170918604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- 152 -</w:t>
      </w:r>
      <w:r>
        <w:rPr>
          <w:color w:val="000000" w:themeColor="text1"/>
          <w14:textFill>
            <w14:solidFill>
              <w14:schemeClr w14:val="tx1"/>
            </w14:solidFill>
          </w14:textFill>
        </w:rPr>
        <w:fldChar w:fldCharType="end"/>
      </w:r>
      <w:r>
        <w:rPr>
          <w:color w:val="000000" w:themeColor="text1"/>
          <w14:textFill>
            <w14:solidFill>
              <w14:schemeClr w14:val="tx1"/>
            </w14:solidFill>
          </w14:textFill>
        </w:rPr>
        <w:fldChar w:fldCharType="end"/>
      </w:r>
    </w:p>
    <w:p>
      <w:pPr>
        <w:pStyle w:val="74"/>
        <w:rPr>
          <w:rFonts w:asciiTheme="minorHAnsi" w:hAnsiTheme="minorHAnsi" w:eastAsiaTheme="minorEastAsia" w:cstheme="minorBidi"/>
          <w:color w:val="000000" w:themeColor="text1"/>
          <w:sz w:val="21"/>
          <w:szCs w:val="22"/>
          <w14:textFill>
            <w14:solidFill>
              <w14:schemeClr w14:val="tx1"/>
            </w14:solidFill>
          </w14:textFill>
        </w:rPr>
      </w:pPr>
      <w:r>
        <w:fldChar w:fldCharType="begin"/>
      </w:r>
      <w:r>
        <w:instrText xml:space="preserve"> HYPERLINK \l "_Toc170918605" </w:instrText>
      </w:r>
      <w:r>
        <w:fldChar w:fldCharType="separate"/>
      </w:r>
      <w:r>
        <w:rPr>
          <w:rStyle w:val="144"/>
          <w:color w:val="000000" w:themeColor="text1"/>
          <w14:textFill>
            <w14:solidFill>
              <w14:schemeClr w14:val="tx1"/>
            </w14:solidFill>
          </w14:textFill>
        </w:rPr>
        <w:t>3.5</w:t>
      </w:r>
      <w:r>
        <w:rPr>
          <w:rStyle w:val="144"/>
          <w:rFonts w:hint="eastAsia"/>
          <w:color w:val="000000" w:themeColor="text1"/>
          <w14:textFill>
            <w14:solidFill>
              <w14:schemeClr w14:val="tx1"/>
            </w14:solidFill>
          </w14:textFill>
        </w:rPr>
        <w:t xml:space="preserve"> 声环境质量现状调查与评价</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_Toc170918605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- 157 -</w:t>
      </w:r>
      <w:r>
        <w:rPr>
          <w:color w:val="000000" w:themeColor="text1"/>
          <w14:textFill>
            <w14:solidFill>
              <w14:schemeClr w14:val="tx1"/>
            </w14:solidFill>
          </w14:textFill>
        </w:rPr>
        <w:fldChar w:fldCharType="end"/>
      </w:r>
      <w:r>
        <w:rPr>
          <w:color w:val="000000" w:themeColor="text1"/>
          <w14:textFill>
            <w14:solidFill>
              <w14:schemeClr w14:val="tx1"/>
            </w14:solidFill>
          </w14:textFill>
        </w:rPr>
        <w:fldChar w:fldCharType="end"/>
      </w:r>
    </w:p>
    <w:p>
      <w:pPr>
        <w:pStyle w:val="74"/>
        <w:rPr>
          <w:rFonts w:asciiTheme="minorHAnsi" w:hAnsiTheme="minorHAnsi" w:eastAsiaTheme="minorEastAsia" w:cstheme="minorBidi"/>
          <w:color w:val="000000" w:themeColor="text1"/>
          <w:sz w:val="21"/>
          <w:szCs w:val="22"/>
          <w14:textFill>
            <w14:solidFill>
              <w14:schemeClr w14:val="tx1"/>
            </w14:solidFill>
          </w14:textFill>
        </w:rPr>
      </w:pPr>
      <w:r>
        <w:fldChar w:fldCharType="begin"/>
      </w:r>
      <w:r>
        <w:instrText xml:space="preserve"> HYPERLINK \l "_Toc170918606" </w:instrText>
      </w:r>
      <w:r>
        <w:fldChar w:fldCharType="separate"/>
      </w:r>
      <w:r>
        <w:rPr>
          <w:rStyle w:val="144"/>
          <w:color w:val="000000" w:themeColor="text1"/>
          <w14:textFill>
            <w14:solidFill>
              <w14:schemeClr w14:val="tx1"/>
            </w14:solidFill>
          </w14:textFill>
        </w:rPr>
        <w:t>3.6</w:t>
      </w:r>
      <w:r>
        <w:rPr>
          <w:rStyle w:val="144"/>
          <w:rFonts w:hint="eastAsia"/>
          <w:color w:val="000000" w:themeColor="text1"/>
          <w14:textFill>
            <w14:solidFill>
              <w14:schemeClr w14:val="tx1"/>
            </w14:solidFill>
          </w14:textFill>
        </w:rPr>
        <w:t xml:space="preserve"> 陆域生态环境现状调查</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_Toc170918606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- 158 -</w:t>
      </w:r>
      <w:r>
        <w:rPr>
          <w:color w:val="000000" w:themeColor="text1"/>
          <w14:textFill>
            <w14:solidFill>
              <w14:schemeClr w14:val="tx1"/>
            </w14:solidFill>
          </w14:textFill>
        </w:rPr>
        <w:fldChar w:fldCharType="end"/>
      </w:r>
      <w:r>
        <w:rPr>
          <w:color w:val="000000" w:themeColor="text1"/>
          <w14:textFill>
            <w14:solidFill>
              <w14:schemeClr w14:val="tx1"/>
            </w14:solidFill>
          </w14:textFill>
        </w:rPr>
        <w:fldChar w:fldCharType="end"/>
      </w:r>
    </w:p>
    <w:p>
      <w:pPr>
        <w:pStyle w:val="74"/>
        <w:rPr>
          <w:rFonts w:asciiTheme="minorHAnsi" w:hAnsiTheme="minorHAnsi" w:eastAsiaTheme="minorEastAsia" w:cstheme="minorBidi"/>
          <w:color w:val="000000" w:themeColor="text1"/>
          <w:sz w:val="21"/>
          <w:szCs w:val="22"/>
          <w14:textFill>
            <w14:solidFill>
              <w14:schemeClr w14:val="tx1"/>
            </w14:solidFill>
          </w14:textFill>
        </w:rPr>
      </w:pPr>
      <w:r>
        <w:fldChar w:fldCharType="begin"/>
      </w:r>
      <w:r>
        <w:instrText xml:space="preserve"> HYPERLINK \l "_Toc170918607" </w:instrText>
      </w:r>
      <w:r>
        <w:fldChar w:fldCharType="separate"/>
      </w:r>
      <w:r>
        <w:rPr>
          <w:rStyle w:val="144"/>
          <w:color w:val="000000" w:themeColor="text1"/>
          <w14:textFill>
            <w14:solidFill>
              <w14:schemeClr w14:val="tx1"/>
            </w14:solidFill>
          </w14:textFill>
        </w:rPr>
        <w:t>3.7</w:t>
      </w:r>
      <w:r>
        <w:rPr>
          <w:rStyle w:val="144"/>
          <w:rFonts w:hint="eastAsia"/>
          <w:color w:val="000000" w:themeColor="text1"/>
          <w14:textFill>
            <w14:solidFill>
              <w14:schemeClr w14:val="tx1"/>
            </w14:solidFill>
          </w14:textFill>
        </w:rPr>
        <w:t xml:space="preserve"> 环境现状调查与评价小结</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_Toc170918607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- 158 -</w:t>
      </w:r>
      <w:r>
        <w:rPr>
          <w:color w:val="000000" w:themeColor="text1"/>
          <w14:textFill>
            <w14:solidFill>
              <w14:schemeClr w14:val="tx1"/>
            </w14:solidFill>
          </w14:textFill>
        </w:rPr>
        <w:fldChar w:fldCharType="end"/>
      </w:r>
      <w:r>
        <w:rPr>
          <w:color w:val="000000" w:themeColor="text1"/>
          <w14:textFill>
            <w14:solidFill>
              <w14:schemeClr w14:val="tx1"/>
            </w14:solidFill>
          </w14:textFill>
        </w:rPr>
        <w:fldChar w:fldCharType="end"/>
      </w:r>
    </w:p>
    <w:p>
      <w:pPr>
        <w:pStyle w:val="59"/>
        <w:rPr>
          <w:rFonts w:asciiTheme="minorHAnsi" w:hAnsiTheme="minorHAnsi" w:eastAsiaTheme="minorEastAsia" w:cstheme="minorBidi"/>
          <w:bCs w:val="0"/>
          <w:color w:val="000000" w:themeColor="text1"/>
          <w:sz w:val="21"/>
          <w:szCs w:val="22"/>
          <w14:textFill>
            <w14:solidFill>
              <w14:schemeClr w14:val="tx1"/>
            </w14:solidFill>
          </w14:textFill>
        </w:rPr>
      </w:pPr>
      <w:r>
        <w:fldChar w:fldCharType="begin"/>
      </w:r>
      <w:r>
        <w:instrText xml:space="preserve"> HYPERLINK \l "_Toc170918608" </w:instrText>
      </w:r>
      <w:r>
        <w:fldChar w:fldCharType="separate"/>
      </w:r>
      <w:r>
        <w:rPr>
          <w:rStyle w:val="144"/>
          <w:bCs w:val="0"/>
          <w:color w:val="000000" w:themeColor="text1"/>
          <w14:textFill>
            <w14:solidFill>
              <w14:schemeClr w14:val="tx1"/>
            </w14:solidFill>
          </w14:textFill>
        </w:rPr>
        <w:t>4</w:t>
      </w:r>
      <w:r>
        <w:rPr>
          <w:rStyle w:val="144"/>
          <w:rFonts w:hint="eastAsia"/>
          <w:bCs w:val="0"/>
          <w:color w:val="000000" w:themeColor="text1"/>
          <w14:textFill>
            <w14:solidFill>
              <w14:schemeClr w14:val="tx1"/>
            </w14:solidFill>
          </w14:textFill>
        </w:rPr>
        <w:t xml:space="preserve"> 环境影响预测与评价</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_Toc170918608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- 160 -</w:t>
      </w:r>
      <w:r>
        <w:rPr>
          <w:color w:val="000000" w:themeColor="text1"/>
          <w14:textFill>
            <w14:solidFill>
              <w14:schemeClr w14:val="tx1"/>
            </w14:solidFill>
          </w14:textFill>
        </w:rPr>
        <w:fldChar w:fldCharType="end"/>
      </w:r>
      <w:r>
        <w:rPr>
          <w:color w:val="000000" w:themeColor="text1"/>
          <w14:textFill>
            <w14:solidFill>
              <w14:schemeClr w14:val="tx1"/>
            </w14:solidFill>
          </w14:textFill>
        </w:rPr>
        <w:fldChar w:fldCharType="end"/>
      </w:r>
    </w:p>
    <w:p>
      <w:pPr>
        <w:pStyle w:val="74"/>
        <w:rPr>
          <w:rFonts w:asciiTheme="minorHAnsi" w:hAnsiTheme="minorHAnsi" w:eastAsiaTheme="minorEastAsia" w:cstheme="minorBidi"/>
          <w:color w:val="000000" w:themeColor="text1"/>
          <w:sz w:val="21"/>
          <w:szCs w:val="22"/>
          <w14:textFill>
            <w14:solidFill>
              <w14:schemeClr w14:val="tx1"/>
            </w14:solidFill>
          </w14:textFill>
        </w:rPr>
      </w:pPr>
      <w:r>
        <w:fldChar w:fldCharType="begin"/>
      </w:r>
      <w:r>
        <w:instrText xml:space="preserve"> HYPERLINK \l "_Toc170918609" </w:instrText>
      </w:r>
      <w:r>
        <w:fldChar w:fldCharType="separate"/>
      </w:r>
      <w:r>
        <w:rPr>
          <w:rStyle w:val="144"/>
          <w:color w:val="000000" w:themeColor="text1"/>
          <w14:textFill>
            <w14:solidFill>
              <w14:schemeClr w14:val="tx1"/>
            </w14:solidFill>
          </w14:textFill>
        </w:rPr>
        <w:t>4.1</w:t>
      </w:r>
      <w:r>
        <w:rPr>
          <w:rStyle w:val="144"/>
          <w:rFonts w:hint="eastAsia"/>
          <w:color w:val="000000" w:themeColor="text1"/>
          <w14:textFill>
            <w14:solidFill>
              <w14:schemeClr w14:val="tx1"/>
            </w14:solidFill>
          </w14:textFill>
        </w:rPr>
        <w:t xml:space="preserve"> 水环境影响分析</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_Toc170918609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- 160 -</w:t>
      </w:r>
      <w:r>
        <w:rPr>
          <w:color w:val="000000" w:themeColor="text1"/>
          <w14:textFill>
            <w14:solidFill>
              <w14:schemeClr w14:val="tx1"/>
            </w14:solidFill>
          </w14:textFill>
        </w:rPr>
        <w:fldChar w:fldCharType="end"/>
      </w:r>
      <w:r>
        <w:rPr>
          <w:color w:val="000000" w:themeColor="text1"/>
          <w14:textFill>
            <w14:solidFill>
              <w14:schemeClr w14:val="tx1"/>
            </w14:solidFill>
          </w14:textFill>
        </w:rPr>
        <w:fldChar w:fldCharType="end"/>
      </w:r>
    </w:p>
    <w:p>
      <w:pPr>
        <w:pStyle w:val="74"/>
        <w:rPr>
          <w:rFonts w:asciiTheme="minorHAnsi" w:hAnsiTheme="minorHAnsi" w:eastAsiaTheme="minorEastAsia" w:cstheme="minorBidi"/>
          <w:color w:val="000000" w:themeColor="text1"/>
          <w:sz w:val="21"/>
          <w:szCs w:val="22"/>
          <w14:textFill>
            <w14:solidFill>
              <w14:schemeClr w14:val="tx1"/>
            </w14:solidFill>
          </w14:textFill>
        </w:rPr>
      </w:pPr>
      <w:r>
        <w:fldChar w:fldCharType="begin"/>
      </w:r>
      <w:r>
        <w:instrText xml:space="preserve"> HYPERLINK \l "_Toc170918610" </w:instrText>
      </w:r>
      <w:r>
        <w:fldChar w:fldCharType="separate"/>
      </w:r>
      <w:r>
        <w:rPr>
          <w:rStyle w:val="144"/>
          <w:color w:val="000000" w:themeColor="text1"/>
          <w14:textFill>
            <w14:solidFill>
              <w14:schemeClr w14:val="tx1"/>
            </w14:solidFill>
          </w14:textFill>
        </w:rPr>
        <w:t>4.2</w:t>
      </w:r>
      <w:r>
        <w:rPr>
          <w:rStyle w:val="144"/>
          <w:rFonts w:hint="eastAsia"/>
          <w:color w:val="000000" w:themeColor="text1"/>
          <w14:textFill>
            <w14:solidFill>
              <w14:schemeClr w14:val="tx1"/>
            </w14:solidFill>
          </w14:textFill>
        </w:rPr>
        <w:t xml:space="preserve"> 对生态系统影响与评价</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_Toc170918610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- 183 -</w:t>
      </w:r>
      <w:r>
        <w:rPr>
          <w:color w:val="000000" w:themeColor="text1"/>
          <w14:textFill>
            <w14:solidFill>
              <w14:schemeClr w14:val="tx1"/>
            </w14:solidFill>
          </w14:textFill>
        </w:rPr>
        <w:fldChar w:fldCharType="end"/>
      </w:r>
      <w:r>
        <w:rPr>
          <w:color w:val="000000" w:themeColor="text1"/>
          <w14:textFill>
            <w14:solidFill>
              <w14:schemeClr w14:val="tx1"/>
            </w14:solidFill>
          </w14:textFill>
        </w:rPr>
        <w:fldChar w:fldCharType="end"/>
      </w:r>
    </w:p>
    <w:p>
      <w:pPr>
        <w:pStyle w:val="74"/>
        <w:rPr>
          <w:rFonts w:asciiTheme="minorHAnsi" w:hAnsiTheme="minorHAnsi" w:eastAsiaTheme="minorEastAsia" w:cstheme="minorBidi"/>
          <w:color w:val="000000" w:themeColor="text1"/>
          <w:sz w:val="21"/>
          <w:szCs w:val="22"/>
          <w14:textFill>
            <w14:solidFill>
              <w14:schemeClr w14:val="tx1"/>
            </w14:solidFill>
          </w14:textFill>
        </w:rPr>
      </w:pPr>
      <w:r>
        <w:fldChar w:fldCharType="begin"/>
      </w:r>
      <w:r>
        <w:instrText xml:space="preserve"> HYPERLINK \l "_Toc170918611" </w:instrText>
      </w:r>
      <w:r>
        <w:fldChar w:fldCharType="separate"/>
      </w:r>
      <w:r>
        <w:rPr>
          <w:rStyle w:val="144"/>
          <w:color w:val="000000" w:themeColor="text1"/>
          <w14:textFill>
            <w14:solidFill>
              <w14:schemeClr w14:val="tx1"/>
            </w14:solidFill>
          </w14:textFill>
        </w:rPr>
        <w:t>4.3</w:t>
      </w:r>
      <w:r>
        <w:rPr>
          <w:rStyle w:val="144"/>
          <w:rFonts w:hint="eastAsia"/>
          <w:color w:val="000000" w:themeColor="text1"/>
          <w14:textFill>
            <w14:solidFill>
              <w14:schemeClr w14:val="tx1"/>
            </w14:solidFill>
          </w14:textFill>
        </w:rPr>
        <w:t xml:space="preserve"> 大气环境影响分析</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_Toc170918611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- 198 -</w:t>
      </w:r>
      <w:r>
        <w:rPr>
          <w:color w:val="000000" w:themeColor="text1"/>
          <w14:textFill>
            <w14:solidFill>
              <w14:schemeClr w14:val="tx1"/>
            </w14:solidFill>
          </w14:textFill>
        </w:rPr>
        <w:fldChar w:fldCharType="end"/>
      </w:r>
      <w:r>
        <w:rPr>
          <w:color w:val="000000" w:themeColor="text1"/>
          <w14:textFill>
            <w14:solidFill>
              <w14:schemeClr w14:val="tx1"/>
            </w14:solidFill>
          </w14:textFill>
        </w:rPr>
        <w:fldChar w:fldCharType="end"/>
      </w:r>
    </w:p>
    <w:p>
      <w:pPr>
        <w:pStyle w:val="74"/>
        <w:rPr>
          <w:rFonts w:asciiTheme="minorHAnsi" w:hAnsiTheme="minorHAnsi" w:eastAsiaTheme="minorEastAsia" w:cstheme="minorBidi"/>
          <w:color w:val="000000" w:themeColor="text1"/>
          <w:sz w:val="21"/>
          <w:szCs w:val="22"/>
          <w14:textFill>
            <w14:solidFill>
              <w14:schemeClr w14:val="tx1"/>
            </w14:solidFill>
          </w14:textFill>
        </w:rPr>
      </w:pPr>
      <w:r>
        <w:fldChar w:fldCharType="begin"/>
      </w:r>
      <w:r>
        <w:instrText xml:space="preserve"> HYPERLINK \l "_Toc170918612" </w:instrText>
      </w:r>
      <w:r>
        <w:fldChar w:fldCharType="separate"/>
      </w:r>
      <w:r>
        <w:rPr>
          <w:rStyle w:val="144"/>
          <w:color w:val="000000" w:themeColor="text1"/>
          <w14:textFill>
            <w14:solidFill>
              <w14:schemeClr w14:val="tx1"/>
            </w14:solidFill>
          </w14:textFill>
        </w:rPr>
        <w:t>4.4</w:t>
      </w:r>
      <w:r>
        <w:rPr>
          <w:rStyle w:val="144"/>
          <w:rFonts w:hint="eastAsia"/>
          <w:color w:val="000000" w:themeColor="text1"/>
          <w14:textFill>
            <w14:solidFill>
              <w14:schemeClr w14:val="tx1"/>
            </w14:solidFill>
          </w14:textFill>
        </w:rPr>
        <w:t xml:space="preserve"> 声环境影响预测与分析</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_Toc170918612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- 200 -</w:t>
      </w:r>
      <w:r>
        <w:rPr>
          <w:color w:val="000000" w:themeColor="text1"/>
          <w14:textFill>
            <w14:solidFill>
              <w14:schemeClr w14:val="tx1"/>
            </w14:solidFill>
          </w14:textFill>
        </w:rPr>
        <w:fldChar w:fldCharType="end"/>
      </w:r>
      <w:r>
        <w:rPr>
          <w:color w:val="000000" w:themeColor="text1"/>
          <w14:textFill>
            <w14:solidFill>
              <w14:schemeClr w14:val="tx1"/>
            </w14:solidFill>
          </w14:textFill>
        </w:rPr>
        <w:fldChar w:fldCharType="end"/>
      </w:r>
    </w:p>
    <w:p>
      <w:pPr>
        <w:pStyle w:val="74"/>
        <w:rPr>
          <w:rFonts w:asciiTheme="minorHAnsi" w:hAnsiTheme="minorHAnsi" w:eastAsiaTheme="minorEastAsia" w:cstheme="minorBidi"/>
          <w:color w:val="000000" w:themeColor="text1"/>
          <w:sz w:val="21"/>
          <w:szCs w:val="22"/>
          <w14:textFill>
            <w14:solidFill>
              <w14:schemeClr w14:val="tx1"/>
            </w14:solidFill>
          </w14:textFill>
        </w:rPr>
      </w:pPr>
      <w:r>
        <w:fldChar w:fldCharType="begin"/>
      </w:r>
      <w:r>
        <w:instrText xml:space="preserve"> HYPERLINK \l "_Toc170918613" </w:instrText>
      </w:r>
      <w:r>
        <w:fldChar w:fldCharType="separate"/>
      </w:r>
      <w:r>
        <w:rPr>
          <w:rStyle w:val="144"/>
          <w:color w:val="000000" w:themeColor="text1"/>
          <w14:textFill>
            <w14:solidFill>
              <w14:schemeClr w14:val="tx1"/>
            </w14:solidFill>
          </w14:textFill>
        </w:rPr>
        <w:t>4.5</w:t>
      </w:r>
      <w:r>
        <w:rPr>
          <w:rStyle w:val="144"/>
          <w:rFonts w:hint="eastAsia"/>
          <w:color w:val="000000" w:themeColor="text1"/>
          <w14:textFill>
            <w14:solidFill>
              <w14:schemeClr w14:val="tx1"/>
            </w14:solidFill>
          </w14:textFill>
        </w:rPr>
        <w:t xml:space="preserve"> 固体废物环境影响分析</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_Toc170918613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- 203 -</w:t>
      </w:r>
      <w:r>
        <w:rPr>
          <w:color w:val="000000" w:themeColor="text1"/>
          <w14:textFill>
            <w14:solidFill>
              <w14:schemeClr w14:val="tx1"/>
            </w14:solidFill>
          </w14:textFill>
        </w:rPr>
        <w:fldChar w:fldCharType="end"/>
      </w:r>
      <w:r>
        <w:rPr>
          <w:color w:val="000000" w:themeColor="text1"/>
          <w14:textFill>
            <w14:solidFill>
              <w14:schemeClr w14:val="tx1"/>
            </w14:solidFill>
          </w14:textFill>
        </w:rPr>
        <w:fldChar w:fldCharType="end"/>
      </w:r>
    </w:p>
    <w:p>
      <w:pPr>
        <w:pStyle w:val="74"/>
        <w:rPr>
          <w:rFonts w:asciiTheme="minorHAnsi" w:hAnsiTheme="minorHAnsi" w:eastAsiaTheme="minorEastAsia" w:cstheme="minorBidi"/>
          <w:color w:val="000000" w:themeColor="text1"/>
          <w:sz w:val="21"/>
          <w:szCs w:val="22"/>
          <w14:textFill>
            <w14:solidFill>
              <w14:schemeClr w14:val="tx1"/>
            </w14:solidFill>
          </w14:textFill>
        </w:rPr>
      </w:pPr>
      <w:r>
        <w:fldChar w:fldCharType="begin"/>
      </w:r>
      <w:r>
        <w:instrText xml:space="preserve"> HYPERLINK \l "_Toc170918614" </w:instrText>
      </w:r>
      <w:r>
        <w:fldChar w:fldCharType="separate"/>
      </w:r>
      <w:r>
        <w:rPr>
          <w:rStyle w:val="144"/>
          <w:color w:val="000000" w:themeColor="text1"/>
          <w14:textFill>
            <w14:solidFill>
              <w14:schemeClr w14:val="tx1"/>
            </w14:solidFill>
          </w14:textFill>
        </w:rPr>
        <w:t>4.6</w:t>
      </w:r>
      <w:r>
        <w:rPr>
          <w:rStyle w:val="144"/>
          <w:rFonts w:hint="eastAsia"/>
          <w:color w:val="000000" w:themeColor="text1"/>
          <w14:textFill>
            <w14:solidFill>
              <w14:schemeClr w14:val="tx1"/>
            </w14:solidFill>
          </w14:textFill>
        </w:rPr>
        <w:t xml:space="preserve"> 环境风险评价</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_Toc170918614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- 207 -</w:t>
      </w:r>
      <w:r>
        <w:rPr>
          <w:color w:val="000000" w:themeColor="text1"/>
          <w14:textFill>
            <w14:solidFill>
              <w14:schemeClr w14:val="tx1"/>
            </w14:solidFill>
          </w14:textFill>
        </w:rPr>
        <w:fldChar w:fldCharType="end"/>
      </w:r>
      <w:r>
        <w:rPr>
          <w:color w:val="000000" w:themeColor="text1"/>
          <w14:textFill>
            <w14:solidFill>
              <w14:schemeClr w14:val="tx1"/>
            </w14:solidFill>
          </w14:textFill>
        </w:rPr>
        <w:fldChar w:fldCharType="end"/>
      </w:r>
    </w:p>
    <w:p>
      <w:pPr>
        <w:pStyle w:val="59"/>
        <w:rPr>
          <w:rFonts w:asciiTheme="minorHAnsi" w:hAnsiTheme="minorHAnsi" w:eastAsiaTheme="minorEastAsia" w:cstheme="minorBidi"/>
          <w:bCs w:val="0"/>
          <w:color w:val="000000" w:themeColor="text1"/>
          <w:sz w:val="21"/>
          <w:szCs w:val="22"/>
          <w14:textFill>
            <w14:solidFill>
              <w14:schemeClr w14:val="tx1"/>
            </w14:solidFill>
          </w14:textFill>
        </w:rPr>
      </w:pPr>
      <w:r>
        <w:fldChar w:fldCharType="begin"/>
      </w:r>
      <w:r>
        <w:instrText xml:space="preserve"> HYPERLINK \l "_Toc170918615" </w:instrText>
      </w:r>
      <w:r>
        <w:fldChar w:fldCharType="separate"/>
      </w:r>
      <w:r>
        <w:rPr>
          <w:rStyle w:val="144"/>
          <w:bCs w:val="0"/>
          <w:color w:val="000000" w:themeColor="text1"/>
          <w14:textFill>
            <w14:solidFill>
              <w14:schemeClr w14:val="tx1"/>
            </w14:solidFill>
          </w14:textFill>
        </w:rPr>
        <w:t>5</w:t>
      </w:r>
      <w:r>
        <w:rPr>
          <w:rStyle w:val="144"/>
          <w:rFonts w:hint="eastAsia"/>
          <w:bCs w:val="0"/>
          <w:color w:val="000000" w:themeColor="text1"/>
          <w14:textFill>
            <w14:solidFill>
              <w14:schemeClr w14:val="tx1"/>
            </w14:solidFill>
          </w14:textFill>
        </w:rPr>
        <w:t xml:space="preserve"> 环境保护措施及经济可行性论证</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_Toc170918615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- 246 -</w:t>
      </w:r>
      <w:r>
        <w:rPr>
          <w:color w:val="000000" w:themeColor="text1"/>
          <w14:textFill>
            <w14:solidFill>
              <w14:schemeClr w14:val="tx1"/>
            </w14:solidFill>
          </w14:textFill>
        </w:rPr>
        <w:fldChar w:fldCharType="end"/>
      </w:r>
      <w:r>
        <w:rPr>
          <w:color w:val="000000" w:themeColor="text1"/>
          <w14:textFill>
            <w14:solidFill>
              <w14:schemeClr w14:val="tx1"/>
            </w14:solidFill>
          </w14:textFill>
        </w:rPr>
        <w:fldChar w:fldCharType="end"/>
      </w:r>
    </w:p>
    <w:p>
      <w:pPr>
        <w:pStyle w:val="74"/>
        <w:rPr>
          <w:rFonts w:asciiTheme="minorHAnsi" w:hAnsiTheme="minorHAnsi" w:eastAsiaTheme="minorEastAsia" w:cstheme="minorBidi"/>
          <w:color w:val="000000" w:themeColor="text1"/>
          <w:sz w:val="21"/>
          <w:szCs w:val="22"/>
          <w14:textFill>
            <w14:solidFill>
              <w14:schemeClr w14:val="tx1"/>
            </w14:solidFill>
          </w14:textFill>
        </w:rPr>
      </w:pPr>
      <w:r>
        <w:fldChar w:fldCharType="begin"/>
      </w:r>
      <w:r>
        <w:instrText xml:space="preserve"> HYPERLINK \l "_Toc170918616" </w:instrText>
      </w:r>
      <w:r>
        <w:fldChar w:fldCharType="separate"/>
      </w:r>
      <w:r>
        <w:rPr>
          <w:rStyle w:val="144"/>
          <w:color w:val="000000" w:themeColor="text1"/>
          <w14:textFill>
            <w14:solidFill>
              <w14:schemeClr w14:val="tx1"/>
            </w14:solidFill>
          </w14:textFill>
        </w:rPr>
        <w:t>5.1</w:t>
      </w:r>
      <w:r>
        <w:rPr>
          <w:rStyle w:val="144"/>
          <w:rFonts w:hint="eastAsia"/>
          <w:color w:val="000000" w:themeColor="text1"/>
          <w14:textFill>
            <w14:solidFill>
              <w14:schemeClr w14:val="tx1"/>
            </w14:solidFill>
          </w14:textFill>
        </w:rPr>
        <w:t xml:space="preserve"> 施工阶段环保措施</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_Toc170918616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- 246 -</w:t>
      </w:r>
      <w:r>
        <w:rPr>
          <w:color w:val="000000" w:themeColor="text1"/>
          <w14:textFill>
            <w14:solidFill>
              <w14:schemeClr w14:val="tx1"/>
            </w14:solidFill>
          </w14:textFill>
        </w:rPr>
        <w:fldChar w:fldCharType="end"/>
      </w:r>
      <w:r>
        <w:rPr>
          <w:color w:val="000000" w:themeColor="text1"/>
          <w14:textFill>
            <w14:solidFill>
              <w14:schemeClr w14:val="tx1"/>
            </w14:solidFill>
          </w14:textFill>
        </w:rPr>
        <w:fldChar w:fldCharType="end"/>
      </w:r>
    </w:p>
    <w:p>
      <w:pPr>
        <w:pStyle w:val="74"/>
        <w:rPr>
          <w:rFonts w:asciiTheme="minorHAnsi" w:hAnsiTheme="minorHAnsi" w:eastAsiaTheme="minorEastAsia" w:cstheme="minorBidi"/>
          <w:color w:val="000000" w:themeColor="text1"/>
          <w:sz w:val="21"/>
          <w:szCs w:val="22"/>
          <w14:textFill>
            <w14:solidFill>
              <w14:schemeClr w14:val="tx1"/>
            </w14:solidFill>
          </w14:textFill>
        </w:rPr>
      </w:pPr>
      <w:r>
        <w:fldChar w:fldCharType="begin"/>
      </w:r>
      <w:r>
        <w:instrText xml:space="preserve"> HYPERLINK \l "_Toc170918617" </w:instrText>
      </w:r>
      <w:r>
        <w:fldChar w:fldCharType="separate"/>
      </w:r>
      <w:r>
        <w:rPr>
          <w:rStyle w:val="144"/>
          <w:color w:val="000000" w:themeColor="text1"/>
          <w14:textFill>
            <w14:solidFill>
              <w14:schemeClr w14:val="tx1"/>
            </w14:solidFill>
          </w14:textFill>
        </w:rPr>
        <w:t>5.2</w:t>
      </w:r>
      <w:r>
        <w:rPr>
          <w:rStyle w:val="144"/>
          <w:rFonts w:hint="eastAsia"/>
          <w:color w:val="000000" w:themeColor="text1"/>
          <w14:textFill>
            <w14:solidFill>
              <w14:schemeClr w14:val="tx1"/>
            </w14:solidFill>
          </w14:textFill>
        </w:rPr>
        <w:t xml:space="preserve"> 运营期环保措施</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_Toc170918617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- 249 -</w:t>
      </w:r>
      <w:r>
        <w:rPr>
          <w:color w:val="000000" w:themeColor="text1"/>
          <w14:textFill>
            <w14:solidFill>
              <w14:schemeClr w14:val="tx1"/>
            </w14:solidFill>
          </w14:textFill>
        </w:rPr>
        <w:fldChar w:fldCharType="end"/>
      </w:r>
      <w:r>
        <w:rPr>
          <w:color w:val="000000" w:themeColor="text1"/>
          <w14:textFill>
            <w14:solidFill>
              <w14:schemeClr w14:val="tx1"/>
            </w14:solidFill>
          </w14:textFill>
        </w:rPr>
        <w:fldChar w:fldCharType="end"/>
      </w:r>
    </w:p>
    <w:p>
      <w:pPr>
        <w:pStyle w:val="74"/>
        <w:rPr>
          <w:rFonts w:asciiTheme="minorHAnsi" w:hAnsiTheme="minorHAnsi" w:eastAsiaTheme="minorEastAsia" w:cstheme="minorBidi"/>
          <w:color w:val="000000" w:themeColor="text1"/>
          <w:sz w:val="21"/>
          <w:szCs w:val="22"/>
          <w14:textFill>
            <w14:solidFill>
              <w14:schemeClr w14:val="tx1"/>
            </w14:solidFill>
          </w14:textFill>
        </w:rPr>
      </w:pPr>
      <w:r>
        <w:fldChar w:fldCharType="begin"/>
      </w:r>
      <w:r>
        <w:instrText xml:space="preserve"> HYPERLINK \l "_Toc170918618" </w:instrText>
      </w:r>
      <w:r>
        <w:fldChar w:fldCharType="separate"/>
      </w:r>
      <w:r>
        <w:rPr>
          <w:rStyle w:val="144"/>
          <w:color w:val="000000" w:themeColor="text1"/>
          <w14:textFill>
            <w14:solidFill>
              <w14:schemeClr w14:val="tx1"/>
            </w14:solidFill>
          </w14:textFill>
        </w:rPr>
        <w:t>5.3</w:t>
      </w:r>
      <w:r>
        <w:rPr>
          <w:rStyle w:val="144"/>
          <w:rFonts w:hint="eastAsia"/>
          <w:color w:val="000000" w:themeColor="text1"/>
          <w14:textFill>
            <w14:solidFill>
              <w14:schemeClr w14:val="tx1"/>
            </w14:solidFill>
          </w14:textFill>
        </w:rPr>
        <w:t xml:space="preserve"> 环境保护措施费用估算</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_Toc170918618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- 251 -</w:t>
      </w:r>
      <w:r>
        <w:rPr>
          <w:color w:val="000000" w:themeColor="text1"/>
          <w14:textFill>
            <w14:solidFill>
              <w14:schemeClr w14:val="tx1"/>
            </w14:solidFill>
          </w14:textFill>
        </w:rPr>
        <w:fldChar w:fldCharType="end"/>
      </w:r>
      <w:r>
        <w:rPr>
          <w:color w:val="000000" w:themeColor="text1"/>
          <w14:textFill>
            <w14:solidFill>
              <w14:schemeClr w14:val="tx1"/>
            </w14:solidFill>
          </w14:textFill>
        </w:rPr>
        <w:fldChar w:fldCharType="end"/>
      </w:r>
    </w:p>
    <w:p>
      <w:pPr>
        <w:pStyle w:val="59"/>
        <w:rPr>
          <w:rFonts w:asciiTheme="minorHAnsi" w:hAnsiTheme="minorHAnsi" w:eastAsiaTheme="minorEastAsia" w:cstheme="minorBidi"/>
          <w:bCs w:val="0"/>
          <w:color w:val="000000" w:themeColor="text1"/>
          <w:sz w:val="21"/>
          <w:szCs w:val="22"/>
          <w14:textFill>
            <w14:solidFill>
              <w14:schemeClr w14:val="tx1"/>
            </w14:solidFill>
          </w14:textFill>
        </w:rPr>
      </w:pPr>
      <w:r>
        <w:fldChar w:fldCharType="begin"/>
      </w:r>
      <w:r>
        <w:instrText xml:space="preserve"> HYPERLINK \l "_Toc170918619" </w:instrText>
      </w:r>
      <w:r>
        <w:fldChar w:fldCharType="separate"/>
      </w:r>
      <w:r>
        <w:rPr>
          <w:rStyle w:val="144"/>
          <w:bCs w:val="0"/>
          <w:color w:val="000000" w:themeColor="text1"/>
          <w14:textFill>
            <w14:solidFill>
              <w14:schemeClr w14:val="tx1"/>
            </w14:solidFill>
          </w14:textFill>
        </w:rPr>
        <w:t>6</w:t>
      </w:r>
      <w:r>
        <w:rPr>
          <w:rStyle w:val="144"/>
          <w:rFonts w:hint="eastAsia"/>
          <w:bCs w:val="0"/>
          <w:color w:val="000000" w:themeColor="text1"/>
          <w14:textFill>
            <w14:solidFill>
              <w14:schemeClr w14:val="tx1"/>
            </w14:solidFill>
          </w14:textFill>
        </w:rPr>
        <w:t xml:space="preserve"> 环境影响经济损益分析</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_Toc170918619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- 253 -</w:t>
      </w:r>
      <w:r>
        <w:rPr>
          <w:color w:val="000000" w:themeColor="text1"/>
          <w14:textFill>
            <w14:solidFill>
              <w14:schemeClr w14:val="tx1"/>
            </w14:solidFill>
          </w14:textFill>
        </w:rPr>
        <w:fldChar w:fldCharType="end"/>
      </w:r>
      <w:r>
        <w:rPr>
          <w:color w:val="000000" w:themeColor="text1"/>
          <w14:textFill>
            <w14:solidFill>
              <w14:schemeClr w14:val="tx1"/>
            </w14:solidFill>
          </w14:textFill>
        </w:rPr>
        <w:fldChar w:fldCharType="end"/>
      </w:r>
    </w:p>
    <w:p>
      <w:pPr>
        <w:pStyle w:val="74"/>
        <w:rPr>
          <w:rFonts w:asciiTheme="minorHAnsi" w:hAnsiTheme="minorHAnsi" w:eastAsiaTheme="minorEastAsia" w:cstheme="minorBidi"/>
          <w:color w:val="000000" w:themeColor="text1"/>
          <w:sz w:val="21"/>
          <w:szCs w:val="22"/>
          <w14:textFill>
            <w14:solidFill>
              <w14:schemeClr w14:val="tx1"/>
            </w14:solidFill>
          </w14:textFill>
        </w:rPr>
      </w:pPr>
      <w:r>
        <w:fldChar w:fldCharType="begin"/>
      </w:r>
      <w:r>
        <w:instrText xml:space="preserve"> HYPERLINK \l "_Toc170918620" </w:instrText>
      </w:r>
      <w:r>
        <w:fldChar w:fldCharType="separate"/>
      </w:r>
      <w:r>
        <w:rPr>
          <w:rStyle w:val="144"/>
          <w:color w:val="000000" w:themeColor="text1"/>
          <w14:textFill>
            <w14:solidFill>
              <w14:schemeClr w14:val="tx1"/>
            </w14:solidFill>
          </w14:textFill>
        </w:rPr>
        <w:t>6.1</w:t>
      </w:r>
      <w:r>
        <w:rPr>
          <w:rStyle w:val="144"/>
          <w:rFonts w:hint="eastAsia"/>
          <w:color w:val="000000" w:themeColor="text1"/>
          <w14:textFill>
            <w14:solidFill>
              <w14:schemeClr w14:val="tx1"/>
            </w14:solidFill>
          </w14:textFill>
        </w:rPr>
        <w:t xml:space="preserve"> 项目建设带来的环境损失</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_Toc170918620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- 253 -</w:t>
      </w:r>
      <w:r>
        <w:rPr>
          <w:color w:val="000000" w:themeColor="text1"/>
          <w14:textFill>
            <w14:solidFill>
              <w14:schemeClr w14:val="tx1"/>
            </w14:solidFill>
          </w14:textFill>
        </w:rPr>
        <w:fldChar w:fldCharType="end"/>
      </w:r>
      <w:r>
        <w:rPr>
          <w:color w:val="000000" w:themeColor="text1"/>
          <w14:textFill>
            <w14:solidFill>
              <w14:schemeClr w14:val="tx1"/>
            </w14:solidFill>
          </w14:textFill>
        </w:rPr>
        <w:fldChar w:fldCharType="end"/>
      </w:r>
    </w:p>
    <w:p>
      <w:pPr>
        <w:pStyle w:val="74"/>
        <w:rPr>
          <w:rFonts w:asciiTheme="minorHAnsi" w:hAnsiTheme="minorHAnsi" w:eastAsiaTheme="minorEastAsia" w:cstheme="minorBidi"/>
          <w:color w:val="000000" w:themeColor="text1"/>
          <w:sz w:val="21"/>
          <w:szCs w:val="22"/>
          <w14:textFill>
            <w14:solidFill>
              <w14:schemeClr w14:val="tx1"/>
            </w14:solidFill>
          </w14:textFill>
        </w:rPr>
      </w:pPr>
      <w:r>
        <w:fldChar w:fldCharType="begin"/>
      </w:r>
      <w:r>
        <w:instrText xml:space="preserve"> HYPERLINK \l "_Toc170918621" </w:instrText>
      </w:r>
      <w:r>
        <w:fldChar w:fldCharType="separate"/>
      </w:r>
      <w:r>
        <w:rPr>
          <w:rStyle w:val="144"/>
          <w:color w:val="000000" w:themeColor="text1"/>
          <w14:textFill>
            <w14:solidFill>
              <w14:schemeClr w14:val="tx1"/>
            </w14:solidFill>
          </w14:textFill>
        </w:rPr>
        <w:t>6.2</w:t>
      </w:r>
      <w:r>
        <w:rPr>
          <w:rStyle w:val="144"/>
          <w:rFonts w:hint="eastAsia"/>
          <w:color w:val="000000" w:themeColor="text1"/>
          <w14:textFill>
            <w14:solidFill>
              <w14:schemeClr w14:val="tx1"/>
            </w14:solidFill>
          </w14:textFill>
        </w:rPr>
        <w:t xml:space="preserve"> 环境经济效益分析</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_Toc170918621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- 253 -</w:t>
      </w:r>
      <w:r>
        <w:rPr>
          <w:color w:val="000000" w:themeColor="text1"/>
          <w14:textFill>
            <w14:solidFill>
              <w14:schemeClr w14:val="tx1"/>
            </w14:solidFill>
          </w14:textFill>
        </w:rPr>
        <w:fldChar w:fldCharType="end"/>
      </w:r>
      <w:r>
        <w:rPr>
          <w:color w:val="000000" w:themeColor="text1"/>
          <w14:textFill>
            <w14:solidFill>
              <w14:schemeClr w14:val="tx1"/>
            </w14:solidFill>
          </w14:textFill>
        </w:rPr>
        <w:fldChar w:fldCharType="end"/>
      </w:r>
    </w:p>
    <w:p>
      <w:pPr>
        <w:pStyle w:val="74"/>
        <w:rPr>
          <w:rFonts w:asciiTheme="minorHAnsi" w:hAnsiTheme="minorHAnsi" w:eastAsiaTheme="minorEastAsia" w:cstheme="minorBidi"/>
          <w:color w:val="000000" w:themeColor="text1"/>
          <w:sz w:val="21"/>
          <w:szCs w:val="22"/>
          <w14:textFill>
            <w14:solidFill>
              <w14:schemeClr w14:val="tx1"/>
            </w14:solidFill>
          </w14:textFill>
        </w:rPr>
      </w:pPr>
      <w:r>
        <w:fldChar w:fldCharType="begin"/>
      </w:r>
      <w:r>
        <w:instrText xml:space="preserve"> HYPERLINK \l "_Toc170918622" </w:instrText>
      </w:r>
      <w:r>
        <w:fldChar w:fldCharType="separate"/>
      </w:r>
      <w:r>
        <w:rPr>
          <w:rStyle w:val="144"/>
          <w:color w:val="000000" w:themeColor="text1"/>
          <w14:textFill>
            <w14:solidFill>
              <w14:schemeClr w14:val="tx1"/>
            </w14:solidFill>
          </w14:textFill>
        </w:rPr>
        <w:t>6.3</w:t>
      </w:r>
      <w:r>
        <w:rPr>
          <w:rStyle w:val="144"/>
          <w:rFonts w:hint="eastAsia"/>
          <w:color w:val="000000" w:themeColor="text1"/>
          <w14:textFill>
            <w14:solidFill>
              <w14:schemeClr w14:val="tx1"/>
            </w14:solidFill>
          </w14:textFill>
        </w:rPr>
        <w:t xml:space="preserve"> 工程经济和社会效益分析</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_Toc170918622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- 253 -</w:t>
      </w:r>
      <w:r>
        <w:rPr>
          <w:color w:val="000000" w:themeColor="text1"/>
          <w14:textFill>
            <w14:solidFill>
              <w14:schemeClr w14:val="tx1"/>
            </w14:solidFill>
          </w14:textFill>
        </w:rPr>
        <w:fldChar w:fldCharType="end"/>
      </w:r>
      <w:r>
        <w:rPr>
          <w:color w:val="000000" w:themeColor="text1"/>
          <w14:textFill>
            <w14:solidFill>
              <w14:schemeClr w14:val="tx1"/>
            </w14:solidFill>
          </w14:textFill>
        </w:rPr>
        <w:fldChar w:fldCharType="end"/>
      </w:r>
    </w:p>
    <w:p>
      <w:pPr>
        <w:pStyle w:val="59"/>
        <w:rPr>
          <w:rFonts w:asciiTheme="minorHAnsi" w:hAnsiTheme="minorHAnsi" w:eastAsiaTheme="minorEastAsia" w:cstheme="minorBidi"/>
          <w:bCs w:val="0"/>
          <w:color w:val="000000" w:themeColor="text1"/>
          <w:sz w:val="21"/>
          <w:szCs w:val="22"/>
          <w14:textFill>
            <w14:solidFill>
              <w14:schemeClr w14:val="tx1"/>
            </w14:solidFill>
          </w14:textFill>
        </w:rPr>
      </w:pPr>
      <w:r>
        <w:fldChar w:fldCharType="begin"/>
      </w:r>
      <w:r>
        <w:instrText xml:space="preserve"> HYPERLINK \l "_Toc170918623" </w:instrText>
      </w:r>
      <w:r>
        <w:fldChar w:fldCharType="separate"/>
      </w:r>
      <w:r>
        <w:rPr>
          <w:rStyle w:val="144"/>
          <w:bCs w:val="0"/>
          <w:color w:val="000000" w:themeColor="text1"/>
          <w14:textFill>
            <w14:solidFill>
              <w14:schemeClr w14:val="tx1"/>
            </w14:solidFill>
          </w14:textFill>
        </w:rPr>
        <w:t>7</w:t>
      </w:r>
      <w:r>
        <w:rPr>
          <w:rStyle w:val="144"/>
          <w:rFonts w:hint="eastAsia"/>
          <w:bCs w:val="0"/>
          <w:color w:val="000000" w:themeColor="text1"/>
          <w14:textFill>
            <w14:solidFill>
              <w14:schemeClr w14:val="tx1"/>
            </w14:solidFill>
          </w14:textFill>
        </w:rPr>
        <w:t xml:space="preserve"> 环境保护管理与环境监控计划</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_Toc170918623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- 254 -</w:t>
      </w:r>
      <w:r>
        <w:rPr>
          <w:color w:val="000000" w:themeColor="text1"/>
          <w14:textFill>
            <w14:solidFill>
              <w14:schemeClr w14:val="tx1"/>
            </w14:solidFill>
          </w14:textFill>
        </w:rPr>
        <w:fldChar w:fldCharType="end"/>
      </w:r>
      <w:r>
        <w:rPr>
          <w:color w:val="000000" w:themeColor="text1"/>
          <w14:textFill>
            <w14:solidFill>
              <w14:schemeClr w14:val="tx1"/>
            </w14:solidFill>
          </w14:textFill>
        </w:rPr>
        <w:fldChar w:fldCharType="end"/>
      </w:r>
    </w:p>
    <w:p>
      <w:pPr>
        <w:pStyle w:val="74"/>
        <w:rPr>
          <w:rFonts w:asciiTheme="minorHAnsi" w:hAnsiTheme="minorHAnsi" w:eastAsiaTheme="minorEastAsia" w:cstheme="minorBidi"/>
          <w:color w:val="000000" w:themeColor="text1"/>
          <w:sz w:val="21"/>
          <w:szCs w:val="22"/>
          <w14:textFill>
            <w14:solidFill>
              <w14:schemeClr w14:val="tx1"/>
            </w14:solidFill>
          </w14:textFill>
        </w:rPr>
      </w:pPr>
      <w:r>
        <w:fldChar w:fldCharType="begin"/>
      </w:r>
      <w:r>
        <w:instrText xml:space="preserve"> HYPERLINK \l "_Toc170918624" </w:instrText>
      </w:r>
      <w:r>
        <w:fldChar w:fldCharType="separate"/>
      </w:r>
      <w:r>
        <w:rPr>
          <w:rStyle w:val="144"/>
          <w:color w:val="000000" w:themeColor="text1"/>
          <w14:textFill>
            <w14:solidFill>
              <w14:schemeClr w14:val="tx1"/>
            </w14:solidFill>
          </w14:textFill>
        </w:rPr>
        <w:t>7.1</w:t>
      </w:r>
      <w:r>
        <w:rPr>
          <w:rStyle w:val="144"/>
          <w:rFonts w:hint="eastAsia"/>
          <w:color w:val="000000" w:themeColor="text1"/>
          <w14:textFill>
            <w14:solidFill>
              <w14:schemeClr w14:val="tx1"/>
            </w14:solidFill>
          </w14:textFill>
        </w:rPr>
        <w:t xml:space="preserve"> 环境管理</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_Toc170918624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- 254 -</w:t>
      </w:r>
      <w:r>
        <w:rPr>
          <w:color w:val="000000" w:themeColor="text1"/>
          <w14:textFill>
            <w14:solidFill>
              <w14:schemeClr w14:val="tx1"/>
            </w14:solidFill>
          </w14:textFill>
        </w:rPr>
        <w:fldChar w:fldCharType="end"/>
      </w:r>
      <w:r>
        <w:rPr>
          <w:color w:val="000000" w:themeColor="text1"/>
          <w14:textFill>
            <w14:solidFill>
              <w14:schemeClr w14:val="tx1"/>
            </w14:solidFill>
          </w14:textFill>
        </w:rPr>
        <w:fldChar w:fldCharType="end"/>
      </w:r>
    </w:p>
    <w:p>
      <w:pPr>
        <w:pStyle w:val="74"/>
        <w:rPr>
          <w:rFonts w:asciiTheme="minorHAnsi" w:hAnsiTheme="minorHAnsi" w:eastAsiaTheme="minorEastAsia" w:cstheme="minorBidi"/>
          <w:color w:val="000000" w:themeColor="text1"/>
          <w:sz w:val="21"/>
          <w:szCs w:val="22"/>
          <w14:textFill>
            <w14:solidFill>
              <w14:schemeClr w14:val="tx1"/>
            </w14:solidFill>
          </w14:textFill>
        </w:rPr>
      </w:pPr>
      <w:r>
        <w:fldChar w:fldCharType="begin"/>
      </w:r>
      <w:r>
        <w:instrText xml:space="preserve"> HYPERLINK \l "_Toc170918625" </w:instrText>
      </w:r>
      <w:r>
        <w:fldChar w:fldCharType="separate"/>
      </w:r>
      <w:r>
        <w:rPr>
          <w:rStyle w:val="144"/>
          <w:color w:val="000000" w:themeColor="text1"/>
          <w14:textFill>
            <w14:solidFill>
              <w14:schemeClr w14:val="tx1"/>
            </w14:solidFill>
          </w14:textFill>
        </w:rPr>
        <w:t>7.2</w:t>
      </w:r>
      <w:r>
        <w:rPr>
          <w:rStyle w:val="144"/>
          <w:rFonts w:hint="eastAsia"/>
          <w:color w:val="000000" w:themeColor="text1"/>
          <w14:textFill>
            <w14:solidFill>
              <w14:schemeClr w14:val="tx1"/>
            </w14:solidFill>
          </w14:textFill>
        </w:rPr>
        <w:t xml:space="preserve"> 项目污染物排放清单及管理要求</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_Toc170918625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- 255 -</w:t>
      </w:r>
      <w:r>
        <w:rPr>
          <w:color w:val="000000" w:themeColor="text1"/>
          <w14:textFill>
            <w14:solidFill>
              <w14:schemeClr w14:val="tx1"/>
            </w14:solidFill>
          </w14:textFill>
        </w:rPr>
        <w:fldChar w:fldCharType="end"/>
      </w:r>
      <w:r>
        <w:rPr>
          <w:color w:val="000000" w:themeColor="text1"/>
          <w14:textFill>
            <w14:solidFill>
              <w14:schemeClr w14:val="tx1"/>
            </w14:solidFill>
          </w14:textFill>
        </w:rPr>
        <w:fldChar w:fldCharType="end"/>
      </w:r>
    </w:p>
    <w:p>
      <w:pPr>
        <w:pStyle w:val="74"/>
        <w:rPr>
          <w:rFonts w:asciiTheme="minorHAnsi" w:hAnsiTheme="minorHAnsi" w:eastAsiaTheme="minorEastAsia" w:cstheme="minorBidi"/>
          <w:color w:val="000000" w:themeColor="text1"/>
          <w:sz w:val="21"/>
          <w:szCs w:val="22"/>
          <w14:textFill>
            <w14:solidFill>
              <w14:schemeClr w14:val="tx1"/>
            </w14:solidFill>
          </w14:textFill>
        </w:rPr>
      </w:pPr>
      <w:r>
        <w:fldChar w:fldCharType="begin"/>
      </w:r>
      <w:r>
        <w:instrText xml:space="preserve"> HYPERLINK \l "_Toc170918626" </w:instrText>
      </w:r>
      <w:r>
        <w:fldChar w:fldCharType="separate"/>
      </w:r>
      <w:r>
        <w:rPr>
          <w:rStyle w:val="144"/>
          <w:color w:val="000000" w:themeColor="text1"/>
          <w14:textFill>
            <w14:solidFill>
              <w14:schemeClr w14:val="tx1"/>
            </w14:solidFill>
          </w14:textFill>
        </w:rPr>
        <w:t>7.3</w:t>
      </w:r>
      <w:r>
        <w:rPr>
          <w:rStyle w:val="144"/>
          <w:rFonts w:hint="eastAsia"/>
          <w:color w:val="000000" w:themeColor="text1"/>
          <w14:textFill>
            <w14:solidFill>
              <w14:schemeClr w14:val="tx1"/>
            </w14:solidFill>
          </w14:textFill>
        </w:rPr>
        <w:t xml:space="preserve"> 环境监测</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_Toc170918626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- 258 -</w:t>
      </w:r>
      <w:r>
        <w:rPr>
          <w:color w:val="000000" w:themeColor="text1"/>
          <w14:textFill>
            <w14:solidFill>
              <w14:schemeClr w14:val="tx1"/>
            </w14:solidFill>
          </w14:textFill>
        </w:rPr>
        <w:fldChar w:fldCharType="end"/>
      </w:r>
      <w:r>
        <w:rPr>
          <w:color w:val="000000" w:themeColor="text1"/>
          <w14:textFill>
            <w14:solidFill>
              <w14:schemeClr w14:val="tx1"/>
            </w14:solidFill>
          </w14:textFill>
        </w:rPr>
        <w:fldChar w:fldCharType="end"/>
      </w:r>
    </w:p>
    <w:p>
      <w:pPr>
        <w:pStyle w:val="74"/>
        <w:rPr>
          <w:rFonts w:asciiTheme="minorHAnsi" w:hAnsiTheme="minorHAnsi" w:eastAsiaTheme="minorEastAsia" w:cstheme="minorBidi"/>
          <w:color w:val="000000" w:themeColor="text1"/>
          <w:sz w:val="21"/>
          <w:szCs w:val="22"/>
          <w14:textFill>
            <w14:solidFill>
              <w14:schemeClr w14:val="tx1"/>
            </w14:solidFill>
          </w14:textFill>
        </w:rPr>
      </w:pPr>
      <w:r>
        <w:fldChar w:fldCharType="begin"/>
      </w:r>
      <w:r>
        <w:instrText xml:space="preserve"> HYPERLINK \l "_Toc170918627" </w:instrText>
      </w:r>
      <w:r>
        <w:fldChar w:fldCharType="separate"/>
      </w:r>
      <w:r>
        <w:rPr>
          <w:rStyle w:val="144"/>
          <w:color w:val="000000" w:themeColor="text1"/>
          <w14:textFill>
            <w14:solidFill>
              <w14:schemeClr w14:val="tx1"/>
            </w14:solidFill>
          </w14:textFill>
        </w:rPr>
        <w:t>7.4</w:t>
      </w:r>
      <w:r>
        <w:rPr>
          <w:rStyle w:val="144"/>
          <w:rFonts w:hint="eastAsia"/>
          <w:color w:val="000000" w:themeColor="text1"/>
          <w14:textFill>
            <w14:solidFill>
              <w14:schemeClr w14:val="tx1"/>
            </w14:solidFill>
          </w14:textFill>
        </w:rPr>
        <w:t xml:space="preserve"> 竣工环保验收</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_Toc170918627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- 259 -</w:t>
      </w:r>
      <w:r>
        <w:rPr>
          <w:color w:val="000000" w:themeColor="text1"/>
          <w14:textFill>
            <w14:solidFill>
              <w14:schemeClr w14:val="tx1"/>
            </w14:solidFill>
          </w14:textFill>
        </w:rPr>
        <w:fldChar w:fldCharType="end"/>
      </w:r>
      <w:r>
        <w:rPr>
          <w:color w:val="000000" w:themeColor="text1"/>
          <w14:textFill>
            <w14:solidFill>
              <w14:schemeClr w14:val="tx1"/>
            </w14:solidFill>
          </w14:textFill>
        </w:rPr>
        <w:fldChar w:fldCharType="end"/>
      </w:r>
    </w:p>
    <w:p>
      <w:pPr>
        <w:pStyle w:val="59"/>
        <w:rPr>
          <w:rFonts w:asciiTheme="minorHAnsi" w:hAnsiTheme="minorHAnsi" w:eastAsiaTheme="minorEastAsia" w:cstheme="minorBidi"/>
          <w:bCs w:val="0"/>
          <w:color w:val="000000" w:themeColor="text1"/>
          <w:sz w:val="21"/>
          <w:szCs w:val="22"/>
          <w14:textFill>
            <w14:solidFill>
              <w14:schemeClr w14:val="tx1"/>
            </w14:solidFill>
          </w14:textFill>
        </w:rPr>
      </w:pPr>
      <w:r>
        <w:fldChar w:fldCharType="begin"/>
      </w:r>
      <w:r>
        <w:instrText xml:space="preserve"> HYPERLINK \l "_Toc170918628" </w:instrText>
      </w:r>
      <w:r>
        <w:fldChar w:fldCharType="separate"/>
      </w:r>
      <w:r>
        <w:rPr>
          <w:rStyle w:val="144"/>
          <w:bCs w:val="0"/>
          <w:color w:val="000000" w:themeColor="text1"/>
          <w14:textFill>
            <w14:solidFill>
              <w14:schemeClr w14:val="tx1"/>
            </w14:solidFill>
          </w14:textFill>
        </w:rPr>
        <w:t>8</w:t>
      </w:r>
      <w:r>
        <w:rPr>
          <w:rStyle w:val="144"/>
          <w:rFonts w:hint="eastAsia"/>
          <w:bCs w:val="0"/>
          <w:color w:val="000000" w:themeColor="text1"/>
          <w14:textFill>
            <w14:solidFill>
              <w14:schemeClr w14:val="tx1"/>
            </w14:solidFill>
          </w14:textFill>
        </w:rPr>
        <w:t xml:space="preserve"> 评价结论</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_Toc170918628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- 261 -</w:t>
      </w:r>
      <w:r>
        <w:rPr>
          <w:color w:val="000000" w:themeColor="text1"/>
          <w14:textFill>
            <w14:solidFill>
              <w14:schemeClr w14:val="tx1"/>
            </w14:solidFill>
          </w14:textFill>
        </w:rPr>
        <w:fldChar w:fldCharType="end"/>
      </w:r>
      <w:r>
        <w:rPr>
          <w:color w:val="000000" w:themeColor="text1"/>
          <w14:textFill>
            <w14:solidFill>
              <w14:schemeClr w14:val="tx1"/>
            </w14:solidFill>
          </w14:textFill>
        </w:rPr>
        <w:fldChar w:fldCharType="end"/>
      </w:r>
    </w:p>
    <w:p>
      <w:pPr>
        <w:pStyle w:val="74"/>
        <w:rPr>
          <w:rFonts w:asciiTheme="minorHAnsi" w:hAnsiTheme="minorHAnsi" w:eastAsiaTheme="minorEastAsia" w:cstheme="minorBidi"/>
          <w:color w:val="000000" w:themeColor="text1"/>
          <w:sz w:val="21"/>
          <w:szCs w:val="22"/>
          <w14:textFill>
            <w14:solidFill>
              <w14:schemeClr w14:val="tx1"/>
            </w14:solidFill>
          </w14:textFill>
        </w:rPr>
      </w:pPr>
      <w:r>
        <w:fldChar w:fldCharType="begin"/>
      </w:r>
      <w:r>
        <w:instrText xml:space="preserve"> HYPERLINK \l "_Toc170918629" </w:instrText>
      </w:r>
      <w:r>
        <w:fldChar w:fldCharType="separate"/>
      </w:r>
      <w:r>
        <w:rPr>
          <w:rStyle w:val="144"/>
          <w:color w:val="000000" w:themeColor="text1"/>
          <w14:textFill>
            <w14:solidFill>
              <w14:schemeClr w14:val="tx1"/>
            </w14:solidFill>
          </w14:textFill>
        </w:rPr>
        <w:t>8.1</w:t>
      </w:r>
      <w:r>
        <w:rPr>
          <w:rStyle w:val="144"/>
          <w:rFonts w:hint="eastAsia"/>
          <w:color w:val="000000" w:themeColor="text1"/>
          <w14:textFill>
            <w14:solidFill>
              <w14:schemeClr w14:val="tx1"/>
            </w14:solidFill>
          </w14:textFill>
        </w:rPr>
        <w:t xml:space="preserve"> 工程概况</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_Toc170918629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- 261 -</w:t>
      </w:r>
      <w:r>
        <w:rPr>
          <w:color w:val="000000" w:themeColor="text1"/>
          <w14:textFill>
            <w14:solidFill>
              <w14:schemeClr w14:val="tx1"/>
            </w14:solidFill>
          </w14:textFill>
        </w:rPr>
        <w:fldChar w:fldCharType="end"/>
      </w:r>
      <w:r>
        <w:rPr>
          <w:color w:val="000000" w:themeColor="text1"/>
          <w14:textFill>
            <w14:solidFill>
              <w14:schemeClr w14:val="tx1"/>
            </w14:solidFill>
          </w14:textFill>
        </w:rPr>
        <w:fldChar w:fldCharType="end"/>
      </w:r>
    </w:p>
    <w:p>
      <w:pPr>
        <w:pStyle w:val="74"/>
        <w:rPr>
          <w:rFonts w:asciiTheme="minorHAnsi" w:hAnsiTheme="minorHAnsi" w:eastAsiaTheme="minorEastAsia" w:cstheme="minorBidi"/>
          <w:color w:val="000000" w:themeColor="text1"/>
          <w:sz w:val="21"/>
          <w:szCs w:val="22"/>
          <w14:textFill>
            <w14:solidFill>
              <w14:schemeClr w14:val="tx1"/>
            </w14:solidFill>
          </w14:textFill>
        </w:rPr>
      </w:pPr>
      <w:r>
        <w:fldChar w:fldCharType="begin"/>
      </w:r>
      <w:r>
        <w:instrText xml:space="preserve"> HYPERLINK \l "_Toc170918630" </w:instrText>
      </w:r>
      <w:r>
        <w:fldChar w:fldCharType="separate"/>
      </w:r>
      <w:r>
        <w:rPr>
          <w:rStyle w:val="144"/>
          <w:color w:val="000000" w:themeColor="text1"/>
          <w14:textFill>
            <w14:solidFill>
              <w14:schemeClr w14:val="tx1"/>
            </w14:solidFill>
          </w14:textFill>
        </w:rPr>
        <w:t>8.2</w:t>
      </w:r>
      <w:r>
        <w:rPr>
          <w:rStyle w:val="144"/>
          <w:rFonts w:hint="eastAsia"/>
          <w:color w:val="000000" w:themeColor="text1"/>
          <w14:textFill>
            <w14:solidFill>
              <w14:schemeClr w14:val="tx1"/>
            </w14:solidFill>
          </w14:textFill>
        </w:rPr>
        <w:t xml:space="preserve"> 规划一致性分析结论</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_Toc170918630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- 261 -</w:t>
      </w:r>
      <w:r>
        <w:rPr>
          <w:color w:val="000000" w:themeColor="text1"/>
          <w14:textFill>
            <w14:solidFill>
              <w14:schemeClr w14:val="tx1"/>
            </w14:solidFill>
          </w14:textFill>
        </w:rPr>
        <w:fldChar w:fldCharType="end"/>
      </w:r>
      <w:r>
        <w:rPr>
          <w:color w:val="000000" w:themeColor="text1"/>
          <w14:textFill>
            <w14:solidFill>
              <w14:schemeClr w14:val="tx1"/>
            </w14:solidFill>
          </w14:textFill>
        </w:rPr>
        <w:fldChar w:fldCharType="end"/>
      </w:r>
    </w:p>
    <w:p>
      <w:pPr>
        <w:pStyle w:val="74"/>
        <w:rPr>
          <w:rFonts w:asciiTheme="minorHAnsi" w:hAnsiTheme="minorHAnsi" w:eastAsiaTheme="minorEastAsia" w:cstheme="minorBidi"/>
          <w:color w:val="000000" w:themeColor="text1"/>
          <w:sz w:val="21"/>
          <w:szCs w:val="22"/>
          <w14:textFill>
            <w14:solidFill>
              <w14:schemeClr w14:val="tx1"/>
            </w14:solidFill>
          </w14:textFill>
        </w:rPr>
      </w:pPr>
      <w:r>
        <w:fldChar w:fldCharType="begin"/>
      </w:r>
      <w:r>
        <w:instrText xml:space="preserve"> HYPERLINK \l "_Toc170918631" </w:instrText>
      </w:r>
      <w:r>
        <w:fldChar w:fldCharType="separate"/>
      </w:r>
      <w:r>
        <w:rPr>
          <w:rStyle w:val="144"/>
          <w:color w:val="000000" w:themeColor="text1"/>
          <w14:textFill>
            <w14:solidFill>
              <w14:schemeClr w14:val="tx1"/>
            </w14:solidFill>
          </w14:textFill>
        </w:rPr>
        <w:t>8.3</w:t>
      </w:r>
      <w:r>
        <w:rPr>
          <w:rStyle w:val="144"/>
          <w:rFonts w:hint="eastAsia"/>
          <w:color w:val="000000" w:themeColor="text1"/>
          <w14:textFill>
            <w14:solidFill>
              <w14:schemeClr w14:val="tx1"/>
            </w14:solidFill>
          </w14:textFill>
        </w:rPr>
        <w:t xml:space="preserve"> 主要环境保护目标</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_Toc170918631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- 263 -</w:t>
      </w:r>
      <w:r>
        <w:rPr>
          <w:color w:val="000000" w:themeColor="text1"/>
          <w14:textFill>
            <w14:solidFill>
              <w14:schemeClr w14:val="tx1"/>
            </w14:solidFill>
          </w14:textFill>
        </w:rPr>
        <w:fldChar w:fldCharType="end"/>
      </w:r>
      <w:r>
        <w:rPr>
          <w:color w:val="000000" w:themeColor="text1"/>
          <w14:textFill>
            <w14:solidFill>
              <w14:schemeClr w14:val="tx1"/>
            </w14:solidFill>
          </w14:textFill>
        </w:rPr>
        <w:fldChar w:fldCharType="end"/>
      </w:r>
    </w:p>
    <w:p>
      <w:pPr>
        <w:pStyle w:val="74"/>
        <w:rPr>
          <w:rFonts w:asciiTheme="minorHAnsi" w:hAnsiTheme="minorHAnsi" w:eastAsiaTheme="minorEastAsia" w:cstheme="minorBidi"/>
          <w:color w:val="000000" w:themeColor="text1"/>
          <w:sz w:val="21"/>
          <w:szCs w:val="22"/>
          <w14:textFill>
            <w14:solidFill>
              <w14:schemeClr w14:val="tx1"/>
            </w14:solidFill>
          </w14:textFill>
        </w:rPr>
      </w:pPr>
      <w:r>
        <w:fldChar w:fldCharType="begin"/>
      </w:r>
      <w:r>
        <w:instrText xml:space="preserve"> HYPERLINK \l "_Toc170918632" </w:instrText>
      </w:r>
      <w:r>
        <w:fldChar w:fldCharType="separate"/>
      </w:r>
      <w:r>
        <w:rPr>
          <w:rStyle w:val="144"/>
          <w:color w:val="000000" w:themeColor="text1"/>
          <w14:textFill>
            <w14:solidFill>
              <w14:schemeClr w14:val="tx1"/>
            </w14:solidFill>
          </w14:textFill>
        </w:rPr>
        <w:t>8.4</w:t>
      </w:r>
      <w:r>
        <w:rPr>
          <w:rStyle w:val="144"/>
          <w:rFonts w:hint="eastAsia"/>
          <w:color w:val="000000" w:themeColor="text1"/>
          <w14:textFill>
            <w14:solidFill>
              <w14:schemeClr w14:val="tx1"/>
            </w14:solidFill>
          </w14:textFill>
        </w:rPr>
        <w:t xml:space="preserve"> 环境质量现状调查与评价</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_Toc170918632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- 263 -</w:t>
      </w:r>
      <w:r>
        <w:rPr>
          <w:color w:val="000000" w:themeColor="text1"/>
          <w14:textFill>
            <w14:solidFill>
              <w14:schemeClr w14:val="tx1"/>
            </w14:solidFill>
          </w14:textFill>
        </w:rPr>
        <w:fldChar w:fldCharType="end"/>
      </w:r>
      <w:r>
        <w:rPr>
          <w:color w:val="000000" w:themeColor="text1"/>
          <w14:textFill>
            <w14:solidFill>
              <w14:schemeClr w14:val="tx1"/>
            </w14:solidFill>
          </w14:textFill>
        </w:rPr>
        <w:fldChar w:fldCharType="end"/>
      </w:r>
    </w:p>
    <w:p>
      <w:pPr>
        <w:pStyle w:val="74"/>
        <w:rPr>
          <w:rFonts w:asciiTheme="minorHAnsi" w:hAnsiTheme="minorHAnsi" w:eastAsiaTheme="minorEastAsia" w:cstheme="minorBidi"/>
          <w:color w:val="000000" w:themeColor="text1"/>
          <w:sz w:val="21"/>
          <w:szCs w:val="22"/>
          <w14:textFill>
            <w14:solidFill>
              <w14:schemeClr w14:val="tx1"/>
            </w14:solidFill>
          </w14:textFill>
        </w:rPr>
      </w:pPr>
      <w:r>
        <w:fldChar w:fldCharType="begin"/>
      </w:r>
      <w:r>
        <w:instrText xml:space="preserve"> HYPERLINK \l "_Toc170918633" </w:instrText>
      </w:r>
      <w:r>
        <w:fldChar w:fldCharType="separate"/>
      </w:r>
      <w:r>
        <w:rPr>
          <w:rStyle w:val="144"/>
          <w:color w:val="000000" w:themeColor="text1"/>
          <w14:textFill>
            <w14:solidFill>
              <w14:schemeClr w14:val="tx1"/>
            </w14:solidFill>
          </w14:textFill>
        </w:rPr>
        <w:t>8.5</w:t>
      </w:r>
      <w:r>
        <w:rPr>
          <w:rStyle w:val="144"/>
          <w:rFonts w:hint="eastAsia"/>
          <w:color w:val="000000" w:themeColor="text1"/>
          <w14:textFill>
            <w14:solidFill>
              <w14:schemeClr w14:val="tx1"/>
            </w14:solidFill>
          </w14:textFill>
        </w:rPr>
        <w:t xml:space="preserve"> 环境影响评价结论与主要环境保护措施</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_Toc170918633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- 266 -</w:t>
      </w:r>
      <w:r>
        <w:rPr>
          <w:color w:val="000000" w:themeColor="text1"/>
          <w14:textFill>
            <w14:solidFill>
              <w14:schemeClr w14:val="tx1"/>
            </w14:solidFill>
          </w14:textFill>
        </w:rPr>
        <w:fldChar w:fldCharType="end"/>
      </w:r>
      <w:r>
        <w:rPr>
          <w:color w:val="000000" w:themeColor="text1"/>
          <w14:textFill>
            <w14:solidFill>
              <w14:schemeClr w14:val="tx1"/>
            </w14:solidFill>
          </w14:textFill>
        </w:rPr>
        <w:fldChar w:fldCharType="end"/>
      </w:r>
    </w:p>
    <w:p>
      <w:pPr>
        <w:pStyle w:val="74"/>
        <w:rPr>
          <w:rFonts w:asciiTheme="minorHAnsi" w:hAnsiTheme="minorHAnsi" w:eastAsiaTheme="minorEastAsia" w:cstheme="minorBidi"/>
          <w:color w:val="000000" w:themeColor="text1"/>
          <w:sz w:val="21"/>
          <w:szCs w:val="22"/>
          <w14:textFill>
            <w14:solidFill>
              <w14:schemeClr w14:val="tx1"/>
            </w14:solidFill>
          </w14:textFill>
        </w:rPr>
      </w:pPr>
      <w:r>
        <w:fldChar w:fldCharType="begin"/>
      </w:r>
      <w:r>
        <w:instrText xml:space="preserve"> HYPERLINK \l "_Toc170918634" </w:instrText>
      </w:r>
      <w:r>
        <w:fldChar w:fldCharType="separate"/>
      </w:r>
      <w:r>
        <w:rPr>
          <w:rStyle w:val="144"/>
          <w:color w:val="000000" w:themeColor="text1"/>
          <w14:textFill>
            <w14:solidFill>
              <w14:schemeClr w14:val="tx1"/>
            </w14:solidFill>
          </w14:textFill>
        </w:rPr>
        <w:t>8.6</w:t>
      </w:r>
      <w:r>
        <w:rPr>
          <w:rStyle w:val="144"/>
          <w:rFonts w:hint="eastAsia"/>
          <w:color w:val="000000" w:themeColor="text1"/>
          <w14:textFill>
            <w14:solidFill>
              <w14:schemeClr w14:val="tx1"/>
            </w14:solidFill>
          </w14:textFill>
        </w:rPr>
        <w:t xml:space="preserve"> 公众参与</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_Toc170918634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- 271 -</w:t>
      </w:r>
      <w:r>
        <w:rPr>
          <w:color w:val="000000" w:themeColor="text1"/>
          <w14:textFill>
            <w14:solidFill>
              <w14:schemeClr w14:val="tx1"/>
            </w14:solidFill>
          </w14:textFill>
        </w:rPr>
        <w:fldChar w:fldCharType="end"/>
      </w:r>
      <w:r>
        <w:rPr>
          <w:color w:val="000000" w:themeColor="text1"/>
          <w14:textFill>
            <w14:solidFill>
              <w14:schemeClr w14:val="tx1"/>
            </w14:solidFill>
          </w14:textFill>
        </w:rPr>
        <w:fldChar w:fldCharType="end"/>
      </w:r>
    </w:p>
    <w:p>
      <w:pPr>
        <w:pStyle w:val="74"/>
        <w:rPr>
          <w:rFonts w:asciiTheme="minorHAnsi" w:hAnsiTheme="minorHAnsi" w:eastAsiaTheme="minorEastAsia" w:cstheme="minorBidi"/>
          <w:color w:val="000000" w:themeColor="text1"/>
          <w:sz w:val="21"/>
          <w:szCs w:val="22"/>
          <w14:textFill>
            <w14:solidFill>
              <w14:schemeClr w14:val="tx1"/>
            </w14:solidFill>
          </w14:textFill>
        </w:rPr>
      </w:pPr>
      <w:r>
        <w:fldChar w:fldCharType="begin"/>
      </w:r>
      <w:r>
        <w:instrText xml:space="preserve"> HYPERLINK \l "_Toc170918635" </w:instrText>
      </w:r>
      <w:r>
        <w:fldChar w:fldCharType="separate"/>
      </w:r>
      <w:r>
        <w:rPr>
          <w:rStyle w:val="144"/>
          <w:color w:val="000000" w:themeColor="text1"/>
          <w14:textFill>
            <w14:solidFill>
              <w14:schemeClr w14:val="tx1"/>
            </w14:solidFill>
          </w14:textFill>
        </w:rPr>
        <w:t>8.7</w:t>
      </w:r>
      <w:r>
        <w:rPr>
          <w:rStyle w:val="144"/>
          <w:rFonts w:hint="eastAsia"/>
          <w:color w:val="000000" w:themeColor="text1"/>
          <w14:textFill>
            <w14:solidFill>
              <w14:schemeClr w14:val="tx1"/>
            </w14:solidFill>
          </w14:textFill>
        </w:rPr>
        <w:t xml:space="preserve"> 评价总结论</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_Toc170918635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- 272 -</w:t>
      </w:r>
      <w:r>
        <w:rPr>
          <w:color w:val="000000" w:themeColor="text1"/>
          <w14:textFill>
            <w14:solidFill>
              <w14:schemeClr w14:val="tx1"/>
            </w14:solidFill>
          </w14:textFill>
        </w:rPr>
        <w:fldChar w:fldCharType="end"/>
      </w:r>
      <w:r>
        <w:rPr>
          <w:color w:val="000000" w:themeColor="text1"/>
          <w14:textFill>
            <w14:solidFill>
              <w14:schemeClr w14:val="tx1"/>
            </w14:solidFill>
          </w14:textFill>
        </w:rPr>
        <w:fldChar w:fldCharType="end"/>
      </w:r>
    </w:p>
    <w:p>
      <w:pPr>
        <w:rPr>
          <w:color w:val="000000" w:themeColor="text1"/>
          <w14:textFill>
            <w14:solidFill>
              <w14:schemeClr w14:val="tx1"/>
            </w14:solidFill>
          </w14:textFill>
        </w:rPr>
      </w:pPr>
      <w:r>
        <w:rPr>
          <w:color w:val="000000" w:themeColor="text1"/>
          <w14:textFill>
            <w14:solidFill>
              <w14:schemeClr w14:val="tx1"/>
            </w14:solidFill>
          </w14:textFill>
        </w:rPr>
        <w:fldChar w:fldCharType="end"/>
      </w:r>
    </w:p>
    <w:p>
      <w:pPr>
        <w:rPr>
          <w:color w:val="000000" w:themeColor="text1"/>
          <w14:textFill>
            <w14:solidFill>
              <w14:schemeClr w14:val="tx1"/>
            </w14:solidFill>
          </w14:textFill>
        </w:rPr>
        <w:sectPr>
          <w:headerReference r:id="rId14" w:type="first"/>
          <w:footerReference r:id="rId17" w:type="first"/>
          <w:headerReference r:id="rId12" w:type="default"/>
          <w:footerReference r:id="rId15" w:type="default"/>
          <w:headerReference r:id="rId13" w:type="even"/>
          <w:footerReference r:id="rId16" w:type="even"/>
          <w:pgSz w:w="11907" w:h="16840"/>
          <w:pgMar w:top="1440" w:right="1514" w:bottom="1440" w:left="1797" w:header="992" w:footer="851" w:gutter="284"/>
          <w:pgNumType w:fmt="numberInDash" w:start="1"/>
          <w:cols w:space="425" w:num="1"/>
          <w:titlePg/>
          <w:docGrid w:type="linesAndChars" w:linePitch="465" w:charSpace="-1866"/>
        </w:sectPr>
      </w:pPr>
    </w:p>
    <w:p>
      <w:pPr>
        <w:rPr>
          <w:b/>
          <w:bCs/>
          <w:color w:val="000000" w:themeColor="text1"/>
          <w14:textFill>
            <w14:solidFill>
              <w14:schemeClr w14:val="tx1"/>
            </w14:solidFill>
          </w14:textFill>
        </w:rPr>
      </w:pPr>
      <w:r>
        <w:rPr>
          <w:b/>
          <w:bCs/>
          <w:color w:val="000000" w:themeColor="text1"/>
          <w14:textFill>
            <w14:solidFill>
              <w14:schemeClr w14:val="tx1"/>
            </w14:solidFill>
          </w14:textFill>
        </w:rPr>
        <w:t>附图：</w:t>
      </w:r>
    </w:p>
    <w:p>
      <w:pPr>
        <w:rPr>
          <w:color w:val="000000" w:themeColor="text1"/>
          <w14:textFill>
            <w14:solidFill>
              <w14:schemeClr w14:val="tx1"/>
            </w14:solidFill>
          </w14:textFill>
        </w:rPr>
      </w:pPr>
      <w:r>
        <w:rPr>
          <w:color w:val="000000" w:themeColor="text1"/>
          <w14:textFill>
            <w14:solidFill>
              <w14:schemeClr w14:val="tx1"/>
            </w14:solidFill>
          </w14:textFill>
        </w:rPr>
        <w:t>附图1  项目地理位置示意图</w:t>
      </w:r>
    </w:p>
    <w:p>
      <w:pPr>
        <w:rPr>
          <w:color w:val="000000" w:themeColor="text1"/>
          <w14:textFill>
            <w14:solidFill>
              <w14:schemeClr w14:val="tx1"/>
            </w14:solidFill>
          </w14:textFill>
        </w:rPr>
      </w:pPr>
      <w:r>
        <w:rPr>
          <w:color w:val="000000" w:themeColor="text1"/>
          <w14:textFill>
            <w14:solidFill>
              <w14:schemeClr w14:val="tx1"/>
            </w14:solidFill>
          </w14:textFill>
        </w:rPr>
        <w:t>附图2  项目总平面布置图</w:t>
      </w:r>
    </w:p>
    <w:p>
      <w:pPr>
        <w:rPr>
          <w:color w:val="000000" w:themeColor="text1"/>
          <w14:textFill>
            <w14:solidFill>
              <w14:schemeClr w14:val="tx1"/>
            </w14:solidFill>
          </w14:textFill>
        </w:rPr>
      </w:pPr>
      <w:r>
        <w:rPr>
          <w:color w:val="000000" w:themeColor="text1"/>
          <w14:textFill>
            <w14:solidFill>
              <w14:schemeClr w14:val="tx1"/>
            </w14:solidFill>
          </w14:textFill>
        </w:rPr>
        <w:t>附图3  项目</w:t>
      </w:r>
      <w:r>
        <w:rPr>
          <w:rFonts w:hint="eastAsia"/>
          <w:color w:val="000000" w:themeColor="text1"/>
          <w14:textFill>
            <w14:solidFill>
              <w14:schemeClr w14:val="tx1"/>
            </w14:solidFill>
          </w14:textFill>
        </w:rPr>
        <w:t>装卸工艺图</w:t>
      </w:r>
    </w:p>
    <w:p>
      <w:pPr>
        <w:rPr>
          <w:color w:val="000000" w:themeColor="text1"/>
          <w14:textFill>
            <w14:solidFill>
              <w14:schemeClr w14:val="tx1"/>
            </w14:solidFill>
          </w14:textFill>
        </w:rPr>
      </w:pPr>
      <w:r>
        <w:rPr>
          <w:rFonts w:hint="eastAsia"/>
          <w:color w:val="000000" w:themeColor="text1"/>
          <w14:textFill>
            <w14:solidFill>
              <w14:schemeClr w14:val="tx1"/>
            </w14:solidFill>
          </w14:textFill>
        </w:rPr>
        <w:t>附图4  项目水工结构图</w:t>
      </w:r>
    </w:p>
    <w:p>
      <w:pPr>
        <w:rPr>
          <w:color w:val="000000" w:themeColor="text1"/>
          <w14:textFill>
            <w14:solidFill>
              <w14:schemeClr w14:val="tx1"/>
            </w14:solidFill>
          </w14:textFill>
        </w:rPr>
      </w:pPr>
      <w:r>
        <w:rPr>
          <w:rFonts w:hint="eastAsia"/>
          <w:color w:val="000000" w:themeColor="text1"/>
          <w14:textFill>
            <w14:solidFill>
              <w14:schemeClr w14:val="tx1"/>
            </w14:solidFill>
          </w14:textFill>
        </w:rPr>
        <w:t>附图5  项目疏浚、炸礁区域平面布置图</w:t>
      </w:r>
    </w:p>
    <w:p>
      <w:pPr>
        <w:rPr>
          <w:color w:val="000000" w:themeColor="text1"/>
          <w14:textFill>
            <w14:solidFill>
              <w14:schemeClr w14:val="tx1"/>
            </w14:solidFill>
          </w14:textFill>
        </w:rPr>
      </w:pPr>
      <w:r>
        <w:rPr>
          <w:rFonts w:hint="eastAsia"/>
          <w:color w:val="000000" w:themeColor="text1"/>
          <w14:textFill>
            <w14:solidFill>
              <w14:schemeClr w14:val="tx1"/>
            </w14:solidFill>
          </w14:textFill>
        </w:rPr>
        <w:t>附图6  项目排水平面布置图</w:t>
      </w:r>
    </w:p>
    <w:p>
      <w:pPr>
        <w:rPr>
          <w:color w:val="000000" w:themeColor="text1"/>
          <w14:textFill>
            <w14:solidFill>
              <w14:schemeClr w14:val="tx1"/>
            </w14:solidFill>
          </w14:textFill>
        </w:rPr>
      </w:pPr>
      <w:bookmarkStart w:id="8" w:name="_Hlk135798032"/>
      <w:r>
        <w:rPr>
          <w:color w:val="000000" w:themeColor="text1"/>
          <w14:textFill>
            <w14:solidFill>
              <w14:schemeClr w14:val="tx1"/>
            </w14:solidFill>
          </w14:textFill>
        </w:rPr>
        <w:t>附图</w:t>
      </w:r>
      <w:r>
        <w:rPr>
          <w:rFonts w:hint="eastAsia"/>
          <w:color w:val="000000" w:themeColor="text1"/>
          <w14:textFill>
            <w14:solidFill>
              <w14:schemeClr w14:val="tx1"/>
            </w14:solidFill>
          </w14:textFill>
        </w:rPr>
        <w:t>7</w:t>
      </w:r>
      <w:r>
        <w:rPr>
          <w:color w:val="000000" w:themeColor="text1"/>
          <w14:textFill>
            <w14:solidFill>
              <w14:schemeClr w14:val="tx1"/>
            </w14:solidFill>
          </w14:textFill>
        </w:rPr>
        <w:t xml:space="preserve">  项目</w:t>
      </w:r>
      <w:bookmarkStart w:id="9" w:name="_Hlk135796987"/>
      <w:r>
        <w:rPr>
          <w:color w:val="000000" w:themeColor="text1"/>
          <w14:textFill>
            <w14:solidFill>
              <w14:schemeClr w14:val="tx1"/>
            </w14:solidFill>
          </w14:textFill>
        </w:rPr>
        <w:t>与广西近岸海域环境功能区划调整方案位置关系</w:t>
      </w:r>
      <w:bookmarkEnd w:id="9"/>
    </w:p>
    <w:p>
      <w:pPr>
        <w:rPr>
          <w:color w:val="000000" w:themeColor="text1"/>
          <w14:textFill>
            <w14:solidFill>
              <w14:schemeClr w14:val="tx1"/>
            </w14:solidFill>
          </w14:textFill>
        </w:rPr>
      </w:pPr>
      <w:bookmarkStart w:id="10" w:name="_Hlk135797275"/>
      <w:r>
        <w:rPr>
          <w:rFonts w:hint="eastAsia"/>
          <w:color w:val="000000" w:themeColor="text1"/>
          <w14:textFill>
            <w14:solidFill>
              <w14:schemeClr w14:val="tx1"/>
            </w14:solidFill>
          </w14:textFill>
        </w:rPr>
        <w:t>附图</w:t>
      </w:r>
      <w:r>
        <w:rPr>
          <w:color w:val="000000" w:themeColor="text1"/>
          <w14:textFill>
            <w14:solidFill>
              <w14:schemeClr w14:val="tx1"/>
            </w14:solidFill>
          </w14:textFill>
        </w:rPr>
        <w:t>8</w:t>
      </w:r>
      <w:r>
        <w:rPr>
          <w:rFonts w:hint="eastAsia"/>
          <w:color w:val="000000" w:themeColor="text1"/>
          <w14:textFill>
            <w14:solidFill>
              <w14:schemeClr w14:val="tx1"/>
            </w14:solidFill>
          </w14:textFill>
        </w:rPr>
        <w:t xml:space="preserve">  项目与《北部湾港总体规划（2021～2035 年）》位置示意图</w:t>
      </w:r>
    </w:p>
    <w:p>
      <w:pPr>
        <w:rPr>
          <w:color w:val="000000" w:themeColor="text1"/>
          <w14:textFill>
            <w14:solidFill>
              <w14:schemeClr w14:val="tx1"/>
            </w14:solidFill>
          </w14:textFill>
        </w:rPr>
      </w:pPr>
      <w:r>
        <w:rPr>
          <w:rFonts w:hint="eastAsia"/>
          <w:color w:val="000000" w:themeColor="text1"/>
          <w14:textFill>
            <w14:solidFill>
              <w14:schemeClr w14:val="tx1"/>
            </w14:solidFill>
          </w14:textFill>
        </w:rPr>
        <w:t>附图</w:t>
      </w:r>
      <w:r>
        <w:rPr>
          <w:color w:val="000000" w:themeColor="text1"/>
          <w14:textFill>
            <w14:solidFill>
              <w14:schemeClr w14:val="tx1"/>
            </w14:solidFill>
          </w14:textFill>
        </w:rPr>
        <w:t>9</w:t>
      </w:r>
      <w:r>
        <w:rPr>
          <w:rFonts w:hint="eastAsia"/>
          <w:color w:val="000000" w:themeColor="text1"/>
          <w14:textFill>
            <w14:solidFill>
              <w14:schemeClr w14:val="tx1"/>
            </w14:solidFill>
          </w14:textFill>
        </w:rPr>
        <w:t xml:space="preserve">  项目与钦州市国土空间总体规划（2021-2035）市域国土控制线规划图位置关系示意图</w:t>
      </w:r>
    </w:p>
    <w:p>
      <w:pPr>
        <w:rPr>
          <w:color w:val="000000" w:themeColor="text1"/>
          <w14:textFill>
            <w14:solidFill>
              <w14:schemeClr w14:val="tx1"/>
            </w14:solidFill>
          </w14:textFill>
        </w:rPr>
      </w:pPr>
      <w:r>
        <w:rPr>
          <w:rFonts w:hint="eastAsia"/>
          <w:color w:val="000000" w:themeColor="text1"/>
          <w14:textFill>
            <w14:solidFill>
              <w14:schemeClr w14:val="tx1"/>
            </w14:solidFill>
          </w14:textFill>
        </w:rPr>
        <w:t>附图1</w:t>
      </w:r>
      <w:r>
        <w:rPr>
          <w:color w:val="000000" w:themeColor="text1"/>
          <w14:textFill>
            <w14:solidFill>
              <w14:schemeClr w14:val="tx1"/>
            </w14:solidFill>
          </w14:textFill>
        </w:rPr>
        <w:t>0</w:t>
      </w:r>
      <w:r>
        <w:rPr>
          <w:rFonts w:hint="eastAsia"/>
          <w:color w:val="000000" w:themeColor="text1"/>
          <w14:textFill>
            <w14:solidFill>
              <w14:schemeClr w14:val="tx1"/>
            </w14:solidFill>
          </w14:textFill>
        </w:rPr>
        <w:t xml:space="preserve">  项目与钦州市国土空间总体规划（2021-2035）市域海洋功能分区图位置关系示意图</w:t>
      </w:r>
    </w:p>
    <w:bookmarkEnd w:id="10"/>
    <w:p>
      <w:pPr>
        <w:rPr>
          <w:color w:val="000000" w:themeColor="text1"/>
          <w14:textFill>
            <w14:solidFill>
              <w14:schemeClr w14:val="tx1"/>
            </w14:solidFill>
          </w14:textFill>
        </w:rPr>
      </w:pPr>
      <w:r>
        <w:rPr>
          <w:color w:val="000000" w:themeColor="text1"/>
          <w14:textFill>
            <w14:solidFill>
              <w14:schemeClr w14:val="tx1"/>
            </w14:solidFill>
          </w14:textFill>
        </w:rPr>
        <w:t>附图</w:t>
      </w:r>
      <w:r>
        <w:rPr>
          <w:rFonts w:hint="eastAsia"/>
          <w:color w:val="000000" w:themeColor="text1"/>
          <w14:textFill>
            <w14:solidFill>
              <w14:schemeClr w14:val="tx1"/>
            </w14:solidFill>
          </w14:textFill>
        </w:rPr>
        <w:t>1</w:t>
      </w:r>
      <w:r>
        <w:rPr>
          <w:color w:val="000000" w:themeColor="text1"/>
          <w14:textFill>
            <w14:solidFill>
              <w14:schemeClr w14:val="tx1"/>
            </w14:solidFill>
          </w14:textFill>
        </w:rPr>
        <w:t>1 项目与周边主要生态敏感区位置关系示意图</w:t>
      </w:r>
    </w:p>
    <w:p>
      <w:pPr>
        <w:rPr>
          <w:color w:val="000000" w:themeColor="text1"/>
          <w14:textFill>
            <w14:solidFill>
              <w14:schemeClr w14:val="tx1"/>
            </w14:solidFill>
          </w14:textFill>
        </w:rPr>
      </w:pPr>
      <w:r>
        <w:rPr>
          <w:rFonts w:hint="eastAsia"/>
          <w:color w:val="000000" w:themeColor="text1"/>
          <w14:textFill>
            <w14:solidFill>
              <w14:schemeClr w14:val="tx1"/>
            </w14:solidFill>
          </w14:textFill>
        </w:rPr>
        <w:t>附图1</w:t>
      </w:r>
      <w:r>
        <w:rPr>
          <w:color w:val="000000" w:themeColor="text1"/>
          <w14:textFill>
            <w14:solidFill>
              <w14:schemeClr w14:val="tx1"/>
            </w14:solidFill>
          </w14:textFill>
        </w:rPr>
        <w:t>2</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项目与钦州市“三线一单”生态环境分区管控单元关系示意图</w:t>
      </w:r>
      <w:bookmarkEnd w:id="8"/>
      <w:bookmarkStart w:id="11" w:name="_Hlk135797559"/>
    </w:p>
    <w:p>
      <w:pPr>
        <w:rPr>
          <w:color w:val="000000" w:themeColor="text1"/>
          <w14:textFill>
            <w14:solidFill>
              <w14:schemeClr w14:val="tx1"/>
            </w14:solidFill>
          </w14:textFill>
        </w:rPr>
      </w:pPr>
      <w:bookmarkStart w:id="12" w:name="_Hlk135798278"/>
      <w:r>
        <w:rPr>
          <w:rFonts w:hint="eastAsia"/>
          <w:color w:val="000000" w:themeColor="text1"/>
          <w14:textFill>
            <w14:solidFill>
              <w14:schemeClr w14:val="tx1"/>
            </w14:solidFill>
          </w14:textFill>
        </w:rPr>
        <w:t>附图1</w:t>
      </w:r>
      <w:r>
        <w:rPr>
          <w:color w:val="000000" w:themeColor="text1"/>
          <w14:textFill>
            <w14:solidFill>
              <w14:schemeClr w14:val="tx1"/>
            </w14:solidFill>
          </w14:textFill>
        </w:rPr>
        <w:t>3</w:t>
      </w:r>
      <w:r>
        <w:rPr>
          <w:rFonts w:hint="eastAsia"/>
          <w:color w:val="000000" w:themeColor="text1"/>
          <w14:textFill>
            <w14:solidFill>
              <w14:schemeClr w14:val="tx1"/>
            </w14:solidFill>
          </w14:textFill>
        </w:rPr>
        <w:t xml:space="preserve"> 项目与钦州市中心城区声环境功能区划的位置示意图</w:t>
      </w:r>
    </w:p>
    <w:p>
      <w:pPr>
        <w:rPr>
          <w:color w:val="000000" w:themeColor="text1"/>
          <w14:textFill>
            <w14:solidFill>
              <w14:schemeClr w14:val="tx1"/>
            </w14:solidFill>
          </w14:textFill>
        </w:rPr>
      </w:pPr>
      <w:bookmarkStart w:id="13" w:name="_Hlk139957954"/>
      <w:r>
        <w:rPr>
          <w:rFonts w:hint="eastAsia"/>
          <w:color w:val="000000" w:themeColor="text1"/>
          <w14:textFill>
            <w14:solidFill>
              <w14:schemeClr w14:val="tx1"/>
            </w14:solidFill>
          </w14:textFill>
        </w:rPr>
        <w:t>附图1</w:t>
      </w:r>
      <w:r>
        <w:rPr>
          <w:color w:val="000000" w:themeColor="text1"/>
          <w14:textFill>
            <w14:solidFill>
              <w14:schemeClr w14:val="tx1"/>
            </w14:solidFill>
          </w14:textFill>
        </w:rPr>
        <w:t xml:space="preserve">4 </w:t>
      </w:r>
      <w:bookmarkEnd w:id="13"/>
      <w:r>
        <w:rPr>
          <w:rFonts w:hint="eastAsia"/>
          <w:color w:val="000000" w:themeColor="text1"/>
          <w14:textFill>
            <w14:solidFill>
              <w14:schemeClr w14:val="tx1"/>
            </w14:solidFill>
          </w14:textFill>
        </w:rPr>
        <w:t>项目陆域范围与宗海图位置关系</w:t>
      </w:r>
    </w:p>
    <w:p>
      <w:pPr>
        <w:rPr>
          <w:bCs/>
          <w:color w:val="000000" w:themeColor="text1"/>
          <w14:textFill>
            <w14:solidFill>
              <w14:schemeClr w14:val="tx1"/>
            </w14:solidFill>
          </w14:textFill>
        </w:rPr>
      </w:pPr>
      <w:r>
        <w:rPr>
          <w:rFonts w:hint="eastAsia"/>
          <w:color w:val="000000" w:themeColor="text1"/>
          <w14:textFill>
            <w14:solidFill>
              <w14:schemeClr w14:val="tx1"/>
            </w14:solidFill>
          </w14:textFill>
        </w:rPr>
        <w:t>附图1</w:t>
      </w:r>
      <w:r>
        <w:rPr>
          <w:color w:val="000000" w:themeColor="text1"/>
          <w14:textFill>
            <w14:solidFill>
              <w14:schemeClr w14:val="tx1"/>
            </w14:solidFill>
          </w14:textFill>
        </w:rPr>
        <w:t>5</w:t>
      </w:r>
      <w:r>
        <w:rPr>
          <w:rFonts w:hint="eastAsia"/>
          <w:color w:val="000000" w:themeColor="text1"/>
          <w14:textFill>
            <w14:solidFill>
              <w14:schemeClr w14:val="tx1"/>
            </w14:solidFill>
          </w14:textFill>
        </w:rPr>
        <w:t xml:space="preserve"> 7号8号泊位生产生活辅助区平面布置示意图</w:t>
      </w:r>
    </w:p>
    <w:bookmarkEnd w:id="11"/>
    <w:bookmarkEnd w:id="12"/>
    <w:p>
      <w:pPr>
        <w:rPr>
          <w:color w:val="000000" w:themeColor="text1"/>
          <w14:textFill>
            <w14:solidFill>
              <w14:schemeClr w14:val="tx1"/>
            </w14:solidFill>
          </w14:textFill>
        </w:rPr>
      </w:pPr>
      <w:r>
        <w:rPr>
          <w:rFonts w:hint="eastAsia"/>
          <w:color w:val="000000" w:themeColor="text1"/>
          <w14:textFill>
            <w14:solidFill>
              <w14:schemeClr w14:val="tx1"/>
            </w14:solidFill>
          </w14:textFill>
        </w:rPr>
        <w:t>附图</w:t>
      </w:r>
      <w:r>
        <w:rPr>
          <w:color w:val="000000" w:themeColor="text1"/>
          <w14:textFill>
            <w14:solidFill>
              <w14:schemeClr w14:val="tx1"/>
            </w14:solidFill>
          </w14:textFill>
        </w:rPr>
        <w:t>16</w:t>
      </w:r>
      <w:r>
        <w:rPr>
          <w:rFonts w:hint="eastAsia"/>
          <w:color w:val="000000" w:themeColor="text1"/>
          <w14:textFill>
            <w14:solidFill>
              <w14:schemeClr w14:val="tx1"/>
            </w14:solidFill>
          </w14:textFill>
        </w:rPr>
        <w:t xml:space="preserve"> </w:t>
      </w:r>
      <w:bookmarkStart w:id="14" w:name="_Hlk135997930"/>
      <w:r>
        <w:rPr>
          <w:rFonts w:hint="eastAsia"/>
          <w:color w:val="000000" w:themeColor="text1"/>
          <w14:textFill>
            <w14:solidFill>
              <w14:schemeClr w14:val="tx1"/>
            </w14:solidFill>
          </w14:textFill>
        </w:rPr>
        <w:t>9号10号泊位现有工程竣工环保验收监测点位图</w:t>
      </w:r>
      <w:bookmarkEnd w:id="14"/>
    </w:p>
    <w:p>
      <w:pPr>
        <w:rPr>
          <w:color w:val="000000" w:themeColor="text1"/>
          <w14:textFill>
            <w14:solidFill>
              <w14:schemeClr w14:val="tx1"/>
            </w14:solidFill>
          </w14:textFill>
        </w:rPr>
      </w:pPr>
      <w:r>
        <w:rPr>
          <w:rFonts w:hint="eastAsia"/>
          <w:color w:val="000000" w:themeColor="text1"/>
          <w14:textFill>
            <w14:solidFill>
              <w14:schemeClr w14:val="tx1"/>
            </w14:solidFill>
          </w14:textFill>
        </w:rPr>
        <w:t>附图1</w:t>
      </w:r>
      <w:r>
        <w:rPr>
          <w:color w:val="000000" w:themeColor="text1"/>
          <w14:textFill>
            <w14:solidFill>
              <w14:schemeClr w14:val="tx1"/>
            </w14:solidFill>
          </w14:textFill>
        </w:rPr>
        <w:t>7</w:t>
      </w:r>
      <w:r>
        <w:rPr>
          <w:rFonts w:hint="eastAsia"/>
          <w:color w:val="000000" w:themeColor="text1"/>
          <w14:textFill>
            <w14:solidFill>
              <w14:schemeClr w14:val="tx1"/>
            </w14:solidFill>
          </w14:textFill>
        </w:rPr>
        <w:t xml:space="preserve"> 本次扩建工程区水深地形图</w:t>
      </w:r>
    </w:p>
    <w:p>
      <w:pPr>
        <w:rPr>
          <w:color w:val="000000" w:themeColor="text1"/>
          <w14:textFill>
            <w14:solidFill>
              <w14:schemeClr w14:val="tx1"/>
            </w14:solidFill>
          </w14:textFill>
        </w:rPr>
      </w:pPr>
    </w:p>
    <w:p>
      <w:pPr>
        <w:rPr>
          <w:color w:val="000000" w:themeColor="text1"/>
          <w14:textFill>
            <w14:solidFill>
              <w14:schemeClr w14:val="tx1"/>
            </w14:solidFill>
          </w14:textFill>
        </w:rPr>
      </w:pPr>
    </w:p>
    <w:p>
      <w:pPr>
        <w:rPr>
          <w:b/>
          <w:bCs/>
          <w:color w:val="000000" w:themeColor="text1"/>
          <w14:textFill>
            <w14:solidFill>
              <w14:schemeClr w14:val="tx1"/>
            </w14:solidFill>
          </w14:textFill>
        </w:rPr>
      </w:pPr>
      <w:r>
        <w:rPr>
          <w:b/>
          <w:bCs/>
          <w:color w:val="000000" w:themeColor="text1"/>
          <w14:textFill>
            <w14:solidFill>
              <w14:schemeClr w14:val="tx1"/>
            </w14:solidFill>
          </w14:textFill>
        </w:rPr>
        <w:t>附件：</w:t>
      </w:r>
    </w:p>
    <w:p>
      <w:pPr>
        <w:ind w:left="924" w:hanging="924" w:hangingChars="400"/>
        <w:jc w:val="left"/>
        <w:rPr>
          <w:color w:val="000000" w:themeColor="text1"/>
          <w14:textFill>
            <w14:solidFill>
              <w14:schemeClr w14:val="tx1"/>
            </w14:solidFill>
          </w14:textFill>
        </w:rPr>
      </w:pPr>
      <w:r>
        <w:rPr>
          <w:color w:val="000000" w:themeColor="text1"/>
          <w14:textFill>
            <w14:solidFill>
              <w14:schemeClr w14:val="tx1"/>
            </w14:solidFill>
          </w14:textFill>
        </w:rPr>
        <w:t>附件1  项目委托书</w:t>
      </w:r>
    </w:p>
    <w:p>
      <w:pPr>
        <w:ind w:left="924" w:hanging="924" w:hangingChars="400"/>
        <w:jc w:val="left"/>
        <w:rPr>
          <w:color w:val="000000" w:themeColor="text1"/>
          <w14:textFill>
            <w14:solidFill>
              <w14:schemeClr w14:val="tx1"/>
            </w14:solidFill>
          </w14:textFill>
        </w:rPr>
      </w:pPr>
      <w:r>
        <w:rPr>
          <w:color w:val="000000" w:themeColor="text1"/>
          <w14:textFill>
            <w14:solidFill>
              <w14:schemeClr w14:val="tx1"/>
            </w14:solidFill>
          </w14:textFill>
        </w:rPr>
        <w:t>附件2  项目</w:t>
      </w:r>
      <w:r>
        <w:rPr>
          <w:rFonts w:hint="eastAsia"/>
          <w:color w:val="000000" w:themeColor="text1"/>
          <w14:textFill>
            <w14:solidFill>
              <w14:schemeClr w14:val="tx1"/>
            </w14:solidFill>
          </w14:textFill>
        </w:rPr>
        <w:t>登记信息单</w:t>
      </w:r>
    </w:p>
    <w:p>
      <w:pPr>
        <w:ind w:left="924" w:hanging="924" w:hangingChars="400"/>
        <w:jc w:val="left"/>
        <w:rPr>
          <w:color w:val="000000" w:themeColor="text1"/>
          <w14:textFill>
            <w14:solidFill>
              <w14:schemeClr w14:val="tx1"/>
            </w14:solidFill>
          </w14:textFill>
        </w:rPr>
      </w:pPr>
      <w:r>
        <w:rPr>
          <w:rFonts w:hint="eastAsia"/>
          <w:color w:val="000000" w:themeColor="text1"/>
          <w14:textFill>
            <w14:solidFill>
              <w14:schemeClr w14:val="tx1"/>
            </w14:solidFill>
          </w14:textFill>
        </w:rPr>
        <w:t>附件3  关于西部陆海新通道北部湾国际门户港基础设施提升三年行动计划（2023—2025年）的通知</w:t>
      </w:r>
    </w:p>
    <w:p>
      <w:pPr>
        <w:ind w:left="924" w:hanging="924" w:hangingChars="400"/>
        <w:jc w:val="left"/>
        <w:rPr>
          <w:color w:val="000000" w:themeColor="text1"/>
          <w14:textFill>
            <w14:solidFill>
              <w14:schemeClr w14:val="tx1"/>
            </w14:solidFill>
          </w14:textFill>
        </w:rPr>
      </w:pPr>
      <w:r>
        <w:rPr>
          <w:rFonts w:hint="eastAsia"/>
          <w:color w:val="000000" w:themeColor="text1"/>
          <w14:textFill>
            <w14:solidFill>
              <w14:schemeClr w14:val="tx1"/>
            </w14:solidFill>
          </w14:textFill>
        </w:rPr>
        <w:t>附件4  广西壮族自治区产业园区改革发展办公室关于原则同意钦州港大榄坪港区大榄坪南作业区9号10号泊位扩建工程使用沿海港口岸线的函（产业园区办函〔2024〕41号）</w:t>
      </w:r>
    </w:p>
    <w:p>
      <w:pPr>
        <w:ind w:left="924" w:hanging="924" w:hangingChars="400"/>
        <w:jc w:val="left"/>
        <w:rPr>
          <w:color w:val="000000" w:themeColor="text1"/>
          <w14:textFill>
            <w14:solidFill>
              <w14:schemeClr w14:val="tx1"/>
            </w14:solidFill>
          </w14:textFill>
        </w:rPr>
      </w:pPr>
      <w:r>
        <w:rPr>
          <w:rFonts w:hint="eastAsia"/>
          <w:color w:val="000000" w:themeColor="text1"/>
          <w14:textFill>
            <w14:solidFill>
              <w14:schemeClr w14:val="tx1"/>
            </w14:solidFill>
          </w14:textFill>
        </w:rPr>
        <w:t>附件5  广西海事局关于反馈钦州港大榄坪港区大榄坪南作业区9号10号泊位扩建工程使用沿海港口岸线意见的函</w:t>
      </w:r>
    </w:p>
    <w:p>
      <w:pPr>
        <w:ind w:left="924" w:hanging="924" w:hangingChars="400"/>
        <w:jc w:val="left"/>
        <w:rPr>
          <w:color w:val="000000" w:themeColor="text1"/>
          <w14:textFill>
            <w14:solidFill>
              <w14:schemeClr w14:val="tx1"/>
            </w14:solidFill>
          </w14:textFill>
        </w:rPr>
      </w:pPr>
      <w:r>
        <w:rPr>
          <w:rFonts w:hint="eastAsia"/>
          <w:color w:val="000000" w:themeColor="text1"/>
          <w14:textFill>
            <w14:solidFill>
              <w14:schemeClr w14:val="tx1"/>
            </w14:solidFill>
          </w14:textFill>
        </w:rPr>
        <w:t>附件6  广西壮族自治区海洋局关于钦州保税港区昊鼎仓储物流中心项目继续填海有关事项的批复（桂海函〔2023〕790号）</w:t>
      </w:r>
    </w:p>
    <w:p>
      <w:pPr>
        <w:ind w:left="924" w:hanging="924" w:hangingChars="400"/>
        <w:jc w:val="left"/>
        <w:rPr>
          <w:color w:val="000000" w:themeColor="text1"/>
          <w14:textFill>
            <w14:solidFill>
              <w14:schemeClr w14:val="tx1"/>
            </w14:solidFill>
          </w14:textFill>
        </w:rPr>
      </w:pPr>
      <w:r>
        <w:rPr>
          <w:rFonts w:hint="eastAsia"/>
          <w:color w:val="000000" w:themeColor="text1"/>
          <w14:textFill>
            <w14:solidFill>
              <w14:schemeClr w14:val="tx1"/>
            </w14:solidFill>
          </w14:textFill>
        </w:rPr>
        <w:t>附件7  关于《昊鼎仓储物流中心项目海洋环境影响报告表》核准意见的函（桂海函〔2009〕165号）</w:t>
      </w:r>
    </w:p>
    <w:p>
      <w:pPr>
        <w:ind w:left="924" w:hanging="924" w:hangingChars="400"/>
        <w:jc w:val="left"/>
        <w:rPr>
          <w:color w:val="000000" w:themeColor="text1"/>
          <w14:textFill>
            <w14:solidFill>
              <w14:schemeClr w14:val="tx1"/>
            </w14:solidFill>
          </w14:textFill>
        </w:rPr>
      </w:pPr>
      <w:r>
        <w:rPr>
          <w:color w:val="000000" w:themeColor="text1"/>
          <w14:textFill>
            <w14:solidFill>
              <w14:schemeClr w14:val="tx1"/>
            </w14:solidFill>
          </w14:textFill>
        </w:rPr>
        <w:t>附件</w:t>
      </w:r>
      <w:r>
        <w:rPr>
          <w:rFonts w:hint="eastAsia"/>
          <w:color w:val="000000" w:themeColor="text1"/>
          <w14:textFill>
            <w14:solidFill>
              <w14:schemeClr w14:val="tx1"/>
            </w14:solidFill>
          </w14:textFill>
        </w:rPr>
        <w:t xml:space="preserve">8  </w:t>
      </w:r>
      <w:r>
        <w:rPr>
          <w:color w:val="000000" w:themeColor="text1"/>
          <w14:textFill>
            <w14:solidFill>
              <w14:schemeClr w14:val="tx1"/>
            </w14:solidFill>
          </w14:textFill>
        </w:rPr>
        <w:t>本项目</w:t>
      </w:r>
      <w:r>
        <w:rPr>
          <w:rFonts w:hint="eastAsia"/>
          <w:color w:val="000000" w:themeColor="text1"/>
          <w14:textFill>
            <w14:solidFill>
              <w14:schemeClr w14:val="tx1"/>
            </w14:solidFill>
          </w14:textFill>
        </w:rPr>
        <w:t>海域使用证书（不动产权证书）</w:t>
      </w:r>
    </w:p>
    <w:p>
      <w:pPr>
        <w:ind w:left="924" w:hanging="924" w:hangingChars="400"/>
        <w:jc w:val="left"/>
        <w:rPr>
          <w:color w:val="000000" w:themeColor="text1"/>
          <w14:textFill>
            <w14:solidFill>
              <w14:schemeClr w14:val="tx1"/>
            </w14:solidFill>
          </w14:textFill>
        </w:rPr>
      </w:pPr>
      <w:r>
        <w:rPr>
          <w:rFonts w:hint="eastAsia"/>
          <w:color w:val="000000" w:themeColor="text1"/>
          <w14:textFill>
            <w14:solidFill>
              <w14:schemeClr w14:val="tx1"/>
            </w14:solidFill>
          </w14:textFill>
        </w:rPr>
        <w:t>附件9  钦州市自然资源局关于钦州港大榄坪港区大榄坪南作业区9号10号泊位扩建工程是否符合钦州市国土空间总体规划的意见（钦市自然资函〔2024〕383号）</w:t>
      </w:r>
    </w:p>
    <w:p>
      <w:pPr>
        <w:ind w:left="924" w:hanging="924" w:hangingChars="400"/>
        <w:jc w:val="left"/>
        <w:rPr>
          <w:color w:val="000000" w:themeColor="text1"/>
          <w14:textFill>
            <w14:solidFill>
              <w14:schemeClr w14:val="tx1"/>
            </w14:solidFill>
          </w14:textFill>
        </w:rPr>
      </w:pPr>
      <w:r>
        <w:rPr>
          <w:color w:val="000000" w:themeColor="text1"/>
          <w14:textFill>
            <w14:solidFill>
              <w14:schemeClr w14:val="tx1"/>
            </w14:solidFill>
          </w14:textFill>
        </w:rPr>
        <w:t>附件</w:t>
      </w:r>
      <w:r>
        <w:rPr>
          <w:rFonts w:hint="eastAsia"/>
          <w:color w:val="000000" w:themeColor="text1"/>
          <w14:textFill>
            <w14:solidFill>
              <w14:schemeClr w14:val="tx1"/>
            </w14:solidFill>
          </w14:textFill>
        </w:rPr>
        <w:t>10</w:t>
      </w:r>
      <w:r>
        <w:rPr>
          <w:color w:val="000000" w:themeColor="text1"/>
          <w14:textFill>
            <w14:solidFill>
              <w14:schemeClr w14:val="tx1"/>
            </w14:solidFill>
          </w14:textFill>
        </w:rPr>
        <w:t xml:space="preserve"> </w:t>
      </w:r>
      <w:r>
        <w:rPr>
          <w:rFonts w:hint="eastAsia"/>
          <w:color w:val="000000" w:themeColor="text1"/>
          <w14:textFill>
            <w14:solidFill>
              <w14:schemeClr w14:val="tx1"/>
            </w14:solidFill>
          </w14:textFill>
        </w:rPr>
        <w:t>广西壮族自治区生态环境厅关于钦州港大榄坪港区大榄坪南作业区9号10号泊位工程环境影响报告书的批复（桂环审〔2020〕73号）</w:t>
      </w:r>
    </w:p>
    <w:p>
      <w:pPr>
        <w:ind w:left="924" w:hanging="924" w:hangingChars="400"/>
        <w:jc w:val="left"/>
        <w:rPr>
          <w:color w:val="000000" w:themeColor="text1"/>
          <w14:textFill>
            <w14:solidFill>
              <w14:schemeClr w14:val="tx1"/>
            </w14:solidFill>
          </w14:textFill>
        </w:rPr>
      </w:pPr>
      <w:r>
        <w:rPr>
          <w:rFonts w:hint="eastAsia"/>
          <w:color w:val="000000" w:themeColor="text1"/>
          <w14:textFill>
            <w14:solidFill>
              <w14:schemeClr w14:val="tx1"/>
            </w14:solidFill>
          </w14:textFill>
        </w:rPr>
        <w:t>附件11 钦州港大榄坪港区大榄坪南作业区9号10号泊位工程竣工环境保护验收意见</w:t>
      </w:r>
    </w:p>
    <w:p>
      <w:pPr>
        <w:ind w:left="924" w:hanging="924" w:hangingChars="400"/>
        <w:jc w:val="left"/>
        <w:rPr>
          <w:color w:val="000000" w:themeColor="text1"/>
          <w14:textFill>
            <w14:solidFill>
              <w14:schemeClr w14:val="tx1"/>
            </w14:solidFill>
          </w14:textFill>
        </w:rPr>
      </w:pPr>
      <w:r>
        <w:rPr>
          <w:rFonts w:hint="eastAsia"/>
          <w:color w:val="000000" w:themeColor="text1"/>
          <w14:textFill>
            <w14:solidFill>
              <w14:schemeClr w14:val="tx1"/>
            </w14:solidFill>
          </w14:textFill>
        </w:rPr>
        <w:t>附件12 钦州港大榄坪南作业区9、10号泊位委托经营管理协议及其补充协议</w:t>
      </w:r>
    </w:p>
    <w:p>
      <w:pPr>
        <w:ind w:left="924" w:hanging="924" w:hangingChars="400"/>
        <w:jc w:val="left"/>
        <w:rPr>
          <w:color w:val="000000" w:themeColor="text1"/>
          <w14:textFill>
            <w14:solidFill>
              <w14:schemeClr w14:val="tx1"/>
            </w14:solidFill>
          </w14:textFill>
        </w:rPr>
      </w:pPr>
      <w:r>
        <w:rPr>
          <w:rFonts w:hint="eastAsia"/>
          <w:color w:val="000000" w:themeColor="text1"/>
          <w14:textFill>
            <w14:solidFill>
              <w14:schemeClr w14:val="tx1"/>
            </w14:solidFill>
          </w14:textFill>
        </w:rPr>
        <w:t>附件13 关于同意码头生活污水接入市政污水管网的复函（钦州北投环水复〔2023〕4号）</w:t>
      </w:r>
    </w:p>
    <w:p>
      <w:pPr>
        <w:ind w:left="924" w:hanging="924" w:hangingChars="400"/>
        <w:jc w:val="left"/>
        <w:rPr>
          <w:color w:val="000000" w:themeColor="text1"/>
          <w14:textFill>
            <w14:solidFill>
              <w14:schemeClr w14:val="tx1"/>
            </w14:solidFill>
          </w14:textFill>
        </w:rPr>
      </w:pPr>
      <w:r>
        <w:rPr>
          <w:color w:val="000000" w:themeColor="text1"/>
          <w14:textFill>
            <w14:solidFill>
              <w14:schemeClr w14:val="tx1"/>
            </w14:solidFill>
          </w14:textFill>
        </w:rPr>
        <w:t>附件</w:t>
      </w:r>
      <w:r>
        <w:rPr>
          <w:rFonts w:hint="eastAsia"/>
          <w:color w:val="000000" w:themeColor="text1"/>
          <w14:textFill>
            <w14:solidFill>
              <w14:schemeClr w14:val="tx1"/>
            </w14:solidFill>
          </w14:textFill>
        </w:rPr>
        <w:t>14</w:t>
      </w:r>
      <w:r>
        <w:rPr>
          <w:color w:val="000000" w:themeColor="text1"/>
          <w14:textFill>
            <w14:solidFill>
              <w14:schemeClr w14:val="tx1"/>
            </w14:solidFill>
          </w14:textFill>
        </w:rPr>
        <w:t xml:space="preserve"> </w:t>
      </w:r>
      <w:r>
        <w:rPr>
          <w:rFonts w:hint="eastAsia"/>
          <w:color w:val="000000" w:themeColor="text1"/>
          <w14:textFill>
            <w14:solidFill>
              <w14:schemeClr w14:val="tx1"/>
            </w14:solidFill>
          </w14:textFill>
        </w:rPr>
        <w:t>运营单位突发环境事件应急预案备案表</w:t>
      </w:r>
    </w:p>
    <w:p>
      <w:pPr>
        <w:ind w:left="924" w:hanging="924" w:hangingChars="400"/>
        <w:jc w:val="left"/>
        <w:rPr>
          <w:color w:val="000000" w:themeColor="text1"/>
          <w14:textFill>
            <w14:solidFill>
              <w14:schemeClr w14:val="tx1"/>
            </w14:solidFill>
          </w14:textFill>
        </w:rPr>
      </w:pPr>
      <w:r>
        <w:rPr>
          <w:color w:val="000000" w:themeColor="text1"/>
          <w14:textFill>
            <w14:solidFill>
              <w14:schemeClr w14:val="tx1"/>
            </w14:solidFill>
          </w14:textFill>
        </w:rPr>
        <w:t>附件</w:t>
      </w:r>
      <w:r>
        <w:rPr>
          <w:rFonts w:hint="eastAsia"/>
          <w:color w:val="000000" w:themeColor="text1"/>
          <w14:textFill>
            <w14:solidFill>
              <w14:schemeClr w14:val="tx1"/>
            </w14:solidFill>
          </w14:textFill>
        </w:rPr>
        <w:t>15 现有9号10号泊位固定污染源排污登记表</w:t>
      </w:r>
    </w:p>
    <w:p>
      <w:pPr>
        <w:ind w:left="924" w:hanging="924" w:hangingChars="400"/>
        <w:jc w:val="left"/>
        <w:rPr>
          <w:color w:val="000000" w:themeColor="text1"/>
          <w14:textFill>
            <w14:solidFill>
              <w14:schemeClr w14:val="tx1"/>
            </w14:solidFill>
          </w14:textFill>
        </w:rPr>
      </w:pPr>
      <w:r>
        <w:rPr>
          <w:color w:val="000000" w:themeColor="text1"/>
          <w14:textFill>
            <w14:solidFill>
              <w14:schemeClr w14:val="tx1"/>
            </w14:solidFill>
          </w14:textFill>
        </w:rPr>
        <w:t>附件</w:t>
      </w:r>
      <w:r>
        <w:rPr>
          <w:rFonts w:hint="eastAsia"/>
          <w:color w:val="000000" w:themeColor="text1"/>
          <w14:textFill>
            <w14:solidFill>
              <w14:schemeClr w14:val="tx1"/>
            </w14:solidFill>
          </w14:textFill>
        </w:rPr>
        <w:t>16</w:t>
      </w:r>
      <w:r>
        <w:rPr>
          <w:color w:val="000000" w:themeColor="text1"/>
          <w14:textFill>
            <w14:solidFill>
              <w14:schemeClr w14:val="tx1"/>
            </w14:solidFill>
          </w14:textFill>
        </w:rPr>
        <w:t xml:space="preserve"> 现有</w:t>
      </w:r>
      <w:r>
        <w:rPr>
          <w:rFonts w:hint="eastAsia"/>
          <w:color w:val="000000" w:themeColor="text1"/>
          <w14:textFill>
            <w14:solidFill>
              <w14:schemeClr w14:val="tx1"/>
            </w14:solidFill>
          </w14:textFill>
        </w:rPr>
        <w:t>9号10号泊位运营期船舶污染物接收协议</w:t>
      </w:r>
    </w:p>
    <w:p>
      <w:pPr>
        <w:ind w:left="924" w:hanging="924" w:hangingChars="400"/>
        <w:jc w:val="left"/>
        <w:rPr>
          <w:color w:val="000000" w:themeColor="text1"/>
          <w14:textFill>
            <w14:solidFill>
              <w14:schemeClr w14:val="tx1"/>
            </w14:solidFill>
          </w14:textFill>
        </w:rPr>
      </w:pPr>
      <w:r>
        <w:rPr>
          <w:color w:val="000000" w:themeColor="text1"/>
          <w14:textFill>
            <w14:solidFill>
              <w14:schemeClr w14:val="tx1"/>
            </w14:solidFill>
          </w14:textFill>
        </w:rPr>
        <w:t>附件</w:t>
      </w:r>
      <w:r>
        <w:rPr>
          <w:rFonts w:hint="eastAsia"/>
          <w:color w:val="000000" w:themeColor="text1"/>
          <w14:textFill>
            <w14:solidFill>
              <w14:schemeClr w14:val="tx1"/>
            </w14:solidFill>
          </w14:textFill>
        </w:rPr>
        <w:t>17</w:t>
      </w:r>
      <w:r>
        <w:rPr>
          <w:color w:val="000000" w:themeColor="text1"/>
          <w14:textFill>
            <w14:solidFill>
              <w14:schemeClr w14:val="tx1"/>
            </w14:solidFill>
          </w14:textFill>
        </w:rPr>
        <w:t xml:space="preserve"> 钦州港总体规划（2019</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2035年）环评审查意见</w:t>
      </w:r>
    </w:p>
    <w:p>
      <w:pPr>
        <w:ind w:left="924" w:hanging="924" w:hangingChars="400"/>
        <w:jc w:val="left"/>
        <w:rPr>
          <w:color w:val="000000" w:themeColor="text1"/>
          <w14:textFill>
            <w14:solidFill>
              <w14:schemeClr w14:val="tx1"/>
            </w14:solidFill>
          </w14:textFill>
        </w:rPr>
      </w:pPr>
      <w:r>
        <w:rPr>
          <w:rFonts w:hint="eastAsia"/>
          <w:color w:val="000000" w:themeColor="text1"/>
          <w14:textFill>
            <w14:solidFill>
              <w14:schemeClr w14:val="tx1"/>
            </w14:solidFill>
          </w14:textFill>
        </w:rPr>
        <w:t>附件18 竣工</w:t>
      </w:r>
      <w:r>
        <w:rPr>
          <w:color w:val="000000" w:themeColor="text1"/>
          <w14:textFill>
            <w14:solidFill>
              <w14:schemeClr w14:val="tx1"/>
            </w14:solidFill>
          </w14:textFill>
        </w:rPr>
        <w:t>环保验收监测报告</w:t>
      </w:r>
    </w:p>
    <w:p>
      <w:pPr>
        <w:ind w:left="924" w:hanging="924" w:hangingChars="400"/>
        <w:jc w:val="left"/>
        <w:rPr>
          <w:color w:val="000000" w:themeColor="text1"/>
          <w14:textFill>
            <w14:solidFill>
              <w14:schemeClr w14:val="tx1"/>
            </w14:solidFill>
          </w14:textFill>
        </w:rPr>
      </w:pPr>
      <w:bookmarkStart w:id="15" w:name="_Hlk171065098"/>
      <w:r>
        <w:rPr>
          <w:rFonts w:hint="eastAsia"/>
          <w:color w:val="000000" w:themeColor="text1"/>
          <w14:textFill>
            <w14:solidFill>
              <w14:schemeClr w14:val="tx1"/>
            </w14:solidFill>
          </w14:textFill>
        </w:rPr>
        <w:t>附件19 环境空气补充监测报告</w:t>
      </w:r>
      <w:bookmarkEnd w:id="15"/>
    </w:p>
    <w:p>
      <w:pPr>
        <w:ind w:left="924" w:hanging="924" w:hangingChars="400"/>
        <w:jc w:val="left"/>
        <w:rPr>
          <w:color w:val="000000" w:themeColor="text1"/>
          <w14:textFill>
            <w14:solidFill>
              <w14:schemeClr w14:val="tx1"/>
            </w14:solidFill>
          </w14:textFill>
        </w:rPr>
      </w:pPr>
      <w:r>
        <w:rPr>
          <w:rFonts w:hint="eastAsia"/>
          <w:color w:val="000000" w:themeColor="text1"/>
          <w14:textFill>
            <w14:solidFill>
              <w14:schemeClr w14:val="tx1"/>
            </w14:solidFill>
          </w14:textFill>
        </w:rPr>
        <w:t>附件20 运营单位广西钦州保税港区盛港码头有限公司2024年度环境例行监测项目监测报告</w:t>
      </w:r>
    </w:p>
    <w:p>
      <w:pPr>
        <w:ind w:left="924" w:hanging="924" w:hangingChars="400"/>
        <w:jc w:val="left"/>
        <w:rPr>
          <w:color w:val="000000" w:themeColor="text1"/>
          <w14:textFill>
            <w14:solidFill>
              <w14:schemeClr w14:val="tx1"/>
            </w14:solidFill>
          </w14:textFill>
        </w:rPr>
      </w:pPr>
      <w:r>
        <w:rPr>
          <w:color w:val="000000" w:themeColor="text1"/>
          <w14:textFill>
            <w14:solidFill>
              <w14:schemeClr w14:val="tx1"/>
            </w14:solidFill>
          </w14:textFill>
        </w:rPr>
        <w:t>附件</w:t>
      </w:r>
      <w:r>
        <w:rPr>
          <w:rFonts w:hint="eastAsia"/>
          <w:color w:val="000000" w:themeColor="text1"/>
          <w14:textFill>
            <w14:solidFill>
              <w14:schemeClr w14:val="tx1"/>
            </w14:solidFill>
          </w14:textFill>
        </w:rPr>
        <w:t>21 钦州港大榄坪港区大榄坪南作业区泊位水域疏浚一期工程疏浚物海洋倾倒监测报告</w:t>
      </w:r>
    </w:p>
    <w:p>
      <w:pPr>
        <w:ind w:left="924" w:hanging="924" w:hangingChars="400"/>
        <w:jc w:val="left"/>
        <w:rPr>
          <w:color w:val="000000" w:themeColor="text1"/>
          <w14:textFill>
            <w14:solidFill>
              <w14:schemeClr w14:val="tx1"/>
            </w14:solidFill>
          </w14:textFill>
        </w:rPr>
      </w:pPr>
      <w:r>
        <w:rPr>
          <w:color w:val="000000" w:themeColor="text1"/>
          <w14:textFill>
            <w14:solidFill>
              <w14:schemeClr w14:val="tx1"/>
            </w14:solidFill>
          </w14:textFill>
        </w:rPr>
        <w:t>附件</w:t>
      </w:r>
      <w:r>
        <w:rPr>
          <w:rFonts w:hint="eastAsia"/>
          <w:color w:val="000000" w:themeColor="text1"/>
          <w14:textFill>
            <w14:solidFill>
              <w14:schemeClr w14:val="tx1"/>
            </w14:solidFill>
          </w14:textFill>
        </w:rPr>
        <w:t>2</w:t>
      </w:r>
      <w:r>
        <w:rPr>
          <w:color w:val="000000" w:themeColor="text1"/>
          <w14:textFill>
            <w14:solidFill>
              <w14:schemeClr w14:val="tx1"/>
            </w14:solidFill>
          </w14:textFill>
        </w:rPr>
        <w:t>2</w:t>
      </w:r>
      <w:r>
        <w:rPr>
          <w:rFonts w:hint="eastAsia"/>
          <w:color w:val="000000" w:themeColor="text1"/>
          <w14:textFill>
            <w14:solidFill>
              <w14:schemeClr w14:val="tx1"/>
            </w14:solidFill>
          </w14:textFill>
        </w:rPr>
        <w:t>《钦州市人民政府办公室关于印发钦州湾海域污染整治及排污控制目标方案的通知》（钦政办函〔2017〕17号）</w:t>
      </w:r>
    </w:p>
    <w:p>
      <w:pPr>
        <w:ind w:left="924" w:hanging="924" w:hangingChars="400"/>
        <w:jc w:val="left"/>
        <w:rPr>
          <w:color w:val="000000" w:themeColor="text1"/>
          <w14:textFill>
            <w14:solidFill>
              <w14:schemeClr w14:val="tx1"/>
            </w14:solidFill>
          </w14:textFill>
        </w:rPr>
      </w:pPr>
      <w:r>
        <w:rPr>
          <w:color w:val="000000" w:themeColor="text1"/>
          <w14:textFill>
            <w14:solidFill>
              <w14:schemeClr w14:val="tx1"/>
            </w14:solidFill>
          </w14:textFill>
        </w:rPr>
        <w:t>附件</w:t>
      </w:r>
      <w:r>
        <w:rPr>
          <w:rFonts w:hint="eastAsia"/>
          <w:color w:val="000000" w:themeColor="text1"/>
          <w14:textFill>
            <w14:solidFill>
              <w14:schemeClr w14:val="tx1"/>
            </w14:solidFill>
          </w14:textFill>
        </w:rPr>
        <w:t>2</w:t>
      </w:r>
      <w:r>
        <w:rPr>
          <w:color w:val="000000" w:themeColor="text1"/>
          <w14:textFill>
            <w14:solidFill>
              <w14:schemeClr w14:val="tx1"/>
            </w14:solidFill>
          </w14:textFill>
        </w:rPr>
        <w:t>3</w:t>
      </w:r>
      <w:r>
        <w:rPr>
          <w:rFonts w:hint="eastAsia"/>
          <w:color w:val="000000" w:themeColor="text1"/>
          <w14:textFill>
            <w14:solidFill>
              <w14:schemeClr w14:val="tx1"/>
            </w14:solidFill>
          </w14:textFill>
        </w:rPr>
        <w:t xml:space="preserve"> 广西钦州临海建设投资有限公司关于中国（广西）自由贸易试验区钦州港大榄坪及三墩作业区深海排水管道工程的情况说明</w:t>
      </w:r>
    </w:p>
    <w:p>
      <w:pPr>
        <w:ind w:left="924" w:hanging="924" w:hangingChars="400"/>
        <w:jc w:val="left"/>
        <w:rPr>
          <w:color w:val="000000" w:themeColor="text1"/>
          <w14:textFill>
            <w14:solidFill>
              <w14:schemeClr w14:val="tx1"/>
            </w14:solidFill>
          </w14:textFill>
        </w:rPr>
      </w:pPr>
      <w:r>
        <w:rPr>
          <w:color w:val="000000" w:themeColor="text1"/>
          <w14:textFill>
            <w14:solidFill>
              <w14:schemeClr w14:val="tx1"/>
            </w14:solidFill>
          </w14:textFill>
        </w:rPr>
        <w:t>附件</w:t>
      </w:r>
      <w:r>
        <w:rPr>
          <w:rFonts w:hint="eastAsia"/>
          <w:color w:val="000000" w:themeColor="text1"/>
          <w14:textFill>
            <w14:solidFill>
              <w14:schemeClr w14:val="tx1"/>
            </w14:solidFill>
          </w14:textFill>
        </w:rPr>
        <w:t>2</w:t>
      </w:r>
      <w:r>
        <w:rPr>
          <w:color w:val="000000" w:themeColor="text1"/>
          <w14:textFill>
            <w14:solidFill>
              <w14:schemeClr w14:val="tx1"/>
            </w14:solidFill>
          </w14:textFill>
        </w:rPr>
        <w:t xml:space="preserve">4 </w:t>
      </w:r>
      <w:r>
        <w:rPr>
          <w:rFonts w:hint="eastAsia"/>
          <w:color w:val="000000" w:themeColor="text1"/>
          <w14:textFill>
            <w14:solidFill>
              <w14:schemeClr w14:val="tx1"/>
            </w14:solidFill>
          </w14:textFill>
        </w:rPr>
        <w:t>建设单位关于迁改排污口的承诺函</w:t>
      </w:r>
    </w:p>
    <w:p>
      <w:pPr>
        <w:ind w:left="924" w:hanging="924" w:hangingChars="400"/>
        <w:jc w:val="left"/>
        <w:rPr>
          <w:color w:val="000000" w:themeColor="text1"/>
          <w14:textFill>
            <w14:solidFill>
              <w14:schemeClr w14:val="tx1"/>
            </w14:solidFill>
          </w14:textFill>
        </w:rPr>
      </w:pPr>
    </w:p>
    <w:p>
      <w:pPr>
        <w:ind w:left="924" w:hanging="924" w:hangingChars="400"/>
        <w:jc w:val="left"/>
        <w:rPr>
          <w:color w:val="000000" w:themeColor="text1"/>
          <w14:textFill>
            <w14:solidFill>
              <w14:schemeClr w14:val="tx1"/>
            </w14:solidFill>
          </w14:textFill>
        </w:rPr>
      </w:pPr>
    </w:p>
    <w:p>
      <w:pPr>
        <w:ind w:left="924" w:hanging="924" w:hangingChars="400"/>
        <w:jc w:val="left"/>
        <w:rPr>
          <w:color w:val="000000" w:themeColor="text1"/>
          <w14:textFill>
            <w14:solidFill>
              <w14:schemeClr w14:val="tx1"/>
            </w14:solidFill>
          </w14:textFill>
        </w:rPr>
      </w:pPr>
    </w:p>
    <w:p>
      <w:pPr>
        <w:rPr>
          <w:b/>
          <w:bCs/>
          <w:color w:val="000000" w:themeColor="text1"/>
          <w14:textFill>
            <w14:solidFill>
              <w14:schemeClr w14:val="tx1"/>
            </w14:solidFill>
          </w14:textFill>
        </w:rPr>
      </w:pPr>
      <w:r>
        <w:rPr>
          <w:rFonts w:hint="eastAsia"/>
          <w:color w:val="000000" w:themeColor="text1"/>
          <w14:textFill>
            <w14:solidFill>
              <w14:schemeClr w14:val="tx1"/>
            </w14:solidFill>
          </w14:textFill>
        </w:rPr>
        <w:t xml:space="preserve"> </w:t>
      </w:r>
      <w:r>
        <w:rPr>
          <w:rFonts w:hint="eastAsia"/>
          <w:b/>
          <w:bCs/>
          <w:color w:val="000000" w:themeColor="text1"/>
          <w14:textFill>
            <w14:solidFill>
              <w14:schemeClr w14:val="tx1"/>
            </w14:solidFill>
          </w14:textFill>
        </w:rPr>
        <w:t>附表：</w:t>
      </w:r>
    </w:p>
    <w:p>
      <w:pPr>
        <w:rPr>
          <w:color w:val="000000" w:themeColor="text1"/>
          <w14:textFill>
            <w14:solidFill>
              <w14:schemeClr w14:val="tx1"/>
            </w14:solidFill>
          </w14:textFill>
        </w:rPr>
      </w:pPr>
      <w:r>
        <w:rPr>
          <w:rFonts w:hint="eastAsia"/>
          <w:color w:val="000000" w:themeColor="text1"/>
          <w14:textFill>
            <w14:solidFill>
              <w14:schemeClr w14:val="tx1"/>
            </w14:solidFill>
          </w14:textFill>
        </w:rPr>
        <w:t>附表1  大气环境评价自查表</w:t>
      </w:r>
    </w:p>
    <w:p>
      <w:pPr>
        <w:rPr>
          <w:color w:val="000000" w:themeColor="text1"/>
          <w14:textFill>
            <w14:solidFill>
              <w14:schemeClr w14:val="tx1"/>
            </w14:solidFill>
          </w14:textFill>
        </w:rPr>
      </w:pPr>
      <w:r>
        <w:rPr>
          <w:rFonts w:hint="eastAsia"/>
          <w:color w:val="000000" w:themeColor="text1"/>
          <w14:textFill>
            <w14:solidFill>
              <w14:schemeClr w14:val="tx1"/>
            </w14:solidFill>
          </w14:textFill>
        </w:rPr>
        <w:t>附表2  建设项目环境风险影响评价自查表</w:t>
      </w:r>
    </w:p>
    <w:p>
      <w:pPr>
        <w:rPr>
          <w:color w:val="000000" w:themeColor="text1"/>
          <w14:textFill>
            <w14:solidFill>
              <w14:schemeClr w14:val="tx1"/>
            </w14:solidFill>
          </w14:textFill>
        </w:rPr>
      </w:pPr>
      <w:r>
        <w:rPr>
          <w:rFonts w:hint="eastAsia"/>
          <w:color w:val="000000" w:themeColor="text1"/>
          <w14:textFill>
            <w14:solidFill>
              <w14:schemeClr w14:val="tx1"/>
            </w14:solidFill>
          </w14:textFill>
        </w:rPr>
        <w:t>附表3  生态影响评价自查表</w:t>
      </w:r>
    </w:p>
    <w:p>
      <w:pPr>
        <w:rPr>
          <w:color w:val="000000" w:themeColor="text1"/>
          <w14:textFill>
            <w14:solidFill>
              <w14:schemeClr w14:val="tx1"/>
            </w14:solidFill>
          </w14:textFill>
        </w:rPr>
      </w:pPr>
      <w:r>
        <w:rPr>
          <w:rFonts w:hint="eastAsia"/>
          <w:color w:val="000000" w:themeColor="text1"/>
          <w14:textFill>
            <w14:solidFill>
              <w14:schemeClr w14:val="tx1"/>
            </w14:solidFill>
          </w14:textFill>
        </w:rPr>
        <w:t>附表4  声环境影响评价自查表</w:t>
      </w:r>
    </w:p>
    <w:p>
      <w:pPr>
        <w:rPr>
          <w:color w:val="000000" w:themeColor="text1"/>
          <w14:textFill>
            <w14:solidFill>
              <w14:schemeClr w14:val="tx1"/>
            </w14:solidFill>
          </w14:textFill>
        </w:rPr>
      </w:pPr>
      <w:r>
        <w:rPr>
          <w:rFonts w:hint="eastAsia"/>
          <w:color w:val="000000" w:themeColor="text1"/>
          <w14:textFill>
            <w14:solidFill>
              <w14:schemeClr w14:val="tx1"/>
            </w14:solidFill>
          </w14:textFill>
        </w:rPr>
        <w:t>附表5  建设项目环评审批基础信息表</w:t>
      </w:r>
    </w:p>
    <w:p>
      <w:pPr>
        <w:widowControl/>
        <w:jc w:val="left"/>
        <w:rPr>
          <w:color w:val="000000" w:themeColor="text1"/>
          <w14:textFill>
            <w14:solidFill>
              <w14:schemeClr w14:val="tx1"/>
            </w14:solidFill>
          </w14:textFill>
        </w:rPr>
      </w:pPr>
      <w:r>
        <w:rPr>
          <w:color w:val="000000" w:themeColor="text1"/>
          <w14:textFill>
            <w14:solidFill>
              <w14:schemeClr w14:val="tx1"/>
            </w14:solidFill>
          </w14:textFill>
        </w:rPr>
        <w:br w:type="page"/>
      </w:r>
    </w:p>
    <w:p>
      <w:pPr>
        <w:rPr>
          <w:color w:val="000000" w:themeColor="text1"/>
          <w14:textFill>
            <w14:solidFill>
              <w14:schemeClr w14:val="tx1"/>
            </w14:solidFill>
          </w14:textFill>
        </w:rPr>
        <w:sectPr>
          <w:pgSz w:w="11907" w:h="16840"/>
          <w:pgMar w:top="1440" w:right="1514" w:bottom="1440" w:left="1797" w:header="992" w:footer="851" w:gutter="284"/>
          <w:pgNumType w:fmt="numberInDash" w:start="1"/>
          <w:cols w:space="425" w:num="1"/>
          <w:titlePg/>
          <w:docGrid w:type="linesAndChars" w:linePitch="465" w:charSpace="-1866"/>
        </w:sectPr>
      </w:pPr>
    </w:p>
    <w:p>
      <w:pPr>
        <w:pStyle w:val="3"/>
        <w:rPr>
          <w:color w:val="000000" w:themeColor="text1"/>
          <w14:textFill>
            <w14:solidFill>
              <w14:schemeClr w14:val="tx1"/>
            </w14:solidFill>
          </w14:textFill>
        </w:rPr>
      </w:pPr>
      <w:bookmarkStart w:id="16" w:name="_Toc170918587"/>
      <w:r>
        <w:rPr>
          <w:color w:val="000000" w:themeColor="text1"/>
          <w14:textFill>
            <w14:solidFill>
              <w14:schemeClr w14:val="tx1"/>
            </w14:solidFill>
          </w14:textFill>
        </w:rPr>
        <w:t>总 则</w:t>
      </w:r>
      <w:bookmarkEnd w:id="16"/>
    </w:p>
    <w:p>
      <w:pPr>
        <w:pStyle w:val="4"/>
        <w:rPr>
          <w:color w:val="000000" w:themeColor="text1"/>
          <w14:textFill>
            <w14:solidFill>
              <w14:schemeClr w14:val="tx1"/>
            </w14:solidFill>
          </w14:textFill>
        </w:rPr>
      </w:pPr>
      <w:bookmarkStart w:id="17" w:name="_Toc317003231"/>
      <w:bookmarkStart w:id="18" w:name="_Toc247517248"/>
      <w:bookmarkStart w:id="19" w:name="_Toc232154388"/>
      <w:bookmarkStart w:id="20" w:name="_Toc317003511"/>
      <w:bookmarkStart w:id="21" w:name="_Toc247517454"/>
      <w:bookmarkStart w:id="22" w:name="_Toc247517527"/>
      <w:bookmarkStart w:id="23" w:name="_Toc170918588"/>
      <w:r>
        <w:rPr>
          <w:color w:val="000000" w:themeColor="text1"/>
          <w14:textFill>
            <w14:solidFill>
              <w14:schemeClr w14:val="tx1"/>
            </w14:solidFill>
          </w14:textFill>
        </w:rPr>
        <w:t>编制依据</w:t>
      </w:r>
      <w:bookmarkEnd w:id="17"/>
      <w:bookmarkEnd w:id="18"/>
      <w:bookmarkEnd w:id="19"/>
      <w:bookmarkEnd w:id="20"/>
      <w:bookmarkEnd w:id="21"/>
      <w:bookmarkEnd w:id="22"/>
      <w:bookmarkEnd w:id="23"/>
    </w:p>
    <w:p>
      <w:pPr>
        <w:pStyle w:val="5"/>
        <w:rPr>
          <w:color w:val="000000" w:themeColor="text1"/>
          <w14:textFill>
            <w14:solidFill>
              <w14:schemeClr w14:val="tx1"/>
            </w14:solidFill>
          </w14:textFill>
        </w:rPr>
      </w:pPr>
      <w:bookmarkStart w:id="24" w:name="_Toc247517249"/>
      <w:bookmarkStart w:id="25" w:name="_Toc232154389"/>
      <w:r>
        <w:rPr>
          <w:color w:val="000000" w:themeColor="text1"/>
          <w14:textFill>
            <w14:solidFill>
              <w14:schemeClr w14:val="tx1"/>
            </w14:solidFill>
          </w14:textFill>
        </w:rPr>
        <w:t>法律法规</w:t>
      </w:r>
      <w:bookmarkEnd w:id="24"/>
      <w:bookmarkEnd w:id="25"/>
    </w:p>
    <w:p>
      <w:pPr>
        <w:pStyle w:val="283"/>
        <w:numPr>
          <w:ilvl w:val="0"/>
          <w:numId w:val="42"/>
        </w:numPr>
        <w:ind w:firstLineChars="0"/>
        <w:rPr>
          <w:color w:val="000000" w:themeColor="text1"/>
          <w14:textFill>
            <w14:solidFill>
              <w14:schemeClr w14:val="tx1"/>
            </w14:solidFill>
          </w14:textFill>
        </w:rPr>
      </w:pPr>
      <w:r>
        <w:rPr>
          <w:color w:val="000000" w:themeColor="text1"/>
          <w14:textFill>
            <w14:solidFill>
              <w14:schemeClr w14:val="tx1"/>
            </w14:solidFill>
          </w14:textFill>
        </w:rPr>
        <w:t>《中华人民共和国环境保护法》（2014年</w:t>
      </w:r>
      <w:r>
        <w:rPr>
          <w:rFonts w:hint="eastAsia"/>
          <w:color w:val="000000" w:themeColor="text1"/>
          <w14:textFill>
            <w14:solidFill>
              <w14:schemeClr w14:val="tx1"/>
            </w14:solidFill>
          </w14:textFill>
        </w:rPr>
        <w:t>修订</w:t>
      </w:r>
      <w:r>
        <w:rPr>
          <w:color w:val="000000" w:themeColor="text1"/>
          <w14:textFill>
            <w14:solidFill>
              <w14:schemeClr w14:val="tx1"/>
            </w14:solidFill>
          </w14:textFill>
        </w:rPr>
        <w:t>）；</w:t>
      </w:r>
    </w:p>
    <w:p>
      <w:pPr>
        <w:pStyle w:val="283"/>
        <w:numPr>
          <w:ilvl w:val="0"/>
          <w:numId w:val="42"/>
        </w:numPr>
        <w:ind w:firstLineChars="0"/>
        <w:rPr>
          <w:color w:val="000000" w:themeColor="text1"/>
          <w14:textFill>
            <w14:solidFill>
              <w14:schemeClr w14:val="tx1"/>
            </w14:solidFill>
          </w14:textFill>
        </w:rPr>
      </w:pPr>
      <w:bookmarkStart w:id="26" w:name="_Hlk156661707"/>
      <w:r>
        <w:rPr>
          <w:color w:val="000000" w:themeColor="text1"/>
          <w14:textFill>
            <w14:solidFill>
              <w14:schemeClr w14:val="tx1"/>
            </w14:solidFill>
          </w14:textFill>
        </w:rPr>
        <w:t>《中华人民共和国海洋环境保护法》（20</w:t>
      </w:r>
      <w:r>
        <w:rPr>
          <w:rFonts w:hint="eastAsia"/>
          <w:color w:val="000000" w:themeColor="text1"/>
          <w14:textFill>
            <w14:solidFill>
              <w14:schemeClr w14:val="tx1"/>
            </w14:solidFill>
          </w14:textFill>
        </w:rPr>
        <w:t>23</w:t>
      </w:r>
      <w:r>
        <w:rPr>
          <w:color w:val="000000" w:themeColor="text1"/>
          <w14:textFill>
            <w14:solidFill>
              <w14:schemeClr w14:val="tx1"/>
            </w14:solidFill>
          </w14:textFill>
        </w:rPr>
        <w:t>年</w:t>
      </w:r>
      <w:r>
        <w:rPr>
          <w:rFonts w:hint="eastAsia"/>
          <w:color w:val="000000" w:themeColor="text1"/>
          <w14:textFill>
            <w14:solidFill>
              <w14:schemeClr w14:val="tx1"/>
            </w14:solidFill>
          </w14:textFill>
        </w:rPr>
        <w:t>修订</w:t>
      </w:r>
      <w:r>
        <w:rPr>
          <w:color w:val="000000" w:themeColor="text1"/>
          <w14:textFill>
            <w14:solidFill>
              <w14:schemeClr w14:val="tx1"/>
            </w14:solidFill>
          </w14:textFill>
        </w:rPr>
        <w:t>）</w:t>
      </w:r>
      <w:bookmarkEnd w:id="26"/>
      <w:r>
        <w:rPr>
          <w:color w:val="000000" w:themeColor="text1"/>
          <w14:textFill>
            <w14:solidFill>
              <w14:schemeClr w14:val="tx1"/>
            </w14:solidFill>
          </w14:textFill>
        </w:rPr>
        <w:t>；</w:t>
      </w:r>
    </w:p>
    <w:p>
      <w:pPr>
        <w:pStyle w:val="283"/>
        <w:numPr>
          <w:ilvl w:val="0"/>
          <w:numId w:val="42"/>
        </w:numPr>
        <w:ind w:firstLineChars="0"/>
        <w:rPr>
          <w:color w:val="000000" w:themeColor="text1"/>
          <w14:textFill>
            <w14:solidFill>
              <w14:schemeClr w14:val="tx1"/>
            </w14:solidFill>
          </w14:textFill>
        </w:rPr>
      </w:pPr>
      <w:r>
        <w:rPr>
          <w:color w:val="000000" w:themeColor="text1"/>
          <w14:textFill>
            <w14:solidFill>
              <w14:schemeClr w14:val="tx1"/>
            </w14:solidFill>
          </w14:textFill>
        </w:rPr>
        <w:t>《中华人民共和国环境影响评价法》（2018年修正）；</w:t>
      </w:r>
    </w:p>
    <w:p>
      <w:pPr>
        <w:pStyle w:val="283"/>
        <w:numPr>
          <w:ilvl w:val="0"/>
          <w:numId w:val="42"/>
        </w:numPr>
        <w:ind w:firstLineChars="0"/>
        <w:rPr>
          <w:color w:val="000000" w:themeColor="text1"/>
          <w14:textFill>
            <w14:solidFill>
              <w14:schemeClr w14:val="tx1"/>
            </w14:solidFill>
          </w14:textFill>
        </w:rPr>
      </w:pPr>
      <w:r>
        <w:rPr>
          <w:color w:val="000000" w:themeColor="text1"/>
          <w14:textFill>
            <w14:solidFill>
              <w14:schemeClr w14:val="tx1"/>
            </w14:solidFill>
          </w14:textFill>
        </w:rPr>
        <w:t>《中华人民共和国水污染防治法》（2017年修正）；</w:t>
      </w:r>
    </w:p>
    <w:p>
      <w:pPr>
        <w:pStyle w:val="283"/>
        <w:numPr>
          <w:ilvl w:val="0"/>
          <w:numId w:val="42"/>
        </w:numPr>
        <w:ind w:firstLineChars="0"/>
        <w:rPr>
          <w:color w:val="000000" w:themeColor="text1"/>
          <w14:textFill>
            <w14:solidFill>
              <w14:schemeClr w14:val="tx1"/>
            </w14:solidFill>
          </w14:textFill>
        </w:rPr>
      </w:pPr>
      <w:r>
        <w:rPr>
          <w:color w:val="000000" w:themeColor="text1"/>
          <w14:textFill>
            <w14:solidFill>
              <w14:schemeClr w14:val="tx1"/>
            </w14:solidFill>
          </w14:textFill>
        </w:rPr>
        <w:t>《中华人民共和国大气污染防治法》（2018年修正）；</w:t>
      </w:r>
    </w:p>
    <w:p>
      <w:pPr>
        <w:pStyle w:val="283"/>
        <w:numPr>
          <w:ilvl w:val="0"/>
          <w:numId w:val="42"/>
        </w:numPr>
        <w:ind w:firstLineChars="0"/>
        <w:rPr>
          <w:color w:val="000000" w:themeColor="text1"/>
          <w14:textFill>
            <w14:solidFill>
              <w14:schemeClr w14:val="tx1"/>
            </w14:solidFill>
          </w14:textFill>
        </w:rPr>
      </w:pPr>
      <w:r>
        <w:rPr>
          <w:color w:val="000000" w:themeColor="text1"/>
          <w14:textFill>
            <w14:solidFill>
              <w14:schemeClr w14:val="tx1"/>
            </w14:solidFill>
          </w14:textFill>
        </w:rPr>
        <w:t>《中华人民共和国固体废物污染环境防治法》（2020年修正）；</w:t>
      </w:r>
    </w:p>
    <w:p>
      <w:pPr>
        <w:pStyle w:val="283"/>
        <w:numPr>
          <w:ilvl w:val="0"/>
          <w:numId w:val="42"/>
        </w:numPr>
        <w:ind w:firstLineChars="0"/>
        <w:rPr>
          <w:color w:val="000000" w:themeColor="text1"/>
          <w14:textFill>
            <w14:solidFill>
              <w14:schemeClr w14:val="tx1"/>
            </w14:solidFill>
          </w14:textFill>
        </w:rPr>
      </w:pPr>
      <w:r>
        <w:rPr>
          <w:color w:val="000000" w:themeColor="text1"/>
          <w14:textFill>
            <w14:solidFill>
              <w14:schemeClr w14:val="tx1"/>
            </w14:solidFill>
          </w14:textFill>
        </w:rPr>
        <w:t>《中华人民共和国土地管理法》（2019年修正）；</w:t>
      </w:r>
    </w:p>
    <w:p>
      <w:pPr>
        <w:pStyle w:val="283"/>
        <w:numPr>
          <w:ilvl w:val="0"/>
          <w:numId w:val="42"/>
        </w:numPr>
        <w:ind w:firstLineChars="0"/>
        <w:rPr>
          <w:color w:val="000000" w:themeColor="text1"/>
          <w14:textFill>
            <w14:solidFill>
              <w14:schemeClr w14:val="tx1"/>
            </w14:solidFill>
          </w14:textFill>
        </w:rPr>
      </w:pPr>
      <w:r>
        <w:rPr>
          <w:color w:val="000000" w:themeColor="text1"/>
          <w14:textFill>
            <w14:solidFill>
              <w14:schemeClr w14:val="tx1"/>
            </w14:solidFill>
          </w14:textFill>
        </w:rPr>
        <w:t>《中华人民共和国噪声污染防治法》（2022年6月5日起施行）；</w:t>
      </w:r>
    </w:p>
    <w:p>
      <w:pPr>
        <w:pStyle w:val="283"/>
        <w:numPr>
          <w:ilvl w:val="0"/>
          <w:numId w:val="42"/>
        </w:numPr>
        <w:ind w:firstLineChars="0"/>
        <w:rPr>
          <w:color w:val="000000" w:themeColor="text1"/>
          <w14:textFill>
            <w14:solidFill>
              <w14:schemeClr w14:val="tx1"/>
            </w14:solidFill>
          </w14:textFill>
        </w:rPr>
      </w:pPr>
      <w:r>
        <w:rPr>
          <w:color w:val="000000" w:themeColor="text1"/>
          <w14:textFill>
            <w14:solidFill>
              <w14:schemeClr w14:val="tx1"/>
            </w14:solidFill>
          </w14:textFill>
        </w:rPr>
        <w:t>《中华人民共和国海域使用管理法》（2002年1月1日起施行）；</w:t>
      </w:r>
    </w:p>
    <w:p>
      <w:pPr>
        <w:pStyle w:val="283"/>
        <w:numPr>
          <w:ilvl w:val="0"/>
          <w:numId w:val="42"/>
        </w:numPr>
        <w:ind w:firstLineChars="0"/>
        <w:rPr>
          <w:color w:val="000000" w:themeColor="text1"/>
          <w14:textFill>
            <w14:solidFill>
              <w14:schemeClr w14:val="tx1"/>
            </w14:solidFill>
          </w14:textFill>
        </w:rPr>
      </w:pPr>
      <w:r>
        <w:rPr>
          <w:color w:val="000000" w:themeColor="text1"/>
          <w14:textFill>
            <w14:solidFill>
              <w14:schemeClr w14:val="tx1"/>
            </w14:solidFill>
          </w14:textFill>
        </w:rPr>
        <w:t xml:space="preserve">《中华人民共和国水土保持法》（2011年3月1日起施行）； </w:t>
      </w:r>
    </w:p>
    <w:p>
      <w:pPr>
        <w:pStyle w:val="283"/>
        <w:numPr>
          <w:ilvl w:val="0"/>
          <w:numId w:val="42"/>
        </w:numPr>
        <w:ind w:firstLineChars="0"/>
        <w:rPr>
          <w:color w:val="000000" w:themeColor="text1"/>
          <w14:textFill>
            <w14:solidFill>
              <w14:schemeClr w14:val="tx1"/>
            </w14:solidFill>
          </w14:textFill>
        </w:rPr>
      </w:pPr>
      <w:r>
        <w:rPr>
          <w:color w:val="000000" w:themeColor="text1"/>
          <w14:textFill>
            <w14:solidFill>
              <w14:schemeClr w14:val="tx1"/>
            </w14:solidFill>
          </w14:textFill>
        </w:rPr>
        <w:t>《中华人民共和国清洁生产促进法》（2012年修正）；</w:t>
      </w:r>
    </w:p>
    <w:p>
      <w:pPr>
        <w:pStyle w:val="283"/>
        <w:numPr>
          <w:ilvl w:val="0"/>
          <w:numId w:val="42"/>
        </w:numPr>
        <w:ind w:firstLineChars="0"/>
        <w:rPr>
          <w:color w:val="000000" w:themeColor="text1"/>
          <w14:textFill>
            <w14:solidFill>
              <w14:schemeClr w14:val="tx1"/>
            </w14:solidFill>
          </w14:textFill>
        </w:rPr>
      </w:pPr>
      <w:r>
        <w:rPr>
          <w:color w:val="000000" w:themeColor="text1"/>
          <w14:textFill>
            <w14:solidFill>
              <w14:schemeClr w14:val="tx1"/>
            </w14:solidFill>
          </w14:textFill>
        </w:rPr>
        <w:t>《中华人民共和国水法》（2016年修正）；</w:t>
      </w:r>
    </w:p>
    <w:p>
      <w:pPr>
        <w:pStyle w:val="283"/>
        <w:numPr>
          <w:ilvl w:val="0"/>
          <w:numId w:val="42"/>
        </w:numPr>
        <w:ind w:firstLineChars="0"/>
        <w:rPr>
          <w:color w:val="000000" w:themeColor="text1"/>
          <w14:textFill>
            <w14:solidFill>
              <w14:schemeClr w14:val="tx1"/>
            </w14:solidFill>
          </w14:textFill>
        </w:rPr>
      </w:pPr>
      <w:r>
        <w:rPr>
          <w:color w:val="000000" w:themeColor="text1"/>
          <w14:textFill>
            <w14:solidFill>
              <w14:schemeClr w14:val="tx1"/>
            </w14:solidFill>
          </w14:textFill>
        </w:rPr>
        <w:t>《中华人民共和国渔业法》（2013年修正）；</w:t>
      </w:r>
    </w:p>
    <w:p>
      <w:pPr>
        <w:pStyle w:val="283"/>
        <w:numPr>
          <w:ilvl w:val="0"/>
          <w:numId w:val="42"/>
        </w:numPr>
        <w:ind w:firstLineChars="0"/>
        <w:rPr>
          <w:color w:val="000000" w:themeColor="text1"/>
          <w14:textFill>
            <w14:solidFill>
              <w14:schemeClr w14:val="tx1"/>
            </w14:solidFill>
          </w14:textFill>
        </w:rPr>
      </w:pPr>
      <w:r>
        <w:rPr>
          <w:color w:val="000000" w:themeColor="text1"/>
          <w14:textFill>
            <w14:solidFill>
              <w14:schemeClr w14:val="tx1"/>
            </w14:solidFill>
          </w14:textFill>
        </w:rPr>
        <w:t>《中华人民共和国港口法》（2018年修正）；</w:t>
      </w:r>
    </w:p>
    <w:p>
      <w:pPr>
        <w:pStyle w:val="283"/>
        <w:numPr>
          <w:ilvl w:val="0"/>
          <w:numId w:val="42"/>
        </w:numPr>
        <w:ind w:firstLineChars="0"/>
        <w:rPr>
          <w:color w:val="000000" w:themeColor="text1"/>
          <w14:textFill>
            <w14:solidFill>
              <w14:schemeClr w14:val="tx1"/>
            </w14:solidFill>
          </w14:textFill>
        </w:rPr>
      </w:pPr>
      <w:r>
        <w:rPr>
          <w:color w:val="000000" w:themeColor="text1"/>
          <w14:textFill>
            <w14:solidFill>
              <w14:schemeClr w14:val="tx1"/>
            </w14:solidFill>
          </w14:textFill>
        </w:rPr>
        <w:t>《中华人民共和国安全生产法》（2014年修正）；</w:t>
      </w:r>
    </w:p>
    <w:p>
      <w:pPr>
        <w:pStyle w:val="283"/>
        <w:numPr>
          <w:ilvl w:val="0"/>
          <w:numId w:val="42"/>
        </w:numPr>
        <w:ind w:firstLineChars="0"/>
        <w:rPr>
          <w:color w:val="000000" w:themeColor="text1"/>
          <w14:textFill>
            <w14:solidFill>
              <w14:schemeClr w14:val="tx1"/>
            </w14:solidFill>
          </w14:textFill>
        </w:rPr>
      </w:pPr>
      <w:r>
        <w:rPr>
          <w:color w:val="000000" w:themeColor="text1"/>
          <w14:textFill>
            <w14:solidFill>
              <w14:schemeClr w14:val="tx1"/>
            </w14:solidFill>
          </w14:textFill>
        </w:rPr>
        <w:t>《中华人民共和国节约能源法》（2018年修正）；</w:t>
      </w:r>
    </w:p>
    <w:p>
      <w:pPr>
        <w:pStyle w:val="283"/>
        <w:numPr>
          <w:ilvl w:val="0"/>
          <w:numId w:val="42"/>
        </w:numPr>
        <w:ind w:firstLineChars="0"/>
        <w:rPr>
          <w:color w:val="000000" w:themeColor="text1"/>
          <w14:textFill>
            <w14:solidFill>
              <w14:schemeClr w14:val="tx1"/>
            </w14:solidFill>
          </w14:textFill>
        </w:rPr>
      </w:pPr>
      <w:r>
        <w:rPr>
          <w:rFonts w:hint="eastAsia"/>
          <w:color w:val="000000" w:themeColor="text1"/>
          <w14:textFill>
            <w14:solidFill>
              <w14:schemeClr w14:val="tx1"/>
            </w14:solidFill>
          </w14:textFill>
        </w:rPr>
        <w:t>《中华人民共和国航道法》（2016年修正）；</w:t>
      </w:r>
    </w:p>
    <w:p>
      <w:pPr>
        <w:pStyle w:val="283"/>
        <w:numPr>
          <w:ilvl w:val="0"/>
          <w:numId w:val="42"/>
        </w:numPr>
        <w:ind w:firstLineChars="0"/>
        <w:rPr>
          <w:color w:val="000000" w:themeColor="text1"/>
          <w14:textFill>
            <w14:solidFill>
              <w14:schemeClr w14:val="tx1"/>
            </w14:solidFill>
          </w14:textFill>
        </w:rPr>
      </w:pPr>
      <w:r>
        <w:rPr>
          <w:rFonts w:hint="eastAsia"/>
          <w:color w:val="000000" w:themeColor="text1"/>
          <w14:textFill>
            <w14:solidFill>
              <w14:schemeClr w14:val="tx1"/>
            </w14:solidFill>
          </w14:textFill>
        </w:rPr>
        <w:t>《中华人民共和国野生动物保护法》（2022年修订）；</w:t>
      </w:r>
    </w:p>
    <w:p>
      <w:pPr>
        <w:pStyle w:val="283"/>
        <w:numPr>
          <w:ilvl w:val="0"/>
          <w:numId w:val="42"/>
        </w:numPr>
        <w:ind w:firstLineChars="0"/>
        <w:rPr>
          <w:color w:val="000000" w:themeColor="text1"/>
          <w14:textFill>
            <w14:solidFill>
              <w14:schemeClr w14:val="tx1"/>
            </w14:solidFill>
          </w14:textFill>
        </w:rPr>
      </w:pPr>
      <w:r>
        <w:rPr>
          <w:color w:val="000000" w:themeColor="text1"/>
          <w14:textFill>
            <w14:solidFill>
              <w14:schemeClr w14:val="tx1"/>
            </w14:solidFill>
          </w14:textFill>
        </w:rPr>
        <w:t>《中华人民共和国</w:t>
      </w:r>
      <w:r>
        <w:rPr>
          <w:rFonts w:hint="eastAsia"/>
          <w:color w:val="000000" w:themeColor="text1"/>
          <w14:textFill>
            <w14:solidFill>
              <w14:schemeClr w14:val="tx1"/>
            </w14:solidFill>
          </w14:textFill>
        </w:rPr>
        <w:t>航道管理条例》（200</w:t>
      </w:r>
      <w:r>
        <w:rPr>
          <w:color w:val="000000" w:themeColor="text1"/>
          <w14:textFill>
            <w14:solidFill>
              <w14:schemeClr w14:val="tx1"/>
            </w14:solidFill>
          </w14:textFill>
        </w:rPr>
        <w:t>8</w:t>
      </w:r>
      <w:r>
        <w:rPr>
          <w:rFonts w:hint="eastAsia"/>
          <w:color w:val="000000" w:themeColor="text1"/>
          <w14:textFill>
            <w14:solidFill>
              <w14:schemeClr w14:val="tx1"/>
            </w14:solidFill>
          </w14:textFill>
        </w:rPr>
        <w:t>年修订）</w:t>
      </w:r>
      <w:r>
        <w:rPr>
          <w:color w:val="000000" w:themeColor="text1"/>
          <w14:textFill>
            <w14:solidFill>
              <w14:schemeClr w14:val="tx1"/>
            </w14:solidFill>
          </w14:textFill>
        </w:rPr>
        <w:t>；</w:t>
      </w:r>
    </w:p>
    <w:p>
      <w:pPr>
        <w:pStyle w:val="283"/>
        <w:numPr>
          <w:ilvl w:val="0"/>
          <w:numId w:val="42"/>
        </w:numPr>
        <w:ind w:firstLineChars="0"/>
        <w:rPr>
          <w:color w:val="000000" w:themeColor="text1"/>
          <w14:textFill>
            <w14:solidFill>
              <w14:schemeClr w14:val="tx1"/>
            </w14:solidFill>
          </w14:textFill>
        </w:rPr>
      </w:pPr>
      <w:r>
        <w:rPr>
          <w:color w:val="000000" w:themeColor="text1"/>
          <w14:textFill>
            <w14:solidFill>
              <w14:schemeClr w14:val="tx1"/>
            </w14:solidFill>
          </w14:textFill>
        </w:rPr>
        <w:t>《危险化学品安全管理条例》（2</w:t>
      </w:r>
      <w:r>
        <w:rPr>
          <w:rFonts w:hint="eastAsia"/>
          <w:color w:val="000000" w:themeColor="text1"/>
          <w14:textFill>
            <w14:solidFill>
              <w14:schemeClr w14:val="tx1"/>
            </w14:solidFill>
          </w14:textFill>
        </w:rPr>
        <w:t>013年12月修正</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w:t>
      </w:r>
    </w:p>
    <w:p>
      <w:pPr>
        <w:pStyle w:val="283"/>
        <w:numPr>
          <w:ilvl w:val="0"/>
          <w:numId w:val="42"/>
        </w:numPr>
        <w:ind w:firstLineChars="0"/>
        <w:rPr>
          <w:color w:val="000000" w:themeColor="text1"/>
          <w14:textFill>
            <w14:solidFill>
              <w14:schemeClr w14:val="tx1"/>
            </w14:solidFill>
          </w14:textFill>
        </w:rPr>
      </w:pPr>
      <w:r>
        <w:rPr>
          <w:color w:val="000000" w:themeColor="text1"/>
          <w14:textFill>
            <w14:solidFill>
              <w14:schemeClr w14:val="tx1"/>
            </w14:solidFill>
          </w14:textFill>
        </w:rPr>
        <w:t>《建设项目环境保护管理条例》（</w:t>
      </w:r>
      <w:r>
        <w:rPr>
          <w:rFonts w:hint="eastAsia"/>
          <w:color w:val="000000" w:themeColor="text1"/>
          <w14:textFill>
            <w14:solidFill>
              <w14:schemeClr w14:val="tx1"/>
            </w14:solidFill>
          </w14:textFill>
        </w:rPr>
        <w:t>2017年7月16日修订</w:t>
      </w:r>
      <w:r>
        <w:rPr>
          <w:color w:val="000000" w:themeColor="text1"/>
          <w14:textFill>
            <w14:solidFill>
              <w14:schemeClr w14:val="tx1"/>
            </w14:solidFill>
          </w14:textFill>
        </w:rPr>
        <w:t>）；</w:t>
      </w:r>
    </w:p>
    <w:p>
      <w:pPr>
        <w:pStyle w:val="283"/>
        <w:numPr>
          <w:ilvl w:val="0"/>
          <w:numId w:val="42"/>
        </w:numPr>
        <w:ind w:firstLineChars="0"/>
        <w:rPr>
          <w:color w:val="000000" w:themeColor="text1"/>
          <w14:textFill>
            <w14:solidFill>
              <w14:schemeClr w14:val="tx1"/>
            </w14:solidFill>
          </w14:textFill>
        </w:rPr>
      </w:pPr>
      <w:r>
        <w:rPr>
          <w:color w:val="000000" w:themeColor="text1"/>
          <w14:textFill>
            <w14:solidFill>
              <w14:schemeClr w14:val="tx1"/>
            </w14:solidFill>
          </w14:textFill>
        </w:rPr>
        <w:t>《中华人民共和国海洋倾废管理条例》（2017年修正）；</w:t>
      </w:r>
    </w:p>
    <w:p>
      <w:pPr>
        <w:pStyle w:val="283"/>
        <w:numPr>
          <w:ilvl w:val="0"/>
          <w:numId w:val="42"/>
        </w:numPr>
        <w:ind w:firstLineChars="0"/>
        <w:rPr>
          <w:color w:val="000000" w:themeColor="text1"/>
          <w14:textFill>
            <w14:solidFill>
              <w14:schemeClr w14:val="tx1"/>
            </w14:solidFill>
          </w14:textFill>
        </w:rPr>
      </w:pPr>
      <w:r>
        <w:rPr>
          <w:rFonts w:hint="eastAsia"/>
          <w:color w:val="000000" w:themeColor="text1"/>
          <w14:textFill>
            <w14:solidFill>
              <w14:schemeClr w14:val="tx1"/>
            </w14:solidFill>
          </w14:textFill>
        </w:rPr>
        <w:t>《中华人民共和国防治海岸工程建设项目污染损害海洋环境管理条例》（2018年修订）；</w:t>
      </w:r>
    </w:p>
    <w:p>
      <w:pPr>
        <w:pStyle w:val="283"/>
        <w:numPr>
          <w:ilvl w:val="0"/>
          <w:numId w:val="42"/>
        </w:numPr>
        <w:ind w:firstLineChars="0"/>
        <w:rPr>
          <w:color w:val="000000" w:themeColor="text1"/>
          <w14:textFill>
            <w14:solidFill>
              <w14:schemeClr w14:val="tx1"/>
            </w14:solidFill>
          </w14:textFill>
        </w:rPr>
      </w:pPr>
      <w:r>
        <w:rPr>
          <w:color w:val="000000" w:themeColor="text1"/>
          <w14:textFill>
            <w14:solidFill>
              <w14:schemeClr w14:val="tx1"/>
            </w14:solidFill>
          </w14:textFill>
        </w:rPr>
        <w:t>《防治海洋工程建设项目污染损害海洋环境管理条例》（2018年修正）；</w:t>
      </w:r>
    </w:p>
    <w:p>
      <w:pPr>
        <w:pStyle w:val="283"/>
        <w:numPr>
          <w:ilvl w:val="0"/>
          <w:numId w:val="42"/>
        </w:numPr>
        <w:ind w:firstLineChars="0"/>
        <w:rPr>
          <w:color w:val="000000" w:themeColor="text1"/>
          <w14:textFill>
            <w14:solidFill>
              <w14:schemeClr w14:val="tx1"/>
            </w14:solidFill>
          </w14:textFill>
        </w:rPr>
      </w:pPr>
      <w:r>
        <w:rPr>
          <w:color w:val="000000" w:themeColor="text1"/>
          <w14:textFill>
            <w14:solidFill>
              <w14:schemeClr w14:val="tx1"/>
            </w14:solidFill>
          </w14:textFill>
        </w:rPr>
        <w:t>《防治船舶污染海洋环境管理条例》（2018年修订）</w:t>
      </w:r>
      <w:r>
        <w:rPr>
          <w:rFonts w:hint="eastAsia"/>
          <w:color w:val="000000" w:themeColor="text1"/>
          <w14:textFill>
            <w14:solidFill>
              <w14:schemeClr w14:val="tx1"/>
            </w14:solidFill>
          </w14:textFill>
        </w:rPr>
        <w:t>。</w:t>
      </w:r>
    </w:p>
    <w:p>
      <w:pPr>
        <w:pStyle w:val="5"/>
        <w:rPr>
          <w:color w:val="000000" w:themeColor="text1"/>
          <w14:textFill>
            <w14:solidFill>
              <w14:schemeClr w14:val="tx1"/>
            </w14:solidFill>
          </w14:textFill>
        </w:rPr>
      </w:pPr>
      <w:r>
        <w:rPr>
          <w:rFonts w:hint="eastAsia"/>
          <w:color w:val="000000" w:themeColor="text1"/>
          <w14:textFill>
            <w14:solidFill>
              <w14:schemeClr w14:val="tx1"/>
            </w14:solidFill>
          </w14:textFill>
        </w:rPr>
        <w:t>部门</w:t>
      </w:r>
      <w:r>
        <w:rPr>
          <w:color w:val="000000" w:themeColor="text1"/>
          <w14:textFill>
            <w14:solidFill>
              <w14:schemeClr w14:val="tx1"/>
            </w14:solidFill>
          </w14:textFill>
        </w:rPr>
        <w:t>规章</w:t>
      </w:r>
    </w:p>
    <w:p>
      <w:pPr>
        <w:pStyle w:val="283"/>
        <w:numPr>
          <w:ilvl w:val="0"/>
          <w:numId w:val="43"/>
        </w:numPr>
        <w:ind w:firstLineChars="0"/>
        <w:rPr>
          <w:color w:val="000000" w:themeColor="text1"/>
          <w14:textFill>
            <w14:solidFill>
              <w14:schemeClr w14:val="tx1"/>
            </w14:solidFill>
          </w14:textFill>
        </w:rPr>
      </w:pPr>
      <w:r>
        <w:rPr>
          <w:color w:val="000000" w:themeColor="text1"/>
          <w14:textFill>
            <w14:solidFill>
              <w14:schemeClr w14:val="tx1"/>
            </w14:solidFill>
          </w14:textFill>
        </w:rPr>
        <w:t>《关于印发</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沿海海域船舶排污设备铅封管理规定</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的通知》（交海发〔2007〕165号）；</w:t>
      </w:r>
    </w:p>
    <w:p>
      <w:pPr>
        <w:pStyle w:val="283"/>
        <w:numPr>
          <w:ilvl w:val="0"/>
          <w:numId w:val="43"/>
        </w:numPr>
        <w:ind w:firstLineChars="0"/>
        <w:rPr>
          <w:color w:val="000000" w:themeColor="text1"/>
          <w14:textFill>
            <w14:solidFill>
              <w14:schemeClr w14:val="tx1"/>
            </w14:solidFill>
          </w14:textFill>
        </w:rPr>
      </w:pPr>
      <w:r>
        <w:rPr>
          <w:rFonts w:hint="eastAsia"/>
          <w:color w:val="000000" w:themeColor="text1"/>
          <w14:textFill>
            <w14:solidFill>
              <w14:schemeClr w14:val="tx1"/>
            </w14:solidFill>
          </w14:textFill>
        </w:rPr>
        <w:t>《近岸海域环境功能区管理办法》（2010年修正）；</w:t>
      </w:r>
    </w:p>
    <w:p>
      <w:pPr>
        <w:pStyle w:val="283"/>
        <w:numPr>
          <w:ilvl w:val="0"/>
          <w:numId w:val="43"/>
        </w:numPr>
        <w:ind w:firstLineChars="0"/>
        <w:rPr>
          <w:color w:val="000000" w:themeColor="text1"/>
          <w14:textFill>
            <w14:solidFill>
              <w14:schemeClr w14:val="tx1"/>
            </w14:solidFill>
          </w14:textFill>
        </w:rPr>
      </w:pPr>
      <w:r>
        <w:rPr>
          <w:color w:val="000000" w:themeColor="text1"/>
          <w14:textFill>
            <w14:solidFill>
              <w14:schemeClr w14:val="tx1"/>
            </w14:solidFill>
          </w14:textFill>
        </w:rPr>
        <w:t>《关于进一步加强环境影响评价管理防范环境风险的通知》（环发〔2012〕77号）；</w:t>
      </w:r>
    </w:p>
    <w:p>
      <w:pPr>
        <w:pStyle w:val="283"/>
        <w:numPr>
          <w:ilvl w:val="0"/>
          <w:numId w:val="43"/>
        </w:numPr>
        <w:ind w:firstLineChars="0"/>
        <w:rPr>
          <w:color w:val="000000" w:themeColor="text1"/>
          <w14:textFill>
            <w14:solidFill>
              <w14:schemeClr w14:val="tx1"/>
            </w14:solidFill>
          </w14:textFill>
        </w:rPr>
      </w:pPr>
      <w:r>
        <w:rPr>
          <w:color w:val="000000" w:themeColor="text1"/>
          <w14:textFill>
            <w14:solidFill>
              <w14:schemeClr w14:val="tx1"/>
            </w14:solidFill>
          </w14:textFill>
        </w:rPr>
        <w:t>《</w:t>
      </w:r>
      <w:r>
        <w:rPr>
          <w:rFonts w:hint="eastAsia"/>
          <w:color w:val="000000" w:themeColor="text1"/>
          <w:lang w:eastAsia="zh-CN"/>
          <w14:textFill>
            <w14:solidFill>
              <w14:schemeClr w14:val="tx1"/>
            </w14:solidFill>
          </w14:textFill>
        </w:rPr>
        <w:t>生态环境部</w:t>
      </w:r>
      <w:r>
        <w:rPr>
          <w:color w:val="000000" w:themeColor="text1"/>
          <w14:textFill>
            <w14:solidFill>
              <w14:schemeClr w14:val="tx1"/>
            </w14:solidFill>
          </w14:textFill>
        </w:rPr>
        <w:t xml:space="preserve"> 农业部 关于进一步加强水生生物资源保护 严格环境影响评价管理的通知》（2013年</w:t>
      </w:r>
      <w:r>
        <w:rPr>
          <w:rFonts w:hint="eastAsia"/>
          <w:color w:val="000000" w:themeColor="text1"/>
          <w14:textFill>
            <w14:solidFill>
              <w14:schemeClr w14:val="tx1"/>
            </w14:solidFill>
          </w14:textFill>
        </w:rPr>
        <w:t>8月</w:t>
      </w:r>
      <w:r>
        <w:rPr>
          <w:color w:val="000000" w:themeColor="text1"/>
          <w14:textFill>
            <w14:solidFill>
              <w14:schemeClr w14:val="tx1"/>
            </w14:solidFill>
          </w14:textFill>
        </w:rPr>
        <w:t>）；</w:t>
      </w:r>
    </w:p>
    <w:p>
      <w:pPr>
        <w:pStyle w:val="283"/>
        <w:numPr>
          <w:ilvl w:val="0"/>
          <w:numId w:val="43"/>
        </w:numPr>
        <w:ind w:firstLineChars="0"/>
        <w:rPr>
          <w:color w:val="000000" w:themeColor="text1"/>
          <w14:textFill>
            <w14:solidFill>
              <w14:schemeClr w14:val="tx1"/>
            </w14:solidFill>
          </w14:textFill>
        </w:rPr>
      </w:pPr>
      <w:r>
        <w:rPr>
          <w:color w:val="000000" w:themeColor="text1"/>
          <w14:textFill>
            <w14:solidFill>
              <w14:schemeClr w14:val="tx1"/>
            </w14:solidFill>
          </w14:textFill>
        </w:rPr>
        <w:t>《国务院关于印发大气污染防治行动计划的通知》（国发〔2013〕37号）；</w:t>
      </w:r>
    </w:p>
    <w:p>
      <w:pPr>
        <w:pStyle w:val="283"/>
        <w:numPr>
          <w:ilvl w:val="0"/>
          <w:numId w:val="43"/>
        </w:numPr>
        <w:ind w:firstLineChars="0"/>
        <w:rPr>
          <w:color w:val="000000" w:themeColor="text1"/>
          <w14:textFill>
            <w14:solidFill>
              <w14:schemeClr w14:val="tx1"/>
            </w14:solidFill>
          </w14:textFill>
        </w:rPr>
      </w:pPr>
      <w:r>
        <w:rPr>
          <w:color w:val="000000" w:themeColor="text1"/>
          <w14:textFill>
            <w14:solidFill>
              <w14:schemeClr w14:val="tx1"/>
            </w14:solidFill>
          </w14:textFill>
        </w:rPr>
        <w:t>《国务院关于印发水污染防治行动计划的通知》（国发〔2015〕17号）；</w:t>
      </w:r>
    </w:p>
    <w:p>
      <w:pPr>
        <w:pStyle w:val="283"/>
        <w:numPr>
          <w:ilvl w:val="0"/>
          <w:numId w:val="43"/>
        </w:numPr>
        <w:ind w:firstLineChars="0"/>
        <w:rPr>
          <w:color w:val="000000" w:themeColor="text1"/>
          <w14:textFill>
            <w14:solidFill>
              <w14:schemeClr w14:val="tx1"/>
            </w14:solidFill>
          </w14:textFill>
        </w:rPr>
      </w:pPr>
      <w:r>
        <w:rPr>
          <w:color w:val="000000" w:themeColor="text1"/>
          <w14:textFill>
            <w14:solidFill>
              <w14:schemeClr w14:val="tx1"/>
            </w14:solidFill>
          </w14:textFill>
        </w:rPr>
        <w:t>《企业事业单位突发环境事件应急预案备案管理办法（试行）》（环发〔2015〕4号）；</w:t>
      </w:r>
    </w:p>
    <w:p>
      <w:pPr>
        <w:pStyle w:val="283"/>
        <w:numPr>
          <w:ilvl w:val="0"/>
          <w:numId w:val="43"/>
        </w:numPr>
        <w:ind w:firstLineChars="0"/>
        <w:rPr>
          <w:color w:val="000000" w:themeColor="text1"/>
          <w14:textFill>
            <w14:solidFill>
              <w14:schemeClr w14:val="tx1"/>
            </w14:solidFill>
          </w14:textFill>
        </w:rPr>
      </w:pPr>
      <w:r>
        <w:rPr>
          <w:color w:val="000000" w:themeColor="text1"/>
          <w14:textFill>
            <w14:solidFill>
              <w14:schemeClr w14:val="tx1"/>
            </w14:solidFill>
          </w14:textFill>
        </w:rPr>
        <w:t>《国务院关于印发土壤污染防治行动计划的通知》（国发〔2016〕31号）；</w:t>
      </w:r>
    </w:p>
    <w:p>
      <w:pPr>
        <w:pStyle w:val="283"/>
        <w:numPr>
          <w:ilvl w:val="0"/>
          <w:numId w:val="43"/>
        </w:numPr>
        <w:ind w:firstLineChars="0"/>
        <w:rPr>
          <w:color w:val="000000" w:themeColor="text1"/>
          <w14:textFill>
            <w14:solidFill>
              <w14:schemeClr w14:val="tx1"/>
            </w14:solidFill>
          </w14:textFill>
        </w:rPr>
      </w:pPr>
      <w:r>
        <w:rPr>
          <w:color w:val="000000" w:themeColor="text1"/>
          <w14:textFill>
            <w14:solidFill>
              <w14:schemeClr w14:val="tx1"/>
            </w14:solidFill>
          </w14:textFill>
        </w:rPr>
        <w:t>《国务院关于加强滨海湿地保护严格管控围填海的通知》（国发〔2018〕24号）</w:t>
      </w:r>
      <w:r>
        <w:rPr>
          <w:rFonts w:hint="eastAsia"/>
          <w:color w:val="000000" w:themeColor="text1"/>
          <w14:textFill>
            <w14:solidFill>
              <w14:schemeClr w14:val="tx1"/>
            </w14:solidFill>
          </w14:textFill>
        </w:rPr>
        <w:t>；</w:t>
      </w:r>
    </w:p>
    <w:p>
      <w:pPr>
        <w:pStyle w:val="283"/>
        <w:numPr>
          <w:ilvl w:val="0"/>
          <w:numId w:val="43"/>
        </w:numPr>
        <w:ind w:firstLineChars="0"/>
        <w:rPr>
          <w:color w:val="000000" w:themeColor="text1"/>
          <w14:textFill>
            <w14:solidFill>
              <w14:schemeClr w14:val="tx1"/>
            </w14:solidFill>
          </w14:textFill>
        </w:rPr>
      </w:pPr>
      <w:r>
        <w:rPr>
          <w:color w:val="000000" w:themeColor="text1"/>
          <w14:textFill>
            <w14:solidFill>
              <w14:schemeClr w14:val="tx1"/>
            </w14:solidFill>
          </w14:textFill>
        </w:rPr>
        <w:t>《环境影响评价公众参与办法》（生态环境部2019.1.1）；</w:t>
      </w:r>
    </w:p>
    <w:p>
      <w:pPr>
        <w:pStyle w:val="283"/>
        <w:numPr>
          <w:ilvl w:val="0"/>
          <w:numId w:val="43"/>
        </w:numPr>
        <w:ind w:firstLineChars="0"/>
        <w:rPr>
          <w:color w:val="000000" w:themeColor="text1"/>
          <w14:textFill>
            <w14:solidFill>
              <w14:schemeClr w14:val="tx1"/>
            </w14:solidFill>
          </w14:textFill>
        </w:rPr>
      </w:pPr>
      <w:r>
        <w:rPr>
          <w:rFonts w:hint="eastAsia"/>
          <w:color w:val="000000" w:themeColor="text1"/>
          <w14:textFill>
            <w14:solidFill>
              <w14:schemeClr w14:val="tx1"/>
            </w14:solidFill>
          </w14:textFill>
        </w:rPr>
        <w:t>《自然资源部关于进一步明确围填海历史遗留问题处理有关要求的通知》（自然资规</w:t>
      </w:r>
      <w:r>
        <w:rPr>
          <w:color w:val="000000" w:themeColor="text1"/>
          <w14:textFill>
            <w14:solidFill>
              <w14:schemeClr w14:val="tx1"/>
            </w14:solidFill>
          </w14:textFill>
        </w:rPr>
        <w:t>〔2018〕</w:t>
      </w:r>
      <w:r>
        <w:rPr>
          <w:rFonts w:hint="eastAsia"/>
          <w:color w:val="000000" w:themeColor="text1"/>
          <w14:textFill>
            <w14:solidFill>
              <w14:schemeClr w14:val="tx1"/>
            </w14:solidFill>
          </w14:textFill>
        </w:rPr>
        <w:t>7号）；</w:t>
      </w:r>
    </w:p>
    <w:p>
      <w:pPr>
        <w:pStyle w:val="283"/>
        <w:numPr>
          <w:ilvl w:val="0"/>
          <w:numId w:val="43"/>
        </w:numPr>
        <w:ind w:firstLineChars="0"/>
        <w:rPr>
          <w:color w:val="000000" w:themeColor="text1"/>
          <w14:textFill>
            <w14:solidFill>
              <w14:schemeClr w14:val="tx1"/>
            </w14:solidFill>
          </w14:textFill>
        </w:rPr>
      </w:pPr>
      <w:r>
        <w:rPr>
          <w:color w:val="000000" w:themeColor="text1"/>
          <w14:textFill>
            <w14:solidFill>
              <w14:schemeClr w14:val="tx1"/>
            </w14:solidFill>
          </w14:textFill>
        </w:rPr>
        <w:t>《建设项目环境影响评价分类管理名录》（2021年修正）；</w:t>
      </w:r>
    </w:p>
    <w:p>
      <w:pPr>
        <w:pStyle w:val="283"/>
        <w:numPr>
          <w:ilvl w:val="0"/>
          <w:numId w:val="43"/>
        </w:numPr>
        <w:ind w:firstLineChars="0"/>
        <w:rPr>
          <w:color w:val="000000" w:themeColor="text1"/>
          <w14:textFill>
            <w14:solidFill>
              <w14:schemeClr w14:val="tx1"/>
            </w14:solidFill>
          </w14:textFill>
        </w:rPr>
      </w:pPr>
      <w:r>
        <w:rPr>
          <w:rFonts w:hint="eastAsia"/>
          <w:color w:val="000000" w:themeColor="text1"/>
          <w14:textFill>
            <w14:solidFill>
              <w14:schemeClr w14:val="tx1"/>
            </w14:solidFill>
          </w14:textFill>
        </w:rPr>
        <w:t>《国家重点保护野生植物名录》（2021年发布）；</w:t>
      </w:r>
    </w:p>
    <w:p>
      <w:pPr>
        <w:pStyle w:val="283"/>
        <w:numPr>
          <w:ilvl w:val="0"/>
          <w:numId w:val="43"/>
        </w:numPr>
        <w:ind w:firstLineChars="0"/>
        <w:rPr>
          <w:color w:val="000000" w:themeColor="text1"/>
          <w14:textFill>
            <w14:solidFill>
              <w14:schemeClr w14:val="tx1"/>
            </w14:solidFill>
          </w14:textFill>
        </w:rPr>
      </w:pPr>
      <w:r>
        <w:rPr>
          <w:rFonts w:hint="eastAsia"/>
          <w:color w:val="000000" w:themeColor="text1"/>
          <w14:textFill>
            <w14:solidFill>
              <w14:schemeClr w14:val="tx1"/>
            </w14:solidFill>
          </w14:textFill>
        </w:rPr>
        <w:t>《国家重点保护野生动物名录》（2021年发布）；</w:t>
      </w:r>
    </w:p>
    <w:p>
      <w:pPr>
        <w:pStyle w:val="283"/>
        <w:numPr>
          <w:ilvl w:val="0"/>
          <w:numId w:val="43"/>
        </w:numPr>
        <w:ind w:firstLineChars="0"/>
        <w:rPr>
          <w:color w:val="000000" w:themeColor="text1"/>
          <w14:textFill>
            <w14:solidFill>
              <w14:schemeClr w14:val="tx1"/>
            </w14:solidFill>
          </w14:textFill>
        </w:rPr>
      </w:pPr>
      <w:r>
        <w:rPr>
          <w:rFonts w:hint="eastAsia"/>
          <w:color w:val="000000" w:themeColor="text1"/>
          <w14:textFill>
            <w14:solidFill>
              <w14:schemeClr w14:val="tx1"/>
            </w14:solidFill>
          </w14:textFill>
        </w:rPr>
        <w:t>《生态环境分区管控管理暂行规定》的通知（环环评〔2024〕41号）；</w:t>
      </w:r>
    </w:p>
    <w:p>
      <w:pPr>
        <w:pStyle w:val="283"/>
        <w:numPr>
          <w:ilvl w:val="0"/>
          <w:numId w:val="43"/>
        </w:numPr>
        <w:ind w:firstLineChars="0"/>
        <w:rPr>
          <w:color w:val="000000" w:themeColor="text1"/>
          <w14:textFill>
            <w14:solidFill>
              <w14:schemeClr w14:val="tx1"/>
            </w14:solidFill>
          </w14:textFill>
        </w:rPr>
      </w:pPr>
      <w:r>
        <w:rPr>
          <w:rFonts w:hint="eastAsia"/>
          <w:color w:val="000000" w:themeColor="text1"/>
          <w14:textFill>
            <w14:solidFill>
              <w14:schemeClr w14:val="tx1"/>
            </w14:solidFill>
          </w14:textFill>
        </w:rPr>
        <w:t>《国家危险废物名录》（2</w:t>
      </w:r>
      <w:r>
        <w:rPr>
          <w:color w:val="000000" w:themeColor="text1"/>
          <w14:textFill>
            <w14:solidFill>
              <w14:schemeClr w14:val="tx1"/>
            </w14:solidFill>
          </w14:textFill>
        </w:rPr>
        <w:t>021</w:t>
      </w:r>
      <w:r>
        <w:rPr>
          <w:rFonts w:hint="eastAsia"/>
          <w:color w:val="000000" w:themeColor="text1"/>
          <w14:textFill>
            <w14:solidFill>
              <w14:schemeClr w14:val="tx1"/>
            </w14:solidFill>
          </w14:textFill>
        </w:rPr>
        <w:t>年版）；</w:t>
      </w:r>
    </w:p>
    <w:p>
      <w:pPr>
        <w:pStyle w:val="283"/>
        <w:numPr>
          <w:ilvl w:val="0"/>
          <w:numId w:val="43"/>
        </w:numPr>
        <w:ind w:firstLineChars="0"/>
        <w:rPr>
          <w:color w:val="000000" w:themeColor="text1"/>
          <w14:textFill>
            <w14:solidFill>
              <w14:schemeClr w14:val="tx1"/>
            </w14:solidFill>
          </w14:textFill>
        </w:rPr>
      </w:pPr>
      <w:r>
        <w:rPr>
          <w:rFonts w:hint="eastAsia"/>
          <w:color w:val="000000" w:themeColor="text1"/>
          <w14:textFill>
            <w14:solidFill>
              <w14:schemeClr w14:val="tx1"/>
            </w14:solidFill>
          </w14:textFill>
        </w:rPr>
        <w:t>《危险废物转移管理办法》（生态环境部、公安部、交通运输部令第23号公布，2022年1月1日起施行）；</w:t>
      </w:r>
    </w:p>
    <w:p>
      <w:pPr>
        <w:pStyle w:val="283"/>
        <w:numPr>
          <w:ilvl w:val="0"/>
          <w:numId w:val="43"/>
        </w:numPr>
        <w:ind w:firstLineChars="0"/>
        <w:rPr>
          <w:color w:val="000000" w:themeColor="text1"/>
          <w14:textFill>
            <w14:solidFill>
              <w14:schemeClr w14:val="tx1"/>
            </w14:solidFill>
          </w14:textFill>
        </w:rPr>
      </w:pPr>
      <w:r>
        <w:rPr>
          <w:rFonts w:hint="eastAsia"/>
          <w:color w:val="000000" w:themeColor="text1"/>
          <w14:textFill>
            <w14:solidFill>
              <w14:schemeClr w14:val="tx1"/>
            </w14:solidFill>
          </w14:textFill>
        </w:rPr>
        <w:t>《产业结构调整指导名录</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2024年本</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w:t>
      </w:r>
    </w:p>
    <w:p>
      <w:pPr>
        <w:pStyle w:val="283"/>
        <w:numPr>
          <w:ilvl w:val="0"/>
          <w:numId w:val="43"/>
        </w:numPr>
        <w:ind w:firstLineChars="0"/>
        <w:rPr>
          <w:color w:val="000000" w:themeColor="text1"/>
          <w14:textFill>
            <w14:solidFill>
              <w14:schemeClr w14:val="tx1"/>
            </w14:solidFill>
          </w14:textFill>
        </w:rPr>
      </w:pPr>
      <w:r>
        <w:rPr>
          <w:rFonts w:hint="eastAsia"/>
          <w:color w:val="000000" w:themeColor="text1"/>
          <w14:textFill>
            <w14:solidFill>
              <w14:schemeClr w14:val="tx1"/>
            </w14:solidFill>
          </w14:textFill>
        </w:rPr>
        <w:t>《交通运输部 国家发展改革委 自然资源部 生态环境部 水利部 关于加快沿海和内河港口码头改建扩建工作的通知》（交水发〔2023〕18号）。</w:t>
      </w:r>
    </w:p>
    <w:p>
      <w:pPr>
        <w:pStyle w:val="5"/>
        <w:rPr>
          <w:color w:val="000000" w:themeColor="text1"/>
          <w14:textFill>
            <w14:solidFill>
              <w14:schemeClr w14:val="tx1"/>
            </w14:solidFill>
          </w14:textFill>
        </w:rPr>
      </w:pPr>
      <w:r>
        <w:rPr>
          <w:color w:val="000000" w:themeColor="text1"/>
          <w14:textFill>
            <w14:solidFill>
              <w14:schemeClr w14:val="tx1"/>
            </w14:solidFill>
          </w14:textFill>
        </w:rPr>
        <w:t>地方相关法律法规</w:t>
      </w:r>
    </w:p>
    <w:p>
      <w:pPr>
        <w:numPr>
          <w:ilvl w:val="0"/>
          <w:numId w:val="10"/>
        </w:numPr>
        <w:ind w:left="0" w:firstLine="462"/>
        <w:rPr>
          <w:color w:val="000000" w:themeColor="text1"/>
          <w:kern w:val="0"/>
          <w14:textFill>
            <w14:solidFill>
              <w14:schemeClr w14:val="tx1"/>
            </w14:solidFill>
          </w14:textFill>
        </w:rPr>
      </w:pPr>
      <w:bookmarkStart w:id="27" w:name="_Hlk156661905"/>
      <w:r>
        <w:rPr>
          <w:color w:val="000000" w:themeColor="text1"/>
          <w:kern w:val="0"/>
          <w14:textFill>
            <w14:solidFill>
              <w14:schemeClr w14:val="tx1"/>
            </w14:solidFill>
          </w14:textFill>
        </w:rPr>
        <w:t>《广西壮族自治区红树林资源保护条例》（2018年12月1日起施行）；</w:t>
      </w:r>
    </w:p>
    <w:bookmarkEnd w:id="27"/>
    <w:p>
      <w:pPr>
        <w:pStyle w:val="283"/>
        <w:numPr>
          <w:ilvl w:val="0"/>
          <w:numId w:val="10"/>
        </w:numPr>
        <w:ind w:firstLineChars="0"/>
        <w:rPr>
          <w:color w:val="000000" w:themeColor="text1"/>
          <w14:textFill>
            <w14:solidFill>
              <w14:schemeClr w14:val="tx1"/>
            </w14:solidFill>
          </w14:textFill>
        </w:rPr>
      </w:pPr>
      <w:r>
        <w:rPr>
          <w:rFonts w:hint="eastAsia"/>
          <w:color w:val="000000" w:themeColor="text1"/>
          <w14:textFill>
            <w14:solidFill>
              <w14:schemeClr w14:val="tx1"/>
            </w14:solidFill>
          </w14:textFill>
        </w:rPr>
        <w:t>《广西壮族自治区大气污染防治条例》（2018年11月28日）；</w:t>
      </w:r>
    </w:p>
    <w:p>
      <w:pPr>
        <w:pStyle w:val="283"/>
        <w:numPr>
          <w:ilvl w:val="0"/>
          <w:numId w:val="10"/>
        </w:numPr>
        <w:ind w:firstLineChars="0"/>
        <w:rPr>
          <w:color w:val="000000" w:themeColor="text1"/>
          <w14:textFill>
            <w14:solidFill>
              <w14:schemeClr w14:val="tx1"/>
            </w14:solidFill>
          </w14:textFill>
        </w:rPr>
      </w:pPr>
      <w:r>
        <w:rPr>
          <w:color w:val="000000" w:themeColor="text1"/>
          <w14:textFill>
            <w14:solidFill>
              <w14:schemeClr w14:val="tx1"/>
            </w14:solidFill>
          </w14:textFill>
        </w:rPr>
        <w:t>《广西壮族自治区环境保护条例》（</w:t>
      </w:r>
      <w:r>
        <w:rPr>
          <w:rFonts w:hint="eastAsia"/>
          <w:color w:val="000000" w:themeColor="text1"/>
          <w14:textFill>
            <w14:solidFill>
              <w14:schemeClr w14:val="tx1"/>
            </w14:solidFill>
          </w14:textFill>
        </w:rPr>
        <w:t>2019年7月25日修正</w:t>
      </w:r>
      <w:r>
        <w:rPr>
          <w:color w:val="000000" w:themeColor="text1"/>
          <w14:textFill>
            <w14:solidFill>
              <w14:schemeClr w14:val="tx1"/>
            </w14:solidFill>
          </w14:textFill>
        </w:rPr>
        <w:t>）；</w:t>
      </w:r>
    </w:p>
    <w:p>
      <w:pPr>
        <w:pStyle w:val="283"/>
        <w:numPr>
          <w:ilvl w:val="0"/>
          <w:numId w:val="10"/>
        </w:numPr>
        <w:ind w:firstLineChars="0"/>
        <w:rPr>
          <w:color w:val="000000" w:themeColor="text1"/>
          <w14:textFill>
            <w14:solidFill>
              <w14:schemeClr w14:val="tx1"/>
            </w14:solidFill>
          </w14:textFill>
        </w:rPr>
      </w:pPr>
      <w:r>
        <w:rPr>
          <w:rFonts w:hint="eastAsia"/>
          <w:color w:val="000000" w:themeColor="text1"/>
          <w14:textFill>
            <w14:solidFill>
              <w14:schemeClr w14:val="tx1"/>
            </w14:solidFill>
          </w14:textFill>
        </w:rPr>
        <w:t>《广西壮族自治区水污染防治条例》（2020年1月17日）；</w:t>
      </w:r>
    </w:p>
    <w:p>
      <w:pPr>
        <w:pStyle w:val="283"/>
        <w:numPr>
          <w:ilvl w:val="0"/>
          <w:numId w:val="10"/>
        </w:numPr>
        <w:ind w:firstLineChars="0"/>
        <w:rPr>
          <w:color w:val="000000" w:themeColor="text1"/>
          <w14:textFill>
            <w14:solidFill>
              <w14:schemeClr w14:val="tx1"/>
            </w14:solidFill>
          </w14:textFill>
        </w:rPr>
      </w:pPr>
      <w:r>
        <w:rPr>
          <w:rFonts w:hint="eastAsia"/>
          <w:color w:val="000000" w:themeColor="text1"/>
          <w14:textFill>
            <w14:solidFill>
              <w14:schemeClr w14:val="tx1"/>
            </w14:solidFill>
          </w14:textFill>
        </w:rPr>
        <w:t>《广西壮族自治区土壤污染防治条例》（2021年8月4日）；</w:t>
      </w:r>
    </w:p>
    <w:p>
      <w:pPr>
        <w:pStyle w:val="430"/>
      </w:pPr>
      <w:r>
        <w:rPr>
          <w:rFonts w:hint="eastAsia"/>
        </w:rPr>
        <w:t>《广西壮族自治区固体废物污染环境防治条例》（2022年7月1日施行）；</w:t>
      </w:r>
    </w:p>
    <w:p>
      <w:pPr>
        <w:pStyle w:val="430"/>
      </w:pPr>
      <w:r>
        <w:rPr>
          <w:rFonts w:hint="eastAsia"/>
        </w:rPr>
        <w:t>《广西壮族自治区噪声污染防治实施方案（2023—2025年）》（桂环发〔2023〕22号）；</w:t>
      </w:r>
    </w:p>
    <w:p>
      <w:pPr>
        <w:pStyle w:val="283"/>
        <w:numPr>
          <w:ilvl w:val="0"/>
          <w:numId w:val="10"/>
        </w:numPr>
        <w:ind w:firstLineChars="0"/>
        <w:rPr>
          <w:color w:val="000000" w:themeColor="text1"/>
          <w14:textFill>
            <w14:solidFill>
              <w14:schemeClr w14:val="tx1"/>
            </w14:solidFill>
          </w14:textFill>
        </w:rPr>
      </w:pPr>
      <w:r>
        <w:rPr>
          <w:rFonts w:hint="eastAsia"/>
          <w:color w:val="000000" w:themeColor="text1"/>
          <w14:textFill>
            <w14:solidFill>
              <w14:schemeClr w14:val="tx1"/>
            </w14:solidFill>
          </w14:textFill>
        </w:rPr>
        <w:t>《</w:t>
      </w:r>
      <w:r>
        <w:rPr>
          <w:color w:val="000000" w:themeColor="text1"/>
          <w14:textFill>
            <w14:solidFill>
              <w14:schemeClr w14:val="tx1"/>
            </w14:solidFill>
          </w14:textFill>
        </w:rPr>
        <w:t>广西壮族自治区实施</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中华人民共和国渔业法</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办法</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 xml:space="preserve">（2016年修正）； </w:t>
      </w:r>
    </w:p>
    <w:p>
      <w:pPr>
        <w:pStyle w:val="283"/>
        <w:numPr>
          <w:ilvl w:val="0"/>
          <w:numId w:val="10"/>
        </w:numPr>
        <w:ind w:firstLineChars="0"/>
        <w:rPr>
          <w:color w:val="000000" w:themeColor="text1"/>
          <w14:textFill>
            <w14:solidFill>
              <w14:schemeClr w14:val="tx1"/>
            </w14:solidFill>
          </w14:textFill>
        </w:rPr>
      </w:pPr>
      <w:r>
        <w:rPr>
          <w:rFonts w:hint="eastAsia"/>
          <w:color w:val="000000" w:themeColor="text1"/>
          <w14:textFill>
            <w14:solidFill>
              <w14:schemeClr w14:val="tx1"/>
            </w14:solidFill>
          </w14:textFill>
        </w:rPr>
        <w:t>《广西壮族自治区国土空间规划（2021—2035年）》；</w:t>
      </w:r>
    </w:p>
    <w:p>
      <w:pPr>
        <w:pStyle w:val="283"/>
        <w:numPr>
          <w:ilvl w:val="0"/>
          <w:numId w:val="10"/>
        </w:numPr>
        <w:ind w:firstLineChars="0"/>
        <w:rPr>
          <w:color w:val="000000" w:themeColor="text1"/>
          <w14:textFill>
            <w14:solidFill>
              <w14:schemeClr w14:val="tx1"/>
            </w14:solidFill>
          </w14:textFill>
        </w:rPr>
      </w:pPr>
      <w:r>
        <w:rPr>
          <w:rFonts w:hint="eastAsia"/>
          <w:color w:val="000000" w:themeColor="text1"/>
          <w14:textFill>
            <w14:solidFill>
              <w14:schemeClr w14:val="tx1"/>
            </w14:solidFill>
          </w14:textFill>
        </w:rPr>
        <w:t>《广西壮族自治区人民政府关于加强滨海湿地 保护严格管控围填海的实施意见》（桂政发〔2019〕15号）；</w:t>
      </w:r>
    </w:p>
    <w:p>
      <w:pPr>
        <w:pStyle w:val="283"/>
        <w:numPr>
          <w:ilvl w:val="0"/>
          <w:numId w:val="10"/>
        </w:numPr>
        <w:ind w:firstLineChars="0"/>
        <w:rPr>
          <w:color w:val="000000" w:themeColor="text1"/>
          <w14:textFill>
            <w14:solidFill>
              <w14:schemeClr w14:val="tx1"/>
            </w14:solidFill>
          </w14:textFill>
        </w:rPr>
      </w:pPr>
      <w:r>
        <w:rPr>
          <w:color w:val="000000" w:themeColor="text1"/>
          <w14:textFill>
            <w14:solidFill>
              <w14:schemeClr w14:val="tx1"/>
            </w14:solidFill>
          </w14:textFill>
        </w:rPr>
        <w:t>《广西壮族自治区人民政府关于实施“三线一单”生态环境分区管控的意 见“三线一单”划定方案》（2020年）；</w:t>
      </w:r>
    </w:p>
    <w:p>
      <w:pPr>
        <w:pStyle w:val="283"/>
        <w:numPr>
          <w:ilvl w:val="0"/>
          <w:numId w:val="10"/>
        </w:numPr>
        <w:ind w:firstLineChars="0"/>
        <w:rPr>
          <w:color w:val="000000" w:themeColor="text1"/>
          <w14:textFill>
            <w14:solidFill>
              <w14:schemeClr w14:val="tx1"/>
            </w14:solidFill>
          </w14:textFill>
        </w:rPr>
      </w:pPr>
      <w:r>
        <w:rPr>
          <w:rFonts w:hint="eastAsia"/>
          <w:color w:val="000000" w:themeColor="text1"/>
          <w14:textFill>
            <w14:solidFill>
              <w14:schemeClr w14:val="tx1"/>
            </w14:solidFill>
          </w14:textFill>
        </w:rPr>
        <w:t>《广西壮族自治区生态环境厅关于印发实施广西壮族自治区生态环境分区管控动态更新成果（</w:t>
      </w:r>
      <w:r>
        <w:rPr>
          <w:color w:val="000000" w:themeColor="text1"/>
          <w14:textFill>
            <w14:solidFill>
              <w14:schemeClr w14:val="tx1"/>
            </w14:solidFill>
          </w14:textFill>
        </w:rPr>
        <w:t>2023</w:t>
      </w:r>
      <w:r>
        <w:rPr>
          <w:rFonts w:hint="eastAsia"/>
          <w:color w:val="000000" w:themeColor="text1"/>
          <w14:textFill>
            <w14:solidFill>
              <w14:schemeClr w14:val="tx1"/>
            </w14:solidFill>
          </w14:textFill>
        </w:rPr>
        <w:t>年）的通知》（桂环规范〔</w:t>
      </w:r>
      <w:r>
        <w:rPr>
          <w:color w:val="000000" w:themeColor="text1"/>
          <w14:textFill>
            <w14:solidFill>
              <w14:schemeClr w14:val="tx1"/>
            </w14:solidFill>
          </w14:textFill>
        </w:rPr>
        <w:t>2024</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3</w:t>
      </w:r>
      <w:r>
        <w:rPr>
          <w:rFonts w:hint="eastAsia"/>
          <w:color w:val="000000" w:themeColor="text1"/>
          <w14:textFill>
            <w14:solidFill>
              <w14:schemeClr w14:val="tx1"/>
            </w14:solidFill>
          </w14:textFill>
        </w:rPr>
        <w:t>号）；</w:t>
      </w:r>
    </w:p>
    <w:p>
      <w:pPr>
        <w:pStyle w:val="283"/>
        <w:numPr>
          <w:ilvl w:val="0"/>
          <w:numId w:val="10"/>
        </w:numPr>
        <w:ind w:firstLineChars="0"/>
        <w:rPr>
          <w:color w:val="000000" w:themeColor="text1"/>
          <w14:textFill>
            <w14:solidFill>
              <w14:schemeClr w14:val="tx1"/>
            </w14:solidFill>
          </w14:textFill>
        </w:rPr>
      </w:pPr>
      <w:r>
        <w:rPr>
          <w:rFonts w:hint="eastAsia"/>
          <w:color w:val="000000" w:themeColor="text1"/>
          <w14:textFill>
            <w14:solidFill>
              <w14:schemeClr w14:val="tx1"/>
            </w14:solidFill>
          </w14:textFill>
        </w:rPr>
        <w:t>《广西壮族自治区“三区三线”划定成果》（自然资办函〔2022〕2207号）；</w:t>
      </w:r>
    </w:p>
    <w:p>
      <w:pPr>
        <w:pStyle w:val="283"/>
        <w:numPr>
          <w:ilvl w:val="0"/>
          <w:numId w:val="10"/>
        </w:numPr>
        <w:ind w:firstLineChars="0"/>
        <w:rPr>
          <w:color w:val="000000" w:themeColor="text1"/>
          <w14:textFill>
            <w14:solidFill>
              <w14:schemeClr w14:val="tx1"/>
            </w14:solidFill>
          </w14:textFill>
        </w:rPr>
      </w:pPr>
      <w:r>
        <w:rPr>
          <w:rFonts w:hint="eastAsia"/>
          <w:color w:val="000000" w:themeColor="text1"/>
          <w14:textFill>
            <w14:solidFill>
              <w14:schemeClr w14:val="tx1"/>
            </w14:solidFill>
          </w14:textFill>
        </w:rPr>
        <w:t>《广西壮族自治区自然资源厅“三区三线”划定实施方案》（桂自然资发〔2022〕45号）；</w:t>
      </w:r>
    </w:p>
    <w:p>
      <w:pPr>
        <w:numPr>
          <w:ilvl w:val="0"/>
          <w:numId w:val="10"/>
        </w:numPr>
        <w:tabs>
          <w:tab w:val="left" w:pos="0"/>
        </w:tabs>
        <w:rPr>
          <w:color w:val="000000" w:themeColor="text1"/>
          <w14:textFill>
            <w14:solidFill>
              <w14:schemeClr w14:val="tx1"/>
            </w14:solidFill>
          </w14:textFill>
        </w:rPr>
      </w:pPr>
      <w:r>
        <w:rPr>
          <w:rFonts w:hint="eastAsia"/>
          <w:color w:val="000000" w:themeColor="text1"/>
          <w14:textFill>
            <w14:solidFill>
              <w14:schemeClr w14:val="tx1"/>
            </w14:solidFill>
          </w14:textFill>
        </w:rPr>
        <w:t>《广西壮族自治区野生动物保护条例》（2</w:t>
      </w:r>
      <w:r>
        <w:rPr>
          <w:color w:val="000000" w:themeColor="text1"/>
          <w14:textFill>
            <w14:solidFill>
              <w14:schemeClr w14:val="tx1"/>
            </w14:solidFill>
          </w14:textFill>
        </w:rPr>
        <w:t>023</w:t>
      </w:r>
      <w:r>
        <w:rPr>
          <w:rFonts w:hint="eastAsia"/>
          <w:color w:val="000000" w:themeColor="text1"/>
          <w14:textFill>
            <w14:solidFill>
              <w14:schemeClr w14:val="tx1"/>
            </w14:solidFill>
          </w14:textFill>
        </w:rPr>
        <w:t>年7月1日起施行）；</w:t>
      </w:r>
    </w:p>
    <w:p>
      <w:pPr>
        <w:numPr>
          <w:ilvl w:val="0"/>
          <w:numId w:val="10"/>
        </w:numPr>
        <w:tabs>
          <w:tab w:val="left" w:pos="0"/>
        </w:tabs>
        <w:rPr>
          <w:color w:val="000000" w:themeColor="text1"/>
          <w14:textFill>
            <w14:solidFill>
              <w14:schemeClr w14:val="tx1"/>
            </w14:solidFill>
          </w14:textFill>
        </w:rPr>
      </w:pPr>
      <w:r>
        <w:rPr>
          <w:rFonts w:hint="eastAsia"/>
          <w:color w:val="000000" w:themeColor="text1"/>
          <w14:textFill>
            <w14:solidFill>
              <w14:schemeClr w14:val="tx1"/>
            </w14:solidFill>
          </w14:textFill>
        </w:rPr>
        <w:t>《广西壮族自治区围填海历史遗留问题处置管理办法》（桂海规〔2019〕3号）；</w:t>
      </w:r>
    </w:p>
    <w:p>
      <w:pPr>
        <w:pStyle w:val="283"/>
        <w:numPr>
          <w:ilvl w:val="0"/>
          <w:numId w:val="10"/>
        </w:numPr>
        <w:ind w:firstLineChars="0"/>
        <w:rPr>
          <w:color w:val="000000" w:themeColor="text1"/>
          <w14:textFill>
            <w14:solidFill>
              <w14:schemeClr w14:val="tx1"/>
            </w14:solidFill>
          </w14:textFill>
        </w:rPr>
      </w:pPr>
      <w:r>
        <w:rPr>
          <w:rFonts w:hint="eastAsia"/>
          <w:color w:val="000000" w:themeColor="text1"/>
          <w14:textFill>
            <w14:solidFill>
              <w14:schemeClr w14:val="tx1"/>
            </w14:solidFill>
          </w14:textFill>
        </w:rPr>
        <w:t>《自治区生态环境厅关于印发广西近岸海域污染防治2022年度行动计划的通知》（桂环发〔2022〕15号）；</w:t>
      </w:r>
    </w:p>
    <w:p>
      <w:pPr>
        <w:pStyle w:val="283"/>
        <w:numPr>
          <w:ilvl w:val="0"/>
          <w:numId w:val="10"/>
        </w:numPr>
        <w:ind w:firstLineChars="0"/>
        <w:rPr>
          <w:color w:val="000000" w:themeColor="text1"/>
          <w14:textFill>
            <w14:solidFill>
              <w14:schemeClr w14:val="tx1"/>
            </w14:solidFill>
          </w14:textFill>
        </w:rPr>
      </w:pPr>
      <w:r>
        <w:rPr>
          <w:rFonts w:hint="eastAsia"/>
          <w:color w:val="000000" w:themeColor="text1"/>
          <w14:textFill>
            <w14:solidFill>
              <w14:schemeClr w14:val="tx1"/>
            </w14:solidFill>
          </w14:textFill>
        </w:rPr>
        <w:t>《广西壮族自治区海洋生态环境保护高质量发展</w:t>
      </w:r>
      <w:r>
        <w:rPr>
          <w:rFonts w:ascii="宋体" w:hAnsi="宋体"/>
          <w:color w:val="000000" w:themeColor="text1"/>
          <w14:textFill>
            <w14:solidFill>
              <w14:schemeClr w14:val="tx1"/>
            </w14:solidFill>
          </w14:textFill>
        </w:rPr>
        <w:t>“十</w:t>
      </w:r>
      <w:r>
        <w:rPr>
          <w:rFonts w:hint="eastAsia" w:ascii="宋体" w:hAnsi="宋体"/>
          <w:color w:val="000000" w:themeColor="text1"/>
          <w14:textFill>
            <w14:solidFill>
              <w14:schemeClr w14:val="tx1"/>
            </w14:solidFill>
          </w14:textFill>
        </w:rPr>
        <w:t>四</w:t>
      </w:r>
      <w:r>
        <w:rPr>
          <w:rFonts w:ascii="宋体" w:hAnsi="宋体"/>
          <w:color w:val="000000" w:themeColor="text1"/>
          <w14:textFill>
            <w14:solidFill>
              <w14:schemeClr w14:val="tx1"/>
            </w14:solidFill>
          </w14:textFill>
        </w:rPr>
        <w:t>五”</w:t>
      </w:r>
      <w:bookmarkStart w:id="377" w:name="_GoBack"/>
      <w:bookmarkEnd w:id="377"/>
      <w:r>
        <w:rPr>
          <w:rFonts w:hint="eastAsia"/>
          <w:color w:val="000000" w:themeColor="text1"/>
          <w14:textFill>
            <w14:solidFill>
              <w14:schemeClr w14:val="tx1"/>
            </w14:solidFill>
          </w14:textFill>
        </w:rPr>
        <w:t>规划》（桂环发〔2022〕3号）；</w:t>
      </w:r>
    </w:p>
    <w:p>
      <w:pPr>
        <w:pStyle w:val="283"/>
        <w:numPr>
          <w:ilvl w:val="0"/>
          <w:numId w:val="10"/>
        </w:numPr>
        <w:ind w:firstLineChars="0"/>
        <w:rPr>
          <w:color w:val="000000" w:themeColor="text1"/>
          <w14:textFill>
            <w14:solidFill>
              <w14:schemeClr w14:val="tx1"/>
            </w14:solidFill>
          </w14:textFill>
        </w:rPr>
      </w:pPr>
      <w:r>
        <w:rPr>
          <w:color w:val="000000" w:themeColor="text1"/>
          <w14:textFill>
            <w14:solidFill>
              <w14:schemeClr w14:val="tx1"/>
            </w14:solidFill>
          </w14:textFill>
        </w:rPr>
        <w:t>《广西</w:t>
      </w:r>
      <w:r>
        <w:rPr>
          <w:rFonts w:hint="eastAsia"/>
          <w:color w:val="000000" w:themeColor="text1"/>
          <w14:textFill>
            <w14:solidFill>
              <w14:schemeClr w14:val="tx1"/>
            </w14:solidFill>
          </w14:textFill>
        </w:rPr>
        <w:t>生态</w:t>
      </w:r>
      <w:r>
        <w:rPr>
          <w:color w:val="000000" w:themeColor="text1"/>
          <w14:textFill>
            <w14:solidFill>
              <w14:schemeClr w14:val="tx1"/>
            </w14:solidFill>
          </w14:textFill>
        </w:rPr>
        <w:t>环境保护</w:t>
      </w:r>
      <w:r>
        <w:rPr>
          <w:rFonts w:ascii="宋体" w:hAnsi="宋体"/>
          <w:color w:val="000000" w:themeColor="text1"/>
          <w14:textFill>
            <w14:solidFill>
              <w14:schemeClr w14:val="tx1"/>
            </w14:solidFill>
          </w14:textFill>
        </w:rPr>
        <w:t>“十</w:t>
      </w:r>
      <w:r>
        <w:rPr>
          <w:rFonts w:hint="eastAsia" w:ascii="宋体" w:hAnsi="宋体"/>
          <w:color w:val="000000" w:themeColor="text1"/>
          <w14:textFill>
            <w14:solidFill>
              <w14:schemeClr w14:val="tx1"/>
            </w14:solidFill>
          </w14:textFill>
        </w:rPr>
        <w:t>四</w:t>
      </w:r>
      <w:r>
        <w:rPr>
          <w:rFonts w:ascii="宋体" w:hAnsi="宋体"/>
          <w:color w:val="000000" w:themeColor="text1"/>
          <w14:textFill>
            <w14:solidFill>
              <w14:schemeClr w14:val="tx1"/>
            </w14:solidFill>
          </w14:textFill>
        </w:rPr>
        <w:t>五”</w:t>
      </w:r>
      <w:r>
        <w:rPr>
          <w:color w:val="000000" w:themeColor="text1"/>
          <w14:textFill>
            <w14:solidFill>
              <w14:schemeClr w14:val="tx1"/>
            </w14:solidFill>
          </w14:textFill>
        </w:rPr>
        <w:t>规划》（</w:t>
      </w:r>
      <w:r>
        <w:rPr>
          <w:rFonts w:hint="eastAsia"/>
          <w:color w:val="000000" w:themeColor="text1"/>
          <w14:textFill>
            <w14:solidFill>
              <w14:schemeClr w14:val="tx1"/>
            </w14:solidFill>
          </w14:textFill>
        </w:rPr>
        <w:t>桂政办发〔2021〕145号</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 xml:space="preserve"> </w:t>
      </w:r>
    </w:p>
    <w:p>
      <w:pPr>
        <w:pStyle w:val="283"/>
        <w:numPr>
          <w:ilvl w:val="0"/>
          <w:numId w:val="10"/>
        </w:numPr>
        <w:ind w:firstLineChars="0"/>
        <w:rPr>
          <w:color w:val="000000" w:themeColor="text1"/>
          <w14:textFill>
            <w14:solidFill>
              <w14:schemeClr w14:val="tx1"/>
            </w14:solidFill>
          </w14:textFill>
        </w:rPr>
      </w:pPr>
      <w:r>
        <w:rPr>
          <w:rFonts w:hint="eastAsia"/>
          <w:color w:val="000000" w:themeColor="text1"/>
          <w14:textFill>
            <w14:solidFill>
              <w14:schemeClr w14:val="tx1"/>
            </w14:solidFill>
          </w14:textFill>
        </w:rPr>
        <w:t>《广西红树林资源保护区规划（2020—2030年）》（桂林发〔2021〕10号）；</w:t>
      </w:r>
    </w:p>
    <w:p>
      <w:pPr>
        <w:pStyle w:val="283"/>
        <w:numPr>
          <w:ilvl w:val="0"/>
          <w:numId w:val="10"/>
        </w:numPr>
        <w:ind w:firstLineChars="0"/>
        <w:rPr>
          <w:color w:val="000000" w:themeColor="text1"/>
          <w14:textFill>
            <w14:solidFill>
              <w14:schemeClr w14:val="tx1"/>
            </w14:solidFill>
          </w14:textFill>
        </w:rPr>
      </w:pPr>
      <w:r>
        <w:rPr>
          <w:rFonts w:hint="eastAsia"/>
          <w:color w:val="000000" w:themeColor="text1"/>
          <w14:textFill>
            <w14:solidFill>
              <w14:schemeClr w14:val="tx1"/>
            </w14:solidFill>
          </w14:textFill>
        </w:rPr>
        <w:t>《广西壮族自治区“十四五”空气质量全面改善规划》（桂环发〔2022〕</w:t>
      </w:r>
      <w:r>
        <w:rPr>
          <w:color w:val="000000" w:themeColor="text1"/>
          <w14:textFill>
            <w14:solidFill>
              <w14:schemeClr w14:val="tx1"/>
            </w14:solidFill>
          </w14:textFill>
        </w:rPr>
        <w:t>54</w:t>
      </w:r>
      <w:r>
        <w:rPr>
          <w:rFonts w:hint="eastAsia"/>
          <w:color w:val="000000" w:themeColor="text1"/>
          <w14:textFill>
            <w14:solidFill>
              <w14:schemeClr w14:val="tx1"/>
            </w14:solidFill>
          </w14:textFill>
        </w:rPr>
        <w:t>号）；</w:t>
      </w:r>
    </w:p>
    <w:p>
      <w:pPr>
        <w:pStyle w:val="283"/>
        <w:numPr>
          <w:ilvl w:val="0"/>
          <w:numId w:val="10"/>
        </w:numPr>
        <w:ind w:firstLineChars="0"/>
        <w:rPr>
          <w:color w:val="000000" w:themeColor="text1"/>
          <w14:textFill>
            <w14:solidFill>
              <w14:schemeClr w14:val="tx1"/>
            </w14:solidFill>
          </w14:textFill>
        </w:rPr>
      </w:pPr>
      <w:r>
        <w:rPr>
          <w:color w:val="000000" w:themeColor="text1"/>
          <w14:textFill>
            <w14:solidFill>
              <w14:schemeClr w14:val="tx1"/>
            </w14:solidFill>
          </w14:textFill>
        </w:rPr>
        <w:t>《广西壮族自治区近岸海域环境功能区划调整方案》</w:t>
      </w:r>
      <w:r>
        <w:rPr>
          <w:rFonts w:hint="eastAsia"/>
          <w:color w:val="000000" w:themeColor="text1"/>
          <w14:textFill>
            <w14:solidFill>
              <w14:schemeClr w14:val="tx1"/>
            </w14:solidFill>
          </w14:textFill>
        </w:rPr>
        <w:t>（桂环发〔2023〕9号）</w:t>
      </w:r>
      <w:r>
        <w:rPr>
          <w:color w:val="000000" w:themeColor="text1"/>
          <w14:textFill>
            <w14:solidFill>
              <w14:schemeClr w14:val="tx1"/>
            </w14:solidFill>
          </w14:textFill>
        </w:rPr>
        <w:t>；</w:t>
      </w:r>
    </w:p>
    <w:p>
      <w:pPr>
        <w:pStyle w:val="283"/>
        <w:numPr>
          <w:ilvl w:val="0"/>
          <w:numId w:val="10"/>
        </w:numPr>
        <w:ind w:firstLineChars="0"/>
        <w:rPr>
          <w:color w:val="auto"/>
        </w:rPr>
      </w:pPr>
      <w:r>
        <w:rPr>
          <w:color w:val="auto"/>
        </w:rPr>
        <w:t>《</w:t>
      </w:r>
      <w:r>
        <w:rPr>
          <w:rFonts w:hint="eastAsia"/>
          <w:color w:val="auto"/>
        </w:rPr>
        <w:t>北部湾港总体规划（2035年）</w:t>
      </w:r>
      <w:r>
        <w:rPr>
          <w:color w:val="auto"/>
        </w:rPr>
        <w:t>》；</w:t>
      </w:r>
    </w:p>
    <w:p>
      <w:pPr>
        <w:pStyle w:val="283"/>
        <w:numPr>
          <w:ilvl w:val="0"/>
          <w:numId w:val="10"/>
        </w:numPr>
        <w:ind w:firstLineChars="0"/>
        <w:rPr>
          <w:color w:val="000000" w:themeColor="text1"/>
          <w14:textFill>
            <w14:solidFill>
              <w14:schemeClr w14:val="tx1"/>
            </w14:solidFill>
          </w14:textFill>
        </w:rPr>
      </w:pPr>
      <w:r>
        <w:rPr>
          <w:rFonts w:hint="eastAsia"/>
          <w:color w:val="000000" w:themeColor="text1"/>
          <w14:textFill>
            <w14:solidFill>
              <w14:schemeClr w14:val="tx1"/>
            </w14:solidFill>
          </w14:textFill>
        </w:rPr>
        <w:t>《钦州市国土空间总体规划（2021—2035年）》；</w:t>
      </w:r>
    </w:p>
    <w:p>
      <w:pPr>
        <w:pStyle w:val="430"/>
      </w:pPr>
      <w:r>
        <w:rPr>
          <w:rFonts w:hint="eastAsia"/>
        </w:rPr>
        <w:t>《钦州市养殖水域滩涂规划（2019-2030）》；</w:t>
      </w:r>
    </w:p>
    <w:p>
      <w:pPr>
        <w:pStyle w:val="283"/>
        <w:numPr>
          <w:ilvl w:val="0"/>
          <w:numId w:val="10"/>
        </w:numPr>
        <w:ind w:firstLineChars="0"/>
        <w:rPr>
          <w:color w:val="000000" w:themeColor="text1"/>
          <w14:textFill>
            <w14:solidFill>
              <w14:schemeClr w14:val="tx1"/>
            </w14:solidFill>
          </w14:textFill>
        </w:rPr>
      </w:pPr>
      <w:r>
        <w:rPr>
          <w:rFonts w:hint="eastAsia"/>
          <w:color w:val="000000" w:themeColor="text1"/>
          <w14:textFill>
            <w14:solidFill>
              <w14:schemeClr w14:val="tx1"/>
            </w14:solidFill>
          </w14:textFill>
        </w:rPr>
        <w:t>《钦州市红树林资源保护规划（2022—2030年）》（钦市林发〔2022〕44号）。</w:t>
      </w:r>
    </w:p>
    <w:p>
      <w:pPr>
        <w:pStyle w:val="5"/>
        <w:rPr>
          <w:color w:val="000000" w:themeColor="text1"/>
          <w14:textFill>
            <w14:solidFill>
              <w14:schemeClr w14:val="tx1"/>
            </w14:solidFill>
          </w14:textFill>
        </w:rPr>
      </w:pPr>
      <w:r>
        <w:rPr>
          <w:color w:val="000000" w:themeColor="text1"/>
          <w14:textFill>
            <w14:solidFill>
              <w14:schemeClr w14:val="tx1"/>
            </w14:solidFill>
          </w14:textFill>
        </w:rPr>
        <w:t>环境影响评价技术导则及有关技术规范</w:t>
      </w:r>
    </w:p>
    <w:p>
      <w:pPr>
        <w:pStyle w:val="283"/>
        <w:numPr>
          <w:ilvl w:val="0"/>
          <w:numId w:val="44"/>
        </w:numPr>
        <w:ind w:firstLineChars="0"/>
        <w:rPr>
          <w:color w:val="000000" w:themeColor="text1"/>
          <w14:textFill>
            <w14:solidFill>
              <w14:schemeClr w14:val="tx1"/>
            </w14:solidFill>
          </w14:textFill>
        </w:rPr>
      </w:pPr>
      <w:r>
        <w:rPr>
          <w:rFonts w:hint="eastAsia"/>
          <w:color w:val="000000" w:themeColor="text1"/>
          <w14:textFill>
            <w14:solidFill>
              <w14:schemeClr w14:val="tx1"/>
            </w14:solidFill>
          </w14:textFill>
        </w:rPr>
        <w:t>《海洋生态环境监测技术规程》（2002）；</w:t>
      </w:r>
    </w:p>
    <w:p>
      <w:pPr>
        <w:pStyle w:val="283"/>
        <w:numPr>
          <w:ilvl w:val="0"/>
          <w:numId w:val="44"/>
        </w:numPr>
        <w:ind w:firstLineChars="0"/>
        <w:rPr>
          <w:color w:val="000000" w:themeColor="text1"/>
          <w14:textFill>
            <w14:solidFill>
              <w14:schemeClr w14:val="tx1"/>
            </w14:solidFill>
          </w14:textFill>
        </w:rPr>
      </w:pPr>
      <w:r>
        <w:rPr>
          <w:rFonts w:hint="eastAsia"/>
          <w:color w:val="000000" w:themeColor="text1"/>
          <w14:textFill>
            <w14:solidFill>
              <w14:schemeClr w14:val="tx1"/>
            </w14:solidFill>
          </w14:textFill>
        </w:rPr>
        <w:t>《海洋生物质量监测技术规程》（2002）；</w:t>
      </w:r>
    </w:p>
    <w:p>
      <w:pPr>
        <w:pStyle w:val="283"/>
        <w:numPr>
          <w:ilvl w:val="0"/>
          <w:numId w:val="44"/>
        </w:numPr>
        <w:ind w:firstLineChars="0"/>
        <w:rPr>
          <w:color w:val="000000" w:themeColor="text1"/>
          <w14:textFill>
            <w14:solidFill>
              <w14:schemeClr w14:val="tx1"/>
            </w14:solidFill>
          </w14:textFill>
        </w:rPr>
      </w:pPr>
      <w:r>
        <w:rPr>
          <w:rFonts w:hint="eastAsia"/>
          <w:color w:val="000000" w:themeColor="text1"/>
          <w14:textFill>
            <w14:solidFill>
              <w14:schemeClr w14:val="tx1"/>
            </w14:solidFill>
          </w14:textFill>
        </w:rPr>
        <w:t>《海洋监测规范》（GB17378-2007）；</w:t>
      </w:r>
    </w:p>
    <w:p>
      <w:pPr>
        <w:pStyle w:val="283"/>
        <w:numPr>
          <w:ilvl w:val="0"/>
          <w:numId w:val="44"/>
        </w:numPr>
        <w:ind w:firstLineChars="0"/>
        <w:rPr>
          <w:color w:val="000000" w:themeColor="text1"/>
          <w14:textFill>
            <w14:solidFill>
              <w14:schemeClr w14:val="tx1"/>
            </w14:solidFill>
          </w14:textFill>
        </w:rPr>
      </w:pPr>
      <w:r>
        <w:rPr>
          <w:rFonts w:hint="eastAsia"/>
          <w:color w:val="000000" w:themeColor="text1"/>
          <w14:textFill>
            <w14:solidFill>
              <w14:schemeClr w14:val="tx1"/>
            </w14:solidFill>
          </w14:textFill>
        </w:rPr>
        <w:t>《海洋调查规范》（GB</w:t>
      </w:r>
      <w:r>
        <w:rPr>
          <w:color w:val="000000" w:themeColor="text1"/>
          <w14:textFill>
            <w14:solidFill>
              <w14:schemeClr w14:val="tx1"/>
            </w14:solidFill>
          </w14:textFill>
        </w:rPr>
        <w:t xml:space="preserve">/T </w:t>
      </w:r>
      <w:r>
        <w:rPr>
          <w:rFonts w:hint="eastAsia"/>
          <w:color w:val="000000" w:themeColor="text1"/>
          <w14:textFill>
            <w14:solidFill>
              <w14:schemeClr w14:val="tx1"/>
            </w14:solidFill>
          </w14:textFill>
        </w:rPr>
        <w:t>12763-2007）；</w:t>
      </w:r>
    </w:p>
    <w:p>
      <w:pPr>
        <w:pStyle w:val="283"/>
        <w:numPr>
          <w:ilvl w:val="0"/>
          <w:numId w:val="44"/>
        </w:numPr>
        <w:ind w:firstLineChars="0"/>
        <w:rPr>
          <w:color w:val="000000" w:themeColor="text1"/>
          <w14:textFill>
            <w14:solidFill>
              <w14:schemeClr w14:val="tx1"/>
            </w14:solidFill>
          </w14:textFill>
        </w:rPr>
      </w:pPr>
      <w:r>
        <w:rPr>
          <w:color w:val="000000" w:themeColor="text1"/>
          <w14:textFill>
            <w14:solidFill>
              <w14:schemeClr w14:val="tx1"/>
            </w14:solidFill>
          </w14:textFill>
        </w:rPr>
        <w:t>《建设项目对海洋生物资源影响评价技术规程》（SC/T9110-2007）；</w:t>
      </w:r>
    </w:p>
    <w:p>
      <w:pPr>
        <w:pStyle w:val="283"/>
        <w:numPr>
          <w:ilvl w:val="0"/>
          <w:numId w:val="44"/>
        </w:numPr>
        <w:ind w:firstLineChars="0"/>
        <w:rPr>
          <w:rFonts w:ascii="宋体" w:hAnsi="宋体"/>
          <w:color w:val="000000" w:themeColor="text1"/>
          <w14:textFill>
            <w14:solidFill>
              <w14:schemeClr w14:val="tx1"/>
            </w14:solidFill>
          </w14:textFill>
        </w:rPr>
      </w:pPr>
      <w:r>
        <w:rPr>
          <w:rFonts w:hint="eastAsia"/>
          <w:color w:val="000000" w:themeColor="text1"/>
          <w14:textFill>
            <w14:solidFill>
              <w14:schemeClr w14:val="tx1"/>
            </w14:solidFill>
          </w14:textFill>
        </w:rPr>
        <w:t>《爆破安全规程》（GB6722-2014）</w:t>
      </w:r>
      <w:r>
        <w:rPr>
          <w:color w:val="000000" w:themeColor="text1"/>
          <w14:textFill>
            <w14:solidFill>
              <w14:schemeClr w14:val="tx1"/>
            </w14:solidFill>
          </w14:textFill>
        </w:rPr>
        <w:t>；</w:t>
      </w:r>
    </w:p>
    <w:p>
      <w:pPr>
        <w:pStyle w:val="283"/>
        <w:numPr>
          <w:ilvl w:val="0"/>
          <w:numId w:val="44"/>
        </w:numPr>
        <w:ind w:firstLineChars="0"/>
        <w:rPr>
          <w:color w:val="000000" w:themeColor="text1"/>
          <w14:textFill>
            <w14:solidFill>
              <w14:schemeClr w14:val="tx1"/>
            </w14:solidFill>
          </w14:textFill>
        </w:rPr>
      </w:pPr>
      <w:r>
        <w:rPr>
          <w:rFonts w:hint="eastAsia"/>
          <w:color w:val="000000" w:themeColor="text1"/>
          <w14:textFill>
            <w14:solidFill>
              <w14:schemeClr w14:val="tx1"/>
            </w14:solidFill>
          </w14:textFill>
        </w:rPr>
        <w:t>《海洋倾倒物质评价规范 疏浚物》（GB30980-2014）</w:t>
      </w:r>
      <w:r>
        <w:rPr>
          <w:color w:val="000000" w:themeColor="text1"/>
          <w14:textFill>
            <w14:solidFill>
              <w14:schemeClr w14:val="tx1"/>
            </w14:solidFill>
          </w14:textFill>
        </w:rPr>
        <w:t>；</w:t>
      </w:r>
    </w:p>
    <w:p>
      <w:pPr>
        <w:pStyle w:val="283"/>
        <w:numPr>
          <w:ilvl w:val="0"/>
          <w:numId w:val="44"/>
        </w:numPr>
        <w:ind w:firstLineChars="0"/>
        <w:rPr>
          <w:color w:val="000000" w:themeColor="text1"/>
          <w14:textFill>
            <w14:solidFill>
              <w14:schemeClr w14:val="tx1"/>
            </w14:solidFill>
          </w14:textFill>
        </w:rPr>
      </w:pPr>
      <w:r>
        <w:rPr>
          <w:color w:val="000000" w:themeColor="text1"/>
          <w14:textFill>
            <w14:solidFill>
              <w14:schemeClr w14:val="tx1"/>
            </w14:solidFill>
          </w14:textFill>
        </w:rPr>
        <w:t>《海洋工程环境影响评价技术导则》（GB/T19485-2014）；</w:t>
      </w:r>
    </w:p>
    <w:p>
      <w:pPr>
        <w:pStyle w:val="283"/>
        <w:numPr>
          <w:ilvl w:val="0"/>
          <w:numId w:val="44"/>
        </w:numPr>
        <w:ind w:firstLineChars="0"/>
        <w:rPr>
          <w:color w:val="000000" w:themeColor="text1"/>
          <w14:textFill>
            <w14:solidFill>
              <w14:schemeClr w14:val="tx1"/>
            </w14:solidFill>
          </w14:textFill>
        </w:rPr>
      </w:pPr>
      <w:r>
        <w:rPr>
          <w:color w:val="000000" w:themeColor="text1"/>
          <w14:textFill>
            <w14:solidFill>
              <w14:schemeClr w14:val="tx1"/>
            </w14:solidFill>
          </w14:textFill>
        </w:rPr>
        <w:t>《建设项目环境影响评价技术导则·总纲》（HJ/T2.1-2016）；</w:t>
      </w:r>
    </w:p>
    <w:p>
      <w:pPr>
        <w:pStyle w:val="283"/>
        <w:numPr>
          <w:ilvl w:val="0"/>
          <w:numId w:val="44"/>
        </w:numPr>
        <w:ind w:firstLineChars="0"/>
        <w:rPr>
          <w:color w:val="000000" w:themeColor="text1"/>
          <w14:textFill>
            <w14:solidFill>
              <w14:schemeClr w14:val="tx1"/>
            </w14:solidFill>
          </w14:textFill>
        </w:rPr>
      </w:pPr>
      <w:r>
        <w:rPr>
          <w:color w:val="000000" w:themeColor="text1"/>
          <w14:textFill>
            <w14:solidFill>
              <w14:schemeClr w14:val="tx1"/>
            </w14:solidFill>
          </w14:textFill>
        </w:rPr>
        <w:t>《环境影响评价技术导则·地下水环境》（HJ610-2016）；</w:t>
      </w:r>
    </w:p>
    <w:p>
      <w:pPr>
        <w:pStyle w:val="283"/>
        <w:numPr>
          <w:ilvl w:val="0"/>
          <w:numId w:val="44"/>
        </w:numPr>
        <w:ind w:firstLineChars="0"/>
        <w:rPr>
          <w:color w:val="000000" w:themeColor="text1"/>
          <w14:textFill>
            <w14:solidFill>
              <w14:schemeClr w14:val="tx1"/>
            </w14:solidFill>
          </w14:textFill>
        </w:rPr>
      </w:pPr>
      <w:r>
        <w:rPr>
          <w:rFonts w:hint="eastAsia"/>
          <w:color w:val="000000" w:themeColor="text1"/>
          <w14:textFill>
            <w14:solidFill>
              <w14:schemeClr w14:val="tx1"/>
            </w14:solidFill>
          </w14:textFill>
        </w:rPr>
        <w:t>《港口码头水上污染事故应急防备能力要求》（JT/T451-2017）；</w:t>
      </w:r>
    </w:p>
    <w:p>
      <w:pPr>
        <w:pStyle w:val="283"/>
        <w:numPr>
          <w:ilvl w:val="0"/>
          <w:numId w:val="44"/>
        </w:numPr>
        <w:ind w:firstLineChars="0"/>
        <w:rPr>
          <w:color w:val="000000" w:themeColor="text1"/>
          <w14:textFill>
            <w14:solidFill>
              <w14:schemeClr w14:val="tx1"/>
            </w14:solidFill>
          </w14:textFill>
        </w:rPr>
      </w:pPr>
      <w:r>
        <w:rPr>
          <w:rFonts w:hint="eastAsia"/>
          <w:color w:val="000000" w:themeColor="text1"/>
          <w14:textFill>
            <w14:solidFill>
              <w14:schemeClr w14:val="tx1"/>
            </w14:solidFill>
          </w14:textFill>
        </w:rPr>
        <w:t>《水上溢油环境风险评估技术导则》（</w:t>
      </w:r>
      <w:r>
        <w:rPr>
          <w:color w:val="000000" w:themeColor="text1"/>
          <w14:textFill>
            <w14:solidFill>
              <w14:schemeClr w14:val="tx1"/>
            </w14:solidFill>
          </w14:textFill>
        </w:rPr>
        <w:t>JT//T1143—2017</w:t>
      </w:r>
      <w:r>
        <w:rPr>
          <w:rFonts w:hint="eastAsia"/>
          <w:color w:val="000000" w:themeColor="text1"/>
          <w14:textFill>
            <w14:solidFill>
              <w14:schemeClr w14:val="tx1"/>
            </w14:solidFill>
          </w14:textFill>
        </w:rPr>
        <w:t>）；</w:t>
      </w:r>
    </w:p>
    <w:p>
      <w:pPr>
        <w:pStyle w:val="283"/>
        <w:numPr>
          <w:ilvl w:val="0"/>
          <w:numId w:val="44"/>
        </w:numPr>
        <w:ind w:firstLineChars="0"/>
        <w:rPr>
          <w:color w:val="000000" w:themeColor="text1"/>
          <w14:textFill>
            <w14:solidFill>
              <w14:schemeClr w14:val="tx1"/>
            </w14:solidFill>
          </w14:textFill>
        </w:rPr>
      </w:pPr>
      <w:r>
        <w:rPr>
          <w:rFonts w:hint="eastAsia"/>
          <w:color w:val="000000" w:themeColor="text1"/>
          <w14:textFill>
            <w14:solidFill>
              <w14:schemeClr w14:val="tx1"/>
            </w14:solidFill>
          </w14:textFill>
        </w:rPr>
        <w:t>《建设项目危险废物环境影响评价指南》（2017年10月1日起施行）；</w:t>
      </w:r>
    </w:p>
    <w:p>
      <w:pPr>
        <w:pStyle w:val="283"/>
        <w:numPr>
          <w:ilvl w:val="0"/>
          <w:numId w:val="44"/>
        </w:numPr>
        <w:ind w:firstLineChars="0"/>
        <w:rPr>
          <w:color w:val="000000" w:themeColor="text1"/>
          <w14:textFill>
            <w14:solidFill>
              <w14:schemeClr w14:val="tx1"/>
            </w14:solidFill>
          </w14:textFill>
        </w:rPr>
      </w:pPr>
      <w:r>
        <w:rPr>
          <w:color w:val="000000" w:themeColor="text1"/>
          <w14:textFill>
            <w14:solidFill>
              <w14:schemeClr w14:val="tx1"/>
            </w14:solidFill>
          </w14:textFill>
        </w:rPr>
        <w:t>《环境影响评价技术导则·大气环境》（HJ 2.2-2018）；</w:t>
      </w:r>
    </w:p>
    <w:p>
      <w:pPr>
        <w:pStyle w:val="283"/>
        <w:numPr>
          <w:ilvl w:val="0"/>
          <w:numId w:val="44"/>
        </w:numPr>
        <w:ind w:firstLineChars="0"/>
        <w:rPr>
          <w:color w:val="000000" w:themeColor="text1"/>
          <w14:textFill>
            <w14:solidFill>
              <w14:schemeClr w14:val="tx1"/>
            </w14:solidFill>
          </w14:textFill>
        </w:rPr>
      </w:pPr>
      <w:r>
        <w:rPr>
          <w:color w:val="000000" w:themeColor="text1"/>
          <w14:textFill>
            <w14:solidFill>
              <w14:schemeClr w14:val="tx1"/>
            </w14:solidFill>
          </w14:textFill>
        </w:rPr>
        <w:t>《环境影响评价技术导则·地表水环境》（HJ2.3-2018）；</w:t>
      </w:r>
    </w:p>
    <w:p>
      <w:pPr>
        <w:pStyle w:val="283"/>
        <w:numPr>
          <w:ilvl w:val="0"/>
          <w:numId w:val="44"/>
        </w:numPr>
        <w:ind w:firstLineChars="0"/>
        <w:rPr>
          <w:color w:val="000000" w:themeColor="text1"/>
          <w14:textFill>
            <w14:solidFill>
              <w14:schemeClr w14:val="tx1"/>
            </w14:solidFill>
          </w14:textFill>
        </w:rPr>
      </w:pPr>
      <w:r>
        <w:rPr>
          <w:color w:val="000000" w:themeColor="text1"/>
          <w14:textFill>
            <w14:solidFill>
              <w14:schemeClr w14:val="tx1"/>
            </w14:solidFill>
          </w14:textFill>
        </w:rPr>
        <w:t>《环境影响评价技术导则 土壤环境（试行）》（HJ964-2018）；</w:t>
      </w:r>
    </w:p>
    <w:p>
      <w:pPr>
        <w:pStyle w:val="283"/>
        <w:numPr>
          <w:ilvl w:val="0"/>
          <w:numId w:val="44"/>
        </w:numPr>
        <w:ind w:firstLineChars="0"/>
        <w:rPr>
          <w:color w:val="000000" w:themeColor="text1"/>
          <w14:textFill>
            <w14:solidFill>
              <w14:schemeClr w14:val="tx1"/>
            </w14:solidFill>
          </w14:textFill>
        </w:rPr>
      </w:pPr>
      <w:r>
        <w:rPr>
          <w:color w:val="000000" w:themeColor="text1"/>
          <w14:textFill>
            <w14:solidFill>
              <w14:schemeClr w14:val="tx1"/>
            </w14:solidFill>
          </w14:textFill>
        </w:rPr>
        <w:t>《建设项目环境风险评价技术导则》（HJ169-2018）；</w:t>
      </w:r>
    </w:p>
    <w:p>
      <w:pPr>
        <w:pStyle w:val="283"/>
        <w:numPr>
          <w:ilvl w:val="0"/>
          <w:numId w:val="44"/>
        </w:numPr>
        <w:ind w:firstLineChars="0"/>
        <w:rPr>
          <w:color w:val="000000" w:themeColor="text1"/>
          <w14:textFill>
            <w14:solidFill>
              <w14:schemeClr w14:val="tx1"/>
            </w14:solidFill>
          </w14:textFill>
        </w:rPr>
      </w:pPr>
      <w:r>
        <w:rPr>
          <w:color w:val="000000" w:themeColor="text1"/>
          <w14:textFill>
            <w14:solidFill>
              <w14:schemeClr w14:val="tx1"/>
            </w14:solidFill>
          </w14:textFill>
        </w:rPr>
        <w:t>《开发建设项目水土保持技术规范》（GB50433-2018）；</w:t>
      </w:r>
    </w:p>
    <w:p>
      <w:pPr>
        <w:pStyle w:val="283"/>
        <w:numPr>
          <w:ilvl w:val="0"/>
          <w:numId w:val="44"/>
        </w:numPr>
        <w:ind w:firstLineChars="0"/>
        <w:rPr>
          <w:color w:val="000000" w:themeColor="text1"/>
          <w14:textFill>
            <w14:solidFill>
              <w14:schemeClr w14:val="tx1"/>
            </w14:solidFill>
          </w14:textFill>
        </w:rPr>
      </w:pPr>
      <w:r>
        <w:rPr>
          <w:color w:val="000000" w:themeColor="text1"/>
          <w14:textFill>
            <w14:solidFill>
              <w14:schemeClr w14:val="tx1"/>
            </w14:solidFill>
          </w14:textFill>
        </w:rPr>
        <w:t>《水运工程环境保护设计规范》（JTS149-2018）</w:t>
      </w:r>
      <w:r>
        <w:rPr>
          <w:rFonts w:hint="eastAsia"/>
          <w:color w:val="000000" w:themeColor="text1"/>
          <w14:textFill>
            <w14:solidFill>
              <w14:schemeClr w14:val="tx1"/>
            </w14:solidFill>
          </w14:textFill>
        </w:rPr>
        <w:t>；</w:t>
      </w:r>
    </w:p>
    <w:p>
      <w:pPr>
        <w:pStyle w:val="283"/>
        <w:numPr>
          <w:ilvl w:val="0"/>
          <w:numId w:val="44"/>
        </w:numPr>
        <w:ind w:firstLineChars="0"/>
        <w:rPr>
          <w:color w:val="000000" w:themeColor="text1"/>
          <w14:textFill>
            <w14:solidFill>
              <w14:schemeClr w14:val="tx1"/>
            </w14:solidFill>
          </w14:textFill>
        </w:rPr>
      </w:pPr>
      <w:r>
        <w:rPr>
          <w:rFonts w:hint="eastAsia"/>
          <w:color w:val="000000" w:themeColor="text1"/>
          <w14:textFill>
            <w14:solidFill>
              <w14:schemeClr w14:val="tx1"/>
            </w14:solidFill>
          </w14:textFill>
        </w:rPr>
        <w:t>《自动化集装箱码头设计规范》（JTS/T 174-2019）；</w:t>
      </w:r>
    </w:p>
    <w:p>
      <w:pPr>
        <w:pStyle w:val="283"/>
        <w:numPr>
          <w:ilvl w:val="0"/>
          <w:numId w:val="44"/>
        </w:numPr>
        <w:ind w:firstLineChars="0"/>
        <w:rPr>
          <w:color w:val="000000" w:themeColor="text1"/>
          <w14:textFill>
            <w14:solidFill>
              <w14:schemeClr w14:val="tx1"/>
            </w14:solidFill>
          </w14:textFill>
        </w:rPr>
      </w:pPr>
      <w:r>
        <w:rPr>
          <w:rFonts w:hint="eastAsia"/>
          <w:color w:val="000000" w:themeColor="text1"/>
          <w14:textFill>
            <w14:solidFill>
              <w14:schemeClr w14:val="tx1"/>
            </w14:solidFill>
          </w14:textFill>
        </w:rPr>
        <w:t>《排污许可证申请与核发技术规范 码头》（</w:t>
      </w:r>
      <w:r>
        <w:rPr>
          <w:color w:val="000000" w:themeColor="text1"/>
          <w14:textFill>
            <w14:solidFill>
              <w14:schemeClr w14:val="tx1"/>
            </w14:solidFill>
          </w14:textFill>
        </w:rPr>
        <w:t>HJ 1107—2020</w:t>
      </w:r>
      <w:r>
        <w:rPr>
          <w:rFonts w:hint="eastAsia"/>
          <w:color w:val="000000" w:themeColor="text1"/>
          <w14:textFill>
            <w14:solidFill>
              <w14:schemeClr w14:val="tx1"/>
            </w14:solidFill>
          </w14:textFill>
        </w:rPr>
        <w:t>）；</w:t>
      </w:r>
    </w:p>
    <w:p>
      <w:pPr>
        <w:pStyle w:val="283"/>
        <w:numPr>
          <w:ilvl w:val="0"/>
          <w:numId w:val="44"/>
        </w:numPr>
        <w:ind w:firstLineChars="0"/>
        <w:rPr>
          <w:color w:val="000000" w:themeColor="text1"/>
          <w14:textFill>
            <w14:solidFill>
              <w14:schemeClr w14:val="tx1"/>
            </w14:solidFill>
          </w14:textFill>
        </w:rPr>
      </w:pPr>
      <w:r>
        <w:rPr>
          <w:rFonts w:hint="eastAsia"/>
          <w:color w:val="000000" w:themeColor="text1"/>
          <w14:textFill>
            <w14:solidFill>
              <w14:schemeClr w14:val="tx1"/>
            </w14:solidFill>
          </w14:textFill>
        </w:rPr>
        <w:t>《水运工程建设项目环境影响评价指南》（</w:t>
      </w:r>
      <w:r>
        <w:rPr>
          <w:color w:val="000000" w:themeColor="text1"/>
          <w14:textFill>
            <w14:solidFill>
              <w14:schemeClr w14:val="tx1"/>
            </w14:solidFill>
          </w14:textFill>
        </w:rPr>
        <w:t>JTS/T</w:t>
      </w:r>
      <w:r>
        <w:rPr>
          <w:rFonts w:hint="eastAsia"/>
          <w:color w:val="000000" w:themeColor="text1"/>
          <w14:textFill>
            <w14:solidFill>
              <w14:schemeClr w14:val="tx1"/>
            </w14:solidFill>
          </w14:textFill>
        </w:rPr>
        <w:t xml:space="preserve"> </w:t>
      </w:r>
      <w:r>
        <w:rPr>
          <w:color w:val="000000" w:themeColor="text1"/>
          <w14:textFill>
            <w14:solidFill>
              <w14:schemeClr w14:val="tx1"/>
            </w14:solidFill>
          </w14:textFill>
        </w:rPr>
        <w:t>105—2021</w:t>
      </w:r>
      <w:r>
        <w:rPr>
          <w:rFonts w:hint="eastAsia"/>
          <w:color w:val="000000" w:themeColor="text1"/>
          <w14:textFill>
            <w14:solidFill>
              <w14:schemeClr w14:val="tx1"/>
            </w14:solidFill>
          </w14:textFill>
        </w:rPr>
        <w:t>）；</w:t>
      </w:r>
    </w:p>
    <w:p>
      <w:pPr>
        <w:pStyle w:val="283"/>
        <w:numPr>
          <w:ilvl w:val="0"/>
          <w:numId w:val="44"/>
        </w:numPr>
        <w:ind w:firstLineChars="0"/>
        <w:rPr>
          <w:color w:val="000000" w:themeColor="text1"/>
          <w14:textFill>
            <w14:solidFill>
              <w14:schemeClr w14:val="tx1"/>
            </w14:solidFill>
          </w14:textFill>
        </w:rPr>
      </w:pPr>
      <w:r>
        <w:rPr>
          <w:rFonts w:hint="eastAsia"/>
          <w:color w:val="000000" w:themeColor="text1"/>
          <w14:textFill>
            <w14:solidFill>
              <w14:schemeClr w14:val="tx1"/>
            </w14:solidFill>
          </w14:textFill>
        </w:rPr>
        <w:t>《自动化集装箱码头建设指南》（JTS/T 199-2021）；</w:t>
      </w:r>
    </w:p>
    <w:p>
      <w:pPr>
        <w:pStyle w:val="283"/>
        <w:numPr>
          <w:ilvl w:val="0"/>
          <w:numId w:val="44"/>
        </w:numPr>
        <w:ind w:firstLineChars="0"/>
        <w:rPr>
          <w:color w:val="000000" w:themeColor="text1"/>
          <w14:textFill>
            <w14:solidFill>
              <w14:schemeClr w14:val="tx1"/>
            </w14:solidFill>
          </w14:textFill>
        </w:rPr>
      </w:pPr>
      <w:r>
        <w:rPr>
          <w:color w:val="000000" w:themeColor="text1"/>
          <w14:textFill>
            <w14:solidFill>
              <w14:schemeClr w14:val="tx1"/>
            </w14:solidFill>
          </w14:textFill>
        </w:rPr>
        <w:t>《环境影响评价技术导则·声环境》（HJ2.4-2021）；</w:t>
      </w:r>
    </w:p>
    <w:p>
      <w:pPr>
        <w:pStyle w:val="283"/>
        <w:numPr>
          <w:ilvl w:val="0"/>
          <w:numId w:val="44"/>
        </w:numPr>
        <w:ind w:firstLineChars="0"/>
        <w:rPr>
          <w:color w:val="000000" w:themeColor="text1"/>
          <w14:textFill>
            <w14:solidFill>
              <w14:schemeClr w14:val="tx1"/>
            </w14:solidFill>
          </w14:textFill>
        </w:rPr>
      </w:pPr>
      <w:r>
        <w:rPr>
          <w:color w:val="000000" w:themeColor="text1"/>
          <w14:textFill>
            <w14:solidFill>
              <w14:schemeClr w14:val="tx1"/>
            </w14:solidFill>
          </w14:textFill>
        </w:rPr>
        <w:t>《环境影响评价技术导则·生态影响》（HJ19-2022）。</w:t>
      </w:r>
    </w:p>
    <w:p>
      <w:pPr>
        <w:pStyle w:val="5"/>
        <w:rPr>
          <w:color w:val="000000" w:themeColor="text1"/>
          <w14:textFill>
            <w14:solidFill>
              <w14:schemeClr w14:val="tx1"/>
            </w14:solidFill>
          </w14:textFill>
        </w:rPr>
      </w:pPr>
      <w:r>
        <w:rPr>
          <w:color w:val="000000" w:themeColor="text1"/>
          <w14:textFill>
            <w14:solidFill>
              <w14:schemeClr w14:val="tx1"/>
            </w14:solidFill>
          </w14:textFill>
        </w:rPr>
        <w:t>相关国际公约</w:t>
      </w:r>
    </w:p>
    <w:p>
      <w:pPr>
        <w:pStyle w:val="283"/>
        <w:numPr>
          <w:ilvl w:val="0"/>
          <w:numId w:val="45"/>
        </w:numPr>
        <w:ind w:firstLineChars="0"/>
        <w:rPr>
          <w:color w:val="000000" w:themeColor="text1"/>
          <w14:textFill>
            <w14:solidFill>
              <w14:schemeClr w14:val="tx1"/>
            </w14:solidFill>
          </w14:textFill>
        </w:rPr>
      </w:pPr>
      <w:r>
        <w:rPr>
          <w:color w:val="000000" w:themeColor="text1"/>
          <w14:textFill>
            <w14:solidFill>
              <w14:schemeClr w14:val="tx1"/>
            </w14:solidFill>
          </w14:textFill>
        </w:rPr>
        <w:t>《经1978 年议定书修订的1973 年国际防止船舶造成污染公约（MARPOL 73/78）》（国际海事组织，1978 年）；</w:t>
      </w:r>
    </w:p>
    <w:p>
      <w:pPr>
        <w:pStyle w:val="283"/>
        <w:numPr>
          <w:ilvl w:val="0"/>
          <w:numId w:val="45"/>
        </w:numPr>
        <w:ind w:firstLineChars="0"/>
        <w:rPr>
          <w:color w:val="000000" w:themeColor="text1"/>
          <w14:textFill>
            <w14:solidFill>
              <w14:schemeClr w14:val="tx1"/>
            </w14:solidFill>
          </w14:textFill>
        </w:rPr>
      </w:pPr>
      <w:r>
        <w:rPr>
          <w:color w:val="000000" w:themeColor="text1"/>
          <w14:textFill>
            <w14:solidFill>
              <w14:schemeClr w14:val="tx1"/>
            </w14:solidFill>
          </w14:textFill>
        </w:rPr>
        <w:t>MARPOL 73/78 附则I</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Ⅲ</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VI（详见表1</w:t>
      </w:r>
      <w:r>
        <w:rPr>
          <w:rFonts w:hint="eastAsia"/>
          <w:color w:val="000000" w:themeColor="text1"/>
          <w14:textFill>
            <w14:solidFill>
              <w14:schemeClr w14:val="tx1"/>
            </w14:solidFill>
          </w14:textFill>
        </w:rPr>
        <w:t>.1</w:t>
      </w:r>
      <w:r>
        <w:rPr>
          <w:color w:val="000000" w:themeColor="text1"/>
          <w14:textFill>
            <w14:solidFill>
              <w14:schemeClr w14:val="tx1"/>
            </w14:solidFill>
          </w14:textFill>
        </w:rPr>
        <w:t xml:space="preserve">-1）； </w:t>
      </w:r>
    </w:p>
    <w:p>
      <w:pPr>
        <w:pStyle w:val="283"/>
        <w:numPr>
          <w:ilvl w:val="0"/>
          <w:numId w:val="45"/>
        </w:numPr>
        <w:ind w:firstLineChars="0"/>
        <w:rPr>
          <w:color w:val="000000" w:themeColor="text1"/>
          <w14:textFill>
            <w14:solidFill>
              <w14:schemeClr w14:val="tx1"/>
            </w14:solidFill>
          </w14:textFill>
        </w:rPr>
      </w:pPr>
      <w:r>
        <w:rPr>
          <w:color w:val="000000" w:themeColor="text1"/>
          <w14:textFill>
            <w14:solidFill>
              <w14:schemeClr w14:val="tx1"/>
            </w14:solidFill>
          </w14:textFill>
        </w:rPr>
        <w:t>《1990 年国际油污防备、响应和合作公约》（国际海事组织，1990年）。</w:t>
      </w:r>
    </w:p>
    <w:p>
      <w:pPr>
        <w:pStyle w:val="384"/>
        <w:ind w:left="0" w:firstLine="0"/>
        <w:rPr>
          <w:color w:val="000000" w:themeColor="text1"/>
          <w14:textFill>
            <w14:solidFill>
              <w14:schemeClr w14:val="tx1"/>
            </w14:solidFill>
          </w14:textFill>
        </w:rPr>
      </w:pPr>
      <w:r>
        <w:rPr>
          <w:color w:val="000000" w:themeColor="text1"/>
          <w14:textFill>
            <w14:solidFill>
              <w14:schemeClr w14:val="tx1"/>
            </w14:solidFill>
          </w14:textFill>
        </w:rPr>
        <w:t>MARPOL 73/78 附则</w:t>
      </w:r>
    </w:p>
    <w:tbl>
      <w:tblPr>
        <w:tblStyle w:val="88"/>
        <w:tblW w:w="8528" w:type="dxa"/>
        <w:jc w:val="center"/>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131"/>
        <w:gridCol w:w="3357"/>
        <w:gridCol w:w="2077"/>
        <w:gridCol w:w="1963"/>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blHeader/>
          <w:jc w:val="center"/>
        </w:trPr>
        <w:tc>
          <w:tcPr>
            <w:tcW w:w="1131" w:type="dxa"/>
            <w:vAlign w:val="center"/>
          </w:tcPr>
          <w:p>
            <w:pPr>
              <w:pStyle w:val="2001"/>
            </w:pPr>
            <w:r>
              <w:t>附则序号</w:t>
            </w:r>
          </w:p>
        </w:tc>
        <w:tc>
          <w:tcPr>
            <w:tcW w:w="3357" w:type="dxa"/>
            <w:vAlign w:val="center"/>
          </w:tcPr>
          <w:p>
            <w:pPr>
              <w:pStyle w:val="2001"/>
            </w:pPr>
            <w:r>
              <w:t>附则名称</w:t>
            </w:r>
          </w:p>
        </w:tc>
        <w:tc>
          <w:tcPr>
            <w:tcW w:w="2077" w:type="dxa"/>
            <w:vAlign w:val="center"/>
          </w:tcPr>
          <w:p>
            <w:pPr>
              <w:pStyle w:val="2001"/>
            </w:pPr>
            <w:r>
              <w:t>附则生效时间</w:t>
            </w:r>
          </w:p>
        </w:tc>
        <w:tc>
          <w:tcPr>
            <w:tcW w:w="1963" w:type="dxa"/>
            <w:vAlign w:val="center"/>
          </w:tcPr>
          <w:p>
            <w:pPr>
              <w:pStyle w:val="2001"/>
            </w:pPr>
            <w:r>
              <w:t>对我国生效时间</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131" w:type="dxa"/>
            <w:vAlign w:val="center"/>
          </w:tcPr>
          <w:p>
            <w:pPr>
              <w:pStyle w:val="2001"/>
            </w:pPr>
            <w:r>
              <w:t>附则I</w:t>
            </w:r>
          </w:p>
        </w:tc>
        <w:tc>
          <w:tcPr>
            <w:tcW w:w="3357" w:type="dxa"/>
            <w:vAlign w:val="center"/>
          </w:tcPr>
          <w:p>
            <w:pPr>
              <w:pStyle w:val="2001"/>
            </w:pPr>
            <w:r>
              <w:t>防止油污规则</w:t>
            </w:r>
          </w:p>
        </w:tc>
        <w:tc>
          <w:tcPr>
            <w:tcW w:w="2077" w:type="dxa"/>
            <w:vAlign w:val="center"/>
          </w:tcPr>
          <w:p>
            <w:pPr>
              <w:pStyle w:val="2001"/>
            </w:pPr>
            <w:r>
              <w:t>与议定书同时</w:t>
            </w:r>
          </w:p>
        </w:tc>
        <w:tc>
          <w:tcPr>
            <w:tcW w:w="1963" w:type="dxa"/>
            <w:vAlign w:val="center"/>
          </w:tcPr>
          <w:p>
            <w:pPr>
              <w:pStyle w:val="2001"/>
            </w:pPr>
            <w:r>
              <w:t>1983年10月2日</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131" w:type="dxa"/>
            <w:vAlign w:val="center"/>
          </w:tcPr>
          <w:p>
            <w:pPr>
              <w:pStyle w:val="2001"/>
            </w:pPr>
            <w:r>
              <w:t>附则IV</w:t>
            </w:r>
          </w:p>
        </w:tc>
        <w:tc>
          <w:tcPr>
            <w:tcW w:w="3357" w:type="dxa"/>
            <w:vAlign w:val="center"/>
          </w:tcPr>
          <w:p>
            <w:pPr>
              <w:pStyle w:val="2001"/>
            </w:pPr>
            <w:r>
              <w:t>防止船舶生活污水污染规则</w:t>
            </w:r>
          </w:p>
        </w:tc>
        <w:tc>
          <w:tcPr>
            <w:tcW w:w="2077" w:type="dxa"/>
            <w:vAlign w:val="center"/>
          </w:tcPr>
          <w:p>
            <w:pPr>
              <w:pStyle w:val="2001"/>
            </w:pPr>
            <w:r>
              <w:t>2005年8月1日</w:t>
            </w:r>
          </w:p>
        </w:tc>
        <w:tc>
          <w:tcPr>
            <w:tcW w:w="1963" w:type="dxa"/>
            <w:vAlign w:val="center"/>
          </w:tcPr>
          <w:p>
            <w:pPr>
              <w:pStyle w:val="2001"/>
            </w:pPr>
            <w:r>
              <w:t>2007年2月2日</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131" w:type="dxa"/>
            <w:vAlign w:val="center"/>
          </w:tcPr>
          <w:p>
            <w:pPr>
              <w:pStyle w:val="2001"/>
            </w:pPr>
            <w:r>
              <w:t>附则V</w:t>
            </w:r>
          </w:p>
        </w:tc>
        <w:tc>
          <w:tcPr>
            <w:tcW w:w="3357" w:type="dxa"/>
            <w:vAlign w:val="center"/>
          </w:tcPr>
          <w:p>
            <w:pPr>
              <w:pStyle w:val="2001"/>
            </w:pPr>
            <w:r>
              <w:t>防止船舶垃圾污染规则</w:t>
            </w:r>
          </w:p>
        </w:tc>
        <w:tc>
          <w:tcPr>
            <w:tcW w:w="2077" w:type="dxa"/>
            <w:vAlign w:val="center"/>
          </w:tcPr>
          <w:p>
            <w:pPr>
              <w:pStyle w:val="2001"/>
            </w:pPr>
            <w:r>
              <w:t>1988年12月31日</w:t>
            </w:r>
          </w:p>
        </w:tc>
        <w:tc>
          <w:tcPr>
            <w:tcW w:w="1963" w:type="dxa"/>
            <w:vAlign w:val="center"/>
          </w:tcPr>
          <w:p>
            <w:pPr>
              <w:pStyle w:val="2001"/>
            </w:pPr>
            <w:r>
              <w:t>1989年2月21日</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131" w:type="dxa"/>
            <w:vAlign w:val="center"/>
          </w:tcPr>
          <w:p>
            <w:pPr>
              <w:pStyle w:val="2001"/>
            </w:pPr>
            <w:r>
              <w:t>附则VI</w:t>
            </w:r>
          </w:p>
        </w:tc>
        <w:tc>
          <w:tcPr>
            <w:tcW w:w="3357" w:type="dxa"/>
            <w:vAlign w:val="center"/>
          </w:tcPr>
          <w:p>
            <w:pPr>
              <w:pStyle w:val="2001"/>
            </w:pPr>
            <w:r>
              <w:t>防止船舶造成空气污染国际规则</w:t>
            </w:r>
          </w:p>
        </w:tc>
        <w:tc>
          <w:tcPr>
            <w:tcW w:w="2077" w:type="dxa"/>
            <w:vAlign w:val="center"/>
          </w:tcPr>
          <w:p>
            <w:pPr>
              <w:pStyle w:val="2001"/>
            </w:pPr>
            <w:r>
              <w:t>2005年5月19日</w:t>
            </w:r>
          </w:p>
        </w:tc>
        <w:tc>
          <w:tcPr>
            <w:tcW w:w="1963" w:type="dxa"/>
            <w:vAlign w:val="center"/>
          </w:tcPr>
          <w:p>
            <w:pPr>
              <w:pStyle w:val="2001"/>
            </w:pPr>
            <w:r>
              <w:t>2006年8月23日</w:t>
            </w:r>
          </w:p>
        </w:tc>
      </w:tr>
    </w:tbl>
    <w:p>
      <w:pPr>
        <w:pStyle w:val="5"/>
        <w:rPr>
          <w:color w:val="000000" w:themeColor="text1"/>
          <w:szCs w:val="32"/>
          <w14:textFill>
            <w14:solidFill>
              <w14:schemeClr w14:val="tx1"/>
            </w14:solidFill>
          </w14:textFill>
        </w:rPr>
      </w:pPr>
      <w:r>
        <w:rPr>
          <w:color w:val="000000" w:themeColor="text1"/>
          <w14:textFill>
            <w14:solidFill>
              <w14:schemeClr w14:val="tx1"/>
            </w14:solidFill>
          </w14:textFill>
        </w:rPr>
        <w:t>项目建设相关文件</w:t>
      </w:r>
    </w:p>
    <w:p>
      <w:pPr>
        <w:pStyle w:val="283"/>
        <w:numPr>
          <w:ilvl w:val="0"/>
          <w:numId w:val="46"/>
        </w:numPr>
        <w:ind w:firstLineChars="0"/>
        <w:rPr>
          <w:color w:val="000000" w:themeColor="text1"/>
          <w14:textFill>
            <w14:solidFill>
              <w14:schemeClr w14:val="tx1"/>
            </w14:solidFill>
          </w14:textFill>
        </w:rPr>
      </w:pPr>
      <w:r>
        <w:rPr>
          <w:color w:val="000000" w:themeColor="text1"/>
          <w14:textFill>
            <w14:solidFill>
              <w14:schemeClr w14:val="tx1"/>
            </w14:solidFill>
          </w14:textFill>
        </w:rPr>
        <w:t>项目委托书（附件1）；</w:t>
      </w:r>
    </w:p>
    <w:p>
      <w:pPr>
        <w:pStyle w:val="283"/>
        <w:numPr>
          <w:ilvl w:val="0"/>
          <w:numId w:val="46"/>
        </w:numPr>
        <w:ind w:firstLineChars="0"/>
        <w:rPr>
          <w:color w:val="000000" w:themeColor="text1"/>
          <w14:textFill>
            <w14:solidFill>
              <w14:schemeClr w14:val="tx1"/>
            </w14:solidFill>
          </w14:textFill>
        </w:rPr>
      </w:pPr>
      <w:r>
        <w:rPr>
          <w:rFonts w:hint="eastAsia"/>
          <w:color w:val="000000" w:themeColor="text1"/>
          <w14:textFill>
            <w14:solidFill>
              <w14:schemeClr w14:val="tx1"/>
            </w14:solidFill>
          </w14:textFill>
        </w:rPr>
        <w:t>《广西壮族自治区生态环境厅关于钦州港大榄坪港区大榄坪南作业区9号10号泊位工程环境影响报告书的批复》</w:t>
      </w:r>
      <w:r>
        <w:rPr>
          <w:color w:val="000000" w:themeColor="text1"/>
          <w14:textFill>
            <w14:solidFill>
              <w14:schemeClr w14:val="tx1"/>
            </w14:solidFill>
          </w14:textFill>
        </w:rPr>
        <w:t>（附件</w:t>
      </w:r>
      <w:r>
        <w:rPr>
          <w:rFonts w:hint="eastAsia"/>
          <w:color w:val="000000" w:themeColor="text1"/>
          <w14:textFill>
            <w14:solidFill>
              <w14:schemeClr w14:val="tx1"/>
            </w14:solidFill>
          </w14:textFill>
        </w:rPr>
        <w:t>10</w:t>
      </w:r>
      <w:r>
        <w:rPr>
          <w:color w:val="000000" w:themeColor="text1"/>
          <w14:textFill>
            <w14:solidFill>
              <w14:schemeClr w14:val="tx1"/>
            </w14:solidFill>
          </w14:textFill>
        </w:rPr>
        <w:t>）；</w:t>
      </w:r>
    </w:p>
    <w:p>
      <w:pPr>
        <w:pStyle w:val="283"/>
        <w:numPr>
          <w:ilvl w:val="0"/>
          <w:numId w:val="46"/>
        </w:numPr>
        <w:ind w:firstLineChars="0"/>
        <w:rPr>
          <w:color w:val="000000" w:themeColor="text1"/>
          <w14:textFill>
            <w14:solidFill>
              <w14:schemeClr w14:val="tx1"/>
            </w14:solidFill>
          </w14:textFill>
        </w:rPr>
      </w:pPr>
      <w:r>
        <w:rPr>
          <w:color w:val="000000" w:themeColor="text1"/>
          <w14:textFill>
            <w14:solidFill>
              <w14:schemeClr w14:val="tx1"/>
            </w14:solidFill>
          </w14:textFill>
        </w:rPr>
        <w:t>《</w:t>
      </w:r>
      <w:r>
        <w:rPr>
          <w:rFonts w:hint="eastAsia"/>
          <w:color w:val="000000" w:themeColor="text1"/>
          <w14:textFill>
            <w14:solidFill>
              <w14:schemeClr w14:val="tx1"/>
            </w14:solidFill>
          </w14:textFill>
        </w:rPr>
        <w:t>钦州港大榄坪港区大榄坪南作业区9号10号泊位工程</w:t>
      </w:r>
      <w:r>
        <w:rPr>
          <w:color w:val="000000" w:themeColor="text1"/>
          <w14:textFill>
            <w14:solidFill>
              <w14:schemeClr w14:val="tx1"/>
            </w14:solidFill>
          </w14:textFill>
        </w:rPr>
        <w:t>环境影响报告书》</w:t>
      </w:r>
      <w:r>
        <w:rPr>
          <w:rFonts w:hint="eastAsia"/>
          <w:color w:val="000000" w:themeColor="text1"/>
          <w14:textFill>
            <w14:solidFill>
              <w14:schemeClr w14:val="tx1"/>
            </w14:solidFill>
          </w14:textFill>
        </w:rPr>
        <w:t>（报批稿，2019年3月）；</w:t>
      </w:r>
    </w:p>
    <w:p>
      <w:pPr>
        <w:pStyle w:val="283"/>
        <w:numPr>
          <w:ilvl w:val="0"/>
          <w:numId w:val="46"/>
        </w:numPr>
        <w:ind w:firstLineChars="0"/>
        <w:rPr>
          <w:color w:val="000000" w:themeColor="text1"/>
          <w14:textFill>
            <w14:solidFill>
              <w14:schemeClr w14:val="tx1"/>
            </w14:solidFill>
          </w14:textFill>
        </w:rPr>
      </w:pPr>
      <w:r>
        <w:rPr>
          <w:color w:val="000000" w:themeColor="text1"/>
          <w14:textFill>
            <w14:solidFill>
              <w14:schemeClr w14:val="tx1"/>
            </w14:solidFill>
          </w14:textFill>
        </w:rPr>
        <w:t>《</w:t>
      </w:r>
      <w:r>
        <w:rPr>
          <w:rFonts w:hint="eastAsia"/>
          <w:color w:val="000000" w:themeColor="text1"/>
          <w14:textFill>
            <w14:solidFill>
              <w14:schemeClr w14:val="tx1"/>
            </w14:solidFill>
          </w14:textFill>
        </w:rPr>
        <w:t>钦州港</w:t>
      </w:r>
      <w:r>
        <w:rPr>
          <w:color w:val="000000" w:themeColor="text1"/>
          <w14:textFill>
            <w14:solidFill>
              <w14:schemeClr w14:val="tx1"/>
            </w14:solidFill>
          </w14:textFill>
        </w:rPr>
        <w:t>大榄坪港区大榄坪南作业区</w:t>
      </w:r>
      <w:r>
        <w:rPr>
          <w:rFonts w:hint="eastAsia"/>
          <w:color w:val="000000" w:themeColor="text1"/>
          <w14:textFill>
            <w14:solidFill>
              <w14:schemeClr w14:val="tx1"/>
            </w14:solidFill>
          </w14:textFill>
        </w:rPr>
        <w:t>9号10号泊位扩建工程可行性研究报告</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送审稿，</w:t>
      </w:r>
      <w:r>
        <w:rPr>
          <w:color w:val="000000" w:themeColor="text1"/>
          <w14:textFill>
            <w14:solidFill>
              <w14:schemeClr w14:val="tx1"/>
            </w14:solidFill>
          </w14:textFill>
        </w:rPr>
        <w:t>202</w:t>
      </w:r>
      <w:r>
        <w:rPr>
          <w:rFonts w:hint="eastAsia"/>
          <w:color w:val="000000" w:themeColor="text1"/>
          <w14:textFill>
            <w14:solidFill>
              <w14:schemeClr w14:val="tx1"/>
            </w14:solidFill>
          </w14:textFill>
        </w:rPr>
        <w:t>4</w:t>
      </w:r>
      <w:r>
        <w:rPr>
          <w:color w:val="000000" w:themeColor="text1"/>
          <w14:textFill>
            <w14:solidFill>
              <w14:schemeClr w14:val="tx1"/>
            </w14:solidFill>
          </w14:textFill>
        </w:rPr>
        <w:t>年</w:t>
      </w:r>
      <w:r>
        <w:rPr>
          <w:rFonts w:hint="eastAsia"/>
          <w:color w:val="000000" w:themeColor="text1"/>
          <w14:textFill>
            <w14:solidFill>
              <w14:schemeClr w14:val="tx1"/>
            </w14:solidFill>
          </w14:textFill>
        </w:rPr>
        <w:t>1</w:t>
      </w:r>
      <w:r>
        <w:rPr>
          <w:color w:val="000000" w:themeColor="text1"/>
          <w14:textFill>
            <w14:solidFill>
              <w14:schemeClr w14:val="tx1"/>
            </w14:solidFill>
          </w14:textFill>
        </w:rPr>
        <w:t>月）；</w:t>
      </w:r>
    </w:p>
    <w:p>
      <w:pPr>
        <w:pStyle w:val="283"/>
        <w:numPr>
          <w:ilvl w:val="0"/>
          <w:numId w:val="46"/>
        </w:numPr>
        <w:ind w:firstLineChars="0"/>
        <w:rPr>
          <w:color w:val="000000" w:themeColor="text1"/>
          <w14:textFill>
            <w14:solidFill>
              <w14:schemeClr w14:val="tx1"/>
            </w14:solidFill>
          </w14:textFill>
        </w:rPr>
      </w:pPr>
      <w:r>
        <w:rPr>
          <w:rFonts w:hint="eastAsia"/>
          <w:color w:val="000000" w:themeColor="text1"/>
          <w14:textFill>
            <w14:solidFill>
              <w14:schemeClr w14:val="tx1"/>
            </w14:solidFill>
          </w14:textFill>
        </w:rPr>
        <w:t>《关于印发广西建设西部陆海新通道三年提升行动计划（2021—2023年）的通知》（桂政办发〔2021〕103号，附件3）；</w:t>
      </w:r>
    </w:p>
    <w:p>
      <w:pPr>
        <w:pStyle w:val="283"/>
        <w:numPr>
          <w:ilvl w:val="0"/>
          <w:numId w:val="46"/>
        </w:numPr>
        <w:ind w:firstLineChars="0"/>
        <w:rPr>
          <w:color w:val="000000" w:themeColor="text1"/>
          <w:szCs w:val="23"/>
          <w14:textFill>
            <w14:solidFill>
              <w14:schemeClr w14:val="tx1"/>
            </w14:solidFill>
          </w14:textFill>
        </w:rPr>
      </w:pPr>
      <w:r>
        <w:rPr>
          <w:color w:val="000000" w:themeColor="text1"/>
          <w14:textFill>
            <w14:solidFill>
              <w14:schemeClr w14:val="tx1"/>
            </w14:solidFill>
          </w14:textFill>
        </w:rPr>
        <w:t>《</w:t>
      </w:r>
      <w:r>
        <w:rPr>
          <w:rFonts w:hint="eastAsia"/>
          <w:color w:val="000000" w:themeColor="text1"/>
          <w14:textFill>
            <w14:solidFill>
              <w14:schemeClr w14:val="tx1"/>
            </w14:solidFill>
          </w14:textFill>
        </w:rPr>
        <w:t>钦州保税</w:t>
      </w:r>
      <w:r>
        <w:rPr>
          <w:color w:val="000000" w:themeColor="text1"/>
          <w14:textFill>
            <w14:solidFill>
              <w14:schemeClr w14:val="tx1"/>
            </w14:solidFill>
          </w14:textFill>
        </w:rPr>
        <w:t>港区昊鼎仓储物流中心项目围填海历史遗留问题生态修复方案》；</w:t>
      </w:r>
    </w:p>
    <w:p>
      <w:pPr>
        <w:pStyle w:val="283"/>
        <w:numPr>
          <w:ilvl w:val="0"/>
          <w:numId w:val="46"/>
        </w:numPr>
        <w:ind w:firstLineChars="0"/>
        <w:rPr>
          <w:color w:val="000000" w:themeColor="text1"/>
          <w:szCs w:val="23"/>
          <w14:textFill>
            <w14:solidFill>
              <w14:schemeClr w14:val="tx1"/>
            </w14:solidFill>
          </w14:textFill>
        </w:rPr>
      </w:pPr>
      <w:r>
        <w:rPr>
          <w:rFonts w:hint="eastAsia"/>
          <w:color w:val="000000" w:themeColor="text1"/>
          <w14:textFill>
            <w14:solidFill>
              <w14:schemeClr w14:val="tx1"/>
            </w14:solidFill>
          </w14:textFill>
        </w:rPr>
        <w:t>《广西壮族自治区海洋局关于钦州保税港区昊鼎仓储物流中心项目继续填海有关事项的批复》</w:t>
      </w:r>
      <w:r>
        <w:rPr>
          <w:color w:val="000000" w:themeColor="text1"/>
          <w14:textFill>
            <w14:solidFill>
              <w14:schemeClr w14:val="tx1"/>
            </w14:solidFill>
          </w14:textFill>
        </w:rPr>
        <w:t>（桂</w:t>
      </w:r>
      <w:r>
        <w:rPr>
          <w:rFonts w:hint="eastAsia"/>
          <w:color w:val="000000" w:themeColor="text1"/>
          <w14:textFill>
            <w14:solidFill>
              <w14:schemeClr w14:val="tx1"/>
            </w14:solidFill>
          </w14:textFill>
        </w:rPr>
        <w:t>海</w:t>
      </w:r>
      <w:r>
        <w:rPr>
          <w:color w:val="000000" w:themeColor="text1"/>
          <w14:textFill>
            <w14:solidFill>
              <w14:schemeClr w14:val="tx1"/>
            </w14:solidFill>
          </w14:textFill>
        </w:rPr>
        <w:t>函〔20</w:t>
      </w:r>
      <w:r>
        <w:rPr>
          <w:rFonts w:hint="eastAsia"/>
          <w:color w:val="000000" w:themeColor="text1"/>
          <w14:textFill>
            <w14:solidFill>
              <w14:schemeClr w14:val="tx1"/>
            </w14:solidFill>
          </w14:textFill>
        </w:rPr>
        <w:t>23</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790</w:t>
      </w:r>
      <w:r>
        <w:rPr>
          <w:color w:val="000000" w:themeColor="text1"/>
          <w14:textFill>
            <w14:solidFill>
              <w14:schemeClr w14:val="tx1"/>
            </w14:solidFill>
          </w14:textFill>
        </w:rPr>
        <w:t>号，附件</w:t>
      </w:r>
      <w:r>
        <w:rPr>
          <w:rFonts w:hint="eastAsia"/>
          <w:color w:val="000000" w:themeColor="text1"/>
          <w14:textFill>
            <w14:solidFill>
              <w14:schemeClr w14:val="tx1"/>
            </w14:solidFill>
          </w14:textFill>
        </w:rPr>
        <w:t>6</w:t>
      </w:r>
      <w:r>
        <w:rPr>
          <w:color w:val="000000" w:themeColor="text1"/>
          <w14:textFill>
            <w14:solidFill>
              <w14:schemeClr w14:val="tx1"/>
            </w14:solidFill>
          </w14:textFill>
        </w:rPr>
        <w:t>）；</w:t>
      </w:r>
    </w:p>
    <w:p>
      <w:pPr>
        <w:pStyle w:val="283"/>
        <w:numPr>
          <w:ilvl w:val="0"/>
          <w:numId w:val="46"/>
        </w:numPr>
        <w:ind w:firstLineChars="0"/>
        <w:rPr>
          <w:color w:val="000000" w:themeColor="text1"/>
          <w:szCs w:val="23"/>
          <w14:textFill>
            <w14:solidFill>
              <w14:schemeClr w14:val="tx1"/>
            </w14:solidFill>
          </w14:textFill>
        </w:rPr>
      </w:pPr>
      <w:r>
        <w:rPr>
          <w:color w:val="000000" w:themeColor="text1"/>
          <w14:textFill>
            <w14:solidFill>
              <w14:schemeClr w14:val="tx1"/>
            </w14:solidFill>
          </w14:textFill>
        </w:rPr>
        <w:t>《钦州港大榄坪港区大榄坪南作业区</w:t>
      </w:r>
      <w:r>
        <w:rPr>
          <w:rFonts w:hint="eastAsia"/>
          <w:color w:val="000000" w:themeColor="text1"/>
          <w14:textFill>
            <w14:solidFill>
              <w14:schemeClr w14:val="tx1"/>
            </w14:solidFill>
          </w14:textFill>
        </w:rPr>
        <w:t>9号10号泊位工程竣工环境保护验收调查报告</w:t>
      </w:r>
      <w:r>
        <w:rPr>
          <w:color w:val="000000" w:themeColor="text1"/>
          <w14:textFill>
            <w14:solidFill>
              <w14:schemeClr w14:val="tx1"/>
            </w14:solidFill>
          </w14:textFill>
        </w:rPr>
        <w:t>》（广西交科集团有限公司，</w:t>
      </w:r>
      <w:r>
        <w:rPr>
          <w:rFonts w:hint="eastAsia"/>
          <w:color w:val="000000" w:themeColor="text1"/>
          <w14:textFill>
            <w14:solidFill>
              <w14:schemeClr w14:val="tx1"/>
            </w14:solidFill>
          </w14:textFill>
        </w:rPr>
        <w:t>2023年8月</w:t>
      </w:r>
      <w:r>
        <w:rPr>
          <w:color w:val="000000" w:themeColor="text1"/>
          <w14:textFill>
            <w14:solidFill>
              <w14:schemeClr w14:val="tx1"/>
            </w14:solidFill>
          </w14:textFill>
        </w:rPr>
        <w:t>）；</w:t>
      </w:r>
    </w:p>
    <w:p>
      <w:pPr>
        <w:pStyle w:val="283"/>
        <w:numPr>
          <w:ilvl w:val="0"/>
          <w:numId w:val="46"/>
        </w:numPr>
        <w:ind w:firstLineChars="0"/>
        <w:rPr>
          <w:color w:val="000000" w:themeColor="text1"/>
          <w14:textFill>
            <w14:solidFill>
              <w14:schemeClr w14:val="tx1"/>
            </w14:solidFill>
          </w14:textFill>
        </w:rPr>
      </w:pPr>
      <w:r>
        <w:rPr>
          <w:color w:val="000000" w:themeColor="text1"/>
          <w14:textFill>
            <w14:solidFill>
              <w14:schemeClr w14:val="tx1"/>
            </w14:solidFill>
          </w14:textFill>
        </w:rPr>
        <w:t>《</w:t>
      </w:r>
      <w:r>
        <w:rPr>
          <w:rFonts w:hint="eastAsia"/>
          <w:color w:val="000000" w:themeColor="text1"/>
          <w14:textFill>
            <w14:solidFill>
              <w14:schemeClr w14:val="tx1"/>
            </w14:solidFill>
          </w14:textFill>
        </w:rPr>
        <w:t>广西钦州保税港区盛港码头有限公司突发环境事件应急预案</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（2023年版）</w:t>
      </w:r>
      <w:r>
        <w:rPr>
          <w:color w:val="000000" w:themeColor="text1"/>
          <w14:textFill>
            <w14:solidFill>
              <w14:schemeClr w14:val="tx1"/>
            </w14:solidFill>
          </w14:textFill>
        </w:rPr>
        <w:t>。</w:t>
      </w:r>
    </w:p>
    <w:p>
      <w:pPr>
        <w:pStyle w:val="4"/>
        <w:rPr>
          <w:color w:val="000000" w:themeColor="text1"/>
          <w14:textFill>
            <w14:solidFill>
              <w14:schemeClr w14:val="tx1"/>
            </w14:solidFill>
          </w14:textFill>
        </w:rPr>
      </w:pPr>
      <w:bookmarkStart w:id="28" w:name="_Toc170918589"/>
      <w:r>
        <w:rPr>
          <w:color w:val="000000" w:themeColor="text1"/>
          <w14:textFill>
            <w14:solidFill>
              <w14:schemeClr w14:val="tx1"/>
            </w14:solidFill>
          </w14:textFill>
        </w:rPr>
        <w:t>评价工作等级和评价范围</w:t>
      </w:r>
      <w:bookmarkEnd w:id="28"/>
    </w:p>
    <w:p>
      <w:pPr>
        <w:pStyle w:val="5"/>
        <w:rPr>
          <w:color w:val="000000" w:themeColor="text1"/>
          <w14:textFill>
            <w14:solidFill>
              <w14:schemeClr w14:val="tx1"/>
            </w14:solidFill>
          </w14:textFill>
        </w:rPr>
      </w:pPr>
      <w:bookmarkStart w:id="29" w:name="_Toc160854849"/>
      <w:bookmarkStart w:id="30" w:name="_Toc160857123"/>
      <w:bookmarkStart w:id="31" w:name="_Toc160854850"/>
      <w:bookmarkStart w:id="32" w:name="_Toc160857122"/>
      <w:bookmarkStart w:id="33" w:name="_Toc160855804"/>
      <w:bookmarkStart w:id="34" w:name="_Toc160855805"/>
      <w:r>
        <w:rPr>
          <w:color w:val="000000" w:themeColor="text1"/>
          <w14:textFill>
            <w14:solidFill>
              <w14:schemeClr w14:val="tx1"/>
            </w14:solidFill>
          </w14:textFill>
        </w:rPr>
        <w:t>评价工作等级</w:t>
      </w:r>
    </w:p>
    <w:p>
      <w:pPr>
        <w:pStyle w:val="283"/>
        <w:ind w:firstLine="462"/>
        <w:rPr>
          <w:color w:val="000000" w:themeColor="text1"/>
          <w:lang w:val="zh-CN"/>
          <w14:textFill>
            <w14:solidFill>
              <w14:schemeClr w14:val="tx1"/>
            </w14:solidFill>
          </w14:textFill>
        </w:rPr>
      </w:pPr>
      <w:r>
        <w:rPr>
          <w:color w:val="000000" w:themeColor="text1"/>
          <w:lang w:val="zh-CN"/>
          <w14:textFill>
            <w14:solidFill>
              <w14:schemeClr w14:val="tx1"/>
            </w14:solidFill>
          </w14:textFill>
        </w:rPr>
        <w:t>根据《环境影响评价技术导则》《海洋工程环境影响评价技术导则》和《船舶污染海洋环境风险评价技术规范（试行）》中环境影响评价等级判定依据，结合工程特点（工程性质、工程规模、污染源强等）及工程所在地环境特征（自然环境特征、环境敏感程度、环境质量现状及社会经济状况等），确定环评各环境要素的评价等级，见表1.2-</w:t>
      </w:r>
      <w:r>
        <w:rPr>
          <w:rFonts w:hint="eastAsia"/>
          <w:color w:val="000000" w:themeColor="text1"/>
          <w:lang w:val="zh-CN"/>
          <w14:textFill>
            <w14:solidFill>
              <w14:schemeClr w14:val="tx1"/>
            </w14:solidFill>
          </w14:textFill>
        </w:rPr>
        <w:t>1</w:t>
      </w:r>
      <w:r>
        <w:rPr>
          <w:color w:val="000000" w:themeColor="text1"/>
          <w:lang w:val="zh-CN"/>
          <w14:textFill>
            <w14:solidFill>
              <w14:schemeClr w14:val="tx1"/>
            </w14:solidFill>
          </w14:textFill>
        </w:rPr>
        <w:t>。</w:t>
      </w:r>
    </w:p>
    <w:p>
      <w:pPr>
        <w:pStyle w:val="384"/>
        <w:ind w:left="0" w:firstLine="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评价等级划分一览表</w:t>
      </w:r>
    </w:p>
    <w:tbl>
      <w:tblPr>
        <w:tblStyle w:val="88"/>
        <w:tblW w:w="8528" w:type="dxa"/>
        <w:jc w:val="center"/>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057"/>
        <w:gridCol w:w="2125"/>
        <w:gridCol w:w="2693"/>
        <w:gridCol w:w="1700"/>
        <w:gridCol w:w="953"/>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blHeader/>
          <w:jc w:val="center"/>
        </w:trPr>
        <w:tc>
          <w:tcPr>
            <w:tcW w:w="1057" w:type="dxa"/>
            <w:shd w:val="clear" w:color="auto" w:fill="auto"/>
            <w:vAlign w:val="center"/>
          </w:tcPr>
          <w:p>
            <w:pPr>
              <w:pStyle w:val="2001"/>
            </w:pPr>
            <w:r>
              <w:t>环境要素</w:t>
            </w:r>
          </w:p>
        </w:tc>
        <w:tc>
          <w:tcPr>
            <w:tcW w:w="2125" w:type="dxa"/>
            <w:shd w:val="clear" w:color="auto" w:fill="auto"/>
            <w:vAlign w:val="center"/>
          </w:tcPr>
          <w:p>
            <w:pPr>
              <w:pStyle w:val="2001"/>
            </w:pPr>
            <w:r>
              <w:t>评价导则</w:t>
            </w:r>
          </w:p>
        </w:tc>
        <w:tc>
          <w:tcPr>
            <w:tcW w:w="2693" w:type="dxa"/>
            <w:vAlign w:val="center"/>
          </w:tcPr>
          <w:p>
            <w:pPr>
              <w:pStyle w:val="2001"/>
            </w:pPr>
            <w:r>
              <w:t>判定依据</w:t>
            </w:r>
          </w:p>
        </w:tc>
        <w:tc>
          <w:tcPr>
            <w:tcW w:w="1700" w:type="dxa"/>
            <w:vAlign w:val="center"/>
          </w:tcPr>
          <w:p>
            <w:pPr>
              <w:pStyle w:val="2001"/>
            </w:pPr>
            <w:r>
              <w:t>分项判定等级</w:t>
            </w:r>
          </w:p>
        </w:tc>
        <w:tc>
          <w:tcPr>
            <w:tcW w:w="953" w:type="dxa"/>
            <w:vAlign w:val="center"/>
          </w:tcPr>
          <w:p>
            <w:pPr>
              <w:pStyle w:val="2001"/>
            </w:pPr>
            <w:r>
              <w:t>最终等级判定</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1278" w:hRule="atLeast"/>
          <w:jc w:val="center"/>
        </w:trPr>
        <w:tc>
          <w:tcPr>
            <w:tcW w:w="1057" w:type="dxa"/>
            <w:shd w:val="clear" w:color="auto" w:fill="auto"/>
            <w:vAlign w:val="center"/>
          </w:tcPr>
          <w:p>
            <w:pPr>
              <w:pStyle w:val="2001"/>
              <w:rPr>
                <w:snapToGrid w:val="0"/>
              </w:rPr>
            </w:pPr>
            <w:r>
              <w:rPr>
                <w:rFonts w:hint="eastAsia"/>
                <w:snapToGrid w:val="0"/>
              </w:rPr>
              <w:t>海洋</w:t>
            </w:r>
          </w:p>
          <w:p>
            <w:pPr>
              <w:pStyle w:val="2001"/>
              <w:rPr>
                <w:snapToGrid w:val="0"/>
              </w:rPr>
            </w:pPr>
            <w:r>
              <w:rPr>
                <w:snapToGrid w:val="0"/>
              </w:rPr>
              <w:t>环境</w:t>
            </w:r>
          </w:p>
        </w:tc>
        <w:tc>
          <w:tcPr>
            <w:tcW w:w="2125" w:type="dxa"/>
            <w:shd w:val="clear" w:color="auto" w:fill="auto"/>
            <w:vAlign w:val="center"/>
          </w:tcPr>
          <w:p>
            <w:pPr>
              <w:pStyle w:val="2001"/>
            </w:pPr>
            <w:r>
              <w:rPr>
                <w:rFonts w:hint="eastAsia"/>
              </w:rPr>
              <w:t>《海洋工程环境影响评价技术导则》（</w:t>
            </w:r>
            <w:r>
              <w:t>GB/T19485-2014</w:t>
            </w:r>
            <w:r>
              <w:rPr>
                <w:rFonts w:hint="eastAsia"/>
              </w:rPr>
              <w:t>）</w:t>
            </w:r>
          </w:p>
        </w:tc>
        <w:tc>
          <w:tcPr>
            <w:tcW w:w="2693" w:type="dxa"/>
            <w:vAlign w:val="center"/>
          </w:tcPr>
          <w:p>
            <w:pPr>
              <w:pStyle w:val="2001"/>
              <w:rPr>
                <w:u w:val="single"/>
              </w:rPr>
            </w:pPr>
            <w:r>
              <w:rPr>
                <w:rFonts w:hint="eastAsia"/>
              </w:rPr>
              <w:t>根据《海洋工程环境影响评价技术导则》（GB/T19485-2014），建设项目的环境影响评价等级取各单项环境影响评价等级中的最高等级。同一建设项目由多个工程内容组成时，应按照各个工程内容分别判定各单项的环境影响评价等级，并取所有工程内容各单项环境影响评价等级中的最高级别。</w:t>
            </w:r>
          </w:p>
        </w:tc>
        <w:tc>
          <w:tcPr>
            <w:tcW w:w="1700" w:type="dxa"/>
            <w:vAlign w:val="center"/>
          </w:tcPr>
          <w:p>
            <w:pPr>
              <w:pStyle w:val="2001"/>
            </w:pPr>
            <w:r>
              <w:t>水文动力环境：1</w:t>
            </w:r>
            <w:r>
              <w:rPr>
                <w:rFonts w:hint="eastAsia"/>
              </w:rPr>
              <w:t>级</w:t>
            </w:r>
          </w:p>
          <w:p>
            <w:pPr>
              <w:pStyle w:val="2001"/>
            </w:pPr>
            <w:r>
              <w:rPr>
                <w:rFonts w:hint="eastAsia"/>
              </w:rPr>
              <w:t>水质环境：</w:t>
            </w:r>
            <w:r>
              <w:t>1</w:t>
            </w:r>
            <w:r>
              <w:rPr>
                <w:rFonts w:hint="eastAsia"/>
              </w:rPr>
              <w:t>级</w:t>
            </w:r>
          </w:p>
          <w:p>
            <w:pPr>
              <w:pStyle w:val="2001"/>
            </w:pPr>
            <w:r>
              <w:rPr>
                <w:rFonts w:hint="eastAsia"/>
              </w:rPr>
              <w:t>沉积物环境：2级</w:t>
            </w:r>
          </w:p>
          <w:p>
            <w:pPr>
              <w:pStyle w:val="2001"/>
            </w:pPr>
            <w:r>
              <w:rPr>
                <w:rFonts w:hint="eastAsia"/>
              </w:rPr>
              <w:t>生态和生物资源环境：</w:t>
            </w:r>
            <w:r>
              <w:t>1</w:t>
            </w:r>
            <w:r>
              <w:rPr>
                <w:rFonts w:hint="eastAsia"/>
              </w:rPr>
              <w:t>级</w:t>
            </w:r>
          </w:p>
          <w:p>
            <w:pPr>
              <w:pStyle w:val="2001"/>
            </w:pPr>
            <w:r>
              <w:rPr>
                <w:rFonts w:hint="eastAsia"/>
              </w:rPr>
              <w:t>地形地貌与冲淤环境：3级</w:t>
            </w:r>
          </w:p>
        </w:tc>
        <w:tc>
          <w:tcPr>
            <w:tcW w:w="953" w:type="dxa"/>
            <w:vAlign w:val="center"/>
          </w:tcPr>
          <w:p>
            <w:pPr>
              <w:pStyle w:val="2001"/>
            </w:pPr>
            <w:r>
              <w:rPr>
                <w:rFonts w:hint="eastAsia"/>
              </w:rPr>
              <w:t>海洋环境</w:t>
            </w:r>
            <w:r>
              <w:t>评价等级1</w:t>
            </w:r>
            <w:r>
              <w:rPr>
                <w:rFonts w:hint="eastAsia"/>
              </w:rPr>
              <w:t>级</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1278" w:hRule="atLeast"/>
          <w:jc w:val="center"/>
        </w:trPr>
        <w:tc>
          <w:tcPr>
            <w:tcW w:w="1057" w:type="dxa"/>
            <w:vMerge w:val="restart"/>
            <w:shd w:val="clear" w:color="auto" w:fill="auto"/>
            <w:vAlign w:val="center"/>
          </w:tcPr>
          <w:p>
            <w:pPr>
              <w:pStyle w:val="2001"/>
              <w:rPr>
                <w:snapToGrid w:val="0"/>
              </w:rPr>
            </w:pPr>
            <w:r>
              <w:rPr>
                <w:rFonts w:hint="eastAsia"/>
                <w:snapToGrid w:val="0"/>
              </w:rPr>
              <w:t>地表水环境</w:t>
            </w:r>
          </w:p>
        </w:tc>
        <w:tc>
          <w:tcPr>
            <w:tcW w:w="2125" w:type="dxa"/>
            <w:vMerge w:val="restart"/>
            <w:shd w:val="clear" w:color="auto" w:fill="auto"/>
            <w:vAlign w:val="center"/>
          </w:tcPr>
          <w:p>
            <w:pPr>
              <w:pStyle w:val="2001"/>
            </w:pPr>
            <w:r>
              <w:t>《环境影响评价技术导则 地表水环境》（HJ2.3-2018）</w:t>
            </w:r>
          </w:p>
        </w:tc>
        <w:tc>
          <w:tcPr>
            <w:tcW w:w="2693" w:type="dxa"/>
            <w:vAlign w:val="center"/>
          </w:tcPr>
          <w:p>
            <w:pPr>
              <w:pStyle w:val="2001"/>
            </w:pPr>
            <w:r>
              <w:rPr>
                <w:rFonts w:hint="eastAsia"/>
              </w:rPr>
              <w:t>本工程不设置排污口，运营期生活污水接入市政管网，故评价等级为水污染型建设项目三级B。</w:t>
            </w:r>
          </w:p>
        </w:tc>
        <w:tc>
          <w:tcPr>
            <w:tcW w:w="1700" w:type="dxa"/>
            <w:vAlign w:val="center"/>
          </w:tcPr>
          <w:p>
            <w:pPr>
              <w:pStyle w:val="2001"/>
              <w:rPr>
                <w:rStyle w:val="146"/>
                <w:kern w:val="2"/>
                <w:lang w:val="zh-CN"/>
              </w:rPr>
            </w:pPr>
            <w:r>
              <w:t>水污染三级B</w:t>
            </w:r>
          </w:p>
        </w:tc>
        <w:tc>
          <w:tcPr>
            <w:tcW w:w="953" w:type="dxa"/>
            <w:vMerge w:val="restart"/>
            <w:vAlign w:val="center"/>
          </w:tcPr>
          <w:p>
            <w:pPr>
              <w:pStyle w:val="2001"/>
            </w:pPr>
            <w:r>
              <w:t>一级</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1278" w:hRule="atLeast"/>
          <w:jc w:val="center"/>
        </w:trPr>
        <w:tc>
          <w:tcPr>
            <w:tcW w:w="1057" w:type="dxa"/>
            <w:vMerge w:val="continue"/>
            <w:shd w:val="clear" w:color="auto" w:fill="auto"/>
            <w:vAlign w:val="center"/>
          </w:tcPr>
          <w:p>
            <w:pPr>
              <w:pStyle w:val="2001"/>
              <w:rPr>
                <w:snapToGrid w:val="0"/>
              </w:rPr>
            </w:pPr>
          </w:p>
        </w:tc>
        <w:tc>
          <w:tcPr>
            <w:tcW w:w="2125" w:type="dxa"/>
            <w:vMerge w:val="continue"/>
            <w:shd w:val="clear" w:color="auto" w:fill="auto"/>
            <w:vAlign w:val="center"/>
          </w:tcPr>
          <w:p>
            <w:pPr>
              <w:pStyle w:val="2001"/>
            </w:pPr>
          </w:p>
        </w:tc>
        <w:tc>
          <w:tcPr>
            <w:tcW w:w="2693" w:type="dxa"/>
            <w:vAlign w:val="center"/>
          </w:tcPr>
          <w:p>
            <w:pPr>
              <w:pStyle w:val="2001"/>
            </w:pPr>
            <w:r>
              <w:t>工程垂直投影面积A</w:t>
            </w:r>
            <w:r>
              <w:rPr>
                <w:vertAlign w:val="subscript"/>
              </w:rPr>
              <w:t>1</w:t>
            </w:r>
            <w:r>
              <w:rPr>
                <w:rFonts w:hint="eastAsia"/>
              </w:rPr>
              <w:t xml:space="preserve"> =</w:t>
            </w:r>
            <w:r>
              <w:rPr>
                <w:rFonts w:hint="eastAsia"/>
                <w:kern w:val="2"/>
              </w:rPr>
              <w:t>0.3325</w:t>
            </w:r>
            <w:r>
              <w:rPr>
                <w:kern w:val="2"/>
              </w:rPr>
              <w:t xml:space="preserve"> km</w:t>
            </w:r>
            <w:r>
              <w:rPr>
                <w:vertAlign w:val="superscript"/>
              </w:rPr>
              <w:t>2</w:t>
            </w:r>
            <w:r>
              <w:rPr>
                <w:rFonts w:hint="eastAsia"/>
              </w:rPr>
              <w:t>＜</w:t>
            </w:r>
            <w:r>
              <w:t>0.5km</w:t>
            </w:r>
            <w:r>
              <w:rPr>
                <w:vertAlign w:val="superscript"/>
              </w:rPr>
              <w:t>2</w:t>
            </w:r>
            <w:r>
              <w:t>；工程扰动水底面积A</w:t>
            </w:r>
            <w:r>
              <w:rPr>
                <w:vertAlign w:val="subscript"/>
              </w:rPr>
              <w:t>2</w:t>
            </w:r>
            <w:r>
              <w:rPr>
                <w:rFonts w:hint="eastAsia"/>
              </w:rPr>
              <w:t>=0.5</w:t>
            </w:r>
            <w:r>
              <w:t xml:space="preserve"> km</w:t>
            </w:r>
            <w:r>
              <w:rPr>
                <w:vertAlign w:val="superscript"/>
              </w:rPr>
              <w:t>2</w:t>
            </w:r>
            <w:r>
              <w:rPr>
                <w:rFonts w:hint="eastAsia"/>
              </w:rPr>
              <w:t>＜0.5252</w:t>
            </w:r>
            <w:r>
              <w:t>km</w:t>
            </w:r>
            <w:r>
              <w:rPr>
                <w:vertAlign w:val="superscript"/>
              </w:rPr>
              <w:t>2</w:t>
            </w:r>
            <w:r>
              <w:rPr>
                <w:rFonts w:hint="eastAsia"/>
              </w:rPr>
              <w:t>＜3km</w:t>
            </w:r>
            <w:r>
              <w:rPr>
                <w:rFonts w:hint="eastAsia"/>
                <w:vertAlign w:val="superscript"/>
              </w:rPr>
              <w:t>2</w:t>
            </w:r>
            <w:r>
              <w:t>为水文要素影响型</w:t>
            </w:r>
            <w:r>
              <w:rPr>
                <w:rFonts w:hint="eastAsia"/>
              </w:rPr>
              <w:t>二</w:t>
            </w:r>
            <w:r>
              <w:t>级</w:t>
            </w:r>
          </w:p>
        </w:tc>
        <w:tc>
          <w:tcPr>
            <w:tcW w:w="1700" w:type="dxa"/>
            <w:vAlign w:val="center"/>
          </w:tcPr>
          <w:p>
            <w:pPr>
              <w:pStyle w:val="2001"/>
            </w:pPr>
            <w:r>
              <w:t>水文要素影响型</w:t>
            </w:r>
            <w:r>
              <w:rPr>
                <w:rFonts w:hint="eastAsia"/>
              </w:rPr>
              <w:t>二</w:t>
            </w:r>
            <w:r>
              <w:t>级</w:t>
            </w:r>
          </w:p>
        </w:tc>
        <w:tc>
          <w:tcPr>
            <w:tcW w:w="953" w:type="dxa"/>
            <w:vMerge w:val="continue"/>
            <w:vAlign w:val="center"/>
          </w:tcPr>
          <w:p>
            <w:pPr>
              <w:pStyle w:val="2001"/>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057" w:type="dxa"/>
            <w:shd w:val="clear" w:color="auto" w:fill="auto"/>
            <w:vAlign w:val="center"/>
          </w:tcPr>
          <w:p>
            <w:pPr>
              <w:pStyle w:val="2001"/>
              <w:rPr>
                <w:snapToGrid w:val="0"/>
              </w:rPr>
            </w:pPr>
            <w:r>
              <w:rPr>
                <w:snapToGrid w:val="0"/>
              </w:rPr>
              <w:t>地下水</w:t>
            </w:r>
          </w:p>
          <w:p>
            <w:pPr>
              <w:pStyle w:val="2001"/>
              <w:rPr>
                <w:snapToGrid w:val="0"/>
              </w:rPr>
            </w:pPr>
            <w:r>
              <w:rPr>
                <w:snapToGrid w:val="0"/>
              </w:rPr>
              <w:t>环境</w:t>
            </w:r>
          </w:p>
        </w:tc>
        <w:tc>
          <w:tcPr>
            <w:tcW w:w="2125" w:type="dxa"/>
            <w:shd w:val="clear" w:color="auto" w:fill="auto"/>
            <w:vAlign w:val="center"/>
          </w:tcPr>
          <w:p>
            <w:pPr>
              <w:pStyle w:val="2001"/>
            </w:pPr>
            <w:r>
              <w:t>《环境影响评价技术导则 地下水环境》</w:t>
            </w:r>
          </w:p>
          <w:p>
            <w:pPr>
              <w:pStyle w:val="2001"/>
            </w:pPr>
            <w:r>
              <w:t>（HJ610-2016）</w:t>
            </w:r>
          </w:p>
        </w:tc>
        <w:tc>
          <w:tcPr>
            <w:tcW w:w="2693" w:type="dxa"/>
            <w:vAlign w:val="center"/>
          </w:tcPr>
          <w:p>
            <w:pPr>
              <w:pStyle w:val="2001"/>
            </w:pPr>
            <w:r>
              <w:t>本项目属于</w:t>
            </w:r>
            <w:r>
              <w:rPr>
                <w:rFonts w:ascii="宋体" w:hAnsi="宋体"/>
              </w:rPr>
              <w:t>Ⅳ</w:t>
            </w:r>
            <w:r>
              <w:t>类项目，不开展地下水环境影响评价。</w:t>
            </w:r>
          </w:p>
        </w:tc>
        <w:tc>
          <w:tcPr>
            <w:tcW w:w="1700" w:type="dxa"/>
            <w:vAlign w:val="center"/>
          </w:tcPr>
          <w:p>
            <w:pPr>
              <w:pStyle w:val="2001"/>
            </w:pPr>
            <w:r>
              <w:t>/</w:t>
            </w:r>
          </w:p>
        </w:tc>
        <w:tc>
          <w:tcPr>
            <w:tcW w:w="953" w:type="dxa"/>
            <w:vAlign w:val="center"/>
          </w:tcPr>
          <w:p>
            <w:pPr>
              <w:pStyle w:val="2001"/>
            </w:pPr>
            <w: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790" w:hRule="atLeast"/>
          <w:jc w:val="center"/>
        </w:trPr>
        <w:tc>
          <w:tcPr>
            <w:tcW w:w="1057" w:type="dxa"/>
            <w:vMerge w:val="restart"/>
            <w:shd w:val="clear" w:color="auto" w:fill="auto"/>
            <w:vAlign w:val="center"/>
          </w:tcPr>
          <w:p>
            <w:pPr>
              <w:pStyle w:val="2001"/>
              <w:rPr>
                <w:snapToGrid w:val="0"/>
              </w:rPr>
            </w:pPr>
            <w:r>
              <w:rPr>
                <w:snapToGrid w:val="0"/>
              </w:rPr>
              <w:t>生态环境</w:t>
            </w:r>
          </w:p>
        </w:tc>
        <w:tc>
          <w:tcPr>
            <w:tcW w:w="2125" w:type="dxa"/>
            <w:vMerge w:val="restart"/>
            <w:shd w:val="clear" w:color="auto" w:fill="auto"/>
            <w:vAlign w:val="center"/>
          </w:tcPr>
          <w:p>
            <w:pPr>
              <w:pStyle w:val="2001"/>
            </w:pPr>
            <w:r>
              <w:t>《环境影响评价技术导则</w:t>
            </w:r>
            <w:r>
              <w:rPr>
                <w:rFonts w:hint="eastAsia"/>
              </w:rPr>
              <w:t>－</w:t>
            </w:r>
            <w:r>
              <w:t>生态影响》（HJ19-2022）</w:t>
            </w:r>
          </w:p>
        </w:tc>
        <w:tc>
          <w:tcPr>
            <w:tcW w:w="2693" w:type="dxa"/>
            <w:vAlign w:val="center"/>
          </w:tcPr>
          <w:p>
            <w:pPr>
              <w:pStyle w:val="2001"/>
            </w:pPr>
            <w:r>
              <w:t>本工程不涉及导则6.1.2所列条件，故陆生生态评价等级为三级。</w:t>
            </w:r>
          </w:p>
        </w:tc>
        <w:tc>
          <w:tcPr>
            <w:tcW w:w="1700" w:type="dxa"/>
            <w:vAlign w:val="center"/>
          </w:tcPr>
          <w:p>
            <w:pPr>
              <w:pStyle w:val="2001"/>
            </w:pPr>
            <w:r>
              <w:t>三级</w:t>
            </w:r>
          </w:p>
        </w:tc>
        <w:tc>
          <w:tcPr>
            <w:tcW w:w="953" w:type="dxa"/>
            <w:vMerge w:val="restart"/>
            <w:vAlign w:val="center"/>
          </w:tcPr>
          <w:p>
            <w:pPr>
              <w:pStyle w:val="2001"/>
            </w:pPr>
            <w:r>
              <w:t>二级</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057" w:type="dxa"/>
            <w:vMerge w:val="continue"/>
            <w:shd w:val="clear" w:color="auto" w:fill="auto"/>
            <w:vAlign w:val="center"/>
          </w:tcPr>
          <w:p>
            <w:pPr>
              <w:pStyle w:val="2001"/>
              <w:rPr>
                <w:snapToGrid w:val="0"/>
              </w:rPr>
            </w:pPr>
          </w:p>
        </w:tc>
        <w:tc>
          <w:tcPr>
            <w:tcW w:w="2125" w:type="dxa"/>
            <w:vMerge w:val="continue"/>
            <w:shd w:val="clear" w:color="auto" w:fill="auto"/>
            <w:vAlign w:val="center"/>
          </w:tcPr>
          <w:p>
            <w:pPr>
              <w:pStyle w:val="2001"/>
            </w:pPr>
          </w:p>
        </w:tc>
        <w:tc>
          <w:tcPr>
            <w:tcW w:w="2693" w:type="dxa"/>
            <w:vAlign w:val="center"/>
          </w:tcPr>
          <w:p>
            <w:pPr>
              <w:pStyle w:val="2001"/>
            </w:pPr>
            <w:r>
              <w:rPr>
                <w:rFonts w:hint="eastAsia"/>
              </w:rPr>
              <w:t>项目涉及海洋工程，水生生态评价等级参照《海洋工程环境影响评价技术导则》（GB/T19485-2014）确定为二级。</w:t>
            </w:r>
          </w:p>
        </w:tc>
        <w:tc>
          <w:tcPr>
            <w:tcW w:w="1700" w:type="dxa"/>
            <w:vAlign w:val="center"/>
          </w:tcPr>
          <w:p>
            <w:pPr>
              <w:pStyle w:val="2001"/>
            </w:pPr>
            <w:r>
              <w:t>二级</w:t>
            </w:r>
          </w:p>
        </w:tc>
        <w:tc>
          <w:tcPr>
            <w:tcW w:w="953" w:type="dxa"/>
            <w:vMerge w:val="continue"/>
            <w:vAlign w:val="center"/>
          </w:tcPr>
          <w:p>
            <w:pPr>
              <w:pStyle w:val="2001"/>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057" w:type="dxa"/>
            <w:shd w:val="clear" w:color="auto" w:fill="auto"/>
            <w:vAlign w:val="center"/>
          </w:tcPr>
          <w:p>
            <w:pPr>
              <w:pStyle w:val="2001"/>
            </w:pPr>
            <w:r>
              <w:t>环境空气</w:t>
            </w:r>
          </w:p>
        </w:tc>
        <w:tc>
          <w:tcPr>
            <w:tcW w:w="2125" w:type="dxa"/>
            <w:shd w:val="clear" w:color="auto" w:fill="auto"/>
            <w:vAlign w:val="center"/>
          </w:tcPr>
          <w:p>
            <w:pPr>
              <w:pStyle w:val="2001"/>
            </w:pPr>
            <w:r>
              <w:t>《环境影响评价技术导则 大气环境》</w:t>
            </w:r>
          </w:p>
          <w:p>
            <w:pPr>
              <w:pStyle w:val="2001"/>
            </w:pPr>
            <w:r>
              <w:t>（HJ2.2-2018）</w:t>
            </w:r>
          </w:p>
        </w:tc>
        <w:tc>
          <w:tcPr>
            <w:tcW w:w="2693" w:type="dxa"/>
            <w:vAlign w:val="center"/>
          </w:tcPr>
          <w:p>
            <w:pPr>
              <w:pStyle w:val="2001"/>
            </w:pPr>
            <w:r>
              <w:t>经核算，本项目各污染源P</w:t>
            </w:r>
            <w:r>
              <w:rPr>
                <w:vertAlign w:val="subscript"/>
              </w:rPr>
              <w:t>max</w:t>
            </w:r>
            <w:r>
              <w:t>＜1%，故评价等级为</w:t>
            </w:r>
            <w:r>
              <w:rPr>
                <w:rFonts w:hint="eastAsia"/>
              </w:rPr>
              <w:t>三</w:t>
            </w:r>
            <w:r>
              <w:t>级。</w:t>
            </w:r>
          </w:p>
        </w:tc>
        <w:tc>
          <w:tcPr>
            <w:tcW w:w="1700" w:type="dxa"/>
            <w:vAlign w:val="center"/>
          </w:tcPr>
          <w:p>
            <w:pPr>
              <w:pStyle w:val="2001"/>
            </w:pPr>
            <w:r>
              <w:rPr>
                <w:rFonts w:hint="eastAsia"/>
              </w:rPr>
              <w:t>三</w:t>
            </w:r>
            <w:r>
              <w:t>级</w:t>
            </w:r>
          </w:p>
        </w:tc>
        <w:tc>
          <w:tcPr>
            <w:tcW w:w="953" w:type="dxa"/>
            <w:vAlign w:val="center"/>
          </w:tcPr>
          <w:p>
            <w:pPr>
              <w:pStyle w:val="2001"/>
            </w:pPr>
            <w:r>
              <w:rPr>
                <w:rFonts w:hint="eastAsia"/>
              </w:rPr>
              <w:t>三</w:t>
            </w:r>
            <w:r>
              <w:t>级</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057" w:type="dxa"/>
            <w:shd w:val="clear" w:color="auto" w:fill="auto"/>
            <w:vAlign w:val="center"/>
          </w:tcPr>
          <w:p>
            <w:pPr>
              <w:pStyle w:val="2001"/>
              <w:rPr>
                <w:snapToGrid w:val="0"/>
              </w:rPr>
            </w:pPr>
            <w:r>
              <w:rPr>
                <w:snapToGrid w:val="0"/>
              </w:rPr>
              <w:t>声环境</w:t>
            </w:r>
          </w:p>
        </w:tc>
        <w:tc>
          <w:tcPr>
            <w:tcW w:w="2125" w:type="dxa"/>
            <w:shd w:val="clear" w:color="auto" w:fill="auto"/>
            <w:vAlign w:val="center"/>
          </w:tcPr>
          <w:p>
            <w:pPr>
              <w:pStyle w:val="2001"/>
              <w:rPr>
                <w:snapToGrid w:val="0"/>
              </w:rPr>
            </w:pPr>
            <w:r>
              <w:rPr>
                <w:snapToGrid w:val="0"/>
              </w:rPr>
              <w:t>《环境影响评价技术导则  声环境》（HJ2.4-2021）</w:t>
            </w:r>
          </w:p>
        </w:tc>
        <w:tc>
          <w:tcPr>
            <w:tcW w:w="2693" w:type="dxa"/>
            <w:vAlign w:val="center"/>
          </w:tcPr>
          <w:p>
            <w:pPr>
              <w:pStyle w:val="2001"/>
            </w:pPr>
            <w:r>
              <w:t>工程位于3类声环境功能区，且项目建设后评价范围内无声环境敏感目标。</w:t>
            </w:r>
          </w:p>
        </w:tc>
        <w:tc>
          <w:tcPr>
            <w:tcW w:w="1700" w:type="dxa"/>
            <w:vAlign w:val="center"/>
          </w:tcPr>
          <w:p>
            <w:pPr>
              <w:pStyle w:val="2001"/>
            </w:pPr>
            <w:r>
              <w:t>三级</w:t>
            </w:r>
          </w:p>
        </w:tc>
        <w:tc>
          <w:tcPr>
            <w:tcW w:w="953" w:type="dxa"/>
            <w:vAlign w:val="center"/>
          </w:tcPr>
          <w:p>
            <w:pPr>
              <w:pStyle w:val="2001"/>
            </w:pPr>
            <w:r>
              <w:t>三级</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057" w:type="dxa"/>
            <w:shd w:val="clear" w:color="auto" w:fill="auto"/>
            <w:vAlign w:val="center"/>
          </w:tcPr>
          <w:p>
            <w:pPr>
              <w:pStyle w:val="2001"/>
              <w:rPr>
                <w:snapToGrid w:val="0"/>
              </w:rPr>
            </w:pPr>
            <w:r>
              <w:rPr>
                <w:snapToGrid w:val="0"/>
              </w:rPr>
              <w:t>土壤环境</w:t>
            </w:r>
          </w:p>
        </w:tc>
        <w:tc>
          <w:tcPr>
            <w:tcW w:w="2125" w:type="dxa"/>
            <w:shd w:val="clear" w:color="auto" w:fill="auto"/>
            <w:vAlign w:val="center"/>
          </w:tcPr>
          <w:p>
            <w:pPr>
              <w:pStyle w:val="2001"/>
              <w:rPr>
                <w:snapToGrid w:val="0"/>
              </w:rPr>
            </w:pPr>
            <w:r>
              <w:rPr>
                <w:snapToGrid w:val="0"/>
              </w:rPr>
              <w:t>《环境影响评价技术导则  土壤环境（试行）》（HJ964-2018）</w:t>
            </w:r>
          </w:p>
        </w:tc>
        <w:tc>
          <w:tcPr>
            <w:tcW w:w="2693" w:type="dxa"/>
            <w:vAlign w:val="center"/>
          </w:tcPr>
          <w:p>
            <w:pPr>
              <w:pStyle w:val="2001"/>
            </w:pPr>
            <w:r>
              <w:t>本工程为</w:t>
            </w:r>
            <w:r>
              <w:rPr>
                <w:rFonts w:hint="eastAsia"/>
              </w:rPr>
              <w:t>Ⅳ类</w:t>
            </w:r>
            <w:r>
              <w:t>项目，不开展土壤环境影响评价</w:t>
            </w:r>
            <w:r>
              <w:rPr>
                <w:rFonts w:hint="eastAsia"/>
              </w:rPr>
              <w:t>。</w:t>
            </w:r>
          </w:p>
        </w:tc>
        <w:tc>
          <w:tcPr>
            <w:tcW w:w="1700" w:type="dxa"/>
            <w:vAlign w:val="center"/>
          </w:tcPr>
          <w:p>
            <w:pPr>
              <w:pStyle w:val="2001"/>
            </w:pPr>
            <w:r>
              <w:t>/</w:t>
            </w:r>
          </w:p>
        </w:tc>
        <w:tc>
          <w:tcPr>
            <w:tcW w:w="953" w:type="dxa"/>
            <w:vAlign w:val="center"/>
          </w:tcPr>
          <w:p>
            <w:pPr>
              <w:pStyle w:val="2001"/>
            </w:pPr>
            <w: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1926" w:hRule="atLeast"/>
          <w:jc w:val="center"/>
        </w:trPr>
        <w:tc>
          <w:tcPr>
            <w:tcW w:w="1057" w:type="dxa"/>
            <w:shd w:val="clear" w:color="auto" w:fill="auto"/>
            <w:vAlign w:val="center"/>
          </w:tcPr>
          <w:p>
            <w:pPr>
              <w:pStyle w:val="2001"/>
              <w:rPr>
                <w:snapToGrid w:val="0"/>
              </w:rPr>
            </w:pPr>
            <w:r>
              <w:rPr>
                <w:snapToGrid w:val="0"/>
              </w:rPr>
              <w:t>环境风险</w:t>
            </w:r>
          </w:p>
        </w:tc>
        <w:tc>
          <w:tcPr>
            <w:tcW w:w="2125" w:type="dxa"/>
            <w:shd w:val="clear" w:color="auto" w:fill="auto"/>
            <w:vAlign w:val="center"/>
          </w:tcPr>
          <w:p>
            <w:pPr>
              <w:pStyle w:val="2001"/>
              <w:rPr>
                <w:snapToGrid w:val="0"/>
              </w:rPr>
            </w:pPr>
            <w:r>
              <w:rPr>
                <w:snapToGrid w:val="0"/>
              </w:rPr>
              <w:t>《建设项目环境风险评价技术导则》（HJ169-2018）</w:t>
            </w:r>
          </w:p>
        </w:tc>
        <w:tc>
          <w:tcPr>
            <w:tcW w:w="2693" w:type="dxa"/>
            <w:vAlign w:val="center"/>
          </w:tcPr>
          <w:p>
            <w:pPr>
              <w:pStyle w:val="2001"/>
            </w:pPr>
            <w:r>
              <w:t>本工程</w:t>
            </w:r>
            <w:r>
              <w:rPr>
                <w:rFonts w:hint="eastAsia"/>
              </w:rPr>
              <w:t>1≤</w:t>
            </w:r>
            <w:r>
              <w:t>Q＜</w:t>
            </w:r>
            <w:r>
              <w:rPr>
                <w:rFonts w:hint="eastAsia"/>
              </w:rPr>
              <w:t>10</w:t>
            </w:r>
            <w:r>
              <w:t>，为</w:t>
            </w:r>
            <w:r>
              <w:rPr>
                <w:rFonts w:hint="eastAsia"/>
              </w:rPr>
              <w:t>M4类项目，项目危害程度为P4轻微危害，项目大气环境敏感程度分级为E3环境低度敏感区、地表水环境敏感程度分级为E2环境中度敏感区、地下水环境敏感程度分级为E3环境低度敏感区，</w:t>
            </w:r>
            <w:r>
              <w:t>环境风险潜势Ⅱ，本项目环境风险评价工作等级为</w:t>
            </w:r>
            <w:r>
              <w:rPr>
                <w:rFonts w:hint="eastAsia"/>
              </w:rPr>
              <w:t>三级</w:t>
            </w:r>
            <w:r>
              <w:t>。</w:t>
            </w:r>
          </w:p>
        </w:tc>
        <w:tc>
          <w:tcPr>
            <w:tcW w:w="1700" w:type="dxa"/>
            <w:vAlign w:val="center"/>
          </w:tcPr>
          <w:p>
            <w:pPr>
              <w:pStyle w:val="2001"/>
            </w:pPr>
            <w:r>
              <w:rPr>
                <w:rFonts w:hint="eastAsia"/>
              </w:rPr>
              <w:t>三级</w:t>
            </w:r>
          </w:p>
        </w:tc>
        <w:tc>
          <w:tcPr>
            <w:tcW w:w="953" w:type="dxa"/>
            <w:vAlign w:val="center"/>
          </w:tcPr>
          <w:p>
            <w:pPr>
              <w:pStyle w:val="2001"/>
            </w:pPr>
            <w:r>
              <w:rPr>
                <w:rFonts w:hint="eastAsia"/>
              </w:rPr>
              <w:t>三级</w:t>
            </w:r>
          </w:p>
        </w:tc>
      </w:tr>
    </w:tbl>
    <w:p>
      <w:pPr>
        <w:pStyle w:val="6"/>
        <w:rPr>
          <w:color w:val="000000" w:themeColor="text1"/>
          <w14:textFill>
            <w14:solidFill>
              <w14:schemeClr w14:val="tx1"/>
            </w14:solidFill>
          </w14:textFill>
        </w:rPr>
      </w:pPr>
      <w:r>
        <w:rPr>
          <w:rFonts w:hint="eastAsia"/>
          <w:color w:val="000000" w:themeColor="text1"/>
          <w14:textFill>
            <w14:solidFill>
              <w14:schemeClr w14:val="tx1"/>
            </w14:solidFill>
          </w14:textFill>
        </w:rPr>
        <w:t>海洋环境</w:t>
      </w:r>
    </w:p>
    <w:p>
      <w:pPr>
        <w:pStyle w:val="283"/>
        <w:ind w:firstLine="462"/>
        <w:rPr>
          <w:color w:val="000000" w:themeColor="text1"/>
          <w14:textFill>
            <w14:solidFill>
              <w14:schemeClr w14:val="tx1"/>
            </w14:solidFill>
          </w14:textFill>
        </w:rPr>
      </w:pPr>
      <w:r>
        <w:rPr>
          <w:color w:val="000000" w:themeColor="text1"/>
          <w14:textFill>
            <w14:solidFill>
              <w14:schemeClr w14:val="tx1"/>
            </w14:solidFill>
          </w14:textFill>
        </w:rPr>
        <w:t>本次评价根据《海洋工程环境影响评价技术导则》（GB/T19485-2014），对海洋环境要素评价等级进行判定：本工程疏浚工程量</w:t>
      </w:r>
      <w:r>
        <w:rPr>
          <w:rFonts w:hint="eastAsia"/>
          <w:color w:val="000000" w:themeColor="text1"/>
          <w14:textFill>
            <w14:solidFill>
              <w14:schemeClr w14:val="tx1"/>
            </w14:solidFill>
          </w14:textFill>
        </w:rPr>
        <w:t>204.7</w:t>
      </w:r>
      <w:r>
        <w:rPr>
          <w:color w:val="000000" w:themeColor="text1"/>
          <w14:textFill>
            <w14:solidFill>
              <w14:schemeClr w14:val="tx1"/>
            </w14:solidFill>
          </w14:textFill>
        </w:rPr>
        <w:t>万m</w:t>
      </w:r>
      <w:r>
        <w:rPr>
          <w:color w:val="000000" w:themeColor="text1"/>
          <w:vertAlign w:val="superscript"/>
          <w14:textFill>
            <w14:solidFill>
              <w14:schemeClr w14:val="tx1"/>
            </w14:solidFill>
          </w14:textFill>
        </w:rPr>
        <w:t>3</w:t>
      </w:r>
      <w:r>
        <w:rPr>
          <w:color w:val="000000" w:themeColor="text1"/>
          <w14:textFill>
            <w14:solidFill>
              <w14:schemeClr w14:val="tx1"/>
            </w14:solidFill>
          </w14:textFill>
        </w:rPr>
        <w:t>，疏浚面积约</w:t>
      </w:r>
      <w:r>
        <w:rPr>
          <w:rFonts w:hint="eastAsia"/>
          <w:color w:val="000000" w:themeColor="text1"/>
          <w14:textFill>
            <w14:solidFill>
              <w14:schemeClr w14:val="tx1"/>
            </w14:solidFill>
          </w14:textFill>
        </w:rPr>
        <w:t>24.87hm</w:t>
      </w:r>
      <w:r>
        <w:rPr>
          <w:rFonts w:hint="eastAsia"/>
          <w:color w:val="000000" w:themeColor="text1"/>
          <w:vertAlign w:val="superscript"/>
          <w14:textFill>
            <w14:solidFill>
              <w14:schemeClr w14:val="tx1"/>
            </w14:solidFill>
          </w14:textFill>
        </w:rPr>
        <w:t>2</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其中炸礁工程量</w:t>
      </w:r>
      <w:r>
        <w:rPr>
          <w:rFonts w:hint="eastAsia"/>
          <w:color w:val="000000" w:themeColor="text1"/>
          <w14:textFill>
            <w14:solidFill>
              <w14:schemeClr w14:val="tx1"/>
            </w14:solidFill>
          </w14:textFill>
        </w:rPr>
        <w:t>47.6</w:t>
      </w:r>
      <w:r>
        <w:rPr>
          <w:color w:val="000000" w:themeColor="text1"/>
          <w14:textFill>
            <w14:solidFill>
              <w14:schemeClr w14:val="tx1"/>
            </w14:solidFill>
          </w14:textFill>
        </w:rPr>
        <w:t>万m</w:t>
      </w:r>
      <w:r>
        <w:rPr>
          <w:color w:val="000000" w:themeColor="text1"/>
          <w:vertAlign w:val="superscript"/>
          <w14:textFill>
            <w14:solidFill>
              <w14:schemeClr w14:val="tx1"/>
            </w14:solidFill>
          </w14:textFill>
        </w:rPr>
        <w:t>3</w:t>
      </w:r>
      <w:r>
        <w:rPr>
          <w:color w:val="000000" w:themeColor="text1"/>
          <w14:textFill>
            <w14:solidFill>
              <w14:schemeClr w14:val="tx1"/>
            </w14:solidFill>
          </w14:textFill>
        </w:rPr>
        <w:t>，炸礁面积约</w:t>
      </w:r>
      <w:r>
        <w:rPr>
          <w:rFonts w:hint="eastAsia"/>
          <w:color w:val="000000" w:themeColor="text1"/>
          <w14:textFill>
            <w14:solidFill>
              <w14:schemeClr w14:val="tx1"/>
            </w14:solidFill>
          </w14:textFill>
        </w:rPr>
        <w:t>7.86hm</w:t>
      </w:r>
      <w:r>
        <w:rPr>
          <w:rFonts w:hint="eastAsia"/>
          <w:color w:val="000000" w:themeColor="text1"/>
          <w:vertAlign w:val="superscript"/>
          <w14:textFill>
            <w14:solidFill>
              <w14:schemeClr w14:val="tx1"/>
            </w14:solidFill>
          </w14:textFill>
        </w:rPr>
        <w:t>2</w:t>
      </w:r>
      <w:r>
        <w:rPr>
          <w:rFonts w:hint="eastAsia"/>
          <w:color w:val="000000" w:themeColor="text1"/>
          <w14:textFill>
            <w14:solidFill>
              <w14:schemeClr w14:val="tx1"/>
            </w14:solidFill>
          </w14:textFill>
        </w:rPr>
        <w:t>，本次扩建工程年吞吐量增加40万标准箱，扩建后码头年吞吐总量为200万标准箱。</w:t>
      </w:r>
      <w:r>
        <w:rPr>
          <w:color w:val="000000" w:themeColor="text1"/>
          <w14:textFill>
            <w14:solidFill>
              <w14:schemeClr w14:val="tx1"/>
            </w14:solidFill>
          </w14:textFill>
        </w:rPr>
        <w:t>项目</w:t>
      </w:r>
      <w:r>
        <w:rPr>
          <w:rFonts w:hint="eastAsia"/>
          <w:color w:val="000000" w:themeColor="text1"/>
          <w14:textFill>
            <w14:solidFill>
              <w14:schemeClr w14:val="tx1"/>
            </w14:solidFill>
          </w14:textFill>
        </w:rPr>
        <w:t>位于钦州湾海湾海域，属于生态环境敏感区</w:t>
      </w:r>
      <w:r>
        <w:rPr>
          <w:color w:val="000000" w:themeColor="text1"/>
          <w14:textFill>
            <w14:solidFill>
              <w14:schemeClr w14:val="tx1"/>
            </w14:solidFill>
          </w14:textFill>
        </w:rPr>
        <w:t>；因此确定环评各环境要素的评价等级，见表1.2-</w:t>
      </w:r>
      <w:r>
        <w:rPr>
          <w:rFonts w:hint="eastAsia"/>
          <w:color w:val="000000" w:themeColor="text1"/>
          <w14:textFill>
            <w14:solidFill>
              <w14:schemeClr w14:val="tx1"/>
            </w14:solidFill>
          </w14:textFill>
        </w:rPr>
        <w:t>2</w:t>
      </w:r>
      <w:r>
        <w:rPr>
          <w:color w:val="000000" w:themeColor="text1"/>
          <w14:textFill>
            <w14:solidFill>
              <w14:schemeClr w14:val="tx1"/>
            </w14:solidFill>
          </w14:textFill>
        </w:rPr>
        <w:t>、表</w:t>
      </w:r>
      <w:r>
        <w:rPr>
          <w:rFonts w:hint="eastAsia"/>
          <w:color w:val="000000" w:themeColor="text1"/>
          <w14:textFill>
            <w14:solidFill>
              <w14:schemeClr w14:val="tx1"/>
            </w14:solidFill>
          </w14:textFill>
        </w:rPr>
        <w:t>1.2-3</w:t>
      </w:r>
      <w:r>
        <w:rPr>
          <w:color w:val="000000" w:themeColor="text1"/>
          <w14:textFill>
            <w14:solidFill>
              <w14:schemeClr w14:val="tx1"/>
            </w14:solidFill>
          </w14:textFill>
        </w:rPr>
        <w:t>。</w:t>
      </w:r>
    </w:p>
    <w:p>
      <w:pPr>
        <w:pStyle w:val="384"/>
        <w:wordWrap w:val="0"/>
        <w:ind w:left="0" w:firstLine="0"/>
        <w:jc w:val="right"/>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海洋水文动力学、水质、沉积物、生态和生物资源影响评价等级判定</w:t>
      </w:r>
      <w:r>
        <w:rPr>
          <w:rFonts w:hint="eastAsia" w:cs="Times New Roman"/>
          <w:color w:val="000000" w:themeColor="text1"/>
          <w14:textFill>
            <w14:solidFill>
              <w14:schemeClr w14:val="tx1"/>
            </w14:solidFill>
          </w14:textFill>
        </w:rPr>
        <w:t xml:space="preserve">  </w:t>
      </w:r>
    </w:p>
    <w:tbl>
      <w:tblPr>
        <w:tblStyle w:val="89"/>
        <w:tblW w:w="8342" w:type="dxa"/>
        <w:jc w:val="center"/>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0" w:type="dxa"/>
          <w:bottom w:w="0" w:type="dxa"/>
          <w:right w:w="0" w:type="dxa"/>
        </w:tblCellMar>
      </w:tblPr>
      <w:tblGrid>
        <w:gridCol w:w="844"/>
        <w:gridCol w:w="1258"/>
        <w:gridCol w:w="1254"/>
        <w:gridCol w:w="1148"/>
        <w:gridCol w:w="1106"/>
        <w:gridCol w:w="672"/>
        <w:gridCol w:w="547"/>
        <w:gridCol w:w="658"/>
        <w:gridCol w:w="855"/>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0" w:type="dxa"/>
            <w:bottom w:w="0" w:type="dxa"/>
            <w:right w:w="0" w:type="dxa"/>
          </w:tblCellMar>
        </w:tblPrEx>
        <w:trPr>
          <w:tblHeader/>
          <w:jc w:val="center"/>
        </w:trPr>
        <w:tc>
          <w:tcPr>
            <w:tcW w:w="844" w:type="dxa"/>
            <w:vMerge w:val="restart"/>
            <w:vAlign w:val="center"/>
          </w:tcPr>
          <w:p>
            <w:pPr>
              <w:pStyle w:val="2001"/>
            </w:pPr>
            <w:r>
              <w:t>海洋工程分类</w:t>
            </w:r>
          </w:p>
        </w:tc>
        <w:tc>
          <w:tcPr>
            <w:tcW w:w="1258" w:type="dxa"/>
            <w:vMerge w:val="restart"/>
            <w:vAlign w:val="center"/>
          </w:tcPr>
          <w:p>
            <w:pPr>
              <w:pStyle w:val="2001"/>
            </w:pPr>
            <w:r>
              <w:t>工程类型和工程内容</w:t>
            </w:r>
          </w:p>
        </w:tc>
        <w:tc>
          <w:tcPr>
            <w:tcW w:w="1254" w:type="dxa"/>
            <w:vMerge w:val="restart"/>
            <w:vAlign w:val="center"/>
          </w:tcPr>
          <w:p>
            <w:pPr>
              <w:pStyle w:val="2001"/>
            </w:pPr>
            <w:r>
              <w:t>工程规模</w:t>
            </w:r>
          </w:p>
        </w:tc>
        <w:tc>
          <w:tcPr>
            <w:tcW w:w="1148" w:type="dxa"/>
            <w:vMerge w:val="restart"/>
            <w:vAlign w:val="center"/>
          </w:tcPr>
          <w:p>
            <w:pPr>
              <w:pStyle w:val="2001"/>
            </w:pPr>
            <w:r>
              <w:t>本项目工程规模及建设内容</w:t>
            </w:r>
          </w:p>
        </w:tc>
        <w:tc>
          <w:tcPr>
            <w:tcW w:w="1106" w:type="dxa"/>
            <w:vMerge w:val="restart"/>
            <w:vAlign w:val="center"/>
          </w:tcPr>
          <w:p>
            <w:pPr>
              <w:pStyle w:val="2001"/>
            </w:pPr>
            <w:r>
              <w:t>工程所在海域和生态环境类型</w:t>
            </w:r>
          </w:p>
        </w:tc>
        <w:tc>
          <w:tcPr>
            <w:tcW w:w="2732" w:type="dxa"/>
            <w:gridSpan w:val="4"/>
            <w:vAlign w:val="center"/>
          </w:tcPr>
          <w:p>
            <w:pPr>
              <w:pStyle w:val="2001"/>
            </w:pPr>
            <w:r>
              <w:t>单项海洋环境影响评价等级</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0" w:type="dxa"/>
            <w:bottom w:w="0" w:type="dxa"/>
            <w:right w:w="0" w:type="dxa"/>
          </w:tblCellMar>
        </w:tblPrEx>
        <w:trPr>
          <w:tblHeader/>
          <w:jc w:val="center"/>
        </w:trPr>
        <w:tc>
          <w:tcPr>
            <w:tcW w:w="844" w:type="dxa"/>
            <w:vMerge w:val="continue"/>
            <w:vAlign w:val="center"/>
          </w:tcPr>
          <w:p>
            <w:pPr>
              <w:pStyle w:val="2001"/>
            </w:pPr>
          </w:p>
        </w:tc>
        <w:tc>
          <w:tcPr>
            <w:tcW w:w="1258" w:type="dxa"/>
            <w:vMerge w:val="continue"/>
            <w:vAlign w:val="center"/>
          </w:tcPr>
          <w:p>
            <w:pPr>
              <w:pStyle w:val="2001"/>
            </w:pPr>
          </w:p>
        </w:tc>
        <w:tc>
          <w:tcPr>
            <w:tcW w:w="1254" w:type="dxa"/>
            <w:vMerge w:val="continue"/>
          </w:tcPr>
          <w:p>
            <w:pPr>
              <w:pStyle w:val="2001"/>
            </w:pPr>
          </w:p>
        </w:tc>
        <w:tc>
          <w:tcPr>
            <w:tcW w:w="1148" w:type="dxa"/>
            <w:vMerge w:val="continue"/>
            <w:vAlign w:val="center"/>
          </w:tcPr>
          <w:p>
            <w:pPr>
              <w:pStyle w:val="2001"/>
            </w:pPr>
          </w:p>
        </w:tc>
        <w:tc>
          <w:tcPr>
            <w:tcW w:w="1106" w:type="dxa"/>
            <w:vMerge w:val="continue"/>
            <w:vAlign w:val="center"/>
          </w:tcPr>
          <w:p>
            <w:pPr>
              <w:pStyle w:val="2001"/>
            </w:pPr>
          </w:p>
        </w:tc>
        <w:tc>
          <w:tcPr>
            <w:tcW w:w="672" w:type="dxa"/>
            <w:vAlign w:val="center"/>
          </w:tcPr>
          <w:p>
            <w:pPr>
              <w:pStyle w:val="2001"/>
            </w:pPr>
            <w:r>
              <w:t>水文动力环境</w:t>
            </w:r>
          </w:p>
        </w:tc>
        <w:tc>
          <w:tcPr>
            <w:tcW w:w="547" w:type="dxa"/>
            <w:vAlign w:val="center"/>
          </w:tcPr>
          <w:p>
            <w:pPr>
              <w:pStyle w:val="2001"/>
            </w:pPr>
            <w:r>
              <w:t>水质环境</w:t>
            </w:r>
          </w:p>
        </w:tc>
        <w:tc>
          <w:tcPr>
            <w:tcW w:w="658" w:type="dxa"/>
            <w:vAlign w:val="center"/>
          </w:tcPr>
          <w:p>
            <w:pPr>
              <w:pStyle w:val="2001"/>
            </w:pPr>
            <w:r>
              <w:t>沉积物</w:t>
            </w:r>
          </w:p>
          <w:p>
            <w:pPr>
              <w:pStyle w:val="2001"/>
            </w:pPr>
            <w:r>
              <w:t>环境</w:t>
            </w:r>
          </w:p>
        </w:tc>
        <w:tc>
          <w:tcPr>
            <w:tcW w:w="855" w:type="dxa"/>
            <w:vAlign w:val="center"/>
          </w:tcPr>
          <w:p>
            <w:pPr>
              <w:pStyle w:val="2001"/>
            </w:pPr>
            <w:r>
              <w:t>生态和生物资源环境</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0" w:type="dxa"/>
            <w:bottom w:w="0" w:type="dxa"/>
            <w:right w:w="0" w:type="dxa"/>
          </w:tblCellMar>
        </w:tblPrEx>
        <w:trPr>
          <w:jc w:val="center"/>
        </w:trPr>
        <w:tc>
          <w:tcPr>
            <w:tcW w:w="844" w:type="dxa"/>
            <w:vMerge w:val="restart"/>
            <w:vAlign w:val="center"/>
          </w:tcPr>
          <w:p>
            <w:pPr>
              <w:pStyle w:val="2001"/>
            </w:pPr>
            <w:r>
              <w:t>其他海洋工程</w:t>
            </w:r>
          </w:p>
        </w:tc>
        <w:tc>
          <w:tcPr>
            <w:tcW w:w="1258" w:type="dxa"/>
            <w:vAlign w:val="center"/>
          </w:tcPr>
          <w:p>
            <w:pPr>
              <w:pStyle w:val="2001"/>
            </w:pPr>
            <w:r>
              <w:t>疏浚、冲（吹）填等工程</w:t>
            </w:r>
          </w:p>
        </w:tc>
        <w:tc>
          <w:tcPr>
            <w:tcW w:w="1254" w:type="dxa"/>
          </w:tcPr>
          <w:p>
            <w:pPr>
              <w:pStyle w:val="2001"/>
            </w:pPr>
            <w:r>
              <w:t>开挖、疏浚、冲（吹）填量倾倒量300×10</w:t>
            </w:r>
            <w:r>
              <w:rPr>
                <w:vertAlign w:val="superscript"/>
              </w:rPr>
              <w:t>4</w:t>
            </w:r>
            <w:r>
              <w:t>～50×10</w:t>
            </w:r>
            <w:r>
              <w:rPr>
                <w:vertAlign w:val="superscript"/>
              </w:rPr>
              <w:t>4</w:t>
            </w:r>
            <w:r>
              <w:t>m</w:t>
            </w:r>
            <w:r>
              <w:rPr>
                <w:vertAlign w:val="superscript"/>
              </w:rPr>
              <w:t>3</w:t>
            </w:r>
          </w:p>
        </w:tc>
        <w:tc>
          <w:tcPr>
            <w:tcW w:w="1148" w:type="dxa"/>
            <w:vAlign w:val="center"/>
          </w:tcPr>
          <w:p>
            <w:pPr>
              <w:pStyle w:val="2001"/>
            </w:pPr>
            <w:r>
              <w:t>疏浚工程量</w:t>
            </w:r>
            <w:r>
              <w:rPr>
                <w:rFonts w:hint="eastAsia"/>
              </w:rPr>
              <w:t>204.7×10</w:t>
            </w:r>
            <w:r>
              <w:rPr>
                <w:rFonts w:hint="eastAsia"/>
                <w:vertAlign w:val="superscript"/>
              </w:rPr>
              <w:t>4</w:t>
            </w:r>
            <w:r>
              <w:t>m</w:t>
            </w:r>
            <w:r>
              <w:rPr>
                <w:vertAlign w:val="superscript"/>
              </w:rPr>
              <w:t>3</w:t>
            </w:r>
          </w:p>
        </w:tc>
        <w:tc>
          <w:tcPr>
            <w:tcW w:w="1106" w:type="dxa"/>
            <w:vAlign w:val="center"/>
          </w:tcPr>
          <w:p>
            <w:pPr>
              <w:pStyle w:val="2001"/>
            </w:pPr>
            <w:r>
              <w:rPr>
                <w:rFonts w:hint="eastAsia"/>
              </w:rPr>
              <w:t>生态环境敏感区</w:t>
            </w:r>
          </w:p>
        </w:tc>
        <w:tc>
          <w:tcPr>
            <w:tcW w:w="672" w:type="dxa"/>
            <w:vAlign w:val="center"/>
          </w:tcPr>
          <w:p>
            <w:pPr>
              <w:pStyle w:val="2001"/>
            </w:pPr>
            <w:r>
              <w:rPr>
                <w:rFonts w:hint="eastAsia"/>
              </w:rPr>
              <w:t>2</w:t>
            </w:r>
          </w:p>
        </w:tc>
        <w:tc>
          <w:tcPr>
            <w:tcW w:w="547" w:type="dxa"/>
            <w:vAlign w:val="center"/>
          </w:tcPr>
          <w:p>
            <w:pPr>
              <w:pStyle w:val="2001"/>
            </w:pPr>
            <w:r>
              <w:rPr>
                <w:rFonts w:hint="eastAsia"/>
              </w:rPr>
              <w:t>1</w:t>
            </w:r>
          </w:p>
        </w:tc>
        <w:tc>
          <w:tcPr>
            <w:tcW w:w="658" w:type="dxa"/>
            <w:vAlign w:val="center"/>
          </w:tcPr>
          <w:p>
            <w:pPr>
              <w:pStyle w:val="2001"/>
            </w:pPr>
            <w:r>
              <w:rPr>
                <w:rFonts w:hint="eastAsia"/>
              </w:rPr>
              <w:t>2</w:t>
            </w:r>
          </w:p>
        </w:tc>
        <w:tc>
          <w:tcPr>
            <w:tcW w:w="855" w:type="dxa"/>
            <w:vAlign w:val="center"/>
          </w:tcPr>
          <w:p>
            <w:pPr>
              <w:pStyle w:val="2001"/>
            </w:pPr>
            <w:r>
              <w:rPr>
                <w:rFonts w:hint="eastAsia"/>
              </w:rPr>
              <w:t>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0" w:type="dxa"/>
            <w:bottom w:w="0" w:type="dxa"/>
            <w:right w:w="0" w:type="dxa"/>
          </w:tblCellMar>
        </w:tblPrEx>
        <w:trPr>
          <w:jc w:val="center"/>
        </w:trPr>
        <w:tc>
          <w:tcPr>
            <w:tcW w:w="844" w:type="dxa"/>
            <w:vMerge w:val="continue"/>
            <w:vAlign w:val="center"/>
          </w:tcPr>
          <w:p>
            <w:pPr>
              <w:pStyle w:val="2001"/>
            </w:pPr>
          </w:p>
        </w:tc>
        <w:tc>
          <w:tcPr>
            <w:tcW w:w="1258" w:type="dxa"/>
            <w:vAlign w:val="center"/>
          </w:tcPr>
          <w:p>
            <w:pPr>
              <w:pStyle w:val="2001"/>
            </w:pPr>
            <w:r>
              <w:t>水下炸礁（岩）等工程</w:t>
            </w:r>
          </w:p>
        </w:tc>
        <w:tc>
          <w:tcPr>
            <w:tcW w:w="1254" w:type="dxa"/>
          </w:tcPr>
          <w:p>
            <w:pPr>
              <w:pStyle w:val="2001"/>
            </w:pPr>
            <w:r>
              <w:t>爆破挤淤、炸礁（岩）量大于6×10</w:t>
            </w:r>
            <w:r>
              <w:rPr>
                <w:vertAlign w:val="superscript"/>
              </w:rPr>
              <w:t>4</w:t>
            </w:r>
            <w:r>
              <w:t>m</w:t>
            </w:r>
            <w:r>
              <w:rPr>
                <w:vertAlign w:val="superscript"/>
              </w:rPr>
              <w:t>3</w:t>
            </w:r>
          </w:p>
        </w:tc>
        <w:tc>
          <w:tcPr>
            <w:tcW w:w="1148" w:type="dxa"/>
            <w:vAlign w:val="center"/>
          </w:tcPr>
          <w:p>
            <w:pPr>
              <w:pStyle w:val="2001"/>
            </w:pPr>
            <w:r>
              <w:t>炸礁工程量</w:t>
            </w:r>
            <w:r>
              <w:rPr>
                <w:rFonts w:hint="eastAsia"/>
              </w:rPr>
              <w:t>47.6</w:t>
            </w:r>
            <w:r>
              <w:t>×10</w:t>
            </w:r>
            <w:r>
              <w:rPr>
                <w:vertAlign w:val="superscript"/>
              </w:rPr>
              <w:t>4</w:t>
            </w:r>
            <w:r>
              <w:t xml:space="preserve"> m</w:t>
            </w:r>
            <w:r>
              <w:rPr>
                <w:vertAlign w:val="superscript"/>
              </w:rPr>
              <w:t>3</w:t>
            </w:r>
          </w:p>
        </w:tc>
        <w:tc>
          <w:tcPr>
            <w:tcW w:w="1106" w:type="dxa"/>
            <w:vAlign w:val="center"/>
          </w:tcPr>
          <w:p>
            <w:pPr>
              <w:pStyle w:val="2001"/>
            </w:pPr>
            <w:r>
              <w:rPr>
                <w:rFonts w:hint="eastAsia"/>
              </w:rPr>
              <w:t>生态环境敏感区</w:t>
            </w:r>
          </w:p>
        </w:tc>
        <w:tc>
          <w:tcPr>
            <w:tcW w:w="672" w:type="dxa"/>
            <w:vAlign w:val="center"/>
          </w:tcPr>
          <w:p>
            <w:pPr>
              <w:pStyle w:val="2001"/>
            </w:pPr>
            <w:r>
              <w:rPr>
                <w:rFonts w:hint="eastAsia"/>
              </w:rPr>
              <w:t>1</w:t>
            </w:r>
          </w:p>
        </w:tc>
        <w:tc>
          <w:tcPr>
            <w:tcW w:w="547" w:type="dxa"/>
            <w:vAlign w:val="center"/>
          </w:tcPr>
          <w:p>
            <w:pPr>
              <w:pStyle w:val="2001"/>
            </w:pPr>
            <w:r>
              <w:rPr>
                <w:rFonts w:hint="eastAsia"/>
              </w:rPr>
              <w:t>1</w:t>
            </w:r>
          </w:p>
        </w:tc>
        <w:tc>
          <w:tcPr>
            <w:tcW w:w="658" w:type="dxa"/>
            <w:vAlign w:val="center"/>
          </w:tcPr>
          <w:p>
            <w:pPr>
              <w:pStyle w:val="2001"/>
            </w:pPr>
            <w:r>
              <w:t>2</w:t>
            </w:r>
          </w:p>
        </w:tc>
        <w:tc>
          <w:tcPr>
            <w:tcW w:w="855" w:type="dxa"/>
            <w:vAlign w:val="center"/>
          </w:tcPr>
          <w:p>
            <w:pPr>
              <w:pStyle w:val="2001"/>
            </w:pPr>
            <w:r>
              <w:rPr>
                <w:rFonts w:hint="eastAsia"/>
              </w:rPr>
              <w:t>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0" w:type="dxa"/>
            <w:bottom w:w="0" w:type="dxa"/>
            <w:right w:w="0" w:type="dxa"/>
          </w:tblCellMar>
        </w:tblPrEx>
        <w:trPr>
          <w:jc w:val="center"/>
        </w:trPr>
        <w:tc>
          <w:tcPr>
            <w:tcW w:w="5610" w:type="dxa"/>
            <w:gridSpan w:val="5"/>
          </w:tcPr>
          <w:p>
            <w:pPr>
              <w:pStyle w:val="2001"/>
            </w:pPr>
            <w:r>
              <w:t>判定等级</w:t>
            </w:r>
          </w:p>
        </w:tc>
        <w:tc>
          <w:tcPr>
            <w:tcW w:w="672" w:type="dxa"/>
            <w:vAlign w:val="center"/>
          </w:tcPr>
          <w:p>
            <w:pPr>
              <w:pStyle w:val="2001"/>
            </w:pPr>
            <w:r>
              <w:rPr>
                <w:rFonts w:hint="eastAsia"/>
              </w:rPr>
              <w:t>1</w:t>
            </w:r>
          </w:p>
        </w:tc>
        <w:tc>
          <w:tcPr>
            <w:tcW w:w="547" w:type="dxa"/>
            <w:vAlign w:val="center"/>
          </w:tcPr>
          <w:p>
            <w:pPr>
              <w:pStyle w:val="2001"/>
            </w:pPr>
            <w:r>
              <w:rPr>
                <w:rFonts w:hint="eastAsia"/>
              </w:rPr>
              <w:t>1</w:t>
            </w:r>
          </w:p>
        </w:tc>
        <w:tc>
          <w:tcPr>
            <w:tcW w:w="658" w:type="dxa"/>
            <w:vAlign w:val="center"/>
          </w:tcPr>
          <w:p>
            <w:pPr>
              <w:pStyle w:val="2001"/>
            </w:pPr>
            <w:r>
              <w:rPr>
                <w:rFonts w:hint="eastAsia"/>
              </w:rPr>
              <w:t>2</w:t>
            </w:r>
          </w:p>
        </w:tc>
        <w:tc>
          <w:tcPr>
            <w:tcW w:w="855" w:type="dxa"/>
            <w:vAlign w:val="center"/>
          </w:tcPr>
          <w:p>
            <w:pPr>
              <w:pStyle w:val="2001"/>
            </w:pPr>
            <w:r>
              <w:rPr>
                <w:rFonts w:hint="eastAsia"/>
              </w:rPr>
              <w:t>1</w:t>
            </w:r>
          </w:p>
        </w:tc>
      </w:tr>
    </w:tbl>
    <w:p/>
    <w:p>
      <w:pPr>
        <w:pStyle w:val="384"/>
        <w:ind w:left="0" w:firstLine="0"/>
        <w:rPr>
          <w:rFonts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海洋地形地貌与冲淤环境影响评价等级判定</w:t>
      </w:r>
    </w:p>
    <w:tbl>
      <w:tblPr>
        <w:tblStyle w:val="89"/>
        <w:tblW w:w="8342" w:type="dxa"/>
        <w:jc w:val="center"/>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0" w:type="dxa"/>
          <w:bottom w:w="0" w:type="dxa"/>
          <w:right w:w="0" w:type="dxa"/>
        </w:tblCellMar>
      </w:tblPr>
      <w:tblGrid>
        <w:gridCol w:w="3909"/>
        <w:gridCol w:w="2574"/>
        <w:gridCol w:w="1859"/>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0" w:type="dxa"/>
            <w:bottom w:w="0" w:type="dxa"/>
            <w:right w:w="0" w:type="dxa"/>
          </w:tblCellMar>
        </w:tblPrEx>
        <w:trPr>
          <w:trHeight w:val="847" w:hRule="atLeast"/>
          <w:tblHeader/>
          <w:jc w:val="center"/>
        </w:trPr>
        <w:tc>
          <w:tcPr>
            <w:tcW w:w="3909" w:type="dxa"/>
            <w:vAlign w:val="center"/>
          </w:tcPr>
          <w:p>
            <w:pPr>
              <w:pStyle w:val="2001"/>
            </w:pPr>
            <w:r>
              <w:t>工程类型和工程内容</w:t>
            </w:r>
          </w:p>
        </w:tc>
        <w:tc>
          <w:tcPr>
            <w:tcW w:w="2574" w:type="dxa"/>
            <w:vAlign w:val="center"/>
          </w:tcPr>
          <w:p>
            <w:pPr>
              <w:pStyle w:val="2001"/>
            </w:pPr>
            <w:r>
              <w:t>本项目工程规模</w:t>
            </w:r>
          </w:p>
        </w:tc>
        <w:tc>
          <w:tcPr>
            <w:tcW w:w="1859" w:type="dxa"/>
            <w:vAlign w:val="center"/>
          </w:tcPr>
          <w:p>
            <w:pPr>
              <w:pStyle w:val="2001"/>
            </w:pPr>
            <w:r>
              <w:rPr>
                <w:rFonts w:hint="eastAsia"/>
              </w:rPr>
              <w:t>海洋</w:t>
            </w:r>
            <w:r>
              <w:t>地形地貌与冲淤环境评价等级</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0" w:type="dxa"/>
            <w:bottom w:w="0" w:type="dxa"/>
            <w:right w:w="0" w:type="dxa"/>
          </w:tblCellMar>
        </w:tblPrEx>
        <w:trPr>
          <w:jc w:val="center"/>
        </w:trPr>
        <w:tc>
          <w:tcPr>
            <w:tcW w:w="3909" w:type="dxa"/>
            <w:vAlign w:val="center"/>
          </w:tcPr>
          <w:p>
            <w:pPr>
              <w:pStyle w:val="2001"/>
            </w:pPr>
            <w:r>
              <w:rPr>
                <w:rFonts w:hint="eastAsia"/>
              </w:rPr>
              <w:t>其他类型海洋工程中改变海岸线、滩涂、海床自然形状和产生较轻微冲刷、淤积的工程项目</w:t>
            </w:r>
          </w:p>
        </w:tc>
        <w:tc>
          <w:tcPr>
            <w:tcW w:w="2574" w:type="dxa"/>
            <w:vAlign w:val="center"/>
          </w:tcPr>
          <w:p>
            <w:pPr>
              <w:pStyle w:val="2001"/>
            </w:pPr>
            <w:r>
              <w:t>开挖、疏浚、</w:t>
            </w:r>
            <w:r>
              <w:rPr>
                <w:rFonts w:hint="eastAsia"/>
              </w:rPr>
              <w:t>填海改变海岸线自然形状，产生较轻微冲刷</w:t>
            </w:r>
          </w:p>
        </w:tc>
        <w:tc>
          <w:tcPr>
            <w:tcW w:w="1859" w:type="dxa"/>
            <w:vAlign w:val="center"/>
          </w:tcPr>
          <w:p>
            <w:pPr>
              <w:pStyle w:val="2001"/>
            </w:pPr>
            <w:r>
              <w:rPr>
                <w:rFonts w:hint="eastAsia"/>
              </w:rPr>
              <w:t>3</w:t>
            </w:r>
          </w:p>
        </w:tc>
      </w:tr>
    </w:tbl>
    <w:p>
      <w:pPr>
        <w:pStyle w:val="6"/>
        <w:rPr>
          <w:color w:val="000000" w:themeColor="text1"/>
          <w14:textFill>
            <w14:solidFill>
              <w14:schemeClr w14:val="tx1"/>
            </w14:solidFill>
          </w14:textFill>
        </w:rPr>
      </w:pPr>
      <w:r>
        <w:rPr>
          <w:rFonts w:hint="eastAsia"/>
          <w:color w:val="000000" w:themeColor="text1"/>
          <w14:textFill>
            <w14:solidFill>
              <w14:schemeClr w14:val="tx1"/>
            </w14:solidFill>
          </w14:textFill>
        </w:rPr>
        <w:t>地表水环境</w:t>
      </w:r>
    </w:p>
    <w:p>
      <w:pPr>
        <w:ind w:firstLine="480"/>
        <w:rPr>
          <w:color w:val="000000" w:themeColor="text1"/>
          <w14:textFill>
            <w14:solidFill>
              <w14:schemeClr w14:val="tx1"/>
            </w14:solidFill>
          </w14:textFill>
        </w:rPr>
      </w:pPr>
      <w:r>
        <w:rPr>
          <w:color w:val="000000" w:themeColor="text1"/>
          <w14:textFill>
            <w14:solidFill>
              <w14:schemeClr w14:val="tx1"/>
            </w14:solidFill>
          </w14:textFill>
        </w:rPr>
        <w:t>项目工程疏浚</w:t>
      </w:r>
      <w:r>
        <w:rPr>
          <w:rFonts w:hint="eastAsia"/>
          <w:color w:val="000000" w:themeColor="text1"/>
          <w14:textFill>
            <w14:solidFill>
              <w14:schemeClr w14:val="tx1"/>
            </w14:solidFill>
          </w14:textFill>
        </w:rPr>
        <w:t>、炸礁及码头水工结构涉及地表水环境影响</w:t>
      </w:r>
      <w:r>
        <w:rPr>
          <w:color w:val="000000" w:themeColor="text1"/>
          <w14:textFill>
            <w14:solidFill>
              <w14:schemeClr w14:val="tx1"/>
            </w14:solidFill>
          </w14:textFill>
        </w:rPr>
        <w:t>，营运</w:t>
      </w:r>
      <w:r>
        <w:rPr>
          <w:rFonts w:hint="eastAsia"/>
          <w:color w:val="000000" w:themeColor="text1"/>
          <w14:textFill>
            <w14:solidFill>
              <w14:schemeClr w14:val="tx1"/>
            </w14:solidFill>
          </w14:textFill>
        </w:rPr>
        <w:t>期间不设置</w:t>
      </w:r>
      <w:r>
        <w:rPr>
          <w:color w:val="000000" w:themeColor="text1"/>
          <w14:textFill>
            <w14:solidFill>
              <w14:schemeClr w14:val="tx1"/>
            </w14:solidFill>
          </w14:textFill>
        </w:rPr>
        <w:t>排污口，废污水进入</w:t>
      </w:r>
      <w:r>
        <w:rPr>
          <w:rFonts w:hint="eastAsia"/>
          <w:color w:val="000000" w:themeColor="text1"/>
          <w14:textFill>
            <w14:solidFill>
              <w14:schemeClr w14:val="tx1"/>
            </w14:solidFill>
          </w14:textFill>
        </w:rPr>
        <w:t>大榄坪</w:t>
      </w:r>
      <w:r>
        <w:rPr>
          <w:color w:val="000000" w:themeColor="text1"/>
          <w14:textFill>
            <w14:solidFill>
              <w14:schemeClr w14:val="tx1"/>
            </w14:solidFill>
          </w14:textFill>
        </w:rPr>
        <w:t>污水处理厂，因此项目属于水污染影响型及水文要素影响型项目，根据《环境影响评价技术导则地表水环境》（HJ2.3-2018）要求，按不同类别分别确定其评价等级。</w:t>
      </w:r>
    </w:p>
    <w:p>
      <w:pPr>
        <w:ind w:firstLine="482"/>
        <w:rPr>
          <w:b/>
          <w:bCs/>
          <w:color w:val="000000" w:themeColor="text1"/>
          <w14:textFill>
            <w14:solidFill>
              <w14:schemeClr w14:val="tx1"/>
            </w14:solidFill>
          </w14:textFill>
        </w:rPr>
      </w:pPr>
      <w:r>
        <w:rPr>
          <w:b/>
          <w:bCs/>
          <w:color w:val="000000" w:themeColor="text1"/>
          <w14:textFill>
            <w14:solidFill>
              <w14:schemeClr w14:val="tx1"/>
            </w14:solidFill>
          </w14:textFill>
        </w:rPr>
        <w:t>1、水污染影响型建设项目评价等级判定</w:t>
      </w:r>
    </w:p>
    <w:p>
      <w:pPr>
        <w:ind w:firstLine="480"/>
        <w:rPr>
          <w:color w:val="000000" w:themeColor="text1"/>
          <w14:textFill>
            <w14:solidFill>
              <w14:schemeClr w14:val="tx1"/>
            </w14:solidFill>
          </w14:textFill>
        </w:rPr>
      </w:pPr>
      <w:r>
        <w:rPr>
          <w:color w:val="000000" w:themeColor="text1"/>
          <w14:textFill>
            <w14:solidFill>
              <w14:schemeClr w14:val="tx1"/>
            </w14:solidFill>
          </w14:textFill>
        </w:rPr>
        <w:t>项目营运</w:t>
      </w:r>
      <w:r>
        <w:rPr>
          <w:rFonts w:hint="eastAsia"/>
          <w:color w:val="000000" w:themeColor="text1"/>
          <w14:textFill>
            <w14:solidFill>
              <w14:schemeClr w14:val="tx1"/>
            </w14:solidFill>
          </w14:textFill>
        </w:rPr>
        <w:t>期间</w:t>
      </w:r>
      <w:r>
        <w:rPr>
          <w:color w:val="000000" w:themeColor="text1"/>
          <w14:textFill>
            <w14:solidFill>
              <w14:schemeClr w14:val="tx1"/>
            </w14:solidFill>
          </w14:textFill>
        </w:rPr>
        <w:t>产生污水主要包括生活污水、到港船舶废污水等。</w:t>
      </w:r>
      <w:r>
        <w:rPr>
          <w:rFonts w:hint="eastAsia"/>
          <w:color w:val="000000" w:themeColor="text1"/>
          <w14:textFill>
            <w14:solidFill>
              <w14:schemeClr w14:val="tx1"/>
            </w14:solidFill>
          </w14:textFill>
        </w:rPr>
        <w:t>生活污水由7#、8#泊位后方生活污水处理站预处理后排放至大榄坪污水处理厂</w:t>
      </w:r>
      <w:r>
        <w:rPr>
          <w:color w:val="000000" w:themeColor="text1"/>
          <w14:textFill>
            <w14:solidFill>
              <w14:schemeClr w14:val="tx1"/>
            </w14:solidFill>
          </w14:textFill>
        </w:rPr>
        <w:t>；到港船舶废污水一律交由有资质的单位处理；综上所述，本工程不设置排污口，无直接排放污水量，本工程地表水评价等级为三级B。</w:t>
      </w:r>
    </w:p>
    <w:p>
      <w:pPr>
        <w:ind w:firstLine="482"/>
        <w:rPr>
          <w:b/>
          <w:bCs/>
          <w:color w:val="000000" w:themeColor="text1"/>
          <w14:textFill>
            <w14:solidFill>
              <w14:schemeClr w14:val="tx1"/>
            </w14:solidFill>
          </w14:textFill>
        </w:rPr>
      </w:pPr>
      <w:r>
        <w:rPr>
          <w:b/>
          <w:bCs/>
          <w:color w:val="000000" w:themeColor="text1"/>
          <w14:textFill>
            <w14:solidFill>
              <w14:schemeClr w14:val="tx1"/>
            </w14:solidFill>
          </w14:textFill>
        </w:rPr>
        <w:t>2、水文要素影响型建设项目评价等级判定</w:t>
      </w:r>
    </w:p>
    <w:p>
      <w:pPr>
        <w:ind w:firstLine="480"/>
        <w:rPr>
          <w:color w:val="000000" w:themeColor="text1"/>
          <w14:textFill>
            <w14:solidFill>
              <w14:schemeClr w14:val="tx1"/>
            </w14:solidFill>
          </w14:textFill>
        </w:rPr>
      </w:pPr>
      <w:r>
        <w:rPr>
          <w:color w:val="000000" w:themeColor="text1"/>
          <w14:textFill>
            <w14:solidFill>
              <w14:schemeClr w14:val="tx1"/>
            </w14:solidFill>
          </w14:textFill>
        </w:rPr>
        <w:t>按照水文要素影响型建设项目判定表1.</w:t>
      </w:r>
      <w:r>
        <w:rPr>
          <w:rFonts w:hint="eastAsia"/>
          <w:color w:val="000000" w:themeColor="text1"/>
          <w14:textFill>
            <w14:solidFill>
              <w14:schemeClr w14:val="tx1"/>
            </w14:solidFill>
          </w14:textFill>
        </w:rPr>
        <w:t>2</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4</w:t>
      </w:r>
      <w:r>
        <w:rPr>
          <w:color w:val="000000" w:themeColor="text1"/>
          <w14:textFill>
            <w14:solidFill>
              <w14:schemeClr w14:val="tx1"/>
            </w14:solidFill>
          </w14:textFill>
        </w:rPr>
        <w:t>，本工程位于沿海近岸海域，</w:t>
      </w:r>
      <w:r>
        <w:rPr>
          <w:rFonts w:hint="eastAsia"/>
          <w:color w:val="000000" w:themeColor="text1"/>
          <w14:textFill>
            <w14:solidFill>
              <w14:schemeClr w14:val="tx1"/>
            </w14:solidFill>
          </w14:textFill>
        </w:rPr>
        <w:t>项目对水温、径流量没有影响。根据受影响地表水域进行判定。</w:t>
      </w:r>
    </w:p>
    <w:p>
      <w:pPr>
        <w:pStyle w:val="384"/>
        <w:ind w:left="0" w:firstLine="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水文要素影响型建设项目评价等级判定</w:t>
      </w:r>
    </w:p>
    <w:tbl>
      <w:tblPr>
        <w:tblStyle w:val="88"/>
        <w:tblW w:w="8528" w:type="dxa"/>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1235"/>
        <w:gridCol w:w="1235"/>
        <w:gridCol w:w="1312"/>
        <w:gridCol w:w="730"/>
        <w:gridCol w:w="1168"/>
        <w:gridCol w:w="1168"/>
        <w:gridCol w:w="1680"/>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12" w:hRule="atLeast"/>
          <w:tblHeader/>
        </w:trPr>
        <w:tc>
          <w:tcPr>
            <w:tcW w:w="1235" w:type="dxa"/>
            <w:vMerge w:val="restart"/>
            <w:shd w:val="clear" w:color="auto" w:fill="auto"/>
            <w:vAlign w:val="center"/>
          </w:tcPr>
          <w:p>
            <w:pPr>
              <w:pStyle w:val="3463"/>
              <w:jc w:val="center"/>
              <w:rPr>
                <w:color w:val="000000" w:themeColor="text1"/>
                <w14:textFill>
                  <w14:solidFill>
                    <w14:schemeClr w14:val="tx1"/>
                  </w14:solidFill>
                </w14:textFill>
              </w:rPr>
            </w:pPr>
            <w:r>
              <w:rPr>
                <w:color w:val="000000" w:themeColor="text1"/>
                <w14:textFill>
                  <w14:solidFill>
                    <w14:schemeClr w14:val="tx1"/>
                  </w14:solidFill>
                </w14:textFill>
              </w:rPr>
              <w:t>等级评价</w:t>
            </w:r>
          </w:p>
        </w:tc>
        <w:tc>
          <w:tcPr>
            <w:tcW w:w="1235" w:type="dxa"/>
            <w:shd w:val="clear" w:color="auto" w:fill="auto"/>
            <w:vAlign w:val="center"/>
          </w:tcPr>
          <w:p>
            <w:pPr>
              <w:pStyle w:val="3463"/>
              <w:jc w:val="center"/>
              <w:rPr>
                <w:color w:val="000000" w:themeColor="text1"/>
                <w14:textFill>
                  <w14:solidFill>
                    <w14:schemeClr w14:val="tx1"/>
                  </w14:solidFill>
                </w14:textFill>
              </w:rPr>
            </w:pPr>
            <w:r>
              <w:rPr>
                <w:color w:val="000000" w:themeColor="text1"/>
                <w14:textFill>
                  <w14:solidFill>
                    <w14:schemeClr w14:val="tx1"/>
                  </w14:solidFill>
                </w14:textFill>
              </w:rPr>
              <w:t>水温</w:t>
            </w:r>
          </w:p>
        </w:tc>
        <w:tc>
          <w:tcPr>
            <w:tcW w:w="2042" w:type="dxa"/>
            <w:gridSpan w:val="2"/>
            <w:shd w:val="clear" w:color="auto" w:fill="auto"/>
            <w:vAlign w:val="center"/>
          </w:tcPr>
          <w:p>
            <w:pPr>
              <w:pStyle w:val="3463"/>
              <w:jc w:val="center"/>
              <w:rPr>
                <w:color w:val="000000" w:themeColor="text1"/>
                <w14:textFill>
                  <w14:solidFill>
                    <w14:schemeClr w14:val="tx1"/>
                  </w14:solidFill>
                </w14:textFill>
              </w:rPr>
            </w:pPr>
            <w:r>
              <w:rPr>
                <w:color w:val="000000" w:themeColor="text1"/>
                <w14:textFill>
                  <w14:solidFill>
                    <w14:schemeClr w14:val="tx1"/>
                  </w14:solidFill>
                </w14:textFill>
              </w:rPr>
              <w:t>径流</w:t>
            </w:r>
          </w:p>
        </w:tc>
        <w:tc>
          <w:tcPr>
            <w:tcW w:w="4016" w:type="dxa"/>
            <w:gridSpan w:val="3"/>
            <w:shd w:val="clear" w:color="auto" w:fill="auto"/>
            <w:vAlign w:val="center"/>
          </w:tcPr>
          <w:p>
            <w:pPr>
              <w:pStyle w:val="3463"/>
              <w:jc w:val="center"/>
              <w:rPr>
                <w:color w:val="000000" w:themeColor="text1"/>
                <w14:textFill>
                  <w14:solidFill>
                    <w14:schemeClr w14:val="tx1"/>
                  </w14:solidFill>
                </w14:textFill>
              </w:rPr>
            </w:pPr>
            <w:r>
              <w:rPr>
                <w:color w:val="000000" w:themeColor="text1"/>
                <w14:textFill>
                  <w14:solidFill>
                    <w14:schemeClr w14:val="tx1"/>
                  </w14:solidFill>
                </w14:textFill>
              </w:rPr>
              <w:t>受影响地表水域</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12" w:hRule="atLeast"/>
          <w:tblHeader/>
        </w:trPr>
        <w:tc>
          <w:tcPr>
            <w:tcW w:w="1235" w:type="dxa"/>
            <w:vMerge w:val="continue"/>
            <w:shd w:val="clear" w:color="auto" w:fill="auto"/>
          </w:tcPr>
          <w:p>
            <w:pPr>
              <w:pStyle w:val="3463"/>
              <w:jc w:val="center"/>
              <w:rPr>
                <w:color w:val="000000" w:themeColor="text1"/>
                <w14:textFill>
                  <w14:solidFill>
                    <w14:schemeClr w14:val="tx1"/>
                  </w14:solidFill>
                </w14:textFill>
              </w:rPr>
            </w:pPr>
          </w:p>
        </w:tc>
        <w:tc>
          <w:tcPr>
            <w:tcW w:w="1235" w:type="dxa"/>
            <w:vMerge w:val="restart"/>
            <w:shd w:val="clear" w:color="auto" w:fill="auto"/>
            <w:vAlign w:val="center"/>
          </w:tcPr>
          <w:p>
            <w:pPr>
              <w:pStyle w:val="3463"/>
              <w:jc w:val="center"/>
              <w:rPr>
                <w:color w:val="000000" w:themeColor="text1"/>
                <w14:textFill>
                  <w14:solidFill>
                    <w14:schemeClr w14:val="tx1"/>
                  </w14:solidFill>
                </w14:textFill>
              </w:rPr>
            </w:pPr>
            <w:r>
              <w:rPr>
                <w:color w:val="000000" w:themeColor="text1"/>
                <w14:textFill>
                  <w14:solidFill>
                    <w14:schemeClr w14:val="tx1"/>
                  </w14:solidFill>
                </w14:textFill>
              </w:rPr>
              <w:t>年径流量与库容百分比α/%</w:t>
            </w:r>
          </w:p>
        </w:tc>
        <w:tc>
          <w:tcPr>
            <w:tcW w:w="1312" w:type="dxa"/>
            <w:vMerge w:val="restart"/>
            <w:shd w:val="clear" w:color="auto" w:fill="auto"/>
            <w:vAlign w:val="center"/>
          </w:tcPr>
          <w:p>
            <w:pPr>
              <w:pStyle w:val="3463"/>
              <w:jc w:val="center"/>
              <w:rPr>
                <w:color w:val="000000" w:themeColor="text1"/>
                <w14:textFill>
                  <w14:solidFill>
                    <w14:schemeClr w14:val="tx1"/>
                  </w14:solidFill>
                </w14:textFill>
              </w:rPr>
            </w:pPr>
            <w:r>
              <w:rPr>
                <w:color w:val="000000" w:themeColor="text1"/>
                <w14:textFill>
                  <w14:solidFill>
                    <w14:schemeClr w14:val="tx1"/>
                  </w14:solidFill>
                </w14:textFill>
              </w:rPr>
              <w:t>兴利库容与年径流量百分比β/%</w:t>
            </w:r>
          </w:p>
        </w:tc>
        <w:tc>
          <w:tcPr>
            <w:tcW w:w="730" w:type="dxa"/>
            <w:vMerge w:val="restart"/>
            <w:shd w:val="clear" w:color="auto" w:fill="auto"/>
          </w:tcPr>
          <w:p>
            <w:pPr>
              <w:pStyle w:val="3463"/>
              <w:jc w:val="center"/>
              <w:rPr>
                <w:color w:val="000000" w:themeColor="text1"/>
                <w14:textFill>
                  <w14:solidFill>
                    <w14:schemeClr w14:val="tx1"/>
                  </w14:solidFill>
                </w14:textFill>
              </w:rPr>
            </w:pPr>
            <w:r>
              <w:rPr>
                <w:color w:val="000000" w:themeColor="text1"/>
                <w14:textFill>
                  <w14:solidFill>
                    <w14:schemeClr w14:val="tx1"/>
                  </w14:solidFill>
                </w14:textFill>
              </w:rPr>
              <w:t>取水量占多年平均径流量比γ/%</w:t>
            </w:r>
          </w:p>
        </w:tc>
        <w:tc>
          <w:tcPr>
            <w:tcW w:w="2336" w:type="dxa"/>
            <w:gridSpan w:val="2"/>
            <w:shd w:val="clear" w:color="auto" w:fill="auto"/>
          </w:tcPr>
          <w:p>
            <w:pPr>
              <w:pStyle w:val="3463"/>
              <w:jc w:val="center"/>
              <w:rPr>
                <w:color w:val="000000" w:themeColor="text1"/>
                <w14:textFill>
                  <w14:solidFill>
                    <w14:schemeClr w14:val="tx1"/>
                  </w14:solidFill>
                </w14:textFill>
              </w:rPr>
            </w:pPr>
            <w:r>
              <w:rPr>
                <w:color w:val="000000" w:themeColor="text1"/>
                <w14:textFill>
                  <w14:solidFill>
                    <w14:schemeClr w14:val="tx1"/>
                  </w14:solidFill>
                </w14:textFill>
              </w:rPr>
              <w:t>工程垂直投影面积及外扩范围A</w:t>
            </w:r>
            <w:r>
              <w:rPr>
                <w:color w:val="000000" w:themeColor="text1"/>
                <w:vertAlign w:val="subscript"/>
                <w14:textFill>
                  <w14:solidFill>
                    <w14:schemeClr w14:val="tx1"/>
                  </w14:solidFill>
                </w14:textFill>
              </w:rPr>
              <w:t>1</w:t>
            </w:r>
            <w:r>
              <w:rPr>
                <w:color w:val="000000" w:themeColor="text1"/>
                <w14:textFill>
                  <w14:solidFill>
                    <w14:schemeClr w14:val="tx1"/>
                  </w14:solidFill>
                </w14:textFill>
              </w:rPr>
              <w:t>/km</w:t>
            </w:r>
            <w:r>
              <w:rPr>
                <w:color w:val="000000" w:themeColor="text1"/>
                <w:vertAlign w:val="superscript"/>
                <w14:textFill>
                  <w14:solidFill>
                    <w14:schemeClr w14:val="tx1"/>
                  </w14:solidFill>
                </w14:textFill>
              </w:rPr>
              <w:t>2</w:t>
            </w:r>
            <w:r>
              <w:rPr>
                <w:color w:val="000000" w:themeColor="text1"/>
                <w14:textFill>
                  <w14:solidFill>
                    <w14:schemeClr w14:val="tx1"/>
                  </w14:solidFill>
                </w14:textFill>
              </w:rPr>
              <w:t>；工程扰动水底面积A</w:t>
            </w:r>
            <w:r>
              <w:rPr>
                <w:color w:val="000000" w:themeColor="text1"/>
                <w:vertAlign w:val="subscript"/>
                <w14:textFill>
                  <w14:solidFill>
                    <w14:schemeClr w14:val="tx1"/>
                  </w14:solidFill>
                </w14:textFill>
              </w:rPr>
              <w:t>2</w:t>
            </w:r>
            <w:r>
              <w:rPr>
                <w:color w:val="000000" w:themeColor="text1"/>
                <w14:textFill>
                  <w14:solidFill>
                    <w14:schemeClr w14:val="tx1"/>
                  </w14:solidFill>
                </w14:textFill>
              </w:rPr>
              <w:t>/km</w:t>
            </w:r>
            <w:r>
              <w:rPr>
                <w:color w:val="000000" w:themeColor="text1"/>
                <w:vertAlign w:val="superscript"/>
                <w14:textFill>
                  <w14:solidFill>
                    <w14:schemeClr w14:val="tx1"/>
                  </w14:solidFill>
                </w14:textFill>
              </w:rPr>
              <w:t>2</w:t>
            </w:r>
            <w:r>
              <w:rPr>
                <w:color w:val="000000" w:themeColor="text1"/>
                <w14:textFill>
                  <w14:solidFill>
                    <w14:schemeClr w14:val="tx1"/>
                  </w14:solidFill>
                </w14:textFill>
              </w:rPr>
              <w:t>；过水断面宽度</w:t>
            </w:r>
            <w:r>
              <w:rPr>
                <w:rFonts w:hint="eastAsia"/>
                <w:color w:val="000000" w:themeColor="text1"/>
                <w14:textFill>
                  <w14:solidFill>
                    <w14:schemeClr w14:val="tx1"/>
                  </w14:solidFill>
                </w14:textFill>
              </w:rPr>
              <w:t>占</w:t>
            </w:r>
            <w:r>
              <w:rPr>
                <w:color w:val="000000" w:themeColor="text1"/>
                <w14:textFill>
                  <w14:solidFill>
                    <w14:schemeClr w14:val="tx1"/>
                  </w14:solidFill>
                </w14:textFill>
              </w:rPr>
              <w:t>用比例或占用水域面积比例R/%</w:t>
            </w:r>
          </w:p>
        </w:tc>
        <w:tc>
          <w:tcPr>
            <w:tcW w:w="1680" w:type="dxa"/>
            <w:shd w:val="clear" w:color="auto" w:fill="auto"/>
          </w:tcPr>
          <w:p>
            <w:pPr>
              <w:pStyle w:val="3463"/>
              <w:jc w:val="center"/>
              <w:rPr>
                <w:color w:val="000000" w:themeColor="text1"/>
                <w14:textFill>
                  <w14:solidFill>
                    <w14:schemeClr w14:val="tx1"/>
                  </w14:solidFill>
                </w14:textFill>
              </w:rPr>
            </w:pPr>
            <w:r>
              <w:rPr>
                <w:color w:val="000000" w:themeColor="text1"/>
                <w14:textFill>
                  <w14:solidFill>
                    <w14:schemeClr w14:val="tx1"/>
                  </w14:solidFill>
                </w14:textFill>
              </w:rPr>
              <w:t>工程垂直投影面积及外扩范围A</w:t>
            </w:r>
            <w:r>
              <w:rPr>
                <w:color w:val="000000" w:themeColor="text1"/>
                <w:vertAlign w:val="subscript"/>
                <w14:textFill>
                  <w14:solidFill>
                    <w14:schemeClr w14:val="tx1"/>
                  </w14:solidFill>
                </w14:textFill>
              </w:rPr>
              <w:t>1</w:t>
            </w:r>
            <w:r>
              <w:rPr>
                <w:color w:val="000000" w:themeColor="text1"/>
                <w14:textFill>
                  <w14:solidFill>
                    <w14:schemeClr w14:val="tx1"/>
                  </w14:solidFill>
                </w14:textFill>
              </w:rPr>
              <w:t>/km</w:t>
            </w:r>
            <w:r>
              <w:rPr>
                <w:color w:val="000000" w:themeColor="text1"/>
                <w:vertAlign w:val="superscript"/>
                <w14:textFill>
                  <w14:solidFill>
                    <w14:schemeClr w14:val="tx1"/>
                  </w14:solidFill>
                </w14:textFill>
              </w:rPr>
              <w:t>2</w:t>
            </w:r>
            <w:r>
              <w:rPr>
                <w:color w:val="000000" w:themeColor="text1"/>
                <w14:textFill>
                  <w14:solidFill>
                    <w14:schemeClr w14:val="tx1"/>
                  </w14:solidFill>
                </w14:textFill>
              </w:rPr>
              <w:t>；工程扰动水底面积A</w:t>
            </w:r>
            <w:r>
              <w:rPr>
                <w:color w:val="000000" w:themeColor="text1"/>
                <w:vertAlign w:val="subscript"/>
                <w14:textFill>
                  <w14:solidFill>
                    <w14:schemeClr w14:val="tx1"/>
                  </w14:solidFill>
                </w14:textFill>
              </w:rPr>
              <w:t>2</w:t>
            </w:r>
            <w:r>
              <w:rPr>
                <w:color w:val="000000" w:themeColor="text1"/>
                <w14:textFill>
                  <w14:solidFill>
                    <w14:schemeClr w14:val="tx1"/>
                  </w14:solidFill>
                </w14:textFill>
              </w:rPr>
              <w:t>/km</w:t>
            </w:r>
            <w:r>
              <w:rPr>
                <w:color w:val="000000" w:themeColor="text1"/>
                <w:vertAlign w:val="superscript"/>
                <w14:textFill>
                  <w14:solidFill>
                    <w14:schemeClr w14:val="tx1"/>
                  </w14:solidFill>
                </w14:textFill>
              </w:rPr>
              <w:t>2</w:t>
            </w:r>
            <w:r>
              <w:rPr>
                <w:color w:val="000000" w:themeColor="text1"/>
                <w14:textFill>
                  <w14:solidFill>
                    <w14:schemeClr w14:val="tx1"/>
                  </w14:solidFill>
                </w14:textFill>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12" w:hRule="atLeast"/>
          <w:tblHeader/>
        </w:trPr>
        <w:tc>
          <w:tcPr>
            <w:tcW w:w="1235" w:type="dxa"/>
            <w:vMerge w:val="continue"/>
            <w:shd w:val="clear" w:color="auto" w:fill="auto"/>
            <w:vAlign w:val="center"/>
          </w:tcPr>
          <w:p>
            <w:pPr>
              <w:pStyle w:val="3463"/>
              <w:jc w:val="center"/>
              <w:rPr>
                <w:color w:val="000000" w:themeColor="text1"/>
                <w14:textFill>
                  <w14:solidFill>
                    <w14:schemeClr w14:val="tx1"/>
                  </w14:solidFill>
                </w14:textFill>
              </w:rPr>
            </w:pPr>
          </w:p>
        </w:tc>
        <w:tc>
          <w:tcPr>
            <w:tcW w:w="1235" w:type="dxa"/>
            <w:vMerge w:val="continue"/>
            <w:shd w:val="clear" w:color="auto" w:fill="auto"/>
            <w:vAlign w:val="center"/>
          </w:tcPr>
          <w:p>
            <w:pPr>
              <w:pStyle w:val="3463"/>
              <w:jc w:val="center"/>
              <w:rPr>
                <w:color w:val="000000" w:themeColor="text1"/>
                <w14:textFill>
                  <w14:solidFill>
                    <w14:schemeClr w14:val="tx1"/>
                  </w14:solidFill>
                </w14:textFill>
              </w:rPr>
            </w:pPr>
          </w:p>
        </w:tc>
        <w:tc>
          <w:tcPr>
            <w:tcW w:w="1312" w:type="dxa"/>
            <w:vMerge w:val="continue"/>
            <w:shd w:val="clear" w:color="auto" w:fill="auto"/>
          </w:tcPr>
          <w:p>
            <w:pPr>
              <w:pStyle w:val="3463"/>
              <w:jc w:val="center"/>
              <w:rPr>
                <w:color w:val="000000" w:themeColor="text1"/>
                <w14:textFill>
                  <w14:solidFill>
                    <w14:schemeClr w14:val="tx1"/>
                  </w14:solidFill>
                </w14:textFill>
              </w:rPr>
            </w:pPr>
          </w:p>
        </w:tc>
        <w:tc>
          <w:tcPr>
            <w:tcW w:w="730" w:type="dxa"/>
            <w:vMerge w:val="continue"/>
            <w:shd w:val="clear" w:color="auto" w:fill="auto"/>
          </w:tcPr>
          <w:p>
            <w:pPr>
              <w:pStyle w:val="3463"/>
              <w:jc w:val="center"/>
              <w:rPr>
                <w:color w:val="000000" w:themeColor="text1"/>
                <w14:textFill>
                  <w14:solidFill>
                    <w14:schemeClr w14:val="tx1"/>
                  </w14:solidFill>
                </w14:textFill>
              </w:rPr>
            </w:pPr>
          </w:p>
        </w:tc>
        <w:tc>
          <w:tcPr>
            <w:tcW w:w="1168" w:type="dxa"/>
            <w:shd w:val="clear" w:color="auto" w:fill="auto"/>
            <w:vAlign w:val="center"/>
          </w:tcPr>
          <w:p>
            <w:pPr>
              <w:pStyle w:val="3463"/>
              <w:jc w:val="center"/>
              <w:rPr>
                <w:color w:val="000000" w:themeColor="text1"/>
                <w14:textFill>
                  <w14:solidFill>
                    <w14:schemeClr w14:val="tx1"/>
                  </w14:solidFill>
                </w14:textFill>
              </w:rPr>
            </w:pPr>
            <w:r>
              <w:rPr>
                <w:color w:val="000000" w:themeColor="text1"/>
                <w14:textFill>
                  <w14:solidFill>
                    <w14:schemeClr w14:val="tx1"/>
                  </w14:solidFill>
                </w14:textFill>
              </w:rPr>
              <w:t>河流</w:t>
            </w:r>
          </w:p>
        </w:tc>
        <w:tc>
          <w:tcPr>
            <w:tcW w:w="1168" w:type="dxa"/>
            <w:shd w:val="clear" w:color="auto" w:fill="auto"/>
            <w:vAlign w:val="center"/>
          </w:tcPr>
          <w:p>
            <w:pPr>
              <w:pStyle w:val="3463"/>
              <w:jc w:val="center"/>
              <w:rPr>
                <w:color w:val="000000" w:themeColor="text1"/>
                <w14:textFill>
                  <w14:solidFill>
                    <w14:schemeClr w14:val="tx1"/>
                  </w14:solidFill>
                </w14:textFill>
              </w:rPr>
            </w:pPr>
            <w:r>
              <w:rPr>
                <w:color w:val="000000" w:themeColor="text1"/>
                <w14:textFill>
                  <w14:solidFill>
                    <w14:schemeClr w14:val="tx1"/>
                  </w14:solidFill>
                </w14:textFill>
              </w:rPr>
              <w:t>湖库</w:t>
            </w:r>
          </w:p>
        </w:tc>
        <w:tc>
          <w:tcPr>
            <w:tcW w:w="1680" w:type="dxa"/>
            <w:shd w:val="clear" w:color="auto" w:fill="auto"/>
            <w:vAlign w:val="center"/>
          </w:tcPr>
          <w:p>
            <w:pPr>
              <w:pStyle w:val="3463"/>
              <w:jc w:val="center"/>
              <w:rPr>
                <w:color w:val="000000" w:themeColor="text1"/>
                <w14:textFill>
                  <w14:solidFill>
                    <w14:schemeClr w14:val="tx1"/>
                  </w14:solidFill>
                </w14:textFill>
              </w:rPr>
            </w:pPr>
            <w:r>
              <w:rPr>
                <w:color w:val="000000" w:themeColor="text1"/>
                <w14:textFill>
                  <w14:solidFill>
                    <w14:schemeClr w14:val="tx1"/>
                  </w14:solidFill>
                </w14:textFill>
              </w:rPr>
              <w:t>入海河口、近岸海域</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12" w:hRule="atLeast"/>
        </w:trPr>
        <w:tc>
          <w:tcPr>
            <w:tcW w:w="1235" w:type="dxa"/>
            <w:shd w:val="clear" w:color="auto" w:fill="auto"/>
            <w:vAlign w:val="center"/>
          </w:tcPr>
          <w:p>
            <w:pPr>
              <w:pStyle w:val="3463"/>
              <w:jc w:val="center"/>
              <w:rPr>
                <w:color w:val="000000" w:themeColor="text1"/>
                <w14:textFill>
                  <w14:solidFill>
                    <w14:schemeClr w14:val="tx1"/>
                  </w14:solidFill>
                </w14:textFill>
              </w:rPr>
            </w:pPr>
            <w:r>
              <w:rPr>
                <w:color w:val="000000" w:themeColor="text1"/>
                <w14:textFill>
                  <w14:solidFill>
                    <w14:schemeClr w14:val="tx1"/>
                  </w14:solidFill>
                </w14:textFill>
              </w:rPr>
              <w:t>一级</w:t>
            </w:r>
          </w:p>
        </w:tc>
        <w:tc>
          <w:tcPr>
            <w:tcW w:w="1235" w:type="dxa"/>
            <w:shd w:val="clear" w:color="auto" w:fill="auto"/>
            <w:vAlign w:val="center"/>
          </w:tcPr>
          <w:p>
            <w:pPr>
              <w:pStyle w:val="3463"/>
              <w:jc w:val="center"/>
              <w:rPr>
                <w:color w:val="000000" w:themeColor="text1"/>
                <w14:textFill>
                  <w14:solidFill>
                    <w14:schemeClr w14:val="tx1"/>
                  </w14:solidFill>
                </w14:textFill>
              </w:rPr>
            </w:pPr>
            <w:r>
              <w:rPr>
                <w:color w:val="000000" w:themeColor="text1"/>
                <w14:textFill>
                  <w14:solidFill>
                    <w14:schemeClr w14:val="tx1"/>
                  </w14:solidFill>
                </w14:textFill>
              </w:rPr>
              <w:t>α≤10；或稳定分层</w:t>
            </w:r>
          </w:p>
        </w:tc>
        <w:tc>
          <w:tcPr>
            <w:tcW w:w="1312" w:type="dxa"/>
            <w:shd w:val="clear" w:color="auto" w:fill="auto"/>
            <w:vAlign w:val="center"/>
          </w:tcPr>
          <w:p>
            <w:pPr>
              <w:pStyle w:val="3463"/>
              <w:jc w:val="center"/>
              <w:rPr>
                <w:color w:val="000000" w:themeColor="text1"/>
                <w14:textFill>
                  <w14:solidFill>
                    <w14:schemeClr w14:val="tx1"/>
                  </w14:solidFill>
                </w14:textFill>
              </w:rPr>
            </w:pPr>
            <w:r>
              <w:rPr>
                <w:color w:val="000000" w:themeColor="text1"/>
                <w14:textFill>
                  <w14:solidFill>
                    <w14:schemeClr w14:val="tx1"/>
                  </w14:solidFill>
                </w14:textFill>
              </w:rPr>
              <w:t>β≥20；或完全年调节与多年调节</w:t>
            </w:r>
          </w:p>
        </w:tc>
        <w:tc>
          <w:tcPr>
            <w:tcW w:w="730" w:type="dxa"/>
            <w:shd w:val="clear" w:color="auto" w:fill="auto"/>
            <w:vAlign w:val="center"/>
          </w:tcPr>
          <w:p>
            <w:pPr>
              <w:pStyle w:val="3463"/>
              <w:jc w:val="center"/>
              <w:rPr>
                <w:color w:val="000000" w:themeColor="text1"/>
                <w14:textFill>
                  <w14:solidFill>
                    <w14:schemeClr w14:val="tx1"/>
                  </w14:solidFill>
                </w14:textFill>
              </w:rPr>
            </w:pPr>
            <w:r>
              <w:rPr>
                <w:color w:val="000000" w:themeColor="text1"/>
                <w14:textFill>
                  <w14:solidFill>
                    <w14:schemeClr w14:val="tx1"/>
                  </w14:solidFill>
                </w14:textFill>
              </w:rPr>
              <w:t>γ≥30</w:t>
            </w:r>
          </w:p>
        </w:tc>
        <w:tc>
          <w:tcPr>
            <w:tcW w:w="1168" w:type="dxa"/>
            <w:shd w:val="clear" w:color="auto" w:fill="auto"/>
            <w:vAlign w:val="center"/>
          </w:tcPr>
          <w:p>
            <w:pPr>
              <w:pStyle w:val="3463"/>
              <w:jc w:val="center"/>
              <w:rPr>
                <w:color w:val="000000" w:themeColor="text1"/>
                <w14:textFill>
                  <w14:solidFill>
                    <w14:schemeClr w14:val="tx1"/>
                  </w14:solidFill>
                </w14:textFill>
              </w:rPr>
            </w:pPr>
            <w:r>
              <w:rPr>
                <w:color w:val="000000" w:themeColor="text1"/>
                <w14:textFill>
                  <w14:solidFill>
                    <w14:schemeClr w14:val="tx1"/>
                  </w14:solidFill>
                </w14:textFill>
              </w:rPr>
              <w:t>A</w:t>
            </w:r>
            <w:r>
              <w:rPr>
                <w:color w:val="000000" w:themeColor="text1"/>
                <w:vertAlign w:val="subscript"/>
                <w14:textFill>
                  <w14:solidFill>
                    <w14:schemeClr w14:val="tx1"/>
                  </w14:solidFill>
                </w14:textFill>
              </w:rPr>
              <w:t>1</w:t>
            </w:r>
            <w:r>
              <w:rPr>
                <w:color w:val="000000" w:themeColor="text1"/>
                <w14:textFill>
                  <w14:solidFill>
                    <w14:schemeClr w14:val="tx1"/>
                  </w14:solidFill>
                </w14:textFill>
              </w:rPr>
              <w:t>≥0.3；或A</w:t>
            </w:r>
            <w:r>
              <w:rPr>
                <w:color w:val="000000" w:themeColor="text1"/>
                <w:vertAlign w:val="subscript"/>
                <w14:textFill>
                  <w14:solidFill>
                    <w14:schemeClr w14:val="tx1"/>
                  </w14:solidFill>
                </w14:textFill>
              </w:rPr>
              <w:t>2</w:t>
            </w:r>
            <w:r>
              <w:rPr>
                <w:color w:val="000000" w:themeColor="text1"/>
                <w14:textFill>
                  <w14:solidFill>
                    <w14:schemeClr w14:val="tx1"/>
                  </w14:solidFill>
                </w14:textFill>
              </w:rPr>
              <w:t>≥1.5；或R≥10</w:t>
            </w:r>
          </w:p>
        </w:tc>
        <w:tc>
          <w:tcPr>
            <w:tcW w:w="1168" w:type="dxa"/>
            <w:shd w:val="clear" w:color="auto" w:fill="auto"/>
            <w:vAlign w:val="center"/>
          </w:tcPr>
          <w:p>
            <w:pPr>
              <w:pStyle w:val="3463"/>
              <w:jc w:val="center"/>
              <w:rPr>
                <w:color w:val="000000" w:themeColor="text1"/>
                <w14:textFill>
                  <w14:solidFill>
                    <w14:schemeClr w14:val="tx1"/>
                  </w14:solidFill>
                </w14:textFill>
              </w:rPr>
            </w:pPr>
            <w:r>
              <w:rPr>
                <w:color w:val="000000" w:themeColor="text1"/>
                <w14:textFill>
                  <w14:solidFill>
                    <w14:schemeClr w14:val="tx1"/>
                  </w14:solidFill>
                </w14:textFill>
              </w:rPr>
              <w:t>A</w:t>
            </w:r>
            <w:r>
              <w:rPr>
                <w:color w:val="000000" w:themeColor="text1"/>
                <w:vertAlign w:val="subscript"/>
                <w14:textFill>
                  <w14:solidFill>
                    <w14:schemeClr w14:val="tx1"/>
                  </w14:solidFill>
                </w14:textFill>
              </w:rPr>
              <w:t>1</w:t>
            </w:r>
            <w:r>
              <w:rPr>
                <w:color w:val="000000" w:themeColor="text1"/>
                <w14:textFill>
                  <w14:solidFill>
                    <w14:schemeClr w14:val="tx1"/>
                  </w14:solidFill>
                </w14:textFill>
              </w:rPr>
              <w:t>≥0.3；或A</w:t>
            </w:r>
            <w:r>
              <w:rPr>
                <w:color w:val="000000" w:themeColor="text1"/>
                <w:vertAlign w:val="subscript"/>
                <w14:textFill>
                  <w14:solidFill>
                    <w14:schemeClr w14:val="tx1"/>
                  </w14:solidFill>
                </w14:textFill>
              </w:rPr>
              <w:t>2</w:t>
            </w:r>
            <w:r>
              <w:rPr>
                <w:color w:val="000000" w:themeColor="text1"/>
                <w14:textFill>
                  <w14:solidFill>
                    <w14:schemeClr w14:val="tx1"/>
                  </w14:solidFill>
                </w14:textFill>
              </w:rPr>
              <w:t>≥1.5；或R≥20</w:t>
            </w:r>
          </w:p>
        </w:tc>
        <w:tc>
          <w:tcPr>
            <w:tcW w:w="1680" w:type="dxa"/>
            <w:shd w:val="clear" w:color="auto" w:fill="auto"/>
            <w:vAlign w:val="center"/>
          </w:tcPr>
          <w:p>
            <w:pPr>
              <w:pStyle w:val="3463"/>
              <w:jc w:val="center"/>
              <w:rPr>
                <w:color w:val="000000" w:themeColor="text1"/>
                <w14:textFill>
                  <w14:solidFill>
                    <w14:schemeClr w14:val="tx1"/>
                  </w14:solidFill>
                </w14:textFill>
              </w:rPr>
            </w:pPr>
            <w:r>
              <w:rPr>
                <w:color w:val="000000" w:themeColor="text1"/>
                <w14:textFill>
                  <w14:solidFill>
                    <w14:schemeClr w14:val="tx1"/>
                  </w14:solidFill>
                </w14:textFill>
              </w:rPr>
              <w:t>A</w:t>
            </w:r>
            <w:r>
              <w:rPr>
                <w:color w:val="000000" w:themeColor="text1"/>
                <w:vertAlign w:val="subscript"/>
                <w14:textFill>
                  <w14:solidFill>
                    <w14:schemeClr w14:val="tx1"/>
                  </w14:solidFill>
                </w14:textFill>
              </w:rPr>
              <w:t>1</w:t>
            </w:r>
            <w:r>
              <w:rPr>
                <w:color w:val="000000" w:themeColor="text1"/>
                <w14:textFill>
                  <w14:solidFill>
                    <w14:schemeClr w14:val="tx1"/>
                  </w14:solidFill>
                </w14:textFill>
              </w:rPr>
              <w:t>≥0.5；或A</w:t>
            </w:r>
            <w:r>
              <w:rPr>
                <w:color w:val="000000" w:themeColor="text1"/>
                <w:vertAlign w:val="subscript"/>
                <w14:textFill>
                  <w14:solidFill>
                    <w14:schemeClr w14:val="tx1"/>
                  </w14:solidFill>
                </w14:textFill>
              </w:rPr>
              <w:t>2</w:t>
            </w:r>
            <w:r>
              <w:rPr>
                <w:color w:val="000000" w:themeColor="text1"/>
                <w14:textFill>
                  <w14:solidFill>
                    <w14:schemeClr w14:val="tx1"/>
                  </w14:solidFill>
                </w14:textFill>
              </w:rPr>
              <w:t>≥3</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12" w:hRule="atLeast"/>
        </w:trPr>
        <w:tc>
          <w:tcPr>
            <w:tcW w:w="1235" w:type="dxa"/>
            <w:shd w:val="clear" w:color="auto" w:fill="auto"/>
            <w:vAlign w:val="center"/>
          </w:tcPr>
          <w:p>
            <w:pPr>
              <w:pStyle w:val="3463"/>
              <w:jc w:val="center"/>
              <w:rPr>
                <w:color w:val="000000" w:themeColor="text1"/>
                <w14:textFill>
                  <w14:solidFill>
                    <w14:schemeClr w14:val="tx1"/>
                  </w14:solidFill>
                </w14:textFill>
              </w:rPr>
            </w:pPr>
            <w:r>
              <w:rPr>
                <w:color w:val="000000" w:themeColor="text1"/>
                <w14:textFill>
                  <w14:solidFill>
                    <w14:schemeClr w14:val="tx1"/>
                  </w14:solidFill>
                </w14:textFill>
              </w:rPr>
              <w:t>二级</w:t>
            </w:r>
          </w:p>
        </w:tc>
        <w:tc>
          <w:tcPr>
            <w:tcW w:w="1235" w:type="dxa"/>
            <w:shd w:val="clear" w:color="auto" w:fill="auto"/>
            <w:vAlign w:val="center"/>
          </w:tcPr>
          <w:p>
            <w:pPr>
              <w:pStyle w:val="3463"/>
              <w:jc w:val="center"/>
              <w:rPr>
                <w:color w:val="000000" w:themeColor="text1"/>
                <w14:textFill>
                  <w14:solidFill>
                    <w14:schemeClr w14:val="tx1"/>
                  </w14:solidFill>
                </w14:textFill>
              </w:rPr>
            </w:pPr>
            <w:r>
              <w:rPr>
                <w:color w:val="000000" w:themeColor="text1"/>
                <w14:textFill>
                  <w14:solidFill>
                    <w14:schemeClr w14:val="tx1"/>
                  </w14:solidFill>
                </w14:textFill>
              </w:rPr>
              <w:t>20＞α＞10；或不稳定分层</w:t>
            </w:r>
          </w:p>
        </w:tc>
        <w:tc>
          <w:tcPr>
            <w:tcW w:w="1312" w:type="dxa"/>
            <w:shd w:val="clear" w:color="auto" w:fill="auto"/>
            <w:vAlign w:val="center"/>
          </w:tcPr>
          <w:p>
            <w:pPr>
              <w:pStyle w:val="3463"/>
              <w:jc w:val="center"/>
              <w:rPr>
                <w:color w:val="000000" w:themeColor="text1"/>
                <w14:textFill>
                  <w14:solidFill>
                    <w14:schemeClr w14:val="tx1"/>
                  </w14:solidFill>
                </w14:textFill>
              </w:rPr>
            </w:pPr>
            <w:r>
              <w:rPr>
                <w:color w:val="000000" w:themeColor="text1"/>
                <w14:textFill>
                  <w14:solidFill>
                    <w14:schemeClr w14:val="tx1"/>
                  </w14:solidFill>
                </w14:textFill>
              </w:rPr>
              <w:t>20＞β＞2；或季调节与不完全年调节</w:t>
            </w:r>
          </w:p>
        </w:tc>
        <w:tc>
          <w:tcPr>
            <w:tcW w:w="730" w:type="dxa"/>
            <w:shd w:val="clear" w:color="auto" w:fill="auto"/>
            <w:vAlign w:val="center"/>
          </w:tcPr>
          <w:p>
            <w:pPr>
              <w:pStyle w:val="3463"/>
              <w:jc w:val="center"/>
              <w:rPr>
                <w:color w:val="000000" w:themeColor="text1"/>
                <w14:textFill>
                  <w14:solidFill>
                    <w14:schemeClr w14:val="tx1"/>
                  </w14:solidFill>
                </w14:textFill>
              </w:rPr>
            </w:pPr>
            <w:r>
              <w:rPr>
                <w:color w:val="000000" w:themeColor="text1"/>
                <w14:textFill>
                  <w14:solidFill>
                    <w14:schemeClr w14:val="tx1"/>
                  </w14:solidFill>
                </w14:textFill>
              </w:rPr>
              <w:t>30＞γ＞10</w:t>
            </w:r>
          </w:p>
        </w:tc>
        <w:tc>
          <w:tcPr>
            <w:tcW w:w="1168" w:type="dxa"/>
            <w:shd w:val="clear" w:color="auto" w:fill="auto"/>
            <w:vAlign w:val="center"/>
          </w:tcPr>
          <w:p>
            <w:pPr>
              <w:pStyle w:val="3463"/>
              <w:jc w:val="center"/>
              <w:rPr>
                <w:color w:val="000000" w:themeColor="text1"/>
                <w14:textFill>
                  <w14:solidFill>
                    <w14:schemeClr w14:val="tx1"/>
                  </w14:solidFill>
                </w14:textFill>
              </w:rPr>
            </w:pPr>
            <w:r>
              <w:rPr>
                <w:color w:val="000000" w:themeColor="text1"/>
                <w14:textFill>
                  <w14:solidFill>
                    <w14:schemeClr w14:val="tx1"/>
                  </w14:solidFill>
                </w14:textFill>
              </w:rPr>
              <w:t>0.3＞A</w:t>
            </w:r>
            <w:r>
              <w:rPr>
                <w:color w:val="000000" w:themeColor="text1"/>
                <w:vertAlign w:val="subscript"/>
                <w14:textFill>
                  <w14:solidFill>
                    <w14:schemeClr w14:val="tx1"/>
                  </w14:solidFill>
                </w14:textFill>
              </w:rPr>
              <w:t>1</w:t>
            </w:r>
            <w:r>
              <w:rPr>
                <w:color w:val="000000" w:themeColor="text1"/>
                <w14:textFill>
                  <w14:solidFill>
                    <w14:schemeClr w14:val="tx1"/>
                  </w14:solidFill>
                </w14:textFill>
              </w:rPr>
              <w:t>＞0.05；或1.5＞A</w:t>
            </w:r>
            <w:r>
              <w:rPr>
                <w:color w:val="000000" w:themeColor="text1"/>
                <w:vertAlign w:val="subscript"/>
                <w14:textFill>
                  <w14:solidFill>
                    <w14:schemeClr w14:val="tx1"/>
                  </w14:solidFill>
                </w14:textFill>
              </w:rPr>
              <w:t>2</w:t>
            </w:r>
            <w:r>
              <w:rPr>
                <w:color w:val="000000" w:themeColor="text1"/>
                <w14:textFill>
                  <w14:solidFill>
                    <w14:schemeClr w14:val="tx1"/>
                  </w14:solidFill>
                </w14:textFill>
              </w:rPr>
              <w:t>＞0.2；或</w:t>
            </w:r>
          </w:p>
          <w:p>
            <w:pPr>
              <w:pStyle w:val="3463"/>
              <w:jc w:val="center"/>
              <w:rPr>
                <w:color w:val="000000" w:themeColor="text1"/>
                <w14:textFill>
                  <w14:solidFill>
                    <w14:schemeClr w14:val="tx1"/>
                  </w14:solidFill>
                </w14:textFill>
              </w:rPr>
            </w:pPr>
            <w:r>
              <w:rPr>
                <w:color w:val="000000" w:themeColor="text1"/>
                <w14:textFill>
                  <w14:solidFill>
                    <w14:schemeClr w14:val="tx1"/>
                  </w14:solidFill>
                </w14:textFill>
              </w:rPr>
              <w:t>10＞R＞5</w:t>
            </w:r>
          </w:p>
        </w:tc>
        <w:tc>
          <w:tcPr>
            <w:tcW w:w="1168" w:type="dxa"/>
            <w:shd w:val="clear" w:color="auto" w:fill="auto"/>
            <w:vAlign w:val="center"/>
          </w:tcPr>
          <w:p>
            <w:pPr>
              <w:pStyle w:val="3463"/>
              <w:jc w:val="center"/>
              <w:rPr>
                <w:color w:val="000000" w:themeColor="text1"/>
                <w14:textFill>
                  <w14:solidFill>
                    <w14:schemeClr w14:val="tx1"/>
                  </w14:solidFill>
                </w14:textFill>
              </w:rPr>
            </w:pPr>
            <w:r>
              <w:rPr>
                <w:color w:val="000000" w:themeColor="text1"/>
                <w14:textFill>
                  <w14:solidFill>
                    <w14:schemeClr w14:val="tx1"/>
                  </w14:solidFill>
                </w14:textFill>
              </w:rPr>
              <w:t>0.3＞A</w:t>
            </w:r>
            <w:r>
              <w:rPr>
                <w:color w:val="000000" w:themeColor="text1"/>
                <w:vertAlign w:val="subscript"/>
                <w14:textFill>
                  <w14:solidFill>
                    <w14:schemeClr w14:val="tx1"/>
                  </w14:solidFill>
                </w14:textFill>
              </w:rPr>
              <w:t>1</w:t>
            </w:r>
            <w:r>
              <w:rPr>
                <w:color w:val="000000" w:themeColor="text1"/>
                <w14:textFill>
                  <w14:solidFill>
                    <w14:schemeClr w14:val="tx1"/>
                  </w14:solidFill>
                </w14:textFill>
              </w:rPr>
              <w:t>＞0.05</w:t>
            </w:r>
          </w:p>
          <w:p>
            <w:pPr>
              <w:pStyle w:val="3463"/>
              <w:jc w:val="center"/>
              <w:rPr>
                <w:color w:val="000000" w:themeColor="text1"/>
                <w14:textFill>
                  <w14:solidFill>
                    <w14:schemeClr w14:val="tx1"/>
                  </w14:solidFill>
                </w14:textFill>
              </w:rPr>
            </w:pPr>
            <w:r>
              <w:rPr>
                <w:color w:val="000000" w:themeColor="text1"/>
                <w14:textFill>
                  <w14:solidFill>
                    <w14:schemeClr w14:val="tx1"/>
                  </w14:solidFill>
                </w14:textFill>
              </w:rPr>
              <w:t>1.5＞A</w:t>
            </w:r>
            <w:r>
              <w:rPr>
                <w:color w:val="000000" w:themeColor="text1"/>
                <w:vertAlign w:val="subscript"/>
                <w14:textFill>
                  <w14:solidFill>
                    <w14:schemeClr w14:val="tx1"/>
                  </w14:solidFill>
                </w14:textFill>
              </w:rPr>
              <w:t>2</w:t>
            </w:r>
            <w:r>
              <w:rPr>
                <w:color w:val="000000" w:themeColor="text1"/>
                <w14:textFill>
                  <w14:solidFill>
                    <w14:schemeClr w14:val="tx1"/>
                  </w14:solidFill>
                </w14:textFill>
              </w:rPr>
              <w:t>＞0.2；或20＞R＞5</w:t>
            </w:r>
          </w:p>
        </w:tc>
        <w:tc>
          <w:tcPr>
            <w:tcW w:w="1680" w:type="dxa"/>
            <w:shd w:val="clear" w:color="auto" w:fill="auto"/>
            <w:vAlign w:val="center"/>
          </w:tcPr>
          <w:p>
            <w:pPr>
              <w:pStyle w:val="3463"/>
              <w:jc w:val="center"/>
              <w:rPr>
                <w:color w:val="000000" w:themeColor="text1"/>
                <w14:textFill>
                  <w14:solidFill>
                    <w14:schemeClr w14:val="tx1"/>
                  </w14:solidFill>
                </w14:textFill>
              </w:rPr>
            </w:pPr>
            <w:r>
              <w:rPr>
                <w:color w:val="000000" w:themeColor="text1"/>
                <w14:textFill>
                  <w14:solidFill>
                    <w14:schemeClr w14:val="tx1"/>
                  </w14:solidFill>
                </w14:textFill>
              </w:rPr>
              <w:t>0.5＞A</w:t>
            </w:r>
            <w:r>
              <w:rPr>
                <w:color w:val="000000" w:themeColor="text1"/>
                <w:vertAlign w:val="subscript"/>
                <w14:textFill>
                  <w14:solidFill>
                    <w14:schemeClr w14:val="tx1"/>
                  </w14:solidFill>
                </w14:textFill>
              </w:rPr>
              <w:t>1</w:t>
            </w:r>
            <w:r>
              <w:rPr>
                <w:color w:val="000000" w:themeColor="text1"/>
                <w14:textFill>
                  <w14:solidFill>
                    <w14:schemeClr w14:val="tx1"/>
                  </w14:solidFill>
                </w14:textFill>
              </w:rPr>
              <w:t>＞0.15；或3＞A</w:t>
            </w:r>
            <w:r>
              <w:rPr>
                <w:color w:val="000000" w:themeColor="text1"/>
                <w:vertAlign w:val="subscript"/>
                <w14:textFill>
                  <w14:solidFill>
                    <w14:schemeClr w14:val="tx1"/>
                  </w14:solidFill>
                </w14:textFill>
              </w:rPr>
              <w:t>2</w:t>
            </w:r>
            <w:r>
              <w:rPr>
                <w:color w:val="000000" w:themeColor="text1"/>
                <w14:textFill>
                  <w14:solidFill>
                    <w14:schemeClr w14:val="tx1"/>
                  </w14:solidFill>
                </w14:textFill>
              </w:rPr>
              <w:t>＞0.5</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12" w:hRule="atLeast"/>
        </w:trPr>
        <w:tc>
          <w:tcPr>
            <w:tcW w:w="1235" w:type="dxa"/>
            <w:shd w:val="clear" w:color="auto" w:fill="auto"/>
            <w:vAlign w:val="center"/>
          </w:tcPr>
          <w:p>
            <w:pPr>
              <w:pStyle w:val="3463"/>
              <w:jc w:val="center"/>
              <w:rPr>
                <w:color w:val="000000" w:themeColor="text1"/>
                <w14:textFill>
                  <w14:solidFill>
                    <w14:schemeClr w14:val="tx1"/>
                  </w14:solidFill>
                </w14:textFill>
              </w:rPr>
            </w:pPr>
            <w:r>
              <w:rPr>
                <w:color w:val="000000" w:themeColor="text1"/>
                <w14:textFill>
                  <w14:solidFill>
                    <w14:schemeClr w14:val="tx1"/>
                  </w14:solidFill>
                </w14:textFill>
              </w:rPr>
              <w:t>三级</w:t>
            </w:r>
          </w:p>
        </w:tc>
        <w:tc>
          <w:tcPr>
            <w:tcW w:w="1235" w:type="dxa"/>
            <w:shd w:val="clear" w:color="auto" w:fill="auto"/>
            <w:vAlign w:val="center"/>
          </w:tcPr>
          <w:p>
            <w:pPr>
              <w:pStyle w:val="3463"/>
              <w:jc w:val="center"/>
              <w:rPr>
                <w:color w:val="000000" w:themeColor="text1"/>
                <w14:textFill>
                  <w14:solidFill>
                    <w14:schemeClr w14:val="tx1"/>
                  </w14:solidFill>
                </w14:textFill>
              </w:rPr>
            </w:pPr>
            <w:r>
              <w:rPr>
                <w:color w:val="000000" w:themeColor="text1"/>
                <w14:textFill>
                  <w14:solidFill>
                    <w14:schemeClr w14:val="tx1"/>
                  </w14:solidFill>
                </w14:textFill>
              </w:rPr>
              <w:t>α≥20；或混合型</w:t>
            </w:r>
          </w:p>
        </w:tc>
        <w:tc>
          <w:tcPr>
            <w:tcW w:w="1312" w:type="dxa"/>
            <w:shd w:val="clear" w:color="auto" w:fill="auto"/>
            <w:vAlign w:val="center"/>
          </w:tcPr>
          <w:p>
            <w:pPr>
              <w:pStyle w:val="3463"/>
              <w:jc w:val="center"/>
              <w:rPr>
                <w:color w:val="000000" w:themeColor="text1"/>
                <w14:textFill>
                  <w14:solidFill>
                    <w14:schemeClr w14:val="tx1"/>
                  </w14:solidFill>
                </w14:textFill>
              </w:rPr>
            </w:pPr>
            <w:r>
              <w:rPr>
                <w:color w:val="000000" w:themeColor="text1"/>
                <w14:textFill>
                  <w14:solidFill>
                    <w14:schemeClr w14:val="tx1"/>
                  </w14:solidFill>
                </w14:textFill>
              </w:rPr>
              <w:t>β≤2；或无调节</w:t>
            </w:r>
          </w:p>
        </w:tc>
        <w:tc>
          <w:tcPr>
            <w:tcW w:w="730" w:type="dxa"/>
            <w:shd w:val="clear" w:color="auto" w:fill="auto"/>
            <w:vAlign w:val="center"/>
          </w:tcPr>
          <w:p>
            <w:pPr>
              <w:pStyle w:val="3463"/>
              <w:jc w:val="center"/>
              <w:rPr>
                <w:color w:val="000000" w:themeColor="text1"/>
                <w14:textFill>
                  <w14:solidFill>
                    <w14:schemeClr w14:val="tx1"/>
                  </w14:solidFill>
                </w14:textFill>
              </w:rPr>
            </w:pPr>
            <w:r>
              <w:rPr>
                <w:color w:val="000000" w:themeColor="text1"/>
                <w14:textFill>
                  <w14:solidFill>
                    <w14:schemeClr w14:val="tx1"/>
                  </w14:solidFill>
                </w14:textFill>
              </w:rPr>
              <w:t>γ≤10</w:t>
            </w:r>
          </w:p>
        </w:tc>
        <w:tc>
          <w:tcPr>
            <w:tcW w:w="1168" w:type="dxa"/>
            <w:shd w:val="clear" w:color="auto" w:fill="auto"/>
            <w:vAlign w:val="center"/>
          </w:tcPr>
          <w:p>
            <w:pPr>
              <w:pStyle w:val="3463"/>
              <w:jc w:val="center"/>
              <w:rPr>
                <w:color w:val="000000" w:themeColor="text1"/>
                <w14:textFill>
                  <w14:solidFill>
                    <w14:schemeClr w14:val="tx1"/>
                  </w14:solidFill>
                </w14:textFill>
              </w:rPr>
            </w:pPr>
            <w:r>
              <w:rPr>
                <w:color w:val="000000" w:themeColor="text1"/>
                <w14:textFill>
                  <w14:solidFill>
                    <w14:schemeClr w14:val="tx1"/>
                  </w14:solidFill>
                </w14:textFill>
              </w:rPr>
              <w:t>A</w:t>
            </w:r>
            <w:r>
              <w:rPr>
                <w:color w:val="000000" w:themeColor="text1"/>
                <w:vertAlign w:val="subscript"/>
                <w14:textFill>
                  <w14:solidFill>
                    <w14:schemeClr w14:val="tx1"/>
                  </w14:solidFill>
                </w14:textFill>
              </w:rPr>
              <w:t>1</w:t>
            </w:r>
            <w:r>
              <w:rPr>
                <w:color w:val="000000" w:themeColor="text1"/>
                <w14:textFill>
                  <w14:solidFill>
                    <w14:schemeClr w14:val="tx1"/>
                  </w14:solidFill>
                </w14:textFill>
              </w:rPr>
              <w:t>≤0.05；或A</w:t>
            </w:r>
            <w:r>
              <w:rPr>
                <w:color w:val="000000" w:themeColor="text1"/>
                <w:vertAlign w:val="subscript"/>
                <w14:textFill>
                  <w14:solidFill>
                    <w14:schemeClr w14:val="tx1"/>
                  </w14:solidFill>
                </w14:textFill>
              </w:rPr>
              <w:t>2</w:t>
            </w:r>
            <w:r>
              <w:rPr>
                <w:color w:val="000000" w:themeColor="text1"/>
                <w14:textFill>
                  <w14:solidFill>
                    <w14:schemeClr w14:val="tx1"/>
                  </w14:solidFill>
                </w14:textFill>
              </w:rPr>
              <w:t>≤0.2；或R≤5</w:t>
            </w:r>
          </w:p>
        </w:tc>
        <w:tc>
          <w:tcPr>
            <w:tcW w:w="1168" w:type="dxa"/>
            <w:shd w:val="clear" w:color="auto" w:fill="auto"/>
            <w:vAlign w:val="center"/>
          </w:tcPr>
          <w:p>
            <w:pPr>
              <w:pStyle w:val="3463"/>
              <w:jc w:val="center"/>
              <w:rPr>
                <w:color w:val="000000" w:themeColor="text1"/>
                <w14:textFill>
                  <w14:solidFill>
                    <w14:schemeClr w14:val="tx1"/>
                  </w14:solidFill>
                </w14:textFill>
              </w:rPr>
            </w:pPr>
            <w:r>
              <w:rPr>
                <w:color w:val="000000" w:themeColor="text1"/>
                <w14:textFill>
                  <w14:solidFill>
                    <w14:schemeClr w14:val="tx1"/>
                  </w14:solidFill>
                </w14:textFill>
              </w:rPr>
              <w:t>A</w:t>
            </w:r>
            <w:r>
              <w:rPr>
                <w:color w:val="000000" w:themeColor="text1"/>
                <w:vertAlign w:val="subscript"/>
                <w14:textFill>
                  <w14:solidFill>
                    <w14:schemeClr w14:val="tx1"/>
                  </w14:solidFill>
                </w14:textFill>
              </w:rPr>
              <w:t>1</w:t>
            </w:r>
            <w:r>
              <w:rPr>
                <w:color w:val="000000" w:themeColor="text1"/>
                <w14:textFill>
                  <w14:solidFill>
                    <w14:schemeClr w14:val="tx1"/>
                  </w14:solidFill>
                </w14:textFill>
              </w:rPr>
              <w:t>≤0.05；或A</w:t>
            </w:r>
            <w:r>
              <w:rPr>
                <w:color w:val="000000" w:themeColor="text1"/>
                <w:vertAlign w:val="subscript"/>
                <w14:textFill>
                  <w14:solidFill>
                    <w14:schemeClr w14:val="tx1"/>
                  </w14:solidFill>
                </w14:textFill>
              </w:rPr>
              <w:t>2</w:t>
            </w:r>
            <w:r>
              <w:rPr>
                <w:color w:val="000000" w:themeColor="text1"/>
                <w14:textFill>
                  <w14:solidFill>
                    <w14:schemeClr w14:val="tx1"/>
                  </w14:solidFill>
                </w14:textFill>
              </w:rPr>
              <w:t>≤0.2；或R≤5</w:t>
            </w:r>
          </w:p>
        </w:tc>
        <w:tc>
          <w:tcPr>
            <w:tcW w:w="1680" w:type="dxa"/>
            <w:shd w:val="clear" w:color="auto" w:fill="auto"/>
            <w:vAlign w:val="center"/>
          </w:tcPr>
          <w:p>
            <w:pPr>
              <w:pStyle w:val="3463"/>
              <w:jc w:val="center"/>
              <w:rPr>
                <w:color w:val="000000" w:themeColor="text1"/>
                <w14:textFill>
                  <w14:solidFill>
                    <w14:schemeClr w14:val="tx1"/>
                  </w14:solidFill>
                </w14:textFill>
              </w:rPr>
            </w:pPr>
            <w:r>
              <w:rPr>
                <w:color w:val="000000" w:themeColor="text1"/>
                <w14:textFill>
                  <w14:solidFill>
                    <w14:schemeClr w14:val="tx1"/>
                  </w14:solidFill>
                </w14:textFill>
              </w:rPr>
              <w:t>A</w:t>
            </w:r>
            <w:r>
              <w:rPr>
                <w:color w:val="000000" w:themeColor="text1"/>
                <w:vertAlign w:val="subscript"/>
                <w14:textFill>
                  <w14:solidFill>
                    <w14:schemeClr w14:val="tx1"/>
                  </w14:solidFill>
                </w14:textFill>
              </w:rPr>
              <w:t>1</w:t>
            </w:r>
            <w:r>
              <w:rPr>
                <w:color w:val="000000" w:themeColor="text1"/>
                <w14:textFill>
                  <w14:solidFill>
                    <w14:schemeClr w14:val="tx1"/>
                  </w14:solidFill>
                </w14:textFill>
              </w:rPr>
              <w:t>≤0.15；A</w:t>
            </w:r>
            <w:r>
              <w:rPr>
                <w:color w:val="000000" w:themeColor="text1"/>
                <w:vertAlign w:val="subscript"/>
                <w14:textFill>
                  <w14:solidFill>
                    <w14:schemeClr w14:val="tx1"/>
                  </w14:solidFill>
                </w14:textFill>
              </w:rPr>
              <w:t>2</w:t>
            </w:r>
            <w:r>
              <w:rPr>
                <w:color w:val="000000" w:themeColor="text1"/>
                <w14:textFill>
                  <w14:solidFill>
                    <w14:schemeClr w14:val="tx1"/>
                  </w14:solidFill>
                </w14:textFill>
              </w:rPr>
              <w:t>≤0.5</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12" w:hRule="atLeast"/>
        </w:trPr>
        <w:tc>
          <w:tcPr>
            <w:tcW w:w="8528" w:type="dxa"/>
            <w:gridSpan w:val="7"/>
            <w:shd w:val="clear" w:color="auto" w:fill="auto"/>
            <w:vAlign w:val="center"/>
          </w:tcPr>
          <w:p>
            <w:pPr>
              <w:pStyle w:val="3463"/>
              <w:jc w:val="left"/>
              <w:rPr>
                <w:color w:val="000000" w:themeColor="text1"/>
                <w14:textFill>
                  <w14:solidFill>
                    <w14:schemeClr w14:val="tx1"/>
                  </w14:solidFill>
                </w14:textFill>
              </w:rPr>
            </w:pPr>
            <w:r>
              <w:rPr>
                <w:color w:val="000000" w:themeColor="text1"/>
                <w14:textFill>
                  <w14:solidFill>
                    <w14:schemeClr w14:val="tx1"/>
                  </w14:solidFill>
                </w14:textFill>
              </w:rPr>
              <w:t>注1：影响范围涉及饮用水水源保护区、重点保护与珍稀水生生物的栖息地、重要水生生物的自然产卵场、自然保护区等保护目标，评价等级不低于二级。</w:t>
            </w:r>
          </w:p>
          <w:p>
            <w:pPr>
              <w:pStyle w:val="3463"/>
              <w:jc w:val="left"/>
              <w:rPr>
                <w:color w:val="000000" w:themeColor="text1"/>
                <w14:textFill>
                  <w14:solidFill>
                    <w14:schemeClr w14:val="tx1"/>
                  </w14:solidFill>
                </w14:textFill>
              </w:rPr>
            </w:pPr>
            <w:r>
              <w:rPr>
                <w:color w:val="000000" w:themeColor="text1"/>
                <w14:textFill>
                  <w14:solidFill>
                    <w14:schemeClr w14:val="tx1"/>
                  </w14:solidFill>
                </w14:textFill>
              </w:rPr>
              <w:t>注2：跨流域调水、引水式电站、可能受到河流感潮河段影响，评价等级不低于二级。</w:t>
            </w:r>
          </w:p>
          <w:p>
            <w:pPr>
              <w:pStyle w:val="3463"/>
              <w:jc w:val="left"/>
              <w:rPr>
                <w:color w:val="000000" w:themeColor="text1"/>
                <w14:textFill>
                  <w14:solidFill>
                    <w14:schemeClr w14:val="tx1"/>
                  </w14:solidFill>
                </w14:textFill>
              </w:rPr>
            </w:pPr>
            <w:r>
              <w:rPr>
                <w:color w:val="000000" w:themeColor="text1"/>
                <w14:textFill>
                  <w14:solidFill>
                    <w14:schemeClr w14:val="tx1"/>
                  </w14:solidFill>
                </w14:textFill>
              </w:rPr>
              <w:t>注3：造成入海河口（湾口）宽度束窄（束窄尺度达到原宽度的5%以上）评价等级应不低于二级。</w:t>
            </w:r>
          </w:p>
          <w:p>
            <w:pPr>
              <w:pStyle w:val="3463"/>
              <w:jc w:val="left"/>
              <w:rPr>
                <w:color w:val="000000" w:themeColor="text1"/>
                <w14:textFill>
                  <w14:solidFill>
                    <w14:schemeClr w14:val="tx1"/>
                  </w14:solidFill>
                </w14:textFill>
              </w:rPr>
            </w:pPr>
            <w:r>
              <w:rPr>
                <w:color w:val="000000" w:themeColor="text1"/>
                <w14:textFill>
                  <w14:solidFill>
                    <w14:schemeClr w14:val="tx1"/>
                  </w14:solidFill>
                </w14:textFill>
              </w:rPr>
              <w:t>注4：对不透水的单方向建筑尺度较长的水工建筑物（如防波堤、导流堤等），其与潮流或水流主流向切线垂直方向投影长度大于2km时，评价等级应不低于二级。</w:t>
            </w:r>
          </w:p>
          <w:p>
            <w:pPr>
              <w:pStyle w:val="3463"/>
              <w:jc w:val="left"/>
              <w:rPr>
                <w:color w:val="000000" w:themeColor="text1"/>
                <w14:textFill>
                  <w14:solidFill>
                    <w14:schemeClr w14:val="tx1"/>
                  </w14:solidFill>
                </w14:textFill>
              </w:rPr>
            </w:pPr>
            <w:r>
              <w:rPr>
                <w:color w:val="000000" w:themeColor="text1"/>
                <w14:textFill>
                  <w14:solidFill>
                    <w14:schemeClr w14:val="tx1"/>
                  </w14:solidFill>
                </w14:textFill>
              </w:rPr>
              <w:t>注5：允许在一类海域建设的项目，评价等级为一级。</w:t>
            </w:r>
          </w:p>
          <w:p>
            <w:pPr>
              <w:pStyle w:val="3463"/>
              <w:jc w:val="left"/>
              <w:rPr>
                <w:color w:val="000000" w:themeColor="text1"/>
                <w14:textFill>
                  <w14:solidFill>
                    <w14:schemeClr w14:val="tx1"/>
                  </w14:solidFill>
                </w14:textFill>
              </w:rPr>
            </w:pPr>
            <w:r>
              <w:rPr>
                <w:color w:val="000000" w:themeColor="text1"/>
                <w14:textFill>
                  <w14:solidFill>
                    <w14:schemeClr w14:val="tx1"/>
                  </w14:solidFill>
                </w14:textFill>
              </w:rPr>
              <w:t>注6：同时存在多个水文要素影响的建设项目，分别判定各水文要素影响评价等级，并取其中最高等级作为水文要素影响型建设项目评价等级。</w:t>
            </w:r>
          </w:p>
        </w:tc>
      </w:tr>
    </w:tbl>
    <w:p>
      <w:pPr>
        <w:ind w:firstLine="480"/>
        <w:rPr>
          <w:color w:val="000000" w:themeColor="text1"/>
          <w14:textFill>
            <w14:solidFill>
              <w14:schemeClr w14:val="tx1"/>
            </w14:solidFill>
          </w14:textFill>
        </w:rPr>
      </w:pPr>
      <w:r>
        <w:rPr>
          <w:color w:val="000000" w:themeColor="text1"/>
          <w14:textFill>
            <w14:solidFill>
              <w14:schemeClr w14:val="tx1"/>
            </w14:solidFill>
          </w14:textFill>
        </w:rPr>
        <w:t>工程垂直投影面积，</w:t>
      </w:r>
      <w:bookmarkStart w:id="35" w:name="_Hlk171069277"/>
      <w:r>
        <w:rPr>
          <w:rFonts w:hint="eastAsia"/>
          <w:i/>
          <w:color w:val="000000" w:themeColor="text1"/>
          <w14:textFill>
            <w14:solidFill>
              <w14:schemeClr w14:val="tx1"/>
            </w14:solidFill>
          </w14:textFill>
        </w:rPr>
        <w:t>A</w:t>
      </w:r>
      <w:r>
        <w:rPr>
          <w:rFonts w:hint="eastAsia"/>
          <w:color w:val="000000" w:themeColor="text1"/>
          <w:vertAlign w:val="subscript"/>
          <w14:textFill>
            <w14:solidFill>
              <w14:schemeClr w14:val="tx1"/>
            </w14:solidFill>
          </w14:textFill>
        </w:rPr>
        <w:t>1</w:t>
      </w:r>
      <w:r>
        <w:rPr>
          <w:rFonts w:hint="eastAsia"/>
          <w:color w:val="000000" w:themeColor="text1"/>
          <w14:textFill>
            <w14:solidFill>
              <w14:schemeClr w14:val="tx1"/>
            </w14:solidFill>
          </w14:textFill>
        </w:rPr>
        <w:t>=疏浚面积+炸礁面积+水工结构永久占用海域面积=0.2487+0.0786+0.0052km</w:t>
      </w:r>
      <w:r>
        <w:rPr>
          <w:rFonts w:hint="eastAsia"/>
          <w:color w:val="000000" w:themeColor="text1"/>
          <w:vertAlign w:val="superscript"/>
          <w14:textFill>
            <w14:solidFill>
              <w14:schemeClr w14:val="tx1"/>
            </w14:solidFill>
          </w14:textFill>
        </w:rPr>
        <w:t>2</w:t>
      </w:r>
      <w:r>
        <w:rPr>
          <w:rFonts w:hint="eastAsia"/>
          <w:color w:val="000000" w:themeColor="text1"/>
          <w14:textFill>
            <w14:solidFill>
              <w14:schemeClr w14:val="tx1"/>
            </w14:solidFill>
          </w14:textFill>
        </w:rPr>
        <w:t>=0.3325km</w:t>
      </w:r>
      <w:r>
        <w:rPr>
          <w:rFonts w:hint="eastAsia"/>
          <w:color w:val="000000" w:themeColor="text1"/>
          <w:vertAlign w:val="superscript"/>
          <w14:textFill>
            <w14:solidFill>
              <w14:schemeClr w14:val="tx1"/>
            </w14:solidFill>
          </w14:textFill>
        </w:rPr>
        <w:t>2</w:t>
      </w:r>
      <w:r>
        <w:rPr>
          <w:rFonts w:hint="eastAsia"/>
          <w:color w:val="000000" w:themeColor="text1"/>
          <w14:textFill>
            <w14:solidFill>
              <w14:schemeClr w14:val="tx1"/>
            </w14:solidFill>
          </w14:textFill>
        </w:rPr>
        <w:t>＜0.5 km</w:t>
      </w:r>
      <w:r>
        <w:rPr>
          <w:rFonts w:hint="eastAsia"/>
          <w:color w:val="000000" w:themeColor="text1"/>
          <w:vertAlign w:val="superscript"/>
          <w14:textFill>
            <w14:solidFill>
              <w14:schemeClr w14:val="tx1"/>
            </w14:solidFill>
          </w14:textFill>
        </w:rPr>
        <w:t>2</w:t>
      </w:r>
      <w:bookmarkEnd w:id="35"/>
      <w:r>
        <w:rPr>
          <w:rFonts w:hint="eastAsia"/>
          <w:color w:val="000000" w:themeColor="text1"/>
          <w14:textFill>
            <w14:solidFill>
              <w14:schemeClr w14:val="tx1"/>
            </w14:solidFill>
          </w14:textFill>
        </w:rPr>
        <w:t>，且＞0.15 km</w:t>
      </w:r>
      <w:r>
        <w:rPr>
          <w:rFonts w:hint="eastAsia"/>
          <w:color w:val="000000" w:themeColor="text1"/>
          <w:vertAlign w:val="superscript"/>
          <w14:textFill>
            <w14:solidFill>
              <w14:schemeClr w14:val="tx1"/>
            </w14:solidFill>
          </w14:textFill>
        </w:rPr>
        <w:t>2</w:t>
      </w:r>
      <w:r>
        <w:rPr>
          <w:rFonts w:hint="eastAsia"/>
          <w:color w:val="000000" w:themeColor="text1"/>
          <w14:textFill>
            <w14:solidFill>
              <w14:schemeClr w14:val="tx1"/>
            </w14:solidFill>
          </w14:textFill>
        </w:rPr>
        <w:t>。</w:t>
      </w:r>
    </w:p>
    <w:p>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工程扰动水底面积，</w:t>
      </w:r>
      <w:r>
        <w:rPr>
          <w:rFonts w:hint="eastAsia"/>
          <w:i/>
          <w:color w:val="000000" w:themeColor="text1"/>
          <w14:textFill>
            <w14:solidFill>
              <w14:schemeClr w14:val="tx1"/>
            </w14:solidFill>
          </w14:textFill>
        </w:rPr>
        <w:t>A</w:t>
      </w:r>
      <w:r>
        <w:rPr>
          <w:rFonts w:hint="eastAsia"/>
          <w:color w:val="000000" w:themeColor="text1"/>
          <w:vertAlign w:val="subscript"/>
          <w14:textFill>
            <w14:solidFill>
              <w14:schemeClr w14:val="tx1"/>
            </w14:solidFill>
          </w14:textFill>
        </w:rPr>
        <w:t>2</w:t>
      </w:r>
      <w:r>
        <w:rPr>
          <w:rFonts w:hint="eastAsia"/>
          <w:color w:val="000000" w:themeColor="text1"/>
          <w14:textFill>
            <w14:solidFill>
              <w14:schemeClr w14:val="tx1"/>
            </w14:solidFill>
          </w14:textFill>
        </w:rPr>
        <w:t>包括疏浚、炸礁、溢流口等影响面积（疏浚、炸礁影响面积有重叠，按海洋功能区三类水域影响面积计）+水工结构扰动水体面积=0.52+0.0052km</w:t>
      </w:r>
      <w:r>
        <w:rPr>
          <w:rFonts w:hint="eastAsia"/>
          <w:color w:val="000000" w:themeColor="text1"/>
          <w:vertAlign w:val="superscript"/>
          <w14:textFill>
            <w14:solidFill>
              <w14:schemeClr w14:val="tx1"/>
            </w14:solidFill>
          </w14:textFill>
        </w:rPr>
        <w:t>2</w:t>
      </w:r>
      <w:r>
        <w:rPr>
          <w:rFonts w:hint="eastAsia"/>
          <w:color w:val="000000" w:themeColor="text1"/>
          <w14:textFill>
            <w14:solidFill>
              <w14:schemeClr w14:val="tx1"/>
            </w14:solidFill>
          </w14:textFill>
        </w:rPr>
        <w:t>=0.5252km</w:t>
      </w:r>
      <w:r>
        <w:rPr>
          <w:rFonts w:hint="eastAsia"/>
          <w:color w:val="000000" w:themeColor="text1"/>
          <w:vertAlign w:val="superscript"/>
          <w14:textFill>
            <w14:solidFill>
              <w14:schemeClr w14:val="tx1"/>
            </w14:solidFill>
          </w14:textFill>
        </w:rPr>
        <w:t>2</w:t>
      </w:r>
      <w:r>
        <w:rPr>
          <w:rFonts w:hint="eastAsia"/>
          <w:color w:val="000000" w:themeColor="text1"/>
          <w14:textFill>
            <w14:solidFill>
              <w14:schemeClr w14:val="tx1"/>
            </w14:solidFill>
          </w14:textFill>
        </w:rPr>
        <w:t>＞0.5 km</w:t>
      </w:r>
      <w:r>
        <w:rPr>
          <w:rFonts w:hint="eastAsia"/>
          <w:color w:val="000000" w:themeColor="text1"/>
          <w:vertAlign w:val="superscript"/>
          <w14:textFill>
            <w14:solidFill>
              <w14:schemeClr w14:val="tx1"/>
            </w14:solidFill>
          </w14:textFill>
        </w:rPr>
        <w:t>2</w:t>
      </w:r>
      <w:r>
        <w:rPr>
          <w:rFonts w:hint="eastAsia"/>
          <w:color w:val="000000" w:themeColor="text1"/>
          <w14:textFill>
            <w14:solidFill>
              <w14:schemeClr w14:val="tx1"/>
            </w14:solidFill>
          </w14:textFill>
        </w:rPr>
        <w:t>，且＜3 km</w:t>
      </w:r>
      <w:r>
        <w:rPr>
          <w:rFonts w:hint="eastAsia"/>
          <w:color w:val="000000" w:themeColor="text1"/>
          <w:vertAlign w:val="superscript"/>
          <w14:textFill>
            <w14:solidFill>
              <w14:schemeClr w14:val="tx1"/>
            </w14:solidFill>
          </w14:textFill>
        </w:rPr>
        <w:t>2</w:t>
      </w:r>
      <w:r>
        <w:rPr>
          <w:rFonts w:hint="eastAsia"/>
          <w:color w:val="000000" w:themeColor="text1"/>
          <w14:textFill>
            <w14:solidFill>
              <w14:schemeClr w14:val="tx1"/>
            </w14:solidFill>
          </w14:textFill>
        </w:rPr>
        <w:t>。</w:t>
      </w:r>
    </w:p>
    <w:p>
      <w:pPr>
        <w:ind w:firstLine="480"/>
        <w:rPr>
          <w:color w:val="000000" w:themeColor="text1"/>
          <w14:textFill>
            <w14:solidFill>
              <w14:schemeClr w14:val="tx1"/>
            </w14:solidFill>
          </w14:textFill>
        </w:rPr>
      </w:pPr>
      <w:r>
        <w:rPr>
          <w:rFonts w:hint="eastAsia"/>
          <w:color w:val="000000" w:themeColor="text1"/>
          <w:u w:val="single"/>
          <w14:textFill>
            <w14:solidFill>
              <w14:schemeClr w14:val="tx1"/>
            </w14:solidFill>
          </w14:textFill>
        </w:rPr>
        <w:t>根据表1.2-4，入海河口、近岸海域0.5＞</w:t>
      </w:r>
      <w:r>
        <w:rPr>
          <w:rFonts w:hint="eastAsia"/>
          <w:i/>
          <w:color w:val="000000" w:themeColor="text1"/>
          <w:u w:val="single"/>
          <w14:textFill>
            <w14:solidFill>
              <w14:schemeClr w14:val="tx1"/>
            </w14:solidFill>
          </w14:textFill>
        </w:rPr>
        <w:t>A</w:t>
      </w:r>
      <w:r>
        <w:rPr>
          <w:rFonts w:hint="eastAsia"/>
          <w:color w:val="000000" w:themeColor="text1"/>
          <w:u w:val="single"/>
          <w:vertAlign w:val="subscript"/>
          <w14:textFill>
            <w14:solidFill>
              <w14:schemeClr w14:val="tx1"/>
            </w14:solidFill>
          </w14:textFill>
        </w:rPr>
        <w:t>1</w:t>
      </w:r>
      <w:r>
        <w:rPr>
          <w:rFonts w:hint="eastAsia"/>
          <w:color w:val="000000" w:themeColor="text1"/>
          <w:u w:val="single"/>
          <w14:textFill>
            <w14:solidFill>
              <w14:schemeClr w14:val="tx1"/>
            </w14:solidFill>
          </w14:textFill>
        </w:rPr>
        <w:t>＞0.15或3＞</w:t>
      </w:r>
      <w:r>
        <w:rPr>
          <w:rFonts w:hint="eastAsia"/>
          <w:i/>
          <w:color w:val="000000" w:themeColor="text1"/>
          <w:u w:val="single"/>
          <w14:textFill>
            <w14:solidFill>
              <w14:schemeClr w14:val="tx1"/>
            </w14:solidFill>
          </w14:textFill>
        </w:rPr>
        <w:t>A</w:t>
      </w:r>
      <w:r>
        <w:rPr>
          <w:rFonts w:hint="eastAsia"/>
          <w:color w:val="000000" w:themeColor="text1"/>
          <w:u w:val="single"/>
          <w:vertAlign w:val="subscript"/>
          <w14:textFill>
            <w14:solidFill>
              <w14:schemeClr w14:val="tx1"/>
            </w14:solidFill>
          </w14:textFill>
        </w:rPr>
        <w:t>2</w:t>
      </w:r>
      <w:r>
        <w:rPr>
          <w:rFonts w:hint="eastAsia"/>
          <w:color w:val="000000" w:themeColor="text1"/>
          <w:u w:val="single"/>
          <w14:textFill>
            <w14:solidFill>
              <w14:schemeClr w14:val="tx1"/>
            </w14:solidFill>
          </w14:textFill>
        </w:rPr>
        <w:t>＞0.5评价等级为二级，综上，本项目地表</w:t>
      </w:r>
      <w:r>
        <w:rPr>
          <w:color w:val="000000" w:themeColor="text1"/>
          <w:u w:val="single"/>
          <w14:textFill>
            <w14:solidFill>
              <w14:schemeClr w14:val="tx1"/>
            </w14:solidFill>
          </w14:textFill>
        </w:rPr>
        <w:t>水环境评价等级确定为</w:t>
      </w:r>
      <w:r>
        <w:rPr>
          <w:rFonts w:hint="eastAsia"/>
          <w:color w:val="000000" w:themeColor="text1"/>
          <w:u w:val="single"/>
          <w14:textFill>
            <w14:solidFill>
              <w14:schemeClr w14:val="tx1"/>
            </w14:solidFill>
          </w14:textFill>
        </w:rPr>
        <w:t>二级</w:t>
      </w:r>
      <w:r>
        <w:rPr>
          <w:color w:val="000000" w:themeColor="text1"/>
          <w:u w:val="single"/>
          <w14:textFill>
            <w14:solidFill>
              <w14:schemeClr w14:val="tx1"/>
            </w14:solidFill>
          </w14:textFill>
        </w:rPr>
        <w:t>，</w:t>
      </w:r>
      <w:r>
        <w:rPr>
          <w:color w:val="000000" w:themeColor="text1"/>
          <w14:textFill>
            <w14:solidFill>
              <w14:schemeClr w14:val="tx1"/>
            </w14:solidFill>
          </w14:textFill>
        </w:rPr>
        <w:t>水环境评价范围与海洋环境评价范围一致。</w:t>
      </w:r>
    </w:p>
    <w:p>
      <w:pPr>
        <w:pStyle w:val="6"/>
        <w:rPr>
          <w:color w:val="000000" w:themeColor="text1"/>
          <w14:textFill>
            <w14:solidFill>
              <w14:schemeClr w14:val="tx1"/>
            </w14:solidFill>
          </w14:textFill>
        </w:rPr>
      </w:pPr>
      <w:r>
        <w:rPr>
          <w:rFonts w:hint="eastAsia"/>
          <w:color w:val="000000" w:themeColor="text1"/>
          <w14:textFill>
            <w14:solidFill>
              <w14:schemeClr w14:val="tx1"/>
            </w14:solidFill>
          </w14:textFill>
        </w:rPr>
        <w:t>地下水环境</w:t>
      </w:r>
    </w:p>
    <w:p>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本项目不属于《环境影响评价技术导则 地下水环境》（</w:t>
      </w:r>
      <w:r>
        <w:rPr>
          <w:color w:val="000000" w:themeColor="text1"/>
          <w14:textFill>
            <w14:solidFill>
              <w14:schemeClr w14:val="tx1"/>
            </w14:solidFill>
          </w14:textFill>
        </w:rPr>
        <w:t>HJ610-2016</w:t>
      </w:r>
      <w:r>
        <w:rPr>
          <w:rFonts w:hint="eastAsia"/>
          <w:color w:val="000000" w:themeColor="text1"/>
          <w14:textFill>
            <w14:solidFill>
              <w14:schemeClr w14:val="tx1"/>
            </w14:solidFill>
          </w14:textFill>
        </w:rPr>
        <w:t>）附录A，本项目属于S 水运中131、单个泊位3万吨级及以上的海港码头，项目工程内容不涉及危险品，工程建设区域不涉及</w:t>
      </w:r>
      <w:r>
        <w:rPr>
          <w:color w:val="000000" w:themeColor="text1"/>
          <w14:textFill>
            <w14:solidFill>
              <w14:schemeClr w14:val="tx1"/>
            </w14:solidFill>
          </w14:textFill>
        </w:rPr>
        <w:t>集中式饮用水水源地及其他地下水敏感区域，</w:t>
      </w:r>
      <w:r>
        <w:rPr>
          <w:rFonts w:hint="eastAsia"/>
          <w:color w:val="000000" w:themeColor="text1"/>
          <w14:textFill>
            <w14:solidFill>
              <w14:schemeClr w14:val="tx1"/>
            </w14:solidFill>
          </w14:textFill>
        </w:rPr>
        <w:t>项目为Ⅳ类</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不开展</w:t>
      </w:r>
      <w:r>
        <w:rPr>
          <w:color w:val="000000" w:themeColor="text1"/>
          <w14:textFill>
            <w14:solidFill>
              <w14:schemeClr w14:val="tx1"/>
            </w14:solidFill>
          </w14:textFill>
        </w:rPr>
        <w:t>地下水评价工作。</w:t>
      </w:r>
    </w:p>
    <w:p>
      <w:pPr>
        <w:pStyle w:val="6"/>
        <w:rPr>
          <w:color w:val="000000" w:themeColor="text1"/>
          <w14:textFill>
            <w14:solidFill>
              <w14:schemeClr w14:val="tx1"/>
            </w14:solidFill>
          </w14:textFill>
        </w:rPr>
      </w:pPr>
      <w:r>
        <w:rPr>
          <w:rFonts w:hint="eastAsia"/>
          <w:color w:val="000000" w:themeColor="text1"/>
          <w14:textFill>
            <w14:solidFill>
              <w14:schemeClr w14:val="tx1"/>
            </w14:solidFill>
          </w14:textFill>
        </w:rPr>
        <w:t>生态环境</w:t>
      </w:r>
    </w:p>
    <w:p>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根据《环境影响评价技术导则生态影响》（HJ19-2022），建设项目同时涉及陆生、水生生态影响时，可针对陆生生态、水生生态分别评定评价等级。项目生态环境评价等级判定见表1.2-5，项目涉及海洋工程，水生生态评价等级参照《海洋工程环境影响评价技术导则》（GB/T19485-2014）确定为一级。</w:t>
      </w:r>
    </w:p>
    <w:p>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陆生生态评价等级为三级评价。</w:t>
      </w:r>
    </w:p>
    <w:p>
      <w:pPr>
        <w:pStyle w:val="384"/>
        <w:ind w:left="0" w:firstLine="0"/>
        <w:rPr>
          <w:rFonts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生态评价等级判定表</w:t>
      </w:r>
    </w:p>
    <w:tbl>
      <w:tblPr>
        <w:tblStyle w:val="88"/>
        <w:tblW w:w="8342" w:type="dxa"/>
        <w:jc w:val="center"/>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4129"/>
        <w:gridCol w:w="3689"/>
        <w:gridCol w:w="524"/>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20" w:hRule="atLeast"/>
          <w:tblHeader/>
          <w:jc w:val="center"/>
        </w:trPr>
        <w:tc>
          <w:tcPr>
            <w:tcW w:w="4129" w:type="dxa"/>
            <w:tcMar>
              <w:left w:w="0" w:type="dxa"/>
              <w:right w:w="0" w:type="dxa"/>
            </w:tcMar>
            <w:vAlign w:val="center"/>
          </w:tcPr>
          <w:p>
            <w:pPr>
              <w:pStyle w:val="3463"/>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划分依据</w:t>
            </w:r>
          </w:p>
        </w:tc>
        <w:tc>
          <w:tcPr>
            <w:tcW w:w="3689" w:type="dxa"/>
            <w:tcMar>
              <w:left w:w="0" w:type="dxa"/>
              <w:right w:w="0" w:type="dxa"/>
            </w:tcMar>
            <w:vAlign w:val="center"/>
          </w:tcPr>
          <w:p>
            <w:pPr>
              <w:pStyle w:val="3463"/>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本项目情况</w:t>
            </w:r>
          </w:p>
        </w:tc>
        <w:tc>
          <w:tcPr>
            <w:tcW w:w="524" w:type="dxa"/>
            <w:tcMar>
              <w:left w:w="0" w:type="dxa"/>
              <w:right w:w="0" w:type="dxa"/>
            </w:tcMar>
            <w:vAlign w:val="center"/>
          </w:tcPr>
          <w:p>
            <w:pPr>
              <w:pStyle w:val="3463"/>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评价等级</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20" w:hRule="atLeast"/>
          <w:jc w:val="center"/>
        </w:trPr>
        <w:tc>
          <w:tcPr>
            <w:tcW w:w="4129" w:type="dxa"/>
            <w:tcMar>
              <w:left w:w="0" w:type="dxa"/>
              <w:right w:w="0" w:type="dxa"/>
            </w:tcMar>
            <w:vAlign w:val="center"/>
          </w:tcPr>
          <w:p>
            <w:pPr>
              <w:pStyle w:val="3463"/>
              <w:jc w:val="center"/>
              <w:rPr>
                <w:color w:val="000000" w:themeColor="text1"/>
                <w14:textFill>
                  <w14:solidFill>
                    <w14:schemeClr w14:val="tx1"/>
                  </w14:solidFill>
                </w14:textFill>
              </w:rPr>
            </w:pPr>
            <w:r>
              <w:rPr>
                <w:color w:val="000000" w:themeColor="text1"/>
                <w14:textFill>
                  <w14:solidFill>
                    <w14:schemeClr w14:val="tx1"/>
                  </w14:solidFill>
                </w14:textFill>
              </w:rPr>
              <w:t>a</w:t>
            </w:r>
            <w:r>
              <w:rPr>
                <w:rFonts w:hint="eastAsia"/>
                <w:color w:val="000000" w:themeColor="text1"/>
                <w14:textFill>
                  <w14:solidFill>
                    <w14:schemeClr w14:val="tx1"/>
                  </w14:solidFill>
                </w14:textFill>
              </w:rPr>
              <w:t>）涉及国家公园、自然保护区、世界自然遗产、重要生境时，评价等级为一级。</w:t>
            </w:r>
          </w:p>
        </w:tc>
        <w:tc>
          <w:tcPr>
            <w:tcW w:w="3689" w:type="dxa"/>
            <w:tcMar>
              <w:left w:w="0" w:type="dxa"/>
              <w:right w:w="0" w:type="dxa"/>
            </w:tcMar>
            <w:vAlign w:val="center"/>
          </w:tcPr>
          <w:p>
            <w:pPr>
              <w:pStyle w:val="3463"/>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项目生态评价范围内不涉及国家公园、自然保护区、世界自然遗产、重要生境。</w:t>
            </w:r>
          </w:p>
        </w:tc>
        <w:tc>
          <w:tcPr>
            <w:tcW w:w="524" w:type="dxa"/>
            <w:tcMar>
              <w:left w:w="0" w:type="dxa"/>
              <w:right w:w="0" w:type="dxa"/>
            </w:tcMar>
            <w:vAlign w:val="center"/>
          </w:tcPr>
          <w:p>
            <w:pPr>
              <w:pStyle w:val="3463"/>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20" w:hRule="atLeast"/>
          <w:jc w:val="center"/>
        </w:trPr>
        <w:tc>
          <w:tcPr>
            <w:tcW w:w="4129" w:type="dxa"/>
            <w:tcMar>
              <w:left w:w="0" w:type="dxa"/>
              <w:right w:w="0" w:type="dxa"/>
            </w:tcMar>
            <w:vAlign w:val="center"/>
          </w:tcPr>
          <w:p>
            <w:pPr>
              <w:pStyle w:val="3463"/>
              <w:jc w:val="center"/>
              <w:rPr>
                <w:color w:val="000000" w:themeColor="text1"/>
                <w14:textFill>
                  <w14:solidFill>
                    <w14:schemeClr w14:val="tx1"/>
                  </w14:solidFill>
                </w14:textFill>
              </w:rPr>
            </w:pPr>
            <w:r>
              <w:rPr>
                <w:color w:val="000000" w:themeColor="text1"/>
                <w14:textFill>
                  <w14:solidFill>
                    <w14:schemeClr w14:val="tx1"/>
                  </w14:solidFill>
                </w14:textFill>
              </w:rPr>
              <w:t>b</w:t>
            </w:r>
            <w:r>
              <w:rPr>
                <w:rFonts w:hint="eastAsia"/>
                <w:color w:val="000000" w:themeColor="text1"/>
                <w14:textFill>
                  <w14:solidFill>
                    <w14:schemeClr w14:val="tx1"/>
                  </w14:solidFill>
                </w14:textFill>
              </w:rPr>
              <w:t>）涉及自然公园时，评价等级为二级</w:t>
            </w:r>
          </w:p>
        </w:tc>
        <w:tc>
          <w:tcPr>
            <w:tcW w:w="3689" w:type="dxa"/>
            <w:tcMar>
              <w:left w:w="0" w:type="dxa"/>
              <w:right w:w="0" w:type="dxa"/>
            </w:tcMar>
            <w:vAlign w:val="center"/>
          </w:tcPr>
          <w:p>
            <w:pPr>
              <w:pStyle w:val="3463"/>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项目生态评价范围内不涉及自然公园。</w:t>
            </w:r>
          </w:p>
        </w:tc>
        <w:tc>
          <w:tcPr>
            <w:tcW w:w="524" w:type="dxa"/>
            <w:tcMar>
              <w:left w:w="0" w:type="dxa"/>
              <w:right w:w="0" w:type="dxa"/>
            </w:tcMar>
            <w:vAlign w:val="center"/>
          </w:tcPr>
          <w:p>
            <w:pPr>
              <w:pStyle w:val="3463"/>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20" w:hRule="atLeast"/>
          <w:jc w:val="center"/>
        </w:trPr>
        <w:tc>
          <w:tcPr>
            <w:tcW w:w="4129" w:type="dxa"/>
            <w:tcMar>
              <w:left w:w="0" w:type="dxa"/>
              <w:right w:w="0" w:type="dxa"/>
            </w:tcMar>
            <w:vAlign w:val="center"/>
          </w:tcPr>
          <w:p>
            <w:pPr>
              <w:pStyle w:val="3463"/>
              <w:jc w:val="center"/>
              <w:rPr>
                <w:color w:val="000000" w:themeColor="text1"/>
                <w14:textFill>
                  <w14:solidFill>
                    <w14:schemeClr w14:val="tx1"/>
                  </w14:solidFill>
                </w14:textFill>
              </w:rPr>
            </w:pPr>
            <w:r>
              <w:rPr>
                <w:color w:val="000000" w:themeColor="text1"/>
                <w14:textFill>
                  <w14:solidFill>
                    <w14:schemeClr w14:val="tx1"/>
                  </w14:solidFill>
                </w14:textFill>
              </w:rPr>
              <w:t>c</w:t>
            </w:r>
            <w:r>
              <w:rPr>
                <w:rFonts w:hint="eastAsia"/>
                <w:color w:val="000000" w:themeColor="text1"/>
                <w14:textFill>
                  <w14:solidFill>
                    <w14:schemeClr w14:val="tx1"/>
                  </w14:solidFill>
                </w14:textFill>
              </w:rPr>
              <w:t>）涉及生态保护红线时，评价等级不低于二级。</w:t>
            </w:r>
          </w:p>
        </w:tc>
        <w:tc>
          <w:tcPr>
            <w:tcW w:w="3689" w:type="dxa"/>
            <w:tcMar>
              <w:left w:w="0" w:type="dxa"/>
              <w:right w:w="0" w:type="dxa"/>
            </w:tcMar>
            <w:vAlign w:val="center"/>
          </w:tcPr>
          <w:p>
            <w:pPr>
              <w:pStyle w:val="3463"/>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项目生态评价范围内不涉及生态保护红线。</w:t>
            </w:r>
          </w:p>
        </w:tc>
        <w:tc>
          <w:tcPr>
            <w:tcW w:w="524" w:type="dxa"/>
            <w:tcMar>
              <w:left w:w="0" w:type="dxa"/>
              <w:right w:w="0" w:type="dxa"/>
            </w:tcMar>
            <w:vAlign w:val="center"/>
          </w:tcPr>
          <w:p>
            <w:pPr>
              <w:pStyle w:val="3463"/>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20" w:hRule="atLeast"/>
          <w:jc w:val="center"/>
        </w:trPr>
        <w:tc>
          <w:tcPr>
            <w:tcW w:w="4129" w:type="dxa"/>
            <w:tcMar>
              <w:left w:w="0" w:type="dxa"/>
              <w:right w:w="0" w:type="dxa"/>
            </w:tcMar>
            <w:vAlign w:val="center"/>
          </w:tcPr>
          <w:p>
            <w:pPr>
              <w:pStyle w:val="3463"/>
              <w:jc w:val="center"/>
              <w:rPr>
                <w:color w:val="000000" w:themeColor="text1"/>
                <w14:textFill>
                  <w14:solidFill>
                    <w14:schemeClr w14:val="tx1"/>
                  </w14:solidFill>
                </w14:textFill>
              </w:rPr>
            </w:pPr>
            <w:r>
              <w:rPr>
                <w:color w:val="000000" w:themeColor="text1"/>
                <w14:textFill>
                  <w14:solidFill>
                    <w14:schemeClr w14:val="tx1"/>
                  </w14:solidFill>
                </w14:textFill>
              </w:rPr>
              <w:t>d</w:t>
            </w:r>
            <w:r>
              <w:rPr>
                <w:rFonts w:hint="eastAsia"/>
                <w:color w:val="000000" w:themeColor="text1"/>
                <w14:textFill>
                  <w14:solidFill>
                    <w14:schemeClr w14:val="tx1"/>
                  </w14:solidFill>
                </w14:textFill>
              </w:rPr>
              <w:t>）根据</w:t>
            </w:r>
            <w:r>
              <w:rPr>
                <w:color w:val="000000" w:themeColor="text1"/>
                <w14:textFill>
                  <w14:solidFill>
                    <w14:schemeClr w14:val="tx1"/>
                  </w14:solidFill>
                </w14:textFill>
              </w:rPr>
              <w:t xml:space="preserve"> HJ 2.3 </w:t>
            </w:r>
            <w:r>
              <w:rPr>
                <w:rFonts w:hint="eastAsia"/>
                <w:color w:val="000000" w:themeColor="text1"/>
                <w14:textFill>
                  <w14:solidFill>
                    <w14:schemeClr w14:val="tx1"/>
                  </w14:solidFill>
                </w14:textFill>
              </w:rPr>
              <w:t>判断属于水文要素影响型且地表水评价等级不低于二级的建设项目，生态影响评价等级不低于二级；</w:t>
            </w:r>
          </w:p>
        </w:tc>
        <w:tc>
          <w:tcPr>
            <w:tcW w:w="3689" w:type="dxa"/>
            <w:tcMar>
              <w:left w:w="0" w:type="dxa"/>
              <w:right w:w="0" w:type="dxa"/>
            </w:tcMar>
            <w:vAlign w:val="center"/>
          </w:tcPr>
          <w:p>
            <w:pPr>
              <w:pStyle w:val="3463"/>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本项目为水文要素影响型，地表水评价等级不低于二级，水生生态评价等级参照《海洋工程环境影响评价技术导则》（GB/T19485-2014）确定为一级</w:t>
            </w:r>
          </w:p>
        </w:tc>
        <w:tc>
          <w:tcPr>
            <w:tcW w:w="524" w:type="dxa"/>
            <w:tcMar>
              <w:left w:w="0" w:type="dxa"/>
              <w:right w:w="0" w:type="dxa"/>
            </w:tcMar>
            <w:vAlign w:val="center"/>
          </w:tcPr>
          <w:p>
            <w:pPr>
              <w:pStyle w:val="3463"/>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水生</w:t>
            </w:r>
            <w:r>
              <w:rPr>
                <w:color w:val="000000" w:themeColor="text1"/>
                <w14:textFill>
                  <w14:solidFill>
                    <w14:schemeClr w14:val="tx1"/>
                  </w14:solidFill>
                </w14:textFill>
              </w:rPr>
              <w:t>生态</w:t>
            </w:r>
            <w:r>
              <w:rPr>
                <w:rFonts w:hint="eastAsia"/>
                <w:color w:val="000000" w:themeColor="text1"/>
                <w14:textFill>
                  <w14:solidFill>
                    <w14:schemeClr w14:val="tx1"/>
                  </w14:solidFill>
                </w14:textFill>
              </w:rPr>
              <w:t>一</w:t>
            </w:r>
            <w:r>
              <w:rPr>
                <w:color w:val="000000" w:themeColor="text1"/>
                <w14:textFill>
                  <w14:solidFill>
                    <w14:schemeClr w14:val="tx1"/>
                  </w14:solidFill>
                </w14:textFill>
              </w:rPr>
              <w:t>级</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20" w:hRule="atLeast"/>
          <w:jc w:val="center"/>
        </w:trPr>
        <w:tc>
          <w:tcPr>
            <w:tcW w:w="4129" w:type="dxa"/>
            <w:tcMar>
              <w:left w:w="0" w:type="dxa"/>
              <w:right w:w="0" w:type="dxa"/>
            </w:tcMar>
            <w:vAlign w:val="center"/>
          </w:tcPr>
          <w:p>
            <w:pPr>
              <w:pStyle w:val="3463"/>
              <w:jc w:val="center"/>
              <w:rPr>
                <w:color w:val="000000" w:themeColor="text1"/>
                <w14:textFill>
                  <w14:solidFill>
                    <w14:schemeClr w14:val="tx1"/>
                  </w14:solidFill>
                </w14:textFill>
              </w:rPr>
            </w:pPr>
            <w:r>
              <w:rPr>
                <w:color w:val="000000" w:themeColor="text1"/>
                <w14:textFill>
                  <w14:solidFill>
                    <w14:schemeClr w14:val="tx1"/>
                  </w14:solidFill>
                </w14:textFill>
              </w:rPr>
              <w:t>e</w:t>
            </w:r>
            <w:r>
              <w:rPr>
                <w:rFonts w:hint="eastAsia"/>
                <w:color w:val="000000" w:themeColor="text1"/>
                <w14:textFill>
                  <w14:solidFill>
                    <w14:schemeClr w14:val="tx1"/>
                  </w14:solidFill>
                </w14:textFill>
              </w:rPr>
              <w:t>）根据</w:t>
            </w:r>
            <w:r>
              <w:rPr>
                <w:color w:val="000000" w:themeColor="text1"/>
                <w14:textFill>
                  <w14:solidFill>
                    <w14:schemeClr w14:val="tx1"/>
                  </w14:solidFill>
                </w14:textFill>
              </w:rPr>
              <w:t xml:space="preserve"> HJ 610</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 xml:space="preserve">HJ 964 </w:t>
            </w:r>
            <w:r>
              <w:rPr>
                <w:rFonts w:hint="eastAsia"/>
                <w:color w:val="000000" w:themeColor="text1"/>
                <w14:textFill>
                  <w14:solidFill>
                    <w14:schemeClr w14:val="tx1"/>
                  </w14:solidFill>
                </w14:textFill>
              </w:rPr>
              <w:t>判断地下水水位或土壤影响范围内分布有天然林、公益林、湿地等生态保护目标的建设项目，生态影响评价等级不低于二级</w:t>
            </w:r>
          </w:p>
        </w:tc>
        <w:tc>
          <w:tcPr>
            <w:tcW w:w="3689" w:type="dxa"/>
            <w:tcMar>
              <w:left w:w="0" w:type="dxa"/>
              <w:right w:w="0" w:type="dxa"/>
            </w:tcMar>
            <w:vAlign w:val="center"/>
          </w:tcPr>
          <w:p>
            <w:pPr>
              <w:pStyle w:val="3463"/>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项目位于钦州港保税港区范围内，地下水、土壤影响范围内无天然林、公益林、湿地等生态保护目标分布。</w:t>
            </w:r>
          </w:p>
        </w:tc>
        <w:tc>
          <w:tcPr>
            <w:tcW w:w="524" w:type="dxa"/>
            <w:tcMar>
              <w:left w:w="0" w:type="dxa"/>
              <w:right w:w="0" w:type="dxa"/>
            </w:tcMar>
            <w:vAlign w:val="center"/>
          </w:tcPr>
          <w:p>
            <w:pPr>
              <w:pStyle w:val="3463"/>
              <w:jc w:val="center"/>
              <w:rPr>
                <w:color w:val="000000" w:themeColor="text1"/>
                <w14:textFill>
                  <w14:solidFill>
                    <w14:schemeClr w14:val="tx1"/>
                  </w14:solidFill>
                </w14:textFill>
              </w:rPr>
            </w:pPr>
            <w:r>
              <w:rPr>
                <w:color w:val="000000" w:themeColor="text1"/>
                <w14:textFill>
                  <w14:solidFill>
                    <w14:schemeClr w14:val="tx1"/>
                  </w14:solidFill>
                </w14:textFill>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20" w:hRule="atLeast"/>
          <w:jc w:val="center"/>
        </w:trPr>
        <w:tc>
          <w:tcPr>
            <w:tcW w:w="4129" w:type="dxa"/>
            <w:tcMar>
              <w:left w:w="0" w:type="dxa"/>
              <w:right w:w="0" w:type="dxa"/>
            </w:tcMar>
            <w:vAlign w:val="center"/>
          </w:tcPr>
          <w:p>
            <w:pPr>
              <w:pStyle w:val="3463"/>
              <w:jc w:val="center"/>
              <w:rPr>
                <w:color w:val="000000" w:themeColor="text1"/>
                <w14:textFill>
                  <w14:solidFill>
                    <w14:schemeClr w14:val="tx1"/>
                  </w14:solidFill>
                </w14:textFill>
              </w:rPr>
            </w:pPr>
            <w:r>
              <w:rPr>
                <w:color w:val="000000" w:themeColor="text1"/>
                <w14:textFill>
                  <w14:solidFill>
                    <w14:schemeClr w14:val="tx1"/>
                  </w14:solidFill>
                </w14:textFill>
              </w:rPr>
              <w:t>f</w:t>
            </w:r>
            <w:r>
              <w:rPr>
                <w:rFonts w:hint="eastAsia"/>
                <w:color w:val="000000" w:themeColor="text1"/>
                <w14:textFill>
                  <w14:solidFill>
                    <w14:schemeClr w14:val="tx1"/>
                  </w14:solidFill>
                </w14:textFill>
              </w:rPr>
              <w:t>）当工程占地规模大于</w:t>
            </w:r>
            <w:r>
              <w:rPr>
                <w:color w:val="000000" w:themeColor="text1"/>
                <w14:textFill>
                  <w14:solidFill>
                    <w14:schemeClr w14:val="tx1"/>
                  </w14:solidFill>
                </w14:textFill>
              </w:rPr>
              <w:t>20km</w:t>
            </w:r>
            <w:r>
              <w:rPr>
                <w:color w:val="000000" w:themeColor="text1"/>
                <w:vertAlign w:val="superscript"/>
                <w14:textFill>
                  <w14:solidFill>
                    <w14:schemeClr w14:val="tx1"/>
                  </w14:solidFill>
                </w14:textFill>
              </w:rPr>
              <w:t>2</w:t>
            </w:r>
            <w:r>
              <w:rPr>
                <w:rFonts w:hint="eastAsia"/>
                <w:color w:val="000000" w:themeColor="text1"/>
                <w14:textFill>
                  <w14:solidFill>
                    <w14:schemeClr w14:val="tx1"/>
                  </w14:solidFill>
                </w14:textFill>
              </w:rPr>
              <w:t>时（包括永久和临时占用陆域和水域），评价等级不低于二级；</w:t>
            </w:r>
          </w:p>
        </w:tc>
        <w:tc>
          <w:tcPr>
            <w:tcW w:w="3689" w:type="dxa"/>
            <w:tcMar>
              <w:left w:w="0" w:type="dxa"/>
              <w:right w:w="0" w:type="dxa"/>
            </w:tcMar>
            <w:vAlign w:val="center"/>
          </w:tcPr>
          <w:p>
            <w:pPr>
              <w:pStyle w:val="3463"/>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本项目无新增占地，永久和临时占用水域面积为0.9264</w:t>
            </w:r>
            <w:r>
              <w:rPr>
                <w:color w:val="000000" w:themeColor="text1"/>
                <w14:textFill>
                  <w14:solidFill>
                    <w14:schemeClr w14:val="tx1"/>
                  </w14:solidFill>
                </w14:textFill>
              </w:rPr>
              <w:t xml:space="preserve"> km</w:t>
            </w:r>
            <w:r>
              <w:rPr>
                <w:color w:val="000000" w:themeColor="text1"/>
                <w:vertAlign w:val="superscript"/>
                <w14:textFill>
                  <w14:solidFill>
                    <w14:schemeClr w14:val="tx1"/>
                  </w14:solidFill>
                </w14:textFill>
              </w:rPr>
              <w:t>2</w:t>
            </w:r>
            <w:r>
              <w:rPr>
                <w:color w:val="000000" w:themeColor="text1"/>
                <w14:textFill>
                  <w14:solidFill>
                    <w14:schemeClr w14:val="tx1"/>
                  </w14:solidFill>
                </w14:textFill>
              </w:rPr>
              <w:t>，不大于20km</w:t>
            </w:r>
            <w:r>
              <w:rPr>
                <w:color w:val="000000" w:themeColor="text1"/>
                <w:vertAlign w:val="superscript"/>
                <w14:textFill>
                  <w14:solidFill>
                    <w14:schemeClr w14:val="tx1"/>
                  </w14:solidFill>
                </w14:textFill>
              </w:rPr>
              <w:t>2</w:t>
            </w:r>
            <w:r>
              <w:rPr>
                <w:rFonts w:hint="eastAsia"/>
                <w:color w:val="000000" w:themeColor="text1"/>
                <w14:textFill>
                  <w14:solidFill>
                    <w14:schemeClr w14:val="tx1"/>
                  </w14:solidFill>
                </w14:textFill>
              </w:rPr>
              <w:t>。</w:t>
            </w:r>
          </w:p>
        </w:tc>
        <w:tc>
          <w:tcPr>
            <w:tcW w:w="524" w:type="dxa"/>
            <w:tcMar>
              <w:left w:w="0" w:type="dxa"/>
              <w:right w:w="0" w:type="dxa"/>
            </w:tcMar>
            <w:vAlign w:val="center"/>
          </w:tcPr>
          <w:p>
            <w:pPr>
              <w:pStyle w:val="3463"/>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20" w:hRule="atLeast"/>
          <w:jc w:val="center"/>
        </w:trPr>
        <w:tc>
          <w:tcPr>
            <w:tcW w:w="4129" w:type="dxa"/>
            <w:tcMar>
              <w:left w:w="0" w:type="dxa"/>
              <w:right w:w="0" w:type="dxa"/>
            </w:tcMar>
            <w:vAlign w:val="center"/>
          </w:tcPr>
          <w:p>
            <w:pPr>
              <w:pStyle w:val="3463"/>
              <w:jc w:val="center"/>
              <w:rPr>
                <w:color w:val="000000" w:themeColor="text1"/>
                <w14:textFill>
                  <w14:solidFill>
                    <w14:schemeClr w14:val="tx1"/>
                  </w14:solidFill>
                </w14:textFill>
              </w:rPr>
            </w:pPr>
            <w:r>
              <w:rPr>
                <w:color w:val="000000" w:themeColor="text1"/>
                <w14:textFill>
                  <w14:solidFill>
                    <w14:schemeClr w14:val="tx1"/>
                  </w14:solidFill>
                </w14:textFill>
              </w:rPr>
              <w:t>g</w:t>
            </w:r>
            <w:r>
              <w:rPr>
                <w:rFonts w:hint="eastAsia"/>
                <w:color w:val="000000" w:themeColor="text1"/>
                <w14:textFill>
                  <w14:solidFill>
                    <w14:schemeClr w14:val="tx1"/>
                  </w14:solidFill>
                </w14:textFill>
              </w:rPr>
              <w:t>）除本条</w:t>
            </w:r>
            <w:r>
              <w:rPr>
                <w:color w:val="000000" w:themeColor="text1"/>
                <w14:textFill>
                  <w14:solidFill>
                    <w14:schemeClr w14:val="tx1"/>
                  </w14:solidFill>
                </w14:textFill>
              </w:rPr>
              <w:t>a</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b</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c</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d</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e</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f</w:t>
            </w:r>
            <w:r>
              <w:rPr>
                <w:rFonts w:hint="eastAsia"/>
                <w:color w:val="000000" w:themeColor="text1"/>
                <w14:textFill>
                  <w14:solidFill>
                    <w14:schemeClr w14:val="tx1"/>
                  </w14:solidFill>
                </w14:textFill>
              </w:rPr>
              <w:t>）以外的情况，评价等级为三级；</w:t>
            </w:r>
          </w:p>
        </w:tc>
        <w:tc>
          <w:tcPr>
            <w:tcW w:w="3689" w:type="dxa"/>
            <w:tcMar>
              <w:left w:w="0" w:type="dxa"/>
              <w:right w:w="0" w:type="dxa"/>
            </w:tcMar>
            <w:vAlign w:val="center"/>
          </w:tcPr>
          <w:p>
            <w:pPr>
              <w:pStyle w:val="3463"/>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本项目不涉及</w:t>
            </w:r>
            <w:r>
              <w:rPr>
                <w:color w:val="000000" w:themeColor="text1"/>
                <w14:textFill>
                  <w14:solidFill>
                    <w14:schemeClr w14:val="tx1"/>
                  </w14:solidFill>
                </w14:textFill>
              </w:rPr>
              <w:t>a</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b</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c</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e</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f</w:t>
            </w:r>
            <w:r>
              <w:rPr>
                <w:rFonts w:hint="eastAsia"/>
                <w:color w:val="000000" w:themeColor="text1"/>
                <w14:textFill>
                  <w14:solidFill>
                    <w14:schemeClr w14:val="tx1"/>
                  </w14:solidFill>
                </w14:textFill>
              </w:rPr>
              <w:t>）情况。</w:t>
            </w:r>
          </w:p>
        </w:tc>
        <w:tc>
          <w:tcPr>
            <w:tcW w:w="524" w:type="dxa"/>
            <w:tcMar>
              <w:left w:w="0" w:type="dxa"/>
              <w:right w:w="0" w:type="dxa"/>
            </w:tcMar>
            <w:vAlign w:val="center"/>
          </w:tcPr>
          <w:p>
            <w:pPr>
              <w:pStyle w:val="3463"/>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陆生生态三级</w:t>
            </w:r>
          </w:p>
        </w:tc>
      </w:tr>
    </w:tbl>
    <w:p>
      <w:pPr>
        <w:pStyle w:val="6"/>
        <w:rPr>
          <w:color w:val="000000" w:themeColor="text1"/>
          <w14:textFill>
            <w14:solidFill>
              <w14:schemeClr w14:val="tx1"/>
            </w14:solidFill>
          </w14:textFill>
        </w:rPr>
      </w:pPr>
      <w:r>
        <w:rPr>
          <w:color w:val="000000" w:themeColor="text1"/>
          <w14:textFill>
            <w14:solidFill>
              <w14:schemeClr w14:val="tx1"/>
            </w14:solidFill>
          </w14:textFill>
        </w:rPr>
        <w:t>大气</w:t>
      </w:r>
    </w:p>
    <w:p>
      <w:pPr>
        <w:pStyle w:val="1075"/>
        <w:ind w:firstLine="462"/>
        <w:rPr>
          <w:color w:val="000000" w:themeColor="text1"/>
          <w14:textFill>
            <w14:solidFill>
              <w14:schemeClr w14:val="tx1"/>
            </w14:solidFill>
          </w14:textFill>
        </w:rPr>
      </w:pPr>
      <w:r>
        <w:rPr>
          <w:color w:val="000000" w:themeColor="text1"/>
          <w14:textFill>
            <w14:solidFill>
              <w14:schemeClr w14:val="tx1"/>
            </w14:solidFill>
          </w14:textFill>
        </w:rPr>
        <w:t>根据《环境影响评价技术导则</w:t>
      </w:r>
      <w:r>
        <w:rPr>
          <w:rFonts w:hint="eastAsia"/>
          <w:color w:val="000000" w:themeColor="text1"/>
          <w14:textFill>
            <w14:solidFill>
              <w14:schemeClr w14:val="tx1"/>
            </w14:solidFill>
          </w14:textFill>
        </w:rPr>
        <w:t xml:space="preserve"> </w:t>
      </w:r>
      <w:r>
        <w:rPr>
          <w:color w:val="000000" w:themeColor="text1"/>
          <w14:textFill>
            <w14:solidFill>
              <w14:schemeClr w14:val="tx1"/>
            </w14:solidFill>
          </w14:textFill>
        </w:rPr>
        <w:t>大气环境》（HJ2.2-2018）的规定，选择项目污染源正常排放的主要污染物及排放系数，采用附录A推荐的AERSCREEN模式计算项目污染源的最大环境影响，然后按评价工作分级判据进行分级。评价等级按照下表</w:t>
      </w:r>
      <w:r>
        <w:rPr>
          <w:rFonts w:hint="eastAsia"/>
          <w:color w:val="000000" w:themeColor="text1"/>
          <w14:textFill>
            <w14:solidFill>
              <w14:schemeClr w14:val="tx1"/>
            </w14:solidFill>
          </w14:textFill>
        </w:rPr>
        <w:t>1.2-6</w:t>
      </w:r>
      <w:r>
        <w:rPr>
          <w:color w:val="000000" w:themeColor="text1"/>
          <w14:textFill>
            <w14:solidFill>
              <w14:schemeClr w14:val="tx1"/>
            </w14:solidFill>
          </w14:textFill>
        </w:rPr>
        <w:t>的分级判据进行划分。</w:t>
      </w:r>
    </w:p>
    <w:p>
      <w:pPr>
        <w:pStyle w:val="384"/>
        <w:ind w:left="0" w:firstLine="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评价等级判别表</w:t>
      </w:r>
    </w:p>
    <w:tbl>
      <w:tblPr>
        <w:tblStyle w:val="88"/>
        <w:tblW w:w="8528" w:type="dxa"/>
        <w:jc w:val="center"/>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4264"/>
        <w:gridCol w:w="4264"/>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4264" w:type="dxa"/>
            <w:shd w:val="clear" w:color="auto" w:fill="auto"/>
            <w:vAlign w:val="center"/>
          </w:tcPr>
          <w:p>
            <w:pPr>
              <w:pStyle w:val="2001"/>
            </w:pPr>
            <w:r>
              <w:t>评价工作等级</w:t>
            </w:r>
          </w:p>
        </w:tc>
        <w:tc>
          <w:tcPr>
            <w:tcW w:w="4264" w:type="dxa"/>
            <w:shd w:val="clear" w:color="auto" w:fill="auto"/>
            <w:vAlign w:val="center"/>
          </w:tcPr>
          <w:p>
            <w:pPr>
              <w:pStyle w:val="2001"/>
            </w:pPr>
            <w:r>
              <w:t>评价工作分级判据</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4264" w:type="dxa"/>
            <w:shd w:val="clear" w:color="auto" w:fill="auto"/>
            <w:vAlign w:val="center"/>
          </w:tcPr>
          <w:p>
            <w:pPr>
              <w:pStyle w:val="2001"/>
            </w:pPr>
            <w:r>
              <w:t>一级评价</w:t>
            </w:r>
          </w:p>
        </w:tc>
        <w:tc>
          <w:tcPr>
            <w:tcW w:w="4264" w:type="dxa"/>
            <w:shd w:val="clear" w:color="auto" w:fill="auto"/>
            <w:vAlign w:val="center"/>
          </w:tcPr>
          <w:p>
            <w:pPr>
              <w:pStyle w:val="3463"/>
              <w:jc w:val="center"/>
              <w:rPr>
                <w:color w:val="000000" w:themeColor="text1"/>
                <w14:textFill>
                  <w14:solidFill>
                    <w14:schemeClr w14:val="tx1"/>
                  </w14:solidFill>
                </w14:textFill>
              </w:rPr>
            </w:pPr>
            <w:r>
              <w:rPr>
                <w:color w:val="000000" w:themeColor="text1"/>
                <w14:textFill>
                  <w14:solidFill>
                    <w14:schemeClr w14:val="tx1"/>
                  </w14:solidFill>
                </w14:textFill>
              </w:rPr>
              <w:t>P</w:t>
            </w:r>
            <w:r>
              <w:rPr>
                <w:color w:val="000000" w:themeColor="text1"/>
                <w:vertAlign w:val="subscript"/>
                <w14:textFill>
                  <w14:solidFill>
                    <w14:schemeClr w14:val="tx1"/>
                  </w14:solidFill>
                </w14:textFill>
              </w:rPr>
              <w:t>max</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10%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4264" w:type="dxa"/>
            <w:shd w:val="clear" w:color="auto" w:fill="auto"/>
            <w:vAlign w:val="center"/>
          </w:tcPr>
          <w:p>
            <w:pPr>
              <w:pStyle w:val="2001"/>
            </w:pPr>
            <w:r>
              <w:t>二级评价</w:t>
            </w:r>
          </w:p>
        </w:tc>
        <w:tc>
          <w:tcPr>
            <w:tcW w:w="4264" w:type="dxa"/>
            <w:shd w:val="clear" w:color="auto" w:fill="auto"/>
            <w:vAlign w:val="center"/>
          </w:tcPr>
          <w:p>
            <w:pPr>
              <w:pStyle w:val="3463"/>
              <w:jc w:val="center"/>
              <w:rPr>
                <w:color w:val="000000" w:themeColor="text1"/>
                <w14:textFill>
                  <w14:solidFill>
                    <w14:schemeClr w14:val="tx1"/>
                  </w14:solidFill>
                </w14:textFill>
              </w:rPr>
            </w:pPr>
            <w:r>
              <w:rPr>
                <w:color w:val="000000" w:themeColor="text1"/>
                <w14:textFill>
                  <w14:solidFill>
                    <w14:schemeClr w14:val="tx1"/>
                  </w14:solidFill>
                </w14:textFill>
              </w:rPr>
              <w:t>1%</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P</w:t>
            </w:r>
            <w:r>
              <w:rPr>
                <w:color w:val="000000" w:themeColor="text1"/>
                <w:vertAlign w:val="subscript"/>
                <w14:textFill>
                  <w14:solidFill>
                    <w14:schemeClr w14:val="tx1"/>
                  </w14:solidFill>
                </w14:textFill>
              </w:rPr>
              <w:t>max</w:t>
            </w:r>
            <w:r>
              <w:rPr>
                <w:color w:val="000000" w:themeColor="text1"/>
                <w14:textFill>
                  <w14:solidFill>
                    <w14:schemeClr w14:val="tx1"/>
                  </w14:solidFill>
                </w14:textFill>
              </w:rPr>
              <w:t>&lt;10%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4264" w:type="dxa"/>
            <w:shd w:val="clear" w:color="auto" w:fill="auto"/>
            <w:vAlign w:val="center"/>
          </w:tcPr>
          <w:p>
            <w:pPr>
              <w:pStyle w:val="2001"/>
            </w:pPr>
            <w:r>
              <w:t>三级评价</w:t>
            </w:r>
          </w:p>
        </w:tc>
        <w:tc>
          <w:tcPr>
            <w:tcW w:w="4264" w:type="dxa"/>
            <w:shd w:val="clear" w:color="auto" w:fill="auto"/>
            <w:vAlign w:val="center"/>
          </w:tcPr>
          <w:p>
            <w:pPr>
              <w:pStyle w:val="3463"/>
              <w:jc w:val="center"/>
              <w:rPr>
                <w:color w:val="000000" w:themeColor="text1"/>
                <w14:textFill>
                  <w14:solidFill>
                    <w14:schemeClr w14:val="tx1"/>
                  </w14:solidFill>
                </w14:textFill>
              </w:rPr>
            </w:pPr>
            <w:r>
              <w:rPr>
                <w:color w:val="000000" w:themeColor="text1"/>
                <w14:textFill>
                  <w14:solidFill>
                    <w14:schemeClr w14:val="tx1"/>
                  </w14:solidFill>
                </w14:textFill>
              </w:rPr>
              <w:t>P</w:t>
            </w:r>
            <w:r>
              <w:rPr>
                <w:color w:val="000000" w:themeColor="text1"/>
                <w:vertAlign w:val="subscript"/>
                <w14:textFill>
                  <w14:solidFill>
                    <w14:schemeClr w14:val="tx1"/>
                  </w14:solidFill>
                </w14:textFill>
              </w:rPr>
              <w:t>max</w:t>
            </w:r>
            <w:r>
              <w:rPr>
                <w:color w:val="000000" w:themeColor="text1"/>
                <w14:textFill>
                  <w14:solidFill>
                    <w14:schemeClr w14:val="tx1"/>
                  </w14:solidFill>
                </w14:textFill>
              </w:rPr>
              <w:t>&lt;1%</w:t>
            </w:r>
          </w:p>
        </w:tc>
      </w:tr>
    </w:tbl>
    <w:p>
      <w:pPr>
        <w:pStyle w:val="1075"/>
        <w:ind w:firstLine="462"/>
        <w:rPr>
          <w:color w:val="000000" w:themeColor="text1"/>
          <w14:textFill>
            <w14:solidFill>
              <w14:schemeClr w14:val="tx1"/>
            </w14:solidFill>
          </w14:textFill>
        </w:rPr>
      </w:pPr>
      <w:r>
        <w:rPr>
          <w:rFonts w:hint="eastAsia"/>
          <w:color w:val="000000" w:themeColor="text1"/>
          <w14:textFill>
            <w14:solidFill>
              <w14:schemeClr w14:val="tx1"/>
            </w14:solidFill>
          </w14:textFill>
        </w:rPr>
        <w:t>本项目</w:t>
      </w:r>
      <w:r>
        <w:rPr>
          <w:color w:val="000000" w:themeColor="text1"/>
          <w14:textFill>
            <w14:solidFill>
              <w14:schemeClr w14:val="tx1"/>
            </w14:solidFill>
          </w14:textFill>
        </w:rPr>
        <w:t>为</w:t>
      </w:r>
      <w:r>
        <w:rPr>
          <w:rFonts w:hint="eastAsia"/>
          <w:color w:val="000000" w:themeColor="text1"/>
          <w14:textFill>
            <w14:solidFill>
              <w14:schemeClr w14:val="tx1"/>
            </w14:solidFill>
          </w14:textFill>
        </w:rPr>
        <w:t>扩</w:t>
      </w:r>
      <w:r>
        <w:rPr>
          <w:color w:val="000000" w:themeColor="text1"/>
          <w14:textFill>
            <w14:solidFill>
              <w14:schemeClr w14:val="tx1"/>
            </w14:solidFill>
          </w14:textFill>
        </w:rPr>
        <w:t>建工程</w:t>
      </w:r>
      <w:r>
        <w:rPr>
          <w:rFonts w:hint="eastAsia"/>
          <w:color w:val="000000" w:themeColor="text1"/>
          <w14:textFill>
            <w14:solidFill>
              <w14:schemeClr w14:val="tx1"/>
            </w14:solidFill>
          </w14:textFill>
        </w:rPr>
        <w:t>，本次扩建</w:t>
      </w:r>
      <w:r>
        <w:rPr>
          <w:color w:val="000000" w:themeColor="text1"/>
          <w14:textFill>
            <w14:solidFill>
              <w14:schemeClr w14:val="tx1"/>
            </w14:solidFill>
          </w14:textFill>
        </w:rPr>
        <w:t>原</w:t>
      </w:r>
      <w:r>
        <w:rPr>
          <w:rFonts w:hint="eastAsia"/>
          <w:color w:val="000000" w:themeColor="text1"/>
          <w14:textFill>
            <w14:solidFill>
              <w14:schemeClr w14:val="tx1"/>
            </w14:solidFill>
          </w14:textFill>
        </w:rPr>
        <w:t>9号10号泊位预留22号堆场，新增2台双小车岸桥、两台双悬臂轨道吊、14台IGV小车及3套IGV小车充电设备，岸桥、轨道吊及IGV小车和配套设备等均采用电能，可以忽略不计。</w:t>
      </w:r>
    </w:p>
    <w:p>
      <w:pPr>
        <w:pStyle w:val="1075"/>
        <w:ind w:firstLine="462"/>
        <w:rPr>
          <w:color w:val="000000" w:themeColor="text1"/>
          <w14:textFill>
            <w14:solidFill>
              <w14:schemeClr w14:val="tx1"/>
            </w14:solidFill>
          </w14:textFill>
        </w:rPr>
      </w:pPr>
      <w:bookmarkStart w:id="36" w:name="_Hlk171070520"/>
      <w:r>
        <w:rPr>
          <w:rFonts w:hint="eastAsia"/>
          <w:color w:val="000000" w:themeColor="text1"/>
          <w14:textFill>
            <w14:solidFill>
              <w14:schemeClr w14:val="tx1"/>
            </w14:solidFill>
          </w14:textFill>
        </w:rPr>
        <w:t>项目大气污染物主要为泊位总设计吞吐量增加40万TEU后，运输车辆增加约4500辆</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a，新增进出港运输车辆尾气产生的废气及港区铺装道路产生的运输扬尘等。车辆在场内限速20</w:t>
      </w:r>
      <w:r>
        <w:rPr>
          <w:color w:val="000000" w:themeColor="text1"/>
          <w14:textFill>
            <w14:solidFill>
              <w14:schemeClr w14:val="tx1"/>
            </w14:solidFill>
          </w14:textFill>
        </w:rPr>
        <w:t>km/h</w:t>
      </w:r>
      <w:r>
        <w:rPr>
          <w:rFonts w:hint="eastAsia"/>
          <w:color w:val="000000" w:themeColor="text1"/>
          <w14:textFill>
            <w14:solidFill>
              <w14:schemeClr w14:val="tx1"/>
            </w14:solidFill>
          </w14:textFill>
        </w:rPr>
        <w:t>，参照《公路建设项目环境影响评价规范》（JTGB03-2006）中气态排放污染物等速工况污排放，本项目场内运行时速低，车辆尾气产生的废气</w:t>
      </w:r>
      <w:r>
        <w:rPr>
          <w:rFonts w:hint="eastAsia"/>
          <w:color w:val="000000" w:themeColor="text1"/>
          <w:lang w:eastAsia="zh-CN"/>
          <w14:textFill>
            <w14:solidFill>
              <w14:schemeClr w14:val="tx1"/>
            </w14:solidFill>
          </w14:textFill>
        </w:rPr>
        <w:t>极少</w:t>
      </w:r>
      <w:r>
        <w:rPr>
          <w:rFonts w:hint="eastAsia"/>
          <w:color w:val="000000" w:themeColor="text1"/>
          <w14:textFill>
            <w14:solidFill>
              <w14:schemeClr w14:val="tx1"/>
            </w14:solidFill>
          </w14:textFill>
        </w:rPr>
        <w:t>。</w:t>
      </w:r>
    </w:p>
    <w:bookmarkEnd w:id="36"/>
    <w:p>
      <w:pPr>
        <w:pStyle w:val="1075"/>
        <w:ind w:firstLine="462"/>
        <w:rPr>
          <w:color w:val="000000" w:themeColor="text1"/>
          <w14:textFill>
            <w14:solidFill>
              <w14:schemeClr w14:val="tx1"/>
            </w14:solidFill>
          </w14:textFill>
        </w:rPr>
      </w:pPr>
      <w:r>
        <w:rPr>
          <w:rFonts w:hint="eastAsia"/>
          <w:color w:val="000000" w:themeColor="text1"/>
          <w14:textFill>
            <w14:solidFill>
              <w14:schemeClr w14:val="tx1"/>
            </w14:solidFill>
          </w14:textFill>
        </w:rPr>
        <w:t>本次评价重点对运输道路在港区铺装道路扬尘中</w:t>
      </w:r>
      <w:r>
        <w:rPr>
          <w:color w:val="000000" w:themeColor="text1"/>
          <w14:textFill>
            <w14:solidFill>
              <w14:schemeClr w14:val="tx1"/>
            </w14:solidFill>
          </w14:textFill>
        </w:rPr>
        <w:t>PM</w:t>
      </w:r>
      <w:r>
        <w:rPr>
          <w:color w:val="000000" w:themeColor="text1"/>
          <w:vertAlign w:val="subscript"/>
          <w14:textFill>
            <w14:solidFill>
              <w14:schemeClr w14:val="tx1"/>
            </w14:solidFill>
          </w14:textFill>
        </w:rPr>
        <w:t>10</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PM</w:t>
      </w:r>
      <w:r>
        <w:rPr>
          <w:rFonts w:hint="eastAsia"/>
          <w:color w:val="000000" w:themeColor="text1"/>
          <w:vertAlign w:val="subscript"/>
          <w14:textFill>
            <w14:solidFill>
              <w14:schemeClr w14:val="tx1"/>
            </w14:solidFill>
          </w14:textFill>
        </w:rPr>
        <w:t>2.5</w:t>
      </w:r>
      <w:r>
        <w:rPr>
          <w:rFonts w:hint="eastAsia"/>
          <w:color w:val="000000" w:themeColor="text1"/>
          <w14:textFill>
            <w14:solidFill>
              <w14:schemeClr w14:val="tx1"/>
            </w14:solidFill>
          </w14:textFill>
        </w:rPr>
        <w:t>、TSP进行评价等级估算预测，</w:t>
      </w:r>
      <w:r>
        <w:rPr>
          <w:color w:val="000000" w:themeColor="text1"/>
          <w14:textFill>
            <w14:solidFill>
              <w14:schemeClr w14:val="tx1"/>
            </w14:solidFill>
          </w14:textFill>
        </w:rPr>
        <w:t>本项目污染源参数见表1.2-</w:t>
      </w:r>
      <w:r>
        <w:rPr>
          <w:rFonts w:hint="eastAsia"/>
          <w:color w:val="000000" w:themeColor="text1"/>
          <w14:textFill>
            <w14:solidFill>
              <w14:schemeClr w14:val="tx1"/>
            </w14:solidFill>
          </w14:textFill>
        </w:rPr>
        <w:t>7</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本次扩建陆域不设置集装箱堆场，项目无组织排放污染源主要集中在码头前沿以及港区内运输道路，因此为矩形面源，以项目区域东角为坐标原点进行记录面源中点坐标；</w:t>
      </w:r>
      <w:r>
        <w:rPr>
          <w:rFonts w:hint="eastAsia"/>
          <w:color w:val="000000" w:themeColor="text1"/>
          <w:u w:val="single"/>
          <w14:textFill>
            <w14:solidFill>
              <w14:schemeClr w14:val="tx1"/>
            </w14:solidFill>
          </w14:textFill>
        </w:rPr>
        <w:t>根据</w:t>
      </w:r>
      <w:r>
        <w:rPr>
          <w:color w:val="000000" w:themeColor="text1"/>
          <w:u w:val="single"/>
          <w14:textFill>
            <w14:solidFill>
              <w14:schemeClr w14:val="tx1"/>
            </w14:solidFill>
          </w14:textFill>
        </w:rPr>
        <w:t>《环境影响评价技术导则</w:t>
      </w:r>
      <w:r>
        <w:rPr>
          <w:rFonts w:hint="eastAsia"/>
          <w:color w:val="000000" w:themeColor="text1"/>
          <w:u w:val="single"/>
          <w14:textFill>
            <w14:solidFill>
              <w14:schemeClr w14:val="tx1"/>
            </w14:solidFill>
          </w14:textFill>
        </w:rPr>
        <w:t xml:space="preserve"> </w:t>
      </w:r>
      <w:r>
        <w:rPr>
          <w:color w:val="000000" w:themeColor="text1"/>
          <w:u w:val="single"/>
          <w14:textFill>
            <w14:solidFill>
              <w14:schemeClr w14:val="tx1"/>
            </w14:solidFill>
          </w14:textFill>
        </w:rPr>
        <w:t>大气环境》（HJ2.2-2018）</w:t>
      </w:r>
      <w:r>
        <w:rPr>
          <w:rFonts w:hint="eastAsia"/>
          <w:color w:val="000000" w:themeColor="text1"/>
          <w:u w:val="single"/>
          <w14:textFill>
            <w14:solidFill>
              <w14:schemeClr w14:val="tx1"/>
            </w14:solidFill>
          </w14:textFill>
        </w:rPr>
        <w:t>8.5.2.2及附录A1.4，当建设项目处于大型水体（海或湖）岸边3km范围内时，应首先采用附录A中的估算模型判定是否会发生熏烟现象，当在近岸内路上建设高烟囱时，需要考虑岸边熏烟。本项目位于海域岸边，但大气污染物排放均为无组织排放污染源，无高烟囱点源，因此不考虑岸边熏烟。</w:t>
      </w:r>
      <w:r>
        <w:rPr>
          <w:color w:val="000000" w:themeColor="text1"/>
          <w14:textFill>
            <w14:solidFill>
              <w14:schemeClr w14:val="tx1"/>
            </w14:solidFill>
          </w14:textFill>
        </w:rPr>
        <w:t>估算模型参数见表1.2-</w:t>
      </w:r>
      <w:r>
        <w:rPr>
          <w:rFonts w:hint="eastAsia"/>
          <w:color w:val="000000" w:themeColor="text1"/>
          <w14:textFill>
            <w14:solidFill>
              <w14:schemeClr w14:val="tx1"/>
            </w14:solidFill>
          </w14:textFill>
        </w:rPr>
        <w:t>8</w:t>
      </w:r>
      <w:r>
        <w:rPr>
          <w:color w:val="000000" w:themeColor="text1"/>
          <w14:textFill>
            <w14:solidFill>
              <w14:schemeClr w14:val="tx1"/>
            </w14:solidFill>
          </w14:textFill>
        </w:rPr>
        <w:t>，计算结果见表1.2-</w:t>
      </w:r>
      <w:r>
        <w:rPr>
          <w:rFonts w:hint="eastAsia"/>
          <w:color w:val="000000" w:themeColor="text1"/>
          <w14:textFill>
            <w14:solidFill>
              <w14:schemeClr w14:val="tx1"/>
            </w14:solidFill>
          </w14:textFill>
        </w:rPr>
        <w:t>9</w:t>
      </w:r>
      <w:r>
        <w:rPr>
          <w:color w:val="000000" w:themeColor="text1"/>
          <w14:textFill>
            <w14:solidFill>
              <w14:schemeClr w14:val="tx1"/>
            </w14:solidFill>
          </w14:textFill>
        </w:rPr>
        <w:t>。</w:t>
      </w:r>
    </w:p>
    <w:p>
      <w:pPr>
        <w:pStyle w:val="384"/>
        <w:ind w:left="0" w:firstLine="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主要大气污染源参数一览表（矩形面源）</w:t>
      </w:r>
    </w:p>
    <w:tbl>
      <w:tblPr>
        <w:tblStyle w:val="89"/>
        <w:tblW w:w="8528" w:type="dxa"/>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418"/>
        <w:gridCol w:w="667"/>
        <w:gridCol w:w="579"/>
        <w:gridCol w:w="583"/>
        <w:gridCol w:w="712"/>
        <w:gridCol w:w="891"/>
        <w:gridCol w:w="891"/>
        <w:gridCol w:w="891"/>
        <w:gridCol w:w="891"/>
        <w:gridCol w:w="691"/>
        <w:gridCol w:w="456"/>
        <w:gridCol w:w="858"/>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c>
          <w:tcPr>
            <w:tcW w:w="418" w:type="dxa"/>
            <w:vMerge w:val="restart"/>
            <w:vAlign w:val="center"/>
          </w:tcPr>
          <w:p>
            <w:pPr>
              <w:pStyle w:val="384"/>
              <w:numPr>
                <w:ilvl w:val="0"/>
                <w:numId w:val="0"/>
              </w:numPr>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编号</w:t>
            </w:r>
          </w:p>
        </w:tc>
        <w:tc>
          <w:tcPr>
            <w:tcW w:w="667" w:type="dxa"/>
            <w:vMerge w:val="restart"/>
            <w:vAlign w:val="center"/>
          </w:tcPr>
          <w:p>
            <w:pPr>
              <w:pStyle w:val="384"/>
              <w:numPr>
                <w:ilvl w:val="0"/>
                <w:numId w:val="0"/>
              </w:numPr>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名称</w:t>
            </w:r>
          </w:p>
        </w:tc>
        <w:tc>
          <w:tcPr>
            <w:tcW w:w="1162" w:type="dxa"/>
            <w:gridSpan w:val="2"/>
            <w:vAlign w:val="center"/>
          </w:tcPr>
          <w:p>
            <w:pPr>
              <w:pStyle w:val="384"/>
              <w:numPr>
                <w:ilvl w:val="0"/>
                <w:numId w:val="0"/>
              </w:numPr>
              <w:rPr>
                <w:rFonts w:cs="Times New Roman"/>
                <w:color w:val="000000" w:themeColor="text1"/>
                <w:sz w:val="21"/>
                <w:szCs w:val="21"/>
                <w14:textFill>
                  <w14:solidFill>
                    <w14:schemeClr w14:val="tx1"/>
                  </w14:solidFill>
                </w14:textFill>
              </w:rPr>
            </w:pPr>
            <w:r>
              <w:rPr>
                <w:rFonts w:hint="eastAsia" w:cs="Times New Roman"/>
                <w:color w:val="000000" w:themeColor="text1"/>
                <w:sz w:val="21"/>
                <w:szCs w:val="21"/>
                <w14:textFill>
                  <w14:solidFill>
                    <w14:schemeClr w14:val="tx1"/>
                  </w14:solidFill>
                </w14:textFill>
              </w:rPr>
              <w:t>面源起点</w:t>
            </w:r>
          </w:p>
          <w:p>
            <w:pPr>
              <w:pStyle w:val="384"/>
              <w:numPr>
                <w:ilvl w:val="0"/>
                <w:numId w:val="0"/>
              </w:numPr>
              <w:rPr>
                <w:rFonts w:cs="Times New Roman"/>
                <w:color w:val="000000" w:themeColor="text1"/>
                <w:sz w:val="21"/>
                <w:szCs w:val="21"/>
                <w14:textFill>
                  <w14:solidFill>
                    <w14:schemeClr w14:val="tx1"/>
                  </w14:solidFill>
                </w14:textFill>
              </w:rPr>
            </w:pPr>
            <w:r>
              <w:rPr>
                <w:rFonts w:hint="eastAsia" w:cs="Times New Roman"/>
                <w:color w:val="000000" w:themeColor="text1"/>
                <w:sz w:val="21"/>
                <w:szCs w:val="21"/>
                <w14:textFill>
                  <w14:solidFill>
                    <w14:schemeClr w14:val="tx1"/>
                  </w14:solidFill>
                </w14:textFill>
              </w:rPr>
              <w:t>坐标</w:t>
            </w:r>
          </w:p>
        </w:tc>
        <w:tc>
          <w:tcPr>
            <w:tcW w:w="712" w:type="dxa"/>
            <w:vMerge w:val="restart"/>
            <w:vAlign w:val="center"/>
          </w:tcPr>
          <w:p>
            <w:pPr>
              <w:pStyle w:val="384"/>
              <w:numPr>
                <w:ilvl w:val="0"/>
                <w:numId w:val="0"/>
              </w:numPr>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面源</w:t>
            </w:r>
            <w:r>
              <w:rPr>
                <w:rFonts w:hint="eastAsia" w:cs="Times New Roman"/>
                <w:color w:val="000000" w:themeColor="text1"/>
                <w:sz w:val="21"/>
                <w:szCs w:val="21"/>
                <w14:textFill>
                  <w14:solidFill>
                    <w14:schemeClr w14:val="tx1"/>
                  </w14:solidFill>
                </w14:textFill>
              </w:rPr>
              <w:t>海拔/m</w:t>
            </w:r>
          </w:p>
        </w:tc>
        <w:tc>
          <w:tcPr>
            <w:tcW w:w="891" w:type="dxa"/>
            <w:vMerge w:val="restart"/>
            <w:vAlign w:val="center"/>
          </w:tcPr>
          <w:p>
            <w:pPr>
              <w:pStyle w:val="384"/>
              <w:numPr>
                <w:ilvl w:val="0"/>
                <w:numId w:val="0"/>
              </w:numPr>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面源长度</w:t>
            </w:r>
            <w:r>
              <w:rPr>
                <w:rFonts w:hint="eastAsia" w:cs="Times New Roman"/>
                <w:color w:val="000000" w:themeColor="text1"/>
                <w:sz w:val="21"/>
                <w:szCs w:val="21"/>
                <w14:textFill>
                  <w14:solidFill>
                    <w14:schemeClr w14:val="tx1"/>
                  </w14:solidFill>
                </w14:textFill>
              </w:rPr>
              <w:t>/m</w:t>
            </w:r>
          </w:p>
        </w:tc>
        <w:tc>
          <w:tcPr>
            <w:tcW w:w="891" w:type="dxa"/>
            <w:vMerge w:val="restart"/>
            <w:vAlign w:val="center"/>
          </w:tcPr>
          <w:p>
            <w:pPr>
              <w:pStyle w:val="384"/>
              <w:numPr>
                <w:ilvl w:val="0"/>
                <w:numId w:val="0"/>
              </w:numPr>
              <w:rPr>
                <w:rFonts w:cs="Times New Roman"/>
                <w:color w:val="000000" w:themeColor="text1"/>
                <w:sz w:val="21"/>
                <w:szCs w:val="21"/>
                <w14:textFill>
                  <w14:solidFill>
                    <w14:schemeClr w14:val="tx1"/>
                  </w14:solidFill>
                </w14:textFill>
              </w:rPr>
            </w:pPr>
            <w:r>
              <w:rPr>
                <w:rFonts w:hint="eastAsia" w:cs="Times New Roman"/>
                <w:color w:val="000000" w:themeColor="text1"/>
                <w:sz w:val="21"/>
                <w:szCs w:val="21"/>
                <w14:textFill>
                  <w14:solidFill>
                    <w14:schemeClr w14:val="tx1"/>
                  </w14:solidFill>
                </w14:textFill>
              </w:rPr>
              <w:t>面源宽度/m</w:t>
            </w:r>
          </w:p>
        </w:tc>
        <w:tc>
          <w:tcPr>
            <w:tcW w:w="891" w:type="dxa"/>
            <w:vMerge w:val="restart"/>
            <w:vAlign w:val="center"/>
          </w:tcPr>
          <w:p>
            <w:pPr>
              <w:pStyle w:val="384"/>
              <w:numPr>
                <w:ilvl w:val="0"/>
                <w:numId w:val="0"/>
              </w:numPr>
              <w:rPr>
                <w:rFonts w:cs="Times New Roman"/>
                <w:color w:val="000000" w:themeColor="text1"/>
                <w:sz w:val="21"/>
                <w:szCs w:val="21"/>
                <w14:textFill>
                  <w14:solidFill>
                    <w14:schemeClr w14:val="tx1"/>
                  </w14:solidFill>
                </w14:textFill>
              </w:rPr>
            </w:pPr>
            <w:r>
              <w:rPr>
                <w:rFonts w:hint="eastAsia" w:cs="Times New Roman"/>
                <w:color w:val="000000" w:themeColor="text1"/>
                <w:sz w:val="21"/>
                <w:szCs w:val="21"/>
                <w14:textFill>
                  <w14:solidFill>
                    <w14:schemeClr w14:val="tx1"/>
                  </w14:solidFill>
                </w14:textFill>
              </w:rPr>
              <w:t>与正北向夹角/°</w:t>
            </w:r>
          </w:p>
        </w:tc>
        <w:tc>
          <w:tcPr>
            <w:tcW w:w="891" w:type="dxa"/>
            <w:vMerge w:val="restart"/>
            <w:vAlign w:val="center"/>
          </w:tcPr>
          <w:p>
            <w:pPr>
              <w:pStyle w:val="384"/>
              <w:numPr>
                <w:ilvl w:val="0"/>
                <w:numId w:val="0"/>
              </w:numPr>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面源有效排放高度</w:t>
            </w:r>
            <w:r>
              <w:rPr>
                <w:rFonts w:hint="eastAsia" w:cs="Times New Roman"/>
                <w:color w:val="000000" w:themeColor="text1"/>
                <w:sz w:val="21"/>
                <w:szCs w:val="21"/>
                <w14:textFill>
                  <w14:solidFill>
                    <w14:schemeClr w14:val="tx1"/>
                  </w14:solidFill>
                </w14:textFill>
              </w:rPr>
              <w:t>/m</w:t>
            </w:r>
          </w:p>
        </w:tc>
        <w:tc>
          <w:tcPr>
            <w:tcW w:w="691" w:type="dxa"/>
            <w:vMerge w:val="restart"/>
            <w:vAlign w:val="center"/>
          </w:tcPr>
          <w:p>
            <w:pPr>
              <w:pStyle w:val="384"/>
              <w:numPr>
                <w:ilvl w:val="0"/>
                <w:numId w:val="0"/>
              </w:numPr>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年排放小时数</w:t>
            </w:r>
            <w:r>
              <w:rPr>
                <w:rFonts w:hint="eastAsia" w:cs="Times New Roman"/>
                <w:color w:val="000000" w:themeColor="text1"/>
                <w:sz w:val="21"/>
                <w:szCs w:val="21"/>
                <w14:textFill>
                  <w14:solidFill>
                    <w14:schemeClr w14:val="tx1"/>
                  </w14:solidFill>
                </w14:textFill>
              </w:rPr>
              <w:t>/h</w:t>
            </w:r>
          </w:p>
        </w:tc>
        <w:tc>
          <w:tcPr>
            <w:tcW w:w="456" w:type="dxa"/>
            <w:vMerge w:val="restart"/>
            <w:vAlign w:val="center"/>
          </w:tcPr>
          <w:p>
            <w:pPr>
              <w:pStyle w:val="384"/>
              <w:numPr>
                <w:ilvl w:val="0"/>
                <w:numId w:val="0"/>
              </w:numPr>
              <w:rPr>
                <w:rFonts w:cs="Times New Roman"/>
                <w:color w:val="000000" w:themeColor="text1"/>
                <w:sz w:val="21"/>
                <w:szCs w:val="21"/>
                <w14:textFill>
                  <w14:solidFill>
                    <w14:schemeClr w14:val="tx1"/>
                  </w14:solidFill>
                </w14:textFill>
              </w:rPr>
            </w:pPr>
            <w:r>
              <w:rPr>
                <w:rFonts w:hint="eastAsia" w:cs="Times New Roman"/>
                <w:color w:val="000000" w:themeColor="text1"/>
                <w:sz w:val="21"/>
                <w:szCs w:val="21"/>
                <w14:textFill>
                  <w14:solidFill>
                    <w14:schemeClr w14:val="tx1"/>
                  </w14:solidFill>
                </w14:textFill>
              </w:rPr>
              <w:t>排放工况</w:t>
            </w:r>
          </w:p>
        </w:tc>
        <w:tc>
          <w:tcPr>
            <w:tcW w:w="858" w:type="dxa"/>
            <w:vMerge w:val="restart"/>
            <w:vAlign w:val="center"/>
          </w:tcPr>
          <w:p>
            <w:pPr>
              <w:pStyle w:val="384"/>
              <w:numPr>
                <w:ilvl w:val="0"/>
                <w:numId w:val="0"/>
              </w:numPr>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排放速率</w:t>
            </w:r>
            <w:r>
              <w:rPr>
                <w:rFonts w:hint="eastAsia" w:cs="Times New Roman"/>
                <w:color w:val="000000" w:themeColor="text1"/>
                <w:sz w:val="21"/>
                <w:szCs w:val="21"/>
                <w14:textFill>
                  <w14:solidFill>
                    <w14:schemeClr w14:val="tx1"/>
                  </w14:solidFill>
                </w14:textFill>
              </w:rPr>
              <w:t>（t/a）</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c>
          <w:tcPr>
            <w:tcW w:w="418" w:type="dxa"/>
            <w:vMerge w:val="continue"/>
            <w:vAlign w:val="center"/>
          </w:tcPr>
          <w:p>
            <w:pPr>
              <w:pStyle w:val="384"/>
              <w:numPr>
                <w:ilvl w:val="0"/>
                <w:numId w:val="0"/>
              </w:numPr>
              <w:rPr>
                <w:rFonts w:cs="Times New Roman"/>
                <w:color w:val="000000" w:themeColor="text1"/>
                <w:sz w:val="21"/>
                <w:szCs w:val="21"/>
                <w14:textFill>
                  <w14:solidFill>
                    <w14:schemeClr w14:val="tx1"/>
                  </w14:solidFill>
                </w14:textFill>
              </w:rPr>
            </w:pPr>
          </w:p>
        </w:tc>
        <w:tc>
          <w:tcPr>
            <w:tcW w:w="667" w:type="dxa"/>
            <w:vMerge w:val="continue"/>
            <w:vAlign w:val="center"/>
          </w:tcPr>
          <w:p>
            <w:pPr>
              <w:pStyle w:val="384"/>
              <w:numPr>
                <w:ilvl w:val="0"/>
                <w:numId w:val="0"/>
              </w:numPr>
              <w:rPr>
                <w:rFonts w:cs="Times New Roman"/>
                <w:color w:val="000000" w:themeColor="text1"/>
                <w:sz w:val="21"/>
                <w:szCs w:val="21"/>
                <w14:textFill>
                  <w14:solidFill>
                    <w14:schemeClr w14:val="tx1"/>
                  </w14:solidFill>
                </w14:textFill>
              </w:rPr>
            </w:pPr>
          </w:p>
        </w:tc>
        <w:tc>
          <w:tcPr>
            <w:tcW w:w="579" w:type="dxa"/>
            <w:vAlign w:val="center"/>
          </w:tcPr>
          <w:p>
            <w:pPr>
              <w:pStyle w:val="384"/>
              <w:numPr>
                <w:ilvl w:val="0"/>
                <w:numId w:val="0"/>
              </w:numPr>
              <w:rPr>
                <w:rFonts w:cs="Times New Roman"/>
                <w:color w:val="000000" w:themeColor="text1"/>
                <w:sz w:val="21"/>
                <w:szCs w:val="21"/>
                <w14:textFill>
                  <w14:solidFill>
                    <w14:schemeClr w14:val="tx1"/>
                  </w14:solidFill>
                </w14:textFill>
              </w:rPr>
            </w:pPr>
            <w:r>
              <w:rPr>
                <w:rFonts w:hint="eastAsia" w:cs="Times New Roman"/>
                <w:color w:val="000000" w:themeColor="text1"/>
                <w:sz w:val="21"/>
                <w:szCs w:val="21"/>
                <w14:textFill>
                  <w14:solidFill>
                    <w14:schemeClr w14:val="tx1"/>
                  </w14:solidFill>
                </w14:textFill>
              </w:rPr>
              <w:t>X</w:t>
            </w:r>
          </w:p>
        </w:tc>
        <w:tc>
          <w:tcPr>
            <w:tcW w:w="583" w:type="dxa"/>
            <w:vAlign w:val="center"/>
          </w:tcPr>
          <w:p>
            <w:pPr>
              <w:pStyle w:val="384"/>
              <w:numPr>
                <w:ilvl w:val="0"/>
                <w:numId w:val="0"/>
              </w:numPr>
              <w:rPr>
                <w:rFonts w:cs="Times New Roman"/>
                <w:color w:val="000000" w:themeColor="text1"/>
                <w:sz w:val="21"/>
                <w:szCs w:val="21"/>
                <w14:textFill>
                  <w14:solidFill>
                    <w14:schemeClr w14:val="tx1"/>
                  </w14:solidFill>
                </w14:textFill>
              </w:rPr>
            </w:pPr>
            <w:r>
              <w:rPr>
                <w:rFonts w:hint="eastAsia" w:cs="Times New Roman"/>
                <w:color w:val="000000" w:themeColor="text1"/>
                <w:sz w:val="21"/>
                <w:szCs w:val="21"/>
                <w14:textFill>
                  <w14:solidFill>
                    <w14:schemeClr w14:val="tx1"/>
                  </w14:solidFill>
                </w14:textFill>
              </w:rPr>
              <w:t>Y</w:t>
            </w:r>
          </w:p>
        </w:tc>
        <w:tc>
          <w:tcPr>
            <w:tcW w:w="712" w:type="dxa"/>
            <w:vMerge w:val="continue"/>
            <w:vAlign w:val="center"/>
          </w:tcPr>
          <w:p>
            <w:pPr>
              <w:pStyle w:val="384"/>
              <w:numPr>
                <w:ilvl w:val="0"/>
                <w:numId w:val="0"/>
              </w:numPr>
              <w:rPr>
                <w:rFonts w:cs="Times New Roman"/>
                <w:color w:val="000000" w:themeColor="text1"/>
                <w:sz w:val="21"/>
                <w:szCs w:val="21"/>
                <w14:textFill>
                  <w14:solidFill>
                    <w14:schemeClr w14:val="tx1"/>
                  </w14:solidFill>
                </w14:textFill>
              </w:rPr>
            </w:pPr>
          </w:p>
        </w:tc>
        <w:tc>
          <w:tcPr>
            <w:tcW w:w="891" w:type="dxa"/>
            <w:vMerge w:val="continue"/>
          </w:tcPr>
          <w:p>
            <w:pPr>
              <w:pStyle w:val="384"/>
              <w:numPr>
                <w:ilvl w:val="0"/>
                <w:numId w:val="0"/>
              </w:numPr>
              <w:rPr>
                <w:rFonts w:cs="Times New Roman"/>
                <w:color w:val="000000" w:themeColor="text1"/>
                <w:sz w:val="21"/>
                <w:szCs w:val="21"/>
                <w14:textFill>
                  <w14:solidFill>
                    <w14:schemeClr w14:val="tx1"/>
                  </w14:solidFill>
                </w14:textFill>
              </w:rPr>
            </w:pPr>
          </w:p>
        </w:tc>
        <w:tc>
          <w:tcPr>
            <w:tcW w:w="891" w:type="dxa"/>
            <w:vMerge w:val="continue"/>
          </w:tcPr>
          <w:p>
            <w:pPr>
              <w:pStyle w:val="384"/>
              <w:numPr>
                <w:ilvl w:val="0"/>
                <w:numId w:val="0"/>
              </w:numPr>
              <w:rPr>
                <w:rFonts w:cs="Times New Roman"/>
                <w:color w:val="000000" w:themeColor="text1"/>
                <w:sz w:val="21"/>
                <w:szCs w:val="21"/>
                <w14:textFill>
                  <w14:solidFill>
                    <w14:schemeClr w14:val="tx1"/>
                  </w14:solidFill>
                </w14:textFill>
              </w:rPr>
            </w:pPr>
          </w:p>
        </w:tc>
        <w:tc>
          <w:tcPr>
            <w:tcW w:w="891" w:type="dxa"/>
            <w:vMerge w:val="continue"/>
          </w:tcPr>
          <w:p>
            <w:pPr>
              <w:pStyle w:val="384"/>
              <w:numPr>
                <w:ilvl w:val="0"/>
                <w:numId w:val="0"/>
              </w:numPr>
              <w:rPr>
                <w:rFonts w:cs="Times New Roman"/>
                <w:color w:val="000000" w:themeColor="text1"/>
                <w:sz w:val="21"/>
                <w:szCs w:val="21"/>
                <w14:textFill>
                  <w14:solidFill>
                    <w14:schemeClr w14:val="tx1"/>
                  </w14:solidFill>
                </w14:textFill>
              </w:rPr>
            </w:pPr>
          </w:p>
        </w:tc>
        <w:tc>
          <w:tcPr>
            <w:tcW w:w="891" w:type="dxa"/>
            <w:vMerge w:val="continue"/>
            <w:vAlign w:val="center"/>
          </w:tcPr>
          <w:p>
            <w:pPr>
              <w:pStyle w:val="384"/>
              <w:numPr>
                <w:ilvl w:val="0"/>
                <w:numId w:val="0"/>
              </w:numPr>
              <w:rPr>
                <w:rFonts w:cs="Times New Roman"/>
                <w:color w:val="000000" w:themeColor="text1"/>
                <w:sz w:val="21"/>
                <w:szCs w:val="21"/>
                <w14:textFill>
                  <w14:solidFill>
                    <w14:schemeClr w14:val="tx1"/>
                  </w14:solidFill>
                </w14:textFill>
              </w:rPr>
            </w:pPr>
          </w:p>
        </w:tc>
        <w:tc>
          <w:tcPr>
            <w:tcW w:w="691" w:type="dxa"/>
            <w:vMerge w:val="continue"/>
            <w:vAlign w:val="center"/>
          </w:tcPr>
          <w:p>
            <w:pPr>
              <w:pStyle w:val="384"/>
              <w:numPr>
                <w:ilvl w:val="0"/>
                <w:numId w:val="0"/>
              </w:numPr>
              <w:rPr>
                <w:rFonts w:cs="Times New Roman"/>
                <w:color w:val="000000" w:themeColor="text1"/>
                <w:sz w:val="21"/>
                <w:szCs w:val="21"/>
                <w14:textFill>
                  <w14:solidFill>
                    <w14:schemeClr w14:val="tx1"/>
                  </w14:solidFill>
                </w14:textFill>
              </w:rPr>
            </w:pPr>
          </w:p>
        </w:tc>
        <w:tc>
          <w:tcPr>
            <w:tcW w:w="456" w:type="dxa"/>
            <w:vMerge w:val="continue"/>
            <w:vAlign w:val="center"/>
          </w:tcPr>
          <w:p>
            <w:pPr>
              <w:pStyle w:val="384"/>
              <w:numPr>
                <w:ilvl w:val="0"/>
                <w:numId w:val="0"/>
              </w:numPr>
              <w:rPr>
                <w:rFonts w:cs="Times New Roman"/>
                <w:color w:val="000000" w:themeColor="text1"/>
                <w:sz w:val="21"/>
                <w:szCs w:val="21"/>
                <w14:textFill>
                  <w14:solidFill>
                    <w14:schemeClr w14:val="tx1"/>
                  </w14:solidFill>
                </w14:textFill>
              </w:rPr>
            </w:pPr>
          </w:p>
        </w:tc>
        <w:tc>
          <w:tcPr>
            <w:tcW w:w="858" w:type="dxa"/>
            <w:vMerge w:val="continue"/>
            <w:vAlign w:val="center"/>
          </w:tcPr>
          <w:p>
            <w:pPr>
              <w:pStyle w:val="384"/>
              <w:numPr>
                <w:ilvl w:val="0"/>
                <w:numId w:val="0"/>
              </w:numPr>
              <w:rPr>
                <w:rFonts w:cs="Times New Roman"/>
                <w:color w:val="000000" w:themeColor="text1"/>
                <w:sz w:val="21"/>
                <w:szCs w:val="21"/>
                <w14:textFill>
                  <w14:solidFill>
                    <w14:schemeClr w14:val="tx1"/>
                  </w14:solidFill>
                </w14:textFill>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65" w:hRule="atLeast"/>
        </w:trPr>
        <w:tc>
          <w:tcPr>
            <w:tcW w:w="418" w:type="dxa"/>
            <w:vAlign w:val="center"/>
          </w:tcPr>
          <w:p>
            <w:pPr>
              <w:pStyle w:val="384"/>
              <w:numPr>
                <w:ilvl w:val="0"/>
                <w:numId w:val="0"/>
              </w:numPr>
              <w:rPr>
                <w:rFonts w:cs="Times New Roman"/>
                <w:b w:val="0"/>
                <w:color w:val="000000" w:themeColor="text1"/>
                <w:sz w:val="21"/>
                <w:szCs w:val="21"/>
                <w14:textFill>
                  <w14:solidFill>
                    <w14:schemeClr w14:val="tx1"/>
                  </w14:solidFill>
                </w14:textFill>
              </w:rPr>
            </w:pPr>
            <w:r>
              <w:rPr>
                <w:rFonts w:hint="eastAsia" w:cs="Times New Roman"/>
                <w:b w:val="0"/>
                <w:color w:val="000000" w:themeColor="text1"/>
                <w:sz w:val="21"/>
                <w:szCs w:val="21"/>
                <w14:textFill>
                  <w14:solidFill>
                    <w14:schemeClr w14:val="tx1"/>
                  </w14:solidFill>
                </w14:textFill>
              </w:rPr>
              <w:t>1</w:t>
            </w:r>
          </w:p>
        </w:tc>
        <w:tc>
          <w:tcPr>
            <w:tcW w:w="667" w:type="dxa"/>
            <w:vAlign w:val="center"/>
          </w:tcPr>
          <w:p>
            <w:pPr>
              <w:snapToGrid w:val="0"/>
              <w:spacing w:line="280" w:lineRule="exact"/>
              <w:jc w:val="center"/>
              <w:rPr>
                <w:color w:val="000000" w:themeColor="text1"/>
                <w:sz w:val="21"/>
                <w:szCs w:val="21"/>
                <w:u w:val="single"/>
                <w14:textFill>
                  <w14:solidFill>
                    <w14:schemeClr w14:val="tx1"/>
                  </w14:solidFill>
                </w14:textFill>
              </w:rPr>
            </w:pPr>
            <w:r>
              <w:rPr>
                <w:rFonts w:hint="eastAsia"/>
                <w:color w:val="000000" w:themeColor="text1"/>
                <w:sz w:val="21"/>
                <w:szCs w:val="21"/>
                <w:u w:val="single"/>
                <w14:textFill>
                  <w14:solidFill>
                    <w14:schemeClr w14:val="tx1"/>
                  </w14:solidFill>
                </w14:textFill>
              </w:rPr>
              <w:t>TSP</w:t>
            </w:r>
          </w:p>
        </w:tc>
        <w:tc>
          <w:tcPr>
            <w:tcW w:w="579" w:type="dxa"/>
            <w:vMerge w:val="restart"/>
            <w:vAlign w:val="center"/>
          </w:tcPr>
          <w:p>
            <w:pPr>
              <w:spacing w:line="240" w:lineRule="exact"/>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100</w:t>
            </w:r>
          </w:p>
        </w:tc>
        <w:tc>
          <w:tcPr>
            <w:tcW w:w="583" w:type="dxa"/>
            <w:vMerge w:val="restart"/>
            <w:vAlign w:val="center"/>
          </w:tcPr>
          <w:p>
            <w:pPr>
              <w:spacing w:line="240" w:lineRule="exact"/>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-324</w:t>
            </w:r>
          </w:p>
        </w:tc>
        <w:tc>
          <w:tcPr>
            <w:tcW w:w="712" w:type="dxa"/>
            <w:vMerge w:val="restart"/>
            <w:vAlign w:val="center"/>
          </w:tcPr>
          <w:p>
            <w:pPr>
              <w:pStyle w:val="384"/>
              <w:numPr>
                <w:ilvl w:val="0"/>
                <w:numId w:val="0"/>
              </w:numPr>
              <w:rPr>
                <w:rFonts w:cs="Times New Roman"/>
                <w:b w:val="0"/>
                <w:color w:val="000000" w:themeColor="text1"/>
                <w:sz w:val="21"/>
                <w:szCs w:val="21"/>
                <w14:textFill>
                  <w14:solidFill>
                    <w14:schemeClr w14:val="tx1"/>
                  </w14:solidFill>
                </w14:textFill>
              </w:rPr>
            </w:pPr>
            <w:r>
              <w:rPr>
                <w:rFonts w:hint="eastAsia" w:cs="Times New Roman"/>
                <w:b w:val="0"/>
                <w:color w:val="000000" w:themeColor="text1"/>
                <w:sz w:val="21"/>
                <w:szCs w:val="21"/>
                <w14:textFill>
                  <w14:solidFill>
                    <w14:schemeClr w14:val="tx1"/>
                  </w14:solidFill>
                </w14:textFill>
              </w:rPr>
              <w:t>0</w:t>
            </w:r>
          </w:p>
        </w:tc>
        <w:tc>
          <w:tcPr>
            <w:tcW w:w="891" w:type="dxa"/>
            <w:vMerge w:val="restart"/>
            <w:vAlign w:val="center"/>
          </w:tcPr>
          <w:p>
            <w:pPr>
              <w:pStyle w:val="384"/>
              <w:numPr>
                <w:ilvl w:val="0"/>
                <w:numId w:val="0"/>
              </w:numPr>
              <w:rPr>
                <w:rFonts w:cs="Times New Roman"/>
                <w:b w:val="0"/>
                <w:color w:val="000000" w:themeColor="text1"/>
                <w:sz w:val="21"/>
                <w:szCs w:val="21"/>
                <w14:textFill>
                  <w14:solidFill>
                    <w14:schemeClr w14:val="tx1"/>
                  </w14:solidFill>
                </w14:textFill>
              </w:rPr>
            </w:pPr>
            <w:r>
              <w:rPr>
                <w:rFonts w:hint="eastAsia" w:cs="Times New Roman"/>
                <w:b w:val="0"/>
                <w:color w:val="000000" w:themeColor="text1"/>
                <w:sz w:val="21"/>
                <w:szCs w:val="21"/>
                <w14:textFill>
                  <w14:solidFill>
                    <w14:schemeClr w14:val="tx1"/>
                  </w14:solidFill>
                </w14:textFill>
              </w:rPr>
              <w:t>200</w:t>
            </w:r>
          </w:p>
        </w:tc>
        <w:tc>
          <w:tcPr>
            <w:tcW w:w="891" w:type="dxa"/>
            <w:vMerge w:val="restart"/>
            <w:vAlign w:val="center"/>
          </w:tcPr>
          <w:p>
            <w:pPr>
              <w:pStyle w:val="384"/>
              <w:numPr>
                <w:ilvl w:val="0"/>
                <w:numId w:val="0"/>
              </w:numPr>
              <w:rPr>
                <w:rFonts w:cs="Times New Roman"/>
                <w:b w:val="0"/>
                <w:color w:val="000000" w:themeColor="text1"/>
                <w:sz w:val="21"/>
                <w:szCs w:val="21"/>
                <w14:textFill>
                  <w14:solidFill>
                    <w14:schemeClr w14:val="tx1"/>
                  </w14:solidFill>
                </w14:textFill>
              </w:rPr>
            </w:pPr>
            <w:r>
              <w:rPr>
                <w:rFonts w:hint="eastAsia" w:cs="Times New Roman"/>
                <w:b w:val="0"/>
                <w:color w:val="000000" w:themeColor="text1"/>
                <w:sz w:val="21"/>
                <w:szCs w:val="21"/>
                <w14:textFill>
                  <w14:solidFill>
                    <w14:schemeClr w14:val="tx1"/>
                  </w14:solidFill>
                </w14:textFill>
              </w:rPr>
              <w:t>90</w:t>
            </w:r>
          </w:p>
        </w:tc>
        <w:tc>
          <w:tcPr>
            <w:tcW w:w="891" w:type="dxa"/>
            <w:vMerge w:val="restart"/>
            <w:vAlign w:val="center"/>
          </w:tcPr>
          <w:p>
            <w:pPr>
              <w:pStyle w:val="384"/>
              <w:numPr>
                <w:ilvl w:val="0"/>
                <w:numId w:val="0"/>
              </w:numPr>
              <w:rPr>
                <w:rFonts w:cs="Times New Roman"/>
                <w:b w:val="0"/>
                <w:color w:val="000000" w:themeColor="text1"/>
                <w:sz w:val="21"/>
                <w:szCs w:val="21"/>
                <w14:textFill>
                  <w14:solidFill>
                    <w14:schemeClr w14:val="tx1"/>
                  </w14:solidFill>
                </w14:textFill>
              </w:rPr>
            </w:pPr>
            <w:r>
              <w:rPr>
                <w:rFonts w:hint="eastAsia" w:cs="Times New Roman"/>
                <w:b w:val="0"/>
                <w:color w:val="000000" w:themeColor="text1"/>
                <w:sz w:val="21"/>
                <w:szCs w:val="21"/>
                <w14:textFill>
                  <w14:solidFill>
                    <w14:schemeClr w14:val="tx1"/>
                  </w14:solidFill>
                </w14:textFill>
              </w:rPr>
              <w:t>40.7</w:t>
            </w:r>
          </w:p>
        </w:tc>
        <w:tc>
          <w:tcPr>
            <w:tcW w:w="891" w:type="dxa"/>
            <w:vMerge w:val="restart"/>
            <w:vAlign w:val="center"/>
          </w:tcPr>
          <w:p>
            <w:pPr>
              <w:pStyle w:val="384"/>
              <w:numPr>
                <w:ilvl w:val="0"/>
                <w:numId w:val="0"/>
              </w:numPr>
              <w:rPr>
                <w:rFonts w:cs="Times New Roman"/>
                <w:b w:val="0"/>
                <w:color w:val="000000" w:themeColor="text1"/>
                <w:sz w:val="21"/>
                <w:szCs w:val="21"/>
                <w14:textFill>
                  <w14:solidFill>
                    <w14:schemeClr w14:val="tx1"/>
                  </w14:solidFill>
                </w14:textFill>
              </w:rPr>
            </w:pPr>
            <w:r>
              <w:rPr>
                <w:rFonts w:hint="eastAsia" w:cs="Times New Roman"/>
                <w:b w:val="0"/>
                <w:color w:val="000000" w:themeColor="text1"/>
                <w:sz w:val="21"/>
                <w:szCs w:val="21"/>
                <w14:textFill>
                  <w14:solidFill>
                    <w14:schemeClr w14:val="tx1"/>
                  </w14:solidFill>
                </w14:textFill>
              </w:rPr>
              <w:t>0.5</w:t>
            </w:r>
          </w:p>
        </w:tc>
        <w:tc>
          <w:tcPr>
            <w:tcW w:w="691" w:type="dxa"/>
            <w:vMerge w:val="restart"/>
            <w:vAlign w:val="center"/>
          </w:tcPr>
          <w:p>
            <w:pPr>
              <w:pStyle w:val="384"/>
              <w:numPr>
                <w:ilvl w:val="0"/>
                <w:numId w:val="0"/>
              </w:numPr>
              <w:rPr>
                <w:rFonts w:cs="Times New Roman"/>
                <w:b w:val="0"/>
                <w:color w:val="000000" w:themeColor="text1"/>
                <w:sz w:val="21"/>
                <w:szCs w:val="21"/>
                <w14:textFill>
                  <w14:solidFill>
                    <w14:schemeClr w14:val="tx1"/>
                  </w14:solidFill>
                </w14:textFill>
              </w:rPr>
            </w:pPr>
            <w:r>
              <w:rPr>
                <w:rFonts w:hint="eastAsia" w:cs="Times New Roman"/>
                <w:b w:val="0"/>
                <w:color w:val="000000" w:themeColor="text1"/>
                <w:sz w:val="21"/>
                <w:szCs w:val="21"/>
                <w14:textFill>
                  <w14:solidFill>
                    <w14:schemeClr w14:val="tx1"/>
                  </w14:solidFill>
                </w14:textFill>
              </w:rPr>
              <w:t>7920</w:t>
            </w:r>
          </w:p>
        </w:tc>
        <w:tc>
          <w:tcPr>
            <w:tcW w:w="456" w:type="dxa"/>
            <w:vMerge w:val="restart"/>
            <w:vAlign w:val="center"/>
          </w:tcPr>
          <w:p>
            <w:pPr>
              <w:pStyle w:val="384"/>
              <w:numPr>
                <w:ilvl w:val="0"/>
                <w:numId w:val="0"/>
              </w:numPr>
              <w:rPr>
                <w:rFonts w:cs="Times New Roman"/>
                <w:b w:val="0"/>
                <w:color w:val="000000" w:themeColor="text1"/>
                <w:sz w:val="21"/>
                <w:szCs w:val="21"/>
                <w14:textFill>
                  <w14:solidFill>
                    <w14:schemeClr w14:val="tx1"/>
                  </w14:solidFill>
                </w14:textFill>
              </w:rPr>
            </w:pPr>
            <w:r>
              <w:rPr>
                <w:rFonts w:cs="Times New Roman"/>
                <w:b w:val="0"/>
                <w:color w:val="000000" w:themeColor="text1"/>
                <w:sz w:val="21"/>
                <w:szCs w:val="21"/>
                <w14:textFill>
                  <w14:solidFill>
                    <w14:schemeClr w14:val="tx1"/>
                  </w14:solidFill>
                </w14:textFill>
              </w:rPr>
              <w:t>间断</w:t>
            </w:r>
          </w:p>
        </w:tc>
        <w:tc>
          <w:tcPr>
            <w:tcW w:w="858" w:type="dxa"/>
            <w:vAlign w:val="center"/>
          </w:tcPr>
          <w:p>
            <w:pPr>
              <w:pStyle w:val="384"/>
              <w:numPr>
                <w:ilvl w:val="0"/>
                <w:numId w:val="0"/>
              </w:numPr>
              <w:rPr>
                <w:rFonts w:cs="Times New Roman"/>
                <w:b w:val="0"/>
                <w:color w:val="000000" w:themeColor="text1"/>
                <w:sz w:val="21"/>
                <w:szCs w:val="21"/>
                <w14:textFill>
                  <w14:solidFill>
                    <w14:schemeClr w14:val="tx1"/>
                  </w14:solidFill>
                </w14:textFill>
              </w:rPr>
            </w:pPr>
            <w:r>
              <w:rPr>
                <w:rFonts w:hint="eastAsia" w:cs="Times New Roman"/>
                <w:b w:val="0"/>
                <w:color w:val="000000" w:themeColor="text1"/>
                <w:sz w:val="21"/>
                <w:szCs w:val="21"/>
                <w14:textFill>
                  <w14:solidFill>
                    <w14:schemeClr w14:val="tx1"/>
                  </w14:solidFill>
                </w14:textFill>
              </w:rPr>
              <w:t>0.030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c>
          <w:tcPr>
            <w:tcW w:w="418" w:type="dxa"/>
            <w:vAlign w:val="center"/>
          </w:tcPr>
          <w:p>
            <w:pPr>
              <w:pStyle w:val="384"/>
              <w:numPr>
                <w:ilvl w:val="0"/>
                <w:numId w:val="0"/>
              </w:numPr>
              <w:rPr>
                <w:rFonts w:cs="Times New Roman"/>
                <w:b w:val="0"/>
                <w:color w:val="000000" w:themeColor="text1"/>
                <w:sz w:val="21"/>
                <w:szCs w:val="21"/>
                <w14:textFill>
                  <w14:solidFill>
                    <w14:schemeClr w14:val="tx1"/>
                  </w14:solidFill>
                </w14:textFill>
              </w:rPr>
            </w:pPr>
            <w:r>
              <w:rPr>
                <w:rFonts w:hint="eastAsia" w:cs="Times New Roman"/>
                <w:b w:val="0"/>
                <w:color w:val="000000" w:themeColor="text1"/>
                <w:sz w:val="21"/>
                <w:szCs w:val="21"/>
                <w14:textFill>
                  <w14:solidFill>
                    <w14:schemeClr w14:val="tx1"/>
                  </w14:solidFill>
                </w14:textFill>
              </w:rPr>
              <w:t>2</w:t>
            </w:r>
          </w:p>
        </w:tc>
        <w:tc>
          <w:tcPr>
            <w:tcW w:w="667" w:type="dxa"/>
            <w:vAlign w:val="center"/>
          </w:tcPr>
          <w:p>
            <w:pPr>
              <w:snapToGrid w:val="0"/>
              <w:spacing w:line="280" w:lineRule="exact"/>
              <w:jc w:val="center"/>
              <w:rPr>
                <w:color w:val="000000" w:themeColor="text1"/>
                <w:sz w:val="21"/>
                <w:szCs w:val="21"/>
                <w:u w:val="single"/>
                <w14:textFill>
                  <w14:solidFill>
                    <w14:schemeClr w14:val="tx1"/>
                  </w14:solidFill>
                </w14:textFill>
              </w:rPr>
            </w:pPr>
            <w:r>
              <w:rPr>
                <w:rFonts w:hint="eastAsia"/>
                <w:color w:val="000000" w:themeColor="text1"/>
                <w:sz w:val="21"/>
                <w:szCs w:val="21"/>
                <w:u w:val="single"/>
                <w14:textFill>
                  <w14:solidFill>
                    <w14:schemeClr w14:val="tx1"/>
                  </w14:solidFill>
                </w14:textFill>
              </w:rPr>
              <w:t>PM</w:t>
            </w:r>
            <w:r>
              <w:rPr>
                <w:rFonts w:hint="eastAsia"/>
                <w:color w:val="000000" w:themeColor="text1"/>
                <w:sz w:val="21"/>
                <w:szCs w:val="21"/>
                <w:u w:val="single"/>
                <w:vertAlign w:val="subscript"/>
                <w14:textFill>
                  <w14:solidFill>
                    <w14:schemeClr w14:val="tx1"/>
                  </w14:solidFill>
                </w14:textFill>
              </w:rPr>
              <w:t>10</w:t>
            </w:r>
          </w:p>
        </w:tc>
        <w:tc>
          <w:tcPr>
            <w:tcW w:w="579" w:type="dxa"/>
            <w:vMerge w:val="continue"/>
            <w:vAlign w:val="center"/>
          </w:tcPr>
          <w:p>
            <w:pPr>
              <w:pStyle w:val="384"/>
              <w:numPr>
                <w:ilvl w:val="0"/>
                <w:numId w:val="0"/>
              </w:numPr>
              <w:rPr>
                <w:rFonts w:cs="Times New Roman"/>
                <w:b w:val="0"/>
                <w:color w:val="000000" w:themeColor="text1"/>
                <w:sz w:val="21"/>
                <w:szCs w:val="21"/>
                <w14:textFill>
                  <w14:solidFill>
                    <w14:schemeClr w14:val="tx1"/>
                  </w14:solidFill>
                </w14:textFill>
              </w:rPr>
            </w:pPr>
          </w:p>
        </w:tc>
        <w:tc>
          <w:tcPr>
            <w:tcW w:w="583" w:type="dxa"/>
            <w:vMerge w:val="continue"/>
            <w:vAlign w:val="center"/>
          </w:tcPr>
          <w:p>
            <w:pPr>
              <w:pStyle w:val="384"/>
              <w:numPr>
                <w:ilvl w:val="0"/>
                <w:numId w:val="0"/>
              </w:numPr>
              <w:rPr>
                <w:rFonts w:cs="Times New Roman"/>
                <w:b w:val="0"/>
                <w:color w:val="000000" w:themeColor="text1"/>
                <w:sz w:val="21"/>
                <w:szCs w:val="21"/>
                <w14:textFill>
                  <w14:solidFill>
                    <w14:schemeClr w14:val="tx1"/>
                  </w14:solidFill>
                </w14:textFill>
              </w:rPr>
            </w:pPr>
          </w:p>
        </w:tc>
        <w:tc>
          <w:tcPr>
            <w:tcW w:w="712" w:type="dxa"/>
            <w:vMerge w:val="continue"/>
            <w:vAlign w:val="center"/>
          </w:tcPr>
          <w:p>
            <w:pPr>
              <w:pStyle w:val="384"/>
              <w:numPr>
                <w:ilvl w:val="0"/>
                <w:numId w:val="0"/>
              </w:numPr>
              <w:rPr>
                <w:rFonts w:cs="Times New Roman"/>
                <w:b w:val="0"/>
                <w:color w:val="000000" w:themeColor="text1"/>
                <w:sz w:val="21"/>
                <w:szCs w:val="21"/>
                <w14:textFill>
                  <w14:solidFill>
                    <w14:schemeClr w14:val="tx1"/>
                  </w14:solidFill>
                </w14:textFill>
              </w:rPr>
            </w:pPr>
          </w:p>
        </w:tc>
        <w:tc>
          <w:tcPr>
            <w:tcW w:w="891" w:type="dxa"/>
            <w:vMerge w:val="continue"/>
            <w:vAlign w:val="center"/>
          </w:tcPr>
          <w:p>
            <w:pPr>
              <w:pStyle w:val="384"/>
              <w:numPr>
                <w:ilvl w:val="0"/>
                <w:numId w:val="0"/>
              </w:numPr>
              <w:rPr>
                <w:rFonts w:cs="Times New Roman"/>
                <w:b w:val="0"/>
                <w:color w:val="000000" w:themeColor="text1"/>
                <w:sz w:val="21"/>
                <w:szCs w:val="21"/>
                <w14:textFill>
                  <w14:solidFill>
                    <w14:schemeClr w14:val="tx1"/>
                  </w14:solidFill>
                </w14:textFill>
              </w:rPr>
            </w:pPr>
          </w:p>
        </w:tc>
        <w:tc>
          <w:tcPr>
            <w:tcW w:w="891" w:type="dxa"/>
            <w:vMerge w:val="continue"/>
            <w:vAlign w:val="center"/>
          </w:tcPr>
          <w:p>
            <w:pPr>
              <w:pStyle w:val="384"/>
              <w:numPr>
                <w:ilvl w:val="0"/>
                <w:numId w:val="0"/>
              </w:numPr>
              <w:rPr>
                <w:rFonts w:cs="Times New Roman"/>
                <w:b w:val="0"/>
                <w:color w:val="000000" w:themeColor="text1"/>
                <w:sz w:val="21"/>
                <w:szCs w:val="21"/>
                <w14:textFill>
                  <w14:solidFill>
                    <w14:schemeClr w14:val="tx1"/>
                  </w14:solidFill>
                </w14:textFill>
              </w:rPr>
            </w:pPr>
          </w:p>
        </w:tc>
        <w:tc>
          <w:tcPr>
            <w:tcW w:w="891" w:type="dxa"/>
            <w:vMerge w:val="continue"/>
            <w:vAlign w:val="center"/>
          </w:tcPr>
          <w:p>
            <w:pPr>
              <w:pStyle w:val="384"/>
              <w:numPr>
                <w:ilvl w:val="0"/>
                <w:numId w:val="0"/>
              </w:numPr>
              <w:rPr>
                <w:rFonts w:cs="Times New Roman"/>
                <w:b w:val="0"/>
                <w:color w:val="000000" w:themeColor="text1"/>
                <w:sz w:val="21"/>
                <w:szCs w:val="21"/>
                <w14:textFill>
                  <w14:solidFill>
                    <w14:schemeClr w14:val="tx1"/>
                  </w14:solidFill>
                </w14:textFill>
              </w:rPr>
            </w:pPr>
          </w:p>
        </w:tc>
        <w:tc>
          <w:tcPr>
            <w:tcW w:w="891" w:type="dxa"/>
            <w:vMerge w:val="continue"/>
            <w:vAlign w:val="center"/>
          </w:tcPr>
          <w:p>
            <w:pPr>
              <w:pStyle w:val="384"/>
              <w:numPr>
                <w:ilvl w:val="0"/>
                <w:numId w:val="0"/>
              </w:numPr>
              <w:rPr>
                <w:rFonts w:cs="Times New Roman"/>
                <w:b w:val="0"/>
                <w:color w:val="000000" w:themeColor="text1"/>
                <w:sz w:val="21"/>
                <w:szCs w:val="21"/>
                <w14:textFill>
                  <w14:solidFill>
                    <w14:schemeClr w14:val="tx1"/>
                  </w14:solidFill>
                </w14:textFill>
              </w:rPr>
            </w:pPr>
          </w:p>
        </w:tc>
        <w:tc>
          <w:tcPr>
            <w:tcW w:w="691" w:type="dxa"/>
            <w:vMerge w:val="continue"/>
            <w:vAlign w:val="center"/>
          </w:tcPr>
          <w:p>
            <w:pPr>
              <w:pStyle w:val="384"/>
              <w:numPr>
                <w:ilvl w:val="0"/>
                <w:numId w:val="0"/>
              </w:numPr>
              <w:rPr>
                <w:rFonts w:cs="Times New Roman"/>
                <w:b w:val="0"/>
                <w:color w:val="000000" w:themeColor="text1"/>
                <w:sz w:val="21"/>
                <w:szCs w:val="21"/>
                <w14:textFill>
                  <w14:solidFill>
                    <w14:schemeClr w14:val="tx1"/>
                  </w14:solidFill>
                </w14:textFill>
              </w:rPr>
            </w:pPr>
          </w:p>
        </w:tc>
        <w:tc>
          <w:tcPr>
            <w:tcW w:w="456" w:type="dxa"/>
            <w:vMerge w:val="continue"/>
            <w:vAlign w:val="center"/>
          </w:tcPr>
          <w:p>
            <w:pPr>
              <w:pStyle w:val="384"/>
              <w:numPr>
                <w:ilvl w:val="0"/>
                <w:numId w:val="0"/>
              </w:numPr>
              <w:rPr>
                <w:rFonts w:cs="Times New Roman"/>
                <w:b w:val="0"/>
                <w:color w:val="000000" w:themeColor="text1"/>
                <w:sz w:val="21"/>
                <w:szCs w:val="21"/>
                <w14:textFill>
                  <w14:solidFill>
                    <w14:schemeClr w14:val="tx1"/>
                  </w14:solidFill>
                </w14:textFill>
              </w:rPr>
            </w:pPr>
          </w:p>
        </w:tc>
        <w:tc>
          <w:tcPr>
            <w:tcW w:w="858" w:type="dxa"/>
            <w:vAlign w:val="center"/>
          </w:tcPr>
          <w:p>
            <w:pPr>
              <w:pStyle w:val="384"/>
              <w:numPr>
                <w:ilvl w:val="0"/>
                <w:numId w:val="0"/>
              </w:numPr>
              <w:rPr>
                <w:rFonts w:cs="Times New Roman"/>
                <w:b w:val="0"/>
                <w:color w:val="000000" w:themeColor="text1"/>
                <w:sz w:val="21"/>
                <w:szCs w:val="21"/>
                <w14:textFill>
                  <w14:solidFill>
                    <w14:schemeClr w14:val="tx1"/>
                  </w14:solidFill>
                </w14:textFill>
              </w:rPr>
            </w:pPr>
            <w:r>
              <w:rPr>
                <w:rFonts w:hint="eastAsia" w:cs="Times New Roman"/>
                <w:b w:val="0"/>
                <w:color w:val="000000" w:themeColor="text1"/>
                <w:sz w:val="21"/>
                <w:szCs w:val="21"/>
                <w14:textFill>
                  <w14:solidFill>
                    <w14:schemeClr w14:val="tx1"/>
                  </w14:solidFill>
                </w14:textFill>
              </w:rPr>
              <w:t>0.007</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c>
          <w:tcPr>
            <w:tcW w:w="418" w:type="dxa"/>
            <w:vAlign w:val="center"/>
          </w:tcPr>
          <w:p>
            <w:pPr>
              <w:pStyle w:val="384"/>
              <w:numPr>
                <w:ilvl w:val="0"/>
                <w:numId w:val="0"/>
              </w:numPr>
              <w:rPr>
                <w:rFonts w:cs="Times New Roman"/>
                <w:b w:val="0"/>
                <w:color w:val="000000" w:themeColor="text1"/>
                <w:sz w:val="21"/>
                <w:szCs w:val="21"/>
                <w14:textFill>
                  <w14:solidFill>
                    <w14:schemeClr w14:val="tx1"/>
                  </w14:solidFill>
                </w14:textFill>
              </w:rPr>
            </w:pPr>
            <w:r>
              <w:rPr>
                <w:rFonts w:hint="eastAsia" w:cs="Times New Roman"/>
                <w:b w:val="0"/>
                <w:color w:val="000000" w:themeColor="text1"/>
                <w:sz w:val="21"/>
                <w:szCs w:val="21"/>
                <w14:textFill>
                  <w14:solidFill>
                    <w14:schemeClr w14:val="tx1"/>
                  </w14:solidFill>
                </w14:textFill>
              </w:rPr>
              <w:t>3</w:t>
            </w:r>
          </w:p>
        </w:tc>
        <w:tc>
          <w:tcPr>
            <w:tcW w:w="667" w:type="dxa"/>
            <w:vAlign w:val="center"/>
          </w:tcPr>
          <w:p>
            <w:pPr>
              <w:snapToGrid w:val="0"/>
              <w:spacing w:line="280" w:lineRule="exact"/>
              <w:jc w:val="center"/>
              <w:rPr>
                <w:color w:val="000000" w:themeColor="text1"/>
                <w:sz w:val="21"/>
                <w:szCs w:val="21"/>
                <w:u w:val="single"/>
                <w14:textFill>
                  <w14:solidFill>
                    <w14:schemeClr w14:val="tx1"/>
                  </w14:solidFill>
                </w14:textFill>
              </w:rPr>
            </w:pPr>
            <w:r>
              <w:rPr>
                <w:rFonts w:hint="eastAsia"/>
                <w:color w:val="000000" w:themeColor="text1"/>
                <w:sz w:val="21"/>
                <w:szCs w:val="21"/>
                <w:u w:val="single"/>
                <w14:textFill>
                  <w14:solidFill>
                    <w14:schemeClr w14:val="tx1"/>
                  </w14:solidFill>
                </w14:textFill>
              </w:rPr>
              <w:t>PM</w:t>
            </w:r>
            <w:r>
              <w:rPr>
                <w:rFonts w:hint="eastAsia"/>
                <w:color w:val="000000" w:themeColor="text1"/>
                <w:sz w:val="21"/>
                <w:szCs w:val="21"/>
                <w:u w:val="single"/>
                <w:vertAlign w:val="subscript"/>
                <w14:textFill>
                  <w14:solidFill>
                    <w14:schemeClr w14:val="tx1"/>
                  </w14:solidFill>
                </w14:textFill>
              </w:rPr>
              <w:t>2.5</w:t>
            </w:r>
          </w:p>
        </w:tc>
        <w:tc>
          <w:tcPr>
            <w:tcW w:w="579" w:type="dxa"/>
            <w:vMerge w:val="continue"/>
            <w:vAlign w:val="center"/>
          </w:tcPr>
          <w:p>
            <w:pPr>
              <w:pStyle w:val="384"/>
              <w:numPr>
                <w:ilvl w:val="0"/>
                <w:numId w:val="0"/>
              </w:numPr>
              <w:rPr>
                <w:rFonts w:cs="Times New Roman"/>
                <w:b w:val="0"/>
                <w:color w:val="000000" w:themeColor="text1"/>
                <w:sz w:val="21"/>
                <w:szCs w:val="21"/>
                <w14:textFill>
                  <w14:solidFill>
                    <w14:schemeClr w14:val="tx1"/>
                  </w14:solidFill>
                </w14:textFill>
              </w:rPr>
            </w:pPr>
          </w:p>
        </w:tc>
        <w:tc>
          <w:tcPr>
            <w:tcW w:w="583" w:type="dxa"/>
            <w:vMerge w:val="continue"/>
            <w:vAlign w:val="center"/>
          </w:tcPr>
          <w:p>
            <w:pPr>
              <w:pStyle w:val="384"/>
              <w:numPr>
                <w:ilvl w:val="0"/>
                <w:numId w:val="0"/>
              </w:numPr>
              <w:rPr>
                <w:rFonts w:cs="Times New Roman"/>
                <w:b w:val="0"/>
                <w:color w:val="000000" w:themeColor="text1"/>
                <w:sz w:val="21"/>
                <w:szCs w:val="21"/>
                <w14:textFill>
                  <w14:solidFill>
                    <w14:schemeClr w14:val="tx1"/>
                  </w14:solidFill>
                </w14:textFill>
              </w:rPr>
            </w:pPr>
          </w:p>
        </w:tc>
        <w:tc>
          <w:tcPr>
            <w:tcW w:w="712" w:type="dxa"/>
            <w:vMerge w:val="continue"/>
            <w:vAlign w:val="center"/>
          </w:tcPr>
          <w:p>
            <w:pPr>
              <w:pStyle w:val="384"/>
              <w:numPr>
                <w:ilvl w:val="0"/>
                <w:numId w:val="0"/>
              </w:numPr>
              <w:rPr>
                <w:rFonts w:cs="Times New Roman"/>
                <w:b w:val="0"/>
                <w:color w:val="000000" w:themeColor="text1"/>
                <w:sz w:val="21"/>
                <w:szCs w:val="21"/>
                <w14:textFill>
                  <w14:solidFill>
                    <w14:schemeClr w14:val="tx1"/>
                  </w14:solidFill>
                </w14:textFill>
              </w:rPr>
            </w:pPr>
          </w:p>
        </w:tc>
        <w:tc>
          <w:tcPr>
            <w:tcW w:w="891" w:type="dxa"/>
            <w:vMerge w:val="continue"/>
            <w:vAlign w:val="center"/>
          </w:tcPr>
          <w:p>
            <w:pPr>
              <w:pStyle w:val="384"/>
              <w:numPr>
                <w:ilvl w:val="0"/>
                <w:numId w:val="0"/>
              </w:numPr>
              <w:rPr>
                <w:rFonts w:cs="Times New Roman"/>
                <w:b w:val="0"/>
                <w:color w:val="000000" w:themeColor="text1"/>
                <w:sz w:val="21"/>
                <w:szCs w:val="21"/>
                <w14:textFill>
                  <w14:solidFill>
                    <w14:schemeClr w14:val="tx1"/>
                  </w14:solidFill>
                </w14:textFill>
              </w:rPr>
            </w:pPr>
          </w:p>
        </w:tc>
        <w:tc>
          <w:tcPr>
            <w:tcW w:w="891" w:type="dxa"/>
            <w:vMerge w:val="continue"/>
            <w:vAlign w:val="center"/>
          </w:tcPr>
          <w:p>
            <w:pPr>
              <w:pStyle w:val="384"/>
              <w:numPr>
                <w:ilvl w:val="0"/>
                <w:numId w:val="0"/>
              </w:numPr>
              <w:rPr>
                <w:rFonts w:cs="Times New Roman"/>
                <w:b w:val="0"/>
                <w:color w:val="000000" w:themeColor="text1"/>
                <w:sz w:val="21"/>
                <w:szCs w:val="21"/>
                <w14:textFill>
                  <w14:solidFill>
                    <w14:schemeClr w14:val="tx1"/>
                  </w14:solidFill>
                </w14:textFill>
              </w:rPr>
            </w:pPr>
          </w:p>
        </w:tc>
        <w:tc>
          <w:tcPr>
            <w:tcW w:w="891" w:type="dxa"/>
            <w:vMerge w:val="continue"/>
            <w:vAlign w:val="center"/>
          </w:tcPr>
          <w:p>
            <w:pPr>
              <w:pStyle w:val="384"/>
              <w:numPr>
                <w:ilvl w:val="0"/>
                <w:numId w:val="0"/>
              </w:numPr>
              <w:rPr>
                <w:rFonts w:cs="Times New Roman"/>
                <w:b w:val="0"/>
                <w:color w:val="000000" w:themeColor="text1"/>
                <w:sz w:val="21"/>
                <w:szCs w:val="21"/>
                <w14:textFill>
                  <w14:solidFill>
                    <w14:schemeClr w14:val="tx1"/>
                  </w14:solidFill>
                </w14:textFill>
              </w:rPr>
            </w:pPr>
          </w:p>
        </w:tc>
        <w:tc>
          <w:tcPr>
            <w:tcW w:w="891" w:type="dxa"/>
            <w:vMerge w:val="continue"/>
            <w:vAlign w:val="center"/>
          </w:tcPr>
          <w:p>
            <w:pPr>
              <w:pStyle w:val="384"/>
              <w:numPr>
                <w:ilvl w:val="0"/>
                <w:numId w:val="0"/>
              </w:numPr>
              <w:rPr>
                <w:rFonts w:cs="Times New Roman"/>
                <w:b w:val="0"/>
                <w:color w:val="000000" w:themeColor="text1"/>
                <w:sz w:val="21"/>
                <w:szCs w:val="21"/>
                <w14:textFill>
                  <w14:solidFill>
                    <w14:schemeClr w14:val="tx1"/>
                  </w14:solidFill>
                </w14:textFill>
              </w:rPr>
            </w:pPr>
          </w:p>
        </w:tc>
        <w:tc>
          <w:tcPr>
            <w:tcW w:w="691" w:type="dxa"/>
            <w:vMerge w:val="continue"/>
            <w:vAlign w:val="center"/>
          </w:tcPr>
          <w:p>
            <w:pPr>
              <w:pStyle w:val="384"/>
              <w:numPr>
                <w:ilvl w:val="0"/>
                <w:numId w:val="0"/>
              </w:numPr>
              <w:rPr>
                <w:rFonts w:cs="Times New Roman"/>
                <w:b w:val="0"/>
                <w:color w:val="000000" w:themeColor="text1"/>
                <w:sz w:val="21"/>
                <w:szCs w:val="21"/>
                <w14:textFill>
                  <w14:solidFill>
                    <w14:schemeClr w14:val="tx1"/>
                  </w14:solidFill>
                </w14:textFill>
              </w:rPr>
            </w:pPr>
          </w:p>
        </w:tc>
        <w:tc>
          <w:tcPr>
            <w:tcW w:w="456" w:type="dxa"/>
            <w:vMerge w:val="continue"/>
            <w:vAlign w:val="center"/>
          </w:tcPr>
          <w:p>
            <w:pPr>
              <w:pStyle w:val="384"/>
              <w:numPr>
                <w:ilvl w:val="0"/>
                <w:numId w:val="0"/>
              </w:numPr>
              <w:rPr>
                <w:rFonts w:cs="Times New Roman"/>
                <w:b w:val="0"/>
                <w:color w:val="000000" w:themeColor="text1"/>
                <w:sz w:val="21"/>
                <w:szCs w:val="21"/>
                <w14:textFill>
                  <w14:solidFill>
                    <w14:schemeClr w14:val="tx1"/>
                  </w14:solidFill>
                </w14:textFill>
              </w:rPr>
            </w:pPr>
          </w:p>
        </w:tc>
        <w:tc>
          <w:tcPr>
            <w:tcW w:w="858" w:type="dxa"/>
            <w:vAlign w:val="center"/>
          </w:tcPr>
          <w:p>
            <w:pPr>
              <w:pStyle w:val="384"/>
              <w:numPr>
                <w:ilvl w:val="0"/>
                <w:numId w:val="0"/>
              </w:numPr>
              <w:rPr>
                <w:rFonts w:cs="Times New Roman"/>
                <w:b w:val="0"/>
                <w:color w:val="000000" w:themeColor="text1"/>
                <w:sz w:val="21"/>
                <w:szCs w:val="21"/>
                <w14:textFill>
                  <w14:solidFill>
                    <w14:schemeClr w14:val="tx1"/>
                  </w14:solidFill>
                </w14:textFill>
              </w:rPr>
            </w:pPr>
            <w:r>
              <w:rPr>
                <w:rFonts w:hint="eastAsia" w:cs="Times New Roman"/>
                <w:b w:val="0"/>
                <w:color w:val="000000" w:themeColor="text1"/>
                <w:sz w:val="21"/>
                <w:szCs w:val="21"/>
                <w14:textFill>
                  <w14:solidFill>
                    <w14:schemeClr w14:val="tx1"/>
                  </w14:solidFill>
                </w14:textFill>
              </w:rPr>
              <w:t>0.002</w:t>
            </w:r>
          </w:p>
        </w:tc>
      </w:tr>
    </w:tbl>
    <w:p>
      <w:pPr>
        <w:pStyle w:val="384"/>
        <w:ind w:left="0" w:firstLine="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估算模型参数表</w:t>
      </w:r>
    </w:p>
    <w:tbl>
      <w:tblPr>
        <w:tblStyle w:val="88"/>
        <w:tblW w:w="8528" w:type="dxa"/>
        <w:jc w:val="center"/>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2350"/>
        <w:gridCol w:w="2882"/>
        <w:gridCol w:w="3296"/>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blHeader/>
          <w:jc w:val="center"/>
        </w:trPr>
        <w:tc>
          <w:tcPr>
            <w:tcW w:w="5232" w:type="dxa"/>
            <w:gridSpan w:val="2"/>
            <w:vAlign w:val="center"/>
          </w:tcPr>
          <w:p>
            <w:pPr>
              <w:pStyle w:val="2001"/>
            </w:pPr>
            <w:r>
              <w:t>参数</w:t>
            </w:r>
          </w:p>
        </w:tc>
        <w:tc>
          <w:tcPr>
            <w:tcW w:w="3296" w:type="dxa"/>
            <w:vAlign w:val="center"/>
          </w:tcPr>
          <w:p>
            <w:pPr>
              <w:pStyle w:val="2001"/>
            </w:pPr>
            <w:r>
              <w:t>取值</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350" w:type="dxa"/>
            <w:vMerge w:val="restart"/>
            <w:vAlign w:val="center"/>
          </w:tcPr>
          <w:p>
            <w:pPr>
              <w:pStyle w:val="2001"/>
            </w:pPr>
            <w:r>
              <w:t>城市/农村选项</w:t>
            </w:r>
          </w:p>
        </w:tc>
        <w:tc>
          <w:tcPr>
            <w:tcW w:w="2882" w:type="dxa"/>
            <w:vAlign w:val="center"/>
          </w:tcPr>
          <w:p>
            <w:pPr>
              <w:pStyle w:val="2001"/>
            </w:pPr>
            <w:r>
              <w:t>城市/农村</w:t>
            </w:r>
          </w:p>
        </w:tc>
        <w:tc>
          <w:tcPr>
            <w:tcW w:w="3296" w:type="dxa"/>
            <w:vAlign w:val="center"/>
          </w:tcPr>
          <w:p>
            <w:pPr>
              <w:pStyle w:val="2001"/>
            </w:pPr>
            <w:r>
              <w:t>城市</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350" w:type="dxa"/>
            <w:vMerge w:val="continue"/>
            <w:vAlign w:val="center"/>
          </w:tcPr>
          <w:p>
            <w:pPr>
              <w:pStyle w:val="2001"/>
            </w:pPr>
          </w:p>
        </w:tc>
        <w:tc>
          <w:tcPr>
            <w:tcW w:w="2882" w:type="dxa"/>
            <w:vAlign w:val="center"/>
          </w:tcPr>
          <w:p>
            <w:pPr>
              <w:pStyle w:val="2001"/>
            </w:pPr>
            <w:r>
              <w:t>人口数（城市选项时）</w:t>
            </w:r>
          </w:p>
        </w:tc>
        <w:tc>
          <w:tcPr>
            <w:tcW w:w="3296" w:type="dxa"/>
            <w:vAlign w:val="center"/>
          </w:tcPr>
          <w:p>
            <w:pPr>
              <w:pStyle w:val="2001"/>
            </w:pPr>
            <w:r>
              <w:rPr>
                <w:rFonts w:hint="eastAsia"/>
              </w:rPr>
              <w:t>60000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5232" w:type="dxa"/>
            <w:gridSpan w:val="2"/>
            <w:vAlign w:val="center"/>
          </w:tcPr>
          <w:p>
            <w:pPr>
              <w:pStyle w:val="2001"/>
            </w:pPr>
            <w:r>
              <w:t>最高环境温度/℃</w:t>
            </w:r>
          </w:p>
        </w:tc>
        <w:tc>
          <w:tcPr>
            <w:tcW w:w="3296" w:type="dxa"/>
            <w:vAlign w:val="center"/>
          </w:tcPr>
          <w:p>
            <w:pPr>
              <w:pStyle w:val="2001"/>
            </w:pPr>
            <w:r>
              <w:rPr>
                <w:rFonts w:hint="eastAsia"/>
              </w:rPr>
              <w:t>36.8</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5232" w:type="dxa"/>
            <w:gridSpan w:val="2"/>
            <w:vAlign w:val="center"/>
          </w:tcPr>
          <w:p>
            <w:pPr>
              <w:pStyle w:val="2001"/>
            </w:pPr>
            <w:r>
              <w:t>最低环境温度/℃</w:t>
            </w:r>
          </w:p>
        </w:tc>
        <w:tc>
          <w:tcPr>
            <w:tcW w:w="3296" w:type="dxa"/>
            <w:vAlign w:val="center"/>
          </w:tcPr>
          <w:p>
            <w:pPr>
              <w:pStyle w:val="2001"/>
            </w:pPr>
            <w:r>
              <w:rPr>
                <w:rFonts w:hint="eastAsia"/>
              </w:rPr>
              <w:t>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5232" w:type="dxa"/>
            <w:gridSpan w:val="2"/>
            <w:vAlign w:val="center"/>
          </w:tcPr>
          <w:p>
            <w:pPr>
              <w:pStyle w:val="2001"/>
            </w:pPr>
            <w:r>
              <w:t>土地利用类型</w:t>
            </w:r>
          </w:p>
        </w:tc>
        <w:tc>
          <w:tcPr>
            <w:tcW w:w="3296" w:type="dxa"/>
            <w:vAlign w:val="center"/>
          </w:tcPr>
          <w:p>
            <w:pPr>
              <w:pStyle w:val="2001"/>
            </w:pPr>
            <w:r>
              <w:t>城市</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5232" w:type="dxa"/>
            <w:gridSpan w:val="2"/>
            <w:vAlign w:val="center"/>
          </w:tcPr>
          <w:p>
            <w:pPr>
              <w:pStyle w:val="2001"/>
            </w:pPr>
            <w:r>
              <w:t>区域湿度条件</w:t>
            </w:r>
          </w:p>
        </w:tc>
        <w:tc>
          <w:tcPr>
            <w:tcW w:w="3296" w:type="dxa"/>
            <w:vAlign w:val="center"/>
          </w:tcPr>
          <w:p>
            <w:pPr>
              <w:pStyle w:val="2001"/>
            </w:pPr>
            <w:r>
              <w:t>潮湿气候</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350" w:type="dxa"/>
            <w:vMerge w:val="restart"/>
            <w:vAlign w:val="center"/>
          </w:tcPr>
          <w:p>
            <w:pPr>
              <w:pStyle w:val="2001"/>
            </w:pPr>
            <w:r>
              <w:t>是否考虑地形</w:t>
            </w:r>
          </w:p>
        </w:tc>
        <w:tc>
          <w:tcPr>
            <w:tcW w:w="2882" w:type="dxa"/>
            <w:vAlign w:val="center"/>
          </w:tcPr>
          <w:p>
            <w:pPr>
              <w:pStyle w:val="2001"/>
            </w:pPr>
            <w:r>
              <w:t>考虑地形</w:t>
            </w:r>
          </w:p>
        </w:tc>
        <w:tc>
          <w:tcPr>
            <w:tcW w:w="3296" w:type="dxa"/>
            <w:vAlign w:val="center"/>
          </w:tcPr>
          <w:p>
            <w:pPr>
              <w:pStyle w:val="2001"/>
            </w:pPr>
            <w:r>
              <w:rPr/>
              <w:sym w:font="Wingdings 2" w:char="0052"/>
            </w:r>
            <w:r>
              <w:t xml:space="preserve"> 是 □否</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350" w:type="dxa"/>
            <w:vMerge w:val="continue"/>
            <w:vAlign w:val="center"/>
          </w:tcPr>
          <w:p>
            <w:pPr>
              <w:pStyle w:val="2001"/>
            </w:pPr>
          </w:p>
        </w:tc>
        <w:tc>
          <w:tcPr>
            <w:tcW w:w="2882" w:type="dxa"/>
            <w:vAlign w:val="center"/>
          </w:tcPr>
          <w:p>
            <w:pPr>
              <w:pStyle w:val="2001"/>
            </w:pPr>
            <w:r>
              <w:t>地形数据分辨率</w:t>
            </w:r>
          </w:p>
        </w:tc>
        <w:tc>
          <w:tcPr>
            <w:tcW w:w="3296" w:type="dxa"/>
            <w:vAlign w:val="center"/>
          </w:tcPr>
          <w:p>
            <w:pPr>
              <w:pStyle w:val="2001"/>
            </w:pPr>
            <w:r>
              <w:rPr>
                <w:rFonts w:hint="eastAsia"/>
              </w:rPr>
              <w:t>90m</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350" w:type="dxa"/>
            <w:vMerge w:val="restart"/>
            <w:vAlign w:val="center"/>
          </w:tcPr>
          <w:p>
            <w:pPr>
              <w:pStyle w:val="2001"/>
            </w:pPr>
            <w:r>
              <w:t>是否考虑岸线熏烟</w:t>
            </w:r>
          </w:p>
        </w:tc>
        <w:tc>
          <w:tcPr>
            <w:tcW w:w="2882" w:type="dxa"/>
            <w:vAlign w:val="center"/>
          </w:tcPr>
          <w:p>
            <w:pPr>
              <w:pStyle w:val="2001"/>
            </w:pPr>
            <w:r>
              <w:t>考虑岸线熏烟</w:t>
            </w:r>
          </w:p>
        </w:tc>
        <w:tc>
          <w:tcPr>
            <w:tcW w:w="3296" w:type="dxa"/>
            <w:vAlign w:val="center"/>
          </w:tcPr>
          <w:p>
            <w:pPr>
              <w:pStyle w:val="2001"/>
            </w:pPr>
            <w:r>
              <w:t xml:space="preserve">□是 </w:t>
            </w:r>
            <w:r>
              <w:rPr/>
              <w:sym w:font="Wingdings 2" w:char="0052"/>
            </w:r>
            <w:r>
              <w:t>否</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350" w:type="dxa"/>
            <w:vMerge w:val="continue"/>
            <w:vAlign w:val="center"/>
          </w:tcPr>
          <w:p>
            <w:pPr>
              <w:pStyle w:val="2001"/>
            </w:pPr>
          </w:p>
        </w:tc>
        <w:tc>
          <w:tcPr>
            <w:tcW w:w="2882" w:type="dxa"/>
            <w:vAlign w:val="center"/>
          </w:tcPr>
          <w:p>
            <w:pPr>
              <w:pStyle w:val="2001"/>
            </w:pPr>
            <w:r>
              <w:t>岸线距离/km</w:t>
            </w:r>
          </w:p>
        </w:tc>
        <w:tc>
          <w:tcPr>
            <w:tcW w:w="3296" w:type="dxa"/>
            <w:vAlign w:val="center"/>
          </w:tcPr>
          <w:p>
            <w:pPr>
              <w:pStyle w:val="2001"/>
            </w:pPr>
            <w:r>
              <w:rPr>
                <w:rFonts w:hint="eastAsia"/>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350" w:type="dxa"/>
            <w:vMerge w:val="continue"/>
            <w:vAlign w:val="center"/>
          </w:tcPr>
          <w:p>
            <w:pPr>
              <w:pStyle w:val="2001"/>
            </w:pPr>
          </w:p>
        </w:tc>
        <w:tc>
          <w:tcPr>
            <w:tcW w:w="2882" w:type="dxa"/>
            <w:vAlign w:val="center"/>
          </w:tcPr>
          <w:p>
            <w:pPr>
              <w:pStyle w:val="2001"/>
            </w:pPr>
            <w:r>
              <w:t>岸线方向/°</w:t>
            </w:r>
          </w:p>
        </w:tc>
        <w:tc>
          <w:tcPr>
            <w:tcW w:w="3296" w:type="dxa"/>
            <w:vAlign w:val="center"/>
          </w:tcPr>
          <w:p>
            <w:pPr>
              <w:pStyle w:val="2001"/>
            </w:pPr>
            <w:r>
              <w:rPr>
                <w:rFonts w:hint="eastAsia"/>
              </w:rPr>
              <w:t>/</w:t>
            </w:r>
          </w:p>
        </w:tc>
      </w:tr>
    </w:tbl>
    <w:p>
      <w:pPr>
        <w:ind w:firstLine="462" w:firstLineChars="200"/>
        <w:rPr>
          <w:color w:val="000000" w:themeColor="text1"/>
          <w:szCs w:val="22"/>
          <w14:textFill>
            <w14:solidFill>
              <w14:schemeClr w14:val="tx1"/>
            </w14:solidFill>
          </w14:textFill>
        </w:rPr>
      </w:pPr>
      <w:r>
        <w:rPr>
          <w:color w:val="000000" w:themeColor="text1"/>
          <w:szCs w:val="22"/>
          <w14:textFill>
            <w14:solidFill>
              <w14:schemeClr w14:val="tx1"/>
            </w14:solidFill>
          </w14:textFill>
        </w:rPr>
        <w:t>最大地面空气质量浓度占标率计算公式：</w:t>
      </w:r>
    </w:p>
    <w:p>
      <w:pPr>
        <w:ind w:firstLine="462" w:firstLineChars="200"/>
        <w:jc w:val="center"/>
        <w:rPr>
          <w:color w:val="000000" w:themeColor="text1"/>
          <w:szCs w:val="22"/>
          <w14:textFill>
            <w14:solidFill>
              <w14:schemeClr w14:val="tx1"/>
            </w14:solidFill>
          </w14:textFill>
        </w:rPr>
      </w:pPr>
      <w:r>
        <w:rPr>
          <w:color w:val="000000" w:themeColor="text1"/>
          <w:szCs w:val="22"/>
          <w14:textFill>
            <w14:solidFill>
              <w14:schemeClr w14:val="tx1"/>
            </w14:solidFill>
          </w14:textFill>
        </w:rPr>
        <w:drawing>
          <wp:inline distT="0" distB="0" distL="0" distR="0">
            <wp:extent cx="1228725" cy="238125"/>
            <wp:effectExtent l="0" t="0" r="9525" b="9525"/>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a:xfrm>
                      <a:off x="0" y="0"/>
                      <a:ext cx="1228725" cy="238125"/>
                    </a:xfrm>
                    <a:prstGeom prst="rect">
                      <a:avLst/>
                    </a:prstGeom>
                    <a:noFill/>
                    <a:ln>
                      <a:noFill/>
                    </a:ln>
                  </pic:spPr>
                </pic:pic>
              </a:graphicData>
            </a:graphic>
          </wp:inline>
        </w:drawing>
      </w:r>
    </w:p>
    <w:p>
      <w:pPr>
        <w:ind w:firstLine="462" w:firstLineChars="200"/>
        <w:rPr>
          <w:color w:val="000000" w:themeColor="text1"/>
          <w:szCs w:val="22"/>
          <w14:textFill>
            <w14:solidFill>
              <w14:schemeClr w14:val="tx1"/>
            </w14:solidFill>
          </w14:textFill>
        </w:rPr>
      </w:pPr>
      <w:r>
        <w:rPr>
          <w:color w:val="000000" w:themeColor="text1"/>
          <w:szCs w:val="22"/>
          <w14:textFill>
            <w14:solidFill>
              <w14:schemeClr w14:val="tx1"/>
            </w14:solidFill>
          </w14:textFill>
        </w:rPr>
        <w:t>式中：</w:t>
      </w:r>
      <w:r>
        <w:rPr>
          <w:i/>
          <w:color w:val="000000" w:themeColor="text1"/>
          <w:szCs w:val="22"/>
          <w14:textFill>
            <w14:solidFill>
              <w14:schemeClr w14:val="tx1"/>
            </w14:solidFill>
          </w14:textFill>
        </w:rPr>
        <w:t>P</w:t>
      </w:r>
      <w:r>
        <w:rPr>
          <w:i/>
          <w:color w:val="000000" w:themeColor="text1"/>
          <w:szCs w:val="22"/>
          <w:vertAlign w:val="subscript"/>
          <w14:textFill>
            <w14:solidFill>
              <w14:schemeClr w14:val="tx1"/>
            </w14:solidFill>
          </w14:textFill>
        </w:rPr>
        <w:t>i</w:t>
      </w:r>
      <w:r>
        <w:rPr>
          <w:color w:val="000000" w:themeColor="text1"/>
          <w:szCs w:val="22"/>
          <w14:textFill>
            <w14:solidFill>
              <w14:schemeClr w14:val="tx1"/>
            </w14:solidFill>
          </w14:textFill>
        </w:rPr>
        <w:t>——第i个污染物的最大地面空气质量浓度占标率，%；</w:t>
      </w:r>
    </w:p>
    <w:p>
      <w:pPr>
        <w:ind w:firstLine="462" w:firstLineChars="200"/>
        <w:rPr>
          <w:color w:val="000000" w:themeColor="text1"/>
          <w:szCs w:val="22"/>
          <w14:textFill>
            <w14:solidFill>
              <w14:schemeClr w14:val="tx1"/>
            </w14:solidFill>
          </w14:textFill>
        </w:rPr>
      </w:pPr>
      <w:r>
        <w:rPr>
          <w:i/>
          <w:color w:val="000000" w:themeColor="text1"/>
          <w:szCs w:val="22"/>
          <w14:textFill>
            <w14:solidFill>
              <w14:schemeClr w14:val="tx1"/>
            </w14:solidFill>
          </w14:textFill>
        </w:rPr>
        <w:t>C</w:t>
      </w:r>
      <w:r>
        <w:rPr>
          <w:i/>
          <w:color w:val="000000" w:themeColor="text1"/>
          <w:szCs w:val="22"/>
          <w:vertAlign w:val="subscript"/>
          <w14:textFill>
            <w14:solidFill>
              <w14:schemeClr w14:val="tx1"/>
            </w14:solidFill>
          </w14:textFill>
        </w:rPr>
        <w:t>i</w:t>
      </w:r>
      <w:r>
        <w:rPr>
          <w:color w:val="000000" w:themeColor="text1"/>
          <w:szCs w:val="22"/>
          <w14:textFill>
            <w14:solidFill>
              <w14:schemeClr w14:val="tx1"/>
            </w14:solidFill>
          </w14:textFill>
        </w:rPr>
        <w:t>——采用估算模型计算出的第i个污染物的最大1h地面空气质量浓度，μg/m</w:t>
      </w:r>
      <w:r>
        <w:rPr>
          <w:color w:val="000000" w:themeColor="text1"/>
          <w:szCs w:val="22"/>
          <w:vertAlign w:val="superscript"/>
          <w14:textFill>
            <w14:solidFill>
              <w14:schemeClr w14:val="tx1"/>
            </w14:solidFill>
          </w14:textFill>
        </w:rPr>
        <w:t>3</w:t>
      </w:r>
      <w:r>
        <w:rPr>
          <w:color w:val="000000" w:themeColor="text1"/>
          <w:szCs w:val="22"/>
          <w14:textFill>
            <w14:solidFill>
              <w14:schemeClr w14:val="tx1"/>
            </w14:solidFill>
          </w14:textFill>
        </w:rPr>
        <w:t>；</w:t>
      </w:r>
    </w:p>
    <w:p>
      <w:pPr>
        <w:ind w:firstLine="462" w:firstLineChars="200"/>
        <w:rPr>
          <w:color w:val="000000" w:themeColor="text1"/>
          <w:szCs w:val="22"/>
          <w14:textFill>
            <w14:solidFill>
              <w14:schemeClr w14:val="tx1"/>
            </w14:solidFill>
          </w14:textFill>
        </w:rPr>
      </w:pPr>
      <w:r>
        <w:rPr>
          <w:i/>
          <w:color w:val="000000" w:themeColor="text1"/>
          <w:szCs w:val="22"/>
          <w14:textFill>
            <w14:solidFill>
              <w14:schemeClr w14:val="tx1"/>
            </w14:solidFill>
          </w14:textFill>
        </w:rPr>
        <w:t>C</w:t>
      </w:r>
      <w:r>
        <w:rPr>
          <w:i/>
          <w:color w:val="000000" w:themeColor="text1"/>
          <w:szCs w:val="22"/>
          <w:vertAlign w:val="subscript"/>
          <w14:textFill>
            <w14:solidFill>
              <w14:schemeClr w14:val="tx1"/>
            </w14:solidFill>
          </w14:textFill>
        </w:rPr>
        <w:t>0i</w:t>
      </w:r>
      <w:r>
        <w:rPr>
          <w:color w:val="000000" w:themeColor="text1"/>
          <w:szCs w:val="22"/>
          <w14:textFill>
            <w14:solidFill>
              <w14:schemeClr w14:val="tx1"/>
            </w14:solidFill>
          </w14:textFill>
        </w:rPr>
        <w:t>——第i个污染物的环境空气质量浓度标准，μg/m</w:t>
      </w:r>
      <w:r>
        <w:rPr>
          <w:color w:val="000000" w:themeColor="text1"/>
          <w:szCs w:val="22"/>
          <w:vertAlign w:val="superscript"/>
          <w14:textFill>
            <w14:solidFill>
              <w14:schemeClr w14:val="tx1"/>
            </w14:solidFill>
          </w14:textFill>
        </w:rPr>
        <w:t>3</w:t>
      </w:r>
      <w:r>
        <w:rPr>
          <w:color w:val="000000" w:themeColor="text1"/>
          <w:szCs w:val="22"/>
          <w14:textFill>
            <w14:solidFill>
              <w14:schemeClr w14:val="tx1"/>
            </w14:solidFill>
          </w14:textFill>
        </w:rPr>
        <w:t>。一般选用</w:t>
      </w:r>
      <w:r>
        <w:rPr>
          <w:rFonts w:hint="eastAsia"/>
          <w:color w:val="000000" w:themeColor="text1"/>
          <w:szCs w:val="22"/>
          <w14:textFill>
            <w14:solidFill>
              <w14:schemeClr w14:val="tx1"/>
            </w14:solidFill>
          </w14:textFill>
        </w:rPr>
        <w:t>GB3095中1h平均质量浓度的二级浓度限值。</w:t>
      </w:r>
    </w:p>
    <w:p>
      <w:pPr>
        <w:pStyle w:val="384"/>
        <w:ind w:left="0" w:firstLine="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P</w:t>
      </w:r>
      <w:r>
        <w:rPr>
          <w:rFonts w:cs="Times New Roman"/>
          <w:color w:val="000000" w:themeColor="text1"/>
          <w:vertAlign w:val="subscript"/>
          <w14:textFill>
            <w14:solidFill>
              <w14:schemeClr w14:val="tx1"/>
            </w14:solidFill>
          </w14:textFill>
        </w:rPr>
        <w:t>max</w:t>
      </w:r>
      <w:r>
        <w:rPr>
          <w:rFonts w:cs="Times New Roman"/>
          <w:color w:val="000000" w:themeColor="text1"/>
          <w14:textFill>
            <w14:solidFill>
              <w14:schemeClr w14:val="tx1"/>
            </w14:solidFill>
          </w14:textFill>
        </w:rPr>
        <w:t>和D</w:t>
      </w:r>
      <w:r>
        <w:rPr>
          <w:rFonts w:cs="Times New Roman"/>
          <w:color w:val="000000" w:themeColor="text1"/>
          <w:vertAlign w:val="subscript"/>
          <w14:textFill>
            <w14:solidFill>
              <w14:schemeClr w14:val="tx1"/>
            </w14:solidFill>
          </w14:textFill>
        </w:rPr>
        <w:t>10%</w:t>
      </w:r>
      <w:r>
        <w:rPr>
          <w:rFonts w:cs="Times New Roman"/>
          <w:color w:val="000000" w:themeColor="text1"/>
          <w14:textFill>
            <w14:solidFill>
              <w14:schemeClr w14:val="tx1"/>
            </w14:solidFill>
          </w14:textFill>
        </w:rPr>
        <w:t>预测和计算结果一览表</w:t>
      </w:r>
    </w:p>
    <w:tbl>
      <w:tblPr>
        <w:tblStyle w:val="88"/>
        <w:tblW w:w="8528" w:type="dxa"/>
        <w:jc w:val="center"/>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1960"/>
        <w:gridCol w:w="1432"/>
        <w:gridCol w:w="757"/>
        <w:gridCol w:w="1432"/>
        <w:gridCol w:w="757"/>
        <w:gridCol w:w="1432"/>
        <w:gridCol w:w="758"/>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blHeader/>
          <w:jc w:val="center"/>
        </w:trPr>
        <w:tc>
          <w:tcPr>
            <w:tcW w:w="1960" w:type="dxa"/>
            <w:vMerge w:val="restart"/>
            <w:shd w:val="clear" w:color="auto" w:fill="auto"/>
            <w:vAlign w:val="center"/>
          </w:tcPr>
          <w:p>
            <w:pPr>
              <w:pStyle w:val="1585"/>
              <w:spacing w:line="240" w:lineRule="atLeas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下风向距离/m</w:t>
            </w:r>
          </w:p>
        </w:tc>
        <w:tc>
          <w:tcPr>
            <w:tcW w:w="6568" w:type="dxa"/>
            <w:gridSpan w:val="6"/>
          </w:tcPr>
          <w:p>
            <w:pPr>
              <w:pStyle w:val="1585"/>
              <w:spacing w:line="240" w:lineRule="atLeast"/>
              <w:ind w:firstLine="0" w:firstLineChars="0"/>
              <w:jc w:val="center"/>
              <w:rPr>
                <w:bCs/>
                <w:color w:val="000000" w:themeColor="text1"/>
                <w:spacing w:val="-8"/>
                <w:sz w:val="21"/>
                <w:szCs w:val="21"/>
                <w14:textFill>
                  <w14:solidFill>
                    <w14:schemeClr w14:val="tx1"/>
                  </w14:solidFill>
                </w14:textFill>
              </w:rPr>
            </w:pPr>
            <w:r>
              <w:rPr>
                <w:bCs/>
                <w:color w:val="000000" w:themeColor="text1"/>
                <w:spacing w:val="-8"/>
                <w:sz w:val="21"/>
                <w:szCs w:val="21"/>
                <w14:textFill>
                  <w14:solidFill>
                    <w14:schemeClr w14:val="tx1"/>
                  </w14:solidFill>
                </w14:textFill>
              </w:rPr>
              <w:t>道路扬尘</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blHeader/>
          <w:jc w:val="center"/>
        </w:trPr>
        <w:tc>
          <w:tcPr>
            <w:tcW w:w="1960" w:type="dxa"/>
            <w:vMerge w:val="continue"/>
            <w:shd w:val="clear" w:color="auto" w:fill="auto"/>
            <w:vAlign w:val="center"/>
          </w:tcPr>
          <w:p>
            <w:pPr>
              <w:pStyle w:val="1585"/>
              <w:spacing w:line="240" w:lineRule="atLeast"/>
              <w:ind w:firstLine="0" w:firstLineChars="0"/>
              <w:jc w:val="center"/>
              <w:rPr>
                <w:color w:val="000000" w:themeColor="text1"/>
                <w:sz w:val="21"/>
                <w:szCs w:val="21"/>
                <w14:textFill>
                  <w14:solidFill>
                    <w14:schemeClr w14:val="tx1"/>
                  </w14:solidFill>
                </w14:textFill>
              </w:rPr>
            </w:pPr>
          </w:p>
        </w:tc>
        <w:tc>
          <w:tcPr>
            <w:tcW w:w="2189" w:type="dxa"/>
            <w:gridSpan w:val="2"/>
          </w:tcPr>
          <w:p>
            <w:pPr>
              <w:pStyle w:val="1585"/>
              <w:spacing w:line="240" w:lineRule="atLeast"/>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TSP</w:t>
            </w:r>
          </w:p>
        </w:tc>
        <w:tc>
          <w:tcPr>
            <w:tcW w:w="2189" w:type="dxa"/>
            <w:gridSpan w:val="2"/>
            <w:vAlign w:val="center"/>
          </w:tcPr>
          <w:p>
            <w:pPr>
              <w:pStyle w:val="1585"/>
              <w:spacing w:line="240" w:lineRule="atLeast"/>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PM</w:t>
            </w:r>
            <w:r>
              <w:rPr>
                <w:rFonts w:hint="eastAsia"/>
                <w:color w:val="000000" w:themeColor="text1"/>
                <w:sz w:val="21"/>
                <w:szCs w:val="21"/>
                <w:vertAlign w:val="subscript"/>
                <w14:textFill>
                  <w14:solidFill>
                    <w14:schemeClr w14:val="tx1"/>
                  </w14:solidFill>
                </w14:textFill>
              </w:rPr>
              <w:t>10</w:t>
            </w:r>
          </w:p>
        </w:tc>
        <w:tc>
          <w:tcPr>
            <w:tcW w:w="2190" w:type="dxa"/>
            <w:gridSpan w:val="2"/>
            <w:vAlign w:val="center"/>
          </w:tcPr>
          <w:p>
            <w:pPr>
              <w:pStyle w:val="1585"/>
              <w:spacing w:line="240" w:lineRule="atLeast"/>
              <w:ind w:firstLine="0" w:firstLineChars="0"/>
              <w:jc w:val="center"/>
              <w:rPr>
                <w:color w:val="000000" w:themeColor="text1"/>
                <w:sz w:val="21"/>
                <w:szCs w:val="21"/>
                <w14:textFill>
                  <w14:solidFill>
                    <w14:schemeClr w14:val="tx1"/>
                  </w14:solidFill>
                </w14:textFill>
              </w:rPr>
            </w:pPr>
            <w:r>
              <w:rPr>
                <w:bCs/>
                <w:color w:val="000000" w:themeColor="text1"/>
                <w:spacing w:val="-8"/>
                <w:sz w:val="21"/>
                <w:szCs w:val="21"/>
                <w14:textFill>
                  <w14:solidFill>
                    <w14:schemeClr w14:val="tx1"/>
                  </w14:solidFill>
                </w14:textFill>
              </w:rPr>
              <w:t>PM</w:t>
            </w:r>
            <w:r>
              <w:rPr>
                <w:bCs/>
                <w:color w:val="000000" w:themeColor="text1"/>
                <w:spacing w:val="-8"/>
                <w:sz w:val="21"/>
                <w:szCs w:val="21"/>
                <w:vertAlign w:val="subscript"/>
                <w14:textFill>
                  <w14:solidFill>
                    <w14:schemeClr w14:val="tx1"/>
                  </w14:solidFill>
                </w14:textFill>
              </w:rPr>
              <w:t>2.5</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blHeader/>
          <w:jc w:val="center"/>
        </w:trPr>
        <w:tc>
          <w:tcPr>
            <w:tcW w:w="1960" w:type="dxa"/>
            <w:vMerge w:val="continue"/>
            <w:shd w:val="clear" w:color="auto" w:fill="auto"/>
            <w:vAlign w:val="center"/>
          </w:tcPr>
          <w:p>
            <w:pPr>
              <w:pStyle w:val="1585"/>
              <w:spacing w:line="240" w:lineRule="atLeast"/>
              <w:ind w:firstLine="0" w:firstLineChars="0"/>
              <w:jc w:val="center"/>
              <w:rPr>
                <w:color w:val="000000" w:themeColor="text1"/>
                <w:sz w:val="21"/>
                <w:szCs w:val="21"/>
                <w14:textFill>
                  <w14:solidFill>
                    <w14:schemeClr w14:val="tx1"/>
                  </w14:solidFill>
                </w14:textFill>
              </w:rPr>
            </w:pPr>
          </w:p>
        </w:tc>
        <w:tc>
          <w:tcPr>
            <w:tcW w:w="1432" w:type="dxa"/>
            <w:vAlign w:val="center"/>
          </w:tcPr>
          <w:p>
            <w:pPr>
              <w:pStyle w:val="1585"/>
              <w:spacing w:line="240" w:lineRule="atLeast"/>
              <w:ind w:firstLine="0" w:firstLineChars="0"/>
              <w:jc w:val="center"/>
              <w:rPr>
                <w:color w:val="000000" w:themeColor="text1"/>
                <w:spacing w:val="-14"/>
                <w:sz w:val="21"/>
                <w:szCs w:val="21"/>
                <w14:textFill>
                  <w14:solidFill>
                    <w14:schemeClr w14:val="tx1"/>
                  </w14:solidFill>
                </w14:textFill>
              </w:rPr>
            </w:pPr>
            <w:r>
              <w:rPr>
                <w:color w:val="000000" w:themeColor="text1"/>
                <w:spacing w:val="-14"/>
                <w:sz w:val="21"/>
                <w:szCs w:val="21"/>
                <w14:textFill>
                  <w14:solidFill>
                    <w14:schemeClr w14:val="tx1"/>
                  </w14:solidFill>
                </w14:textFill>
              </w:rPr>
              <w:t>预测浓度（</w:t>
            </w:r>
            <w:r>
              <w:rPr>
                <w:rFonts w:hint="eastAsia"/>
                <w:color w:val="000000" w:themeColor="text1"/>
                <w:spacing w:val="-14"/>
                <w:sz w:val="21"/>
                <w:szCs w:val="21"/>
                <w14:textFill>
                  <w14:solidFill>
                    <w14:schemeClr w14:val="tx1"/>
                  </w14:solidFill>
                </w14:textFill>
              </w:rPr>
              <w:t>mg</w:t>
            </w:r>
            <w:r>
              <w:rPr>
                <w:color w:val="000000" w:themeColor="text1"/>
                <w:spacing w:val="-14"/>
                <w:sz w:val="21"/>
                <w:szCs w:val="21"/>
                <w14:textFill>
                  <w14:solidFill>
                    <w14:schemeClr w14:val="tx1"/>
                  </w14:solidFill>
                </w14:textFill>
              </w:rPr>
              <w:t>/m</w:t>
            </w:r>
            <w:r>
              <w:rPr>
                <w:color w:val="000000" w:themeColor="text1"/>
                <w:spacing w:val="-14"/>
                <w:sz w:val="21"/>
                <w:szCs w:val="21"/>
                <w:vertAlign w:val="superscript"/>
                <w14:textFill>
                  <w14:solidFill>
                    <w14:schemeClr w14:val="tx1"/>
                  </w14:solidFill>
                </w14:textFill>
              </w:rPr>
              <w:t>3</w:t>
            </w:r>
            <w:r>
              <w:rPr>
                <w:color w:val="000000" w:themeColor="text1"/>
                <w:spacing w:val="-14"/>
                <w:sz w:val="21"/>
                <w:szCs w:val="21"/>
                <w14:textFill>
                  <w14:solidFill>
                    <w14:schemeClr w14:val="tx1"/>
                  </w14:solidFill>
                </w14:textFill>
              </w:rPr>
              <w:t>）</w:t>
            </w:r>
          </w:p>
        </w:tc>
        <w:tc>
          <w:tcPr>
            <w:tcW w:w="757" w:type="dxa"/>
            <w:vAlign w:val="center"/>
          </w:tcPr>
          <w:p>
            <w:pPr>
              <w:pStyle w:val="1585"/>
              <w:spacing w:line="240" w:lineRule="atLeast"/>
              <w:ind w:firstLine="0" w:firstLineChars="0"/>
              <w:jc w:val="center"/>
              <w:rPr>
                <w:color w:val="000000" w:themeColor="text1"/>
                <w:spacing w:val="-14"/>
                <w:sz w:val="21"/>
                <w:szCs w:val="21"/>
                <w14:textFill>
                  <w14:solidFill>
                    <w14:schemeClr w14:val="tx1"/>
                  </w14:solidFill>
                </w14:textFill>
              </w:rPr>
            </w:pPr>
            <w:r>
              <w:rPr>
                <w:color w:val="000000" w:themeColor="text1"/>
                <w:spacing w:val="-14"/>
                <w:sz w:val="21"/>
                <w:szCs w:val="21"/>
                <w14:textFill>
                  <w14:solidFill>
                    <w14:schemeClr w14:val="tx1"/>
                  </w14:solidFill>
                </w14:textFill>
              </w:rPr>
              <w:t>占标率%</w:t>
            </w:r>
          </w:p>
        </w:tc>
        <w:tc>
          <w:tcPr>
            <w:tcW w:w="1432" w:type="dxa"/>
            <w:vAlign w:val="center"/>
          </w:tcPr>
          <w:p>
            <w:pPr>
              <w:pStyle w:val="1585"/>
              <w:spacing w:line="240" w:lineRule="atLeast"/>
              <w:ind w:firstLine="0" w:firstLineChars="0"/>
              <w:jc w:val="center"/>
              <w:rPr>
                <w:color w:val="000000" w:themeColor="text1"/>
                <w:spacing w:val="-14"/>
                <w:sz w:val="21"/>
                <w:szCs w:val="21"/>
                <w14:textFill>
                  <w14:solidFill>
                    <w14:schemeClr w14:val="tx1"/>
                  </w14:solidFill>
                </w14:textFill>
              </w:rPr>
            </w:pPr>
            <w:r>
              <w:rPr>
                <w:color w:val="000000" w:themeColor="text1"/>
                <w:spacing w:val="-14"/>
                <w:sz w:val="21"/>
                <w:szCs w:val="21"/>
                <w14:textFill>
                  <w14:solidFill>
                    <w14:schemeClr w14:val="tx1"/>
                  </w14:solidFill>
                </w14:textFill>
              </w:rPr>
              <w:t>预测浓度（</w:t>
            </w:r>
            <w:r>
              <w:rPr>
                <w:rFonts w:hint="eastAsia"/>
                <w:color w:val="000000" w:themeColor="text1"/>
                <w:spacing w:val="-14"/>
                <w:sz w:val="21"/>
                <w:szCs w:val="21"/>
                <w14:textFill>
                  <w14:solidFill>
                    <w14:schemeClr w14:val="tx1"/>
                  </w14:solidFill>
                </w14:textFill>
              </w:rPr>
              <w:t>mg</w:t>
            </w:r>
            <w:r>
              <w:rPr>
                <w:color w:val="000000" w:themeColor="text1"/>
                <w:spacing w:val="-14"/>
                <w:sz w:val="21"/>
                <w:szCs w:val="21"/>
                <w14:textFill>
                  <w14:solidFill>
                    <w14:schemeClr w14:val="tx1"/>
                  </w14:solidFill>
                </w14:textFill>
              </w:rPr>
              <w:t>/m</w:t>
            </w:r>
            <w:r>
              <w:rPr>
                <w:color w:val="000000" w:themeColor="text1"/>
                <w:spacing w:val="-14"/>
                <w:sz w:val="21"/>
                <w:szCs w:val="21"/>
                <w:vertAlign w:val="superscript"/>
                <w14:textFill>
                  <w14:solidFill>
                    <w14:schemeClr w14:val="tx1"/>
                  </w14:solidFill>
                </w14:textFill>
              </w:rPr>
              <w:t>3</w:t>
            </w:r>
            <w:r>
              <w:rPr>
                <w:color w:val="000000" w:themeColor="text1"/>
                <w:spacing w:val="-14"/>
                <w:sz w:val="21"/>
                <w:szCs w:val="21"/>
                <w14:textFill>
                  <w14:solidFill>
                    <w14:schemeClr w14:val="tx1"/>
                  </w14:solidFill>
                </w14:textFill>
              </w:rPr>
              <w:t>）</w:t>
            </w:r>
          </w:p>
        </w:tc>
        <w:tc>
          <w:tcPr>
            <w:tcW w:w="757" w:type="dxa"/>
            <w:vAlign w:val="center"/>
          </w:tcPr>
          <w:p>
            <w:pPr>
              <w:pStyle w:val="1585"/>
              <w:spacing w:line="240" w:lineRule="atLeast"/>
              <w:ind w:firstLine="0" w:firstLineChars="0"/>
              <w:jc w:val="center"/>
              <w:rPr>
                <w:color w:val="000000" w:themeColor="text1"/>
                <w:spacing w:val="-14"/>
                <w:sz w:val="21"/>
                <w:szCs w:val="21"/>
                <w14:textFill>
                  <w14:solidFill>
                    <w14:schemeClr w14:val="tx1"/>
                  </w14:solidFill>
                </w14:textFill>
              </w:rPr>
            </w:pPr>
            <w:r>
              <w:rPr>
                <w:color w:val="000000" w:themeColor="text1"/>
                <w:spacing w:val="-14"/>
                <w:sz w:val="21"/>
                <w:szCs w:val="21"/>
                <w14:textFill>
                  <w14:solidFill>
                    <w14:schemeClr w14:val="tx1"/>
                  </w14:solidFill>
                </w14:textFill>
              </w:rPr>
              <w:t>占标率%</w:t>
            </w:r>
          </w:p>
        </w:tc>
        <w:tc>
          <w:tcPr>
            <w:tcW w:w="1432" w:type="dxa"/>
            <w:vAlign w:val="center"/>
          </w:tcPr>
          <w:p>
            <w:pPr>
              <w:pStyle w:val="1585"/>
              <w:spacing w:line="240" w:lineRule="atLeast"/>
              <w:ind w:firstLine="0" w:firstLineChars="0"/>
              <w:jc w:val="center"/>
              <w:rPr>
                <w:color w:val="000000" w:themeColor="text1"/>
                <w:spacing w:val="-14"/>
                <w:sz w:val="21"/>
                <w:szCs w:val="21"/>
                <w14:textFill>
                  <w14:solidFill>
                    <w14:schemeClr w14:val="tx1"/>
                  </w14:solidFill>
                </w14:textFill>
              </w:rPr>
            </w:pPr>
            <w:r>
              <w:rPr>
                <w:color w:val="000000" w:themeColor="text1"/>
                <w:spacing w:val="-14"/>
                <w:sz w:val="21"/>
                <w:szCs w:val="21"/>
                <w14:textFill>
                  <w14:solidFill>
                    <w14:schemeClr w14:val="tx1"/>
                  </w14:solidFill>
                </w14:textFill>
              </w:rPr>
              <w:t>预测浓度（</w:t>
            </w:r>
            <w:r>
              <w:rPr>
                <w:rFonts w:hint="eastAsia"/>
                <w:color w:val="000000" w:themeColor="text1"/>
                <w:spacing w:val="-14"/>
                <w:sz w:val="21"/>
                <w:szCs w:val="21"/>
                <w14:textFill>
                  <w14:solidFill>
                    <w14:schemeClr w14:val="tx1"/>
                  </w14:solidFill>
                </w14:textFill>
              </w:rPr>
              <w:t>mg</w:t>
            </w:r>
            <w:r>
              <w:rPr>
                <w:color w:val="000000" w:themeColor="text1"/>
                <w:spacing w:val="-14"/>
                <w:sz w:val="21"/>
                <w:szCs w:val="21"/>
                <w14:textFill>
                  <w14:solidFill>
                    <w14:schemeClr w14:val="tx1"/>
                  </w14:solidFill>
                </w14:textFill>
              </w:rPr>
              <w:t>/m</w:t>
            </w:r>
            <w:r>
              <w:rPr>
                <w:color w:val="000000" w:themeColor="text1"/>
                <w:spacing w:val="-14"/>
                <w:sz w:val="21"/>
                <w:szCs w:val="21"/>
                <w:vertAlign w:val="superscript"/>
                <w14:textFill>
                  <w14:solidFill>
                    <w14:schemeClr w14:val="tx1"/>
                  </w14:solidFill>
                </w14:textFill>
              </w:rPr>
              <w:t>3</w:t>
            </w:r>
            <w:r>
              <w:rPr>
                <w:color w:val="000000" w:themeColor="text1"/>
                <w:spacing w:val="-14"/>
                <w:sz w:val="21"/>
                <w:szCs w:val="21"/>
                <w14:textFill>
                  <w14:solidFill>
                    <w14:schemeClr w14:val="tx1"/>
                  </w14:solidFill>
                </w14:textFill>
              </w:rPr>
              <w:t>）</w:t>
            </w:r>
          </w:p>
        </w:tc>
        <w:tc>
          <w:tcPr>
            <w:tcW w:w="758" w:type="dxa"/>
            <w:vAlign w:val="center"/>
          </w:tcPr>
          <w:p>
            <w:pPr>
              <w:pStyle w:val="1585"/>
              <w:spacing w:line="240" w:lineRule="atLeast"/>
              <w:ind w:firstLine="0" w:firstLineChars="0"/>
              <w:jc w:val="center"/>
              <w:rPr>
                <w:color w:val="000000" w:themeColor="text1"/>
                <w:spacing w:val="-14"/>
                <w:sz w:val="21"/>
                <w:szCs w:val="21"/>
                <w14:textFill>
                  <w14:solidFill>
                    <w14:schemeClr w14:val="tx1"/>
                  </w14:solidFill>
                </w14:textFill>
              </w:rPr>
            </w:pPr>
            <w:r>
              <w:rPr>
                <w:color w:val="000000" w:themeColor="text1"/>
                <w:spacing w:val="-14"/>
                <w:sz w:val="21"/>
                <w:szCs w:val="21"/>
                <w14:textFill>
                  <w14:solidFill>
                    <w14:schemeClr w14:val="tx1"/>
                  </w14:solidFill>
                </w14:textFill>
              </w:rPr>
              <w:t>占标率%</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jc w:val="center"/>
        </w:trPr>
        <w:tc>
          <w:tcPr>
            <w:tcW w:w="1960" w:type="dxa"/>
            <w:shd w:val="clear" w:color="auto" w:fill="auto"/>
            <w:vAlign w:val="center"/>
          </w:tcPr>
          <w:p>
            <w:pPr>
              <w:pStyle w:val="1585"/>
              <w:spacing w:line="240" w:lineRule="atLeas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10</w:t>
            </w:r>
          </w:p>
        </w:tc>
        <w:tc>
          <w:tcPr>
            <w:tcW w:w="1432" w:type="dxa"/>
          </w:tcPr>
          <w:p>
            <w:pPr>
              <w:pStyle w:val="1585"/>
              <w:spacing w:line="340" w:lineRule="exact"/>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0.004</w:t>
            </w:r>
          </w:p>
        </w:tc>
        <w:tc>
          <w:tcPr>
            <w:tcW w:w="757" w:type="dxa"/>
            <w:vAlign w:val="center"/>
          </w:tcPr>
          <w:p>
            <w:pPr>
              <w:pStyle w:val="1585"/>
              <w:spacing w:line="240" w:lineRule="atLeast"/>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0.48</w:t>
            </w:r>
          </w:p>
        </w:tc>
        <w:tc>
          <w:tcPr>
            <w:tcW w:w="1432" w:type="dxa"/>
            <w:shd w:val="clear" w:color="auto" w:fill="auto"/>
            <w:vAlign w:val="center"/>
          </w:tcPr>
          <w:p>
            <w:pPr>
              <w:pStyle w:val="1585"/>
              <w:spacing w:line="240" w:lineRule="atLeast"/>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0.0011</w:t>
            </w:r>
          </w:p>
        </w:tc>
        <w:tc>
          <w:tcPr>
            <w:tcW w:w="757" w:type="dxa"/>
            <w:shd w:val="clear" w:color="auto" w:fill="auto"/>
            <w:vAlign w:val="center"/>
          </w:tcPr>
          <w:p>
            <w:pPr>
              <w:pStyle w:val="1585"/>
              <w:spacing w:line="240" w:lineRule="atLeast"/>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0.26</w:t>
            </w:r>
          </w:p>
        </w:tc>
        <w:tc>
          <w:tcPr>
            <w:tcW w:w="1432" w:type="dxa"/>
            <w:shd w:val="clear" w:color="auto" w:fill="auto"/>
            <w:vAlign w:val="center"/>
          </w:tcPr>
          <w:p>
            <w:pPr>
              <w:pStyle w:val="1585"/>
              <w:spacing w:line="240" w:lineRule="atLeast"/>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0.0003</w:t>
            </w:r>
          </w:p>
        </w:tc>
        <w:tc>
          <w:tcPr>
            <w:tcW w:w="758" w:type="dxa"/>
            <w:shd w:val="clear" w:color="auto" w:fill="auto"/>
            <w:vAlign w:val="center"/>
          </w:tcPr>
          <w:p>
            <w:pPr>
              <w:pStyle w:val="1585"/>
              <w:spacing w:line="240" w:lineRule="atLeast"/>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0.13</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jc w:val="center"/>
        </w:trPr>
        <w:tc>
          <w:tcPr>
            <w:tcW w:w="1960" w:type="dxa"/>
            <w:shd w:val="clear" w:color="auto" w:fill="auto"/>
            <w:vAlign w:val="center"/>
          </w:tcPr>
          <w:p>
            <w:pPr>
              <w:pStyle w:val="1585"/>
              <w:spacing w:line="240" w:lineRule="atLeas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25</w:t>
            </w:r>
          </w:p>
        </w:tc>
        <w:tc>
          <w:tcPr>
            <w:tcW w:w="1432" w:type="dxa"/>
          </w:tcPr>
          <w:p>
            <w:pPr>
              <w:pStyle w:val="1585"/>
              <w:spacing w:line="340" w:lineRule="exact"/>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0.005</w:t>
            </w:r>
          </w:p>
        </w:tc>
        <w:tc>
          <w:tcPr>
            <w:tcW w:w="757" w:type="dxa"/>
            <w:vAlign w:val="center"/>
          </w:tcPr>
          <w:p>
            <w:pPr>
              <w:pStyle w:val="1585"/>
              <w:spacing w:line="240" w:lineRule="atLeast"/>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0.52</w:t>
            </w:r>
          </w:p>
        </w:tc>
        <w:tc>
          <w:tcPr>
            <w:tcW w:w="1432" w:type="dxa"/>
            <w:shd w:val="clear" w:color="auto" w:fill="auto"/>
            <w:vAlign w:val="center"/>
          </w:tcPr>
          <w:p>
            <w:pPr>
              <w:pStyle w:val="1585"/>
              <w:spacing w:line="240" w:lineRule="atLeast"/>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0.0012</w:t>
            </w:r>
          </w:p>
        </w:tc>
        <w:tc>
          <w:tcPr>
            <w:tcW w:w="757" w:type="dxa"/>
            <w:shd w:val="clear" w:color="auto" w:fill="auto"/>
            <w:vAlign w:val="center"/>
          </w:tcPr>
          <w:p>
            <w:pPr>
              <w:pStyle w:val="1585"/>
              <w:spacing w:line="240" w:lineRule="atLeast"/>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0.28</w:t>
            </w:r>
          </w:p>
        </w:tc>
        <w:tc>
          <w:tcPr>
            <w:tcW w:w="1432" w:type="dxa"/>
            <w:shd w:val="clear" w:color="auto" w:fill="auto"/>
            <w:vAlign w:val="center"/>
          </w:tcPr>
          <w:p>
            <w:pPr>
              <w:pStyle w:val="1585"/>
              <w:spacing w:line="240" w:lineRule="atLeast"/>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0.0003</w:t>
            </w:r>
          </w:p>
        </w:tc>
        <w:tc>
          <w:tcPr>
            <w:tcW w:w="758" w:type="dxa"/>
            <w:shd w:val="clear" w:color="auto" w:fill="auto"/>
            <w:vAlign w:val="center"/>
          </w:tcPr>
          <w:p>
            <w:pPr>
              <w:pStyle w:val="1585"/>
              <w:spacing w:line="240" w:lineRule="atLeast"/>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0.14</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jc w:val="center"/>
        </w:trPr>
        <w:tc>
          <w:tcPr>
            <w:tcW w:w="1960" w:type="dxa"/>
            <w:shd w:val="clear" w:color="auto" w:fill="auto"/>
            <w:vAlign w:val="center"/>
          </w:tcPr>
          <w:p>
            <w:pPr>
              <w:pStyle w:val="1585"/>
              <w:spacing w:line="240" w:lineRule="atLeas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50</w:t>
            </w:r>
          </w:p>
        </w:tc>
        <w:tc>
          <w:tcPr>
            <w:tcW w:w="1432" w:type="dxa"/>
          </w:tcPr>
          <w:p>
            <w:pPr>
              <w:pStyle w:val="1585"/>
              <w:spacing w:line="340" w:lineRule="exact"/>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0.005</w:t>
            </w:r>
          </w:p>
        </w:tc>
        <w:tc>
          <w:tcPr>
            <w:tcW w:w="757" w:type="dxa"/>
            <w:vAlign w:val="center"/>
          </w:tcPr>
          <w:p>
            <w:pPr>
              <w:pStyle w:val="1585"/>
              <w:spacing w:line="240" w:lineRule="atLeast"/>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0.57</w:t>
            </w:r>
          </w:p>
        </w:tc>
        <w:tc>
          <w:tcPr>
            <w:tcW w:w="1432" w:type="dxa"/>
            <w:shd w:val="clear" w:color="auto" w:fill="auto"/>
            <w:vAlign w:val="center"/>
          </w:tcPr>
          <w:p>
            <w:pPr>
              <w:pStyle w:val="1585"/>
              <w:spacing w:line="240" w:lineRule="atLeast"/>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0.0013</w:t>
            </w:r>
          </w:p>
        </w:tc>
        <w:tc>
          <w:tcPr>
            <w:tcW w:w="757" w:type="dxa"/>
            <w:shd w:val="clear" w:color="auto" w:fill="auto"/>
            <w:vAlign w:val="center"/>
          </w:tcPr>
          <w:p>
            <w:pPr>
              <w:pStyle w:val="1585"/>
              <w:spacing w:line="240" w:lineRule="atLeast"/>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0.30</w:t>
            </w:r>
          </w:p>
        </w:tc>
        <w:tc>
          <w:tcPr>
            <w:tcW w:w="1432" w:type="dxa"/>
            <w:shd w:val="clear" w:color="auto" w:fill="auto"/>
            <w:vAlign w:val="center"/>
          </w:tcPr>
          <w:p>
            <w:pPr>
              <w:pStyle w:val="1585"/>
              <w:spacing w:line="240" w:lineRule="atLeast"/>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0.0004</w:t>
            </w:r>
          </w:p>
        </w:tc>
        <w:tc>
          <w:tcPr>
            <w:tcW w:w="758" w:type="dxa"/>
            <w:shd w:val="clear" w:color="auto" w:fill="auto"/>
            <w:vAlign w:val="center"/>
          </w:tcPr>
          <w:p>
            <w:pPr>
              <w:pStyle w:val="1585"/>
              <w:spacing w:line="240" w:lineRule="atLeast"/>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0.15</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jc w:val="center"/>
        </w:trPr>
        <w:tc>
          <w:tcPr>
            <w:tcW w:w="1960" w:type="dxa"/>
            <w:shd w:val="clear" w:color="auto" w:fill="auto"/>
            <w:vAlign w:val="center"/>
          </w:tcPr>
          <w:p>
            <w:pPr>
              <w:pStyle w:val="1585"/>
              <w:spacing w:line="240" w:lineRule="atLeas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100</w:t>
            </w:r>
          </w:p>
        </w:tc>
        <w:tc>
          <w:tcPr>
            <w:tcW w:w="1432" w:type="dxa"/>
          </w:tcPr>
          <w:p>
            <w:pPr>
              <w:pStyle w:val="1585"/>
              <w:spacing w:line="340" w:lineRule="exact"/>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0.006</w:t>
            </w:r>
          </w:p>
        </w:tc>
        <w:tc>
          <w:tcPr>
            <w:tcW w:w="757" w:type="dxa"/>
            <w:vAlign w:val="center"/>
          </w:tcPr>
          <w:p>
            <w:pPr>
              <w:pStyle w:val="1585"/>
              <w:spacing w:line="240" w:lineRule="atLeast"/>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0.67</w:t>
            </w:r>
          </w:p>
        </w:tc>
        <w:tc>
          <w:tcPr>
            <w:tcW w:w="1432" w:type="dxa"/>
            <w:shd w:val="clear" w:color="auto" w:fill="auto"/>
            <w:vAlign w:val="center"/>
          </w:tcPr>
          <w:p>
            <w:pPr>
              <w:pStyle w:val="1585"/>
              <w:spacing w:line="240" w:lineRule="atLeast"/>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0.0016</w:t>
            </w:r>
          </w:p>
        </w:tc>
        <w:tc>
          <w:tcPr>
            <w:tcW w:w="757" w:type="dxa"/>
            <w:shd w:val="clear" w:color="auto" w:fill="auto"/>
            <w:vAlign w:val="center"/>
          </w:tcPr>
          <w:p>
            <w:pPr>
              <w:pStyle w:val="1585"/>
              <w:spacing w:line="240" w:lineRule="atLeast"/>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0.36</w:t>
            </w:r>
          </w:p>
        </w:tc>
        <w:tc>
          <w:tcPr>
            <w:tcW w:w="1432" w:type="dxa"/>
            <w:shd w:val="clear" w:color="auto" w:fill="auto"/>
            <w:vAlign w:val="center"/>
          </w:tcPr>
          <w:p>
            <w:pPr>
              <w:pStyle w:val="1585"/>
              <w:spacing w:line="240" w:lineRule="atLeast"/>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0.0004</w:t>
            </w:r>
          </w:p>
        </w:tc>
        <w:tc>
          <w:tcPr>
            <w:tcW w:w="758" w:type="dxa"/>
            <w:shd w:val="clear" w:color="auto" w:fill="auto"/>
            <w:vAlign w:val="center"/>
          </w:tcPr>
          <w:p>
            <w:pPr>
              <w:pStyle w:val="1585"/>
              <w:spacing w:line="240" w:lineRule="atLeast"/>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0.18</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jc w:val="center"/>
        </w:trPr>
        <w:tc>
          <w:tcPr>
            <w:tcW w:w="1960" w:type="dxa"/>
            <w:shd w:val="clear" w:color="auto" w:fill="auto"/>
            <w:vAlign w:val="center"/>
          </w:tcPr>
          <w:p>
            <w:pPr>
              <w:pStyle w:val="1585"/>
              <w:spacing w:line="240" w:lineRule="atLeas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200</w:t>
            </w:r>
          </w:p>
        </w:tc>
        <w:tc>
          <w:tcPr>
            <w:tcW w:w="1432" w:type="dxa"/>
          </w:tcPr>
          <w:p>
            <w:pPr>
              <w:pStyle w:val="1585"/>
              <w:spacing w:line="340" w:lineRule="exact"/>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0.008</w:t>
            </w:r>
          </w:p>
        </w:tc>
        <w:tc>
          <w:tcPr>
            <w:tcW w:w="757" w:type="dxa"/>
            <w:vAlign w:val="center"/>
          </w:tcPr>
          <w:p>
            <w:pPr>
              <w:pStyle w:val="1585"/>
              <w:spacing w:line="240" w:lineRule="atLeast"/>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0.84</w:t>
            </w:r>
          </w:p>
        </w:tc>
        <w:tc>
          <w:tcPr>
            <w:tcW w:w="1432" w:type="dxa"/>
            <w:shd w:val="clear" w:color="auto" w:fill="auto"/>
            <w:vAlign w:val="center"/>
          </w:tcPr>
          <w:p>
            <w:pPr>
              <w:pStyle w:val="1585"/>
              <w:spacing w:line="240" w:lineRule="atLeast"/>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0.0020</w:t>
            </w:r>
          </w:p>
        </w:tc>
        <w:tc>
          <w:tcPr>
            <w:tcW w:w="757" w:type="dxa"/>
            <w:shd w:val="clear" w:color="auto" w:fill="auto"/>
            <w:vAlign w:val="center"/>
          </w:tcPr>
          <w:p>
            <w:pPr>
              <w:pStyle w:val="1585"/>
              <w:spacing w:line="240" w:lineRule="atLeast"/>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0.45</w:t>
            </w:r>
          </w:p>
        </w:tc>
        <w:tc>
          <w:tcPr>
            <w:tcW w:w="1432" w:type="dxa"/>
            <w:shd w:val="clear" w:color="auto" w:fill="auto"/>
            <w:vAlign w:val="center"/>
          </w:tcPr>
          <w:p>
            <w:pPr>
              <w:pStyle w:val="1585"/>
              <w:spacing w:line="240" w:lineRule="atLeast"/>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0.0005</w:t>
            </w:r>
          </w:p>
        </w:tc>
        <w:tc>
          <w:tcPr>
            <w:tcW w:w="758" w:type="dxa"/>
            <w:shd w:val="clear" w:color="auto" w:fill="auto"/>
            <w:vAlign w:val="center"/>
          </w:tcPr>
          <w:p>
            <w:pPr>
              <w:pStyle w:val="1585"/>
              <w:spacing w:line="240" w:lineRule="atLeast"/>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0.22</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jc w:val="center"/>
        </w:trPr>
        <w:tc>
          <w:tcPr>
            <w:tcW w:w="1960" w:type="dxa"/>
            <w:shd w:val="clear" w:color="auto" w:fill="auto"/>
            <w:vAlign w:val="center"/>
          </w:tcPr>
          <w:p>
            <w:pPr>
              <w:pStyle w:val="1585"/>
              <w:spacing w:line="240" w:lineRule="atLeas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300</w:t>
            </w:r>
          </w:p>
        </w:tc>
        <w:tc>
          <w:tcPr>
            <w:tcW w:w="1432" w:type="dxa"/>
          </w:tcPr>
          <w:p>
            <w:pPr>
              <w:pStyle w:val="1585"/>
              <w:spacing w:line="340" w:lineRule="exact"/>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0.007</w:t>
            </w:r>
          </w:p>
        </w:tc>
        <w:tc>
          <w:tcPr>
            <w:tcW w:w="757" w:type="dxa"/>
            <w:vAlign w:val="center"/>
          </w:tcPr>
          <w:p>
            <w:pPr>
              <w:pStyle w:val="1585"/>
              <w:spacing w:line="240" w:lineRule="atLeast"/>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0.76</w:t>
            </w:r>
          </w:p>
        </w:tc>
        <w:tc>
          <w:tcPr>
            <w:tcW w:w="1432" w:type="dxa"/>
            <w:shd w:val="clear" w:color="auto" w:fill="auto"/>
            <w:vAlign w:val="center"/>
          </w:tcPr>
          <w:p>
            <w:pPr>
              <w:pStyle w:val="1585"/>
              <w:spacing w:line="240" w:lineRule="atLeast"/>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0.0018</w:t>
            </w:r>
          </w:p>
        </w:tc>
        <w:tc>
          <w:tcPr>
            <w:tcW w:w="757" w:type="dxa"/>
            <w:shd w:val="clear" w:color="auto" w:fill="auto"/>
            <w:vAlign w:val="center"/>
          </w:tcPr>
          <w:p>
            <w:pPr>
              <w:pStyle w:val="1585"/>
              <w:spacing w:line="240" w:lineRule="atLeast"/>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0.41</w:t>
            </w:r>
          </w:p>
        </w:tc>
        <w:tc>
          <w:tcPr>
            <w:tcW w:w="1432" w:type="dxa"/>
            <w:shd w:val="clear" w:color="auto" w:fill="auto"/>
            <w:vAlign w:val="center"/>
          </w:tcPr>
          <w:p>
            <w:pPr>
              <w:pStyle w:val="1585"/>
              <w:spacing w:line="240" w:lineRule="atLeast"/>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0.0004</w:t>
            </w:r>
          </w:p>
        </w:tc>
        <w:tc>
          <w:tcPr>
            <w:tcW w:w="758" w:type="dxa"/>
            <w:shd w:val="clear" w:color="auto" w:fill="auto"/>
            <w:vAlign w:val="center"/>
          </w:tcPr>
          <w:p>
            <w:pPr>
              <w:pStyle w:val="1585"/>
              <w:spacing w:line="240" w:lineRule="atLeast"/>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0.20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jc w:val="center"/>
        </w:trPr>
        <w:tc>
          <w:tcPr>
            <w:tcW w:w="1960" w:type="dxa"/>
            <w:shd w:val="clear" w:color="auto" w:fill="auto"/>
            <w:vAlign w:val="center"/>
          </w:tcPr>
          <w:p>
            <w:pPr>
              <w:pStyle w:val="1585"/>
              <w:spacing w:line="240" w:lineRule="atLeas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500</w:t>
            </w:r>
          </w:p>
        </w:tc>
        <w:tc>
          <w:tcPr>
            <w:tcW w:w="1432" w:type="dxa"/>
          </w:tcPr>
          <w:p>
            <w:pPr>
              <w:pStyle w:val="1585"/>
              <w:spacing w:line="340" w:lineRule="exact"/>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0.005</w:t>
            </w:r>
          </w:p>
        </w:tc>
        <w:tc>
          <w:tcPr>
            <w:tcW w:w="757" w:type="dxa"/>
            <w:vAlign w:val="center"/>
          </w:tcPr>
          <w:p>
            <w:pPr>
              <w:pStyle w:val="1585"/>
              <w:spacing w:line="240" w:lineRule="atLeast"/>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0.52</w:t>
            </w:r>
          </w:p>
        </w:tc>
        <w:tc>
          <w:tcPr>
            <w:tcW w:w="1432" w:type="dxa"/>
            <w:shd w:val="clear" w:color="auto" w:fill="auto"/>
            <w:vAlign w:val="center"/>
          </w:tcPr>
          <w:p>
            <w:pPr>
              <w:pStyle w:val="1585"/>
              <w:spacing w:line="240" w:lineRule="atLeast"/>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0.0012</w:t>
            </w:r>
          </w:p>
        </w:tc>
        <w:tc>
          <w:tcPr>
            <w:tcW w:w="757" w:type="dxa"/>
            <w:shd w:val="clear" w:color="auto" w:fill="auto"/>
            <w:vAlign w:val="center"/>
          </w:tcPr>
          <w:p>
            <w:pPr>
              <w:pStyle w:val="1585"/>
              <w:spacing w:line="240" w:lineRule="atLeast"/>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0.28</w:t>
            </w:r>
          </w:p>
        </w:tc>
        <w:tc>
          <w:tcPr>
            <w:tcW w:w="1432" w:type="dxa"/>
            <w:shd w:val="clear" w:color="auto" w:fill="auto"/>
            <w:vAlign w:val="center"/>
          </w:tcPr>
          <w:p>
            <w:pPr>
              <w:pStyle w:val="1585"/>
              <w:spacing w:line="240" w:lineRule="atLeast"/>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0.0003</w:t>
            </w:r>
          </w:p>
        </w:tc>
        <w:tc>
          <w:tcPr>
            <w:tcW w:w="758" w:type="dxa"/>
            <w:shd w:val="clear" w:color="auto" w:fill="auto"/>
            <w:vAlign w:val="center"/>
          </w:tcPr>
          <w:p>
            <w:pPr>
              <w:pStyle w:val="1585"/>
              <w:spacing w:line="240" w:lineRule="atLeast"/>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0.14</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jc w:val="center"/>
        </w:trPr>
        <w:tc>
          <w:tcPr>
            <w:tcW w:w="1960" w:type="dxa"/>
            <w:shd w:val="clear" w:color="auto" w:fill="auto"/>
            <w:vAlign w:val="center"/>
          </w:tcPr>
          <w:p>
            <w:pPr>
              <w:pStyle w:val="1585"/>
              <w:spacing w:line="240" w:lineRule="atLeast"/>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1</w:t>
            </w:r>
            <w:r>
              <w:rPr>
                <w:color w:val="000000" w:themeColor="text1"/>
                <w:sz w:val="21"/>
                <w:szCs w:val="21"/>
                <w14:textFill>
                  <w14:solidFill>
                    <w14:schemeClr w14:val="tx1"/>
                  </w14:solidFill>
                </w14:textFill>
              </w:rPr>
              <w:t>000</w:t>
            </w:r>
          </w:p>
        </w:tc>
        <w:tc>
          <w:tcPr>
            <w:tcW w:w="1432" w:type="dxa"/>
          </w:tcPr>
          <w:p>
            <w:pPr>
              <w:pStyle w:val="1585"/>
              <w:spacing w:line="340" w:lineRule="exact"/>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0.002</w:t>
            </w:r>
          </w:p>
        </w:tc>
        <w:tc>
          <w:tcPr>
            <w:tcW w:w="757" w:type="dxa"/>
            <w:vAlign w:val="center"/>
          </w:tcPr>
          <w:p>
            <w:pPr>
              <w:pStyle w:val="1585"/>
              <w:spacing w:line="240" w:lineRule="atLeast"/>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0.25</w:t>
            </w:r>
          </w:p>
        </w:tc>
        <w:tc>
          <w:tcPr>
            <w:tcW w:w="1432" w:type="dxa"/>
            <w:shd w:val="clear" w:color="auto" w:fill="auto"/>
            <w:vAlign w:val="center"/>
          </w:tcPr>
          <w:p>
            <w:pPr>
              <w:pStyle w:val="1585"/>
              <w:spacing w:line="240" w:lineRule="atLeast"/>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0.0006</w:t>
            </w:r>
          </w:p>
        </w:tc>
        <w:tc>
          <w:tcPr>
            <w:tcW w:w="757" w:type="dxa"/>
            <w:shd w:val="clear" w:color="auto" w:fill="auto"/>
            <w:vAlign w:val="center"/>
          </w:tcPr>
          <w:p>
            <w:pPr>
              <w:pStyle w:val="1585"/>
              <w:spacing w:line="240" w:lineRule="atLeast"/>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0.14</w:t>
            </w:r>
          </w:p>
        </w:tc>
        <w:tc>
          <w:tcPr>
            <w:tcW w:w="1432" w:type="dxa"/>
            <w:shd w:val="clear" w:color="auto" w:fill="auto"/>
            <w:vAlign w:val="center"/>
          </w:tcPr>
          <w:p>
            <w:pPr>
              <w:pStyle w:val="1585"/>
              <w:spacing w:line="240" w:lineRule="atLeast"/>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0.0001</w:t>
            </w:r>
          </w:p>
        </w:tc>
        <w:tc>
          <w:tcPr>
            <w:tcW w:w="758" w:type="dxa"/>
            <w:shd w:val="clear" w:color="auto" w:fill="auto"/>
            <w:vAlign w:val="center"/>
          </w:tcPr>
          <w:p>
            <w:pPr>
              <w:pStyle w:val="1585"/>
              <w:spacing w:line="240" w:lineRule="atLeast"/>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0.07</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jc w:val="center"/>
        </w:trPr>
        <w:tc>
          <w:tcPr>
            <w:tcW w:w="1960" w:type="dxa"/>
            <w:shd w:val="clear" w:color="auto" w:fill="auto"/>
            <w:vAlign w:val="center"/>
          </w:tcPr>
          <w:p>
            <w:pPr>
              <w:pStyle w:val="1585"/>
              <w:spacing w:line="240" w:lineRule="atLeas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下风向最大质量浓度及占标率</w:t>
            </w:r>
          </w:p>
        </w:tc>
        <w:tc>
          <w:tcPr>
            <w:tcW w:w="1432" w:type="dxa"/>
            <w:vAlign w:val="center"/>
          </w:tcPr>
          <w:p>
            <w:pPr>
              <w:pStyle w:val="1585"/>
              <w:spacing w:line="340" w:lineRule="exact"/>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0.008</w:t>
            </w:r>
          </w:p>
        </w:tc>
        <w:tc>
          <w:tcPr>
            <w:tcW w:w="757" w:type="dxa"/>
            <w:vAlign w:val="center"/>
          </w:tcPr>
          <w:p>
            <w:pPr>
              <w:pStyle w:val="1585"/>
              <w:spacing w:line="240" w:lineRule="atLeast"/>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0.84</w:t>
            </w:r>
          </w:p>
        </w:tc>
        <w:tc>
          <w:tcPr>
            <w:tcW w:w="1432" w:type="dxa"/>
            <w:vAlign w:val="center"/>
          </w:tcPr>
          <w:p>
            <w:pPr>
              <w:pStyle w:val="1585"/>
              <w:spacing w:line="240" w:lineRule="atLeast"/>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0.0020</w:t>
            </w:r>
          </w:p>
        </w:tc>
        <w:tc>
          <w:tcPr>
            <w:tcW w:w="757" w:type="dxa"/>
            <w:vAlign w:val="center"/>
          </w:tcPr>
          <w:p>
            <w:pPr>
              <w:pStyle w:val="1585"/>
              <w:spacing w:line="240" w:lineRule="atLeast"/>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0.45</w:t>
            </w:r>
          </w:p>
        </w:tc>
        <w:tc>
          <w:tcPr>
            <w:tcW w:w="1432" w:type="dxa"/>
            <w:vAlign w:val="center"/>
          </w:tcPr>
          <w:p>
            <w:pPr>
              <w:pStyle w:val="1585"/>
              <w:spacing w:line="240" w:lineRule="atLeast"/>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0.0005</w:t>
            </w:r>
          </w:p>
        </w:tc>
        <w:tc>
          <w:tcPr>
            <w:tcW w:w="758" w:type="dxa"/>
            <w:vAlign w:val="center"/>
          </w:tcPr>
          <w:p>
            <w:pPr>
              <w:pStyle w:val="1585"/>
              <w:spacing w:line="240" w:lineRule="atLeast"/>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0.22</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jc w:val="center"/>
        </w:trPr>
        <w:tc>
          <w:tcPr>
            <w:tcW w:w="1960" w:type="dxa"/>
            <w:shd w:val="clear" w:color="auto" w:fill="auto"/>
            <w:vAlign w:val="center"/>
          </w:tcPr>
          <w:p>
            <w:pPr>
              <w:pStyle w:val="1585"/>
              <w:spacing w:line="240" w:lineRule="atLeas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D10%最远距离</w:t>
            </w:r>
          </w:p>
        </w:tc>
        <w:tc>
          <w:tcPr>
            <w:tcW w:w="2189" w:type="dxa"/>
            <w:gridSpan w:val="2"/>
          </w:tcPr>
          <w:p>
            <w:pPr>
              <w:pStyle w:val="1585"/>
              <w:spacing w:line="240" w:lineRule="atLeas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w:t>
            </w:r>
          </w:p>
        </w:tc>
        <w:tc>
          <w:tcPr>
            <w:tcW w:w="2189" w:type="dxa"/>
            <w:gridSpan w:val="2"/>
            <w:vAlign w:val="center"/>
          </w:tcPr>
          <w:p>
            <w:pPr>
              <w:pStyle w:val="1585"/>
              <w:spacing w:line="240" w:lineRule="atLeas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w:t>
            </w:r>
          </w:p>
        </w:tc>
        <w:tc>
          <w:tcPr>
            <w:tcW w:w="2190" w:type="dxa"/>
            <w:gridSpan w:val="2"/>
            <w:vAlign w:val="center"/>
          </w:tcPr>
          <w:p>
            <w:pPr>
              <w:pStyle w:val="1585"/>
              <w:spacing w:line="240" w:lineRule="atLeas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w:t>
            </w:r>
          </w:p>
        </w:tc>
      </w:tr>
    </w:tbl>
    <w:p>
      <w:pPr>
        <w:tabs>
          <w:tab w:val="left" w:pos="7488"/>
        </w:tabs>
        <w:snapToGrid w:val="0"/>
        <w:spacing w:line="348" w:lineRule="auto"/>
        <w:ind w:firstLine="462" w:firstLineChars="200"/>
        <w:rPr>
          <w:color w:val="000000" w:themeColor="text1"/>
          <w14:textFill>
            <w14:solidFill>
              <w14:schemeClr w14:val="tx1"/>
            </w14:solidFill>
          </w14:textFill>
        </w:rPr>
      </w:pPr>
      <w:r>
        <w:rPr>
          <w:color w:val="000000" w:themeColor="text1"/>
          <w14:textFill>
            <w14:solidFill>
              <w14:schemeClr w14:val="tx1"/>
            </w14:solidFill>
          </w14:textFill>
        </w:rPr>
        <w:t>由上表可知，本项目P</w:t>
      </w:r>
      <w:r>
        <w:rPr>
          <w:color w:val="000000" w:themeColor="text1"/>
          <w:vertAlign w:val="subscript"/>
          <w14:textFill>
            <w14:solidFill>
              <w14:schemeClr w14:val="tx1"/>
            </w14:solidFill>
          </w14:textFill>
        </w:rPr>
        <w:t>max</w:t>
      </w:r>
      <w:r>
        <w:rPr>
          <w:color w:val="000000" w:themeColor="text1"/>
          <w14:textFill>
            <w14:solidFill>
              <w14:schemeClr w14:val="tx1"/>
            </w14:solidFill>
          </w14:textFill>
        </w:rPr>
        <w:t>最大值为</w:t>
      </w:r>
      <w:r>
        <w:rPr>
          <w:rFonts w:hint="eastAsia"/>
          <w:color w:val="000000" w:themeColor="text1"/>
          <w14:textFill>
            <w14:solidFill>
              <w14:schemeClr w14:val="tx1"/>
            </w14:solidFill>
          </w14:textFill>
        </w:rPr>
        <w:t>0.84</w:t>
      </w:r>
      <w:r>
        <w:rPr>
          <w:color w:val="000000" w:themeColor="text1"/>
          <w14:textFill>
            <w14:solidFill>
              <w14:schemeClr w14:val="tx1"/>
            </w14:solidFill>
          </w14:textFill>
        </w:rPr>
        <w:t>%，根据《环境影响评价技术导则 大气环境》</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HJ2.2-2018</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分级判据，P</w:t>
      </w:r>
      <w:r>
        <w:rPr>
          <w:color w:val="000000" w:themeColor="text1"/>
          <w:vertAlign w:val="subscript"/>
          <w14:textFill>
            <w14:solidFill>
              <w14:schemeClr w14:val="tx1"/>
            </w14:solidFill>
          </w14:textFill>
        </w:rPr>
        <w:t>max</w:t>
      </w:r>
      <w:r>
        <w:rPr>
          <w:color w:val="000000" w:themeColor="text1"/>
          <w14:textFill>
            <w14:solidFill>
              <w14:schemeClr w14:val="tx1"/>
            </w14:solidFill>
          </w14:textFill>
        </w:rPr>
        <w:t>＜1%</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确定本项目大气环境影响评价工作等级为</w:t>
      </w:r>
      <w:r>
        <w:rPr>
          <w:rFonts w:hint="eastAsia"/>
          <w:color w:val="000000" w:themeColor="text1"/>
          <w14:textFill>
            <w14:solidFill>
              <w14:schemeClr w14:val="tx1"/>
            </w14:solidFill>
          </w14:textFill>
        </w:rPr>
        <w:t>三</w:t>
      </w:r>
      <w:r>
        <w:rPr>
          <w:color w:val="000000" w:themeColor="text1"/>
          <w14:textFill>
            <w14:solidFill>
              <w14:schemeClr w14:val="tx1"/>
            </w14:solidFill>
          </w14:textFill>
        </w:rPr>
        <w:t>级。</w:t>
      </w:r>
    </w:p>
    <w:p>
      <w:pPr>
        <w:pStyle w:val="6"/>
        <w:rPr>
          <w:color w:val="000000" w:themeColor="text1"/>
          <w14:textFill>
            <w14:solidFill>
              <w14:schemeClr w14:val="tx1"/>
            </w14:solidFill>
          </w14:textFill>
        </w:rPr>
      </w:pPr>
      <w:r>
        <w:rPr>
          <w:rFonts w:hint="eastAsia"/>
          <w:color w:val="000000" w:themeColor="text1"/>
          <w14:textFill>
            <w14:solidFill>
              <w14:schemeClr w14:val="tx1"/>
            </w14:solidFill>
          </w14:textFill>
        </w:rPr>
        <w:t>声环境</w:t>
      </w:r>
    </w:p>
    <w:p>
      <w:pPr>
        <w:tabs>
          <w:tab w:val="left" w:pos="7488"/>
        </w:tabs>
        <w:snapToGrid w:val="0"/>
        <w:spacing w:line="348" w:lineRule="auto"/>
        <w:ind w:firstLine="462" w:firstLineChars="200"/>
        <w:rPr>
          <w:color w:val="000000" w:themeColor="text1"/>
          <w14:textFill>
            <w14:solidFill>
              <w14:schemeClr w14:val="tx1"/>
            </w14:solidFill>
          </w14:textFill>
        </w:rPr>
      </w:pPr>
      <w:r>
        <w:rPr>
          <w:rFonts w:hint="eastAsia"/>
          <w:color w:val="000000" w:themeColor="text1"/>
          <w14:textFill>
            <w14:solidFill>
              <w14:schemeClr w14:val="tx1"/>
            </w14:solidFill>
          </w14:textFill>
        </w:rPr>
        <w:t>根据《环境影响评价技术导则 声环境》（HJ2.4-2021），若建设项目所处的声环境功能区为GB3096 规定的3类、4类地区，或建设项目建设前后的评价范围内敏感目标噪声级增高量达3dB（A）以下，且受影响人口数量变化不大时，按三级评价。本项目位于3类声环境功能区，且项目周边无集中居住区，</w:t>
      </w:r>
      <w:r>
        <w:rPr>
          <w:color w:val="000000" w:themeColor="text1"/>
          <w14:textFill>
            <w14:solidFill>
              <w14:schemeClr w14:val="tx1"/>
            </w14:solidFill>
          </w14:textFill>
        </w:rPr>
        <w:t>项目扩建工程噪声源主要为码头新增进出港船舶辅机运行、装卸作业噪声，</w:t>
      </w:r>
      <w:r>
        <w:rPr>
          <w:rFonts w:hint="eastAsia"/>
          <w:color w:val="000000" w:themeColor="text1"/>
          <w14:textFill>
            <w14:solidFill>
              <w14:schemeClr w14:val="tx1"/>
            </w14:solidFill>
          </w14:textFill>
        </w:rPr>
        <w:t>与原9号10号泊位装卸工艺进港船型等一致，项目噪声污染源较扩建前基本维持不变</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项目声环境影响评价等级为三级。</w:t>
      </w:r>
    </w:p>
    <w:p>
      <w:pPr>
        <w:pStyle w:val="6"/>
        <w:rPr>
          <w:color w:val="000000" w:themeColor="text1"/>
          <w14:textFill>
            <w14:solidFill>
              <w14:schemeClr w14:val="tx1"/>
            </w14:solidFill>
          </w14:textFill>
        </w:rPr>
      </w:pPr>
      <w:r>
        <w:rPr>
          <w:rFonts w:hint="eastAsia"/>
          <w:color w:val="000000" w:themeColor="text1"/>
          <w14:textFill>
            <w14:solidFill>
              <w14:schemeClr w14:val="tx1"/>
            </w14:solidFill>
          </w14:textFill>
        </w:rPr>
        <w:t>土壤</w:t>
      </w:r>
    </w:p>
    <w:p>
      <w:pPr>
        <w:tabs>
          <w:tab w:val="left" w:pos="7488"/>
        </w:tabs>
        <w:snapToGrid w:val="0"/>
        <w:spacing w:line="348" w:lineRule="auto"/>
        <w:ind w:firstLine="462" w:firstLineChars="200"/>
        <w:rPr>
          <w:color w:val="000000" w:themeColor="text1"/>
          <w14:textFill>
            <w14:solidFill>
              <w14:schemeClr w14:val="tx1"/>
            </w14:solidFill>
          </w14:textFill>
        </w:rPr>
      </w:pPr>
      <w:r>
        <w:rPr>
          <w:rFonts w:hint="eastAsia"/>
          <w:color w:val="000000" w:themeColor="text1"/>
          <w14:textFill>
            <w14:solidFill>
              <w14:schemeClr w14:val="tx1"/>
            </w14:solidFill>
          </w14:textFill>
        </w:rPr>
        <w:t>根据《环境影响评价技术导则</w:t>
      </w:r>
      <w:r>
        <w:rPr>
          <w:color w:val="000000" w:themeColor="text1"/>
          <w14:textFill>
            <w14:solidFill>
              <w14:schemeClr w14:val="tx1"/>
            </w14:solidFill>
          </w14:textFill>
        </w:rPr>
        <w:t xml:space="preserve"> </w:t>
      </w:r>
      <w:r>
        <w:rPr>
          <w:rFonts w:hint="eastAsia"/>
          <w:color w:val="000000" w:themeColor="text1"/>
          <w14:textFill>
            <w14:solidFill>
              <w14:schemeClr w14:val="tx1"/>
            </w14:solidFill>
          </w14:textFill>
        </w:rPr>
        <w:t>土壤环境（试行）》（</w:t>
      </w:r>
      <w:r>
        <w:rPr>
          <w:color w:val="000000" w:themeColor="text1"/>
          <w14:textFill>
            <w14:solidFill>
              <w14:schemeClr w14:val="tx1"/>
            </w14:solidFill>
          </w14:textFill>
        </w:rPr>
        <w:t>HJ964-2018</w:t>
      </w:r>
      <w:r>
        <w:rPr>
          <w:rFonts w:hint="eastAsia"/>
          <w:color w:val="000000" w:themeColor="text1"/>
          <w14:textFill>
            <w14:solidFill>
              <w14:schemeClr w14:val="tx1"/>
            </w14:solidFill>
          </w14:textFill>
        </w:rPr>
        <w:t>），本项目不属于涉及危险品的码头及仓储类别，属于</w:t>
      </w:r>
      <w:r>
        <w:rPr>
          <w:color w:val="000000" w:themeColor="text1"/>
          <w14:textFill>
            <w14:solidFill>
              <w14:schemeClr w14:val="tx1"/>
            </w14:solidFill>
          </w14:textFill>
        </w:rPr>
        <w:t xml:space="preserve">IV </w:t>
      </w:r>
      <w:r>
        <w:rPr>
          <w:rFonts w:hint="eastAsia"/>
          <w:color w:val="000000" w:themeColor="text1"/>
          <w14:textFill>
            <w14:solidFill>
              <w14:schemeClr w14:val="tx1"/>
            </w14:solidFill>
          </w14:textFill>
        </w:rPr>
        <w:t>类项目。项目</w:t>
      </w:r>
      <w:r>
        <w:rPr>
          <w:color w:val="000000" w:themeColor="text1"/>
          <w14:textFill>
            <w14:solidFill>
              <w14:schemeClr w14:val="tx1"/>
            </w14:solidFill>
          </w14:textFill>
        </w:rPr>
        <w:t>周边不存在土壤环境敏感保护目标等，</w:t>
      </w:r>
      <w:r>
        <w:rPr>
          <w:rFonts w:hint="eastAsia"/>
          <w:color w:val="000000" w:themeColor="text1"/>
          <w14:textFill>
            <w14:solidFill>
              <w14:schemeClr w14:val="tx1"/>
            </w14:solidFill>
          </w14:textFill>
        </w:rPr>
        <w:t>本项目不开展土壤环境评价。</w:t>
      </w:r>
    </w:p>
    <w:p>
      <w:pPr>
        <w:pStyle w:val="6"/>
        <w:rPr>
          <w:color w:val="000000" w:themeColor="text1"/>
          <w14:textFill>
            <w14:solidFill>
              <w14:schemeClr w14:val="tx1"/>
            </w14:solidFill>
          </w14:textFill>
        </w:rPr>
      </w:pPr>
      <w:r>
        <w:rPr>
          <w:rFonts w:hint="eastAsia"/>
          <w:color w:val="000000" w:themeColor="text1"/>
          <w14:textFill>
            <w14:solidFill>
              <w14:schemeClr w14:val="tx1"/>
            </w14:solidFill>
          </w14:textFill>
        </w:rPr>
        <w:t>环境风险</w:t>
      </w:r>
    </w:p>
    <w:p>
      <w:pPr>
        <w:tabs>
          <w:tab w:val="left" w:pos="7488"/>
        </w:tabs>
        <w:snapToGrid w:val="0"/>
        <w:spacing w:line="348" w:lineRule="auto"/>
        <w:ind w:left="465"/>
        <w:outlineLvl w:val="4"/>
        <w:rPr>
          <w:b/>
          <w:bCs/>
          <w:color w:val="000000" w:themeColor="text1"/>
          <w14:textFill>
            <w14:solidFill>
              <w14:schemeClr w14:val="tx1"/>
            </w14:solidFill>
          </w14:textFill>
        </w:rPr>
      </w:pPr>
      <w:r>
        <w:rPr>
          <w:rFonts w:hint="eastAsia"/>
          <w:b/>
          <w:bCs/>
          <w:color w:val="000000" w:themeColor="text1"/>
          <w14:textFill>
            <w14:solidFill>
              <w14:schemeClr w14:val="tx1"/>
            </w14:solidFill>
          </w14:textFill>
        </w:rPr>
        <w:t>一、P的分级确定</w:t>
      </w:r>
    </w:p>
    <w:p>
      <w:pPr>
        <w:tabs>
          <w:tab w:val="left" w:pos="7488"/>
        </w:tabs>
        <w:snapToGrid w:val="0"/>
        <w:spacing w:line="348" w:lineRule="auto"/>
        <w:ind w:firstLine="462" w:firstLineChars="200"/>
        <w:rPr>
          <w:color w:val="000000" w:themeColor="text1"/>
          <w14:textFill>
            <w14:solidFill>
              <w14:schemeClr w14:val="tx1"/>
            </w14:solidFill>
          </w14:textFill>
        </w:rPr>
      </w:pPr>
      <w:r>
        <w:rPr>
          <w:rFonts w:hint="eastAsia"/>
          <w:color w:val="000000" w:themeColor="text1"/>
          <w14:textFill>
            <w14:solidFill>
              <w14:schemeClr w14:val="tx1"/>
            </w14:solidFill>
          </w14:textFill>
        </w:rPr>
        <w:t>1、危险物质数量及临界量比值（</w:t>
      </w:r>
      <w:r>
        <w:rPr>
          <w:color w:val="000000" w:themeColor="text1"/>
          <w14:textFill>
            <w14:solidFill>
              <w14:schemeClr w14:val="tx1"/>
            </w14:solidFill>
          </w14:textFill>
        </w:rPr>
        <w:t>Q</w:t>
      </w:r>
      <w:r>
        <w:rPr>
          <w:rFonts w:hint="eastAsia"/>
          <w:color w:val="000000" w:themeColor="text1"/>
          <w14:textFill>
            <w14:solidFill>
              <w14:schemeClr w14:val="tx1"/>
            </w14:solidFill>
          </w14:textFill>
        </w:rPr>
        <w:t>）</w:t>
      </w:r>
    </w:p>
    <w:p>
      <w:pPr>
        <w:tabs>
          <w:tab w:val="left" w:pos="7488"/>
        </w:tabs>
        <w:snapToGrid w:val="0"/>
        <w:spacing w:line="348" w:lineRule="auto"/>
        <w:ind w:firstLine="462" w:firstLineChars="200"/>
        <w:rPr>
          <w:color w:val="000000" w:themeColor="text1"/>
          <w14:textFill>
            <w14:solidFill>
              <w14:schemeClr w14:val="tx1"/>
            </w14:solidFill>
          </w14:textFill>
        </w:rPr>
      </w:pPr>
      <w:r>
        <w:rPr>
          <w:rFonts w:hint="eastAsia"/>
          <w:color w:val="000000" w:themeColor="text1"/>
          <w14:textFill>
            <w14:solidFill>
              <w14:schemeClr w14:val="tx1"/>
            </w14:solidFill>
          </w14:textFill>
        </w:rPr>
        <w:t>根据</w:t>
      </w:r>
      <w:r>
        <w:rPr>
          <w:color w:val="000000" w:themeColor="text1"/>
          <w14:textFill>
            <w14:solidFill>
              <w14:schemeClr w14:val="tx1"/>
            </w14:solidFill>
          </w14:textFill>
        </w:rPr>
        <w:t>《建设项目环境风险评价技术导则》（HJ169-20</w:t>
      </w:r>
      <w:r>
        <w:rPr>
          <w:rFonts w:hint="eastAsia"/>
          <w:color w:val="000000" w:themeColor="text1"/>
          <w14:textFill>
            <w14:solidFill>
              <w14:schemeClr w14:val="tx1"/>
            </w14:solidFill>
          </w14:textFill>
        </w:rPr>
        <w:t>18</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，当存在多种危险物质时，物质总量与其临界量比值（</w:t>
      </w:r>
      <w:r>
        <w:rPr>
          <w:color w:val="000000" w:themeColor="text1"/>
          <w14:textFill>
            <w14:solidFill>
              <w14:schemeClr w14:val="tx1"/>
            </w14:solidFill>
          </w14:textFill>
        </w:rPr>
        <w:t>Q</w:t>
      </w:r>
      <w:r>
        <w:rPr>
          <w:rFonts w:hint="eastAsia"/>
          <w:color w:val="000000" w:themeColor="text1"/>
          <w14:textFill>
            <w14:solidFill>
              <w14:schemeClr w14:val="tx1"/>
            </w14:solidFill>
          </w14:textFill>
        </w:rPr>
        <w:t>）计算公式如下。</w:t>
      </w:r>
    </w:p>
    <w:p>
      <w:pPr>
        <w:tabs>
          <w:tab w:val="left" w:pos="7488"/>
        </w:tabs>
        <w:snapToGrid w:val="0"/>
        <w:spacing w:line="348" w:lineRule="auto"/>
        <w:jc w:val="center"/>
        <w:rPr>
          <w:color w:val="000000" w:themeColor="text1"/>
          <w14:textFill>
            <w14:solidFill>
              <w14:schemeClr w14:val="tx1"/>
            </w14:solidFill>
          </w14:textFill>
        </w:rPr>
      </w:pPr>
      <w:r>
        <w:rPr>
          <w:color w:val="000000" w:themeColor="text1"/>
          <w14:textFill>
            <w14:solidFill>
              <w14:schemeClr w14:val="tx1"/>
            </w14:solidFill>
          </w14:textFill>
        </w:rPr>
        <w:drawing>
          <wp:inline distT="0" distB="0" distL="114300" distR="114300">
            <wp:extent cx="1959610" cy="417195"/>
            <wp:effectExtent l="0" t="0" r="2540" b="1905"/>
            <wp:docPr id="1375757855" name="图片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5757855" name="图片 224"/>
                    <pic:cNvPicPr>
                      <a:picLocks noChangeAspect="1"/>
                    </pic:cNvPicPr>
                  </pic:nvPicPr>
                  <pic:blipFill>
                    <a:blip r:embed="rId34"/>
                    <a:stretch>
                      <a:fillRect/>
                    </a:stretch>
                  </pic:blipFill>
                  <pic:spPr>
                    <a:xfrm>
                      <a:off x="0" y="0"/>
                      <a:ext cx="1959610" cy="417195"/>
                    </a:xfrm>
                    <a:prstGeom prst="rect">
                      <a:avLst/>
                    </a:prstGeom>
                    <a:noFill/>
                    <a:ln>
                      <a:noFill/>
                    </a:ln>
                  </pic:spPr>
                </pic:pic>
              </a:graphicData>
            </a:graphic>
          </wp:inline>
        </w:drawing>
      </w:r>
    </w:p>
    <w:p>
      <w:pPr>
        <w:tabs>
          <w:tab w:val="left" w:pos="7488"/>
        </w:tabs>
        <w:snapToGrid w:val="0"/>
        <w:spacing w:line="348" w:lineRule="auto"/>
        <w:ind w:firstLine="462" w:firstLineChars="200"/>
        <w:rPr>
          <w:color w:val="000000" w:themeColor="text1"/>
          <w14:textFill>
            <w14:solidFill>
              <w14:schemeClr w14:val="tx1"/>
            </w14:solidFill>
          </w14:textFill>
        </w:rPr>
      </w:pPr>
      <w:r>
        <w:rPr>
          <w:rFonts w:hint="eastAsia"/>
          <w:color w:val="000000" w:themeColor="text1"/>
          <w14:textFill>
            <w14:solidFill>
              <w14:schemeClr w14:val="tx1"/>
            </w14:solidFill>
          </w14:textFill>
        </w:rPr>
        <w:t>式中：</w:t>
      </w:r>
      <w:r>
        <w:rPr>
          <w:color w:val="000000" w:themeColor="text1"/>
          <w14:textFill>
            <w14:solidFill>
              <w14:schemeClr w14:val="tx1"/>
            </w14:solidFill>
          </w14:textFill>
        </w:rPr>
        <w:t>q</w:t>
      </w:r>
      <w:r>
        <w:rPr>
          <w:color w:val="000000" w:themeColor="text1"/>
          <w:vertAlign w:val="subscript"/>
          <w14:textFill>
            <w14:solidFill>
              <w14:schemeClr w14:val="tx1"/>
            </w14:solidFill>
          </w14:textFill>
        </w:rPr>
        <w:t>1</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q</w:t>
      </w:r>
      <w:r>
        <w:rPr>
          <w:color w:val="000000" w:themeColor="text1"/>
          <w:vertAlign w:val="subscript"/>
          <w14:textFill>
            <w14:solidFill>
              <w14:schemeClr w14:val="tx1"/>
            </w14:solidFill>
          </w14:textFill>
        </w:rPr>
        <w:t>2</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.q</w:t>
      </w:r>
      <w:r>
        <w:rPr>
          <w:color w:val="000000" w:themeColor="text1"/>
          <w:vertAlign w:val="subscript"/>
          <w14:textFill>
            <w14:solidFill>
              <w14:schemeClr w14:val="tx1"/>
            </w14:solidFill>
          </w14:textFill>
        </w:rPr>
        <w:t>n</w:t>
      </w:r>
      <w:r>
        <w:rPr>
          <w:rFonts w:hint="eastAsia"/>
          <w:color w:val="000000" w:themeColor="text1"/>
          <w14:textFill>
            <w14:solidFill>
              <w14:schemeClr w14:val="tx1"/>
            </w14:solidFill>
          </w14:textFill>
        </w:rPr>
        <w:t>—每种危险物质的最大存在总量，</w:t>
      </w:r>
      <w:r>
        <w:rPr>
          <w:color w:val="000000" w:themeColor="text1"/>
          <w14:textFill>
            <w14:solidFill>
              <w14:schemeClr w14:val="tx1"/>
            </w14:solidFill>
          </w14:textFill>
        </w:rPr>
        <w:t>t</w:t>
      </w:r>
      <w:r>
        <w:rPr>
          <w:rFonts w:hint="eastAsia"/>
          <w:color w:val="000000" w:themeColor="text1"/>
          <w14:textFill>
            <w14:solidFill>
              <w14:schemeClr w14:val="tx1"/>
            </w14:solidFill>
          </w14:textFill>
        </w:rPr>
        <w:t>；</w:t>
      </w:r>
    </w:p>
    <w:p>
      <w:pPr>
        <w:tabs>
          <w:tab w:val="left" w:pos="7488"/>
        </w:tabs>
        <w:snapToGrid w:val="0"/>
        <w:spacing w:line="348" w:lineRule="auto"/>
        <w:ind w:firstLine="462" w:firstLineChars="200"/>
        <w:rPr>
          <w:color w:val="000000" w:themeColor="text1"/>
          <w14:textFill>
            <w14:solidFill>
              <w14:schemeClr w14:val="tx1"/>
            </w14:solidFill>
          </w14:textFill>
        </w:rPr>
      </w:pPr>
      <w:r>
        <w:rPr>
          <w:rFonts w:hint="eastAsia"/>
          <w:color w:val="000000" w:themeColor="text1"/>
          <w14:textFill>
            <w14:solidFill>
              <w14:schemeClr w14:val="tx1"/>
            </w14:solidFill>
          </w14:textFill>
        </w:rPr>
        <w:t xml:space="preserve">      </w:t>
      </w:r>
      <w:r>
        <w:rPr>
          <w:color w:val="000000" w:themeColor="text1"/>
          <w14:textFill>
            <w14:solidFill>
              <w14:schemeClr w14:val="tx1"/>
            </w14:solidFill>
          </w14:textFill>
        </w:rPr>
        <w:t>Q</w:t>
      </w:r>
      <w:r>
        <w:rPr>
          <w:color w:val="000000" w:themeColor="text1"/>
          <w:vertAlign w:val="subscript"/>
          <w14:textFill>
            <w14:solidFill>
              <w14:schemeClr w14:val="tx1"/>
            </w14:solidFill>
          </w14:textFill>
        </w:rPr>
        <w:t>1</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Q</w:t>
      </w:r>
      <w:r>
        <w:rPr>
          <w:color w:val="000000" w:themeColor="text1"/>
          <w:vertAlign w:val="subscript"/>
          <w14:textFill>
            <w14:solidFill>
              <w14:schemeClr w14:val="tx1"/>
            </w14:solidFill>
          </w14:textFill>
        </w:rPr>
        <w:t>2</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.Q</w:t>
      </w:r>
      <w:r>
        <w:rPr>
          <w:color w:val="000000" w:themeColor="text1"/>
          <w:vertAlign w:val="subscript"/>
          <w14:textFill>
            <w14:solidFill>
              <w14:schemeClr w14:val="tx1"/>
            </w14:solidFill>
          </w14:textFill>
        </w:rPr>
        <w:t>n</w:t>
      </w:r>
      <w:r>
        <w:rPr>
          <w:rFonts w:hint="eastAsia"/>
          <w:color w:val="000000" w:themeColor="text1"/>
          <w14:textFill>
            <w14:solidFill>
              <w14:schemeClr w14:val="tx1"/>
            </w14:solidFill>
          </w14:textFill>
        </w:rPr>
        <w:t>—每种危险物质的临界量，t；</w:t>
      </w:r>
    </w:p>
    <w:p>
      <w:pPr>
        <w:tabs>
          <w:tab w:val="left" w:pos="7488"/>
        </w:tabs>
        <w:snapToGrid w:val="0"/>
        <w:spacing w:line="348" w:lineRule="auto"/>
        <w:ind w:firstLine="462" w:firstLineChars="200"/>
        <w:rPr>
          <w:color w:val="000000" w:themeColor="text1"/>
          <w14:textFill>
            <w14:solidFill>
              <w14:schemeClr w14:val="tx1"/>
            </w14:solidFill>
          </w14:textFill>
        </w:rPr>
      </w:pPr>
      <w:r>
        <w:rPr>
          <w:rFonts w:hint="eastAsia"/>
          <w:color w:val="000000" w:themeColor="text1"/>
          <w14:textFill>
            <w14:solidFill>
              <w14:schemeClr w14:val="tx1"/>
            </w14:solidFill>
          </w14:textFill>
        </w:rPr>
        <w:t>当</w:t>
      </w:r>
      <w:r>
        <w:rPr>
          <w:color w:val="000000" w:themeColor="text1"/>
          <w14:textFill>
            <w14:solidFill>
              <w14:schemeClr w14:val="tx1"/>
            </w14:solidFill>
          </w14:textFill>
        </w:rPr>
        <w:t>Q＜1</w:t>
      </w:r>
      <w:r>
        <w:rPr>
          <w:rFonts w:hint="eastAsia"/>
          <w:color w:val="000000" w:themeColor="text1"/>
          <w14:textFill>
            <w14:solidFill>
              <w14:schemeClr w14:val="tx1"/>
            </w14:solidFill>
          </w14:textFill>
        </w:rPr>
        <w:t>时，该项目环境风险潜势为</w:t>
      </w:r>
      <w:r>
        <w:rPr>
          <w:color w:val="000000" w:themeColor="text1"/>
          <w14:textFill>
            <w14:solidFill>
              <w14:schemeClr w14:val="tx1"/>
            </w14:solidFill>
          </w14:textFill>
        </w:rPr>
        <w:t>Ⅰ</w:t>
      </w:r>
      <w:r>
        <w:rPr>
          <w:rFonts w:hint="eastAsia"/>
          <w:color w:val="000000" w:themeColor="text1"/>
          <w14:textFill>
            <w14:solidFill>
              <w14:schemeClr w14:val="tx1"/>
            </w14:solidFill>
          </w14:textFill>
        </w:rPr>
        <w:t>。当</w:t>
      </w:r>
      <w:r>
        <w:rPr>
          <w:color w:val="000000" w:themeColor="text1"/>
          <w14:textFill>
            <w14:solidFill>
              <w14:schemeClr w14:val="tx1"/>
            </w14:solidFill>
          </w14:textFill>
        </w:rPr>
        <w:t>Q≥1</w:t>
      </w:r>
      <w:r>
        <w:rPr>
          <w:rFonts w:hint="eastAsia"/>
          <w:color w:val="000000" w:themeColor="text1"/>
          <w14:textFill>
            <w14:solidFill>
              <w14:schemeClr w14:val="tx1"/>
            </w14:solidFill>
          </w14:textFill>
        </w:rPr>
        <w:t>时，将</w:t>
      </w:r>
      <w:r>
        <w:rPr>
          <w:color w:val="000000" w:themeColor="text1"/>
          <w14:textFill>
            <w14:solidFill>
              <w14:schemeClr w14:val="tx1"/>
            </w14:solidFill>
          </w14:textFill>
        </w:rPr>
        <w:t>Q</w:t>
      </w:r>
      <w:r>
        <w:rPr>
          <w:rFonts w:hint="eastAsia"/>
          <w:color w:val="000000" w:themeColor="text1"/>
          <w14:textFill>
            <w14:solidFill>
              <w14:schemeClr w14:val="tx1"/>
            </w14:solidFill>
          </w14:textFill>
        </w:rPr>
        <w:t>值划分为：</w:t>
      </w:r>
      <w:r>
        <w:rPr>
          <w:color w:val="000000" w:themeColor="text1"/>
          <w14:textFill>
            <w14:solidFill>
              <w14:schemeClr w14:val="tx1"/>
            </w14:solidFill>
          </w14:textFill>
        </w:rPr>
        <w:t>1≤Q＜10</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10≤Q＜100</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Q≥100</w:t>
      </w:r>
      <w:r>
        <w:rPr>
          <w:rFonts w:hint="eastAsia"/>
          <w:color w:val="000000" w:themeColor="text1"/>
          <w14:textFill>
            <w14:solidFill>
              <w14:schemeClr w14:val="tx1"/>
            </w14:solidFill>
          </w14:textFill>
        </w:rPr>
        <w:t>。</w:t>
      </w:r>
    </w:p>
    <w:p>
      <w:pPr>
        <w:tabs>
          <w:tab w:val="left" w:pos="7488"/>
        </w:tabs>
        <w:snapToGrid w:val="0"/>
        <w:spacing w:line="348" w:lineRule="auto"/>
        <w:ind w:firstLine="462" w:firstLineChars="200"/>
        <w:rPr>
          <w:color w:val="000000" w:themeColor="text1"/>
          <w14:textFill>
            <w14:solidFill>
              <w14:schemeClr w14:val="tx1"/>
            </w14:solidFill>
          </w14:textFill>
        </w:rPr>
      </w:pPr>
      <w:r>
        <w:rPr>
          <w:rFonts w:hint="eastAsia"/>
          <w:color w:val="000000" w:themeColor="text1"/>
          <w14:textFill>
            <w14:solidFill>
              <w14:schemeClr w14:val="tx1"/>
            </w14:solidFill>
          </w14:textFill>
        </w:rPr>
        <w:t>本项目Q=1，Q值具体见表1.2-10。</w:t>
      </w:r>
    </w:p>
    <w:p>
      <w:pPr>
        <w:pStyle w:val="384"/>
        <w:ind w:left="0" w:firstLine="0"/>
        <w:rPr>
          <w:color w:val="000000" w:themeColor="text1"/>
          <w14:textFill>
            <w14:solidFill>
              <w14:schemeClr w14:val="tx1"/>
            </w14:solidFill>
          </w14:textFill>
        </w:rPr>
      </w:pPr>
      <w:r>
        <w:rPr>
          <w:rFonts w:hint="eastAsia"/>
          <w:color w:val="000000" w:themeColor="text1"/>
          <w14:textFill>
            <w14:solidFill>
              <w14:schemeClr w14:val="tx1"/>
            </w14:solidFill>
          </w14:textFill>
        </w:rPr>
        <w:t>项目Q值确认表</w:t>
      </w:r>
    </w:p>
    <w:tbl>
      <w:tblPr>
        <w:tblStyle w:val="89"/>
        <w:tblW w:w="8528" w:type="dxa"/>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825"/>
        <w:gridCol w:w="1508"/>
        <w:gridCol w:w="2691"/>
        <w:gridCol w:w="1276"/>
        <w:gridCol w:w="2228"/>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c>
          <w:tcPr>
            <w:tcW w:w="825" w:type="dxa"/>
            <w:vAlign w:val="center"/>
          </w:tcPr>
          <w:p>
            <w:pPr>
              <w:pStyle w:val="2001"/>
            </w:pPr>
            <w:r>
              <w:rPr>
                <w:rFonts w:hint="eastAsia"/>
              </w:rPr>
              <w:t>序号</w:t>
            </w:r>
          </w:p>
        </w:tc>
        <w:tc>
          <w:tcPr>
            <w:tcW w:w="1508" w:type="dxa"/>
            <w:vAlign w:val="center"/>
          </w:tcPr>
          <w:p>
            <w:pPr>
              <w:pStyle w:val="2001"/>
            </w:pPr>
            <w:r>
              <w:rPr>
                <w:rFonts w:hint="eastAsia"/>
              </w:rPr>
              <w:t>危险物质名称</w:t>
            </w:r>
          </w:p>
        </w:tc>
        <w:tc>
          <w:tcPr>
            <w:tcW w:w="2691" w:type="dxa"/>
            <w:vAlign w:val="center"/>
          </w:tcPr>
          <w:p>
            <w:pPr>
              <w:pStyle w:val="2001"/>
            </w:pPr>
            <w:r>
              <w:rPr>
                <w:rFonts w:hint="eastAsia"/>
              </w:rPr>
              <w:t>最大储存量t</w:t>
            </w:r>
          </w:p>
        </w:tc>
        <w:tc>
          <w:tcPr>
            <w:tcW w:w="1276" w:type="dxa"/>
            <w:vAlign w:val="center"/>
          </w:tcPr>
          <w:p>
            <w:pPr>
              <w:pStyle w:val="2001"/>
            </w:pPr>
            <w:r>
              <w:rPr>
                <w:rFonts w:hint="eastAsia"/>
              </w:rPr>
              <w:t>临界量Qn/t</w:t>
            </w:r>
          </w:p>
        </w:tc>
        <w:tc>
          <w:tcPr>
            <w:tcW w:w="2228" w:type="dxa"/>
            <w:vAlign w:val="center"/>
          </w:tcPr>
          <w:p>
            <w:pPr>
              <w:pStyle w:val="2001"/>
            </w:pPr>
            <w:r>
              <w:rPr>
                <w:rFonts w:hint="eastAsia"/>
              </w:rPr>
              <w:t>该种危险物质Q值</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c>
          <w:tcPr>
            <w:tcW w:w="825" w:type="dxa"/>
            <w:vAlign w:val="center"/>
          </w:tcPr>
          <w:p>
            <w:pPr>
              <w:pStyle w:val="2001"/>
            </w:pPr>
            <w:r>
              <w:rPr>
                <w:rFonts w:hint="eastAsia"/>
              </w:rPr>
              <w:t>1</w:t>
            </w:r>
          </w:p>
        </w:tc>
        <w:tc>
          <w:tcPr>
            <w:tcW w:w="1508" w:type="dxa"/>
            <w:vAlign w:val="center"/>
          </w:tcPr>
          <w:p>
            <w:pPr>
              <w:pStyle w:val="2001"/>
            </w:pPr>
            <w:r>
              <w:rPr>
                <w:rFonts w:hint="eastAsia"/>
              </w:rPr>
              <w:t>轻质燃料油</w:t>
            </w:r>
          </w:p>
        </w:tc>
        <w:tc>
          <w:tcPr>
            <w:tcW w:w="2691" w:type="dxa"/>
            <w:vAlign w:val="center"/>
          </w:tcPr>
          <w:p>
            <w:pPr>
              <w:pStyle w:val="2001"/>
            </w:pPr>
            <w:r>
              <w:rPr>
                <w:rFonts w:hint="eastAsia"/>
              </w:rPr>
              <w:t>2500</w:t>
            </w:r>
          </w:p>
          <w:p>
            <w:pPr>
              <w:pStyle w:val="2001"/>
            </w:pPr>
            <w:r>
              <w:rPr>
                <w:rFonts w:hint="eastAsia"/>
              </w:rPr>
              <w:t>（20万吨级集装箱船的单舱泄漏量）</w:t>
            </w:r>
          </w:p>
        </w:tc>
        <w:tc>
          <w:tcPr>
            <w:tcW w:w="1276" w:type="dxa"/>
            <w:vAlign w:val="center"/>
          </w:tcPr>
          <w:p>
            <w:pPr>
              <w:pStyle w:val="2001"/>
            </w:pPr>
            <w:r>
              <w:rPr>
                <w:rFonts w:hint="eastAsia"/>
              </w:rPr>
              <w:t>2500</w:t>
            </w:r>
          </w:p>
        </w:tc>
        <w:tc>
          <w:tcPr>
            <w:tcW w:w="2228" w:type="dxa"/>
            <w:vAlign w:val="center"/>
          </w:tcPr>
          <w:p>
            <w:pPr>
              <w:pStyle w:val="2001"/>
            </w:pPr>
            <w:r>
              <w:t>1</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c>
          <w:tcPr>
            <w:tcW w:w="6300" w:type="dxa"/>
            <w:gridSpan w:val="4"/>
            <w:vAlign w:val="center"/>
          </w:tcPr>
          <w:p>
            <w:pPr>
              <w:pStyle w:val="2001"/>
            </w:pPr>
            <w:r>
              <w:rPr>
                <w:rFonts w:hint="eastAsia"/>
              </w:rPr>
              <w:t>项目Q值</w:t>
            </w:r>
          </w:p>
        </w:tc>
        <w:tc>
          <w:tcPr>
            <w:tcW w:w="2228" w:type="dxa"/>
            <w:vAlign w:val="center"/>
          </w:tcPr>
          <w:p>
            <w:pPr>
              <w:pStyle w:val="2001"/>
            </w:pPr>
            <w:r>
              <w:rPr>
                <w:rFonts w:hint="eastAsia"/>
              </w:rPr>
              <w:t>1</w:t>
            </w:r>
          </w:p>
        </w:tc>
      </w:tr>
    </w:tbl>
    <w:p>
      <w:pPr>
        <w:tabs>
          <w:tab w:val="left" w:pos="7488"/>
        </w:tabs>
        <w:snapToGrid w:val="0"/>
        <w:spacing w:line="348" w:lineRule="auto"/>
        <w:ind w:firstLine="462" w:firstLineChars="200"/>
        <w:rPr>
          <w:color w:val="000000" w:themeColor="text1"/>
          <w14:textFill>
            <w14:solidFill>
              <w14:schemeClr w14:val="tx1"/>
            </w14:solidFill>
          </w14:textFill>
        </w:rPr>
      </w:pPr>
      <w:r>
        <w:rPr>
          <w:rFonts w:hint="eastAsia"/>
          <w:color w:val="000000" w:themeColor="text1"/>
          <w14:textFill>
            <w14:solidFill>
              <w14:schemeClr w14:val="tx1"/>
            </w14:solidFill>
          </w14:textFill>
        </w:rPr>
        <w:t>2、行业及生产工艺（</w:t>
      </w:r>
      <w:r>
        <w:rPr>
          <w:color w:val="000000" w:themeColor="text1"/>
          <w14:textFill>
            <w14:solidFill>
              <w14:schemeClr w14:val="tx1"/>
            </w14:solidFill>
          </w14:textFill>
        </w:rPr>
        <w:t>M</w:t>
      </w:r>
      <w:r>
        <w:rPr>
          <w:rFonts w:hint="eastAsia"/>
          <w:color w:val="000000" w:themeColor="text1"/>
          <w14:textFill>
            <w14:solidFill>
              <w14:schemeClr w14:val="tx1"/>
            </w14:solidFill>
          </w14:textFill>
        </w:rPr>
        <w:t>）</w:t>
      </w:r>
    </w:p>
    <w:p>
      <w:pPr>
        <w:tabs>
          <w:tab w:val="left" w:pos="7488"/>
        </w:tabs>
        <w:snapToGrid w:val="0"/>
        <w:spacing w:line="348" w:lineRule="auto"/>
        <w:ind w:firstLine="462" w:firstLineChars="200"/>
        <w:rPr>
          <w:color w:val="000000" w:themeColor="text1"/>
          <w14:textFill>
            <w14:solidFill>
              <w14:schemeClr w14:val="tx1"/>
            </w14:solidFill>
          </w14:textFill>
        </w:rPr>
      </w:pPr>
      <w:r>
        <w:rPr>
          <w:rFonts w:hint="eastAsia"/>
          <w:color w:val="000000" w:themeColor="text1"/>
          <w14:textFill>
            <w14:solidFill>
              <w14:schemeClr w14:val="tx1"/>
            </w14:solidFill>
          </w14:textFill>
        </w:rPr>
        <w:t>根据</w:t>
      </w:r>
      <w:r>
        <w:rPr>
          <w:color w:val="000000" w:themeColor="text1"/>
          <w14:textFill>
            <w14:solidFill>
              <w14:schemeClr w14:val="tx1"/>
            </w14:solidFill>
          </w14:textFill>
        </w:rPr>
        <w:t>HJ169-2018</w:t>
      </w:r>
      <w:r>
        <w:rPr>
          <w:rFonts w:hint="eastAsia"/>
          <w:color w:val="000000" w:themeColor="text1"/>
          <w14:textFill>
            <w14:solidFill>
              <w14:schemeClr w14:val="tx1"/>
            </w14:solidFill>
          </w14:textFill>
        </w:rPr>
        <w:t>附录</w:t>
      </w:r>
      <w:r>
        <w:rPr>
          <w:color w:val="000000" w:themeColor="text1"/>
          <w14:textFill>
            <w14:solidFill>
              <w14:schemeClr w14:val="tx1"/>
            </w14:solidFill>
          </w14:textFill>
        </w:rPr>
        <w:t>C</w:t>
      </w:r>
      <w:r>
        <w:rPr>
          <w:rFonts w:hint="eastAsia"/>
          <w:color w:val="000000" w:themeColor="text1"/>
          <w14:textFill>
            <w14:solidFill>
              <w14:schemeClr w14:val="tx1"/>
            </w14:solidFill>
          </w14:textFill>
        </w:rPr>
        <w:t>，分析项目所属行业及生产工艺特点，按表</w:t>
      </w:r>
      <w:r>
        <w:rPr>
          <w:color w:val="000000" w:themeColor="text1"/>
          <w14:textFill>
            <w14:solidFill>
              <w14:schemeClr w14:val="tx1"/>
            </w14:solidFill>
          </w14:textFill>
        </w:rPr>
        <w:t>1.4-</w:t>
      </w:r>
      <w:r>
        <w:rPr>
          <w:rFonts w:hint="eastAsia"/>
          <w:color w:val="000000" w:themeColor="text1"/>
          <w14:textFill>
            <w14:solidFill>
              <w14:schemeClr w14:val="tx1"/>
            </w14:solidFill>
          </w14:textFill>
        </w:rPr>
        <w:t xml:space="preserve">9评估生产工艺情况。具有多套工艺单元的项目，对每套生产工艺进行分别评价求和。将 </w:t>
      </w:r>
      <w:r>
        <w:rPr>
          <w:color w:val="000000" w:themeColor="text1"/>
          <w14:textFill>
            <w14:solidFill>
              <w14:schemeClr w14:val="tx1"/>
            </w14:solidFill>
          </w14:textFill>
        </w:rPr>
        <w:t xml:space="preserve">M </w:t>
      </w:r>
      <w:r>
        <w:rPr>
          <w:rFonts w:hint="eastAsia"/>
          <w:color w:val="000000" w:themeColor="text1"/>
          <w14:textFill>
            <w14:solidFill>
              <w14:schemeClr w14:val="tx1"/>
            </w14:solidFill>
          </w14:textFill>
        </w:rPr>
        <w:t>划分为（</w:t>
      </w:r>
      <w:r>
        <w:rPr>
          <w:color w:val="000000" w:themeColor="text1"/>
          <w14:textFill>
            <w14:solidFill>
              <w14:schemeClr w14:val="tx1"/>
            </w14:solidFill>
          </w14:textFill>
        </w:rPr>
        <w:t>1</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M＞20</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2</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10＜M≤20</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3</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5＜M≤10</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4</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M=5</w:t>
      </w:r>
      <w:r>
        <w:rPr>
          <w:rFonts w:hint="eastAsia"/>
          <w:color w:val="000000" w:themeColor="text1"/>
          <w14:textFill>
            <w14:solidFill>
              <w14:schemeClr w14:val="tx1"/>
            </w14:solidFill>
          </w14:textFill>
        </w:rPr>
        <w:t xml:space="preserve">，分别以 </w:t>
      </w:r>
      <w:r>
        <w:rPr>
          <w:color w:val="000000" w:themeColor="text1"/>
          <w14:textFill>
            <w14:solidFill>
              <w14:schemeClr w14:val="tx1"/>
            </w14:solidFill>
          </w14:textFill>
        </w:rPr>
        <w:t>M</w:t>
      </w:r>
      <w:r>
        <w:rPr>
          <w:color w:val="000000" w:themeColor="text1"/>
          <w:vertAlign w:val="subscript"/>
          <w14:textFill>
            <w14:solidFill>
              <w14:schemeClr w14:val="tx1"/>
            </w14:solidFill>
          </w14:textFill>
        </w:rPr>
        <w:t>1</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M</w:t>
      </w:r>
      <w:r>
        <w:rPr>
          <w:color w:val="000000" w:themeColor="text1"/>
          <w:vertAlign w:val="subscript"/>
          <w14:textFill>
            <w14:solidFill>
              <w14:schemeClr w14:val="tx1"/>
            </w14:solidFill>
          </w14:textFill>
        </w:rPr>
        <w:t>2</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M</w:t>
      </w:r>
      <w:r>
        <w:rPr>
          <w:color w:val="000000" w:themeColor="text1"/>
          <w:vertAlign w:val="subscript"/>
          <w14:textFill>
            <w14:solidFill>
              <w14:schemeClr w14:val="tx1"/>
            </w14:solidFill>
          </w14:textFill>
        </w:rPr>
        <w:t>3</w:t>
      </w:r>
      <w:r>
        <w:rPr>
          <w:rFonts w:hint="eastAsia"/>
          <w:color w:val="000000" w:themeColor="text1"/>
          <w14:textFill>
            <w14:solidFill>
              <w14:schemeClr w14:val="tx1"/>
            </w14:solidFill>
          </w14:textFill>
        </w:rPr>
        <w:t>和</w:t>
      </w:r>
      <w:r>
        <w:rPr>
          <w:color w:val="000000" w:themeColor="text1"/>
          <w14:textFill>
            <w14:solidFill>
              <w14:schemeClr w14:val="tx1"/>
            </w14:solidFill>
          </w14:textFill>
        </w:rPr>
        <w:t>M</w:t>
      </w:r>
      <w:r>
        <w:rPr>
          <w:color w:val="000000" w:themeColor="text1"/>
          <w:vertAlign w:val="subscript"/>
          <w14:textFill>
            <w14:solidFill>
              <w14:schemeClr w14:val="tx1"/>
            </w14:solidFill>
          </w14:textFill>
        </w:rPr>
        <w:t>4</w:t>
      </w:r>
      <w:r>
        <w:rPr>
          <w:rFonts w:hint="eastAsia"/>
          <w:color w:val="000000" w:themeColor="text1"/>
          <w14:textFill>
            <w14:solidFill>
              <w14:schemeClr w14:val="tx1"/>
            </w14:solidFill>
          </w14:textFill>
        </w:rPr>
        <w:t>表示。</w:t>
      </w:r>
      <w:r>
        <w:rPr>
          <w:color w:val="000000" w:themeColor="text1"/>
          <w14:textFill>
            <w14:solidFill>
              <w14:schemeClr w14:val="tx1"/>
            </w14:solidFill>
          </w14:textFill>
        </w:rPr>
        <w:t>项目不属于涉及危险品的港口码头，项目行业及生产工艺（M）为“其他”，取</w:t>
      </w:r>
      <w:r>
        <w:rPr>
          <w:rFonts w:hint="eastAsia"/>
          <w:color w:val="000000" w:themeColor="text1"/>
          <w14:textFill>
            <w14:solidFill>
              <w14:schemeClr w14:val="tx1"/>
            </w14:solidFill>
          </w14:textFill>
        </w:rPr>
        <w:t>值</w:t>
      </w:r>
      <w:r>
        <w:rPr>
          <w:color w:val="000000" w:themeColor="text1"/>
          <w14:textFill>
            <w14:solidFill>
              <w14:schemeClr w14:val="tx1"/>
            </w14:solidFill>
          </w14:textFill>
        </w:rPr>
        <w:t>5，为M4。</w:t>
      </w:r>
    </w:p>
    <w:p>
      <w:pPr>
        <w:tabs>
          <w:tab w:val="left" w:pos="7488"/>
        </w:tabs>
        <w:snapToGrid w:val="0"/>
        <w:spacing w:line="348" w:lineRule="auto"/>
        <w:ind w:firstLine="462" w:firstLineChars="200"/>
        <w:rPr>
          <w:color w:val="000000" w:themeColor="text1"/>
          <w14:textFill>
            <w14:solidFill>
              <w14:schemeClr w14:val="tx1"/>
            </w14:solidFill>
          </w14:textFill>
        </w:rPr>
      </w:pPr>
      <w:r>
        <w:rPr>
          <w:rFonts w:hint="eastAsia"/>
          <w:color w:val="000000" w:themeColor="text1"/>
          <w14:textFill>
            <w14:solidFill>
              <w14:schemeClr w14:val="tx1"/>
            </w14:solidFill>
          </w14:textFill>
        </w:rPr>
        <w:t>3、危险物质及工艺系统危险性(</w:t>
      </w:r>
      <w:r>
        <w:rPr>
          <w:color w:val="000000" w:themeColor="text1"/>
          <w14:textFill>
            <w14:solidFill>
              <w14:schemeClr w14:val="tx1"/>
            </w14:solidFill>
          </w14:textFill>
        </w:rPr>
        <w:t>P</w:t>
      </w:r>
      <w:r>
        <w:rPr>
          <w:rFonts w:hint="eastAsia"/>
          <w:color w:val="000000" w:themeColor="text1"/>
          <w14:textFill>
            <w14:solidFill>
              <w14:schemeClr w14:val="tx1"/>
            </w14:solidFill>
          </w14:textFill>
        </w:rPr>
        <w:t>）分级</w:t>
      </w:r>
    </w:p>
    <w:p>
      <w:pPr>
        <w:tabs>
          <w:tab w:val="left" w:pos="7488"/>
        </w:tabs>
        <w:snapToGrid w:val="0"/>
        <w:spacing w:line="348" w:lineRule="auto"/>
        <w:ind w:firstLine="462" w:firstLineChars="200"/>
        <w:rPr>
          <w:color w:val="000000" w:themeColor="text1"/>
          <w:u w:val="single"/>
          <w14:textFill>
            <w14:solidFill>
              <w14:schemeClr w14:val="tx1"/>
            </w14:solidFill>
          </w14:textFill>
        </w:rPr>
      </w:pPr>
      <w:r>
        <w:rPr>
          <w:rFonts w:hint="eastAsia"/>
          <w:color w:val="000000" w:themeColor="text1"/>
          <w14:textFill>
            <w14:solidFill>
              <w14:schemeClr w14:val="tx1"/>
            </w14:solidFill>
          </w14:textFill>
        </w:rPr>
        <w:t>根据危险物质数量与临界量比值（</w:t>
      </w:r>
      <w:r>
        <w:rPr>
          <w:color w:val="000000" w:themeColor="text1"/>
          <w14:textFill>
            <w14:solidFill>
              <w14:schemeClr w14:val="tx1"/>
            </w14:solidFill>
          </w14:textFill>
        </w:rPr>
        <w:t>Q</w:t>
      </w:r>
      <w:r>
        <w:rPr>
          <w:rFonts w:hint="eastAsia"/>
          <w:color w:val="000000" w:themeColor="text1"/>
          <w14:textFill>
            <w14:solidFill>
              <w14:schemeClr w14:val="tx1"/>
            </w14:solidFill>
          </w14:textFill>
        </w:rPr>
        <w:t>）和行业及生产工艺（</w:t>
      </w:r>
      <w:r>
        <w:rPr>
          <w:color w:val="000000" w:themeColor="text1"/>
          <w14:textFill>
            <w14:solidFill>
              <w14:schemeClr w14:val="tx1"/>
            </w14:solidFill>
          </w14:textFill>
        </w:rPr>
        <w:t>M</w:t>
      </w:r>
      <w:r>
        <w:rPr>
          <w:rFonts w:hint="eastAsia"/>
          <w:color w:val="000000" w:themeColor="text1"/>
          <w14:textFill>
            <w14:solidFill>
              <w14:schemeClr w14:val="tx1"/>
            </w14:solidFill>
          </w14:textFill>
        </w:rPr>
        <w:t>），确定危险物质及工艺系统危险性等级（</w:t>
      </w:r>
      <w:r>
        <w:rPr>
          <w:color w:val="000000" w:themeColor="text1"/>
          <w14:textFill>
            <w14:solidFill>
              <w14:schemeClr w14:val="tx1"/>
            </w14:solidFill>
          </w14:textFill>
        </w:rPr>
        <w:t>P</w:t>
      </w:r>
      <w:r>
        <w:rPr>
          <w:rFonts w:hint="eastAsia"/>
          <w:color w:val="000000" w:themeColor="text1"/>
          <w14:textFill>
            <w14:solidFill>
              <w14:schemeClr w14:val="tx1"/>
            </w14:solidFill>
          </w14:textFill>
        </w:rPr>
        <w:t xml:space="preserve">），分别以 </w:t>
      </w:r>
      <w:r>
        <w:rPr>
          <w:color w:val="000000" w:themeColor="text1"/>
          <w14:textFill>
            <w14:solidFill>
              <w14:schemeClr w14:val="tx1"/>
            </w14:solidFill>
          </w14:textFill>
        </w:rPr>
        <w:t>P1</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P2</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P3</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P4</w:t>
      </w:r>
      <w:r>
        <w:rPr>
          <w:rFonts w:hint="eastAsia"/>
          <w:color w:val="000000" w:themeColor="text1"/>
          <w14:textFill>
            <w14:solidFill>
              <w14:schemeClr w14:val="tx1"/>
            </w14:solidFill>
          </w14:textFill>
        </w:rPr>
        <w:t>表示，等级判断见表</w:t>
      </w:r>
      <w:r>
        <w:rPr>
          <w:color w:val="000000" w:themeColor="text1"/>
          <w14:textFill>
            <w14:solidFill>
              <w14:schemeClr w14:val="tx1"/>
            </w14:solidFill>
          </w14:textFill>
        </w:rPr>
        <w:t>1.</w:t>
      </w:r>
      <w:r>
        <w:rPr>
          <w:rFonts w:hint="eastAsia"/>
          <w:color w:val="000000" w:themeColor="text1"/>
          <w14:textFill>
            <w14:solidFill>
              <w14:schemeClr w14:val="tx1"/>
            </w14:solidFill>
          </w14:textFill>
        </w:rPr>
        <w:t>2</w:t>
      </w:r>
      <w:r>
        <w:rPr>
          <w:color w:val="000000" w:themeColor="text1"/>
          <w14:textFill>
            <w14:solidFill>
              <w14:schemeClr w14:val="tx1"/>
            </w14:solidFill>
          </w14:textFill>
        </w:rPr>
        <w:t>-1</w:t>
      </w:r>
      <w:r>
        <w:rPr>
          <w:rFonts w:hint="eastAsia"/>
          <w:color w:val="000000" w:themeColor="text1"/>
          <w14:textFill>
            <w14:solidFill>
              <w14:schemeClr w14:val="tx1"/>
            </w14:solidFill>
          </w14:textFill>
        </w:rPr>
        <w:t>1。</w:t>
      </w:r>
    </w:p>
    <w:p>
      <w:pPr>
        <w:pStyle w:val="384"/>
        <w:ind w:left="0" w:firstLine="0"/>
        <w:rPr>
          <w:color w:val="000000" w:themeColor="text1"/>
          <w14:textFill>
            <w14:solidFill>
              <w14:schemeClr w14:val="tx1"/>
            </w14:solidFill>
          </w14:textFill>
        </w:rPr>
      </w:pPr>
      <w:r>
        <w:rPr>
          <w:rFonts w:hint="eastAsia"/>
          <w:color w:val="000000" w:themeColor="text1"/>
          <w14:textFill>
            <w14:solidFill>
              <w14:schemeClr w14:val="tx1"/>
            </w14:solidFill>
          </w14:textFill>
        </w:rPr>
        <w:t>危险物质及工艺系统危险性等级判断（P）</w:t>
      </w:r>
    </w:p>
    <w:tbl>
      <w:tblPr>
        <w:tblStyle w:val="88"/>
        <w:tblW w:w="8533" w:type="dxa"/>
        <w:jc w:val="center"/>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2342"/>
        <w:gridCol w:w="1071"/>
        <w:gridCol w:w="1707"/>
        <w:gridCol w:w="1707"/>
        <w:gridCol w:w="1706"/>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281" w:hRule="atLeast"/>
          <w:jc w:val="center"/>
        </w:trPr>
        <w:tc>
          <w:tcPr>
            <w:tcW w:w="2342" w:type="dxa"/>
            <w:vMerge w:val="restart"/>
            <w:vAlign w:val="center"/>
          </w:tcPr>
          <w:p>
            <w:pPr>
              <w:snapToGrid w:val="0"/>
              <w:spacing w:line="280" w:lineRule="exact"/>
              <w:jc w:val="center"/>
              <w:rPr>
                <w:color w:val="000000" w:themeColor="text1"/>
                <w:sz w:val="21"/>
                <w:szCs w:val="21"/>
                <w14:textFill>
                  <w14:solidFill>
                    <w14:schemeClr w14:val="tx1"/>
                  </w14:solidFill>
                </w14:textFill>
              </w:rPr>
            </w:pPr>
            <w:r>
              <w:rPr>
                <w:rFonts w:hint="eastAsia"/>
                <w:b/>
                <w:bCs/>
                <w:color w:val="000000" w:themeColor="text1"/>
                <w:sz w:val="21"/>
                <w:szCs w:val="21"/>
                <w14:textFill>
                  <w14:solidFill>
                    <w14:schemeClr w14:val="tx1"/>
                  </w14:solidFill>
                </w14:textFill>
              </w:rPr>
              <w:t>危险物质数量与临界量比值（</w:t>
            </w:r>
            <w:r>
              <w:rPr>
                <w:b/>
                <w:bCs/>
                <w:color w:val="000000" w:themeColor="text1"/>
                <w:sz w:val="21"/>
                <w:szCs w:val="21"/>
                <w14:textFill>
                  <w14:solidFill>
                    <w14:schemeClr w14:val="tx1"/>
                  </w14:solidFill>
                </w14:textFill>
              </w:rPr>
              <w:t>Q</w:t>
            </w:r>
            <w:r>
              <w:rPr>
                <w:rFonts w:hint="eastAsia"/>
                <w:b/>
                <w:bCs/>
                <w:color w:val="000000" w:themeColor="text1"/>
                <w:sz w:val="21"/>
                <w:szCs w:val="21"/>
                <w14:textFill>
                  <w14:solidFill>
                    <w14:schemeClr w14:val="tx1"/>
                  </w14:solidFill>
                </w14:textFill>
              </w:rPr>
              <w:t>）</w:t>
            </w:r>
          </w:p>
        </w:tc>
        <w:tc>
          <w:tcPr>
            <w:tcW w:w="6191" w:type="dxa"/>
            <w:gridSpan w:val="4"/>
            <w:vAlign w:val="center"/>
          </w:tcPr>
          <w:p>
            <w:pPr>
              <w:snapToGrid w:val="0"/>
              <w:spacing w:line="280" w:lineRule="exact"/>
              <w:jc w:val="center"/>
              <w:rPr>
                <w:color w:val="000000" w:themeColor="text1"/>
                <w:sz w:val="21"/>
                <w:szCs w:val="21"/>
                <w14:textFill>
                  <w14:solidFill>
                    <w14:schemeClr w14:val="tx1"/>
                  </w14:solidFill>
                </w14:textFill>
              </w:rPr>
            </w:pPr>
            <w:r>
              <w:rPr>
                <w:rFonts w:hint="eastAsia"/>
                <w:b/>
                <w:bCs/>
                <w:color w:val="000000" w:themeColor="text1"/>
                <w:sz w:val="21"/>
                <w:szCs w:val="21"/>
                <w14:textFill>
                  <w14:solidFill>
                    <w14:schemeClr w14:val="tx1"/>
                  </w14:solidFill>
                </w14:textFill>
              </w:rPr>
              <w:t>行业及生产工艺（</w:t>
            </w:r>
            <w:r>
              <w:rPr>
                <w:b/>
                <w:bCs/>
                <w:color w:val="000000" w:themeColor="text1"/>
                <w:sz w:val="21"/>
                <w:szCs w:val="21"/>
                <w14:textFill>
                  <w14:solidFill>
                    <w14:schemeClr w14:val="tx1"/>
                  </w14:solidFill>
                </w14:textFill>
              </w:rPr>
              <w:t>M</w:t>
            </w:r>
            <w:r>
              <w:rPr>
                <w:rFonts w:hint="eastAsia"/>
                <w:b/>
                <w:bCs/>
                <w:color w:val="000000" w:themeColor="text1"/>
                <w:sz w:val="21"/>
                <w:szCs w:val="21"/>
                <w14:textFill>
                  <w14:solidFill>
                    <w14:schemeClr w14:val="tx1"/>
                  </w14:solidFill>
                </w14:textFill>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323" w:hRule="atLeast"/>
          <w:jc w:val="center"/>
        </w:trPr>
        <w:tc>
          <w:tcPr>
            <w:tcW w:w="2342" w:type="dxa"/>
            <w:vMerge w:val="continue"/>
            <w:shd w:val="clear" w:color="auto" w:fill="FFFFFF" w:themeFill="background1"/>
            <w:vAlign w:val="center"/>
          </w:tcPr>
          <w:p>
            <w:pPr>
              <w:snapToGrid w:val="0"/>
              <w:spacing w:line="280" w:lineRule="exact"/>
              <w:jc w:val="center"/>
              <w:rPr>
                <w:color w:val="000000" w:themeColor="text1"/>
                <w:sz w:val="21"/>
                <w:szCs w:val="21"/>
                <w14:textFill>
                  <w14:solidFill>
                    <w14:schemeClr w14:val="tx1"/>
                  </w14:solidFill>
                </w14:textFill>
              </w:rPr>
            </w:pPr>
          </w:p>
        </w:tc>
        <w:tc>
          <w:tcPr>
            <w:tcW w:w="1071" w:type="dxa"/>
            <w:shd w:val="clear" w:color="auto" w:fill="FFFFFF" w:themeFill="background1"/>
            <w:vAlign w:val="center"/>
          </w:tcPr>
          <w:p>
            <w:pPr>
              <w:snapToGrid w:val="0"/>
              <w:spacing w:line="280" w:lineRule="exact"/>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M1</w:t>
            </w:r>
          </w:p>
        </w:tc>
        <w:tc>
          <w:tcPr>
            <w:tcW w:w="1707" w:type="dxa"/>
            <w:shd w:val="clear" w:color="auto" w:fill="FFFFFF" w:themeFill="background1"/>
            <w:vAlign w:val="center"/>
          </w:tcPr>
          <w:p>
            <w:pPr>
              <w:snapToGrid w:val="0"/>
              <w:spacing w:line="280" w:lineRule="exact"/>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M2</w:t>
            </w:r>
          </w:p>
        </w:tc>
        <w:tc>
          <w:tcPr>
            <w:tcW w:w="1707" w:type="dxa"/>
            <w:shd w:val="clear" w:color="auto" w:fill="FFFFFF" w:themeFill="background1"/>
            <w:vAlign w:val="center"/>
          </w:tcPr>
          <w:p>
            <w:pPr>
              <w:snapToGrid w:val="0"/>
              <w:spacing w:line="280" w:lineRule="exact"/>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M3</w:t>
            </w:r>
          </w:p>
        </w:tc>
        <w:tc>
          <w:tcPr>
            <w:tcW w:w="1706" w:type="dxa"/>
            <w:shd w:val="clear" w:color="auto" w:fill="E7E6E6" w:themeFill="background2"/>
            <w:vAlign w:val="center"/>
          </w:tcPr>
          <w:p>
            <w:pPr>
              <w:snapToGrid w:val="0"/>
              <w:spacing w:line="280" w:lineRule="exact"/>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M4</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342" w:type="dxa"/>
            <w:shd w:val="clear" w:color="auto" w:fill="FFFFFF" w:themeFill="background1"/>
            <w:vAlign w:val="center"/>
          </w:tcPr>
          <w:p>
            <w:pPr>
              <w:snapToGrid w:val="0"/>
              <w:spacing w:line="280" w:lineRule="exact"/>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Q≥100</w:t>
            </w:r>
          </w:p>
        </w:tc>
        <w:tc>
          <w:tcPr>
            <w:tcW w:w="1071" w:type="dxa"/>
            <w:shd w:val="clear" w:color="auto" w:fill="FFFFFF" w:themeFill="background1"/>
            <w:vAlign w:val="center"/>
          </w:tcPr>
          <w:p>
            <w:pPr>
              <w:snapToGrid w:val="0"/>
              <w:spacing w:line="280" w:lineRule="exact"/>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P1</w:t>
            </w:r>
          </w:p>
        </w:tc>
        <w:tc>
          <w:tcPr>
            <w:tcW w:w="1707" w:type="dxa"/>
            <w:shd w:val="clear" w:color="auto" w:fill="FFFFFF" w:themeFill="background1"/>
            <w:vAlign w:val="center"/>
          </w:tcPr>
          <w:p>
            <w:pPr>
              <w:snapToGrid w:val="0"/>
              <w:spacing w:line="280" w:lineRule="exact"/>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P1</w:t>
            </w:r>
          </w:p>
        </w:tc>
        <w:tc>
          <w:tcPr>
            <w:tcW w:w="1707" w:type="dxa"/>
            <w:shd w:val="clear" w:color="auto" w:fill="FFFFFF" w:themeFill="background1"/>
            <w:vAlign w:val="center"/>
          </w:tcPr>
          <w:p>
            <w:pPr>
              <w:snapToGrid w:val="0"/>
              <w:spacing w:line="280" w:lineRule="exact"/>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P2</w:t>
            </w:r>
          </w:p>
        </w:tc>
        <w:tc>
          <w:tcPr>
            <w:tcW w:w="1706" w:type="dxa"/>
            <w:vAlign w:val="center"/>
          </w:tcPr>
          <w:p>
            <w:pPr>
              <w:snapToGrid w:val="0"/>
              <w:spacing w:line="280" w:lineRule="exact"/>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P3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342" w:type="dxa"/>
            <w:vAlign w:val="center"/>
          </w:tcPr>
          <w:p>
            <w:pPr>
              <w:snapToGrid w:val="0"/>
              <w:spacing w:line="280" w:lineRule="exact"/>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10≤Q＜100</w:t>
            </w:r>
          </w:p>
        </w:tc>
        <w:tc>
          <w:tcPr>
            <w:tcW w:w="1071" w:type="dxa"/>
            <w:vAlign w:val="center"/>
          </w:tcPr>
          <w:p>
            <w:pPr>
              <w:snapToGrid w:val="0"/>
              <w:spacing w:line="280" w:lineRule="exact"/>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P1</w:t>
            </w:r>
          </w:p>
        </w:tc>
        <w:tc>
          <w:tcPr>
            <w:tcW w:w="1707" w:type="dxa"/>
            <w:vAlign w:val="center"/>
          </w:tcPr>
          <w:p>
            <w:pPr>
              <w:snapToGrid w:val="0"/>
              <w:spacing w:line="280" w:lineRule="exact"/>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P2</w:t>
            </w:r>
          </w:p>
        </w:tc>
        <w:tc>
          <w:tcPr>
            <w:tcW w:w="1707" w:type="dxa"/>
            <w:vAlign w:val="center"/>
          </w:tcPr>
          <w:p>
            <w:pPr>
              <w:snapToGrid w:val="0"/>
              <w:spacing w:line="280" w:lineRule="exact"/>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P3</w:t>
            </w:r>
          </w:p>
        </w:tc>
        <w:tc>
          <w:tcPr>
            <w:tcW w:w="1706" w:type="dxa"/>
            <w:vAlign w:val="center"/>
          </w:tcPr>
          <w:p>
            <w:pPr>
              <w:snapToGrid w:val="0"/>
              <w:spacing w:line="280" w:lineRule="exact"/>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P4</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342" w:type="dxa"/>
            <w:shd w:val="clear" w:color="auto" w:fill="E7E6E6" w:themeFill="background2"/>
            <w:vAlign w:val="center"/>
          </w:tcPr>
          <w:p>
            <w:pPr>
              <w:snapToGrid w:val="0"/>
              <w:spacing w:line="280" w:lineRule="exact"/>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1≤Q＜10</w:t>
            </w:r>
          </w:p>
        </w:tc>
        <w:tc>
          <w:tcPr>
            <w:tcW w:w="1071" w:type="dxa"/>
            <w:vAlign w:val="center"/>
          </w:tcPr>
          <w:p>
            <w:pPr>
              <w:snapToGrid w:val="0"/>
              <w:spacing w:line="280" w:lineRule="exact"/>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P2</w:t>
            </w:r>
          </w:p>
        </w:tc>
        <w:tc>
          <w:tcPr>
            <w:tcW w:w="1707" w:type="dxa"/>
            <w:vAlign w:val="center"/>
          </w:tcPr>
          <w:p>
            <w:pPr>
              <w:snapToGrid w:val="0"/>
              <w:spacing w:line="280" w:lineRule="exact"/>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P3</w:t>
            </w:r>
          </w:p>
        </w:tc>
        <w:tc>
          <w:tcPr>
            <w:tcW w:w="1707" w:type="dxa"/>
            <w:vAlign w:val="center"/>
          </w:tcPr>
          <w:p>
            <w:pPr>
              <w:snapToGrid w:val="0"/>
              <w:spacing w:line="280" w:lineRule="exact"/>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P4</w:t>
            </w:r>
          </w:p>
        </w:tc>
        <w:tc>
          <w:tcPr>
            <w:tcW w:w="1706" w:type="dxa"/>
            <w:shd w:val="clear" w:color="auto" w:fill="E7E6E6" w:themeFill="background2"/>
            <w:vAlign w:val="center"/>
          </w:tcPr>
          <w:p>
            <w:pPr>
              <w:snapToGrid w:val="0"/>
              <w:spacing w:line="280" w:lineRule="exact"/>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P4</w:t>
            </w:r>
          </w:p>
        </w:tc>
      </w:tr>
    </w:tbl>
    <w:p>
      <w:pPr>
        <w:tabs>
          <w:tab w:val="left" w:pos="7488"/>
        </w:tabs>
        <w:snapToGrid w:val="0"/>
        <w:spacing w:line="348" w:lineRule="auto"/>
        <w:ind w:firstLine="462" w:firstLineChars="200"/>
        <w:rPr>
          <w:color w:val="000000" w:themeColor="text1"/>
          <w14:textFill>
            <w14:solidFill>
              <w14:schemeClr w14:val="tx1"/>
            </w14:solidFill>
          </w14:textFill>
        </w:rPr>
      </w:pPr>
      <w:r>
        <w:rPr>
          <w:rFonts w:hint="eastAsia"/>
          <w:color w:val="000000" w:themeColor="text1"/>
          <w14:textFill>
            <w14:solidFill>
              <w14:schemeClr w14:val="tx1"/>
            </w14:solidFill>
          </w14:textFill>
        </w:rPr>
        <w:t>本项目危险物质数量与临界量比值（</w:t>
      </w:r>
      <w:r>
        <w:rPr>
          <w:color w:val="000000" w:themeColor="text1"/>
          <w14:textFill>
            <w14:solidFill>
              <w14:schemeClr w14:val="tx1"/>
            </w14:solidFill>
          </w14:textFill>
        </w:rPr>
        <w:t>Q</w:t>
      </w:r>
      <w:r>
        <w:rPr>
          <w:rFonts w:hint="eastAsia"/>
          <w:color w:val="000000" w:themeColor="text1"/>
          <w14:textFill>
            <w14:solidFill>
              <w14:schemeClr w14:val="tx1"/>
            </w14:solidFill>
          </w14:textFill>
        </w:rPr>
        <w:t>）为</w:t>
      </w:r>
      <w:r>
        <w:rPr>
          <w:color w:val="000000" w:themeColor="text1"/>
          <w14:textFill>
            <w14:solidFill>
              <w14:schemeClr w14:val="tx1"/>
            </w14:solidFill>
          </w14:textFill>
        </w:rPr>
        <w:t>Q</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1</w:t>
      </w:r>
      <w:r>
        <w:rPr>
          <w:rFonts w:hint="eastAsia"/>
          <w:color w:val="000000" w:themeColor="text1"/>
          <w14:textFill>
            <w14:solidFill>
              <w14:schemeClr w14:val="tx1"/>
            </w14:solidFill>
          </w14:textFill>
        </w:rPr>
        <w:t>；行业及生产工艺（</w:t>
      </w:r>
      <w:r>
        <w:rPr>
          <w:color w:val="000000" w:themeColor="text1"/>
          <w14:textFill>
            <w14:solidFill>
              <w14:schemeClr w14:val="tx1"/>
            </w14:solidFill>
          </w14:textFill>
        </w:rPr>
        <w:t>M</w:t>
      </w:r>
      <w:r>
        <w:rPr>
          <w:rFonts w:hint="eastAsia"/>
          <w:color w:val="000000" w:themeColor="text1"/>
          <w14:textFill>
            <w14:solidFill>
              <w14:schemeClr w14:val="tx1"/>
            </w14:solidFill>
          </w14:textFill>
        </w:rPr>
        <w:t>）为</w:t>
      </w:r>
      <w:r>
        <w:rPr>
          <w:color w:val="000000" w:themeColor="text1"/>
          <w14:textFill>
            <w14:solidFill>
              <w14:schemeClr w14:val="tx1"/>
            </w14:solidFill>
          </w14:textFill>
        </w:rPr>
        <w:t>M</w:t>
      </w:r>
      <w:r>
        <w:rPr>
          <w:rFonts w:hint="eastAsia"/>
          <w:color w:val="000000" w:themeColor="text1"/>
          <w14:textFill>
            <w14:solidFill>
              <w14:schemeClr w14:val="tx1"/>
            </w14:solidFill>
          </w14:textFill>
        </w:rPr>
        <w:t>4，故危险物质及工艺系统危险性等级为</w:t>
      </w:r>
      <w:r>
        <w:rPr>
          <w:color w:val="000000" w:themeColor="text1"/>
          <w14:textFill>
            <w14:solidFill>
              <w14:schemeClr w14:val="tx1"/>
            </w14:solidFill>
          </w14:textFill>
        </w:rPr>
        <w:t>P</w:t>
      </w:r>
      <w:r>
        <w:rPr>
          <w:rFonts w:hint="eastAsia"/>
          <w:color w:val="000000" w:themeColor="text1"/>
          <w14:textFill>
            <w14:solidFill>
              <w14:schemeClr w14:val="tx1"/>
            </w14:solidFill>
          </w14:textFill>
        </w:rPr>
        <w:t>4。</w:t>
      </w:r>
    </w:p>
    <w:p>
      <w:pPr>
        <w:tabs>
          <w:tab w:val="left" w:pos="7488"/>
        </w:tabs>
        <w:snapToGrid w:val="0"/>
        <w:spacing w:line="348" w:lineRule="auto"/>
        <w:ind w:left="465"/>
        <w:outlineLvl w:val="4"/>
        <w:rPr>
          <w:b/>
          <w:bCs/>
          <w:color w:val="000000" w:themeColor="text1"/>
          <w14:textFill>
            <w14:solidFill>
              <w14:schemeClr w14:val="tx1"/>
            </w14:solidFill>
          </w14:textFill>
        </w:rPr>
      </w:pPr>
      <w:r>
        <w:rPr>
          <w:rFonts w:hint="eastAsia"/>
          <w:b/>
          <w:bCs/>
          <w:color w:val="000000" w:themeColor="text1"/>
          <w14:textFill>
            <w14:solidFill>
              <w14:schemeClr w14:val="tx1"/>
            </w14:solidFill>
          </w14:textFill>
        </w:rPr>
        <w:t>二、E的分级确定</w:t>
      </w:r>
    </w:p>
    <w:p>
      <w:pPr>
        <w:tabs>
          <w:tab w:val="left" w:pos="7488"/>
        </w:tabs>
        <w:snapToGrid w:val="0"/>
        <w:spacing w:line="348" w:lineRule="auto"/>
        <w:ind w:firstLine="462" w:firstLineChars="200"/>
        <w:rPr>
          <w:color w:val="000000" w:themeColor="text1"/>
          <w14:textFill>
            <w14:solidFill>
              <w14:schemeClr w14:val="tx1"/>
            </w14:solidFill>
          </w14:textFill>
        </w:rPr>
      </w:pPr>
      <w:r>
        <w:rPr>
          <w:rFonts w:hint="eastAsia"/>
          <w:color w:val="000000" w:themeColor="text1"/>
          <w14:textFill>
            <w14:solidFill>
              <w14:schemeClr w14:val="tx1"/>
            </w14:solidFill>
          </w14:textFill>
        </w:rPr>
        <w:t>1、大气环境</w:t>
      </w:r>
    </w:p>
    <w:p>
      <w:pPr>
        <w:tabs>
          <w:tab w:val="left" w:pos="7488"/>
        </w:tabs>
        <w:snapToGrid w:val="0"/>
        <w:spacing w:line="348" w:lineRule="auto"/>
        <w:ind w:firstLine="462" w:firstLineChars="200"/>
        <w:rPr>
          <w:color w:val="000000" w:themeColor="text1"/>
          <w14:textFill>
            <w14:solidFill>
              <w14:schemeClr w14:val="tx1"/>
            </w14:solidFill>
          </w14:textFill>
        </w:rPr>
      </w:pPr>
      <w:r>
        <w:rPr>
          <w:rFonts w:hint="eastAsia"/>
          <w:color w:val="000000" w:themeColor="text1"/>
          <w14:textFill>
            <w14:solidFill>
              <w14:schemeClr w14:val="tx1"/>
            </w14:solidFill>
          </w14:textFill>
        </w:rPr>
        <w:t>依据环境敏感目标环境敏感性及人口密度划分环境风险受体的敏感性，共分为三种类型，</w:t>
      </w:r>
      <w:r>
        <w:rPr>
          <w:color w:val="000000" w:themeColor="text1"/>
          <w14:textFill>
            <w14:solidFill>
              <w14:schemeClr w14:val="tx1"/>
            </w14:solidFill>
          </w14:textFill>
        </w:rPr>
        <w:t>E1</w:t>
      </w:r>
      <w:r>
        <w:rPr>
          <w:rFonts w:hint="eastAsia"/>
          <w:color w:val="000000" w:themeColor="text1"/>
          <w14:textFill>
            <w14:solidFill>
              <w14:schemeClr w14:val="tx1"/>
            </w14:solidFill>
          </w14:textFill>
        </w:rPr>
        <w:t>为环境高度敏感区，</w:t>
      </w:r>
      <w:r>
        <w:rPr>
          <w:color w:val="000000" w:themeColor="text1"/>
          <w14:textFill>
            <w14:solidFill>
              <w14:schemeClr w14:val="tx1"/>
            </w14:solidFill>
          </w14:textFill>
        </w:rPr>
        <w:t>E2</w:t>
      </w:r>
      <w:r>
        <w:rPr>
          <w:rFonts w:hint="eastAsia"/>
          <w:color w:val="000000" w:themeColor="text1"/>
          <w14:textFill>
            <w14:solidFill>
              <w14:schemeClr w14:val="tx1"/>
            </w14:solidFill>
          </w14:textFill>
        </w:rPr>
        <w:t>为环境中度敏感区，</w:t>
      </w:r>
      <w:r>
        <w:rPr>
          <w:color w:val="000000" w:themeColor="text1"/>
          <w14:textFill>
            <w14:solidFill>
              <w14:schemeClr w14:val="tx1"/>
            </w14:solidFill>
          </w14:textFill>
        </w:rPr>
        <w:t>E3</w:t>
      </w:r>
      <w:r>
        <w:rPr>
          <w:rFonts w:hint="eastAsia"/>
          <w:color w:val="000000" w:themeColor="text1"/>
          <w14:textFill>
            <w14:solidFill>
              <w14:schemeClr w14:val="tx1"/>
            </w14:solidFill>
          </w14:textFill>
        </w:rPr>
        <w:t>为环境低度敏感区，分级原则见表</w:t>
      </w:r>
      <w:r>
        <w:rPr>
          <w:color w:val="000000" w:themeColor="text1"/>
          <w14:textFill>
            <w14:solidFill>
              <w14:schemeClr w14:val="tx1"/>
            </w14:solidFill>
          </w14:textFill>
        </w:rPr>
        <w:t>1.</w:t>
      </w:r>
      <w:r>
        <w:rPr>
          <w:rFonts w:hint="eastAsia"/>
          <w:color w:val="000000" w:themeColor="text1"/>
          <w14:textFill>
            <w14:solidFill>
              <w14:schemeClr w14:val="tx1"/>
            </w14:solidFill>
          </w14:textFill>
        </w:rPr>
        <w:t>2</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12。</w:t>
      </w:r>
    </w:p>
    <w:p>
      <w:pPr>
        <w:pStyle w:val="384"/>
        <w:ind w:left="0" w:firstLine="0"/>
        <w:rPr>
          <w:color w:val="000000" w:themeColor="text1"/>
          <w14:textFill>
            <w14:solidFill>
              <w14:schemeClr w14:val="tx1"/>
            </w14:solidFill>
          </w14:textFill>
        </w:rPr>
      </w:pPr>
      <w:r>
        <w:rPr>
          <w:rFonts w:hint="eastAsia"/>
          <w:color w:val="000000" w:themeColor="text1"/>
          <w14:textFill>
            <w14:solidFill>
              <w14:schemeClr w14:val="tx1"/>
            </w14:solidFill>
          </w14:textFill>
        </w:rPr>
        <w:t>大气环境敏感程度分级</w:t>
      </w:r>
    </w:p>
    <w:tbl>
      <w:tblPr>
        <w:tblStyle w:val="88"/>
        <w:tblW w:w="8533" w:type="dxa"/>
        <w:jc w:val="center"/>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737"/>
        <w:gridCol w:w="7796"/>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blHeader/>
          <w:jc w:val="center"/>
        </w:trPr>
        <w:tc>
          <w:tcPr>
            <w:tcW w:w="737" w:type="dxa"/>
            <w:vAlign w:val="center"/>
          </w:tcPr>
          <w:p>
            <w:pPr>
              <w:snapToGrid w:val="0"/>
              <w:spacing w:line="280" w:lineRule="exact"/>
              <w:jc w:val="center"/>
              <w:rPr>
                <w:b/>
                <w:bCs/>
                <w:color w:val="000000" w:themeColor="text1"/>
                <w:sz w:val="21"/>
                <w:szCs w:val="21"/>
                <w14:textFill>
                  <w14:solidFill>
                    <w14:schemeClr w14:val="tx1"/>
                  </w14:solidFill>
                </w14:textFill>
              </w:rPr>
            </w:pPr>
            <w:r>
              <w:rPr>
                <w:rFonts w:hint="eastAsia"/>
                <w:b/>
                <w:bCs/>
                <w:color w:val="000000" w:themeColor="text1"/>
                <w:sz w:val="21"/>
                <w:szCs w:val="21"/>
                <w14:textFill>
                  <w14:solidFill>
                    <w14:schemeClr w14:val="tx1"/>
                  </w14:solidFill>
                </w14:textFill>
              </w:rPr>
              <w:t>分级</w:t>
            </w:r>
          </w:p>
        </w:tc>
        <w:tc>
          <w:tcPr>
            <w:tcW w:w="7796" w:type="dxa"/>
            <w:vAlign w:val="center"/>
          </w:tcPr>
          <w:p>
            <w:pPr>
              <w:snapToGrid w:val="0"/>
              <w:spacing w:line="280" w:lineRule="exact"/>
              <w:jc w:val="center"/>
              <w:rPr>
                <w:b/>
                <w:bCs/>
                <w:color w:val="000000" w:themeColor="text1"/>
                <w:sz w:val="21"/>
                <w:szCs w:val="21"/>
                <w14:textFill>
                  <w14:solidFill>
                    <w14:schemeClr w14:val="tx1"/>
                  </w14:solidFill>
                </w14:textFill>
              </w:rPr>
            </w:pPr>
            <w:r>
              <w:rPr>
                <w:rFonts w:hint="eastAsia"/>
                <w:b/>
                <w:bCs/>
                <w:color w:val="000000" w:themeColor="text1"/>
                <w:sz w:val="21"/>
                <w:szCs w:val="21"/>
                <w14:textFill>
                  <w14:solidFill>
                    <w14:schemeClr w14:val="tx1"/>
                  </w14:solidFill>
                </w14:textFill>
              </w:rPr>
              <w:t>大气环境敏感性</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jc w:val="center"/>
        </w:trPr>
        <w:tc>
          <w:tcPr>
            <w:tcW w:w="737" w:type="dxa"/>
            <w:vAlign w:val="center"/>
          </w:tcPr>
          <w:p>
            <w:pPr>
              <w:snapToGrid w:val="0"/>
              <w:spacing w:line="280" w:lineRule="exact"/>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E1</w:t>
            </w:r>
          </w:p>
        </w:tc>
        <w:tc>
          <w:tcPr>
            <w:tcW w:w="7796" w:type="dxa"/>
            <w:vAlign w:val="center"/>
          </w:tcPr>
          <w:p>
            <w:pPr>
              <w:snapToGrid w:val="0"/>
              <w:spacing w:line="280" w:lineRule="exact"/>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周边</w:t>
            </w:r>
            <w:r>
              <w:rPr>
                <w:color w:val="000000" w:themeColor="text1"/>
                <w:sz w:val="21"/>
                <w:szCs w:val="21"/>
                <w14:textFill>
                  <w14:solidFill>
                    <w14:schemeClr w14:val="tx1"/>
                  </w14:solidFill>
                </w14:textFill>
              </w:rPr>
              <w:t>5km</w:t>
            </w:r>
            <w:r>
              <w:rPr>
                <w:rFonts w:hint="eastAsia"/>
                <w:color w:val="000000" w:themeColor="text1"/>
                <w:sz w:val="21"/>
                <w:szCs w:val="21"/>
                <w14:textFill>
                  <w14:solidFill>
                    <w14:schemeClr w14:val="tx1"/>
                  </w14:solidFill>
                </w14:textFill>
              </w:rPr>
              <w:t>范围内居住区、医疗卫生、文化教育、科研、行政办公等机构人口总数大于</w:t>
            </w:r>
            <w:r>
              <w:rPr>
                <w:color w:val="000000" w:themeColor="text1"/>
                <w:sz w:val="21"/>
                <w:szCs w:val="21"/>
                <w14:textFill>
                  <w14:solidFill>
                    <w14:schemeClr w14:val="tx1"/>
                  </w14:solidFill>
                </w14:textFill>
              </w:rPr>
              <w:t>5</w:t>
            </w:r>
            <w:r>
              <w:rPr>
                <w:rFonts w:hint="eastAsia"/>
                <w:color w:val="000000" w:themeColor="text1"/>
                <w:sz w:val="21"/>
                <w:szCs w:val="21"/>
                <w14:textFill>
                  <w14:solidFill>
                    <w14:schemeClr w14:val="tx1"/>
                  </w14:solidFill>
                </w14:textFill>
              </w:rPr>
              <w:t>万人，或其他需要特殊保护区域；或周边</w:t>
            </w:r>
            <w:r>
              <w:rPr>
                <w:color w:val="000000" w:themeColor="text1"/>
                <w:sz w:val="21"/>
                <w:szCs w:val="21"/>
                <w14:textFill>
                  <w14:solidFill>
                    <w14:schemeClr w14:val="tx1"/>
                  </w14:solidFill>
                </w14:textFill>
              </w:rPr>
              <w:t>500m</w:t>
            </w:r>
            <w:r>
              <w:rPr>
                <w:rFonts w:hint="eastAsia"/>
                <w:color w:val="000000" w:themeColor="text1"/>
                <w:sz w:val="21"/>
                <w:szCs w:val="21"/>
                <w14:textFill>
                  <w14:solidFill>
                    <w14:schemeClr w14:val="tx1"/>
                  </w14:solidFill>
                </w14:textFill>
              </w:rPr>
              <w:t>范围内人口总数大于</w:t>
            </w:r>
            <w:r>
              <w:rPr>
                <w:color w:val="000000" w:themeColor="text1"/>
                <w:sz w:val="21"/>
                <w:szCs w:val="21"/>
                <w14:textFill>
                  <w14:solidFill>
                    <w14:schemeClr w14:val="tx1"/>
                  </w14:solidFill>
                </w14:textFill>
              </w:rPr>
              <w:t>1000</w:t>
            </w:r>
            <w:r>
              <w:rPr>
                <w:rFonts w:hint="eastAsia"/>
                <w:color w:val="000000" w:themeColor="text1"/>
                <w:sz w:val="21"/>
                <w:szCs w:val="21"/>
                <w14:textFill>
                  <w14:solidFill>
                    <w14:schemeClr w14:val="tx1"/>
                  </w14:solidFill>
                </w14:textFill>
              </w:rPr>
              <w:t>人；油气、化学品输送管线管段周边</w:t>
            </w:r>
            <w:r>
              <w:rPr>
                <w:color w:val="000000" w:themeColor="text1"/>
                <w:sz w:val="21"/>
                <w:szCs w:val="21"/>
                <w14:textFill>
                  <w14:solidFill>
                    <w14:schemeClr w14:val="tx1"/>
                  </w14:solidFill>
                </w14:textFill>
              </w:rPr>
              <w:t>200m</w:t>
            </w:r>
            <w:r>
              <w:rPr>
                <w:rFonts w:hint="eastAsia"/>
                <w:color w:val="000000" w:themeColor="text1"/>
                <w:sz w:val="21"/>
                <w:szCs w:val="21"/>
                <w14:textFill>
                  <w14:solidFill>
                    <w14:schemeClr w14:val="tx1"/>
                  </w14:solidFill>
                </w14:textFill>
              </w:rPr>
              <w:t>范围内，每千米管段人口数大于</w:t>
            </w:r>
            <w:r>
              <w:rPr>
                <w:color w:val="000000" w:themeColor="text1"/>
                <w:sz w:val="21"/>
                <w:szCs w:val="21"/>
                <w14:textFill>
                  <w14:solidFill>
                    <w14:schemeClr w14:val="tx1"/>
                  </w14:solidFill>
                </w14:textFill>
              </w:rPr>
              <w:t>200</w:t>
            </w:r>
            <w:r>
              <w:rPr>
                <w:rFonts w:hint="eastAsia"/>
                <w:color w:val="000000" w:themeColor="text1"/>
                <w:sz w:val="21"/>
                <w:szCs w:val="21"/>
                <w14:textFill>
                  <w14:solidFill>
                    <w14:schemeClr w14:val="tx1"/>
                  </w14:solidFill>
                </w14:textFill>
              </w:rPr>
              <w:t>人</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975" w:hRule="atLeast"/>
          <w:jc w:val="center"/>
        </w:trPr>
        <w:tc>
          <w:tcPr>
            <w:tcW w:w="737" w:type="dxa"/>
            <w:vAlign w:val="center"/>
          </w:tcPr>
          <w:p>
            <w:pPr>
              <w:snapToGrid w:val="0"/>
              <w:spacing w:line="280" w:lineRule="exact"/>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E2</w:t>
            </w:r>
          </w:p>
        </w:tc>
        <w:tc>
          <w:tcPr>
            <w:tcW w:w="7796" w:type="dxa"/>
            <w:vAlign w:val="center"/>
          </w:tcPr>
          <w:p>
            <w:pPr>
              <w:snapToGrid w:val="0"/>
              <w:spacing w:line="280" w:lineRule="exact"/>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周边</w:t>
            </w:r>
            <w:r>
              <w:rPr>
                <w:color w:val="000000" w:themeColor="text1"/>
                <w:sz w:val="21"/>
                <w:szCs w:val="21"/>
                <w14:textFill>
                  <w14:solidFill>
                    <w14:schemeClr w14:val="tx1"/>
                  </w14:solidFill>
                </w14:textFill>
              </w:rPr>
              <w:t>5km</w:t>
            </w:r>
            <w:r>
              <w:rPr>
                <w:rFonts w:hint="eastAsia"/>
                <w:color w:val="000000" w:themeColor="text1"/>
                <w:sz w:val="21"/>
                <w:szCs w:val="21"/>
                <w14:textFill>
                  <w14:solidFill>
                    <w14:schemeClr w14:val="tx1"/>
                  </w14:solidFill>
                </w14:textFill>
              </w:rPr>
              <w:t>范围内居住区、医疗卫生、文化教育、科研、行政办公等机构人口总数大于</w:t>
            </w:r>
            <w:r>
              <w:rPr>
                <w:color w:val="000000" w:themeColor="text1"/>
                <w:sz w:val="21"/>
                <w:szCs w:val="21"/>
                <w14:textFill>
                  <w14:solidFill>
                    <w14:schemeClr w14:val="tx1"/>
                  </w14:solidFill>
                </w14:textFill>
              </w:rPr>
              <w:t>1</w:t>
            </w:r>
            <w:r>
              <w:rPr>
                <w:rFonts w:hint="eastAsia"/>
                <w:color w:val="000000" w:themeColor="text1"/>
                <w:sz w:val="21"/>
                <w:szCs w:val="21"/>
                <w14:textFill>
                  <w14:solidFill>
                    <w14:schemeClr w14:val="tx1"/>
                  </w14:solidFill>
                </w14:textFill>
              </w:rPr>
              <w:t>万人，小于</w:t>
            </w:r>
            <w:r>
              <w:rPr>
                <w:color w:val="000000" w:themeColor="text1"/>
                <w:sz w:val="21"/>
                <w:szCs w:val="21"/>
                <w14:textFill>
                  <w14:solidFill>
                    <w14:schemeClr w14:val="tx1"/>
                  </w14:solidFill>
                </w14:textFill>
              </w:rPr>
              <w:t>5</w:t>
            </w:r>
            <w:r>
              <w:rPr>
                <w:rFonts w:hint="eastAsia"/>
                <w:color w:val="000000" w:themeColor="text1"/>
                <w:sz w:val="21"/>
                <w:szCs w:val="21"/>
                <w14:textFill>
                  <w14:solidFill>
                    <w14:schemeClr w14:val="tx1"/>
                  </w14:solidFill>
                </w14:textFill>
              </w:rPr>
              <w:t>万人；或周边</w:t>
            </w:r>
            <w:r>
              <w:rPr>
                <w:color w:val="000000" w:themeColor="text1"/>
                <w:sz w:val="21"/>
                <w:szCs w:val="21"/>
                <w14:textFill>
                  <w14:solidFill>
                    <w14:schemeClr w14:val="tx1"/>
                  </w14:solidFill>
                </w14:textFill>
              </w:rPr>
              <w:t>500m</w:t>
            </w:r>
            <w:r>
              <w:rPr>
                <w:rFonts w:hint="eastAsia"/>
                <w:color w:val="000000" w:themeColor="text1"/>
                <w:sz w:val="21"/>
                <w:szCs w:val="21"/>
                <w14:textFill>
                  <w14:solidFill>
                    <w14:schemeClr w14:val="tx1"/>
                  </w14:solidFill>
                </w14:textFill>
              </w:rPr>
              <w:t>范围内人口总数大于</w:t>
            </w:r>
            <w:r>
              <w:rPr>
                <w:color w:val="000000" w:themeColor="text1"/>
                <w:sz w:val="21"/>
                <w:szCs w:val="21"/>
                <w14:textFill>
                  <w14:solidFill>
                    <w14:schemeClr w14:val="tx1"/>
                  </w14:solidFill>
                </w14:textFill>
              </w:rPr>
              <w:t>500</w:t>
            </w:r>
            <w:r>
              <w:rPr>
                <w:rFonts w:hint="eastAsia"/>
                <w:color w:val="000000" w:themeColor="text1"/>
                <w:sz w:val="21"/>
                <w:szCs w:val="21"/>
                <w14:textFill>
                  <w14:solidFill>
                    <w14:schemeClr w14:val="tx1"/>
                  </w14:solidFill>
                </w14:textFill>
              </w:rPr>
              <w:t>人，小于</w:t>
            </w:r>
            <w:r>
              <w:rPr>
                <w:color w:val="000000" w:themeColor="text1"/>
                <w:sz w:val="21"/>
                <w:szCs w:val="21"/>
                <w14:textFill>
                  <w14:solidFill>
                    <w14:schemeClr w14:val="tx1"/>
                  </w14:solidFill>
                </w14:textFill>
              </w:rPr>
              <w:t>1000</w:t>
            </w:r>
            <w:r>
              <w:rPr>
                <w:rFonts w:hint="eastAsia"/>
                <w:color w:val="000000" w:themeColor="text1"/>
                <w:sz w:val="21"/>
                <w:szCs w:val="21"/>
                <w14:textFill>
                  <w14:solidFill>
                    <w14:schemeClr w14:val="tx1"/>
                  </w14:solidFill>
                </w14:textFill>
              </w:rPr>
              <w:t xml:space="preserve"> 人；油气、化学 品输送管线管段周边</w:t>
            </w:r>
            <w:r>
              <w:rPr>
                <w:color w:val="000000" w:themeColor="text1"/>
                <w:sz w:val="21"/>
                <w:szCs w:val="21"/>
                <w14:textFill>
                  <w14:solidFill>
                    <w14:schemeClr w14:val="tx1"/>
                  </w14:solidFill>
                </w14:textFill>
              </w:rPr>
              <w:t>200m</w:t>
            </w:r>
            <w:r>
              <w:rPr>
                <w:rFonts w:hint="eastAsia"/>
                <w:color w:val="000000" w:themeColor="text1"/>
                <w:sz w:val="21"/>
                <w:szCs w:val="21"/>
                <w14:textFill>
                  <w14:solidFill>
                    <w14:schemeClr w14:val="tx1"/>
                  </w14:solidFill>
                </w14:textFill>
              </w:rPr>
              <w:t>范围内，每千米管段人口数大于</w:t>
            </w:r>
            <w:r>
              <w:rPr>
                <w:color w:val="000000" w:themeColor="text1"/>
                <w:sz w:val="21"/>
                <w:szCs w:val="21"/>
                <w14:textFill>
                  <w14:solidFill>
                    <w14:schemeClr w14:val="tx1"/>
                  </w14:solidFill>
                </w14:textFill>
              </w:rPr>
              <w:t>100</w:t>
            </w:r>
            <w:r>
              <w:rPr>
                <w:rFonts w:hint="eastAsia"/>
                <w:color w:val="000000" w:themeColor="text1"/>
                <w:sz w:val="21"/>
                <w:szCs w:val="21"/>
                <w14:textFill>
                  <w14:solidFill>
                    <w14:schemeClr w14:val="tx1"/>
                  </w14:solidFill>
                </w14:textFill>
              </w:rPr>
              <w:t>人，小于</w:t>
            </w:r>
            <w:r>
              <w:rPr>
                <w:color w:val="000000" w:themeColor="text1"/>
                <w:sz w:val="21"/>
                <w:szCs w:val="21"/>
                <w14:textFill>
                  <w14:solidFill>
                    <w14:schemeClr w14:val="tx1"/>
                  </w14:solidFill>
                </w14:textFill>
              </w:rPr>
              <w:t>200</w:t>
            </w:r>
            <w:r>
              <w:rPr>
                <w:rFonts w:hint="eastAsia"/>
                <w:color w:val="000000" w:themeColor="text1"/>
                <w:sz w:val="21"/>
                <w:szCs w:val="21"/>
                <w14:textFill>
                  <w14:solidFill>
                    <w14:schemeClr w14:val="tx1"/>
                  </w14:solidFill>
                </w14:textFill>
              </w:rPr>
              <w:t>人</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jc w:val="center"/>
        </w:trPr>
        <w:tc>
          <w:tcPr>
            <w:tcW w:w="737" w:type="dxa"/>
            <w:shd w:val="clear" w:color="auto" w:fill="F3F3F3"/>
            <w:vAlign w:val="center"/>
          </w:tcPr>
          <w:p>
            <w:pPr>
              <w:snapToGrid w:val="0"/>
              <w:spacing w:line="280" w:lineRule="exact"/>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E3</w:t>
            </w:r>
          </w:p>
        </w:tc>
        <w:tc>
          <w:tcPr>
            <w:tcW w:w="7796" w:type="dxa"/>
            <w:shd w:val="clear" w:color="auto" w:fill="F3F3F3"/>
            <w:vAlign w:val="center"/>
          </w:tcPr>
          <w:p>
            <w:pPr>
              <w:snapToGrid w:val="0"/>
              <w:spacing w:line="280" w:lineRule="exact"/>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周边</w:t>
            </w:r>
            <w:r>
              <w:rPr>
                <w:color w:val="000000" w:themeColor="text1"/>
                <w:sz w:val="21"/>
                <w:szCs w:val="21"/>
                <w14:textFill>
                  <w14:solidFill>
                    <w14:schemeClr w14:val="tx1"/>
                  </w14:solidFill>
                </w14:textFill>
              </w:rPr>
              <w:t>5km</w:t>
            </w:r>
            <w:r>
              <w:rPr>
                <w:rFonts w:hint="eastAsia"/>
                <w:color w:val="000000" w:themeColor="text1"/>
                <w:sz w:val="21"/>
                <w:szCs w:val="21"/>
                <w14:textFill>
                  <w14:solidFill>
                    <w14:schemeClr w14:val="tx1"/>
                  </w14:solidFill>
                </w14:textFill>
              </w:rPr>
              <w:t>范围内居住区、医疗卫生、文化教育、科研、行政办公等机构人口总数小于</w:t>
            </w:r>
            <w:r>
              <w:rPr>
                <w:color w:val="000000" w:themeColor="text1"/>
                <w:sz w:val="21"/>
                <w:szCs w:val="21"/>
                <w14:textFill>
                  <w14:solidFill>
                    <w14:schemeClr w14:val="tx1"/>
                  </w14:solidFill>
                </w14:textFill>
              </w:rPr>
              <w:t>1</w:t>
            </w:r>
            <w:r>
              <w:rPr>
                <w:rFonts w:hint="eastAsia"/>
                <w:color w:val="000000" w:themeColor="text1"/>
                <w:sz w:val="21"/>
                <w:szCs w:val="21"/>
                <w14:textFill>
                  <w14:solidFill>
                    <w14:schemeClr w14:val="tx1"/>
                  </w14:solidFill>
                </w14:textFill>
              </w:rPr>
              <w:t>万人；或周边</w:t>
            </w:r>
            <w:r>
              <w:rPr>
                <w:color w:val="000000" w:themeColor="text1"/>
                <w:sz w:val="21"/>
                <w:szCs w:val="21"/>
                <w14:textFill>
                  <w14:solidFill>
                    <w14:schemeClr w14:val="tx1"/>
                  </w14:solidFill>
                </w14:textFill>
              </w:rPr>
              <w:t>500m</w:t>
            </w:r>
            <w:r>
              <w:rPr>
                <w:rFonts w:hint="eastAsia"/>
                <w:color w:val="000000" w:themeColor="text1"/>
                <w:sz w:val="21"/>
                <w:szCs w:val="21"/>
                <w14:textFill>
                  <w14:solidFill>
                    <w14:schemeClr w14:val="tx1"/>
                  </w14:solidFill>
                </w14:textFill>
              </w:rPr>
              <w:t>范围内人口总数小于</w:t>
            </w:r>
            <w:r>
              <w:rPr>
                <w:color w:val="000000" w:themeColor="text1"/>
                <w:sz w:val="21"/>
                <w:szCs w:val="21"/>
                <w14:textFill>
                  <w14:solidFill>
                    <w14:schemeClr w14:val="tx1"/>
                  </w14:solidFill>
                </w14:textFill>
              </w:rPr>
              <w:t>500</w:t>
            </w:r>
            <w:r>
              <w:rPr>
                <w:rFonts w:hint="eastAsia"/>
                <w:color w:val="000000" w:themeColor="text1"/>
                <w:sz w:val="21"/>
                <w:szCs w:val="21"/>
                <w14:textFill>
                  <w14:solidFill>
                    <w14:schemeClr w14:val="tx1"/>
                  </w14:solidFill>
                </w14:textFill>
              </w:rPr>
              <w:t>人；油气、化学品输送管线管段周边</w:t>
            </w:r>
            <w:r>
              <w:rPr>
                <w:color w:val="000000" w:themeColor="text1"/>
                <w:sz w:val="21"/>
                <w:szCs w:val="21"/>
                <w14:textFill>
                  <w14:solidFill>
                    <w14:schemeClr w14:val="tx1"/>
                  </w14:solidFill>
                </w14:textFill>
              </w:rPr>
              <w:t>200m</w:t>
            </w:r>
            <w:r>
              <w:rPr>
                <w:rFonts w:hint="eastAsia"/>
                <w:color w:val="000000" w:themeColor="text1"/>
                <w:sz w:val="21"/>
                <w:szCs w:val="21"/>
                <w14:textFill>
                  <w14:solidFill>
                    <w14:schemeClr w14:val="tx1"/>
                  </w14:solidFill>
                </w14:textFill>
              </w:rPr>
              <w:t>范围内，每千米管段人口数小于</w:t>
            </w:r>
            <w:r>
              <w:rPr>
                <w:color w:val="000000" w:themeColor="text1"/>
                <w:sz w:val="21"/>
                <w:szCs w:val="21"/>
                <w14:textFill>
                  <w14:solidFill>
                    <w14:schemeClr w14:val="tx1"/>
                  </w14:solidFill>
                </w14:textFill>
              </w:rPr>
              <w:t>100</w:t>
            </w:r>
            <w:r>
              <w:rPr>
                <w:rFonts w:hint="eastAsia"/>
                <w:color w:val="000000" w:themeColor="text1"/>
                <w:sz w:val="21"/>
                <w:szCs w:val="21"/>
                <w14:textFill>
                  <w14:solidFill>
                    <w14:schemeClr w14:val="tx1"/>
                  </w14:solidFill>
                </w14:textFill>
              </w:rPr>
              <w:t>人</w:t>
            </w:r>
          </w:p>
        </w:tc>
      </w:tr>
    </w:tbl>
    <w:p>
      <w:pPr>
        <w:tabs>
          <w:tab w:val="left" w:pos="7488"/>
        </w:tabs>
        <w:snapToGrid w:val="0"/>
        <w:spacing w:line="348" w:lineRule="auto"/>
        <w:ind w:firstLine="462" w:firstLineChars="200"/>
        <w:rPr>
          <w:color w:val="000000" w:themeColor="text1"/>
          <w14:textFill>
            <w14:solidFill>
              <w14:schemeClr w14:val="tx1"/>
            </w14:solidFill>
          </w14:textFill>
        </w:rPr>
      </w:pPr>
      <w:r>
        <w:rPr>
          <w:rFonts w:hint="eastAsia"/>
          <w:color w:val="000000" w:themeColor="text1"/>
          <w14:textFill>
            <w14:solidFill>
              <w14:schemeClr w14:val="tx1"/>
            </w14:solidFill>
          </w14:textFill>
        </w:rPr>
        <w:t>本项目周边</w:t>
      </w:r>
      <w:r>
        <w:rPr>
          <w:color w:val="000000" w:themeColor="text1"/>
          <w14:textFill>
            <w14:solidFill>
              <w14:schemeClr w14:val="tx1"/>
            </w14:solidFill>
          </w14:textFill>
        </w:rPr>
        <w:t>500m</w:t>
      </w:r>
      <w:r>
        <w:rPr>
          <w:rFonts w:hint="eastAsia"/>
          <w:color w:val="000000" w:themeColor="text1"/>
          <w14:textFill>
            <w14:solidFill>
              <w14:schemeClr w14:val="tx1"/>
            </w14:solidFill>
          </w14:textFill>
        </w:rPr>
        <w:t>范围内人口总数小于</w:t>
      </w:r>
      <w:r>
        <w:rPr>
          <w:color w:val="000000" w:themeColor="text1"/>
          <w14:textFill>
            <w14:solidFill>
              <w14:schemeClr w14:val="tx1"/>
            </w14:solidFill>
          </w14:textFill>
        </w:rPr>
        <w:t>500</w:t>
      </w:r>
      <w:r>
        <w:rPr>
          <w:rFonts w:hint="eastAsia"/>
          <w:color w:val="000000" w:themeColor="text1"/>
          <w14:textFill>
            <w14:solidFill>
              <w14:schemeClr w14:val="tx1"/>
            </w14:solidFill>
          </w14:textFill>
        </w:rPr>
        <w:t>人，周边</w:t>
      </w:r>
      <w:r>
        <w:rPr>
          <w:color w:val="000000" w:themeColor="text1"/>
          <w14:textFill>
            <w14:solidFill>
              <w14:schemeClr w14:val="tx1"/>
            </w14:solidFill>
          </w14:textFill>
        </w:rPr>
        <w:t>5km</w:t>
      </w:r>
      <w:r>
        <w:rPr>
          <w:rFonts w:hint="eastAsia"/>
          <w:color w:val="000000" w:themeColor="text1"/>
          <w14:textFill>
            <w14:solidFill>
              <w14:schemeClr w14:val="tx1"/>
            </w14:solidFill>
          </w14:textFill>
        </w:rPr>
        <w:t>范围内居住区、医疗卫生、文化教育、科研、行政办公等机构人口总数小于</w:t>
      </w:r>
      <w:r>
        <w:rPr>
          <w:color w:val="000000" w:themeColor="text1"/>
          <w14:textFill>
            <w14:solidFill>
              <w14:schemeClr w14:val="tx1"/>
            </w14:solidFill>
          </w14:textFill>
        </w:rPr>
        <w:t>1</w:t>
      </w:r>
      <w:r>
        <w:rPr>
          <w:rFonts w:hint="eastAsia"/>
          <w:color w:val="000000" w:themeColor="text1"/>
          <w14:textFill>
            <w14:solidFill>
              <w14:schemeClr w14:val="tx1"/>
            </w14:solidFill>
          </w14:textFill>
        </w:rPr>
        <w:t>万人，大气环境敏感程度分级为环境低度敏感区（</w:t>
      </w:r>
      <w:r>
        <w:rPr>
          <w:color w:val="000000" w:themeColor="text1"/>
          <w14:textFill>
            <w14:solidFill>
              <w14:schemeClr w14:val="tx1"/>
            </w14:solidFill>
          </w14:textFill>
        </w:rPr>
        <w:t>E</w:t>
      </w:r>
      <w:r>
        <w:rPr>
          <w:rFonts w:hint="eastAsia"/>
          <w:color w:val="000000" w:themeColor="text1"/>
          <w14:textFill>
            <w14:solidFill>
              <w14:schemeClr w14:val="tx1"/>
            </w14:solidFill>
          </w14:textFill>
        </w:rPr>
        <w:t>3）。</w:t>
      </w:r>
    </w:p>
    <w:p>
      <w:pPr>
        <w:tabs>
          <w:tab w:val="left" w:pos="7488"/>
        </w:tabs>
        <w:snapToGrid w:val="0"/>
        <w:spacing w:line="348" w:lineRule="auto"/>
        <w:ind w:firstLine="462" w:firstLineChars="200"/>
        <w:rPr>
          <w:color w:val="000000" w:themeColor="text1"/>
          <w14:textFill>
            <w14:solidFill>
              <w14:schemeClr w14:val="tx1"/>
            </w14:solidFill>
          </w14:textFill>
        </w:rPr>
      </w:pPr>
      <w:r>
        <w:rPr>
          <w:rFonts w:hint="eastAsia"/>
          <w:color w:val="000000" w:themeColor="text1"/>
          <w14:textFill>
            <w14:solidFill>
              <w14:schemeClr w14:val="tx1"/>
            </w14:solidFill>
          </w14:textFill>
        </w:rPr>
        <w:t>2、地表水环境</w:t>
      </w:r>
    </w:p>
    <w:p>
      <w:pPr>
        <w:tabs>
          <w:tab w:val="left" w:pos="7488"/>
        </w:tabs>
        <w:snapToGrid w:val="0"/>
        <w:spacing w:line="348" w:lineRule="auto"/>
        <w:ind w:firstLine="462" w:firstLineChars="200"/>
        <w:rPr>
          <w:color w:val="000000" w:themeColor="text1"/>
          <w14:textFill>
            <w14:solidFill>
              <w14:schemeClr w14:val="tx1"/>
            </w14:solidFill>
          </w14:textFill>
        </w:rPr>
      </w:pPr>
      <w:r>
        <w:rPr>
          <w:rFonts w:hint="eastAsia"/>
          <w:color w:val="000000" w:themeColor="text1"/>
          <w14:textFill>
            <w14:solidFill>
              <w14:schemeClr w14:val="tx1"/>
            </w14:solidFill>
          </w14:textFill>
        </w:rPr>
        <w:t>依据事故情况下危险物质泄漏到水体的排放点受纳地表水体功能敏感性，与下游环境敏感目标情况，共分为三种类型，E</w:t>
      </w:r>
      <w:r>
        <w:rPr>
          <w:color w:val="000000" w:themeColor="text1"/>
          <w14:textFill>
            <w14:solidFill>
              <w14:schemeClr w14:val="tx1"/>
            </w14:solidFill>
          </w14:textFill>
        </w:rPr>
        <w:t>1</w:t>
      </w:r>
      <w:r>
        <w:rPr>
          <w:rFonts w:hint="eastAsia"/>
          <w:color w:val="000000" w:themeColor="text1"/>
          <w14:textFill>
            <w14:solidFill>
              <w14:schemeClr w14:val="tx1"/>
            </w14:solidFill>
          </w14:textFill>
        </w:rPr>
        <w:t>为环境高度敏感区，E</w:t>
      </w:r>
      <w:r>
        <w:rPr>
          <w:color w:val="000000" w:themeColor="text1"/>
          <w14:textFill>
            <w14:solidFill>
              <w14:schemeClr w14:val="tx1"/>
            </w14:solidFill>
          </w14:textFill>
        </w:rPr>
        <w:t>2</w:t>
      </w:r>
      <w:r>
        <w:rPr>
          <w:rFonts w:hint="eastAsia"/>
          <w:color w:val="000000" w:themeColor="text1"/>
          <w14:textFill>
            <w14:solidFill>
              <w14:schemeClr w14:val="tx1"/>
            </w14:solidFill>
          </w14:textFill>
        </w:rPr>
        <w:t>为环境中度敏感区，E</w:t>
      </w:r>
      <w:r>
        <w:rPr>
          <w:color w:val="000000" w:themeColor="text1"/>
          <w14:textFill>
            <w14:solidFill>
              <w14:schemeClr w14:val="tx1"/>
            </w14:solidFill>
          </w14:textFill>
        </w:rPr>
        <w:t>3</w:t>
      </w:r>
      <w:r>
        <w:rPr>
          <w:rFonts w:hint="eastAsia"/>
          <w:color w:val="000000" w:themeColor="text1"/>
          <w14:textFill>
            <w14:solidFill>
              <w14:schemeClr w14:val="tx1"/>
            </w14:solidFill>
          </w14:textFill>
        </w:rPr>
        <w:t>为环境低度敏感区，其中地表水功能敏感性分区、环境敏感目标分级、环境敏感度分级原则分别见表</w:t>
      </w:r>
      <w:r>
        <w:rPr>
          <w:color w:val="000000" w:themeColor="text1"/>
          <w14:textFill>
            <w14:solidFill>
              <w14:schemeClr w14:val="tx1"/>
            </w14:solidFill>
          </w14:textFill>
        </w:rPr>
        <w:t>1.</w:t>
      </w:r>
      <w:r>
        <w:rPr>
          <w:rFonts w:hint="eastAsia"/>
          <w:color w:val="000000" w:themeColor="text1"/>
          <w14:textFill>
            <w14:solidFill>
              <w14:schemeClr w14:val="tx1"/>
            </w14:solidFill>
          </w14:textFill>
        </w:rPr>
        <w:t>2</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13~表</w:t>
      </w:r>
      <w:r>
        <w:rPr>
          <w:color w:val="000000" w:themeColor="text1"/>
          <w14:textFill>
            <w14:solidFill>
              <w14:schemeClr w14:val="tx1"/>
            </w14:solidFill>
          </w14:textFill>
        </w:rPr>
        <w:t>1.</w:t>
      </w:r>
      <w:r>
        <w:rPr>
          <w:rFonts w:hint="eastAsia"/>
          <w:color w:val="000000" w:themeColor="text1"/>
          <w14:textFill>
            <w14:solidFill>
              <w14:schemeClr w14:val="tx1"/>
            </w14:solidFill>
          </w14:textFill>
        </w:rPr>
        <w:t>2</w:t>
      </w:r>
      <w:r>
        <w:rPr>
          <w:color w:val="000000" w:themeColor="text1"/>
          <w14:textFill>
            <w14:solidFill>
              <w14:schemeClr w14:val="tx1"/>
            </w14:solidFill>
          </w14:textFill>
        </w:rPr>
        <w:t>-1</w:t>
      </w:r>
      <w:r>
        <w:rPr>
          <w:rFonts w:hint="eastAsia"/>
          <w:color w:val="000000" w:themeColor="text1"/>
          <w14:textFill>
            <w14:solidFill>
              <w14:schemeClr w14:val="tx1"/>
            </w14:solidFill>
          </w14:textFill>
        </w:rPr>
        <w:t>5。</w:t>
      </w:r>
    </w:p>
    <w:p>
      <w:pPr>
        <w:pStyle w:val="384"/>
        <w:ind w:left="0" w:firstLine="0"/>
        <w:rPr>
          <w:color w:val="000000" w:themeColor="text1"/>
          <w14:textFill>
            <w14:solidFill>
              <w14:schemeClr w14:val="tx1"/>
            </w14:solidFill>
          </w14:textFill>
        </w:rPr>
      </w:pPr>
      <w:r>
        <w:rPr>
          <w:rFonts w:hint="eastAsia"/>
          <w:color w:val="000000" w:themeColor="text1"/>
          <w14:textFill>
            <w14:solidFill>
              <w14:schemeClr w14:val="tx1"/>
            </w14:solidFill>
          </w14:textFill>
        </w:rPr>
        <w:t>地表水功能敏感性分区</w:t>
      </w:r>
    </w:p>
    <w:tbl>
      <w:tblPr>
        <w:tblStyle w:val="88"/>
        <w:tblW w:w="8533" w:type="dxa"/>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1067"/>
        <w:gridCol w:w="7466"/>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blHeader/>
        </w:trPr>
        <w:tc>
          <w:tcPr>
            <w:tcW w:w="1067" w:type="dxa"/>
            <w:vAlign w:val="center"/>
          </w:tcPr>
          <w:p>
            <w:pPr>
              <w:snapToGrid w:val="0"/>
              <w:spacing w:line="280" w:lineRule="exact"/>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敏感性</w:t>
            </w:r>
          </w:p>
        </w:tc>
        <w:tc>
          <w:tcPr>
            <w:tcW w:w="7466" w:type="dxa"/>
            <w:vAlign w:val="center"/>
          </w:tcPr>
          <w:p>
            <w:pPr>
              <w:snapToGrid w:val="0"/>
              <w:spacing w:line="280" w:lineRule="exact"/>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地表水环境敏感特征</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c>
          <w:tcPr>
            <w:tcW w:w="1067" w:type="dxa"/>
            <w:vAlign w:val="center"/>
          </w:tcPr>
          <w:p>
            <w:pPr>
              <w:snapToGrid w:val="0"/>
              <w:spacing w:line="280" w:lineRule="exact"/>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敏感</w:t>
            </w:r>
            <w:r>
              <w:rPr>
                <w:color w:val="000000" w:themeColor="text1"/>
                <w:sz w:val="21"/>
                <w:szCs w:val="21"/>
                <w14:textFill>
                  <w14:solidFill>
                    <w14:schemeClr w14:val="tx1"/>
                  </w14:solidFill>
                </w14:textFill>
              </w:rPr>
              <w:t>F1</w:t>
            </w:r>
          </w:p>
        </w:tc>
        <w:tc>
          <w:tcPr>
            <w:tcW w:w="7466" w:type="dxa"/>
            <w:vAlign w:val="center"/>
          </w:tcPr>
          <w:p>
            <w:pPr>
              <w:snapToGrid w:val="0"/>
              <w:spacing w:line="280" w:lineRule="exact"/>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排放点进入地表水水域环境功能为</w:t>
            </w:r>
            <w:r>
              <w:rPr>
                <w:color w:val="000000" w:themeColor="text1"/>
                <w:sz w:val="21"/>
                <w:szCs w:val="21"/>
                <w14:textFill>
                  <w14:solidFill>
                    <w14:schemeClr w14:val="tx1"/>
                  </w14:solidFill>
                </w14:textFill>
              </w:rPr>
              <w:t>Ⅱ</w:t>
            </w:r>
            <w:r>
              <w:rPr>
                <w:rFonts w:hint="eastAsia"/>
                <w:color w:val="000000" w:themeColor="text1"/>
                <w:sz w:val="21"/>
                <w:szCs w:val="21"/>
                <w14:textFill>
                  <w14:solidFill>
                    <w14:schemeClr w14:val="tx1"/>
                  </w14:solidFill>
                </w14:textFill>
              </w:rPr>
              <w:t>类及以上，或海水水质分类第一类；或以发生事故时，危险物质泄漏到水体的排放点算起，排放进入受纳河流最大流速时，</w:t>
            </w:r>
            <w:r>
              <w:rPr>
                <w:color w:val="000000" w:themeColor="text1"/>
                <w:sz w:val="21"/>
                <w:szCs w:val="21"/>
                <w14:textFill>
                  <w14:solidFill>
                    <w14:schemeClr w14:val="tx1"/>
                  </w14:solidFill>
                </w14:textFill>
              </w:rPr>
              <w:t>24h</w:t>
            </w:r>
            <w:r>
              <w:rPr>
                <w:rFonts w:hint="eastAsia"/>
                <w:color w:val="000000" w:themeColor="text1"/>
                <w:sz w:val="21"/>
                <w:szCs w:val="21"/>
                <w14:textFill>
                  <w14:solidFill>
                    <w14:schemeClr w14:val="tx1"/>
                  </w14:solidFill>
                </w14:textFill>
              </w:rPr>
              <w:t>流经范围内涉跨国界的</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c>
          <w:tcPr>
            <w:tcW w:w="1067" w:type="dxa"/>
            <w:vAlign w:val="center"/>
          </w:tcPr>
          <w:p>
            <w:pPr>
              <w:snapToGrid w:val="0"/>
              <w:spacing w:line="280" w:lineRule="exact"/>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较敏感</w:t>
            </w:r>
            <w:r>
              <w:rPr>
                <w:color w:val="000000" w:themeColor="text1"/>
                <w:sz w:val="21"/>
                <w:szCs w:val="21"/>
                <w14:textFill>
                  <w14:solidFill>
                    <w14:schemeClr w14:val="tx1"/>
                  </w14:solidFill>
                </w14:textFill>
              </w:rPr>
              <w:t>F2</w:t>
            </w:r>
          </w:p>
        </w:tc>
        <w:tc>
          <w:tcPr>
            <w:tcW w:w="7466" w:type="dxa"/>
            <w:vAlign w:val="center"/>
          </w:tcPr>
          <w:p>
            <w:pPr>
              <w:snapToGrid w:val="0"/>
              <w:spacing w:line="280" w:lineRule="exact"/>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排放点进入地表水水域环境功能为</w:t>
            </w:r>
            <w:r>
              <w:rPr>
                <w:color w:val="000000" w:themeColor="text1"/>
                <w:sz w:val="21"/>
                <w:szCs w:val="21"/>
                <w14:textFill>
                  <w14:solidFill>
                    <w14:schemeClr w14:val="tx1"/>
                  </w14:solidFill>
                </w14:textFill>
              </w:rPr>
              <w:t>Ⅲ</w:t>
            </w:r>
            <w:r>
              <w:rPr>
                <w:rFonts w:hint="eastAsia"/>
                <w:color w:val="000000" w:themeColor="text1"/>
                <w:sz w:val="21"/>
                <w:szCs w:val="21"/>
                <w14:textFill>
                  <w14:solidFill>
                    <w14:schemeClr w14:val="tx1"/>
                  </w14:solidFill>
                </w14:textFill>
              </w:rPr>
              <w:t>类，或海水水质分类第二类；或以发生事故时，危险物质泄漏到水体的排放点算起，排放进入受纳河流最大流速时，</w:t>
            </w:r>
            <w:r>
              <w:rPr>
                <w:color w:val="000000" w:themeColor="text1"/>
                <w:sz w:val="21"/>
                <w:szCs w:val="21"/>
                <w14:textFill>
                  <w14:solidFill>
                    <w14:schemeClr w14:val="tx1"/>
                  </w14:solidFill>
                </w14:textFill>
              </w:rPr>
              <w:t>24h</w:t>
            </w:r>
            <w:r>
              <w:rPr>
                <w:rFonts w:hint="eastAsia"/>
                <w:color w:val="000000" w:themeColor="text1"/>
                <w:sz w:val="21"/>
                <w:szCs w:val="21"/>
                <w14:textFill>
                  <w14:solidFill>
                    <w14:schemeClr w14:val="tx1"/>
                  </w14:solidFill>
                </w14:textFill>
              </w:rPr>
              <w:t>流经范围内涉跨省界的</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c>
          <w:tcPr>
            <w:tcW w:w="1067" w:type="dxa"/>
            <w:shd w:val="clear" w:color="auto" w:fill="F1F1F1"/>
            <w:vAlign w:val="center"/>
          </w:tcPr>
          <w:p>
            <w:pPr>
              <w:snapToGrid w:val="0"/>
              <w:spacing w:line="280" w:lineRule="exact"/>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低敏感</w:t>
            </w:r>
            <w:r>
              <w:rPr>
                <w:color w:val="000000" w:themeColor="text1"/>
                <w:sz w:val="21"/>
                <w:szCs w:val="21"/>
                <w14:textFill>
                  <w14:solidFill>
                    <w14:schemeClr w14:val="tx1"/>
                  </w14:solidFill>
                </w14:textFill>
              </w:rPr>
              <w:t>F3</w:t>
            </w:r>
          </w:p>
        </w:tc>
        <w:tc>
          <w:tcPr>
            <w:tcW w:w="7466" w:type="dxa"/>
            <w:shd w:val="clear" w:color="auto" w:fill="F1F1F1"/>
            <w:vAlign w:val="center"/>
          </w:tcPr>
          <w:p>
            <w:pPr>
              <w:snapToGrid w:val="0"/>
              <w:spacing w:line="280" w:lineRule="exact"/>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上述地区之外的其他地区</w:t>
            </w:r>
          </w:p>
        </w:tc>
      </w:tr>
    </w:tbl>
    <w:p>
      <w:pPr>
        <w:pStyle w:val="384"/>
        <w:ind w:left="0" w:firstLine="0"/>
        <w:rPr>
          <w:color w:val="000000" w:themeColor="text1"/>
          <w14:textFill>
            <w14:solidFill>
              <w14:schemeClr w14:val="tx1"/>
            </w14:solidFill>
          </w14:textFill>
        </w:rPr>
      </w:pPr>
      <w:r>
        <w:rPr>
          <w:rFonts w:hint="eastAsia"/>
          <w:color w:val="000000" w:themeColor="text1"/>
          <w14:textFill>
            <w14:solidFill>
              <w14:schemeClr w14:val="tx1"/>
            </w14:solidFill>
          </w14:textFill>
        </w:rPr>
        <w:t>环境敏感目标分级</w:t>
      </w:r>
    </w:p>
    <w:tbl>
      <w:tblPr>
        <w:tblStyle w:val="88"/>
        <w:tblW w:w="8533" w:type="dxa"/>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648"/>
        <w:gridCol w:w="7885"/>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blHeader/>
        </w:trPr>
        <w:tc>
          <w:tcPr>
            <w:tcW w:w="648" w:type="dxa"/>
            <w:vAlign w:val="center"/>
          </w:tcPr>
          <w:p>
            <w:pPr>
              <w:snapToGrid w:val="0"/>
              <w:spacing w:line="280" w:lineRule="exact"/>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分级</w:t>
            </w:r>
          </w:p>
        </w:tc>
        <w:tc>
          <w:tcPr>
            <w:tcW w:w="7885" w:type="dxa"/>
            <w:vAlign w:val="center"/>
          </w:tcPr>
          <w:p>
            <w:pPr>
              <w:snapToGrid w:val="0"/>
              <w:spacing w:line="280" w:lineRule="exact"/>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环境敏感目标</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c>
          <w:tcPr>
            <w:tcW w:w="648" w:type="dxa"/>
            <w:shd w:val="clear" w:color="auto" w:fill="F1F1F1"/>
            <w:vAlign w:val="center"/>
          </w:tcPr>
          <w:p>
            <w:pPr>
              <w:snapToGrid w:val="0"/>
              <w:spacing w:line="280" w:lineRule="exact"/>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S1</w:t>
            </w:r>
          </w:p>
        </w:tc>
        <w:tc>
          <w:tcPr>
            <w:tcW w:w="7885" w:type="dxa"/>
            <w:shd w:val="clear" w:color="auto" w:fill="F1F1F1"/>
            <w:vAlign w:val="center"/>
          </w:tcPr>
          <w:p>
            <w:pPr>
              <w:snapToGrid w:val="0"/>
              <w:spacing w:line="280" w:lineRule="exact"/>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发生事故时，危险物质泄漏到内陆水体的排放点下游（顺水流向）</w:t>
            </w:r>
            <w:r>
              <w:rPr>
                <w:color w:val="000000" w:themeColor="text1"/>
                <w:sz w:val="21"/>
                <w:szCs w:val="21"/>
                <w14:textFill>
                  <w14:solidFill>
                    <w14:schemeClr w14:val="tx1"/>
                  </w14:solidFill>
                </w14:textFill>
              </w:rPr>
              <w:t>10km</w:t>
            </w:r>
            <w:r>
              <w:rPr>
                <w:rFonts w:hint="eastAsia"/>
                <w:color w:val="000000" w:themeColor="text1"/>
                <w:sz w:val="21"/>
                <w:szCs w:val="21"/>
                <w14:textFill>
                  <w14:solidFill>
                    <w14:schemeClr w14:val="tx1"/>
                  </w14:solidFill>
                </w14:textFill>
              </w:rPr>
              <w:t>范围内、近岸海域一个潮周期水质点可能达到的最大水平距离的两倍范围内，有如下一类或多类环境风险受体：集中式地表水饮用水水源保护区（包括一级保护区、二级保护区及准保护区）；农村及分散式饮用水水源保护区；自然保护区；重要湿地；珍稀濒危野生动植物天然集中分布区；重要水生生物的自然产卵场及索饵场、越冬场和洄游通道；世界文化和自然遗产地；红树林、珊瑚礁等滨海湿地生态系统；珍稀、濒危海洋生物的天然集中分布区；海洋特别保护区；海上自然保护区；盐场保护区；海水浴场；海洋自然历史遗迹；风景名胜区；或其他特殊重要保护区域</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1323" w:hRule="atLeast"/>
        </w:trPr>
        <w:tc>
          <w:tcPr>
            <w:tcW w:w="648" w:type="dxa"/>
            <w:vAlign w:val="center"/>
          </w:tcPr>
          <w:p>
            <w:pPr>
              <w:snapToGrid w:val="0"/>
              <w:spacing w:line="280" w:lineRule="exact"/>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S2</w:t>
            </w:r>
          </w:p>
        </w:tc>
        <w:tc>
          <w:tcPr>
            <w:tcW w:w="7885" w:type="dxa"/>
            <w:vAlign w:val="center"/>
          </w:tcPr>
          <w:p>
            <w:pPr>
              <w:snapToGrid w:val="0"/>
              <w:spacing w:line="280" w:lineRule="exact"/>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发生事故时，危险物质泄漏到内陆水体的排放点下游（顺水流向）</w:t>
            </w:r>
            <w:r>
              <w:rPr>
                <w:color w:val="000000" w:themeColor="text1"/>
                <w:sz w:val="21"/>
                <w:szCs w:val="21"/>
                <w14:textFill>
                  <w14:solidFill>
                    <w14:schemeClr w14:val="tx1"/>
                  </w14:solidFill>
                </w14:textFill>
              </w:rPr>
              <w:t>10km</w:t>
            </w:r>
            <w:r>
              <w:rPr>
                <w:rFonts w:hint="eastAsia"/>
                <w:color w:val="000000" w:themeColor="text1"/>
                <w:sz w:val="21"/>
                <w:szCs w:val="21"/>
                <w14:textFill>
                  <w14:solidFill>
                    <w14:schemeClr w14:val="tx1"/>
                  </w14:solidFill>
                </w14:textFill>
              </w:rPr>
              <w:t>范围内、近岸海域一个潮周期水质点可能达到的最大水平距离的两倍范围内，有如下一类或多类环境风险受体的：水产养殖区；天然渔场；森林公园；地质公园；海滨风景游览区；具有重要经济价值的海洋生物生存区域</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c>
          <w:tcPr>
            <w:tcW w:w="648" w:type="dxa"/>
            <w:vAlign w:val="center"/>
          </w:tcPr>
          <w:p>
            <w:pPr>
              <w:snapToGrid w:val="0"/>
              <w:spacing w:line="280" w:lineRule="exact"/>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S3</w:t>
            </w:r>
          </w:p>
        </w:tc>
        <w:tc>
          <w:tcPr>
            <w:tcW w:w="7885" w:type="dxa"/>
            <w:vAlign w:val="center"/>
          </w:tcPr>
          <w:p>
            <w:pPr>
              <w:snapToGrid w:val="0"/>
              <w:spacing w:line="280" w:lineRule="exact"/>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排放点下游（顺水流向）</w:t>
            </w:r>
            <w:r>
              <w:rPr>
                <w:color w:val="000000" w:themeColor="text1"/>
                <w:sz w:val="21"/>
                <w:szCs w:val="21"/>
                <w14:textFill>
                  <w14:solidFill>
                    <w14:schemeClr w14:val="tx1"/>
                  </w14:solidFill>
                </w14:textFill>
              </w:rPr>
              <w:t>10km</w:t>
            </w:r>
            <w:r>
              <w:rPr>
                <w:rFonts w:hint="eastAsia"/>
                <w:color w:val="000000" w:themeColor="text1"/>
                <w:sz w:val="21"/>
                <w:szCs w:val="21"/>
                <w14:textFill>
                  <w14:solidFill>
                    <w14:schemeClr w14:val="tx1"/>
                  </w14:solidFill>
                </w14:textFill>
              </w:rPr>
              <w:t>范围、近岸海域一个潮周期水质点可能达到的最大水平距离的两倍范围内无上述类型</w:t>
            </w:r>
            <w:r>
              <w:rPr>
                <w:color w:val="000000" w:themeColor="text1"/>
                <w:sz w:val="21"/>
                <w:szCs w:val="21"/>
                <w14:textFill>
                  <w14:solidFill>
                    <w14:schemeClr w14:val="tx1"/>
                  </w14:solidFill>
                </w14:textFill>
              </w:rPr>
              <w:t>1</w:t>
            </w:r>
            <w:r>
              <w:rPr>
                <w:rFonts w:hint="eastAsia"/>
                <w:color w:val="000000" w:themeColor="text1"/>
                <w:sz w:val="21"/>
                <w:szCs w:val="21"/>
                <w14:textFill>
                  <w14:solidFill>
                    <w14:schemeClr w14:val="tx1"/>
                  </w14:solidFill>
                </w14:textFill>
              </w:rPr>
              <w:t>和类型</w:t>
            </w:r>
            <w:r>
              <w:rPr>
                <w:color w:val="000000" w:themeColor="text1"/>
                <w:sz w:val="21"/>
                <w:szCs w:val="21"/>
                <w14:textFill>
                  <w14:solidFill>
                    <w14:schemeClr w14:val="tx1"/>
                  </w14:solidFill>
                </w14:textFill>
              </w:rPr>
              <w:t>2</w:t>
            </w:r>
            <w:r>
              <w:rPr>
                <w:rFonts w:hint="eastAsia"/>
                <w:color w:val="000000" w:themeColor="text1"/>
                <w:sz w:val="21"/>
                <w:szCs w:val="21"/>
                <w14:textFill>
                  <w14:solidFill>
                    <w14:schemeClr w14:val="tx1"/>
                  </w14:solidFill>
                </w14:textFill>
              </w:rPr>
              <w:t>包括的敏感保护目标</w:t>
            </w:r>
          </w:p>
        </w:tc>
      </w:tr>
    </w:tbl>
    <w:p>
      <w:pPr>
        <w:pStyle w:val="384"/>
        <w:ind w:left="0" w:firstLine="0"/>
        <w:rPr>
          <w:color w:val="000000" w:themeColor="text1"/>
          <w14:textFill>
            <w14:solidFill>
              <w14:schemeClr w14:val="tx1"/>
            </w14:solidFill>
          </w14:textFill>
        </w:rPr>
      </w:pPr>
      <w:r>
        <w:rPr>
          <w:rFonts w:hint="eastAsia"/>
          <w:color w:val="000000" w:themeColor="text1"/>
          <w14:textFill>
            <w14:solidFill>
              <w14:schemeClr w14:val="tx1"/>
            </w14:solidFill>
          </w14:textFill>
        </w:rPr>
        <w:t>地表水环境敏感程度分级</w:t>
      </w:r>
    </w:p>
    <w:tbl>
      <w:tblPr>
        <w:tblStyle w:val="88"/>
        <w:tblW w:w="8522" w:type="dxa"/>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2130"/>
        <w:gridCol w:w="2130"/>
        <w:gridCol w:w="2131"/>
        <w:gridCol w:w="2131"/>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blHeader/>
        </w:trPr>
        <w:tc>
          <w:tcPr>
            <w:tcW w:w="2130" w:type="dxa"/>
            <w:vMerge w:val="restart"/>
            <w:vAlign w:val="center"/>
          </w:tcPr>
          <w:p>
            <w:pPr>
              <w:snapToGrid w:val="0"/>
              <w:spacing w:line="280" w:lineRule="exact"/>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环境敏感目标</w:t>
            </w:r>
          </w:p>
        </w:tc>
        <w:tc>
          <w:tcPr>
            <w:tcW w:w="6392" w:type="dxa"/>
            <w:gridSpan w:val="3"/>
          </w:tcPr>
          <w:p>
            <w:pPr>
              <w:snapToGrid w:val="0"/>
              <w:spacing w:line="280" w:lineRule="exact"/>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地表水功能敏感性</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c>
          <w:tcPr>
            <w:tcW w:w="2130" w:type="dxa"/>
            <w:vMerge w:val="continue"/>
            <w:shd w:val="clear" w:color="auto" w:fill="auto"/>
          </w:tcPr>
          <w:p>
            <w:pPr>
              <w:snapToGrid w:val="0"/>
              <w:spacing w:line="280" w:lineRule="exact"/>
              <w:jc w:val="center"/>
              <w:rPr>
                <w:color w:val="000000" w:themeColor="text1"/>
                <w:sz w:val="21"/>
                <w:szCs w:val="21"/>
                <w14:textFill>
                  <w14:solidFill>
                    <w14:schemeClr w14:val="tx1"/>
                  </w14:solidFill>
                </w14:textFill>
              </w:rPr>
            </w:pPr>
          </w:p>
        </w:tc>
        <w:tc>
          <w:tcPr>
            <w:tcW w:w="2130" w:type="dxa"/>
            <w:shd w:val="clear" w:color="auto" w:fill="auto"/>
          </w:tcPr>
          <w:p>
            <w:pPr>
              <w:snapToGrid w:val="0"/>
              <w:spacing w:line="280" w:lineRule="exact"/>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F1</w:t>
            </w:r>
          </w:p>
        </w:tc>
        <w:tc>
          <w:tcPr>
            <w:tcW w:w="2131" w:type="dxa"/>
            <w:shd w:val="clear" w:color="auto" w:fill="auto"/>
          </w:tcPr>
          <w:p>
            <w:pPr>
              <w:snapToGrid w:val="0"/>
              <w:spacing w:line="280" w:lineRule="exact"/>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F2</w:t>
            </w:r>
          </w:p>
        </w:tc>
        <w:tc>
          <w:tcPr>
            <w:tcW w:w="2131" w:type="dxa"/>
            <w:shd w:val="clear" w:color="auto" w:fill="F2F2F2"/>
          </w:tcPr>
          <w:p>
            <w:pPr>
              <w:snapToGrid w:val="0"/>
              <w:spacing w:line="280" w:lineRule="exact"/>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F3</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c>
          <w:tcPr>
            <w:tcW w:w="2130" w:type="dxa"/>
            <w:shd w:val="clear" w:color="auto" w:fill="F2F2F2"/>
          </w:tcPr>
          <w:p>
            <w:pPr>
              <w:snapToGrid w:val="0"/>
              <w:spacing w:line="280" w:lineRule="exact"/>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S1</w:t>
            </w:r>
          </w:p>
        </w:tc>
        <w:tc>
          <w:tcPr>
            <w:tcW w:w="2130" w:type="dxa"/>
            <w:shd w:val="clear" w:color="auto" w:fill="auto"/>
          </w:tcPr>
          <w:p>
            <w:pPr>
              <w:snapToGrid w:val="0"/>
              <w:spacing w:line="280" w:lineRule="exact"/>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E1</w:t>
            </w:r>
          </w:p>
        </w:tc>
        <w:tc>
          <w:tcPr>
            <w:tcW w:w="2131" w:type="dxa"/>
            <w:shd w:val="clear" w:color="auto" w:fill="auto"/>
          </w:tcPr>
          <w:p>
            <w:pPr>
              <w:snapToGrid w:val="0"/>
              <w:spacing w:line="280" w:lineRule="exact"/>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E1</w:t>
            </w:r>
          </w:p>
        </w:tc>
        <w:tc>
          <w:tcPr>
            <w:tcW w:w="2131" w:type="dxa"/>
            <w:shd w:val="clear" w:color="auto" w:fill="F2F2F2"/>
          </w:tcPr>
          <w:p>
            <w:pPr>
              <w:snapToGrid w:val="0"/>
              <w:spacing w:line="280" w:lineRule="exact"/>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E2</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c>
          <w:tcPr>
            <w:tcW w:w="2130" w:type="dxa"/>
          </w:tcPr>
          <w:p>
            <w:pPr>
              <w:snapToGrid w:val="0"/>
              <w:spacing w:line="280" w:lineRule="exact"/>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S2</w:t>
            </w:r>
          </w:p>
        </w:tc>
        <w:tc>
          <w:tcPr>
            <w:tcW w:w="2130" w:type="dxa"/>
          </w:tcPr>
          <w:p>
            <w:pPr>
              <w:snapToGrid w:val="0"/>
              <w:spacing w:line="280" w:lineRule="exact"/>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E1</w:t>
            </w:r>
          </w:p>
        </w:tc>
        <w:tc>
          <w:tcPr>
            <w:tcW w:w="2131" w:type="dxa"/>
          </w:tcPr>
          <w:p>
            <w:pPr>
              <w:snapToGrid w:val="0"/>
              <w:spacing w:line="280" w:lineRule="exact"/>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E2</w:t>
            </w:r>
          </w:p>
        </w:tc>
        <w:tc>
          <w:tcPr>
            <w:tcW w:w="2131" w:type="dxa"/>
          </w:tcPr>
          <w:p>
            <w:pPr>
              <w:snapToGrid w:val="0"/>
              <w:spacing w:line="280" w:lineRule="exact"/>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E3</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c>
          <w:tcPr>
            <w:tcW w:w="2130" w:type="dxa"/>
          </w:tcPr>
          <w:p>
            <w:pPr>
              <w:snapToGrid w:val="0"/>
              <w:spacing w:line="280" w:lineRule="exact"/>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S3</w:t>
            </w:r>
          </w:p>
        </w:tc>
        <w:tc>
          <w:tcPr>
            <w:tcW w:w="2130" w:type="dxa"/>
          </w:tcPr>
          <w:p>
            <w:pPr>
              <w:snapToGrid w:val="0"/>
              <w:spacing w:line="280" w:lineRule="exact"/>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E1</w:t>
            </w:r>
          </w:p>
        </w:tc>
        <w:tc>
          <w:tcPr>
            <w:tcW w:w="2131" w:type="dxa"/>
          </w:tcPr>
          <w:p>
            <w:pPr>
              <w:snapToGrid w:val="0"/>
              <w:spacing w:line="280" w:lineRule="exact"/>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E2</w:t>
            </w:r>
          </w:p>
        </w:tc>
        <w:tc>
          <w:tcPr>
            <w:tcW w:w="2131" w:type="dxa"/>
          </w:tcPr>
          <w:p>
            <w:pPr>
              <w:snapToGrid w:val="0"/>
              <w:spacing w:line="280" w:lineRule="exact"/>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E3</w:t>
            </w:r>
          </w:p>
        </w:tc>
      </w:tr>
    </w:tbl>
    <w:p>
      <w:pPr>
        <w:tabs>
          <w:tab w:val="left" w:pos="7488"/>
        </w:tabs>
        <w:snapToGrid w:val="0"/>
        <w:spacing w:line="348" w:lineRule="auto"/>
        <w:ind w:firstLine="462" w:firstLineChars="200"/>
        <w:rPr>
          <w:color w:val="000000" w:themeColor="text1"/>
          <w14:textFill>
            <w14:solidFill>
              <w14:schemeClr w14:val="tx1"/>
            </w14:solidFill>
          </w14:textFill>
        </w:rPr>
      </w:pPr>
      <w:r>
        <w:rPr>
          <w:rFonts w:hint="eastAsia"/>
          <w:color w:val="000000" w:themeColor="text1"/>
          <w14:textFill>
            <w14:solidFill>
              <w14:schemeClr w14:val="tx1"/>
            </w14:solidFill>
          </w14:textFill>
        </w:rPr>
        <w:t>本项目无外排废水，码头前沿水域海水水质为第四类，地表水环境敏感特征为低敏感度</w:t>
      </w:r>
      <w:r>
        <w:rPr>
          <w:color w:val="000000" w:themeColor="text1"/>
          <w14:textFill>
            <w14:solidFill>
              <w14:schemeClr w14:val="tx1"/>
            </w14:solidFill>
          </w14:textFill>
        </w:rPr>
        <w:t>F3</w:t>
      </w:r>
      <w:r>
        <w:rPr>
          <w:rFonts w:hint="eastAsia"/>
          <w:color w:val="000000" w:themeColor="text1"/>
          <w14:textFill>
            <w14:solidFill>
              <w14:schemeClr w14:val="tx1"/>
            </w14:solidFill>
          </w14:textFill>
        </w:rPr>
        <w:t>。根据水环境风险预测结果，一个潮周期油膜漂移轨迹最大距离约37</w:t>
      </w:r>
      <w:r>
        <w:rPr>
          <w:color w:val="000000" w:themeColor="text1"/>
          <w14:textFill>
            <w14:solidFill>
              <w14:schemeClr w14:val="tx1"/>
            </w14:solidFill>
          </w14:textFill>
        </w:rPr>
        <w:t>km</w:t>
      </w:r>
      <w:r>
        <w:rPr>
          <w:rFonts w:hint="eastAsia"/>
          <w:color w:val="000000" w:themeColor="text1"/>
          <w14:textFill>
            <w14:solidFill>
              <w14:schemeClr w14:val="tx1"/>
            </w14:solidFill>
          </w14:textFill>
        </w:rPr>
        <w:t>，项目周边生态敏感区在一个潮周期水质点可能达到的最大水平距离的两倍范围内，故项目环境敏感目标分级为</w:t>
      </w:r>
      <w:r>
        <w:rPr>
          <w:color w:val="000000" w:themeColor="text1"/>
          <w14:textFill>
            <w14:solidFill>
              <w14:schemeClr w14:val="tx1"/>
            </w14:solidFill>
          </w14:textFill>
        </w:rPr>
        <w:t>S</w:t>
      </w:r>
      <w:r>
        <w:rPr>
          <w:rFonts w:hint="eastAsia"/>
          <w:color w:val="000000" w:themeColor="text1"/>
          <w14:textFill>
            <w14:solidFill>
              <w14:schemeClr w14:val="tx1"/>
            </w14:solidFill>
          </w14:textFill>
        </w:rPr>
        <w:t>1。综上所述，地表水环境敏感程度为环境中度敏感区（</w:t>
      </w:r>
      <w:r>
        <w:rPr>
          <w:color w:val="000000" w:themeColor="text1"/>
          <w14:textFill>
            <w14:solidFill>
              <w14:schemeClr w14:val="tx1"/>
            </w14:solidFill>
          </w14:textFill>
        </w:rPr>
        <w:t>E</w:t>
      </w:r>
      <w:r>
        <w:rPr>
          <w:rFonts w:hint="eastAsia"/>
          <w:color w:val="000000" w:themeColor="text1"/>
          <w14:textFill>
            <w14:solidFill>
              <w14:schemeClr w14:val="tx1"/>
            </w14:solidFill>
          </w14:textFill>
        </w:rPr>
        <w:t>2）。</w:t>
      </w:r>
    </w:p>
    <w:p>
      <w:pPr>
        <w:tabs>
          <w:tab w:val="left" w:pos="7488"/>
        </w:tabs>
        <w:snapToGrid w:val="0"/>
        <w:spacing w:line="348" w:lineRule="auto"/>
        <w:ind w:firstLine="462" w:firstLineChars="200"/>
        <w:rPr>
          <w:color w:val="000000" w:themeColor="text1"/>
          <w14:textFill>
            <w14:solidFill>
              <w14:schemeClr w14:val="tx1"/>
            </w14:solidFill>
          </w14:textFill>
        </w:rPr>
      </w:pPr>
      <w:r>
        <w:rPr>
          <w:rFonts w:hint="eastAsia"/>
          <w:color w:val="000000" w:themeColor="text1"/>
          <w14:textFill>
            <w14:solidFill>
              <w14:schemeClr w14:val="tx1"/>
            </w14:solidFill>
          </w14:textFill>
        </w:rPr>
        <w:t>3、地下水</w:t>
      </w:r>
    </w:p>
    <w:p>
      <w:pPr>
        <w:tabs>
          <w:tab w:val="left" w:pos="7488"/>
        </w:tabs>
        <w:snapToGrid w:val="0"/>
        <w:spacing w:line="348" w:lineRule="auto"/>
        <w:ind w:firstLine="462" w:firstLineChars="200"/>
        <w:rPr>
          <w:color w:val="000000" w:themeColor="text1"/>
          <w14:textFill>
            <w14:solidFill>
              <w14:schemeClr w14:val="tx1"/>
            </w14:solidFill>
          </w14:textFill>
        </w:rPr>
      </w:pPr>
      <w:r>
        <w:rPr>
          <w:rFonts w:hint="eastAsia"/>
          <w:color w:val="000000" w:themeColor="text1"/>
          <w14:textFill>
            <w14:solidFill>
              <w14:schemeClr w14:val="tx1"/>
            </w14:solidFill>
          </w14:textFill>
        </w:rPr>
        <w:t>依据地下水功能敏感性与包气带防污性能，共分为三种类型，</w:t>
      </w:r>
      <w:r>
        <w:rPr>
          <w:color w:val="000000" w:themeColor="text1"/>
          <w14:textFill>
            <w14:solidFill>
              <w14:schemeClr w14:val="tx1"/>
            </w14:solidFill>
          </w14:textFill>
        </w:rPr>
        <w:t>E1</w:t>
      </w:r>
      <w:r>
        <w:rPr>
          <w:rFonts w:hint="eastAsia"/>
          <w:color w:val="000000" w:themeColor="text1"/>
          <w14:textFill>
            <w14:solidFill>
              <w14:schemeClr w14:val="tx1"/>
            </w14:solidFill>
          </w14:textFill>
        </w:rPr>
        <w:t>为环境高度敏感区，</w:t>
      </w:r>
      <w:r>
        <w:rPr>
          <w:color w:val="000000" w:themeColor="text1"/>
          <w14:textFill>
            <w14:solidFill>
              <w14:schemeClr w14:val="tx1"/>
            </w14:solidFill>
          </w14:textFill>
        </w:rPr>
        <w:t>E2</w:t>
      </w:r>
      <w:r>
        <w:rPr>
          <w:rFonts w:hint="eastAsia"/>
          <w:color w:val="000000" w:themeColor="text1"/>
          <w14:textFill>
            <w14:solidFill>
              <w14:schemeClr w14:val="tx1"/>
            </w14:solidFill>
          </w14:textFill>
        </w:rPr>
        <w:t>为环境中度敏感区，</w:t>
      </w:r>
      <w:r>
        <w:rPr>
          <w:color w:val="000000" w:themeColor="text1"/>
          <w14:textFill>
            <w14:solidFill>
              <w14:schemeClr w14:val="tx1"/>
            </w14:solidFill>
          </w14:textFill>
        </w:rPr>
        <w:t>E3</w:t>
      </w:r>
      <w:r>
        <w:rPr>
          <w:rFonts w:hint="eastAsia"/>
          <w:color w:val="000000" w:themeColor="text1"/>
          <w14:textFill>
            <w14:solidFill>
              <w14:schemeClr w14:val="tx1"/>
            </w14:solidFill>
          </w14:textFill>
        </w:rPr>
        <w:t>为环境低度敏感区。当同一建设项目涉及两个</w:t>
      </w:r>
      <w:r>
        <w:rPr>
          <w:color w:val="000000" w:themeColor="text1"/>
          <w14:textFill>
            <w14:solidFill>
              <w14:schemeClr w14:val="tx1"/>
            </w14:solidFill>
          </w14:textFill>
        </w:rPr>
        <w:t>G</w:t>
      </w:r>
      <w:r>
        <w:rPr>
          <w:rFonts w:hint="eastAsia"/>
          <w:color w:val="000000" w:themeColor="text1"/>
          <w14:textFill>
            <w14:solidFill>
              <w14:schemeClr w14:val="tx1"/>
            </w14:solidFill>
          </w14:textFill>
        </w:rPr>
        <w:t>分区或</w:t>
      </w:r>
      <w:r>
        <w:rPr>
          <w:color w:val="000000" w:themeColor="text1"/>
          <w14:textFill>
            <w14:solidFill>
              <w14:schemeClr w14:val="tx1"/>
            </w14:solidFill>
          </w14:textFill>
        </w:rPr>
        <w:t>D</w:t>
      </w:r>
      <w:r>
        <w:rPr>
          <w:rFonts w:hint="eastAsia"/>
          <w:color w:val="000000" w:themeColor="text1"/>
          <w14:textFill>
            <w14:solidFill>
              <w14:schemeClr w14:val="tx1"/>
            </w14:solidFill>
          </w14:textFill>
        </w:rPr>
        <w:t>分级及以上时，取相对高值。其中地下水功能敏感性分区、包气带防污性能分级、环境敏感度分级原则分别见表</w:t>
      </w:r>
      <w:r>
        <w:rPr>
          <w:color w:val="000000" w:themeColor="text1"/>
          <w14:textFill>
            <w14:solidFill>
              <w14:schemeClr w14:val="tx1"/>
            </w14:solidFill>
          </w14:textFill>
        </w:rPr>
        <w:t>1.</w:t>
      </w:r>
      <w:r>
        <w:rPr>
          <w:rFonts w:hint="eastAsia"/>
          <w:color w:val="000000" w:themeColor="text1"/>
          <w14:textFill>
            <w14:solidFill>
              <w14:schemeClr w14:val="tx1"/>
            </w14:solidFill>
          </w14:textFill>
        </w:rPr>
        <w:t>2</w:t>
      </w:r>
      <w:r>
        <w:rPr>
          <w:color w:val="000000" w:themeColor="text1"/>
          <w14:textFill>
            <w14:solidFill>
              <w14:schemeClr w14:val="tx1"/>
            </w14:solidFill>
          </w14:textFill>
        </w:rPr>
        <w:t>-1</w:t>
      </w:r>
      <w:r>
        <w:rPr>
          <w:rFonts w:hint="eastAsia"/>
          <w:color w:val="000000" w:themeColor="text1"/>
          <w14:textFill>
            <w14:solidFill>
              <w14:schemeClr w14:val="tx1"/>
            </w14:solidFill>
          </w14:textFill>
        </w:rPr>
        <w:t>6</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表</w:t>
      </w:r>
      <w:r>
        <w:rPr>
          <w:color w:val="000000" w:themeColor="text1"/>
          <w14:textFill>
            <w14:solidFill>
              <w14:schemeClr w14:val="tx1"/>
            </w14:solidFill>
          </w14:textFill>
        </w:rPr>
        <w:t>1.</w:t>
      </w:r>
      <w:r>
        <w:rPr>
          <w:rFonts w:hint="eastAsia"/>
          <w:color w:val="000000" w:themeColor="text1"/>
          <w14:textFill>
            <w14:solidFill>
              <w14:schemeClr w14:val="tx1"/>
            </w14:solidFill>
          </w14:textFill>
        </w:rPr>
        <w:t>2</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18。</w:t>
      </w:r>
    </w:p>
    <w:p>
      <w:pPr>
        <w:pStyle w:val="384"/>
        <w:ind w:left="0" w:firstLine="0"/>
        <w:rPr>
          <w:color w:val="000000" w:themeColor="text1"/>
          <w14:textFill>
            <w14:solidFill>
              <w14:schemeClr w14:val="tx1"/>
            </w14:solidFill>
          </w14:textFill>
        </w:rPr>
      </w:pPr>
      <w:r>
        <w:rPr>
          <w:rFonts w:hint="eastAsia"/>
          <w:color w:val="000000" w:themeColor="text1"/>
          <w14:textFill>
            <w14:solidFill>
              <w14:schemeClr w14:val="tx1"/>
            </w14:solidFill>
          </w14:textFill>
        </w:rPr>
        <w:t>地下水功能敏感性分区</w:t>
      </w:r>
    </w:p>
    <w:tbl>
      <w:tblPr>
        <w:tblStyle w:val="88"/>
        <w:tblW w:w="8533" w:type="dxa"/>
        <w:jc w:val="center"/>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1103"/>
        <w:gridCol w:w="7430"/>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blHeader/>
          <w:jc w:val="center"/>
        </w:trPr>
        <w:tc>
          <w:tcPr>
            <w:tcW w:w="1103" w:type="dxa"/>
            <w:vAlign w:val="center"/>
          </w:tcPr>
          <w:p>
            <w:pPr>
              <w:snapToGrid w:val="0"/>
              <w:spacing w:line="280" w:lineRule="exact"/>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敏感性</w:t>
            </w:r>
          </w:p>
        </w:tc>
        <w:tc>
          <w:tcPr>
            <w:tcW w:w="7430" w:type="dxa"/>
            <w:vAlign w:val="center"/>
          </w:tcPr>
          <w:p>
            <w:pPr>
              <w:snapToGrid w:val="0"/>
              <w:spacing w:line="280" w:lineRule="exact"/>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地下水环境敏感特征</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jc w:val="center"/>
        </w:trPr>
        <w:tc>
          <w:tcPr>
            <w:tcW w:w="1103" w:type="dxa"/>
            <w:vAlign w:val="center"/>
          </w:tcPr>
          <w:p>
            <w:pPr>
              <w:snapToGrid w:val="0"/>
              <w:spacing w:line="280" w:lineRule="exact"/>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敏感</w:t>
            </w:r>
            <w:r>
              <w:rPr>
                <w:color w:val="000000" w:themeColor="text1"/>
                <w:sz w:val="21"/>
                <w:szCs w:val="21"/>
                <w14:textFill>
                  <w14:solidFill>
                    <w14:schemeClr w14:val="tx1"/>
                  </w14:solidFill>
                </w14:textFill>
              </w:rPr>
              <w:t>G1</w:t>
            </w:r>
          </w:p>
        </w:tc>
        <w:tc>
          <w:tcPr>
            <w:tcW w:w="7430" w:type="dxa"/>
            <w:vAlign w:val="center"/>
          </w:tcPr>
          <w:p>
            <w:pPr>
              <w:snapToGrid w:val="0"/>
              <w:spacing w:line="280" w:lineRule="exact"/>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集中式饮用水水源（包括已建成的在用、备用、应急水源，在建和规划的饮用水水源） 准保护区；除集中式饮用水水源以外的国家或地方政府设定的与地下水环境相关的其他保护区，如热水、矿泉水、温泉等特殊地下水资源保护区</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jc w:val="center"/>
        </w:trPr>
        <w:tc>
          <w:tcPr>
            <w:tcW w:w="1103" w:type="dxa"/>
            <w:vAlign w:val="center"/>
          </w:tcPr>
          <w:p>
            <w:pPr>
              <w:snapToGrid w:val="0"/>
              <w:spacing w:line="280" w:lineRule="exact"/>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 xml:space="preserve">较敏感 </w:t>
            </w:r>
            <w:r>
              <w:rPr>
                <w:color w:val="000000" w:themeColor="text1"/>
                <w:sz w:val="21"/>
                <w:szCs w:val="21"/>
                <w14:textFill>
                  <w14:solidFill>
                    <w14:schemeClr w14:val="tx1"/>
                  </w14:solidFill>
                </w14:textFill>
              </w:rPr>
              <w:t>G2</w:t>
            </w:r>
          </w:p>
        </w:tc>
        <w:tc>
          <w:tcPr>
            <w:tcW w:w="7430" w:type="dxa"/>
            <w:vAlign w:val="center"/>
          </w:tcPr>
          <w:p>
            <w:pPr>
              <w:snapToGrid w:val="0"/>
              <w:spacing w:line="280" w:lineRule="exact"/>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集中式饮用水水源（包括已建成的在用、备用、应急水源，在建和规划的饮用水水源） 准保护区以外的补给径流区；未划定准保护区的集中式饮用水水源，其保护区以外的 补给径流区；分散式饮用水水源地；特殊地下水资源（如热水、矿泉水、温泉等）保护区以外的分布区等其他未列入上述敏感分级的环境敏感区a</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jc w:val="center"/>
        </w:trPr>
        <w:tc>
          <w:tcPr>
            <w:tcW w:w="1103" w:type="dxa"/>
            <w:shd w:val="clear" w:color="auto" w:fill="F1F1F1"/>
            <w:vAlign w:val="center"/>
          </w:tcPr>
          <w:p>
            <w:pPr>
              <w:snapToGrid w:val="0"/>
              <w:spacing w:line="280" w:lineRule="exact"/>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不敏感</w:t>
            </w:r>
            <w:r>
              <w:rPr>
                <w:color w:val="000000" w:themeColor="text1"/>
                <w:sz w:val="21"/>
                <w:szCs w:val="21"/>
                <w14:textFill>
                  <w14:solidFill>
                    <w14:schemeClr w14:val="tx1"/>
                  </w14:solidFill>
                </w14:textFill>
              </w:rPr>
              <w:t xml:space="preserve"> G3</w:t>
            </w:r>
          </w:p>
        </w:tc>
        <w:tc>
          <w:tcPr>
            <w:tcW w:w="7430" w:type="dxa"/>
            <w:shd w:val="clear" w:color="auto" w:fill="F1F1F1"/>
            <w:vAlign w:val="center"/>
          </w:tcPr>
          <w:p>
            <w:pPr>
              <w:snapToGrid w:val="0"/>
              <w:spacing w:line="280" w:lineRule="exact"/>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上述地区之外的其他地区</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jc w:val="center"/>
        </w:trPr>
        <w:tc>
          <w:tcPr>
            <w:tcW w:w="8533" w:type="dxa"/>
            <w:gridSpan w:val="2"/>
            <w:vAlign w:val="center"/>
          </w:tcPr>
          <w:p>
            <w:pPr>
              <w:snapToGrid w:val="0"/>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a</w:t>
            </w:r>
            <w:r>
              <w:rPr>
                <w:rFonts w:hint="eastAsia"/>
                <w:color w:val="000000" w:themeColor="text1"/>
                <w:sz w:val="21"/>
                <w:szCs w:val="21"/>
                <w14:textFill>
                  <w14:solidFill>
                    <w14:schemeClr w14:val="tx1"/>
                  </w14:solidFill>
                </w14:textFill>
              </w:rPr>
              <w:t>“环境敏感区”是指《建设项目环境影响评价分类管理名录》中所界定的涉及地下水的环境敏感区</w:t>
            </w:r>
          </w:p>
        </w:tc>
      </w:tr>
    </w:tbl>
    <w:p>
      <w:pPr>
        <w:pStyle w:val="384"/>
        <w:ind w:left="0" w:firstLine="0"/>
        <w:rPr>
          <w:color w:val="000000" w:themeColor="text1"/>
          <w14:textFill>
            <w14:solidFill>
              <w14:schemeClr w14:val="tx1"/>
            </w14:solidFill>
          </w14:textFill>
        </w:rPr>
      </w:pPr>
      <w:r>
        <w:rPr>
          <w:rFonts w:hint="eastAsia"/>
          <w:color w:val="000000" w:themeColor="text1"/>
          <w14:textFill>
            <w14:solidFill>
              <w14:schemeClr w14:val="tx1"/>
            </w14:solidFill>
          </w14:textFill>
        </w:rPr>
        <w:t>包气带防污性能分级</w:t>
      </w:r>
    </w:p>
    <w:tbl>
      <w:tblPr>
        <w:tblStyle w:val="88"/>
        <w:tblW w:w="8533" w:type="dxa"/>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660"/>
        <w:gridCol w:w="7873"/>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c>
          <w:tcPr>
            <w:tcW w:w="660" w:type="dxa"/>
            <w:vAlign w:val="center"/>
          </w:tcPr>
          <w:p>
            <w:pPr>
              <w:snapToGrid w:val="0"/>
              <w:spacing w:line="280" w:lineRule="exact"/>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分级</w:t>
            </w:r>
          </w:p>
        </w:tc>
        <w:tc>
          <w:tcPr>
            <w:tcW w:w="7873" w:type="dxa"/>
            <w:vAlign w:val="center"/>
          </w:tcPr>
          <w:p>
            <w:pPr>
              <w:snapToGrid w:val="0"/>
              <w:spacing w:line="280" w:lineRule="exact"/>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包气带岩土的渗透性能</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c>
          <w:tcPr>
            <w:tcW w:w="660" w:type="dxa"/>
            <w:vAlign w:val="center"/>
          </w:tcPr>
          <w:p>
            <w:pPr>
              <w:snapToGrid w:val="0"/>
              <w:spacing w:line="280" w:lineRule="exact"/>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D3</w:t>
            </w:r>
          </w:p>
        </w:tc>
        <w:tc>
          <w:tcPr>
            <w:tcW w:w="7873" w:type="dxa"/>
            <w:vAlign w:val="center"/>
          </w:tcPr>
          <w:p>
            <w:pPr>
              <w:snapToGrid w:val="0"/>
              <w:spacing w:line="280" w:lineRule="exact"/>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Mb≥1.0m</w:t>
            </w:r>
            <w:r>
              <w:rPr>
                <w:rFonts w:hint="eastAsia"/>
                <w:color w:val="000000" w:themeColor="text1"/>
                <w:sz w:val="21"/>
                <w:szCs w:val="21"/>
                <w14:textFill>
                  <w14:solidFill>
                    <w14:schemeClr w14:val="tx1"/>
                  </w14:solidFill>
                </w14:textFill>
              </w:rPr>
              <w:t>，</w:t>
            </w:r>
            <w:r>
              <w:rPr>
                <w:color w:val="000000" w:themeColor="text1"/>
                <w:sz w:val="21"/>
                <w:szCs w:val="21"/>
                <w14:textFill>
                  <w14:solidFill>
                    <w14:schemeClr w14:val="tx1"/>
                  </w14:solidFill>
                </w14:textFill>
              </w:rPr>
              <w:t>K≤1.0×10</w:t>
            </w:r>
            <w:r>
              <w:rPr>
                <w:color w:val="000000" w:themeColor="text1"/>
                <w:sz w:val="21"/>
                <w:szCs w:val="21"/>
                <w:vertAlign w:val="superscript"/>
                <w14:textFill>
                  <w14:solidFill>
                    <w14:schemeClr w14:val="tx1"/>
                  </w14:solidFill>
                </w14:textFill>
              </w:rPr>
              <w:t>-6</w:t>
            </w:r>
            <w:r>
              <w:rPr>
                <w:color w:val="000000" w:themeColor="text1"/>
                <w:sz w:val="21"/>
                <w:szCs w:val="21"/>
                <w14:textFill>
                  <w14:solidFill>
                    <w14:schemeClr w14:val="tx1"/>
                  </w14:solidFill>
                </w14:textFill>
              </w:rPr>
              <w:t>cm/s</w:t>
            </w:r>
            <w:r>
              <w:rPr>
                <w:rFonts w:hint="eastAsia"/>
                <w:color w:val="000000" w:themeColor="text1"/>
                <w:sz w:val="21"/>
                <w:szCs w:val="21"/>
                <w14:textFill>
                  <w14:solidFill>
                    <w14:schemeClr w14:val="tx1"/>
                  </w14:solidFill>
                </w14:textFill>
              </w:rPr>
              <w:t>，且分布连续、稳定</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c>
          <w:tcPr>
            <w:tcW w:w="660" w:type="dxa"/>
            <w:shd w:val="clear" w:color="auto" w:fill="FFFFFF"/>
            <w:vAlign w:val="center"/>
          </w:tcPr>
          <w:p>
            <w:pPr>
              <w:snapToGrid w:val="0"/>
              <w:spacing w:line="280" w:lineRule="exact"/>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D2</w:t>
            </w:r>
          </w:p>
        </w:tc>
        <w:tc>
          <w:tcPr>
            <w:tcW w:w="7873" w:type="dxa"/>
            <w:shd w:val="clear" w:color="auto" w:fill="FFFFFF"/>
            <w:vAlign w:val="center"/>
          </w:tcPr>
          <w:p>
            <w:pPr>
              <w:snapToGrid w:val="0"/>
              <w:spacing w:line="280" w:lineRule="exact"/>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0.5m≤Mb&lt;1.0m</w:t>
            </w:r>
            <w:r>
              <w:rPr>
                <w:rFonts w:hint="eastAsia"/>
                <w:color w:val="000000" w:themeColor="text1"/>
                <w:sz w:val="21"/>
                <w:szCs w:val="21"/>
                <w14:textFill>
                  <w14:solidFill>
                    <w14:schemeClr w14:val="tx1"/>
                  </w14:solidFill>
                </w14:textFill>
              </w:rPr>
              <w:t>，</w:t>
            </w:r>
            <w:r>
              <w:rPr>
                <w:color w:val="000000" w:themeColor="text1"/>
                <w:sz w:val="21"/>
                <w:szCs w:val="21"/>
                <w14:textFill>
                  <w14:solidFill>
                    <w14:schemeClr w14:val="tx1"/>
                  </w14:solidFill>
                </w14:textFill>
              </w:rPr>
              <w:t>K≤1.0×10</w:t>
            </w:r>
            <w:r>
              <w:rPr>
                <w:color w:val="000000" w:themeColor="text1"/>
                <w:sz w:val="21"/>
                <w:szCs w:val="21"/>
                <w:vertAlign w:val="superscript"/>
                <w14:textFill>
                  <w14:solidFill>
                    <w14:schemeClr w14:val="tx1"/>
                  </w14:solidFill>
                </w14:textFill>
              </w:rPr>
              <w:t>-6</w:t>
            </w:r>
            <w:r>
              <w:rPr>
                <w:color w:val="000000" w:themeColor="text1"/>
                <w:sz w:val="21"/>
                <w:szCs w:val="21"/>
                <w14:textFill>
                  <w14:solidFill>
                    <w14:schemeClr w14:val="tx1"/>
                  </w14:solidFill>
                </w14:textFill>
              </w:rPr>
              <w:t>cm/s</w:t>
            </w:r>
            <w:r>
              <w:rPr>
                <w:rFonts w:hint="eastAsia"/>
                <w:color w:val="000000" w:themeColor="text1"/>
                <w:sz w:val="21"/>
                <w:szCs w:val="21"/>
                <w14:textFill>
                  <w14:solidFill>
                    <w14:schemeClr w14:val="tx1"/>
                  </w14:solidFill>
                </w14:textFill>
              </w:rPr>
              <w:t xml:space="preserve">，且分布连续、稳定 </w:t>
            </w:r>
            <w:r>
              <w:rPr>
                <w:color w:val="000000" w:themeColor="text1"/>
                <w:sz w:val="21"/>
                <w:szCs w:val="21"/>
                <w14:textFill>
                  <w14:solidFill>
                    <w14:schemeClr w14:val="tx1"/>
                  </w14:solidFill>
                </w14:textFill>
              </w:rPr>
              <w:t>Mb≥1.0m</w:t>
            </w:r>
            <w:r>
              <w:rPr>
                <w:rFonts w:hint="eastAsia"/>
                <w:color w:val="000000" w:themeColor="text1"/>
                <w:sz w:val="21"/>
                <w:szCs w:val="21"/>
                <w14:textFill>
                  <w14:solidFill>
                    <w14:schemeClr w14:val="tx1"/>
                  </w14:solidFill>
                </w14:textFill>
              </w:rPr>
              <w:t>，</w:t>
            </w:r>
            <w:r>
              <w:rPr>
                <w:color w:val="000000" w:themeColor="text1"/>
                <w:sz w:val="21"/>
                <w:szCs w:val="21"/>
                <w14:textFill>
                  <w14:solidFill>
                    <w14:schemeClr w14:val="tx1"/>
                  </w14:solidFill>
                </w14:textFill>
              </w:rPr>
              <w:t>1.0×10</w:t>
            </w:r>
            <w:r>
              <w:rPr>
                <w:color w:val="000000" w:themeColor="text1"/>
                <w:sz w:val="21"/>
                <w:szCs w:val="21"/>
                <w:vertAlign w:val="superscript"/>
                <w14:textFill>
                  <w14:solidFill>
                    <w14:schemeClr w14:val="tx1"/>
                  </w14:solidFill>
                </w14:textFill>
              </w:rPr>
              <w:t>-6</w:t>
            </w:r>
            <w:r>
              <w:rPr>
                <w:color w:val="000000" w:themeColor="text1"/>
                <w:sz w:val="21"/>
                <w:szCs w:val="21"/>
                <w14:textFill>
                  <w14:solidFill>
                    <w14:schemeClr w14:val="tx1"/>
                  </w14:solidFill>
                </w14:textFill>
              </w:rPr>
              <w:t>cm/s＜K≤1.0×10</w:t>
            </w:r>
            <w:r>
              <w:rPr>
                <w:color w:val="000000" w:themeColor="text1"/>
                <w:sz w:val="21"/>
                <w:szCs w:val="21"/>
                <w:vertAlign w:val="superscript"/>
                <w14:textFill>
                  <w14:solidFill>
                    <w14:schemeClr w14:val="tx1"/>
                  </w14:solidFill>
                </w14:textFill>
              </w:rPr>
              <w:t>-4</w:t>
            </w:r>
            <w:r>
              <w:rPr>
                <w:color w:val="000000" w:themeColor="text1"/>
                <w:sz w:val="21"/>
                <w:szCs w:val="21"/>
                <w14:textFill>
                  <w14:solidFill>
                    <w14:schemeClr w14:val="tx1"/>
                  </w14:solidFill>
                </w14:textFill>
              </w:rPr>
              <w:t>cm/s</w:t>
            </w:r>
            <w:r>
              <w:rPr>
                <w:rFonts w:hint="eastAsia"/>
                <w:color w:val="000000" w:themeColor="text1"/>
                <w:sz w:val="21"/>
                <w:szCs w:val="21"/>
                <w14:textFill>
                  <w14:solidFill>
                    <w14:schemeClr w14:val="tx1"/>
                  </w14:solidFill>
                </w14:textFill>
              </w:rPr>
              <w:t>，且分布连续、稳定</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c>
          <w:tcPr>
            <w:tcW w:w="660" w:type="dxa"/>
            <w:shd w:val="clear" w:color="auto" w:fill="F2F2F2"/>
            <w:vAlign w:val="center"/>
          </w:tcPr>
          <w:p>
            <w:pPr>
              <w:snapToGrid w:val="0"/>
              <w:spacing w:line="280" w:lineRule="exact"/>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D1</w:t>
            </w:r>
          </w:p>
        </w:tc>
        <w:tc>
          <w:tcPr>
            <w:tcW w:w="7873" w:type="dxa"/>
            <w:shd w:val="clear" w:color="auto" w:fill="F2F2F2"/>
            <w:vAlign w:val="center"/>
          </w:tcPr>
          <w:p>
            <w:pPr>
              <w:snapToGrid w:val="0"/>
              <w:spacing w:line="280" w:lineRule="exact"/>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岩（土）层不满足上述“</w:t>
            </w:r>
            <w:r>
              <w:rPr>
                <w:color w:val="000000" w:themeColor="text1"/>
                <w:sz w:val="21"/>
                <w:szCs w:val="21"/>
                <w14:textFill>
                  <w14:solidFill>
                    <w14:schemeClr w14:val="tx1"/>
                  </w14:solidFill>
                </w14:textFill>
              </w:rPr>
              <w:t>D2</w:t>
            </w:r>
            <w:r>
              <w:rPr>
                <w:rFonts w:hint="eastAsia"/>
                <w:color w:val="000000" w:themeColor="text1"/>
                <w:sz w:val="21"/>
                <w:szCs w:val="21"/>
                <w14:textFill>
                  <w14:solidFill>
                    <w14:schemeClr w14:val="tx1"/>
                  </w14:solidFill>
                </w14:textFill>
              </w:rPr>
              <w:t>”和“</w:t>
            </w:r>
            <w:r>
              <w:rPr>
                <w:color w:val="000000" w:themeColor="text1"/>
                <w:sz w:val="21"/>
                <w:szCs w:val="21"/>
                <w14:textFill>
                  <w14:solidFill>
                    <w14:schemeClr w14:val="tx1"/>
                  </w14:solidFill>
                </w14:textFill>
              </w:rPr>
              <w:t>D3</w:t>
            </w:r>
            <w:r>
              <w:rPr>
                <w:rFonts w:hint="eastAsia"/>
                <w:color w:val="000000" w:themeColor="text1"/>
                <w:sz w:val="21"/>
                <w:szCs w:val="21"/>
                <w14:textFill>
                  <w14:solidFill>
                    <w14:schemeClr w14:val="tx1"/>
                  </w14:solidFill>
                </w14:textFill>
              </w:rPr>
              <w:t>”条件</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c>
          <w:tcPr>
            <w:tcW w:w="8533" w:type="dxa"/>
            <w:gridSpan w:val="2"/>
            <w:vAlign w:val="center"/>
          </w:tcPr>
          <w:p>
            <w:pPr>
              <w:snapToGrid w:val="0"/>
              <w:spacing w:line="280" w:lineRule="exact"/>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Mb</w:t>
            </w:r>
            <w:r>
              <w:rPr>
                <w:rFonts w:hint="eastAsia"/>
                <w:color w:val="000000" w:themeColor="text1"/>
                <w:sz w:val="21"/>
                <w:szCs w:val="21"/>
                <w14:textFill>
                  <w14:solidFill>
                    <w14:schemeClr w14:val="tx1"/>
                  </w14:solidFill>
                </w14:textFill>
              </w:rPr>
              <w:t>：岩土层单层厚度。</w:t>
            </w:r>
            <w:r>
              <w:rPr>
                <w:color w:val="000000" w:themeColor="text1"/>
                <w:sz w:val="21"/>
                <w:szCs w:val="21"/>
                <w14:textFill>
                  <w14:solidFill>
                    <w14:schemeClr w14:val="tx1"/>
                  </w14:solidFill>
                </w14:textFill>
              </w:rPr>
              <w:t>K</w:t>
            </w:r>
            <w:r>
              <w:rPr>
                <w:rFonts w:hint="eastAsia"/>
                <w:color w:val="000000" w:themeColor="text1"/>
                <w:sz w:val="21"/>
                <w:szCs w:val="21"/>
                <w14:textFill>
                  <w14:solidFill>
                    <w14:schemeClr w14:val="tx1"/>
                  </w14:solidFill>
                </w14:textFill>
              </w:rPr>
              <w:t>：渗透系数。</w:t>
            </w:r>
          </w:p>
        </w:tc>
      </w:tr>
    </w:tbl>
    <w:p>
      <w:pPr>
        <w:pStyle w:val="384"/>
        <w:ind w:left="0" w:firstLine="0"/>
        <w:rPr>
          <w:color w:val="000000" w:themeColor="text1"/>
          <w14:textFill>
            <w14:solidFill>
              <w14:schemeClr w14:val="tx1"/>
            </w14:solidFill>
          </w14:textFill>
        </w:rPr>
      </w:pPr>
      <w:r>
        <w:rPr>
          <w:rFonts w:hint="eastAsia"/>
          <w:color w:val="000000" w:themeColor="text1"/>
          <w14:textFill>
            <w14:solidFill>
              <w14:schemeClr w14:val="tx1"/>
            </w14:solidFill>
          </w14:textFill>
        </w:rPr>
        <w:t>地下水敏感程度分级</w:t>
      </w:r>
    </w:p>
    <w:tbl>
      <w:tblPr>
        <w:tblStyle w:val="88"/>
        <w:tblW w:w="8533" w:type="dxa"/>
        <w:jc w:val="center"/>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2133"/>
        <w:gridCol w:w="2133"/>
        <w:gridCol w:w="2134"/>
        <w:gridCol w:w="2133"/>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blHeader/>
          <w:jc w:val="center"/>
        </w:trPr>
        <w:tc>
          <w:tcPr>
            <w:tcW w:w="2133" w:type="dxa"/>
            <w:vMerge w:val="restart"/>
            <w:vAlign w:val="center"/>
          </w:tcPr>
          <w:p>
            <w:pPr>
              <w:snapToGrid w:val="0"/>
              <w:spacing w:line="280" w:lineRule="exact"/>
              <w:jc w:val="center"/>
              <w:rPr>
                <w:color w:val="000000" w:themeColor="text1"/>
                <w:sz w:val="21"/>
                <w:szCs w:val="21"/>
                <w14:textFill>
                  <w14:solidFill>
                    <w14:schemeClr w14:val="tx1"/>
                  </w14:solidFill>
                </w14:textFill>
              </w:rPr>
            </w:pPr>
            <w:r>
              <w:rPr>
                <w:rFonts w:hint="eastAsia"/>
                <w:b/>
                <w:bCs/>
                <w:color w:val="000000" w:themeColor="text1"/>
                <w:sz w:val="21"/>
                <w:szCs w:val="21"/>
                <w14:textFill>
                  <w14:solidFill>
                    <w14:schemeClr w14:val="tx1"/>
                  </w14:solidFill>
                </w14:textFill>
              </w:rPr>
              <w:t>包气带防污性能</w:t>
            </w:r>
          </w:p>
        </w:tc>
        <w:tc>
          <w:tcPr>
            <w:tcW w:w="6400" w:type="dxa"/>
            <w:gridSpan w:val="3"/>
            <w:vAlign w:val="center"/>
          </w:tcPr>
          <w:p>
            <w:pPr>
              <w:snapToGrid w:val="0"/>
              <w:spacing w:line="280" w:lineRule="exact"/>
              <w:jc w:val="center"/>
              <w:rPr>
                <w:color w:val="000000" w:themeColor="text1"/>
                <w:sz w:val="21"/>
                <w:szCs w:val="21"/>
                <w14:textFill>
                  <w14:solidFill>
                    <w14:schemeClr w14:val="tx1"/>
                  </w14:solidFill>
                </w14:textFill>
              </w:rPr>
            </w:pPr>
            <w:r>
              <w:rPr>
                <w:rFonts w:hint="eastAsia"/>
                <w:b/>
                <w:bCs/>
                <w:color w:val="000000" w:themeColor="text1"/>
                <w:sz w:val="21"/>
                <w:szCs w:val="21"/>
                <w14:textFill>
                  <w14:solidFill>
                    <w14:schemeClr w14:val="tx1"/>
                  </w14:solidFill>
                </w14:textFill>
              </w:rPr>
              <w:t>地下水功能敏感性</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blHeader/>
          <w:jc w:val="center"/>
        </w:trPr>
        <w:tc>
          <w:tcPr>
            <w:tcW w:w="2133" w:type="dxa"/>
            <w:vMerge w:val="continue"/>
            <w:shd w:val="clear" w:color="auto" w:fill="auto"/>
            <w:vAlign w:val="center"/>
          </w:tcPr>
          <w:p>
            <w:pPr>
              <w:snapToGrid w:val="0"/>
              <w:spacing w:line="280" w:lineRule="exact"/>
              <w:jc w:val="center"/>
              <w:rPr>
                <w:color w:val="000000" w:themeColor="text1"/>
                <w:sz w:val="21"/>
                <w:szCs w:val="21"/>
                <w14:textFill>
                  <w14:solidFill>
                    <w14:schemeClr w14:val="tx1"/>
                  </w14:solidFill>
                </w14:textFill>
              </w:rPr>
            </w:pPr>
          </w:p>
        </w:tc>
        <w:tc>
          <w:tcPr>
            <w:tcW w:w="2133" w:type="dxa"/>
            <w:shd w:val="clear" w:color="auto" w:fill="auto"/>
            <w:vAlign w:val="center"/>
          </w:tcPr>
          <w:p>
            <w:pPr>
              <w:snapToGrid w:val="0"/>
              <w:spacing w:line="280" w:lineRule="exact"/>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G1</w:t>
            </w:r>
          </w:p>
        </w:tc>
        <w:tc>
          <w:tcPr>
            <w:tcW w:w="2134" w:type="dxa"/>
            <w:shd w:val="clear" w:color="auto" w:fill="auto"/>
            <w:vAlign w:val="center"/>
          </w:tcPr>
          <w:p>
            <w:pPr>
              <w:snapToGrid w:val="0"/>
              <w:spacing w:line="280" w:lineRule="exact"/>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G2</w:t>
            </w:r>
          </w:p>
        </w:tc>
        <w:tc>
          <w:tcPr>
            <w:tcW w:w="2133" w:type="dxa"/>
            <w:shd w:val="clear" w:color="auto" w:fill="F1F1F1"/>
            <w:vAlign w:val="center"/>
          </w:tcPr>
          <w:p>
            <w:pPr>
              <w:snapToGrid w:val="0"/>
              <w:spacing w:line="280" w:lineRule="exact"/>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G3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258" w:hRule="atLeast"/>
          <w:jc w:val="center"/>
        </w:trPr>
        <w:tc>
          <w:tcPr>
            <w:tcW w:w="2133" w:type="dxa"/>
            <w:shd w:val="clear" w:color="auto" w:fill="F2F2F2"/>
            <w:vAlign w:val="center"/>
          </w:tcPr>
          <w:p>
            <w:pPr>
              <w:snapToGrid w:val="0"/>
              <w:spacing w:line="280" w:lineRule="exact"/>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D1</w:t>
            </w:r>
          </w:p>
        </w:tc>
        <w:tc>
          <w:tcPr>
            <w:tcW w:w="2133" w:type="dxa"/>
            <w:shd w:val="clear" w:color="auto" w:fill="auto"/>
            <w:vAlign w:val="center"/>
          </w:tcPr>
          <w:p>
            <w:pPr>
              <w:snapToGrid w:val="0"/>
              <w:spacing w:line="280" w:lineRule="exact"/>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E1</w:t>
            </w:r>
          </w:p>
        </w:tc>
        <w:tc>
          <w:tcPr>
            <w:tcW w:w="2134" w:type="dxa"/>
            <w:shd w:val="clear" w:color="auto" w:fill="auto"/>
            <w:vAlign w:val="center"/>
          </w:tcPr>
          <w:p>
            <w:pPr>
              <w:snapToGrid w:val="0"/>
              <w:spacing w:line="280" w:lineRule="exact"/>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E1</w:t>
            </w:r>
          </w:p>
        </w:tc>
        <w:tc>
          <w:tcPr>
            <w:tcW w:w="2133" w:type="dxa"/>
            <w:shd w:val="clear" w:color="auto" w:fill="F2F2F2"/>
            <w:vAlign w:val="center"/>
          </w:tcPr>
          <w:p>
            <w:pPr>
              <w:snapToGrid w:val="0"/>
              <w:spacing w:line="280" w:lineRule="exact"/>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E2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133" w:type="dxa"/>
            <w:shd w:val="clear" w:color="auto" w:fill="FFFFFF"/>
            <w:vAlign w:val="center"/>
          </w:tcPr>
          <w:p>
            <w:pPr>
              <w:snapToGrid w:val="0"/>
              <w:spacing w:line="280" w:lineRule="exact"/>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D2</w:t>
            </w:r>
          </w:p>
        </w:tc>
        <w:tc>
          <w:tcPr>
            <w:tcW w:w="2133" w:type="dxa"/>
            <w:shd w:val="clear" w:color="auto" w:fill="auto"/>
            <w:vAlign w:val="center"/>
          </w:tcPr>
          <w:p>
            <w:pPr>
              <w:snapToGrid w:val="0"/>
              <w:spacing w:line="280" w:lineRule="exact"/>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E1</w:t>
            </w:r>
          </w:p>
        </w:tc>
        <w:tc>
          <w:tcPr>
            <w:tcW w:w="2134" w:type="dxa"/>
            <w:shd w:val="clear" w:color="auto" w:fill="auto"/>
            <w:vAlign w:val="center"/>
          </w:tcPr>
          <w:p>
            <w:pPr>
              <w:snapToGrid w:val="0"/>
              <w:spacing w:line="280" w:lineRule="exact"/>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E2</w:t>
            </w:r>
          </w:p>
        </w:tc>
        <w:tc>
          <w:tcPr>
            <w:tcW w:w="2133" w:type="dxa"/>
            <w:shd w:val="clear" w:color="auto" w:fill="FFFFFF"/>
            <w:vAlign w:val="center"/>
          </w:tcPr>
          <w:p>
            <w:pPr>
              <w:snapToGrid w:val="0"/>
              <w:spacing w:line="280" w:lineRule="exact"/>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E3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133" w:type="dxa"/>
            <w:vAlign w:val="center"/>
          </w:tcPr>
          <w:p>
            <w:pPr>
              <w:snapToGrid w:val="0"/>
              <w:spacing w:line="280" w:lineRule="exact"/>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D3</w:t>
            </w:r>
          </w:p>
        </w:tc>
        <w:tc>
          <w:tcPr>
            <w:tcW w:w="2133" w:type="dxa"/>
            <w:vAlign w:val="center"/>
          </w:tcPr>
          <w:p>
            <w:pPr>
              <w:snapToGrid w:val="0"/>
              <w:spacing w:line="280" w:lineRule="exact"/>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E2</w:t>
            </w:r>
          </w:p>
        </w:tc>
        <w:tc>
          <w:tcPr>
            <w:tcW w:w="2134" w:type="dxa"/>
            <w:vAlign w:val="center"/>
          </w:tcPr>
          <w:p>
            <w:pPr>
              <w:snapToGrid w:val="0"/>
              <w:spacing w:line="280" w:lineRule="exact"/>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E3</w:t>
            </w:r>
          </w:p>
        </w:tc>
        <w:tc>
          <w:tcPr>
            <w:tcW w:w="2133" w:type="dxa"/>
            <w:vAlign w:val="center"/>
          </w:tcPr>
          <w:p>
            <w:pPr>
              <w:snapToGrid w:val="0"/>
              <w:spacing w:line="280" w:lineRule="exact"/>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E3</w:t>
            </w:r>
          </w:p>
        </w:tc>
      </w:tr>
    </w:tbl>
    <w:p>
      <w:pPr>
        <w:tabs>
          <w:tab w:val="left" w:pos="7488"/>
        </w:tabs>
        <w:snapToGrid w:val="0"/>
        <w:spacing w:line="348" w:lineRule="auto"/>
        <w:ind w:firstLine="462" w:firstLineChars="200"/>
        <w:rPr>
          <w:color w:val="000000" w:themeColor="text1"/>
          <w14:textFill>
            <w14:solidFill>
              <w14:schemeClr w14:val="tx1"/>
            </w14:solidFill>
          </w14:textFill>
        </w:rPr>
      </w:pPr>
      <w:r>
        <w:rPr>
          <w:rFonts w:hint="eastAsia"/>
          <w:color w:val="000000" w:themeColor="text1"/>
          <w14:textFill>
            <w14:solidFill>
              <w14:schemeClr w14:val="tx1"/>
            </w14:solidFill>
          </w14:textFill>
        </w:rPr>
        <w:t>项目所在场地原为海域，属于海岸阶地地貌，经人工吹填砂形成，场地较为平整，包气带防污性能分级为</w:t>
      </w:r>
      <w:r>
        <w:rPr>
          <w:color w:val="000000" w:themeColor="text1"/>
          <w14:textFill>
            <w14:solidFill>
              <w14:schemeClr w14:val="tx1"/>
            </w14:solidFill>
          </w14:textFill>
        </w:rPr>
        <w:t>D</w:t>
      </w:r>
      <w:r>
        <w:rPr>
          <w:rFonts w:hint="eastAsia"/>
          <w:color w:val="000000" w:themeColor="text1"/>
          <w14:textFill>
            <w14:solidFill>
              <w14:schemeClr w14:val="tx1"/>
            </w14:solidFill>
          </w14:textFill>
        </w:rPr>
        <w:t>1。</w:t>
      </w:r>
    </w:p>
    <w:p>
      <w:pPr>
        <w:tabs>
          <w:tab w:val="left" w:pos="7488"/>
        </w:tabs>
        <w:snapToGrid w:val="0"/>
        <w:spacing w:line="348" w:lineRule="auto"/>
        <w:ind w:firstLine="462" w:firstLineChars="200"/>
        <w:rPr>
          <w:color w:val="000000" w:themeColor="text1"/>
          <w14:textFill>
            <w14:solidFill>
              <w14:schemeClr w14:val="tx1"/>
            </w14:solidFill>
          </w14:textFill>
        </w:rPr>
      </w:pPr>
      <w:r>
        <w:rPr>
          <w:rFonts w:hint="eastAsia"/>
          <w:color w:val="000000" w:themeColor="text1"/>
          <w14:textFill>
            <w14:solidFill>
              <w14:schemeClr w14:val="tx1"/>
            </w14:solidFill>
          </w14:textFill>
        </w:rPr>
        <w:t>本项目所在区域无集中式饮用水水源（包括已建成的在用、备用、应急水源，在建和规划的饮用水水源）准保护区；除集中式饮用水水源以外的国家或地方政府设定的与地下水环境相关的其他保护区等环境敏感区，地下水功能敏感性特征为低敏感</w:t>
      </w:r>
      <w:r>
        <w:rPr>
          <w:color w:val="000000" w:themeColor="text1"/>
          <w14:textFill>
            <w14:solidFill>
              <w14:schemeClr w14:val="tx1"/>
            </w14:solidFill>
          </w14:textFill>
        </w:rPr>
        <w:t>G3</w:t>
      </w:r>
      <w:r>
        <w:rPr>
          <w:rFonts w:hint="eastAsia"/>
          <w:color w:val="000000" w:themeColor="text1"/>
          <w14:textFill>
            <w14:solidFill>
              <w14:schemeClr w14:val="tx1"/>
            </w14:solidFill>
          </w14:textFill>
        </w:rPr>
        <w:t>，地下水环境敏感程度为环境低度敏感区（</w:t>
      </w:r>
      <w:r>
        <w:rPr>
          <w:color w:val="000000" w:themeColor="text1"/>
          <w14:textFill>
            <w14:solidFill>
              <w14:schemeClr w14:val="tx1"/>
            </w14:solidFill>
          </w14:textFill>
        </w:rPr>
        <w:t>E</w:t>
      </w:r>
      <w:r>
        <w:rPr>
          <w:rFonts w:hint="eastAsia"/>
          <w:color w:val="000000" w:themeColor="text1"/>
          <w14:textFill>
            <w14:solidFill>
              <w14:schemeClr w14:val="tx1"/>
            </w14:solidFill>
          </w14:textFill>
        </w:rPr>
        <w:t>2）。</w:t>
      </w:r>
    </w:p>
    <w:p>
      <w:pPr>
        <w:tabs>
          <w:tab w:val="left" w:pos="7488"/>
        </w:tabs>
        <w:snapToGrid w:val="0"/>
        <w:spacing w:line="348" w:lineRule="auto"/>
        <w:ind w:left="465"/>
        <w:outlineLvl w:val="4"/>
        <w:rPr>
          <w:b/>
          <w:bCs/>
          <w:color w:val="000000" w:themeColor="text1"/>
          <w14:textFill>
            <w14:solidFill>
              <w14:schemeClr w14:val="tx1"/>
            </w14:solidFill>
          </w14:textFill>
        </w:rPr>
      </w:pPr>
      <w:r>
        <w:rPr>
          <w:rFonts w:hint="eastAsia"/>
          <w:b/>
          <w:bCs/>
          <w:color w:val="000000" w:themeColor="text1"/>
          <w14:textFill>
            <w14:solidFill>
              <w14:schemeClr w14:val="tx1"/>
            </w14:solidFill>
          </w14:textFill>
        </w:rPr>
        <w:t>三、环境风险潜势判断、评价等级</w:t>
      </w:r>
    </w:p>
    <w:p>
      <w:pPr>
        <w:tabs>
          <w:tab w:val="left" w:pos="7488"/>
        </w:tabs>
        <w:snapToGrid w:val="0"/>
        <w:spacing w:line="348" w:lineRule="auto"/>
        <w:ind w:firstLine="462" w:firstLineChars="200"/>
        <w:rPr>
          <w:color w:val="000000" w:themeColor="text1"/>
          <w14:textFill>
            <w14:solidFill>
              <w14:schemeClr w14:val="tx1"/>
            </w14:solidFill>
          </w14:textFill>
        </w:rPr>
      </w:pPr>
      <w:r>
        <w:rPr>
          <w:rFonts w:hint="eastAsia"/>
          <w:color w:val="000000" w:themeColor="text1"/>
          <w14:textFill>
            <w14:solidFill>
              <w14:schemeClr w14:val="tx1"/>
            </w14:solidFill>
          </w14:textFill>
        </w:rPr>
        <w:t>根据建设项目涉及的物质和工艺系统的危险性及其所在地的环境敏感程度，结合事故情形下环境影响途径，对建设项目潜在环境危害程度进行概化分析，按照表1.2</w:t>
      </w:r>
      <w:r>
        <w:rPr>
          <w:color w:val="000000" w:themeColor="text1"/>
          <w14:textFill>
            <w14:solidFill>
              <w14:schemeClr w14:val="tx1"/>
            </w14:solidFill>
          </w14:textFill>
        </w:rPr>
        <w:t>-1</w:t>
      </w:r>
      <w:r>
        <w:rPr>
          <w:rFonts w:hint="eastAsia"/>
          <w:color w:val="000000" w:themeColor="text1"/>
          <w14:textFill>
            <w14:solidFill>
              <w14:schemeClr w14:val="tx1"/>
            </w14:solidFill>
          </w14:textFill>
        </w:rPr>
        <w:t>9确定环境风险潜势，表1.2</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20确定环境风险等级。建设项目环境风险潜势综合等级取各要素等级的相对高值。</w:t>
      </w:r>
    </w:p>
    <w:p>
      <w:pPr>
        <w:pStyle w:val="384"/>
        <w:ind w:left="0" w:firstLine="0"/>
        <w:rPr>
          <w:color w:val="000000" w:themeColor="text1"/>
          <w14:textFill>
            <w14:solidFill>
              <w14:schemeClr w14:val="tx1"/>
            </w14:solidFill>
          </w14:textFill>
        </w:rPr>
      </w:pPr>
      <w:r>
        <w:rPr>
          <w:rFonts w:hint="eastAsia"/>
          <w:color w:val="000000" w:themeColor="text1"/>
          <w14:textFill>
            <w14:solidFill>
              <w14:schemeClr w14:val="tx1"/>
            </w14:solidFill>
          </w14:textFill>
        </w:rPr>
        <w:t>建设项目环境风险潜势划分</w:t>
      </w:r>
    </w:p>
    <w:tbl>
      <w:tblPr>
        <w:tblStyle w:val="88"/>
        <w:tblW w:w="8533" w:type="dxa"/>
        <w:jc w:val="center"/>
        <w:tblInd w:w="0" w:type="dxa"/>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706"/>
        <w:gridCol w:w="1706"/>
        <w:gridCol w:w="1707"/>
        <w:gridCol w:w="1707"/>
        <w:gridCol w:w="1707"/>
      </w:tblGrid>
      <w:tr>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706" w:type="dxa"/>
            <w:vMerge w:val="restart"/>
            <w:tcBorders>
              <w:top w:val="single" w:color="auto" w:sz="12" w:space="0"/>
              <w:left w:val="single" w:color="auto" w:sz="12" w:space="0"/>
              <w:bottom w:val="single" w:color="auto" w:sz="4" w:space="0"/>
            </w:tcBorders>
            <w:vAlign w:val="center"/>
          </w:tcPr>
          <w:p>
            <w:pPr>
              <w:pStyle w:val="34"/>
              <w:snapToGrid w:val="0"/>
              <w:spacing w:line="280" w:lineRule="exact"/>
              <w:jc w:val="center"/>
              <w:rPr>
                <w:color w:val="000000" w:themeColor="text1"/>
                <w:spacing w:val="-2"/>
                <w:sz w:val="21"/>
                <w:szCs w:val="21"/>
                <w14:textFill>
                  <w14:solidFill>
                    <w14:schemeClr w14:val="tx1"/>
                  </w14:solidFill>
                </w14:textFill>
              </w:rPr>
            </w:pPr>
            <w:r>
              <w:rPr>
                <w:rFonts w:hint="eastAsia"/>
                <w:b/>
                <w:bCs/>
                <w:color w:val="000000" w:themeColor="text1"/>
                <w:spacing w:val="-2"/>
                <w:sz w:val="21"/>
                <w:szCs w:val="21"/>
                <w14:textFill>
                  <w14:solidFill>
                    <w14:schemeClr w14:val="tx1"/>
                  </w14:solidFill>
                </w14:textFill>
              </w:rPr>
              <w:t>环境敏感程度（</w:t>
            </w:r>
            <w:r>
              <w:rPr>
                <w:b/>
                <w:bCs/>
                <w:color w:val="000000" w:themeColor="text1"/>
                <w:spacing w:val="-2"/>
                <w:sz w:val="21"/>
                <w:szCs w:val="21"/>
                <w14:textFill>
                  <w14:solidFill>
                    <w14:schemeClr w14:val="tx1"/>
                  </w14:solidFill>
                </w14:textFill>
              </w:rPr>
              <w:t>E</w:t>
            </w:r>
            <w:r>
              <w:rPr>
                <w:rFonts w:hint="eastAsia"/>
                <w:b/>
                <w:bCs/>
                <w:color w:val="000000" w:themeColor="text1"/>
                <w:spacing w:val="-2"/>
                <w:sz w:val="21"/>
                <w:szCs w:val="21"/>
                <w14:textFill>
                  <w14:solidFill>
                    <w14:schemeClr w14:val="tx1"/>
                  </w14:solidFill>
                </w14:textFill>
              </w:rPr>
              <w:t>）</w:t>
            </w:r>
          </w:p>
        </w:tc>
        <w:tc>
          <w:tcPr>
            <w:tcW w:w="6827" w:type="dxa"/>
            <w:gridSpan w:val="4"/>
            <w:tcBorders>
              <w:top w:val="single" w:color="auto" w:sz="12" w:space="0"/>
              <w:bottom w:val="single" w:color="auto" w:sz="4" w:space="0"/>
              <w:right w:val="single" w:color="auto" w:sz="12" w:space="0"/>
            </w:tcBorders>
            <w:vAlign w:val="center"/>
          </w:tcPr>
          <w:p>
            <w:pPr>
              <w:pStyle w:val="34"/>
              <w:snapToGrid w:val="0"/>
              <w:spacing w:line="280" w:lineRule="exact"/>
              <w:jc w:val="center"/>
              <w:rPr>
                <w:color w:val="000000" w:themeColor="text1"/>
                <w:spacing w:val="-2"/>
                <w:sz w:val="21"/>
                <w:szCs w:val="21"/>
                <w14:textFill>
                  <w14:solidFill>
                    <w14:schemeClr w14:val="tx1"/>
                  </w14:solidFill>
                </w14:textFill>
              </w:rPr>
            </w:pPr>
            <w:r>
              <w:rPr>
                <w:rFonts w:hint="eastAsia"/>
                <w:b/>
                <w:bCs/>
                <w:color w:val="000000" w:themeColor="text1"/>
                <w:spacing w:val="-2"/>
                <w:sz w:val="21"/>
                <w:szCs w:val="21"/>
                <w14:textFill>
                  <w14:solidFill>
                    <w14:schemeClr w14:val="tx1"/>
                  </w14:solidFill>
                </w14:textFill>
              </w:rPr>
              <w:t>危险物质及工艺系统危险性（</w:t>
            </w:r>
            <w:r>
              <w:rPr>
                <w:b/>
                <w:bCs/>
                <w:color w:val="000000" w:themeColor="text1"/>
                <w:spacing w:val="-2"/>
                <w:sz w:val="21"/>
                <w:szCs w:val="21"/>
                <w14:textFill>
                  <w14:solidFill>
                    <w14:schemeClr w14:val="tx1"/>
                  </w14:solidFill>
                </w14:textFill>
              </w:rPr>
              <w:t>P</w:t>
            </w:r>
            <w:r>
              <w:rPr>
                <w:rFonts w:hint="eastAsia"/>
                <w:b/>
                <w:bCs/>
                <w:color w:val="000000" w:themeColor="text1"/>
                <w:spacing w:val="-2"/>
                <w:sz w:val="21"/>
                <w:szCs w:val="21"/>
                <w14:textFill>
                  <w14:solidFill>
                    <w14:schemeClr w14:val="tx1"/>
                  </w14:solidFill>
                </w14:textFill>
              </w:rPr>
              <w:t>）</w:t>
            </w:r>
          </w:p>
        </w:tc>
      </w:tr>
      <w:tr>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706" w:type="dxa"/>
            <w:vMerge w:val="continue"/>
            <w:tcBorders>
              <w:top w:val="single" w:color="auto" w:sz="4" w:space="0"/>
              <w:left w:val="single" w:color="auto" w:sz="12" w:space="0"/>
              <w:bottom w:val="single" w:color="auto" w:sz="4" w:space="0"/>
            </w:tcBorders>
            <w:shd w:val="clear" w:color="auto" w:fill="auto"/>
            <w:vAlign w:val="center"/>
          </w:tcPr>
          <w:p>
            <w:pPr>
              <w:pStyle w:val="34"/>
              <w:snapToGrid w:val="0"/>
              <w:spacing w:line="280" w:lineRule="exact"/>
              <w:jc w:val="center"/>
              <w:rPr>
                <w:color w:val="000000" w:themeColor="text1"/>
                <w:spacing w:val="-2"/>
                <w:sz w:val="21"/>
                <w:szCs w:val="21"/>
                <w14:textFill>
                  <w14:solidFill>
                    <w14:schemeClr w14:val="tx1"/>
                  </w14:solidFill>
                </w14:textFill>
              </w:rPr>
            </w:pPr>
          </w:p>
        </w:tc>
        <w:tc>
          <w:tcPr>
            <w:tcW w:w="1706" w:type="dxa"/>
            <w:tcBorders>
              <w:top w:val="single" w:color="auto" w:sz="4" w:space="0"/>
              <w:bottom w:val="single" w:color="auto" w:sz="4" w:space="0"/>
            </w:tcBorders>
            <w:shd w:val="clear" w:color="auto" w:fill="auto"/>
            <w:vAlign w:val="center"/>
          </w:tcPr>
          <w:p>
            <w:pPr>
              <w:pStyle w:val="34"/>
              <w:snapToGrid w:val="0"/>
              <w:spacing w:line="280" w:lineRule="exact"/>
              <w:jc w:val="center"/>
              <w:rPr>
                <w:b/>
                <w:bCs/>
                <w:color w:val="000000" w:themeColor="text1"/>
                <w:spacing w:val="-2"/>
                <w:sz w:val="21"/>
                <w:szCs w:val="21"/>
                <w14:textFill>
                  <w14:solidFill>
                    <w14:schemeClr w14:val="tx1"/>
                  </w14:solidFill>
                </w14:textFill>
              </w:rPr>
            </w:pPr>
            <w:r>
              <w:rPr>
                <w:rFonts w:hint="eastAsia"/>
                <w:b/>
                <w:bCs/>
                <w:color w:val="000000" w:themeColor="text1"/>
                <w:spacing w:val="-2"/>
                <w:sz w:val="21"/>
                <w:szCs w:val="21"/>
                <w14:textFill>
                  <w14:solidFill>
                    <w14:schemeClr w14:val="tx1"/>
                  </w14:solidFill>
                </w14:textFill>
              </w:rPr>
              <w:t>极高危害（</w:t>
            </w:r>
            <w:r>
              <w:rPr>
                <w:b/>
                <w:bCs/>
                <w:color w:val="000000" w:themeColor="text1"/>
                <w:spacing w:val="-2"/>
                <w:sz w:val="21"/>
                <w:szCs w:val="21"/>
                <w14:textFill>
                  <w14:solidFill>
                    <w14:schemeClr w14:val="tx1"/>
                  </w14:solidFill>
                </w14:textFill>
              </w:rPr>
              <w:t>P1</w:t>
            </w:r>
            <w:r>
              <w:rPr>
                <w:rFonts w:hint="eastAsia"/>
                <w:b/>
                <w:bCs/>
                <w:color w:val="000000" w:themeColor="text1"/>
                <w:spacing w:val="-2"/>
                <w:sz w:val="21"/>
                <w:szCs w:val="21"/>
                <w14:textFill>
                  <w14:solidFill>
                    <w14:schemeClr w14:val="tx1"/>
                  </w14:solidFill>
                </w14:textFill>
              </w:rPr>
              <w:t>）</w:t>
            </w:r>
          </w:p>
        </w:tc>
        <w:tc>
          <w:tcPr>
            <w:tcW w:w="1707" w:type="dxa"/>
            <w:tcBorders>
              <w:top w:val="single" w:color="auto" w:sz="4" w:space="0"/>
              <w:bottom w:val="single" w:color="auto" w:sz="4" w:space="0"/>
            </w:tcBorders>
            <w:shd w:val="clear" w:color="auto" w:fill="FFFFFF" w:themeFill="background1"/>
            <w:vAlign w:val="center"/>
          </w:tcPr>
          <w:p>
            <w:pPr>
              <w:pStyle w:val="34"/>
              <w:snapToGrid w:val="0"/>
              <w:spacing w:line="280" w:lineRule="exact"/>
              <w:jc w:val="center"/>
              <w:rPr>
                <w:b/>
                <w:bCs/>
                <w:color w:val="000000" w:themeColor="text1"/>
                <w:spacing w:val="-2"/>
                <w:sz w:val="21"/>
                <w:szCs w:val="21"/>
                <w14:textFill>
                  <w14:solidFill>
                    <w14:schemeClr w14:val="tx1"/>
                  </w14:solidFill>
                </w14:textFill>
              </w:rPr>
            </w:pPr>
            <w:r>
              <w:rPr>
                <w:rFonts w:hint="eastAsia"/>
                <w:b/>
                <w:bCs/>
                <w:color w:val="000000" w:themeColor="text1"/>
                <w:spacing w:val="-2"/>
                <w:sz w:val="21"/>
                <w:szCs w:val="21"/>
                <w14:textFill>
                  <w14:solidFill>
                    <w14:schemeClr w14:val="tx1"/>
                  </w14:solidFill>
                </w14:textFill>
              </w:rPr>
              <w:t>高度危害（</w:t>
            </w:r>
            <w:r>
              <w:rPr>
                <w:b/>
                <w:bCs/>
                <w:color w:val="000000" w:themeColor="text1"/>
                <w:spacing w:val="-2"/>
                <w:sz w:val="21"/>
                <w:szCs w:val="21"/>
                <w14:textFill>
                  <w14:solidFill>
                    <w14:schemeClr w14:val="tx1"/>
                  </w14:solidFill>
                </w14:textFill>
              </w:rPr>
              <w:t>P2</w:t>
            </w:r>
            <w:r>
              <w:rPr>
                <w:rFonts w:hint="eastAsia"/>
                <w:b/>
                <w:bCs/>
                <w:color w:val="000000" w:themeColor="text1"/>
                <w:spacing w:val="-2"/>
                <w:sz w:val="21"/>
                <w:szCs w:val="21"/>
                <w14:textFill>
                  <w14:solidFill>
                    <w14:schemeClr w14:val="tx1"/>
                  </w14:solidFill>
                </w14:textFill>
              </w:rPr>
              <w:t>）</w:t>
            </w:r>
          </w:p>
        </w:tc>
        <w:tc>
          <w:tcPr>
            <w:tcW w:w="1707" w:type="dxa"/>
            <w:tcBorders>
              <w:top w:val="single" w:color="auto" w:sz="4" w:space="0"/>
              <w:bottom w:val="single" w:color="auto" w:sz="4" w:space="0"/>
            </w:tcBorders>
            <w:vAlign w:val="center"/>
          </w:tcPr>
          <w:p>
            <w:pPr>
              <w:pStyle w:val="34"/>
              <w:snapToGrid w:val="0"/>
              <w:spacing w:line="280" w:lineRule="exact"/>
              <w:jc w:val="center"/>
              <w:rPr>
                <w:b/>
                <w:bCs/>
                <w:color w:val="000000" w:themeColor="text1"/>
                <w:spacing w:val="-2"/>
                <w:sz w:val="21"/>
                <w:szCs w:val="21"/>
                <w14:textFill>
                  <w14:solidFill>
                    <w14:schemeClr w14:val="tx1"/>
                  </w14:solidFill>
                </w14:textFill>
              </w:rPr>
            </w:pPr>
            <w:r>
              <w:rPr>
                <w:rFonts w:hint="eastAsia"/>
                <w:b/>
                <w:bCs/>
                <w:color w:val="000000" w:themeColor="text1"/>
                <w:spacing w:val="-2"/>
                <w:sz w:val="21"/>
                <w:szCs w:val="21"/>
                <w14:textFill>
                  <w14:solidFill>
                    <w14:schemeClr w14:val="tx1"/>
                  </w14:solidFill>
                </w14:textFill>
              </w:rPr>
              <w:t>中度危害（</w:t>
            </w:r>
            <w:r>
              <w:rPr>
                <w:b/>
                <w:bCs/>
                <w:color w:val="000000" w:themeColor="text1"/>
                <w:spacing w:val="-2"/>
                <w:sz w:val="21"/>
                <w:szCs w:val="21"/>
                <w14:textFill>
                  <w14:solidFill>
                    <w14:schemeClr w14:val="tx1"/>
                  </w14:solidFill>
                </w14:textFill>
              </w:rPr>
              <w:t>P3</w:t>
            </w:r>
            <w:r>
              <w:rPr>
                <w:rFonts w:hint="eastAsia"/>
                <w:b/>
                <w:bCs/>
                <w:color w:val="000000" w:themeColor="text1"/>
                <w:spacing w:val="-2"/>
                <w:sz w:val="21"/>
                <w:szCs w:val="21"/>
                <w14:textFill>
                  <w14:solidFill>
                    <w14:schemeClr w14:val="tx1"/>
                  </w14:solidFill>
                </w14:textFill>
              </w:rPr>
              <w:t>）</w:t>
            </w:r>
          </w:p>
        </w:tc>
        <w:tc>
          <w:tcPr>
            <w:tcW w:w="1707" w:type="dxa"/>
            <w:tcBorders>
              <w:top w:val="single" w:color="auto" w:sz="4" w:space="0"/>
              <w:bottom w:val="single" w:color="auto" w:sz="4" w:space="0"/>
              <w:right w:val="single" w:color="auto" w:sz="12" w:space="0"/>
            </w:tcBorders>
            <w:shd w:val="clear" w:color="auto" w:fill="E7E6E6" w:themeFill="background2"/>
            <w:vAlign w:val="center"/>
          </w:tcPr>
          <w:p>
            <w:pPr>
              <w:pStyle w:val="34"/>
              <w:snapToGrid w:val="0"/>
              <w:spacing w:line="280" w:lineRule="exact"/>
              <w:jc w:val="center"/>
              <w:rPr>
                <w:b/>
                <w:bCs/>
                <w:color w:val="000000" w:themeColor="text1"/>
                <w:spacing w:val="-2"/>
                <w:sz w:val="21"/>
                <w:szCs w:val="21"/>
                <w14:textFill>
                  <w14:solidFill>
                    <w14:schemeClr w14:val="tx1"/>
                  </w14:solidFill>
                </w14:textFill>
              </w:rPr>
            </w:pPr>
            <w:r>
              <w:rPr>
                <w:rFonts w:hint="eastAsia"/>
                <w:b/>
                <w:bCs/>
                <w:color w:val="000000" w:themeColor="text1"/>
                <w:spacing w:val="-2"/>
                <w:sz w:val="21"/>
                <w:szCs w:val="21"/>
                <w14:textFill>
                  <w14:solidFill>
                    <w14:schemeClr w14:val="tx1"/>
                  </w14:solidFill>
                </w14:textFill>
              </w:rPr>
              <w:t>轻度危害（</w:t>
            </w:r>
            <w:r>
              <w:rPr>
                <w:b/>
                <w:bCs/>
                <w:color w:val="000000" w:themeColor="text1"/>
                <w:spacing w:val="-2"/>
                <w:sz w:val="21"/>
                <w:szCs w:val="21"/>
                <w14:textFill>
                  <w14:solidFill>
                    <w14:schemeClr w14:val="tx1"/>
                  </w14:solidFill>
                </w14:textFill>
              </w:rPr>
              <w:t>P4</w:t>
            </w:r>
            <w:r>
              <w:rPr>
                <w:rFonts w:hint="eastAsia"/>
                <w:b/>
                <w:bCs/>
                <w:color w:val="000000" w:themeColor="text1"/>
                <w:spacing w:val="-2"/>
                <w:sz w:val="21"/>
                <w:szCs w:val="21"/>
                <w14:textFill>
                  <w14:solidFill>
                    <w14:schemeClr w14:val="tx1"/>
                  </w14:solidFill>
                </w14:textFill>
              </w:rPr>
              <w:t>）</w:t>
            </w:r>
          </w:p>
        </w:tc>
      </w:tr>
      <w:tr>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706" w:type="dxa"/>
            <w:tcBorders>
              <w:top w:val="single" w:color="auto" w:sz="4" w:space="0"/>
              <w:left w:val="single" w:color="auto" w:sz="12" w:space="0"/>
              <w:bottom w:val="single" w:color="auto" w:sz="4" w:space="0"/>
            </w:tcBorders>
            <w:vAlign w:val="center"/>
          </w:tcPr>
          <w:p>
            <w:pPr>
              <w:pStyle w:val="34"/>
              <w:snapToGrid w:val="0"/>
              <w:spacing w:line="280" w:lineRule="exact"/>
              <w:jc w:val="center"/>
              <w:rPr>
                <w:color w:val="000000" w:themeColor="text1"/>
                <w:spacing w:val="-2"/>
                <w:sz w:val="21"/>
                <w:szCs w:val="21"/>
                <w14:textFill>
                  <w14:solidFill>
                    <w14:schemeClr w14:val="tx1"/>
                  </w14:solidFill>
                </w14:textFill>
              </w:rPr>
            </w:pPr>
            <w:r>
              <w:rPr>
                <w:rFonts w:hint="eastAsia"/>
                <w:color w:val="000000" w:themeColor="text1"/>
                <w:spacing w:val="-2"/>
                <w:sz w:val="21"/>
                <w:szCs w:val="21"/>
                <w14:textFill>
                  <w14:solidFill>
                    <w14:schemeClr w14:val="tx1"/>
                  </w14:solidFill>
                </w14:textFill>
              </w:rPr>
              <w:t>环境高度敏感区（</w:t>
            </w:r>
            <w:r>
              <w:rPr>
                <w:color w:val="000000" w:themeColor="text1"/>
                <w:spacing w:val="-2"/>
                <w:sz w:val="21"/>
                <w:szCs w:val="21"/>
                <w14:textFill>
                  <w14:solidFill>
                    <w14:schemeClr w14:val="tx1"/>
                  </w14:solidFill>
                </w14:textFill>
              </w:rPr>
              <w:t>E1</w:t>
            </w:r>
            <w:r>
              <w:rPr>
                <w:rFonts w:hint="eastAsia"/>
                <w:color w:val="000000" w:themeColor="text1"/>
                <w:spacing w:val="-2"/>
                <w:sz w:val="21"/>
                <w:szCs w:val="21"/>
                <w14:textFill>
                  <w14:solidFill>
                    <w14:schemeClr w14:val="tx1"/>
                  </w14:solidFill>
                </w14:textFill>
              </w:rPr>
              <w:t>）</w:t>
            </w:r>
          </w:p>
        </w:tc>
        <w:tc>
          <w:tcPr>
            <w:tcW w:w="1706" w:type="dxa"/>
            <w:tcBorders>
              <w:top w:val="single" w:color="auto" w:sz="4" w:space="0"/>
              <w:bottom w:val="single" w:color="auto" w:sz="4" w:space="0"/>
            </w:tcBorders>
            <w:vAlign w:val="center"/>
          </w:tcPr>
          <w:p>
            <w:pPr>
              <w:pStyle w:val="34"/>
              <w:snapToGrid w:val="0"/>
              <w:spacing w:line="280" w:lineRule="exact"/>
              <w:jc w:val="center"/>
              <w:rPr>
                <w:color w:val="000000" w:themeColor="text1"/>
                <w:spacing w:val="-2"/>
                <w:sz w:val="21"/>
                <w:szCs w:val="21"/>
                <w14:textFill>
                  <w14:solidFill>
                    <w14:schemeClr w14:val="tx1"/>
                  </w14:solidFill>
                </w14:textFill>
              </w:rPr>
            </w:pPr>
            <w:r>
              <w:rPr>
                <w:color w:val="000000" w:themeColor="text1"/>
                <w:spacing w:val="-2"/>
                <w:sz w:val="21"/>
                <w:szCs w:val="21"/>
                <w14:textFill>
                  <w14:solidFill>
                    <w14:schemeClr w14:val="tx1"/>
                  </w14:solidFill>
                </w14:textFill>
              </w:rPr>
              <w:t>Ⅳ</w:t>
            </w:r>
            <w:r>
              <w:rPr>
                <w:color w:val="000000" w:themeColor="text1"/>
                <w:spacing w:val="-2"/>
                <w:sz w:val="21"/>
                <w:szCs w:val="21"/>
                <w:vertAlign w:val="superscript"/>
                <w14:textFill>
                  <w14:solidFill>
                    <w14:schemeClr w14:val="tx1"/>
                  </w14:solidFill>
                </w14:textFill>
              </w:rPr>
              <w:t>+</w:t>
            </w:r>
          </w:p>
        </w:tc>
        <w:tc>
          <w:tcPr>
            <w:tcW w:w="1707" w:type="dxa"/>
            <w:tcBorders>
              <w:top w:val="single" w:color="auto" w:sz="4" w:space="0"/>
              <w:bottom w:val="single" w:color="auto" w:sz="4" w:space="0"/>
            </w:tcBorders>
            <w:vAlign w:val="center"/>
          </w:tcPr>
          <w:p>
            <w:pPr>
              <w:pStyle w:val="34"/>
              <w:snapToGrid w:val="0"/>
              <w:spacing w:line="280" w:lineRule="exact"/>
              <w:jc w:val="center"/>
              <w:rPr>
                <w:color w:val="000000" w:themeColor="text1"/>
                <w:spacing w:val="-2"/>
                <w:sz w:val="21"/>
                <w:szCs w:val="21"/>
                <w14:textFill>
                  <w14:solidFill>
                    <w14:schemeClr w14:val="tx1"/>
                  </w14:solidFill>
                </w14:textFill>
              </w:rPr>
            </w:pPr>
            <w:r>
              <w:rPr>
                <w:color w:val="000000" w:themeColor="text1"/>
                <w:spacing w:val="-2"/>
                <w:sz w:val="21"/>
                <w:szCs w:val="21"/>
                <w14:textFill>
                  <w14:solidFill>
                    <w14:schemeClr w14:val="tx1"/>
                  </w14:solidFill>
                </w14:textFill>
              </w:rPr>
              <w:t>Ⅳ</w:t>
            </w:r>
          </w:p>
        </w:tc>
        <w:tc>
          <w:tcPr>
            <w:tcW w:w="1707" w:type="dxa"/>
            <w:tcBorders>
              <w:top w:val="single" w:color="auto" w:sz="4" w:space="0"/>
              <w:bottom w:val="single" w:color="auto" w:sz="4" w:space="0"/>
            </w:tcBorders>
            <w:vAlign w:val="center"/>
          </w:tcPr>
          <w:p>
            <w:pPr>
              <w:pStyle w:val="34"/>
              <w:snapToGrid w:val="0"/>
              <w:spacing w:line="280" w:lineRule="exact"/>
              <w:jc w:val="center"/>
              <w:rPr>
                <w:color w:val="000000" w:themeColor="text1"/>
                <w:spacing w:val="-2"/>
                <w:sz w:val="21"/>
                <w:szCs w:val="21"/>
                <w14:textFill>
                  <w14:solidFill>
                    <w14:schemeClr w14:val="tx1"/>
                  </w14:solidFill>
                </w14:textFill>
              </w:rPr>
            </w:pPr>
            <w:r>
              <w:rPr>
                <w:color w:val="000000" w:themeColor="text1"/>
                <w:spacing w:val="-2"/>
                <w:sz w:val="21"/>
                <w:szCs w:val="21"/>
                <w14:textFill>
                  <w14:solidFill>
                    <w14:schemeClr w14:val="tx1"/>
                  </w14:solidFill>
                </w14:textFill>
              </w:rPr>
              <w:t>Ⅲ</w:t>
            </w:r>
          </w:p>
        </w:tc>
        <w:tc>
          <w:tcPr>
            <w:tcW w:w="1707" w:type="dxa"/>
            <w:tcBorders>
              <w:top w:val="single" w:color="auto" w:sz="4" w:space="0"/>
              <w:bottom w:val="single" w:color="auto" w:sz="4" w:space="0"/>
              <w:right w:val="single" w:color="auto" w:sz="12" w:space="0"/>
            </w:tcBorders>
            <w:vAlign w:val="center"/>
          </w:tcPr>
          <w:p>
            <w:pPr>
              <w:pStyle w:val="34"/>
              <w:snapToGrid w:val="0"/>
              <w:spacing w:line="280" w:lineRule="exact"/>
              <w:jc w:val="center"/>
              <w:rPr>
                <w:color w:val="000000" w:themeColor="text1"/>
                <w:spacing w:val="-2"/>
                <w:sz w:val="21"/>
                <w:szCs w:val="21"/>
                <w14:textFill>
                  <w14:solidFill>
                    <w14:schemeClr w14:val="tx1"/>
                  </w14:solidFill>
                </w14:textFill>
              </w:rPr>
            </w:pPr>
            <w:r>
              <w:rPr>
                <w:color w:val="000000" w:themeColor="text1"/>
                <w:spacing w:val="-2"/>
                <w:sz w:val="21"/>
                <w:szCs w:val="21"/>
                <w14:textFill>
                  <w14:solidFill>
                    <w14:schemeClr w14:val="tx1"/>
                  </w14:solidFill>
                </w14:textFill>
              </w:rPr>
              <w:t>Ⅲ</w:t>
            </w:r>
          </w:p>
        </w:tc>
      </w:tr>
      <w:tr>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706" w:type="dxa"/>
            <w:tcBorders>
              <w:top w:val="single" w:color="auto" w:sz="4" w:space="0"/>
              <w:left w:val="single" w:color="auto" w:sz="12" w:space="0"/>
              <w:bottom w:val="single" w:color="auto" w:sz="4" w:space="0"/>
            </w:tcBorders>
            <w:shd w:val="clear" w:color="auto" w:fill="F1F1F1"/>
            <w:vAlign w:val="center"/>
          </w:tcPr>
          <w:p>
            <w:pPr>
              <w:pStyle w:val="34"/>
              <w:snapToGrid w:val="0"/>
              <w:spacing w:line="280" w:lineRule="exact"/>
              <w:jc w:val="center"/>
              <w:rPr>
                <w:color w:val="000000" w:themeColor="text1"/>
                <w:spacing w:val="-2"/>
                <w:sz w:val="21"/>
                <w:szCs w:val="21"/>
                <w14:textFill>
                  <w14:solidFill>
                    <w14:schemeClr w14:val="tx1"/>
                  </w14:solidFill>
                </w14:textFill>
              </w:rPr>
            </w:pPr>
            <w:r>
              <w:rPr>
                <w:rFonts w:hint="eastAsia"/>
                <w:color w:val="000000" w:themeColor="text1"/>
                <w:spacing w:val="-2"/>
                <w:sz w:val="21"/>
                <w:szCs w:val="21"/>
                <w14:textFill>
                  <w14:solidFill>
                    <w14:schemeClr w14:val="tx1"/>
                  </w14:solidFill>
                </w14:textFill>
              </w:rPr>
              <w:t>环境中度敏感区（</w:t>
            </w:r>
            <w:r>
              <w:rPr>
                <w:color w:val="000000" w:themeColor="text1"/>
                <w:spacing w:val="-2"/>
                <w:sz w:val="21"/>
                <w:szCs w:val="21"/>
                <w14:textFill>
                  <w14:solidFill>
                    <w14:schemeClr w14:val="tx1"/>
                  </w14:solidFill>
                </w14:textFill>
              </w:rPr>
              <w:t>E2</w:t>
            </w:r>
            <w:r>
              <w:rPr>
                <w:rFonts w:hint="eastAsia"/>
                <w:color w:val="000000" w:themeColor="text1"/>
                <w:spacing w:val="-2"/>
                <w:sz w:val="21"/>
                <w:szCs w:val="21"/>
                <w14:textFill>
                  <w14:solidFill>
                    <w14:schemeClr w14:val="tx1"/>
                  </w14:solidFill>
                </w14:textFill>
              </w:rPr>
              <w:t>）</w:t>
            </w:r>
          </w:p>
        </w:tc>
        <w:tc>
          <w:tcPr>
            <w:tcW w:w="1706" w:type="dxa"/>
            <w:tcBorders>
              <w:top w:val="single" w:color="auto" w:sz="4" w:space="0"/>
              <w:bottom w:val="single" w:color="auto" w:sz="4" w:space="0"/>
            </w:tcBorders>
            <w:shd w:val="clear" w:color="auto" w:fill="auto"/>
            <w:vAlign w:val="center"/>
          </w:tcPr>
          <w:p>
            <w:pPr>
              <w:pStyle w:val="34"/>
              <w:snapToGrid w:val="0"/>
              <w:spacing w:line="280" w:lineRule="exact"/>
              <w:jc w:val="center"/>
              <w:rPr>
                <w:color w:val="000000" w:themeColor="text1"/>
                <w:spacing w:val="-2"/>
                <w:sz w:val="21"/>
                <w:szCs w:val="21"/>
                <w14:textFill>
                  <w14:solidFill>
                    <w14:schemeClr w14:val="tx1"/>
                  </w14:solidFill>
                </w14:textFill>
              </w:rPr>
            </w:pPr>
            <w:r>
              <w:rPr>
                <w:color w:val="000000" w:themeColor="text1"/>
                <w:spacing w:val="-2"/>
                <w:sz w:val="21"/>
                <w:szCs w:val="21"/>
                <w14:textFill>
                  <w14:solidFill>
                    <w14:schemeClr w14:val="tx1"/>
                  </w14:solidFill>
                </w14:textFill>
              </w:rPr>
              <w:t>Ⅳ</w:t>
            </w:r>
          </w:p>
        </w:tc>
        <w:tc>
          <w:tcPr>
            <w:tcW w:w="1707" w:type="dxa"/>
            <w:tcBorders>
              <w:top w:val="single" w:color="auto" w:sz="4" w:space="0"/>
              <w:bottom w:val="single" w:color="auto" w:sz="4" w:space="0"/>
            </w:tcBorders>
            <w:shd w:val="clear" w:color="auto" w:fill="FFFFFF" w:themeFill="background1"/>
            <w:vAlign w:val="center"/>
          </w:tcPr>
          <w:p>
            <w:pPr>
              <w:pStyle w:val="34"/>
              <w:snapToGrid w:val="0"/>
              <w:spacing w:line="280" w:lineRule="exact"/>
              <w:jc w:val="center"/>
              <w:rPr>
                <w:color w:val="000000" w:themeColor="text1"/>
                <w:spacing w:val="-2"/>
                <w:sz w:val="21"/>
                <w:szCs w:val="21"/>
                <w14:textFill>
                  <w14:solidFill>
                    <w14:schemeClr w14:val="tx1"/>
                  </w14:solidFill>
                </w14:textFill>
              </w:rPr>
            </w:pPr>
            <w:r>
              <w:rPr>
                <w:color w:val="000000" w:themeColor="text1"/>
                <w:spacing w:val="-2"/>
                <w:sz w:val="21"/>
                <w:szCs w:val="21"/>
                <w14:textFill>
                  <w14:solidFill>
                    <w14:schemeClr w14:val="tx1"/>
                  </w14:solidFill>
                </w14:textFill>
              </w:rPr>
              <w:t>Ⅲ</w:t>
            </w:r>
          </w:p>
        </w:tc>
        <w:tc>
          <w:tcPr>
            <w:tcW w:w="1707" w:type="dxa"/>
            <w:tcBorders>
              <w:top w:val="single" w:color="auto" w:sz="4" w:space="0"/>
              <w:bottom w:val="single" w:color="auto" w:sz="4" w:space="0"/>
            </w:tcBorders>
            <w:vAlign w:val="center"/>
          </w:tcPr>
          <w:p>
            <w:pPr>
              <w:pStyle w:val="34"/>
              <w:snapToGrid w:val="0"/>
              <w:spacing w:line="280" w:lineRule="exact"/>
              <w:jc w:val="center"/>
              <w:rPr>
                <w:color w:val="000000" w:themeColor="text1"/>
                <w:spacing w:val="-2"/>
                <w:sz w:val="21"/>
                <w:szCs w:val="21"/>
                <w14:textFill>
                  <w14:solidFill>
                    <w14:schemeClr w14:val="tx1"/>
                  </w14:solidFill>
                </w14:textFill>
              </w:rPr>
            </w:pPr>
            <w:r>
              <w:rPr>
                <w:color w:val="000000" w:themeColor="text1"/>
                <w:spacing w:val="-2"/>
                <w:sz w:val="21"/>
                <w:szCs w:val="21"/>
                <w14:textFill>
                  <w14:solidFill>
                    <w14:schemeClr w14:val="tx1"/>
                  </w14:solidFill>
                </w14:textFill>
              </w:rPr>
              <w:t>Ⅲ</w:t>
            </w:r>
          </w:p>
        </w:tc>
        <w:tc>
          <w:tcPr>
            <w:tcW w:w="1707" w:type="dxa"/>
            <w:tcBorders>
              <w:top w:val="single" w:color="auto" w:sz="4" w:space="0"/>
              <w:bottom w:val="single" w:color="auto" w:sz="4" w:space="0"/>
              <w:right w:val="single" w:color="auto" w:sz="12" w:space="0"/>
            </w:tcBorders>
            <w:shd w:val="clear" w:color="auto" w:fill="E7E6E6" w:themeFill="background2"/>
            <w:vAlign w:val="center"/>
          </w:tcPr>
          <w:p>
            <w:pPr>
              <w:pStyle w:val="34"/>
              <w:snapToGrid w:val="0"/>
              <w:spacing w:line="280" w:lineRule="exact"/>
              <w:jc w:val="center"/>
              <w:rPr>
                <w:color w:val="000000" w:themeColor="text1"/>
                <w:spacing w:val="-2"/>
                <w:sz w:val="21"/>
                <w:szCs w:val="21"/>
                <w14:textFill>
                  <w14:solidFill>
                    <w14:schemeClr w14:val="tx1"/>
                  </w14:solidFill>
                </w14:textFill>
              </w:rPr>
            </w:pPr>
            <w:r>
              <w:rPr>
                <w:color w:val="000000" w:themeColor="text1"/>
                <w:spacing w:val="-2"/>
                <w:sz w:val="21"/>
                <w:szCs w:val="21"/>
                <w14:textFill>
                  <w14:solidFill>
                    <w14:schemeClr w14:val="tx1"/>
                  </w14:solidFill>
                </w14:textFill>
              </w:rPr>
              <w:t>Ⅱ</w:t>
            </w:r>
          </w:p>
        </w:tc>
      </w:tr>
      <w:tr>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706" w:type="dxa"/>
            <w:tcBorders>
              <w:top w:val="single" w:color="auto" w:sz="4" w:space="0"/>
              <w:left w:val="single" w:color="auto" w:sz="12" w:space="0"/>
              <w:bottom w:val="single" w:color="auto" w:sz="4" w:space="0"/>
            </w:tcBorders>
            <w:vAlign w:val="center"/>
          </w:tcPr>
          <w:p>
            <w:pPr>
              <w:pStyle w:val="34"/>
              <w:snapToGrid w:val="0"/>
              <w:spacing w:line="280" w:lineRule="exact"/>
              <w:jc w:val="center"/>
              <w:rPr>
                <w:color w:val="000000" w:themeColor="text1"/>
                <w:spacing w:val="-2"/>
                <w:sz w:val="21"/>
                <w:szCs w:val="21"/>
                <w14:textFill>
                  <w14:solidFill>
                    <w14:schemeClr w14:val="tx1"/>
                  </w14:solidFill>
                </w14:textFill>
              </w:rPr>
            </w:pPr>
            <w:r>
              <w:rPr>
                <w:rFonts w:hint="eastAsia"/>
                <w:color w:val="000000" w:themeColor="text1"/>
                <w:spacing w:val="-2"/>
                <w:sz w:val="21"/>
                <w:szCs w:val="21"/>
                <w14:textFill>
                  <w14:solidFill>
                    <w14:schemeClr w14:val="tx1"/>
                  </w14:solidFill>
                </w14:textFill>
              </w:rPr>
              <w:t>环境低度敏感区（</w:t>
            </w:r>
            <w:r>
              <w:rPr>
                <w:color w:val="000000" w:themeColor="text1"/>
                <w:spacing w:val="-2"/>
                <w:sz w:val="21"/>
                <w:szCs w:val="21"/>
                <w14:textFill>
                  <w14:solidFill>
                    <w14:schemeClr w14:val="tx1"/>
                  </w14:solidFill>
                </w14:textFill>
              </w:rPr>
              <w:t>E3</w:t>
            </w:r>
            <w:r>
              <w:rPr>
                <w:rFonts w:hint="eastAsia"/>
                <w:color w:val="000000" w:themeColor="text1"/>
                <w:spacing w:val="-2"/>
                <w:sz w:val="21"/>
                <w:szCs w:val="21"/>
                <w14:textFill>
                  <w14:solidFill>
                    <w14:schemeClr w14:val="tx1"/>
                  </w14:solidFill>
                </w14:textFill>
              </w:rPr>
              <w:t>）</w:t>
            </w:r>
          </w:p>
        </w:tc>
        <w:tc>
          <w:tcPr>
            <w:tcW w:w="1706" w:type="dxa"/>
            <w:tcBorders>
              <w:top w:val="single" w:color="auto" w:sz="4" w:space="0"/>
              <w:bottom w:val="single" w:color="auto" w:sz="4" w:space="0"/>
            </w:tcBorders>
            <w:vAlign w:val="center"/>
          </w:tcPr>
          <w:p>
            <w:pPr>
              <w:pStyle w:val="34"/>
              <w:snapToGrid w:val="0"/>
              <w:spacing w:line="280" w:lineRule="exact"/>
              <w:jc w:val="center"/>
              <w:rPr>
                <w:color w:val="000000" w:themeColor="text1"/>
                <w:spacing w:val="-2"/>
                <w:sz w:val="21"/>
                <w:szCs w:val="21"/>
                <w14:textFill>
                  <w14:solidFill>
                    <w14:schemeClr w14:val="tx1"/>
                  </w14:solidFill>
                </w14:textFill>
              </w:rPr>
            </w:pPr>
            <w:r>
              <w:rPr>
                <w:color w:val="000000" w:themeColor="text1"/>
                <w:spacing w:val="-2"/>
                <w:sz w:val="21"/>
                <w:szCs w:val="21"/>
                <w14:textFill>
                  <w14:solidFill>
                    <w14:schemeClr w14:val="tx1"/>
                  </w14:solidFill>
                </w14:textFill>
              </w:rPr>
              <w:t>Ⅲ</w:t>
            </w:r>
          </w:p>
        </w:tc>
        <w:tc>
          <w:tcPr>
            <w:tcW w:w="1707" w:type="dxa"/>
            <w:tcBorders>
              <w:top w:val="single" w:color="auto" w:sz="4" w:space="0"/>
              <w:bottom w:val="single" w:color="auto" w:sz="4" w:space="0"/>
            </w:tcBorders>
            <w:vAlign w:val="center"/>
          </w:tcPr>
          <w:p>
            <w:pPr>
              <w:pStyle w:val="34"/>
              <w:snapToGrid w:val="0"/>
              <w:spacing w:line="280" w:lineRule="exact"/>
              <w:jc w:val="center"/>
              <w:rPr>
                <w:color w:val="000000" w:themeColor="text1"/>
                <w:spacing w:val="-2"/>
                <w:sz w:val="21"/>
                <w:szCs w:val="21"/>
                <w14:textFill>
                  <w14:solidFill>
                    <w14:schemeClr w14:val="tx1"/>
                  </w14:solidFill>
                </w14:textFill>
              </w:rPr>
            </w:pPr>
            <w:r>
              <w:rPr>
                <w:color w:val="000000" w:themeColor="text1"/>
                <w:spacing w:val="-2"/>
                <w:sz w:val="21"/>
                <w:szCs w:val="21"/>
                <w14:textFill>
                  <w14:solidFill>
                    <w14:schemeClr w14:val="tx1"/>
                  </w14:solidFill>
                </w14:textFill>
              </w:rPr>
              <w:t>Ⅲ</w:t>
            </w:r>
          </w:p>
        </w:tc>
        <w:tc>
          <w:tcPr>
            <w:tcW w:w="1707" w:type="dxa"/>
            <w:tcBorders>
              <w:top w:val="single" w:color="auto" w:sz="4" w:space="0"/>
              <w:bottom w:val="single" w:color="auto" w:sz="4" w:space="0"/>
            </w:tcBorders>
            <w:vAlign w:val="center"/>
          </w:tcPr>
          <w:p>
            <w:pPr>
              <w:pStyle w:val="34"/>
              <w:snapToGrid w:val="0"/>
              <w:spacing w:line="280" w:lineRule="exact"/>
              <w:jc w:val="center"/>
              <w:rPr>
                <w:color w:val="000000" w:themeColor="text1"/>
                <w:spacing w:val="-2"/>
                <w:sz w:val="21"/>
                <w:szCs w:val="21"/>
                <w14:textFill>
                  <w14:solidFill>
                    <w14:schemeClr w14:val="tx1"/>
                  </w14:solidFill>
                </w14:textFill>
              </w:rPr>
            </w:pPr>
            <w:r>
              <w:rPr>
                <w:color w:val="000000" w:themeColor="text1"/>
                <w:spacing w:val="-2"/>
                <w:sz w:val="21"/>
                <w:szCs w:val="21"/>
                <w14:textFill>
                  <w14:solidFill>
                    <w14:schemeClr w14:val="tx1"/>
                  </w14:solidFill>
                </w14:textFill>
              </w:rPr>
              <w:t>Ⅱ</w:t>
            </w:r>
          </w:p>
        </w:tc>
        <w:tc>
          <w:tcPr>
            <w:tcW w:w="1707" w:type="dxa"/>
            <w:tcBorders>
              <w:top w:val="single" w:color="auto" w:sz="4" w:space="0"/>
              <w:bottom w:val="single" w:color="auto" w:sz="4" w:space="0"/>
              <w:right w:val="single" w:color="auto" w:sz="12" w:space="0"/>
            </w:tcBorders>
            <w:vAlign w:val="center"/>
          </w:tcPr>
          <w:p>
            <w:pPr>
              <w:pStyle w:val="34"/>
              <w:snapToGrid w:val="0"/>
              <w:spacing w:line="280" w:lineRule="exact"/>
              <w:jc w:val="center"/>
              <w:rPr>
                <w:color w:val="000000" w:themeColor="text1"/>
                <w:spacing w:val="-2"/>
                <w:sz w:val="21"/>
                <w:szCs w:val="21"/>
                <w14:textFill>
                  <w14:solidFill>
                    <w14:schemeClr w14:val="tx1"/>
                  </w14:solidFill>
                </w14:textFill>
              </w:rPr>
            </w:pPr>
            <w:r>
              <w:rPr>
                <w:color w:val="000000" w:themeColor="text1"/>
                <w:spacing w:val="-2"/>
                <w:sz w:val="21"/>
                <w:szCs w:val="21"/>
                <w14:textFill>
                  <w14:solidFill>
                    <w14:schemeClr w14:val="tx1"/>
                  </w14:solidFill>
                </w14:textFill>
              </w:rPr>
              <w:t>Ⅰ</w:t>
            </w:r>
          </w:p>
        </w:tc>
      </w:tr>
      <w:tr>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8533" w:type="dxa"/>
            <w:gridSpan w:val="5"/>
            <w:tcBorders>
              <w:top w:val="single" w:color="auto" w:sz="4" w:space="0"/>
              <w:left w:val="single" w:color="auto" w:sz="12" w:space="0"/>
              <w:bottom w:val="single" w:color="auto" w:sz="12" w:space="0"/>
              <w:right w:val="single" w:color="auto" w:sz="12" w:space="0"/>
            </w:tcBorders>
            <w:vAlign w:val="center"/>
          </w:tcPr>
          <w:p>
            <w:pPr>
              <w:pStyle w:val="34"/>
              <w:snapToGrid w:val="0"/>
              <w:spacing w:line="280" w:lineRule="exact"/>
              <w:rPr>
                <w:color w:val="000000" w:themeColor="text1"/>
                <w:spacing w:val="-2"/>
                <w:sz w:val="21"/>
                <w:szCs w:val="21"/>
                <w14:textFill>
                  <w14:solidFill>
                    <w14:schemeClr w14:val="tx1"/>
                  </w14:solidFill>
                </w14:textFill>
              </w:rPr>
            </w:pPr>
            <w:r>
              <w:rPr>
                <w:rFonts w:hint="eastAsia"/>
                <w:color w:val="000000" w:themeColor="text1"/>
                <w:spacing w:val="-2"/>
                <w:sz w:val="21"/>
                <w:szCs w:val="21"/>
                <w14:textFill>
                  <w14:solidFill>
                    <w14:schemeClr w14:val="tx1"/>
                  </w14:solidFill>
                </w14:textFill>
              </w:rPr>
              <w:t>注：</w:t>
            </w:r>
            <w:r>
              <w:rPr>
                <w:color w:val="000000" w:themeColor="text1"/>
                <w:spacing w:val="-2"/>
                <w:sz w:val="21"/>
                <w:szCs w:val="21"/>
                <w14:textFill>
                  <w14:solidFill>
                    <w14:schemeClr w14:val="tx1"/>
                  </w14:solidFill>
                </w14:textFill>
              </w:rPr>
              <w:t>Ⅳ</w:t>
            </w:r>
            <w:r>
              <w:rPr>
                <w:color w:val="000000" w:themeColor="text1"/>
                <w:spacing w:val="-2"/>
                <w:sz w:val="21"/>
                <w:szCs w:val="21"/>
                <w:vertAlign w:val="superscript"/>
                <w14:textFill>
                  <w14:solidFill>
                    <w14:schemeClr w14:val="tx1"/>
                  </w14:solidFill>
                </w14:textFill>
              </w:rPr>
              <w:t>+</w:t>
            </w:r>
            <w:r>
              <w:rPr>
                <w:rFonts w:hint="eastAsia"/>
                <w:color w:val="000000" w:themeColor="text1"/>
                <w:spacing w:val="-2"/>
                <w:sz w:val="21"/>
                <w:szCs w:val="21"/>
                <w14:textFill>
                  <w14:solidFill>
                    <w14:schemeClr w14:val="tx1"/>
                  </w14:solidFill>
                </w14:textFill>
              </w:rPr>
              <w:t>为极高环境风险</w:t>
            </w:r>
          </w:p>
        </w:tc>
      </w:tr>
    </w:tbl>
    <w:p>
      <w:pPr>
        <w:pStyle w:val="384"/>
        <w:ind w:left="0" w:firstLine="0"/>
        <w:rPr>
          <w:color w:val="000000" w:themeColor="text1"/>
          <w14:textFill>
            <w14:solidFill>
              <w14:schemeClr w14:val="tx1"/>
            </w14:solidFill>
          </w14:textFill>
        </w:rPr>
      </w:pPr>
      <w:r>
        <w:rPr>
          <w:rFonts w:hint="eastAsia"/>
          <w:color w:val="000000" w:themeColor="text1"/>
          <w14:textFill>
            <w14:solidFill>
              <w14:schemeClr w14:val="tx1"/>
            </w14:solidFill>
          </w14:textFill>
        </w:rPr>
        <w:t>评价工作等级划分</w:t>
      </w:r>
    </w:p>
    <w:tbl>
      <w:tblPr>
        <w:tblStyle w:val="88"/>
        <w:tblW w:w="8533" w:type="dxa"/>
        <w:jc w:val="center"/>
        <w:tblInd w:w="0" w:type="dxa"/>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706"/>
        <w:gridCol w:w="1707"/>
        <w:gridCol w:w="1706"/>
        <w:gridCol w:w="1707"/>
        <w:gridCol w:w="1707"/>
      </w:tblGrid>
      <w:tr>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706" w:type="dxa"/>
            <w:tcBorders>
              <w:top w:val="single" w:color="auto" w:sz="12" w:space="0"/>
              <w:left w:val="single" w:color="auto" w:sz="12" w:space="0"/>
              <w:bottom w:val="single" w:color="auto" w:sz="4" w:space="0"/>
            </w:tcBorders>
            <w:shd w:val="clear" w:color="auto" w:fill="auto"/>
            <w:vAlign w:val="center"/>
          </w:tcPr>
          <w:p>
            <w:pPr>
              <w:pStyle w:val="34"/>
              <w:snapToGrid w:val="0"/>
              <w:spacing w:line="240" w:lineRule="exact"/>
              <w:jc w:val="center"/>
              <w:rPr>
                <w:b/>
                <w:bCs/>
                <w:color w:val="000000" w:themeColor="text1"/>
                <w:spacing w:val="-2"/>
                <w:sz w:val="21"/>
                <w:szCs w:val="21"/>
                <w14:textFill>
                  <w14:solidFill>
                    <w14:schemeClr w14:val="tx1"/>
                  </w14:solidFill>
                </w14:textFill>
              </w:rPr>
            </w:pPr>
            <w:r>
              <w:rPr>
                <w:rFonts w:hint="eastAsia"/>
                <w:b/>
                <w:bCs/>
                <w:color w:val="000000" w:themeColor="text1"/>
                <w:spacing w:val="-2"/>
                <w:sz w:val="21"/>
                <w:szCs w:val="21"/>
                <w14:textFill>
                  <w14:solidFill>
                    <w14:schemeClr w14:val="tx1"/>
                  </w14:solidFill>
                </w14:textFill>
              </w:rPr>
              <w:t>环境风险潜势</w:t>
            </w:r>
          </w:p>
        </w:tc>
        <w:tc>
          <w:tcPr>
            <w:tcW w:w="1707" w:type="dxa"/>
            <w:tcBorders>
              <w:top w:val="single" w:color="auto" w:sz="12" w:space="0"/>
              <w:bottom w:val="single" w:color="auto" w:sz="4" w:space="0"/>
            </w:tcBorders>
            <w:shd w:val="clear" w:color="auto" w:fill="auto"/>
            <w:vAlign w:val="center"/>
          </w:tcPr>
          <w:p>
            <w:pPr>
              <w:pStyle w:val="34"/>
              <w:snapToGrid w:val="0"/>
              <w:spacing w:line="240" w:lineRule="exact"/>
              <w:jc w:val="center"/>
              <w:rPr>
                <w:b/>
                <w:bCs/>
                <w:color w:val="000000" w:themeColor="text1"/>
                <w:spacing w:val="-2"/>
                <w:sz w:val="21"/>
                <w:szCs w:val="21"/>
                <w14:textFill>
                  <w14:solidFill>
                    <w14:schemeClr w14:val="tx1"/>
                  </w14:solidFill>
                </w14:textFill>
              </w:rPr>
            </w:pPr>
            <w:r>
              <w:rPr>
                <w:b/>
                <w:bCs/>
                <w:color w:val="000000" w:themeColor="text1"/>
                <w:spacing w:val="-2"/>
                <w:sz w:val="21"/>
                <w:szCs w:val="21"/>
                <w14:textFill>
                  <w14:solidFill>
                    <w14:schemeClr w14:val="tx1"/>
                  </w14:solidFill>
                </w14:textFill>
              </w:rPr>
              <w:t>Ⅳ、Ⅳ</w:t>
            </w:r>
            <w:r>
              <w:rPr>
                <w:b/>
                <w:bCs/>
                <w:color w:val="000000" w:themeColor="text1"/>
                <w:spacing w:val="-2"/>
                <w:sz w:val="21"/>
                <w:szCs w:val="21"/>
                <w:vertAlign w:val="superscript"/>
                <w14:textFill>
                  <w14:solidFill>
                    <w14:schemeClr w14:val="tx1"/>
                  </w14:solidFill>
                </w14:textFill>
              </w:rPr>
              <w:t>+</w:t>
            </w:r>
          </w:p>
        </w:tc>
        <w:tc>
          <w:tcPr>
            <w:tcW w:w="1706" w:type="dxa"/>
            <w:tcBorders>
              <w:top w:val="single" w:color="auto" w:sz="12" w:space="0"/>
              <w:bottom w:val="single" w:color="auto" w:sz="4" w:space="0"/>
            </w:tcBorders>
            <w:shd w:val="clear" w:color="auto" w:fill="FFFFFF" w:themeFill="background1"/>
            <w:vAlign w:val="center"/>
          </w:tcPr>
          <w:p>
            <w:pPr>
              <w:pStyle w:val="34"/>
              <w:snapToGrid w:val="0"/>
              <w:spacing w:line="240" w:lineRule="exact"/>
              <w:jc w:val="center"/>
              <w:rPr>
                <w:b/>
                <w:bCs/>
                <w:color w:val="000000" w:themeColor="text1"/>
                <w:spacing w:val="-2"/>
                <w:sz w:val="21"/>
                <w:szCs w:val="21"/>
                <w14:textFill>
                  <w14:solidFill>
                    <w14:schemeClr w14:val="tx1"/>
                  </w14:solidFill>
                </w14:textFill>
              </w:rPr>
            </w:pPr>
            <w:r>
              <w:rPr>
                <w:b/>
                <w:bCs/>
                <w:color w:val="000000" w:themeColor="text1"/>
                <w:spacing w:val="-2"/>
                <w:sz w:val="21"/>
                <w:szCs w:val="21"/>
                <w14:textFill>
                  <w14:solidFill>
                    <w14:schemeClr w14:val="tx1"/>
                  </w14:solidFill>
                </w14:textFill>
              </w:rPr>
              <w:t>Ⅲ</w:t>
            </w:r>
          </w:p>
        </w:tc>
        <w:tc>
          <w:tcPr>
            <w:tcW w:w="1707" w:type="dxa"/>
            <w:tcBorders>
              <w:top w:val="single" w:color="auto" w:sz="12" w:space="0"/>
              <w:bottom w:val="single" w:color="auto" w:sz="4" w:space="0"/>
            </w:tcBorders>
            <w:shd w:val="clear" w:color="auto" w:fill="E7E6E6" w:themeFill="background2"/>
            <w:vAlign w:val="center"/>
          </w:tcPr>
          <w:p>
            <w:pPr>
              <w:pStyle w:val="34"/>
              <w:snapToGrid w:val="0"/>
              <w:spacing w:line="240" w:lineRule="exact"/>
              <w:jc w:val="center"/>
              <w:rPr>
                <w:b/>
                <w:bCs/>
                <w:color w:val="000000" w:themeColor="text1"/>
                <w:spacing w:val="-2"/>
                <w:sz w:val="21"/>
                <w:szCs w:val="21"/>
                <w14:textFill>
                  <w14:solidFill>
                    <w14:schemeClr w14:val="tx1"/>
                  </w14:solidFill>
                </w14:textFill>
              </w:rPr>
            </w:pPr>
            <w:r>
              <w:rPr>
                <w:b/>
                <w:bCs/>
                <w:color w:val="000000" w:themeColor="text1"/>
                <w:spacing w:val="-2"/>
                <w:sz w:val="21"/>
                <w:szCs w:val="21"/>
                <w14:textFill>
                  <w14:solidFill>
                    <w14:schemeClr w14:val="tx1"/>
                  </w14:solidFill>
                </w14:textFill>
              </w:rPr>
              <w:t>Ⅱ</w:t>
            </w:r>
          </w:p>
        </w:tc>
        <w:tc>
          <w:tcPr>
            <w:tcW w:w="1707" w:type="dxa"/>
            <w:tcBorders>
              <w:top w:val="single" w:color="auto" w:sz="12" w:space="0"/>
              <w:bottom w:val="single" w:color="auto" w:sz="4" w:space="0"/>
              <w:right w:val="single" w:color="auto" w:sz="12" w:space="0"/>
            </w:tcBorders>
            <w:vAlign w:val="center"/>
          </w:tcPr>
          <w:p>
            <w:pPr>
              <w:pStyle w:val="34"/>
              <w:snapToGrid w:val="0"/>
              <w:spacing w:line="240" w:lineRule="exact"/>
              <w:jc w:val="center"/>
              <w:rPr>
                <w:b/>
                <w:bCs/>
                <w:color w:val="000000" w:themeColor="text1"/>
                <w:spacing w:val="-2"/>
                <w:sz w:val="21"/>
                <w:szCs w:val="21"/>
                <w14:textFill>
                  <w14:solidFill>
                    <w14:schemeClr w14:val="tx1"/>
                  </w14:solidFill>
                </w14:textFill>
              </w:rPr>
            </w:pPr>
            <w:r>
              <w:rPr>
                <w:b/>
                <w:bCs/>
                <w:color w:val="000000" w:themeColor="text1"/>
                <w:spacing w:val="-2"/>
                <w:sz w:val="21"/>
                <w:szCs w:val="21"/>
                <w14:textFill>
                  <w14:solidFill>
                    <w14:schemeClr w14:val="tx1"/>
                  </w14:solidFill>
                </w14:textFill>
              </w:rPr>
              <w:t>Ⅰ</w:t>
            </w:r>
          </w:p>
        </w:tc>
      </w:tr>
      <w:tr>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706" w:type="dxa"/>
            <w:tcBorders>
              <w:top w:val="single" w:color="auto" w:sz="4" w:space="0"/>
              <w:left w:val="single" w:color="auto" w:sz="12" w:space="0"/>
              <w:bottom w:val="single" w:color="auto" w:sz="4" w:space="0"/>
            </w:tcBorders>
            <w:shd w:val="clear" w:color="auto" w:fill="auto"/>
            <w:vAlign w:val="center"/>
          </w:tcPr>
          <w:p>
            <w:pPr>
              <w:pStyle w:val="34"/>
              <w:snapToGrid w:val="0"/>
              <w:spacing w:line="240" w:lineRule="exact"/>
              <w:jc w:val="center"/>
              <w:rPr>
                <w:color w:val="000000" w:themeColor="text1"/>
                <w:spacing w:val="-2"/>
                <w:sz w:val="21"/>
                <w:szCs w:val="21"/>
                <w14:textFill>
                  <w14:solidFill>
                    <w14:schemeClr w14:val="tx1"/>
                  </w14:solidFill>
                </w14:textFill>
              </w:rPr>
            </w:pPr>
            <w:r>
              <w:rPr>
                <w:rFonts w:hint="eastAsia"/>
                <w:color w:val="000000" w:themeColor="text1"/>
                <w:spacing w:val="-2"/>
                <w:sz w:val="21"/>
                <w:szCs w:val="21"/>
                <w14:textFill>
                  <w14:solidFill>
                    <w14:schemeClr w14:val="tx1"/>
                  </w14:solidFill>
                </w14:textFill>
              </w:rPr>
              <w:t>评价工作等级</w:t>
            </w:r>
          </w:p>
        </w:tc>
        <w:tc>
          <w:tcPr>
            <w:tcW w:w="1707" w:type="dxa"/>
            <w:tcBorders>
              <w:top w:val="single" w:color="auto" w:sz="4" w:space="0"/>
              <w:bottom w:val="single" w:color="auto" w:sz="4" w:space="0"/>
            </w:tcBorders>
            <w:shd w:val="clear" w:color="auto" w:fill="auto"/>
            <w:vAlign w:val="center"/>
          </w:tcPr>
          <w:p>
            <w:pPr>
              <w:pStyle w:val="34"/>
              <w:snapToGrid w:val="0"/>
              <w:spacing w:line="240" w:lineRule="exact"/>
              <w:jc w:val="center"/>
              <w:rPr>
                <w:color w:val="000000" w:themeColor="text1"/>
                <w:spacing w:val="-2"/>
                <w:sz w:val="21"/>
                <w:szCs w:val="21"/>
                <w14:textFill>
                  <w14:solidFill>
                    <w14:schemeClr w14:val="tx1"/>
                  </w14:solidFill>
                </w14:textFill>
              </w:rPr>
            </w:pPr>
            <w:r>
              <w:rPr>
                <w:rFonts w:hint="eastAsia"/>
                <w:color w:val="000000" w:themeColor="text1"/>
                <w:spacing w:val="-2"/>
                <w:sz w:val="21"/>
                <w:szCs w:val="21"/>
                <w14:textFill>
                  <w14:solidFill>
                    <w14:schemeClr w14:val="tx1"/>
                  </w14:solidFill>
                </w14:textFill>
              </w:rPr>
              <w:t>一</w:t>
            </w:r>
          </w:p>
        </w:tc>
        <w:tc>
          <w:tcPr>
            <w:tcW w:w="1706" w:type="dxa"/>
            <w:tcBorders>
              <w:top w:val="single" w:color="auto" w:sz="4" w:space="0"/>
              <w:bottom w:val="single" w:color="auto" w:sz="4" w:space="0"/>
            </w:tcBorders>
            <w:shd w:val="clear" w:color="auto" w:fill="FFFFFF" w:themeFill="background1"/>
            <w:vAlign w:val="center"/>
          </w:tcPr>
          <w:p>
            <w:pPr>
              <w:pStyle w:val="34"/>
              <w:snapToGrid w:val="0"/>
              <w:spacing w:line="240" w:lineRule="exact"/>
              <w:jc w:val="center"/>
              <w:rPr>
                <w:color w:val="000000" w:themeColor="text1"/>
                <w:spacing w:val="-2"/>
                <w:sz w:val="21"/>
                <w:szCs w:val="21"/>
                <w14:textFill>
                  <w14:solidFill>
                    <w14:schemeClr w14:val="tx1"/>
                  </w14:solidFill>
                </w14:textFill>
              </w:rPr>
            </w:pPr>
            <w:r>
              <w:rPr>
                <w:rFonts w:hint="eastAsia"/>
                <w:color w:val="000000" w:themeColor="text1"/>
                <w:spacing w:val="-2"/>
                <w:sz w:val="21"/>
                <w:szCs w:val="21"/>
                <w14:textFill>
                  <w14:solidFill>
                    <w14:schemeClr w14:val="tx1"/>
                  </w14:solidFill>
                </w14:textFill>
              </w:rPr>
              <w:t>二</w:t>
            </w:r>
          </w:p>
        </w:tc>
        <w:tc>
          <w:tcPr>
            <w:tcW w:w="1707" w:type="dxa"/>
            <w:tcBorders>
              <w:top w:val="single" w:color="auto" w:sz="4" w:space="0"/>
              <w:bottom w:val="single" w:color="auto" w:sz="4" w:space="0"/>
            </w:tcBorders>
            <w:shd w:val="clear" w:color="auto" w:fill="E7E6E6" w:themeFill="background2"/>
            <w:vAlign w:val="center"/>
          </w:tcPr>
          <w:p>
            <w:pPr>
              <w:pStyle w:val="34"/>
              <w:snapToGrid w:val="0"/>
              <w:spacing w:line="240" w:lineRule="exact"/>
              <w:jc w:val="center"/>
              <w:rPr>
                <w:color w:val="000000" w:themeColor="text1"/>
                <w:spacing w:val="-2"/>
                <w:sz w:val="21"/>
                <w:szCs w:val="21"/>
                <w14:textFill>
                  <w14:solidFill>
                    <w14:schemeClr w14:val="tx1"/>
                  </w14:solidFill>
                </w14:textFill>
              </w:rPr>
            </w:pPr>
            <w:r>
              <w:rPr>
                <w:rFonts w:hint="eastAsia"/>
                <w:color w:val="000000" w:themeColor="text1"/>
                <w:spacing w:val="-2"/>
                <w:sz w:val="21"/>
                <w:szCs w:val="21"/>
                <w14:textFill>
                  <w14:solidFill>
                    <w14:schemeClr w14:val="tx1"/>
                  </w14:solidFill>
                </w14:textFill>
              </w:rPr>
              <w:t>三</w:t>
            </w:r>
          </w:p>
        </w:tc>
        <w:tc>
          <w:tcPr>
            <w:tcW w:w="1707" w:type="dxa"/>
            <w:tcBorders>
              <w:top w:val="single" w:color="auto" w:sz="4" w:space="0"/>
              <w:bottom w:val="single" w:color="auto" w:sz="4" w:space="0"/>
              <w:right w:val="single" w:color="auto" w:sz="12" w:space="0"/>
            </w:tcBorders>
            <w:vAlign w:val="center"/>
          </w:tcPr>
          <w:p>
            <w:pPr>
              <w:pStyle w:val="34"/>
              <w:snapToGrid w:val="0"/>
              <w:spacing w:line="240" w:lineRule="exact"/>
              <w:jc w:val="center"/>
              <w:rPr>
                <w:color w:val="000000" w:themeColor="text1"/>
                <w:spacing w:val="-2"/>
                <w:sz w:val="21"/>
                <w:szCs w:val="21"/>
                <w14:textFill>
                  <w14:solidFill>
                    <w14:schemeClr w14:val="tx1"/>
                  </w14:solidFill>
                </w14:textFill>
              </w:rPr>
            </w:pPr>
            <w:r>
              <w:rPr>
                <w:rFonts w:hint="eastAsia"/>
                <w:color w:val="000000" w:themeColor="text1"/>
                <w:spacing w:val="-2"/>
                <w:sz w:val="21"/>
                <w:szCs w:val="21"/>
                <w14:textFill>
                  <w14:solidFill>
                    <w14:schemeClr w14:val="tx1"/>
                  </w14:solidFill>
                </w14:textFill>
              </w:rPr>
              <w:t>简单分析</w:t>
            </w:r>
            <w:r>
              <w:rPr>
                <w:rFonts w:hint="eastAsia"/>
                <w:color w:val="000000" w:themeColor="text1"/>
                <w:spacing w:val="-2"/>
                <w:sz w:val="21"/>
                <w:szCs w:val="21"/>
                <w:vertAlign w:val="superscript"/>
                <w14:textFill>
                  <w14:solidFill>
                    <w14:schemeClr w14:val="tx1"/>
                  </w14:solidFill>
                </w14:textFill>
              </w:rPr>
              <w:t>a</w:t>
            </w:r>
          </w:p>
        </w:tc>
      </w:tr>
      <w:tr>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8533" w:type="dxa"/>
            <w:gridSpan w:val="5"/>
            <w:tcBorders>
              <w:top w:val="single" w:color="auto" w:sz="4" w:space="0"/>
              <w:left w:val="single" w:color="auto" w:sz="12" w:space="0"/>
              <w:bottom w:val="single" w:color="auto" w:sz="12" w:space="0"/>
              <w:right w:val="single" w:color="auto" w:sz="12" w:space="0"/>
            </w:tcBorders>
            <w:vAlign w:val="center"/>
          </w:tcPr>
          <w:p>
            <w:pPr>
              <w:pStyle w:val="34"/>
              <w:snapToGrid w:val="0"/>
              <w:spacing w:line="240" w:lineRule="exact"/>
              <w:rPr>
                <w:color w:val="000000" w:themeColor="text1"/>
                <w:spacing w:val="-2"/>
                <w:sz w:val="21"/>
                <w:szCs w:val="21"/>
                <w14:textFill>
                  <w14:solidFill>
                    <w14:schemeClr w14:val="tx1"/>
                  </w14:solidFill>
                </w14:textFill>
              </w:rPr>
            </w:pPr>
            <w:r>
              <w:rPr>
                <w:rFonts w:hint="eastAsia"/>
                <w:color w:val="000000" w:themeColor="text1"/>
                <w:spacing w:val="-2"/>
                <w:sz w:val="21"/>
                <w:szCs w:val="21"/>
                <w:vertAlign w:val="superscript"/>
                <w14:textFill>
                  <w14:solidFill>
                    <w14:schemeClr w14:val="tx1"/>
                  </w14:solidFill>
                </w14:textFill>
              </w:rPr>
              <w:t>a</w:t>
            </w:r>
            <w:r>
              <w:rPr>
                <w:rFonts w:hint="eastAsia"/>
                <w:color w:val="000000" w:themeColor="text1"/>
                <w:spacing w:val="-2"/>
                <w:sz w:val="21"/>
                <w:szCs w:val="21"/>
                <w14:textFill>
                  <w14:solidFill>
                    <w14:schemeClr w14:val="tx1"/>
                  </w14:solidFill>
                </w14:textFill>
              </w:rPr>
              <w:t>是相对于详细评价工作内容而言，在描述危险物质、环境影响途径、环境危害后果、风险防范措施等方面给出定性的说明。见附录</w:t>
            </w:r>
            <w:r>
              <w:rPr>
                <w:color w:val="000000" w:themeColor="text1"/>
                <w:spacing w:val="-2"/>
                <w:sz w:val="21"/>
                <w:szCs w:val="21"/>
                <w14:textFill>
                  <w14:solidFill>
                    <w14:schemeClr w14:val="tx1"/>
                  </w14:solidFill>
                </w14:textFill>
              </w:rPr>
              <w:t>A</w:t>
            </w:r>
            <w:r>
              <w:rPr>
                <w:rFonts w:hint="eastAsia"/>
                <w:color w:val="000000" w:themeColor="text1"/>
                <w:spacing w:val="-2"/>
                <w:sz w:val="21"/>
                <w:szCs w:val="21"/>
                <w14:textFill>
                  <w14:solidFill>
                    <w14:schemeClr w14:val="tx1"/>
                  </w14:solidFill>
                </w14:textFill>
              </w:rPr>
              <w:t>。</w:t>
            </w:r>
          </w:p>
        </w:tc>
      </w:tr>
    </w:tbl>
    <w:p>
      <w:pPr>
        <w:tabs>
          <w:tab w:val="left" w:pos="7488"/>
        </w:tabs>
        <w:snapToGrid w:val="0"/>
        <w:spacing w:line="348" w:lineRule="auto"/>
        <w:ind w:firstLine="462" w:firstLineChars="200"/>
        <w:rPr>
          <w:color w:val="000000" w:themeColor="text1"/>
          <w14:textFill>
            <w14:solidFill>
              <w14:schemeClr w14:val="tx1"/>
            </w14:solidFill>
          </w14:textFill>
        </w:rPr>
      </w:pPr>
      <w:r>
        <w:rPr>
          <w:rFonts w:hint="eastAsia"/>
          <w:color w:val="000000" w:themeColor="text1"/>
          <w14:textFill>
            <w14:solidFill>
              <w14:schemeClr w14:val="tx1"/>
            </w14:solidFill>
          </w14:textFill>
        </w:rPr>
        <w:t>根据</w:t>
      </w:r>
      <w:r>
        <w:rPr>
          <w:color w:val="000000" w:themeColor="text1"/>
          <w14:textFill>
            <w14:solidFill>
              <w14:schemeClr w14:val="tx1"/>
            </w14:solidFill>
          </w14:textFill>
        </w:rPr>
        <w:t>HJ169-2018</w:t>
      </w:r>
      <w:r>
        <w:rPr>
          <w:rFonts w:hint="eastAsia"/>
          <w:color w:val="000000" w:themeColor="text1"/>
          <w14:textFill>
            <w14:solidFill>
              <w14:schemeClr w14:val="tx1"/>
            </w14:solidFill>
          </w14:textFill>
        </w:rPr>
        <w:t>，项目大气环境敏感程度分级为</w:t>
      </w:r>
      <w:r>
        <w:rPr>
          <w:color w:val="000000" w:themeColor="text1"/>
          <w14:textFill>
            <w14:solidFill>
              <w14:schemeClr w14:val="tx1"/>
            </w14:solidFill>
          </w14:textFill>
        </w:rPr>
        <w:t>E</w:t>
      </w:r>
      <w:r>
        <w:rPr>
          <w:rFonts w:hint="eastAsia"/>
          <w:color w:val="000000" w:themeColor="text1"/>
          <w14:textFill>
            <w14:solidFill>
              <w14:schemeClr w14:val="tx1"/>
            </w14:solidFill>
          </w14:textFill>
        </w:rPr>
        <w:t>3环境低度敏感区、地表水环境敏感程度分级为</w:t>
      </w:r>
      <w:r>
        <w:rPr>
          <w:color w:val="000000" w:themeColor="text1"/>
          <w14:textFill>
            <w14:solidFill>
              <w14:schemeClr w14:val="tx1"/>
            </w14:solidFill>
          </w14:textFill>
        </w:rPr>
        <w:t>E</w:t>
      </w:r>
      <w:r>
        <w:rPr>
          <w:rFonts w:hint="eastAsia"/>
          <w:color w:val="000000" w:themeColor="text1"/>
          <w14:textFill>
            <w14:solidFill>
              <w14:schemeClr w14:val="tx1"/>
            </w14:solidFill>
          </w14:textFill>
        </w:rPr>
        <w:t>2环境中度敏感区、地下水环境敏感程度分级为</w:t>
      </w:r>
      <w:r>
        <w:rPr>
          <w:color w:val="000000" w:themeColor="text1"/>
          <w14:textFill>
            <w14:solidFill>
              <w14:schemeClr w14:val="tx1"/>
            </w14:solidFill>
          </w14:textFill>
        </w:rPr>
        <w:t>E</w:t>
      </w:r>
      <w:r>
        <w:rPr>
          <w:rFonts w:hint="eastAsia"/>
          <w:color w:val="000000" w:themeColor="text1"/>
          <w14:textFill>
            <w14:solidFill>
              <w14:schemeClr w14:val="tx1"/>
            </w14:solidFill>
          </w14:textFill>
        </w:rPr>
        <w:t>2环境低度敏感区，危险物质及工艺系统危险性等级为</w:t>
      </w:r>
      <w:r>
        <w:rPr>
          <w:color w:val="000000" w:themeColor="text1"/>
          <w14:textFill>
            <w14:solidFill>
              <w14:schemeClr w14:val="tx1"/>
            </w14:solidFill>
          </w14:textFill>
        </w:rPr>
        <w:t>P</w:t>
      </w:r>
      <w:r>
        <w:rPr>
          <w:rFonts w:hint="eastAsia"/>
          <w:color w:val="000000" w:themeColor="text1"/>
          <w14:textFill>
            <w14:solidFill>
              <w14:schemeClr w14:val="tx1"/>
            </w14:solidFill>
          </w14:textFill>
        </w:rPr>
        <w:t>4，项目环境风险潜势综合等级为Ⅱ</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项目环境风险综合评价等级为三级。</w:t>
      </w:r>
    </w:p>
    <w:p>
      <w:pPr>
        <w:pStyle w:val="5"/>
        <w:rPr>
          <w:color w:val="000000" w:themeColor="text1"/>
          <w14:textFill>
            <w14:solidFill>
              <w14:schemeClr w14:val="tx1"/>
            </w14:solidFill>
          </w14:textFill>
        </w:rPr>
      </w:pPr>
      <w:r>
        <w:rPr>
          <w:color w:val="000000" w:themeColor="text1"/>
          <w14:textFill>
            <w14:solidFill>
              <w14:schemeClr w14:val="tx1"/>
            </w14:solidFill>
          </w14:textFill>
        </w:rPr>
        <w:t>评价范围</w:t>
      </w:r>
    </w:p>
    <w:p>
      <w:pPr>
        <w:tabs>
          <w:tab w:val="left" w:pos="7488"/>
        </w:tabs>
        <w:snapToGrid w:val="0"/>
        <w:spacing w:line="348" w:lineRule="auto"/>
        <w:ind w:firstLine="462" w:firstLineChars="200"/>
        <w:rPr>
          <w:color w:val="000000" w:themeColor="text1"/>
          <w14:textFill>
            <w14:solidFill>
              <w14:schemeClr w14:val="tx1"/>
            </w14:solidFill>
          </w14:textFill>
        </w:rPr>
      </w:pPr>
      <w:r>
        <w:rPr>
          <w:color w:val="000000" w:themeColor="text1"/>
          <w14:textFill>
            <w14:solidFill>
              <w14:schemeClr w14:val="tx1"/>
            </w14:solidFill>
          </w14:textFill>
        </w:rPr>
        <w:t>根据评价等级、周围敏感资源分布情况，确定各要素评价范围，详见表1.2-</w:t>
      </w:r>
      <w:r>
        <w:rPr>
          <w:rFonts w:hint="eastAsia"/>
          <w:color w:val="000000" w:themeColor="text1"/>
          <w14:textFill>
            <w14:solidFill>
              <w14:schemeClr w14:val="tx1"/>
            </w14:solidFill>
          </w14:textFill>
        </w:rPr>
        <w:t>21</w:t>
      </w:r>
      <w:r>
        <w:rPr>
          <w:color w:val="000000" w:themeColor="text1"/>
          <w14:textFill>
            <w14:solidFill>
              <w14:schemeClr w14:val="tx1"/>
            </w14:solidFill>
          </w14:textFill>
        </w:rPr>
        <w:t>。</w:t>
      </w:r>
    </w:p>
    <w:p>
      <w:pPr>
        <w:pStyle w:val="384"/>
        <w:ind w:left="0" w:firstLine="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本工程各环境要素评价范围一览表</w:t>
      </w:r>
    </w:p>
    <w:tbl>
      <w:tblPr>
        <w:tblStyle w:val="88"/>
        <w:tblW w:w="8342" w:type="dxa"/>
        <w:jc w:val="center"/>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0" w:type="dxa"/>
          <w:bottom w:w="0" w:type="dxa"/>
          <w:right w:w="0" w:type="dxa"/>
        </w:tblCellMar>
      </w:tblPr>
      <w:tblGrid>
        <w:gridCol w:w="726"/>
        <w:gridCol w:w="2554"/>
        <w:gridCol w:w="1840"/>
        <w:gridCol w:w="3222"/>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0" w:type="dxa"/>
            <w:bottom w:w="0" w:type="dxa"/>
            <w:right w:w="0" w:type="dxa"/>
          </w:tblCellMar>
        </w:tblPrEx>
        <w:trPr>
          <w:tblHeader/>
          <w:jc w:val="center"/>
        </w:trPr>
        <w:tc>
          <w:tcPr>
            <w:tcW w:w="726" w:type="dxa"/>
            <w:vAlign w:val="center"/>
          </w:tcPr>
          <w:p>
            <w:pPr>
              <w:adjustRightInd w:val="0"/>
              <w:snapToGrid w:val="0"/>
              <w:jc w:val="center"/>
              <w:rPr>
                <w:color w:val="000000" w:themeColor="text1"/>
                <w:kern w:val="0"/>
                <w:sz w:val="21"/>
                <w:szCs w:val="22"/>
                <w14:textFill>
                  <w14:solidFill>
                    <w14:schemeClr w14:val="tx1"/>
                  </w14:solidFill>
                </w14:textFill>
              </w:rPr>
            </w:pPr>
            <w:r>
              <w:rPr>
                <w:color w:val="000000" w:themeColor="text1"/>
                <w:kern w:val="0"/>
                <w:sz w:val="21"/>
                <w:szCs w:val="22"/>
                <w14:textFill>
                  <w14:solidFill>
                    <w14:schemeClr w14:val="tx1"/>
                  </w14:solidFill>
                </w14:textFill>
              </w:rPr>
              <w:t>评价</w:t>
            </w:r>
          </w:p>
          <w:p>
            <w:pPr>
              <w:adjustRightInd w:val="0"/>
              <w:snapToGrid w:val="0"/>
              <w:jc w:val="center"/>
              <w:rPr>
                <w:color w:val="000000" w:themeColor="text1"/>
                <w:kern w:val="0"/>
                <w:sz w:val="21"/>
                <w:szCs w:val="22"/>
                <w14:textFill>
                  <w14:solidFill>
                    <w14:schemeClr w14:val="tx1"/>
                  </w14:solidFill>
                </w14:textFill>
              </w:rPr>
            </w:pPr>
            <w:r>
              <w:rPr>
                <w:color w:val="000000" w:themeColor="text1"/>
                <w:kern w:val="0"/>
                <w:sz w:val="21"/>
                <w:szCs w:val="22"/>
                <w14:textFill>
                  <w14:solidFill>
                    <w14:schemeClr w14:val="tx1"/>
                  </w14:solidFill>
                </w14:textFill>
              </w:rPr>
              <w:t>要素</w:t>
            </w:r>
          </w:p>
        </w:tc>
        <w:tc>
          <w:tcPr>
            <w:tcW w:w="2554" w:type="dxa"/>
            <w:vAlign w:val="center"/>
          </w:tcPr>
          <w:p>
            <w:pPr>
              <w:adjustRightInd w:val="0"/>
              <w:snapToGrid w:val="0"/>
              <w:jc w:val="center"/>
              <w:rPr>
                <w:color w:val="000000" w:themeColor="text1"/>
                <w:kern w:val="0"/>
                <w:sz w:val="21"/>
                <w:szCs w:val="22"/>
                <w14:textFill>
                  <w14:solidFill>
                    <w14:schemeClr w14:val="tx1"/>
                  </w14:solidFill>
                </w14:textFill>
              </w:rPr>
            </w:pPr>
            <w:r>
              <w:rPr>
                <w:color w:val="000000" w:themeColor="text1"/>
                <w:kern w:val="0"/>
                <w:sz w:val="21"/>
                <w:szCs w:val="22"/>
                <w14:textFill>
                  <w14:solidFill>
                    <w14:schemeClr w14:val="tx1"/>
                  </w14:solidFill>
                </w14:textFill>
              </w:rPr>
              <w:t>评价导则</w:t>
            </w:r>
          </w:p>
        </w:tc>
        <w:tc>
          <w:tcPr>
            <w:tcW w:w="1840" w:type="dxa"/>
            <w:vAlign w:val="center"/>
          </w:tcPr>
          <w:p>
            <w:pPr>
              <w:adjustRightInd w:val="0"/>
              <w:snapToGrid w:val="0"/>
              <w:jc w:val="center"/>
              <w:rPr>
                <w:color w:val="000000" w:themeColor="text1"/>
                <w:kern w:val="0"/>
                <w:sz w:val="21"/>
                <w:szCs w:val="22"/>
                <w14:textFill>
                  <w14:solidFill>
                    <w14:schemeClr w14:val="tx1"/>
                  </w14:solidFill>
                </w14:textFill>
              </w:rPr>
            </w:pPr>
            <w:r>
              <w:rPr>
                <w:color w:val="000000" w:themeColor="text1"/>
                <w:kern w:val="0"/>
                <w:sz w:val="21"/>
                <w:szCs w:val="22"/>
                <w14:textFill>
                  <w14:solidFill>
                    <w14:schemeClr w14:val="tx1"/>
                  </w14:solidFill>
                </w14:textFill>
              </w:rPr>
              <w:t>判定等级</w:t>
            </w:r>
          </w:p>
        </w:tc>
        <w:tc>
          <w:tcPr>
            <w:tcW w:w="3222" w:type="dxa"/>
            <w:vAlign w:val="center"/>
          </w:tcPr>
          <w:p>
            <w:pPr>
              <w:adjustRightInd w:val="0"/>
              <w:snapToGrid w:val="0"/>
              <w:jc w:val="center"/>
              <w:rPr>
                <w:color w:val="000000" w:themeColor="text1"/>
                <w:kern w:val="0"/>
                <w:sz w:val="21"/>
                <w:szCs w:val="22"/>
                <w14:textFill>
                  <w14:solidFill>
                    <w14:schemeClr w14:val="tx1"/>
                  </w14:solidFill>
                </w14:textFill>
              </w:rPr>
            </w:pPr>
            <w:r>
              <w:rPr>
                <w:color w:val="000000" w:themeColor="text1"/>
                <w:kern w:val="0"/>
                <w:sz w:val="21"/>
                <w:szCs w:val="22"/>
                <w14:textFill>
                  <w14:solidFill>
                    <w14:schemeClr w14:val="tx1"/>
                  </w14:solidFill>
                </w14:textFill>
              </w:rPr>
              <w:t>评价范围</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0" w:type="dxa"/>
            <w:bottom w:w="0" w:type="dxa"/>
            <w:right w:w="0" w:type="dxa"/>
          </w:tblCellMar>
        </w:tblPrEx>
        <w:trPr>
          <w:jc w:val="center"/>
        </w:trPr>
        <w:tc>
          <w:tcPr>
            <w:tcW w:w="726" w:type="dxa"/>
            <w:vMerge w:val="restart"/>
            <w:vAlign w:val="center"/>
          </w:tcPr>
          <w:p>
            <w:pPr>
              <w:adjustRightInd w:val="0"/>
              <w:snapToGrid w:val="0"/>
              <w:jc w:val="center"/>
              <w:rPr>
                <w:color w:val="000000" w:themeColor="text1"/>
                <w:kern w:val="0"/>
                <w:sz w:val="21"/>
                <w:szCs w:val="22"/>
                <w14:textFill>
                  <w14:solidFill>
                    <w14:schemeClr w14:val="tx1"/>
                  </w14:solidFill>
                </w14:textFill>
              </w:rPr>
            </w:pPr>
            <w:r>
              <w:rPr>
                <w:color w:val="000000" w:themeColor="text1"/>
                <w:kern w:val="0"/>
                <w:sz w:val="21"/>
                <w:szCs w:val="22"/>
                <w14:textFill>
                  <w14:solidFill>
                    <w14:schemeClr w14:val="tx1"/>
                  </w14:solidFill>
                </w14:textFill>
              </w:rPr>
              <w:t>地表水</w:t>
            </w:r>
          </w:p>
          <w:p>
            <w:pPr>
              <w:adjustRightInd w:val="0"/>
              <w:snapToGrid w:val="0"/>
              <w:jc w:val="center"/>
              <w:rPr>
                <w:color w:val="000000" w:themeColor="text1"/>
                <w:kern w:val="0"/>
                <w:sz w:val="21"/>
                <w:szCs w:val="22"/>
                <w14:textFill>
                  <w14:solidFill>
                    <w14:schemeClr w14:val="tx1"/>
                  </w14:solidFill>
                </w14:textFill>
              </w:rPr>
            </w:pPr>
            <w:r>
              <w:rPr>
                <w:color w:val="000000" w:themeColor="text1"/>
                <w:kern w:val="0"/>
                <w:sz w:val="21"/>
                <w:szCs w:val="22"/>
                <w14:textFill>
                  <w14:solidFill>
                    <w14:schemeClr w14:val="tx1"/>
                  </w14:solidFill>
                </w14:textFill>
              </w:rPr>
              <w:t>环境</w:t>
            </w:r>
          </w:p>
        </w:tc>
        <w:tc>
          <w:tcPr>
            <w:tcW w:w="2554" w:type="dxa"/>
            <w:vMerge w:val="restart"/>
            <w:vAlign w:val="center"/>
          </w:tcPr>
          <w:p>
            <w:pPr>
              <w:adjustRightInd w:val="0"/>
              <w:snapToGrid w:val="0"/>
              <w:jc w:val="center"/>
              <w:rPr>
                <w:color w:val="000000" w:themeColor="text1"/>
                <w:kern w:val="0"/>
                <w:sz w:val="21"/>
                <w:szCs w:val="22"/>
                <w14:textFill>
                  <w14:solidFill>
                    <w14:schemeClr w14:val="tx1"/>
                  </w14:solidFill>
                </w14:textFill>
              </w:rPr>
            </w:pPr>
            <w:r>
              <w:rPr>
                <w:color w:val="000000" w:themeColor="text1"/>
                <w:kern w:val="0"/>
                <w:sz w:val="21"/>
                <w:szCs w:val="22"/>
                <w14:textFill>
                  <w14:solidFill>
                    <w14:schemeClr w14:val="tx1"/>
                  </w14:solidFill>
                </w14:textFill>
              </w:rPr>
              <w:t>《环境影响评价技术导则 地表水环境》（HJ2.3-2018）</w:t>
            </w:r>
          </w:p>
        </w:tc>
        <w:tc>
          <w:tcPr>
            <w:tcW w:w="1840" w:type="dxa"/>
            <w:vAlign w:val="center"/>
          </w:tcPr>
          <w:p>
            <w:pPr>
              <w:adjustRightInd w:val="0"/>
              <w:snapToGrid w:val="0"/>
              <w:jc w:val="center"/>
              <w:rPr>
                <w:color w:val="000000" w:themeColor="text1"/>
                <w:kern w:val="0"/>
                <w:sz w:val="21"/>
                <w:szCs w:val="22"/>
                <w14:textFill>
                  <w14:solidFill>
                    <w14:schemeClr w14:val="tx1"/>
                  </w14:solidFill>
                </w14:textFill>
              </w:rPr>
            </w:pPr>
            <w:r>
              <w:rPr>
                <w:color w:val="000000" w:themeColor="text1"/>
                <w:kern w:val="0"/>
                <w:sz w:val="21"/>
                <w:szCs w:val="22"/>
                <w14:textFill>
                  <w14:solidFill>
                    <w14:schemeClr w14:val="tx1"/>
                  </w14:solidFill>
                </w14:textFill>
              </w:rPr>
              <w:t>水污染三级B</w:t>
            </w:r>
          </w:p>
        </w:tc>
        <w:tc>
          <w:tcPr>
            <w:tcW w:w="3222" w:type="dxa"/>
            <w:vMerge w:val="restart"/>
            <w:vAlign w:val="center"/>
          </w:tcPr>
          <w:p>
            <w:pPr>
              <w:adjustRightInd w:val="0"/>
              <w:snapToGrid w:val="0"/>
              <w:jc w:val="center"/>
              <w:rPr>
                <w:color w:val="000000" w:themeColor="text1"/>
                <w:kern w:val="0"/>
                <w:sz w:val="21"/>
                <w:szCs w:val="22"/>
                <w14:textFill>
                  <w14:solidFill>
                    <w14:schemeClr w14:val="tx1"/>
                  </w14:solidFill>
                </w14:textFill>
              </w:rPr>
            </w:pPr>
            <w:r>
              <w:rPr>
                <w:color w:val="000000" w:themeColor="text1"/>
                <w:kern w:val="0"/>
                <w:sz w:val="21"/>
                <w:szCs w:val="22"/>
                <w14:textFill>
                  <w14:solidFill>
                    <w14:schemeClr w14:val="tx1"/>
                  </w14:solidFill>
                </w14:textFill>
              </w:rPr>
              <w:t>地表水评价范围与海洋评价范围一致</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0" w:type="dxa"/>
            <w:bottom w:w="0" w:type="dxa"/>
            <w:right w:w="0" w:type="dxa"/>
          </w:tblCellMar>
        </w:tblPrEx>
        <w:trPr>
          <w:jc w:val="center"/>
        </w:trPr>
        <w:tc>
          <w:tcPr>
            <w:tcW w:w="726" w:type="dxa"/>
            <w:vMerge w:val="continue"/>
            <w:vAlign w:val="center"/>
          </w:tcPr>
          <w:p>
            <w:pPr>
              <w:adjustRightInd w:val="0"/>
              <w:snapToGrid w:val="0"/>
              <w:jc w:val="center"/>
              <w:rPr>
                <w:color w:val="000000" w:themeColor="text1"/>
                <w:kern w:val="0"/>
                <w:sz w:val="21"/>
                <w:szCs w:val="22"/>
                <w14:textFill>
                  <w14:solidFill>
                    <w14:schemeClr w14:val="tx1"/>
                  </w14:solidFill>
                </w14:textFill>
              </w:rPr>
            </w:pPr>
          </w:p>
        </w:tc>
        <w:tc>
          <w:tcPr>
            <w:tcW w:w="2554" w:type="dxa"/>
            <w:vMerge w:val="continue"/>
            <w:vAlign w:val="center"/>
          </w:tcPr>
          <w:p>
            <w:pPr>
              <w:adjustRightInd w:val="0"/>
              <w:snapToGrid w:val="0"/>
              <w:jc w:val="center"/>
              <w:rPr>
                <w:color w:val="000000" w:themeColor="text1"/>
                <w:kern w:val="0"/>
                <w:sz w:val="21"/>
                <w:szCs w:val="22"/>
                <w14:textFill>
                  <w14:solidFill>
                    <w14:schemeClr w14:val="tx1"/>
                  </w14:solidFill>
                </w14:textFill>
              </w:rPr>
            </w:pPr>
          </w:p>
        </w:tc>
        <w:tc>
          <w:tcPr>
            <w:tcW w:w="1840" w:type="dxa"/>
            <w:vAlign w:val="center"/>
          </w:tcPr>
          <w:p>
            <w:pPr>
              <w:adjustRightInd w:val="0"/>
              <w:snapToGrid w:val="0"/>
              <w:jc w:val="center"/>
              <w:rPr>
                <w:color w:val="000000" w:themeColor="text1"/>
                <w:kern w:val="0"/>
                <w:sz w:val="21"/>
                <w:szCs w:val="22"/>
                <w14:textFill>
                  <w14:solidFill>
                    <w14:schemeClr w14:val="tx1"/>
                  </w14:solidFill>
                </w14:textFill>
              </w:rPr>
            </w:pPr>
            <w:r>
              <w:rPr>
                <w:color w:val="000000" w:themeColor="text1"/>
                <w:kern w:val="0"/>
                <w:sz w:val="21"/>
                <w:szCs w:val="22"/>
                <w14:textFill>
                  <w14:solidFill>
                    <w14:schemeClr w14:val="tx1"/>
                  </w14:solidFill>
                </w14:textFill>
              </w:rPr>
              <w:t>水文要素影响型</w:t>
            </w:r>
          </w:p>
          <w:p>
            <w:pPr>
              <w:adjustRightInd w:val="0"/>
              <w:snapToGrid w:val="0"/>
              <w:jc w:val="center"/>
              <w:rPr>
                <w:color w:val="000000" w:themeColor="text1"/>
                <w:kern w:val="0"/>
                <w:sz w:val="21"/>
                <w:szCs w:val="22"/>
                <w14:textFill>
                  <w14:solidFill>
                    <w14:schemeClr w14:val="tx1"/>
                  </w14:solidFill>
                </w14:textFill>
              </w:rPr>
            </w:pPr>
            <w:r>
              <w:rPr>
                <w:rFonts w:hint="eastAsia"/>
                <w:color w:val="000000" w:themeColor="text1"/>
                <w:kern w:val="0"/>
                <w:sz w:val="21"/>
                <w:szCs w:val="22"/>
                <w14:textFill>
                  <w14:solidFill>
                    <w14:schemeClr w14:val="tx1"/>
                  </w14:solidFill>
                </w14:textFill>
              </w:rPr>
              <w:t>二级</w:t>
            </w:r>
          </w:p>
        </w:tc>
        <w:tc>
          <w:tcPr>
            <w:tcW w:w="3222" w:type="dxa"/>
            <w:vMerge w:val="continue"/>
            <w:vAlign w:val="center"/>
          </w:tcPr>
          <w:p>
            <w:pPr>
              <w:adjustRightInd w:val="0"/>
              <w:snapToGrid w:val="0"/>
              <w:jc w:val="center"/>
              <w:rPr>
                <w:color w:val="000000" w:themeColor="text1"/>
                <w:kern w:val="0"/>
                <w:sz w:val="21"/>
                <w:szCs w:val="22"/>
                <w14:textFill>
                  <w14:solidFill>
                    <w14:schemeClr w14:val="tx1"/>
                  </w14:solidFill>
                </w14:textFill>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0" w:type="dxa"/>
            <w:bottom w:w="0" w:type="dxa"/>
            <w:right w:w="0" w:type="dxa"/>
          </w:tblCellMar>
        </w:tblPrEx>
        <w:trPr>
          <w:jc w:val="center"/>
        </w:trPr>
        <w:tc>
          <w:tcPr>
            <w:tcW w:w="726" w:type="dxa"/>
            <w:vMerge w:val="restart"/>
            <w:vAlign w:val="center"/>
          </w:tcPr>
          <w:p>
            <w:pPr>
              <w:adjustRightInd w:val="0"/>
              <w:snapToGrid w:val="0"/>
              <w:jc w:val="center"/>
              <w:rPr>
                <w:color w:val="000000" w:themeColor="text1"/>
                <w:kern w:val="0"/>
                <w:sz w:val="21"/>
                <w:szCs w:val="22"/>
                <w14:textFill>
                  <w14:solidFill>
                    <w14:schemeClr w14:val="tx1"/>
                  </w14:solidFill>
                </w14:textFill>
              </w:rPr>
            </w:pPr>
            <w:r>
              <w:rPr>
                <w:color w:val="000000" w:themeColor="text1"/>
                <w:kern w:val="0"/>
                <w:sz w:val="21"/>
                <w:szCs w:val="22"/>
                <w14:textFill>
                  <w14:solidFill>
                    <w14:schemeClr w14:val="tx1"/>
                  </w14:solidFill>
                </w14:textFill>
              </w:rPr>
              <w:t>生态</w:t>
            </w:r>
          </w:p>
          <w:p>
            <w:pPr>
              <w:adjustRightInd w:val="0"/>
              <w:snapToGrid w:val="0"/>
              <w:jc w:val="center"/>
              <w:rPr>
                <w:color w:val="000000" w:themeColor="text1"/>
                <w:kern w:val="0"/>
                <w:sz w:val="21"/>
                <w:szCs w:val="22"/>
                <w14:textFill>
                  <w14:solidFill>
                    <w14:schemeClr w14:val="tx1"/>
                  </w14:solidFill>
                </w14:textFill>
              </w:rPr>
            </w:pPr>
            <w:r>
              <w:rPr>
                <w:color w:val="000000" w:themeColor="text1"/>
                <w:kern w:val="0"/>
                <w:sz w:val="21"/>
                <w:szCs w:val="22"/>
                <w14:textFill>
                  <w14:solidFill>
                    <w14:schemeClr w14:val="tx1"/>
                  </w14:solidFill>
                </w14:textFill>
              </w:rPr>
              <w:t>环境</w:t>
            </w:r>
          </w:p>
        </w:tc>
        <w:tc>
          <w:tcPr>
            <w:tcW w:w="2554" w:type="dxa"/>
            <w:vMerge w:val="restart"/>
            <w:vAlign w:val="center"/>
          </w:tcPr>
          <w:p>
            <w:pPr>
              <w:adjustRightInd w:val="0"/>
              <w:snapToGrid w:val="0"/>
              <w:jc w:val="center"/>
              <w:rPr>
                <w:color w:val="000000" w:themeColor="text1"/>
                <w:kern w:val="0"/>
                <w:sz w:val="21"/>
                <w:szCs w:val="22"/>
                <w14:textFill>
                  <w14:solidFill>
                    <w14:schemeClr w14:val="tx1"/>
                  </w14:solidFill>
                </w14:textFill>
              </w:rPr>
            </w:pPr>
            <w:r>
              <w:rPr>
                <w:color w:val="000000" w:themeColor="text1"/>
                <w:kern w:val="0"/>
                <w:sz w:val="21"/>
                <w:szCs w:val="22"/>
                <w14:textFill>
                  <w14:solidFill>
                    <w14:schemeClr w14:val="tx1"/>
                  </w14:solidFill>
                </w14:textFill>
              </w:rPr>
              <w:t>《环境影响评价技术导则 生态影响》（HJ19-2022）</w:t>
            </w:r>
          </w:p>
        </w:tc>
        <w:tc>
          <w:tcPr>
            <w:tcW w:w="1840" w:type="dxa"/>
            <w:vAlign w:val="center"/>
          </w:tcPr>
          <w:p>
            <w:pPr>
              <w:adjustRightInd w:val="0"/>
              <w:snapToGrid w:val="0"/>
              <w:jc w:val="center"/>
              <w:rPr>
                <w:color w:val="000000" w:themeColor="text1"/>
                <w:kern w:val="0"/>
                <w:sz w:val="21"/>
                <w:szCs w:val="22"/>
                <w14:textFill>
                  <w14:solidFill>
                    <w14:schemeClr w14:val="tx1"/>
                  </w14:solidFill>
                </w14:textFill>
              </w:rPr>
            </w:pPr>
            <w:r>
              <w:rPr>
                <w:color w:val="000000" w:themeColor="text1"/>
                <w:kern w:val="0"/>
                <w:sz w:val="21"/>
                <w:szCs w:val="22"/>
                <w14:textFill>
                  <w14:solidFill>
                    <w14:schemeClr w14:val="tx1"/>
                  </w14:solidFill>
                </w14:textFill>
              </w:rPr>
              <w:t>陆生生态三级</w:t>
            </w:r>
          </w:p>
        </w:tc>
        <w:tc>
          <w:tcPr>
            <w:tcW w:w="3222" w:type="dxa"/>
            <w:vAlign w:val="center"/>
          </w:tcPr>
          <w:p>
            <w:pPr>
              <w:adjustRightInd w:val="0"/>
              <w:snapToGrid w:val="0"/>
              <w:jc w:val="center"/>
              <w:rPr>
                <w:color w:val="000000" w:themeColor="text1"/>
                <w:kern w:val="0"/>
                <w:sz w:val="21"/>
                <w:szCs w:val="22"/>
                <w14:textFill>
                  <w14:solidFill>
                    <w14:schemeClr w14:val="tx1"/>
                  </w14:solidFill>
                </w14:textFill>
              </w:rPr>
            </w:pPr>
            <w:r>
              <w:rPr>
                <w:color w:val="000000" w:themeColor="text1"/>
                <w:kern w:val="0"/>
                <w:sz w:val="21"/>
                <w:szCs w:val="22"/>
                <w14:textFill>
                  <w14:solidFill>
                    <w14:schemeClr w14:val="tx1"/>
                  </w14:solidFill>
                </w14:textFill>
              </w:rPr>
              <w:t>本项目属于生态类建设项目，陆域工程生态评价范围为工程直接占用区域外300m以内的区域</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0" w:type="dxa"/>
            <w:bottom w:w="0" w:type="dxa"/>
            <w:right w:w="0" w:type="dxa"/>
          </w:tblCellMar>
        </w:tblPrEx>
        <w:trPr>
          <w:jc w:val="center"/>
        </w:trPr>
        <w:tc>
          <w:tcPr>
            <w:tcW w:w="726" w:type="dxa"/>
            <w:vMerge w:val="continue"/>
            <w:vAlign w:val="center"/>
          </w:tcPr>
          <w:p>
            <w:pPr>
              <w:adjustRightInd w:val="0"/>
              <w:snapToGrid w:val="0"/>
              <w:jc w:val="center"/>
              <w:rPr>
                <w:color w:val="000000" w:themeColor="text1"/>
                <w:kern w:val="0"/>
                <w:sz w:val="21"/>
                <w:szCs w:val="22"/>
                <w14:textFill>
                  <w14:solidFill>
                    <w14:schemeClr w14:val="tx1"/>
                  </w14:solidFill>
                </w14:textFill>
              </w:rPr>
            </w:pPr>
          </w:p>
        </w:tc>
        <w:tc>
          <w:tcPr>
            <w:tcW w:w="2554" w:type="dxa"/>
            <w:vMerge w:val="continue"/>
            <w:vAlign w:val="center"/>
          </w:tcPr>
          <w:p>
            <w:pPr>
              <w:adjustRightInd w:val="0"/>
              <w:snapToGrid w:val="0"/>
              <w:jc w:val="center"/>
              <w:rPr>
                <w:color w:val="000000" w:themeColor="text1"/>
                <w:kern w:val="0"/>
                <w:sz w:val="21"/>
                <w:szCs w:val="22"/>
                <w14:textFill>
                  <w14:solidFill>
                    <w14:schemeClr w14:val="tx1"/>
                  </w14:solidFill>
                </w14:textFill>
              </w:rPr>
            </w:pPr>
          </w:p>
        </w:tc>
        <w:tc>
          <w:tcPr>
            <w:tcW w:w="1840" w:type="dxa"/>
            <w:vAlign w:val="center"/>
          </w:tcPr>
          <w:p>
            <w:pPr>
              <w:adjustRightInd w:val="0"/>
              <w:snapToGrid w:val="0"/>
              <w:jc w:val="center"/>
              <w:rPr>
                <w:color w:val="000000" w:themeColor="text1"/>
                <w:kern w:val="0"/>
                <w:sz w:val="21"/>
                <w:szCs w:val="22"/>
                <w:u w:val="single"/>
                <w14:textFill>
                  <w14:solidFill>
                    <w14:schemeClr w14:val="tx1"/>
                  </w14:solidFill>
                </w14:textFill>
              </w:rPr>
            </w:pPr>
            <w:r>
              <w:rPr>
                <w:color w:val="000000" w:themeColor="text1"/>
                <w:kern w:val="0"/>
                <w:sz w:val="21"/>
                <w:szCs w:val="22"/>
                <w:u w:val="single"/>
                <w14:textFill>
                  <w14:solidFill>
                    <w14:schemeClr w14:val="tx1"/>
                  </w14:solidFill>
                </w14:textFill>
              </w:rPr>
              <w:t>水生生态</w:t>
            </w:r>
            <w:r>
              <w:rPr>
                <w:rFonts w:hint="eastAsia"/>
                <w:color w:val="000000" w:themeColor="text1"/>
                <w:kern w:val="0"/>
                <w:sz w:val="21"/>
                <w:szCs w:val="22"/>
                <w:u w:val="single"/>
                <w14:textFill>
                  <w14:solidFill>
                    <w14:schemeClr w14:val="tx1"/>
                  </w14:solidFill>
                </w14:textFill>
              </w:rPr>
              <w:t>一</w:t>
            </w:r>
            <w:r>
              <w:rPr>
                <w:color w:val="000000" w:themeColor="text1"/>
                <w:kern w:val="0"/>
                <w:sz w:val="21"/>
                <w:szCs w:val="22"/>
                <w:u w:val="single"/>
                <w14:textFill>
                  <w14:solidFill>
                    <w14:schemeClr w14:val="tx1"/>
                  </w14:solidFill>
                </w14:textFill>
              </w:rPr>
              <w:t>级</w:t>
            </w:r>
          </w:p>
        </w:tc>
        <w:tc>
          <w:tcPr>
            <w:tcW w:w="3222" w:type="dxa"/>
            <w:vAlign w:val="center"/>
          </w:tcPr>
          <w:p>
            <w:pPr>
              <w:adjustRightInd w:val="0"/>
              <w:snapToGrid w:val="0"/>
              <w:jc w:val="center"/>
              <w:rPr>
                <w:color w:val="000000" w:themeColor="text1"/>
                <w:kern w:val="0"/>
                <w:sz w:val="21"/>
                <w:szCs w:val="22"/>
                <w14:textFill>
                  <w14:solidFill>
                    <w14:schemeClr w14:val="tx1"/>
                  </w14:solidFill>
                </w14:textFill>
              </w:rPr>
            </w:pPr>
            <w:r>
              <w:rPr>
                <w:color w:val="000000" w:themeColor="text1"/>
                <w:kern w:val="0"/>
                <w:sz w:val="21"/>
                <w:szCs w:val="22"/>
                <w14:textFill>
                  <w14:solidFill>
                    <w14:schemeClr w14:val="tx1"/>
                  </w14:solidFill>
                </w14:textFill>
              </w:rPr>
              <w:t>项目水生生态评价等级参照《海洋工程环境影响评价技术导则》（GB/T19485-2014），水生生态评价范围与海洋评价范围一致</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0" w:type="dxa"/>
            <w:bottom w:w="0" w:type="dxa"/>
            <w:right w:w="0" w:type="dxa"/>
          </w:tblCellMar>
        </w:tblPrEx>
        <w:trPr>
          <w:jc w:val="center"/>
        </w:trPr>
        <w:tc>
          <w:tcPr>
            <w:tcW w:w="726" w:type="dxa"/>
            <w:vAlign w:val="center"/>
          </w:tcPr>
          <w:p>
            <w:pPr>
              <w:adjustRightInd w:val="0"/>
              <w:snapToGrid w:val="0"/>
              <w:jc w:val="center"/>
              <w:rPr>
                <w:color w:val="000000" w:themeColor="text1"/>
                <w:kern w:val="0"/>
                <w:sz w:val="21"/>
                <w:szCs w:val="22"/>
                <w14:textFill>
                  <w14:solidFill>
                    <w14:schemeClr w14:val="tx1"/>
                  </w14:solidFill>
                </w14:textFill>
              </w:rPr>
            </w:pPr>
            <w:r>
              <w:rPr>
                <w:color w:val="000000" w:themeColor="text1"/>
                <w:kern w:val="0"/>
                <w:sz w:val="21"/>
                <w:szCs w:val="22"/>
                <w14:textFill>
                  <w14:solidFill>
                    <w14:schemeClr w14:val="tx1"/>
                  </w14:solidFill>
                </w14:textFill>
              </w:rPr>
              <w:t>大气</w:t>
            </w:r>
          </w:p>
          <w:p>
            <w:pPr>
              <w:adjustRightInd w:val="0"/>
              <w:snapToGrid w:val="0"/>
              <w:jc w:val="center"/>
              <w:rPr>
                <w:color w:val="000000" w:themeColor="text1"/>
                <w:kern w:val="0"/>
                <w:sz w:val="21"/>
                <w:szCs w:val="22"/>
                <w14:textFill>
                  <w14:solidFill>
                    <w14:schemeClr w14:val="tx1"/>
                  </w14:solidFill>
                </w14:textFill>
              </w:rPr>
            </w:pPr>
            <w:r>
              <w:rPr>
                <w:color w:val="000000" w:themeColor="text1"/>
                <w:kern w:val="0"/>
                <w:sz w:val="21"/>
                <w:szCs w:val="22"/>
                <w14:textFill>
                  <w14:solidFill>
                    <w14:schemeClr w14:val="tx1"/>
                  </w14:solidFill>
                </w14:textFill>
              </w:rPr>
              <w:t>环境</w:t>
            </w:r>
          </w:p>
        </w:tc>
        <w:tc>
          <w:tcPr>
            <w:tcW w:w="2554" w:type="dxa"/>
            <w:vAlign w:val="center"/>
          </w:tcPr>
          <w:p>
            <w:pPr>
              <w:adjustRightInd w:val="0"/>
              <w:snapToGrid w:val="0"/>
              <w:jc w:val="center"/>
              <w:rPr>
                <w:color w:val="000000" w:themeColor="text1"/>
                <w:kern w:val="0"/>
                <w:sz w:val="21"/>
                <w:szCs w:val="22"/>
                <w14:textFill>
                  <w14:solidFill>
                    <w14:schemeClr w14:val="tx1"/>
                  </w14:solidFill>
                </w14:textFill>
              </w:rPr>
            </w:pPr>
            <w:r>
              <w:rPr>
                <w:color w:val="000000" w:themeColor="text1"/>
                <w:kern w:val="0"/>
                <w:sz w:val="21"/>
                <w:szCs w:val="22"/>
                <w14:textFill>
                  <w14:solidFill>
                    <w14:schemeClr w14:val="tx1"/>
                  </w14:solidFill>
                </w14:textFill>
              </w:rPr>
              <w:t>《环境影响评价技术导则 大气环境》（HJ2.2-2018）</w:t>
            </w:r>
          </w:p>
        </w:tc>
        <w:tc>
          <w:tcPr>
            <w:tcW w:w="1840" w:type="dxa"/>
            <w:vAlign w:val="center"/>
          </w:tcPr>
          <w:p>
            <w:pPr>
              <w:adjustRightInd w:val="0"/>
              <w:snapToGrid w:val="0"/>
              <w:jc w:val="center"/>
              <w:rPr>
                <w:color w:val="000000" w:themeColor="text1"/>
                <w:kern w:val="0"/>
                <w:sz w:val="21"/>
                <w:szCs w:val="22"/>
                <w14:textFill>
                  <w14:solidFill>
                    <w14:schemeClr w14:val="tx1"/>
                  </w14:solidFill>
                </w14:textFill>
              </w:rPr>
            </w:pPr>
            <w:r>
              <w:rPr>
                <w:rFonts w:hint="eastAsia"/>
                <w:color w:val="000000" w:themeColor="text1"/>
                <w:kern w:val="0"/>
                <w:sz w:val="21"/>
                <w:szCs w:val="22"/>
                <w14:textFill>
                  <w14:solidFill>
                    <w14:schemeClr w14:val="tx1"/>
                  </w14:solidFill>
                </w14:textFill>
              </w:rPr>
              <w:t>三级</w:t>
            </w:r>
          </w:p>
        </w:tc>
        <w:tc>
          <w:tcPr>
            <w:tcW w:w="3222" w:type="dxa"/>
            <w:vAlign w:val="center"/>
          </w:tcPr>
          <w:p>
            <w:pPr>
              <w:adjustRightInd w:val="0"/>
              <w:snapToGrid w:val="0"/>
              <w:jc w:val="center"/>
              <w:rPr>
                <w:color w:val="000000" w:themeColor="text1"/>
                <w:kern w:val="0"/>
                <w:sz w:val="21"/>
                <w:szCs w:val="22"/>
                <w14:textFill>
                  <w14:solidFill>
                    <w14:schemeClr w14:val="tx1"/>
                  </w14:solidFill>
                </w14:textFill>
              </w:rPr>
            </w:pPr>
            <w:r>
              <w:rPr>
                <w:color w:val="000000" w:themeColor="text1"/>
                <w:kern w:val="0"/>
                <w:sz w:val="21"/>
                <w:szCs w:val="22"/>
                <w14:textFill>
                  <w14:solidFill>
                    <w14:schemeClr w14:val="tx1"/>
                  </w14:solidFill>
                </w14:textFill>
              </w:rPr>
              <w:t>本项目评价等级为三级，</w:t>
            </w:r>
            <w:r>
              <w:rPr>
                <w:rFonts w:hint="eastAsia"/>
                <w:color w:val="000000" w:themeColor="text1"/>
                <w:kern w:val="0"/>
                <w:sz w:val="21"/>
                <w:szCs w:val="22"/>
                <w14:textFill>
                  <w14:solidFill>
                    <w14:schemeClr w14:val="tx1"/>
                  </w14:solidFill>
                </w14:textFill>
              </w:rPr>
              <w:t>不需要</w:t>
            </w:r>
            <w:r>
              <w:rPr>
                <w:color w:val="000000" w:themeColor="text1"/>
                <w:kern w:val="0"/>
                <w:sz w:val="21"/>
                <w:szCs w:val="22"/>
                <w14:textFill>
                  <w14:solidFill>
                    <w14:schemeClr w14:val="tx1"/>
                  </w14:solidFill>
                </w14:textFill>
              </w:rPr>
              <w:t>设置评价范围。</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0" w:type="dxa"/>
            <w:bottom w:w="0" w:type="dxa"/>
            <w:right w:w="0" w:type="dxa"/>
          </w:tblCellMar>
        </w:tblPrEx>
        <w:trPr>
          <w:jc w:val="center"/>
        </w:trPr>
        <w:tc>
          <w:tcPr>
            <w:tcW w:w="726" w:type="dxa"/>
            <w:vAlign w:val="center"/>
          </w:tcPr>
          <w:p>
            <w:pPr>
              <w:adjustRightInd w:val="0"/>
              <w:snapToGrid w:val="0"/>
              <w:jc w:val="center"/>
              <w:rPr>
                <w:color w:val="000000" w:themeColor="text1"/>
                <w:kern w:val="0"/>
                <w:sz w:val="21"/>
                <w:szCs w:val="22"/>
                <w14:textFill>
                  <w14:solidFill>
                    <w14:schemeClr w14:val="tx1"/>
                  </w14:solidFill>
                </w14:textFill>
              </w:rPr>
            </w:pPr>
            <w:r>
              <w:rPr>
                <w:color w:val="000000" w:themeColor="text1"/>
                <w:kern w:val="0"/>
                <w:sz w:val="21"/>
                <w:szCs w:val="22"/>
                <w14:textFill>
                  <w14:solidFill>
                    <w14:schemeClr w14:val="tx1"/>
                  </w14:solidFill>
                </w14:textFill>
              </w:rPr>
              <w:t>声环境</w:t>
            </w:r>
          </w:p>
        </w:tc>
        <w:tc>
          <w:tcPr>
            <w:tcW w:w="2554" w:type="dxa"/>
            <w:vAlign w:val="center"/>
          </w:tcPr>
          <w:p>
            <w:pPr>
              <w:adjustRightInd w:val="0"/>
              <w:snapToGrid w:val="0"/>
              <w:jc w:val="center"/>
              <w:rPr>
                <w:color w:val="000000" w:themeColor="text1"/>
                <w:kern w:val="0"/>
                <w:sz w:val="21"/>
                <w:szCs w:val="22"/>
                <w14:textFill>
                  <w14:solidFill>
                    <w14:schemeClr w14:val="tx1"/>
                  </w14:solidFill>
                </w14:textFill>
              </w:rPr>
            </w:pPr>
            <w:r>
              <w:rPr>
                <w:color w:val="000000" w:themeColor="text1"/>
                <w:kern w:val="0"/>
                <w:sz w:val="21"/>
                <w:szCs w:val="22"/>
                <w14:textFill>
                  <w14:solidFill>
                    <w14:schemeClr w14:val="tx1"/>
                  </w14:solidFill>
                </w14:textFill>
              </w:rPr>
              <w:t>《环境影响评价技术导则  声环境》（HJ2.4-2021）</w:t>
            </w:r>
          </w:p>
        </w:tc>
        <w:tc>
          <w:tcPr>
            <w:tcW w:w="1840" w:type="dxa"/>
            <w:vAlign w:val="center"/>
          </w:tcPr>
          <w:p>
            <w:pPr>
              <w:adjustRightInd w:val="0"/>
              <w:snapToGrid w:val="0"/>
              <w:jc w:val="center"/>
              <w:rPr>
                <w:color w:val="000000" w:themeColor="text1"/>
                <w:kern w:val="0"/>
                <w:sz w:val="21"/>
                <w:szCs w:val="22"/>
                <w14:textFill>
                  <w14:solidFill>
                    <w14:schemeClr w14:val="tx1"/>
                  </w14:solidFill>
                </w14:textFill>
              </w:rPr>
            </w:pPr>
            <w:r>
              <w:rPr>
                <w:color w:val="000000" w:themeColor="text1"/>
                <w:kern w:val="0"/>
                <w:sz w:val="21"/>
                <w:szCs w:val="22"/>
                <w14:textFill>
                  <w14:solidFill>
                    <w14:schemeClr w14:val="tx1"/>
                  </w14:solidFill>
                </w14:textFill>
              </w:rPr>
              <w:t>三级</w:t>
            </w:r>
          </w:p>
        </w:tc>
        <w:tc>
          <w:tcPr>
            <w:tcW w:w="3222" w:type="dxa"/>
            <w:vAlign w:val="center"/>
          </w:tcPr>
          <w:p>
            <w:pPr>
              <w:adjustRightInd w:val="0"/>
              <w:snapToGrid w:val="0"/>
              <w:jc w:val="center"/>
              <w:rPr>
                <w:color w:val="000000" w:themeColor="text1"/>
                <w:kern w:val="0"/>
                <w:sz w:val="21"/>
                <w:szCs w:val="22"/>
                <w14:textFill>
                  <w14:solidFill>
                    <w14:schemeClr w14:val="tx1"/>
                  </w14:solidFill>
                </w14:textFill>
              </w:rPr>
            </w:pPr>
            <w:r>
              <w:rPr>
                <w:color w:val="000000" w:themeColor="text1"/>
                <w:kern w:val="0"/>
                <w:sz w:val="21"/>
                <w:szCs w:val="22"/>
                <w14:textFill>
                  <w14:solidFill>
                    <w14:schemeClr w14:val="tx1"/>
                  </w14:solidFill>
                </w14:textFill>
              </w:rPr>
              <w:t>厂界外200m以内的区域</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0" w:type="dxa"/>
            <w:bottom w:w="0" w:type="dxa"/>
            <w:right w:w="0" w:type="dxa"/>
          </w:tblCellMar>
        </w:tblPrEx>
        <w:trPr>
          <w:jc w:val="center"/>
        </w:trPr>
        <w:tc>
          <w:tcPr>
            <w:tcW w:w="726" w:type="dxa"/>
            <w:shd w:val="clear" w:color="auto" w:fill="auto"/>
            <w:vAlign w:val="center"/>
          </w:tcPr>
          <w:p>
            <w:pPr>
              <w:adjustRightInd w:val="0"/>
              <w:snapToGrid w:val="0"/>
              <w:jc w:val="center"/>
              <w:rPr>
                <w:color w:val="000000" w:themeColor="text1"/>
                <w:kern w:val="0"/>
                <w:sz w:val="21"/>
                <w:szCs w:val="22"/>
                <w14:textFill>
                  <w14:solidFill>
                    <w14:schemeClr w14:val="tx1"/>
                  </w14:solidFill>
                </w14:textFill>
              </w:rPr>
            </w:pPr>
            <w:r>
              <w:rPr>
                <w:color w:val="000000" w:themeColor="text1"/>
                <w:kern w:val="0"/>
                <w:sz w:val="21"/>
                <w:szCs w:val="22"/>
                <w14:textFill>
                  <w14:solidFill>
                    <w14:schemeClr w14:val="tx1"/>
                  </w14:solidFill>
                </w14:textFill>
              </w:rPr>
              <w:t>海洋</w:t>
            </w:r>
          </w:p>
          <w:p>
            <w:pPr>
              <w:adjustRightInd w:val="0"/>
              <w:snapToGrid w:val="0"/>
              <w:jc w:val="center"/>
              <w:rPr>
                <w:color w:val="000000" w:themeColor="text1"/>
                <w:kern w:val="0"/>
                <w:sz w:val="21"/>
                <w:szCs w:val="22"/>
                <w14:textFill>
                  <w14:solidFill>
                    <w14:schemeClr w14:val="tx1"/>
                  </w14:solidFill>
                </w14:textFill>
              </w:rPr>
            </w:pPr>
            <w:r>
              <w:rPr>
                <w:color w:val="000000" w:themeColor="text1"/>
                <w:kern w:val="0"/>
                <w:sz w:val="21"/>
                <w:szCs w:val="22"/>
                <w14:textFill>
                  <w14:solidFill>
                    <w14:schemeClr w14:val="tx1"/>
                  </w14:solidFill>
                </w14:textFill>
              </w:rPr>
              <w:t>环境</w:t>
            </w:r>
          </w:p>
        </w:tc>
        <w:tc>
          <w:tcPr>
            <w:tcW w:w="2554" w:type="dxa"/>
            <w:shd w:val="clear" w:color="auto" w:fill="auto"/>
            <w:vAlign w:val="center"/>
          </w:tcPr>
          <w:p>
            <w:pPr>
              <w:adjustRightInd w:val="0"/>
              <w:snapToGrid w:val="0"/>
              <w:jc w:val="center"/>
              <w:rPr>
                <w:color w:val="000000" w:themeColor="text1"/>
                <w:kern w:val="0"/>
                <w:sz w:val="21"/>
                <w:szCs w:val="22"/>
                <w14:textFill>
                  <w14:solidFill>
                    <w14:schemeClr w14:val="tx1"/>
                  </w14:solidFill>
                </w14:textFill>
              </w:rPr>
            </w:pPr>
            <w:r>
              <w:rPr>
                <w:color w:val="000000" w:themeColor="text1"/>
                <w:kern w:val="0"/>
                <w:sz w:val="21"/>
                <w:szCs w:val="22"/>
                <w14:textFill>
                  <w14:solidFill>
                    <w14:schemeClr w14:val="tx1"/>
                  </w14:solidFill>
                </w14:textFill>
              </w:rPr>
              <w:t>《海洋工程环境影响评价技术导则》（GB/T-2014）</w:t>
            </w:r>
          </w:p>
        </w:tc>
        <w:tc>
          <w:tcPr>
            <w:tcW w:w="1840" w:type="dxa"/>
            <w:vAlign w:val="center"/>
          </w:tcPr>
          <w:p>
            <w:pPr>
              <w:adjustRightInd w:val="0"/>
              <w:snapToGrid w:val="0"/>
              <w:jc w:val="center"/>
              <w:rPr>
                <w:color w:val="000000" w:themeColor="text1"/>
                <w:kern w:val="0"/>
                <w:sz w:val="21"/>
                <w:szCs w:val="22"/>
                <w:u w:val="single"/>
                <w14:textFill>
                  <w14:solidFill>
                    <w14:schemeClr w14:val="tx1"/>
                  </w14:solidFill>
                </w14:textFill>
              </w:rPr>
            </w:pPr>
            <w:r>
              <w:rPr>
                <w:color w:val="000000" w:themeColor="text1"/>
                <w:kern w:val="0"/>
                <w:sz w:val="21"/>
                <w:szCs w:val="22"/>
                <w:u w:val="single"/>
                <w14:textFill>
                  <w14:solidFill>
                    <w14:schemeClr w14:val="tx1"/>
                  </w14:solidFill>
                </w14:textFill>
              </w:rPr>
              <w:t>水文环境动力：</w:t>
            </w:r>
            <w:r>
              <w:rPr>
                <w:rFonts w:hint="eastAsia"/>
                <w:color w:val="000000" w:themeColor="text1"/>
                <w:kern w:val="0"/>
                <w:sz w:val="21"/>
                <w:szCs w:val="22"/>
                <w:u w:val="single"/>
                <w14:textFill>
                  <w14:solidFill>
                    <w14:schemeClr w14:val="tx1"/>
                  </w14:solidFill>
                </w14:textFill>
              </w:rPr>
              <w:t>1</w:t>
            </w:r>
            <w:r>
              <w:rPr>
                <w:color w:val="000000" w:themeColor="text1"/>
                <w:kern w:val="0"/>
                <w:sz w:val="21"/>
                <w:szCs w:val="22"/>
                <w:u w:val="single"/>
                <w14:textFill>
                  <w14:solidFill>
                    <w14:schemeClr w14:val="tx1"/>
                  </w14:solidFill>
                </w14:textFill>
              </w:rPr>
              <w:t>级</w:t>
            </w:r>
          </w:p>
          <w:p>
            <w:pPr>
              <w:adjustRightInd w:val="0"/>
              <w:snapToGrid w:val="0"/>
              <w:jc w:val="center"/>
              <w:rPr>
                <w:color w:val="000000" w:themeColor="text1"/>
                <w:kern w:val="0"/>
                <w:sz w:val="21"/>
                <w:szCs w:val="22"/>
                <w:u w:val="single"/>
                <w14:textFill>
                  <w14:solidFill>
                    <w14:schemeClr w14:val="tx1"/>
                  </w14:solidFill>
                </w14:textFill>
              </w:rPr>
            </w:pPr>
            <w:r>
              <w:rPr>
                <w:color w:val="000000" w:themeColor="text1"/>
                <w:kern w:val="0"/>
                <w:sz w:val="21"/>
                <w:szCs w:val="22"/>
                <w:u w:val="single"/>
                <w14:textFill>
                  <w14:solidFill>
                    <w14:schemeClr w14:val="tx1"/>
                  </w14:solidFill>
                </w14:textFill>
              </w:rPr>
              <w:t>水质环境：</w:t>
            </w:r>
            <w:r>
              <w:rPr>
                <w:rFonts w:hint="eastAsia"/>
                <w:color w:val="000000" w:themeColor="text1"/>
                <w:kern w:val="0"/>
                <w:sz w:val="21"/>
                <w:szCs w:val="22"/>
                <w:u w:val="single"/>
                <w14:textFill>
                  <w14:solidFill>
                    <w14:schemeClr w14:val="tx1"/>
                  </w14:solidFill>
                </w14:textFill>
              </w:rPr>
              <w:t>1</w:t>
            </w:r>
            <w:r>
              <w:rPr>
                <w:color w:val="000000" w:themeColor="text1"/>
                <w:kern w:val="0"/>
                <w:sz w:val="21"/>
                <w:szCs w:val="22"/>
                <w:u w:val="single"/>
                <w14:textFill>
                  <w14:solidFill>
                    <w14:schemeClr w14:val="tx1"/>
                  </w14:solidFill>
                </w14:textFill>
              </w:rPr>
              <w:t>级</w:t>
            </w:r>
          </w:p>
          <w:p>
            <w:pPr>
              <w:adjustRightInd w:val="0"/>
              <w:snapToGrid w:val="0"/>
              <w:jc w:val="center"/>
              <w:rPr>
                <w:color w:val="000000" w:themeColor="text1"/>
                <w:kern w:val="0"/>
                <w:sz w:val="21"/>
                <w:szCs w:val="22"/>
                <w:u w:val="single"/>
                <w14:textFill>
                  <w14:solidFill>
                    <w14:schemeClr w14:val="tx1"/>
                  </w14:solidFill>
                </w14:textFill>
              </w:rPr>
            </w:pPr>
            <w:r>
              <w:rPr>
                <w:color w:val="000000" w:themeColor="text1"/>
                <w:kern w:val="0"/>
                <w:sz w:val="21"/>
                <w:szCs w:val="22"/>
                <w:u w:val="single"/>
                <w14:textFill>
                  <w14:solidFill>
                    <w14:schemeClr w14:val="tx1"/>
                  </w14:solidFill>
                </w14:textFill>
              </w:rPr>
              <w:t>沉积物环境：2级</w:t>
            </w:r>
          </w:p>
          <w:p>
            <w:pPr>
              <w:adjustRightInd w:val="0"/>
              <w:snapToGrid w:val="0"/>
              <w:jc w:val="center"/>
              <w:rPr>
                <w:color w:val="000000" w:themeColor="text1"/>
                <w:kern w:val="0"/>
                <w:sz w:val="21"/>
                <w:szCs w:val="22"/>
                <w:u w:val="single"/>
                <w14:textFill>
                  <w14:solidFill>
                    <w14:schemeClr w14:val="tx1"/>
                  </w14:solidFill>
                </w14:textFill>
              </w:rPr>
            </w:pPr>
            <w:r>
              <w:rPr>
                <w:color w:val="000000" w:themeColor="text1"/>
                <w:kern w:val="0"/>
                <w:sz w:val="21"/>
                <w:szCs w:val="22"/>
                <w:u w:val="single"/>
                <w14:textFill>
                  <w14:solidFill>
                    <w14:schemeClr w14:val="tx1"/>
                  </w14:solidFill>
                </w14:textFill>
              </w:rPr>
              <w:t>生态和生物资源环境：</w:t>
            </w:r>
            <w:r>
              <w:rPr>
                <w:rFonts w:hint="eastAsia"/>
                <w:color w:val="000000" w:themeColor="text1"/>
                <w:kern w:val="0"/>
                <w:sz w:val="21"/>
                <w:szCs w:val="22"/>
                <w:u w:val="single"/>
                <w14:textFill>
                  <w14:solidFill>
                    <w14:schemeClr w14:val="tx1"/>
                  </w14:solidFill>
                </w14:textFill>
              </w:rPr>
              <w:t>1</w:t>
            </w:r>
            <w:r>
              <w:rPr>
                <w:color w:val="000000" w:themeColor="text1"/>
                <w:kern w:val="0"/>
                <w:sz w:val="21"/>
                <w:szCs w:val="22"/>
                <w:u w:val="single"/>
                <w14:textFill>
                  <w14:solidFill>
                    <w14:schemeClr w14:val="tx1"/>
                  </w14:solidFill>
                </w14:textFill>
              </w:rPr>
              <w:t>级</w:t>
            </w:r>
          </w:p>
          <w:p>
            <w:pPr>
              <w:adjustRightInd w:val="0"/>
              <w:snapToGrid w:val="0"/>
              <w:jc w:val="center"/>
              <w:rPr>
                <w:color w:val="000000" w:themeColor="text1"/>
                <w:kern w:val="0"/>
                <w:sz w:val="21"/>
                <w:szCs w:val="22"/>
                <w14:textFill>
                  <w14:solidFill>
                    <w14:schemeClr w14:val="tx1"/>
                  </w14:solidFill>
                </w14:textFill>
              </w:rPr>
            </w:pPr>
            <w:r>
              <w:rPr>
                <w:color w:val="000000" w:themeColor="text1"/>
                <w:kern w:val="0"/>
                <w:sz w:val="21"/>
                <w:szCs w:val="22"/>
                <w:u w:val="single"/>
                <w14:textFill>
                  <w14:solidFill>
                    <w14:schemeClr w14:val="tx1"/>
                  </w14:solidFill>
                </w14:textFill>
              </w:rPr>
              <w:t>海洋地形地貌与冲於环境：3级</w:t>
            </w:r>
          </w:p>
        </w:tc>
        <w:tc>
          <w:tcPr>
            <w:tcW w:w="3222" w:type="dxa"/>
            <w:vAlign w:val="center"/>
          </w:tcPr>
          <w:p>
            <w:pPr>
              <w:adjustRightInd w:val="0"/>
              <w:snapToGrid w:val="0"/>
              <w:jc w:val="center"/>
              <w:rPr>
                <w:color w:val="000000" w:themeColor="text1"/>
                <w:kern w:val="0"/>
                <w:sz w:val="21"/>
                <w:szCs w:val="22"/>
                <w14:textFill>
                  <w14:solidFill>
                    <w14:schemeClr w14:val="tx1"/>
                  </w14:solidFill>
                </w14:textFill>
              </w:rPr>
            </w:pPr>
            <w:r>
              <w:rPr>
                <w:color w:val="000000" w:themeColor="text1"/>
                <w:kern w:val="0"/>
                <w:sz w:val="21"/>
                <w:szCs w:val="22"/>
                <w14:textFill>
                  <w14:solidFill>
                    <w14:schemeClr w14:val="tx1"/>
                  </w14:solidFill>
                </w14:textFill>
              </w:rPr>
              <w:t>1.水文动力学环境评价范围：垂向距离一般不小于</w:t>
            </w:r>
            <w:r>
              <w:rPr>
                <w:rFonts w:hint="eastAsia"/>
                <w:color w:val="000000" w:themeColor="text1"/>
                <w:kern w:val="0"/>
                <w:sz w:val="21"/>
                <w:szCs w:val="22"/>
                <w14:textFill>
                  <w14:solidFill>
                    <w14:schemeClr w14:val="tx1"/>
                  </w14:solidFill>
                </w14:textFill>
              </w:rPr>
              <w:t>5</w:t>
            </w:r>
            <w:r>
              <w:rPr>
                <w:color w:val="000000" w:themeColor="text1"/>
                <w:kern w:val="0"/>
                <w:sz w:val="21"/>
                <w:szCs w:val="22"/>
                <w14:textFill>
                  <w14:solidFill>
                    <w14:schemeClr w14:val="tx1"/>
                  </w14:solidFill>
                </w14:textFill>
              </w:rPr>
              <w:t>km，纵向距离不小于一个潮周期内水质点可能达到水平距离的两倍。</w:t>
            </w:r>
          </w:p>
          <w:p>
            <w:pPr>
              <w:adjustRightInd w:val="0"/>
              <w:snapToGrid w:val="0"/>
              <w:jc w:val="center"/>
              <w:rPr>
                <w:color w:val="000000" w:themeColor="text1"/>
                <w:kern w:val="0"/>
                <w:sz w:val="21"/>
                <w:szCs w:val="22"/>
                <w14:textFill>
                  <w14:solidFill>
                    <w14:schemeClr w14:val="tx1"/>
                  </w14:solidFill>
                </w14:textFill>
              </w:rPr>
            </w:pPr>
            <w:r>
              <w:rPr>
                <w:color w:val="000000" w:themeColor="text1"/>
                <w:kern w:val="0"/>
                <w:sz w:val="21"/>
                <w:szCs w:val="22"/>
                <w14:textFill>
                  <w14:solidFill>
                    <w14:schemeClr w14:val="tx1"/>
                  </w14:solidFill>
                </w14:textFill>
              </w:rPr>
              <w:t>2.地形地貌冲淤环境与水文动力学环境评价范围一致。</w:t>
            </w:r>
          </w:p>
          <w:p>
            <w:pPr>
              <w:adjustRightInd w:val="0"/>
              <w:snapToGrid w:val="0"/>
              <w:jc w:val="center"/>
              <w:rPr>
                <w:color w:val="000000" w:themeColor="text1"/>
                <w:kern w:val="0"/>
                <w:sz w:val="21"/>
                <w:szCs w:val="22"/>
                <w14:textFill>
                  <w14:solidFill>
                    <w14:schemeClr w14:val="tx1"/>
                  </w14:solidFill>
                </w14:textFill>
              </w:rPr>
            </w:pPr>
            <w:r>
              <w:rPr>
                <w:color w:val="000000" w:themeColor="text1"/>
                <w:kern w:val="0"/>
                <w:sz w:val="21"/>
                <w:szCs w:val="22"/>
                <w14:textFill>
                  <w14:solidFill>
                    <w14:schemeClr w14:val="tx1"/>
                  </w14:solidFill>
                </w14:textFill>
              </w:rPr>
              <w:t>3.水质环境、沉积物环境评价范围与水文动力学环境影响评价范围一致。</w:t>
            </w:r>
          </w:p>
          <w:p>
            <w:pPr>
              <w:adjustRightInd w:val="0"/>
              <w:snapToGrid w:val="0"/>
              <w:jc w:val="center"/>
              <w:rPr>
                <w:color w:val="000000" w:themeColor="text1"/>
                <w:kern w:val="0"/>
                <w:sz w:val="21"/>
                <w:szCs w:val="22"/>
                <w14:textFill>
                  <w14:solidFill>
                    <w14:schemeClr w14:val="tx1"/>
                  </w14:solidFill>
                </w14:textFill>
              </w:rPr>
            </w:pPr>
            <w:r>
              <w:rPr>
                <w:color w:val="000000" w:themeColor="text1"/>
                <w:kern w:val="0"/>
                <w:sz w:val="21"/>
                <w:szCs w:val="22"/>
                <w14:textFill>
                  <w14:solidFill>
                    <w14:schemeClr w14:val="tx1"/>
                  </w14:solidFill>
                </w14:textFill>
              </w:rPr>
              <w:t>4.海洋生态环境</w:t>
            </w:r>
            <w:r>
              <w:rPr>
                <w:rFonts w:hint="eastAsia"/>
                <w:color w:val="000000" w:themeColor="text1"/>
                <w:kern w:val="0"/>
                <w:sz w:val="21"/>
                <w:szCs w:val="22"/>
                <w14:textFill>
                  <w14:solidFill>
                    <w14:schemeClr w14:val="tx1"/>
                  </w14:solidFill>
                </w14:textFill>
              </w:rPr>
              <w:t>1</w:t>
            </w:r>
            <w:r>
              <w:rPr>
                <w:color w:val="000000" w:themeColor="text1"/>
                <w:kern w:val="0"/>
                <w:sz w:val="21"/>
                <w:szCs w:val="22"/>
                <w14:textFill>
                  <w14:solidFill>
                    <w14:schemeClr w14:val="tx1"/>
                  </w14:solidFill>
                </w14:textFill>
              </w:rPr>
              <w:t>级评价项目，扩展距离一般不能小于</w:t>
            </w:r>
            <w:r>
              <w:rPr>
                <w:rFonts w:hint="eastAsia"/>
                <w:color w:val="000000" w:themeColor="text1"/>
                <w:kern w:val="0"/>
                <w:sz w:val="21"/>
                <w:szCs w:val="22"/>
                <w14:textFill>
                  <w14:solidFill>
                    <w14:schemeClr w14:val="tx1"/>
                  </w14:solidFill>
                </w14:textFill>
              </w:rPr>
              <w:t>8</w:t>
            </w:r>
            <w:r>
              <w:rPr>
                <w:color w:val="000000" w:themeColor="text1"/>
                <w:kern w:val="0"/>
                <w:sz w:val="21"/>
                <w:szCs w:val="22"/>
                <w14:textFill>
                  <w14:solidFill>
                    <w14:schemeClr w14:val="tx1"/>
                  </w14:solidFill>
                </w14:textFill>
              </w:rPr>
              <w:t>km～</w:t>
            </w:r>
            <w:r>
              <w:rPr>
                <w:rFonts w:hint="eastAsia"/>
                <w:color w:val="000000" w:themeColor="text1"/>
                <w:kern w:val="0"/>
                <w:sz w:val="21"/>
                <w:szCs w:val="22"/>
                <w14:textFill>
                  <w14:solidFill>
                    <w14:schemeClr w14:val="tx1"/>
                  </w14:solidFill>
                </w14:textFill>
              </w:rPr>
              <w:t>30</w:t>
            </w:r>
            <w:r>
              <w:rPr>
                <w:color w:val="000000" w:themeColor="text1"/>
                <w:kern w:val="0"/>
                <w:sz w:val="21"/>
                <w:szCs w:val="22"/>
                <w14:textFill>
                  <w14:solidFill>
                    <w14:schemeClr w14:val="tx1"/>
                  </w14:solidFill>
                </w14:textFill>
              </w:rPr>
              <w:t>km。</w:t>
            </w:r>
          </w:p>
          <w:p>
            <w:pPr>
              <w:adjustRightInd w:val="0"/>
              <w:snapToGrid w:val="0"/>
              <w:jc w:val="center"/>
              <w:rPr>
                <w:color w:val="000000" w:themeColor="text1"/>
                <w:kern w:val="0"/>
                <w:sz w:val="21"/>
                <w:szCs w:val="22"/>
                <w14:textFill>
                  <w14:solidFill>
                    <w14:schemeClr w14:val="tx1"/>
                  </w14:solidFill>
                </w14:textFill>
              </w:rPr>
            </w:pPr>
            <w:r>
              <w:rPr>
                <w:color w:val="000000" w:themeColor="text1"/>
                <w:kern w:val="0"/>
                <w:sz w:val="21"/>
                <w:szCs w:val="22"/>
                <w14:textFill>
                  <w14:solidFill>
                    <w14:schemeClr w14:val="tx1"/>
                  </w14:solidFill>
                </w14:textFill>
              </w:rPr>
              <w:t>本工程为</w:t>
            </w:r>
            <w:r>
              <w:rPr>
                <w:rFonts w:hint="eastAsia"/>
                <w:color w:val="000000" w:themeColor="text1"/>
                <w:kern w:val="0"/>
                <w:sz w:val="21"/>
                <w:szCs w:val="22"/>
                <w14:textFill>
                  <w14:solidFill>
                    <w14:schemeClr w14:val="tx1"/>
                  </w14:solidFill>
                </w14:textFill>
              </w:rPr>
              <w:t>1</w:t>
            </w:r>
            <w:r>
              <w:rPr>
                <w:color w:val="000000" w:themeColor="text1"/>
                <w:kern w:val="0"/>
                <w:sz w:val="21"/>
                <w:szCs w:val="22"/>
                <w14:textFill>
                  <w14:solidFill>
                    <w14:schemeClr w14:val="tx1"/>
                  </w14:solidFill>
                </w14:textFill>
              </w:rPr>
              <w:t>级生态环境评价，确定以工程区向四周延伸</w:t>
            </w:r>
            <w:r>
              <w:rPr>
                <w:rFonts w:hint="eastAsia"/>
                <w:color w:val="000000" w:themeColor="text1"/>
                <w:kern w:val="0"/>
                <w:sz w:val="21"/>
                <w:szCs w:val="22"/>
                <w14:textFill>
                  <w14:solidFill>
                    <w14:schemeClr w14:val="tx1"/>
                  </w14:solidFill>
                </w14:textFill>
              </w:rPr>
              <w:t>20</w:t>
            </w:r>
            <w:r>
              <w:rPr>
                <w:color w:val="000000" w:themeColor="text1"/>
                <w:kern w:val="0"/>
                <w:sz w:val="21"/>
                <w:szCs w:val="22"/>
                <w14:textFill>
                  <w14:solidFill>
                    <w14:schemeClr w14:val="tx1"/>
                  </w14:solidFill>
                </w14:textFill>
              </w:rPr>
              <w:t>km直至岸线的范围作为调查和评价范围。</w:t>
            </w:r>
          </w:p>
          <w:p>
            <w:pPr>
              <w:adjustRightInd w:val="0"/>
              <w:snapToGrid w:val="0"/>
              <w:jc w:val="center"/>
              <w:rPr>
                <w:color w:val="000000" w:themeColor="text1"/>
                <w:kern w:val="0"/>
                <w:sz w:val="21"/>
                <w:szCs w:val="22"/>
                <w14:textFill>
                  <w14:solidFill>
                    <w14:schemeClr w14:val="tx1"/>
                  </w14:solidFill>
                </w14:textFill>
              </w:rPr>
            </w:pPr>
            <w:r>
              <w:rPr>
                <w:color w:val="000000" w:themeColor="text1"/>
                <w:kern w:val="0"/>
                <w:sz w:val="21"/>
                <w:szCs w:val="22"/>
                <w14:textFill>
                  <w14:solidFill>
                    <w14:schemeClr w14:val="tx1"/>
                  </w14:solidFill>
                </w14:textFill>
              </w:rPr>
              <w:t>因此取各单项最大评价范围作为本项目海洋环境评价范围，为以工程为中心，向南、向东、向西各延伸</w:t>
            </w:r>
            <w:r>
              <w:rPr>
                <w:rFonts w:hint="eastAsia"/>
                <w:color w:val="000000" w:themeColor="text1"/>
                <w:kern w:val="0"/>
                <w:sz w:val="21"/>
                <w:szCs w:val="22"/>
                <w14:textFill>
                  <w14:solidFill>
                    <w14:schemeClr w14:val="tx1"/>
                  </w14:solidFill>
                </w14:textFill>
              </w:rPr>
              <w:t>20</w:t>
            </w:r>
            <w:r>
              <w:rPr>
                <w:color w:val="000000" w:themeColor="text1"/>
                <w:kern w:val="0"/>
                <w:sz w:val="21"/>
                <w:szCs w:val="22"/>
                <w14:textFill>
                  <w14:solidFill>
                    <w14:schemeClr w14:val="tx1"/>
                  </w14:solidFill>
                </w14:textFill>
              </w:rPr>
              <w:t>.0km，向北以钦州湾岸线为界，评价范围面积约</w:t>
            </w:r>
            <w:r>
              <w:rPr>
                <w:rFonts w:hint="eastAsia"/>
                <w:color w:val="000000" w:themeColor="text1"/>
                <w:kern w:val="0"/>
                <w:sz w:val="21"/>
                <w:szCs w:val="22"/>
                <w14:textFill>
                  <w14:solidFill>
                    <w14:schemeClr w14:val="tx1"/>
                  </w14:solidFill>
                </w14:textFill>
              </w:rPr>
              <w:t>901.70</w:t>
            </w:r>
            <w:r>
              <w:rPr>
                <w:color w:val="000000" w:themeColor="text1"/>
                <w:kern w:val="0"/>
                <w:sz w:val="21"/>
                <w:szCs w:val="22"/>
                <w14:textFill>
                  <w14:solidFill>
                    <w14:schemeClr w14:val="tx1"/>
                  </w14:solidFill>
                </w14:textFill>
              </w:rPr>
              <w:t>km</w:t>
            </w:r>
            <w:r>
              <w:rPr>
                <w:color w:val="000000" w:themeColor="text1"/>
                <w:kern w:val="0"/>
                <w:sz w:val="21"/>
                <w:szCs w:val="22"/>
                <w:vertAlign w:val="superscript"/>
                <w14:textFill>
                  <w14:solidFill>
                    <w14:schemeClr w14:val="tx1"/>
                  </w14:solidFill>
                </w14:textFill>
              </w:rPr>
              <w:t>2</w:t>
            </w:r>
          </w:p>
          <w:p>
            <w:pPr>
              <w:adjustRightInd w:val="0"/>
              <w:snapToGrid w:val="0"/>
              <w:jc w:val="center"/>
              <w:rPr>
                <w:color w:val="000000" w:themeColor="text1"/>
                <w:kern w:val="0"/>
                <w:sz w:val="21"/>
                <w:szCs w:val="22"/>
                <w14:textFill>
                  <w14:solidFill>
                    <w14:schemeClr w14:val="tx1"/>
                  </w14:solidFill>
                </w14:textFill>
              </w:rPr>
            </w:pPr>
            <w:r>
              <w:rPr>
                <w:color w:val="000000" w:themeColor="text1"/>
                <w:kern w:val="0"/>
                <w:sz w:val="21"/>
                <w:szCs w:val="22"/>
                <w14:textFill>
                  <w14:solidFill>
                    <w14:schemeClr w14:val="tx1"/>
                  </w14:solidFill>
                </w14:textFill>
              </w:rPr>
              <w:t>a（108°</w:t>
            </w:r>
            <w:r>
              <w:rPr>
                <w:rFonts w:hint="eastAsia"/>
                <w:color w:val="000000" w:themeColor="text1"/>
                <w:kern w:val="0"/>
                <w:sz w:val="21"/>
                <w:szCs w:val="22"/>
                <w14:textFill>
                  <w14:solidFill>
                    <w14:schemeClr w14:val="tx1"/>
                  </w14:solidFill>
                </w14:textFill>
              </w:rPr>
              <w:t>28</w:t>
            </w:r>
            <w:r>
              <w:rPr>
                <w:color w:val="000000" w:themeColor="text1"/>
                <w:kern w:val="0"/>
                <w:sz w:val="21"/>
                <w:szCs w:val="22"/>
                <w14:textFill>
                  <w14:solidFill>
                    <w14:schemeClr w14:val="tx1"/>
                  </w14:solidFill>
                </w14:textFill>
              </w:rPr>
              <w:t>'</w:t>
            </w:r>
            <w:r>
              <w:rPr>
                <w:rFonts w:hint="eastAsia"/>
                <w:color w:val="000000" w:themeColor="text1"/>
                <w:kern w:val="0"/>
                <w:sz w:val="21"/>
                <w:szCs w:val="22"/>
                <w14:textFill>
                  <w14:solidFill>
                    <w14:schemeClr w14:val="tx1"/>
                  </w14:solidFill>
                </w14:textFill>
              </w:rPr>
              <w:t>14.95</w:t>
            </w:r>
            <w:r>
              <w:rPr>
                <w:color w:val="000000" w:themeColor="text1"/>
                <w:kern w:val="0"/>
                <w:sz w:val="21"/>
                <w:szCs w:val="22"/>
                <w14:textFill>
                  <w14:solidFill>
                    <w14:schemeClr w14:val="tx1"/>
                  </w14:solidFill>
                </w14:textFill>
              </w:rPr>
              <w:t>" E，21°</w:t>
            </w:r>
            <w:r>
              <w:rPr>
                <w:rFonts w:hint="eastAsia"/>
                <w:color w:val="000000" w:themeColor="text1"/>
                <w:kern w:val="0"/>
                <w:sz w:val="21"/>
                <w:szCs w:val="22"/>
                <w14:textFill>
                  <w14:solidFill>
                    <w14:schemeClr w14:val="tx1"/>
                  </w14:solidFill>
                </w14:textFill>
              </w:rPr>
              <w:t>50</w:t>
            </w:r>
            <w:r>
              <w:rPr>
                <w:color w:val="000000" w:themeColor="text1"/>
                <w:kern w:val="0"/>
                <w:sz w:val="21"/>
                <w:szCs w:val="22"/>
                <w14:textFill>
                  <w14:solidFill>
                    <w14:schemeClr w14:val="tx1"/>
                  </w14:solidFill>
                </w14:textFill>
              </w:rPr>
              <w:t>'</w:t>
            </w:r>
            <w:r>
              <w:rPr>
                <w:rFonts w:hint="eastAsia"/>
                <w:color w:val="000000" w:themeColor="text1"/>
                <w:kern w:val="0"/>
                <w:sz w:val="21"/>
                <w:szCs w:val="22"/>
                <w14:textFill>
                  <w14:solidFill>
                    <w14:schemeClr w14:val="tx1"/>
                  </w14:solidFill>
                </w14:textFill>
              </w:rPr>
              <w:t>30.34</w:t>
            </w:r>
            <w:r>
              <w:rPr>
                <w:color w:val="000000" w:themeColor="text1"/>
                <w:kern w:val="0"/>
                <w:sz w:val="21"/>
                <w:szCs w:val="22"/>
                <w14:textFill>
                  <w14:solidFill>
                    <w14:schemeClr w14:val="tx1"/>
                  </w14:solidFill>
                </w14:textFill>
              </w:rPr>
              <w:t>"N）、</w:t>
            </w:r>
          </w:p>
          <w:p>
            <w:pPr>
              <w:adjustRightInd w:val="0"/>
              <w:snapToGrid w:val="0"/>
              <w:jc w:val="center"/>
              <w:rPr>
                <w:color w:val="000000" w:themeColor="text1"/>
                <w:kern w:val="0"/>
                <w:sz w:val="21"/>
                <w:szCs w:val="22"/>
                <w14:textFill>
                  <w14:solidFill>
                    <w14:schemeClr w14:val="tx1"/>
                  </w14:solidFill>
                </w14:textFill>
              </w:rPr>
            </w:pPr>
            <w:r>
              <w:rPr>
                <w:color w:val="000000" w:themeColor="text1"/>
                <w:kern w:val="0"/>
                <w:sz w:val="21"/>
                <w:szCs w:val="22"/>
                <w14:textFill>
                  <w14:solidFill>
                    <w14:schemeClr w14:val="tx1"/>
                  </w14:solidFill>
                </w14:textFill>
              </w:rPr>
              <w:t>b（108°</w:t>
            </w:r>
            <w:r>
              <w:rPr>
                <w:rFonts w:hint="eastAsia"/>
                <w:color w:val="000000" w:themeColor="text1"/>
                <w:kern w:val="0"/>
                <w:sz w:val="21"/>
                <w:szCs w:val="22"/>
                <w14:textFill>
                  <w14:solidFill>
                    <w14:schemeClr w14:val="tx1"/>
                  </w14:solidFill>
                </w14:textFill>
              </w:rPr>
              <w:t>36</w:t>
            </w:r>
            <w:r>
              <w:rPr>
                <w:color w:val="000000" w:themeColor="text1"/>
                <w:kern w:val="0"/>
                <w:sz w:val="21"/>
                <w:szCs w:val="22"/>
                <w14:textFill>
                  <w14:solidFill>
                    <w14:schemeClr w14:val="tx1"/>
                  </w14:solidFill>
                </w14:textFill>
              </w:rPr>
              <w:t>'</w:t>
            </w:r>
            <w:r>
              <w:rPr>
                <w:rFonts w:hint="eastAsia"/>
                <w:color w:val="000000" w:themeColor="text1"/>
                <w:kern w:val="0"/>
                <w:sz w:val="21"/>
                <w:szCs w:val="22"/>
                <w14:textFill>
                  <w14:solidFill>
                    <w14:schemeClr w14:val="tx1"/>
                  </w14:solidFill>
                </w14:textFill>
              </w:rPr>
              <w:t>14.50</w:t>
            </w:r>
            <w:r>
              <w:rPr>
                <w:color w:val="000000" w:themeColor="text1"/>
                <w:kern w:val="0"/>
                <w:sz w:val="21"/>
                <w:szCs w:val="22"/>
                <w14:textFill>
                  <w14:solidFill>
                    <w14:schemeClr w14:val="tx1"/>
                  </w14:solidFill>
                </w14:textFill>
              </w:rPr>
              <w:t>"E，21°</w:t>
            </w:r>
            <w:r>
              <w:rPr>
                <w:rFonts w:hint="eastAsia"/>
                <w:color w:val="000000" w:themeColor="text1"/>
                <w:kern w:val="0"/>
                <w:sz w:val="21"/>
                <w:szCs w:val="22"/>
                <w14:textFill>
                  <w14:solidFill>
                    <w14:schemeClr w14:val="tx1"/>
                  </w14:solidFill>
                </w14:textFill>
              </w:rPr>
              <w:t>50</w:t>
            </w:r>
            <w:r>
              <w:rPr>
                <w:color w:val="000000" w:themeColor="text1"/>
                <w:kern w:val="0"/>
                <w:sz w:val="21"/>
                <w:szCs w:val="22"/>
                <w14:textFill>
                  <w14:solidFill>
                    <w14:schemeClr w14:val="tx1"/>
                  </w14:solidFill>
                </w14:textFill>
              </w:rPr>
              <w:t>'</w:t>
            </w:r>
            <w:r>
              <w:rPr>
                <w:rFonts w:hint="eastAsia"/>
                <w:color w:val="000000" w:themeColor="text1"/>
                <w:kern w:val="0"/>
                <w:sz w:val="21"/>
                <w:szCs w:val="22"/>
                <w14:textFill>
                  <w14:solidFill>
                    <w14:schemeClr w14:val="tx1"/>
                  </w14:solidFill>
                </w14:textFill>
              </w:rPr>
              <w:t>29.72</w:t>
            </w:r>
            <w:r>
              <w:rPr>
                <w:color w:val="000000" w:themeColor="text1"/>
                <w:kern w:val="0"/>
                <w:sz w:val="21"/>
                <w:szCs w:val="22"/>
                <w14:textFill>
                  <w14:solidFill>
                    <w14:schemeClr w14:val="tx1"/>
                  </w14:solidFill>
                </w14:textFill>
              </w:rPr>
              <w:t>" N）、</w:t>
            </w:r>
          </w:p>
          <w:p>
            <w:pPr>
              <w:adjustRightInd w:val="0"/>
              <w:snapToGrid w:val="0"/>
              <w:jc w:val="center"/>
              <w:rPr>
                <w:color w:val="000000" w:themeColor="text1"/>
                <w:kern w:val="0"/>
                <w:sz w:val="21"/>
                <w:szCs w:val="22"/>
                <w14:textFill>
                  <w14:solidFill>
                    <w14:schemeClr w14:val="tx1"/>
                  </w14:solidFill>
                </w14:textFill>
              </w:rPr>
            </w:pPr>
            <w:r>
              <w:rPr>
                <w:rFonts w:hint="eastAsia"/>
                <w:color w:val="000000" w:themeColor="text1"/>
                <w:kern w:val="0"/>
                <w:sz w:val="21"/>
                <w:szCs w:val="22"/>
                <w14:textFill>
                  <w14:solidFill>
                    <w14:schemeClr w14:val="tx1"/>
                  </w14:solidFill>
                </w14:textFill>
              </w:rPr>
              <w:t>c</w:t>
            </w:r>
            <w:r>
              <w:rPr>
                <w:color w:val="000000" w:themeColor="text1"/>
                <w:kern w:val="0"/>
                <w:sz w:val="21"/>
                <w:szCs w:val="22"/>
                <w14:textFill>
                  <w14:solidFill>
                    <w14:schemeClr w14:val="tx1"/>
                  </w14:solidFill>
                </w14:textFill>
              </w:rPr>
              <w:t>（108°</w:t>
            </w:r>
            <w:r>
              <w:rPr>
                <w:rFonts w:hint="eastAsia"/>
                <w:color w:val="000000" w:themeColor="text1"/>
                <w:kern w:val="0"/>
                <w:sz w:val="21"/>
                <w:szCs w:val="22"/>
                <w14:textFill>
                  <w14:solidFill>
                    <w14:schemeClr w14:val="tx1"/>
                  </w14:solidFill>
                </w14:textFill>
              </w:rPr>
              <w:t>50</w:t>
            </w:r>
            <w:r>
              <w:rPr>
                <w:color w:val="000000" w:themeColor="text1"/>
                <w:kern w:val="0"/>
                <w:sz w:val="21"/>
                <w:szCs w:val="22"/>
                <w14:textFill>
                  <w14:solidFill>
                    <w14:schemeClr w14:val="tx1"/>
                  </w14:solidFill>
                </w14:textFill>
              </w:rPr>
              <w:t>'</w:t>
            </w:r>
            <w:r>
              <w:rPr>
                <w:rFonts w:hint="eastAsia"/>
                <w:color w:val="000000" w:themeColor="text1"/>
                <w:kern w:val="0"/>
                <w:sz w:val="21"/>
                <w:szCs w:val="22"/>
                <w14:textFill>
                  <w14:solidFill>
                    <w14:schemeClr w14:val="tx1"/>
                  </w14:solidFill>
                </w14:textFill>
              </w:rPr>
              <w:t>59.76</w:t>
            </w:r>
            <w:r>
              <w:rPr>
                <w:color w:val="000000" w:themeColor="text1"/>
                <w:kern w:val="0"/>
                <w:sz w:val="21"/>
                <w:szCs w:val="22"/>
                <w14:textFill>
                  <w14:solidFill>
                    <w14:schemeClr w14:val="tx1"/>
                  </w14:solidFill>
                </w14:textFill>
              </w:rPr>
              <w:t>" E，21°</w:t>
            </w:r>
            <w:r>
              <w:rPr>
                <w:rFonts w:hint="eastAsia"/>
                <w:color w:val="000000" w:themeColor="text1"/>
                <w:kern w:val="0"/>
                <w:sz w:val="21"/>
                <w:szCs w:val="22"/>
                <w14:textFill>
                  <w14:solidFill>
                    <w14:schemeClr w14:val="tx1"/>
                  </w14:solidFill>
                </w14:textFill>
              </w:rPr>
              <w:t>28</w:t>
            </w:r>
            <w:r>
              <w:rPr>
                <w:color w:val="000000" w:themeColor="text1"/>
                <w:kern w:val="0"/>
                <w:sz w:val="21"/>
                <w:szCs w:val="22"/>
                <w14:textFill>
                  <w14:solidFill>
                    <w14:schemeClr w14:val="tx1"/>
                  </w14:solidFill>
                </w14:textFill>
              </w:rPr>
              <w:t>'</w:t>
            </w:r>
            <w:r>
              <w:rPr>
                <w:rFonts w:hint="eastAsia"/>
                <w:color w:val="000000" w:themeColor="text1"/>
                <w:kern w:val="0"/>
                <w:sz w:val="21"/>
                <w:szCs w:val="22"/>
                <w14:textFill>
                  <w14:solidFill>
                    <w14:schemeClr w14:val="tx1"/>
                  </w14:solidFill>
                </w14:textFill>
              </w:rPr>
              <w:t>36.51</w:t>
            </w:r>
            <w:r>
              <w:rPr>
                <w:color w:val="000000" w:themeColor="text1"/>
                <w:kern w:val="0"/>
                <w:sz w:val="21"/>
                <w:szCs w:val="22"/>
                <w14:textFill>
                  <w14:solidFill>
                    <w14:schemeClr w14:val="tx1"/>
                  </w14:solidFill>
                </w14:textFill>
              </w:rPr>
              <w:t>" N）、</w:t>
            </w:r>
          </w:p>
          <w:p>
            <w:pPr>
              <w:adjustRightInd w:val="0"/>
              <w:snapToGrid w:val="0"/>
              <w:jc w:val="center"/>
              <w:rPr>
                <w:color w:val="000000" w:themeColor="text1"/>
                <w:kern w:val="0"/>
                <w:sz w:val="21"/>
                <w:szCs w:val="22"/>
                <w14:textFill>
                  <w14:solidFill>
                    <w14:schemeClr w14:val="tx1"/>
                  </w14:solidFill>
                </w14:textFill>
              </w:rPr>
            </w:pPr>
            <w:r>
              <w:rPr>
                <w:rFonts w:hint="eastAsia"/>
                <w:color w:val="000000" w:themeColor="text1"/>
                <w:kern w:val="0"/>
                <w:sz w:val="21"/>
                <w:szCs w:val="22"/>
                <w14:textFill>
                  <w14:solidFill>
                    <w14:schemeClr w14:val="tx1"/>
                  </w14:solidFill>
                </w14:textFill>
              </w:rPr>
              <w:t>d</w:t>
            </w:r>
            <w:r>
              <w:rPr>
                <w:color w:val="000000" w:themeColor="text1"/>
                <w:kern w:val="0"/>
                <w:sz w:val="21"/>
                <w:szCs w:val="22"/>
                <w14:textFill>
                  <w14:solidFill>
                    <w14:schemeClr w14:val="tx1"/>
                  </w14:solidFill>
                </w14:textFill>
              </w:rPr>
              <w:t>（108°</w:t>
            </w:r>
            <w:r>
              <w:rPr>
                <w:rFonts w:hint="eastAsia"/>
                <w:color w:val="000000" w:themeColor="text1"/>
                <w:kern w:val="0"/>
                <w:sz w:val="21"/>
                <w:szCs w:val="22"/>
                <w14:textFill>
                  <w14:solidFill>
                    <w14:schemeClr w14:val="tx1"/>
                  </w14:solidFill>
                </w14:textFill>
              </w:rPr>
              <w:t>27</w:t>
            </w:r>
            <w:r>
              <w:rPr>
                <w:color w:val="000000" w:themeColor="text1"/>
                <w:kern w:val="0"/>
                <w:sz w:val="21"/>
                <w:szCs w:val="22"/>
                <w14:textFill>
                  <w14:solidFill>
                    <w14:schemeClr w14:val="tx1"/>
                  </w14:solidFill>
                </w14:textFill>
              </w:rPr>
              <w:t>'</w:t>
            </w:r>
            <w:r>
              <w:rPr>
                <w:rFonts w:hint="eastAsia"/>
                <w:color w:val="000000" w:themeColor="text1"/>
                <w:kern w:val="0"/>
                <w:sz w:val="21"/>
                <w:szCs w:val="22"/>
                <w14:textFill>
                  <w14:solidFill>
                    <w14:schemeClr w14:val="tx1"/>
                  </w14:solidFill>
                </w14:textFill>
              </w:rPr>
              <w:t>23.35</w:t>
            </w:r>
            <w:r>
              <w:rPr>
                <w:color w:val="000000" w:themeColor="text1"/>
                <w:kern w:val="0"/>
                <w:sz w:val="21"/>
                <w:szCs w:val="22"/>
                <w14:textFill>
                  <w14:solidFill>
                    <w14:schemeClr w14:val="tx1"/>
                  </w14:solidFill>
                </w14:textFill>
              </w:rPr>
              <w:t>"E，21°</w:t>
            </w:r>
            <w:r>
              <w:rPr>
                <w:rFonts w:hint="eastAsia"/>
                <w:color w:val="000000" w:themeColor="text1"/>
                <w:kern w:val="0"/>
                <w:sz w:val="21"/>
                <w:szCs w:val="22"/>
                <w14:textFill>
                  <w14:solidFill>
                    <w14:schemeClr w14:val="tx1"/>
                  </w14:solidFill>
                </w14:textFill>
              </w:rPr>
              <w:t>28</w:t>
            </w:r>
            <w:r>
              <w:rPr>
                <w:color w:val="000000" w:themeColor="text1"/>
                <w:kern w:val="0"/>
                <w:sz w:val="21"/>
                <w:szCs w:val="22"/>
                <w14:textFill>
                  <w14:solidFill>
                    <w14:schemeClr w14:val="tx1"/>
                  </w14:solidFill>
                </w14:textFill>
              </w:rPr>
              <w:t>'</w:t>
            </w:r>
            <w:r>
              <w:rPr>
                <w:rFonts w:hint="eastAsia"/>
                <w:color w:val="000000" w:themeColor="text1"/>
                <w:kern w:val="0"/>
                <w:sz w:val="21"/>
                <w:szCs w:val="22"/>
                <w14:textFill>
                  <w14:solidFill>
                    <w14:schemeClr w14:val="tx1"/>
                  </w14:solidFill>
                </w14:textFill>
              </w:rPr>
              <w:t>98.96</w:t>
            </w:r>
            <w:r>
              <w:rPr>
                <w:color w:val="000000" w:themeColor="text1"/>
                <w:kern w:val="0"/>
                <w:sz w:val="21"/>
                <w:szCs w:val="22"/>
                <w14:textFill>
                  <w14:solidFill>
                    <w14:schemeClr w14:val="tx1"/>
                  </w14:solidFill>
                </w14:textFill>
              </w:rPr>
              <w:t>"N）</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0" w:type="dxa"/>
            <w:bottom w:w="0" w:type="dxa"/>
            <w:right w:w="0" w:type="dxa"/>
          </w:tblCellMar>
        </w:tblPrEx>
        <w:trPr>
          <w:jc w:val="center"/>
        </w:trPr>
        <w:tc>
          <w:tcPr>
            <w:tcW w:w="726" w:type="dxa"/>
            <w:shd w:val="clear" w:color="auto" w:fill="auto"/>
            <w:vAlign w:val="center"/>
          </w:tcPr>
          <w:p>
            <w:pPr>
              <w:adjustRightInd w:val="0"/>
              <w:snapToGrid w:val="0"/>
              <w:jc w:val="center"/>
              <w:rPr>
                <w:color w:val="000000" w:themeColor="text1"/>
                <w:kern w:val="0"/>
                <w:sz w:val="21"/>
                <w:szCs w:val="22"/>
                <w14:textFill>
                  <w14:solidFill>
                    <w14:schemeClr w14:val="tx1"/>
                  </w14:solidFill>
                </w14:textFill>
              </w:rPr>
            </w:pPr>
            <w:r>
              <w:rPr>
                <w:color w:val="000000" w:themeColor="text1"/>
                <w:kern w:val="0"/>
                <w:sz w:val="21"/>
                <w:szCs w:val="22"/>
                <w14:textFill>
                  <w14:solidFill>
                    <w14:schemeClr w14:val="tx1"/>
                  </w14:solidFill>
                </w14:textFill>
              </w:rPr>
              <w:t>环境</w:t>
            </w:r>
          </w:p>
          <w:p>
            <w:pPr>
              <w:adjustRightInd w:val="0"/>
              <w:snapToGrid w:val="0"/>
              <w:jc w:val="center"/>
              <w:rPr>
                <w:color w:val="000000" w:themeColor="text1"/>
                <w:kern w:val="0"/>
                <w:sz w:val="21"/>
                <w:szCs w:val="22"/>
                <w14:textFill>
                  <w14:solidFill>
                    <w14:schemeClr w14:val="tx1"/>
                  </w14:solidFill>
                </w14:textFill>
              </w:rPr>
            </w:pPr>
            <w:r>
              <w:rPr>
                <w:color w:val="000000" w:themeColor="text1"/>
                <w:kern w:val="0"/>
                <w:sz w:val="21"/>
                <w:szCs w:val="22"/>
                <w14:textFill>
                  <w14:solidFill>
                    <w14:schemeClr w14:val="tx1"/>
                  </w14:solidFill>
                </w14:textFill>
              </w:rPr>
              <w:t>风险</w:t>
            </w:r>
          </w:p>
        </w:tc>
        <w:tc>
          <w:tcPr>
            <w:tcW w:w="2554" w:type="dxa"/>
            <w:shd w:val="clear" w:color="auto" w:fill="auto"/>
            <w:vAlign w:val="center"/>
          </w:tcPr>
          <w:p>
            <w:pPr>
              <w:adjustRightInd w:val="0"/>
              <w:snapToGrid w:val="0"/>
              <w:jc w:val="center"/>
              <w:rPr>
                <w:color w:val="000000" w:themeColor="text1"/>
                <w:kern w:val="0"/>
                <w:sz w:val="21"/>
                <w:szCs w:val="22"/>
                <w14:textFill>
                  <w14:solidFill>
                    <w14:schemeClr w14:val="tx1"/>
                  </w14:solidFill>
                </w14:textFill>
              </w:rPr>
            </w:pPr>
            <w:r>
              <w:rPr>
                <w:color w:val="000000" w:themeColor="text1"/>
                <w:kern w:val="0"/>
                <w:sz w:val="21"/>
                <w:szCs w:val="22"/>
                <w14:textFill>
                  <w14:solidFill>
                    <w14:schemeClr w14:val="tx1"/>
                  </w14:solidFill>
                </w14:textFill>
              </w:rPr>
              <w:t>《建设项目环境风险评价技术导则》（HJ169-2018）</w:t>
            </w:r>
          </w:p>
        </w:tc>
        <w:tc>
          <w:tcPr>
            <w:tcW w:w="1840" w:type="dxa"/>
            <w:vAlign w:val="center"/>
          </w:tcPr>
          <w:p>
            <w:pPr>
              <w:adjustRightInd w:val="0"/>
              <w:snapToGrid w:val="0"/>
              <w:jc w:val="center"/>
              <w:rPr>
                <w:color w:val="000000" w:themeColor="text1"/>
                <w:kern w:val="0"/>
                <w:sz w:val="21"/>
                <w:szCs w:val="22"/>
                <w14:textFill>
                  <w14:solidFill>
                    <w14:schemeClr w14:val="tx1"/>
                  </w14:solidFill>
                </w14:textFill>
              </w:rPr>
            </w:pPr>
            <w:r>
              <w:rPr>
                <w:color w:val="000000" w:themeColor="text1"/>
                <w:kern w:val="0"/>
                <w:sz w:val="21"/>
                <w:szCs w:val="22"/>
                <w14:textFill>
                  <w14:solidFill>
                    <w14:schemeClr w14:val="tx1"/>
                  </w14:solidFill>
                </w14:textFill>
              </w:rPr>
              <w:t>三级</w:t>
            </w:r>
          </w:p>
        </w:tc>
        <w:tc>
          <w:tcPr>
            <w:tcW w:w="3222" w:type="dxa"/>
            <w:vAlign w:val="center"/>
          </w:tcPr>
          <w:p>
            <w:pPr>
              <w:adjustRightInd w:val="0"/>
              <w:snapToGrid w:val="0"/>
              <w:jc w:val="center"/>
              <w:rPr>
                <w:color w:val="000000" w:themeColor="text1"/>
                <w:kern w:val="0"/>
                <w:sz w:val="21"/>
                <w:szCs w:val="22"/>
                <w14:textFill>
                  <w14:solidFill>
                    <w14:schemeClr w14:val="tx1"/>
                  </w14:solidFill>
                </w14:textFill>
              </w:rPr>
            </w:pPr>
            <w:r>
              <w:rPr>
                <w:color w:val="000000" w:themeColor="text1"/>
                <w:kern w:val="0"/>
                <w:sz w:val="21"/>
                <w:szCs w:val="22"/>
                <w14:textFill>
                  <w14:solidFill>
                    <w14:schemeClr w14:val="tx1"/>
                  </w14:solidFill>
                </w14:textFill>
              </w:rPr>
              <w:t>码头前沿水域、船舶进出港航道及船舶污染事故可能会影响到的其他水域，环境风险评价范围根据风险预测结果确定，四至范围为北至21.810144082N，南至21.428416642N，西至108.434448242E，东至108.707046509E，评价范围约746km</w:t>
            </w:r>
            <w:r>
              <w:rPr>
                <w:color w:val="000000" w:themeColor="text1"/>
                <w:kern w:val="0"/>
                <w:sz w:val="21"/>
                <w:szCs w:val="22"/>
                <w:vertAlign w:val="superscript"/>
                <w14:textFill>
                  <w14:solidFill>
                    <w14:schemeClr w14:val="tx1"/>
                  </w14:solidFill>
                </w14:textFill>
              </w:rPr>
              <w:t>2</w:t>
            </w:r>
            <w:r>
              <w:rPr>
                <w:color w:val="000000" w:themeColor="text1"/>
                <w:kern w:val="0"/>
                <w:sz w:val="21"/>
                <w:szCs w:val="22"/>
                <w14:textFill>
                  <w14:solidFill>
                    <w14:schemeClr w14:val="tx1"/>
                  </w14:solidFill>
                </w14:textFill>
              </w:rPr>
              <w:t>。</w:t>
            </w:r>
          </w:p>
        </w:tc>
      </w:tr>
    </w:tbl>
    <w:p>
      <w:pPr>
        <w:rPr>
          <w:color w:val="000000" w:themeColor="text1"/>
          <w14:textFill>
            <w14:solidFill>
              <w14:schemeClr w14:val="tx1"/>
            </w14:solidFill>
          </w14:textFill>
        </w:rPr>
      </w:pPr>
    </w:p>
    <w:tbl>
      <w:tblPr>
        <w:tblStyle w:val="89"/>
        <w:tblW w:w="8526"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52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238" w:hRule="atLeast"/>
        </w:trPr>
        <w:tc>
          <w:tcPr>
            <w:tcW w:w="8526" w:type="dxa"/>
            <w:tcBorders>
              <w:top w:val="nil"/>
              <w:left w:val="nil"/>
              <w:bottom w:val="nil"/>
              <w:right w:val="nil"/>
            </w:tcBorders>
            <w:vAlign w:val="center"/>
          </w:tcPr>
          <w:p>
            <w:pPr>
              <w:jc w:val="center"/>
              <w:rPr>
                <w:color w:val="000000" w:themeColor="text1"/>
                <w14:textFill>
                  <w14:solidFill>
                    <w14:schemeClr w14:val="tx1"/>
                  </w14:solidFill>
                </w14:textFill>
              </w:rPr>
            </w:pPr>
            <w:r>
              <w:rPr>
                <w:color w:val="000000" w:themeColor="text1"/>
                <w14:textFill>
                  <w14:solidFill>
                    <w14:schemeClr w14:val="tx1"/>
                  </w14:solidFill>
                </w14:textFill>
              </w:rPr>
              <mc:AlternateContent>
                <mc:Choice Requires="wps">
                  <w:drawing>
                    <wp:anchor distT="0" distB="0" distL="114300" distR="114300" simplePos="0" relativeHeight="251702272" behindDoc="0" locked="0" layoutInCell="1" allowOverlap="1">
                      <wp:simplePos x="0" y="0"/>
                      <wp:positionH relativeFrom="column">
                        <wp:posOffset>4702175</wp:posOffset>
                      </wp:positionH>
                      <wp:positionV relativeFrom="paragraph">
                        <wp:posOffset>3092450</wp:posOffset>
                      </wp:positionV>
                      <wp:extent cx="371475" cy="381000"/>
                      <wp:effectExtent l="0" t="0" r="28575" b="19050"/>
                      <wp:wrapNone/>
                      <wp:docPr id="43" name="矩形 43"/>
                      <wp:cNvGraphicFramePr/>
                      <a:graphic xmlns:a="http://schemas.openxmlformats.org/drawingml/2006/main">
                        <a:graphicData uri="http://schemas.microsoft.com/office/word/2010/wordprocessingShape">
                          <wps:wsp>
                            <wps:cNvSpPr/>
                            <wps:spPr>
                              <a:xfrm>
                                <a:off x="0" y="0"/>
                                <a:ext cx="371475" cy="381000"/>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pPr>
                                    <w:snapToGrid w:val="0"/>
                                    <w:jc w:val="center"/>
                                    <w:rPr>
                                      <w:b/>
                                      <w:color w:val="000000" w:themeColor="text1"/>
                                      <w:sz w:val="36"/>
                                      <w14:textFill>
                                        <w14:solidFill>
                                          <w14:schemeClr w14:val="tx1"/>
                                        </w14:solidFill>
                                      </w14:textFill>
                                    </w:rPr>
                                  </w:pPr>
                                  <w:r>
                                    <w:rPr>
                                      <w:rFonts w:hint="eastAsia"/>
                                      <w:b/>
                                      <w:color w:val="000000" w:themeColor="text1"/>
                                      <w:sz w:val="36"/>
                                      <w14:textFill>
                                        <w14:solidFill>
                                          <w14:schemeClr w14:val="tx1"/>
                                        </w14:solidFill>
                                      </w14:textFill>
                                    </w:rPr>
                                    <w:t>c</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70.25pt;margin-top:243.5pt;height:30pt;width:29.25pt;z-index:251702272;v-text-anchor:middle;mso-width-relative:page;mso-height-relative:page;" fillcolor="#FFFFFF [3212]" filled="t" stroked="t" coordsize="21600,21600" o:gfxdata="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">
                      <v:fill on="t" focussize="0,0"/>
                      <v:stroke weight="1pt" color="#000000 [3213]" miterlimit="8" joinstyle="miter"/>
                      <v:imagedata o:title=""/>
                      <o:lock v:ext="edit" aspectratio="f"/>
                      <v:textbox>
                        <w:txbxContent>
                          <w:p>
                            <w:pPr>
                              <w:snapToGrid w:val="0"/>
                              <w:jc w:val="center"/>
                              <w:rPr>
                                <w:b/>
                                <w:color w:val="000000" w:themeColor="text1"/>
                                <w:sz w:val="36"/>
                                <w14:textFill>
                                  <w14:solidFill>
                                    <w14:schemeClr w14:val="tx1"/>
                                  </w14:solidFill>
                                </w14:textFill>
                              </w:rPr>
                            </w:pPr>
                            <w:r>
                              <w:rPr>
                                <w:rFonts w:hint="eastAsia"/>
                                <w:b/>
                                <w:color w:val="000000" w:themeColor="text1"/>
                                <w:sz w:val="36"/>
                                <w14:textFill>
                                  <w14:solidFill>
                                    <w14:schemeClr w14:val="tx1"/>
                                  </w14:solidFill>
                                </w14:textFill>
                              </w:rPr>
                              <w:t>c</w:t>
                            </w:r>
                          </w:p>
                        </w:txbxContent>
                      </v:textbox>
                    </v:rect>
                  </w:pict>
                </mc:Fallback>
              </mc:AlternateContent>
            </w:r>
            <w:r>
              <w:rPr>
                <w:color w:val="000000" w:themeColor="text1"/>
                <w14:textFill>
                  <w14:solidFill>
                    <w14:schemeClr w14:val="tx1"/>
                  </w14:solidFill>
                </w14:textFill>
              </w:rPr>
              <mc:AlternateContent>
                <mc:Choice Requires="wps">
                  <w:drawing>
                    <wp:anchor distT="0" distB="0" distL="114300" distR="114300" simplePos="0" relativeHeight="251704320" behindDoc="0" locked="0" layoutInCell="1" allowOverlap="1">
                      <wp:simplePos x="0" y="0"/>
                      <wp:positionH relativeFrom="column">
                        <wp:posOffset>779780</wp:posOffset>
                      </wp:positionH>
                      <wp:positionV relativeFrom="paragraph">
                        <wp:posOffset>3145155</wp:posOffset>
                      </wp:positionV>
                      <wp:extent cx="419100" cy="333375"/>
                      <wp:effectExtent l="0" t="0" r="19050" b="28575"/>
                      <wp:wrapNone/>
                      <wp:docPr id="44" name="矩形 44"/>
                      <wp:cNvGraphicFramePr/>
                      <a:graphic xmlns:a="http://schemas.openxmlformats.org/drawingml/2006/main">
                        <a:graphicData uri="http://schemas.microsoft.com/office/word/2010/wordprocessingShape">
                          <wps:wsp>
                            <wps:cNvSpPr/>
                            <wps:spPr>
                              <a:xfrm>
                                <a:off x="0" y="0"/>
                                <a:ext cx="419100" cy="333375"/>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pPr>
                                    <w:snapToGrid w:val="0"/>
                                    <w:jc w:val="center"/>
                                    <w:rPr>
                                      <w:b/>
                                      <w:color w:val="000000" w:themeColor="text1"/>
                                      <w:sz w:val="36"/>
                                      <w14:textFill>
                                        <w14:solidFill>
                                          <w14:schemeClr w14:val="tx1"/>
                                        </w14:solidFill>
                                      </w14:textFill>
                                    </w:rPr>
                                  </w:pPr>
                                  <w:r>
                                    <w:rPr>
                                      <w:rFonts w:hint="eastAsia"/>
                                      <w:b/>
                                      <w:color w:val="000000" w:themeColor="text1"/>
                                      <w:sz w:val="36"/>
                                      <w14:textFill>
                                        <w14:solidFill>
                                          <w14:schemeClr w14:val="tx1"/>
                                        </w14:solidFill>
                                      </w14:textFill>
                                    </w:rPr>
                                    <w:t>d</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61.4pt;margin-top:247.65pt;height:26.25pt;width:33pt;z-index:251704320;v-text-anchor:middle;mso-width-relative:page;mso-height-relative:page;" fillcolor="#FFFFFF [3212]" filled="t" stroked="t" coordsize="21600,21600" o:gfxdata="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">
                      <v:fill on="t" focussize="0,0"/>
                      <v:stroke weight="1pt" color="#000000 [3213]" miterlimit="8" joinstyle="miter"/>
                      <v:imagedata o:title=""/>
                      <o:lock v:ext="edit" aspectratio="f"/>
                      <v:textbox>
                        <w:txbxContent>
                          <w:p>
                            <w:pPr>
                              <w:snapToGrid w:val="0"/>
                              <w:jc w:val="center"/>
                              <w:rPr>
                                <w:b/>
                                <w:color w:val="000000" w:themeColor="text1"/>
                                <w:sz w:val="36"/>
                                <w14:textFill>
                                  <w14:solidFill>
                                    <w14:schemeClr w14:val="tx1"/>
                                  </w14:solidFill>
                                </w14:textFill>
                              </w:rPr>
                            </w:pPr>
                            <w:r>
                              <w:rPr>
                                <w:rFonts w:hint="eastAsia"/>
                                <w:b/>
                                <w:color w:val="000000" w:themeColor="text1"/>
                                <w:sz w:val="36"/>
                                <w14:textFill>
                                  <w14:solidFill>
                                    <w14:schemeClr w14:val="tx1"/>
                                  </w14:solidFill>
                                </w14:textFill>
                              </w:rPr>
                              <w:t>d</w:t>
                            </w:r>
                          </w:p>
                        </w:txbxContent>
                      </v:textbox>
                    </v:rect>
                  </w:pict>
                </mc:Fallback>
              </mc:AlternateContent>
            </w:r>
            <w:r>
              <w:rPr>
                <w:color w:val="000000" w:themeColor="text1"/>
                <w14:textFill>
                  <w14:solidFill>
                    <w14:schemeClr w14:val="tx1"/>
                  </w14:solidFill>
                </w14:textFill>
              </w:rPr>
              <mc:AlternateContent>
                <mc:Choice Requires="wps">
                  <w:drawing>
                    <wp:anchor distT="0" distB="0" distL="114300" distR="114300" simplePos="0" relativeHeight="251701248" behindDoc="0" locked="0" layoutInCell="1" allowOverlap="1">
                      <wp:simplePos x="0" y="0"/>
                      <wp:positionH relativeFrom="column">
                        <wp:posOffset>2730500</wp:posOffset>
                      </wp:positionH>
                      <wp:positionV relativeFrom="paragraph">
                        <wp:posOffset>82550</wp:posOffset>
                      </wp:positionV>
                      <wp:extent cx="371475" cy="323850"/>
                      <wp:effectExtent l="0" t="0" r="28575" b="19050"/>
                      <wp:wrapNone/>
                      <wp:docPr id="41" name="矩形 41"/>
                      <wp:cNvGraphicFramePr/>
                      <a:graphic xmlns:a="http://schemas.openxmlformats.org/drawingml/2006/main">
                        <a:graphicData uri="http://schemas.microsoft.com/office/word/2010/wordprocessingShape">
                          <wps:wsp>
                            <wps:cNvSpPr/>
                            <wps:spPr>
                              <a:xfrm>
                                <a:off x="0" y="0"/>
                                <a:ext cx="371475" cy="323850"/>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pPr>
                                    <w:snapToGrid w:val="0"/>
                                    <w:jc w:val="center"/>
                                    <w:rPr>
                                      <w:b/>
                                      <w:color w:val="000000" w:themeColor="text1"/>
                                      <w:sz w:val="36"/>
                                      <w14:textFill>
                                        <w14:solidFill>
                                          <w14:schemeClr w14:val="tx1"/>
                                        </w14:solidFill>
                                      </w14:textFill>
                                    </w:rPr>
                                  </w:pPr>
                                  <w:r>
                                    <w:rPr>
                                      <w:rFonts w:hint="eastAsia"/>
                                      <w:b/>
                                      <w:color w:val="000000" w:themeColor="text1"/>
                                      <w:sz w:val="36"/>
                                      <w14:textFill>
                                        <w14:solidFill>
                                          <w14:schemeClr w14:val="tx1"/>
                                        </w14:solidFill>
                                      </w14:textFill>
                                    </w:rPr>
                                    <w:t>b</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15pt;margin-top:6.5pt;height:25.5pt;width:29.25pt;z-index:251701248;v-text-anchor:middle;mso-width-relative:page;mso-height-relative:page;" fillcolor="#FFFFFF [3212]" filled="t" stroked="t" coordsize="21600,21600" o:gfxdata="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">
                      <v:fill on="t" focussize="0,0"/>
                      <v:stroke weight="1pt" color="#000000 [3213]" miterlimit="8" joinstyle="miter"/>
                      <v:imagedata o:title=""/>
                      <o:lock v:ext="edit" aspectratio="f"/>
                      <v:textbox>
                        <w:txbxContent>
                          <w:p>
                            <w:pPr>
                              <w:snapToGrid w:val="0"/>
                              <w:jc w:val="center"/>
                              <w:rPr>
                                <w:b/>
                                <w:color w:val="000000" w:themeColor="text1"/>
                                <w:sz w:val="36"/>
                                <w14:textFill>
                                  <w14:solidFill>
                                    <w14:schemeClr w14:val="tx1"/>
                                  </w14:solidFill>
                                </w14:textFill>
                              </w:rPr>
                            </w:pPr>
                            <w:r>
                              <w:rPr>
                                <w:rFonts w:hint="eastAsia"/>
                                <w:b/>
                                <w:color w:val="000000" w:themeColor="text1"/>
                                <w:sz w:val="36"/>
                                <w14:textFill>
                                  <w14:solidFill>
                                    <w14:schemeClr w14:val="tx1"/>
                                  </w14:solidFill>
                                </w14:textFill>
                              </w:rPr>
                              <w:t>b</w:t>
                            </w:r>
                          </w:p>
                        </w:txbxContent>
                      </v:textbox>
                    </v:rect>
                  </w:pict>
                </mc:Fallback>
              </mc:AlternateContent>
            </w:r>
            <w:r>
              <w:rPr>
                <w:color w:val="000000" w:themeColor="text1"/>
                <w14:textFill>
                  <w14:solidFill>
                    <w14:schemeClr w14:val="tx1"/>
                  </w14:solidFill>
                </w14:textFill>
              </w:rPr>
              <mc:AlternateContent>
                <mc:Choice Requires="wps">
                  <w:drawing>
                    <wp:anchor distT="0" distB="0" distL="114300" distR="114300" simplePos="0" relativeHeight="251700224" behindDoc="0" locked="0" layoutInCell="1" allowOverlap="1">
                      <wp:simplePos x="0" y="0"/>
                      <wp:positionH relativeFrom="column">
                        <wp:posOffset>958850</wp:posOffset>
                      </wp:positionH>
                      <wp:positionV relativeFrom="paragraph">
                        <wp:posOffset>92075</wp:posOffset>
                      </wp:positionV>
                      <wp:extent cx="371475" cy="361950"/>
                      <wp:effectExtent l="0" t="0" r="28575" b="19050"/>
                      <wp:wrapNone/>
                      <wp:docPr id="39" name="矩形 39"/>
                      <wp:cNvGraphicFramePr/>
                      <a:graphic xmlns:a="http://schemas.openxmlformats.org/drawingml/2006/main">
                        <a:graphicData uri="http://schemas.microsoft.com/office/word/2010/wordprocessingShape">
                          <wps:wsp>
                            <wps:cNvSpPr/>
                            <wps:spPr>
                              <a:xfrm>
                                <a:off x="0" y="0"/>
                                <a:ext cx="371475" cy="361950"/>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pPr>
                                    <w:snapToGrid w:val="0"/>
                                    <w:jc w:val="center"/>
                                    <w:rPr>
                                      <w:b/>
                                      <w:color w:val="000000" w:themeColor="text1"/>
                                      <w:sz w:val="36"/>
                                      <w14:textFill>
                                        <w14:solidFill>
                                          <w14:schemeClr w14:val="tx1"/>
                                        </w14:solidFill>
                                      </w14:textFill>
                                    </w:rPr>
                                  </w:pPr>
                                  <w:r>
                                    <w:rPr>
                                      <w:b/>
                                      <w:color w:val="000000" w:themeColor="text1"/>
                                      <w:sz w:val="36"/>
                                      <w14:textFill>
                                        <w14:solidFill>
                                          <w14:schemeClr w14:val="tx1"/>
                                        </w14:solidFill>
                                      </w14:textFill>
                                    </w:rPr>
                                    <w:t>a</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75.5pt;margin-top:7.25pt;height:28.5pt;width:29.25pt;z-index:251700224;v-text-anchor:middle;mso-width-relative:page;mso-height-relative:page;" fillcolor="#FFFFFF [3212]" filled="t" stroked="t" coordsize="21600,21600" o:gfxdata="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">
                      <v:fill on="t" focussize="0,0"/>
                      <v:stroke weight="1pt" color="#000000 [3213]" miterlimit="8" joinstyle="miter"/>
                      <v:imagedata o:title=""/>
                      <o:lock v:ext="edit" aspectratio="f"/>
                      <v:textbox>
                        <w:txbxContent>
                          <w:p>
                            <w:pPr>
                              <w:snapToGrid w:val="0"/>
                              <w:jc w:val="center"/>
                              <w:rPr>
                                <w:b/>
                                <w:color w:val="000000" w:themeColor="text1"/>
                                <w:sz w:val="36"/>
                                <w14:textFill>
                                  <w14:solidFill>
                                    <w14:schemeClr w14:val="tx1"/>
                                  </w14:solidFill>
                                </w14:textFill>
                              </w:rPr>
                            </w:pPr>
                            <w:r>
                              <w:rPr>
                                <w:b/>
                                <w:color w:val="000000" w:themeColor="text1"/>
                                <w:sz w:val="36"/>
                                <w14:textFill>
                                  <w14:solidFill>
                                    <w14:schemeClr w14:val="tx1"/>
                                  </w14:solidFill>
                                </w14:textFill>
                              </w:rPr>
                              <w:t>a</w:t>
                            </w:r>
                          </w:p>
                        </w:txbxContent>
                      </v:textbox>
                    </v:rect>
                  </w:pict>
                </mc:Fallback>
              </mc:AlternateContent>
            </w:r>
            <w:r>
              <w:rPr>
                <w:color w:val="000000" w:themeColor="text1"/>
                <w14:textFill>
                  <w14:solidFill>
                    <w14:schemeClr w14:val="tx1"/>
                  </w14:solidFill>
                </w14:textFill>
              </w:rPr>
              <mc:AlternateContent>
                <mc:Choice Requires="wps">
                  <w:drawing>
                    <wp:anchor distT="0" distB="0" distL="114300" distR="114300" simplePos="0" relativeHeight="251678720" behindDoc="0" locked="0" layoutInCell="1" allowOverlap="1">
                      <wp:simplePos x="0" y="0"/>
                      <wp:positionH relativeFrom="column">
                        <wp:posOffset>3799205</wp:posOffset>
                      </wp:positionH>
                      <wp:positionV relativeFrom="paragraph">
                        <wp:posOffset>381000</wp:posOffset>
                      </wp:positionV>
                      <wp:extent cx="971550" cy="257175"/>
                      <wp:effectExtent l="914400" t="0" r="19050" b="1171575"/>
                      <wp:wrapNone/>
                      <wp:docPr id="2" name="矩形标注 2"/>
                      <wp:cNvGraphicFramePr/>
                      <a:graphic xmlns:a="http://schemas.openxmlformats.org/drawingml/2006/main">
                        <a:graphicData uri="http://schemas.microsoft.com/office/word/2010/wordprocessingShape">
                          <wps:wsp>
                            <wps:cNvSpPr/>
                            <wps:spPr>
                              <a:xfrm>
                                <a:off x="4762500" y="2619375"/>
                                <a:ext cx="971550" cy="257175"/>
                              </a:xfrm>
                              <a:prstGeom prst="wedgeRectCallout">
                                <a:avLst>
                                  <a:gd name="adj1" fmla="val -140744"/>
                                  <a:gd name="adj2" fmla="val 458143"/>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pPr>
                                    <w:snapToGrid w:val="0"/>
                                    <w:jc w:val="center"/>
                                    <w:rPr>
                                      <w:color w:val="000000" w:themeColor="text1"/>
                                      <w:sz w:val="21"/>
                                      <w14:textFill>
                                        <w14:solidFill>
                                          <w14:schemeClr w14:val="tx1"/>
                                        </w14:solidFill>
                                      </w14:textFill>
                                    </w:rPr>
                                  </w:pPr>
                                  <w:r>
                                    <w:rPr>
                                      <w:rFonts w:hint="eastAsia"/>
                                      <w:b/>
                                      <w:color w:val="000000" w:themeColor="text1"/>
                                      <w:sz w:val="21"/>
                                      <w14:textFill>
                                        <w14:solidFill>
                                          <w14:schemeClr w14:val="tx1"/>
                                        </w14:solidFill>
                                      </w14:textFill>
                                    </w:rPr>
                                    <w:t>本项目位置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299.15pt;margin-top:30pt;height:20.25pt;width:76.5pt;z-index:251678720;v-text-anchor:middle;mso-width-relative:page;mso-height-relative:page;" fillcolor="#FFFFFF [3212]" filled="t" stroked="t" coordsize="21600,21600" o:gfxdata="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" adj="-19601,109759">
                      <v:fill on="t" focussize="0,0"/>
                      <v:stroke weight="1pt" color="#000000 [3213]" miterlimit="8" joinstyle="miter"/>
                      <v:imagedata o:title=""/>
                      <o:lock v:ext="edit" aspectratio="f"/>
                      <v:textbox>
                        <w:txbxContent>
                          <w:p>
                            <w:pPr>
                              <w:snapToGrid w:val="0"/>
                              <w:jc w:val="center"/>
                              <w:rPr>
                                <w:color w:val="000000" w:themeColor="text1"/>
                                <w:sz w:val="21"/>
                                <w14:textFill>
                                  <w14:solidFill>
                                    <w14:schemeClr w14:val="tx1"/>
                                  </w14:solidFill>
                                </w14:textFill>
                              </w:rPr>
                            </w:pPr>
                            <w:r>
                              <w:rPr>
                                <w:rFonts w:hint="eastAsia"/>
                                <w:b/>
                                <w:color w:val="000000" w:themeColor="text1"/>
                                <w:sz w:val="21"/>
                                <w14:textFill>
                                  <w14:solidFill>
                                    <w14:schemeClr w14:val="tx1"/>
                                  </w14:solidFill>
                                </w14:textFill>
                              </w:rPr>
                              <w:t>本项目位置</w:t>
                            </w:r>
                          </w:p>
                        </w:txbxContent>
                      </v:textbox>
                    </v:shape>
                  </w:pict>
                </mc:Fallback>
              </mc:AlternateContent>
            </w:r>
            <w:r>
              <w:rPr>
                <w:color w:val="000000" w:themeColor="text1"/>
                <w14:textFill>
                  <w14:solidFill>
                    <w14:schemeClr w14:val="tx1"/>
                  </w14:solidFill>
                </w14:textFill>
              </w:rPr>
              <w:drawing>
                <wp:inline distT="0" distB="0" distL="0" distR="0">
                  <wp:extent cx="5276850" cy="3724275"/>
                  <wp:effectExtent l="0" t="0" r="0" b="9525"/>
                  <wp:docPr id="37670" name="图片 37670" descr="修改后的评价范围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670" name="图片 37670" descr="修改后的评价范围图"/>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a:xfrm>
                            <a:off x="0" y="0"/>
                            <a:ext cx="5276850" cy="3724275"/>
                          </a:xfrm>
                          <a:prstGeom prst="rect">
                            <a:avLst/>
                          </a:prstGeom>
                          <a:noFill/>
                          <a:ln>
                            <a:noFill/>
                          </a:ln>
                        </pic:spPr>
                      </pic:pic>
                    </a:graphicData>
                  </a:graphic>
                </wp:inline>
              </w:drawing>
            </w:r>
          </w:p>
        </w:tc>
      </w:tr>
    </w:tbl>
    <w:p>
      <w:pPr>
        <w:pStyle w:val="553"/>
        <w:rPr>
          <w:color w:val="000000" w:themeColor="text1"/>
          <w14:textFill>
            <w14:solidFill>
              <w14:schemeClr w14:val="tx1"/>
            </w14:solidFill>
          </w14:textFill>
        </w:rPr>
      </w:pPr>
      <w:r>
        <w:rPr>
          <w:color w:val="000000" w:themeColor="text1"/>
          <w14:textFill>
            <w14:solidFill>
              <w14:schemeClr w14:val="tx1"/>
            </w14:solidFill>
          </w14:textFill>
        </w:rPr>
        <w:t>海洋环境影响评价范围图</w:t>
      </w:r>
    </w:p>
    <w:p>
      <w:pPr>
        <w:pStyle w:val="553"/>
        <w:numPr>
          <w:ilvl w:val="0"/>
          <w:numId w:val="0"/>
        </w:numPr>
        <w:rPr>
          <w:color w:val="000000" w:themeColor="text1"/>
          <w14:textFill>
            <w14:solidFill>
              <w14:schemeClr w14:val="tx1"/>
            </w14:solidFill>
          </w14:textFill>
        </w:rPr>
      </w:pPr>
      <w:r>
        <w:rPr>
          <w:color w:val="000000" w:themeColor="text1"/>
          <w:lang w:bidi="ar-SA"/>
          <w14:textFill>
            <w14:solidFill>
              <w14:schemeClr w14:val="tx1"/>
            </w14:solidFill>
          </w14:textFill>
        </w:rPr>
        <mc:AlternateContent>
          <mc:Choice Requires="wps">
            <w:drawing>
              <wp:anchor distT="0" distB="0" distL="114300" distR="114300" simplePos="0" relativeHeight="251688960" behindDoc="0" locked="0" layoutInCell="1" allowOverlap="1">
                <wp:simplePos x="0" y="0"/>
                <wp:positionH relativeFrom="column">
                  <wp:posOffset>3620135</wp:posOffset>
                </wp:positionH>
                <wp:positionV relativeFrom="paragraph">
                  <wp:posOffset>1990725</wp:posOffset>
                </wp:positionV>
                <wp:extent cx="133350" cy="123825"/>
                <wp:effectExtent l="19050" t="38100" r="38100" b="47625"/>
                <wp:wrapNone/>
                <wp:docPr id="1507739619" name="五角星 1507739619"/>
                <wp:cNvGraphicFramePr/>
                <a:graphic xmlns:a="http://schemas.openxmlformats.org/drawingml/2006/main">
                  <a:graphicData uri="http://schemas.microsoft.com/office/word/2010/wordprocessingShape">
                    <wps:wsp>
                      <wps:cNvSpPr/>
                      <wps:spPr>
                        <a:xfrm>
                          <a:off x="0" y="0"/>
                          <a:ext cx="133350" cy="123825"/>
                        </a:xfrm>
                        <a:prstGeom prst="star5">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style="position:absolute;left:0pt;margin-left:285.05pt;margin-top:156.75pt;height:9.75pt;width:10.5pt;z-index:251688960;v-text-anchor:middle;mso-width-relative:page;mso-height-relative:page;" fillcolor="#FF0000" filled="t" stroked="t" coordsize="133350,123825" o:gfxdata="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" path="m0,47296l50935,47297,66675,0,82414,47297,133349,47296,92142,76527,107882,123824,66675,94593,25467,123824,41207,76527xe">
                <v:path o:connectlocs="66675,0;0,47296;25467,123824;107882,123824;133349,47296" o:connectangles="247,164,82,82,0"/>
                <v:fill on="t" focussize="0,0"/>
                <v:stroke weight="1pt" color="#FF0000 [3204]" miterlimit="8" joinstyle="miter"/>
                <v:imagedata o:title=""/>
                <o:lock v:ext="edit" aspectratio="f"/>
              </v:shape>
            </w:pict>
          </mc:Fallback>
        </mc:AlternateContent>
      </w:r>
      <w:r>
        <w:rPr>
          <w:color w:val="000000" w:themeColor="text1"/>
          <w:lang w:bidi="ar-SA"/>
          <w14:textFill>
            <w14:solidFill>
              <w14:schemeClr w14:val="tx1"/>
            </w14:solidFill>
          </w14:textFill>
        </w:rPr>
        <mc:AlternateContent>
          <mc:Choice Requires="wps">
            <w:drawing>
              <wp:anchor distT="0" distB="0" distL="114300" distR="114300" simplePos="0" relativeHeight="251687936" behindDoc="0" locked="0" layoutInCell="1" allowOverlap="1">
                <wp:simplePos x="0" y="0"/>
                <wp:positionH relativeFrom="column">
                  <wp:posOffset>800100</wp:posOffset>
                </wp:positionH>
                <wp:positionV relativeFrom="paragraph">
                  <wp:posOffset>4101465</wp:posOffset>
                </wp:positionV>
                <wp:extent cx="1366520" cy="311150"/>
                <wp:effectExtent l="0" t="609600" r="24130" b="12700"/>
                <wp:wrapNone/>
                <wp:docPr id="1507739617" name="圆角矩形标注 1507739617"/>
                <wp:cNvGraphicFramePr/>
                <a:graphic xmlns:a="http://schemas.openxmlformats.org/drawingml/2006/main">
                  <a:graphicData uri="http://schemas.microsoft.com/office/word/2010/wordprocessingShape">
                    <wps:wsp>
                      <wps:cNvSpPr/>
                      <wps:spPr bwMode="auto">
                        <a:xfrm>
                          <a:off x="0" y="0"/>
                          <a:ext cx="1366520" cy="311150"/>
                        </a:xfrm>
                        <a:prstGeom prst="wedgeRoundRectCallout">
                          <a:avLst>
                            <a:gd name="adj1" fmla="val 47676"/>
                            <a:gd name="adj2" fmla="val -237551"/>
                            <a:gd name="adj3" fmla="val 16667"/>
                          </a:avLst>
                        </a:prstGeom>
                        <a:solidFill>
                          <a:srgbClr val="FFFFFF"/>
                        </a:solidFill>
                        <a:ln w="12700" algn="ctr">
                          <a:solidFill>
                            <a:srgbClr val="000000"/>
                          </a:solidFill>
                          <a:miter lim="800000"/>
                        </a:ln>
                      </wps:spPr>
                      <wps:txbx>
                        <w:txbxContent>
                          <w:p>
                            <w:pPr>
                              <w:snapToGrid w:val="0"/>
                              <w:jc w:val="center"/>
                            </w:pPr>
                            <w:r>
                              <w:rPr>
                                <w:rFonts w:hint="eastAsia"/>
                                <w:b/>
                                <w:bCs/>
                                <w:color w:val="000000"/>
                                <w:sz w:val="18"/>
                                <w:szCs w:val="18"/>
                              </w:rPr>
                              <w:t>海域风险评价范围</w:t>
                            </w:r>
                          </w:p>
                        </w:txbxContent>
                      </wps:txbx>
                      <wps:bodyPr rot="0" vert="horz" wrap="square" lIns="91440" tIns="45720" rIns="91440" bIns="45720" anchor="ctr" anchorCtr="0" upright="1">
                        <a:noAutofit/>
                      </wps:bodyPr>
                    </wps:wsp>
                  </a:graphicData>
                </a:graphic>
              </wp:anchor>
            </w:drawing>
          </mc:Choice>
          <mc:Fallback>
            <w:pict>
              <v:shape id="_x0000_s1026" o:spid="_x0000_s1026" o:spt="62" type="#_x0000_t62" style="position:absolute;left:0pt;margin-left:63pt;margin-top:322.95pt;height:24.5pt;width:107.6pt;z-index:251687936;v-text-anchor:middle;mso-width-relative:page;mso-height-relative:page;" fillcolor="#FFFFFF" filled="t" stroked="t" coordsize="21600,21600" o:gfxdata="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" adj="21098,-40511,14400">
                <v:fill on="t" focussize="0,0"/>
                <v:stroke weight="1pt" color="#000000" miterlimit="8" joinstyle="miter"/>
                <v:imagedata o:title=""/>
                <o:lock v:ext="edit" aspectratio="f"/>
                <v:textbox>
                  <w:txbxContent>
                    <w:p>
                      <w:pPr>
                        <w:snapToGrid w:val="0"/>
                        <w:jc w:val="center"/>
                      </w:pPr>
                      <w:r>
                        <w:rPr>
                          <w:rFonts w:hint="eastAsia"/>
                          <w:b/>
                          <w:bCs/>
                          <w:color w:val="000000"/>
                          <w:sz w:val="18"/>
                          <w:szCs w:val="18"/>
                        </w:rPr>
                        <w:t>海域风险评价范围</w:t>
                      </w:r>
                    </w:p>
                  </w:txbxContent>
                </v:textbox>
              </v:shape>
            </w:pict>
          </mc:Fallback>
        </mc:AlternateContent>
      </w:r>
      <w:r>
        <w:rPr>
          <w:color w:val="000000" w:themeColor="text1"/>
          <w:lang w:bidi="ar-SA"/>
          <w14:textFill>
            <w14:solidFill>
              <w14:schemeClr w14:val="tx1"/>
            </w14:solidFill>
          </w14:textFill>
        </w:rPr>
        <w:drawing>
          <wp:inline distT="0" distB="0" distL="0" distR="0">
            <wp:extent cx="3905250" cy="4981575"/>
            <wp:effectExtent l="0" t="0" r="0" b="9525"/>
            <wp:docPr id="1507739616" name="图片 1507739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7739616" name="图片 1507739616"/>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a:xfrm>
                      <a:off x="0" y="0"/>
                      <a:ext cx="3905250" cy="4981575"/>
                    </a:xfrm>
                    <a:prstGeom prst="rect">
                      <a:avLst/>
                    </a:prstGeom>
                    <a:noFill/>
                    <a:ln>
                      <a:noFill/>
                    </a:ln>
                  </pic:spPr>
                </pic:pic>
              </a:graphicData>
            </a:graphic>
          </wp:inline>
        </w:drawing>
      </w:r>
    </w:p>
    <w:p>
      <w:pPr>
        <w:pStyle w:val="553"/>
        <w:rPr>
          <w:color w:val="000000" w:themeColor="text1"/>
          <w14:textFill>
            <w14:solidFill>
              <w14:schemeClr w14:val="tx1"/>
            </w14:solidFill>
          </w14:textFill>
        </w:rPr>
      </w:pPr>
      <w:r>
        <w:rPr>
          <w:color w:val="000000" w:themeColor="text1"/>
          <w14:textFill>
            <w14:solidFill>
              <w14:schemeClr w14:val="tx1"/>
            </w14:solidFill>
          </w14:textFill>
        </w:rPr>
        <w:t>项目环境风险评价范围示意图</w:t>
      </w:r>
    </w:p>
    <w:p>
      <w:pPr>
        <w:pStyle w:val="4"/>
        <w:rPr>
          <w:color w:val="000000" w:themeColor="text1"/>
          <w14:textFill>
            <w14:solidFill>
              <w14:schemeClr w14:val="tx1"/>
            </w14:solidFill>
          </w14:textFill>
        </w:rPr>
      </w:pPr>
      <w:bookmarkStart w:id="37" w:name="_Toc477530843"/>
      <w:bookmarkStart w:id="38" w:name="_Toc170918590"/>
      <w:r>
        <w:rPr>
          <w:color w:val="000000" w:themeColor="text1"/>
          <w14:textFill>
            <w14:solidFill>
              <w14:schemeClr w14:val="tx1"/>
            </w14:solidFill>
          </w14:textFill>
        </w:rPr>
        <w:t>环境功能区划</w:t>
      </w:r>
      <w:bookmarkEnd w:id="37"/>
      <w:r>
        <w:rPr>
          <w:color w:val="000000" w:themeColor="text1"/>
          <w14:textFill>
            <w14:solidFill>
              <w14:schemeClr w14:val="tx1"/>
            </w14:solidFill>
          </w14:textFill>
        </w:rPr>
        <w:t>和评价标准</w:t>
      </w:r>
      <w:bookmarkEnd w:id="38"/>
    </w:p>
    <w:p>
      <w:pPr>
        <w:pStyle w:val="5"/>
        <w:rPr>
          <w:color w:val="000000" w:themeColor="text1"/>
          <w14:textFill>
            <w14:solidFill>
              <w14:schemeClr w14:val="tx1"/>
            </w14:solidFill>
          </w14:textFill>
        </w:rPr>
      </w:pPr>
      <w:r>
        <w:rPr>
          <w:color w:val="000000" w:themeColor="text1"/>
          <w14:textFill>
            <w14:solidFill>
              <w14:schemeClr w14:val="tx1"/>
            </w14:solidFill>
          </w14:textFill>
        </w:rPr>
        <w:t>环境功能区划</w:t>
      </w:r>
    </w:p>
    <w:p>
      <w:pPr>
        <w:pStyle w:val="283"/>
        <w:ind w:firstLine="462"/>
        <w:rPr>
          <w:color w:val="000000" w:themeColor="text1"/>
          <w14:textFill>
            <w14:solidFill>
              <w14:schemeClr w14:val="tx1"/>
            </w14:solidFill>
          </w14:textFill>
        </w:rPr>
      </w:pPr>
      <w:r>
        <w:rPr>
          <w:color w:val="000000" w:themeColor="text1"/>
          <w14:textFill>
            <w14:solidFill>
              <w14:schemeClr w14:val="tx1"/>
            </w14:solidFill>
          </w14:textFill>
        </w:rPr>
        <w:t>1、环境空气功能区划</w:t>
      </w:r>
    </w:p>
    <w:p>
      <w:pPr>
        <w:pStyle w:val="283"/>
        <w:ind w:firstLine="462"/>
        <w:rPr>
          <w:color w:val="000000" w:themeColor="text1"/>
          <w14:textFill>
            <w14:solidFill>
              <w14:schemeClr w14:val="tx1"/>
            </w14:solidFill>
          </w14:textFill>
        </w:rPr>
      </w:pPr>
      <w:r>
        <w:rPr>
          <w:color w:val="000000" w:themeColor="text1"/>
          <w14:textFill>
            <w14:solidFill>
              <w14:schemeClr w14:val="tx1"/>
            </w14:solidFill>
          </w14:textFill>
        </w:rPr>
        <w:t>本项目所在地尚未划分环境空气功能区。本项目所在区域属于</w:t>
      </w:r>
      <w:r>
        <w:rPr>
          <w:rFonts w:hint="eastAsia"/>
          <w:color w:val="000000" w:themeColor="text1"/>
          <w14:textFill>
            <w14:solidFill>
              <w14:schemeClr w14:val="tx1"/>
            </w14:solidFill>
          </w14:textFill>
        </w:rPr>
        <w:t>港口</w:t>
      </w:r>
      <w:r>
        <w:rPr>
          <w:color w:val="000000" w:themeColor="text1"/>
          <w14:textFill>
            <w14:solidFill>
              <w14:schemeClr w14:val="tx1"/>
            </w14:solidFill>
          </w14:textFill>
        </w:rPr>
        <w:t>工业区，根据所在地环境特点及相关标准，环境空气质量执行《环境空气质量标准》（GB3095-2012）二级标准。</w:t>
      </w:r>
    </w:p>
    <w:p>
      <w:pPr>
        <w:pStyle w:val="283"/>
        <w:ind w:firstLine="462"/>
        <w:rPr>
          <w:color w:val="000000" w:themeColor="text1"/>
          <w14:textFill>
            <w14:solidFill>
              <w14:schemeClr w14:val="tx1"/>
            </w14:solidFill>
          </w14:textFill>
        </w:rPr>
      </w:pPr>
      <w:r>
        <w:rPr>
          <w:color w:val="000000" w:themeColor="text1"/>
          <w14:textFill>
            <w14:solidFill>
              <w14:schemeClr w14:val="tx1"/>
            </w14:solidFill>
          </w14:textFill>
        </w:rPr>
        <w:t>2、近岸海域环境功能区划</w:t>
      </w:r>
    </w:p>
    <w:p>
      <w:pPr>
        <w:pStyle w:val="283"/>
        <w:ind w:firstLine="462"/>
        <w:rPr>
          <w:color w:val="000000" w:themeColor="text1"/>
          <w14:textFill>
            <w14:solidFill>
              <w14:schemeClr w14:val="tx1"/>
            </w14:solidFill>
          </w14:textFill>
        </w:rPr>
      </w:pPr>
      <w:r>
        <w:rPr>
          <w:color w:val="000000" w:themeColor="text1"/>
          <w14:textFill>
            <w14:solidFill>
              <w14:schemeClr w14:val="tx1"/>
            </w14:solidFill>
          </w14:textFill>
        </w:rPr>
        <w:t>根据《广西壮族自治区生态环境厅关于印发广西壮族自治区近岸海域环境功能区划调整方案的通知》（桂环发〔2023〕9号），本工程位于钦州港大榄坪港口工业区（GX055DⅣ）和钦州港大榄坪排污混合区（GX057DⅣ）。钦州港大榄坪港口工业区（GX055DⅣ）主导功能为港口、工业用海，属四类环境功能区，水质保护目标为海水水质标准第四类；钦州港大榄坪排污混合区（GX057DⅣ）主导功能为港口、工业、生活排污用海，属四类环境功能区，水质保护目标为海水水质标准第四类；两个功能区周围均设置0.5</w:t>
      </w:r>
      <w:r>
        <w:rPr>
          <w:rFonts w:hint="eastAsia" w:eastAsia="华文楷体"/>
          <w:color w:val="000000" w:themeColor="text1"/>
          <w14:textFill>
            <w14:solidFill>
              <w14:schemeClr w14:val="tx1"/>
            </w14:solidFill>
          </w14:textFill>
        </w:rPr>
        <w:t>km</w:t>
      </w:r>
      <w:r>
        <w:rPr>
          <w:color w:val="000000" w:themeColor="text1"/>
          <w14:textFill>
            <w14:solidFill>
              <w14:schemeClr w14:val="tx1"/>
            </w14:solidFill>
          </w14:textFill>
        </w:rPr>
        <w:t>水质过渡带，水质保护目标为海水水质标准第三类。</w:t>
      </w:r>
    </w:p>
    <w:p>
      <w:pPr>
        <w:pStyle w:val="283"/>
        <w:ind w:firstLine="462"/>
        <w:rPr>
          <w:color w:val="000000" w:themeColor="text1"/>
          <w14:textFill>
            <w14:solidFill>
              <w14:schemeClr w14:val="tx1"/>
            </w14:solidFill>
          </w14:textFill>
        </w:rPr>
      </w:pPr>
      <w:r>
        <w:rPr>
          <w:color w:val="000000" w:themeColor="text1"/>
          <w14:textFill>
            <w14:solidFill>
              <w14:schemeClr w14:val="tx1"/>
            </w14:solidFill>
          </w14:textFill>
        </w:rPr>
        <w:drawing>
          <wp:anchor distT="0" distB="0" distL="114300" distR="114300" simplePos="0" relativeHeight="251703296" behindDoc="0" locked="0" layoutInCell="1" allowOverlap="1">
            <wp:simplePos x="0" y="0"/>
            <wp:positionH relativeFrom="column">
              <wp:posOffset>3069590</wp:posOffset>
            </wp:positionH>
            <wp:positionV relativeFrom="paragraph">
              <wp:posOffset>804545</wp:posOffset>
            </wp:positionV>
            <wp:extent cx="1741170" cy="1443355"/>
            <wp:effectExtent l="19050" t="19050" r="49530" b="61595"/>
            <wp:wrapNone/>
            <wp:docPr id="2742" name="图片 2742" descr="工程与近岸海域功能区划位置关系（报告内插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2" name="图片 2742" descr="工程与近岸海域功能区划位置关系（报告内插图）"/>
                    <pic:cNvPicPr>
                      <a:picLocks noChangeAspect="1" noChangeArrowheads="1"/>
                    </pic:cNvPicPr>
                  </pic:nvPicPr>
                  <pic:blipFill>
                    <a:blip r:embed="rId37">
                      <a:extLst>
                        <a:ext uri="{28A0092B-C50C-407E-A947-70E740481C1C}">
                          <a14:useLocalDpi xmlns:a14="http://schemas.microsoft.com/office/drawing/2010/main" val="0"/>
                        </a:ext>
                      </a:extLst>
                    </a:blip>
                    <a:srcRect l="26631" t="28770" r="14822" b="2618"/>
                    <a:stretch>
                      <a:fillRect/>
                    </a:stretch>
                  </pic:blipFill>
                  <pic:spPr>
                    <a:xfrm>
                      <a:off x="0" y="0"/>
                      <a:ext cx="1741170" cy="1443355"/>
                    </a:xfrm>
                    <a:prstGeom prst="rect">
                      <a:avLst/>
                    </a:prstGeom>
                    <a:noFill/>
                    <a:ln w="19050">
                      <a:solidFill>
                        <a:srgbClr val="FF0000"/>
                      </a:solidFill>
                      <a:miter lim="800000"/>
                      <a:headEnd/>
                      <a:tailEnd/>
                    </a:ln>
                    <a:effectLst>
                      <a:outerShdw dist="35921" dir="2700000" algn="ctr" rotWithShape="0">
                        <a:srgbClr val="808080"/>
                      </a:outerShdw>
                    </a:effectLst>
                  </pic:spPr>
                </pic:pic>
              </a:graphicData>
            </a:graphic>
          </wp:anchor>
        </w:drawing>
      </w:r>
      <w:r>
        <w:rPr>
          <w:color w:val="000000" w:themeColor="text1"/>
          <w14:textFill>
            <w14:solidFill>
              <w14:schemeClr w14:val="tx1"/>
            </w14:solidFill>
          </w14:textFill>
        </w:rPr>
        <w:drawing>
          <wp:inline distT="0" distB="0" distL="0" distR="0">
            <wp:extent cx="5029200" cy="4105275"/>
            <wp:effectExtent l="19050" t="19050" r="19050" b="28575"/>
            <wp:docPr id="37671" name="图片 37671" descr="近岸海域功能区划局部放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671" name="图片 37671" descr="近岸海域功能区划局部放大"/>
                    <pic:cNvPicPr>
                      <a:picLocks noChangeAspect="1" noChangeArrowheads="1"/>
                    </pic:cNvPicPr>
                  </pic:nvPicPr>
                  <pic:blipFill>
                    <a:blip r:embed="rId38">
                      <a:extLst>
                        <a:ext uri="{28A0092B-C50C-407E-A947-70E740481C1C}">
                          <a14:useLocalDpi xmlns:a14="http://schemas.microsoft.com/office/drawing/2010/main" val="0"/>
                        </a:ext>
                      </a:extLst>
                    </a:blip>
                    <a:srcRect l="19133" b="6393"/>
                    <a:stretch>
                      <a:fillRect/>
                    </a:stretch>
                  </pic:blipFill>
                  <pic:spPr>
                    <a:xfrm>
                      <a:off x="0" y="0"/>
                      <a:ext cx="5029200" cy="4105275"/>
                    </a:xfrm>
                    <a:prstGeom prst="rect">
                      <a:avLst/>
                    </a:prstGeom>
                    <a:noFill/>
                    <a:ln w="12700" cmpd="sng">
                      <a:solidFill>
                        <a:srgbClr val="000000"/>
                      </a:solidFill>
                      <a:miter lim="800000"/>
                      <a:headEnd/>
                      <a:tailEnd/>
                    </a:ln>
                    <a:effectLst/>
                  </pic:spPr>
                </pic:pic>
              </a:graphicData>
            </a:graphic>
          </wp:inline>
        </w:drawing>
      </w:r>
    </w:p>
    <w:p>
      <w:pPr>
        <w:pStyle w:val="553"/>
        <w:rPr>
          <w:color w:val="000000" w:themeColor="text1"/>
          <w14:textFill>
            <w14:solidFill>
              <w14:schemeClr w14:val="tx1"/>
            </w14:solidFill>
          </w14:textFill>
        </w:rPr>
      </w:pPr>
      <w:bookmarkStart w:id="39" w:name="_Hlk171072242"/>
      <w:r>
        <w:rPr>
          <w:rFonts w:hint="eastAsia"/>
          <w:color w:val="000000" w:themeColor="text1"/>
          <w14:textFill>
            <w14:solidFill>
              <w14:schemeClr w14:val="tx1"/>
            </w14:solidFill>
          </w14:textFill>
        </w:rPr>
        <w:t>本项目工程区域与近岸海域环境功能区划位</w:t>
      </w:r>
      <w:bookmarkEnd w:id="39"/>
      <w:r>
        <w:rPr>
          <w:rFonts w:hint="eastAsia"/>
          <w:color w:val="000000" w:themeColor="text1"/>
          <w14:textFill>
            <w14:solidFill>
              <w14:schemeClr w14:val="tx1"/>
            </w14:solidFill>
          </w14:textFill>
        </w:rPr>
        <w:t>置关系</w:t>
      </w:r>
    </w:p>
    <w:p>
      <w:pPr>
        <w:pStyle w:val="283"/>
        <w:ind w:firstLine="462"/>
        <w:rPr>
          <w:color w:val="000000" w:themeColor="text1"/>
          <w14:textFill>
            <w14:solidFill>
              <w14:schemeClr w14:val="tx1"/>
            </w14:solidFill>
          </w14:textFill>
        </w:rPr>
      </w:pPr>
      <w:r>
        <w:rPr>
          <w:color w:val="000000" w:themeColor="text1"/>
          <w14:textFill>
            <w14:solidFill>
              <w14:schemeClr w14:val="tx1"/>
            </w14:solidFill>
          </w14:textFill>
        </w:rPr>
        <w:t>3、声环境功能区划</w:t>
      </w:r>
    </w:p>
    <w:p>
      <w:pPr>
        <w:pStyle w:val="283"/>
        <w:ind w:firstLine="462"/>
        <w:rPr>
          <w:color w:val="000000" w:themeColor="text1"/>
          <w14:textFill>
            <w14:solidFill>
              <w14:schemeClr w14:val="tx1"/>
            </w14:solidFill>
          </w14:textFill>
        </w:rPr>
      </w:pPr>
      <w:r>
        <w:rPr>
          <w:color w:val="000000" w:themeColor="text1"/>
          <w14:textFill>
            <w14:solidFill>
              <w14:schemeClr w14:val="tx1"/>
            </w14:solidFill>
          </w14:textFill>
        </w:rPr>
        <w:t>根据《</w:t>
      </w:r>
      <w:r>
        <w:rPr>
          <w:rFonts w:hint="eastAsia"/>
          <w:color w:val="000000" w:themeColor="text1"/>
          <w14:textFill>
            <w14:solidFill>
              <w14:schemeClr w14:val="tx1"/>
            </w14:solidFill>
          </w14:textFill>
        </w:rPr>
        <w:t>钦州市中心城区声环境功能区划</w:t>
      </w:r>
      <w:r>
        <w:rPr>
          <w:color w:val="000000" w:themeColor="text1"/>
          <w14:textFill>
            <w14:solidFill>
              <w14:schemeClr w14:val="tx1"/>
            </w14:solidFill>
          </w14:textFill>
        </w:rPr>
        <w:t>》（钦政办规</w:t>
      </w:r>
      <w:r>
        <w:rPr>
          <w:rFonts w:hint="eastAsia"/>
          <w:color w:val="000000" w:themeColor="text1"/>
          <w14:textFill>
            <w14:solidFill>
              <w14:schemeClr w14:val="tx1"/>
            </w14:solidFill>
          </w14:textFill>
        </w:rPr>
        <w:t>〔2023〕11号</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以工业生产、仓储物流为主要功能，需要防止工业噪声对周围环境产生严重影响的区域划分为3类声环境功能区。</w:t>
      </w:r>
      <w:r>
        <w:rPr>
          <w:color w:val="000000" w:themeColor="text1"/>
          <w14:textFill>
            <w14:solidFill>
              <w14:schemeClr w14:val="tx1"/>
            </w14:solidFill>
          </w14:textFill>
        </w:rPr>
        <w:t>本项目工程所在钦州综合保税区划分为3类声环境功能区。</w:t>
      </w:r>
    </w:p>
    <w:p>
      <w:pPr>
        <w:pStyle w:val="283"/>
        <w:ind w:firstLine="462"/>
        <w:rPr>
          <w:color w:val="000000" w:themeColor="text1"/>
          <w14:textFill>
            <w14:solidFill>
              <w14:schemeClr w14:val="tx1"/>
            </w14:solidFill>
          </w14:textFill>
        </w:rPr>
      </w:pPr>
      <w:r>
        <w:rPr>
          <w:color w:val="000000" w:themeColor="text1"/>
          <w14:textFill>
            <w14:solidFill>
              <w14:schemeClr w14:val="tx1"/>
            </w14:solidFill>
          </w14:textFill>
        </w:rPr>
        <w:t>4、海洋功能区划</w:t>
      </w:r>
    </w:p>
    <w:p>
      <w:pPr>
        <w:pStyle w:val="283"/>
        <w:ind w:firstLine="462"/>
        <w:rPr>
          <w:color w:val="000000" w:themeColor="text1"/>
          <w14:textFill>
            <w14:solidFill>
              <w14:schemeClr w14:val="tx1"/>
            </w14:solidFill>
          </w14:textFill>
        </w:rPr>
      </w:pPr>
      <w:r>
        <w:rPr>
          <w:color w:val="000000" w:themeColor="text1"/>
          <w14:textFill>
            <w14:solidFill>
              <w14:schemeClr w14:val="tx1"/>
            </w14:solidFill>
          </w14:textFill>
        </w:rPr>
        <w:t>依据</w:t>
      </w:r>
      <w:r>
        <w:rPr>
          <w:rFonts w:hint="eastAsia"/>
          <w:color w:val="000000" w:themeColor="text1"/>
          <w14:textFill>
            <w14:solidFill>
              <w14:schemeClr w14:val="tx1"/>
            </w14:solidFill>
          </w14:textFill>
        </w:rPr>
        <w:t>《钦州市国土空间总体规划（2021</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2035年）》</w:t>
      </w:r>
      <w:r>
        <w:rPr>
          <w:color w:val="000000" w:themeColor="text1"/>
          <w14:textFill>
            <w14:solidFill>
              <w14:schemeClr w14:val="tx1"/>
            </w14:solidFill>
          </w14:textFill>
        </w:rPr>
        <w:t>，本工程所在海域</w:t>
      </w:r>
      <w:r>
        <w:rPr>
          <w:rFonts w:hint="eastAsia"/>
          <w:color w:val="000000" w:themeColor="text1"/>
          <w14:textFill>
            <w14:solidFill>
              <w14:schemeClr w14:val="tx1"/>
            </w14:solidFill>
          </w14:textFill>
        </w:rPr>
        <w:t>位于钦州港交通运输用海区</w:t>
      </w:r>
      <w:r>
        <w:rPr>
          <w:color w:val="000000" w:themeColor="text1"/>
          <w14:textFill>
            <w14:solidFill>
              <w14:schemeClr w14:val="tx1"/>
            </w14:solidFill>
          </w14:textFill>
        </w:rPr>
        <w:t>。规划用途为保障港口航运用海，优先保障大榄坪发展需要，详见图</w:t>
      </w:r>
      <w:r>
        <w:rPr>
          <w:rFonts w:hint="eastAsia"/>
          <w:color w:val="000000" w:themeColor="text1"/>
          <w14:textFill>
            <w14:solidFill>
              <w14:schemeClr w14:val="tx1"/>
            </w14:solidFill>
          </w14:textFill>
        </w:rPr>
        <w:t>1.3-2</w:t>
      </w:r>
      <w:r>
        <w:rPr>
          <w:color w:val="000000" w:themeColor="text1"/>
          <w14:textFill>
            <w14:solidFill>
              <w14:schemeClr w14:val="tx1"/>
            </w14:solidFill>
          </w14:textFill>
        </w:rPr>
        <w:t>。</w:t>
      </w:r>
    </w:p>
    <w:p>
      <w:pPr>
        <w:pStyle w:val="5"/>
        <w:rPr>
          <w:color w:val="000000" w:themeColor="text1"/>
          <w14:textFill>
            <w14:solidFill>
              <w14:schemeClr w14:val="tx1"/>
            </w14:solidFill>
          </w14:textFill>
        </w:rPr>
      </w:pPr>
      <w:r>
        <w:rPr>
          <w:color w:val="000000" w:themeColor="text1"/>
          <w14:textFill>
            <w14:solidFill>
              <w14:schemeClr w14:val="tx1"/>
            </w14:solidFill>
          </w14:textFill>
        </w:rPr>
        <w:t>评价标准</w:t>
      </w:r>
    </w:p>
    <w:p>
      <w:pPr>
        <w:pStyle w:val="6"/>
        <w:rPr>
          <w:color w:val="000000" w:themeColor="text1"/>
          <w14:textFill>
            <w14:solidFill>
              <w14:schemeClr w14:val="tx1"/>
            </w14:solidFill>
          </w14:textFill>
        </w:rPr>
      </w:pPr>
      <w:bookmarkStart w:id="40" w:name="_Toc160857118"/>
      <w:bookmarkStart w:id="41" w:name="_Toc160854845"/>
      <w:bookmarkStart w:id="42" w:name="_Toc160855800"/>
      <w:r>
        <w:rPr>
          <w:color w:val="000000" w:themeColor="text1"/>
          <w14:textFill>
            <w14:solidFill>
              <w14:schemeClr w14:val="tx1"/>
            </w14:solidFill>
          </w14:textFill>
        </w:rPr>
        <w:t>环境空气</w:t>
      </w:r>
      <w:bookmarkEnd w:id="40"/>
      <w:bookmarkEnd w:id="41"/>
      <w:bookmarkEnd w:id="42"/>
    </w:p>
    <w:p>
      <w:pPr>
        <w:pStyle w:val="283"/>
        <w:ind w:firstLine="462"/>
        <w:rPr>
          <w:color w:val="000000" w:themeColor="text1"/>
          <w14:textFill>
            <w14:solidFill>
              <w14:schemeClr w14:val="tx1"/>
            </w14:solidFill>
          </w14:textFill>
        </w:rPr>
      </w:pPr>
      <w:r>
        <w:rPr>
          <w:color w:val="000000" w:themeColor="text1"/>
          <w:kern w:val="2"/>
          <w14:textFill>
            <w14:solidFill>
              <w14:schemeClr w14:val="tx1"/>
            </w14:solidFill>
          </w14:textFill>
        </w:rPr>
        <w:t>评价区属于二类环境空气功能区</w:t>
      </w:r>
      <w:r>
        <w:rPr>
          <w:color w:val="000000" w:themeColor="text1"/>
          <w14:textFill>
            <w14:solidFill>
              <w14:schemeClr w14:val="tx1"/>
            </w14:solidFill>
          </w14:textFill>
        </w:rPr>
        <w:t>，环境空气现状和影响评价执行《环境空气质量标准》（GB3095-2012）中二级标准。</w:t>
      </w:r>
    </w:p>
    <w:p>
      <w:pPr>
        <w:pStyle w:val="384"/>
        <w:ind w:left="0" w:firstLine="0"/>
        <w:jc w:val="right"/>
        <w:rPr>
          <w:rFonts w:cs="Times New Roman"/>
          <w:color w:val="000000" w:themeColor="text1"/>
          <w:sz w:val="21"/>
          <w:szCs w:val="21"/>
          <w14:textFill>
            <w14:solidFill>
              <w14:schemeClr w14:val="tx1"/>
            </w14:solidFill>
          </w14:textFill>
        </w:rPr>
      </w:pPr>
      <w:r>
        <w:rPr>
          <w:rFonts w:cs="Times New Roman"/>
          <w:color w:val="000000" w:themeColor="text1"/>
          <w14:textFill>
            <w14:solidFill>
              <w14:schemeClr w14:val="tx1"/>
            </w14:solidFill>
          </w14:textFill>
        </w:rPr>
        <w:t xml:space="preserve">《环境空气质量标准》（GB3095-2012）  </w:t>
      </w:r>
      <w:r>
        <w:rPr>
          <w:rFonts w:hint="eastAsia" w:cs="Times New Roman"/>
          <w:color w:val="000000" w:themeColor="text1"/>
          <w14:textFill>
            <w14:solidFill>
              <w14:schemeClr w14:val="tx1"/>
            </w14:solidFill>
          </w14:textFill>
        </w:rPr>
        <w:t xml:space="preserve"> </w:t>
      </w:r>
      <w:r>
        <w:rPr>
          <w:rFonts w:cs="Times New Roman"/>
          <w:color w:val="000000" w:themeColor="text1"/>
          <w14:textFill>
            <w14:solidFill>
              <w14:schemeClr w14:val="tx1"/>
            </w14:solidFill>
          </w14:textFill>
        </w:rPr>
        <w:t xml:space="preserve"> </w:t>
      </w:r>
      <w:r>
        <w:rPr>
          <w:rFonts w:cs="Times New Roman"/>
          <w:color w:val="000000" w:themeColor="text1"/>
          <w:sz w:val="21"/>
          <w:szCs w:val="21"/>
          <w14:textFill>
            <w14:solidFill>
              <w14:schemeClr w14:val="tx1"/>
            </w14:solidFill>
          </w14:textFill>
        </w:rPr>
        <w:t>单位：mg/m</w:t>
      </w:r>
      <w:r>
        <w:rPr>
          <w:rFonts w:cs="Times New Roman"/>
          <w:color w:val="000000" w:themeColor="text1"/>
          <w:sz w:val="21"/>
          <w:szCs w:val="21"/>
          <w:vertAlign w:val="superscript"/>
          <w14:textFill>
            <w14:solidFill>
              <w14:schemeClr w14:val="tx1"/>
            </w14:solidFill>
          </w14:textFill>
        </w:rPr>
        <w:t>3</w:t>
      </w:r>
    </w:p>
    <w:tbl>
      <w:tblPr>
        <w:tblStyle w:val="88"/>
        <w:tblW w:w="8528" w:type="dxa"/>
        <w:jc w:val="center"/>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2633"/>
        <w:gridCol w:w="2469"/>
        <w:gridCol w:w="1462"/>
        <w:gridCol w:w="1964"/>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blHeader/>
          <w:jc w:val="center"/>
        </w:trPr>
        <w:tc>
          <w:tcPr>
            <w:tcW w:w="2633" w:type="dxa"/>
            <w:vAlign w:val="center"/>
          </w:tcPr>
          <w:p>
            <w:pPr>
              <w:pStyle w:val="2001"/>
            </w:pPr>
            <w:r>
              <w:t>污染物</w:t>
            </w:r>
          </w:p>
        </w:tc>
        <w:tc>
          <w:tcPr>
            <w:tcW w:w="2469" w:type="dxa"/>
            <w:vAlign w:val="center"/>
          </w:tcPr>
          <w:p>
            <w:pPr>
              <w:pStyle w:val="2001"/>
            </w:pPr>
            <w:r>
              <w:t>取值时间</w:t>
            </w:r>
          </w:p>
        </w:tc>
        <w:tc>
          <w:tcPr>
            <w:tcW w:w="1462" w:type="dxa"/>
            <w:vAlign w:val="center"/>
          </w:tcPr>
          <w:p>
            <w:pPr>
              <w:pStyle w:val="2001"/>
            </w:pPr>
            <w:r>
              <w:t>单位</w:t>
            </w:r>
          </w:p>
        </w:tc>
        <w:tc>
          <w:tcPr>
            <w:tcW w:w="1964" w:type="dxa"/>
            <w:vAlign w:val="center"/>
          </w:tcPr>
          <w:p>
            <w:pPr>
              <w:pStyle w:val="2001"/>
            </w:pPr>
            <w:r>
              <w:t>二级标准浓度限值</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633" w:type="dxa"/>
            <w:vMerge w:val="restart"/>
            <w:vAlign w:val="center"/>
          </w:tcPr>
          <w:p>
            <w:pPr>
              <w:pStyle w:val="2001"/>
            </w:pPr>
            <w:r>
              <w:t>二氧化硫（SO</w:t>
            </w:r>
            <w:r>
              <w:rPr>
                <w:vertAlign w:val="subscript"/>
              </w:rPr>
              <w:t>2</w:t>
            </w:r>
            <w:r>
              <w:t>）</w:t>
            </w:r>
          </w:p>
        </w:tc>
        <w:tc>
          <w:tcPr>
            <w:tcW w:w="2469" w:type="dxa"/>
            <w:vAlign w:val="center"/>
          </w:tcPr>
          <w:p>
            <w:pPr>
              <w:pStyle w:val="2001"/>
            </w:pPr>
            <w:r>
              <w:t>年平均</w:t>
            </w:r>
          </w:p>
        </w:tc>
        <w:tc>
          <w:tcPr>
            <w:tcW w:w="1462" w:type="dxa"/>
            <w:vAlign w:val="center"/>
          </w:tcPr>
          <w:p>
            <w:pPr>
              <w:pStyle w:val="2001"/>
            </w:pPr>
            <w:r>
              <w:t>μg/m</w:t>
            </w:r>
            <w:r>
              <w:rPr>
                <w:vertAlign w:val="superscript"/>
              </w:rPr>
              <w:t>3</w:t>
            </w:r>
          </w:p>
        </w:tc>
        <w:tc>
          <w:tcPr>
            <w:tcW w:w="1964" w:type="dxa"/>
            <w:vAlign w:val="center"/>
          </w:tcPr>
          <w:p>
            <w:pPr>
              <w:pStyle w:val="2001"/>
            </w:pPr>
            <w:r>
              <w:t>60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633" w:type="dxa"/>
            <w:vMerge w:val="continue"/>
            <w:vAlign w:val="center"/>
          </w:tcPr>
          <w:p>
            <w:pPr>
              <w:pStyle w:val="2001"/>
            </w:pPr>
          </w:p>
        </w:tc>
        <w:tc>
          <w:tcPr>
            <w:tcW w:w="2469" w:type="dxa"/>
            <w:vAlign w:val="center"/>
          </w:tcPr>
          <w:p>
            <w:pPr>
              <w:pStyle w:val="2001"/>
            </w:pPr>
            <w:r>
              <w:t>24小时平均</w:t>
            </w:r>
          </w:p>
        </w:tc>
        <w:tc>
          <w:tcPr>
            <w:tcW w:w="1462" w:type="dxa"/>
            <w:vAlign w:val="center"/>
          </w:tcPr>
          <w:p>
            <w:pPr>
              <w:pStyle w:val="2001"/>
            </w:pPr>
            <w:r>
              <w:t>μg/m</w:t>
            </w:r>
            <w:r>
              <w:rPr>
                <w:vertAlign w:val="superscript"/>
              </w:rPr>
              <w:t>3</w:t>
            </w:r>
          </w:p>
        </w:tc>
        <w:tc>
          <w:tcPr>
            <w:tcW w:w="1964" w:type="dxa"/>
            <w:vAlign w:val="center"/>
          </w:tcPr>
          <w:p>
            <w:pPr>
              <w:pStyle w:val="2001"/>
            </w:pPr>
            <w:r>
              <w:t>150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633" w:type="dxa"/>
            <w:vMerge w:val="continue"/>
            <w:vAlign w:val="center"/>
          </w:tcPr>
          <w:p>
            <w:pPr>
              <w:pStyle w:val="2001"/>
            </w:pPr>
          </w:p>
        </w:tc>
        <w:tc>
          <w:tcPr>
            <w:tcW w:w="2469" w:type="dxa"/>
            <w:vAlign w:val="center"/>
          </w:tcPr>
          <w:p>
            <w:pPr>
              <w:pStyle w:val="2001"/>
            </w:pPr>
            <w:r>
              <w:t>1小时平均</w:t>
            </w:r>
          </w:p>
        </w:tc>
        <w:tc>
          <w:tcPr>
            <w:tcW w:w="1462" w:type="dxa"/>
            <w:vAlign w:val="center"/>
          </w:tcPr>
          <w:p>
            <w:pPr>
              <w:pStyle w:val="2001"/>
            </w:pPr>
            <w:r>
              <w:t>μg/m</w:t>
            </w:r>
            <w:r>
              <w:rPr>
                <w:vertAlign w:val="superscript"/>
              </w:rPr>
              <w:t>3</w:t>
            </w:r>
          </w:p>
        </w:tc>
        <w:tc>
          <w:tcPr>
            <w:tcW w:w="1964" w:type="dxa"/>
            <w:vAlign w:val="center"/>
          </w:tcPr>
          <w:p>
            <w:pPr>
              <w:pStyle w:val="2001"/>
            </w:pPr>
            <w:r>
              <w:t>500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633" w:type="dxa"/>
            <w:vMerge w:val="restart"/>
            <w:vAlign w:val="center"/>
          </w:tcPr>
          <w:p>
            <w:pPr>
              <w:pStyle w:val="2001"/>
            </w:pPr>
            <w:r>
              <w:t>二氧化氮（NO</w:t>
            </w:r>
            <w:r>
              <w:rPr>
                <w:vertAlign w:val="subscript"/>
              </w:rPr>
              <w:t>2</w:t>
            </w:r>
            <w:r>
              <w:t>）</w:t>
            </w:r>
          </w:p>
        </w:tc>
        <w:tc>
          <w:tcPr>
            <w:tcW w:w="2469" w:type="dxa"/>
            <w:vAlign w:val="center"/>
          </w:tcPr>
          <w:p>
            <w:pPr>
              <w:pStyle w:val="2001"/>
            </w:pPr>
            <w:r>
              <w:t>年平均</w:t>
            </w:r>
          </w:p>
        </w:tc>
        <w:tc>
          <w:tcPr>
            <w:tcW w:w="1462" w:type="dxa"/>
            <w:vAlign w:val="center"/>
          </w:tcPr>
          <w:p>
            <w:pPr>
              <w:pStyle w:val="2001"/>
            </w:pPr>
            <w:r>
              <w:t>μg/m</w:t>
            </w:r>
            <w:r>
              <w:rPr>
                <w:vertAlign w:val="superscript"/>
              </w:rPr>
              <w:t>3</w:t>
            </w:r>
          </w:p>
        </w:tc>
        <w:tc>
          <w:tcPr>
            <w:tcW w:w="1964" w:type="dxa"/>
            <w:vAlign w:val="center"/>
          </w:tcPr>
          <w:p>
            <w:pPr>
              <w:pStyle w:val="2001"/>
            </w:pPr>
            <w:r>
              <w:t>40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633" w:type="dxa"/>
            <w:vMerge w:val="continue"/>
            <w:vAlign w:val="center"/>
          </w:tcPr>
          <w:p>
            <w:pPr>
              <w:pStyle w:val="2001"/>
            </w:pPr>
          </w:p>
        </w:tc>
        <w:tc>
          <w:tcPr>
            <w:tcW w:w="2469" w:type="dxa"/>
            <w:vAlign w:val="center"/>
          </w:tcPr>
          <w:p>
            <w:pPr>
              <w:pStyle w:val="2001"/>
            </w:pPr>
            <w:r>
              <w:t>24小时平均</w:t>
            </w:r>
          </w:p>
        </w:tc>
        <w:tc>
          <w:tcPr>
            <w:tcW w:w="1462" w:type="dxa"/>
            <w:vAlign w:val="center"/>
          </w:tcPr>
          <w:p>
            <w:pPr>
              <w:pStyle w:val="2001"/>
            </w:pPr>
            <w:r>
              <w:t>μg/m</w:t>
            </w:r>
            <w:r>
              <w:rPr>
                <w:vertAlign w:val="superscript"/>
              </w:rPr>
              <w:t>3</w:t>
            </w:r>
          </w:p>
        </w:tc>
        <w:tc>
          <w:tcPr>
            <w:tcW w:w="1964" w:type="dxa"/>
            <w:vAlign w:val="center"/>
          </w:tcPr>
          <w:p>
            <w:pPr>
              <w:pStyle w:val="2001"/>
            </w:pPr>
            <w:r>
              <w:t>80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633" w:type="dxa"/>
            <w:vMerge w:val="continue"/>
            <w:vAlign w:val="center"/>
          </w:tcPr>
          <w:p>
            <w:pPr>
              <w:pStyle w:val="2001"/>
            </w:pPr>
          </w:p>
        </w:tc>
        <w:tc>
          <w:tcPr>
            <w:tcW w:w="2469" w:type="dxa"/>
            <w:vAlign w:val="center"/>
          </w:tcPr>
          <w:p>
            <w:pPr>
              <w:pStyle w:val="2001"/>
            </w:pPr>
            <w:r>
              <w:t>1小时平均</w:t>
            </w:r>
          </w:p>
        </w:tc>
        <w:tc>
          <w:tcPr>
            <w:tcW w:w="1462" w:type="dxa"/>
            <w:vAlign w:val="center"/>
          </w:tcPr>
          <w:p>
            <w:pPr>
              <w:pStyle w:val="2001"/>
            </w:pPr>
            <w:r>
              <w:t>μg/m</w:t>
            </w:r>
            <w:r>
              <w:rPr>
                <w:vertAlign w:val="superscript"/>
              </w:rPr>
              <w:t>3</w:t>
            </w:r>
          </w:p>
        </w:tc>
        <w:tc>
          <w:tcPr>
            <w:tcW w:w="1964" w:type="dxa"/>
            <w:vAlign w:val="center"/>
          </w:tcPr>
          <w:p>
            <w:pPr>
              <w:pStyle w:val="2001"/>
            </w:pPr>
            <w:r>
              <w:t>200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633" w:type="dxa"/>
            <w:vMerge w:val="restart"/>
            <w:vAlign w:val="center"/>
          </w:tcPr>
          <w:p>
            <w:pPr>
              <w:pStyle w:val="2001"/>
            </w:pPr>
            <w:r>
              <w:t>总悬浮颗粒物（TSP）</w:t>
            </w:r>
          </w:p>
        </w:tc>
        <w:tc>
          <w:tcPr>
            <w:tcW w:w="2469" w:type="dxa"/>
            <w:vAlign w:val="center"/>
          </w:tcPr>
          <w:p>
            <w:pPr>
              <w:pStyle w:val="2001"/>
            </w:pPr>
            <w:r>
              <w:t>年平均</w:t>
            </w:r>
          </w:p>
        </w:tc>
        <w:tc>
          <w:tcPr>
            <w:tcW w:w="1462" w:type="dxa"/>
            <w:vAlign w:val="center"/>
          </w:tcPr>
          <w:p>
            <w:pPr>
              <w:pStyle w:val="2001"/>
            </w:pPr>
            <w:r>
              <w:t>μg/m</w:t>
            </w:r>
            <w:r>
              <w:rPr>
                <w:vertAlign w:val="superscript"/>
              </w:rPr>
              <w:t>3</w:t>
            </w:r>
          </w:p>
        </w:tc>
        <w:tc>
          <w:tcPr>
            <w:tcW w:w="1964" w:type="dxa"/>
            <w:vAlign w:val="center"/>
          </w:tcPr>
          <w:p>
            <w:pPr>
              <w:pStyle w:val="2001"/>
            </w:pPr>
            <w:r>
              <w:t>200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633" w:type="dxa"/>
            <w:vMerge w:val="continue"/>
            <w:vAlign w:val="center"/>
          </w:tcPr>
          <w:p>
            <w:pPr>
              <w:pStyle w:val="2001"/>
            </w:pPr>
          </w:p>
        </w:tc>
        <w:tc>
          <w:tcPr>
            <w:tcW w:w="2469" w:type="dxa"/>
            <w:vAlign w:val="center"/>
          </w:tcPr>
          <w:p>
            <w:pPr>
              <w:pStyle w:val="2001"/>
            </w:pPr>
            <w:r>
              <w:t>24小时平均</w:t>
            </w:r>
          </w:p>
        </w:tc>
        <w:tc>
          <w:tcPr>
            <w:tcW w:w="1462" w:type="dxa"/>
            <w:vAlign w:val="center"/>
          </w:tcPr>
          <w:p>
            <w:pPr>
              <w:pStyle w:val="2001"/>
            </w:pPr>
            <w:r>
              <w:t>μg/m</w:t>
            </w:r>
            <w:r>
              <w:rPr>
                <w:vertAlign w:val="superscript"/>
              </w:rPr>
              <w:t>3</w:t>
            </w:r>
          </w:p>
        </w:tc>
        <w:tc>
          <w:tcPr>
            <w:tcW w:w="1964" w:type="dxa"/>
            <w:vAlign w:val="center"/>
          </w:tcPr>
          <w:p>
            <w:pPr>
              <w:pStyle w:val="2001"/>
            </w:pPr>
            <w:r>
              <w:t>300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633" w:type="dxa"/>
            <w:vMerge w:val="restart"/>
            <w:vAlign w:val="center"/>
          </w:tcPr>
          <w:p>
            <w:pPr>
              <w:pStyle w:val="2001"/>
            </w:pPr>
            <w:r>
              <w:t>可吸入颗粒物（PM</w:t>
            </w:r>
            <w:r>
              <w:rPr>
                <w:vertAlign w:val="subscript"/>
              </w:rPr>
              <w:t>10</w:t>
            </w:r>
            <w:r>
              <w:t>）</w:t>
            </w:r>
          </w:p>
        </w:tc>
        <w:tc>
          <w:tcPr>
            <w:tcW w:w="2469" w:type="dxa"/>
            <w:vAlign w:val="center"/>
          </w:tcPr>
          <w:p>
            <w:pPr>
              <w:pStyle w:val="2001"/>
            </w:pPr>
            <w:r>
              <w:t>年平均</w:t>
            </w:r>
          </w:p>
        </w:tc>
        <w:tc>
          <w:tcPr>
            <w:tcW w:w="1462" w:type="dxa"/>
            <w:vAlign w:val="center"/>
          </w:tcPr>
          <w:p>
            <w:pPr>
              <w:pStyle w:val="2001"/>
            </w:pPr>
            <w:r>
              <w:t>μg/m</w:t>
            </w:r>
            <w:r>
              <w:rPr>
                <w:vertAlign w:val="superscript"/>
              </w:rPr>
              <w:t>3</w:t>
            </w:r>
          </w:p>
        </w:tc>
        <w:tc>
          <w:tcPr>
            <w:tcW w:w="1964" w:type="dxa"/>
            <w:vAlign w:val="center"/>
          </w:tcPr>
          <w:p>
            <w:pPr>
              <w:pStyle w:val="2001"/>
            </w:pPr>
            <w:r>
              <w:t>70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633" w:type="dxa"/>
            <w:vMerge w:val="continue"/>
            <w:vAlign w:val="center"/>
          </w:tcPr>
          <w:p>
            <w:pPr>
              <w:pStyle w:val="2001"/>
            </w:pPr>
          </w:p>
        </w:tc>
        <w:tc>
          <w:tcPr>
            <w:tcW w:w="2469" w:type="dxa"/>
            <w:vAlign w:val="center"/>
          </w:tcPr>
          <w:p>
            <w:pPr>
              <w:pStyle w:val="2001"/>
            </w:pPr>
            <w:r>
              <w:t>24小时平均</w:t>
            </w:r>
          </w:p>
        </w:tc>
        <w:tc>
          <w:tcPr>
            <w:tcW w:w="1462" w:type="dxa"/>
            <w:vAlign w:val="center"/>
          </w:tcPr>
          <w:p>
            <w:pPr>
              <w:pStyle w:val="2001"/>
            </w:pPr>
            <w:r>
              <w:t>μg/m</w:t>
            </w:r>
            <w:r>
              <w:rPr>
                <w:vertAlign w:val="superscript"/>
              </w:rPr>
              <w:t>3</w:t>
            </w:r>
          </w:p>
        </w:tc>
        <w:tc>
          <w:tcPr>
            <w:tcW w:w="1964" w:type="dxa"/>
            <w:vAlign w:val="center"/>
          </w:tcPr>
          <w:p>
            <w:pPr>
              <w:pStyle w:val="2001"/>
            </w:pPr>
            <w:r>
              <w:t>150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633" w:type="dxa"/>
            <w:vMerge w:val="restart"/>
            <w:vAlign w:val="center"/>
          </w:tcPr>
          <w:p>
            <w:pPr>
              <w:pStyle w:val="2001"/>
            </w:pPr>
            <w:r>
              <w:t>细颗粒物（PM</w:t>
            </w:r>
            <w:r>
              <w:rPr>
                <w:vertAlign w:val="subscript"/>
              </w:rPr>
              <w:t>2.5</w:t>
            </w:r>
            <w:r>
              <w:t>）</w:t>
            </w:r>
          </w:p>
        </w:tc>
        <w:tc>
          <w:tcPr>
            <w:tcW w:w="2469" w:type="dxa"/>
            <w:vAlign w:val="center"/>
          </w:tcPr>
          <w:p>
            <w:pPr>
              <w:pStyle w:val="2001"/>
            </w:pPr>
            <w:r>
              <w:t>年平均</w:t>
            </w:r>
          </w:p>
        </w:tc>
        <w:tc>
          <w:tcPr>
            <w:tcW w:w="1462" w:type="dxa"/>
            <w:vAlign w:val="center"/>
          </w:tcPr>
          <w:p>
            <w:pPr>
              <w:pStyle w:val="2001"/>
            </w:pPr>
            <w:r>
              <w:t>μg/m</w:t>
            </w:r>
            <w:r>
              <w:rPr>
                <w:vertAlign w:val="superscript"/>
              </w:rPr>
              <w:t>3</w:t>
            </w:r>
          </w:p>
        </w:tc>
        <w:tc>
          <w:tcPr>
            <w:tcW w:w="1964" w:type="dxa"/>
            <w:vAlign w:val="center"/>
          </w:tcPr>
          <w:p>
            <w:pPr>
              <w:pStyle w:val="2001"/>
            </w:pPr>
            <w:r>
              <w:t>35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633" w:type="dxa"/>
            <w:vMerge w:val="continue"/>
            <w:vAlign w:val="center"/>
          </w:tcPr>
          <w:p>
            <w:pPr>
              <w:pStyle w:val="2001"/>
            </w:pPr>
          </w:p>
        </w:tc>
        <w:tc>
          <w:tcPr>
            <w:tcW w:w="2469" w:type="dxa"/>
            <w:vAlign w:val="center"/>
          </w:tcPr>
          <w:p>
            <w:pPr>
              <w:pStyle w:val="2001"/>
            </w:pPr>
            <w:r>
              <w:t>24小时平均</w:t>
            </w:r>
          </w:p>
        </w:tc>
        <w:tc>
          <w:tcPr>
            <w:tcW w:w="1462" w:type="dxa"/>
            <w:vAlign w:val="center"/>
          </w:tcPr>
          <w:p>
            <w:pPr>
              <w:pStyle w:val="2001"/>
            </w:pPr>
            <w:r>
              <w:t>μg/m</w:t>
            </w:r>
            <w:r>
              <w:rPr>
                <w:vertAlign w:val="superscript"/>
              </w:rPr>
              <w:t>3</w:t>
            </w:r>
          </w:p>
        </w:tc>
        <w:tc>
          <w:tcPr>
            <w:tcW w:w="1964" w:type="dxa"/>
            <w:vAlign w:val="center"/>
          </w:tcPr>
          <w:p>
            <w:pPr>
              <w:pStyle w:val="2001"/>
            </w:pPr>
            <w:r>
              <w:t>75</w:t>
            </w:r>
          </w:p>
        </w:tc>
      </w:tr>
    </w:tbl>
    <w:p>
      <w:pPr>
        <w:ind w:firstLine="480"/>
        <w:rPr>
          <w:color w:val="000000" w:themeColor="text1"/>
          <w14:textFill>
            <w14:solidFill>
              <w14:schemeClr w14:val="tx1"/>
            </w14:solidFill>
          </w14:textFill>
        </w:rPr>
      </w:pPr>
      <w:bookmarkStart w:id="43" w:name="_Toc160857119"/>
      <w:bookmarkStart w:id="44" w:name="_Toc160855801"/>
      <w:bookmarkStart w:id="45" w:name="_Toc160854846"/>
      <w:r>
        <w:rPr>
          <w:rFonts w:hint="eastAsia"/>
          <w:color w:val="000000" w:themeColor="text1"/>
          <w14:textFill>
            <w14:solidFill>
              <w14:schemeClr w14:val="tx1"/>
            </w14:solidFill>
          </w14:textFill>
        </w:rPr>
        <w:t>大气污染物二氧化硫、氮氧化物、颗粒物排放执行《大气污染物综合排放标准》（</w:t>
      </w:r>
      <w:r>
        <w:rPr>
          <w:color w:val="000000" w:themeColor="text1"/>
          <w14:textFill>
            <w14:solidFill>
              <w14:schemeClr w14:val="tx1"/>
            </w14:solidFill>
          </w14:textFill>
        </w:rPr>
        <w:t>GB16297</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1996</w:t>
      </w:r>
      <w:r>
        <w:rPr>
          <w:rFonts w:hint="eastAsia"/>
          <w:color w:val="000000" w:themeColor="text1"/>
          <w14:textFill>
            <w14:solidFill>
              <w14:schemeClr w14:val="tx1"/>
            </w14:solidFill>
          </w14:textFill>
        </w:rPr>
        <w:t>）中无组织排放监控浓度限值。</w:t>
      </w:r>
    </w:p>
    <w:p>
      <w:pPr>
        <w:pStyle w:val="384"/>
        <w:ind w:left="0" w:firstLine="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大气污染物排放标准</w:t>
      </w:r>
    </w:p>
    <w:tbl>
      <w:tblPr>
        <w:tblStyle w:val="88"/>
        <w:tblW w:w="8368" w:type="dxa"/>
        <w:jc w:val="center"/>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28" w:type="dxa"/>
          <w:bottom w:w="0" w:type="dxa"/>
          <w:right w:w="28" w:type="dxa"/>
        </w:tblCellMar>
      </w:tblPr>
      <w:tblGrid>
        <w:gridCol w:w="358"/>
        <w:gridCol w:w="634"/>
        <w:gridCol w:w="2226"/>
        <w:gridCol w:w="1898"/>
        <w:gridCol w:w="3252"/>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28" w:type="dxa"/>
            <w:bottom w:w="0" w:type="dxa"/>
            <w:right w:w="28" w:type="dxa"/>
          </w:tblCellMar>
        </w:tblPrEx>
        <w:trPr>
          <w:cantSplit/>
          <w:trHeight w:val="170" w:hRule="atLeast"/>
          <w:jc w:val="center"/>
        </w:trPr>
        <w:tc>
          <w:tcPr>
            <w:tcW w:w="358" w:type="dxa"/>
            <w:vMerge w:val="restart"/>
            <w:vAlign w:val="center"/>
          </w:tcPr>
          <w:p>
            <w:pPr>
              <w:adjustRightInd w:val="0"/>
              <w:snapToGrid w:val="0"/>
              <w:spacing w:line="280" w:lineRule="exact"/>
              <w:jc w:val="center"/>
              <w:rPr>
                <w:snapToGrid w:val="0"/>
                <w:color w:val="000000" w:themeColor="text1"/>
                <w:sz w:val="21"/>
                <w:szCs w:val="21"/>
                <w14:textFill>
                  <w14:solidFill>
                    <w14:schemeClr w14:val="tx1"/>
                  </w14:solidFill>
                </w14:textFill>
              </w:rPr>
            </w:pPr>
            <w:r>
              <w:rPr>
                <w:snapToGrid w:val="0"/>
                <w:color w:val="000000" w:themeColor="text1"/>
                <w:sz w:val="21"/>
                <w:szCs w:val="21"/>
                <w14:textFill>
                  <w14:solidFill>
                    <w14:schemeClr w14:val="tx1"/>
                  </w14:solidFill>
                </w14:textFill>
              </w:rPr>
              <w:t>序号</w:t>
            </w:r>
          </w:p>
        </w:tc>
        <w:tc>
          <w:tcPr>
            <w:tcW w:w="634" w:type="dxa"/>
            <w:vMerge w:val="restart"/>
            <w:vAlign w:val="center"/>
          </w:tcPr>
          <w:p>
            <w:pPr>
              <w:adjustRightInd w:val="0"/>
              <w:snapToGrid w:val="0"/>
              <w:spacing w:line="280" w:lineRule="exact"/>
              <w:jc w:val="center"/>
              <w:rPr>
                <w:snapToGrid w:val="0"/>
                <w:color w:val="000000" w:themeColor="text1"/>
                <w:sz w:val="21"/>
                <w:szCs w:val="21"/>
                <w14:textFill>
                  <w14:solidFill>
                    <w14:schemeClr w14:val="tx1"/>
                  </w14:solidFill>
                </w14:textFill>
              </w:rPr>
            </w:pPr>
            <w:r>
              <w:rPr>
                <w:snapToGrid w:val="0"/>
                <w:color w:val="000000" w:themeColor="text1"/>
                <w:sz w:val="21"/>
                <w:szCs w:val="21"/>
                <w14:textFill>
                  <w14:solidFill>
                    <w14:schemeClr w14:val="tx1"/>
                  </w14:solidFill>
                </w14:textFill>
              </w:rPr>
              <w:t>污染物名称</w:t>
            </w:r>
          </w:p>
        </w:tc>
        <w:tc>
          <w:tcPr>
            <w:tcW w:w="4124" w:type="dxa"/>
            <w:gridSpan w:val="2"/>
            <w:vAlign w:val="center"/>
          </w:tcPr>
          <w:p>
            <w:pPr>
              <w:adjustRightInd w:val="0"/>
              <w:snapToGrid w:val="0"/>
              <w:spacing w:line="280" w:lineRule="exact"/>
              <w:jc w:val="center"/>
              <w:rPr>
                <w:snapToGrid w:val="0"/>
                <w:color w:val="000000" w:themeColor="text1"/>
                <w:sz w:val="21"/>
                <w:szCs w:val="21"/>
                <w14:textFill>
                  <w14:solidFill>
                    <w14:schemeClr w14:val="tx1"/>
                  </w14:solidFill>
                </w14:textFill>
              </w:rPr>
            </w:pPr>
            <w:r>
              <w:rPr>
                <w:snapToGrid w:val="0"/>
                <w:color w:val="000000" w:themeColor="text1"/>
                <w:sz w:val="21"/>
                <w:szCs w:val="21"/>
                <w14:textFill>
                  <w14:solidFill>
                    <w14:schemeClr w14:val="tx1"/>
                  </w14:solidFill>
                </w14:textFill>
              </w:rPr>
              <w:t>无组织排放监控浓度限值</w:t>
            </w:r>
          </w:p>
        </w:tc>
        <w:tc>
          <w:tcPr>
            <w:tcW w:w="3252" w:type="dxa"/>
            <w:vMerge w:val="restart"/>
            <w:vAlign w:val="center"/>
          </w:tcPr>
          <w:p>
            <w:pPr>
              <w:adjustRightInd w:val="0"/>
              <w:snapToGrid w:val="0"/>
              <w:spacing w:line="280" w:lineRule="exact"/>
              <w:jc w:val="center"/>
              <w:rPr>
                <w:snapToGrid w:val="0"/>
                <w:color w:val="000000" w:themeColor="text1"/>
                <w:sz w:val="21"/>
                <w:szCs w:val="21"/>
                <w14:textFill>
                  <w14:solidFill>
                    <w14:schemeClr w14:val="tx1"/>
                  </w14:solidFill>
                </w14:textFill>
              </w:rPr>
            </w:pPr>
            <w:r>
              <w:rPr>
                <w:snapToGrid w:val="0"/>
                <w:color w:val="000000" w:themeColor="text1"/>
                <w:sz w:val="21"/>
                <w:szCs w:val="21"/>
                <w14:textFill>
                  <w14:solidFill>
                    <w14:schemeClr w14:val="tx1"/>
                  </w14:solidFill>
                </w14:textFill>
              </w:rPr>
              <w:t>执行标准</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28" w:type="dxa"/>
            <w:bottom w:w="0" w:type="dxa"/>
            <w:right w:w="28" w:type="dxa"/>
          </w:tblCellMar>
        </w:tblPrEx>
        <w:trPr>
          <w:cantSplit/>
          <w:trHeight w:val="170" w:hRule="atLeast"/>
          <w:jc w:val="center"/>
        </w:trPr>
        <w:tc>
          <w:tcPr>
            <w:tcW w:w="358" w:type="dxa"/>
            <w:vMerge w:val="continue"/>
            <w:vAlign w:val="center"/>
          </w:tcPr>
          <w:p>
            <w:pPr>
              <w:adjustRightInd w:val="0"/>
              <w:snapToGrid w:val="0"/>
              <w:spacing w:line="280" w:lineRule="exact"/>
              <w:jc w:val="center"/>
              <w:rPr>
                <w:snapToGrid w:val="0"/>
                <w:color w:val="000000" w:themeColor="text1"/>
                <w:sz w:val="21"/>
                <w:szCs w:val="21"/>
                <w14:textFill>
                  <w14:solidFill>
                    <w14:schemeClr w14:val="tx1"/>
                  </w14:solidFill>
                </w14:textFill>
              </w:rPr>
            </w:pPr>
          </w:p>
        </w:tc>
        <w:tc>
          <w:tcPr>
            <w:tcW w:w="634" w:type="dxa"/>
            <w:vMerge w:val="continue"/>
            <w:vAlign w:val="center"/>
          </w:tcPr>
          <w:p>
            <w:pPr>
              <w:adjustRightInd w:val="0"/>
              <w:snapToGrid w:val="0"/>
              <w:spacing w:line="280" w:lineRule="exact"/>
              <w:jc w:val="center"/>
              <w:rPr>
                <w:snapToGrid w:val="0"/>
                <w:color w:val="000000" w:themeColor="text1"/>
                <w:sz w:val="21"/>
                <w:szCs w:val="21"/>
                <w14:textFill>
                  <w14:solidFill>
                    <w14:schemeClr w14:val="tx1"/>
                  </w14:solidFill>
                </w14:textFill>
              </w:rPr>
            </w:pPr>
          </w:p>
        </w:tc>
        <w:tc>
          <w:tcPr>
            <w:tcW w:w="2226" w:type="dxa"/>
            <w:vAlign w:val="center"/>
          </w:tcPr>
          <w:p>
            <w:pPr>
              <w:adjustRightInd w:val="0"/>
              <w:snapToGrid w:val="0"/>
              <w:spacing w:line="280" w:lineRule="exact"/>
              <w:jc w:val="center"/>
              <w:rPr>
                <w:snapToGrid w:val="0"/>
                <w:color w:val="000000" w:themeColor="text1"/>
                <w:sz w:val="21"/>
                <w:szCs w:val="21"/>
                <w14:textFill>
                  <w14:solidFill>
                    <w14:schemeClr w14:val="tx1"/>
                  </w14:solidFill>
                </w14:textFill>
              </w:rPr>
            </w:pPr>
            <w:r>
              <w:rPr>
                <w:snapToGrid w:val="0"/>
                <w:color w:val="000000" w:themeColor="text1"/>
                <w:sz w:val="21"/>
                <w:szCs w:val="21"/>
                <w14:textFill>
                  <w14:solidFill>
                    <w14:schemeClr w14:val="tx1"/>
                  </w14:solidFill>
                </w14:textFill>
              </w:rPr>
              <w:t>监控点</w:t>
            </w:r>
          </w:p>
        </w:tc>
        <w:tc>
          <w:tcPr>
            <w:tcW w:w="1898" w:type="dxa"/>
            <w:vAlign w:val="center"/>
          </w:tcPr>
          <w:p>
            <w:pPr>
              <w:adjustRightInd w:val="0"/>
              <w:snapToGrid w:val="0"/>
              <w:spacing w:line="280" w:lineRule="exact"/>
              <w:jc w:val="center"/>
              <w:rPr>
                <w:snapToGrid w:val="0"/>
                <w:color w:val="000000" w:themeColor="text1"/>
                <w:sz w:val="21"/>
                <w:szCs w:val="21"/>
                <w14:textFill>
                  <w14:solidFill>
                    <w14:schemeClr w14:val="tx1"/>
                  </w14:solidFill>
                </w14:textFill>
              </w:rPr>
            </w:pPr>
            <w:r>
              <w:rPr>
                <w:snapToGrid w:val="0"/>
                <w:color w:val="000000" w:themeColor="text1"/>
                <w:sz w:val="21"/>
                <w:szCs w:val="21"/>
                <w14:textFill>
                  <w14:solidFill>
                    <w14:schemeClr w14:val="tx1"/>
                  </w14:solidFill>
                </w14:textFill>
              </w:rPr>
              <w:t>浓度（mg</w:t>
            </w:r>
            <w:r>
              <w:rPr>
                <w:snapToGrid w:val="0"/>
                <w:color w:val="000000" w:themeColor="text1"/>
                <w:sz w:val="21"/>
                <w:szCs w:val="21"/>
                <w14:textFill>
                  <w14:solidFill>
                    <w14:schemeClr w14:val="tx1"/>
                  </w14:solidFill>
                </w14:textFill>
              </w:rPr>
              <w:sym w:font="Courier New" w:char="002F"/>
            </w:r>
            <w:r>
              <w:rPr>
                <w:snapToGrid w:val="0"/>
                <w:color w:val="000000" w:themeColor="text1"/>
                <w:sz w:val="21"/>
                <w:szCs w:val="21"/>
                <w14:textFill>
                  <w14:solidFill>
                    <w14:schemeClr w14:val="tx1"/>
                  </w14:solidFill>
                </w14:textFill>
              </w:rPr>
              <w:t>m</w:t>
            </w:r>
            <w:r>
              <w:rPr>
                <w:snapToGrid w:val="0"/>
                <w:color w:val="000000" w:themeColor="text1"/>
                <w:sz w:val="21"/>
                <w:szCs w:val="21"/>
                <w:vertAlign w:val="superscript"/>
                <w14:textFill>
                  <w14:solidFill>
                    <w14:schemeClr w14:val="tx1"/>
                  </w14:solidFill>
                </w14:textFill>
              </w:rPr>
              <w:t>3</w:t>
            </w:r>
            <w:r>
              <w:rPr>
                <w:snapToGrid w:val="0"/>
                <w:color w:val="000000" w:themeColor="text1"/>
                <w:sz w:val="21"/>
                <w:szCs w:val="21"/>
                <w14:textFill>
                  <w14:solidFill>
                    <w14:schemeClr w14:val="tx1"/>
                  </w14:solidFill>
                </w14:textFill>
              </w:rPr>
              <w:t>）</w:t>
            </w:r>
          </w:p>
        </w:tc>
        <w:tc>
          <w:tcPr>
            <w:tcW w:w="3252" w:type="dxa"/>
            <w:vMerge w:val="continue"/>
            <w:vAlign w:val="center"/>
          </w:tcPr>
          <w:p>
            <w:pPr>
              <w:adjustRightInd w:val="0"/>
              <w:snapToGrid w:val="0"/>
              <w:spacing w:line="280" w:lineRule="exact"/>
              <w:jc w:val="center"/>
              <w:rPr>
                <w:snapToGrid w:val="0"/>
                <w:color w:val="000000" w:themeColor="text1"/>
                <w:sz w:val="21"/>
                <w:szCs w:val="21"/>
                <w14:textFill>
                  <w14:solidFill>
                    <w14:schemeClr w14:val="tx1"/>
                  </w14:solidFill>
                </w14:textFill>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28" w:type="dxa"/>
            <w:bottom w:w="0" w:type="dxa"/>
            <w:right w:w="28" w:type="dxa"/>
          </w:tblCellMar>
        </w:tblPrEx>
        <w:trPr>
          <w:cantSplit/>
          <w:trHeight w:val="170" w:hRule="atLeast"/>
          <w:jc w:val="center"/>
        </w:trPr>
        <w:tc>
          <w:tcPr>
            <w:tcW w:w="358" w:type="dxa"/>
            <w:vAlign w:val="center"/>
          </w:tcPr>
          <w:p>
            <w:pPr>
              <w:snapToGrid w:val="0"/>
              <w:spacing w:line="280" w:lineRule="exact"/>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1</w:t>
            </w:r>
          </w:p>
        </w:tc>
        <w:tc>
          <w:tcPr>
            <w:tcW w:w="634" w:type="dxa"/>
            <w:vAlign w:val="center"/>
          </w:tcPr>
          <w:p>
            <w:pPr>
              <w:snapToGrid w:val="0"/>
              <w:spacing w:line="280" w:lineRule="exact"/>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二氧化硫</w:t>
            </w:r>
          </w:p>
        </w:tc>
        <w:tc>
          <w:tcPr>
            <w:tcW w:w="2226" w:type="dxa"/>
            <w:vMerge w:val="restart"/>
            <w:vAlign w:val="center"/>
          </w:tcPr>
          <w:p>
            <w:pPr>
              <w:pStyle w:val="63"/>
              <w:ind w:firstLine="0"/>
              <w:rPr>
                <w:color w:val="000000" w:themeColor="text1"/>
                <w14:textFill>
                  <w14:solidFill>
                    <w14:schemeClr w14:val="tx1"/>
                  </w14:solidFill>
                </w14:textFill>
              </w:rPr>
            </w:pPr>
            <w:r>
              <w:rPr>
                <w:color w:val="000000" w:themeColor="text1"/>
                <w14:textFill>
                  <w14:solidFill>
                    <w14:schemeClr w14:val="tx1"/>
                  </w14:solidFill>
                </w14:textFill>
              </w:rPr>
              <w:t>周界外浓度最高点</w:t>
            </w:r>
          </w:p>
        </w:tc>
        <w:tc>
          <w:tcPr>
            <w:tcW w:w="1898" w:type="dxa"/>
            <w:vAlign w:val="center"/>
          </w:tcPr>
          <w:p>
            <w:pPr>
              <w:snapToGrid w:val="0"/>
              <w:spacing w:line="280" w:lineRule="exact"/>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0.40</w:t>
            </w:r>
          </w:p>
        </w:tc>
        <w:tc>
          <w:tcPr>
            <w:tcW w:w="3252" w:type="dxa"/>
            <w:vMerge w:val="restart"/>
            <w:vAlign w:val="center"/>
          </w:tcPr>
          <w:p>
            <w:pPr>
              <w:pStyle w:val="63"/>
              <w:rPr>
                <w:color w:val="000000" w:themeColor="text1"/>
                <w14:textFill>
                  <w14:solidFill>
                    <w14:schemeClr w14:val="tx1"/>
                  </w14:solidFill>
                </w14:textFill>
              </w:rPr>
            </w:pPr>
            <w:r>
              <w:rPr>
                <w:color w:val="000000" w:themeColor="text1"/>
                <w14:textFill>
                  <w14:solidFill>
                    <w14:schemeClr w14:val="tx1"/>
                  </w14:solidFill>
                </w14:textFill>
              </w:rPr>
              <w:t>《大气污染物综合排放标准》（GB16297—1996）</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28" w:type="dxa"/>
            <w:bottom w:w="0" w:type="dxa"/>
            <w:right w:w="28" w:type="dxa"/>
          </w:tblCellMar>
        </w:tblPrEx>
        <w:trPr>
          <w:cantSplit/>
          <w:trHeight w:val="170" w:hRule="atLeast"/>
          <w:jc w:val="center"/>
        </w:trPr>
        <w:tc>
          <w:tcPr>
            <w:tcW w:w="358" w:type="dxa"/>
            <w:vAlign w:val="center"/>
          </w:tcPr>
          <w:p>
            <w:pPr>
              <w:snapToGrid w:val="0"/>
              <w:spacing w:line="280" w:lineRule="exact"/>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2</w:t>
            </w:r>
          </w:p>
        </w:tc>
        <w:tc>
          <w:tcPr>
            <w:tcW w:w="634" w:type="dxa"/>
            <w:vAlign w:val="center"/>
          </w:tcPr>
          <w:p>
            <w:pPr>
              <w:snapToGrid w:val="0"/>
              <w:spacing w:line="280" w:lineRule="exact"/>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氮氧化物</w:t>
            </w:r>
          </w:p>
        </w:tc>
        <w:tc>
          <w:tcPr>
            <w:tcW w:w="2226" w:type="dxa"/>
            <w:vMerge w:val="continue"/>
            <w:vAlign w:val="center"/>
          </w:tcPr>
          <w:p>
            <w:pPr>
              <w:pStyle w:val="63"/>
              <w:ind w:firstLine="0"/>
              <w:rPr>
                <w:color w:val="000000" w:themeColor="text1"/>
                <w14:textFill>
                  <w14:solidFill>
                    <w14:schemeClr w14:val="tx1"/>
                  </w14:solidFill>
                </w14:textFill>
              </w:rPr>
            </w:pPr>
          </w:p>
        </w:tc>
        <w:tc>
          <w:tcPr>
            <w:tcW w:w="1898" w:type="dxa"/>
            <w:vAlign w:val="center"/>
          </w:tcPr>
          <w:p>
            <w:pPr>
              <w:snapToGrid w:val="0"/>
              <w:spacing w:line="280" w:lineRule="exact"/>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0.12</w:t>
            </w:r>
          </w:p>
        </w:tc>
        <w:tc>
          <w:tcPr>
            <w:tcW w:w="3252" w:type="dxa"/>
            <w:vMerge w:val="continue"/>
            <w:vAlign w:val="center"/>
          </w:tcPr>
          <w:p>
            <w:pPr>
              <w:pStyle w:val="63"/>
              <w:rPr>
                <w:color w:val="000000" w:themeColor="text1"/>
                <w14:textFill>
                  <w14:solidFill>
                    <w14:schemeClr w14:val="tx1"/>
                  </w14:solidFill>
                </w14:textFill>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28" w:type="dxa"/>
            <w:bottom w:w="0" w:type="dxa"/>
            <w:right w:w="28" w:type="dxa"/>
          </w:tblCellMar>
        </w:tblPrEx>
        <w:trPr>
          <w:cantSplit/>
          <w:trHeight w:val="170" w:hRule="atLeast"/>
          <w:jc w:val="center"/>
        </w:trPr>
        <w:tc>
          <w:tcPr>
            <w:tcW w:w="358" w:type="dxa"/>
            <w:vAlign w:val="center"/>
          </w:tcPr>
          <w:p>
            <w:pPr>
              <w:snapToGrid w:val="0"/>
              <w:spacing w:line="280" w:lineRule="exact"/>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3</w:t>
            </w:r>
          </w:p>
        </w:tc>
        <w:tc>
          <w:tcPr>
            <w:tcW w:w="634" w:type="dxa"/>
            <w:vAlign w:val="center"/>
          </w:tcPr>
          <w:p>
            <w:pPr>
              <w:snapToGrid w:val="0"/>
              <w:spacing w:line="280" w:lineRule="exact"/>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颗粒物</w:t>
            </w:r>
          </w:p>
        </w:tc>
        <w:tc>
          <w:tcPr>
            <w:tcW w:w="2226" w:type="dxa"/>
            <w:vAlign w:val="center"/>
          </w:tcPr>
          <w:p>
            <w:pPr>
              <w:pStyle w:val="63"/>
              <w:ind w:firstLine="0"/>
              <w:rPr>
                <w:color w:val="000000" w:themeColor="text1"/>
                <w14:textFill>
                  <w14:solidFill>
                    <w14:schemeClr w14:val="tx1"/>
                  </w14:solidFill>
                </w14:textFill>
              </w:rPr>
            </w:pPr>
            <w:r>
              <w:rPr>
                <w:color w:val="000000" w:themeColor="text1"/>
                <w14:textFill>
                  <w14:solidFill>
                    <w14:schemeClr w14:val="tx1"/>
                  </w14:solidFill>
                </w14:textFill>
              </w:rPr>
              <w:t>无组织排放源上风向设参照点，下风向设监控点</w:t>
            </w:r>
          </w:p>
        </w:tc>
        <w:tc>
          <w:tcPr>
            <w:tcW w:w="1898" w:type="dxa"/>
            <w:vAlign w:val="center"/>
          </w:tcPr>
          <w:p>
            <w:pPr>
              <w:snapToGrid w:val="0"/>
              <w:spacing w:line="280" w:lineRule="exact"/>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1.0（监控点与参照点浓度差值）</w:t>
            </w:r>
          </w:p>
        </w:tc>
        <w:tc>
          <w:tcPr>
            <w:tcW w:w="3252" w:type="dxa"/>
            <w:vMerge w:val="continue"/>
            <w:vAlign w:val="center"/>
          </w:tcPr>
          <w:p>
            <w:pPr>
              <w:pStyle w:val="63"/>
              <w:rPr>
                <w:color w:val="000000" w:themeColor="text1"/>
                <w14:textFill>
                  <w14:solidFill>
                    <w14:schemeClr w14:val="tx1"/>
                  </w14:solidFill>
                </w14:textFill>
              </w:rPr>
            </w:pPr>
          </w:p>
        </w:tc>
      </w:tr>
    </w:tbl>
    <w:p>
      <w:pPr>
        <w:pStyle w:val="6"/>
        <w:rPr>
          <w:color w:val="000000" w:themeColor="text1"/>
          <w14:textFill>
            <w14:solidFill>
              <w14:schemeClr w14:val="tx1"/>
            </w14:solidFill>
          </w14:textFill>
        </w:rPr>
      </w:pPr>
      <w:r>
        <w:rPr>
          <w:rFonts w:hint="eastAsia"/>
          <w:color w:val="000000" w:themeColor="text1"/>
          <w14:textFill>
            <w14:solidFill>
              <w14:schemeClr w14:val="tx1"/>
            </w14:solidFill>
          </w14:textFill>
        </w:rPr>
        <w:t>海洋</w:t>
      </w:r>
      <w:bookmarkEnd w:id="43"/>
      <w:bookmarkEnd w:id="44"/>
      <w:bookmarkEnd w:id="45"/>
      <w:r>
        <w:rPr>
          <w:color w:val="000000" w:themeColor="text1"/>
          <w14:textFill>
            <w14:solidFill>
              <w14:schemeClr w14:val="tx1"/>
            </w14:solidFill>
          </w14:textFill>
        </w:rPr>
        <w:t>及地表水环境</w:t>
      </w:r>
    </w:p>
    <w:p>
      <w:pPr>
        <w:pStyle w:val="283"/>
        <w:ind w:firstLine="462"/>
        <w:rPr>
          <w:color w:val="000000" w:themeColor="text1"/>
          <w14:textFill>
            <w14:solidFill>
              <w14:schemeClr w14:val="tx1"/>
            </w14:solidFill>
          </w14:textFill>
        </w:rPr>
      </w:pPr>
      <w:r>
        <w:rPr>
          <w:color w:val="000000" w:themeColor="text1"/>
          <w14:textFill>
            <w14:solidFill>
              <w14:schemeClr w14:val="tx1"/>
            </w14:solidFill>
          </w14:textFill>
        </w:rPr>
        <w:t>（一）环境质量标准</w:t>
      </w:r>
    </w:p>
    <w:p>
      <w:pPr>
        <w:pStyle w:val="283"/>
        <w:ind w:firstLine="462"/>
        <w:rPr>
          <w:color w:val="000000" w:themeColor="text1"/>
          <w14:textFill>
            <w14:solidFill>
              <w14:schemeClr w14:val="tx1"/>
            </w14:solidFill>
          </w14:textFill>
        </w:rPr>
      </w:pPr>
      <w:r>
        <w:rPr>
          <w:color w:val="000000" w:themeColor="text1"/>
          <w14:textFill>
            <w14:solidFill>
              <w14:schemeClr w14:val="tx1"/>
            </w14:solidFill>
          </w14:textFill>
        </w:rPr>
        <w:t>根据《广西壮族自治区生态环境厅关于印发广西壮族自治区近岸海域环境功能区划调整方案的通知》（桂环发〔2023〕9号）规定的海水标准执行。本项目位于钦州港大榄坪港口工业区（GX055DⅣ）和钦州港大榄坪排污混合区（GX057DⅣ），海水水质执行四类标准，海洋环境</w:t>
      </w:r>
      <w:r>
        <w:rPr>
          <w:rFonts w:hint="eastAsia"/>
          <w:color w:val="000000" w:themeColor="text1"/>
          <w:kern w:val="2"/>
          <w14:textFill>
            <w14:solidFill>
              <w14:schemeClr w14:val="tx1"/>
            </w14:solidFill>
          </w14:textFill>
        </w:rPr>
        <w:t>评价范围内海水水质执行二至四类标准</w:t>
      </w:r>
      <w:r>
        <w:rPr>
          <w:rFonts w:hint="eastAsia"/>
          <w:color w:val="000000" w:themeColor="text1"/>
          <w:lang w:val="zh-CN"/>
          <w14:textFill>
            <w14:solidFill>
              <w14:schemeClr w14:val="tx1"/>
            </w14:solidFill>
          </w14:textFill>
        </w:rPr>
        <w:t>（附图6）</w:t>
      </w:r>
      <w:r>
        <w:rPr>
          <w:color w:val="000000" w:themeColor="text1"/>
          <w14:textFill>
            <w14:solidFill>
              <w14:schemeClr w14:val="tx1"/>
            </w14:solidFill>
          </w14:textFill>
        </w:rPr>
        <w:t>。沉积物质量执行《海洋沉积物质量》（GB18668-2002）。海洋生物执行《海洋生物质量》（GB18421-2001）中一、二、三类标准</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海洋生物（鱼类、甲壳类和头足类等样品残毒（除石油烃外））执行《全国海岸带和海涂资源综合调查简明规程》中规定的生物质量标准，海洋生物（鱼类、甲壳类和头足类等样品石油烃）执行《第二次全国海洋污染基线调查技术规程》（第二分册）中规定的生物质量标准。具体标准值见表1.</w:t>
      </w:r>
      <w:r>
        <w:rPr>
          <w:rFonts w:hint="eastAsia"/>
          <w:color w:val="000000" w:themeColor="text1"/>
          <w14:textFill>
            <w14:solidFill>
              <w14:schemeClr w14:val="tx1"/>
            </w14:solidFill>
          </w14:textFill>
        </w:rPr>
        <w:t>3</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3～表1.3-6</w:t>
      </w:r>
      <w:r>
        <w:rPr>
          <w:color w:val="000000" w:themeColor="text1"/>
          <w14:textFill>
            <w14:solidFill>
              <w14:schemeClr w14:val="tx1"/>
            </w14:solidFill>
          </w14:textFill>
        </w:rPr>
        <w:t>。</w:t>
      </w:r>
    </w:p>
    <w:p>
      <w:pPr>
        <w:pStyle w:val="384"/>
        <w:jc w:val="right"/>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海水水质标准（GB3097-1997）</w:t>
      </w:r>
      <w:r>
        <w:rPr>
          <w:rFonts w:hint="eastAsia" w:cs="Times New Roman"/>
          <w:color w:val="000000" w:themeColor="text1"/>
          <w14:textFill>
            <w14:solidFill>
              <w14:schemeClr w14:val="tx1"/>
            </w14:solidFill>
          </w14:textFill>
        </w:rPr>
        <w:t xml:space="preserve">     </w:t>
      </w:r>
      <w:r>
        <w:rPr>
          <w:rFonts w:cs="Times New Roman"/>
          <w:b w:val="0"/>
          <w:bCs/>
          <w:color w:val="000000" w:themeColor="text1"/>
          <w:sz w:val="21"/>
          <w:szCs w:val="21"/>
          <w14:textFill>
            <w14:solidFill>
              <w14:schemeClr w14:val="tx1"/>
            </w14:solidFill>
          </w14:textFill>
        </w:rPr>
        <w:t>单位：mg/L</w:t>
      </w:r>
    </w:p>
    <w:tbl>
      <w:tblPr>
        <w:tblStyle w:val="88"/>
        <w:tblW w:w="8528" w:type="dxa"/>
        <w:jc w:val="center"/>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17" w:type="dxa"/>
          <w:left w:w="108" w:type="dxa"/>
          <w:bottom w:w="17" w:type="dxa"/>
          <w:right w:w="108" w:type="dxa"/>
        </w:tblCellMar>
      </w:tblPr>
      <w:tblGrid>
        <w:gridCol w:w="2187"/>
        <w:gridCol w:w="1455"/>
        <w:gridCol w:w="1455"/>
        <w:gridCol w:w="1741"/>
        <w:gridCol w:w="1690"/>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17" w:type="dxa"/>
            <w:left w:w="108" w:type="dxa"/>
            <w:bottom w:w="17" w:type="dxa"/>
            <w:right w:w="108" w:type="dxa"/>
          </w:tblCellMar>
        </w:tblPrEx>
        <w:trPr>
          <w:trHeight w:val="340" w:hRule="atLeast"/>
          <w:tblHeader/>
          <w:jc w:val="center"/>
        </w:trPr>
        <w:tc>
          <w:tcPr>
            <w:tcW w:w="2187" w:type="dxa"/>
            <w:vAlign w:val="center"/>
          </w:tcPr>
          <w:p>
            <w:pPr>
              <w:pStyle w:val="455"/>
              <w:spacing w:line="280" w:lineRule="exact"/>
              <w:jc w:val="center"/>
              <w:rPr>
                <w:b/>
                <w:color w:val="000000" w:themeColor="text1"/>
                <w:sz w:val="21"/>
                <w:szCs w:val="21"/>
                <w14:textFill>
                  <w14:solidFill>
                    <w14:schemeClr w14:val="tx1"/>
                  </w14:solidFill>
                </w14:textFill>
              </w:rPr>
            </w:pPr>
            <w:r>
              <w:rPr>
                <w:b/>
                <w:color w:val="000000" w:themeColor="text1"/>
                <w:sz w:val="21"/>
                <w:szCs w:val="21"/>
                <w14:textFill>
                  <w14:solidFill>
                    <w14:schemeClr w14:val="tx1"/>
                  </w14:solidFill>
                </w14:textFill>
              </w:rPr>
              <w:t>污染物名称</w:t>
            </w:r>
          </w:p>
        </w:tc>
        <w:tc>
          <w:tcPr>
            <w:tcW w:w="1455" w:type="dxa"/>
          </w:tcPr>
          <w:p>
            <w:pPr>
              <w:pStyle w:val="455"/>
              <w:spacing w:line="280" w:lineRule="exact"/>
              <w:jc w:val="center"/>
              <w:rPr>
                <w:b/>
                <w:color w:val="000000" w:themeColor="text1"/>
                <w:sz w:val="21"/>
                <w:szCs w:val="21"/>
                <w14:textFill>
                  <w14:solidFill>
                    <w14:schemeClr w14:val="tx1"/>
                  </w14:solidFill>
                </w14:textFill>
              </w:rPr>
            </w:pPr>
            <w:r>
              <w:rPr>
                <w:b/>
                <w:color w:val="000000" w:themeColor="text1"/>
                <w:sz w:val="21"/>
                <w:szCs w:val="21"/>
                <w14:textFill>
                  <w14:solidFill>
                    <w14:schemeClr w14:val="tx1"/>
                  </w14:solidFill>
                </w14:textFill>
              </w:rPr>
              <w:t>第一类</w:t>
            </w:r>
          </w:p>
        </w:tc>
        <w:tc>
          <w:tcPr>
            <w:tcW w:w="1455" w:type="dxa"/>
            <w:vAlign w:val="center"/>
          </w:tcPr>
          <w:p>
            <w:pPr>
              <w:pStyle w:val="455"/>
              <w:spacing w:line="280" w:lineRule="exact"/>
              <w:jc w:val="center"/>
              <w:rPr>
                <w:b/>
                <w:color w:val="000000" w:themeColor="text1"/>
                <w:sz w:val="21"/>
                <w:szCs w:val="21"/>
                <w14:textFill>
                  <w14:solidFill>
                    <w14:schemeClr w14:val="tx1"/>
                  </w14:solidFill>
                </w14:textFill>
              </w:rPr>
            </w:pPr>
            <w:r>
              <w:rPr>
                <w:b/>
                <w:color w:val="000000" w:themeColor="text1"/>
                <w:sz w:val="21"/>
                <w:szCs w:val="21"/>
                <w14:textFill>
                  <w14:solidFill>
                    <w14:schemeClr w14:val="tx1"/>
                  </w14:solidFill>
                </w14:textFill>
              </w:rPr>
              <w:t xml:space="preserve"> 第二类</w:t>
            </w:r>
          </w:p>
        </w:tc>
        <w:tc>
          <w:tcPr>
            <w:tcW w:w="1741" w:type="dxa"/>
            <w:vAlign w:val="center"/>
          </w:tcPr>
          <w:p>
            <w:pPr>
              <w:pStyle w:val="455"/>
              <w:spacing w:line="280" w:lineRule="exact"/>
              <w:jc w:val="center"/>
              <w:rPr>
                <w:b/>
                <w:color w:val="000000" w:themeColor="text1"/>
                <w:sz w:val="21"/>
                <w:szCs w:val="21"/>
                <w14:textFill>
                  <w14:solidFill>
                    <w14:schemeClr w14:val="tx1"/>
                  </w14:solidFill>
                </w14:textFill>
              </w:rPr>
            </w:pPr>
            <w:r>
              <w:rPr>
                <w:b/>
                <w:color w:val="000000" w:themeColor="text1"/>
                <w:sz w:val="21"/>
                <w:szCs w:val="21"/>
                <w14:textFill>
                  <w14:solidFill>
                    <w14:schemeClr w14:val="tx1"/>
                  </w14:solidFill>
                </w14:textFill>
              </w:rPr>
              <w:t>第三类</w:t>
            </w:r>
          </w:p>
        </w:tc>
        <w:tc>
          <w:tcPr>
            <w:tcW w:w="1690" w:type="dxa"/>
            <w:vAlign w:val="center"/>
          </w:tcPr>
          <w:p>
            <w:pPr>
              <w:pStyle w:val="455"/>
              <w:spacing w:line="280" w:lineRule="exact"/>
              <w:jc w:val="center"/>
              <w:rPr>
                <w:b/>
                <w:color w:val="000000" w:themeColor="text1"/>
                <w:sz w:val="21"/>
                <w:szCs w:val="21"/>
                <w14:textFill>
                  <w14:solidFill>
                    <w14:schemeClr w14:val="tx1"/>
                  </w14:solidFill>
                </w14:textFill>
              </w:rPr>
            </w:pPr>
            <w:r>
              <w:rPr>
                <w:b/>
                <w:color w:val="000000" w:themeColor="text1"/>
                <w:sz w:val="21"/>
                <w:szCs w:val="21"/>
                <w14:textFill>
                  <w14:solidFill>
                    <w14:schemeClr w14:val="tx1"/>
                  </w14:solidFill>
                </w14:textFill>
              </w:rPr>
              <w:t xml:space="preserve">第四类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17" w:type="dxa"/>
            <w:left w:w="108" w:type="dxa"/>
            <w:bottom w:w="17" w:type="dxa"/>
            <w:right w:w="108" w:type="dxa"/>
          </w:tblCellMar>
        </w:tblPrEx>
        <w:trPr>
          <w:trHeight w:val="340" w:hRule="atLeast"/>
          <w:jc w:val="center"/>
        </w:trPr>
        <w:tc>
          <w:tcPr>
            <w:tcW w:w="2187" w:type="dxa"/>
            <w:vAlign w:val="center"/>
          </w:tcPr>
          <w:p>
            <w:pPr>
              <w:pStyle w:val="455"/>
              <w:spacing w:line="280" w:lineRule="exact"/>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悬浮物</w:t>
            </w:r>
          </w:p>
        </w:tc>
        <w:tc>
          <w:tcPr>
            <w:tcW w:w="2910" w:type="dxa"/>
            <w:gridSpan w:val="2"/>
          </w:tcPr>
          <w:p>
            <w:pPr>
              <w:pStyle w:val="455"/>
              <w:spacing w:line="280" w:lineRule="exact"/>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人为增量≤10</w:t>
            </w:r>
          </w:p>
        </w:tc>
        <w:tc>
          <w:tcPr>
            <w:tcW w:w="1741" w:type="dxa"/>
            <w:vAlign w:val="center"/>
          </w:tcPr>
          <w:p>
            <w:pPr>
              <w:pStyle w:val="455"/>
              <w:spacing w:line="280" w:lineRule="exact"/>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人为增量≤100</w:t>
            </w:r>
          </w:p>
        </w:tc>
        <w:tc>
          <w:tcPr>
            <w:tcW w:w="1690" w:type="dxa"/>
            <w:vAlign w:val="center"/>
          </w:tcPr>
          <w:p>
            <w:pPr>
              <w:pStyle w:val="455"/>
              <w:spacing w:line="280" w:lineRule="exact"/>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人为增量≤150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17" w:type="dxa"/>
            <w:left w:w="108" w:type="dxa"/>
            <w:bottom w:w="17" w:type="dxa"/>
            <w:right w:w="108" w:type="dxa"/>
          </w:tblCellMar>
        </w:tblPrEx>
        <w:trPr>
          <w:trHeight w:val="340" w:hRule="atLeast"/>
          <w:jc w:val="center"/>
        </w:trPr>
        <w:tc>
          <w:tcPr>
            <w:tcW w:w="2187" w:type="dxa"/>
            <w:vAlign w:val="center"/>
          </w:tcPr>
          <w:p>
            <w:pPr>
              <w:pStyle w:val="455"/>
              <w:spacing w:line="280" w:lineRule="exact"/>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pH</w:t>
            </w:r>
          </w:p>
        </w:tc>
        <w:tc>
          <w:tcPr>
            <w:tcW w:w="2910" w:type="dxa"/>
            <w:gridSpan w:val="2"/>
          </w:tcPr>
          <w:p>
            <w:pPr>
              <w:pStyle w:val="455"/>
              <w:spacing w:line="280" w:lineRule="exact"/>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7.8~8.5</w:t>
            </w:r>
          </w:p>
        </w:tc>
        <w:tc>
          <w:tcPr>
            <w:tcW w:w="1741" w:type="dxa"/>
            <w:vAlign w:val="center"/>
          </w:tcPr>
          <w:p>
            <w:pPr>
              <w:pStyle w:val="455"/>
              <w:spacing w:line="280" w:lineRule="exact"/>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6.8~8.8</w:t>
            </w:r>
          </w:p>
        </w:tc>
        <w:tc>
          <w:tcPr>
            <w:tcW w:w="1690" w:type="dxa"/>
            <w:vAlign w:val="center"/>
          </w:tcPr>
          <w:p>
            <w:pPr>
              <w:pStyle w:val="455"/>
              <w:spacing w:line="280" w:lineRule="exact"/>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6.8~8.8</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17" w:type="dxa"/>
            <w:left w:w="108" w:type="dxa"/>
            <w:bottom w:w="17" w:type="dxa"/>
            <w:right w:w="108" w:type="dxa"/>
          </w:tblCellMar>
        </w:tblPrEx>
        <w:trPr>
          <w:trHeight w:val="340" w:hRule="atLeast"/>
          <w:jc w:val="center"/>
        </w:trPr>
        <w:tc>
          <w:tcPr>
            <w:tcW w:w="2187" w:type="dxa"/>
            <w:vAlign w:val="center"/>
          </w:tcPr>
          <w:p>
            <w:pPr>
              <w:pStyle w:val="455"/>
              <w:spacing w:line="280" w:lineRule="exact"/>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溶解氧</w:t>
            </w:r>
            <w:r>
              <w:rPr>
                <w:rFonts w:hint="eastAsia"/>
                <w:color w:val="000000" w:themeColor="text1"/>
                <w:sz w:val="21"/>
                <w:szCs w:val="21"/>
                <w14:textFill>
                  <w14:solidFill>
                    <w14:schemeClr w14:val="tx1"/>
                  </w14:solidFill>
                </w14:textFill>
              </w:rPr>
              <w:t>〉</w:t>
            </w:r>
          </w:p>
        </w:tc>
        <w:tc>
          <w:tcPr>
            <w:tcW w:w="1455" w:type="dxa"/>
          </w:tcPr>
          <w:p>
            <w:pPr>
              <w:pStyle w:val="455"/>
              <w:spacing w:line="280" w:lineRule="exact"/>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6</w:t>
            </w:r>
          </w:p>
        </w:tc>
        <w:tc>
          <w:tcPr>
            <w:tcW w:w="1455" w:type="dxa"/>
            <w:vAlign w:val="center"/>
          </w:tcPr>
          <w:p>
            <w:pPr>
              <w:pStyle w:val="455"/>
              <w:spacing w:line="280" w:lineRule="exact"/>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5</w:t>
            </w:r>
          </w:p>
        </w:tc>
        <w:tc>
          <w:tcPr>
            <w:tcW w:w="1741" w:type="dxa"/>
            <w:vAlign w:val="center"/>
          </w:tcPr>
          <w:p>
            <w:pPr>
              <w:pStyle w:val="455"/>
              <w:spacing w:line="280" w:lineRule="exact"/>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4</w:t>
            </w:r>
          </w:p>
        </w:tc>
        <w:tc>
          <w:tcPr>
            <w:tcW w:w="1690" w:type="dxa"/>
            <w:vAlign w:val="center"/>
          </w:tcPr>
          <w:p>
            <w:pPr>
              <w:pStyle w:val="455"/>
              <w:spacing w:line="280" w:lineRule="exact"/>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3</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17" w:type="dxa"/>
            <w:left w:w="108" w:type="dxa"/>
            <w:bottom w:w="17" w:type="dxa"/>
            <w:right w:w="108" w:type="dxa"/>
          </w:tblCellMar>
        </w:tblPrEx>
        <w:trPr>
          <w:trHeight w:val="340" w:hRule="atLeast"/>
          <w:jc w:val="center"/>
        </w:trPr>
        <w:tc>
          <w:tcPr>
            <w:tcW w:w="2187" w:type="dxa"/>
            <w:vAlign w:val="center"/>
          </w:tcPr>
          <w:p>
            <w:pPr>
              <w:pStyle w:val="455"/>
              <w:spacing w:line="280" w:lineRule="exact"/>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化学需氧量≤</w:t>
            </w:r>
          </w:p>
        </w:tc>
        <w:tc>
          <w:tcPr>
            <w:tcW w:w="1455" w:type="dxa"/>
          </w:tcPr>
          <w:p>
            <w:pPr>
              <w:pStyle w:val="455"/>
              <w:spacing w:line="280" w:lineRule="exact"/>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2</w:t>
            </w:r>
          </w:p>
        </w:tc>
        <w:tc>
          <w:tcPr>
            <w:tcW w:w="1455" w:type="dxa"/>
            <w:vAlign w:val="center"/>
          </w:tcPr>
          <w:p>
            <w:pPr>
              <w:pStyle w:val="455"/>
              <w:spacing w:line="280" w:lineRule="exact"/>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3</w:t>
            </w:r>
          </w:p>
        </w:tc>
        <w:tc>
          <w:tcPr>
            <w:tcW w:w="1741" w:type="dxa"/>
            <w:vAlign w:val="center"/>
          </w:tcPr>
          <w:p>
            <w:pPr>
              <w:pStyle w:val="455"/>
              <w:spacing w:line="280" w:lineRule="exact"/>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4</w:t>
            </w:r>
          </w:p>
        </w:tc>
        <w:tc>
          <w:tcPr>
            <w:tcW w:w="1690" w:type="dxa"/>
            <w:vAlign w:val="center"/>
          </w:tcPr>
          <w:p>
            <w:pPr>
              <w:pStyle w:val="455"/>
              <w:spacing w:line="280" w:lineRule="exact"/>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5</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17" w:type="dxa"/>
            <w:left w:w="108" w:type="dxa"/>
            <w:bottom w:w="17" w:type="dxa"/>
            <w:right w:w="108" w:type="dxa"/>
          </w:tblCellMar>
        </w:tblPrEx>
        <w:trPr>
          <w:trHeight w:val="340" w:hRule="atLeast"/>
          <w:jc w:val="center"/>
        </w:trPr>
        <w:tc>
          <w:tcPr>
            <w:tcW w:w="2187" w:type="dxa"/>
            <w:vAlign w:val="center"/>
          </w:tcPr>
          <w:p>
            <w:pPr>
              <w:pStyle w:val="455"/>
              <w:spacing w:line="280" w:lineRule="exact"/>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无机氮≤</w:t>
            </w:r>
          </w:p>
        </w:tc>
        <w:tc>
          <w:tcPr>
            <w:tcW w:w="1455" w:type="dxa"/>
          </w:tcPr>
          <w:p>
            <w:pPr>
              <w:pStyle w:val="455"/>
              <w:spacing w:line="280" w:lineRule="exact"/>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0.20</w:t>
            </w:r>
          </w:p>
        </w:tc>
        <w:tc>
          <w:tcPr>
            <w:tcW w:w="1455" w:type="dxa"/>
            <w:vAlign w:val="center"/>
          </w:tcPr>
          <w:p>
            <w:pPr>
              <w:pStyle w:val="455"/>
              <w:spacing w:line="280" w:lineRule="exact"/>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0.30</w:t>
            </w:r>
          </w:p>
        </w:tc>
        <w:tc>
          <w:tcPr>
            <w:tcW w:w="1741" w:type="dxa"/>
            <w:vAlign w:val="center"/>
          </w:tcPr>
          <w:p>
            <w:pPr>
              <w:pStyle w:val="455"/>
              <w:spacing w:line="280" w:lineRule="exact"/>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0.40</w:t>
            </w:r>
          </w:p>
        </w:tc>
        <w:tc>
          <w:tcPr>
            <w:tcW w:w="1690" w:type="dxa"/>
            <w:vAlign w:val="center"/>
          </w:tcPr>
          <w:p>
            <w:pPr>
              <w:pStyle w:val="455"/>
              <w:spacing w:line="280" w:lineRule="exact"/>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0.50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17" w:type="dxa"/>
            <w:left w:w="108" w:type="dxa"/>
            <w:bottom w:w="17" w:type="dxa"/>
            <w:right w:w="108" w:type="dxa"/>
          </w:tblCellMar>
        </w:tblPrEx>
        <w:trPr>
          <w:trHeight w:val="340" w:hRule="atLeast"/>
          <w:jc w:val="center"/>
        </w:trPr>
        <w:tc>
          <w:tcPr>
            <w:tcW w:w="2187" w:type="dxa"/>
            <w:vAlign w:val="center"/>
          </w:tcPr>
          <w:p>
            <w:pPr>
              <w:pStyle w:val="455"/>
              <w:spacing w:line="280" w:lineRule="exact"/>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活性磷酸盐≤</w:t>
            </w:r>
          </w:p>
        </w:tc>
        <w:tc>
          <w:tcPr>
            <w:tcW w:w="1455" w:type="dxa"/>
          </w:tcPr>
          <w:p>
            <w:pPr>
              <w:pStyle w:val="455"/>
              <w:spacing w:line="280" w:lineRule="exact"/>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0.015</w:t>
            </w:r>
          </w:p>
        </w:tc>
        <w:tc>
          <w:tcPr>
            <w:tcW w:w="1455" w:type="dxa"/>
            <w:vAlign w:val="center"/>
          </w:tcPr>
          <w:p>
            <w:pPr>
              <w:pStyle w:val="455"/>
              <w:spacing w:line="280" w:lineRule="exact"/>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0.030</w:t>
            </w:r>
          </w:p>
        </w:tc>
        <w:tc>
          <w:tcPr>
            <w:tcW w:w="1741" w:type="dxa"/>
            <w:vAlign w:val="center"/>
          </w:tcPr>
          <w:p>
            <w:pPr>
              <w:pStyle w:val="455"/>
              <w:spacing w:line="280" w:lineRule="exact"/>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0.030</w:t>
            </w:r>
          </w:p>
        </w:tc>
        <w:tc>
          <w:tcPr>
            <w:tcW w:w="1690" w:type="dxa"/>
            <w:vAlign w:val="center"/>
          </w:tcPr>
          <w:p>
            <w:pPr>
              <w:pStyle w:val="455"/>
              <w:spacing w:line="280" w:lineRule="exact"/>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0.045</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17" w:type="dxa"/>
            <w:left w:w="108" w:type="dxa"/>
            <w:bottom w:w="17" w:type="dxa"/>
            <w:right w:w="108" w:type="dxa"/>
          </w:tblCellMar>
        </w:tblPrEx>
        <w:trPr>
          <w:trHeight w:val="340" w:hRule="atLeast"/>
          <w:jc w:val="center"/>
        </w:trPr>
        <w:tc>
          <w:tcPr>
            <w:tcW w:w="2187" w:type="dxa"/>
            <w:vAlign w:val="center"/>
          </w:tcPr>
          <w:p>
            <w:pPr>
              <w:pStyle w:val="455"/>
              <w:spacing w:line="280" w:lineRule="exact"/>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铅≤</w:t>
            </w:r>
          </w:p>
        </w:tc>
        <w:tc>
          <w:tcPr>
            <w:tcW w:w="1455" w:type="dxa"/>
          </w:tcPr>
          <w:p>
            <w:pPr>
              <w:pStyle w:val="455"/>
              <w:spacing w:line="280" w:lineRule="exact"/>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0.001</w:t>
            </w:r>
          </w:p>
        </w:tc>
        <w:tc>
          <w:tcPr>
            <w:tcW w:w="1455" w:type="dxa"/>
            <w:vAlign w:val="center"/>
          </w:tcPr>
          <w:p>
            <w:pPr>
              <w:pStyle w:val="455"/>
              <w:spacing w:line="280" w:lineRule="exact"/>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0.005</w:t>
            </w:r>
          </w:p>
        </w:tc>
        <w:tc>
          <w:tcPr>
            <w:tcW w:w="1741" w:type="dxa"/>
            <w:vAlign w:val="center"/>
          </w:tcPr>
          <w:p>
            <w:pPr>
              <w:pStyle w:val="455"/>
              <w:spacing w:line="280" w:lineRule="exact"/>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0.010</w:t>
            </w:r>
          </w:p>
        </w:tc>
        <w:tc>
          <w:tcPr>
            <w:tcW w:w="1690" w:type="dxa"/>
            <w:vAlign w:val="center"/>
          </w:tcPr>
          <w:p>
            <w:pPr>
              <w:pStyle w:val="455"/>
              <w:spacing w:line="280" w:lineRule="exact"/>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0.050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17" w:type="dxa"/>
            <w:left w:w="108" w:type="dxa"/>
            <w:bottom w:w="17" w:type="dxa"/>
            <w:right w:w="108" w:type="dxa"/>
          </w:tblCellMar>
        </w:tblPrEx>
        <w:trPr>
          <w:trHeight w:val="340" w:hRule="atLeast"/>
          <w:jc w:val="center"/>
        </w:trPr>
        <w:tc>
          <w:tcPr>
            <w:tcW w:w="2187" w:type="dxa"/>
            <w:vAlign w:val="center"/>
          </w:tcPr>
          <w:p>
            <w:pPr>
              <w:pStyle w:val="455"/>
              <w:spacing w:line="280" w:lineRule="exact"/>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铜≤</w:t>
            </w:r>
          </w:p>
        </w:tc>
        <w:tc>
          <w:tcPr>
            <w:tcW w:w="1455" w:type="dxa"/>
          </w:tcPr>
          <w:p>
            <w:pPr>
              <w:pStyle w:val="455"/>
              <w:spacing w:line="280" w:lineRule="exact"/>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0.005</w:t>
            </w:r>
          </w:p>
        </w:tc>
        <w:tc>
          <w:tcPr>
            <w:tcW w:w="1455" w:type="dxa"/>
            <w:vAlign w:val="center"/>
          </w:tcPr>
          <w:p>
            <w:pPr>
              <w:pStyle w:val="455"/>
              <w:spacing w:line="280" w:lineRule="exact"/>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0.010</w:t>
            </w:r>
          </w:p>
        </w:tc>
        <w:tc>
          <w:tcPr>
            <w:tcW w:w="1741" w:type="dxa"/>
            <w:vAlign w:val="center"/>
          </w:tcPr>
          <w:p>
            <w:pPr>
              <w:pStyle w:val="455"/>
              <w:spacing w:line="280" w:lineRule="exact"/>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0.050</w:t>
            </w:r>
          </w:p>
        </w:tc>
        <w:tc>
          <w:tcPr>
            <w:tcW w:w="1690" w:type="dxa"/>
            <w:vAlign w:val="center"/>
          </w:tcPr>
          <w:p>
            <w:pPr>
              <w:pStyle w:val="455"/>
              <w:spacing w:line="280" w:lineRule="exact"/>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0.050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17" w:type="dxa"/>
            <w:left w:w="108" w:type="dxa"/>
            <w:bottom w:w="17" w:type="dxa"/>
            <w:right w:w="108" w:type="dxa"/>
          </w:tblCellMar>
        </w:tblPrEx>
        <w:trPr>
          <w:trHeight w:val="340" w:hRule="atLeast"/>
          <w:jc w:val="center"/>
        </w:trPr>
        <w:tc>
          <w:tcPr>
            <w:tcW w:w="2187" w:type="dxa"/>
            <w:vAlign w:val="center"/>
          </w:tcPr>
          <w:p>
            <w:pPr>
              <w:pStyle w:val="455"/>
              <w:spacing w:line="280" w:lineRule="exact"/>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汞≤</w:t>
            </w:r>
          </w:p>
        </w:tc>
        <w:tc>
          <w:tcPr>
            <w:tcW w:w="1455" w:type="dxa"/>
          </w:tcPr>
          <w:p>
            <w:pPr>
              <w:pStyle w:val="455"/>
              <w:spacing w:line="280" w:lineRule="exact"/>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0.00005</w:t>
            </w:r>
          </w:p>
        </w:tc>
        <w:tc>
          <w:tcPr>
            <w:tcW w:w="1455" w:type="dxa"/>
            <w:vAlign w:val="center"/>
          </w:tcPr>
          <w:p>
            <w:pPr>
              <w:pStyle w:val="455"/>
              <w:spacing w:line="280" w:lineRule="exact"/>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0.0002</w:t>
            </w:r>
          </w:p>
        </w:tc>
        <w:tc>
          <w:tcPr>
            <w:tcW w:w="1741" w:type="dxa"/>
            <w:vAlign w:val="center"/>
          </w:tcPr>
          <w:p>
            <w:pPr>
              <w:pStyle w:val="455"/>
              <w:spacing w:line="280" w:lineRule="exact"/>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0.0002</w:t>
            </w:r>
          </w:p>
        </w:tc>
        <w:tc>
          <w:tcPr>
            <w:tcW w:w="1690" w:type="dxa"/>
            <w:vAlign w:val="center"/>
          </w:tcPr>
          <w:p>
            <w:pPr>
              <w:pStyle w:val="455"/>
              <w:spacing w:line="280" w:lineRule="exact"/>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0.0005</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17" w:type="dxa"/>
            <w:left w:w="108" w:type="dxa"/>
            <w:bottom w:w="17" w:type="dxa"/>
            <w:right w:w="108" w:type="dxa"/>
          </w:tblCellMar>
        </w:tblPrEx>
        <w:trPr>
          <w:trHeight w:val="340" w:hRule="atLeast"/>
          <w:jc w:val="center"/>
        </w:trPr>
        <w:tc>
          <w:tcPr>
            <w:tcW w:w="2187" w:type="dxa"/>
            <w:vAlign w:val="center"/>
          </w:tcPr>
          <w:p>
            <w:pPr>
              <w:pStyle w:val="455"/>
              <w:spacing w:line="280" w:lineRule="exact"/>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砷≤</w:t>
            </w:r>
          </w:p>
        </w:tc>
        <w:tc>
          <w:tcPr>
            <w:tcW w:w="1455" w:type="dxa"/>
          </w:tcPr>
          <w:p>
            <w:pPr>
              <w:pStyle w:val="455"/>
              <w:spacing w:line="280" w:lineRule="exact"/>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0.02</w:t>
            </w:r>
          </w:p>
        </w:tc>
        <w:tc>
          <w:tcPr>
            <w:tcW w:w="1455" w:type="dxa"/>
            <w:vAlign w:val="center"/>
          </w:tcPr>
          <w:p>
            <w:pPr>
              <w:pStyle w:val="455"/>
              <w:spacing w:line="280" w:lineRule="exact"/>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0.030</w:t>
            </w:r>
          </w:p>
        </w:tc>
        <w:tc>
          <w:tcPr>
            <w:tcW w:w="1741" w:type="dxa"/>
            <w:vAlign w:val="center"/>
          </w:tcPr>
          <w:p>
            <w:pPr>
              <w:pStyle w:val="455"/>
              <w:spacing w:line="280" w:lineRule="exact"/>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0.050</w:t>
            </w:r>
          </w:p>
        </w:tc>
        <w:tc>
          <w:tcPr>
            <w:tcW w:w="1690" w:type="dxa"/>
            <w:vAlign w:val="center"/>
          </w:tcPr>
          <w:p>
            <w:pPr>
              <w:pStyle w:val="455"/>
              <w:spacing w:line="280" w:lineRule="exact"/>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0.050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17" w:type="dxa"/>
            <w:left w:w="108" w:type="dxa"/>
            <w:bottom w:w="17" w:type="dxa"/>
            <w:right w:w="108" w:type="dxa"/>
          </w:tblCellMar>
        </w:tblPrEx>
        <w:trPr>
          <w:trHeight w:val="340" w:hRule="atLeast"/>
          <w:jc w:val="center"/>
        </w:trPr>
        <w:tc>
          <w:tcPr>
            <w:tcW w:w="2187" w:type="dxa"/>
            <w:vAlign w:val="center"/>
          </w:tcPr>
          <w:p>
            <w:pPr>
              <w:pStyle w:val="455"/>
              <w:spacing w:line="280" w:lineRule="exact"/>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锌≤</w:t>
            </w:r>
          </w:p>
        </w:tc>
        <w:tc>
          <w:tcPr>
            <w:tcW w:w="1455" w:type="dxa"/>
          </w:tcPr>
          <w:p>
            <w:pPr>
              <w:pStyle w:val="455"/>
              <w:spacing w:line="280" w:lineRule="exact"/>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0.02</w:t>
            </w:r>
          </w:p>
        </w:tc>
        <w:tc>
          <w:tcPr>
            <w:tcW w:w="1455" w:type="dxa"/>
            <w:vAlign w:val="center"/>
          </w:tcPr>
          <w:p>
            <w:pPr>
              <w:pStyle w:val="455"/>
              <w:spacing w:line="280" w:lineRule="exact"/>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0.050</w:t>
            </w:r>
          </w:p>
        </w:tc>
        <w:tc>
          <w:tcPr>
            <w:tcW w:w="1741" w:type="dxa"/>
            <w:vAlign w:val="center"/>
          </w:tcPr>
          <w:p>
            <w:pPr>
              <w:pStyle w:val="455"/>
              <w:spacing w:line="280" w:lineRule="exact"/>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0.10</w:t>
            </w:r>
          </w:p>
        </w:tc>
        <w:tc>
          <w:tcPr>
            <w:tcW w:w="1690" w:type="dxa"/>
            <w:vAlign w:val="center"/>
          </w:tcPr>
          <w:p>
            <w:pPr>
              <w:pStyle w:val="455"/>
              <w:spacing w:line="280" w:lineRule="exact"/>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0.50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17" w:type="dxa"/>
            <w:left w:w="108" w:type="dxa"/>
            <w:bottom w:w="17" w:type="dxa"/>
            <w:right w:w="108" w:type="dxa"/>
          </w:tblCellMar>
        </w:tblPrEx>
        <w:trPr>
          <w:trHeight w:val="340" w:hRule="atLeast"/>
          <w:jc w:val="center"/>
        </w:trPr>
        <w:tc>
          <w:tcPr>
            <w:tcW w:w="2187" w:type="dxa"/>
            <w:vAlign w:val="center"/>
          </w:tcPr>
          <w:p>
            <w:pPr>
              <w:pStyle w:val="455"/>
              <w:spacing w:line="280" w:lineRule="exact"/>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镍≤</w:t>
            </w:r>
          </w:p>
        </w:tc>
        <w:tc>
          <w:tcPr>
            <w:tcW w:w="1455" w:type="dxa"/>
          </w:tcPr>
          <w:p>
            <w:pPr>
              <w:pStyle w:val="455"/>
              <w:spacing w:line="280" w:lineRule="exact"/>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0.005</w:t>
            </w:r>
          </w:p>
        </w:tc>
        <w:tc>
          <w:tcPr>
            <w:tcW w:w="1455" w:type="dxa"/>
            <w:vAlign w:val="center"/>
          </w:tcPr>
          <w:p>
            <w:pPr>
              <w:pStyle w:val="455"/>
              <w:spacing w:line="280" w:lineRule="exact"/>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0.010</w:t>
            </w:r>
          </w:p>
        </w:tc>
        <w:tc>
          <w:tcPr>
            <w:tcW w:w="1741" w:type="dxa"/>
            <w:vAlign w:val="center"/>
          </w:tcPr>
          <w:p>
            <w:pPr>
              <w:pStyle w:val="455"/>
              <w:spacing w:line="280" w:lineRule="exact"/>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0.020</w:t>
            </w:r>
          </w:p>
        </w:tc>
        <w:tc>
          <w:tcPr>
            <w:tcW w:w="1690" w:type="dxa"/>
            <w:vAlign w:val="center"/>
          </w:tcPr>
          <w:p>
            <w:pPr>
              <w:pStyle w:val="455"/>
              <w:spacing w:line="280" w:lineRule="exact"/>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0.050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17" w:type="dxa"/>
            <w:left w:w="108" w:type="dxa"/>
            <w:bottom w:w="17" w:type="dxa"/>
            <w:right w:w="108" w:type="dxa"/>
          </w:tblCellMar>
        </w:tblPrEx>
        <w:trPr>
          <w:trHeight w:val="340" w:hRule="atLeast"/>
          <w:jc w:val="center"/>
        </w:trPr>
        <w:tc>
          <w:tcPr>
            <w:tcW w:w="2187" w:type="dxa"/>
            <w:vAlign w:val="center"/>
          </w:tcPr>
          <w:p>
            <w:pPr>
              <w:pStyle w:val="455"/>
              <w:spacing w:line="280" w:lineRule="exact"/>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石油类≤</w:t>
            </w:r>
          </w:p>
        </w:tc>
        <w:tc>
          <w:tcPr>
            <w:tcW w:w="1455" w:type="dxa"/>
          </w:tcPr>
          <w:p>
            <w:pPr>
              <w:pStyle w:val="455"/>
              <w:spacing w:line="280" w:lineRule="exact"/>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0.05</w:t>
            </w:r>
          </w:p>
        </w:tc>
        <w:tc>
          <w:tcPr>
            <w:tcW w:w="1455" w:type="dxa"/>
            <w:vAlign w:val="center"/>
          </w:tcPr>
          <w:p>
            <w:pPr>
              <w:pStyle w:val="455"/>
              <w:spacing w:line="280" w:lineRule="exact"/>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0.05</w:t>
            </w:r>
          </w:p>
        </w:tc>
        <w:tc>
          <w:tcPr>
            <w:tcW w:w="1741" w:type="dxa"/>
            <w:vAlign w:val="center"/>
          </w:tcPr>
          <w:p>
            <w:pPr>
              <w:pStyle w:val="455"/>
              <w:spacing w:line="280" w:lineRule="exact"/>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0.30</w:t>
            </w:r>
          </w:p>
        </w:tc>
        <w:tc>
          <w:tcPr>
            <w:tcW w:w="1690" w:type="dxa"/>
            <w:vAlign w:val="center"/>
          </w:tcPr>
          <w:p>
            <w:pPr>
              <w:pStyle w:val="455"/>
              <w:spacing w:line="280" w:lineRule="exact"/>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0.50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17" w:type="dxa"/>
            <w:left w:w="108" w:type="dxa"/>
            <w:bottom w:w="17" w:type="dxa"/>
            <w:right w:w="108" w:type="dxa"/>
          </w:tblCellMar>
        </w:tblPrEx>
        <w:trPr>
          <w:trHeight w:val="340" w:hRule="atLeast"/>
          <w:jc w:val="center"/>
        </w:trPr>
        <w:tc>
          <w:tcPr>
            <w:tcW w:w="2187" w:type="dxa"/>
            <w:vAlign w:val="center"/>
          </w:tcPr>
          <w:p>
            <w:pPr>
              <w:pStyle w:val="455"/>
              <w:spacing w:line="280" w:lineRule="exact"/>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镉≤</w:t>
            </w:r>
          </w:p>
        </w:tc>
        <w:tc>
          <w:tcPr>
            <w:tcW w:w="1455" w:type="dxa"/>
          </w:tcPr>
          <w:p>
            <w:pPr>
              <w:pStyle w:val="455"/>
              <w:spacing w:line="280" w:lineRule="exact"/>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0.001</w:t>
            </w:r>
          </w:p>
        </w:tc>
        <w:tc>
          <w:tcPr>
            <w:tcW w:w="1455" w:type="dxa"/>
            <w:vAlign w:val="center"/>
          </w:tcPr>
          <w:p>
            <w:pPr>
              <w:pStyle w:val="455"/>
              <w:spacing w:line="280" w:lineRule="exact"/>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0.005</w:t>
            </w:r>
          </w:p>
        </w:tc>
        <w:tc>
          <w:tcPr>
            <w:tcW w:w="1741" w:type="dxa"/>
            <w:vAlign w:val="center"/>
          </w:tcPr>
          <w:p>
            <w:pPr>
              <w:pStyle w:val="455"/>
              <w:spacing w:line="280" w:lineRule="exact"/>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0.01</w:t>
            </w:r>
          </w:p>
        </w:tc>
        <w:tc>
          <w:tcPr>
            <w:tcW w:w="1690" w:type="dxa"/>
            <w:vAlign w:val="center"/>
          </w:tcPr>
          <w:p>
            <w:pPr>
              <w:pStyle w:val="455"/>
              <w:spacing w:line="280" w:lineRule="exact"/>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0.01</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17" w:type="dxa"/>
            <w:left w:w="108" w:type="dxa"/>
            <w:bottom w:w="17" w:type="dxa"/>
            <w:right w:w="108" w:type="dxa"/>
          </w:tblCellMar>
        </w:tblPrEx>
        <w:trPr>
          <w:trHeight w:val="340" w:hRule="atLeast"/>
          <w:jc w:val="center"/>
        </w:trPr>
        <w:tc>
          <w:tcPr>
            <w:tcW w:w="2187" w:type="dxa"/>
            <w:vAlign w:val="center"/>
          </w:tcPr>
          <w:p>
            <w:pPr>
              <w:pStyle w:val="455"/>
              <w:spacing w:line="280" w:lineRule="exact"/>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总铬≤</w:t>
            </w:r>
          </w:p>
        </w:tc>
        <w:tc>
          <w:tcPr>
            <w:tcW w:w="1455" w:type="dxa"/>
          </w:tcPr>
          <w:p>
            <w:pPr>
              <w:pStyle w:val="455"/>
              <w:spacing w:line="280" w:lineRule="exact"/>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0.05</w:t>
            </w:r>
          </w:p>
        </w:tc>
        <w:tc>
          <w:tcPr>
            <w:tcW w:w="1455" w:type="dxa"/>
            <w:vAlign w:val="center"/>
          </w:tcPr>
          <w:p>
            <w:pPr>
              <w:pStyle w:val="455"/>
              <w:spacing w:line="280" w:lineRule="exact"/>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0.10</w:t>
            </w:r>
          </w:p>
        </w:tc>
        <w:tc>
          <w:tcPr>
            <w:tcW w:w="1741" w:type="dxa"/>
            <w:vAlign w:val="center"/>
          </w:tcPr>
          <w:p>
            <w:pPr>
              <w:pStyle w:val="455"/>
              <w:spacing w:line="280" w:lineRule="exact"/>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0.20</w:t>
            </w:r>
          </w:p>
        </w:tc>
        <w:tc>
          <w:tcPr>
            <w:tcW w:w="1690" w:type="dxa"/>
            <w:vAlign w:val="center"/>
          </w:tcPr>
          <w:p>
            <w:pPr>
              <w:pStyle w:val="455"/>
              <w:spacing w:line="280" w:lineRule="exact"/>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0.50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17" w:type="dxa"/>
            <w:left w:w="108" w:type="dxa"/>
            <w:bottom w:w="17" w:type="dxa"/>
            <w:right w:w="108" w:type="dxa"/>
          </w:tblCellMar>
        </w:tblPrEx>
        <w:trPr>
          <w:trHeight w:val="340" w:hRule="atLeast"/>
          <w:jc w:val="center"/>
        </w:trPr>
        <w:tc>
          <w:tcPr>
            <w:tcW w:w="2187" w:type="dxa"/>
            <w:vAlign w:val="center"/>
          </w:tcPr>
          <w:p>
            <w:pPr>
              <w:pStyle w:val="455"/>
              <w:spacing w:line="280" w:lineRule="exact"/>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硫化物≤（以S计）</w:t>
            </w:r>
          </w:p>
        </w:tc>
        <w:tc>
          <w:tcPr>
            <w:tcW w:w="1455" w:type="dxa"/>
          </w:tcPr>
          <w:p>
            <w:pPr>
              <w:pStyle w:val="455"/>
              <w:spacing w:line="280" w:lineRule="exact"/>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0.02</w:t>
            </w:r>
          </w:p>
        </w:tc>
        <w:tc>
          <w:tcPr>
            <w:tcW w:w="1455" w:type="dxa"/>
            <w:vAlign w:val="center"/>
          </w:tcPr>
          <w:p>
            <w:pPr>
              <w:pStyle w:val="455"/>
              <w:spacing w:line="280" w:lineRule="exact"/>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0.05</w:t>
            </w:r>
          </w:p>
        </w:tc>
        <w:tc>
          <w:tcPr>
            <w:tcW w:w="1741" w:type="dxa"/>
            <w:vAlign w:val="center"/>
          </w:tcPr>
          <w:p>
            <w:pPr>
              <w:pStyle w:val="455"/>
              <w:spacing w:line="280" w:lineRule="exact"/>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0.10</w:t>
            </w:r>
          </w:p>
        </w:tc>
        <w:tc>
          <w:tcPr>
            <w:tcW w:w="1690" w:type="dxa"/>
            <w:vAlign w:val="center"/>
          </w:tcPr>
          <w:p>
            <w:pPr>
              <w:pStyle w:val="455"/>
              <w:spacing w:line="280" w:lineRule="exact"/>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0.25</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17" w:type="dxa"/>
            <w:left w:w="108" w:type="dxa"/>
            <w:bottom w:w="17" w:type="dxa"/>
            <w:right w:w="108" w:type="dxa"/>
          </w:tblCellMar>
        </w:tblPrEx>
        <w:trPr>
          <w:trHeight w:val="340" w:hRule="atLeast"/>
          <w:jc w:val="center"/>
        </w:trPr>
        <w:tc>
          <w:tcPr>
            <w:tcW w:w="2187" w:type="dxa"/>
            <w:vAlign w:val="center"/>
          </w:tcPr>
          <w:p>
            <w:pPr>
              <w:pStyle w:val="455"/>
              <w:spacing w:line="280" w:lineRule="exact"/>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挥发性酚≤</w:t>
            </w:r>
          </w:p>
        </w:tc>
        <w:tc>
          <w:tcPr>
            <w:tcW w:w="1455" w:type="dxa"/>
          </w:tcPr>
          <w:p>
            <w:pPr>
              <w:pStyle w:val="455"/>
              <w:spacing w:line="280" w:lineRule="exact"/>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0.005</w:t>
            </w:r>
          </w:p>
        </w:tc>
        <w:tc>
          <w:tcPr>
            <w:tcW w:w="1455" w:type="dxa"/>
            <w:vAlign w:val="center"/>
          </w:tcPr>
          <w:p>
            <w:pPr>
              <w:pStyle w:val="455"/>
              <w:spacing w:line="280" w:lineRule="exact"/>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0.005</w:t>
            </w:r>
          </w:p>
        </w:tc>
        <w:tc>
          <w:tcPr>
            <w:tcW w:w="1741" w:type="dxa"/>
            <w:vAlign w:val="center"/>
          </w:tcPr>
          <w:p>
            <w:pPr>
              <w:pStyle w:val="455"/>
              <w:spacing w:line="280" w:lineRule="exact"/>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0.010</w:t>
            </w:r>
          </w:p>
        </w:tc>
        <w:tc>
          <w:tcPr>
            <w:tcW w:w="1690" w:type="dxa"/>
            <w:vAlign w:val="center"/>
          </w:tcPr>
          <w:p>
            <w:pPr>
              <w:pStyle w:val="455"/>
              <w:spacing w:line="280" w:lineRule="exact"/>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0.050</w:t>
            </w:r>
          </w:p>
        </w:tc>
      </w:tr>
    </w:tbl>
    <w:p>
      <w:pPr>
        <w:snapToGrid w:val="0"/>
        <w:ind w:firstLine="360"/>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注：第一类 适用于海洋渔业海域，海上自然保护区和珍稀濒危海洋生物保护区。第二类 适用于水产养殖区，海水浴场，人体直接接触海水的海上运动或娱乐区，以及与人类食用直接有关的工业用水区。第三类 适用于一般工业用水区，滨海风景旅游区。第四类 适用于海洋港口海域，海洋开发作业区。</w:t>
      </w:r>
    </w:p>
    <w:p>
      <w:pPr>
        <w:pStyle w:val="384"/>
        <w:ind w:left="0" w:firstLine="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海洋沉积物质量标准（GB18668-2002）</w:t>
      </w:r>
    </w:p>
    <w:tbl>
      <w:tblPr>
        <w:tblStyle w:val="88"/>
        <w:tblW w:w="8528" w:type="dxa"/>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697"/>
        <w:gridCol w:w="721"/>
        <w:gridCol w:w="1376"/>
        <w:gridCol w:w="68"/>
        <w:gridCol w:w="1447"/>
        <w:gridCol w:w="3219"/>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284" w:hRule="atLeast"/>
          <w:tblHeader/>
        </w:trPr>
        <w:tc>
          <w:tcPr>
            <w:tcW w:w="2418" w:type="dxa"/>
            <w:gridSpan w:val="2"/>
            <w:vAlign w:val="center"/>
          </w:tcPr>
          <w:p>
            <w:pPr>
              <w:pStyle w:val="2001"/>
            </w:pPr>
            <w:r>
              <w:t>项目</w:t>
            </w:r>
          </w:p>
        </w:tc>
        <w:tc>
          <w:tcPr>
            <w:tcW w:w="1376" w:type="dxa"/>
            <w:vAlign w:val="center"/>
          </w:tcPr>
          <w:p>
            <w:pPr>
              <w:pStyle w:val="2001"/>
            </w:pPr>
            <w:r>
              <w:t>第一类</w:t>
            </w:r>
          </w:p>
        </w:tc>
        <w:tc>
          <w:tcPr>
            <w:tcW w:w="1515" w:type="dxa"/>
            <w:gridSpan w:val="2"/>
            <w:vAlign w:val="center"/>
          </w:tcPr>
          <w:p>
            <w:pPr>
              <w:pStyle w:val="2001"/>
            </w:pPr>
            <w:r>
              <w:t>第二类</w:t>
            </w:r>
          </w:p>
        </w:tc>
        <w:tc>
          <w:tcPr>
            <w:tcW w:w="3219" w:type="dxa"/>
            <w:vAlign w:val="center"/>
          </w:tcPr>
          <w:p>
            <w:pPr>
              <w:pStyle w:val="2001"/>
            </w:pPr>
            <w:r>
              <w:t>第三类</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284" w:hRule="atLeast"/>
        </w:trPr>
        <w:tc>
          <w:tcPr>
            <w:tcW w:w="2418" w:type="dxa"/>
            <w:gridSpan w:val="2"/>
            <w:vAlign w:val="center"/>
          </w:tcPr>
          <w:p>
            <w:pPr>
              <w:pStyle w:val="2001"/>
            </w:pPr>
            <w:r>
              <w:t>废弃物及</w:t>
            </w:r>
            <w:r>
              <w:rPr>
                <w:rFonts w:hint="eastAsia"/>
              </w:rPr>
              <w:t>其他</w:t>
            </w:r>
          </w:p>
        </w:tc>
        <w:tc>
          <w:tcPr>
            <w:tcW w:w="2891" w:type="dxa"/>
            <w:gridSpan w:val="3"/>
            <w:vAlign w:val="center"/>
          </w:tcPr>
          <w:p>
            <w:pPr>
              <w:pStyle w:val="2001"/>
            </w:pPr>
            <w:r>
              <w:t>海底无工业、生活废弃物，无大型植物碎屑和动物尸体等</w:t>
            </w:r>
          </w:p>
        </w:tc>
        <w:tc>
          <w:tcPr>
            <w:tcW w:w="3219" w:type="dxa"/>
            <w:vAlign w:val="center"/>
          </w:tcPr>
          <w:p>
            <w:pPr>
              <w:pStyle w:val="2001"/>
            </w:pPr>
            <w:r>
              <w:t>海底无明显工业、生活废弃物，无明显大型植物碎屑和动物尸体等</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284" w:hRule="atLeast"/>
        </w:trPr>
        <w:tc>
          <w:tcPr>
            <w:tcW w:w="1697" w:type="dxa"/>
            <w:vAlign w:val="center"/>
          </w:tcPr>
          <w:p>
            <w:pPr>
              <w:pStyle w:val="2001"/>
            </w:pPr>
            <w:r>
              <w:t>汞</w:t>
            </w:r>
            <w:r>
              <w:rPr>
                <w:rFonts w:hint="eastAsia"/>
              </w:rPr>
              <w:t>（</w:t>
            </w:r>
            <w:r>
              <w:t>×10</w:t>
            </w:r>
            <w:r>
              <w:rPr>
                <w:vertAlign w:val="superscript"/>
              </w:rPr>
              <w:t>-6</w:t>
            </w:r>
            <w:r>
              <w:rPr>
                <w:rFonts w:hint="eastAsia"/>
              </w:rPr>
              <w:t>）</w:t>
            </w:r>
          </w:p>
        </w:tc>
        <w:tc>
          <w:tcPr>
            <w:tcW w:w="721" w:type="dxa"/>
            <w:vAlign w:val="center"/>
          </w:tcPr>
          <w:p>
            <w:pPr>
              <w:pStyle w:val="2001"/>
            </w:pPr>
            <w:r>
              <w:t>≤</w:t>
            </w:r>
          </w:p>
        </w:tc>
        <w:tc>
          <w:tcPr>
            <w:tcW w:w="1444" w:type="dxa"/>
            <w:gridSpan w:val="2"/>
            <w:vAlign w:val="center"/>
          </w:tcPr>
          <w:p>
            <w:pPr>
              <w:pStyle w:val="2001"/>
            </w:pPr>
            <w:r>
              <w:t>0.20</w:t>
            </w:r>
          </w:p>
        </w:tc>
        <w:tc>
          <w:tcPr>
            <w:tcW w:w="1447" w:type="dxa"/>
            <w:vAlign w:val="center"/>
          </w:tcPr>
          <w:p>
            <w:pPr>
              <w:pStyle w:val="2001"/>
            </w:pPr>
            <w:r>
              <w:t>0.50</w:t>
            </w:r>
          </w:p>
        </w:tc>
        <w:tc>
          <w:tcPr>
            <w:tcW w:w="3219" w:type="dxa"/>
            <w:vAlign w:val="center"/>
          </w:tcPr>
          <w:p>
            <w:pPr>
              <w:pStyle w:val="2001"/>
            </w:pPr>
            <w:r>
              <w:t>1.00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284" w:hRule="atLeast"/>
        </w:trPr>
        <w:tc>
          <w:tcPr>
            <w:tcW w:w="1697" w:type="dxa"/>
            <w:vAlign w:val="center"/>
          </w:tcPr>
          <w:p>
            <w:pPr>
              <w:pStyle w:val="2001"/>
            </w:pPr>
            <w:r>
              <w:t>镉</w:t>
            </w:r>
            <w:r>
              <w:rPr>
                <w:rFonts w:hint="eastAsia"/>
              </w:rPr>
              <w:t>（</w:t>
            </w:r>
            <w:r>
              <w:t>×10</w:t>
            </w:r>
            <w:r>
              <w:rPr>
                <w:vertAlign w:val="superscript"/>
              </w:rPr>
              <w:t>-6</w:t>
            </w:r>
            <w:r>
              <w:rPr>
                <w:rFonts w:hint="eastAsia"/>
              </w:rPr>
              <w:t>）</w:t>
            </w:r>
          </w:p>
        </w:tc>
        <w:tc>
          <w:tcPr>
            <w:tcW w:w="721" w:type="dxa"/>
            <w:vAlign w:val="center"/>
          </w:tcPr>
          <w:p>
            <w:pPr>
              <w:pStyle w:val="2001"/>
            </w:pPr>
            <w:r>
              <w:t>≤</w:t>
            </w:r>
          </w:p>
        </w:tc>
        <w:tc>
          <w:tcPr>
            <w:tcW w:w="1444" w:type="dxa"/>
            <w:gridSpan w:val="2"/>
            <w:vAlign w:val="center"/>
          </w:tcPr>
          <w:p>
            <w:pPr>
              <w:pStyle w:val="2001"/>
            </w:pPr>
            <w:r>
              <w:t>0.50</w:t>
            </w:r>
          </w:p>
        </w:tc>
        <w:tc>
          <w:tcPr>
            <w:tcW w:w="1447" w:type="dxa"/>
            <w:vAlign w:val="center"/>
          </w:tcPr>
          <w:p>
            <w:pPr>
              <w:pStyle w:val="2001"/>
            </w:pPr>
            <w:r>
              <w:t>1.50</w:t>
            </w:r>
          </w:p>
        </w:tc>
        <w:tc>
          <w:tcPr>
            <w:tcW w:w="3219" w:type="dxa"/>
            <w:vAlign w:val="center"/>
          </w:tcPr>
          <w:p>
            <w:pPr>
              <w:pStyle w:val="2001"/>
            </w:pPr>
            <w:r>
              <w:t>5.00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284" w:hRule="atLeast"/>
        </w:trPr>
        <w:tc>
          <w:tcPr>
            <w:tcW w:w="1697" w:type="dxa"/>
            <w:vAlign w:val="center"/>
          </w:tcPr>
          <w:p>
            <w:pPr>
              <w:pStyle w:val="2001"/>
            </w:pPr>
            <w:r>
              <w:t>铅</w:t>
            </w:r>
            <w:r>
              <w:rPr>
                <w:rFonts w:hint="eastAsia"/>
              </w:rPr>
              <w:t>（</w:t>
            </w:r>
            <w:r>
              <w:t>×10</w:t>
            </w:r>
            <w:r>
              <w:rPr>
                <w:vertAlign w:val="superscript"/>
              </w:rPr>
              <w:t>-6</w:t>
            </w:r>
            <w:r>
              <w:rPr>
                <w:rFonts w:hint="eastAsia"/>
              </w:rPr>
              <w:t>）</w:t>
            </w:r>
          </w:p>
        </w:tc>
        <w:tc>
          <w:tcPr>
            <w:tcW w:w="721" w:type="dxa"/>
            <w:vAlign w:val="center"/>
          </w:tcPr>
          <w:p>
            <w:pPr>
              <w:pStyle w:val="2001"/>
            </w:pPr>
            <w:r>
              <w:t>≤</w:t>
            </w:r>
          </w:p>
        </w:tc>
        <w:tc>
          <w:tcPr>
            <w:tcW w:w="1444" w:type="dxa"/>
            <w:gridSpan w:val="2"/>
            <w:vAlign w:val="center"/>
          </w:tcPr>
          <w:p>
            <w:pPr>
              <w:pStyle w:val="2001"/>
            </w:pPr>
            <w:r>
              <w:t>60.0</w:t>
            </w:r>
          </w:p>
        </w:tc>
        <w:tc>
          <w:tcPr>
            <w:tcW w:w="1447" w:type="dxa"/>
            <w:vAlign w:val="center"/>
          </w:tcPr>
          <w:p>
            <w:pPr>
              <w:pStyle w:val="2001"/>
            </w:pPr>
            <w:r>
              <w:t>130.0</w:t>
            </w:r>
          </w:p>
        </w:tc>
        <w:tc>
          <w:tcPr>
            <w:tcW w:w="3219" w:type="dxa"/>
            <w:vAlign w:val="center"/>
          </w:tcPr>
          <w:p>
            <w:pPr>
              <w:pStyle w:val="2001"/>
            </w:pPr>
            <w:r>
              <w:t>250.0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284" w:hRule="atLeast"/>
        </w:trPr>
        <w:tc>
          <w:tcPr>
            <w:tcW w:w="1697" w:type="dxa"/>
            <w:vAlign w:val="center"/>
          </w:tcPr>
          <w:p>
            <w:pPr>
              <w:pStyle w:val="2001"/>
            </w:pPr>
            <w:r>
              <w:t>铬</w:t>
            </w:r>
            <w:r>
              <w:rPr>
                <w:rFonts w:hint="eastAsia"/>
              </w:rPr>
              <w:t>（</w:t>
            </w:r>
            <w:r>
              <w:t>×10</w:t>
            </w:r>
            <w:r>
              <w:rPr>
                <w:vertAlign w:val="superscript"/>
              </w:rPr>
              <w:t>-6</w:t>
            </w:r>
            <w:r>
              <w:rPr>
                <w:rFonts w:hint="eastAsia"/>
              </w:rPr>
              <w:t>）</w:t>
            </w:r>
          </w:p>
        </w:tc>
        <w:tc>
          <w:tcPr>
            <w:tcW w:w="721" w:type="dxa"/>
            <w:vAlign w:val="center"/>
          </w:tcPr>
          <w:p>
            <w:pPr>
              <w:pStyle w:val="2001"/>
            </w:pPr>
            <w:r>
              <w:t>≤</w:t>
            </w:r>
          </w:p>
        </w:tc>
        <w:tc>
          <w:tcPr>
            <w:tcW w:w="1444" w:type="dxa"/>
            <w:gridSpan w:val="2"/>
            <w:vAlign w:val="center"/>
          </w:tcPr>
          <w:p>
            <w:pPr>
              <w:pStyle w:val="2001"/>
            </w:pPr>
            <w:r>
              <w:t>80.0</w:t>
            </w:r>
          </w:p>
        </w:tc>
        <w:tc>
          <w:tcPr>
            <w:tcW w:w="1447" w:type="dxa"/>
            <w:vAlign w:val="center"/>
          </w:tcPr>
          <w:p>
            <w:pPr>
              <w:pStyle w:val="2001"/>
            </w:pPr>
            <w:r>
              <w:t>150.0</w:t>
            </w:r>
          </w:p>
        </w:tc>
        <w:tc>
          <w:tcPr>
            <w:tcW w:w="3219" w:type="dxa"/>
            <w:vAlign w:val="center"/>
          </w:tcPr>
          <w:p>
            <w:pPr>
              <w:pStyle w:val="2001"/>
            </w:pPr>
            <w:r>
              <w:t>270.0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284" w:hRule="atLeast"/>
        </w:trPr>
        <w:tc>
          <w:tcPr>
            <w:tcW w:w="1697" w:type="dxa"/>
            <w:vAlign w:val="center"/>
          </w:tcPr>
          <w:p>
            <w:pPr>
              <w:pStyle w:val="2001"/>
            </w:pPr>
            <w:r>
              <w:t>砷</w:t>
            </w:r>
            <w:r>
              <w:rPr>
                <w:rFonts w:hint="eastAsia"/>
              </w:rPr>
              <w:t>（</w:t>
            </w:r>
            <w:r>
              <w:t>×10</w:t>
            </w:r>
            <w:r>
              <w:rPr>
                <w:vertAlign w:val="superscript"/>
              </w:rPr>
              <w:t>-6</w:t>
            </w:r>
            <w:r>
              <w:rPr>
                <w:rFonts w:hint="eastAsia"/>
              </w:rPr>
              <w:t>）</w:t>
            </w:r>
          </w:p>
        </w:tc>
        <w:tc>
          <w:tcPr>
            <w:tcW w:w="721" w:type="dxa"/>
            <w:vAlign w:val="center"/>
          </w:tcPr>
          <w:p>
            <w:pPr>
              <w:pStyle w:val="2001"/>
            </w:pPr>
            <w:r>
              <w:t>≤</w:t>
            </w:r>
          </w:p>
        </w:tc>
        <w:tc>
          <w:tcPr>
            <w:tcW w:w="1444" w:type="dxa"/>
            <w:gridSpan w:val="2"/>
            <w:vAlign w:val="center"/>
          </w:tcPr>
          <w:p>
            <w:pPr>
              <w:pStyle w:val="2001"/>
            </w:pPr>
            <w:r>
              <w:t>20.0</w:t>
            </w:r>
          </w:p>
        </w:tc>
        <w:tc>
          <w:tcPr>
            <w:tcW w:w="1447" w:type="dxa"/>
            <w:vAlign w:val="center"/>
          </w:tcPr>
          <w:p>
            <w:pPr>
              <w:pStyle w:val="2001"/>
            </w:pPr>
            <w:r>
              <w:t>65.0</w:t>
            </w:r>
          </w:p>
        </w:tc>
        <w:tc>
          <w:tcPr>
            <w:tcW w:w="3219" w:type="dxa"/>
            <w:vAlign w:val="center"/>
          </w:tcPr>
          <w:p>
            <w:pPr>
              <w:pStyle w:val="2001"/>
            </w:pPr>
            <w:r>
              <w:t>93.0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284" w:hRule="atLeast"/>
        </w:trPr>
        <w:tc>
          <w:tcPr>
            <w:tcW w:w="1697" w:type="dxa"/>
            <w:vAlign w:val="center"/>
          </w:tcPr>
          <w:p>
            <w:pPr>
              <w:pStyle w:val="2001"/>
            </w:pPr>
            <w:r>
              <w:t>铜</w:t>
            </w:r>
            <w:r>
              <w:rPr>
                <w:rFonts w:hint="eastAsia"/>
              </w:rPr>
              <w:t>（</w:t>
            </w:r>
            <w:r>
              <w:t>×10</w:t>
            </w:r>
            <w:r>
              <w:rPr>
                <w:vertAlign w:val="superscript"/>
              </w:rPr>
              <w:t>-6</w:t>
            </w:r>
            <w:r>
              <w:rPr>
                <w:rFonts w:hint="eastAsia"/>
              </w:rPr>
              <w:t>）</w:t>
            </w:r>
          </w:p>
        </w:tc>
        <w:tc>
          <w:tcPr>
            <w:tcW w:w="721" w:type="dxa"/>
            <w:vAlign w:val="center"/>
          </w:tcPr>
          <w:p>
            <w:pPr>
              <w:pStyle w:val="2001"/>
            </w:pPr>
            <w:r>
              <w:t>≤</w:t>
            </w:r>
          </w:p>
        </w:tc>
        <w:tc>
          <w:tcPr>
            <w:tcW w:w="1444" w:type="dxa"/>
            <w:gridSpan w:val="2"/>
            <w:vAlign w:val="center"/>
          </w:tcPr>
          <w:p>
            <w:pPr>
              <w:pStyle w:val="2001"/>
            </w:pPr>
            <w:r>
              <w:t>35.0</w:t>
            </w:r>
          </w:p>
        </w:tc>
        <w:tc>
          <w:tcPr>
            <w:tcW w:w="1447" w:type="dxa"/>
            <w:vAlign w:val="center"/>
          </w:tcPr>
          <w:p>
            <w:pPr>
              <w:pStyle w:val="2001"/>
            </w:pPr>
            <w:r>
              <w:t>100.0</w:t>
            </w:r>
          </w:p>
        </w:tc>
        <w:tc>
          <w:tcPr>
            <w:tcW w:w="3219" w:type="dxa"/>
            <w:vAlign w:val="center"/>
          </w:tcPr>
          <w:p>
            <w:pPr>
              <w:pStyle w:val="2001"/>
            </w:pPr>
            <w:r>
              <w:t>200.0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284" w:hRule="atLeast"/>
        </w:trPr>
        <w:tc>
          <w:tcPr>
            <w:tcW w:w="1697" w:type="dxa"/>
            <w:vAlign w:val="center"/>
          </w:tcPr>
          <w:p>
            <w:pPr>
              <w:pStyle w:val="2001"/>
            </w:pPr>
            <w:r>
              <w:t>锌</w:t>
            </w:r>
            <w:r>
              <w:rPr>
                <w:rFonts w:hint="eastAsia"/>
              </w:rPr>
              <w:t>（</w:t>
            </w:r>
            <w:r>
              <w:t>×10</w:t>
            </w:r>
            <w:r>
              <w:rPr>
                <w:vertAlign w:val="superscript"/>
              </w:rPr>
              <w:t>-6</w:t>
            </w:r>
            <w:r>
              <w:rPr>
                <w:rFonts w:hint="eastAsia"/>
              </w:rPr>
              <w:t>）</w:t>
            </w:r>
          </w:p>
        </w:tc>
        <w:tc>
          <w:tcPr>
            <w:tcW w:w="721" w:type="dxa"/>
            <w:vAlign w:val="center"/>
          </w:tcPr>
          <w:p>
            <w:pPr>
              <w:pStyle w:val="2001"/>
            </w:pPr>
            <w:r>
              <w:t>≤</w:t>
            </w:r>
          </w:p>
        </w:tc>
        <w:tc>
          <w:tcPr>
            <w:tcW w:w="1444" w:type="dxa"/>
            <w:gridSpan w:val="2"/>
            <w:vAlign w:val="center"/>
          </w:tcPr>
          <w:p>
            <w:pPr>
              <w:pStyle w:val="2001"/>
            </w:pPr>
            <w:r>
              <w:t>150.0</w:t>
            </w:r>
          </w:p>
        </w:tc>
        <w:tc>
          <w:tcPr>
            <w:tcW w:w="1447" w:type="dxa"/>
            <w:vAlign w:val="center"/>
          </w:tcPr>
          <w:p>
            <w:pPr>
              <w:pStyle w:val="2001"/>
            </w:pPr>
            <w:r>
              <w:t>350.0</w:t>
            </w:r>
          </w:p>
        </w:tc>
        <w:tc>
          <w:tcPr>
            <w:tcW w:w="3219" w:type="dxa"/>
            <w:vAlign w:val="center"/>
          </w:tcPr>
          <w:p>
            <w:pPr>
              <w:pStyle w:val="2001"/>
            </w:pPr>
            <w:r>
              <w:t>600.0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284" w:hRule="atLeast"/>
        </w:trPr>
        <w:tc>
          <w:tcPr>
            <w:tcW w:w="1697" w:type="dxa"/>
            <w:vAlign w:val="center"/>
          </w:tcPr>
          <w:p>
            <w:pPr>
              <w:pStyle w:val="2001"/>
            </w:pPr>
            <w:r>
              <w:t>石油类</w:t>
            </w:r>
            <w:r>
              <w:rPr>
                <w:rFonts w:hint="eastAsia"/>
              </w:rPr>
              <w:t>（</w:t>
            </w:r>
            <w:r>
              <w:t>×10</w:t>
            </w:r>
            <w:r>
              <w:rPr>
                <w:vertAlign w:val="superscript"/>
              </w:rPr>
              <w:t>-6</w:t>
            </w:r>
            <w:r>
              <w:rPr>
                <w:rFonts w:hint="eastAsia"/>
              </w:rPr>
              <w:t>）</w:t>
            </w:r>
          </w:p>
        </w:tc>
        <w:tc>
          <w:tcPr>
            <w:tcW w:w="721" w:type="dxa"/>
            <w:vAlign w:val="center"/>
          </w:tcPr>
          <w:p>
            <w:pPr>
              <w:pStyle w:val="2001"/>
            </w:pPr>
            <w:r>
              <w:t>≤</w:t>
            </w:r>
          </w:p>
        </w:tc>
        <w:tc>
          <w:tcPr>
            <w:tcW w:w="1444" w:type="dxa"/>
            <w:gridSpan w:val="2"/>
            <w:vAlign w:val="center"/>
          </w:tcPr>
          <w:p>
            <w:pPr>
              <w:pStyle w:val="2001"/>
            </w:pPr>
            <w:r>
              <w:t>500.0</w:t>
            </w:r>
          </w:p>
        </w:tc>
        <w:tc>
          <w:tcPr>
            <w:tcW w:w="1447" w:type="dxa"/>
            <w:vAlign w:val="center"/>
          </w:tcPr>
          <w:p>
            <w:pPr>
              <w:pStyle w:val="2001"/>
            </w:pPr>
            <w:r>
              <w:t>1000.0</w:t>
            </w:r>
          </w:p>
        </w:tc>
        <w:tc>
          <w:tcPr>
            <w:tcW w:w="3219" w:type="dxa"/>
            <w:vAlign w:val="center"/>
          </w:tcPr>
          <w:p>
            <w:pPr>
              <w:pStyle w:val="2001"/>
            </w:pPr>
            <w:r>
              <w:t>1500.0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284" w:hRule="atLeast"/>
        </w:trPr>
        <w:tc>
          <w:tcPr>
            <w:tcW w:w="1697" w:type="dxa"/>
            <w:vAlign w:val="center"/>
          </w:tcPr>
          <w:p>
            <w:pPr>
              <w:pStyle w:val="2001"/>
            </w:pPr>
            <w:r>
              <w:t>有机碳</w:t>
            </w:r>
            <w:r>
              <w:rPr>
                <w:rFonts w:hint="eastAsia"/>
              </w:rPr>
              <w:t>（</w:t>
            </w:r>
            <w:r>
              <w:t>×10</w:t>
            </w:r>
            <w:r>
              <w:rPr>
                <w:vertAlign w:val="superscript"/>
              </w:rPr>
              <w:t>-6</w:t>
            </w:r>
            <w:r>
              <w:rPr>
                <w:rFonts w:hint="eastAsia"/>
              </w:rPr>
              <w:t>）</w:t>
            </w:r>
          </w:p>
        </w:tc>
        <w:tc>
          <w:tcPr>
            <w:tcW w:w="721" w:type="dxa"/>
            <w:vAlign w:val="center"/>
          </w:tcPr>
          <w:p>
            <w:pPr>
              <w:pStyle w:val="2001"/>
            </w:pPr>
            <w:r>
              <w:t>≤</w:t>
            </w:r>
          </w:p>
        </w:tc>
        <w:tc>
          <w:tcPr>
            <w:tcW w:w="1444" w:type="dxa"/>
            <w:gridSpan w:val="2"/>
            <w:vAlign w:val="center"/>
          </w:tcPr>
          <w:p>
            <w:pPr>
              <w:pStyle w:val="2001"/>
            </w:pPr>
            <w:r>
              <w:t>2.0</w:t>
            </w:r>
          </w:p>
        </w:tc>
        <w:tc>
          <w:tcPr>
            <w:tcW w:w="1447" w:type="dxa"/>
            <w:vAlign w:val="center"/>
          </w:tcPr>
          <w:p>
            <w:pPr>
              <w:pStyle w:val="2001"/>
            </w:pPr>
            <w:r>
              <w:t>3.0</w:t>
            </w:r>
          </w:p>
        </w:tc>
        <w:tc>
          <w:tcPr>
            <w:tcW w:w="3219" w:type="dxa"/>
            <w:vAlign w:val="center"/>
          </w:tcPr>
          <w:p>
            <w:pPr>
              <w:pStyle w:val="2001"/>
            </w:pPr>
            <w:r>
              <w:t>4.0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284" w:hRule="atLeast"/>
        </w:trPr>
        <w:tc>
          <w:tcPr>
            <w:tcW w:w="1697" w:type="dxa"/>
            <w:vAlign w:val="center"/>
          </w:tcPr>
          <w:p>
            <w:pPr>
              <w:pStyle w:val="2001"/>
            </w:pPr>
            <w:r>
              <w:t>硫化物</w:t>
            </w:r>
            <w:r>
              <w:rPr>
                <w:rFonts w:hint="eastAsia"/>
              </w:rPr>
              <w:t>（</w:t>
            </w:r>
            <w:r>
              <w:t>×10</w:t>
            </w:r>
            <w:r>
              <w:rPr>
                <w:vertAlign w:val="superscript"/>
              </w:rPr>
              <w:t>-6</w:t>
            </w:r>
            <w:r>
              <w:rPr>
                <w:rFonts w:hint="eastAsia"/>
              </w:rPr>
              <w:t>）</w:t>
            </w:r>
          </w:p>
        </w:tc>
        <w:tc>
          <w:tcPr>
            <w:tcW w:w="721" w:type="dxa"/>
            <w:vAlign w:val="center"/>
          </w:tcPr>
          <w:p>
            <w:pPr>
              <w:pStyle w:val="2001"/>
            </w:pPr>
            <w:r>
              <w:t>≤</w:t>
            </w:r>
          </w:p>
        </w:tc>
        <w:tc>
          <w:tcPr>
            <w:tcW w:w="1444" w:type="dxa"/>
            <w:gridSpan w:val="2"/>
            <w:vAlign w:val="center"/>
          </w:tcPr>
          <w:p>
            <w:pPr>
              <w:pStyle w:val="2001"/>
            </w:pPr>
            <w:r>
              <w:t>300.0</w:t>
            </w:r>
          </w:p>
        </w:tc>
        <w:tc>
          <w:tcPr>
            <w:tcW w:w="1447" w:type="dxa"/>
            <w:vAlign w:val="center"/>
          </w:tcPr>
          <w:p>
            <w:pPr>
              <w:pStyle w:val="2001"/>
            </w:pPr>
            <w:r>
              <w:t>500.0</w:t>
            </w:r>
          </w:p>
        </w:tc>
        <w:tc>
          <w:tcPr>
            <w:tcW w:w="3219" w:type="dxa"/>
            <w:vAlign w:val="center"/>
          </w:tcPr>
          <w:p>
            <w:pPr>
              <w:pStyle w:val="2001"/>
            </w:pPr>
            <w:r>
              <w:t>600.0</w:t>
            </w:r>
          </w:p>
        </w:tc>
      </w:tr>
    </w:tbl>
    <w:p>
      <w:pPr>
        <w:snapToGrid w:val="0"/>
        <w:ind w:firstLine="360"/>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注：第一类  适用于海洋渔业海域、海洋自然保护区，珍稀与濒危生物自然保护区，海洋养殖区，海水浴场，人体直接接触沉积物的海上运动或娱乐区，与人类食用直接有关的工业用水区。</w:t>
      </w:r>
    </w:p>
    <w:p>
      <w:pPr>
        <w:snapToGrid w:val="0"/>
        <w:ind w:firstLine="360"/>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 xml:space="preserve">    第二类  适用于一般工业用水区，滨海风景旅游区。</w:t>
      </w:r>
    </w:p>
    <w:p>
      <w:pPr>
        <w:snapToGrid w:val="0"/>
        <w:ind w:firstLine="360"/>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 xml:space="preserve">    第三类  适用于海洋港口海域，特殊用途的海洋开发作业区。</w:t>
      </w:r>
    </w:p>
    <w:p>
      <w:pPr>
        <w:pStyle w:val="384"/>
        <w:jc w:val="right"/>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海洋生物质量（GB18421-2001）</w:t>
      </w:r>
      <w:r>
        <w:rPr>
          <w:rFonts w:hint="eastAsia" w:cs="Times New Roman"/>
          <w:color w:val="000000" w:themeColor="text1"/>
          <w14:textFill>
            <w14:solidFill>
              <w14:schemeClr w14:val="tx1"/>
            </w14:solidFill>
          </w14:textFill>
        </w:rPr>
        <w:t xml:space="preserve">     </w:t>
      </w:r>
      <w:r>
        <w:rPr>
          <w:b w:val="0"/>
          <w:color w:val="000000" w:themeColor="text1"/>
          <w14:textFill>
            <w14:solidFill>
              <w14:schemeClr w14:val="tx1"/>
            </w14:solidFill>
          </w14:textFill>
        </w:rPr>
        <w:t>单位：mg/kg</w:t>
      </w:r>
    </w:p>
    <w:tbl>
      <w:tblPr>
        <w:tblStyle w:val="88"/>
        <w:tblW w:w="8528" w:type="dxa"/>
        <w:tblInd w:w="0" w:type="dxa"/>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Layout w:type="fixed"/>
        <w:tblCellMar>
          <w:top w:w="0" w:type="dxa"/>
          <w:left w:w="108" w:type="dxa"/>
          <w:bottom w:w="0" w:type="dxa"/>
          <w:right w:w="108" w:type="dxa"/>
        </w:tblCellMar>
      </w:tblPr>
      <w:tblGrid>
        <w:gridCol w:w="800"/>
        <w:gridCol w:w="1586"/>
        <w:gridCol w:w="2055"/>
        <w:gridCol w:w="2055"/>
        <w:gridCol w:w="2032"/>
      </w:tblGrid>
      <w:tr>
        <w:tblPrEx>
          <w:tblLayout w:type="fixed"/>
          <w:tblCellMar>
            <w:top w:w="0" w:type="dxa"/>
            <w:left w:w="108" w:type="dxa"/>
            <w:bottom w:w="0" w:type="dxa"/>
            <w:right w:w="108" w:type="dxa"/>
          </w:tblCellMar>
        </w:tblPrEx>
        <w:trPr>
          <w:trHeight w:val="312" w:hRule="atLeast"/>
          <w:tblHeader/>
        </w:trPr>
        <w:tc>
          <w:tcPr>
            <w:tcW w:w="800" w:type="dxa"/>
            <w:vAlign w:val="center"/>
          </w:tcPr>
          <w:p>
            <w:pPr>
              <w:pStyle w:val="2001"/>
            </w:pPr>
            <w:r>
              <w:t>序号</w:t>
            </w:r>
          </w:p>
        </w:tc>
        <w:tc>
          <w:tcPr>
            <w:tcW w:w="1586" w:type="dxa"/>
            <w:vAlign w:val="center"/>
          </w:tcPr>
          <w:p>
            <w:pPr>
              <w:pStyle w:val="2001"/>
            </w:pPr>
            <w:r>
              <w:t>监测项目</w:t>
            </w:r>
          </w:p>
        </w:tc>
        <w:tc>
          <w:tcPr>
            <w:tcW w:w="2055" w:type="dxa"/>
            <w:vAlign w:val="center"/>
          </w:tcPr>
          <w:p>
            <w:pPr>
              <w:pStyle w:val="2001"/>
            </w:pPr>
            <w:r>
              <w:t>第一类</w:t>
            </w:r>
          </w:p>
        </w:tc>
        <w:tc>
          <w:tcPr>
            <w:tcW w:w="2055" w:type="dxa"/>
            <w:vAlign w:val="center"/>
          </w:tcPr>
          <w:p>
            <w:pPr>
              <w:pStyle w:val="2001"/>
            </w:pPr>
            <w:r>
              <w:t>第二类</w:t>
            </w:r>
          </w:p>
        </w:tc>
        <w:tc>
          <w:tcPr>
            <w:tcW w:w="2032" w:type="dxa"/>
            <w:vAlign w:val="center"/>
          </w:tcPr>
          <w:p>
            <w:pPr>
              <w:pStyle w:val="2001"/>
            </w:pPr>
            <w:r>
              <w:t>第三类</w:t>
            </w:r>
          </w:p>
        </w:tc>
      </w:tr>
      <w:tr>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Layout w:type="fixed"/>
          <w:tblCellMar>
            <w:top w:w="0" w:type="dxa"/>
            <w:left w:w="108" w:type="dxa"/>
            <w:bottom w:w="0" w:type="dxa"/>
            <w:right w:w="108" w:type="dxa"/>
          </w:tblCellMar>
        </w:tblPrEx>
        <w:trPr>
          <w:trHeight w:val="312" w:hRule="atLeast"/>
        </w:trPr>
        <w:tc>
          <w:tcPr>
            <w:tcW w:w="800" w:type="dxa"/>
            <w:vAlign w:val="center"/>
          </w:tcPr>
          <w:p>
            <w:pPr>
              <w:pStyle w:val="2001"/>
            </w:pPr>
            <w:r>
              <w:t>1</w:t>
            </w:r>
          </w:p>
        </w:tc>
        <w:tc>
          <w:tcPr>
            <w:tcW w:w="1586" w:type="dxa"/>
            <w:vAlign w:val="center"/>
          </w:tcPr>
          <w:p>
            <w:pPr>
              <w:pStyle w:val="2001"/>
            </w:pPr>
            <w:r>
              <w:t>总汞≤</w:t>
            </w:r>
          </w:p>
        </w:tc>
        <w:tc>
          <w:tcPr>
            <w:tcW w:w="2055" w:type="dxa"/>
            <w:vAlign w:val="center"/>
          </w:tcPr>
          <w:p>
            <w:pPr>
              <w:pStyle w:val="2001"/>
            </w:pPr>
            <w:r>
              <w:t>0.05</w:t>
            </w:r>
          </w:p>
        </w:tc>
        <w:tc>
          <w:tcPr>
            <w:tcW w:w="2055" w:type="dxa"/>
            <w:vAlign w:val="center"/>
          </w:tcPr>
          <w:p>
            <w:pPr>
              <w:pStyle w:val="2001"/>
            </w:pPr>
            <w:r>
              <w:t>0.10</w:t>
            </w:r>
          </w:p>
        </w:tc>
        <w:tc>
          <w:tcPr>
            <w:tcW w:w="2032" w:type="dxa"/>
            <w:vAlign w:val="center"/>
          </w:tcPr>
          <w:p>
            <w:pPr>
              <w:pStyle w:val="2001"/>
            </w:pPr>
            <w:r>
              <w:t>0.30</w:t>
            </w:r>
          </w:p>
        </w:tc>
      </w:tr>
      <w:tr>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Layout w:type="fixed"/>
          <w:tblCellMar>
            <w:top w:w="0" w:type="dxa"/>
            <w:left w:w="108" w:type="dxa"/>
            <w:bottom w:w="0" w:type="dxa"/>
            <w:right w:w="108" w:type="dxa"/>
          </w:tblCellMar>
        </w:tblPrEx>
        <w:trPr>
          <w:trHeight w:val="312" w:hRule="atLeast"/>
        </w:trPr>
        <w:tc>
          <w:tcPr>
            <w:tcW w:w="800" w:type="dxa"/>
            <w:vAlign w:val="center"/>
          </w:tcPr>
          <w:p>
            <w:pPr>
              <w:pStyle w:val="2001"/>
            </w:pPr>
            <w:r>
              <w:t>2</w:t>
            </w:r>
          </w:p>
        </w:tc>
        <w:tc>
          <w:tcPr>
            <w:tcW w:w="1586" w:type="dxa"/>
            <w:vAlign w:val="center"/>
          </w:tcPr>
          <w:p>
            <w:pPr>
              <w:pStyle w:val="2001"/>
            </w:pPr>
            <w:r>
              <w:t>镉≤</w:t>
            </w:r>
          </w:p>
        </w:tc>
        <w:tc>
          <w:tcPr>
            <w:tcW w:w="2055" w:type="dxa"/>
            <w:vAlign w:val="center"/>
          </w:tcPr>
          <w:p>
            <w:pPr>
              <w:pStyle w:val="2001"/>
            </w:pPr>
            <w:r>
              <w:t>0.2</w:t>
            </w:r>
          </w:p>
        </w:tc>
        <w:tc>
          <w:tcPr>
            <w:tcW w:w="2055" w:type="dxa"/>
            <w:vAlign w:val="center"/>
          </w:tcPr>
          <w:p>
            <w:pPr>
              <w:pStyle w:val="2001"/>
            </w:pPr>
            <w:r>
              <w:t>2.0</w:t>
            </w:r>
          </w:p>
        </w:tc>
        <w:tc>
          <w:tcPr>
            <w:tcW w:w="2032" w:type="dxa"/>
            <w:vAlign w:val="center"/>
          </w:tcPr>
          <w:p>
            <w:pPr>
              <w:pStyle w:val="2001"/>
            </w:pPr>
            <w:r>
              <w:t>5.0</w:t>
            </w:r>
          </w:p>
        </w:tc>
      </w:tr>
      <w:tr>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Layout w:type="fixed"/>
          <w:tblCellMar>
            <w:top w:w="0" w:type="dxa"/>
            <w:left w:w="108" w:type="dxa"/>
            <w:bottom w:w="0" w:type="dxa"/>
            <w:right w:w="108" w:type="dxa"/>
          </w:tblCellMar>
        </w:tblPrEx>
        <w:trPr>
          <w:trHeight w:val="312" w:hRule="atLeast"/>
        </w:trPr>
        <w:tc>
          <w:tcPr>
            <w:tcW w:w="800" w:type="dxa"/>
            <w:vAlign w:val="center"/>
          </w:tcPr>
          <w:p>
            <w:pPr>
              <w:pStyle w:val="2001"/>
            </w:pPr>
            <w:r>
              <w:t>3</w:t>
            </w:r>
          </w:p>
        </w:tc>
        <w:tc>
          <w:tcPr>
            <w:tcW w:w="1586" w:type="dxa"/>
            <w:vAlign w:val="center"/>
          </w:tcPr>
          <w:p>
            <w:pPr>
              <w:pStyle w:val="2001"/>
            </w:pPr>
            <w:r>
              <w:t>铅≤</w:t>
            </w:r>
          </w:p>
        </w:tc>
        <w:tc>
          <w:tcPr>
            <w:tcW w:w="2055" w:type="dxa"/>
            <w:vAlign w:val="center"/>
          </w:tcPr>
          <w:p>
            <w:pPr>
              <w:pStyle w:val="2001"/>
            </w:pPr>
            <w:r>
              <w:t>0.1</w:t>
            </w:r>
          </w:p>
        </w:tc>
        <w:tc>
          <w:tcPr>
            <w:tcW w:w="2055" w:type="dxa"/>
            <w:vAlign w:val="center"/>
          </w:tcPr>
          <w:p>
            <w:pPr>
              <w:pStyle w:val="2001"/>
            </w:pPr>
            <w:r>
              <w:t>2.0</w:t>
            </w:r>
          </w:p>
        </w:tc>
        <w:tc>
          <w:tcPr>
            <w:tcW w:w="2032" w:type="dxa"/>
            <w:vAlign w:val="center"/>
          </w:tcPr>
          <w:p>
            <w:pPr>
              <w:pStyle w:val="2001"/>
            </w:pPr>
            <w:r>
              <w:t>6.0</w:t>
            </w:r>
          </w:p>
        </w:tc>
      </w:tr>
      <w:tr>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Layout w:type="fixed"/>
          <w:tblCellMar>
            <w:top w:w="0" w:type="dxa"/>
            <w:left w:w="108" w:type="dxa"/>
            <w:bottom w:w="0" w:type="dxa"/>
            <w:right w:w="108" w:type="dxa"/>
          </w:tblCellMar>
        </w:tblPrEx>
        <w:trPr>
          <w:trHeight w:val="312" w:hRule="atLeast"/>
        </w:trPr>
        <w:tc>
          <w:tcPr>
            <w:tcW w:w="800" w:type="dxa"/>
            <w:vAlign w:val="center"/>
          </w:tcPr>
          <w:p>
            <w:pPr>
              <w:pStyle w:val="2001"/>
            </w:pPr>
            <w:r>
              <w:t>4</w:t>
            </w:r>
          </w:p>
        </w:tc>
        <w:tc>
          <w:tcPr>
            <w:tcW w:w="1586" w:type="dxa"/>
            <w:vAlign w:val="center"/>
          </w:tcPr>
          <w:p>
            <w:pPr>
              <w:pStyle w:val="2001"/>
            </w:pPr>
            <w:r>
              <w:t>砷≤</w:t>
            </w:r>
          </w:p>
        </w:tc>
        <w:tc>
          <w:tcPr>
            <w:tcW w:w="2055" w:type="dxa"/>
            <w:vAlign w:val="center"/>
          </w:tcPr>
          <w:p>
            <w:pPr>
              <w:pStyle w:val="2001"/>
            </w:pPr>
            <w:r>
              <w:t>1.0</w:t>
            </w:r>
          </w:p>
        </w:tc>
        <w:tc>
          <w:tcPr>
            <w:tcW w:w="2055" w:type="dxa"/>
            <w:vAlign w:val="center"/>
          </w:tcPr>
          <w:p>
            <w:pPr>
              <w:pStyle w:val="2001"/>
            </w:pPr>
            <w:r>
              <w:t>5.0</w:t>
            </w:r>
          </w:p>
        </w:tc>
        <w:tc>
          <w:tcPr>
            <w:tcW w:w="2032" w:type="dxa"/>
            <w:vAlign w:val="center"/>
          </w:tcPr>
          <w:p>
            <w:pPr>
              <w:pStyle w:val="2001"/>
            </w:pPr>
            <w:r>
              <w:t>8.0</w:t>
            </w:r>
          </w:p>
        </w:tc>
      </w:tr>
      <w:tr>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Layout w:type="fixed"/>
          <w:tblCellMar>
            <w:top w:w="0" w:type="dxa"/>
            <w:left w:w="108" w:type="dxa"/>
            <w:bottom w:w="0" w:type="dxa"/>
            <w:right w:w="108" w:type="dxa"/>
          </w:tblCellMar>
        </w:tblPrEx>
        <w:trPr>
          <w:trHeight w:val="312" w:hRule="atLeast"/>
        </w:trPr>
        <w:tc>
          <w:tcPr>
            <w:tcW w:w="800" w:type="dxa"/>
            <w:vAlign w:val="center"/>
          </w:tcPr>
          <w:p>
            <w:pPr>
              <w:pStyle w:val="2001"/>
            </w:pPr>
            <w:r>
              <w:t>5</w:t>
            </w:r>
          </w:p>
        </w:tc>
        <w:tc>
          <w:tcPr>
            <w:tcW w:w="1586" w:type="dxa"/>
            <w:vAlign w:val="center"/>
          </w:tcPr>
          <w:p>
            <w:pPr>
              <w:pStyle w:val="2001"/>
            </w:pPr>
            <w:r>
              <w:t>铜≤</w:t>
            </w:r>
          </w:p>
        </w:tc>
        <w:tc>
          <w:tcPr>
            <w:tcW w:w="2055" w:type="dxa"/>
            <w:vAlign w:val="center"/>
          </w:tcPr>
          <w:p>
            <w:pPr>
              <w:pStyle w:val="2001"/>
            </w:pPr>
            <w:r>
              <w:t>10</w:t>
            </w:r>
          </w:p>
        </w:tc>
        <w:tc>
          <w:tcPr>
            <w:tcW w:w="2055" w:type="dxa"/>
            <w:vAlign w:val="center"/>
          </w:tcPr>
          <w:p>
            <w:pPr>
              <w:pStyle w:val="2001"/>
            </w:pPr>
            <w:r>
              <w:t>25</w:t>
            </w:r>
          </w:p>
        </w:tc>
        <w:tc>
          <w:tcPr>
            <w:tcW w:w="2032" w:type="dxa"/>
            <w:vAlign w:val="center"/>
          </w:tcPr>
          <w:p>
            <w:pPr>
              <w:pStyle w:val="2001"/>
            </w:pPr>
            <w:r>
              <w:t>50（牡蛎100）</w:t>
            </w:r>
          </w:p>
        </w:tc>
      </w:tr>
      <w:tr>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Layout w:type="fixed"/>
          <w:tblCellMar>
            <w:top w:w="0" w:type="dxa"/>
            <w:left w:w="108" w:type="dxa"/>
            <w:bottom w:w="0" w:type="dxa"/>
            <w:right w:w="108" w:type="dxa"/>
          </w:tblCellMar>
        </w:tblPrEx>
        <w:trPr>
          <w:trHeight w:val="312" w:hRule="atLeast"/>
        </w:trPr>
        <w:tc>
          <w:tcPr>
            <w:tcW w:w="800" w:type="dxa"/>
            <w:vAlign w:val="center"/>
          </w:tcPr>
          <w:p>
            <w:pPr>
              <w:pStyle w:val="2001"/>
            </w:pPr>
            <w:r>
              <w:t>6</w:t>
            </w:r>
          </w:p>
        </w:tc>
        <w:tc>
          <w:tcPr>
            <w:tcW w:w="1586" w:type="dxa"/>
            <w:vAlign w:val="center"/>
          </w:tcPr>
          <w:p>
            <w:pPr>
              <w:pStyle w:val="2001"/>
            </w:pPr>
            <w:r>
              <w:t>铬≤</w:t>
            </w:r>
          </w:p>
        </w:tc>
        <w:tc>
          <w:tcPr>
            <w:tcW w:w="2055" w:type="dxa"/>
            <w:vAlign w:val="center"/>
          </w:tcPr>
          <w:p>
            <w:pPr>
              <w:pStyle w:val="2001"/>
            </w:pPr>
            <w:r>
              <w:t>0.5</w:t>
            </w:r>
          </w:p>
        </w:tc>
        <w:tc>
          <w:tcPr>
            <w:tcW w:w="2055" w:type="dxa"/>
            <w:vAlign w:val="center"/>
          </w:tcPr>
          <w:p>
            <w:pPr>
              <w:pStyle w:val="2001"/>
            </w:pPr>
            <w:r>
              <w:t>2.0</w:t>
            </w:r>
          </w:p>
        </w:tc>
        <w:tc>
          <w:tcPr>
            <w:tcW w:w="2032" w:type="dxa"/>
            <w:vAlign w:val="center"/>
          </w:tcPr>
          <w:p>
            <w:pPr>
              <w:pStyle w:val="2001"/>
            </w:pPr>
            <w:r>
              <w:t>6.0</w:t>
            </w:r>
          </w:p>
        </w:tc>
      </w:tr>
      <w:tr>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Layout w:type="fixed"/>
          <w:tblCellMar>
            <w:top w:w="0" w:type="dxa"/>
            <w:left w:w="108" w:type="dxa"/>
            <w:bottom w:w="0" w:type="dxa"/>
            <w:right w:w="108" w:type="dxa"/>
          </w:tblCellMar>
        </w:tblPrEx>
        <w:trPr>
          <w:trHeight w:val="312" w:hRule="atLeast"/>
        </w:trPr>
        <w:tc>
          <w:tcPr>
            <w:tcW w:w="800" w:type="dxa"/>
            <w:vAlign w:val="center"/>
          </w:tcPr>
          <w:p>
            <w:pPr>
              <w:pStyle w:val="2001"/>
            </w:pPr>
            <w:r>
              <w:t>7</w:t>
            </w:r>
          </w:p>
        </w:tc>
        <w:tc>
          <w:tcPr>
            <w:tcW w:w="1586" w:type="dxa"/>
            <w:vAlign w:val="center"/>
          </w:tcPr>
          <w:p>
            <w:pPr>
              <w:pStyle w:val="2001"/>
            </w:pPr>
            <w:r>
              <w:t>锌≤</w:t>
            </w:r>
          </w:p>
        </w:tc>
        <w:tc>
          <w:tcPr>
            <w:tcW w:w="2055" w:type="dxa"/>
            <w:vAlign w:val="center"/>
          </w:tcPr>
          <w:p>
            <w:pPr>
              <w:pStyle w:val="2001"/>
            </w:pPr>
            <w:r>
              <w:t>20</w:t>
            </w:r>
          </w:p>
        </w:tc>
        <w:tc>
          <w:tcPr>
            <w:tcW w:w="2055" w:type="dxa"/>
            <w:vAlign w:val="center"/>
          </w:tcPr>
          <w:p>
            <w:pPr>
              <w:pStyle w:val="2001"/>
            </w:pPr>
            <w:r>
              <w:t>50</w:t>
            </w:r>
          </w:p>
        </w:tc>
        <w:tc>
          <w:tcPr>
            <w:tcW w:w="2032" w:type="dxa"/>
            <w:vAlign w:val="center"/>
          </w:tcPr>
          <w:p>
            <w:pPr>
              <w:pStyle w:val="2001"/>
            </w:pPr>
            <w:r>
              <w:t>100（牡蛎500）</w:t>
            </w:r>
          </w:p>
        </w:tc>
      </w:tr>
      <w:tr>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Layout w:type="fixed"/>
          <w:tblCellMar>
            <w:top w:w="0" w:type="dxa"/>
            <w:left w:w="108" w:type="dxa"/>
            <w:bottom w:w="0" w:type="dxa"/>
            <w:right w:w="108" w:type="dxa"/>
          </w:tblCellMar>
        </w:tblPrEx>
        <w:trPr>
          <w:trHeight w:val="312" w:hRule="atLeast"/>
        </w:trPr>
        <w:tc>
          <w:tcPr>
            <w:tcW w:w="800" w:type="dxa"/>
            <w:vAlign w:val="center"/>
          </w:tcPr>
          <w:p>
            <w:pPr>
              <w:pStyle w:val="2001"/>
            </w:pPr>
            <w:r>
              <w:t>8</w:t>
            </w:r>
          </w:p>
        </w:tc>
        <w:tc>
          <w:tcPr>
            <w:tcW w:w="1586" w:type="dxa"/>
            <w:vAlign w:val="center"/>
          </w:tcPr>
          <w:p>
            <w:pPr>
              <w:pStyle w:val="2001"/>
            </w:pPr>
            <w:r>
              <w:t>石油烃≤</w:t>
            </w:r>
          </w:p>
        </w:tc>
        <w:tc>
          <w:tcPr>
            <w:tcW w:w="2055" w:type="dxa"/>
            <w:vAlign w:val="center"/>
          </w:tcPr>
          <w:p>
            <w:pPr>
              <w:pStyle w:val="2001"/>
            </w:pPr>
            <w:r>
              <w:t>15</w:t>
            </w:r>
          </w:p>
        </w:tc>
        <w:tc>
          <w:tcPr>
            <w:tcW w:w="2055" w:type="dxa"/>
            <w:vAlign w:val="center"/>
          </w:tcPr>
          <w:p>
            <w:pPr>
              <w:pStyle w:val="2001"/>
            </w:pPr>
            <w:r>
              <w:t>50</w:t>
            </w:r>
          </w:p>
        </w:tc>
        <w:tc>
          <w:tcPr>
            <w:tcW w:w="2032" w:type="dxa"/>
            <w:vAlign w:val="center"/>
          </w:tcPr>
          <w:p>
            <w:pPr>
              <w:pStyle w:val="2001"/>
            </w:pPr>
            <w:r>
              <w:t>80</w:t>
            </w:r>
          </w:p>
        </w:tc>
      </w:tr>
      <w:tr>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Layout w:type="fixed"/>
          <w:tblCellMar>
            <w:top w:w="0" w:type="dxa"/>
            <w:left w:w="108" w:type="dxa"/>
            <w:bottom w:w="0" w:type="dxa"/>
            <w:right w:w="108" w:type="dxa"/>
          </w:tblCellMar>
        </w:tblPrEx>
        <w:trPr>
          <w:trHeight w:val="312" w:hRule="atLeast"/>
        </w:trPr>
        <w:tc>
          <w:tcPr>
            <w:tcW w:w="800" w:type="dxa"/>
            <w:vAlign w:val="center"/>
          </w:tcPr>
          <w:p>
            <w:pPr>
              <w:pStyle w:val="2001"/>
            </w:pPr>
            <w:r>
              <w:t>9</w:t>
            </w:r>
          </w:p>
        </w:tc>
        <w:tc>
          <w:tcPr>
            <w:tcW w:w="1586" w:type="dxa"/>
            <w:vAlign w:val="center"/>
          </w:tcPr>
          <w:p>
            <w:pPr>
              <w:pStyle w:val="2001"/>
            </w:pPr>
            <w:r>
              <w:t>六六六≤</w:t>
            </w:r>
          </w:p>
        </w:tc>
        <w:tc>
          <w:tcPr>
            <w:tcW w:w="2055" w:type="dxa"/>
            <w:vAlign w:val="center"/>
          </w:tcPr>
          <w:p>
            <w:pPr>
              <w:pStyle w:val="2001"/>
            </w:pPr>
            <w:r>
              <w:t>0.02</w:t>
            </w:r>
          </w:p>
        </w:tc>
        <w:tc>
          <w:tcPr>
            <w:tcW w:w="2055" w:type="dxa"/>
            <w:vAlign w:val="center"/>
          </w:tcPr>
          <w:p>
            <w:pPr>
              <w:pStyle w:val="2001"/>
            </w:pPr>
            <w:r>
              <w:t>0.15</w:t>
            </w:r>
          </w:p>
        </w:tc>
        <w:tc>
          <w:tcPr>
            <w:tcW w:w="2032" w:type="dxa"/>
            <w:vAlign w:val="center"/>
          </w:tcPr>
          <w:p>
            <w:pPr>
              <w:pStyle w:val="2001"/>
            </w:pPr>
            <w:r>
              <w:t>0.50</w:t>
            </w:r>
          </w:p>
        </w:tc>
      </w:tr>
      <w:tr>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Layout w:type="fixed"/>
          <w:tblCellMar>
            <w:top w:w="0" w:type="dxa"/>
            <w:left w:w="108" w:type="dxa"/>
            <w:bottom w:w="0" w:type="dxa"/>
            <w:right w:w="108" w:type="dxa"/>
          </w:tblCellMar>
        </w:tblPrEx>
        <w:trPr>
          <w:trHeight w:val="312" w:hRule="atLeast"/>
        </w:trPr>
        <w:tc>
          <w:tcPr>
            <w:tcW w:w="800" w:type="dxa"/>
            <w:vAlign w:val="center"/>
          </w:tcPr>
          <w:p>
            <w:pPr>
              <w:pStyle w:val="2001"/>
            </w:pPr>
            <w:r>
              <w:t>10</w:t>
            </w:r>
          </w:p>
        </w:tc>
        <w:tc>
          <w:tcPr>
            <w:tcW w:w="1586" w:type="dxa"/>
            <w:vAlign w:val="center"/>
          </w:tcPr>
          <w:p>
            <w:pPr>
              <w:pStyle w:val="2001"/>
            </w:pPr>
            <w:r>
              <w:t>滴滴涕≤</w:t>
            </w:r>
          </w:p>
        </w:tc>
        <w:tc>
          <w:tcPr>
            <w:tcW w:w="2055" w:type="dxa"/>
            <w:vAlign w:val="center"/>
          </w:tcPr>
          <w:p>
            <w:pPr>
              <w:pStyle w:val="2001"/>
            </w:pPr>
            <w:r>
              <w:t>0.01</w:t>
            </w:r>
          </w:p>
        </w:tc>
        <w:tc>
          <w:tcPr>
            <w:tcW w:w="2055" w:type="dxa"/>
            <w:vAlign w:val="center"/>
          </w:tcPr>
          <w:p>
            <w:pPr>
              <w:pStyle w:val="2001"/>
            </w:pPr>
            <w:r>
              <w:t>0.10</w:t>
            </w:r>
          </w:p>
        </w:tc>
        <w:tc>
          <w:tcPr>
            <w:tcW w:w="2032" w:type="dxa"/>
            <w:vAlign w:val="center"/>
          </w:tcPr>
          <w:p>
            <w:pPr>
              <w:pStyle w:val="2001"/>
            </w:pPr>
            <w:r>
              <w:t>0.50</w:t>
            </w:r>
          </w:p>
        </w:tc>
      </w:tr>
      <w:tr>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Layout w:type="fixed"/>
          <w:tblCellMar>
            <w:top w:w="0" w:type="dxa"/>
            <w:left w:w="108" w:type="dxa"/>
            <w:bottom w:w="0" w:type="dxa"/>
            <w:right w:w="108" w:type="dxa"/>
          </w:tblCellMar>
        </w:tblPrEx>
        <w:trPr>
          <w:trHeight w:val="312" w:hRule="atLeast"/>
        </w:trPr>
        <w:tc>
          <w:tcPr>
            <w:tcW w:w="8528" w:type="dxa"/>
            <w:gridSpan w:val="5"/>
            <w:vAlign w:val="center"/>
          </w:tcPr>
          <w:p>
            <w:pPr>
              <w:pStyle w:val="2001"/>
            </w:pPr>
            <w:r>
              <w:t>注：第一类适用于海洋渔业海域、海水养殖区、海洋自然保护区，与人类食用直接有关的工业用水区；第二类：适用于一般工业用水区、滨海风景旅游区；第三类：适用于港口海域和海洋开发作业区。</w:t>
            </w:r>
          </w:p>
        </w:tc>
      </w:tr>
    </w:tbl>
    <w:p>
      <w:pPr>
        <w:pStyle w:val="384"/>
        <w:ind w:left="0" w:firstLine="0"/>
        <w:jc w:val="right"/>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海洋生物（鱼类、甲壳类和头足类）质量评价标准</w:t>
      </w:r>
      <w:r>
        <w:rPr>
          <w:rFonts w:hint="eastAsia" w:cs="Times New Roman"/>
          <w:color w:val="000000" w:themeColor="text1"/>
          <w14:textFill>
            <w14:solidFill>
              <w14:schemeClr w14:val="tx1"/>
            </w14:solidFill>
          </w14:textFill>
        </w:rPr>
        <w:t xml:space="preserve"> </w:t>
      </w:r>
      <w:r>
        <w:rPr>
          <w:rFonts w:cs="Times New Roman"/>
          <w:color w:val="000000" w:themeColor="text1"/>
          <w14:textFill>
            <w14:solidFill>
              <w14:schemeClr w14:val="tx1"/>
            </w14:solidFill>
          </w14:textFill>
        </w:rPr>
        <w:t xml:space="preserve">    </w:t>
      </w:r>
      <w:r>
        <w:rPr>
          <w:b w:val="0"/>
          <w:color w:val="000000" w:themeColor="text1"/>
          <w14:textFill>
            <w14:solidFill>
              <w14:schemeClr w14:val="tx1"/>
            </w14:solidFill>
          </w14:textFill>
        </w:rPr>
        <w:t>单位：mg/kg</w:t>
      </w:r>
    </w:p>
    <w:tbl>
      <w:tblPr>
        <w:tblStyle w:val="88"/>
        <w:tblW w:w="8528" w:type="dxa"/>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034"/>
        <w:gridCol w:w="520"/>
        <w:gridCol w:w="520"/>
        <w:gridCol w:w="520"/>
        <w:gridCol w:w="520"/>
        <w:gridCol w:w="520"/>
        <w:gridCol w:w="520"/>
        <w:gridCol w:w="520"/>
        <w:gridCol w:w="855"/>
        <w:gridCol w:w="2999"/>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312" w:hRule="atLeast"/>
          <w:tblHeader/>
        </w:trPr>
        <w:tc>
          <w:tcPr>
            <w:tcW w:w="1034" w:type="dxa"/>
            <w:vAlign w:val="center"/>
          </w:tcPr>
          <w:p>
            <w:pPr>
              <w:pStyle w:val="2001"/>
            </w:pPr>
            <w:r>
              <w:t>生物类别</w:t>
            </w:r>
          </w:p>
        </w:tc>
        <w:tc>
          <w:tcPr>
            <w:tcW w:w="520" w:type="dxa"/>
            <w:vAlign w:val="center"/>
          </w:tcPr>
          <w:p>
            <w:pPr>
              <w:pStyle w:val="2001"/>
            </w:pPr>
            <w:r>
              <w:t>Cu</w:t>
            </w:r>
          </w:p>
        </w:tc>
        <w:tc>
          <w:tcPr>
            <w:tcW w:w="520" w:type="dxa"/>
            <w:vAlign w:val="center"/>
          </w:tcPr>
          <w:p>
            <w:pPr>
              <w:pStyle w:val="2001"/>
            </w:pPr>
            <w:r>
              <w:t>Pb</w:t>
            </w:r>
          </w:p>
        </w:tc>
        <w:tc>
          <w:tcPr>
            <w:tcW w:w="520" w:type="dxa"/>
            <w:vAlign w:val="center"/>
          </w:tcPr>
          <w:p>
            <w:pPr>
              <w:pStyle w:val="2001"/>
            </w:pPr>
            <w:r>
              <w:t>Cd</w:t>
            </w:r>
          </w:p>
        </w:tc>
        <w:tc>
          <w:tcPr>
            <w:tcW w:w="520" w:type="dxa"/>
            <w:vAlign w:val="center"/>
          </w:tcPr>
          <w:p>
            <w:pPr>
              <w:pStyle w:val="2001"/>
            </w:pPr>
            <w:r>
              <w:t>Zn</w:t>
            </w:r>
          </w:p>
        </w:tc>
        <w:tc>
          <w:tcPr>
            <w:tcW w:w="520" w:type="dxa"/>
            <w:vAlign w:val="center"/>
          </w:tcPr>
          <w:p>
            <w:pPr>
              <w:pStyle w:val="2001"/>
            </w:pPr>
            <w:r>
              <w:t>Hg</w:t>
            </w:r>
          </w:p>
        </w:tc>
        <w:tc>
          <w:tcPr>
            <w:tcW w:w="520" w:type="dxa"/>
            <w:vAlign w:val="center"/>
          </w:tcPr>
          <w:p>
            <w:pPr>
              <w:pStyle w:val="2001"/>
            </w:pPr>
            <w:r>
              <w:t>As</w:t>
            </w:r>
          </w:p>
        </w:tc>
        <w:tc>
          <w:tcPr>
            <w:tcW w:w="520" w:type="dxa"/>
            <w:vAlign w:val="center"/>
          </w:tcPr>
          <w:p>
            <w:pPr>
              <w:pStyle w:val="2001"/>
            </w:pPr>
            <w:r>
              <w:t>Cr</w:t>
            </w:r>
          </w:p>
        </w:tc>
        <w:tc>
          <w:tcPr>
            <w:tcW w:w="855" w:type="dxa"/>
            <w:vAlign w:val="center"/>
          </w:tcPr>
          <w:p>
            <w:pPr>
              <w:pStyle w:val="2001"/>
            </w:pPr>
            <w:r>
              <w:t>石油烃</w:t>
            </w:r>
          </w:p>
        </w:tc>
        <w:tc>
          <w:tcPr>
            <w:tcW w:w="2999" w:type="dxa"/>
            <w:vAlign w:val="center"/>
          </w:tcPr>
          <w:p>
            <w:pPr>
              <w:pStyle w:val="2001"/>
              <w:rPr>
                <w:bCs/>
              </w:rPr>
            </w:pPr>
            <w:r>
              <w:t>备  注</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312" w:hRule="atLeast"/>
        </w:trPr>
        <w:tc>
          <w:tcPr>
            <w:tcW w:w="1034" w:type="dxa"/>
            <w:vAlign w:val="center"/>
          </w:tcPr>
          <w:p>
            <w:pPr>
              <w:pStyle w:val="2001"/>
            </w:pPr>
            <w:r>
              <w:t>软体类≤</w:t>
            </w:r>
          </w:p>
        </w:tc>
        <w:tc>
          <w:tcPr>
            <w:tcW w:w="520" w:type="dxa"/>
            <w:vAlign w:val="center"/>
          </w:tcPr>
          <w:p>
            <w:pPr>
              <w:pStyle w:val="2001"/>
            </w:pPr>
            <w:r>
              <w:t>100</w:t>
            </w:r>
          </w:p>
        </w:tc>
        <w:tc>
          <w:tcPr>
            <w:tcW w:w="520" w:type="dxa"/>
            <w:vAlign w:val="center"/>
          </w:tcPr>
          <w:p>
            <w:pPr>
              <w:pStyle w:val="2001"/>
            </w:pPr>
            <w:r>
              <w:t>10</w:t>
            </w:r>
          </w:p>
        </w:tc>
        <w:tc>
          <w:tcPr>
            <w:tcW w:w="520" w:type="dxa"/>
            <w:vAlign w:val="center"/>
          </w:tcPr>
          <w:p>
            <w:pPr>
              <w:pStyle w:val="2001"/>
            </w:pPr>
            <w:r>
              <w:t>5.5</w:t>
            </w:r>
          </w:p>
        </w:tc>
        <w:tc>
          <w:tcPr>
            <w:tcW w:w="520" w:type="dxa"/>
            <w:vAlign w:val="center"/>
          </w:tcPr>
          <w:p>
            <w:pPr>
              <w:pStyle w:val="2001"/>
            </w:pPr>
            <w:r>
              <w:t>250</w:t>
            </w:r>
          </w:p>
        </w:tc>
        <w:tc>
          <w:tcPr>
            <w:tcW w:w="520" w:type="dxa"/>
            <w:vAlign w:val="center"/>
          </w:tcPr>
          <w:p>
            <w:pPr>
              <w:pStyle w:val="2001"/>
            </w:pPr>
            <w:r>
              <w:t>0.3</w:t>
            </w:r>
          </w:p>
        </w:tc>
        <w:tc>
          <w:tcPr>
            <w:tcW w:w="520" w:type="dxa"/>
            <w:vAlign w:val="center"/>
          </w:tcPr>
          <w:p>
            <w:pPr>
              <w:pStyle w:val="2001"/>
            </w:pPr>
            <w:r>
              <w:t>10</w:t>
            </w:r>
          </w:p>
        </w:tc>
        <w:tc>
          <w:tcPr>
            <w:tcW w:w="520" w:type="dxa"/>
            <w:vAlign w:val="center"/>
          </w:tcPr>
          <w:p>
            <w:pPr>
              <w:pStyle w:val="2001"/>
            </w:pPr>
            <w:r>
              <w:t>5.5</w:t>
            </w:r>
          </w:p>
        </w:tc>
        <w:tc>
          <w:tcPr>
            <w:tcW w:w="855" w:type="dxa"/>
            <w:vAlign w:val="center"/>
          </w:tcPr>
          <w:p>
            <w:pPr>
              <w:pStyle w:val="2001"/>
            </w:pPr>
            <w:r>
              <w:t>20</w:t>
            </w:r>
          </w:p>
        </w:tc>
        <w:tc>
          <w:tcPr>
            <w:tcW w:w="2999" w:type="dxa"/>
            <w:vMerge w:val="restart"/>
            <w:vAlign w:val="center"/>
          </w:tcPr>
          <w:p>
            <w:pPr>
              <w:pStyle w:val="2001"/>
              <w:rPr>
                <w:bCs/>
              </w:rPr>
            </w:pPr>
            <w:r>
              <w:t>石油烃执行《第二次全国海洋污染基线调查技术规程》，其余执行《全国海岸带和海涂资源综合调查简明规程》</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312" w:hRule="atLeast"/>
        </w:trPr>
        <w:tc>
          <w:tcPr>
            <w:tcW w:w="1034" w:type="dxa"/>
            <w:vAlign w:val="center"/>
          </w:tcPr>
          <w:p>
            <w:pPr>
              <w:pStyle w:val="2001"/>
            </w:pPr>
            <w:r>
              <w:t>甲壳类≤</w:t>
            </w:r>
          </w:p>
        </w:tc>
        <w:tc>
          <w:tcPr>
            <w:tcW w:w="520" w:type="dxa"/>
            <w:vAlign w:val="center"/>
          </w:tcPr>
          <w:p>
            <w:pPr>
              <w:pStyle w:val="2001"/>
            </w:pPr>
            <w:r>
              <w:t>100</w:t>
            </w:r>
          </w:p>
        </w:tc>
        <w:tc>
          <w:tcPr>
            <w:tcW w:w="520" w:type="dxa"/>
            <w:vAlign w:val="center"/>
          </w:tcPr>
          <w:p>
            <w:pPr>
              <w:pStyle w:val="2001"/>
            </w:pPr>
            <w:r>
              <w:t>2</w:t>
            </w:r>
          </w:p>
        </w:tc>
        <w:tc>
          <w:tcPr>
            <w:tcW w:w="520" w:type="dxa"/>
            <w:vAlign w:val="center"/>
          </w:tcPr>
          <w:p>
            <w:pPr>
              <w:pStyle w:val="2001"/>
            </w:pPr>
            <w:r>
              <w:t>2</w:t>
            </w:r>
          </w:p>
        </w:tc>
        <w:tc>
          <w:tcPr>
            <w:tcW w:w="520" w:type="dxa"/>
            <w:vAlign w:val="center"/>
          </w:tcPr>
          <w:p>
            <w:pPr>
              <w:pStyle w:val="2001"/>
            </w:pPr>
            <w:r>
              <w:t>150</w:t>
            </w:r>
          </w:p>
        </w:tc>
        <w:tc>
          <w:tcPr>
            <w:tcW w:w="520" w:type="dxa"/>
            <w:vAlign w:val="center"/>
          </w:tcPr>
          <w:p>
            <w:pPr>
              <w:pStyle w:val="2001"/>
            </w:pPr>
            <w:r>
              <w:t>0.2</w:t>
            </w:r>
          </w:p>
        </w:tc>
        <w:tc>
          <w:tcPr>
            <w:tcW w:w="520" w:type="dxa"/>
            <w:vAlign w:val="center"/>
          </w:tcPr>
          <w:p>
            <w:pPr>
              <w:pStyle w:val="2001"/>
            </w:pPr>
            <w:r>
              <w:t>8.0</w:t>
            </w:r>
          </w:p>
        </w:tc>
        <w:tc>
          <w:tcPr>
            <w:tcW w:w="520" w:type="dxa"/>
            <w:vAlign w:val="center"/>
          </w:tcPr>
          <w:p>
            <w:pPr>
              <w:pStyle w:val="2001"/>
            </w:pPr>
            <w:r>
              <w:t>1.5</w:t>
            </w:r>
          </w:p>
        </w:tc>
        <w:tc>
          <w:tcPr>
            <w:tcW w:w="855" w:type="dxa"/>
            <w:vAlign w:val="center"/>
          </w:tcPr>
          <w:p>
            <w:pPr>
              <w:pStyle w:val="2001"/>
            </w:pPr>
            <w:r>
              <w:t>20</w:t>
            </w:r>
          </w:p>
        </w:tc>
        <w:tc>
          <w:tcPr>
            <w:tcW w:w="2999" w:type="dxa"/>
            <w:vMerge w:val="continue"/>
            <w:vAlign w:val="center"/>
          </w:tcPr>
          <w:p>
            <w:pPr>
              <w:pStyle w:val="2001"/>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312" w:hRule="atLeast"/>
        </w:trPr>
        <w:tc>
          <w:tcPr>
            <w:tcW w:w="1034" w:type="dxa"/>
            <w:vAlign w:val="center"/>
          </w:tcPr>
          <w:p>
            <w:pPr>
              <w:pStyle w:val="2001"/>
            </w:pPr>
            <w:r>
              <w:t>鱼类≤</w:t>
            </w:r>
          </w:p>
        </w:tc>
        <w:tc>
          <w:tcPr>
            <w:tcW w:w="520" w:type="dxa"/>
            <w:vAlign w:val="center"/>
          </w:tcPr>
          <w:p>
            <w:pPr>
              <w:pStyle w:val="2001"/>
            </w:pPr>
            <w:r>
              <w:t>20</w:t>
            </w:r>
          </w:p>
        </w:tc>
        <w:tc>
          <w:tcPr>
            <w:tcW w:w="520" w:type="dxa"/>
            <w:vAlign w:val="center"/>
          </w:tcPr>
          <w:p>
            <w:pPr>
              <w:pStyle w:val="2001"/>
            </w:pPr>
            <w:r>
              <w:t>2</w:t>
            </w:r>
          </w:p>
        </w:tc>
        <w:tc>
          <w:tcPr>
            <w:tcW w:w="520" w:type="dxa"/>
            <w:vAlign w:val="center"/>
          </w:tcPr>
          <w:p>
            <w:pPr>
              <w:pStyle w:val="2001"/>
            </w:pPr>
            <w:r>
              <w:t>0.6</w:t>
            </w:r>
          </w:p>
        </w:tc>
        <w:tc>
          <w:tcPr>
            <w:tcW w:w="520" w:type="dxa"/>
            <w:vAlign w:val="center"/>
          </w:tcPr>
          <w:p>
            <w:pPr>
              <w:pStyle w:val="2001"/>
            </w:pPr>
            <w:r>
              <w:t>40</w:t>
            </w:r>
          </w:p>
        </w:tc>
        <w:tc>
          <w:tcPr>
            <w:tcW w:w="520" w:type="dxa"/>
            <w:vAlign w:val="center"/>
          </w:tcPr>
          <w:p>
            <w:pPr>
              <w:pStyle w:val="2001"/>
            </w:pPr>
            <w:r>
              <w:t>0.3</w:t>
            </w:r>
          </w:p>
        </w:tc>
        <w:tc>
          <w:tcPr>
            <w:tcW w:w="520" w:type="dxa"/>
            <w:vAlign w:val="center"/>
          </w:tcPr>
          <w:p>
            <w:pPr>
              <w:pStyle w:val="2001"/>
            </w:pPr>
            <w:r>
              <w:t>5.0</w:t>
            </w:r>
          </w:p>
        </w:tc>
        <w:tc>
          <w:tcPr>
            <w:tcW w:w="520" w:type="dxa"/>
            <w:vAlign w:val="center"/>
          </w:tcPr>
          <w:p>
            <w:pPr>
              <w:pStyle w:val="2001"/>
            </w:pPr>
            <w:r>
              <w:t>1.5</w:t>
            </w:r>
          </w:p>
        </w:tc>
        <w:tc>
          <w:tcPr>
            <w:tcW w:w="855" w:type="dxa"/>
            <w:vAlign w:val="center"/>
          </w:tcPr>
          <w:p>
            <w:pPr>
              <w:pStyle w:val="2001"/>
            </w:pPr>
            <w:r>
              <w:t>20</w:t>
            </w:r>
          </w:p>
        </w:tc>
        <w:tc>
          <w:tcPr>
            <w:tcW w:w="2999" w:type="dxa"/>
            <w:vMerge w:val="continue"/>
          </w:tcPr>
          <w:p>
            <w:pPr>
              <w:pStyle w:val="2001"/>
            </w:pPr>
          </w:p>
        </w:tc>
      </w:tr>
    </w:tbl>
    <w:p>
      <w:pPr>
        <w:pStyle w:val="283"/>
        <w:ind w:firstLine="462"/>
        <w:rPr>
          <w:color w:val="000000" w:themeColor="text1"/>
          <w14:textFill>
            <w14:solidFill>
              <w14:schemeClr w14:val="tx1"/>
            </w14:solidFill>
          </w14:textFill>
        </w:rPr>
      </w:pPr>
      <w:r>
        <w:rPr>
          <w:color w:val="000000" w:themeColor="text1"/>
          <w14:textFill>
            <w14:solidFill>
              <w14:schemeClr w14:val="tx1"/>
            </w14:solidFill>
          </w14:textFill>
        </w:rPr>
        <w:t>（二）污染物</w:t>
      </w:r>
      <w:r>
        <w:rPr>
          <w:rFonts w:hint="eastAsia"/>
          <w:color w:val="000000" w:themeColor="text1"/>
          <w14:textFill>
            <w14:solidFill>
              <w14:schemeClr w14:val="tx1"/>
            </w14:solidFill>
          </w14:textFill>
        </w:rPr>
        <w:t>排放</w:t>
      </w:r>
      <w:r>
        <w:rPr>
          <w:color w:val="000000" w:themeColor="text1"/>
          <w14:textFill>
            <w14:solidFill>
              <w14:schemeClr w14:val="tx1"/>
            </w14:solidFill>
          </w14:textFill>
        </w:rPr>
        <w:t>标准</w:t>
      </w:r>
    </w:p>
    <w:p>
      <w:pPr>
        <w:pStyle w:val="283"/>
        <w:ind w:firstLine="462"/>
        <w:rPr>
          <w:color w:val="000000" w:themeColor="text1"/>
          <w14:textFill>
            <w14:solidFill>
              <w14:schemeClr w14:val="tx1"/>
            </w14:solidFill>
          </w14:textFill>
        </w:rPr>
      </w:pPr>
      <w:r>
        <w:rPr>
          <w:rFonts w:hint="eastAsia"/>
          <w:color w:val="000000" w:themeColor="text1"/>
          <w14:textFill>
            <w14:solidFill>
              <w14:schemeClr w14:val="tx1"/>
            </w14:solidFill>
          </w14:textFill>
        </w:rPr>
        <w:t>9号10号泊位生活污水统一收集进入后方陆域生活污水处理站。根据《关于同意码头生活及生产污水接入市政管网的复函》（钦州北投环水复〔2024〕5号，附件13），码头生活污水经预处理达到《污水排入城镇下水道水质标准》（GB/T31962-2015）表1中B级标准，并同时满足大榄坪污水处理厂设计进水水质标准后排入大榄坪污水处理厂。</w:t>
      </w:r>
    </w:p>
    <w:p>
      <w:pPr>
        <w:pStyle w:val="384"/>
        <w:ind w:left="0" w:firstLine="0"/>
        <w:rPr>
          <w:rFonts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《污水排入城镇下水道水质标准》（GB/T31962-2015）</w:t>
      </w:r>
    </w:p>
    <w:tbl>
      <w:tblPr>
        <w:tblStyle w:val="88"/>
        <w:tblW w:w="8528" w:type="dxa"/>
        <w:jc w:val="center"/>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786"/>
        <w:gridCol w:w="1025"/>
        <w:gridCol w:w="977"/>
        <w:gridCol w:w="1150"/>
        <w:gridCol w:w="1153"/>
        <w:gridCol w:w="1153"/>
        <w:gridCol w:w="1153"/>
        <w:gridCol w:w="1131"/>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786" w:type="dxa"/>
            <w:vAlign w:val="center"/>
          </w:tcPr>
          <w:p>
            <w:pPr>
              <w:widowControl/>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项目</w:t>
            </w:r>
          </w:p>
        </w:tc>
        <w:tc>
          <w:tcPr>
            <w:tcW w:w="1025" w:type="dxa"/>
            <w:vAlign w:val="center"/>
          </w:tcPr>
          <w:p>
            <w:pPr>
              <w:widowControl/>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pH</w:t>
            </w:r>
          </w:p>
        </w:tc>
        <w:tc>
          <w:tcPr>
            <w:tcW w:w="977" w:type="dxa"/>
            <w:vAlign w:val="center"/>
          </w:tcPr>
          <w:p>
            <w:pPr>
              <w:widowControl/>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SS</w:t>
            </w:r>
          </w:p>
          <w:p>
            <w:pPr>
              <w:widowControl/>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(mg/L)</w:t>
            </w:r>
          </w:p>
        </w:tc>
        <w:tc>
          <w:tcPr>
            <w:tcW w:w="1150" w:type="dxa"/>
            <w:vAlign w:val="center"/>
          </w:tcPr>
          <w:p>
            <w:pPr>
              <w:widowControl/>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BOD</w:t>
            </w:r>
            <w:r>
              <w:rPr>
                <w:rFonts w:hint="eastAsia"/>
                <w:color w:val="000000" w:themeColor="text1"/>
                <w:kern w:val="0"/>
                <w:sz w:val="21"/>
                <w:szCs w:val="21"/>
                <w:vertAlign w:val="subscript"/>
                <w14:textFill>
                  <w14:solidFill>
                    <w14:schemeClr w14:val="tx1"/>
                  </w14:solidFill>
                </w14:textFill>
              </w:rPr>
              <w:t>5</w:t>
            </w:r>
          </w:p>
          <w:p>
            <w:pPr>
              <w:widowControl/>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(mg/L)</w:t>
            </w:r>
          </w:p>
        </w:tc>
        <w:tc>
          <w:tcPr>
            <w:tcW w:w="1153" w:type="dxa"/>
            <w:vAlign w:val="center"/>
          </w:tcPr>
          <w:p>
            <w:pPr>
              <w:widowControl/>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COD</w:t>
            </w:r>
          </w:p>
          <w:p>
            <w:pPr>
              <w:widowControl/>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(mg/L)</w:t>
            </w:r>
          </w:p>
        </w:tc>
        <w:tc>
          <w:tcPr>
            <w:tcW w:w="1153" w:type="dxa"/>
            <w:vAlign w:val="center"/>
          </w:tcPr>
          <w:p>
            <w:pPr>
              <w:widowControl/>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石油类</w:t>
            </w:r>
            <w:r>
              <w:rPr>
                <w:rFonts w:hint="eastAsia"/>
                <w:color w:val="000000" w:themeColor="text1"/>
                <w:kern w:val="0"/>
                <w:sz w:val="21"/>
                <w:szCs w:val="21"/>
                <w14:textFill>
                  <w14:solidFill>
                    <w14:schemeClr w14:val="tx1"/>
                  </w14:solidFill>
                </w14:textFill>
              </w:rPr>
              <w:t>（</w:t>
            </w:r>
            <w:r>
              <w:rPr>
                <w:color w:val="000000" w:themeColor="text1"/>
                <w:kern w:val="0"/>
                <w:sz w:val="21"/>
                <w:szCs w:val="21"/>
                <w14:textFill>
                  <w14:solidFill>
                    <w14:schemeClr w14:val="tx1"/>
                  </w14:solidFill>
                </w14:textFill>
              </w:rPr>
              <w:t>mg/L)</w:t>
            </w:r>
          </w:p>
        </w:tc>
        <w:tc>
          <w:tcPr>
            <w:tcW w:w="1153" w:type="dxa"/>
            <w:vAlign w:val="center"/>
          </w:tcPr>
          <w:p>
            <w:pPr>
              <w:widowControl/>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氨氮</w:t>
            </w:r>
            <w:r>
              <w:rPr>
                <w:rFonts w:hint="eastAsia"/>
                <w:color w:val="000000" w:themeColor="text1"/>
                <w:kern w:val="0"/>
                <w:sz w:val="21"/>
                <w:szCs w:val="21"/>
                <w14:textFill>
                  <w14:solidFill>
                    <w14:schemeClr w14:val="tx1"/>
                  </w14:solidFill>
                </w14:textFill>
              </w:rPr>
              <w:t>（</w:t>
            </w:r>
            <w:r>
              <w:rPr>
                <w:color w:val="000000" w:themeColor="text1"/>
                <w:kern w:val="0"/>
                <w:sz w:val="21"/>
                <w:szCs w:val="21"/>
                <w14:textFill>
                  <w14:solidFill>
                    <w14:schemeClr w14:val="tx1"/>
                  </w14:solidFill>
                </w14:textFill>
              </w:rPr>
              <w:t>mg/L)</w:t>
            </w:r>
          </w:p>
        </w:tc>
        <w:tc>
          <w:tcPr>
            <w:tcW w:w="1131" w:type="dxa"/>
            <w:vAlign w:val="center"/>
          </w:tcPr>
          <w:p>
            <w:pPr>
              <w:widowControl/>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总磷</w:t>
            </w:r>
          </w:p>
          <w:p>
            <w:pPr>
              <w:widowControl/>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(mg/L)</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786" w:type="dxa"/>
            <w:vAlign w:val="center"/>
          </w:tcPr>
          <w:p>
            <w:pPr>
              <w:widowControl/>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B级</w:t>
            </w:r>
          </w:p>
        </w:tc>
        <w:tc>
          <w:tcPr>
            <w:tcW w:w="1025" w:type="dxa"/>
            <w:vAlign w:val="center"/>
          </w:tcPr>
          <w:p>
            <w:pPr>
              <w:widowControl/>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6</w:t>
            </w:r>
            <w:r>
              <w:rPr>
                <w:rFonts w:hint="eastAsia"/>
                <w:color w:val="000000" w:themeColor="text1"/>
                <w:kern w:val="0"/>
                <w:sz w:val="21"/>
                <w:szCs w:val="21"/>
                <w14:textFill>
                  <w14:solidFill>
                    <w14:schemeClr w14:val="tx1"/>
                  </w14:solidFill>
                </w14:textFill>
              </w:rPr>
              <w:t>.5</w:t>
            </w:r>
            <w:r>
              <w:rPr>
                <w:color w:val="000000" w:themeColor="text1"/>
                <w:kern w:val="0"/>
                <w:sz w:val="21"/>
                <w:szCs w:val="21"/>
                <w14:textFill>
                  <w14:solidFill>
                    <w14:schemeClr w14:val="tx1"/>
                  </w14:solidFill>
                </w14:textFill>
              </w:rPr>
              <w:t>~9</w:t>
            </w:r>
            <w:r>
              <w:rPr>
                <w:rFonts w:hint="eastAsia"/>
                <w:color w:val="000000" w:themeColor="text1"/>
                <w:kern w:val="0"/>
                <w:sz w:val="21"/>
                <w:szCs w:val="21"/>
                <w14:textFill>
                  <w14:solidFill>
                    <w14:schemeClr w14:val="tx1"/>
                  </w14:solidFill>
                </w14:textFill>
              </w:rPr>
              <w:t>.5</w:t>
            </w:r>
          </w:p>
        </w:tc>
        <w:tc>
          <w:tcPr>
            <w:tcW w:w="977" w:type="dxa"/>
            <w:vAlign w:val="center"/>
          </w:tcPr>
          <w:p>
            <w:pPr>
              <w:widowControl/>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400</w:t>
            </w:r>
          </w:p>
        </w:tc>
        <w:tc>
          <w:tcPr>
            <w:tcW w:w="1150" w:type="dxa"/>
            <w:vAlign w:val="center"/>
          </w:tcPr>
          <w:p>
            <w:pPr>
              <w:widowControl/>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350</w:t>
            </w:r>
          </w:p>
        </w:tc>
        <w:tc>
          <w:tcPr>
            <w:tcW w:w="1153" w:type="dxa"/>
            <w:vAlign w:val="center"/>
          </w:tcPr>
          <w:p>
            <w:pPr>
              <w:widowControl/>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500</w:t>
            </w:r>
          </w:p>
        </w:tc>
        <w:tc>
          <w:tcPr>
            <w:tcW w:w="1153" w:type="dxa"/>
            <w:vAlign w:val="center"/>
          </w:tcPr>
          <w:p>
            <w:pPr>
              <w:widowControl/>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15</w:t>
            </w:r>
          </w:p>
        </w:tc>
        <w:tc>
          <w:tcPr>
            <w:tcW w:w="1153" w:type="dxa"/>
            <w:vAlign w:val="center"/>
          </w:tcPr>
          <w:p>
            <w:pPr>
              <w:widowControl/>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45</w:t>
            </w:r>
          </w:p>
        </w:tc>
        <w:tc>
          <w:tcPr>
            <w:tcW w:w="1131" w:type="dxa"/>
            <w:vAlign w:val="center"/>
          </w:tcPr>
          <w:p>
            <w:pPr>
              <w:widowControl/>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8</w:t>
            </w:r>
          </w:p>
        </w:tc>
      </w:tr>
    </w:tbl>
    <w:p>
      <w:pPr>
        <w:pStyle w:val="283"/>
        <w:ind w:firstLine="462"/>
        <w:rPr>
          <w:color w:val="000000" w:themeColor="text1"/>
          <w14:textFill>
            <w14:solidFill>
              <w14:schemeClr w14:val="tx1"/>
            </w14:solidFill>
          </w14:textFill>
        </w:rPr>
      </w:pPr>
      <w:r>
        <w:rPr>
          <w:rFonts w:hint="eastAsia"/>
          <w:color w:val="000000" w:themeColor="text1"/>
          <w14:textFill>
            <w14:solidFill>
              <w14:schemeClr w14:val="tx1"/>
            </w14:solidFill>
          </w14:textFill>
        </w:rPr>
        <w:t>大榄坪污水处理厂出水水质执行《城镇污水处理厂污染物排放标准》（GB18918-2002）一级A标准。</w:t>
      </w:r>
    </w:p>
    <w:p>
      <w:pPr>
        <w:pStyle w:val="384"/>
        <w:ind w:left="0" w:firstLine="0"/>
        <w:rPr>
          <w:rFonts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大榄坪</w:t>
      </w:r>
      <w:r>
        <w:rPr>
          <w:rFonts w:cs="Times New Roman"/>
          <w:color w:val="000000" w:themeColor="text1"/>
          <w14:textFill>
            <w14:solidFill>
              <w14:schemeClr w14:val="tx1"/>
            </w14:solidFill>
          </w14:textFill>
        </w:rPr>
        <w:t>污水处理厂设计进出水水质标准</w:t>
      </w:r>
    </w:p>
    <w:tbl>
      <w:tblPr>
        <w:tblStyle w:val="89"/>
        <w:tblW w:w="8528" w:type="dxa"/>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2657"/>
        <w:gridCol w:w="1028"/>
        <w:gridCol w:w="1189"/>
        <w:gridCol w:w="826"/>
        <w:gridCol w:w="776"/>
        <w:gridCol w:w="1312"/>
        <w:gridCol w:w="740"/>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c>
          <w:tcPr>
            <w:tcW w:w="2657" w:type="dxa"/>
          </w:tcPr>
          <w:p>
            <w:pPr>
              <w:pStyle w:val="2001"/>
            </w:pPr>
            <w:r>
              <w:t>项目</w:t>
            </w:r>
          </w:p>
        </w:tc>
        <w:tc>
          <w:tcPr>
            <w:tcW w:w="1028" w:type="dxa"/>
          </w:tcPr>
          <w:p>
            <w:pPr>
              <w:pStyle w:val="2001"/>
            </w:pPr>
            <w:r>
              <w:rPr>
                <w:rFonts w:hint="eastAsia"/>
              </w:rPr>
              <w:t>COD</w:t>
            </w:r>
          </w:p>
        </w:tc>
        <w:tc>
          <w:tcPr>
            <w:tcW w:w="1189" w:type="dxa"/>
          </w:tcPr>
          <w:p>
            <w:pPr>
              <w:pStyle w:val="2001"/>
            </w:pPr>
            <w:r>
              <w:rPr>
                <w:rFonts w:hint="eastAsia"/>
              </w:rPr>
              <w:t>BOD</w:t>
            </w:r>
            <w:r>
              <w:rPr>
                <w:rFonts w:hint="eastAsia"/>
                <w:vertAlign w:val="subscript"/>
              </w:rPr>
              <w:t>5</w:t>
            </w:r>
          </w:p>
        </w:tc>
        <w:tc>
          <w:tcPr>
            <w:tcW w:w="826" w:type="dxa"/>
          </w:tcPr>
          <w:p>
            <w:pPr>
              <w:pStyle w:val="2001"/>
            </w:pPr>
            <w:r>
              <w:rPr>
                <w:rFonts w:hint="eastAsia"/>
              </w:rPr>
              <w:t>SS</w:t>
            </w:r>
          </w:p>
        </w:tc>
        <w:tc>
          <w:tcPr>
            <w:tcW w:w="776" w:type="dxa"/>
          </w:tcPr>
          <w:p>
            <w:pPr>
              <w:pStyle w:val="2001"/>
            </w:pPr>
            <w:r>
              <w:rPr>
                <w:rFonts w:hint="eastAsia"/>
              </w:rPr>
              <w:t>TN</w:t>
            </w:r>
          </w:p>
        </w:tc>
        <w:tc>
          <w:tcPr>
            <w:tcW w:w="1312" w:type="dxa"/>
          </w:tcPr>
          <w:p>
            <w:pPr>
              <w:pStyle w:val="2001"/>
            </w:pPr>
            <w:r>
              <w:rPr>
                <w:rFonts w:hint="eastAsia"/>
              </w:rPr>
              <w:t>NH</w:t>
            </w:r>
            <w:r>
              <w:rPr>
                <w:rFonts w:hint="eastAsia"/>
                <w:vertAlign w:val="subscript"/>
              </w:rPr>
              <w:t>3</w:t>
            </w:r>
            <w:r>
              <w:rPr>
                <w:rFonts w:hint="eastAsia"/>
              </w:rPr>
              <w:t>-N</w:t>
            </w:r>
          </w:p>
        </w:tc>
        <w:tc>
          <w:tcPr>
            <w:tcW w:w="740" w:type="dxa"/>
          </w:tcPr>
          <w:p>
            <w:pPr>
              <w:pStyle w:val="2001"/>
            </w:pPr>
            <w:r>
              <w:rPr>
                <w:rFonts w:hint="eastAsia"/>
              </w:rPr>
              <w:t>TP</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c>
          <w:tcPr>
            <w:tcW w:w="2657" w:type="dxa"/>
            <w:vAlign w:val="center"/>
          </w:tcPr>
          <w:p>
            <w:pPr>
              <w:pStyle w:val="2001"/>
            </w:pPr>
            <w:r>
              <w:t>设计进水水质</w:t>
            </w:r>
          </w:p>
        </w:tc>
        <w:tc>
          <w:tcPr>
            <w:tcW w:w="1028" w:type="dxa"/>
            <w:vAlign w:val="center"/>
          </w:tcPr>
          <w:p>
            <w:pPr>
              <w:pStyle w:val="2001"/>
            </w:pPr>
            <w:r>
              <w:t>≤</w:t>
            </w:r>
            <w:r>
              <w:rPr>
                <w:rFonts w:hint="eastAsia"/>
              </w:rPr>
              <w:t>450</w:t>
            </w:r>
          </w:p>
        </w:tc>
        <w:tc>
          <w:tcPr>
            <w:tcW w:w="1189" w:type="dxa"/>
            <w:vAlign w:val="center"/>
          </w:tcPr>
          <w:p>
            <w:pPr>
              <w:pStyle w:val="2001"/>
            </w:pPr>
            <w:r>
              <w:t>≤</w:t>
            </w:r>
            <w:r>
              <w:rPr>
                <w:rFonts w:hint="eastAsia"/>
              </w:rPr>
              <w:t>200</w:t>
            </w:r>
          </w:p>
        </w:tc>
        <w:tc>
          <w:tcPr>
            <w:tcW w:w="826" w:type="dxa"/>
            <w:vAlign w:val="center"/>
          </w:tcPr>
          <w:p>
            <w:pPr>
              <w:pStyle w:val="2001"/>
            </w:pPr>
            <w:r>
              <w:t>≤</w:t>
            </w:r>
            <w:r>
              <w:rPr>
                <w:rFonts w:hint="eastAsia"/>
              </w:rPr>
              <w:t>300</w:t>
            </w:r>
          </w:p>
        </w:tc>
        <w:tc>
          <w:tcPr>
            <w:tcW w:w="776" w:type="dxa"/>
            <w:vAlign w:val="center"/>
          </w:tcPr>
          <w:p>
            <w:pPr>
              <w:pStyle w:val="2001"/>
            </w:pPr>
            <w:r>
              <w:t>≤</w:t>
            </w:r>
            <w:r>
              <w:rPr>
                <w:rFonts w:hint="eastAsia"/>
              </w:rPr>
              <w:t>45</w:t>
            </w:r>
          </w:p>
        </w:tc>
        <w:tc>
          <w:tcPr>
            <w:tcW w:w="1312" w:type="dxa"/>
            <w:vAlign w:val="center"/>
          </w:tcPr>
          <w:p>
            <w:pPr>
              <w:pStyle w:val="2001"/>
            </w:pPr>
            <w:r>
              <w:t>≤</w:t>
            </w:r>
            <w:r>
              <w:rPr>
                <w:rFonts w:hint="eastAsia"/>
              </w:rPr>
              <w:t>35</w:t>
            </w:r>
          </w:p>
        </w:tc>
        <w:tc>
          <w:tcPr>
            <w:tcW w:w="740" w:type="dxa"/>
            <w:vAlign w:val="center"/>
          </w:tcPr>
          <w:p>
            <w:pPr>
              <w:pStyle w:val="2001"/>
            </w:pPr>
            <w:r>
              <w:t>≤</w:t>
            </w:r>
            <w:r>
              <w:rPr>
                <w:rFonts w:hint="eastAsia"/>
              </w:rPr>
              <w:t>5</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c>
          <w:tcPr>
            <w:tcW w:w="2657" w:type="dxa"/>
            <w:vAlign w:val="center"/>
          </w:tcPr>
          <w:p>
            <w:pPr>
              <w:pStyle w:val="2001"/>
            </w:pPr>
            <w:r>
              <w:t>设计出水水质</w:t>
            </w:r>
            <w:r>
              <w:rPr>
                <w:rFonts w:hint="eastAsia"/>
              </w:rPr>
              <w:t>（一级A标准）</w:t>
            </w:r>
          </w:p>
        </w:tc>
        <w:tc>
          <w:tcPr>
            <w:tcW w:w="1028" w:type="dxa"/>
            <w:vAlign w:val="center"/>
          </w:tcPr>
          <w:p>
            <w:pPr>
              <w:pStyle w:val="2001"/>
            </w:pPr>
            <w:r>
              <w:t>≤</w:t>
            </w:r>
            <w:r>
              <w:rPr>
                <w:rFonts w:hint="eastAsia"/>
              </w:rPr>
              <w:t>50</w:t>
            </w:r>
          </w:p>
        </w:tc>
        <w:tc>
          <w:tcPr>
            <w:tcW w:w="1189" w:type="dxa"/>
            <w:vAlign w:val="center"/>
          </w:tcPr>
          <w:p>
            <w:pPr>
              <w:pStyle w:val="2001"/>
            </w:pPr>
            <w:r>
              <w:t>≤</w:t>
            </w:r>
            <w:r>
              <w:rPr>
                <w:rFonts w:hint="eastAsia"/>
              </w:rPr>
              <w:t>10</w:t>
            </w:r>
          </w:p>
        </w:tc>
        <w:tc>
          <w:tcPr>
            <w:tcW w:w="826" w:type="dxa"/>
            <w:vAlign w:val="center"/>
          </w:tcPr>
          <w:p>
            <w:pPr>
              <w:pStyle w:val="2001"/>
            </w:pPr>
            <w:r>
              <w:t>≤</w:t>
            </w:r>
            <w:r>
              <w:rPr>
                <w:rFonts w:hint="eastAsia"/>
              </w:rPr>
              <w:t>10</w:t>
            </w:r>
          </w:p>
        </w:tc>
        <w:tc>
          <w:tcPr>
            <w:tcW w:w="776" w:type="dxa"/>
            <w:vAlign w:val="center"/>
          </w:tcPr>
          <w:p>
            <w:pPr>
              <w:pStyle w:val="2001"/>
            </w:pPr>
            <w:r>
              <w:t>≤</w:t>
            </w:r>
            <w:r>
              <w:rPr>
                <w:rFonts w:hint="eastAsia"/>
              </w:rPr>
              <w:t>15</w:t>
            </w:r>
          </w:p>
        </w:tc>
        <w:tc>
          <w:tcPr>
            <w:tcW w:w="1312" w:type="dxa"/>
            <w:vAlign w:val="center"/>
          </w:tcPr>
          <w:p>
            <w:pPr>
              <w:pStyle w:val="2001"/>
            </w:pPr>
            <w:r>
              <w:t>≤</w:t>
            </w:r>
            <w:r>
              <w:rPr>
                <w:rFonts w:hint="eastAsia"/>
              </w:rPr>
              <w:t>5（8）</w:t>
            </w:r>
          </w:p>
        </w:tc>
        <w:tc>
          <w:tcPr>
            <w:tcW w:w="740" w:type="dxa"/>
            <w:vAlign w:val="center"/>
          </w:tcPr>
          <w:p>
            <w:pPr>
              <w:pStyle w:val="2001"/>
            </w:pPr>
            <w:r>
              <w:t>≤</w:t>
            </w:r>
            <w:r>
              <w:rPr>
                <w:rFonts w:hint="eastAsia"/>
              </w:rPr>
              <w:t>0.5</w:t>
            </w:r>
          </w:p>
        </w:tc>
      </w:tr>
    </w:tbl>
    <w:p>
      <w:pPr>
        <w:pStyle w:val="283"/>
        <w:ind w:firstLine="462"/>
        <w:rPr>
          <w:color w:val="000000" w:themeColor="text1"/>
          <w14:textFill>
            <w14:solidFill>
              <w14:schemeClr w14:val="tx1"/>
            </w14:solidFill>
          </w14:textFill>
        </w:rPr>
      </w:pPr>
      <w:r>
        <w:rPr>
          <w:rFonts w:hint="eastAsia"/>
          <w:color w:val="000000" w:themeColor="text1"/>
          <w14:textFill>
            <w14:solidFill>
              <w14:schemeClr w14:val="tx1"/>
            </w14:solidFill>
          </w14:textFill>
        </w:rPr>
        <w:t>船舶在港期间船舶污水执行《沿海海域船舶排污设备铅封管理规定》，不得排放到港口水体。船舶含油污水、生活污水由有资质单位接收处置，码头预留船舶污水接收口，船舶靠岸后有需求的可由码头联系有资质单位前往码头接收。船舶航行途中船舶污水自行处理时，污染物排放执行《船舶水污染物排放控制标准》（GB3552-2018）</w:t>
      </w:r>
      <w:r>
        <w:rPr>
          <w:color w:val="000000" w:themeColor="text1"/>
          <w14:textFill>
            <w14:solidFill>
              <w14:schemeClr w14:val="tx1"/>
            </w14:solidFill>
          </w14:textFill>
        </w:rPr>
        <w:t>。</w:t>
      </w:r>
    </w:p>
    <w:p>
      <w:pPr>
        <w:pStyle w:val="384"/>
        <w:ind w:left="0" w:firstLine="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船舶水污染物排放标准</w:t>
      </w:r>
    </w:p>
    <w:tbl>
      <w:tblPr>
        <w:tblStyle w:val="88"/>
        <w:tblW w:w="8405" w:type="dxa"/>
        <w:tblInd w:w="123"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502"/>
        <w:gridCol w:w="673"/>
        <w:gridCol w:w="750"/>
        <w:gridCol w:w="2029"/>
        <w:gridCol w:w="3499"/>
        <w:gridCol w:w="952"/>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blHeader/>
        </w:trPr>
        <w:tc>
          <w:tcPr>
            <w:tcW w:w="1175" w:type="dxa"/>
            <w:gridSpan w:val="2"/>
            <w:shd w:val="clear" w:color="auto" w:fill="auto"/>
            <w:vAlign w:val="center"/>
          </w:tcPr>
          <w:p>
            <w:pPr>
              <w:widowControl/>
              <w:jc w:val="center"/>
              <w:rPr>
                <w:b/>
                <w:color w:val="000000" w:themeColor="text1"/>
                <w:kern w:val="0"/>
                <w:sz w:val="21"/>
                <w:szCs w:val="21"/>
                <w14:textFill>
                  <w14:solidFill>
                    <w14:schemeClr w14:val="tx1"/>
                  </w14:solidFill>
                </w14:textFill>
              </w:rPr>
            </w:pPr>
            <w:bookmarkStart w:id="46" w:name="_Hlk58775992"/>
            <w:r>
              <w:rPr>
                <w:b/>
                <w:color w:val="000000" w:themeColor="text1"/>
                <w:kern w:val="0"/>
                <w:sz w:val="21"/>
                <w:szCs w:val="21"/>
                <w14:textFill>
                  <w14:solidFill>
                    <w14:schemeClr w14:val="tx1"/>
                  </w14:solidFill>
                </w14:textFill>
              </w:rPr>
              <w:t>污水类型</w:t>
            </w:r>
          </w:p>
        </w:tc>
        <w:tc>
          <w:tcPr>
            <w:tcW w:w="750" w:type="dxa"/>
            <w:shd w:val="clear" w:color="auto" w:fill="auto"/>
            <w:vAlign w:val="center"/>
          </w:tcPr>
          <w:p>
            <w:pPr>
              <w:widowControl/>
              <w:jc w:val="center"/>
              <w:rPr>
                <w:b/>
                <w:color w:val="000000" w:themeColor="text1"/>
                <w:kern w:val="0"/>
                <w:sz w:val="21"/>
                <w:szCs w:val="21"/>
                <w14:textFill>
                  <w14:solidFill>
                    <w14:schemeClr w14:val="tx1"/>
                  </w14:solidFill>
                </w14:textFill>
              </w:rPr>
            </w:pPr>
            <w:r>
              <w:rPr>
                <w:b/>
                <w:color w:val="000000" w:themeColor="text1"/>
                <w:kern w:val="0"/>
                <w:sz w:val="21"/>
                <w:szCs w:val="21"/>
                <w14:textFill>
                  <w14:solidFill>
                    <w14:schemeClr w14:val="tx1"/>
                  </w14:solidFill>
                </w14:textFill>
              </w:rPr>
              <w:t>水域类别</w:t>
            </w:r>
          </w:p>
        </w:tc>
        <w:tc>
          <w:tcPr>
            <w:tcW w:w="2029" w:type="dxa"/>
            <w:shd w:val="clear" w:color="auto" w:fill="auto"/>
            <w:vAlign w:val="center"/>
          </w:tcPr>
          <w:p>
            <w:pPr>
              <w:widowControl/>
              <w:jc w:val="center"/>
              <w:rPr>
                <w:b/>
                <w:color w:val="000000" w:themeColor="text1"/>
                <w:kern w:val="0"/>
                <w:sz w:val="21"/>
                <w:szCs w:val="21"/>
                <w14:textFill>
                  <w14:solidFill>
                    <w14:schemeClr w14:val="tx1"/>
                  </w14:solidFill>
                </w14:textFill>
              </w:rPr>
            </w:pPr>
            <w:r>
              <w:rPr>
                <w:b/>
                <w:color w:val="000000" w:themeColor="text1"/>
                <w:kern w:val="0"/>
                <w:sz w:val="21"/>
                <w:szCs w:val="21"/>
                <w14:textFill>
                  <w14:solidFill>
                    <w14:schemeClr w14:val="tx1"/>
                  </w14:solidFill>
                </w14:textFill>
              </w:rPr>
              <w:t>船舶类别</w:t>
            </w:r>
          </w:p>
        </w:tc>
        <w:tc>
          <w:tcPr>
            <w:tcW w:w="3499" w:type="dxa"/>
            <w:shd w:val="clear" w:color="auto" w:fill="auto"/>
            <w:vAlign w:val="center"/>
          </w:tcPr>
          <w:p>
            <w:pPr>
              <w:widowControl/>
              <w:jc w:val="center"/>
              <w:rPr>
                <w:b/>
                <w:color w:val="000000" w:themeColor="text1"/>
                <w:kern w:val="0"/>
                <w:sz w:val="21"/>
                <w:szCs w:val="21"/>
                <w14:textFill>
                  <w14:solidFill>
                    <w14:schemeClr w14:val="tx1"/>
                  </w14:solidFill>
                </w14:textFill>
              </w:rPr>
            </w:pPr>
            <w:r>
              <w:rPr>
                <w:b/>
                <w:color w:val="000000" w:themeColor="text1"/>
                <w:kern w:val="0"/>
                <w:sz w:val="21"/>
                <w:szCs w:val="21"/>
                <w14:textFill>
                  <w14:solidFill>
                    <w14:schemeClr w14:val="tx1"/>
                  </w14:solidFill>
                </w14:textFill>
              </w:rPr>
              <w:t>排放控制标准</w:t>
            </w:r>
          </w:p>
        </w:tc>
        <w:tc>
          <w:tcPr>
            <w:tcW w:w="952" w:type="dxa"/>
            <w:shd w:val="clear" w:color="auto" w:fill="auto"/>
            <w:vAlign w:val="center"/>
          </w:tcPr>
          <w:p>
            <w:pPr>
              <w:widowControl/>
              <w:jc w:val="center"/>
              <w:rPr>
                <w:b/>
                <w:color w:val="000000" w:themeColor="text1"/>
                <w:kern w:val="0"/>
                <w:sz w:val="21"/>
                <w:szCs w:val="21"/>
                <w14:textFill>
                  <w14:solidFill>
                    <w14:schemeClr w14:val="tx1"/>
                  </w14:solidFill>
                </w14:textFill>
              </w:rPr>
            </w:pPr>
            <w:r>
              <w:rPr>
                <w:b/>
                <w:color w:val="000000" w:themeColor="text1"/>
                <w:kern w:val="0"/>
                <w:sz w:val="21"/>
                <w:szCs w:val="21"/>
                <w14:textFill>
                  <w14:solidFill>
                    <w14:schemeClr w14:val="tx1"/>
                  </w14:solidFill>
                </w14:textFill>
              </w:rPr>
              <w:t>污染物排放监控位置</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832" w:hRule="atLeast"/>
        </w:trPr>
        <w:tc>
          <w:tcPr>
            <w:tcW w:w="502" w:type="dxa"/>
            <w:vMerge w:val="restart"/>
            <w:shd w:val="clear" w:color="auto" w:fill="auto"/>
            <w:vAlign w:val="center"/>
          </w:tcPr>
          <w:p>
            <w:pPr>
              <w:widowControl/>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含油污水</w:t>
            </w:r>
          </w:p>
        </w:tc>
        <w:tc>
          <w:tcPr>
            <w:tcW w:w="673" w:type="dxa"/>
            <w:shd w:val="clear" w:color="auto" w:fill="auto"/>
            <w:vAlign w:val="center"/>
          </w:tcPr>
          <w:p>
            <w:pPr>
              <w:widowControl/>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机器处所污水</w:t>
            </w:r>
          </w:p>
        </w:tc>
        <w:tc>
          <w:tcPr>
            <w:tcW w:w="750" w:type="dxa"/>
            <w:shd w:val="clear" w:color="auto" w:fill="auto"/>
            <w:vAlign w:val="center"/>
          </w:tcPr>
          <w:p>
            <w:pPr>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沿海</w:t>
            </w:r>
          </w:p>
        </w:tc>
        <w:tc>
          <w:tcPr>
            <w:tcW w:w="2029" w:type="dxa"/>
            <w:shd w:val="clear" w:color="auto" w:fill="auto"/>
            <w:vAlign w:val="center"/>
          </w:tcPr>
          <w:p>
            <w:pPr>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400总吨级以上船舶</w:t>
            </w:r>
          </w:p>
        </w:tc>
        <w:tc>
          <w:tcPr>
            <w:tcW w:w="3499" w:type="dxa"/>
            <w:shd w:val="clear" w:color="auto" w:fill="auto"/>
            <w:vAlign w:val="center"/>
          </w:tcPr>
          <w:p>
            <w:pPr>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石油类≤15或收集并排入接收设施</w:t>
            </w:r>
          </w:p>
        </w:tc>
        <w:tc>
          <w:tcPr>
            <w:tcW w:w="952" w:type="dxa"/>
            <w:vMerge w:val="restart"/>
            <w:shd w:val="clear" w:color="auto" w:fill="auto"/>
            <w:vAlign w:val="center"/>
          </w:tcPr>
          <w:p>
            <w:pPr>
              <w:widowControl/>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油污水处理装置出水口</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2178" w:hRule="atLeast"/>
        </w:trPr>
        <w:tc>
          <w:tcPr>
            <w:tcW w:w="502" w:type="dxa"/>
            <w:vMerge w:val="continue"/>
            <w:shd w:val="clear" w:color="auto" w:fill="auto"/>
            <w:vAlign w:val="center"/>
          </w:tcPr>
          <w:p>
            <w:pPr>
              <w:widowControl/>
              <w:jc w:val="center"/>
              <w:rPr>
                <w:color w:val="000000" w:themeColor="text1"/>
                <w:kern w:val="0"/>
                <w:sz w:val="21"/>
                <w:szCs w:val="21"/>
                <w14:textFill>
                  <w14:solidFill>
                    <w14:schemeClr w14:val="tx1"/>
                  </w14:solidFill>
                </w14:textFill>
              </w:rPr>
            </w:pPr>
          </w:p>
        </w:tc>
        <w:tc>
          <w:tcPr>
            <w:tcW w:w="673" w:type="dxa"/>
            <w:shd w:val="clear" w:color="auto" w:fill="auto"/>
            <w:vAlign w:val="center"/>
          </w:tcPr>
          <w:p>
            <w:pPr>
              <w:widowControl/>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含货油残余物的油污水</w:t>
            </w:r>
          </w:p>
        </w:tc>
        <w:tc>
          <w:tcPr>
            <w:tcW w:w="750" w:type="dxa"/>
            <w:shd w:val="clear" w:color="auto" w:fill="auto"/>
            <w:vAlign w:val="center"/>
          </w:tcPr>
          <w:p>
            <w:pPr>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沿海</w:t>
            </w:r>
          </w:p>
        </w:tc>
        <w:tc>
          <w:tcPr>
            <w:tcW w:w="2029" w:type="dxa"/>
            <w:shd w:val="clear" w:color="auto" w:fill="auto"/>
            <w:vAlign w:val="center"/>
          </w:tcPr>
          <w:p>
            <w:pPr>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150总吨及以上船舶</w:t>
            </w:r>
          </w:p>
        </w:tc>
        <w:tc>
          <w:tcPr>
            <w:tcW w:w="3499" w:type="dxa"/>
            <w:shd w:val="clear" w:color="auto" w:fill="auto"/>
            <w:vAlign w:val="center"/>
          </w:tcPr>
          <w:p>
            <w:pPr>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收集并排入接收设施，或在船舶航行中排放，并同时满足下列条件：（1）油船距最近陆地50海里以上；（2）排入海中油污水含油量瞬间排放率不超过30升/海里；（3）排入海中油污水含油量不得超过货油总量的1/30000；（4）排油监控系统运转正常。</w:t>
            </w:r>
          </w:p>
        </w:tc>
        <w:tc>
          <w:tcPr>
            <w:tcW w:w="952" w:type="dxa"/>
            <w:vMerge w:val="continue"/>
            <w:shd w:val="clear" w:color="auto" w:fill="auto"/>
            <w:vAlign w:val="center"/>
          </w:tcPr>
          <w:p>
            <w:pPr>
              <w:widowControl/>
              <w:jc w:val="center"/>
              <w:rPr>
                <w:color w:val="000000" w:themeColor="text1"/>
                <w:kern w:val="0"/>
                <w:sz w:val="21"/>
                <w:szCs w:val="21"/>
                <w14:textFill>
                  <w14:solidFill>
                    <w14:schemeClr w14:val="tx1"/>
                  </w14:solidFill>
                </w14:textFill>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832" w:hRule="atLeast"/>
        </w:trPr>
        <w:tc>
          <w:tcPr>
            <w:tcW w:w="1175" w:type="dxa"/>
            <w:gridSpan w:val="2"/>
            <w:vMerge w:val="restart"/>
            <w:shd w:val="clear" w:color="auto" w:fill="auto"/>
            <w:vAlign w:val="center"/>
          </w:tcPr>
          <w:p>
            <w:pPr>
              <w:widowControl/>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船舶生活污水</w:t>
            </w:r>
          </w:p>
        </w:tc>
        <w:tc>
          <w:tcPr>
            <w:tcW w:w="750" w:type="dxa"/>
            <w:vMerge w:val="restart"/>
            <w:shd w:val="clear" w:color="auto" w:fill="auto"/>
            <w:vAlign w:val="center"/>
          </w:tcPr>
          <w:p>
            <w:pPr>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沿海</w:t>
            </w:r>
          </w:p>
        </w:tc>
        <w:tc>
          <w:tcPr>
            <w:tcW w:w="2029" w:type="dxa"/>
            <w:shd w:val="clear" w:color="auto" w:fill="auto"/>
            <w:vAlign w:val="center"/>
          </w:tcPr>
          <w:p>
            <w:pPr>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2012年1月1日以前安装（含更换）生活污水处理装置的船舶</w:t>
            </w:r>
          </w:p>
        </w:tc>
        <w:tc>
          <w:tcPr>
            <w:tcW w:w="3499" w:type="dxa"/>
            <w:shd w:val="clear" w:color="auto" w:fill="auto"/>
            <w:vAlign w:val="center"/>
          </w:tcPr>
          <w:p>
            <w:pPr>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BOD</w:t>
            </w:r>
            <w:r>
              <w:rPr>
                <w:color w:val="000000" w:themeColor="text1"/>
                <w:kern w:val="0"/>
                <w:sz w:val="21"/>
                <w:szCs w:val="21"/>
                <w:vertAlign w:val="subscript"/>
                <w14:textFill>
                  <w14:solidFill>
                    <w14:schemeClr w14:val="tx1"/>
                  </w14:solidFill>
                </w14:textFill>
              </w:rPr>
              <w:t>5</w:t>
            </w:r>
            <w:r>
              <w:rPr>
                <w:color w:val="000000" w:themeColor="text1"/>
                <w:kern w:val="0"/>
                <w:sz w:val="21"/>
                <w:szCs w:val="21"/>
                <w14:textFill>
                  <w14:solidFill>
                    <w14:schemeClr w14:val="tx1"/>
                  </w14:solidFill>
                </w14:textFill>
              </w:rPr>
              <w:t>≤50；SS≤150；耐热大肠菌群数≤2500个/L</w:t>
            </w:r>
          </w:p>
        </w:tc>
        <w:tc>
          <w:tcPr>
            <w:tcW w:w="952" w:type="dxa"/>
            <w:vMerge w:val="restart"/>
            <w:shd w:val="clear" w:color="auto" w:fill="auto"/>
            <w:vAlign w:val="center"/>
          </w:tcPr>
          <w:p>
            <w:pPr>
              <w:widowControl/>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生活污水处理装置出水口</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c>
          <w:tcPr>
            <w:tcW w:w="1175" w:type="dxa"/>
            <w:gridSpan w:val="2"/>
            <w:vMerge w:val="continue"/>
            <w:shd w:val="clear" w:color="auto" w:fill="auto"/>
            <w:vAlign w:val="center"/>
          </w:tcPr>
          <w:p>
            <w:pPr>
              <w:widowControl/>
              <w:jc w:val="center"/>
              <w:rPr>
                <w:color w:val="000000" w:themeColor="text1"/>
                <w:kern w:val="0"/>
                <w:sz w:val="21"/>
                <w:szCs w:val="21"/>
                <w14:textFill>
                  <w14:solidFill>
                    <w14:schemeClr w14:val="tx1"/>
                  </w14:solidFill>
                </w14:textFill>
              </w:rPr>
            </w:pPr>
          </w:p>
        </w:tc>
        <w:tc>
          <w:tcPr>
            <w:tcW w:w="750" w:type="dxa"/>
            <w:vMerge w:val="continue"/>
            <w:shd w:val="clear" w:color="auto" w:fill="auto"/>
            <w:vAlign w:val="center"/>
          </w:tcPr>
          <w:p>
            <w:pPr>
              <w:widowControl/>
              <w:jc w:val="center"/>
              <w:rPr>
                <w:color w:val="000000" w:themeColor="text1"/>
                <w:kern w:val="0"/>
                <w:sz w:val="21"/>
                <w:szCs w:val="21"/>
                <w14:textFill>
                  <w14:solidFill>
                    <w14:schemeClr w14:val="tx1"/>
                  </w14:solidFill>
                </w14:textFill>
              </w:rPr>
            </w:pPr>
          </w:p>
        </w:tc>
        <w:tc>
          <w:tcPr>
            <w:tcW w:w="2029" w:type="dxa"/>
            <w:shd w:val="clear" w:color="auto" w:fill="auto"/>
            <w:vAlign w:val="center"/>
          </w:tcPr>
          <w:p>
            <w:pPr>
              <w:widowControl/>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2012年1月1日</w:t>
            </w:r>
            <w:r>
              <w:rPr>
                <w:rFonts w:hint="eastAsia"/>
                <w:color w:val="000000" w:themeColor="text1"/>
                <w:kern w:val="0"/>
                <w:sz w:val="21"/>
                <w:szCs w:val="21"/>
                <w14:textFill>
                  <w14:solidFill>
                    <w14:schemeClr w14:val="tx1"/>
                  </w14:solidFill>
                </w14:textFill>
              </w:rPr>
              <w:t>～</w:t>
            </w:r>
            <w:r>
              <w:rPr>
                <w:color w:val="000000" w:themeColor="text1"/>
                <w:kern w:val="0"/>
                <w:sz w:val="21"/>
                <w:szCs w:val="21"/>
                <w14:textFill>
                  <w14:solidFill>
                    <w14:schemeClr w14:val="tx1"/>
                  </w14:solidFill>
                </w14:textFill>
              </w:rPr>
              <w:t>2021年1月1日安装（含更换）生活污水处理装置的船舶</w:t>
            </w:r>
          </w:p>
        </w:tc>
        <w:tc>
          <w:tcPr>
            <w:tcW w:w="3499" w:type="dxa"/>
            <w:shd w:val="clear" w:color="auto" w:fill="auto"/>
            <w:vAlign w:val="center"/>
          </w:tcPr>
          <w:p>
            <w:pPr>
              <w:widowControl/>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BOD</w:t>
            </w:r>
            <w:r>
              <w:rPr>
                <w:color w:val="000000" w:themeColor="text1"/>
                <w:kern w:val="0"/>
                <w:sz w:val="21"/>
                <w:szCs w:val="21"/>
                <w:vertAlign w:val="subscript"/>
                <w14:textFill>
                  <w14:solidFill>
                    <w14:schemeClr w14:val="tx1"/>
                  </w14:solidFill>
                </w14:textFill>
              </w:rPr>
              <w:t>5</w:t>
            </w:r>
            <w:r>
              <w:rPr>
                <w:color w:val="000000" w:themeColor="text1"/>
                <w:kern w:val="0"/>
                <w:sz w:val="21"/>
                <w:szCs w:val="21"/>
                <w14:textFill>
                  <w14:solidFill>
                    <w14:schemeClr w14:val="tx1"/>
                  </w14:solidFill>
                </w14:textFill>
              </w:rPr>
              <w:t>≤25；SS≤35；耐热大肠菌群数≤1000个/L；CODcr≤125；pH值6～8.5；总氯（总余氯）＜0.5</w:t>
            </w:r>
          </w:p>
        </w:tc>
        <w:tc>
          <w:tcPr>
            <w:tcW w:w="952" w:type="dxa"/>
            <w:vMerge w:val="continue"/>
            <w:shd w:val="clear" w:color="auto" w:fill="auto"/>
            <w:vAlign w:val="center"/>
          </w:tcPr>
          <w:p>
            <w:pPr>
              <w:widowControl/>
              <w:jc w:val="center"/>
              <w:rPr>
                <w:color w:val="000000" w:themeColor="text1"/>
                <w:kern w:val="0"/>
                <w:sz w:val="21"/>
                <w:szCs w:val="21"/>
                <w14:textFill>
                  <w14:solidFill>
                    <w14:schemeClr w14:val="tx1"/>
                  </w14:solidFill>
                </w14:textFill>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c>
          <w:tcPr>
            <w:tcW w:w="1175" w:type="dxa"/>
            <w:gridSpan w:val="2"/>
            <w:vMerge w:val="continue"/>
            <w:shd w:val="clear" w:color="auto" w:fill="auto"/>
            <w:vAlign w:val="center"/>
          </w:tcPr>
          <w:p>
            <w:pPr>
              <w:spacing w:line="240" w:lineRule="atLeast"/>
              <w:ind w:firstLine="480"/>
              <w:jc w:val="center"/>
              <w:rPr>
                <w:color w:val="000000" w:themeColor="text1"/>
                <w:sz w:val="21"/>
                <w14:textFill>
                  <w14:solidFill>
                    <w14:schemeClr w14:val="tx1"/>
                  </w14:solidFill>
                </w14:textFill>
              </w:rPr>
            </w:pPr>
          </w:p>
        </w:tc>
        <w:tc>
          <w:tcPr>
            <w:tcW w:w="750" w:type="dxa"/>
            <w:vMerge w:val="continue"/>
            <w:shd w:val="clear" w:color="auto" w:fill="auto"/>
            <w:vAlign w:val="center"/>
          </w:tcPr>
          <w:p>
            <w:pPr>
              <w:spacing w:line="240" w:lineRule="atLeast"/>
              <w:ind w:firstLine="480"/>
              <w:jc w:val="center"/>
              <w:rPr>
                <w:color w:val="000000" w:themeColor="text1"/>
                <w:sz w:val="21"/>
                <w14:textFill>
                  <w14:solidFill>
                    <w14:schemeClr w14:val="tx1"/>
                  </w14:solidFill>
                </w14:textFill>
              </w:rPr>
            </w:pPr>
          </w:p>
        </w:tc>
        <w:tc>
          <w:tcPr>
            <w:tcW w:w="2029" w:type="dxa"/>
            <w:shd w:val="clear" w:color="auto" w:fill="auto"/>
            <w:vAlign w:val="center"/>
          </w:tcPr>
          <w:p>
            <w:pPr>
              <w:widowControl/>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2021年1月1日以后安装（含更换）生活污水处理装置的船舶</w:t>
            </w:r>
          </w:p>
        </w:tc>
        <w:tc>
          <w:tcPr>
            <w:tcW w:w="3499" w:type="dxa"/>
            <w:shd w:val="clear" w:color="auto" w:fill="auto"/>
            <w:vAlign w:val="center"/>
          </w:tcPr>
          <w:p>
            <w:pPr>
              <w:widowControl/>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BOD</w:t>
            </w:r>
            <w:r>
              <w:rPr>
                <w:color w:val="000000" w:themeColor="text1"/>
                <w:kern w:val="0"/>
                <w:sz w:val="21"/>
                <w:szCs w:val="21"/>
                <w:vertAlign w:val="subscript"/>
                <w14:textFill>
                  <w14:solidFill>
                    <w14:schemeClr w14:val="tx1"/>
                  </w14:solidFill>
                </w14:textFill>
              </w:rPr>
              <w:t>5</w:t>
            </w:r>
            <w:r>
              <w:rPr>
                <w:color w:val="000000" w:themeColor="text1"/>
                <w:kern w:val="0"/>
                <w:sz w:val="21"/>
                <w:szCs w:val="21"/>
                <w14:textFill>
                  <w14:solidFill>
                    <w14:schemeClr w14:val="tx1"/>
                  </w14:solidFill>
                </w14:textFill>
              </w:rPr>
              <w:t>≤20；SS≤20；耐热大肠菌群数≤1000个/L；CODcr≤60；pH值6～8.5；总氯（总余氯）＜0.5；总氮≤20；氨氮≤15；总磷≤1</w:t>
            </w:r>
          </w:p>
        </w:tc>
        <w:tc>
          <w:tcPr>
            <w:tcW w:w="952" w:type="dxa"/>
            <w:vMerge w:val="continue"/>
            <w:shd w:val="clear" w:color="auto" w:fill="auto"/>
            <w:vAlign w:val="center"/>
          </w:tcPr>
          <w:p>
            <w:pPr>
              <w:spacing w:line="240" w:lineRule="atLeast"/>
              <w:ind w:firstLine="480"/>
              <w:jc w:val="center"/>
              <w:rPr>
                <w:color w:val="000000" w:themeColor="text1"/>
                <w:sz w:val="21"/>
                <w14:textFill>
                  <w14:solidFill>
                    <w14:schemeClr w14:val="tx1"/>
                  </w14:solidFill>
                </w14:textFill>
              </w:rPr>
            </w:pPr>
          </w:p>
        </w:tc>
      </w:tr>
      <w:bookmarkEnd w:id="46"/>
    </w:tbl>
    <w:p>
      <w:pPr>
        <w:pStyle w:val="6"/>
        <w:rPr>
          <w:color w:val="000000" w:themeColor="text1"/>
          <w14:textFill>
            <w14:solidFill>
              <w14:schemeClr w14:val="tx1"/>
            </w14:solidFill>
          </w14:textFill>
        </w:rPr>
      </w:pPr>
      <w:r>
        <w:rPr>
          <w:color w:val="000000" w:themeColor="text1"/>
          <w14:textFill>
            <w14:solidFill>
              <w14:schemeClr w14:val="tx1"/>
            </w14:solidFill>
          </w14:textFill>
        </w:rPr>
        <w:t>声环境</w:t>
      </w:r>
    </w:p>
    <w:p>
      <w:pPr>
        <w:pStyle w:val="283"/>
        <w:ind w:firstLine="462"/>
        <w:rPr>
          <w:color w:val="000000" w:themeColor="text1"/>
          <w14:textFill>
            <w14:solidFill>
              <w14:schemeClr w14:val="tx1"/>
            </w14:solidFill>
          </w14:textFill>
        </w:rPr>
      </w:pPr>
      <w:r>
        <w:rPr>
          <w:rFonts w:hint="eastAsia"/>
          <w:color w:val="000000" w:themeColor="text1"/>
          <w14:textFill>
            <w14:solidFill>
              <w14:schemeClr w14:val="tx1"/>
            </w14:solidFill>
          </w14:textFill>
        </w:rPr>
        <w:t>（1）环境质量标准</w:t>
      </w:r>
    </w:p>
    <w:p>
      <w:pPr>
        <w:pStyle w:val="283"/>
        <w:ind w:firstLine="462"/>
        <w:rPr>
          <w:color w:val="000000" w:themeColor="text1"/>
          <w14:textFill>
            <w14:solidFill>
              <w14:schemeClr w14:val="tx1"/>
            </w14:solidFill>
          </w14:textFill>
        </w:rPr>
      </w:pPr>
      <w:r>
        <w:rPr>
          <w:rFonts w:hint="eastAsia"/>
          <w:color w:val="000000" w:themeColor="text1"/>
          <w14:textFill>
            <w14:solidFill>
              <w14:schemeClr w14:val="tx1"/>
            </w14:solidFill>
          </w14:textFill>
        </w:rPr>
        <w:t>本项目</w:t>
      </w:r>
      <w:r>
        <w:rPr>
          <w:color w:val="000000" w:themeColor="text1"/>
          <w14:textFill>
            <w14:solidFill>
              <w14:schemeClr w14:val="tx1"/>
            </w14:solidFill>
          </w14:textFill>
        </w:rPr>
        <w:t>声环境质量执行</w:t>
      </w:r>
      <w:r>
        <w:rPr>
          <w:rFonts w:hint="eastAsia"/>
          <w:color w:val="000000" w:themeColor="text1"/>
          <w14:textFill>
            <w14:solidFill>
              <w14:schemeClr w14:val="tx1"/>
            </w14:solidFill>
          </w14:textFill>
        </w:rPr>
        <w:t>《声环境质量标准》（</w:t>
      </w:r>
      <w:r>
        <w:rPr>
          <w:color w:val="000000" w:themeColor="text1"/>
          <w14:textFill>
            <w14:solidFill>
              <w14:schemeClr w14:val="tx1"/>
            </w14:solidFill>
          </w14:textFill>
        </w:rPr>
        <w:t>GB3096-2008</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中的3类标准。</w:t>
      </w:r>
    </w:p>
    <w:p>
      <w:pPr>
        <w:pStyle w:val="384"/>
        <w:ind w:left="0" w:firstLine="0"/>
        <w:jc w:val="right"/>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 xml:space="preserve">声环境质量标准  </w:t>
      </w:r>
      <w:r>
        <w:rPr>
          <w:rFonts w:hint="eastAsia" w:cs="Times New Roman"/>
          <w:color w:val="000000" w:themeColor="text1"/>
          <w14:textFill>
            <w14:solidFill>
              <w14:schemeClr w14:val="tx1"/>
            </w14:solidFill>
          </w14:textFill>
        </w:rPr>
        <w:t xml:space="preserve">           </w:t>
      </w:r>
      <w:r>
        <w:rPr>
          <w:rFonts w:cs="Times New Roman"/>
          <w:color w:val="000000" w:themeColor="text1"/>
          <w14:textFill>
            <w14:solidFill>
              <w14:schemeClr w14:val="tx1"/>
            </w14:solidFill>
          </w14:textFill>
        </w:rPr>
        <w:t xml:space="preserve">   </w:t>
      </w:r>
      <w:r>
        <w:rPr>
          <w:rFonts w:cs="Times New Roman"/>
          <w:b w:val="0"/>
          <w:color w:val="000000" w:themeColor="text1"/>
          <w:sz w:val="21"/>
          <w14:textFill>
            <w14:solidFill>
              <w14:schemeClr w14:val="tx1"/>
            </w14:solidFill>
          </w14:textFill>
        </w:rPr>
        <w:t>Leq：dB</w:t>
      </w:r>
    </w:p>
    <w:tbl>
      <w:tblPr>
        <w:tblStyle w:val="88"/>
        <w:tblW w:w="8528" w:type="dxa"/>
        <w:jc w:val="center"/>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2725"/>
        <w:gridCol w:w="2823"/>
        <w:gridCol w:w="2980"/>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260" w:hRule="atLeast"/>
          <w:jc w:val="center"/>
        </w:trPr>
        <w:tc>
          <w:tcPr>
            <w:tcW w:w="2725" w:type="dxa"/>
            <w:vAlign w:val="center"/>
          </w:tcPr>
          <w:p>
            <w:pPr>
              <w:pStyle w:val="2001"/>
              <w:rPr>
                <w:snapToGrid w:val="0"/>
              </w:rPr>
            </w:pPr>
            <w:r>
              <w:rPr>
                <w:snapToGrid w:val="0"/>
              </w:rPr>
              <w:t>类   别</w:t>
            </w:r>
          </w:p>
        </w:tc>
        <w:tc>
          <w:tcPr>
            <w:tcW w:w="2823" w:type="dxa"/>
            <w:vAlign w:val="center"/>
          </w:tcPr>
          <w:p>
            <w:pPr>
              <w:pStyle w:val="2001"/>
              <w:rPr>
                <w:snapToGrid w:val="0"/>
              </w:rPr>
            </w:pPr>
            <w:r>
              <w:rPr>
                <w:snapToGrid w:val="0"/>
              </w:rPr>
              <w:t>昼   间</w:t>
            </w:r>
          </w:p>
        </w:tc>
        <w:tc>
          <w:tcPr>
            <w:tcW w:w="2980" w:type="dxa"/>
            <w:vAlign w:val="center"/>
          </w:tcPr>
          <w:p>
            <w:pPr>
              <w:pStyle w:val="2001"/>
              <w:rPr>
                <w:snapToGrid w:val="0"/>
              </w:rPr>
            </w:pPr>
            <w:r>
              <w:rPr>
                <w:snapToGrid w:val="0"/>
              </w:rPr>
              <w:t>夜   间</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224" w:hRule="atLeast"/>
          <w:jc w:val="center"/>
        </w:trPr>
        <w:tc>
          <w:tcPr>
            <w:tcW w:w="2725" w:type="dxa"/>
            <w:vAlign w:val="center"/>
          </w:tcPr>
          <w:p>
            <w:pPr>
              <w:pStyle w:val="2001"/>
              <w:rPr>
                <w:snapToGrid w:val="0"/>
              </w:rPr>
            </w:pPr>
            <w:r>
              <w:rPr>
                <w:snapToGrid w:val="0"/>
              </w:rPr>
              <w:t>3</w:t>
            </w:r>
          </w:p>
        </w:tc>
        <w:tc>
          <w:tcPr>
            <w:tcW w:w="2823" w:type="dxa"/>
            <w:vAlign w:val="center"/>
          </w:tcPr>
          <w:p>
            <w:pPr>
              <w:pStyle w:val="2001"/>
              <w:rPr>
                <w:snapToGrid w:val="0"/>
              </w:rPr>
            </w:pPr>
            <w:r>
              <w:rPr>
                <w:snapToGrid w:val="0"/>
              </w:rPr>
              <w:t>65</w:t>
            </w:r>
          </w:p>
        </w:tc>
        <w:tc>
          <w:tcPr>
            <w:tcW w:w="2980" w:type="dxa"/>
            <w:vAlign w:val="center"/>
          </w:tcPr>
          <w:p>
            <w:pPr>
              <w:pStyle w:val="2001"/>
              <w:rPr>
                <w:snapToGrid w:val="0"/>
              </w:rPr>
            </w:pPr>
            <w:r>
              <w:rPr>
                <w:snapToGrid w:val="0"/>
              </w:rPr>
              <w:t>55</w:t>
            </w:r>
          </w:p>
        </w:tc>
      </w:tr>
    </w:tbl>
    <w:p>
      <w:pPr>
        <w:pStyle w:val="283"/>
        <w:ind w:firstLine="462"/>
        <w:rPr>
          <w:color w:val="000000" w:themeColor="text1"/>
          <w14:textFill>
            <w14:solidFill>
              <w14:schemeClr w14:val="tx1"/>
            </w14:solidFill>
          </w14:textFill>
        </w:rPr>
      </w:pPr>
      <w:r>
        <w:rPr>
          <w:rFonts w:hint="eastAsia"/>
          <w:color w:val="000000" w:themeColor="text1"/>
          <w14:textFill>
            <w14:solidFill>
              <w14:schemeClr w14:val="tx1"/>
            </w14:solidFill>
          </w14:textFill>
        </w:rPr>
        <w:t>（</w:t>
      </w:r>
      <w:r>
        <w:rPr>
          <w:color w:val="000000" w:themeColor="text1"/>
          <w14:textFill>
            <w14:solidFill>
              <w14:schemeClr w14:val="tx1"/>
            </w14:solidFill>
          </w14:textFill>
        </w:rPr>
        <w:t>2</w:t>
      </w:r>
      <w:r>
        <w:rPr>
          <w:rFonts w:hint="eastAsia"/>
          <w:color w:val="000000" w:themeColor="text1"/>
          <w14:textFill>
            <w14:solidFill>
              <w14:schemeClr w14:val="tx1"/>
            </w14:solidFill>
          </w14:textFill>
        </w:rPr>
        <w:t>）排放标准</w:t>
      </w:r>
    </w:p>
    <w:p>
      <w:pPr>
        <w:pStyle w:val="283"/>
        <w:ind w:firstLine="462"/>
        <w:rPr>
          <w:color w:val="000000" w:themeColor="text1"/>
          <w14:textFill>
            <w14:solidFill>
              <w14:schemeClr w14:val="tx1"/>
            </w14:solidFill>
          </w14:textFill>
        </w:rPr>
      </w:pPr>
      <w:r>
        <w:rPr>
          <w:color w:val="000000" w:themeColor="text1"/>
          <w14:textFill>
            <w14:solidFill>
              <w14:schemeClr w14:val="tx1"/>
            </w14:solidFill>
          </w14:textFill>
        </w:rPr>
        <w:t>运营期执行《工业企业厂界环境噪声排放标准》（GB12348-2008）中的3类标准</w:t>
      </w:r>
      <w:r>
        <w:rPr>
          <w:rFonts w:hint="eastAsia"/>
          <w:color w:val="000000" w:themeColor="text1"/>
          <w14:textFill>
            <w14:solidFill>
              <w14:schemeClr w14:val="tx1"/>
            </w14:solidFill>
          </w14:textFill>
        </w:rPr>
        <w:t>。</w:t>
      </w:r>
    </w:p>
    <w:p>
      <w:pPr>
        <w:pStyle w:val="384"/>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 xml:space="preserve">工业企业厂界环境噪声排放标准    </w:t>
      </w:r>
      <w:r>
        <w:rPr>
          <w:rFonts w:cs="Times New Roman"/>
          <w:b w:val="0"/>
          <w:color w:val="000000" w:themeColor="text1"/>
          <w:sz w:val="21"/>
          <w14:textFill>
            <w14:solidFill>
              <w14:schemeClr w14:val="tx1"/>
            </w14:solidFill>
          </w14:textFill>
        </w:rPr>
        <w:t>LAeq：dB</w:t>
      </w:r>
    </w:p>
    <w:tbl>
      <w:tblPr>
        <w:tblStyle w:val="88"/>
        <w:tblW w:w="8528" w:type="dxa"/>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3273"/>
        <w:gridCol w:w="2627"/>
        <w:gridCol w:w="2628"/>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3273" w:type="dxa"/>
            <w:vMerge w:val="restart"/>
            <w:vAlign w:val="center"/>
          </w:tcPr>
          <w:p>
            <w:pPr>
              <w:pStyle w:val="2001"/>
            </w:pPr>
            <w:r>
              <w:t>厂界外声环境功能区类别</w:t>
            </w:r>
          </w:p>
        </w:tc>
        <w:tc>
          <w:tcPr>
            <w:tcW w:w="5255" w:type="dxa"/>
            <w:gridSpan w:val="2"/>
            <w:vAlign w:val="center"/>
          </w:tcPr>
          <w:p>
            <w:pPr>
              <w:pStyle w:val="2001"/>
            </w:pPr>
            <w:r>
              <w:t>噪声限值</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3273" w:type="dxa"/>
            <w:vMerge w:val="continue"/>
            <w:vAlign w:val="center"/>
          </w:tcPr>
          <w:p>
            <w:pPr>
              <w:pStyle w:val="2001"/>
            </w:pPr>
          </w:p>
        </w:tc>
        <w:tc>
          <w:tcPr>
            <w:tcW w:w="2627" w:type="dxa"/>
            <w:vAlign w:val="center"/>
          </w:tcPr>
          <w:p>
            <w:pPr>
              <w:pStyle w:val="2001"/>
            </w:pPr>
            <w:r>
              <w:t>昼间</w:t>
            </w:r>
          </w:p>
        </w:tc>
        <w:tc>
          <w:tcPr>
            <w:tcW w:w="2628" w:type="dxa"/>
            <w:vAlign w:val="center"/>
          </w:tcPr>
          <w:p>
            <w:pPr>
              <w:pStyle w:val="2001"/>
            </w:pPr>
            <w:r>
              <w:t>夜间</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3273" w:type="dxa"/>
            <w:vAlign w:val="center"/>
          </w:tcPr>
          <w:p>
            <w:pPr>
              <w:pStyle w:val="2001"/>
            </w:pPr>
            <w:r>
              <w:t>3</w:t>
            </w:r>
          </w:p>
        </w:tc>
        <w:tc>
          <w:tcPr>
            <w:tcW w:w="2627" w:type="dxa"/>
            <w:vAlign w:val="center"/>
          </w:tcPr>
          <w:p>
            <w:pPr>
              <w:pStyle w:val="2001"/>
            </w:pPr>
            <w:r>
              <w:t>65</w:t>
            </w:r>
          </w:p>
        </w:tc>
        <w:tc>
          <w:tcPr>
            <w:tcW w:w="2628" w:type="dxa"/>
            <w:vAlign w:val="center"/>
          </w:tcPr>
          <w:p>
            <w:pPr>
              <w:pStyle w:val="2001"/>
            </w:pPr>
            <w:r>
              <w:t>55</w:t>
            </w:r>
          </w:p>
        </w:tc>
      </w:tr>
    </w:tbl>
    <w:p>
      <w:pPr>
        <w:pStyle w:val="283"/>
        <w:ind w:firstLine="462"/>
        <w:rPr>
          <w:color w:val="000000" w:themeColor="text1"/>
          <w14:textFill>
            <w14:solidFill>
              <w14:schemeClr w14:val="tx1"/>
            </w14:solidFill>
          </w14:textFill>
        </w:rPr>
      </w:pPr>
      <w:r>
        <w:rPr>
          <w:color w:val="000000" w:themeColor="text1"/>
          <w14:textFill>
            <w14:solidFill>
              <w14:schemeClr w14:val="tx1"/>
            </w14:solidFill>
          </w14:textFill>
        </w:rPr>
        <w:t>施工期噪声排放标准执行《建筑施工场界环境噪声排放限值》（GB12523-2011）。</w:t>
      </w:r>
    </w:p>
    <w:p>
      <w:pPr>
        <w:pStyle w:val="384"/>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 xml:space="preserve">建筑施工场界环境噪声排放限值      </w:t>
      </w:r>
      <w:r>
        <w:rPr>
          <w:rFonts w:cs="Times New Roman"/>
          <w:b w:val="0"/>
          <w:color w:val="000000" w:themeColor="text1"/>
          <w:sz w:val="21"/>
          <w14:textFill>
            <w14:solidFill>
              <w14:schemeClr w14:val="tx1"/>
            </w14:solidFill>
          </w14:textFill>
        </w:rPr>
        <w:t>Leq：dB</w:t>
      </w:r>
    </w:p>
    <w:tbl>
      <w:tblPr>
        <w:tblStyle w:val="88"/>
        <w:tblW w:w="8528" w:type="dxa"/>
        <w:jc w:val="center"/>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4148"/>
        <w:gridCol w:w="4380"/>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4148" w:type="dxa"/>
            <w:vAlign w:val="center"/>
          </w:tcPr>
          <w:p>
            <w:pPr>
              <w:pStyle w:val="2001"/>
              <w:rPr>
                <w:snapToGrid w:val="0"/>
              </w:rPr>
            </w:pPr>
            <w:r>
              <w:rPr>
                <w:snapToGrid w:val="0"/>
              </w:rPr>
              <w:t>昼   间</w:t>
            </w:r>
          </w:p>
        </w:tc>
        <w:tc>
          <w:tcPr>
            <w:tcW w:w="4380" w:type="dxa"/>
            <w:vAlign w:val="center"/>
          </w:tcPr>
          <w:p>
            <w:pPr>
              <w:pStyle w:val="2001"/>
              <w:rPr>
                <w:snapToGrid w:val="0"/>
              </w:rPr>
            </w:pPr>
            <w:r>
              <w:rPr>
                <w:snapToGrid w:val="0"/>
              </w:rPr>
              <w:t>夜   间</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4148" w:type="dxa"/>
            <w:vAlign w:val="center"/>
          </w:tcPr>
          <w:p>
            <w:pPr>
              <w:pStyle w:val="2001"/>
              <w:rPr>
                <w:snapToGrid w:val="0"/>
              </w:rPr>
            </w:pPr>
            <w:r>
              <w:rPr>
                <w:snapToGrid w:val="0"/>
              </w:rPr>
              <w:t>70</w:t>
            </w:r>
          </w:p>
        </w:tc>
        <w:tc>
          <w:tcPr>
            <w:tcW w:w="4380" w:type="dxa"/>
            <w:vAlign w:val="center"/>
          </w:tcPr>
          <w:p>
            <w:pPr>
              <w:pStyle w:val="2001"/>
              <w:rPr>
                <w:snapToGrid w:val="0"/>
              </w:rPr>
            </w:pPr>
            <w:r>
              <w:rPr>
                <w:snapToGrid w:val="0"/>
              </w:rPr>
              <w:t>55</w:t>
            </w:r>
          </w:p>
        </w:tc>
      </w:tr>
    </w:tbl>
    <w:p>
      <w:pPr>
        <w:pStyle w:val="6"/>
        <w:rPr>
          <w:color w:val="000000" w:themeColor="text1"/>
          <w14:textFill>
            <w14:solidFill>
              <w14:schemeClr w14:val="tx1"/>
            </w14:solidFill>
          </w14:textFill>
        </w:rPr>
      </w:pPr>
      <w:r>
        <w:rPr>
          <w:color w:val="000000" w:themeColor="text1"/>
          <w14:textFill>
            <w14:solidFill>
              <w14:schemeClr w14:val="tx1"/>
            </w14:solidFill>
          </w14:textFill>
        </w:rPr>
        <w:t>固体废物</w:t>
      </w:r>
    </w:p>
    <w:p>
      <w:pPr>
        <w:pStyle w:val="283"/>
        <w:ind w:firstLine="462"/>
        <w:rPr>
          <w:color w:val="000000" w:themeColor="text1"/>
          <w14:textFill>
            <w14:solidFill>
              <w14:schemeClr w14:val="tx1"/>
            </w14:solidFill>
          </w14:textFill>
        </w:rPr>
      </w:pPr>
      <w:r>
        <w:rPr>
          <w:rFonts w:hint="eastAsia"/>
          <w:color w:val="000000" w:themeColor="text1"/>
          <w14:textFill>
            <w14:solidFill>
              <w14:schemeClr w14:val="tx1"/>
            </w14:solidFill>
          </w14:textFill>
        </w:rPr>
        <w:t>本项目固体废物主要为陆域生活垃圾，项目生活垃圾收集后贮存于7号8号泊位后方的垃圾中转站内，固体废物处置标准参照《一般工业固体废物贮存和填埋污染控制标准》（GB18599-2020）。</w:t>
      </w:r>
      <w:r>
        <w:rPr>
          <w:color w:val="000000" w:themeColor="text1"/>
          <w14:textFill>
            <w14:solidFill>
              <w14:schemeClr w14:val="tx1"/>
            </w14:solidFill>
          </w14:textFill>
        </w:rPr>
        <w:t>船舶垃圾执行《</w:t>
      </w:r>
      <w:r>
        <w:rPr>
          <w:rFonts w:hint="eastAsia"/>
          <w:color w:val="000000" w:themeColor="text1"/>
          <w14:textFill>
            <w14:solidFill>
              <w14:schemeClr w14:val="tx1"/>
            </w14:solidFill>
          </w14:textFill>
        </w:rPr>
        <w:t>船舶</w:t>
      </w:r>
      <w:r>
        <w:rPr>
          <w:color w:val="000000" w:themeColor="text1"/>
          <w14:textFill>
            <w14:solidFill>
              <w14:schemeClr w14:val="tx1"/>
            </w14:solidFill>
          </w14:textFill>
        </w:rPr>
        <w:t>水污染排放控制标准》（GB3552-2018）中的</w:t>
      </w:r>
      <w:r>
        <w:rPr>
          <w:rFonts w:hint="eastAsia"/>
          <w:color w:val="000000" w:themeColor="text1"/>
          <w14:textFill>
            <w14:solidFill>
              <w14:schemeClr w14:val="tx1"/>
            </w14:solidFill>
          </w14:textFill>
        </w:rPr>
        <w:t>船舶</w:t>
      </w:r>
      <w:r>
        <w:rPr>
          <w:color w:val="000000" w:themeColor="text1"/>
          <w14:textFill>
            <w14:solidFill>
              <w14:schemeClr w14:val="tx1"/>
            </w14:solidFill>
          </w14:textFill>
        </w:rPr>
        <w:t>垃圾排放控制要求。</w:t>
      </w:r>
    </w:p>
    <w:p>
      <w:pPr>
        <w:pStyle w:val="4"/>
        <w:rPr>
          <w:color w:val="000000" w:themeColor="text1"/>
          <w14:textFill>
            <w14:solidFill>
              <w14:schemeClr w14:val="tx1"/>
            </w14:solidFill>
          </w14:textFill>
        </w:rPr>
      </w:pPr>
      <w:bookmarkStart w:id="47" w:name="_Toc170918591"/>
      <w:r>
        <w:rPr>
          <w:color w:val="000000" w:themeColor="text1"/>
          <w14:textFill>
            <w14:solidFill>
              <w14:schemeClr w14:val="tx1"/>
            </w14:solidFill>
          </w14:textFill>
        </w:rPr>
        <w:t>环境影响因素识别和评价因子筛选</w:t>
      </w:r>
      <w:bookmarkEnd w:id="47"/>
    </w:p>
    <w:p>
      <w:pPr>
        <w:pStyle w:val="5"/>
        <w:rPr>
          <w:color w:val="000000" w:themeColor="text1"/>
          <w14:textFill>
            <w14:solidFill>
              <w14:schemeClr w14:val="tx1"/>
            </w14:solidFill>
          </w14:textFill>
        </w:rPr>
      </w:pPr>
      <w:r>
        <w:rPr>
          <w:color w:val="000000" w:themeColor="text1"/>
          <w14:textFill>
            <w14:solidFill>
              <w14:schemeClr w14:val="tx1"/>
            </w14:solidFill>
          </w14:textFill>
        </w:rPr>
        <w:t>环境影响因素识别</w:t>
      </w:r>
    </w:p>
    <w:p>
      <w:pPr>
        <w:pStyle w:val="283"/>
        <w:ind w:firstLine="462"/>
        <w:rPr>
          <w:color w:val="000000" w:themeColor="text1"/>
          <w14:textFill>
            <w14:solidFill>
              <w14:schemeClr w14:val="tx1"/>
            </w14:solidFill>
          </w14:textFill>
        </w:rPr>
      </w:pPr>
      <w:r>
        <w:rPr>
          <w:color w:val="000000" w:themeColor="text1"/>
          <w14:textFill>
            <w14:solidFill>
              <w14:schemeClr w14:val="tx1"/>
            </w14:solidFill>
          </w14:textFill>
        </w:rPr>
        <w:t>根据工程特点及初步分析，工程施工期主要是对</w:t>
      </w:r>
      <w:r>
        <w:rPr>
          <w:rFonts w:hint="eastAsia"/>
          <w:color w:val="000000" w:themeColor="text1"/>
          <w14:textFill>
            <w14:solidFill>
              <w14:schemeClr w14:val="tx1"/>
            </w14:solidFill>
          </w14:textFill>
        </w:rPr>
        <w:t>海洋</w:t>
      </w:r>
      <w:r>
        <w:rPr>
          <w:color w:val="000000" w:themeColor="text1"/>
          <w14:textFill>
            <w14:solidFill>
              <w14:schemeClr w14:val="tx1"/>
            </w14:solidFill>
          </w14:textFill>
        </w:rPr>
        <w:t>环境产生不利影响，运营期主要是对海洋环境风险。具体见表1.</w:t>
      </w:r>
      <w:r>
        <w:rPr>
          <w:rFonts w:hint="eastAsia"/>
          <w:color w:val="000000" w:themeColor="text1"/>
          <w14:textFill>
            <w14:solidFill>
              <w14:schemeClr w14:val="tx1"/>
            </w14:solidFill>
          </w14:textFill>
        </w:rPr>
        <w:t>4</w:t>
      </w:r>
      <w:r>
        <w:rPr>
          <w:color w:val="000000" w:themeColor="text1"/>
          <w14:textFill>
            <w14:solidFill>
              <w14:schemeClr w14:val="tx1"/>
            </w14:solidFill>
          </w14:textFill>
        </w:rPr>
        <w:t>-1。</w:t>
      </w:r>
    </w:p>
    <w:p>
      <w:pPr>
        <w:pStyle w:val="384"/>
        <w:ind w:left="0" w:firstLine="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环境影响矩阵分析</w:t>
      </w:r>
    </w:p>
    <w:tbl>
      <w:tblPr>
        <w:tblStyle w:val="88"/>
        <w:tblW w:w="8528" w:type="dxa"/>
        <w:tblInd w:w="0" w:type="dxa"/>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
      <w:tblGrid>
        <w:gridCol w:w="518"/>
        <w:gridCol w:w="1433"/>
        <w:gridCol w:w="507"/>
        <w:gridCol w:w="505"/>
        <w:gridCol w:w="508"/>
        <w:gridCol w:w="505"/>
        <w:gridCol w:w="505"/>
        <w:gridCol w:w="508"/>
        <w:gridCol w:w="505"/>
        <w:gridCol w:w="505"/>
        <w:gridCol w:w="508"/>
        <w:gridCol w:w="505"/>
        <w:gridCol w:w="505"/>
        <w:gridCol w:w="508"/>
        <w:gridCol w:w="503"/>
      </w:tblGrid>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blHeader/>
        </w:trPr>
        <w:tc>
          <w:tcPr>
            <w:tcW w:w="1951" w:type="dxa"/>
            <w:gridSpan w:val="2"/>
            <w:tcBorders>
              <w:top w:val="single" w:color="auto" w:sz="12" w:space="0"/>
              <w:left w:val="single" w:color="auto" w:sz="12" w:space="0"/>
              <w:bottom w:val="single" w:color="auto" w:sz="4" w:space="0"/>
              <w:right w:val="single" w:color="auto" w:sz="4" w:space="0"/>
              <w:tl2br w:val="single" w:color="000000" w:sz="4" w:space="0"/>
            </w:tcBorders>
          </w:tcPr>
          <w:p>
            <w:pPr>
              <w:pStyle w:val="2001"/>
            </w:pPr>
            <w:r>
              <w:t>环境要素</w:t>
            </w:r>
          </w:p>
          <w:p>
            <w:pPr>
              <w:pStyle w:val="2001"/>
            </w:pPr>
          </w:p>
          <w:p>
            <w:pPr>
              <w:pStyle w:val="2001"/>
            </w:pPr>
          </w:p>
          <w:p>
            <w:pPr>
              <w:pStyle w:val="2001"/>
            </w:pPr>
            <w:r>
              <w:t>项目类别</w:t>
            </w:r>
          </w:p>
        </w:tc>
        <w:tc>
          <w:tcPr>
            <w:tcW w:w="507" w:type="dxa"/>
            <w:tcBorders>
              <w:top w:val="single" w:color="auto" w:sz="12" w:space="0"/>
              <w:left w:val="single" w:color="auto" w:sz="4" w:space="0"/>
              <w:bottom w:val="single" w:color="auto" w:sz="4" w:space="0"/>
              <w:right w:val="single" w:color="auto" w:sz="4" w:space="0"/>
            </w:tcBorders>
            <w:vAlign w:val="center"/>
          </w:tcPr>
          <w:p>
            <w:pPr>
              <w:pStyle w:val="2001"/>
            </w:pPr>
            <w:r>
              <w:t>海洋水文</w:t>
            </w:r>
          </w:p>
        </w:tc>
        <w:tc>
          <w:tcPr>
            <w:tcW w:w="505" w:type="dxa"/>
            <w:tcBorders>
              <w:top w:val="single" w:color="auto" w:sz="12" w:space="0"/>
              <w:left w:val="single" w:color="auto" w:sz="4" w:space="0"/>
              <w:bottom w:val="single" w:color="auto" w:sz="4" w:space="0"/>
              <w:right w:val="single" w:color="auto" w:sz="4" w:space="0"/>
            </w:tcBorders>
            <w:vAlign w:val="center"/>
          </w:tcPr>
          <w:p>
            <w:pPr>
              <w:pStyle w:val="2001"/>
            </w:pPr>
            <w:r>
              <w:t>岸线变化</w:t>
            </w:r>
          </w:p>
        </w:tc>
        <w:tc>
          <w:tcPr>
            <w:tcW w:w="508" w:type="dxa"/>
            <w:tcBorders>
              <w:top w:val="single" w:color="auto" w:sz="12" w:space="0"/>
              <w:left w:val="single" w:color="auto" w:sz="4" w:space="0"/>
              <w:bottom w:val="single" w:color="auto" w:sz="4" w:space="0"/>
              <w:right w:val="single" w:color="auto" w:sz="4" w:space="0"/>
            </w:tcBorders>
            <w:vAlign w:val="center"/>
          </w:tcPr>
          <w:p>
            <w:pPr>
              <w:pStyle w:val="2001"/>
            </w:pPr>
            <w:r>
              <w:t>海水水质</w:t>
            </w:r>
          </w:p>
        </w:tc>
        <w:tc>
          <w:tcPr>
            <w:tcW w:w="505" w:type="dxa"/>
            <w:tcBorders>
              <w:top w:val="single" w:color="auto" w:sz="12" w:space="0"/>
              <w:left w:val="single" w:color="auto" w:sz="4" w:space="0"/>
              <w:bottom w:val="single" w:color="auto" w:sz="4" w:space="0"/>
              <w:right w:val="single" w:color="auto" w:sz="4" w:space="0"/>
            </w:tcBorders>
            <w:vAlign w:val="center"/>
          </w:tcPr>
          <w:p>
            <w:pPr>
              <w:pStyle w:val="2001"/>
            </w:pPr>
            <w:r>
              <w:t>空气质量</w:t>
            </w:r>
          </w:p>
        </w:tc>
        <w:tc>
          <w:tcPr>
            <w:tcW w:w="505" w:type="dxa"/>
            <w:tcBorders>
              <w:top w:val="single" w:color="auto" w:sz="12" w:space="0"/>
              <w:left w:val="single" w:color="auto" w:sz="4" w:space="0"/>
              <w:bottom w:val="single" w:color="auto" w:sz="4" w:space="0"/>
              <w:right w:val="single" w:color="auto" w:sz="4" w:space="0"/>
            </w:tcBorders>
            <w:vAlign w:val="center"/>
          </w:tcPr>
          <w:p>
            <w:pPr>
              <w:pStyle w:val="2001"/>
            </w:pPr>
            <w:r>
              <w:t>噪声</w:t>
            </w:r>
          </w:p>
        </w:tc>
        <w:tc>
          <w:tcPr>
            <w:tcW w:w="508" w:type="dxa"/>
            <w:tcBorders>
              <w:top w:val="single" w:color="auto" w:sz="12" w:space="0"/>
              <w:left w:val="single" w:color="auto" w:sz="4" w:space="0"/>
              <w:bottom w:val="single" w:color="auto" w:sz="4" w:space="0"/>
              <w:right w:val="single" w:color="auto" w:sz="4" w:space="0"/>
            </w:tcBorders>
            <w:vAlign w:val="center"/>
          </w:tcPr>
          <w:p>
            <w:pPr>
              <w:pStyle w:val="2001"/>
            </w:pPr>
            <w:r>
              <w:t>海洋生态</w:t>
            </w:r>
          </w:p>
        </w:tc>
        <w:tc>
          <w:tcPr>
            <w:tcW w:w="505" w:type="dxa"/>
            <w:tcBorders>
              <w:top w:val="single" w:color="auto" w:sz="12" w:space="0"/>
              <w:left w:val="single" w:color="auto" w:sz="4" w:space="0"/>
              <w:bottom w:val="single" w:color="auto" w:sz="4" w:space="0"/>
              <w:right w:val="single" w:color="auto" w:sz="4" w:space="0"/>
            </w:tcBorders>
            <w:vAlign w:val="center"/>
          </w:tcPr>
          <w:p>
            <w:pPr>
              <w:pStyle w:val="2001"/>
            </w:pPr>
            <w:r>
              <w:t>陆域生态</w:t>
            </w:r>
          </w:p>
        </w:tc>
        <w:tc>
          <w:tcPr>
            <w:tcW w:w="505" w:type="dxa"/>
            <w:tcBorders>
              <w:top w:val="single" w:color="auto" w:sz="12" w:space="0"/>
              <w:left w:val="single" w:color="auto" w:sz="4" w:space="0"/>
              <w:bottom w:val="single" w:color="auto" w:sz="4" w:space="0"/>
              <w:right w:val="single" w:color="auto" w:sz="4" w:space="0"/>
            </w:tcBorders>
            <w:vAlign w:val="center"/>
          </w:tcPr>
          <w:p>
            <w:pPr>
              <w:pStyle w:val="2001"/>
            </w:pPr>
            <w:r>
              <w:t>区域交通</w:t>
            </w:r>
          </w:p>
        </w:tc>
        <w:tc>
          <w:tcPr>
            <w:tcW w:w="508" w:type="dxa"/>
            <w:tcBorders>
              <w:top w:val="single" w:color="auto" w:sz="12" w:space="0"/>
              <w:left w:val="single" w:color="auto" w:sz="4" w:space="0"/>
              <w:bottom w:val="single" w:color="auto" w:sz="4" w:space="0"/>
              <w:right w:val="single" w:color="auto" w:sz="4" w:space="0"/>
            </w:tcBorders>
            <w:vAlign w:val="center"/>
          </w:tcPr>
          <w:p>
            <w:pPr>
              <w:pStyle w:val="2001"/>
            </w:pPr>
            <w:r>
              <w:t>环境风险</w:t>
            </w:r>
          </w:p>
        </w:tc>
        <w:tc>
          <w:tcPr>
            <w:tcW w:w="505" w:type="dxa"/>
            <w:tcBorders>
              <w:top w:val="single" w:color="auto" w:sz="12" w:space="0"/>
              <w:left w:val="single" w:color="auto" w:sz="4" w:space="0"/>
              <w:bottom w:val="single" w:color="auto" w:sz="4" w:space="0"/>
              <w:right w:val="single" w:color="auto" w:sz="4" w:space="0"/>
            </w:tcBorders>
            <w:vAlign w:val="center"/>
          </w:tcPr>
          <w:p>
            <w:pPr>
              <w:pStyle w:val="2001"/>
            </w:pPr>
            <w:r>
              <w:t>就业</w:t>
            </w:r>
          </w:p>
        </w:tc>
        <w:tc>
          <w:tcPr>
            <w:tcW w:w="505" w:type="dxa"/>
            <w:tcBorders>
              <w:top w:val="single" w:color="auto" w:sz="12" w:space="0"/>
              <w:left w:val="single" w:color="auto" w:sz="4" w:space="0"/>
              <w:bottom w:val="single" w:color="auto" w:sz="4" w:space="0"/>
              <w:right w:val="single" w:color="auto" w:sz="4" w:space="0"/>
            </w:tcBorders>
            <w:vAlign w:val="center"/>
          </w:tcPr>
          <w:p>
            <w:pPr>
              <w:pStyle w:val="2001"/>
            </w:pPr>
            <w:r>
              <w:t>渔业生产</w:t>
            </w:r>
          </w:p>
        </w:tc>
        <w:tc>
          <w:tcPr>
            <w:tcW w:w="508" w:type="dxa"/>
            <w:tcBorders>
              <w:top w:val="single" w:color="auto" w:sz="12" w:space="0"/>
              <w:left w:val="single" w:color="auto" w:sz="4" w:space="0"/>
              <w:bottom w:val="single" w:color="auto" w:sz="4" w:space="0"/>
              <w:right w:val="single" w:color="auto" w:sz="4" w:space="0"/>
            </w:tcBorders>
            <w:vAlign w:val="center"/>
          </w:tcPr>
          <w:p>
            <w:pPr>
              <w:pStyle w:val="2001"/>
            </w:pPr>
            <w:r>
              <w:t>景观</w:t>
            </w:r>
          </w:p>
        </w:tc>
        <w:tc>
          <w:tcPr>
            <w:tcW w:w="503" w:type="dxa"/>
            <w:tcBorders>
              <w:top w:val="single" w:color="auto" w:sz="12" w:space="0"/>
              <w:left w:val="single" w:color="auto" w:sz="4" w:space="0"/>
              <w:bottom w:val="single" w:color="auto" w:sz="4" w:space="0"/>
              <w:right w:val="single" w:color="auto" w:sz="12" w:space="0"/>
            </w:tcBorders>
            <w:vAlign w:val="center"/>
          </w:tcPr>
          <w:p>
            <w:pPr>
              <w:pStyle w:val="2001"/>
            </w:pPr>
            <w:r>
              <w:t>社会经济</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c>
          <w:tcPr>
            <w:tcW w:w="518" w:type="dxa"/>
            <w:vMerge w:val="restart"/>
            <w:tcBorders>
              <w:top w:val="single" w:color="auto" w:sz="4" w:space="0"/>
              <w:left w:val="single" w:color="auto" w:sz="12" w:space="0"/>
              <w:right w:val="single" w:color="auto" w:sz="4" w:space="0"/>
            </w:tcBorders>
            <w:vAlign w:val="center"/>
          </w:tcPr>
          <w:p>
            <w:pPr>
              <w:pStyle w:val="2001"/>
            </w:pPr>
            <w:r>
              <w:t>施工期</w:t>
            </w:r>
          </w:p>
        </w:tc>
        <w:tc>
          <w:tcPr>
            <w:tcW w:w="1433" w:type="dxa"/>
            <w:tcBorders>
              <w:top w:val="single" w:color="auto" w:sz="4" w:space="0"/>
              <w:left w:val="single" w:color="auto" w:sz="4" w:space="0"/>
              <w:bottom w:val="single" w:color="auto" w:sz="4" w:space="0"/>
              <w:right w:val="single" w:color="auto" w:sz="4" w:space="0"/>
            </w:tcBorders>
            <w:vAlign w:val="center"/>
          </w:tcPr>
          <w:p>
            <w:pPr>
              <w:pStyle w:val="2001"/>
            </w:pPr>
            <w:r>
              <w:rPr>
                <w:rFonts w:hint="eastAsia"/>
              </w:rPr>
              <w:t>港池疏浚</w:t>
            </w:r>
          </w:p>
          <w:p>
            <w:pPr>
              <w:pStyle w:val="2001"/>
            </w:pPr>
            <w:r>
              <w:rPr>
                <w:rFonts w:hint="eastAsia"/>
              </w:rPr>
              <w:t>（炸礁）</w:t>
            </w:r>
          </w:p>
        </w:tc>
        <w:tc>
          <w:tcPr>
            <w:tcW w:w="507" w:type="dxa"/>
            <w:tcBorders>
              <w:top w:val="single" w:color="auto" w:sz="4" w:space="0"/>
              <w:left w:val="single" w:color="auto" w:sz="4" w:space="0"/>
              <w:bottom w:val="single" w:color="auto" w:sz="4" w:space="0"/>
              <w:right w:val="single" w:color="auto" w:sz="4" w:space="0"/>
            </w:tcBorders>
            <w:vAlign w:val="center"/>
          </w:tcPr>
          <w:p>
            <w:pPr>
              <w:pStyle w:val="2001"/>
            </w:pPr>
            <w:r>
              <w:t>●</w:t>
            </w:r>
          </w:p>
        </w:tc>
        <w:tc>
          <w:tcPr>
            <w:tcW w:w="505" w:type="dxa"/>
            <w:tcBorders>
              <w:top w:val="single" w:color="auto" w:sz="4" w:space="0"/>
              <w:left w:val="single" w:color="auto" w:sz="4" w:space="0"/>
              <w:bottom w:val="single" w:color="auto" w:sz="4" w:space="0"/>
              <w:right w:val="single" w:color="auto" w:sz="4" w:space="0"/>
            </w:tcBorders>
            <w:vAlign w:val="center"/>
          </w:tcPr>
          <w:p>
            <w:pPr>
              <w:pStyle w:val="2001"/>
            </w:pPr>
            <w:r>
              <w:t>●</w:t>
            </w:r>
          </w:p>
        </w:tc>
        <w:tc>
          <w:tcPr>
            <w:tcW w:w="508" w:type="dxa"/>
            <w:tcBorders>
              <w:top w:val="single" w:color="auto" w:sz="4" w:space="0"/>
              <w:left w:val="single" w:color="auto" w:sz="4" w:space="0"/>
              <w:bottom w:val="single" w:color="auto" w:sz="4" w:space="0"/>
              <w:right w:val="single" w:color="auto" w:sz="4" w:space="0"/>
            </w:tcBorders>
            <w:vAlign w:val="center"/>
          </w:tcPr>
          <w:p>
            <w:pPr>
              <w:pStyle w:val="2001"/>
            </w:pPr>
            <w:r>
              <w:t>■</w:t>
            </w:r>
          </w:p>
        </w:tc>
        <w:tc>
          <w:tcPr>
            <w:tcW w:w="505" w:type="dxa"/>
            <w:tcBorders>
              <w:top w:val="single" w:color="auto" w:sz="4" w:space="0"/>
              <w:left w:val="single" w:color="auto" w:sz="4" w:space="0"/>
              <w:bottom w:val="single" w:color="auto" w:sz="4" w:space="0"/>
              <w:right w:val="single" w:color="auto" w:sz="4" w:space="0"/>
            </w:tcBorders>
            <w:vAlign w:val="center"/>
          </w:tcPr>
          <w:p>
            <w:pPr>
              <w:pStyle w:val="2001"/>
            </w:pPr>
            <w:r>
              <w:t>●</w:t>
            </w:r>
          </w:p>
        </w:tc>
        <w:tc>
          <w:tcPr>
            <w:tcW w:w="505" w:type="dxa"/>
            <w:tcBorders>
              <w:top w:val="single" w:color="auto" w:sz="4" w:space="0"/>
              <w:left w:val="single" w:color="auto" w:sz="4" w:space="0"/>
              <w:bottom w:val="single" w:color="auto" w:sz="4" w:space="0"/>
              <w:right w:val="single" w:color="auto" w:sz="4" w:space="0"/>
            </w:tcBorders>
            <w:vAlign w:val="center"/>
          </w:tcPr>
          <w:p>
            <w:pPr>
              <w:pStyle w:val="2001"/>
            </w:pPr>
            <w:r>
              <w:t>■</w:t>
            </w:r>
          </w:p>
        </w:tc>
        <w:tc>
          <w:tcPr>
            <w:tcW w:w="508" w:type="dxa"/>
            <w:tcBorders>
              <w:top w:val="single" w:color="auto" w:sz="4" w:space="0"/>
              <w:left w:val="single" w:color="auto" w:sz="4" w:space="0"/>
              <w:bottom w:val="single" w:color="auto" w:sz="4" w:space="0"/>
              <w:right w:val="single" w:color="auto" w:sz="4" w:space="0"/>
            </w:tcBorders>
            <w:vAlign w:val="center"/>
          </w:tcPr>
          <w:p>
            <w:pPr>
              <w:pStyle w:val="2001"/>
            </w:pPr>
            <w:r>
              <w:t>■</w:t>
            </w:r>
          </w:p>
        </w:tc>
        <w:tc>
          <w:tcPr>
            <w:tcW w:w="505" w:type="dxa"/>
            <w:tcBorders>
              <w:top w:val="single" w:color="auto" w:sz="4" w:space="0"/>
              <w:left w:val="single" w:color="auto" w:sz="4" w:space="0"/>
              <w:bottom w:val="single" w:color="auto" w:sz="4" w:space="0"/>
              <w:right w:val="single" w:color="auto" w:sz="4" w:space="0"/>
            </w:tcBorders>
            <w:vAlign w:val="center"/>
          </w:tcPr>
          <w:p>
            <w:pPr>
              <w:pStyle w:val="2001"/>
            </w:pPr>
          </w:p>
        </w:tc>
        <w:tc>
          <w:tcPr>
            <w:tcW w:w="505" w:type="dxa"/>
            <w:tcBorders>
              <w:top w:val="single" w:color="auto" w:sz="4" w:space="0"/>
              <w:left w:val="single" w:color="auto" w:sz="4" w:space="0"/>
              <w:bottom w:val="single" w:color="auto" w:sz="4" w:space="0"/>
              <w:right w:val="single" w:color="auto" w:sz="4" w:space="0"/>
            </w:tcBorders>
            <w:vAlign w:val="center"/>
          </w:tcPr>
          <w:p>
            <w:pPr>
              <w:pStyle w:val="2001"/>
            </w:pPr>
          </w:p>
        </w:tc>
        <w:tc>
          <w:tcPr>
            <w:tcW w:w="508" w:type="dxa"/>
            <w:tcBorders>
              <w:top w:val="single" w:color="auto" w:sz="4" w:space="0"/>
              <w:left w:val="single" w:color="auto" w:sz="4" w:space="0"/>
              <w:bottom w:val="single" w:color="auto" w:sz="4" w:space="0"/>
              <w:right w:val="single" w:color="auto" w:sz="4" w:space="0"/>
            </w:tcBorders>
            <w:vAlign w:val="center"/>
          </w:tcPr>
          <w:p>
            <w:pPr>
              <w:pStyle w:val="2001"/>
            </w:pPr>
            <w:r>
              <w:t>■</w:t>
            </w:r>
          </w:p>
        </w:tc>
        <w:tc>
          <w:tcPr>
            <w:tcW w:w="505" w:type="dxa"/>
            <w:tcBorders>
              <w:top w:val="single" w:color="auto" w:sz="4" w:space="0"/>
              <w:left w:val="single" w:color="auto" w:sz="4" w:space="0"/>
              <w:bottom w:val="single" w:color="auto" w:sz="4" w:space="0"/>
              <w:right w:val="single" w:color="auto" w:sz="4" w:space="0"/>
            </w:tcBorders>
            <w:vAlign w:val="center"/>
          </w:tcPr>
          <w:p>
            <w:pPr>
              <w:pStyle w:val="2001"/>
            </w:pPr>
            <w:r>
              <w:t>○</w:t>
            </w:r>
          </w:p>
        </w:tc>
        <w:tc>
          <w:tcPr>
            <w:tcW w:w="505" w:type="dxa"/>
            <w:tcBorders>
              <w:top w:val="single" w:color="auto" w:sz="4" w:space="0"/>
              <w:left w:val="single" w:color="auto" w:sz="4" w:space="0"/>
              <w:bottom w:val="single" w:color="auto" w:sz="4" w:space="0"/>
              <w:right w:val="single" w:color="auto" w:sz="4" w:space="0"/>
            </w:tcBorders>
            <w:vAlign w:val="center"/>
          </w:tcPr>
          <w:p>
            <w:pPr>
              <w:pStyle w:val="2001"/>
            </w:pPr>
            <w:r>
              <w:t>●</w:t>
            </w:r>
          </w:p>
        </w:tc>
        <w:tc>
          <w:tcPr>
            <w:tcW w:w="508" w:type="dxa"/>
            <w:tcBorders>
              <w:top w:val="single" w:color="auto" w:sz="4" w:space="0"/>
              <w:left w:val="single" w:color="auto" w:sz="4" w:space="0"/>
              <w:bottom w:val="single" w:color="auto" w:sz="4" w:space="0"/>
              <w:right w:val="single" w:color="auto" w:sz="4" w:space="0"/>
            </w:tcBorders>
            <w:vAlign w:val="center"/>
          </w:tcPr>
          <w:p>
            <w:pPr>
              <w:pStyle w:val="2001"/>
            </w:pPr>
            <w:r>
              <w:t>●</w:t>
            </w:r>
          </w:p>
        </w:tc>
        <w:tc>
          <w:tcPr>
            <w:tcW w:w="503" w:type="dxa"/>
            <w:tcBorders>
              <w:top w:val="single" w:color="auto" w:sz="4" w:space="0"/>
              <w:left w:val="single" w:color="auto" w:sz="4" w:space="0"/>
              <w:bottom w:val="single" w:color="auto" w:sz="4" w:space="0"/>
              <w:right w:val="single" w:color="auto" w:sz="12" w:space="0"/>
            </w:tcBorders>
            <w:vAlign w:val="center"/>
          </w:tcPr>
          <w:p>
            <w:pPr>
              <w:pStyle w:val="2001"/>
            </w:pPr>
            <w:r>
              <w:t>○</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c>
          <w:tcPr>
            <w:tcW w:w="518" w:type="dxa"/>
            <w:vMerge w:val="continue"/>
            <w:tcBorders>
              <w:left w:val="single" w:color="auto" w:sz="12" w:space="0"/>
              <w:right w:val="single" w:color="auto" w:sz="4" w:space="0"/>
            </w:tcBorders>
            <w:vAlign w:val="center"/>
          </w:tcPr>
          <w:p>
            <w:pPr>
              <w:pStyle w:val="2001"/>
            </w:pPr>
          </w:p>
        </w:tc>
        <w:tc>
          <w:tcPr>
            <w:tcW w:w="1433" w:type="dxa"/>
            <w:tcBorders>
              <w:top w:val="single" w:color="auto" w:sz="4" w:space="0"/>
              <w:left w:val="single" w:color="auto" w:sz="4" w:space="0"/>
              <w:bottom w:val="single" w:color="auto" w:sz="4" w:space="0"/>
              <w:right w:val="single" w:color="auto" w:sz="4" w:space="0"/>
            </w:tcBorders>
            <w:vAlign w:val="center"/>
          </w:tcPr>
          <w:p>
            <w:pPr>
              <w:pStyle w:val="2001"/>
            </w:pPr>
            <w:r>
              <w:rPr>
                <w:rFonts w:hint="eastAsia"/>
              </w:rPr>
              <w:t>水工</w:t>
            </w:r>
            <w:r>
              <w:t>建筑物</w:t>
            </w:r>
          </w:p>
          <w:p>
            <w:pPr>
              <w:pStyle w:val="2001"/>
            </w:pPr>
            <w:r>
              <w:t>施工</w:t>
            </w:r>
          </w:p>
        </w:tc>
        <w:tc>
          <w:tcPr>
            <w:tcW w:w="507" w:type="dxa"/>
            <w:tcBorders>
              <w:top w:val="single" w:color="auto" w:sz="4" w:space="0"/>
              <w:left w:val="single" w:color="auto" w:sz="4" w:space="0"/>
              <w:bottom w:val="single" w:color="auto" w:sz="4" w:space="0"/>
              <w:right w:val="single" w:color="auto" w:sz="4" w:space="0"/>
            </w:tcBorders>
            <w:vAlign w:val="center"/>
          </w:tcPr>
          <w:p>
            <w:pPr>
              <w:pStyle w:val="2001"/>
            </w:pPr>
            <w:r>
              <w:t>●</w:t>
            </w:r>
          </w:p>
        </w:tc>
        <w:tc>
          <w:tcPr>
            <w:tcW w:w="505" w:type="dxa"/>
            <w:tcBorders>
              <w:top w:val="single" w:color="auto" w:sz="4" w:space="0"/>
              <w:left w:val="single" w:color="auto" w:sz="4" w:space="0"/>
              <w:bottom w:val="single" w:color="auto" w:sz="4" w:space="0"/>
              <w:right w:val="single" w:color="auto" w:sz="4" w:space="0"/>
            </w:tcBorders>
            <w:vAlign w:val="center"/>
          </w:tcPr>
          <w:p>
            <w:pPr>
              <w:pStyle w:val="2001"/>
            </w:pPr>
            <w:r>
              <w:t>●</w:t>
            </w:r>
          </w:p>
        </w:tc>
        <w:tc>
          <w:tcPr>
            <w:tcW w:w="508" w:type="dxa"/>
            <w:tcBorders>
              <w:top w:val="single" w:color="auto" w:sz="4" w:space="0"/>
              <w:left w:val="single" w:color="auto" w:sz="4" w:space="0"/>
              <w:bottom w:val="single" w:color="auto" w:sz="4" w:space="0"/>
              <w:right w:val="single" w:color="auto" w:sz="4" w:space="0"/>
            </w:tcBorders>
            <w:vAlign w:val="center"/>
          </w:tcPr>
          <w:p>
            <w:pPr>
              <w:pStyle w:val="2001"/>
            </w:pPr>
            <w:r>
              <w:t>■</w:t>
            </w:r>
          </w:p>
        </w:tc>
        <w:tc>
          <w:tcPr>
            <w:tcW w:w="505" w:type="dxa"/>
            <w:tcBorders>
              <w:top w:val="single" w:color="auto" w:sz="4" w:space="0"/>
              <w:left w:val="single" w:color="auto" w:sz="4" w:space="0"/>
              <w:bottom w:val="single" w:color="auto" w:sz="4" w:space="0"/>
              <w:right w:val="single" w:color="auto" w:sz="4" w:space="0"/>
            </w:tcBorders>
            <w:vAlign w:val="center"/>
          </w:tcPr>
          <w:p>
            <w:pPr>
              <w:pStyle w:val="2001"/>
            </w:pPr>
            <w:r>
              <w:t>●</w:t>
            </w:r>
          </w:p>
        </w:tc>
        <w:tc>
          <w:tcPr>
            <w:tcW w:w="505" w:type="dxa"/>
            <w:tcBorders>
              <w:top w:val="single" w:color="auto" w:sz="4" w:space="0"/>
              <w:left w:val="single" w:color="auto" w:sz="4" w:space="0"/>
              <w:bottom w:val="single" w:color="auto" w:sz="4" w:space="0"/>
              <w:right w:val="single" w:color="auto" w:sz="4" w:space="0"/>
            </w:tcBorders>
            <w:vAlign w:val="center"/>
          </w:tcPr>
          <w:p>
            <w:pPr>
              <w:pStyle w:val="2001"/>
            </w:pPr>
            <w:r>
              <w:t>■</w:t>
            </w:r>
          </w:p>
        </w:tc>
        <w:tc>
          <w:tcPr>
            <w:tcW w:w="508" w:type="dxa"/>
            <w:tcBorders>
              <w:top w:val="single" w:color="auto" w:sz="4" w:space="0"/>
              <w:left w:val="single" w:color="auto" w:sz="4" w:space="0"/>
              <w:bottom w:val="single" w:color="auto" w:sz="4" w:space="0"/>
              <w:right w:val="single" w:color="auto" w:sz="4" w:space="0"/>
            </w:tcBorders>
            <w:vAlign w:val="center"/>
          </w:tcPr>
          <w:p>
            <w:pPr>
              <w:pStyle w:val="2001"/>
            </w:pPr>
            <w:r>
              <w:t>●</w:t>
            </w:r>
          </w:p>
        </w:tc>
        <w:tc>
          <w:tcPr>
            <w:tcW w:w="505" w:type="dxa"/>
            <w:tcBorders>
              <w:top w:val="single" w:color="auto" w:sz="4" w:space="0"/>
              <w:left w:val="single" w:color="auto" w:sz="4" w:space="0"/>
              <w:bottom w:val="single" w:color="auto" w:sz="4" w:space="0"/>
              <w:right w:val="single" w:color="auto" w:sz="4" w:space="0"/>
            </w:tcBorders>
            <w:vAlign w:val="center"/>
          </w:tcPr>
          <w:p>
            <w:pPr>
              <w:pStyle w:val="2001"/>
            </w:pPr>
          </w:p>
        </w:tc>
        <w:tc>
          <w:tcPr>
            <w:tcW w:w="505" w:type="dxa"/>
            <w:tcBorders>
              <w:top w:val="single" w:color="auto" w:sz="4" w:space="0"/>
              <w:left w:val="single" w:color="auto" w:sz="4" w:space="0"/>
              <w:bottom w:val="single" w:color="auto" w:sz="4" w:space="0"/>
              <w:right w:val="single" w:color="auto" w:sz="4" w:space="0"/>
            </w:tcBorders>
            <w:vAlign w:val="center"/>
          </w:tcPr>
          <w:p>
            <w:pPr>
              <w:pStyle w:val="2001"/>
            </w:pPr>
          </w:p>
        </w:tc>
        <w:tc>
          <w:tcPr>
            <w:tcW w:w="508" w:type="dxa"/>
            <w:tcBorders>
              <w:top w:val="single" w:color="auto" w:sz="4" w:space="0"/>
              <w:left w:val="single" w:color="auto" w:sz="4" w:space="0"/>
              <w:bottom w:val="single" w:color="auto" w:sz="4" w:space="0"/>
              <w:right w:val="single" w:color="auto" w:sz="4" w:space="0"/>
            </w:tcBorders>
            <w:vAlign w:val="center"/>
          </w:tcPr>
          <w:p>
            <w:pPr>
              <w:pStyle w:val="2001"/>
            </w:pPr>
          </w:p>
        </w:tc>
        <w:tc>
          <w:tcPr>
            <w:tcW w:w="505" w:type="dxa"/>
            <w:tcBorders>
              <w:top w:val="single" w:color="auto" w:sz="4" w:space="0"/>
              <w:left w:val="single" w:color="auto" w:sz="4" w:space="0"/>
              <w:bottom w:val="single" w:color="auto" w:sz="4" w:space="0"/>
              <w:right w:val="single" w:color="auto" w:sz="4" w:space="0"/>
            </w:tcBorders>
            <w:vAlign w:val="center"/>
          </w:tcPr>
          <w:p>
            <w:pPr>
              <w:pStyle w:val="2001"/>
            </w:pPr>
            <w:r>
              <w:t>○</w:t>
            </w:r>
          </w:p>
        </w:tc>
        <w:tc>
          <w:tcPr>
            <w:tcW w:w="505" w:type="dxa"/>
            <w:tcBorders>
              <w:top w:val="single" w:color="auto" w:sz="4" w:space="0"/>
              <w:left w:val="single" w:color="auto" w:sz="4" w:space="0"/>
              <w:bottom w:val="single" w:color="auto" w:sz="4" w:space="0"/>
              <w:right w:val="single" w:color="auto" w:sz="4" w:space="0"/>
            </w:tcBorders>
            <w:vAlign w:val="center"/>
          </w:tcPr>
          <w:p>
            <w:pPr>
              <w:pStyle w:val="2001"/>
            </w:pPr>
            <w:r>
              <w:t>●</w:t>
            </w:r>
          </w:p>
        </w:tc>
        <w:tc>
          <w:tcPr>
            <w:tcW w:w="508" w:type="dxa"/>
            <w:tcBorders>
              <w:top w:val="single" w:color="auto" w:sz="4" w:space="0"/>
              <w:left w:val="single" w:color="auto" w:sz="4" w:space="0"/>
              <w:bottom w:val="single" w:color="auto" w:sz="4" w:space="0"/>
              <w:right w:val="single" w:color="auto" w:sz="4" w:space="0"/>
            </w:tcBorders>
            <w:vAlign w:val="center"/>
          </w:tcPr>
          <w:p>
            <w:pPr>
              <w:pStyle w:val="2001"/>
            </w:pPr>
            <w:r>
              <w:t>●</w:t>
            </w:r>
          </w:p>
        </w:tc>
        <w:tc>
          <w:tcPr>
            <w:tcW w:w="503" w:type="dxa"/>
            <w:tcBorders>
              <w:top w:val="single" w:color="auto" w:sz="4" w:space="0"/>
              <w:left w:val="single" w:color="auto" w:sz="4" w:space="0"/>
              <w:bottom w:val="single" w:color="auto" w:sz="4" w:space="0"/>
              <w:right w:val="single" w:color="auto" w:sz="12" w:space="0"/>
            </w:tcBorders>
            <w:vAlign w:val="center"/>
          </w:tcPr>
          <w:p>
            <w:pPr>
              <w:pStyle w:val="2001"/>
            </w:pPr>
            <w:r>
              <w:t>□</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c>
          <w:tcPr>
            <w:tcW w:w="518" w:type="dxa"/>
            <w:vMerge w:val="continue"/>
            <w:tcBorders>
              <w:left w:val="single" w:color="auto" w:sz="12" w:space="0"/>
              <w:right w:val="single" w:color="auto" w:sz="4" w:space="0"/>
            </w:tcBorders>
            <w:vAlign w:val="center"/>
          </w:tcPr>
          <w:p>
            <w:pPr>
              <w:pStyle w:val="2001"/>
            </w:pPr>
          </w:p>
        </w:tc>
        <w:tc>
          <w:tcPr>
            <w:tcW w:w="1433" w:type="dxa"/>
            <w:tcBorders>
              <w:top w:val="single" w:color="auto" w:sz="4" w:space="0"/>
              <w:left w:val="single" w:color="auto" w:sz="4" w:space="0"/>
              <w:bottom w:val="single" w:color="auto" w:sz="4" w:space="0"/>
              <w:right w:val="single" w:color="auto" w:sz="4" w:space="0"/>
            </w:tcBorders>
            <w:vAlign w:val="center"/>
          </w:tcPr>
          <w:p>
            <w:pPr>
              <w:pStyle w:val="2001"/>
            </w:pPr>
            <w:r>
              <w:t>材料运输</w:t>
            </w:r>
          </w:p>
        </w:tc>
        <w:tc>
          <w:tcPr>
            <w:tcW w:w="507" w:type="dxa"/>
            <w:tcBorders>
              <w:top w:val="single" w:color="auto" w:sz="4" w:space="0"/>
              <w:left w:val="single" w:color="auto" w:sz="4" w:space="0"/>
              <w:bottom w:val="single" w:color="auto" w:sz="4" w:space="0"/>
              <w:right w:val="single" w:color="auto" w:sz="4" w:space="0"/>
            </w:tcBorders>
          </w:tcPr>
          <w:p>
            <w:pPr>
              <w:pStyle w:val="2001"/>
            </w:pPr>
          </w:p>
        </w:tc>
        <w:tc>
          <w:tcPr>
            <w:tcW w:w="505" w:type="dxa"/>
            <w:tcBorders>
              <w:top w:val="single" w:color="auto" w:sz="4" w:space="0"/>
              <w:left w:val="single" w:color="auto" w:sz="4" w:space="0"/>
              <w:bottom w:val="single" w:color="auto" w:sz="4" w:space="0"/>
              <w:right w:val="single" w:color="auto" w:sz="4" w:space="0"/>
            </w:tcBorders>
          </w:tcPr>
          <w:p>
            <w:pPr>
              <w:pStyle w:val="2001"/>
            </w:pPr>
          </w:p>
        </w:tc>
        <w:tc>
          <w:tcPr>
            <w:tcW w:w="508" w:type="dxa"/>
            <w:tcBorders>
              <w:top w:val="single" w:color="auto" w:sz="4" w:space="0"/>
              <w:left w:val="single" w:color="auto" w:sz="4" w:space="0"/>
              <w:bottom w:val="single" w:color="auto" w:sz="4" w:space="0"/>
              <w:right w:val="single" w:color="auto" w:sz="4" w:space="0"/>
            </w:tcBorders>
            <w:vAlign w:val="center"/>
          </w:tcPr>
          <w:p>
            <w:pPr>
              <w:pStyle w:val="2001"/>
            </w:pPr>
            <w:r>
              <w:t xml:space="preserve">● </w:t>
            </w:r>
          </w:p>
        </w:tc>
        <w:tc>
          <w:tcPr>
            <w:tcW w:w="505" w:type="dxa"/>
            <w:tcBorders>
              <w:top w:val="single" w:color="auto" w:sz="4" w:space="0"/>
              <w:left w:val="single" w:color="auto" w:sz="4" w:space="0"/>
              <w:bottom w:val="single" w:color="auto" w:sz="4" w:space="0"/>
              <w:right w:val="single" w:color="auto" w:sz="4" w:space="0"/>
            </w:tcBorders>
          </w:tcPr>
          <w:p>
            <w:pPr>
              <w:pStyle w:val="2001"/>
            </w:pPr>
            <w:r>
              <w:t>●</w:t>
            </w:r>
          </w:p>
        </w:tc>
        <w:tc>
          <w:tcPr>
            <w:tcW w:w="505" w:type="dxa"/>
            <w:tcBorders>
              <w:top w:val="single" w:color="auto" w:sz="4" w:space="0"/>
              <w:left w:val="single" w:color="auto" w:sz="4" w:space="0"/>
              <w:bottom w:val="single" w:color="auto" w:sz="4" w:space="0"/>
              <w:right w:val="single" w:color="auto" w:sz="4" w:space="0"/>
            </w:tcBorders>
          </w:tcPr>
          <w:p>
            <w:pPr>
              <w:pStyle w:val="2001"/>
            </w:pPr>
            <w:r>
              <w:t>■</w:t>
            </w:r>
          </w:p>
        </w:tc>
        <w:tc>
          <w:tcPr>
            <w:tcW w:w="508" w:type="dxa"/>
            <w:tcBorders>
              <w:top w:val="single" w:color="auto" w:sz="4" w:space="0"/>
              <w:left w:val="single" w:color="auto" w:sz="4" w:space="0"/>
              <w:bottom w:val="single" w:color="auto" w:sz="4" w:space="0"/>
              <w:right w:val="single" w:color="auto" w:sz="4" w:space="0"/>
            </w:tcBorders>
            <w:vAlign w:val="center"/>
          </w:tcPr>
          <w:p>
            <w:pPr>
              <w:pStyle w:val="2001"/>
            </w:pPr>
          </w:p>
        </w:tc>
        <w:tc>
          <w:tcPr>
            <w:tcW w:w="505" w:type="dxa"/>
            <w:tcBorders>
              <w:top w:val="single" w:color="auto" w:sz="4" w:space="0"/>
              <w:left w:val="single" w:color="auto" w:sz="4" w:space="0"/>
              <w:bottom w:val="single" w:color="auto" w:sz="4" w:space="0"/>
              <w:right w:val="single" w:color="auto" w:sz="4" w:space="0"/>
            </w:tcBorders>
            <w:vAlign w:val="center"/>
          </w:tcPr>
          <w:p>
            <w:pPr>
              <w:pStyle w:val="2001"/>
            </w:pPr>
            <w:r>
              <w:t xml:space="preserve">● </w:t>
            </w:r>
          </w:p>
        </w:tc>
        <w:tc>
          <w:tcPr>
            <w:tcW w:w="505" w:type="dxa"/>
            <w:tcBorders>
              <w:top w:val="single" w:color="auto" w:sz="4" w:space="0"/>
              <w:left w:val="single" w:color="auto" w:sz="4" w:space="0"/>
              <w:bottom w:val="single" w:color="auto" w:sz="4" w:space="0"/>
              <w:right w:val="single" w:color="auto" w:sz="4" w:space="0"/>
            </w:tcBorders>
            <w:vAlign w:val="center"/>
          </w:tcPr>
          <w:p>
            <w:pPr>
              <w:pStyle w:val="2001"/>
            </w:pPr>
            <w:r>
              <w:t xml:space="preserve">● </w:t>
            </w:r>
          </w:p>
        </w:tc>
        <w:tc>
          <w:tcPr>
            <w:tcW w:w="508" w:type="dxa"/>
            <w:tcBorders>
              <w:top w:val="single" w:color="auto" w:sz="4" w:space="0"/>
              <w:left w:val="single" w:color="auto" w:sz="4" w:space="0"/>
              <w:bottom w:val="single" w:color="auto" w:sz="4" w:space="0"/>
              <w:right w:val="single" w:color="auto" w:sz="4" w:space="0"/>
            </w:tcBorders>
          </w:tcPr>
          <w:p>
            <w:pPr>
              <w:pStyle w:val="2001"/>
            </w:pPr>
          </w:p>
        </w:tc>
        <w:tc>
          <w:tcPr>
            <w:tcW w:w="505" w:type="dxa"/>
            <w:tcBorders>
              <w:top w:val="single" w:color="auto" w:sz="4" w:space="0"/>
              <w:left w:val="single" w:color="auto" w:sz="4" w:space="0"/>
              <w:bottom w:val="single" w:color="auto" w:sz="4" w:space="0"/>
              <w:right w:val="single" w:color="auto" w:sz="4" w:space="0"/>
            </w:tcBorders>
            <w:vAlign w:val="center"/>
          </w:tcPr>
          <w:p>
            <w:pPr>
              <w:pStyle w:val="2001"/>
            </w:pPr>
            <w:r>
              <w:t xml:space="preserve">□ </w:t>
            </w:r>
          </w:p>
        </w:tc>
        <w:tc>
          <w:tcPr>
            <w:tcW w:w="505" w:type="dxa"/>
            <w:tcBorders>
              <w:top w:val="single" w:color="auto" w:sz="4" w:space="0"/>
              <w:left w:val="single" w:color="auto" w:sz="4" w:space="0"/>
              <w:bottom w:val="single" w:color="auto" w:sz="4" w:space="0"/>
              <w:right w:val="single" w:color="auto" w:sz="4" w:space="0"/>
            </w:tcBorders>
          </w:tcPr>
          <w:p>
            <w:pPr>
              <w:pStyle w:val="2001"/>
            </w:pPr>
          </w:p>
        </w:tc>
        <w:tc>
          <w:tcPr>
            <w:tcW w:w="508" w:type="dxa"/>
            <w:tcBorders>
              <w:top w:val="single" w:color="auto" w:sz="4" w:space="0"/>
              <w:left w:val="single" w:color="auto" w:sz="4" w:space="0"/>
              <w:bottom w:val="single" w:color="auto" w:sz="4" w:space="0"/>
              <w:right w:val="single" w:color="auto" w:sz="4" w:space="0"/>
            </w:tcBorders>
          </w:tcPr>
          <w:p>
            <w:pPr>
              <w:pStyle w:val="2001"/>
            </w:pPr>
          </w:p>
        </w:tc>
        <w:tc>
          <w:tcPr>
            <w:tcW w:w="503" w:type="dxa"/>
            <w:tcBorders>
              <w:top w:val="single" w:color="auto" w:sz="4" w:space="0"/>
              <w:left w:val="single" w:color="auto" w:sz="4" w:space="0"/>
              <w:bottom w:val="single" w:color="auto" w:sz="4" w:space="0"/>
              <w:right w:val="single" w:color="auto" w:sz="12" w:space="0"/>
            </w:tcBorders>
            <w:vAlign w:val="center"/>
          </w:tcPr>
          <w:p>
            <w:pPr>
              <w:pStyle w:val="2001"/>
            </w:pPr>
            <w:r>
              <w:t xml:space="preserve">□ </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c>
          <w:tcPr>
            <w:tcW w:w="518" w:type="dxa"/>
            <w:vMerge w:val="restart"/>
            <w:tcBorders>
              <w:top w:val="single" w:color="auto" w:sz="4" w:space="0"/>
              <w:left w:val="single" w:color="auto" w:sz="12" w:space="0"/>
              <w:bottom w:val="single" w:color="auto" w:sz="4" w:space="0"/>
              <w:right w:val="single" w:color="auto" w:sz="4" w:space="0"/>
            </w:tcBorders>
            <w:vAlign w:val="center"/>
          </w:tcPr>
          <w:p>
            <w:pPr>
              <w:pStyle w:val="2001"/>
            </w:pPr>
            <w:r>
              <w:t>运营期</w:t>
            </w:r>
          </w:p>
        </w:tc>
        <w:tc>
          <w:tcPr>
            <w:tcW w:w="1433" w:type="dxa"/>
            <w:tcBorders>
              <w:top w:val="single" w:color="auto" w:sz="4" w:space="0"/>
              <w:left w:val="single" w:color="auto" w:sz="4" w:space="0"/>
              <w:bottom w:val="single" w:color="auto" w:sz="4" w:space="0"/>
              <w:right w:val="single" w:color="auto" w:sz="4" w:space="0"/>
            </w:tcBorders>
            <w:vAlign w:val="center"/>
          </w:tcPr>
          <w:p>
            <w:pPr>
              <w:pStyle w:val="2001"/>
            </w:pPr>
            <w:r>
              <w:t>码头区生产</w:t>
            </w:r>
          </w:p>
        </w:tc>
        <w:tc>
          <w:tcPr>
            <w:tcW w:w="507" w:type="dxa"/>
            <w:tcBorders>
              <w:top w:val="single" w:color="auto" w:sz="4" w:space="0"/>
              <w:left w:val="single" w:color="auto" w:sz="4" w:space="0"/>
              <w:bottom w:val="single" w:color="auto" w:sz="4" w:space="0"/>
              <w:right w:val="single" w:color="auto" w:sz="4" w:space="0"/>
            </w:tcBorders>
            <w:vAlign w:val="center"/>
          </w:tcPr>
          <w:p>
            <w:pPr>
              <w:pStyle w:val="2001"/>
            </w:pPr>
            <w:r>
              <w:t xml:space="preserve">● </w:t>
            </w:r>
          </w:p>
        </w:tc>
        <w:tc>
          <w:tcPr>
            <w:tcW w:w="505" w:type="dxa"/>
            <w:tcBorders>
              <w:top w:val="single" w:color="auto" w:sz="4" w:space="0"/>
              <w:left w:val="single" w:color="auto" w:sz="4" w:space="0"/>
              <w:bottom w:val="single" w:color="auto" w:sz="4" w:space="0"/>
              <w:right w:val="single" w:color="auto" w:sz="4" w:space="0"/>
            </w:tcBorders>
          </w:tcPr>
          <w:p>
            <w:pPr>
              <w:pStyle w:val="2001"/>
            </w:pPr>
          </w:p>
        </w:tc>
        <w:tc>
          <w:tcPr>
            <w:tcW w:w="508" w:type="dxa"/>
            <w:tcBorders>
              <w:top w:val="single" w:color="auto" w:sz="4" w:space="0"/>
              <w:left w:val="single" w:color="auto" w:sz="4" w:space="0"/>
              <w:bottom w:val="single" w:color="auto" w:sz="4" w:space="0"/>
              <w:right w:val="single" w:color="auto" w:sz="4" w:space="0"/>
            </w:tcBorders>
            <w:vAlign w:val="center"/>
          </w:tcPr>
          <w:p>
            <w:pPr>
              <w:pStyle w:val="2001"/>
            </w:pPr>
            <w:r>
              <w:t xml:space="preserve">● </w:t>
            </w:r>
          </w:p>
        </w:tc>
        <w:tc>
          <w:tcPr>
            <w:tcW w:w="505" w:type="dxa"/>
            <w:tcBorders>
              <w:top w:val="single" w:color="auto" w:sz="4" w:space="0"/>
              <w:left w:val="single" w:color="auto" w:sz="4" w:space="0"/>
              <w:bottom w:val="single" w:color="auto" w:sz="4" w:space="0"/>
              <w:right w:val="single" w:color="auto" w:sz="4" w:space="0"/>
            </w:tcBorders>
            <w:vAlign w:val="center"/>
          </w:tcPr>
          <w:p>
            <w:pPr>
              <w:pStyle w:val="2001"/>
            </w:pPr>
            <w:r>
              <w:t xml:space="preserve">● </w:t>
            </w:r>
          </w:p>
        </w:tc>
        <w:tc>
          <w:tcPr>
            <w:tcW w:w="505" w:type="dxa"/>
            <w:tcBorders>
              <w:top w:val="single" w:color="auto" w:sz="4" w:space="0"/>
              <w:left w:val="single" w:color="auto" w:sz="4" w:space="0"/>
              <w:bottom w:val="single" w:color="auto" w:sz="4" w:space="0"/>
              <w:right w:val="single" w:color="auto" w:sz="4" w:space="0"/>
            </w:tcBorders>
          </w:tcPr>
          <w:p>
            <w:pPr>
              <w:pStyle w:val="2001"/>
            </w:pPr>
          </w:p>
        </w:tc>
        <w:tc>
          <w:tcPr>
            <w:tcW w:w="508" w:type="dxa"/>
            <w:tcBorders>
              <w:top w:val="single" w:color="auto" w:sz="4" w:space="0"/>
              <w:left w:val="single" w:color="auto" w:sz="4" w:space="0"/>
              <w:bottom w:val="single" w:color="auto" w:sz="4" w:space="0"/>
              <w:right w:val="single" w:color="auto" w:sz="4" w:space="0"/>
            </w:tcBorders>
            <w:vAlign w:val="center"/>
          </w:tcPr>
          <w:p>
            <w:pPr>
              <w:pStyle w:val="2001"/>
            </w:pPr>
            <w:r>
              <w:t xml:space="preserve">● </w:t>
            </w:r>
          </w:p>
        </w:tc>
        <w:tc>
          <w:tcPr>
            <w:tcW w:w="505" w:type="dxa"/>
            <w:tcBorders>
              <w:top w:val="single" w:color="auto" w:sz="4" w:space="0"/>
              <w:left w:val="single" w:color="auto" w:sz="4" w:space="0"/>
              <w:bottom w:val="single" w:color="auto" w:sz="4" w:space="0"/>
              <w:right w:val="single" w:color="auto" w:sz="4" w:space="0"/>
            </w:tcBorders>
          </w:tcPr>
          <w:p>
            <w:pPr>
              <w:pStyle w:val="2001"/>
            </w:pPr>
          </w:p>
        </w:tc>
        <w:tc>
          <w:tcPr>
            <w:tcW w:w="505" w:type="dxa"/>
            <w:tcBorders>
              <w:top w:val="single" w:color="auto" w:sz="4" w:space="0"/>
              <w:left w:val="single" w:color="auto" w:sz="4" w:space="0"/>
              <w:bottom w:val="single" w:color="auto" w:sz="4" w:space="0"/>
              <w:right w:val="single" w:color="auto" w:sz="4" w:space="0"/>
            </w:tcBorders>
          </w:tcPr>
          <w:p>
            <w:pPr>
              <w:pStyle w:val="2001"/>
            </w:pPr>
          </w:p>
        </w:tc>
        <w:tc>
          <w:tcPr>
            <w:tcW w:w="508" w:type="dxa"/>
            <w:tcBorders>
              <w:top w:val="single" w:color="auto" w:sz="4" w:space="0"/>
              <w:left w:val="single" w:color="auto" w:sz="4" w:space="0"/>
              <w:bottom w:val="single" w:color="auto" w:sz="4" w:space="0"/>
              <w:right w:val="single" w:color="auto" w:sz="4" w:space="0"/>
            </w:tcBorders>
            <w:vAlign w:val="center"/>
          </w:tcPr>
          <w:p>
            <w:pPr>
              <w:pStyle w:val="2001"/>
            </w:pPr>
            <w:r>
              <w:t xml:space="preserve">■ </w:t>
            </w:r>
          </w:p>
        </w:tc>
        <w:tc>
          <w:tcPr>
            <w:tcW w:w="505" w:type="dxa"/>
            <w:tcBorders>
              <w:top w:val="single" w:color="auto" w:sz="4" w:space="0"/>
              <w:left w:val="single" w:color="auto" w:sz="4" w:space="0"/>
              <w:bottom w:val="single" w:color="auto" w:sz="4" w:space="0"/>
              <w:right w:val="single" w:color="auto" w:sz="4" w:space="0"/>
            </w:tcBorders>
            <w:vAlign w:val="center"/>
          </w:tcPr>
          <w:p>
            <w:pPr>
              <w:pStyle w:val="2001"/>
            </w:pPr>
            <w:r>
              <w:t xml:space="preserve">○ </w:t>
            </w:r>
          </w:p>
        </w:tc>
        <w:tc>
          <w:tcPr>
            <w:tcW w:w="505" w:type="dxa"/>
            <w:tcBorders>
              <w:top w:val="single" w:color="auto" w:sz="4" w:space="0"/>
              <w:left w:val="single" w:color="auto" w:sz="4" w:space="0"/>
              <w:bottom w:val="single" w:color="auto" w:sz="4" w:space="0"/>
              <w:right w:val="single" w:color="auto" w:sz="4" w:space="0"/>
            </w:tcBorders>
            <w:vAlign w:val="center"/>
          </w:tcPr>
          <w:p>
            <w:pPr>
              <w:pStyle w:val="2001"/>
            </w:pPr>
            <w:r>
              <w:t xml:space="preserve">● </w:t>
            </w:r>
          </w:p>
        </w:tc>
        <w:tc>
          <w:tcPr>
            <w:tcW w:w="508" w:type="dxa"/>
            <w:tcBorders>
              <w:top w:val="single" w:color="auto" w:sz="4" w:space="0"/>
              <w:left w:val="single" w:color="auto" w:sz="4" w:space="0"/>
              <w:bottom w:val="single" w:color="auto" w:sz="4" w:space="0"/>
              <w:right w:val="single" w:color="auto" w:sz="4" w:space="0"/>
            </w:tcBorders>
          </w:tcPr>
          <w:p>
            <w:pPr>
              <w:pStyle w:val="2001"/>
            </w:pPr>
          </w:p>
        </w:tc>
        <w:tc>
          <w:tcPr>
            <w:tcW w:w="503" w:type="dxa"/>
            <w:tcBorders>
              <w:top w:val="single" w:color="auto" w:sz="4" w:space="0"/>
              <w:left w:val="single" w:color="auto" w:sz="4" w:space="0"/>
              <w:bottom w:val="single" w:color="auto" w:sz="4" w:space="0"/>
              <w:right w:val="single" w:color="auto" w:sz="12" w:space="0"/>
            </w:tcBorders>
            <w:vAlign w:val="center"/>
          </w:tcPr>
          <w:p>
            <w:pPr>
              <w:pStyle w:val="2001"/>
            </w:pPr>
            <w:r>
              <w:t xml:space="preserve">□ </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c>
          <w:tcPr>
            <w:tcW w:w="518" w:type="dxa"/>
            <w:vMerge w:val="continue"/>
            <w:tcBorders>
              <w:top w:val="single" w:color="auto" w:sz="4" w:space="0"/>
              <w:left w:val="single" w:color="auto" w:sz="12" w:space="0"/>
              <w:bottom w:val="single" w:color="auto" w:sz="4" w:space="0"/>
              <w:right w:val="single" w:color="auto" w:sz="4" w:space="0"/>
            </w:tcBorders>
            <w:vAlign w:val="center"/>
          </w:tcPr>
          <w:p>
            <w:pPr>
              <w:pStyle w:val="2001"/>
            </w:pPr>
          </w:p>
        </w:tc>
        <w:tc>
          <w:tcPr>
            <w:tcW w:w="1433" w:type="dxa"/>
            <w:tcBorders>
              <w:top w:val="single" w:color="auto" w:sz="4" w:space="0"/>
              <w:left w:val="single" w:color="auto" w:sz="4" w:space="0"/>
              <w:bottom w:val="single" w:color="auto" w:sz="4" w:space="0"/>
              <w:right w:val="single" w:color="auto" w:sz="4" w:space="0"/>
            </w:tcBorders>
            <w:vAlign w:val="center"/>
          </w:tcPr>
          <w:p>
            <w:pPr>
              <w:pStyle w:val="2001"/>
            </w:pPr>
            <w:r>
              <w:t>社会效益</w:t>
            </w:r>
          </w:p>
        </w:tc>
        <w:tc>
          <w:tcPr>
            <w:tcW w:w="507" w:type="dxa"/>
            <w:tcBorders>
              <w:top w:val="single" w:color="auto" w:sz="4" w:space="0"/>
              <w:left w:val="single" w:color="auto" w:sz="4" w:space="0"/>
              <w:bottom w:val="single" w:color="auto" w:sz="4" w:space="0"/>
              <w:right w:val="single" w:color="auto" w:sz="4" w:space="0"/>
            </w:tcBorders>
          </w:tcPr>
          <w:p>
            <w:pPr>
              <w:pStyle w:val="2001"/>
            </w:pPr>
          </w:p>
        </w:tc>
        <w:tc>
          <w:tcPr>
            <w:tcW w:w="505" w:type="dxa"/>
            <w:tcBorders>
              <w:top w:val="single" w:color="auto" w:sz="4" w:space="0"/>
              <w:left w:val="single" w:color="auto" w:sz="4" w:space="0"/>
              <w:bottom w:val="single" w:color="auto" w:sz="4" w:space="0"/>
              <w:right w:val="single" w:color="auto" w:sz="4" w:space="0"/>
            </w:tcBorders>
          </w:tcPr>
          <w:p>
            <w:pPr>
              <w:pStyle w:val="2001"/>
            </w:pPr>
          </w:p>
        </w:tc>
        <w:tc>
          <w:tcPr>
            <w:tcW w:w="508" w:type="dxa"/>
            <w:tcBorders>
              <w:top w:val="single" w:color="auto" w:sz="4" w:space="0"/>
              <w:left w:val="single" w:color="auto" w:sz="4" w:space="0"/>
              <w:bottom w:val="single" w:color="auto" w:sz="4" w:space="0"/>
              <w:right w:val="single" w:color="auto" w:sz="4" w:space="0"/>
            </w:tcBorders>
          </w:tcPr>
          <w:p>
            <w:pPr>
              <w:pStyle w:val="2001"/>
            </w:pPr>
          </w:p>
        </w:tc>
        <w:tc>
          <w:tcPr>
            <w:tcW w:w="505" w:type="dxa"/>
            <w:tcBorders>
              <w:top w:val="single" w:color="auto" w:sz="4" w:space="0"/>
              <w:left w:val="single" w:color="auto" w:sz="4" w:space="0"/>
              <w:bottom w:val="single" w:color="auto" w:sz="4" w:space="0"/>
              <w:right w:val="single" w:color="auto" w:sz="4" w:space="0"/>
            </w:tcBorders>
          </w:tcPr>
          <w:p>
            <w:pPr>
              <w:pStyle w:val="2001"/>
            </w:pPr>
          </w:p>
        </w:tc>
        <w:tc>
          <w:tcPr>
            <w:tcW w:w="505" w:type="dxa"/>
            <w:tcBorders>
              <w:top w:val="single" w:color="auto" w:sz="4" w:space="0"/>
              <w:left w:val="single" w:color="auto" w:sz="4" w:space="0"/>
              <w:bottom w:val="single" w:color="auto" w:sz="4" w:space="0"/>
              <w:right w:val="single" w:color="auto" w:sz="4" w:space="0"/>
            </w:tcBorders>
          </w:tcPr>
          <w:p>
            <w:pPr>
              <w:pStyle w:val="2001"/>
            </w:pPr>
          </w:p>
        </w:tc>
        <w:tc>
          <w:tcPr>
            <w:tcW w:w="508" w:type="dxa"/>
            <w:tcBorders>
              <w:top w:val="single" w:color="auto" w:sz="4" w:space="0"/>
              <w:left w:val="single" w:color="auto" w:sz="4" w:space="0"/>
              <w:bottom w:val="single" w:color="auto" w:sz="4" w:space="0"/>
              <w:right w:val="single" w:color="auto" w:sz="4" w:space="0"/>
            </w:tcBorders>
          </w:tcPr>
          <w:p>
            <w:pPr>
              <w:pStyle w:val="2001"/>
            </w:pPr>
          </w:p>
        </w:tc>
        <w:tc>
          <w:tcPr>
            <w:tcW w:w="505" w:type="dxa"/>
            <w:tcBorders>
              <w:top w:val="single" w:color="auto" w:sz="4" w:space="0"/>
              <w:left w:val="single" w:color="auto" w:sz="4" w:space="0"/>
              <w:bottom w:val="single" w:color="auto" w:sz="4" w:space="0"/>
              <w:right w:val="single" w:color="auto" w:sz="4" w:space="0"/>
            </w:tcBorders>
          </w:tcPr>
          <w:p>
            <w:pPr>
              <w:pStyle w:val="2001"/>
            </w:pPr>
          </w:p>
        </w:tc>
        <w:tc>
          <w:tcPr>
            <w:tcW w:w="505" w:type="dxa"/>
            <w:tcBorders>
              <w:top w:val="single" w:color="auto" w:sz="4" w:space="0"/>
              <w:left w:val="single" w:color="auto" w:sz="4" w:space="0"/>
              <w:bottom w:val="single" w:color="auto" w:sz="4" w:space="0"/>
              <w:right w:val="single" w:color="auto" w:sz="4" w:space="0"/>
            </w:tcBorders>
          </w:tcPr>
          <w:p>
            <w:pPr>
              <w:pStyle w:val="2001"/>
            </w:pPr>
          </w:p>
        </w:tc>
        <w:tc>
          <w:tcPr>
            <w:tcW w:w="508" w:type="dxa"/>
            <w:tcBorders>
              <w:top w:val="single" w:color="auto" w:sz="4" w:space="0"/>
              <w:left w:val="single" w:color="auto" w:sz="4" w:space="0"/>
              <w:bottom w:val="single" w:color="auto" w:sz="4" w:space="0"/>
              <w:right w:val="single" w:color="auto" w:sz="4" w:space="0"/>
            </w:tcBorders>
          </w:tcPr>
          <w:p>
            <w:pPr>
              <w:pStyle w:val="2001"/>
            </w:pPr>
          </w:p>
        </w:tc>
        <w:tc>
          <w:tcPr>
            <w:tcW w:w="505" w:type="dxa"/>
            <w:tcBorders>
              <w:top w:val="single" w:color="auto" w:sz="4" w:space="0"/>
              <w:left w:val="single" w:color="auto" w:sz="4" w:space="0"/>
              <w:bottom w:val="single" w:color="auto" w:sz="4" w:space="0"/>
              <w:right w:val="single" w:color="auto" w:sz="4" w:space="0"/>
            </w:tcBorders>
            <w:vAlign w:val="center"/>
          </w:tcPr>
          <w:p>
            <w:pPr>
              <w:pStyle w:val="2001"/>
            </w:pPr>
            <w:r>
              <w:t xml:space="preserve">□ </w:t>
            </w:r>
          </w:p>
        </w:tc>
        <w:tc>
          <w:tcPr>
            <w:tcW w:w="505" w:type="dxa"/>
            <w:tcBorders>
              <w:top w:val="single" w:color="auto" w:sz="4" w:space="0"/>
              <w:left w:val="single" w:color="auto" w:sz="4" w:space="0"/>
              <w:bottom w:val="single" w:color="auto" w:sz="4" w:space="0"/>
              <w:right w:val="single" w:color="auto" w:sz="4" w:space="0"/>
            </w:tcBorders>
          </w:tcPr>
          <w:p>
            <w:pPr>
              <w:pStyle w:val="2001"/>
            </w:pPr>
          </w:p>
        </w:tc>
        <w:tc>
          <w:tcPr>
            <w:tcW w:w="508" w:type="dxa"/>
            <w:tcBorders>
              <w:top w:val="single" w:color="auto" w:sz="4" w:space="0"/>
              <w:left w:val="single" w:color="auto" w:sz="4" w:space="0"/>
              <w:bottom w:val="single" w:color="auto" w:sz="4" w:space="0"/>
              <w:right w:val="single" w:color="auto" w:sz="4" w:space="0"/>
            </w:tcBorders>
          </w:tcPr>
          <w:p>
            <w:pPr>
              <w:pStyle w:val="2001"/>
            </w:pPr>
          </w:p>
        </w:tc>
        <w:tc>
          <w:tcPr>
            <w:tcW w:w="503" w:type="dxa"/>
            <w:tcBorders>
              <w:top w:val="single" w:color="auto" w:sz="4" w:space="0"/>
              <w:left w:val="single" w:color="auto" w:sz="4" w:space="0"/>
              <w:bottom w:val="single" w:color="auto" w:sz="4" w:space="0"/>
              <w:right w:val="single" w:color="auto" w:sz="12" w:space="0"/>
            </w:tcBorders>
            <w:vAlign w:val="center"/>
          </w:tcPr>
          <w:p>
            <w:pPr>
              <w:pStyle w:val="2001"/>
            </w:pPr>
            <w:r>
              <w:t xml:space="preserve">□ </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c>
          <w:tcPr>
            <w:tcW w:w="518" w:type="dxa"/>
            <w:vMerge w:val="continue"/>
            <w:tcBorders>
              <w:top w:val="single" w:color="auto" w:sz="4" w:space="0"/>
              <w:left w:val="single" w:color="auto" w:sz="12" w:space="0"/>
              <w:bottom w:val="single" w:color="auto" w:sz="12" w:space="0"/>
              <w:right w:val="single" w:color="auto" w:sz="4" w:space="0"/>
            </w:tcBorders>
            <w:vAlign w:val="center"/>
          </w:tcPr>
          <w:p>
            <w:pPr>
              <w:pStyle w:val="2001"/>
            </w:pPr>
          </w:p>
        </w:tc>
        <w:tc>
          <w:tcPr>
            <w:tcW w:w="1433" w:type="dxa"/>
            <w:tcBorders>
              <w:top w:val="single" w:color="auto" w:sz="4" w:space="0"/>
              <w:left w:val="single" w:color="auto" w:sz="4" w:space="0"/>
              <w:bottom w:val="single" w:color="auto" w:sz="12" w:space="0"/>
              <w:right w:val="single" w:color="auto" w:sz="4" w:space="0"/>
            </w:tcBorders>
            <w:vAlign w:val="center"/>
          </w:tcPr>
          <w:p>
            <w:pPr>
              <w:pStyle w:val="2001"/>
            </w:pPr>
            <w:r>
              <w:t>环保工程</w:t>
            </w:r>
          </w:p>
        </w:tc>
        <w:tc>
          <w:tcPr>
            <w:tcW w:w="507" w:type="dxa"/>
            <w:tcBorders>
              <w:top w:val="single" w:color="auto" w:sz="4" w:space="0"/>
              <w:left w:val="single" w:color="auto" w:sz="4" w:space="0"/>
              <w:bottom w:val="single" w:color="auto" w:sz="12" w:space="0"/>
              <w:right w:val="single" w:color="auto" w:sz="4" w:space="0"/>
            </w:tcBorders>
          </w:tcPr>
          <w:p>
            <w:pPr>
              <w:pStyle w:val="2001"/>
            </w:pPr>
          </w:p>
        </w:tc>
        <w:tc>
          <w:tcPr>
            <w:tcW w:w="505" w:type="dxa"/>
            <w:tcBorders>
              <w:top w:val="single" w:color="auto" w:sz="4" w:space="0"/>
              <w:left w:val="single" w:color="auto" w:sz="4" w:space="0"/>
              <w:bottom w:val="single" w:color="auto" w:sz="12" w:space="0"/>
              <w:right w:val="single" w:color="auto" w:sz="4" w:space="0"/>
            </w:tcBorders>
          </w:tcPr>
          <w:p>
            <w:pPr>
              <w:pStyle w:val="2001"/>
            </w:pPr>
          </w:p>
        </w:tc>
        <w:tc>
          <w:tcPr>
            <w:tcW w:w="508" w:type="dxa"/>
            <w:tcBorders>
              <w:top w:val="single" w:color="auto" w:sz="4" w:space="0"/>
              <w:left w:val="single" w:color="auto" w:sz="4" w:space="0"/>
              <w:bottom w:val="single" w:color="auto" w:sz="12" w:space="0"/>
              <w:right w:val="single" w:color="auto" w:sz="4" w:space="0"/>
            </w:tcBorders>
            <w:vAlign w:val="center"/>
          </w:tcPr>
          <w:p>
            <w:pPr>
              <w:pStyle w:val="2001"/>
            </w:pPr>
            <w:r>
              <w:t xml:space="preserve">□ </w:t>
            </w:r>
          </w:p>
        </w:tc>
        <w:tc>
          <w:tcPr>
            <w:tcW w:w="505" w:type="dxa"/>
            <w:tcBorders>
              <w:top w:val="single" w:color="auto" w:sz="4" w:space="0"/>
              <w:left w:val="single" w:color="auto" w:sz="4" w:space="0"/>
              <w:bottom w:val="single" w:color="auto" w:sz="12" w:space="0"/>
              <w:right w:val="single" w:color="auto" w:sz="4" w:space="0"/>
            </w:tcBorders>
            <w:vAlign w:val="center"/>
          </w:tcPr>
          <w:p>
            <w:pPr>
              <w:pStyle w:val="2001"/>
            </w:pPr>
            <w:r>
              <w:t xml:space="preserve">□ </w:t>
            </w:r>
          </w:p>
        </w:tc>
        <w:tc>
          <w:tcPr>
            <w:tcW w:w="505" w:type="dxa"/>
            <w:tcBorders>
              <w:top w:val="single" w:color="auto" w:sz="4" w:space="0"/>
              <w:left w:val="single" w:color="auto" w:sz="4" w:space="0"/>
              <w:bottom w:val="single" w:color="auto" w:sz="12" w:space="0"/>
              <w:right w:val="single" w:color="auto" w:sz="4" w:space="0"/>
            </w:tcBorders>
            <w:vAlign w:val="center"/>
          </w:tcPr>
          <w:p>
            <w:pPr>
              <w:pStyle w:val="2001"/>
            </w:pPr>
            <w:r>
              <w:t xml:space="preserve">○ </w:t>
            </w:r>
          </w:p>
        </w:tc>
        <w:tc>
          <w:tcPr>
            <w:tcW w:w="508" w:type="dxa"/>
            <w:tcBorders>
              <w:top w:val="single" w:color="auto" w:sz="4" w:space="0"/>
              <w:left w:val="single" w:color="auto" w:sz="4" w:space="0"/>
              <w:bottom w:val="single" w:color="auto" w:sz="12" w:space="0"/>
              <w:right w:val="single" w:color="auto" w:sz="4" w:space="0"/>
            </w:tcBorders>
            <w:vAlign w:val="center"/>
          </w:tcPr>
          <w:p>
            <w:pPr>
              <w:pStyle w:val="2001"/>
            </w:pPr>
            <w:r>
              <w:t xml:space="preserve">□ </w:t>
            </w:r>
          </w:p>
        </w:tc>
        <w:tc>
          <w:tcPr>
            <w:tcW w:w="505" w:type="dxa"/>
            <w:tcBorders>
              <w:top w:val="single" w:color="auto" w:sz="4" w:space="0"/>
              <w:left w:val="single" w:color="auto" w:sz="4" w:space="0"/>
              <w:bottom w:val="single" w:color="auto" w:sz="12" w:space="0"/>
              <w:right w:val="single" w:color="auto" w:sz="4" w:space="0"/>
            </w:tcBorders>
            <w:vAlign w:val="center"/>
          </w:tcPr>
          <w:p>
            <w:pPr>
              <w:pStyle w:val="2001"/>
            </w:pPr>
            <w:r>
              <w:t xml:space="preserve">□ </w:t>
            </w:r>
          </w:p>
        </w:tc>
        <w:tc>
          <w:tcPr>
            <w:tcW w:w="505" w:type="dxa"/>
            <w:tcBorders>
              <w:top w:val="single" w:color="auto" w:sz="4" w:space="0"/>
              <w:left w:val="single" w:color="auto" w:sz="4" w:space="0"/>
              <w:bottom w:val="single" w:color="auto" w:sz="12" w:space="0"/>
              <w:right w:val="single" w:color="auto" w:sz="4" w:space="0"/>
            </w:tcBorders>
          </w:tcPr>
          <w:p>
            <w:pPr>
              <w:pStyle w:val="2001"/>
            </w:pPr>
          </w:p>
        </w:tc>
        <w:tc>
          <w:tcPr>
            <w:tcW w:w="508" w:type="dxa"/>
            <w:tcBorders>
              <w:top w:val="single" w:color="auto" w:sz="4" w:space="0"/>
              <w:left w:val="single" w:color="auto" w:sz="4" w:space="0"/>
              <w:bottom w:val="single" w:color="auto" w:sz="12" w:space="0"/>
              <w:right w:val="single" w:color="auto" w:sz="4" w:space="0"/>
            </w:tcBorders>
            <w:vAlign w:val="center"/>
          </w:tcPr>
          <w:p>
            <w:pPr>
              <w:pStyle w:val="2001"/>
            </w:pPr>
            <w:r>
              <w:t xml:space="preserve">□ </w:t>
            </w:r>
          </w:p>
        </w:tc>
        <w:tc>
          <w:tcPr>
            <w:tcW w:w="505" w:type="dxa"/>
            <w:tcBorders>
              <w:top w:val="single" w:color="auto" w:sz="4" w:space="0"/>
              <w:left w:val="single" w:color="auto" w:sz="4" w:space="0"/>
              <w:bottom w:val="single" w:color="auto" w:sz="12" w:space="0"/>
              <w:right w:val="single" w:color="auto" w:sz="4" w:space="0"/>
            </w:tcBorders>
          </w:tcPr>
          <w:p>
            <w:pPr>
              <w:pStyle w:val="2001"/>
            </w:pPr>
          </w:p>
        </w:tc>
        <w:tc>
          <w:tcPr>
            <w:tcW w:w="505" w:type="dxa"/>
            <w:tcBorders>
              <w:top w:val="single" w:color="auto" w:sz="4" w:space="0"/>
              <w:left w:val="single" w:color="auto" w:sz="4" w:space="0"/>
              <w:bottom w:val="single" w:color="auto" w:sz="12" w:space="0"/>
              <w:right w:val="single" w:color="auto" w:sz="4" w:space="0"/>
            </w:tcBorders>
            <w:vAlign w:val="center"/>
          </w:tcPr>
          <w:p>
            <w:pPr>
              <w:pStyle w:val="2001"/>
            </w:pPr>
            <w:r>
              <w:t xml:space="preserve">□ </w:t>
            </w:r>
          </w:p>
        </w:tc>
        <w:tc>
          <w:tcPr>
            <w:tcW w:w="508" w:type="dxa"/>
            <w:tcBorders>
              <w:top w:val="single" w:color="auto" w:sz="4" w:space="0"/>
              <w:left w:val="single" w:color="auto" w:sz="4" w:space="0"/>
              <w:bottom w:val="single" w:color="auto" w:sz="12" w:space="0"/>
              <w:right w:val="single" w:color="auto" w:sz="4" w:space="0"/>
            </w:tcBorders>
            <w:vAlign w:val="center"/>
          </w:tcPr>
          <w:p>
            <w:pPr>
              <w:pStyle w:val="2001"/>
            </w:pPr>
            <w:r>
              <w:t xml:space="preserve">□ </w:t>
            </w:r>
          </w:p>
        </w:tc>
        <w:tc>
          <w:tcPr>
            <w:tcW w:w="503" w:type="dxa"/>
            <w:tcBorders>
              <w:top w:val="single" w:color="auto" w:sz="4" w:space="0"/>
              <w:left w:val="single" w:color="auto" w:sz="4" w:space="0"/>
              <w:bottom w:val="single" w:color="auto" w:sz="12" w:space="0"/>
              <w:right w:val="single" w:color="auto" w:sz="12" w:space="0"/>
            </w:tcBorders>
            <w:vAlign w:val="center"/>
          </w:tcPr>
          <w:p>
            <w:pPr>
              <w:pStyle w:val="2001"/>
            </w:pPr>
            <w:r>
              <w:t xml:space="preserve">○ </w:t>
            </w:r>
          </w:p>
        </w:tc>
      </w:tr>
    </w:tbl>
    <w:p>
      <w:pPr>
        <w:pStyle w:val="631"/>
        <w:snapToGrid w:val="0"/>
        <w:spacing w:after="0"/>
        <w:jc w:val="both"/>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注：“□”显著正影响；“○”较小正影响；“空白”基本无影响；“■”显著负影响；“●”较小负影响。</w:t>
      </w:r>
    </w:p>
    <w:p>
      <w:pPr>
        <w:pStyle w:val="5"/>
        <w:rPr>
          <w:color w:val="000000" w:themeColor="text1"/>
          <w14:textFill>
            <w14:solidFill>
              <w14:schemeClr w14:val="tx1"/>
            </w14:solidFill>
          </w14:textFill>
        </w:rPr>
      </w:pPr>
      <w:r>
        <w:rPr>
          <w:rFonts w:hint="eastAsia"/>
          <w:color w:val="000000" w:themeColor="text1"/>
          <w14:textFill>
            <w14:solidFill>
              <w14:schemeClr w14:val="tx1"/>
            </w14:solidFill>
          </w14:textFill>
        </w:rPr>
        <w:t>评价内容及重点</w:t>
      </w:r>
    </w:p>
    <w:p>
      <w:pPr>
        <w:pStyle w:val="283"/>
        <w:ind w:firstLine="462"/>
        <w:rPr>
          <w:color w:val="000000" w:themeColor="text1"/>
          <w14:textFill>
            <w14:solidFill>
              <w14:schemeClr w14:val="tx1"/>
            </w14:solidFill>
          </w14:textFill>
        </w:rPr>
      </w:pPr>
      <w:r>
        <w:rPr>
          <w:rFonts w:hint="eastAsia"/>
          <w:color w:val="000000" w:themeColor="text1"/>
          <w14:textFill>
            <w14:solidFill>
              <w14:schemeClr w14:val="tx1"/>
            </w14:solidFill>
          </w14:textFill>
        </w:rPr>
        <w:t>根据影响矩阵识别结果，确定本项目环评内容及重点见表1.4-2。</w:t>
      </w:r>
    </w:p>
    <w:p>
      <w:pPr>
        <w:pStyle w:val="384"/>
        <w:ind w:left="0" w:firstLine="0"/>
        <w:rPr>
          <w:rFonts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环境影响评价内容及重点</w:t>
      </w:r>
    </w:p>
    <w:tbl>
      <w:tblPr>
        <w:tblStyle w:val="89"/>
        <w:tblW w:w="8528" w:type="dxa"/>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934"/>
        <w:gridCol w:w="1114"/>
        <w:gridCol w:w="2410"/>
        <w:gridCol w:w="1559"/>
        <w:gridCol w:w="2511"/>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blHeader/>
        </w:trPr>
        <w:tc>
          <w:tcPr>
            <w:tcW w:w="934" w:type="dxa"/>
            <w:vAlign w:val="center"/>
          </w:tcPr>
          <w:p>
            <w:pPr>
              <w:autoSpaceDE w:val="0"/>
              <w:autoSpaceDN w:val="0"/>
              <w:adjustRightInd w:val="0"/>
              <w:spacing w:line="280" w:lineRule="exact"/>
              <w:jc w:val="center"/>
              <w:rPr>
                <w:b/>
                <w:color w:val="000000" w:themeColor="text1"/>
                <w:kern w:val="0"/>
                <w:sz w:val="21"/>
                <w:szCs w:val="21"/>
                <w14:textFill>
                  <w14:solidFill>
                    <w14:schemeClr w14:val="tx1"/>
                  </w14:solidFill>
                </w14:textFill>
              </w:rPr>
            </w:pPr>
            <w:r>
              <w:rPr>
                <w:rFonts w:hint="eastAsia"/>
                <w:b/>
                <w:color w:val="000000" w:themeColor="text1"/>
                <w:kern w:val="0"/>
                <w:sz w:val="21"/>
                <w:szCs w:val="21"/>
                <w14:textFill>
                  <w14:solidFill>
                    <w14:schemeClr w14:val="tx1"/>
                  </w14:solidFill>
                </w14:textFill>
              </w:rPr>
              <w:t>工程</w:t>
            </w:r>
          </w:p>
          <w:p>
            <w:pPr>
              <w:autoSpaceDE w:val="0"/>
              <w:autoSpaceDN w:val="0"/>
              <w:adjustRightInd w:val="0"/>
              <w:spacing w:line="280" w:lineRule="exact"/>
              <w:jc w:val="center"/>
              <w:rPr>
                <w:b/>
                <w:color w:val="000000" w:themeColor="text1"/>
                <w:kern w:val="0"/>
                <w:sz w:val="21"/>
                <w:szCs w:val="21"/>
                <w14:textFill>
                  <w14:solidFill>
                    <w14:schemeClr w14:val="tx1"/>
                  </w14:solidFill>
                </w14:textFill>
              </w:rPr>
            </w:pPr>
            <w:r>
              <w:rPr>
                <w:rFonts w:hint="eastAsia"/>
                <w:b/>
                <w:color w:val="000000" w:themeColor="text1"/>
                <w:kern w:val="0"/>
                <w:sz w:val="21"/>
                <w:szCs w:val="21"/>
                <w14:textFill>
                  <w14:solidFill>
                    <w14:schemeClr w14:val="tx1"/>
                  </w14:solidFill>
                </w14:textFill>
              </w:rPr>
              <w:t>时段</w:t>
            </w:r>
          </w:p>
        </w:tc>
        <w:tc>
          <w:tcPr>
            <w:tcW w:w="1114" w:type="dxa"/>
            <w:vAlign w:val="center"/>
          </w:tcPr>
          <w:p>
            <w:pPr>
              <w:autoSpaceDE w:val="0"/>
              <w:autoSpaceDN w:val="0"/>
              <w:adjustRightInd w:val="0"/>
              <w:spacing w:line="280" w:lineRule="exact"/>
              <w:jc w:val="center"/>
              <w:rPr>
                <w:b/>
                <w:color w:val="000000" w:themeColor="text1"/>
                <w:kern w:val="0"/>
                <w:sz w:val="21"/>
                <w:szCs w:val="21"/>
                <w14:textFill>
                  <w14:solidFill>
                    <w14:schemeClr w14:val="tx1"/>
                  </w14:solidFill>
                </w14:textFill>
              </w:rPr>
            </w:pPr>
            <w:r>
              <w:rPr>
                <w:rFonts w:hint="eastAsia"/>
                <w:b/>
                <w:color w:val="000000" w:themeColor="text1"/>
                <w:kern w:val="0"/>
                <w:sz w:val="21"/>
                <w:szCs w:val="21"/>
                <w14:textFill>
                  <w14:solidFill>
                    <w14:schemeClr w14:val="tx1"/>
                  </w14:solidFill>
                </w14:textFill>
              </w:rPr>
              <w:t>工程类别</w:t>
            </w:r>
          </w:p>
        </w:tc>
        <w:tc>
          <w:tcPr>
            <w:tcW w:w="2410" w:type="dxa"/>
            <w:vAlign w:val="center"/>
          </w:tcPr>
          <w:p>
            <w:pPr>
              <w:autoSpaceDE w:val="0"/>
              <w:autoSpaceDN w:val="0"/>
              <w:adjustRightInd w:val="0"/>
              <w:spacing w:line="280" w:lineRule="exact"/>
              <w:jc w:val="center"/>
              <w:rPr>
                <w:b/>
                <w:color w:val="000000" w:themeColor="text1"/>
                <w:kern w:val="0"/>
                <w:sz w:val="21"/>
                <w:szCs w:val="21"/>
                <w14:textFill>
                  <w14:solidFill>
                    <w14:schemeClr w14:val="tx1"/>
                  </w14:solidFill>
                </w14:textFill>
              </w:rPr>
            </w:pPr>
            <w:r>
              <w:rPr>
                <w:rFonts w:hint="eastAsia"/>
                <w:b/>
                <w:color w:val="000000" w:themeColor="text1"/>
                <w:kern w:val="0"/>
                <w:sz w:val="21"/>
                <w:szCs w:val="21"/>
                <w14:textFill>
                  <w14:solidFill>
                    <w14:schemeClr w14:val="tx1"/>
                  </w14:solidFill>
                </w14:textFill>
              </w:rPr>
              <w:t>工程内容</w:t>
            </w:r>
          </w:p>
        </w:tc>
        <w:tc>
          <w:tcPr>
            <w:tcW w:w="1559" w:type="dxa"/>
            <w:vAlign w:val="center"/>
          </w:tcPr>
          <w:p>
            <w:pPr>
              <w:autoSpaceDE w:val="0"/>
              <w:autoSpaceDN w:val="0"/>
              <w:adjustRightInd w:val="0"/>
              <w:spacing w:line="280" w:lineRule="exact"/>
              <w:jc w:val="center"/>
              <w:rPr>
                <w:b/>
                <w:color w:val="000000" w:themeColor="text1"/>
                <w:kern w:val="0"/>
                <w:sz w:val="21"/>
                <w:szCs w:val="21"/>
                <w14:textFill>
                  <w14:solidFill>
                    <w14:schemeClr w14:val="tx1"/>
                  </w14:solidFill>
                </w14:textFill>
              </w:rPr>
            </w:pPr>
            <w:r>
              <w:rPr>
                <w:rFonts w:hint="eastAsia"/>
                <w:b/>
                <w:color w:val="000000" w:themeColor="text1"/>
                <w:kern w:val="0"/>
                <w:sz w:val="21"/>
                <w:szCs w:val="21"/>
                <w14:textFill>
                  <w14:solidFill>
                    <w14:schemeClr w14:val="tx1"/>
                  </w14:solidFill>
                </w14:textFill>
              </w:rPr>
              <w:t>生态影响和主要污染因子</w:t>
            </w:r>
          </w:p>
        </w:tc>
        <w:tc>
          <w:tcPr>
            <w:tcW w:w="2511" w:type="dxa"/>
            <w:vAlign w:val="center"/>
          </w:tcPr>
          <w:p>
            <w:pPr>
              <w:autoSpaceDE w:val="0"/>
              <w:autoSpaceDN w:val="0"/>
              <w:adjustRightInd w:val="0"/>
              <w:spacing w:line="280" w:lineRule="exact"/>
              <w:jc w:val="center"/>
              <w:rPr>
                <w:b/>
                <w:color w:val="000000" w:themeColor="text1"/>
                <w:kern w:val="0"/>
                <w:sz w:val="21"/>
                <w:szCs w:val="21"/>
                <w14:textFill>
                  <w14:solidFill>
                    <w14:schemeClr w14:val="tx1"/>
                  </w14:solidFill>
                </w14:textFill>
              </w:rPr>
            </w:pPr>
            <w:r>
              <w:rPr>
                <w:rFonts w:hint="eastAsia"/>
                <w:b/>
                <w:color w:val="000000" w:themeColor="text1"/>
                <w:kern w:val="0"/>
                <w:sz w:val="21"/>
                <w:szCs w:val="21"/>
                <w14:textFill>
                  <w14:solidFill>
                    <w14:schemeClr w14:val="tx1"/>
                  </w14:solidFill>
                </w14:textFill>
              </w:rPr>
              <w:t>评价分析内容</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428" w:hRule="atLeast"/>
        </w:trPr>
        <w:tc>
          <w:tcPr>
            <w:tcW w:w="934" w:type="dxa"/>
            <w:vMerge w:val="restart"/>
            <w:vAlign w:val="center"/>
          </w:tcPr>
          <w:p>
            <w:pPr>
              <w:autoSpaceDE w:val="0"/>
              <w:autoSpaceDN w:val="0"/>
              <w:adjustRightInd w:val="0"/>
              <w:spacing w:line="280" w:lineRule="exact"/>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施工期</w:t>
            </w:r>
          </w:p>
        </w:tc>
        <w:tc>
          <w:tcPr>
            <w:tcW w:w="1114" w:type="dxa"/>
            <w:vMerge w:val="restart"/>
            <w:vAlign w:val="center"/>
          </w:tcPr>
          <w:p>
            <w:pPr>
              <w:autoSpaceDE w:val="0"/>
              <w:autoSpaceDN w:val="0"/>
              <w:adjustRightInd w:val="0"/>
              <w:spacing w:line="280" w:lineRule="exact"/>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涉水施工</w:t>
            </w:r>
          </w:p>
        </w:tc>
        <w:tc>
          <w:tcPr>
            <w:tcW w:w="2410" w:type="dxa"/>
            <w:vAlign w:val="center"/>
          </w:tcPr>
          <w:p>
            <w:pPr>
              <w:autoSpaceDE w:val="0"/>
              <w:autoSpaceDN w:val="0"/>
              <w:adjustRightInd w:val="0"/>
              <w:spacing w:line="280" w:lineRule="exact"/>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疏浚工程：疏浚工程量</w:t>
            </w:r>
            <w:r>
              <w:rPr>
                <w:rFonts w:hint="eastAsia"/>
                <w:color w:val="000000" w:themeColor="text1"/>
                <w:kern w:val="0"/>
                <w:sz w:val="21"/>
                <w:szCs w:val="21"/>
                <w14:textFill>
                  <w14:solidFill>
                    <w14:schemeClr w14:val="tx1"/>
                  </w14:solidFill>
                </w14:textFill>
              </w:rPr>
              <w:t>204.7</w:t>
            </w:r>
            <w:r>
              <w:rPr>
                <w:color w:val="000000" w:themeColor="text1"/>
                <w:kern w:val="0"/>
                <w:sz w:val="21"/>
                <w:szCs w:val="21"/>
                <w14:textFill>
                  <w14:solidFill>
                    <w14:schemeClr w14:val="tx1"/>
                  </w14:solidFill>
                </w14:textFill>
              </w:rPr>
              <w:t>万m</w:t>
            </w:r>
            <w:r>
              <w:rPr>
                <w:color w:val="000000" w:themeColor="text1"/>
                <w:kern w:val="0"/>
                <w:sz w:val="21"/>
                <w:szCs w:val="21"/>
                <w:vertAlign w:val="superscript"/>
                <w14:textFill>
                  <w14:solidFill>
                    <w14:schemeClr w14:val="tx1"/>
                  </w14:solidFill>
                </w14:textFill>
              </w:rPr>
              <w:t>3</w:t>
            </w:r>
          </w:p>
        </w:tc>
        <w:tc>
          <w:tcPr>
            <w:tcW w:w="1559" w:type="dxa"/>
            <w:vMerge w:val="restart"/>
            <w:vAlign w:val="center"/>
          </w:tcPr>
          <w:p>
            <w:pPr>
              <w:autoSpaceDE w:val="0"/>
              <w:autoSpaceDN w:val="0"/>
              <w:adjustRightInd w:val="0"/>
              <w:spacing w:line="280" w:lineRule="exact"/>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海洋</w:t>
            </w:r>
            <w:r>
              <w:rPr>
                <w:color w:val="000000" w:themeColor="text1"/>
                <w:kern w:val="0"/>
                <w:sz w:val="21"/>
                <w:szCs w:val="21"/>
                <w14:textFill>
                  <w14:solidFill>
                    <w14:schemeClr w14:val="tx1"/>
                  </w14:solidFill>
                </w14:textFill>
              </w:rPr>
              <w:t>生态影响</w:t>
            </w:r>
            <w:r>
              <w:rPr>
                <w:rFonts w:hint="eastAsia"/>
                <w:color w:val="000000" w:themeColor="text1"/>
                <w:kern w:val="0"/>
                <w:sz w:val="21"/>
                <w:szCs w:val="21"/>
                <w14:textFill>
                  <w14:solidFill>
                    <w14:schemeClr w14:val="tx1"/>
                  </w14:solidFill>
                </w14:textFill>
              </w:rPr>
              <w:t>；SS、噪声</w:t>
            </w:r>
          </w:p>
        </w:tc>
        <w:tc>
          <w:tcPr>
            <w:tcW w:w="2511" w:type="dxa"/>
            <w:vMerge w:val="restart"/>
            <w:vAlign w:val="center"/>
          </w:tcPr>
          <w:p>
            <w:pPr>
              <w:autoSpaceDE w:val="0"/>
              <w:autoSpaceDN w:val="0"/>
              <w:adjustRightInd w:val="0"/>
              <w:spacing w:line="280" w:lineRule="exact"/>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海洋水质</w:t>
            </w:r>
            <w:r>
              <w:rPr>
                <w:rFonts w:hint="eastAsia"/>
                <w:color w:val="000000" w:themeColor="text1"/>
                <w:kern w:val="0"/>
                <w:sz w:val="21"/>
                <w:szCs w:val="21"/>
                <w14:textFill>
                  <w14:solidFill>
                    <w14:schemeClr w14:val="tx1"/>
                  </w14:solidFill>
                </w14:textFill>
              </w:rPr>
              <w:t>、</w:t>
            </w:r>
            <w:r>
              <w:rPr>
                <w:color w:val="000000" w:themeColor="text1"/>
                <w:kern w:val="0"/>
                <w:sz w:val="21"/>
                <w:szCs w:val="21"/>
                <w14:textFill>
                  <w14:solidFill>
                    <w14:schemeClr w14:val="tx1"/>
                  </w14:solidFill>
                </w14:textFill>
              </w:rPr>
              <w:t>沉积物</w:t>
            </w:r>
            <w:r>
              <w:rPr>
                <w:rFonts w:hint="eastAsia"/>
                <w:color w:val="000000" w:themeColor="text1"/>
                <w:kern w:val="0"/>
                <w:sz w:val="21"/>
                <w:szCs w:val="21"/>
                <w14:textFill>
                  <w14:solidFill>
                    <w14:schemeClr w14:val="tx1"/>
                  </w14:solidFill>
                </w14:textFill>
              </w:rPr>
              <w:t>、</w:t>
            </w:r>
            <w:r>
              <w:rPr>
                <w:color w:val="000000" w:themeColor="text1"/>
                <w:kern w:val="0"/>
                <w:sz w:val="21"/>
                <w:szCs w:val="21"/>
                <w14:textFill>
                  <w14:solidFill>
                    <w14:schemeClr w14:val="tx1"/>
                  </w14:solidFill>
                </w14:textFill>
              </w:rPr>
              <w:t>生态环境现状</w:t>
            </w:r>
            <w:r>
              <w:rPr>
                <w:rFonts w:hint="eastAsia"/>
                <w:color w:val="000000" w:themeColor="text1"/>
                <w:kern w:val="0"/>
                <w:sz w:val="21"/>
                <w:szCs w:val="21"/>
                <w14:textFill>
                  <w14:solidFill>
                    <w14:schemeClr w14:val="tx1"/>
                  </w14:solidFill>
                </w14:textFill>
              </w:rPr>
              <w:t>、</w:t>
            </w:r>
            <w:r>
              <w:rPr>
                <w:color w:val="000000" w:themeColor="text1"/>
                <w:kern w:val="0"/>
                <w:sz w:val="21"/>
                <w:szCs w:val="21"/>
                <w14:textFill>
                  <w14:solidFill>
                    <w14:schemeClr w14:val="tx1"/>
                  </w14:solidFill>
                </w14:textFill>
              </w:rPr>
              <w:t>水动力</w:t>
            </w:r>
            <w:r>
              <w:rPr>
                <w:rFonts w:hint="eastAsia"/>
                <w:color w:val="000000" w:themeColor="text1"/>
                <w:kern w:val="0"/>
                <w:sz w:val="21"/>
                <w:szCs w:val="21"/>
                <w14:textFill>
                  <w14:solidFill>
                    <w14:schemeClr w14:val="tx1"/>
                  </w14:solidFill>
                </w14:textFill>
              </w:rPr>
              <w:t>、</w:t>
            </w:r>
            <w:r>
              <w:rPr>
                <w:color w:val="000000" w:themeColor="text1"/>
                <w:kern w:val="0"/>
                <w:sz w:val="21"/>
                <w:szCs w:val="21"/>
                <w14:textFill>
                  <w14:solidFill>
                    <w14:schemeClr w14:val="tx1"/>
                  </w14:solidFill>
                </w14:textFill>
              </w:rPr>
              <w:t>地形地貌冲淤等现状</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c>
          <w:tcPr>
            <w:tcW w:w="934" w:type="dxa"/>
            <w:vMerge w:val="continue"/>
            <w:vAlign w:val="center"/>
          </w:tcPr>
          <w:p>
            <w:pPr>
              <w:autoSpaceDE w:val="0"/>
              <w:autoSpaceDN w:val="0"/>
              <w:adjustRightInd w:val="0"/>
              <w:spacing w:line="280" w:lineRule="exact"/>
              <w:jc w:val="center"/>
              <w:rPr>
                <w:color w:val="000000" w:themeColor="text1"/>
                <w:kern w:val="0"/>
                <w:sz w:val="21"/>
                <w:szCs w:val="21"/>
                <w14:textFill>
                  <w14:solidFill>
                    <w14:schemeClr w14:val="tx1"/>
                  </w14:solidFill>
                </w14:textFill>
              </w:rPr>
            </w:pPr>
          </w:p>
        </w:tc>
        <w:tc>
          <w:tcPr>
            <w:tcW w:w="1114" w:type="dxa"/>
            <w:vMerge w:val="continue"/>
            <w:vAlign w:val="center"/>
          </w:tcPr>
          <w:p>
            <w:pPr>
              <w:autoSpaceDE w:val="0"/>
              <w:autoSpaceDN w:val="0"/>
              <w:adjustRightInd w:val="0"/>
              <w:spacing w:line="280" w:lineRule="exact"/>
              <w:jc w:val="center"/>
              <w:rPr>
                <w:color w:val="000000" w:themeColor="text1"/>
                <w:kern w:val="0"/>
                <w:sz w:val="21"/>
                <w:szCs w:val="21"/>
                <w14:textFill>
                  <w14:solidFill>
                    <w14:schemeClr w14:val="tx1"/>
                  </w14:solidFill>
                </w14:textFill>
              </w:rPr>
            </w:pPr>
          </w:p>
        </w:tc>
        <w:tc>
          <w:tcPr>
            <w:tcW w:w="2410" w:type="dxa"/>
            <w:vAlign w:val="center"/>
          </w:tcPr>
          <w:p>
            <w:pPr>
              <w:autoSpaceDE w:val="0"/>
              <w:autoSpaceDN w:val="0"/>
              <w:adjustRightInd w:val="0"/>
              <w:spacing w:line="280" w:lineRule="exact"/>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炸礁工程：炸礁工程量</w:t>
            </w:r>
            <w:r>
              <w:rPr>
                <w:rFonts w:hint="eastAsia"/>
                <w:color w:val="000000" w:themeColor="text1"/>
                <w:kern w:val="0"/>
                <w:sz w:val="21"/>
                <w:szCs w:val="21"/>
                <w14:textFill>
                  <w14:solidFill>
                    <w14:schemeClr w14:val="tx1"/>
                  </w14:solidFill>
                </w14:textFill>
              </w:rPr>
              <w:t>47.6</w:t>
            </w:r>
            <w:r>
              <w:rPr>
                <w:color w:val="000000" w:themeColor="text1"/>
                <w:kern w:val="0"/>
                <w:sz w:val="21"/>
                <w:szCs w:val="21"/>
                <w14:textFill>
                  <w14:solidFill>
                    <w14:schemeClr w14:val="tx1"/>
                  </w14:solidFill>
                </w14:textFill>
              </w:rPr>
              <w:t>万m</w:t>
            </w:r>
            <w:r>
              <w:rPr>
                <w:color w:val="000000" w:themeColor="text1"/>
                <w:kern w:val="0"/>
                <w:sz w:val="21"/>
                <w:szCs w:val="21"/>
                <w:vertAlign w:val="superscript"/>
                <w14:textFill>
                  <w14:solidFill>
                    <w14:schemeClr w14:val="tx1"/>
                  </w14:solidFill>
                </w14:textFill>
              </w:rPr>
              <w:t>3</w:t>
            </w:r>
          </w:p>
        </w:tc>
        <w:tc>
          <w:tcPr>
            <w:tcW w:w="1559" w:type="dxa"/>
            <w:vMerge w:val="continue"/>
            <w:vAlign w:val="center"/>
          </w:tcPr>
          <w:p>
            <w:pPr>
              <w:autoSpaceDE w:val="0"/>
              <w:autoSpaceDN w:val="0"/>
              <w:adjustRightInd w:val="0"/>
              <w:spacing w:line="280" w:lineRule="exact"/>
              <w:jc w:val="center"/>
              <w:rPr>
                <w:color w:val="000000" w:themeColor="text1"/>
                <w:kern w:val="0"/>
                <w:sz w:val="21"/>
                <w:szCs w:val="21"/>
                <w14:textFill>
                  <w14:solidFill>
                    <w14:schemeClr w14:val="tx1"/>
                  </w14:solidFill>
                </w14:textFill>
              </w:rPr>
            </w:pPr>
          </w:p>
        </w:tc>
        <w:tc>
          <w:tcPr>
            <w:tcW w:w="2511" w:type="dxa"/>
            <w:vMerge w:val="continue"/>
            <w:vAlign w:val="center"/>
          </w:tcPr>
          <w:p>
            <w:pPr>
              <w:autoSpaceDE w:val="0"/>
              <w:autoSpaceDN w:val="0"/>
              <w:adjustRightInd w:val="0"/>
              <w:spacing w:line="280" w:lineRule="exact"/>
              <w:jc w:val="center"/>
              <w:rPr>
                <w:color w:val="000000" w:themeColor="text1"/>
                <w:kern w:val="0"/>
                <w:sz w:val="21"/>
                <w:szCs w:val="21"/>
                <w14:textFill>
                  <w14:solidFill>
                    <w14:schemeClr w14:val="tx1"/>
                  </w14:solidFill>
                </w14:textFill>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c>
          <w:tcPr>
            <w:tcW w:w="934" w:type="dxa"/>
            <w:vMerge w:val="continue"/>
            <w:vAlign w:val="center"/>
          </w:tcPr>
          <w:p>
            <w:pPr>
              <w:autoSpaceDE w:val="0"/>
              <w:autoSpaceDN w:val="0"/>
              <w:adjustRightInd w:val="0"/>
              <w:spacing w:line="280" w:lineRule="exact"/>
              <w:jc w:val="center"/>
              <w:rPr>
                <w:color w:val="000000" w:themeColor="text1"/>
                <w:kern w:val="0"/>
                <w:sz w:val="21"/>
                <w:szCs w:val="21"/>
                <w14:textFill>
                  <w14:solidFill>
                    <w14:schemeClr w14:val="tx1"/>
                  </w14:solidFill>
                </w14:textFill>
              </w:rPr>
            </w:pPr>
          </w:p>
        </w:tc>
        <w:tc>
          <w:tcPr>
            <w:tcW w:w="1114" w:type="dxa"/>
            <w:vMerge w:val="continue"/>
            <w:vAlign w:val="center"/>
          </w:tcPr>
          <w:p>
            <w:pPr>
              <w:autoSpaceDE w:val="0"/>
              <w:autoSpaceDN w:val="0"/>
              <w:adjustRightInd w:val="0"/>
              <w:spacing w:line="280" w:lineRule="exact"/>
              <w:jc w:val="center"/>
              <w:rPr>
                <w:color w:val="000000" w:themeColor="text1"/>
                <w:kern w:val="0"/>
                <w:sz w:val="21"/>
                <w:szCs w:val="21"/>
                <w14:textFill>
                  <w14:solidFill>
                    <w14:schemeClr w14:val="tx1"/>
                  </w14:solidFill>
                </w14:textFill>
              </w:rPr>
            </w:pPr>
          </w:p>
        </w:tc>
        <w:tc>
          <w:tcPr>
            <w:tcW w:w="2410" w:type="dxa"/>
            <w:vAlign w:val="center"/>
          </w:tcPr>
          <w:p>
            <w:pPr>
              <w:autoSpaceDE w:val="0"/>
              <w:autoSpaceDN w:val="0"/>
              <w:adjustRightInd w:val="0"/>
              <w:spacing w:line="280" w:lineRule="exact"/>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水工结构：方沉箱</w:t>
            </w:r>
          </w:p>
        </w:tc>
        <w:tc>
          <w:tcPr>
            <w:tcW w:w="1559" w:type="dxa"/>
            <w:vMerge w:val="continue"/>
            <w:vAlign w:val="center"/>
          </w:tcPr>
          <w:p>
            <w:pPr>
              <w:autoSpaceDE w:val="0"/>
              <w:autoSpaceDN w:val="0"/>
              <w:adjustRightInd w:val="0"/>
              <w:spacing w:line="280" w:lineRule="exact"/>
              <w:jc w:val="center"/>
              <w:rPr>
                <w:color w:val="000000" w:themeColor="text1"/>
                <w:kern w:val="0"/>
                <w:sz w:val="21"/>
                <w:szCs w:val="21"/>
                <w14:textFill>
                  <w14:solidFill>
                    <w14:schemeClr w14:val="tx1"/>
                  </w14:solidFill>
                </w14:textFill>
              </w:rPr>
            </w:pPr>
          </w:p>
        </w:tc>
        <w:tc>
          <w:tcPr>
            <w:tcW w:w="2511" w:type="dxa"/>
            <w:vMerge w:val="continue"/>
            <w:vAlign w:val="center"/>
          </w:tcPr>
          <w:p>
            <w:pPr>
              <w:autoSpaceDE w:val="0"/>
              <w:autoSpaceDN w:val="0"/>
              <w:adjustRightInd w:val="0"/>
              <w:spacing w:line="280" w:lineRule="exact"/>
              <w:jc w:val="center"/>
              <w:rPr>
                <w:color w:val="000000" w:themeColor="text1"/>
                <w:kern w:val="0"/>
                <w:sz w:val="21"/>
                <w:szCs w:val="21"/>
                <w14:textFill>
                  <w14:solidFill>
                    <w14:schemeClr w14:val="tx1"/>
                  </w14:solidFill>
                </w14:textFill>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590" w:hRule="atLeast"/>
        </w:trPr>
        <w:tc>
          <w:tcPr>
            <w:tcW w:w="934" w:type="dxa"/>
            <w:vMerge w:val="continue"/>
            <w:vAlign w:val="center"/>
          </w:tcPr>
          <w:p>
            <w:pPr>
              <w:autoSpaceDE w:val="0"/>
              <w:autoSpaceDN w:val="0"/>
              <w:adjustRightInd w:val="0"/>
              <w:spacing w:line="280" w:lineRule="exact"/>
              <w:jc w:val="center"/>
              <w:rPr>
                <w:color w:val="000000" w:themeColor="text1"/>
                <w:kern w:val="0"/>
                <w:sz w:val="21"/>
                <w:szCs w:val="21"/>
                <w14:textFill>
                  <w14:solidFill>
                    <w14:schemeClr w14:val="tx1"/>
                  </w14:solidFill>
                </w14:textFill>
              </w:rPr>
            </w:pPr>
          </w:p>
        </w:tc>
        <w:tc>
          <w:tcPr>
            <w:tcW w:w="1114" w:type="dxa"/>
            <w:vAlign w:val="center"/>
          </w:tcPr>
          <w:p>
            <w:pPr>
              <w:autoSpaceDE w:val="0"/>
              <w:autoSpaceDN w:val="0"/>
              <w:adjustRightInd w:val="0"/>
              <w:spacing w:line="280" w:lineRule="exact"/>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陆域施工</w:t>
            </w:r>
          </w:p>
        </w:tc>
        <w:tc>
          <w:tcPr>
            <w:tcW w:w="2410" w:type="dxa"/>
            <w:vAlign w:val="center"/>
          </w:tcPr>
          <w:p>
            <w:pPr>
              <w:autoSpaceDE w:val="0"/>
              <w:autoSpaceDN w:val="0"/>
              <w:adjustRightInd w:val="0"/>
              <w:spacing w:line="280" w:lineRule="exact"/>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配套工程</w:t>
            </w:r>
          </w:p>
        </w:tc>
        <w:tc>
          <w:tcPr>
            <w:tcW w:w="1559" w:type="dxa"/>
            <w:vAlign w:val="center"/>
          </w:tcPr>
          <w:p>
            <w:pPr>
              <w:autoSpaceDE w:val="0"/>
              <w:autoSpaceDN w:val="0"/>
              <w:adjustRightInd w:val="0"/>
              <w:spacing w:line="280" w:lineRule="exact"/>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废水</w:t>
            </w:r>
            <w:r>
              <w:rPr>
                <w:rFonts w:hint="eastAsia"/>
                <w:color w:val="000000" w:themeColor="text1"/>
                <w:kern w:val="0"/>
                <w:sz w:val="21"/>
                <w:szCs w:val="21"/>
                <w14:textFill>
                  <w14:solidFill>
                    <w14:schemeClr w14:val="tx1"/>
                  </w14:solidFill>
                </w14:textFill>
              </w:rPr>
              <w:t>、</w:t>
            </w:r>
            <w:r>
              <w:rPr>
                <w:color w:val="000000" w:themeColor="text1"/>
                <w:kern w:val="0"/>
                <w:sz w:val="21"/>
                <w:szCs w:val="21"/>
                <w14:textFill>
                  <w14:solidFill>
                    <w14:schemeClr w14:val="tx1"/>
                  </w14:solidFill>
                </w14:textFill>
              </w:rPr>
              <w:t>废气</w:t>
            </w:r>
            <w:r>
              <w:rPr>
                <w:rFonts w:hint="eastAsia"/>
                <w:color w:val="000000" w:themeColor="text1"/>
                <w:kern w:val="0"/>
                <w:sz w:val="21"/>
                <w:szCs w:val="21"/>
                <w14:textFill>
                  <w14:solidFill>
                    <w14:schemeClr w14:val="tx1"/>
                  </w14:solidFill>
                </w14:textFill>
              </w:rPr>
              <w:t>、</w:t>
            </w:r>
          </w:p>
          <w:p>
            <w:pPr>
              <w:autoSpaceDE w:val="0"/>
              <w:autoSpaceDN w:val="0"/>
              <w:adjustRightInd w:val="0"/>
              <w:spacing w:line="280" w:lineRule="exact"/>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固废</w:t>
            </w:r>
            <w:r>
              <w:rPr>
                <w:rFonts w:hint="eastAsia"/>
                <w:color w:val="000000" w:themeColor="text1"/>
                <w:kern w:val="0"/>
                <w:sz w:val="21"/>
                <w:szCs w:val="21"/>
                <w14:textFill>
                  <w14:solidFill>
                    <w14:schemeClr w14:val="tx1"/>
                  </w14:solidFill>
                </w14:textFill>
              </w:rPr>
              <w:t>、</w:t>
            </w:r>
            <w:r>
              <w:rPr>
                <w:color w:val="000000" w:themeColor="text1"/>
                <w:kern w:val="0"/>
                <w:sz w:val="21"/>
                <w:szCs w:val="21"/>
                <w14:textFill>
                  <w14:solidFill>
                    <w14:schemeClr w14:val="tx1"/>
                  </w14:solidFill>
                </w14:textFill>
              </w:rPr>
              <w:t>噪声</w:t>
            </w:r>
          </w:p>
        </w:tc>
        <w:tc>
          <w:tcPr>
            <w:tcW w:w="2511" w:type="dxa"/>
            <w:vAlign w:val="center"/>
          </w:tcPr>
          <w:p>
            <w:pPr>
              <w:autoSpaceDE w:val="0"/>
              <w:autoSpaceDN w:val="0"/>
              <w:adjustRightInd w:val="0"/>
              <w:spacing w:line="280" w:lineRule="exact"/>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施工废水</w:t>
            </w:r>
            <w:r>
              <w:rPr>
                <w:rFonts w:hint="eastAsia"/>
                <w:color w:val="000000" w:themeColor="text1"/>
                <w:kern w:val="0"/>
                <w:sz w:val="21"/>
                <w:szCs w:val="21"/>
                <w14:textFill>
                  <w14:solidFill>
                    <w14:schemeClr w14:val="tx1"/>
                  </w14:solidFill>
                </w14:textFill>
              </w:rPr>
              <w:t>、</w:t>
            </w:r>
            <w:r>
              <w:rPr>
                <w:color w:val="000000" w:themeColor="text1"/>
                <w:kern w:val="0"/>
                <w:sz w:val="21"/>
                <w:szCs w:val="21"/>
                <w14:textFill>
                  <w14:solidFill>
                    <w14:schemeClr w14:val="tx1"/>
                  </w14:solidFill>
                </w14:textFill>
              </w:rPr>
              <w:t>废气</w:t>
            </w:r>
            <w:r>
              <w:rPr>
                <w:rFonts w:hint="eastAsia"/>
                <w:color w:val="000000" w:themeColor="text1"/>
                <w:kern w:val="0"/>
                <w:sz w:val="21"/>
                <w:szCs w:val="21"/>
                <w14:textFill>
                  <w14:solidFill>
                    <w14:schemeClr w14:val="tx1"/>
                  </w14:solidFill>
                </w14:textFill>
              </w:rPr>
              <w:t>、</w:t>
            </w:r>
            <w:r>
              <w:rPr>
                <w:color w:val="000000" w:themeColor="text1"/>
                <w:kern w:val="0"/>
                <w:sz w:val="21"/>
                <w:szCs w:val="21"/>
                <w14:textFill>
                  <w14:solidFill>
                    <w14:schemeClr w14:val="tx1"/>
                  </w14:solidFill>
                </w14:textFill>
              </w:rPr>
              <w:t>噪声达标排放</w:t>
            </w:r>
            <w:r>
              <w:rPr>
                <w:rFonts w:hint="eastAsia"/>
                <w:color w:val="000000" w:themeColor="text1"/>
                <w:kern w:val="0"/>
                <w:sz w:val="21"/>
                <w:szCs w:val="21"/>
                <w14:textFill>
                  <w14:solidFill>
                    <w14:schemeClr w14:val="tx1"/>
                  </w14:solidFill>
                </w14:textFill>
              </w:rPr>
              <w:t>，</w:t>
            </w:r>
            <w:r>
              <w:rPr>
                <w:color w:val="000000" w:themeColor="text1"/>
                <w:kern w:val="0"/>
                <w:sz w:val="21"/>
                <w:szCs w:val="21"/>
                <w14:textFill>
                  <w14:solidFill>
                    <w14:schemeClr w14:val="tx1"/>
                  </w14:solidFill>
                </w14:textFill>
              </w:rPr>
              <w:t>固废</w:t>
            </w:r>
            <w:r>
              <w:rPr>
                <w:rFonts w:hint="eastAsia"/>
                <w:color w:val="000000" w:themeColor="text1"/>
                <w:kern w:val="0"/>
                <w:sz w:val="21"/>
                <w:szCs w:val="21"/>
                <w14:textFill>
                  <w14:solidFill>
                    <w14:schemeClr w14:val="tx1"/>
                  </w14:solidFill>
                </w14:textFill>
              </w:rPr>
              <w:t>外运</w:t>
            </w:r>
            <w:r>
              <w:rPr>
                <w:color w:val="000000" w:themeColor="text1"/>
                <w:kern w:val="0"/>
                <w:sz w:val="21"/>
                <w:szCs w:val="21"/>
                <w14:textFill>
                  <w14:solidFill>
                    <w14:schemeClr w14:val="tx1"/>
                  </w14:solidFill>
                </w14:textFill>
              </w:rPr>
              <w:t>处理</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c>
          <w:tcPr>
            <w:tcW w:w="934" w:type="dxa"/>
            <w:vMerge w:val="restart"/>
            <w:vAlign w:val="center"/>
          </w:tcPr>
          <w:p>
            <w:pPr>
              <w:autoSpaceDE w:val="0"/>
              <w:autoSpaceDN w:val="0"/>
              <w:adjustRightInd w:val="0"/>
              <w:spacing w:line="280" w:lineRule="exact"/>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运营期</w:t>
            </w:r>
          </w:p>
        </w:tc>
        <w:tc>
          <w:tcPr>
            <w:tcW w:w="1114" w:type="dxa"/>
            <w:vMerge w:val="restart"/>
            <w:vAlign w:val="center"/>
          </w:tcPr>
          <w:p>
            <w:pPr>
              <w:autoSpaceDE w:val="0"/>
              <w:autoSpaceDN w:val="0"/>
              <w:adjustRightInd w:val="0"/>
              <w:spacing w:line="280" w:lineRule="exact"/>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码头生产作业</w:t>
            </w:r>
          </w:p>
        </w:tc>
        <w:tc>
          <w:tcPr>
            <w:tcW w:w="2410" w:type="dxa"/>
            <w:vMerge w:val="restart"/>
            <w:vAlign w:val="center"/>
          </w:tcPr>
          <w:p>
            <w:pPr>
              <w:autoSpaceDE w:val="0"/>
              <w:autoSpaceDN w:val="0"/>
              <w:adjustRightInd w:val="0"/>
              <w:spacing w:line="280" w:lineRule="exact"/>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普通货物</w:t>
            </w:r>
            <w:r>
              <w:rPr>
                <w:rFonts w:hint="eastAsia"/>
                <w:color w:val="000000" w:themeColor="text1"/>
                <w:kern w:val="0"/>
                <w:sz w:val="21"/>
                <w:szCs w:val="21"/>
                <w14:textFill>
                  <w14:solidFill>
                    <w14:schemeClr w14:val="tx1"/>
                  </w14:solidFill>
                </w14:textFill>
              </w:rPr>
              <w:t>装卸、转运</w:t>
            </w:r>
          </w:p>
          <w:p>
            <w:pPr>
              <w:autoSpaceDE w:val="0"/>
              <w:autoSpaceDN w:val="0"/>
              <w:adjustRightInd w:val="0"/>
              <w:spacing w:line="280" w:lineRule="exact"/>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普通货物堆存</w:t>
            </w:r>
          </w:p>
        </w:tc>
        <w:tc>
          <w:tcPr>
            <w:tcW w:w="1559" w:type="dxa"/>
            <w:vAlign w:val="center"/>
          </w:tcPr>
          <w:p>
            <w:pPr>
              <w:autoSpaceDE w:val="0"/>
              <w:autoSpaceDN w:val="0"/>
              <w:adjustRightInd w:val="0"/>
              <w:spacing w:line="280" w:lineRule="exact"/>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废气</w:t>
            </w:r>
          </w:p>
        </w:tc>
        <w:tc>
          <w:tcPr>
            <w:tcW w:w="2511" w:type="dxa"/>
            <w:vAlign w:val="center"/>
          </w:tcPr>
          <w:p>
            <w:pPr>
              <w:autoSpaceDE w:val="0"/>
              <w:autoSpaceDN w:val="0"/>
              <w:adjustRightInd w:val="0"/>
              <w:spacing w:line="280" w:lineRule="exact"/>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污染源及源强</w:t>
            </w:r>
            <w:r>
              <w:rPr>
                <w:rFonts w:hint="eastAsia"/>
                <w:color w:val="000000" w:themeColor="text1"/>
                <w:kern w:val="0"/>
                <w:sz w:val="21"/>
                <w:szCs w:val="21"/>
                <w14:textFill>
                  <w14:solidFill>
                    <w14:schemeClr w14:val="tx1"/>
                  </w14:solidFill>
                </w14:textFill>
              </w:rPr>
              <w:t>、</w:t>
            </w:r>
            <w:r>
              <w:rPr>
                <w:color w:val="000000" w:themeColor="text1"/>
                <w:kern w:val="0"/>
                <w:sz w:val="21"/>
                <w:szCs w:val="21"/>
                <w14:textFill>
                  <w14:solidFill>
                    <w14:schemeClr w14:val="tx1"/>
                  </w14:solidFill>
                </w14:textFill>
              </w:rPr>
              <w:t>主要污染物对周围环境空气质量的影响</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c>
          <w:tcPr>
            <w:tcW w:w="934" w:type="dxa"/>
            <w:vMerge w:val="continue"/>
            <w:vAlign w:val="center"/>
          </w:tcPr>
          <w:p>
            <w:pPr>
              <w:autoSpaceDE w:val="0"/>
              <w:autoSpaceDN w:val="0"/>
              <w:adjustRightInd w:val="0"/>
              <w:spacing w:line="280" w:lineRule="exact"/>
              <w:jc w:val="center"/>
              <w:rPr>
                <w:color w:val="000000" w:themeColor="text1"/>
                <w:kern w:val="0"/>
                <w:sz w:val="21"/>
                <w:szCs w:val="21"/>
                <w14:textFill>
                  <w14:solidFill>
                    <w14:schemeClr w14:val="tx1"/>
                  </w14:solidFill>
                </w14:textFill>
              </w:rPr>
            </w:pPr>
          </w:p>
        </w:tc>
        <w:tc>
          <w:tcPr>
            <w:tcW w:w="1114" w:type="dxa"/>
            <w:vMerge w:val="continue"/>
            <w:vAlign w:val="center"/>
          </w:tcPr>
          <w:p>
            <w:pPr>
              <w:autoSpaceDE w:val="0"/>
              <w:autoSpaceDN w:val="0"/>
              <w:adjustRightInd w:val="0"/>
              <w:spacing w:line="280" w:lineRule="exact"/>
              <w:jc w:val="center"/>
              <w:rPr>
                <w:color w:val="000000" w:themeColor="text1"/>
                <w:kern w:val="0"/>
                <w:sz w:val="21"/>
                <w:szCs w:val="21"/>
                <w14:textFill>
                  <w14:solidFill>
                    <w14:schemeClr w14:val="tx1"/>
                  </w14:solidFill>
                </w14:textFill>
              </w:rPr>
            </w:pPr>
          </w:p>
        </w:tc>
        <w:tc>
          <w:tcPr>
            <w:tcW w:w="2410" w:type="dxa"/>
            <w:vMerge w:val="continue"/>
          </w:tcPr>
          <w:p>
            <w:pPr>
              <w:autoSpaceDE w:val="0"/>
              <w:autoSpaceDN w:val="0"/>
              <w:adjustRightInd w:val="0"/>
              <w:spacing w:line="280" w:lineRule="exact"/>
              <w:jc w:val="center"/>
              <w:rPr>
                <w:color w:val="000000" w:themeColor="text1"/>
                <w:kern w:val="0"/>
                <w:sz w:val="21"/>
                <w:szCs w:val="21"/>
                <w14:textFill>
                  <w14:solidFill>
                    <w14:schemeClr w14:val="tx1"/>
                  </w14:solidFill>
                </w14:textFill>
              </w:rPr>
            </w:pPr>
          </w:p>
        </w:tc>
        <w:tc>
          <w:tcPr>
            <w:tcW w:w="1559" w:type="dxa"/>
            <w:vAlign w:val="center"/>
          </w:tcPr>
          <w:p>
            <w:pPr>
              <w:autoSpaceDE w:val="0"/>
              <w:autoSpaceDN w:val="0"/>
              <w:adjustRightInd w:val="0"/>
              <w:spacing w:line="280" w:lineRule="exact"/>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废水</w:t>
            </w:r>
          </w:p>
        </w:tc>
        <w:tc>
          <w:tcPr>
            <w:tcW w:w="2511" w:type="dxa"/>
            <w:vAlign w:val="center"/>
          </w:tcPr>
          <w:p>
            <w:pPr>
              <w:autoSpaceDE w:val="0"/>
              <w:autoSpaceDN w:val="0"/>
              <w:adjustRightInd w:val="0"/>
              <w:spacing w:line="280" w:lineRule="exact"/>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生活污水源强</w:t>
            </w:r>
            <w:r>
              <w:rPr>
                <w:rFonts w:hint="eastAsia"/>
                <w:color w:val="000000" w:themeColor="text1"/>
                <w:kern w:val="0"/>
                <w:sz w:val="21"/>
                <w:szCs w:val="21"/>
                <w14:textFill>
                  <w14:solidFill>
                    <w14:schemeClr w14:val="tx1"/>
                  </w14:solidFill>
                </w14:textFill>
              </w:rPr>
              <w:t>；污水</w:t>
            </w:r>
            <w:r>
              <w:rPr>
                <w:color w:val="000000" w:themeColor="text1"/>
                <w:kern w:val="0"/>
                <w:sz w:val="21"/>
                <w:szCs w:val="21"/>
                <w14:textFill>
                  <w14:solidFill>
                    <w14:schemeClr w14:val="tx1"/>
                  </w14:solidFill>
                </w14:textFill>
              </w:rPr>
              <w:t>收集</w:t>
            </w:r>
            <w:r>
              <w:rPr>
                <w:rFonts w:hint="eastAsia"/>
                <w:color w:val="000000" w:themeColor="text1"/>
                <w:kern w:val="0"/>
                <w:sz w:val="21"/>
                <w:szCs w:val="21"/>
                <w14:textFill>
                  <w14:solidFill>
                    <w14:schemeClr w14:val="tx1"/>
                  </w14:solidFill>
                </w14:textFill>
              </w:rPr>
              <w:t>、</w:t>
            </w:r>
            <w:r>
              <w:rPr>
                <w:color w:val="000000" w:themeColor="text1"/>
                <w:kern w:val="0"/>
                <w:sz w:val="21"/>
                <w:szCs w:val="21"/>
                <w14:textFill>
                  <w14:solidFill>
                    <w14:schemeClr w14:val="tx1"/>
                  </w14:solidFill>
                </w14:textFill>
              </w:rPr>
              <w:t>达标处理情况</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c>
          <w:tcPr>
            <w:tcW w:w="934" w:type="dxa"/>
            <w:vMerge w:val="continue"/>
            <w:vAlign w:val="center"/>
          </w:tcPr>
          <w:p>
            <w:pPr>
              <w:autoSpaceDE w:val="0"/>
              <w:autoSpaceDN w:val="0"/>
              <w:adjustRightInd w:val="0"/>
              <w:spacing w:line="280" w:lineRule="exact"/>
              <w:jc w:val="center"/>
              <w:rPr>
                <w:color w:val="000000" w:themeColor="text1"/>
                <w:kern w:val="0"/>
                <w:sz w:val="21"/>
                <w:szCs w:val="21"/>
                <w14:textFill>
                  <w14:solidFill>
                    <w14:schemeClr w14:val="tx1"/>
                  </w14:solidFill>
                </w14:textFill>
              </w:rPr>
            </w:pPr>
          </w:p>
        </w:tc>
        <w:tc>
          <w:tcPr>
            <w:tcW w:w="1114" w:type="dxa"/>
            <w:vMerge w:val="continue"/>
            <w:vAlign w:val="center"/>
          </w:tcPr>
          <w:p>
            <w:pPr>
              <w:autoSpaceDE w:val="0"/>
              <w:autoSpaceDN w:val="0"/>
              <w:adjustRightInd w:val="0"/>
              <w:spacing w:line="280" w:lineRule="exact"/>
              <w:jc w:val="center"/>
              <w:rPr>
                <w:color w:val="000000" w:themeColor="text1"/>
                <w:kern w:val="0"/>
                <w:sz w:val="21"/>
                <w:szCs w:val="21"/>
                <w14:textFill>
                  <w14:solidFill>
                    <w14:schemeClr w14:val="tx1"/>
                  </w14:solidFill>
                </w14:textFill>
              </w:rPr>
            </w:pPr>
          </w:p>
        </w:tc>
        <w:tc>
          <w:tcPr>
            <w:tcW w:w="2410" w:type="dxa"/>
            <w:vMerge w:val="continue"/>
          </w:tcPr>
          <w:p>
            <w:pPr>
              <w:autoSpaceDE w:val="0"/>
              <w:autoSpaceDN w:val="0"/>
              <w:adjustRightInd w:val="0"/>
              <w:spacing w:line="280" w:lineRule="exact"/>
              <w:jc w:val="center"/>
              <w:rPr>
                <w:color w:val="000000" w:themeColor="text1"/>
                <w:kern w:val="0"/>
                <w:sz w:val="21"/>
                <w:szCs w:val="21"/>
                <w14:textFill>
                  <w14:solidFill>
                    <w14:schemeClr w14:val="tx1"/>
                  </w14:solidFill>
                </w14:textFill>
              </w:rPr>
            </w:pPr>
          </w:p>
        </w:tc>
        <w:tc>
          <w:tcPr>
            <w:tcW w:w="1559" w:type="dxa"/>
            <w:vAlign w:val="center"/>
          </w:tcPr>
          <w:p>
            <w:pPr>
              <w:autoSpaceDE w:val="0"/>
              <w:autoSpaceDN w:val="0"/>
              <w:adjustRightInd w:val="0"/>
              <w:spacing w:line="280" w:lineRule="exact"/>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噪声</w:t>
            </w:r>
          </w:p>
        </w:tc>
        <w:tc>
          <w:tcPr>
            <w:tcW w:w="2511" w:type="dxa"/>
            <w:vAlign w:val="center"/>
          </w:tcPr>
          <w:p>
            <w:pPr>
              <w:autoSpaceDE w:val="0"/>
              <w:autoSpaceDN w:val="0"/>
              <w:adjustRightInd w:val="0"/>
              <w:spacing w:line="280" w:lineRule="exact"/>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主要噪声源强分析</w:t>
            </w:r>
            <w:r>
              <w:rPr>
                <w:rFonts w:hint="eastAsia"/>
                <w:color w:val="000000" w:themeColor="text1"/>
                <w:kern w:val="0"/>
                <w:sz w:val="21"/>
                <w:szCs w:val="21"/>
                <w14:textFill>
                  <w14:solidFill>
                    <w14:schemeClr w14:val="tx1"/>
                  </w14:solidFill>
                </w14:textFill>
              </w:rPr>
              <w:t>；</w:t>
            </w:r>
            <w:r>
              <w:rPr>
                <w:color w:val="000000" w:themeColor="text1"/>
                <w:kern w:val="0"/>
                <w:sz w:val="21"/>
                <w:szCs w:val="21"/>
                <w14:textFill>
                  <w14:solidFill>
                    <w14:schemeClr w14:val="tx1"/>
                  </w14:solidFill>
                </w14:textFill>
              </w:rPr>
              <w:t>场界噪声达标情况</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c>
          <w:tcPr>
            <w:tcW w:w="934" w:type="dxa"/>
            <w:vMerge w:val="continue"/>
            <w:vAlign w:val="center"/>
          </w:tcPr>
          <w:p>
            <w:pPr>
              <w:autoSpaceDE w:val="0"/>
              <w:autoSpaceDN w:val="0"/>
              <w:adjustRightInd w:val="0"/>
              <w:spacing w:line="280" w:lineRule="exact"/>
              <w:jc w:val="center"/>
              <w:rPr>
                <w:color w:val="000000" w:themeColor="text1"/>
                <w:kern w:val="0"/>
                <w:sz w:val="21"/>
                <w:szCs w:val="21"/>
                <w14:textFill>
                  <w14:solidFill>
                    <w14:schemeClr w14:val="tx1"/>
                  </w14:solidFill>
                </w14:textFill>
              </w:rPr>
            </w:pPr>
          </w:p>
        </w:tc>
        <w:tc>
          <w:tcPr>
            <w:tcW w:w="1114" w:type="dxa"/>
            <w:vMerge w:val="continue"/>
            <w:vAlign w:val="center"/>
          </w:tcPr>
          <w:p>
            <w:pPr>
              <w:autoSpaceDE w:val="0"/>
              <w:autoSpaceDN w:val="0"/>
              <w:adjustRightInd w:val="0"/>
              <w:spacing w:line="280" w:lineRule="exact"/>
              <w:jc w:val="center"/>
              <w:rPr>
                <w:color w:val="000000" w:themeColor="text1"/>
                <w:kern w:val="0"/>
                <w:sz w:val="21"/>
                <w:szCs w:val="21"/>
                <w14:textFill>
                  <w14:solidFill>
                    <w14:schemeClr w14:val="tx1"/>
                  </w14:solidFill>
                </w14:textFill>
              </w:rPr>
            </w:pPr>
          </w:p>
        </w:tc>
        <w:tc>
          <w:tcPr>
            <w:tcW w:w="2410" w:type="dxa"/>
            <w:vMerge w:val="continue"/>
          </w:tcPr>
          <w:p>
            <w:pPr>
              <w:autoSpaceDE w:val="0"/>
              <w:autoSpaceDN w:val="0"/>
              <w:adjustRightInd w:val="0"/>
              <w:spacing w:line="280" w:lineRule="exact"/>
              <w:jc w:val="center"/>
              <w:rPr>
                <w:color w:val="000000" w:themeColor="text1"/>
                <w:kern w:val="0"/>
                <w:sz w:val="21"/>
                <w:szCs w:val="21"/>
                <w14:textFill>
                  <w14:solidFill>
                    <w14:schemeClr w14:val="tx1"/>
                  </w14:solidFill>
                </w14:textFill>
              </w:rPr>
            </w:pPr>
          </w:p>
        </w:tc>
        <w:tc>
          <w:tcPr>
            <w:tcW w:w="1559" w:type="dxa"/>
            <w:vAlign w:val="center"/>
          </w:tcPr>
          <w:p>
            <w:pPr>
              <w:autoSpaceDE w:val="0"/>
              <w:autoSpaceDN w:val="0"/>
              <w:adjustRightInd w:val="0"/>
              <w:spacing w:line="280" w:lineRule="exact"/>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固废</w:t>
            </w:r>
          </w:p>
        </w:tc>
        <w:tc>
          <w:tcPr>
            <w:tcW w:w="2511" w:type="dxa"/>
            <w:vAlign w:val="center"/>
          </w:tcPr>
          <w:p>
            <w:pPr>
              <w:autoSpaceDE w:val="0"/>
              <w:autoSpaceDN w:val="0"/>
              <w:adjustRightInd w:val="0"/>
              <w:spacing w:line="280" w:lineRule="exact"/>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固废</w:t>
            </w:r>
            <w:r>
              <w:rPr>
                <w:rFonts w:hint="eastAsia"/>
                <w:color w:val="000000" w:themeColor="text1"/>
                <w:kern w:val="0"/>
                <w:sz w:val="21"/>
                <w:szCs w:val="21"/>
                <w14:textFill>
                  <w14:solidFill>
                    <w14:schemeClr w14:val="tx1"/>
                  </w14:solidFill>
                </w14:textFill>
              </w:rPr>
              <w:t>暂存</w:t>
            </w:r>
            <w:r>
              <w:rPr>
                <w:color w:val="000000" w:themeColor="text1"/>
                <w:kern w:val="0"/>
                <w:sz w:val="21"/>
                <w:szCs w:val="21"/>
                <w14:textFill>
                  <w14:solidFill>
                    <w14:schemeClr w14:val="tx1"/>
                  </w14:solidFill>
                </w14:textFill>
              </w:rPr>
              <w:t>及外运措施可行性</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c>
          <w:tcPr>
            <w:tcW w:w="934" w:type="dxa"/>
            <w:vMerge w:val="continue"/>
            <w:vAlign w:val="center"/>
          </w:tcPr>
          <w:p>
            <w:pPr>
              <w:autoSpaceDE w:val="0"/>
              <w:autoSpaceDN w:val="0"/>
              <w:adjustRightInd w:val="0"/>
              <w:spacing w:line="280" w:lineRule="exact"/>
              <w:jc w:val="center"/>
              <w:rPr>
                <w:color w:val="000000" w:themeColor="text1"/>
                <w:kern w:val="0"/>
                <w:sz w:val="21"/>
                <w:szCs w:val="21"/>
                <w14:textFill>
                  <w14:solidFill>
                    <w14:schemeClr w14:val="tx1"/>
                  </w14:solidFill>
                </w14:textFill>
              </w:rPr>
            </w:pPr>
          </w:p>
        </w:tc>
        <w:tc>
          <w:tcPr>
            <w:tcW w:w="1114" w:type="dxa"/>
            <w:vAlign w:val="center"/>
          </w:tcPr>
          <w:p>
            <w:pPr>
              <w:autoSpaceDE w:val="0"/>
              <w:autoSpaceDN w:val="0"/>
              <w:adjustRightInd w:val="0"/>
              <w:spacing w:line="280" w:lineRule="exact"/>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事故风险</w:t>
            </w:r>
          </w:p>
        </w:tc>
        <w:tc>
          <w:tcPr>
            <w:tcW w:w="2410" w:type="dxa"/>
            <w:vAlign w:val="center"/>
          </w:tcPr>
          <w:p>
            <w:pPr>
              <w:autoSpaceDE w:val="0"/>
              <w:autoSpaceDN w:val="0"/>
              <w:adjustRightInd w:val="0"/>
              <w:spacing w:line="280" w:lineRule="exact"/>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船舶溢油事故</w:t>
            </w:r>
          </w:p>
        </w:tc>
        <w:tc>
          <w:tcPr>
            <w:tcW w:w="1559" w:type="dxa"/>
            <w:vAlign w:val="center"/>
          </w:tcPr>
          <w:p>
            <w:pPr>
              <w:autoSpaceDE w:val="0"/>
              <w:autoSpaceDN w:val="0"/>
              <w:adjustRightInd w:val="0"/>
              <w:spacing w:line="280" w:lineRule="exact"/>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溢油风险</w:t>
            </w:r>
          </w:p>
        </w:tc>
        <w:tc>
          <w:tcPr>
            <w:tcW w:w="2511" w:type="dxa"/>
            <w:vAlign w:val="center"/>
          </w:tcPr>
          <w:p>
            <w:pPr>
              <w:autoSpaceDE w:val="0"/>
              <w:autoSpaceDN w:val="0"/>
              <w:adjustRightInd w:val="0"/>
              <w:spacing w:line="280" w:lineRule="exact"/>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预测工程船舶溢油事故对海域水质及生态等方面的影响</w:t>
            </w:r>
          </w:p>
        </w:tc>
      </w:tr>
    </w:tbl>
    <w:p>
      <w:pPr>
        <w:pStyle w:val="5"/>
        <w:rPr>
          <w:color w:val="000000" w:themeColor="text1"/>
          <w14:textFill>
            <w14:solidFill>
              <w14:schemeClr w14:val="tx1"/>
            </w14:solidFill>
          </w14:textFill>
        </w:rPr>
      </w:pPr>
      <w:r>
        <w:rPr>
          <w:color w:val="000000" w:themeColor="text1"/>
          <w14:textFill>
            <w14:solidFill>
              <w14:schemeClr w14:val="tx1"/>
            </w14:solidFill>
          </w14:textFill>
        </w:rPr>
        <w:t>评价因子筛选</w:t>
      </w:r>
    </w:p>
    <w:p>
      <w:pPr>
        <w:pStyle w:val="283"/>
        <w:ind w:firstLine="462"/>
        <w:rPr>
          <w:color w:val="000000" w:themeColor="text1"/>
          <w14:textFill>
            <w14:solidFill>
              <w14:schemeClr w14:val="tx1"/>
            </w14:solidFill>
          </w14:textFill>
        </w:rPr>
      </w:pPr>
      <w:r>
        <w:rPr>
          <w:color w:val="000000" w:themeColor="text1"/>
          <w14:textFill>
            <w14:solidFill>
              <w14:schemeClr w14:val="tx1"/>
            </w14:solidFill>
          </w14:textFill>
        </w:rPr>
        <w:t>通过对工程</w:t>
      </w:r>
      <w:r>
        <w:rPr>
          <w:rFonts w:hint="eastAsia"/>
          <w:color w:val="000000" w:themeColor="text1"/>
          <w14:textFill>
            <w14:solidFill>
              <w14:schemeClr w14:val="tx1"/>
            </w14:solidFill>
          </w14:textFill>
        </w:rPr>
        <w:t>内容</w:t>
      </w:r>
      <w:r>
        <w:rPr>
          <w:color w:val="000000" w:themeColor="text1"/>
          <w14:textFill>
            <w14:solidFill>
              <w14:schemeClr w14:val="tx1"/>
            </w14:solidFill>
          </w14:textFill>
        </w:rPr>
        <w:t>及重点的识别，确定本工程环境影响评价因子见表1.4-</w:t>
      </w:r>
      <w:r>
        <w:rPr>
          <w:rFonts w:hint="eastAsia"/>
          <w:color w:val="000000" w:themeColor="text1"/>
          <w14:textFill>
            <w14:solidFill>
              <w14:schemeClr w14:val="tx1"/>
            </w14:solidFill>
          </w14:textFill>
        </w:rPr>
        <w:t>3</w:t>
      </w:r>
      <w:r>
        <w:rPr>
          <w:color w:val="000000" w:themeColor="text1"/>
          <w14:textFill>
            <w14:solidFill>
              <w14:schemeClr w14:val="tx1"/>
            </w14:solidFill>
          </w14:textFill>
        </w:rPr>
        <w:t>，海洋工程海洋环境影响要素和评价因子见表</w:t>
      </w:r>
      <w:r>
        <w:rPr>
          <w:rFonts w:hint="eastAsia"/>
          <w:color w:val="000000" w:themeColor="text1"/>
          <w14:textFill>
            <w14:solidFill>
              <w14:schemeClr w14:val="tx1"/>
            </w14:solidFill>
          </w14:textFill>
        </w:rPr>
        <w:t>1.4-4。</w:t>
      </w:r>
    </w:p>
    <w:p>
      <w:pPr>
        <w:pStyle w:val="384"/>
        <w:ind w:left="0" w:firstLine="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项目环境影响评价因子一览表</w:t>
      </w:r>
    </w:p>
    <w:tbl>
      <w:tblPr>
        <w:tblStyle w:val="88"/>
        <w:tblW w:w="8368" w:type="dxa"/>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28" w:type="dxa"/>
          <w:bottom w:w="0" w:type="dxa"/>
          <w:right w:w="28" w:type="dxa"/>
        </w:tblCellMar>
      </w:tblPr>
      <w:tblGrid>
        <w:gridCol w:w="1864"/>
        <w:gridCol w:w="716"/>
        <w:gridCol w:w="2919"/>
        <w:gridCol w:w="2869"/>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28" w:type="dxa"/>
            <w:bottom w:w="0" w:type="dxa"/>
            <w:right w:w="28" w:type="dxa"/>
          </w:tblCellMar>
        </w:tblPrEx>
        <w:trPr>
          <w:trHeight w:val="654" w:hRule="atLeast"/>
          <w:tblHeader/>
        </w:trPr>
        <w:tc>
          <w:tcPr>
            <w:tcW w:w="1864" w:type="dxa"/>
            <w:vAlign w:val="center"/>
          </w:tcPr>
          <w:p>
            <w:pPr>
              <w:spacing w:line="280" w:lineRule="exact"/>
              <w:jc w:val="center"/>
              <w:rPr>
                <w:b/>
                <w:color w:val="000000" w:themeColor="text1"/>
                <w:sz w:val="21"/>
                <w:szCs w:val="21"/>
                <w14:textFill>
                  <w14:solidFill>
                    <w14:schemeClr w14:val="tx1"/>
                  </w14:solidFill>
                </w14:textFill>
              </w:rPr>
            </w:pPr>
            <w:bookmarkStart w:id="48" w:name="_Hlk53733890"/>
            <w:r>
              <w:rPr>
                <w:rFonts w:hint="eastAsia"/>
                <w:b/>
                <w:color w:val="000000" w:themeColor="text1"/>
                <w:sz w:val="21"/>
                <w:szCs w:val="21"/>
                <w14:textFill>
                  <w14:solidFill>
                    <w14:schemeClr w14:val="tx1"/>
                  </w14:solidFill>
                </w14:textFill>
              </w:rPr>
              <w:t>环境</w:t>
            </w:r>
            <w:r>
              <w:rPr>
                <w:b/>
                <w:color w:val="000000" w:themeColor="text1"/>
                <w:sz w:val="21"/>
                <w:szCs w:val="21"/>
                <w14:textFill>
                  <w14:solidFill>
                    <w14:schemeClr w14:val="tx1"/>
                  </w14:solidFill>
                </w14:textFill>
              </w:rPr>
              <w:t>要素</w:t>
            </w:r>
          </w:p>
        </w:tc>
        <w:tc>
          <w:tcPr>
            <w:tcW w:w="716" w:type="dxa"/>
            <w:vAlign w:val="center"/>
          </w:tcPr>
          <w:p>
            <w:pPr>
              <w:spacing w:line="280" w:lineRule="exact"/>
              <w:jc w:val="center"/>
              <w:rPr>
                <w:b/>
                <w:color w:val="000000" w:themeColor="text1"/>
                <w:sz w:val="21"/>
                <w:szCs w:val="21"/>
                <w14:textFill>
                  <w14:solidFill>
                    <w14:schemeClr w14:val="tx1"/>
                  </w14:solidFill>
                </w14:textFill>
              </w:rPr>
            </w:pPr>
            <w:r>
              <w:rPr>
                <w:rFonts w:hint="eastAsia"/>
                <w:b/>
                <w:color w:val="000000" w:themeColor="text1"/>
                <w:sz w:val="21"/>
                <w:szCs w:val="21"/>
                <w14:textFill>
                  <w14:solidFill>
                    <w14:schemeClr w14:val="tx1"/>
                  </w14:solidFill>
                </w14:textFill>
              </w:rPr>
              <w:t>评价</w:t>
            </w:r>
          </w:p>
          <w:p>
            <w:pPr>
              <w:spacing w:line="280" w:lineRule="exact"/>
              <w:jc w:val="center"/>
              <w:rPr>
                <w:b/>
                <w:color w:val="000000" w:themeColor="text1"/>
                <w:sz w:val="21"/>
                <w:szCs w:val="21"/>
                <w14:textFill>
                  <w14:solidFill>
                    <w14:schemeClr w14:val="tx1"/>
                  </w14:solidFill>
                </w14:textFill>
              </w:rPr>
            </w:pPr>
            <w:r>
              <w:rPr>
                <w:rFonts w:hint="eastAsia"/>
                <w:b/>
                <w:color w:val="000000" w:themeColor="text1"/>
                <w:sz w:val="21"/>
                <w:szCs w:val="21"/>
                <w14:textFill>
                  <w14:solidFill>
                    <w14:schemeClr w14:val="tx1"/>
                  </w14:solidFill>
                </w14:textFill>
              </w:rPr>
              <w:t>等级</w:t>
            </w:r>
          </w:p>
        </w:tc>
        <w:tc>
          <w:tcPr>
            <w:tcW w:w="2919" w:type="dxa"/>
            <w:vAlign w:val="center"/>
          </w:tcPr>
          <w:p>
            <w:pPr>
              <w:spacing w:line="280" w:lineRule="exact"/>
              <w:jc w:val="center"/>
              <w:rPr>
                <w:b/>
                <w:color w:val="000000" w:themeColor="text1"/>
                <w:sz w:val="21"/>
                <w:szCs w:val="21"/>
                <w14:textFill>
                  <w14:solidFill>
                    <w14:schemeClr w14:val="tx1"/>
                  </w14:solidFill>
                </w14:textFill>
              </w:rPr>
            </w:pPr>
            <w:r>
              <w:rPr>
                <w:rFonts w:hint="eastAsia"/>
                <w:b/>
                <w:color w:val="000000" w:themeColor="text1"/>
                <w:sz w:val="21"/>
                <w:szCs w:val="21"/>
                <w14:textFill>
                  <w14:solidFill>
                    <w14:schemeClr w14:val="tx1"/>
                  </w14:solidFill>
                </w14:textFill>
              </w:rPr>
              <w:t>现状</w:t>
            </w:r>
            <w:r>
              <w:rPr>
                <w:b/>
                <w:color w:val="000000" w:themeColor="text1"/>
                <w:sz w:val="21"/>
                <w:szCs w:val="21"/>
                <w14:textFill>
                  <w14:solidFill>
                    <w14:schemeClr w14:val="tx1"/>
                  </w14:solidFill>
                </w14:textFill>
              </w:rPr>
              <w:t>评价因子</w:t>
            </w:r>
          </w:p>
        </w:tc>
        <w:tc>
          <w:tcPr>
            <w:tcW w:w="2869" w:type="dxa"/>
            <w:vAlign w:val="center"/>
          </w:tcPr>
          <w:p>
            <w:pPr>
              <w:spacing w:line="280" w:lineRule="exact"/>
              <w:jc w:val="center"/>
              <w:rPr>
                <w:b/>
                <w:color w:val="000000" w:themeColor="text1"/>
                <w:sz w:val="21"/>
                <w:szCs w:val="21"/>
                <w14:textFill>
                  <w14:solidFill>
                    <w14:schemeClr w14:val="tx1"/>
                  </w14:solidFill>
                </w14:textFill>
              </w:rPr>
            </w:pPr>
            <w:r>
              <w:rPr>
                <w:rFonts w:hint="eastAsia"/>
                <w:b/>
                <w:color w:val="000000" w:themeColor="text1"/>
                <w:sz w:val="21"/>
                <w:szCs w:val="21"/>
                <w14:textFill>
                  <w14:solidFill>
                    <w14:schemeClr w14:val="tx1"/>
                  </w14:solidFill>
                </w14:textFill>
              </w:rPr>
              <w:t>影响</w:t>
            </w:r>
            <w:r>
              <w:rPr>
                <w:b/>
                <w:color w:val="000000" w:themeColor="text1"/>
                <w:sz w:val="21"/>
                <w:szCs w:val="21"/>
                <w14:textFill>
                  <w14:solidFill>
                    <w14:schemeClr w14:val="tx1"/>
                  </w14:solidFill>
                </w14:textFill>
              </w:rPr>
              <w:t>预测因子</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28" w:type="dxa"/>
            <w:bottom w:w="0" w:type="dxa"/>
            <w:right w:w="28" w:type="dxa"/>
          </w:tblCellMar>
        </w:tblPrEx>
        <w:trPr>
          <w:trHeight w:val="20" w:hRule="atLeast"/>
        </w:trPr>
        <w:tc>
          <w:tcPr>
            <w:tcW w:w="1864" w:type="dxa"/>
            <w:vAlign w:val="center"/>
          </w:tcPr>
          <w:p>
            <w:pPr>
              <w:snapToGrid w:val="0"/>
              <w:spacing w:line="280" w:lineRule="exact"/>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环境</w:t>
            </w:r>
            <w:r>
              <w:rPr>
                <w:color w:val="000000" w:themeColor="text1"/>
                <w:sz w:val="21"/>
                <w:szCs w:val="21"/>
                <w14:textFill>
                  <w14:solidFill>
                    <w14:schemeClr w14:val="tx1"/>
                  </w14:solidFill>
                </w14:textFill>
              </w:rPr>
              <w:t>空气</w:t>
            </w:r>
          </w:p>
        </w:tc>
        <w:tc>
          <w:tcPr>
            <w:tcW w:w="716" w:type="dxa"/>
            <w:vAlign w:val="center"/>
          </w:tcPr>
          <w:p>
            <w:pPr>
              <w:snapToGrid w:val="0"/>
              <w:spacing w:line="280" w:lineRule="exact"/>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二级</w:t>
            </w:r>
          </w:p>
        </w:tc>
        <w:tc>
          <w:tcPr>
            <w:tcW w:w="2919" w:type="dxa"/>
            <w:vAlign w:val="center"/>
          </w:tcPr>
          <w:p>
            <w:pPr>
              <w:snapToGrid w:val="0"/>
              <w:spacing w:line="280" w:lineRule="exact"/>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SO</w:t>
            </w:r>
            <w:r>
              <w:rPr>
                <w:rFonts w:hint="eastAsia"/>
                <w:color w:val="000000" w:themeColor="text1"/>
                <w:sz w:val="21"/>
                <w:szCs w:val="21"/>
                <w:vertAlign w:val="subscript"/>
                <w14:textFill>
                  <w14:solidFill>
                    <w14:schemeClr w14:val="tx1"/>
                  </w14:solidFill>
                </w14:textFill>
              </w:rPr>
              <w:t>2</w:t>
            </w:r>
            <w:r>
              <w:rPr>
                <w:rFonts w:hint="eastAsia"/>
                <w:color w:val="000000" w:themeColor="text1"/>
                <w:sz w:val="21"/>
                <w:szCs w:val="21"/>
                <w14:textFill>
                  <w14:solidFill>
                    <w14:schemeClr w14:val="tx1"/>
                  </w14:solidFill>
                </w14:textFill>
              </w:rPr>
              <w:t>、NO</w:t>
            </w:r>
            <w:r>
              <w:rPr>
                <w:rFonts w:hint="eastAsia"/>
                <w:color w:val="000000" w:themeColor="text1"/>
                <w:sz w:val="21"/>
                <w:szCs w:val="21"/>
                <w:vertAlign w:val="subscript"/>
                <w14:textFill>
                  <w14:solidFill>
                    <w14:schemeClr w14:val="tx1"/>
                  </w14:solidFill>
                </w14:textFill>
              </w:rPr>
              <w:t>2</w:t>
            </w:r>
            <w:r>
              <w:rPr>
                <w:rFonts w:hint="eastAsia"/>
                <w:color w:val="000000" w:themeColor="text1"/>
                <w:sz w:val="21"/>
                <w:szCs w:val="21"/>
                <w14:textFill>
                  <w14:solidFill>
                    <w14:schemeClr w14:val="tx1"/>
                  </w14:solidFill>
                </w14:textFill>
              </w:rPr>
              <w:t>、PM</w:t>
            </w:r>
            <w:r>
              <w:rPr>
                <w:rFonts w:hint="eastAsia"/>
                <w:color w:val="000000" w:themeColor="text1"/>
                <w:sz w:val="21"/>
                <w:szCs w:val="21"/>
                <w:vertAlign w:val="subscript"/>
                <w14:textFill>
                  <w14:solidFill>
                    <w14:schemeClr w14:val="tx1"/>
                  </w14:solidFill>
                </w14:textFill>
              </w:rPr>
              <w:t>10</w:t>
            </w:r>
            <w:r>
              <w:rPr>
                <w:rFonts w:hint="eastAsia"/>
                <w:color w:val="000000" w:themeColor="text1"/>
                <w:sz w:val="21"/>
                <w:szCs w:val="21"/>
                <w14:textFill>
                  <w14:solidFill>
                    <w14:schemeClr w14:val="tx1"/>
                  </w14:solidFill>
                </w14:textFill>
              </w:rPr>
              <w:t>、PM</w:t>
            </w:r>
            <w:r>
              <w:rPr>
                <w:rFonts w:hint="eastAsia"/>
                <w:color w:val="000000" w:themeColor="text1"/>
                <w:sz w:val="21"/>
                <w:szCs w:val="21"/>
                <w:vertAlign w:val="subscript"/>
                <w14:textFill>
                  <w14:solidFill>
                    <w14:schemeClr w14:val="tx1"/>
                  </w14:solidFill>
                </w14:textFill>
              </w:rPr>
              <w:t>2.5</w:t>
            </w:r>
            <w:r>
              <w:rPr>
                <w:rFonts w:hint="eastAsia"/>
                <w:color w:val="000000" w:themeColor="text1"/>
                <w:sz w:val="21"/>
                <w:szCs w:val="21"/>
                <w14:textFill>
                  <w14:solidFill>
                    <w14:schemeClr w14:val="tx1"/>
                  </w14:solidFill>
                </w14:textFill>
              </w:rPr>
              <w:t>、CO、O</w:t>
            </w:r>
            <w:r>
              <w:rPr>
                <w:rFonts w:hint="eastAsia"/>
                <w:color w:val="000000" w:themeColor="text1"/>
                <w:sz w:val="21"/>
                <w:szCs w:val="21"/>
                <w:vertAlign w:val="subscript"/>
                <w14:textFill>
                  <w14:solidFill>
                    <w14:schemeClr w14:val="tx1"/>
                  </w14:solidFill>
                </w14:textFill>
              </w:rPr>
              <w:t>3</w:t>
            </w:r>
            <w:r>
              <w:rPr>
                <w:rFonts w:hint="eastAsia"/>
                <w:color w:val="000000" w:themeColor="text1"/>
                <w:sz w:val="21"/>
                <w:szCs w:val="21"/>
                <w14:textFill>
                  <w14:solidFill>
                    <w14:schemeClr w14:val="tx1"/>
                  </w14:solidFill>
                </w14:textFill>
              </w:rPr>
              <w:t>、TSP</w:t>
            </w:r>
          </w:p>
        </w:tc>
        <w:tc>
          <w:tcPr>
            <w:tcW w:w="2869" w:type="dxa"/>
            <w:vAlign w:val="center"/>
          </w:tcPr>
          <w:p>
            <w:pPr>
              <w:spacing w:line="280" w:lineRule="exact"/>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PM</w:t>
            </w:r>
            <w:r>
              <w:rPr>
                <w:rFonts w:hint="eastAsia"/>
                <w:color w:val="000000" w:themeColor="text1"/>
                <w:sz w:val="21"/>
                <w:szCs w:val="21"/>
                <w:vertAlign w:val="subscript"/>
                <w14:textFill>
                  <w14:solidFill>
                    <w14:schemeClr w14:val="tx1"/>
                  </w14:solidFill>
                </w14:textFill>
              </w:rPr>
              <w:t>10</w:t>
            </w:r>
            <w:r>
              <w:rPr>
                <w:rFonts w:hint="eastAsia"/>
                <w:color w:val="000000" w:themeColor="text1"/>
                <w:sz w:val="21"/>
                <w:szCs w:val="21"/>
                <w14:textFill>
                  <w14:solidFill>
                    <w14:schemeClr w14:val="tx1"/>
                  </w14:solidFill>
                </w14:textFill>
              </w:rPr>
              <w:t>、PM</w:t>
            </w:r>
            <w:r>
              <w:rPr>
                <w:rFonts w:hint="eastAsia"/>
                <w:color w:val="000000" w:themeColor="text1"/>
                <w:sz w:val="21"/>
                <w:szCs w:val="21"/>
                <w:vertAlign w:val="subscript"/>
                <w14:textFill>
                  <w14:solidFill>
                    <w14:schemeClr w14:val="tx1"/>
                  </w14:solidFill>
                </w14:textFill>
              </w:rPr>
              <w:t>2.5</w:t>
            </w:r>
            <w:r>
              <w:rPr>
                <w:rFonts w:hint="eastAsia"/>
                <w:color w:val="000000" w:themeColor="text1"/>
                <w:sz w:val="21"/>
                <w:szCs w:val="21"/>
                <w14:textFill>
                  <w14:solidFill>
                    <w14:schemeClr w14:val="tx1"/>
                  </w14:solidFill>
                </w14:textFill>
              </w:rPr>
              <w:t>、TSP</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28" w:type="dxa"/>
            <w:bottom w:w="0" w:type="dxa"/>
            <w:right w:w="28" w:type="dxa"/>
          </w:tblCellMar>
        </w:tblPrEx>
        <w:trPr>
          <w:trHeight w:val="20" w:hRule="atLeast"/>
        </w:trPr>
        <w:tc>
          <w:tcPr>
            <w:tcW w:w="1864" w:type="dxa"/>
            <w:vAlign w:val="center"/>
          </w:tcPr>
          <w:p>
            <w:pPr>
              <w:snapToGrid w:val="0"/>
              <w:spacing w:line="280" w:lineRule="exact"/>
              <w:jc w:val="center"/>
              <w:rPr>
                <w:color w:val="000000" w:themeColor="text1"/>
                <w:sz w:val="21"/>
                <w:szCs w:val="21"/>
                <w:u w:val="single"/>
                <w14:textFill>
                  <w14:solidFill>
                    <w14:schemeClr w14:val="tx1"/>
                  </w14:solidFill>
                </w14:textFill>
              </w:rPr>
            </w:pPr>
            <w:r>
              <w:rPr>
                <w:rFonts w:hint="eastAsia"/>
                <w:color w:val="000000" w:themeColor="text1"/>
                <w:sz w:val="21"/>
                <w:szCs w:val="21"/>
                <w:u w:val="single"/>
                <w14:textFill>
                  <w14:solidFill>
                    <w14:schemeClr w14:val="tx1"/>
                  </w14:solidFill>
                </w14:textFill>
              </w:rPr>
              <w:t>水文动力环境</w:t>
            </w:r>
          </w:p>
        </w:tc>
        <w:tc>
          <w:tcPr>
            <w:tcW w:w="716" w:type="dxa"/>
            <w:vAlign w:val="center"/>
          </w:tcPr>
          <w:p>
            <w:pPr>
              <w:snapToGrid w:val="0"/>
              <w:spacing w:line="280" w:lineRule="exact"/>
              <w:jc w:val="center"/>
              <w:rPr>
                <w:color w:val="000000" w:themeColor="text1"/>
                <w:sz w:val="21"/>
                <w:szCs w:val="21"/>
                <w:u w:val="single"/>
                <w14:textFill>
                  <w14:solidFill>
                    <w14:schemeClr w14:val="tx1"/>
                  </w14:solidFill>
                </w14:textFill>
              </w:rPr>
            </w:pPr>
            <w:r>
              <w:rPr>
                <w:color w:val="000000" w:themeColor="text1"/>
                <w:sz w:val="21"/>
                <w:szCs w:val="21"/>
                <w:u w:val="single"/>
                <w14:textFill>
                  <w14:solidFill>
                    <w14:schemeClr w14:val="tx1"/>
                  </w14:solidFill>
                </w14:textFill>
              </w:rPr>
              <w:t>1</w:t>
            </w:r>
            <w:r>
              <w:rPr>
                <w:rFonts w:hint="eastAsia"/>
                <w:color w:val="000000" w:themeColor="text1"/>
                <w:sz w:val="21"/>
                <w:szCs w:val="21"/>
                <w:u w:val="single"/>
                <w14:textFill>
                  <w14:solidFill>
                    <w14:schemeClr w14:val="tx1"/>
                  </w14:solidFill>
                </w14:textFill>
              </w:rPr>
              <w:t>级</w:t>
            </w:r>
          </w:p>
        </w:tc>
        <w:tc>
          <w:tcPr>
            <w:tcW w:w="2919" w:type="dxa"/>
            <w:vAlign w:val="center"/>
          </w:tcPr>
          <w:p>
            <w:pPr>
              <w:snapToGrid w:val="0"/>
              <w:spacing w:line="280" w:lineRule="exact"/>
              <w:jc w:val="center"/>
              <w:rPr>
                <w:color w:val="000000" w:themeColor="text1"/>
                <w:sz w:val="21"/>
                <w:szCs w:val="21"/>
                <w:u w:val="single"/>
                <w14:textFill>
                  <w14:solidFill>
                    <w14:schemeClr w14:val="tx1"/>
                  </w14:solidFill>
                </w14:textFill>
              </w:rPr>
            </w:pPr>
            <w:r>
              <w:rPr>
                <w:rFonts w:hint="eastAsia"/>
                <w:color w:val="000000" w:themeColor="text1"/>
                <w:sz w:val="21"/>
                <w:szCs w:val="21"/>
                <w:u w:val="single"/>
                <w14:textFill>
                  <w14:solidFill>
                    <w14:schemeClr w14:val="tx1"/>
                  </w14:solidFill>
                </w14:textFill>
              </w:rPr>
              <w:t>水文</w:t>
            </w:r>
            <w:r>
              <w:rPr>
                <w:color w:val="000000" w:themeColor="text1"/>
                <w:sz w:val="21"/>
                <w:szCs w:val="21"/>
                <w:u w:val="single"/>
                <w14:textFill>
                  <w14:solidFill>
                    <w14:schemeClr w14:val="tx1"/>
                  </w14:solidFill>
                </w14:textFill>
              </w:rPr>
              <w:t>动力、水温、盐度、潮流、波浪、潮位、泥沙冲淤等</w:t>
            </w:r>
          </w:p>
        </w:tc>
        <w:tc>
          <w:tcPr>
            <w:tcW w:w="2869" w:type="dxa"/>
            <w:vAlign w:val="center"/>
          </w:tcPr>
          <w:p>
            <w:pPr>
              <w:spacing w:line="280" w:lineRule="exact"/>
              <w:jc w:val="center"/>
              <w:rPr>
                <w:color w:val="000000" w:themeColor="text1"/>
                <w:sz w:val="21"/>
                <w:szCs w:val="21"/>
                <w:u w:val="single"/>
                <w14:textFill>
                  <w14:solidFill>
                    <w14:schemeClr w14:val="tx1"/>
                  </w14:solidFill>
                </w14:textFill>
              </w:rPr>
            </w:pPr>
            <w:r>
              <w:rPr>
                <w:color w:val="000000" w:themeColor="text1"/>
                <w:sz w:val="21"/>
                <w:szCs w:val="21"/>
                <w:u w:val="single"/>
                <w14:textFill>
                  <w14:solidFill>
                    <w14:schemeClr w14:val="tx1"/>
                  </w14:solidFill>
                </w14:textFill>
              </w:rPr>
              <w:t>水文动力环境、潮流、流场、潮位、输沙等</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28" w:type="dxa"/>
            <w:bottom w:w="0" w:type="dxa"/>
            <w:right w:w="28" w:type="dxa"/>
          </w:tblCellMar>
        </w:tblPrEx>
        <w:trPr>
          <w:trHeight w:val="873" w:hRule="atLeast"/>
        </w:trPr>
        <w:tc>
          <w:tcPr>
            <w:tcW w:w="1864" w:type="dxa"/>
            <w:vAlign w:val="center"/>
          </w:tcPr>
          <w:p>
            <w:pPr>
              <w:snapToGrid w:val="0"/>
              <w:spacing w:line="280" w:lineRule="exact"/>
              <w:jc w:val="center"/>
              <w:rPr>
                <w:color w:val="000000" w:themeColor="text1"/>
                <w:sz w:val="21"/>
                <w:szCs w:val="21"/>
                <w:u w:val="single"/>
                <w14:textFill>
                  <w14:solidFill>
                    <w14:schemeClr w14:val="tx1"/>
                  </w14:solidFill>
                </w14:textFill>
              </w:rPr>
            </w:pPr>
            <w:r>
              <w:rPr>
                <w:rFonts w:hint="eastAsia"/>
                <w:color w:val="000000" w:themeColor="text1"/>
                <w:sz w:val="21"/>
                <w:szCs w:val="21"/>
                <w:u w:val="single"/>
                <w14:textFill>
                  <w14:solidFill>
                    <w14:schemeClr w14:val="tx1"/>
                  </w14:solidFill>
                </w14:textFill>
              </w:rPr>
              <w:t>水质</w:t>
            </w:r>
            <w:r>
              <w:rPr>
                <w:color w:val="000000" w:themeColor="text1"/>
                <w:sz w:val="21"/>
                <w:szCs w:val="21"/>
                <w:u w:val="single"/>
                <w14:textFill>
                  <w14:solidFill>
                    <w14:schemeClr w14:val="tx1"/>
                  </w14:solidFill>
                </w14:textFill>
              </w:rPr>
              <w:t>环境</w:t>
            </w:r>
          </w:p>
        </w:tc>
        <w:tc>
          <w:tcPr>
            <w:tcW w:w="716" w:type="dxa"/>
            <w:vAlign w:val="center"/>
          </w:tcPr>
          <w:p>
            <w:pPr>
              <w:snapToGrid w:val="0"/>
              <w:spacing w:line="280" w:lineRule="exact"/>
              <w:jc w:val="center"/>
              <w:rPr>
                <w:color w:val="000000" w:themeColor="text1"/>
                <w:sz w:val="21"/>
                <w:szCs w:val="21"/>
                <w:u w:val="single"/>
                <w14:textFill>
                  <w14:solidFill>
                    <w14:schemeClr w14:val="tx1"/>
                  </w14:solidFill>
                </w14:textFill>
              </w:rPr>
            </w:pPr>
            <w:r>
              <w:rPr>
                <w:color w:val="000000" w:themeColor="text1"/>
                <w:sz w:val="21"/>
                <w:szCs w:val="21"/>
                <w:u w:val="single"/>
                <w14:textFill>
                  <w14:solidFill>
                    <w14:schemeClr w14:val="tx1"/>
                  </w14:solidFill>
                </w14:textFill>
              </w:rPr>
              <w:t>1</w:t>
            </w:r>
            <w:r>
              <w:rPr>
                <w:rFonts w:hint="eastAsia"/>
                <w:color w:val="000000" w:themeColor="text1"/>
                <w:sz w:val="21"/>
                <w:szCs w:val="21"/>
                <w:u w:val="single"/>
                <w14:textFill>
                  <w14:solidFill>
                    <w14:schemeClr w14:val="tx1"/>
                  </w14:solidFill>
                </w14:textFill>
              </w:rPr>
              <w:t>级</w:t>
            </w:r>
          </w:p>
        </w:tc>
        <w:tc>
          <w:tcPr>
            <w:tcW w:w="2919" w:type="dxa"/>
            <w:vAlign w:val="center"/>
          </w:tcPr>
          <w:p>
            <w:pPr>
              <w:snapToGrid w:val="0"/>
              <w:spacing w:line="280" w:lineRule="exact"/>
              <w:jc w:val="center"/>
              <w:rPr>
                <w:color w:val="000000" w:themeColor="text1"/>
                <w:sz w:val="21"/>
                <w:szCs w:val="21"/>
                <w:u w:val="single"/>
                <w14:textFill>
                  <w14:solidFill>
                    <w14:schemeClr w14:val="tx1"/>
                  </w14:solidFill>
                </w14:textFill>
              </w:rPr>
            </w:pPr>
            <w:r>
              <w:rPr>
                <w:rFonts w:hint="eastAsia"/>
                <w:color w:val="000000" w:themeColor="text1"/>
                <w:sz w:val="21"/>
                <w:szCs w:val="21"/>
                <w:u w:val="single"/>
                <w14:textFill>
                  <w14:solidFill>
                    <w14:schemeClr w14:val="tx1"/>
                  </w14:solidFill>
                </w14:textFill>
              </w:rPr>
              <w:t>pH、温度、盐度、悬浮物、化学需氧量、溶解氧、硝酸盐氮、亚硝酸盐氮、氨氮、活性磷酸盐、油类等</w:t>
            </w:r>
          </w:p>
        </w:tc>
        <w:tc>
          <w:tcPr>
            <w:tcW w:w="2869" w:type="dxa"/>
            <w:vAlign w:val="center"/>
          </w:tcPr>
          <w:p>
            <w:pPr>
              <w:spacing w:line="280" w:lineRule="exact"/>
              <w:jc w:val="center"/>
              <w:rPr>
                <w:color w:val="000000" w:themeColor="text1"/>
                <w:sz w:val="21"/>
                <w:szCs w:val="21"/>
                <w:u w:val="single"/>
                <w14:textFill>
                  <w14:solidFill>
                    <w14:schemeClr w14:val="tx1"/>
                  </w14:solidFill>
                </w14:textFill>
              </w:rPr>
            </w:pPr>
            <w:r>
              <w:rPr>
                <w:rFonts w:hint="eastAsia"/>
                <w:color w:val="000000" w:themeColor="text1"/>
                <w:sz w:val="21"/>
                <w:szCs w:val="21"/>
                <w:u w:val="single"/>
                <w14:textFill>
                  <w14:solidFill>
                    <w14:schemeClr w14:val="tx1"/>
                  </w14:solidFill>
                </w14:textFill>
              </w:rPr>
              <w:t>SS</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28" w:type="dxa"/>
            <w:bottom w:w="0" w:type="dxa"/>
            <w:right w:w="28" w:type="dxa"/>
          </w:tblCellMar>
        </w:tblPrEx>
        <w:trPr>
          <w:trHeight w:val="20" w:hRule="atLeast"/>
        </w:trPr>
        <w:tc>
          <w:tcPr>
            <w:tcW w:w="1864" w:type="dxa"/>
            <w:noWrap/>
            <w:vAlign w:val="center"/>
          </w:tcPr>
          <w:p>
            <w:pPr>
              <w:snapToGrid w:val="0"/>
              <w:spacing w:line="280" w:lineRule="exact"/>
              <w:jc w:val="center"/>
              <w:rPr>
                <w:color w:val="000000" w:themeColor="text1"/>
                <w:sz w:val="21"/>
                <w:szCs w:val="21"/>
                <w:u w:val="single"/>
                <w14:textFill>
                  <w14:solidFill>
                    <w14:schemeClr w14:val="tx1"/>
                  </w14:solidFill>
                </w14:textFill>
              </w:rPr>
            </w:pPr>
            <w:r>
              <w:rPr>
                <w:color w:val="000000" w:themeColor="text1"/>
                <w:sz w:val="21"/>
                <w:szCs w:val="21"/>
                <w:u w:val="single"/>
                <w14:textFill>
                  <w14:solidFill>
                    <w14:schemeClr w14:val="tx1"/>
                  </w14:solidFill>
                </w14:textFill>
              </w:rPr>
              <w:t>海洋沉积物</w:t>
            </w:r>
          </w:p>
        </w:tc>
        <w:tc>
          <w:tcPr>
            <w:tcW w:w="716" w:type="dxa"/>
            <w:vAlign w:val="center"/>
          </w:tcPr>
          <w:p>
            <w:pPr>
              <w:snapToGrid w:val="0"/>
              <w:spacing w:line="280" w:lineRule="exact"/>
              <w:jc w:val="center"/>
              <w:rPr>
                <w:color w:val="000000" w:themeColor="text1"/>
                <w:sz w:val="21"/>
                <w:szCs w:val="21"/>
                <w:u w:val="single"/>
                <w14:textFill>
                  <w14:solidFill>
                    <w14:schemeClr w14:val="tx1"/>
                  </w14:solidFill>
                </w14:textFill>
              </w:rPr>
            </w:pPr>
            <w:r>
              <w:rPr>
                <w:rFonts w:hint="eastAsia"/>
                <w:color w:val="000000" w:themeColor="text1"/>
                <w:sz w:val="21"/>
                <w:szCs w:val="21"/>
                <w:u w:val="single"/>
                <w14:textFill>
                  <w14:solidFill>
                    <w14:schemeClr w14:val="tx1"/>
                  </w14:solidFill>
                </w14:textFill>
              </w:rPr>
              <w:t>2级</w:t>
            </w:r>
          </w:p>
        </w:tc>
        <w:tc>
          <w:tcPr>
            <w:tcW w:w="2919" w:type="dxa"/>
            <w:vAlign w:val="center"/>
          </w:tcPr>
          <w:p>
            <w:pPr>
              <w:snapToGrid w:val="0"/>
              <w:spacing w:line="280" w:lineRule="exact"/>
              <w:jc w:val="center"/>
              <w:rPr>
                <w:color w:val="000000" w:themeColor="text1"/>
                <w:sz w:val="21"/>
                <w:szCs w:val="21"/>
                <w:u w:val="single"/>
                <w14:textFill>
                  <w14:solidFill>
                    <w14:schemeClr w14:val="tx1"/>
                  </w14:solidFill>
                </w14:textFill>
              </w:rPr>
            </w:pPr>
            <w:r>
              <w:rPr>
                <w:rFonts w:hint="eastAsia"/>
                <w:color w:val="000000" w:themeColor="text1"/>
                <w:sz w:val="21"/>
                <w:szCs w:val="21"/>
                <w:u w:val="single"/>
                <w14:textFill>
                  <w14:solidFill>
                    <w14:schemeClr w14:val="tx1"/>
                  </w14:solidFill>
                </w14:textFill>
              </w:rPr>
              <w:t>铜、锌、铅、镉、铬、汞、砷、石油类、硫化物</w:t>
            </w:r>
          </w:p>
        </w:tc>
        <w:tc>
          <w:tcPr>
            <w:tcW w:w="2869" w:type="dxa"/>
            <w:noWrap/>
            <w:vAlign w:val="center"/>
          </w:tcPr>
          <w:p>
            <w:pPr>
              <w:snapToGrid w:val="0"/>
              <w:spacing w:line="280" w:lineRule="exact"/>
              <w:jc w:val="center"/>
              <w:rPr>
                <w:color w:val="000000" w:themeColor="text1"/>
                <w:sz w:val="21"/>
                <w:szCs w:val="21"/>
                <w:u w:val="single"/>
                <w14:textFill>
                  <w14:solidFill>
                    <w14:schemeClr w14:val="tx1"/>
                  </w14:solidFill>
                </w14:textFill>
              </w:rPr>
            </w:pPr>
            <w:r>
              <w:rPr>
                <w:rFonts w:hint="eastAsia"/>
                <w:color w:val="000000" w:themeColor="text1"/>
                <w:sz w:val="21"/>
                <w:szCs w:val="21"/>
                <w:u w:val="single"/>
                <w14:textFill>
                  <w14:solidFill>
                    <w14:schemeClr w14:val="tx1"/>
                  </w14:solidFill>
                </w14:textFill>
              </w:rPr>
              <w:t>定性分析</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28" w:type="dxa"/>
            <w:bottom w:w="0" w:type="dxa"/>
            <w:right w:w="28" w:type="dxa"/>
          </w:tblCellMar>
        </w:tblPrEx>
        <w:trPr>
          <w:trHeight w:val="20" w:hRule="atLeast"/>
        </w:trPr>
        <w:tc>
          <w:tcPr>
            <w:tcW w:w="1864" w:type="dxa"/>
            <w:noWrap/>
            <w:vAlign w:val="center"/>
          </w:tcPr>
          <w:p>
            <w:pPr>
              <w:snapToGrid w:val="0"/>
              <w:spacing w:line="280" w:lineRule="exact"/>
              <w:jc w:val="center"/>
              <w:rPr>
                <w:color w:val="000000" w:themeColor="text1"/>
                <w:sz w:val="21"/>
                <w:szCs w:val="21"/>
                <w:u w:val="single"/>
                <w14:textFill>
                  <w14:solidFill>
                    <w14:schemeClr w14:val="tx1"/>
                  </w14:solidFill>
                </w14:textFill>
              </w:rPr>
            </w:pPr>
            <w:r>
              <w:rPr>
                <w:rFonts w:hint="eastAsia"/>
                <w:color w:val="000000" w:themeColor="text1"/>
                <w:sz w:val="21"/>
                <w:szCs w:val="21"/>
                <w:u w:val="single"/>
                <w14:textFill>
                  <w14:solidFill>
                    <w14:schemeClr w14:val="tx1"/>
                  </w14:solidFill>
                </w14:textFill>
              </w:rPr>
              <w:t>海洋</w:t>
            </w:r>
            <w:r>
              <w:rPr>
                <w:color w:val="000000" w:themeColor="text1"/>
                <w:sz w:val="21"/>
                <w:szCs w:val="21"/>
                <w:u w:val="single"/>
                <w14:textFill>
                  <w14:solidFill>
                    <w14:schemeClr w14:val="tx1"/>
                  </w14:solidFill>
                </w14:textFill>
              </w:rPr>
              <w:t>生态和生物资源</w:t>
            </w:r>
          </w:p>
        </w:tc>
        <w:tc>
          <w:tcPr>
            <w:tcW w:w="716" w:type="dxa"/>
            <w:vAlign w:val="center"/>
          </w:tcPr>
          <w:p>
            <w:pPr>
              <w:snapToGrid w:val="0"/>
              <w:spacing w:line="280" w:lineRule="exact"/>
              <w:jc w:val="center"/>
              <w:rPr>
                <w:color w:val="000000" w:themeColor="text1"/>
                <w:sz w:val="21"/>
                <w:szCs w:val="21"/>
                <w:u w:val="single"/>
                <w14:textFill>
                  <w14:solidFill>
                    <w14:schemeClr w14:val="tx1"/>
                  </w14:solidFill>
                </w14:textFill>
              </w:rPr>
            </w:pPr>
            <w:r>
              <w:rPr>
                <w:color w:val="000000" w:themeColor="text1"/>
                <w:sz w:val="21"/>
                <w:szCs w:val="21"/>
                <w:u w:val="single"/>
                <w14:textFill>
                  <w14:solidFill>
                    <w14:schemeClr w14:val="tx1"/>
                  </w14:solidFill>
                </w14:textFill>
              </w:rPr>
              <w:t>1</w:t>
            </w:r>
            <w:r>
              <w:rPr>
                <w:rFonts w:hint="eastAsia"/>
                <w:color w:val="000000" w:themeColor="text1"/>
                <w:sz w:val="21"/>
                <w:szCs w:val="21"/>
                <w:u w:val="single"/>
                <w14:textFill>
                  <w14:solidFill>
                    <w14:schemeClr w14:val="tx1"/>
                  </w14:solidFill>
                </w14:textFill>
              </w:rPr>
              <w:t>级</w:t>
            </w:r>
          </w:p>
        </w:tc>
        <w:tc>
          <w:tcPr>
            <w:tcW w:w="2919" w:type="dxa"/>
            <w:vAlign w:val="center"/>
          </w:tcPr>
          <w:p>
            <w:pPr>
              <w:snapToGrid w:val="0"/>
              <w:spacing w:line="280" w:lineRule="exact"/>
              <w:jc w:val="center"/>
              <w:rPr>
                <w:color w:val="000000" w:themeColor="text1"/>
                <w:sz w:val="21"/>
                <w:szCs w:val="21"/>
                <w:u w:val="single"/>
                <w14:textFill>
                  <w14:solidFill>
                    <w14:schemeClr w14:val="tx1"/>
                  </w14:solidFill>
                </w14:textFill>
              </w:rPr>
            </w:pPr>
            <w:r>
              <w:rPr>
                <w:color w:val="000000" w:themeColor="text1"/>
                <w:sz w:val="21"/>
                <w:szCs w:val="21"/>
                <w:u w:val="single"/>
                <w14:textFill>
                  <w14:solidFill>
                    <w14:schemeClr w14:val="tx1"/>
                  </w14:solidFill>
                </w14:textFill>
              </w:rPr>
              <w:t>水动力改变</w:t>
            </w:r>
            <w:r>
              <w:rPr>
                <w:rFonts w:hint="eastAsia"/>
                <w:color w:val="000000" w:themeColor="text1"/>
                <w:sz w:val="21"/>
                <w:szCs w:val="21"/>
                <w:u w:val="single"/>
                <w14:textFill>
                  <w14:solidFill>
                    <w14:schemeClr w14:val="tx1"/>
                  </w14:solidFill>
                </w14:textFill>
              </w:rPr>
              <w:t>、</w:t>
            </w:r>
            <w:r>
              <w:rPr>
                <w:color w:val="000000" w:themeColor="text1"/>
                <w:sz w:val="21"/>
                <w:szCs w:val="21"/>
                <w:u w:val="single"/>
                <w14:textFill>
                  <w14:solidFill>
                    <w14:schemeClr w14:val="tx1"/>
                  </w14:solidFill>
                </w14:textFill>
              </w:rPr>
              <w:t>叶绿素α</w:t>
            </w:r>
            <w:r>
              <w:rPr>
                <w:rFonts w:hint="eastAsia"/>
                <w:color w:val="000000" w:themeColor="text1"/>
                <w:sz w:val="21"/>
                <w:szCs w:val="21"/>
                <w:u w:val="single"/>
                <w14:textFill>
                  <w14:solidFill>
                    <w14:schemeClr w14:val="tx1"/>
                  </w14:solidFill>
                </w14:textFill>
              </w:rPr>
              <w:t>、</w:t>
            </w:r>
            <w:r>
              <w:rPr>
                <w:color w:val="000000" w:themeColor="text1"/>
                <w:sz w:val="21"/>
                <w:szCs w:val="21"/>
                <w:u w:val="single"/>
                <w14:textFill>
                  <w14:solidFill>
                    <w14:schemeClr w14:val="tx1"/>
                  </w14:solidFill>
                </w14:textFill>
              </w:rPr>
              <w:t>浮游植物</w:t>
            </w:r>
            <w:r>
              <w:rPr>
                <w:rFonts w:hint="eastAsia"/>
                <w:color w:val="000000" w:themeColor="text1"/>
                <w:sz w:val="21"/>
                <w:szCs w:val="21"/>
                <w:u w:val="single"/>
                <w14:textFill>
                  <w14:solidFill>
                    <w14:schemeClr w14:val="tx1"/>
                  </w14:solidFill>
                </w14:textFill>
              </w:rPr>
              <w:t>、</w:t>
            </w:r>
            <w:r>
              <w:rPr>
                <w:color w:val="000000" w:themeColor="text1"/>
                <w:sz w:val="21"/>
                <w:szCs w:val="21"/>
                <w:u w:val="single"/>
                <w14:textFill>
                  <w14:solidFill>
                    <w14:schemeClr w14:val="tx1"/>
                  </w14:solidFill>
                </w14:textFill>
              </w:rPr>
              <w:t>浮游动物</w:t>
            </w:r>
            <w:r>
              <w:rPr>
                <w:rFonts w:hint="eastAsia"/>
                <w:color w:val="000000" w:themeColor="text1"/>
                <w:sz w:val="21"/>
                <w:szCs w:val="21"/>
                <w:u w:val="single"/>
                <w14:textFill>
                  <w14:solidFill>
                    <w14:schemeClr w14:val="tx1"/>
                  </w14:solidFill>
                </w14:textFill>
              </w:rPr>
              <w:t>、</w:t>
            </w:r>
            <w:r>
              <w:rPr>
                <w:color w:val="000000" w:themeColor="text1"/>
                <w:sz w:val="21"/>
                <w:szCs w:val="21"/>
                <w:u w:val="single"/>
                <w14:textFill>
                  <w14:solidFill>
                    <w14:schemeClr w14:val="tx1"/>
                  </w14:solidFill>
                </w14:textFill>
              </w:rPr>
              <w:t>底栖生物</w:t>
            </w:r>
            <w:r>
              <w:rPr>
                <w:rFonts w:hint="eastAsia"/>
                <w:color w:val="000000" w:themeColor="text1"/>
                <w:sz w:val="21"/>
                <w:szCs w:val="21"/>
                <w:u w:val="single"/>
                <w14:textFill>
                  <w14:solidFill>
                    <w14:schemeClr w14:val="tx1"/>
                  </w14:solidFill>
                </w14:textFill>
              </w:rPr>
              <w:t>、</w:t>
            </w:r>
            <w:r>
              <w:rPr>
                <w:color w:val="000000" w:themeColor="text1"/>
                <w:sz w:val="21"/>
                <w:szCs w:val="21"/>
                <w:u w:val="single"/>
                <w14:textFill>
                  <w14:solidFill>
                    <w14:schemeClr w14:val="tx1"/>
                  </w14:solidFill>
                </w14:textFill>
              </w:rPr>
              <w:t>鱼类</w:t>
            </w:r>
            <w:r>
              <w:rPr>
                <w:rFonts w:hint="eastAsia"/>
                <w:color w:val="000000" w:themeColor="text1"/>
                <w:sz w:val="21"/>
                <w:szCs w:val="21"/>
                <w:u w:val="single"/>
                <w14:textFill>
                  <w14:solidFill>
                    <w14:schemeClr w14:val="tx1"/>
                  </w14:solidFill>
                </w14:textFill>
              </w:rPr>
              <w:t>、</w:t>
            </w:r>
            <w:r>
              <w:rPr>
                <w:color w:val="000000" w:themeColor="text1"/>
                <w:sz w:val="21"/>
                <w:szCs w:val="21"/>
                <w:u w:val="single"/>
                <w14:textFill>
                  <w14:solidFill>
                    <w14:schemeClr w14:val="tx1"/>
                  </w14:solidFill>
                </w14:textFill>
              </w:rPr>
              <w:t>贝类等</w:t>
            </w:r>
          </w:p>
        </w:tc>
        <w:tc>
          <w:tcPr>
            <w:tcW w:w="2869" w:type="dxa"/>
            <w:noWrap/>
            <w:vAlign w:val="center"/>
          </w:tcPr>
          <w:p>
            <w:pPr>
              <w:snapToGrid w:val="0"/>
              <w:spacing w:line="280" w:lineRule="exact"/>
              <w:jc w:val="center"/>
              <w:rPr>
                <w:color w:val="000000" w:themeColor="text1"/>
                <w:sz w:val="21"/>
                <w:szCs w:val="21"/>
                <w:u w:val="single"/>
                <w14:textFill>
                  <w14:solidFill>
                    <w14:schemeClr w14:val="tx1"/>
                  </w14:solidFill>
                </w14:textFill>
              </w:rPr>
            </w:pPr>
            <w:r>
              <w:rPr>
                <w:rFonts w:hint="eastAsia"/>
                <w:color w:val="000000" w:themeColor="text1"/>
                <w:sz w:val="21"/>
                <w:szCs w:val="21"/>
                <w:u w:val="single"/>
                <w14:textFill>
                  <w14:solidFill>
                    <w14:schemeClr w14:val="tx1"/>
                  </w14:solidFill>
                </w14:textFill>
              </w:rPr>
              <w:t>底栖</w:t>
            </w:r>
            <w:r>
              <w:rPr>
                <w:color w:val="000000" w:themeColor="text1"/>
                <w:sz w:val="21"/>
                <w:szCs w:val="21"/>
                <w:u w:val="single"/>
                <w14:textFill>
                  <w14:solidFill>
                    <w14:schemeClr w14:val="tx1"/>
                  </w14:solidFill>
                </w14:textFill>
              </w:rPr>
              <w:t>生物、鱼类、浮游动物、</w:t>
            </w:r>
          </w:p>
          <w:p>
            <w:pPr>
              <w:snapToGrid w:val="0"/>
              <w:spacing w:line="280" w:lineRule="exact"/>
              <w:jc w:val="center"/>
              <w:rPr>
                <w:color w:val="000000" w:themeColor="text1"/>
                <w:sz w:val="21"/>
                <w:szCs w:val="21"/>
                <w:u w:val="single"/>
                <w14:textFill>
                  <w14:solidFill>
                    <w14:schemeClr w14:val="tx1"/>
                  </w14:solidFill>
                </w14:textFill>
              </w:rPr>
            </w:pPr>
            <w:r>
              <w:rPr>
                <w:color w:val="000000" w:themeColor="text1"/>
                <w:sz w:val="21"/>
                <w:szCs w:val="21"/>
                <w:u w:val="single"/>
                <w14:textFill>
                  <w14:solidFill>
                    <w14:schemeClr w14:val="tx1"/>
                  </w14:solidFill>
                </w14:textFill>
              </w:rPr>
              <w:t>浮游植物等</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28" w:type="dxa"/>
            <w:bottom w:w="0" w:type="dxa"/>
            <w:right w:w="28" w:type="dxa"/>
          </w:tblCellMar>
        </w:tblPrEx>
        <w:trPr>
          <w:trHeight w:val="20" w:hRule="atLeast"/>
        </w:trPr>
        <w:tc>
          <w:tcPr>
            <w:tcW w:w="1864" w:type="dxa"/>
            <w:noWrap/>
            <w:vAlign w:val="center"/>
          </w:tcPr>
          <w:p>
            <w:pPr>
              <w:snapToGrid w:val="0"/>
              <w:spacing w:line="280" w:lineRule="exact"/>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地形地貌与冲淤环境</w:t>
            </w:r>
          </w:p>
        </w:tc>
        <w:tc>
          <w:tcPr>
            <w:tcW w:w="716" w:type="dxa"/>
            <w:vAlign w:val="center"/>
          </w:tcPr>
          <w:p>
            <w:pPr>
              <w:snapToGrid w:val="0"/>
              <w:spacing w:line="280" w:lineRule="exact"/>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3级</w:t>
            </w:r>
          </w:p>
        </w:tc>
        <w:tc>
          <w:tcPr>
            <w:tcW w:w="2919" w:type="dxa"/>
            <w:vAlign w:val="center"/>
          </w:tcPr>
          <w:p>
            <w:pPr>
              <w:snapToGrid w:val="0"/>
              <w:spacing w:line="280" w:lineRule="exact"/>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海岸线、海底地形地貌、海床、冲刷与淤积现状、蚀淤速率等</w:t>
            </w:r>
          </w:p>
        </w:tc>
        <w:tc>
          <w:tcPr>
            <w:tcW w:w="2869" w:type="dxa"/>
            <w:noWrap/>
            <w:vAlign w:val="center"/>
          </w:tcPr>
          <w:p>
            <w:pPr>
              <w:snapToGrid w:val="0"/>
              <w:spacing w:line="280" w:lineRule="exact"/>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冲刷与淤积变化、泥沙运移变化</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28" w:type="dxa"/>
            <w:bottom w:w="0" w:type="dxa"/>
            <w:right w:w="28" w:type="dxa"/>
          </w:tblCellMar>
        </w:tblPrEx>
        <w:trPr>
          <w:trHeight w:val="20" w:hRule="atLeast"/>
        </w:trPr>
        <w:tc>
          <w:tcPr>
            <w:tcW w:w="1864" w:type="dxa"/>
            <w:vAlign w:val="center"/>
          </w:tcPr>
          <w:p>
            <w:pPr>
              <w:snapToGrid w:val="0"/>
              <w:spacing w:line="280" w:lineRule="exact"/>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声环境</w:t>
            </w:r>
          </w:p>
        </w:tc>
        <w:tc>
          <w:tcPr>
            <w:tcW w:w="716" w:type="dxa"/>
            <w:vAlign w:val="center"/>
          </w:tcPr>
          <w:p>
            <w:pPr>
              <w:snapToGrid w:val="0"/>
              <w:spacing w:line="280" w:lineRule="exact"/>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三级</w:t>
            </w:r>
          </w:p>
        </w:tc>
        <w:tc>
          <w:tcPr>
            <w:tcW w:w="2919" w:type="dxa"/>
            <w:vAlign w:val="center"/>
          </w:tcPr>
          <w:p>
            <w:pPr>
              <w:snapToGrid w:val="0"/>
              <w:spacing w:line="280" w:lineRule="exact"/>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L</w:t>
            </w:r>
            <w:r>
              <w:rPr>
                <w:color w:val="000000" w:themeColor="text1"/>
                <w:sz w:val="21"/>
                <w:szCs w:val="21"/>
                <w:vertAlign w:val="subscript"/>
                <w14:textFill>
                  <w14:solidFill>
                    <w14:schemeClr w14:val="tx1"/>
                  </w14:solidFill>
                </w14:textFill>
              </w:rPr>
              <w:t>Aeq</w:t>
            </w:r>
          </w:p>
        </w:tc>
        <w:tc>
          <w:tcPr>
            <w:tcW w:w="2869" w:type="dxa"/>
            <w:vAlign w:val="center"/>
          </w:tcPr>
          <w:p>
            <w:pPr>
              <w:spacing w:line="280" w:lineRule="exact"/>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L</w:t>
            </w:r>
            <w:r>
              <w:rPr>
                <w:color w:val="000000" w:themeColor="text1"/>
                <w:sz w:val="21"/>
                <w:szCs w:val="21"/>
                <w:vertAlign w:val="subscript"/>
                <w14:textFill>
                  <w14:solidFill>
                    <w14:schemeClr w14:val="tx1"/>
                  </w14:solidFill>
                </w14:textFill>
              </w:rPr>
              <w:t>Aeq</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28" w:type="dxa"/>
            <w:bottom w:w="0" w:type="dxa"/>
            <w:right w:w="28" w:type="dxa"/>
          </w:tblCellMar>
        </w:tblPrEx>
        <w:trPr>
          <w:trHeight w:val="20" w:hRule="atLeast"/>
        </w:trPr>
        <w:tc>
          <w:tcPr>
            <w:tcW w:w="1864" w:type="dxa"/>
            <w:vAlign w:val="center"/>
          </w:tcPr>
          <w:p>
            <w:pPr>
              <w:snapToGrid w:val="0"/>
              <w:spacing w:line="280" w:lineRule="exact"/>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固体废物</w:t>
            </w:r>
          </w:p>
        </w:tc>
        <w:tc>
          <w:tcPr>
            <w:tcW w:w="716" w:type="dxa"/>
            <w:vAlign w:val="center"/>
          </w:tcPr>
          <w:p>
            <w:pPr>
              <w:snapToGrid w:val="0"/>
              <w:spacing w:line="280" w:lineRule="exact"/>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w:t>
            </w:r>
          </w:p>
        </w:tc>
        <w:tc>
          <w:tcPr>
            <w:tcW w:w="2919" w:type="dxa"/>
            <w:vAlign w:val="center"/>
          </w:tcPr>
          <w:p>
            <w:pPr>
              <w:snapToGrid w:val="0"/>
              <w:spacing w:line="280" w:lineRule="exact"/>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疏浚土石方</w:t>
            </w:r>
            <w:r>
              <w:rPr>
                <w:rFonts w:hint="eastAsia"/>
                <w:color w:val="000000" w:themeColor="text1"/>
                <w:sz w:val="21"/>
                <w:szCs w:val="21"/>
                <w14:textFill>
                  <w14:solidFill>
                    <w14:schemeClr w14:val="tx1"/>
                  </w14:solidFill>
                </w14:textFill>
              </w:rPr>
              <w:t>、</w:t>
            </w:r>
            <w:r>
              <w:rPr>
                <w:color w:val="000000" w:themeColor="text1"/>
                <w:sz w:val="21"/>
                <w:szCs w:val="21"/>
                <w14:textFill>
                  <w14:solidFill>
                    <w14:schemeClr w14:val="tx1"/>
                  </w14:solidFill>
                </w14:textFill>
              </w:rPr>
              <w:t>生活垃圾</w:t>
            </w:r>
          </w:p>
        </w:tc>
        <w:tc>
          <w:tcPr>
            <w:tcW w:w="2869" w:type="dxa"/>
            <w:vAlign w:val="center"/>
          </w:tcPr>
          <w:p>
            <w:pPr>
              <w:spacing w:line="280" w:lineRule="exact"/>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疏浚土石方、生活垃圾</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28" w:type="dxa"/>
            <w:bottom w:w="0" w:type="dxa"/>
            <w:right w:w="28" w:type="dxa"/>
          </w:tblCellMar>
        </w:tblPrEx>
        <w:trPr>
          <w:trHeight w:val="20" w:hRule="atLeast"/>
        </w:trPr>
        <w:tc>
          <w:tcPr>
            <w:tcW w:w="1864" w:type="dxa"/>
            <w:vAlign w:val="center"/>
          </w:tcPr>
          <w:p>
            <w:pPr>
              <w:snapToGrid w:val="0"/>
              <w:spacing w:line="280" w:lineRule="exact"/>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事故</w:t>
            </w:r>
            <w:r>
              <w:rPr>
                <w:color w:val="000000" w:themeColor="text1"/>
                <w:sz w:val="21"/>
                <w:szCs w:val="21"/>
                <w14:textFill>
                  <w14:solidFill>
                    <w14:schemeClr w14:val="tx1"/>
                  </w14:solidFill>
                </w14:textFill>
              </w:rPr>
              <w:t>风险</w:t>
            </w:r>
          </w:p>
        </w:tc>
        <w:tc>
          <w:tcPr>
            <w:tcW w:w="716" w:type="dxa"/>
            <w:vAlign w:val="center"/>
          </w:tcPr>
          <w:p>
            <w:pPr>
              <w:snapToGrid w:val="0"/>
              <w:spacing w:line="280" w:lineRule="exact"/>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三级</w:t>
            </w:r>
          </w:p>
        </w:tc>
        <w:tc>
          <w:tcPr>
            <w:tcW w:w="2919" w:type="dxa"/>
            <w:vAlign w:val="center"/>
          </w:tcPr>
          <w:p>
            <w:pPr>
              <w:snapToGrid w:val="0"/>
              <w:spacing w:line="280" w:lineRule="exact"/>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w:t>
            </w:r>
          </w:p>
        </w:tc>
        <w:tc>
          <w:tcPr>
            <w:tcW w:w="2869" w:type="dxa"/>
            <w:vAlign w:val="center"/>
          </w:tcPr>
          <w:p>
            <w:pPr>
              <w:snapToGrid w:val="0"/>
              <w:spacing w:line="280" w:lineRule="exact"/>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风险事故导致的溢油对海域的影响，包括溢油路径、扩散面积、扫海面积等</w:t>
            </w:r>
          </w:p>
        </w:tc>
      </w:tr>
    </w:tbl>
    <w:p>
      <w:pPr>
        <w:pStyle w:val="384"/>
        <w:ind w:left="0" w:firstLine="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海洋环境影响要素和评价因子分析一览表</w:t>
      </w:r>
    </w:p>
    <w:tbl>
      <w:tblPr>
        <w:tblStyle w:val="89"/>
        <w:tblW w:w="8528" w:type="dxa"/>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912"/>
        <w:gridCol w:w="1035"/>
        <w:gridCol w:w="1280"/>
        <w:gridCol w:w="1438"/>
        <w:gridCol w:w="1707"/>
        <w:gridCol w:w="2156"/>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blHeader/>
        </w:trPr>
        <w:tc>
          <w:tcPr>
            <w:tcW w:w="912" w:type="dxa"/>
            <w:vAlign w:val="center"/>
          </w:tcPr>
          <w:p>
            <w:pPr>
              <w:pStyle w:val="2001"/>
            </w:pPr>
            <w:r>
              <w:t>评价时段</w:t>
            </w:r>
          </w:p>
        </w:tc>
        <w:tc>
          <w:tcPr>
            <w:tcW w:w="1035" w:type="dxa"/>
            <w:vAlign w:val="center"/>
          </w:tcPr>
          <w:p>
            <w:pPr>
              <w:pStyle w:val="2001"/>
            </w:pPr>
            <w:r>
              <w:t>环境影响要素</w:t>
            </w:r>
          </w:p>
        </w:tc>
        <w:tc>
          <w:tcPr>
            <w:tcW w:w="1280" w:type="dxa"/>
            <w:vAlign w:val="center"/>
          </w:tcPr>
          <w:p>
            <w:pPr>
              <w:pStyle w:val="2001"/>
            </w:pPr>
            <w:r>
              <w:t>评价因子</w:t>
            </w:r>
          </w:p>
        </w:tc>
        <w:tc>
          <w:tcPr>
            <w:tcW w:w="1438" w:type="dxa"/>
            <w:vAlign w:val="center"/>
          </w:tcPr>
          <w:p>
            <w:pPr>
              <w:pStyle w:val="2001"/>
            </w:pPr>
            <w:r>
              <w:t>工程内容及其表征</w:t>
            </w:r>
          </w:p>
        </w:tc>
        <w:tc>
          <w:tcPr>
            <w:tcW w:w="1707" w:type="dxa"/>
            <w:vAlign w:val="center"/>
          </w:tcPr>
          <w:p>
            <w:pPr>
              <w:pStyle w:val="2001"/>
            </w:pPr>
            <w:r>
              <w:t>影响程度与分析评价深度</w:t>
            </w:r>
          </w:p>
        </w:tc>
        <w:tc>
          <w:tcPr>
            <w:tcW w:w="2156" w:type="dxa"/>
            <w:vAlign w:val="center"/>
          </w:tcPr>
          <w:p>
            <w:pPr>
              <w:pStyle w:val="2001"/>
            </w:pPr>
            <w:r>
              <w:t>报告书中分析评价内容所在章节</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c>
          <w:tcPr>
            <w:tcW w:w="912" w:type="dxa"/>
            <w:vMerge w:val="restart"/>
            <w:vAlign w:val="center"/>
          </w:tcPr>
          <w:p>
            <w:pPr>
              <w:pStyle w:val="2001"/>
            </w:pPr>
            <w:r>
              <w:t>工程建设期</w:t>
            </w:r>
          </w:p>
        </w:tc>
        <w:tc>
          <w:tcPr>
            <w:tcW w:w="1035" w:type="dxa"/>
            <w:vMerge w:val="restart"/>
            <w:vAlign w:val="center"/>
          </w:tcPr>
          <w:p>
            <w:pPr>
              <w:pStyle w:val="2001"/>
            </w:pPr>
            <w:r>
              <w:t>海洋生态</w:t>
            </w:r>
          </w:p>
        </w:tc>
        <w:tc>
          <w:tcPr>
            <w:tcW w:w="1280" w:type="dxa"/>
            <w:vAlign w:val="center"/>
          </w:tcPr>
          <w:p>
            <w:pPr>
              <w:pStyle w:val="2001"/>
            </w:pPr>
            <w:r>
              <w:t>底栖生物</w:t>
            </w:r>
          </w:p>
        </w:tc>
        <w:tc>
          <w:tcPr>
            <w:tcW w:w="1438" w:type="dxa"/>
            <w:vAlign w:val="center"/>
          </w:tcPr>
          <w:p>
            <w:pPr>
              <w:pStyle w:val="2001"/>
            </w:pPr>
            <w:r>
              <w:t>水工构筑物掩埋</w:t>
            </w:r>
          </w:p>
        </w:tc>
        <w:tc>
          <w:tcPr>
            <w:tcW w:w="1707" w:type="dxa"/>
            <w:vAlign w:val="center"/>
          </w:tcPr>
          <w:p>
            <w:pPr>
              <w:pStyle w:val="2001"/>
            </w:pPr>
            <w:r>
              <w:rPr>
                <w:rFonts w:hint="eastAsia"/>
              </w:rPr>
              <w:t>+++</w:t>
            </w:r>
          </w:p>
        </w:tc>
        <w:tc>
          <w:tcPr>
            <w:tcW w:w="2156" w:type="dxa"/>
            <w:vAlign w:val="center"/>
          </w:tcPr>
          <w:p>
            <w:pPr>
              <w:pStyle w:val="2001"/>
            </w:pPr>
            <w:r>
              <w:rPr>
                <w:rFonts w:hint="eastAsia"/>
              </w:rPr>
              <w:t>4.2.3</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c>
          <w:tcPr>
            <w:tcW w:w="912" w:type="dxa"/>
            <w:vMerge w:val="continue"/>
            <w:vAlign w:val="center"/>
          </w:tcPr>
          <w:p>
            <w:pPr>
              <w:pStyle w:val="2001"/>
            </w:pPr>
          </w:p>
        </w:tc>
        <w:tc>
          <w:tcPr>
            <w:tcW w:w="1035" w:type="dxa"/>
            <w:vMerge w:val="continue"/>
            <w:vAlign w:val="center"/>
          </w:tcPr>
          <w:p>
            <w:pPr>
              <w:pStyle w:val="2001"/>
            </w:pPr>
          </w:p>
        </w:tc>
        <w:tc>
          <w:tcPr>
            <w:tcW w:w="1280" w:type="dxa"/>
            <w:vAlign w:val="center"/>
          </w:tcPr>
          <w:p>
            <w:pPr>
              <w:pStyle w:val="2001"/>
            </w:pPr>
            <w:r>
              <w:t>鱼卵仔鱼</w:t>
            </w:r>
          </w:p>
        </w:tc>
        <w:tc>
          <w:tcPr>
            <w:tcW w:w="1438" w:type="dxa"/>
            <w:vMerge w:val="restart"/>
            <w:vAlign w:val="center"/>
          </w:tcPr>
          <w:p>
            <w:pPr>
              <w:pStyle w:val="2001"/>
            </w:pPr>
            <w:r>
              <w:t>疏浚、炸礁产生的悬浮物</w:t>
            </w:r>
          </w:p>
        </w:tc>
        <w:tc>
          <w:tcPr>
            <w:tcW w:w="1707" w:type="dxa"/>
            <w:vAlign w:val="center"/>
          </w:tcPr>
          <w:p>
            <w:pPr>
              <w:pStyle w:val="2001"/>
            </w:pPr>
            <w:r>
              <w:rPr>
                <w:rFonts w:hint="eastAsia"/>
              </w:rPr>
              <w:t>++</w:t>
            </w:r>
          </w:p>
        </w:tc>
        <w:tc>
          <w:tcPr>
            <w:tcW w:w="2156" w:type="dxa"/>
            <w:vAlign w:val="center"/>
          </w:tcPr>
          <w:p>
            <w:pPr>
              <w:pStyle w:val="2001"/>
            </w:pPr>
            <w:r>
              <w:rPr>
                <w:rFonts w:hint="eastAsia"/>
              </w:rPr>
              <w:t>4.2.1</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c>
          <w:tcPr>
            <w:tcW w:w="912" w:type="dxa"/>
            <w:vMerge w:val="continue"/>
            <w:vAlign w:val="center"/>
          </w:tcPr>
          <w:p>
            <w:pPr>
              <w:pStyle w:val="2001"/>
            </w:pPr>
          </w:p>
        </w:tc>
        <w:tc>
          <w:tcPr>
            <w:tcW w:w="1035" w:type="dxa"/>
            <w:vMerge w:val="continue"/>
            <w:vAlign w:val="center"/>
          </w:tcPr>
          <w:p>
            <w:pPr>
              <w:pStyle w:val="2001"/>
            </w:pPr>
          </w:p>
        </w:tc>
        <w:tc>
          <w:tcPr>
            <w:tcW w:w="1280" w:type="dxa"/>
            <w:vAlign w:val="center"/>
          </w:tcPr>
          <w:p>
            <w:pPr>
              <w:pStyle w:val="2001"/>
            </w:pPr>
            <w:r>
              <w:t>浮游动、植物</w:t>
            </w:r>
          </w:p>
        </w:tc>
        <w:tc>
          <w:tcPr>
            <w:tcW w:w="1438" w:type="dxa"/>
            <w:vMerge w:val="continue"/>
            <w:vAlign w:val="center"/>
          </w:tcPr>
          <w:p>
            <w:pPr>
              <w:pStyle w:val="2001"/>
            </w:pPr>
          </w:p>
        </w:tc>
        <w:tc>
          <w:tcPr>
            <w:tcW w:w="1707" w:type="dxa"/>
            <w:vAlign w:val="center"/>
          </w:tcPr>
          <w:p>
            <w:pPr>
              <w:pStyle w:val="2001"/>
            </w:pPr>
            <w:r>
              <w:rPr>
                <w:rFonts w:hint="eastAsia"/>
              </w:rPr>
              <w:t>++</w:t>
            </w:r>
          </w:p>
        </w:tc>
        <w:tc>
          <w:tcPr>
            <w:tcW w:w="2156" w:type="dxa"/>
            <w:vAlign w:val="center"/>
          </w:tcPr>
          <w:p>
            <w:pPr>
              <w:pStyle w:val="2001"/>
            </w:pPr>
            <w:r>
              <w:rPr>
                <w:rFonts w:hint="eastAsia"/>
              </w:rPr>
              <w:t>4.2.1</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c>
          <w:tcPr>
            <w:tcW w:w="912" w:type="dxa"/>
            <w:vMerge w:val="continue"/>
            <w:vAlign w:val="center"/>
          </w:tcPr>
          <w:p>
            <w:pPr>
              <w:pStyle w:val="2001"/>
            </w:pPr>
          </w:p>
        </w:tc>
        <w:tc>
          <w:tcPr>
            <w:tcW w:w="1035" w:type="dxa"/>
            <w:vMerge w:val="continue"/>
            <w:vAlign w:val="center"/>
          </w:tcPr>
          <w:p>
            <w:pPr>
              <w:pStyle w:val="2001"/>
            </w:pPr>
          </w:p>
        </w:tc>
        <w:tc>
          <w:tcPr>
            <w:tcW w:w="1280" w:type="dxa"/>
            <w:vAlign w:val="center"/>
          </w:tcPr>
          <w:p>
            <w:pPr>
              <w:pStyle w:val="2001"/>
            </w:pPr>
            <w:r>
              <w:t>游泳生物</w:t>
            </w:r>
          </w:p>
        </w:tc>
        <w:tc>
          <w:tcPr>
            <w:tcW w:w="1438" w:type="dxa"/>
            <w:vAlign w:val="center"/>
          </w:tcPr>
          <w:p>
            <w:pPr>
              <w:pStyle w:val="2001"/>
            </w:pPr>
            <w:r>
              <w:t>炸礁爆破损失</w:t>
            </w:r>
          </w:p>
        </w:tc>
        <w:tc>
          <w:tcPr>
            <w:tcW w:w="1707" w:type="dxa"/>
            <w:vAlign w:val="center"/>
          </w:tcPr>
          <w:p>
            <w:pPr>
              <w:pStyle w:val="2001"/>
            </w:pPr>
            <w:r>
              <w:rPr>
                <w:rFonts w:hint="eastAsia"/>
              </w:rPr>
              <w:t>++</w:t>
            </w:r>
          </w:p>
        </w:tc>
        <w:tc>
          <w:tcPr>
            <w:tcW w:w="2156" w:type="dxa"/>
            <w:vAlign w:val="center"/>
          </w:tcPr>
          <w:p>
            <w:pPr>
              <w:pStyle w:val="2001"/>
            </w:pPr>
            <w:r>
              <w:rPr>
                <w:rFonts w:hint="eastAsia"/>
              </w:rPr>
              <w:t>4.2.1</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c>
          <w:tcPr>
            <w:tcW w:w="912" w:type="dxa"/>
            <w:vMerge w:val="continue"/>
            <w:vAlign w:val="center"/>
          </w:tcPr>
          <w:p>
            <w:pPr>
              <w:pStyle w:val="2001"/>
            </w:pPr>
          </w:p>
        </w:tc>
        <w:tc>
          <w:tcPr>
            <w:tcW w:w="1035" w:type="dxa"/>
            <w:vAlign w:val="center"/>
          </w:tcPr>
          <w:p>
            <w:pPr>
              <w:pStyle w:val="2001"/>
            </w:pPr>
            <w:r>
              <w:t>海洋水文动力</w:t>
            </w:r>
          </w:p>
        </w:tc>
        <w:tc>
          <w:tcPr>
            <w:tcW w:w="1280" w:type="dxa"/>
            <w:vAlign w:val="center"/>
          </w:tcPr>
          <w:p>
            <w:pPr>
              <w:pStyle w:val="2001"/>
            </w:pPr>
            <w:r>
              <w:t>流速、流向</w:t>
            </w:r>
          </w:p>
        </w:tc>
        <w:tc>
          <w:tcPr>
            <w:tcW w:w="1438" w:type="dxa"/>
            <w:vAlign w:val="center"/>
          </w:tcPr>
          <w:p>
            <w:pPr>
              <w:pStyle w:val="2001"/>
            </w:pPr>
            <w:r>
              <w:t>水工建筑物影响</w:t>
            </w:r>
          </w:p>
        </w:tc>
        <w:tc>
          <w:tcPr>
            <w:tcW w:w="1707" w:type="dxa"/>
            <w:vAlign w:val="center"/>
          </w:tcPr>
          <w:p>
            <w:pPr>
              <w:pStyle w:val="2001"/>
            </w:pPr>
            <w:r>
              <w:rPr>
                <w:rFonts w:hint="eastAsia"/>
              </w:rPr>
              <w:t>+++</w:t>
            </w:r>
          </w:p>
        </w:tc>
        <w:tc>
          <w:tcPr>
            <w:tcW w:w="2156" w:type="dxa"/>
            <w:vAlign w:val="center"/>
          </w:tcPr>
          <w:p>
            <w:pPr>
              <w:pStyle w:val="2001"/>
            </w:pPr>
            <w:r>
              <w:rPr>
                <w:rFonts w:hint="eastAsia"/>
              </w:rPr>
              <w:t>4.1.1.1</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c>
          <w:tcPr>
            <w:tcW w:w="912" w:type="dxa"/>
            <w:vMerge w:val="continue"/>
            <w:vAlign w:val="center"/>
          </w:tcPr>
          <w:p>
            <w:pPr>
              <w:pStyle w:val="2001"/>
            </w:pPr>
          </w:p>
        </w:tc>
        <w:tc>
          <w:tcPr>
            <w:tcW w:w="1035" w:type="dxa"/>
            <w:vAlign w:val="center"/>
          </w:tcPr>
          <w:p>
            <w:pPr>
              <w:pStyle w:val="2001"/>
            </w:pPr>
            <w:r>
              <w:t>海水水质</w:t>
            </w:r>
          </w:p>
        </w:tc>
        <w:tc>
          <w:tcPr>
            <w:tcW w:w="1280" w:type="dxa"/>
            <w:vAlign w:val="center"/>
          </w:tcPr>
          <w:p>
            <w:pPr>
              <w:pStyle w:val="2001"/>
            </w:pPr>
            <w:r>
              <w:rPr>
                <w:rFonts w:hint="eastAsia"/>
              </w:rPr>
              <w:t>SS</w:t>
            </w:r>
          </w:p>
        </w:tc>
        <w:tc>
          <w:tcPr>
            <w:tcW w:w="1438" w:type="dxa"/>
            <w:vAlign w:val="center"/>
          </w:tcPr>
          <w:p>
            <w:pPr>
              <w:pStyle w:val="2001"/>
            </w:pPr>
            <w:r>
              <w:t>疏浚、炸礁产生的悬浮物</w:t>
            </w:r>
          </w:p>
        </w:tc>
        <w:tc>
          <w:tcPr>
            <w:tcW w:w="1707" w:type="dxa"/>
            <w:vAlign w:val="center"/>
          </w:tcPr>
          <w:p>
            <w:pPr>
              <w:pStyle w:val="2001"/>
            </w:pPr>
            <w:r>
              <w:rPr>
                <w:rFonts w:hint="eastAsia"/>
              </w:rPr>
              <w:t>++</w:t>
            </w:r>
          </w:p>
        </w:tc>
        <w:tc>
          <w:tcPr>
            <w:tcW w:w="2156" w:type="dxa"/>
            <w:vAlign w:val="center"/>
          </w:tcPr>
          <w:p>
            <w:pPr>
              <w:pStyle w:val="2001"/>
            </w:pPr>
            <w:r>
              <w:rPr>
                <w:rFonts w:hint="eastAsia"/>
              </w:rPr>
              <w:t>4.1.1.2</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c>
          <w:tcPr>
            <w:tcW w:w="8528" w:type="dxa"/>
            <w:gridSpan w:val="6"/>
            <w:vAlign w:val="center"/>
          </w:tcPr>
          <w:p>
            <w:pPr>
              <w:pStyle w:val="2001"/>
            </w:pPr>
            <w:r>
              <w:rPr>
                <w:rFonts w:hint="eastAsia"/>
              </w:rPr>
              <w:t>注 1 : + 表示环境影响要素和评价因子所受到的影响程度为较小或轻微，需要进行简要的分析与影响预测；</w:t>
            </w:r>
          </w:p>
          <w:p>
            <w:pPr>
              <w:pStyle w:val="2001"/>
            </w:pPr>
            <w:r>
              <w:rPr>
                <w:rFonts w:hint="eastAsia"/>
              </w:rPr>
              <w:t>注 2 : ++ 表示环境影响要素和评价因子所受到的影响程度为中等，需要进行常规影响分析与影响预测；</w:t>
            </w:r>
          </w:p>
          <w:p>
            <w:pPr>
              <w:pStyle w:val="2001"/>
            </w:pPr>
            <w:r>
              <w:rPr>
                <w:rFonts w:hint="eastAsia"/>
              </w:rPr>
              <w:t>注 3 : +++ 环境影响要素和评价因子所受到的影响程度为较大或敏感，需要进行重点的影响分析与影响预测。</w:t>
            </w:r>
          </w:p>
        </w:tc>
      </w:tr>
      <w:bookmarkEnd w:id="29"/>
      <w:bookmarkEnd w:id="30"/>
      <w:bookmarkEnd w:id="31"/>
      <w:bookmarkEnd w:id="32"/>
      <w:bookmarkEnd w:id="33"/>
      <w:bookmarkEnd w:id="34"/>
      <w:bookmarkEnd w:id="48"/>
    </w:tbl>
    <w:p>
      <w:pPr>
        <w:pStyle w:val="4"/>
        <w:rPr>
          <w:color w:val="000000" w:themeColor="text1"/>
          <w14:textFill>
            <w14:solidFill>
              <w14:schemeClr w14:val="tx1"/>
            </w14:solidFill>
          </w14:textFill>
        </w:rPr>
      </w:pPr>
      <w:bookmarkStart w:id="49" w:name="_Toc247517264"/>
      <w:bookmarkStart w:id="50" w:name="_Toc317003236"/>
      <w:bookmarkStart w:id="51" w:name="_Toc247517459"/>
      <w:bookmarkStart w:id="52" w:name="_Toc247517532"/>
      <w:bookmarkStart w:id="53" w:name="_Toc170918592"/>
      <w:bookmarkStart w:id="54" w:name="_Toc317003516"/>
      <w:bookmarkStart w:id="55" w:name="_Toc232154403"/>
      <w:r>
        <w:rPr>
          <w:color w:val="000000" w:themeColor="text1"/>
          <w14:textFill>
            <w14:solidFill>
              <w14:schemeClr w14:val="tx1"/>
            </w14:solidFill>
          </w14:textFill>
        </w:rPr>
        <w:t>环境保护目标</w:t>
      </w:r>
      <w:bookmarkEnd w:id="49"/>
      <w:bookmarkEnd w:id="50"/>
      <w:bookmarkEnd w:id="51"/>
      <w:bookmarkEnd w:id="52"/>
      <w:bookmarkEnd w:id="53"/>
      <w:bookmarkEnd w:id="54"/>
      <w:bookmarkEnd w:id="55"/>
    </w:p>
    <w:p>
      <w:pPr>
        <w:pStyle w:val="5"/>
        <w:rPr>
          <w:color w:val="000000" w:themeColor="text1"/>
          <w14:textFill>
            <w14:solidFill>
              <w14:schemeClr w14:val="tx1"/>
            </w14:solidFill>
          </w14:textFill>
        </w:rPr>
      </w:pPr>
      <w:bookmarkStart w:id="56" w:name="_Toc232337269"/>
      <w:bookmarkStart w:id="57" w:name="_Toc232337795"/>
      <w:bookmarkStart w:id="58" w:name="_Toc232337533"/>
      <w:bookmarkStart w:id="59" w:name="_Toc232154404"/>
      <w:bookmarkStart w:id="60" w:name="_Toc232337004"/>
      <w:bookmarkStart w:id="61" w:name="_Toc232338057"/>
      <w:bookmarkStart w:id="62" w:name="_Toc232336560"/>
      <w:r>
        <w:rPr>
          <w:rFonts w:hint="eastAsia"/>
          <w:color w:val="000000" w:themeColor="text1"/>
          <w14:textFill>
            <w14:solidFill>
              <w14:schemeClr w14:val="tx1"/>
            </w14:solidFill>
          </w14:textFill>
        </w:rPr>
        <w:t>生态敏感目标</w:t>
      </w:r>
    </w:p>
    <w:p>
      <w:pPr>
        <w:pStyle w:val="283"/>
        <w:ind w:firstLine="462"/>
        <w:rPr>
          <w:color w:val="000000" w:themeColor="text1"/>
          <w14:textFill>
            <w14:solidFill>
              <w14:schemeClr w14:val="tx1"/>
            </w14:solidFill>
          </w14:textFill>
        </w:rPr>
      </w:pPr>
      <w:r>
        <w:rPr>
          <w:color w:val="000000" w:themeColor="text1"/>
          <w14:textFill>
            <w14:solidFill>
              <w14:schemeClr w14:val="tx1"/>
            </w14:solidFill>
          </w14:textFill>
        </w:rPr>
        <w:t>根据《海洋工程环境影响评价技术导则》（</w:t>
      </w:r>
      <w:r>
        <w:rPr>
          <w:rFonts w:hint="eastAsia"/>
          <w:color w:val="000000" w:themeColor="text1"/>
          <w14:textFill>
            <w14:solidFill>
              <w14:schemeClr w14:val="tx1"/>
            </w14:solidFill>
          </w14:textFill>
        </w:rPr>
        <w:t>GB/T 19485</w:t>
      </w:r>
      <w:r>
        <w:rPr>
          <w:rFonts w:ascii="宋体" w:hAnsi="宋体"/>
          <w:color w:val="000000" w:themeColor="text1"/>
          <w14:textFill>
            <w14:solidFill>
              <w14:schemeClr w14:val="tx1"/>
            </w14:solidFill>
          </w14:textFill>
        </w:rPr>
        <w:t>—</w:t>
      </w:r>
      <w:r>
        <w:rPr>
          <w:rFonts w:hint="eastAsia"/>
          <w:color w:val="000000" w:themeColor="text1"/>
          <w14:textFill>
            <w14:solidFill>
              <w14:schemeClr w14:val="tx1"/>
            </w14:solidFill>
          </w14:textFill>
        </w:rPr>
        <w:t>2014</w:t>
      </w:r>
      <w:r>
        <w:rPr>
          <w:color w:val="000000" w:themeColor="text1"/>
          <w14:textFill>
            <w14:solidFill>
              <w14:schemeClr w14:val="tx1"/>
            </w14:solidFill>
          </w14:textFill>
        </w:rPr>
        <w:t>），海洋生态环境敏感区指海洋生态服务功能价值较高，且遭受损害后较难恢复其功能的海域。以</w:t>
      </w:r>
      <w:r>
        <w:rPr>
          <w:rFonts w:hint="eastAsia"/>
          <w:color w:val="000000" w:themeColor="text1"/>
          <w14:textFill>
            <w14:solidFill>
              <w14:schemeClr w14:val="tx1"/>
            </w14:solidFill>
          </w14:textFill>
        </w:rPr>
        <w:t>码头周边300m陆域及8km海域生态系统为主要目标</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工程附近区域海洋生态环境敏感区7处，包括：金鼓江红树林集中区、鹿耳环江红树林集中分布区、钦州市鹿耳环重要滩涂及浅海水域红线区、北部湾水源涵养生态保护红线区、钦州市月亮湾海岸防护极重要区、三娘湾生态保护区、三娘湾南部生态控制区，生态环境保护目标3处，包括钦州港青菜头南浅海滩涂养殖区、鹿耳环江大灶沿岸池塘养殖区及钦州市七十二泾海岛群旅游度假区。</w:t>
      </w:r>
    </w:p>
    <w:p>
      <w:pPr>
        <w:pStyle w:val="384"/>
        <w:ind w:left="0" w:firstLine="0"/>
        <w:rPr>
          <w:rFonts w:cs="Times New Roman"/>
          <w:color w:val="000000" w:themeColor="text1"/>
          <w14:textFill>
            <w14:solidFill>
              <w14:schemeClr w14:val="tx1"/>
            </w14:solidFill>
          </w14:textFill>
        </w:rPr>
      </w:pPr>
      <w:bookmarkStart w:id="63" w:name="_Hlk54189494"/>
      <w:r>
        <w:rPr>
          <w:rFonts w:cs="Times New Roman"/>
          <w:color w:val="000000" w:themeColor="text1"/>
          <w14:textFill>
            <w14:solidFill>
              <w14:schemeClr w14:val="tx1"/>
            </w14:solidFill>
          </w14:textFill>
        </w:rPr>
        <w:t>项目与评价范围内</w:t>
      </w:r>
      <w:r>
        <w:rPr>
          <w:rFonts w:hint="eastAsia" w:cs="Times New Roman"/>
          <w:color w:val="000000" w:themeColor="text1"/>
          <w14:textFill>
            <w14:solidFill>
              <w14:schemeClr w14:val="tx1"/>
            </w14:solidFill>
          </w14:textFill>
        </w:rPr>
        <w:t>生态</w:t>
      </w:r>
      <w:r>
        <w:rPr>
          <w:rFonts w:cs="Times New Roman"/>
          <w:color w:val="000000" w:themeColor="text1"/>
          <w14:textFill>
            <w14:solidFill>
              <w14:schemeClr w14:val="tx1"/>
            </w14:solidFill>
          </w14:textFill>
        </w:rPr>
        <w:t>敏感</w:t>
      </w:r>
      <w:r>
        <w:rPr>
          <w:rFonts w:hint="eastAsia" w:cs="Times New Roman"/>
          <w:color w:val="000000" w:themeColor="text1"/>
          <w14:textFill>
            <w14:solidFill>
              <w14:schemeClr w14:val="tx1"/>
            </w14:solidFill>
          </w14:textFill>
        </w:rPr>
        <w:t>目标</w:t>
      </w:r>
      <w:r>
        <w:rPr>
          <w:rFonts w:cs="Times New Roman"/>
          <w:color w:val="000000" w:themeColor="text1"/>
          <w14:textFill>
            <w14:solidFill>
              <w14:schemeClr w14:val="tx1"/>
            </w14:solidFill>
          </w14:textFill>
        </w:rPr>
        <w:t>关系一览</w:t>
      </w:r>
    </w:p>
    <w:tbl>
      <w:tblPr>
        <w:tblStyle w:val="88"/>
        <w:tblW w:w="8528" w:type="dxa"/>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709"/>
        <w:gridCol w:w="709"/>
        <w:gridCol w:w="2599"/>
        <w:gridCol w:w="1689"/>
        <w:gridCol w:w="751"/>
        <w:gridCol w:w="903"/>
        <w:gridCol w:w="1168"/>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525" w:hRule="atLeast"/>
          <w:tblHeader/>
        </w:trPr>
        <w:tc>
          <w:tcPr>
            <w:tcW w:w="709" w:type="dxa"/>
            <w:vAlign w:val="center"/>
          </w:tcPr>
          <w:p>
            <w:pPr>
              <w:widowControl/>
              <w:jc w:val="center"/>
              <w:rPr>
                <w:b/>
                <w:bCs/>
                <w:color w:val="000000" w:themeColor="text1"/>
                <w:kern w:val="0"/>
                <w:sz w:val="21"/>
                <w:szCs w:val="21"/>
                <w14:textFill>
                  <w14:solidFill>
                    <w14:schemeClr w14:val="tx1"/>
                  </w14:solidFill>
                </w14:textFill>
              </w:rPr>
            </w:pPr>
            <w:r>
              <w:rPr>
                <w:b/>
                <w:bCs/>
                <w:color w:val="000000" w:themeColor="text1"/>
                <w:kern w:val="0"/>
                <w:sz w:val="21"/>
                <w:szCs w:val="21"/>
                <w14:textFill>
                  <w14:solidFill>
                    <w14:schemeClr w14:val="tx1"/>
                  </w14:solidFill>
                </w14:textFill>
              </w:rPr>
              <w:t>序号</w:t>
            </w:r>
          </w:p>
        </w:tc>
        <w:tc>
          <w:tcPr>
            <w:tcW w:w="709" w:type="dxa"/>
            <w:shd w:val="clear" w:color="auto" w:fill="auto"/>
            <w:vAlign w:val="center"/>
          </w:tcPr>
          <w:p>
            <w:pPr>
              <w:widowControl/>
              <w:jc w:val="center"/>
              <w:rPr>
                <w:b/>
                <w:bCs/>
                <w:color w:val="000000" w:themeColor="text1"/>
                <w:kern w:val="0"/>
                <w:sz w:val="21"/>
                <w:szCs w:val="21"/>
                <w14:textFill>
                  <w14:solidFill>
                    <w14:schemeClr w14:val="tx1"/>
                  </w14:solidFill>
                </w14:textFill>
              </w:rPr>
            </w:pPr>
            <w:r>
              <w:rPr>
                <w:b/>
                <w:bCs/>
                <w:color w:val="000000" w:themeColor="text1"/>
                <w:kern w:val="0"/>
                <w:sz w:val="21"/>
                <w:szCs w:val="21"/>
                <w14:textFill>
                  <w14:solidFill>
                    <w14:schemeClr w14:val="tx1"/>
                  </w14:solidFill>
                </w14:textFill>
              </w:rPr>
              <w:t>类型</w:t>
            </w:r>
          </w:p>
        </w:tc>
        <w:tc>
          <w:tcPr>
            <w:tcW w:w="2599" w:type="dxa"/>
            <w:shd w:val="clear" w:color="auto" w:fill="auto"/>
            <w:vAlign w:val="center"/>
          </w:tcPr>
          <w:p>
            <w:pPr>
              <w:widowControl/>
              <w:jc w:val="center"/>
              <w:rPr>
                <w:b/>
                <w:bCs/>
                <w:color w:val="000000" w:themeColor="text1"/>
                <w:kern w:val="0"/>
                <w:sz w:val="21"/>
                <w:szCs w:val="21"/>
                <w14:textFill>
                  <w14:solidFill>
                    <w14:schemeClr w14:val="tx1"/>
                  </w14:solidFill>
                </w14:textFill>
              </w:rPr>
            </w:pPr>
            <w:r>
              <w:rPr>
                <w:b/>
                <w:bCs/>
                <w:color w:val="000000" w:themeColor="text1"/>
                <w:kern w:val="0"/>
                <w:sz w:val="21"/>
                <w:szCs w:val="21"/>
                <w14:textFill>
                  <w14:solidFill>
                    <w14:schemeClr w14:val="tx1"/>
                  </w14:solidFill>
                </w14:textFill>
              </w:rPr>
              <w:t>环境保护目标名称</w:t>
            </w:r>
          </w:p>
        </w:tc>
        <w:tc>
          <w:tcPr>
            <w:tcW w:w="1689" w:type="dxa"/>
            <w:vAlign w:val="center"/>
          </w:tcPr>
          <w:p>
            <w:pPr>
              <w:widowControl/>
              <w:jc w:val="center"/>
              <w:rPr>
                <w:b/>
                <w:bCs/>
                <w:color w:val="000000" w:themeColor="text1"/>
                <w:kern w:val="0"/>
                <w:sz w:val="21"/>
                <w:szCs w:val="21"/>
                <w14:textFill>
                  <w14:solidFill>
                    <w14:schemeClr w14:val="tx1"/>
                  </w14:solidFill>
                </w14:textFill>
              </w:rPr>
            </w:pPr>
            <w:r>
              <w:rPr>
                <w:b/>
                <w:bCs/>
                <w:color w:val="000000" w:themeColor="text1"/>
                <w:kern w:val="0"/>
                <w:sz w:val="21"/>
                <w:szCs w:val="21"/>
                <w14:textFill>
                  <w14:solidFill>
                    <w14:schemeClr w14:val="tx1"/>
                  </w14:solidFill>
                </w14:textFill>
              </w:rPr>
              <w:t>保护级别</w:t>
            </w:r>
          </w:p>
        </w:tc>
        <w:tc>
          <w:tcPr>
            <w:tcW w:w="751" w:type="dxa"/>
            <w:shd w:val="clear" w:color="auto" w:fill="auto"/>
            <w:vAlign w:val="center"/>
          </w:tcPr>
          <w:p>
            <w:pPr>
              <w:widowControl/>
              <w:jc w:val="center"/>
              <w:rPr>
                <w:b/>
                <w:bCs/>
                <w:color w:val="000000" w:themeColor="text1"/>
                <w:kern w:val="0"/>
                <w:sz w:val="21"/>
                <w:szCs w:val="21"/>
                <w14:textFill>
                  <w14:solidFill>
                    <w14:schemeClr w14:val="tx1"/>
                  </w14:solidFill>
                </w14:textFill>
              </w:rPr>
            </w:pPr>
            <w:r>
              <w:rPr>
                <w:b/>
                <w:bCs/>
                <w:color w:val="000000" w:themeColor="text1"/>
                <w:kern w:val="0"/>
                <w:sz w:val="21"/>
                <w:szCs w:val="21"/>
                <w14:textFill>
                  <w14:solidFill>
                    <w14:schemeClr w14:val="tx1"/>
                  </w14:solidFill>
                </w14:textFill>
              </w:rPr>
              <w:t>方位</w:t>
            </w:r>
          </w:p>
        </w:tc>
        <w:tc>
          <w:tcPr>
            <w:tcW w:w="903" w:type="dxa"/>
            <w:shd w:val="clear" w:color="auto" w:fill="auto"/>
            <w:vAlign w:val="center"/>
          </w:tcPr>
          <w:p>
            <w:pPr>
              <w:widowControl/>
              <w:jc w:val="center"/>
              <w:rPr>
                <w:b/>
                <w:bCs/>
                <w:color w:val="000000" w:themeColor="text1"/>
                <w:kern w:val="0"/>
                <w:sz w:val="21"/>
                <w:szCs w:val="21"/>
                <w14:textFill>
                  <w14:solidFill>
                    <w14:schemeClr w14:val="tx1"/>
                  </w14:solidFill>
                </w14:textFill>
              </w:rPr>
            </w:pPr>
            <w:r>
              <w:rPr>
                <w:b/>
                <w:bCs/>
                <w:color w:val="000000" w:themeColor="text1"/>
                <w:kern w:val="0"/>
                <w:sz w:val="21"/>
                <w:szCs w:val="21"/>
                <w14:textFill>
                  <w14:solidFill>
                    <w14:schemeClr w14:val="tx1"/>
                  </w14:solidFill>
                </w14:textFill>
              </w:rPr>
              <w:t>最近</w:t>
            </w:r>
          </w:p>
          <w:p>
            <w:pPr>
              <w:widowControl/>
              <w:jc w:val="center"/>
              <w:rPr>
                <w:b/>
                <w:bCs/>
                <w:color w:val="000000" w:themeColor="text1"/>
                <w:kern w:val="0"/>
                <w:sz w:val="21"/>
                <w:szCs w:val="21"/>
                <w14:textFill>
                  <w14:solidFill>
                    <w14:schemeClr w14:val="tx1"/>
                  </w14:solidFill>
                </w14:textFill>
              </w:rPr>
            </w:pPr>
            <w:r>
              <w:rPr>
                <w:b/>
                <w:bCs/>
                <w:color w:val="000000" w:themeColor="text1"/>
                <w:kern w:val="0"/>
                <w:sz w:val="21"/>
                <w:szCs w:val="21"/>
                <w14:textFill>
                  <w14:solidFill>
                    <w14:schemeClr w14:val="tx1"/>
                  </w14:solidFill>
                </w14:textFill>
              </w:rPr>
              <w:t>距离（km）</w:t>
            </w:r>
          </w:p>
        </w:tc>
        <w:tc>
          <w:tcPr>
            <w:tcW w:w="1168" w:type="dxa"/>
            <w:vAlign w:val="center"/>
          </w:tcPr>
          <w:p>
            <w:pPr>
              <w:widowControl/>
              <w:jc w:val="center"/>
              <w:rPr>
                <w:b/>
                <w:bCs/>
                <w:color w:val="000000" w:themeColor="text1"/>
                <w:kern w:val="0"/>
                <w:sz w:val="21"/>
                <w:szCs w:val="21"/>
                <w14:textFill>
                  <w14:solidFill>
                    <w14:schemeClr w14:val="tx1"/>
                  </w14:solidFill>
                </w14:textFill>
              </w:rPr>
            </w:pPr>
            <w:r>
              <w:rPr>
                <w:b/>
                <w:bCs/>
                <w:color w:val="000000" w:themeColor="text1"/>
                <w:kern w:val="0"/>
                <w:sz w:val="21"/>
                <w:szCs w:val="21"/>
                <w14:textFill>
                  <w14:solidFill>
                    <w14:schemeClr w14:val="tx1"/>
                  </w14:solidFill>
                </w14:textFill>
              </w:rPr>
              <w:t>保护内容</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285" w:hRule="atLeast"/>
        </w:trPr>
        <w:tc>
          <w:tcPr>
            <w:tcW w:w="8528" w:type="dxa"/>
            <w:gridSpan w:val="7"/>
            <w:vAlign w:val="center"/>
          </w:tcPr>
          <w:p>
            <w:pPr>
              <w:widowControl/>
              <w:jc w:val="center"/>
              <w:rPr>
                <w:b/>
                <w:color w:val="000000" w:themeColor="text1"/>
                <w:kern w:val="0"/>
                <w:sz w:val="21"/>
                <w:szCs w:val="21"/>
                <w14:textFill>
                  <w14:solidFill>
                    <w14:schemeClr w14:val="tx1"/>
                  </w14:solidFill>
                </w14:textFill>
              </w:rPr>
            </w:pPr>
            <w:r>
              <w:rPr>
                <w:b/>
                <w:color w:val="000000" w:themeColor="text1"/>
                <w:kern w:val="0"/>
                <w:sz w:val="21"/>
                <w:szCs w:val="21"/>
                <w14:textFill>
                  <w14:solidFill>
                    <w14:schemeClr w14:val="tx1"/>
                  </w14:solidFill>
                </w14:textFill>
              </w:rPr>
              <w:t>海洋生态环境</w:t>
            </w:r>
            <w:r>
              <w:rPr>
                <w:rFonts w:hint="eastAsia"/>
                <w:b/>
                <w:color w:val="000000" w:themeColor="text1"/>
                <w:kern w:val="0"/>
                <w:sz w:val="21"/>
                <w:szCs w:val="21"/>
                <w14:textFill>
                  <w14:solidFill>
                    <w14:schemeClr w14:val="tx1"/>
                  </w14:solidFill>
                </w14:textFill>
              </w:rPr>
              <w:t>保护目标</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285" w:hRule="atLeast"/>
        </w:trPr>
        <w:tc>
          <w:tcPr>
            <w:tcW w:w="709" w:type="dxa"/>
            <w:vAlign w:val="center"/>
          </w:tcPr>
          <w:p>
            <w:pPr>
              <w:widowControl/>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1</w:t>
            </w:r>
          </w:p>
        </w:tc>
        <w:tc>
          <w:tcPr>
            <w:tcW w:w="709" w:type="dxa"/>
            <w:vMerge w:val="restart"/>
            <w:shd w:val="clear" w:color="auto" w:fill="auto"/>
            <w:vAlign w:val="center"/>
          </w:tcPr>
          <w:p>
            <w:pPr>
              <w:widowControl/>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生态保护红线</w:t>
            </w:r>
          </w:p>
        </w:tc>
        <w:tc>
          <w:tcPr>
            <w:tcW w:w="2599" w:type="dxa"/>
            <w:shd w:val="clear" w:color="auto" w:fill="auto"/>
            <w:vAlign w:val="center"/>
          </w:tcPr>
          <w:p>
            <w:pPr>
              <w:widowControl/>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钦州市鹿耳环重要滩涂及浅海水域红线区</w:t>
            </w:r>
          </w:p>
        </w:tc>
        <w:tc>
          <w:tcPr>
            <w:tcW w:w="1689" w:type="dxa"/>
            <w:vMerge w:val="restart"/>
            <w:vAlign w:val="center"/>
          </w:tcPr>
          <w:p>
            <w:pPr>
              <w:widowControl/>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《钦州市国土空间总体规划（2021—2035年）》市域国土空间控制线</w:t>
            </w:r>
          </w:p>
        </w:tc>
        <w:tc>
          <w:tcPr>
            <w:tcW w:w="751" w:type="dxa"/>
            <w:shd w:val="clear" w:color="auto" w:fill="auto"/>
            <w:vAlign w:val="center"/>
          </w:tcPr>
          <w:p>
            <w:pPr>
              <w:widowControl/>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SE</w:t>
            </w:r>
          </w:p>
        </w:tc>
        <w:tc>
          <w:tcPr>
            <w:tcW w:w="903" w:type="dxa"/>
            <w:shd w:val="clear" w:color="auto" w:fill="auto"/>
            <w:vAlign w:val="center"/>
          </w:tcPr>
          <w:p>
            <w:pPr>
              <w:widowControl/>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6.8</w:t>
            </w:r>
          </w:p>
        </w:tc>
        <w:tc>
          <w:tcPr>
            <w:tcW w:w="1168" w:type="dxa"/>
            <w:vAlign w:val="center"/>
          </w:tcPr>
          <w:p>
            <w:pPr>
              <w:widowControl/>
              <w:jc w:val="center"/>
              <w:rPr>
                <w:color w:val="000000" w:themeColor="text1"/>
                <w:kern w:val="0"/>
                <w:sz w:val="22"/>
                <w:szCs w:val="22"/>
                <w14:textFill>
                  <w14:solidFill>
                    <w14:schemeClr w14:val="tx1"/>
                  </w14:solidFill>
                </w14:textFill>
              </w:rPr>
            </w:pPr>
            <w:r>
              <w:rPr>
                <w:color w:val="000000" w:themeColor="text1"/>
                <w:kern w:val="0"/>
                <w:sz w:val="21"/>
                <w:szCs w:val="21"/>
                <w14:textFill>
                  <w14:solidFill>
                    <w14:schemeClr w14:val="tx1"/>
                  </w14:solidFill>
                </w14:textFill>
              </w:rPr>
              <w:t>水质、生态环境</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285" w:hRule="atLeast"/>
        </w:trPr>
        <w:tc>
          <w:tcPr>
            <w:tcW w:w="709" w:type="dxa"/>
            <w:vAlign w:val="center"/>
          </w:tcPr>
          <w:p>
            <w:pPr>
              <w:widowControl/>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2</w:t>
            </w:r>
          </w:p>
        </w:tc>
        <w:tc>
          <w:tcPr>
            <w:tcW w:w="709" w:type="dxa"/>
            <w:vMerge w:val="continue"/>
            <w:shd w:val="clear" w:color="auto" w:fill="auto"/>
            <w:vAlign w:val="center"/>
          </w:tcPr>
          <w:p>
            <w:pPr>
              <w:widowControl/>
              <w:jc w:val="center"/>
              <w:rPr>
                <w:color w:val="000000" w:themeColor="text1"/>
                <w:kern w:val="0"/>
                <w:sz w:val="21"/>
                <w:szCs w:val="21"/>
                <w14:textFill>
                  <w14:solidFill>
                    <w14:schemeClr w14:val="tx1"/>
                  </w14:solidFill>
                </w14:textFill>
              </w:rPr>
            </w:pPr>
          </w:p>
        </w:tc>
        <w:tc>
          <w:tcPr>
            <w:tcW w:w="2599" w:type="dxa"/>
            <w:shd w:val="clear" w:color="auto" w:fill="auto"/>
            <w:vAlign w:val="center"/>
          </w:tcPr>
          <w:p>
            <w:pPr>
              <w:widowControl/>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北部湾水源涵养生态保护红线区</w:t>
            </w:r>
          </w:p>
        </w:tc>
        <w:tc>
          <w:tcPr>
            <w:tcW w:w="1689" w:type="dxa"/>
            <w:vMerge w:val="continue"/>
            <w:vAlign w:val="center"/>
          </w:tcPr>
          <w:p>
            <w:pPr>
              <w:widowControl/>
              <w:jc w:val="center"/>
              <w:rPr>
                <w:color w:val="000000" w:themeColor="text1"/>
                <w:kern w:val="0"/>
                <w:sz w:val="21"/>
                <w:szCs w:val="21"/>
                <w14:textFill>
                  <w14:solidFill>
                    <w14:schemeClr w14:val="tx1"/>
                  </w14:solidFill>
                </w14:textFill>
              </w:rPr>
            </w:pPr>
          </w:p>
        </w:tc>
        <w:tc>
          <w:tcPr>
            <w:tcW w:w="751" w:type="dxa"/>
            <w:shd w:val="clear" w:color="auto" w:fill="auto"/>
            <w:vAlign w:val="center"/>
          </w:tcPr>
          <w:p>
            <w:pPr>
              <w:widowControl/>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E</w:t>
            </w:r>
          </w:p>
        </w:tc>
        <w:tc>
          <w:tcPr>
            <w:tcW w:w="903" w:type="dxa"/>
            <w:shd w:val="clear" w:color="auto" w:fill="auto"/>
            <w:vAlign w:val="center"/>
          </w:tcPr>
          <w:p>
            <w:pPr>
              <w:widowControl/>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5.3</w:t>
            </w:r>
          </w:p>
        </w:tc>
        <w:tc>
          <w:tcPr>
            <w:tcW w:w="1168" w:type="dxa"/>
            <w:vAlign w:val="center"/>
          </w:tcPr>
          <w:p>
            <w:pPr>
              <w:widowControl/>
              <w:jc w:val="center"/>
              <w:rPr>
                <w:color w:val="000000" w:themeColor="text1"/>
                <w:kern w:val="0"/>
                <w:sz w:val="22"/>
                <w:szCs w:val="22"/>
                <w14:textFill>
                  <w14:solidFill>
                    <w14:schemeClr w14:val="tx1"/>
                  </w14:solidFill>
                </w14:textFill>
              </w:rPr>
            </w:pPr>
            <w:r>
              <w:rPr>
                <w:rFonts w:hint="eastAsia"/>
                <w:color w:val="000000" w:themeColor="text1"/>
                <w:kern w:val="0"/>
                <w:sz w:val="22"/>
                <w:szCs w:val="22"/>
                <w14:textFill>
                  <w14:solidFill>
                    <w14:schemeClr w14:val="tx1"/>
                  </w14:solidFill>
                </w14:textFill>
              </w:rPr>
              <w:t>水源涵养</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285" w:hRule="atLeast"/>
        </w:trPr>
        <w:tc>
          <w:tcPr>
            <w:tcW w:w="709" w:type="dxa"/>
            <w:vAlign w:val="center"/>
          </w:tcPr>
          <w:p>
            <w:pPr>
              <w:widowControl/>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3</w:t>
            </w:r>
          </w:p>
        </w:tc>
        <w:tc>
          <w:tcPr>
            <w:tcW w:w="709" w:type="dxa"/>
            <w:vMerge w:val="continue"/>
            <w:shd w:val="clear" w:color="auto" w:fill="auto"/>
            <w:vAlign w:val="center"/>
          </w:tcPr>
          <w:p>
            <w:pPr>
              <w:widowControl/>
              <w:jc w:val="center"/>
              <w:rPr>
                <w:color w:val="000000" w:themeColor="text1"/>
                <w:kern w:val="0"/>
                <w:sz w:val="21"/>
                <w:szCs w:val="21"/>
                <w14:textFill>
                  <w14:solidFill>
                    <w14:schemeClr w14:val="tx1"/>
                  </w14:solidFill>
                </w14:textFill>
              </w:rPr>
            </w:pPr>
          </w:p>
        </w:tc>
        <w:tc>
          <w:tcPr>
            <w:tcW w:w="2599" w:type="dxa"/>
            <w:shd w:val="clear" w:color="auto" w:fill="auto"/>
            <w:vAlign w:val="center"/>
          </w:tcPr>
          <w:p>
            <w:pPr>
              <w:widowControl/>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钦州市月亮湾海岸防护极重要区</w:t>
            </w:r>
          </w:p>
        </w:tc>
        <w:tc>
          <w:tcPr>
            <w:tcW w:w="1689" w:type="dxa"/>
            <w:vMerge w:val="continue"/>
            <w:vAlign w:val="center"/>
          </w:tcPr>
          <w:p>
            <w:pPr>
              <w:widowControl/>
              <w:jc w:val="center"/>
              <w:rPr>
                <w:color w:val="000000" w:themeColor="text1"/>
                <w:kern w:val="0"/>
                <w:sz w:val="21"/>
                <w:szCs w:val="21"/>
                <w14:textFill>
                  <w14:solidFill>
                    <w14:schemeClr w14:val="tx1"/>
                  </w14:solidFill>
                </w14:textFill>
              </w:rPr>
            </w:pPr>
          </w:p>
        </w:tc>
        <w:tc>
          <w:tcPr>
            <w:tcW w:w="751" w:type="dxa"/>
            <w:shd w:val="clear" w:color="auto" w:fill="auto"/>
            <w:vAlign w:val="center"/>
          </w:tcPr>
          <w:p>
            <w:pPr>
              <w:widowControl/>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SE</w:t>
            </w:r>
          </w:p>
        </w:tc>
        <w:tc>
          <w:tcPr>
            <w:tcW w:w="903" w:type="dxa"/>
            <w:shd w:val="clear" w:color="auto" w:fill="auto"/>
            <w:vAlign w:val="center"/>
          </w:tcPr>
          <w:p>
            <w:pPr>
              <w:widowControl/>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6.7</w:t>
            </w:r>
          </w:p>
        </w:tc>
        <w:tc>
          <w:tcPr>
            <w:tcW w:w="1168" w:type="dxa"/>
            <w:vAlign w:val="center"/>
          </w:tcPr>
          <w:p>
            <w:pPr>
              <w:widowControl/>
              <w:jc w:val="center"/>
              <w:rPr>
                <w:color w:val="000000" w:themeColor="text1"/>
                <w:kern w:val="0"/>
                <w:sz w:val="22"/>
                <w:szCs w:val="22"/>
                <w14:textFill>
                  <w14:solidFill>
                    <w14:schemeClr w14:val="tx1"/>
                  </w14:solidFill>
                </w14:textFill>
              </w:rPr>
            </w:pPr>
            <w:r>
              <w:rPr>
                <w:color w:val="000000" w:themeColor="text1"/>
                <w:kern w:val="0"/>
                <w:sz w:val="21"/>
                <w:szCs w:val="21"/>
                <w14:textFill>
                  <w14:solidFill>
                    <w14:schemeClr w14:val="tx1"/>
                  </w14:solidFill>
                </w14:textFill>
              </w:rPr>
              <w:t>水质、生态环境</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285" w:hRule="atLeast"/>
        </w:trPr>
        <w:tc>
          <w:tcPr>
            <w:tcW w:w="709" w:type="dxa"/>
            <w:vAlign w:val="center"/>
          </w:tcPr>
          <w:p>
            <w:pPr>
              <w:widowControl/>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4</w:t>
            </w:r>
          </w:p>
        </w:tc>
        <w:tc>
          <w:tcPr>
            <w:tcW w:w="709" w:type="dxa"/>
            <w:vMerge w:val="continue"/>
            <w:shd w:val="clear" w:color="auto" w:fill="auto"/>
            <w:vAlign w:val="center"/>
          </w:tcPr>
          <w:p>
            <w:pPr>
              <w:widowControl/>
              <w:jc w:val="center"/>
              <w:rPr>
                <w:color w:val="000000" w:themeColor="text1"/>
                <w:kern w:val="0"/>
                <w:sz w:val="21"/>
                <w:szCs w:val="21"/>
                <w14:textFill>
                  <w14:solidFill>
                    <w14:schemeClr w14:val="tx1"/>
                  </w14:solidFill>
                </w14:textFill>
              </w:rPr>
            </w:pPr>
          </w:p>
        </w:tc>
        <w:tc>
          <w:tcPr>
            <w:tcW w:w="2599" w:type="dxa"/>
            <w:shd w:val="clear" w:color="auto" w:fill="auto"/>
            <w:vAlign w:val="center"/>
          </w:tcPr>
          <w:p>
            <w:pPr>
              <w:widowControl/>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钦州市三娘湾重要滩涂及浅海水域红线区</w:t>
            </w:r>
          </w:p>
        </w:tc>
        <w:tc>
          <w:tcPr>
            <w:tcW w:w="1689" w:type="dxa"/>
            <w:vMerge w:val="continue"/>
            <w:vAlign w:val="center"/>
          </w:tcPr>
          <w:p>
            <w:pPr>
              <w:widowControl/>
              <w:jc w:val="center"/>
              <w:rPr>
                <w:color w:val="000000" w:themeColor="text1"/>
                <w:kern w:val="0"/>
                <w:sz w:val="21"/>
                <w:szCs w:val="21"/>
                <w14:textFill>
                  <w14:solidFill>
                    <w14:schemeClr w14:val="tx1"/>
                  </w14:solidFill>
                </w14:textFill>
              </w:rPr>
            </w:pPr>
          </w:p>
        </w:tc>
        <w:tc>
          <w:tcPr>
            <w:tcW w:w="751" w:type="dxa"/>
            <w:shd w:val="clear" w:color="auto" w:fill="auto"/>
            <w:vAlign w:val="center"/>
          </w:tcPr>
          <w:p>
            <w:pPr>
              <w:widowControl/>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SE</w:t>
            </w:r>
          </w:p>
        </w:tc>
        <w:tc>
          <w:tcPr>
            <w:tcW w:w="903" w:type="dxa"/>
            <w:shd w:val="clear" w:color="auto" w:fill="auto"/>
            <w:vAlign w:val="center"/>
          </w:tcPr>
          <w:p>
            <w:pPr>
              <w:widowControl/>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13.6</w:t>
            </w:r>
          </w:p>
        </w:tc>
        <w:tc>
          <w:tcPr>
            <w:tcW w:w="1168" w:type="dxa"/>
            <w:vAlign w:val="center"/>
          </w:tcPr>
          <w:p>
            <w:pPr>
              <w:widowControl/>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水质、生态环境</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285" w:hRule="atLeast"/>
        </w:trPr>
        <w:tc>
          <w:tcPr>
            <w:tcW w:w="709" w:type="dxa"/>
            <w:vAlign w:val="center"/>
          </w:tcPr>
          <w:p>
            <w:pPr>
              <w:widowControl/>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5</w:t>
            </w:r>
          </w:p>
        </w:tc>
        <w:tc>
          <w:tcPr>
            <w:tcW w:w="709" w:type="dxa"/>
            <w:vMerge w:val="restart"/>
            <w:shd w:val="clear" w:color="auto" w:fill="auto"/>
            <w:vAlign w:val="center"/>
          </w:tcPr>
          <w:p>
            <w:pPr>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海洋公园</w:t>
            </w:r>
          </w:p>
        </w:tc>
        <w:tc>
          <w:tcPr>
            <w:tcW w:w="2599" w:type="dxa"/>
            <w:shd w:val="clear" w:color="auto" w:fill="auto"/>
            <w:vAlign w:val="center"/>
          </w:tcPr>
          <w:p>
            <w:pPr>
              <w:widowControl/>
              <w:jc w:val="center"/>
              <w:rPr>
                <w:color w:val="000000" w:themeColor="text1"/>
                <w:kern w:val="0"/>
                <w:sz w:val="21"/>
                <w:szCs w:val="21"/>
                <w14:textFill>
                  <w14:solidFill>
                    <w14:schemeClr w14:val="tx1"/>
                  </w14:solidFill>
                </w14:textFill>
              </w:rPr>
            </w:pPr>
            <w:r>
              <w:rPr>
                <w:color w:val="000000" w:themeColor="text1"/>
                <w:sz w:val="21"/>
                <w:szCs w:val="21"/>
                <w14:textFill>
                  <w14:solidFill>
                    <w14:schemeClr w14:val="tx1"/>
                  </w14:solidFill>
                </w14:textFill>
              </w:rPr>
              <w:t>茅尾海国家级海洋公园</w:t>
            </w:r>
          </w:p>
        </w:tc>
        <w:tc>
          <w:tcPr>
            <w:tcW w:w="1689" w:type="dxa"/>
            <w:vAlign w:val="center"/>
          </w:tcPr>
          <w:p>
            <w:pPr>
              <w:widowControl/>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国家级</w:t>
            </w:r>
          </w:p>
        </w:tc>
        <w:tc>
          <w:tcPr>
            <w:tcW w:w="751" w:type="dxa"/>
            <w:shd w:val="clear" w:color="auto" w:fill="auto"/>
            <w:vAlign w:val="center"/>
          </w:tcPr>
          <w:p>
            <w:pPr>
              <w:widowControl/>
              <w:jc w:val="center"/>
              <w:rPr>
                <w:color w:val="000000" w:themeColor="text1"/>
                <w:kern w:val="0"/>
                <w:sz w:val="21"/>
                <w:szCs w:val="21"/>
                <w14:textFill>
                  <w14:solidFill>
                    <w14:schemeClr w14:val="tx1"/>
                  </w14:solidFill>
                </w14:textFill>
              </w:rPr>
            </w:pPr>
            <w:r>
              <w:rPr>
                <w:color w:val="000000" w:themeColor="text1"/>
                <w:sz w:val="21"/>
                <w:szCs w:val="21"/>
                <w14:textFill>
                  <w14:solidFill>
                    <w14:schemeClr w14:val="tx1"/>
                  </w14:solidFill>
                </w14:textFill>
              </w:rPr>
              <w:t>NNW</w:t>
            </w:r>
          </w:p>
        </w:tc>
        <w:tc>
          <w:tcPr>
            <w:tcW w:w="903" w:type="dxa"/>
            <w:shd w:val="clear" w:color="auto" w:fill="auto"/>
            <w:vAlign w:val="center"/>
          </w:tcPr>
          <w:p>
            <w:pPr>
              <w:widowControl/>
              <w:jc w:val="center"/>
              <w:rPr>
                <w:color w:val="000000" w:themeColor="text1"/>
                <w:kern w:val="0"/>
                <w:sz w:val="21"/>
                <w:szCs w:val="21"/>
                <w14:textFill>
                  <w14:solidFill>
                    <w14:schemeClr w14:val="tx1"/>
                  </w14:solidFill>
                </w14:textFill>
              </w:rPr>
            </w:pPr>
            <w:r>
              <w:rPr>
                <w:rFonts w:hint="eastAsia"/>
                <w:color w:val="000000" w:themeColor="text1"/>
                <w:sz w:val="21"/>
                <w:szCs w:val="21"/>
                <w14:textFill>
                  <w14:solidFill>
                    <w14:schemeClr w14:val="tx1"/>
                  </w14:solidFill>
                </w14:textFill>
              </w:rPr>
              <w:t>17.5</w:t>
            </w:r>
          </w:p>
        </w:tc>
        <w:tc>
          <w:tcPr>
            <w:tcW w:w="1168" w:type="dxa"/>
            <w:vAlign w:val="center"/>
          </w:tcPr>
          <w:p>
            <w:pPr>
              <w:widowControl/>
              <w:jc w:val="center"/>
              <w:rPr>
                <w:color w:val="000000" w:themeColor="text1"/>
                <w:kern w:val="0"/>
                <w:sz w:val="21"/>
                <w:szCs w:val="21"/>
                <w14:textFill>
                  <w14:solidFill>
                    <w14:schemeClr w14:val="tx1"/>
                  </w14:solidFill>
                </w14:textFill>
              </w:rPr>
            </w:pPr>
            <w:r>
              <w:rPr>
                <w:rFonts w:hint="eastAsia"/>
                <w:color w:val="000000" w:themeColor="text1"/>
                <w:sz w:val="21"/>
                <w:szCs w:val="21"/>
                <w14:textFill>
                  <w14:solidFill>
                    <w14:schemeClr w14:val="tx1"/>
                  </w14:solidFill>
                </w14:textFill>
              </w:rPr>
              <w:t>水质、红树林生态</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285" w:hRule="atLeast"/>
        </w:trPr>
        <w:tc>
          <w:tcPr>
            <w:tcW w:w="709" w:type="dxa"/>
            <w:vAlign w:val="center"/>
          </w:tcPr>
          <w:p>
            <w:pPr>
              <w:widowControl/>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6</w:t>
            </w:r>
          </w:p>
        </w:tc>
        <w:tc>
          <w:tcPr>
            <w:tcW w:w="709" w:type="dxa"/>
            <w:vMerge w:val="continue"/>
            <w:shd w:val="clear" w:color="auto" w:fill="auto"/>
            <w:vAlign w:val="center"/>
          </w:tcPr>
          <w:p>
            <w:pPr>
              <w:widowControl/>
              <w:jc w:val="center"/>
              <w:rPr>
                <w:color w:val="000000" w:themeColor="text1"/>
                <w:kern w:val="0"/>
                <w:sz w:val="21"/>
                <w:szCs w:val="21"/>
                <w14:textFill>
                  <w14:solidFill>
                    <w14:schemeClr w14:val="tx1"/>
                  </w14:solidFill>
                </w14:textFill>
              </w:rPr>
            </w:pPr>
          </w:p>
        </w:tc>
        <w:tc>
          <w:tcPr>
            <w:tcW w:w="2599" w:type="dxa"/>
            <w:shd w:val="clear" w:color="auto" w:fill="auto"/>
            <w:vAlign w:val="center"/>
          </w:tcPr>
          <w:p>
            <w:pPr>
              <w:widowControl/>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广西钦州中华白海豚自治区级海洋公园</w:t>
            </w:r>
          </w:p>
        </w:tc>
        <w:tc>
          <w:tcPr>
            <w:tcW w:w="1689" w:type="dxa"/>
            <w:vAlign w:val="center"/>
          </w:tcPr>
          <w:p>
            <w:pPr>
              <w:widowControl/>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自治区级</w:t>
            </w:r>
          </w:p>
        </w:tc>
        <w:tc>
          <w:tcPr>
            <w:tcW w:w="751" w:type="dxa"/>
            <w:shd w:val="clear" w:color="auto" w:fill="auto"/>
            <w:vAlign w:val="center"/>
          </w:tcPr>
          <w:p>
            <w:pPr>
              <w:widowControl/>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SE</w:t>
            </w:r>
          </w:p>
        </w:tc>
        <w:tc>
          <w:tcPr>
            <w:tcW w:w="903" w:type="dxa"/>
            <w:shd w:val="clear" w:color="auto" w:fill="auto"/>
            <w:vAlign w:val="center"/>
          </w:tcPr>
          <w:p>
            <w:pPr>
              <w:widowControl/>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19.65</w:t>
            </w:r>
          </w:p>
        </w:tc>
        <w:tc>
          <w:tcPr>
            <w:tcW w:w="1168" w:type="dxa"/>
            <w:vAlign w:val="center"/>
          </w:tcPr>
          <w:p>
            <w:pPr>
              <w:widowControl/>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水质、白海豚资源</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634" w:hRule="atLeast"/>
        </w:trPr>
        <w:tc>
          <w:tcPr>
            <w:tcW w:w="709" w:type="dxa"/>
            <w:tcBorders>
              <w:bottom w:val="single" w:color="auto" w:sz="6" w:space="0"/>
            </w:tcBorders>
            <w:vAlign w:val="center"/>
          </w:tcPr>
          <w:p>
            <w:pPr>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7</w:t>
            </w:r>
          </w:p>
        </w:tc>
        <w:tc>
          <w:tcPr>
            <w:tcW w:w="709" w:type="dxa"/>
            <w:vMerge w:val="restart"/>
            <w:shd w:val="clear" w:color="auto" w:fill="auto"/>
            <w:vAlign w:val="center"/>
          </w:tcPr>
          <w:p>
            <w:pPr>
              <w:widowControl/>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海洋保护区</w:t>
            </w:r>
          </w:p>
        </w:tc>
        <w:tc>
          <w:tcPr>
            <w:tcW w:w="2599" w:type="dxa"/>
            <w:tcBorders>
              <w:bottom w:val="single" w:color="auto" w:sz="6" w:space="0"/>
            </w:tcBorders>
            <w:shd w:val="clear" w:color="auto" w:fill="auto"/>
            <w:vAlign w:val="center"/>
          </w:tcPr>
          <w:p>
            <w:pPr>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三娘湾生态保护区</w:t>
            </w:r>
          </w:p>
        </w:tc>
        <w:tc>
          <w:tcPr>
            <w:tcW w:w="1689" w:type="dxa"/>
            <w:vMerge w:val="restart"/>
            <w:vAlign w:val="center"/>
          </w:tcPr>
          <w:p>
            <w:pPr>
              <w:widowControl/>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《钦州市国土空间总体规划（2021—2035年）》市域海洋功能分区</w:t>
            </w:r>
          </w:p>
        </w:tc>
        <w:tc>
          <w:tcPr>
            <w:tcW w:w="751" w:type="dxa"/>
            <w:tcBorders>
              <w:bottom w:val="single" w:color="auto" w:sz="6" w:space="0"/>
            </w:tcBorders>
            <w:shd w:val="clear" w:color="auto" w:fill="auto"/>
            <w:vAlign w:val="center"/>
          </w:tcPr>
          <w:p>
            <w:pPr>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NE</w:t>
            </w:r>
          </w:p>
        </w:tc>
        <w:tc>
          <w:tcPr>
            <w:tcW w:w="903" w:type="dxa"/>
            <w:tcBorders>
              <w:bottom w:val="single" w:color="auto" w:sz="6" w:space="0"/>
            </w:tcBorders>
            <w:shd w:val="clear" w:color="auto" w:fill="auto"/>
            <w:vAlign w:val="center"/>
          </w:tcPr>
          <w:p>
            <w:pPr>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5.8</w:t>
            </w:r>
          </w:p>
        </w:tc>
        <w:tc>
          <w:tcPr>
            <w:tcW w:w="1168" w:type="dxa"/>
            <w:vMerge w:val="restart"/>
            <w:vAlign w:val="center"/>
          </w:tcPr>
          <w:p>
            <w:pPr>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海洋景观、岸滩、海岸生态、自然资源</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285" w:hRule="atLeast"/>
        </w:trPr>
        <w:tc>
          <w:tcPr>
            <w:tcW w:w="709" w:type="dxa"/>
            <w:vAlign w:val="center"/>
          </w:tcPr>
          <w:p>
            <w:pPr>
              <w:widowControl/>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8</w:t>
            </w:r>
          </w:p>
        </w:tc>
        <w:tc>
          <w:tcPr>
            <w:tcW w:w="709" w:type="dxa"/>
            <w:vMerge w:val="continue"/>
            <w:shd w:val="clear" w:color="auto" w:fill="auto"/>
            <w:vAlign w:val="center"/>
          </w:tcPr>
          <w:p>
            <w:pPr>
              <w:widowControl/>
              <w:jc w:val="center"/>
              <w:rPr>
                <w:color w:val="000000" w:themeColor="text1"/>
                <w:kern w:val="0"/>
                <w:sz w:val="21"/>
                <w:szCs w:val="21"/>
                <w14:textFill>
                  <w14:solidFill>
                    <w14:schemeClr w14:val="tx1"/>
                  </w14:solidFill>
                </w14:textFill>
              </w:rPr>
            </w:pPr>
          </w:p>
        </w:tc>
        <w:tc>
          <w:tcPr>
            <w:tcW w:w="2599" w:type="dxa"/>
            <w:shd w:val="clear" w:color="auto" w:fill="auto"/>
            <w:vAlign w:val="center"/>
          </w:tcPr>
          <w:p>
            <w:pPr>
              <w:widowControl/>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三娘湾南部生态控制区</w:t>
            </w:r>
          </w:p>
        </w:tc>
        <w:tc>
          <w:tcPr>
            <w:tcW w:w="1689" w:type="dxa"/>
            <w:vMerge w:val="continue"/>
            <w:vAlign w:val="center"/>
          </w:tcPr>
          <w:p>
            <w:pPr>
              <w:widowControl/>
              <w:jc w:val="center"/>
              <w:rPr>
                <w:color w:val="000000" w:themeColor="text1"/>
                <w:kern w:val="0"/>
                <w:sz w:val="21"/>
                <w:szCs w:val="21"/>
                <w14:textFill>
                  <w14:solidFill>
                    <w14:schemeClr w14:val="tx1"/>
                  </w14:solidFill>
                </w14:textFill>
              </w:rPr>
            </w:pPr>
          </w:p>
        </w:tc>
        <w:tc>
          <w:tcPr>
            <w:tcW w:w="751" w:type="dxa"/>
            <w:shd w:val="clear" w:color="auto" w:fill="auto"/>
            <w:vAlign w:val="center"/>
          </w:tcPr>
          <w:p>
            <w:pPr>
              <w:widowControl/>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NE</w:t>
            </w:r>
          </w:p>
        </w:tc>
        <w:tc>
          <w:tcPr>
            <w:tcW w:w="903" w:type="dxa"/>
            <w:shd w:val="clear" w:color="auto" w:fill="auto"/>
            <w:vAlign w:val="center"/>
          </w:tcPr>
          <w:p>
            <w:pPr>
              <w:widowControl/>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6.2</w:t>
            </w:r>
          </w:p>
        </w:tc>
        <w:tc>
          <w:tcPr>
            <w:tcW w:w="1168" w:type="dxa"/>
            <w:vMerge w:val="continue"/>
            <w:vAlign w:val="center"/>
          </w:tcPr>
          <w:p>
            <w:pPr>
              <w:widowControl/>
              <w:jc w:val="center"/>
              <w:rPr>
                <w:color w:val="000000" w:themeColor="text1"/>
                <w:kern w:val="0"/>
                <w:sz w:val="21"/>
                <w:szCs w:val="21"/>
                <w14:textFill>
                  <w14:solidFill>
                    <w14:schemeClr w14:val="tx1"/>
                  </w14:solidFill>
                </w14:textFill>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285" w:hRule="atLeast"/>
        </w:trPr>
        <w:tc>
          <w:tcPr>
            <w:tcW w:w="709" w:type="dxa"/>
            <w:vAlign w:val="center"/>
          </w:tcPr>
          <w:p>
            <w:pPr>
              <w:widowControl/>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9</w:t>
            </w:r>
          </w:p>
        </w:tc>
        <w:tc>
          <w:tcPr>
            <w:tcW w:w="709" w:type="dxa"/>
            <w:vMerge w:val="continue"/>
            <w:shd w:val="clear" w:color="auto" w:fill="auto"/>
            <w:vAlign w:val="center"/>
          </w:tcPr>
          <w:p>
            <w:pPr>
              <w:widowControl/>
              <w:jc w:val="center"/>
              <w:rPr>
                <w:color w:val="000000" w:themeColor="text1"/>
                <w:kern w:val="0"/>
                <w:sz w:val="21"/>
                <w:szCs w:val="21"/>
                <w14:textFill>
                  <w14:solidFill>
                    <w14:schemeClr w14:val="tx1"/>
                  </w14:solidFill>
                </w14:textFill>
              </w:rPr>
            </w:pPr>
          </w:p>
        </w:tc>
        <w:tc>
          <w:tcPr>
            <w:tcW w:w="2599" w:type="dxa"/>
            <w:shd w:val="clear" w:color="auto" w:fill="auto"/>
            <w:vAlign w:val="center"/>
          </w:tcPr>
          <w:p>
            <w:pPr>
              <w:widowControl/>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茅尾海生态保护区</w:t>
            </w:r>
          </w:p>
        </w:tc>
        <w:tc>
          <w:tcPr>
            <w:tcW w:w="1689" w:type="dxa"/>
            <w:vMerge w:val="continue"/>
            <w:vAlign w:val="center"/>
          </w:tcPr>
          <w:p>
            <w:pPr>
              <w:widowControl/>
              <w:jc w:val="center"/>
              <w:rPr>
                <w:color w:val="000000" w:themeColor="text1"/>
                <w:kern w:val="0"/>
                <w:sz w:val="21"/>
                <w:szCs w:val="21"/>
                <w14:textFill>
                  <w14:solidFill>
                    <w14:schemeClr w14:val="tx1"/>
                  </w14:solidFill>
                </w14:textFill>
              </w:rPr>
            </w:pPr>
          </w:p>
        </w:tc>
        <w:tc>
          <w:tcPr>
            <w:tcW w:w="751" w:type="dxa"/>
            <w:shd w:val="clear" w:color="auto" w:fill="auto"/>
            <w:vAlign w:val="center"/>
          </w:tcPr>
          <w:p>
            <w:pPr>
              <w:widowControl/>
              <w:jc w:val="center"/>
              <w:rPr>
                <w:color w:val="000000" w:themeColor="text1"/>
                <w:kern w:val="0"/>
                <w:sz w:val="21"/>
                <w:szCs w:val="21"/>
                <w14:textFill>
                  <w14:solidFill>
                    <w14:schemeClr w14:val="tx1"/>
                  </w14:solidFill>
                </w14:textFill>
              </w:rPr>
            </w:pPr>
            <w:r>
              <w:rPr>
                <w:color w:val="000000" w:themeColor="text1"/>
                <w:sz w:val="21"/>
                <w:szCs w:val="21"/>
                <w14:textFill>
                  <w14:solidFill>
                    <w14:schemeClr w14:val="tx1"/>
                  </w14:solidFill>
                </w14:textFill>
              </w:rPr>
              <w:t>NW</w:t>
            </w:r>
          </w:p>
        </w:tc>
        <w:tc>
          <w:tcPr>
            <w:tcW w:w="903" w:type="dxa"/>
            <w:shd w:val="clear" w:color="auto" w:fill="auto"/>
            <w:vAlign w:val="center"/>
          </w:tcPr>
          <w:p>
            <w:pPr>
              <w:widowControl/>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15.9</w:t>
            </w:r>
          </w:p>
        </w:tc>
        <w:tc>
          <w:tcPr>
            <w:tcW w:w="1168" w:type="dxa"/>
            <w:vMerge w:val="continue"/>
            <w:vAlign w:val="center"/>
          </w:tcPr>
          <w:p>
            <w:pPr>
              <w:widowControl/>
              <w:jc w:val="center"/>
              <w:rPr>
                <w:color w:val="000000" w:themeColor="text1"/>
                <w:kern w:val="0"/>
                <w:sz w:val="21"/>
                <w:szCs w:val="21"/>
                <w14:textFill>
                  <w14:solidFill>
                    <w14:schemeClr w14:val="tx1"/>
                  </w14:solidFill>
                </w14:textFill>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285" w:hRule="atLeast"/>
        </w:trPr>
        <w:tc>
          <w:tcPr>
            <w:tcW w:w="709" w:type="dxa"/>
            <w:vAlign w:val="center"/>
          </w:tcPr>
          <w:p>
            <w:pPr>
              <w:widowControl/>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10</w:t>
            </w:r>
          </w:p>
        </w:tc>
        <w:tc>
          <w:tcPr>
            <w:tcW w:w="709" w:type="dxa"/>
            <w:vMerge w:val="continue"/>
            <w:shd w:val="clear" w:color="auto" w:fill="auto"/>
            <w:vAlign w:val="center"/>
          </w:tcPr>
          <w:p>
            <w:pPr>
              <w:widowControl/>
              <w:jc w:val="center"/>
              <w:rPr>
                <w:color w:val="000000" w:themeColor="text1"/>
                <w:kern w:val="0"/>
                <w:sz w:val="21"/>
                <w:szCs w:val="21"/>
                <w14:textFill>
                  <w14:solidFill>
                    <w14:schemeClr w14:val="tx1"/>
                  </w14:solidFill>
                </w14:textFill>
              </w:rPr>
            </w:pPr>
          </w:p>
        </w:tc>
        <w:tc>
          <w:tcPr>
            <w:tcW w:w="2599" w:type="dxa"/>
            <w:shd w:val="clear" w:color="auto" w:fill="auto"/>
            <w:vAlign w:val="center"/>
          </w:tcPr>
          <w:p>
            <w:pPr>
              <w:widowControl/>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广西红树湾自治区级湿地公园</w:t>
            </w:r>
          </w:p>
        </w:tc>
        <w:tc>
          <w:tcPr>
            <w:tcW w:w="1689" w:type="dxa"/>
            <w:vMerge w:val="continue"/>
            <w:vAlign w:val="center"/>
          </w:tcPr>
          <w:p>
            <w:pPr>
              <w:widowControl/>
              <w:jc w:val="center"/>
              <w:rPr>
                <w:color w:val="000000" w:themeColor="text1"/>
                <w:kern w:val="0"/>
                <w:sz w:val="21"/>
                <w:szCs w:val="21"/>
                <w14:textFill>
                  <w14:solidFill>
                    <w14:schemeClr w14:val="tx1"/>
                  </w14:solidFill>
                </w14:textFill>
              </w:rPr>
            </w:pPr>
          </w:p>
        </w:tc>
        <w:tc>
          <w:tcPr>
            <w:tcW w:w="751" w:type="dxa"/>
            <w:shd w:val="clear" w:color="auto" w:fill="auto"/>
            <w:vAlign w:val="center"/>
          </w:tcPr>
          <w:p>
            <w:pPr>
              <w:widowControl/>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NNW</w:t>
            </w:r>
          </w:p>
        </w:tc>
        <w:tc>
          <w:tcPr>
            <w:tcW w:w="903" w:type="dxa"/>
            <w:shd w:val="clear" w:color="auto" w:fill="auto"/>
            <w:vAlign w:val="center"/>
          </w:tcPr>
          <w:p>
            <w:pPr>
              <w:widowControl/>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11.47</w:t>
            </w:r>
          </w:p>
        </w:tc>
        <w:tc>
          <w:tcPr>
            <w:tcW w:w="1168" w:type="dxa"/>
            <w:vMerge w:val="continue"/>
            <w:vAlign w:val="center"/>
          </w:tcPr>
          <w:p>
            <w:pPr>
              <w:widowControl/>
              <w:jc w:val="center"/>
              <w:rPr>
                <w:color w:val="000000" w:themeColor="text1"/>
                <w:kern w:val="0"/>
                <w:sz w:val="21"/>
                <w:szCs w:val="21"/>
                <w14:textFill>
                  <w14:solidFill>
                    <w14:schemeClr w14:val="tx1"/>
                  </w14:solidFill>
                </w14:textFill>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285" w:hRule="atLeast"/>
        </w:trPr>
        <w:tc>
          <w:tcPr>
            <w:tcW w:w="709" w:type="dxa"/>
            <w:vAlign w:val="center"/>
          </w:tcPr>
          <w:p>
            <w:pPr>
              <w:widowControl/>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11</w:t>
            </w:r>
          </w:p>
        </w:tc>
        <w:tc>
          <w:tcPr>
            <w:tcW w:w="709" w:type="dxa"/>
            <w:vMerge w:val="restart"/>
            <w:shd w:val="clear" w:color="auto" w:fill="auto"/>
            <w:vAlign w:val="center"/>
          </w:tcPr>
          <w:p>
            <w:pPr>
              <w:widowControl/>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红树林分布区</w:t>
            </w:r>
          </w:p>
        </w:tc>
        <w:tc>
          <w:tcPr>
            <w:tcW w:w="2599" w:type="dxa"/>
            <w:shd w:val="clear" w:color="auto" w:fill="auto"/>
            <w:vAlign w:val="center"/>
          </w:tcPr>
          <w:p>
            <w:pPr>
              <w:widowControl/>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金鼓江</w:t>
            </w:r>
            <w:r>
              <w:rPr>
                <w:color w:val="000000" w:themeColor="text1"/>
                <w:kern w:val="0"/>
                <w:sz w:val="21"/>
                <w:szCs w:val="21"/>
                <w14:textFill>
                  <w14:solidFill>
                    <w14:schemeClr w14:val="tx1"/>
                  </w14:solidFill>
                </w14:textFill>
              </w:rPr>
              <w:t>红树林集中分布区</w:t>
            </w:r>
          </w:p>
        </w:tc>
        <w:tc>
          <w:tcPr>
            <w:tcW w:w="1689" w:type="dxa"/>
            <w:vAlign w:val="center"/>
          </w:tcPr>
          <w:p>
            <w:pPr>
              <w:widowControl/>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w:t>
            </w:r>
          </w:p>
        </w:tc>
        <w:tc>
          <w:tcPr>
            <w:tcW w:w="751" w:type="dxa"/>
            <w:shd w:val="clear" w:color="auto" w:fill="auto"/>
            <w:vAlign w:val="center"/>
          </w:tcPr>
          <w:p>
            <w:pPr>
              <w:widowControl/>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N</w:t>
            </w:r>
          </w:p>
        </w:tc>
        <w:tc>
          <w:tcPr>
            <w:tcW w:w="903" w:type="dxa"/>
            <w:shd w:val="clear" w:color="auto" w:fill="auto"/>
            <w:vAlign w:val="center"/>
          </w:tcPr>
          <w:p>
            <w:pPr>
              <w:widowControl/>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9.6</w:t>
            </w:r>
          </w:p>
        </w:tc>
        <w:tc>
          <w:tcPr>
            <w:tcW w:w="1168" w:type="dxa"/>
            <w:vMerge w:val="restart"/>
            <w:vAlign w:val="center"/>
          </w:tcPr>
          <w:p>
            <w:pPr>
              <w:widowControl/>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水质、生态环境、红树林及其生态系统</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62" w:hRule="atLeast"/>
        </w:trPr>
        <w:tc>
          <w:tcPr>
            <w:tcW w:w="709" w:type="dxa"/>
            <w:vAlign w:val="center"/>
          </w:tcPr>
          <w:p>
            <w:pPr>
              <w:widowControl/>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12</w:t>
            </w:r>
          </w:p>
        </w:tc>
        <w:tc>
          <w:tcPr>
            <w:tcW w:w="709" w:type="dxa"/>
            <w:vMerge w:val="continue"/>
            <w:shd w:val="clear" w:color="auto" w:fill="auto"/>
            <w:vAlign w:val="center"/>
          </w:tcPr>
          <w:p>
            <w:pPr>
              <w:widowControl/>
              <w:jc w:val="center"/>
              <w:rPr>
                <w:color w:val="000000" w:themeColor="text1"/>
                <w:kern w:val="0"/>
                <w:sz w:val="21"/>
                <w:szCs w:val="21"/>
                <w14:textFill>
                  <w14:solidFill>
                    <w14:schemeClr w14:val="tx1"/>
                  </w14:solidFill>
                </w14:textFill>
              </w:rPr>
            </w:pPr>
          </w:p>
        </w:tc>
        <w:tc>
          <w:tcPr>
            <w:tcW w:w="2599" w:type="dxa"/>
            <w:shd w:val="clear" w:color="auto" w:fill="auto"/>
            <w:vAlign w:val="center"/>
          </w:tcPr>
          <w:p>
            <w:pPr>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鹿耳环江红树林</w:t>
            </w:r>
            <w:r>
              <w:rPr>
                <w:rFonts w:hint="eastAsia"/>
                <w:color w:val="000000" w:themeColor="text1"/>
                <w:kern w:val="0"/>
                <w:sz w:val="21"/>
                <w:szCs w:val="21"/>
                <w14:textFill>
                  <w14:solidFill>
                    <w14:schemeClr w14:val="tx1"/>
                  </w14:solidFill>
                </w14:textFill>
              </w:rPr>
              <w:t>集中分布区</w:t>
            </w:r>
          </w:p>
        </w:tc>
        <w:tc>
          <w:tcPr>
            <w:tcW w:w="1689" w:type="dxa"/>
            <w:vAlign w:val="center"/>
          </w:tcPr>
          <w:p>
            <w:pPr>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w:t>
            </w:r>
          </w:p>
        </w:tc>
        <w:tc>
          <w:tcPr>
            <w:tcW w:w="751" w:type="dxa"/>
            <w:shd w:val="clear" w:color="auto" w:fill="auto"/>
            <w:vAlign w:val="center"/>
          </w:tcPr>
          <w:p>
            <w:pPr>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NE</w:t>
            </w:r>
          </w:p>
        </w:tc>
        <w:tc>
          <w:tcPr>
            <w:tcW w:w="903" w:type="dxa"/>
            <w:shd w:val="clear" w:color="auto" w:fill="auto"/>
            <w:vAlign w:val="center"/>
          </w:tcPr>
          <w:p>
            <w:pPr>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6.3</w:t>
            </w:r>
          </w:p>
        </w:tc>
        <w:tc>
          <w:tcPr>
            <w:tcW w:w="1168" w:type="dxa"/>
            <w:vMerge w:val="continue"/>
            <w:vAlign w:val="center"/>
          </w:tcPr>
          <w:p>
            <w:pPr>
              <w:widowControl/>
              <w:jc w:val="center"/>
              <w:rPr>
                <w:color w:val="000000" w:themeColor="text1"/>
                <w:kern w:val="0"/>
                <w:sz w:val="21"/>
                <w:szCs w:val="21"/>
                <w14:textFill>
                  <w14:solidFill>
                    <w14:schemeClr w14:val="tx1"/>
                  </w14:solidFill>
                </w14:textFill>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62" w:hRule="atLeast"/>
        </w:trPr>
        <w:tc>
          <w:tcPr>
            <w:tcW w:w="709" w:type="dxa"/>
            <w:vAlign w:val="center"/>
          </w:tcPr>
          <w:p>
            <w:pPr>
              <w:widowControl/>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13</w:t>
            </w:r>
          </w:p>
        </w:tc>
        <w:tc>
          <w:tcPr>
            <w:tcW w:w="709" w:type="dxa"/>
            <w:vMerge w:val="restart"/>
            <w:shd w:val="clear" w:color="auto" w:fill="auto"/>
            <w:vAlign w:val="center"/>
          </w:tcPr>
          <w:p>
            <w:pPr>
              <w:widowControl/>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自然保护区</w:t>
            </w:r>
          </w:p>
        </w:tc>
        <w:tc>
          <w:tcPr>
            <w:tcW w:w="2599" w:type="dxa"/>
            <w:shd w:val="clear" w:color="auto" w:fill="auto"/>
            <w:vAlign w:val="center"/>
          </w:tcPr>
          <w:p>
            <w:pPr>
              <w:jc w:val="center"/>
              <w:rPr>
                <w:color w:val="000000" w:themeColor="text1"/>
                <w:kern w:val="0"/>
                <w:sz w:val="21"/>
                <w:szCs w:val="21"/>
                <w14:textFill>
                  <w14:solidFill>
                    <w14:schemeClr w14:val="tx1"/>
                  </w14:solidFill>
                </w14:textFill>
              </w:rPr>
            </w:pPr>
            <w:r>
              <w:rPr>
                <w:rFonts w:hint="eastAsia"/>
                <w:color w:val="000000" w:themeColor="text1"/>
                <w:sz w:val="21"/>
                <w:szCs w:val="21"/>
                <w14:textFill>
                  <w14:solidFill>
                    <w14:schemeClr w14:val="tx1"/>
                  </w14:solidFill>
                </w14:textFill>
              </w:rPr>
              <w:t>广西茅尾海红树林自治区级自然保护区（七十二泾片）</w:t>
            </w:r>
          </w:p>
        </w:tc>
        <w:tc>
          <w:tcPr>
            <w:tcW w:w="1689" w:type="dxa"/>
            <w:vMerge w:val="restart"/>
            <w:vAlign w:val="center"/>
          </w:tcPr>
          <w:p>
            <w:pPr>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自治区级</w:t>
            </w:r>
          </w:p>
        </w:tc>
        <w:tc>
          <w:tcPr>
            <w:tcW w:w="751" w:type="dxa"/>
            <w:shd w:val="clear" w:color="auto" w:fill="auto"/>
            <w:vAlign w:val="center"/>
          </w:tcPr>
          <w:p>
            <w:pPr>
              <w:jc w:val="center"/>
              <w:rPr>
                <w:color w:val="000000" w:themeColor="text1"/>
                <w:kern w:val="0"/>
                <w:sz w:val="21"/>
                <w:szCs w:val="21"/>
                <w14:textFill>
                  <w14:solidFill>
                    <w14:schemeClr w14:val="tx1"/>
                  </w14:solidFill>
                </w14:textFill>
              </w:rPr>
            </w:pPr>
            <w:r>
              <w:rPr>
                <w:color w:val="000000" w:themeColor="text1"/>
                <w:sz w:val="21"/>
                <w:szCs w:val="21"/>
                <w14:textFill>
                  <w14:solidFill>
                    <w14:schemeClr w14:val="tx1"/>
                  </w14:solidFill>
                </w14:textFill>
              </w:rPr>
              <w:t>NNW</w:t>
            </w:r>
          </w:p>
        </w:tc>
        <w:tc>
          <w:tcPr>
            <w:tcW w:w="903" w:type="dxa"/>
            <w:shd w:val="clear" w:color="auto" w:fill="auto"/>
            <w:vAlign w:val="center"/>
          </w:tcPr>
          <w:p>
            <w:pPr>
              <w:jc w:val="center"/>
              <w:rPr>
                <w:color w:val="000000" w:themeColor="text1"/>
                <w:kern w:val="0"/>
                <w:sz w:val="21"/>
                <w:szCs w:val="21"/>
                <w14:textFill>
                  <w14:solidFill>
                    <w14:schemeClr w14:val="tx1"/>
                  </w14:solidFill>
                </w14:textFill>
              </w:rPr>
            </w:pPr>
            <w:r>
              <w:rPr>
                <w:rFonts w:hint="eastAsia"/>
                <w:color w:val="000000" w:themeColor="text1"/>
                <w:sz w:val="21"/>
                <w:szCs w:val="21"/>
                <w14:textFill>
                  <w14:solidFill>
                    <w14:schemeClr w14:val="tx1"/>
                  </w14:solidFill>
                </w14:textFill>
              </w:rPr>
              <w:t>10.6</w:t>
            </w:r>
          </w:p>
        </w:tc>
        <w:tc>
          <w:tcPr>
            <w:tcW w:w="1168" w:type="dxa"/>
            <w:vMerge w:val="restart"/>
            <w:vAlign w:val="center"/>
          </w:tcPr>
          <w:p>
            <w:pPr>
              <w:widowControl/>
              <w:jc w:val="center"/>
              <w:rPr>
                <w:color w:val="000000" w:themeColor="text1"/>
                <w:kern w:val="0"/>
                <w:sz w:val="21"/>
                <w:szCs w:val="21"/>
                <w14:textFill>
                  <w14:solidFill>
                    <w14:schemeClr w14:val="tx1"/>
                  </w14:solidFill>
                </w14:textFill>
              </w:rPr>
            </w:pPr>
            <w:r>
              <w:rPr>
                <w:rFonts w:hint="eastAsia"/>
                <w:color w:val="000000" w:themeColor="text1"/>
                <w:sz w:val="21"/>
                <w:szCs w:val="21"/>
                <w14:textFill>
                  <w14:solidFill>
                    <w14:schemeClr w14:val="tx1"/>
                  </w14:solidFill>
                </w14:textFill>
              </w:rPr>
              <w:t>水质、红树林生态</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62" w:hRule="atLeast"/>
        </w:trPr>
        <w:tc>
          <w:tcPr>
            <w:tcW w:w="709" w:type="dxa"/>
            <w:vAlign w:val="center"/>
          </w:tcPr>
          <w:p>
            <w:pPr>
              <w:widowControl/>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14</w:t>
            </w:r>
          </w:p>
        </w:tc>
        <w:tc>
          <w:tcPr>
            <w:tcW w:w="709" w:type="dxa"/>
            <w:vMerge w:val="continue"/>
            <w:shd w:val="clear" w:color="auto" w:fill="auto"/>
            <w:vAlign w:val="center"/>
          </w:tcPr>
          <w:p>
            <w:pPr>
              <w:widowControl/>
              <w:jc w:val="center"/>
              <w:rPr>
                <w:color w:val="000000" w:themeColor="text1"/>
                <w:kern w:val="0"/>
                <w:sz w:val="21"/>
                <w:szCs w:val="21"/>
                <w14:textFill>
                  <w14:solidFill>
                    <w14:schemeClr w14:val="tx1"/>
                  </w14:solidFill>
                </w14:textFill>
              </w:rPr>
            </w:pPr>
          </w:p>
        </w:tc>
        <w:tc>
          <w:tcPr>
            <w:tcW w:w="2599" w:type="dxa"/>
            <w:shd w:val="clear" w:color="auto" w:fill="auto"/>
            <w:vAlign w:val="center"/>
          </w:tcPr>
          <w:p>
            <w:pPr>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广西茅尾海红树林自治区级自然保护区（茅尾海片）</w:t>
            </w:r>
          </w:p>
        </w:tc>
        <w:tc>
          <w:tcPr>
            <w:tcW w:w="1689" w:type="dxa"/>
            <w:vMerge w:val="continue"/>
            <w:vAlign w:val="center"/>
          </w:tcPr>
          <w:p>
            <w:pPr>
              <w:jc w:val="center"/>
              <w:rPr>
                <w:color w:val="000000" w:themeColor="text1"/>
                <w:kern w:val="0"/>
                <w:sz w:val="21"/>
                <w:szCs w:val="21"/>
                <w14:textFill>
                  <w14:solidFill>
                    <w14:schemeClr w14:val="tx1"/>
                  </w14:solidFill>
                </w14:textFill>
              </w:rPr>
            </w:pPr>
          </w:p>
        </w:tc>
        <w:tc>
          <w:tcPr>
            <w:tcW w:w="751" w:type="dxa"/>
            <w:shd w:val="clear" w:color="auto" w:fill="auto"/>
            <w:vAlign w:val="center"/>
          </w:tcPr>
          <w:p>
            <w:pPr>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NW</w:t>
            </w:r>
          </w:p>
        </w:tc>
        <w:tc>
          <w:tcPr>
            <w:tcW w:w="903" w:type="dxa"/>
            <w:shd w:val="clear" w:color="auto" w:fill="auto"/>
            <w:vAlign w:val="center"/>
          </w:tcPr>
          <w:p>
            <w:pPr>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25.0</w:t>
            </w:r>
          </w:p>
        </w:tc>
        <w:tc>
          <w:tcPr>
            <w:tcW w:w="1168" w:type="dxa"/>
            <w:vMerge w:val="continue"/>
            <w:vAlign w:val="center"/>
          </w:tcPr>
          <w:p>
            <w:pPr>
              <w:widowControl/>
              <w:jc w:val="center"/>
              <w:rPr>
                <w:color w:val="000000" w:themeColor="text1"/>
                <w:sz w:val="21"/>
                <w:szCs w:val="21"/>
                <w14:textFill>
                  <w14:solidFill>
                    <w14:schemeClr w14:val="tx1"/>
                  </w14:solidFill>
                </w14:textFill>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62" w:hRule="atLeast"/>
        </w:trPr>
        <w:tc>
          <w:tcPr>
            <w:tcW w:w="709" w:type="dxa"/>
            <w:vAlign w:val="center"/>
          </w:tcPr>
          <w:p>
            <w:pPr>
              <w:widowControl/>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15</w:t>
            </w:r>
          </w:p>
        </w:tc>
        <w:tc>
          <w:tcPr>
            <w:tcW w:w="709" w:type="dxa"/>
            <w:shd w:val="clear" w:color="auto" w:fill="auto"/>
            <w:vAlign w:val="center"/>
          </w:tcPr>
          <w:p>
            <w:pPr>
              <w:widowControl/>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种质资源保护区</w:t>
            </w:r>
          </w:p>
        </w:tc>
        <w:tc>
          <w:tcPr>
            <w:tcW w:w="2599" w:type="dxa"/>
            <w:shd w:val="clear" w:color="auto" w:fill="auto"/>
            <w:vAlign w:val="center"/>
          </w:tcPr>
          <w:p>
            <w:pPr>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北部湾二长棘鲷长毛对虾国家级种质资源保护区（实验区）</w:t>
            </w:r>
          </w:p>
        </w:tc>
        <w:tc>
          <w:tcPr>
            <w:tcW w:w="1689" w:type="dxa"/>
            <w:vAlign w:val="center"/>
          </w:tcPr>
          <w:p>
            <w:pPr>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国家级</w:t>
            </w:r>
          </w:p>
        </w:tc>
        <w:tc>
          <w:tcPr>
            <w:tcW w:w="751" w:type="dxa"/>
            <w:shd w:val="clear" w:color="auto" w:fill="auto"/>
            <w:vAlign w:val="center"/>
          </w:tcPr>
          <w:p>
            <w:pPr>
              <w:jc w:val="center"/>
              <w:rPr>
                <w:color w:val="000000" w:themeColor="text1"/>
                <w:sz w:val="21"/>
                <w:szCs w:val="21"/>
                <w14:textFill>
                  <w14:solidFill>
                    <w14:schemeClr w14:val="tx1"/>
                  </w14:solidFill>
                </w14:textFill>
              </w:rPr>
            </w:pPr>
            <w:r>
              <w:rPr>
                <w:rFonts w:hint="eastAsia"/>
                <w:color w:val="000000" w:themeColor="text1"/>
                <w:sz w:val="21"/>
                <w:szCs w:val="20"/>
                <w14:textFill>
                  <w14:solidFill>
                    <w14:schemeClr w14:val="tx1"/>
                  </w14:solidFill>
                </w14:textFill>
              </w:rPr>
              <w:t>S</w:t>
            </w:r>
          </w:p>
        </w:tc>
        <w:tc>
          <w:tcPr>
            <w:tcW w:w="903" w:type="dxa"/>
            <w:shd w:val="clear" w:color="auto" w:fill="auto"/>
            <w:vAlign w:val="center"/>
          </w:tcPr>
          <w:p>
            <w:pPr>
              <w:jc w:val="center"/>
              <w:rPr>
                <w:color w:val="000000" w:themeColor="text1"/>
                <w:sz w:val="21"/>
                <w:szCs w:val="21"/>
                <w14:textFill>
                  <w14:solidFill>
                    <w14:schemeClr w14:val="tx1"/>
                  </w14:solidFill>
                </w14:textFill>
              </w:rPr>
            </w:pPr>
            <w:r>
              <w:rPr>
                <w:rFonts w:hint="eastAsia"/>
                <w:color w:val="000000" w:themeColor="text1"/>
                <w:sz w:val="21"/>
                <w:szCs w:val="20"/>
                <w14:textFill>
                  <w14:solidFill>
                    <w14:schemeClr w14:val="tx1"/>
                  </w14:solidFill>
                </w14:textFill>
              </w:rPr>
              <w:t>16.3</w:t>
            </w:r>
          </w:p>
        </w:tc>
        <w:tc>
          <w:tcPr>
            <w:tcW w:w="1168" w:type="dxa"/>
            <w:vAlign w:val="center"/>
          </w:tcPr>
          <w:p>
            <w:pPr>
              <w:widowControl/>
              <w:jc w:val="center"/>
              <w:rPr>
                <w:color w:val="000000" w:themeColor="text1"/>
                <w:sz w:val="21"/>
                <w:szCs w:val="21"/>
                <w14:textFill>
                  <w14:solidFill>
                    <w14:schemeClr w14:val="tx1"/>
                  </w14:solidFill>
                </w14:textFill>
              </w:rPr>
            </w:pPr>
            <w:r>
              <w:rPr>
                <w:color w:val="000000" w:themeColor="text1"/>
                <w:kern w:val="0"/>
                <w:sz w:val="21"/>
                <w:szCs w:val="21"/>
                <w14:textFill>
                  <w14:solidFill>
                    <w14:schemeClr w14:val="tx1"/>
                  </w14:solidFill>
                </w14:textFill>
              </w:rPr>
              <w:t>水质、</w:t>
            </w:r>
            <w:r>
              <w:rPr>
                <w:rFonts w:hint="eastAsia"/>
                <w:color w:val="000000" w:themeColor="text1"/>
                <w:kern w:val="0"/>
                <w:sz w:val="21"/>
                <w:szCs w:val="21"/>
                <w14:textFill>
                  <w14:solidFill>
                    <w14:schemeClr w14:val="tx1"/>
                  </w14:solidFill>
                </w14:textFill>
              </w:rPr>
              <w:t>渔业资源</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285" w:hRule="atLeast"/>
        </w:trPr>
        <w:tc>
          <w:tcPr>
            <w:tcW w:w="8528" w:type="dxa"/>
            <w:gridSpan w:val="7"/>
            <w:vAlign w:val="center"/>
          </w:tcPr>
          <w:p>
            <w:pPr>
              <w:widowControl/>
              <w:jc w:val="center"/>
              <w:rPr>
                <w:b/>
                <w:color w:val="000000" w:themeColor="text1"/>
                <w:kern w:val="0"/>
                <w:sz w:val="22"/>
                <w:szCs w:val="22"/>
                <w14:textFill>
                  <w14:solidFill>
                    <w14:schemeClr w14:val="tx1"/>
                  </w14:solidFill>
                </w14:textFill>
              </w:rPr>
            </w:pPr>
            <w:bookmarkStart w:id="64" w:name="_Hlk171073066"/>
            <w:r>
              <w:rPr>
                <w:rFonts w:hint="eastAsia"/>
                <w:b/>
                <w:color w:val="000000" w:themeColor="text1"/>
                <w:kern w:val="0"/>
                <w:sz w:val="22"/>
                <w:szCs w:val="22"/>
                <w14:textFill>
                  <w14:solidFill>
                    <w14:schemeClr w14:val="tx1"/>
                  </w14:solidFill>
                </w14:textFill>
              </w:rPr>
              <w:t>海洋生态环境敏感区</w:t>
            </w:r>
            <w:bookmarkEnd w:id="64"/>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285" w:hRule="atLeast"/>
        </w:trPr>
        <w:tc>
          <w:tcPr>
            <w:tcW w:w="709" w:type="dxa"/>
            <w:vAlign w:val="center"/>
          </w:tcPr>
          <w:p>
            <w:pPr>
              <w:widowControl/>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1</w:t>
            </w:r>
          </w:p>
        </w:tc>
        <w:tc>
          <w:tcPr>
            <w:tcW w:w="709" w:type="dxa"/>
            <w:vMerge w:val="restart"/>
            <w:vAlign w:val="center"/>
          </w:tcPr>
          <w:p>
            <w:pPr>
              <w:widowControl/>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养殖区</w:t>
            </w:r>
          </w:p>
        </w:tc>
        <w:tc>
          <w:tcPr>
            <w:tcW w:w="2599" w:type="dxa"/>
            <w:shd w:val="clear" w:color="auto" w:fill="auto"/>
            <w:vAlign w:val="center"/>
          </w:tcPr>
          <w:p>
            <w:pPr>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钦州港青菜头南浅海滩涂养殖区（3.1.1-3）</w:t>
            </w:r>
          </w:p>
        </w:tc>
        <w:tc>
          <w:tcPr>
            <w:tcW w:w="1689" w:type="dxa"/>
            <w:vMerge w:val="restart"/>
            <w:vAlign w:val="center"/>
          </w:tcPr>
          <w:p>
            <w:pPr>
              <w:widowControl/>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市级</w:t>
            </w:r>
          </w:p>
          <w:p>
            <w:pPr>
              <w:widowControl/>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《钦州市养殖水域滩涂规划（2019-2030）》</w:t>
            </w:r>
          </w:p>
        </w:tc>
        <w:tc>
          <w:tcPr>
            <w:tcW w:w="751" w:type="dxa"/>
            <w:shd w:val="clear" w:color="auto" w:fill="auto"/>
            <w:vAlign w:val="center"/>
          </w:tcPr>
          <w:p>
            <w:pPr>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W</w:t>
            </w:r>
          </w:p>
        </w:tc>
        <w:tc>
          <w:tcPr>
            <w:tcW w:w="903" w:type="dxa"/>
            <w:shd w:val="clear" w:color="auto" w:fill="auto"/>
            <w:vAlign w:val="center"/>
          </w:tcPr>
          <w:p>
            <w:pPr>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4.0</w:t>
            </w:r>
          </w:p>
        </w:tc>
        <w:tc>
          <w:tcPr>
            <w:tcW w:w="1168" w:type="dxa"/>
            <w:vMerge w:val="restart"/>
            <w:vAlign w:val="center"/>
          </w:tcPr>
          <w:p>
            <w:pPr>
              <w:widowControl/>
              <w:jc w:val="center"/>
              <w:rPr>
                <w:color w:val="000000" w:themeColor="text1"/>
                <w:kern w:val="0"/>
                <w:sz w:val="22"/>
                <w:szCs w:val="22"/>
                <w14:textFill>
                  <w14:solidFill>
                    <w14:schemeClr w14:val="tx1"/>
                  </w14:solidFill>
                </w14:textFill>
              </w:rPr>
            </w:pPr>
            <w:r>
              <w:rPr>
                <w:color w:val="000000" w:themeColor="text1"/>
                <w:kern w:val="0"/>
                <w:sz w:val="21"/>
                <w:szCs w:val="21"/>
                <w14:textFill>
                  <w14:solidFill>
                    <w14:schemeClr w14:val="tx1"/>
                  </w14:solidFill>
                </w14:textFill>
              </w:rPr>
              <w:t>水质、</w:t>
            </w:r>
            <w:r>
              <w:rPr>
                <w:rFonts w:hint="eastAsia"/>
                <w:color w:val="000000" w:themeColor="text1"/>
                <w:kern w:val="0"/>
                <w:sz w:val="21"/>
                <w:szCs w:val="21"/>
                <w14:textFill>
                  <w14:solidFill>
                    <w14:schemeClr w14:val="tx1"/>
                  </w14:solidFill>
                </w14:textFill>
              </w:rPr>
              <w:t>渔业资源</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285" w:hRule="atLeast"/>
        </w:trPr>
        <w:tc>
          <w:tcPr>
            <w:tcW w:w="709" w:type="dxa"/>
            <w:vAlign w:val="center"/>
          </w:tcPr>
          <w:p>
            <w:pPr>
              <w:widowControl/>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2</w:t>
            </w:r>
          </w:p>
        </w:tc>
        <w:tc>
          <w:tcPr>
            <w:tcW w:w="709" w:type="dxa"/>
            <w:vMerge w:val="continue"/>
            <w:vAlign w:val="center"/>
          </w:tcPr>
          <w:p>
            <w:pPr>
              <w:widowControl/>
              <w:jc w:val="center"/>
              <w:rPr>
                <w:color w:val="000000" w:themeColor="text1"/>
                <w:kern w:val="0"/>
                <w:sz w:val="21"/>
                <w:szCs w:val="21"/>
                <w14:textFill>
                  <w14:solidFill>
                    <w14:schemeClr w14:val="tx1"/>
                  </w14:solidFill>
                </w14:textFill>
              </w:rPr>
            </w:pPr>
          </w:p>
        </w:tc>
        <w:tc>
          <w:tcPr>
            <w:tcW w:w="2599" w:type="dxa"/>
            <w:shd w:val="clear" w:color="auto" w:fill="auto"/>
            <w:vAlign w:val="center"/>
          </w:tcPr>
          <w:p>
            <w:pPr>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茅尾海南部浅海滩涂养殖区（3.1.1-1）</w:t>
            </w:r>
          </w:p>
        </w:tc>
        <w:tc>
          <w:tcPr>
            <w:tcW w:w="1689" w:type="dxa"/>
            <w:vMerge w:val="continue"/>
            <w:vAlign w:val="center"/>
          </w:tcPr>
          <w:p>
            <w:pPr>
              <w:widowControl/>
              <w:jc w:val="center"/>
              <w:rPr>
                <w:color w:val="000000" w:themeColor="text1"/>
                <w:kern w:val="0"/>
                <w:sz w:val="21"/>
                <w:szCs w:val="21"/>
                <w14:textFill>
                  <w14:solidFill>
                    <w14:schemeClr w14:val="tx1"/>
                  </w14:solidFill>
                </w14:textFill>
              </w:rPr>
            </w:pPr>
          </w:p>
        </w:tc>
        <w:tc>
          <w:tcPr>
            <w:tcW w:w="751" w:type="dxa"/>
            <w:shd w:val="clear" w:color="auto" w:fill="auto"/>
            <w:vAlign w:val="center"/>
          </w:tcPr>
          <w:p>
            <w:pPr>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NW</w:t>
            </w:r>
          </w:p>
        </w:tc>
        <w:tc>
          <w:tcPr>
            <w:tcW w:w="903" w:type="dxa"/>
            <w:shd w:val="clear" w:color="auto" w:fill="auto"/>
            <w:vAlign w:val="center"/>
          </w:tcPr>
          <w:p>
            <w:pPr>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19.2</w:t>
            </w:r>
          </w:p>
        </w:tc>
        <w:tc>
          <w:tcPr>
            <w:tcW w:w="1168" w:type="dxa"/>
            <w:vMerge w:val="continue"/>
            <w:vAlign w:val="center"/>
          </w:tcPr>
          <w:p>
            <w:pPr>
              <w:widowControl/>
              <w:jc w:val="center"/>
              <w:rPr>
                <w:color w:val="000000" w:themeColor="text1"/>
                <w:kern w:val="0"/>
                <w:sz w:val="22"/>
                <w:szCs w:val="22"/>
                <w14:textFill>
                  <w14:solidFill>
                    <w14:schemeClr w14:val="tx1"/>
                  </w14:solidFill>
                </w14:textFill>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285" w:hRule="atLeast"/>
        </w:trPr>
        <w:tc>
          <w:tcPr>
            <w:tcW w:w="709" w:type="dxa"/>
            <w:vAlign w:val="center"/>
          </w:tcPr>
          <w:p>
            <w:pPr>
              <w:widowControl/>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3</w:t>
            </w:r>
          </w:p>
        </w:tc>
        <w:tc>
          <w:tcPr>
            <w:tcW w:w="709" w:type="dxa"/>
            <w:vMerge w:val="continue"/>
            <w:vAlign w:val="center"/>
          </w:tcPr>
          <w:p>
            <w:pPr>
              <w:widowControl/>
              <w:jc w:val="center"/>
              <w:rPr>
                <w:color w:val="000000" w:themeColor="text1"/>
                <w:kern w:val="0"/>
                <w:sz w:val="21"/>
                <w:szCs w:val="21"/>
                <w14:textFill>
                  <w14:solidFill>
                    <w14:schemeClr w14:val="tx1"/>
                  </w14:solidFill>
                </w14:textFill>
              </w:rPr>
            </w:pPr>
          </w:p>
        </w:tc>
        <w:tc>
          <w:tcPr>
            <w:tcW w:w="2599" w:type="dxa"/>
            <w:shd w:val="clear" w:color="auto" w:fill="auto"/>
            <w:vAlign w:val="center"/>
          </w:tcPr>
          <w:p>
            <w:pPr>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茅尾海沿岸池塘养殖区（3.1.2-1）</w:t>
            </w:r>
          </w:p>
        </w:tc>
        <w:tc>
          <w:tcPr>
            <w:tcW w:w="1689" w:type="dxa"/>
            <w:vMerge w:val="continue"/>
            <w:vAlign w:val="center"/>
          </w:tcPr>
          <w:p>
            <w:pPr>
              <w:widowControl/>
              <w:jc w:val="center"/>
              <w:rPr>
                <w:color w:val="000000" w:themeColor="text1"/>
                <w:kern w:val="0"/>
                <w:sz w:val="21"/>
                <w:szCs w:val="21"/>
                <w14:textFill>
                  <w14:solidFill>
                    <w14:schemeClr w14:val="tx1"/>
                  </w14:solidFill>
                </w14:textFill>
              </w:rPr>
            </w:pPr>
          </w:p>
        </w:tc>
        <w:tc>
          <w:tcPr>
            <w:tcW w:w="751" w:type="dxa"/>
            <w:shd w:val="clear" w:color="auto" w:fill="auto"/>
            <w:vAlign w:val="center"/>
          </w:tcPr>
          <w:p>
            <w:pPr>
              <w:jc w:val="center"/>
              <w:rPr>
                <w:color w:val="000000" w:themeColor="text1"/>
                <w:kern w:val="0"/>
                <w:sz w:val="21"/>
                <w:szCs w:val="21"/>
                <w14:textFill>
                  <w14:solidFill>
                    <w14:schemeClr w14:val="tx1"/>
                  </w14:solidFill>
                </w14:textFill>
              </w:rPr>
            </w:pPr>
            <w:r>
              <w:rPr>
                <w:rFonts w:hint="eastAsia"/>
                <w:color w:val="000000" w:themeColor="text1"/>
                <w:sz w:val="21"/>
                <w:szCs w:val="21"/>
                <w14:textFill>
                  <w14:solidFill>
                    <w14:schemeClr w14:val="tx1"/>
                  </w14:solidFill>
                </w14:textFill>
              </w:rPr>
              <w:t>NWW</w:t>
            </w:r>
          </w:p>
        </w:tc>
        <w:tc>
          <w:tcPr>
            <w:tcW w:w="903" w:type="dxa"/>
            <w:shd w:val="clear" w:color="auto" w:fill="auto"/>
            <w:vAlign w:val="center"/>
          </w:tcPr>
          <w:p>
            <w:pPr>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16.0</w:t>
            </w:r>
          </w:p>
        </w:tc>
        <w:tc>
          <w:tcPr>
            <w:tcW w:w="1168" w:type="dxa"/>
            <w:vMerge w:val="continue"/>
            <w:vAlign w:val="center"/>
          </w:tcPr>
          <w:p>
            <w:pPr>
              <w:widowControl/>
              <w:jc w:val="center"/>
              <w:rPr>
                <w:color w:val="000000" w:themeColor="text1"/>
                <w:kern w:val="0"/>
                <w:sz w:val="22"/>
                <w:szCs w:val="22"/>
                <w14:textFill>
                  <w14:solidFill>
                    <w14:schemeClr w14:val="tx1"/>
                  </w14:solidFill>
                </w14:textFill>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285" w:hRule="atLeast"/>
        </w:trPr>
        <w:tc>
          <w:tcPr>
            <w:tcW w:w="709" w:type="dxa"/>
            <w:vAlign w:val="center"/>
          </w:tcPr>
          <w:p>
            <w:pPr>
              <w:widowControl/>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4</w:t>
            </w:r>
          </w:p>
        </w:tc>
        <w:tc>
          <w:tcPr>
            <w:tcW w:w="709" w:type="dxa"/>
            <w:vMerge w:val="continue"/>
            <w:vAlign w:val="center"/>
          </w:tcPr>
          <w:p>
            <w:pPr>
              <w:widowControl/>
              <w:jc w:val="center"/>
              <w:rPr>
                <w:color w:val="000000" w:themeColor="text1"/>
                <w:kern w:val="0"/>
                <w:sz w:val="21"/>
                <w:szCs w:val="21"/>
                <w14:textFill>
                  <w14:solidFill>
                    <w14:schemeClr w14:val="tx1"/>
                  </w14:solidFill>
                </w14:textFill>
              </w:rPr>
            </w:pPr>
          </w:p>
        </w:tc>
        <w:tc>
          <w:tcPr>
            <w:tcW w:w="2599" w:type="dxa"/>
            <w:shd w:val="clear" w:color="auto" w:fill="auto"/>
            <w:vAlign w:val="center"/>
          </w:tcPr>
          <w:p>
            <w:pPr>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龙门群岛浅海滩涂养殖区（3.1.1-2）</w:t>
            </w:r>
          </w:p>
        </w:tc>
        <w:tc>
          <w:tcPr>
            <w:tcW w:w="1689" w:type="dxa"/>
            <w:vMerge w:val="continue"/>
            <w:vAlign w:val="center"/>
          </w:tcPr>
          <w:p>
            <w:pPr>
              <w:widowControl/>
              <w:jc w:val="center"/>
              <w:rPr>
                <w:color w:val="000000" w:themeColor="text1"/>
                <w:kern w:val="0"/>
                <w:sz w:val="21"/>
                <w:szCs w:val="21"/>
                <w14:textFill>
                  <w14:solidFill>
                    <w14:schemeClr w14:val="tx1"/>
                  </w14:solidFill>
                </w14:textFill>
              </w:rPr>
            </w:pPr>
          </w:p>
        </w:tc>
        <w:tc>
          <w:tcPr>
            <w:tcW w:w="751" w:type="dxa"/>
            <w:shd w:val="clear" w:color="auto" w:fill="auto"/>
            <w:vAlign w:val="center"/>
          </w:tcPr>
          <w:p>
            <w:pPr>
              <w:jc w:val="center"/>
              <w:rPr>
                <w:color w:val="000000" w:themeColor="text1"/>
                <w:kern w:val="0"/>
                <w:sz w:val="21"/>
                <w:szCs w:val="21"/>
                <w14:textFill>
                  <w14:solidFill>
                    <w14:schemeClr w14:val="tx1"/>
                  </w14:solidFill>
                </w14:textFill>
              </w:rPr>
            </w:pPr>
            <w:r>
              <w:rPr>
                <w:rFonts w:hint="eastAsia"/>
                <w:color w:val="000000" w:themeColor="text1"/>
                <w:sz w:val="21"/>
                <w:szCs w:val="21"/>
                <w14:textFill>
                  <w14:solidFill>
                    <w14:schemeClr w14:val="tx1"/>
                  </w14:solidFill>
                </w14:textFill>
              </w:rPr>
              <w:t>NWW</w:t>
            </w:r>
          </w:p>
        </w:tc>
        <w:tc>
          <w:tcPr>
            <w:tcW w:w="903" w:type="dxa"/>
            <w:shd w:val="clear" w:color="auto" w:fill="auto"/>
            <w:vAlign w:val="center"/>
          </w:tcPr>
          <w:p>
            <w:pPr>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14.8</w:t>
            </w:r>
          </w:p>
        </w:tc>
        <w:tc>
          <w:tcPr>
            <w:tcW w:w="1168" w:type="dxa"/>
            <w:vMerge w:val="continue"/>
            <w:vAlign w:val="center"/>
          </w:tcPr>
          <w:p>
            <w:pPr>
              <w:widowControl/>
              <w:jc w:val="center"/>
              <w:rPr>
                <w:color w:val="000000" w:themeColor="text1"/>
                <w:kern w:val="0"/>
                <w:sz w:val="22"/>
                <w:szCs w:val="22"/>
                <w14:textFill>
                  <w14:solidFill>
                    <w14:schemeClr w14:val="tx1"/>
                  </w14:solidFill>
                </w14:textFill>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285" w:hRule="atLeast"/>
        </w:trPr>
        <w:tc>
          <w:tcPr>
            <w:tcW w:w="709" w:type="dxa"/>
            <w:vAlign w:val="center"/>
          </w:tcPr>
          <w:p>
            <w:pPr>
              <w:widowControl/>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5</w:t>
            </w:r>
          </w:p>
        </w:tc>
        <w:tc>
          <w:tcPr>
            <w:tcW w:w="709" w:type="dxa"/>
            <w:vMerge w:val="continue"/>
            <w:vAlign w:val="center"/>
          </w:tcPr>
          <w:p>
            <w:pPr>
              <w:widowControl/>
              <w:jc w:val="center"/>
              <w:rPr>
                <w:color w:val="000000" w:themeColor="text1"/>
                <w:kern w:val="0"/>
                <w:sz w:val="21"/>
                <w:szCs w:val="21"/>
                <w14:textFill>
                  <w14:solidFill>
                    <w14:schemeClr w14:val="tx1"/>
                  </w14:solidFill>
                </w14:textFill>
              </w:rPr>
            </w:pPr>
          </w:p>
        </w:tc>
        <w:tc>
          <w:tcPr>
            <w:tcW w:w="2599" w:type="dxa"/>
            <w:shd w:val="clear" w:color="auto" w:fill="auto"/>
            <w:vAlign w:val="center"/>
          </w:tcPr>
          <w:p>
            <w:pPr>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三娘湾南离岸浅海养殖区（3.1.1-5）</w:t>
            </w:r>
          </w:p>
        </w:tc>
        <w:tc>
          <w:tcPr>
            <w:tcW w:w="1689" w:type="dxa"/>
            <w:vMerge w:val="continue"/>
            <w:vAlign w:val="center"/>
          </w:tcPr>
          <w:p>
            <w:pPr>
              <w:widowControl/>
              <w:jc w:val="center"/>
              <w:rPr>
                <w:color w:val="000000" w:themeColor="text1"/>
                <w:kern w:val="0"/>
                <w:sz w:val="21"/>
                <w:szCs w:val="21"/>
                <w14:textFill>
                  <w14:solidFill>
                    <w14:schemeClr w14:val="tx1"/>
                  </w14:solidFill>
                </w14:textFill>
              </w:rPr>
            </w:pPr>
          </w:p>
        </w:tc>
        <w:tc>
          <w:tcPr>
            <w:tcW w:w="751" w:type="dxa"/>
            <w:shd w:val="clear" w:color="auto" w:fill="auto"/>
            <w:vAlign w:val="center"/>
          </w:tcPr>
          <w:p>
            <w:pPr>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SE</w:t>
            </w:r>
          </w:p>
        </w:tc>
        <w:tc>
          <w:tcPr>
            <w:tcW w:w="903" w:type="dxa"/>
            <w:shd w:val="clear" w:color="auto" w:fill="auto"/>
            <w:vAlign w:val="center"/>
          </w:tcPr>
          <w:p>
            <w:pPr>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18.5</w:t>
            </w:r>
          </w:p>
        </w:tc>
        <w:tc>
          <w:tcPr>
            <w:tcW w:w="1168" w:type="dxa"/>
            <w:vMerge w:val="continue"/>
            <w:vAlign w:val="center"/>
          </w:tcPr>
          <w:p>
            <w:pPr>
              <w:widowControl/>
              <w:jc w:val="center"/>
              <w:rPr>
                <w:color w:val="000000" w:themeColor="text1"/>
                <w:kern w:val="0"/>
                <w:sz w:val="22"/>
                <w:szCs w:val="22"/>
                <w14:textFill>
                  <w14:solidFill>
                    <w14:schemeClr w14:val="tx1"/>
                  </w14:solidFill>
                </w14:textFill>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285" w:hRule="atLeast"/>
        </w:trPr>
        <w:tc>
          <w:tcPr>
            <w:tcW w:w="709" w:type="dxa"/>
            <w:vAlign w:val="center"/>
          </w:tcPr>
          <w:p>
            <w:pPr>
              <w:widowControl/>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6</w:t>
            </w:r>
          </w:p>
        </w:tc>
        <w:tc>
          <w:tcPr>
            <w:tcW w:w="709" w:type="dxa"/>
            <w:vMerge w:val="continue"/>
            <w:vAlign w:val="center"/>
          </w:tcPr>
          <w:p>
            <w:pPr>
              <w:widowControl/>
              <w:jc w:val="center"/>
              <w:rPr>
                <w:color w:val="000000" w:themeColor="text1"/>
                <w:kern w:val="0"/>
                <w:sz w:val="21"/>
                <w:szCs w:val="21"/>
                <w14:textFill>
                  <w14:solidFill>
                    <w14:schemeClr w14:val="tx1"/>
                  </w14:solidFill>
                </w14:textFill>
              </w:rPr>
            </w:pPr>
          </w:p>
        </w:tc>
        <w:tc>
          <w:tcPr>
            <w:tcW w:w="2599" w:type="dxa"/>
            <w:shd w:val="clear" w:color="auto" w:fill="auto"/>
            <w:vAlign w:val="center"/>
          </w:tcPr>
          <w:p>
            <w:pPr>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茅尾海茅岭江口近江牡蛎苗种生产功能区（3.1.3-2）</w:t>
            </w:r>
          </w:p>
        </w:tc>
        <w:tc>
          <w:tcPr>
            <w:tcW w:w="1689" w:type="dxa"/>
            <w:vMerge w:val="continue"/>
            <w:vAlign w:val="center"/>
          </w:tcPr>
          <w:p>
            <w:pPr>
              <w:widowControl/>
              <w:jc w:val="center"/>
              <w:rPr>
                <w:color w:val="000000" w:themeColor="text1"/>
                <w:kern w:val="0"/>
                <w:sz w:val="21"/>
                <w:szCs w:val="21"/>
                <w14:textFill>
                  <w14:solidFill>
                    <w14:schemeClr w14:val="tx1"/>
                  </w14:solidFill>
                </w14:textFill>
              </w:rPr>
            </w:pPr>
          </w:p>
        </w:tc>
        <w:tc>
          <w:tcPr>
            <w:tcW w:w="751" w:type="dxa"/>
            <w:shd w:val="clear" w:color="auto" w:fill="auto"/>
            <w:vAlign w:val="center"/>
          </w:tcPr>
          <w:p>
            <w:pPr>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NW</w:t>
            </w:r>
          </w:p>
        </w:tc>
        <w:tc>
          <w:tcPr>
            <w:tcW w:w="903" w:type="dxa"/>
            <w:shd w:val="clear" w:color="auto" w:fill="auto"/>
            <w:vAlign w:val="center"/>
          </w:tcPr>
          <w:p>
            <w:pPr>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25.0</w:t>
            </w:r>
          </w:p>
        </w:tc>
        <w:tc>
          <w:tcPr>
            <w:tcW w:w="1168" w:type="dxa"/>
            <w:vAlign w:val="center"/>
          </w:tcPr>
          <w:p>
            <w:pPr>
              <w:widowControl/>
              <w:jc w:val="center"/>
              <w:rPr>
                <w:color w:val="000000" w:themeColor="text1"/>
                <w:kern w:val="0"/>
                <w:sz w:val="22"/>
                <w:szCs w:val="22"/>
                <w14:textFill>
                  <w14:solidFill>
                    <w14:schemeClr w14:val="tx1"/>
                  </w14:solidFill>
                </w14:textFill>
              </w:rPr>
            </w:pPr>
          </w:p>
        </w:tc>
      </w:tr>
      <w:tr>
        <w:tblPrEx>
          <w:tblLayout w:type="fixed"/>
          <w:tblCellMar>
            <w:top w:w="0" w:type="dxa"/>
            <w:left w:w="108" w:type="dxa"/>
            <w:bottom w:w="0" w:type="dxa"/>
            <w:right w:w="108" w:type="dxa"/>
          </w:tblCellMar>
        </w:tblPrEx>
        <w:trPr>
          <w:trHeight w:val="285" w:hRule="atLeast"/>
        </w:trPr>
        <w:tc>
          <w:tcPr>
            <w:tcW w:w="709" w:type="dxa"/>
            <w:vMerge w:val="restart"/>
            <w:vAlign w:val="center"/>
          </w:tcPr>
          <w:p>
            <w:pPr>
              <w:widowControl/>
              <w:jc w:val="center"/>
              <w:rPr>
                <w:color w:val="000000" w:themeColor="text1"/>
                <w:kern w:val="0"/>
                <w:sz w:val="22"/>
                <w:szCs w:val="22"/>
                <w14:textFill>
                  <w14:solidFill>
                    <w14:schemeClr w14:val="tx1"/>
                  </w14:solidFill>
                </w14:textFill>
              </w:rPr>
            </w:pPr>
            <w:r>
              <w:rPr>
                <w:rFonts w:hint="eastAsia"/>
                <w:color w:val="000000" w:themeColor="text1"/>
                <w:kern w:val="0"/>
                <w:sz w:val="22"/>
                <w:szCs w:val="22"/>
                <w14:textFill>
                  <w14:solidFill>
                    <w14:schemeClr w14:val="tx1"/>
                  </w14:solidFill>
                </w14:textFill>
              </w:rPr>
              <w:t>7</w:t>
            </w:r>
          </w:p>
        </w:tc>
        <w:tc>
          <w:tcPr>
            <w:tcW w:w="709" w:type="dxa"/>
            <w:vMerge w:val="continue"/>
            <w:vAlign w:val="center"/>
          </w:tcPr>
          <w:p>
            <w:pPr>
              <w:widowControl/>
              <w:jc w:val="center"/>
              <w:rPr>
                <w:color w:val="000000" w:themeColor="text1"/>
                <w:kern w:val="0"/>
                <w:sz w:val="21"/>
                <w:szCs w:val="21"/>
                <w14:textFill>
                  <w14:solidFill>
                    <w14:schemeClr w14:val="tx1"/>
                  </w14:solidFill>
                </w14:textFill>
              </w:rPr>
            </w:pPr>
          </w:p>
        </w:tc>
        <w:tc>
          <w:tcPr>
            <w:tcW w:w="2599" w:type="dxa"/>
            <w:shd w:val="clear" w:color="auto" w:fill="auto"/>
            <w:vAlign w:val="center"/>
          </w:tcPr>
          <w:p>
            <w:pPr>
              <w:snapToGrid w:val="0"/>
              <w:spacing w:line="240" w:lineRule="atLeast"/>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生蚝养殖区①</w:t>
            </w:r>
          </w:p>
        </w:tc>
        <w:tc>
          <w:tcPr>
            <w:tcW w:w="1689" w:type="dxa"/>
            <w:vMerge w:val="restart"/>
            <w:vAlign w:val="center"/>
          </w:tcPr>
          <w:p>
            <w:pPr>
              <w:widowControl/>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w:t>
            </w:r>
          </w:p>
        </w:tc>
        <w:tc>
          <w:tcPr>
            <w:tcW w:w="751" w:type="dxa"/>
            <w:shd w:val="clear" w:color="auto" w:fill="auto"/>
            <w:vAlign w:val="center"/>
          </w:tcPr>
          <w:p>
            <w:pPr>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NW</w:t>
            </w:r>
          </w:p>
        </w:tc>
        <w:tc>
          <w:tcPr>
            <w:tcW w:w="903" w:type="dxa"/>
            <w:shd w:val="clear" w:color="auto" w:fill="auto"/>
            <w:vAlign w:val="center"/>
          </w:tcPr>
          <w:p>
            <w:pPr>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6.8</w:t>
            </w:r>
          </w:p>
        </w:tc>
        <w:tc>
          <w:tcPr>
            <w:tcW w:w="1168" w:type="dxa"/>
            <w:vMerge w:val="restart"/>
            <w:vAlign w:val="center"/>
          </w:tcPr>
          <w:p>
            <w:pPr>
              <w:widowControl/>
              <w:jc w:val="center"/>
              <w:rPr>
                <w:color w:val="000000" w:themeColor="text1"/>
                <w:kern w:val="0"/>
                <w:sz w:val="22"/>
                <w:szCs w:val="22"/>
                <w14:textFill>
                  <w14:solidFill>
                    <w14:schemeClr w14:val="tx1"/>
                  </w14:solidFill>
                </w14:textFill>
              </w:rPr>
            </w:pPr>
            <w:r>
              <w:rPr>
                <w:color w:val="000000" w:themeColor="text1"/>
                <w:kern w:val="0"/>
                <w:sz w:val="21"/>
                <w:szCs w:val="21"/>
                <w14:textFill>
                  <w14:solidFill>
                    <w14:schemeClr w14:val="tx1"/>
                  </w14:solidFill>
                </w14:textFill>
              </w:rPr>
              <w:t>水质、</w:t>
            </w:r>
            <w:r>
              <w:rPr>
                <w:rFonts w:hint="eastAsia"/>
                <w:color w:val="000000" w:themeColor="text1"/>
                <w:kern w:val="0"/>
                <w:sz w:val="21"/>
                <w:szCs w:val="21"/>
                <w14:textFill>
                  <w14:solidFill>
                    <w14:schemeClr w14:val="tx1"/>
                  </w14:solidFill>
                </w14:textFill>
              </w:rPr>
              <w:t>渔业资源</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285" w:hRule="atLeast"/>
        </w:trPr>
        <w:tc>
          <w:tcPr>
            <w:tcW w:w="709" w:type="dxa"/>
            <w:vMerge w:val="continue"/>
            <w:vAlign w:val="center"/>
          </w:tcPr>
          <w:p>
            <w:pPr>
              <w:widowControl/>
              <w:jc w:val="center"/>
              <w:rPr>
                <w:color w:val="000000" w:themeColor="text1"/>
                <w:kern w:val="0"/>
                <w:sz w:val="21"/>
                <w:szCs w:val="21"/>
                <w14:textFill>
                  <w14:solidFill>
                    <w14:schemeClr w14:val="tx1"/>
                  </w14:solidFill>
                </w14:textFill>
              </w:rPr>
            </w:pPr>
          </w:p>
        </w:tc>
        <w:tc>
          <w:tcPr>
            <w:tcW w:w="709" w:type="dxa"/>
            <w:vMerge w:val="continue"/>
            <w:vAlign w:val="center"/>
          </w:tcPr>
          <w:p>
            <w:pPr>
              <w:widowControl/>
              <w:jc w:val="center"/>
              <w:rPr>
                <w:color w:val="000000" w:themeColor="text1"/>
                <w:kern w:val="0"/>
                <w:sz w:val="21"/>
                <w:szCs w:val="21"/>
                <w14:textFill>
                  <w14:solidFill>
                    <w14:schemeClr w14:val="tx1"/>
                  </w14:solidFill>
                </w14:textFill>
              </w:rPr>
            </w:pPr>
          </w:p>
        </w:tc>
        <w:tc>
          <w:tcPr>
            <w:tcW w:w="2599" w:type="dxa"/>
            <w:shd w:val="clear" w:color="auto" w:fill="auto"/>
            <w:vAlign w:val="center"/>
          </w:tcPr>
          <w:p>
            <w:pPr>
              <w:snapToGrid w:val="0"/>
              <w:spacing w:line="240" w:lineRule="atLeast"/>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生蚝养殖区</w:t>
            </w:r>
            <w:r>
              <w:rPr>
                <w:rFonts w:hint="eastAsia"/>
                <w:color w:val="000000" w:themeColor="text1"/>
                <w:sz w:val="21"/>
                <w:szCs w:val="21"/>
                <w14:textFill>
                  <w14:solidFill>
                    <w14:schemeClr w14:val="tx1"/>
                  </w14:solidFill>
                </w14:textFill>
              </w:rPr>
              <w:t>②</w:t>
            </w:r>
          </w:p>
        </w:tc>
        <w:tc>
          <w:tcPr>
            <w:tcW w:w="1689" w:type="dxa"/>
            <w:vMerge w:val="continue"/>
            <w:vAlign w:val="center"/>
          </w:tcPr>
          <w:p>
            <w:pPr>
              <w:widowControl/>
              <w:jc w:val="center"/>
              <w:rPr>
                <w:color w:val="000000" w:themeColor="text1"/>
                <w:kern w:val="0"/>
                <w:sz w:val="21"/>
                <w:szCs w:val="21"/>
                <w14:textFill>
                  <w14:solidFill>
                    <w14:schemeClr w14:val="tx1"/>
                  </w14:solidFill>
                </w14:textFill>
              </w:rPr>
            </w:pPr>
          </w:p>
        </w:tc>
        <w:tc>
          <w:tcPr>
            <w:tcW w:w="751" w:type="dxa"/>
            <w:shd w:val="clear" w:color="auto" w:fill="auto"/>
            <w:vAlign w:val="center"/>
          </w:tcPr>
          <w:p>
            <w:pPr>
              <w:jc w:val="center"/>
              <w:rPr>
                <w:color w:val="000000" w:themeColor="text1"/>
                <w:kern w:val="0"/>
                <w:sz w:val="21"/>
                <w:szCs w:val="21"/>
                <w14:textFill>
                  <w14:solidFill>
                    <w14:schemeClr w14:val="tx1"/>
                  </w14:solidFill>
                </w14:textFill>
              </w:rPr>
            </w:pPr>
            <w:r>
              <w:rPr>
                <w:color w:val="000000" w:themeColor="text1"/>
                <w:sz w:val="21"/>
                <w:szCs w:val="20"/>
                <w14:textFill>
                  <w14:solidFill>
                    <w14:schemeClr w14:val="tx1"/>
                  </w14:solidFill>
                </w14:textFill>
              </w:rPr>
              <w:t>SE</w:t>
            </w:r>
          </w:p>
        </w:tc>
        <w:tc>
          <w:tcPr>
            <w:tcW w:w="903" w:type="dxa"/>
            <w:shd w:val="clear" w:color="auto" w:fill="auto"/>
            <w:vAlign w:val="center"/>
          </w:tcPr>
          <w:p>
            <w:pPr>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4.2</w:t>
            </w:r>
          </w:p>
        </w:tc>
        <w:tc>
          <w:tcPr>
            <w:tcW w:w="1168" w:type="dxa"/>
            <w:vMerge w:val="continue"/>
            <w:vAlign w:val="center"/>
          </w:tcPr>
          <w:p>
            <w:pPr>
              <w:widowControl/>
              <w:jc w:val="center"/>
              <w:rPr>
                <w:color w:val="000000" w:themeColor="text1"/>
                <w:kern w:val="0"/>
                <w:sz w:val="22"/>
                <w:szCs w:val="22"/>
                <w14:textFill>
                  <w14:solidFill>
                    <w14:schemeClr w14:val="tx1"/>
                  </w14:solidFill>
                </w14:textFill>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285" w:hRule="atLeast"/>
        </w:trPr>
        <w:tc>
          <w:tcPr>
            <w:tcW w:w="709" w:type="dxa"/>
            <w:vMerge w:val="continue"/>
            <w:vAlign w:val="center"/>
          </w:tcPr>
          <w:p>
            <w:pPr>
              <w:widowControl/>
              <w:jc w:val="center"/>
              <w:rPr>
                <w:color w:val="000000" w:themeColor="text1"/>
                <w:kern w:val="0"/>
                <w:sz w:val="21"/>
                <w:szCs w:val="21"/>
                <w14:textFill>
                  <w14:solidFill>
                    <w14:schemeClr w14:val="tx1"/>
                  </w14:solidFill>
                </w14:textFill>
              </w:rPr>
            </w:pPr>
          </w:p>
        </w:tc>
        <w:tc>
          <w:tcPr>
            <w:tcW w:w="709" w:type="dxa"/>
            <w:vMerge w:val="continue"/>
            <w:vAlign w:val="center"/>
          </w:tcPr>
          <w:p>
            <w:pPr>
              <w:widowControl/>
              <w:jc w:val="center"/>
              <w:rPr>
                <w:color w:val="000000" w:themeColor="text1"/>
                <w:kern w:val="0"/>
                <w:sz w:val="21"/>
                <w:szCs w:val="21"/>
                <w14:textFill>
                  <w14:solidFill>
                    <w14:schemeClr w14:val="tx1"/>
                  </w14:solidFill>
                </w14:textFill>
              </w:rPr>
            </w:pPr>
          </w:p>
        </w:tc>
        <w:tc>
          <w:tcPr>
            <w:tcW w:w="2599" w:type="dxa"/>
            <w:shd w:val="clear" w:color="auto" w:fill="auto"/>
            <w:vAlign w:val="center"/>
          </w:tcPr>
          <w:p>
            <w:pPr>
              <w:snapToGrid w:val="0"/>
              <w:spacing w:line="240" w:lineRule="atLeast"/>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生蚝养殖区</w:t>
            </w:r>
            <w:r>
              <w:rPr>
                <w:rFonts w:hint="eastAsia"/>
                <w:color w:val="000000" w:themeColor="text1"/>
                <w:sz w:val="21"/>
                <w:szCs w:val="21"/>
                <w14:textFill>
                  <w14:solidFill>
                    <w14:schemeClr w14:val="tx1"/>
                  </w14:solidFill>
                </w14:textFill>
              </w:rPr>
              <w:t>③</w:t>
            </w:r>
          </w:p>
        </w:tc>
        <w:tc>
          <w:tcPr>
            <w:tcW w:w="1689" w:type="dxa"/>
            <w:vMerge w:val="continue"/>
            <w:vAlign w:val="center"/>
          </w:tcPr>
          <w:p>
            <w:pPr>
              <w:widowControl/>
              <w:jc w:val="center"/>
              <w:rPr>
                <w:color w:val="000000" w:themeColor="text1"/>
                <w:kern w:val="0"/>
                <w:sz w:val="21"/>
                <w:szCs w:val="21"/>
                <w14:textFill>
                  <w14:solidFill>
                    <w14:schemeClr w14:val="tx1"/>
                  </w14:solidFill>
                </w14:textFill>
              </w:rPr>
            </w:pPr>
          </w:p>
        </w:tc>
        <w:tc>
          <w:tcPr>
            <w:tcW w:w="751" w:type="dxa"/>
            <w:shd w:val="clear" w:color="auto" w:fill="auto"/>
            <w:vAlign w:val="center"/>
          </w:tcPr>
          <w:p>
            <w:pPr>
              <w:jc w:val="center"/>
              <w:rPr>
                <w:color w:val="000000" w:themeColor="text1"/>
                <w:kern w:val="0"/>
                <w:sz w:val="21"/>
                <w:szCs w:val="21"/>
                <w14:textFill>
                  <w14:solidFill>
                    <w14:schemeClr w14:val="tx1"/>
                  </w14:solidFill>
                </w14:textFill>
              </w:rPr>
            </w:pPr>
            <w:r>
              <w:rPr>
                <w:color w:val="000000" w:themeColor="text1"/>
                <w:sz w:val="21"/>
                <w:szCs w:val="20"/>
                <w14:textFill>
                  <w14:solidFill>
                    <w14:schemeClr w14:val="tx1"/>
                  </w14:solidFill>
                </w14:textFill>
              </w:rPr>
              <w:t>SE</w:t>
            </w:r>
          </w:p>
        </w:tc>
        <w:tc>
          <w:tcPr>
            <w:tcW w:w="903" w:type="dxa"/>
            <w:shd w:val="clear" w:color="auto" w:fill="auto"/>
            <w:vAlign w:val="center"/>
          </w:tcPr>
          <w:p>
            <w:pPr>
              <w:jc w:val="center"/>
              <w:rPr>
                <w:color w:val="000000" w:themeColor="text1"/>
                <w:kern w:val="0"/>
                <w:sz w:val="21"/>
                <w:szCs w:val="21"/>
                <w14:textFill>
                  <w14:solidFill>
                    <w14:schemeClr w14:val="tx1"/>
                  </w14:solidFill>
                </w14:textFill>
              </w:rPr>
            </w:pPr>
            <w:r>
              <w:rPr>
                <w:rFonts w:hint="eastAsia"/>
                <w:color w:val="000000" w:themeColor="text1"/>
                <w:sz w:val="21"/>
                <w:szCs w:val="20"/>
                <w14:textFill>
                  <w14:solidFill>
                    <w14:schemeClr w14:val="tx1"/>
                  </w14:solidFill>
                </w14:textFill>
              </w:rPr>
              <w:t>4.3</w:t>
            </w:r>
          </w:p>
        </w:tc>
        <w:tc>
          <w:tcPr>
            <w:tcW w:w="1168" w:type="dxa"/>
            <w:vMerge w:val="continue"/>
            <w:vAlign w:val="center"/>
          </w:tcPr>
          <w:p>
            <w:pPr>
              <w:widowControl/>
              <w:jc w:val="center"/>
              <w:rPr>
                <w:color w:val="000000" w:themeColor="text1"/>
                <w:kern w:val="0"/>
                <w:sz w:val="22"/>
                <w:szCs w:val="22"/>
                <w14:textFill>
                  <w14:solidFill>
                    <w14:schemeClr w14:val="tx1"/>
                  </w14:solidFill>
                </w14:textFill>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285" w:hRule="atLeast"/>
        </w:trPr>
        <w:tc>
          <w:tcPr>
            <w:tcW w:w="709" w:type="dxa"/>
            <w:vAlign w:val="center"/>
          </w:tcPr>
          <w:p>
            <w:pPr>
              <w:widowControl/>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8</w:t>
            </w:r>
          </w:p>
        </w:tc>
        <w:tc>
          <w:tcPr>
            <w:tcW w:w="709" w:type="dxa"/>
            <w:vAlign w:val="center"/>
          </w:tcPr>
          <w:p>
            <w:pPr>
              <w:widowControl/>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旅游度假区</w:t>
            </w:r>
          </w:p>
        </w:tc>
        <w:tc>
          <w:tcPr>
            <w:tcW w:w="2599" w:type="dxa"/>
            <w:shd w:val="clear" w:color="auto" w:fill="auto"/>
            <w:vAlign w:val="center"/>
          </w:tcPr>
          <w:p>
            <w:pPr>
              <w:widowControl/>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钦州市七十二泾海岛群旅游度假区</w:t>
            </w:r>
          </w:p>
        </w:tc>
        <w:tc>
          <w:tcPr>
            <w:tcW w:w="1689" w:type="dxa"/>
            <w:vAlign w:val="center"/>
          </w:tcPr>
          <w:p>
            <w:pPr>
              <w:widowControl/>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w:t>
            </w:r>
          </w:p>
        </w:tc>
        <w:tc>
          <w:tcPr>
            <w:tcW w:w="751" w:type="dxa"/>
            <w:shd w:val="clear" w:color="auto" w:fill="auto"/>
            <w:vAlign w:val="center"/>
          </w:tcPr>
          <w:p>
            <w:pPr>
              <w:widowControl/>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NE</w:t>
            </w:r>
          </w:p>
        </w:tc>
        <w:tc>
          <w:tcPr>
            <w:tcW w:w="903" w:type="dxa"/>
            <w:shd w:val="clear" w:color="auto" w:fill="auto"/>
            <w:vAlign w:val="center"/>
          </w:tcPr>
          <w:p>
            <w:pPr>
              <w:widowControl/>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10.66</w:t>
            </w:r>
          </w:p>
        </w:tc>
        <w:tc>
          <w:tcPr>
            <w:tcW w:w="1168" w:type="dxa"/>
            <w:vAlign w:val="center"/>
          </w:tcPr>
          <w:p>
            <w:pPr>
              <w:widowControl/>
              <w:jc w:val="center"/>
              <w:rPr>
                <w:color w:val="000000" w:themeColor="text1"/>
                <w:kern w:val="0"/>
                <w:sz w:val="21"/>
                <w:szCs w:val="21"/>
                <w14:textFill>
                  <w14:solidFill>
                    <w14:schemeClr w14:val="tx1"/>
                  </w14:solidFill>
                </w14:textFill>
              </w:rPr>
            </w:pPr>
            <w:r>
              <w:rPr>
                <w:rFonts w:hint="eastAsia"/>
                <w:color w:val="000000" w:themeColor="text1"/>
                <w:kern w:val="0"/>
                <w:sz w:val="22"/>
                <w:szCs w:val="22"/>
                <w14:textFill>
                  <w14:solidFill>
                    <w14:schemeClr w14:val="tx1"/>
                  </w14:solidFill>
                </w14:textFill>
              </w:rPr>
              <w:t>海洋景观，岸滩、岛屿生态</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285" w:hRule="atLeast"/>
        </w:trPr>
        <w:tc>
          <w:tcPr>
            <w:tcW w:w="709" w:type="dxa"/>
            <w:vMerge w:val="restart"/>
            <w:vAlign w:val="center"/>
          </w:tcPr>
          <w:p>
            <w:pPr>
              <w:widowControl/>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9</w:t>
            </w:r>
          </w:p>
        </w:tc>
        <w:tc>
          <w:tcPr>
            <w:tcW w:w="709" w:type="dxa"/>
            <w:vMerge w:val="restart"/>
            <w:vAlign w:val="center"/>
          </w:tcPr>
          <w:p>
            <w:pPr>
              <w:widowControl/>
              <w:jc w:val="center"/>
              <w:rPr>
                <w:color w:val="000000" w:themeColor="text1"/>
                <w:kern w:val="0"/>
                <w:sz w:val="21"/>
                <w:szCs w:val="21"/>
                <w14:textFill>
                  <w14:solidFill>
                    <w14:schemeClr w14:val="tx1"/>
                  </w14:solidFill>
                </w14:textFill>
              </w:rPr>
            </w:pPr>
            <w:r>
              <w:rPr>
                <w:rFonts w:hint="eastAsia"/>
                <w:color w:val="000000" w:themeColor="text1"/>
                <w:kern w:val="0"/>
                <w:sz w:val="21"/>
                <w:szCs w:val="21"/>
                <w:lang w:eastAsia="zh-CN"/>
                <w14:textFill>
                  <w14:solidFill>
                    <w14:schemeClr w14:val="tx1"/>
                  </w14:solidFill>
                </w14:textFill>
              </w:rPr>
              <w:t>其他</w:t>
            </w:r>
          </w:p>
        </w:tc>
        <w:tc>
          <w:tcPr>
            <w:tcW w:w="2599" w:type="dxa"/>
            <w:shd w:val="clear" w:color="auto" w:fill="auto"/>
            <w:vAlign w:val="center"/>
          </w:tcPr>
          <w:p>
            <w:pPr>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中华白海豚分布区</w:t>
            </w:r>
          </w:p>
        </w:tc>
        <w:tc>
          <w:tcPr>
            <w:tcW w:w="1689" w:type="dxa"/>
            <w:vMerge w:val="restart"/>
            <w:vAlign w:val="center"/>
          </w:tcPr>
          <w:p>
            <w:pPr>
              <w:widowControl/>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w:t>
            </w:r>
          </w:p>
        </w:tc>
        <w:tc>
          <w:tcPr>
            <w:tcW w:w="751" w:type="dxa"/>
            <w:shd w:val="clear" w:color="auto" w:fill="auto"/>
            <w:vAlign w:val="center"/>
          </w:tcPr>
          <w:p>
            <w:pPr>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 xml:space="preserve">SE </w:t>
            </w:r>
          </w:p>
        </w:tc>
        <w:tc>
          <w:tcPr>
            <w:tcW w:w="903" w:type="dxa"/>
            <w:shd w:val="clear" w:color="auto" w:fill="auto"/>
            <w:vAlign w:val="center"/>
          </w:tcPr>
          <w:p>
            <w:pPr>
              <w:widowControl/>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19.65</w:t>
            </w:r>
          </w:p>
        </w:tc>
        <w:tc>
          <w:tcPr>
            <w:tcW w:w="1168" w:type="dxa"/>
            <w:vAlign w:val="center"/>
          </w:tcPr>
          <w:p>
            <w:pPr>
              <w:jc w:val="center"/>
              <w:rPr>
                <w:color w:val="000000" w:themeColor="text1"/>
                <w14:textFill>
                  <w14:solidFill>
                    <w14:schemeClr w14:val="tx1"/>
                  </w14:solidFill>
                </w14:textFill>
              </w:rPr>
            </w:pPr>
            <w:r>
              <w:rPr>
                <w:rFonts w:ascii="宋体" w:hAnsi="宋体"/>
                <w:color w:val="000000" w:themeColor="text1"/>
                <w:kern w:val="0"/>
                <w:sz w:val="21"/>
                <w:szCs w:val="21"/>
                <w14:textFill>
                  <w14:solidFill>
                    <w14:schemeClr w14:val="tx1"/>
                  </w14:solidFill>
                </w14:textFill>
              </w:rPr>
              <w:t>水质、白海豚资源</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285" w:hRule="atLeast"/>
        </w:trPr>
        <w:tc>
          <w:tcPr>
            <w:tcW w:w="709" w:type="dxa"/>
            <w:vMerge w:val="continue"/>
            <w:vAlign w:val="center"/>
          </w:tcPr>
          <w:p>
            <w:pPr>
              <w:widowControl/>
              <w:jc w:val="center"/>
              <w:rPr>
                <w:color w:val="000000" w:themeColor="text1"/>
                <w:kern w:val="0"/>
                <w:sz w:val="21"/>
                <w:szCs w:val="21"/>
                <w14:textFill>
                  <w14:solidFill>
                    <w14:schemeClr w14:val="tx1"/>
                  </w14:solidFill>
                </w14:textFill>
              </w:rPr>
            </w:pPr>
          </w:p>
        </w:tc>
        <w:tc>
          <w:tcPr>
            <w:tcW w:w="709" w:type="dxa"/>
            <w:vMerge w:val="continue"/>
            <w:vAlign w:val="center"/>
          </w:tcPr>
          <w:p>
            <w:pPr>
              <w:widowControl/>
              <w:jc w:val="center"/>
              <w:rPr>
                <w:color w:val="000000" w:themeColor="text1"/>
                <w:kern w:val="0"/>
                <w:sz w:val="21"/>
                <w:szCs w:val="21"/>
                <w14:textFill>
                  <w14:solidFill>
                    <w14:schemeClr w14:val="tx1"/>
                  </w14:solidFill>
                </w14:textFill>
              </w:rPr>
            </w:pPr>
          </w:p>
        </w:tc>
        <w:tc>
          <w:tcPr>
            <w:tcW w:w="2599" w:type="dxa"/>
            <w:shd w:val="clear" w:color="auto" w:fill="auto"/>
            <w:vAlign w:val="center"/>
          </w:tcPr>
          <w:p>
            <w:pPr>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防城港核电厂取水口</w:t>
            </w:r>
          </w:p>
        </w:tc>
        <w:tc>
          <w:tcPr>
            <w:tcW w:w="1689" w:type="dxa"/>
            <w:vMerge w:val="continue"/>
            <w:vAlign w:val="center"/>
          </w:tcPr>
          <w:p>
            <w:pPr>
              <w:widowControl/>
              <w:jc w:val="center"/>
              <w:rPr>
                <w:color w:val="000000" w:themeColor="text1"/>
                <w:kern w:val="0"/>
                <w:sz w:val="21"/>
                <w:szCs w:val="21"/>
                <w14:textFill>
                  <w14:solidFill>
                    <w14:schemeClr w14:val="tx1"/>
                  </w14:solidFill>
                </w14:textFill>
              </w:rPr>
            </w:pPr>
          </w:p>
        </w:tc>
        <w:tc>
          <w:tcPr>
            <w:tcW w:w="751" w:type="dxa"/>
            <w:shd w:val="clear" w:color="auto" w:fill="auto"/>
            <w:vAlign w:val="center"/>
          </w:tcPr>
          <w:p>
            <w:pPr>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W</w:t>
            </w:r>
          </w:p>
        </w:tc>
        <w:tc>
          <w:tcPr>
            <w:tcW w:w="903" w:type="dxa"/>
            <w:shd w:val="clear" w:color="auto" w:fill="auto"/>
            <w:vAlign w:val="center"/>
          </w:tcPr>
          <w:p>
            <w:pPr>
              <w:widowControl/>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7.1</w:t>
            </w:r>
          </w:p>
        </w:tc>
        <w:tc>
          <w:tcPr>
            <w:tcW w:w="1168" w:type="dxa"/>
            <w:vMerge w:val="restart"/>
            <w:vAlign w:val="center"/>
          </w:tcPr>
          <w:p>
            <w:pPr>
              <w:widowControl/>
              <w:jc w:val="center"/>
              <w:rPr>
                <w:color w:val="000000" w:themeColor="text1"/>
                <w:kern w:val="0"/>
                <w:sz w:val="22"/>
                <w:szCs w:val="22"/>
                <w14:textFill>
                  <w14:solidFill>
                    <w14:schemeClr w14:val="tx1"/>
                  </w14:solidFill>
                </w14:textFill>
              </w:rPr>
            </w:pPr>
            <w:r>
              <w:rPr>
                <w:rFonts w:hint="eastAsia"/>
                <w:color w:val="000000" w:themeColor="text1"/>
                <w:kern w:val="0"/>
                <w:sz w:val="22"/>
                <w:szCs w:val="22"/>
                <w14:textFill>
                  <w14:solidFill>
                    <w14:schemeClr w14:val="tx1"/>
                  </w14:solidFill>
                </w14:textFill>
              </w:rPr>
              <w:t>水质</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285" w:hRule="atLeast"/>
        </w:trPr>
        <w:tc>
          <w:tcPr>
            <w:tcW w:w="709" w:type="dxa"/>
            <w:vMerge w:val="continue"/>
            <w:vAlign w:val="center"/>
          </w:tcPr>
          <w:p>
            <w:pPr>
              <w:widowControl/>
              <w:jc w:val="center"/>
              <w:rPr>
                <w:color w:val="000000" w:themeColor="text1"/>
                <w:kern w:val="0"/>
                <w:sz w:val="21"/>
                <w:szCs w:val="21"/>
                <w14:textFill>
                  <w14:solidFill>
                    <w14:schemeClr w14:val="tx1"/>
                  </w14:solidFill>
                </w14:textFill>
              </w:rPr>
            </w:pPr>
          </w:p>
        </w:tc>
        <w:tc>
          <w:tcPr>
            <w:tcW w:w="709" w:type="dxa"/>
            <w:vMerge w:val="continue"/>
            <w:vAlign w:val="center"/>
          </w:tcPr>
          <w:p>
            <w:pPr>
              <w:widowControl/>
              <w:jc w:val="center"/>
              <w:rPr>
                <w:color w:val="000000" w:themeColor="text1"/>
                <w:kern w:val="0"/>
                <w:sz w:val="21"/>
                <w:szCs w:val="21"/>
                <w14:textFill>
                  <w14:solidFill>
                    <w14:schemeClr w14:val="tx1"/>
                  </w14:solidFill>
                </w14:textFill>
              </w:rPr>
            </w:pPr>
          </w:p>
        </w:tc>
        <w:tc>
          <w:tcPr>
            <w:tcW w:w="2599" w:type="dxa"/>
            <w:shd w:val="clear" w:color="auto" w:fill="auto"/>
            <w:vAlign w:val="center"/>
          </w:tcPr>
          <w:p>
            <w:pPr>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国投钦州电厂取水口</w:t>
            </w:r>
          </w:p>
        </w:tc>
        <w:tc>
          <w:tcPr>
            <w:tcW w:w="1689" w:type="dxa"/>
            <w:vMerge w:val="continue"/>
            <w:vAlign w:val="center"/>
          </w:tcPr>
          <w:p>
            <w:pPr>
              <w:widowControl/>
              <w:jc w:val="center"/>
              <w:rPr>
                <w:color w:val="000000" w:themeColor="text1"/>
                <w:kern w:val="0"/>
                <w:sz w:val="21"/>
                <w:szCs w:val="21"/>
                <w14:textFill>
                  <w14:solidFill>
                    <w14:schemeClr w14:val="tx1"/>
                  </w14:solidFill>
                </w14:textFill>
              </w:rPr>
            </w:pPr>
          </w:p>
        </w:tc>
        <w:tc>
          <w:tcPr>
            <w:tcW w:w="751" w:type="dxa"/>
            <w:shd w:val="clear" w:color="auto" w:fill="auto"/>
            <w:vAlign w:val="center"/>
          </w:tcPr>
          <w:p>
            <w:pPr>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N</w:t>
            </w:r>
          </w:p>
        </w:tc>
        <w:tc>
          <w:tcPr>
            <w:tcW w:w="903" w:type="dxa"/>
            <w:shd w:val="clear" w:color="auto" w:fill="auto"/>
            <w:vAlign w:val="center"/>
          </w:tcPr>
          <w:p>
            <w:pPr>
              <w:widowControl/>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4.3</w:t>
            </w:r>
          </w:p>
        </w:tc>
        <w:tc>
          <w:tcPr>
            <w:tcW w:w="1168" w:type="dxa"/>
            <w:vMerge w:val="continue"/>
            <w:vAlign w:val="center"/>
          </w:tcPr>
          <w:p>
            <w:pPr>
              <w:widowControl/>
              <w:jc w:val="center"/>
              <w:rPr>
                <w:color w:val="000000" w:themeColor="text1"/>
                <w:kern w:val="0"/>
                <w:sz w:val="22"/>
                <w:szCs w:val="22"/>
                <w14:textFill>
                  <w14:solidFill>
                    <w14:schemeClr w14:val="tx1"/>
                  </w14:solidFill>
                </w14:textFill>
              </w:rPr>
            </w:pPr>
          </w:p>
        </w:tc>
      </w:tr>
      <w:bookmarkEnd w:id="63"/>
    </w:tbl>
    <w:p>
      <w:pPr>
        <w:pStyle w:val="5"/>
        <w:rPr>
          <w:color w:val="000000" w:themeColor="text1"/>
          <w14:textFill>
            <w14:solidFill>
              <w14:schemeClr w14:val="tx1"/>
            </w14:solidFill>
          </w14:textFill>
        </w:rPr>
      </w:pPr>
      <w:r>
        <w:rPr>
          <w:rFonts w:hint="eastAsia"/>
          <w:color w:val="000000" w:themeColor="text1"/>
          <w14:textFill>
            <w14:solidFill>
              <w14:schemeClr w14:val="tx1"/>
            </w14:solidFill>
          </w14:textFill>
        </w:rPr>
        <w:t>地表水环境</w:t>
      </w:r>
    </w:p>
    <w:p>
      <w:pPr>
        <w:ind w:firstLine="480"/>
        <w:rPr>
          <w:color w:val="000000" w:themeColor="text1"/>
          <w14:textFill>
            <w14:solidFill>
              <w14:schemeClr w14:val="tx1"/>
            </w14:solidFill>
          </w14:textFill>
        </w:rPr>
      </w:pPr>
      <w:r>
        <w:rPr>
          <w:color w:val="000000" w:themeColor="text1"/>
          <w14:textFill>
            <w14:solidFill>
              <w14:schemeClr w14:val="tx1"/>
            </w14:solidFill>
          </w14:textFill>
        </w:rPr>
        <w:t>项目水环境保护目标为所处水域海水水质。</w:t>
      </w:r>
      <w:r>
        <w:rPr>
          <w:rFonts w:hint="eastAsia"/>
          <w:color w:val="000000" w:themeColor="text1"/>
          <w14:textFill>
            <w14:solidFill>
              <w14:schemeClr w14:val="tx1"/>
            </w14:solidFill>
          </w14:textFill>
        </w:rPr>
        <w:t>本工程位于钦州港大榄坪港口工业区（GX055DⅣ）和钦州港大榄坪排污混合区（GX057DⅣ），均执行</w:t>
      </w:r>
      <w:r>
        <w:rPr>
          <w:color w:val="000000" w:themeColor="text1"/>
          <w14:textFill>
            <w14:solidFill>
              <w14:schemeClr w14:val="tx1"/>
            </w14:solidFill>
          </w14:textFill>
        </w:rPr>
        <w:t>海水水质标准第四类，两个功能区周围均设置0.5</w:t>
      </w:r>
      <w:r>
        <w:rPr>
          <w:rFonts w:hint="eastAsia" w:eastAsia="华文楷体"/>
          <w:color w:val="000000" w:themeColor="text1"/>
          <w14:textFill>
            <w14:solidFill>
              <w14:schemeClr w14:val="tx1"/>
            </w14:solidFill>
          </w14:textFill>
        </w:rPr>
        <w:t>km</w:t>
      </w:r>
      <w:r>
        <w:rPr>
          <w:color w:val="000000" w:themeColor="text1"/>
          <w14:textFill>
            <w14:solidFill>
              <w14:schemeClr w14:val="tx1"/>
            </w14:solidFill>
          </w14:textFill>
        </w:rPr>
        <w:t>水质过渡带，水质保护目标为海水水质标准第三类。</w:t>
      </w:r>
    </w:p>
    <w:p>
      <w:pPr>
        <w:pStyle w:val="5"/>
        <w:rPr>
          <w:color w:val="000000" w:themeColor="text1"/>
          <w14:textFill>
            <w14:solidFill>
              <w14:schemeClr w14:val="tx1"/>
            </w14:solidFill>
          </w14:textFill>
        </w:rPr>
      </w:pPr>
      <w:r>
        <w:rPr>
          <w:rFonts w:hint="eastAsia"/>
          <w:color w:val="000000" w:themeColor="text1"/>
          <w14:textFill>
            <w14:solidFill>
              <w14:schemeClr w14:val="tx1"/>
            </w14:solidFill>
          </w14:textFill>
        </w:rPr>
        <w:t>环境空气</w:t>
      </w:r>
    </w:p>
    <w:p>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本项目大气影响评价等级为三级，无大气评价范围及环境空气保护目标。</w:t>
      </w:r>
    </w:p>
    <w:p>
      <w:pPr>
        <w:pStyle w:val="5"/>
        <w:rPr>
          <w:color w:val="000000" w:themeColor="text1"/>
          <w14:textFill>
            <w14:solidFill>
              <w14:schemeClr w14:val="tx1"/>
            </w14:solidFill>
          </w14:textFill>
        </w:rPr>
      </w:pPr>
      <w:r>
        <w:rPr>
          <w:color w:val="000000" w:themeColor="text1"/>
          <w14:textFill>
            <w14:solidFill>
              <w14:schemeClr w14:val="tx1"/>
            </w14:solidFill>
          </w14:textFill>
        </w:rPr>
        <w:t>声环境</w:t>
      </w:r>
    </w:p>
    <w:p>
      <w:pPr>
        <w:pStyle w:val="283"/>
        <w:ind w:firstLine="462"/>
        <w:rPr>
          <w:color w:val="000000" w:themeColor="text1"/>
          <w14:textFill>
            <w14:solidFill>
              <w14:schemeClr w14:val="tx1"/>
            </w14:solidFill>
          </w14:textFill>
        </w:rPr>
      </w:pPr>
      <w:r>
        <w:rPr>
          <w:color w:val="000000" w:themeColor="text1"/>
          <w14:textFill>
            <w14:solidFill>
              <w14:schemeClr w14:val="tx1"/>
            </w14:solidFill>
          </w14:textFill>
        </w:rPr>
        <w:t>本项目200m范围内无声环境</w:t>
      </w:r>
      <w:r>
        <w:rPr>
          <w:rFonts w:hint="eastAsia"/>
          <w:color w:val="000000" w:themeColor="text1"/>
          <w14:textFill>
            <w14:solidFill>
              <w14:schemeClr w14:val="tx1"/>
            </w14:solidFill>
          </w14:textFill>
        </w:rPr>
        <w:t>、环境空气</w:t>
      </w:r>
      <w:r>
        <w:rPr>
          <w:color w:val="000000" w:themeColor="text1"/>
          <w14:textFill>
            <w14:solidFill>
              <w14:schemeClr w14:val="tx1"/>
            </w14:solidFill>
          </w14:textFill>
        </w:rPr>
        <w:t>敏感目标</w:t>
      </w:r>
      <w:r>
        <w:rPr>
          <w:rFonts w:hint="eastAsia"/>
          <w:color w:val="000000" w:themeColor="text1"/>
          <w14:textFill>
            <w14:solidFill>
              <w14:schemeClr w14:val="tx1"/>
            </w14:solidFill>
          </w14:textFill>
        </w:rPr>
        <w:t>。</w:t>
      </w:r>
    </w:p>
    <w:p>
      <w:pPr>
        <w:pStyle w:val="5"/>
        <w:rPr>
          <w:color w:val="000000" w:themeColor="text1"/>
          <w14:textFill>
            <w14:solidFill>
              <w14:schemeClr w14:val="tx1"/>
            </w14:solidFill>
          </w14:textFill>
        </w:rPr>
      </w:pPr>
      <w:r>
        <w:rPr>
          <w:rFonts w:hint="eastAsia"/>
          <w:color w:val="000000" w:themeColor="text1"/>
          <w14:textFill>
            <w14:solidFill>
              <w14:schemeClr w14:val="tx1"/>
            </w14:solidFill>
          </w14:textFill>
        </w:rPr>
        <w:t>环境风险</w:t>
      </w:r>
    </w:p>
    <w:p>
      <w:pPr>
        <w:pStyle w:val="283"/>
        <w:ind w:firstLine="462"/>
        <w:rPr>
          <w:color w:val="000000" w:themeColor="text1"/>
          <w14:textFill>
            <w14:solidFill>
              <w14:schemeClr w14:val="tx1"/>
            </w14:solidFill>
          </w14:textFill>
        </w:rPr>
      </w:pPr>
      <w:r>
        <w:rPr>
          <w:color w:val="000000" w:themeColor="text1"/>
          <w14:textFill>
            <w14:solidFill>
              <w14:schemeClr w14:val="tx1"/>
            </w14:solidFill>
          </w14:textFill>
        </w:rPr>
        <w:t>根据环境风险预测结果，本项目海域环境风险评价范围内的敏感目标分布见表</w:t>
      </w:r>
      <w:r>
        <w:rPr>
          <w:rFonts w:hint="eastAsia"/>
          <w:color w:val="000000" w:themeColor="text1"/>
          <w14:textFill>
            <w14:solidFill>
              <w14:schemeClr w14:val="tx1"/>
            </w14:solidFill>
          </w14:textFill>
        </w:rPr>
        <w:t>1.5-2。</w:t>
      </w:r>
    </w:p>
    <w:p>
      <w:pPr>
        <w:pStyle w:val="384"/>
        <w:ind w:left="0" w:firstLine="0"/>
        <w:rPr>
          <w:rFonts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项目风险评价环境敏感目标情况表</w:t>
      </w:r>
    </w:p>
    <w:tbl>
      <w:tblPr>
        <w:tblStyle w:val="88"/>
        <w:tblW w:w="8522" w:type="dxa"/>
        <w:jc w:val="center"/>
        <w:tblInd w:w="0" w:type="dxa"/>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
      <w:tblGrid>
        <w:gridCol w:w="866"/>
        <w:gridCol w:w="660"/>
        <w:gridCol w:w="1942"/>
        <w:gridCol w:w="43"/>
        <w:gridCol w:w="1233"/>
        <w:gridCol w:w="283"/>
        <w:gridCol w:w="893"/>
        <w:gridCol w:w="83"/>
        <w:gridCol w:w="627"/>
        <w:gridCol w:w="1892"/>
      </w:tblGrid>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20" w:hRule="atLeast"/>
          <w:tblHeader/>
          <w:jc w:val="center"/>
        </w:trPr>
        <w:tc>
          <w:tcPr>
            <w:tcW w:w="866" w:type="dxa"/>
            <w:vAlign w:val="center"/>
          </w:tcPr>
          <w:p>
            <w:pPr>
              <w:snapToGrid w:val="0"/>
              <w:spacing w:line="240" w:lineRule="atLeast"/>
              <w:jc w:val="center"/>
              <w:rPr>
                <w:b/>
                <w:bCs/>
                <w:color w:val="000000" w:themeColor="text1"/>
                <w:sz w:val="21"/>
                <w:szCs w:val="21"/>
                <w14:textFill>
                  <w14:solidFill>
                    <w14:schemeClr w14:val="tx1"/>
                  </w14:solidFill>
                </w14:textFill>
              </w:rPr>
            </w:pPr>
            <w:r>
              <w:rPr>
                <w:b/>
                <w:bCs/>
                <w:color w:val="000000" w:themeColor="text1"/>
                <w:sz w:val="21"/>
                <w:szCs w:val="21"/>
                <w14:textFill>
                  <w14:solidFill>
                    <w14:schemeClr w14:val="tx1"/>
                  </w14:solidFill>
                </w14:textFill>
              </w:rPr>
              <w:t>类别</w:t>
            </w:r>
          </w:p>
        </w:tc>
        <w:tc>
          <w:tcPr>
            <w:tcW w:w="7656" w:type="dxa"/>
            <w:gridSpan w:val="9"/>
            <w:vAlign w:val="center"/>
          </w:tcPr>
          <w:p>
            <w:pPr>
              <w:snapToGrid w:val="0"/>
              <w:spacing w:line="240" w:lineRule="atLeast"/>
              <w:jc w:val="center"/>
              <w:rPr>
                <w:b/>
                <w:bCs/>
                <w:color w:val="000000" w:themeColor="text1"/>
                <w:sz w:val="21"/>
                <w:szCs w:val="21"/>
                <w14:textFill>
                  <w14:solidFill>
                    <w14:schemeClr w14:val="tx1"/>
                  </w14:solidFill>
                </w14:textFill>
              </w:rPr>
            </w:pPr>
            <w:r>
              <w:rPr>
                <w:b/>
                <w:bCs/>
                <w:color w:val="000000" w:themeColor="text1"/>
                <w:sz w:val="21"/>
                <w:szCs w:val="21"/>
                <w14:textFill>
                  <w14:solidFill>
                    <w14:schemeClr w14:val="tx1"/>
                  </w14:solidFill>
                </w14:textFill>
              </w:rPr>
              <w:t>环境敏感特征</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20" w:hRule="atLeast"/>
          <w:jc w:val="center"/>
        </w:trPr>
        <w:tc>
          <w:tcPr>
            <w:tcW w:w="866" w:type="dxa"/>
            <w:vMerge w:val="restart"/>
            <w:vAlign w:val="center"/>
          </w:tcPr>
          <w:p>
            <w:pPr>
              <w:snapToGrid w:val="0"/>
              <w:spacing w:line="240" w:lineRule="atLeast"/>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环境风险地表水/生态敏感保护目标</w:t>
            </w:r>
          </w:p>
        </w:tc>
        <w:tc>
          <w:tcPr>
            <w:tcW w:w="7656" w:type="dxa"/>
            <w:gridSpan w:val="9"/>
            <w:vAlign w:val="center"/>
          </w:tcPr>
          <w:p>
            <w:pPr>
              <w:snapToGrid w:val="0"/>
              <w:spacing w:line="240" w:lineRule="atLeast"/>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受纳水体</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20" w:hRule="atLeast"/>
          <w:jc w:val="center"/>
        </w:trPr>
        <w:tc>
          <w:tcPr>
            <w:tcW w:w="866" w:type="dxa"/>
            <w:vMerge w:val="continue"/>
            <w:vAlign w:val="center"/>
          </w:tcPr>
          <w:p>
            <w:pPr>
              <w:snapToGrid w:val="0"/>
              <w:spacing w:line="240" w:lineRule="atLeast"/>
              <w:ind w:firstLine="420"/>
              <w:jc w:val="center"/>
              <w:rPr>
                <w:color w:val="000000" w:themeColor="text1"/>
                <w:sz w:val="21"/>
                <w:szCs w:val="21"/>
                <w14:textFill>
                  <w14:solidFill>
                    <w14:schemeClr w14:val="tx1"/>
                  </w14:solidFill>
                </w14:textFill>
              </w:rPr>
            </w:pPr>
          </w:p>
        </w:tc>
        <w:tc>
          <w:tcPr>
            <w:tcW w:w="660" w:type="dxa"/>
            <w:vAlign w:val="center"/>
          </w:tcPr>
          <w:p>
            <w:pPr>
              <w:snapToGrid w:val="0"/>
              <w:spacing w:line="240" w:lineRule="atLeast"/>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序号</w:t>
            </w:r>
          </w:p>
        </w:tc>
        <w:tc>
          <w:tcPr>
            <w:tcW w:w="1942" w:type="dxa"/>
            <w:vAlign w:val="center"/>
          </w:tcPr>
          <w:p>
            <w:pPr>
              <w:snapToGrid w:val="0"/>
              <w:spacing w:line="240" w:lineRule="atLeast"/>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受纳水体名称</w:t>
            </w:r>
          </w:p>
        </w:tc>
        <w:tc>
          <w:tcPr>
            <w:tcW w:w="2535" w:type="dxa"/>
            <w:gridSpan w:val="5"/>
            <w:vAlign w:val="center"/>
          </w:tcPr>
          <w:p>
            <w:pPr>
              <w:snapToGrid w:val="0"/>
              <w:spacing w:line="240" w:lineRule="atLeast"/>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排放点水域环境功能</w:t>
            </w:r>
          </w:p>
        </w:tc>
        <w:tc>
          <w:tcPr>
            <w:tcW w:w="2519" w:type="dxa"/>
            <w:gridSpan w:val="2"/>
            <w:vAlign w:val="center"/>
          </w:tcPr>
          <w:p>
            <w:pPr>
              <w:snapToGrid w:val="0"/>
              <w:spacing w:line="240" w:lineRule="atLeast"/>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24 h内流经范围/km</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20" w:hRule="atLeast"/>
          <w:jc w:val="center"/>
        </w:trPr>
        <w:tc>
          <w:tcPr>
            <w:tcW w:w="866" w:type="dxa"/>
            <w:vMerge w:val="continue"/>
            <w:vAlign w:val="center"/>
          </w:tcPr>
          <w:p>
            <w:pPr>
              <w:snapToGrid w:val="0"/>
              <w:spacing w:line="240" w:lineRule="atLeast"/>
              <w:ind w:firstLine="420"/>
              <w:jc w:val="center"/>
              <w:rPr>
                <w:color w:val="000000" w:themeColor="text1"/>
                <w:sz w:val="21"/>
                <w:szCs w:val="21"/>
                <w14:textFill>
                  <w14:solidFill>
                    <w14:schemeClr w14:val="tx1"/>
                  </w14:solidFill>
                </w14:textFill>
              </w:rPr>
            </w:pPr>
          </w:p>
        </w:tc>
        <w:tc>
          <w:tcPr>
            <w:tcW w:w="660" w:type="dxa"/>
            <w:vAlign w:val="center"/>
          </w:tcPr>
          <w:p>
            <w:pPr>
              <w:snapToGrid w:val="0"/>
              <w:spacing w:line="240" w:lineRule="atLeast"/>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w:t>
            </w:r>
          </w:p>
        </w:tc>
        <w:tc>
          <w:tcPr>
            <w:tcW w:w="1942" w:type="dxa"/>
            <w:vAlign w:val="center"/>
          </w:tcPr>
          <w:p>
            <w:pPr>
              <w:snapToGrid w:val="0"/>
              <w:spacing w:line="240" w:lineRule="atLeast"/>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钦州湾</w:t>
            </w:r>
          </w:p>
        </w:tc>
        <w:tc>
          <w:tcPr>
            <w:tcW w:w="2535" w:type="dxa"/>
            <w:gridSpan w:val="5"/>
            <w:vAlign w:val="center"/>
          </w:tcPr>
          <w:p>
            <w:pPr>
              <w:snapToGrid w:val="0"/>
              <w:spacing w:line="240" w:lineRule="atLeast"/>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第四类海水功能区</w:t>
            </w:r>
          </w:p>
        </w:tc>
        <w:tc>
          <w:tcPr>
            <w:tcW w:w="2519" w:type="dxa"/>
            <w:gridSpan w:val="2"/>
            <w:vAlign w:val="center"/>
          </w:tcPr>
          <w:p>
            <w:pPr>
              <w:snapToGrid w:val="0"/>
              <w:spacing w:line="240" w:lineRule="atLeast"/>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2</w:t>
            </w:r>
            <w:r>
              <w:rPr>
                <w:color w:val="000000" w:themeColor="text1"/>
                <w:sz w:val="21"/>
                <w:szCs w:val="21"/>
                <w14:textFill>
                  <w14:solidFill>
                    <w14:schemeClr w14:val="tx1"/>
                  </w14:solidFill>
                </w14:textFill>
              </w:rPr>
              <w:t>5</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20" w:hRule="atLeast"/>
          <w:jc w:val="center"/>
        </w:trPr>
        <w:tc>
          <w:tcPr>
            <w:tcW w:w="866" w:type="dxa"/>
            <w:vMerge w:val="continue"/>
            <w:vAlign w:val="center"/>
          </w:tcPr>
          <w:p>
            <w:pPr>
              <w:snapToGrid w:val="0"/>
              <w:spacing w:line="240" w:lineRule="atLeast"/>
              <w:ind w:firstLine="420"/>
              <w:jc w:val="center"/>
              <w:rPr>
                <w:color w:val="000000" w:themeColor="text1"/>
                <w:sz w:val="21"/>
                <w:szCs w:val="21"/>
                <w14:textFill>
                  <w14:solidFill>
                    <w14:schemeClr w14:val="tx1"/>
                  </w14:solidFill>
                </w14:textFill>
              </w:rPr>
            </w:pPr>
          </w:p>
        </w:tc>
        <w:tc>
          <w:tcPr>
            <w:tcW w:w="7656" w:type="dxa"/>
            <w:gridSpan w:val="9"/>
            <w:vAlign w:val="center"/>
          </w:tcPr>
          <w:p>
            <w:pPr>
              <w:snapToGrid w:val="0"/>
              <w:spacing w:line="240" w:lineRule="atLeast"/>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范围内敏感目标</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20" w:hRule="atLeast"/>
          <w:jc w:val="center"/>
        </w:trPr>
        <w:tc>
          <w:tcPr>
            <w:tcW w:w="866" w:type="dxa"/>
            <w:vMerge w:val="continue"/>
            <w:vAlign w:val="center"/>
          </w:tcPr>
          <w:p>
            <w:pPr>
              <w:snapToGrid w:val="0"/>
              <w:spacing w:line="240" w:lineRule="atLeast"/>
              <w:ind w:firstLine="420"/>
              <w:jc w:val="center"/>
              <w:rPr>
                <w:color w:val="000000" w:themeColor="text1"/>
                <w:sz w:val="21"/>
                <w:szCs w:val="21"/>
                <w14:textFill>
                  <w14:solidFill>
                    <w14:schemeClr w14:val="tx1"/>
                  </w14:solidFill>
                </w14:textFill>
              </w:rPr>
            </w:pPr>
          </w:p>
        </w:tc>
        <w:tc>
          <w:tcPr>
            <w:tcW w:w="660" w:type="dxa"/>
            <w:vAlign w:val="center"/>
          </w:tcPr>
          <w:p>
            <w:pPr>
              <w:snapToGrid w:val="0"/>
              <w:spacing w:line="240" w:lineRule="atLeast"/>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序号</w:t>
            </w:r>
          </w:p>
        </w:tc>
        <w:tc>
          <w:tcPr>
            <w:tcW w:w="1985" w:type="dxa"/>
            <w:gridSpan w:val="2"/>
            <w:vAlign w:val="center"/>
          </w:tcPr>
          <w:p>
            <w:pPr>
              <w:snapToGrid w:val="0"/>
              <w:spacing w:line="240" w:lineRule="atLeast"/>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敏感目标名称</w:t>
            </w:r>
          </w:p>
        </w:tc>
        <w:tc>
          <w:tcPr>
            <w:tcW w:w="2409" w:type="dxa"/>
            <w:gridSpan w:val="3"/>
            <w:vAlign w:val="center"/>
          </w:tcPr>
          <w:p>
            <w:pPr>
              <w:snapToGrid w:val="0"/>
              <w:spacing w:line="240" w:lineRule="atLeast"/>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环境敏感特征</w:t>
            </w:r>
          </w:p>
        </w:tc>
        <w:tc>
          <w:tcPr>
            <w:tcW w:w="710" w:type="dxa"/>
            <w:gridSpan w:val="2"/>
            <w:vAlign w:val="center"/>
          </w:tcPr>
          <w:p>
            <w:pPr>
              <w:snapToGrid w:val="0"/>
              <w:spacing w:line="240" w:lineRule="atLeast"/>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水质目标</w:t>
            </w:r>
          </w:p>
        </w:tc>
        <w:tc>
          <w:tcPr>
            <w:tcW w:w="1892" w:type="dxa"/>
            <w:vAlign w:val="center"/>
          </w:tcPr>
          <w:p>
            <w:pPr>
              <w:snapToGrid w:val="0"/>
              <w:spacing w:line="240" w:lineRule="atLeast"/>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与排放点距离</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20" w:hRule="atLeast"/>
          <w:jc w:val="center"/>
        </w:trPr>
        <w:tc>
          <w:tcPr>
            <w:tcW w:w="866" w:type="dxa"/>
            <w:vMerge w:val="continue"/>
            <w:vAlign w:val="center"/>
          </w:tcPr>
          <w:p>
            <w:pPr>
              <w:snapToGrid w:val="0"/>
              <w:spacing w:line="240" w:lineRule="atLeast"/>
              <w:ind w:firstLine="420"/>
              <w:jc w:val="center"/>
              <w:rPr>
                <w:color w:val="000000" w:themeColor="text1"/>
                <w:sz w:val="21"/>
                <w:szCs w:val="21"/>
                <w14:textFill>
                  <w14:solidFill>
                    <w14:schemeClr w14:val="tx1"/>
                  </w14:solidFill>
                </w14:textFill>
              </w:rPr>
            </w:pPr>
          </w:p>
        </w:tc>
        <w:tc>
          <w:tcPr>
            <w:tcW w:w="660" w:type="dxa"/>
            <w:vAlign w:val="center"/>
          </w:tcPr>
          <w:p>
            <w:pPr>
              <w:snapToGrid w:val="0"/>
              <w:spacing w:line="240" w:lineRule="atLeast"/>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1</w:t>
            </w:r>
          </w:p>
        </w:tc>
        <w:tc>
          <w:tcPr>
            <w:tcW w:w="1985" w:type="dxa"/>
            <w:gridSpan w:val="2"/>
            <w:vAlign w:val="center"/>
          </w:tcPr>
          <w:p>
            <w:pPr>
              <w:snapToGrid w:val="0"/>
              <w:spacing w:line="240" w:lineRule="atLeast"/>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广西茅尾海红树林自治区级自然保护区（七十二泾片）</w:t>
            </w:r>
          </w:p>
        </w:tc>
        <w:tc>
          <w:tcPr>
            <w:tcW w:w="1516" w:type="dxa"/>
            <w:gridSpan w:val="2"/>
            <w:vAlign w:val="center"/>
          </w:tcPr>
          <w:p>
            <w:pPr>
              <w:snapToGrid w:val="0"/>
              <w:spacing w:line="240" w:lineRule="atLeast"/>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自然保护区</w:t>
            </w:r>
          </w:p>
        </w:tc>
        <w:tc>
          <w:tcPr>
            <w:tcW w:w="893" w:type="dxa"/>
            <w:vAlign w:val="center"/>
          </w:tcPr>
          <w:p>
            <w:pPr>
              <w:snapToGrid w:val="0"/>
              <w:spacing w:line="240" w:lineRule="atLeast"/>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水质、红树林生态</w:t>
            </w:r>
          </w:p>
        </w:tc>
        <w:tc>
          <w:tcPr>
            <w:tcW w:w="710" w:type="dxa"/>
            <w:gridSpan w:val="2"/>
            <w:vAlign w:val="center"/>
          </w:tcPr>
          <w:p>
            <w:pPr>
              <w:snapToGrid w:val="0"/>
              <w:spacing w:line="240" w:lineRule="atLeast"/>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w:t>
            </w:r>
          </w:p>
        </w:tc>
        <w:tc>
          <w:tcPr>
            <w:tcW w:w="1892" w:type="dxa"/>
            <w:vAlign w:val="center"/>
          </w:tcPr>
          <w:p>
            <w:pPr>
              <w:snapToGrid w:val="0"/>
              <w:spacing w:line="240" w:lineRule="atLeast"/>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NNW，</w:t>
            </w:r>
            <w:r>
              <w:rPr>
                <w:rFonts w:hint="eastAsia"/>
                <w:color w:val="000000" w:themeColor="text1"/>
                <w:sz w:val="21"/>
                <w:szCs w:val="21"/>
                <w14:textFill>
                  <w14:solidFill>
                    <w14:schemeClr w14:val="tx1"/>
                  </w14:solidFill>
                </w14:textFill>
              </w:rPr>
              <w:t>10.6km</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20" w:hRule="atLeast"/>
          <w:jc w:val="center"/>
        </w:trPr>
        <w:tc>
          <w:tcPr>
            <w:tcW w:w="866" w:type="dxa"/>
            <w:vMerge w:val="continue"/>
            <w:vAlign w:val="center"/>
          </w:tcPr>
          <w:p>
            <w:pPr>
              <w:snapToGrid w:val="0"/>
              <w:spacing w:line="240" w:lineRule="atLeast"/>
              <w:ind w:firstLine="420"/>
              <w:jc w:val="center"/>
              <w:rPr>
                <w:color w:val="000000" w:themeColor="text1"/>
                <w:sz w:val="21"/>
                <w:szCs w:val="21"/>
                <w14:textFill>
                  <w14:solidFill>
                    <w14:schemeClr w14:val="tx1"/>
                  </w14:solidFill>
                </w14:textFill>
              </w:rPr>
            </w:pPr>
          </w:p>
        </w:tc>
        <w:tc>
          <w:tcPr>
            <w:tcW w:w="660" w:type="dxa"/>
            <w:vAlign w:val="center"/>
          </w:tcPr>
          <w:p>
            <w:pPr>
              <w:snapToGrid w:val="0"/>
              <w:spacing w:line="240" w:lineRule="atLeast"/>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2</w:t>
            </w:r>
          </w:p>
        </w:tc>
        <w:tc>
          <w:tcPr>
            <w:tcW w:w="1985" w:type="dxa"/>
            <w:gridSpan w:val="2"/>
            <w:vAlign w:val="center"/>
          </w:tcPr>
          <w:p>
            <w:pPr>
              <w:snapToGrid w:val="0"/>
              <w:spacing w:line="240" w:lineRule="atLeast"/>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茅尾海国家级海洋公园</w:t>
            </w:r>
          </w:p>
        </w:tc>
        <w:tc>
          <w:tcPr>
            <w:tcW w:w="1516" w:type="dxa"/>
            <w:gridSpan w:val="2"/>
            <w:vAlign w:val="center"/>
          </w:tcPr>
          <w:p>
            <w:pPr>
              <w:snapToGrid w:val="0"/>
              <w:spacing w:line="240" w:lineRule="atLeast"/>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海洋公园</w:t>
            </w:r>
          </w:p>
        </w:tc>
        <w:tc>
          <w:tcPr>
            <w:tcW w:w="893" w:type="dxa"/>
            <w:vAlign w:val="center"/>
          </w:tcPr>
          <w:p>
            <w:pPr>
              <w:snapToGrid w:val="0"/>
              <w:spacing w:line="240" w:lineRule="atLeast"/>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水质、红树林生态</w:t>
            </w:r>
          </w:p>
        </w:tc>
        <w:tc>
          <w:tcPr>
            <w:tcW w:w="710" w:type="dxa"/>
            <w:gridSpan w:val="2"/>
            <w:vAlign w:val="center"/>
          </w:tcPr>
          <w:p>
            <w:pPr>
              <w:snapToGrid w:val="0"/>
              <w:spacing w:line="240" w:lineRule="atLeast"/>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w:t>
            </w:r>
          </w:p>
        </w:tc>
        <w:tc>
          <w:tcPr>
            <w:tcW w:w="1892" w:type="dxa"/>
            <w:vAlign w:val="center"/>
          </w:tcPr>
          <w:p>
            <w:pPr>
              <w:snapToGrid w:val="0"/>
              <w:spacing w:line="240" w:lineRule="atLeast"/>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NNW，</w:t>
            </w:r>
            <w:r>
              <w:rPr>
                <w:rFonts w:hint="eastAsia"/>
                <w:color w:val="000000" w:themeColor="text1"/>
                <w:sz w:val="21"/>
                <w:szCs w:val="21"/>
                <w14:textFill>
                  <w14:solidFill>
                    <w14:schemeClr w14:val="tx1"/>
                  </w14:solidFill>
                </w14:textFill>
              </w:rPr>
              <w:t>17.5km</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20" w:hRule="atLeast"/>
          <w:jc w:val="center"/>
        </w:trPr>
        <w:tc>
          <w:tcPr>
            <w:tcW w:w="866" w:type="dxa"/>
            <w:vMerge w:val="continue"/>
            <w:vAlign w:val="center"/>
          </w:tcPr>
          <w:p>
            <w:pPr>
              <w:snapToGrid w:val="0"/>
              <w:spacing w:line="240" w:lineRule="atLeast"/>
              <w:ind w:firstLine="420"/>
              <w:jc w:val="center"/>
              <w:rPr>
                <w:color w:val="000000" w:themeColor="text1"/>
                <w:sz w:val="21"/>
                <w:szCs w:val="21"/>
                <w14:textFill>
                  <w14:solidFill>
                    <w14:schemeClr w14:val="tx1"/>
                  </w14:solidFill>
                </w14:textFill>
              </w:rPr>
            </w:pPr>
          </w:p>
        </w:tc>
        <w:tc>
          <w:tcPr>
            <w:tcW w:w="660" w:type="dxa"/>
            <w:vAlign w:val="center"/>
          </w:tcPr>
          <w:p>
            <w:pPr>
              <w:snapToGrid w:val="0"/>
              <w:spacing w:line="240" w:lineRule="atLeast"/>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3</w:t>
            </w:r>
          </w:p>
        </w:tc>
        <w:tc>
          <w:tcPr>
            <w:tcW w:w="1985" w:type="dxa"/>
            <w:gridSpan w:val="2"/>
            <w:vAlign w:val="center"/>
          </w:tcPr>
          <w:p>
            <w:pPr>
              <w:snapToGrid w:val="0"/>
              <w:spacing w:line="240" w:lineRule="atLeast"/>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钦州市鹿耳环重要滩涂及浅海水域红线区</w:t>
            </w:r>
          </w:p>
        </w:tc>
        <w:tc>
          <w:tcPr>
            <w:tcW w:w="1516" w:type="dxa"/>
            <w:gridSpan w:val="2"/>
            <w:vMerge w:val="restart"/>
            <w:vAlign w:val="center"/>
          </w:tcPr>
          <w:p>
            <w:pPr>
              <w:snapToGrid w:val="0"/>
              <w:spacing w:line="240" w:lineRule="atLeast"/>
              <w:jc w:val="center"/>
              <w:rPr>
                <w:color w:val="000000" w:themeColor="text1"/>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《钦州市国土空间总体规划（2021—2035年）》</w:t>
            </w:r>
            <w:r>
              <w:rPr>
                <w:color w:val="000000" w:themeColor="text1"/>
                <w:sz w:val="21"/>
                <w:szCs w:val="21"/>
                <w14:textFill>
                  <w14:solidFill>
                    <w14:schemeClr w14:val="tx1"/>
                  </w14:solidFill>
                </w14:textFill>
              </w:rPr>
              <w:t>生态保护红线</w:t>
            </w:r>
          </w:p>
        </w:tc>
        <w:tc>
          <w:tcPr>
            <w:tcW w:w="893" w:type="dxa"/>
            <w:vAlign w:val="center"/>
          </w:tcPr>
          <w:p>
            <w:pPr>
              <w:snapToGrid w:val="0"/>
              <w:spacing w:line="240" w:lineRule="atLeast"/>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水质、生态环境</w:t>
            </w:r>
          </w:p>
        </w:tc>
        <w:tc>
          <w:tcPr>
            <w:tcW w:w="710" w:type="dxa"/>
            <w:gridSpan w:val="2"/>
            <w:vAlign w:val="center"/>
          </w:tcPr>
          <w:p>
            <w:pPr>
              <w:snapToGrid w:val="0"/>
              <w:spacing w:line="240" w:lineRule="atLeast"/>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w:t>
            </w:r>
          </w:p>
        </w:tc>
        <w:tc>
          <w:tcPr>
            <w:tcW w:w="1892" w:type="dxa"/>
            <w:vAlign w:val="center"/>
          </w:tcPr>
          <w:p>
            <w:pPr>
              <w:snapToGrid w:val="0"/>
              <w:spacing w:line="240" w:lineRule="atLeast"/>
              <w:jc w:val="center"/>
              <w:rPr>
                <w:color w:val="000000" w:themeColor="text1"/>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SE</w:t>
            </w:r>
            <w:r>
              <w:rPr>
                <w:rFonts w:hint="eastAsia"/>
                <w:color w:val="000000" w:themeColor="text1"/>
                <w:sz w:val="21"/>
                <w:szCs w:val="20"/>
                <w14:textFill>
                  <w14:solidFill>
                    <w14:schemeClr w14:val="tx1"/>
                  </w14:solidFill>
                </w14:textFill>
              </w:rPr>
              <w:t>，6.8km（三墩公路相隔）</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20" w:hRule="atLeast"/>
          <w:jc w:val="center"/>
        </w:trPr>
        <w:tc>
          <w:tcPr>
            <w:tcW w:w="866" w:type="dxa"/>
            <w:vMerge w:val="continue"/>
            <w:vAlign w:val="center"/>
          </w:tcPr>
          <w:p>
            <w:pPr>
              <w:snapToGrid w:val="0"/>
              <w:spacing w:line="240" w:lineRule="atLeast"/>
              <w:ind w:firstLine="420"/>
              <w:jc w:val="center"/>
              <w:rPr>
                <w:color w:val="000000" w:themeColor="text1"/>
                <w:sz w:val="21"/>
                <w:szCs w:val="21"/>
                <w14:textFill>
                  <w14:solidFill>
                    <w14:schemeClr w14:val="tx1"/>
                  </w14:solidFill>
                </w14:textFill>
              </w:rPr>
            </w:pPr>
          </w:p>
        </w:tc>
        <w:tc>
          <w:tcPr>
            <w:tcW w:w="660" w:type="dxa"/>
            <w:vAlign w:val="center"/>
          </w:tcPr>
          <w:p>
            <w:pPr>
              <w:snapToGrid w:val="0"/>
              <w:spacing w:line="240" w:lineRule="atLeast"/>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4</w:t>
            </w:r>
          </w:p>
        </w:tc>
        <w:tc>
          <w:tcPr>
            <w:tcW w:w="1985" w:type="dxa"/>
            <w:gridSpan w:val="2"/>
            <w:vAlign w:val="center"/>
          </w:tcPr>
          <w:p>
            <w:pPr>
              <w:snapToGrid w:val="0"/>
              <w:spacing w:line="240" w:lineRule="atLeast"/>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北部湾水源涵养生态保护红线区</w:t>
            </w:r>
          </w:p>
        </w:tc>
        <w:tc>
          <w:tcPr>
            <w:tcW w:w="1516" w:type="dxa"/>
            <w:gridSpan w:val="2"/>
            <w:vMerge w:val="continue"/>
            <w:vAlign w:val="center"/>
          </w:tcPr>
          <w:p>
            <w:pPr>
              <w:snapToGrid w:val="0"/>
              <w:spacing w:line="240" w:lineRule="atLeast"/>
              <w:jc w:val="center"/>
              <w:rPr>
                <w:color w:val="000000" w:themeColor="text1"/>
                <w:sz w:val="21"/>
                <w:szCs w:val="21"/>
                <w14:textFill>
                  <w14:solidFill>
                    <w14:schemeClr w14:val="tx1"/>
                  </w14:solidFill>
                </w14:textFill>
              </w:rPr>
            </w:pPr>
          </w:p>
        </w:tc>
        <w:tc>
          <w:tcPr>
            <w:tcW w:w="893" w:type="dxa"/>
            <w:vAlign w:val="center"/>
          </w:tcPr>
          <w:p>
            <w:pPr>
              <w:snapToGrid w:val="0"/>
              <w:spacing w:line="240" w:lineRule="atLeast"/>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水源涵养</w:t>
            </w:r>
          </w:p>
        </w:tc>
        <w:tc>
          <w:tcPr>
            <w:tcW w:w="710" w:type="dxa"/>
            <w:gridSpan w:val="2"/>
            <w:vAlign w:val="center"/>
          </w:tcPr>
          <w:p>
            <w:pPr>
              <w:snapToGrid w:val="0"/>
              <w:spacing w:line="240" w:lineRule="atLeast"/>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w:t>
            </w:r>
          </w:p>
        </w:tc>
        <w:tc>
          <w:tcPr>
            <w:tcW w:w="1892" w:type="dxa"/>
            <w:vAlign w:val="center"/>
          </w:tcPr>
          <w:p>
            <w:pPr>
              <w:snapToGrid w:val="0"/>
              <w:spacing w:line="240" w:lineRule="atLeast"/>
              <w:jc w:val="center"/>
              <w:rPr>
                <w:color w:val="000000" w:themeColor="text1"/>
                <w:sz w:val="21"/>
                <w:szCs w:val="21"/>
                <w14:textFill>
                  <w14:solidFill>
                    <w14:schemeClr w14:val="tx1"/>
                  </w14:solidFill>
                </w14:textFill>
              </w:rPr>
            </w:pPr>
            <w:r>
              <w:rPr>
                <w:rFonts w:hint="eastAsia"/>
                <w:color w:val="000000" w:themeColor="text1"/>
                <w:sz w:val="21"/>
                <w:szCs w:val="20"/>
                <w14:textFill>
                  <w14:solidFill>
                    <w14:schemeClr w14:val="tx1"/>
                  </w14:solidFill>
                </w14:textFill>
              </w:rPr>
              <w:t>E，5.3km</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20" w:hRule="atLeast"/>
          <w:jc w:val="center"/>
        </w:trPr>
        <w:tc>
          <w:tcPr>
            <w:tcW w:w="866" w:type="dxa"/>
            <w:vMerge w:val="continue"/>
            <w:vAlign w:val="center"/>
          </w:tcPr>
          <w:p>
            <w:pPr>
              <w:snapToGrid w:val="0"/>
              <w:spacing w:line="240" w:lineRule="atLeast"/>
              <w:ind w:firstLine="420"/>
              <w:jc w:val="center"/>
              <w:rPr>
                <w:color w:val="000000" w:themeColor="text1"/>
                <w:sz w:val="21"/>
                <w:szCs w:val="21"/>
                <w14:textFill>
                  <w14:solidFill>
                    <w14:schemeClr w14:val="tx1"/>
                  </w14:solidFill>
                </w14:textFill>
              </w:rPr>
            </w:pPr>
          </w:p>
        </w:tc>
        <w:tc>
          <w:tcPr>
            <w:tcW w:w="660" w:type="dxa"/>
            <w:vAlign w:val="center"/>
          </w:tcPr>
          <w:p>
            <w:pPr>
              <w:snapToGrid w:val="0"/>
              <w:spacing w:line="240" w:lineRule="atLeast"/>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5</w:t>
            </w:r>
          </w:p>
        </w:tc>
        <w:tc>
          <w:tcPr>
            <w:tcW w:w="1985" w:type="dxa"/>
            <w:gridSpan w:val="2"/>
            <w:vAlign w:val="center"/>
          </w:tcPr>
          <w:p>
            <w:pPr>
              <w:snapToGrid w:val="0"/>
              <w:spacing w:line="240" w:lineRule="atLeast"/>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钦州市月亮湾海岸防护极重要区</w:t>
            </w:r>
          </w:p>
        </w:tc>
        <w:tc>
          <w:tcPr>
            <w:tcW w:w="1516" w:type="dxa"/>
            <w:gridSpan w:val="2"/>
            <w:vMerge w:val="continue"/>
            <w:vAlign w:val="center"/>
          </w:tcPr>
          <w:p>
            <w:pPr>
              <w:snapToGrid w:val="0"/>
              <w:spacing w:line="240" w:lineRule="atLeast"/>
              <w:jc w:val="center"/>
              <w:rPr>
                <w:color w:val="000000" w:themeColor="text1"/>
                <w:sz w:val="21"/>
                <w:szCs w:val="21"/>
                <w14:textFill>
                  <w14:solidFill>
                    <w14:schemeClr w14:val="tx1"/>
                  </w14:solidFill>
                </w14:textFill>
              </w:rPr>
            </w:pPr>
          </w:p>
        </w:tc>
        <w:tc>
          <w:tcPr>
            <w:tcW w:w="893" w:type="dxa"/>
            <w:vAlign w:val="center"/>
          </w:tcPr>
          <w:p>
            <w:pPr>
              <w:snapToGrid w:val="0"/>
              <w:spacing w:line="240" w:lineRule="atLeast"/>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水质、生态环境</w:t>
            </w:r>
          </w:p>
        </w:tc>
        <w:tc>
          <w:tcPr>
            <w:tcW w:w="710" w:type="dxa"/>
            <w:gridSpan w:val="2"/>
            <w:vAlign w:val="center"/>
          </w:tcPr>
          <w:p>
            <w:pPr>
              <w:snapToGrid w:val="0"/>
              <w:spacing w:line="240" w:lineRule="atLeast"/>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w:t>
            </w:r>
          </w:p>
        </w:tc>
        <w:tc>
          <w:tcPr>
            <w:tcW w:w="1892" w:type="dxa"/>
            <w:vAlign w:val="center"/>
          </w:tcPr>
          <w:p>
            <w:pPr>
              <w:snapToGrid w:val="0"/>
              <w:spacing w:line="240" w:lineRule="atLeast"/>
              <w:jc w:val="center"/>
              <w:rPr>
                <w:color w:val="000000" w:themeColor="text1"/>
                <w:sz w:val="21"/>
                <w:szCs w:val="21"/>
                <w14:textFill>
                  <w14:solidFill>
                    <w14:schemeClr w14:val="tx1"/>
                  </w14:solidFill>
                </w14:textFill>
              </w:rPr>
            </w:pPr>
            <w:r>
              <w:rPr>
                <w:rFonts w:hint="eastAsia"/>
                <w:color w:val="000000" w:themeColor="text1"/>
                <w:sz w:val="21"/>
                <w:szCs w:val="20"/>
                <w14:textFill>
                  <w14:solidFill>
                    <w14:schemeClr w14:val="tx1"/>
                  </w14:solidFill>
                </w14:textFill>
              </w:rPr>
              <w:t>SE，6.7km</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20" w:hRule="atLeast"/>
          <w:jc w:val="center"/>
        </w:trPr>
        <w:tc>
          <w:tcPr>
            <w:tcW w:w="866" w:type="dxa"/>
            <w:vMerge w:val="continue"/>
            <w:vAlign w:val="center"/>
          </w:tcPr>
          <w:p>
            <w:pPr>
              <w:snapToGrid w:val="0"/>
              <w:spacing w:line="240" w:lineRule="atLeast"/>
              <w:ind w:firstLine="420"/>
              <w:jc w:val="center"/>
              <w:rPr>
                <w:color w:val="000000" w:themeColor="text1"/>
                <w:sz w:val="21"/>
                <w:szCs w:val="21"/>
                <w14:textFill>
                  <w14:solidFill>
                    <w14:schemeClr w14:val="tx1"/>
                  </w14:solidFill>
                </w14:textFill>
              </w:rPr>
            </w:pPr>
          </w:p>
        </w:tc>
        <w:tc>
          <w:tcPr>
            <w:tcW w:w="660" w:type="dxa"/>
            <w:vAlign w:val="center"/>
          </w:tcPr>
          <w:p>
            <w:pPr>
              <w:snapToGrid w:val="0"/>
              <w:spacing w:line="240" w:lineRule="atLeast"/>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6</w:t>
            </w:r>
          </w:p>
        </w:tc>
        <w:tc>
          <w:tcPr>
            <w:tcW w:w="1985" w:type="dxa"/>
            <w:gridSpan w:val="2"/>
            <w:vAlign w:val="center"/>
          </w:tcPr>
          <w:p>
            <w:pPr>
              <w:snapToGrid w:val="0"/>
              <w:spacing w:line="240" w:lineRule="atLeast"/>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钦州市七十二泾红树林红线区</w:t>
            </w:r>
          </w:p>
        </w:tc>
        <w:tc>
          <w:tcPr>
            <w:tcW w:w="1516" w:type="dxa"/>
            <w:gridSpan w:val="2"/>
            <w:vMerge w:val="continue"/>
            <w:vAlign w:val="center"/>
          </w:tcPr>
          <w:p>
            <w:pPr>
              <w:snapToGrid w:val="0"/>
              <w:spacing w:line="240" w:lineRule="atLeast"/>
              <w:jc w:val="center"/>
              <w:rPr>
                <w:color w:val="000000" w:themeColor="text1"/>
                <w:sz w:val="21"/>
                <w:szCs w:val="21"/>
                <w14:textFill>
                  <w14:solidFill>
                    <w14:schemeClr w14:val="tx1"/>
                  </w14:solidFill>
                </w14:textFill>
              </w:rPr>
            </w:pPr>
          </w:p>
        </w:tc>
        <w:tc>
          <w:tcPr>
            <w:tcW w:w="893" w:type="dxa"/>
            <w:vAlign w:val="center"/>
          </w:tcPr>
          <w:p>
            <w:pPr>
              <w:snapToGrid w:val="0"/>
              <w:spacing w:line="240" w:lineRule="atLeast"/>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红树林</w:t>
            </w:r>
          </w:p>
        </w:tc>
        <w:tc>
          <w:tcPr>
            <w:tcW w:w="710" w:type="dxa"/>
            <w:gridSpan w:val="2"/>
            <w:vAlign w:val="center"/>
          </w:tcPr>
          <w:p>
            <w:pPr>
              <w:snapToGrid w:val="0"/>
              <w:spacing w:line="240" w:lineRule="atLeast"/>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w:t>
            </w:r>
          </w:p>
        </w:tc>
        <w:tc>
          <w:tcPr>
            <w:tcW w:w="1892" w:type="dxa"/>
            <w:vAlign w:val="center"/>
          </w:tcPr>
          <w:p>
            <w:pPr>
              <w:snapToGrid w:val="0"/>
              <w:spacing w:line="240" w:lineRule="atLeast"/>
              <w:jc w:val="center"/>
              <w:rPr>
                <w:color w:val="000000" w:themeColor="text1"/>
                <w:sz w:val="21"/>
                <w:szCs w:val="20"/>
                <w14:textFill>
                  <w14:solidFill>
                    <w14:schemeClr w14:val="tx1"/>
                  </w14:solidFill>
                </w14:textFill>
              </w:rPr>
            </w:pPr>
            <w:r>
              <w:rPr>
                <w:color w:val="000000" w:themeColor="text1"/>
                <w:sz w:val="21"/>
                <w:szCs w:val="21"/>
                <w14:textFill>
                  <w14:solidFill>
                    <w14:schemeClr w14:val="tx1"/>
                  </w14:solidFill>
                </w14:textFill>
              </w:rPr>
              <w:t>NNW，</w:t>
            </w:r>
            <w:r>
              <w:rPr>
                <w:rFonts w:hint="eastAsia"/>
                <w:color w:val="000000" w:themeColor="text1"/>
                <w:sz w:val="21"/>
                <w:szCs w:val="21"/>
                <w14:textFill>
                  <w14:solidFill>
                    <w14:schemeClr w14:val="tx1"/>
                  </w14:solidFill>
                </w14:textFill>
              </w:rPr>
              <w:t>10.6km</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773" w:hRule="atLeast"/>
          <w:jc w:val="center"/>
        </w:trPr>
        <w:tc>
          <w:tcPr>
            <w:tcW w:w="866" w:type="dxa"/>
            <w:vMerge w:val="continue"/>
            <w:vAlign w:val="center"/>
          </w:tcPr>
          <w:p>
            <w:pPr>
              <w:snapToGrid w:val="0"/>
              <w:spacing w:line="240" w:lineRule="atLeast"/>
              <w:ind w:firstLine="420"/>
              <w:jc w:val="center"/>
              <w:rPr>
                <w:color w:val="000000" w:themeColor="text1"/>
                <w:sz w:val="21"/>
                <w:szCs w:val="21"/>
                <w14:textFill>
                  <w14:solidFill>
                    <w14:schemeClr w14:val="tx1"/>
                  </w14:solidFill>
                </w14:textFill>
              </w:rPr>
            </w:pPr>
          </w:p>
        </w:tc>
        <w:tc>
          <w:tcPr>
            <w:tcW w:w="660" w:type="dxa"/>
            <w:vAlign w:val="center"/>
          </w:tcPr>
          <w:p>
            <w:pPr>
              <w:snapToGrid w:val="0"/>
              <w:spacing w:line="240" w:lineRule="atLeast"/>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7</w:t>
            </w:r>
          </w:p>
        </w:tc>
        <w:tc>
          <w:tcPr>
            <w:tcW w:w="1985" w:type="dxa"/>
            <w:gridSpan w:val="2"/>
            <w:vAlign w:val="center"/>
          </w:tcPr>
          <w:p>
            <w:pPr>
              <w:snapToGrid w:val="0"/>
              <w:spacing w:line="240" w:lineRule="atLeast"/>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三娘湾生态保护区</w:t>
            </w:r>
          </w:p>
        </w:tc>
        <w:tc>
          <w:tcPr>
            <w:tcW w:w="1516" w:type="dxa"/>
            <w:gridSpan w:val="2"/>
            <w:vMerge w:val="restart"/>
            <w:vAlign w:val="center"/>
          </w:tcPr>
          <w:p>
            <w:pPr>
              <w:snapToGrid w:val="0"/>
              <w:spacing w:line="240" w:lineRule="atLeast"/>
              <w:jc w:val="center"/>
              <w:rPr>
                <w:color w:val="000000" w:themeColor="text1"/>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《钦州市国土空间总体规划（2021—2035年）》</w:t>
            </w:r>
          </w:p>
        </w:tc>
        <w:tc>
          <w:tcPr>
            <w:tcW w:w="893" w:type="dxa"/>
            <w:vMerge w:val="restart"/>
            <w:vAlign w:val="center"/>
          </w:tcPr>
          <w:p>
            <w:pPr>
              <w:snapToGrid w:val="0"/>
              <w:spacing w:line="240" w:lineRule="atLeast"/>
              <w:jc w:val="center"/>
              <w:rPr>
                <w:color w:val="000000" w:themeColor="text1"/>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海洋景观、岸滩、海岸生态、自然资源</w:t>
            </w:r>
          </w:p>
        </w:tc>
        <w:tc>
          <w:tcPr>
            <w:tcW w:w="710" w:type="dxa"/>
            <w:gridSpan w:val="2"/>
            <w:vAlign w:val="center"/>
          </w:tcPr>
          <w:p>
            <w:pPr>
              <w:snapToGrid w:val="0"/>
              <w:spacing w:line="240" w:lineRule="atLeast"/>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w:t>
            </w:r>
          </w:p>
        </w:tc>
        <w:tc>
          <w:tcPr>
            <w:tcW w:w="1892" w:type="dxa"/>
            <w:vAlign w:val="center"/>
          </w:tcPr>
          <w:p>
            <w:pPr>
              <w:snapToGrid w:val="0"/>
              <w:spacing w:line="240" w:lineRule="atLeast"/>
              <w:jc w:val="center"/>
              <w:rPr>
                <w:color w:val="000000" w:themeColor="text1"/>
                <w:sz w:val="21"/>
                <w:szCs w:val="21"/>
                <w14:textFill>
                  <w14:solidFill>
                    <w14:schemeClr w14:val="tx1"/>
                  </w14:solidFill>
                </w14:textFill>
              </w:rPr>
            </w:pPr>
            <w:r>
              <w:rPr>
                <w:rFonts w:hint="eastAsia"/>
                <w:color w:val="000000" w:themeColor="text1"/>
                <w:sz w:val="21"/>
                <w:szCs w:val="20"/>
                <w14:textFill>
                  <w14:solidFill>
                    <w14:schemeClr w14:val="tx1"/>
                  </w14:solidFill>
                </w14:textFill>
              </w:rPr>
              <w:t>NE，5.3km（三墩公路相隔）</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773" w:hRule="atLeast"/>
          <w:jc w:val="center"/>
        </w:trPr>
        <w:tc>
          <w:tcPr>
            <w:tcW w:w="866" w:type="dxa"/>
            <w:vMerge w:val="continue"/>
            <w:vAlign w:val="center"/>
          </w:tcPr>
          <w:p>
            <w:pPr>
              <w:snapToGrid w:val="0"/>
              <w:spacing w:line="240" w:lineRule="atLeast"/>
              <w:ind w:firstLine="420"/>
              <w:jc w:val="center"/>
              <w:rPr>
                <w:color w:val="000000" w:themeColor="text1"/>
                <w:sz w:val="21"/>
                <w:szCs w:val="21"/>
                <w14:textFill>
                  <w14:solidFill>
                    <w14:schemeClr w14:val="tx1"/>
                  </w14:solidFill>
                </w14:textFill>
              </w:rPr>
            </w:pPr>
          </w:p>
        </w:tc>
        <w:tc>
          <w:tcPr>
            <w:tcW w:w="660" w:type="dxa"/>
            <w:vAlign w:val="center"/>
          </w:tcPr>
          <w:p>
            <w:pPr>
              <w:snapToGrid w:val="0"/>
              <w:spacing w:line="240" w:lineRule="atLeast"/>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8</w:t>
            </w:r>
          </w:p>
        </w:tc>
        <w:tc>
          <w:tcPr>
            <w:tcW w:w="1985" w:type="dxa"/>
            <w:gridSpan w:val="2"/>
            <w:vAlign w:val="center"/>
          </w:tcPr>
          <w:p>
            <w:pPr>
              <w:snapToGrid w:val="0"/>
              <w:spacing w:line="240" w:lineRule="atLeast"/>
              <w:jc w:val="center"/>
              <w:rPr>
                <w:color w:val="000000" w:themeColor="text1"/>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三娘湾南部生态控制区</w:t>
            </w:r>
          </w:p>
        </w:tc>
        <w:tc>
          <w:tcPr>
            <w:tcW w:w="1516" w:type="dxa"/>
            <w:gridSpan w:val="2"/>
            <w:vMerge w:val="continue"/>
            <w:vAlign w:val="center"/>
          </w:tcPr>
          <w:p>
            <w:pPr>
              <w:snapToGrid w:val="0"/>
              <w:spacing w:line="240" w:lineRule="atLeast"/>
              <w:jc w:val="center"/>
              <w:rPr>
                <w:color w:val="000000" w:themeColor="text1"/>
                <w:kern w:val="0"/>
                <w:sz w:val="21"/>
                <w:szCs w:val="21"/>
                <w14:textFill>
                  <w14:solidFill>
                    <w14:schemeClr w14:val="tx1"/>
                  </w14:solidFill>
                </w14:textFill>
              </w:rPr>
            </w:pPr>
          </w:p>
        </w:tc>
        <w:tc>
          <w:tcPr>
            <w:tcW w:w="893" w:type="dxa"/>
            <w:vMerge w:val="continue"/>
            <w:vAlign w:val="center"/>
          </w:tcPr>
          <w:p>
            <w:pPr>
              <w:snapToGrid w:val="0"/>
              <w:spacing w:line="240" w:lineRule="atLeast"/>
              <w:jc w:val="center"/>
              <w:rPr>
                <w:color w:val="000000" w:themeColor="text1"/>
                <w:kern w:val="0"/>
                <w:sz w:val="21"/>
                <w:szCs w:val="21"/>
                <w14:textFill>
                  <w14:solidFill>
                    <w14:schemeClr w14:val="tx1"/>
                  </w14:solidFill>
                </w14:textFill>
              </w:rPr>
            </w:pPr>
          </w:p>
        </w:tc>
        <w:tc>
          <w:tcPr>
            <w:tcW w:w="710" w:type="dxa"/>
            <w:gridSpan w:val="2"/>
            <w:vAlign w:val="center"/>
          </w:tcPr>
          <w:p>
            <w:pPr>
              <w:snapToGrid w:val="0"/>
              <w:spacing w:line="240" w:lineRule="atLeast"/>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w:t>
            </w:r>
          </w:p>
        </w:tc>
        <w:tc>
          <w:tcPr>
            <w:tcW w:w="1892" w:type="dxa"/>
            <w:vAlign w:val="center"/>
          </w:tcPr>
          <w:p>
            <w:pPr>
              <w:snapToGrid w:val="0"/>
              <w:spacing w:line="240" w:lineRule="atLeast"/>
              <w:jc w:val="center"/>
              <w:rPr>
                <w:color w:val="000000" w:themeColor="text1"/>
                <w:sz w:val="21"/>
                <w:szCs w:val="20"/>
                <w14:textFill>
                  <w14:solidFill>
                    <w14:schemeClr w14:val="tx1"/>
                  </w14:solidFill>
                </w14:textFill>
              </w:rPr>
            </w:pPr>
            <w:r>
              <w:rPr>
                <w:rFonts w:hint="eastAsia"/>
                <w:color w:val="000000" w:themeColor="text1"/>
                <w:sz w:val="21"/>
                <w:szCs w:val="20"/>
                <w14:textFill>
                  <w14:solidFill>
                    <w14:schemeClr w14:val="tx1"/>
                  </w14:solidFill>
                </w14:textFill>
              </w:rPr>
              <w:t>NE，6.2km（三墩公路相隔）</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773" w:hRule="atLeast"/>
          <w:jc w:val="center"/>
        </w:trPr>
        <w:tc>
          <w:tcPr>
            <w:tcW w:w="866" w:type="dxa"/>
            <w:vMerge w:val="continue"/>
            <w:vAlign w:val="center"/>
          </w:tcPr>
          <w:p>
            <w:pPr>
              <w:snapToGrid w:val="0"/>
              <w:spacing w:line="240" w:lineRule="atLeast"/>
              <w:ind w:firstLine="420"/>
              <w:jc w:val="center"/>
              <w:rPr>
                <w:color w:val="000000" w:themeColor="text1"/>
                <w:sz w:val="21"/>
                <w:szCs w:val="21"/>
                <w14:textFill>
                  <w14:solidFill>
                    <w14:schemeClr w14:val="tx1"/>
                  </w14:solidFill>
                </w14:textFill>
              </w:rPr>
            </w:pPr>
          </w:p>
        </w:tc>
        <w:tc>
          <w:tcPr>
            <w:tcW w:w="660" w:type="dxa"/>
            <w:vAlign w:val="center"/>
          </w:tcPr>
          <w:p>
            <w:pPr>
              <w:snapToGrid w:val="0"/>
              <w:spacing w:line="240" w:lineRule="atLeast"/>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8</w:t>
            </w:r>
          </w:p>
        </w:tc>
        <w:tc>
          <w:tcPr>
            <w:tcW w:w="1985" w:type="dxa"/>
            <w:gridSpan w:val="2"/>
            <w:vAlign w:val="center"/>
          </w:tcPr>
          <w:p>
            <w:pPr>
              <w:snapToGrid w:val="0"/>
              <w:spacing w:line="240" w:lineRule="atLeast"/>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茅尾海生态保护区</w:t>
            </w:r>
          </w:p>
        </w:tc>
        <w:tc>
          <w:tcPr>
            <w:tcW w:w="1516" w:type="dxa"/>
            <w:gridSpan w:val="2"/>
            <w:vMerge w:val="continue"/>
            <w:vAlign w:val="center"/>
          </w:tcPr>
          <w:p>
            <w:pPr>
              <w:snapToGrid w:val="0"/>
              <w:spacing w:line="240" w:lineRule="atLeast"/>
              <w:jc w:val="center"/>
              <w:rPr>
                <w:color w:val="000000" w:themeColor="text1"/>
                <w:kern w:val="0"/>
                <w:sz w:val="21"/>
                <w:szCs w:val="21"/>
                <w14:textFill>
                  <w14:solidFill>
                    <w14:schemeClr w14:val="tx1"/>
                  </w14:solidFill>
                </w14:textFill>
              </w:rPr>
            </w:pPr>
          </w:p>
        </w:tc>
        <w:tc>
          <w:tcPr>
            <w:tcW w:w="893" w:type="dxa"/>
            <w:vMerge w:val="continue"/>
            <w:vAlign w:val="center"/>
          </w:tcPr>
          <w:p>
            <w:pPr>
              <w:snapToGrid w:val="0"/>
              <w:spacing w:line="240" w:lineRule="atLeast"/>
              <w:jc w:val="center"/>
              <w:rPr>
                <w:color w:val="000000" w:themeColor="text1"/>
                <w:kern w:val="0"/>
                <w:sz w:val="21"/>
                <w:szCs w:val="21"/>
                <w14:textFill>
                  <w14:solidFill>
                    <w14:schemeClr w14:val="tx1"/>
                  </w14:solidFill>
                </w14:textFill>
              </w:rPr>
            </w:pPr>
          </w:p>
        </w:tc>
        <w:tc>
          <w:tcPr>
            <w:tcW w:w="710" w:type="dxa"/>
            <w:gridSpan w:val="2"/>
            <w:vAlign w:val="center"/>
          </w:tcPr>
          <w:p>
            <w:pPr>
              <w:snapToGrid w:val="0"/>
              <w:spacing w:line="240" w:lineRule="atLeast"/>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w:t>
            </w:r>
          </w:p>
        </w:tc>
        <w:tc>
          <w:tcPr>
            <w:tcW w:w="1892" w:type="dxa"/>
            <w:vAlign w:val="center"/>
          </w:tcPr>
          <w:p>
            <w:pPr>
              <w:snapToGrid w:val="0"/>
              <w:spacing w:line="240" w:lineRule="atLeast"/>
              <w:jc w:val="center"/>
              <w:rPr>
                <w:color w:val="000000" w:themeColor="text1"/>
                <w:sz w:val="21"/>
                <w:szCs w:val="20"/>
                <w14:textFill>
                  <w14:solidFill>
                    <w14:schemeClr w14:val="tx1"/>
                  </w14:solidFill>
                </w14:textFill>
              </w:rPr>
            </w:pPr>
            <w:r>
              <w:rPr>
                <w:color w:val="000000" w:themeColor="text1"/>
                <w:sz w:val="21"/>
                <w:szCs w:val="21"/>
                <w14:textFill>
                  <w14:solidFill>
                    <w14:schemeClr w14:val="tx1"/>
                  </w14:solidFill>
                </w14:textFill>
              </w:rPr>
              <w:t>NW，</w:t>
            </w:r>
            <w:r>
              <w:rPr>
                <w:rFonts w:hint="eastAsia"/>
                <w:color w:val="000000" w:themeColor="text1"/>
                <w:sz w:val="21"/>
                <w:szCs w:val="21"/>
                <w14:textFill>
                  <w14:solidFill>
                    <w14:schemeClr w14:val="tx1"/>
                  </w14:solidFill>
                </w14:textFill>
              </w:rPr>
              <w:t>15.9km</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773" w:hRule="atLeast"/>
          <w:jc w:val="center"/>
        </w:trPr>
        <w:tc>
          <w:tcPr>
            <w:tcW w:w="866" w:type="dxa"/>
            <w:vMerge w:val="continue"/>
            <w:vAlign w:val="center"/>
          </w:tcPr>
          <w:p>
            <w:pPr>
              <w:snapToGrid w:val="0"/>
              <w:spacing w:line="240" w:lineRule="atLeast"/>
              <w:ind w:firstLine="420"/>
              <w:jc w:val="center"/>
              <w:rPr>
                <w:color w:val="000000" w:themeColor="text1"/>
                <w:sz w:val="21"/>
                <w:szCs w:val="21"/>
                <w14:textFill>
                  <w14:solidFill>
                    <w14:schemeClr w14:val="tx1"/>
                  </w14:solidFill>
                </w14:textFill>
              </w:rPr>
            </w:pPr>
          </w:p>
        </w:tc>
        <w:tc>
          <w:tcPr>
            <w:tcW w:w="660" w:type="dxa"/>
            <w:vAlign w:val="center"/>
          </w:tcPr>
          <w:p>
            <w:pPr>
              <w:snapToGrid w:val="0"/>
              <w:spacing w:line="240" w:lineRule="atLeast"/>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9</w:t>
            </w:r>
          </w:p>
        </w:tc>
        <w:tc>
          <w:tcPr>
            <w:tcW w:w="1985" w:type="dxa"/>
            <w:gridSpan w:val="2"/>
            <w:vAlign w:val="center"/>
          </w:tcPr>
          <w:p>
            <w:pPr>
              <w:snapToGrid w:val="0"/>
              <w:spacing w:line="240" w:lineRule="atLeast"/>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七十二泾生态控制区</w:t>
            </w:r>
          </w:p>
        </w:tc>
        <w:tc>
          <w:tcPr>
            <w:tcW w:w="1516" w:type="dxa"/>
            <w:gridSpan w:val="2"/>
            <w:vMerge w:val="continue"/>
            <w:vAlign w:val="center"/>
          </w:tcPr>
          <w:p>
            <w:pPr>
              <w:snapToGrid w:val="0"/>
              <w:spacing w:line="240" w:lineRule="atLeast"/>
              <w:jc w:val="center"/>
              <w:rPr>
                <w:color w:val="000000" w:themeColor="text1"/>
                <w:kern w:val="0"/>
                <w:sz w:val="21"/>
                <w:szCs w:val="21"/>
                <w14:textFill>
                  <w14:solidFill>
                    <w14:schemeClr w14:val="tx1"/>
                  </w14:solidFill>
                </w14:textFill>
              </w:rPr>
            </w:pPr>
          </w:p>
        </w:tc>
        <w:tc>
          <w:tcPr>
            <w:tcW w:w="893" w:type="dxa"/>
            <w:vAlign w:val="center"/>
          </w:tcPr>
          <w:p>
            <w:pPr>
              <w:snapToGrid w:val="0"/>
              <w:spacing w:line="240" w:lineRule="atLeast"/>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红树林生态系统</w:t>
            </w:r>
          </w:p>
        </w:tc>
        <w:tc>
          <w:tcPr>
            <w:tcW w:w="710" w:type="dxa"/>
            <w:gridSpan w:val="2"/>
            <w:vAlign w:val="center"/>
          </w:tcPr>
          <w:p>
            <w:pPr>
              <w:snapToGrid w:val="0"/>
              <w:spacing w:line="240" w:lineRule="atLeast"/>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w:t>
            </w:r>
          </w:p>
        </w:tc>
        <w:tc>
          <w:tcPr>
            <w:tcW w:w="1892" w:type="dxa"/>
            <w:vAlign w:val="center"/>
          </w:tcPr>
          <w:p>
            <w:pPr>
              <w:snapToGrid w:val="0"/>
              <w:spacing w:line="240" w:lineRule="atLeast"/>
              <w:jc w:val="center"/>
              <w:rPr>
                <w:color w:val="000000" w:themeColor="text1"/>
                <w:sz w:val="21"/>
                <w:szCs w:val="20"/>
                <w14:textFill>
                  <w14:solidFill>
                    <w14:schemeClr w14:val="tx1"/>
                  </w14:solidFill>
                </w14:textFill>
              </w:rPr>
            </w:pPr>
            <w:r>
              <w:rPr>
                <w:color w:val="000000" w:themeColor="text1"/>
                <w:sz w:val="21"/>
                <w:szCs w:val="21"/>
                <w14:textFill>
                  <w14:solidFill>
                    <w14:schemeClr w14:val="tx1"/>
                  </w14:solidFill>
                </w14:textFill>
              </w:rPr>
              <w:t>NW，</w:t>
            </w:r>
            <w:r>
              <w:rPr>
                <w:rFonts w:hint="eastAsia"/>
                <w:color w:val="000000" w:themeColor="text1"/>
                <w:sz w:val="21"/>
                <w:szCs w:val="21"/>
                <w14:textFill>
                  <w14:solidFill>
                    <w14:schemeClr w14:val="tx1"/>
                  </w14:solidFill>
                </w14:textFill>
              </w:rPr>
              <w:t>15.0km</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20" w:hRule="atLeast"/>
          <w:jc w:val="center"/>
        </w:trPr>
        <w:tc>
          <w:tcPr>
            <w:tcW w:w="866" w:type="dxa"/>
            <w:vMerge w:val="continue"/>
            <w:vAlign w:val="center"/>
          </w:tcPr>
          <w:p>
            <w:pPr>
              <w:snapToGrid w:val="0"/>
              <w:spacing w:line="240" w:lineRule="atLeast"/>
              <w:ind w:firstLine="420"/>
              <w:jc w:val="center"/>
              <w:rPr>
                <w:color w:val="000000" w:themeColor="text1"/>
                <w:sz w:val="21"/>
                <w:szCs w:val="21"/>
                <w14:textFill>
                  <w14:solidFill>
                    <w14:schemeClr w14:val="tx1"/>
                  </w14:solidFill>
                </w14:textFill>
              </w:rPr>
            </w:pPr>
          </w:p>
        </w:tc>
        <w:tc>
          <w:tcPr>
            <w:tcW w:w="660" w:type="dxa"/>
            <w:vAlign w:val="center"/>
          </w:tcPr>
          <w:p>
            <w:pPr>
              <w:snapToGrid w:val="0"/>
              <w:spacing w:line="240" w:lineRule="atLeast"/>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10</w:t>
            </w:r>
          </w:p>
        </w:tc>
        <w:tc>
          <w:tcPr>
            <w:tcW w:w="1985" w:type="dxa"/>
            <w:gridSpan w:val="2"/>
            <w:vAlign w:val="center"/>
          </w:tcPr>
          <w:p>
            <w:pPr>
              <w:snapToGrid w:val="0"/>
              <w:spacing w:line="240" w:lineRule="atLeast"/>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钦州湾外湾渔业用海区</w:t>
            </w:r>
          </w:p>
        </w:tc>
        <w:tc>
          <w:tcPr>
            <w:tcW w:w="1516" w:type="dxa"/>
            <w:gridSpan w:val="2"/>
            <w:vMerge w:val="continue"/>
            <w:vAlign w:val="center"/>
          </w:tcPr>
          <w:p>
            <w:pPr>
              <w:snapToGrid w:val="0"/>
              <w:spacing w:line="240" w:lineRule="atLeast"/>
              <w:jc w:val="center"/>
              <w:rPr>
                <w:color w:val="000000" w:themeColor="text1"/>
                <w:sz w:val="21"/>
                <w:szCs w:val="21"/>
                <w14:textFill>
                  <w14:solidFill>
                    <w14:schemeClr w14:val="tx1"/>
                  </w14:solidFill>
                </w14:textFill>
              </w:rPr>
            </w:pPr>
          </w:p>
        </w:tc>
        <w:tc>
          <w:tcPr>
            <w:tcW w:w="893" w:type="dxa"/>
            <w:vMerge w:val="restart"/>
            <w:vAlign w:val="center"/>
          </w:tcPr>
          <w:p>
            <w:pPr>
              <w:snapToGrid w:val="0"/>
              <w:spacing w:line="240" w:lineRule="atLeast"/>
              <w:jc w:val="center"/>
              <w:rPr>
                <w:color w:val="000000" w:themeColor="text1"/>
                <w:sz w:val="21"/>
                <w:szCs w:val="21"/>
                <w14:textFill>
                  <w14:solidFill>
                    <w14:schemeClr w14:val="tx1"/>
                  </w14:solidFill>
                </w14:textFill>
              </w:rPr>
            </w:pPr>
            <w:r>
              <w:rPr>
                <w:color w:val="000000" w:themeColor="text1"/>
                <w:kern w:val="0"/>
                <w:sz w:val="21"/>
                <w:szCs w:val="21"/>
                <w14:textFill>
                  <w14:solidFill>
                    <w14:schemeClr w14:val="tx1"/>
                  </w14:solidFill>
                </w14:textFill>
              </w:rPr>
              <w:t>水质、</w:t>
            </w:r>
            <w:r>
              <w:rPr>
                <w:rFonts w:hint="eastAsia"/>
                <w:color w:val="000000" w:themeColor="text1"/>
                <w:kern w:val="0"/>
                <w:sz w:val="21"/>
                <w:szCs w:val="21"/>
                <w14:textFill>
                  <w14:solidFill>
                    <w14:schemeClr w14:val="tx1"/>
                  </w14:solidFill>
                </w14:textFill>
              </w:rPr>
              <w:t>渔业资源</w:t>
            </w:r>
          </w:p>
        </w:tc>
        <w:tc>
          <w:tcPr>
            <w:tcW w:w="710" w:type="dxa"/>
            <w:gridSpan w:val="2"/>
            <w:vAlign w:val="center"/>
          </w:tcPr>
          <w:p>
            <w:pPr>
              <w:snapToGrid w:val="0"/>
              <w:spacing w:line="240" w:lineRule="atLeast"/>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w:t>
            </w:r>
          </w:p>
        </w:tc>
        <w:tc>
          <w:tcPr>
            <w:tcW w:w="1892" w:type="dxa"/>
            <w:vAlign w:val="center"/>
          </w:tcPr>
          <w:p>
            <w:pPr>
              <w:snapToGrid w:val="0"/>
              <w:spacing w:line="240" w:lineRule="atLeast"/>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SW，0.9km</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20" w:hRule="atLeast"/>
          <w:jc w:val="center"/>
        </w:trPr>
        <w:tc>
          <w:tcPr>
            <w:tcW w:w="866" w:type="dxa"/>
            <w:vMerge w:val="continue"/>
            <w:vAlign w:val="center"/>
          </w:tcPr>
          <w:p>
            <w:pPr>
              <w:snapToGrid w:val="0"/>
              <w:spacing w:line="240" w:lineRule="atLeast"/>
              <w:ind w:firstLine="420"/>
              <w:jc w:val="center"/>
              <w:rPr>
                <w:color w:val="000000" w:themeColor="text1"/>
                <w:sz w:val="21"/>
                <w:szCs w:val="21"/>
                <w14:textFill>
                  <w14:solidFill>
                    <w14:schemeClr w14:val="tx1"/>
                  </w14:solidFill>
                </w14:textFill>
              </w:rPr>
            </w:pPr>
          </w:p>
        </w:tc>
        <w:tc>
          <w:tcPr>
            <w:tcW w:w="660" w:type="dxa"/>
            <w:vAlign w:val="center"/>
          </w:tcPr>
          <w:p>
            <w:pPr>
              <w:snapToGrid w:val="0"/>
              <w:spacing w:line="240" w:lineRule="atLeast"/>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11</w:t>
            </w:r>
          </w:p>
        </w:tc>
        <w:tc>
          <w:tcPr>
            <w:tcW w:w="1985" w:type="dxa"/>
            <w:gridSpan w:val="2"/>
            <w:vAlign w:val="center"/>
          </w:tcPr>
          <w:p>
            <w:pPr>
              <w:snapToGrid w:val="0"/>
              <w:spacing w:line="240" w:lineRule="atLeast"/>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钦州湾渔业用海区</w:t>
            </w:r>
          </w:p>
        </w:tc>
        <w:tc>
          <w:tcPr>
            <w:tcW w:w="1516" w:type="dxa"/>
            <w:gridSpan w:val="2"/>
            <w:vMerge w:val="continue"/>
            <w:vAlign w:val="center"/>
          </w:tcPr>
          <w:p>
            <w:pPr>
              <w:snapToGrid w:val="0"/>
              <w:spacing w:line="240" w:lineRule="atLeast"/>
              <w:jc w:val="center"/>
              <w:rPr>
                <w:color w:val="000000" w:themeColor="text1"/>
                <w:sz w:val="21"/>
                <w:szCs w:val="21"/>
                <w14:textFill>
                  <w14:solidFill>
                    <w14:schemeClr w14:val="tx1"/>
                  </w14:solidFill>
                </w14:textFill>
              </w:rPr>
            </w:pPr>
          </w:p>
        </w:tc>
        <w:tc>
          <w:tcPr>
            <w:tcW w:w="893" w:type="dxa"/>
            <w:vMerge w:val="continue"/>
            <w:vAlign w:val="center"/>
          </w:tcPr>
          <w:p>
            <w:pPr>
              <w:snapToGrid w:val="0"/>
              <w:spacing w:line="240" w:lineRule="atLeast"/>
              <w:jc w:val="center"/>
              <w:rPr>
                <w:color w:val="000000" w:themeColor="text1"/>
                <w:sz w:val="21"/>
                <w:szCs w:val="21"/>
                <w14:textFill>
                  <w14:solidFill>
                    <w14:schemeClr w14:val="tx1"/>
                  </w14:solidFill>
                </w14:textFill>
              </w:rPr>
            </w:pPr>
          </w:p>
        </w:tc>
        <w:tc>
          <w:tcPr>
            <w:tcW w:w="710" w:type="dxa"/>
            <w:gridSpan w:val="2"/>
            <w:vAlign w:val="center"/>
          </w:tcPr>
          <w:p>
            <w:pPr>
              <w:snapToGrid w:val="0"/>
              <w:spacing w:line="240" w:lineRule="atLeast"/>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w:t>
            </w:r>
          </w:p>
        </w:tc>
        <w:tc>
          <w:tcPr>
            <w:tcW w:w="1892" w:type="dxa"/>
            <w:vAlign w:val="center"/>
          </w:tcPr>
          <w:p>
            <w:pPr>
              <w:snapToGrid w:val="0"/>
              <w:spacing w:line="240" w:lineRule="atLeast"/>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S，10.2km</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20" w:hRule="atLeast"/>
          <w:jc w:val="center"/>
        </w:trPr>
        <w:tc>
          <w:tcPr>
            <w:tcW w:w="866" w:type="dxa"/>
            <w:vMerge w:val="continue"/>
            <w:vAlign w:val="center"/>
          </w:tcPr>
          <w:p>
            <w:pPr>
              <w:snapToGrid w:val="0"/>
              <w:spacing w:line="240" w:lineRule="atLeast"/>
              <w:ind w:firstLine="420"/>
              <w:jc w:val="center"/>
              <w:rPr>
                <w:color w:val="000000" w:themeColor="text1"/>
                <w:sz w:val="21"/>
                <w:szCs w:val="21"/>
                <w14:textFill>
                  <w14:solidFill>
                    <w14:schemeClr w14:val="tx1"/>
                  </w14:solidFill>
                </w14:textFill>
              </w:rPr>
            </w:pPr>
          </w:p>
        </w:tc>
        <w:tc>
          <w:tcPr>
            <w:tcW w:w="660" w:type="dxa"/>
            <w:vAlign w:val="center"/>
          </w:tcPr>
          <w:p>
            <w:pPr>
              <w:snapToGrid w:val="0"/>
              <w:spacing w:line="240" w:lineRule="atLeast"/>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12</w:t>
            </w:r>
          </w:p>
        </w:tc>
        <w:tc>
          <w:tcPr>
            <w:tcW w:w="1985" w:type="dxa"/>
            <w:gridSpan w:val="2"/>
            <w:vAlign w:val="center"/>
          </w:tcPr>
          <w:p>
            <w:pPr>
              <w:snapToGrid w:val="0"/>
              <w:spacing w:line="240" w:lineRule="atLeast"/>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茅尾海渔业用海区</w:t>
            </w:r>
          </w:p>
        </w:tc>
        <w:tc>
          <w:tcPr>
            <w:tcW w:w="1516" w:type="dxa"/>
            <w:gridSpan w:val="2"/>
            <w:vMerge w:val="continue"/>
            <w:vAlign w:val="center"/>
          </w:tcPr>
          <w:p>
            <w:pPr>
              <w:snapToGrid w:val="0"/>
              <w:spacing w:line="240" w:lineRule="atLeast"/>
              <w:jc w:val="center"/>
              <w:rPr>
                <w:color w:val="000000" w:themeColor="text1"/>
                <w:sz w:val="21"/>
                <w:szCs w:val="21"/>
                <w14:textFill>
                  <w14:solidFill>
                    <w14:schemeClr w14:val="tx1"/>
                  </w14:solidFill>
                </w14:textFill>
              </w:rPr>
            </w:pPr>
          </w:p>
        </w:tc>
        <w:tc>
          <w:tcPr>
            <w:tcW w:w="893" w:type="dxa"/>
            <w:vMerge w:val="continue"/>
            <w:vAlign w:val="center"/>
          </w:tcPr>
          <w:p>
            <w:pPr>
              <w:snapToGrid w:val="0"/>
              <w:spacing w:line="240" w:lineRule="atLeast"/>
              <w:jc w:val="center"/>
              <w:rPr>
                <w:color w:val="000000" w:themeColor="text1"/>
                <w:sz w:val="21"/>
                <w:szCs w:val="21"/>
                <w14:textFill>
                  <w14:solidFill>
                    <w14:schemeClr w14:val="tx1"/>
                  </w14:solidFill>
                </w14:textFill>
              </w:rPr>
            </w:pPr>
          </w:p>
        </w:tc>
        <w:tc>
          <w:tcPr>
            <w:tcW w:w="710" w:type="dxa"/>
            <w:gridSpan w:val="2"/>
            <w:vAlign w:val="center"/>
          </w:tcPr>
          <w:p>
            <w:pPr>
              <w:snapToGrid w:val="0"/>
              <w:spacing w:line="240" w:lineRule="atLeast"/>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w:t>
            </w:r>
          </w:p>
        </w:tc>
        <w:tc>
          <w:tcPr>
            <w:tcW w:w="1892" w:type="dxa"/>
            <w:vAlign w:val="center"/>
          </w:tcPr>
          <w:p>
            <w:pPr>
              <w:snapToGrid w:val="0"/>
              <w:spacing w:line="240" w:lineRule="atLeast"/>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NW，</w:t>
            </w:r>
            <w:r>
              <w:rPr>
                <w:rFonts w:hint="eastAsia"/>
                <w:color w:val="000000" w:themeColor="text1"/>
                <w:sz w:val="21"/>
                <w:szCs w:val="21"/>
                <w14:textFill>
                  <w14:solidFill>
                    <w14:schemeClr w14:val="tx1"/>
                  </w14:solidFill>
                </w14:textFill>
              </w:rPr>
              <w:t>13.1km</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20" w:hRule="atLeast"/>
          <w:jc w:val="center"/>
        </w:trPr>
        <w:tc>
          <w:tcPr>
            <w:tcW w:w="866" w:type="dxa"/>
            <w:vMerge w:val="continue"/>
            <w:vAlign w:val="center"/>
          </w:tcPr>
          <w:p>
            <w:pPr>
              <w:snapToGrid w:val="0"/>
              <w:spacing w:line="240" w:lineRule="atLeast"/>
              <w:ind w:firstLine="420"/>
              <w:jc w:val="center"/>
              <w:rPr>
                <w:color w:val="000000" w:themeColor="text1"/>
                <w:sz w:val="21"/>
                <w:szCs w:val="21"/>
                <w14:textFill>
                  <w14:solidFill>
                    <w14:schemeClr w14:val="tx1"/>
                  </w14:solidFill>
                </w14:textFill>
              </w:rPr>
            </w:pPr>
          </w:p>
        </w:tc>
        <w:tc>
          <w:tcPr>
            <w:tcW w:w="660" w:type="dxa"/>
            <w:vAlign w:val="center"/>
          </w:tcPr>
          <w:p>
            <w:pPr>
              <w:snapToGrid w:val="0"/>
              <w:spacing w:line="240" w:lineRule="atLeast"/>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13</w:t>
            </w:r>
          </w:p>
        </w:tc>
        <w:tc>
          <w:tcPr>
            <w:tcW w:w="1985" w:type="dxa"/>
            <w:gridSpan w:val="2"/>
            <w:vAlign w:val="center"/>
          </w:tcPr>
          <w:p>
            <w:pPr>
              <w:snapToGrid w:val="0"/>
              <w:spacing w:line="240" w:lineRule="atLeast"/>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龙门港渔业用海区</w:t>
            </w:r>
          </w:p>
        </w:tc>
        <w:tc>
          <w:tcPr>
            <w:tcW w:w="1516" w:type="dxa"/>
            <w:gridSpan w:val="2"/>
            <w:vMerge w:val="continue"/>
            <w:vAlign w:val="center"/>
          </w:tcPr>
          <w:p>
            <w:pPr>
              <w:snapToGrid w:val="0"/>
              <w:spacing w:line="240" w:lineRule="atLeast"/>
              <w:jc w:val="center"/>
              <w:rPr>
                <w:color w:val="000000" w:themeColor="text1"/>
                <w:sz w:val="21"/>
                <w:szCs w:val="21"/>
                <w14:textFill>
                  <w14:solidFill>
                    <w14:schemeClr w14:val="tx1"/>
                  </w14:solidFill>
                </w14:textFill>
              </w:rPr>
            </w:pPr>
          </w:p>
        </w:tc>
        <w:tc>
          <w:tcPr>
            <w:tcW w:w="893" w:type="dxa"/>
            <w:vMerge w:val="continue"/>
            <w:vAlign w:val="center"/>
          </w:tcPr>
          <w:p>
            <w:pPr>
              <w:snapToGrid w:val="0"/>
              <w:spacing w:line="240" w:lineRule="atLeast"/>
              <w:jc w:val="center"/>
              <w:rPr>
                <w:color w:val="000000" w:themeColor="text1"/>
                <w:sz w:val="21"/>
                <w:szCs w:val="21"/>
                <w14:textFill>
                  <w14:solidFill>
                    <w14:schemeClr w14:val="tx1"/>
                  </w14:solidFill>
                </w14:textFill>
              </w:rPr>
            </w:pPr>
          </w:p>
        </w:tc>
        <w:tc>
          <w:tcPr>
            <w:tcW w:w="710" w:type="dxa"/>
            <w:gridSpan w:val="2"/>
            <w:vAlign w:val="center"/>
          </w:tcPr>
          <w:p>
            <w:pPr>
              <w:snapToGrid w:val="0"/>
              <w:spacing w:line="240" w:lineRule="atLeast"/>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w:t>
            </w:r>
          </w:p>
        </w:tc>
        <w:tc>
          <w:tcPr>
            <w:tcW w:w="1892" w:type="dxa"/>
            <w:vAlign w:val="center"/>
          </w:tcPr>
          <w:p>
            <w:pPr>
              <w:snapToGrid w:val="0"/>
              <w:spacing w:line="240" w:lineRule="atLeast"/>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NW，</w:t>
            </w:r>
            <w:r>
              <w:rPr>
                <w:rFonts w:hint="eastAsia"/>
                <w:color w:val="000000" w:themeColor="text1"/>
                <w:sz w:val="21"/>
                <w:szCs w:val="21"/>
                <w14:textFill>
                  <w14:solidFill>
                    <w14:schemeClr w14:val="tx1"/>
                  </w14:solidFill>
                </w14:textFill>
              </w:rPr>
              <w:t>15.5km</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20" w:hRule="atLeast"/>
          <w:jc w:val="center"/>
        </w:trPr>
        <w:tc>
          <w:tcPr>
            <w:tcW w:w="866" w:type="dxa"/>
            <w:vMerge w:val="continue"/>
            <w:vAlign w:val="center"/>
          </w:tcPr>
          <w:p>
            <w:pPr>
              <w:snapToGrid w:val="0"/>
              <w:spacing w:line="240" w:lineRule="atLeast"/>
              <w:ind w:firstLine="420"/>
              <w:jc w:val="center"/>
              <w:rPr>
                <w:color w:val="000000" w:themeColor="text1"/>
                <w:sz w:val="21"/>
                <w:szCs w:val="21"/>
                <w14:textFill>
                  <w14:solidFill>
                    <w14:schemeClr w14:val="tx1"/>
                  </w14:solidFill>
                </w14:textFill>
              </w:rPr>
            </w:pPr>
          </w:p>
        </w:tc>
        <w:tc>
          <w:tcPr>
            <w:tcW w:w="660" w:type="dxa"/>
            <w:vAlign w:val="center"/>
          </w:tcPr>
          <w:p>
            <w:pPr>
              <w:snapToGrid w:val="0"/>
              <w:spacing w:line="240" w:lineRule="atLeast"/>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14</w:t>
            </w:r>
          </w:p>
        </w:tc>
        <w:tc>
          <w:tcPr>
            <w:tcW w:w="1985" w:type="dxa"/>
            <w:gridSpan w:val="2"/>
            <w:vAlign w:val="center"/>
          </w:tcPr>
          <w:p>
            <w:pPr>
              <w:snapToGrid w:val="0"/>
              <w:spacing w:line="240" w:lineRule="atLeast"/>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企沙半岛南部农渔业区</w:t>
            </w:r>
          </w:p>
        </w:tc>
        <w:tc>
          <w:tcPr>
            <w:tcW w:w="1516" w:type="dxa"/>
            <w:gridSpan w:val="2"/>
            <w:vMerge w:val="restart"/>
            <w:vAlign w:val="center"/>
          </w:tcPr>
          <w:p>
            <w:pPr>
              <w:snapToGrid w:val="0"/>
              <w:spacing w:line="240" w:lineRule="atLeast"/>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钦州市国土空间规划外的农渔业区</w:t>
            </w:r>
          </w:p>
        </w:tc>
        <w:tc>
          <w:tcPr>
            <w:tcW w:w="893" w:type="dxa"/>
            <w:vMerge w:val="continue"/>
            <w:vAlign w:val="center"/>
          </w:tcPr>
          <w:p>
            <w:pPr>
              <w:snapToGrid w:val="0"/>
              <w:spacing w:line="240" w:lineRule="atLeast"/>
              <w:jc w:val="center"/>
              <w:rPr>
                <w:color w:val="000000" w:themeColor="text1"/>
                <w:sz w:val="21"/>
                <w:szCs w:val="21"/>
                <w14:textFill>
                  <w14:solidFill>
                    <w14:schemeClr w14:val="tx1"/>
                  </w14:solidFill>
                </w14:textFill>
              </w:rPr>
            </w:pPr>
          </w:p>
        </w:tc>
        <w:tc>
          <w:tcPr>
            <w:tcW w:w="710" w:type="dxa"/>
            <w:gridSpan w:val="2"/>
            <w:vAlign w:val="center"/>
          </w:tcPr>
          <w:p>
            <w:pPr>
              <w:snapToGrid w:val="0"/>
              <w:spacing w:line="240" w:lineRule="atLeast"/>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w:t>
            </w:r>
          </w:p>
        </w:tc>
        <w:tc>
          <w:tcPr>
            <w:tcW w:w="1892" w:type="dxa"/>
            <w:vAlign w:val="center"/>
          </w:tcPr>
          <w:p>
            <w:pPr>
              <w:snapToGrid w:val="0"/>
              <w:spacing w:line="240" w:lineRule="atLeast"/>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SW，13.8km</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20" w:hRule="atLeast"/>
          <w:jc w:val="center"/>
        </w:trPr>
        <w:tc>
          <w:tcPr>
            <w:tcW w:w="866" w:type="dxa"/>
            <w:vMerge w:val="continue"/>
            <w:vAlign w:val="center"/>
          </w:tcPr>
          <w:p>
            <w:pPr>
              <w:snapToGrid w:val="0"/>
              <w:spacing w:line="240" w:lineRule="atLeast"/>
              <w:ind w:firstLine="420"/>
              <w:jc w:val="center"/>
              <w:rPr>
                <w:color w:val="000000" w:themeColor="text1"/>
                <w:sz w:val="21"/>
                <w:szCs w:val="21"/>
                <w14:textFill>
                  <w14:solidFill>
                    <w14:schemeClr w14:val="tx1"/>
                  </w14:solidFill>
                </w14:textFill>
              </w:rPr>
            </w:pPr>
          </w:p>
        </w:tc>
        <w:tc>
          <w:tcPr>
            <w:tcW w:w="660" w:type="dxa"/>
            <w:vAlign w:val="center"/>
          </w:tcPr>
          <w:p>
            <w:pPr>
              <w:snapToGrid w:val="0"/>
              <w:spacing w:line="240" w:lineRule="atLeast"/>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15</w:t>
            </w:r>
          </w:p>
        </w:tc>
        <w:tc>
          <w:tcPr>
            <w:tcW w:w="1985" w:type="dxa"/>
            <w:gridSpan w:val="2"/>
            <w:vAlign w:val="center"/>
          </w:tcPr>
          <w:p>
            <w:pPr>
              <w:snapToGrid w:val="0"/>
              <w:spacing w:line="240" w:lineRule="atLeast"/>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防城港红沙农渔业区</w:t>
            </w:r>
          </w:p>
        </w:tc>
        <w:tc>
          <w:tcPr>
            <w:tcW w:w="1516" w:type="dxa"/>
            <w:gridSpan w:val="2"/>
            <w:vMerge w:val="continue"/>
            <w:vAlign w:val="center"/>
          </w:tcPr>
          <w:p>
            <w:pPr>
              <w:snapToGrid w:val="0"/>
              <w:spacing w:line="240" w:lineRule="atLeast"/>
              <w:jc w:val="center"/>
              <w:rPr>
                <w:color w:val="000000" w:themeColor="text1"/>
                <w:sz w:val="21"/>
                <w:szCs w:val="21"/>
                <w14:textFill>
                  <w14:solidFill>
                    <w14:schemeClr w14:val="tx1"/>
                  </w14:solidFill>
                </w14:textFill>
              </w:rPr>
            </w:pPr>
          </w:p>
        </w:tc>
        <w:tc>
          <w:tcPr>
            <w:tcW w:w="893" w:type="dxa"/>
            <w:vMerge w:val="continue"/>
            <w:vAlign w:val="center"/>
          </w:tcPr>
          <w:p>
            <w:pPr>
              <w:snapToGrid w:val="0"/>
              <w:spacing w:line="240" w:lineRule="atLeast"/>
              <w:jc w:val="center"/>
              <w:rPr>
                <w:color w:val="000000" w:themeColor="text1"/>
                <w:sz w:val="21"/>
                <w:szCs w:val="21"/>
                <w14:textFill>
                  <w14:solidFill>
                    <w14:schemeClr w14:val="tx1"/>
                  </w14:solidFill>
                </w14:textFill>
              </w:rPr>
            </w:pPr>
          </w:p>
        </w:tc>
        <w:tc>
          <w:tcPr>
            <w:tcW w:w="710" w:type="dxa"/>
            <w:gridSpan w:val="2"/>
            <w:vAlign w:val="center"/>
          </w:tcPr>
          <w:p>
            <w:pPr>
              <w:snapToGrid w:val="0"/>
              <w:spacing w:line="240" w:lineRule="atLeast"/>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w:t>
            </w:r>
          </w:p>
        </w:tc>
        <w:tc>
          <w:tcPr>
            <w:tcW w:w="1892" w:type="dxa"/>
            <w:vAlign w:val="center"/>
          </w:tcPr>
          <w:p>
            <w:pPr>
              <w:snapToGrid w:val="0"/>
              <w:spacing w:line="240" w:lineRule="atLeast"/>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NW，</w:t>
            </w:r>
            <w:r>
              <w:rPr>
                <w:rFonts w:hint="eastAsia"/>
                <w:color w:val="000000" w:themeColor="text1"/>
                <w:sz w:val="21"/>
                <w:szCs w:val="21"/>
                <w14:textFill>
                  <w14:solidFill>
                    <w14:schemeClr w14:val="tx1"/>
                  </w14:solidFill>
                </w14:textFill>
              </w:rPr>
              <w:t>6.8km</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20" w:hRule="atLeast"/>
          <w:jc w:val="center"/>
        </w:trPr>
        <w:tc>
          <w:tcPr>
            <w:tcW w:w="866" w:type="dxa"/>
            <w:vMerge w:val="continue"/>
            <w:vAlign w:val="center"/>
          </w:tcPr>
          <w:p>
            <w:pPr>
              <w:snapToGrid w:val="0"/>
              <w:spacing w:line="240" w:lineRule="atLeast"/>
              <w:ind w:firstLine="420"/>
              <w:jc w:val="center"/>
              <w:rPr>
                <w:color w:val="000000" w:themeColor="text1"/>
                <w:sz w:val="21"/>
                <w:szCs w:val="21"/>
                <w14:textFill>
                  <w14:solidFill>
                    <w14:schemeClr w14:val="tx1"/>
                  </w14:solidFill>
                </w14:textFill>
              </w:rPr>
            </w:pPr>
          </w:p>
        </w:tc>
        <w:tc>
          <w:tcPr>
            <w:tcW w:w="660" w:type="dxa"/>
            <w:vAlign w:val="center"/>
          </w:tcPr>
          <w:p>
            <w:pPr>
              <w:snapToGrid w:val="0"/>
              <w:spacing w:line="240" w:lineRule="atLeast"/>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16</w:t>
            </w:r>
          </w:p>
        </w:tc>
        <w:tc>
          <w:tcPr>
            <w:tcW w:w="1985" w:type="dxa"/>
            <w:gridSpan w:val="2"/>
            <w:vAlign w:val="center"/>
          </w:tcPr>
          <w:p>
            <w:pPr>
              <w:snapToGrid w:val="0"/>
              <w:spacing w:line="240" w:lineRule="atLeast"/>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金鼓江红树林集中分布区</w:t>
            </w:r>
          </w:p>
        </w:tc>
        <w:tc>
          <w:tcPr>
            <w:tcW w:w="2409" w:type="dxa"/>
            <w:gridSpan w:val="3"/>
            <w:vMerge w:val="restart"/>
            <w:vAlign w:val="center"/>
          </w:tcPr>
          <w:p>
            <w:pPr>
              <w:snapToGrid w:val="0"/>
              <w:spacing w:line="240" w:lineRule="atLeast"/>
              <w:jc w:val="center"/>
              <w:rPr>
                <w:color w:val="000000" w:themeColor="text1"/>
                <w:sz w:val="21"/>
                <w:szCs w:val="21"/>
                <w14:textFill>
                  <w14:solidFill>
                    <w14:schemeClr w14:val="tx1"/>
                  </w14:solidFill>
                </w14:textFill>
              </w:rPr>
            </w:pPr>
            <w:r>
              <w:rPr>
                <w:color w:val="000000" w:themeColor="text1"/>
                <w:kern w:val="0"/>
                <w:sz w:val="21"/>
                <w:szCs w:val="21"/>
                <w14:textFill>
                  <w14:solidFill>
                    <w14:schemeClr w14:val="tx1"/>
                  </w14:solidFill>
                </w14:textFill>
              </w:rPr>
              <w:t>水质、生态环境、红树林及其生态系统</w:t>
            </w:r>
          </w:p>
        </w:tc>
        <w:tc>
          <w:tcPr>
            <w:tcW w:w="710" w:type="dxa"/>
            <w:gridSpan w:val="2"/>
            <w:vAlign w:val="center"/>
          </w:tcPr>
          <w:p>
            <w:pPr>
              <w:snapToGrid w:val="0"/>
              <w:spacing w:line="240" w:lineRule="atLeast"/>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w:t>
            </w:r>
          </w:p>
        </w:tc>
        <w:tc>
          <w:tcPr>
            <w:tcW w:w="1892" w:type="dxa"/>
            <w:vAlign w:val="center"/>
          </w:tcPr>
          <w:p>
            <w:pPr>
              <w:snapToGrid w:val="0"/>
              <w:spacing w:line="240" w:lineRule="atLeast"/>
              <w:jc w:val="center"/>
              <w:rPr>
                <w:color w:val="000000" w:themeColor="text1"/>
                <w:sz w:val="21"/>
                <w:szCs w:val="20"/>
                <w14:textFill>
                  <w14:solidFill>
                    <w14:schemeClr w14:val="tx1"/>
                  </w14:solidFill>
                </w14:textFill>
              </w:rPr>
            </w:pPr>
            <w:r>
              <w:rPr>
                <w:rFonts w:hint="eastAsia"/>
                <w:color w:val="000000" w:themeColor="text1"/>
                <w:sz w:val="21"/>
                <w:szCs w:val="20"/>
                <w14:textFill>
                  <w14:solidFill>
                    <w14:schemeClr w14:val="tx1"/>
                  </w14:solidFill>
                </w14:textFill>
              </w:rPr>
              <w:t>N，9.6km</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20" w:hRule="atLeast"/>
          <w:jc w:val="center"/>
        </w:trPr>
        <w:tc>
          <w:tcPr>
            <w:tcW w:w="866" w:type="dxa"/>
            <w:vMerge w:val="continue"/>
            <w:vAlign w:val="center"/>
          </w:tcPr>
          <w:p>
            <w:pPr>
              <w:snapToGrid w:val="0"/>
              <w:spacing w:line="240" w:lineRule="atLeast"/>
              <w:ind w:firstLine="420"/>
              <w:jc w:val="center"/>
              <w:rPr>
                <w:color w:val="000000" w:themeColor="text1"/>
                <w:sz w:val="21"/>
                <w:szCs w:val="21"/>
                <w14:textFill>
                  <w14:solidFill>
                    <w14:schemeClr w14:val="tx1"/>
                  </w14:solidFill>
                </w14:textFill>
              </w:rPr>
            </w:pPr>
          </w:p>
        </w:tc>
        <w:tc>
          <w:tcPr>
            <w:tcW w:w="660" w:type="dxa"/>
            <w:vAlign w:val="center"/>
          </w:tcPr>
          <w:p>
            <w:pPr>
              <w:snapToGrid w:val="0"/>
              <w:spacing w:line="240" w:lineRule="atLeast"/>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17</w:t>
            </w:r>
          </w:p>
        </w:tc>
        <w:tc>
          <w:tcPr>
            <w:tcW w:w="1985" w:type="dxa"/>
            <w:gridSpan w:val="2"/>
            <w:vAlign w:val="center"/>
          </w:tcPr>
          <w:p>
            <w:pPr>
              <w:snapToGrid w:val="0"/>
              <w:spacing w:line="240" w:lineRule="atLeast"/>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鹿耳环江红树林集中分布区</w:t>
            </w:r>
          </w:p>
        </w:tc>
        <w:tc>
          <w:tcPr>
            <w:tcW w:w="2409" w:type="dxa"/>
            <w:gridSpan w:val="3"/>
            <w:vMerge w:val="continue"/>
            <w:vAlign w:val="center"/>
          </w:tcPr>
          <w:p>
            <w:pPr>
              <w:snapToGrid w:val="0"/>
              <w:spacing w:line="240" w:lineRule="atLeast"/>
              <w:jc w:val="center"/>
              <w:rPr>
                <w:color w:val="000000" w:themeColor="text1"/>
                <w:sz w:val="21"/>
                <w:szCs w:val="21"/>
                <w14:textFill>
                  <w14:solidFill>
                    <w14:schemeClr w14:val="tx1"/>
                  </w14:solidFill>
                </w14:textFill>
              </w:rPr>
            </w:pPr>
          </w:p>
        </w:tc>
        <w:tc>
          <w:tcPr>
            <w:tcW w:w="710" w:type="dxa"/>
            <w:gridSpan w:val="2"/>
            <w:vAlign w:val="center"/>
          </w:tcPr>
          <w:p>
            <w:pPr>
              <w:snapToGrid w:val="0"/>
              <w:spacing w:line="240" w:lineRule="atLeast"/>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w:t>
            </w:r>
          </w:p>
        </w:tc>
        <w:tc>
          <w:tcPr>
            <w:tcW w:w="1892" w:type="dxa"/>
            <w:vAlign w:val="center"/>
          </w:tcPr>
          <w:p>
            <w:pPr>
              <w:snapToGrid w:val="0"/>
              <w:spacing w:line="240" w:lineRule="atLeast"/>
              <w:jc w:val="center"/>
              <w:rPr>
                <w:color w:val="000000" w:themeColor="text1"/>
                <w:sz w:val="21"/>
                <w:szCs w:val="20"/>
                <w14:textFill>
                  <w14:solidFill>
                    <w14:schemeClr w14:val="tx1"/>
                  </w14:solidFill>
                </w14:textFill>
              </w:rPr>
            </w:pPr>
            <w:r>
              <w:rPr>
                <w:rFonts w:hint="eastAsia"/>
                <w:color w:val="000000" w:themeColor="text1"/>
                <w:sz w:val="21"/>
                <w:szCs w:val="20"/>
                <w14:textFill>
                  <w14:solidFill>
                    <w14:schemeClr w14:val="tx1"/>
                  </w14:solidFill>
                </w14:textFill>
              </w:rPr>
              <w:t>NE，6.3km</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20" w:hRule="atLeast"/>
          <w:jc w:val="center"/>
        </w:trPr>
        <w:tc>
          <w:tcPr>
            <w:tcW w:w="866" w:type="dxa"/>
            <w:vMerge w:val="continue"/>
            <w:vAlign w:val="center"/>
          </w:tcPr>
          <w:p>
            <w:pPr>
              <w:snapToGrid w:val="0"/>
              <w:spacing w:line="240" w:lineRule="atLeast"/>
              <w:ind w:firstLine="420"/>
              <w:jc w:val="center"/>
              <w:rPr>
                <w:color w:val="000000" w:themeColor="text1"/>
                <w:sz w:val="21"/>
                <w:szCs w:val="21"/>
                <w14:textFill>
                  <w14:solidFill>
                    <w14:schemeClr w14:val="tx1"/>
                  </w14:solidFill>
                </w14:textFill>
              </w:rPr>
            </w:pPr>
          </w:p>
        </w:tc>
        <w:tc>
          <w:tcPr>
            <w:tcW w:w="660" w:type="dxa"/>
            <w:vAlign w:val="center"/>
          </w:tcPr>
          <w:p>
            <w:pPr>
              <w:snapToGrid w:val="0"/>
              <w:spacing w:line="240" w:lineRule="atLeast"/>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18</w:t>
            </w:r>
          </w:p>
        </w:tc>
        <w:tc>
          <w:tcPr>
            <w:tcW w:w="1985" w:type="dxa"/>
            <w:gridSpan w:val="2"/>
            <w:vAlign w:val="center"/>
          </w:tcPr>
          <w:p>
            <w:pPr>
              <w:snapToGrid w:val="0"/>
              <w:spacing w:line="240" w:lineRule="atLeast"/>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龙门海峡红树林集中分布区</w:t>
            </w:r>
          </w:p>
        </w:tc>
        <w:tc>
          <w:tcPr>
            <w:tcW w:w="2409" w:type="dxa"/>
            <w:gridSpan w:val="3"/>
            <w:vMerge w:val="continue"/>
            <w:vAlign w:val="center"/>
          </w:tcPr>
          <w:p>
            <w:pPr>
              <w:snapToGrid w:val="0"/>
              <w:spacing w:line="240" w:lineRule="atLeast"/>
              <w:jc w:val="center"/>
              <w:rPr>
                <w:color w:val="000000" w:themeColor="text1"/>
                <w:sz w:val="21"/>
                <w:szCs w:val="21"/>
                <w14:textFill>
                  <w14:solidFill>
                    <w14:schemeClr w14:val="tx1"/>
                  </w14:solidFill>
                </w14:textFill>
              </w:rPr>
            </w:pPr>
          </w:p>
        </w:tc>
        <w:tc>
          <w:tcPr>
            <w:tcW w:w="710" w:type="dxa"/>
            <w:gridSpan w:val="2"/>
            <w:vAlign w:val="center"/>
          </w:tcPr>
          <w:p>
            <w:pPr>
              <w:snapToGrid w:val="0"/>
              <w:spacing w:line="240" w:lineRule="atLeast"/>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w:t>
            </w:r>
          </w:p>
        </w:tc>
        <w:tc>
          <w:tcPr>
            <w:tcW w:w="1892" w:type="dxa"/>
            <w:vAlign w:val="center"/>
          </w:tcPr>
          <w:p>
            <w:pPr>
              <w:snapToGrid w:val="0"/>
              <w:spacing w:line="240" w:lineRule="atLeast"/>
              <w:jc w:val="center"/>
              <w:rPr>
                <w:color w:val="000000" w:themeColor="text1"/>
                <w:sz w:val="21"/>
                <w:szCs w:val="20"/>
                <w14:textFill>
                  <w14:solidFill>
                    <w14:schemeClr w14:val="tx1"/>
                  </w14:solidFill>
                </w14:textFill>
              </w:rPr>
            </w:pPr>
            <w:r>
              <w:rPr>
                <w:rFonts w:hint="eastAsia"/>
                <w:color w:val="000000" w:themeColor="text1"/>
                <w:sz w:val="21"/>
                <w:szCs w:val="20"/>
                <w14:textFill>
                  <w14:solidFill>
                    <w14:schemeClr w14:val="tx1"/>
                  </w14:solidFill>
                </w14:textFill>
              </w:rPr>
              <w:t>NNW，8.65km</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20" w:hRule="atLeast"/>
          <w:jc w:val="center"/>
        </w:trPr>
        <w:tc>
          <w:tcPr>
            <w:tcW w:w="866" w:type="dxa"/>
            <w:vMerge w:val="continue"/>
            <w:vAlign w:val="center"/>
          </w:tcPr>
          <w:p>
            <w:pPr>
              <w:snapToGrid w:val="0"/>
              <w:spacing w:line="240" w:lineRule="atLeast"/>
              <w:ind w:firstLine="420"/>
              <w:jc w:val="center"/>
              <w:rPr>
                <w:color w:val="000000" w:themeColor="text1"/>
                <w:sz w:val="21"/>
                <w:szCs w:val="21"/>
                <w14:textFill>
                  <w14:solidFill>
                    <w14:schemeClr w14:val="tx1"/>
                  </w14:solidFill>
                </w14:textFill>
              </w:rPr>
            </w:pPr>
          </w:p>
        </w:tc>
        <w:tc>
          <w:tcPr>
            <w:tcW w:w="660" w:type="dxa"/>
            <w:vAlign w:val="center"/>
          </w:tcPr>
          <w:p>
            <w:pPr>
              <w:snapToGrid w:val="0"/>
              <w:spacing w:line="240" w:lineRule="atLeast"/>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19</w:t>
            </w:r>
          </w:p>
        </w:tc>
        <w:tc>
          <w:tcPr>
            <w:tcW w:w="1985" w:type="dxa"/>
            <w:gridSpan w:val="2"/>
            <w:vAlign w:val="center"/>
          </w:tcPr>
          <w:p>
            <w:pPr>
              <w:snapToGrid w:val="0"/>
              <w:spacing w:line="240" w:lineRule="atLeast"/>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北部湾二长棘鲷长毛对虾国家级种质资源保护区（实验区）</w:t>
            </w:r>
          </w:p>
        </w:tc>
        <w:tc>
          <w:tcPr>
            <w:tcW w:w="2409" w:type="dxa"/>
            <w:gridSpan w:val="3"/>
            <w:vAlign w:val="center"/>
          </w:tcPr>
          <w:p>
            <w:pPr>
              <w:snapToGrid w:val="0"/>
              <w:spacing w:line="240" w:lineRule="atLeast"/>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海洋生态环境和物种多样性</w:t>
            </w:r>
          </w:p>
        </w:tc>
        <w:tc>
          <w:tcPr>
            <w:tcW w:w="710" w:type="dxa"/>
            <w:gridSpan w:val="2"/>
            <w:vAlign w:val="center"/>
          </w:tcPr>
          <w:p>
            <w:pPr>
              <w:snapToGrid w:val="0"/>
              <w:spacing w:line="240" w:lineRule="atLeast"/>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w:t>
            </w:r>
          </w:p>
        </w:tc>
        <w:tc>
          <w:tcPr>
            <w:tcW w:w="1892" w:type="dxa"/>
            <w:vAlign w:val="center"/>
          </w:tcPr>
          <w:p>
            <w:pPr>
              <w:snapToGrid w:val="0"/>
              <w:spacing w:line="240" w:lineRule="atLeast"/>
              <w:jc w:val="center"/>
              <w:rPr>
                <w:color w:val="000000" w:themeColor="text1"/>
                <w:sz w:val="21"/>
                <w:szCs w:val="20"/>
                <w14:textFill>
                  <w14:solidFill>
                    <w14:schemeClr w14:val="tx1"/>
                  </w14:solidFill>
                </w14:textFill>
              </w:rPr>
            </w:pPr>
            <w:r>
              <w:rPr>
                <w:rFonts w:hint="eastAsia"/>
                <w:color w:val="000000" w:themeColor="text1"/>
                <w:sz w:val="21"/>
                <w:szCs w:val="20"/>
                <w14:textFill>
                  <w14:solidFill>
                    <w14:schemeClr w14:val="tx1"/>
                  </w14:solidFill>
                </w14:textFill>
              </w:rPr>
              <w:t>S，16.3km</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20" w:hRule="atLeast"/>
          <w:jc w:val="center"/>
        </w:trPr>
        <w:tc>
          <w:tcPr>
            <w:tcW w:w="866" w:type="dxa"/>
            <w:vMerge w:val="continue"/>
            <w:vAlign w:val="center"/>
          </w:tcPr>
          <w:p>
            <w:pPr>
              <w:snapToGrid w:val="0"/>
              <w:spacing w:line="240" w:lineRule="atLeast"/>
              <w:ind w:firstLine="420"/>
              <w:jc w:val="center"/>
              <w:rPr>
                <w:color w:val="000000" w:themeColor="text1"/>
                <w:sz w:val="21"/>
                <w:szCs w:val="21"/>
                <w14:textFill>
                  <w14:solidFill>
                    <w14:schemeClr w14:val="tx1"/>
                  </w14:solidFill>
                </w14:textFill>
              </w:rPr>
            </w:pPr>
          </w:p>
        </w:tc>
        <w:tc>
          <w:tcPr>
            <w:tcW w:w="660" w:type="dxa"/>
            <w:vAlign w:val="center"/>
          </w:tcPr>
          <w:p>
            <w:pPr>
              <w:snapToGrid w:val="0"/>
              <w:spacing w:line="240" w:lineRule="atLeast"/>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20</w:t>
            </w:r>
          </w:p>
        </w:tc>
        <w:tc>
          <w:tcPr>
            <w:tcW w:w="1985" w:type="dxa"/>
            <w:gridSpan w:val="2"/>
            <w:vAlign w:val="center"/>
          </w:tcPr>
          <w:p>
            <w:pPr>
              <w:snapToGrid w:val="0"/>
              <w:spacing w:line="240" w:lineRule="atLeast"/>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钦州港青菜头南浅海滩涂养殖区（</w:t>
            </w:r>
            <w:r>
              <w:rPr>
                <w:color w:val="000000" w:themeColor="text1"/>
                <w:sz w:val="21"/>
                <w:szCs w:val="21"/>
                <w14:textFill>
                  <w14:solidFill>
                    <w14:schemeClr w14:val="tx1"/>
                  </w14:solidFill>
                </w14:textFill>
              </w:rPr>
              <w:t>3.1.1-3</w:t>
            </w:r>
            <w:r>
              <w:rPr>
                <w:rFonts w:hint="eastAsia"/>
                <w:color w:val="000000" w:themeColor="text1"/>
                <w:sz w:val="21"/>
                <w:szCs w:val="21"/>
                <w14:textFill>
                  <w14:solidFill>
                    <w14:schemeClr w14:val="tx1"/>
                  </w14:solidFill>
                </w14:textFill>
              </w:rPr>
              <w:t>）</w:t>
            </w:r>
          </w:p>
        </w:tc>
        <w:tc>
          <w:tcPr>
            <w:tcW w:w="1233" w:type="dxa"/>
            <w:vMerge w:val="restart"/>
            <w:vAlign w:val="center"/>
          </w:tcPr>
          <w:p>
            <w:pPr>
              <w:snapToGrid w:val="0"/>
              <w:spacing w:line="240" w:lineRule="atLeast"/>
              <w:jc w:val="center"/>
              <w:rPr>
                <w:color w:val="000000" w:themeColor="text1"/>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《钦州市养殖水域滩涂规划（2019-2030）》养殖区</w:t>
            </w:r>
          </w:p>
        </w:tc>
        <w:tc>
          <w:tcPr>
            <w:tcW w:w="1176" w:type="dxa"/>
            <w:gridSpan w:val="2"/>
            <w:vMerge w:val="restart"/>
            <w:vAlign w:val="center"/>
          </w:tcPr>
          <w:p>
            <w:pPr>
              <w:snapToGrid w:val="0"/>
              <w:spacing w:line="240" w:lineRule="atLeast"/>
              <w:jc w:val="center"/>
              <w:rPr>
                <w:color w:val="000000" w:themeColor="text1"/>
                <w:sz w:val="21"/>
                <w:szCs w:val="21"/>
                <w14:textFill>
                  <w14:solidFill>
                    <w14:schemeClr w14:val="tx1"/>
                  </w14:solidFill>
                </w14:textFill>
              </w:rPr>
            </w:pPr>
            <w:r>
              <w:rPr>
                <w:color w:val="000000" w:themeColor="text1"/>
                <w:kern w:val="0"/>
                <w:sz w:val="21"/>
                <w:szCs w:val="21"/>
                <w14:textFill>
                  <w14:solidFill>
                    <w14:schemeClr w14:val="tx1"/>
                  </w14:solidFill>
                </w14:textFill>
              </w:rPr>
              <w:t>水质、</w:t>
            </w:r>
            <w:r>
              <w:rPr>
                <w:rFonts w:hint="eastAsia"/>
                <w:color w:val="000000" w:themeColor="text1"/>
                <w:kern w:val="0"/>
                <w:sz w:val="21"/>
                <w:szCs w:val="21"/>
                <w14:textFill>
                  <w14:solidFill>
                    <w14:schemeClr w14:val="tx1"/>
                  </w14:solidFill>
                </w14:textFill>
              </w:rPr>
              <w:t>渔业资源</w:t>
            </w:r>
          </w:p>
        </w:tc>
        <w:tc>
          <w:tcPr>
            <w:tcW w:w="710" w:type="dxa"/>
            <w:gridSpan w:val="2"/>
            <w:vMerge w:val="restart"/>
            <w:vAlign w:val="center"/>
          </w:tcPr>
          <w:p>
            <w:pPr>
              <w:snapToGrid w:val="0"/>
              <w:spacing w:line="240" w:lineRule="atLeast"/>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二类</w:t>
            </w:r>
          </w:p>
        </w:tc>
        <w:tc>
          <w:tcPr>
            <w:tcW w:w="1892" w:type="dxa"/>
            <w:vAlign w:val="center"/>
          </w:tcPr>
          <w:p>
            <w:pPr>
              <w:snapToGrid w:val="0"/>
              <w:spacing w:line="240" w:lineRule="atLeast"/>
              <w:jc w:val="center"/>
              <w:rPr>
                <w:color w:val="000000" w:themeColor="text1"/>
                <w:sz w:val="21"/>
                <w:szCs w:val="20"/>
                <w14:textFill>
                  <w14:solidFill>
                    <w14:schemeClr w14:val="tx1"/>
                  </w14:solidFill>
                </w14:textFill>
              </w:rPr>
            </w:pPr>
            <w:r>
              <w:rPr>
                <w:rFonts w:hint="eastAsia"/>
                <w:color w:val="000000" w:themeColor="text1"/>
                <w:sz w:val="21"/>
                <w:szCs w:val="20"/>
                <w14:textFill>
                  <w14:solidFill>
                    <w14:schemeClr w14:val="tx1"/>
                  </w14:solidFill>
                </w14:textFill>
              </w:rPr>
              <w:t xml:space="preserve">W，4.0km </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20" w:hRule="atLeast"/>
          <w:jc w:val="center"/>
        </w:trPr>
        <w:tc>
          <w:tcPr>
            <w:tcW w:w="866" w:type="dxa"/>
            <w:vMerge w:val="continue"/>
            <w:vAlign w:val="center"/>
          </w:tcPr>
          <w:p>
            <w:pPr>
              <w:snapToGrid w:val="0"/>
              <w:spacing w:line="240" w:lineRule="atLeast"/>
              <w:ind w:firstLine="420"/>
              <w:jc w:val="center"/>
              <w:rPr>
                <w:color w:val="000000" w:themeColor="text1"/>
                <w:sz w:val="21"/>
                <w:szCs w:val="21"/>
                <w14:textFill>
                  <w14:solidFill>
                    <w14:schemeClr w14:val="tx1"/>
                  </w14:solidFill>
                </w14:textFill>
              </w:rPr>
            </w:pPr>
          </w:p>
        </w:tc>
        <w:tc>
          <w:tcPr>
            <w:tcW w:w="660" w:type="dxa"/>
            <w:vAlign w:val="center"/>
          </w:tcPr>
          <w:p>
            <w:pPr>
              <w:snapToGrid w:val="0"/>
              <w:spacing w:line="240" w:lineRule="atLeast"/>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21</w:t>
            </w:r>
          </w:p>
        </w:tc>
        <w:tc>
          <w:tcPr>
            <w:tcW w:w="1985" w:type="dxa"/>
            <w:gridSpan w:val="2"/>
            <w:vAlign w:val="center"/>
          </w:tcPr>
          <w:p>
            <w:pPr>
              <w:snapToGrid w:val="0"/>
              <w:spacing w:line="240" w:lineRule="atLeast"/>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茅尾海南部浅海滩涂养殖区（</w:t>
            </w:r>
            <w:r>
              <w:rPr>
                <w:color w:val="000000" w:themeColor="text1"/>
                <w:sz w:val="21"/>
                <w:szCs w:val="21"/>
                <w14:textFill>
                  <w14:solidFill>
                    <w14:schemeClr w14:val="tx1"/>
                  </w14:solidFill>
                </w14:textFill>
              </w:rPr>
              <w:t>3.1.1-</w:t>
            </w:r>
            <w:r>
              <w:rPr>
                <w:rFonts w:hint="eastAsia"/>
                <w:color w:val="000000" w:themeColor="text1"/>
                <w:sz w:val="21"/>
                <w:szCs w:val="21"/>
                <w14:textFill>
                  <w14:solidFill>
                    <w14:schemeClr w14:val="tx1"/>
                  </w14:solidFill>
                </w14:textFill>
              </w:rPr>
              <w:t>1）</w:t>
            </w:r>
          </w:p>
        </w:tc>
        <w:tc>
          <w:tcPr>
            <w:tcW w:w="1233" w:type="dxa"/>
            <w:vMerge w:val="continue"/>
            <w:vAlign w:val="center"/>
          </w:tcPr>
          <w:p>
            <w:pPr>
              <w:snapToGrid w:val="0"/>
              <w:spacing w:line="240" w:lineRule="atLeast"/>
              <w:jc w:val="center"/>
              <w:rPr>
                <w:color w:val="000000" w:themeColor="text1"/>
                <w:sz w:val="21"/>
                <w:szCs w:val="21"/>
                <w14:textFill>
                  <w14:solidFill>
                    <w14:schemeClr w14:val="tx1"/>
                  </w14:solidFill>
                </w14:textFill>
              </w:rPr>
            </w:pPr>
          </w:p>
        </w:tc>
        <w:tc>
          <w:tcPr>
            <w:tcW w:w="1176" w:type="dxa"/>
            <w:gridSpan w:val="2"/>
            <w:vMerge w:val="continue"/>
            <w:vAlign w:val="center"/>
          </w:tcPr>
          <w:p>
            <w:pPr>
              <w:snapToGrid w:val="0"/>
              <w:spacing w:line="240" w:lineRule="atLeast"/>
              <w:jc w:val="center"/>
              <w:rPr>
                <w:color w:val="000000" w:themeColor="text1"/>
                <w:sz w:val="21"/>
                <w:szCs w:val="21"/>
                <w14:textFill>
                  <w14:solidFill>
                    <w14:schemeClr w14:val="tx1"/>
                  </w14:solidFill>
                </w14:textFill>
              </w:rPr>
            </w:pPr>
          </w:p>
        </w:tc>
        <w:tc>
          <w:tcPr>
            <w:tcW w:w="710" w:type="dxa"/>
            <w:gridSpan w:val="2"/>
            <w:vMerge w:val="continue"/>
            <w:vAlign w:val="center"/>
          </w:tcPr>
          <w:p>
            <w:pPr>
              <w:snapToGrid w:val="0"/>
              <w:spacing w:line="240" w:lineRule="atLeast"/>
              <w:jc w:val="center"/>
              <w:rPr>
                <w:color w:val="000000" w:themeColor="text1"/>
                <w:sz w:val="21"/>
                <w:szCs w:val="21"/>
                <w14:textFill>
                  <w14:solidFill>
                    <w14:schemeClr w14:val="tx1"/>
                  </w14:solidFill>
                </w14:textFill>
              </w:rPr>
            </w:pPr>
          </w:p>
        </w:tc>
        <w:tc>
          <w:tcPr>
            <w:tcW w:w="1892" w:type="dxa"/>
            <w:vAlign w:val="center"/>
          </w:tcPr>
          <w:p>
            <w:pPr>
              <w:snapToGrid w:val="0"/>
              <w:spacing w:line="240" w:lineRule="atLeast"/>
              <w:jc w:val="center"/>
              <w:rPr>
                <w:color w:val="000000" w:themeColor="text1"/>
                <w:sz w:val="21"/>
                <w:szCs w:val="20"/>
                <w14:textFill>
                  <w14:solidFill>
                    <w14:schemeClr w14:val="tx1"/>
                  </w14:solidFill>
                </w14:textFill>
              </w:rPr>
            </w:pPr>
            <w:r>
              <w:rPr>
                <w:rFonts w:hint="eastAsia"/>
                <w:color w:val="000000" w:themeColor="text1"/>
                <w:sz w:val="21"/>
                <w:szCs w:val="20"/>
                <w14:textFill>
                  <w14:solidFill>
                    <w14:schemeClr w14:val="tx1"/>
                  </w14:solidFill>
                </w14:textFill>
              </w:rPr>
              <w:t>NNW，17.5km</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20" w:hRule="atLeast"/>
          <w:jc w:val="center"/>
        </w:trPr>
        <w:tc>
          <w:tcPr>
            <w:tcW w:w="866" w:type="dxa"/>
            <w:vMerge w:val="continue"/>
            <w:vAlign w:val="center"/>
          </w:tcPr>
          <w:p>
            <w:pPr>
              <w:snapToGrid w:val="0"/>
              <w:spacing w:line="240" w:lineRule="atLeast"/>
              <w:ind w:firstLine="420"/>
              <w:jc w:val="center"/>
              <w:rPr>
                <w:color w:val="000000" w:themeColor="text1"/>
                <w:sz w:val="21"/>
                <w:szCs w:val="21"/>
                <w14:textFill>
                  <w14:solidFill>
                    <w14:schemeClr w14:val="tx1"/>
                  </w14:solidFill>
                </w14:textFill>
              </w:rPr>
            </w:pPr>
          </w:p>
        </w:tc>
        <w:tc>
          <w:tcPr>
            <w:tcW w:w="660" w:type="dxa"/>
            <w:vAlign w:val="center"/>
          </w:tcPr>
          <w:p>
            <w:pPr>
              <w:snapToGrid w:val="0"/>
              <w:spacing w:line="240" w:lineRule="atLeast"/>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22</w:t>
            </w:r>
          </w:p>
        </w:tc>
        <w:tc>
          <w:tcPr>
            <w:tcW w:w="1985" w:type="dxa"/>
            <w:gridSpan w:val="2"/>
            <w:vAlign w:val="center"/>
          </w:tcPr>
          <w:p>
            <w:pPr>
              <w:snapToGrid w:val="0"/>
              <w:spacing w:line="240" w:lineRule="atLeast"/>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龙门群岛浅海滩涂养殖区（</w:t>
            </w:r>
            <w:r>
              <w:rPr>
                <w:color w:val="000000" w:themeColor="text1"/>
                <w:sz w:val="21"/>
                <w:szCs w:val="21"/>
                <w14:textFill>
                  <w14:solidFill>
                    <w14:schemeClr w14:val="tx1"/>
                  </w14:solidFill>
                </w14:textFill>
              </w:rPr>
              <w:t>3.1.1-</w:t>
            </w:r>
            <w:r>
              <w:rPr>
                <w:rFonts w:hint="eastAsia"/>
                <w:color w:val="000000" w:themeColor="text1"/>
                <w:sz w:val="21"/>
                <w:szCs w:val="21"/>
                <w14:textFill>
                  <w14:solidFill>
                    <w14:schemeClr w14:val="tx1"/>
                  </w14:solidFill>
                </w14:textFill>
              </w:rPr>
              <w:t>2）</w:t>
            </w:r>
          </w:p>
        </w:tc>
        <w:tc>
          <w:tcPr>
            <w:tcW w:w="1233" w:type="dxa"/>
            <w:vMerge w:val="continue"/>
            <w:vAlign w:val="center"/>
          </w:tcPr>
          <w:p>
            <w:pPr>
              <w:snapToGrid w:val="0"/>
              <w:spacing w:line="240" w:lineRule="atLeast"/>
              <w:jc w:val="center"/>
              <w:rPr>
                <w:color w:val="000000" w:themeColor="text1"/>
                <w:sz w:val="21"/>
                <w:szCs w:val="21"/>
                <w14:textFill>
                  <w14:solidFill>
                    <w14:schemeClr w14:val="tx1"/>
                  </w14:solidFill>
                </w14:textFill>
              </w:rPr>
            </w:pPr>
          </w:p>
        </w:tc>
        <w:tc>
          <w:tcPr>
            <w:tcW w:w="1176" w:type="dxa"/>
            <w:gridSpan w:val="2"/>
            <w:vMerge w:val="continue"/>
            <w:vAlign w:val="center"/>
          </w:tcPr>
          <w:p>
            <w:pPr>
              <w:snapToGrid w:val="0"/>
              <w:spacing w:line="240" w:lineRule="atLeast"/>
              <w:jc w:val="center"/>
              <w:rPr>
                <w:color w:val="000000" w:themeColor="text1"/>
                <w:sz w:val="21"/>
                <w:szCs w:val="21"/>
                <w14:textFill>
                  <w14:solidFill>
                    <w14:schemeClr w14:val="tx1"/>
                  </w14:solidFill>
                </w14:textFill>
              </w:rPr>
            </w:pPr>
          </w:p>
        </w:tc>
        <w:tc>
          <w:tcPr>
            <w:tcW w:w="710" w:type="dxa"/>
            <w:gridSpan w:val="2"/>
            <w:vMerge w:val="continue"/>
            <w:vAlign w:val="center"/>
          </w:tcPr>
          <w:p>
            <w:pPr>
              <w:snapToGrid w:val="0"/>
              <w:spacing w:line="240" w:lineRule="atLeast"/>
              <w:jc w:val="center"/>
              <w:rPr>
                <w:color w:val="000000" w:themeColor="text1"/>
                <w:sz w:val="21"/>
                <w:szCs w:val="21"/>
                <w14:textFill>
                  <w14:solidFill>
                    <w14:schemeClr w14:val="tx1"/>
                  </w14:solidFill>
                </w14:textFill>
              </w:rPr>
            </w:pPr>
          </w:p>
        </w:tc>
        <w:tc>
          <w:tcPr>
            <w:tcW w:w="1892" w:type="dxa"/>
            <w:vAlign w:val="center"/>
          </w:tcPr>
          <w:p>
            <w:pPr>
              <w:snapToGrid w:val="0"/>
              <w:spacing w:line="240" w:lineRule="atLeast"/>
              <w:jc w:val="center"/>
              <w:rPr>
                <w:color w:val="000000" w:themeColor="text1"/>
                <w:sz w:val="21"/>
                <w:szCs w:val="20"/>
                <w14:textFill>
                  <w14:solidFill>
                    <w14:schemeClr w14:val="tx1"/>
                  </w14:solidFill>
                </w14:textFill>
              </w:rPr>
            </w:pPr>
            <w:r>
              <w:rPr>
                <w:rFonts w:hint="eastAsia"/>
                <w:color w:val="000000" w:themeColor="text1"/>
                <w:sz w:val="21"/>
                <w:szCs w:val="20"/>
                <w14:textFill>
                  <w14:solidFill>
                    <w14:schemeClr w14:val="tx1"/>
                  </w14:solidFill>
                </w14:textFill>
              </w:rPr>
              <w:t>NNW，16.2km</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20" w:hRule="atLeast"/>
          <w:jc w:val="center"/>
        </w:trPr>
        <w:tc>
          <w:tcPr>
            <w:tcW w:w="866" w:type="dxa"/>
            <w:vMerge w:val="continue"/>
            <w:vAlign w:val="center"/>
          </w:tcPr>
          <w:p>
            <w:pPr>
              <w:snapToGrid w:val="0"/>
              <w:spacing w:line="240" w:lineRule="atLeast"/>
              <w:ind w:firstLine="420"/>
              <w:jc w:val="center"/>
              <w:rPr>
                <w:color w:val="000000" w:themeColor="text1"/>
                <w:sz w:val="21"/>
                <w:szCs w:val="21"/>
                <w14:textFill>
                  <w14:solidFill>
                    <w14:schemeClr w14:val="tx1"/>
                  </w14:solidFill>
                </w14:textFill>
              </w:rPr>
            </w:pPr>
          </w:p>
        </w:tc>
        <w:tc>
          <w:tcPr>
            <w:tcW w:w="660" w:type="dxa"/>
            <w:vAlign w:val="center"/>
          </w:tcPr>
          <w:p>
            <w:pPr>
              <w:snapToGrid w:val="0"/>
              <w:spacing w:line="240" w:lineRule="atLeast"/>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23</w:t>
            </w:r>
          </w:p>
        </w:tc>
        <w:tc>
          <w:tcPr>
            <w:tcW w:w="1985" w:type="dxa"/>
            <w:gridSpan w:val="2"/>
            <w:vAlign w:val="center"/>
          </w:tcPr>
          <w:p>
            <w:pPr>
              <w:snapToGrid w:val="0"/>
              <w:spacing w:line="240" w:lineRule="atLeast"/>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钦州市七十二泾海岛群旅游度假区</w:t>
            </w:r>
          </w:p>
        </w:tc>
        <w:tc>
          <w:tcPr>
            <w:tcW w:w="1233" w:type="dxa"/>
            <w:vAlign w:val="center"/>
          </w:tcPr>
          <w:p>
            <w:pPr>
              <w:snapToGrid w:val="0"/>
              <w:spacing w:line="240" w:lineRule="atLeast"/>
              <w:jc w:val="center"/>
              <w:rPr>
                <w:color w:val="000000" w:themeColor="text1"/>
                <w:sz w:val="21"/>
                <w:szCs w:val="20"/>
                <w14:textFill>
                  <w14:solidFill>
                    <w14:schemeClr w14:val="tx1"/>
                  </w14:solidFill>
                </w14:textFill>
              </w:rPr>
            </w:pPr>
            <w:r>
              <w:rPr>
                <w:color w:val="000000" w:themeColor="text1"/>
                <w:kern w:val="0"/>
                <w:sz w:val="21"/>
                <w:szCs w:val="21"/>
                <w14:textFill>
                  <w14:solidFill>
                    <w14:schemeClr w14:val="tx1"/>
                  </w14:solidFill>
                </w14:textFill>
              </w:rPr>
              <w:t>旅游度假区</w:t>
            </w:r>
          </w:p>
        </w:tc>
        <w:tc>
          <w:tcPr>
            <w:tcW w:w="1176" w:type="dxa"/>
            <w:gridSpan w:val="2"/>
            <w:vAlign w:val="center"/>
          </w:tcPr>
          <w:p>
            <w:pPr>
              <w:snapToGrid w:val="0"/>
              <w:spacing w:line="240" w:lineRule="atLeast"/>
              <w:jc w:val="center"/>
              <w:rPr>
                <w:color w:val="000000" w:themeColor="text1"/>
                <w:sz w:val="21"/>
                <w:szCs w:val="20"/>
                <w14:textFill>
                  <w14:solidFill>
                    <w14:schemeClr w14:val="tx1"/>
                  </w14:solidFill>
                </w14:textFill>
              </w:rPr>
            </w:pPr>
            <w:r>
              <w:rPr>
                <w:rFonts w:hint="eastAsia"/>
                <w:color w:val="000000" w:themeColor="text1"/>
                <w:kern w:val="0"/>
                <w:sz w:val="22"/>
                <w14:textFill>
                  <w14:solidFill>
                    <w14:schemeClr w14:val="tx1"/>
                  </w14:solidFill>
                </w14:textFill>
              </w:rPr>
              <w:t>海洋景观，岸滩、岛屿生态</w:t>
            </w:r>
          </w:p>
        </w:tc>
        <w:tc>
          <w:tcPr>
            <w:tcW w:w="710" w:type="dxa"/>
            <w:gridSpan w:val="2"/>
            <w:vAlign w:val="center"/>
          </w:tcPr>
          <w:p>
            <w:pPr>
              <w:snapToGrid w:val="0"/>
              <w:spacing w:line="240" w:lineRule="atLeast"/>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二类</w:t>
            </w:r>
          </w:p>
        </w:tc>
        <w:tc>
          <w:tcPr>
            <w:tcW w:w="1892" w:type="dxa"/>
            <w:vAlign w:val="center"/>
          </w:tcPr>
          <w:p>
            <w:pPr>
              <w:snapToGrid w:val="0"/>
              <w:spacing w:line="240" w:lineRule="atLeast"/>
              <w:jc w:val="center"/>
              <w:rPr>
                <w:color w:val="000000" w:themeColor="text1"/>
                <w:sz w:val="21"/>
                <w:szCs w:val="20"/>
                <w14:textFill>
                  <w14:solidFill>
                    <w14:schemeClr w14:val="tx1"/>
                  </w14:solidFill>
                </w14:textFill>
              </w:rPr>
            </w:pPr>
            <w:r>
              <w:rPr>
                <w:rFonts w:hint="eastAsia"/>
                <w:color w:val="000000" w:themeColor="text1"/>
                <w:sz w:val="21"/>
                <w:szCs w:val="20"/>
                <w14:textFill>
                  <w14:solidFill>
                    <w14:schemeClr w14:val="tx1"/>
                  </w14:solidFill>
                </w14:textFill>
              </w:rPr>
              <w:t>NE，10.66</w:t>
            </w:r>
            <w:r>
              <w:rPr>
                <w:color w:val="000000" w:themeColor="text1"/>
                <w:sz w:val="21"/>
                <w:szCs w:val="20"/>
                <w14:textFill>
                  <w14:solidFill>
                    <w14:schemeClr w14:val="tx1"/>
                  </w14:solidFill>
                </w14:textFill>
              </w:rPr>
              <w:t>km</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20" w:hRule="atLeast"/>
          <w:jc w:val="center"/>
        </w:trPr>
        <w:tc>
          <w:tcPr>
            <w:tcW w:w="866" w:type="dxa"/>
            <w:vMerge w:val="continue"/>
            <w:vAlign w:val="center"/>
          </w:tcPr>
          <w:p>
            <w:pPr>
              <w:snapToGrid w:val="0"/>
              <w:spacing w:line="240" w:lineRule="atLeast"/>
              <w:ind w:firstLine="420"/>
              <w:jc w:val="center"/>
              <w:rPr>
                <w:color w:val="000000" w:themeColor="text1"/>
                <w:sz w:val="21"/>
                <w:szCs w:val="21"/>
                <w14:textFill>
                  <w14:solidFill>
                    <w14:schemeClr w14:val="tx1"/>
                  </w14:solidFill>
                </w14:textFill>
              </w:rPr>
            </w:pPr>
          </w:p>
        </w:tc>
        <w:tc>
          <w:tcPr>
            <w:tcW w:w="660" w:type="dxa"/>
            <w:vAlign w:val="center"/>
          </w:tcPr>
          <w:p>
            <w:pPr>
              <w:snapToGrid w:val="0"/>
              <w:spacing w:line="240" w:lineRule="atLeast"/>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24</w:t>
            </w:r>
          </w:p>
        </w:tc>
        <w:tc>
          <w:tcPr>
            <w:tcW w:w="1985" w:type="dxa"/>
            <w:gridSpan w:val="2"/>
            <w:vAlign w:val="center"/>
          </w:tcPr>
          <w:p>
            <w:pPr>
              <w:snapToGrid w:val="0"/>
              <w:spacing w:line="240" w:lineRule="atLeast"/>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国投钦州电厂取水口</w:t>
            </w:r>
          </w:p>
        </w:tc>
        <w:tc>
          <w:tcPr>
            <w:tcW w:w="1233" w:type="dxa"/>
            <w:vAlign w:val="center"/>
          </w:tcPr>
          <w:p>
            <w:pPr>
              <w:snapToGrid w:val="0"/>
              <w:spacing w:line="240" w:lineRule="atLeast"/>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w:t>
            </w:r>
          </w:p>
        </w:tc>
        <w:tc>
          <w:tcPr>
            <w:tcW w:w="1176" w:type="dxa"/>
            <w:gridSpan w:val="2"/>
            <w:vAlign w:val="center"/>
          </w:tcPr>
          <w:p>
            <w:pPr>
              <w:snapToGrid w:val="0"/>
              <w:spacing w:line="240" w:lineRule="atLeast"/>
              <w:jc w:val="center"/>
              <w:rPr>
                <w:color w:val="000000" w:themeColor="text1"/>
                <w:kern w:val="0"/>
                <w:sz w:val="22"/>
                <w14:textFill>
                  <w14:solidFill>
                    <w14:schemeClr w14:val="tx1"/>
                  </w14:solidFill>
                </w14:textFill>
              </w:rPr>
            </w:pPr>
            <w:r>
              <w:rPr>
                <w:rFonts w:hint="eastAsia"/>
                <w:color w:val="000000" w:themeColor="text1"/>
                <w:kern w:val="0"/>
                <w:sz w:val="22"/>
                <w14:textFill>
                  <w14:solidFill>
                    <w14:schemeClr w14:val="tx1"/>
                  </w14:solidFill>
                </w14:textFill>
              </w:rPr>
              <w:t>工业取水口，主要用于电厂机组发电循环冷却</w:t>
            </w:r>
          </w:p>
        </w:tc>
        <w:tc>
          <w:tcPr>
            <w:tcW w:w="710" w:type="dxa"/>
            <w:gridSpan w:val="2"/>
            <w:vAlign w:val="center"/>
          </w:tcPr>
          <w:p>
            <w:pPr>
              <w:snapToGrid w:val="0"/>
              <w:spacing w:line="240" w:lineRule="atLeast"/>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w:t>
            </w:r>
          </w:p>
        </w:tc>
        <w:tc>
          <w:tcPr>
            <w:tcW w:w="1892" w:type="dxa"/>
            <w:vAlign w:val="center"/>
          </w:tcPr>
          <w:p>
            <w:pPr>
              <w:snapToGrid w:val="0"/>
              <w:spacing w:line="240" w:lineRule="atLeast"/>
              <w:jc w:val="center"/>
              <w:rPr>
                <w:color w:val="000000" w:themeColor="text1"/>
                <w:sz w:val="21"/>
                <w:szCs w:val="20"/>
                <w14:textFill>
                  <w14:solidFill>
                    <w14:schemeClr w14:val="tx1"/>
                  </w14:solidFill>
                </w14:textFill>
              </w:rPr>
            </w:pPr>
            <w:r>
              <w:rPr>
                <w:rFonts w:hint="eastAsia"/>
                <w:color w:val="000000" w:themeColor="text1"/>
                <w:sz w:val="21"/>
                <w:szCs w:val="20"/>
                <w14:textFill>
                  <w14:solidFill>
                    <w14:schemeClr w14:val="tx1"/>
                  </w14:solidFill>
                </w14:textFill>
              </w:rPr>
              <w:t>N，4.3km</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20" w:hRule="atLeast"/>
          <w:jc w:val="center"/>
        </w:trPr>
        <w:tc>
          <w:tcPr>
            <w:tcW w:w="866" w:type="dxa"/>
            <w:vMerge w:val="continue"/>
            <w:vAlign w:val="center"/>
          </w:tcPr>
          <w:p>
            <w:pPr>
              <w:snapToGrid w:val="0"/>
              <w:spacing w:line="240" w:lineRule="atLeast"/>
              <w:ind w:firstLine="420"/>
              <w:jc w:val="center"/>
              <w:rPr>
                <w:color w:val="000000" w:themeColor="text1"/>
                <w:sz w:val="21"/>
                <w:szCs w:val="21"/>
                <w14:textFill>
                  <w14:solidFill>
                    <w14:schemeClr w14:val="tx1"/>
                  </w14:solidFill>
                </w14:textFill>
              </w:rPr>
            </w:pPr>
          </w:p>
        </w:tc>
        <w:tc>
          <w:tcPr>
            <w:tcW w:w="660" w:type="dxa"/>
            <w:vAlign w:val="center"/>
          </w:tcPr>
          <w:p>
            <w:pPr>
              <w:snapToGrid w:val="0"/>
              <w:spacing w:line="240" w:lineRule="atLeast"/>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25</w:t>
            </w:r>
          </w:p>
        </w:tc>
        <w:tc>
          <w:tcPr>
            <w:tcW w:w="1985" w:type="dxa"/>
            <w:gridSpan w:val="2"/>
            <w:vAlign w:val="center"/>
          </w:tcPr>
          <w:p>
            <w:pPr>
              <w:snapToGrid w:val="0"/>
              <w:spacing w:line="240" w:lineRule="atLeast"/>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防城港核电厂取水口</w:t>
            </w:r>
          </w:p>
        </w:tc>
        <w:tc>
          <w:tcPr>
            <w:tcW w:w="1233" w:type="dxa"/>
            <w:vAlign w:val="center"/>
          </w:tcPr>
          <w:p>
            <w:pPr>
              <w:snapToGrid w:val="0"/>
              <w:spacing w:line="240" w:lineRule="atLeast"/>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w:t>
            </w:r>
          </w:p>
        </w:tc>
        <w:tc>
          <w:tcPr>
            <w:tcW w:w="1176" w:type="dxa"/>
            <w:gridSpan w:val="2"/>
            <w:vAlign w:val="center"/>
          </w:tcPr>
          <w:p>
            <w:pPr>
              <w:snapToGrid w:val="0"/>
              <w:spacing w:line="240" w:lineRule="atLeast"/>
              <w:jc w:val="center"/>
              <w:rPr>
                <w:color w:val="000000" w:themeColor="text1"/>
                <w:kern w:val="0"/>
                <w:sz w:val="22"/>
                <w14:textFill>
                  <w14:solidFill>
                    <w14:schemeClr w14:val="tx1"/>
                  </w14:solidFill>
                </w14:textFill>
              </w:rPr>
            </w:pPr>
            <w:r>
              <w:rPr>
                <w:rFonts w:hint="eastAsia"/>
                <w:color w:val="000000" w:themeColor="text1"/>
                <w:kern w:val="0"/>
                <w:sz w:val="22"/>
                <w14:textFill>
                  <w14:solidFill>
                    <w14:schemeClr w14:val="tx1"/>
                  </w14:solidFill>
                </w14:textFill>
              </w:rPr>
              <w:t>工业取水口，主要用于核电厂日常循环水</w:t>
            </w:r>
          </w:p>
        </w:tc>
        <w:tc>
          <w:tcPr>
            <w:tcW w:w="710" w:type="dxa"/>
            <w:gridSpan w:val="2"/>
            <w:vAlign w:val="center"/>
          </w:tcPr>
          <w:p>
            <w:pPr>
              <w:snapToGrid w:val="0"/>
              <w:spacing w:line="240" w:lineRule="atLeast"/>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w:t>
            </w:r>
          </w:p>
        </w:tc>
        <w:tc>
          <w:tcPr>
            <w:tcW w:w="1892" w:type="dxa"/>
            <w:vAlign w:val="center"/>
          </w:tcPr>
          <w:p>
            <w:pPr>
              <w:snapToGrid w:val="0"/>
              <w:spacing w:line="240" w:lineRule="atLeast"/>
              <w:jc w:val="center"/>
              <w:rPr>
                <w:color w:val="000000" w:themeColor="text1"/>
                <w:sz w:val="21"/>
                <w:szCs w:val="20"/>
                <w14:textFill>
                  <w14:solidFill>
                    <w14:schemeClr w14:val="tx1"/>
                  </w14:solidFill>
                </w14:textFill>
              </w:rPr>
            </w:pPr>
            <w:r>
              <w:rPr>
                <w:rFonts w:hint="eastAsia"/>
                <w:color w:val="000000" w:themeColor="text1"/>
                <w:sz w:val="21"/>
                <w:szCs w:val="20"/>
                <w14:textFill>
                  <w14:solidFill>
                    <w14:schemeClr w14:val="tx1"/>
                  </w14:solidFill>
                </w14:textFill>
              </w:rPr>
              <w:t>W，7.10km</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20" w:hRule="atLeast"/>
          <w:jc w:val="center"/>
        </w:trPr>
        <w:tc>
          <w:tcPr>
            <w:tcW w:w="866" w:type="dxa"/>
            <w:vMerge w:val="continue"/>
            <w:vAlign w:val="center"/>
          </w:tcPr>
          <w:p>
            <w:pPr>
              <w:snapToGrid w:val="0"/>
              <w:spacing w:line="240" w:lineRule="atLeast"/>
              <w:ind w:firstLine="420"/>
              <w:jc w:val="center"/>
              <w:rPr>
                <w:color w:val="000000" w:themeColor="text1"/>
                <w:sz w:val="21"/>
                <w:szCs w:val="21"/>
                <w14:textFill>
                  <w14:solidFill>
                    <w14:schemeClr w14:val="tx1"/>
                  </w14:solidFill>
                </w14:textFill>
              </w:rPr>
            </w:pPr>
          </w:p>
        </w:tc>
        <w:tc>
          <w:tcPr>
            <w:tcW w:w="660" w:type="dxa"/>
            <w:vAlign w:val="center"/>
          </w:tcPr>
          <w:p>
            <w:pPr>
              <w:snapToGrid w:val="0"/>
              <w:spacing w:line="240" w:lineRule="atLeast"/>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26</w:t>
            </w:r>
          </w:p>
        </w:tc>
        <w:tc>
          <w:tcPr>
            <w:tcW w:w="1985" w:type="dxa"/>
            <w:gridSpan w:val="2"/>
            <w:vAlign w:val="center"/>
          </w:tcPr>
          <w:p>
            <w:pPr>
              <w:snapToGrid w:val="0"/>
              <w:spacing w:line="240" w:lineRule="atLeast"/>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生蚝养殖区①</w:t>
            </w:r>
          </w:p>
        </w:tc>
        <w:tc>
          <w:tcPr>
            <w:tcW w:w="1233" w:type="dxa"/>
            <w:vAlign w:val="center"/>
          </w:tcPr>
          <w:p>
            <w:pPr>
              <w:snapToGrid w:val="0"/>
              <w:spacing w:line="240" w:lineRule="atLeast"/>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w:t>
            </w:r>
          </w:p>
        </w:tc>
        <w:tc>
          <w:tcPr>
            <w:tcW w:w="1176" w:type="dxa"/>
            <w:gridSpan w:val="2"/>
            <w:vMerge w:val="restart"/>
            <w:vAlign w:val="center"/>
          </w:tcPr>
          <w:p>
            <w:pPr>
              <w:snapToGrid w:val="0"/>
              <w:spacing w:line="240" w:lineRule="atLeast"/>
              <w:jc w:val="center"/>
              <w:rPr>
                <w:color w:val="000000" w:themeColor="text1"/>
                <w:kern w:val="0"/>
                <w:sz w:val="22"/>
                <w14:textFill>
                  <w14:solidFill>
                    <w14:schemeClr w14:val="tx1"/>
                  </w14:solidFill>
                </w14:textFill>
              </w:rPr>
            </w:pPr>
            <w:r>
              <w:rPr>
                <w:color w:val="000000" w:themeColor="text1"/>
                <w:kern w:val="0"/>
                <w:sz w:val="22"/>
                <w14:textFill>
                  <w14:solidFill>
                    <w14:schemeClr w14:val="tx1"/>
                  </w14:solidFill>
                </w14:textFill>
              </w:rPr>
              <w:t>水质、生态环境</w:t>
            </w:r>
          </w:p>
        </w:tc>
        <w:tc>
          <w:tcPr>
            <w:tcW w:w="710" w:type="dxa"/>
            <w:gridSpan w:val="2"/>
            <w:vMerge w:val="restart"/>
            <w:vAlign w:val="center"/>
          </w:tcPr>
          <w:p>
            <w:pPr>
              <w:snapToGrid w:val="0"/>
              <w:spacing w:line="240" w:lineRule="atLeast"/>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二类</w:t>
            </w:r>
          </w:p>
        </w:tc>
        <w:tc>
          <w:tcPr>
            <w:tcW w:w="1892" w:type="dxa"/>
            <w:vAlign w:val="center"/>
          </w:tcPr>
          <w:p>
            <w:pPr>
              <w:snapToGrid w:val="0"/>
              <w:spacing w:line="240" w:lineRule="atLeast"/>
              <w:jc w:val="center"/>
              <w:rPr>
                <w:color w:val="000000" w:themeColor="text1"/>
                <w:sz w:val="21"/>
                <w:szCs w:val="20"/>
                <w14:textFill>
                  <w14:solidFill>
                    <w14:schemeClr w14:val="tx1"/>
                  </w14:solidFill>
                </w14:textFill>
              </w:rPr>
            </w:pPr>
            <w:r>
              <w:rPr>
                <w:color w:val="000000" w:themeColor="text1"/>
                <w:sz w:val="21"/>
                <w:szCs w:val="20"/>
                <w14:textFill>
                  <w14:solidFill>
                    <w14:schemeClr w14:val="tx1"/>
                  </w14:solidFill>
                </w14:textFill>
              </w:rPr>
              <w:t>NW，</w:t>
            </w:r>
            <w:r>
              <w:rPr>
                <w:rFonts w:hint="eastAsia"/>
                <w:color w:val="000000" w:themeColor="text1"/>
                <w:sz w:val="21"/>
                <w:szCs w:val="20"/>
                <w14:textFill>
                  <w14:solidFill>
                    <w14:schemeClr w14:val="tx1"/>
                  </w14:solidFill>
                </w14:textFill>
              </w:rPr>
              <w:t>6.8km</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20" w:hRule="atLeast"/>
          <w:jc w:val="center"/>
        </w:trPr>
        <w:tc>
          <w:tcPr>
            <w:tcW w:w="866" w:type="dxa"/>
            <w:vMerge w:val="continue"/>
            <w:vAlign w:val="center"/>
          </w:tcPr>
          <w:p>
            <w:pPr>
              <w:snapToGrid w:val="0"/>
              <w:spacing w:line="240" w:lineRule="atLeast"/>
              <w:ind w:firstLine="420"/>
              <w:jc w:val="center"/>
              <w:rPr>
                <w:color w:val="000000" w:themeColor="text1"/>
                <w:sz w:val="21"/>
                <w:szCs w:val="21"/>
                <w14:textFill>
                  <w14:solidFill>
                    <w14:schemeClr w14:val="tx1"/>
                  </w14:solidFill>
                </w14:textFill>
              </w:rPr>
            </w:pPr>
          </w:p>
        </w:tc>
        <w:tc>
          <w:tcPr>
            <w:tcW w:w="660" w:type="dxa"/>
            <w:vAlign w:val="center"/>
          </w:tcPr>
          <w:p>
            <w:pPr>
              <w:snapToGrid w:val="0"/>
              <w:spacing w:line="240" w:lineRule="atLeast"/>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27</w:t>
            </w:r>
          </w:p>
        </w:tc>
        <w:tc>
          <w:tcPr>
            <w:tcW w:w="1985" w:type="dxa"/>
            <w:gridSpan w:val="2"/>
            <w:vAlign w:val="center"/>
          </w:tcPr>
          <w:p>
            <w:pPr>
              <w:snapToGrid w:val="0"/>
              <w:spacing w:line="240" w:lineRule="atLeast"/>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生蚝养殖区</w:t>
            </w:r>
            <w:r>
              <w:rPr>
                <w:rFonts w:hint="eastAsia"/>
                <w:color w:val="000000" w:themeColor="text1"/>
                <w:sz w:val="21"/>
                <w:szCs w:val="21"/>
                <w14:textFill>
                  <w14:solidFill>
                    <w14:schemeClr w14:val="tx1"/>
                  </w14:solidFill>
                </w14:textFill>
              </w:rPr>
              <w:t>②</w:t>
            </w:r>
          </w:p>
        </w:tc>
        <w:tc>
          <w:tcPr>
            <w:tcW w:w="1233" w:type="dxa"/>
            <w:vAlign w:val="center"/>
          </w:tcPr>
          <w:p>
            <w:pPr>
              <w:snapToGrid w:val="0"/>
              <w:spacing w:line="240" w:lineRule="atLeast"/>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w:t>
            </w:r>
          </w:p>
        </w:tc>
        <w:tc>
          <w:tcPr>
            <w:tcW w:w="1176" w:type="dxa"/>
            <w:gridSpan w:val="2"/>
            <w:vMerge w:val="continue"/>
            <w:vAlign w:val="center"/>
          </w:tcPr>
          <w:p>
            <w:pPr>
              <w:snapToGrid w:val="0"/>
              <w:spacing w:line="240" w:lineRule="atLeast"/>
              <w:jc w:val="center"/>
              <w:rPr>
                <w:color w:val="000000" w:themeColor="text1"/>
                <w:kern w:val="0"/>
                <w:sz w:val="22"/>
                <w14:textFill>
                  <w14:solidFill>
                    <w14:schemeClr w14:val="tx1"/>
                  </w14:solidFill>
                </w14:textFill>
              </w:rPr>
            </w:pPr>
          </w:p>
        </w:tc>
        <w:tc>
          <w:tcPr>
            <w:tcW w:w="710" w:type="dxa"/>
            <w:gridSpan w:val="2"/>
            <w:vMerge w:val="continue"/>
            <w:vAlign w:val="center"/>
          </w:tcPr>
          <w:p>
            <w:pPr>
              <w:snapToGrid w:val="0"/>
              <w:spacing w:line="240" w:lineRule="atLeast"/>
              <w:jc w:val="center"/>
              <w:rPr>
                <w:color w:val="000000" w:themeColor="text1"/>
                <w:sz w:val="21"/>
                <w:szCs w:val="21"/>
                <w14:textFill>
                  <w14:solidFill>
                    <w14:schemeClr w14:val="tx1"/>
                  </w14:solidFill>
                </w14:textFill>
              </w:rPr>
            </w:pPr>
          </w:p>
        </w:tc>
        <w:tc>
          <w:tcPr>
            <w:tcW w:w="1892" w:type="dxa"/>
            <w:vAlign w:val="center"/>
          </w:tcPr>
          <w:p>
            <w:pPr>
              <w:snapToGrid w:val="0"/>
              <w:spacing w:line="240" w:lineRule="atLeast"/>
              <w:jc w:val="center"/>
              <w:rPr>
                <w:color w:val="000000" w:themeColor="text1"/>
                <w:sz w:val="21"/>
                <w:szCs w:val="20"/>
                <w14:textFill>
                  <w14:solidFill>
                    <w14:schemeClr w14:val="tx1"/>
                  </w14:solidFill>
                </w14:textFill>
              </w:rPr>
            </w:pPr>
            <w:r>
              <w:rPr>
                <w:color w:val="000000" w:themeColor="text1"/>
                <w:sz w:val="21"/>
                <w:szCs w:val="20"/>
                <w14:textFill>
                  <w14:solidFill>
                    <w14:schemeClr w14:val="tx1"/>
                  </w14:solidFill>
                </w14:textFill>
              </w:rPr>
              <w:t>SE，</w:t>
            </w:r>
            <w:r>
              <w:rPr>
                <w:rFonts w:hint="eastAsia"/>
                <w:color w:val="000000" w:themeColor="text1"/>
                <w:sz w:val="21"/>
                <w:szCs w:val="20"/>
                <w14:textFill>
                  <w14:solidFill>
                    <w14:schemeClr w14:val="tx1"/>
                  </w14:solidFill>
                </w14:textFill>
              </w:rPr>
              <w:t>4.2km</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20" w:hRule="atLeast"/>
          <w:jc w:val="center"/>
        </w:trPr>
        <w:tc>
          <w:tcPr>
            <w:tcW w:w="866" w:type="dxa"/>
            <w:vMerge w:val="continue"/>
            <w:vAlign w:val="center"/>
          </w:tcPr>
          <w:p>
            <w:pPr>
              <w:snapToGrid w:val="0"/>
              <w:spacing w:line="240" w:lineRule="atLeast"/>
              <w:ind w:firstLine="420"/>
              <w:jc w:val="center"/>
              <w:rPr>
                <w:color w:val="000000" w:themeColor="text1"/>
                <w:sz w:val="21"/>
                <w:szCs w:val="21"/>
                <w14:textFill>
                  <w14:solidFill>
                    <w14:schemeClr w14:val="tx1"/>
                  </w14:solidFill>
                </w14:textFill>
              </w:rPr>
            </w:pPr>
          </w:p>
        </w:tc>
        <w:tc>
          <w:tcPr>
            <w:tcW w:w="660" w:type="dxa"/>
            <w:vAlign w:val="center"/>
          </w:tcPr>
          <w:p>
            <w:pPr>
              <w:snapToGrid w:val="0"/>
              <w:spacing w:line="240" w:lineRule="atLeast"/>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28</w:t>
            </w:r>
          </w:p>
        </w:tc>
        <w:tc>
          <w:tcPr>
            <w:tcW w:w="1985" w:type="dxa"/>
            <w:gridSpan w:val="2"/>
            <w:vAlign w:val="center"/>
          </w:tcPr>
          <w:p>
            <w:pPr>
              <w:snapToGrid w:val="0"/>
              <w:spacing w:line="240" w:lineRule="atLeast"/>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生蚝养殖区</w:t>
            </w:r>
            <w:r>
              <w:rPr>
                <w:rFonts w:hint="eastAsia"/>
                <w:color w:val="000000" w:themeColor="text1"/>
                <w:sz w:val="21"/>
                <w:szCs w:val="21"/>
                <w14:textFill>
                  <w14:solidFill>
                    <w14:schemeClr w14:val="tx1"/>
                  </w14:solidFill>
                </w14:textFill>
              </w:rPr>
              <w:t>③</w:t>
            </w:r>
          </w:p>
        </w:tc>
        <w:tc>
          <w:tcPr>
            <w:tcW w:w="1233" w:type="dxa"/>
            <w:vAlign w:val="center"/>
          </w:tcPr>
          <w:p>
            <w:pPr>
              <w:snapToGrid w:val="0"/>
              <w:spacing w:line="240" w:lineRule="atLeast"/>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w:t>
            </w:r>
          </w:p>
        </w:tc>
        <w:tc>
          <w:tcPr>
            <w:tcW w:w="1176" w:type="dxa"/>
            <w:gridSpan w:val="2"/>
            <w:vMerge w:val="continue"/>
            <w:vAlign w:val="center"/>
          </w:tcPr>
          <w:p>
            <w:pPr>
              <w:snapToGrid w:val="0"/>
              <w:spacing w:line="240" w:lineRule="atLeast"/>
              <w:jc w:val="center"/>
              <w:rPr>
                <w:color w:val="000000" w:themeColor="text1"/>
                <w:kern w:val="0"/>
                <w:sz w:val="22"/>
                <w14:textFill>
                  <w14:solidFill>
                    <w14:schemeClr w14:val="tx1"/>
                  </w14:solidFill>
                </w14:textFill>
              </w:rPr>
            </w:pPr>
          </w:p>
        </w:tc>
        <w:tc>
          <w:tcPr>
            <w:tcW w:w="710" w:type="dxa"/>
            <w:gridSpan w:val="2"/>
            <w:vMerge w:val="continue"/>
            <w:vAlign w:val="center"/>
          </w:tcPr>
          <w:p>
            <w:pPr>
              <w:snapToGrid w:val="0"/>
              <w:spacing w:line="240" w:lineRule="atLeast"/>
              <w:jc w:val="center"/>
              <w:rPr>
                <w:color w:val="000000" w:themeColor="text1"/>
                <w:sz w:val="21"/>
                <w:szCs w:val="21"/>
                <w14:textFill>
                  <w14:solidFill>
                    <w14:schemeClr w14:val="tx1"/>
                  </w14:solidFill>
                </w14:textFill>
              </w:rPr>
            </w:pPr>
          </w:p>
        </w:tc>
        <w:tc>
          <w:tcPr>
            <w:tcW w:w="1892" w:type="dxa"/>
            <w:vAlign w:val="center"/>
          </w:tcPr>
          <w:p>
            <w:pPr>
              <w:snapToGrid w:val="0"/>
              <w:spacing w:line="240" w:lineRule="atLeast"/>
              <w:jc w:val="center"/>
              <w:rPr>
                <w:color w:val="000000" w:themeColor="text1"/>
                <w:sz w:val="21"/>
                <w:szCs w:val="20"/>
                <w14:textFill>
                  <w14:solidFill>
                    <w14:schemeClr w14:val="tx1"/>
                  </w14:solidFill>
                </w14:textFill>
              </w:rPr>
            </w:pPr>
            <w:r>
              <w:rPr>
                <w:color w:val="000000" w:themeColor="text1"/>
                <w:sz w:val="21"/>
                <w:szCs w:val="20"/>
                <w14:textFill>
                  <w14:solidFill>
                    <w14:schemeClr w14:val="tx1"/>
                  </w14:solidFill>
                </w14:textFill>
              </w:rPr>
              <w:t>SE</w:t>
            </w:r>
            <w:r>
              <w:rPr>
                <w:rFonts w:hint="eastAsia"/>
                <w:color w:val="000000" w:themeColor="text1"/>
                <w:sz w:val="21"/>
                <w:szCs w:val="20"/>
                <w14:textFill>
                  <w14:solidFill>
                    <w14:schemeClr w14:val="tx1"/>
                  </w14:solidFill>
                </w14:textFill>
              </w:rPr>
              <w:t>，4.3km</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20" w:hRule="atLeast"/>
          <w:jc w:val="center"/>
        </w:trPr>
        <w:tc>
          <w:tcPr>
            <w:tcW w:w="866" w:type="dxa"/>
            <w:vMerge w:val="continue"/>
            <w:vAlign w:val="center"/>
          </w:tcPr>
          <w:p>
            <w:pPr>
              <w:snapToGrid w:val="0"/>
              <w:spacing w:line="240" w:lineRule="atLeast"/>
              <w:jc w:val="center"/>
              <w:rPr>
                <w:color w:val="000000" w:themeColor="text1"/>
                <w:sz w:val="21"/>
                <w:szCs w:val="21"/>
                <w14:textFill>
                  <w14:solidFill>
                    <w14:schemeClr w14:val="tx1"/>
                  </w14:solidFill>
                </w14:textFill>
              </w:rPr>
            </w:pPr>
          </w:p>
        </w:tc>
        <w:tc>
          <w:tcPr>
            <w:tcW w:w="5764" w:type="dxa"/>
            <w:gridSpan w:val="8"/>
            <w:vAlign w:val="center"/>
          </w:tcPr>
          <w:p>
            <w:pPr>
              <w:snapToGrid w:val="0"/>
              <w:spacing w:line="240" w:lineRule="atLeast"/>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地表水环境敏感程度E值</w:t>
            </w:r>
          </w:p>
        </w:tc>
        <w:tc>
          <w:tcPr>
            <w:tcW w:w="1892" w:type="dxa"/>
            <w:vAlign w:val="center"/>
          </w:tcPr>
          <w:p>
            <w:pPr>
              <w:snapToGrid w:val="0"/>
              <w:spacing w:line="240" w:lineRule="atLeast"/>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E2</w:t>
            </w:r>
          </w:p>
        </w:tc>
      </w:tr>
      <w:bookmarkEnd w:id="56"/>
      <w:bookmarkEnd w:id="57"/>
      <w:bookmarkEnd w:id="58"/>
      <w:bookmarkEnd w:id="59"/>
      <w:bookmarkEnd w:id="60"/>
      <w:bookmarkEnd w:id="61"/>
      <w:bookmarkEnd w:id="62"/>
    </w:tbl>
    <w:p>
      <w:pPr>
        <w:pStyle w:val="4"/>
        <w:rPr>
          <w:color w:val="000000" w:themeColor="text1"/>
          <w14:textFill>
            <w14:solidFill>
              <w14:schemeClr w14:val="tx1"/>
            </w14:solidFill>
          </w14:textFill>
        </w:rPr>
      </w:pPr>
      <w:bookmarkStart w:id="65" w:name="_Toc247517460"/>
      <w:bookmarkStart w:id="66" w:name="_Toc232154406"/>
      <w:bookmarkStart w:id="67" w:name="_Toc247517533"/>
      <w:bookmarkStart w:id="68" w:name="_Toc317003517"/>
      <w:bookmarkStart w:id="69" w:name="_Toc170918593"/>
      <w:bookmarkStart w:id="70" w:name="_Toc247517265"/>
      <w:bookmarkStart w:id="71" w:name="_Toc317003237"/>
      <w:r>
        <w:rPr>
          <w:color w:val="000000" w:themeColor="text1"/>
          <w14:textFill>
            <w14:solidFill>
              <w14:schemeClr w14:val="tx1"/>
            </w14:solidFill>
          </w14:textFill>
        </w:rPr>
        <w:t>评价工作程序</w:t>
      </w:r>
      <w:bookmarkEnd w:id="65"/>
      <w:bookmarkEnd w:id="66"/>
      <w:bookmarkEnd w:id="67"/>
      <w:bookmarkEnd w:id="68"/>
      <w:bookmarkEnd w:id="69"/>
      <w:bookmarkEnd w:id="70"/>
      <w:bookmarkEnd w:id="71"/>
    </w:p>
    <w:p>
      <w:pPr>
        <w:pStyle w:val="553"/>
        <w:rPr>
          <w:color w:val="000000" w:themeColor="text1"/>
          <w14:textFill>
            <w14:solidFill>
              <w14:schemeClr w14:val="tx1"/>
            </w14:solidFill>
          </w14:textFill>
        </w:rPr>
      </w:pPr>
      <w:r>
        <w:rPr>
          <w:color w:val="000000" w:themeColor="text1"/>
          <w:lang w:bidi="ar-SA"/>
          <w14:textFill>
            <w14:solidFill>
              <w14:schemeClr w14:val="tx1"/>
            </w14:solidFill>
          </w14:textFill>
        </w:rPr>
        <w:drawing>
          <wp:anchor distT="0" distB="0" distL="114300" distR="114300" simplePos="0" relativeHeight="251679744" behindDoc="0" locked="0" layoutInCell="1" allowOverlap="1">
            <wp:simplePos x="0" y="0"/>
            <wp:positionH relativeFrom="column">
              <wp:posOffset>86360</wp:posOffset>
            </wp:positionH>
            <wp:positionV relativeFrom="paragraph">
              <wp:posOffset>26670</wp:posOffset>
            </wp:positionV>
            <wp:extent cx="4827905" cy="5532120"/>
            <wp:effectExtent l="19050" t="19050" r="10795" b="11430"/>
            <wp:wrapTopAndBottom/>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pic:cNvPicPr>
                      <a:picLocks noChangeAspect="1"/>
                    </pic:cNvPicPr>
                  </pic:nvPicPr>
                  <pic:blipFill>
                    <a:blip r:embed="rId39">
                      <a:extLst>
                        <a:ext uri="{28A0092B-C50C-407E-A947-70E740481C1C}">
                          <a14:useLocalDpi xmlns:a14="http://schemas.microsoft.com/office/drawing/2010/main" val="0"/>
                        </a:ext>
                      </a:extLst>
                    </a:blip>
                    <a:srcRect l="3291" t="3280" r="17714" b="2184"/>
                    <a:stretch>
                      <a:fillRect/>
                    </a:stretch>
                  </pic:blipFill>
                  <pic:spPr>
                    <a:xfrm>
                      <a:off x="0" y="0"/>
                      <a:ext cx="4827905" cy="5532120"/>
                    </a:xfrm>
                    <a:prstGeom prst="rect">
                      <a:avLst/>
                    </a:prstGeom>
                    <a:ln>
                      <a:solidFill>
                        <a:schemeClr val="tx1"/>
                      </a:solidFill>
                    </a:ln>
                  </pic:spPr>
                </pic:pic>
              </a:graphicData>
            </a:graphic>
          </wp:anchor>
        </w:drawing>
      </w:r>
      <w:r>
        <w:rPr>
          <w:color w:val="000000" w:themeColor="text1"/>
          <w14:textFill>
            <w14:solidFill>
              <w14:schemeClr w14:val="tx1"/>
            </w14:solidFill>
          </w14:textFill>
        </w:rPr>
        <w:t>评价工作程序图</w:t>
      </w:r>
    </w:p>
    <w:p>
      <w:pPr>
        <w:pStyle w:val="283"/>
        <w:ind w:firstLine="462"/>
        <w:rPr>
          <w:color w:val="000000" w:themeColor="text1"/>
          <w14:textFill>
            <w14:solidFill>
              <w14:schemeClr w14:val="tx1"/>
            </w14:solidFill>
          </w14:textFill>
        </w:rPr>
        <w:sectPr>
          <w:headerReference r:id="rId18" w:type="default"/>
          <w:footerReference r:id="rId20" w:type="default"/>
          <w:headerReference r:id="rId19" w:type="even"/>
          <w:footerReference r:id="rId21" w:type="even"/>
          <w:pgSz w:w="11907" w:h="16840"/>
          <w:pgMar w:top="1440" w:right="1514" w:bottom="1440" w:left="1797" w:header="992" w:footer="851" w:gutter="284"/>
          <w:pgNumType w:fmt="numberInDash" w:start="1"/>
          <w:cols w:space="425" w:num="1"/>
          <w:docGrid w:type="linesAndChars" w:linePitch="465" w:charSpace="-1866"/>
        </w:sectPr>
      </w:pPr>
      <w:bookmarkStart w:id="72" w:name="_Toc317003518"/>
      <w:bookmarkStart w:id="73" w:name="_Toc317003238"/>
    </w:p>
    <w:p>
      <w:pPr>
        <w:pStyle w:val="3"/>
        <w:rPr>
          <w:color w:val="000000" w:themeColor="text1"/>
          <w14:textFill>
            <w14:solidFill>
              <w14:schemeClr w14:val="tx1"/>
            </w14:solidFill>
          </w14:textFill>
        </w:rPr>
      </w:pPr>
      <w:bookmarkStart w:id="74" w:name="_Toc170918594"/>
      <w:r>
        <w:rPr>
          <w:color w:val="000000" w:themeColor="text1"/>
          <w14:textFill>
            <w14:solidFill>
              <w14:schemeClr w14:val="tx1"/>
            </w14:solidFill>
          </w14:textFill>
        </w:rPr>
        <w:t>工程概况</w:t>
      </w:r>
      <w:bookmarkEnd w:id="72"/>
      <w:bookmarkEnd w:id="73"/>
      <w:bookmarkEnd w:id="74"/>
    </w:p>
    <w:p>
      <w:pPr>
        <w:pStyle w:val="4"/>
        <w:rPr>
          <w:color w:val="000000" w:themeColor="text1"/>
          <w14:textFill>
            <w14:solidFill>
              <w14:schemeClr w14:val="tx1"/>
            </w14:solidFill>
          </w14:textFill>
        </w:rPr>
      </w:pPr>
      <w:bookmarkStart w:id="75" w:name="_Toc170918595"/>
      <w:bookmarkStart w:id="76" w:name="_Toc247517279"/>
      <w:bookmarkStart w:id="77" w:name="_Toc232154426"/>
      <w:bookmarkStart w:id="78" w:name="_Toc130368648"/>
      <w:bookmarkStart w:id="79" w:name="_Toc247517541"/>
      <w:bookmarkStart w:id="80" w:name="_Toc247517468"/>
      <w:bookmarkStart w:id="81" w:name="_Toc160849696"/>
      <w:bookmarkStart w:id="82" w:name="_Toc317003519"/>
      <w:bookmarkStart w:id="83" w:name="_Toc317003239"/>
      <w:r>
        <w:rPr>
          <w:rFonts w:hint="eastAsia"/>
          <w:color w:val="000000" w:themeColor="text1"/>
          <w14:textFill>
            <w14:solidFill>
              <w14:schemeClr w14:val="tx1"/>
            </w14:solidFill>
          </w14:textFill>
        </w:rPr>
        <w:t>现有工程概况</w:t>
      </w:r>
      <w:bookmarkEnd w:id="75"/>
    </w:p>
    <w:p>
      <w:pPr>
        <w:pStyle w:val="5"/>
        <w:rPr>
          <w:color w:val="000000" w:themeColor="text1"/>
          <w14:textFill>
            <w14:solidFill>
              <w14:schemeClr w14:val="tx1"/>
            </w14:solidFill>
          </w14:textFill>
        </w:rPr>
      </w:pPr>
      <w:r>
        <w:rPr>
          <w:rFonts w:hint="eastAsia"/>
          <w:color w:val="000000" w:themeColor="text1"/>
          <w14:textFill>
            <w14:solidFill>
              <w14:schemeClr w14:val="tx1"/>
            </w14:solidFill>
          </w14:textFill>
        </w:rPr>
        <w:t>工程建设过程</w:t>
      </w:r>
    </w:p>
    <w:p>
      <w:pPr>
        <w:pStyle w:val="283"/>
        <w:ind w:firstLine="462"/>
        <w:rPr>
          <w:color w:val="000000" w:themeColor="text1"/>
          <w14:textFill>
            <w14:solidFill>
              <w14:schemeClr w14:val="tx1"/>
            </w14:solidFill>
          </w14:textFill>
        </w:rPr>
      </w:pPr>
      <w:r>
        <w:rPr>
          <w:rFonts w:hint="eastAsia"/>
          <w:color w:val="000000" w:themeColor="text1"/>
          <w14:textFill>
            <w14:solidFill>
              <w14:schemeClr w14:val="tx1"/>
            </w14:solidFill>
          </w14:textFill>
        </w:rPr>
        <w:t>1、现有工程围填海过程</w:t>
      </w:r>
    </w:p>
    <w:p>
      <w:pPr>
        <w:pStyle w:val="283"/>
        <w:ind w:firstLine="462"/>
        <w:rPr>
          <w:color w:val="000000" w:themeColor="text1"/>
          <w14:textFill>
            <w14:solidFill>
              <w14:schemeClr w14:val="tx1"/>
            </w14:solidFill>
          </w14:textFill>
        </w:rPr>
      </w:pPr>
      <w:r>
        <w:rPr>
          <w:rFonts w:hint="eastAsia"/>
          <w:color w:val="000000" w:themeColor="text1"/>
          <w14:textFill>
            <w14:solidFill>
              <w14:schemeClr w14:val="tx1"/>
            </w14:solidFill>
          </w14:textFill>
        </w:rPr>
        <w:t>现有9号10号泊位陆域面积63.2hm</w:t>
      </w:r>
      <w:r>
        <w:rPr>
          <w:rFonts w:hint="eastAsia"/>
          <w:color w:val="000000" w:themeColor="text1"/>
          <w:vertAlign w:val="superscript"/>
          <w14:textFill>
            <w14:solidFill>
              <w14:schemeClr w14:val="tx1"/>
            </w14:solidFill>
          </w14:textFill>
        </w:rPr>
        <w:t>2</w:t>
      </w:r>
      <w:r>
        <w:rPr>
          <w:rFonts w:hint="eastAsia"/>
          <w:color w:val="000000" w:themeColor="text1"/>
          <w14:textFill>
            <w14:solidFill>
              <w14:schemeClr w14:val="tx1"/>
            </w14:solidFill>
          </w14:textFill>
        </w:rPr>
        <w:t>，处于三宗用海项目：钦州保税港区宏远物流配送中心项目、钦州保税港区昊鼎仓储物流中心项目、钦州保税港区宏泰仓储项目的宗海范围内（图2</w:t>
      </w:r>
      <w:r>
        <w:rPr>
          <w:color w:val="000000" w:themeColor="text1"/>
          <w14:textFill>
            <w14:solidFill>
              <w14:schemeClr w14:val="tx1"/>
            </w14:solidFill>
          </w14:textFill>
        </w:rPr>
        <w:t>.1-1</w:t>
      </w:r>
      <w:r>
        <w:rPr>
          <w:rFonts w:hint="eastAsia"/>
          <w:color w:val="000000" w:themeColor="text1"/>
          <w14:textFill>
            <w14:solidFill>
              <w14:schemeClr w14:val="tx1"/>
            </w14:solidFill>
          </w14:textFill>
        </w:rPr>
        <w:t>）。于2010年8月取得海域使用权证后，2010年开始陆续进行围填海，至2020年1月基本完成填海。</w:t>
      </w:r>
    </w:p>
    <w:p>
      <w:pPr>
        <w:pStyle w:val="384"/>
        <w:ind w:left="0" w:firstLine="0"/>
        <w:rPr>
          <w:color w:val="000000" w:themeColor="text1"/>
          <w14:textFill>
            <w14:solidFill>
              <w14:schemeClr w14:val="tx1"/>
            </w14:solidFill>
          </w14:textFill>
        </w:rPr>
      </w:pPr>
      <w:r>
        <w:rPr>
          <w:rFonts w:hint="eastAsia"/>
          <w:color w:val="000000" w:themeColor="text1"/>
          <w14:textFill>
            <w14:solidFill>
              <w14:schemeClr w14:val="tx1"/>
            </w14:solidFill>
          </w14:textFill>
        </w:rPr>
        <w:t>现有9号10号泊位用海情况表</w:t>
      </w:r>
    </w:p>
    <w:tbl>
      <w:tblPr>
        <w:tblStyle w:val="89"/>
        <w:tblW w:w="8528" w:type="dxa"/>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952"/>
        <w:gridCol w:w="5270"/>
        <w:gridCol w:w="2306"/>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c>
          <w:tcPr>
            <w:tcW w:w="952" w:type="dxa"/>
            <w:vAlign w:val="center"/>
          </w:tcPr>
          <w:p>
            <w:pPr>
              <w:pStyle w:val="2001"/>
            </w:pPr>
            <w:r>
              <w:rPr>
                <w:rFonts w:hint="eastAsia"/>
              </w:rPr>
              <w:t>序号</w:t>
            </w:r>
          </w:p>
        </w:tc>
        <w:tc>
          <w:tcPr>
            <w:tcW w:w="5270" w:type="dxa"/>
            <w:vAlign w:val="center"/>
          </w:tcPr>
          <w:p>
            <w:pPr>
              <w:pStyle w:val="2001"/>
            </w:pPr>
            <w:r>
              <w:rPr>
                <w:rFonts w:hint="eastAsia"/>
              </w:rPr>
              <w:t>宗海所属项目</w:t>
            </w:r>
          </w:p>
        </w:tc>
        <w:tc>
          <w:tcPr>
            <w:tcW w:w="2306" w:type="dxa"/>
            <w:vAlign w:val="center"/>
          </w:tcPr>
          <w:p>
            <w:pPr>
              <w:pStyle w:val="2001"/>
            </w:pPr>
            <w:r>
              <w:rPr>
                <w:rFonts w:hint="eastAsia"/>
              </w:rPr>
              <w:t>用</w:t>
            </w:r>
            <w:r>
              <w:t>海面积</w:t>
            </w:r>
            <w:r>
              <w:rPr>
                <w:rFonts w:hint="eastAsia"/>
              </w:rPr>
              <w:t>（</w:t>
            </w:r>
            <w:r>
              <w:t>hm</w:t>
            </w:r>
            <w:r>
              <w:rPr>
                <w:rFonts w:hint="eastAsia"/>
                <w:vertAlign w:val="superscript"/>
              </w:rPr>
              <w:t>2</w:t>
            </w:r>
            <w:r>
              <w:rPr>
                <w:rFonts w:hint="eastAsia"/>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c>
          <w:tcPr>
            <w:tcW w:w="952" w:type="dxa"/>
            <w:vAlign w:val="center"/>
          </w:tcPr>
          <w:p>
            <w:pPr>
              <w:pStyle w:val="2001"/>
            </w:pPr>
            <w:r>
              <w:rPr>
                <w:rFonts w:hint="eastAsia"/>
              </w:rPr>
              <w:t>1</w:t>
            </w:r>
          </w:p>
        </w:tc>
        <w:tc>
          <w:tcPr>
            <w:tcW w:w="5270" w:type="dxa"/>
            <w:vAlign w:val="center"/>
          </w:tcPr>
          <w:p>
            <w:pPr>
              <w:pStyle w:val="2001"/>
            </w:pPr>
            <w:r>
              <w:rPr>
                <w:rFonts w:hint="eastAsia"/>
              </w:rPr>
              <w:t>钦州保税港区宏远物流配送中心项目</w:t>
            </w:r>
          </w:p>
        </w:tc>
        <w:tc>
          <w:tcPr>
            <w:tcW w:w="2306" w:type="dxa"/>
            <w:vAlign w:val="center"/>
          </w:tcPr>
          <w:p>
            <w:pPr>
              <w:pStyle w:val="2001"/>
            </w:pPr>
            <w:r>
              <w:rPr>
                <w:rFonts w:hint="eastAsia"/>
              </w:rPr>
              <w:t>42.1144</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c>
          <w:tcPr>
            <w:tcW w:w="952" w:type="dxa"/>
            <w:vAlign w:val="center"/>
          </w:tcPr>
          <w:p>
            <w:pPr>
              <w:pStyle w:val="2001"/>
            </w:pPr>
            <w:r>
              <w:rPr>
                <w:rFonts w:hint="eastAsia"/>
              </w:rPr>
              <w:t>2</w:t>
            </w:r>
          </w:p>
        </w:tc>
        <w:tc>
          <w:tcPr>
            <w:tcW w:w="5270" w:type="dxa"/>
            <w:vAlign w:val="center"/>
          </w:tcPr>
          <w:p>
            <w:pPr>
              <w:pStyle w:val="2001"/>
            </w:pPr>
            <w:r>
              <w:rPr>
                <w:rFonts w:hint="eastAsia"/>
              </w:rPr>
              <w:t>钦州保税港区昊鼎仓储物流中心项目</w:t>
            </w:r>
          </w:p>
        </w:tc>
        <w:tc>
          <w:tcPr>
            <w:tcW w:w="2306" w:type="dxa"/>
            <w:vAlign w:val="center"/>
          </w:tcPr>
          <w:p>
            <w:pPr>
              <w:pStyle w:val="2001"/>
            </w:pPr>
            <w:r>
              <w:rPr>
                <w:rFonts w:hint="eastAsia"/>
              </w:rPr>
              <w:t>13.73</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c>
          <w:tcPr>
            <w:tcW w:w="952" w:type="dxa"/>
            <w:vAlign w:val="center"/>
          </w:tcPr>
          <w:p>
            <w:pPr>
              <w:pStyle w:val="2001"/>
            </w:pPr>
            <w:r>
              <w:rPr>
                <w:rFonts w:hint="eastAsia"/>
              </w:rPr>
              <w:t>3</w:t>
            </w:r>
          </w:p>
        </w:tc>
        <w:tc>
          <w:tcPr>
            <w:tcW w:w="5270" w:type="dxa"/>
            <w:vAlign w:val="center"/>
          </w:tcPr>
          <w:p>
            <w:pPr>
              <w:pStyle w:val="2001"/>
            </w:pPr>
            <w:r>
              <w:rPr>
                <w:rFonts w:hint="eastAsia"/>
              </w:rPr>
              <w:t>钦州保税港区宏泰仓储项目</w:t>
            </w:r>
          </w:p>
        </w:tc>
        <w:tc>
          <w:tcPr>
            <w:tcW w:w="2306" w:type="dxa"/>
            <w:vAlign w:val="center"/>
          </w:tcPr>
          <w:p>
            <w:pPr>
              <w:pStyle w:val="2001"/>
            </w:pPr>
            <w:r>
              <w:rPr>
                <w:rFonts w:hint="eastAsia"/>
              </w:rPr>
              <w:t>7.3556</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c>
          <w:tcPr>
            <w:tcW w:w="6222" w:type="dxa"/>
            <w:gridSpan w:val="2"/>
            <w:vAlign w:val="center"/>
          </w:tcPr>
          <w:p>
            <w:pPr>
              <w:pStyle w:val="2001"/>
            </w:pPr>
            <w:r>
              <w:rPr>
                <w:rFonts w:hint="eastAsia"/>
              </w:rPr>
              <w:t>合计</w:t>
            </w:r>
          </w:p>
        </w:tc>
        <w:tc>
          <w:tcPr>
            <w:tcW w:w="2306" w:type="dxa"/>
            <w:vAlign w:val="center"/>
          </w:tcPr>
          <w:p>
            <w:pPr>
              <w:pStyle w:val="2001"/>
            </w:pPr>
            <w:r>
              <w:rPr>
                <w:rFonts w:hint="eastAsia"/>
              </w:rPr>
              <w:t>63.2</w:t>
            </w:r>
          </w:p>
        </w:tc>
      </w:tr>
    </w:tbl>
    <w:p>
      <w:pPr>
        <w:pStyle w:val="283"/>
        <w:ind w:firstLine="462"/>
        <w:rPr>
          <w:color w:val="000000" w:themeColor="text1"/>
          <w14:textFill>
            <w14:solidFill>
              <w14:schemeClr w14:val="tx1"/>
            </w14:solidFill>
          </w14:textFill>
        </w:rPr>
      </w:pPr>
    </w:p>
    <w:tbl>
      <w:tblPr>
        <w:tblStyle w:val="89"/>
        <w:tblW w:w="852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52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8528" w:type="dxa"/>
            <w:tcBorders>
              <w:top w:val="nil"/>
              <w:left w:val="nil"/>
              <w:bottom w:val="nil"/>
              <w:right w:val="nil"/>
            </w:tcBorders>
            <w:vAlign w:val="center"/>
          </w:tcPr>
          <w:p>
            <w:pPr>
              <w:pStyle w:val="283"/>
              <w:ind w:firstLine="462"/>
              <w:rPr>
                <w:color w:val="000000" w:themeColor="text1"/>
                <w14:textFill>
                  <w14:solidFill>
                    <w14:schemeClr w14:val="tx1"/>
                  </w14:solidFill>
                </w14:textFill>
              </w:rPr>
            </w:pPr>
            <w:r>
              <w:rPr>
                <w:rFonts w:hint="eastAsia"/>
                <w:color w:val="000000" w:themeColor="text1"/>
                <w14:textFill>
                  <w14:solidFill>
                    <w14:schemeClr w14:val="tx1"/>
                  </w14:solidFill>
                </w14:textFill>
              </w:rPr>
              <mc:AlternateContent>
                <mc:Choice Requires="wps">
                  <w:drawing>
                    <wp:anchor distT="0" distB="0" distL="114300" distR="114300" simplePos="0" relativeHeight="251692032" behindDoc="0" locked="0" layoutInCell="1" allowOverlap="1">
                      <wp:simplePos x="0" y="0"/>
                      <wp:positionH relativeFrom="column">
                        <wp:posOffset>2461260</wp:posOffset>
                      </wp:positionH>
                      <wp:positionV relativeFrom="paragraph">
                        <wp:posOffset>824230</wp:posOffset>
                      </wp:positionV>
                      <wp:extent cx="1895475" cy="342900"/>
                      <wp:effectExtent l="376238" t="0" r="423862" b="0"/>
                      <wp:wrapNone/>
                      <wp:docPr id="1507739646" name="矩形 1507739646"/>
                      <wp:cNvGraphicFramePr/>
                      <a:graphic xmlns:a="http://schemas.openxmlformats.org/drawingml/2006/main">
                        <a:graphicData uri="http://schemas.microsoft.com/office/word/2010/wordprocessingShape">
                          <wps:wsp>
                            <wps:cNvSpPr/>
                            <wps:spPr>
                              <a:xfrm rot="3084710">
                                <a:off x="0" y="0"/>
                                <a:ext cx="1895475" cy="3429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pPr>
                                    <w:snapToGrid w:val="0"/>
                                    <w:jc w:val="center"/>
                                    <w:rPr>
                                      <w:b/>
                                      <w:color w:val="000000" w:themeColor="text1"/>
                                      <w:sz w:val="21"/>
                                      <w:szCs w:val="21"/>
                                      <w14:textFill>
                                        <w14:solidFill>
                                          <w14:schemeClr w14:val="tx1"/>
                                        </w14:solidFill>
                                      </w14:textFill>
                                    </w:rPr>
                                  </w:pPr>
                                  <w:r>
                                    <w:rPr>
                                      <w:rFonts w:hint="eastAsia"/>
                                      <w:b/>
                                      <w:color w:val="000000" w:themeColor="text1"/>
                                      <w:sz w:val="21"/>
                                      <w:szCs w:val="21"/>
                                      <w14:textFill>
                                        <w14:solidFill>
                                          <w14:schemeClr w14:val="tx1"/>
                                        </w14:solidFill>
                                      </w14:textFill>
                                    </w:rPr>
                                    <w:t>宏泰仓储项目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93.8pt;margin-top:64.9pt;height:27pt;width:149.25pt;rotation:3369326f;z-index:251692032;v-text-anchor:middle;mso-width-relative:page;mso-height-relative:page;" filled="f" stroked="f" coordsize="21600,21600" o:gfxdata="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">
                      <v:fill on="f" focussize="0,0"/>
                      <v:stroke on="f" weight="1pt" miterlimit="8" joinstyle="miter"/>
                      <v:imagedata o:title=""/>
                      <o:lock v:ext="edit" aspectratio="f"/>
                      <v:textbox>
                        <w:txbxContent>
                          <w:p>
                            <w:pPr>
                              <w:snapToGrid w:val="0"/>
                              <w:jc w:val="center"/>
                              <w:rPr>
                                <w:b/>
                                <w:color w:val="000000" w:themeColor="text1"/>
                                <w:sz w:val="21"/>
                                <w:szCs w:val="21"/>
                                <w14:textFill>
                                  <w14:solidFill>
                                    <w14:schemeClr w14:val="tx1"/>
                                  </w14:solidFill>
                                </w14:textFill>
                              </w:rPr>
                            </w:pPr>
                            <w:r>
                              <w:rPr>
                                <w:rFonts w:hint="eastAsia"/>
                                <w:b/>
                                <w:color w:val="000000" w:themeColor="text1"/>
                                <w:sz w:val="21"/>
                                <w:szCs w:val="21"/>
                                <w14:textFill>
                                  <w14:solidFill>
                                    <w14:schemeClr w14:val="tx1"/>
                                  </w14:solidFill>
                                </w14:textFill>
                              </w:rPr>
                              <w:t>宏泰仓储项目</w:t>
                            </w:r>
                          </w:p>
                        </w:txbxContent>
                      </v:textbox>
                    </v:rect>
                  </w:pict>
                </mc:Fallback>
              </mc:AlternateContent>
            </w:r>
            <w:r>
              <w:rPr>
                <w:rFonts w:hint="eastAsia"/>
                <w:color w:val="000000" w:themeColor="text1"/>
                <w14:textFill>
                  <w14:solidFill>
                    <w14:schemeClr w14:val="tx1"/>
                  </w14:solidFill>
                </w14:textFill>
              </w:rPr>
              <mc:AlternateContent>
                <mc:Choice Requires="wps">
                  <w:drawing>
                    <wp:anchor distT="0" distB="0" distL="114300" distR="114300" simplePos="0" relativeHeight="251691008" behindDoc="0" locked="0" layoutInCell="1" allowOverlap="1">
                      <wp:simplePos x="0" y="0"/>
                      <wp:positionH relativeFrom="column">
                        <wp:posOffset>2682875</wp:posOffset>
                      </wp:positionH>
                      <wp:positionV relativeFrom="paragraph">
                        <wp:posOffset>1955800</wp:posOffset>
                      </wp:positionV>
                      <wp:extent cx="895350" cy="714375"/>
                      <wp:effectExtent l="0" t="0" r="0" b="0"/>
                      <wp:wrapNone/>
                      <wp:docPr id="1507739634" name="矩形 1507739634"/>
                      <wp:cNvGraphicFramePr/>
                      <a:graphic xmlns:a="http://schemas.openxmlformats.org/drawingml/2006/main">
                        <a:graphicData uri="http://schemas.microsoft.com/office/word/2010/wordprocessingShape">
                          <wps:wsp>
                            <wps:cNvSpPr/>
                            <wps:spPr>
                              <a:xfrm>
                                <a:off x="0" y="0"/>
                                <a:ext cx="895350" cy="71437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pPr>
                                    <w:snapToGrid w:val="0"/>
                                    <w:jc w:val="center"/>
                                    <w:rPr>
                                      <w:b/>
                                      <w:color w:val="000000" w:themeColor="text1"/>
                                      <w:sz w:val="21"/>
                                      <w:szCs w:val="21"/>
                                      <w14:textFill>
                                        <w14:solidFill>
                                          <w14:schemeClr w14:val="tx1"/>
                                        </w14:solidFill>
                                      </w14:textFill>
                                    </w:rPr>
                                  </w:pPr>
                                  <w:r>
                                    <w:rPr>
                                      <w:rFonts w:hint="eastAsia"/>
                                      <w:b/>
                                      <w:color w:val="000000" w:themeColor="text1"/>
                                      <w:sz w:val="21"/>
                                      <w:szCs w:val="21"/>
                                      <w14:textFill>
                                        <w14:solidFill>
                                          <w14:schemeClr w14:val="tx1"/>
                                        </w14:solidFill>
                                      </w14:textFill>
                                    </w:rPr>
                                    <w:t>昊鼎仓储物流中心项目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11.25pt;margin-top:154pt;height:56.25pt;width:70.5pt;z-index:251691008;v-text-anchor:middle;mso-width-relative:page;mso-height-relative:page;" filled="f" stroked="f" coordsize="21600,21600" o:gfxdata="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">
                      <v:fill on="f" focussize="0,0"/>
                      <v:stroke on="f" weight="1pt" miterlimit="8" joinstyle="miter"/>
                      <v:imagedata o:title=""/>
                      <o:lock v:ext="edit" aspectratio="f"/>
                      <v:textbox>
                        <w:txbxContent>
                          <w:p>
                            <w:pPr>
                              <w:snapToGrid w:val="0"/>
                              <w:jc w:val="center"/>
                              <w:rPr>
                                <w:b/>
                                <w:color w:val="000000" w:themeColor="text1"/>
                                <w:sz w:val="21"/>
                                <w:szCs w:val="21"/>
                                <w14:textFill>
                                  <w14:solidFill>
                                    <w14:schemeClr w14:val="tx1"/>
                                  </w14:solidFill>
                                </w14:textFill>
                              </w:rPr>
                            </w:pPr>
                            <w:r>
                              <w:rPr>
                                <w:rFonts w:hint="eastAsia"/>
                                <w:b/>
                                <w:color w:val="000000" w:themeColor="text1"/>
                                <w:sz w:val="21"/>
                                <w:szCs w:val="21"/>
                                <w14:textFill>
                                  <w14:solidFill>
                                    <w14:schemeClr w14:val="tx1"/>
                                  </w14:solidFill>
                                </w14:textFill>
                              </w:rPr>
                              <w:t>昊鼎仓储物流中心项目</w:t>
                            </w:r>
                          </w:p>
                        </w:txbxContent>
                      </v:textbox>
                    </v:rect>
                  </w:pict>
                </mc:Fallback>
              </mc:AlternateContent>
            </w:r>
            <w:r>
              <w:rPr>
                <w:rFonts w:hint="eastAsia"/>
                <w:color w:val="000000" w:themeColor="text1"/>
                <w14:textFill>
                  <w14:solidFill>
                    <w14:schemeClr w14:val="tx1"/>
                  </w14:solidFill>
                </w14:textFill>
              </w:rPr>
              <mc:AlternateContent>
                <mc:Choice Requires="wps">
                  <w:drawing>
                    <wp:anchor distT="0" distB="0" distL="114300" distR="114300" simplePos="0" relativeHeight="251689984" behindDoc="0" locked="0" layoutInCell="1" allowOverlap="1">
                      <wp:simplePos x="0" y="0"/>
                      <wp:positionH relativeFrom="column">
                        <wp:posOffset>1929765</wp:posOffset>
                      </wp:positionH>
                      <wp:positionV relativeFrom="paragraph">
                        <wp:posOffset>1203325</wp:posOffset>
                      </wp:positionV>
                      <wp:extent cx="904875" cy="533400"/>
                      <wp:effectExtent l="0" t="0" r="0" b="0"/>
                      <wp:wrapNone/>
                      <wp:docPr id="1507739633" name="矩形 1507739633"/>
                      <wp:cNvGraphicFramePr/>
                      <a:graphic xmlns:a="http://schemas.openxmlformats.org/drawingml/2006/main">
                        <a:graphicData uri="http://schemas.microsoft.com/office/word/2010/wordprocessingShape">
                          <wps:wsp>
                            <wps:cNvSpPr/>
                            <wps:spPr>
                              <a:xfrm>
                                <a:off x="0" y="0"/>
                                <a:ext cx="904875" cy="5334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pPr>
                                    <w:snapToGrid w:val="0"/>
                                    <w:jc w:val="center"/>
                                    <w:rPr>
                                      <w:b/>
                                      <w:color w:val="000000" w:themeColor="text1"/>
                                      <w:sz w:val="21"/>
                                      <w:szCs w:val="21"/>
                                      <w14:textFill>
                                        <w14:solidFill>
                                          <w14:schemeClr w14:val="tx1"/>
                                        </w14:solidFill>
                                      </w14:textFill>
                                    </w:rPr>
                                  </w:pPr>
                                  <w:r>
                                    <w:rPr>
                                      <w:rFonts w:hint="eastAsia"/>
                                      <w:b/>
                                      <w:color w:val="000000" w:themeColor="text1"/>
                                      <w:sz w:val="21"/>
                                      <w:szCs w:val="21"/>
                                      <w14:textFill>
                                        <w14:solidFill>
                                          <w14:schemeClr w14:val="tx1"/>
                                        </w14:solidFill>
                                      </w14:textFill>
                                    </w:rPr>
                                    <w:t>宏远物流配送中心项目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51.95pt;margin-top:94.75pt;height:42pt;width:71.25pt;z-index:251689984;v-text-anchor:middle;mso-width-relative:page;mso-height-relative:page;" filled="f" stroked="f" coordsize="21600,21600" o:gfxdata="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">
                      <v:fill on="f" focussize="0,0"/>
                      <v:stroke on="f" weight="1pt" miterlimit="8" joinstyle="miter"/>
                      <v:imagedata o:title=""/>
                      <o:lock v:ext="edit" aspectratio="f"/>
                      <v:textbox>
                        <w:txbxContent>
                          <w:p>
                            <w:pPr>
                              <w:snapToGrid w:val="0"/>
                              <w:jc w:val="center"/>
                              <w:rPr>
                                <w:b/>
                                <w:color w:val="000000" w:themeColor="text1"/>
                                <w:sz w:val="21"/>
                                <w:szCs w:val="21"/>
                                <w14:textFill>
                                  <w14:solidFill>
                                    <w14:schemeClr w14:val="tx1"/>
                                  </w14:solidFill>
                                </w14:textFill>
                              </w:rPr>
                            </w:pPr>
                            <w:r>
                              <w:rPr>
                                <w:rFonts w:hint="eastAsia"/>
                                <w:b/>
                                <w:color w:val="000000" w:themeColor="text1"/>
                                <w:sz w:val="21"/>
                                <w:szCs w:val="21"/>
                                <w14:textFill>
                                  <w14:solidFill>
                                    <w14:schemeClr w14:val="tx1"/>
                                  </w14:solidFill>
                                </w14:textFill>
                              </w:rPr>
                              <w:t>宏远物流配送中心项目</w:t>
                            </w:r>
                          </w:p>
                        </w:txbxContent>
                      </v:textbox>
                    </v:rect>
                  </w:pict>
                </mc:Fallback>
              </mc:AlternateContent>
            </w:r>
            <w:r>
              <w:rPr>
                <w:color w:val="000000" w:themeColor="text1"/>
                <w14:textFill>
                  <w14:solidFill>
                    <w14:schemeClr w14:val="tx1"/>
                  </w14:solidFill>
                </w14:textFill>
              </w:rPr>
              <w:drawing>
                <wp:inline distT="0" distB="0" distL="0" distR="0">
                  <wp:extent cx="4810125" cy="3381375"/>
                  <wp:effectExtent l="0" t="0" r="9525" b="9525"/>
                  <wp:docPr id="37667" name="图片 37667" descr="现有工程宗海范围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667" name="图片 37667" descr="现有工程宗海范围图"/>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a:xfrm>
                            <a:off x="0" y="0"/>
                            <a:ext cx="4810125" cy="3381375"/>
                          </a:xfrm>
                          <a:prstGeom prst="rect">
                            <a:avLst/>
                          </a:prstGeom>
                          <a:noFill/>
                          <a:ln>
                            <a:noFill/>
                          </a:ln>
                        </pic:spPr>
                      </pic:pic>
                    </a:graphicData>
                  </a:graphic>
                </wp:inline>
              </w:drawing>
            </w:r>
          </w:p>
          <w:p>
            <w:pPr>
              <w:pStyle w:val="553"/>
              <w:rPr>
                <w:color w:val="000000" w:themeColor="text1"/>
                <w14:textFill>
                  <w14:solidFill>
                    <w14:schemeClr w14:val="tx1"/>
                  </w14:solidFill>
                </w14:textFill>
              </w:rPr>
            </w:pPr>
            <w:r>
              <w:rPr>
                <w:rFonts w:hint="eastAsia"/>
                <w:color w:val="000000" w:themeColor="text1"/>
                <w14:textFill>
                  <w14:solidFill>
                    <w14:schemeClr w14:val="tx1"/>
                  </w14:solidFill>
                </w14:textFill>
              </w:rPr>
              <w:t>现有工程宗海范围图</w:t>
            </w:r>
          </w:p>
        </w:tc>
      </w:tr>
    </w:tbl>
    <w:p>
      <w:pPr>
        <w:pStyle w:val="283"/>
        <w:ind w:firstLine="462"/>
        <w:rPr>
          <w:color w:val="000000" w:themeColor="text1"/>
          <w14:textFill>
            <w14:solidFill>
              <w14:schemeClr w14:val="tx1"/>
            </w14:solidFill>
          </w14:textFill>
        </w:rPr>
      </w:pPr>
      <w:r>
        <w:rPr>
          <w:rFonts w:hint="eastAsia"/>
          <w:color w:val="000000" w:themeColor="text1"/>
          <w14:textFill>
            <w14:solidFill>
              <w14:schemeClr w14:val="tx1"/>
            </w14:solidFill>
          </w14:textFill>
        </w:rPr>
        <w:t>2、现有工程建设过程</w:t>
      </w:r>
    </w:p>
    <w:p>
      <w:pPr>
        <w:pStyle w:val="283"/>
        <w:ind w:firstLine="462"/>
        <w:rPr>
          <w:color w:val="000000" w:themeColor="text1"/>
          <w14:textFill>
            <w14:solidFill>
              <w14:schemeClr w14:val="tx1"/>
            </w14:solidFill>
          </w14:textFill>
        </w:rPr>
      </w:pPr>
      <w:r>
        <w:rPr>
          <w:rFonts w:hint="eastAsia"/>
          <w:color w:val="000000" w:themeColor="text1"/>
          <w14:textFill>
            <w14:solidFill>
              <w14:schemeClr w14:val="tx1"/>
            </w14:solidFill>
          </w14:textFill>
        </w:rPr>
        <w:t>2019年3月广西蓝星环保咨询有限公司编制完成《钦州港大榄坪港区大榄坪南作业区9号10号泊位工程环境影响报告书》，2020年4月7日取得环境影响报告书批复（桂环审〔</w:t>
      </w:r>
      <w:r>
        <w:rPr>
          <w:color w:val="000000" w:themeColor="text1"/>
          <w14:textFill>
            <w14:solidFill>
              <w14:schemeClr w14:val="tx1"/>
            </w14:solidFill>
          </w14:textFill>
        </w:rPr>
        <w:t>20</w:t>
      </w:r>
      <w:r>
        <w:rPr>
          <w:rFonts w:hint="eastAsia"/>
          <w:color w:val="000000" w:themeColor="text1"/>
          <w14:textFill>
            <w14:solidFill>
              <w14:schemeClr w14:val="tx1"/>
            </w14:solidFill>
          </w14:textFill>
        </w:rPr>
        <w:t>20〕73号）（附件10），环境影响报告书及批复工程内容为：建设10万吨级集装箱泊位2个，码头前沿设计顶高程6.6m，设计底高程为-18.0m。工程占用港口岸线总长783m。工程建成达产后年吞吐量为集装箱120万TEU，包括重箱、空箱、冷藏箱，不涉及危化品箱。工程建设总面积108.14hm</w:t>
      </w:r>
      <w:r>
        <w:rPr>
          <w:rFonts w:hint="eastAsia"/>
          <w:color w:val="000000" w:themeColor="text1"/>
          <w:vertAlign w:val="superscript"/>
          <w14:textFill>
            <w14:solidFill>
              <w14:schemeClr w14:val="tx1"/>
            </w14:solidFill>
          </w14:textFill>
        </w:rPr>
        <w:t>2</w:t>
      </w:r>
      <w:r>
        <w:rPr>
          <w:rFonts w:hint="eastAsia"/>
          <w:color w:val="000000" w:themeColor="text1"/>
          <w14:textFill>
            <w14:solidFill>
              <w14:schemeClr w14:val="tx1"/>
            </w14:solidFill>
          </w14:textFill>
        </w:rPr>
        <w:t>，包括陆域建设面积63.2hm</w:t>
      </w:r>
      <w:r>
        <w:rPr>
          <w:rFonts w:hint="eastAsia"/>
          <w:color w:val="000000" w:themeColor="text1"/>
          <w:vertAlign w:val="superscript"/>
          <w14:textFill>
            <w14:solidFill>
              <w14:schemeClr w14:val="tx1"/>
            </w14:solidFill>
          </w14:textFill>
        </w:rPr>
        <w:t>2</w:t>
      </w:r>
      <w:r>
        <w:rPr>
          <w:rFonts w:hint="eastAsia"/>
          <w:color w:val="000000" w:themeColor="text1"/>
          <w14:textFill>
            <w14:solidFill>
              <w14:schemeClr w14:val="tx1"/>
            </w14:solidFill>
          </w14:textFill>
        </w:rPr>
        <w:t>，海域用海面积44.94hm</w:t>
      </w:r>
      <w:r>
        <w:rPr>
          <w:rFonts w:hint="eastAsia"/>
          <w:color w:val="000000" w:themeColor="text1"/>
          <w:vertAlign w:val="superscript"/>
          <w14:textFill>
            <w14:solidFill>
              <w14:schemeClr w14:val="tx1"/>
            </w14:solidFill>
          </w14:textFill>
        </w:rPr>
        <w:t>2</w:t>
      </w:r>
      <w:r>
        <w:rPr>
          <w:rFonts w:hint="eastAsia"/>
          <w:color w:val="000000" w:themeColor="text1"/>
          <w14:textFill>
            <w14:solidFill>
              <w14:schemeClr w14:val="tx1"/>
            </w14:solidFill>
          </w14:textFill>
        </w:rPr>
        <w:t>。工程建设施工内容主要包括：水域疏浚、基槽开挖、码头施工、临时护岸施工、陆域地基处理等。工程建设不新增围填海建设内容。</w:t>
      </w:r>
    </w:p>
    <w:p>
      <w:pPr>
        <w:pStyle w:val="283"/>
        <w:ind w:firstLine="462"/>
        <w:rPr>
          <w:color w:val="000000" w:themeColor="text1"/>
          <w14:textFill>
            <w14:solidFill>
              <w14:schemeClr w14:val="tx1"/>
            </w14:solidFill>
          </w14:textFill>
        </w:rPr>
      </w:pPr>
      <w:r>
        <w:rPr>
          <w:rFonts w:hint="eastAsia"/>
          <w:color w:val="000000" w:themeColor="text1"/>
          <w14:textFill>
            <w14:solidFill>
              <w14:schemeClr w14:val="tx1"/>
            </w14:solidFill>
          </w14:textFill>
        </w:rPr>
        <w:t>9号10号泊位工程2020年9月正式开工建设，2022年11月完工，码头水工于2022年9月通过交工验收，后方陆域于2022年11月通过交工验收，</w:t>
      </w:r>
      <w:r>
        <w:rPr>
          <w:color w:val="000000" w:themeColor="text1"/>
          <w14:textFill>
            <w14:solidFill>
              <w14:schemeClr w14:val="tx1"/>
            </w14:solidFill>
          </w14:textFill>
        </w:rPr>
        <w:t>2023年2月14日，项目通过环境保护验收</w:t>
      </w:r>
      <w:r>
        <w:rPr>
          <w:rFonts w:hint="eastAsia"/>
          <w:color w:val="000000" w:themeColor="text1"/>
          <w14:textFill>
            <w14:solidFill>
              <w14:schemeClr w14:val="tx1"/>
            </w14:solidFill>
          </w14:textFill>
        </w:rPr>
        <w:t>（附件11），2023年6月正式投入运行。竣工环保验收阶段，港口岸线长度、陆域建设面积、用海面积与环评批复一致，</w:t>
      </w:r>
      <w:r>
        <w:rPr>
          <w:color w:val="000000" w:themeColor="text1"/>
          <w14:textFill>
            <w14:solidFill>
              <w14:schemeClr w14:val="tx1"/>
            </w14:solidFill>
          </w14:textFill>
        </w:rPr>
        <w:t>与环评批复工程对比：本项目年设计通过能力由原环评阶段的125万TEU调整为161万TEU，较环评增加22.4%；年吞吐量由原环评阶段的120万TEU调整为160万TEU，较环评增加25.0%。</w:t>
      </w:r>
    </w:p>
    <w:p>
      <w:pPr>
        <w:pStyle w:val="5"/>
        <w:rPr>
          <w:color w:val="000000" w:themeColor="text1"/>
          <w14:textFill>
            <w14:solidFill>
              <w14:schemeClr w14:val="tx1"/>
            </w14:solidFill>
          </w14:textFill>
        </w:rPr>
      </w:pPr>
      <w:r>
        <w:rPr>
          <w:rFonts w:hint="eastAsia"/>
          <w:color w:val="000000" w:themeColor="text1"/>
          <w14:textFill>
            <w14:solidFill>
              <w14:schemeClr w14:val="tx1"/>
            </w14:solidFill>
          </w14:textFill>
        </w:rPr>
        <w:t>现有工程概况</w:t>
      </w:r>
    </w:p>
    <w:p>
      <w:pPr>
        <w:pStyle w:val="6"/>
        <w:rPr>
          <w:color w:val="000000" w:themeColor="text1"/>
          <w14:textFill>
            <w14:solidFill>
              <w14:schemeClr w14:val="tx1"/>
            </w14:solidFill>
          </w14:textFill>
        </w:rPr>
      </w:pPr>
      <w:r>
        <w:rPr>
          <w:rFonts w:hint="eastAsia"/>
          <w:color w:val="000000" w:themeColor="text1"/>
          <w14:textFill>
            <w14:solidFill>
              <w14:schemeClr w14:val="tx1"/>
            </w14:solidFill>
          </w14:textFill>
        </w:rPr>
        <w:t>工程规模</w:t>
      </w:r>
    </w:p>
    <w:p>
      <w:pPr>
        <w:pStyle w:val="283"/>
        <w:ind w:firstLine="462"/>
        <w:rPr>
          <w:color w:val="000000" w:themeColor="text1"/>
          <w14:textFill>
            <w14:solidFill>
              <w14:schemeClr w14:val="tx1"/>
            </w14:solidFill>
          </w14:textFill>
        </w:rPr>
      </w:pPr>
      <w:r>
        <w:rPr>
          <w:rFonts w:hint="eastAsia"/>
          <w:color w:val="000000" w:themeColor="text1"/>
          <w14:textFill>
            <w14:solidFill>
              <w14:schemeClr w14:val="tx1"/>
            </w14:solidFill>
          </w14:textFill>
        </w:rPr>
        <w:t>（1）项目名称：钦州港大榄坪港区大榄坪南作业区9号10号泊位工程</w:t>
      </w:r>
    </w:p>
    <w:p>
      <w:pPr>
        <w:pStyle w:val="283"/>
        <w:ind w:firstLine="462"/>
        <w:rPr>
          <w:color w:val="000000" w:themeColor="text1"/>
          <w14:textFill>
            <w14:solidFill>
              <w14:schemeClr w14:val="tx1"/>
            </w14:solidFill>
          </w14:textFill>
        </w:rPr>
      </w:pPr>
      <w:r>
        <w:rPr>
          <w:rFonts w:hint="eastAsia"/>
          <w:color w:val="000000" w:themeColor="text1"/>
          <w14:textFill>
            <w14:solidFill>
              <w14:schemeClr w14:val="tx1"/>
            </w14:solidFill>
          </w14:textFill>
        </w:rPr>
        <w:t>（2）地理位置：位于北部湾港钦州港域大榄坪港区大榄坪南作业区，已建8#泊位的南侧，中心地理坐标范围为：108°39'13.3336872"，21°39'58.404798"</w:t>
      </w:r>
    </w:p>
    <w:p>
      <w:pPr>
        <w:pStyle w:val="283"/>
        <w:ind w:firstLine="462"/>
        <w:rPr>
          <w:color w:val="000000" w:themeColor="text1"/>
          <w14:textFill>
            <w14:solidFill>
              <w14:schemeClr w14:val="tx1"/>
            </w14:solidFill>
          </w14:textFill>
        </w:rPr>
      </w:pPr>
      <w:r>
        <w:rPr>
          <w:rFonts w:hint="eastAsia"/>
          <w:color w:val="000000" w:themeColor="text1"/>
          <w14:textFill>
            <w14:solidFill>
              <w14:schemeClr w14:val="tx1"/>
            </w14:solidFill>
          </w14:textFill>
        </w:rPr>
        <w:t>（3）码头性质：集装箱码头</w:t>
      </w:r>
    </w:p>
    <w:p>
      <w:pPr>
        <w:pStyle w:val="283"/>
        <w:ind w:firstLine="462"/>
        <w:rPr>
          <w:color w:val="000000" w:themeColor="text1"/>
          <w14:textFill>
            <w14:solidFill>
              <w14:schemeClr w14:val="tx1"/>
            </w14:solidFill>
          </w14:textFill>
        </w:rPr>
      </w:pPr>
      <w:r>
        <w:rPr>
          <w:rFonts w:hint="eastAsia"/>
          <w:color w:val="000000" w:themeColor="text1"/>
          <w14:textFill>
            <w14:solidFill>
              <w14:schemeClr w14:val="tx1"/>
            </w14:solidFill>
          </w14:textFill>
        </w:rPr>
        <w:t>（4）建设单位：广西钦州保税港区宏港码头有限公司</w:t>
      </w:r>
    </w:p>
    <w:p>
      <w:pPr>
        <w:pStyle w:val="283"/>
        <w:ind w:firstLine="462"/>
        <w:rPr>
          <w:color w:val="000000" w:themeColor="text1"/>
          <w14:textFill>
            <w14:solidFill>
              <w14:schemeClr w14:val="tx1"/>
            </w14:solidFill>
          </w14:textFill>
        </w:rPr>
      </w:pPr>
      <w:r>
        <w:rPr>
          <w:rFonts w:hint="eastAsia"/>
          <w:color w:val="000000" w:themeColor="text1"/>
          <w14:textFill>
            <w14:solidFill>
              <w14:schemeClr w14:val="tx1"/>
            </w14:solidFill>
          </w14:textFill>
        </w:rPr>
        <w:t>（5）工程内容：</w:t>
      </w:r>
      <w:r>
        <w:rPr>
          <w:color w:val="000000" w:themeColor="text1"/>
          <w14:textFill>
            <w14:solidFill>
              <w14:schemeClr w14:val="tx1"/>
            </w14:solidFill>
          </w14:textFill>
        </w:rPr>
        <w:t>2个10万吨级集装箱泊位，水工结构按靠泊20万吨级集装箱船设计，泊位总长783m，设计年通过能力为集装箱161万TEU，设计年吞吐量为集装箱</w:t>
      </w:r>
      <w:r>
        <w:rPr>
          <w:rFonts w:hint="eastAsia"/>
          <w:color w:val="000000" w:themeColor="text1"/>
          <w14:textFill>
            <w14:solidFill>
              <w14:schemeClr w14:val="tx1"/>
            </w14:solidFill>
          </w14:textFill>
        </w:rPr>
        <w:t>160</w:t>
      </w:r>
      <w:r>
        <w:rPr>
          <w:color w:val="000000" w:themeColor="text1"/>
          <w14:textFill>
            <w14:solidFill>
              <w14:schemeClr w14:val="tx1"/>
            </w14:solidFill>
          </w14:textFill>
        </w:rPr>
        <w:t>万TEU。项目建设总面积108.1hm</w:t>
      </w:r>
      <w:r>
        <w:rPr>
          <w:color w:val="000000" w:themeColor="text1"/>
          <w:vertAlign w:val="superscript"/>
          <w14:textFill>
            <w14:solidFill>
              <w14:schemeClr w14:val="tx1"/>
            </w14:solidFill>
          </w14:textFill>
        </w:rPr>
        <w:t>2</w:t>
      </w:r>
      <w:r>
        <w:rPr>
          <w:color w:val="000000" w:themeColor="text1"/>
          <w14:textFill>
            <w14:solidFill>
              <w14:schemeClr w14:val="tx1"/>
            </w14:solidFill>
          </w14:textFill>
        </w:rPr>
        <w:t>，其中陆域建设面积63.2hm</w:t>
      </w:r>
      <w:r>
        <w:rPr>
          <w:color w:val="000000" w:themeColor="text1"/>
          <w:vertAlign w:val="superscript"/>
          <w14:textFill>
            <w14:solidFill>
              <w14:schemeClr w14:val="tx1"/>
            </w14:solidFill>
          </w14:textFill>
        </w:rPr>
        <w:t>2</w:t>
      </w:r>
      <w:r>
        <w:rPr>
          <w:color w:val="000000" w:themeColor="text1"/>
          <w14:textFill>
            <w14:solidFill>
              <w14:schemeClr w14:val="tx1"/>
            </w14:solidFill>
          </w14:textFill>
        </w:rPr>
        <w:t>，海域用海面积44.9hm</w:t>
      </w:r>
      <w:r>
        <w:rPr>
          <w:color w:val="000000" w:themeColor="text1"/>
          <w:vertAlign w:val="superscript"/>
          <w14:textFill>
            <w14:solidFill>
              <w14:schemeClr w14:val="tx1"/>
            </w14:solidFill>
          </w14:textFill>
        </w:rPr>
        <w:t>2</w:t>
      </w:r>
      <w:r>
        <w:rPr>
          <w:rFonts w:hint="eastAsia"/>
          <w:color w:val="000000" w:themeColor="text1"/>
          <w14:textFill>
            <w14:solidFill>
              <w14:schemeClr w14:val="tx1"/>
            </w14:solidFill>
          </w14:textFill>
        </w:rPr>
        <w:t>。项目仅设置普货集装箱装卸及堆存，无拆装箱、洗箱业务。</w:t>
      </w:r>
    </w:p>
    <w:p>
      <w:pPr>
        <w:pStyle w:val="283"/>
        <w:ind w:firstLine="462"/>
        <w:rPr>
          <w:color w:val="000000" w:themeColor="text1"/>
          <w14:textFill>
            <w14:solidFill>
              <w14:schemeClr w14:val="tx1"/>
            </w14:solidFill>
          </w14:textFill>
        </w:rPr>
      </w:pPr>
      <w:r>
        <w:rPr>
          <w:color w:val="000000" w:themeColor="text1"/>
          <w14:textFill>
            <w14:solidFill>
              <w14:schemeClr w14:val="tx1"/>
            </w14:solidFill>
          </w14:textFill>
        </w:rPr>
        <w:t>现有工程主要经济技术指标见表</w:t>
      </w:r>
      <w:r>
        <w:rPr>
          <w:rFonts w:hint="eastAsia"/>
          <w:color w:val="000000" w:themeColor="text1"/>
          <w14:textFill>
            <w14:solidFill>
              <w14:schemeClr w14:val="tx1"/>
            </w14:solidFill>
          </w14:textFill>
        </w:rPr>
        <w:t>2.1-2。</w:t>
      </w:r>
    </w:p>
    <w:p>
      <w:pPr>
        <w:pStyle w:val="283"/>
        <w:ind w:firstLine="462"/>
        <w:rPr>
          <w:color w:val="000000" w:themeColor="text1"/>
          <w14:textFill>
            <w14:solidFill>
              <w14:schemeClr w14:val="tx1"/>
            </w14:solidFill>
          </w14:textFill>
        </w:rPr>
      </w:pPr>
    </w:p>
    <w:p>
      <w:pPr>
        <w:pStyle w:val="384"/>
        <w:ind w:left="0" w:firstLine="0"/>
        <w:rPr>
          <w:rFonts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9号10号泊位现有工程主要经济技术指标</w:t>
      </w:r>
    </w:p>
    <w:tbl>
      <w:tblPr>
        <w:tblStyle w:val="88"/>
        <w:tblW w:w="8528" w:type="dxa"/>
        <w:jc w:val="center"/>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1146"/>
        <w:gridCol w:w="2743"/>
        <w:gridCol w:w="1898"/>
        <w:gridCol w:w="2741"/>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133" w:hRule="atLeast"/>
          <w:tblHeader/>
          <w:jc w:val="center"/>
        </w:trPr>
        <w:tc>
          <w:tcPr>
            <w:tcW w:w="1146" w:type="dxa"/>
            <w:shd w:val="clear" w:color="auto" w:fill="auto"/>
            <w:vAlign w:val="center"/>
          </w:tcPr>
          <w:p>
            <w:pPr>
              <w:widowControl/>
              <w:jc w:val="center"/>
              <w:rPr>
                <w:b/>
                <w:color w:val="000000" w:themeColor="text1"/>
                <w:kern w:val="0"/>
                <w:sz w:val="21"/>
                <w:szCs w:val="21"/>
                <w14:textFill>
                  <w14:solidFill>
                    <w14:schemeClr w14:val="tx1"/>
                  </w14:solidFill>
                </w14:textFill>
              </w:rPr>
            </w:pPr>
            <w:r>
              <w:rPr>
                <w:b/>
                <w:color w:val="000000" w:themeColor="text1"/>
                <w:kern w:val="0"/>
                <w:sz w:val="21"/>
                <w:szCs w:val="21"/>
                <w14:textFill>
                  <w14:solidFill>
                    <w14:schemeClr w14:val="tx1"/>
                  </w14:solidFill>
                </w14:textFill>
              </w:rPr>
              <w:t>序号</w:t>
            </w:r>
          </w:p>
        </w:tc>
        <w:tc>
          <w:tcPr>
            <w:tcW w:w="2743" w:type="dxa"/>
            <w:shd w:val="clear" w:color="auto" w:fill="auto"/>
            <w:vAlign w:val="center"/>
          </w:tcPr>
          <w:p>
            <w:pPr>
              <w:widowControl/>
              <w:jc w:val="center"/>
              <w:rPr>
                <w:b/>
                <w:color w:val="000000" w:themeColor="text1"/>
                <w:kern w:val="0"/>
                <w:sz w:val="21"/>
                <w:szCs w:val="21"/>
                <w14:textFill>
                  <w14:solidFill>
                    <w14:schemeClr w14:val="tx1"/>
                  </w14:solidFill>
                </w14:textFill>
              </w:rPr>
            </w:pPr>
            <w:r>
              <w:rPr>
                <w:b/>
                <w:color w:val="000000" w:themeColor="text1"/>
                <w:kern w:val="0"/>
                <w:sz w:val="21"/>
                <w:szCs w:val="21"/>
                <w14:textFill>
                  <w14:solidFill>
                    <w14:schemeClr w14:val="tx1"/>
                  </w14:solidFill>
                </w14:textFill>
              </w:rPr>
              <w:t>指标名称</w:t>
            </w:r>
          </w:p>
        </w:tc>
        <w:tc>
          <w:tcPr>
            <w:tcW w:w="1898" w:type="dxa"/>
            <w:shd w:val="clear" w:color="auto" w:fill="auto"/>
            <w:vAlign w:val="center"/>
          </w:tcPr>
          <w:p>
            <w:pPr>
              <w:widowControl/>
              <w:jc w:val="center"/>
              <w:rPr>
                <w:b/>
                <w:color w:val="000000" w:themeColor="text1"/>
                <w:kern w:val="0"/>
                <w:sz w:val="21"/>
                <w:szCs w:val="21"/>
                <w14:textFill>
                  <w14:solidFill>
                    <w14:schemeClr w14:val="tx1"/>
                  </w14:solidFill>
                </w14:textFill>
              </w:rPr>
            </w:pPr>
            <w:r>
              <w:rPr>
                <w:b/>
                <w:color w:val="000000" w:themeColor="text1"/>
                <w:kern w:val="0"/>
                <w:sz w:val="21"/>
                <w:szCs w:val="21"/>
                <w14:textFill>
                  <w14:solidFill>
                    <w14:schemeClr w14:val="tx1"/>
                  </w14:solidFill>
                </w14:textFill>
              </w:rPr>
              <w:t>单位</w:t>
            </w:r>
          </w:p>
        </w:tc>
        <w:tc>
          <w:tcPr>
            <w:tcW w:w="2741" w:type="dxa"/>
            <w:shd w:val="clear" w:color="auto" w:fill="auto"/>
            <w:vAlign w:val="center"/>
          </w:tcPr>
          <w:p>
            <w:pPr>
              <w:widowControl/>
              <w:jc w:val="center"/>
              <w:rPr>
                <w:b/>
                <w:color w:val="000000" w:themeColor="text1"/>
                <w:kern w:val="0"/>
                <w:sz w:val="21"/>
                <w:szCs w:val="21"/>
                <w14:textFill>
                  <w14:solidFill>
                    <w14:schemeClr w14:val="tx1"/>
                  </w14:solidFill>
                </w14:textFill>
              </w:rPr>
            </w:pPr>
            <w:r>
              <w:rPr>
                <w:b/>
                <w:color w:val="000000" w:themeColor="text1"/>
                <w:kern w:val="0"/>
                <w:sz w:val="21"/>
                <w:szCs w:val="21"/>
                <w14:textFill>
                  <w14:solidFill>
                    <w14:schemeClr w14:val="tx1"/>
                  </w14:solidFill>
                </w14:textFill>
              </w:rPr>
              <w:t>标准或数量</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260" w:hRule="atLeast"/>
          <w:jc w:val="center"/>
        </w:trPr>
        <w:tc>
          <w:tcPr>
            <w:tcW w:w="1146" w:type="dxa"/>
            <w:shd w:val="clear" w:color="auto" w:fill="auto"/>
            <w:vAlign w:val="center"/>
          </w:tcPr>
          <w:p>
            <w:pPr>
              <w:widowControl/>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w:t>
            </w:r>
          </w:p>
        </w:tc>
        <w:tc>
          <w:tcPr>
            <w:tcW w:w="2743" w:type="dxa"/>
            <w:shd w:val="clear" w:color="auto" w:fill="auto"/>
            <w:vAlign w:val="center"/>
          </w:tcPr>
          <w:p>
            <w:pPr>
              <w:widowControl/>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码头性质</w:t>
            </w:r>
          </w:p>
        </w:tc>
        <w:tc>
          <w:tcPr>
            <w:tcW w:w="1898" w:type="dxa"/>
            <w:shd w:val="clear" w:color="auto" w:fill="auto"/>
            <w:vAlign w:val="center"/>
          </w:tcPr>
          <w:p>
            <w:pPr>
              <w:widowControl/>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w:t>
            </w:r>
          </w:p>
        </w:tc>
        <w:tc>
          <w:tcPr>
            <w:tcW w:w="2741" w:type="dxa"/>
            <w:shd w:val="clear" w:color="auto" w:fill="auto"/>
            <w:vAlign w:val="center"/>
          </w:tcPr>
          <w:p>
            <w:pPr>
              <w:widowControl/>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集装箱</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260" w:hRule="atLeast"/>
          <w:jc w:val="center"/>
        </w:trPr>
        <w:tc>
          <w:tcPr>
            <w:tcW w:w="1146" w:type="dxa"/>
            <w:shd w:val="clear" w:color="auto" w:fill="auto"/>
            <w:vAlign w:val="center"/>
          </w:tcPr>
          <w:p>
            <w:pPr>
              <w:widowControl/>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w:t>
            </w:r>
          </w:p>
        </w:tc>
        <w:tc>
          <w:tcPr>
            <w:tcW w:w="2743" w:type="dxa"/>
            <w:shd w:val="clear" w:color="auto" w:fill="auto"/>
            <w:vAlign w:val="center"/>
          </w:tcPr>
          <w:p>
            <w:pPr>
              <w:widowControl/>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设计年通过能力</w:t>
            </w:r>
          </w:p>
        </w:tc>
        <w:tc>
          <w:tcPr>
            <w:tcW w:w="1898" w:type="dxa"/>
            <w:shd w:val="clear" w:color="auto" w:fill="auto"/>
            <w:vAlign w:val="center"/>
          </w:tcPr>
          <w:p>
            <w:pPr>
              <w:widowControl/>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万TEU/年</w:t>
            </w:r>
          </w:p>
        </w:tc>
        <w:tc>
          <w:tcPr>
            <w:tcW w:w="2741" w:type="dxa"/>
            <w:shd w:val="clear" w:color="auto" w:fill="auto"/>
            <w:vAlign w:val="center"/>
          </w:tcPr>
          <w:p>
            <w:pPr>
              <w:widowControl/>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16</w:t>
            </w:r>
            <w:r>
              <w:rPr>
                <w:rFonts w:hint="eastAsia"/>
                <w:color w:val="000000" w:themeColor="text1"/>
                <w:kern w:val="0"/>
                <w:sz w:val="21"/>
                <w:szCs w:val="21"/>
                <w14:textFill>
                  <w14:solidFill>
                    <w14:schemeClr w14:val="tx1"/>
                  </w14:solidFill>
                </w14:textFill>
              </w:rPr>
              <w:t>1</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jc w:val="center"/>
        </w:trPr>
        <w:tc>
          <w:tcPr>
            <w:tcW w:w="1146" w:type="dxa"/>
            <w:shd w:val="clear" w:color="auto" w:fill="auto"/>
            <w:vAlign w:val="center"/>
          </w:tcPr>
          <w:p>
            <w:pPr>
              <w:widowControl/>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3</w:t>
            </w:r>
          </w:p>
        </w:tc>
        <w:tc>
          <w:tcPr>
            <w:tcW w:w="2743" w:type="dxa"/>
            <w:shd w:val="clear" w:color="auto" w:fill="auto"/>
            <w:vAlign w:val="center"/>
          </w:tcPr>
          <w:p>
            <w:pPr>
              <w:widowControl/>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设计年吞吐量</w:t>
            </w:r>
          </w:p>
        </w:tc>
        <w:tc>
          <w:tcPr>
            <w:tcW w:w="1898" w:type="dxa"/>
            <w:shd w:val="clear" w:color="auto" w:fill="auto"/>
            <w:vAlign w:val="center"/>
          </w:tcPr>
          <w:p>
            <w:pPr>
              <w:widowControl/>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万TEU/年</w:t>
            </w:r>
          </w:p>
        </w:tc>
        <w:tc>
          <w:tcPr>
            <w:tcW w:w="2741" w:type="dxa"/>
            <w:shd w:val="clear" w:color="auto" w:fill="auto"/>
            <w:vAlign w:val="center"/>
          </w:tcPr>
          <w:p>
            <w:pPr>
              <w:widowControl/>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160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165" w:hRule="atLeast"/>
          <w:jc w:val="center"/>
        </w:trPr>
        <w:tc>
          <w:tcPr>
            <w:tcW w:w="1146" w:type="dxa"/>
            <w:shd w:val="clear" w:color="auto" w:fill="auto"/>
            <w:vAlign w:val="center"/>
          </w:tcPr>
          <w:p>
            <w:pPr>
              <w:widowControl/>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4</w:t>
            </w:r>
          </w:p>
        </w:tc>
        <w:tc>
          <w:tcPr>
            <w:tcW w:w="2743" w:type="dxa"/>
            <w:shd w:val="clear" w:color="auto" w:fill="auto"/>
            <w:vAlign w:val="center"/>
          </w:tcPr>
          <w:p>
            <w:pPr>
              <w:widowControl/>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十万吨级泊位</w:t>
            </w:r>
          </w:p>
        </w:tc>
        <w:tc>
          <w:tcPr>
            <w:tcW w:w="1898" w:type="dxa"/>
            <w:shd w:val="clear" w:color="auto" w:fill="auto"/>
            <w:vAlign w:val="center"/>
          </w:tcPr>
          <w:p>
            <w:pPr>
              <w:widowControl/>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个</w:t>
            </w:r>
          </w:p>
        </w:tc>
        <w:tc>
          <w:tcPr>
            <w:tcW w:w="2741" w:type="dxa"/>
            <w:shd w:val="clear" w:color="auto" w:fill="auto"/>
            <w:vAlign w:val="center"/>
          </w:tcPr>
          <w:p>
            <w:pPr>
              <w:widowControl/>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jc w:val="center"/>
        </w:trPr>
        <w:tc>
          <w:tcPr>
            <w:tcW w:w="1146" w:type="dxa"/>
            <w:shd w:val="clear" w:color="auto" w:fill="auto"/>
            <w:vAlign w:val="center"/>
          </w:tcPr>
          <w:p>
            <w:pPr>
              <w:widowControl/>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5</w:t>
            </w:r>
          </w:p>
        </w:tc>
        <w:tc>
          <w:tcPr>
            <w:tcW w:w="2743" w:type="dxa"/>
            <w:shd w:val="clear" w:color="auto" w:fill="auto"/>
            <w:vAlign w:val="center"/>
          </w:tcPr>
          <w:p>
            <w:pPr>
              <w:widowControl/>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泊位长度</w:t>
            </w:r>
          </w:p>
        </w:tc>
        <w:tc>
          <w:tcPr>
            <w:tcW w:w="1898" w:type="dxa"/>
            <w:shd w:val="clear" w:color="auto" w:fill="auto"/>
            <w:vAlign w:val="center"/>
          </w:tcPr>
          <w:p>
            <w:pPr>
              <w:widowControl/>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m</w:t>
            </w:r>
          </w:p>
        </w:tc>
        <w:tc>
          <w:tcPr>
            <w:tcW w:w="2741" w:type="dxa"/>
            <w:shd w:val="clear" w:color="auto" w:fill="auto"/>
            <w:vAlign w:val="center"/>
          </w:tcPr>
          <w:p>
            <w:pPr>
              <w:widowControl/>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783</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jc w:val="center"/>
        </w:trPr>
        <w:tc>
          <w:tcPr>
            <w:tcW w:w="1146" w:type="dxa"/>
            <w:shd w:val="clear" w:color="auto" w:fill="auto"/>
            <w:vAlign w:val="center"/>
          </w:tcPr>
          <w:p>
            <w:pPr>
              <w:widowControl/>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5.1</w:t>
            </w:r>
          </w:p>
        </w:tc>
        <w:tc>
          <w:tcPr>
            <w:tcW w:w="2743" w:type="dxa"/>
            <w:shd w:val="clear" w:color="auto" w:fill="auto"/>
            <w:vAlign w:val="center"/>
          </w:tcPr>
          <w:p>
            <w:pPr>
              <w:widowControl/>
              <w:jc w:val="center"/>
              <w:textAlignment w:val="baseline"/>
              <w:rPr>
                <w:color w:val="000000" w:themeColor="text1"/>
                <w:kern w:val="0"/>
                <w:sz w:val="21"/>
                <w:szCs w:val="21"/>
                <w:u w:color="000000"/>
                <w:lang w:val="zh-CN"/>
                <w14:textFill>
                  <w14:solidFill>
                    <w14:schemeClr w14:val="tx1"/>
                  </w14:solidFill>
                </w14:textFill>
              </w:rPr>
            </w:pPr>
            <w:r>
              <w:rPr>
                <w:color w:val="000000" w:themeColor="text1"/>
                <w:kern w:val="0"/>
                <w:sz w:val="21"/>
                <w:szCs w:val="21"/>
                <w:u w:color="000000"/>
                <w:lang w:val="zh-CN"/>
                <w14:textFill>
                  <w14:solidFill>
                    <w14:schemeClr w14:val="tx1"/>
                  </w14:solidFill>
                </w14:textFill>
              </w:rPr>
              <w:t>护岸</w:t>
            </w:r>
          </w:p>
        </w:tc>
        <w:tc>
          <w:tcPr>
            <w:tcW w:w="1898" w:type="dxa"/>
            <w:shd w:val="clear" w:color="auto" w:fill="auto"/>
            <w:vAlign w:val="center"/>
          </w:tcPr>
          <w:p>
            <w:pPr>
              <w:widowControl/>
              <w:jc w:val="center"/>
              <w:textAlignment w:val="baseline"/>
              <w:rPr>
                <w:color w:val="000000" w:themeColor="text1"/>
                <w:kern w:val="0"/>
                <w:sz w:val="21"/>
                <w:szCs w:val="21"/>
                <w:u w:color="000000"/>
                <w:lang w:val="zh-CN"/>
                <w14:textFill>
                  <w14:solidFill>
                    <w14:schemeClr w14:val="tx1"/>
                  </w14:solidFill>
                </w14:textFill>
              </w:rPr>
            </w:pPr>
            <w:r>
              <w:rPr>
                <w:color w:val="000000" w:themeColor="text1"/>
                <w:kern w:val="0"/>
                <w:sz w:val="21"/>
                <w:szCs w:val="21"/>
                <w:u w:color="000000"/>
                <w:lang w:val="zh-CN"/>
                <w14:textFill>
                  <w14:solidFill>
                    <w14:schemeClr w14:val="tx1"/>
                  </w14:solidFill>
                </w14:textFill>
              </w:rPr>
              <w:t>m</w:t>
            </w:r>
          </w:p>
        </w:tc>
        <w:tc>
          <w:tcPr>
            <w:tcW w:w="2741" w:type="dxa"/>
            <w:shd w:val="clear" w:color="auto" w:fill="auto"/>
            <w:vAlign w:val="center"/>
          </w:tcPr>
          <w:p>
            <w:pPr>
              <w:widowControl/>
              <w:jc w:val="center"/>
              <w:rPr>
                <w:color w:val="000000" w:themeColor="text1"/>
                <w:kern w:val="0"/>
                <w:sz w:val="21"/>
                <w:szCs w:val="21"/>
                <w14:textFill>
                  <w14:solidFill>
                    <w14:schemeClr w14:val="tx1"/>
                  </w14:solidFill>
                </w14:textFill>
              </w:rPr>
            </w:pPr>
            <w:r>
              <w:rPr>
                <w:color w:val="000000" w:themeColor="text1"/>
                <w:kern w:val="0"/>
                <w:sz w:val="21"/>
                <w:szCs w:val="21"/>
                <w:u w:color="000000"/>
                <w:lang w:val="zh-CN"/>
                <w14:textFill>
                  <w14:solidFill>
                    <w14:schemeClr w14:val="tx1"/>
                  </w14:solidFill>
                </w14:textFill>
              </w:rPr>
              <w:t>421.2</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jc w:val="center"/>
        </w:trPr>
        <w:tc>
          <w:tcPr>
            <w:tcW w:w="1146" w:type="dxa"/>
            <w:shd w:val="clear" w:color="auto" w:fill="auto"/>
            <w:vAlign w:val="center"/>
          </w:tcPr>
          <w:p>
            <w:pPr>
              <w:widowControl/>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6</w:t>
            </w:r>
          </w:p>
        </w:tc>
        <w:tc>
          <w:tcPr>
            <w:tcW w:w="2743" w:type="dxa"/>
            <w:shd w:val="clear" w:color="auto" w:fill="auto"/>
            <w:vAlign w:val="center"/>
          </w:tcPr>
          <w:p>
            <w:pPr>
              <w:widowControl/>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码头前沿底高程</w:t>
            </w:r>
          </w:p>
        </w:tc>
        <w:tc>
          <w:tcPr>
            <w:tcW w:w="1898" w:type="dxa"/>
            <w:shd w:val="clear" w:color="auto" w:fill="auto"/>
            <w:vAlign w:val="center"/>
          </w:tcPr>
          <w:p>
            <w:pPr>
              <w:widowControl/>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m</w:t>
            </w:r>
          </w:p>
        </w:tc>
        <w:tc>
          <w:tcPr>
            <w:tcW w:w="2741" w:type="dxa"/>
            <w:shd w:val="clear" w:color="auto" w:fill="auto"/>
            <w:vAlign w:val="center"/>
          </w:tcPr>
          <w:p>
            <w:pPr>
              <w:widowControl/>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w:t>
            </w:r>
            <w:r>
              <w:rPr>
                <w:rFonts w:hint="eastAsia"/>
                <w:color w:val="000000" w:themeColor="text1"/>
                <w:kern w:val="0"/>
                <w:sz w:val="21"/>
                <w:szCs w:val="21"/>
                <w14:textFill>
                  <w14:solidFill>
                    <w14:schemeClr w14:val="tx1"/>
                  </w14:solidFill>
                </w14:textFill>
              </w:rPr>
              <w:t>16.3</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jc w:val="center"/>
        </w:trPr>
        <w:tc>
          <w:tcPr>
            <w:tcW w:w="1146" w:type="dxa"/>
            <w:shd w:val="clear" w:color="auto" w:fill="auto"/>
            <w:vAlign w:val="center"/>
          </w:tcPr>
          <w:p>
            <w:pPr>
              <w:widowControl/>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7</w:t>
            </w:r>
          </w:p>
        </w:tc>
        <w:tc>
          <w:tcPr>
            <w:tcW w:w="2743" w:type="dxa"/>
            <w:shd w:val="clear" w:color="auto" w:fill="auto"/>
            <w:vAlign w:val="center"/>
          </w:tcPr>
          <w:p>
            <w:pPr>
              <w:widowControl/>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港池底高程</w:t>
            </w:r>
          </w:p>
        </w:tc>
        <w:tc>
          <w:tcPr>
            <w:tcW w:w="1898" w:type="dxa"/>
            <w:shd w:val="clear" w:color="auto" w:fill="auto"/>
            <w:vAlign w:val="center"/>
          </w:tcPr>
          <w:p>
            <w:pPr>
              <w:widowControl/>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m</w:t>
            </w:r>
          </w:p>
        </w:tc>
        <w:tc>
          <w:tcPr>
            <w:tcW w:w="2741" w:type="dxa"/>
            <w:shd w:val="clear" w:color="auto" w:fill="auto"/>
            <w:vAlign w:val="center"/>
          </w:tcPr>
          <w:p>
            <w:pPr>
              <w:widowControl/>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w:t>
            </w:r>
            <w:r>
              <w:rPr>
                <w:rFonts w:hint="eastAsia"/>
                <w:color w:val="000000" w:themeColor="text1"/>
                <w:kern w:val="0"/>
                <w:sz w:val="21"/>
                <w:szCs w:val="21"/>
                <w14:textFill>
                  <w14:solidFill>
                    <w14:schemeClr w14:val="tx1"/>
                  </w14:solidFill>
                </w14:textFill>
              </w:rPr>
              <w:t>6.3</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jc w:val="center"/>
        </w:trPr>
        <w:tc>
          <w:tcPr>
            <w:tcW w:w="1146" w:type="dxa"/>
            <w:shd w:val="clear" w:color="auto" w:fill="auto"/>
            <w:vAlign w:val="center"/>
          </w:tcPr>
          <w:p>
            <w:pPr>
              <w:widowControl/>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7.1</w:t>
            </w:r>
          </w:p>
        </w:tc>
        <w:tc>
          <w:tcPr>
            <w:tcW w:w="2743" w:type="dxa"/>
            <w:shd w:val="clear" w:color="auto" w:fill="auto"/>
            <w:vAlign w:val="center"/>
          </w:tcPr>
          <w:p>
            <w:pPr>
              <w:widowControl/>
              <w:jc w:val="center"/>
              <w:textAlignment w:val="baseline"/>
              <w:rPr>
                <w:color w:val="000000" w:themeColor="text1"/>
                <w:kern w:val="0"/>
                <w:sz w:val="21"/>
                <w:szCs w:val="21"/>
                <w:u w:color="000000"/>
                <w:lang w:val="zh-CN"/>
                <w14:textFill>
                  <w14:solidFill>
                    <w14:schemeClr w14:val="tx1"/>
                  </w14:solidFill>
                </w14:textFill>
              </w:rPr>
            </w:pPr>
            <w:r>
              <w:rPr>
                <w:color w:val="000000" w:themeColor="text1"/>
                <w:kern w:val="0"/>
                <w:sz w:val="21"/>
                <w:szCs w:val="21"/>
                <w:u w:color="000000"/>
                <w:lang w:val="zh-CN"/>
                <w14:textFill>
                  <w14:solidFill>
                    <w14:schemeClr w14:val="tx1"/>
                  </w14:solidFill>
                </w14:textFill>
              </w:rPr>
              <w:t>港区陆域面积</w:t>
            </w:r>
          </w:p>
        </w:tc>
        <w:tc>
          <w:tcPr>
            <w:tcW w:w="1898" w:type="dxa"/>
            <w:shd w:val="clear" w:color="auto" w:fill="auto"/>
            <w:vAlign w:val="center"/>
          </w:tcPr>
          <w:p>
            <w:pPr>
              <w:widowControl/>
              <w:jc w:val="center"/>
              <w:textAlignment w:val="baseline"/>
              <w:rPr>
                <w:color w:val="000000" w:themeColor="text1"/>
                <w:kern w:val="0"/>
                <w:sz w:val="21"/>
                <w:szCs w:val="21"/>
                <w:u w:color="000000"/>
                <w:lang w:val="zh-CN"/>
                <w14:textFill>
                  <w14:solidFill>
                    <w14:schemeClr w14:val="tx1"/>
                  </w14:solidFill>
                </w14:textFill>
              </w:rPr>
            </w:pPr>
            <w:r>
              <w:rPr>
                <w:rFonts w:hint="eastAsia"/>
                <w:color w:val="000000" w:themeColor="text1"/>
                <w:kern w:val="0"/>
                <w:sz w:val="21"/>
                <w:szCs w:val="21"/>
                <w:u w:color="000000"/>
                <w:lang w:val="zh-CN"/>
                <w14:textFill>
                  <w14:solidFill>
                    <w14:schemeClr w14:val="tx1"/>
                  </w14:solidFill>
                </w14:textFill>
              </w:rPr>
              <w:t>h</w:t>
            </w:r>
            <w:r>
              <w:rPr>
                <w:color w:val="000000" w:themeColor="text1"/>
                <w:kern w:val="0"/>
                <w:sz w:val="21"/>
                <w:szCs w:val="21"/>
                <w:u w:color="000000"/>
                <w14:textFill>
                  <w14:solidFill>
                    <w14:schemeClr w14:val="tx1"/>
                  </w14:solidFill>
                </w14:textFill>
              </w:rPr>
              <w:t>m</w:t>
            </w:r>
            <w:r>
              <w:rPr>
                <w:color w:val="000000" w:themeColor="text1"/>
                <w:kern w:val="0"/>
                <w:sz w:val="21"/>
                <w:szCs w:val="21"/>
                <w:u w:color="000000"/>
                <w:vertAlign w:val="superscript"/>
                <w14:textFill>
                  <w14:solidFill>
                    <w14:schemeClr w14:val="tx1"/>
                  </w14:solidFill>
                </w14:textFill>
              </w:rPr>
              <w:t>2</w:t>
            </w:r>
          </w:p>
        </w:tc>
        <w:tc>
          <w:tcPr>
            <w:tcW w:w="2741" w:type="dxa"/>
            <w:shd w:val="clear" w:color="auto" w:fill="auto"/>
            <w:vAlign w:val="center"/>
          </w:tcPr>
          <w:p>
            <w:pPr>
              <w:widowControl/>
              <w:jc w:val="center"/>
              <w:textAlignment w:val="baseline"/>
              <w:rPr>
                <w:color w:val="000000" w:themeColor="text1"/>
                <w:kern w:val="0"/>
                <w:sz w:val="21"/>
                <w:szCs w:val="21"/>
                <w:u w:color="000000"/>
                <w:lang w:val="zh-CN"/>
                <w14:textFill>
                  <w14:solidFill>
                    <w14:schemeClr w14:val="tx1"/>
                  </w14:solidFill>
                </w14:textFill>
              </w:rPr>
            </w:pPr>
            <w:r>
              <w:rPr>
                <w:rFonts w:hint="eastAsia"/>
                <w:color w:val="000000" w:themeColor="text1"/>
                <w:kern w:val="0"/>
                <w:sz w:val="21"/>
                <w:szCs w:val="21"/>
                <w:u w:color="000000"/>
                <w:lang w:val="zh-CN"/>
                <w14:textFill>
                  <w14:solidFill>
                    <w14:schemeClr w14:val="tx1"/>
                  </w14:solidFill>
                </w14:textFill>
              </w:rPr>
              <w:t>63.2</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jc w:val="center"/>
        </w:trPr>
        <w:tc>
          <w:tcPr>
            <w:tcW w:w="1146" w:type="dxa"/>
            <w:shd w:val="clear" w:color="auto" w:fill="auto"/>
            <w:vAlign w:val="center"/>
          </w:tcPr>
          <w:p>
            <w:pPr>
              <w:widowControl/>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7.2</w:t>
            </w:r>
          </w:p>
        </w:tc>
        <w:tc>
          <w:tcPr>
            <w:tcW w:w="2743" w:type="dxa"/>
            <w:shd w:val="clear" w:color="auto" w:fill="auto"/>
            <w:vAlign w:val="center"/>
          </w:tcPr>
          <w:p>
            <w:pPr>
              <w:widowControl/>
              <w:jc w:val="center"/>
              <w:textAlignment w:val="baseline"/>
              <w:rPr>
                <w:color w:val="000000" w:themeColor="text1"/>
                <w:kern w:val="0"/>
                <w:sz w:val="21"/>
                <w:szCs w:val="21"/>
                <w:u w:color="000000"/>
                <w:lang w:val="zh-CN"/>
                <w14:textFill>
                  <w14:solidFill>
                    <w14:schemeClr w14:val="tx1"/>
                  </w14:solidFill>
                </w14:textFill>
              </w:rPr>
            </w:pPr>
            <w:r>
              <w:rPr>
                <w:color w:val="000000" w:themeColor="text1"/>
                <w:kern w:val="0"/>
                <w:sz w:val="21"/>
                <w:szCs w:val="21"/>
                <w:u w:color="000000"/>
                <w:lang w:val="zh-CN"/>
                <w14:textFill>
                  <w14:solidFill>
                    <w14:schemeClr w14:val="tx1"/>
                  </w14:solidFill>
                </w14:textFill>
              </w:rPr>
              <w:t>港池水域面积</w:t>
            </w:r>
          </w:p>
        </w:tc>
        <w:tc>
          <w:tcPr>
            <w:tcW w:w="1898" w:type="dxa"/>
            <w:shd w:val="clear" w:color="auto" w:fill="auto"/>
            <w:vAlign w:val="center"/>
          </w:tcPr>
          <w:p>
            <w:pPr>
              <w:widowControl/>
              <w:jc w:val="center"/>
              <w:textAlignment w:val="baseline"/>
              <w:rPr>
                <w:color w:val="000000" w:themeColor="text1"/>
                <w:kern w:val="0"/>
                <w:sz w:val="21"/>
                <w:szCs w:val="21"/>
                <w:u w:color="000000"/>
                <w:lang w:val="zh-CN"/>
                <w14:textFill>
                  <w14:solidFill>
                    <w14:schemeClr w14:val="tx1"/>
                  </w14:solidFill>
                </w14:textFill>
              </w:rPr>
            </w:pPr>
            <w:r>
              <w:rPr>
                <w:rFonts w:hint="eastAsia"/>
                <w:color w:val="000000" w:themeColor="text1"/>
                <w:kern w:val="0"/>
                <w:sz w:val="21"/>
                <w:szCs w:val="21"/>
                <w:u w:color="000000"/>
                <w:lang w:val="zh-CN"/>
                <w14:textFill>
                  <w14:solidFill>
                    <w14:schemeClr w14:val="tx1"/>
                  </w14:solidFill>
                </w14:textFill>
              </w:rPr>
              <w:t>h</w:t>
            </w:r>
            <w:r>
              <w:rPr>
                <w:color w:val="000000" w:themeColor="text1"/>
                <w:kern w:val="0"/>
                <w:sz w:val="21"/>
                <w:szCs w:val="21"/>
                <w:u w:color="000000"/>
                <w14:textFill>
                  <w14:solidFill>
                    <w14:schemeClr w14:val="tx1"/>
                  </w14:solidFill>
                </w14:textFill>
              </w:rPr>
              <w:t>m</w:t>
            </w:r>
            <w:r>
              <w:rPr>
                <w:color w:val="000000" w:themeColor="text1"/>
                <w:kern w:val="0"/>
                <w:sz w:val="21"/>
                <w:szCs w:val="21"/>
                <w:u w:color="000000"/>
                <w:vertAlign w:val="superscript"/>
                <w14:textFill>
                  <w14:solidFill>
                    <w14:schemeClr w14:val="tx1"/>
                  </w14:solidFill>
                </w14:textFill>
              </w:rPr>
              <w:t>2</w:t>
            </w:r>
          </w:p>
        </w:tc>
        <w:tc>
          <w:tcPr>
            <w:tcW w:w="2741" w:type="dxa"/>
            <w:shd w:val="clear" w:color="auto" w:fill="auto"/>
            <w:vAlign w:val="center"/>
          </w:tcPr>
          <w:p>
            <w:pPr>
              <w:widowControl/>
              <w:jc w:val="center"/>
              <w:textAlignment w:val="baseline"/>
              <w:rPr>
                <w:color w:val="000000" w:themeColor="text1"/>
                <w:kern w:val="0"/>
                <w:sz w:val="21"/>
                <w:szCs w:val="21"/>
                <w:u w:color="000000"/>
                <w:lang w:val="zh-CN"/>
                <w14:textFill>
                  <w14:solidFill>
                    <w14:schemeClr w14:val="tx1"/>
                  </w14:solidFill>
                </w14:textFill>
              </w:rPr>
            </w:pPr>
            <w:r>
              <w:rPr>
                <w:color w:val="000000" w:themeColor="text1"/>
                <w:kern w:val="0"/>
                <w:sz w:val="21"/>
                <w:szCs w:val="21"/>
                <w:u w:color="000000"/>
                <w:lang w:val="zh-CN"/>
                <w14:textFill>
                  <w14:solidFill>
                    <w14:schemeClr w14:val="tx1"/>
                  </w14:solidFill>
                </w14:textFill>
              </w:rPr>
              <w:t>44.</w:t>
            </w:r>
            <w:r>
              <w:rPr>
                <w:rFonts w:hint="eastAsia"/>
                <w:color w:val="000000" w:themeColor="text1"/>
                <w:kern w:val="0"/>
                <w:sz w:val="21"/>
                <w:szCs w:val="21"/>
                <w:u w:color="000000"/>
                <w:lang w:val="zh-CN"/>
                <w14:textFill>
                  <w14:solidFill>
                    <w14:schemeClr w14:val="tx1"/>
                  </w14:solidFill>
                </w14:textFill>
              </w:rPr>
              <w:t>8998</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jc w:val="center"/>
        </w:trPr>
        <w:tc>
          <w:tcPr>
            <w:tcW w:w="1146" w:type="dxa"/>
            <w:shd w:val="clear" w:color="auto" w:fill="auto"/>
            <w:vAlign w:val="center"/>
          </w:tcPr>
          <w:p>
            <w:pPr>
              <w:widowControl/>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7.2.1</w:t>
            </w:r>
          </w:p>
        </w:tc>
        <w:tc>
          <w:tcPr>
            <w:tcW w:w="2743" w:type="dxa"/>
            <w:shd w:val="clear" w:color="auto" w:fill="auto"/>
            <w:vAlign w:val="center"/>
          </w:tcPr>
          <w:p>
            <w:pPr>
              <w:widowControl/>
              <w:jc w:val="center"/>
              <w:textAlignment w:val="baseline"/>
              <w:rPr>
                <w:color w:val="000000" w:themeColor="text1"/>
                <w:kern w:val="0"/>
                <w:sz w:val="21"/>
                <w:szCs w:val="21"/>
                <w:u w:color="000000"/>
                <w:lang w:val="zh-CN"/>
                <w14:textFill>
                  <w14:solidFill>
                    <w14:schemeClr w14:val="tx1"/>
                  </w14:solidFill>
                </w14:textFill>
              </w:rPr>
            </w:pPr>
            <w:r>
              <w:rPr>
                <w:color w:val="000000" w:themeColor="text1"/>
                <w:kern w:val="0"/>
                <w:sz w:val="21"/>
                <w:szCs w:val="21"/>
                <w:u w:color="000000"/>
                <w:lang w:val="zh-CN"/>
                <w14:textFill>
                  <w14:solidFill>
                    <w14:schemeClr w14:val="tx1"/>
                  </w14:solidFill>
                </w14:textFill>
              </w:rPr>
              <w:t>停泊水域面积</w:t>
            </w:r>
          </w:p>
        </w:tc>
        <w:tc>
          <w:tcPr>
            <w:tcW w:w="1898" w:type="dxa"/>
            <w:shd w:val="clear" w:color="auto" w:fill="auto"/>
            <w:vAlign w:val="center"/>
          </w:tcPr>
          <w:p>
            <w:pPr>
              <w:widowControl/>
              <w:jc w:val="center"/>
              <w:textAlignment w:val="baseline"/>
              <w:rPr>
                <w:color w:val="000000" w:themeColor="text1"/>
                <w:kern w:val="0"/>
                <w:sz w:val="21"/>
                <w:szCs w:val="21"/>
                <w:u w:color="000000"/>
                <w:lang w:val="zh-CN"/>
                <w14:textFill>
                  <w14:solidFill>
                    <w14:schemeClr w14:val="tx1"/>
                  </w14:solidFill>
                </w14:textFill>
              </w:rPr>
            </w:pPr>
            <w:r>
              <w:rPr>
                <w:rFonts w:hint="eastAsia"/>
                <w:color w:val="000000" w:themeColor="text1"/>
                <w:kern w:val="0"/>
                <w:sz w:val="21"/>
                <w:szCs w:val="21"/>
                <w:u w:color="000000"/>
                <w:lang w:val="zh-CN"/>
                <w14:textFill>
                  <w14:solidFill>
                    <w14:schemeClr w14:val="tx1"/>
                  </w14:solidFill>
                </w14:textFill>
              </w:rPr>
              <w:t>h</w:t>
            </w:r>
            <w:r>
              <w:rPr>
                <w:color w:val="000000" w:themeColor="text1"/>
                <w:kern w:val="0"/>
                <w:sz w:val="21"/>
                <w:szCs w:val="21"/>
                <w:u w:color="000000"/>
                <w14:textFill>
                  <w14:solidFill>
                    <w14:schemeClr w14:val="tx1"/>
                  </w14:solidFill>
                </w14:textFill>
              </w:rPr>
              <w:t>m</w:t>
            </w:r>
            <w:r>
              <w:rPr>
                <w:color w:val="000000" w:themeColor="text1"/>
                <w:kern w:val="0"/>
                <w:sz w:val="21"/>
                <w:szCs w:val="21"/>
                <w:u w:color="000000"/>
                <w:vertAlign w:val="superscript"/>
                <w14:textFill>
                  <w14:solidFill>
                    <w14:schemeClr w14:val="tx1"/>
                  </w14:solidFill>
                </w14:textFill>
              </w:rPr>
              <w:t>2</w:t>
            </w:r>
          </w:p>
        </w:tc>
        <w:tc>
          <w:tcPr>
            <w:tcW w:w="2741" w:type="dxa"/>
            <w:shd w:val="clear" w:color="auto" w:fill="auto"/>
            <w:vAlign w:val="center"/>
          </w:tcPr>
          <w:p>
            <w:pPr>
              <w:widowControl/>
              <w:jc w:val="center"/>
              <w:textAlignment w:val="baseline"/>
              <w:rPr>
                <w:color w:val="000000" w:themeColor="text1"/>
                <w:kern w:val="0"/>
                <w:sz w:val="21"/>
                <w:szCs w:val="21"/>
                <w:u w:color="000000"/>
                <w:lang w:val="zh-CN"/>
                <w14:textFill>
                  <w14:solidFill>
                    <w14:schemeClr w14:val="tx1"/>
                  </w14:solidFill>
                </w14:textFill>
              </w:rPr>
            </w:pPr>
            <w:r>
              <w:rPr>
                <w:rFonts w:hint="eastAsia"/>
                <w:color w:val="000000" w:themeColor="text1"/>
                <w:kern w:val="0"/>
                <w:sz w:val="21"/>
                <w:szCs w:val="21"/>
                <w:u w:color="000000"/>
                <w:lang w:val="zh-CN"/>
                <w14:textFill>
                  <w14:solidFill>
                    <w14:schemeClr w14:val="tx1"/>
                  </w14:solidFill>
                </w14:textFill>
              </w:rPr>
              <w:t>9.6314</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jc w:val="center"/>
        </w:trPr>
        <w:tc>
          <w:tcPr>
            <w:tcW w:w="1146" w:type="dxa"/>
            <w:shd w:val="clear" w:color="auto" w:fill="auto"/>
            <w:vAlign w:val="center"/>
          </w:tcPr>
          <w:p>
            <w:pPr>
              <w:widowControl/>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7.2.2</w:t>
            </w:r>
          </w:p>
        </w:tc>
        <w:tc>
          <w:tcPr>
            <w:tcW w:w="2743" w:type="dxa"/>
            <w:shd w:val="clear" w:color="auto" w:fill="auto"/>
            <w:vAlign w:val="center"/>
          </w:tcPr>
          <w:p>
            <w:pPr>
              <w:widowControl/>
              <w:jc w:val="center"/>
              <w:textAlignment w:val="baseline"/>
              <w:rPr>
                <w:color w:val="000000" w:themeColor="text1"/>
                <w:kern w:val="0"/>
                <w:sz w:val="21"/>
                <w:szCs w:val="21"/>
                <w:u w:color="000000"/>
                <w:lang w:val="zh-CN"/>
                <w14:textFill>
                  <w14:solidFill>
                    <w14:schemeClr w14:val="tx1"/>
                  </w14:solidFill>
                </w14:textFill>
              </w:rPr>
            </w:pPr>
            <w:r>
              <w:rPr>
                <w:color w:val="000000" w:themeColor="text1"/>
                <w:kern w:val="0"/>
                <w:sz w:val="21"/>
                <w:szCs w:val="21"/>
                <w:u w:color="000000"/>
                <w:lang w:val="zh-CN"/>
                <w14:textFill>
                  <w14:solidFill>
                    <w14:schemeClr w14:val="tx1"/>
                  </w14:solidFill>
                </w14:textFill>
              </w:rPr>
              <w:t>回旋水域面积</w:t>
            </w:r>
          </w:p>
        </w:tc>
        <w:tc>
          <w:tcPr>
            <w:tcW w:w="1898" w:type="dxa"/>
            <w:shd w:val="clear" w:color="auto" w:fill="auto"/>
            <w:vAlign w:val="center"/>
          </w:tcPr>
          <w:p>
            <w:pPr>
              <w:widowControl/>
              <w:jc w:val="center"/>
              <w:textAlignment w:val="baseline"/>
              <w:rPr>
                <w:color w:val="000000" w:themeColor="text1"/>
                <w:kern w:val="0"/>
                <w:sz w:val="21"/>
                <w:szCs w:val="21"/>
                <w:u w:color="000000"/>
                <w:lang w:val="zh-CN"/>
                <w14:textFill>
                  <w14:solidFill>
                    <w14:schemeClr w14:val="tx1"/>
                  </w14:solidFill>
                </w14:textFill>
              </w:rPr>
            </w:pPr>
            <w:r>
              <w:rPr>
                <w:rFonts w:hint="eastAsia"/>
                <w:color w:val="000000" w:themeColor="text1"/>
                <w:kern w:val="0"/>
                <w:sz w:val="21"/>
                <w:szCs w:val="21"/>
                <w:u w:color="000000"/>
                <w:lang w:val="zh-CN"/>
                <w14:textFill>
                  <w14:solidFill>
                    <w14:schemeClr w14:val="tx1"/>
                  </w14:solidFill>
                </w14:textFill>
              </w:rPr>
              <w:t>h</w:t>
            </w:r>
            <w:r>
              <w:rPr>
                <w:color w:val="000000" w:themeColor="text1"/>
                <w:kern w:val="0"/>
                <w:sz w:val="21"/>
                <w:szCs w:val="21"/>
                <w:u w:color="000000"/>
                <w14:textFill>
                  <w14:solidFill>
                    <w14:schemeClr w14:val="tx1"/>
                  </w14:solidFill>
                </w14:textFill>
              </w:rPr>
              <w:t>m</w:t>
            </w:r>
            <w:r>
              <w:rPr>
                <w:color w:val="000000" w:themeColor="text1"/>
                <w:kern w:val="0"/>
                <w:sz w:val="21"/>
                <w:szCs w:val="21"/>
                <w:u w:color="000000"/>
                <w:vertAlign w:val="superscript"/>
                <w14:textFill>
                  <w14:solidFill>
                    <w14:schemeClr w14:val="tx1"/>
                  </w14:solidFill>
                </w14:textFill>
              </w:rPr>
              <w:t>2</w:t>
            </w:r>
          </w:p>
        </w:tc>
        <w:tc>
          <w:tcPr>
            <w:tcW w:w="2741" w:type="dxa"/>
            <w:shd w:val="clear" w:color="auto" w:fill="auto"/>
            <w:vAlign w:val="center"/>
          </w:tcPr>
          <w:p>
            <w:pPr>
              <w:widowControl/>
              <w:jc w:val="center"/>
              <w:textAlignment w:val="baseline"/>
              <w:rPr>
                <w:color w:val="000000" w:themeColor="text1"/>
                <w:kern w:val="0"/>
                <w:sz w:val="21"/>
                <w:szCs w:val="21"/>
                <w:u w:color="000000"/>
                <w:lang w:val="zh-CN"/>
                <w14:textFill>
                  <w14:solidFill>
                    <w14:schemeClr w14:val="tx1"/>
                  </w14:solidFill>
                </w14:textFill>
              </w:rPr>
            </w:pPr>
            <w:r>
              <w:rPr>
                <w:rFonts w:hint="eastAsia"/>
                <w:color w:val="000000" w:themeColor="text1"/>
                <w:kern w:val="0"/>
                <w:sz w:val="21"/>
                <w:szCs w:val="21"/>
                <w:u w:color="000000"/>
                <w:lang w:val="zh-CN"/>
                <w14:textFill>
                  <w14:solidFill>
                    <w14:schemeClr w14:val="tx1"/>
                  </w14:solidFill>
                </w14:textFill>
              </w:rPr>
              <w:t>35.2686</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jc w:val="center"/>
        </w:trPr>
        <w:tc>
          <w:tcPr>
            <w:tcW w:w="1146" w:type="dxa"/>
            <w:shd w:val="clear" w:color="auto" w:fill="auto"/>
            <w:vAlign w:val="center"/>
          </w:tcPr>
          <w:p>
            <w:pPr>
              <w:widowControl/>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8</w:t>
            </w:r>
          </w:p>
        </w:tc>
        <w:tc>
          <w:tcPr>
            <w:tcW w:w="2743" w:type="dxa"/>
            <w:shd w:val="clear" w:color="auto" w:fill="auto"/>
            <w:vAlign w:val="center"/>
          </w:tcPr>
          <w:p>
            <w:pPr>
              <w:widowControl/>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港区定员</w:t>
            </w:r>
          </w:p>
        </w:tc>
        <w:tc>
          <w:tcPr>
            <w:tcW w:w="1898" w:type="dxa"/>
            <w:shd w:val="clear" w:color="auto" w:fill="auto"/>
            <w:vAlign w:val="center"/>
          </w:tcPr>
          <w:p>
            <w:pPr>
              <w:widowControl/>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人</w:t>
            </w:r>
          </w:p>
        </w:tc>
        <w:tc>
          <w:tcPr>
            <w:tcW w:w="2741" w:type="dxa"/>
            <w:shd w:val="clear" w:color="auto" w:fill="auto"/>
            <w:vAlign w:val="center"/>
          </w:tcPr>
          <w:p>
            <w:pPr>
              <w:widowControl/>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192</w:t>
            </w:r>
          </w:p>
        </w:tc>
      </w:tr>
    </w:tbl>
    <w:p>
      <w:pPr>
        <w:pStyle w:val="6"/>
        <w:rPr>
          <w:color w:val="000000" w:themeColor="text1"/>
          <w14:textFill>
            <w14:solidFill>
              <w14:schemeClr w14:val="tx1"/>
            </w14:solidFill>
          </w14:textFill>
        </w:rPr>
      </w:pPr>
      <w:r>
        <w:rPr>
          <w:rFonts w:hint="eastAsia"/>
          <w:color w:val="000000" w:themeColor="text1"/>
          <w14:textFill>
            <w14:solidFill>
              <w14:schemeClr w14:val="tx1"/>
            </w14:solidFill>
          </w14:textFill>
        </w:rPr>
        <w:t>现有工程运营情况</w:t>
      </w:r>
    </w:p>
    <w:p>
      <w:pPr>
        <w:pStyle w:val="1856"/>
        <w:ind w:firstLine="462"/>
        <w:rPr>
          <w:color w:val="000000" w:themeColor="text1"/>
          <w14:textFill>
            <w14:solidFill>
              <w14:schemeClr w14:val="tx1"/>
            </w14:solidFill>
          </w14:textFill>
        </w:rPr>
      </w:pPr>
      <w:r>
        <w:rPr>
          <w:rFonts w:hint="eastAsia"/>
          <w:color w:val="000000" w:themeColor="text1"/>
          <w14:textFill>
            <w14:solidFill>
              <w14:schemeClr w14:val="tx1"/>
            </w14:solidFill>
          </w14:textFill>
        </w:rPr>
        <w:t>2</w:t>
      </w:r>
      <w:r>
        <w:rPr>
          <w:color w:val="000000" w:themeColor="text1"/>
          <w14:textFill>
            <w14:solidFill>
              <w14:schemeClr w14:val="tx1"/>
            </w14:solidFill>
          </w14:textFill>
        </w:rPr>
        <w:t>02</w:t>
      </w:r>
      <w:r>
        <w:rPr>
          <w:rFonts w:hint="eastAsia"/>
          <w:color w:val="000000" w:themeColor="text1"/>
          <w14:textFill>
            <w14:solidFill>
              <w14:schemeClr w14:val="tx1"/>
            </w14:solidFill>
          </w14:textFill>
        </w:rPr>
        <w:t>3年1月，大榄坪南作业区9号10号泊位建设单位广西钦州保税港区宏港码头有限公司与7#、8#泊位建设单位广西钦州保税港区盛港码头有限公司签订《关于钦州港大榄坪南作业区9、10号泊位委托经营管理协议》，至此，大榄坪南7#～10#泊位统一由广西钦州保税港区盛港码头有限公司管理运营。工程建设由广西钦州保税港区宏港码头有限公司开展，建设完成后交由广西钦州保税港区盛港码头有限公司管理运营。7号、8号泊位后方生产生活辅助区（包含生活污水处理站、生产废水处理站、水上污染事故应急设备库、危险废物贮存</w:t>
      </w:r>
      <w:r>
        <w:rPr>
          <w:color w:val="000000" w:themeColor="text1"/>
          <w14:textFill>
            <w14:solidFill>
              <w14:schemeClr w14:val="tx1"/>
            </w14:solidFill>
          </w14:textFill>
        </w:rPr>
        <w:t>间</w:t>
      </w:r>
      <w:r>
        <w:rPr>
          <w:rFonts w:hint="eastAsia"/>
          <w:color w:val="000000" w:themeColor="text1"/>
          <w14:textFill>
            <w14:solidFill>
              <w14:schemeClr w14:val="tx1"/>
            </w14:solidFill>
          </w14:textFill>
        </w:rPr>
        <w:t>）等，均可供9号、10号泊位共同使用。</w:t>
      </w:r>
    </w:p>
    <w:p>
      <w:pPr>
        <w:pStyle w:val="1856"/>
        <w:ind w:firstLine="462"/>
        <w:rPr>
          <w:color w:val="000000" w:themeColor="text1"/>
          <w14:textFill>
            <w14:solidFill>
              <w14:schemeClr w14:val="tx1"/>
            </w14:solidFill>
          </w14:textFill>
        </w:rPr>
      </w:pPr>
      <w:r>
        <w:rPr>
          <w:color w:val="000000" w:themeColor="text1"/>
          <w14:textFill>
            <w14:solidFill>
              <w14:schemeClr w14:val="tx1"/>
            </w14:solidFill>
          </w14:textFill>
        </w:rPr>
        <w:t>设计吞吐量及货种吞吐量为160万TEU，其中重箱占比68%，空箱占比30%，冷藏箱占比2%，不涉及危化品箱及油品运输。集装箱内货物主要包括：农产品、烟草、食品、医药制品、先进设备、粮食、日用品、家电、橡胶等普通适箱货物，无动物活体、非密封食物等货品。集装箱在本项目码头只是存放和转运，不拆箱、分装，无洗箱作业。根据《钦州港大榄坪港区大榄坪南作业区</w:t>
      </w:r>
      <w:r>
        <w:rPr>
          <w:rFonts w:hint="eastAsia"/>
          <w:color w:val="000000" w:themeColor="text1"/>
          <w14:textFill>
            <w14:solidFill>
              <w14:schemeClr w14:val="tx1"/>
            </w14:solidFill>
          </w14:textFill>
        </w:rPr>
        <w:t>9号10号泊位工程竣工环境保护验收调查报告</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9号10号泊位验收期间实际折算运营期年吞吐量约为50万TEU，占设计年吞吐量160万TEU的31.2%。</w:t>
      </w:r>
    </w:p>
    <w:p>
      <w:pPr>
        <w:pStyle w:val="6"/>
        <w:rPr>
          <w:color w:val="000000" w:themeColor="text1"/>
          <w14:textFill>
            <w14:solidFill>
              <w14:schemeClr w14:val="tx1"/>
            </w14:solidFill>
          </w14:textFill>
        </w:rPr>
      </w:pPr>
      <w:r>
        <w:rPr>
          <w:rFonts w:hint="eastAsia"/>
          <w:color w:val="000000" w:themeColor="text1"/>
          <w14:textFill>
            <w14:solidFill>
              <w14:schemeClr w14:val="tx1"/>
            </w14:solidFill>
          </w14:textFill>
        </w:rPr>
        <w:t>总平面布置</w:t>
      </w:r>
    </w:p>
    <w:p>
      <w:pPr>
        <w:pStyle w:val="283"/>
        <w:ind w:firstLine="462"/>
        <w:rPr>
          <w:color w:val="000000" w:themeColor="text1"/>
          <w14:textFill>
            <w14:solidFill>
              <w14:schemeClr w14:val="tx1"/>
            </w14:solidFill>
          </w14:textFill>
        </w:rPr>
      </w:pPr>
      <w:r>
        <w:rPr>
          <w:color w:val="000000" w:themeColor="text1"/>
          <w14:textFill>
            <w14:solidFill>
              <w14:schemeClr w14:val="tx1"/>
            </w14:solidFill>
          </w14:textFill>
        </w:rPr>
        <w:t>1、水域布置</w:t>
      </w:r>
    </w:p>
    <w:p>
      <w:pPr>
        <w:pStyle w:val="283"/>
        <w:ind w:firstLine="462"/>
        <w:rPr>
          <w:color w:val="000000" w:themeColor="text1"/>
          <w14:textFill>
            <w14:solidFill>
              <w14:schemeClr w14:val="tx1"/>
            </w14:solidFill>
          </w14:textFill>
        </w:rPr>
      </w:pPr>
      <w:r>
        <w:rPr>
          <w:rFonts w:hint="eastAsia"/>
          <w:color w:val="000000" w:themeColor="text1"/>
          <w14:textFill>
            <w14:solidFill>
              <w14:schemeClr w14:val="tx1"/>
            </w14:solidFill>
          </w14:textFill>
        </w:rPr>
        <w:t>现有9号10号泊位</w:t>
      </w:r>
      <w:r>
        <w:rPr>
          <w:color w:val="000000" w:themeColor="text1"/>
          <w14:textFill>
            <w14:solidFill>
              <w14:schemeClr w14:val="tx1"/>
            </w14:solidFill>
          </w14:textFill>
        </w:rPr>
        <w:t>工程顺接7号8号泊位，岸线总长度783m。港池水域总面积44.9</w:t>
      </w:r>
      <w:r>
        <w:rPr>
          <w:rFonts w:hint="eastAsia"/>
          <w:color w:val="000000" w:themeColor="text1"/>
          <w14:textFill>
            <w14:solidFill>
              <w14:schemeClr w14:val="tx1"/>
            </w14:solidFill>
          </w14:textFill>
        </w:rPr>
        <w:t xml:space="preserve"> h</w:t>
      </w:r>
      <w:r>
        <w:rPr>
          <w:color w:val="000000" w:themeColor="text1"/>
          <w14:textFill>
            <w14:solidFill>
              <w14:schemeClr w14:val="tx1"/>
            </w14:solidFill>
          </w14:textFill>
        </w:rPr>
        <w:t>m</w:t>
      </w:r>
      <w:r>
        <w:rPr>
          <w:color w:val="000000" w:themeColor="text1"/>
          <w:vertAlign w:val="superscript"/>
          <w14:textFill>
            <w14:solidFill>
              <w14:schemeClr w14:val="tx1"/>
            </w14:solidFill>
          </w14:textFill>
        </w:rPr>
        <w:t>2</w:t>
      </w:r>
      <w:r>
        <w:rPr>
          <w:color w:val="000000" w:themeColor="text1"/>
          <w14:textFill>
            <w14:solidFill>
              <w14:schemeClr w14:val="tx1"/>
            </w14:solidFill>
          </w14:textFill>
        </w:rPr>
        <w:t>，包含连接水域、码头回旋水域和停泊水域，布置在码头前方。码头前沿线向陆侧50m范围内为现浇胸墙、特殊箱通道、现浇轨道梁结构，前沿线向海侧为停泊水域及回旋水域，码头南端为421.2m临时护岸。其中码头</w:t>
      </w:r>
      <w:r>
        <w:rPr>
          <w:rFonts w:hint="eastAsia"/>
          <w:color w:val="000000" w:themeColor="text1"/>
          <w14:textFill>
            <w14:solidFill>
              <w14:schemeClr w14:val="tx1"/>
            </w14:solidFill>
          </w14:textFill>
        </w:rPr>
        <w:t>面</w:t>
      </w:r>
      <w:r>
        <w:rPr>
          <w:color w:val="000000" w:themeColor="text1"/>
          <w14:textFill>
            <w14:solidFill>
              <w14:schemeClr w14:val="tx1"/>
            </w14:solidFill>
          </w14:textFill>
        </w:rPr>
        <w:t>顶标高+6.69m，停泊水域底标高-18m，回旋水域底标高-1</w:t>
      </w:r>
      <w:r>
        <w:rPr>
          <w:rFonts w:hint="eastAsia"/>
          <w:color w:val="000000" w:themeColor="text1"/>
          <w14:textFill>
            <w14:solidFill>
              <w14:schemeClr w14:val="tx1"/>
            </w14:solidFill>
          </w14:textFill>
        </w:rPr>
        <w:t>6</w:t>
      </w:r>
      <w:r>
        <w:rPr>
          <w:color w:val="000000" w:themeColor="text1"/>
          <w14:textFill>
            <w14:solidFill>
              <w14:schemeClr w14:val="tx1"/>
            </w14:solidFill>
          </w14:textFill>
        </w:rPr>
        <w:t>.3m，临时护岸设计顶标高+7.6m。码头前沿线距离航道东侧底边线约450m，距离西侧底边线距离约813m。</w:t>
      </w:r>
    </w:p>
    <w:p>
      <w:pPr>
        <w:autoSpaceDE w:val="0"/>
        <w:autoSpaceDN w:val="0"/>
        <w:adjustRightInd w:val="0"/>
        <w:spacing w:line="300" w:lineRule="auto"/>
        <w:jc w:val="left"/>
        <w:rPr>
          <w:color w:val="000000" w:themeColor="text1"/>
          <w:kern w:val="0"/>
          <w14:textFill>
            <w14:solidFill>
              <w14:schemeClr w14:val="tx1"/>
            </w14:solidFill>
          </w14:textFill>
        </w:rPr>
      </w:pPr>
      <w:r>
        <w:rPr>
          <w:color w:val="000000" w:themeColor="text1"/>
          <w:kern w:val="0"/>
          <w14:textFill>
            <w14:solidFill>
              <w14:schemeClr w14:val="tx1"/>
            </w14:solidFill>
          </w14:textFill>
        </w:rPr>
        <w:drawing>
          <wp:inline distT="0" distB="0" distL="0" distR="0">
            <wp:extent cx="5276850" cy="4038600"/>
            <wp:effectExtent l="0" t="0" r="0" b="0"/>
            <wp:docPr id="37668" name="图片 37668" descr="现有工程平面布置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668" name="图片 37668" descr="现有工程平面布置图"/>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a:xfrm>
                      <a:off x="0" y="0"/>
                      <a:ext cx="5276850" cy="4038600"/>
                    </a:xfrm>
                    <a:prstGeom prst="rect">
                      <a:avLst/>
                    </a:prstGeom>
                    <a:noFill/>
                    <a:ln>
                      <a:noFill/>
                    </a:ln>
                  </pic:spPr>
                </pic:pic>
              </a:graphicData>
            </a:graphic>
          </wp:inline>
        </w:drawing>
      </w:r>
    </w:p>
    <w:p>
      <w:pPr>
        <w:pStyle w:val="553"/>
        <w:rPr>
          <w:color w:val="000000" w:themeColor="text1"/>
          <w14:textFill>
            <w14:solidFill>
              <w14:schemeClr w14:val="tx1"/>
            </w14:solidFill>
          </w14:textFill>
        </w:rPr>
      </w:pPr>
      <w:bookmarkStart w:id="84" w:name="_Hlk171076525"/>
      <w:r>
        <w:rPr>
          <w:rFonts w:hint="eastAsia"/>
          <w:color w:val="000000" w:themeColor="text1"/>
          <w14:textFill>
            <w14:solidFill>
              <w14:schemeClr w14:val="tx1"/>
            </w14:solidFill>
          </w14:textFill>
        </w:rPr>
        <w:t>9号10号泊位现有工程布置</w:t>
      </w:r>
      <w:r>
        <w:rPr>
          <w:color w:val="000000" w:themeColor="text1"/>
          <w14:textFill>
            <w14:solidFill>
              <w14:schemeClr w14:val="tx1"/>
            </w14:solidFill>
          </w14:textFill>
        </w:rPr>
        <w:t>图</w:t>
      </w:r>
      <w:bookmarkEnd w:id="84"/>
    </w:p>
    <w:p>
      <w:pPr>
        <w:pStyle w:val="283"/>
        <w:ind w:firstLine="462"/>
        <w:rPr>
          <w:color w:val="000000" w:themeColor="text1"/>
          <w14:textFill>
            <w14:solidFill>
              <w14:schemeClr w14:val="tx1"/>
            </w14:solidFill>
          </w14:textFill>
        </w:rPr>
      </w:pPr>
      <w:r>
        <w:rPr>
          <w:color w:val="000000" w:themeColor="text1"/>
          <w14:textFill>
            <w14:solidFill>
              <w14:schemeClr w14:val="tx1"/>
            </w14:solidFill>
          </w14:textFill>
        </w:rPr>
        <w:t>2、陆域平面布置</w:t>
      </w:r>
    </w:p>
    <w:p>
      <w:pPr>
        <w:pStyle w:val="283"/>
        <w:ind w:firstLine="462"/>
        <w:rPr>
          <w:color w:val="000000" w:themeColor="text1"/>
          <w14:textFill>
            <w14:solidFill>
              <w14:schemeClr w14:val="tx1"/>
            </w14:solidFill>
          </w14:textFill>
        </w:rPr>
      </w:pPr>
      <w:r>
        <w:rPr>
          <w:rFonts w:hint="eastAsia"/>
          <w:color w:val="000000" w:themeColor="text1"/>
          <w14:textFill>
            <w14:solidFill>
              <w14:schemeClr w14:val="tx1"/>
            </w14:solidFill>
          </w14:textFill>
        </w:rPr>
        <w:t>1、现有9号10号泊位场地平面布置</w:t>
      </w:r>
    </w:p>
    <w:p>
      <w:pPr>
        <w:pStyle w:val="283"/>
        <w:ind w:firstLine="462"/>
        <w:rPr>
          <w:color w:val="000000" w:themeColor="text1"/>
          <w14:textFill>
            <w14:solidFill>
              <w14:schemeClr w14:val="tx1"/>
            </w14:solidFill>
          </w14:textFill>
        </w:rPr>
      </w:pPr>
      <w:r>
        <w:rPr>
          <w:rFonts w:hint="eastAsia"/>
          <w:color w:val="000000" w:themeColor="text1"/>
          <w14:textFill>
            <w14:solidFill>
              <w14:schemeClr w14:val="tx1"/>
            </w14:solidFill>
          </w14:textFill>
        </w:rPr>
        <w:t>9号10号泊位</w:t>
      </w:r>
      <w:r>
        <w:rPr>
          <w:color w:val="000000" w:themeColor="text1"/>
          <w14:textFill>
            <w14:solidFill>
              <w14:schemeClr w14:val="tx1"/>
            </w14:solidFill>
          </w14:textFill>
        </w:rPr>
        <w:t>工程陆域建设面积为</w:t>
      </w:r>
      <w:r>
        <w:rPr>
          <w:rFonts w:hint="eastAsia"/>
          <w:color w:val="000000" w:themeColor="text1"/>
          <w14:textFill>
            <w14:solidFill>
              <w14:schemeClr w14:val="tx1"/>
            </w14:solidFill>
          </w14:textFill>
        </w:rPr>
        <w:t>63.2h</w:t>
      </w:r>
      <w:r>
        <w:rPr>
          <w:color w:val="000000" w:themeColor="text1"/>
          <w14:textFill>
            <w14:solidFill>
              <w14:schemeClr w14:val="tx1"/>
            </w14:solidFill>
          </w14:textFill>
        </w:rPr>
        <w:t>m</w:t>
      </w:r>
      <w:r>
        <w:rPr>
          <w:color w:val="000000" w:themeColor="text1"/>
          <w:vertAlign w:val="superscript"/>
          <w14:textFill>
            <w14:solidFill>
              <w14:schemeClr w14:val="tx1"/>
            </w14:solidFill>
          </w14:textFill>
        </w:rPr>
        <w:t>2</w:t>
      </w:r>
      <w:r>
        <w:rPr>
          <w:color w:val="000000" w:themeColor="text1"/>
          <w14:textFill>
            <w14:solidFill>
              <w14:schemeClr w14:val="tx1"/>
            </w14:solidFill>
          </w14:textFill>
        </w:rPr>
        <w:t>，陆域纵深807.5m，陆域使用高程为+6.6m。陆域按照使用功能划分，从码头前沿往后依次为码头前沿作业地带、重空集装箱堆场、堆场发展区，陆域纵深分别为120m、575m 和112.5m。</w:t>
      </w:r>
    </w:p>
    <w:p>
      <w:pPr>
        <w:pStyle w:val="283"/>
        <w:ind w:firstLine="462"/>
        <w:rPr>
          <w:color w:val="000000" w:themeColor="text1"/>
          <w14:textFill>
            <w14:solidFill>
              <w14:schemeClr w14:val="tx1"/>
            </w14:solidFill>
          </w14:textFill>
        </w:rPr>
      </w:pPr>
      <w:r>
        <w:rPr>
          <w:color w:val="000000" w:themeColor="text1"/>
          <w14:textFill>
            <w14:solidFill>
              <w14:schemeClr w14:val="tx1"/>
            </w14:solidFill>
          </w14:textFill>
        </w:rPr>
        <w:t>集装箱堆场采用堆场垂直于岸线布置形式，外集卡作业车道呈“U”型并和IGV 作业车道间隔布置的布置方案。集装箱堆场共布置13条自动化箱区，堆场总占地面积</w:t>
      </w:r>
      <w:r>
        <w:rPr>
          <w:rFonts w:hint="eastAsia"/>
          <w:color w:val="000000" w:themeColor="text1"/>
          <w14:textFill>
            <w14:solidFill>
              <w14:schemeClr w14:val="tx1"/>
            </w14:solidFill>
          </w14:textFill>
        </w:rPr>
        <w:t>35.5h</w:t>
      </w:r>
      <w:r>
        <w:rPr>
          <w:color w:val="000000" w:themeColor="text1"/>
          <w14:textFill>
            <w14:solidFill>
              <w14:schemeClr w14:val="tx1"/>
            </w14:solidFill>
          </w14:textFill>
        </w:rPr>
        <w:t>m</w:t>
      </w:r>
      <w:r>
        <w:rPr>
          <w:color w:val="000000" w:themeColor="text1"/>
          <w:vertAlign w:val="superscript"/>
          <w14:textFill>
            <w14:solidFill>
              <w14:schemeClr w14:val="tx1"/>
            </w14:solidFill>
          </w14:textFill>
        </w:rPr>
        <w:t>2</w:t>
      </w:r>
      <w:r>
        <w:rPr>
          <w:color w:val="000000" w:themeColor="text1"/>
          <w14:textFill>
            <w14:solidFill>
              <w14:schemeClr w14:val="tx1"/>
            </w14:solidFill>
          </w14:textFill>
        </w:rPr>
        <w:t>；其中重、空箱共用堆场，堆高6 层，冷藏箱堆场采用相对集中的布置方式，位于14号15号堆场区后方，堆高5 层。</w:t>
      </w:r>
    </w:p>
    <w:p>
      <w:pPr>
        <w:pStyle w:val="283"/>
        <w:ind w:firstLine="462"/>
        <w:rPr>
          <w:color w:val="000000" w:themeColor="text1"/>
          <w14:textFill>
            <w14:solidFill>
              <w14:schemeClr w14:val="tx1"/>
            </w14:solidFill>
          </w14:textFill>
        </w:rPr>
      </w:pPr>
      <w:r>
        <w:rPr>
          <w:color w:val="000000" w:themeColor="text1"/>
          <w14:textFill>
            <w14:solidFill>
              <w14:schemeClr w14:val="tx1"/>
            </w14:solidFill>
          </w14:textFill>
        </w:rPr>
        <w:t>生产、生活辅助区与7号8号泊位（与</w:t>
      </w:r>
      <w:r>
        <w:rPr>
          <w:rFonts w:hint="eastAsia"/>
          <w:color w:val="000000" w:themeColor="text1"/>
          <w14:textFill>
            <w14:solidFill>
              <w14:schemeClr w14:val="tx1"/>
            </w14:solidFill>
          </w14:textFill>
        </w:rPr>
        <w:t>9号10号泊位</w:t>
      </w:r>
      <w:r>
        <w:rPr>
          <w:color w:val="000000" w:themeColor="text1"/>
          <w14:textFill>
            <w14:solidFill>
              <w14:schemeClr w14:val="tx1"/>
            </w14:solidFill>
          </w14:textFill>
        </w:rPr>
        <w:t>同一运营单位）共用，纳入7号8号泊位工程范围，位于7号8号泊位北侧，布置有办公楼、食堂、宿舍、供水调节站、生产污水处理站、生活污水处理站、工具材料库、维修车间、变电所、危废仓库等生产、生活设施等。</w:t>
      </w:r>
    </w:p>
    <w:p>
      <w:pPr>
        <w:pStyle w:val="553"/>
        <w:numPr>
          <w:ilvl w:val="0"/>
          <w:numId w:val="0"/>
        </w:numPr>
        <w:rPr>
          <w:rFonts w:cs="Times New Roman"/>
          <w:color w:val="000000" w:themeColor="text1"/>
          <w14:textFill>
            <w14:solidFill>
              <w14:schemeClr w14:val="tx1"/>
            </w14:solidFill>
          </w14:textFill>
        </w:rPr>
      </w:pPr>
      <w:r>
        <w:rPr>
          <w:color w:val="000000" w:themeColor="text1"/>
          <w:lang w:bidi="ar-SA"/>
          <w14:textFill>
            <w14:solidFill>
              <w14:schemeClr w14:val="tx1"/>
            </w14:solidFill>
          </w14:textFill>
        </w:rPr>
        <mc:AlternateContent>
          <mc:Choice Requires="wps">
            <w:drawing>
              <wp:anchor distT="0" distB="0" distL="114300" distR="114300" simplePos="0" relativeHeight="251698176" behindDoc="0" locked="0" layoutInCell="1" allowOverlap="1">
                <wp:simplePos x="0" y="0"/>
                <wp:positionH relativeFrom="column">
                  <wp:posOffset>708025</wp:posOffset>
                </wp:positionH>
                <wp:positionV relativeFrom="paragraph">
                  <wp:posOffset>2214245</wp:posOffset>
                </wp:positionV>
                <wp:extent cx="4222115" cy="5080"/>
                <wp:effectExtent l="19050" t="19050" r="6985" b="33020"/>
                <wp:wrapNone/>
                <wp:docPr id="1507739621" name="直接连接符 1507739621"/>
                <wp:cNvGraphicFramePr/>
                <a:graphic xmlns:a="http://schemas.openxmlformats.org/drawingml/2006/main">
                  <a:graphicData uri="http://schemas.microsoft.com/office/word/2010/wordprocessingShape">
                    <wps:wsp>
                      <wps:cNvCnPr/>
                      <wps:spPr>
                        <a:xfrm flipV="1">
                          <a:off x="0" y="0"/>
                          <a:ext cx="4222170" cy="5080"/>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flip:y;margin-left:55.75pt;margin-top:174.35pt;height:0.4pt;width:332.45pt;z-index:251698176;mso-width-relative:page;mso-height-relative:page;" filled="f" stroked="t" coordsize="21600,21600" o:gfxdata="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">
                <v:fill on="f" focussize="0,0"/>
                <v:stroke weight="2.25pt" color="#FF0000 [3204]" miterlimit="8" joinstyle="miter"/>
                <v:imagedata o:title=""/>
                <o:lock v:ext="edit" aspectratio="f"/>
              </v:line>
            </w:pict>
          </mc:Fallback>
        </mc:AlternateContent>
      </w:r>
      <w:r>
        <w:rPr>
          <w:color w:val="000000" w:themeColor="text1"/>
          <w:lang w:bidi="ar-SA"/>
          <w14:textFill>
            <w14:solidFill>
              <w14:schemeClr w14:val="tx1"/>
            </w14:solidFill>
          </w14:textFill>
        </w:rPr>
        <mc:AlternateContent>
          <mc:Choice Requires="wps">
            <w:drawing>
              <wp:anchor distT="0" distB="0" distL="114300" distR="114300" simplePos="0" relativeHeight="251697152" behindDoc="0" locked="0" layoutInCell="1" allowOverlap="1">
                <wp:simplePos x="0" y="0"/>
                <wp:positionH relativeFrom="column">
                  <wp:posOffset>3850640</wp:posOffset>
                </wp:positionH>
                <wp:positionV relativeFrom="paragraph">
                  <wp:posOffset>619125</wp:posOffset>
                </wp:positionV>
                <wp:extent cx="1081405" cy="1595120"/>
                <wp:effectExtent l="19050" t="19050" r="23495" b="24130"/>
                <wp:wrapNone/>
                <wp:docPr id="1507739618" name="直接连接符 1507739618"/>
                <wp:cNvGraphicFramePr/>
                <a:graphic xmlns:a="http://schemas.openxmlformats.org/drawingml/2006/main">
                  <a:graphicData uri="http://schemas.microsoft.com/office/word/2010/wordprocessingShape">
                    <wps:wsp>
                      <wps:cNvCnPr/>
                      <wps:spPr>
                        <a:xfrm>
                          <a:off x="0" y="0"/>
                          <a:ext cx="1081543" cy="1595120"/>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303.2pt;margin-top:48.75pt;height:125.6pt;width:85.15pt;z-index:251697152;mso-width-relative:page;mso-height-relative:page;" filled="f" stroked="t" coordsize="21600,21600" o:gfxdata="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">
                <v:fill on="f" focussize="0,0"/>
                <v:stroke weight="2.25pt" color="#FF0000 [3204]" miterlimit="8" joinstyle="miter"/>
                <v:imagedata o:title=""/>
                <o:lock v:ext="edit" aspectratio="f"/>
              </v:line>
            </w:pict>
          </mc:Fallback>
        </mc:AlternateContent>
      </w:r>
      <w:r>
        <w:rPr>
          <w:color w:val="000000" w:themeColor="text1"/>
          <w:lang w:bidi="ar-SA"/>
          <w14:textFill>
            <w14:solidFill>
              <w14:schemeClr w14:val="tx1"/>
            </w14:solidFill>
          </w14:textFill>
        </w:rPr>
        <mc:AlternateContent>
          <mc:Choice Requires="wps">
            <w:drawing>
              <wp:anchor distT="0" distB="0" distL="114300" distR="114300" simplePos="0" relativeHeight="251696128" behindDoc="0" locked="0" layoutInCell="1" allowOverlap="1">
                <wp:simplePos x="0" y="0"/>
                <wp:positionH relativeFrom="column">
                  <wp:posOffset>1650365</wp:posOffset>
                </wp:positionH>
                <wp:positionV relativeFrom="paragraph">
                  <wp:posOffset>619125</wp:posOffset>
                </wp:positionV>
                <wp:extent cx="2198370" cy="0"/>
                <wp:effectExtent l="0" t="19050" r="11430" b="19050"/>
                <wp:wrapNone/>
                <wp:docPr id="1375757854" name="直接连接符 1375757854"/>
                <wp:cNvGraphicFramePr/>
                <a:graphic xmlns:a="http://schemas.openxmlformats.org/drawingml/2006/main">
                  <a:graphicData uri="http://schemas.microsoft.com/office/word/2010/wordprocessingShape">
                    <wps:wsp>
                      <wps:cNvCnPr/>
                      <wps:spPr>
                        <a:xfrm>
                          <a:off x="0" y="0"/>
                          <a:ext cx="2198425" cy="0"/>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129.95pt;margin-top:48.75pt;height:0pt;width:173.1pt;z-index:251696128;mso-width-relative:page;mso-height-relative:page;" filled="f" stroked="t" coordsize="21600,21600" o:gfxdata="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">
                <v:fill on="f" focussize="0,0"/>
                <v:stroke weight="2.25pt" color="#FF0000 [3204]" miterlimit="8" joinstyle="miter"/>
                <v:imagedata o:title=""/>
                <o:lock v:ext="edit" aspectratio="f"/>
              </v:line>
            </w:pict>
          </mc:Fallback>
        </mc:AlternateContent>
      </w:r>
      <w:r>
        <w:rPr>
          <w:color w:val="000000" w:themeColor="text1"/>
          <w:lang w:bidi="ar-SA"/>
          <w14:textFill>
            <w14:solidFill>
              <w14:schemeClr w14:val="tx1"/>
            </w14:solidFill>
          </w14:textFill>
        </w:rPr>
        <mc:AlternateContent>
          <mc:Choice Requires="wps">
            <w:drawing>
              <wp:anchor distT="0" distB="0" distL="114300" distR="114300" simplePos="0" relativeHeight="251695104" behindDoc="0" locked="0" layoutInCell="1" allowOverlap="1">
                <wp:simplePos x="0" y="0"/>
                <wp:positionH relativeFrom="column">
                  <wp:posOffset>705485</wp:posOffset>
                </wp:positionH>
                <wp:positionV relativeFrom="paragraph">
                  <wp:posOffset>618490</wp:posOffset>
                </wp:positionV>
                <wp:extent cx="942340" cy="1595120"/>
                <wp:effectExtent l="19050" t="19050" r="29210" b="24130"/>
                <wp:wrapNone/>
                <wp:docPr id="1375757843" name="直接连接符 1375757843"/>
                <wp:cNvGraphicFramePr/>
                <a:graphic xmlns:a="http://schemas.openxmlformats.org/drawingml/2006/main">
                  <a:graphicData uri="http://schemas.microsoft.com/office/word/2010/wordprocessingShape">
                    <wps:wsp>
                      <wps:cNvCnPr/>
                      <wps:spPr>
                        <a:xfrm flipH="1">
                          <a:off x="0" y="0"/>
                          <a:ext cx="942598" cy="159516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flip:x;margin-left:55.55pt;margin-top:48.7pt;height:125.6pt;width:74.2pt;z-index:251695104;mso-width-relative:page;mso-height-relative:page;" filled="f" stroked="t" coordsize="21600,21600" o:gfxdata="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">
                <v:fill on="f" focussize="0,0"/>
                <v:stroke weight="2.25pt" color="#FF0000 [3204]" miterlimit="8" joinstyle="miter"/>
                <v:imagedata o:title=""/>
                <o:lock v:ext="edit" aspectratio="f"/>
              </v:line>
            </w:pict>
          </mc:Fallback>
        </mc:AlternateContent>
      </w:r>
      <w:r>
        <w:rPr>
          <w:color w:val="000000" w:themeColor="text1"/>
          <w:lang w:bidi="ar-SA"/>
          <w14:textFill>
            <w14:solidFill>
              <w14:schemeClr w14:val="tx1"/>
            </w14:solidFill>
          </w14:textFill>
        </w:rPr>
        <w:drawing>
          <wp:inline distT="0" distB="0" distL="0" distR="0">
            <wp:extent cx="5098415" cy="2867025"/>
            <wp:effectExtent l="19050" t="19050" r="26035" b="28575"/>
            <wp:docPr id="19" name="图片 19" descr="C:\Users\yanni\AppData\Local\Temp\WeChat Files\1da24077487d06480f3189410d86c2f.jpg"/>
            <wp:cNvGraphicFramePr/>
            <a:graphic xmlns:a="http://schemas.openxmlformats.org/drawingml/2006/main">
              <a:graphicData uri="http://schemas.openxmlformats.org/drawingml/2006/picture">
                <pic:pic xmlns:pic="http://schemas.openxmlformats.org/drawingml/2006/picture">
                  <pic:nvPicPr>
                    <pic:cNvPr id="19" name="图片 19" descr="C:\Users\yanni\AppData\Local\Temp\WeChat Files\1da24077487d06480f3189410d86c2f.jpg"/>
                    <pic:cNvPicPr/>
                  </pic:nvPicPr>
                  <pic:blipFill>
                    <a:blip r:embed="rId42" cstate="print">
                      <a:extLst>
                        <a:ext uri="{28A0092B-C50C-407E-A947-70E740481C1C}">
                          <a14:useLocalDpi xmlns:a14="http://schemas.microsoft.com/office/drawing/2010/main" val="0"/>
                        </a:ext>
                      </a:extLst>
                    </a:blip>
                    <a:srcRect/>
                    <a:stretch>
                      <a:fillRect/>
                    </a:stretch>
                  </pic:blipFill>
                  <pic:spPr>
                    <a:xfrm>
                      <a:off x="0" y="0"/>
                      <a:ext cx="5098415" cy="2867025"/>
                    </a:xfrm>
                    <a:prstGeom prst="rect">
                      <a:avLst/>
                    </a:prstGeom>
                    <a:noFill/>
                    <a:ln>
                      <a:solidFill>
                        <a:schemeClr val="tx1"/>
                      </a:solidFill>
                    </a:ln>
                  </pic:spPr>
                </pic:pic>
              </a:graphicData>
            </a:graphic>
          </wp:inline>
        </w:drawing>
      </w:r>
    </w:p>
    <w:p>
      <w:pPr>
        <w:pStyle w:val="553"/>
        <w:rPr>
          <w:color w:val="000000" w:themeColor="text1"/>
          <w14:textFill>
            <w14:solidFill>
              <w14:schemeClr w14:val="tx1"/>
            </w14:solidFill>
          </w14:textFill>
        </w:rPr>
      </w:pPr>
      <w:r>
        <w:rPr>
          <w:rFonts w:hint="eastAsia"/>
          <w:color w:val="000000" w:themeColor="text1"/>
          <w14:textFill>
            <w14:solidFill>
              <w14:schemeClr w14:val="tx1"/>
            </w14:solidFill>
          </w14:textFill>
        </w:rPr>
        <w:t>9号10号泊位现有工程现状鸟瞰图</w:t>
      </w:r>
    </w:p>
    <w:p>
      <w:pPr>
        <w:pStyle w:val="283"/>
        <w:ind w:firstLine="462"/>
        <w:rPr>
          <w:color w:val="000000" w:themeColor="text1"/>
          <w14:textFill>
            <w14:solidFill>
              <w14:schemeClr w14:val="tx1"/>
            </w14:solidFill>
          </w14:textFill>
        </w:rPr>
      </w:pPr>
      <w:r>
        <w:rPr>
          <w:rFonts w:hint="eastAsia"/>
          <w:color w:val="000000" w:themeColor="text1"/>
          <w14:textFill>
            <w14:solidFill>
              <w14:schemeClr w14:val="tx1"/>
            </w14:solidFill>
          </w14:textFill>
        </w:rPr>
        <w:t>2、本次扩建已填海区域建设情况</w:t>
      </w:r>
    </w:p>
    <w:p>
      <w:pPr>
        <w:pStyle w:val="283"/>
        <w:ind w:firstLine="462"/>
        <w:rPr>
          <w:color w:val="000000" w:themeColor="text1"/>
          <w14:textFill>
            <w14:solidFill>
              <w14:schemeClr w14:val="tx1"/>
            </w14:solidFill>
          </w14:textFill>
        </w:rPr>
      </w:pPr>
      <w:r>
        <w:rPr>
          <w:color w:val="000000" w:themeColor="text1"/>
          <w14:textFill>
            <w14:solidFill>
              <w14:schemeClr w14:val="tx1"/>
            </w14:solidFill>
          </w14:textFill>
        </w:rPr>
        <w:t>本次扩建工程位于现有</w:t>
      </w:r>
      <w:r>
        <w:rPr>
          <w:rFonts w:hint="eastAsia"/>
          <w:color w:val="000000" w:themeColor="text1"/>
          <w14:textFill>
            <w14:solidFill>
              <w14:schemeClr w14:val="tx1"/>
            </w14:solidFill>
          </w14:textFill>
        </w:rPr>
        <w:t>9号10号泊位南侧，其中昊鼎仓储物流中心项目已填8.24hm</w:t>
      </w:r>
      <w:r>
        <w:rPr>
          <w:rFonts w:hint="eastAsia"/>
          <w:color w:val="000000" w:themeColor="text1"/>
          <w:vertAlign w:val="superscript"/>
          <w14:textFill>
            <w14:solidFill>
              <w14:schemeClr w14:val="tx1"/>
            </w14:solidFill>
          </w14:textFill>
        </w:rPr>
        <w:t>2</w:t>
      </w:r>
      <w:r>
        <w:rPr>
          <w:rFonts w:hint="eastAsia"/>
          <w:color w:val="000000" w:themeColor="text1"/>
          <w14:textFill>
            <w14:solidFill>
              <w14:schemeClr w14:val="tx1"/>
            </w14:solidFill>
          </w14:textFill>
        </w:rPr>
        <w:t>（图2.1-4中</w:t>
      </w:r>
      <w:r>
        <w:rPr>
          <w:rFonts w:hint="eastAsia" w:ascii="宋体" w:hAnsi="宋体"/>
          <w:color w:val="000000" w:themeColor="text1"/>
          <w14:textFill>
            <w14:solidFill>
              <w14:schemeClr w14:val="tx1"/>
            </w14:solidFill>
          </w14:textFill>
        </w:rPr>
        <w:t>⑤</w:t>
      </w:r>
      <w:r>
        <w:rPr>
          <w:rFonts w:hint="eastAsia"/>
          <w:color w:val="000000" w:themeColor="text1"/>
          <w14:textFill>
            <w14:solidFill>
              <w14:schemeClr w14:val="tx1"/>
            </w14:solidFill>
          </w14:textFill>
        </w:rPr>
        <w:t>）、钦州保税港区宏泰仓储项目已填2.49hm</w:t>
      </w:r>
      <w:r>
        <w:rPr>
          <w:rFonts w:hint="eastAsia"/>
          <w:color w:val="000000" w:themeColor="text1"/>
          <w:vertAlign w:val="superscript"/>
          <w14:textFill>
            <w14:solidFill>
              <w14:schemeClr w14:val="tx1"/>
            </w14:solidFill>
          </w14:textFill>
        </w:rPr>
        <w:t>2</w:t>
      </w:r>
      <w:r>
        <w:rPr>
          <w:rFonts w:hint="eastAsia"/>
          <w:color w:val="000000" w:themeColor="text1"/>
          <w14:textFill>
            <w14:solidFill>
              <w14:schemeClr w14:val="tx1"/>
            </w14:solidFill>
          </w14:textFill>
        </w:rPr>
        <w:t>。上述已填区域内为现有9号10号泊位建设时期原项目部，包含1处</w:t>
      </w:r>
      <w:r>
        <w:rPr>
          <w:rFonts w:hint="eastAsia"/>
          <w:color w:val="000000" w:themeColor="text1"/>
          <w:lang w:eastAsia="zh-CN"/>
          <w14:textFill>
            <w14:solidFill>
              <w14:schemeClr w14:val="tx1"/>
            </w14:solidFill>
          </w14:textFill>
        </w:rPr>
        <w:t>拌和站</w:t>
      </w:r>
      <w:r>
        <w:rPr>
          <w:rFonts w:hint="eastAsia"/>
          <w:color w:val="000000" w:themeColor="text1"/>
          <w14:textFill>
            <w14:solidFill>
              <w14:schemeClr w14:val="tx1"/>
            </w14:solidFill>
          </w14:textFill>
        </w:rPr>
        <w:t>及配套施工生产生活区域，权属为本项目建设单位广西钦州保税港区宏港码头有限公司，该项目部现已停用，</w:t>
      </w:r>
      <w:r>
        <w:rPr>
          <w:rFonts w:hint="eastAsia"/>
          <w:color w:val="000000" w:themeColor="text1"/>
          <w:lang w:eastAsia="zh-CN"/>
          <w14:textFill>
            <w14:solidFill>
              <w14:schemeClr w14:val="tx1"/>
            </w14:solidFill>
          </w14:textFill>
        </w:rPr>
        <w:t>拌和站</w:t>
      </w:r>
      <w:r>
        <w:rPr>
          <w:rFonts w:hint="eastAsia"/>
          <w:color w:val="000000" w:themeColor="text1"/>
          <w14:textFill>
            <w14:solidFill>
              <w14:schemeClr w14:val="tx1"/>
            </w14:solidFill>
          </w14:textFill>
        </w:rPr>
        <w:t>及施工生产生活区逐步拆除。场地内同时堆放现有9号10号泊位工程疏浚土石，可作为本次扩建工程依托围填海陆域土石进行回填。</w:t>
      </w:r>
    </w:p>
    <w:p>
      <w:pPr>
        <w:pStyle w:val="7"/>
      </w:pPr>
      <w:r>
        <w:drawing>
          <wp:inline distT="0" distB="0" distL="0" distR="0">
            <wp:extent cx="4307840" cy="3044825"/>
            <wp:effectExtent l="0" t="0" r="0" b="3175"/>
            <wp:docPr id="1507739622" name="图片 1507739622" descr="C:\Users\Dell\AppData\Local\Microsoft\Windows\INetCache\Content.Word\最终图件：9号10号泊位扩建工程宗海范围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7739622" name="图片 1507739622" descr="C:\Users\Dell\AppData\Local\Microsoft\Windows\INetCache\Content.Word\最终图件：9号10号泊位扩建工程宗海范围图.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a:xfrm>
                      <a:off x="0" y="0"/>
                      <a:ext cx="4320067" cy="3053777"/>
                    </a:xfrm>
                    <a:prstGeom prst="rect">
                      <a:avLst/>
                    </a:prstGeom>
                    <a:noFill/>
                    <a:ln>
                      <a:noFill/>
                    </a:ln>
                  </pic:spPr>
                </pic:pic>
              </a:graphicData>
            </a:graphic>
          </wp:inline>
        </w:drawing>
      </w:r>
    </w:p>
    <w:p>
      <w:pPr>
        <w:pStyle w:val="553"/>
        <w:rPr>
          <w:color w:val="000000" w:themeColor="text1"/>
          <w14:textFill>
            <w14:solidFill>
              <w14:schemeClr w14:val="tx1"/>
            </w14:solidFill>
          </w14:textFill>
        </w:rPr>
      </w:pPr>
      <w:r>
        <w:rPr>
          <w:rFonts w:hint="eastAsia"/>
          <w:color w:val="000000" w:themeColor="text1"/>
          <w14:textFill>
            <w14:solidFill>
              <w14:schemeClr w14:val="tx1"/>
            </w14:solidFill>
          </w14:textFill>
        </w:rPr>
        <w:t>本次扩建工程已填海区域示意图</w:t>
      </w:r>
    </w:p>
    <w:p>
      <w:pPr>
        <w:pStyle w:val="6"/>
        <w:rPr>
          <w:color w:val="000000" w:themeColor="text1"/>
          <w14:textFill>
            <w14:solidFill>
              <w14:schemeClr w14:val="tx1"/>
            </w14:solidFill>
          </w14:textFill>
        </w:rPr>
      </w:pPr>
      <w:r>
        <w:rPr>
          <w:color w:val="000000" w:themeColor="text1"/>
          <w14:textFill>
            <w14:solidFill>
              <w14:schemeClr w14:val="tx1"/>
            </w14:solidFill>
          </w14:textFill>
        </w:rPr>
        <w:t>到港</w:t>
      </w:r>
      <w:r>
        <w:rPr>
          <w:rFonts w:hint="eastAsia"/>
          <w:color w:val="000000" w:themeColor="text1"/>
          <w14:textFill>
            <w14:solidFill>
              <w14:schemeClr w14:val="tx1"/>
            </w14:solidFill>
          </w14:textFill>
        </w:rPr>
        <w:t>船型</w:t>
      </w:r>
    </w:p>
    <w:p>
      <w:pPr>
        <w:pStyle w:val="1856"/>
        <w:ind w:firstLine="462"/>
        <w:rPr>
          <w:color w:val="000000" w:themeColor="text1"/>
          <w14:textFill>
            <w14:solidFill>
              <w14:schemeClr w14:val="tx1"/>
            </w14:solidFill>
          </w14:textFill>
        </w:rPr>
      </w:pPr>
      <w:r>
        <w:rPr>
          <w:rFonts w:hint="eastAsia"/>
          <w:color w:val="000000" w:themeColor="text1"/>
          <w14:textFill>
            <w14:solidFill>
              <w14:schemeClr w14:val="tx1"/>
            </w14:solidFill>
          </w14:textFill>
        </w:rPr>
        <w:t>现有9号10号泊位到港船型如下表2.1-3。</w:t>
      </w:r>
    </w:p>
    <w:p>
      <w:pPr>
        <w:pStyle w:val="384"/>
        <w:ind w:left="0" w:firstLine="0"/>
        <w:rPr>
          <w:rFonts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到港</w:t>
      </w:r>
      <w:r>
        <w:rPr>
          <w:rFonts w:cs="Times New Roman"/>
          <w:color w:val="000000" w:themeColor="text1"/>
          <w14:textFill>
            <w14:solidFill>
              <w14:schemeClr w14:val="tx1"/>
            </w14:solidFill>
          </w14:textFill>
        </w:rPr>
        <w:t>船型主尺寸表</w:t>
      </w:r>
    </w:p>
    <w:tbl>
      <w:tblPr>
        <w:tblStyle w:val="89"/>
        <w:tblW w:w="8528" w:type="dxa"/>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2268"/>
        <w:gridCol w:w="1649"/>
        <w:gridCol w:w="1649"/>
        <w:gridCol w:w="1348"/>
        <w:gridCol w:w="1614"/>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blHeader/>
        </w:trPr>
        <w:tc>
          <w:tcPr>
            <w:tcW w:w="2268" w:type="dxa"/>
            <w:vAlign w:val="center"/>
          </w:tcPr>
          <w:p>
            <w:pPr>
              <w:autoSpaceDE w:val="0"/>
              <w:autoSpaceDN w:val="0"/>
              <w:adjustRightInd w:val="0"/>
              <w:snapToGrid w:val="0"/>
              <w:spacing w:line="276" w:lineRule="auto"/>
              <w:jc w:val="center"/>
              <w:rPr>
                <w:b/>
                <w:color w:val="000000" w:themeColor="text1"/>
                <w:kern w:val="0"/>
                <w:sz w:val="21"/>
                <w:szCs w:val="21"/>
                <w:lang w:val="zh-CN"/>
                <w14:textFill>
                  <w14:solidFill>
                    <w14:schemeClr w14:val="tx1"/>
                  </w14:solidFill>
                </w14:textFill>
              </w:rPr>
            </w:pPr>
            <w:r>
              <w:rPr>
                <w:b/>
                <w:color w:val="000000" w:themeColor="text1"/>
                <w:kern w:val="0"/>
                <w:sz w:val="21"/>
                <w:szCs w:val="21"/>
                <w:lang w:val="zh-CN"/>
                <w14:textFill>
                  <w14:solidFill>
                    <w14:schemeClr w14:val="tx1"/>
                  </w14:solidFill>
                </w14:textFill>
              </w:rPr>
              <w:t>船型</w:t>
            </w:r>
          </w:p>
        </w:tc>
        <w:tc>
          <w:tcPr>
            <w:tcW w:w="1649" w:type="dxa"/>
            <w:vAlign w:val="center"/>
          </w:tcPr>
          <w:p>
            <w:pPr>
              <w:autoSpaceDE w:val="0"/>
              <w:autoSpaceDN w:val="0"/>
              <w:adjustRightInd w:val="0"/>
              <w:snapToGrid w:val="0"/>
              <w:spacing w:line="276" w:lineRule="auto"/>
              <w:jc w:val="center"/>
              <w:rPr>
                <w:b/>
                <w:color w:val="000000" w:themeColor="text1"/>
                <w:kern w:val="0"/>
                <w:sz w:val="21"/>
                <w:szCs w:val="21"/>
                <w:lang w:val="zh-CN"/>
                <w14:textFill>
                  <w14:solidFill>
                    <w14:schemeClr w14:val="tx1"/>
                  </w14:solidFill>
                </w14:textFill>
              </w:rPr>
            </w:pPr>
            <w:r>
              <w:rPr>
                <w:b/>
                <w:color w:val="000000" w:themeColor="text1"/>
                <w:kern w:val="0"/>
                <w:sz w:val="21"/>
                <w:szCs w:val="21"/>
                <w:lang w:val="zh-CN"/>
                <w14:textFill>
                  <w14:solidFill>
                    <w14:schemeClr w14:val="tx1"/>
                  </w14:solidFill>
                </w14:textFill>
              </w:rPr>
              <w:t>总长L（m）</w:t>
            </w:r>
          </w:p>
        </w:tc>
        <w:tc>
          <w:tcPr>
            <w:tcW w:w="1649" w:type="dxa"/>
            <w:vAlign w:val="center"/>
          </w:tcPr>
          <w:p>
            <w:pPr>
              <w:autoSpaceDE w:val="0"/>
              <w:autoSpaceDN w:val="0"/>
              <w:adjustRightInd w:val="0"/>
              <w:snapToGrid w:val="0"/>
              <w:spacing w:line="276" w:lineRule="auto"/>
              <w:jc w:val="center"/>
              <w:rPr>
                <w:b/>
                <w:color w:val="000000" w:themeColor="text1"/>
                <w:kern w:val="0"/>
                <w:sz w:val="21"/>
                <w:szCs w:val="21"/>
                <w:lang w:val="zh-CN"/>
                <w14:textFill>
                  <w14:solidFill>
                    <w14:schemeClr w14:val="tx1"/>
                  </w14:solidFill>
                </w14:textFill>
              </w:rPr>
            </w:pPr>
            <w:r>
              <w:rPr>
                <w:b/>
                <w:color w:val="000000" w:themeColor="text1"/>
                <w:kern w:val="0"/>
                <w:sz w:val="21"/>
                <w:szCs w:val="21"/>
                <w:lang w:val="zh-CN"/>
                <w14:textFill>
                  <w14:solidFill>
                    <w14:schemeClr w14:val="tx1"/>
                  </w14:solidFill>
                </w14:textFill>
              </w:rPr>
              <w:t>型宽B（m）</w:t>
            </w:r>
          </w:p>
        </w:tc>
        <w:tc>
          <w:tcPr>
            <w:tcW w:w="1348" w:type="dxa"/>
            <w:vAlign w:val="center"/>
          </w:tcPr>
          <w:p>
            <w:pPr>
              <w:autoSpaceDE w:val="0"/>
              <w:autoSpaceDN w:val="0"/>
              <w:adjustRightInd w:val="0"/>
              <w:snapToGrid w:val="0"/>
              <w:spacing w:line="276" w:lineRule="auto"/>
              <w:jc w:val="center"/>
              <w:rPr>
                <w:b/>
                <w:color w:val="000000" w:themeColor="text1"/>
                <w:kern w:val="0"/>
                <w:sz w:val="21"/>
                <w:szCs w:val="21"/>
                <w:lang w:val="zh-CN"/>
                <w14:textFill>
                  <w14:solidFill>
                    <w14:schemeClr w14:val="tx1"/>
                  </w14:solidFill>
                </w14:textFill>
              </w:rPr>
            </w:pPr>
            <w:r>
              <w:rPr>
                <w:b/>
                <w:color w:val="000000" w:themeColor="text1"/>
                <w:kern w:val="0"/>
                <w:sz w:val="21"/>
                <w:szCs w:val="21"/>
                <w:lang w:val="zh-CN"/>
                <w14:textFill>
                  <w14:solidFill>
                    <w14:schemeClr w14:val="tx1"/>
                  </w14:solidFill>
                </w14:textFill>
              </w:rPr>
              <w:t>型深T（m）</w:t>
            </w:r>
          </w:p>
        </w:tc>
        <w:tc>
          <w:tcPr>
            <w:tcW w:w="1614" w:type="dxa"/>
            <w:vAlign w:val="center"/>
          </w:tcPr>
          <w:p>
            <w:pPr>
              <w:autoSpaceDE w:val="0"/>
              <w:autoSpaceDN w:val="0"/>
              <w:adjustRightInd w:val="0"/>
              <w:snapToGrid w:val="0"/>
              <w:spacing w:line="276" w:lineRule="auto"/>
              <w:jc w:val="center"/>
              <w:rPr>
                <w:b/>
                <w:color w:val="000000" w:themeColor="text1"/>
                <w:kern w:val="0"/>
                <w:sz w:val="21"/>
                <w:szCs w:val="21"/>
                <w:lang w:val="zh-CN"/>
                <w14:textFill>
                  <w14:solidFill>
                    <w14:schemeClr w14:val="tx1"/>
                  </w14:solidFill>
                </w14:textFill>
              </w:rPr>
            </w:pPr>
            <w:r>
              <w:rPr>
                <w:b/>
                <w:color w:val="000000" w:themeColor="text1"/>
                <w:kern w:val="0"/>
                <w:sz w:val="21"/>
                <w:szCs w:val="21"/>
                <w:lang w:val="zh-CN"/>
                <w14:textFill>
                  <w14:solidFill>
                    <w14:schemeClr w14:val="tx1"/>
                  </w14:solidFill>
                </w14:textFill>
              </w:rPr>
              <w:t>满载吃水（m）</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c>
          <w:tcPr>
            <w:tcW w:w="2268" w:type="dxa"/>
            <w:vAlign w:val="center"/>
          </w:tcPr>
          <w:p>
            <w:pPr>
              <w:autoSpaceDE w:val="0"/>
              <w:autoSpaceDN w:val="0"/>
              <w:adjustRightInd w:val="0"/>
              <w:snapToGrid w:val="0"/>
              <w:spacing w:line="276" w:lineRule="auto"/>
              <w:jc w:val="center"/>
              <w:rPr>
                <w:color w:val="000000" w:themeColor="text1"/>
                <w:kern w:val="0"/>
                <w:sz w:val="21"/>
                <w:szCs w:val="21"/>
                <w:lang w:val="zh-CN"/>
                <w14:textFill>
                  <w14:solidFill>
                    <w14:schemeClr w14:val="tx1"/>
                  </w14:solidFill>
                </w14:textFill>
              </w:rPr>
            </w:pPr>
            <w:r>
              <w:rPr>
                <w:color w:val="000000" w:themeColor="text1"/>
                <w:kern w:val="0"/>
                <w:sz w:val="21"/>
                <w:szCs w:val="21"/>
                <w:lang w:val="zh-CN"/>
                <w14:textFill>
                  <w14:solidFill>
                    <w14:schemeClr w14:val="tx1"/>
                  </w14:solidFill>
                </w14:textFill>
              </w:rPr>
              <w:t>10万吨级集装箱船</w:t>
            </w:r>
          </w:p>
        </w:tc>
        <w:tc>
          <w:tcPr>
            <w:tcW w:w="1649" w:type="dxa"/>
            <w:vAlign w:val="center"/>
          </w:tcPr>
          <w:p>
            <w:pPr>
              <w:autoSpaceDE w:val="0"/>
              <w:autoSpaceDN w:val="0"/>
              <w:adjustRightInd w:val="0"/>
              <w:snapToGrid w:val="0"/>
              <w:spacing w:line="276" w:lineRule="auto"/>
              <w:jc w:val="center"/>
              <w:rPr>
                <w:color w:val="000000" w:themeColor="text1"/>
                <w:kern w:val="0"/>
                <w:sz w:val="21"/>
                <w:szCs w:val="21"/>
                <w:lang w:val="zh-CN"/>
                <w14:textFill>
                  <w14:solidFill>
                    <w14:schemeClr w14:val="tx1"/>
                  </w14:solidFill>
                </w14:textFill>
              </w:rPr>
            </w:pPr>
            <w:r>
              <w:rPr>
                <w:color w:val="000000" w:themeColor="text1"/>
                <w:kern w:val="0"/>
                <w:sz w:val="21"/>
                <w:szCs w:val="21"/>
                <w:lang w:val="zh-CN"/>
                <w14:textFill>
                  <w14:solidFill>
                    <w14:schemeClr w14:val="tx1"/>
                  </w14:solidFill>
                </w14:textFill>
              </w:rPr>
              <w:t>346</w:t>
            </w:r>
          </w:p>
        </w:tc>
        <w:tc>
          <w:tcPr>
            <w:tcW w:w="1649" w:type="dxa"/>
            <w:vAlign w:val="center"/>
          </w:tcPr>
          <w:p>
            <w:pPr>
              <w:autoSpaceDE w:val="0"/>
              <w:autoSpaceDN w:val="0"/>
              <w:adjustRightInd w:val="0"/>
              <w:snapToGrid w:val="0"/>
              <w:spacing w:line="276" w:lineRule="auto"/>
              <w:jc w:val="center"/>
              <w:rPr>
                <w:color w:val="000000" w:themeColor="text1"/>
                <w:kern w:val="0"/>
                <w:sz w:val="21"/>
                <w:szCs w:val="21"/>
                <w:lang w:val="zh-CN"/>
                <w14:textFill>
                  <w14:solidFill>
                    <w14:schemeClr w14:val="tx1"/>
                  </w14:solidFill>
                </w14:textFill>
              </w:rPr>
            </w:pPr>
            <w:r>
              <w:rPr>
                <w:color w:val="000000" w:themeColor="text1"/>
                <w:kern w:val="0"/>
                <w:sz w:val="21"/>
                <w:szCs w:val="21"/>
                <w:lang w:val="zh-CN"/>
                <w14:textFill>
                  <w14:solidFill>
                    <w14:schemeClr w14:val="tx1"/>
                  </w14:solidFill>
                </w14:textFill>
              </w:rPr>
              <w:t>45.6</w:t>
            </w:r>
          </w:p>
        </w:tc>
        <w:tc>
          <w:tcPr>
            <w:tcW w:w="1348" w:type="dxa"/>
            <w:vAlign w:val="center"/>
          </w:tcPr>
          <w:p>
            <w:pPr>
              <w:autoSpaceDE w:val="0"/>
              <w:autoSpaceDN w:val="0"/>
              <w:adjustRightInd w:val="0"/>
              <w:snapToGrid w:val="0"/>
              <w:spacing w:line="276" w:lineRule="auto"/>
              <w:jc w:val="center"/>
              <w:rPr>
                <w:color w:val="000000" w:themeColor="text1"/>
                <w:kern w:val="0"/>
                <w:sz w:val="21"/>
                <w:szCs w:val="21"/>
                <w:lang w:val="zh-CN"/>
                <w14:textFill>
                  <w14:solidFill>
                    <w14:schemeClr w14:val="tx1"/>
                  </w14:solidFill>
                </w14:textFill>
              </w:rPr>
            </w:pPr>
            <w:r>
              <w:rPr>
                <w:color w:val="000000" w:themeColor="text1"/>
                <w:kern w:val="0"/>
                <w:sz w:val="21"/>
                <w:szCs w:val="21"/>
                <w:lang w:val="zh-CN"/>
                <w14:textFill>
                  <w14:solidFill>
                    <w14:schemeClr w14:val="tx1"/>
                  </w14:solidFill>
                </w14:textFill>
              </w:rPr>
              <w:t>24.8</w:t>
            </w:r>
          </w:p>
        </w:tc>
        <w:tc>
          <w:tcPr>
            <w:tcW w:w="1614" w:type="dxa"/>
            <w:vAlign w:val="center"/>
          </w:tcPr>
          <w:p>
            <w:pPr>
              <w:autoSpaceDE w:val="0"/>
              <w:autoSpaceDN w:val="0"/>
              <w:adjustRightInd w:val="0"/>
              <w:snapToGrid w:val="0"/>
              <w:spacing w:line="276" w:lineRule="auto"/>
              <w:jc w:val="center"/>
              <w:rPr>
                <w:color w:val="000000" w:themeColor="text1"/>
                <w:kern w:val="0"/>
                <w:sz w:val="21"/>
                <w:szCs w:val="21"/>
                <w:lang w:val="zh-CN"/>
                <w14:textFill>
                  <w14:solidFill>
                    <w14:schemeClr w14:val="tx1"/>
                  </w14:solidFill>
                </w14:textFill>
              </w:rPr>
            </w:pPr>
            <w:r>
              <w:rPr>
                <w:color w:val="000000" w:themeColor="text1"/>
                <w:kern w:val="0"/>
                <w:sz w:val="21"/>
                <w:szCs w:val="21"/>
                <w:lang w:val="zh-CN"/>
                <w14:textFill>
                  <w14:solidFill>
                    <w14:schemeClr w14:val="tx1"/>
                  </w14:solidFill>
                </w14:textFill>
              </w:rPr>
              <w:t>14.5</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c>
          <w:tcPr>
            <w:tcW w:w="2268" w:type="dxa"/>
            <w:vAlign w:val="center"/>
          </w:tcPr>
          <w:p>
            <w:pPr>
              <w:autoSpaceDE w:val="0"/>
              <w:autoSpaceDN w:val="0"/>
              <w:adjustRightInd w:val="0"/>
              <w:snapToGrid w:val="0"/>
              <w:spacing w:line="276" w:lineRule="auto"/>
              <w:jc w:val="center"/>
              <w:rPr>
                <w:color w:val="000000" w:themeColor="text1"/>
                <w:kern w:val="0"/>
                <w:sz w:val="21"/>
                <w:szCs w:val="21"/>
                <w:lang w:val="zh-CN"/>
                <w14:textFill>
                  <w14:solidFill>
                    <w14:schemeClr w14:val="tx1"/>
                  </w14:solidFill>
                </w14:textFill>
              </w:rPr>
            </w:pPr>
            <w:r>
              <w:rPr>
                <w:color w:val="000000" w:themeColor="text1"/>
                <w:kern w:val="0"/>
                <w:sz w:val="21"/>
                <w:szCs w:val="21"/>
                <w:lang w:val="zh-CN"/>
                <w14:textFill>
                  <w14:solidFill>
                    <w14:schemeClr w14:val="tx1"/>
                  </w14:solidFill>
                </w14:textFill>
              </w:rPr>
              <w:t>7万吨级集装箱船</w:t>
            </w:r>
          </w:p>
        </w:tc>
        <w:tc>
          <w:tcPr>
            <w:tcW w:w="1649" w:type="dxa"/>
            <w:vAlign w:val="center"/>
          </w:tcPr>
          <w:p>
            <w:pPr>
              <w:autoSpaceDE w:val="0"/>
              <w:autoSpaceDN w:val="0"/>
              <w:adjustRightInd w:val="0"/>
              <w:snapToGrid w:val="0"/>
              <w:spacing w:line="276" w:lineRule="auto"/>
              <w:jc w:val="center"/>
              <w:rPr>
                <w:color w:val="000000" w:themeColor="text1"/>
                <w:kern w:val="0"/>
                <w:sz w:val="21"/>
                <w:szCs w:val="21"/>
                <w:lang w:val="zh-CN"/>
                <w14:textFill>
                  <w14:solidFill>
                    <w14:schemeClr w14:val="tx1"/>
                  </w14:solidFill>
                </w14:textFill>
              </w:rPr>
            </w:pPr>
            <w:r>
              <w:rPr>
                <w:color w:val="000000" w:themeColor="text1"/>
                <w:kern w:val="0"/>
                <w:sz w:val="21"/>
                <w:szCs w:val="21"/>
                <w:lang w:val="zh-CN"/>
                <w14:textFill>
                  <w14:solidFill>
                    <w14:schemeClr w14:val="tx1"/>
                  </w14:solidFill>
                </w14:textFill>
              </w:rPr>
              <w:t>300</w:t>
            </w:r>
          </w:p>
        </w:tc>
        <w:tc>
          <w:tcPr>
            <w:tcW w:w="1649" w:type="dxa"/>
            <w:vAlign w:val="center"/>
          </w:tcPr>
          <w:p>
            <w:pPr>
              <w:autoSpaceDE w:val="0"/>
              <w:autoSpaceDN w:val="0"/>
              <w:adjustRightInd w:val="0"/>
              <w:snapToGrid w:val="0"/>
              <w:spacing w:line="276" w:lineRule="auto"/>
              <w:jc w:val="center"/>
              <w:rPr>
                <w:color w:val="000000" w:themeColor="text1"/>
                <w:kern w:val="0"/>
                <w:sz w:val="21"/>
                <w:szCs w:val="21"/>
                <w:lang w:val="zh-CN"/>
                <w14:textFill>
                  <w14:solidFill>
                    <w14:schemeClr w14:val="tx1"/>
                  </w14:solidFill>
                </w14:textFill>
              </w:rPr>
            </w:pPr>
            <w:r>
              <w:rPr>
                <w:color w:val="000000" w:themeColor="text1"/>
                <w:kern w:val="0"/>
                <w:sz w:val="21"/>
                <w:szCs w:val="21"/>
                <w:lang w:val="zh-CN"/>
                <w14:textFill>
                  <w14:solidFill>
                    <w14:schemeClr w14:val="tx1"/>
                  </w14:solidFill>
                </w14:textFill>
              </w:rPr>
              <w:t>40.3</w:t>
            </w:r>
          </w:p>
        </w:tc>
        <w:tc>
          <w:tcPr>
            <w:tcW w:w="1348" w:type="dxa"/>
            <w:vAlign w:val="center"/>
          </w:tcPr>
          <w:p>
            <w:pPr>
              <w:autoSpaceDE w:val="0"/>
              <w:autoSpaceDN w:val="0"/>
              <w:adjustRightInd w:val="0"/>
              <w:snapToGrid w:val="0"/>
              <w:spacing w:line="276" w:lineRule="auto"/>
              <w:jc w:val="center"/>
              <w:rPr>
                <w:color w:val="000000" w:themeColor="text1"/>
                <w:kern w:val="0"/>
                <w:sz w:val="21"/>
                <w:szCs w:val="21"/>
                <w:lang w:val="zh-CN"/>
                <w14:textFill>
                  <w14:solidFill>
                    <w14:schemeClr w14:val="tx1"/>
                  </w14:solidFill>
                </w14:textFill>
              </w:rPr>
            </w:pPr>
            <w:r>
              <w:rPr>
                <w:color w:val="000000" w:themeColor="text1"/>
                <w:kern w:val="0"/>
                <w:sz w:val="21"/>
                <w:szCs w:val="21"/>
                <w:lang w:val="zh-CN"/>
                <w14:textFill>
                  <w14:solidFill>
                    <w14:schemeClr w14:val="tx1"/>
                  </w14:solidFill>
                </w14:textFill>
              </w:rPr>
              <w:t>24.3</w:t>
            </w:r>
          </w:p>
        </w:tc>
        <w:tc>
          <w:tcPr>
            <w:tcW w:w="1614" w:type="dxa"/>
            <w:vAlign w:val="center"/>
          </w:tcPr>
          <w:p>
            <w:pPr>
              <w:autoSpaceDE w:val="0"/>
              <w:autoSpaceDN w:val="0"/>
              <w:adjustRightInd w:val="0"/>
              <w:snapToGrid w:val="0"/>
              <w:spacing w:line="276" w:lineRule="auto"/>
              <w:jc w:val="center"/>
              <w:rPr>
                <w:color w:val="000000" w:themeColor="text1"/>
                <w:kern w:val="0"/>
                <w:sz w:val="21"/>
                <w:szCs w:val="21"/>
                <w:lang w:val="zh-CN"/>
                <w14:textFill>
                  <w14:solidFill>
                    <w14:schemeClr w14:val="tx1"/>
                  </w14:solidFill>
                </w14:textFill>
              </w:rPr>
            </w:pPr>
            <w:r>
              <w:rPr>
                <w:color w:val="000000" w:themeColor="text1"/>
                <w:kern w:val="0"/>
                <w:sz w:val="21"/>
                <w:szCs w:val="21"/>
                <w:lang w:val="zh-CN"/>
                <w14:textFill>
                  <w14:solidFill>
                    <w14:schemeClr w14:val="tx1"/>
                  </w14:solidFill>
                </w14:textFill>
              </w:rPr>
              <w:t>14</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c>
          <w:tcPr>
            <w:tcW w:w="2268" w:type="dxa"/>
            <w:vAlign w:val="center"/>
          </w:tcPr>
          <w:p>
            <w:pPr>
              <w:autoSpaceDE w:val="0"/>
              <w:autoSpaceDN w:val="0"/>
              <w:adjustRightInd w:val="0"/>
              <w:snapToGrid w:val="0"/>
              <w:spacing w:line="276" w:lineRule="auto"/>
              <w:jc w:val="center"/>
              <w:rPr>
                <w:color w:val="000000" w:themeColor="text1"/>
                <w:kern w:val="0"/>
                <w:sz w:val="21"/>
                <w:szCs w:val="21"/>
                <w:lang w:val="zh-CN"/>
                <w14:textFill>
                  <w14:solidFill>
                    <w14:schemeClr w14:val="tx1"/>
                  </w14:solidFill>
                </w14:textFill>
              </w:rPr>
            </w:pPr>
            <w:r>
              <w:rPr>
                <w:color w:val="000000" w:themeColor="text1"/>
                <w:kern w:val="0"/>
                <w:sz w:val="21"/>
                <w:szCs w:val="21"/>
                <w:lang w:val="zh-CN"/>
                <w14:textFill>
                  <w14:solidFill>
                    <w14:schemeClr w14:val="tx1"/>
                  </w14:solidFill>
                </w14:textFill>
              </w:rPr>
              <w:t>5万吨级集装箱船</w:t>
            </w:r>
          </w:p>
        </w:tc>
        <w:tc>
          <w:tcPr>
            <w:tcW w:w="1649" w:type="dxa"/>
            <w:vAlign w:val="center"/>
          </w:tcPr>
          <w:p>
            <w:pPr>
              <w:autoSpaceDE w:val="0"/>
              <w:autoSpaceDN w:val="0"/>
              <w:adjustRightInd w:val="0"/>
              <w:snapToGrid w:val="0"/>
              <w:spacing w:line="276" w:lineRule="auto"/>
              <w:jc w:val="center"/>
              <w:rPr>
                <w:color w:val="000000" w:themeColor="text1"/>
                <w:kern w:val="0"/>
                <w:sz w:val="21"/>
                <w:szCs w:val="21"/>
                <w:lang w:val="zh-CN"/>
                <w14:textFill>
                  <w14:solidFill>
                    <w14:schemeClr w14:val="tx1"/>
                  </w14:solidFill>
                </w14:textFill>
              </w:rPr>
            </w:pPr>
            <w:r>
              <w:rPr>
                <w:color w:val="000000" w:themeColor="text1"/>
                <w:kern w:val="0"/>
                <w:sz w:val="21"/>
                <w:szCs w:val="21"/>
                <w:lang w:val="zh-CN"/>
                <w14:textFill>
                  <w14:solidFill>
                    <w14:schemeClr w14:val="tx1"/>
                  </w14:solidFill>
                </w14:textFill>
              </w:rPr>
              <w:t>293</w:t>
            </w:r>
          </w:p>
        </w:tc>
        <w:tc>
          <w:tcPr>
            <w:tcW w:w="1649" w:type="dxa"/>
            <w:vAlign w:val="center"/>
          </w:tcPr>
          <w:p>
            <w:pPr>
              <w:autoSpaceDE w:val="0"/>
              <w:autoSpaceDN w:val="0"/>
              <w:adjustRightInd w:val="0"/>
              <w:snapToGrid w:val="0"/>
              <w:spacing w:line="276" w:lineRule="auto"/>
              <w:jc w:val="center"/>
              <w:rPr>
                <w:color w:val="000000" w:themeColor="text1"/>
                <w:kern w:val="0"/>
                <w:sz w:val="21"/>
                <w:szCs w:val="21"/>
                <w:lang w:val="zh-CN"/>
                <w14:textFill>
                  <w14:solidFill>
                    <w14:schemeClr w14:val="tx1"/>
                  </w14:solidFill>
                </w14:textFill>
              </w:rPr>
            </w:pPr>
            <w:r>
              <w:rPr>
                <w:color w:val="000000" w:themeColor="text1"/>
                <w:kern w:val="0"/>
                <w:sz w:val="21"/>
                <w:szCs w:val="21"/>
                <w:lang w:val="zh-CN"/>
                <w14:textFill>
                  <w14:solidFill>
                    <w14:schemeClr w14:val="tx1"/>
                  </w14:solidFill>
                </w14:textFill>
              </w:rPr>
              <w:t>32.3</w:t>
            </w:r>
          </w:p>
        </w:tc>
        <w:tc>
          <w:tcPr>
            <w:tcW w:w="1348" w:type="dxa"/>
            <w:vAlign w:val="center"/>
          </w:tcPr>
          <w:p>
            <w:pPr>
              <w:autoSpaceDE w:val="0"/>
              <w:autoSpaceDN w:val="0"/>
              <w:adjustRightInd w:val="0"/>
              <w:snapToGrid w:val="0"/>
              <w:spacing w:line="276" w:lineRule="auto"/>
              <w:jc w:val="center"/>
              <w:rPr>
                <w:color w:val="000000" w:themeColor="text1"/>
                <w:kern w:val="0"/>
                <w:sz w:val="21"/>
                <w:szCs w:val="21"/>
                <w:lang w:val="zh-CN"/>
                <w14:textFill>
                  <w14:solidFill>
                    <w14:schemeClr w14:val="tx1"/>
                  </w14:solidFill>
                </w14:textFill>
              </w:rPr>
            </w:pPr>
            <w:r>
              <w:rPr>
                <w:color w:val="000000" w:themeColor="text1"/>
                <w:kern w:val="0"/>
                <w:sz w:val="21"/>
                <w:szCs w:val="21"/>
                <w:lang w:val="zh-CN"/>
                <w14:textFill>
                  <w14:solidFill>
                    <w14:schemeClr w14:val="tx1"/>
                  </w14:solidFill>
                </w14:textFill>
              </w:rPr>
              <w:t>21.8</w:t>
            </w:r>
          </w:p>
        </w:tc>
        <w:tc>
          <w:tcPr>
            <w:tcW w:w="1614" w:type="dxa"/>
            <w:vAlign w:val="center"/>
          </w:tcPr>
          <w:p>
            <w:pPr>
              <w:autoSpaceDE w:val="0"/>
              <w:autoSpaceDN w:val="0"/>
              <w:adjustRightInd w:val="0"/>
              <w:snapToGrid w:val="0"/>
              <w:spacing w:line="276" w:lineRule="auto"/>
              <w:jc w:val="center"/>
              <w:rPr>
                <w:color w:val="000000" w:themeColor="text1"/>
                <w:kern w:val="0"/>
                <w:sz w:val="21"/>
                <w:szCs w:val="21"/>
                <w:lang w:val="zh-CN"/>
                <w14:textFill>
                  <w14:solidFill>
                    <w14:schemeClr w14:val="tx1"/>
                  </w14:solidFill>
                </w14:textFill>
              </w:rPr>
            </w:pPr>
            <w:r>
              <w:rPr>
                <w:color w:val="000000" w:themeColor="text1"/>
                <w:kern w:val="0"/>
                <w:sz w:val="21"/>
                <w:szCs w:val="21"/>
                <w:lang w:val="zh-CN"/>
                <w14:textFill>
                  <w14:solidFill>
                    <w14:schemeClr w14:val="tx1"/>
                  </w14:solidFill>
                </w14:textFill>
              </w:rPr>
              <w:t>13</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c>
          <w:tcPr>
            <w:tcW w:w="2268" w:type="dxa"/>
            <w:vAlign w:val="center"/>
          </w:tcPr>
          <w:p>
            <w:pPr>
              <w:autoSpaceDE w:val="0"/>
              <w:autoSpaceDN w:val="0"/>
              <w:adjustRightInd w:val="0"/>
              <w:snapToGrid w:val="0"/>
              <w:spacing w:line="276" w:lineRule="auto"/>
              <w:jc w:val="center"/>
              <w:rPr>
                <w:color w:val="000000" w:themeColor="text1"/>
                <w:kern w:val="0"/>
                <w:sz w:val="21"/>
                <w:szCs w:val="21"/>
                <w:lang w:val="zh-CN"/>
                <w14:textFill>
                  <w14:solidFill>
                    <w14:schemeClr w14:val="tx1"/>
                  </w14:solidFill>
                </w14:textFill>
              </w:rPr>
            </w:pPr>
            <w:r>
              <w:rPr>
                <w:color w:val="000000" w:themeColor="text1"/>
                <w:kern w:val="0"/>
                <w:sz w:val="21"/>
                <w:szCs w:val="21"/>
                <w:lang w:val="zh-CN"/>
                <w14:textFill>
                  <w14:solidFill>
                    <w14:schemeClr w14:val="tx1"/>
                  </w14:solidFill>
                </w14:textFill>
              </w:rPr>
              <w:t>3万吨级集装箱船</w:t>
            </w:r>
          </w:p>
        </w:tc>
        <w:tc>
          <w:tcPr>
            <w:tcW w:w="1649" w:type="dxa"/>
            <w:vAlign w:val="center"/>
          </w:tcPr>
          <w:p>
            <w:pPr>
              <w:autoSpaceDE w:val="0"/>
              <w:autoSpaceDN w:val="0"/>
              <w:adjustRightInd w:val="0"/>
              <w:snapToGrid w:val="0"/>
              <w:spacing w:line="276" w:lineRule="auto"/>
              <w:jc w:val="center"/>
              <w:rPr>
                <w:color w:val="000000" w:themeColor="text1"/>
                <w:kern w:val="0"/>
                <w:sz w:val="21"/>
                <w:szCs w:val="21"/>
                <w:lang w:val="zh-CN"/>
                <w14:textFill>
                  <w14:solidFill>
                    <w14:schemeClr w14:val="tx1"/>
                  </w14:solidFill>
                </w14:textFill>
              </w:rPr>
            </w:pPr>
            <w:r>
              <w:rPr>
                <w:color w:val="000000" w:themeColor="text1"/>
                <w:kern w:val="0"/>
                <w:sz w:val="21"/>
                <w:szCs w:val="21"/>
                <w:lang w:val="zh-CN"/>
                <w14:textFill>
                  <w14:solidFill>
                    <w14:schemeClr w14:val="tx1"/>
                  </w14:solidFill>
                </w14:textFill>
              </w:rPr>
              <w:t>241</w:t>
            </w:r>
          </w:p>
        </w:tc>
        <w:tc>
          <w:tcPr>
            <w:tcW w:w="1649" w:type="dxa"/>
            <w:vAlign w:val="center"/>
          </w:tcPr>
          <w:p>
            <w:pPr>
              <w:autoSpaceDE w:val="0"/>
              <w:autoSpaceDN w:val="0"/>
              <w:adjustRightInd w:val="0"/>
              <w:snapToGrid w:val="0"/>
              <w:spacing w:line="276" w:lineRule="auto"/>
              <w:jc w:val="center"/>
              <w:rPr>
                <w:color w:val="000000" w:themeColor="text1"/>
                <w:kern w:val="0"/>
                <w:sz w:val="21"/>
                <w:szCs w:val="21"/>
                <w:lang w:val="zh-CN"/>
                <w14:textFill>
                  <w14:solidFill>
                    <w14:schemeClr w14:val="tx1"/>
                  </w14:solidFill>
                </w14:textFill>
              </w:rPr>
            </w:pPr>
            <w:r>
              <w:rPr>
                <w:color w:val="000000" w:themeColor="text1"/>
                <w:kern w:val="0"/>
                <w:sz w:val="21"/>
                <w:szCs w:val="21"/>
                <w:lang w:val="zh-CN"/>
                <w14:textFill>
                  <w14:solidFill>
                    <w14:schemeClr w14:val="tx1"/>
                  </w14:solidFill>
                </w14:textFill>
              </w:rPr>
              <w:t>32.3</w:t>
            </w:r>
          </w:p>
        </w:tc>
        <w:tc>
          <w:tcPr>
            <w:tcW w:w="1348" w:type="dxa"/>
            <w:vAlign w:val="center"/>
          </w:tcPr>
          <w:p>
            <w:pPr>
              <w:autoSpaceDE w:val="0"/>
              <w:autoSpaceDN w:val="0"/>
              <w:adjustRightInd w:val="0"/>
              <w:snapToGrid w:val="0"/>
              <w:spacing w:line="276" w:lineRule="auto"/>
              <w:jc w:val="center"/>
              <w:rPr>
                <w:color w:val="000000" w:themeColor="text1"/>
                <w:kern w:val="0"/>
                <w:sz w:val="21"/>
                <w:szCs w:val="21"/>
                <w:lang w:val="zh-CN"/>
                <w14:textFill>
                  <w14:solidFill>
                    <w14:schemeClr w14:val="tx1"/>
                  </w14:solidFill>
                </w14:textFill>
              </w:rPr>
            </w:pPr>
            <w:r>
              <w:rPr>
                <w:color w:val="000000" w:themeColor="text1"/>
                <w:kern w:val="0"/>
                <w:sz w:val="21"/>
                <w:szCs w:val="21"/>
                <w:lang w:val="zh-CN"/>
                <w14:textFill>
                  <w14:solidFill>
                    <w14:schemeClr w14:val="tx1"/>
                  </w14:solidFill>
                </w14:textFill>
              </w:rPr>
              <w:t>19</w:t>
            </w:r>
          </w:p>
        </w:tc>
        <w:tc>
          <w:tcPr>
            <w:tcW w:w="1614" w:type="dxa"/>
            <w:vAlign w:val="center"/>
          </w:tcPr>
          <w:p>
            <w:pPr>
              <w:autoSpaceDE w:val="0"/>
              <w:autoSpaceDN w:val="0"/>
              <w:adjustRightInd w:val="0"/>
              <w:snapToGrid w:val="0"/>
              <w:spacing w:line="276" w:lineRule="auto"/>
              <w:jc w:val="center"/>
              <w:rPr>
                <w:color w:val="000000" w:themeColor="text1"/>
                <w:kern w:val="0"/>
                <w:sz w:val="21"/>
                <w:szCs w:val="21"/>
                <w:lang w:val="zh-CN"/>
                <w14:textFill>
                  <w14:solidFill>
                    <w14:schemeClr w14:val="tx1"/>
                  </w14:solidFill>
                </w14:textFill>
              </w:rPr>
            </w:pPr>
            <w:r>
              <w:rPr>
                <w:color w:val="000000" w:themeColor="text1"/>
                <w:kern w:val="0"/>
                <w:sz w:val="21"/>
                <w:szCs w:val="21"/>
                <w:lang w:val="zh-CN"/>
                <w14:textFill>
                  <w14:solidFill>
                    <w14:schemeClr w14:val="tx1"/>
                  </w14:solidFill>
                </w14:textFill>
              </w:rPr>
              <w:t>12</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c>
          <w:tcPr>
            <w:tcW w:w="2268" w:type="dxa"/>
            <w:vAlign w:val="center"/>
          </w:tcPr>
          <w:p>
            <w:pPr>
              <w:autoSpaceDE w:val="0"/>
              <w:autoSpaceDN w:val="0"/>
              <w:adjustRightInd w:val="0"/>
              <w:snapToGrid w:val="0"/>
              <w:spacing w:line="276" w:lineRule="auto"/>
              <w:jc w:val="center"/>
              <w:rPr>
                <w:color w:val="000000" w:themeColor="text1"/>
                <w:kern w:val="0"/>
                <w:sz w:val="21"/>
                <w:szCs w:val="21"/>
                <w:lang w:val="zh-CN"/>
                <w14:textFill>
                  <w14:solidFill>
                    <w14:schemeClr w14:val="tx1"/>
                  </w14:solidFill>
                </w14:textFill>
              </w:rPr>
            </w:pPr>
            <w:r>
              <w:rPr>
                <w:color w:val="000000" w:themeColor="text1"/>
                <w:kern w:val="0"/>
                <w:sz w:val="21"/>
                <w:szCs w:val="21"/>
                <w:lang w:val="zh-CN"/>
                <w14:textFill>
                  <w14:solidFill>
                    <w14:schemeClr w14:val="tx1"/>
                  </w14:solidFill>
                </w14:textFill>
              </w:rPr>
              <w:t>2万吨级集装箱船</w:t>
            </w:r>
          </w:p>
        </w:tc>
        <w:tc>
          <w:tcPr>
            <w:tcW w:w="1649" w:type="dxa"/>
            <w:vAlign w:val="center"/>
          </w:tcPr>
          <w:p>
            <w:pPr>
              <w:autoSpaceDE w:val="0"/>
              <w:autoSpaceDN w:val="0"/>
              <w:adjustRightInd w:val="0"/>
              <w:snapToGrid w:val="0"/>
              <w:spacing w:line="276" w:lineRule="auto"/>
              <w:jc w:val="center"/>
              <w:rPr>
                <w:color w:val="000000" w:themeColor="text1"/>
                <w:kern w:val="0"/>
                <w:sz w:val="21"/>
                <w:szCs w:val="21"/>
                <w:lang w:val="zh-CN"/>
                <w14:textFill>
                  <w14:solidFill>
                    <w14:schemeClr w14:val="tx1"/>
                  </w14:solidFill>
                </w14:textFill>
              </w:rPr>
            </w:pPr>
            <w:r>
              <w:rPr>
                <w:color w:val="000000" w:themeColor="text1"/>
                <w:kern w:val="0"/>
                <w:sz w:val="21"/>
                <w:szCs w:val="21"/>
                <w:lang w:val="zh-CN"/>
                <w14:textFill>
                  <w14:solidFill>
                    <w14:schemeClr w14:val="tx1"/>
                  </w14:solidFill>
                </w14:textFill>
              </w:rPr>
              <w:t>183</w:t>
            </w:r>
          </w:p>
        </w:tc>
        <w:tc>
          <w:tcPr>
            <w:tcW w:w="1649" w:type="dxa"/>
            <w:vAlign w:val="center"/>
          </w:tcPr>
          <w:p>
            <w:pPr>
              <w:autoSpaceDE w:val="0"/>
              <w:autoSpaceDN w:val="0"/>
              <w:adjustRightInd w:val="0"/>
              <w:snapToGrid w:val="0"/>
              <w:spacing w:line="276" w:lineRule="auto"/>
              <w:jc w:val="center"/>
              <w:rPr>
                <w:color w:val="000000" w:themeColor="text1"/>
                <w:kern w:val="0"/>
                <w:sz w:val="21"/>
                <w:szCs w:val="21"/>
                <w:lang w:val="zh-CN"/>
                <w14:textFill>
                  <w14:solidFill>
                    <w14:schemeClr w14:val="tx1"/>
                  </w14:solidFill>
                </w14:textFill>
              </w:rPr>
            </w:pPr>
            <w:r>
              <w:rPr>
                <w:color w:val="000000" w:themeColor="text1"/>
                <w:kern w:val="0"/>
                <w:sz w:val="21"/>
                <w:szCs w:val="21"/>
                <w:lang w:val="zh-CN"/>
                <w14:textFill>
                  <w14:solidFill>
                    <w14:schemeClr w14:val="tx1"/>
                  </w14:solidFill>
                </w14:textFill>
              </w:rPr>
              <w:t>27.6</w:t>
            </w:r>
          </w:p>
        </w:tc>
        <w:tc>
          <w:tcPr>
            <w:tcW w:w="1348" w:type="dxa"/>
            <w:vAlign w:val="center"/>
          </w:tcPr>
          <w:p>
            <w:pPr>
              <w:autoSpaceDE w:val="0"/>
              <w:autoSpaceDN w:val="0"/>
              <w:adjustRightInd w:val="0"/>
              <w:snapToGrid w:val="0"/>
              <w:spacing w:line="276" w:lineRule="auto"/>
              <w:jc w:val="center"/>
              <w:rPr>
                <w:color w:val="000000" w:themeColor="text1"/>
                <w:kern w:val="0"/>
                <w:sz w:val="21"/>
                <w:szCs w:val="21"/>
                <w:lang w:val="zh-CN"/>
                <w14:textFill>
                  <w14:solidFill>
                    <w14:schemeClr w14:val="tx1"/>
                  </w14:solidFill>
                </w14:textFill>
              </w:rPr>
            </w:pPr>
            <w:r>
              <w:rPr>
                <w:color w:val="000000" w:themeColor="text1"/>
                <w:kern w:val="0"/>
                <w:sz w:val="21"/>
                <w:szCs w:val="21"/>
                <w:lang w:val="zh-CN"/>
                <w14:textFill>
                  <w14:solidFill>
                    <w14:schemeClr w14:val="tx1"/>
                  </w14:solidFill>
                </w14:textFill>
              </w:rPr>
              <w:t>14.4</w:t>
            </w:r>
          </w:p>
        </w:tc>
        <w:tc>
          <w:tcPr>
            <w:tcW w:w="1614" w:type="dxa"/>
            <w:vAlign w:val="center"/>
          </w:tcPr>
          <w:p>
            <w:pPr>
              <w:autoSpaceDE w:val="0"/>
              <w:autoSpaceDN w:val="0"/>
              <w:adjustRightInd w:val="0"/>
              <w:snapToGrid w:val="0"/>
              <w:spacing w:line="276" w:lineRule="auto"/>
              <w:jc w:val="center"/>
              <w:rPr>
                <w:color w:val="000000" w:themeColor="text1"/>
                <w:kern w:val="0"/>
                <w:sz w:val="21"/>
                <w:szCs w:val="21"/>
                <w:lang w:val="zh-CN"/>
                <w14:textFill>
                  <w14:solidFill>
                    <w14:schemeClr w14:val="tx1"/>
                  </w14:solidFill>
                </w14:textFill>
              </w:rPr>
            </w:pPr>
            <w:r>
              <w:rPr>
                <w:color w:val="000000" w:themeColor="text1"/>
                <w:kern w:val="0"/>
                <w:sz w:val="21"/>
                <w:szCs w:val="21"/>
                <w:lang w:val="zh-CN"/>
                <w14:textFill>
                  <w14:solidFill>
                    <w14:schemeClr w14:val="tx1"/>
                  </w14:solidFill>
                </w14:textFill>
              </w:rPr>
              <w:t>10.5</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c>
          <w:tcPr>
            <w:tcW w:w="2268" w:type="dxa"/>
            <w:vAlign w:val="center"/>
          </w:tcPr>
          <w:p>
            <w:pPr>
              <w:autoSpaceDE w:val="0"/>
              <w:autoSpaceDN w:val="0"/>
              <w:adjustRightInd w:val="0"/>
              <w:snapToGrid w:val="0"/>
              <w:spacing w:line="276" w:lineRule="auto"/>
              <w:jc w:val="center"/>
              <w:rPr>
                <w:color w:val="000000" w:themeColor="text1"/>
                <w:kern w:val="0"/>
                <w:sz w:val="21"/>
                <w:szCs w:val="21"/>
                <w:lang w:val="zh-CN"/>
                <w14:textFill>
                  <w14:solidFill>
                    <w14:schemeClr w14:val="tx1"/>
                  </w14:solidFill>
                </w14:textFill>
              </w:rPr>
            </w:pPr>
            <w:r>
              <w:rPr>
                <w:color w:val="000000" w:themeColor="text1"/>
                <w:kern w:val="0"/>
                <w:sz w:val="21"/>
                <w:szCs w:val="21"/>
                <w:lang w:val="zh-CN"/>
                <w14:textFill>
                  <w14:solidFill>
                    <w14:schemeClr w14:val="tx1"/>
                  </w14:solidFill>
                </w14:textFill>
              </w:rPr>
              <w:t>1万吨级集装箱船</w:t>
            </w:r>
          </w:p>
        </w:tc>
        <w:tc>
          <w:tcPr>
            <w:tcW w:w="1649" w:type="dxa"/>
            <w:vAlign w:val="center"/>
          </w:tcPr>
          <w:p>
            <w:pPr>
              <w:autoSpaceDE w:val="0"/>
              <w:autoSpaceDN w:val="0"/>
              <w:adjustRightInd w:val="0"/>
              <w:snapToGrid w:val="0"/>
              <w:spacing w:line="276" w:lineRule="auto"/>
              <w:jc w:val="center"/>
              <w:rPr>
                <w:color w:val="000000" w:themeColor="text1"/>
                <w:kern w:val="0"/>
                <w:sz w:val="21"/>
                <w:szCs w:val="21"/>
                <w:lang w:val="zh-CN"/>
                <w14:textFill>
                  <w14:solidFill>
                    <w14:schemeClr w14:val="tx1"/>
                  </w14:solidFill>
                </w14:textFill>
              </w:rPr>
            </w:pPr>
            <w:r>
              <w:rPr>
                <w:color w:val="000000" w:themeColor="text1"/>
                <w:kern w:val="0"/>
                <w:sz w:val="21"/>
                <w:szCs w:val="21"/>
                <w:lang w:val="zh-CN"/>
                <w14:textFill>
                  <w14:solidFill>
                    <w14:schemeClr w14:val="tx1"/>
                  </w14:solidFill>
                </w14:textFill>
              </w:rPr>
              <w:t>141</w:t>
            </w:r>
          </w:p>
        </w:tc>
        <w:tc>
          <w:tcPr>
            <w:tcW w:w="1649" w:type="dxa"/>
            <w:vAlign w:val="center"/>
          </w:tcPr>
          <w:p>
            <w:pPr>
              <w:autoSpaceDE w:val="0"/>
              <w:autoSpaceDN w:val="0"/>
              <w:adjustRightInd w:val="0"/>
              <w:snapToGrid w:val="0"/>
              <w:spacing w:line="276" w:lineRule="auto"/>
              <w:jc w:val="center"/>
              <w:rPr>
                <w:color w:val="000000" w:themeColor="text1"/>
                <w:kern w:val="0"/>
                <w:sz w:val="21"/>
                <w:szCs w:val="21"/>
                <w:lang w:val="zh-CN"/>
                <w14:textFill>
                  <w14:solidFill>
                    <w14:schemeClr w14:val="tx1"/>
                  </w14:solidFill>
                </w14:textFill>
              </w:rPr>
            </w:pPr>
            <w:r>
              <w:rPr>
                <w:color w:val="000000" w:themeColor="text1"/>
                <w:kern w:val="0"/>
                <w:sz w:val="21"/>
                <w:szCs w:val="21"/>
                <w:lang w:val="zh-CN"/>
                <w14:textFill>
                  <w14:solidFill>
                    <w14:schemeClr w14:val="tx1"/>
                  </w14:solidFill>
                </w14:textFill>
              </w:rPr>
              <w:t>22.6</w:t>
            </w:r>
          </w:p>
        </w:tc>
        <w:tc>
          <w:tcPr>
            <w:tcW w:w="1348" w:type="dxa"/>
            <w:vAlign w:val="center"/>
          </w:tcPr>
          <w:p>
            <w:pPr>
              <w:autoSpaceDE w:val="0"/>
              <w:autoSpaceDN w:val="0"/>
              <w:adjustRightInd w:val="0"/>
              <w:snapToGrid w:val="0"/>
              <w:spacing w:line="276" w:lineRule="auto"/>
              <w:jc w:val="center"/>
              <w:rPr>
                <w:color w:val="000000" w:themeColor="text1"/>
                <w:kern w:val="0"/>
                <w:sz w:val="21"/>
                <w:szCs w:val="21"/>
                <w:lang w:val="zh-CN"/>
                <w14:textFill>
                  <w14:solidFill>
                    <w14:schemeClr w14:val="tx1"/>
                  </w14:solidFill>
                </w14:textFill>
              </w:rPr>
            </w:pPr>
            <w:r>
              <w:rPr>
                <w:color w:val="000000" w:themeColor="text1"/>
                <w:kern w:val="0"/>
                <w:sz w:val="21"/>
                <w:szCs w:val="21"/>
                <w:lang w:val="zh-CN"/>
                <w14:textFill>
                  <w14:solidFill>
                    <w14:schemeClr w14:val="tx1"/>
                  </w14:solidFill>
                </w14:textFill>
              </w:rPr>
              <w:t>11.3</w:t>
            </w:r>
          </w:p>
        </w:tc>
        <w:tc>
          <w:tcPr>
            <w:tcW w:w="1614" w:type="dxa"/>
            <w:vAlign w:val="center"/>
          </w:tcPr>
          <w:p>
            <w:pPr>
              <w:autoSpaceDE w:val="0"/>
              <w:autoSpaceDN w:val="0"/>
              <w:adjustRightInd w:val="0"/>
              <w:snapToGrid w:val="0"/>
              <w:spacing w:line="276" w:lineRule="auto"/>
              <w:jc w:val="center"/>
              <w:rPr>
                <w:color w:val="000000" w:themeColor="text1"/>
                <w:kern w:val="0"/>
                <w:sz w:val="21"/>
                <w:szCs w:val="21"/>
                <w:lang w:val="zh-CN"/>
                <w14:textFill>
                  <w14:solidFill>
                    <w14:schemeClr w14:val="tx1"/>
                  </w14:solidFill>
                </w14:textFill>
              </w:rPr>
            </w:pPr>
            <w:r>
              <w:rPr>
                <w:color w:val="000000" w:themeColor="text1"/>
                <w:kern w:val="0"/>
                <w:sz w:val="21"/>
                <w:szCs w:val="21"/>
                <w:lang w:val="zh-CN"/>
                <w14:textFill>
                  <w14:solidFill>
                    <w14:schemeClr w14:val="tx1"/>
                  </w14:solidFill>
                </w14:textFill>
              </w:rPr>
              <w:t>8.3</w:t>
            </w:r>
          </w:p>
        </w:tc>
      </w:tr>
    </w:tbl>
    <w:p>
      <w:pPr>
        <w:pStyle w:val="6"/>
        <w:rPr>
          <w:color w:val="000000" w:themeColor="text1"/>
          <w14:textFill>
            <w14:solidFill>
              <w14:schemeClr w14:val="tx1"/>
            </w14:solidFill>
          </w14:textFill>
        </w:rPr>
      </w:pPr>
      <w:r>
        <w:rPr>
          <w:rFonts w:hint="eastAsia"/>
          <w:color w:val="000000" w:themeColor="text1"/>
          <w14:textFill>
            <w14:solidFill>
              <w14:schemeClr w14:val="tx1"/>
            </w14:solidFill>
          </w14:textFill>
        </w:rPr>
        <w:t>装卸工艺</w:t>
      </w:r>
    </w:p>
    <w:p>
      <w:pPr>
        <w:pStyle w:val="1856"/>
        <w:ind w:firstLine="462"/>
        <w:rPr>
          <w:color w:val="000000" w:themeColor="text1"/>
          <w14:textFill>
            <w14:solidFill>
              <w14:schemeClr w14:val="tx1"/>
            </w14:solidFill>
          </w14:textFill>
        </w:rPr>
      </w:pPr>
      <w:r>
        <w:rPr>
          <w:rFonts w:hint="eastAsia"/>
          <w:color w:val="000000" w:themeColor="text1"/>
          <w14:textFill>
            <w14:solidFill>
              <w14:schemeClr w14:val="tx1"/>
            </w14:solidFill>
          </w14:textFill>
        </w:rPr>
        <w:t>9号10号泊位现有</w:t>
      </w:r>
      <w:r>
        <w:rPr>
          <w:color w:val="000000" w:themeColor="text1"/>
          <w14:textFill>
            <w14:solidFill>
              <w14:schemeClr w14:val="tx1"/>
            </w14:solidFill>
          </w14:textFill>
        </w:rPr>
        <w:t>装卸工艺流程如下：</w:t>
      </w:r>
    </w:p>
    <w:p>
      <w:pPr>
        <w:pStyle w:val="1856"/>
        <w:ind w:firstLine="462"/>
        <w:rPr>
          <w:color w:val="000000" w:themeColor="text1"/>
          <w14:textFill>
            <w14:solidFill>
              <w14:schemeClr w14:val="tx1"/>
            </w14:solidFill>
          </w14:textFill>
        </w:rPr>
      </w:pP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 1 \* GB3 </w:instrText>
      </w:r>
      <w:r>
        <w:rPr>
          <w:color w:val="000000" w:themeColor="text1"/>
          <w14:textFill>
            <w14:solidFill>
              <w14:schemeClr w14:val="tx1"/>
            </w14:solidFill>
          </w14:textFill>
        </w:rPr>
        <w:fldChar w:fldCharType="separate"/>
      </w:r>
      <w:r>
        <w:rPr>
          <w:rFonts w:hint="eastAsia"/>
          <w:color w:val="000000" w:themeColor="text1"/>
          <w14:textFill>
            <w14:solidFill>
              <w14:schemeClr w14:val="tx1"/>
            </w14:solidFill>
          </w14:textFill>
        </w:rPr>
        <w:t>①</w:t>
      </w:r>
      <w:r>
        <w:rPr>
          <w:color w:val="000000" w:themeColor="text1"/>
          <w14:textFill>
            <w14:solidFill>
              <w14:schemeClr w14:val="tx1"/>
            </w14:solidFill>
          </w14:textFill>
        </w:rPr>
        <w:fldChar w:fldCharType="end"/>
      </w:r>
      <w:r>
        <w:rPr>
          <w:color w:val="000000" w:themeColor="text1"/>
          <w14:textFill>
            <w14:solidFill>
              <w14:schemeClr w14:val="tx1"/>
            </w14:solidFill>
          </w14:textFill>
        </w:rPr>
        <w:t>集装箱船←→自动化集装箱堆场</w:t>
      </w:r>
    </w:p>
    <w:tbl>
      <w:tblPr>
        <w:tblStyle w:val="89"/>
        <w:tblW w:w="852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52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8528" w:type="dxa"/>
            <w:tcBorders>
              <w:top w:val="single" w:color="auto" w:sz="12" w:space="0"/>
              <w:left w:val="single" w:color="auto" w:sz="12" w:space="0"/>
              <w:bottom w:val="single" w:color="auto" w:sz="12" w:space="0"/>
              <w:right w:val="single" w:color="auto" w:sz="12" w:space="0"/>
            </w:tcBorders>
          </w:tcPr>
          <w:p>
            <w:pPr>
              <w:pStyle w:val="1856"/>
              <w:ind w:firstLine="0" w:firstLineChars="0"/>
              <w:rPr>
                <w:color w:val="000000" w:themeColor="text1"/>
                <w14:textFill>
                  <w14:solidFill>
                    <w14:schemeClr w14:val="tx1"/>
                  </w14:solidFill>
                </w14:textFill>
              </w:rPr>
            </w:pPr>
            <w:r>
              <w:rPr>
                <w:color w:val="000000" w:themeColor="text1"/>
                <w14:textFill>
                  <w14:solidFill>
                    <w14:schemeClr w14:val="tx1"/>
                  </w14:solidFill>
                </w14:textFill>
              </w:rPr>
              <w:t>集装箱船←→自动化单双车岸边集装箱装卸桥←→智能导引运输车（IGV）←→自动化集装箱轨道龙门吊←→自动化集装箱堆场</w:t>
            </w:r>
          </w:p>
        </w:tc>
      </w:tr>
    </w:tbl>
    <w:p>
      <w:pPr>
        <w:pStyle w:val="1856"/>
        <w:ind w:firstLine="462"/>
        <w:rPr>
          <w:color w:val="000000" w:themeColor="text1"/>
          <w14:textFill>
            <w14:solidFill>
              <w14:schemeClr w14:val="tx1"/>
            </w14:solidFill>
          </w14:textFill>
        </w:rPr>
      </w:pPr>
      <w:r>
        <w:rPr>
          <w:rFonts w:hint="eastAsia"/>
          <w:color w:val="000000" w:themeColor="text1"/>
          <w14:textFill>
            <w14:solidFill>
              <w14:schemeClr w14:val="tx1"/>
            </w14:solidFill>
          </w14:textFill>
        </w:rPr>
        <w:t>②</w:t>
      </w:r>
      <w:r>
        <w:rPr>
          <w:color w:val="000000" w:themeColor="text1"/>
          <w14:textFill>
            <w14:solidFill>
              <w14:schemeClr w14:val="tx1"/>
            </w14:solidFill>
          </w14:textFill>
        </w:rPr>
        <w:t>自动化集装箱堆场←→货主</w:t>
      </w:r>
    </w:p>
    <w:tbl>
      <w:tblPr>
        <w:tblStyle w:val="89"/>
        <w:tblW w:w="852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52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8528" w:type="dxa"/>
            <w:tcBorders>
              <w:top w:val="single" w:color="auto" w:sz="12" w:space="0"/>
              <w:left w:val="single" w:color="auto" w:sz="12" w:space="0"/>
              <w:bottom w:val="single" w:color="auto" w:sz="12" w:space="0"/>
              <w:right w:val="single" w:color="auto" w:sz="12" w:space="0"/>
            </w:tcBorders>
          </w:tcPr>
          <w:p>
            <w:pPr>
              <w:pStyle w:val="1856"/>
              <w:ind w:firstLine="0" w:firstLineChars="0"/>
              <w:rPr>
                <w:color w:val="000000" w:themeColor="text1"/>
                <w14:textFill>
                  <w14:solidFill>
                    <w14:schemeClr w14:val="tx1"/>
                  </w14:solidFill>
                </w14:textFill>
              </w:rPr>
            </w:pPr>
            <w:r>
              <w:rPr>
                <w:color w:val="000000" w:themeColor="text1"/>
                <w14:textFill>
                  <w14:solidFill>
                    <w14:schemeClr w14:val="tx1"/>
                  </w14:solidFill>
                </w14:textFill>
              </w:rPr>
              <w:t>自动化集装箱堆场←→自动化集装箱轨道龙门吊←→集装箱牵引半挂车（港外）←→港外</w:t>
            </w:r>
          </w:p>
        </w:tc>
      </w:tr>
    </w:tbl>
    <w:p>
      <w:pPr>
        <w:pStyle w:val="1856"/>
        <w:ind w:firstLine="462"/>
        <w:rPr>
          <w:color w:val="000000" w:themeColor="text1"/>
          <w14:textFill>
            <w14:solidFill>
              <w14:schemeClr w14:val="tx1"/>
            </w14:solidFill>
          </w14:textFill>
        </w:rPr>
      </w:pPr>
      <w:r>
        <w:rPr>
          <w:rFonts w:hint="eastAsia"/>
          <w:color w:val="000000" w:themeColor="text1"/>
          <w14:textFill>
            <w14:solidFill>
              <w14:schemeClr w14:val="tx1"/>
            </w14:solidFill>
          </w14:textFill>
        </w:rPr>
        <w:t>③</w:t>
      </w:r>
      <w:r>
        <w:rPr>
          <w:color w:val="000000" w:themeColor="text1"/>
          <w14:textFill>
            <w14:solidFill>
              <w14:schemeClr w14:val="tx1"/>
            </w14:solidFill>
          </w14:textFill>
        </w:rPr>
        <w:t>自动化集装箱堆场←→铁路集装箱中心站港口作业区</w:t>
      </w:r>
    </w:p>
    <w:tbl>
      <w:tblPr>
        <w:tblStyle w:val="89"/>
        <w:tblW w:w="852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52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8528" w:type="dxa"/>
            <w:tcBorders>
              <w:top w:val="single" w:color="auto" w:sz="12" w:space="0"/>
              <w:left w:val="single" w:color="auto" w:sz="12" w:space="0"/>
              <w:bottom w:val="single" w:color="auto" w:sz="12" w:space="0"/>
              <w:right w:val="single" w:color="auto" w:sz="12" w:space="0"/>
            </w:tcBorders>
          </w:tcPr>
          <w:p>
            <w:pPr>
              <w:pStyle w:val="1856"/>
              <w:ind w:firstLine="0" w:firstLineChars="0"/>
              <w:rPr>
                <w:color w:val="000000" w:themeColor="text1"/>
                <w14:textFill>
                  <w14:solidFill>
                    <w14:schemeClr w14:val="tx1"/>
                  </w14:solidFill>
                </w14:textFill>
              </w:rPr>
            </w:pPr>
            <w:r>
              <w:rPr>
                <w:color w:val="000000" w:themeColor="text1"/>
                <w14:textFill>
                  <w14:solidFill>
                    <w14:schemeClr w14:val="tx1"/>
                  </w14:solidFill>
                </w14:textFill>
              </w:rPr>
              <w:t>自动化集装箱堆场←→自动化集装箱轨道龙门吊←→集装箱牵引半挂车←→</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铁路集装箱中心站港口作业区轨道吊←→铁路集装箱中心站港口作业区堆箱区/火车（不属于本项目范围）</w:t>
            </w:r>
            <w:r>
              <w:rPr>
                <w:rFonts w:hint="eastAsia"/>
                <w:color w:val="000000" w:themeColor="text1"/>
                <w14:textFill>
                  <w14:solidFill>
                    <w14:schemeClr w14:val="tx1"/>
                  </w14:solidFill>
                </w14:textFill>
              </w:rPr>
              <w:t>｝</w:t>
            </w:r>
          </w:p>
        </w:tc>
      </w:tr>
    </w:tbl>
    <w:p>
      <w:pPr>
        <w:pStyle w:val="1856"/>
        <w:ind w:firstLine="462"/>
        <w:jc w:val="left"/>
        <w:rPr>
          <w:color w:val="000000" w:themeColor="text1"/>
          <w14:textFill>
            <w14:solidFill>
              <w14:schemeClr w14:val="tx1"/>
            </w14:solidFill>
          </w14:textFill>
        </w:rPr>
      </w:pPr>
      <w:r>
        <w:rPr>
          <w:color w:val="000000" w:themeColor="text1"/>
          <w14:textFill>
            <w14:solidFill>
              <w14:schemeClr w14:val="tx1"/>
            </w14:solidFill>
          </w14:textFill>
        </w:rPr>
        <w:t>自动化双小车岸桥集装箱装卸桥最大特点为岸桥上设置有主、 副两个小车和转载平台，装卸作业过程中可缩短岸桥主小车的运行距离， 从而提高了装卸船效率；另外，由于集装箱拆装锁销作业可直接在自动化双小车岸桥的转载平台上完成能有效解决码头前沿装卸人员与自动化水平运输设备交叉的问题，提高操作人员的安全性。自动化双小车岸桥多用于全自动化集装箱码头。</w:t>
      </w:r>
      <w:r>
        <w:rPr>
          <w:color w:val="000000" w:themeColor="text1"/>
          <w:lang w:val="en-US"/>
          <w14:textFill>
            <w14:solidFill>
              <w14:schemeClr w14:val="tx1"/>
            </w14:solidFill>
          </w14:textFill>
        </w:rPr>
        <w:drawing>
          <wp:inline distT="0" distB="0" distL="0" distR="0">
            <wp:extent cx="4897120" cy="2356485"/>
            <wp:effectExtent l="0" t="0" r="0" b="5715"/>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pic:cNvPicPr>
                      <a:picLocks noChangeAspect="1"/>
                    </pic:cNvPicPr>
                  </pic:nvPicPr>
                  <pic:blipFill>
                    <a:blip r:embed="rId44"/>
                    <a:stretch>
                      <a:fillRect/>
                    </a:stretch>
                  </pic:blipFill>
                  <pic:spPr>
                    <a:xfrm>
                      <a:off x="0" y="0"/>
                      <a:ext cx="4902007" cy="2359090"/>
                    </a:xfrm>
                    <a:prstGeom prst="rect">
                      <a:avLst/>
                    </a:prstGeom>
                  </pic:spPr>
                </pic:pic>
              </a:graphicData>
            </a:graphic>
          </wp:inline>
        </w:drawing>
      </w:r>
    </w:p>
    <w:p>
      <w:pPr>
        <w:pStyle w:val="553"/>
        <w:rPr>
          <w:color w:val="000000" w:themeColor="text1"/>
          <w14:textFill>
            <w14:solidFill>
              <w14:schemeClr w14:val="tx1"/>
            </w14:solidFill>
          </w14:textFill>
        </w:rPr>
      </w:pPr>
      <w:r>
        <w:rPr>
          <w:color w:val="000000" w:themeColor="text1"/>
          <w14:textFill>
            <w14:solidFill>
              <w14:schemeClr w14:val="tx1"/>
            </w14:solidFill>
          </w14:textFill>
        </w:rPr>
        <w:t>码头前沿作业地带布置断面图</w:t>
      </w:r>
    </w:p>
    <w:p>
      <w:pPr>
        <w:pStyle w:val="7"/>
      </w:pPr>
      <w:r>
        <w:drawing>
          <wp:inline distT="0" distB="0" distL="0" distR="0">
            <wp:extent cx="4679950" cy="3507740"/>
            <wp:effectExtent l="0" t="0" r="6350" b="0"/>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a:xfrm>
                      <a:off x="0" y="0"/>
                      <a:ext cx="4680000" cy="3508311"/>
                    </a:xfrm>
                    <a:prstGeom prst="rect">
                      <a:avLst/>
                    </a:prstGeom>
                    <a:noFill/>
                    <a:ln>
                      <a:noFill/>
                    </a:ln>
                  </pic:spPr>
                </pic:pic>
              </a:graphicData>
            </a:graphic>
          </wp:inline>
        </w:drawing>
      </w:r>
    </w:p>
    <w:p>
      <w:pPr>
        <w:pStyle w:val="553"/>
        <w:rPr>
          <w:color w:val="000000" w:themeColor="text1"/>
          <w14:textFill>
            <w14:solidFill>
              <w14:schemeClr w14:val="tx1"/>
            </w14:solidFill>
          </w14:textFill>
        </w:rPr>
      </w:pPr>
      <w:r>
        <w:rPr>
          <w:color w:val="000000" w:themeColor="text1"/>
          <w14:textFill>
            <w14:solidFill>
              <w14:schemeClr w14:val="tx1"/>
            </w14:solidFill>
          </w14:textFill>
        </w:rPr>
        <w:t>自动化双小车岸桥集装箱装卸桥</w:t>
      </w:r>
    </w:p>
    <w:p>
      <w:pPr>
        <w:pStyle w:val="553"/>
        <w:numPr>
          <w:ilvl w:val="0"/>
          <w:numId w:val="0"/>
        </w:numPr>
        <w:ind w:left="8081"/>
        <w:rPr>
          <w:color w:val="000000" w:themeColor="text1"/>
          <w14:textFill>
            <w14:solidFill>
              <w14:schemeClr w14:val="tx1"/>
            </w14:solidFill>
          </w14:textFill>
        </w:rPr>
      </w:pPr>
    </w:p>
    <w:p>
      <w:pPr>
        <w:pStyle w:val="553"/>
        <w:numPr>
          <w:ilvl w:val="0"/>
          <w:numId w:val="0"/>
        </w:numPr>
        <w:ind w:left="8081"/>
        <w:rPr>
          <w:color w:val="000000" w:themeColor="text1"/>
          <w14:textFill>
            <w14:solidFill>
              <w14:schemeClr w14:val="tx1"/>
            </w14:solidFill>
          </w14:textFill>
        </w:rPr>
      </w:pPr>
    </w:p>
    <w:p>
      <w:pPr>
        <w:pStyle w:val="384"/>
        <w:ind w:left="0" w:firstLine="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主要装卸机械设备配置表</w:t>
      </w:r>
    </w:p>
    <w:tbl>
      <w:tblPr>
        <w:tblStyle w:val="89"/>
        <w:tblW w:w="8528" w:type="dxa"/>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772"/>
        <w:gridCol w:w="3261"/>
        <w:gridCol w:w="3118"/>
        <w:gridCol w:w="708"/>
        <w:gridCol w:w="669"/>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357" w:hRule="atLeast"/>
          <w:tblHeader/>
        </w:trPr>
        <w:tc>
          <w:tcPr>
            <w:tcW w:w="772" w:type="dxa"/>
            <w:vAlign w:val="center"/>
          </w:tcPr>
          <w:p>
            <w:pPr>
              <w:autoSpaceDE w:val="0"/>
              <w:autoSpaceDN w:val="0"/>
              <w:adjustRightInd w:val="0"/>
              <w:snapToGrid w:val="0"/>
              <w:spacing w:line="276" w:lineRule="auto"/>
              <w:jc w:val="center"/>
              <w:rPr>
                <w:b/>
                <w:color w:val="000000" w:themeColor="text1"/>
                <w:kern w:val="0"/>
                <w:sz w:val="21"/>
                <w:szCs w:val="21"/>
                <w:lang w:val="zh-CN"/>
                <w14:textFill>
                  <w14:solidFill>
                    <w14:schemeClr w14:val="tx1"/>
                  </w14:solidFill>
                </w14:textFill>
              </w:rPr>
            </w:pPr>
            <w:r>
              <w:rPr>
                <w:b/>
                <w:color w:val="000000" w:themeColor="text1"/>
                <w:kern w:val="0"/>
                <w:sz w:val="21"/>
                <w:szCs w:val="21"/>
                <w:lang w:val="zh-CN"/>
                <w14:textFill>
                  <w14:solidFill>
                    <w14:schemeClr w14:val="tx1"/>
                  </w14:solidFill>
                </w14:textFill>
              </w:rPr>
              <w:t>序号</w:t>
            </w:r>
          </w:p>
        </w:tc>
        <w:tc>
          <w:tcPr>
            <w:tcW w:w="3261" w:type="dxa"/>
            <w:vAlign w:val="center"/>
          </w:tcPr>
          <w:p>
            <w:pPr>
              <w:autoSpaceDE w:val="0"/>
              <w:autoSpaceDN w:val="0"/>
              <w:adjustRightInd w:val="0"/>
              <w:snapToGrid w:val="0"/>
              <w:spacing w:line="276" w:lineRule="auto"/>
              <w:jc w:val="center"/>
              <w:rPr>
                <w:b/>
                <w:color w:val="000000" w:themeColor="text1"/>
                <w:kern w:val="0"/>
                <w:sz w:val="21"/>
                <w:szCs w:val="21"/>
                <w:lang w:val="zh-CN"/>
                <w14:textFill>
                  <w14:solidFill>
                    <w14:schemeClr w14:val="tx1"/>
                  </w14:solidFill>
                </w14:textFill>
              </w:rPr>
            </w:pPr>
            <w:r>
              <w:rPr>
                <w:b/>
                <w:color w:val="000000" w:themeColor="text1"/>
                <w:kern w:val="0"/>
                <w:sz w:val="21"/>
                <w:szCs w:val="21"/>
                <w:lang w:val="zh-CN"/>
                <w14:textFill>
                  <w14:solidFill>
                    <w14:schemeClr w14:val="tx1"/>
                  </w14:solidFill>
                </w14:textFill>
              </w:rPr>
              <w:t>名称</w:t>
            </w:r>
          </w:p>
        </w:tc>
        <w:tc>
          <w:tcPr>
            <w:tcW w:w="3118" w:type="dxa"/>
            <w:vAlign w:val="center"/>
          </w:tcPr>
          <w:p>
            <w:pPr>
              <w:autoSpaceDE w:val="0"/>
              <w:autoSpaceDN w:val="0"/>
              <w:adjustRightInd w:val="0"/>
              <w:snapToGrid w:val="0"/>
              <w:spacing w:line="276" w:lineRule="auto"/>
              <w:jc w:val="center"/>
              <w:rPr>
                <w:b/>
                <w:color w:val="000000" w:themeColor="text1"/>
                <w:kern w:val="0"/>
                <w:sz w:val="21"/>
                <w:szCs w:val="21"/>
                <w:lang w:val="zh-CN"/>
                <w14:textFill>
                  <w14:solidFill>
                    <w14:schemeClr w14:val="tx1"/>
                  </w14:solidFill>
                </w14:textFill>
              </w:rPr>
            </w:pPr>
            <w:r>
              <w:rPr>
                <w:b/>
                <w:color w:val="000000" w:themeColor="text1"/>
                <w:kern w:val="0"/>
                <w:sz w:val="21"/>
                <w:szCs w:val="21"/>
                <w:lang w:val="zh-CN"/>
                <w14:textFill>
                  <w14:solidFill>
                    <w14:schemeClr w14:val="tx1"/>
                  </w14:solidFill>
                </w14:textFill>
              </w:rPr>
              <w:t>规格</w:t>
            </w:r>
          </w:p>
        </w:tc>
        <w:tc>
          <w:tcPr>
            <w:tcW w:w="708" w:type="dxa"/>
            <w:vAlign w:val="center"/>
          </w:tcPr>
          <w:p>
            <w:pPr>
              <w:autoSpaceDE w:val="0"/>
              <w:autoSpaceDN w:val="0"/>
              <w:adjustRightInd w:val="0"/>
              <w:snapToGrid w:val="0"/>
              <w:spacing w:line="276" w:lineRule="auto"/>
              <w:jc w:val="center"/>
              <w:rPr>
                <w:b/>
                <w:color w:val="000000" w:themeColor="text1"/>
                <w:kern w:val="0"/>
                <w:sz w:val="21"/>
                <w:szCs w:val="21"/>
                <w:lang w:val="zh-CN"/>
                <w14:textFill>
                  <w14:solidFill>
                    <w14:schemeClr w14:val="tx1"/>
                  </w14:solidFill>
                </w14:textFill>
              </w:rPr>
            </w:pPr>
            <w:r>
              <w:rPr>
                <w:b/>
                <w:color w:val="000000" w:themeColor="text1"/>
                <w:kern w:val="0"/>
                <w:sz w:val="21"/>
                <w:szCs w:val="21"/>
                <w:lang w:val="zh-CN"/>
                <w14:textFill>
                  <w14:solidFill>
                    <w14:schemeClr w14:val="tx1"/>
                  </w14:solidFill>
                </w14:textFill>
              </w:rPr>
              <w:t>单位</w:t>
            </w:r>
          </w:p>
        </w:tc>
        <w:tc>
          <w:tcPr>
            <w:tcW w:w="669" w:type="dxa"/>
            <w:vAlign w:val="center"/>
          </w:tcPr>
          <w:p>
            <w:pPr>
              <w:autoSpaceDE w:val="0"/>
              <w:autoSpaceDN w:val="0"/>
              <w:adjustRightInd w:val="0"/>
              <w:snapToGrid w:val="0"/>
              <w:spacing w:line="276" w:lineRule="auto"/>
              <w:jc w:val="center"/>
              <w:rPr>
                <w:b/>
                <w:color w:val="000000" w:themeColor="text1"/>
                <w:kern w:val="0"/>
                <w:sz w:val="21"/>
                <w:szCs w:val="21"/>
                <w:lang w:val="zh-CN"/>
                <w14:textFill>
                  <w14:solidFill>
                    <w14:schemeClr w14:val="tx1"/>
                  </w14:solidFill>
                </w14:textFill>
              </w:rPr>
            </w:pPr>
            <w:r>
              <w:rPr>
                <w:b/>
                <w:color w:val="000000" w:themeColor="text1"/>
                <w:kern w:val="0"/>
                <w:sz w:val="21"/>
                <w:szCs w:val="21"/>
                <w:lang w:val="zh-CN"/>
                <w14:textFill>
                  <w14:solidFill>
                    <w14:schemeClr w14:val="tx1"/>
                  </w14:solidFill>
                </w14:textFill>
              </w:rPr>
              <w:t>数量</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c>
          <w:tcPr>
            <w:tcW w:w="772" w:type="dxa"/>
            <w:vAlign w:val="center"/>
          </w:tcPr>
          <w:p>
            <w:pPr>
              <w:autoSpaceDE w:val="0"/>
              <w:autoSpaceDN w:val="0"/>
              <w:adjustRightInd w:val="0"/>
              <w:snapToGrid w:val="0"/>
              <w:spacing w:line="276" w:lineRule="auto"/>
              <w:jc w:val="center"/>
              <w:rPr>
                <w:color w:val="000000" w:themeColor="text1"/>
                <w:kern w:val="0"/>
                <w:sz w:val="21"/>
                <w:szCs w:val="21"/>
                <w:lang w:val="zh-CN"/>
                <w14:textFill>
                  <w14:solidFill>
                    <w14:schemeClr w14:val="tx1"/>
                  </w14:solidFill>
                </w14:textFill>
              </w:rPr>
            </w:pPr>
            <w:r>
              <w:rPr>
                <w:color w:val="000000" w:themeColor="text1"/>
                <w:kern w:val="0"/>
                <w:sz w:val="21"/>
                <w:szCs w:val="21"/>
                <w:lang w:val="zh-CN"/>
                <w14:textFill>
                  <w14:solidFill>
                    <w14:schemeClr w14:val="tx1"/>
                  </w14:solidFill>
                </w14:textFill>
              </w:rPr>
              <w:t>1</w:t>
            </w:r>
          </w:p>
        </w:tc>
        <w:tc>
          <w:tcPr>
            <w:tcW w:w="3261" w:type="dxa"/>
            <w:vAlign w:val="center"/>
          </w:tcPr>
          <w:p>
            <w:pPr>
              <w:autoSpaceDE w:val="0"/>
              <w:autoSpaceDN w:val="0"/>
              <w:adjustRightInd w:val="0"/>
              <w:snapToGrid w:val="0"/>
              <w:spacing w:line="276" w:lineRule="auto"/>
              <w:jc w:val="center"/>
              <w:rPr>
                <w:color w:val="000000" w:themeColor="text1"/>
                <w:kern w:val="0"/>
                <w:sz w:val="21"/>
                <w:szCs w:val="21"/>
                <w:lang w:val="zh-CN"/>
                <w14:textFill>
                  <w14:solidFill>
                    <w14:schemeClr w14:val="tx1"/>
                  </w14:solidFill>
                </w14:textFill>
              </w:rPr>
            </w:pPr>
            <w:r>
              <w:rPr>
                <w:color w:val="000000" w:themeColor="text1"/>
                <w:kern w:val="0"/>
                <w:sz w:val="21"/>
                <w:szCs w:val="21"/>
                <w:lang w:val="zh-CN"/>
                <w14:textFill>
                  <w14:solidFill>
                    <w14:schemeClr w14:val="tx1"/>
                  </w14:solidFill>
                </w14:textFill>
              </w:rPr>
              <w:t>自动化双小车岸边集装箱装卸桥</w:t>
            </w:r>
          </w:p>
        </w:tc>
        <w:tc>
          <w:tcPr>
            <w:tcW w:w="3118" w:type="dxa"/>
            <w:vAlign w:val="center"/>
          </w:tcPr>
          <w:p>
            <w:pPr>
              <w:autoSpaceDE w:val="0"/>
              <w:autoSpaceDN w:val="0"/>
              <w:adjustRightInd w:val="0"/>
              <w:snapToGrid w:val="0"/>
              <w:spacing w:line="276" w:lineRule="auto"/>
              <w:jc w:val="center"/>
              <w:rPr>
                <w:color w:val="000000" w:themeColor="text1"/>
                <w:kern w:val="0"/>
                <w:sz w:val="21"/>
                <w:szCs w:val="21"/>
                <w:lang w:val="zh-CN"/>
                <w14:textFill>
                  <w14:solidFill>
                    <w14:schemeClr w14:val="tx1"/>
                  </w14:solidFill>
                </w14:textFill>
              </w:rPr>
            </w:pPr>
            <w:r>
              <w:rPr>
                <w:color w:val="000000" w:themeColor="text1"/>
                <w:kern w:val="0"/>
                <w:sz w:val="21"/>
                <w:szCs w:val="21"/>
                <w:lang w:val="zh-CN"/>
                <w14:textFill>
                  <w14:solidFill>
                    <w14:schemeClr w14:val="tx1"/>
                  </w14:solidFill>
                </w14:textFill>
              </w:rPr>
              <w:t>轨距35m，外伸距70m，吊具下额定起重量70t</w:t>
            </w:r>
          </w:p>
        </w:tc>
        <w:tc>
          <w:tcPr>
            <w:tcW w:w="708" w:type="dxa"/>
            <w:vAlign w:val="center"/>
          </w:tcPr>
          <w:p>
            <w:pPr>
              <w:autoSpaceDE w:val="0"/>
              <w:autoSpaceDN w:val="0"/>
              <w:adjustRightInd w:val="0"/>
              <w:snapToGrid w:val="0"/>
              <w:spacing w:line="276" w:lineRule="auto"/>
              <w:jc w:val="center"/>
              <w:rPr>
                <w:color w:val="000000" w:themeColor="text1"/>
                <w:kern w:val="0"/>
                <w:sz w:val="21"/>
                <w:szCs w:val="21"/>
                <w:lang w:val="zh-CN"/>
                <w14:textFill>
                  <w14:solidFill>
                    <w14:schemeClr w14:val="tx1"/>
                  </w14:solidFill>
                </w14:textFill>
              </w:rPr>
            </w:pPr>
            <w:r>
              <w:rPr>
                <w:color w:val="000000" w:themeColor="text1"/>
                <w:kern w:val="0"/>
                <w:sz w:val="21"/>
                <w:szCs w:val="21"/>
                <w:lang w:val="zh-CN"/>
                <w14:textFill>
                  <w14:solidFill>
                    <w14:schemeClr w14:val="tx1"/>
                  </w14:solidFill>
                </w14:textFill>
              </w:rPr>
              <w:t>台</w:t>
            </w:r>
          </w:p>
        </w:tc>
        <w:tc>
          <w:tcPr>
            <w:tcW w:w="669" w:type="dxa"/>
            <w:vAlign w:val="center"/>
          </w:tcPr>
          <w:p>
            <w:pPr>
              <w:autoSpaceDE w:val="0"/>
              <w:autoSpaceDN w:val="0"/>
              <w:adjustRightInd w:val="0"/>
              <w:snapToGrid w:val="0"/>
              <w:spacing w:line="276" w:lineRule="auto"/>
              <w:jc w:val="center"/>
              <w:rPr>
                <w:color w:val="000000" w:themeColor="text1"/>
                <w:kern w:val="0"/>
                <w:sz w:val="21"/>
                <w:szCs w:val="21"/>
                <w:lang w:val="zh-CN"/>
                <w14:textFill>
                  <w14:solidFill>
                    <w14:schemeClr w14:val="tx1"/>
                  </w14:solidFill>
                </w14:textFill>
              </w:rPr>
            </w:pPr>
            <w:r>
              <w:rPr>
                <w:color w:val="000000" w:themeColor="text1"/>
                <w:kern w:val="0"/>
                <w:sz w:val="21"/>
                <w:szCs w:val="21"/>
                <w:lang w:val="zh-CN"/>
                <w14:textFill>
                  <w14:solidFill>
                    <w14:schemeClr w14:val="tx1"/>
                  </w14:solidFill>
                </w14:textFill>
              </w:rPr>
              <w:t>7</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c>
          <w:tcPr>
            <w:tcW w:w="772" w:type="dxa"/>
            <w:vAlign w:val="center"/>
          </w:tcPr>
          <w:p>
            <w:pPr>
              <w:autoSpaceDE w:val="0"/>
              <w:autoSpaceDN w:val="0"/>
              <w:adjustRightInd w:val="0"/>
              <w:snapToGrid w:val="0"/>
              <w:spacing w:line="276" w:lineRule="auto"/>
              <w:jc w:val="center"/>
              <w:rPr>
                <w:color w:val="000000" w:themeColor="text1"/>
                <w:kern w:val="0"/>
                <w:sz w:val="21"/>
                <w:szCs w:val="21"/>
                <w:lang w:val="zh-CN"/>
                <w14:textFill>
                  <w14:solidFill>
                    <w14:schemeClr w14:val="tx1"/>
                  </w14:solidFill>
                </w14:textFill>
              </w:rPr>
            </w:pPr>
            <w:r>
              <w:rPr>
                <w:color w:val="000000" w:themeColor="text1"/>
                <w:kern w:val="0"/>
                <w:sz w:val="21"/>
                <w:szCs w:val="21"/>
                <w:lang w:val="zh-CN"/>
                <w14:textFill>
                  <w14:solidFill>
                    <w14:schemeClr w14:val="tx1"/>
                  </w14:solidFill>
                </w14:textFill>
              </w:rPr>
              <w:t>2</w:t>
            </w:r>
          </w:p>
        </w:tc>
        <w:tc>
          <w:tcPr>
            <w:tcW w:w="3261" w:type="dxa"/>
            <w:vAlign w:val="center"/>
          </w:tcPr>
          <w:p>
            <w:pPr>
              <w:autoSpaceDE w:val="0"/>
              <w:autoSpaceDN w:val="0"/>
              <w:adjustRightInd w:val="0"/>
              <w:snapToGrid w:val="0"/>
              <w:spacing w:line="276" w:lineRule="auto"/>
              <w:jc w:val="center"/>
              <w:rPr>
                <w:color w:val="000000" w:themeColor="text1"/>
                <w:kern w:val="0"/>
                <w:sz w:val="21"/>
                <w:szCs w:val="21"/>
                <w:lang w:val="zh-CN"/>
                <w14:textFill>
                  <w14:solidFill>
                    <w14:schemeClr w14:val="tx1"/>
                  </w14:solidFill>
                </w14:textFill>
              </w:rPr>
            </w:pPr>
            <w:r>
              <w:rPr>
                <w:color w:val="000000" w:themeColor="text1"/>
                <w:kern w:val="0"/>
                <w:sz w:val="21"/>
                <w:szCs w:val="21"/>
                <w:lang w:val="zh-CN"/>
                <w14:textFill>
                  <w14:solidFill>
                    <w14:schemeClr w14:val="tx1"/>
                  </w14:solidFill>
                </w14:textFill>
              </w:rPr>
              <w:t>自动化集装箱轨道龙门吊</w:t>
            </w:r>
          </w:p>
        </w:tc>
        <w:tc>
          <w:tcPr>
            <w:tcW w:w="3118" w:type="dxa"/>
            <w:vAlign w:val="center"/>
          </w:tcPr>
          <w:p>
            <w:pPr>
              <w:autoSpaceDE w:val="0"/>
              <w:autoSpaceDN w:val="0"/>
              <w:adjustRightInd w:val="0"/>
              <w:snapToGrid w:val="0"/>
              <w:spacing w:line="276" w:lineRule="auto"/>
              <w:jc w:val="center"/>
              <w:rPr>
                <w:color w:val="000000" w:themeColor="text1"/>
                <w:kern w:val="0"/>
                <w:sz w:val="21"/>
                <w:szCs w:val="21"/>
                <w:lang w:val="zh-CN"/>
                <w14:textFill>
                  <w14:solidFill>
                    <w14:schemeClr w14:val="tx1"/>
                  </w14:solidFill>
                </w14:textFill>
              </w:rPr>
            </w:pPr>
            <w:r>
              <w:rPr>
                <w:color w:val="000000" w:themeColor="text1"/>
                <w:kern w:val="0"/>
                <w:sz w:val="21"/>
                <w:szCs w:val="21"/>
                <w:lang w:val="zh-CN"/>
                <w14:textFill>
                  <w14:solidFill>
                    <w14:schemeClr w14:val="tx1"/>
                  </w14:solidFill>
                </w14:textFill>
              </w:rPr>
              <w:t>双悬臂，轨距37m，堆6过7，有效外伸距4.5m，吊具下起重量41t</w:t>
            </w:r>
          </w:p>
        </w:tc>
        <w:tc>
          <w:tcPr>
            <w:tcW w:w="708" w:type="dxa"/>
            <w:vAlign w:val="center"/>
          </w:tcPr>
          <w:p>
            <w:pPr>
              <w:autoSpaceDE w:val="0"/>
              <w:autoSpaceDN w:val="0"/>
              <w:adjustRightInd w:val="0"/>
              <w:snapToGrid w:val="0"/>
              <w:spacing w:line="276" w:lineRule="auto"/>
              <w:jc w:val="center"/>
              <w:rPr>
                <w:color w:val="000000" w:themeColor="text1"/>
                <w:kern w:val="0"/>
                <w:sz w:val="21"/>
                <w:szCs w:val="21"/>
                <w:lang w:val="zh-CN"/>
                <w14:textFill>
                  <w14:solidFill>
                    <w14:schemeClr w14:val="tx1"/>
                  </w14:solidFill>
                </w14:textFill>
              </w:rPr>
            </w:pPr>
            <w:r>
              <w:rPr>
                <w:color w:val="000000" w:themeColor="text1"/>
                <w:kern w:val="0"/>
                <w:sz w:val="21"/>
                <w:szCs w:val="21"/>
                <w:lang w:val="zh-CN"/>
                <w14:textFill>
                  <w14:solidFill>
                    <w14:schemeClr w14:val="tx1"/>
                  </w14:solidFill>
                </w14:textFill>
              </w:rPr>
              <w:t>台</w:t>
            </w:r>
          </w:p>
        </w:tc>
        <w:tc>
          <w:tcPr>
            <w:tcW w:w="669" w:type="dxa"/>
            <w:vAlign w:val="center"/>
          </w:tcPr>
          <w:p>
            <w:pPr>
              <w:autoSpaceDE w:val="0"/>
              <w:autoSpaceDN w:val="0"/>
              <w:adjustRightInd w:val="0"/>
              <w:snapToGrid w:val="0"/>
              <w:spacing w:line="276" w:lineRule="auto"/>
              <w:jc w:val="center"/>
              <w:rPr>
                <w:color w:val="000000" w:themeColor="text1"/>
                <w:kern w:val="0"/>
                <w:sz w:val="21"/>
                <w:szCs w:val="21"/>
                <w:lang w:val="zh-CN"/>
                <w14:textFill>
                  <w14:solidFill>
                    <w14:schemeClr w14:val="tx1"/>
                  </w14:solidFill>
                </w14:textFill>
              </w:rPr>
            </w:pPr>
            <w:r>
              <w:rPr>
                <w:color w:val="000000" w:themeColor="text1"/>
                <w:kern w:val="0"/>
                <w:sz w:val="21"/>
                <w:szCs w:val="21"/>
                <w:lang w:val="zh-CN"/>
                <w14:textFill>
                  <w14:solidFill>
                    <w14:schemeClr w14:val="tx1"/>
                  </w14:solidFill>
                </w14:textFill>
              </w:rPr>
              <w:t>26</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c>
          <w:tcPr>
            <w:tcW w:w="772" w:type="dxa"/>
            <w:vAlign w:val="center"/>
          </w:tcPr>
          <w:p>
            <w:pPr>
              <w:autoSpaceDE w:val="0"/>
              <w:autoSpaceDN w:val="0"/>
              <w:adjustRightInd w:val="0"/>
              <w:snapToGrid w:val="0"/>
              <w:spacing w:line="276" w:lineRule="auto"/>
              <w:jc w:val="center"/>
              <w:rPr>
                <w:color w:val="000000" w:themeColor="text1"/>
                <w:kern w:val="0"/>
                <w:sz w:val="21"/>
                <w:szCs w:val="21"/>
                <w:lang w:val="zh-CN"/>
                <w14:textFill>
                  <w14:solidFill>
                    <w14:schemeClr w14:val="tx1"/>
                  </w14:solidFill>
                </w14:textFill>
              </w:rPr>
            </w:pPr>
            <w:r>
              <w:rPr>
                <w:color w:val="000000" w:themeColor="text1"/>
                <w:kern w:val="0"/>
                <w:sz w:val="21"/>
                <w:szCs w:val="21"/>
                <w:lang w:val="zh-CN"/>
                <w14:textFill>
                  <w14:solidFill>
                    <w14:schemeClr w14:val="tx1"/>
                  </w14:solidFill>
                </w14:textFill>
              </w:rPr>
              <w:t>3</w:t>
            </w:r>
          </w:p>
        </w:tc>
        <w:tc>
          <w:tcPr>
            <w:tcW w:w="3261" w:type="dxa"/>
            <w:vAlign w:val="center"/>
          </w:tcPr>
          <w:p>
            <w:pPr>
              <w:autoSpaceDE w:val="0"/>
              <w:autoSpaceDN w:val="0"/>
              <w:adjustRightInd w:val="0"/>
              <w:snapToGrid w:val="0"/>
              <w:spacing w:line="276" w:lineRule="auto"/>
              <w:jc w:val="center"/>
              <w:rPr>
                <w:color w:val="000000" w:themeColor="text1"/>
                <w:kern w:val="0"/>
                <w:sz w:val="21"/>
                <w:szCs w:val="21"/>
                <w:lang w:val="zh-CN"/>
                <w14:textFill>
                  <w14:solidFill>
                    <w14:schemeClr w14:val="tx1"/>
                  </w14:solidFill>
                </w14:textFill>
              </w:rPr>
            </w:pPr>
            <w:r>
              <w:rPr>
                <w:color w:val="000000" w:themeColor="text1"/>
                <w:kern w:val="0"/>
                <w:sz w:val="21"/>
                <w:szCs w:val="21"/>
                <w:lang w:val="zh-CN"/>
                <w14:textFill>
                  <w14:solidFill>
                    <w14:schemeClr w14:val="tx1"/>
                  </w14:solidFill>
                </w14:textFill>
              </w:rPr>
              <w:t>智能引导车（IGV）</w:t>
            </w:r>
          </w:p>
        </w:tc>
        <w:tc>
          <w:tcPr>
            <w:tcW w:w="3118" w:type="dxa"/>
            <w:vAlign w:val="center"/>
          </w:tcPr>
          <w:p>
            <w:pPr>
              <w:autoSpaceDE w:val="0"/>
              <w:autoSpaceDN w:val="0"/>
              <w:adjustRightInd w:val="0"/>
              <w:snapToGrid w:val="0"/>
              <w:spacing w:line="276" w:lineRule="auto"/>
              <w:jc w:val="center"/>
              <w:rPr>
                <w:color w:val="000000" w:themeColor="text1"/>
                <w:kern w:val="0"/>
                <w:sz w:val="21"/>
                <w:szCs w:val="21"/>
                <w:lang w:val="zh-CN"/>
                <w14:textFill>
                  <w14:solidFill>
                    <w14:schemeClr w14:val="tx1"/>
                  </w14:solidFill>
                </w14:textFill>
              </w:rPr>
            </w:pPr>
            <w:r>
              <w:rPr>
                <w:color w:val="000000" w:themeColor="text1"/>
                <w:kern w:val="0"/>
                <w:sz w:val="21"/>
                <w:szCs w:val="21"/>
                <w:lang w:val="zh-CN"/>
                <w14:textFill>
                  <w14:solidFill>
                    <w14:schemeClr w14:val="tx1"/>
                  </w14:solidFill>
                </w14:textFill>
              </w:rPr>
              <w:t>载1×40’/45’和2×20’箱</w:t>
            </w:r>
          </w:p>
        </w:tc>
        <w:tc>
          <w:tcPr>
            <w:tcW w:w="708" w:type="dxa"/>
            <w:vAlign w:val="center"/>
          </w:tcPr>
          <w:p>
            <w:pPr>
              <w:autoSpaceDE w:val="0"/>
              <w:autoSpaceDN w:val="0"/>
              <w:adjustRightInd w:val="0"/>
              <w:snapToGrid w:val="0"/>
              <w:spacing w:line="276" w:lineRule="auto"/>
              <w:jc w:val="center"/>
              <w:rPr>
                <w:color w:val="000000" w:themeColor="text1"/>
                <w:kern w:val="0"/>
                <w:sz w:val="21"/>
                <w:szCs w:val="21"/>
                <w:lang w:val="zh-CN"/>
                <w14:textFill>
                  <w14:solidFill>
                    <w14:schemeClr w14:val="tx1"/>
                  </w14:solidFill>
                </w14:textFill>
              </w:rPr>
            </w:pPr>
            <w:r>
              <w:rPr>
                <w:color w:val="000000" w:themeColor="text1"/>
                <w:kern w:val="0"/>
                <w:sz w:val="21"/>
                <w:szCs w:val="21"/>
                <w:lang w:val="zh-CN"/>
                <w14:textFill>
                  <w14:solidFill>
                    <w14:schemeClr w14:val="tx1"/>
                  </w14:solidFill>
                </w14:textFill>
              </w:rPr>
              <w:t>台</w:t>
            </w:r>
          </w:p>
        </w:tc>
        <w:tc>
          <w:tcPr>
            <w:tcW w:w="669" w:type="dxa"/>
            <w:vAlign w:val="center"/>
          </w:tcPr>
          <w:p>
            <w:pPr>
              <w:autoSpaceDE w:val="0"/>
              <w:autoSpaceDN w:val="0"/>
              <w:adjustRightInd w:val="0"/>
              <w:snapToGrid w:val="0"/>
              <w:spacing w:line="276" w:lineRule="auto"/>
              <w:jc w:val="center"/>
              <w:rPr>
                <w:color w:val="000000" w:themeColor="text1"/>
                <w:kern w:val="0"/>
                <w:sz w:val="21"/>
                <w:szCs w:val="21"/>
                <w:lang w:val="zh-CN"/>
                <w14:textFill>
                  <w14:solidFill>
                    <w14:schemeClr w14:val="tx1"/>
                  </w14:solidFill>
                </w14:textFill>
              </w:rPr>
            </w:pPr>
            <w:r>
              <w:rPr>
                <w:color w:val="000000" w:themeColor="text1"/>
                <w:kern w:val="0"/>
                <w:sz w:val="21"/>
                <w:szCs w:val="21"/>
                <w:lang w:val="zh-CN"/>
                <w14:textFill>
                  <w14:solidFill>
                    <w14:schemeClr w14:val="tx1"/>
                  </w14:solidFill>
                </w14:textFill>
              </w:rPr>
              <w:t>42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c>
          <w:tcPr>
            <w:tcW w:w="772" w:type="dxa"/>
            <w:vAlign w:val="center"/>
          </w:tcPr>
          <w:p>
            <w:pPr>
              <w:autoSpaceDE w:val="0"/>
              <w:autoSpaceDN w:val="0"/>
              <w:adjustRightInd w:val="0"/>
              <w:snapToGrid w:val="0"/>
              <w:spacing w:line="276" w:lineRule="auto"/>
              <w:jc w:val="center"/>
              <w:rPr>
                <w:color w:val="000000" w:themeColor="text1"/>
                <w:kern w:val="0"/>
                <w:sz w:val="21"/>
                <w:szCs w:val="21"/>
                <w:lang w:val="zh-CN"/>
                <w14:textFill>
                  <w14:solidFill>
                    <w14:schemeClr w14:val="tx1"/>
                  </w14:solidFill>
                </w14:textFill>
              </w:rPr>
            </w:pPr>
            <w:r>
              <w:rPr>
                <w:rFonts w:hint="eastAsia"/>
                <w:color w:val="000000" w:themeColor="text1"/>
                <w:kern w:val="0"/>
                <w:sz w:val="21"/>
                <w:szCs w:val="21"/>
                <w:lang w:val="zh-CN"/>
                <w14:textFill>
                  <w14:solidFill>
                    <w14:schemeClr w14:val="tx1"/>
                  </w14:solidFill>
                </w14:textFill>
              </w:rPr>
              <w:t>4</w:t>
            </w:r>
          </w:p>
        </w:tc>
        <w:tc>
          <w:tcPr>
            <w:tcW w:w="3261" w:type="dxa"/>
            <w:vAlign w:val="center"/>
          </w:tcPr>
          <w:p>
            <w:pPr>
              <w:autoSpaceDE w:val="0"/>
              <w:autoSpaceDN w:val="0"/>
              <w:adjustRightInd w:val="0"/>
              <w:snapToGrid w:val="0"/>
              <w:spacing w:line="276" w:lineRule="auto"/>
              <w:jc w:val="center"/>
              <w:rPr>
                <w:color w:val="000000" w:themeColor="text1"/>
                <w:kern w:val="0"/>
                <w:sz w:val="21"/>
                <w:szCs w:val="21"/>
                <w:lang w:val="zh-CN"/>
                <w14:textFill>
                  <w14:solidFill>
                    <w14:schemeClr w14:val="tx1"/>
                  </w14:solidFill>
                </w14:textFill>
              </w:rPr>
            </w:pPr>
            <w:r>
              <w:rPr>
                <w:rFonts w:hint="eastAsia"/>
                <w:color w:val="000000" w:themeColor="text1"/>
                <w:kern w:val="0"/>
                <w:sz w:val="21"/>
                <w:szCs w:val="21"/>
                <w:lang w:val="zh-CN"/>
                <w14:textFill>
                  <w14:solidFill>
                    <w14:schemeClr w14:val="tx1"/>
                  </w14:solidFill>
                </w14:textFill>
              </w:rPr>
              <w:t>叉车</w:t>
            </w:r>
          </w:p>
        </w:tc>
        <w:tc>
          <w:tcPr>
            <w:tcW w:w="3118" w:type="dxa"/>
            <w:vAlign w:val="center"/>
          </w:tcPr>
          <w:p>
            <w:pPr>
              <w:autoSpaceDE w:val="0"/>
              <w:autoSpaceDN w:val="0"/>
              <w:adjustRightInd w:val="0"/>
              <w:snapToGrid w:val="0"/>
              <w:spacing w:line="276" w:lineRule="auto"/>
              <w:jc w:val="center"/>
              <w:rPr>
                <w:color w:val="000000" w:themeColor="text1"/>
                <w:kern w:val="0"/>
                <w:sz w:val="21"/>
                <w:szCs w:val="21"/>
                <w:lang w:val="zh-CN"/>
                <w14:textFill>
                  <w14:solidFill>
                    <w14:schemeClr w14:val="tx1"/>
                  </w14:solidFill>
                </w14:textFill>
              </w:rPr>
            </w:pPr>
          </w:p>
        </w:tc>
        <w:tc>
          <w:tcPr>
            <w:tcW w:w="708" w:type="dxa"/>
            <w:vAlign w:val="center"/>
          </w:tcPr>
          <w:p>
            <w:pPr>
              <w:autoSpaceDE w:val="0"/>
              <w:autoSpaceDN w:val="0"/>
              <w:adjustRightInd w:val="0"/>
              <w:snapToGrid w:val="0"/>
              <w:spacing w:line="276" w:lineRule="auto"/>
              <w:jc w:val="center"/>
              <w:rPr>
                <w:color w:val="000000" w:themeColor="text1"/>
                <w:kern w:val="0"/>
                <w:sz w:val="21"/>
                <w:szCs w:val="21"/>
                <w:lang w:val="zh-CN"/>
                <w14:textFill>
                  <w14:solidFill>
                    <w14:schemeClr w14:val="tx1"/>
                  </w14:solidFill>
                </w14:textFill>
              </w:rPr>
            </w:pPr>
            <w:r>
              <w:rPr>
                <w:color w:val="000000" w:themeColor="text1"/>
                <w:kern w:val="0"/>
                <w:sz w:val="21"/>
                <w:szCs w:val="21"/>
                <w:lang w:val="zh-CN"/>
                <w14:textFill>
                  <w14:solidFill>
                    <w14:schemeClr w14:val="tx1"/>
                  </w14:solidFill>
                </w14:textFill>
              </w:rPr>
              <w:t>台</w:t>
            </w:r>
          </w:p>
        </w:tc>
        <w:tc>
          <w:tcPr>
            <w:tcW w:w="669" w:type="dxa"/>
            <w:vAlign w:val="center"/>
          </w:tcPr>
          <w:p>
            <w:pPr>
              <w:autoSpaceDE w:val="0"/>
              <w:autoSpaceDN w:val="0"/>
              <w:adjustRightInd w:val="0"/>
              <w:snapToGrid w:val="0"/>
              <w:spacing w:line="276" w:lineRule="auto"/>
              <w:jc w:val="center"/>
              <w:rPr>
                <w:color w:val="000000" w:themeColor="text1"/>
                <w:kern w:val="0"/>
                <w:sz w:val="21"/>
                <w:szCs w:val="21"/>
                <w:lang w:val="zh-CN"/>
                <w14:textFill>
                  <w14:solidFill>
                    <w14:schemeClr w14:val="tx1"/>
                  </w14:solidFill>
                </w14:textFill>
              </w:rPr>
            </w:pPr>
            <w:r>
              <w:rPr>
                <w:rFonts w:hint="eastAsia"/>
                <w:color w:val="000000" w:themeColor="text1"/>
                <w:kern w:val="0"/>
                <w:sz w:val="21"/>
                <w:szCs w:val="21"/>
                <w:lang w:val="zh-CN"/>
                <w14:textFill>
                  <w14:solidFill>
                    <w14:schemeClr w14:val="tx1"/>
                  </w14:solidFill>
                </w14:textFill>
              </w:rPr>
              <w:t>3</w:t>
            </w:r>
          </w:p>
        </w:tc>
      </w:tr>
    </w:tbl>
    <w:p>
      <w:pPr>
        <w:pStyle w:val="6"/>
        <w:rPr>
          <w:color w:val="000000" w:themeColor="text1"/>
          <w14:textFill>
            <w14:solidFill>
              <w14:schemeClr w14:val="tx1"/>
            </w14:solidFill>
          </w14:textFill>
        </w:rPr>
      </w:pPr>
      <w:r>
        <w:rPr>
          <w:rFonts w:hint="eastAsia"/>
          <w:color w:val="000000" w:themeColor="text1"/>
          <w14:textFill>
            <w14:solidFill>
              <w14:schemeClr w14:val="tx1"/>
            </w14:solidFill>
          </w14:textFill>
        </w:rPr>
        <w:t>公用及辅助工程</w:t>
      </w:r>
    </w:p>
    <w:p>
      <w:pPr>
        <w:pStyle w:val="1856"/>
        <w:ind w:firstLine="464"/>
        <w:rPr>
          <w:b/>
          <w:color w:val="000000" w:themeColor="text1"/>
          <w14:textFill>
            <w14:solidFill>
              <w14:schemeClr w14:val="tx1"/>
            </w14:solidFill>
          </w14:textFill>
        </w:rPr>
      </w:pPr>
      <w:r>
        <w:rPr>
          <w:rFonts w:hint="eastAsia"/>
          <w:b/>
          <w:color w:val="000000" w:themeColor="text1"/>
          <w14:textFill>
            <w14:solidFill>
              <w14:schemeClr w14:val="tx1"/>
            </w14:solidFill>
          </w14:textFill>
        </w:rPr>
        <w:t>1、</w:t>
      </w:r>
      <w:r>
        <w:rPr>
          <w:b/>
          <w:color w:val="000000" w:themeColor="text1"/>
          <w14:textFill>
            <w14:solidFill>
              <w14:schemeClr w14:val="tx1"/>
            </w14:solidFill>
          </w14:textFill>
        </w:rPr>
        <w:t>给水</w:t>
      </w:r>
    </w:p>
    <w:p>
      <w:pPr>
        <w:pStyle w:val="1856"/>
        <w:ind w:firstLine="462"/>
        <w:rPr>
          <w:color w:val="000000" w:themeColor="text1"/>
          <w14:textFill>
            <w14:solidFill>
              <w14:schemeClr w14:val="tx1"/>
            </w14:solidFill>
          </w14:textFill>
        </w:rPr>
      </w:pPr>
      <w:r>
        <w:rPr>
          <w:rFonts w:hint="eastAsia"/>
          <w:color w:val="000000" w:themeColor="text1"/>
          <w14:textFill>
            <w14:solidFill>
              <w14:schemeClr w14:val="tx1"/>
            </w14:solidFill>
          </w14:textFill>
        </w:rPr>
        <w:t>9号10号泊位</w:t>
      </w:r>
      <w:r>
        <w:rPr>
          <w:color w:val="000000" w:themeColor="text1"/>
          <w14:textFill>
            <w14:solidFill>
              <w14:schemeClr w14:val="tx1"/>
            </w14:solidFill>
          </w14:textFill>
        </w:rPr>
        <w:t>港内的船舶、生活用水接自7号8号泊位，接管点位于本项目与7号8号泊位分界处，管径DN200。水源由市政管网提供，经供水调节站（位于7号8号泊位）生活泵组加压后供给各个用水点，管网呈环状布置；管道一般敷设在道路边沿或管沟。</w:t>
      </w:r>
    </w:p>
    <w:p>
      <w:pPr>
        <w:pStyle w:val="1856"/>
        <w:ind w:firstLine="462"/>
        <w:rPr>
          <w:color w:val="000000" w:themeColor="text1"/>
          <w14:textFill>
            <w14:solidFill>
              <w14:schemeClr w14:val="tx1"/>
            </w14:solidFill>
          </w14:textFill>
        </w:rPr>
      </w:pPr>
      <w:r>
        <w:rPr>
          <w:color w:val="000000" w:themeColor="text1"/>
          <w14:textFill>
            <w14:solidFill>
              <w14:schemeClr w14:val="tx1"/>
            </w14:solidFill>
          </w14:textFill>
        </w:rPr>
        <w:t>消防水源来源于7号8号泊位供水调节站，通过消防泵站加压后分别供给消火栓给水管网。港区不新建陆域消防站，依托周边港区现有消防站。</w:t>
      </w:r>
    </w:p>
    <w:p>
      <w:pPr>
        <w:pStyle w:val="1856"/>
        <w:ind w:firstLine="464"/>
        <w:rPr>
          <w:b/>
          <w:color w:val="000000" w:themeColor="text1"/>
          <w14:textFill>
            <w14:solidFill>
              <w14:schemeClr w14:val="tx1"/>
            </w14:solidFill>
          </w14:textFill>
        </w:rPr>
      </w:pPr>
      <w:r>
        <w:rPr>
          <w:rFonts w:hint="eastAsia"/>
          <w:b/>
          <w:color w:val="000000" w:themeColor="text1"/>
          <w14:textFill>
            <w14:solidFill>
              <w14:schemeClr w14:val="tx1"/>
            </w14:solidFill>
          </w14:textFill>
        </w:rPr>
        <w:t>2、</w:t>
      </w:r>
      <w:r>
        <w:rPr>
          <w:b/>
          <w:color w:val="000000" w:themeColor="text1"/>
          <w14:textFill>
            <w14:solidFill>
              <w14:schemeClr w14:val="tx1"/>
            </w14:solidFill>
          </w14:textFill>
        </w:rPr>
        <w:t>排水</w:t>
      </w:r>
    </w:p>
    <w:p>
      <w:pPr>
        <w:pStyle w:val="1856"/>
        <w:ind w:firstLine="462"/>
        <w:rPr>
          <w:color w:val="000000" w:themeColor="text1"/>
          <w:u w:val="single"/>
          <w14:textFill>
            <w14:solidFill>
              <w14:schemeClr w14:val="tx1"/>
            </w14:solidFill>
          </w14:textFill>
        </w:rPr>
      </w:pPr>
      <w:r>
        <w:rPr>
          <w:rFonts w:hint="eastAsia"/>
          <w:color w:val="000000" w:themeColor="text1"/>
          <w:u w:val="single"/>
          <w14:textFill>
            <w14:solidFill>
              <w14:schemeClr w14:val="tx1"/>
            </w14:solidFill>
          </w14:textFill>
        </w:rPr>
        <w:t>（1）雨水工程</w:t>
      </w:r>
    </w:p>
    <w:p>
      <w:pPr>
        <w:pStyle w:val="1856"/>
        <w:ind w:firstLine="462"/>
        <w:rPr>
          <w:color w:val="000000" w:themeColor="text1"/>
          <w:u w:val="single"/>
          <w14:textFill>
            <w14:solidFill>
              <w14:schemeClr w14:val="tx1"/>
            </w14:solidFill>
          </w14:textFill>
        </w:rPr>
      </w:pPr>
      <w:r>
        <w:rPr>
          <w:color w:val="000000" w:themeColor="text1"/>
          <w:u w:val="single"/>
          <w14:textFill>
            <w14:solidFill>
              <w14:schemeClr w14:val="tx1"/>
            </w14:solidFill>
          </w14:textFill>
        </w:rPr>
        <w:t>港区排水体制采用分流制，港区雨水排水系统由雨水口、检查井和雨水管道组成</w:t>
      </w:r>
      <w:r>
        <w:rPr>
          <w:rFonts w:hint="eastAsia"/>
          <w:color w:val="000000" w:themeColor="text1"/>
          <w:u w:val="single"/>
          <w14:textFill>
            <w14:solidFill>
              <w14:schemeClr w14:val="tx1"/>
            </w14:solidFill>
          </w14:textFill>
        </w:rPr>
        <w:t>，雨水经收集后排放至海域</w:t>
      </w:r>
      <w:r>
        <w:rPr>
          <w:color w:val="000000" w:themeColor="text1"/>
          <w:u w:val="single"/>
          <w14:textFill>
            <w14:solidFill>
              <w14:schemeClr w14:val="tx1"/>
            </w14:solidFill>
          </w14:textFill>
        </w:rPr>
        <w:t>。</w:t>
      </w:r>
    </w:p>
    <w:p>
      <w:pPr>
        <w:pStyle w:val="1856"/>
        <w:ind w:firstLine="462"/>
        <w:rPr>
          <w:color w:val="000000" w:themeColor="text1"/>
          <w:u w:val="single"/>
          <w14:textFill>
            <w14:solidFill>
              <w14:schemeClr w14:val="tx1"/>
            </w14:solidFill>
          </w14:textFill>
        </w:rPr>
      </w:pPr>
      <w:r>
        <w:rPr>
          <w:rFonts w:hint="eastAsia"/>
          <w:color w:val="000000" w:themeColor="text1"/>
          <w:u w:val="single"/>
          <w14:textFill>
            <w14:solidFill>
              <w14:schemeClr w14:val="tx1"/>
            </w14:solidFill>
          </w14:textFill>
        </w:rPr>
        <w:t>各建筑物的屋面雨水由雨水斗收集</w:t>
      </w:r>
      <w:r>
        <w:rPr>
          <w:rFonts w:hint="eastAsia"/>
          <w:color w:val="000000" w:themeColor="text1"/>
          <w:u w:val="single"/>
          <w:lang w:eastAsia="zh-CN"/>
          <w14:textFill>
            <w14:solidFill>
              <w14:schemeClr w14:val="tx1"/>
            </w14:solidFill>
          </w14:textFill>
        </w:rPr>
        <w:t>，</w:t>
      </w:r>
      <w:r>
        <w:rPr>
          <w:rFonts w:hint="eastAsia"/>
          <w:color w:val="000000" w:themeColor="text1"/>
          <w:u w:val="single"/>
          <w14:textFill>
            <w14:solidFill>
              <w14:schemeClr w14:val="tx1"/>
            </w14:solidFill>
          </w14:textFill>
        </w:rPr>
        <w:t>经雨水立管接至地面后就近接至雨水检查井或雨水口。各个建筑物里的集水坑积水，通过潜污泵和管道排至附近雨水检查井。室外道路雨水采用雨水口收集后接至雨水井。码头轨道槽和工艺预埋件坑积水通过预埋排水钢管排入排水明沟、集水口或雨水口。本工程的电缆井、电缆沟、电缆隧道、通信人孔、通信手孔、阀门井、地下式消火栓井等地下构筑物的积水通过排水管就近接入雨水检查井。</w:t>
      </w:r>
    </w:p>
    <w:p>
      <w:pPr>
        <w:pStyle w:val="1856"/>
        <w:ind w:firstLine="462"/>
        <w:rPr>
          <w:color w:val="000000" w:themeColor="text1"/>
          <w:u w:val="single"/>
          <w14:textFill>
            <w14:solidFill>
              <w14:schemeClr w14:val="tx1"/>
            </w14:solidFill>
          </w14:textFill>
        </w:rPr>
      </w:pPr>
      <w:r>
        <w:rPr>
          <w:rFonts w:hint="eastAsia"/>
          <w:color w:val="000000" w:themeColor="text1"/>
          <w:u w:val="single"/>
          <w14:textFill>
            <w14:solidFill>
              <w14:schemeClr w14:val="tx1"/>
            </w14:solidFill>
          </w14:textFill>
        </w:rPr>
        <w:t>现有9号1</w:t>
      </w:r>
      <w:r>
        <w:rPr>
          <w:color w:val="000000" w:themeColor="text1"/>
          <w:u w:val="single"/>
          <w14:textFill>
            <w14:solidFill>
              <w14:schemeClr w14:val="tx1"/>
            </w14:solidFill>
          </w14:textFill>
        </w:rPr>
        <w:t>0</w:t>
      </w:r>
      <w:r>
        <w:rPr>
          <w:rFonts w:hint="eastAsia"/>
          <w:color w:val="000000" w:themeColor="text1"/>
          <w:u w:val="single"/>
          <w14:textFill>
            <w14:solidFill>
              <w14:schemeClr w14:val="tx1"/>
            </w14:solidFill>
          </w14:textFill>
        </w:rPr>
        <w:t>号泊位共设2个雨水出水口，排水出口内底标高约为0.975m，设计高水位为4.68m，故在设计高水位时雨水排水为淹没出流。雨水出水口位置见图2</w:t>
      </w:r>
      <w:r>
        <w:rPr>
          <w:color w:val="000000" w:themeColor="text1"/>
          <w:u w:val="single"/>
          <w14:textFill>
            <w14:solidFill>
              <w14:schemeClr w14:val="tx1"/>
            </w14:solidFill>
          </w14:textFill>
        </w:rPr>
        <w:t>.1-7</w:t>
      </w:r>
      <w:r>
        <w:rPr>
          <w:rFonts w:hint="eastAsia"/>
          <w:color w:val="000000" w:themeColor="text1"/>
          <w:u w:val="single"/>
          <w14:textFill>
            <w14:solidFill>
              <w14:schemeClr w14:val="tx1"/>
            </w14:solidFill>
          </w14:textFill>
        </w:rPr>
        <w:t>。</w:t>
      </w:r>
    </w:p>
    <w:tbl>
      <w:tblPr>
        <w:tblStyle w:val="89"/>
        <w:tblW w:w="830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30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8302" w:type="dxa"/>
            <w:tcBorders>
              <w:top w:val="nil"/>
              <w:left w:val="nil"/>
              <w:bottom w:val="nil"/>
              <w:right w:val="nil"/>
            </w:tcBorders>
            <w:vAlign w:val="center"/>
          </w:tcPr>
          <w:p>
            <w:pPr>
              <w:pStyle w:val="1856"/>
              <w:ind w:firstLine="0" w:firstLineChars="0"/>
              <w:jc w:val="center"/>
              <w:rPr>
                <w:color w:val="000000" w:themeColor="text1"/>
                <w:u w:val="single"/>
                <w14:textFill>
                  <w14:solidFill>
                    <w14:schemeClr w14:val="tx1"/>
                  </w14:solidFill>
                </w14:textFill>
              </w:rPr>
            </w:pPr>
            <w:r>
              <w:rPr>
                <w:color w:val="000000" w:themeColor="text1"/>
                <w:lang w:val="en-US"/>
                <w14:textFill>
                  <w14:solidFill>
                    <w14:schemeClr w14:val="tx1"/>
                  </w14:solidFill>
                </w14:textFill>
              </w:rPr>
              <w:drawing>
                <wp:inline distT="0" distB="0" distL="0" distR="0">
                  <wp:extent cx="5003165" cy="3320415"/>
                  <wp:effectExtent l="0" t="0" r="6985" b="0"/>
                  <wp:docPr id="34" name="图片 34" descr="E:\QQ下载文件默认路径\961085211\nt_qq\nt_data\Pic\2024-11\Ori\0038b44fc0b81b1b8ba9c12a5e58dcb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descr="E:\QQ下载文件默认路径\961085211\nt_qq\nt_data\Pic\2024-11\Ori\0038b44fc0b81b1b8ba9c12a5e58dcb8.jpe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a:xfrm>
                            <a:off x="0" y="0"/>
                            <a:ext cx="5014993" cy="3328647"/>
                          </a:xfrm>
                          <a:prstGeom prst="rect">
                            <a:avLst/>
                          </a:prstGeom>
                          <a:noFill/>
                          <a:ln>
                            <a:noFill/>
                          </a:ln>
                        </pic:spPr>
                      </pic:pic>
                    </a:graphicData>
                  </a:graphic>
                </wp:inline>
              </w:drawing>
            </w:r>
          </w:p>
          <w:p>
            <w:pPr>
              <w:pStyle w:val="553"/>
              <w:rPr>
                <w:color w:val="000000" w:themeColor="text1"/>
                <w:u w:val="single"/>
                <w14:textFill>
                  <w14:solidFill>
                    <w14:schemeClr w14:val="tx1"/>
                  </w14:solidFill>
                </w14:textFill>
              </w:rPr>
            </w:pPr>
            <w:r>
              <w:rPr>
                <w:rFonts w:hint="eastAsia"/>
                <w:color w:val="000000" w:themeColor="text1"/>
                <w14:textFill>
                  <w14:solidFill>
                    <w14:schemeClr w14:val="tx1"/>
                  </w14:solidFill>
                </w14:textFill>
              </w:rPr>
              <w:t>现有9号1</w:t>
            </w:r>
            <w:r>
              <w:rPr>
                <w:color w:val="000000" w:themeColor="text1"/>
                <w14:textFill>
                  <w14:solidFill>
                    <w14:schemeClr w14:val="tx1"/>
                  </w14:solidFill>
                </w14:textFill>
              </w:rPr>
              <w:t>0</w:t>
            </w:r>
            <w:r>
              <w:rPr>
                <w:rFonts w:hint="eastAsia"/>
                <w:color w:val="000000" w:themeColor="text1"/>
                <w14:textFill>
                  <w14:solidFill>
                    <w14:schemeClr w14:val="tx1"/>
                  </w14:solidFill>
                </w14:textFill>
              </w:rPr>
              <w:t>号泊位雨、污水平面布置图</w:t>
            </w:r>
          </w:p>
        </w:tc>
      </w:tr>
    </w:tbl>
    <w:p>
      <w:pPr>
        <w:pStyle w:val="1856"/>
        <w:ind w:firstLine="462"/>
        <w:rPr>
          <w:color w:val="000000" w:themeColor="text1"/>
          <w14:textFill>
            <w14:solidFill>
              <w14:schemeClr w14:val="tx1"/>
            </w14:solidFill>
          </w14:textFill>
        </w:rPr>
      </w:pPr>
      <w:r>
        <w:rPr>
          <w:color w:val="000000" w:themeColor="text1"/>
          <w14:textFill>
            <w14:solidFill>
              <w14:schemeClr w14:val="tx1"/>
            </w14:solidFill>
          </w14:textFill>
        </w:rPr>
        <w:t>港区不</w:t>
      </w:r>
      <w:r>
        <w:rPr>
          <w:rFonts w:hint="eastAsia"/>
          <w:color w:val="000000" w:themeColor="text1"/>
          <w14:textFill>
            <w14:solidFill>
              <w14:schemeClr w14:val="tx1"/>
            </w14:solidFill>
          </w14:textFill>
        </w:rPr>
        <w:t>接收</w:t>
      </w:r>
      <w:r>
        <w:rPr>
          <w:color w:val="000000" w:themeColor="text1"/>
          <w14:textFill>
            <w14:solidFill>
              <w14:schemeClr w14:val="tx1"/>
            </w14:solidFill>
          </w14:textFill>
        </w:rPr>
        <w:t>船舶污水，不产生生产废水。港区设置了一处厕所，产生的生活污水经收集后泵送至7号8号泊位的生活污水处理站，经处理达标后排入市政污水管网。</w:t>
      </w:r>
    </w:p>
    <w:p>
      <w:pPr>
        <w:pStyle w:val="1856"/>
        <w:ind w:firstLine="464"/>
        <w:rPr>
          <w:b/>
          <w:color w:val="000000" w:themeColor="text1"/>
          <w14:textFill>
            <w14:solidFill>
              <w14:schemeClr w14:val="tx1"/>
            </w14:solidFill>
          </w14:textFill>
        </w:rPr>
      </w:pPr>
      <w:r>
        <w:rPr>
          <w:rFonts w:hint="eastAsia"/>
          <w:b/>
          <w:color w:val="000000" w:themeColor="text1"/>
          <w14:textFill>
            <w14:solidFill>
              <w14:schemeClr w14:val="tx1"/>
            </w14:solidFill>
          </w14:textFill>
        </w:rPr>
        <w:t>3、</w:t>
      </w:r>
      <w:r>
        <w:rPr>
          <w:b/>
          <w:color w:val="000000" w:themeColor="text1"/>
          <w14:textFill>
            <w14:solidFill>
              <w14:schemeClr w14:val="tx1"/>
            </w14:solidFill>
          </w14:textFill>
        </w:rPr>
        <w:t>消防</w:t>
      </w:r>
    </w:p>
    <w:p>
      <w:pPr>
        <w:pStyle w:val="1856"/>
        <w:ind w:firstLine="462"/>
        <w:rPr>
          <w:color w:val="000000" w:themeColor="text1"/>
          <w14:textFill>
            <w14:solidFill>
              <w14:schemeClr w14:val="tx1"/>
            </w14:solidFill>
          </w14:textFill>
        </w:rPr>
      </w:pPr>
      <w:r>
        <w:rPr>
          <w:color w:val="000000" w:themeColor="text1"/>
          <w14:textFill>
            <w14:solidFill>
              <w14:schemeClr w14:val="tx1"/>
            </w14:solidFill>
          </w14:textFill>
        </w:rPr>
        <w:t>港区装卸堆存集装箱，火灾危险性为丁类，港区配备的消防设备主要为消火栓供水泵组、自动喷淋给水泵组、室外地上（下）式消火栓、各建筑室内消火栓、灭火器等。港区所有建筑物根据建筑物的性质及危险等级分别配置不同种类的灭火器。</w:t>
      </w:r>
    </w:p>
    <w:p>
      <w:pPr>
        <w:pStyle w:val="1856"/>
        <w:ind w:firstLine="462"/>
        <w:rPr>
          <w:color w:val="000000" w:themeColor="text1"/>
          <w14:textFill>
            <w14:solidFill>
              <w14:schemeClr w14:val="tx1"/>
            </w14:solidFill>
          </w14:textFill>
        </w:rPr>
      </w:pPr>
      <w:r>
        <w:rPr>
          <w:color w:val="000000" w:themeColor="text1"/>
          <w14:textFill>
            <w14:solidFill>
              <w14:schemeClr w14:val="tx1"/>
            </w14:solidFill>
          </w14:textFill>
        </w:rPr>
        <w:t>港区附近已建有消防站，位于保税港区八大街，中石油办公楼附近，本工程不单独增设独立陆域消防站，消防依托现有消防站。</w:t>
      </w:r>
    </w:p>
    <w:p>
      <w:pPr>
        <w:pStyle w:val="5"/>
        <w:rPr>
          <w:color w:val="000000" w:themeColor="text1"/>
          <w14:textFill>
            <w14:solidFill>
              <w14:schemeClr w14:val="tx1"/>
            </w14:solidFill>
          </w14:textFill>
        </w:rPr>
      </w:pPr>
      <w:r>
        <w:rPr>
          <w:rFonts w:hint="eastAsia"/>
          <w:color w:val="000000" w:themeColor="text1"/>
          <w14:textFill>
            <w14:solidFill>
              <w14:schemeClr w14:val="tx1"/>
            </w14:solidFill>
          </w14:textFill>
        </w:rPr>
        <w:t>现有9号10号泊位用海情况</w:t>
      </w:r>
    </w:p>
    <w:p>
      <w:pPr>
        <w:pStyle w:val="1856"/>
        <w:ind w:firstLine="462"/>
        <w:rPr>
          <w:color w:val="000000" w:themeColor="text1"/>
          <w14:textFill>
            <w14:solidFill>
              <w14:schemeClr w14:val="tx1"/>
            </w14:solidFill>
          </w14:textFill>
        </w:rPr>
      </w:pPr>
      <w:r>
        <w:rPr>
          <w:rFonts w:hint="eastAsia"/>
          <w:color w:val="000000" w:themeColor="text1"/>
          <w14:textFill>
            <w14:solidFill>
              <w14:schemeClr w14:val="tx1"/>
            </w14:solidFill>
          </w14:textFill>
        </w:rPr>
        <w:t>现有北部湾港钦州港域大榄坪港区大榄坪南作业区9号10号码头用海已于2010年取得海域使用权证（国海证094500028（钦州保税港区宏远物流配送中心）、“国海证094500029（钦州保税港区昊鼎物流配送中心项目）”“国海证104500028（钦州保税港区宏泰仓储项目）”），上述海域使用相关业务于2018年7月由广西钦州保税港区开发投资有限责任公司无偿划拨给广西钦州保税港区宏港码头有限公司。</w:t>
      </w:r>
    </w:p>
    <w:p>
      <w:pPr>
        <w:pStyle w:val="1856"/>
        <w:ind w:firstLine="462"/>
        <w:rPr>
          <w:color w:val="000000" w:themeColor="text1"/>
          <w14:textFill>
            <w14:solidFill>
              <w14:schemeClr w14:val="tx1"/>
            </w14:solidFill>
          </w14:textFill>
        </w:rPr>
      </w:pPr>
      <w:r>
        <w:rPr>
          <w:rFonts w:hint="eastAsia"/>
          <w:color w:val="000000" w:themeColor="text1"/>
          <w14:textFill>
            <w14:solidFill>
              <w14:schemeClr w14:val="tx1"/>
            </w14:solidFill>
          </w14:textFill>
        </w:rPr>
        <w:t>现有9号10号泊位工程占用港口岸线783m，码头前沿港池用海面积9.6314hm</w:t>
      </w:r>
      <w:r>
        <w:rPr>
          <w:rFonts w:hint="eastAsia"/>
          <w:color w:val="000000" w:themeColor="text1"/>
          <w:vertAlign w:val="superscript"/>
          <w14:textFill>
            <w14:solidFill>
              <w14:schemeClr w14:val="tx1"/>
            </w14:solidFill>
          </w14:textFill>
        </w:rPr>
        <w:t>2</w:t>
      </w:r>
      <w:r>
        <w:rPr>
          <w:rFonts w:hint="eastAsia"/>
          <w:color w:val="000000" w:themeColor="text1"/>
          <w14:textFill>
            <w14:solidFill>
              <w14:schemeClr w14:val="tx1"/>
            </w14:solidFill>
          </w14:textFill>
        </w:rPr>
        <w:t>，已取得不动产权证（桂（2020）钦州市不动产权第0033363号）。</w:t>
      </w:r>
    </w:p>
    <w:p>
      <w:pPr>
        <w:pStyle w:val="1856"/>
        <w:ind w:firstLine="462"/>
        <w:rPr>
          <w:color w:val="000000" w:themeColor="text1"/>
          <w14:textFill>
            <w14:solidFill>
              <w14:schemeClr w14:val="tx1"/>
            </w14:solidFill>
          </w14:textFill>
        </w:rPr>
      </w:pPr>
      <w:r>
        <w:rPr>
          <w:rFonts w:hint="eastAsia"/>
          <w:color w:val="000000" w:themeColor="text1"/>
          <w14:textFill>
            <w14:solidFill>
              <w14:schemeClr w14:val="tx1"/>
            </w14:solidFill>
          </w14:textFill>
        </w:rPr>
        <w:t>现有9号10号泊位工程泊位陆域围填海均已完成，围填海区域及停泊海域产权明确，相关手续齐全，并均属于9号10号泊位建设单位广西钦州保税港区宏港码头有限公司。</w:t>
      </w:r>
    </w:p>
    <w:p>
      <w:pPr>
        <w:pStyle w:val="5"/>
        <w:rPr>
          <w:color w:val="000000" w:themeColor="text1"/>
          <w14:textFill>
            <w14:solidFill>
              <w14:schemeClr w14:val="tx1"/>
            </w14:solidFill>
          </w14:textFill>
        </w:rPr>
      </w:pPr>
      <w:r>
        <w:rPr>
          <w:rFonts w:hint="eastAsia"/>
          <w:color w:val="000000" w:themeColor="text1"/>
          <w14:textFill>
            <w14:solidFill>
              <w14:schemeClr w14:val="tx1"/>
            </w14:solidFill>
          </w14:textFill>
        </w:rPr>
        <w:t>环保工程及运行情况</w:t>
      </w:r>
    </w:p>
    <w:p>
      <w:pPr>
        <w:pStyle w:val="1856"/>
        <w:ind w:firstLine="462"/>
        <w:rPr>
          <w:color w:val="000000" w:themeColor="text1"/>
          <w14:textFill>
            <w14:solidFill>
              <w14:schemeClr w14:val="tx1"/>
            </w14:solidFill>
          </w14:textFill>
        </w:rPr>
      </w:pPr>
      <w:r>
        <w:rPr>
          <w:rFonts w:hint="eastAsia"/>
          <w:color w:val="000000" w:themeColor="text1"/>
          <w14:textFill>
            <w14:solidFill>
              <w14:schemeClr w14:val="tx1"/>
            </w14:solidFill>
          </w14:textFill>
        </w:rPr>
        <w:t>现有9号10号泊位依托的生活污水处理站、危险废物贮存库、水上污染事故应急设备库均位于钦州港大榄坪港区大榄坪南作业区7号8号泊位集装箱自动化改造工程后方陆域辅建区。</w:t>
      </w:r>
    </w:p>
    <w:p>
      <w:pPr>
        <w:pStyle w:val="6"/>
        <w:rPr>
          <w:color w:val="000000" w:themeColor="text1"/>
          <w14:textFill>
            <w14:solidFill>
              <w14:schemeClr w14:val="tx1"/>
            </w14:solidFill>
          </w14:textFill>
        </w:rPr>
      </w:pPr>
      <w:r>
        <w:rPr>
          <w:rFonts w:hint="eastAsia"/>
          <w:color w:val="000000" w:themeColor="text1"/>
          <w14:textFill>
            <w14:solidFill>
              <w14:schemeClr w14:val="tx1"/>
            </w14:solidFill>
          </w14:textFill>
        </w:rPr>
        <w:t>生活污水处理站</w:t>
      </w:r>
    </w:p>
    <w:p>
      <w:pPr>
        <w:ind w:firstLine="482"/>
        <w:rPr>
          <w:color w:val="000000" w:themeColor="text1"/>
          <w14:textFill>
            <w14:solidFill>
              <w14:schemeClr w14:val="tx1"/>
            </w14:solidFill>
          </w14:textFill>
        </w:rPr>
      </w:pPr>
      <w:r>
        <w:rPr>
          <w:rFonts w:hint="eastAsia"/>
          <w:color w:val="000000" w:themeColor="text1"/>
          <w14:textFill>
            <w14:solidFill>
              <w14:schemeClr w14:val="tx1"/>
            </w14:solidFill>
          </w14:textFill>
        </w:rPr>
        <w:t>9号10号泊位生活污水经收集后泵送至生活污水处理站预处理。</w:t>
      </w:r>
    </w:p>
    <w:p>
      <w:pPr>
        <w:ind w:firstLine="482"/>
        <w:rPr>
          <w:b/>
          <w:color w:val="000000" w:themeColor="text1"/>
          <w14:textFill>
            <w14:solidFill>
              <w14:schemeClr w14:val="tx1"/>
            </w14:solidFill>
          </w14:textFill>
        </w:rPr>
      </w:pPr>
      <w:r>
        <w:rPr>
          <w:rFonts w:hint="eastAsia"/>
          <w:b/>
          <w:color w:val="000000" w:themeColor="text1"/>
          <w14:textFill>
            <w14:solidFill>
              <w14:schemeClr w14:val="tx1"/>
            </w14:solidFill>
          </w14:textFill>
        </w:rPr>
        <w:t>1、生活污水处理站概况</w:t>
      </w:r>
    </w:p>
    <w:p>
      <w:pPr>
        <w:pStyle w:val="1856"/>
        <w:ind w:firstLine="462"/>
        <w:rPr>
          <w:color w:val="000000" w:themeColor="text1"/>
          <w14:textFill>
            <w14:solidFill>
              <w14:schemeClr w14:val="tx1"/>
            </w14:solidFill>
          </w14:textFill>
        </w:rPr>
      </w:pPr>
      <w:r>
        <w:rPr>
          <w:rFonts w:hint="eastAsia"/>
          <w:color w:val="000000" w:themeColor="text1"/>
          <w:szCs w:val="24"/>
          <w14:textFill>
            <w14:solidFill>
              <w14:schemeClr w14:val="tx1"/>
            </w14:solidFill>
          </w14:textFill>
        </w:rPr>
        <w:t>生活污水处理站位于7号8号泊位后方陆域，处理规模为5m</w:t>
      </w:r>
      <w:r>
        <w:rPr>
          <w:rFonts w:hint="eastAsia"/>
          <w:color w:val="000000" w:themeColor="text1"/>
          <w:szCs w:val="24"/>
          <w:vertAlign w:val="superscript"/>
          <w14:textFill>
            <w14:solidFill>
              <w14:schemeClr w14:val="tx1"/>
            </w14:solidFill>
          </w14:textFill>
        </w:rPr>
        <w:t>3</w:t>
      </w:r>
      <w:r>
        <w:rPr>
          <w:rFonts w:hint="eastAsia"/>
          <w:color w:val="000000" w:themeColor="text1"/>
          <w:szCs w:val="24"/>
          <w14:textFill>
            <w14:solidFill>
              <w14:schemeClr w14:val="tx1"/>
            </w14:solidFill>
          </w14:textFill>
        </w:rPr>
        <w:t>/h，预处理出水水质可达到《污水排入城镇下水道水质标准》（GB/T31962-2015）B级标准。生活污水处理站设置控制机房1座，6×4×5m调节池+清水池+回用池（地下）12×4×3.6m+生化处理池基础（地下）12×4×0.4m。</w:t>
      </w:r>
    </w:p>
    <w:tbl>
      <w:tblPr>
        <w:tblStyle w:val="89"/>
        <w:tblW w:w="852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52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8528" w:type="dxa"/>
            <w:tcBorders>
              <w:top w:val="nil"/>
              <w:left w:val="nil"/>
              <w:bottom w:val="nil"/>
              <w:right w:val="nil"/>
            </w:tcBorders>
            <w:vAlign w:val="center"/>
          </w:tcPr>
          <w:p>
            <w:pPr>
              <w:pStyle w:val="7"/>
            </w:pPr>
            <w:r>
              <w:drawing>
                <wp:inline distT="0" distB="0" distL="0" distR="0">
                  <wp:extent cx="4091305" cy="2628900"/>
                  <wp:effectExtent l="0" t="0" r="4445" b="0"/>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pic:cNvPicPr>
                            <a:picLocks noChangeAspect="1"/>
                          </pic:cNvPicPr>
                        </pic:nvPicPr>
                        <pic:blipFill>
                          <a:blip r:embed="rId47"/>
                          <a:stretch>
                            <a:fillRect/>
                          </a:stretch>
                        </pic:blipFill>
                        <pic:spPr>
                          <a:xfrm>
                            <a:off x="0" y="0"/>
                            <a:ext cx="4096267" cy="2631758"/>
                          </a:xfrm>
                          <a:prstGeom prst="rect">
                            <a:avLst/>
                          </a:prstGeom>
                        </pic:spPr>
                      </pic:pic>
                    </a:graphicData>
                  </a:graphic>
                </wp:inline>
              </w:drawing>
            </w:r>
          </w:p>
          <w:p>
            <w:pPr>
              <w:pStyle w:val="553"/>
              <w:rPr>
                <w:color w:val="000000" w:themeColor="text1"/>
                <w14:textFill>
                  <w14:solidFill>
                    <w14:schemeClr w14:val="tx1"/>
                  </w14:solidFill>
                </w14:textFill>
              </w:rPr>
            </w:pPr>
            <w:r>
              <w:rPr>
                <w:rFonts w:hint="eastAsia"/>
                <w:color w:val="000000" w:themeColor="text1"/>
                <w14:textFill>
                  <w14:solidFill>
                    <w14:schemeClr w14:val="tx1"/>
                  </w14:solidFill>
                </w14:textFill>
              </w:rPr>
              <w:t>生活污水处理站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8528" w:type="dxa"/>
            <w:tcBorders>
              <w:top w:val="nil"/>
              <w:left w:val="nil"/>
              <w:bottom w:val="nil"/>
              <w:right w:val="nil"/>
            </w:tcBorders>
            <w:vAlign w:val="center"/>
          </w:tcPr>
          <w:p>
            <w:pPr>
              <w:pStyle w:val="7"/>
            </w:pPr>
            <w:r>
              <w:drawing>
                <wp:inline distT="0" distB="0" distL="0" distR="0">
                  <wp:extent cx="5114925" cy="2400300"/>
                  <wp:effectExtent l="0" t="0" r="9525" b="0"/>
                  <wp:docPr id="1507739638" name="图片 15077396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7739638" name="图片 1507739638"/>
                          <pic:cNvPicPr>
                            <a:picLocks noChangeAspect="1" noChangeArrowheads="1"/>
                          </pic:cNvPicPr>
                        </pic:nvPicPr>
                        <pic:blipFill>
                          <a:blip r:embed="rId48">
                            <a:extLst>
                              <a:ext uri="{28A0092B-C50C-407E-A947-70E740481C1C}">
                                <a14:useLocalDpi xmlns:a14="http://schemas.microsoft.com/office/drawing/2010/main" val="0"/>
                              </a:ext>
                            </a:extLst>
                          </a:blip>
                          <a:srcRect r="2541"/>
                          <a:stretch>
                            <a:fillRect/>
                          </a:stretch>
                        </pic:blipFill>
                        <pic:spPr>
                          <a:xfrm>
                            <a:off x="0" y="0"/>
                            <a:ext cx="5114925" cy="2400300"/>
                          </a:xfrm>
                          <a:prstGeom prst="rect">
                            <a:avLst/>
                          </a:prstGeom>
                          <a:noFill/>
                          <a:ln>
                            <a:noFill/>
                          </a:ln>
                        </pic:spPr>
                      </pic:pic>
                    </a:graphicData>
                  </a:graphic>
                </wp:inline>
              </w:drawing>
            </w:r>
          </w:p>
          <w:p>
            <w:pPr>
              <w:pStyle w:val="553"/>
              <w:rPr>
                <w:color w:val="000000" w:themeColor="text1"/>
                <w14:textFill>
                  <w14:solidFill>
                    <w14:schemeClr w14:val="tx1"/>
                  </w14:solidFill>
                </w14:textFill>
              </w:rPr>
            </w:pPr>
            <w:r>
              <w:rPr>
                <w:rFonts w:hint="eastAsia"/>
                <w:color w:val="000000" w:themeColor="text1"/>
                <w14:textFill>
                  <w14:solidFill>
                    <w14:schemeClr w14:val="tx1"/>
                  </w14:solidFill>
                </w14:textFill>
              </w:rPr>
              <w:t>生活污水处理站处理流程</w:t>
            </w:r>
          </w:p>
        </w:tc>
      </w:tr>
    </w:tbl>
    <w:p>
      <w:pPr>
        <w:ind w:firstLine="482"/>
        <w:rPr>
          <w:b/>
          <w:color w:val="000000" w:themeColor="text1"/>
          <w14:textFill>
            <w14:solidFill>
              <w14:schemeClr w14:val="tx1"/>
            </w14:solidFill>
          </w14:textFill>
        </w:rPr>
      </w:pPr>
      <w:r>
        <w:rPr>
          <w:rFonts w:hint="eastAsia"/>
          <w:b/>
          <w:color w:val="000000" w:themeColor="text1"/>
          <w14:textFill>
            <w14:solidFill>
              <w14:schemeClr w14:val="tx1"/>
            </w14:solidFill>
          </w14:textFill>
        </w:rPr>
        <w:t>2、2024年运行情况</w:t>
      </w:r>
    </w:p>
    <w:p>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根据2024年生活污水处理设施日常运行记录，生活污水处理站1月～5月日处理水量10～25t，设备每日开闭时间2～4h，平均处理量为11.91t/d。</w:t>
      </w:r>
    </w:p>
    <w:tbl>
      <w:tblPr>
        <w:tblStyle w:val="88"/>
        <w:tblW w:w="8522" w:type="dxa"/>
        <w:tblInd w:w="0" w:type="dxa"/>
        <w:tblLayout w:type="fixed"/>
        <w:tblCellMar>
          <w:top w:w="0" w:type="dxa"/>
          <w:left w:w="108" w:type="dxa"/>
          <w:bottom w:w="0" w:type="dxa"/>
          <w:right w:w="108" w:type="dxa"/>
        </w:tblCellMar>
      </w:tblPr>
      <w:tblGrid>
        <w:gridCol w:w="8522"/>
      </w:tblGrid>
      <w:tr>
        <w:tblPrEx>
          <w:tblLayout w:type="fixed"/>
          <w:tblCellMar>
            <w:top w:w="0" w:type="dxa"/>
            <w:left w:w="108" w:type="dxa"/>
            <w:bottom w:w="0" w:type="dxa"/>
            <w:right w:w="108" w:type="dxa"/>
          </w:tblCellMar>
        </w:tblPrEx>
        <w:tc>
          <w:tcPr>
            <w:tcW w:w="8522" w:type="dxa"/>
            <w:shd w:val="clear" w:color="auto" w:fill="auto"/>
            <w:vAlign w:val="center"/>
          </w:tcPr>
          <w:p>
            <w:pPr>
              <w:jc w:val="center"/>
              <w:rPr>
                <w:color w:val="000000" w:themeColor="text1"/>
                <w14:textFill>
                  <w14:solidFill>
                    <w14:schemeClr w14:val="tx1"/>
                  </w14:solidFill>
                </w14:textFill>
              </w:rPr>
            </w:pPr>
            <w:r>
              <w:rPr>
                <w:color w:val="000000" w:themeColor="text1"/>
                <w14:textFill>
                  <w14:solidFill>
                    <w14:schemeClr w14:val="tx1"/>
                  </w14:solidFill>
                </w14:textFill>
              </w:rPr>
              <w:drawing>
                <wp:inline distT="0" distB="0" distL="0" distR="0">
                  <wp:extent cx="4095750" cy="2819400"/>
                  <wp:effectExtent l="0" t="0" r="0" b="0"/>
                  <wp:docPr id="1507739645" name="图片 15077396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7739645" name="图片 1507739645"/>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a:xfrm>
                            <a:off x="0" y="0"/>
                            <a:ext cx="4095750" cy="2819400"/>
                          </a:xfrm>
                          <a:prstGeom prst="rect">
                            <a:avLst/>
                          </a:prstGeom>
                          <a:noFill/>
                          <a:ln>
                            <a:noFill/>
                          </a:ln>
                        </pic:spPr>
                      </pic:pic>
                    </a:graphicData>
                  </a:graphic>
                </wp:inline>
              </w:drawing>
            </w:r>
          </w:p>
        </w:tc>
      </w:tr>
      <w:tr>
        <w:tblPrEx>
          <w:tblLayout w:type="fixed"/>
          <w:tblCellMar>
            <w:top w:w="0" w:type="dxa"/>
            <w:left w:w="108" w:type="dxa"/>
            <w:bottom w:w="0" w:type="dxa"/>
            <w:right w:w="108" w:type="dxa"/>
          </w:tblCellMar>
        </w:tblPrEx>
        <w:tc>
          <w:tcPr>
            <w:tcW w:w="8522" w:type="dxa"/>
            <w:shd w:val="clear" w:color="auto" w:fill="auto"/>
          </w:tcPr>
          <w:p>
            <w:pPr>
              <w:jc w:val="center"/>
              <w:rPr>
                <w:color w:val="000000" w:themeColor="text1"/>
                <w14:textFill>
                  <w14:solidFill>
                    <w14:schemeClr w14:val="tx1"/>
                  </w14:solidFill>
                </w14:textFill>
              </w:rPr>
            </w:pPr>
          </w:p>
          <w:p>
            <w:pPr>
              <w:pStyle w:val="553"/>
              <w:rPr>
                <w:color w:val="000000" w:themeColor="text1"/>
                <w:u w:val="single"/>
                <w14:textFill>
                  <w14:solidFill>
                    <w14:schemeClr w14:val="tx1"/>
                  </w14:solidFill>
                </w14:textFill>
              </w:rPr>
            </w:pPr>
            <w:r>
              <w:rPr>
                <w:rFonts w:hint="eastAsia"/>
                <w:color w:val="000000" w:themeColor="text1"/>
                <w14:textFill>
                  <w14:solidFill>
                    <w14:schemeClr w14:val="tx1"/>
                  </w14:solidFill>
                </w14:textFill>
              </w:rPr>
              <w:t>生活污水处理站运行记录表（节选）</w:t>
            </w:r>
          </w:p>
        </w:tc>
      </w:tr>
    </w:tbl>
    <w:p>
      <w:pPr>
        <w:ind w:firstLine="482"/>
        <w:rPr>
          <w:b/>
          <w:color w:val="000000" w:themeColor="text1"/>
          <w14:textFill>
            <w14:solidFill>
              <w14:schemeClr w14:val="tx1"/>
            </w14:solidFill>
          </w14:textFill>
        </w:rPr>
      </w:pPr>
      <w:r>
        <w:rPr>
          <w:rFonts w:hint="eastAsia"/>
          <w:b/>
          <w:color w:val="000000" w:themeColor="text1"/>
          <w14:textFill>
            <w14:solidFill>
              <w14:schemeClr w14:val="tx1"/>
            </w14:solidFill>
          </w14:textFill>
        </w:rPr>
        <w:t>3、污水处理设施运行效果</w:t>
      </w:r>
    </w:p>
    <w:p>
      <w:pPr>
        <w:ind w:firstLine="462" w:firstLineChars="200"/>
        <w:rPr>
          <w:color w:val="000000" w:themeColor="text1"/>
          <w14:textFill>
            <w14:solidFill>
              <w14:schemeClr w14:val="tx1"/>
            </w14:solidFill>
          </w14:textFill>
        </w:rPr>
      </w:pPr>
      <w:r>
        <w:rPr>
          <w:rFonts w:hint="eastAsia"/>
          <w:color w:val="000000" w:themeColor="text1"/>
          <w14:textFill>
            <w14:solidFill>
              <w14:schemeClr w14:val="tx1"/>
            </w14:solidFill>
          </w14:textFill>
        </w:rPr>
        <w:t>根据《广西钦州保税港区盛港码头有限公司2024年度环境例行监测项目》，生活污水处理站2024年2月进出水口水质监测结果见表2.1-5、表2.1-6，监测时段内生活污水处理量为15t/d。由表2.1-6可知，生活污水处理站出水口水质均能达到《污水排入城镇下水道水质标准》（GB/T31962-2015）中B级标准，污水处理设施运行及处理效果良好。</w:t>
      </w:r>
    </w:p>
    <w:p>
      <w:pPr>
        <w:pStyle w:val="384"/>
        <w:ind w:left="0" w:firstLine="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生活污水处理站进水口水质监测结果</w:t>
      </w:r>
    </w:p>
    <w:p>
      <w:pPr>
        <w:pStyle w:val="384"/>
        <w:numPr>
          <w:ilvl w:val="0"/>
          <w:numId w:val="0"/>
        </w:numPr>
        <w:rPr>
          <w:rFonts w:cs="Times New Roman"/>
          <w:color w:val="000000" w:themeColor="text1"/>
          <w14:textFill>
            <w14:solidFill>
              <w14:schemeClr w14:val="tx1"/>
            </w14:solidFill>
          </w14:textFill>
        </w:rPr>
      </w:pPr>
    </w:p>
    <w:p>
      <w:pPr>
        <w:pStyle w:val="384"/>
        <w:numPr>
          <w:ilvl w:val="0"/>
          <w:numId w:val="0"/>
        </w:numPr>
        <w:rPr>
          <w:rFonts w:cs="Times New Roman"/>
          <w:color w:val="000000" w:themeColor="text1"/>
          <w14:textFill>
            <w14:solidFill>
              <w14:schemeClr w14:val="tx1"/>
            </w14:solidFill>
          </w14:textFill>
        </w:rPr>
      </w:pPr>
    </w:p>
    <w:p>
      <w:pPr>
        <w:pStyle w:val="384"/>
        <w:ind w:left="0" w:firstLine="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生活污水处理站出水口水质监测结果</w:t>
      </w:r>
    </w:p>
    <w:p>
      <w:pPr>
        <w:pStyle w:val="6"/>
        <w:rPr>
          <w:color w:val="000000" w:themeColor="text1"/>
          <w14:textFill>
            <w14:solidFill>
              <w14:schemeClr w14:val="tx1"/>
            </w14:solidFill>
          </w14:textFill>
        </w:rPr>
      </w:pPr>
      <w:r>
        <w:rPr>
          <w:rFonts w:hint="eastAsia"/>
          <w:color w:val="000000" w:themeColor="text1"/>
          <w14:textFill>
            <w14:solidFill>
              <w14:schemeClr w14:val="tx1"/>
            </w14:solidFill>
          </w14:textFill>
        </w:rPr>
        <w:t>水上污染事故应急设备库</w:t>
      </w:r>
    </w:p>
    <w:p>
      <w:pPr>
        <w:pStyle w:val="1856"/>
        <w:ind w:firstLine="462"/>
        <w:rPr>
          <w:color w:val="000000" w:themeColor="text1"/>
          <w14:textFill>
            <w14:solidFill>
              <w14:schemeClr w14:val="tx1"/>
            </w14:solidFill>
          </w14:textFill>
        </w:rPr>
      </w:pPr>
      <w:r>
        <w:rPr>
          <w:rFonts w:hint="eastAsia"/>
          <w:color w:val="000000" w:themeColor="text1"/>
          <w14:textFill>
            <w14:solidFill>
              <w14:schemeClr w14:val="tx1"/>
            </w14:solidFill>
          </w14:textFill>
        </w:rPr>
        <w:t>水上污染事故应急设备库布置于7号8号泊位后方陆域，面积为115m</w:t>
      </w:r>
      <w:r>
        <w:rPr>
          <w:rFonts w:hint="eastAsia"/>
          <w:color w:val="000000" w:themeColor="text1"/>
          <w:vertAlign w:val="superscript"/>
          <w14:textFill>
            <w14:solidFill>
              <w14:schemeClr w14:val="tx1"/>
            </w14:solidFill>
          </w14:textFill>
        </w:rPr>
        <w:t>2</w:t>
      </w:r>
      <w:r>
        <w:rPr>
          <w:rFonts w:hint="eastAsia"/>
          <w:color w:val="000000" w:themeColor="text1"/>
          <w14:textFill>
            <w14:solidFill>
              <w14:schemeClr w14:val="tx1"/>
            </w14:solidFill>
          </w14:textFill>
        </w:rPr>
        <w:t>，9号10号泊位运营管理单位购置了一批环境风险应急物资和设备，主要</w:t>
      </w:r>
      <w:r>
        <w:rPr>
          <w:color w:val="000000" w:themeColor="text1"/>
          <w14:textFill>
            <w14:solidFill>
              <w14:schemeClr w14:val="tx1"/>
            </w14:solidFill>
          </w14:textFill>
        </w:rPr>
        <w:t>包括：油拖网、吸油毡等存放在7号8号泊位后方新建的水上污染事故应急设备库内，并安排有专职人员负责日常管理和维护。</w:t>
      </w:r>
    </w:p>
    <w:tbl>
      <w:tblPr>
        <w:tblStyle w:val="89"/>
        <w:tblW w:w="852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264"/>
        <w:gridCol w:w="426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4264" w:type="dxa"/>
            <w:tcBorders>
              <w:top w:val="nil"/>
              <w:left w:val="nil"/>
              <w:bottom w:val="nil"/>
              <w:right w:val="nil"/>
            </w:tcBorders>
            <w:vAlign w:val="center"/>
          </w:tcPr>
          <w:p>
            <w:pPr>
              <w:pStyle w:val="7"/>
            </w:pPr>
            <w:r>
              <w:drawing>
                <wp:inline distT="0" distB="0" distL="0" distR="0">
                  <wp:extent cx="2519680" cy="1889760"/>
                  <wp:effectExtent l="0" t="0" r="0" b="0"/>
                  <wp:docPr id="1129" name="图片 1129" descr="C:\Users\yanni\AppData\Local\Temp\WeChat Files\ca379d9e85efc45dcebb9fc0d55aee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9" name="图片 1129" descr="C:\Users\yanni\AppData\Local\Temp\WeChat Files\ca379d9e85efc45dcebb9fc0d55aee7.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a:xfrm>
                            <a:off x="0" y="0"/>
                            <a:ext cx="2520000" cy="1890000"/>
                          </a:xfrm>
                          <a:prstGeom prst="rect">
                            <a:avLst/>
                          </a:prstGeom>
                          <a:noFill/>
                          <a:ln>
                            <a:noFill/>
                          </a:ln>
                        </pic:spPr>
                      </pic:pic>
                    </a:graphicData>
                  </a:graphic>
                </wp:inline>
              </w:drawing>
            </w:r>
          </w:p>
        </w:tc>
        <w:tc>
          <w:tcPr>
            <w:tcW w:w="4264" w:type="dxa"/>
            <w:tcBorders>
              <w:top w:val="nil"/>
              <w:left w:val="nil"/>
              <w:bottom w:val="nil"/>
              <w:right w:val="nil"/>
            </w:tcBorders>
          </w:tcPr>
          <w:p>
            <w:pPr>
              <w:pStyle w:val="7"/>
            </w:pPr>
            <w:r>
              <w:drawing>
                <wp:inline distT="0" distB="0" distL="0" distR="0">
                  <wp:extent cx="2519680" cy="1889760"/>
                  <wp:effectExtent l="0" t="0" r="0" b="0"/>
                  <wp:docPr id="1130" name="图片 1130" descr="C:\Users\yanni\AppData\Local\Temp\WeChat Files\831418cbc80a38d15f54b57cc5bcf5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0" name="图片 1130" descr="C:\Users\yanni\AppData\Local\Temp\WeChat Files\831418cbc80a38d15f54b57cc5bcf5c.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a:xfrm>
                            <a:off x="0" y="0"/>
                            <a:ext cx="2520000" cy="1890000"/>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8528" w:type="dxa"/>
            <w:gridSpan w:val="2"/>
            <w:tcBorders>
              <w:top w:val="nil"/>
              <w:left w:val="nil"/>
              <w:bottom w:val="nil"/>
              <w:right w:val="nil"/>
            </w:tcBorders>
            <w:vAlign w:val="center"/>
          </w:tcPr>
          <w:p>
            <w:pPr>
              <w:pStyle w:val="553"/>
              <w:rPr>
                <w:color w:val="000000" w:themeColor="text1"/>
                <w:spacing w:val="-2"/>
                <w14:textFill>
                  <w14:solidFill>
                    <w14:schemeClr w14:val="tx1"/>
                  </w14:solidFill>
                </w14:textFill>
              </w:rPr>
            </w:pPr>
            <w:r>
              <w:rPr>
                <w:rFonts w:hint="eastAsia"/>
                <w:color w:val="000000" w:themeColor="text1"/>
                <w14:textFill>
                  <w14:solidFill>
                    <w14:schemeClr w14:val="tx1"/>
                  </w14:solidFill>
                </w14:textFill>
              </w:rPr>
              <w:t>9号10号泊位应急物资现状</w:t>
            </w:r>
          </w:p>
        </w:tc>
      </w:tr>
    </w:tbl>
    <w:p>
      <w:pPr>
        <w:pStyle w:val="6"/>
        <w:rPr>
          <w:color w:val="000000" w:themeColor="text1"/>
          <w14:textFill>
            <w14:solidFill>
              <w14:schemeClr w14:val="tx1"/>
            </w14:solidFill>
          </w14:textFill>
        </w:rPr>
      </w:pPr>
      <w:r>
        <w:rPr>
          <w:rFonts w:hint="eastAsia"/>
          <w:color w:val="000000" w:themeColor="text1"/>
          <w14:textFill>
            <w14:solidFill>
              <w14:schemeClr w14:val="tx1"/>
            </w14:solidFill>
          </w14:textFill>
        </w:rPr>
        <w:t>风险防范与应急措施</w:t>
      </w:r>
    </w:p>
    <w:p>
      <w:pPr>
        <w:pStyle w:val="1856"/>
        <w:ind w:firstLine="464"/>
        <w:rPr>
          <w:b/>
          <w:color w:val="000000" w:themeColor="text1"/>
          <w14:textFill>
            <w14:solidFill>
              <w14:schemeClr w14:val="tx1"/>
            </w14:solidFill>
          </w14:textFill>
        </w:rPr>
      </w:pPr>
      <w:r>
        <w:rPr>
          <w:b/>
          <w:color w:val="000000" w:themeColor="text1"/>
          <w14:textFill>
            <w14:solidFill>
              <w14:schemeClr w14:val="tx1"/>
            </w14:solidFill>
          </w14:textFill>
        </w:rPr>
        <w:t>1、项目环境风险应急机构、人员和应急预案</w:t>
      </w:r>
    </w:p>
    <w:p>
      <w:pPr>
        <w:pStyle w:val="1856"/>
        <w:ind w:firstLine="462"/>
        <w:rPr>
          <w:color w:val="000000" w:themeColor="text1"/>
          <w14:textFill>
            <w14:solidFill>
              <w14:schemeClr w14:val="tx1"/>
            </w14:solidFill>
          </w14:textFill>
        </w:rPr>
      </w:pPr>
      <w:r>
        <w:rPr>
          <w:rFonts w:hint="eastAsia"/>
          <w:color w:val="000000" w:themeColor="text1"/>
          <w14:textFill>
            <w14:solidFill>
              <w14:schemeClr w14:val="tx1"/>
            </w14:solidFill>
          </w14:textFill>
        </w:rPr>
        <w:t>9号10号泊位</w:t>
      </w:r>
      <w:r>
        <w:rPr>
          <w:color w:val="000000" w:themeColor="text1"/>
          <w14:textFill>
            <w14:solidFill>
              <w14:schemeClr w14:val="tx1"/>
            </w14:solidFill>
          </w14:textFill>
        </w:rPr>
        <w:t>运营单位广西钦州保税港区盛港码头有限公司，按国家和自治区有关规定编制了运营期突发环境事件应急预案，已取得钦州市生态环境局备案证明（附件</w:t>
      </w:r>
      <w:r>
        <w:rPr>
          <w:rFonts w:hint="eastAsia"/>
          <w:color w:val="000000" w:themeColor="text1"/>
          <w14:textFill>
            <w14:solidFill>
              <w14:schemeClr w14:val="tx1"/>
            </w14:solidFill>
          </w14:textFill>
        </w:rPr>
        <w:t>14</w:t>
      </w:r>
      <w:r>
        <w:rPr>
          <w:color w:val="000000" w:themeColor="text1"/>
          <w14:textFill>
            <w14:solidFill>
              <w14:schemeClr w14:val="tx1"/>
            </w14:solidFill>
          </w14:textFill>
        </w:rPr>
        <w:t>）。</w:t>
      </w:r>
    </w:p>
    <w:p>
      <w:pPr>
        <w:pStyle w:val="1856"/>
        <w:ind w:firstLine="462"/>
        <w:rPr>
          <w:color w:val="000000" w:themeColor="text1"/>
          <w14:textFill>
            <w14:solidFill>
              <w14:schemeClr w14:val="tx1"/>
            </w14:solidFill>
          </w14:textFill>
        </w:rPr>
      </w:pPr>
      <w:r>
        <w:rPr>
          <w:color w:val="000000" w:themeColor="text1"/>
          <w14:textFill>
            <w14:solidFill>
              <w14:schemeClr w14:val="tx1"/>
            </w14:solidFill>
          </w14:textFill>
        </w:rPr>
        <w:t>运营单位配备有一批应急物资，组建了应急队伍。</w:t>
      </w:r>
    </w:p>
    <w:p>
      <w:pPr>
        <w:pStyle w:val="1856"/>
        <w:ind w:firstLine="464"/>
        <w:rPr>
          <w:b/>
          <w:color w:val="000000" w:themeColor="text1"/>
          <w14:textFill>
            <w14:solidFill>
              <w14:schemeClr w14:val="tx1"/>
            </w14:solidFill>
          </w14:textFill>
        </w:rPr>
      </w:pPr>
      <w:r>
        <w:rPr>
          <w:b/>
          <w:color w:val="000000" w:themeColor="text1"/>
          <w14:textFill>
            <w14:solidFill>
              <w14:schemeClr w14:val="tx1"/>
            </w14:solidFill>
          </w14:textFill>
        </w:rPr>
        <w:t>2、建立环境风险防控和应急措施制度</w:t>
      </w:r>
    </w:p>
    <w:p>
      <w:pPr>
        <w:pStyle w:val="1856"/>
        <w:ind w:firstLine="462"/>
        <w:rPr>
          <w:color w:val="000000" w:themeColor="text1"/>
          <w14:textFill>
            <w14:solidFill>
              <w14:schemeClr w14:val="tx1"/>
            </w14:solidFill>
          </w14:textFill>
        </w:rPr>
      </w:pPr>
      <w:r>
        <w:rPr>
          <w:rFonts w:hint="eastAsia" w:ascii="宋体" w:hAnsi="宋体"/>
          <w:color w:val="000000" w:themeColor="text1"/>
          <w14:textFill>
            <w14:solidFill>
              <w14:schemeClr w14:val="tx1"/>
            </w14:solidFill>
          </w14:textFill>
        </w:rPr>
        <w:t>ⅰ</w:t>
      </w:r>
      <w:r>
        <w:rPr>
          <w:color w:val="000000" w:themeColor="text1"/>
          <w14:textFill>
            <w14:solidFill>
              <w14:schemeClr w14:val="tx1"/>
            </w14:solidFill>
          </w14:textFill>
        </w:rPr>
        <w:t>港区内设有多个摄像头，全程监控场内装卸作业、运输作业，若有异常可及时与装卸操作人员联络；</w:t>
      </w:r>
    </w:p>
    <w:p>
      <w:pPr>
        <w:pStyle w:val="1856"/>
        <w:ind w:firstLine="462"/>
        <w:rPr>
          <w:color w:val="000000" w:themeColor="text1"/>
          <w14:textFill>
            <w14:solidFill>
              <w14:schemeClr w14:val="tx1"/>
            </w14:solidFill>
          </w14:textFill>
        </w:rPr>
      </w:pPr>
      <w:r>
        <w:rPr>
          <w:rFonts w:hint="eastAsia" w:ascii="宋体" w:hAnsi="宋体"/>
          <w:color w:val="000000" w:themeColor="text1"/>
          <w14:textFill>
            <w14:solidFill>
              <w14:schemeClr w14:val="tx1"/>
            </w14:solidFill>
          </w14:textFill>
        </w:rPr>
        <w:t>ⅱ</w:t>
      </w:r>
      <w:r>
        <w:rPr>
          <w:color w:val="000000" w:themeColor="text1"/>
          <w14:textFill>
            <w14:solidFill>
              <w14:schemeClr w14:val="tx1"/>
            </w14:solidFill>
          </w14:textFill>
        </w:rPr>
        <w:t>企业基本实现信息化管理，设有码头操作控制系统、码头通信联络及监控系统。码头操作控制系统具备超限保护报警、紧急制动和防止误操作的功能，可及时停止岸桥运行；码头通信联络及监控系统的主控计算机设置不间断电源和采取其他防护措施，并设置防雷防静电接地，确保该计算机安全、正常运行， 实时获取港区动态信息。</w:t>
      </w:r>
    </w:p>
    <w:p>
      <w:pPr>
        <w:pStyle w:val="1856"/>
        <w:ind w:firstLine="462"/>
        <w:rPr>
          <w:color w:val="000000" w:themeColor="text1"/>
          <w14:textFill>
            <w14:solidFill>
              <w14:schemeClr w14:val="tx1"/>
            </w14:solidFill>
          </w14:textFill>
        </w:rPr>
      </w:pPr>
      <w:r>
        <w:rPr>
          <w:rFonts w:hint="eastAsia" w:ascii="宋体" w:hAnsi="宋体"/>
          <w:color w:val="000000" w:themeColor="text1"/>
          <w14:textFill>
            <w14:solidFill>
              <w14:schemeClr w14:val="tx1"/>
            </w14:solidFill>
          </w14:textFill>
        </w:rPr>
        <w:t>ⅲ</w:t>
      </w:r>
      <w:r>
        <w:rPr>
          <w:color w:val="000000" w:themeColor="text1"/>
          <w14:textFill>
            <w14:solidFill>
              <w14:schemeClr w14:val="tx1"/>
            </w14:solidFill>
          </w14:textFill>
        </w:rPr>
        <w:t>运营期经常性维护保养装卸工艺设备，定期检查装卸工艺控制系统是否可以正常使用，避免因控制系统发生故障导致装卸失误或控制失灵。</w:t>
      </w:r>
    </w:p>
    <w:p>
      <w:pPr>
        <w:pStyle w:val="1856"/>
        <w:ind w:firstLine="464"/>
        <w:rPr>
          <w:b/>
          <w:color w:val="000000" w:themeColor="text1"/>
          <w14:textFill>
            <w14:solidFill>
              <w14:schemeClr w14:val="tx1"/>
            </w14:solidFill>
          </w14:textFill>
        </w:rPr>
      </w:pPr>
      <w:r>
        <w:rPr>
          <w:b/>
          <w:color w:val="000000" w:themeColor="text1"/>
          <w14:textFill>
            <w14:solidFill>
              <w14:schemeClr w14:val="tx1"/>
            </w14:solidFill>
          </w14:textFill>
        </w:rPr>
        <w:t>3、配备环境风险事故应急材料与设备</w:t>
      </w:r>
    </w:p>
    <w:p>
      <w:pPr>
        <w:pStyle w:val="1856"/>
        <w:ind w:firstLine="462"/>
        <w:rPr>
          <w:color w:val="000000" w:themeColor="text1"/>
          <w14:textFill>
            <w14:solidFill>
              <w14:schemeClr w14:val="tx1"/>
            </w14:solidFill>
          </w14:textFill>
        </w:rPr>
      </w:pPr>
      <w:r>
        <w:rPr>
          <w:rFonts w:hint="eastAsia"/>
          <w:color w:val="000000" w:themeColor="text1"/>
          <w14:textFill>
            <w14:solidFill>
              <w14:schemeClr w14:val="tx1"/>
            </w14:solidFill>
          </w14:textFill>
        </w:rPr>
        <w:t>现有7号8号泊位码头前沿配备2个移动式应急处置池，单个容积为33.5m</w:t>
      </w:r>
      <w:r>
        <w:rPr>
          <w:rFonts w:hint="eastAsia"/>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，配备总容积为67m</w:t>
      </w:r>
      <w:r>
        <w:rPr>
          <w:rFonts w:hint="eastAsia"/>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，9号10号泊位发生环境风险事故时可临时调用，</w:t>
      </w:r>
    </w:p>
    <w:p>
      <w:pPr>
        <w:pStyle w:val="1856"/>
        <w:ind w:firstLine="462"/>
        <w:rPr>
          <w:color w:val="000000" w:themeColor="text1"/>
          <w14:textFill>
            <w14:solidFill>
              <w14:schemeClr w14:val="tx1"/>
            </w14:solidFill>
          </w14:textFill>
        </w:rPr>
      </w:pPr>
      <w:r>
        <w:rPr>
          <w:rFonts w:hint="eastAsia"/>
          <w:color w:val="000000" w:themeColor="text1"/>
          <w14:textFill>
            <w14:solidFill>
              <w14:schemeClr w14:val="tx1"/>
            </w14:solidFill>
          </w14:textFill>
        </w:rPr>
        <w:t>7号8号泊位与9号10号泊位为同一单位运营，码头后方陆域设有1处水上污染事故应急设备库配备</w:t>
      </w:r>
      <w:r>
        <w:rPr>
          <w:color w:val="000000" w:themeColor="text1"/>
          <w14:textFill>
            <w14:solidFill>
              <w14:schemeClr w14:val="tx1"/>
            </w14:solidFill>
          </w14:textFill>
        </w:rPr>
        <w:t>环境风险应急物资和设备，</w:t>
      </w:r>
      <w:r>
        <w:rPr>
          <w:rFonts w:hint="eastAsia"/>
          <w:color w:val="000000" w:themeColor="text1"/>
          <w:u w:val="single"/>
          <w14:textFill>
            <w14:solidFill>
              <w14:schemeClr w14:val="tx1"/>
            </w14:solidFill>
          </w14:textFill>
        </w:rPr>
        <w:t>项目自备应急物资满足</w:t>
      </w:r>
      <w:r>
        <w:rPr>
          <w:rFonts w:hint="eastAsia"/>
          <w:bCs/>
          <w:color w:val="000000" w:themeColor="text1"/>
          <w:u w:val="single"/>
          <w14:textFill>
            <w14:solidFill>
              <w14:schemeClr w14:val="tx1"/>
            </w14:solidFill>
          </w14:textFill>
        </w:rPr>
        <w:t>《港口码头水上污染事故应急防备能力要求》（JT/T 451-2017）中1</w:t>
      </w:r>
      <w:r>
        <w:rPr>
          <w:bCs/>
          <w:color w:val="000000" w:themeColor="text1"/>
          <w:u w:val="single"/>
          <w14:textFill>
            <w14:solidFill>
              <w14:schemeClr w14:val="tx1"/>
            </w14:solidFill>
          </w14:textFill>
        </w:rPr>
        <w:t>0</w:t>
      </w:r>
      <w:r>
        <w:rPr>
          <w:rFonts w:hint="eastAsia"/>
          <w:bCs/>
          <w:color w:val="000000" w:themeColor="text1"/>
          <w:u w:val="single"/>
          <w14:textFill>
            <w14:solidFill>
              <w14:schemeClr w14:val="tx1"/>
            </w14:solidFill>
          </w14:textFill>
        </w:rPr>
        <w:t>万吨级海港码头相关要求，</w:t>
      </w:r>
      <w:r>
        <w:rPr>
          <w:rFonts w:hint="eastAsia"/>
          <w:bCs/>
          <w:color w:val="000000" w:themeColor="text1"/>
          <w14:textFill>
            <w14:solidFill>
              <w14:schemeClr w14:val="tx1"/>
            </w14:solidFill>
          </w14:textFill>
        </w:rPr>
        <w:t>码头</w:t>
      </w:r>
      <w:r>
        <w:rPr>
          <w:rFonts w:hint="eastAsia"/>
          <w:color w:val="000000" w:themeColor="text1"/>
          <w14:textFill>
            <w14:solidFill>
              <w14:schemeClr w14:val="tx1"/>
            </w14:solidFill>
          </w14:textFill>
        </w:rPr>
        <w:t>水上</w:t>
      </w:r>
      <w:r>
        <w:rPr>
          <w:color w:val="000000" w:themeColor="text1"/>
          <w14:textFill>
            <w14:solidFill>
              <w14:schemeClr w14:val="tx1"/>
            </w14:solidFill>
          </w14:textFill>
        </w:rPr>
        <w:t>污染事故应急设备库应急物资储备清单见表</w:t>
      </w:r>
      <w:r>
        <w:rPr>
          <w:rFonts w:hint="eastAsia"/>
          <w:color w:val="000000" w:themeColor="text1"/>
          <w14:textFill>
            <w14:solidFill>
              <w14:schemeClr w14:val="tx1"/>
            </w14:solidFill>
          </w14:textFill>
        </w:rPr>
        <w:t>2.1-7。</w:t>
      </w:r>
    </w:p>
    <w:p>
      <w:pPr>
        <w:pStyle w:val="384"/>
        <w:ind w:left="0" w:firstLine="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水上污染事故应急设备库应急物资储备清单</w:t>
      </w:r>
    </w:p>
    <w:tbl>
      <w:tblPr>
        <w:tblStyle w:val="88"/>
        <w:tblW w:w="8529" w:type="dxa"/>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416"/>
        <w:gridCol w:w="2102"/>
        <w:gridCol w:w="2837"/>
        <w:gridCol w:w="850"/>
        <w:gridCol w:w="853"/>
        <w:gridCol w:w="1471"/>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406" w:hRule="atLeast"/>
          <w:tblHeader/>
        </w:trPr>
        <w:tc>
          <w:tcPr>
            <w:tcW w:w="416" w:type="dxa"/>
            <w:vMerge w:val="restart"/>
            <w:tcBorders>
              <w:top w:val="single" w:color="auto" w:sz="12" w:space="0"/>
              <w:left w:val="single" w:color="auto" w:sz="12" w:space="0"/>
              <w:bottom w:val="single" w:color="auto" w:sz="6" w:space="0"/>
              <w:right w:val="single" w:color="auto" w:sz="6" w:space="0"/>
            </w:tcBorders>
            <w:vAlign w:val="center"/>
          </w:tcPr>
          <w:p>
            <w:pPr>
              <w:widowControl/>
              <w:jc w:val="center"/>
              <w:rPr>
                <w:b/>
                <w:color w:val="000000" w:themeColor="text1"/>
                <w:kern w:val="0"/>
                <w:sz w:val="21"/>
                <w:szCs w:val="21"/>
                <w14:textFill>
                  <w14:solidFill>
                    <w14:schemeClr w14:val="tx1"/>
                  </w14:solidFill>
                </w14:textFill>
              </w:rPr>
            </w:pPr>
            <w:r>
              <w:rPr>
                <w:rFonts w:hint="eastAsia"/>
                <w:b/>
                <w:color w:val="000000" w:themeColor="text1"/>
                <w:kern w:val="0"/>
                <w:sz w:val="21"/>
                <w:szCs w:val="21"/>
                <w14:textFill>
                  <w14:solidFill>
                    <w14:schemeClr w14:val="tx1"/>
                  </w14:solidFill>
                </w14:textFill>
              </w:rPr>
              <w:t>序号</w:t>
            </w:r>
          </w:p>
        </w:tc>
        <w:tc>
          <w:tcPr>
            <w:tcW w:w="2102" w:type="dxa"/>
            <w:vMerge w:val="restart"/>
            <w:tcBorders>
              <w:top w:val="single" w:color="auto" w:sz="12" w:space="0"/>
              <w:left w:val="single" w:color="auto" w:sz="6" w:space="0"/>
              <w:bottom w:val="single" w:color="auto" w:sz="6" w:space="0"/>
              <w:right w:val="single" w:color="auto" w:sz="6" w:space="0"/>
            </w:tcBorders>
            <w:vAlign w:val="center"/>
          </w:tcPr>
          <w:p>
            <w:pPr>
              <w:widowControl/>
              <w:jc w:val="center"/>
              <w:rPr>
                <w:b/>
                <w:color w:val="000000" w:themeColor="text1"/>
                <w:kern w:val="0"/>
                <w:sz w:val="21"/>
                <w:szCs w:val="21"/>
                <w14:textFill>
                  <w14:solidFill>
                    <w14:schemeClr w14:val="tx1"/>
                  </w14:solidFill>
                </w14:textFill>
              </w:rPr>
            </w:pPr>
            <w:r>
              <w:rPr>
                <w:rFonts w:hint="eastAsia"/>
                <w:b/>
                <w:color w:val="000000" w:themeColor="text1"/>
                <w:kern w:val="0"/>
                <w:sz w:val="21"/>
                <w:szCs w:val="21"/>
                <w14:textFill>
                  <w14:solidFill>
                    <w14:schemeClr w14:val="tx1"/>
                  </w14:solidFill>
                </w14:textFill>
              </w:rPr>
              <w:t>设备名称</w:t>
            </w:r>
          </w:p>
        </w:tc>
        <w:tc>
          <w:tcPr>
            <w:tcW w:w="2837" w:type="dxa"/>
            <w:vMerge w:val="restart"/>
            <w:tcBorders>
              <w:top w:val="single" w:color="auto" w:sz="12" w:space="0"/>
              <w:left w:val="single" w:color="auto" w:sz="6" w:space="0"/>
              <w:bottom w:val="single" w:color="auto" w:sz="6" w:space="0"/>
              <w:right w:val="single" w:color="auto" w:sz="6" w:space="0"/>
            </w:tcBorders>
            <w:vAlign w:val="center"/>
          </w:tcPr>
          <w:p>
            <w:pPr>
              <w:widowControl/>
              <w:jc w:val="center"/>
              <w:rPr>
                <w:b/>
                <w:color w:val="000000" w:themeColor="text1"/>
                <w:kern w:val="0"/>
                <w:sz w:val="21"/>
                <w:szCs w:val="21"/>
                <w14:textFill>
                  <w14:solidFill>
                    <w14:schemeClr w14:val="tx1"/>
                  </w14:solidFill>
                </w14:textFill>
              </w:rPr>
            </w:pPr>
            <w:r>
              <w:rPr>
                <w:rFonts w:hint="eastAsia"/>
                <w:b/>
                <w:color w:val="000000" w:themeColor="text1"/>
                <w:kern w:val="0"/>
                <w:sz w:val="21"/>
                <w:szCs w:val="21"/>
                <w14:textFill>
                  <w14:solidFill>
                    <w14:schemeClr w14:val="tx1"/>
                  </w14:solidFill>
                </w14:textFill>
              </w:rPr>
              <w:t>参数规格及材质</w:t>
            </w:r>
          </w:p>
        </w:tc>
        <w:tc>
          <w:tcPr>
            <w:tcW w:w="1703" w:type="dxa"/>
            <w:gridSpan w:val="2"/>
            <w:tcBorders>
              <w:top w:val="single" w:color="auto" w:sz="12" w:space="0"/>
              <w:left w:val="single" w:color="auto" w:sz="6" w:space="0"/>
              <w:bottom w:val="single" w:color="auto" w:sz="6" w:space="0"/>
              <w:right w:val="single" w:color="auto" w:sz="6" w:space="0"/>
            </w:tcBorders>
            <w:noWrap/>
            <w:vAlign w:val="center"/>
          </w:tcPr>
          <w:p>
            <w:pPr>
              <w:widowControl/>
              <w:jc w:val="center"/>
              <w:rPr>
                <w:b/>
                <w:color w:val="000000" w:themeColor="text1"/>
                <w:kern w:val="0"/>
                <w:sz w:val="21"/>
                <w:szCs w:val="21"/>
                <w14:textFill>
                  <w14:solidFill>
                    <w14:schemeClr w14:val="tx1"/>
                  </w14:solidFill>
                </w14:textFill>
              </w:rPr>
            </w:pPr>
            <w:r>
              <w:rPr>
                <w:rFonts w:hint="eastAsia"/>
                <w:b/>
                <w:color w:val="000000" w:themeColor="text1"/>
                <w:kern w:val="0"/>
                <w:sz w:val="21"/>
                <w:szCs w:val="21"/>
                <w14:textFill>
                  <w14:solidFill>
                    <w14:schemeClr w14:val="tx1"/>
                  </w14:solidFill>
                </w14:textFill>
              </w:rPr>
              <w:t>水上污染事故应急设备库</w:t>
            </w:r>
          </w:p>
        </w:tc>
        <w:tc>
          <w:tcPr>
            <w:tcW w:w="1471" w:type="dxa"/>
            <w:vMerge w:val="restart"/>
            <w:tcBorders>
              <w:top w:val="single" w:color="auto" w:sz="12" w:space="0"/>
              <w:left w:val="single" w:color="auto" w:sz="6" w:space="0"/>
              <w:bottom w:val="single" w:color="auto" w:sz="6" w:space="0"/>
              <w:right w:val="single" w:color="auto" w:sz="12" w:space="0"/>
            </w:tcBorders>
            <w:noWrap/>
            <w:vAlign w:val="center"/>
          </w:tcPr>
          <w:p>
            <w:pPr>
              <w:widowControl/>
              <w:jc w:val="center"/>
              <w:rPr>
                <w:b/>
                <w:color w:val="000000" w:themeColor="text1"/>
                <w:kern w:val="0"/>
                <w:sz w:val="21"/>
                <w:szCs w:val="21"/>
                <w14:textFill>
                  <w14:solidFill>
                    <w14:schemeClr w14:val="tx1"/>
                  </w14:solidFill>
                </w14:textFill>
              </w:rPr>
            </w:pPr>
            <w:r>
              <w:rPr>
                <w:rFonts w:hint="eastAsia"/>
                <w:b/>
                <w:color w:val="000000" w:themeColor="text1"/>
                <w:kern w:val="0"/>
                <w:sz w:val="21"/>
                <w:szCs w:val="21"/>
                <w14:textFill>
                  <w14:solidFill>
                    <w14:schemeClr w14:val="tx1"/>
                  </w14:solidFill>
                </w14:textFill>
              </w:rPr>
              <w:t>备注</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271" w:hRule="atLeast"/>
        </w:trPr>
        <w:tc>
          <w:tcPr>
            <w:tcW w:w="416" w:type="dxa"/>
            <w:vMerge w:val="continue"/>
            <w:tcBorders>
              <w:top w:val="single" w:color="auto" w:sz="12" w:space="0"/>
              <w:left w:val="single" w:color="auto" w:sz="12" w:space="0"/>
              <w:bottom w:val="single" w:color="auto" w:sz="6" w:space="0"/>
              <w:right w:val="single" w:color="auto" w:sz="6" w:space="0"/>
            </w:tcBorders>
            <w:vAlign w:val="center"/>
          </w:tcPr>
          <w:p>
            <w:pPr>
              <w:widowControl/>
              <w:jc w:val="left"/>
              <w:rPr>
                <w:b/>
                <w:color w:val="000000" w:themeColor="text1"/>
                <w:kern w:val="0"/>
                <w:sz w:val="21"/>
                <w:szCs w:val="21"/>
                <w14:textFill>
                  <w14:solidFill>
                    <w14:schemeClr w14:val="tx1"/>
                  </w14:solidFill>
                </w14:textFill>
              </w:rPr>
            </w:pPr>
          </w:p>
        </w:tc>
        <w:tc>
          <w:tcPr>
            <w:tcW w:w="2102" w:type="dxa"/>
            <w:vMerge w:val="continue"/>
            <w:tcBorders>
              <w:top w:val="single" w:color="auto" w:sz="12" w:space="0"/>
              <w:left w:val="single" w:color="auto" w:sz="6" w:space="0"/>
              <w:bottom w:val="single" w:color="auto" w:sz="6" w:space="0"/>
              <w:right w:val="single" w:color="auto" w:sz="6" w:space="0"/>
            </w:tcBorders>
            <w:vAlign w:val="center"/>
          </w:tcPr>
          <w:p>
            <w:pPr>
              <w:widowControl/>
              <w:jc w:val="left"/>
              <w:rPr>
                <w:b/>
                <w:color w:val="000000" w:themeColor="text1"/>
                <w:kern w:val="0"/>
                <w:sz w:val="21"/>
                <w:szCs w:val="21"/>
                <w14:textFill>
                  <w14:solidFill>
                    <w14:schemeClr w14:val="tx1"/>
                  </w14:solidFill>
                </w14:textFill>
              </w:rPr>
            </w:pPr>
          </w:p>
        </w:tc>
        <w:tc>
          <w:tcPr>
            <w:tcW w:w="2837" w:type="dxa"/>
            <w:vMerge w:val="continue"/>
            <w:tcBorders>
              <w:top w:val="single" w:color="auto" w:sz="12" w:space="0"/>
              <w:left w:val="single" w:color="auto" w:sz="6" w:space="0"/>
              <w:bottom w:val="single" w:color="auto" w:sz="6" w:space="0"/>
              <w:right w:val="single" w:color="auto" w:sz="6" w:space="0"/>
            </w:tcBorders>
            <w:vAlign w:val="center"/>
          </w:tcPr>
          <w:p>
            <w:pPr>
              <w:widowControl/>
              <w:jc w:val="left"/>
              <w:rPr>
                <w:b/>
                <w:color w:val="000000" w:themeColor="text1"/>
                <w:kern w:val="0"/>
                <w:sz w:val="21"/>
                <w:szCs w:val="21"/>
                <w14:textFill>
                  <w14:solidFill>
                    <w14:schemeClr w14:val="tx1"/>
                  </w14:solidFill>
                </w14:textFill>
              </w:rPr>
            </w:pPr>
          </w:p>
        </w:tc>
        <w:tc>
          <w:tcPr>
            <w:tcW w:w="850" w:type="dxa"/>
            <w:tcBorders>
              <w:top w:val="single" w:color="auto" w:sz="6" w:space="0"/>
              <w:left w:val="single" w:color="auto" w:sz="6" w:space="0"/>
              <w:bottom w:val="single" w:color="auto" w:sz="6" w:space="0"/>
              <w:right w:val="single" w:color="auto" w:sz="6" w:space="0"/>
            </w:tcBorders>
            <w:noWrap/>
            <w:vAlign w:val="center"/>
          </w:tcPr>
          <w:p>
            <w:pPr>
              <w:widowControl/>
              <w:jc w:val="center"/>
              <w:rPr>
                <w:b/>
                <w:color w:val="000000" w:themeColor="text1"/>
                <w:kern w:val="0"/>
                <w:sz w:val="21"/>
                <w:szCs w:val="21"/>
                <w14:textFill>
                  <w14:solidFill>
                    <w14:schemeClr w14:val="tx1"/>
                  </w14:solidFill>
                </w14:textFill>
              </w:rPr>
            </w:pPr>
            <w:r>
              <w:rPr>
                <w:rFonts w:hint="eastAsia"/>
                <w:b/>
                <w:color w:val="000000" w:themeColor="text1"/>
                <w:kern w:val="0"/>
                <w:sz w:val="21"/>
                <w:szCs w:val="21"/>
                <w14:textFill>
                  <w14:solidFill>
                    <w14:schemeClr w14:val="tx1"/>
                  </w14:solidFill>
                </w14:textFill>
              </w:rPr>
              <w:t>单位</w:t>
            </w:r>
          </w:p>
        </w:tc>
        <w:tc>
          <w:tcPr>
            <w:tcW w:w="853" w:type="dxa"/>
            <w:tcBorders>
              <w:top w:val="single" w:color="auto" w:sz="6" w:space="0"/>
              <w:left w:val="single" w:color="auto" w:sz="6" w:space="0"/>
              <w:bottom w:val="single" w:color="auto" w:sz="6" w:space="0"/>
              <w:right w:val="single" w:color="auto" w:sz="6" w:space="0"/>
            </w:tcBorders>
            <w:noWrap/>
            <w:vAlign w:val="center"/>
          </w:tcPr>
          <w:p>
            <w:pPr>
              <w:widowControl/>
              <w:jc w:val="center"/>
              <w:rPr>
                <w:b/>
                <w:color w:val="000000" w:themeColor="text1"/>
                <w:kern w:val="0"/>
                <w:sz w:val="21"/>
                <w:szCs w:val="21"/>
                <w14:textFill>
                  <w14:solidFill>
                    <w14:schemeClr w14:val="tx1"/>
                  </w14:solidFill>
                </w14:textFill>
              </w:rPr>
            </w:pPr>
            <w:r>
              <w:rPr>
                <w:rFonts w:hint="eastAsia"/>
                <w:b/>
                <w:color w:val="000000" w:themeColor="text1"/>
                <w:kern w:val="0"/>
                <w:sz w:val="21"/>
                <w:szCs w:val="21"/>
                <w14:textFill>
                  <w14:solidFill>
                    <w14:schemeClr w14:val="tx1"/>
                  </w14:solidFill>
                </w14:textFill>
              </w:rPr>
              <w:t>数量</w:t>
            </w:r>
          </w:p>
        </w:tc>
        <w:tc>
          <w:tcPr>
            <w:tcW w:w="1471" w:type="dxa"/>
            <w:vMerge w:val="continue"/>
            <w:tcBorders>
              <w:top w:val="single" w:color="auto" w:sz="12" w:space="0"/>
              <w:left w:val="single" w:color="auto" w:sz="6" w:space="0"/>
              <w:bottom w:val="single" w:color="auto" w:sz="6" w:space="0"/>
              <w:right w:val="single" w:color="auto" w:sz="12" w:space="0"/>
            </w:tcBorders>
            <w:vAlign w:val="center"/>
          </w:tcPr>
          <w:p>
            <w:pPr>
              <w:widowControl/>
              <w:jc w:val="left"/>
              <w:rPr>
                <w:b/>
                <w:color w:val="000000" w:themeColor="text1"/>
                <w:kern w:val="0"/>
                <w:sz w:val="21"/>
                <w:szCs w:val="21"/>
                <w14:textFill>
                  <w14:solidFill>
                    <w14:schemeClr w14:val="tx1"/>
                  </w14:solidFill>
                </w14:textFill>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560" w:hRule="atLeast"/>
        </w:trPr>
        <w:tc>
          <w:tcPr>
            <w:tcW w:w="416" w:type="dxa"/>
            <w:tcBorders>
              <w:top w:val="single" w:color="auto" w:sz="6" w:space="0"/>
              <w:left w:val="single" w:color="auto" w:sz="12" w:space="0"/>
              <w:bottom w:val="single" w:color="auto" w:sz="6" w:space="0"/>
              <w:right w:val="single" w:color="auto" w:sz="6" w:space="0"/>
            </w:tcBorders>
            <w:vAlign w:val="center"/>
          </w:tcPr>
          <w:p>
            <w:pPr>
              <w:widowControl/>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w:t>
            </w:r>
          </w:p>
        </w:tc>
        <w:tc>
          <w:tcPr>
            <w:tcW w:w="2102" w:type="dxa"/>
            <w:tcBorders>
              <w:top w:val="single" w:color="auto" w:sz="6" w:space="0"/>
              <w:left w:val="single" w:color="auto" w:sz="6" w:space="0"/>
              <w:bottom w:val="single" w:color="auto" w:sz="6" w:space="0"/>
              <w:right w:val="single" w:color="auto" w:sz="6" w:space="0"/>
            </w:tcBorders>
            <w:vAlign w:val="center"/>
          </w:tcPr>
          <w:p>
            <w:pPr>
              <w:widowControl/>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应急型围油栏</w:t>
            </w:r>
          </w:p>
        </w:tc>
        <w:tc>
          <w:tcPr>
            <w:tcW w:w="2837" w:type="dxa"/>
            <w:tcBorders>
              <w:top w:val="single" w:color="auto" w:sz="6" w:space="0"/>
              <w:left w:val="single" w:color="auto" w:sz="6" w:space="0"/>
              <w:bottom w:val="single" w:color="auto" w:sz="6" w:space="0"/>
              <w:right w:val="single" w:color="auto" w:sz="6" w:space="0"/>
            </w:tcBorders>
            <w:vAlign w:val="center"/>
          </w:tcPr>
          <w:p>
            <w:pPr>
              <w:widowControl/>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 xml:space="preserve">PVC </w:t>
            </w:r>
            <w:r>
              <w:rPr>
                <w:rFonts w:hint="eastAsia"/>
                <w:color w:val="000000" w:themeColor="text1"/>
                <w:kern w:val="0"/>
                <w:sz w:val="21"/>
                <w:szCs w:val="21"/>
                <w14:textFill>
                  <w14:solidFill>
                    <w14:schemeClr w14:val="tx1"/>
                  </w14:solidFill>
                </w14:textFill>
              </w:rPr>
              <w:t>应急围油栏，抗风速大于</w:t>
            </w:r>
            <w:r>
              <w:rPr>
                <w:color w:val="000000" w:themeColor="text1"/>
                <w:kern w:val="0"/>
                <w:sz w:val="21"/>
                <w:szCs w:val="21"/>
                <w14:textFill>
                  <w14:solidFill>
                    <w14:schemeClr w14:val="tx1"/>
                  </w14:solidFill>
                </w14:textFill>
              </w:rPr>
              <w:t>10m/s</w:t>
            </w:r>
            <w:r>
              <w:rPr>
                <w:rFonts w:hint="eastAsia"/>
                <w:color w:val="000000" w:themeColor="text1"/>
                <w:kern w:val="0"/>
                <w:sz w:val="21"/>
                <w:szCs w:val="21"/>
                <w14:textFill>
                  <w14:solidFill>
                    <w14:schemeClr w14:val="tx1"/>
                  </w14:solidFill>
                </w14:textFill>
              </w:rPr>
              <w:t>，抗流速大于</w:t>
            </w:r>
            <w:r>
              <w:rPr>
                <w:color w:val="000000" w:themeColor="text1"/>
                <w:kern w:val="0"/>
                <w:sz w:val="21"/>
                <w:szCs w:val="21"/>
                <w14:textFill>
                  <w14:solidFill>
                    <w14:schemeClr w14:val="tx1"/>
                  </w14:solidFill>
                </w14:textFill>
              </w:rPr>
              <w:t>1m/s</w:t>
            </w:r>
          </w:p>
        </w:tc>
        <w:tc>
          <w:tcPr>
            <w:tcW w:w="850" w:type="dxa"/>
            <w:tcBorders>
              <w:top w:val="single" w:color="auto" w:sz="6" w:space="0"/>
              <w:left w:val="single" w:color="auto" w:sz="6" w:space="0"/>
              <w:bottom w:val="single" w:color="auto" w:sz="6" w:space="0"/>
              <w:right w:val="single" w:color="auto" w:sz="6" w:space="0"/>
            </w:tcBorders>
            <w:vAlign w:val="center"/>
          </w:tcPr>
          <w:p>
            <w:pPr>
              <w:widowControl/>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米</w:t>
            </w:r>
          </w:p>
        </w:tc>
        <w:tc>
          <w:tcPr>
            <w:tcW w:w="853" w:type="dxa"/>
            <w:tcBorders>
              <w:top w:val="single" w:color="auto" w:sz="6" w:space="0"/>
              <w:left w:val="single" w:color="auto" w:sz="6" w:space="0"/>
              <w:bottom w:val="single" w:color="auto" w:sz="6" w:space="0"/>
              <w:right w:val="single" w:color="auto" w:sz="6" w:space="0"/>
            </w:tcBorders>
            <w:vAlign w:val="center"/>
          </w:tcPr>
          <w:p>
            <w:pPr>
              <w:widowControl/>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1550</w:t>
            </w:r>
          </w:p>
        </w:tc>
        <w:tc>
          <w:tcPr>
            <w:tcW w:w="1471" w:type="dxa"/>
            <w:tcBorders>
              <w:top w:val="single" w:color="auto" w:sz="6" w:space="0"/>
              <w:left w:val="single" w:color="auto" w:sz="6" w:space="0"/>
              <w:bottom w:val="single" w:color="auto" w:sz="6" w:space="0"/>
              <w:right w:val="single" w:color="auto" w:sz="12" w:space="0"/>
            </w:tcBorders>
            <w:noWrap/>
            <w:vAlign w:val="center"/>
          </w:tcPr>
          <w:p>
            <w:pPr>
              <w:widowControl/>
              <w:jc w:val="center"/>
              <w:rPr>
                <w:color w:val="000000" w:themeColor="text1"/>
                <w:kern w:val="0"/>
                <w:sz w:val="21"/>
                <w:szCs w:val="21"/>
                <w14:textFill>
                  <w14:solidFill>
                    <w14:schemeClr w14:val="tx1"/>
                  </w14:solidFill>
                </w14:textFill>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75" w:hRule="atLeast"/>
        </w:trPr>
        <w:tc>
          <w:tcPr>
            <w:tcW w:w="416" w:type="dxa"/>
            <w:tcBorders>
              <w:top w:val="single" w:color="auto" w:sz="6" w:space="0"/>
              <w:left w:val="single" w:color="auto" w:sz="12" w:space="0"/>
              <w:bottom w:val="single" w:color="auto" w:sz="6" w:space="0"/>
              <w:right w:val="single" w:color="auto" w:sz="6" w:space="0"/>
            </w:tcBorders>
            <w:vAlign w:val="center"/>
          </w:tcPr>
          <w:p>
            <w:pPr>
              <w:widowControl/>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w:t>
            </w:r>
          </w:p>
        </w:tc>
        <w:tc>
          <w:tcPr>
            <w:tcW w:w="2102" w:type="dxa"/>
            <w:tcBorders>
              <w:top w:val="single" w:color="auto" w:sz="6" w:space="0"/>
              <w:left w:val="single" w:color="auto" w:sz="6" w:space="0"/>
              <w:bottom w:val="single" w:color="auto" w:sz="6" w:space="0"/>
              <w:right w:val="single" w:color="auto" w:sz="6" w:space="0"/>
            </w:tcBorders>
            <w:vAlign w:val="center"/>
          </w:tcPr>
          <w:p>
            <w:pPr>
              <w:widowControl/>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岸滩型围油栏</w:t>
            </w:r>
          </w:p>
        </w:tc>
        <w:tc>
          <w:tcPr>
            <w:tcW w:w="2837" w:type="dxa"/>
            <w:tcBorders>
              <w:top w:val="single" w:color="auto" w:sz="6" w:space="0"/>
              <w:left w:val="single" w:color="auto" w:sz="6" w:space="0"/>
              <w:bottom w:val="single" w:color="auto" w:sz="6" w:space="0"/>
              <w:right w:val="single" w:color="auto" w:sz="6" w:space="0"/>
            </w:tcBorders>
            <w:vAlign w:val="center"/>
          </w:tcPr>
          <w:p>
            <w:pPr>
              <w:widowControl/>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岸滩型</w:t>
            </w:r>
          </w:p>
        </w:tc>
        <w:tc>
          <w:tcPr>
            <w:tcW w:w="850" w:type="dxa"/>
            <w:tcBorders>
              <w:top w:val="single" w:color="auto" w:sz="6" w:space="0"/>
              <w:left w:val="single" w:color="auto" w:sz="6" w:space="0"/>
              <w:bottom w:val="single" w:color="auto" w:sz="6" w:space="0"/>
              <w:right w:val="single" w:color="auto" w:sz="6" w:space="0"/>
            </w:tcBorders>
            <w:vAlign w:val="center"/>
          </w:tcPr>
          <w:p>
            <w:pPr>
              <w:widowControl/>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米</w:t>
            </w:r>
          </w:p>
        </w:tc>
        <w:tc>
          <w:tcPr>
            <w:tcW w:w="853" w:type="dxa"/>
            <w:tcBorders>
              <w:top w:val="single" w:color="auto" w:sz="6" w:space="0"/>
              <w:left w:val="single" w:color="auto" w:sz="6" w:space="0"/>
              <w:bottom w:val="single" w:color="auto" w:sz="6" w:space="0"/>
              <w:right w:val="single" w:color="auto" w:sz="6" w:space="0"/>
            </w:tcBorders>
            <w:vAlign w:val="center"/>
          </w:tcPr>
          <w:p>
            <w:pPr>
              <w:widowControl/>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400</w:t>
            </w:r>
          </w:p>
        </w:tc>
        <w:tc>
          <w:tcPr>
            <w:tcW w:w="1471" w:type="dxa"/>
            <w:tcBorders>
              <w:top w:val="single" w:color="auto" w:sz="6" w:space="0"/>
              <w:left w:val="single" w:color="auto" w:sz="6" w:space="0"/>
              <w:bottom w:val="single" w:color="auto" w:sz="6" w:space="0"/>
              <w:right w:val="single" w:color="auto" w:sz="12" w:space="0"/>
            </w:tcBorders>
            <w:noWrap/>
            <w:vAlign w:val="center"/>
          </w:tcPr>
          <w:p>
            <w:pPr>
              <w:widowControl/>
              <w:jc w:val="center"/>
              <w:rPr>
                <w:color w:val="000000" w:themeColor="text1"/>
                <w:kern w:val="0"/>
                <w:sz w:val="21"/>
                <w:szCs w:val="21"/>
                <w14:textFill>
                  <w14:solidFill>
                    <w14:schemeClr w14:val="tx1"/>
                  </w14:solidFill>
                </w14:textFill>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25" w:hRule="atLeast"/>
        </w:trPr>
        <w:tc>
          <w:tcPr>
            <w:tcW w:w="416" w:type="dxa"/>
            <w:tcBorders>
              <w:top w:val="single" w:color="auto" w:sz="6" w:space="0"/>
              <w:left w:val="single" w:color="auto" w:sz="12" w:space="0"/>
              <w:bottom w:val="single" w:color="auto" w:sz="6" w:space="0"/>
              <w:right w:val="single" w:color="auto" w:sz="6" w:space="0"/>
            </w:tcBorders>
            <w:vAlign w:val="center"/>
          </w:tcPr>
          <w:p>
            <w:pPr>
              <w:widowControl/>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3</w:t>
            </w:r>
          </w:p>
        </w:tc>
        <w:tc>
          <w:tcPr>
            <w:tcW w:w="2102" w:type="dxa"/>
            <w:tcBorders>
              <w:top w:val="single" w:color="auto" w:sz="6" w:space="0"/>
              <w:left w:val="single" w:color="auto" w:sz="6" w:space="0"/>
              <w:bottom w:val="single" w:color="auto" w:sz="6" w:space="0"/>
              <w:right w:val="single" w:color="auto" w:sz="6" w:space="0"/>
            </w:tcBorders>
            <w:vAlign w:val="center"/>
          </w:tcPr>
          <w:p>
            <w:pPr>
              <w:widowControl/>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岸滩围油栏充水机</w:t>
            </w:r>
          </w:p>
          <w:p>
            <w:pPr>
              <w:widowControl/>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（配套）</w:t>
            </w:r>
          </w:p>
        </w:tc>
        <w:tc>
          <w:tcPr>
            <w:tcW w:w="2837" w:type="dxa"/>
            <w:tcBorders>
              <w:top w:val="single" w:color="auto" w:sz="6" w:space="0"/>
              <w:left w:val="single" w:color="auto" w:sz="6" w:space="0"/>
              <w:bottom w:val="single" w:color="auto" w:sz="6" w:space="0"/>
              <w:right w:val="single" w:color="auto" w:sz="6" w:space="0"/>
            </w:tcBorders>
            <w:vAlign w:val="center"/>
          </w:tcPr>
          <w:p>
            <w:pPr>
              <w:widowControl/>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KDP20</w:t>
            </w:r>
          </w:p>
        </w:tc>
        <w:tc>
          <w:tcPr>
            <w:tcW w:w="850" w:type="dxa"/>
            <w:tcBorders>
              <w:top w:val="single" w:color="auto" w:sz="6" w:space="0"/>
              <w:left w:val="single" w:color="auto" w:sz="6" w:space="0"/>
              <w:bottom w:val="single" w:color="auto" w:sz="6" w:space="0"/>
              <w:right w:val="single" w:color="auto" w:sz="6" w:space="0"/>
            </w:tcBorders>
            <w:vAlign w:val="center"/>
          </w:tcPr>
          <w:p>
            <w:pPr>
              <w:widowControl/>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台</w:t>
            </w:r>
          </w:p>
        </w:tc>
        <w:tc>
          <w:tcPr>
            <w:tcW w:w="853" w:type="dxa"/>
            <w:tcBorders>
              <w:top w:val="single" w:color="auto" w:sz="6" w:space="0"/>
              <w:left w:val="single" w:color="auto" w:sz="6" w:space="0"/>
              <w:bottom w:val="single" w:color="auto" w:sz="6" w:space="0"/>
              <w:right w:val="single" w:color="auto" w:sz="6" w:space="0"/>
            </w:tcBorders>
            <w:vAlign w:val="center"/>
          </w:tcPr>
          <w:p>
            <w:pPr>
              <w:widowControl/>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w:t>
            </w:r>
          </w:p>
        </w:tc>
        <w:tc>
          <w:tcPr>
            <w:tcW w:w="1471" w:type="dxa"/>
            <w:tcBorders>
              <w:top w:val="single" w:color="auto" w:sz="6" w:space="0"/>
              <w:left w:val="single" w:color="auto" w:sz="6" w:space="0"/>
              <w:bottom w:val="single" w:color="auto" w:sz="6" w:space="0"/>
              <w:right w:val="single" w:color="auto" w:sz="12" w:space="0"/>
            </w:tcBorders>
            <w:noWrap/>
            <w:vAlign w:val="center"/>
          </w:tcPr>
          <w:p>
            <w:pPr>
              <w:widowControl/>
              <w:jc w:val="center"/>
              <w:rPr>
                <w:color w:val="000000" w:themeColor="text1"/>
                <w:kern w:val="0"/>
                <w:sz w:val="21"/>
                <w:szCs w:val="21"/>
                <w14:textFill>
                  <w14:solidFill>
                    <w14:schemeClr w14:val="tx1"/>
                  </w14:solidFill>
                </w14:textFill>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64" w:hRule="atLeast"/>
        </w:trPr>
        <w:tc>
          <w:tcPr>
            <w:tcW w:w="416" w:type="dxa"/>
            <w:tcBorders>
              <w:top w:val="single" w:color="auto" w:sz="6" w:space="0"/>
              <w:left w:val="single" w:color="auto" w:sz="12" w:space="0"/>
              <w:bottom w:val="single" w:color="auto" w:sz="6" w:space="0"/>
              <w:right w:val="single" w:color="auto" w:sz="6" w:space="0"/>
            </w:tcBorders>
            <w:vAlign w:val="center"/>
          </w:tcPr>
          <w:p>
            <w:pPr>
              <w:widowControl/>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4</w:t>
            </w:r>
          </w:p>
        </w:tc>
        <w:tc>
          <w:tcPr>
            <w:tcW w:w="2102" w:type="dxa"/>
            <w:tcBorders>
              <w:top w:val="single" w:color="auto" w:sz="6" w:space="0"/>
              <w:left w:val="single" w:color="auto" w:sz="6" w:space="0"/>
              <w:bottom w:val="single" w:color="auto" w:sz="6" w:space="0"/>
              <w:right w:val="single" w:color="auto" w:sz="6" w:space="0"/>
            </w:tcBorders>
            <w:vAlign w:val="center"/>
          </w:tcPr>
          <w:p>
            <w:pPr>
              <w:widowControl/>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岸滩围油栏充气机</w:t>
            </w:r>
          </w:p>
          <w:p>
            <w:pPr>
              <w:widowControl/>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（配套）</w:t>
            </w:r>
          </w:p>
        </w:tc>
        <w:tc>
          <w:tcPr>
            <w:tcW w:w="2837" w:type="dxa"/>
            <w:tcBorders>
              <w:top w:val="single" w:color="auto" w:sz="6" w:space="0"/>
              <w:left w:val="single" w:color="auto" w:sz="6" w:space="0"/>
              <w:bottom w:val="single" w:color="auto" w:sz="6" w:space="0"/>
              <w:right w:val="single" w:color="auto" w:sz="6" w:space="0"/>
            </w:tcBorders>
            <w:vAlign w:val="center"/>
          </w:tcPr>
          <w:p>
            <w:pPr>
              <w:widowControl/>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CQJ3.5</w:t>
            </w:r>
          </w:p>
        </w:tc>
        <w:tc>
          <w:tcPr>
            <w:tcW w:w="850" w:type="dxa"/>
            <w:tcBorders>
              <w:top w:val="single" w:color="auto" w:sz="6" w:space="0"/>
              <w:left w:val="single" w:color="auto" w:sz="6" w:space="0"/>
              <w:bottom w:val="single" w:color="auto" w:sz="6" w:space="0"/>
              <w:right w:val="single" w:color="auto" w:sz="6" w:space="0"/>
            </w:tcBorders>
            <w:vAlign w:val="center"/>
          </w:tcPr>
          <w:p>
            <w:pPr>
              <w:widowControl/>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台</w:t>
            </w:r>
          </w:p>
        </w:tc>
        <w:tc>
          <w:tcPr>
            <w:tcW w:w="853" w:type="dxa"/>
            <w:tcBorders>
              <w:top w:val="single" w:color="auto" w:sz="6" w:space="0"/>
              <w:left w:val="single" w:color="auto" w:sz="6" w:space="0"/>
              <w:bottom w:val="single" w:color="auto" w:sz="6" w:space="0"/>
              <w:right w:val="single" w:color="auto" w:sz="6" w:space="0"/>
            </w:tcBorders>
            <w:vAlign w:val="center"/>
          </w:tcPr>
          <w:p>
            <w:pPr>
              <w:widowControl/>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w:t>
            </w:r>
          </w:p>
        </w:tc>
        <w:tc>
          <w:tcPr>
            <w:tcW w:w="1471" w:type="dxa"/>
            <w:tcBorders>
              <w:top w:val="single" w:color="auto" w:sz="6" w:space="0"/>
              <w:left w:val="single" w:color="auto" w:sz="6" w:space="0"/>
              <w:bottom w:val="single" w:color="auto" w:sz="6" w:space="0"/>
              <w:right w:val="single" w:color="auto" w:sz="12" w:space="0"/>
            </w:tcBorders>
            <w:noWrap/>
            <w:vAlign w:val="center"/>
          </w:tcPr>
          <w:p>
            <w:pPr>
              <w:widowControl/>
              <w:jc w:val="center"/>
              <w:rPr>
                <w:color w:val="000000" w:themeColor="text1"/>
                <w:kern w:val="0"/>
                <w:sz w:val="21"/>
                <w:szCs w:val="21"/>
                <w14:textFill>
                  <w14:solidFill>
                    <w14:schemeClr w14:val="tx1"/>
                  </w14:solidFill>
                </w14:textFill>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246" w:hRule="atLeast"/>
        </w:trPr>
        <w:tc>
          <w:tcPr>
            <w:tcW w:w="416" w:type="dxa"/>
            <w:tcBorders>
              <w:top w:val="single" w:color="auto" w:sz="6" w:space="0"/>
              <w:left w:val="single" w:color="auto" w:sz="12" w:space="0"/>
              <w:bottom w:val="single" w:color="auto" w:sz="6" w:space="0"/>
              <w:right w:val="single" w:color="auto" w:sz="6" w:space="0"/>
            </w:tcBorders>
            <w:vAlign w:val="center"/>
          </w:tcPr>
          <w:p>
            <w:pPr>
              <w:widowControl/>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5</w:t>
            </w:r>
          </w:p>
        </w:tc>
        <w:tc>
          <w:tcPr>
            <w:tcW w:w="2102" w:type="dxa"/>
            <w:tcBorders>
              <w:top w:val="single" w:color="auto" w:sz="6" w:space="0"/>
              <w:left w:val="single" w:color="auto" w:sz="6" w:space="0"/>
              <w:bottom w:val="single" w:color="auto" w:sz="6" w:space="0"/>
              <w:right w:val="single" w:color="auto" w:sz="6" w:space="0"/>
            </w:tcBorders>
            <w:vAlign w:val="center"/>
          </w:tcPr>
          <w:p>
            <w:pPr>
              <w:widowControl/>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应急卸载泵</w:t>
            </w:r>
          </w:p>
        </w:tc>
        <w:tc>
          <w:tcPr>
            <w:tcW w:w="2837" w:type="dxa"/>
            <w:tcBorders>
              <w:top w:val="single" w:color="auto" w:sz="6" w:space="0"/>
              <w:left w:val="single" w:color="auto" w:sz="6" w:space="0"/>
              <w:bottom w:val="single" w:color="auto" w:sz="6" w:space="0"/>
              <w:right w:val="single" w:color="auto" w:sz="6" w:space="0"/>
            </w:tcBorders>
            <w:vAlign w:val="center"/>
          </w:tcPr>
          <w:p>
            <w:pPr>
              <w:widowControl/>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卸载能力不低于</w:t>
            </w:r>
            <w:r>
              <w:rPr>
                <w:color w:val="000000" w:themeColor="text1"/>
                <w:kern w:val="0"/>
                <w:sz w:val="21"/>
                <w:szCs w:val="21"/>
                <w14:textFill>
                  <w14:solidFill>
                    <w14:schemeClr w14:val="tx1"/>
                  </w14:solidFill>
                </w14:textFill>
              </w:rPr>
              <w:t>100t/h</w:t>
            </w:r>
            <w:r>
              <w:rPr>
                <w:rFonts w:hint="eastAsia"/>
                <w:color w:val="000000" w:themeColor="text1"/>
                <w:kern w:val="0"/>
                <w:sz w:val="21"/>
                <w:szCs w:val="21"/>
                <w14:textFill>
                  <w14:solidFill>
                    <w14:schemeClr w14:val="tx1"/>
                  </w14:solidFill>
                </w14:textFill>
              </w:rPr>
              <w:t>，防爆、防腐蚀</w:t>
            </w:r>
          </w:p>
        </w:tc>
        <w:tc>
          <w:tcPr>
            <w:tcW w:w="850" w:type="dxa"/>
            <w:tcBorders>
              <w:top w:val="single" w:color="auto" w:sz="6" w:space="0"/>
              <w:left w:val="single" w:color="auto" w:sz="6" w:space="0"/>
              <w:bottom w:val="single" w:color="auto" w:sz="6" w:space="0"/>
              <w:right w:val="single" w:color="auto" w:sz="6" w:space="0"/>
            </w:tcBorders>
            <w:vAlign w:val="center"/>
          </w:tcPr>
          <w:p>
            <w:pPr>
              <w:widowControl/>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台</w:t>
            </w:r>
          </w:p>
        </w:tc>
        <w:tc>
          <w:tcPr>
            <w:tcW w:w="853" w:type="dxa"/>
            <w:tcBorders>
              <w:top w:val="single" w:color="auto" w:sz="6" w:space="0"/>
              <w:left w:val="single" w:color="auto" w:sz="6" w:space="0"/>
              <w:bottom w:val="single" w:color="auto" w:sz="6" w:space="0"/>
              <w:right w:val="single" w:color="auto" w:sz="6" w:space="0"/>
            </w:tcBorders>
            <w:vAlign w:val="center"/>
          </w:tcPr>
          <w:p>
            <w:pPr>
              <w:widowControl/>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w:t>
            </w:r>
          </w:p>
        </w:tc>
        <w:tc>
          <w:tcPr>
            <w:tcW w:w="1471" w:type="dxa"/>
            <w:tcBorders>
              <w:top w:val="single" w:color="auto" w:sz="6" w:space="0"/>
              <w:left w:val="single" w:color="auto" w:sz="6" w:space="0"/>
              <w:bottom w:val="single" w:color="auto" w:sz="6" w:space="0"/>
              <w:right w:val="single" w:color="auto" w:sz="12" w:space="0"/>
            </w:tcBorders>
            <w:noWrap/>
            <w:vAlign w:val="center"/>
          </w:tcPr>
          <w:p>
            <w:pPr>
              <w:widowControl/>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应急清污协议单位提供</w:t>
            </w:r>
            <w:r>
              <w:rPr>
                <w:color w:val="000000" w:themeColor="text1"/>
                <w:kern w:val="0"/>
                <w:sz w:val="21"/>
                <w:szCs w:val="21"/>
                <w14:textFill>
                  <w14:solidFill>
                    <w14:schemeClr w14:val="tx1"/>
                  </w14:solidFill>
                </w14:textFill>
              </w:rPr>
              <w:t>1</w:t>
            </w:r>
            <w:r>
              <w:rPr>
                <w:rFonts w:hint="eastAsia"/>
                <w:color w:val="000000" w:themeColor="text1"/>
                <w:kern w:val="0"/>
                <w:sz w:val="21"/>
                <w:szCs w:val="21"/>
                <w14:textFill>
                  <w14:solidFill>
                    <w14:schemeClr w14:val="tx1"/>
                  </w14:solidFill>
                </w14:textFill>
              </w:rPr>
              <w:t>台</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831" w:hRule="atLeast"/>
        </w:trPr>
        <w:tc>
          <w:tcPr>
            <w:tcW w:w="416" w:type="dxa"/>
            <w:tcBorders>
              <w:top w:val="single" w:color="auto" w:sz="6" w:space="0"/>
              <w:left w:val="single" w:color="auto" w:sz="12" w:space="0"/>
              <w:bottom w:val="single" w:color="auto" w:sz="6" w:space="0"/>
              <w:right w:val="single" w:color="auto" w:sz="6" w:space="0"/>
            </w:tcBorders>
            <w:vAlign w:val="center"/>
          </w:tcPr>
          <w:p>
            <w:pPr>
              <w:widowControl/>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6</w:t>
            </w:r>
          </w:p>
        </w:tc>
        <w:tc>
          <w:tcPr>
            <w:tcW w:w="2102" w:type="dxa"/>
            <w:tcBorders>
              <w:top w:val="single" w:color="auto" w:sz="6" w:space="0"/>
              <w:left w:val="single" w:color="auto" w:sz="6" w:space="0"/>
              <w:bottom w:val="single" w:color="auto" w:sz="6" w:space="0"/>
              <w:right w:val="single" w:color="auto" w:sz="6" w:space="0"/>
            </w:tcBorders>
            <w:vAlign w:val="center"/>
          </w:tcPr>
          <w:p>
            <w:pPr>
              <w:widowControl/>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收油机</w:t>
            </w:r>
          </w:p>
        </w:tc>
        <w:tc>
          <w:tcPr>
            <w:tcW w:w="2837" w:type="dxa"/>
            <w:tcBorders>
              <w:top w:val="single" w:color="auto" w:sz="6" w:space="0"/>
              <w:left w:val="single" w:color="auto" w:sz="6" w:space="0"/>
              <w:bottom w:val="single" w:color="auto" w:sz="6" w:space="0"/>
              <w:right w:val="single" w:color="auto" w:sz="6" w:space="0"/>
            </w:tcBorders>
            <w:vAlign w:val="center"/>
          </w:tcPr>
          <w:p>
            <w:pPr>
              <w:widowControl/>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适用于中高粘度船舶燃料油回收的收油机，回收能力不低于</w:t>
            </w:r>
            <w:r>
              <w:rPr>
                <w:color w:val="000000" w:themeColor="text1"/>
                <w:kern w:val="0"/>
                <w:sz w:val="21"/>
                <w:szCs w:val="21"/>
                <w14:textFill>
                  <w14:solidFill>
                    <w14:schemeClr w14:val="tx1"/>
                  </w14:solidFill>
                </w14:textFill>
              </w:rPr>
              <w:t>9.3m³/h</w:t>
            </w:r>
          </w:p>
        </w:tc>
        <w:tc>
          <w:tcPr>
            <w:tcW w:w="850" w:type="dxa"/>
            <w:tcBorders>
              <w:top w:val="single" w:color="auto" w:sz="6" w:space="0"/>
              <w:left w:val="single" w:color="auto" w:sz="6" w:space="0"/>
              <w:bottom w:val="single" w:color="auto" w:sz="6" w:space="0"/>
              <w:right w:val="single" w:color="auto" w:sz="6" w:space="0"/>
            </w:tcBorders>
            <w:vAlign w:val="center"/>
          </w:tcPr>
          <w:p>
            <w:pPr>
              <w:widowControl/>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台</w:t>
            </w:r>
          </w:p>
        </w:tc>
        <w:tc>
          <w:tcPr>
            <w:tcW w:w="853" w:type="dxa"/>
            <w:tcBorders>
              <w:top w:val="single" w:color="auto" w:sz="6" w:space="0"/>
              <w:left w:val="single" w:color="auto" w:sz="6" w:space="0"/>
              <w:bottom w:val="single" w:color="auto" w:sz="6" w:space="0"/>
              <w:right w:val="single" w:color="auto" w:sz="6" w:space="0"/>
            </w:tcBorders>
            <w:vAlign w:val="center"/>
          </w:tcPr>
          <w:p>
            <w:pPr>
              <w:widowControl/>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w:t>
            </w:r>
          </w:p>
        </w:tc>
        <w:tc>
          <w:tcPr>
            <w:tcW w:w="1471" w:type="dxa"/>
            <w:tcBorders>
              <w:top w:val="single" w:color="auto" w:sz="6" w:space="0"/>
              <w:left w:val="single" w:color="auto" w:sz="6" w:space="0"/>
              <w:bottom w:val="single" w:color="auto" w:sz="6" w:space="0"/>
              <w:right w:val="single" w:color="auto" w:sz="12" w:space="0"/>
            </w:tcBorders>
            <w:vAlign w:val="center"/>
          </w:tcPr>
          <w:p>
            <w:pPr>
              <w:widowControl/>
              <w:jc w:val="center"/>
              <w:rPr>
                <w:color w:val="000000" w:themeColor="text1"/>
                <w:kern w:val="0"/>
                <w:sz w:val="21"/>
                <w:szCs w:val="21"/>
                <w14:textFill>
                  <w14:solidFill>
                    <w14:schemeClr w14:val="tx1"/>
                  </w14:solidFill>
                </w14:textFill>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864" w:hRule="atLeast"/>
        </w:trPr>
        <w:tc>
          <w:tcPr>
            <w:tcW w:w="416" w:type="dxa"/>
            <w:tcBorders>
              <w:top w:val="single" w:color="auto" w:sz="6" w:space="0"/>
              <w:left w:val="single" w:color="auto" w:sz="12" w:space="0"/>
              <w:bottom w:val="single" w:color="auto" w:sz="6" w:space="0"/>
              <w:right w:val="single" w:color="auto" w:sz="6" w:space="0"/>
            </w:tcBorders>
            <w:vAlign w:val="center"/>
          </w:tcPr>
          <w:p>
            <w:pPr>
              <w:widowControl/>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7</w:t>
            </w:r>
          </w:p>
        </w:tc>
        <w:tc>
          <w:tcPr>
            <w:tcW w:w="2102" w:type="dxa"/>
            <w:tcBorders>
              <w:top w:val="single" w:color="auto" w:sz="6" w:space="0"/>
              <w:left w:val="single" w:color="auto" w:sz="6" w:space="0"/>
              <w:bottom w:val="single" w:color="auto" w:sz="6" w:space="0"/>
              <w:right w:val="single" w:color="auto" w:sz="6" w:space="0"/>
            </w:tcBorders>
            <w:vAlign w:val="center"/>
          </w:tcPr>
          <w:p>
            <w:pPr>
              <w:widowControl/>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吸油毡</w:t>
            </w:r>
          </w:p>
        </w:tc>
        <w:tc>
          <w:tcPr>
            <w:tcW w:w="2837" w:type="dxa"/>
            <w:tcBorders>
              <w:top w:val="single" w:color="auto" w:sz="6" w:space="0"/>
              <w:left w:val="single" w:color="auto" w:sz="6" w:space="0"/>
              <w:bottom w:val="single" w:color="auto" w:sz="6" w:space="0"/>
              <w:right w:val="single" w:color="auto" w:sz="6" w:space="0"/>
            </w:tcBorders>
            <w:vAlign w:val="center"/>
          </w:tcPr>
          <w:p>
            <w:pPr>
              <w:widowControl/>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PP-2</w:t>
            </w:r>
            <w:r>
              <w:rPr>
                <w:rFonts w:hint="eastAsia"/>
                <w:color w:val="000000" w:themeColor="text1"/>
                <w:kern w:val="0"/>
                <w:sz w:val="21"/>
                <w:szCs w:val="21"/>
                <w14:textFill>
                  <w14:solidFill>
                    <w14:schemeClr w14:val="tx1"/>
                  </w14:solidFill>
                </w14:textFill>
              </w:rPr>
              <w:t>型，聚丙烯材质、亲油疏水，</w:t>
            </w:r>
            <w:r>
              <w:rPr>
                <w:color w:val="000000" w:themeColor="text1"/>
                <w:kern w:val="0"/>
                <w:sz w:val="21"/>
                <w:szCs w:val="21"/>
                <w14:textFill>
                  <w14:solidFill>
                    <w14:schemeClr w14:val="tx1"/>
                  </w14:solidFill>
                </w14:textFill>
              </w:rPr>
              <w:t>20</w:t>
            </w:r>
            <w:r>
              <w:rPr>
                <w:rFonts w:hint="eastAsia"/>
                <w:color w:val="000000" w:themeColor="text1"/>
                <w:kern w:val="0"/>
                <w:sz w:val="21"/>
                <w:szCs w:val="21"/>
                <w14:textFill>
                  <w14:solidFill>
                    <w14:schemeClr w14:val="tx1"/>
                  </w14:solidFill>
                </w14:textFill>
              </w:rPr>
              <w:t>公斤／包，吸油量：自重的</w:t>
            </w:r>
            <w:r>
              <w:rPr>
                <w:color w:val="000000" w:themeColor="text1"/>
                <w:kern w:val="0"/>
                <w:sz w:val="21"/>
                <w:szCs w:val="21"/>
                <w14:textFill>
                  <w14:solidFill>
                    <w14:schemeClr w14:val="tx1"/>
                  </w14:solidFill>
                </w14:textFill>
              </w:rPr>
              <w:t>12</w:t>
            </w:r>
            <w:r>
              <w:rPr>
                <w:rFonts w:hint="eastAsia"/>
                <w:color w:val="000000" w:themeColor="text1"/>
                <w:kern w:val="0"/>
                <w:sz w:val="21"/>
                <w:szCs w:val="21"/>
                <w14:textFill>
                  <w14:solidFill>
                    <w14:schemeClr w14:val="tx1"/>
                  </w14:solidFill>
                </w14:textFill>
              </w:rPr>
              <w:t>倍以上</w:t>
            </w:r>
          </w:p>
        </w:tc>
        <w:tc>
          <w:tcPr>
            <w:tcW w:w="850" w:type="dxa"/>
            <w:tcBorders>
              <w:top w:val="single" w:color="auto" w:sz="6" w:space="0"/>
              <w:left w:val="single" w:color="auto" w:sz="6" w:space="0"/>
              <w:bottom w:val="single" w:color="auto" w:sz="6" w:space="0"/>
              <w:right w:val="single" w:color="auto" w:sz="6" w:space="0"/>
            </w:tcBorders>
            <w:vAlign w:val="center"/>
          </w:tcPr>
          <w:p>
            <w:pPr>
              <w:widowControl/>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吨</w:t>
            </w:r>
          </w:p>
        </w:tc>
        <w:tc>
          <w:tcPr>
            <w:tcW w:w="853" w:type="dxa"/>
            <w:tcBorders>
              <w:top w:val="single" w:color="auto" w:sz="6" w:space="0"/>
              <w:left w:val="single" w:color="auto" w:sz="6" w:space="0"/>
              <w:bottom w:val="single" w:color="auto" w:sz="6" w:space="0"/>
              <w:right w:val="single" w:color="auto" w:sz="6" w:space="0"/>
            </w:tcBorders>
            <w:vAlign w:val="center"/>
          </w:tcPr>
          <w:p>
            <w:pPr>
              <w:widowControl/>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5.75</w:t>
            </w:r>
          </w:p>
        </w:tc>
        <w:tc>
          <w:tcPr>
            <w:tcW w:w="1471" w:type="dxa"/>
            <w:tcBorders>
              <w:top w:val="single" w:color="auto" w:sz="6" w:space="0"/>
              <w:left w:val="single" w:color="auto" w:sz="6" w:space="0"/>
              <w:bottom w:val="single" w:color="auto" w:sz="6" w:space="0"/>
              <w:right w:val="single" w:color="auto" w:sz="12" w:space="0"/>
            </w:tcBorders>
            <w:vAlign w:val="center"/>
          </w:tcPr>
          <w:p>
            <w:pPr>
              <w:widowControl/>
              <w:jc w:val="center"/>
              <w:rPr>
                <w:color w:val="000000" w:themeColor="text1"/>
                <w:kern w:val="0"/>
                <w:sz w:val="21"/>
                <w:szCs w:val="21"/>
                <w14:textFill>
                  <w14:solidFill>
                    <w14:schemeClr w14:val="tx1"/>
                  </w14:solidFill>
                </w14:textFill>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203" w:hRule="atLeast"/>
        </w:trPr>
        <w:tc>
          <w:tcPr>
            <w:tcW w:w="416" w:type="dxa"/>
            <w:tcBorders>
              <w:top w:val="single" w:color="auto" w:sz="6" w:space="0"/>
              <w:left w:val="single" w:color="auto" w:sz="12" w:space="0"/>
              <w:bottom w:val="single" w:color="auto" w:sz="6" w:space="0"/>
              <w:right w:val="single" w:color="auto" w:sz="6" w:space="0"/>
            </w:tcBorders>
            <w:vAlign w:val="center"/>
          </w:tcPr>
          <w:p>
            <w:pPr>
              <w:widowControl/>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8</w:t>
            </w:r>
          </w:p>
        </w:tc>
        <w:tc>
          <w:tcPr>
            <w:tcW w:w="2102" w:type="dxa"/>
            <w:tcBorders>
              <w:top w:val="single" w:color="auto" w:sz="6" w:space="0"/>
              <w:left w:val="single" w:color="auto" w:sz="6" w:space="0"/>
              <w:bottom w:val="single" w:color="auto" w:sz="6" w:space="0"/>
              <w:right w:val="single" w:color="auto" w:sz="6" w:space="0"/>
            </w:tcBorders>
            <w:vAlign w:val="center"/>
          </w:tcPr>
          <w:p>
            <w:pPr>
              <w:widowControl/>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吸油拖栏</w:t>
            </w:r>
          </w:p>
        </w:tc>
        <w:tc>
          <w:tcPr>
            <w:tcW w:w="2837" w:type="dxa"/>
            <w:tcBorders>
              <w:top w:val="single" w:color="auto" w:sz="6" w:space="0"/>
              <w:left w:val="single" w:color="auto" w:sz="6" w:space="0"/>
              <w:bottom w:val="single" w:color="auto" w:sz="6" w:space="0"/>
              <w:right w:val="single" w:color="auto" w:sz="6" w:space="0"/>
            </w:tcBorders>
            <w:vAlign w:val="center"/>
          </w:tcPr>
          <w:p>
            <w:pPr>
              <w:widowControl/>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ⅩTL-220Y</w:t>
            </w:r>
            <w:r>
              <w:rPr>
                <w:rFonts w:hint="eastAsia"/>
                <w:color w:val="000000" w:themeColor="text1"/>
                <w:kern w:val="0"/>
                <w:sz w:val="21"/>
                <w:szCs w:val="21"/>
                <w14:textFill>
                  <w14:solidFill>
                    <w14:schemeClr w14:val="tx1"/>
                  </w14:solidFill>
                </w14:textFill>
              </w:rPr>
              <w:t>型，圆形，聚丙烯材质，</w:t>
            </w:r>
            <w:r>
              <w:rPr>
                <w:color w:val="000000" w:themeColor="text1"/>
                <w:kern w:val="0"/>
                <w:sz w:val="21"/>
                <w:szCs w:val="21"/>
                <w14:textFill>
                  <w14:solidFill>
                    <w14:schemeClr w14:val="tx1"/>
                  </w14:solidFill>
                </w14:textFill>
              </w:rPr>
              <w:t>3m</w:t>
            </w:r>
            <w:r>
              <w:rPr>
                <w:rFonts w:hint="eastAsia"/>
                <w:color w:val="000000" w:themeColor="text1"/>
                <w:kern w:val="0"/>
                <w:sz w:val="21"/>
                <w:szCs w:val="21"/>
                <w14:textFill>
                  <w14:solidFill>
                    <w14:schemeClr w14:val="tx1"/>
                  </w14:solidFill>
                </w14:textFill>
              </w:rPr>
              <w:t>一条</w:t>
            </w:r>
          </w:p>
        </w:tc>
        <w:tc>
          <w:tcPr>
            <w:tcW w:w="850" w:type="dxa"/>
            <w:tcBorders>
              <w:top w:val="single" w:color="auto" w:sz="6" w:space="0"/>
              <w:left w:val="single" w:color="auto" w:sz="6" w:space="0"/>
              <w:bottom w:val="single" w:color="auto" w:sz="6" w:space="0"/>
              <w:right w:val="single" w:color="auto" w:sz="6" w:space="0"/>
            </w:tcBorders>
            <w:vAlign w:val="center"/>
          </w:tcPr>
          <w:p>
            <w:pPr>
              <w:widowControl/>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米</w:t>
            </w:r>
          </w:p>
        </w:tc>
        <w:tc>
          <w:tcPr>
            <w:tcW w:w="853" w:type="dxa"/>
            <w:tcBorders>
              <w:top w:val="single" w:color="auto" w:sz="6" w:space="0"/>
              <w:left w:val="single" w:color="auto" w:sz="6" w:space="0"/>
              <w:bottom w:val="single" w:color="auto" w:sz="6" w:space="0"/>
              <w:right w:val="single" w:color="auto" w:sz="6" w:space="0"/>
            </w:tcBorders>
            <w:vAlign w:val="center"/>
          </w:tcPr>
          <w:p>
            <w:pPr>
              <w:widowControl/>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200</w:t>
            </w:r>
          </w:p>
        </w:tc>
        <w:tc>
          <w:tcPr>
            <w:tcW w:w="1471" w:type="dxa"/>
            <w:tcBorders>
              <w:top w:val="single" w:color="auto" w:sz="6" w:space="0"/>
              <w:left w:val="single" w:color="auto" w:sz="6" w:space="0"/>
              <w:bottom w:val="single" w:color="auto" w:sz="6" w:space="0"/>
              <w:right w:val="single" w:color="auto" w:sz="12" w:space="0"/>
            </w:tcBorders>
            <w:vAlign w:val="center"/>
          </w:tcPr>
          <w:p>
            <w:pPr>
              <w:widowControl/>
              <w:jc w:val="center"/>
              <w:rPr>
                <w:color w:val="000000" w:themeColor="text1"/>
                <w:kern w:val="0"/>
                <w:sz w:val="21"/>
                <w:szCs w:val="21"/>
                <w14:textFill>
                  <w14:solidFill>
                    <w14:schemeClr w14:val="tx1"/>
                  </w14:solidFill>
                </w14:textFill>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64" w:hRule="atLeast"/>
        </w:trPr>
        <w:tc>
          <w:tcPr>
            <w:tcW w:w="416" w:type="dxa"/>
            <w:tcBorders>
              <w:top w:val="single" w:color="auto" w:sz="6" w:space="0"/>
              <w:left w:val="single" w:color="auto" w:sz="12" w:space="0"/>
              <w:bottom w:val="single" w:color="auto" w:sz="6" w:space="0"/>
              <w:right w:val="single" w:color="auto" w:sz="6" w:space="0"/>
            </w:tcBorders>
            <w:vAlign w:val="center"/>
          </w:tcPr>
          <w:p>
            <w:pPr>
              <w:widowControl/>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9</w:t>
            </w:r>
          </w:p>
        </w:tc>
        <w:tc>
          <w:tcPr>
            <w:tcW w:w="2102" w:type="dxa"/>
            <w:tcBorders>
              <w:top w:val="single" w:color="auto" w:sz="6" w:space="0"/>
              <w:left w:val="single" w:color="auto" w:sz="6" w:space="0"/>
              <w:bottom w:val="single" w:color="auto" w:sz="6" w:space="0"/>
              <w:right w:val="single" w:color="auto" w:sz="6" w:space="0"/>
            </w:tcBorders>
            <w:vAlign w:val="center"/>
          </w:tcPr>
          <w:p>
            <w:pPr>
              <w:widowControl/>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轻便储油罐</w:t>
            </w:r>
          </w:p>
        </w:tc>
        <w:tc>
          <w:tcPr>
            <w:tcW w:w="2837" w:type="dxa"/>
            <w:tcBorders>
              <w:top w:val="single" w:color="auto" w:sz="6" w:space="0"/>
              <w:left w:val="single" w:color="auto" w:sz="6" w:space="0"/>
              <w:bottom w:val="single" w:color="auto" w:sz="6" w:space="0"/>
              <w:right w:val="single" w:color="auto" w:sz="6" w:space="0"/>
            </w:tcBorders>
            <w:vAlign w:val="center"/>
          </w:tcPr>
          <w:p>
            <w:pPr>
              <w:widowControl/>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轻便储罐，总容量</w:t>
            </w:r>
            <w:r>
              <w:rPr>
                <w:rFonts w:hint="eastAsia" w:ascii="宋体" w:hAnsi="宋体" w:cs="宋体"/>
                <w:color w:val="000000" w:themeColor="text1"/>
                <w:kern w:val="0"/>
                <w:sz w:val="21"/>
                <w:szCs w:val="21"/>
                <w14:textFill>
                  <w14:solidFill>
                    <w14:schemeClr w14:val="tx1"/>
                  </w14:solidFill>
                </w14:textFill>
              </w:rPr>
              <w:t>≧</w:t>
            </w:r>
            <w:r>
              <w:rPr>
                <w:color w:val="000000" w:themeColor="text1"/>
                <w:kern w:val="0"/>
                <w:sz w:val="21"/>
                <w:szCs w:val="21"/>
                <w14:textFill>
                  <w14:solidFill>
                    <w14:schemeClr w14:val="tx1"/>
                  </w14:solidFill>
                </w14:textFill>
              </w:rPr>
              <w:t>60m³</w:t>
            </w:r>
          </w:p>
        </w:tc>
        <w:tc>
          <w:tcPr>
            <w:tcW w:w="850" w:type="dxa"/>
            <w:tcBorders>
              <w:top w:val="single" w:color="auto" w:sz="6" w:space="0"/>
              <w:left w:val="single" w:color="auto" w:sz="6" w:space="0"/>
              <w:bottom w:val="single" w:color="auto" w:sz="6" w:space="0"/>
              <w:right w:val="single" w:color="auto" w:sz="6" w:space="0"/>
            </w:tcBorders>
            <w:vAlign w:val="center"/>
          </w:tcPr>
          <w:p>
            <w:pPr>
              <w:widowControl/>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立方米</w:t>
            </w:r>
          </w:p>
        </w:tc>
        <w:tc>
          <w:tcPr>
            <w:tcW w:w="853" w:type="dxa"/>
            <w:tcBorders>
              <w:top w:val="single" w:color="auto" w:sz="6" w:space="0"/>
              <w:left w:val="single" w:color="auto" w:sz="6" w:space="0"/>
              <w:bottom w:val="single" w:color="auto" w:sz="6" w:space="0"/>
              <w:right w:val="single" w:color="auto" w:sz="6" w:space="0"/>
            </w:tcBorders>
            <w:vAlign w:val="center"/>
          </w:tcPr>
          <w:p>
            <w:pPr>
              <w:widowControl/>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60</w:t>
            </w:r>
          </w:p>
        </w:tc>
        <w:tc>
          <w:tcPr>
            <w:tcW w:w="1471" w:type="dxa"/>
            <w:tcBorders>
              <w:top w:val="single" w:color="auto" w:sz="6" w:space="0"/>
              <w:left w:val="single" w:color="auto" w:sz="6" w:space="0"/>
              <w:bottom w:val="single" w:color="auto" w:sz="6" w:space="0"/>
              <w:right w:val="single" w:color="auto" w:sz="12" w:space="0"/>
            </w:tcBorders>
            <w:vAlign w:val="center"/>
          </w:tcPr>
          <w:p>
            <w:pPr>
              <w:widowControl/>
              <w:jc w:val="center"/>
              <w:rPr>
                <w:color w:val="000000" w:themeColor="text1"/>
                <w:kern w:val="0"/>
                <w:sz w:val="21"/>
                <w:szCs w:val="21"/>
                <w14:textFill>
                  <w14:solidFill>
                    <w14:schemeClr w14:val="tx1"/>
                  </w14:solidFill>
                </w14:textFill>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109" w:hRule="atLeast"/>
        </w:trPr>
        <w:tc>
          <w:tcPr>
            <w:tcW w:w="416" w:type="dxa"/>
            <w:vMerge w:val="restart"/>
            <w:tcBorders>
              <w:top w:val="single" w:color="auto" w:sz="6" w:space="0"/>
              <w:left w:val="single" w:color="auto" w:sz="12" w:space="0"/>
              <w:bottom w:val="single" w:color="auto" w:sz="6" w:space="0"/>
              <w:right w:val="single" w:color="auto" w:sz="6" w:space="0"/>
            </w:tcBorders>
            <w:vAlign w:val="center"/>
          </w:tcPr>
          <w:p>
            <w:pPr>
              <w:widowControl/>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10</w:t>
            </w:r>
          </w:p>
        </w:tc>
        <w:tc>
          <w:tcPr>
            <w:tcW w:w="2102" w:type="dxa"/>
            <w:vMerge w:val="restart"/>
            <w:tcBorders>
              <w:top w:val="single" w:color="auto" w:sz="6" w:space="0"/>
              <w:left w:val="single" w:color="auto" w:sz="6" w:space="0"/>
              <w:bottom w:val="single" w:color="auto" w:sz="6" w:space="0"/>
              <w:right w:val="single" w:color="auto" w:sz="6" w:space="0"/>
            </w:tcBorders>
            <w:vAlign w:val="center"/>
          </w:tcPr>
          <w:p>
            <w:pPr>
              <w:widowControl/>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溢油分散剂</w:t>
            </w:r>
          </w:p>
        </w:tc>
        <w:tc>
          <w:tcPr>
            <w:tcW w:w="2837" w:type="dxa"/>
            <w:tcBorders>
              <w:top w:val="single" w:color="auto" w:sz="6" w:space="0"/>
              <w:left w:val="single" w:color="auto" w:sz="6" w:space="0"/>
              <w:bottom w:val="single" w:color="auto" w:sz="6" w:space="0"/>
              <w:right w:val="single" w:color="auto" w:sz="6" w:space="0"/>
            </w:tcBorders>
            <w:vAlign w:val="center"/>
          </w:tcPr>
          <w:p>
            <w:pPr>
              <w:widowControl/>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环保型</w:t>
            </w:r>
          </w:p>
        </w:tc>
        <w:tc>
          <w:tcPr>
            <w:tcW w:w="850" w:type="dxa"/>
            <w:tcBorders>
              <w:top w:val="single" w:color="auto" w:sz="6" w:space="0"/>
              <w:left w:val="single" w:color="auto" w:sz="6" w:space="0"/>
              <w:bottom w:val="single" w:color="auto" w:sz="6" w:space="0"/>
              <w:right w:val="single" w:color="auto" w:sz="6" w:space="0"/>
            </w:tcBorders>
            <w:vAlign w:val="center"/>
          </w:tcPr>
          <w:p>
            <w:pPr>
              <w:widowControl/>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吨</w:t>
            </w:r>
          </w:p>
        </w:tc>
        <w:tc>
          <w:tcPr>
            <w:tcW w:w="853" w:type="dxa"/>
            <w:tcBorders>
              <w:top w:val="single" w:color="auto" w:sz="6" w:space="0"/>
              <w:left w:val="single" w:color="auto" w:sz="6" w:space="0"/>
              <w:bottom w:val="single" w:color="auto" w:sz="6" w:space="0"/>
              <w:right w:val="single" w:color="auto" w:sz="6" w:space="0"/>
            </w:tcBorders>
            <w:vAlign w:val="center"/>
          </w:tcPr>
          <w:p>
            <w:pPr>
              <w:widowControl/>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1.2</w:t>
            </w:r>
          </w:p>
        </w:tc>
        <w:tc>
          <w:tcPr>
            <w:tcW w:w="1471" w:type="dxa"/>
            <w:tcBorders>
              <w:top w:val="single" w:color="auto" w:sz="6" w:space="0"/>
              <w:left w:val="single" w:color="auto" w:sz="6" w:space="0"/>
              <w:bottom w:val="single" w:color="auto" w:sz="6" w:space="0"/>
              <w:right w:val="single" w:color="auto" w:sz="12" w:space="0"/>
            </w:tcBorders>
            <w:vAlign w:val="center"/>
          </w:tcPr>
          <w:p>
            <w:pPr>
              <w:widowControl/>
              <w:jc w:val="center"/>
              <w:rPr>
                <w:color w:val="000000" w:themeColor="text1"/>
                <w:kern w:val="0"/>
                <w:sz w:val="21"/>
                <w:szCs w:val="21"/>
                <w14:textFill>
                  <w14:solidFill>
                    <w14:schemeClr w14:val="tx1"/>
                  </w14:solidFill>
                </w14:textFill>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109" w:hRule="atLeast"/>
        </w:trPr>
        <w:tc>
          <w:tcPr>
            <w:tcW w:w="416" w:type="dxa"/>
            <w:vMerge w:val="continue"/>
            <w:tcBorders>
              <w:top w:val="single" w:color="auto" w:sz="6" w:space="0"/>
              <w:left w:val="single" w:color="auto" w:sz="12" w:space="0"/>
              <w:bottom w:val="single" w:color="auto" w:sz="6" w:space="0"/>
              <w:right w:val="single" w:color="auto" w:sz="6" w:space="0"/>
            </w:tcBorders>
            <w:vAlign w:val="center"/>
          </w:tcPr>
          <w:p>
            <w:pPr>
              <w:widowControl/>
              <w:jc w:val="left"/>
              <w:rPr>
                <w:color w:val="000000" w:themeColor="text1"/>
                <w:kern w:val="0"/>
                <w:sz w:val="21"/>
                <w:szCs w:val="21"/>
                <w14:textFill>
                  <w14:solidFill>
                    <w14:schemeClr w14:val="tx1"/>
                  </w14:solidFill>
                </w14:textFill>
              </w:rPr>
            </w:pPr>
          </w:p>
        </w:tc>
        <w:tc>
          <w:tcPr>
            <w:tcW w:w="2102" w:type="dxa"/>
            <w:vMerge w:val="continue"/>
            <w:tcBorders>
              <w:top w:val="single" w:color="auto" w:sz="6" w:space="0"/>
              <w:left w:val="single" w:color="auto" w:sz="6" w:space="0"/>
              <w:bottom w:val="single" w:color="auto" w:sz="6" w:space="0"/>
              <w:right w:val="single" w:color="auto" w:sz="6" w:space="0"/>
            </w:tcBorders>
            <w:vAlign w:val="center"/>
          </w:tcPr>
          <w:p>
            <w:pPr>
              <w:widowControl/>
              <w:jc w:val="left"/>
              <w:rPr>
                <w:color w:val="000000" w:themeColor="text1"/>
                <w:kern w:val="0"/>
                <w:sz w:val="21"/>
                <w:szCs w:val="21"/>
                <w14:textFill>
                  <w14:solidFill>
                    <w14:schemeClr w14:val="tx1"/>
                  </w14:solidFill>
                </w14:textFill>
              </w:rPr>
            </w:pPr>
          </w:p>
        </w:tc>
        <w:tc>
          <w:tcPr>
            <w:tcW w:w="2837" w:type="dxa"/>
            <w:tcBorders>
              <w:top w:val="single" w:color="auto" w:sz="6" w:space="0"/>
              <w:left w:val="single" w:color="auto" w:sz="6" w:space="0"/>
              <w:bottom w:val="single" w:color="auto" w:sz="6" w:space="0"/>
              <w:right w:val="single" w:color="auto" w:sz="6" w:space="0"/>
            </w:tcBorders>
            <w:vAlign w:val="center"/>
          </w:tcPr>
          <w:p>
            <w:pPr>
              <w:widowControl/>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浓缩型</w:t>
            </w:r>
          </w:p>
        </w:tc>
        <w:tc>
          <w:tcPr>
            <w:tcW w:w="850" w:type="dxa"/>
            <w:tcBorders>
              <w:top w:val="single" w:color="auto" w:sz="6" w:space="0"/>
              <w:left w:val="single" w:color="auto" w:sz="6" w:space="0"/>
              <w:bottom w:val="single" w:color="auto" w:sz="6" w:space="0"/>
              <w:right w:val="single" w:color="auto" w:sz="6" w:space="0"/>
            </w:tcBorders>
            <w:vAlign w:val="center"/>
          </w:tcPr>
          <w:p>
            <w:pPr>
              <w:widowControl/>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吨</w:t>
            </w:r>
          </w:p>
        </w:tc>
        <w:tc>
          <w:tcPr>
            <w:tcW w:w="853" w:type="dxa"/>
            <w:tcBorders>
              <w:top w:val="single" w:color="auto" w:sz="6" w:space="0"/>
              <w:left w:val="single" w:color="auto" w:sz="6" w:space="0"/>
              <w:bottom w:val="single" w:color="auto" w:sz="6" w:space="0"/>
              <w:right w:val="single" w:color="auto" w:sz="6" w:space="0"/>
            </w:tcBorders>
            <w:vAlign w:val="center"/>
          </w:tcPr>
          <w:p>
            <w:pPr>
              <w:widowControl/>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1.71</w:t>
            </w:r>
          </w:p>
        </w:tc>
        <w:tc>
          <w:tcPr>
            <w:tcW w:w="1471" w:type="dxa"/>
            <w:tcBorders>
              <w:top w:val="single" w:color="auto" w:sz="6" w:space="0"/>
              <w:left w:val="single" w:color="auto" w:sz="6" w:space="0"/>
              <w:bottom w:val="single" w:color="auto" w:sz="6" w:space="0"/>
              <w:right w:val="single" w:color="auto" w:sz="12" w:space="0"/>
            </w:tcBorders>
            <w:vAlign w:val="center"/>
          </w:tcPr>
          <w:p>
            <w:pPr>
              <w:widowControl/>
              <w:jc w:val="center"/>
              <w:rPr>
                <w:color w:val="000000" w:themeColor="text1"/>
                <w:kern w:val="0"/>
                <w:sz w:val="21"/>
                <w:szCs w:val="21"/>
                <w14:textFill>
                  <w14:solidFill>
                    <w14:schemeClr w14:val="tx1"/>
                  </w14:solidFill>
                </w14:textFill>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64" w:hRule="atLeast"/>
        </w:trPr>
        <w:tc>
          <w:tcPr>
            <w:tcW w:w="416" w:type="dxa"/>
            <w:tcBorders>
              <w:top w:val="single" w:color="auto" w:sz="6" w:space="0"/>
              <w:left w:val="single" w:color="auto" w:sz="12" w:space="0"/>
              <w:bottom w:val="single" w:color="auto" w:sz="6" w:space="0"/>
              <w:right w:val="single" w:color="auto" w:sz="6" w:space="0"/>
            </w:tcBorders>
            <w:vAlign w:val="center"/>
          </w:tcPr>
          <w:p>
            <w:pPr>
              <w:widowControl/>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11</w:t>
            </w:r>
          </w:p>
        </w:tc>
        <w:tc>
          <w:tcPr>
            <w:tcW w:w="2102" w:type="dxa"/>
            <w:tcBorders>
              <w:top w:val="single" w:color="auto" w:sz="6" w:space="0"/>
              <w:left w:val="single" w:color="auto" w:sz="6" w:space="0"/>
              <w:bottom w:val="single" w:color="auto" w:sz="6" w:space="0"/>
              <w:right w:val="single" w:color="auto" w:sz="6" w:space="0"/>
            </w:tcBorders>
            <w:vAlign w:val="center"/>
          </w:tcPr>
          <w:p>
            <w:pPr>
              <w:widowControl/>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溢油分散剂喷洒装置</w:t>
            </w:r>
          </w:p>
        </w:tc>
        <w:tc>
          <w:tcPr>
            <w:tcW w:w="2837" w:type="dxa"/>
            <w:tcBorders>
              <w:top w:val="single" w:color="auto" w:sz="6" w:space="0"/>
              <w:left w:val="single" w:color="auto" w:sz="6" w:space="0"/>
              <w:bottom w:val="single" w:color="auto" w:sz="6" w:space="0"/>
              <w:right w:val="single" w:color="auto" w:sz="6" w:space="0"/>
            </w:tcBorders>
            <w:vAlign w:val="center"/>
          </w:tcPr>
          <w:p>
            <w:pPr>
              <w:widowControl/>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便携式</w:t>
            </w:r>
          </w:p>
        </w:tc>
        <w:tc>
          <w:tcPr>
            <w:tcW w:w="850" w:type="dxa"/>
            <w:tcBorders>
              <w:top w:val="single" w:color="auto" w:sz="6" w:space="0"/>
              <w:left w:val="single" w:color="auto" w:sz="6" w:space="0"/>
              <w:bottom w:val="single" w:color="auto" w:sz="6" w:space="0"/>
              <w:right w:val="single" w:color="auto" w:sz="6" w:space="0"/>
            </w:tcBorders>
            <w:vAlign w:val="center"/>
          </w:tcPr>
          <w:p>
            <w:pPr>
              <w:widowControl/>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台</w:t>
            </w:r>
          </w:p>
        </w:tc>
        <w:tc>
          <w:tcPr>
            <w:tcW w:w="853" w:type="dxa"/>
            <w:tcBorders>
              <w:top w:val="single" w:color="auto" w:sz="6" w:space="0"/>
              <w:left w:val="single" w:color="auto" w:sz="6" w:space="0"/>
              <w:bottom w:val="single" w:color="auto" w:sz="6" w:space="0"/>
              <w:right w:val="single" w:color="auto" w:sz="6" w:space="0"/>
            </w:tcBorders>
            <w:vAlign w:val="center"/>
          </w:tcPr>
          <w:p>
            <w:pPr>
              <w:widowControl/>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3</w:t>
            </w:r>
          </w:p>
        </w:tc>
        <w:tc>
          <w:tcPr>
            <w:tcW w:w="1471" w:type="dxa"/>
            <w:tcBorders>
              <w:top w:val="single" w:color="auto" w:sz="6" w:space="0"/>
              <w:left w:val="single" w:color="auto" w:sz="6" w:space="0"/>
              <w:bottom w:val="single" w:color="auto" w:sz="6" w:space="0"/>
              <w:right w:val="single" w:color="auto" w:sz="12" w:space="0"/>
            </w:tcBorders>
            <w:vAlign w:val="center"/>
          </w:tcPr>
          <w:p>
            <w:pPr>
              <w:widowControl/>
              <w:jc w:val="center"/>
              <w:rPr>
                <w:color w:val="000000" w:themeColor="text1"/>
                <w:kern w:val="0"/>
                <w:sz w:val="21"/>
                <w:szCs w:val="21"/>
                <w14:textFill>
                  <w14:solidFill>
                    <w14:schemeClr w14:val="tx1"/>
                  </w14:solidFill>
                </w14:textFill>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121" w:hRule="atLeast"/>
        </w:trPr>
        <w:tc>
          <w:tcPr>
            <w:tcW w:w="416" w:type="dxa"/>
            <w:tcBorders>
              <w:top w:val="single" w:color="auto" w:sz="6" w:space="0"/>
              <w:left w:val="single" w:color="auto" w:sz="12" w:space="0"/>
              <w:bottom w:val="single" w:color="auto" w:sz="6" w:space="0"/>
              <w:right w:val="single" w:color="auto" w:sz="6" w:space="0"/>
            </w:tcBorders>
            <w:vAlign w:val="center"/>
          </w:tcPr>
          <w:p>
            <w:pPr>
              <w:widowControl/>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12</w:t>
            </w:r>
          </w:p>
        </w:tc>
        <w:tc>
          <w:tcPr>
            <w:tcW w:w="2102" w:type="dxa"/>
            <w:tcBorders>
              <w:top w:val="single" w:color="auto" w:sz="6" w:space="0"/>
              <w:left w:val="single" w:color="auto" w:sz="6" w:space="0"/>
              <w:bottom w:val="single" w:color="auto" w:sz="6" w:space="0"/>
              <w:right w:val="single" w:color="auto" w:sz="6" w:space="0"/>
            </w:tcBorders>
            <w:vAlign w:val="center"/>
          </w:tcPr>
          <w:p>
            <w:pPr>
              <w:widowControl/>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油拖网</w:t>
            </w:r>
          </w:p>
        </w:tc>
        <w:tc>
          <w:tcPr>
            <w:tcW w:w="2837" w:type="dxa"/>
            <w:tcBorders>
              <w:top w:val="single" w:color="auto" w:sz="6" w:space="0"/>
              <w:left w:val="single" w:color="auto" w:sz="6" w:space="0"/>
              <w:bottom w:val="single" w:color="auto" w:sz="6" w:space="0"/>
              <w:right w:val="single" w:color="auto" w:sz="6" w:space="0"/>
            </w:tcBorders>
            <w:vAlign w:val="center"/>
          </w:tcPr>
          <w:p>
            <w:pPr>
              <w:widowControl/>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总容量不小于</w:t>
            </w:r>
            <w:r>
              <w:rPr>
                <w:color w:val="000000" w:themeColor="text1"/>
                <w:kern w:val="0"/>
                <w:sz w:val="21"/>
                <w:szCs w:val="21"/>
                <w14:textFill>
                  <w14:solidFill>
                    <w14:schemeClr w14:val="tx1"/>
                  </w14:solidFill>
                </w14:textFill>
              </w:rPr>
              <w:t>6m³</w:t>
            </w:r>
          </w:p>
        </w:tc>
        <w:tc>
          <w:tcPr>
            <w:tcW w:w="850" w:type="dxa"/>
            <w:tcBorders>
              <w:top w:val="single" w:color="auto" w:sz="6" w:space="0"/>
              <w:left w:val="single" w:color="auto" w:sz="6" w:space="0"/>
              <w:bottom w:val="single" w:color="auto" w:sz="6" w:space="0"/>
              <w:right w:val="single" w:color="auto" w:sz="6" w:space="0"/>
            </w:tcBorders>
            <w:vAlign w:val="center"/>
          </w:tcPr>
          <w:p>
            <w:pPr>
              <w:widowControl/>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套</w:t>
            </w:r>
          </w:p>
        </w:tc>
        <w:tc>
          <w:tcPr>
            <w:tcW w:w="853" w:type="dxa"/>
            <w:tcBorders>
              <w:top w:val="single" w:color="auto" w:sz="6" w:space="0"/>
              <w:left w:val="single" w:color="auto" w:sz="6" w:space="0"/>
              <w:bottom w:val="single" w:color="auto" w:sz="6" w:space="0"/>
              <w:right w:val="single" w:color="auto" w:sz="6" w:space="0"/>
            </w:tcBorders>
            <w:vAlign w:val="center"/>
          </w:tcPr>
          <w:p>
            <w:pPr>
              <w:widowControl/>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w:t>
            </w:r>
          </w:p>
        </w:tc>
        <w:tc>
          <w:tcPr>
            <w:tcW w:w="1471" w:type="dxa"/>
            <w:tcBorders>
              <w:top w:val="single" w:color="auto" w:sz="6" w:space="0"/>
              <w:left w:val="single" w:color="auto" w:sz="6" w:space="0"/>
              <w:bottom w:val="single" w:color="auto" w:sz="6" w:space="0"/>
              <w:right w:val="single" w:color="auto" w:sz="12" w:space="0"/>
            </w:tcBorders>
            <w:vAlign w:val="center"/>
          </w:tcPr>
          <w:p>
            <w:pPr>
              <w:widowControl/>
              <w:jc w:val="center"/>
              <w:rPr>
                <w:color w:val="000000" w:themeColor="text1"/>
                <w:kern w:val="0"/>
                <w:sz w:val="21"/>
                <w:szCs w:val="21"/>
                <w14:textFill>
                  <w14:solidFill>
                    <w14:schemeClr w14:val="tx1"/>
                  </w14:solidFill>
                </w14:textFill>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45" w:hRule="atLeast"/>
        </w:trPr>
        <w:tc>
          <w:tcPr>
            <w:tcW w:w="416" w:type="dxa"/>
            <w:tcBorders>
              <w:top w:val="single" w:color="auto" w:sz="6" w:space="0"/>
              <w:left w:val="single" w:color="auto" w:sz="12" w:space="0"/>
              <w:bottom w:val="single" w:color="auto" w:sz="6" w:space="0"/>
              <w:right w:val="single" w:color="auto" w:sz="6" w:space="0"/>
            </w:tcBorders>
            <w:vAlign w:val="center"/>
          </w:tcPr>
          <w:p>
            <w:pPr>
              <w:widowControl/>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13</w:t>
            </w:r>
          </w:p>
        </w:tc>
        <w:tc>
          <w:tcPr>
            <w:tcW w:w="2102" w:type="dxa"/>
            <w:tcBorders>
              <w:top w:val="single" w:color="auto" w:sz="6" w:space="0"/>
              <w:left w:val="single" w:color="auto" w:sz="6" w:space="0"/>
              <w:bottom w:val="single" w:color="auto" w:sz="6" w:space="0"/>
              <w:right w:val="single" w:color="auto" w:sz="6" w:space="0"/>
            </w:tcBorders>
            <w:vAlign w:val="center"/>
          </w:tcPr>
          <w:p>
            <w:pPr>
              <w:widowControl/>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围油栏布放艇</w:t>
            </w:r>
          </w:p>
        </w:tc>
        <w:tc>
          <w:tcPr>
            <w:tcW w:w="2837" w:type="dxa"/>
            <w:tcBorders>
              <w:top w:val="single" w:color="auto" w:sz="6" w:space="0"/>
              <w:left w:val="single" w:color="auto" w:sz="6" w:space="0"/>
              <w:bottom w:val="single" w:color="auto" w:sz="6" w:space="0"/>
              <w:right w:val="single" w:color="auto" w:sz="6" w:space="0"/>
            </w:tcBorders>
            <w:vAlign w:val="center"/>
          </w:tcPr>
          <w:p>
            <w:pPr>
              <w:widowControl/>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具备围油栏布放能力</w:t>
            </w:r>
          </w:p>
        </w:tc>
        <w:tc>
          <w:tcPr>
            <w:tcW w:w="850" w:type="dxa"/>
            <w:tcBorders>
              <w:top w:val="single" w:color="auto" w:sz="6" w:space="0"/>
              <w:left w:val="single" w:color="auto" w:sz="6" w:space="0"/>
              <w:bottom w:val="single" w:color="auto" w:sz="6" w:space="0"/>
              <w:right w:val="single" w:color="auto" w:sz="6" w:space="0"/>
            </w:tcBorders>
            <w:vAlign w:val="center"/>
          </w:tcPr>
          <w:p>
            <w:pPr>
              <w:widowControl/>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艘</w:t>
            </w:r>
          </w:p>
        </w:tc>
        <w:tc>
          <w:tcPr>
            <w:tcW w:w="853" w:type="dxa"/>
            <w:tcBorders>
              <w:top w:val="single" w:color="auto" w:sz="6" w:space="0"/>
              <w:left w:val="single" w:color="auto" w:sz="6" w:space="0"/>
              <w:bottom w:val="single" w:color="auto" w:sz="6" w:space="0"/>
              <w:right w:val="single" w:color="auto" w:sz="6" w:space="0"/>
            </w:tcBorders>
            <w:noWrap/>
            <w:vAlign w:val="center"/>
          </w:tcPr>
          <w:p>
            <w:pPr>
              <w:widowControl/>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3</w:t>
            </w:r>
          </w:p>
        </w:tc>
        <w:tc>
          <w:tcPr>
            <w:tcW w:w="1471" w:type="dxa"/>
            <w:tcBorders>
              <w:top w:val="single" w:color="auto" w:sz="6" w:space="0"/>
              <w:left w:val="single" w:color="auto" w:sz="6" w:space="0"/>
              <w:bottom w:val="single" w:color="auto" w:sz="6" w:space="0"/>
              <w:right w:val="single" w:color="auto" w:sz="12" w:space="0"/>
            </w:tcBorders>
            <w:noWrap/>
            <w:vAlign w:val="center"/>
          </w:tcPr>
          <w:p>
            <w:pPr>
              <w:widowControl/>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应急清污协议单位配备</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406" w:hRule="atLeast"/>
        </w:trPr>
        <w:tc>
          <w:tcPr>
            <w:tcW w:w="416" w:type="dxa"/>
            <w:tcBorders>
              <w:top w:val="single" w:color="auto" w:sz="6" w:space="0"/>
              <w:left w:val="single" w:color="auto" w:sz="12" w:space="0"/>
              <w:bottom w:val="single" w:color="auto" w:sz="6" w:space="0"/>
              <w:right w:val="single" w:color="auto" w:sz="6" w:space="0"/>
            </w:tcBorders>
            <w:vAlign w:val="center"/>
          </w:tcPr>
          <w:p>
            <w:pPr>
              <w:widowControl/>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14</w:t>
            </w:r>
          </w:p>
        </w:tc>
        <w:tc>
          <w:tcPr>
            <w:tcW w:w="2102" w:type="dxa"/>
            <w:tcBorders>
              <w:top w:val="single" w:color="auto" w:sz="6" w:space="0"/>
              <w:left w:val="single" w:color="auto" w:sz="6" w:space="0"/>
              <w:bottom w:val="single" w:color="auto" w:sz="6" w:space="0"/>
              <w:right w:val="single" w:color="auto" w:sz="6" w:space="0"/>
            </w:tcBorders>
            <w:vAlign w:val="center"/>
          </w:tcPr>
          <w:p>
            <w:pPr>
              <w:widowControl/>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冷水清洁装置</w:t>
            </w:r>
          </w:p>
        </w:tc>
        <w:tc>
          <w:tcPr>
            <w:tcW w:w="2837" w:type="dxa"/>
            <w:tcBorders>
              <w:top w:val="single" w:color="auto" w:sz="6" w:space="0"/>
              <w:left w:val="single" w:color="auto" w:sz="6" w:space="0"/>
              <w:bottom w:val="single" w:color="auto" w:sz="6" w:space="0"/>
              <w:right w:val="single" w:color="auto" w:sz="6" w:space="0"/>
            </w:tcBorders>
            <w:vAlign w:val="center"/>
          </w:tcPr>
          <w:p>
            <w:pPr>
              <w:widowControl/>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压力不小于</w:t>
            </w:r>
            <w:r>
              <w:rPr>
                <w:color w:val="000000" w:themeColor="text1"/>
                <w:kern w:val="0"/>
                <w:sz w:val="21"/>
                <w:szCs w:val="21"/>
                <w14:textFill>
                  <w14:solidFill>
                    <w14:schemeClr w14:val="tx1"/>
                  </w14:solidFill>
                </w14:textFill>
              </w:rPr>
              <w:t>8Mpa</w:t>
            </w:r>
          </w:p>
        </w:tc>
        <w:tc>
          <w:tcPr>
            <w:tcW w:w="850" w:type="dxa"/>
            <w:tcBorders>
              <w:top w:val="single" w:color="auto" w:sz="6" w:space="0"/>
              <w:left w:val="single" w:color="auto" w:sz="6" w:space="0"/>
              <w:bottom w:val="single" w:color="auto" w:sz="6" w:space="0"/>
              <w:right w:val="single" w:color="auto" w:sz="6" w:space="0"/>
            </w:tcBorders>
            <w:vAlign w:val="center"/>
          </w:tcPr>
          <w:p>
            <w:pPr>
              <w:widowControl/>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台</w:t>
            </w:r>
          </w:p>
        </w:tc>
        <w:tc>
          <w:tcPr>
            <w:tcW w:w="853" w:type="dxa"/>
            <w:tcBorders>
              <w:top w:val="single" w:color="auto" w:sz="6" w:space="0"/>
              <w:left w:val="single" w:color="auto" w:sz="6" w:space="0"/>
              <w:bottom w:val="single" w:color="auto" w:sz="6" w:space="0"/>
              <w:right w:val="single" w:color="auto" w:sz="6" w:space="0"/>
            </w:tcBorders>
            <w:noWrap/>
            <w:vAlign w:val="center"/>
          </w:tcPr>
          <w:p>
            <w:pPr>
              <w:widowControl/>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w:t>
            </w:r>
          </w:p>
        </w:tc>
        <w:tc>
          <w:tcPr>
            <w:tcW w:w="1471" w:type="dxa"/>
            <w:tcBorders>
              <w:top w:val="single" w:color="auto" w:sz="6" w:space="0"/>
              <w:left w:val="single" w:color="auto" w:sz="6" w:space="0"/>
              <w:bottom w:val="single" w:color="auto" w:sz="6" w:space="0"/>
              <w:right w:val="single" w:color="auto" w:sz="12" w:space="0"/>
            </w:tcBorders>
            <w:vAlign w:val="center"/>
          </w:tcPr>
          <w:p>
            <w:pPr>
              <w:widowControl/>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码头前沿配备消防水栓</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05" w:hRule="atLeast"/>
        </w:trPr>
        <w:tc>
          <w:tcPr>
            <w:tcW w:w="416" w:type="dxa"/>
            <w:tcBorders>
              <w:top w:val="single" w:color="auto" w:sz="6" w:space="0"/>
              <w:left w:val="single" w:color="auto" w:sz="12" w:space="0"/>
              <w:bottom w:val="single" w:color="auto" w:sz="6" w:space="0"/>
              <w:right w:val="single" w:color="auto" w:sz="6" w:space="0"/>
            </w:tcBorders>
            <w:vAlign w:val="center"/>
          </w:tcPr>
          <w:p>
            <w:pPr>
              <w:widowControl/>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15</w:t>
            </w:r>
          </w:p>
        </w:tc>
        <w:tc>
          <w:tcPr>
            <w:tcW w:w="2102" w:type="dxa"/>
            <w:tcBorders>
              <w:top w:val="single" w:color="auto" w:sz="6" w:space="0"/>
              <w:left w:val="single" w:color="auto" w:sz="6" w:space="0"/>
              <w:bottom w:val="single" w:color="auto" w:sz="6" w:space="0"/>
              <w:right w:val="single" w:color="auto" w:sz="6" w:space="0"/>
            </w:tcBorders>
            <w:vAlign w:val="center"/>
          </w:tcPr>
          <w:p>
            <w:pPr>
              <w:widowControl/>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全身防护服</w:t>
            </w:r>
          </w:p>
        </w:tc>
        <w:tc>
          <w:tcPr>
            <w:tcW w:w="2837" w:type="dxa"/>
            <w:tcBorders>
              <w:top w:val="single" w:color="auto" w:sz="6" w:space="0"/>
              <w:left w:val="single" w:color="auto" w:sz="6" w:space="0"/>
              <w:bottom w:val="single" w:color="auto" w:sz="6" w:space="0"/>
              <w:right w:val="single" w:color="auto" w:sz="6" w:space="0"/>
            </w:tcBorders>
            <w:vAlign w:val="center"/>
          </w:tcPr>
          <w:p>
            <w:pPr>
              <w:widowControl/>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3M</w:t>
            </w:r>
            <w:r>
              <w:rPr>
                <w:rFonts w:hint="eastAsia"/>
                <w:color w:val="000000" w:themeColor="text1"/>
                <w:kern w:val="0"/>
                <w:sz w:val="21"/>
                <w:szCs w:val="21"/>
                <w14:textFill>
                  <w14:solidFill>
                    <w14:schemeClr w14:val="tx1"/>
                  </w14:solidFill>
                </w14:textFill>
              </w:rPr>
              <w:t>白色带帽连体型</w:t>
            </w:r>
            <w:r>
              <w:rPr>
                <w:color w:val="000000" w:themeColor="text1"/>
                <w:kern w:val="0"/>
                <w:sz w:val="21"/>
                <w:szCs w:val="21"/>
                <w14:textFill>
                  <w14:solidFill>
                    <w14:schemeClr w14:val="tx1"/>
                  </w14:solidFill>
                </w14:textFill>
              </w:rPr>
              <w:t>4545L</w:t>
            </w:r>
          </w:p>
        </w:tc>
        <w:tc>
          <w:tcPr>
            <w:tcW w:w="850" w:type="dxa"/>
            <w:tcBorders>
              <w:top w:val="single" w:color="auto" w:sz="6" w:space="0"/>
              <w:left w:val="single" w:color="auto" w:sz="6" w:space="0"/>
              <w:bottom w:val="single" w:color="auto" w:sz="6" w:space="0"/>
              <w:right w:val="single" w:color="auto" w:sz="6" w:space="0"/>
            </w:tcBorders>
            <w:vAlign w:val="center"/>
          </w:tcPr>
          <w:p>
            <w:pPr>
              <w:widowControl/>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套</w:t>
            </w:r>
          </w:p>
        </w:tc>
        <w:tc>
          <w:tcPr>
            <w:tcW w:w="853" w:type="dxa"/>
            <w:tcBorders>
              <w:top w:val="single" w:color="auto" w:sz="6" w:space="0"/>
              <w:left w:val="single" w:color="auto" w:sz="6" w:space="0"/>
              <w:bottom w:val="single" w:color="auto" w:sz="6" w:space="0"/>
              <w:right w:val="single" w:color="auto" w:sz="6" w:space="0"/>
            </w:tcBorders>
            <w:noWrap/>
            <w:vAlign w:val="center"/>
          </w:tcPr>
          <w:p>
            <w:pPr>
              <w:widowControl/>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35</w:t>
            </w:r>
          </w:p>
        </w:tc>
        <w:tc>
          <w:tcPr>
            <w:tcW w:w="1471" w:type="dxa"/>
            <w:tcBorders>
              <w:top w:val="single" w:color="auto" w:sz="6" w:space="0"/>
              <w:left w:val="single" w:color="auto" w:sz="6" w:space="0"/>
              <w:bottom w:val="single" w:color="auto" w:sz="6" w:space="0"/>
              <w:right w:val="single" w:color="auto" w:sz="12" w:space="0"/>
            </w:tcBorders>
            <w:noWrap/>
            <w:vAlign w:val="center"/>
          </w:tcPr>
          <w:p>
            <w:pPr>
              <w:widowControl/>
              <w:jc w:val="center"/>
              <w:rPr>
                <w:color w:val="000000" w:themeColor="text1"/>
                <w:kern w:val="0"/>
                <w:sz w:val="21"/>
                <w:szCs w:val="21"/>
                <w14:textFill>
                  <w14:solidFill>
                    <w14:schemeClr w14:val="tx1"/>
                  </w14:solidFill>
                </w14:textFill>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266" w:hRule="atLeast"/>
        </w:trPr>
        <w:tc>
          <w:tcPr>
            <w:tcW w:w="416" w:type="dxa"/>
            <w:tcBorders>
              <w:top w:val="single" w:color="auto" w:sz="6" w:space="0"/>
              <w:left w:val="single" w:color="auto" w:sz="12" w:space="0"/>
              <w:bottom w:val="single" w:color="auto" w:sz="6" w:space="0"/>
              <w:right w:val="single" w:color="auto" w:sz="6" w:space="0"/>
            </w:tcBorders>
            <w:vAlign w:val="center"/>
          </w:tcPr>
          <w:p>
            <w:pPr>
              <w:widowControl/>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16</w:t>
            </w:r>
          </w:p>
        </w:tc>
        <w:tc>
          <w:tcPr>
            <w:tcW w:w="2102" w:type="dxa"/>
            <w:tcBorders>
              <w:top w:val="single" w:color="auto" w:sz="6" w:space="0"/>
              <w:left w:val="single" w:color="auto" w:sz="6" w:space="0"/>
              <w:bottom w:val="single" w:color="auto" w:sz="6" w:space="0"/>
              <w:right w:val="single" w:color="auto" w:sz="6" w:space="0"/>
            </w:tcBorders>
            <w:vAlign w:val="center"/>
          </w:tcPr>
          <w:p>
            <w:pPr>
              <w:widowControl/>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空气呼吸器</w:t>
            </w:r>
          </w:p>
        </w:tc>
        <w:tc>
          <w:tcPr>
            <w:tcW w:w="2837" w:type="dxa"/>
            <w:tcBorders>
              <w:top w:val="single" w:color="auto" w:sz="6" w:space="0"/>
              <w:left w:val="single" w:color="auto" w:sz="6" w:space="0"/>
              <w:bottom w:val="single" w:color="auto" w:sz="6" w:space="0"/>
              <w:right w:val="single" w:color="auto" w:sz="6" w:space="0"/>
            </w:tcBorders>
            <w:vAlign w:val="center"/>
          </w:tcPr>
          <w:p>
            <w:pPr>
              <w:widowControl/>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工业款</w:t>
            </w:r>
          </w:p>
        </w:tc>
        <w:tc>
          <w:tcPr>
            <w:tcW w:w="850" w:type="dxa"/>
            <w:tcBorders>
              <w:top w:val="single" w:color="auto" w:sz="6" w:space="0"/>
              <w:left w:val="single" w:color="auto" w:sz="6" w:space="0"/>
              <w:bottom w:val="single" w:color="auto" w:sz="6" w:space="0"/>
              <w:right w:val="single" w:color="auto" w:sz="6" w:space="0"/>
            </w:tcBorders>
            <w:vAlign w:val="center"/>
          </w:tcPr>
          <w:p>
            <w:pPr>
              <w:widowControl/>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套</w:t>
            </w:r>
          </w:p>
        </w:tc>
        <w:tc>
          <w:tcPr>
            <w:tcW w:w="853" w:type="dxa"/>
            <w:tcBorders>
              <w:top w:val="single" w:color="auto" w:sz="6" w:space="0"/>
              <w:left w:val="single" w:color="auto" w:sz="6" w:space="0"/>
              <w:bottom w:val="single" w:color="auto" w:sz="6" w:space="0"/>
              <w:right w:val="single" w:color="auto" w:sz="6" w:space="0"/>
            </w:tcBorders>
            <w:noWrap/>
            <w:vAlign w:val="center"/>
          </w:tcPr>
          <w:p>
            <w:pPr>
              <w:widowControl/>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35</w:t>
            </w:r>
          </w:p>
        </w:tc>
        <w:tc>
          <w:tcPr>
            <w:tcW w:w="1471" w:type="dxa"/>
            <w:tcBorders>
              <w:top w:val="single" w:color="auto" w:sz="6" w:space="0"/>
              <w:left w:val="single" w:color="auto" w:sz="6" w:space="0"/>
              <w:bottom w:val="single" w:color="auto" w:sz="6" w:space="0"/>
              <w:right w:val="single" w:color="auto" w:sz="12" w:space="0"/>
            </w:tcBorders>
            <w:noWrap/>
            <w:vAlign w:val="center"/>
          </w:tcPr>
          <w:p>
            <w:pPr>
              <w:widowControl/>
              <w:jc w:val="center"/>
              <w:rPr>
                <w:color w:val="000000" w:themeColor="text1"/>
                <w:kern w:val="0"/>
                <w:sz w:val="21"/>
                <w:szCs w:val="21"/>
                <w14:textFill>
                  <w14:solidFill>
                    <w14:schemeClr w14:val="tx1"/>
                  </w14:solidFill>
                </w14:textFill>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129" w:hRule="atLeast"/>
        </w:trPr>
        <w:tc>
          <w:tcPr>
            <w:tcW w:w="416" w:type="dxa"/>
            <w:tcBorders>
              <w:top w:val="single" w:color="auto" w:sz="6" w:space="0"/>
              <w:left w:val="single" w:color="auto" w:sz="12" w:space="0"/>
              <w:bottom w:val="single" w:color="auto" w:sz="6" w:space="0"/>
              <w:right w:val="single" w:color="auto" w:sz="6" w:space="0"/>
            </w:tcBorders>
            <w:vAlign w:val="center"/>
          </w:tcPr>
          <w:p>
            <w:pPr>
              <w:widowControl/>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17</w:t>
            </w:r>
          </w:p>
        </w:tc>
        <w:tc>
          <w:tcPr>
            <w:tcW w:w="2102" w:type="dxa"/>
            <w:tcBorders>
              <w:top w:val="single" w:color="auto" w:sz="6" w:space="0"/>
              <w:left w:val="single" w:color="auto" w:sz="6" w:space="0"/>
              <w:bottom w:val="single" w:color="auto" w:sz="6" w:space="0"/>
              <w:right w:val="single" w:color="auto" w:sz="6" w:space="0"/>
            </w:tcBorders>
            <w:vAlign w:val="center"/>
          </w:tcPr>
          <w:p>
            <w:pPr>
              <w:widowControl/>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防毒面具</w:t>
            </w:r>
          </w:p>
        </w:tc>
        <w:tc>
          <w:tcPr>
            <w:tcW w:w="2837" w:type="dxa"/>
            <w:tcBorders>
              <w:top w:val="single" w:color="auto" w:sz="6" w:space="0"/>
              <w:left w:val="single" w:color="auto" w:sz="6" w:space="0"/>
              <w:bottom w:val="single" w:color="auto" w:sz="6" w:space="0"/>
              <w:right w:val="single" w:color="auto" w:sz="6" w:space="0"/>
            </w:tcBorders>
            <w:vAlign w:val="center"/>
          </w:tcPr>
          <w:p>
            <w:pPr>
              <w:widowControl/>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硅胶主体、活性炭滤棉</w:t>
            </w:r>
          </w:p>
        </w:tc>
        <w:tc>
          <w:tcPr>
            <w:tcW w:w="850" w:type="dxa"/>
            <w:tcBorders>
              <w:top w:val="single" w:color="auto" w:sz="6" w:space="0"/>
              <w:left w:val="single" w:color="auto" w:sz="6" w:space="0"/>
              <w:bottom w:val="single" w:color="auto" w:sz="6" w:space="0"/>
              <w:right w:val="single" w:color="auto" w:sz="6" w:space="0"/>
            </w:tcBorders>
            <w:vAlign w:val="center"/>
          </w:tcPr>
          <w:p>
            <w:pPr>
              <w:widowControl/>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个</w:t>
            </w:r>
          </w:p>
        </w:tc>
        <w:tc>
          <w:tcPr>
            <w:tcW w:w="853" w:type="dxa"/>
            <w:tcBorders>
              <w:top w:val="single" w:color="auto" w:sz="6" w:space="0"/>
              <w:left w:val="single" w:color="auto" w:sz="6" w:space="0"/>
              <w:bottom w:val="single" w:color="auto" w:sz="6" w:space="0"/>
              <w:right w:val="single" w:color="auto" w:sz="6" w:space="0"/>
            </w:tcBorders>
            <w:noWrap/>
            <w:vAlign w:val="center"/>
          </w:tcPr>
          <w:p>
            <w:pPr>
              <w:widowControl/>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35</w:t>
            </w:r>
          </w:p>
        </w:tc>
        <w:tc>
          <w:tcPr>
            <w:tcW w:w="1471" w:type="dxa"/>
            <w:tcBorders>
              <w:top w:val="single" w:color="auto" w:sz="6" w:space="0"/>
              <w:left w:val="single" w:color="auto" w:sz="6" w:space="0"/>
              <w:bottom w:val="single" w:color="auto" w:sz="6" w:space="0"/>
              <w:right w:val="single" w:color="auto" w:sz="12" w:space="0"/>
            </w:tcBorders>
            <w:noWrap/>
            <w:vAlign w:val="center"/>
          </w:tcPr>
          <w:p>
            <w:pPr>
              <w:widowControl/>
              <w:jc w:val="center"/>
              <w:rPr>
                <w:color w:val="000000" w:themeColor="text1"/>
                <w:kern w:val="0"/>
                <w:sz w:val="21"/>
                <w:szCs w:val="21"/>
                <w14:textFill>
                  <w14:solidFill>
                    <w14:schemeClr w14:val="tx1"/>
                  </w14:solidFill>
                </w14:textFill>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275" w:hRule="atLeast"/>
        </w:trPr>
        <w:tc>
          <w:tcPr>
            <w:tcW w:w="416" w:type="dxa"/>
            <w:tcBorders>
              <w:top w:val="single" w:color="auto" w:sz="6" w:space="0"/>
              <w:left w:val="single" w:color="auto" w:sz="12" w:space="0"/>
              <w:bottom w:val="single" w:color="auto" w:sz="6" w:space="0"/>
              <w:right w:val="single" w:color="auto" w:sz="6" w:space="0"/>
            </w:tcBorders>
            <w:vAlign w:val="center"/>
          </w:tcPr>
          <w:p>
            <w:pPr>
              <w:widowControl/>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18</w:t>
            </w:r>
          </w:p>
        </w:tc>
        <w:tc>
          <w:tcPr>
            <w:tcW w:w="2102" w:type="dxa"/>
            <w:tcBorders>
              <w:top w:val="single" w:color="auto" w:sz="6" w:space="0"/>
              <w:left w:val="single" w:color="auto" w:sz="6" w:space="0"/>
              <w:bottom w:val="single" w:color="auto" w:sz="6" w:space="0"/>
              <w:right w:val="single" w:color="auto" w:sz="6" w:space="0"/>
            </w:tcBorders>
            <w:vAlign w:val="center"/>
          </w:tcPr>
          <w:p>
            <w:pPr>
              <w:widowControl/>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护目镜</w:t>
            </w:r>
          </w:p>
        </w:tc>
        <w:tc>
          <w:tcPr>
            <w:tcW w:w="2837" w:type="dxa"/>
            <w:tcBorders>
              <w:top w:val="single" w:color="auto" w:sz="6" w:space="0"/>
              <w:left w:val="single" w:color="auto" w:sz="6" w:space="0"/>
              <w:bottom w:val="single" w:color="auto" w:sz="6" w:space="0"/>
              <w:right w:val="single" w:color="auto" w:sz="6" w:space="0"/>
            </w:tcBorders>
            <w:vAlign w:val="center"/>
          </w:tcPr>
          <w:p>
            <w:pPr>
              <w:widowControl/>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耐高温、防冲击、防雾</w:t>
            </w:r>
          </w:p>
        </w:tc>
        <w:tc>
          <w:tcPr>
            <w:tcW w:w="850" w:type="dxa"/>
            <w:tcBorders>
              <w:top w:val="single" w:color="auto" w:sz="6" w:space="0"/>
              <w:left w:val="single" w:color="auto" w:sz="6" w:space="0"/>
              <w:bottom w:val="single" w:color="auto" w:sz="6" w:space="0"/>
              <w:right w:val="single" w:color="auto" w:sz="6" w:space="0"/>
            </w:tcBorders>
            <w:vAlign w:val="center"/>
          </w:tcPr>
          <w:p>
            <w:pPr>
              <w:widowControl/>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个</w:t>
            </w:r>
          </w:p>
        </w:tc>
        <w:tc>
          <w:tcPr>
            <w:tcW w:w="853" w:type="dxa"/>
            <w:tcBorders>
              <w:top w:val="single" w:color="auto" w:sz="6" w:space="0"/>
              <w:left w:val="single" w:color="auto" w:sz="6" w:space="0"/>
              <w:bottom w:val="single" w:color="auto" w:sz="6" w:space="0"/>
              <w:right w:val="single" w:color="auto" w:sz="6" w:space="0"/>
            </w:tcBorders>
            <w:noWrap/>
            <w:vAlign w:val="center"/>
          </w:tcPr>
          <w:p>
            <w:pPr>
              <w:widowControl/>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35</w:t>
            </w:r>
          </w:p>
        </w:tc>
        <w:tc>
          <w:tcPr>
            <w:tcW w:w="1471" w:type="dxa"/>
            <w:tcBorders>
              <w:top w:val="single" w:color="auto" w:sz="6" w:space="0"/>
              <w:left w:val="single" w:color="auto" w:sz="6" w:space="0"/>
              <w:bottom w:val="single" w:color="auto" w:sz="6" w:space="0"/>
              <w:right w:val="single" w:color="auto" w:sz="12" w:space="0"/>
            </w:tcBorders>
            <w:noWrap/>
            <w:vAlign w:val="center"/>
          </w:tcPr>
          <w:p>
            <w:pPr>
              <w:widowControl/>
              <w:jc w:val="center"/>
              <w:rPr>
                <w:color w:val="000000" w:themeColor="text1"/>
                <w:kern w:val="0"/>
                <w:sz w:val="21"/>
                <w:szCs w:val="21"/>
                <w14:textFill>
                  <w14:solidFill>
                    <w14:schemeClr w14:val="tx1"/>
                  </w14:solidFill>
                </w14:textFill>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265" w:hRule="atLeast"/>
        </w:trPr>
        <w:tc>
          <w:tcPr>
            <w:tcW w:w="416" w:type="dxa"/>
            <w:tcBorders>
              <w:top w:val="single" w:color="auto" w:sz="6" w:space="0"/>
              <w:left w:val="single" w:color="auto" w:sz="12" w:space="0"/>
              <w:bottom w:val="single" w:color="auto" w:sz="6" w:space="0"/>
              <w:right w:val="single" w:color="auto" w:sz="6" w:space="0"/>
            </w:tcBorders>
            <w:vAlign w:val="center"/>
          </w:tcPr>
          <w:p>
            <w:pPr>
              <w:widowControl/>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19</w:t>
            </w:r>
          </w:p>
        </w:tc>
        <w:tc>
          <w:tcPr>
            <w:tcW w:w="2102" w:type="dxa"/>
            <w:tcBorders>
              <w:top w:val="single" w:color="auto" w:sz="6" w:space="0"/>
              <w:left w:val="single" w:color="auto" w:sz="6" w:space="0"/>
              <w:bottom w:val="single" w:color="auto" w:sz="6" w:space="0"/>
              <w:right w:val="single" w:color="auto" w:sz="6" w:space="0"/>
            </w:tcBorders>
            <w:vAlign w:val="center"/>
          </w:tcPr>
          <w:p>
            <w:pPr>
              <w:widowControl/>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抗腐蚀手套</w:t>
            </w:r>
          </w:p>
        </w:tc>
        <w:tc>
          <w:tcPr>
            <w:tcW w:w="2837" w:type="dxa"/>
            <w:tcBorders>
              <w:top w:val="single" w:color="auto" w:sz="6" w:space="0"/>
              <w:left w:val="single" w:color="auto" w:sz="6" w:space="0"/>
              <w:bottom w:val="single" w:color="auto" w:sz="6" w:space="0"/>
              <w:right w:val="single" w:color="auto" w:sz="6" w:space="0"/>
            </w:tcBorders>
            <w:vAlign w:val="center"/>
          </w:tcPr>
          <w:p>
            <w:pPr>
              <w:widowControl/>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加厚、耐酸碱</w:t>
            </w:r>
          </w:p>
        </w:tc>
        <w:tc>
          <w:tcPr>
            <w:tcW w:w="850" w:type="dxa"/>
            <w:tcBorders>
              <w:top w:val="single" w:color="auto" w:sz="6" w:space="0"/>
              <w:left w:val="single" w:color="auto" w:sz="6" w:space="0"/>
              <w:bottom w:val="single" w:color="auto" w:sz="6" w:space="0"/>
              <w:right w:val="single" w:color="auto" w:sz="6" w:space="0"/>
            </w:tcBorders>
            <w:vAlign w:val="center"/>
          </w:tcPr>
          <w:p>
            <w:pPr>
              <w:widowControl/>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副</w:t>
            </w:r>
          </w:p>
        </w:tc>
        <w:tc>
          <w:tcPr>
            <w:tcW w:w="853" w:type="dxa"/>
            <w:tcBorders>
              <w:top w:val="single" w:color="auto" w:sz="6" w:space="0"/>
              <w:left w:val="single" w:color="auto" w:sz="6" w:space="0"/>
              <w:bottom w:val="single" w:color="auto" w:sz="6" w:space="0"/>
              <w:right w:val="single" w:color="auto" w:sz="6" w:space="0"/>
            </w:tcBorders>
            <w:noWrap/>
            <w:vAlign w:val="center"/>
          </w:tcPr>
          <w:p>
            <w:pPr>
              <w:widowControl/>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35</w:t>
            </w:r>
          </w:p>
        </w:tc>
        <w:tc>
          <w:tcPr>
            <w:tcW w:w="1471" w:type="dxa"/>
            <w:tcBorders>
              <w:top w:val="single" w:color="auto" w:sz="6" w:space="0"/>
              <w:left w:val="single" w:color="auto" w:sz="6" w:space="0"/>
              <w:bottom w:val="single" w:color="auto" w:sz="6" w:space="0"/>
              <w:right w:val="single" w:color="auto" w:sz="12" w:space="0"/>
            </w:tcBorders>
            <w:noWrap/>
            <w:vAlign w:val="center"/>
          </w:tcPr>
          <w:p>
            <w:pPr>
              <w:widowControl/>
              <w:jc w:val="center"/>
              <w:rPr>
                <w:color w:val="000000" w:themeColor="text1"/>
                <w:kern w:val="0"/>
                <w:sz w:val="21"/>
                <w:szCs w:val="21"/>
                <w14:textFill>
                  <w14:solidFill>
                    <w14:schemeClr w14:val="tx1"/>
                  </w14:solidFill>
                </w14:textFill>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127" w:hRule="atLeast"/>
        </w:trPr>
        <w:tc>
          <w:tcPr>
            <w:tcW w:w="416" w:type="dxa"/>
            <w:tcBorders>
              <w:top w:val="single" w:color="auto" w:sz="6" w:space="0"/>
              <w:left w:val="single" w:color="auto" w:sz="12" w:space="0"/>
              <w:bottom w:val="single" w:color="auto" w:sz="12" w:space="0"/>
              <w:right w:val="single" w:color="auto" w:sz="6" w:space="0"/>
            </w:tcBorders>
            <w:vAlign w:val="center"/>
          </w:tcPr>
          <w:p>
            <w:pPr>
              <w:widowControl/>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20</w:t>
            </w:r>
          </w:p>
        </w:tc>
        <w:tc>
          <w:tcPr>
            <w:tcW w:w="2102" w:type="dxa"/>
            <w:tcBorders>
              <w:top w:val="single" w:color="auto" w:sz="6" w:space="0"/>
              <w:left w:val="single" w:color="auto" w:sz="6" w:space="0"/>
              <w:bottom w:val="single" w:color="auto" w:sz="12" w:space="0"/>
              <w:right w:val="single" w:color="auto" w:sz="6" w:space="0"/>
            </w:tcBorders>
            <w:vAlign w:val="center"/>
          </w:tcPr>
          <w:p>
            <w:pPr>
              <w:widowControl/>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便携式可燃气体探测仪</w:t>
            </w:r>
          </w:p>
        </w:tc>
        <w:tc>
          <w:tcPr>
            <w:tcW w:w="2837" w:type="dxa"/>
            <w:tcBorders>
              <w:top w:val="single" w:color="auto" w:sz="6" w:space="0"/>
              <w:left w:val="single" w:color="auto" w:sz="6" w:space="0"/>
              <w:bottom w:val="single" w:color="auto" w:sz="12" w:space="0"/>
              <w:right w:val="single" w:color="auto" w:sz="6" w:space="0"/>
            </w:tcBorders>
            <w:vAlign w:val="center"/>
          </w:tcPr>
          <w:p>
            <w:pPr>
              <w:widowControl/>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便携式，喷洒速率不低于</w:t>
            </w:r>
            <w:r>
              <w:rPr>
                <w:color w:val="000000" w:themeColor="text1"/>
                <w:kern w:val="0"/>
                <w:sz w:val="21"/>
                <w:szCs w:val="21"/>
                <w14:textFill>
                  <w14:solidFill>
                    <w14:schemeClr w14:val="tx1"/>
                  </w14:solidFill>
                </w14:textFill>
              </w:rPr>
              <w:t>0.19t/h</w:t>
            </w:r>
          </w:p>
        </w:tc>
        <w:tc>
          <w:tcPr>
            <w:tcW w:w="850" w:type="dxa"/>
            <w:tcBorders>
              <w:top w:val="single" w:color="auto" w:sz="6" w:space="0"/>
              <w:left w:val="single" w:color="auto" w:sz="6" w:space="0"/>
              <w:bottom w:val="single" w:color="auto" w:sz="12" w:space="0"/>
              <w:right w:val="single" w:color="auto" w:sz="6" w:space="0"/>
            </w:tcBorders>
            <w:vAlign w:val="center"/>
          </w:tcPr>
          <w:p>
            <w:pPr>
              <w:widowControl/>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台</w:t>
            </w:r>
          </w:p>
        </w:tc>
        <w:tc>
          <w:tcPr>
            <w:tcW w:w="853" w:type="dxa"/>
            <w:tcBorders>
              <w:top w:val="single" w:color="auto" w:sz="6" w:space="0"/>
              <w:left w:val="single" w:color="auto" w:sz="6" w:space="0"/>
              <w:bottom w:val="single" w:color="auto" w:sz="12" w:space="0"/>
              <w:right w:val="single" w:color="auto" w:sz="6" w:space="0"/>
            </w:tcBorders>
            <w:noWrap/>
            <w:vAlign w:val="center"/>
          </w:tcPr>
          <w:p>
            <w:pPr>
              <w:widowControl/>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3</w:t>
            </w:r>
          </w:p>
        </w:tc>
        <w:tc>
          <w:tcPr>
            <w:tcW w:w="1471" w:type="dxa"/>
            <w:tcBorders>
              <w:top w:val="single" w:color="auto" w:sz="6" w:space="0"/>
              <w:left w:val="single" w:color="auto" w:sz="6" w:space="0"/>
              <w:bottom w:val="single" w:color="auto" w:sz="12" w:space="0"/>
              <w:right w:val="single" w:color="auto" w:sz="12" w:space="0"/>
            </w:tcBorders>
            <w:noWrap/>
            <w:vAlign w:val="center"/>
          </w:tcPr>
          <w:p>
            <w:pPr>
              <w:widowControl/>
              <w:jc w:val="center"/>
              <w:rPr>
                <w:color w:val="000000" w:themeColor="text1"/>
                <w:kern w:val="0"/>
                <w:sz w:val="21"/>
                <w:szCs w:val="21"/>
                <w14:textFill>
                  <w14:solidFill>
                    <w14:schemeClr w14:val="tx1"/>
                  </w14:solidFill>
                </w14:textFill>
              </w:rPr>
            </w:pPr>
          </w:p>
        </w:tc>
      </w:tr>
    </w:tbl>
    <w:p>
      <w:pPr>
        <w:pStyle w:val="1856"/>
        <w:ind w:firstLine="464"/>
        <w:rPr>
          <w:b/>
          <w:color w:val="000000" w:themeColor="text1"/>
          <w14:textFill>
            <w14:solidFill>
              <w14:schemeClr w14:val="tx1"/>
            </w14:solidFill>
          </w14:textFill>
        </w:rPr>
      </w:pPr>
      <w:r>
        <w:rPr>
          <w:rFonts w:hint="eastAsia"/>
          <w:b/>
          <w:color w:val="000000" w:themeColor="text1"/>
          <w14:textFill>
            <w14:solidFill>
              <w14:schemeClr w14:val="tx1"/>
            </w14:solidFill>
          </w14:textFill>
        </w:rPr>
        <w:t>4、应急演练</w:t>
      </w:r>
    </w:p>
    <w:p>
      <w:pPr>
        <w:pStyle w:val="1856"/>
        <w:ind w:firstLine="462"/>
        <w:rPr>
          <w:color w:val="000000" w:themeColor="text1"/>
          <w14:textFill>
            <w14:solidFill>
              <w14:schemeClr w14:val="tx1"/>
            </w14:solidFill>
          </w14:textFill>
        </w:rPr>
      </w:pPr>
      <w:r>
        <w:rPr>
          <w:color w:val="000000" w:themeColor="text1"/>
          <w14:textFill>
            <w14:solidFill>
              <w14:schemeClr w14:val="tx1"/>
            </w14:solidFill>
          </w14:textFill>
        </w:rPr>
        <w:t>运营单位定期开展环境应急演练，检验应急预案各个环节是否能快速、协调、有效地实施，并在演练结束后，要开展演练总结并留存相应的档案资料</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现场演练记录表和现场影像等资料</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w:t>
      </w:r>
    </w:p>
    <w:tbl>
      <w:tblPr>
        <w:tblStyle w:val="89"/>
        <w:tblW w:w="852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52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8528" w:type="dxa"/>
            <w:tcBorders>
              <w:top w:val="nil"/>
              <w:left w:val="nil"/>
              <w:bottom w:val="nil"/>
              <w:right w:val="nil"/>
            </w:tcBorders>
            <w:vAlign w:val="center"/>
          </w:tcPr>
          <w:p>
            <w:pPr>
              <w:pStyle w:val="7"/>
            </w:pPr>
            <w:r>
              <w:drawing>
                <wp:inline distT="0" distB="0" distL="0" distR="0">
                  <wp:extent cx="4276725" cy="2609850"/>
                  <wp:effectExtent l="0" t="0" r="0" b="0"/>
                  <wp:docPr id="3481" name="图片 3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1" name="图片 3481"/>
                          <pic:cNvPicPr>
                            <a:picLocks noChangeAspect="1" noChangeArrowheads="1"/>
                          </pic:cNvPicPr>
                        </pic:nvPicPr>
                        <pic:blipFill>
                          <a:blip r:embed="rId52" cstate="print">
                            <a:extLst>
                              <a:ext uri="{28A0092B-C50C-407E-A947-70E740481C1C}">
                                <a14:useLocalDpi xmlns:a14="http://schemas.microsoft.com/office/drawing/2010/main" val="0"/>
                              </a:ext>
                            </a:extLst>
                          </a:blip>
                          <a:srcRect l="7676" t="56578" r="8239" b="7135"/>
                          <a:stretch>
                            <a:fillRect/>
                          </a:stretch>
                        </pic:blipFill>
                        <pic:spPr>
                          <a:xfrm>
                            <a:off x="0" y="0"/>
                            <a:ext cx="4286994" cy="2616117"/>
                          </a:xfrm>
                          <a:prstGeom prst="rect">
                            <a:avLst/>
                          </a:prstGeom>
                          <a:noFill/>
                          <a:ln>
                            <a:noFill/>
                          </a:ln>
                        </pic:spPr>
                      </pic:pic>
                    </a:graphicData>
                  </a:graphic>
                </wp:inline>
              </w:drawing>
            </w:r>
          </w:p>
          <w:p>
            <w:pPr>
              <w:pStyle w:val="553"/>
              <w:rPr>
                <w:color w:val="000000" w:themeColor="text1"/>
                <w14:textFill>
                  <w14:solidFill>
                    <w14:schemeClr w14:val="tx1"/>
                  </w14:solidFill>
                </w14:textFill>
              </w:rPr>
            </w:pPr>
            <w:r>
              <w:rPr>
                <w:rFonts w:hint="eastAsia"/>
                <w:color w:val="000000" w:themeColor="text1"/>
                <w14:textFill>
                  <w14:solidFill>
                    <w14:schemeClr w14:val="tx1"/>
                  </w14:solidFill>
                </w14:textFill>
              </w:rPr>
              <w:t>2023年集装箱液体货物泄漏应急演练</w:t>
            </w:r>
          </w:p>
        </w:tc>
      </w:tr>
    </w:tbl>
    <w:p>
      <w:pPr>
        <w:pStyle w:val="6"/>
        <w:rPr>
          <w:color w:val="000000" w:themeColor="text1"/>
          <w14:textFill>
            <w14:solidFill>
              <w14:schemeClr w14:val="tx1"/>
            </w14:solidFill>
          </w14:textFill>
        </w:rPr>
      </w:pPr>
      <w:r>
        <w:rPr>
          <w:rFonts w:hint="eastAsia"/>
          <w:color w:val="000000" w:themeColor="text1"/>
          <w14:textFill>
            <w14:solidFill>
              <w14:schemeClr w14:val="tx1"/>
            </w14:solidFill>
          </w14:textFill>
        </w:rPr>
        <w:t>危险废物贮存库</w:t>
      </w:r>
    </w:p>
    <w:p>
      <w:pPr>
        <w:pStyle w:val="283"/>
        <w:ind w:firstLine="462"/>
        <w:rPr>
          <w:color w:val="000000" w:themeColor="text1"/>
          <w14:textFill>
            <w14:solidFill>
              <w14:schemeClr w14:val="tx1"/>
            </w14:solidFill>
          </w14:textFill>
        </w:rPr>
      </w:pPr>
      <w:r>
        <w:rPr>
          <w:rFonts w:hint="eastAsia"/>
          <w:color w:val="000000" w:themeColor="text1"/>
          <w14:textFill>
            <w14:solidFill>
              <w14:schemeClr w14:val="tx1"/>
            </w14:solidFill>
          </w14:textFill>
        </w:rPr>
        <w:t>危险废物贮存库布置于7号8号泊位后方陆域，危险废物贮存库设置在机修车间旁，面积为144m</w:t>
      </w:r>
      <w:r>
        <w:rPr>
          <w:rFonts w:hint="eastAsia"/>
          <w:color w:val="000000" w:themeColor="text1"/>
          <w:vertAlign w:val="superscript"/>
          <w14:textFill>
            <w14:solidFill>
              <w14:schemeClr w14:val="tx1"/>
            </w14:solidFill>
          </w14:textFill>
        </w:rPr>
        <w:t>2</w:t>
      </w:r>
      <w:r>
        <w:rPr>
          <w:rFonts w:hint="eastAsia"/>
          <w:color w:val="000000" w:themeColor="text1"/>
          <w14:textFill>
            <w14:solidFill>
              <w14:schemeClr w14:val="tx1"/>
            </w14:solidFill>
          </w14:textFill>
        </w:rPr>
        <w:t>，危废贮存间已按照</w:t>
      </w:r>
      <w:r>
        <w:rPr>
          <w:color w:val="000000" w:themeColor="text1"/>
          <w14:textFill>
            <w14:solidFill>
              <w14:schemeClr w14:val="tx1"/>
            </w14:solidFill>
          </w14:textFill>
        </w:rPr>
        <w:t>《危险废物贮存污染控制标准》（GB18597-</w:t>
      </w:r>
      <w:r>
        <w:rPr>
          <w:rFonts w:hint="eastAsia"/>
          <w:color w:val="000000" w:themeColor="text1"/>
          <w14:textFill>
            <w14:solidFill>
              <w14:schemeClr w14:val="tx1"/>
            </w14:solidFill>
          </w14:textFill>
        </w:rPr>
        <w:t>2023）相关要求进行设计，采取防扬散、防流失、防渗漏、防风、防雨、防晒等措施。危险废物于暂存地分类收集、分区存放，收集的危险废物置于专用的密闭容器内，暂存于危险废物贮存库。</w:t>
      </w:r>
    </w:p>
    <w:tbl>
      <w:tblPr>
        <w:tblStyle w:val="88"/>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52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8522" w:type="dxa"/>
            <w:tcBorders>
              <w:top w:val="nil"/>
              <w:left w:val="nil"/>
              <w:bottom w:val="nil"/>
              <w:right w:val="nil"/>
            </w:tcBorders>
            <w:vAlign w:val="center"/>
          </w:tcPr>
          <w:p>
            <w:pPr>
              <w:pStyle w:val="283"/>
              <w:ind w:firstLine="462"/>
              <w:rPr>
                <w:color w:val="000000" w:themeColor="text1"/>
                <w14:textFill>
                  <w14:solidFill>
                    <w14:schemeClr w14:val="tx1"/>
                  </w14:solidFill>
                </w14:textFill>
              </w:rPr>
            </w:pPr>
            <w:r>
              <w:rPr>
                <w:color w:val="000000" w:themeColor="text1"/>
                <w14:textFill>
                  <w14:solidFill>
                    <w14:schemeClr w14:val="tx1"/>
                  </w14:solidFill>
                </w14:textFill>
              </w:rPr>
              <w:drawing>
                <wp:inline distT="0" distB="0" distL="114300" distR="114300">
                  <wp:extent cx="4095750" cy="2800350"/>
                  <wp:effectExtent l="0" t="0" r="0" b="0"/>
                  <wp:docPr id="33"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4"/>
                          <pic:cNvPicPr>
                            <a:picLocks noChangeAspect="1"/>
                          </pic:cNvPicPr>
                        </pic:nvPicPr>
                        <pic:blipFill>
                          <a:blip r:embed="rId53"/>
                          <a:stretch>
                            <a:fillRect/>
                          </a:stretch>
                        </pic:blipFill>
                        <pic:spPr>
                          <a:xfrm>
                            <a:off x="0" y="0"/>
                            <a:ext cx="4095750" cy="2800350"/>
                          </a:xfrm>
                          <a:prstGeom prst="rect">
                            <a:avLst/>
                          </a:prstGeom>
                          <a:noFill/>
                          <a:ln>
                            <a:noFill/>
                          </a:ln>
                        </pic:spPr>
                      </pic:pic>
                    </a:graphicData>
                  </a:graphic>
                </wp:inline>
              </w:drawing>
            </w:r>
          </w:p>
          <w:p>
            <w:pPr>
              <w:pStyle w:val="553"/>
              <w:rPr>
                <w:b w:val="0"/>
                <w:color w:val="000000" w:themeColor="text1"/>
                <w14:textFill>
                  <w14:solidFill>
                    <w14:schemeClr w14:val="tx1"/>
                  </w14:solidFill>
                </w14:textFill>
              </w:rPr>
            </w:pPr>
            <w:r>
              <w:rPr>
                <w:rFonts w:hint="eastAsia"/>
                <w:color w:val="000000" w:themeColor="text1"/>
                <w14:textFill>
                  <w14:solidFill>
                    <w14:schemeClr w14:val="tx1"/>
                  </w14:solidFill>
                </w14:textFill>
              </w:rPr>
              <w:t>危险废物贮存库</w:t>
            </w:r>
          </w:p>
        </w:tc>
      </w:tr>
    </w:tbl>
    <w:p>
      <w:pPr>
        <w:pStyle w:val="283"/>
        <w:ind w:firstLine="462"/>
        <w:rPr>
          <w:color w:val="000000" w:themeColor="text1"/>
          <w14:textFill>
            <w14:solidFill>
              <w14:schemeClr w14:val="tx1"/>
            </w14:solidFill>
          </w14:textFill>
        </w:rPr>
      </w:pPr>
      <w:r>
        <w:rPr>
          <w:rFonts w:hint="eastAsia"/>
          <w:color w:val="000000" w:themeColor="text1"/>
          <w14:textFill>
            <w14:solidFill>
              <w14:schemeClr w14:val="tx1"/>
            </w14:solidFill>
          </w14:textFill>
        </w:rPr>
        <w:t>本项目现有工程港区办公、装卸及运输设备保养等均发生于7#、8#泊位后方辅建区，无危险废物产生。7#、8#泊位后方辅建区产生的危险废物主要包括废沾染物、油废布、废油桶、废油漆桶、废硒鼓、废碳粉瓶、废墨盒、废矿物油、废油管、废滤芯等。2023年度危险废物产生总量</w:t>
      </w:r>
      <w:r>
        <w:rPr>
          <w:color w:val="000000" w:themeColor="text1"/>
          <w14:textFill>
            <w14:solidFill>
              <w14:schemeClr w14:val="tx1"/>
            </w14:solidFill>
          </w14:textFill>
        </w:rPr>
        <w:t>5.396</w:t>
      </w:r>
      <w:r>
        <w:rPr>
          <w:rFonts w:hint="eastAsia"/>
          <w:color w:val="000000" w:themeColor="text1"/>
          <w14:textFill>
            <w14:solidFill>
              <w14:schemeClr w14:val="tx1"/>
            </w14:solidFill>
          </w14:textFill>
        </w:rPr>
        <w:t xml:space="preserve"> </w:t>
      </w:r>
      <w:r>
        <w:rPr>
          <w:color w:val="000000" w:themeColor="text1"/>
          <w14:textFill>
            <w14:solidFill>
              <w14:schemeClr w14:val="tx1"/>
            </w14:solidFill>
          </w14:textFill>
        </w:rPr>
        <w:t>t</w:t>
      </w:r>
      <w:r>
        <w:rPr>
          <w:rFonts w:hint="eastAsia"/>
          <w:color w:val="000000" w:themeColor="text1"/>
          <w14:textFill>
            <w14:solidFill>
              <w14:schemeClr w14:val="tx1"/>
            </w14:solidFill>
          </w14:textFill>
        </w:rPr>
        <w:t>，危险废物贮存库内贮存废物量</w:t>
      </w:r>
      <w:r>
        <w:rPr>
          <w:color w:val="000000" w:themeColor="text1"/>
          <w14:textFill>
            <w14:solidFill>
              <w14:schemeClr w14:val="tx1"/>
            </w14:solidFill>
          </w14:textFill>
        </w:rPr>
        <w:t>1.684</w:t>
      </w:r>
      <w:r>
        <w:rPr>
          <w:rFonts w:hint="eastAsia"/>
          <w:color w:val="000000" w:themeColor="text1"/>
          <w14:textFill>
            <w14:solidFill>
              <w14:schemeClr w14:val="tx1"/>
            </w14:solidFill>
          </w14:textFill>
        </w:rPr>
        <w:t xml:space="preserve"> </w:t>
      </w:r>
      <w:r>
        <w:rPr>
          <w:color w:val="000000" w:themeColor="text1"/>
          <w14:textFill>
            <w14:solidFill>
              <w14:schemeClr w14:val="tx1"/>
            </w14:solidFill>
          </w14:textFill>
        </w:rPr>
        <w:t>t，危险废物在贮存间暂存后由有资质的单位及时清运，贮存库容量充足。</w:t>
      </w:r>
    </w:p>
    <w:p>
      <w:pPr>
        <w:pStyle w:val="5"/>
        <w:rPr>
          <w:color w:val="000000" w:themeColor="text1"/>
          <w14:textFill>
            <w14:solidFill>
              <w14:schemeClr w14:val="tx1"/>
            </w14:solidFill>
          </w14:textFill>
        </w:rPr>
      </w:pPr>
      <w:r>
        <w:rPr>
          <w:rFonts w:hint="eastAsia"/>
          <w:color w:val="000000" w:themeColor="text1"/>
          <w14:textFill>
            <w14:solidFill>
              <w14:schemeClr w14:val="tx1"/>
            </w14:solidFill>
          </w14:textFill>
        </w:rPr>
        <w:t>现有工程污染物产排情况</w:t>
      </w:r>
    </w:p>
    <w:p>
      <w:pPr>
        <w:pStyle w:val="283"/>
        <w:ind w:firstLine="462"/>
        <w:rPr>
          <w:color w:val="000000" w:themeColor="text1"/>
          <w14:textFill>
            <w14:solidFill>
              <w14:schemeClr w14:val="tx1"/>
            </w14:solidFill>
          </w14:textFill>
        </w:rPr>
      </w:pPr>
      <w:r>
        <w:rPr>
          <w:rFonts w:hint="eastAsia"/>
          <w:color w:val="000000" w:themeColor="text1"/>
          <w14:textFill>
            <w14:solidFill>
              <w14:schemeClr w14:val="tx1"/>
            </w14:solidFill>
          </w14:textFill>
        </w:rPr>
        <w:t>根据现场调查情况及《钦州港大榄坪港区大榄坪南作业区9号10号泊位工程竣工环境保护验收调查报告》，现有工程产污情况如下：</w:t>
      </w:r>
    </w:p>
    <w:p>
      <w:pPr>
        <w:pStyle w:val="6"/>
        <w:rPr>
          <w:color w:val="000000" w:themeColor="text1"/>
          <w14:textFill>
            <w14:solidFill>
              <w14:schemeClr w14:val="tx1"/>
            </w14:solidFill>
          </w14:textFill>
        </w:rPr>
      </w:pPr>
      <w:r>
        <w:rPr>
          <w:rFonts w:hint="eastAsia"/>
          <w:color w:val="000000" w:themeColor="text1"/>
          <w14:textFill>
            <w14:solidFill>
              <w14:schemeClr w14:val="tx1"/>
            </w14:solidFill>
          </w14:textFill>
        </w:rPr>
        <w:t>废气</w:t>
      </w:r>
    </w:p>
    <w:p>
      <w:pPr>
        <w:pStyle w:val="283"/>
        <w:ind w:firstLine="462"/>
        <w:rPr>
          <w:color w:val="000000" w:themeColor="text1"/>
          <w14:textFill>
            <w14:solidFill>
              <w14:schemeClr w14:val="tx1"/>
            </w14:solidFill>
          </w14:textFill>
        </w:rPr>
      </w:pPr>
      <w:r>
        <w:rPr>
          <w:rFonts w:hint="eastAsia"/>
          <w:color w:val="000000" w:themeColor="text1"/>
          <w14:textFill>
            <w14:solidFill>
              <w14:schemeClr w14:val="tx1"/>
            </w14:solidFill>
          </w14:textFill>
        </w:rPr>
        <w:t>到港船舶采用岸电，不涉及船舶废气；排放码头内装卸岸桥、轨道吊及IGV小车均采用电能，无设备废气。现有工程运营期大气污染源主要来自到港船舶辅机废气、机械设备、车辆港内运输扬尘及少量车辆燃油尾气。</w:t>
      </w:r>
    </w:p>
    <w:p>
      <w:pPr>
        <w:pStyle w:val="283"/>
        <w:ind w:firstLine="462"/>
        <w:rPr>
          <w:color w:val="000000" w:themeColor="text1"/>
          <w14:textFill>
            <w14:solidFill>
              <w14:schemeClr w14:val="tx1"/>
            </w14:solidFill>
          </w14:textFill>
        </w:rPr>
      </w:pPr>
      <w:r>
        <w:rPr>
          <w:rFonts w:hint="eastAsia"/>
          <w:color w:val="000000" w:themeColor="text1"/>
          <w14:textFill>
            <w14:solidFill>
              <w14:schemeClr w14:val="tx1"/>
            </w14:solidFill>
          </w14:textFill>
        </w:rPr>
        <w:t>1、车辆燃油尾气</w:t>
      </w:r>
    </w:p>
    <w:p>
      <w:pPr>
        <w:pStyle w:val="283"/>
        <w:ind w:firstLine="462"/>
        <w:rPr>
          <w:color w:val="000000" w:themeColor="text1"/>
          <w14:textFill>
            <w14:solidFill>
              <w14:schemeClr w14:val="tx1"/>
            </w14:solidFill>
          </w14:textFill>
        </w:rPr>
      </w:pPr>
      <w:r>
        <w:rPr>
          <w:rFonts w:hint="eastAsia"/>
          <w:color w:val="000000" w:themeColor="text1"/>
          <w14:textFill>
            <w14:solidFill>
              <w14:schemeClr w14:val="tx1"/>
            </w14:solidFill>
          </w14:textFill>
        </w:rPr>
        <w:t>集装箱货物进出港区集卡等运输车辆以柴油为原料，集卡汽车尾气污染物SO</w:t>
      </w:r>
      <w:r>
        <w:rPr>
          <w:rFonts w:hint="eastAsia"/>
          <w:color w:val="000000" w:themeColor="text1"/>
          <w:vertAlign w:val="subscript"/>
          <w14:textFill>
            <w14:solidFill>
              <w14:schemeClr w14:val="tx1"/>
            </w14:solidFill>
          </w14:textFill>
        </w:rPr>
        <w:t>2</w:t>
      </w:r>
      <w:r>
        <w:rPr>
          <w:rFonts w:hint="eastAsia"/>
          <w:color w:val="000000" w:themeColor="text1"/>
          <w14:textFill>
            <w14:solidFill>
              <w14:schemeClr w14:val="tx1"/>
            </w14:solidFill>
          </w14:textFill>
        </w:rPr>
        <w:t>、CO、NO</w:t>
      </w:r>
      <w:r>
        <w:rPr>
          <w:rFonts w:hint="eastAsia"/>
          <w:color w:val="000000" w:themeColor="text1"/>
          <w:vertAlign w:val="subscript"/>
          <w14:textFill>
            <w14:solidFill>
              <w14:schemeClr w14:val="tx1"/>
            </w14:solidFill>
          </w14:textFill>
        </w:rPr>
        <w:t>x</w:t>
      </w:r>
      <w:r>
        <w:rPr>
          <w:rFonts w:hint="eastAsia"/>
          <w:color w:val="000000" w:themeColor="text1"/>
          <w14:textFill>
            <w14:solidFill>
              <w14:schemeClr w14:val="tx1"/>
            </w14:solidFill>
          </w14:textFill>
        </w:rPr>
        <w:t>，港区内车辆运行时速按5km/h，车辆运行时速小，</w:t>
      </w:r>
      <w:r>
        <w:rPr>
          <w:color w:val="000000" w:themeColor="text1"/>
          <w14:textFill>
            <w14:solidFill>
              <w14:schemeClr w14:val="tx1"/>
            </w14:solidFill>
          </w14:textFill>
        </w:rPr>
        <w:t>相关调查结果表明</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如果港内通风良好</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车辆在怠速工况下排放的废气中污染物对外界环境的影响基本可以接受</w:t>
      </w:r>
      <w:r>
        <w:rPr>
          <w:rFonts w:hint="eastAsia"/>
          <w:color w:val="000000" w:themeColor="text1"/>
          <w14:textFill>
            <w14:solidFill>
              <w14:schemeClr w14:val="tx1"/>
            </w14:solidFill>
          </w14:textFill>
        </w:rPr>
        <w:t>。</w:t>
      </w:r>
    </w:p>
    <w:p>
      <w:pPr>
        <w:pStyle w:val="283"/>
        <w:ind w:firstLine="462"/>
        <w:rPr>
          <w:color w:val="000000" w:themeColor="text1"/>
          <w14:textFill>
            <w14:solidFill>
              <w14:schemeClr w14:val="tx1"/>
            </w14:solidFill>
          </w14:textFill>
        </w:rPr>
      </w:pPr>
      <w:r>
        <w:rPr>
          <w:rFonts w:hint="eastAsia"/>
          <w:color w:val="000000" w:themeColor="text1"/>
          <w14:textFill>
            <w14:solidFill>
              <w14:schemeClr w14:val="tx1"/>
            </w14:solidFill>
          </w14:textFill>
        </w:rPr>
        <w:t>2、车辆道路扬尘</w:t>
      </w:r>
    </w:p>
    <w:p>
      <w:pPr>
        <w:pStyle w:val="283"/>
        <w:ind w:firstLine="462"/>
        <w:rPr>
          <w:color w:val="000000" w:themeColor="text1"/>
          <w14:textFill>
            <w14:solidFill>
              <w14:schemeClr w14:val="tx1"/>
            </w14:solidFill>
          </w14:textFill>
        </w:rPr>
      </w:pPr>
      <w:r>
        <w:rPr>
          <w:rFonts w:hint="eastAsia"/>
          <w:color w:val="000000" w:themeColor="text1"/>
          <w14:textFill>
            <w14:solidFill>
              <w14:schemeClr w14:val="tx1"/>
            </w14:solidFill>
          </w14:textFill>
        </w:rPr>
        <w:t>根据《水运工程建设项目环境影响评价指南》（JTS/T 105-2021），车辆港内铺装道路起尘按下列公式计算：</w:t>
      </w:r>
    </w:p>
    <w:p>
      <w:pPr>
        <w:pStyle w:val="283"/>
        <w:ind w:firstLine="462"/>
        <w:rPr>
          <w:color w:val="000000" w:themeColor="text1"/>
          <w14:textFill>
            <w14:solidFill>
              <w14:schemeClr w14:val="tx1"/>
            </w14:solidFill>
          </w14:textFill>
        </w:rPr>
      </w:pPr>
      <m:oMathPara>
        <m:oMath>
          <m:sSub>
            <m:sSubPr>
              <m:ctrlPr>
                <w:rPr>
                  <w:rFonts w:ascii="Cambria Math" w:hAnsi="Cambria Math"/>
                  <w:color w:val="000000" w:themeColor="text1"/>
                  <w14:textFill>
                    <w14:solidFill>
                      <w14:schemeClr w14:val="tx1"/>
                    </w14:solidFill>
                  </w14:textFill>
                </w:rPr>
              </m:ctrlPr>
            </m:sSubPr>
            <m:e>
              <m:r>
                <w:rPr>
                  <w:rFonts w:ascii="Cambria Math" w:hAnsi="Cambria Math"/>
                  <w:color w:val="000000" w:themeColor="text1"/>
                  <w14:textFill>
                    <w14:solidFill>
                      <w14:schemeClr w14:val="tx1"/>
                    </w14:solidFill>
                  </w14:textFill>
                </w:rPr>
                <m:t>W</m:t>
              </m:r>
              <m:ctrlPr>
                <w:rPr>
                  <w:rFonts w:ascii="Cambria Math" w:hAnsi="Cambria Math"/>
                  <w:color w:val="000000" w:themeColor="text1"/>
                  <w14:textFill>
                    <w14:solidFill>
                      <w14:schemeClr w14:val="tx1"/>
                    </w14:solidFill>
                  </w14:textFill>
                </w:rPr>
              </m:ctrlPr>
            </m:e>
            <m:sub>
              <m:r>
                <w:rPr>
                  <w:rFonts w:ascii="Cambria Math" w:hAnsi="Cambria Math"/>
                  <w:color w:val="000000" w:themeColor="text1"/>
                  <w14:textFill>
                    <w14:solidFill>
                      <w14:schemeClr w14:val="tx1"/>
                    </w14:solidFill>
                  </w14:textFill>
                </w:rPr>
                <m:t>Ri</m:t>
              </m:r>
              <m:ctrlPr>
                <w:rPr>
                  <w:rFonts w:ascii="Cambria Math" w:hAnsi="Cambria Math"/>
                  <w:color w:val="000000" w:themeColor="text1"/>
                  <w14:textFill>
                    <w14:solidFill>
                      <w14:schemeClr w14:val="tx1"/>
                    </w14:solidFill>
                  </w14:textFill>
                </w:rPr>
              </m:ctrlPr>
            </m:sub>
          </m:sSub>
          <m:r>
            <m:rPr>
              <m:sty m:val="p"/>
            </m:rPr>
            <w:rPr>
              <w:rFonts w:ascii="Cambria Math" w:hAnsi="Cambria Math"/>
              <w:color w:val="000000" w:themeColor="text1"/>
              <w14:textFill>
                <w14:solidFill>
                  <w14:schemeClr w14:val="tx1"/>
                </w14:solidFill>
              </w14:textFill>
            </w:rPr>
            <m:t>=</m:t>
          </m:r>
          <m:sSub>
            <m:sSubPr>
              <m:ctrlPr>
                <w:rPr>
                  <w:rFonts w:ascii="Cambria Math" w:hAnsi="Cambria Math"/>
                  <w:color w:val="000000" w:themeColor="text1"/>
                  <w14:textFill>
                    <w14:solidFill>
                      <w14:schemeClr w14:val="tx1"/>
                    </w14:solidFill>
                  </w14:textFill>
                </w:rPr>
              </m:ctrlPr>
            </m:sSubPr>
            <m:e>
              <m:r>
                <w:rPr>
                  <w:rFonts w:ascii="Cambria Math" w:hAnsi="Cambria Math"/>
                  <w:color w:val="000000" w:themeColor="text1"/>
                  <w14:textFill>
                    <w14:solidFill>
                      <w14:schemeClr w14:val="tx1"/>
                    </w14:solidFill>
                  </w14:textFill>
                </w:rPr>
                <m:t>E</m:t>
              </m:r>
              <m:ctrlPr>
                <w:rPr>
                  <w:rFonts w:ascii="Cambria Math" w:hAnsi="Cambria Math"/>
                  <w:color w:val="000000" w:themeColor="text1"/>
                  <w14:textFill>
                    <w14:solidFill>
                      <w14:schemeClr w14:val="tx1"/>
                    </w14:solidFill>
                  </w14:textFill>
                </w:rPr>
              </m:ctrlPr>
            </m:e>
            <m:sub>
              <m:r>
                <w:rPr>
                  <w:rFonts w:ascii="Cambria Math" w:hAnsi="Cambria Math"/>
                  <w:color w:val="000000" w:themeColor="text1"/>
                  <w14:textFill>
                    <w14:solidFill>
                      <w14:schemeClr w14:val="tx1"/>
                    </w14:solidFill>
                  </w14:textFill>
                </w:rPr>
                <m:t>Ri</m:t>
              </m:r>
              <m:ctrlPr>
                <w:rPr>
                  <w:rFonts w:ascii="Cambria Math" w:hAnsi="Cambria Math"/>
                  <w:color w:val="000000" w:themeColor="text1"/>
                  <w14:textFill>
                    <w14:solidFill>
                      <w14:schemeClr w14:val="tx1"/>
                    </w14:solidFill>
                  </w14:textFill>
                </w:rPr>
              </m:ctrlPr>
            </m:sub>
          </m:sSub>
          <m:sSub>
            <m:sSubPr>
              <m:ctrlPr>
                <w:rPr>
                  <w:rFonts w:ascii="Cambria Math" w:hAnsi="Cambria Math"/>
                  <w:color w:val="000000" w:themeColor="text1"/>
                  <w14:textFill>
                    <w14:solidFill>
                      <w14:schemeClr w14:val="tx1"/>
                    </w14:solidFill>
                  </w14:textFill>
                </w:rPr>
              </m:ctrlPr>
            </m:sSubPr>
            <m:e>
              <m:r>
                <w:rPr>
                  <w:rFonts w:ascii="Cambria Math" w:hAnsi="Cambria Math"/>
                  <w:color w:val="000000" w:themeColor="text1"/>
                  <w14:textFill>
                    <w14:solidFill>
                      <w14:schemeClr w14:val="tx1"/>
                    </w14:solidFill>
                  </w14:textFill>
                </w:rPr>
                <m:t>L</m:t>
              </m:r>
              <m:ctrlPr>
                <w:rPr>
                  <w:rFonts w:ascii="Cambria Math" w:hAnsi="Cambria Math"/>
                  <w:color w:val="000000" w:themeColor="text1"/>
                  <w14:textFill>
                    <w14:solidFill>
                      <w14:schemeClr w14:val="tx1"/>
                    </w14:solidFill>
                  </w14:textFill>
                </w:rPr>
              </m:ctrlPr>
            </m:e>
            <m:sub>
              <m:r>
                <w:rPr>
                  <w:rFonts w:ascii="Cambria Math" w:hAnsi="Cambria Math"/>
                  <w:color w:val="000000" w:themeColor="text1"/>
                  <w14:textFill>
                    <w14:solidFill>
                      <w14:schemeClr w14:val="tx1"/>
                    </w14:solidFill>
                  </w14:textFill>
                </w:rPr>
                <m:t>R</m:t>
              </m:r>
              <m:ctrlPr>
                <w:rPr>
                  <w:rFonts w:ascii="Cambria Math" w:hAnsi="Cambria Math"/>
                  <w:color w:val="000000" w:themeColor="text1"/>
                  <w14:textFill>
                    <w14:solidFill>
                      <w14:schemeClr w14:val="tx1"/>
                    </w14:solidFill>
                  </w14:textFill>
                </w:rPr>
              </m:ctrlPr>
            </m:sub>
          </m:sSub>
          <m:sSub>
            <m:sSubPr>
              <m:ctrlPr>
                <w:rPr>
                  <w:rFonts w:ascii="Cambria Math" w:hAnsi="Cambria Math"/>
                  <w:color w:val="000000" w:themeColor="text1"/>
                  <w14:textFill>
                    <w14:solidFill>
                      <w14:schemeClr w14:val="tx1"/>
                    </w14:solidFill>
                  </w14:textFill>
                </w:rPr>
              </m:ctrlPr>
            </m:sSubPr>
            <m:e>
              <m:r>
                <w:rPr>
                  <w:rFonts w:ascii="Cambria Math" w:hAnsi="Cambria Math"/>
                  <w:color w:val="000000" w:themeColor="text1"/>
                  <w14:textFill>
                    <w14:solidFill>
                      <w14:schemeClr w14:val="tx1"/>
                    </w14:solidFill>
                  </w14:textFill>
                </w:rPr>
                <m:t>N</m:t>
              </m:r>
              <m:ctrlPr>
                <w:rPr>
                  <w:rFonts w:ascii="Cambria Math" w:hAnsi="Cambria Math"/>
                  <w:color w:val="000000" w:themeColor="text1"/>
                  <w14:textFill>
                    <w14:solidFill>
                      <w14:schemeClr w14:val="tx1"/>
                    </w14:solidFill>
                  </w14:textFill>
                </w:rPr>
              </m:ctrlPr>
            </m:e>
            <m:sub>
              <m:r>
                <w:rPr>
                  <w:rFonts w:ascii="Cambria Math" w:hAnsi="Cambria Math"/>
                  <w:color w:val="000000" w:themeColor="text1"/>
                  <w14:textFill>
                    <w14:solidFill>
                      <w14:schemeClr w14:val="tx1"/>
                    </w14:solidFill>
                  </w14:textFill>
                </w:rPr>
                <m:t>R</m:t>
              </m:r>
              <m:ctrlPr>
                <w:rPr>
                  <w:rFonts w:ascii="Cambria Math" w:hAnsi="Cambria Math"/>
                  <w:color w:val="000000" w:themeColor="text1"/>
                  <w14:textFill>
                    <w14:solidFill>
                      <w14:schemeClr w14:val="tx1"/>
                    </w14:solidFill>
                  </w14:textFill>
                </w:rPr>
              </m:ctrlPr>
            </m:sub>
          </m:sSub>
          <m:d>
            <m:dPr>
              <m:begChr m:val="["/>
              <m:endChr m:val="]"/>
              <m:ctrlPr>
                <w:rPr>
                  <w:rFonts w:ascii="Cambria Math" w:hAnsi="Cambria Math"/>
                  <w:color w:val="000000" w:themeColor="text1"/>
                  <w14:textFill>
                    <w14:solidFill>
                      <w14:schemeClr w14:val="tx1"/>
                    </w14:solidFill>
                  </w14:textFill>
                </w:rPr>
              </m:ctrlPr>
            </m:dPr>
            <m:e>
              <m:r>
                <m:rPr>
                  <m:sty m:val="p"/>
                </m:rPr>
                <w:rPr>
                  <w:rFonts w:ascii="Cambria Math" w:hAnsi="Cambria Math"/>
                  <w:color w:val="000000" w:themeColor="text1"/>
                  <w14:textFill>
                    <w14:solidFill>
                      <w14:schemeClr w14:val="tx1"/>
                    </w14:solidFill>
                  </w14:textFill>
                </w:rPr>
                <m:t>1−</m:t>
              </m:r>
              <m:d>
                <m:dPr>
                  <m:ctrlPr>
                    <w:rPr>
                      <w:rFonts w:ascii="Cambria Math" w:hAnsi="Cambria Math"/>
                      <w:color w:val="000000" w:themeColor="text1"/>
                      <w14:textFill>
                        <w14:solidFill>
                          <w14:schemeClr w14:val="tx1"/>
                        </w14:solidFill>
                      </w14:textFill>
                    </w:rPr>
                  </m:ctrlPr>
                </m:dPr>
                <m:e>
                  <m:sSub>
                    <m:sSubPr>
                      <m:ctrlPr>
                        <w:rPr>
                          <w:rFonts w:ascii="Cambria Math" w:hAnsi="Cambria Math"/>
                          <w:color w:val="000000" w:themeColor="text1"/>
                          <w14:textFill>
                            <w14:solidFill>
                              <w14:schemeClr w14:val="tx1"/>
                            </w14:solidFill>
                          </w14:textFill>
                        </w:rPr>
                      </m:ctrlPr>
                    </m:sSubPr>
                    <m:e>
                      <m:r>
                        <w:rPr>
                          <w:rFonts w:ascii="Cambria Math" w:hAnsi="Cambria Math"/>
                          <w:color w:val="000000" w:themeColor="text1"/>
                          <w14:textFill>
                            <w14:solidFill>
                              <w14:schemeClr w14:val="tx1"/>
                            </w14:solidFill>
                          </w14:textFill>
                        </w:rPr>
                        <m:t>n</m:t>
                      </m:r>
                      <m:ctrlPr>
                        <w:rPr>
                          <w:rFonts w:ascii="Cambria Math" w:hAnsi="Cambria Math"/>
                          <w:color w:val="000000" w:themeColor="text1"/>
                          <w14:textFill>
                            <w14:solidFill>
                              <w14:schemeClr w14:val="tx1"/>
                            </w14:solidFill>
                          </w14:textFill>
                        </w:rPr>
                      </m:ctrlPr>
                    </m:e>
                    <m:sub>
                      <m:r>
                        <w:rPr>
                          <w:rFonts w:ascii="Cambria Math" w:hAnsi="Cambria Math"/>
                          <w:color w:val="000000" w:themeColor="text1"/>
                          <w14:textFill>
                            <w14:solidFill>
                              <w14:schemeClr w14:val="tx1"/>
                            </w14:solidFill>
                          </w14:textFill>
                        </w:rPr>
                        <m:t>r</m:t>
                      </m:r>
                      <m:ctrlPr>
                        <w:rPr>
                          <w:rFonts w:ascii="Cambria Math" w:hAnsi="Cambria Math"/>
                          <w:color w:val="000000" w:themeColor="text1"/>
                          <w14:textFill>
                            <w14:solidFill>
                              <w14:schemeClr w14:val="tx1"/>
                            </w14:solidFill>
                          </w14:textFill>
                        </w:rPr>
                      </m:ctrlPr>
                    </m:sub>
                  </m:sSub>
                  <m:r>
                    <m:rPr>
                      <m:sty m:val="p"/>
                    </m:rPr>
                    <w:rPr>
                      <w:rFonts w:ascii="Cambria Math" w:hAnsi="Cambria Math"/>
                      <w:color w:val="000000" w:themeColor="text1"/>
                      <w14:textFill>
                        <w14:solidFill>
                          <w14:schemeClr w14:val="tx1"/>
                        </w14:solidFill>
                      </w14:textFill>
                    </w:rPr>
                    <m:t>/365</m:t>
                  </m:r>
                  <m:ctrlPr>
                    <w:rPr>
                      <w:rFonts w:ascii="Cambria Math" w:hAnsi="Cambria Math"/>
                      <w:color w:val="000000" w:themeColor="text1"/>
                      <w14:textFill>
                        <w14:solidFill>
                          <w14:schemeClr w14:val="tx1"/>
                        </w14:solidFill>
                      </w14:textFill>
                    </w:rPr>
                  </m:ctrlPr>
                </m:e>
              </m:d>
              <m:ctrlPr>
                <w:rPr>
                  <w:rFonts w:ascii="Cambria Math" w:hAnsi="Cambria Math"/>
                  <w:color w:val="000000" w:themeColor="text1"/>
                  <w14:textFill>
                    <w14:solidFill>
                      <w14:schemeClr w14:val="tx1"/>
                    </w14:solidFill>
                  </w14:textFill>
                </w:rPr>
              </m:ctrlPr>
            </m:e>
          </m:d>
          <m:r>
            <m:rPr>
              <m:sty m:val="p"/>
            </m:rPr>
            <w:rPr>
              <w:rFonts w:ascii="Cambria Math" w:hAnsi="Cambria Math"/>
              <w:color w:val="000000" w:themeColor="text1"/>
              <w14:textFill>
                <w14:solidFill>
                  <w14:schemeClr w14:val="tx1"/>
                </w14:solidFill>
              </w14:textFill>
            </w:rPr>
            <m:t>×</m:t>
          </m:r>
          <m:sSup>
            <m:sSupPr>
              <m:ctrlPr>
                <w:rPr>
                  <w:rFonts w:ascii="Cambria Math" w:hAnsi="Cambria Math"/>
                  <w:color w:val="000000" w:themeColor="text1"/>
                  <w14:textFill>
                    <w14:solidFill>
                      <w14:schemeClr w14:val="tx1"/>
                    </w14:solidFill>
                  </w14:textFill>
                </w:rPr>
              </m:ctrlPr>
            </m:sSupPr>
            <m:e>
              <m:r>
                <m:rPr>
                  <m:sty m:val="p"/>
                </m:rPr>
                <w:rPr>
                  <w:rFonts w:ascii="Cambria Math" w:hAnsi="Cambria Math"/>
                  <w:color w:val="000000" w:themeColor="text1"/>
                  <w14:textFill>
                    <w14:solidFill>
                      <w14:schemeClr w14:val="tx1"/>
                    </w14:solidFill>
                  </w14:textFill>
                </w:rPr>
                <m:t>10</m:t>
              </m:r>
              <m:ctrlPr>
                <w:rPr>
                  <w:rFonts w:ascii="Cambria Math" w:hAnsi="Cambria Math"/>
                  <w:color w:val="000000" w:themeColor="text1"/>
                  <w14:textFill>
                    <w14:solidFill>
                      <w14:schemeClr w14:val="tx1"/>
                    </w14:solidFill>
                  </w14:textFill>
                </w:rPr>
              </m:ctrlPr>
            </m:e>
            <m:sup>
              <m:r>
                <m:rPr>
                  <m:sty m:val="p"/>
                </m:rPr>
                <w:rPr>
                  <w:rFonts w:ascii="Cambria Math" w:hAnsi="Cambria Math"/>
                  <w:color w:val="000000" w:themeColor="text1"/>
                  <w14:textFill>
                    <w14:solidFill>
                      <w14:schemeClr w14:val="tx1"/>
                    </w14:solidFill>
                  </w14:textFill>
                </w:rPr>
                <m:t>−6</m:t>
              </m:r>
              <m:ctrlPr>
                <w:rPr>
                  <w:rFonts w:ascii="Cambria Math" w:hAnsi="Cambria Math"/>
                  <w:color w:val="000000" w:themeColor="text1"/>
                  <w14:textFill>
                    <w14:solidFill>
                      <w14:schemeClr w14:val="tx1"/>
                    </w14:solidFill>
                  </w14:textFill>
                </w:rPr>
              </m:ctrlPr>
            </m:sup>
          </m:sSup>
        </m:oMath>
      </m:oMathPara>
    </w:p>
    <w:p>
      <w:pPr>
        <w:pStyle w:val="283"/>
        <w:ind w:firstLine="462"/>
        <w:rPr>
          <w:color w:val="000000" w:themeColor="text1"/>
          <w14:textFill>
            <w14:solidFill>
              <w14:schemeClr w14:val="tx1"/>
            </w14:solidFill>
          </w14:textFill>
        </w:rPr>
      </w:pPr>
      <w:r>
        <w:rPr>
          <w:rFonts w:hint="eastAsia"/>
          <w:color w:val="000000" w:themeColor="text1"/>
          <w14:textFill>
            <w14:solidFill>
              <w14:schemeClr w14:val="tx1"/>
            </w14:solidFill>
          </w14:textFill>
        </w:rPr>
        <w:t xml:space="preserve">式中   </w:t>
      </w:r>
      <w:r>
        <w:rPr>
          <w:rFonts w:hint="eastAsia"/>
          <w:i/>
          <w:iCs/>
          <w:color w:val="000000" w:themeColor="text1"/>
          <w14:textFill>
            <w14:solidFill>
              <w14:schemeClr w14:val="tx1"/>
            </w14:solidFill>
          </w14:textFill>
        </w:rPr>
        <w:t>W</w:t>
      </w:r>
      <w:r>
        <w:rPr>
          <w:rFonts w:hint="eastAsia"/>
          <w:i/>
          <w:iCs/>
          <w:color w:val="000000" w:themeColor="text1"/>
          <w:vertAlign w:val="subscript"/>
          <w14:textFill>
            <w14:solidFill>
              <w14:schemeClr w14:val="tx1"/>
            </w14:solidFill>
          </w14:textFill>
        </w:rPr>
        <w:t>Ri</w:t>
      </w:r>
      <w:r>
        <w:rPr>
          <w:rFonts w:hint="eastAsia"/>
          <w:color w:val="000000" w:themeColor="text1"/>
          <w14:textFill>
            <w14:solidFill>
              <w14:schemeClr w14:val="tx1"/>
            </w14:solidFill>
          </w14:textFill>
        </w:rPr>
        <w:t>———道路扬尘源中颗粒物P</w:t>
      </w:r>
      <w:r>
        <w:rPr>
          <w:rFonts w:hint="eastAsia"/>
          <w:color w:val="000000" w:themeColor="text1"/>
          <w:vertAlign w:val="subscript"/>
          <w14:textFill>
            <w14:solidFill>
              <w14:schemeClr w14:val="tx1"/>
            </w14:solidFill>
          </w14:textFill>
        </w:rPr>
        <w:t>Mi</w:t>
      </w:r>
      <w:r>
        <w:rPr>
          <w:rFonts w:hint="eastAsia"/>
          <w:color w:val="000000" w:themeColor="text1"/>
          <w14:textFill>
            <w14:solidFill>
              <w14:schemeClr w14:val="tx1"/>
            </w14:solidFill>
          </w14:textFill>
        </w:rPr>
        <w:t>的总排放量（t/a）；</w:t>
      </w:r>
    </w:p>
    <w:p>
      <w:pPr>
        <w:pStyle w:val="283"/>
        <w:ind w:firstLine="462"/>
        <w:rPr>
          <w:color w:val="000000" w:themeColor="text1"/>
          <w14:textFill>
            <w14:solidFill>
              <w14:schemeClr w14:val="tx1"/>
            </w14:solidFill>
          </w14:textFill>
        </w:rPr>
      </w:pPr>
      <w:r>
        <w:rPr>
          <w:rFonts w:hint="eastAsia"/>
          <w:i/>
          <w:iCs/>
          <w:color w:val="000000" w:themeColor="text1"/>
          <w14:textFill>
            <w14:solidFill>
              <w14:schemeClr w14:val="tx1"/>
            </w14:solidFill>
          </w14:textFill>
        </w:rPr>
        <w:t>E</w:t>
      </w:r>
      <w:r>
        <w:rPr>
          <w:rFonts w:hint="eastAsia"/>
          <w:i/>
          <w:iCs/>
          <w:color w:val="000000" w:themeColor="text1"/>
          <w:vertAlign w:val="subscript"/>
          <w14:textFill>
            <w14:solidFill>
              <w14:schemeClr w14:val="tx1"/>
            </w14:solidFill>
          </w14:textFill>
        </w:rPr>
        <w:t>Ri</w:t>
      </w:r>
      <w:r>
        <w:rPr>
          <w:rFonts w:hint="eastAsia"/>
          <w:i/>
          <w:iCs/>
          <w:color w:val="000000" w:themeColor="text1"/>
          <w14:textFill>
            <w14:solidFill>
              <w14:schemeClr w14:val="tx1"/>
            </w14:solidFill>
          </w14:textFill>
        </w:rPr>
        <w:t>———</w:t>
      </w:r>
      <w:r>
        <w:rPr>
          <w:rFonts w:hint="eastAsia"/>
          <w:color w:val="000000" w:themeColor="text1"/>
          <w14:textFill>
            <w14:solidFill>
              <w14:schemeClr w14:val="tx1"/>
            </w14:solidFill>
          </w14:textFill>
        </w:rPr>
        <w:t>数（g/km·辆）；</w:t>
      </w:r>
    </w:p>
    <w:p>
      <w:pPr>
        <w:pStyle w:val="283"/>
        <w:ind w:firstLine="462"/>
        <w:rPr>
          <w:color w:val="000000" w:themeColor="text1"/>
          <w14:textFill>
            <w14:solidFill>
              <w14:schemeClr w14:val="tx1"/>
            </w14:solidFill>
          </w14:textFill>
        </w:rPr>
      </w:pPr>
      <w:r>
        <w:rPr>
          <w:rFonts w:hint="eastAsia"/>
          <w:i/>
          <w:iCs/>
          <w:color w:val="000000" w:themeColor="text1"/>
          <w14:textFill>
            <w14:solidFill>
              <w14:schemeClr w14:val="tx1"/>
            </w14:solidFill>
          </w14:textFill>
        </w:rPr>
        <w:t>L</w:t>
      </w:r>
      <w:r>
        <w:rPr>
          <w:rFonts w:hint="eastAsia"/>
          <w:i/>
          <w:iCs/>
          <w:color w:val="000000" w:themeColor="text1"/>
          <w:vertAlign w:val="subscript"/>
          <w14:textFill>
            <w14:solidFill>
              <w14:schemeClr w14:val="tx1"/>
            </w14:solidFill>
          </w14:textFill>
        </w:rPr>
        <w:t>R</w:t>
      </w:r>
      <w:r>
        <w:rPr>
          <w:rFonts w:hint="eastAsia"/>
          <w:i/>
          <w:iCs/>
          <w:color w:val="000000" w:themeColor="text1"/>
          <w14:textFill>
            <w14:solidFill>
              <w14:schemeClr w14:val="tx1"/>
            </w14:solidFill>
          </w14:textFill>
        </w:rPr>
        <w:t>———</w:t>
      </w:r>
      <w:r>
        <w:rPr>
          <w:rFonts w:hint="eastAsia"/>
          <w:color w:val="000000" w:themeColor="text1"/>
          <w14:textFill>
            <w14:solidFill>
              <w14:schemeClr w14:val="tx1"/>
            </w14:solidFill>
          </w14:textFill>
        </w:rPr>
        <w:t>道路长度（km），按集卡港内运输路线长度2.5km；</w:t>
      </w:r>
    </w:p>
    <w:p>
      <w:pPr>
        <w:pStyle w:val="283"/>
        <w:ind w:firstLine="462"/>
        <w:rPr>
          <w:color w:val="000000" w:themeColor="text1"/>
          <w14:textFill>
            <w14:solidFill>
              <w14:schemeClr w14:val="tx1"/>
            </w14:solidFill>
          </w14:textFill>
        </w:rPr>
      </w:pPr>
      <w:r>
        <w:rPr>
          <w:rFonts w:hint="eastAsia"/>
          <w:i/>
          <w:iCs/>
          <w:color w:val="000000" w:themeColor="text1"/>
          <w14:textFill>
            <w14:solidFill>
              <w14:schemeClr w14:val="tx1"/>
            </w14:solidFill>
          </w14:textFill>
        </w:rPr>
        <w:t>N</w:t>
      </w:r>
      <w:r>
        <w:rPr>
          <w:rFonts w:hint="eastAsia"/>
          <w:i/>
          <w:iCs/>
          <w:color w:val="000000" w:themeColor="text1"/>
          <w:vertAlign w:val="subscript"/>
          <w14:textFill>
            <w14:solidFill>
              <w14:schemeClr w14:val="tx1"/>
            </w14:solidFill>
          </w14:textFill>
        </w:rPr>
        <w:t>R</w:t>
      </w:r>
      <w:r>
        <w:rPr>
          <w:rFonts w:hint="eastAsia"/>
          <w:i/>
          <w:iCs/>
          <w:color w:val="000000" w:themeColor="text1"/>
          <w14:textFill>
            <w14:solidFill>
              <w14:schemeClr w14:val="tx1"/>
            </w14:solidFill>
          </w14:textFill>
        </w:rPr>
        <w:t>———</w:t>
      </w:r>
      <w:r>
        <w:rPr>
          <w:rFonts w:hint="eastAsia"/>
          <w:color w:val="000000" w:themeColor="text1"/>
          <w14:textFill>
            <w14:solidFill>
              <w14:schemeClr w14:val="tx1"/>
            </w14:solidFill>
          </w14:textFill>
        </w:rPr>
        <w:t>一定时期内车辆在该段道路上的平均车流量（辆/a），根据吞吐量除以车辆装载重量计算得34650辆/a；</w:t>
      </w:r>
    </w:p>
    <w:p>
      <w:pPr>
        <w:pStyle w:val="283"/>
        <w:ind w:firstLine="462"/>
        <w:rPr>
          <w:color w:val="000000" w:themeColor="text1"/>
          <w14:textFill>
            <w14:solidFill>
              <w14:schemeClr w14:val="tx1"/>
            </w14:solidFill>
          </w14:textFill>
        </w:rPr>
      </w:pPr>
      <w:r>
        <w:rPr>
          <w:rFonts w:hint="eastAsia"/>
          <w:i/>
          <w:iCs/>
          <w:color w:val="000000" w:themeColor="text1"/>
          <w14:textFill>
            <w14:solidFill>
              <w14:schemeClr w14:val="tx1"/>
            </w14:solidFill>
          </w14:textFill>
        </w:rPr>
        <w:t>n</w:t>
      </w:r>
      <w:r>
        <w:rPr>
          <w:rFonts w:hint="eastAsia"/>
          <w:i/>
          <w:iCs/>
          <w:color w:val="000000" w:themeColor="text1"/>
          <w:vertAlign w:val="subscript"/>
          <w14:textFill>
            <w14:solidFill>
              <w14:schemeClr w14:val="tx1"/>
            </w14:solidFill>
          </w14:textFill>
        </w:rPr>
        <w:t>r</w:t>
      </w:r>
      <w:r>
        <w:rPr>
          <w:rFonts w:hint="eastAsia"/>
          <w:color w:val="000000" w:themeColor="text1"/>
          <w14:textFill>
            <w14:solidFill>
              <w14:schemeClr w14:val="tx1"/>
            </w14:solidFill>
          </w14:textFill>
        </w:rPr>
        <w:t>——不起尘天数，通过实测（统计降水造成的路面潮湿的天数）得到，评价统计钦州市一年中降水量大于0.25mm/d的天数，取150d。</w:t>
      </w:r>
    </w:p>
    <w:p>
      <w:pPr>
        <w:pStyle w:val="283"/>
        <w:ind w:firstLine="462"/>
        <w:rPr>
          <w:color w:val="000000" w:themeColor="text1"/>
          <w14:textFill>
            <w14:solidFill>
              <w14:schemeClr w14:val="tx1"/>
            </w14:solidFill>
          </w14:textFill>
        </w:rPr>
      </w:pPr>
      <w:r>
        <w:rPr>
          <w:rFonts w:hint="eastAsia"/>
          <w:color w:val="000000" w:themeColor="text1"/>
          <w14:textFill>
            <w14:solidFill>
              <w14:schemeClr w14:val="tx1"/>
            </w14:solidFill>
          </w14:textFill>
        </w:rPr>
        <w:t>其中，铺装道路扬尘排放系数计算公式如下：</w:t>
      </w:r>
    </w:p>
    <w:p>
      <w:pPr>
        <w:pStyle w:val="283"/>
        <w:ind w:firstLine="462"/>
        <w:rPr>
          <w:color w:val="000000" w:themeColor="text1"/>
          <w14:textFill>
            <w14:solidFill>
              <w14:schemeClr w14:val="tx1"/>
            </w14:solidFill>
          </w14:textFill>
        </w:rPr>
      </w:pPr>
      <m:oMathPara>
        <m:oMath>
          <m:sSub>
            <m:sSubPr>
              <m:ctrlPr>
                <w:rPr>
                  <w:rFonts w:ascii="Cambria Math" w:hAnsi="Cambria Math"/>
                  <w:color w:val="000000" w:themeColor="text1"/>
                  <w14:textFill>
                    <w14:solidFill>
                      <w14:schemeClr w14:val="tx1"/>
                    </w14:solidFill>
                  </w14:textFill>
                </w:rPr>
              </m:ctrlPr>
            </m:sSubPr>
            <m:e>
              <m:r>
                <w:rPr>
                  <w:rFonts w:ascii="Cambria Math" w:hAnsi="Cambria Math"/>
                  <w:color w:val="000000" w:themeColor="text1"/>
                  <w14:textFill>
                    <w14:solidFill>
                      <w14:schemeClr w14:val="tx1"/>
                    </w14:solidFill>
                  </w14:textFill>
                </w:rPr>
                <m:t>E</m:t>
              </m:r>
              <m:ctrlPr>
                <w:rPr>
                  <w:rFonts w:ascii="Cambria Math" w:hAnsi="Cambria Math"/>
                  <w:color w:val="000000" w:themeColor="text1"/>
                  <w14:textFill>
                    <w14:solidFill>
                      <w14:schemeClr w14:val="tx1"/>
                    </w14:solidFill>
                  </w14:textFill>
                </w:rPr>
              </m:ctrlPr>
            </m:e>
            <m:sub>
              <m:r>
                <w:rPr>
                  <w:rFonts w:ascii="Cambria Math" w:hAnsi="Cambria Math"/>
                  <w:color w:val="000000" w:themeColor="text1"/>
                  <w14:textFill>
                    <w14:solidFill>
                      <w14:schemeClr w14:val="tx1"/>
                    </w14:solidFill>
                  </w14:textFill>
                </w:rPr>
                <m:t>Ri</m:t>
              </m:r>
              <m:ctrlPr>
                <w:rPr>
                  <w:rFonts w:ascii="Cambria Math" w:hAnsi="Cambria Math"/>
                  <w:color w:val="000000" w:themeColor="text1"/>
                  <w14:textFill>
                    <w14:solidFill>
                      <w14:schemeClr w14:val="tx1"/>
                    </w14:solidFill>
                  </w14:textFill>
                </w:rPr>
              </m:ctrlPr>
            </m:sub>
          </m:sSub>
          <m:r>
            <m:rPr>
              <m:sty m:val="p"/>
            </m:rPr>
            <w:rPr>
              <w:rFonts w:ascii="Cambria Math" w:hAnsi="Cambria Math"/>
              <w:color w:val="000000" w:themeColor="text1"/>
              <w14:textFill>
                <w14:solidFill>
                  <w14:schemeClr w14:val="tx1"/>
                </w14:solidFill>
              </w14:textFill>
            </w:rPr>
            <m:t>=</m:t>
          </m:r>
          <m:sSub>
            <m:sSubPr>
              <m:ctrlPr>
                <w:rPr>
                  <w:rFonts w:ascii="Cambria Math" w:hAnsi="Cambria Math"/>
                  <w:color w:val="000000" w:themeColor="text1"/>
                  <w14:textFill>
                    <w14:solidFill>
                      <w14:schemeClr w14:val="tx1"/>
                    </w14:solidFill>
                  </w14:textFill>
                </w:rPr>
              </m:ctrlPr>
            </m:sSubPr>
            <m:e>
              <m:r>
                <w:rPr>
                  <w:rFonts w:ascii="Cambria Math" w:hAnsi="Cambria Math"/>
                  <w:color w:val="000000" w:themeColor="text1"/>
                  <w14:textFill>
                    <w14:solidFill>
                      <w14:schemeClr w14:val="tx1"/>
                    </w14:solidFill>
                  </w14:textFill>
                </w:rPr>
                <m:t>k</m:t>
              </m:r>
              <m:ctrlPr>
                <w:rPr>
                  <w:rFonts w:ascii="Cambria Math" w:hAnsi="Cambria Math"/>
                  <w:color w:val="000000" w:themeColor="text1"/>
                  <w14:textFill>
                    <w14:solidFill>
                      <w14:schemeClr w14:val="tx1"/>
                    </w14:solidFill>
                  </w14:textFill>
                </w:rPr>
              </m:ctrlPr>
            </m:e>
            <m:sub>
              <m:r>
                <w:rPr>
                  <w:rFonts w:ascii="Cambria Math" w:hAnsi="Cambria Math"/>
                  <w:color w:val="000000" w:themeColor="text1"/>
                  <w14:textFill>
                    <w14:solidFill>
                      <w14:schemeClr w14:val="tx1"/>
                    </w14:solidFill>
                  </w14:textFill>
                </w:rPr>
                <m:t>i</m:t>
              </m:r>
              <m:ctrlPr>
                <w:rPr>
                  <w:rFonts w:ascii="Cambria Math" w:hAnsi="Cambria Math"/>
                  <w:color w:val="000000" w:themeColor="text1"/>
                  <w14:textFill>
                    <w14:solidFill>
                      <w14:schemeClr w14:val="tx1"/>
                    </w14:solidFill>
                  </w14:textFill>
                </w:rPr>
              </m:ctrlPr>
            </m:sub>
          </m:sSub>
          <m:sSup>
            <m:sSupPr>
              <m:ctrlPr>
                <w:rPr>
                  <w:rFonts w:ascii="Cambria Math" w:hAnsi="Cambria Math"/>
                  <w:color w:val="000000" w:themeColor="text1"/>
                  <w14:textFill>
                    <w14:solidFill>
                      <w14:schemeClr w14:val="tx1"/>
                    </w14:solidFill>
                  </w14:textFill>
                </w:rPr>
              </m:ctrlPr>
            </m:sSupPr>
            <m:e>
              <m:d>
                <m:dPr>
                  <m:ctrlPr>
                    <w:rPr>
                      <w:rFonts w:ascii="Cambria Math" w:hAnsi="Cambria Math"/>
                      <w:color w:val="000000" w:themeColor="text1"/>
                      <w14:textFill>
                        <w14:solidFill>
                          <w14:schemeClr w14:val="tx1"/>
                        </w14:solidFill>
                      </w14:textFill>
                    </w:rPr>
                  </m:ctrlPr>
                </m:dPr>
                <m:e>
                  <m:r>
                    <w:rPr>
                      <w:rFonts w:ascii="Cambria Math" w:hAnsi="Cambria Math"/>
                      <w:color w:val="000000" w:themeColor="text1"/>
                      <w14:textFill>
                        <w14:solidFill>
                          <w14:schemeClr w14:val="tx1"/>
                        </w14:solidFill>
                      </w14:textFill>
                    </w:rPr>
                    <m:t>sL</m:t>
                  </m:r>
                  <m:ctrlPr>
                    <w:rPr>
                      <w:rFonts w:ascii="Cambria Math" w:hAnsi="Cambria Math"/>
                      <w:color w:val="000000" w:themeColor="text1"/>
                      <w14:textFill>
                        <w14:solidFill>
                          <w14:schemeClr w14:val="tx1"/>
                        </w14:solidFill>
                      </w14:textFill>
                    </w:rPr>
                  </m:ctrlPr>
                </m:e>
              </m:d>
              <m:ctrlPr>
                <w:rPr>
                  <w:rFonts w:ascii="Cambria Math" w:hAnsi="Cambria Math"/>
                  <w:color w:val="000000" w:themeColor="text1"/>
                  <w14:textFill>
                    <w14:solidFill>
                      <w14:schemeClr w14:val="tx1"/>
                    </w14:solidFill>
                  </w14:textFill>
                </w:rPr>
              </m:ctrlPr>
            </m:e>
            <m:sup>
              <m:r>
                <m:rPr>
                  <m:sty m:val="p"/>
                </m:rPr>
                <w:rPr>
                  <w:rFonts w:ascii="Cambria Math" w:hAnsi="Cambria Math"/>
                  <w:color w:val="000000" w:themeColor="text1"/>
                  <w14:textFill>
                    <w14:solidFill>
                      <w14:schemeClr w14:val="tx1"/>
                    </w14:solidFill>
                  </w14:textFill>
                </w:rPr>
                <m:t>0.91</m:t>
              </m:r>
              <m:ctrlPr>
                <w:rPr>
                  <w:rFonts w:ascii="Cambria Math" w:hAnsi="Cambria Math"/>
                  <w:color w:val="000000" w:themeColor="text1"/>
                  <w14:textFill>
                    <w14:solidFill>
                      <w14:schemeClr w14:val="tx1"/>
                    </w14:solidFill>
                  </w14:textFill>
                </w:rPr>
              </m:ctrlPr>
            </m:sup>
          </m:sSup>
          <m:sSup>
            <m:sSupPr>
              <m:ctrlPr>
                <w:rPr>
                  <w:rFonts w:ascii="Cambria Math" w:hAnsi="Cambria Math"/>
                  <w:color w:val="000000" w:themeColor="text1"/>
                  <w14:textFill>
                    <w14:solidFill>
                      <w14:schemeClr w14:val="tx1"/>
                    </w14:solidFill>
                  </w14:textFill>
                </w:rPr>
              </m:ctrlPr>
            </m:sSupPr>
            <m:e>
              <m:d>
                <m:dPr>
                  <m:ctrlPr>
                    <w:rPr>
                      <w:rFonts w:ascii="Cambria Math" w:hAnsi="Cambria Math"/>
                      <w:color w:val="000000" w:themeColor="text1"/>
                      <w14:textFill>
                        <w14:solidFill>
                          <w14:schemeClr w14:val="tx1"/>
                        </w14:solidFill>
                      </w14:textFill>
                    </w:rPr>
                  </m:ctrlPr>
                </m:dPr>
                <m:e>
                  <m:r>
                    <w:rPr>
                      <w:rFonts w:ascii="Cambria Math" w:hAnsi="Cambria Math"/>
                      <w:color w:val="000000" w:themeColor="text1"/>
                      <w14:textFill>
                        <w14:solidFill>
                          <w14:schemeClr w14:val="tx1"/>
                        </w14:solidFill>
                      </w14:textFill>
                    </w:rPr>
                    <m:t>W</m:t>
                  </m:r>
                  <m:ctrlPr>
                    <w:rPr>
                      <w:rFonts w:ascii="Cambria Math" w:hAnsi="Cambria Math"/>
                      <w:color w:val="000000" w:themeColor="text1"/>
                      <w14:textFill>
                        <w14:solidFill>
                          <w14:schemeClr w14:val="tx1"/>
                        </w14:solidFill>
                      </w14:textFill>
                    </w:rPr>
                  </m:ctrlPr>
                </m:e>
              </m:d>
              <m:ctrlPr>
                <w:rPr>
                  <w:rFonts w:ascii="Cambria Math" w:hAnsi="Cambria Math"/>
                  <w:color w:val="000000" w:themeColor="text1"/>
                  <w14:textFill>
                    <w14:solidFill>
                      <w14:schemeClr w14:val="tx1"/>
                    </w14:solidFill>
                  </w14:textFill>
                </w:rPr>
              </m:ctrlPr>
            </m:e>
            <m:sup>
              <m:r>
                <m:rPr>
                  <m:sty m:val="p"/>
                </m:rPr>
                <w:rPr>
                  <w:rFonts w:ascii="Cambria Math" w:hAnsi="Cambria Math"/>
                  <w:color w:val="000000" w:themeColor="text1"/>
                  <w14:textFill>
                    <w14:solidFill>
                      <w14:schemeClr w14:val="tx1"/>
                    </w14:solidFill>
                  </w14:textFill>
                </w:rPr>
                <m:t>1.02</m:t>
              </m:r>
              <m:ctrlPr>
                <w:rPr>
                  <w:rFonts w:ascii="Cambria Math" w:hAnsi="Cambria Math"/>
                  <w:color w:val="000000" w:themeColor="text1"/>
                  <w14:textFill>
                    <w14:solidFill>
                      <w14:schemeClr w14:val="tx1"/>
                    </w14:solidFill>
                  </w14:textFill>
                </w:rPr>
              </m:ctrlPr>
            </m:sup>
          </m:sSup>
          <m:d>
            <m:dPr>
              <m:ctrlPr>
                <w:rPr>
                  <w:rFonts w:ascii="Cambria Math" w:hAnsi="Cambria Math"/>
                  <w:color w:val="000000" w:themeColor="text1"/>
                  <w14:textFill>
                    <w14:solidFill>
                      <w14:schemeClr w14:val="tx1"/>
                    </w14:solidFill>
                  </w14:textFill>
                </w:rPr>
              </m:ctrlPr>
            </m:dPr>
            <m:e>
              <m:r>
                <m:rPr>
                  <m:sty m:val="p"/>
                </m:rPr>
                <w:rPr>
                  <w:rFonts w:ascii="Cambria Math" w:hAnsi="Cambria Math"/>
                  <w:color w:val="000000" w:themeColor="text1"/>
                  <w14:textFill>
                    <w14:solidFill>
                      <w14:schemeClr w14:val="tx1"/>
                    </w14:solidFill>
                  </w14:textFill>
                </w:rPr>
                <m:t>1−</m:t>
              </m:r>
              <m:r>
                <w:rPr>
                  <w:rFonts w:ascii="Cambria Math" w:hAnsi="Cambria Math"/>
                  <w:color w:val="000000" w:themeColor="text1"/>
                  <w14:textFill>
                    <w14:solidFill>
                      <w14:schemeClr w14:val="tx1"/>
                    </w14:solidFill>
                  </w14:textFill>
                </w:rPr>
                <m:t>η</m:t>
              </m:r>
              <m:ctrlPr>
                <w:rPr>
                  <w:rFonts w:ascii="Cambria Math" w:hAnsi="Cambria Math"/>
                  <w:color w:val="000000" w:themeColor="text1"/>
                  <w14:textFill>
                    <w14:solidFill>
                      <w14:schemeClr w14:val="tx1"/>
                    </w14:solidFill>
                  </w14:textFill>
                </w:rPr>
              </m:ctrlPr>
            </m:e>
          </m:d>
        </m:oMath>
      </m:oMathPara>
    </w:p>
    <w:p>
      <w:pPr>
        <w:pStyle w:val="283"/>
        <w:ind w:firstLine="462"/>
        <w:rPr>
          <w:color w:val="000000" w:themeColor="text1"/>
          <w14:textFill>
            <w14:solidFill>
              <w14:schemeClr w14:val="tx1"/>
            </w14:solidFill>
          </w14:textFill>
        </w:rPr>
      </w:pPr>
      <w:r>
        <w:rPr>
          <w:rFonts w:hint="eastAsia"/>
          <w:color w:val="000000" w:themeColor="text1"/>
          <w14:textFill>
            <w14:solidFill>
              <w14:schemeClr w14:val="tx1"/>
            </w14:solidFill>
          </w14:textFill>
        </w:rPr>
        <w:t xml:space="preserve">式中   </w:t>
      </w:r>
      <w:r>
        <w:rPr>
          <w:rFonts w:hint="eastAsia"/>
          <w:i/>
          <w:iCs/>
          <w:color w:val="000000" w:themeColor="text1"/>
          <w14:textFill>
            <w14:solidFill>
              <w14:schemeClr w14:val="tx1"/>
            </w14:solidFill>
          </w14:textFill>
        </w:rPr>
        <w:t>E</w:t>
      </w:r>
      <w:r>
        <w:rPr>
          <w:rFonts w:hint="eastAsia"/>
          <w:i/>
          <w:iCs/>
          <w:color w:val="000000" w:themeColor="text1"/>
          <w:vertAlign w:val="subscript"/>
          <w14:textFill>
            <w14:solidFill>
              <w14:schemeClr w14:val="tx1"/>
            </w14:solidFill>
          </w14:textFill>
        </w:rPr>
        <w:t>Ri</w:t>
      </w:r>
      <w:r>
        <w:rPr>
          <w:rFonts w:hint="eastAsia"/>
          <w:color w:val="000000" w:themeColor="text1"/>
          <w14:textFill>
            <w14:solidFill>
              <w14:schemeClr w14:val="tx1"/>
            </w14:solidFill>
          </w14:textFill>
        </w:rPr>
        <w:t>———铺装道路的扬尘中P</w:t>
      </w:r>
      <w:r>
        <w:rPr>
          <w:rFonts w:hint="eastAsia"/>
          <w:color w:val="000000" w:themeColor="text1"/>
          <w:vertAlign w:val="subscript"/>
          <w14:textFill>
            <w14:solidFill>
              <w14:schemeClr w14:val="tx1"/>
            </w14:solidFill>
          </w14:textFill>
        </w:rPr>
        <w:t>Mi</w:t>
      </w:r>
      <w:r>
        <w:rPr>
          <w:rFonts w:hint="eastAsia"/>
          <w:color w:val="000000" w:themeColor="text1"/>
          <w14:textFill>
            <w14:solidFill>
              <w14:schemeClr w14:val="tx1"/>
            </w14:solidFill>
          </w14:textFill>
        </w:rPr>
        <w:t>排放系数（g/km）；</w:t>
      </w:r>
    </w:p>
    <w:p>
      <w:pPr>
        <w:pStyle w:val="283"/>
        <w:ind w:firstLine="462"/>
        <w:rPr>
          <w:color w:val="000000" w:themeColor="text1"/>
          <w14:textFill>
            <w14:solidFill>
              <w14:schemeClr w14:val="tx1"/>
            </w14:solidFill>
          </w14:textFill>
        </w:rPr>
      </w:pPr>
      <w:r>
        <w:rPr>
          <w:rFonts w:hint="eastAsia"/>
          <w:i/>
          <w:iCs/>
          <w:color w:val="000000" w:themeColor="text1"/>
          <w14:textFill>
            <w14:solidFill>
              <w14:schemeClr w14:val="tx1"/>
            </w14:solidFill>
          </w14:textFill>
        </w:rPr>
        <w:t>k</w:t>
      </w:r>
      <w:r>
        <w:rPr>
          <w:rFonts w:hint="eastAsia"/>
          <w:i/>
          <w:iCs/>
          <w:color w:val="000000" w:themeColor="text1"/>
          <w:vertAlign w:val="subscript"/>
          <w14:textFill>
            <w14:solidFill>
              <w14:schemeClr w14:val="tx1"/>
            </w14:solidFill>
          </w14:textFill>
        </w:rPr>
        <w:t>i</w:t>
      </w:r>
      <w:r>
        <w:rPr>
          <w:rFonts w:hint="eastAsia"/>
          <w:color w:val="000000" w:themeColor="text1"/>
          <w14:textFill>
            <w14:solidFill>
              <w14:schemeClr w14:val="tx1"/>
            </w14:solidFill>
          </w14:textFill>
        </w:rPr>
        <w:t>———扬尘中P</w:t>
      </w:r>
      <w:r>
        <w:rPr>
          <w:rFonts w:hint="eastAsia"/>
          <w:color w:val="000000" w:themeColor="text1"/>
          <w:vertAlign w:val="subscript"/>
          <w14:textFill>
            <w14:solidFill>
              <w14:schemeClr w14:val="tx1"/>
            </w14:solidFill>
          </w14:textFill>
        </w:rPr>
        <w:t>Mi</w:t>
      </w:r>
      <w:r>
        <w:rPr>
          <w:rFonts w:hint="eastAsia"/>
          <w:color w:val="000000" w:themeColor="text1"/>
          <w14:textFill>
            <w14:solidFill>
              <w14:schemeClr w14:val="tx1"/>
            </w14:solidFill>
          </w14:textFill>
        </w:rPr>
        <w:t>的粒度乘数，参考值见表2.1-8；</w:t>
      </w:r>
    </w:p>
    <w:p>
      <w:pPr>
        <w:pStyle w:val="283"/>
        <w:ind w:firstLine="462"/>
        <w:rPr>
          <w:color w:val="000000" w:themeColor="text1"/>
          <w14:textFill>
            <w14:solidFill>
              <w14:schemeClr w14:val="tx1"/>
            </w14:solidFill>
          </w14:textFill>
        </w:rPr>
      </w:pPr>
      <w:r>
        <w:rPr>
          <w:rFonts w:hint="eastAsia"/>
          <w:i/>
          <w:iCs/>
          <w:color w:val="000000" w:themeColor="text1"/>
          <w14:textFill>
            <w14:solidFill>
              <w14:schemeClr w14:val="tx1"/>
            </w14:solidFill>
          </w14:textFill>
        </w:rPr>
        <w:t>sL</w:t>
      </w:r>
      <w:r>
        <w:rPr>
          <w:rFonts w:hint="eastAsia"/>
          <w:color w:val="000000" w:themeColor="text1"/>
          <w14:textFill>
            <w14:solidFill>
              <w14:schemeClr w14:val="tx1"/>
            </w14:solidFill>
          </w14:textFill>
        </w:rPr>
        <w:t>——道路积尘负荷（g/m</w:t>
      </w:r>
      <w:r>
        <w:rPr>
          <w:rFonts w:hint="eastAsia"/>
          <w:color w:val="000000" w:themeColor="text1"/>
          <w:vertAlign w:val="superscript"/>
          <w14:textFill>
            <w14:solidFill>
              <w14:schemeClr w14:val="tx1"/>
            </w14:solidFill>
          </w14:textFill>
        </w:rPr>
        <w:t>2</w:t>
      </w:r>
      <w:r>
        <w:rPr>
          <w:rFonts w:hint="eastAsia"/>
          <w:color w:val="000000" w:themeColor="text1"/>
          <w14:textFill>
            <w14:solidFill>
              <w14:schemeClr w14:val="tx1"/>
            </w14:solidFill>
          </w14:textFill>
        </w:rPr>
        <w:t>），参照《防治城市扬尘污染技术规范》（HJ/T393-2007）附录C中道路类型为“优”的机动车道积尘负荷限定标准参考值，取1g/m</w:t>
      </w:r>
      <w:r>
        <w:rPr>
          <w:rFonts w:hint="eastAsia"/>
          <w:color w:val="000000" w:themeColor="text1"/>
          <w:vertAlign w:val="superscript"/>
          <w14:textFill>
            <w14:solidFill>
              <w14:schemeClr w14:val="tx1"/>
            </w14:solidFill>
          </w14:textFill>
        </w:rPr>
        <w:t>2</w:t>
      </w:r>
      <w:r>
        <w:rPr>
          <w:rFonts w:hint="eastAsia"/>
          <w:color w:val="000000" w:themeColor="text1"/>
          <w14:textFill>
            <w14:solidFill>
              <w14:schemeClr w14:val="tx1"/>
            </w14:solidFill>
          </w14:textFill>
        </w:rPr>
        <w:t>；</w:t>
      </w:r>
    </w:p>
    <w:p>
      <w:pPr>
        <w:pStyle w:val="283"/>
        <w:ind w:firstLine="462"/>
        <w:rPr>
          <w:color w:val="000000" w:themeColor="text1"/>
          <w14:textFill>
            <w14:solidFill>
              <w14:schemeClr w14:val="tx1"/>
            </w14:solidFill>
          </w14:textFill>
        </w:rPr>
      </w:pPr>
      <w:r>
        <w:rPr>
          <w:rFonts w:hint="eastAsia"/>
          <w:i/>
          <w:iCs/>
          <w:color w:val="000000" w:themeColor="text1"/>
          <w14:textFill>
            <w14:solidFill>
              <w14:schemeClr w14:val="tx1"/>
            </w14:solidFill>
          </w14:textFill>
        </w:rPr>
        <w:t>W</w:t>
      </w:r>
      <w:r>
        <w:rPr>
          <w:rFonts w:hint="eastAsia"/>
          <w:color w:val="000000" w:themeColor="text1"/>
          <w14:textFill>
            <w14:solidFill>
              <w14:schemeClr w14:val="tx1"/>
            </w14:solidFill>
          </w14:textFill>
        </w:rPr>
        <w:t>——平均车重（t），取40t；</w:t>
      </w:r>
    </w:p>
    <w:p>
      <w:pPr>
        <w:pStyle w:val="283"/>
        <w:ind w:firstLine="462"/>
        <w:rPr>
          <w:color w:val="000000" w:themeColor="text1"/>
          <w14:textFill>
            <w14:solidFill>
              <w14:schemeClr w14:val="tx1"/>
            </w14:solidFill>
          </w14:textFill>
        </w:rPr>
      </w:pPr>
      <w:r>
        <w:rPr>
          <w:rFonts w:hint="eastAsia"/>
          <w:i/>
          <w:iCs/>
          <w:color w:val="000000" w:themeColor="text1"/>
          <w14:textFill>
            <w14:solidFill>
              <w14:schemeClr w14:val="tx1"/>
            </w14:solidFill>
          </w14:textFill>
        </w:rPr>
        <w:t>η</w:t>
      </w:r>
      <w:r>
        <w:rPr>
          <w:rFonts w:hint="eastAsia"/>
          <w:color w:val="000000" w:themeColor="text1"/>
          <w14:textFill>
            <w14:solidFill>
              <w14:schemeClr w14:val="tx1"/>
            </w14:solidFill>
          </w14:textFill>
        </w:rPr>
        <w:t>——污染控制技术对扬尘的控制效率（%），推荐值见表2.1-9。</w:t>
      </w:r>
    </w:p>
    <w:p>
      <w:pPr>
        <w:pStyle w:val="283"/>
        <w:ind w:firstLine="462"/>
        <w:rPr>
          <w:color w:val="000000" w:themeColor="text1"/>
          <w14:textFill>
            <w14:solidFill>
              <w14:schemeClr w14:val="tx1"/>
            </w14:solidFill>
          </w14:textFill>
        </w:rPr>
      </w:pPr>
      <w:r>
        <w:rPr>
          <w:rFonts w:hint="eastAsia"/>
          <w:color w:val="000000" w:themeColor="text1"/>
          <w14:textFill>
            <w14:solidFill>
              <w14:schemeClr w14:val="tx1"/>
            </w14:solidFill>
          </w14:textFill>
        </w:rPr>
        <w:t>运输道路起尘源强参数见表2.1-10。</w:t>
      </w:r>
    </w:p>
    <w:p>
      <w:pPr>
        <w:pStyle w:val="384"/>
        <w:ind w:left="0" w:firstLine="0"/>
        <w:rPr>
          <w:rFonts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铺装道路产生颗粒物的粒度乘数</w:t>
      </w:r>
    </w:p>
    <w:tbl>
      <w:tblPr>
        <w:tblStyle w:val="88"/>
        <w:tblW w:w="8519" w:type="dxa"/>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2129"/>
        <w:gridCol w:w="2128"/>
        <w:gridCol w:w="2131"/>
        <w:gridCol w:w="2131"/>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2129" w:type="dxa"/>
            <w:vAlign w:val="center"/>
          </w:tcPr>
          <w:p>
            <w:pPr>
              <w:snapToGrid w:val="0"/>
              <w:spacing w:line="280" w:lineRule="exact"/>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粒径</w:t>
            </w:r>
          </w:p>
        </w:tc>
        <w:tc>
          <w:tcPr>
            <w:tcW w:w="2128" w:type="dxa"/>
            <w:vAlign w:val="center"/>
          </w:tcPr>
          <w:p>
            <w:pPr>
              <w:snapToGrid w:val="0"/>
              <w:spacing w:line="280" w:lineRule="exact"/>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TSP</w:t>
            </w:r>
          </w:p>
        </w:tc>
        <w:tc>
          <w:tcPr>
            <w:tcW w:w="2131" w:type="dxa"/>
            <w:vAlign w:val="center"/>
          </w:tcPr>
          <w:p>
            <w:pPr>
              <w:snapToGrid w:val="0"/>
              <w:spacing w:line="280" w:lineRule="exact"/>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PM</w:t>
            </w:r>
            <w:r>
              <w:rPr>
                <w:rFonts w:hint="eastAsia"/>
                <w:color w:val="000000" w:themeColor="text1"/>
                <w:sz w:val="21"/>
                <w:szCs w:val="21"/>
                <w:vertAlign w:val="subscript"/>
                <w14:textFill>
                  <w14:solidFill>
                    <w14:schemeClr w14:val="tx1"/>
                  </w14:solidFill>
                </w14:textFill>
              </w:rPr>
              <w:t>10</w:t>
            </w:r>
          </w:p>
        </w:tc>
        <w:tc>
          <w:tcPr>
            <w:tcW w:w="2131" w:type="dxa"/>
            <w:vAlign w:val="center"/>
          </w:tcPr>
          <w:p>
            <w:pPr>
              <w:snapToGrid w:val="0"/>
              <w:spacing w:line="280" w:lineRule="exact"/>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PM</w:t>
            </w:r>
            <w:r>
              <w:rPr>
                <w:rFonts w:hint="eastAsia"/>
                <w:color w:val="000000" w:themeColor="text1"/>
                <w:sz w:val="21"/>
                <w:szCs w:val="21"/>
                <w:vertAlign w:val="subscript"/>
                <w14:textFill>
                  <w14:solidFill>
                    <w14:schemeClr w14:val="tx1"/>
                  </w14:solidFill>
                </w14:textFill>
              </w:rPr>
              <w:t>2.5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2129" w:type="dxa"/>
            <w:vAlign w:val="center"/>
          </w:tcPr>
          <w:p>
            <w:pPr>
              <w:snapToGrid w:val="0"/>
              <w:spacing w:line="280" w:lineRule="exact"/>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粒度乘数</w:t>
            </w:r>
          </w:p>
        </w:tc>
        <w:tc>
          <w:tcPr>
            <w:tcW w:w="2128" w:type="dxa"/>
            <w:vAlign w:val="center"/>
          </w:tcPr>
          <w:p>
            <w:pPr>
              <w:snapToGrid w:val="0"/>
              <w:spacing w:line="280" w:lineRule="exact"/>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3.23</w:t>
            </w:r>
          </w:p>
        </w:tc>
        <w:tc>
          <w:tcPr>
            <w:tcW w:w="2131" w:type="dxa"/>
            <w:vAlign w:val="center"/>
          </w:tcPr>
          <w:p>
            <w:pPr>
              <w:snapToGrid w:val="0"/>
              <w:spacing w:line="280" w:lineRule="exact"/>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0.62</w:t>
            </w:r>
          </w:p>
        </w:tc>
        <w:tc>
          <w:tcPr>
            <w:tcW w:w="2131" w:type="dxa"/>
            <w:vAlign w:val="center"/>
          </w:tcPr>
          <w:p>
            <w:pPr>
              <w:snapToGrid w:val="0"/>
              <w:spacing w:line="280" w:lineRule="exact"/>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0.15</w:t>
            </w:r>
          </w:p>
        </w:tc>
      </w:tr>
    </w:tbl>
    <w:p>
      <w:pPr>
        <w:pStyle w:val="384"/>
        <w:ind w:left="0" w:firstLine="0"/>
        <w:rPr>
          <w:rFonts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铺装道路扬尘源控制措施的控制效率</w:t>
      </w:r>
    </w:p>
    <w:tbl>
      <w:tblPr>
        <w:tblStyle w:val="88"/>
        <w:tblW w:w="8519" w:type="dxa"/>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2129"/>
        <w:gridCol w:w="2128"/>
        <w:gridCol w:w="2131"/>
        <w:gridCol w:w="2131"/>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2129" w:type="dxa"/>
            <w:vAlign w:val="center"/>
          </w:tcPr>
          <w:p>
            <w:pPr>
              <w:snapToGrid w:val="0"/>
              <w:spacing w:line="280" w:lineRule="exact"/>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控制措施</w:t>
            </w:r>
          </w:p>
        </w:tc>
        <w:tc>
          <w:tcPr>
            <w:tcW w:w="2128" w:type="dxa"/>
            <w:vAlign w:val="center"/>
          </w:tcPr>
          <w:p>
            <w:pPr>
              <w:snapToGrid w:val="0"/>
              <w:spacing w:line="280" w:lineRule="exact"/>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TSP控制效率</w:t>
            </w:r>
          </w:p>
        </w:tc>
        <w:tc>
          <w:tcPr>
            <w:tcW w:w="2131" w:type="dxa"/>
            <w:vAlign w:val="center"/>
          </w:tcPr>
          <w:p>
            <w:pPr>
              <w:snapToGrid w:val="0"/>
              <w:spacing w:line="280" w:lineRule="exact"/>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PM</w:t>
            </w:r>
            <w:r>
              <w:rPr>
                <w:rFonts w:hint="eastAsia"/>
                <w:color w:val="000000" w:themeColor="text1"/>
                <w:sz w:val="21"/>
                <w:szCs w:val="21"/>
                <w:vertAlign w:val="subscript"/>
                <w14:textFill>
                  <w14:solidFill>
                    <w14:schemeClr w14:val="tx1"/>
                  </w14:solidFill>
                </w14:textFill>
              </w:rPr>
              <w:t>10</w:t>
            </w:r>
            <w:r>
              <w:rPr>
                <w:rFonts w:hint="eastAsia"/>
                <w:color w:val="000000" w:themeColor="text1"/>
                <w:sz w:val="21"/>
                <w:szCs w:val="21"/>
                <w14:textFill>
                  <w14:solidFill>
                    <w14:schemeClr w14:val="tx1"/>
                  </w14:solidFill>
                </w14:textFill>
              </w:rPr>
              <w:t>控制效率</w:t>
            </w:r>
          </w:p>
        </w:tc>
        <w:tc>
          <w:tcPr>
            <w:tcW w:w="2131" w:type="dxa"/>
            <w:vAlign w:val="center"/>
          </w:tcPr>
          <w:p>
            <w:pPr>
              <w:snapToGrid w:val="0"/>
              <w:spacing w:line="280" w:lineRule="exact"/>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PM</w:t>
            </w:r>
            <w:r>
              <w:rPr>
                <w:rFonts w:hint="eastAsia"/>
                <w:color w:val="000000" w:themeColor="text1"/>
                <w:sz w:val="21"/>
                <w:szCs w:val="21"/>
                <w:vertAlign w:val="subscript"/>
                <w14:textFill>
                  <w14:solidFill>
                    <w14:schemeClr w14:val="tx1"/>
                  </w14:solidFill>
                </w14:textFill>
              </w:rPr>
              <w:t>2.5</w:t>
            </w:r>
            <w:r>
              <w:rPr>
                <w:rFonts w:hint="eastAsia"/>
                <w:color w:val="000000" w:themeColor="text1"/>
                <w:sz w:val="21"/>
                <w:szCs w:val="21"/>
                <w14:textFill>
                  <w14:solidFill>
                    <w14:schemeClr w14:val="tx1"/>
                  </w14:solidFill>
                </w14:textFill>
              </w:rPr>
              <w:t>控制效率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2129" w:type="dxa"/>
            <w:vAlign w:val="center"/>
          </w:tcPr>
          <w:p>
            <w:pPr>
              <w:snapToGrid w:val="0"/>
              <w:spacing w:line="280" w:lineRule="exact"/>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洒水（2次/天）</w:t>
            </w:r>
          </w:p>
        </w:tc>
        <w:tc>
          <w:tcPr>
            <w:tcW w:w="2128" w:type="dxa"/>
            <w:vAlign w:val="center"/>
          </w:tcPr>
          <w:p>
            <w:pPr>
              <w:snapToGrid w:val="0"/>
              <w:spacing w:line="280" w:lineRule="exact"/>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66%</w:t>
            </w:r>
          </w:p>
        </w:tc>
        <w:tc>
          <w:tcPr>
            <w:tcW w:w="2131" w:type="dxa"/>
            <w:vAlign w:val="center"/>
          </w:tcPr>
          <w:p>
            <w:pPr>
              <w:snapToGrid w:val="0"/>
              <w:spacing w:line="280" w:lineRule="exact"/>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55%</w:t>
            </w:r>
          </w:p>
        </w:tc>
        <w:tc>
          <w:tcPr>
            <w:tcW w:w="2131" w:type="dxa"/>
            <w:vAlign w:val="center"/>
          </w:tcPr>
          <w:p>
            <w:pPr>
              <w:snapToGrid w:val="0"/>
              <w:spacing w:line="280" w:lineRule="exact"/>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46%</w:t>
            </w:r>
          </w:p>
        </w:tc>
      </w:tr>
    </w:tbl>
    <w:p>
      <w:pPr>
        <w:pStyle w:val="384"/>
        <w:ind w:left="0" w:firstLine="0"/>
        <w:rPr>
          <w:rFonts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运输道路起尘源强估算结果</w:t>
      </w:r>
    </w:p>
    <w:tbl>
      <w:tblPr>
        <w:tblStyle w:val="88"/>
        <w:tblW w:w="8522" w:type="dxa"/>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2054"/>
        <w:gridCol w:w="2463"/>
        <w:gridCol w:w="4005"/>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20" w:hRule="atLeast"/>
        </w:trPr>
        <w:tc>
          <w:tcPr>
            <w:tcW w:w="2054" w:type="dxa"/>
            <w:vAlign w:val="center"/>
          </w:tcPr>
          <w:p>
            <w:pPr>
              <w:snapToGrid w:val="0"/>
              <w:spacing w:line="280" w:lineRule="exact"/>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扬尘源</w:t>
            </w:r>
          </w:p>
        </w:tc>
        <w:tc>
          <w:tcPr>
            <w:tcW w:w="2463" w:type="dxa"/>
            <w:vAlign w:val="center"/>
          </w:tcPr>
          <w:p>
            <w:pPr>
              <w:snapToGrid w:val="0"/>
              <w:spacing w:line="280" w:lineRule="exact"/>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污染物类型</w:t>
            </w:r>
          </w:p>
        </w:tc>
        <w:tc>
          <w:tcPr>
            <w:tcW w:w="4005" w:type="dxa"/>
            <w:vAlign w:val="center"/>
          </w:tcPr>
          <w:p>
            <w:pPr>
              <w:snapToGrid w:val="0"/>
              <w:spacing w:line="280" w:lineRule="exact"/>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污染源源强（t/a）</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20" w:hRule="atLeast"/>
        </w:trPr>
        <w:tc>
          <w:tcPr>
            <w:tcW w:w="2054" w:type="dxa"/>
            <w:vMerge w:val="restart"/>
            <w:vAlign w:val="center"/>
          </w:tcPr>
          <w:p>
            <w:pPr>
              <w:snapToGrid w:val="0"/>
              <w:spacing w:line="280" w:lineRule="exact"/>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运输</w:t>
            </w:r>
            <w:r>
              <w:rPr>
                <w:color w:val="000000" w:themeColor="text1"/>
                <w:sz w:val="21"/>
                <w:szCs w:val="21"/>
                <w14:textFill>
                  <w14:solidFill>
                    <w14:schemeClr w14:val="tx1"/>
                  </w14:solidFill>
                </w14:textFill>
              </w:rPr>
              <w:t>道路</w:t>
            </w:r>
          </w:p>
        </w:tc>
        <w:tc>
          <w:tcPr>
            <w:tcW w:w="2463" w:type="dxa"/>
            <w:vAlign w:val="center"/>
          </w:tcPr>
          <w:p>
            <w:pPr>
              <w:snapToGrid w:val="0"/>
              <w:spacing w:line="280" w:lineRule="exact"/>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TSP</w:t>
            </w:r>
          </w:p>
        </w:tc>
        <w:tc>
          <w:tcPr>
            <w:tcW w:w="4005" w:type="dxa"/>
            <w:vAlign w:val="center"/>
          </w:tcPr>
          <w:p>
            <w:pPr>
              <w:snapToGrid w:val="0"/>
              <w:spacing w:line="280" w:lineRule="exact"/>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2.42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20" w:hRule="atLeast"/>
        </w:trPr>
        <w:tc>
          <w:tcPr>
            <w:tcW w:w="2054" w:type="dxa"/>
            <w:vMerge w:val="continue"/>
            <w:vAlign w:val="center"/>
          </w:tcPr>
          <w:p>
            <w:pPr>
              <w:snapToGrid w:val="0"/>
              <w:spacing w:line="280" w:lineRule="exact"/>
              <w:jc w:val="center"/>
              <w:rPr>
                <w:color w:val="000000" w:themeColor="text1"/>
                <w:sz w:val="21"/>
                <w:szCs w:val="21"/>
                <w14:textFill>
                  <w14:solidFill>
                    <w14:schemeClr w14:val="tx1"/>
                  </w14:solidFill>
                </w14:textFill>
              </w:rPr>
            </w:pPr>
          </w:p>
        </w:tc>
        <w:tc>
          <w:tcPr>
            <w:tcW w:w="2463" w:type="dxa"/>
            <w:vAlign w:val="center"/>
          </w:tcPr>
          <w:p>
            <w:pPr>
              <w:snapToGrid w:val="0"/>
              <w:spacing w:line="280" w:lineRule="exact"/>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PM</w:t>
            </w:r>
            <w:r>
              <w:rPr>
                <w:rFonts w:hint="eastAsia"/>
                <w:color w:val="000000" w:themeColor="text1"/>
                <w:sz w:val="21"/>
                <w:szCs w:val="21"/>
                <w:vertAlign w:val="subscript"/>
                <w14:textFill>
                  <w14:solidFill>
                    <w14:schemeClr w14:val="tx1"/>
                  </w14:solidFill>
                </w14:textFill>
              </w:rPr>
              <w:t>10</w:t>
            </w:r>
          </w:p>
        </w:tc>
        <w:tc>
          <w:tcPr>
            <w:tcW w:w="4005" w:type="dxa"/>
            <w:vAlign w:val="center"/>
          </w:tcPr>
          <w:p>
            <w:pPr>
              <w:snapToGrid w:val="0"/>
              <w:spacing w:line="280" w:lineRule="exact"/>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0.61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20" w:hRule="atLeast"/>
        </w:trPr>
        <w:tc>
          <w:tcPr>
            <w:tcW w:w="2054" w:type="dxa"/>
            <w:vMerge w:val="continue"/>
            <w:vAlign w:val="center"/>
          </w:tcPr>
          <w:p>
            <w:pPr>
              <w:snapToGrid w:val="0"/>
              <w:spacing w:line="280" w:lineRule="exact"/>
              <w:jc w:val="center"/>
              <w:rPr>
                <w:color w:val="000000" w:themeColor="text1"/>
                <w:sz w:val="21"/>
                <w:szCs w:val="21"/>
                <w14:textFill>
                  <w14:solidFill>
                    <w14:schemeClr w14:val="tx1"/>
                  </w14:solidFill>
                </w14:textFill>
              </w:rPr>
            </w:pPr>
          </w:p>
        </w:tc>
        <w:tc>
          <w:tcPr>
            <w:tcW w:w="2463" w:type="dxa"/>
            <w:vAlign w:val="center"/>
          </w:tcPr>
          <w:p>
            <w:pPr>
              <w:snapToGrid w:val="0"/>
              <w:spacing w:line="280" w:lineRule="exact"/>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PM</w:t>
            </w:r>
            <w:r>
              <w:rPr>
                <w:rFonts w:hint="eastAsia"/>
                <w:color w:val="000000" w:themeColor="text1"/>
                <w:sz w:val="21"/>
                <w:szCs w:val="21"/>
                <w:vertAlign w:val="subscript"/>
                <w14:textFill>
                  <w14:solidFill>
                    <w14:schemeClr w14:val="tx1"/>
                  </w14:solidFill>
                </w14:textFill>
              </w:rPr>
              <w:t>2.5</w:t>
            </w:r>
          </w:p>
        </w:tc>
        <w:tc>
          <w:tcPr>
            <w:tcW w:w="4005" w:type="dxa"/>
            <w:vAlign w:val="center"/>
          </w:tcPr>
          <w:p>
            <w:pPr>
              <w:snapToGrid w:val="0"/>
              <w:spacing w:line="280" w:lineRule="exact"/>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0.18</w:t>
            </w:r>
          </w:p>
        </w:tc>
      </w:tr>
    </w:tbl>
    <w:p>
      <w:pPr>
        <w:pStyle w:val="283"/>
        <w:ind w:firstLine="462"/>
        <w:rPr>
          <w:color w:val="000000" w:themeColor="text1"/>
          <w14:textFill>
            <w14:solidFill>
              <w14:schemeClr w14:val="tx1"/>
            </w14:solidFill>
          </w14:textFill>
        </w:rPr>
      </w:pPr>
      <w:r>
        <w:rPr>
          <w:rFonts w:hint="eastAsia"/>
          <w:color w:val="000000" w:themeColor="text1"/>
          <w14:textFill>
            <w14:solidFill>
              <w14:schemeClr w14:val="tx1"/>
            </w14:solidFill>
          </w14:textFill>
        </w:rPr>
        <w:t>3、现有工程环保验收监测</w:t>
      </w:r>
    </w:p>
    <w:p>
      <w:pPr>
        <w:pStyle w:val="283"/>
        <w:ind w:firstLine="462"/>
        <w:rPr>
          <w:color w:val="000000" w:themeColor="text1"/>
          <w14:textFill>
            <w14:solidFill>
              <w14:schemeClr w14:val="tx1"/>
            </w14:solidFill>
          </w14:textFill>
        </w:rPr>
      </w:pPr>
      <w:r>
        <w:rPr>
          <w:color w:val="000000" w:themeColor="text1"/>
          <w14:textFill>
            <w14:solidFill>
              <w14:schemeClr w14:val="tx1"/>
            </w14:solidFill>
          </w14:textFill>
        </w:rPr>
        <w:t>现有</w:t>
      </w:r>
      <w:r>
        <w:rPr>
          <w:rFonts w:hint="eastAsia"/>
          <w:color w:val="000000" w:themeColor="text1"/>
          <w14:textFill>
            <w14:solidFill>
              <w14:schemeClr w14:val="tx1"/>
            </w14:solidFill>
          </w14:textFill>
        </w:rPr>
        <w:t>7#~10#泊位运营</w:t>
      </w:r>
      <w:r>
        <w:rPr>
          <w:color w:val="000000" w:themeColor="text1"/>
          <w14:textFill>
            <w14:solidFill>
              <w14:schemeClr w14:val="tx1"/>
            </w14:solidFill>
          </w14:textFill>
        </w:rPr>
        <w:t>单位在运营期间进行了无组织排放废气季度例行监测，其中</w:t>
      </w:r>
      <w:r>
        <w:rPr>
          <w:rFonts w:hint="eastAsia"/>
          <w:color w:val="000000" w:themeColor="text1"/>
          <w14:textFill>
            <w14:solidFill>
              <w14:schemeClr w14:val="tx1"/>
            </w14:solidFill>
          </w14:textFill>
        </w:rPr>
        <w:t>2#、3#、4#、5#分别为本项目现有工程西侧场界下风向、北侧场界下风向、东侧厂界下风向及项目依托工程危险废物贮存间外东北侧，监测指标为TSP、PM</w:t>
      </w:r>
      <w:r>
        <w:rPr>
          <w:rFonts w:hint="eastAsia"/>
          <w:color w:val="000000" w:themeColor="text1"/>
          <w:vertAlign w:val="subscript"/>
          <w14:textFill>
            <w14:solidFill>
              <w14:schemeClr w14:val="tx1"/>
            </w14:solidFill>
          </w14:textFill>
        </w:rPr>
        <w:t>10</w:t>
      </w:r>
      <w:r>
        <w:rPr>
          <w:rFonts w:hint="eastAsia"/>
          <w:color w:val="000000" w:themeColor="text1"/>
          <w14:textFill>
            <w14:solidFill>
              <w14:schemeClr w14:val="tx1"/>
            </w14:solidFill>
          </w14:textFill>
        </w:rPr>
        <w:t>、SO</w:t>
      </w:r>
      <w:r>
        <w:rPr>
          <w:rFonts w:hint="eastAsia"/>
          <w:color w:val="000000" w:themeColor="text1"/>
          <w:vertAlign w:val="subscript"/>
          <w14:textFill>
            <w14:solidFill>
              <w14:schemeClr w14:val="tx1"/>
            </w14:solidFill>
          </w14:textFill>
        </w:rPr>
        <w:t>2</w:t>
      </w:r>
      <w:r>
        <w:rPr>
          <w:rFonts w:hint="eastAsia"/>
          <w:color w:val="000000" w:themeColor="text1"/>
          <w14:textFill>
            <w14:solidFill>
              <w14:schemeClr w14:val="tx1"/>
            </w14:solidFill>
          </w14:textFill>
        </w:rPr>
        <w:t>，其中TSP、SO</w:t>
      </w:r>
      <w:r>
        <w:rPr>
          <w:rFonts w:hint="eastAsia"/>
          <w:color w:val="000000" w:themeColor="text1"/>
          <w:vertAlign w:val="subscript"/>
          <w14:textFill>
            <w14:solidFill>
              <w14:schemeClr w14:val="tx1"/>
            </w14:solidFill>
          </w14:textFill>
        </w:rPr>
        <w:t>2</w:t>
      </w:r>
      <w:r>
        <w:rPr>
          <w:rFonts w:hint="eastAsia"/>
          <w:color w:val="000000" w:themeColor="text1"/>
          <w14:textFill>
            <w14:solidFill>
              <w14:schemeClr w14:val="tx1"/>
            </w14:solidFill>
          </w14:textFill>
        </w:rPr>
        <w:t>监测1天，每天采样4次，PM</w:t>
      </w:r>
      <w:r>
        <w:rPr>
          <w:rFonts w:hint="eastAsia"/>
          <w:color w:val="000000" w:themeColor="text1"/>
          <w:vertAlign w:val="subscript"/>
          <w14:textFill>
            <w14:solidFill>
              <w14:schemeClr w14:val="tx1"/>
            </w14:solidFill>
          </w14:textFill>
        </w:rPr>
        <w:t>10</w:t>
      </w:r>
      <w:r>
        <w:rPr>
          <w:rFonts w:hint="eastAsia"/>
          <w:color w:val="000000" w:themeColor="text1"/>
          <w14:textFill>
            <w14:solidFill>
              <w14:schemeClr w14:val="tx1"/>
            </w14:solidFill>
          </w14:textFill>
        </w:rPr>
        <w:t>监测1天，每天采样1次，监测报告见附件20。</w:t>
      </w:r>
    </w:p>
    <w:p>
      <w:pPr>
        <w:pStyle w:val="283"/>
        <w:ind w:firstLine="462"/>
        <w:rPr>
          <w:color w:val="000000" w:themeColor="text1"/>
          <w14:textFill>
            <w14:solidFill>
              <w14:schemeClr w14:val="tx1"/>
            </w14:solidFill>
          </w14:textFill>
        </w:rPr>
      </w:pPr>
      <w:r>
        <w:rPr>
          <w:rFonts w:hint="eastAsia"/>
          <w:color w:val="000000" w:themeColor="text1"/>
          <w14:textFill>
            <w14:solidFill>
              <w14:schemeClr w14:val="tx1"/>
            </w14:solidFill>
          </w14:textFill>
        </w:rPr>
        <w:t>监测结果见表2.1-12由表可知，厂界各监测因子的1小时平均值评价指数均小于1，满足《大气污染物综合排放标准》（GB16297-1996）无组织排放限值要求。现有工程区域环境质量良好。</w:t>
      </w:r>
    </w:p>
    <w:p>
      <w:pPr>
        <w:pStyle w:val="384"/>
        <w:ind w:left="0" w:firstLine="0"/>
        <w:rPr>
          <w:rFonts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现有</w:t>
      </w:r>
      <w:r>
        <w:rPr>
          <w:rFonts w:cs="Times New Roman"/>
          <w:color w:val="000000" w:themeColor="text1"/>
          <w14:textFill>
            <w14:solidFill>
              <w14:schemeClr w14:val="tx1"/>
            </w14:solidFill>
          </w14:textFill>
        </w:rPr>
        <w:t>泊位</w:t>
      </w:r>
      <w:r>
        <w:rPr>
          <w:rFonts w:hint="eastAsia" w:cs="Times New Roman"/>
          <w:color w:val="000000" w:themeColor="text1"/>
          <w14:textFill>
            <w14:solidFill>
              <w14:schemeClr w14:val="tx1"/>
            </w14:solidFill>
          </w14:textFill>
        </w:rPr>
        <w:t>2024年例行</w:t>
      </w:r>
      <w:r>
        <w:rPr>
          <w:rFonts w:cs="Times New Roman"/>
          <w:color w:val="000000" w:themeColor="text1"/>
          <w14:textFill>
            <w14:solidFill>
              <w14:schemeClr w14:val="tx1"/>
            </w14:solidFill>
          </w14:textFill>
        </w:rPr>
        <w:t>环境空气监测与评价结果</w:t>
      </w:r>
    </w:p>
    <w:p>
      <w:pPr>
        <w:pStyle w:val="384"/>
        <w:numPr>
          <w:ilvl w:val="0"/>
          <w:numId w:val="0"/>
        </w:numPr>
        <w:jc w:val="right"/>
        <w:rPr>
          <w:rFonts w:cs="Times New Roman"/>
          <w:b w:val="0"/>
          <w:color w:val="000000" w:themeColor="text1"/>
          <w:vertAlign w:val="superscript"/>
          <w14:textFill>
            <w14:solidFill>
              <w14:schemeClr w14:val="tx1"/>
            </w14:solidFill>
          </w14:textFill>
        </w:rPr>
      </w:pPr>
      <w:r>
        <w:rPr>
          <w:rFonts w:cs="Times New Roman"/>
          <w:b w:val="0"/>
          <w:color w:val="000000" w:themeColor="text1"/>
          <w14:textFill>
            <w14:solidFill>
              <w14:schemeClr w14:val="tx1"/>
            </w14:solidFill>
          </w14:textFill>
        </w:rPr>
        <w:t>单位：</w:t>
      </w:r>
      <w:r>
        <w:rPr>
          <w:rFonts w:hint="eastAsia" w:cs="Times New Roman"/>
          <w:b w:val="0"/>
          <w:color w:val="000000" w:themeColor="text1"/>
          <w14:textFill>
            <w14:solidFill>
              <w14:schemeClr w14:val="tx1"/>
            </w14:solidFill>
          </w14:textFill>
        </w:rPr>
        <w:t>m</w:t>
      </w:r>
      <w:r>
        <w:rPr>
          <w:rFonts w:cs="Times New Roman"/>
          <w:b w:val="0"/>
          <w:color w:val="000000" w:themeColor="text1"/>
          <w14:textFill>
            <w14:solidFill>
              <w14:schemeClr w14:val="tx1"/>
            </w14:solidFill>
          </w14:textFill>
        </w:rPr>
        <w:t>g/m</w:t>
      </w:r>
      <w:r>
        <w:rPr>
          <w:rFonts w:cs="Times New Roman"/>
          <w:b w:val="0"/>
          <w:color w:val="000000" w:themeColor="text1"/>
          <w:vertAlign w:val="superscript"/>
          <w14:textFill>
            <w14:solidFill>
              <w14:schemeClr w14:val="tx1"/>
            </w14:solidFill>
          </w14:textFill>
        </w:rPr>
        <w:t>3</w:t>
      </w:r>
    </w:p>
    <w:p>
      <w:pPr>
        <w:pStyle w:val="6"/>
        <w:rPr>
          <w:color w:val="000000" w:themeColor="text1"/>
          <w14:textFill>
            <w14:solidFill>
              <w14:schemeClr w14:val="tx1"/>
            </w14:solidFill>
          </w14:textFill>
        </w:rPr>
      </w:pPr>
      <w:r>
        <w:rPr>
          <w:rFonts w:hint="eastAsia"/>
          <w:color w:val="000000" w:themeColor="text1"/>
          <w14:textFill>
            <w14:solidFill>
              <w14:schemeClr w14:val="tx1"/>
            </w14:solidFill>
          </w14:textFill>
        </w:rPr>
        <w:t>废水</w:t>
      </w:r>
    </w:p>
    <w:p>
      <w:pPr>
        <w:pStyle w:val="283"/>
        <w:ind w:firstLine="462"/>
        <w:rPr>
          <w:color w:val="000000" w:themeColor="text1"/>
          <w14:textFill>
            <w14:solidFill>
              <w14:schemeClr w14:val="tx1"/>
            </w14:solidFill>
          </w14:textFill>
        </w:rPr>
      </w:pPr>
      <w:r>
        <w:rPr>
          <w:rFonts w:hint="eastAsia"/>
          <w:color w:val="000000" w:themeColor="text1"/>
          <w14:textFill>
            <w14:solidFill>
              <w14:schemeClr w14:val="tx1"/>
            </w14:solidFill>
          </w14:textFill>
        </w:rPr>
        <w:t>1、生活污水</w:t>
      </w:r>
    </w:p>
    <w:p>
      <w:pPr>
        <w:pStyle w:val="283"/>
        <w:ind w:firstLine="462"/>
        <w:rPr>
          <w:color w:val="000000" w:themeColor="text1"/>
          <w14:textFill>
            <w14:solidFill>
              <w14:schemeClr w14:val="tx1"/>
            </w14:solidFill>
          </w14:textFill>
        </w:rPr>
      </w:pPr>
      <w:r>
        <w:rPr>
          <w:rFonts w:hint="eastAsia"/>
          <w:color w:val="000000" w:themeColor="text1"/>
          <w14:textFill>
            <w14:solidFill>
              <w14:schemeClr w14:val="tx1"/>
            </w14:solidFill>
          </w14:textFill>
        </w:rPr>
        <w:t>7号～</w:t>
      </w:r>
      <w:r>
        <w:rPr>
          <w:color w:val="000000" w:themeColor="text1"/>
          <w14:textFill>
            <w14:solidFill>
              <w14:schemeClr w14:val="tx1"/>
            </w14:solidFill>
          </w14:textFill>
        </w:rPr>
        <w:t>10</w:t>
      </w:r>
      <w:r>
        <w:rPr>
          <w:rFonts w:hint="eastAsia"/>
          <w:color w:val="000000" w:themeColor="text1"/>
          <w14:textFill>
            <w14:solidFill>
              <w14:schemeClr w14:val="tx1"/>
            </w14:solidFill>
          </w14:textFill>
        </w:rPr>
        <w:t>号泊位由同一家公司运营管理，生产生活设施位于7号8号泊位后方，9号1</w:t>
      </w:r>
      <w:r>
        <w:rPr>
          <w:color w:val="000000" w:themeColor="text1"/>
          <w14:textFill>
            <w14:solidFill>
              <w14:schemeClr w14:val="tx1"/>
            </w14:solidFill>
          </w14:textFill>
        </w:rPr>
        <w:t>0</w:t>
      </w:r>
      <w:r>
        <w:rPr>
          <w:rFonts w:hint="eastAsia"/>
          <w:color w:val="000000" w:themeColor="text1"/>
          <w14:textFill>
            <w14:solidFill>
              <w14:schemeClr w14:val="tx1"/>
            </w14:solidFill>
          </w14:textFill>
        </w:rPr>
        <w:t>号泊位后方无办公生活设施。</w:t>
      </w:r>
    </w:p>
    <w:p>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生活污水主要来源于码头范围内候工楼等区域设置的厕所生活污水，生活污水经收集至生活污水处理站预处理达到《污水排入城镇下水道水质标准》（GB/T31962-2015）B级标准后，进入大榄坪污水处理厂。</w:t>
      </w:r>
    </w:p>
    <w:p>
      <w:pPr>
        <w:pStyle w:val="283"/>
        <w:ind w:firstLine="462"/>
        <w:rPr>
          <w:color w:val="000000" w:themeColor="text1"/>
          <w14:textFill>
            <w14:solidFill>
              <w14:schemeClr w14:val="tx1"/>
            </w14:solidFill>
          </w14:textFill>
        </w:rPr>
      </w:pPr>
      <w:r>
        <w:rPr>
          <w:rFonts w:hint="eastAsia"/>
          <w:color w:val="000000" w:themeColor="text1"/>
          <w14:textFill>
            <w14:solidFill>
              <w14:schemeClr w14:val="tx1"/>
            </w14:solidFill>
          </w14:textFill>
        </w:rPr>
        <w:t>9号10号泊位劳动定员为192人，根据《海港总体设计规范》（JTS 165-2013），本项目无宿舍，用水量按候工室40</w:t>
      </w:r>
      <w:r>
        <w:rPr>
          <w:color w:val="000000" w:themeColor="text1"/>
          <w14:textFill>
            <w14:solidFill>
              <w14:schemeClr w14:val="tx1"/>
            </w14:solidFill>
          </w14:textFill>
        </w:rPr>
        <w:t>L/</w:t>
      </w:r>
      <w:r>
        <w:rPr>
          <w:rFonts w:hint="eastAsia"/>
          <w:color w:val="000000" w:themeColor="text1"/>
          <w14:textFill>
            <w14:solidFill>
              <w14:schemeClr w14:val="tx1"/>
            </w14:solidFill>
          </w14:textFill>
        </w:rPr>
        <w:t>人</w:t>
      </w:r>
      <w:r>
        <w:rPr>
          <w:color w:val="000000" w:themeColor="text1"/>
          <w14:textFill>
            <w14:solidFill>
              <w14:schemeClr w14:val="tx1"/>
            </w14:solidFill>
          </w14:textFill>
        </w:rPr>
        <w:t>·d</w:t>
      </w:r>
      <w:r>
        <w:rPr>
          <w:rFonts w:hint="eastAsia"/>
          <w:color w:val="000000" w:themeColor="text1"/>
          <w14:textFill>
            <w14:solidFill>
              <w14:schemeClr w14:val="tx1"/>
            </w14:solidFill>
          </w14:textFill>
        </w:rPr>
        <w:t>估算，根据《水运工程环境保护设计规范》</w:t>
      </w:r>
      <w:r>
        <w:rPr>
          <w:color w:val="000000" w:themeColor="text1"/>
          <w14:textFill>
            <w14:solidFill>
              <w14:schemeClr w14:val="tx1"/>
            </w14:solidFill>
          </w14:textFill>
        </w:rPr>
        <w:t>（JTS149-2018）</w:t>
      </w:r>
      <w:r>
        <w:rPr>
          <w:rFonts w:hint="eastAsia"/>
          <w:color w:val="000000" w:themeColor="text1"/>
          <w14:textFill>
            <w14:solidFill>
              <w14:schemeClr w14:val="tx1"/>
            </w14:solidFill>
          </w14:textFill>
        </w:rPr>
        <w:t>，陆域生活污水按生活用水量的80%计算，则陆域生活污水产生量</w:t>
      </w:r>
      <w:r>
        <w:rPr>
          <w:rFonts w:hint="eastAsia"/>
          <w:color w:val="000000" w:themeColor="text1"/>
          <w:kern w:val="2"/>
          <w14:textFill>
            <w14:solidFill>
              <w14:schemeClr w14:val="tx1"/>
            </w14:solidFill>
          </w14:textFill>
        </w:rPr>
        <w:t>约</w:t>
      </w:r>
      <w:r>
        <w:rPr>
          <w:rFonts w:hint="eastAsia"/>
          <w:color w:val="000000" w:themeColor="text1"/>
          <w14:textFill>
            <w14:solidFill>
              <w14:schemeClr w14:val="tx1"/>
            </w14:solidFill>
          </w14:textFill>
        </w:rPr>
        <w:t>6.14</w:t>
      </w:r>
      <w:r>
        <w:rPr>
          <w:color w:val="000000" w:themeColor="text1"/>
          <w:kern w:val="2"/>
          <w14:textFill>
            <w14:solidFill>
              <w14:schemeClr w14:val="tx1"/>
            </w14:solidFill>
          </w14:textFill>
        </w:rPr>
        <w:t>m</w:t>
      </w:r>
      <w:r>
        <w:rPr>
          <w:color w:val="000000" w:themeColor="text1"/>
          <w:kern w:val="2"/>
          <w:vertAlign w:val="superscript"/>
          <w14:textFill>
            <w14:solidFill>
              <w14:schemeClr w14:val="tx1"/>
            </w14:solidFill>
          </w14:textFill>
        </w:rPr>
        <w:t>3</w:t>
      </w:r>
      <w:r>
        <w:rPr>
          <w:color w:val="000000" w:themeColor="text1"/>
          <w:kern w:val="2"/>
          <w14:textFill>
            <w14:solidFill>
              <w14:schemeClr w14:val="tx1"/>
            </w14:solidFill>
          </w14:textFill>
        </w:rPr>
        <w:t>/d</w:t>
      </w:r>
      <w:r>
        <w:rPr>
          <w:rFonts w:hint="eastAsia"/>
          <w:color w:val="000000" w:themeColor="text1"/>
          <w14:textFill>
            <w14:solidFill>
              <w14:schemeClr w14:val="tx1"/>
            </w14:solidFill>
          </w14:textFill>
        </w:rPr>
        <w:t>，年生活污水产生量为2026.2t/a。生活污水经收集后泵送至生活污水处理站处理达到《污水排入城镇下水道水质标准》（GB/T31962-2015）B级标准后，进入大榄坪污水处理厂。港区生活污水产生量及污染物排放量见表2.1-12。</w:t>
      </w:r>
    </w:p>
    <w:p>
      <w:pPr>
        <w:pStyle w:val="384"/>
        <w:ind w:left="0" w:firstLine="0"/>
        <w:rPr>
          <w:rFonts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运营期生活污水产生情况表</w:t>
      </w:r>
    </w:p>
    <w:tbl>
      <w:tblPr>
        <w:tblStyle w:val="88"/>
        <w:tblW w:w="8528" w:type="dxa"/>
        <w:jc w:val="center"/>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653"/>
        <w:gridCol w:w="595"/>
        <w:gridCol w:w="767"/>
        <w:gridCol w:w="710"/>
        <w:gridCol w:w="1055"/>
        <w:gridCol w:w="879"/>
        <w:gridCol w:w="3869"/>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201" w:hRule="atLeast"/>
          <w:tblHeader/>
          <w:jc w:val="center"/>
        </w:trPr>
        <w:tc>
          <w:tcPr>
            <w:tcW w:w="653" w:type="dxa"/>
            <w:vMerge w:val="restart"/>
            <w:vAlign w:val="center"/>
          </w:tcPr>
          <w:p>
            <w:pPr>
              <w:snapToGrid w:val="0"/>
              <w:spacing w:line="280" w:lineRule="exact"/>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污染类别</w:t>
            </w:r>
          </w:p>
        </w:tc>
        <w:tc>
          <w:tcPr>
            <w:tcW w:w="1362" w:type="dxa"/>
            <w:gridSpan w:val="2"/>
            <w:vMerge w:val="restart"/>
            <w:vAlign w:val="center"/>
          </w:tcPr>
          <w:p>
            <w:pPr>
              <w:snapToGrid w:val="0"/>
              <w:spacing w:line="280" w:lineRule="exact"/>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产生量</w:t>
            </w:r>
          </w:p>
        </w:tc>
        <w:tc>
          <w:tcPr>
            <w:tcW w:w="710" w:type="dxa"/>
            <w:vMerge w:val="restart"/>
            <w:vAlign w:val="center"/>
          </w:tcPr>
          <w:p>
            <w:pPr>
              <w:snapToGrid w:val="0"/>
              <w:spacing w:line="280" w:lineRule="exact"/>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污染因子</w:t>
            </w:r>
          </w:p>
        </w:tc>
        <w:tc>
          <w:tcPr>
            <w:tcW w:w="1934" w:type="dxa"/>
            <w:gridSpan w:val="2"/>
            <w:vAlign w:val="center"/>
          </w:tcPr>
          <w:p>
            <w:pPr>
              <w:snapToGrid w:val="0"/>
              <w:spacing w:line="280" w:lineRule="exact"/>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排放情况</w:t>
            </w:r>
          </w:p>
        </w:tc>
        <w:tc>
          <w:tcPr>
            <w:tcW w:w="3869" w:type="dxa"/>
            <w:vMerge w:val="restart"/>
            <w:vAlign w:val="center"/>
          </w:tcPr>
          <w:p>
            <w:pPr>
              <w:snapToGrid w:val="0"/>
              <w:spacing w:line="280" w:lineRule="exact"/>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处理措施及去向</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34" w:hRule="atLeast"/>
          <w:tblHeader/>
          <w:jc w:val="center"/>
        </w:trPr>
        <w:tc>
          <w:tcPr>
            <w:tcW w:w="653" w:type="dxa"/>
            <w:vMerge w:val="continue"/>
            <w:vAlign w:val="center"/>
          </w:tcPr>
          <w:p>
            <w:pPr>
              <w:snapToGrid w:val="0"/>
              <w:spacing w:line="280" w:lineRule="exact"/>
              <w:jc w:val="center"/>
              <w:rPr>
                <w:color w:val="000000" w:themeColor="text1"/>
                <w:sz w:val="21"/>
                <w:szCs w:val="21"/>
                <w14:textFill>
                  <w14:solidFill>
                    <w14:schemeClr w14:val="tx1"/>
                  </w14:solidFill>
                </w14:textFill>
              </w:rPr>
            </w:pPr>
          </w:p>
        </w:tc>
        <w:tc>
          <w:tcPr>
            <w:tcW w:w="1362" w:type="dxa"/>
            <w:gridSpan w:val="2"/>
            <w:vMerge w:val="continue"/>
            <w:vAlign w:val="center"/>
          </w:tcPr>
          <w:p>
            <w:pPr>
              <w:snapToGrid w:val="0"/>
              <w:spacing w:line="280" w:lineRule="exact"/>
              <w:jc w:val="center"/>
              <w:rPr>
                <w:color w:val="000000" w:themeColor="text1"/>
                <w:sz w:val="21"/>
                <w:szCs w:val="21"/>
                <w14:textFill>
                  <w14:solidFill>
                    <w14:schemeClr w14:val="tx1"/>
                  </w14:solidFill>
                </w14:textFill>
              </w:rPr>
            </w:pPr>
          </w:p>
        </w:tc>
        <w:tc>
          <w:tcPr>
            <w:tcW w:w="710" w:type="dxa"/>
            <w:vMerge w:val="continue"/>
            <w:vAlign w:val="center"/>
          </w:tcPr>
          <w:p>
            <w:pPr>
              <w:snapToGrid w:val="0"/>
              <w:spacing w:line="280" w:lineRule="exact"/>
              <w:jc w:val="center"/>
              <w:rPr>
                <w:color w:val="000000" w:themeColor="text1"/>
                <w:sz w:val="21"/>
                <w:szCs w:val="21"/>
                <w14:textFill>
                  <w14:solidFill>
                    <w14:schemeClr w14:val="tx1"/>
                  </w14:solidFill>
                </w14:textFill>
              </w:rPr>
            </w:pPr>
          </w:p>
        </w:tc>
        <w:tc>
          <w:tcPr>
            <w:tcW w:w="1055" w:type="dxa"/>
            <w:vAlign w:val="center"/>
          </w:tcPr>
          <w:p>
            <w:pPr>
              <w:snapToGrid w:val="0"/>
              <w:spacing w:line="280" w:lineRule="exact"/>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排放浓度（mg/L）</w:t>
            </w:r>
          </w:p>
        </w:tc>
        <w:tc>
          <w:tcPr>
            <w:tcW w:w="879" w:type="dxa"/>
            <w:vAlign w:val="center"/>
          </w:tcPr>
          <w:p>
            <w:pPr>
              <w:snapToGrid w:val="0"/>
              <w:spacing w:line="280" w:lineRule="exact"/>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排放量（t/a）</w:t>
            </w:r>
          </w:p>
        </w:tc>
        <w:tc>
          <w:tcPr>
            <w:tcW w:w="3869" w:type="dxa"/>
            <w:vMerge w:val="continue"/>
            <w:vAlign w:val="center"/>
          </w:tcPr>
          <w:p>
            <w:pPr>
              <w:snapToGrid w:val="0"/>
              <w:spacing w:line="280" w:lineRule="exact"/>
              <w:jc w:val="center"/>
              <w:rPr>
                <w:color w:val="000000" w:themeColor="text1"/>
                <w:sz w:val="21"/>
                <w:szCs w:val="21"/>
                <w14:textFill>
                  <w14:solidFill>
                    <w14:schemeClr w14:val="tx1"/>
                  </w14:solidFill>
                </w14:textFill>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516" w:hRule="atLeast"/>
          <w:jc w:val="center"/>
        </w:trPr>
        <w:tc>
          <w:tcPr>
            <w:tcW w:w="653" w:type="dxa"/>
            <w:vMerge w:val="restart"/>
            <w:vAlign w:val="center"/>
          </w:tcPr>
          <w:p>
            <w:pPr>
              <w:snapToGrid w:val="0"/>
              <w:spacing w:line="280" w:lineRule="exact"/>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港区生活污水</w:t>
            </w:r>
          </w:p>
        </w:tc>
        <w:tc>
          <w:tcPr>
            <w:tcW w:w="595" w:type="dxa"/>
            <w:vMerge w:val="restart"/>
            <w:vAlign w:val="center"/>
          </w:tcPr>
          <w:p>
            <w:pPr>
              <w:snapToGrid w:val="0"/>
              <w:spacing w:line="280" w:lineRule="exact"/>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6.14</w:t>
            </w:r>
          </w:p>
          <w:p>
            <w:pPr>
              <w:snapToGrid w:val="0"/>
              <w:spacing w:line="280" w:lineRule="exact"/>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m</w:t>
            </w:r>
            <w:r>
              <w:rPr>
                <w:color w:val="000000" w:themeColor="text1"/>
                <w:sz w:val="21"/>
                <w:szCs w:val="21"/>
                <w:vertAlign w:val="superscript"/>
                <w14:textFill>
                  <w14:solidFill>
                    <w14:schemeClr w14:val="tx1"/>
                  </w14:solidFill>
                </w14:textFill>
              </w:rPr>
              <w:t>3</w:t>
            </w:r>
            <w:r>
              <w:rPr>
                <w:color w:val="000000" w:themeColor="text1"/>
                <w:sz w:val="21"/>
                <w:szCs w:val="21"/>
                <w14:textFill>
                  <w14:solidFill>
                    <w14:schemeClr w14:val="tx1"/>
                  </w14:solidFill>
                </w14:textFill>
              </w:rPr>
              <w:t>/d</w:t>
            </w:r>
          </w:p>
        </w:tc>
        <w:tc>
          <w:tcPr>
            <w:tcW w:w="767" w:type="dxa"/>
            <w:vMerge w:val="restart"/>
            <w:vAlign w:val="center"/>
          </w:tcPr>
          <w:p>
            <w:pPr>
              <w:snapToGrid w:val="0"/>
              <w:spacing w:line="280" w:lineRule="exact"/>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2026.2</w:t>
            </w:r>
          </w:p>
          <w:p>
            <w:pPr>
              <w:snapToGrid w:val="0"/>
              <w:spacing w:line="280" w:lineRule="exact"/>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t/a</w:t>
            </w:r>
          </w:p>
        </w:tc>
        <w:tc>
          <w:tcPr>
            <w:tcW w:w="710" w:type="dxa"/>
            <w:vAlign w:val="center"/>
          </w:tcPr>
          <w:p>
            <w:pPr>
              <w:snapToGrid w:val="0"/>
              <w:spacing w:line="280" w:lineRule="exact"/>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COD</w:t>
            </w:r>
          </w:p>
        </w:tc>
        <w:tc>
          <w:tcPr>
            <w:tcW w:w="1055" w:type="dxa"/>
            <w:vAlign w:val="center"/>
          </w:tcPr>
          <w:p>
            <w:pPr>
              <w:snapToGrid w:val="0"/>
              <w:spacing w:line="280" w:lineRule="exact"/>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500</w:t>
            </w:r>
          </w:p>
        </w:tc>
        <w:tc>
          <w:tcPr>
            <w:tcW w:w="879" w:type="dxa"/>
            <w:vAlign w:val="center"/>
          </w:tcPr>
          <w:p>
            <w:pPr>
              <w:snapToGrid w:val="0"/>
              <w:spacing w:line="280" w:lineRule="exact"/>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1.02</w:t>
            </w:r>
          </w:p>
        </w:tc>
        <w:tc>
          <w:tcPr>
            <w:tcW w:w="3869" w:type="dxa"/>
            <w:vMerge w:val="restart"/>
            <w:vAlign w:val="center"/>
          </w:tcPr>
          <w:p>
            <w:pPr>
              <w:snapToGrid w:val="0"/>
              <w:spacing w:line="280" w:lineRule="exact"/>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生活污水泵送至生活污水处理站处理，达到《污水排入城镇下水道水质标准》（GB/T31962-2015）B级标准，同时达到大榄坪污水处理厂进水水质标准后，进入大榄坪污水处理厂</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522" w:hRule="atLeast"/>
          <w:jc w:val="center"/>
        </w:trPr>
        <w:tc>
          <w:tcPr>
            <w:tcW w:w="653" w:type="dxa"/>
            <w:vMerge w:val="continue"/>
            <w:vAlign w:val="center"/>
          </w:tcPr>
          <w:p>
            <w:pPr>
              <w:snapToGrid w:val="0"/>
              <w:spacing w:line="280" w:lineRule="exact"/>
              <w:jc w:val="center"/>
              <w:rPr>
                <w:color w:val="000000" w:themeColor="text1"/>
                <w:sz w:val="21"/>
                <w:szCs w:val="21"/>
                <w14:textFill>
                  <w14:solidFill>
                    <w14:schemeClr w14:val="tx1"/>
                  </w14:solidFill>
                </w14:textFill>
              </w:rPr>
            </w:pPr>
          </w:p>
        </w:tc>
        <w:tc>
          <w:tcPr>
            <w:tcW w:w="595" w:type="dxa"/>
            <w:vMerge w:val="continue"/>
            <w:vAlign w:val="center"/>
          </w:tcPr>
          <w:p>
            <w:pPr>
              <w:snapToGrid w:val="0"/>
              <w:spacing w:line="280" w:lineRule="exact"/>
              <w:jc w:val="center"/>
              <w:rPr>
                <w:color w:val="000000" w:themeColor="text1"/>
                <w:sz w:val="21"/>
                <w:szCs w:val="21"/>
                <w14:textFill>
                  <w14:solidFill>
                    <w14:schemeClr w14:val="tx1"/>
                  </w14:solidFill>
                </w14:textFill>
              </w:rPr>
            </w:pPr>
          </w:p>
        </w:tc>
        <w:tc>
          <w:tcPr>
            <w:tcW w:w="767" w:type="dxa"/>
            <w:vMerge w:val="continue"/>
            <w:vAlign w:val="center"/>
          </w:tcPr>
          <w:p>
            <w:pPr>
              <w:snapToGrid w:val="0"/>
              <w:spacing w:line="280" w:lineRule="exact"/>
              <w:jc w:val="center"/>
              <w:rPr>
                <w:color w:val="000000" w:themeColor="text1"/>
                <w:sz w:val="21"/>
                <w:szCs w:val="21"/>
                <w14:textFill>
                  <w14:solidFill>
                    <w14:schemeClr w14:val="tx1"/>
                  </w14:solidFill>
                </w14:textFill>
              </w:rPr>
            </w:pPr>
          </w:p>
        </w:tc>
        <w:tc>
          <w:tcPr>
            <w:tcW w:w="710" w:type="dxa"/>
            <w:vAlign w:val="center"/>
          </w:tcPr>
          <w:p>
            <w:pPr>
              <w:pStyle w:val="3472"/>
              <w:wordWrap/>
              <w:snapToGrid w:val="0"/>
              <w:spacing w:line="280" w:lineRule="exact"/>
              <w:rPr>
                <w:color w:val="000000" w:themeColor="text1"/>
                <w:kern w:val="2"/>
                <w:szCs w:val="21"/>
                <w14:textFill>
                  <w14:solidFill>
                    <w14:schemeClr w14:val="tx1"/>
                  </w14:solidFill>
                </w14:textFill>
              </w:rPr>
            </w:pPr>
            <w:r>
              <w:rPr>
                <w:color w:val="000000" w:themeColor="text1"/>
                <w:kern w:val="2"/>
                <w:szCs w:val="21"/>
                <w14:textFill>
                  <w14:solidFill>
                    <w14:schemeClr w14:val="tx1"/>
                  </w14:solidFill>
                </w14:textFill>
              </w:rPr>
              <w:t>BOD</w:t>
            </w:r>
            <w:r>
              <w:rPr>
                <w:color w:val="000000" w:themeColor="text1"/>
                <w:kern w:val="2"/>
                <w:szCs w:val="21"/>
                <w:vertAlign w:val="subscript"/>
                <w14:textFill>
                  <w14:solidFill>
                    <w14:schemeClr w14:val="tx1"/>
                  </w14:solidFill>
                </w14:textFill>
              </w:rPr>
              <w:t>5</w:t>
            </w:r>
          </w:p>
        </w:tc>
        <w:tc>
          <w:tcPr>
            <w:tcW w:w="1055" w:type="dxa"/>
            <w:vAlign w:val="center"/>
          </w:tcPr>
          <w:p>
            <w:pPr>
              <w:pStyle w:val="3472"/>
              <w:wordWrap/>
              <w:snapToGrid w:val="0"/>
              <w:spacing w:line="280" w:lineRule="exact"/>
              <w:rPr>
                <w:color w:val="000000" w:themeColor="text1"/>
                <w:kern w:val="2"/>
                <w:szCs w:val="21"/>
                <w14:textFill>
                  <w14:solidFill>
                    <w14:schemeClr w14:val="tx1"/>
                  </w14:solidFill>
                </w14:textFill>
              </w:rPr>
            </w:pPr>
            <w:r>
              <w:rPr>
                <w:rFonts w:hint="eastAsia"/>
                <w:color w:val="000000" w:themeColor="text1"/>
                <w:kern w:val="2"/>
                <w:szCs w:val="21"/>
                <w14:textFill>
                  <w14:solidFill>
                    <w14:schemeClr w14:val="tx1"/>
                  </w14:solidFill>
                </w14:textFill>
              </w:rPr>
              <w:t>350</w:t>
            </w:r>
          </w:p>
        </w:tc>
        <w:tc>
          <w:tcPr>
            <w:tcW w:w="879" w:type="dxa"/>
            <w:vAlign w:val="center"/>
          </w:tcPr>
          <w:p>
            <w:pPr>
              <w:snapToGrid w:val="0"/>
              <w:spacing w:line="280" w:lineRule="exact"/>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0.70</w:t>
            </w:r>
          </w:p>
        </w:tc>
        <w:tc>
          <w:tcPr>
            <w:tcW w:w="3869" w:type="dxa"/>
            <w:vMerge w:val="continue"/>
            <w:vAlign w:val="center"/>
          </w:tcPr>
          <w:p>
            <w:pPr>
              <w:snapToGrid w:val="0"/>
              <w:spacing w:line="280" w:lineRule="exact"/>
              <w:jc w:val="center"/>
              <w:rPr>
                <w:color w:val="000000" w:themeColor="text1"/>
                <w:sz w:val="21"/>
                <w:szCs w:val="21"/>
                <w14:textFill>
                  <w14:solidFill>
                    <w14:schemeClr w14:val="tx1"/>
                  </w14:solidFill>
                </w14:textFill>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97" w:hRule="atLeast"/>
          <w:jc w:val="center"/>
        </w:trPr>
        <w:tc>
          <w:tcPr>
            <w:tcW w:w="653" w:type="dxa"/>
            <w:vMerge w:val="continue"/>
            <w:vAlign w:val="center"/>
          </w:tcPr>
          <w:p>
            <w:pPr>
              <w:snapToGrid w:val="0"/>
              <w:spacing w:line="280" w:lineRule="exact"/>
              <w:jc w:val="center"/>
              <w:rPr>
                <w:color w:val="000000" w:themeColor="text1"/>
                <w:sz w:val="21"/>
                <w:szCs w:val="21"/>
                <w14:textFill>
                  <w14:solidFill>
                    <w14:schemeClr w14:val="tx1"/>
                  </w14:solidFill>
                </w14:textFill>
              </w:rPr>
            </w:pPr>
          </w:p>
        </w:tc>
        <w:tc>
          <w:tcPr>
            <w:tcW w:w="595" w:type="dxa"/>
            <w:vMerge w:val="continue"/>
            <w:vAlign w:val="center"/>
          </w:tcPr>
          <w:p>
            <w:pPr>
              <w:snapToGrid w:val="0"/>
              <w:spacing w:line="280" w:lineRule="exact"/>
              <w:jc w:val="center"/>
              <w:rPr>
                <w:color w:val="000000" w:themeColor="text1"/>
                <w:sz w:val="21"/>
                <w:szCs w:val="21"/>
                <w14:textFill>
                  <w14:solidFill>
                    <w14:schemeClr w14:val="tx1"/>
                  </w14:solidFill>
                </w14:textFill>
              </w:rPr>
            </w:pPr>
          </w:p>
        </w:tc>
        <w:tc>
          <w:tcPr>
            <w:tcW w:w="767" w:type="dxa"/>
            <w:vMerge w:val="continue"/>
            <w:vAlign w:val="center"/>
          </w:tcPr>
          <w:p>
            <w:pPr>
              <w:snapToGrid w:val="0"/>
              <w:spacing w:line="280" w:lineRule="exact"/>
              <w:jc w:val="center"/>
              <w:rPr>
                <w:color w:val="000000" w:themeColor="text1"/>
                <w:sz w:val="21"/>
                <w:szCs w:val="21"/>
                <w14:textFill>
                  <w14:solidFill>
                    <w14:schemeClr w14:val="tx1"/>
                  </w14:solidFill>
                </w14:textFill>
              </w:rPr>
            </w:pPr>
          </w:p>
        </w:tc>
        <w:tc>
          <w:tcPr>
            <w:tcW w:w="710" w:type="dxa"/>
            <w:vAlign w:val="center"/>
          </w:tcPr>
          <w:p>
            <w:pPr>
              <w:pStyle w:val="3472"/>
              <w:wordWrap/>
              <w:snapToGrid w:val="0"/>
              <w:spacing w:line="280" w:lineRule="exact"/>
              <w:rPr>
                <w:color w:val="000000" w:themeColor="text1"/>
                <w:kern w:val="2"/>
                <w:szCs w:val="21"/>
                <w14:textFill>
                  <w14:solidFill>
                    <w14:schemeClr w14:val="tx1"/>
                  </w14:solidFill>
                </w14:textFill>
              </w:rPr>
            </w:pPr>
            <w:r>
              <w:rPr>
                <w:rFonts w:hint="eastAsia"/>
                <w:color w:val="000000" w:themeColor="text1"/>
                <w:kern w:val="2"/>
                <w:szCs w:val="21"/>
                <w14:textFill>
                  <w14:solidFill>
                    <w14:schemeClr w14:val="tx1"/>
                  </w14:solidFill>
                </w14:textFill>
              </w:rPr>
              <w:t>氨氮</w:t>
            </w:r>
          </w:p>
        </w:tc>
        <w:tc>
          <w:tcPr>
            <w:tcW w:w="1055" w:type="dxa"/>
            <w:vAlign w:val="center"/>
          </w:tcPr>
          <w:p>
            <w:pPr>
              <w:pStyle w:val="3472"/>
              <w:wordWrap/>
              <w:snapToGrid w:val="0"/>
              <w:spacing w:line="280" w:lineRule="exact"/>
              <w:rPr>
                <w:color w:val="000000" w:themeColor="text1"/>
                <w:kern w:val="2"/>
                <w:szCs w:val="21"/>
                <w14:textFill>
                  <w14:solidFill>
                    <w14:schemeClr w14:val="tx1"/>
                  </w14:solidFill>
                </w14:textFill>
              </w:rPr>
            </w:pPr>
            <w:r>
              <w:rPr>
                <w:rFonts w:hint="eastAsia"/>
                <w:color w:val="000000" w:themeColor="text1"/>
                <w:kern w:val="2"/>
                <w:szCs w:val="21"/>
                <w14:textFill>
                  <w14:solidFill>
                    <w14:schemeClr w14:val="tx1"/>
                  </w14:solidFill>
                </w14:textFill>
              </w:rPr>
              <w:t>45</w:t>
            </w:r>
          </w:p>
        </w:tc>
        <w:tc>
          <w:tcPr>
            <w:tcW w:w="879" w:type="dxa"/>
            <w:vAlign w:val="center"/>
          </w:tcPr>
          <w:p>
            <w:pPr>
              <w:snapToGrid w:val="0"/>
              <w:spacing w:line="280" w:lineRule="exact"/>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0.11</w:t>
            </w:r>
          </w:p>
        </w:tc>
        <w:tc>
          <w:tcPr>
            <w:tcW w:w="3869" w:type="dxa"/>
            <w:vMerge w:val="continue"/>
            <w:vAlign w:val="center"/>
          </w:tcPr>
          <w:p>
            <w:pPr>
              <w:snapToGrid w:val="0"/>
              <w:spacing w:line="280" w:lineRule="exact"/>
              <w:jc w:val="center"/>
              <w:rPr>
                <w:color w:val="000000" w:themeColor="text1"/>
                <w:sz w:val="21"/>
                <w:szCs w:val="21"/>
                <w14:textFill>
                  <w14:solidFill>
                    <w14:schemeClr w14:val="tx1"/>
                  </w14:solidFill>
                </w14:textFill>
              </w:rPr>
            </w:pPr>
          </w:p>
        </w:tc>
      </w:tr>
    </w:tbl>
    <w:p>
      <w:pPr>
        <w:pStyle w:val="283"/>
        <w:ind w:firstLine="462"/>
        <w:rPr>
          <w:color w:val="000000" w:themeColor="text1"/>
          <w14:textFill>
            <w14:solidFill>
              <w14:schemeClr w14:val="tx1"/>
            </w14:solidFill>
          </w14:textFill>
        </w:rPr>
      </w:pPr>
      <w:r>
        <w:rPr>
          <w:rFonts w:hint="eastAsia"/>
          <w:color w:val="000000" w:themeColor="text1"/>
          <w14:textFill>
            <w14:solidFill>
              <w14:schemeClr w14:val="tx1"/>
            </w14:solidFill>
          </w14:textFill>
        </w:rPr>
        <w:t>2、生产废水</w:t>
      </w:r>
    </w:p>
    <w:p>
      <w:pPr>
        <w:pStyle w:val="283"/>
        <w:ind w:firstLine="462"/>
        <w:rPr>
          <w:color w:val="000000" w:themeColor="text1"/>
          <w14:textFill>
            <w14:solidFill>
              <w14:schemeClr w14:val="tx1"/>
            </w14:solidFill>
          </w14:textFill>
        </w:rPr>
      </w:pPr>
      <w:r>
        <w:rPr>
          <w:rFonts w:hint="eastAsia"/>
          <w:color w:val="000000" w:themeColor="text1"/>
          <w14:textFill>
            <w14:solidFill>
              <w14:schemeClr w14:val="tx1"/>
            </w14:solidFill>
          </w14:textFill>
        </w:rPr>
        <w:t>目前</w:t>
      </w:r>
      <w:r>
        <w:rPr>
          <w:color w:val="000000" w:themeColor="text1"/>
          <w14:textFill>
            <w14:solidFill>
              <w14:schemeClr w14:val="tx1"/>
            </w14:solidFill>
          </w14:textFill>
        </w:rPr>
        <w:t>港区不接收船舶污水</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运营期仅提供集装箱的存放和转运业务</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无开箱业务</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无洗箱作业工艺</w:t>
      </w:r>
      <w:r>
        <w:rPr>
          <w:rFonts w:hint="eastAsia"/>
          <w:color w:val="000000" w:themeColor="text1"/>
          <w14:textFill>
            <w14:solidFill>
              <w14:schemeClr w14:val="tx1"/>
            </w14:solidFill>
          </w14:textFill>
        </w:rPr>
        <w:t>及洗箱废水产生。项目厂区范围内不设置车辆、船舶维修点和机修冲洗车间，维修、机修及智能引导运输IGV小车冲洗均产生于7号8号泊位后方机修间内进行，项目不产生生产废水。</w:t>
      </w:r>
    </w:p>
    <w:p>
      <w:pPr>
        <w:tabs>
          <w:tab w:val="left" w:pos="960"/>
        </w:tabs>
        <w:snapToGrid w:val="0"/>
        <w:ind w:firstLine="482"/>
        <w:rPr>
          <w:b/>
          <w:color w:val="000000" w:themeColor="text1"/>
          <w14:textFill>
            <w14:solidFill>
              <w14:schemeClr w14:val="tx1"/>
            </w14:solidFill>
          </w14:textFill>
        </w:rPr>
      </w:pPr>
      <w:r>
        <w:rPr>
          <w:rFonts w:hint="eastAsia"/>
          <w:b/>
          <w:color w:val="000000" w:themeColor="text1"/>
          <w14:textFill>
            <w14:solidFill>
              <w14:schemeClr w14:val="tx1"/>
            </w14:solidFill>
          </w14:textFill>
        </w:rPr>
        <w:t>3、船舶污水</w:t>
      </w:r>
    </w:p>
    <w:p>
      <w:pPr>
        <w:pStyle w:val="283"/>
        <w:ind w:firstLine="462"/>
        <w:rPr>
          <w:color w:val="000000" w:themeColor="text1"/>
          <w14:textFill>
            <w14:solidFill>
              <w14:schemeClr w14:val="tx1"/>
            </w14:solidFill>
          </w14:textFill>
        </w:rPr>
      </w:pPr>
      <w:r>
        <w:rPr>
          <w:rFonts w:hint="eastAsia"/>
          <w:color w:val="000000" w:themeColor="text1"/>
          <w14:textFill>
            <w14:solidFill>
              <w14:schemeClr w14:val="tx1"/>
            </w14:solidFill>
          </w14:textFill>
        </w:rPr>
        <w:t>本工程不接收处理船舶生活污水、船舶压载水、船舶舱底油污水。船舶进港靠泊后，由钦州市桂通船舶服务有限公司、广西鑫丰海洋科技环保有限公司从码头前沿派环保船或者车辆接收运走船舶生活污水、船舶舱底油污水处理，船舶污染物接收协议见图2.1-13。</w:t>
      </w:r>
    </w:p>
    <w:p>
      <w:pPr>
        <w:pStyle w:val="283"/>
        <w:ind w:firstLine="462"/>
        <w:rPr>
          <w:color w:val="000000" w:themeColor="text1"/>
          <w14:textFill>
            <w14:solidFill>
              <w14:schemeClr w14:val="tx1"/>
            </w14:solidFill>
          </w14:textFill>
        </w:rPr>
      </w:pPr>
      <w:r>
        <w:rPr>
          <w:rFonts w:hint="eastAsia"/>
          <w:color w:val="000000" w:themeColor="text1"/>
          <w14:textFill>
            <w14:solidFill>
              <w14:schemeClr w14:val="tx1"/>
            </w14:solidFill>
          </w14:textFill>
        </w:rPr>
        <w:t>4、船舶压载水</w:t>
      </w:r>
    </w:p>
    <w:p>
      <w:pPr>
        <w:pStyle w:val="283"/>
        <w:ind w:firstLine="462"/>
        <w:rPr>
          <w:color w:val="000000" w:themeColor="text1"/>
          <w14:textFill>
            <w14:solidFill>
              <w14:schemeClr w14:val="tx1"/>
            </w14:solidFill>
          </w14:textFill>
        </w:rPr>
      </w:pPr>
      <w:r>
        <w:rPr>
          <w:rFonts w:hint="eastAsia"/>
          <w:color w:val="000000" w:themeColor="text1"/>
          <w14:textFill>
            <w14:solidFill>
              <w14:schemeClr w14:val="tx1"/>
            </w14:solidFill>
          </w14:textFill>
        </w:rPr>
        <w:t>船舶压载水应在航行中排放或在航行中完成深海置换，进入钦州港区内不排放。</w:t>
      </w:r>
    </w:p>
    <w:tbl>
      <w:tblPr>
        <w:tblStyle w:val="88"/>
        <w:tblW w:w="8528" w:type="dxa"/>
        <w:jc w:val="center"/>
        <w:tblInd w:w="0" w:type="dxa"/>
        <w:tblLayout w:type="fixed"/>
        <w:tblCellMar>
          <w:top w:w="0" w:type="dxa"/>
          <w:left w:w="108" w:type="dxa"/>
          <w:bottom w:w="0" w:type="dxa"/>
          <w:right w:w="108" w:type="dxa"/>
        </w:tblCellMar>
      </w:tblPr>
      <w:tblGrid>
        <w:gridCol w:w="8528"/>
      </w:tblGrid>
      <w:tr>
        <w:tblPrEx>
          <w:tblLayout w:type="fixed"/>
          <w:tblCellMar>
            <w:top w:w="0" w:type="dxa"/>
            <w:left w:w="108" w:type="dxa"/>
            <w:bottom w:w="0" w:type="dxa"/>
            <w:right w:w="108" w:type="dxa"/>
          </w:tblCellMar>
        </w:tblPrEx>
        <w:trPr>
          <w:trHeight w:val="397" w:hRule="atLeast"/>
          <w:jc w:val="center"/>
        </w:trPr>
        <w:tc>
          <w:tcPr>
            <w:tcW w:w="8528" w:type="dxa"/>
            <w:vAlign w:val="center"/>
          </w:tcPr>
          <w:p>
            <w:pPr>
              <w:snapToGrid w:val="0"/>
              <w:spacing w:line="280" w:lineRule="exact"/>
              <w:jc w:val="center"/>
              <w:rPr>
                <w:color w:val="000000" w:themeColor="text1"/>
                <w:sz w:val="21"/>
                <w:szCs w:val="21"/>
                <w14:textFill>
                  <w14:solidFill>
                    <w14:schemeClr w14:val="tx1"/>
                  </w14:solidFill>
                </w14:textFill>
              </w:rPr>
            </w:pPr>
          </w:p>
        </w:tc>
      </w:tr>
      <w:tr>
        <w:tblPrEx>
          <w:tblLayout w:type="fixed"/>
          <w:tblCellMar>
            <w:top w:w="0" w:type="dxa"/>
            <w:left w:w="108" w:type="dxa"/>
            <w:bottom w:w="0" w:type="dxa"/>
            <w:right w:w="108" w:type="dxa"/>
          </w:tblCellMar>
        </w:tblPrEx>
        <w:trPr>
          <w:trHeight w:val="397" w:hRule="atLeast"/>
          <w:jc w:val="center"/>
        </w:trPr>
        <w:tc>
          <w:tcPr>
            <w:tcW w:w="8528" w:type="dxa"/>
            <w:vAlign w:val="center"/>
          </w:tcPr>
          <w:p>
            <w:pPr>
              <w:snapToGrid w:val="0"/>
              <w:spacing w:line="280" w:lineRule="exact"/>
              <w:jc w:val="center"/>
              <w:rPr>
                <w:color w:val="000000" w:themeColor="text1"/>
                <w14:textFill>
                  <w14:solidFill>
                    <w14:schemeClr w14:val="tx1"/>
                  </w14:solidFill>
                </w14:textFill>
              </w:rPr>
            </w:pPr>
          </w:p>
        </w:tc>
      </w:tr>
      <w:tr>
        <w:tblPrEx>
          <w:tblLayout w:type="fixed"/>
          <w:tblCellMar>
            <w:top w:w="0" w:type="dxa"/>
            <w:left w:w="108" w:type="dxa"/>
            <w:bottom w:w="0" w:type="dxa"/>
            <w:right w:w="108" w:type="dxa"/>
          </w:tblCellMar>
        </w:tblPrEx>
        <w:trPr>
          <w:trHeight w:val="397" w:hRule="atLeast"/>
          <w:jc w:val="center"/>
        </w:trPr>
        <w:tc>
          <w:tcPr>
            <w:tcW w:w="8528" w:type="dxa"/>
            <w:vAlign w:val="center"/>
          </w:tcPr>
          <w:p>
            <w:pPr>
              <w:pStyle w:val="553"/>
              <w:rPr>
                <w:color w:val="000000" w:themeColor="text1"/>
                <w14:textFill>
                  <w14:solidFill>
                    <w14:schemeClr w14:val="tx1"/>
                  </w14:solidFill>
                </w14:textFill>
              </w:rPr>
            </w:pPr>
            <w:r>
              <w:rPr>
                <w:color w:val="000000" w:themeColor="text1"/>
                <w14:textFill>
                  <w14:solidFill>
                    <w14:schemeClr w14:val="tx1"/>
                  </w14:solidFill>
                </w14:textFill>
              </w:rPr>
              <w:t>到港船舶污染</w:t>
            </w:r>
            <w:r>
              <w:rPr>
                <w:rFonts w:hint="eastAsia"/>
                <w:color w:val="000000" w:themeColor="text1"/>
                <w14:textFill>
                  <w14:solidFill>
                    <w14:schemeClr w14:val="tx1"/>
                  </w14:solidFill>
                </w14:textFill>
              </w:rPr>
              <w:t>接收</w:t>
            </w:r>
            <w:r>
              <w:rPr>
                <w:color w:val="000000" w:themeColor="text1"/>
                <w14:textFill>
                  <w14:solidFill>
                    <w14:schemeClr w14:val="tx1"/>
                  </w14:solidFill>
                </w14:textFill>
              </w:rPr>
              <w:t>协议</w:t>
            </w:r>
          </w:p>
        </w:tc>
      </w:tr>
    </w:tbl>
    <w:p>
      <w:pPr>
        <w:pStyle w:val="6"/>
        <w:rPr>
          <w:color w:val="000000" w:themeColor="text1"/>
          <w14:textFill>
            <w14:solidFill>
              <w14:schemeClr w14:val="tx1"/>
            </w14:solidFill>
          </w14:textFill>
        </w:rPr>
      </w:pPr>
      <w:r>
        <w:rPr>
          <w:rFonts w:hint="eastAsia"/>
          <w:color w:val="000000" w:themeColor="text1"/>
          <w14:textFill>
            <w14:solidFill>
              <w14:schemeClr w14:val="tx1"/>
            </w14:solidFill>
          </w14:textFill>
        </w:rPr>
        <w:t>噪声</w:t>
      </w:r>
    </w:p>
    <w:p>
      <w:pPr>
        <w:pStyle w:val="283"/>
        <w:ind w:firstLine="462"/>
        <w:rPr>
          <w:color w:val="000000" w:themeColor="text1"/>
          <w14:textFill>
            <w14:solidFill>
              <w14:schemeClr w14:val="tx1"/>
            </w14:solidFill>
          </w14:textFill>
        </w:rPr>
      </w:pPr>
      <w:r>
        <w:rPr>
          <w:color w:val="000000" w:themeColor="text1"/>
          <w14:textFill>
            <w14:solidFill>
              <w14:schemeClr w14:val="tx1"/>
            </w14:solidFill>
          </w14:textFill>
        </w:rPr>
        <w:t>项目区现状噪声源主要为船舶噪声</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装卸设备运行机械噪声</w:t>
      </w:r>
      <w:r>
        <w:rPr>
          <w:rFonts w:hint="eastAsia"/>
          <w:color w:val="000000" w:themeColor="text1"/>
          <w14:textFill>
            <w14:solidFill>
              <w14:schemeClr w14:val="tx1"/>
            </w14:solidFill>
          </w14:textFill>
        </w:rPr>
        <w:t>，根据项目环保验收监测，</w:t>
      </w:r>
      <w:r>
        <w:rPr>
          <w:color w:val="000000" w:themeColor="text1"/>
          <w14:textFill>
            <w14:solidFill>
              <w14:schemeClr w14:val="tx1"/>
            </w14:solidFill>
          </w14:textFill>
        </w:rPr>
        <w:t>项目厂界噪声监测点昼夜间监测值均满足验收标准《工业企业厂界环境噪声排放标准》（GB12348-2008）3类标准限值要求。</w:t>
      </w:r>
    </w:p>
    <w:p>
      <w:pPr>
        <w:pStyle w:val="6"/>
        <w:rPr>
          <w:color w:val="000000" w:themeColor="text1"/>
          <w14:textFill>
            <w14:solidFill>
              <w14:schemeClr w14:val="tx1"/>
            </w14:solidFill>
          </w14:textFill>
        </w:rPr>
      </w:pPr>
      <w:r>
        <w:rPr>
          <w:rFonts w:hint="eastAsia"/>
          <w:color w:val="000000" w:themeColor="text1"/>
          <w14:textFill>
            <w14:solidFill>
              <w14:schemeClr w14:val="tx1"/>
            </w14:solidFill>
          </w14:textFill>
        </w:rPr>
        <w:t>固体废物</w:t>
      </w:r>
    </w:p>
    <w:p>
      <w:pPr>
        <w:pStyle w:val="283"/>
        <w:ind w:firstLine="462"/>
        <w:rPr>
          <w:color w:val="000000" w:themeColor="text1"/>
          <w14:textFill>
            <w14:solidFill>
              <w14:schemeClr w14:val="tx1"/>
            </w14:solidFill>
          </w14:textFill>
        </w:rPr>
      </w:pPr>
      <w:r>
        <w:rPr>
          <w:color w:val="000000" w:themeColor="text1"/>
          <w14:textFill>
            <w14:solidFill>
              <w14:schemeClr w14:val="tx1"/>
            </w14:solidFill>
          </w14:textFill>
        </w:rPr>
        <w:t>港区办公、装卸及运输设备保养等均</w:t>
      </w:r>
      <w:r>
        <w:rPr>
          <w:rFonts w:hint="eastAsia"/>
          <w:color w:val="000000" w:themeColor="text1"/>
          <w14:textFill>
            <w14:solidFill>
              <w14:schemeClr w14:val="tx1"/>
            </w14:solidFill>
          </w14:textFill>
        </w:rPr>
        <w:t>发生</w:t>
      </w:r>
      <w:r>
        <w:rPr>
          <w:color w:val="000000" w:themeColor="text1"/>
          <w14:textFill>
            <w14:solidFill>
              <w14:schemeClr w14:val="tx1"/>
            </w14:solidFill>
          </w14:textFill>
        </w:rPr>
        <w:t>于</w:t>
      </w:r>
      <w:r>
        <w:rPr>
          <w:rFonts w:hint="eastAsia"/>
          <w:color w:val="000000" w:themeColor="text1"/>
          <w14:textFill>
            <w14:solidFill>
              <w14:schemeClr w14:val="tx1"/>
            </w14:solidFill>
          </w14:textFill>
        </w:rPr>
        <w:t>7#、8#泊位后方辅建区，本项目无危险废物产生。</w:t>
      </w:r>
      <w:r>
        <w:rPr>
          <w:color w:val="000000" w:themeColor="text1"/>
          <w14:textFill>
            <w14:solidFill>
              <w14:schemeClr w14:val="tx1"/>
            </w14:solidFill>
          </w14:textFill>
        </w:rPr>
        <w:t>项目产生的固体废物主要是港区生活垃圾和船舶垃圾</w:t>
      </w:r>
      <w:r>
        <w:rPr>
          <w:rFonts w:hint="eastAsia"/>
          <w:color w:val="000000" w:themeColor="text1"/>
          <w14:textFill>
            <w14:solidFill>
              <w14:schemeClr w14:val="tx1"/>
            </w14:solidFill>
          </w14:textFill>
        </w:rPr>
        <w:t>。</w:t>
      </w:r>
    </w:p>
    <w:p>
      <w:pPr>
        <w:pStyle w:val="283"/>
        <w:ind w:firstLine="462"/>
        <w:rPr>
          <w:color w:val="000000" w:themeColor="text1"/>
          <w14:textFill>
            <w14:solidFill>
              <w14:schemeClr w14:val="tx1"/>
            </w14:solidFill>
          </w14:textFill>
        </w:rPr>
      </w:pPr>
      <w:r>
        <w:rPr>
          <w:rFonts w:hint="eastAsia"/>
          <w:color w:val="000000" w:themeColor="text1"/>
          <w14:textFill>
            <w14:solidFill>
              <w14:schemeClr w14:val="tx1"/>
            </w14:solidFill>
          </w14:textFill>
        </w:rPr>
        <w:t>1、港区生活垃圾</w:t>
      </w:r>
    </w:p>
    <w:p>
      <w:pPr>
        <w:pStyle w:val="283"/>
        <w:ind w:firstLine="462"/>
        <w:rPr>
          <w:color w:val="000000" w:themeColor="text1"/>
          <w14:textFill>
            <w14:solidFill>
              <w14:schemeClr w14:val="tx1"/>
            </w14:solidFill>
          </w14:textFill>
        </w:rPr>
      </w:pPr>
      <w:r>
        <w:rPr>
          <w:rFonts w:hint="eastAsia"/>
          <w:color w:val="000000" w:themeColor="text1"/>
          <w14:textFill>
            <w14:solidFill>
              <w14:schemeClr w14:val="tx1"/>
            </w14:solidFill>
          </w14:textFill>
        </w:rPr>
        <w:t>港区设置了多个垃圾桶，9号10号泊位劳动定员为192人，工作期间生活垃圾产生量按1.0</w:t>
      </w:r>
      <w:r>
        <w:rPr>
          <w:color w:val="000000" w:themeColor="text1"/>
          <w14:textFill>
            <w14:solidFill>
              <w14:schemeClr w14:val="tx1"/>
            </w14:solidFill>
          </w14:textFill>
        </w:rPr>
        <w:t>kg/</w:t>
      </w:r>
      <w:r>
        <w:rPr>
          <w:rFonts w:hint="eastAsia"/>
          <w:color w:val="000000" w:themeColor="text1"/>
          <w14:textFill>
            <w14:solidFill>
              <w14:schemeClr w14:val="tx1"/>
            </w14:solidFill>
          </w14:textFill>
        </w:rPr>
        <w:t>天人计算，产生量为192</w:t>
      </w:r>
      <w:r>
        <w:rPr>
          <w:color w:val="000000" w:themeColor="text1"/>
          <w14:textFill>
            <w14:solidFill>
              <w14:schemeClr w14:val="tx1"/>
            </w14:solidFill>
          </w14:textFill>
        </w:rPr>
        <w:t>kg/d</w:t>
      </w:r>
      <w:r>
        <w:rPr>
          <w:rFonts w:hint="eastAsia"/>
          <w:color w:val="000000" w:themeColor="text1"/>
          <w14:textFill>
            <w14:solidFill>
              <w14:schemeClr w14:val="tx1"/>
            </w14:solidFill>
          </w14:textFill>
        </w:rPr>
        <w:t xml:space="preserve">，年生活垃圾产生量约63.36 </w:t>
      </w:r>
      <w:r>
        <w:rPr>
          <w:color w:val="000000" w:themeColor="text1"/>
          <w14:textFill>
            <w14:solidFill>
              <w14:schemeClr w14:val="tx1"/>
            </w14:solidFill>
          </w14:textFill>
        </w:rPr>
        <w:t>t/a</w:t>
      </w:r>
      <w:r>
        <w:rPr>
          <w:rFonts w:hint="eastAsia"/>
          <w:color w:val="000000" w:themeColor="text1"/>
          <w14:textFill>
            <w14:solidFill>
              <w14:schemeClr w14:val="tx1"/>
            </w14:solidFill>
          </w14:textFill>
        </w:rPr>
        <w:t>，收集后生活垃圾集中堆放在7号8号泊位后方的垃圾中转站内，再由钦州港环卫部门上门清运处理。</w:t>
      </w:r>
    </w:p>
    <w:tbl>
      <w:tblPr>
        <w:tblStyle w:val="89"/>
        <w:tblW w:w="852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52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8528" w:type="dxa"/>
            <w:tcBorders>
              <w:top w:val="nil"/>
              <w:left w:val="nil"/>
              <w:bottom w:val="nil"/>
              <w:right w:val="nil"/>
            </w:tcBorders>
            <w:vAlign w:val="center"/>
          </w:tcPr>
          <w:p>
            <w:pPr>
              <w:pStyle w:val="283"/>
              <w:ind w:firstLine="462"/>
              <w:rPr>
                <w:color w:val="000000" w:themeColor="text1"/>
                <w14:textFill>
                  <w14:solidFill>
                    <w14:schemeClr w14:val="tx1"/>
                  </w14:solidFill>
                </w14:textFill>
              </w:rPr>
            </w:pPr>
            <w:r>
              <w:rPr>
                <w:color w:val="000000" w:themeColor="text1"/>
                <w14:textFill>
                  <w14:solidFill>
                    <w14:schemeClr w14:val="tx1"/>
                  </w14:solidFill>
                </w14:textFill>
              </w:rPr>
              <w:drawing>
                <wp:inline distT="0" distB="0" distL="0" distR="0">
                  <wp:extent cx="4092575" cy="2827020"/>
                  <wp:effectExtent l="0" t="0" r="3175" b="0"/>
                  <wp:docPr id="24" name="图片 24" descr="D:\微信自动保存的目录\WeChat Files\wxid_96w7hlvwg67f21\FileStorage\Temp\16977135383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D:\微信自动保存的目录\WeChat Files\wxid_96w7hlvwg67f21\FileStorage\Temp\1697713538318.pn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a:xfrm>
                            <a:off x="0" y="0"/>
                            <a:ext cx="4093200" cy="2827037"/>
                          </a:xfrm>
                          <a:prstGeom prst="rect">
                            <a:avLst/>
                          </a:prstGeom>
                          <a:noFill/>
                          <a:ln>
                            <a:noFill/>
                          </a:ln>
                        </pic:spPr>
                      </pic:pic>
                    </a:graphicData>
                  </a:graphic>
                </wp:inline>
              </w:drawing>
            </w:r>
          </w:p>
          <w:p>
            <w:pPr>
              <w:pStyle w:val="553"/>
              <w:rPr>
                <w:color w:val="000000" w:themeColor="text1"/>
                <w14:textFill>
                  <w14:solidFill>
                    <w14:schemeClr w14:val="tx1"/>
                  </w14:solidFill>
                </w14:textFill>
              </w:rPr>
            </w:pPr>
            <w:r>
              <w:rPr>
                <w:rFonts w:hint="eastAsia"/>
                <w:color w:val="000000" w:themeColor="text1"/>
                <w14:textFill>
                  <w14:solidFill>
                    <w14:schemeClr w14:val="tx1"/>
                  </w14:solidFill>
                </w14:textFill>
              </w:rPr>
              <w:t>7号8号泊位生活垃圾转运站</w:t>
            </w:r>
          </w:p>
        </w:tc>
      </w:tr>
    </w:tbl>
    <w:p>
      <w:pPr>
        <w:pStyle w:val="283"/>
        <w:ind w:firstLine="462"/>
        <w:rPr>
          <w:color w:val="000000" w:themeColor="text1"/>
          <w14:textFill>
            <w14:solidFill>
              <w14:schemeClr w14:val="tx1"/>
            </w14:solidFill>
          </w14:textFill>
        </w:rPr>
      </w:pPr>
      <w:r>
        <w:rPr>
          <w:rFonts w:hint="eastAsia"/>
          <w:color w:val="000000" w:themeColor="text1"/>
          <w14:textFill>
            <w14:solidFill>
              <w14:schemeClr w14:val="tx1"/>
            </w14:solidFill>
          </w14:textFill>
        </w:rPr>
        <w:t>2、船舶垃圾</w:t>
      </w:r>
    </w:p>
    <w:p>
      <w:pPr>
        <w:pStyle w:val="283"/>
        <w:ind w:firstLine="462"/>
        <w:rPr>
          <w:color w:val="000000" w:themeColor="text1"/>
          <w14:textFill>
            <w14:solidFill>
              <w14:schemeClr w14:val="tx1"/>
            </w14:solidFill>
          </w14:textFill>
        </w:rPr>
      </w:pPr>
      <w:r>
        <w:rPr>
          <w:rFonts w:hint="eastAsia"/>
          <w:color w:val="000000" w:themeColor="text1"/>
          <w14:textFill>
            <w14:solidFill>
              <w14:schemeClr w14:val="tx1"/>
            </w14:solidFill>
          </w14:textFill>
        </w:rPr>
        <w:t>船舶垃圾由建设单位委托钦州市桂通船舶服务有限公司、广西鑫丰海洋科技环保有限公司直接清运，船舶污染物接收协议见图2.1-13，船舶垃圾不在港区存放。</w:t>
      </w:r>
    </w:p>
    <w:p>
      <w:pPr>
        <w:pStyle w:val="6"/>
        <w:rPr>
          <w:color w:val="000000" w:themeColor="text1"/>
          <w14:textFill>
            <w14:solidFill>
              <w14:schemeClr w14:val="tx1"/>
            </w14:solidFill>
          </w14:textFill>
        </w:rPr>
      </w:pPr>
      <w:r>
        <w:rPr>
          <w:rFonts w:hint="eastAsia"/>
          <w:color w:val="000000" w:themeColor="text1"/>
          <w14:textFill>
            <w14:solidFill>
              <w14:schemeClr w14:val="tx1"/>
            </w14:solidFill>
          </w14:textFill>
        </w:rPr>
        <w:t>企业排污许可情况</w:t>
      </w:r>
    </w:p>
    <w:p>
      <w:pPr>
        <w:pStyle w:val="283"/>
        <w:ind w:firstLine="462"/>
        <w:rPr>
          <w:color w:val="000000" w:themeColor="text1"/>
          <w14:textFill>
            <w14:solidFill>
              <w14:schemeClr w14:val="tx1"/>
            </w14:solidFill>
          </w14:textFill>
        </w:rPr>
      </w:pPr>
      <w:r>
        <w:rPr>
          <w:rFonts w:hint="eastAsia"/>
          <w:color w:val="000000" w:themeColor="text1"/>
          <w14:textFill>
            <w14:solidFill>
              <w14:schemeClr w14:val="tx1"/>
            </w14:solidFill>
          </w14:textFill>
        </w:rPr>
        <w:t>根据现有9号10号泊位运营单位固定污染源排污登记表（附件15），现有工程无燃料使用；无废气排放口；生活污水处理系统采用厌氧生物处理法，设置1处间接排放口排放至大榄坪污水处理厂；无工业固体废物。</w:t>
      </w:r>
    </w:p>
    <w:p>
      <w:pPr>
        <w:pStyle w:val="6"/>
        <w:rPr>
          <w:color w:val="000000" w:themeColor="text1"/>
          <w14:textFill>
            <w14:solidFill>
              <w14:schemeClr w14:val="tx1"/>
            </w14:solidFill>
          </w14:textFill>
        </w:rPr>
      </w:pPr>
      <w:r>
        <w:rPr>
          <w:rFonts w:hint="eastAsia"/>
          <w:color w:val="000000" w:themeColor="text1"/>
          <w14:textFill>
            <w14:solidFill>
              <w14:schemeClr w14:val="tx1"/>
            </w14:solidFill>
          </w14:textFill>
        </w:rPr>
        <w:t>现有码头产排污汇总</w:t>
      </w:r>
    </w:p>
    <w:p>
      <w:pPr>
        <w:pStyle w:val="283"/>
        <w:ind w:firstLine="462"/>
        <w:rPr>
          <w:color w:val="000000" w:themeColor="text1"/>
          <w14:textFill>
            <w14:solidFill>
              <w14:schemeClr w14:val="tx1"/>
            </w14:solidFill>
          </w14:textFill>
        </w:rPr>
      </w:pPr>
      <w:r>
        <w:rPr>
          <w:color w:val="000000" w:themeColor="text1"/>
          <w14:textFill>
            <w14:solidFill>
              <w14:schemeClr w14:val="tx1"/>
            </w14:solidFill>
          </w14:textFill>
        </w:rPr>
        <w:t>现有</w:t>
      </w:r>
      <w:r>
        <w:rPr>
          <w:rFonts w:hint="eastAsia"/>
          <w:color w:val="000000" w:themeColor="text1"/>
          <w14:textFill>
            <w14:solidFill>
              <w14:schemeClr w14:val="tx1"/>
            </w14:solidFill>
          </w14:textFill>
        </w:rPr>
        <w:t>9号10号码头排污量汇总见表2.1-13。</w:t>
      </w:r>
    </w:p>
    <w:p>
      <w:pPr>
        <w:pStyle w:val="283"/>
        <w:ind w:firstLine="462"/>
        <w:rPr>
          <w:color w:val="000000" w:themeColor="text1"/>
          <w14:textFill>
            <w14:solidFill>
              <w14:schemeClr w14:val="tx1"/>
            </w14:solidFill>
          </w14:textFill>
        </w:rPr>
      </w:pPr>
    </w:p>
    <w:p>
      <w:pPr>
        <w:pStyle w:val="283"/>
        <w:ind w:firstLine="462"/>
        <w:rPr>
          <w:color w:val="000000" w:themeColor="text1"/>
          <w14:textFill>
            <w14:solidFill>
              <w14:schemeClr w14:val="tx1"/>
            </w14:solidFill>
          </w14:textFill>
        </w:rPr>
      </w:pPr>
    </w:p>
    <w:p>
      <w:pPr>
        <w:pStyle w:val="384"/>
        <w:ind w:left="0" w:firstLine="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现有</w:t>
      </w:r>
      <w:r>
        <w:rPr>
          <w:rFonts w:hint="eastAsia" w:cs="Times New Roman"/>
          <w:color w:val="000000" w:themeColor="text1"/>
          <w14:textFill>
            <w14:solidFill>
              <w14:schemeClr w14:val="tx1"/>
            </w14:solidFill>
          </w14:textFill>
        </w:rPr>
        <w:t>9号10号码头排污量汇总表</w:t>
      </w:r>
    </w:p>
    <w:tbl>
      <w:tblPr>
        <w:tblStyle w:val="88"/>
        <w:tblW w:w="8341" w:type="dxa"/>
        <w:jc w:val="center"/>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6" w:type="dxa"/>
          <w:bottom w:w="0" w:type="dxa"/>
          <w:right w:w="6" w:type="dxa"/>
        </w:tblCellMar>
      </w:tblPr>
      <w:tblGrid>
        <w:gridCol w:w="329"/>
        <w:gridCol w:w="1398"/>
        <w:gridCol w:w="847"/>
        <w:gridCol w:w="986"/>
        <w:gridCol w:w="1136"/>
        <w:gridCol w:w="854"/>
        <w:gridCol w:w="2791"/>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6" w:type="dxa"/>
            <w:bottom w:w="0" w:type="dxa"/>
            <w:right w:w="6" w:type="dxa"/>
          </w:tblCellMar>
        </w:tblPrEx>
        <w:trPr>
          <w:tblHeader/>
          <w:jc w:val="center"/>
        </w:trPr>
        <w:tc>
          <w:tcPr>
            <w:tcW w:w="329" w:type="dxa"/>
            <w:vMerge w:val="restart"/>
            <w:vAlign w:val="center"/>
          </w:tcPr>
          <w:p>
            <w:pPr>
              <w:widowControl/>
              <w:jc w:val="center"/>
              <w:rPr>
                <w:b/>
                <w:color w:val="000000" w:themeColor="text1"/>
                <w:kern w:val="0"/>
                <w:sz w:val="21"/>
                <w:szCs w:val="21"/>
                <w14:textFill>
                  <w14:solidFill>
                    <w14:schemeClr w14:val="tx1"/>
                  </w14:solidFill>
                </w14:textFill>
              </w:rPr>
            </w:pPr>
            <w:r>
              <w:rPr>
                <w:b/>
                <w:color w:val="000000" w:themeColor="text1"/>
                <w:kern w:val="0"/>
                <w:sz w:val="21"/>
                <w:szCs w:val="21"/>
                <w14:textFill>
                  <w14:solidFill>
                    <w14:schemeClr w14:val="tx1"/>
                  </w14:solidFill>
                </w14:textFill>
              </w:rPr>
              <w:t>类别</w:t>
            </w:r>
          </w:p>
        </w:tc>
        <w:tc>
          <w:tcPr>
            <w:tcW w:w="1398" w:type="dxa"/>
            <w:vMerge w:val="restart"/>
            <w:vAlign w:val="center"/>
          </w:tcPr>
          <w:p>
            <w:pPr>
              <w:widowControl/>
              <w:jc w:val="center"/>
              <w:rPr>
                <w:b/>
                <w:color w:val="000000" w:themeColor="text1"/>
                <w:kern w:val="0"/>
                <w:sz w:val="21"/>
                <w:szCs w:val="21"/>
                <w14:textFill>
                  <w14:solidFill>
                    <w14:schemeClr w14:val="tx1"/>
                  </w14:solidFill>
                </w14:textFill>
              </w:rPr>
            </w:pPr>
            <w:r>
              <w:rPr>
                <w:b/>
                <w:color w:val="000000" w:themeColor="text1"/>
                <w:kern w:val="0"/>
                <w:sz w:val="21"/>
                <w:szCs w:val="21"/>
                <w14:textFill>
                  <w14:solidFill>
                    <w14:schemeClr w14:val="tx1"/>
                  </w14:solidFill>
                </w14:textFill>
              </w:rPr>
              <w:t>污染源</w:t>
            </w:r>
          </w:p>
        </w:tc>
        <w:tc>
          <w:tcPr>
            <w:tcW w:w="847" w:type="dxa"/>
            <w:vMerge w:val="restart"/>
            <w:vAlign w:val="center"/>
          </w:tcPr>
          <w:p>
            <w:pPr>
              <w:widowControl/>
              <w:jc w:val="center"/>
              <w:rPr>
                <w:b/>
                <w:color w:val="000000" w:themeColor="text1"/>
                <w:kern w:val="0"/>
                <w:sz w:val="21"/>
                <w:szCs w:val="21"/>
                <w14:textFill>
                  <w14:solidFill>
                    <w14:schemeClr w14:val="tx1"/>
                  </w14:solidFill>
                </w14:textFill>
              </w:rPr>
            </w:pPr>
            <w:r>
              <w:rPr>
                <w:b/>
                <w:color w:val="000000" w:themeColor="text1"/>
                <w:kern w:val="0"/>
                <w:sz w:val="21"/>
                <w:szCs w:val="21"/>
                <w14:textFill>
                  <w14:solidFill>
                    <w14:schemeClr w14:val="tx1"/>
                  </w14:solidFill>
                </w14:textFill>
              </w:rPr>
              <w:t>年排放量</w:t>
            </w:r>
            <w:r>
              <w:rPr>
                <w:rFonts w:hint="eastAsia"/>
                <w:b/>
                <w:color w:val="000000" w:themeColor="text1"/>
                <w:kern w:val="0"/>
                <w:sz w:val="21"/>
                <w:szCs w:val="21"/>
                <w14:textFill>
                  <w14:solidFill>
                    <w14:schemeClr w14:val="tx1"/>
                  </w14:solidFill>
                </w14:textFill>
              </w:rPr>
              <w:t>t</w:t>
            </w:r>
            <w:r>
              <w:rPr>
                <w:b/>
                <w:color w:val="000000" w:themeColor="text1"/>
                <w:kern w:val="0"/>
                <w:sz w:val="21"/>
                <w:szCs w:val="21"/>
                <w14:textFill>
                  <w14:solidFill>
                    <w14:schemeClr w14:val="tx1"/>
                  </w14:solidFill>
                </w14:textFill>
              </w:rPr>
              <w:t>/a</w:t>
            </w:r>
          </w:p>
        </w:tc>
        <w:tc>
          <w:tcPr>
            <w:tcW w:w="2976" w:type="dxa"/>
            <w:gridSpan w:val="3"/>
            <w:vAlign w:val="center"/>
          </w:tcPr>
          <w:p>
            <w:pPr>
              <w:widowControl/>
              <w:jc w:val="center"/>
              <w:rPr>
                <w:b/>
                <w:color w:val="000000" w:themeColor="text1"/>
                <w:kern w:val="0"/>
                <w:sz w:val="21"/>
                <w:szCs w:val="21"/>
                <w14:textFill>
                  <w14:solidFill>
                    <w14:schemeClr w14:val="tx1"/>
                  </w14:solidFill>
                </w14:textFill>
              </w:rPr>
            </w:pPr>
            <w:r>
              <w:rPr>
                <w:b/>
                <w:color w:val="000000" w:themeColor="text1"/>
                <w:kern w:val="0"/>
                <w:sz w:val="21"/>
                <w:szCs w:val="21"/>
                <w14:textFill>
                  <w14:solidFill>
                    <w14:schemeClr w14:val="tx1"/>
                  </w14:solidFill>
                </w14:textFill>
              </w:rPr>
              <w:t>主要污染物</w:t>
            </w:r>
          </w:p>
        </w:tc>
        <w:tc>
          <w:tcPr>
            <w:tcW w:w="2791" w:type="dxa"/>
            <w:vMerge w:val="restart"/>
            <w:vAlign w:val="center"/>
          </w:tcPr>
          <w:p>
            <w:pPr>
              <w:widowControl/>
              <w:jc w:val="center"/>
              <w:rPr>
                <w:b/>
                <w:color w:val="000000" w:themeColor="text1"/>
                <w:kern w:val="0"/>
                <w:sz w:val="21"/>
                <w:szCs w:val="21"/>
                <w14:textFill>
                  <w14:solidFill>
                    <w14:schemeClr w14:val="tx1"/>
                  </w14:solidFill>
                </w14:textFill>
              </w:rPr>
            </w:pPr>
            <w:r>
              <w:rPr>
                <w:b/>
                <w:color w:val="000000" w:themeColor="text1"/>
                <w:kern w:val="0"/>
                <w:sz w:val="21"/>
                <w:szCs w:val="21"/>
                <w14:textFill>
                  <w14:solidFill>
                    <w14:schemeClr w14:val="tx1"/>
                  </w14:solidFill>
                </w14:textFill>
              </w:rPr>
              <w:t>排放去向</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6" w:type="dxa"/>
            <w:bottom w:w="0" w:type="dxa"/>
            <w:right w:w="6" w:type="dxa"/>
          </w:tblCellMar>
        </w:tblPrEx>
        <w:trPr>
          <w:tblHeader/>
          <w:jc w:val="center"/>
        </w:trPr>
        <w:tc>
          <w:tcPr>
            <w:tcW w:w="329" w:type="dxa"/>
            <w:vMerge w:val="continue"/>
            <w:vAlign w:val="center"/>
          </w:tcPr>
          <w:p>
            <w:pPr>
              <w:widowControl/>
              <w:jc w:val="center"/>
              <w:rPr>
                <w:b/>
                <w:color w:val="000000" w:themeColor="text1"/>
                <w:kern w:val="0"/>
                <w:sz w:val="21"/>
                <w:szCs w:val="21"/>
                <w14:textFill>
                  <w14:solidFill>
                    <w14:schemeClr w14:val="tx1"/>
                  </w14:solidFill>
                </w14:textFill>
              </w:rPr>
            </w:pPr>
          </w:p>
        </w:tc>
        <w:tc>
          <w:tcPr>
            <w:tcW w:w="1398" w:type="dxa"/>
            <w:vMerge w:val="continue"/>
            <w:vAlign w:val="center"/>
          </w:tcPr>
          <w:p>
            <w:pPr>
              <w:widowControl/>
              <w:jc w:val="center"/>
              <w:rPr>
                <w:b/>
                <w:color w:val="000000" w:themeColor="text1"/>
                <w:kern w:val="0"/>
                <w:sz w:val="21"/>
                <w:szCs w:val="21"/>
                <w14:textFill>
                  <w14:solidFill>
                    <w14:schemeClr w14:val="tx1"/>
                  </w14:solidFill>
                </w14:textFill>
              </w:rPr>
            </w:pPr>
          </w:p>
        </w:tc>
        <w:tc>
          <w:tcPr>
            <w:tcW w:w="847" w:type="dxa"/>
            <w:vMerge w:val="continue"/>
            <w:vAlign w:val="center"/>
          </w:tcPr>
          <w:p>
            <w:pPr>
              <w:widowControl/>
              <w:jc w:val="center"/>
              <w:rPr>
                <w:b/>
                <w:color w:val="000000" w:themeColor="text1"/>
                <w:kern w:val="0"/>
                <w:sz w:val="21"/>
                <w:szCs w:val="21"/>
                <w14:textFill>
                  <w14:solidFill>
                    <w14:schemeClr w14:val="tx1"/>
                  </w14:solidFill>
                </w14:textFill>
              </w:rPr>
            </w:pPr>
          </w:p>
        </w:tc>
        <w:tc>
          <w:tcPr>
            <w:tcW w:w="986" w:type="dxa"/>
            <w:vAlign w:val="center"/>
          </w:tcPr>
          <w:p>
            <w:pPr>
              <w:widowControl/>
              <w:jc w:val="center"/>
              <w:rPr>
                <w:b/>
                <w:color w:val="000000" w:themeColor="text1"/>
                <w:kern w:val="0"/>
                <w:sz w:val="21"/>
                <w:szCs w:val="21"/>
                <w14:textFill>
                  <w14:solidFill>
                    <w14:schemeClr w14:val="tx1"/>
                  </w14:solidFill>
                </w14:textFill>
              </w:rPr>
            </w:pPr>
            <w:r>
              <w:rPr>
                <w:b/>
                <w:color w:val="000000" w:themeColor="text1"/>
                <w:kern w:val="0"/>
                <w:sz w:val="21"/>
                <w:szCs w:val="21"/>
                <w14:textFill>
                  <w14:solidFill>
                    <w14:schemeClr w14:val="tx1"/>
                  </w14:solidFill>
                </w14:textFill>
              </w:rPr>
              <w:t>污染因子</w:t>
            </w:r>
          </w:p>
        </w:tc>
        <w:tc>
          <w:tcPr>
            <w:tcW w:w="1136" w:type="dxa"/>
            <w:vAlign w:val="center"/>
          </w:tcPr>
          <w:p>
            <w:pPr>
              <w:widowControl/>
              <w:jc w:val="center"/>
              <w:rPr>
                <w:b/>
                <w:color w:val="000000" w:themeColor="text1"/>
                <w:kern w:val="0"/>
                <w:sz w:val="21"/>
                <w:szCs w:val="21"/>
                <w14:textFill>
                  <w14:solidFill>
                    <w14:schemeClr w14:val="tx1"/>
                  </w14:solidFill>
                </w14:textFill>
              </w:rPr>
            </w:pPr>
            <w:r>
              <w:rPr>
                <w:b/>
                <w:color w:val="000000" w:themeColor="text1"/>
                <w:kern w:val="0"/>
                <w:sz w:val="21"/>
                <w:szCs w:val="21"/>
                <w14:textFill>
                  <w14:solidFill>
                    <w14:schemeClr w14:val="tx1"/>
                  </w14:solidFill>
                </w14:textFill>
              </w:rPr>
              <w:t>排放浓度</w:t>
            </w:r>
          </w:p>
          <w:p>
            <w:pPr>
              <w:widowControl/>
              <w:jc w:val="center"/>
              <w:rPr>
                <w:b/>
                <w:color w:val="000000" w:themeColor="text1"/>
                <w:kern w:val="0"/>
                <w:sz w:val="21"/>
                <w:szCs w:val="21"/>
                <w14:textFill>
                  <w14:solidFill>
                    <w14:schemeClr w14:val="tx1"/>
                  </w14:solidFill>
                </w14:textFill>
              </w:rPr>
            </w:pPr>
            <w:r>
              <w:rPr>
                <w:rFonts w:hint="eastAsia"/>
                <w:b/>
                <w:color w:val="000000" w:themeColor="text1"/>
                <w:kern w:val="0"/>
                <w:sz w:val="21"/>
                <w:szCs w:val="21"/>
                <w14:textFill>
                  <w14:solidFill>
                    <w14:schemeClr w14:val="tx1"/>
                  </w14:solidFill>
                </w14:textFill>
              </w:rPr>
              <w:t>(</w:t>
            </w:r>
            <w:r>
              <w:rPr>
                <w:b/>
                <w:color w:val="000000" w:themeColor="text1"/>
                <w:kern w:val="0"/>
                <w:sz w:val="21"/>
                <w:szCs w:val="21"/>
                <w14:textFill>
                  <w14:solidFill>
                    <w14:schemeClr w14:val="tx1"/>
                  </w14:solidFill>
                </w14:textFill>
              </w:rPr>
              <w:t>mg/</w:t>
            </w:r>
            <w:r>
              <w:rPr>
                <w:rFonts w:hint="eastAsia"/>
                <w:b/>
                <w:color w:val="000000" w:themeColor="text1"/>
                <w:kern w:val="0"/>
                <w:sz w:val="21"/>
                <w:szCs w:val="21"/>
                <w14:textFill>
                  <w14:solidFill>
                    <w14:schemeClr w14:val="tx1"/>
                  </w14:solidFill>
                </w14:textFill>
              </w:rPr>
              <w:t>L)</w:t>
            </w:r>
          </w:p>
        </w:tc>
        <w:tc>
          <w:tcPr>
            <w:tcW w:w="854" w:type="dxa"/>
            <w:vAlign w:val="center"/>
          </w:tcPr>
          <w:p>
            <w:pPr>
              <w:widowControl/>
              <w:jc w:val="center"/>
              <w:rPr>
                <w:b/>
                <w:color w:val="000000" w:themeColor="text1"/>
                <w:kern w:val="0"/>
                <w:sz w:val="21"/>
                <w:szCs w:val="21"/>
                <w14:textFill>
                  <w14:solidFill>
                    <w14:schemeClr w14:val="tx1"/>
                  </w14:solidFill>
                </w14:textFill>
              </w:rPr>
            </w:pPr>
            <w:r>
              <w:rPr>
                <w:b/>
                <w:color w:val="000000" w:themeColor="text1"/>
                <w:kern w:val="0"/>
                <w:sz w:val="21"/>
                <w:szCs w:val="21"/>
                <w14:textFill>
                  <w14:solidFill>
                    <w14:schemeClr w14:val="tx1"/>
                  </w14:solidFill>
                </w14:textFill>
              </w:rPr>
              <w:t>排放量</w:t>
            </w:r>
          </w:p>
        </w:tc>
        <w:tc>
          <w:tcPr>
            <w:tcW w:w="2791" w:type="dxa"/>
            <w:vMerge w:val="continue"/>
            <w:vAlign w:val="center"/>
          </w:tcPr>
          <w:p>
            <w:pPr>
              <w:widowControl/>
              <w:jc w:val="center"/>
              <w:rPr>
                <w:color w:val="000000" w:themeColor="text1"/>
                <w:kern w:val="0"/>
                <w:sz w:val="21"/>
                <w:szCs w:val="21"/>
                <w14:textFill>
                  <w14:solidFill>
                    <w14:schemeClr w14:val="tx1"/>
                  </w14:solidFill>
                </w14:textFill>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6" w:type="dxa"/>
            <w:bottom w:w="0" w:type="dxa"/>
            <w:right w:w="6" w:type="dxa"/>
          </w:tblCellMar>
        </w:tblPrEx>
        <w:trPr>
          <w:trHeight w:val="363" w:hRule="atLeast"/>
          <w:jc w:val="center"/>
        </w:trPr>
        <w:tc>
          <w:tcPr>
            <w:tcW w:w="329" w:type="dxa"/>
            <w:vMerge w:val="restart"/>
            <w:vAlign w:val="center"/>
          </w:tcPr>
          <w:p>
            <w:pPr>
              <w:widowControl/>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废水</w:t>
            </w:r>
          </w:p>
        </w:tc>
        <w:tc>
          <w:tcPr>
            <w:tcW w:w="1398" w:type="dxa"/>
            <w:vMerge w:val="restart"/>
            <w:vAlign w:val="center"/>
          </w:tcPr>
          <w:p>
            <w:pPr>
              <w:widowControl/>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陆域</w:t>
            </w:r>
            <w:r>
              <w:rPr>
                <w:color w:val="000000" w:themeColor="text1"/>
                <w:kern w:val="0"/>
                <w:sz w:val="21"/>
                <w:szCs w:val="21"/>
                <w14:textFill>
                  <w14:solidFill>
                    <w14:schemeClr w14:val="tx1"/>
                  </w14:solidFill>
                </w14:textFill>
              </w:rPr>
              <w:t>生活污水</w:t>
            </w:r>
          </w:p>
        </w:tc>
        <w:tc>
          <w:tcPr>
            <w:tcW w:w="847" w:type="dxa"/>
            <w:vMerge w:val="restart"/>
            <w:vAlign w:val="center"/>
          </w:tcPr>
          <w:p>
            <w:pPr>
              <w:widowControl/>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2534.4</w:t>
            </w:r>
          </w:p>
        </w:tc>
        <w:tc>
          <w:tcPr>
            <w:tcW w:w="986" w:type="dxa"/>
            <w:vAlign w:val="center"/>
          </w:tcPr>
          <w:p>
            <w:pPr>
              <w:widowControl/>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COD</w:t>
            </w:r>
          </w:p>
        </w:tc>
        <w:tc>
          <w:tcPr>
            <w:tcW w:w="1136" w:type="dxa"/>
            <w:vAlign w:val="center"/>
          </w:tcPr>
          <w:p>
            <w:pPr>
              <w:snapToGrid w:val="0"/>
              <w:spacing w:line="280" w:lineRule="exact"/>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500</w:t>
            </w:r>
          </w:p>
        </w:tc>
        <w:tc>
          <w:tcPr>
            <w:tcW w:w="854" w:type="dxa"/>
            <w:vAlign w:val="center"/>
          </w:tcPr>
          <w:p>
            <w:pPr>
              <w:snapToGrid w:val="0"/>
              <w:spacing w:line="280" w:lineRule="exact"/>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1.02 t/a</w:t>
            </w:r>
          </w:p>
        </w:tc>
        <w:tc>
          <w:tcPr>
            <w:tcW w:w="2791" w:type="dxa"/>
            <w:vMerge w:val="restart"/>
            <w:vAlign w:val="center"/>
          </w:tcPr>
          <w:p>
            <w:pPr>
              <w:widowControl/>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泵吸至生活污水处理站预处理后进入大榄坪污水处理厂</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6" w:type="dxa"/>
            <w:bottom w:w="0" w:type="dxa"/>
            <w:right w:w="6" w:type="dxa"/>
          </w:tblCellMar>
        </w:tblPrEx>
        <w:trPr>
          <w:trHeight w:val="279" w:hRule="atLeast"/>
          <w:jc w:val="center"/>
        </w:trPr>
        <w:tc>
          <w:tcPr>
            <w:tcW w:w="329" w:type="dxa"/>
            <w:vMerge w:val="continue"/>
            <w:vAlign w:val="center"/>
          </w:tcPr>
          <w:p>
            <w:pPr>
              <w:widowControl/>
              <w:jc w:val="center"/>
              <w:rPr>
                <w:color w:val="000000" w:themeColor="text1"/>
                <w:kern w:val="0"/>
                <w:sz w:val="21"/>
                <w:szCs w:val="21"/>
                <w14:textFill>
                  <w14:solidFill>
                    <w14:schemeClr w14:val="tx1"/>
                  </w14:solidFill>
                </w14:textFill>
              </w:rPr>
            </w:pPr>
          </w:p>
        </w:tc>
        <w:tc>
          <w:tcPr>
            <w:tcW w:w="1398" w:type="dxa"/>
            <w:vMerge w:val="continue"/>
            <w:vAlign w:val="center"/>
          </w:tcPr>
          <w:p>
            <w:pPr>
              <w:widowControl/>
              <w:jc w:val="center"/>
              <w:rPr>
                <w:color w:val="000000" w:themeColor="text1"/>
                <w:kern w:val="0"/>
                <w:sz w:val="21"/>
                <w:szCs w:val="21"/>
                <w14:textFill>
                  <w14:solidFill>
                    <w14:schemeClr w14:val="tx1"/>
                  </w14:solidFill>
                </w14:textFill>
              </w:rPr>
            </w:pPr>
          </w:p>
        </w:tc>
        <w:tc>
          <w:tcPr>
            <w:tcW w:w="847" w:type="dxa"/>
            <w:vMerge w:val="continue"/>
            <w:vAlign w:val="center"/>
          </w:tcPr>
          <w:p>
            <w:pPr>
              <w:widowControl/>
              <w:jc w:val="center"/>
              <w:rPr>
                <w:color w:val="000000" w:themeColor="text1"/>
                <w:kern w:val="0"/>
                <w:sz w:val="21"/>
                <w:szCs w:val="21"/>
                <w14:textFill>
                  <w14:solidFill>
                    <w14:schemeClr w14:val="tx1"/>
                  </w14:solidFill>
                </w14:textFill>
              </w:rPr>
            </w:pPr>
          </w:p>
        </w:tc>
        <w:tc>
          <w:tcPr>
            <w:tcW w:w="986" w:type="dxa"/>
            <w:vAlign w:val="center"/>
          </w:tcPr>
          <w:p>
            <w:pPr>
              <w:widowControl/>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BOD</w:t>
            </w:r>
            <w:r>
              <w:rPr>
                <w:color w:val="000000" w:themeColor="text1"/>
                <w:kern w:val="0"/>
                <w:sz w:val="21"/>
                <w:szCs w:val="21"/>
                <w:vertAlign w:val="subscript"/>
                <w14:textFill>
                  <w14:solidFill>
                    <w14:schemeClr w14:val="tx1"/>
                  </w14:solidFill>
                </w14:textFill>
              </w:rPr>
              <w:t>5</w:t>
            </w:r>
          </w:p>
        </w:tc>
        <w:tc>
          <w:tcPr>
            <w:tcW w:w="1136" w:type="dxa"/>
            <w:vAlign w:val="center"/>
          </w:tcPr>
          <w:p>
            <w:pPr>
              <w:pStyle w:val="3472"/>
              <w:wordWrap/>
              <w:snapToGrid w:val="0"/>
              <w:spacing w:line="280" w:lineRule="exact"/>
              <w:rPr>
                <w:color w:val="000000" w:themeColor="text1"/>
                <w:kern w:val="2"/>
                <w:szCs w:val="21"/>
                <w14:textFill>
                  <w14:solidFill>
                    <w14:schemeClr w14:val="tx1"/>
                  </w14:solidFill>
                </w14:textFill>
              </w:rPr>
            </w:pPr>
            <w:r>
              <w:rPr>
                <w:rFonts w:hint="eastAsia"/>
                <w:color w:val="000000" w:themeColor="text1"/>
                <w:kern w:val="2"/>
                <w:szCs w:val="21"/>
                <w14:textFill>
                  <w14:solidFill>
                    <w14:schemeClr w14:val="tx1"/>
                  </w14:solidFill>
                </w14:textFill>
              </w:rPr>
              <w:t>350</w:t>
            </w:r>
          </w:p>
        </w:tc>
        <w:tc>
          <w:tcPr>
            <w:tcW w:w="854" w:type="dxa"/>
            <w:vAlign w:val="center"/>
          </w:tcPr>
          <w:p>
            <w:pPr>
              <w:snapToGrid w:val="0"/>
              <w:spacing w:line="280" w:lineRule="exact"/>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0.70 t/a</w:t>
            </w:r>
          </w:p>
        </w:tc>
        <w:tc>
          <w:tcPr>
            <w:tcW w:w="2791" w:type="dxa"/>
            <w:vMerge w:val="continue"/>
            <w:vAlign w:val="center"/>
          </w:tcPr>
          <w:p>
            <w:pPr>
              <w:widowControl/>
              <w:jc w:val="center"/>
              <w:rPr>
                <w:color w:val="000000" w:themeColor="text1"/>
                <w:kern w:val="0"/>
                <w:sz w:val="21"/>
                <w:szCs w:val="21"/>
                <w14:textFill>
                  <w14:solidFill>
                    <w14:schemeClr w14:val="tx1"/>
                  </w14:solidFill>
                </w14:textFill>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6" w:type="dxa"/>
            <w:bottom w:w="0" w:type="dxa"/>
            <w:right w:w="6" w:type="dxa"/>
          </w:tblCellMar>
        </w:tblPrEx>
        <w:trPr>
          <w:trHeight w:val="160" w:hRule="atLeast"/>
          <w:jc w:val="center"/>
        </w:trPr>
        <w:tc>
          <w:tcPr>
            <w:tcW w:w="329" w:type="dxa"/>
            <w:vMerge w:val="continue"/>
            <w:vAlign w:val="center"/>
          </w:tcPr>
          <w:p>
            <w:pPr>
              <w:widowControl/>
              <w:jc w:val="center"/>
              <w:rPr>
                <w:color w:val="000000" w:themeColor="text1"/>
                <w:kern w:val="0"/>
                <w:sz w:val="21"/>
                <w:szCs w:val="21"/>
                <w14:textFill>
                  <w14:solidFill>
                    <w14:schemeClr w14:val="tx1"/>
                  </w14:solidFill>
                </w14:textFill>
              </w:rPr>
            </w:pPr>
          </w:p>
        </w:tc>
        <w:tc>
          <w:tcPr>
            <w:tcW w:w="1398" w:type="dxa"/>
            <w:vMerge w:val="continue"/>
            <w:vAlign w:val="center"/>
          </w:tcPr>
          <w:p>
            <w:pPr>
              <w:widowControl/>
              <w:jc w:val="center"/>
              <w:rPr>
                <w:color w:val="000000" w:themeColor="text1"/>
                <w:kern w:val="0"/>
                <w:sz w:val="21"/>
                <w:szCs w:val="21"/>
                <w14:textFill>
                  <w14:solidFill>
                    <w14:schemeClr w14:val="tx1"/>
                  </w14:solidFill>
                </w14:textFill>
              </w:rPr>
            </w:pPr>
          </w:p>
        </w:tc>
        <w:tc>
          <w:tcPr>
            <w:tcW w:w="847" w:type="dxa"/>
            <w:vMerge w:val="continue"/>
            <w:vAlign w:val="center"/>
          </w:tcPr>
          <w:p>
            <w:pPr>
              <w:widowControl/>
              <w:jc w:val="center"/>
              <w:rPr>
                <w:color w:val="000000" w:themeColor="text1"/>
                <w:kern w:val="0"/>
                <w:sz w:val="21"/>
                <w:szCs w:val="21"/>
                <w14:textFill>
                  <w14:solidFill>
                    <w14:schemeClr w14:val="tx1"/>
                  </w14:solidFill>
                </w14:textFill>
              </w:rPr>
            </w:pPr>
          </w:p>
        </w:tc>
        <w:tc>
          <w:tcPr>
            <w:tcW w:w="986" w:type="dxa"/>
            <w:vAlign w:val="center"/>
          </w:tcPr>
          <w:p>
            <w:pPr>
              <w:widowControl/>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NH</w:t>
            </w:r>
            <w:r>
              <w:rPr>
                <w:color w:val="000000" w:themeColor="text1"/>
                <w:kern w:val="0"/>
                <w:sz w:val="21"/>
                <w:szCs w:val="21"/>
                <w:vertAlign w:val="subscript"/>
                <w14:textFill>
                  <w14:solidFill>
                    <w14:schemeClr w14:val="tx1"/>
                  </w14:solidFill>
                </w14:textFill>
              </w:rPr>
              <w:t>3</w:t>
            </w:r>
            <w:r>
              <w:rPr>
                <w:color w:val="000000" w:themeColor="text1"/>
                <w:kern w:val="0"/>
                <w:sz w:val="21"/>
                <w:szCs w:val="21"/>
                <w14:textFill>
                  <w14:solidFill>
                    <w14:schemeClr w14:val="tx1"/>
                  </w14:solidFill>
                </w14:textFill>
              </w:rPr>
              <w:t>-N</w:t>
            </w:r>
          </w:p>
        </w:tc>
        <w:tc>
          <w:tcPr>
            <w:tcW w:w="1136" w:type="dxa"/>
            <w:vAlign w:val="center"/>
          </w:tcPr>
          <w:p>
            <w:pPr>
              <w:pStyle w:val="3472"/>
              <w:wordWrap/>
              <w:snapToGrid w:val="0"/>
              <w:spacing w:line="280" w:lineRule="exact"/>
              <w:rPr>
                <w:color w:val="000000" w:themeColor="text1"/>
                <w:kern w:val="2"/>
                <w:szCs w:val="21"/>
                <w14:textFill>
                  <w14:solidFill>
                    <w14:schemeClr w14:val="tx1"/>
                  </w14:solidFill>
                </w14:textFill>
              </w:rPr>
            </w:pPr>
            <w:r>
              <w:rPr>
                <w:rFonts w:hint="eastAsia"/>
                <w:color w:val="000000" w:themeColor="text1"/>
                <w:kern w:val="2"/>
                <w:szCs w:val="21"/>
                <w14:textFill>
                  <w14:solidFill>
                    <w14:schemeClr w14:val="tx1"/>
                  </w14:solidFill>
                </w14:textFill>
              </w:rPr>
              <w:t>45</w:t>
            </w:r>
          </w:p>
        </w:tc>
        <w:tc>
          <w:tcPr>
            <w:tcW w:w="854" w:type="dxa"/>
            <w:vAlign w:val="center"/>
          </w:tcPr>
          <w:p>
            <w:pPr>
              <w:snapToGrid w:val="0"/>
              <w:spacing w:line="280" w:lineRule="exact"/>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0.11 t/a</w:t>
            </w:r>
          </w:p>
        </w:tc>
        <w:tc>
          <w:tcPr>
            <w:tcW w:w="2791" w:type="dxa"/>
            <w:vMerge w:val="continue"/>
            <w:vAlign w:val="center"/>
          </w:tcPr>
          <w:p>
            <w:pPr>
              <w:widowControl/>
              <w:jc w:val="center"/>
              <w:rPr>
                <w:color w:val="000000" w:themeColor="text1"/>
                <w:kern w:val="0"/>
                <w:sz w:val="21"/>
                <w:szCs w:val="21"/>
                <w14:textFill>
                  <w14:solidFill>
                    <w14:schemeClr w14:val="tx1"/>
                  </w14:solidFill>
                </w14:textFill>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6" w:type="dxa"/>
            <w:bottom w:w="0" w:type="dxa"/>
            <w:right w:w="6" w:type="dxa"/>
          </w:tblCellMar>
        </w:tblPrEx>
        <w:trPr>
          <w:jc w:val="center"/>
        </w:trPr>
        <w:tc>
          <w:tcPr>
            <w:tcW w:w="329" w:type="dxa"/>
            <w:vMerge w:val="continue"/>
            <w:vAlign w:val="center"/>
          </w:tcPr>
          <w:p>
            <w:pPr>
              <w:widowControl/>
              <w:jc w:val="center"/>
              <w:rPr>
                <w:color w:val="000000" w:themeColor="text1"/>
                <w:kern w:val="0"/>
                <w:sz w:val="21"/>
                <w:szCs w:val="21"/>
                <w14:textFill>
                  <w14:solidFill>
                    <w14:schemeClr w14:val="tx1"/>
                  </w14:solidFill>
                </w14:textFill>
              </w:rPr>
            </w:pPr>
          </w:p>
        </w:tc>
        <w:tc>
          <w:tcPr>
            <w:tcW w:w="1398" w:type="dxa"/>
            <w:vAlign w:val="center"/>
          </w:tcPr>
          <w:p>
            <w:pPr>
              <w:widowControl/>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船舶舱底油污水</w:t>
            </w:r>
          </w:p>
        </w:tc>
        <w:tc>
          <w:tcPr>
            <w:tcW w:w="847" w:type="dxa"/>
            <w:vAlign w:val="center"/>
          </w:tcPr>
          <w:p>
            <w:pPr>
              <w:widowControl/>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w:t>
            </w:r>
          </w:p>
        </w:tc>
        <w:tc>
          <w:tcPr>
            <w:tcW w:w="2976" w:type="dxa"/>
            <w:gridSpan w:val="3"/>
            <w:vAlign w:val="center"/>
          </w:tcPr>
          <w:p>
            <w:pPr>
              <w:widowControl/>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w:t>
            </w:r>
          </w:p>
        </w:tc>
        <w:tc>
          <w:tcPr>
            <w:tcW w:w="2791" w:type="dxa"/>
            <w:vMerge w:val="restart"/>
            <w:vAlign w:val="center"/>
          </w:tcPr>
          <w:p>
            <w:pPr>
              <w:widowControl/>
              <w:jc w:val="center"/>
              <w:rPr>
                <w:snapToGrid w:val="0"/>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交</w:t>
            </w:r>
            <w:r>
              <w:rPr>
                <w:color w:val="000000" w:themeColor="text1"/>
                <w:kern w:val="0"/>
                <w:sz w:val="21"/>
                <w:szCs w:val="21"/>
                <w14:textFill>
                  <w14:solidFill>
                    <w14:schemeClr w14:val="tx1"/>
                  </w14:solidFill>
                </w14:textFill>
              </w:rPr>
              <w:t>由</w:t>
            </w:r>
            <w:r>
              <w:rPr>
                <w:rFonts w:hint="eastAsia"/>
                <w:color w:val="000000" w:themeColor="text1"/>
                <w:kern w:val="0"/>
                <w:sz w:val="21"/>
                <w:szCs w:val="21"/>
                <w14:textFill>
                  <w14:solidFill>
                    <w14:schemeClr w14:val="tx1"/>
                  </w14:solidFill>
                </w14:textFill>
              </w:rPr>
              <w:t>钦州市桂通船舶服务有限公司、广西鑫丰海洋科技环保有限公司</w:t>
            </w:r>
            <w:r>
              <w:rPr>
                <w:color w:val="000000" w:themeColor="text1"/>
                <w:kern w:val="0"/>
                <w:sz w:val="21"/>
                <w:szCs w:val="21"/>
                <w14:textFill>
                  <w14:solidFill>
                    <w14:schemeClr w14:val="tx1"/>
                  </w14:solidFill>
                </w14:textFill>
              </w:rPr>
              <w:t>接收</w:t>
            </w:r>
            <w:r>
              <w:rPr>
                <w:rFonts w:hint="eastAsia"/>
                <w:color w:val="000000" w:themeColor="text1"/>
                <w:kern w:val="0"/>
                <w:sz w:val="21"/>
                <w:szCs w:val="21"/>
                <w14:textFill>
                  <w14:solidFill>
                    <w14:schemeClr w14:val="tx1"/>
                  </w14:solidFill>
                </w14:textFill>
              </w:rPr>
              <w:t>处理</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6" w:type="dxa"/>
            <w:bottom w:w="0" w:type="dxa"/>
            <w:right w:w="6" w:type="dxa"/>
          </w:tblCellMar>
        </w:tblPrEx>
        <w:trPr>
          <w:trHeight w:val="85" w:hRule="atLeast"/>
          <w:jc w:val="center"/>
        </w:trPr>
        <w:tc>
          <w:tcPr>
            <w:tcW w:w="329" w:type="dxa"/>
            <w:vMerge w:val="continue"/>
            <w:vAlign w:val="center"/>
          </w:tcPr>
          <w:p>
            <w:pPr>
              <w:widowControl/>
              <w:jc w:val="center"/>
              <w:rPr>
                <w:color w:val="000000" w:themeColor="text1"/>
                <w:kern w:val="0"/>
                <w:sz w:val="21"/>
                <w:szCs w:val="21"/>
                <w14:textFill>
                  <w14:solidFill>
                    <w14:schemeClr w14:val="tx1"/>
                  </w14:solidFill>
                </w14:textFill>
              </w:rPr>
            </w:pPr>
          </w:p>
        </w:tc>
        <w:tc>
          <w:tcPr>
            <w:tcW w:w="1398" w:type="dxa"/>
            <w:vAlign w:val="center"/>
          </w:tcPr>
          <w:p>
            <w:pPr>
              <w:widowControl/>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船舶生活污水</w:t>
            </w:r>
          </w:p>
        </w:tc>
        <w:tc>
          <w:tcPr>
            <w:tcW w:w="847" w:type="dxa"/>
            <w:vAlign w:val="center"/>
          </w:tcPr>
          <w:p>
            <w:pPr>
              <w:widowControl/>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w:t>
            </w:r>
          </w:p>
        </w:tc>
        <w:tc>
          <w:tcPr>
            <w:tcW w:w="2976" w:type="dxa"/>
            <w:gridSpan w:val="3"/>
            <w:vAlign w:val="center"/>
          </w:tcPr>
          <w:p>
            <w:pPr>
              <w:widowControl/>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w:t>
            </w:r>
          </w:p>
        </w:tc>
        <w:tc>
          <w:tcPr>
            <w:tcW w:w="2791" w:type="dxa"/>
            <w:vMerge w:val="continue"/>
            <w:vAlign w:val="center"/>
          </w:tcPr>
          <w:p>
            <w:pPr>
              <w:widowControl/>
              <w:jc w:val="center"/>
              <w:rPr>
                <w:snapToGrid w:val="0"/>
                <w:color w:val="000000" w:themeColor="text1"/>
                <w:kern w:val="0"/>
                <w:sz w:val="21"/>
                <w:szCs w:val="21"/>
                <w14:textFill>
                  <w14:solidFill>
                    <w14:schemeClr w14:val="tx1"/>
                  </w14:solidFill>
                </w14:textFill>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6" w:type="dxa"/>
            <w:bottom w:w="0" w:type="dxa"/>
            <w:right w:w="6" w:type="dxa"/>
          </w:tblCellMar>
        </w:tblPrEx>
        <w:trPr>
          <w:jc w:val="center"/>
        </w:trPr>
        <w:tc>
          <w:tcPr>
            <w:tcW w:w="329" w:type="dxa"/>
            <w:vMerge w:val="continue"/>
            <w:vAlign w:val="center"/>
          </w:tcPr>
          <w:p>
            <w:pPr>
              <w:widowControl/>
              <w:jc w:val="center"/>
              <w:rPr>
                <w:color w:val="000000" w:themeColor="text1"/>
                <w:kern w:val="0"/>
                <w:sz w:val="21"/>
                <w:szCs w:val="21"/>
                <w14:textFill>
                  <w14:solidFill>
                    <w14:schemeClr w14:val="tx1"/>
                  </w14:solidFill>
                </w14:textFill>
              </w:rPr>
            </w:pPr>
          </w:p>
        </w:tc>
        <w:tc>
          <w:tcPr>
            <w:tcW w:w="1398" w:type="dxa"/>
            <w:vAlign w:val="center"/>
          </w:tcPr>
          <w:p>
            <w:pPr>
              <w:widowControl/>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船舶压载水</w:t>
            </w:r>
          </w:p>
        </w:tc>
        <w:tc>
          <w:tcPr>
            <w:tcW w:w="847" w:type="dxa"/>
            <w:vAlign w:val="center"/>
          </w:tcPr>
          <w:p>
            <w:pPr>
              <w:widowControl/>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w:t>
            </w:r>
          </w:p>
        </w:tc>
        <w:tc>
          <w:tcPr>
            <w:tcW w:w="2976" w:type="dxa"/>
            <w:gridSpan w:val="3"/>
            <w:vAlign w:val="center"/>
          </w:tcPr>
          <w:p>
            <w:pPr>
              <w:widowControl/>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w:t>
            </w:r>
          </w:p>
        </w:tc>
        <w:tc>
          <w:tcPr>
            <w:tcW w:w="2791" w:type="dxa"/>
            <w:vAlign w:val="center"/>
          </w:tcPr>
          <w:p>
            <w:pPr>
              <w:widowControl/>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深海置换，不在钦州港区内排放</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6" w:type="dxa"/>
            <w:bottom w:w="0" w:type="dxa"/>
            <w:right w:w="6" w:type="dxa"/>
          </w:tblCellMar>
        </w:tblPrEx>
        <w:trPr>
          <w:jc w:val="center"/>
        </w:trPr>
        <w:tc>
          <w:tcPr>
            <w:tcW w:w="329" w:type="dxa"/>
            <w:vMerge w:val="restart"/>
            <w:vAlign w:val="center"/>
          </w:tcPr>
          <w:p>
            <w:pPr>
              <w:widowControl/>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废气</w:t>
            </w:r>
          </w:p>
        </w:tc>
        <w:tc>
          <w:tcPr>
            <w:tcW w:w="1398" w:type="dxa"/>
            <w:vMerge w:val="restart"/>
            <w:vAlign w:val="center"/>
          </w:tcPr>
          <w:p>
            <w:pPr>
              <w:widowControl/>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进出</w:t>
            </w:r>
            <w:r>
              <w:rPr>
                <w:color w:val="000000" w:themeColor="text1"/>
                <w:kern w:val="0"/>
                <w:sz w:val="21"/>
                <w:szCs w:val="21"/>
                <w14:textFill>
                  <w14:solidFill>
                    <w14:schemeClr w14:val="tx1"/>
                  </w14:solidFill>
                </w14:textFill>
              </w:rPr>
              <w:t>港</w:t>
            </w:r>
            <w:r>
              <w:rPr>
                <w:rFonts w:hint="eastAsia"/>
                <w:color w:val="000000" w:themeColor="text1"/>
                <w:kern w:val="0"/>
                <w:sz w:val="21"/>
                <w:szCs w:val="21"/>
                <w14:textFill>
                  <w14:solidFill>
                    <w14:schemeClr w14:val="tx1"/>
                  </w14:solidFill>
                </w14:textFill>
              </w:rPr>
              <w:t>车辆铺装道路扬尘</w:t>
            </w:r>
          </w:p>
        </w:tc>
        <w:tc>
          <w:tcPr>
            <w:tcW w:w="847" w:type="dxa"/>
            <w:vMerge w:val="restart"/>
            <w:vAlign w:val="center"/>
          </w:tcPr>
          <w:p>
            <w:pPr>
              <w:widowControl/>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w:t>
            </w:r>
          </w:p>
        </w:tc>
        <w:tc>
          <w:tcPr>
            <w:tcW w:w="986" w:type="dxa"/>
            <w:vAlign w:val="center"/>
          </w:tcPr>
          <w:p>
            <w:pPr>
              <w:widowControl/>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TSP</w:t>
            </w:r>
          </w:p>
        </w:tc>
        <w:tc>
          <w:tcPr>
            <w:tcW w:w="1136" w:type="dxa"/>
            <w:vAlign w:val="center"/>
          </w:tcPr>
          <w:p>
            <w:pPr>
              <w:widowControl/>
              <w:jc w:val="center"/>
              <w:rPr>
                <w:color w:val="000000" w:themeColor="text1"/>
                <w:kern w:val="0"/>
                <w:sz w:val="21"/>
                <w:szCs w:val="21"/>
                <w14:textFill>
                  <w14:solidFill>
                    <w14:schemeClr w14:val="tx1"/>
                  </w14:solidFill>
                </w14:textFill>
              </w:rPr>
            </w:pPr>
            <w:r>
              <w:rPr>
                <w:snapToGrid w:val="0"/>
                <w:color w:val="000000" w:themeColor="text1"/>
                <w:kern w:val="0"/>
                <w:sz w:val="21"/>
                <w:szCs w:val="21"/>
                <w14:textFill>
                  <w14:solidFill>
                    <w14:schemeClr w14:val="tx1"/>
                  </w14:solidFill>
                </w14:textFill>
              </w:rPr>
              <w:t>/</w:t>
            </w:r>
          </w:p>
        </w:tc>
        <w:tc>
          <w:tcPr>
            <w:tcW w:w="854" w:type="dxa"/>
            <w:vAlign w:val="center"/>
          </w:tcPr>
          <w:p>
            <w:pPr>
              <w:widowControl/>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2.42</w:t>
            </w:r>
            <w:r>
              <w:rPr>
                <w:color w:val="000000" w:themeColor="text1"/>
                <w:kern w:val="0"/>
                <w:sz w:val="21"/>
                <w:szCs w:val="21"/>
                <w14:textFill>
                  <w14:solidFill>
                    <w14:schemeClr w14:val="tx1"/>
                  </w14:solidFill>
                </w14:textFill>
              </w:rPr>
              <w:t>kg/a</w:t>
            </w:r>
          </w:p>
        </w:tc>
        <w:tc>
          <w:tcPr>
            <w:tcW w:w="2791" w:type="dxa"/>
            <w:vMerge w:val="restart"/>
            <w:vAlign w:val="center"/>
          </w:tcPr>
          <w:p>
            <w:pPr>
              <w:widowControl/>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无组织排放</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6" w:type="dxa"/>
            <w:bottom w:w="0" w:type="dxa"/>
            <w:right w:w="6" w:type="dxa"/>
          </w:tblCellMar>
        </w:tblPrEx>
        <w:trPr>
          <w:jc w:val="center"/>
        </w:trPr>
        <w:tc>
          <w:tcPr>
            <w:tcW w:w="329" w:type="dxa"/>
            <w:vMerge w:val="continue"/>
            <w:vAlign w:val="center"/>
          </w:tcPr>
          <w:p>
            <w:pPr>
              <w:widowControl/>
              <w:jc w:val="center"/>
              <w:rPr>
                <w:color w:val="000000" w:themeColor="text1"/>
                <w:kern w:val="0"/>
                <w:sz w:val="21"/>
                <w:szCs w:val="21"/>
                <w14:textFill>
                  <w14:solidFill>
                    <w14:schemeClr w14:val="tx1"/>
                  </w14:solidFill>
                </w14:textFill>
              </w:rPr>
            </w:pPr>
          </w:p>
        </w:tc>
        <w:tc>
          <w:tcPr>
            <w:tcW w:w="1398" w:type="dxa"/>
            <w:vMerge w:val="continue"/>
            <w:vAlign w:val="center"/>
          </w:tcPr>
          <w:p>
            <w:pPr>
              <w:widowControl/>
              <w:jc w:val="center"/>
              <w:rPr>
                <w:color w:val="000000" w:themeColor="text1"/>
                <w:kern w:val="0"/>
                <w:sz w:val="21"/>
                <w:szCs w:val="21"/>
                <w14:textFill>
                  <w14:solidFill>
                    <w14:schemeClr w14:val="tx1"/>
                  </w14:solidFill>
                </w14:textFill>
              </w:rPr>
            </w:pPr>
          </w:p>
        </w:tc>
        <w:tc>
          <w:tcPr>
            <w:tcW w:w="847" w:type="dxa"/>
            <w:vMerge w:val="continue"/>
            <w:vAlign w:val="center"/>
          </w:tcPr>
          <w:p>
            <w:pPr>
              <w:widowControl/>
              <w:jc w:val="center"/>
              <w:rPr>
                <w:color w:val="000000" w:themeColor="text1"/>
                <w:kern w:val="0"/>
                <w:sz w:val="21"/>
                <w:szCs w:val="21"/>
                <w14:textFill>
                  <w14:solidFill>
                    <w14:schemeClr w14:val="tx1"/>
                  </w14:solidFill>
                </w14:textFill>
              </w:rPr>
            </w:pPr>
          </w:p>
        </w:tc>
        <w:tc>
          <w:tcPr>
            <w:tcW w:w="986" w:type="dxa"/>
            <w:vAlign w:val="center"/>
          </w:tcPr>
          <w:p>
            <w:pPr>
              <w:snapToGrid w:val="0"/>
              <w:spacing w:line="280" w:lineRule="exact"/>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PM</w:t>
            </w:r>
            <w:r>
              <w:rPr>
                <w:rFonts w:hint="eastAsia"/>
                <w:color w:val="000000" w:themeColor="text1"/>
                <w:sz w:val="21"/>
                <w:szCs w:val="21"/>
                <w:vertAlign w:val="subscript"/>
                <w14:textFill>
                  <w14:solidFill>
                    <w14:schemeClr w14:val="tx1"/>
                  </w14:solidFill>
                </w14:textFill>
              </w:rPr>
              <w:t>10</w:t>
            </w:r>
          </w:p>
        </w:tc>
        <w:tc>
          <w:tcPr>
            <w:tcW w:w="1136" w:type="dxa"/>
            <w:vAlign w:val="center"/>
          </w:tcPr>
          <w:p>
            <w:pPr>
              <w:widowControl/>
              <w:jc w:val="center"/>
              <w:rPr>
                <w:color w:val="000000" w:themeColor="text1"/>
                <w:kern w:val="0"/>
                <w:sz w:val="21"/>
                <w:szCs w:val="21"/>
                <w14:textFill>
                  <w14:solidFill>
                    <w14:schemeClr w14:val="tx1"/>
                  </w14:solidFill>
                </w14:textFill>
              </w:rPr>
            </w:pPr>
            <w:r>
              <w:rPr>
                <w:snapToGrid w:val="0"/>
                <w:color w:val="000000" w:themeColor="text1"/>
                <w:kern w:val="0"/>
                <w:sz w:val="21"/>
                <w:szCs w:val="21"/>
                <w14:textFill>
                  <w14:solidFill>
                    <w14:schemeClr w14:val="tx1"/>
                  </w14:solidFill>
                </w14:textFill>
              </w:rPr>
              <w:t>/</w:t>
            </w:r>
          </w:p>
        </w:tc>
        <w:tc>
          <w:tcPr>
            <w:tcW w:w="854" w:type="dxa"/>
            <w:vAlign w:val="center"/>
          </w:tcPr>
          <w:p>
            <w:pPr>
              <w:widowControl/>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0.61</w:t>
            </w:r>
            <w:r>
              <w:rPr>
                <w:color w:val="000000" w:themeColor="text1"/>
                <w:kern w:val="0"/>
                <w:sz w:val="21"/>
                <w:szCs w:val="21"/>
                <w14:textFill>
                  <w14:solidFill>
                    <w14:schemeClr w14:val="tx1"/>
                  </w14:solidFill>
                </w14:textFill>
              </w:rPr>
              <w:t xml:space="preserve"> kg/a</w:t>
            </w:r>
          </w:p>
        </w:tc>
        <w:tc>
          <w:tcPr>
            <w:tcW w:w="2791" w:type="dxa"/>
            <w:vMerge w:val="continue"/>
            <w:vAlign w:val="center"/>
          </w:tcPr>
          <w:p>
            <w:pPr>
              <w:widowControl/>
              <w:jc w:val="center"/>
              <w:rPr>
                <w:color w:val="000000" w:themeColor="text1"/>
                <w:kern w:val="0"/>
                <w:sz w:val="21"/>
                <w:szCs w:val="21"/>
                <w14:textFill>
                  <w14:solidFill>
                    <w14:schemeClr w14:val="tx1"/>
                  </w14:solidFill>
                </w14:textFill>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6" w:type="dxa"/>
            <w:bottom w:w="0" w:type="dxa"/>
            <w:right w:w="6" w:type="dxa"/>
          </w:tblCellMar>
        </w:tblPrEx>
        <w:trPr>
          <w:jc w:val="center"/>
        </w:trPr>
        <w:tc>
          <w:tcPr>
            <w:tcW w:w="329" w:type="dxa"/>
            <w:vMerge w:val="continue"/>
            <w:vAlign w:val="center"/>
          </w:tcPr>
          <w:p>
            <w:pPr>
              <w:widowControl/>
              <w:jc w:val="center"/>
              <w:rPr>
                <w:color w:val="000000" w:themeColor="text1"/>
                <w:kern w:val="0"/>
                <w:sz w:val="21"/>
                <w:szCs w:val="21"/>
                <w14:textFill>
                  <w14:solidFill>
                    <w14:schemeClr w14:val="tx1"/>
                  </w14:solidFill>
                </w14:textFill>
              </w:rPr>
            </w:pPr>
          </w:p>
        </w:tc>
        <w:tc>
          <w:tcPr>
            <w:tcW w:w="1398" w:type="dxa"/>
            <w:vMerge w:val="continue"/>
            <w:vAlign w:val="center"/>
          </w:tcPr>
          <w:p>
            <w:pPr>
              <w:widowControl/>
              <w:jc w:val="center"/>
              <w:rPr>
                <w:color w:val="000000" w:themeColor="text1"/>
                <w:kern w:val="0"/>
                <w:sz w:val="21"/>
                <w:szCs w:val="21"/>
                <w14:textFill>
                  <w14:solidFill>
                    <w14:schemeClr w14:val="tx1"/>
                  </w14:solidFill>
                </w14:textFill>
              </w:rPr>
            </w:pPr>
          </w:p>
        </w:tc>
        <w:tc>
          <w:tcPr>
            <w:tcW w:w="847" w:type="dxa"/>
            <w:vMerge w:val="continue"/>
            <w:vAlign w:val="center"/>
          </w:tcPr>
          <w:p>
            <w:pPr>
              <w:widowControl/>
              <w:jc w:val="center"/>
              <w:rPr>
                <w:color w:val="000000" w:themeColor="text1"/>
                <w:kern w:val="0"/>
                <w:sz w:val="21"/>
                <w:szCs w:val="21"/>
                <w14:textFill>
                  <w14:solidFill>
                    <w14:schemeClr w14:val="tx1"/>
                  </w14:solidFill>
                </w14:textFill>
              </w:rPr>
            </w:pPr>
          </w:p>
        </w:tc>
        <w:tc>
          <w:tcPr>
            <w:tcW w:w="986" w:type="dxa"/>
            <w:vAlign w:val="center"/>
          </w:tcPr>
          <w:p>
            <w:pPr>
              <w:snapToGrid w:val="0"/>
              <w:spacing w:line="280" w:lineRule="exact"/>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PM</w:t>
            </w:r>
            <w:r>
              <w:rPr>
                <w:rFonts w:hint="eastAsia"/>
                <w:color w:val="000000" w:themeColor="text1"/>
                <w:sz w:val="21"/>
                <w:szCs w:val="21"/>
                <w:vertAlign w:val="subscript"/>
                <w14:textFill>
                  <w14:solidFill>
                    <w14:schemeClr w14:val="tx1"/>
                  </w14:solidFill>
                </w14:textFill>
              </w:rPr>
              <w:t>2.5</w:t>
            </w:r>
          </w:p>
        </w:tc>
        <w:tc>
          <w:tcPr>
            <w:tcW w:w="1136" w:type="dxa"/>
            <w:vAlign w:val="center"/>
          </w:tcPr>
          <w:p>
            <w:pPr>
              <w:widowControl/>
              <w:jc w:val="center"/>
              <w:rPr>
                <w:color w:val="000000" w:themeColor="text1"/>
                <w:kern w:val="0"/>
                <w:sz w:val="21"/>
                <w:szCs w:val="21"/>
                <w14:textFill>
                  <w14:solidFill>
                    <w14:schemeClr w14:val="tx1"/>
                  </w14:solidFill>
                </w14:textFill>
              </w:rPr>
            </w:pPr>
            <w:r>
              <w:rPr>
                <w:snapToGrid w:val="0"/>
                <w:color w:val="000000" w:themeColor="text1"/>
                <w:kern w:val="0"/>
                <w:sz w:val="21"/>
                <w:szCs w:val="21"/>
                <w14:textFill>
                  <w14:solidFill>
                    <w14:schemeClr w14:val="tx1"/>
                  </w14:solidFill>
                </w14:textFill>
              </w:rPr>
              <w:t>/</w:t>
            </w:r>
          </w:p>
        </w:tc>
        <w:tc>
          <w:tcPr>
            <w:tcW w:w="854" w:type="dxa"/>
            <w:vAlign w:val="center"/>
          </w:tcPr>
          <w:p>
            <w:pPr>
              <w:widowControl/>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0.18</w:t>
            </w:r>
            <w:r>
              <w:rPr>
                <w:color w:val="000000" w:themeColor="text1"/>
                <w:kern w:val="0"/>
                <w:sz w:val="21"/>
                <w:szCs w:val="21"/>
                <w14:textFill>
                  <w14:solidFill>
                    <w14:schemeClr w14:val="tx1"/>
                  </w14:solidFill>
                </w14:textFill>
              </w:rPr>
              <w:t xml:space="preserve"> kg/a</w:t>
            </w:r>
          </w:p>
        </w:tc>
        <w:tc>
          <w:tcPr>
            <w:tcW w:w="2791" w:type="dxa"/>
            <w:vMerge w:val="continue"/>
            <w:vAlign w:val="center"/>
          </w:tcPr>
          <w:p>
            <w:pPr>
              <w:widowControl/>
              <w:jc w:val="center"/>
              <w:rPr>
                <w:color w:val="000000" w:themeColor="text1"/>
                <w:kern w:val="0"/>
                <w:sz w:val="21"/>
                <w:szCs w:val="21"/>
                <w14:textFill>
                  <w14:solidFill>
                    <w14:schemeClr w14:val="tx1"/>
                  </w14:solidFill>
                </w14:textFill>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6" w:type="dxa"/>
            <w:bottom w:w="0" w:type="dxa"/>
            <w:right w:w="6" w:type="dxa"/>
          </w:tblCellMar>
        </w:tblPrEx>
        <w:trPr>
          <w:jc w:val="center"/>
        </w:trPr>
        <w:tc>
          <w:tcPr>
            <w:tcW w:w="329" w:type="dxa"/>
            <w:vAlign w:val="center"/>
          </w:tcPr>
          <w:p>
            <w:pPr>
              <w:widowControl/>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噪声</w:t>
            </w:r>
          </w:p>
        </w:tc>
        <w:tc>
          <w:tcPr>
            <w:tcW w:w="1398" w:type="dxa"/>
            <w:vAlign w:val="center"/>
          </w:tcPr>
          <w:p>
            <w:pPr>
              <w:widowControl/>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港口机械作业噪声</w:t>
            </w:r>
          </w:p>
        </w:tc>
        <w:tc>
          <w:tcPr>
            <w:tcW w:w="847" w:type="dxa"/>
            <w:vAlign w:val="center"/>
          </w:tcPr>
          <w:p>
            <w:pPr>
              <w:widowControl/>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w:t>
            </w:r>
          </w:p>
        </w:tc>
        <w:tc>
          <w:tcPr>
            <w:tcW w:w="986" w:type="dxa"/>
            <w:vAlign w:val="center"/>
          </w:tcPr>
          <w:p>
            <w:pPr>
              <w:widowControl/>
              <w:jc w:val="center"/>
              <w:rPr>
                <w:snapToGrid w:val="0"/>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Leq</w:t>
            </w:r>
          </w:p>
        </w:tc>
        <w:tc>
          <w:tcPr>
            <w:tcW w:w="1136" w:type="dxa"/>
            <w:vAlign w:val="center"/>
          </w:tcPr>
          <w:p>
            <w:pPr>
              <w:widowControl/>
              <w:jc w:val="center"/>
              <w:rPr>
                <w:snapToGrid w:val="0"/>
                <w:color w:val="000000" w:themeColor="text1"/>
                <w:kern w:val="0"/>
                <w:sz w:val="21"/>
                <w:szCs w:val="21"/>
                <w14:textFill>
                  <w14:solidFill>
                    <w14:schemeClr w14:val="tx1"/>
                  </w14:solidFill>
                </w14:textFill>
              </w:rPr>
            </w:pPr>
            <w:r>
              <w:rPr>
                <w:rFonts w:hint="eastAsia"/>
                <w:snapToGrid w:val="0"/>
                <w:color w:val="000000" w:themeColor="text1"/>
                <w:kern w:val="0"/>
                <w:sz w:val="21"/>
                <w:szCs w:val="21"/>
                <w14:textFill>
                  <w14:solidFill>
                    <w14:schemeClr w14:val="tx1"/>
                  </w14:solidFill>
                </w14:textFill>
              </w:rPr>
              <w:t>70</w:t>
            </w:r>
            <w:r>
              <w:rPr>
                <w:snapToGrid w:val="0"/>
                <w:color w:val="000000" w:themeColor="text1"/>
                <w:kern w:val="0"/>
                <w:sz w:val="21"/>
                <w:szCs w:val="21"/>
                <w14:textFill>
                  <w14:solidFill>
                    <w14:schemeClr w14:val="tx1"/>
                  </w14:solidFill>
                </w14:textFill>
              </w:rPr>
              <w:t>~</w:t>
            </w:r>
            <w:r>
              <w:rPr>
                <w:rFonts w:hint="eastAsia"/>
                <w:snapToGrid w:val="0"/>
                <w:color w:val="000000" w:themeColor="text1"/>
                <w:kern w:val="0"/>
                <w:sz w:val="21"/>
                <w:szCs w:val="21"/>
                <w14:textFill>
                  <w14:solidFill>
                    <w14:schemeClr w14:val="tx1"/>
                  </w14:solidFill>
                </w14:textFill>
              </w:rPr>
              <w:t>103</w:t>
            </w:r>
            <w:r>
              <w:rPr>
                <w:snapToGrid w:val="0"/>
                <w:color w:val="000000" w:themeColor="text1"/>
                <w:kern w:val="0"/>
                <w:sz w:val="21"/>
                <w:szCs w:val="21"/>
                <w14:textFill>
                  <w14:solidFill>
                    <w14:schemeClr w14:val="tx1"/>
                  </w14:solidFill>
                </w14:textFill>
              </w:rPr>
              <w:t>dB</w:t>
            </w:r>
          </w:p>
        </w:tc>
        <w:tc>
          <w:tcPr>
            <w:tcW w:w="854" w:type="dxa"/>
            <w:vAlign w:val="center"/>
          </w:tcPr>
          <w:p>
            <w:pPr>
              <w:widowControl/>
              <w:jc w:val="center"/>
              <w:rPr>
                <w:snapToGrid w:val="0"/>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w:t>
            </w:r>
          </w:p>
        </w:tc>
        <w:tc>
          <w:tcPr>
            <w:tcW w:w="2791" w:type="dxa"/>
            <w:vAlign w:val="center"/>
          </w:tcPr>
          <w:p>
            <w:pPr>
              <w:widowControl/>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直接排放</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6" w:type="dxa"/>
            <w:bottom w:w="0" w:type="dxa"/>
            <w:right w:w="6" w:type="dxa"/>
          </w:tblCellMar>
        </w:tblPrEx>
        <w:trPr>
          <w:jc w:val="center"/>
        </w:trPr>
        <w:tc>
          <w:tcPr>
            <w:tcW w:w="329" w:type="dxa"/>
            <w:vMerge w:val="restart"/>
            <w:vAlign w:val="center"/>
          </w:tcPr>
          <w:p>
            <w:pPr>
              <w:widowControl/>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固废</w:t>
            </w:r>
          </w:p>
        </w:tc>
        <w:tc>
          <w:tcPr>
            <w:tcW w:w="1398" w:type="dxa"/>
            <w:vAlign w:val="center"/>
          </w:tcPr>
          <w:p>
            <w:pPr>
              <w:widowControl/>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到港船舶</w:t>
            </w:r>
            <w:r>
              <w:rPr>
                <w:rFonts w:hint="eastAsia"/>
                <w:color w:val="000000" w:themeColor="text1"/>
                <w:kern w:val="0"/>
                <w:sz w:val="21"/>
                <w:szCs w:val="21"/>
                <w14:textFill>
                  <w14:solidFill>
                    <w14:schemeClr w14:val="tx1"/>
                  </w14:solidFill>
                </w14:textFill>
              </w:rPr>
              <w:t>生活垃圾</w:t>
            </w:r>
          </w:p>
        </w:tc>
        <w:tc>
          <w:tcPr>
            <w:tcW w:w="847" w:type="dxa"/>
            <w:vAlign w:val="center"/>
          </w:tcPr>
          <w:p>
            <w:pPr>
              <w:widowControl/>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w:t>
            </w:r>
          </w:p>
        </w:tc>
        <w:tc>
          <w:tcPr>
            <w:tcW w:w="2976" w:type="dxa"/>
            <w:gridSpan w:val="3"/>
            <w:vAlign w:val="center"/>
          </w:tcPr>
          <w:p>
            <w:pPr>
              <w:widowControl/>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w:t>
            </w:r>
          </w:p>
        </w:tc>
        <w:tc>
          <w:tcPr>
            <w:tcW w:w="2791" w:type="dxa"/>
            <w:vAlign w:val="center"/>
          </w:tcPr>
          <w:p>
            <w:pPr>
              <w:widowControl/>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交</w:t>
            </w:r>
            <w:r>
              <w:rPr>
                <w:color w:val="000000" w:themeColor="text1"/>
                <w:kern w:val="0"/>
                <w:sz w:val="21"/>
                <w:szCs w:val="21"/>
                <w14:textFill>
                  <w14:solidFill>
                    <w14:schemeClr w14:val="tx1"/>
                  </w14:solidFill>
                </w14:textFill>
              </w:rPr>
              <w:t>由</w:t>
            </w:r>
            <w:r>
              <w:rPr>
                <w:rFonts w:hint="eastAsia"/>
                <w:color w:val="000000" w:themeColor="text1"/>
                <w:kern w:val="0"/>
                <w:sz w:val="21"/>
                <w:szCs w:val="21"/>
                <w14:textFill>
                  <w14:solidFill>
                    <w14:schemeClr w14:val="tx1"/>
                  </w14:solidFill>
                </w14:textFill>
              </w:rPr>
              <w:t>钦州市桂通船舶服务有限公司、广西鑫丰海洋科技环保有限公司</w:t>
            </w:r>
            <w:r>
              <w:rPr>
                <w:color w:val="000000" w:themeColor="text1"/>
                <w:kern w:val="0"/>
                <w:sz w:val="21"/>
                <w:szCs w:val="21"/>
                <w14:textFill>
                  <w14:solidFill>
                    <w14:schemeClr w14:val="tx1"/>
                  </w14:solidFill>
                </w14:textFill>
              </w:rPr>
              <w:t>接收</w:t>
            </w:r>
            <w:r>
              <w:rPr>
                <w:rFonts w:hint="eastAsia"/>
                <w:color w:val="000000" w:themeColor="text1"/>
                <w:kern w:val="0"/>
                <w:sz w:val="21"/>
                <w:szCs w:val="21"/>
                <w14:textFill>
                  <w14:solidFill>
                    <w14:schemeClr w14:val="tx1"/>
                  </w14:solidFill>
                </w14:textFill>
              </w:rPr>
              <w:t>处理</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6" w:type="dxa"/>
            <w:bottom w:w="0" w:type="dxa"/>
            <w:right w:w="6" w:type="dxa"/>
          </w:tblCellMar>
        </w:tblPrEx>
        <w:trPr>
          <w:jc w:val="center"/>
        </w:trPr>
        <w:tc>
          <w:tcPr>
            <w:tcW w:w="329" w:type="dxa"/>
            <w:vMerge w:val="continue"/>
            <w:vAlign w:val="center"/>
          </w:tcPr>
          <w:p>
            <w:pPr>
              <w:widowControl/>
              <w:jc w:val="center"/>
              <w:rPr>
                <w:color w:val="000000" w:themeColor="text1"/>
                <w:kern w:val="0"/>
                <w:sz w:val="21"/>
                <w:szCs w:val="21"/>
                <w14:textFill>
                  <w14:solidFill>
                    <w14:schemeClr w14:val="tx1"/>
                  </w14:solidFill>
                </w14:textFill>
              </w:rPr>
            </w:pPr>
          </w:p>
        </w:tc>
        <w:tc>
          <w:tcPr>
            <w:tcW w:w="1398" w:type="dxa"/>
            <w:vAlign w:val="center"/>
          </w:tcPr>
          <w:p>
            <w:pPr>
              <w:widowControl/>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陆域</w:t>
            </w:r>
            <w:r>
              <w:rPr>
                <w:color w:val="000000" w:themeColor="text1"/>
                <w:kern w:val="0"/>
                <w:sz w:val="21"/>
                <w:szCs w:val="21"/>
                <w14:textFill>
                  <w14:solidFill>
                    <w14:schemeClr w14:val="tx1"/>
                  </w14:solidFill>
                </w14:textFill>
              </w:rPr>
              <w:t>固体废物</w:t>
            </w:r>
          </w:p>
        </w:tc>
        <w:tc>
          <w:tcPr>
            <w:tcW w:w="847" w:type="dxa"/>
            <w:vAlign w:val="center"/>
          </w:tcPr>
          <w:p>
            <w:pPr>
              <w:widowControl/>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63.36</w:t>
            </w:r>
            <w:r>
              <w:rPr>
                <w:color w:val="000000" w:themeColor="text1"/>
                <w:kern w:val="0"/>
                <w:sz w:val="21"/>
                <w:szCs w:val="21"/>
                <w14:textFill>
                  <w14:solidFill>
                    <w14:schemeClr w14:val="tx1"/>
                  </w14:solidFill>
                </w14:textFill>
              </w:rPr>
              <w:t>t/a</w:t>
            </w:r>
          </w:p>
        </w:tc>
        <w:tc>
          <w:tcPr>
            <w:tcW w:w="986" w:type="dxa"/>
            <w:vAlign w:val="center"/>
          </w:tcPr>
          <w:p>
            <w:pPr>
              <w:widowControl/>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生活垃圾</w:t>
            </w:r>
          </w:p>
        </w:tc>
        <w:tc>
          <w:tcPr>
            <w:tcW w:w="1136" w:type="dxa"/>
            <w:vAlign w:val="center"/>
          </w:tcPr>
          <w:p>
            <w:pPr>
              <w:widowControl/>
              <w:jc w:val="center"/>
              <w:rPr>
                <w:snapToGrid w:val="0"/>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w:t>
            </w:r>
          </w:p>
        </w:tc>
        <w:tc>
          <w:tcPr>
            <w:tcW w:w="854" w:type="dxa"/>
            <w:vAlign w:val="center"/>
          </w:tcPr>
          <w:p>
            <w:pPr>
              <w:widowControl/>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63.36</w:t>
            </w:r>
            <w:r>
              <w:rPr>
                <w:color w:val="000000" w:themeColor="text1"/>
                <w:kern w:val="0"/>
                <w:sz w:val="21"/>
                <w:szCs w:val="21"/>
                <w14:textFill>
                  <w14:solidFill>
                    <w14:schemeClr w14:val="tx1"/>
                  </w14:solidFill>
                </w14:textFill>
              </w:rPr>
              <w:t>t/a</w:t>
            </w:r>
          </w:p>
        </w:tc>
        <w:tc>
          <w:tcPr>
            <w:tcW w:w="2791" w:type="dxa"/>
            <w:vAlign w:val="center"/>
          </w:tcPr>
          <w:p>
            <w:pPr>
              <w:widowControl/>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环卫部门处置</w:t>
            </w:r>
          </w:p>
        </w:tc>
      </w:tr>
    </w:tbl>
    <w:p>
      <w:pPr>
        <w:pStyle w:val="5"/>
        <w:rPr>
          <w:color w:val="000000" w:themeColor="text1"/>
          <w14:textFill>
            <w14:solidFill>
              <w14:schemeClr w14:val="tx1"/>
            </w14:solidFill>
          </w14:textFill>
        </w:rPr>
      </w:pPr>
      <w:r>
        <w:rPr>
          <w:rFonts w:hint="eastAsia"/>
          <w:color w:val="000000" w:themeColor="text1"/>
          <w14:textFill>
            <w14:solidFill>
              <w14:schemeClr w14:val="tx1"/>
            </w14:solidFill>
          </w14:textFill>
        </w:rPr>
        <w:t>现有工程原环评结果与批复情况</w:t>
      </w:r>
    </w:p>
    <w:p>
      <w:pPr>
        <w:pStyle w:val="283"/>
        <w:ind w:firstLine="462"/>
        <w:rPr>
          <w:color w:val="000000" w:themeColor="text1"/>
          <w14:textFill>
            <w14:solidFill>
              <w14:schemeClr w14:val="tx1"/>
            </w14:solidFill>
          </w14:textFill>
        </w:rPr>
      </w:pPr>
      <w:r>
        <w:rPr>
          <w:rFonts w:hint="eastAsia"/>
          <w:color w:val="000000" w:themeColor="text1"/>
          <w14:textFill>
            <w14:solidFill>
              <w14:schemeClr w14:val="tx1"/>
            </w14:solidFill>
          </w14:textFill>
        </w:rPr>
        <w:t>根据《钦州港大榄坪港区大榄坪南作业区9号10号泊位工程环境影响报告书》及环评批复，提出的环境保护措施及环保验收阶段的落实情况详见下表2.1-14。</w:t>
      </w:r>
    </w:p>
    <w:p>
      <w:pPr>
        <w:pStyle w:val="384"/>
        <w:ind w:left="0" w:firstLine="0"/>
        <w:rPr>
          <w:rFonts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现有工程原环评及批复中环保措施落实情况</w:t>
      </w:r>
    </w:p>
    <w:tbl>
      <w:tblPr>
        <w:tblStyle w:val="88"/>
        <w:tblW w:w="8528" w:type="dxa"/>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498"/>
        <w:gridCol w:w="660"/>
        <w:gridCol w:w="3769"/>
        <w:gridCol w:w="3601"/>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blHeader/>
        </w:trPr>
        <w:tc>
          <w:tcPr>
            <w:tcW w:w="498" w:type="dxa"/>
            <w:vAlign w:val="center"/>
          </w:tcPr>
          <w:p>
            <w:pPr>
              <w:spacing w:line="276" w:lineRule="auto"/>
              <w:jc w:val="center"/>
              <w:rPr>
                <w:b/>
                <w:color w:val="000000" w:themeColor="text1"/>
                <w:kern w:val="0"/>
                <w:sz w:val="21"/>
                <w:szCs w:val="21"/>
                <w14:textFill>
                  <w14:solidFill>
                    <w14:schemeClr w14:val="tx1"/>
                  </w14:solidFill>
                </w14:textFill>
              </w:rPr>
            </w:pPr>
            <w:r>
              <w:rPr>
                <w:b/>
                <w:color w:val="000000" w:themeColor="text1"/>
                <w:kern w:val="0"/>
                <w:sz w:val="21"/>
                <w:szCs w:val="21"/>
                <w14:textFill>
                  <w14:solidFill>
                    <w14:schemeClr w14:val="tx1"/>
                  </w14:solidFill>
                </w14:textFill>
              </w:rPr>
              <w:t>序号</w:t>
            </w:r>
          </w:p>
        </w:tc>
        <w:tc>
          <w:tcPr>
            <w:tcW w:w="660" w:type="dxa"/>
            <w:vAlign w:val="center"/>
          </w:tcPr>
          <w:p>
            <w:pPr>
              <w:spacing w:line="276" w:lineRule="auto"/>
              <w:jc w:val="center"/>
              <w:rPr>
                <w:b/>
                <w:color w:val="000000" w:themeColor="text1"/>
                <w:kern w:val="0"/>
                <w:sz w:val="21"/>
                <w:szCs w:val="21"/>
                <w14:textFill>
                  <w14:solidFill>
                    <w14:schemeClr w14:val="tx1"/>
                  </w14:solidFill>
                </w14:textFill>
              </w:rPr>
            </w:pPr>
            <w:r>
              <w:rPr>
                <w:b/>
                <w:color w:val="000000" w:themeColor="text1"/>
                <w:kern w:val="0"/>
                <w:sz w:val="21"/>
                <w:szCs w:val="21"/>
                <w14:textFill>
                  <w14:solidFill>
                    <w14:schemeClr w14:val="tx1"/>
                  </w14:solidFill>
                </w14:textFill>
              </w:rPr>
              <w:t>环境</w:t>
            </w:r>
          </w:p>
          <w:p>
            <w:pPr>
              <w:spacing w:line="276" w:lineRule="auto"/>
              <w:jc w:val="center"/>
              <w:rPr>
                <w:b/>
                <w:color w:val="000000" w:themeColor="text1"/>
                <w:kern w:val="0"/>
                <w:sz w:val="21"/>
                <w:szCs w:val="21"/>
                <w14:textFill>
                  <w14:solidFill>
                    <w14:schemeClr w14:val="tx1"/>
                  </w14:solidFill>
                </w14:textFill>
              </w:rPr>
            </w:pPr>
            <w:r>
              <w:rPr>
                <w:b/>
                <w:color w:val="000000" w:themeColor="text1"/>
                <w:kern w:val="0"/>
                <w:sz w:val="21"/>
                <w:szCs w:val="21"/>
                <w14:textFill>
                  <w14:solidFill>
                    <w14:schemeClr w14:val="tx1"/>
                  </w14:solidFill>
                </w14:textFill>
              </w:rPr>
              <w:t>要素</w:t>
            </w:r>
          </w:p>
        </w:tc>
        <w:tc>
          <w:tcPr>
            <w:tcW w:w="3769" w:type="dxa"/>
            <w:vAlign w:val="center"/>
          </w:tcPr>
          <w:p>
            <w:pPr>
              <w:spacing w:line="276" w:lineRule="auto"/>
              <w:jc w:val="center"/>
              <w:rPr>
                <w:b/>
                <w:color w:val="000000" w:themeColor="text1"/>
                <w:kern w:val="0"/>
                <w:sz w:val="21"/>
                <w:szCs w:val="21"/>
                <w14:textFill>
                  <w14:solidFill>
                    <w14:schemeClr w14:val="tx1"/>
                  </w14:solidFill>
                </w14:textFill>
              </w:rPr>
            </w:pPr>
            <w:r>
              <w:rPr>
                <w:b/>
                <w:color w:val="000000" w:themeColor="text1"/>
                <w:kern w:val="0"/>
                <w:sz w:val="21"/>
                <w:szCs w:val="21"/>
                <w14:textFill>
                  <w14:solidFill>
                    <w14:schemeClr w14:val="tx1"/>
                  </w14:solidFill>
                </w14:textFill>
              </w:rPr>
              <w:t>环保措施</w:t>
            </w:r>
          </w:p>
        </w:tc>
        <w:tc>
          <w:tcPr>
            <w:tcW w:w="3601" w:type="dxa"/>
            <w:vAlign w:val="center"/>
          </w:tcPr>
          <w:p>
            <w:pPr>
              <w:spacing w:line="276" w:lineRule="auto"/>
              <w:jc w:val="center"/>
              <w:rPr>
                <w:b/>
                <w:color w:val="000000" w:themeColor="text1"/>
                <w:kern w:val="0"/>
                <w:sz w:val="21"/>
                <w:szCs w:val="21"/>
                <w14:textFill>
                  <w14:solidFill>
                    <w14:schemeClr w14:val="tx1"/>
                  </w14:solidFill>
                </w14:textFill>
              </w:rPr>
            </w:pPr>
            <w:r>
              <w:rPr>
                <w:b/>
                <w:color w:val="000000" w:themeColor="text1"/>
                <w:kern w:val="0"/>
                <w:sz w:val="21"/>
                <w:szCs w:val="21"/>
                <w14:textFill>
                  <w14:solidFill>
                    <w14:schemeClr w14:val="tx1"/>
                  </w14:solidFill>
                </w14:textFill>
              </w:rPr>
              <w:t>执行情况</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c>
          <w:tcPr>
            <w:tcW w:w="498" w:type="dxa"/>
            <w:vAlign w:val="center"/>
          </w:tcPr>
          <w:p>
            <w:pPr>
              <w:spacing w:line="276" w:lineRule="auto"/>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1</w:t>
            </w:r>
          </w:p>
        </w:tc>
        <w:tc>
          <w:tcPr>
            <w:tcW w:w="660" w:type="dxa"/>
            <w:vMerge w:val="restart"/>
            <w:vAlign w:val="center"/>
          </w:tcPr>
          <w:p>
            <w:pPr>
              <w:spacing w:line="276" w:lineRule="auto"/>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地表水环境</w:t>
            </w:r>
          </w:p>
        </w:tc>
        <w:tc>
          <w:tcPr>
            <w:tcW w:w="3769" w:type="dxa"/>
            <w:vAlign w:val="center"/>
          </w:tcPr>
          <w:p>
            <w:pPr>
              <w:widowControl/>
              <w:adjustRightInd w:val="0"/>
              <w:spacing w:line="276" w:lineRule="auto"/>
              <w:rPr>
                <w:color w:val="000000" w:themeColor="text1"/>
                <w:kern w:val="0"/>
                <w:sz w:val="21"/>
                <w:szCs w:val="21"/>
                <w:lang w:val="nl-BE"/>
                <w14:textFill>
                  <w14:solidFill>
                    <w14:schemeClr w14:val="tx1"/>
                  </w14:solidFill>
                </w14:textFill>
              </w:rPr>
            </w:pPr>
            <w:r>
              <w:rPr>
                <w:color w:val="000000" w:themeColor="text1"/>
                <w:kern w:val="0"/>
                <w:sz w:val="21"/>
                <w:szCs w:val="21"/>
                <w14:textFill>
                  <w14:solidFill>
                    <w14:schemeClr w14:val="tx1"/>
                  </w14:solidFill>
                </w14:textFill>
              </w:rPr>
              <w:t>项目陆域生活污水</w:t>
            </w:r>
            <w:r>
              <w:rPr>
                <w:rFonts w:hint="eastAsia"/>
                <w:color w:val="000000" w:themeColor="text1"/>
                <w:kern w:val="0"/>
                <w:sz w:val="21"/>
                <w:szCs w:val="21"/>
                <w14:textFill>
                  <w14:solidFill>
                    <w14:schemeClr w14:val="tx1"/>
                  </w14:solidFill>
                </w14:textFill>
              </w:rPr>
              <w:t>依托</w:t>
            </w:r>
            <w:r>
              <w:rPr>
                <w:color w:val="000000" w:themeColor="text1"/>
                <w:kern w:val="0"/>
                <w:sz w:val="21"/>
                <w:szCs w:val="21"/>
                <w14:textFill>
                  <w14:solidFill>
                    <w14:schemeClr w14:val="tx1"/>
                  </w14:solidFill>
                </w14:textFill>
              </w:rPr>
              <w:t>7~10号泊位共用的5m</w:t>
            </w:r>
            <w:r>
              <w:rPr>
                <w:color w:val="000000" w:themeColor="text1"/>
                <w:kern w:val="0"/>
                <w:sz w:val="21"/>
                <w:szCs w:val="21"/>
                <w:vertAlign w:val="superscript"/>
                <w14:textFill>
                  <w14:solidFill>
                    <w14:schemeClr w14:val="tx1"/>
                  </w14:solidFill>
                </w14:textFill>
              </w:rPr>
              <w:t>3</w:t>
            </w:r>
            <w:r>
              <w:rPr>
                <w:color w:val="000000" w:themeColor="text1"/>
                <w:kern w:val="0"/>
                <w:sz w:val="21"/>
                <w:szCs w:val="21"/>
                <w14:textFill>
                  <w14:solidFill>
                    <w14:schemeClr w14:val="tx1"/>
                  </w14:solidFill>
                </w14:textFill>
              </w:rPr>
              <w:t>/h的港区生活污水处理站，</w:t>
            </w:r>
            <w:r>
              <w:rPr>
                <w:rFonts w:hint="eastAsia"/>
                <w:color w:val="000000" w:themeColor="text1"/>
                <w:kern w:val="0"/>
                <w:sz w:val="21"/>
                <w:szCs w:val="21"/>
                <w14:textFill>
                  <w14:solidFill>
                    <w14:schemeClr w14:val="tx1"/>
                  </w14:solidFill>
                </w14:textFill>
              </w:rPr>
              <w:t>预处理达到《污水排入城镇下水道水质标准》（GB/T31962-2015）B级标准后，进入钦州市大榄坪污水处理厂。</w:t>
            </w:r>
          </w:p>
        </w:tc>
        <w:tc>
          <w:tcPr>
            <w:tcW w:w="3601" w:type="dxa"/>
            <w:vAlign w:val="center"/>
          </w:tcPr>
          <w:p>
            <w:pPr>
              <w:widowControl/>
              <w:adjustRightInd w:val="0"/>
              <w:spacing w:line="276" w:lineRule="auto"/>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落实。</w:t>
            </w:r>
          </w:p>
          <w:p>
            <w:pPr>
              <w:widowControl/>
              <w:adjustRightInd w:val="0"/>
              <w:spacing w:line="276" w:lineRule="auto"/>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9号10号泊位港区设置有</w:t>
            </w:r>
            <w:r>
              <w:rPr>
                <w:rFonts w:hint="eastAsia"/>
                <w:color w:val="000000" w:themeColor="text1"/>
                <w:kern w:val="0"/>
                <w:sz w:val="21"/>
                <w:szCs w:val="21"/>
                <w14:textFill>
                  <w14:solidFill>
                    <w14:schemeClr w14:val="tx1"/>
                  </w14:solidFill>
                </w14:textFill>
              </w:rPr>
              <w:t>一处</w:t>
            </w:r>
            <w:r>
              <w:rPr>
                <w:color w:val="000000" w:themeColor="text1"/>
                <w:kern w:val="0"/>
                <w:sz w:val="21"/>
                <w:szCs w:val="21"/>
                <w14:textFill>
                  <w14:solidFill>
                    <w14:schemeClr w14:val="tx1"/>
                  </w14:solidFill>
                </w14:textFill>
              </w:rPr>
              <w:t>厕所，生活污水通过管道</w:t>
            </w:r>
            <w:r>
              <w:rPr>
                <w:rFonts w:hint="eastAsia"/>
                <w:color w:val="000000" w:themeColor="text1"/>
                <w:kern w:val="0"/>
                <w:sz w:val="21"/>
                <w:szCs w:val="21"/>
                <w14:textFill>
                  <w14:solidFill>
                    <w14:schemeClr w14:val="tx1"/>
                  </w14:solidFill>
                </w14:textFill>
              </w:rPr>
              <w:t>泵吸</w:t>
            </w:r>
            <w:r>
              <w:rPr>
                <w:color w:val="000000" w:themeColor="text1"/>
                <w:kern w:val="0"/>
                <w:sz w:val="21"/>
                <w:szCs w:val="21"/>
                <w14:textFill>
                  <w14:solidFill>
                    <w14:schemeClr w14:val="tx1"/>
                  </w14:solidFill>
                </w14:textFill>
              </w:rPr>
              <w:t>至7号8号泊位后方的生活污水处理站，废水预处理达到</w:t>
            </w:r>
            <w:r>
              <w:rPr>
                <w:rFonts w:hint="eastAsia"/>
                <w:color w:val="000000" w:themeColor="text1"/>
                <w:kern w:val="0"/>
                <w:sz w:val="21"/>
                <w:szCs w:val="21"/>
                <w14:textFill>
                  <w14:solidFill>
                    <w14:schemeClr w14:val="tx1"/>
                  </w14:solidFill>
                </w14:textFill>
              </w:rPr>
              <w:t>《污水排入城镇下水道水质标准》（GB/T31962-2015）B级标准</w:t>
            </w:r>
            <w:r>
              <w:rPr>
                <w:color w:val="000000" w:themeColor="text1"/>
                <w:kern w:val="0"/>
                <w:sz w:val="21"/>
                <w:szCs w:val="21"/>
                <w14:textFill>
                  <w14:solidFill>
                    <w14:schemeClr w14:val="tx1"/>
                  </w14:solidFill>
                </w14:textFill>
              </w:rPr>
              <w:t>后，</w:t>
            </w:r>
            <w:r>
              <w:rPr>
                <w:rFonts w:hint="eastAsia"/>
                <w:color w:val="000000" w:themeColor="text1"/>
                <w:kern w:val="0"/>
                <w:sz w:val="21"/>
                <w:szCs w:val="21"/>
                <w14:textFill>
                  <w14:solidFill>
                    <w14:schemeClr w14:val="tx1"/>
                  </w14:solidFill>
                </w14:textFill>
              </w:rPr>
              <w:t>进入</w:t>
            </w:r>
            <w:r>
              <w:rPr>
                <w:color w:val="000000" w:themeColor="text1"/>
                <w:kern w:val="0"/>
                <w:sz w:val="21"/>
                <w:szCs w:val="21"/>
                <w14:textFill>
                  <w14:solidFill>
                    <w14:schemeClr w14:val="tx1"/>
                  </w14:solidFill>
                </w14:textFill>
              </w:rPr>
              <w:t>大榄坪污水处理厂。</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c>
          <w:tcPr>
            <w:tcW w:w="498" w:type="dxa"/>
            <w:vAlign w:val="center"/>
          </w:tcPr>
          <w:p>
            <w:pPr>
              <w:spacing w:line="276" w:lineRule="auto"/>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2</w:t>
            </w:r>
          </w:p>
        </w:tc>
        <w:tc>
          <w:tcPr>
            <w:tcW w:w="660" w:type="dxa"/>
            <w:vMerge w:val="continue"/>
            <w:vAlign w:val="center"/>
          </w:tcPr>
          <w:p>
            <w:pPr>
              <w:spacing w:line="276" w:lineRule="auto"/>
              <w:jc w:val="center"/>
              <w:rPr>
                <w:color w:val="000000" w:themeColor="text1"/>
                <w:kern w:val="0"/>
                <w:sz w:val="21"/>
                <w:szCs w:val="21"/>
                <w14:textFill>
                  <w14:solidFill>
                    <w14:schemeClr w14:val="tx1"/>
                  </w14:solidFill>
                </w14:textFill>
              </w:rPr>
            </w:pPr>
          </w:p>
        </w:tc>
        <w:tc>
          <w:tcPr>
            <w:tcW w:w="3769" w:type="dxa"/>
            <w:vAlign w:val="center"/>
          </w:tcPr>
          <w:p>
            <w:pPr>
              <w:widowControl/>
              <w:adjustRightInd w:val="0"/>
              <w:spacing w:line="276" w:lineRule="auto"/>
              <w:rPr>
                <w:color w:val="000000" w:themeColor="text1"/>
                <w:kern w:val="0"/>
                <w:sz w:val="21"/>
                <w:szCs w:val="21"/>
                <w:lang w:val="nl-BE"/>
                <w14:textFill>
                  <w14:solidFill>
                    <w14:schemeClr w14:val="tx1"/>
                  </w14:solidFill>
                </w14:textFill>
              </w:rPr>
            </w:pPr>
            <w:r>
              <w:rPr>
                <w:color w:val="000000" w:themeColor="text1"/>
                <w:kern w:val="0"/>
                <w:sz w:val="21"/>
                <w:szCs w:val="21"/>
                <w14:textFill>
                  <w14:solidFill>
                    <w14:schemeClr w14:val="tx1"/>
                  </w14:solidFill>
                </w14:textFill>
              </w:rPr>
              <w:t>靠港船舶污水委托经海事管理机构批准的船舶污染物接收单位统一接收处理。</w:t>
            </w:r>
          </w:p>
        </w:tc>
        <w:tc>
          <w:tcPr>
            <w:tcW w:w="3601" w:type="dxa"/>
            <w:vAlign w:val="center"/>
          </w:tcPr>
          <w:p>
            <w:pPr>
              <w:widowControl/>
              <w:adjustRightInd w:val="0"/>
              <w:spacing w:line="276" w:lineRule="auto"/>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落实。</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65" w:hRule="atLeast"/>
        </w:trPr>
        <w:tc>
          <w:tcPr>
            <w:tcW w:w="498" w:type="dxa"/>
            <w:vAlign w:val="center"/>
          </w:tcPr>
          <w:p>
            <w:pPr>
              <w:spacing w:line="276" w:lineRule="auto"/>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3</w:t>
            </w:r>
          </w:p>
        </w:tc>
        <w:tc>
          <w:tcPr>
            <w:tcW w:w="660" w:type="dxa"/>
            <w:vMerge w:val="restart"/>
            <w:vAlign w:val="center"/>
          </w:tcPr>
          <w:p>
            <w:pPr>
              <w:spacing w:line="276" w:lineRule="auto"/>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环境空气</w:t>
            </w:r>
          </w:p>
        </w:tc>
        <w:tc>
          <w:tcPr>
            <w:tcW w:w="3769" w:type="dxa"/>
            <w:vAlign w:val="center"/>
          </w:tcPr>
          <w:p>
            <w:pPr>
              <w:widowControl/>
              <w:adjustRightInd w:val="0"/>
              <w:spacing w:line="276" w:lineRule="auto"/>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运输过程中的扬尘：</w:t>
            </w:r>
          </w:p>
          <w:p>
            <w:pPr>
              <w:widowControl/>
              <w:adjustRightInd w:val="0"/>
              <w:spacing w:line="276" w:lineRule="auto"/>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fldChar w:fldCharType="begin"/>
            </w:r>
            <w:r>
              <w:rPr>
                <w:color w:val="000000" w:themeColor="text1"/>
                <w:kern w:val="0"/>
                <w:sz w:val="21"/>
                <w:szCs w:val="21"/>
                <w14:textFill>
                  <w14:solidFill>
                    <w14:schemeClr w14:val="tx1"/>
                  </w14:solidFill>
                </w14:textFill>
              </w:rPr>
              <w:instrText xml:space="preserve"> = 1 \* GB3 </w:instrText>
            </w:r>
            <w:r>
              <w:rPr>
                <w:color w:val="000000" w:themeColor="text1"/>
                <w:kern w:val="0"/>
                <w:sz w:val="21"/>
                <w:szCs w:val="21"/>
                <w14:textFill>
                  <w14:solidFill>
                    <w14:schemeClr w14:val="tx1"/>
                  </w14:solidFill>
                </w14:textFill>
              </w:rPr>
              <w:fldChar w:fldCharType="separate"/>
            </w:r>
            <w:r>
              <w:rPr>
                <w:rFonts w:hint="eastAsia" w:ascii="宋体" w:hAnsi="宋体" w:cs="宋体"/>
                <w:color w:val="000000" w:themeColor="text1"/>
                <w:kern w:val="0"/>
                <w:sz w:val="21"/>
                <w:szCs w:val="21"/>
                <w14:textFill>
                  <w14:solidFill>
                    <w14:schemeClr w14:val="tx1"/>
                  </w14:solidFill>
                </w14:textFill>
              </w:rPr>
              <w:t>①</w:t>
            </w:r>
            <w:r>
              <w:rPr>
                <w:color w:val="000000" w:themeColor="text1"/>
                <w:kern w:val="0"/>
                <w:sz w:val="21"/>
                <w:szCs w:val="21"/>
                <w14:textFill>
                  <w14:solidFill>
                    <w14:schemeClr w14:val="tx1"/>
                  </w14:solidFill>
                </w14:textFill>
              </w:rPr>
              <w:fldChar w:fldCharType="end"/>
            </w:r>
            <w:r>
              <w:rPr>
                <w:color w:val="000000" w:themeColor="text1"/>
                <w:kern w:val="0"/>
                <w:sz w:val="21"/>
                <w:szCs w:val="21"/>
                <w14:textFill>
                  <w14:solidFill>
                    <w14:schemeClr w14:val="tx1"/>
                  </w14:solidFill>
                </w14:textFill>
              </w:rPr>
              <w:t>对厂区道路及车辆出厂道路进行全面硬化；</w:t>
            </w:r>
          </w:p>
          <w:p>
            <w:pPr>
              <w:widowControl/>
              <w:adjustRightInd w:val="0"/>
              <w:spacing w:line="276" w:lineRule="auto"/>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fldChar w:fldCharType="begin"/>
            </w:r>
            <w:r>
              <w:rPr>
                <w:color w:val="000000" w:themeColor="text1"/>
                <w:kern w:val="0"/>
                <w:sz w:val="21"/>
                <w:szCs w:val="21"/>
                <w14:textFill>
                  <w14:solidFill>
                    <w14:schemeClr w14:val="tx1"/>
                  </w14:solidFill>
                </w14:textFill>
              </w:rPr>
              <w:instrText xml:space="preserve"> = 2 \* GB3 </w:instrText>
            </w:r>
            <w:r>
              <w:rPr>
                <w:color w:val="000000" w:themeColor="text1"/>
                <w:kern w:val="0"/>
                <w:sz w:val="21"/>
                <w:szCs w:val="21"/>
                <w14:textFill>
                  <w14:solidFill>
                    <w14:schemeClr w14:val="tx1"/>
                  </w14:solidFill>
                </w14:textFill>
              </w:rPr>
              <w:fldChar w:fldCharType="separate"/>
            </w:r>
            <w:r>
              <w:rPr>
                <w:rFonts w:hint="eastAsia" w:ascii="宋体" w:hAnsi="宋体" w:cs="宋体"/>
                <w:color w:val="000000" w:themeColor="text1"/>
                <w:kern w:val="0"/>
                <w:sz w:val="21"/>
                <w:szCs w:val="21"/>
                <w14:textFill>
                  <w14:solidFill>
                    <w14:schemeClr w14:val="tx1"/>
                  </w14:solidFill>
                </w14:textFill>
              </w:rPr>
              <w:t>②</w:t>
            </w:r>
            <w:r>
              <w:rPr>
                <w:color w:val="000000" w:themeColor="text1"/>
                <w:kern w:val="0"/>
                <w:sz w:val="21"/>
                <w:szCs w:val="21"/>
                <w14:textFill>
                  <w14:solidFill>
                    <w14:schemeClr w14:val="tx1"/>
                  </w14:solidFill>
                </w14:textFill>
              </w:rPr>
              <w:fldChar w:fldCharType="end"/>
            </w:r>
            <w:r>
              <w:rPr>
                <w:color w:val="000000" w:themeColor="text1"/>
                <w:kern w:val="0"/>
                <w:sz w:val="21"/>
                <w:szCs w:val="21"/>
                <w14:textFill>
                  <w14:solidFill>
                    <w14:schemeClr w14:val="tx1"/>
                  </w14:solidFill>
                </w14:textFill>
              </w:rPr>
              <w:t>保持厂区道路路面的清洁和相对湿度，当路面出现损坏及时修复，同时对该道路进行定时洒水，并应视路面状况调整洒水频次；</w:t>
            </w:r>
          </w:p>
          <w:p>
            <w:pPr>
              <w:widowControl/>
              <w:adjustRightInd w:val="0"/>
              <w:spacing w:line="276" w:lineRule="auto"/>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fldChar w:fldCharType="begin"/>
            </w:r>
            <w:r>
              <w:rPr>
                <w:color w:val="000000" w:themeColor="text1"/>
                <w:kern w:val="0"/>
                <w:sz w:val="21"/>
                <w:szCs w:val="21"/>
                <w14:textFill>
                  <w14:solidFill>
                    <w14:schemeClr w14:val="tx1"/>
                  </w14:solidFill>
                </w14:textFill>
              </w:rPr>
              <w:instrText xml:space="preserve"> = 3 \* GB3 </w:instrText>
            </w:r>
            <w:r>
              <w:rPr>
                <w:color w:val="000000" w:themeColor="text1"/>
                <w:kern w:val="0"/>
                <w:sz w:val="21"/>
                <w:szCs w:val="21"/>
                <w14:textFill>
                  <w14:solidFill>
                    <w14:schemeClr w14:val="tx1"/>
                  </w14:solidFill>
                </w14:textFill>
              </w:rPr>
              <w:fldChar w:fldCharType="separate"/>
            </w:r>
            <w:r>
              <w:rPr>
                <w:rFonts w:hint="eastAsia" w:ascii="宋体" w:hAnsi="宋体" w:cs="宋体"/>
                <w:color w:val="000000" w:themeColor="text1"/>
                <w:kern w:val="0"/>
                <w:sz w:val="21"/>
                <w:szCs w:val="21"/>
                <w14:textFill>
                  <w14:solidFill>
                    <w14:schemeClr w14:val="tx1"/>
                  </w14:solidFill>
                </w14:textFill>
              </w:rPr>
              <w:t>③</w:t>
            </w:r>
            <w:r>
              <w:rPr>
                <w:color w:val="000000" w:themeColor="text1"/>
                <w:kern w:val="0"/>
                <w:sz w:val="21"/>
                <w:szCs w:val="21"/>
                <w14:textFill>
                  <w14:solidFill>
                    <w14:schemeClr w14:val="tx1"/>
                  </w14:solidFill>
                </w14:textFill>
              </w:rPr>
              <w:fldChar w:fldCharType="end"/>
            </w:r>
            <w:r>
              <w:rPr>
                <w:color w:val="000000" w:themeColor="text1"/>
                <w:kern w:val="0"/>
                <w:sz w:val="21"/>
                <w:szCs w:val="21"/>
                <w14:textFill>
                  <w14:solidFill>
                    <w14:schemeClr w14:val="tx1"/>
                  </w14:solidFill>
                </w14:textFill>
              </w:rPr>
              <w:t>运输车辆加盖篷布进行封闭，严禁超载，车辆进出厂区清洗车轮，出现</w:t>
            </w:r>
            <w:r>
              <w:rPr>
                <w:rFonts w:hint="eastAsia"/>
                <w:color w:val="000000" w:themeColor="text1"/>
                <w:kern w:val="0"/>
                <w:sz w:val="21"/>
                <w:szCs w:val="21"/>
                <w14:textFill>
                  <w14:solidFill>
                    <w14:schemeClr w14:val="tx1"/>
                  </w14:solidFill>
                </w14:textFill>
              </w:rPr>
              <w:t>抛洒</w:t>
            </w:r>
            <w:r>
              <w:rPr>
                <w:color w:val="000000" w:themeColor="text1"/>
                <w:kern w:val="0"/>
                <w:sz w:val="21"/>
                <w:szCs w:val="21"/>
                <w14:textFill>
                  <w14:solidFill>
                    <w14:schemeClr w14:val="tx1"/>
                  </w14:solidFill>
                </w14:textFill>
              </w:rPr>
              <w:t>抛撒要及时清理干净；</w:t>
            </w:r>
          </w:p>
          <w:p>
            <w:pPr>
              <w:adjustRightInd w:val="0"/>
              <w:spacing w:line="276" w:lineRule="auto"/>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fldChar w:fldCharType="begin"/>
            </w:r>
            <w:r>
              <w:rPr>
                <w:color w:val="000000" w:themeColor="text1"/>
                <w:kern w:val="0"/>
                <w:sz w:val="21"/>
                <w:szCs w:val="21"/>
                <w14:textFill>
                  <w14:solidFill>
                    <w14:schemeClr w14:val="tx1"/>
                  </w14:solidFill>
                </w14:textFill>
              </w:rPr>
              <w:instrText xml:space="preserve"> = 4 \* GB3 </w:instrText>
            </w:r>
            <w:r>
              <w:rPr>
                <w:color w:val="000000" w:themeColor="text1"/>
                <w:kern w:val="0"/>
                <w:sz w:val="21"/>
                <w:szCs w:val="21"/>
                <w14:textFill>
                  <w14:solidFill>
                    <w14:schemeClr w14:val="tx1"/>
                  </w14:solidFill>
                </w14:textFill>
              </w:rPr>
              <w:fldChar w:fldCharType="separate"/>
            </w:r>
            <w:r>
              <w:rPr>
                <w:rFonts w:hint="eastAsia" w:ascii="宋体" w:hAnsi="宋体" w:cs="宋体"/>
                <w:color w:val="000000" w:themeColor="text1"/>
                <w:kern w:val="0"/>
                <w:sz w:val="21"/>
                <w:szCs w:val="21"/>
                <w14:textFill>
                  <w14:solidFill>
                    <w14:schemeClr w14:val="tx1"/>
                  </w14:solidFill>
                </w14:textFill>
              </w:rPr>
              <w:t>④</w:t>
            </w:r>
            <w:r>
              <w:rPr>
                <w:color w:val="000000" w:themeColor="text1"/>
                <w:kern w:val="0"/>
                <w:sz w:val="21"/>
                <w:szCs w:val="21"/>
                <w14:textFill>
                  <w14:solidFill>
                    <w14:schemeClr w14:val="tx1"/>
                  </w14:solidFill>
                </w14:textFill>
              </w:rPr>
              <w:fldChar w:fldCharType="end"/>
            </w:r>
            <w:r>
              <w:rPr>
                <w:color w:val="000000" w:themeColor="text1"/>
                <w:kern w:val="0"/>
                <w:sz w:val="21"/>
                <w:szCs w:val="21"/>
                <w14:textFill>
                  <w14:solidFill>
                    <w14:schemeClr w14:val="tx1"/>
                  </w14:solidFill>
                </w14:textFill>
              </w:rPr>
              <w:t>厂区内设专门洗车场，对进出厂区的车辆进行冲洗。</w:t>
            </w:r>
          </w:p>
        </w:tc>
        <w:tc>
          <w:tcPr>
            <w:tcW w:w="3601" w:type="dxa"/>
            <w:vAlign w:val="center"/>
          </w:tcPr>
          <w:p>
            <w:pPr>
              <w:widowControl/>
              <w:adjustRightInd w:val="0"/>
              <w:spacing w:line="276" w:lineRule="auto"/>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落实。</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757" w:hRule="atLeast"/>
        </w:trPr>
        <w:tc>
          <w:tcPr>
            <w:tcW w:w="498" w:type="dxa"/>
            <w:vAlign w:val="center"/>
          </w:tcPr>
          <w:p>
            <w:pPr>
              <w:spacing w:line="276" w:lineRule="auto"/>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4</w:t>
            </w:r>
          </w:p>
        </w:tc>
        <w:tc>
          <w:tcPr>
            <w:tcW w:w="660" w:type="dxa"/>
            <w:vMerge w:val="continue"/>
            <w:vAlign w:val="center"/>
          </w:tcPr>
          <w:p>
            <w:pPr>
              <w:spacing w:line="276" w:lineRule="auto"/>
              <w:jc w:val="center"/>
              <w:rPr>
                <w:color w:val="000000" w:themeColor="text1"/>
                <w:kern w:val="0"/>
                <w:sz w:val="21"/>
                <w:szCs w:val="21"/>
                <w14:textFill>
                  <w14:solidFill>
                    <w14:schemeClr w14:val="tx1"/>
                  </w14:solidFill>
                </w14:textFill>
              </w:rPr>
            </w:pPr>
          </w:p>
        </w:tc>
        <w:tc>
          <w:tcPr>
            <w:tcW w:w="3769" w:type="dxa"/>
            <w:vAlign w:val="center"/>
          </w:tcPr>
          <w:p>
            <w:pPr>
              <w:widowControl/>
              <w:adjustRightInd w:val="0"/>
              <w:spacing w:line="276" w:lineRule="auto"/>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汽车尾气：</w:t>
            </w:r>
          </w:p>
          <w:p>
            <w:pPr>
              <w:widowControl/>
              <w:adjustRightInd w:val="0"/>
              <w:spacing w:line="276" w:lineRule="auto"/>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加强车辆保养和维护，减少超载，减少停车怠速时间，使其对大气环境的不良影响降至最低。</w:t>
            </w:r>
          </w:p>
        </w:tc>
        <w:tc>
          <w:tcPr>
            <w:tcW w:w="3601" w:type="dxa"/>
            <w:vAlign w:val="center"/>
          </w:tcPr>
          <w:p>
            <w:pPr>
              <w:widowControl/>
              <w:adjustRightInd w:val="0"/>
              <w:spacing w:line="276" w:lineRule="auto"/>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落实。</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759" w:hRule="atLeast"/>
        </w:trPr>
        <w:tc>
          <w:tcPr>
            <w:tcW w:w="498" w:type="dxa"/>
            <w:vAlign w:val="center"/>
          </w:tcPr>
          <w:p>
            <w:pPr>
              <w:spacing w:line="276" w:lineRule="auto"/>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5</w:t>
            </w:r>
          </w:p>
        </w:tc>
        <w:tc>
          <w:tcPr>
            <w:tcW w:w="660" w:type="dxa"/>
            <w:vMerge w:val="restart"/>
            <w:vAlign w:val="center"/>
          </w:tcPr>
          <w:p>
            <w:pPr>
              <w:spacing w:line="276" w:lineRule="auto"/>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声环境</w:t>
            </w:r>
          </w:p>
        </w:tc>
        <w:tc>
          <w:tcPr>
            <w:tcW w:w="3769" w:type="dxa"/>
            <w:vAlign w:val="center"/>
          </w:tcPr>
          <w:p>
            <w:pPr>
              <w:adjustRightInd w:val="0"/>
              <w:spacing w:line="276" w:lineRule="auto"/>
              <w:rPr>
                <w:color w:val="000000" w:themeColor="text1"/>
                <w:kern w:val="0"/>
                <w:sz w:val="21"/>
                <w:szCs w:val="21"/>
                <w:lang w:val="nl-BE"/>
                <w14:textFill>
                  <w14:solidFill>
                    <w14:schemeClr w14:val="tx1"/>
                  </w14:solidFill>
                </w14:textFill>
              </w:rPr>
            </w:pPr>
            <w:r>
              <w:rPr>
                <w:color w:val="000000" w:themeColor="text1"/>
                <w:kern w:val="0"/>
                <w:sz w:val="21"/>
                <w:szCs w:val="21"/>
                <w14:textFill>
                  <w14:solidFill>
                    <w14:schemeClr w14:val="tx1"/>
                  </w14:solidFill>
                </w14:textFill>
              </w:rPr>
              <w:t>应选择噪声低、能耗低，或配有消声装置的装卸、运输机械设备或动力设备。</w:t>
            </w:r>
          </w:p>
        </w:tc>
        <w:tc>
          <w:tcPr>
            <w:tcW w:w="3601" w:type="dxa"/>
            <w:vAlign w:val="center"/>
          </w:tcPr>
          <w:p>
            <w:pPr>
              <w:widowControl/>
              <w:adjustRightInd w:val="0"/>
              <w:spacing w:line="276" w:lineRule="auto"/>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落实。</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c>
          <w:tcPr>
            <w:tcW w:w="498" w:type="dxa"/>
            <w:vAlign w:val="center"/>
          </w:tcPr>
          <w:p>
            <w:pPr>
              <w:spacing w:line="276" w:lineRule="auto"/>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6</w:t>
            </w:r>
          </w:p>
        </w:tc>
        <w:tc>
          <w:tcPr>
            <w:tcW w:w="660" w:type="dxa"/>
            <w:vMerge w:val="continue"/>
            <w:vAlign w:val="center"/>
          </w:tcPr>
          <w:p>
            <w:pPr>
              <w:spacing w:line="276" w:lineRule="auto"/>
              <w:jc w:val="center"/>
              <w:rPr>
                <w:color w:val="000000" w:themeColor="text1"/>
                <w:kern w:val="0"/>
                <w:sz w:val="21"/>
                <w:szCs w:val="21"/>
                <w14:textFill>
                  <w14:solidFill>
                    <w14:schemeClr w14:val="tx1"/>
                  </w14:solidFill>
                </w14:textFill>
              </w:rPr>
            </w:pPr>
          </w:p>
        </w:tc>
        <w:tc>
          <w:tcPr>
            <w:tcW w:w="3769" w:type="dxa"/>
            <w:vAlign w:val="center"/>
          </w:tcPr>
          <w:p>
            <w:pPr>
              <w:widowControl/>
              <w:adjustRightInd w:val="0"/>
              <w:spacing w:line="276" w:lineRule="auto"/>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加强机械、车辆和设备的维护，确保设备处于良好</w:t>
            </w:r>
            <w:r>
              <w:rPr>
                <w:rFonts w:hint="eastAsia"/>
                <w:color w:val="000000" w:themeColor="text1"/>
                <w:kern w:val="0"/>
                <w:sz w:val="21"/>
                <w:szCs w:val="21"/>
                <w14:textFill>
                  <w14:solidFill>
                    <w14:schemeClr w14:val="tx1"/>
                  </w14:solidFill>
                </w14:textFill>
              </w:rPr>
              <w:t>地</w:t>
            </w:r>
            <w:r>
              <w:rPr>
                <w:color w:val="000000" w:themeColor="text1"/>
                <w:kern w:val="0"/>
                <w:sz w:val="21"/>
                <w:szCs w:val="21"/>
                <w14:textFill>
                  <w14:solidFill>
                    <w14:schemeClr w14:val="tx1"/>
                  </w14:solidFill>
                </w14:textFill>
              </w:rPr>
              <w:t>运转状态，杜绝因设备不正常运转时产生的高噪声现象。</w:t>
            </w:r>
          </w:p>
        </w:tc>
        <w:tc>
          <w:tcPr>
            <w:tcW w:w="3601" w:type="dxa"/>
            <w:vAlign w:val="center"/>
          </w:tcPr>
          <w:p>
            <w:pPr>
              <w:widowControl/>
              <w:adjustRightInd w:val="0"/>
              <w:spacing w:line="276" w:lineRule="auto"/>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落实。</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830" w:hRule="atLeast"/>
        </w:trPr>
        <w:tc>
          <w:tcPr>
            <w:tcW w:w="498" w:type="dxa"/>
            <w:vAlign w:val="center"/>
          </w:tcPr>
          <w:p>
            <w:pPr>
              <w:spacing w:line="276" w:lineRule="auto"/>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7</w:t>
            </w:r>
          </w:p>
        </w:tc>
        <w:tc>
          <w:tcPr>
            <w:tcW w:w="660" w:type="dxa"/>
            <w:vMerge w:val="restart"/>
            <w:vAlign w:val="center"/>
          </w:tcPr>
          <w:p>
            <w:pPr>
              <w:spacing w:line="276" w:lineRule="auto"/>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固体废物</w:t>
            </w:r>
          </w:p>
        </w:tc>
        <w:tc>
          <w:tcPr>
            <w:tcW w:w="3769" w:type="dxa"/>
            <w:vAlign w:val="center"/>
          </w:tcPr>
          <w:p>
            <w:pPr>
              <w:adjustRightInd w:val="0"/>
              <w:spacing w:line="276" w:lineRule="auto"/>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港区生活垃圾设固定垃圾箱，由钦州市华洁清洁有限公司定期清运和处理。</w:t>
            </w:r>
          </w:p>
        </w:tc>
        <w:tc>
          <w:tcPr>
            <w:tcW w:w="3601" w:type="dxa"/>
            <w:vAlign w:val="center"/>
          </w:tcPr>
          <w:p>
            <w:pPr>
              <w:widowControl/>
              <w:adjustRightInd w:val="0"/>
              <w:spacing w:line="276" w:lineRule="auto"/>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落实。</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710" w:hRule="atLeast"/>
        </w:trPr>
        <w:tc>
          <w:tcPr>
            <w:tcW w:w="498" w:type="dxa"/>
            <w:vAlign w:val="center"/>
          </w:tcPr>
          <w:p>
            <w:pPr>
              <w:spacing w:line="276" w:lineRule="auto"/>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8</w:t>
            </w:r>
          </w:p>
        </w:tc>
        <w:tc>
          <w:tcPr>
            <w:tcW w:w="660" w:type="dxa"/>
            <w:vMerge w:val="continue"/>
            <w:vAlign w:val="center"/>
          </w:tcPr>
          <w:p>
            <w:pPr>
              <w:spacing w:line="276" w:lineRule="auto"/>
              <w:jc w:val="center"/>
              <w:rPr>
                <w:color w:val="000000" w:themeColor="text1"/>
                <w:kern w:val="0"/>
                <w:sz w:val="21"/>
                <w:szCs w:val="21"/>
                <w14:textFill>
                  <w14:solidFill>
                    <w14:schemeClr w14:val="tx1"/>
                  </w14:solidFill>
                </w14:textFill>
              </w:rPr>
            </w:pPr>
          </w:p>
        </w:tc>
        <w:tc>
          <w:tcPr>
            <w:tcW w:w="3769" w:type="dxa"/>
            <w:vAlign w:val="center"/>
          </w:tcPr>
          <w:p>
            <w:pPr>
              <w:widowControl/>
              <w:adjustRightInd w:val="0"/>
              <w:spacing w:line="276" w:lineRule="auto"/>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船舶垃圾包括船舶生活垃圾，通过钦州市桂通船舶服务有限公司接收。</w:t>
            </w:r>
          </w:p>
        </w:tc>
        <w:tc>
          <w:tcPr>
            <w:tcW w:w="3601" w:type="dxa"/>
            <w:vAlign w:val="center"/>
          </w:tcPr>
          <w:p>
            <w:pPr>
              <w:widowControl/>
              <w:adjustRightInd w:val="0"/>
              <w:spacing w:line="276" w:lineRule="auto"/>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落实。</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493" w:hRule="atLeast"/>
        </w:trPr>
        <w:tc>
          <w:tcPr>
            <w:tcW w:w="498" w:type="dxa"/>
            <w:vAlign w:val="center"/>
          </w:tcPr>
          <w:p>
            <w:pPr>
              <w:spacing w:line="276" w:lineRule="auto"/>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10</w:t>
            </w:r>
          </w:p>
        </w:tc>
        <w:tc>
          <w:tcPr>
            <w:tcW w:w="660" w:type="dxa"/>
            <w:vMerge w:val="restart"/>
            <w:vAlign w:val="center"/>
          </w:tcPr>
          <w:p>
            <w:pPr>
              <w:spacing w:line="276" w:lineRule="auto"/>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海洋生态环境</w:t>
            </w:r>
          </w:p>
        </w:tc>
        <w:tc>
          <w:tcPr>
            <w:tcW w:w="3769" w:type="dxa"/>
            <w:vAlign w:val="center"/>
          </w:tcPr>
          <w:p>
            <w:pPr>
              <w:adjustRightInd w:val="0"/>
              <w:spacing w:line="276" w:lineRule="auto"/>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运营期间做好污水、固废等污染物的分类收集工作，严禁向海域内随意排放和丢弃污染物，避免对生态环境造成影响。</w:t>
            </w:r>
          </w:p>
        </w:tc>
        <w:tc>
          <w:tcPr>
            <w:tcW w:w="3601" w:type="dxa"/>
            <w:vAlign w:val="center"/>
          </w:tcPr>
          <w:p>
            <w:pPr>
              <w:widowControl/>
              <w:adjustRightInd w:val="0"/>
              <w:spacing w:line="276" w:lineRule="auto"/>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落实。</w:t>
            </w:r>
          </w:p>
          <w:p>
            <w:pPr>
              <w:adjustRightInd w:val="0"/>
              <w:spacing w:line="276" w:lineRule="auto"/>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本项目施工期和运营期未向海域内排放和丢弃污染物，对海洋生态环境无影响。</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c>
          <w:tcPr>
            <w:tcW w:w="498" w:type="dxa"/>
            <w:vAlign w:val="center"/>
          </w:tcPr>
          <w:p>
            <w:pPr>
              <w:spacing w:line="276" w:lineRule="auto"/>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11</w:t>
            </w:r>
          </w:p>
        </w:tc>
        <w:tc>
          <w:tcPr>
            <w:tcW w:w="660" w:type="dxa"/>
            <w:vMerge w:val="continue"/>
            <w:vAlign w:val="center"/>
          </w:tcPr>
          <w:p>
            <w:pPr>
              <w:spacing w:line="276" w:lineRule="auto"/>
              <w:jc w:val="center"/>
              <w:rPr>
                <w:color w:val="000000" w:themeColor="text1"/>
                <w:kern w:val="0"/>
                <w:sz w:val="21"/>
                <w:szCs w:val="21"/>
                <w14:textFill>
                  <w14:solidFill>
                    <w14:schemeClr w14:val="tx1"/>
                  </w14:solidFill>
                </w14:textFill>
              </w:rPr>
            </w:pPr>
          </w:p>
        </w:tc>
        <w:tc>
          <w:tcPr>
            <w:tcW w:w="3769" w:type="dxa"/>
            <w:vAlign w:val="center"/>
          </w:tcPr>
          <w:p>
            <w:pPr>
              <w:widowControl/>
              <w:adjustRightInd w:val="0"/>
              <w:spacing w:line="276" w:lineRule="auto"/>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运营期间加强污染物排海控制，严禁污染物排海。</w:t>
            </w:r>
          </w:p>
        </w:tc>
        <w:tc>
          <w:tcPr>
            <w:tcW w:w="3601" w:type="dxa"/>
            <w:vAlign w:val="center"/>
          </w:tcPr>
          <w:p>
            <w:pPr>
              <w:widowControl/>
              <w:adjustRightInd w:val="0"/>
              <w:spacing w:line="276" w:lineRule="auto"/>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落实。</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c>
          <w:tcPr>
            <w:tcW w:w="498" w:type="dxa"/>
            <w:vMerge w:val="restart"/>
            <w:vAlign w:val="center"/>
          </w:tcPr>
          <w:p>
            <w:pPr>
              <w:spacing w:line="276" w:lineRule="auto"/>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12</w:t>
            </w:r>
          </w:p>
        </w:tc>
        <w:tc>
          <w:tcPr>
            <w:tcW w:w="660" w:type="dxa"/>
            <w:vMerge w:val="continue"/>
            <w:vAlign w:val="center"/>
          </w:tcPr>
          <w:p>
            <w:pPr>
              <w:spacing w:line="276" w:lineRule="auto"/>
              <w:jc w:val="center"/>
              <w:rPr>
                <w:color w:val="000000" w:themeColor="text1"/>
                <w:kern w:val="0"/>
                <w:sz w:val="21"/>
                <w:szCs w:val="21"/>
                <w14:textFill>
                  <w14:solidFill>
                    <w14:schemeClr w14:val="tx1"/>
                  </w14:solidFill>
                </w14:textFill>
              </w:rPr>
            </w:pPr>
          </w:p>
        </w:tc>
        <w:tc>
          <w:tcPr>
            <w:tcW w:w="3769" w:type="dxa"/>
            <w:vAlign w:val="center"/>
          </w:tcPr>
          <w:p>
            <w:pPr>
              <w:widowControl/>
              <w:adjustRightInd w:val="0"/>
              <w:spacing w:line="276" w:lineRule="auto"/>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做好工程周边海域内海水水质环境、沉积物环境、海洋生态环境的监测工作，及时掌握海洋环境变化，以采取有效的保护措施。</w:t>
            </w:r>
          </w:p>
        </w:tc>
        <w:tc>
          <w:tcPr>
            <w:tcW w:w="3601" w:type="dxa"/>
            <w:vAlign w:val="center"/>
          </w:tcPr>
          <w:p>
            <w:pPr>
              <w:widowControl/>
              <w:adjustRightInd w:val="0"/>
              <w:spacing w:line="276" w:lineRule="auto"/>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部分</w:t>
            </w:r>
            <w:r>
              <w:rPr>
                <w:color w:val="000000" w:themeColor="text1"/>
                <w:kern w:val="0"/>
                <w:sz w:val="21"/>
                <w:szCs w:val="21"/>
                <w14:textFill>
                  <w14:solidFill>
                    <w14:schemeClr w14:val="tx1"/>
                  </w14:solidFill>
                </w14:textFill>
              </w:rPr>
              <w:t>落实。</w:t>
            </w:r>
          </w:p>
          <w:p>
            <w:pPr>
              <w:widowControl/>
              <w:adjustRightInd w:val="0"/>
              <w:spacing w:line="276" w:lineRule="auto"/>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运营单位将积极落实运营期海洋环境监测计划，及时掌握海洋环境变化，根据监测结果采取有效的海洋环境保护措施。</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c>
          <w:tcPr>
            <w:tcW w:w="498" w:type="dxa"/>
            <w:vMerge w:val="continue"/>
            <w:vAlign w:val="center"/>
          </w:tcPr>
          <w:p>
            <w:pPr>
              <w:spacing w:line="276" w:lineRule="auto"/>
              <w:jc w:val="center"/>
              <w:rPr>
                <w:color w:val="000000" w:themeColor="text1"/>
                <w:kern w:val="0"/>
                <w:sz w:val="21"/>
                <w:szCs w:val="21"/>
                <w14:textFill>
                  <w14:solidFill>
                    <w14:schemeClr w14:val="tx1"/>
                  </w14:solidFill>
                </w14:textFill>
              </w:rPr>
            </w:pPr>
          </w:p>
        </w:tc>
        <w:tc>
          <w:tcPr>
            <w:tcW w:w="660" w:type="dxa"/>
            <w:vMerge w:val="continue"/>
            <w:vAlign w:val="center"/>
          </w:tcPr>
          <w:p>
            <w:pPr>
              <w:spacing w:line="276" w:lineRule="auto"/>
              <w:jc w:val="center"/>
              <w:rPr>
                <w:color w:val="000000" w:themeColor="text1"/>
                <w:kern w:val="0"/>
                <w:sz w:val="21"/>
                <w:szCs w:val="21"/>
                <w14:textFill>
                  <w14:solidFill>
                    <w14:schemeClr w14:val="tx1"/>
                  </w14:solidFill>
                </w14:textFill>
              </w:rPr>
            </w:pPr>
          </w:p>
        </w:tc>
        <w:tc>
          <w:tcPr>
            <w:tcW w:w="3769" w:type="dxa"/>
            <w:vAlign w:val="center"/>
          </w:tcPr>
          <w:p>
            <w:pPr>
              <w:widowControl/>
              <w:adjustRightInd w:val="0"/>
              <w:spacing w:line="276" w:lineRule="auto"/>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用海生态补偿金额共计452.5万元，定期开展增殖放流工作。</w:t>
            </w:r>
          </w:p>
        </w:tc>
        <w:tc>
          <w:tcPr>
            <w:tcW w:w="3601" w:type="dxa"/>
            <w:vAlign w:val="center"/>
          </w:tcPr>
          <w:p>
            <w:pPr>
              <w:widowControl/>
              <w:adjustRightInd w:val="0"/>
              <w:spacing w:line="276" w:lineRule="auto"/>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部分</w:t>
            </w:r>
            <w:r>
              <w:rPr>
                <w:color w:val="000000" w:themeColor="text1"/>
                <w:kern w:val="0"/>
                <w:sz w:val="21"/>
                <w:szCs w:val="21"/>
                <w14:textFill>
                  <w14:solidFill>
                    <w14:schemeClr w14:val="tx1"/>
                  </w14:solidFill>
                </w14:textFill>
              </w:rPr>
              <w:t>落实。</w:t>
            </w:r>
          </w:p>
          <w:p>
            <w:pPr>
              <w:widowControl/>
              <w:adjustRightInd w:val="0"/>
              <w:spacing w:line="276" w:lineRule="auto"/>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生态补偿金额共计548.78万元用于开展增殖放流。</w:t>
            </w:r>
          </w:p>
          <w:p>
            <w:pPr>
              <w:widowControl/>
              <w:adjustRightInd w:val="0"/>
              <w:spacing w:line="276" w:lineRule="auto"/>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fldChar w:fldCharType="begin"/>
            </w:r>
            <w:r>
              <w:rPr>
                <w:color w:val="000000" w:themeColor="text1"/>
                <w:sz w:val="21"/>
                <w:szCs w:val="21"/>
                <w14:textFill>
                  <w14:solidFill>
                    <w14:schemeClr w14:val="tx1"/>
                  </w14:solidFill>
                </w14:textFill>
              </w:rPr>
              <w:instrText xml:space="preserve"> = 1 \* GB3 </w:instrText>
            </w:r>
            <w:r>
              <w:rPr>
                <w:color w:val="000000" w:themeColor="text1"/>
                <w:sz w:val="21"/>
                <w:szCs w:val="21"/>
                <w14:textFill>
                  <w14:solidFill>
                    <w14:schemeClr w14:val="tx1"/>
                  </w14:solidFill>
                </w14:textFill>
              </w:rPr>
              <w:fldChar w:fldCharType="separate"/>
            </w:r>
            <w:r>
              <w:rPr>
                <w:rFonts w:hint="eastAsia"/>
                <w:color w:val="000000" w:themeColor="text1"/>
                <w:sz w:val="21"/>
                <w:szCs w:val="21"/>
                <w14:textFill>
                  <w14:solidFill>
                    <w14:schemeClr w14:val="tx1"/>
                  </w14:solidFill>
                </w14:textFill>
              </w:rPr>
              <w:t>①</w:t>
            </w:r>
            <w:r>
              <w:rPr>
                <w:color w:val="000000" w:themeColor="text1"/>
                <w:sz w:val="21"/>
                <w:szCs w:val="21"/>
                <w14:textFill>
                  <w14:solidFill>
                    <w14:schemeClr w14:val="tx1"/>
                  </w14:solidFill>
                </w14:textFill>
              </w:rPr>
              <w:fldChar w:fldCharType="end"/>
            </w:r>
            <w:r>
              <w:rPr>
                <w:color w:val="000000" w:themeColor="text1"/>
                <w:sz w:val="21"/>
                <w:szCs w:val="21"/>
                <w14:textFill>
                  <w14:solidFill>
                    <w14:schemeClr w14:val="tx1"/>
                  </w14:solidFill>
                </w14:textFill>
              </w:rPr>
              <w:t>本项目委托广东林阳海洋科技有限公司进行施工期海洋生态环境监测，监测内容包括叶绿素a、浮游植物、浮游动物、底栖生物等。</w:t>
            </w:r>
          </w:p>
          <w:p>
            <w:pPr>
              <w:widowControl/>
              <w:adjustRightInd w:val="0"/>
              <w:spacing w:line="276" w:lineRule="auto"/>
              <w:rPr>
                <w:color w:val="000000" w:themeColor="text1"/>
                <w:kern w:val="0"/>
                <w:sz w:val="21"/>
                <w:szCs w:val="21"/>
                <w14:textFill>
                  <w14:solidFill>
                    <w14:schemeClr w14:val="tx1"/>
                  </w14:solidFill>
                </w14:textFill>
              </w:rPr>
            </w:pPr>
            <w:r>
              <w:rPr>
                <w:color w:val="000000" w:themeColor="text1"/>
                <w:sz w:val="21"/>
                <w:szCs w:val="21"/>
                <w14:textFill>
                  <w14:solidFill>
                    <w14:schemeClr w14:val="tx1"/>
                  </w14:solidFill>
                </w14:textFill>
              </w:rPr>
              <w:fldChar w:fldCharType="begin"/>
            </w:r>
            <w:r>
              <w:rPr>
                <w:color w:val="000000" w:themeColor="text1"/>
                <w:sz w:val="21"/>
                <w:szCs w:val="21"/>
                <w14:textFill>
                  <w14:solidFill>
                    <w14:schemeClr w14:val="tx1"/>
                  </w14:solidFill>
                </w14:textFill>
              </w:rPr>
              <w:instrText xml:space="preserve"> = 2 \* GB3 </w:instrText>
            </w:r>
            <w:r>
              <w:rPr>
                <w:color w:val="000000" w:themeColor="text1"/>
                <w:sz w:val="21"/>
                <w:szCs w:val="21"/>
                <w14:textFill>
                  <w14:solidFill>
                    <w14:schemeClr w14:val="tx1"/>
                  </w14:solidFill>
                </w14:textFill>
              </w:rPr>
              <w:fldChar w:fldCharType="separate"/>
            </w:r>
            <w:r>
              <w:rPr>
                <w:rFonts w:hint="eastAsia"/>
                <w:color w:val="000000" w:themeColor="text1"/>
                <w:sz w:val="21"/>
                <w:szCs w:val="21"/>
                <w14:textFill>
                  <w14:solidFill>
                    <w14:schemeClr w14:val="tx1"/>
                  </w14:solidFill>
                </w14:textFill>
              </w:rPr>
              <w:t>②</w:t>
            </w:r>
            <w:r>
              <w:rPr>
                <w:color w:val="000000" w:themeColor="text1"/>
                <w:sz w:val="21"/>
                <w:szCs w:val="21"/>
                <w14:textFill>
                  <w14:solidFill>
                    <w14:schemeClr w14:val="tx1"/>
                  </w14:solidFill>
                </w14:textFill>
              </w:rPr>
              <w:fldChar w:fldCharType="end"/>
            </w:r>
            <w:r>
              <w:rPr>
                <w:color w:val="000000" w:themeColor="text1"/>
                <w:sz w:val="21"/>
                <w:szCs w:val="21"/>
                <w14:textFill>
                  <w14:solidFill>
                    <w14:schemeClr w14:val="tx1"/>
                  </w14:solidFill>
                </w14:textFill>
              </w:rPr>
              <w:t>建设单位已委托编制了《项目渔业资源补偿增殖放流实施方案》，并于2023年3月22日取得自治区农业农村厅的意见，同意《实施方案》，确定渔业资源补偿资金548.78万元，放流品种为黑鲷、斑节对虾、长毛对虾、拟穴青蟹、文蛤和中国鲨6种，总计放流3730万尾</w:t>
            </w:r>
            <w:r>
              <w:rPr>
                <w:rFonts w:hint="eastAsia"/>
                <w:color w:val="000000" w:themeColor="text1"/>
                <w:sz w:val="21"/>
                <w:szCs w:val="21"/>
                <w14:textFill>
                  <w14:solidFill>
                    <w14:schemeClr w14:val="tx1"/>
                  </w14:solidFill>
                </w14:textFill>
              </w:rPr>
              <w:t>（</w:t>
            </w:r>
            <w:r>
              <w:rPr>
                <w:color w:val="000000" w:themeColor="text1"/>
                <w:sz w:val="21"/>
                <w:szCs w:val="21"/>
                <w14:textFill>
                  <w14:solidFill>
                    <w14:schemeClr w14:val="tx1"/>
                  </w14:solidFill>
                </w14:textFill>
              </w:rPr>
              <w:t>只</w:t>
            </w:r>
            <w:r>
              <w:rPr>
                <w:rFonts w:hint="eastAsia"/>
                <w:color w:val="000000" w:themeColor="text1"/>
                <w:sz w:val="21"/>
                <w:szCs w:val="21"/>
                <w14:textFill>
                  <w14:solidFill>
                    <w14:schemeClr w14:val="tx1"/>
                  </w14:solidFill>
                </w14:textFill>
              </w:rPr>
              <w:t>）</w:t>
            </w:r>
            <w:r>
              <w:rPr>
                <w:color w:val="000000" w:themeColor="text1"/>
                <w:sz w:val="21"/>
                <w:szCs w:val="21"/>
                <w14:textFill>
                  <w14:solidFill>
                    <w14:schemeClr w14:val="tx1"/>
                  </w14:solidFill>
                </w14:textFill>
              </w:rPr>
              <w:t>，放流地点在三娘湾南离岸养殖区近岸区域和中山墩附近，于2025年实施完成。下一阶段，建设单位将按照上述方案实施增殖放流，对项目区海域进行生态修复。</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c>
          <w:tcPr>
            <w:tcW w:w="498" w:type="dxa"/>
            <w:vAlign w:val="center"/>
          </w:tcPr>
          <w:p>
            <w:pPr>
              <w:spacing w:line="276" w:lineRule="auto"/>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13</w:t>
            </w:r>
          </w:p>
        </w:tc>
        <w:tc>
          <w:tcPr>
            <w:tcW w:w="660" w:type="dxa"/>
            <w:vAlign w:val="center"/>
          </w:tcPr>
          <w:p>
            <w:pPr>
              <w:spacing w:line="276" w:lineRule="auto"/>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风险防范</w:t>
            </w:r>
          </w:p>
        </w:tc>
        <w:tc>
          <w:tcPr>
            <w:tcW w:w="3769" w:type="dxa"/>
            <w:vAlign w:val="center"/>
          </w:tcPr>
          <w:p>
            <w:pPr>
              <w:widowControl/>
              <w:adjustRightInd w:val="0"/>
              <w:spacing w:line="276" w:lineRule="auto"/>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制定完善的风险应急措施，尽量减少对海洋生物、水质及沉积物的影响。</w:t>
            </w:r>
          </w:p>
        </w:tc>
        <w:tc>
          <w:tcPr>
            <w:tcW w:w="3601" w:type="dxa"/>
            <w:vAlign w:val="center"/>
          </w:tcPr>
          <w:p>
            <w:pPr>
              <w:widowControl/>
              <w:adjustRightInd w:val="0"/>
              <w:spacing w:line="276" w:lineRule="auto"/>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落实。</w:t>
            </w:r>
          </w:p>
          <w:p>
            <w:pPr>
              <w:widowControl/>
              <w:adjustRightInd w:val="0"/>
              <w:spacing w:line="276" w:lineRule="auto"/>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现有9号10号泊位</w:t>
            </w:r>
            <w:r>
              <w:rPr>
                <w:color w:val="000000" w:themeColor="text1"/>
                <w:kern w:val="0"/>
                <w:sz w:val="21"/>
                <w:szCs w:val="21"/>
                <w14:textFill>
                  <w14:solidFill>
                    <w14:schemeClr w14:val="tx1"/>
                  </w14:solidFill>
                </w14:textFill>
              </w:rPr>
              <w:t>突发环境事件纳入《</w:t>
            </w:r>
            <w:r>
              <w:rPr>
                <w:rFonts w:hint="eastAsia"/>
                <w:color w:val="000000" w:themeColor="text1"/>
                <w:kern w:val="0"/>
                <w:sz w:val="21"/>
                <w:szCs w:val="21"/>
                <w14:textFill>
                  <w14:solidFill>
                    <w14:schemeClr w14:val="tx1"/>
                  </w14:solidFill>
                </w14:textFill>
              </w:rPr>
              <w:t>广西钦州保税港区盛港码头有限公司突发环境事件应急预案（修订）</w:t>
            </w:r>
            <w:r>
              <w:rPr>
                <w:color w:val="000000" w:themeColor="text1"/>
                <w:kern w:val="0"/>
                <w:sz w:val="21"/>
                <w:szCs w:val="21"/>
                <w14:textFill>
                  <w14:solidFill>
                    <w14:schemeClr w14:val="tx1"/>
                  </w14:solidFill>
                </w14:textFill>
              </w:rPr>
              <w:t>》</w:t>
            </w:r>
            <w:r>
              <w:rPr>
                <w:rFonts w:hint="eastAsia"/>
                <w:color w:val="000000" w:themeColor="text1"/>
                <w:kern w:val="0"/>
                <w:sz w:val="21"/>
                <w:szCs w:val="21"/>
                <w14:textFill>
                  <w14:solidFill>
                    <w14:schemeClr w14:val="tx1"/>
                  </w14:solidFill>
                </w14:textFill>
              </w:rPr>
              <w:t>。</w:t>
            </w:r>
          </w:p>
        </w:tc>
      </w:tr>
    </w:tbl>
    <w:p>
      <w:pPr>
        <w:pStyle w:val="5"/>
        <w:rPr>
          <w:color w:val="000000" w:themeColor="text1"/>
          <w14:textFill>
            <w14:solidFill>
              <w14:schemeClr w14:val="tx1"/>
            </w14:solidFill>
          </w14:textFill>
        </w:rPr>
      </w:pPr>
      <w:r>
        <w:rPr>
          <w:rFonts w:hint="eastAsia"/>
          <w:color w:val="000000" w:themeColor="text1"/>
          <w14:textFill>
            <w14:solidFill>
              <w14:schemeClr w14:val="tx1"/>
            </w14:solidFill>
          </w14:textFill>
        </w:rPr>
        <w:t>现有工程存在的环境保护问题以及整改措施</w:t>
      </w:r>
    </w:p>
    <w:p>
      <w:pPr>
        <w:pStyle w:val="283"/>
        <w:ind w:firstLine="462"/>
        <w:rPr>
          <w:color w:val="000000" w:themeColor="text1"/>
          <w14:textFill>
            <w14:solidFill>
              <w14:schemeClr w14:val="tx1"/>
            </w14:solidFill>
          </w14:textFill>
        </w:rPr>
      </w:pPr>
      <w:r>
        <w:rPr>
          <w:rFonts w:hint="eastAsia"/>
          <w:color w:val="000000" w:themeColor="text1"/>
          <w14:textFill>
            <w14:solidFill>
              <w14:schemeClr w14:val="tx1"/>
            </w14:solidFill>
          </w14:textFill>
        </w:rPr>
        <w:t>项目现有工程及验收阶段存在的主要环境问题包括现有工程提出的生态补偿尚未落实，具体问题情况见表2.1-15。</w:t>
      </w:r>
    </w:p>
    <w:p>
      <w:pPr>
        <w:pStyle w:val="384"/>
        <w:ind w:left="0" w:firstLine="0"/>
        <w:rPr>
          <w:rFonts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项目存在的主要问题及以新带老措施</w:t>
      </w:r>
    </w:p>
    <w:tbl>
      <w:tblPr>
        <w:tblStyle w:val="89"/>
        <w:tblW w:w="8528" w:type="dxa"/>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1102"/>
        <w:gridCol w:w="3686"/>
        <w:gridCol w:w="3740"/>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c>
          <w:tcPr>
            <w:tcW w:w="1102" w:type="dxa"/>
            <w:vAlign w:val="center"/>
          </w:tcPr>
          <w:p>
            <w:pPr>
              <w:pStyle w:val="2001"/>
            </w:pPr>
            <w:r>
              <w:t>污染源</w:t>
            </w:r>
          </w:p>
        </w:tc>
        <w:tc>
          <w:tcPr>
            <w:tcW w:w="3686" w:type="dxa"/>
            <w:vAlign w:val="center"/>
          </w:tcPr>
          <w:p>
            <w:pPr>
              <w:pStyle w:val="2001"/>
            </w:pPr>
            <w:r>
              <w:t>存在的环境问题</w:t>
            </w:r>
          </w:p>
        </w:tc>
        <w:tc>
          <w:tcPr>
            <w:tcW w:w="3740" w:type="dxa"/>
            <w:vAlign w:val="center"/>
          </w:tcPr>
          <w:p>
            <w:pPr>
              <w:pStyle w:val="2001"/>
            </w:pPr>
            <w:r>
              <w:t>“以新带老”措施</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c>
          <w:tcPr>
            <w:tcW w:w="1102" w:type="dxa"/>
            <w:vAlign w:val="center"/>
          </w:tcPr>
          <w:p>
            <w:pPr>
              <w:pStyle w:val="2001"/>
              <w:rPr>
                <w:u w:val="single"/>
              </w:rPr>
            </w:pPr>
            <w:r>
              <w:rPr>
                <w:rFonts w:hint="eastAsia"/>
                <w:u w:val="single"/>
              </w:rPr>
              <w:t>运营期海洋环境监测</w:t>
            </w:r>
          </w:p>
        </w:tc>
        <w:tc>
          <w:tcPr>
            <w:tcW w:w="3686" w:type="dxa"/>
            <w:vAlign w:val="center"/>
          </w:tcPr>
          <w:p>
            <w:pPr>
              <w:pStyle w:val="2001"/>
              <w:rPr>
                <w:u w:val="single"/>
              </w:rPr>
            </w:pPr>
            <w:r>
              <w:rPr>
                <w:rFonts w:hint="eastAsia"/>
                <w:u w:val="single"/>
              </w:rPr>
              <w:t>现有9号1</w:t>
            </w:r>
            <w:r>
              <w:rPr>
                <w:u w:val="single"/>
              </w:rPr>
              <w:t>0</w:t>
            </w:r>
            <w:r>
              <w:rPr>
                <w:rFonts w:hint="eastAsia"/>
                <w:u w:val="single"/>
              </w:rPr>
              <w:t>号泊位运营期跟踪监测部分落实。</w:t>
            </w:r>
          </w:p>
        </w:tc>
        <w:tc>
          <w:tcPr>
            <w:tcW w:w="3740" w:type="dxa"/>
            <w:vAlign w:val="center"/>
          </w:tcPr>
          <w:p>
            <w:pPr>
              <w:pStyle w:val="2001"/>
              <w:rPr>
                <w:u w:val="single"/>
              </w:rPr>
            </w:pPr>
            <w:r>
              <w:rPr>
                <w:rFonts w:hint="eastAsia"/>
                <w:u w:val="single"/>
              </w:rPr>
              <w:t>本项目建成后，按照本次扩建跟踪监测计划落实海水水质环境、沉积物环境、海洋生态环境的监测工作</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c>
          <w:tcPr>
            <w:tcW w:w="1102" w:type="dxa"/>
            <w:vAlign w:val="center"/>
          </w:tcPr>
          <w:p>
            <w:pPr>
              <w:pStyle w:val="2001"/>
            </w:pPr>
            <w:r>
              <w:t>生态补偿</w:t>
            </w:r>
          </w:p>
        </w:tc>
        <w:tc>
          <w:tcPr>
            <w:tcW w:w="3686" w:type="dxa"/>
            <w:vAlign w:val="center"/>
          </w:tcPr>
          <w:p>
            <w:pPr>
              <w:pStyle w:val="2001"/>
            </w:pPr>
            <w:r>
              <w:t>现有工程环保竣工验收阶段生态补偿金额共计</w:t>
            </w:r>
            <w:r>
              <w:rPr>
                <w:rFonts w:hint="eastAsia"/>
              </w:rPr>
              <w:t>548.78万元，已编制</w:t>
            </w:r>
            <w:r>
              <w:t>《项目渔业资源补偿增殖放流实施方案》但尚未按照该方案实施增殖放流。</w:t>
            </w:r>
          </w:p>
        </w:tc>
        <w:tc>
          <w:tcPr>
            <w:tcW w:w="3740" w:type="dxa"/>
            <w:vAlign w:val="center"/>
          </w:tcPr>
          <w:p>
            <w:pPr>
              <w:pStyle w:val="2001"/>
            </w:pPr>
            <w:r>
              <w:t>本项目建成后，</w:t>
            </w:r>
            <w:r>
              <w:rPr>
                <w:rFonts w:hint="eastAsia"/>
              </w:rPr>
              <w:t>现有9号10号泊位</w:t>
            </w:r>
            <w:r>
              <w:rPr>
                <w:rFonts w:hint="eastAsia"/>
                <w:lang w:eastAsia="zh-CN"/>
              </w:rPr>
              <w:t>增殖</w:t>
            </w:r>
            <w:r>
              <w:rPr>
                <w:rFonts w:hint="eastAsia"/>
              </w:rPr>
              <w:t>放流及海域生态修复方案将进一步完善落实。</w:t>
            </w:r>
          </w:p>
        </w:tc>
      </w:tr>
    </w:tbl>
    <w:p>
      <w:pPr>
        <w:pStyle w:val="4"/>
        <w:rPr>
          <w:color w:val="000000" w:themeColor="text1"/>
          <w14:textFill>
            <w14:solidFill>
              <w14:schemeClr w14:val="tx1"/>
            </w14:solidFill>
          </w14:textFill>
        </w:rPr>
      </w:pPr>
      <w:bookmarkStart w:id="85" w:name="_Toc170918596"/>
      <w:r>
        <w:rPr>
          <w:color w:val="000000" w:themeColor="text1"/>
          <w14:textFill>
            <w14:solidFill>
              <w14:schemeClr w14:val="tx1"/>
            </w14:solidFill>
          </w14:textFill>
        </w:rPr>
        <w:t>本次扩建工程</w:t>
      </w:r>
      <w:bookmarkEnd w:id="76"/>
      <w:bookmarkEnd w:id="77"/>
      <w:bookmarkEnd w:id="78"/>
      <w:bookmarkEnd w:id="79"/>
      <w:bookmarkEnd w:id="80"/>
      <w:bookmarkEnd w:id="81"/>
      <w:r>
        <w:rPr>
          <w:color w:val="000000" w:themeColor="text1"/>
          <w14:textFill>
            <w14:solidFill>
              <w14:schemeClr w14:val="tx1"/>
            </w14:solidFill>
          </w14:textFill>
        </w:rPr>
        <w:t>概况</w:t>
      </w:r>
      <w:bookmarkEnd w:id="82"/>
      <w:bookmarkEnd w:id="83"/>
      <w:bookmarkEnd w:id="85"/>
    </w:p>
    <w:p>
      <w:pPr>
        <w:pStyle w:val="5"/>
        <w:rPr>
          <w:color w:val="000000" w:themeColor="text1"/>
          <w14:textFill>
            <w14:solidFill>
              <w14:schemeClr w14:val="tx1"/>
            </w14:solidFill>
          </w14:textFill>
        </w:rPr>
      </w:pPr>
      <w:r>
        <w:rPr>
          <w:rFonts w:hint="eastAsia"/>
          <w:color w:val="000000" w:themeColor="text1"/>
          <w14:textFill>
            <w14:solidFill>
              <w14:schemeClr w14:val="tx1"/>
            </w14:solidFill>
          </w14:textFill>
        </w:rPr>
        <w:t>建设规模</w:t>
      </w:r>
    </w:p>
    <w:p>
      <w:pPr>
        <w:pStyle w:val="283"/>
        <w:ind w:firstLine="464"/>
        <w:rPr>
          <w:color w:val="000000" w:themeColor="text1"/>
          <w14:textFill>
            <w14:solidFill>
              <w14:schemeClr w14:val="tx1"/>
            </w14:solidFill>
          </w14:textFill>
        </w:rPr>
      </w:pPr>
      <w:r>
        <w:rPr>
          <w:b/>
          <w:color w:val="000000" w:themeColor="text1"/>
          <w:szCs w:val="28"/>
          <w14:textFill>
            <w14:solidFill>
              <w14:schemeClr w14:val="tx1"/>
            </w14:solidFill>
          </w14:textFill>
        </w:rPr>
        <w:t>项目名称</w:t>
      </w:r>
      <w:r>
        <w:rPr>
          <w:color w:val="000000" w:themeColor="text1"/>
          <w:szCs w:val="28"/>
          <w14:textFill>
            <w14:solidFill>
              <w14:schemeClr w14:val="tx1"/>
            </w14:solidFill>
          </w14:textFill>
        </w:rPr>
        <w:t>：</w:t>
      </w:r>
      <w:r>
        <w:rPr>
          <w:rFonts w:hint="eastAsia"/>
          <w:color w:val="000000" w:themeColor="text1"/>
          <w14:textFill>
            <w14:solidFill>
              <w14:schemeClr w14:val="tx1"/>
            </w14:solidFill>
          </w14:textFill>
        </w:rPr>
        <w:t>北部湾港钦州港域大榄坪港区大榄坪南作业区9号10号泊位扩建工程</w:t>
      </w:r>
      <w:r>
        <w:rPr>
          <w:color w:val="000000" w:themeColor="text1"/>
          <w14:textFill>
            <w14:solidFill>
              <w14:schemeClr w14:val="tx1"/>
            </w14:solidFill>
          </w14:textFill>
        </w:rPr>
        <w:t>；</w:t>
      </w:r>
    </w:p>
    <w:p>
      <w:pPr>
        <w:pStyle w:val="283"/>
        <w:ind w:firstLine="464"/>
        <w:rPr>
          <w:color w:val="000000" w:themeColor="text1"/>
          <w14:textFill>
            <w14:solidFill>
              <w14:schemeClr w14:val="tx1"/>
            </w14:solidFill>
          </w14:textFill>
        </w:rPr>
      </w:pPr>
      <w:r>
        <w:rPr>
          <w:b/>
          <w:color w:val="000000" w:themeColor="text1"/>
          <w14:textFill>
            <w14:solidFill>
              <w14:schemeClr w14:val="tx1"/>
            </w14:solidFill>
          </w14:textFill>
        </w:rPr>
        <w:t>项目性质</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扩建</w:t>
      </w:r>
      <w:r>
        <w:rPr>
          <w:color w:val="000000" w:themeColor="text1"/>
          <w14:textFill>
            <w14:solidFill>
              <w14:schemeClr w14:val="tx1"/>
            </w14:solidFill>
          </w14:textFill>
        </w:rPr>
        <w:t>；</w:t>
      </w:r>
    </w:p>
    <w:p>
      <w:pPr>
        <w:pStyle w:val="283"/>
        <w:ind w:firstLine="464"/>
        <w:rPr>
          <w:color w:val="000000" w:themeColor="text1"/>
          <w14:textFill>
            <w14:solidFill>
              <w14:schemeClr w14:val="tx1"/>
            </w14:solidFill>
          </w14:textFill>
        </w:rPr>
      </w:pPr>
      <w:r>
        <w:rPr>
          <w:b/>
          <w:color w:val="000000" w:themeColor="text1"/>
          <w14:textFill>
            <w14:solidFill>
              <w14:schemeClr w14:val="tx1"/>
            </w14:solidFill>
          </w14:textFill>
        </w:rPr>
        <w:t>项目建设单位</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广西</w:t>
      </w:r>
      <w:r>
        <w:rPr>
          <w:color w:val="000000" w:themeColor="text1"/>
          <w14:textFill>
            <w14:solidFill>
              <w14:schemeClr w14:val="tx1"/>
            </w14:solidFill>
          </w14:textFill>
        </w:rPr>
        <w:t>钦州港保税港区宏港码头有限公司；</w:t>
      </w:r>
    </w:p>
    <w:p>
      <w:pPr>
        <w:ind w:firstLine="462" w:firstLineChars="200"/>
        <w:rPr>
          <w:color w:val="000000" w:themeColor="text1"/>
          <w:kern w:val="0"/>
          <w:sz w:val="10"/>
          <w:szCs w:val="10"/>
          <w14:textFill>
            <w14:solidFill>
              <w14:schemeClr w14:val="tx1"/>
            </w14:solidFill>
          </w14:textFill>
        </w:rPr>
      </w:pPr>
      <w:r>
        <w:rPr>
          <w:b/>
          <w:color w:val="000000" w:themeColor="text1"/>
          <w:szCs w:val="28"/>
          <w14:textFill>
            <w14:solidFill>
              <w14:schemeClr w14:val="tx1"/>
            </w14:solidFill>
          </w14:textFill>
        </w:rPr>
        <w:t>项目地理位置</w:t>
      </w:r>
      <w:r>
        <w:rPr>
          <w:color w:val="000000" w:themeColor="text1"/>
          <w:szCs w:val="28"/>
          <w14:textFill>
            <w14:solidFill>
              <w14:schemeClr w14:val="tx1"/>
            </w14:solidFill>
          </w14:textFill>
        </w:rPr>
        <w:t>：本工程位于</w:t>
      </w:r>
      <w:bookmarkStart w:id="86" w:name="_Hlk139815407"/>
      <w:r>
        <w:rPr>
          <w:color w:val="000000" w:themeColor="text1"/>
          <w:szCs w:val="28"/>
          <w14:textFill>
            <w14:solidFill>
              <w14:schemeClr w14:val="tx1"/>
            </w14:solidFill>
          </w14:textFill>
        </w:rPr>
        <w:t>北部湾港钦州港域</w:t>
      </w:r>
      <w:r>
        <w:rPr>
          <w:rFonts w:hint="eastAsia"/>
          <w:color w:val="000000" w:themeColor="text1"/>
          <w:szCs w:val="28"/>
          <w14:textFill>
            <w14:solidFill>
              <w14:schemeClr w14:val="tx1"/>
            </w14:solidFill>
          </w14:textFill>
        </w:rPr>
        <w:t>大榄坪</w:t>
      </w:r>
      <w:r>
        <w:rPr>
          <w:color w:val="000000" w:themeColor="text1"/>
          <w:szCs w:val="28"/>
          <w14:textFill>
            <w14:solidFill>
              <w14:schemeClr w14:val="tx1"/>
            </w14:solidFill>
          </w14:textFill>
        </w:rPr>
        <w:t>港区大榄坪南作业区</w:t>
      </w:r>
      <w:bookmarkEnd w:id="86"/>
      <w:r>
        <w:rPr>
          <w:color w:val="000000" w:themeColor="text1"/>
          <w:szCs w:val="28"/>
          <w14:textFill>
            <w14:solidFill>
              <w14:schemeClr w14:val="tx1"/>
            </w14:solidFill>
          </w14:textFill>
        </w:rPr>
        <w:t>（地理坐标：</w:t>
      </w:r>
      <w:bookmarkStart w:id="87" w:name="_Hlk139813174"/>
      <w:r>
        <w:rPr>
          <w:color w:val="000000" w:themeColor="text1"/>
          <w:szCs w:val="28"/>
          <w14:textFill>
            <w14:solidFill>
              <w14:schemeClr w14:val="tx1"/>
            </w14:solidFill>
          </w14:textFill>
        </w:rPr>
        <w:t>108°</w:t>
      </w:r>
      <w:r>
        <w:rPr>
          <w:rFonts w:hint="eastAsia"/>
          <w:color w:val="000000" w:themeColor="text1"/>
          <w:szCs w:val="28"/>
          <w14:textFill>
            <w14:solidFill>
              <w14:schemeClr w14:val="tx1"/>
            </w14:solidFill>
          </w14:textFill>
        </w:rPr>
        <w:t>39</w:t>
      </w:r>
      <w:r>
        <w:rPr>
          <w:color w:val="000000" w:themeColor="text1"/>
          <w:szCs w:val="28"/>
          <w14:textFill>
            <w14:solidFill>
              <w14:schemeClr w14:val="tx1"/>
            </w14:solidFill>
          </w14:textFill>
        </w:rPr>
        <w:t>′</w:t>
      </w:r>
      <w:r>
        <w:rPr>
          <w:rFonts w:hint="eastAsia"/>
          <w:color w:val="000000" w:themeColor="text1"/>
          <w:szCs w:val="28"/>
          <w14:textFill>
            <w14:solidFill>
              <w14:schemeClr w14:val="tx1"/>
            </w14:solidFill>
          </w14:textFill>
        </w:rPr>
        <w:t>12.5950</w:t>
      </w:r>
      <w:r>
        <w:rPr>
          <w:color w:val="000000" w:themeColor="text1"/>
          <w:szCs w:val="28"/>
          <w14:textFill>
            <w14:solidFill>
              <w14:schemeClr w14:val="tx1"/>
            </w14:solidFill>
          </w14:textFill>
        </w:rPr>
        <w:t>″E</w:t>
      </w:r>
      <w:bookmarkEnd w:id="87"/>
      <w:r>
        <w:rPr>
          <w:color w:val="000000" w:themeColor="text1"/>
          <w:szCs w:val="28"/>
          <w14:textFill>
            <w14:solidFill>
              <w14:schemeClr w14:val="tx1"/>
            </w14:solidFill>
          </w14:textFill>
        </w:rPr>
        <w:t>，</w:t>
      </w:r>
      <w:bookmarkStart w:id="88" w:name="_Hlk139813153"/>
      <w:r>
        <w:rPr>
          <w:color w:val="000000" w:themeColor="text1"/>
          <w:szCs w:val="28"/>
          <w14:textFill>
            <w14:solidFill>
              <w14:schemeClr w14:val="tx1"/>
            </w14:solidFill>
          </w14:textFill>
        </w:rPr>
        <w:t>21°</w:t>
      </w:r>
      <w:r>
        <w:rPr>
          <w:rFonts w:hint="eastAsia"/>
          <w:color w:val="000000" w:themeColor="text1"/>
          <w:szCs w:val="28"/>
          <w14:textFill>
            <w14:solidFill>
              <w14:schemeClr w14:val="tx1"/>
            </w14:solidFill>
          </w14:textFill>
        </w:rPr>
        <w:t>39</w:t>
      </w:r>
      <w:r>
        <w:rPr>
          <w:color w:val="000000" w:themeColor="text1"/>
          <w:szCs w:val="28"/>
          <w14:textFill>
            <w14:solidFill>
              <w14:schemeClr w14:val="tx1"/>
            </w14:solidFill>
          </w14:textFill>
        </w:rPr>
        <w:t>′</w:t>
      </w:r>
      <w:r>
        <w:rPr>
          <w:rFonts w:hint="eastAsia"/>
          <w:color w:val="000000" w:themeColor="text1"/>
          <w:szCs w:val="28"/>
          <w14:textFill>
            <w14:solidFill>
              <w14:schemeClr w14:val="tx1"/>
            </w14:solidFill>
          </w14:textFill>
        </w:rPr>
        <w:t>55.0781</w:t>
      </w:r>
      <w:r>
        <w:rPr>
          <w:color w:val="000000" w:themeColor="text1"/>
          <w:szCs w:val="28"/>
          <w14:textFill>
            <w14:solidFill>
              <w14:schemeClr w14:val="tx1"/>
            </w14:solidFill>
          </w14:textFill>
        </w:rPr>
        <w:t>″N</w:t>
      </w:r>
      <w:bookmarkEnd w:id="88"/>
      <w:r>
        <w:rPr>
          <w:color w:val="000000" w:themeColor="text1"/>
          <w:szCs w:val="28"/>
          <w14:textFill>
            <w14:solidFill>
              <w14:schemeClr w14:val="tx1"/>
            </w14:solidFill>
          </w14:textFill>
        </w:rPr>
        <w:t>）。具体地理位置见附图1。</w:t>
      </w:r>
    </w:p>
    <w:p>
      <w:pPr>
        <w:ind w:firstLine="462" w:firstLineChars="200"/>
        <w:rPr>
          <w:b/>
          <w:color w:val="000000" w:themeColor="text1"/>
          <w:szCs w:val="28"/>
          <w14:textFill>
            <w14:solidFill>
              <w14:schemeClr w14:val="tx1"/>
            </w14:solidFill>
          </w14:textFill>
        </w:rPr>
      </w:pPr>
      <w:bookmarkStart w:id="89" w:name="_Hlk171077176"/>
      <w:r>
        <w:rPr>
          <w:rFonts w:hint="eastAsia"/>
          <w:b/>
          <w:color w:val="000000" w:themeColor="text1"/>
          <w:szCs w:val="28"/>
          <w14:textFill>
            <w14:solidFill>
              <w14:schemeClr w14:val="tx1"/>
            </w14:solidFill>
          </w14:textFill>
        </w:rPr>
        <w:t>项目名称变更说明：</w:t>
      </w:r>
      <w:r>
        <w:rPr>
          <w:rFonts w:hint="eastAsia"/>
          <w:color w:val="000000" w:themeColor="text1"/>
          <w:szCs w:val="28"/>
          <w14:textFill>
            <w14:solidFill>
              <w14:schemeClr w14:val="tx1"/>
            </w14:solidFill>
          </w14:textFill>
        </w:rPr>
        <w:t>2024年8月，自治区交通运输厅沟通交通运输部明确要求，未取得项目核准或备案、岸线批复的北部湾港项目名称统一按照以下格式修改命名：北部湾港+港域+港区+作业区+泊位编号。根据自治区</w:t>
      </w:r>
      <w:r>
        <w:rPr>
          <w:rFonts w:hint="eastAsia"/>
          <w:color w:val="000000" w:themeColor="text1"/>
          <w:szCs w:val="28"/>
          <w:lang w:eastAsia="zh-CN"/>
          <w14:textFill>
            <w14:solidFill>
              <w14:schemeClr w14:val="tx1"/>
            </w14:solidFill>
          </w14:textFill>
        </w:rPr>
        <w:t>交通运输厅</w:t>
      </w:r>
      <w:r>
        <w:rPr>
          <w:rFonts w:hint="eastAsia"/>
          <w:color w:val="000000" w:themeColor="text1"/>
          <w:szCs w:val="28"/>
          <w14:textFill>
            <w14:solidFill>
              <w14:schemeClr w14:val="tx1"/>
            </w14:solidFill>
          </w14:textFill>
        </w:rPr>
        <w:t>要求，将原项目名称“钦州港大榄坪港区大榄坪南作业区9号10号泊位扩建工程”变更为“北部湾港钦州港域大榄坪港区大榄坪南作业区9号10号泊位扩建工程”。</w:t>
      </w:r>
    </w:p>
    <w:p>
      <w:pPr>
        <w:ind w:firstLine="462" w:firstLineChars="200"/>
        <w:rPr>
          <w:color w:val="000000" w:themeColor="text1"/>
          <w:szCs w:val="28"/>
          <w14:textFill>
            <w14:solidFill>
              <w14:schemeClr w14:val="tx1"/>
            </w14:solidFill>
          </w14:textFill>
        </w:rPr>
      </w:pPr>
      <w:r>
        <w:rPr>
          <w:b/>
          <w:color w:val="000000" w:themeColor="text1"/>
          <w:szCs w:val="28"/>
          <w14:textFill>
            <w14:solidFill>
              <w14:schemeClr w14:val="tx1"/>
            </w14:solidFill>
          </w14:textFill>
        </w:rPr>
        <w:t>建设规模</w:t>
      </w:r>
      <w:r>
        <w:rPr>
          <w:color w:val="000000" w:themeColor="text1"/>
          <w:szCs w:val="28"/>
          <w14:textFill>
            <w14:solidFill>
              <w14:schemeClr w14:val="tx1"/>
            </w14:solidFill>
          </w14:textFill>
        </w:rPr>
        <w:t>：</w:t>
      </w:r>
      <w:bookmarkEnd w:id="89"/>
      <w:r>
        <w:rPr>
          <w:color w:val="000000" w:themeColor="text1"/>
          <w:szCs w:val="28"/>
          <w14:textFill>
            <w14:solidFill>
              <w14:schemeClr w14:val="tx1"/>
            </w14:solidFill>
          </w14:textFill>
        </w:rPr>
        <w:t>根据已批复的</w:t>
      </w:r>
      <w:r>
        <w:rPr>
          <w:rFonts w:hint="eastAsia"/>
          <w:color w:val="000000" w:themeColor="text1"/>
          <w:szCs w:val="28"/>
          <w14:textFill>
            <w14:solidFill>
              <w14:schemeClr w14:val="tx1"/>
            </w14:solidFill>
          </w14:textFill>
        </w:rPr>
        <w:t>《钦州港总体规划（2035年）》及《北部湾港总体规划（2035年）》，大榄坪南作业区9号10号泊位规划通过能力为20万吨级，现有9号10号泊位工程因建设时期泊位通过能力需求较小，按照10万吨级集装箱泊位建设，水工结构按靠泊20万吨级设计；随着泊位建设发展，已建设的9号10号泊位长度无法满足2艘20万吨级集装箱船同时靠泊的要求，2023年7月，取得自治区交通运输厅《关于钦州港大榄坪港区大榄坪南作业区9号10号泊位工程泊位能力释放论证报告审核的意见》（桂交行审〔2023〕192 号）批复，提升9号10号泊位能力等级为20万吨级集装箱泊位。</w:t>
      </w:r>
    </w:p>
    <w:p>
      <w:pPr>
        <w:ind w:firstLine="462" w:firstLineChars="200"/>
        <w:rPr>
          <w:bCs/>
          <w:color w:val="000000" w:themeColor="text1"/>
          <w:szCs w:val="28"/>
          <w14:textFill>
            <w14:solidFill>
              <w14:schemeClr w14:val="tx1"/>
            </w14:solidFill>
          </w14:textFill>
        </w:rPr>
      </w:pPr>
      <w:r>
        <w:rPr>
          <w:rFonts w:hint="eastAsia"/>
          <w:color w:val="000000" w:themeColor="text1"/>
          <w:szCs w:val="28"/>
          <w14:textFill>
            <w14:solidFill>
              <w14:schemeClr w14:val="tx1"/>
            </w14:solidFill>
          </w14:textFill>
        </w:rPr>
        <w:t>现有9号、10号共2个1</w:t>
      </w:r>
      <w:r>
        <w:rPr>
          <w:color w:val="000000" w:themeColor="text1"/>
          <w:szCs w:val="28"/>
          <w14:textFill>
            <w14:solidFill>
              <w14:schemeClr w14:val="tx1"/>
            </w14:solidFill>
          </w14:textFill>
        </w:rPr>
        <w:t>0</w:t>
      </w:r>
      <w:r>
        <w:rPr>
          <w:rFonts w:hint="eastAsia"/>
          <w:color w:val="000000" w:themeColor="text1"/>
          <w:szCs w:val="28"/>
          <w14:textFill>
            <w14:solidFill>
              <w14:schemeClr w14:val="tx1"/>
            </w14:solidFill>
          </w14:textFill>
        </w:rPr>
        <w:t>万吨级集装箱泊位（水工结构按2</w:t>
      </w:r>
      <w:r>
        <w:rPr>
          <w:color w:val="000000" w:themeColor="text1"/>
          <w:szCs w:val="28"/>
          <w14:textFill>
            <w14:solidFill>
              <w14:schemeClr w14:val="tx1"/>
            </w14:solidFill>
          </w14:textFill>
        </w:rPr>
        <w:t>0</w:t>
      </w:r>
      <w:r>
        <w:rPr>
          <w:rFonts w:hint="eastAsia"/>
          <w:color w:val="000000" w:themeColor="text1"/>
          <w:szCs w:val="28"/>
          <w14:textFill>
            <w14:solidFill>
              <w14:schemeClr w14:val="tx1"/>
            </w14:solidFill>
          </w14:textFill>
        </w:rPr>
        <w:t>万吨预留）岸线长度7</w:t>
      </w:r>
      <w:r>
        <w:rPr>
          <w:color w:val="000000" w:themeColor="text1"/>
          <w:szCs w:val="28"/>
          <w14:textFill>
            <w14:solidFill>
              <w14:schemeClr w14:val="tx1"/>
            </w14:solidFill>
          </w14:textFill>
        </w:rPr>
        <w:t>83</w:t>
      </w:r>
      <w:r>
        <w:rPr>
          <w:rFonts w:hint="eastAsia"/>
          <w:color w:val="000000" w:themeColor="text1"/>
          <w:szCs w:val="28"/>
          <w14:textFill>
            <w14:solidFill>
              <w14:schemeClr w14:val="tx1"/>
            </w14:solidFill>
          </w14:textFill>
        </w:rPr>
        <w:t>m，本项目从已建10号泊位往南扩建泊位208m，延长岸线后9号10号泊位岸线总长度991m，</w:t>
      </w:r>
      <w:r>
        <w:rPr>
          <w:rFonts w:hint="eastAsia"/>
          <w:bCs/>
          <w:color w:val="000000" w:themeColor="text1"/>
          <w:szCs w:val="28"/>
          <w14:textFill>
            <w14:solidFill>
              <w14:schemeClr w14:val="tx1"/>
            </w14:solidFill>
          </w14:textFill>
        </w:rPr>
        <w:t>可以满足2艘20万吨级集装箱船同时靠泊要求。扩建后总设计吞吐量200万TEU，总设计通过能力201万TEU。新建消浪护岸695m、消浪护岸过渡段157.8m。扩建前后泊位均无集装箱拆装箱、拼箱、洗箱及危险货物集装箱运输作业。</w:t>
      </w:r>
    </w:p>
    <w:p>
      <w:pPr>
        <w:ind w:firstLine="462" w:firstLineChars="200"/>
        <w:rPr>
          <w:bCs/>
          <w:color w:val="000000" w:themeColor="text1"/>
          <w14:textFill>
            <w14:solidFill>
              <w14:schemeClr w14:val="tx1"/>
            </w14:solidFill>
          </w14:textFill>
        </w:rPr>
      </w:pPr>
      <w:r>
        <w:rPr>
          <w:color w:val="000000" w:themeColor="text1"/>
          <w14:textFill>
            <w14:solidFill>
              <w14:schemeClr w14:val="tx1"/>
            </w14:solidFill>
          </w14:textFill>
        </w:rPr>
        <w:t>结合业务增长需求，将原9号10号泊位预留的22号堆场堆存及新增装卸设备纳入本工程设计范围，该堆场已完成地基处理，仅新增装卸作业</w:t>
      </w:r>
      <w:r>
        <w:rPr>
          <w:rFonts w:hint="eastAsia"/>
          <w:color w:val="000000" w:themeColor="text1"/>
          <w14:textFill>
            <w14:solidFill>
              <w14:schemeClr w14:val="tx1"/>
            </w14:solidFill>
          </w14:textFill>
        </w:rPr>
        <w:t>双小车岸桥2台，双悬臂轨道吊2台，水平运输IGV小车14台，</w:t>
      </w:r>
      <w:r>
        <w:rPr>
          <w:color w:val="000000" w:themeColor="text1"/>
          <w14:textFill>
            <w14:solidFill>
              <w14:schemeClr w14:val="tx1"/>
            </w14:solidFill>
          </w14:textFill>
        </w:rPr>
        <w:t>新增集装箱堆场堆存占地面积约1.8</w:t>
      </w:r>
      <w:r>
        <w:rPr>
          <w:rFonts w:hint="eastAsia"/>
          <w:color w:val="000000" w:themeColor="text1"/>
          <w14:textFill>
            <w14:solidFill>
              <w14:schemeClr w14:val="tx1"/>
            </w14:solidFill>
          </w14:textFill>
        </w:rPr>
        <w:t>h</w:t>
      </w:r>
      <w:r>
        <w:rPr>
          <w:color w:val="000000" w:themeColor="text1"/>
          <w14:textFill>
            <w14:solidFill>
              <w14:schemeClr w14:val="tx1"/>
            </w14:solidFill>
          </w14:textFill>
        </w:rPr>
        <w:t>m</w:t>
      </w:r>
      <w:r>
        <w:rPr>
          <w:color w:val="000000" w:themeColor="text1"/>
          <w:vertAlign w:val="superscript"/>
          <w14:textFill>
            <w14:solidFill>
              <w14:schemeClr w14:val="tx1"/>
            </w14:solidFill>
          </w14:textFill>
        </w:rPr>
        <w:t>2</w:t>
      </w:r>
      <w:r>
        <w:rPr>
          <w:rFonts w:hint="eastAsia"/>
          <w:color w:val="000000" w:themeColor="text1"/>
          <w14:textFill>
            <w14:solidFill>
              <w14:schemeClr w14:val="tx1"/>
            </w14:solidFill>
          </w14:textFill>
        </w:rPr>
        <w:t>。</w:t>
      </w:r>
    </w:p>
    <w:p>
      <w:pPr>
        <w:adjustRightInd w:val="0"/>
        <w:ind w:firstLine="462" w:firstLineChars="200"/>
        <w:rPr>
          <w:rStyle w:val="284"/>
          <w:color w:val="000000" w:themeColor="text1"/>
          <w14:textFill>
            <w14:solidFill>
              <w14:schemeClr w14:val="tx1"/>
            </w14:solidFill>
          </w14:textFill>
        </w:rPr>
      </w:pPr>
      <w:r>
        <w:rPr>
          <w:b/>
          <w:color w:val="000000" w:themeColor="text1"/>
          <w:szCs w:val="28"/>
          <w14:textFill>
            <w14:solidFill>
              <w14:schemeClr w14:val="tx1"/>
            </w14:solidFill>
          </w14:textFill>
        </w:rPr>
        <w:t>建设内容</w:t>
      </w:r>
      <w:r>
        <w:rPr>
          <w:color w:val="000000" w:themeColor="text1"/>
          <w:szCs w:val="28"/>
          <w14:textFill>
            <w14:solidFill>
              <w14:schemeClr w14:val="tx1"/>
            </w14:solidFill>
          </w14:textFill>
        </w:rPr>
        <w:t>：本项目工程包括水域疏浚、水工建筑、陆域地基处理、</w:t>
      </w:r>
      <w:r>
        <w:rPr>
          <w:rFonts w:hint="eastAsia"/>
          <w:color w:val="000000" w:themeColor="text1"/>
          <w:szCs w:val="28"/>
          <w14:textFill>
            <w14:solidFill>
              <w14:schemeClr w14:val="tx1"/>
            </w14:solidFill>
          </w14:textFill>
        </w:rPr>
        <w:t>配套工程</w:t>
      </w:r>
      <w:r>
        <w:rPr>
          <w:color w:val="000000" w:themeColor="text1"/>
          <w:szCs w:val="28"/>
          <w14:textFill>
            <w14:solidFill>
              <w14:schemeClr w14:val="tx1"/>
            </w14:solidFill>
          </w14:textFill>
        </w:rPr>
        <w:t>等工程</w:t>
      </w:r>
      <w:r>
        <w:rPr>
          <w:rStyle w:val="284"/>
          <w:color w:val="000000" w:themeColor="text1"/>
          <w14:textFill>
            <w14:solidFill>
              <w14:schemeClr w14:val="tx1"/>
            </w14:solidFill>
          </w14:textFill>
        </w:rPr>
        <w:t>。</w:t>
      </w:r>
    </w:p>
    <w:p>
      <w:pPr>
        <w:adjustRightInd w:val="0"/>
        <w:ind w:firstLine="462" w:firstLineChars="200"/>
        <w:rPr>
          <w:color w:val="000000" w:themeColor="text1"/>
          <w:lang w:val="zh-CN"/>
          <w14:textFill>
            <w14:solidFill>
              <w14:schemeClr w14:val="tx1"/>
            </w14:solidFill>
          </w14:textFill>
        </w:rPr>
      </w:pPr>
      <w:r>
        <w:rPr>
          <w:b/>
          <w:color w:val="000000" w:themeColor="text1"/>
          <w:lang w:val="zh-CN"/>
          <w14:textFill>
            <w14:solidFill>
              <w14:schemeClr w14:val="tx1"/>
            </w14:solidFill>
          </w14:textFill>
        </w:rPr>
        <w:t>项目总投资：</w:t>
      </w:r>
      <w:r>
        <w:rPr>
          <w:color w:val="000000" w:themeColor="text1"/>
          <w:lang w:val="zh-CN"/>
          <w14:textFill>
            <w14:solidFill>
              <w14:schemeClr w14:val="tx1"/>
            </w14:solidFill>
          </w14:textFill>
        </w:rPr>
        <w:t>项目总投资114997</w:t>
      </w:r>
      <w:r>
        <w:rPr>
          <w:rFonts w:hint="eastAsia"/>
          <w:color w:val="000000" w:themeColor="text1"/>
          <w:lang w:val="zh-CN"/>
          <w14:textFill>
            <w14:solidFill>
              <w14:schemeClr w14:val="tx1"/>
            </w14:solidFill>
          </w14:textFill>
        </w:rPr>
        <w:t>.33</w:t>
      </w:r>
      <w:r>
        <w:rPr>
          <w:color w:val="000000" w:themeColor="text1"/>
          <w:lang w:val="zh-CN"/>
          <w14:textFill>
            <w14:solidFill>
              <w14:schemeClr w14:val="tx1"/>
            </w14:solidFill>
          </w14:textFill>
        </w:rPr>
        <w:t>万元。</w:t>
      </w:r>
    </w:p>
    <w:p>
      <w:pPr>
        <w:pStyle w:val="384"/>
        <w:ind w:left="0" w:firstLine="0"/>
        <w:rPr>
          <w:rFonts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本次</w:t>
      </w:r>
      <w:r>
        <w:rPr>
          <w:rFonts w:cs="Times New Roman"/>
          <w:color w:val="000000" w:themeColor="text1"/>
          <w14:textFill>
            <w14:solidFill>
              <w14:schemeClr w14:val="tx1"/>
            </w14:solidFill>
          </w14:textFill>
        </w:rPr>
        <w:t>扩建工程主要指标及工程数量表</w:t>
      </w:r>
    </w:p>
    <w:tbl>
      <w:tblPr>
        <w:tblStyle w:val="88"/>
        <w:tblW w:w="8527" w:type="dxa"/>
        <w:jc w:val="center"/>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774"/>
        <w:gridCol w:w="2125"/>
        <w:gridCol w:w="707"/>
        <w:gridCol w:w="993"/>
        <w:gridCol w:w="3928"/>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blHeader/>
          <w:jc w:val="center"/>
        </w:trPr>
        <w:tc>
          <w:tcPr>
            <w:tcW w:w="774" w:type="dxa"/>
            <w:vAlign w:val="center"/>
          </w:tcPr>
          <w:p>
            <w:pPr>
              <w:autoSpaceDE w:val="0"/>
              <w:autoSpaceDN w:val="0"/>
              <w:adjustRightInd w:val="0"/>
              <w:snapToGrid w:val="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序号</w:t>
            </w:r>
          </w:p>
        </w:tc>
        <w:tc>
          <w:tcPr>
            <w:tcW w:w="2125" w:type="dxa"/>
            <w:vAlign w:val="center"/>
          </w:tcPr>
          <w:p>
            <w:pPr>
              <w:autoSpaceDE w:val="0"/>
              <w:autoSpaceDN w:val="0"/>
              <w:adjustRightInd w:val="0"/>
              <w:snapToGrid w:val="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项目名称</w:t>
            </w:r>
          </w:p>
        </w:tc>
        <w:tc>
          <w:tcPr>
            <w:tcW w:w="707" w:type="dxa"/>
            <w:vAlign w:val="center"/>
          </w:tcPr>
          <w:p>
            <w:pPr>
              <w:autoSpaceDE w:val="0"/>
              <w:autoSpaceDN w:val="0"/>
              <w:adjustRightInd w:val="0"/>
              <w:snapToGrid w:val="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单位</w:t>
            </w:r>
          </w:p>
        </w:tc>
        <w:tc>
          <w:tcPr>
            <w:tcW w:w="993" w:type="dxa"/>
            <w:vAlign w:val="center"/>
          </w:tcPr>
          <w:p>
            <w:pPr>
              <w:autoSpaceDE w:val="0"/>
              <w:autoSpaceDN w:val="0"/>
              <w:adjustRightInd w:val="0"/>
              <w:snapToGrid w:val="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数量</w:t>
            </w:r>
          </w:p>
        </w:tc>
        <w:tc>
          <w:tcPr>
            <w:tcW w:w="3928" w:type="dxa"/>
            <w:vAlign w:val="center"/>
          </w:tcPr>
          <w:p>
            <w:pPr>
              <w:autoSpaceDE w:val="0"/>
              <w:autoSpaceDN w:val="0"/>
              <w:adjustRightInd w:val="0"/>
              <w:snapToGrid w:val="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备注</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774" w:type="dxa"/>
            <w:vAlign w:val="center"/>
          </w:tcPr>
          <w:p>
            <w:pPr>
              <w:autoSpaceDE w:val="0"/>
              <w:autoSpaceDN w:val="0"/>
              <w:adjustRightInd w:val="0"/>
              <w:snapToGrid w:val="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1</w:t>
            </w:r>
          </w:p>
        </w:tc>
        <w:tc>
          <w:tcPr>
            <w:tcW w:w="2125" w:type="dxa"/>
            <w:vAlign w:val="center"/>
          </w:tcPr>
          <w:p>
            <w:pPr>
              <w:autoSpaceDE w:val="0"/>
              <w:autoSpaceDN w:val="0"/>
              <w:adjustRightInd w:val="0"/>
              <w:snapToGrid w:val="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9号10号泊位扩建段</w:t>
            </w:r>
          </w:p>
        </w:tc>
        <w:tc>
          <w:tcPr>
            <w:tcW w:w="707" w:type="dxa"/>
            <w:vAlign w:val="center"/>
          </w:tcPr>
          <w:p>
            <w:pPr>
              <w:autoSpaceDE w:val="0"/>
              <w:autoSpaceDN w:val="0"/>
              <w:adjustRightInd w:val="0"/>
              <w:snapToGrid w:val="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m</w:t>
            </w:r>
          </w:p>
        </w:tc>
        <w:tc>
          <w:tcPr>
            <w:tcW w:w="993" w:type="dxa"/>
            <w:vAlign w:val="center"/>
          </w:tcPr>
          <w:p>
            <w:pPr>
              <w:autoSpaceDE w:val="0"/>
              <w:autoSpaceDN w:val="0"/>
              <w:adjustRightInd w:val="0"/>
              <w:snapToGrid w:val="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208</w:t>
            </w:r>
          </w:p>
        </w:tc>
        <w:tc>
          <w:tcPr>
            <w:tcW w:w="3928" w:type="dxa"/>
            <w:vAlign w:val="center"/>
          </w:tcPr>
          <w:p>
            <w:pPr>
              <w:autoSpaceDE w:val="0"/>
              <w:autoSpaceDN w:val="0"/>
              <w:adjustRightInd w:val="0"/>
              <w:snapToGrid w:val="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结构按20万吨级集装箱船设计，扩建后9号10号泊位岸线总长991m</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774" w:type="dxa"/>
            <w:vAlign w:val="center"/>
          </w:tcPr>
          <w:p>
            <w:pPr>
              <w:autoSpaceDE w:val="0"/>
              <w:autoSpaceDN w:val="0"/>
              <w:adjustRightInd w:val="0"/>
              <w:snapToGrid w:val="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2</w:t>
            </w:r>
          </w:p>
        </w:tc>
        <w:tc>
          <w:tcPr>
            <w:tcW w:w="2125" w:type="dxa"/>
            <w:vAlign w:val="center"/>
          </w:tcPr>
          <w:p>
            <w:pPr>
              <w:autoSpaceDE w:val="0"/>
              <w:autoSpaceDN w:val="0"/>
              <w:adjustRightInd w:val="0"/>
              <w:snapToGrid w:val="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消浪护岸</w:t>
            </w:r>
          </w:p>
        </w:tc>
        <w:tc>
          <w:tcPr>
            <w:tcW w:w="707" w:type="dxa"/>
            <w:vAlign w:val="center"/>
          </w:tcPr>
          <w:p>
            <w:pPr>
              <w:autoSpaceDE w:val="0"/>
              <w:autoSpaceDN w:val="0"/>
              <w:adjustRightInd w:val="0"/>
              <w:snapToGrid w:val="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m</w:t>
            </w:r>
          </w:p>
        </w:tc>
        <w:tc>
          <w:tcPr>
            <w:tcW w:w="993" w:type="dxa"/>
            <w:vAlign w:val="center"/>
          </w:tcPr>
          <w:p>
            <w:pPr>
              <w:autoSpaceDE w:val="0"/>
              <w:autoSpaceDN w:val="0"/>
              <w:adjustRightInd w:val="0"/>
              <w:snapToGrid w:val="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695</w:t>
            </w:r>
          </w:p>
        </w:tc>
        <w:tc>
          <w:tcPr>
            <w:tcW w:w="3928" w:type="dxa"/>
            <w:vAlign w:val="center"/>
          </w:tcPr>
          <w:p>
            <w:pPr>
              <w:autoSpaceDE w:val="0"/>
              <w:autoSpaceDN w:val="0"/>
              <w:adjustRightInd w:val="0"/>
              <w:snapToGrid w:val="0"/>
              <w:jc w:val="center"/>
              <w:rPr>
                <w:color w:val="000000" w:themeColor="text1"/>
                <w:kern w:val="0"/>
                <w:sz w:val="21"/>
                <w:szCs w:val="21"/>
                <w14:textFill>
                  <w14:solidFill>
                    <w14:schemeClr w14:val="tx1"/>
                  </w14:solidFill>
                </w14:textFill>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243" w:hRule="atLeast"/>
          <w:jc w:val="center"/>
        </w:trPr>
        <w:tc>
          <w:tcPr>
            <w:tcW w:w="774" w:type="dxa"/>
            <w:vAlign w:val="center"/>
          </w:tcPr>
          <w:p>
            <w:pPr>
              <w:autoSpaceDE w:val="0"/>
              <w:autoSpaceDN w:val="0"/>
              <w:adjustRightInd w:val="0"/>
              <w:snapToGrid w:val="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3</w:t>
            </w:r>
          </w:p>
        </w:tc>
        <w:tc>
          <w:tcPr>
            <w:tcW w:w="2125" w:type="dxa"/>
            <w:vAlign w:val="center"/>
          </w:tcPr>
          <w:p>
            <w:pPr>
              <w:autoSpaceDE w:val="0"/>
              <w:autoSpaceDN w:val="0"/>
              <w:adjustRightInd w:val="0"/>
              <w:snapToGrid w:val="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消浪护岸过渡段</w:t>
            </w:r>
          </w:p>
        </w:tc>
        <w:tc>
          <w:tcPr>
            <w:tcW w:w="707" w:type="dxa"/>
            <w:vAlign w:val="center"/>
          </w:tcPr>
          <w:p>
            <w:pPr>
              <w:autoSpaceDE w:val="0"/>
              <w:autoSpaceDN w:val="0"/>
              <w:adjustRightInd w:val="0"/>
              <w:snapToGrid w:val="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m</w:t>
            </w:r>
          </w:p>
        </w:tc>
        <w:tc>
          <w:tcPr>
            <w:tcW w:w="993" w:type="dxa"/>
            <w:vAlign w:val="center"/>
          </w:tcPr>
          <w:p>
            <w:pPr>
              <w:autoSpaceDE w:val="0"/>
              <w:autoSpaceDN w:val="0"/>
              <w:adjustRightInd w:val="0"/>
              <w:snapToGrid w:val="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157.8</w:t>
            </w:r>
          </w:p>
        </w:tc>
        <w:tc>
          <w:tcPr>
            <w:tcW w:w="3928" w:type="dxa"/>
            <w:vAlign w:val="center"/>
          </w:tcPr>
          <w:p>
            <w:pPr>
              <w:autoSpaceDE w:val="0"/>
              <w:autoSpaceDN w:val="0"/>
              <w:adjustRightInd w:val="0"/>
              <w:snapToGrid w:val="0"/>
              <w:jc w:val="center"/>
              <w:rPr>
                <w:color w:val="000000" w:themeColor="text1"/>
                <w:kern w:val="0"/>
                <w:sz w:val="21"/>
                <w:szCs w:val="21"/>
                <w14:textFill>
                  <w14:solidFill>
                    <w14:schemeClr w14:val="tx1"/>
                  </w14:solidFill>
                </w14:textFill>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774" w:type="dxa"/>
            <w:vAlign w:val="center"/>
          </w:tcPr>
          <w:p>
            <w:pPr>
              <w:autoSpaceDE w:val="0"/>
              <w:autoSpaceDN w:val="0"/>
              <w:adjustRightInd w:val="0"/>
              <w:snapToGrid w:val="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4</w:t>
            </w:r>
          </w:p>
        </w:tc>
        <w:tc>
          <w:tcPr>
            <w:tcW w:w="2125" w:type="dxa"/>
            <w:vAlign w:val="center"/>
          </w:tcPr>
          <w:p>
            <w:pPr>
              <w:autoSpaceDE w:val="0"/>
              <w:autoSpaceDN w:val="0"/>
              <w:adjustRightInd w:val="0"/>
              <w:snapToGrid w:val="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港区陆域</w:t>
            </w:r>
          </w:p>
        </w:tc>
        <w:tc>
          <w:tcPr>
            <w:tcW w:w="707" w:type="dxa"/>
            <w:vAlign w:val="center"/>
          </w:tcPr>
          <w:p>
            <w:pPr>
              <w:autoSpaceDE w:val="0"/>
              <w:autoSpaceDN w:val="0"/>
              <w:adjustRightInd w:val="0"/>
              <w:snapToGrid w:val="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h</w:t>
            </w:r>
            <w:r>
              <w:rPr>
                <w:color w:val="000000" w:themeColor="text1"/>
                <w:kern w:val="0"/>
                <w:sz w:val="21"/>
                <w:szCs w:val="21"/>
                <w14:textFill>
                  <w14:solidFill>
                    <w14:schemeClr w14:val="tx1"/>
                  </w14:solidFill>
                </w14:textFill>
              </w:rPr>
              <w:t>m</w:t>
            </w:r>
            <w:r>
              <w:rPr>
                <w:rFonts w:hint="eastAsia"/>
                <w:color w:val="000000" w:themeColor="text1"/>
                <w:kern w:val="0"/>
                <w:sz w:val="21"/>
                <w:szCs w:val="21"/>
                <w:vertAlign w:val="superscript"/>
                <w14:textFill>
                  <w14:solidFill>
                    <w14:schemeClr w14:val="tx1"/>
                  </w14:solidFill>
                </w14:textFill>
              </w:rPr>
              <w:t>2</w:t>
            </w:r>
          </w:p>
        </w:tc>
        <w:tc>
          <w:tcPr>
            <w:tcW w:w="993" w:type="dxa"/>
            <w:vAlign w:val="center"/>
          </w:tcPr>
          <w:p>
            <w:pPr>
              <w:autoSpaceDE w:val="0"/>
              <w:autoSpaceDN w:val="0"/>
              <w:adjustRightInd w:val="0"/>
              <w:snapToGrid w:val="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20.63</w:t>
            </w:r>
          </w:p>
        </w:tc>
        <w:tc>
          <w:tcPr>
            <w:tcW w:w="3928" w:type="dxa"/>
            <w:vAlign w:val="center"/>
          </w:tcPr>
          <w:p>
            <w:pPr>
              <w:autoSpaceDE w:val="0"/>
              <w:autoSpaceDN w:val="0"/>
              <w:adjustRightInd w:val="0"/>
              <w:snapToGrid w:val="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陆域纵深</w:t>
            </w:r>
            <w:r>
              <w:rPr>
                <w:rFonts w:hint="eastAsia"/>
                <w:color w:val="000000" w:themeColor="text1"/>
                <w:kern w:val="0"/>
                <w:sz w:val="21"/>
                <w:szCs w:val="21"/>
                <w14:textFill>
                  <w14:solidFill>
                    <w14:schemeClr w14:val="tx1"/>
                  </w14:solidFill>
                </w14:textFill>
              </w:rPr>
              <w:t>862.9m（不包含22号堆场区域）</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774" w:type="dxa"/>
            <w:vAlign w:val="center"/>
          </w:tcPr>
          <w:p>
            <w:pPr>
              <w:autoSpaceDE w:val="0"/>
              <w:autoSpaceDN w:val="0"/>
              <w:adjustRightInd w:val="0"/>
              <w:snapToGrid w:val="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4.1</w:t>
            </w:r>
          </w:p>
        </w:tc>
        <w:tc>
          <w:tcPr>
            <w:tcW w:w="2125" w:type="dxa"/>
            <w:vAlign w:val="center"/>
          </w:tcPr>
          <w:p>
            <w:pPr>
              <w:autoSpaceDE w:val="0"/>
              <w:autoSpaceDN w:val="0"/>
              <w:adjustRightInd w:val="0"/>
              <w:snapToGrid w:val="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码头前沿作业地带</w:t>
            </w:r>
          </w:p>
        </w:tc>
        <w:tc>
          <w:tcPr>
            <w:tcW w:w="707" w:type="dxa"/>
            <w:vAlign w:val="center"/>
          </w:tcPr>
          <w:p>
            <w:pPr>
              <w:autoSpaceDE w:val="0"/>
              <w:autoSpaceDN w:val="0"/>
              <w:adjustRightInd w:val="0"/>
              <w:snapToGrid w:val="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h</w:t>
            </w:r>
            <w:r>
              <w:rPr>
                <w:color w:val="000000" w:themeColor="text1"/>
                <w:kern w:val="0"/>
                <w:sz w:val="21"/>
                <w:szCs w:val="21"/>
                <w14:textFill>
                  <w14:solidFill>
                    <w14:schemeClr w14:val="tx1"/>
                  </w14:solidFill>
                </w14:textFill>
              </w:rPr>
              <w:t>m</w:t>
            </w:r>
            <w:r>
              <w:rPr>
                <w:rFonts w:hint="eastAsia"/>
                <w:color w:val="000000" w:themeColor="text1"/>
                <w:kern w:val="0"/>
                <w:sz w:val="21"/>
                <w:szCs w:val="21"/>
                <w:vertAlign w:val="superscript"/>
                <w14:textFill>
                  <w14:solidFill>
                    <w14:schemeClr w14:val="tx1"/>
                  </w14:solidFill>
                </w14:textFill>
              </w:rPr>
              <w:t>2</w:t>
            </w:r>
          </w:p>
        </w:tc>
        <w:tc>
          <w:tcPr>
            <w:tcW w:w="993" w:type="dxa"/>
            <w:vAlign w:val="center"/>
          </w:tcPr>
          <w:p>
            <w:pPr>
              <w:autoSpaceDE w:val="0"/>
              <w:autoSpaceDN w:val="0"/>
              <w:adjustRightInd w:val="0"/>
              <w:snapToGrid w:val="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2.5</w:t>
            </w:r>
          </w:p>
        </w:tc>
        <w:tc>
          <w:tcPr>
            <w:tcW w:w="3928" w:type="dxa"/>
            <w:vAlign w:val="center"/>
          </w:tcPr>
          <w:p>
            <w:pPr>
              <w:autoSpaceDE w:val="0"/>
              <w:autoSpaceDN w:val="0"/>
              <w:adjustRightInd w:val="0"/>
              <w:snapToGrid w:val="0"/>
              <w:jc w:val="center"/>
              <w:rPr>
                <w:color w:val="000000" w:themeColor="text1"/>
                <w:kern w:val="0"/>
                <w:sz w:val="21"/>
                <w:szCs w:val="21"/>
                <w14:textFill>
                  <w14:solidFill>
                    <w14:schemeClr w14:val="tx1"/>
                  </w14:solidFill>
                </w14:textFill>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774" w:type="dxa"/>
            <w:vAlign w:val="center"/>
          </w:tcPr>
          <w:p>
            <w:pPr>
              <w:autoSpaceDE w:val="0"/>
              <w:autoSpaceDN w:val="0"/>
              <w:adjustRightInd w:val="0"/>
              <w:snapToGrid w:val="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4.2</w:t>
            </w:r>
          </w:p>
        </w:tc>
        <w:tc>
          <w:tcPr>
            <w:tcW w:w="2125" w:type="dxa"/>
            <w:vAlign w:val="center"/>
          </w:tcPr>
          <w:p>
            <w:pPr>
              <w:autoSpaceDE w:val="0"/>
              <w:autoSpaceDN w:val="0"/>
              <w:adjustRightInd w:val="0"/>
              <w:snapToGrid w:val="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堆场衔接区</w:t>
            </w:r>
          </w:p>
        </w:tc>
        <w:tc>
          <w:tcPr>
            <w:tcW w:w="707" w:type="dxa"/>
            <w:vAlign w:val="center"/>
          </w:tcPr>
          <w:p>
            <w:pPr>
              <w:autoSpaceDE w:val="0"/>
              <w:autoSpaceDN w:val="0"/>
              <w:adjustRightInd w:val="0"/>
              <w:snapToGrid w:val="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h</w:t>
            </w:r>
            <w:r>
              <w:rPr>
                <w:color w:val="000000" w:themeColor="text1"/>
                <w:kern w:val="0"/>
                <w:sz w:val="21"/>
                <w:szCs w:val="21"/>
                <w14:textFill>
                  <w14:solidFill>
                    <w14:schemeClr w14:val="tx1"/>
                  </w14:solidFill>
                </w14:textFill>
              </w:rPr>
              <w:t>m</w:t>
            </w:r>
            <w:r>
              <w:rPr>
                <w:rFonts w:hint="eastAsia"/>
                <w:color w:val="000000" w:themeColor="text1"/>
                <w:kern w:val="0"/>
                <w:sz w:val="21"/>
                <w:szCs w:val="21"/>
                <w:vertAlign w:val="superscript"/>
                <w14:textFill>
                  <w14:solidFill>
                    <w14:schemeClr w14:val="tx1"/>
                  </w14:solidFill>
                </w14:textFill>
              </w:rPr>
              <w:t>2</w:t>
            </w:r>
          </w:p>
        </w:tc>
        <w:tc>
          <w:tcPr>
            <w:tcW w:w="993" w:type="dxa"/>
            <w:vAlign w:val="center"/>
          </w:tcPr>
          <w:p>
            <w:pPr>
              <w:autoSpaceDE w:val="0"/>
              <w:autoSpaceDN w:val="0"/>
              <w:adjustRightInd w:val="0"/>
              <w:snapToGrid w:val="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17.7</w:t>
            </w:r>
          </w:p>
        </w:tc>
        <w:tc>
          <w:tcPr>
            <w:tcW w:w="3928" w:type="dxa"/>
            <w:vAlign w:val="center"/>
          </w:tcPr>
          <w:p>
            <w:pPr>
              <w:autoSpaceDE w:val="0"/>
              <w:autoSpaceDN w:val="0"/>
              <w:adjustRightInd w:val="0"/>
              <w:snapToGrid w:val="0"/>
              <w:jc w:val="center"/>
              <w:rPr>
                <w:color w:val="000000" w:themeColor="text1"/>
                <w:kern w:val="0"/>
                <w:sz w:val="21"/>
                <w:szCs w:val="21"/>
                <w14:textFill>
                  <w14:solidFill>
                    <w14:schemeClr w14:val="tx1"/>
                  </w14:solidFill>
                </w14:textFill>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774" w:type="dxa"/>
            <w:vAlign w:val="center"/>
          </w:tcPr>
          <w:p>
            <w:pPr>
              <w:autoSpaceDE w:val="0"/>
              <w:autoSpaceDN w:val="0"/>
              <w:adjustRightInd w:val="0"/>
              <w:snapToGrid w:val="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4.3</w:t>
            </w:r>
          </w:p>
        </w:tc>
        <w:tc>
          <w:tcPr>
            <w:tcW w:w="2125" w:type="dxa"/>
            <w:vAlign w:val="center"/>
          </w:tcPr>
          <w:p>
            <w:pPr>
              <w:autoSpaceDE w:val="0"/>
              <w:autoSpaceDN w:val="0"/>
              <w:adjustRightInd w:val="0"/>
              <w:snapToGrid w:val="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港内道路面积</w:t>
            </w:r>
          </w:p>
        </w:tc>
        <w:tc>
          <w:tcPr>
            <w:tcW w:w="707" w:type="dxa"/>
            <w:vAlign w:val="center"/>
          </w:tcPr>
          <w:p>
            <w:pPr>
              <w:autoSpaceDE w:val="0"/>
              <w:autoSpaceDN w:val="0"/>
              <w:adjustRightInd w:val="0"/>
              <w:snapToGrid w:val="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h</w:t>
            </w:r>
            <w:r>
              <w:rPr>
                <w:color w:val="000000" w:themeColor="text1"/>
                <w:kern w:val="0"/>
                <w:sz w:val="21"/>
                <w:szCs w:val="21"/>
                <w14:textFill>
                  <w14:solidFill>
                    <w14:schemeClr w14:val="tx1"/>
                  </w14:solidFill>
                </w14:textFill>
              </w:rPr>
              <w:t>m</w:t>
            </w:r>
            <w:r>
              <w:rPr>
                <w:rFonts w:hint="eastAsia"/>
                <w:color w:val="000000" w:themeColor="text1"/>
                <w:kern w:val="0"/>
                <w:sz w:val="21"/>
                <w:szCs w:val="21"/>
                <w:vertAlign w:val="superscript"/>
                <w14:textFill>
                  <w14:solidFill>
                    <w14:schemeClr w14:val="tx1"/>
                  </w14:solidFill>
                </w14:textFill>
              </w:rPr>
              <w:t>2</w:t>
            </w:r>
          </w:p>
        </w:tc>
        <w:tc>
          <w:tcPr>
            <w:tcW w:w="993" w:type="dxa"/>
            <w:vAlign w:val="center"/>
          </w:tcPr>
          <w:p>
            <w:pPr>
              <w:autoSpaceDE w:val="0"/>
              <w:autoSpaceDN w:val="0"/>
              <w:adjustRightInd w:val="0"/>
              <w:snapToGrid w:val="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0.43</w:t>
            </w:r>
          </w:p>
        </w:tc>
        <w:tc>
          <w:tcPr>
            <w:tcW w:w="3928" w:type="dxa"/>
            <w:vAlign w:val="center"/>
          </w:tcPr>
          <w:p>
            <w:pPr>
              <w:autoSpaceDE w:val="0"/>
              <w:autoSpaceDN w:val="0"/>
              <w:adjustRightInd w:val="0"/>
              <w:snapToGrid w:val="0"/>
              <w:jc w:val="center"/>
              <w:rPr>
                <w:color w:val="000000" w:themeColor="text1"/>
                <w:kern w:val="0"/>
                <w:sz w:val="21"/>
                <w:szCs w:val="21"/>
                <w14:textFill>
                  <w14:solidFill>
                    <w14:schemeClr w14:val="tx1"/>
                  </w14:solidFill>
                </w14:textFill>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774" w:type="dxa"/>
            <w:vAlign w:val="center"/>
          </w:tcPr>
          <w:p>
            <w:pPr>
              <w:autoSpaceDE w:val="0"/>
              <w:autoSpaceDN w:val="0"/>
              <w:adjustRightInd w:val="0"/>
              <w:snapToGrid w:val="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5</w:t>
            </w:r>
          </w:p>
        </w:tc>
        <w:tc>
          <w:tcPr>
            <w:tcW w:w="2125" w:type="dxa"/>
            <w:vAlign w:val="center"/>
          </w:tcPr>
          <w:p>
            <w:pPr>
              <w:autoSpaceDE w:val="0"/>
              <w:autoSpaceDN w:val="0"/>
              <w:adjustRightInd w:val="0"/>
              <w:snapToGrid w:val="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新增堆场面积</w:t>
            </w:r>
          </w:p>
        </w:tc>
        <w:tc>
          <w:tcPr>
            <w:tcW w:w="707" w:type="dxa"/>
            <w:vAlign w:val="center"/>
          </w:tcPr>
          <w:p>
            <w:pPr>
              <w:autoSpaceDE w:val="0"/>
              <w:autoSpaceDN w:val="0"/>
              <w:adjustRightInd w:val="0"/>
              <w:snapToGrid w:val="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h</w:t>
            </w:r>
            <w:r>
              <w:rPr>
                <w:color w:val="000000" w:themeColor="text1"/>
                <w:kern w:val="0"/>
                <w:sz w:val="21"/>
                <w:szCs w:val="21"/>
                <w14:textFill>
                  <w14:solidFill>
                    <w14:schemeClr w14:val="tx1"/>
                  </w14:solidFill>
                </w14:textFill>
              </w:rPr>
              <w:t>m</w:t>
            </w:r>
            <w:r>
              <w:rPr>
                <w:rFonts w:hint="eastAsia"/>
                <w:color w:val="000000" w:themeColor="text1"/>
                <w:kern w:val="0"/>
                <w:sz w:val="21"/>
                <w:szCs w:val="21"/>
                <w:vertAlign w:val="superscript"/>
                <w14:textFill>
                  <w14:solidFill>
                    <w14:schemeClr w14:val="tx1"/>
                  </w14:solidFill>
                </w14:textFill>
              </w:rPr>
              <w:t>2</w:t>
            </w:r>
          </w:p>
        </w:tc>
        <w:tc>
          <w:tcPr>
            <w:tcW w:w="993" w:type="dxa"/>
            <w:vAlign w:val="center"/>
          </w:tcPr>
          <w:p>
            <w:pPr>
              <w:autoSpaceDE w:val="0"/>
              <w:autoSpaceDN w:val="0"/>
              <w:adjustRightInd w:val="0"/>
              <w:snapToGrid w:val="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2.4</w:t>
            </w:r>
          </w:p>
        </w:tc>
        <w:tc>
          <w:tcPr>
            <w:tcW w:w="3928" w:type="dxa"/>
            <w:vAlign w:val="center"/>
          </w:tcPr>
          <w:p>
            <w:pPr>
              <w:autoSpaceDE w:val="0"/>
              <w:autoSpaceDN w:val="0"/>
              <w:adjustRightInd w:val="0"/>
              <w:snapToGrid w:val="0"/>
              <w:jc w:val="center"/>
              <w:rPr>
                <w:color w:val="000000" w:themeColor="text1"/>
                <w:kern w:val="0"/>
                <w:sz w:val="21"/>
                <w:szCs w:val="21"/>
                <w14:textFill>
                  <w14:solidFill>
                    <w14:schemeClr w14:val="tx1"/>
                  </w14:solidFill>
                </w14:textFill>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774" w:type="dxa"/>
            <w:vAlign w:val="center"/>
          </w:tcPr>
          <w:p>
            <w:pPr>
              <w:autoSpaceDE w:val="0"/>
              <w:autoSpaceDN w:val="0"/>
              <w:adjustRightInd w:val="0"/>
              <w:snapToGrid w:val="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6</w:t>
            </w:r>
          </w:p>
        </w:tc>
        <w:tc>
          <w:tcPr>
            <w:tcW w:w="2125" w:type="dxa"/>
            <w:vAlign w:val="center"/>
          </w:tcPr>
          <w:p>
            <w:pPr>
              <w:autoSpaceDE w:val="0"/>
              <w:autoSpaceDN w:val="0"/>
              <w:adjustRightInd w:val="0"/>
              <w:snapToGrid w:val="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港池用海</w:t>
            </w:r>
          </w:p>
        </w:tc>
        <w:tc>
          <w:tcPr>
            <w:tcW w:w="707" w:type="dxa"/>
            <w:vAlign w:val="center"/>
          </w:tcPr>
          <w:p>
            <w:pPr>
              <w:autoSpaceDE w:val="0"/>
              <w:autoSpaceDN w:val="0"/>
              <w:adjustRightInd w:val="0"/>
              <w:snapToGrid w:val="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h</w:t>
            </w:r>
            <w:r>
              <w:rPr>
                <w:color w:val="000000" w:themeColor="text1"/>
                <w:kern w:val="0"/>
                <w:sz w:val="21"/>
                <w:szCs w:val="21"/>
                <w14:textFill>
                  <w14:solidFill>
                    <w14:schemeClr w14:val="tx1"/>
                  </w14:solidFill>
                </w14:textFill>
              </w:rPr>
              <w:t>m</w:t>
            </w:r>
            <w:r>
              <w:rPr>
                <w:rFonts w:hint="eastAsia"/>
                <w:color w:val="000000" w:themeColor="text1"/>
                <w:kern w:val="0"/>
                <w:sz w:val="21"/>
                <w:szCs w:val="21"/>
                <w:vertAlign w:val="superscript"/>
                <w14:textFill>
                  <w14:solidFill>
                    <w14:schemeClr w14:val="tx1"/>
                  </w14:solidFill>
                </w14:textFill>
              </w:rPr>
              <w:t>2</w:t>
            </w:r>
          </w:p>
        </w:tc>
        <w:tc>
          <w:tcPr>
            <w:tcW w:w="993" w:type="dxa"/>
            <w:vAlign w:val="center"/>
          </w:tcPr>
          <w:p>
            <w:pPr>
              <w:autoSpaceDE w:val="0"/>
              <w:autoSpaceDN w:val="0"/>
              <w:adjustRightInd w:val="0"/>
              <w:snapToGrid w:val="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2.5588</w:t>
            </w:r>
          </w:p>
        </w:tc>
        <w:tc>
          <w:tcPr>
            <w:tcW w:w="3928" w:type="dxa"/>
            <w:vAlign w:val="center"/>
          </w:tcPr>
          <w:p>
            <w:pPr>
              <w:autoSpaceDE w:val="0"/>
              <w:autoSpaceDN w:val="0"/>
              <w:adjustRightInd w:val="0"/>
              <w:snapToGrid w:val="0"/>
              <w:jc w:val="center"/>
              <w:rPr>
                <w:color w:val="000000" w:themeColor="text1"/>
                <w:kern w:val="0"/>
                <w:sz w:val="21"/>
                <w:szCs w:val="21"/>
                <w14:textFill>
                  <w14:solidFill>
                    <w14:schemeClr w14:val="tx1"/>
                  </w14:solidFill>
                </w14:textFill>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774" w:type="dxa"/>
            <w:vAlign w:val="center"/>
          </w:tcPr>
          <w:p>
            <w:pPr>
              <w:autoSpaceDE w:val="0"/>
              <w:autoSpaceDN w:val="0"/>
              <w:adjustRightInd w:val="0"/>
              <w:snapToGrid w:val="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7</w:t>
            </w:r>
          </w:p>
        </w:tc>
        <w:tc>
          <w:tcPr>
            <w:tcW w:w="2125" w:type="dxa"/>
            <w:vAlign w:val="center"/>
          </w:tcPr>
          <w:p>
            <w:pPr>
              <w:autoSpaceDE w:val="0"/>
              <w:autoSpaceDN w:val="0"/>
              <w:adjustRightInd w:val="0"/>
              <w:snapToGrid w:val="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停泊水域</w:t>
            </w:r>
          </w:p>
        </w:tc>
        <w:tc>
          <w:tcPr>
            <w:tcW w:w="707" w:type="dxa"/>
            <w:vAlign w:val="center"/>
          </w:tcPr>
          <w:p>
            <w:pPr>
              <w:autoSpaceDE w:val="0"/>
              <w:autoSpaceDN w:val="0"/>
              <w:adjustRightInd w:val="0"/>
              <w:snapToGrid w:val="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h</w:t>
            </w:r>
            <w:r>
              <w:rPr>
                <w:color w:val="000000" w:themeColor="text1"/>
                <w:kern w:val="0"/>
                <w:sz w:val="21"/>
                <w:szCs w:val="21"/>
                <w14:textFill>
                  <w14:solidFill>
                    <w14:schemeClr w14:val="tx1"/>
                  </w14:solidFill>
                </w14:textFill>
              </w:rPr>
              <w:t>m</w:t>
            </w:r>
            <w:r>
              <w:rPr>
                <w:rFonts w:hint="eastAsia"/>
                <w:color w:val="000000" w:themeColor="text1"/>
                <w:kern w:val="0"/>
                <w:sz w:val="21"/>
                <w:szCs w:val="21"/>
                <w:vertAlign w:val="superscript"/>
                <w14:textFill>
                  <w14:solidFill>
                    <w14:schemeClr w14:val="tx1"/>
                  </w14:solidFill>
                </w14:textFill>
              </w:rPr>
              <w:t>2</w:t>
            </w:r>
          </w:p>
        </w:tc>
        <w:tc>
          <w:tcPr>
            <w:tcW w:w="993" w:type="dxa"/>
            <w:vAlign w:val="center"/>
          </w:tcPr>
          <w:p>
            <w:pPr>
              <w:autoSpaceDE w:val="0"/>
              <w:autoSpaceDN w:val="0"/>
              <w:adjustRightInd w:val="0"/>
              <w:snapToGrid w:val="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2.5588</w:t>
            </w:r>
          </w:p>
        </w:tc>
        <w:tc>
          <w:tcPr>
            <w:tcW w:w="3928" w:type="dxa"/>
            <w:vAlign w:val="center"/>
          </w:tcPr>
          <w:p>
            <w:pPr>
              <w:autoSpaceDE w:val="0"/>
              <w:autoSpaceDN w:val="0"/>
              <w:adjustRightInd w:val="0"/>
              <w:snapToGrid w:val="0"/>
              <w:jc w:val="center"/>
              <w:rPr>
                <w:color w:val="000000" w:themeColor="text1"/>
                <w:kern w:val="0"/>
                <w:sz w:val="21"/>
                <w:szCs w:val="21"/>
                <w14:textFill>
                  <w14:solidFill>
                    <w14:schemeClr w14:val="tx1"/>
                  </w14:solidFill>
                </w14:textFill>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774" w:type="dxa"/>
            <w:vAlign w:val="center"/>
          </w:tcPr>
          <w:p>
            <w:pPr>
              <w:autoSpaceDE w:val="0"/>
              <w:autoSpaceDN w:val="0"/>
              <w:adjustRightInd w:val="0"/>
              <w:snapToGrid w:val="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8</w:t>
            </w:r>
          </w:p>
        </w:tc>
        <w:tc>
          <w:tcPr>
            <w:tcW w:w="2125" w:type="dxa"/>
            <w:vAlign w:val="center"/>
          </w:tcPr>
          <w:p>
            <w:pPr>
              <w:autoSpaceDE w:val="0"/>
              <w:autoSpaceDN w:val="0"/>
              <w:adjustRightInd w:val="0"/>
              <w:snapToGrid w:val="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水域疏浚面积</w:t>
            </w:r>
          </w:p>
        </w:tc>
        <w:tc>
          <w:tcPr>
            <w:tcW w:w="707" w:type="dxa"/>
            <w:vAlign w:val="center"/>
          </w:tcPr>
          <w:p>
            <w:pPr>
              <w:autoSpaceDE w:val="0"/>
              <w:autoSpaceDN w:val="0"/>
              <w:adjustRightInd w:val="0"/>
              <w:snapToGrid w:val="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h</w:t>
            </w:r>
            <w:r>
              <w:rPr>
                <w:color w:val="000000" w:themeColor="text1"/>
                <w:kern w:val="0"/>
                <w:sz w:val="21"/>
                <w:szCs w:val="21"/>
                <w14:textFill>
                  <w14:solidFill>
                    <w14:schemeClr w14:val="tx1"/>
                  </w14:solidFill>
                </w14:textFill>
              </w:rPr>
              <w:t>m</w:t>
            </w:r>
            <w:r>
              <w:rPr>
                <w:rFonts w:hint="eastAsia"/>
                <w:color w:val="000000" w:themeColor="text1"/>
                <w:kern w:val="0"/>
                <w:sz w:val="21"/>
                <w:szCs w:val="21"/>
                <w:vertAlign w:val="superscript"/>
                <w14:textFill>
                  <w14:solidFill>
                    <w14:schemeClr w14:val="tx1"/>
                  </w14:solidFill>
                </w14:textFill>
              </w:rPr>
              <w:t>2</w:t>
            </w:r>
          </w:p>
        </w:tc>
        <w:tc>
          <w:tcPr>
            <w:tcW w:w="993" w:type="dxa"/>
            <w:vAlign w:val="center"/>
          </w:tcPr>
          <w:p>
            <w:pPr>
              <w:autoSpaceDE w:val="0"/>
              <w:autoSpaceDN w:val="0"/>
              <w:adjustRightInd w:val="0"/>
              <w:snapToGrid w:val="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24.87</w:t>
            </w:r>
          </w:p>
        </w:tc>
        <w:tc>
          <w:tcPr>
            <w:tcW w:w="3928" w:type="dxa"/>
            <w:vAlign w:val="center"/>
          </w:tcPr>
          <w:p>
            <w:pPr>
              <w:autoSpaceDE w:val="0"/>
              <w:autoSpaceDN w:val="0"/>
              <w:adjustRightInd w:val="0"/>
              <w:snapToGrid w:val="0"/>
              <w:jc w:val="center"/>
              <w:rPr>
                <w:color w:val="000000" w:themeColor="text1"/>
                <w:kern w:val="0"/>
                <w:sz w:val="21"/>
                <w:szCs w:val="21"/>
                <w14:textFill>
                  <w14:solidFill>
                    <w14:schemeClr w14:val="tx1"/>
                  </w14:solidFill>
                </w14:textFill>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774" w:type="dxa"/>
            <w:vAlign w:val="center"/>
          </w:tcPr>
          <w:p>
            <w:pPr>
              <w:autoSpaceDE w:val="0"/>
              <w:autoSpaceDN w:val="0"/>
              <w:adjustRightInd w:val="0"/>
              <w:snapToGrid w:val="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8.1</w:t>
            </w:r>
          </w:p>
        </w:tc>
        <w:tc>
          <w:tcPr>
            <w:tcW w:w="2125" w:type="dxa"/>
            <w:vAlign w:val="center"/>
          </w:tcPr>
          <w:p>
            <w:pPr>
              <w:autoSpaceDE w:val="0"/>
              <w:autoSpaceDN w:val="0"/>
              <w:adjustRightInd w:val="0"/>
              <w:snapToGrid w:val="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码头前沿疏浚</w:t>
            </w:r>
          </w:p>
        </w:tc>
        <w:tc>
          <w:tcPr>
            <w:tcW w:w="707" w:type="dxa"/>
            <w:vAlign w:val="center"/>
          </w:tcPr>
          <w:p>
            <w:pPr>
              <w:autoSpaceDE w:val="0"/>
              <w:autoSpaceDN w:val="0"/>
              <w:adjustRightInd w:val="0"/>
              <w:snapToGrid w:val="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h</w:t>
            </w:r>
            <w:r>
              <w:rPr>
                <w:color w:val="000000" w:themeColor="text1"/>
                <w:kern w:val="0"/>
                <w:sz w:val="21"/>
                <w:szCs w:val="21"/>
                <w14:textFill>
                  <w14:solidFill>
                    <w14:schemeClr w14:val="tx1"/>
                  </w14:solidFill>
                </w14:textFill>
              </w:rPr>
              <w:t>m</w:t>
            </w:r>
            <w:r>
              <w:rPr>
                <w:rFonts w:hint="eastAsia"/>
                <w:color w:val="000000" w:themeColor="text1"/>
                <w:kern w:val="0"/>
                <w:sz w:val="21"/>
                <w:szCs w:val="21"/>
                <w:vertAlign w:val="superscript"/>
                <w14:textFill>
                  <w14:solidFill>
                    <w14:schemeClr w14:val="tx1"/>
                  </w14:solidFill>
                </w14:textFill>
              </w:rPr>
              <w:t>2</w:t>
            </w:r>
          </w:p>
        </w:tc>
        <w:tc>
          <w:tcPr>
            <w:tcW w:w="993" w:type="dxa"/>
            <w:vAlign w:val="center"/>
          </w:tcPr>
          <w:p>
            <w:pPr>
              <w:autoSpaceDE w:val="0"/>
              <w:autoSpaceDN w:val="0"/>
              <w:adjustRightInd w:val="0"/>
              <w:snapToGrid w:val="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13.52</w:t>
            </w:r>
          </w:p>
        </w:tc>
        <w:tc>
          <w:tcPr>
            <w:tcW w:w="3928" w:type="dxa"/>
            <w:vAlign w:val="center"/>
          </w:tcPr>
          <w:p>
            <w:pPr>
              <w:autoSpaceDE w:val="0"/>
              <w:autoSpaceDN w:val="0"/>
              <w:adjustRightInd w:val="0"/>
              <w:snapToGrid w:val="0"/>
              <w:jc w:val="center"/>
              <w:rPr>
                <w:color w:val="000000" w:themeColor="text1"/>
                <w:kern w:val="0"/>
                <w:sz w:val="21"/>
                <w:szCs w:val="21"/>
                <w14:textFill>
                  <w14:solidFill>
                    <w14:schemeClr w14:val="tx1"/>
                  </w14:solidFill>
                </w14:textFill>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774" w:type="dxa"/>
            <w:vAlign w:val="center"/>
          </w:tcPr>
          <w:p>
            <w:pPr>
              <w:autoSpaceDE w:val="0"/>
              <w:autoSpaceDN w:val="0"/>
              <w:adjustRightInd w:val="0"/>
              <w:snapToGrid w:val="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8.2</w:t>
            </w:r>
          </w:p>
        </w:tc>
        <w:tc>
          <w:tcPr>
            <w:tcW w:w="2125" w:type="dxa"/>
            <w:vAlign w:val="center"/>
          </w:tcPr>
          <w:p>
            <w:pPr>
              <w:autoSpaceDE w:val="0"/>
              <w:autoSpaceDN w:val="0"/>
              <w:adjustRightInd w:val="0"/>
              <w:snapToGrid w:val="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消浪护岸侧疏浚</w:t>
            </w:r>
          </w:p>
        </w:tc>
        <w:tc>
          <w:tcPr>
            <w:tcW w:w="707" w:type="dxa"/>
            <w:vAlign w:val="center"/>
          </w:tcPr>
          <w:p>
            <w:pPr>
              <w:autoSpaceDE w:val="0"/>
              <w:autoSpaceDN w:val="0"/>
              <w:adjustRightInd w:val="0"/>
              <w:snapToGrid w:val="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h</w:t>
            </w:r>
            <w:r>
              <w:rPr>
                <w:color w:val="000000" w:themeColor="text1"/>
                <w:kern w:val="0"/>
                <w:sz w:val="21"/>
                <w:szCs w:val="21"/>
                <w14:textFill>
                  <w14:solidFill>
                    <w14:schemeClr w14:val="tx1"/>
                  </w14:solidFill>
                </w14:textFill>
              </w:rPr>
              <w:t>m</w:t>
            </w:r>
            <w:r>
              <w:rPr>
                <w:rFonts w:hint="eastAsia"/>
                <w:color w:val="000000" w:themeColor="text1"/>
                <w:kern w:val="0"/>
                <w:sz w:val="21"/>
                <w:szCs w:val="21"/>
                <w:vertAlign w:val="superscript"/>
                <w14:textFill>
                  <w14:solidFill>
                    <w14:schemeClr w14:val="tx1"/>
                  </w14:solidFill>
                </w14:textFill>
              </w:rPr>
              <w:t>2</w:t>
            </w:r>
          </w:p>
        </w:tc>
        <w:tc>
          <w:tcPr>
            <w:tcW w:w="993" w:type="dxa"/>
            <w:vAlign w:val="center"/>
          </w:tcPr>
          <w:p>
            <w:pPr>
              <w:autoSpaceDE w:val="0"/>
              <w:autoSpaceDN w:val="0"/>
              <w:adjustRightInd w:val="0"/>
              <w:snapToGrid w:val="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6.05</w:t>
            </w:r>
          </w:p>
        </w:tc>
        <w:tc>
          <w:tcPr>
            <w:tcW w:w="3928" w:type="dxa"/>
            <w:vAlign w:val="center"/>
          </w:tcPr>
          <w:p>
            <w:pPr>
              <w:autoSpaceDE w:val="0"/>
              <w:autoSpaceDN w:val="0"/>
              <w:adjustRightInd w:val="0"/>
              <w:snapToGrid w:val="0"/>
              <w:jc w:val="center"/>
              <w:rPr>
                <w:color w:val="000000" w:themeColor="text1"/>
                <w:kern w:val="0"/>
                <w:sz w:val="21"/>
                <w:szCs w:val="21"/>
                <w14:textFill>
                  <w14:solidFill>
                    <w14:schemeClr w14:val="tx1"/>
                  </w14:solidFill>
                </w14:textFill>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774" w:type="dxa"/>
            <w:vAlign w:val="center"/>
          </w:tcPr>
          <w:p>
            <w:pPr>
              <w:autoSpaceDE w:val="0"/>
              <w:autoSpaceDN w:val="0"/>
              <w:adjustRightInd w:val="0"/>
              <w:snapToGrid w:val="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8.3</w:t>
            </w:r>
          </w:p>
        </w:tc>
        <w:tc>
          <w:tcPr>
            <w:tcW w:w="2125" w:type="dxa"/>
            <w:vAlign w:val="center"/>
          </w:tcPr>
          <w:p>
            <w:pPr>
              <w:autoSpaceDE w:val="0"/>
              <w:autoSpaceDN w:val="0"/>
              <w:adjustRightInd w:val="0"/>
              <w:snapToGrid w:val="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疏浚边坡</w:t>
            </w:r>
          </w:p>
        </w:tc>
        <w:tc>
          <w:tcPr>
            <w:tcW w:w="707" w:type="dxa"/>
            <w:vAlign w:val="center"/>
          </w:tcPr>
          <w:p>
            <w:pPr>
              <w:autoSpaceDE w:val="0"/>
              <w:autoSpaceDN w:val="0"/>
              <w:adjustRightInd w:val="0"/>
              <w:snapToGrid w:val="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h</w:t>
            </w:r>
            <w:r>
              <w:rPr>
                <w:color w:val="000000" w:themeColor="text1"/>
                <w:kern w:val="0"/>
                <w:sz w:val="21"/>
                <w:szCs w:val="21"/>
                <w14:textFill>
                  <w14:solidFill>
                    <w14:schemeClr w14:val="tx1"/>
                  </w14:solidFill>
                </w14:textFill>
              </w:rPr>
              <w:t>m</w:t>
            </w:r>
            <w:r>
              <w:rPr>
                <w:rFonts w:hint="eastAsia"/>
                <w:color w:val="000000" w:themeColor="text1"/>
                <w:kern w:val="0"/>
                <w:sz w:val="21"/>
                <w:szCs w:val="21"/>
                <w:vertAlign w:val="superscript"/>
                <w14:textFill>
                  <w14:solidFill>
                    <w14:schemeClr w14:val="tx1"/>
                  </w14:solidFill>
                </w14:textFill>
              </w:rPr>
              <w:t>2</w:t>
            </w:r>
          </w:p>
        </w:tc>
        <w:tc>
          <w:tcPr>
            <w:tcW w:w="993" w:type="dxa"/>
            <w:vAlign w:val="center"/>
          </w:tcPr>
          <w:p>
            <w:pPr>
              <w:autoSpaceDE w:val="0"/>
              <w:autoSpaceDN w:val="0"/>
              <w:adjustRightInd w:val="0"/>
              <w:snapToGrid w:val="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5.3</w:t>
            </w:r>
          </w:p>
        </w:tc>
        <w:tc>
          <w:tcPr>
            <w:tcW w:w="3928" w:type="dxa"/>
            <w:vAlign w:val="center"/>
          </w:tcPr>
          <w:p>
            <w:pPr>
              <w:autoSpaceDE w:val="0"/>
              <w:autoSpaceDN w:val="0"/>
              <w:adjustRightInd w:val="0"/>
              <w:snapToGrid w:val="0"/>
              <w:jc w:val="center"/>
              <w:rPr>
                <w:color w:val="000000" w:themeColor="text1"/>
                <w:kern w:val="0"/>
                <w:sz w:val="21"/>
                <w:szCs w:val="21"/>
                <w14:textFill>
                  <w14:solidFill>
                    <w14:schemeClr w14:val="tx1"/>
                  </w14:solidFill>
                </w14:textFill>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774" w:type="dxa"/>
            <w:vAlign w:val="center"/>
          </w:tcPr>
          <w:p>
            <w:pPr>
              <w:autoSpaceDE w:val="0"/>
              <w:autoSpaceDN w:val="0"/>
              <w:adjustRightInd w:val="0"/>
              <w:snapToGrid w:val="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8</w:t>
            </w:r>
          </w:p>
        </w:tc>
        <w:tc>
          <w:tcPr>
            <w:tcW w:w="2125" w:type="dxa"/>
            <w:vAlign w:val="center"/>
          </w:tcPr>
          <w:p>
            <w:pPr>
              <w:autoSpaceDE w:val="0"/>
              <w:autoSpaceDN w:val="0"/>
              <w:adjustRightInd w:val="0"/>
              <w:snapToGrid w:val="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水域疏浚工程量</w:t>
            </w:r>
          </w:p>
        </w:tc>
        <w:tc>
          <w:tcPr>
            <w:tcW w:w="707" w:type="dxa"/>
            <w:vAlign w:val="center"/>
          </w:tcPr>
          <w:p>
            <w:pPr>
              <w:autoSpaceDE w:val="0"/>
              <w:autoSpaceDN w:val="0"/>
              <w:adjustRightInd w:val="0"/>
              <w:snapToGrid w:val="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万</w:t>
            </w:r>
            <w:r>
              <w:rPr>
                <w:color w:val="000000" w:themeColor="text1"/>
                <w:kern w:val="0"/>
                <w:sz w:val="21"/>
                <w:szCs w:val="21"/>
                <w14:textFill>
                  <w14:solidFill>
                    <w14:schemeClr w14:val="tx1"/>
                  </w14:solidFill>
                </w14:textFill>
              </w:rPr>
              <w:t>m</w:t>
            </w:r>
            <w:r>
              <w:rPr>
                <w:color w:val="000000" w:themeColor="text1"/>
                <w:kern w:val="0"/>
                <w:sz w:val="21"/>
                <w:szCs w:val="21"/>
                <w:vertAlign w:val="superscript"/>
                <w14:textFill>
                  <w14:solidFill>
                    <w14:schemeClr w14:val="tx1"/>
                  </w14:solidFill>
                </w14:textFill>
              </w:rPr>
              <w:t>3</w:t>
            </w:r>
          </w:p>
        </w:tc>
        <w:tc>
          <w:tcPr>
            <w:tcW w:w="993" w:type="dxa"/>
            <w:vAlign w:val="center"/>
          </w:tcPr>
          <w:p>
            <w:pPr>
              <w:autoSpaceDE w:val="0"/>
              <w:autoSpaceDN w:val="0"/>
              <w:adjustRightInd w:val="0"/>
              <w:snapToGrid w:val="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204.7</w:t>
            </w:r>
          </w:p>
        </w:tc>
        <w:tc>
          <w:tcPr>
            <w:tcW w:w="3928" w:type="dxa"/>
            <w:vAlign w:val="center"/>
          </w:tcPr>
          <w:p>
            <w:pPr>
              <w:autoSpaceDE w:val="0"/>
              <w:autoSpaceDN w:val="0"/>
              <w:adjustRightInd w:val="0"/>
              <w:snapToGrid w:val="0"/>
              <w:jc w:val="center"/>
              <w:rPr>
                <w:color w:val="000000" w:themeColor="text1"/>
                <w:kern w:val="0"/>
                <w:sz w:val="21"/>
                <w:szCs w:val="21"/>
                <w14:textFill>
                  <w14:solidFill>
                    <w14:schemeClr w14:val="tx1"/>
                  </w14:solidFill>
                </w14:textFill>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774" w:type="dxa"/>
            <w:vAlign w:val="center"/>
          </w:tcPr>
          <w:p>
            <w:pPr>
              <w:autoSpaceDE w:val="0"/>
              <w:autoSpaceDN w:val="0"/>
              <w:adjustRightInd w:val="0"/>
              <w:snapToGrid w:val="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9</w:t>
            </w:r>
          </w:p>
        </w:tc>
        <w:tc>
          <w:tcPr>
            <w:tcW w:w="2125" w:type="dxa"/>
            <w:vAlign w:val="center"/>
          </w:tcPr>
          <w:p>
            <w:pPr>
              <w:autoSpaceDE w:val="0"/>
              <w:autoSpaceDN w:val="0"/>
              <w:adjustRightInd w:val="0"/>
              <w:snapToGrid w:val="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炸礁工程量</w:t>
            </w:r>
          </w:p>
        </w:tc>
        <w:tc>
          <w:tcPr>
            <w:tcW w:w="707" w:type="dxa"/>
            <w:vAlign w:val="center"/>
          </w:tcPr>
          <w:p>
            <w:pPr>
              <w:autoSpaceDE w:val="0"/>
              <w:autoSpaceDN w:val="0"/>
              <w:adjustRightInd w:val="0"/>
              <w:snapToGrid w:val="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万</w:t>
            </w:r>
            <w:r>
              <w:rPr>
                <w:color w:val="000000" w:themeColor="text1"/>
                <w:kern w:val="0"/>
                <w:sz w:val="21"/>
                <w:szCs w:val="21"/>
                <w14:textFill>
                  <w14:solidFill>
                    <w14:schemeClr w14:val="tx1"/>
                  </w14:solidFill>
                </w14:textFill>
              </w:rPr>
              <w:t>m</w:t>
            </w:r>
            <w:r>
              <w:rPr>
                <w:color w:val="000000" w:themeColor="text1"/>
                <w:kern w:val="0"/>
                <w:sz w:val="21"/>
                <w:szCs w:val="21"/>
                <w:vertAlign w:val="superscript"/>
                <w14:textFill>
                  <w14:solidFill>
                    <w14:schemeClr w14:val="tx1"/>
                  </w14:solidFill>
                </w14:textFill>
              </w:rPr>
              <w:t>3</w:t>
            </w:r>
          </w:p>
        </w:tc>
        <w:tc>
          <w:tcPr>
            <w:tcW w:w="993" w:type="dxa"/>
            <w:vAlign w:val="center"/>
          </w:tcPr>
          <w:p>
            <w:pPr>
              <w:autoSpaceDE w:val="0"/>
              <w:autoSpaceDN w:val="0"/>
              <w:adjustRightInd w:val="0"/>
              <w:snapToGrid w:val="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47.6</w:t>
            </w:r>
          </w:p>
        </w:tc>
        <w:tc>
          <w:tcPr>
            <w:tcW w:w="3928" w:type="dxa"/>
            <w:vAlign w:val="center"/>
          </w:tcPr>
          <w:p>
            <w:pPr>
              <w:autoSpaceDE w:val="0"/>
              <w:autoSpaceDN w:val="0"/>
              <w:adjustRightInd w:val="0"/>
              <w:snapToGrid w:val="0"/>
              <w:jc w:val="center"/>
              <w:rPr>
                <w:color w:val="000000" w:themeColor="text1"/>
                <w:kern w:val="0"/>
                <w:sz w:val="21"/>
                <w:szCs w:val="21"/>
                <w14:textFill>
                  <w14:solidFill>
                    <w14:schemeClr w14:val="tx1"/>
                  </w14:solidFill>
                </w14:textFill>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774" w:type="dxa"/>
            <w:vAlign w:val="center"/>
          </w:tcPr>
          <w:p>
            <w:pPr>
              <w:autoSpaceDE w:val="0"/>
              <w:autoSpaceDN w:val="0"/>
              <w:adjustRightInd w:val="0"/>
              <w:snapToGrid w:val="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10</w:t>
            </w:r>
          </w:p>
        </w:tc>
        <w:tc>
          <w:tcPr>
            <w:tcW w:w="2125" w:type="dxa"/>
            <w:vAlign w:val="center"/>
          </w:tcPr>
          <w:p>
            <w:pPr>
              <w:autoSpaceDE w:val="0"/>
              <w:autoSpaceDN w:val="0"/>
              <w:adjustRightInd w:val="0"/>
              <w:snapToGrid w:val="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水工建筑物工程</w:t>
            </w:r>
          </w:p>
        </w:tc>
        <w:tc>
          <w:tcPr>
            <w:tcW w:w="707" w:type="dxa"/>
            <w:vAlign w:val="center"/>
          </w:tcPr>
          <w:p>
            <w:pPr>
              <w:autoSpaceDE w:val="0"/>
              <w:autoSpaceDN w:val="0"/>
              <w:adjustRightInd w:val="0"/>
              <w:snapToGrid w:val="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项</w:t>
            </w:r>
          </w:p>
        </w:tc>
        <w:tc>
          <w:tcPr>
            <w:tcW w:w="993" w:type="dxa"/>
            <w:vAlign w:val="center"/>
          </w:tcPr>
          <w:p>
            <w:pPr>
              <w:autoSpaceDE w:val="0"/>
              <w:autoSpaceDN w:val="0"/>
              <w:adjustRightInd w:val="0"/>
              <w:snapToGrid w:val="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1</w:t>
            </w:r>
          </w:p>
        </w:tc>
        <w:tc>
          <w:tcPr>
            <w:tcW w:w="3928" w:type="dxa"/>
            <w:vAlign w:val="center"/>
          </w:tcPr>
          <w:p>
            <w:pPr>
              <w:autoSpaceDE w:val="0"/>
              <w:autoSpaceDN w:val="0"/>
              <w:adjustRightInd w:val="0"/>
              <w:snapToGrid w:val="0"/>
              <w:jc w:val="center"/>
              <w:rPr>
                <w:color w:val="000000" w:themeColor="text1"/>
                <w:kern w:val="0"/>
                <w:sz w:val="21"/>
                <w:szCs w:val="21"/>
                <w14:textFill>
                  <w14:solidFill>
                    <w14:schemeClr w14:val="tx1"/>
                  </w14:solidFill>
                </w14:textFill>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774" w:type="dxa"/>
            <w:vAlign w:val="center"/>
          </w:tcPr>
          <w:p>
            <w:pPr>
              <w:autoSpaceDE w:val="0"/>
              <w:autoSpaceDN w:val="0"/>
              <w:adjustRightInd w:val="0"/>
              <w:snapToGrid w:val="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11</w:t>
            </w:r>
          </w:p>
        </w:tc>
        <w:tc>
          <w:tcPr>
            <w:tcW w:w="2125" w:type="dxa"/>
            <w:vAlign w:val="center"/>
          </w:tcPr>
          <w:p>
            <w:pPr>
              <w:autoSpaceDE w:val="0"/>
              <w:autoSpaceDN w:val="0"/>
              <w:adjustRightInd w:val="0"/>
              <w:snapToGrid w:val="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导助航工程</w:t>
            </w:r>
          </w:p>
        </w:tc>
        <w:tc>
          <w:tcPr>
            <w:tcW w:w="707" w:type="dxa"/>
            <w:vAlign w:val="center"/>
          </w:tcPr>
          <w:p>
            <w:pPr>
              <w:autoSpaceDE w:val="0"/>
              <w:autoSpaceDN w:val="0"/>
              <w:adjustRightInd w:val="0"/>
              <w:snapToGrid w:val="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项</w:t>
            </w:r>
          </w:p>
        </w:tc>
        <w:tc>
          <w:tcPr>
            <w:tcW w:w="993" w:type="dxa"/>
            <w:vAlign w:val="center"/>
          </w:tcPr>
          <w:p>
            <w:pPr>
              <w:autoSpaceDE w:val="0"/>
              <w:autoSpaceDN w:val="0"/>
              <w:adjustRightInd w:val="0"/>
              <w:snapToGrid w:val="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1</w:t>
            </w:r>
          </w:p>
        </w:tc>
        <w:tc>
          <w:tcPr>
            <w:tcW w:w="3928" w:type="dxa"/>
            <w:vAlign w:val="center"/>
          </w:tcPr>
          <w:p>
            <w:pPr>
              <w:autoSpaceDE w:val="0"/>
              <w:autoSpaceDN w:val="0"/>
              <w:adjustRightInd w:val="0"/>
              <w:snapToGrid w:val="0"/>
              <w:jc w:val="center"/>
              <w:rPr>
                <w:color w:val="000000" w:themeColor="text1"/>
                <w:kern w:val="0"/>
                <w:sz w:val="21"/>
                <w:szCs w:val="21"/>
                <w14:textFill>
                  <w14:solidFill>
                    <w14:schemeClr w14:val="tx1"/>
                  </w14:solidFill>
                </w14:textFill>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774" w:type="dxa"/>
            <w:vAlign w:val="center"/>
          </w:tcPr>
          <w:p>
            <w:pPr>
              <w:autoSpaceDE w:val="0"/>
              <w:autoSpaceDN w:val="0"/>
              <w:adjustRightInd w:val="0"/>
              <w:snapToGrid w:val="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12</w:t>
            </w:r>
          </w:p>
        </w:tc>
        <w:tc>
          <w:tcPr>
            <w:tcW w:w="2125" w:type="dxa"/>
            <w:vAlign w:val="center"/>
          </w:tcPr>
          <w:p>
            <w:pPr>
              <w:autoSpaceDE w:val="0"/>
              <w:autoSpaceDN w:val="0"/>
              <w:adjustRightInd w:val="0"/>
              <w:snapToGrid w:val="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灯塔</w:t>
            </w:r>
          </w:p>
        </w:tc>
        <w:tc>
          <w:tcPr>
            <w:tcW w:w="707" w:type="dxa"/>
            <w:vAlign w:val="center"/>
          </w:tcPr>
          <w:p>
            <w:pPr>
              <w:autoSpaceDE w:val="0"/>
              <w:autoSpaceDN w:val="0"/>
              <w:adjustRightInd w:val="0"/>
              <w:snapToGrid w:val="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座</w:t>
            </w:r>
          </w:p>
        </w:tc>
        <w:tc>
          <w:tcPr>
            <w:tcW w:w="993" w:type="dxa"/>
            <w:vAlign w:val="center"/>
          </w:tcPr>
          <w:p>
            <w:pPr>
              <w:autoSpaceDE w:val="0"/>
              <w:autoSpaceDN w:val="0"/>
              <w:adjustRightInd w:val="0"/>
              <w:snapToGrid w:val="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1</w:t>
            </w:r>
          </w:p>
        </w:tc>
        <w:tc>
          <w:tcPr>
            <w:tcW w:w="3928" w:type="dxa"/>
            <w:vAlign w:val="center"/>
          </w:tcPr>
          <w:p>
            <w:pPr>
              <w:autoSpaceDE w:val="0"/>
              <w:autoSpaceDN w:val="0"/>
              <w:adjustRightInd w:val="0"/>
              <w:snapToGrid w:val="0"/>
              <w:jc w:val="center"/>
              <w:rPr>
                <w:color w:val="000000" w:themeColor="text1"/>
                <w:kern w:val="0"/>
                <w:sz w:val="21"/>
                <w:szCs w:val="21"/>
                <w14:textFill>
                  <w14:solidFill>
                    <w14:schemeClr w14:val="tx1"/>
                  </w14:solidFill>
                </w14:textFill>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774" w:type="dxa"/>
            <w:vAlign w:val="center"/>
          </w:tcPr>
          <w:p>
            <w:pPr>
              <w:autoSpaceDE w:val="0"/>
              <w:autoSpaceDN w:val="0"/>
              <w:adjustRightInd w:val="0"/>
              <w:snapToGrid w:val="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13</w:t>
            </w:r>
          </w:p>
        </w:tc>
        <w:tc>
          <w:tcPr>
            <w:tcW w:w="2125" w:type="dxa"/>
            <w:vAlign w:val="center"/>
          </w:tcPr>
          <w:p>
            <w:pPr>
              <w:autoSpaceDE w:val="0"/>
              <w:autoSpaceDN w:val="0"/>
              <w:adjustRightInd w:val="0"/>
              <w:snapToGrid w:val="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通信立杆</w:t>
            </w:r>
          </w:p>
        </w:tc>
        <w:tc>
          <w:tcPr>
            <w:tcW w:w="707" w:type="dxa"/>
            <w:vAlign w:val="center"/>
          </w:tcPr>
          <w:p>
            <w:pPr>
              <w:autoSpaceDE w:val="0"/>
              <w:autoSpaceDN w:val="0"/>
              <w:adjustRightInd w:val="0"/>
              <w:snapToGrid w:val="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项</w:t>
            </w:r>
          </w:p>
        </w:tc>
        <w:tc>
          <w:tcPr>
            <w:tcW w:w="993" w:type="dxa"/>
            <w:vAlign w:val="center"/>
          </w:tcPr>
          <w:p>
            <w:pPr>
              <w:autoSpaceDE w:val="0"/>
              <w:autoSpaceDN w:val="0"/>
              <w:adjustRightInd w:val="0"/>
              <w:snapToGrid w:val="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1</w:t>
            </w:r>
          </w:p>
        </w:tc>
        <w:tc>
          <w:tcPr>
            <w:tcW w:w="3928" w:type="dxa"/>
            <w:vAlign w:val="center"/>
          </w:tcPr>
          <w:p>
            <w:pPr>
              <w:autoSpaceDE w:val="0"/>
              <w:autoSpaceDN w:val="0"/>
              <w:adjustRightInd w:val="0"/>
              <w:snapToGrid w:val="0"/>
              <w:jc w:val="center"/>
              <w:rPr>
                <w:color w:val="000000" w:themeColor="text1"/>
                <w:kern w:val="0"/>
                <w:sz w:val="21"/>
                <w:szCs w:val="21"/>
                <w14:textFill>
                  <w14:solidFill>
                    <w14:schemeClr w14:val="tx1"/>
                  </w14:solidFill>
                </w14:textFill>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774" w:type="dxa"/>
            <w:vAlign w:val="center"/>
          </w:tcPr>
          <w:p>
            <w:pPr>
              <w:autoSpaceDE w:val="0"/>
              <w:autoSpaceDN w:val="0"/>
              <w:adjustRightInd w:val="0"/>
              <w:snapToGrid w:val="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14</w:t>
            </w:r>
          </w:p>
        </w:tc>
        <w:tc>
          <w:tcPr>
            <w:tcW w:w="2125" w:type="dxa"/>
            <w:vAlign w:val="center"/>
          </w:tcPr>
          <w:p>
            <w:pPr>
              <w:autoSpaceDE w:val="0"/>
              <w:autoSpaceDN w:val="0"/>
              <w:adjustRightInd w:val="0"/>
              <w:snapToGrid w:val="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围网</w:t>
            </w:r>
          </w:p>
        </w:tc>
        <w:tc>
          <w:tcPr>
            <w:tcW w:w="707" w:type="dxa"/>
            <w:vAlign w:val="center"/>
          </w:tcPr>
          <w:p>
            <w:pPr>
              <w:autoSpaceDE w:val="0"/>
              <w:autoSpaceDN w:val="0"/>
              <w:adjustRightInd w:val="0"/>
              <w:snapToGrid w:val="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m</w:t>
            </w:r>
          </w:p>
        </w:tc>
        <w:tc>
          <w:tcPr>
            <w:tcW w:w="993" w:type="dxa"/>
            <w:vAlign w:val="center"/>
          </w:tcPr>
          <w:p>
            <w:pPr>
              <w:autoSpaceDE w:val="0"/>
              <w:autoSpaceDN w:val="0"/>
              <w:adjustRightInd w:val="0"/>
              <w:snapToGrid w:val="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745</w:t>
            </w:r>
          </w:p>
        </w:tc>
        <w:tc>
          <w:tcPr>
            <w:tcW w:w="3928" w:type="dxa"/>
            <w:vAlign w:val="center"/>
          </w:tcPr>
          <w:p>
            <w:pPr>
              <w:autoSpaceDE w:val="0"/>
              <w:autoSpaceDN w:val="0"/>
              <w:adjustRightInd w:val="0"/>
              <w:snapToGrid w:val="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固定围网505m，可移动围网240m</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774" w:type="dxa"/>
            <w:vAlign w:val="center"/>
          </w:tcPr>
          <w:p>
            <w:pPr>
              <w:autoSpaceDE w:val="0"/>
              <w:autoSpaceDN w:val="0"/>
              <w:adjustRightInd w:val="0"/>
              <w:snapToGrid w:val="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15</w:t>
            </w:r>
          </w:p>
        </w:tc>
        <w:tc>
          <w:tcPr>
            <w:tcW w:w="2125" w:type="dxa"/>
            <w:vAlign w:val="center"/>
          </w:tcPr>
          <w:p>
            <w:pPr>
              <w:autoSpaceDE w:val="0"/>
              <w:autoSpaceDN w:val="0"/>
              <w:adjustRightInd w:val="0"/>
              <w:snapToGrid w:val="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配套工程</w:t>
            </w:r>
          </w:p>
        </w:tc>
        <w:tc>
          <w:tcPr>
            <w:tcW w:w="707" w:type="dxa"/>
            <w:vAlign w:val="center"/>
          </w:tcPr>
          <w:p>
            <w:pPr>
              <w:autoSpaceDE w:val="0"/>
              <w:autoSpaceDN w:val="0"/>
              <w:adjustRightInd w:val="0"/>
              <w:snapToGrid w:val="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项</w:t>
            </w:r>
          </w:p>
        </w:tc>
        <w:tc>
          <w:tcPr>
            <w:tcW w:w="993" w:type="dxa"/>
            <w:vAlign w:val="center"/>
          </w:tcPr>
          <w:p>
            <w:pPr>
              <w:autoSpaceDE w:val="0"/>
              <w:autoSpaceDN w:val="0"/>
              <w:adjustRightInd w:val="0"/>
              <w:snapToGrid w:val="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1</w:t>
            </w:r>
          </w:p>
        </w:tc>
        <w:tc>
          <w:tcPr>
            <w:tcW w:w="3928" w:type="dxa"/>
            <w:vAlign w:val="center"/>
          </w:tcPr>
          <w:p>
            <w:pPr>
              <w:autoSpaceDE w:val="0"/>
              <w:autoSpaceDN w:val="0"/>
              <w:adjustRightInd w:val="0"/>
              <w:snapToGrid w:val="0"/>
              <w:jc w:val="center"/>
              <w:rPr>
                <w:color w:val="000000" w:themeColor="text1"/>
                <w:kern w:val="0"/>
                <w:sz w:val="21"/>
                <w:szCs w:val="21"/>
                <w14:textFill>
                  <w14:solidFill>
                    <w14:schemeClr w14:val="tx1"/>
                  </w14:solidFill>
                </w14:textFill>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774" w:type="dxa"/>
            <w:vAlign w:val="center"/>
          </w:tcPr>
          <w:p>
            <w:pPr>
              <w:autoSpaceDE w:val="0"/>
              <w:autoSpaceDN w:val="0"/>
              <w:adjustRightInd w:val="0"/>
              <w:snapToGrid w:val="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16</w:t>
            </w:r>
          </w:p>
        </w:tc>
        <w:tc>
          <w:tcPr>
            <w:tcW w:w="2125" w:type="dxa"/>
            <w:vAlign w:val="center"/>
          </w:tcPr>
          <w:p>
            <w:pPr>
              <w:autoSpaceDE w:val="0"/>
              <w:autoSpaceDN w:val="0"/>
              <w:adjustRightInd w:val="0"/>
              <w:snapToGrid w:val="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原堆场内围网拆除</w:t>
            </w:r>
          </w:p>
        </w:tc>
        <w:tc>
          <w:tcPr>
            <w:tcW w:w="707" w:type="dxa"/>
            <w:vAlign w:val="center"/>
          </w:tcPr>
          <w:p>
            <w:pPr>
              <w:autoSpaceDE w:val="0"/>
              <w:autoSpaceDN w:val="0"/>
              <w:adjustRightInd w:val="0"/>
              <w:snapToGrid w:val="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m</w:t>
            </w:r>
          </w:p>
        </w:tc>
        <w:tc>
          <w:tcPr>
            <w:tcW w:w="993" w:type="dxa"/>
            <w:vAlign w:val="center"/>
          </w:tcPr>
          <w:p>
            <w:pPr>
              <w:autoSpaceDE w:val="0"/>
              <w:autoSpaceDN w:val="0"/>
              <w:adjustRightInd w:val="0"/>
              <w:snapToGrid w:val="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262</w:t>
            </w:r>
          </w:p>
        </w:tc>
        <w:tc>
          <w:tcPr>
            <w:tcW w:w="3928" w:type="dxa"/>
            <w:vAlign w:val="center"/>
          </w:tcPr>
          <w:p>
            <w:pPr>
              <w:autoSpaceDE w:val="0"/>
              <w:autoSpaceDN w:val="0"/>
              <w:adjustRightInd w:val="0"/>
              <w:snapToGrid w:val="0"/>
              <w:jc w:val="center"/>
              <w:rPr>
                <w:color w:val="000000" w:themeColor="text1"/>
                <w:kern w:val="0"/>
                <w:sz w:val="21"/>
                <w:szCs w:val="21"/>
                <w14:textFill>
                  <w14:solidFill>
                    <w14:schemeClr w14:val="tx1"/>
                  </w14:solidFill>
                </w14:textFill>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774" w:type="dxa"/>
            <w:vAlign w:val="center"/>
          </w:tcPr>
          <w:p>
            <w:pPr>
              <w:autoSpaceDE w:val="0"/>
              <w:autoSpaceDN w:val="0"/>
              <w:adjustRightInd w:val="0"/>
              <w:snapToGrid w:val="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17</w:t>
            </w:r>
          </w:p>
        </w:tc>
        <w:tc>
          <w:tcPr>
            <w:tcW w:w="2125" w:type="dxa"/>
            <w:vAlign w:val="center"/>
          </w:tcPr>
          <w:p>
            <w:pPr>
              <w:autoSpaceDE w:val="0"/>
              <w:autoSpaceDN w:val="0"/>
              <w:adjustRightInd w:val="0"/>
              <w:snapToGrid w:val="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港区新增定员</w:t>
            </w:r>
          </w:p>
        </w:tc>
        <w:tc>
          <w:tcPr>
            <w:tcW w:w="707" w:type="dxa"/>
            <w:vAlign w:val="center"/>
          </w:tcPr>
          <w:p>
            <w:pPr>
              <w:autoSpaceDE w:val="0"/>
              <w:autoSpaceDN w:val="0"/>
              <w:adjustRightInd w:val="0"/>
              <w:snapToGrid w:val="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人</w:t>
            </w:r>
          </w:p>
        </w:tc>
        <w:tc>
          <w:tcPr>
            <w:tcW w:w="993" w:type="dxa"/>
            <w:vAlign w:val="center"/>
          </w:tcPr>
          <w:p>
            <w:pPr>
              <w:autoSpaceDE w:val="0"/>
              <w:autoSpaceDN w:val="0"/>
              <w:adjustRightInd w:val="0"/>
              <w:snapToGrid w:val="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41</w:t>
            </w:r>
          </w:p>
        </w:tc>
        <w:tc>
          <w:tcPr>
            <w:tcW w:w="3928" w:type="dxa"/>
            <w:vAlign w:val="center"/>
          </w:tcPr>
          <w:p>
            <w:pPr>
              <w:autoSpaceDE w:val="0"/>
              <w:autoSpaceDN w:val="0"/>
              <w:adjustRightInd w:val="0"/>
              <w:snapToGrid w:val="0"/>
              <w:jc w:val="center"/>
              <w:rPr>
                <w:color w:val="000000" w:themeColor="text1"/>
                <w:kern w:val="0"/>
                <w:sz w:val="21"/>
                <w:szCs w:val="21"/>
                <w14:textFill>
                  <w14:solidFill>
                    <w14:schemeClr w14:val="tx1"/>
                  </w14:solidFill>
                </w14:textFill>
              </w:rPr>
            </w:pPr>
          </w:p>
        </w:tc>
      </w:tr>
    </w:tbl>
    <w:p>
      <w:pPr>
        <w:pStyle w:val="384"/>
        <w:ind w:left="0" w:firstLine="0"/>
        <w:rPr>
          <w:rFonts w:cs="Times New Roman"/>
          <w:color w:val="000000" w:themeColor="text1"/>
          <w14:textFill>
            <w14:solidFill>
              <w14:schemeClr w14:val="tx1"/>
            </w14:solidFill>
          </w14:textFill>
        </w:rPr>
      </w:pPr>
      <w:bookmarkStart w:id="90" w:name="_Toc160849698"/>
      <w:bookmarkStart w:id="91" w:name="_Toc232154428"/>
      <w:bookmarkStart w:id="92" w:name="_Toc247517282"/>
      <w:r>
        <w:rPr>
          <w:color w:val="000000" w:themeColor="text1"/>
          <w14:textFill>
            <w14:solidFill>
              <w14:schemeClr w14:val="tx1"/>
            </w14:solidFill>
          </w14:textFill>
        </w:rPr>
        <w:t>本次扩建后堆场主要技术经济指标</w:t>
      </w:r>
    </w:p>
    <w:tbl>
      <w:tblPr>
        <w:tblStyle w:val="89"/>
        <w:tblW w:w="8528" w:type="dxa"/>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675"/>
        <w:gridCol w:w="2268"/>
        <w:gridCol w:w="1134"/>
        <w:gridCol w:w="1276"/>
        <w:gridCol w:w="716"/>
        <w:gridCol w:w="719"/>
        <w:gridCol w:w="1740"/>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blHeader/>
        </w:trPr>
        <w:tc>
          <w:tcPr>
            <w:tcW w:w="675" w:type="dxa"/>
            <w:vAlign w:val="center"/>
          </w:tcPr>
          <w:p>
            <w:pPr>
              <w:pStyle w:val="2001"/>
            </w:pPr>
            <w:r>
              <w:rPr>
                <w:rFonts w:hint="eastAsia"/>
              </w:rPr>
              <w:t>序号</w:t>
            </w:r>
          </w:p>
        </w:tc>
        <w:tc>
          <w:tcPr>
            <w:tcW w:w="4678" w:type="dxa"/>
            <w:gridSpan w:val="3"/>
            <w:vAlign w:val="center"/>
          </w:tcPr>
          <w:p>
            <w:pPr>
              <w:pStyle w:val="2001"/>
            </w:pPr>
            <w:r>
              <w:t>项目名称</w:t>
            </w:r>
          </w:p>
        </w:tc>
        <w:tc>
          <w:tcPr>
            <w:tcW w:w="716" w:type="dxa"/>
            <w:vAlign w:val="center"/>
          </w:tcPr>
          <w:p>
            <w:pPr>
              <w:pStyle w:val="2001"/>
            </w:pPr>
            <w:r>
              <w:t>单位</w:t>
            </w:r>
          </w:p>
        </w:tc>
        <w:tc>
          <w:tcPr>
            <w:tcW w:w="719" w:type="dxa"/>
            <w:vAlign w:val="center"/>
          </w:tcPr>
          <w:p>
            <w:pPr>
              <w:pStyle w:val="2001"/>
            </w:pPr>
            <w:r>
              <w:rPr>
                <w:rFonts w:hint="eastAsia"/>
              </w:rPr>
              <w:t>数量</w:t>
            </w:r>
          </w:p>
        </w:tc>
        <w:tc>
          <w:tcPr>
            <w:tcW w:w="1740" w:type="dxa"/>
            <w:vAlign w:val="center"/>
          </w:tcPr>
          <w:p>
            <w:pPr>
              <w:pStyle w:val="2001"/>
            </w:pPr>
            <w:r>
              <w:rPr>
                <w:rFonts w:hint="eastAsia"/>
              </w:rPr>
              <w:t>备注</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c>
          <w:tcPr>
            <w:tcW w:w="675" w:type="dxa"/>
            <w:vMerge w:val="restart"/>
            <w:vAlign w:val="center"/>
          </w:tcPr>
          <w:p>
            <w:pPr>
              <w:pStyle w:val="2001"/>
            </w:pPr>
            <w:r>
              <w:rPr>
                <w:rFonts w:hint="eastAsia"/>
              </w:rPr>
              <w:t>1</w:t>
            </w:r>
          </w:p>
        </w:tc>
        <w:tc>
          <w:tcPr>
            <w:tcW w:w="2268" w:type="dxa"/>
            <w:vMerge w:val="restart"/>
            <w:vAlign w:val="center"/>
          </w:tcPr>
          <w:p>
            <w:pPr>
              <w:pStyle w:val="2001"/>
            </w:pPr>
            <w:r>
              <w:t>集装箱堆场地面箱位数和堆场容量</w:t>
            </w:r>
          </w:p>
        </w:tc>
        <w:tc>
          <w:tcPr>
            <w:tcW w:w="1134" w:type="dxa"/>
            <w:vMerge w:val="restart"/>
            <w:vAlign w:val="center"/>
          </w:tcPr>
          <w:p>
            <w:pPr>
              <w:pStyle w:val="2001"/>
            </w:pPr>
            <w:r>
              <w:rPr>
                <w:rFonts w:hint="eastAsia"/>
              </w:rPr>
              <w:t>重、空箱</w:t>
            </w:r>
          </w:p>
        </w:tc>
        <w:tc>
          <w:tcPr>
            <w:tcW w:w="1276" w:type="dxa"/>
            <w:vAlign w:val="center"/>
          </w:tcPr>
          <w:p>
            <w:pPr>
              <w:pStyle w:val="2001"/>
            </w:pPr>
            <w:r>
              <w:t>堆场容积</w:t>
            </w:r>
          </w:p>
        </w:tc>
        <w:tc>
          <w:tcPr>
            <w:tcW w:w="716" w:type="dxa"/>
            <w:vMerge w:val="restart"/>
            <w:vAlign w:val="center"/>
          </w:tcPr>
          <w:p>
            <w:pPr>
              <w:pStyle w:val="2001"/>
            </w:pPr>
            <w:r>
              <w:rPr>
                <w:rFonts w:hint="eastAsia"/>
              </w:rPr>
              <w:t>TEU</w:t>
            </w:r>
          </w:p>
        </w:tc>
        <w:tc>
          <w:tcPr>
            <w:tcW w:w="719" w:type="dxa"/>
            <w:vAlign w:val="center"/>
          </w:tcPr>
          <w:p>
            <w:pPr>
              <w:pStyle w:val="2001"/>
            </w:pPr>
            <w:r>
              <w:rPr>
                <w:rFonts w:hint="eastAsia"/>
              </w:rPr>
              <w:t>11589</w:t>
            </w:r>
          </w:p>
        </w:tc>
        <w:tc>
          <w:tcPr>
            <w:tcW w:w="1740" w:type="dxa"/>
            <w:vAlign w:val="center"/>
          </w:tcPr>
          <w:p>
            <w:pPr>
              <w:pStyle w:val="2001"/>
            </w:pPr>
            <w:r>
              <w:t>本扩建工程新增 972TEU</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c>
          <w:tcPr>
            <w:tcW w:w="675" w:type="dxa"/>
            <w:vMerge w:val="continue"/>
            <w:vAlign w:val="center"/>
          </w:tcPr>
          <w:p>
            <w:pPr>
              <w:pStyle w:val="2001"/>
            </w:pPr>
          </w:p>
        </w:tc>
        <w:tc>
          <w:tcPr>
            <w:tcW w:w="2268" w:type="dxa"/>
            <w:vMerge w:val="continue"/>
            <w:vAlign w:val="center"/>
          </w:tcPr>
          <w:p>
            <w:pPr>
              <w:pStyle w:val="2001"/>
            </w:pPr>
          </w:p>
        </w:tc>
        <w:tc>
          <w:tcPr>
            <w:tcW w:w="1134" w:type="dxa"/>
            <w:vMerge w:val="continue"/>
            <w:vAlign w:val="center"/>
          </w:tcPr>
          <w:p>
            <w:pPr>
              <w:pStyle w:val="2001"/>
            </w:pPr>
          </w:p>
        </w:tc>
        <w:tc>
          <w:tcPr>
            <w:tcW w:w="1276" w:type="dxa"/>
            <w:vAlign w:val="center"/>
          </w:tcPr>
          <w:p>
            <w:pPr>
              <w:pStyle w:val="2001"/>
            </w:pPr>
            <w:r>
              <w:t>地面箱位数</w:t>
            </w:r>
          </w:p>
        </w:tc>
        <w:tc>
          <w:tcPr>
            <w:tcW w:w="716" w:type="dxa"/>
            <w:vMerge w:val="continue"/>
            <w:vAlign w:val="center"/>
          </w:tcPr>
          <w:p>
            <w:pPr>
              <w:pStyle w:val="2001"/>
            </w:pPr>
          </w:p>
        </w:tc>
        <w:tc>
          <w:tcPr>
            <w:tcW w:w="719" w:type="dxa"/>
            <w:vAlign w:val="center"/>
          </w:tcPr>
          <w:p>
            <w:pPr>
              <w:pStyle w:val="2001"/>
            </w:pPr>
            <w:r>
              <w:rPr>
                <w:rFonts w:hint="eastAsia"/>
              </w:rPr>
              <w:t>47950</w:t>
            </w:r>
          </w:p>
        </w:tc>
        <w:tc>
          <w:tcPr>
            <w:tcW w:w="1740" w:type="dxa"/>
            <w:vAlign w:val="center"/>
          </w:tcPr>
          <w:p>
            <w:pPr>
              <w:pStyle w:val="2001"/>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c>
          <w:tcPr>
            <w:tcW w:w="675" w:type="dxa"/>
            <w:vMerge w:val="continue"/>
            <w:vAlign w:val="center"/>
          </w:tcPr>
          <w:p>
            <w:pPr>
              <w:pStyle w:val="2001"/>
            </w:pPr>
          </w:p>
        </w:tc>
        <w:tc>
          <w:tcPr>
            <w:tcW w:w="2268" w:type="dxa"/>
            <w:vMerge w:val="continue"/>
            <w:vAlign w:val="center"/>
          </w:tcPr>
          <w:p>
            <w:pPr>
              <w:pStyle w:val="2001"/>
            </w:pPr>
          </w:p>
        </w:tc>
        <w:tc>
          <w:tcPr>
            <w:tcW w:w="1134" w:type="dxa"/>
            <w:vMerge w:val="restart"/>
            <w:vAlign w:val="center"/>
          </w:tcPr>
          <w:p>
            <w:pPr>
              <w:pStyle w:val="2001"/>
            </w:pPr>
            <w:r>
              <w:rPr>
                <w:rFonts w:hint="eastAsia"/>
              </w:rPr>
              <w:t>冷藏箱</w:t>
            </w:r>
          </w:p>
        </w:tc>
        <w:tc>
          <w:tcPr>
            <w:tcW w:w="1276" w:type="dxa"/>
            <w:vAlign w:val="center"/>
          </w:tcPr>
          <w:p>
            <w:pPr>
              <w:pStyle w:val="2001"/>
            </w:pPr>
            <w:r>
              <w:t>堆场容积</w:t>
            </w:r>
          </w:p>
        </w:tc>
        <w:tc>
          <w:tcPr>
            <w:tcW w:w="716" w:type="dxa"/>
            <w:vMerge w:val="continue"/>
            <w:vAlign w:val="center"/>
          </w:tcPr>
          <w:p>
            <w:pPr>
              <w:pStyle w:val="2001"/>
            </w:pPr>
          </w:p>
        </w:tc>
        <w:tc>
          <w:tcPr>
            <w:tcW w:w="719" w:type="dxa"/>
            <w:vAlign w:val="center"/>
          </w:tcPr>
          <w:p>
            <w:pPr>
              <w:pStyle w:val="2001"/>
            </w:pPr>
            <w:r>
              <w:rPr>
                <w:rFonts w:hint="eastAsia"/>
              </w:rPr>
              <w:t>204</w:t>
            </w:r>
          </w:p>
        </w:tc>
        <w:tc>
          <w:tcPr>
            <w:tcW w:w="1740" w:type="dxa"/>
            <w:vAlign w:val="center"/>
          </w:tcPr>
          <w:p>
            <w:pPr>
              <w:pStyle w:val="2001"/>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c>
          <w:tcPr>
            <w:tcW w:w="675" w:type="dxa"/>
            <w:vMerge w:val="continue"/>
            <w:vAlign w:val="center"/>
          </w:tcPr>
          <w:p>
            <w:pPr>
              <w:pStyle w:val="2001"/>
            </w:pPr>
          </w:p>
        </w:tc>
        <w:tc>
          <w:tcPr>
            <w:tcW w:w="2268" w:type="dxa"/>
            <w:vMerge w:val="continue"/>
            <w:vAlign w:val="center"/>
          </w:tcPr>
          <w:p>
            <w:pPr>
              <w:pStyle w:val="2001"/>
            </w:pPr>
          </w:p>
        </w:tc>
        <w:tc>
          <w:tcPr>
            <w:tcW w:w="1134" w:type="dxa"/>
            <w:vMerge w:val="continue"/>
            <w:vAlign w:val="center"/>
          </w:tcPr>
          <w:p>
            <w:pPr>
              <w:pStyle w:val="2001"/>
            </w:pPr>
          </w:p>
        </w:tc>
        <w:tc>
          <w:tcPr>
            <w:tcW w:w="1276" w:type="dxa"/>
            <w:vAlign w:val="center"/>
          </w:tcPr>
          <w:p>
            <w:pPr>
              <w:pStyle w:val="2001"/>
            </w:pPr>
            <w:r>
              <w:t>地面箱位数</w:t>
            </w:r>
          </w:p>
        </w:tc>
        <w:tc>
          <w:tcPr>
            <w:tcW w:w="716" w:type="dxa"/>
            <w:vMerge w:val="continue"/>
            <w:vAlign w:val="center"/>
          </w:tcPr>
          <w:p>
            <w:pPr>
              <w:pStyle w:val="2001"/>
            </w:pPr>
          </w:p>
        </w:tc>
        <w:tc>
          <w:tcPr>
            <w:tcW w:w="719" w:type="dxa"/>
            <w:vAlign w:val="center"/>
          </w:tcPr>
          <w:p>
            <w:pPr>
              <w:pStyle w:val="2001"/>
            </w:pPr>
            <w:r>
              <w:rPr>
                <w:rFonts w:hint="eastAsia"/>
              </w:rPr>
              <w:t>663</w:t>
            </w:r>
          </w:p>
        </w:tc>
        <w:tc>
          <w:tcPr>
            <w:tcW w:w="1740" w:type="dxa"/>
            <w:vAlign w:val="center"/>
          </w:tcPr>
          <w:p>
            <w:pPr>
              <w:pStyle w:val="2001"/>
            </w:pPr>
          </w:p>
        </w:tc>
      </w:tr>
    </w:tbl>
    <w:p>
      <w:pPr>
        <w:pStyle w:val="384"/>
        <w:ind w:left="0" w:firstLine="0"/>
        <w:rPr>
          <w:color w:val="000000" w:themeColor="text1"/>
          <w14:textFill>
            <w14:solidFill>
              <w14:schemeClr w14:val="tx1"/>
            </w14:solidFill>
          </w14:textFill>
        </w:rPr>
      </w:pPr>
      <w:r>
        <w:rPr>
          <w:rFonts w:hint="eastAsia"/>
          <w:color w:val="000000" w:themeColor="text1"/>
          <w14:textFill>
            <w14:solidFill>
              <w14:schemeClr w14:val="tx1"/>
            </w14:solidFill>
          </w14:textFill>
        </w:rPr>
        <w:t>本次扩建前后9号10号泊位主要技术指标表</w:t>
      </w:r>
    </w:p>
    <w:tbl>
      <w:tblPr>
        <w:tblStyle w:val="89"/>
        <w:tblW w:w="8528" w:type="dxa"/>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468"/>
        <w:gridCol w:w="469"/>
        <w:gridCol w:w="1865"/>
        <w:gridCol w:w="850"/>
        <w:gridCol w:w="1559"/>
        <w:gridCol w:w="1134"/>
        <w:gridCol w:w="2183"/>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blHeader/>
        </w:trPr>
        <w:tc>
          <w:tcPr>
            <w:tcW w:w="468" w:type="dxa"/>
            <w:vAlign w:val="center"/>
          </w:tcPr>
          <w:p>
            <w:pPr>
              <w:pStyle w:val="2001"/>
            </w:pPr>
            <w:r>
              <w:rPr>
                <w:rFonts w:hint="eastAsia"/>
              </w:rPr>
              <w:t>序号</w:t>
            </w:r>
          </w:p>
        </w:tc>
        <w:tc>
          <w:tcPr>
            <w:tcW w:w="2334" w:type="dxa"/>
            <w:gridSpan w:val="2"/>
            <w:vAlign w:val="center"/>
          </w:tcPr>
          <w:p>
            <w:pPr>
              <w:pStyle w:val="2001"/>
            </w:pPr>
            <w:r>
              <w:rPr>
                <w:rFonts w:hint="eastAsia"/>
              </w:rPr>
              <w:t>项目名称</w:t>
            </w:r>
          </w:p>
        </w:tc>
        <w:tc>
          <w:tcPr>
            <w:tcW w:w="850" w:type="dxa"/>
            <w:vAlign w:val="center"/>
          </w:tcPr>
          <w:p>
            <w:pPr>
              <w:pStyle w:val="2001"/>
            </w:pPr>
            <w:r>
              <w:rPr>
                <w:rFonts w:hint="eastAsia"/>
              </w:rPr>
              <w:t>单位</w:t>
            </w:r>
          </w:p>
        </w:tc>
        <w:tc>
          <w:tcPr>
            <w:tcW w:w="1559" w:type="dxa"/>
            <w:vAlign w:val="center"/>
          </w:tcPr>
          <w:p>
            <w:pPr>
              <w:pStyle w:val="2001"/>
            </w:pPr>
            <w:r>
              <w:rPr>
                <w:rFonts w:hint="eastAsia"/>
              </w:rPr>
              <w:t>现有泊位</w:t>
            </w:r>
          </w:p>
        </w:tc>
        <w:tc>
          <w:tcPr>
            <w:tcW w:w="1134" w:type="dxa"/>
            <w:vAlign w:val="center"/>
          </w:tcPr>
          <w:p>
            <w:pPr>
              <w:pStyle w:val="2001"/>
            </w:pPr>
            <w:r>
              <w:rPr>
                <w:rFonts w:hint="eastAsia"/>
              </w:rPr>
              <w:t>扩建后</w:t>
            </w:r>
          </w:p>
        </w:tc>
        <w:tc>
          <w:tcPr>
            <w:tcW w:w="2183" w:type="dxa"/>
            <w:vAlign w:val="center"/>
          </w:tcPr>
          <w:p>
            <w:pPr>
              <w:pStyle w:val="2001"/>
            </w:pPr>
            <w:r>
              <w:rPr>
                <w:rFonts w:hint="eastAsia"/>
              </w:rPr>
              <w:t>备注</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c>
          <w:tcPr>
            <w:tcW w:w="468" w:type="dxa"/>
            <w:vAlign w:val="center"/>
          </w:tcPr>
          <w:p>
            <w:pPr>
              <w:pStyle w:val="2001"/>
            </w:pPr>
            <w:r>
              <w:rPr>
                <w:rFonts w:hint="eastAsia"/>
              </w:rPr>
              <w:t>1</w:t>
            </w:r>
          </w:p>
        </w:tc>
        <w:tc>
          <w:tcPr>
            <w:tcW w:w="2334" w:type="dxa"/>
            <w:gridSpan w:val="2"/>
            <w:vAlign w:val="center"/>
          </w:tcPr>
          <w:p>
            <w:pPr>
              <w:pStyle w:val="2001"/>
            </w:pPr>
            <w:r>
              <w:rPr>
                <w:rFonts w:hint="eastAsia"/>
              </w:rPr>
              <w:t>总设计吞吐量</w:t>
            </w:r>
          </w:p>
        </w:tc>
        <w:tc>
          <w:tcPr>
            <w:tcW w:w="850" w:type="dxa"/>
            <w:vAlign w:val="center"/>
          </w:tcPr>
          <w:p>
            <w:pPr>
              <w:pStyle w:val="2001"/>
            </w:pPr>
            <w:r>
              <w:rPr>
                <w:rFonts w:hint="eastAsia"/>
              </w:rPr>
              <w:t>万TEU</w:t>
            </w:r>
          </w:p>
        </w:tc>
        <w:tc>
          <w:tcPr>
            <w:tcW w:w="1559" w:type="dxa"/>
            <w:vAlign w:val="center"/>
          </w:tcPr>
          <w:p>
            <w:pPr>
              <w:pStyle w:val="2001"/>
            </w:pPr>
            <w:r>
              <w:rPr>
                <w:rFonts w:hint="eastAsia"/>
              </w:rPr>
              <w:t>160</w:t>
            </w:r>
          </w:p>
        </w:tc>
        <w:tc>
          <w:tcPr>
            <w:tcW w:w="1134" w:type="dxa"/>
            <w:vAlign w:val="center"/>
          </w:tcPr>
          <w:p>
            <w:pPr>
              <w:pStyle w:val="2001"/>
            </w:pPr>
            <w:r>
              <w:rPr>
                <w:rFonts w:hint="eastAsia"/>
              </w:rPr>
              <w:t>200</w:t>
            </w:r>
          </w:p>
        </w:tc>
        <w:tc>
          <w:tcPr>
            <w:tcW w:w="2183" w:type="dxa"/>
            <w:vAlign w:val="center"/>
          </w:tcPr>
          <w:p>
            <w:pPr>
              <w:pStyle w:val="2001"/>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c>
          <w:tcPr>
            <w:tcW w:w="468" w:type="dxa"/>
            <w:vAlign w:val="center"/>
          </w:tcPr>
          <w:p>
            <w:pPr>
              <w:pStyle w:val="2001"/>
            </w:pPr>
            <w:r>
              <w:rPr>
                <w:rFonts w:hint="eastAsia"/>
              </w:rPr>
              <w:t>2</w:t>
            </w:r>
          </w:p>
        </w:tc>
        <w:tc>
          <w:tcPr>
            <w:tcW w:w="2334" w:type="dxa"/>
            <w:gridSpan w:val="2"/>
            <w:vAlign w:val="center"/>
          </w:tcPr>
          <w:p>
            <w:pPr>
              <w:pStyle w:val="2001"/>
            </w:pPr>
            <w:r>
              <w:rPr>
                <w:rFonts w:hint="eastAsia"/>
              </w:rPr>
              <w:t>总设计通过能力</w:t>
            </w:r>
          </w:p>
        </w:tc>
        <w:tc>
          <w:tcPr>
            <w:tcW w:w="850" w:type="dxa"/>
            <w:vAlign w:val="center"/>
          </w:tcPr>
          <w:p>
            <w:pPr>
              <w:pStyle w:val="2001"/>
            </w:pPr>
            <w:r>
              <w:rPr>
                <w:rFonts w:hint="eastAsia"/>
              </w:rPr>
              <w:t>万TEU</w:t>
            </w:r>
          </w:p>
        </w:tc>
        <w:tc>
          <w:tcPr>
            <w:tcW w:w="1559" w:type="dxa"/>
            <w:vAlign w:val="center"/>
          </w:tcPr>
          <w:p>
            <w:pPr>
              <w:pStyle w:val="2001"/>
            </w:pPr>
            <w:r>
              <w:rPr>
                <w:rFonts w:hint="eastAsia"/>
              </w:rPr>
              <w:t>161</w:t>
            </w:r>
          </w:p>
        </w:tc>
        <w:tc>
          <w:tcPr>
            <w:tcW w:w="1134" w:type="dxa"/>
            <w:vAlign w:val="center"/>
          </w:tcPr>
          <w:p>
            <w:pPr>
              <w:pStyle w:val="2001"/>
            </w:pPr>
            <w:r>
              <w:rPr>
                <w:rFonts w:hint="eastAsia"/>
              </w:rPr>
              <w:t>201</w:t>
            </w:r>
          </w:p>
        </w:tc>
        <w:tc>
          <w:tcPr>
            <w:tcW w:w="2183" w:type="dxa"/>
            <w:vAlign w:val="center"/>
          </w:tcPr>
          <w:p>
            <w:pPr>
              <w:pStyle w:val="2001"/>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c>
          <w:tcPr>
            <w:tcW w:w="468" w:type="dxa"/>
            <w:vAlign w:val="center"/>
          </w:tcPr>
          <w:p>
            <w:pPr>
              <w:pStyle w:val="2001"/>
            </w:pPr>
            <w:r>
              <w:rPr>
                <w:rFonts w:hint="eastAsia"/>
              </w:rPr>
              <w:t>3</w:t>
            </w:r>
          </w:p>
        </w:tc>
        <w:tc>
          <w:tcPr>
            <w:tcW w:w="2334" w:type="dxa"/>
            <w:gridSpan w:val="2"/>
            <w:vAlign w:val="center"/>
          </w:tcPr>
          <w:p>
            <w:pPr>
              <w:pStyle w:val="2001"/>
            </w:pPr>
            <w:r>
              <w:rPr>
                <w:rFonts w:hint="eastAsia"/>
              </w:rPr>
              <w:t>扩建后</w:t>
            </w:r>
            <w:r>
              <w:t>9</w:t>
            </w:r>
            <w:r>
              <w:rPr>
                <w:rFonts w:hint="eastAsia"/>
              </w:rPr>
              <w:t>号</w:t>
            </w:r>
            <w:r>
              <w:t>10</w:t>
            </w:r>
            <w:r>
              <w:rPr>
                <w:rFonts w:hint="eastAsia"/>
              </w:rPr>
              <w:t>号泊位总长度</w:t>
            </w:r>
          </w:p>
        </w:tc>
        <w:tc>
          <w:tcPr>
            <w:tcW w:w="850" w:type="dxa"/>
            <w:vAlign w:val="center"/>
          </w:tcPr>
          <w:p>
            <w:pPr>
              <w:pStyle w:val="2001"/>
            </w:pPr>
            <w:r>
              <w:t>m</w:t>
            </w:r>
          </w:p>
        </w:tc>
        <w:tc>
          <w:tcPr>
            <w:tcW w:w="1559" w:type="dxa"/>
            <w:vAlign w:val="center"/>
          </w:tcPr>
          <w:p>
            <w:pPr>
              <w:pStyle w:val="2001"/>
            </w:pPr>
            <w:r>
              <w:t>783</w:t>
            </w:r>
          </w:p>
        </w:tc>
        <w:tc>
          <w:tcPr>
            <w:tcW w:w="1134" w:type="dxa"/>
            <w:vAlign w:val="center"/>
          </w:tcPr>
          <w:p>
            <w:pPr>
              <w:pStyle w:val="2001"/>
            </w:pPr>
            <w:r>
              <w:t>991</w:t>
            </w:r>
          </w:p>
        </w:tc>
        <w:tc>
          <w:tcPr>
            <w:tcW w:w="2183" w:type="dxa"/>
            <w:vAlign w:val="center"/>
          </w:tcPr>
          <w:p>
            <w:pPr>
              <w:pStyle w:val="2001"/>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c>
          <w:tcPr>
            <w:tcW w:w="468" w:type="dxa"/>
            <w:vMerge w:val="restart"/>
            <w:vAlign w:val="center"/>
          </w:tcPr>
          <w:p>
            <w:pPr>
              <w:pStyle w:val="2001"/>
            </w:pPr>
            <w:r>
              <w:rPr>
                <w:rFonts w:hint="eastAsia"/>
              </w:rPr>
              <w:t>4</w:t>
            </w:r>
          </w:p>
        </w:tc>
        <w:tc>
          <w:tcPr>
            <w:tcW w:w="2334" w:type="dxa"/>
            <w:gridSpan w:val="2"/>
            <w:vAlign w:val="center"/>
          </w:tcPr>
          <w:p>
            <w:pPr>
              <w:pStyle w:val="2001"/>
            </w:pPr>
            <w:r>
              <w:rPr>
                <w:rFonts w:hint="eastAsia"/>
              </w:rPr>
              <w:t>陆域总面积</w:t>
            </w:r>
          </w:p>
        </w:tc>
        <w:tc>
          <w:tcPr>
            <w:tcW w:w="850" w:type="dxa"/>
            <w:vAlign w:val="center"/>
          </w:tcPr>
          <w:p>
            <w:pPr>
              <w:pStyle w:val="2001"/>
            </w:pPr>
            <w:r>
              <w:rPr>
                <w:rFonts w:hint="eastAsia"/>
              </w:rPr>
              <w:t>hm</w:t>
            </w:r>
            <w:r>
              <w:rPr>
                <w:rFonts w:hint="eastAsia"/>
                <w:vertAlign w:val="superscript"/>
              </w:rPr>
              <w:t>2</w:t>
            </w:r>
          </w:p>
        </w:tc>
        <w:tc>
          <w:tcPr>
            <w:tcW w:w="1559" w:type="dxa"/>
            <w:vAlign w:val="center"/>
          </w:tcPr>
          <w:p>
            <w:pPr>
              <w:pStyle w:val="2001"/>
            </w:pPr>
            <w:r>
              <w:rPr>
                <w:rFonts w:hint="eastAsia"/>
              </w:rPr>
              <w:t>63.2</w:t>
            </w:r>
          </w:p>
        </w:tc>
        <w:tc>
          <w:tcPr>
            <w:tcW w:w="1134" w:type="dxa"/>
            <w:vAlign w:val="center"/>
          </w:tcPr>
          <w:p>
            <w:pPr>
              <w:pStyle w:val="2001"/>
            </w:pPr>
            <w:r>
              <w:rPr>
                <w:rFonts w:hint="eastAsia"/>
              </w:rPr>
              <w:t>83.83</w:t>
            </w:r>
          </w:p>
        </w:tc>
        <w:tc>
          <w:tcPr>
            <w:tcW w:w="2183" w:type="dxa"/>
            <w:vAlign w:val="center"/>
          </w:tcPr>
          <w:p>
            <w:pPr>
              <w:pStyle w:val="2001"/>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c>
          <w:tcPr>
            <w:tcW w:w="468" w:type="dxa"/>
            <w:vMerge w:val="continue"/>
            <w:vAlign w:val="center"/>
          </w:tcPr>
          <w:p>
            <w:pPr>
              <w:pStyle w:val="2001"/>
            </w:pPr>
          </w:p>
        </w:tc>
        <w:tc>
          <w:tcPr>
            <w:tcW w:w="469" w:type="dxa"/>
            <w:vMerge w:val="restart"/>
            <w:vAlign w:val="center"/>
          </w:tcPr>
          <w:p>
            <w:pPr>
              <w:pStyle w:val="2001"/>
            </w:pPr>
            <w:r>
              <w:rPr>
                <w:rFonts w:hint="eastAsia"/>
              </w:rPr>
              <w:t>其中</w:t>
            </w:r>
          </w:p>
        </w:tc>
        <w:tc>
          <w:tcPr>
            <w:tcW w:w="1865" w:type="dxa"/>
            <w:vAlign w:val="center"/>
          </w:tcPr>
          <w:p>
            <w:pPr>
              <w:pStyle w:val="2001"/>
            </w:pPr>
            <w:r>
              <w:rPr>
                <w:rFonts w:hint="eastAsia"/>
              </w:rPr>
              <w:t>码头前沿作业地带</w:t>
            </w:r>
          </w:p>
        </w:tc>
        <w:tc>
          <w:tcPr>
            <w:tcW w:w="850" w:type="dxa"/>
            <w:vMerge w:val="restart"/>
            <w:vAlign w:val="center"/>
          </w:tcPr>
          <w:p>
            <w:pPr>
              <w:pStyle w:val="2001"/>
            </w:pPr>
            <w:r>
              <w:rPr>
                <w:rFonts w:hint="eastAsia"/>
              </w:rPr>
              <w:t>hm</w:t>
            </w:r>
            <w:r>
              <w:rPr>
                <w:rFonts w:hint="eastAsia"/>
                <w:vertAlign w:val="superscript"/>
              </w:rPr>
              <w:t>2</w:t>
            </w:r>
          </w:p>
        </w:tc>
        <w:tc>
          <w:tcPr>
            <w:tcW w:w="1559" w:type="dxa"/>
            <w:vAlign w:val="center"/>
          </w:tcPr>
          <w:p>
            <w:pPr>
              <w:pStyle w:val="2001"/>
            </w:pPr>
            <w:r>
              <w:rPr>
                <w:rFonts w:hint="eastAsia"/>
              </w:rPr>
              <w:t>9.0</w:t>
            </w:r>
          </w:p>
        </w:tc>
        <w:tc>
          <w:tcPr>
            <w:tcW w:w="1134" w:type="dxa"/>
            <w:vAlign w:val="center"/>
          </w:tcPr>
          <w:p>
            <w:pPr>
              <w:pStyle w:val="2001"/>
            </w:pPr>
            <w:r>
              <w:rPr>
                <w:rFonts w:hint="eastAsia"/>
              </w:rPr>
              <w:t>11.5</w:t>
            </w:r>
          </w:p>
        </w:tc>
        <w:tc>
          <w:tcPr>
            <w:tcW w:w="2183" w:type="dxa"/>
            <w:vAlign w:val="center"/>
          </w:tcPr>
          <w:p>
            <w:pPr>
              <w:pStyle w:val="2001"/>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c>
          <w:tcPr>
            <w:tcW w:w="468" w:type="dxa"/>
            <w:vMerge w:val="continue"/>
            <w:vAlign w:val="center"/>
          </w:tcPr>
          <w:p>
            <w:pPr>
              <w:pStyle w:val="2001"/>
            </w:pPr>
          </w:p>
        </w:tc>
        <w:tc>
          <w:tcPr>
            <w:tcW w:w="469" w:type="dxa"/>
            <w:vMerge w:val="continue"/>
            <w:vAlign w:val="center"/>
          </w:tcPr>
          <w:p>
            <w:pPr>
              <w:pStyle w:val="2001"/>
            </w:pPr>
          </w:p>
        </w:tc>
        <w:tc>
          <w:tcPr>
            <w:tcW w:w="1865" w:type="dxa"/>
            <w:vAlign w:val="center"/>
          </w:tcPr>
          <w:p>
            <w:pPr>
              <w:pStyle w:val="2001"/>
            </w:pPr>
            <w:r>
              <w:rPr>
                <w:rFonts w:hint="eastAsia"/>
              </w:rPr>
              <w:t>集装箱堆场</w:t>
            </w:r>
          </w:p>
        </w:tc>
        <w:tc>
          <w:tcPr>
            <w:tcW w:w="850" w:type="dxa"/>
            <w:vMerge w:val="continue"/>
            <w:vAlign w:val="center"/>
          </w:tcPr>
          <w:p>
            <w:pPr>
              <w:pStyle w:val="2001"/>
            </w:pPr>
          </w:p>
        </w:tc>
        <w:tc>
          <w:tcPr>
            <w:tcW w:w="1559" w:type="dxa"/>
            <w:vAlign w:val="center"/>
          </w:tcPr>
          <w:p>
            <w:pPr>
              <w:pStyle w:val="2001"/>
            </w:pPr>
            <w:r>
              <w:rPr>
                <w:rFonts w:hint="eastAsia"/>
              </w:rPr>
              <w:t>43.5</w:t>
            </w:r>
          </w:p>
        </w:tc>
        <w:tc>
          <w:tcPr>
            <w:tcW w:w="1134" w:type="dxa"/>
            <w:vAlign w:val="center"/>
          </w:tcPr>
          <w:p>
            <w:pPr>
              <w:pStyle w:val="2001"/>
            </w:pPr>
            <w:r>
              <w:rPr>
                <w:rFonts w:hint="eastAsia"/>
              </w:rPr>
              <w:t>43.5</w:t>
            </w:r>
          </w:p>
        </w:tc>
        <w:tc>
          <w:tcPr>
            <w:tcW w:w="2183" w:type="dxa"/>
            <w:vAlign w:val="center"/>
          </w:tcPr>
          <w:p>
            <w:pPr>
              <w:pStyle w:val="2001"/>
            </w:pPr>
            <w:r>
              <w:rPr>
                <w:rFonts w:hint="eastAsia"/>
              </w:rPr>
              <w:t>22号堆场位于现有泊位，现有泊位集装箱堆场面积已计列，本次扩建仅新增装卸设备</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c>
          <w:tcPr>
            <w:tcW w:w="468" w:type="dxa"/>
            <w:vMerge w:val="continue"/>
            <w:vAlign w:val="center"/>
          </w:tcPr>
          <w:p>
            <w:pPr>
              <w:pStyle w:val="2001"/>
            </w:pPr>
          </w:p>
        </w:tc>
        <w:tc>
          <w:tcPr>
            <w:tcW w:w="469" w:type="dxa"/>
            <w:vMerge w:val="continue"/>
            <w:vAlign w:val="center"/>
          </w:tcPr>
          <w:p>
            <w:pPr>
              <w:pStyle w:val="2001"/>
            </w:pPr>
          </w:p>
        </w:tc>
        <w:tc>
          <w:tcPr>
            <w:tcW w:w="1865" w:type="dxa"/>
            <w:vAlign w:val="center"/>
          </w:tcPr>
          <w:p>
            <w:pPr>
              <w:pStyle w:val="2001"/>
            </w:pPr>
            <w:r>
              <w:rPr>
                <w:rFonts w:hint="eastAsia"/>
              </w:rPr>
              <w:t>港内道路</w:t>
            </w:r>
          </w:p>
        </w:tc>
        <w:tc>
          <w:tcPr>
            <w:tcW w:w="850" w:type="dxa"/>
            <w:vMerge w:val="continue"/>
            <w:vAlign w:val="center"/>
          </w:tcPr>
          <w:p>
            <w:pPr>
              <w:pStyle w:val="2001"/>
            </w:pPr>
          </w:p>
        </w:tc>
        <w:tc>
          <w:tcPr>
            <w:tcW w:w="1559" w:type="dxa"/>
            <w:vAlign w:val="center"/>
          </w:tcPr>
          <w:p>
            <w:pPr>
              <w:pStyle w:val="2001"/>
            </w:pPr>
            <w:r>
              <w:rPr>
                <w:rFonts w:hint="eastAsia"/>
              </w:rPr>
              <w:t>3.8</w:t>
            </w:r>
          </w:p>
        </w:tc>
        <w:tc>
          <w:tcPr>
            <w:tcW w:w="1134" w:type="dxa"/>
            <w:vAlign w:val="center"/>
          </w:tcPr>
          <w:p>
            <w:pPr>
              <w:pStyle w:val="2001"/>
            </w:pPr>
            <w:r>
              <w:rPr>
                <w:rFonts w:hint="eastAsia"/>
              </w:rPr>
              <w:t>4.23</w:t>
            </w:r>
          </w:p>
        </w:tc>
        <w:tc>
          <w:tcPr>
            <w:tcW w:w="2183" w:type="dxa"/>
            <w:vAlign w:val="center"/>
          </w:tcPr>
          <w:p>
            <w:pPr>
              <w:pStyle w:val="2001"/>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c>
          <w:tcPr>
            <w:tcW w:w="468" w:type="dxa"/>
            <w:vMerge w:val="continue"/>
            <w:vAlign w:val="center"/>
          </w:tcPr>
          <w:p>
            <w:pPr>
              <w:pStyle w:val="2001"/>
            </w:pPr>
          </w:p>
        </w:tc>
        <w:tc>
          <w:tcPr>
            <w:tcW w:w="469" w:type="dxa"/>
            <w:vMerge w:val="continue"/>
            <w:vAlign w:val="center"/>
          </w:tcPr>
          <w:p>
            <w:pPr>
              <w:pStyle w:val="2001"/>
            </w:pPr>
          </w:p>
        </w:tc>
        <w:tc>
          <w:tcPr>
            <w:tcW w:w="1865" w:type="dxa"/>
            <w:vAlign w:val="center"/>
          </w:tcPr>
          <w:p>
            <w:pPr>
              <w:pStyle w:val="2001"/>
            </w:pPr>
            <w:r>
              <w:rPr>
                <w:rFonts w:hint="eastAsia"/>
              </w:rPr>
              <w:t>堆场发展区及</w:t>
            </w:r>
          </w:p>
          <w:p>
            <w:pPr>
              <w:pStyle w:val="2001"/>
            </w:pPr>
            <w:r>
              <w:rPr>
                <w:rFonts w:hint="eastAsia"/>
              </w:rPr>
              <w:t>衔接区</w:t>
            </w:r>
          </w:p>
        </w:tc>
        <w:tc>
          <w:tcPr>
            <w:tcW w:w="850" w:type="dxa"/>
            <w:vMerge w:val="continue"/>
            <w:vAlign w:val="center"/>
          </w:tcPr>
          <w:p>
            <w:pPr>
              <w:pStyle w:val="2001"/>
            </w:pPr>
          </w:p>
        </w:tc>
        <w:tc>
          <w:tcPr>
            <w:tcW w:w="1559" w:type="dxa"/>
            <w:vAlign w:val="center"/>
          </w:tcPr>
          <w:p>
            <w:pPr>
              <w:pStyle w:val="2001"/>
            </w:pPr>
            <w:r>
              <w:rPr>
                <w:rFonts w:hint="eastAsia"/>
              </w:rPr>
              <w:t>6.9</w:t>
            </w:r>
          </w:p>
        </w:tc>
        <w:tc>
          <w:tcPr>
            <w:tcW w:w="1134" w:type="dxa"/>
            <w:vAlign w:val="center"/>
          </w:tcPr>
          <w:p>
            <w:pPr>
              <w:pStyle w:val="2001"/>
            </w:pPr>
            <w:r>
              <w:rPr>
                <w:rFonts w:hint="eastAsia"/>
              </w:rPr>
              <w:t>24.6</w:t>
            </w:r>
          </w:p>
        </w:tc>
        <w:tc>
          <w:tcPr>
            <w:tcW w:w="2183" w:type="dxa"/>
            <w:vAlign w:val="center"/>
          </w:tcPr>
          <w:p>
            <w:pPr>
              <w:pStyle w:val="2001"/>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c>
          <w:tcPr>
            <w:tcW w:w="468" w:type="dxa"/>
            <w:vMerge w:val="restart"/>
            <w:vAlign w:val="center"/>
          </w:tcPr>
          <w:p>
            <w:pPr>
              <w:pStyle w:val="2001"/>
            </w:pPr>
            <w:r>
              <w:rPr>
                <w:rFonts w:hint="eastAsia"/>
              </w:rPr>
              <w:t>5</w:t>
            </w:r>
          </w:p>
        </w:tc>
        <w:tc>
          <w:tcPr>
            <w:tcW w:w="2334" w:type="dxa"/>
            <w:gridSpan w:val="2"/>
            <w:vAlign w:val="center"/>
          </w:tcPr>
          <w:p>
            <w:pPr>
              <w:pStyle w:val="2001"/>
            </w:pPr>
            <w:r>
              <w:rPr>
                <w:rFonts w:hint="eastAsia"/>
              </w:rPr>
              <w:t>港池水域面积</w:t>
            </w:r>
          </w:p>
        </w:tc>
        <w:tc>
          <w:tcPr>
            <w:tcW w:w="850" w:type="dxa"/>
            <w:vAlign w:val="center"/>
          </w:tcPr>
          <w:p>
            <w:pPr>
              <w:pStyle w:val="2001"/>
            </w:pPr>
            <w:r>
              <w:rPr>
                <w:rFonts w:hint="eastAsia"/>
              </w:rPr>
              <w:t>hm</w:t>
            </w:r>
            <w:r>
              <w:rPr>
                <w:rFonts w:hint="eastAsia"/>
                <w:vertAlign w:val="superscript"/>
              </w:rPr>
              <w:t>2</w:t>
            </w:r>
          </w:p>
        </w:tc>
        <w:tc>
          <w:tcPr>
            <w:tcW w:w="1559" w:type="dxa"/>
            <w:vAlign w:val="center"/>
          </w:tcPr>
          <w:p>
            <w:pPr>
              <w:pStyle w:val="2001"/>
            </w:pPr>
            <w:r>
              <w:rPr>
                <w:rFonts w:hint="eastAsia"/>
              </w:rPr>
              <w:t>44.8998</w:t>
            </w:r>
          </w:p>
        </w:tc>
        <w:tc>
          <w:tcPr>
            <w:tcW w:w="1134" w:type="dxa"/>
            <w:vAlign w:val="center"/>
          </w:tcPr>
          <w:p>
            <w:pPr>
              <w:pStyle w:val="2001"/>
            </w:pPr>
            <w:r>
              <w:rPr>
                <w:rFonts w:hint="eastAsia"/>
              </w:rPr>
              <w:t>58.5878</w:t>
            </w:r>
          </w:p>
        </w:tc>
        <w:tc>
          <w:tcPr>
            <w:tcW w:w="2183" w:type="dxa"/>
            <w:vAlign w:val="center"/>
          </w:tcPr>
          <w:p>
            <w:pPr>
              <w:pStyle w:val="2001"/>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c>
          <w:tcPr>
            <w:tcW w:w="468" w:type="dxa"/>
            <w:vMerge w:val="continue"/>
            <w:vAlign w:val="center"/>
          </w:tcPr>
          <w:p>
            <w:pPr>
              <w:pStyle w:val="2001"/>
            </w:pPr>
          </w:p>
        </w:tc>
        <w:tc>
          <w:tcPr>
            <w:tcW w:w="469" w:type="dxa"/>
            <w:vMerge w:val="restart"/>
            <w:vAlign w:val="center"/>
          </w:tcPr>
          <w:p>
            <w:pPr>
              <w:pStyle w:val="2001"/>
            </w:pPr>
            <w:r>
              <w:t>其中</w:t>
            </w:r>
          </w:p>
        </w:tc>
        <w:tc>
          <w:tcPr>
            <w:tcW w:w="1865" w:type="dxa"/>
            <w:vAlign w:val="center"/>
          </w:tcPr>
          <w:p>
            <w:pPr>
              <w:pStyle w:val="2001"/>
            </w:pPr>
            <w:r>
              <w:rPr>
                <w:rFonts w:hint="eastAsia"/>
              </w:rPr>
              <w:t>停泊水域</w:t>
            </w:r>
          </w:p>
        </w:tc>
        <w:tc>
          <w:tcPr>
            <w:tcW w:w="850" w:type="dxa"/>
            <w:vMerge w:val="restart"/>
            <w:vAlign w:val="center"/>
          </w:tcPr>
          <w:p>
            <w:pPr>
              <w:pStyle w:val="2001"/>
            </w:pPr>
            <w:r>
              <w:rPr>
                <w:rFonts w:hint="eastAsia"/>
              </w:rPr>
              <w:t>hm</w:t>
            </w:r>
            <w:r>
              <w:rPr>
                <w:rFonts w:hint="eastAsia"/>
                <w:vertAlign w:val="superscript"/>
              </w:rPr>
              <w:t>2</w:t>
            </w:r>
          </w:p>
        </w:tc>
        <w:tc>
          <w:tcPr>
            <w:tcW w:w="1559" w:type="dxa"/>
            <w:vAlign w:val="center"/>
          </w:tcPr>
          <w:p>
            <w:pPr>
              <w:pStyle w:val="2001"/>
            </w:pPr>
            <w:r>
              <w:rPr>
                <w:rFonts w:hint="eastAsia"/>
              </w:rPr>
              <w:t>9.6314</w:t>
            </w:r>
          </w:p>
        </w:tc>
        <w:tc>
          <w:tcPr>
            <w:tcW w:w="1134" w:type="dxa"/>
            <w:vAlign w:val="center"/>
          </w:tcPr>
          <w:p>
            <w:pPr>
              <w:pStyle w:val="2001"/>
            </w:pPr>
            <w:r>
              <w:rPr>
                <w:rFonts w:hint="eastAsia"/>
              </w:rPr>
              <w:t>12.1898</w:t>
            </w:r>
          </w:p>
        </w:tc>
        <w:tc>
          <w:tcPr>
            <w:tcW w:w="2183" w:type="dxa"/>
            <w:vAlign w:val="center"/>
          </w:tcPr>
          <w:p>
            <w:pPr>
              <w:pStyle w:val="2001"/>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c>
          <w:tcPr>
            <w:tcW w:w="468" w:type="dxa"/>
            <w:vMerge w:val="continue"/>
            <w:vAlign w:val="center"/>
          </w:tcPr>
          <w:p>
            <w:pPr>
              <w:pStyle w:val="2001"/>
            </w:pPr>
          </w:p>
        </w:tc>
        <w:tc>
          <w:tcPr>
            <w:tcW w:w="469" w:type="dxa"/>
            <w:vMerge w:val="continue"/>
            <w:vAlign w:val="center"/>
          </w:tcPr>
          <w:p>
            <w:pPr>
              <w:pStyle w:val="2001"/>
            </w:pPr>
          </w:p>
        </w:tc>
        <w:tc>
          <w:tcPr>
            <w:tcW w:w="1865" w:type="dxa"/>
            <w:vAlign w:val="center"/>
          </w:tcPr>
          <w:p>
            <w:pPr>
              <w:pStyle w:val="2001"/>
            </w:pPr>
            <w:r>
              <w:rPr>
                <w:rFonts w:hint="eastAsia"/>
              </w:rPr>
              <w:t>回旋水域</w:t>
            </w:r>
          </w:p>
        </w:tc>
        <w:tc>
          <w:tcPr>
            <w:tcW w:w="850" w:type="dxa"/>
            <w:vMerge w:val="continue"/>
            <w:vAlign w:val="center"/>
          </w:tcPr>
          <w:p>
            <w:pPr>
              <w:pStyle w:val="2001"/>
            </w:pPr>
          </w:p>
        </w:tc>
        <w:tc>
          <w:tcPr>
            <w:tcW w:w="1559" w:type="dxa"/>
            <w:vAlign w:val="center"/>
          </w:tcPr>
          <w:p>
            <w:pPr>
              <w:pStyle w:val="2001"/>
            </w:pPr>
            <w:r>
              <w:rPr>
                <w:rFonts w:hint="eastAsia"/>
              </w:rPr>
              <w:t>35.2684</w:t>
            </w:r>
          </w:p>
        </w:tc>
        <w:tc>
          <w:tcPr>
            <w:tcW w:w="1134" w:type="dxa"/>
            <w:vAlign w:val="center"/>
          </w:tcPr>
          <w:p>
            <w:pPr>
              <w:pStyle w:val="2001"/>
            </w:pPr>
            <w:r>
              <w:rPr>
                <w:rFonts w:hint="eastAsia"/>
              </w:rPr>
              <w:t>46.398</w:t>
            </w:r>
          </w:p>
        </w:tc>
        <w:tc>
          <w:tcPr>
            <w:tcW w:w="2183" w:type="dxa"/>
            <w:vAlign w:val="center"/>
          </w:tcPr>
          <w:p>
            <w:pPr>
              <w:pStyle w:val="2001"/>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65" w:hRule="atLeast"/>
        </w:trPr>
        <w:tc>
          <w:tcPr>
            <w:tcW w:w="468" w:type="dxa"/>
            <w:vAlign w:val="center"/>
          </w:tcPr>
          <w:p>
            <w:pPr>
              <w:pStyle w:val="2001"/>
            </w:pPr>
            <w:r>
              <w:rPr>
                <w:rFonts w:hint="eastAsia"/>
              </w:rPr>
              <w:t>5</w:t>
            </w:r>
          </w:p>
        </w:tc>
        <w:tc>
          <w:tcPr>
            <w:tcW w:w="3184" w:type="dxa"/>
            <w:gridSpan w:val="3"/>
            <w:vAlign w:val="center"/>
          </w:tcPr>
          <w:p>
            <w:pPr>
              <w:pStyle w:val="2001"/>
            </w:pPr>
            <w:r>
              <w:rPr>
                <w:rFonts w:hint="eastAsia"/>
              </w:rPr>
              <w:t>-</w:t>
            </w:r>
          </w:p>
        </w:tc>
        <w:tc>
          <w:tcPr>
            <w:tcW w:w="1559" w:type="dxa"/>
            <w:vAlign w:val="center"/>
          </w:tcPr>
          <w:p>
            <w:pPr>
              <w:pStyle w:val="2001"/>
            </w:pPr>
            <w:r>
              <w:rPr>
                <w:rFonts w:hint="eastAsia"/>
              </w:rPr>
              <w:t>泊位长度可满足2艘10万吨级集装箱船及20万吨级组合船型同时靠泊</w:t>
            </w:r>
          </w:p>
        </w:tc>
        <w:tc>
          <w:tcPr>
            <w:tcW w:w="1134" w:type="dxa"/>
            <w:vAlign w:val="center"/>
          </w:tcPr>
          <w:p>
            <w:pPr>
              <w:pStyle w:val="2001"/>
            </w:pPr>
            <w:r>
              <w:rPr>
                <w:rFonts w:hint="eastAsia"/>
              </w:rPr>
              <w:t>泊位长度可满足2艘20万吨级集装箱船同时靠泊</w:t>
            </w:r>
          </w:p>
        </w:tc>
        <w:tc>
          <w:tcPr>
            <w:tcW w:w="2183" w:type="dxa"/>
            <w:vAlign w:val="center"/>
          </w:tcPr>
          <w:p>
            <w:pPr>
              <w:pStyle w:val="2001"/>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c>
          <w:tcPr>
            <w:tcW w:w="468" w:type="dxa"/>
            <w:vAlign w:val="center"/>
          </w:tcPr>
          <w:p>
            <w:pPr>
              <w:pStyle w:val="2001"/>
            </w:pPr>
            <w:r>
              <w:rPr>
                <w:rFonts w:hint="eastAsia"/>
              </w:rPr>
              <w:t>6</w:t>
            </w:r>
          </w:p>
        </w:tc>
        <w:tc>
          <w:tcPr>
            <w:tcW w:w="2334" w:type="dxa"/>
            <w:gridSpan w:val="2"/>
            <w:vAlign w:val="center"/>
          </w:tcPr>
          <w:p>
            <w:pPr>
              <w:pStyle w:val="2001"/>
            </w:pPr>
            <w:r>
              <w:rPr>
                <w:rFonts w:hint="eastAsia"/>
              </w:rPr>
              <w:t>港区定员</w:t>
            </w:r>
          </w:p>
        </w:tc>
        <w:tc>
          <w:tcPr>
            <w:tcW w:w="850" w:type="dxa"/>
            <w:vAlign w:val="center"/>
          </w:tcPr>
          <w:p>
            <w:pPr>
              <w:pStyle w:val="2001"/>
            </w:pPr>
            <w:r>
              <w:rPr>
                <w:rFonts w:hint="eastAsia"/>
              </w:rPr>
              <w:t>人</w:t>
            </w:r>
          </w:p>
        </w:tc>
        <w:tc>
          <w:tcPr>
            <w:tcW w:w="1559" w:type="dxa"/>
            <w:vAlign w:val="center"/>
          </w:tcPr>
          <w:p>
            <w:pPr>
              <w:pStyle w:val="2001"/>
            </w:pPr>
            <w:r>
              <w:rPr>
                <w:rFonts w:hint="eastAsia"/>
              </w:rPr>
              <w:t>192</w:t>
            </w:r>
          </w:p>
        </w:tc>
        <w:tc>
          <w:tcPr>
            <w:tcW w:w="1134" w:type="dxa"/>
            <w:vAlign w:val="center"/>
          </w:tcPr>
          <w:p>
            <w:pPr>
              <w:pStyle w:val="2001"/>
            </w:pPr>
            <w:r>
              <w:rPr>
                <w:rFonts w:hint="eastAsia"/>
              </w:rPr>
              <w:t>233</w:t>
            </w:r>
          </w:p>
        </w:tc>
        <w:tc>
          <w:tcPr>
            <w:tcW w:w="2183" w:type="dxa"/>
            <w:vAlign w:val="center"/>
          </w:tcPr>
          <w:p>
            <w:pPr>
              <w:pStyle w:val="2001"/>
            </w:pPr>
          </w:p>
        </w:tc>
      </w:tr>
    </w:tbl>
    <w:p>
      <w:pPr>
        <w:pStyle w:val="5"/>
        <w:rPr>
          <w:color w:val="000000" w:themeColor="text1"/>
          <w14:textFill>
            <w14:solidFill>
              <w14:schemeClr w14:val="tx1"/>
            </w14:solidFill>
          </w14:textFill>
        </w:rPr>
      </w:pPr>
      <w:r>
        <w:rPr>
          <w:color w:val="000000" w:themeColor="text1"/>
          <w14:textFill>
            <w14:solidFill>
              <w14:schemeClr w14:val="tx1"/>
            </w14:solidFill>
          </w14:textFill>
        </w:rPr>
        <w:t>吞吐量</w:t>
      </w:r>
    </w:p>
    <w:p>
      <w:pPr>
        <w:pStyle w:val="283"/>
        <w:ind w:firstLine="462"/>
        <w:rPr>
          <w:color w:val="000000" w:themeColor="text1"/>
          <w14:textFill>
            <w14:solidFill>
              <w14:schemeClr w14:val="tx1"/>
            </w14:solidFill>
          </w14:textFill>
        </w:rPr>
      </w:pPr>
      <w:r>
        <w:rPr>
          <w:rFonts w:hint="eastAsia"/>
          <w:color w:val="000000" w:themeColor="text1"/>
          <w14:textFill>
            <w14:solidFill>
              <w14:schemeClr w14:val="tx1"/>
            </w14:solidFill>
          </w14:textFill>
        </w:rPr>
        <w:t>本项目拟扩建9号10号泊位延长段208m，根据本项目的功能定位，结合全港吞吐量预测及本项目岸线等实际情况，本项目扩建40万TEU吞吐量，扩建后年吞吐量为200万TEU。</w:t>
      </w:r>
    </w:p>
    <w:p>
      <w:pPr>
        <w:pStyle w:val="384"/>
        <w:jc w:val="right"/>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项目货种流向、流量表</w:t>
      </w:r>
      <w:r>
        <w:rPr>
          <w:rFonts w:hint="eastAsia" w:cs="Times New Roman"/>
          <w:color w:val="000000" w:themeColor="text1"/>
          <w14:textFill>
            <w14:solidFill>
              <w14:schemeClr w14:val="tx1"/>
            </w14:solidFill>
          </w14:textFill>
        </w:rPr>
        <w:t xml:space="preserve">             </w:t>
      </w:r>
      <w:r>
        <w:rPr>
          <w:rFonts w:cs="Times New Roman"/>
          <w:b w:val="0"/>
          <w:bCs/>
          <w:color w:val="000000" w:themeColor="text1"/>
          <w:spacing w:val="4"/>
          <w:kern w:val="0"/>
          <w:sz w:val="21"/>
          <w:szCs w:val="21"/>
          <w14:textFill>
            <w14:solidFill>
              <w14:schemeClr w14:val="tx1"/>
            </w14:solidFill>
          </w14:textFill>
        </w:rPr>
        <w:t>单位：万</w:t>
      </w:r>
      <w:r>
        <w:rPr>
          <w:rFonts w:cs="Times New Roman"/>
          <w:b w:val="0"/>
          <w:bCs/>
          <w:color w:val="000000" w:themeColor="text1"/>
          <w:kern w:val="0"/>
          <w:sz w:val="21"/>
          <w:szCs w:val="21"/>
          <w14:textFill>
            <w14:solidFill>
              <w14:schemeClr w14:val="tx1"/>
            </w14:solidFill>
          </w14:textFill>
        </w:rPr>
        <w:t>吨</w:t>
      </w:r>
    </w:p>
    <w:tbl>
      <w:tblPr>
        <w:tblStyle w:val="1080"/>
        <w:tblW w:w="8342" w:type="dxa"/>
        <w:jc w:val="center"/>
        <w:tblInd w:w="0" w:type="dxa"/>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Layout w:type="fixed"/>
        <w:tblCellMar>
          <w:top w:w="0" w:type="dxa"/>
          <w:left w:w="0" w:type="dxa"/>
          <w:bottom w:w="0" w:type="dxa"/>
          <w:right w:w="0" w:type="dxa"/>
        </w:tblCellMar>
      </w:tblPr>
      <w:tblGrid>
        <w:gridCol w:w="724"/>
        <w:gridCol w:w="567"/>
        <w:gridCol w:w="425"/>
        <w:gridCol w:w="567"/>
        <w:gridCol w:w="426"/>
        <w:gridCol w:w="567"/>
        <w:gridCol w:w="567"/>
        <w:gridCol w:w="4499"/>
      </w:tblGrid>
      <w:tr>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Layout w:type="fixed"/>
          <w:tblCellMar>
            <w:top w:w="0" w:type="dxa"/>
            <w:left w:w="0" w:type="dxa"/>
            <w:bottom w:w="0" w:type="dxa"/>
            <w:right w:w="0" w:type="dxa"/>
          </w:tblCellMar>
        </w:tblPrEx>
        <w:trPr>
          <w:trHeight w:val="368" w:hRule="atLeast"/>
          <w:jc w:val="center"/>
        </w:trPr>
        <w:tc>
          <w:tcPr>
            <w:tcW w:w="724" w:type="dxa"/>
            <w:vMerge w:val="restart"/>
            <w:vAlign w:val="center"/>
          </w:tcPr>
          <w:p>
            <w:pPr>
              <w:pStyle w:val="2001"/>
              <w:rPr>
                <w:rFonts w:asciiTheme="minorHAnsi" w:hAnsiTheme="minorHAnsi" w:eastAsiaTheme="minorEastAsia" w:cstheme="minorBidi"/>
                <w:lang w:eastAsia="en-US"/>
              </w:rPr>
            </w:pPr>
            <w:bookmarkStart w:id="93" w:name="_Hlk104387019"/>
            <w:r>
              <w:rPr>
                <w:rFonts w:asciiTheme="minorHAnsi" w:hAnsiTheme="minorHAnsi" w:eastAsiaTheme="minorEastAsia" w:cstheme="minorBidi"/>
                <w:lang w:eastAsia="en-US"/>
              </w:rPr>
              <w:t>货种</w:t>
            </w:r>
          </w:p>
        </w:tc>
        <w:tc>
          <w:tcPr>
            <w:tcW w:w="992" w:type="dxa"/>
            <w:gridSpan w:val="2"/>
            <w:vAlign w:val="center"/>
          </w:tcPr>
          <w:p>
            <w:pPr>
              <w:pStyle w:val="2001"/>
              <w:rPr>
                <w:rFonts w:asciiTheme="minorHAnsi" w:hAnsiTheme="minorHAnsi" w:eastAsiaTheme="minorEastAsia" w:cstheme="minorBidi"/>
                <w:lang w:eastAsia="en-US"/>
              </w:rPr>
            </w:pPr>
            <w:r>
              <w:rPr>
                <w:rFonts w:asciiTheme="minorHAnsi" w:hAnsiTheme="minorHAnsi" w:eastAsiaTheme="minorEastAsia" w:cstheme="minorBidi"/>
                <w:lang w:eastAsia="en-US"/>
              </w:rPr>
              <w:t>合计</w:t>
            </w:r>
          </w:p>
        </w:tc>
        <w:tc>
          <w:tcPr>
            <w:tcW w:w="993" w:type="dxa"/>
            <w:gridSpan w:val="2"/>
            <w:vAlign w:val="center"/>
          </w:tcPr>
          <w:p>
            <w:pPr>
              <w:pStyle w:val="2001"/>
              <w:rPr>
                <w:rFonts w:asciiTheme="minorHAnsi" w:hAnsiTheme="minorHAnsi" w:eastAsiaTheme="minorEastAsia" w:cstheme="minorBidi"/>
                <w:lang w:eastAsia="en-US"/>
              </w:rPr>
            </w:pPr>
            <w:r>
              <w:rPr>
                <w:rFonts w:asciiTheme="minorHAnsi" w:hAnsiTheme="minorHAnsi" w:eastAsiaTheme="minorEastAsia" w:cstheme="minorBidi"/>
                <w:lang w:eastAsia="en-US"/>
              </w:rPr>
              <w:t>进港</w:t>
            </w:r>
          </w:p>
        </w:tc>
        <w:tc>
          <w:tcPr>
            <w:tcW w:w="1134" w:type="dxa"/>
            <w:gridSpan w:val="2"/>
            <w:vAlign w:val="center"/>
          </w:tcPr>
          <w:p>
            <w:pPr>
              <w:pStyle w:val="2001"/>
              <w:rPr>
                <w:rFonts w:asciiTheme="minorHAnsi" w:hAnsiTheme="minorHAnsi" w:eastAsiaTheme="minorEastAsia" w:cstheme="minorBidi"/>
                <w:lang w:eastAsia="en-US"/>
              </w:rPr>
            </w:pPr>
            <w:r>
              <w:rPr>
                <w:rFonts w:asciiTheme="minorHAnsi" w:hAnsiTheme="minorHAnsi" w:eastAsiaTheme="minorEastAsia" w:cstheme="minorBidi"/>
                <w:lang w:eastAsia="en-US"/>
              </w:rPr>
              <w:t>出港</w:t>
            </w:r>
          </w:p>
        </w:tc>
        <w:tc>
          <w:tcPr>
            <w:tcW w:w="4499" w:type="dxa"/>
            <w:vMerge w:val="restart"/>
            <w:vAlign w:val="center"/>
          </w:tcPr>
          <w:p>
            <w:pPr>
              <w:pStyle w:val="2001"/>
              <w:rPr>
                <w:rFonts w:asciiTheme="minorHAnsi" w:hAnsiTheme="minorHAnsi" w:eastAsiaTheme="minorEastAsia" w:cstheme="minorBidi"/>
                <w:lang w:eastAsia="en-US"/>
              </w:rPr>
            </w:pPr>
            <w:r>
              <w:rPr>
                <w:rFonts w:asciiTheme="minorHAnsi" w:hAnsiTheme="minorHAnsi" w:eastAsiaTheme="minorEastAsia" w:cstheme="minorBidi"/>
                <w:lang w:eastAsia="en-US"/>
              </w:rPr>
              <w:t>流向</w:t>
            </w:r>
          </w:p>
        </w:tc>
      </w:tr>
      <w:tr>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Layout w:type="fixed"/>
          <w:tblCellMar>
            <w:top w:w="0" w:type="dxa"/>
            <w:left w:w="0" w:type="dxa"/>
            <w:bottom w:w="0" w:type="dxa"/>
            <w:right w:w="0" w:type="dxa"/>
          </w:tblCellMar>
        </w:tblPrEx>
        <w:trPr>
          <w:trHeight w:val="368" w:hRule="atLeast"/>
          <w:jc w:val="center"/>
        </w:trPr>
        <w:tc>
          <w:tcPr>
            <w:tcW w:w="724" w:type="dxa"/>
            <w:vMerge w:val="continue"/>
            <w:vAlign w:val="center"/>
          </w:tcPr>
          <w:p>
            <w:pPr>
              <w:pStyle w:val="2001"/>
              <w:rPr>
                <w:rFonts w:asciiTheme="minorHAnsi" w:hAnsiTheme="minorHAnsi" w:eastAsiaTheme="minorEastAsia" w:cstheme="minorBidi"/>
                <w:lang w:eastAsia="en-US"/>
              </w:rPr>
            </w:pPr>
          </w:p>
        </w:tc>
        <w:tc>
          <w:tcPr>
            <w:tcW w:w="567" w:type="dxa"/>
            <w:vAlign w:val="center"/>
          </w:tcPr>
          <w:p>
            <w:pPr>
              <w:pStyle w:val="2001"/>
              <w:rPr>
                <w:rFonts w:asciiTheme="minorHAnsi" w:hAnsiTheme="minorHAnsi" w:eastAsiaTheme="minorEastAsia" w:cstheme="minorBidi"/>
                <w:lang w:eastAsia="en-US"/>
              </w:rPr>
            </w:pPr>
            <w:r>
              <w:rPr>
                <w:rFonts w:asciiTheme="minorHAnsi" w:hAnsiTheme="minorHAnsi" w:eastAsiaTheme="minorEastAsia" w:cstheme="minorBidi"/>
                <w:lang w:eastAsia="en-US"/>
              </w:rPr>
              <w:t>小计</w:t>
            </w:r>
          </w:p>
        </w:tc>
        <w:tc>
          <w:tcPr>
            <w:tcW w:w="425" w:type="dxa"/>
            <w:vAlign w:val="center"/>
          </w:tcPr>
          <w:p>
            <w:pPr>
              <w:pStyle w:val="2001"/>
              <w:rPr>
                <w:rFonts w:asciiTheme="minorHAnsi" w:hAnsiTheme="minorHAnsi" w:eastAsiaTheme="minorEastAsia" w:cstheme="minorBidi"/>
                <w:lang w:eastAsia="en-US"/>
              </w:rPr>
            </w:pPr>
            <w:r>
              <w:rPr>
                <w:rFonts w:asciiTheme="minorHAnsi" w:hAnsiTheme="minorHAnsi" w:eastAsiaTheme="minorEastAsia" w:cstheme="minorBidi"/>
                <w:lang w:eastAsia="en-US"/>
              </w:rPr>
              <w:t>外贸</w:t>
            </w:r>
          </w:p>
        </w:tc>
        <w:tc>
          <w:tcPr>
            <w:tcW w:w="567" w:type="dxa"/>
            <w:vAlign w:val="center"/>
          </w:tcPr>
          <w:p>
            <w:pPr>
              <w:pStyle w:val="2001"/>
              <w:rPr>
                <w:rFonts w:asciiTheme="minorHAnsi" w:hAnsiTheme="minorHAnsi" w:eastAsiaTheme="minorEastAsia" w:cstheme="minorBidi"/>
                <w:lang w:eastAsia="en-US"/>
              </w:rPr>
            </w:pPr>
            <w:r>
              <w:rPr>
                <w:rFonts w:asciiTheme="minorHAnsi" w:hAnsiTheme="minorHAnsi" w:eastAsiaTheme="minorEastAsia" w:cstheme="minorBidi"/>
                <w:lang w:eastAsia="en-US"/>
              </w:rPr>
              <w:t>小计</w:t>
            </w:r>
          </w:p>
        </w:tc>
        <w:tc>
          <w:tcPr>
            <w:tcW w:w="426" w:type="dxa"/>
            <w:vAlign w:val="center"/>
          </w:tcPr>
          <w:p>
            <w:pPr>
              <w:pStyle w:val="2001"/>
              <w:rPr>
                <w:rFonts w:asciiTheme="minorHAnsi" w:hAnsiTheme="minorHAnsi" w:eastAsiaTheme="minorEastAsia" w:cstheme="minorBidi"/>
                <w:lang w:eastAsia="en-US"/>
              </w:rPr>
            </w:pPr>
            <w:r>
              <w:rPr>
                <w:rFonts w:asciiTheme="minorHAnsi" w:hAnsiTheme="minorHAnsi" w:eastAsiaTheme="minorEastAsia" w:cstheme="minorBidi"/>
                <w:lang w:eastAsia="en-US"/>
              </w:rPr>
              <w:t>外贸</w:t>
            </w:r>
          </w:p>
        </w:tc>
        <w:tc>
          <w:tcPr>
            <w:tcW w:w="567" w:type="dxa"/>
            <w:vAlign w:val="center"/>
          </w:tcPr>
          <w:p>
            <w:pPr>
              <w:pStyle w:val="2001"/>
              <w:rPr>
                <w:rFonts w:asciiTheme="minorHAnsi" w:hAnsiTheme="minorHAnsi" w:eastAsiaTheme="minorEastAsia" w:cstheme="minorBidi"/>
                <w:lang w:eastAsia="en-US"/>
              </w:rPr>
            </w:pPr>
            <w:r>
              <w:rPr>
                <w:rFonts w:asciiTheme="minorHAnsi" w:hAnsiTheme="minorHAnsi" w:eastAsiaTheme="minorEastAsia" w:cstheme="minorBidi"/>
                <w:lang w:eastAsia="en-US"/>
              </w:rPr>
              <w:t>小计</w:t>
            </w:r>
          </w:p>
        </w:tc>
        <w:tc>
          <w:tcPr>
            <w:tcW w:w="567" w:type="dxa"/>
            <w:vAlign w:val="center"/>
          </w:tcPr>
          <w:p>
            <w:pPr>
              <w:pStyle w:val="2001"/>
              <w:rPr>
                <w:rFonts w:asciiTheme="minorHAnsi" w:hAnsiTheme="minorHAnsi" w:eastAsiaTheme="minorEastAsia" w:cstheme="minorBidi"/>
                <w:lang w:eastAsia="en-US"/>
              </w:rPr>
            </w:pPr>
            <w:r>
              <w:rPr>
                <w:rFonts w:asciiTheme="minorHAnsi" w:hAnsiTheme="minorHAnsi" w:eastAsiaTheme="minorEastAsia" w:cstheme="minorBidi"/>
                <w:lang w:eastAsia="en-US"/>
              </w:rPr>
              <w:t>外贸</w:t>
            </w:r>
          </w:p>
        </w:tc>
        <w:tc>
          <w:tcPr>
            <w:tcW w:w="4499" w:type="dxa"/>
            <w:vMerge w:val="continue"/>
            <w:vAlign w:val="center"/>
          </w:tcPr>
          <w:p>
            <w:pPr>
              <w:pStyle w:val="2001"/>
              <w:rPr>
                <w:rFonts w:asciiTheme="minorHAnsi" w:hAnsiTheme="minorHAnsi" w:eastAsiaTheme="minorEastAsia" w:cstheme="minorBidi"/>
                <w:lang w:eastAsia="en-US"/>
              </w:rPr>
            </w:pPr>
          </w:p>
        </w:tc>
      </w:tr>
      <w:tr>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Layout w:type="fixed"/>
          <w:tblCellMar>
            <w:top w:w="0" w:type="dxa"/>
            <w:left w:w="0" w:type="dxa"/>
            <w:bottom w:w="0" w:type="dxa"/>
            <w:right w:w="0" w:type="dxa"/>
          </w:tblCellMar>
        </w:tblPrEx>
        <w:trPr>
          <w:trHeight w:val="368" w:hRule="atLeast"/>
          <w:jc w:val="center"/>
        </w:trPr>
        <w:tc>
          <w:tcPr>
            <w:tcW w:w="724" w:type="dxa"/>
            <w:vAlign w:val="center"/>
          </w:tcPr>
          <w:p>
            <w:pPr>
              <w:pStyle w:val="2001"/>
              <w:rPr>
                <w:rFonts w:asciiTheme="minorHAnsi" w:hAnsiTheme="minorHAnsi" w:eastAsiaTheme="minorEastAsia" w:cstheme="minorBidi"/>
                <w:lang w:eastAsia="en-US"/>
              </w:rPr>
            </w:pPr>
            <w:r>
              <w:rPr>
                <w:rFonts w:asciiTheme="minorHAnsi" w:hAnsiTheme="minorHAnsi" w:eastAsiaTheme="minorEastAsia" w:cstheme="minorBidi"/>
                <w:lang w:eastAsia="en-US"/>
              </w:rPr>
              <w:t>集装箱</w:t>
            </w:r>
          </w:p>
        </w:tc>
        <w:tc>
          <w:tcPr>
            <w:tcW w:w="567" w:type="dxa"/>
            <w:vAlign w:val="center"/>
          </w:tcPr>
          <w:p>
            <w:pPr>
              <w:pStyle w:val="2001"/>
              <w:rPr>
                <w:rFonts w:asciiTheme="minorHAnsi" w:hAnsiTheme="minorHAnsi" w:eastAsiaTheme="minorEastAsia" w:cstheme="minorBidi"/>
                <w:lang w:eastAsia="en-US"/>
              </w:rPr>
            </w:pPr>
            <w:r>
              <w:rPr>
                <w:rFonts w:asciiTheme="minorHAnsi" w:hAnsiTheme="minorHAnsi" w:eastAsiaTheme="minorEastAsia" w:cstheme="minorBidi"/>
                <w:lang w:eastAsia="en-US"/>
              </w:rPr>
              <w:t>200</w:t>
            </w:r>
          </w:p>
        </w:tc>
        <w:tc>
          <w:tcPr>
            <w:tcW w:w="425" w:type="dxa"/>
            <w:vAlign w:val="center"/>
          </w:tcPr>
          <w:p>
            <w:pPr>
              <w:pStyle w:val="2001"/>
              <w:rPr>
                <w:rFonts w:asciiTheme="minorHAnsi" w:hAnsiTheme="minorHAnsi" w:eastAsiaTheme="minorEastAsia" w:cstheme="minorBidi"/>
                <w:lang w:eastAsia="en-US"/>
              </w:rPr>
            </w:pPr>
            <w:r>
              <w:rPr>
                <w:rFonts w:asciiTheme="minorHAnsi" w:hAnsiTheme="minorHAnsi" w:eastAsiaTheme="minorEastAsia" w:cstheme="minorBidi"/>
                <w:lang w:eastAsia="en-US"/>
              </w:rPr>
              <w:t>70</w:t>
            </w:r>
          </w:p>
        </w:tc>
        <w:tc>
          <w:tcPr>
            <w:tcW w:w="567" w:type="dxa"/>
            <w:vAlign w:val="center"/>
          </w:tcPr>
          <w:p>
            <w:pPr>
              <w:pStyle w:val="2001"/>
              <w:rPr>
                <w:rFonts w:asciiTheme="minorHAnsi" w:hAnsiTheme="minorHAnsi" w:eastAsiaTheme="minorEastAsia" w:cstheme="minorBidi"/>
                <w:lang w:eastAsia="en-US"/>
              </w:rPr>
            </w:pPr>
            <w:r>
              <w:rPr>
                <w:rFonts w:asciiTheme="minorHAnsi" w:hAnsiTheme="minorHAnsi" w:eastAsiaTheme="minorEastAsia" w:cstheme="minorBidi"/>
                <w:lang w:eastAsia="en-US"/>
              </w:rPr>
              <w:t>100</w:t>
            </w:r>
          </w:p>
        </w:tc>
        <w:tc>
          <w:tcPr>
            <w:tcW w:w="426" w:type="dxa"/>
            <w:vAlign w:val="center"/>
          </w:tcPr>
          <w:p>
            <w:pPr>
              <w:pStyle w:val="2001"/>
              <w:rPr>
                <w:rFonts w:asciiTheme="minorHAnsi" w:hAnsiTheme="minorHAnsi" w:eastAsiaTheme="minorEastAsia" w:cstheme="minorBidi"/>
                <w:lang w:eastAsia="en-US"/>
              </w:rPr>
            </w:pPr>
            <w:r>
              <w:rPr>
                <w:rFonts w:asciiTheme="minorHAnsi" w:hAnsiTheme="minorHAnsi" w:eastAsiaTheme="minorEastAsia" w:cstheme="minorBidi"/>
                <w:lang w:eastAsia="en-US"/>
              </w:rPr>
              <w:t>35</w:t>
            </w:r>
          </w:p>
        </w:tc>
        <w:tc>
          <w:tcPr>
            <w:tcW w:w="567" w:type="dxa"/>
            <w:vAlign w:val="center"/>
          </w:tcPr>
          <w:p>
            <w:pPr>
              <w:pStyle w:val="2001"/>
              <w:rPr>
                <w:rFonts w:asciiTheme="minorHAnsi" w:hAnsiTheme="minorHAnsi" w:eastAsiaTheme="minorEastAsia" w:cstheme="minorBidi"/>
                <w:lang w:eastAsia="en-US"/>
              </w:rPr>
            </w:pPr>
            <w:r>
              <w:rPr>
                <w:rFonts w:asciiTheme="minorHAnsi" w:hAnsiTheme="minorHAnsi" w:eastAsiaTheme="minorEastAsia" w:cstheme="minorBidi"/>
                <w:lang w:eastAsia="en-US"/>
              </w:rPr>
              <w:t>100</w:t>
            </w:r>
          </w:p>
        </w:tc>
        <w:tc>
          <w:tcPr>
            <w:tcW w:w="567" w:type="dxa"/>
            <w:vAlign w:val="center"/>
          </w:tcPr>
          <w:p>
            <w:pPr>
              <w:pStyle w:val="2001"/>
              <w:rPr>
                <w:rFonts w:asciiTheme="minorHAnsi" w:hAnsiTheme="minorHAnsi" w:eastAsiaTheme="minorEastAsia" w:cstheme="minorBidi"/>
                <w:lang w:eastAsia="en-US"/>
              </w:rPr>
            </w:pPr>
            <w:r>
              <w:rPr>
                <w:rFonts w:asciiTheme="minorHAnsi" w:hAnsiTheme="minorHAnsi" w:eastAsiaTheme="minorEastAsia" w:cstheme="minorBidi"/>
                <w:lang w:eastAsia="en-US"/>
              </w:rPr>
              <w:t>35</w:t>
            </w:r>
          </w:p>
        </w:tc>
        <w:tc>
          <w:tcPr>
            <w:tcW w:w="4499" w:type="dxa"/>
            <w:vAlign w:val="center"/>
          </w:tcPr>
          <w:p>
            <w:pPr>
              <w:pStyle w:val="2001"/>
              <w:rPr>
                <w:rFonts w:asciiTheme="minorHAnsi" w:hAnsiTheme="minorHAnsi" w:eastAsiaTheme="minorEastAsia" w:cstheme="minorBidi"/>
                <w:lang w:eastAsia="zh-CN"/>
              </w:rPr>
            </w:pPr>
            <w:r>
              <w:rPr>
                <w:rFonts w:asciiTheme="minorHAnsi" w:hAnsiTheme="minorHAnsi" w:eastAsiaTheme="minorEastAsia" w:cstheme="minorBidi"/>
                <w:lang w:eastAsia="zh-CN"/>
              </w:rPr>
              <w:t>内贸来往珠三角、福州、天津、营口等国内沿海；外贸来往东南亚、非洲、欧美等地区。</w:t>
            </w:r>
          </w:p>
        </w:tc>
      </w:tr>
      <w:bookmarkEnd w:id="93"/>
    </w:tbl>
    <w:p>
      <w:pPr>
        <w:pStyle w:val="6"/>
        <w:numPr>
          <w:ilvl w:val="3"/>
          <w:numId w:val="47"/>
        </w:numPr>
        <w:rPr>
          <w:color w:val="000000" w:themeColor="text1"/>
          <w14:textFill>
            <w14:solidFill>
              <w14:schemeClr w14:val="tx1"/>
            </w14:solidFill>
          </w14:textFill>
        </w:rPr>
      </w:pPr>
      <w:r>
        <w:rPr>
          <w:color w:val="000000" w:themeColor="text1"/>
          <w14:textFill>
            <w14:solidFill>
              <w14:schemeClr w14:val="tx1"/>
            </w14:solidFill>
          </w14:textFill>
        </w:rPr>
        <w:t>设计船型</w:t>
      </w:r>
    </w:p>
    <w:p>
      <w:pPr>
        <w:pStyle w:val="283"/>
        <w:ind w:firstLine="462"/>
        <w:rPr>
          <w:color w:val="000000" w:themeColor="text1"/>
          <w14:textFill>
            <w14:solidFill>
              <w14:schemeClr w14:val="tx1"/>
            </w14:solidFill>
          </w14:textFill>
        </w:rPr>
      </w:pPr>
      <w:r>
        <w:rPr>
          <w:rFonts w:hint="eastAsia"/>
          <w:color w:val="000000" w:themeColor="text1"/>
          <w14:textFill>
            <w14:solidFill>
              <w14:schemeClr w14:val="tx1"/>
            </w14:solidFill>
          </w14:textFill>
        </w:rPr>
        <w:t>从钦州港码头等级结构和港口资源禀赋来看，未来新开欧美等国际航线将主要集中在9号10号泊位。因此本项目拟扩建9号10号泊位208m，预计连同现有泊位长度，考虑船舶大型化趋势，未来可同时停靠2艘20万吨级集装箱船。</w:t>
      </w:r>
    </w:p>
    <w:p>
      <w:pPr>
        <w:pStyle w:val="384"/>
        <w:ind w:left="0" w:firstLine="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设计代表船型主尺度表</w:t>
      </w:r>
    </w:p>
    <w:tbl>
      <w:tblPr>
        <w:tblStyle w:val="1080"/>
        <w:tblW w:w="8342" w:type="dxa"/>
        <w:tblInd w:w="0" w:type="dxa"/>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Layout w:type="fixed"/>
        <w:tblCellMar>
          <w:top w:w="0" w:type="dxa"/>
          <w:left w:w="0" w:type="dxa"/>
          <w:bottom w:w="0" w:type="dxa"/>
          <w:right w:w="0" w:type="dxa"/>
        </w:tblCellMar>
      </w:tblPr>
      <w:tblGrid>
        <w:gridCol w:w="1860"/>
        <w:gridCol w:w="1271"/>
        <w:gridCol w:w="1285"/>
        <w:gridCol w:w="1296"/>
        <w:gridCol w:w="1717"/>
        <w:gridCol w:w="913"/>
      </w:tblGrid>
      <w:tr>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Layout w:type="fixed"/>
          <w:tblCellMar>
            <w:top w:w="0" w:type="dxa"/>
            <w:left w:w="0" w:type="dxa"/>
            <w:bottom w:w="0" w:type="dxa"/>
            <w:right w:w="0" w:type="dxa"/>
          </w:tblCellMar>
        </w:tblPrEx>
        <w:trPr>
          <w:trHeight w:val="383" w:hRule="atLeast"/>
          <w:tblHeader/>
        </w:trPr>
        <w:tc>
          <w:tcPr>
            <w:tcW w:w="1860" w:type="dxa"/>
            <w:vAlign w:val="center"/>
          </w:tcPr>
          <w:p>
            <w:pPr>
              <w:pStyle w:val="2001"/>
              <w:rPr>
                <w:rFonts w:asciiTheme="minorHAnsi" w:hAnsiTheme="minorHAnsi" w:eastAsiaTheme="minorEastAsia" w:cstheme="minorBidi"/>
                <w:lang w:eastAsia="en-US"/>
              </w:rPr>
            </w:pPr>
            <w:r>
              <w:rPr>
                <w:rFonts w:asciiTheme="minorHAnsi" w:hAnsiTheme="minorHAnsi" w:eastAsiaTheme="minorEastAsia" w:cstheme="minorBidi"/>
                <w:lang w:eastAsia="en-US"/>
              </w:rPr>
              <w:t>船型</w:t>
            </w:r>
          </w:p>
        </w:tc>
        <w:tc>
          <w:tcPr>
            <w:tcW w:w="1271" w:type="dxa"/>
            <w:vAlign w:val="center"/>
          </w:tcPr>
          <w:p>
            <w:pPr>
              <w:pStyle w:val="2001"/>
              <w:rPr>
                <w:rFonts w:asciiTheme="minorHAnsi" w:hAnsiTheme="minorHAnsi" w:eastAsiaTheme="minorEastAsia" w:cstheme="minorBidi"/>
                <w:lang w:eastAsia="en-US"/>
              </w:rPr>
            </w:pPr>
            <w:r>
              <w:rPr>
                <w:rFonts w:asciiTheme="minorHAnsi" w:hAnsiTheme="minorHAnsi" w:eastAsiaTheme="minorEastAsia" w:cstheme="minorBidi"/>
                <w:lang w:eastAsia="en-US"/>
              </w:rPr>
              <w:t>总长L（m）</w:t>
            </w:r>
          </w:p>
        </w:tc>
        <w:tc>
          <w:tcPr>
            <w:tcW w:w="1285" w:type="dxa"/>
            <w:vAlign w:val="center"/>
          </w:tcPr>
          <w:p>
            <w:pPr>
              <w:pStyle w:val="2001"/>
              <w:rPr>
                <w:rFonts w:asciiTheme="minorHAnsi" w:hAnsiTheme="minorHAnsi" w:eastAsiaTheme="minorEastAsia" w:cstheme="minorBidi"/>
                <w:lang w:eastAsia="en-US"/>
              </w:rPr>
            </w:pPr>
            <w:r>
              <w:rPr>
                <w:rFonts w:asciiTheme="minorHAnsi" w:hAnsiTheme="minorHAnsi" w:eastAsiaTheme="minorEastAsia" w:cstheme="minorBidi"/>
                <w:lang w:eastAsia="en-US"/>
              </w:rPr>
              <w:t>型宽B（m）</w:t>
            </w:r>
          </w:p>
        </w:tc>
        <w:tc>
          <w:tcPr>
            <w:tcW w:w="1296" w:type="dxa"/>
            <w:vAlign w:val="center"/>
          </w:tcPr>
          <w:p>
            <w:pPr>
              <w:pStyle w:val="2001"/>
              <w:rPr>
                <w:rFonts w:asciiTheme="minorHAnsi" w:hAnsiTheme="minorHAnsi" w:eastAsiaTheme="minorEastAsia" w:cstheme="minorBidi"/>
                <w:lang w:eastAsia="en-US"/>
              </w:rPr>
            </w:pPr>
            <w:r>
              <w:rPr>
                <w:rFonts w:asciiTheme="minorHAnsi" w:hAnsiTheme="minorHAnsi" w:eastAsiaTheme="minorEastAsia" w:cstheme="minorBidi"/>
                <w:lang w:eastAsia="en-US"/>
              </w:rPr>
              <w:t>型深H（m）</w:t>
            </w:r>
          </w:p>
        </w:tc>
        <w:tc>
          <w:tcPr>
            <w:tcW w:w="1717" w:type="dxa"/>
            <w:vAlign w:val="center"/>
          </w:tcPr>
          <w:p>
            <w:pPr>
              <w:pStyle w:val="2001"/>
              <w:rPr>
                <w:rFonts w:asciiTheme="minorHAnsi" w:hAnsiTheme="minorHAnsi" w:eastAsiaTheme="minorEastAsia" w:cstheme="minorBidi"/>
                <w:lang w:eastAsia="en-US"/>
              </w:rPr>
            </w:pPr>
            <w:r>
              <w:rPr>
                <w:rFonts w:asciiTheme="minorHAnsi" w:hAnsiTheme="minorHAnsi" w:eastAsiaTheme="minorEastAsia" w:cstheme="minorBidi"/>
                <w:lang w:eastAsia="en-US"/>
              </w:rPr>
              <w:t>满载吃水T（m）</w:t>
            </w:r>
          </w:p>
        </w:tc>
        <w:tc>
          <w:tcPr>
            <w:tcW w:w="913" w:type="dxa"/>
            <w:vAlign w:val="center"/>
          </w:tcPr>
          <w:p>
            <w:pPr>
              <w:pStyle w:val="2001"/>
              <w:rPr>
                <w:rFonts w:asciiTheme="minorHAnsi" w:hAnsiTheme="minorHAnsi" w:eastAsiaTheme="minorEastAsia" w:cstheme="minorBidi"/>
                <w:lang w:eastAsia="en-US"/>
              </w:rPr>
            </w:pPr>
            <w:r>
              <w:rPr>
                <w:rFonts w:asciiTheme="minorHAnsi" w:hAnsiTheme="minorHAnsi" w:eastAsiaTheme="minorEastAsia" w:cstheme="minorBidi"/>
                <w:lang w:eastAsia="en-US"/>
              </w:rPr>
              <w:t>备注</w:t>
            </w:r>
          </w:p>
        </w:tc>
      </w:tr>
      <w:tr>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Layout w:type="fixed"/>
          <w:tblCellMar>
            <w:top w:w="0" w:type="dxa"/>
            <w:left w:w="0" w:type="dxa"/>
            <w:bottom w:w="0" w:type="dxa"/>
            <w:right w:w="0" w:type="dxa"/>
          </w:tblCellMar>
        </w:tblPrEx>
        <w:trPr>
          <w:trHeight w:val="383" w:hRule="atLeast"/>
        </w:trPr>
        <w:tc>
          <w:tcPr>
            <w:tcW w:w="1860" w:type="dxa"/>
            <w:vAlign w:val="center"/>
          </w:tcPr>
          <w:p>
            <w:pPr>
              <w:pStyle w:val="2001"/>
              <w:rPr>
                <w:rFonts w:asciiTheme="minorHAnsi" w:hAnsiTheme="minorHAnsi" w:eastAsiaTheme="minorEastAsia" w:cstheme="minorBidi"/>
                <w:lang w:eastAsia="en-US"/>
              </w:rPr>
            </w:pPr>
            <w:r>
              <w:rPr>
                <w:rFonts w:asciiTheme="minorHAnsi" w:hAnsiTheme="minorHAnsi" w:eastAsiaTheme="minorEastAsia" w:cstheme="minorBidi"/>
                <w:lang w:eastAsia="en-US"/>
              </w:rPr>
              <w:t>3千吨级集装箱船</w:t>
            </w:r>
          </w:p>
        </w:tc>
        <w:tc>
          <w:tcPr>
            <w:tcW w:w="1271" w:type="dxa"/>
            <w:vAlign w:val="center"/>
          </w:tcPr>
          <w:p>
            <w:pPr>
              <w:pStyle w:val="2001"/>
              <w:rPr>
                <w:rFonts w:asciiTheme="minorHAnsi" w:hAnsiTheme="minorHAnsi" w:eastAsiaTheme="minorEastAsia" w:cstheme="minorBidi"/>
                <w:lang w:eastAsia="en-US"/>
              </w:rPr>
            </w:pPr>
            <w:r>
              <w:rPr>
                <w:rFonts w:asciiTheme="minorHAnsi" w:hAnsiTheme="minorHAnsi" w:eastAsiaTheme="minorEastAsia" w:cstheme="minorBidi"/>
                <w:lang w:eastAsia="en-US"/>
              </w:rPr>
              <w:t>106</w:t>
            </w:r>
          </w:p>
        </w:tc>
        <w:tc>
          <w:tcPr>
            <w:tcW w:w="1285" w:type="dxa"/>
            <w:vAlign w:val="center"/>
          </w:tcPr>
          <w:p>
            <w:pPr>
              <w:pStyle w:val="2001"/>
              <w:rPr>
                <w:rFonts w:asciiTheme="minorHAnsi" w:hAnsiTheme="minorHAnsi" w:eastAsiaTheme="minorEastAsia" w:cstheme="minorBidi"/>
                <w:lang w:eastAsia="en-US"/>
              </w:rPr>
            </w:pPr>
            <w:r>
              <w:rPr>
                <w:rFonts w:asciiTheme="minorHAnsi" w:hAnsiTheme="minorHAnsi" w:eastAsiaTheme="minorEastAsia" w:cstheme="minorBidi"/>
                <w:lang w:eastAsia="en-US"/>
              </w:rPr>
              <w:t>17.6</w:t>
            </w:r>
          </w:p>
        </w:tc>
        <w:tc>
          <w:tcPr>
            <w:tcW w:w="1296" w:type="dxa"/>
            <w:vAlign w:val="center"/>
          </w:tcPr>
          <w:p>
            <w:pPr>
              <w:pStyle w:val="2001"/>
              <w:rPr>
                <w:rFonts w:asciiTheme="minorHAnsi" w:hAnsiTheme="minorHAnsi" w:eastAsiaTheme="minorEastAsia" w:cstheme="minorBidi"/>
                <w:lang w:eastAsia="en-US"/>
              </w:rPr>
            </w:pPr>
            <w:r>
              <w:rPr>
                <w:rFonts w:asciiTheme="minorHAnsi" w:hAnsiTheme="minorHAnsi" w:eastAsiaTheme="minorEastAsia" w:cstheme="minorBidi"/>
                <w:lang w:eastAsia="en-US"/>
              </w:rPr>
              <w:t>8.7</w:t>
            </w:r>
          </w:p>
        </w:tc>
        <w:tc>
          <w:tcPr>
            <w:tcW w:w="1717" w:type="dxa"/>
            <w:vAlign w:val="center"/>
          </w:tcPr>
          <w:p>
            <w:pPr>
              <w:pStyle w:val="2001"/>
              <w:rPr>
                <w:rFonts w:asciiTheme="minorHAnsi" w:hAnsiTheme="minorHAnsi" w:eastAsiaTheme="minorEastAsia" w:cstheme="minorBidi"/>
                <w:lang w:eastAsia="en-US"/>
              </w:rPr>
            </w:pPr>
            <w:r>
              <w:rPr>
                <w:rFonts w:asciiTheme="minorHAnsi" w:hAnsiTheme="minorHAnsi" w:eastAsiaTheme="minorEastAsia" w:cstheme="minorBidi"/>
                <w:lang w:eastAsia="en-US"/>
              </w:rPr>
              <w:t>5.8</w:t>
            </w:r>
          </w:p>
        </w:tc>
        <w:tc>
          <w:tcPr>
            <w:tcW w:w="913" w:type="dxa"/>
            <w:vAlign w:val="center"/>
          </w:tcPr>
          <w:p>
            <w:pPr>
              <w:pStyle w:val="2001"/>
              <w:rPr>
                <w:rFonts w:asciiTheme="minorHAnsi" w:hAnsiTheme="minorHAnsi" w:eastAsiaTheme="minorEastAsia" w:cstheme="minorBidi"/>
                <w:lang w:eastAsia="en-US"/>
              </w:rPr>
            </w:pPr>
            <w:r>
              <w:rPr>
                <w:rFonts w:asciiTheme="minorHAnsi" w:hAnsiTheme="minorHAnsi" w:eastAsiaTheme="minorEastAsia" w:cstheme="minorBidi"/>
                <w:lang w:eastAsia="en-US"/>
              </w:rPr>
              <w:t>兼顾船型</w:t>
            </w:r>
          </w:p>
        </w:tc>
      </w:tr>
      <w:tr>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Layout w:type="fixed"/>
          <w:tblCellMar>
            <w:top w:w="0" w:type="dxa"/>
            <w:left w:w="0" w:type="dxa"/>
            <w:bottom w:w="0" w:type="dxa"/>
            <w:right w:w="0" w:type="dxa"/>
          </w:tblCellMar>
        </w:tblPrEx>
        <w:trPr>
          <w:trHeight w:val="383" w:hRule="atLeast"/>
        </w:trPr>
        <w:tc>
          <w:tcPr>
            <w:tcW w:w="1860" w:type="dxa"/>
            <w:vAlign w:val="center"/>
          </w:tcPr>
          <w:p>
            <w:pPr>
              <w:pStyle w:val="2001"/>
              <w:rPr>
                <w:rFonts w:asciiTheme="minorHAnsi" w:hAnsiTheme="minorHAnsi" w:eastAsiaTheme="minorEastAsia" w:cstheme="minorBidi"/>
                <w:lang w:eastAsia="en-US"/>
              </w:rPr>
            </w:pPr>
            <w:r>
              <w:rPr>
                <w:rFonts w:asciiTheme="minorHAnsi" w:hAnsiTheme="minorHAnsi" w:eastAsiaTheme="minorEastAsia" w:cstheme="minorBidi"/>
                <w:lang w:eastAsia="en-US"/>
              </w:rPr>
              <w:t>5千吨级集装箱船</w:t>
            </w:r>
          </w:p>
        </w:tc>
        <w:tc>
          <w:tcPr>
            <w:tcW w:w="1271" w:type="dxa"/>
            <w:vAlign w:val="center"/>
          </w:tcPr>
          <w:p>
            <w:pPr>
              <w:pStyle w:val="2001"/>
              <w:rPr>
                <w:rFonts w:asciiTheme="minorHAnsi" w:hAnsiTheme="minorHAnsi" w:eastAsiaTheme="minorEastAsia" w:cstheme="minorBidi"/>
                <w:lang w:eastAsia="en-US"/>
              </w:rPr>
            </w:pPr>
            <w:r>
              <w:rPr>
                <w:rFonts w:asciiTheme="minorHAnsi" w:hAnsiTheme="minorHAnsi" w:eastAsiaTheme="minorEastAsia" w:cstheme="minorBidi"/>
                <w:lang w:eastAsia="en-US"/>
              </w:rPr>
              <w:t>121</w:t>
            </w:r>
          </w:p>
        </w:tc>
        <w:tc>
          <w:tcPr>
            <w:tcW w:w="1285" w:type="dxa"/>
            <w:vAlign w:val="center"/>
          </w:tcPr>
          <w:p>
            <w:pPr>
              <w:pStyle w:val="2001"/>
              <w:rPr>
                <w:rFonts w:asciiTheme="minorHAnsi" w:hAnsiTheme="minorHAnsi" w:eastAsiaTheme="minorEastAsia" w:cstheme="minorBidi"/>
                <w:lang w:eastAsia="en-US"/>
              </w:rPr>
            </w:pPr>
            <w:r>
              <w:rPr>
                <w:rFonts w:asciiTheme="minorHAnsi" w:hAnsiTheme="minorHAnsi" w:eastAsiaTheme="minorEastAsia" w:cstheme="minorBidi"/>
                <w:lang w:eastAsia="en-US"/>
              </w:rPr>
              <w:t>19.2</w:t>
            </w:r>
          </w:p>
        </w:tc>
        <w:tc>
          <w:tcPr>
            <w:tcW w:w="1296" w:type="dxa"/>
            <w:vAlign w:val="center"/>
          </w:tcPr>
          <w:p>
            <w:pPr>
              <w:pStyle w:val="2001"/>
              <w:rPr>
                <w:rFonts w:asciiTheme="minorHAnsi" w:hAnsiTheme="minorHAnsi" w:eastAsiaTheme="minorEastAsia" w:cstheme="minorBidi"/>
                <w:lang w:eastAsia="en-US"/>
              </w:rPr>
            </w:pPr>
            <w:r>
              <w:rPr>
                <w:rFonts w:asciiTheme="minorHAnsi" w:hAnsiTheme="minorHAnsi" w:eastAsiaTheme="minorEastAsia" w:cstheme="minorBidi"/>
                <w:lang w:eastAsia="en-US"/>
              </w:rPr>
              <w:t>9.2</w:t>
            </w:r>
          </w:p>
        </w:tc>
        <w:tc>
          <w:tcPr>
            <w:tcW w:w="1717" w:type="dxa"/>
            <w:vAlign w:val="center"/>
          </w:tcPr>
          <w:p>
            <w:pPr>
              <w:pStyle w:val="2001"/>
              <w:rPr>
                <w:rFonts w:asciiTheme="minorHAnsi" w:hAnsiTheme="minorHAnsi" w:eastAsiaTheme="minorEastAsia" w:cstheme="minorBidi"/>
                <w:lang w:eastAsia="en-US"/>
              </w:rPr>
            </w:pPr>
            <w:r>
              <w:rPr>
                <w:rFonts w:asciiTheme="minorHAnsi" w:hAnsiTheme="minorHAnsi" w:eastAsiaTheme="minorEastAsia" w:cstheme="minorBidi"/>
                <w:lang w:eastAsia="en-US"/>
              </w:rPr>
              <w:t>6.9</w:t>
            </w:r>
          </w:p>
        </w:tc>
        <w:tc>
          <w:tcPr>
            <w:tcW w:w="913" w:type="dxa"/>
            <w:vAlign w:val="center"/>
          </w:tcPr>
          <w:p>
            <w:pPr>
              <w:pStyle w:val="2001"/>
              <w:rPr>
                <w:rFonts w:asciiTheme="minorHAnsi" w:hAnsiTheme="minorHAnsi" w:eastAsiaTheme="minorEastAsia" w:cstheme="minorBidi"/>
                <w:lang w:eastAsia="en-US"/>
              </w:rPr>
            </w:pPr>
            <w:r>
              <w:rPr>
                <w:rFonts w:asciiTheme="minorHAnsi" w:hAnsiTheme="minorHAnsi" w:eastAsiaTheme="minorEastAsia" w:cstheme="minorBidi"/>
                <w:lang w:eastAsia="en-US"/>
              </w:rPr>
              <w:t>设计船型</w:t>
            </w:r>
          </w:p>
        </w:tc>
      </w:tr>
      <w:tr>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Layout w:type="fixed"/>
          <w:tblCellMar>
            <w:top w:w="0" w:type="dxa"/>
            <w:left w:w="0" w:type="dxa"/>
            <w:bottom w:w="0" w:type="dxa"/>
            <w:right w:w="0" w:type="dxa"/>
          </w:tblCellMar>
        </w:tblPrEx>
        <w:trPr>
          <w:trHeight w:val="383" w:hRule="atLeast"/>
        </w:trPr>
        <w:tc>
          <w:tcPr>
            <w:tcW w:w="1860" w:type="dxa"/>
            <w:vAlign w:val="center"/>
          </w:tcPr>
          <w:p>
            <w:pPr>
              <w:pStyle w:val="2001"/>
              <w:rPr>
                <w:rFonts w:asciiTheme="minorHAnsi" w:hAnsiTheme="minorHAnsi" w:eastAsiaTheme="minorEastAsia" w:cstheme="minorBidi"/>
                <w:lang w:eastAsia="en-US"/>
              </w:rPr>
            </w:pPr>
            <w:r>
              <w:rPr>
                <w:rFonts w:asciiTheme="minorHAnsi" w:hAnsiTheme="minorHAnsi" w:eastAsiaTheme="minorEastAsia" w:cstheme="minorBidi"/>
                <w:lang w:eastAsia="en-US"/>
              </w:rPr>
              <w:t>1万吨级集装箱船</w:t>
            </w:r>
          </w:p>
        </w:tc>
        <w:tc>
          <w:tcPr>
            <w:tcW w:w="1271" w:type="dxa"/>
            <w:vAlign w:val="center"/>
          </w:tcPr>
          <w:p>
            <w:pPr>
              <w:pStyle w:val="2001"/>
              <w:rPr>
                <w:rFonts w:asciiTheme="minorHAnsi" w:hAnsiTheme="minorHAnsi" w:eastAsiaTheme="minorEastAsia" w:cstheme="minorBidi"/>
                <w:lang w:eastAsia="en-US"/>
              </w:rPr>
            </w:pPr>
            <w:r>
              <w:rPr>
                <w:rFonts w:asciiTheme="minorHAnsi" w:hAnsiTheme="minorHAnsi" w:eastAsiaTheme="minorEastAsia" w:cstheme="minorBidi"/>
                <w:lang w:eastAsia="en-US"/>
              </w:rPr>
              <w:t>141</w:t>
            </w:r>
          </w:p>
        </w:tc>
        <w:tc>
          <w:tcPr>
            <w:tcW w:w="1285" w:type="dxa"/>
            <w:vAlign w:val="center"/>
          </w:tcPr>
          <w:p>
            <w:pPr>
              <w:pStyle w:val="2001"/>
              <w:rPr>
                <w:rFonts w:asciiTheme="minorHAnsi" w:hAnsiTheme="minorHAnsi" w:eastAsiaTheme="minorEastAsia" w:cstheme="minorBidi"/>
                <w:lang w:eastAsia="en-US"/>
              </w:rPr>
            </w:pPr>
            <w:r>
              <w:rPr>
                <w:rFonts w:asciiTheme="minorHAnsi" w:hAnsiTheme="minorHAnsi" w:eastAsiaTheme="minorEastAsia" w:cstheme="minorBidi"/>
                <w:lang w:eastAsia="en-US"/>
              </w:rPr>
              <w:t>22.6</w:t>
            </w:r>
          </w:p>
        </w:tc>
        <w:tc>
          <w:tcPr>
            <w:tcW w:w="1296" w:type="dxa"/>
            <w:vAlign w:val="center"/>
          </w:tcPr>
          <w:p>
            <w:pPr>
              <w:pStyle w:val="2001"/>
              <w:rPr>
                <w:rFonts w:asciiTheme="minorHAnsi" w:hAnsiTheme="minorHAnsi" w:eastAsiaTheme="minorEastAsia" w:cstheme="minorBidi"/>
                <w:lang w:eastAsia="en-US"/>
              </w:rPr>
            </w:pPr>
            <w:r>
              <w:rPr>
                <w:rFonts w:asciiTheme="minorHAnsi" w:hAnsiTheme="minorHAnsi" w:eastAsiaTheme="minorEastAsia" w:cstheme="minorBidi"/>
                <w:lang w:eastAsia="en-US"/>
              </w:rPr>
              <w:t>11.3</w:t>
            </w:r>
          </w:p>
        </w:tc>
        <w:tc>
          <w:tcPr>
            <w:tcW w:w="1717" w:type="dxa"/>
            <w:vAlign w:val="center"/>
          </w:tcPr>
          <w:p>
            <w:pPr>
              <w:pStyle w:val="2001"/>
              <w:rPr>
                <w:rFonts w:asciiTheme="minorHAnsi" w:hAnsiTheme="minorHAnsi" w:eastAsiaTheme="minorEastAsia" w:cstheme="minorBidi"/>
                <w:lang w:eastAsia="en-US"/>
              </w:rPr>
            </w:pPr>
            <w:r>
              <w:rPr>
                <w:rFonts w:asciiTheme="minorHAnsi" w:hAnsiTheme="minorHAnsi" w:eastAsiaTheme="minorEastAsia" w:cstheme="minorBidi"/>
                <w:lang w:eastAsia="en-US"/>
              </w:rPr>
              <w:t>8.3</w:t>
            </w:r>
          </w:p>
        </w:tc>
        <w:tc>
          <w:tcPr>
            <w:tcW w:w="913" w:type="dxa"/>
            <w:vAlign w:val="center"/>
          </w:tcPr>
          <w:p>
            <w:pPr>
              <w:pStyle w:val="2001"/>
              <w:rPr>
                <w:rFonts w:asciiTheme="minorHAnsi" w:hAnsiTheme="minorHAnsi" w:eastAsiaTheme="minorEastAsia" w:cstheme="minorBidi"/>
                <w:lang w:eastAsia="en-US"/>
              </w:rPr>
            </w:pPr>
            <w:r>
              <w:rPr>
                <w:rFonts w:asciiTheme="minorHAnsi" w:hAnsiTheme="minorHAnsi" w:eastAsiaTheme="minorEastAsia" w:cstheme="minorBidi"/>
                <w:lang w:eastAsia="en-US"/>
              </w:rPr>
              <w:t>兼顾船型</w:t>
            </w:r>
          </w:p>
        </w:tc>
      </w:tr>
      <w:tr>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Layout w:type="fixed"/>
          <w:tblCellMar>
            <w:top w:w="0" w:type="dxa"/>
            <w:left w:w="0" w:type="dxa"/>
            <w:bottom w:w="0" w:type="dxa"/>
            <w:right w:w="0" w:type="dxa"/>
          </w:tblCellMar>
        </w:tblPrEx>
        <w:trPr>
          <w:trHeight w:val="383" w:hRule="atLeast"/>
        </w:trPr>
        <w:tc>
          <w:tcPr>
            <w:tcW w:w="1860" w:type="dxa"/>
            <w:vAlign w:val="center"/>
          </w:tcPr>
          <w:p>
            <w:pPr>
              <w:pStyle w:val="2001"/>
              <w:rPr>
                <w:rFonts w:asciiTheme="minorHAnsi" w:hAnsiTheme="minorHAnsi" w:eastAsiaTheme="minorEastAsia" w:cstheme="minorBidi"/>
                <w:lang w:eastAsia="en-US"/>
              </w:rPr>
            </w:pPr>
            <w:r>
              <w:rPr>
                <w:rFonts w:asciiTheme="minorHAnsi" w:hAnsiTheme="minorHAnsi" w:eastAsiaTheme="minorEastAsia" w:cstheme="minorBidi"/>
                <w:lang w:eastAsia="en-US"/>
              </w:rPr>
              <w:t>2万吨级集装箱船</w:t>
            </w:r>
          </w:p>
        </w:tc>
        <w:tc>
          <w:tcPr>
            <w:tcW w:w="1271" w:type="dxa"/>
            <w:vAlign w:val="center"/>
          </w:tcPr>
          <w:p>
            <w:pPr>
              <w:pStyle w:val="2001"/>
              <w:rPr>
                <w:rFonts w:asciiTheme="minorHAnsi" w:hAnsiTheme="minorHAnsi" w:eastAsiaTheme="minorEastAsia" w:cstheme="minorBidi"/>
                <w:lang w:eastAsia="en-US"/>
              </w:rPr>
            </w:pPr>
            <w:r>
              <w:rPr>
                <w:rFonts w:asciiTheme="minorHAnsi" w:hAnsiTheme="minorHAnsi" w:eastAsiaTheme="minorEastAsia" w:cstheme="minorBidi"/>
                <w:lang w:eastAsia="en-US"/>
              </w:rPr>
              <w:t>183</w:t>
            </w:r>
          </w:p>
        </w:tc>
        <w:tc>
          <w:tcPr>
            <w:tcW w:w="1285" w:type="dxa"/>
            <w:vAlign w:val="center"/>
          </w:tcPr>
          <w:p>
            <w:pPr>
              <w:pStyle w:val="2001"/>
              <w:rPr>
                <w:rFonts w:asciiTheme="minorHAnsi" w:hAnsiTheme="minorHAnsi" w:eastAsiaTheme="minorEastAsia" w:cstheme="minorBidi"/>
                <w:lang w:eastAsia="en-US"/>
              </w:rPr>
            </w:pPr>
            <w:r>
              <w:rPr>
                <w:rFonts w:asciiTheme="minorHAnsi" w:hAnsiTheme="minorHAnsi" w:eastAsiaTheme="minorEastAsia" w:cstheme="minorBidi"/>
                <w:lang w:eastAsia="en-US"/>
              </w:rPr>
              <w:t>27.6</w:t>
            </w:r>
          </w:p>
        </w:tc>
        <w:tc>
          <w:tcPr>
            <w:tcW w:w="1296" w:type="dxa"/>
            <w:vAlign w:val="center"/>
          </w:tcPr>
          <w:p>
            <w:pPr>
              <w:pStyle w:val="2001"/>
              <w:rPr>
                <w:rFonts w:asciiTheme="minorHAnsi" w:hAnsiTheme="minorHAnsi" w:eastAsiaTheme="minorEastAsia" w:cstheme="minorBidi"/>
                <w:lang w:eastAsia="en-US"/>
              </w:rPr>
            </w:pPr>
            <w:r>
              <w:rPr>
                <w:rFonts w:asciiTheme="minorHAnsi" w:hAnsiTheme="minorHAnsi" w:eastAsiaTheme="minorEastAsia" w:cstheme="minorBidi"/>
                <w:lang w:eastAsia="en-US"/>
              </w:rPr>
              <w:t>14.4</w:t>
            </w:r>
          </w:p>
        </w:tc>
        <w:tc>
          <w:tcPr>
            <w:tcW w:w="1717" w:type="dxa"/>
            <w:vAlign w:val="center"/>
          </w:tcPr>
          <w:p>
            <w:pPr>
              <w:pStyle w:val="2001"/>
              <w:rPr>
                <w:rFonts w:asciiTheme="minorHAnsi" w:hAnsiTheme="minorHAnsi" w:eastAsiaTheme="minorEastAsia" w:cstheme="minorBidi"/>
                <w:lang w:eastAsia="en-US"/>
              </w:rPr>
            </w:pPr>
            <w:r>
              <w:rPr>
                <w:rFonts w:asciiTheme="minorHAnsi" w:hAnsiTheme="minorHAnsi" w:eastAsiaTheme="minorEastAsia" w:cstheme="minorBidi"/>
                <w:lang w:eastAsia="en-US"/>
              </w:rPr>
              <w:t>10.5</w:t>
            </w:r>
          </w:p>
        </w:tc>
        <w:tc>
          <w:tcPr>
            <w:tcW w:w="913" w:type="dxa"/>
            <w:vAlign w:val="center"/>
          </w:tcPr>
          <w:p>
            <w:pPr>
              <w:pStyle w:val="2001"/>
              <w:rPr>
                <w:rFonts w:asciiTheme="minorHAnsi" w:hAnsiTheme="minorHAnsi" w:eastAsiaTheme="minorEastAsia" w:cstheme="minorBidi"/>
                <w:lang w:eastAsia="en-US"/>
              </w:rPr>
            </w:pPr>
            <w:r>
              <w:rPr>
                <w:rFonts w:asciiTheme="minorHAnsi" w:hAnsiTheme="minorHAnsi" w:eastAsiaTheme="minorEastAsia" w:cstheme="minorBidi"/>
                <w:lang w:eastAsia="en-US"/>
              </w:rPr>
              <w:t>设计船型</w:t>
            </w:r>
          </w:p>
        </w:tc>
      </w:tr>
      <w:tr>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Layout w:type="fixed"/>
          <w:tblCellMar>
            <w:top w:w="0" w:type="dxa"/>
            <w:left w:w="0" w:type="dxa"/>
            <w:bottom w:w="0" w:type="dxa"/>
            <w:right w:w="0" w:type="dxa"/>
          </w:tblCellMar>
        </w:tblPrEx>
        <w:trPr>
          <w:trHeight w:val="383" w:hRule="atLeast"/>
        </w:trPr>
        <w:tc>
          <w:tcPr>
            <w:tcW w:w="1860" w:type="dxa"/>
            <w:vAlign w:val="center"/>
          </w:tcPr>
          <w:p>
            <w:pPr>
              <w:pStyle w:val="2001"/>
              <w:rPr>
                <w:rFonts w:asciiTheme="minorHAnsi" w:hAnsiTheme="minorHAnsi" w:eastAsiaTheme="minorEastAsia" w:cstheme="minorBidi"/>
                <w:lang w:eastAsia="en-US"/>
              </w:rPr>
            </w:pPr>
            <w:r>
              <w:rPr>
                <w:rFonts w:asciiTheme="minorHAnsi" w:hAnsiTheme="minorHAnsi" w:eastAsiaTheme="minorEastAsia" w:cstheme="minorBidi"/>
                <w:lang w:eastAsia="en-US"/>
              </w:rPr>
              <w:t>3万吨级集装箱船</w:t>
            </w:r>
          </w:p>
        </w:tc>
        <w:tc>
          <w:tcPr>
            <w:tcW w:w="1271" w:type="dxa"/>
            <w:vAlign w:val="center"/>
          </w:tcPr>
          <w:p>
            <w:pPr>
              <w:pStyle w:val="2001"/>
              <w:rPr>
                <w:rFonts w:asciiTheme="minorHAnsi" w:hAnsiTheme="minorHAnsi" w:eastAsiaTheme="minorEastAsia" w:cstheme="minorBidi"/>
                <w:lang w:eastAsia="en-US"/>
              </w:rPr>
            </w:pPr>
            <w:r>
              <w:rPr>
                <w:rFonts w:asciiTheme="minorHAnsi" w:hAnsiTheme="minorHAnsi" w:eastAsiaTheme="minorEastAsia" w:cstheme="minorBidi"/>
                <w:lang w:eastAsia="en-US"/>
              </w:rPr>
              <w:t>241</w:t>
            </w:r>
          </w:p>
        </w:tc>
        <w:tc>
          <w:tcPr>
            <w:tcW w:w="1285" w:type="dxa"/>
            <w:vAlign w:val="center"/>
          </w:tcPr>
          <w:p>
            <w:pPr>
              <w:pStyle w:val="2001"/>
              <w:rPr>
                <w:rFonts w:asciiTheme="minorHAnsi" w:hAnsiTheme="minorHAnsi" w:eastAsiaTheme="minorEastAsia" w:cstheme="minorBidi"/>
                <w:lang w:eastAsia="en-US"/>
              </w:rPr>
            </w:pPr>
            <w:r>
              <w:rPr>
                <w:rFonts w:asciiTheme="minorHAnsi" w:hAnsiTheme="minorHAnsi" w:eastAsiaTheme="minorEastAsia" w:cstheme="minorBidi"/>
                <w:lang w:eastAsia="en-US"/>
              </w:rPr>
              <w:t>32.3</w:t>
            </w:r>
          </w:p>
        </w:tc>
        <w:tc>
          <w:tcPr>
            <w:tcW w:w="1296" w:type="dxa"/>
            <w:vAlign w:val="center"/>
          </w:tcPr>
          <w:p>
            <w:pPr>
              <w:pStyle w:val="2001"/>
              <w:rPr>
                <w:rFonts w:asciiTheme="minorHAnsi" w:hAnsiTheme="minorHAnsi" w:eastAsiaTheme="minorEastAsia" w:cstheme="minorBidi"/>
                <w:lang w:eastAsia="en-US"/>
              </w:rPr>
            </w:pPr>
            <w:r>
              <w:rPr>
                <w:rFonts w:asciiTheme="minorHAnsi" w:hAnsiTheme="minorHAnsi" w:eastAsiaTheme="minorEastAsia" w:cstheme="minorBidi"/>
                <w:lang w:eastAsia="en-US"/>
              </w:rPr>
              <w:t>19.0</w:t>
            </w:r>
          </w:p>
        </w:tc>
        <w:tc>
          <w:tcPr>
            <w:tcW w:w="1717" w:type="dxa"/>
            <w:vAlign w:val="center"/>
          </w:tcPr>
          <w:p>
            <w:pPr>
              <w:pStyle w:val="2001"/>
              <w:rPr>
                <w:rFonts w:asciiTheme="minorHAnsi" w:hAnsiTheme="minorHAnsi" w:eastAsiaTheme="minorEastAsia" w:cstheme="minorBidi"/>
                <w:lang w:eastAsia="en-US"/>
              </w:rPr>
            </w:pPr>
            <w:r>
              <w:rPr>
                <w:rFonts w:asciiTheme="minorHAnsi" w:hAnsiTheme="minorHAnsi" w:eastAsiaTheme="minorEastAsia" w:cstheme="minorBidi"/>
                <w:lang w:eastAsia="en-US"/>
              </w:rPr>
              <w:t>12.0</w:t>
            </w:r>
          </w:p>
        </w:tc>
        <w:tc>
          <w:tcPr>
            <w:tcW w:w="913" w:type="dxa"/>
            <w:vAlign w:val="center"/>
          </w:tcPr>
          <w:p>
            <w:pPr>
              <w:pStyle w:val="2001"/>
              <w:rPr>
                <w:rFonts w:asciiTheme="minorHAnsi" w:hAnsiTheme="minorHAnsi" w:eastAsiaTheme="minorEastAsia" w:cstheme="minorBidi"/>
                <w:lang w:eastAsia="en-US"/>
              </w:rPr>
            </w:pPr>
            <w:r>
              <w:rPr>
                <w:rFonts w:asciiTheme="minorHAnsi" w:hAnsiTheme="minorHAnsi" w:eastAsiaTheme="minorEastAsia" w:cstheme="minorBidi"/>
                <w:lang w:eastAsia="en-US"/>
              </w:rPr>
              <w:t>兼顾船型</w:t>
            </w:r>
          </w:p>
        </w:tc>
      </w:tr>
      <w:tr>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Layout w:type="fixed"/>
          <w:tblCellMar>
            <w:top w:w="0" w:type="dxa"/>
            <w:left w:w="0" w:type="dxa"/>
            <w:bottom w:w="0" w:type="dxa"/>
            <w:right w:w="0" w:type="dxa"/>
          </w:tblCellMar>
        </w:tblPrEx>
        <w:trPr>
          <w:trHeight w:val="383" w:hRule="atLeast"/>
        </w:trPr>
        <w:tc>
          <w:tcPr>
            <w:tcW w:w="1860" w:type="dxa"/>
            <w:vAlign w:val="center"/>
          </w:tcPr>
          <w:p>
            <w:pPr>
              <w:pStyle w:val="2001"/>
              <w:rPr>
                <w:rFonts w:asciiTheme="minorHAnsi" w:hAnsiTheme="minorHAnsi" w:eastAsiaTheme="minorEastAsia" w:cstheme="minorBidi"/>
                <w:lang w:eastAsia="en-US"/>
              </w:rPr>
            </w:pPr>
            <w:r>
              <w:rPr>
                <w:rFonts w:asciiTheme="minorHAnsi" w:hAnsiTheme="minorHAnsi" w:eastAsiaTheme="minorEastAsia" w:cstheme="minorBidi"/>
                <w:lang w:eastAsia="en-US"/>
              </w:rPr>
              <w:t>5万吨级集装箱船</w:t>
            </w:r>
          </w:p>
        </w:tc>
        <w:tc>
          <w:tcPr>
            <w:tcW w:w="1271" w:type="dxa"/>
            <w:vAlign w:val="center"/>
          </w:tcPr>
          <w:p>
            <w:pPr>
              <w:pStyle w:val="2001"/>
              <w:rPr>
                <w:rFonts w:asciiTheme="minorHAnsi" w:hAnsiTheme="minorHAnsi" w:eastAsiaTheme="minorEastAsia" w:cstheme="minorBidi"/>
                <w:lang w:eastAsia="en-US"/>
              </w:rPr>
            </w:pPr>
            <w:r>
              <w:rPr>
                <w:rFonts w:asciiTheme="minorHAnsi" w:hAnsiTheme="minorHAnsi" w:eastAsiaTheme="minorEastAsia" w:cstheme="minorBidi"/>
                <w:lang w:eastAsia="en-US"/>
              </w:rPr>
              <w:t>293</w:t>
            </w:r>
          </w:p>
        </w:tc>
        <w:tc>
          <w:tcPr>
            <w:tcW w:w="1285" w:type="dxa"/>
            <w:vAlign w:val="center"/>
          </w:tcPr>
          <w:p>
            <w:pPr>
              <w:pStyle w:val="2001"/>
              <w:rPr>
                <w:rFonts w:asciiTheme="minorHAnsi" w:hAnsiTheme="minorHAnsi" w:eastAsiaTheme="minorEastAsia" w:cstheme="minorBidi"/>
                <w:lang w:eastAsia="en-US"/>
              </w:rPr>
            </w:pPr>
            <w:r>
              <w:rPr>
                <w:rFonts w:asciiTheme="minorHAnsi" w:hAnsiTheme="minorHAnsi" w:eastAsiaTheme="minorEastAsia" w:cstheme="minorBidi"/>
                <w:lang w:eastAsia="en-US"/>
              </w:rPr>
              <w:t>32.3</w:t>
            </w:r>
          </w:p>
        </w:tc>
        <w:tc>
          <w:tcPr>
            <w:tcW w:w="1296" w:type="dxa"/>
            <w:vAlign w:val="center"/>
          </w:tcPr>
          <w:p>
            <w:pPr>
              <w:pStyle w:val="2001"/>
              <w:rPr>
                <w:rFonts w:asciiTheme="minorHAnsi" w:hAnsiTheme="minorHAnsi" w:eastAsiaTheme="minorEastAsia" w:cstheme="minorBidi"/>
                <w:lang w:eastAsia="en-US"/>
              </w:rPr>
            </w:pPr>
            <w:r>
              <w:rPr>
                <w:rFonts w:asciiTheme="minorHAnsi" w:hAnsiTheme="minorHAnsi" w:eastAsiaTheme="minorEastAsia" w:cstheme="minorBidi"/>
                <w:lang w:eastAsia="en-US"/>
              </w:rPr>
              <w:t>21.8</w:t>
            </w:r>
          </w:p>
        </w:tc>
        <w:tc>
          <w:tcPr>
            <w:tcW w:w="1717" w:type="dxa"/>
            <w:vAlign w:val="center"/>
          </w:tcPr>
          <w:p>
            <w:pPr>
              <w:pStyle w:val="2001"/>
              <w:rPr>
                <w:rFonts w:asciiTheme="minorHAnsi" w:hAnsiTheme="minorHAnsi" w:eastAsiaTheme="minorEastAsia" w:cstheme="minorBidi"/>
                <w:lang w:eastAsia="en-US"/>
              </w:rPr>
            </w:pPr>
            <w:r>
              <w:rPr>
                <w:rFonts w:asciiTheme="minorHAnsi" w:hAnsiTheme="minorHAnsi" w:eastAsiaTheme="minorEastAsia" w:cstheme="minorBidi"/>
                <w:lang w:eastAsia="en-US"/>
              </w:rPr>
              <w:t>13.0</w:t>
            </w:r>
          </w:p>
        </w:tc>
        <w:tc>
          <w:tcPr>
            <w:tcW w:w="913" w:type="dxa"/>
            <w:vAlign w:val="center"/>
          </w:tcPr>
          <w:p>
            <w:pPr>
              <w:pStyle w:val="2001"/>
              <w:rPr>
                <w:rFonts w:asciiTheme="minorHAnsi" w:hAnsiTheme="minorHAnsi" w:eastAsiaTheme="minorEastAsia" w:cstheme="minorBidi"/>
                <w:lang w:eastAsia="en-US"/>
              </w:rPr>
            </w:pPr>
            <w:r>
              <w:rPr>
                <w:rFonts w:asciiTheme="minorHAnsi" w:hAnsiTheme="minorHAnsi" w:eastAsiaTheme="minorEastAsia" w:cstheme="minorBidi"/>
                <w:lang w:eastAsia="en-US"/>
              </w:rPr>
              <w:t>兼顾船型</w:t>
            </w:r>
          </w:p>
        </w:tc>
      </w:tr>
      <w:tr>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Layout w:type="fixed"/>
          <w:tblCellMar>
            <w:top w:w="0" w:type="dxa"/>
            <w:left w:w="0" w:type="dxa"/>
            <w:bottom w:w="0" w:type="dxa"/>
            <w:right w:w="0" w:type="dxa"/>
          </w:tblCellMar>
        </w:tblPrEx>
        <w:trPr>
          <w:trHeight w:val="378" w:hRule="atLeast"/>
        </w:trPr>
        <w:tc>
          <w:tcPr>
            <w:tcW w:w="1860" w:type="dxa"/>
            <w:vAlign w:val="center"/>
          </w:tcPr>
          <w:p>
            <w:pPr>
              <w:pStyle w:val="2001"/>
              <w:rPr>
                <w:rFonts w:asciiTheme="minorHAnsi" w:hAnsiTheme="minorHAnsi" w:eastAsiaTheme="minorEastAsia" w:cstheme="minorBidi"/>
                <w:lang w:eastAsia="en-US"/>
              </w:rPr>
            </w:pPr>
            <w:r>
              <w:rPr>
                <w:rFonts w:asciiTheme="minorHAnsi" w:hAnsiTheme="minorHAnsi" w:eastAsiaTheme="minorEastAsia" w:cstheme="minorBidi"/>
                <w:lang w:eastAsia="en-US"/>
              </w:rPr>
              <w:t>7万吨级集装箱船</w:t>
            </w:r>
          </w:p>
        </w:tc>
        <w:tc>
          <w:tcPr>
            <w:tcW w:w="1271" w:type="dxa"/>
            <w:vAlign w:val="center"/>
          </w:tcPr>
          <w:p>
            <w:pPr>
              <w:pStyle w:val="2001"/>
              <w:rPr>
                <w:rFonts w:asciiTheme="minorHAnsi" w:hAnsiTheme="minorHAnsi" w:eastAsiaTheme="minorEastAsia" w:cstheme="minorBidi"/>
                <w:lang w:eastAsia="en-US"/>
              </w:rPr>
            </w:pPr>
            <w:r>
              <w:rPr>
                <w:rFonts w:asciiTheme="minorHAnsi" w:hAnsiTheme="minorHAnsi" w:eastAsiaTheme="minorEastAsia" w:cstheme="minorBidi"/>
                <w:lang w:eastAsia="en-US"/>
              </w:rPr>
              <w:t>300</w:t>
            </w:r>
          </w:p>
        </w:tc>
        <w:tc>
          <w:tcPr>
            <w:tcW w:w="1285" w:type="dxa"/>
            <w:vAlign w:val="center"/>
          </w:tcPr>
          <w:p>
            <w:pPr>
              <w:pStyle w:val="2001"/>
              <w:rPr>
                <w:rFonts w:asciiTheme="minorHAnsi" w:hAnsiTheme="minorHAnsi" w:eastAsiaTheme="minorEastAsia" w:cstheme="minorBidi"/>
                <w:lang w:eastAsia="en-US"/>
              </w:rPr>
            </w:pPr>
            <w:r>
              <w:rPr>
                <w:rFonts w:asciiTheme="minorHAnsi" w:hAnsiTheme="minorHAnsi" w:eastAsiaTheme="minorEastAsia" w:cstheme="minorBidi"/>
                <w:lang w:eastAsia="en-US"/>
              </w:rPr>
              <w:t>40.3</w:t>
            </w:r>
          </w:p>
        </w:tc>
        <w:tc>
          <w:tcPr>
            <w:tcW w:w="1296" w:type="dxa"/>
            <w:vAlign w:val="center"/>
          </w:tcPr>
          <w:p>
            <w:pPr>
              <w:pStyle w:val="2001"/>
              <w:rPr>
                <w:rFonts w:asciiTheme="minorHAnsi" w:hAnsiTheme="minorHAnsi" w:eastAsiaTheme="minorEastAsia" w:cstheme="minorBidi"/>
                <w:lang w:eastAsia="en-US"/>
              </w:rPr>
            </w:pPr>
            <w:r>
              <w:rPr>
                <w:rFonts w:asciiTheme="minorHAnsi" w:hAnsiTheme="minorHAnsi" w:eastAsiaTheme="minorEastAsia" w:cstheme="minorBidi"/>
                <w:lang w:eastAsia="en-US"/>
              </w:rPr>
              <w:t>24.3</w:t>
            </w:r>
          </w:p>
        </w:tc>
        <w:tc>
          <w:tcPr>
            <w:tcW w:w="1717" w:type="dxa"/>
            <w:vAlign w:val="center"/>
          </w:tcPr>
          <w:p>
            <w:pPr>
              <w:pStyle w:val="2001"/>
              <w:rPr>
                <w:rFonts w:asciiTheme="minorHAnsi" w:hAnsiTheme="minorHAnsi" w:eastAsiaTheme="minorEastAsia" w:cstheme="minorBidi"/>
                <w:lang w:eastAsia="en-US"/>
              </w:rPr>
            </w:pPr>
            <w:r>
              <w:rPr>
                <w:rFonts w:asciiTheme="minorHAnsi" w:hAnsiTheme="minorHAnsi" w:eastAsiaTheme="minorEastAsia" w:cstheme="minorBidi"/>
                <w:lang w:eastAsia="en-US"/>
              </w:rPr>
              <w:t>14.0</w:t>
            </w:r>
          </w:p>
        </w:tc>
        <w:tc>
          <w:tcPr>
            <w:tcW w:w="913" w:type="dxa"/>
            <w:vAlign w:val="center"/>
          </w:tcPr>
          <w:p>
            <w:pPr>
              <w:pStyle w:val="2001"/>
              <w:rPr>
                <w:rFonts w:asciiTheme="minorHAnsi" w:hAnsiTheme="minorHAnsi" w:eastAsiaTheme="minorEastAsia" w:cstheme="minorBidi"/>
                <w:lang w:eastAsia="en-US"/>
              </w:rPr>
            </w:pPr>
            <w:r>
              <w:rPr>
                <w:rFonts w:asciiTheme="minorHAnsi" w:hAnsiTheme="minorHAnsi" w:eastAsiaTheme="minorEastAsia" w:cstheme="minorBidi"/>
                <w:lang w:eastAsia="en-US"/>
              </w:rPr>
              <w:t>兼顾船型</w:t>
            </w:r>
          </w:p>
        </w:tc>
      </w:tr>
      <w:tr>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Layout w:type="fixed"/>
          <w:tblCellMar>
            <w:top w:w="0" w:type="dxa"/>
            <w:left w:w="0" w:type="dxa"/>
            <w:bottom w:w="0" w:type="dxa"/>
            <w:right w:w="0" w:type="dxa"/>
          </w:tblCellMar>
        </w:tblPrEx>
        <w:trPr>
          <w:trHeight w:val="365" w:hRule="atLeast"/>
        </w:trPr>
        <w:tc>
          <w:tcPr>
            <w:tcW w:w="1860" w:type="dxa"/>
            <w:vAlign w:val="center"/>
          </w:tcPr>
          <w:p>
            <w:pPr>
              <w:pStyle w:val="2001"/>
              <w:rPr>
                <w:rFonts w:asciiTheme="minorHAnsi" w:hAnsiTheme="minorHAnsi" w:eastAsiaTheme="minorEastAsia" w:cstheme="minorBidi"/>
                <w:lang w:eastAsia="en-US"/>
              </w:rPr>
            </w:pPr>
            <w:r>
              <w:rPr>
                <w:rFonts w:asciiTheme="minorHAnsi" w:hAnsiTheme="minorHAnsi" w:eastAsiaTheme="minorEastAsia" w:cstheme="minorBidi"/>
                <w:lang w:eastAsia="en-US"/>
              </w:rPr>
              <w:t>10万吨级集装箱船</w:t>
            </w:r>
          </w:p>
        </w:tc>
        <w:tc>
          <w:tcPr>
            <w:tcW w:w="1271" w:type="dxa"/>
            <w:vAlign w:val="center"/>
          </w:tcPr>
          <w:p>
            <w:pPr>
              <w:pStyle w:val="2001"/>
              <w:rPr>
                <w:rFonts w:asciiTheme="minorHAnsi" w:hAnsiTheme="minorHAnsi" w:eastAsiaTheme="minorEastAsia" w:cstheme="minorBidi"/>
                <w:lang w:eastAsia="en-US"/>
              </w:rPr>
            </w:pPr>
            <w:r>
              <w:rPr>
                <w:rFonts w:asciiTheme="minorHAnsi" w:hAnsiTheme="minorHAnsi" w:eastAsiaTheme="minorEastAsia" w:cstheme="minorBidi"/>
                <w:lang w:eastAsia="en-US"/>
              </w:rPr>
              <w:t>346</w:t>
            </w:r>
          </w:p>
        </w:tc>
        <w:tc>
          <w:tcPr>
            <w:tcW w:w="1285" w:type="dxa"/>
            <w:vAlign w:val="center"/>
          </w:tcPr>
          <w:p>
            <w:pPr>
              <w:pStyle w:val="2001"/>
              <w:rPr>
                <w:rFonts w:asciiTheme="minorHAnsi" w:hAnsiTheme="minorHAnsi" w:eastAsiaTheme="minorEastAsia" w:cstheme="minorBidi"/>
                <w:lang w:eastAsia="en-US"/>
              </w:rPr>
            </w:pPr>
            <w:r>
              <w:rPr>
                <w:rFonts w:asciiTheme="minorHAnsi" w:hAnsiTheme="minorHAnsi" w:eastAsiaTheme="minorEastAsia" w:cstheme="minorBidi"/>
                <w:lang w:eastAsia="en-US"/>
              </w:rPr>
              <w:t>45.6</w:t>
            </w:r>
          </w:p>
        </w:tc>
        <w:tc>
          <w:tcPr>
            <w:tcW w:w="1296" w:type="dxa"/>
            <w:vAlign w:val="center"/>
          </w:tcPr>
          <w:p>
            <w:pPr>
              <w:pStyle w:val="2001"/>
              <w:rPr>
                <w:rFonts w:asciiTheme="minorHAnsi" w:hAnsiTheme="minorHAnsi" w:eastAsiaTheme="minorEastAsia" w:cstheme="minorBidi"/>
                <w:lang w:eastAsia="en-US"/>
              </w:rPr>
            </w:pPr>
            <w:r>
              <w:rPr>
                <w:rFonts w:asciiTheme="minorHAnsi" w:hAnsiTheme="minorHAnsi" w:eastAsiaTheme="minorEastAsia" w:cstheme="minorBidi"/>
                <w:lang w:eastAsia="en-US"/>
              </w:rPr>
              <w:t>24.8</w:t>
            </w:r>
          </w:p>
        </w:tc>
        <w:tc>
          <w:tcPr>
            <w:tcW w:w="1717" w:type="dxa"/>
            <w:vAlign w:val="center"/>
          </w:tcPr>
          <w:p>
            <w:pPr>
              <w:pStyle w:val="2001"/>
              <w:rPr>
                <w:rFonts w:asciiTheme="minorHAnsi" w:hAnsiTheme="minorHAnsi" w:eastAsiaTheme="minorEastAsia" w:cstheme="minorBidi"/>
                <w:lang w:eastAsia="en-US"/>
              </w:rPr>
            </w:pPr>
            <w:r>
              <w:rPr>
                <w:rFonts w:asciiTheme="minorHAnsi" w:hAnsiTheme="minorHAnsi" w:eastAsiaTheme="minorEastAsia" w:cstheme="minorBidi"/>
                <w:lang w:eastAsia="en-US"/>
              </w:rPr>
              <w:t>14.5</w:t>
            </w:r>
          </w:p>
        </w:tc>
        <w:tc>
          <w:tcPr>
            <w:tcW w:w="913" w:type="dxa"/>
            <w:vAlign w:val="center"/>
          </w:tcPr>
          <w:p>
            <w:pPr>
              <w:pStyle w:val="2001"/>
              <w:rPr>
                <w:rFonts w:asciiTheme="minorHAnsi" w:hAnsiTheme="minorHAnsi" w:eastAsiaTheme="minorEastAsia" w:cstheme="minorBidi"/>
                <w:lang w:eastAsia="en-US"/>
              </w:rPr>
            </w:pPr>
            <w:r>
              <w:rPr>
                <w:rFonts w:asciiTheme="minorHAnsi" w:hAnsiTheme="minorHAnsi" w:eastAsiaTheme="minorEastAsia" w:cstheme="minorBidi"/>
                <w:lang w:eastAsia="en-US"/>
              </w:rPr>
              <w:t>兼顾船型</w:t>
            </w:r>
          </w:p>
        </w:tc>
      </w:tr>
      <w:tr>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Layout w:type="fixed"/>
          <w:tblCellMar>
            <w:top w:w="0" w:type="dxa"/>
            <w:left w:w="0" w:type="dxa"/>
            <w:bottom w:w="0" w:type="dxa"/>
            <w:right w:w="0" w:type="dxa"/>
          </w:tblCellMar>
        </w:tblPrEx>
        <w:trPr>
          <w:trHeight w:val="368" w:hRule="atLeast"/>
        </w:trPr>
        <w:tc>
          <w:tcPr>
            <w:tcW w:w="1860" w:type="dxa"/>
            <w:vAlign w:val="center"/>
          </w:tcPr>
          <w:p>
            <w:pPr>
              <w:pStyle w:val="2001"/>
              <w:rPr>
                <w:rFonts w:asciiTheme="minorHAnsi" w:hAnsiTheme="minorHAnsi" w:eastAsiaTheme="minorEastAsia" w:cstheme="minorBidi"/>
                <w:lang w:eastAsia="en-US"/>
              </w:rPr>
            </w:pPr>
            <w:r>
              <w:rPr>
                <w:rFonts w:asciiTheme="minorHAnsi" w:hAnsiTheme="minorHAnsi" w:eastAsiaTheme="minorEastAsia" w:cstheme="minorBidi"/>
                <w:lang w:eastAsia="en-US"/>
              </w:rPr>
              <w:t>12万吨级集装箱船</w:t>
            </w:r>
          </w:p>
        </w:tc>
        <w:tc>
          <w:tcPr>
            <w:tcW w:w="1271" w:type="dxa"/>
            <w:vAlign w:val="center"/>
          </w:tcPr>
          <w:p>
            <w:pPr>
              <w:pStyle w:val="2001"/>
              <w:rPr>
                <w:rFonts w:asciiTheme="minorHAnsi" w:hAnsiTheme="minorHAnsi" w:eastAsiaTheme="minorEastAsia" w:cstheme="minorBidi"/>
                <w:lang w:eastAsia="en-US"/>
              </w:rPr>
            </w:pPr>
            <w:r>
              <w:rPr>
                <w:rFonts w:asciiTheme="minorHAnsi" w:hAnsiTheme="minorHAnsi" w:eastAsiaTheme="minorEastAsia" w:cstheme="minorBidi"/>
                <w:lang w:eastAsia="en-US"/>
              </w:rPr>
              <w:t>367</w:t>
            </w:r>
          </w:p>
        </w:tc>
        <w:tc>
          <w:tcPr>
            <w:tcW w:w="1285" w:type="dxa"/>
            <w:vAlign w:val="center"/>
          </w:tcPr>
          <w:p>
            <w:pPr>
              <w:pStyle w:val="2001"/>
              <w:rPr>
                <w:rFonts w:asciiTheme="minorHAnsi" w:hAnsiTheme="minorHAnsi" w:eastAsiaTheme="minorEastAsia" w:cstheme="minorBidi"/>
                <w:lang w:eastAsia="en-US"/>
              </w:rPr>
            </w:pPr>
            <w:r>
              <w:rPr>
                <w:rFonts w:asciiTheme="minorHAnsi" w:hAnsiTheme="minorHAnsi" w:eastAsiaTheme="minorEastAsia" w:cstheme="minorBidi"/>
                <w:lang w:eastAsia="en-US"/>
              </w:rPr>
              <w:t>48.2</w:t>
            </w:r>
          </w:p>
        </w:tc>
        <w:tc>
          <w:tcPr>
            <w:tcW w:w="1296" w:type="dxa"/>
            <w:vAlign w:val="center"/>
          </w:tcPr>
          <w:p>
            <w:pPr>
              <w:pStyle w:val="2001"/>
              <w:rPr>
                <w:rFonts w:asciiTheme="minorHAnsi" w:hAnsiTheme="minorHAnsi" w:eastAsiaTheme="minorEastAsia" w:cstheme="minorBidi"/>
                <w:lang w:eastAsia="en-US"/>
              </w:rPr>
            </w:pPr>
            <w:r>
              <w:rPr>
                <w:rFonts w:asciiTheme="minorHAnsi" w:hAnsiTheme="minorHAnsi" w:eastAsiaTheme="minorEastAsia" w:cstheme="minorBidi"/>
                <w:lang w:eastAsia="en-US"/>
              </w:rPr>
              <w:t>29.7</w:t>
            </w:r>
          </w:p>
        </w:tc>
        <w:tc>
          <w:tcPr>
            <w:tcW w:w="1717" w:type="dxa"/>
            <w:vAlign w:val="center"/>
          </w:tcPr>
          <w:p>
            <w:pPr>
              <w:pStyle w:val="2001"/>
              <w:rPr>
                <w:rFonts w:asciiTheme="minorHAnsi" w:hAnsiTheme="minorHAnsi" w:eastAsiaTheme="minorEastAsia" w:cstheme="minorBidi"/>
                <w:lang w:eastAsia="en-US"/>
              </w:rPr>
            </w:pPr>
            <w:r>
              <w:rPr>
                <w:rFonts w:asciiTheme="minorHAnsi" w:hAnsiTheme="minorHAnsi" w:eastAsiaTheme="minorEastAsia" w:cstheme="minorBidi"/>
                <w:lang w:eastAsia="en-US"/>
              </w:rPr>
              <w:t>15.5</w:t>
            </w:r>
          </w:p>
        </w:tc>
        <w:tc>
          <w:tcPr>
            <w:tcW w:w="913" w:type="dxa"/>
            <w:vAlign w:val="center"/>
          </w:tcPr>
          <w:p>
            <w:pPr>
              <w:pStyle w:val="2001"/>
              <w:rPr>
                <w:rFonts w:asciiTheme="minorHAnsi" w:hAnsiTheme="minorHAnsi" w:eastAsiaTheme="minorEastAsia" w:cstheme="minorBidi"/>
                <w:lang w:eastAsia="en-US"/>
              </w:rPr>
            </w:pPr>
            <w:r>
              <w:rPr>
                <w:rFonts w:asciiTheme="minorHAnsi" w:hAnsiTheme="minorHAnsi" w:eastAsiaTheme="minorEastAsia" w:cstheme="minorBidi"/>
                <w:lang w:eastAsia="en-US"/>
              </w:rPr>
              <w:t>兼顾船型</w:t>
            </w:r>
          </w:p>
        </w:tc>
      </w:tr>
      <w:tr>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Layout w:type="fixed"/>
          <w:tblCellMar>
            <w:top w:w="0" w:type="dxa"/>
            <w:left w:w="0" w:type="dxa"/>
            <w:bottom w:w="0" w:type="dxa"/>
            <w:right w:w="0" w:type="dxa"/>
          </w:tblCellMar>
        </w:tblPrEx>
        <w:trPr>
          <w:trHeight w:val="375" w:hRule="atLeast"/>
        </w:trPr>
        <w:tc>
          <w:tcPr>
            <w:tcW w:w="1860" w:type="dxa"/>
            <w:vAlign w:val="center"/>
          </w:tcPr>
          <w:p>
            <w:pPr>
              <w:pStyle w:val="2001"/>
              <w:rPr>
                <w:rFonts w:asciiTheme="minorHAnsi" w:hAnsiTheme="minorHAnsi" w:eastAsiaTheme="minorEastAsia" w:cstheme="minorBidi"/>
                <w:lang w:eastAsia="en-US"/>
              </w:rPr>
            </w:pPr>
            <w:r>
              <w:rPr>
                <w:rFonts w:asciiTheme="minorHAnsi" w:hAnsiTheme="minorHAnsi" w:eastAsiaTheme="minorEastAsia" w:cstheme="minorBidi"/>
                <w:lang w:eastAsia="en-US"/>
              </w:rPr>
              <w:t>15万吨级集装箱船</w:t>
            </w:r>
          </w:p>
        </w:tc>
        <w:tc>
          <w:tcPr>
            <w:tcW w:w="1271" w:type="dxa"/>
            <w:vAlign w:val="center"/>
          </w:tcPr>
          <w:p>
            <w:pPr>
              <w:pStyle w:val="2001"/>
              <w:rPr>
                <w:rFonts w:asciiTheme="minorHAnsi" w:hAnsiTheme="minorHAnsi" w:eastAsiaTheme="minorEastAsia" w:cstheme="minorBidi"/>
                <w:lang w:eastAsia="en-US"/>
              </w:rPr>
            </w:pPr>
            <w:r>
              <w:rPr>
                <w:rFonts w:asciiTheme="minorHAnsi" w:hAnsiTheme="minorHAnsi" w:eastAsiaTheme="minorEastAsia" w:cstheme="minorBidi"/>
                <w:lang w:eastAsia="en-US"/>
              </w:rPr>
              <w:t>367</w:t>
            </w:r>
          </w:p>
        </w:tc>
        <w:tc>
          <w:tcPr>
            <w:tcW w:w="1285" w:type="dxa"/>
            <w:vAlign w:val="center"/>
          </w:tcPr>
          <w:p>
            <w:pPr>
              <w:pStyle w:val="2001"/>
              <w:rPr>
                <w:rFonts w:asciiTheme="minorHAnsi" w:hAnsiTheme="minorHAnsi" w:eastAsiaTheme="minorEastAsia" w:cstheme="minorBidi"/>
                <w:lang w:eastAsia="en-US"/>
              </w:rPr>
            </w:pPr>
            <w:r>
              <w:rPr>
                <w:rFonts w:asciiTheme="minorHAnsi" w:hAnsiTheme="minorHAnsi" w:eastAsiaTheme="minorEastAsia" w:cstheme="minorBidi"/>
                <w:lang w:eastAsia="en-US"/>
              </w:rPr>
              <w:t>51.2</w:t>
            </w:r>
          </w:p>
        </w:tc>
        <w:tc>
          <w:tcPr>
            <w:tcW w:w="1296" w:type="dxa"/>
            <w:vAlign w:val="center"/>
          </w:tcPr>
          <w:p>
            <w:pPr>
              <w:pStyle w:val="2001"/>
              <w:rPr>
                <w:rFonts w:asciiTheme="minorHAnsi" w:hAnsiTheme="minorHAnsi" w:eastAsiaTheme="minorEastAsia" w:cstheme="minorBidi"/>
                <w:lang w:eastAsia="en-US"/>
              </w:rPr>
            </w:pPr>
            <w:r>
              <w:rPr>
                <w:rFonts w:asciiTheme="minorHAnsi" w:hAnsiTheme="minorHAnsi" w:eastAsiaTheme="minorEastAsia" w:cstheme="minorBidi"/>
                <w:lang w:eastAsia="en-US"/>
              </w:rPr>
              <w:t>29.9</w:t>
            </w:r>
          </w:p>
        </w:tc>
        <w:tc>
          <w:tcPr>
            <w:tcW w:w="1717" w:type="dxa"/>
            <w:vAlign w:val="center"/>
          </w:tcPr>
          <w:p>
            <w:pPr>
              <w:pStyle w:val="2001"/>
              <w:rPr>
                <w:rFonts w:asciiTheme="minorHAnsi" w:hAnsiTheme="minorHAnsi" w:eastAsiaTheme="minorEastAsia" w:cstheme="minorBidi"/>
                <w:lang w:eastAsia="en-US"/>
              </w:rPr>
            </w:pPr>
            <w:r>
              <w:rPr>
                <w:rFonts w:asciiTheme="minorHAnsi" w:hAnsiTheme="minorHAnsi" w:eastAsiaTheme="minorEastAsia" w:cstheme="minorBidi"/>
                <w:lang w:eastAsia="en-US"/>
              </w:rPr>
              <w:t>16.0</w:t>
            </w:r>
          </w:p>
        </w:tc>
        <w:tc>
          <w:tcPr>
            <w:tcW w:w="913" w:type="dxa"/>
            <w:vAlign w:val="center"/>
          </w:tcPr>
          <w:p>
            <w:pPr>
              <w:pStyle w:val="2001"/>
              <w:rPr>
                <w:rFonts w:asciiTheme="minorHAnsi" w:hAnsiTheme="minorHAnsi" w:eastAsiaTheme="minorEastAsia" w:cstheme="minorBidi"/>
                <w:lang w:eastAsia="en-US"/>
              </w:rPr>
            </w:pPr>
            <w:r>
              <w:rPr>
                <w:rFonts w:asciiTheme="minorHAnsi" w:hAnsiTheme="minorHAnsi" w:eastAsiaTheme="minorEastAsia" w:cstheme="minorBidi"/>
                <w:lang w:eastAsia="en-US"/>
              </w:rPr>
              <w:t>兼顾船型</w:t>
            </w:r>
          </w:p>
        </w:tc>
      </w:tr>
      <w:tr>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Layout w:type="fixed"/>
          <w:tblCellMar>
            <w:top w:w="0" w:type="dxa"/>
            <w:left w:w="0" w:type="dxa"/>
            <w:bottom w:w="0" w:type="dxa"/>
            <w:right w:w="0" w:type="dxa"/>
          </w:tblCellMar>
        </w:tblPrEx>
        <w:trPr>
          <w:trHeight w:val="375" w:hRule="atLeast"/>
        </w:trPr>
        <w:tc>
          <w:tcPr>
            <w:tcW w:w="1860" w:type="dxa"/>
            <w:vAlign w:val="center"/>
          </w:tcPr>
          <w:p>
            <w:pPr>
              <w:pStyle w:val="2001"/>
              <w:rPr>
                <w:rFonts w:asciiTheme="minorHAnsi" w:hAnsiTheme="minorHAnsi" w:eastAsiaTheme="minorEastAsia" w:cstheme="minorBidi"/>
                <w:lang w:eastAsia="en-US"/>
              </w:rPr>
            </w:pPr>
            <w:r>
              <w:rPr>
                <w:rFonts w:asciiTheme="minorHAnsi" w:hAnsiTheme="minorHAnsi" w:eastAsiaTheme="minorEastAsia" w:cstheme="minorBidi"/>
                <w:lang w:eastAsia="en-US"/>
              </w:rPr>
              <w:t>20万吨级集装箱船</w:t>
            </w:r>
          </w:p>
        </w:tc>
        <w:tc>
          <w:tcPr>
            <w:tcW w:w="1271" w:type="dxa"/>
            <w:vAlign w:val="center"/>
          </w:tcPr>
          <w:p>
            <w:pPr>
              <w:pStyle w:val="2001"/>
              <w:rPr>
                <w:rFonts w:asciiTheme="minorHAnsi" w:hAnsiTheme="minorHAnsi" w:eastAsiaTheme="minorEastAsia" w:cstheme="minorBidi"/>
                <w:lang w:eastAsia="en-US"/>
              </w:rPr>
            </w:pPr>
            <w:r>
              <w:rPr>
                <w:rFonts w:asciiTheme="minorHAnsi" w:hAnsiTheme="minorHAnsi" w:eastAsiaTheme="minorEastAsia" w:cstheme="minorBidi"/>
                <w:lang w:eastAsia="en-US"/>
              </w:rPr>
              <w:t>400</w:t>
            </w:r>
          </w:p>
        </w:tc>
        <w:tc>
          <w:tcPr>
            <w:tcW w:w="1285" w:type="dxa"/>
            <w:vAlign w:val="center"/>
          </w:tcPr>
          <w:p>
            <w:pPr>
              <w:pStyle w:val="2001"/>
              <w:rPr>
                <w:rFonts w:asciiTheme="minorHAnsi" w:hAnsiTheme="minorHAnsi" w:eastAsiaTheme="minorEastAsia" w:cstheme="minorBidi"/>
                <w:lang w:eastAsia="en-US"/>
              </w:rPr>
            </w:pPr>
            <w:r>
              <w:rPr>
                <w:rFonts w:asciiTheme="minorHAnsi" w:hAnsiTheme="minorHAnsi" w:eastAsiaTheme="minorEastAsia" w:cstheme="minorBidi"/>
                <w:lang w:eastAsia="en-US"/>
              </w:rPr>
              <w:t>61.5</w:t>
            </w:r>
          </w:p>
        </w:tc>
        <w:tc>
          <w:tcPr>
            <w:tcW w:w="1296" w:type="dxa"/>
            <w:vAlign w:val="center"/>
          </w:tcPr>
          <w:p>
            <w:pPr>
              <w:pStyle w:val="2001"/>
              <w:rPr>
                <w:rFonts w:asciiTheme="minorHAnsi" w:hAnsiTheme="minorHAnsi" w:eastAsiaTheme="minorEastAsia" w:cstheme="minorBidi"/>
                <w:lang w:eastAsia="en-US"/>
              </w:rPr>
            </w:pPr>
            <w:r>
              <w:rPr>
                <w:rFonts w:asciiTheme="minorHAnsi" w:hAnsiTheme="minorHAnsi" w:eastAsiaTheme="minorEastAsia" w:cstheme="minorBidi"/>
                <w:lang w:eastAsia="en-US"/>
              </w:rPr>
              <w:t>33.5</w:t>
            </w:r>
          </w:p>
        </w:tc>
        <w:tc>
          <w:tcPr>
            <w:tcW w:w="1717" w:type="dxa"/>
            <w:vAlign w:val="center"/>
          </w:tcPr>
          <w:p>
            <w:pPr>
              <w:pStyle w:val="2001"/>
              <w:rPr>
                <w:rFonts w:asciiTheme="minorHAnsi" w:hAnsiTheme="minorHAnsi" w:eastAsiaTheme="minorEastAsia" w:cstheme="minorBidi"/>
                <w:lang w:eastAsia="en-US"/>
              </w:rPr>
            </w:pPr>
            <w:r>
              <w:rPr>
                <w:rFonts w:asciiTheme="minorHAnsi" w:hAnsiTheme="minorHAnsi" w:eastAsiaTheme="minorEastAsia" w:cstheme="minorBidi"/>
                <w:lang w:eastAsia="en-US"/>
              </w:rPr>
              <w:t>17.0</w:t>
            </w:r>
          </w:p>
        </w:tc>
        <w:tc>
          <w:tcPr>
            <w:tcW w:w="913" w:type="dxa"/>
            <w:vAlign w:val="center"/>
          </w:tcPr>
          <w:p>
            <w:pPr>
              <w:pStyle w:val="2001"/>
              <w:rPr>
                <w:rFonts w:asciiTheme="minorHAnsi" w:hAnsiTheme="minorHAnsi" w:eastAsiaTheme="minorEastAsia" w:cstheme="minorBidi"/>
                <w:lang w:eastAsia="en-US"/>
              </w:rPr>
            </w:pPr>
            <w:r>
              <w:rPr>
                <w:rFonts w:asciiTheme="minorHAnsi" w:hAnsiTheme="minorHAnsi" w:eastAsiaTheme="minorEastAsia" w:cstheme="minorBidi"/>
                <w:lang w:eastAsia="en-US"/>
              </w:rPr>
              <w:t>设计船型</w:t>
            </w:r>
          </w:p>
        </w:tc>
      </w:tr>
    </w:tbl>
    <w:p>
      <w:pPr>
        <w:pStyle w:val="6"/>
        <w:rPr>
          <w:color w:val="000000" w:themeColor="text1"/>
          <w14:textFill>
            <w14:solidFill>
              <w14:schemeClr w14:val="tx1"/>
            </w14:solidFill>
          </w14:textFill>
        </w:rPr>
      </w:pPr>
      <w:r>
        <w:rPr>
          <w:color w:val="000000" w:themeColor="text1"/>
          <w14:textFill>
            <w14:solidFill>
              <w14:schemeClr w14:val="tx1"/>
            </w14:solidFill>
          </w14:textFill>
        </w:rPr>
        <w:t>其</w:t>
      </w:r>
      <w:r>
        <w:rPr>
          <w:rFonts w:hint="eastAsia"/>
          <w:color w:val="000000" w:themeColor="text1"/>
          <w14:textFill>
            <w14:solidFill>
              <w14:schemeClr w14:val="tx1"/>
            </w14:solidFill>
          </w14:textFill>
        </w:rPr>
        <w:t>他</w:t>
      </w:r>
      <w:r>
        <w:rPr>
          <w:color w:val="000000" w:themeColor="text1"/>
          <w14:textFill>
            <w14:solidFill>
              <w14:schemeClr w14:val="tx1"/>
            </w14:solidFill>
          </w14:textFill>
        </w:rPr>
        <w:t>主要设计参数</w:t>
      </w:r>
    </w:p>
    <w:p>
      <w:pPr>
        <w:pStyle w:val="283"/>
        <w:ind w:firstLine="462"/>
        <w:rPr>
          <w:color w:val="000000" w:themeColor="text1"/>
          <w:lang w:val="zh-CN"/>
          <w14:textFill>
            <w14:solidFill>
              <w14:schemeClr w14:val="tx1"/>
            </w14:solidFill>
          </w14:textFill>
        </w:rPr>
      </w:pPr>
      <w:r>
        <w:rPr>
          <w:color w:val="000000" w:themeColor="text1"/>
          <w:lang w:val="zh-CN"/>
          <w14:textFill>
            <w14:solidFill>
              <w14:schemeClr w14:val="tx1"/>
            </w14:solidFill>
          </w14:textFill>
        </w:rPr>
        <w:t>设计通过能力：</w:t>
      </w:r>
      <w:r>
        <w:rPr>
          <w:rFonts w:hint="eastAsia"/>
          <w:color w:val="000000" w:themeColor="text1"/>
          <w14:textFill>
            <w14:solidFill>
              <w14:schemeClr w14:val="tx1"/>
            </w14:solidFill>
          </w14:textFill>
        </w:rPr>
        <w:t>201万TEU</w:t>
      </w:r>
    </w:p>
    <w:p>
      <w:pPr>
        <w:pStyle w:val="283"/>
        <w:ind w:firstLine="462"/>
        <w:rPr>
          <w:color w:val="000000" w:themeColor="text1"/>
          <w:lang w:val="zh-CN"/>
          <w14:textFill>
            <w14:solidFill>
              <w14:schemeClr w14:val="tx1"/>
            </w14:solidFill>
          </w14:textFill>
        </w:rPr>
      </w:pPr>
      <w:r>
        <w:rPr>
          <w:color w:val="000000" w:themeColor="text1"/>
          <w:lang w:val="zh-CN"/>
          <w14:textFill>
            <w14:solidFill>
              <w14:schemeClr w14:val="tx1"/>
            </w14:solidFill>
          </w14:textFill>
        </w:rPr>
        <w:t>泊位年营运天数：</w:t>
      </w:r>
      <w:r>
        <w:rPr>
          <w:rFonts w:hint="eastAsia"/>
          <w:color w:val="000000" w:themeColor="text1"/>
          <w:lang w:val="zh-CN"/>
          <w14:textFill>
            <w14:solidFill>
              <w14:schemeClr w14:val="tx1"/>
            </w14:solidFill>
          </w14:textFill>
        </w:rPr>
        <w:t xml:space="preserve">330 </w:t>
      </w:r>
      <w:r>
        <w:rPr>
          <w:color w:val="000000" w:themeColor="text1"/>
          <w:lang w:val="zh-CN"/>
          <w14:textFill>
            <w14:solidFill>
              <w14:schemeClr w14:val="tx1"/>
            </w14:solidFill>
          </w14:textFill>
        </w:rPr>
        <w:t xml:space="preserve">d； </w:t>
      </w:r>
    </w:p>
    <w:p>
      <w:pPr>
        <w:pStyle w:val="283"/>
        <w:ind w:firstLine="462"/>
        <w:rPr>
          <w:color w:val="000000" w:themeColor="text1"/>
          <w:lang w:val="zh-CN"/>
          <w14:textFill>
            <w14:solidFill>
              <w14:schemeClr w14:val="tx1"/>
            </w14:solidFill>
          </w14:textFill>
        </w:rPr>
      </w:pPr>
      <w:r>
        <w:rPr>
          <w:rFonts w:hint="eastAsia"/>
          <w:color w:val="000000" w:themeColor="text1"/>
          <w14:textFill>
            <w14:solidFill>
              <w14:schemeClr w14:val="tx1"/>
            </w14:solidFill>
          </w14:textFill>
        </w:rPr>
        <w:t>集装箱船舶单船平均装卸箱量</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3700TEU</w:t>
      </w:r>
      <w:r>
        <w:rPr>
          <w:color w:val="000000" w:themeColor="text1"/>
          <w14:textFill>
            <w14:solidFill>
              <w14:schemeClr w14:val="tx1"/>
            </w14:solidFill>
          </w14:textFill>
        </w:rPr>
        <w:t>；</w:t>
      </w:r>
      <w:r>
        <w:rPr>
          <w:color w:val="000000" w:themeColor="text1"/>
          <w:lang w:val="zh-CN"/>
          <w14:textFill>
            <w14:solidFill>
              <w14:schemeClr w14:val="tx1"/>
            </w14:solidFill>
          </w14:textFill>
        </w:rPr>
        <w:t xml:space="preserve"> </w:t>
      </w:r>
    </w:p>
    <w:p>
      <w:pPr>
        <w:pStyle w:val="283"/>
        <w:ind w:firstLine="462"/>
        <w:rPr>
          <w:color w:val="000000" w:themeColor="text1"/>
          <w14:textFill>
            <w14:solidFill>
              <w14:schemeClr w14:val="tx1"/>
            </w14:solidFill>
          </w14:textFill>
        </w:rPr>
      </w:pPr>
      <w:r>
        <w:rPr>
          <w:color w:val="000000" w:themeColor="text1"/>
          <w14:textFill>
            <w14:solidFill>
              <w14:schemeClr w14:val="tx1"/>
            </w14:solidFill>
          </w14:textFill>
        </w:rPr>
        <w:t>劳动定员：</w:t>
      </w:r>
      <w:r>
        <w:rPr>
          <w:rFonts w:hint="eastAsia"/>
          <w:color w:val="000000" w:themeColor="text1"/>
          <w14:textFill>
            <w14:solidFill>
              <w14:schemeClr w14:val="tx1"/>
            </w14:solidFill>
          </w14:textFill>
        </w:rPr>
        <w:t>233</w:t>
      </w:r>
      <w:r>
        <w:rPr>
          <w:color w:val="000000" w:themeColor="text1"/>
          <w14:textFill>
            <w14:solidFill>
              <w14:schemeClr w14:val="tx1"/>
            </w14:solidFill>
          </w14:textFill>
        </w:rPr>
        <w:t>人</w:t>
      </w:r>
      <w:r>
        <w:rPr>
          <w:rFonts w:hint="eastAsia"/>
          <w:color w:val="000000" w:themeColor="text1"/>
          <w14:textFill>
            <w14:solidFill>
              <w14:schemeClr w14:val="tx1"/>
            </w14:solidFill>
          </w14:textFill>
        </w:rPr>
        <w:t>（新增定员41人）</w:t>
      </w:r>
      <w:r>
        <w:rPr>
          <w:color w:val="000000" w:themeColor="text1"/>
          <w14:textFill>
            <w14:solidFill>
              <w14:schemeClr w14:val="tx1"/>
            </w14:solidFill>
          </w14:textFill>
        </w:rPr>
        <w:t>；</w:t>
      </w:r>
    </w:p>
    <w:p>
      <w:pPr>
        <w:pStyle w:val="283"/>
        <w:ind w:firstLine="462"/>
        <w:rPr>
          <w:color w:val="000000" w:themeColor="text1"/>
          <w14:textFill>
            <w14:solidFill>
              <w14:schemeClr w14:val="tx1"/>
            </w14:solidFill>
          </w14:textFill>
        </w:rPr>
      </w:pPr>
      <w:r>
        <w:rPr>
          <w:color w:val="000000" w:themeColor="text1"/>
          <w14:textFill>
            <w14:solidFill>
              <w14:schemeClr w14:val="tx1"/>
            </w14:solidFill>
          </w14:textFill>
        </w:rPr>
        <w:t>昼夜作业班次：3班/d。</w:t>
      </w:r>
    </w:p>
    <w:p>
      <w:pPr>
        <w:pStyle w:val="5"/>
        <w:rPr>
          <w:color w:val="000000" w:themeColor="text1"/>
          <w14:textFill>
            <w14:solidFill>
              <w14:schemeClr w14:val="tx1"/>
            </w14:solidFill>
          </w14:textFill>
        </w:rPr>
      </w:pPr>
      <w:r>
        <w:rPr>
          <w:color w:val="000000" w:themeColor="text1"/>
          <w14:textFill>
            <w14:solidFill>
              <w14:schemeClr w14:val="tx1"/>
            </w14:solidFill>
          </w14:textFill>
        </w:rPr>
        <w:t>总平面布置方案</w:t>
      </w:r>
    </w:p>
    <w:p>
      <w:pPr>
        <w:pStyle w:val="6"/>
        <w:numPr>
          <w:ilvl w:val="3"/>
          <w:numId w:val="47"/>
        </w:numPr>
        <w:rPr>
          <w:color w:val="000000" w:themeColor="text1"/>
          <w14:textFill>
            <w14:solidFill>
              <w14:schemeClr w14:val="tx1"/>
            </w14:solidFill>
          </w14:textFill>
        </w:rPr>
      </w:pPr>
      <w:r>
        <w:rPr>
          <w:color w:val="000000" w:themeColor="text1"/>
          <w14:textFill>
            <w14:solidFill>
              <w14:schemeClr w14:val="tx1"/>
            </w14:solidFill>
          </w14:textFill>
        </w:rPr>
        <w:t>码头布置</w:t>
      </w:r>
    </w:p>
    <w:p>
      <w:pPr>
        <w:pStyle w:val="283"/>
        <w:ind w:firstLine="462"/>
        <w:rPr>
          <w:color w:val="000000" w:themeColor="text1"/>
          <w14:textFill>
            <w14:solidFill>
              <w14:schemeClr w14:val="tx1"/>
            </w14:solidFill>
          </w14:textFill>
        </w:rPr>
      </w:pPr>
      <w:r>
        <w:rPr>
          <w:rFonts w:hint="eastAsia"/>
          <w:color w:val="000000" w:themeColor="text1"/>
          <w14:textFill>
            <w14:solidFill>
              <w14:schemeClr w14:val="tx1"/>
            </w14:solidFill>
          </w14:textFill>
        </w:rPr>
        <w:t>9号10号泊位按照2个20万吨级泊位考虑长度需35+400+35+400+35=905m，由于8号泊位与9号泊位的结构过渡段（85.94m）为10万吨级结构，不满足20万吨级集装箱船靠泊要求，因此为满足2艘20万吨级集装箱船靠泊要求，9号10号泊位扩建段泊位长度需905-783+85.94=207.94m，取整为208m。扩建工程码头前沿线平行顺接10号泊位前沿线向南顺延，新增码头岸线208m，结构按20万吨级集装箱船设计，扩建后9号10号泊位总长991m，可以满足2艘20万吨级集装箱船同时靠泊。码头前沿顶高程为6.6m。</w:t>
      </w:r>
    </w:p>
    <w:p>
      <w:pPr>
        <w:pStyle w:val="283"/>
        <w:ind w:firstLine="462"/>
        <w:rPr>
          <w:color w:val="000000" w:themeColor="text1"/>
          <w14:textFill>
            <w14:solidFill>
              <w14:schemeClr w14:val="tx1"/>
            </w14:solidFill>
          </w14:textFill>
        </w:rPr>
      </w:pPr>
      <w:r>
        <w:rPr>
          <w:rFonts w:hint="eastAsia"/>
          <w:color w:val="000000" w:themeColor="text1"/>
          <w14:textFill>
            <w14:solidFill>
              <w14:schemeClr w14:val="tx1"/>
            </w14:solidFill>
          </w14:textFill>
        </w:rPr>
        <w:t>新建护岸前沿线与9号10号泊位扩建段泊位前沿线垂直，护岸长695m，护岸顶高程为6.6m。</w:t>
      </w:r>
    </w:p>
    <w:p>
      <w:pPr>
        <w:pStyle w:val="6"/>
        <w:numPr>
          <w:ilvl w:val="3"/>
          <w:numId w:val="47"/>
        </w:numPr>
        <w:rPr>
          <w:color w:val="000000" w:themeColor="text1"/>
          <w14:textFill>
            <w14:solidFill>
              <w14:schemeClr w14:val="tx1"/>
            </w14:solidFill>
          </w14:textFill>
        </w:rPr>
      </w:pPr>
      <w:r>
        <w:rPr>
          <w:color w:val="000000" w:themeColor="text1"/>
          <w14:textFill>
            <w14:solidFill>
              <w14:schemeClr w14:val="tx1"/>
            </w14:solidFill>
          </w14:textFill>
        </w:rPr>
        <w:t>水域平面布置</w:t>
      </w:r>
      <w:r>
        <w:rPr>
          <w:rFonts w:hint="eastAsia"/>
          <w:color w:val="000000" w:themeColor="text1"/>
          <w14:textFill>
            <w14:solidFill>
              <w14:schemeClr w14:val="tx1"/>
            </w14:solidFill>
          </w14:textFill>
        </w:rPr>
        <w:t xml:space="preserve"> </w:t>
      </w:r>
    </w:p>
    <w:p>
      <w:pPr>
        <w:pStyle w:val="283"/>
        <w:ind w:firstLine="462"/>
        <w:rPr>
          <w:color w:val="000000" w:themeColor="text1"/>
          <w14:textFill>
            <w14:solidFill>
              <w14:schemeClr w14:val="tx1"/>
            </w14:solidFill>
          </w14:textFill>
        </w:rPr>
      </w:pPr>
      <w:r>
        <w:rPr>
          <w:rFonts w:hint="eastAsia"/>
          <w:color w:val="000000" w:themeColor="text1"/>
          <w14:textFill>
            <w14:solidFill>
              <w14:schemeClr w14:val="tx1"/>
            </w14:solidFill>
          </w14:textFill>
        </w:rPr>
        <w:t>码头泊位前沿停泊水域宽度按20万吨级集装箱船设计，取2倍设计船宽为123m，停泊水域底高程取-16.3m。</w:t>
      </w:r>
    </w:p>
    <w:p>
      <w:pPr>
        <w:pStyle w:val="283"/>
        <w:ind w:firstLine="462"/>
        <w:rPr>
          <w:color w:val="000000" w:themeColor="text1"/>
          <w14:textFill>
            <w14:solidFill>
              <w14:schemeClr w14:val="tx1"/>
            </w14:solidFill>
          </w14:textFill>
        </w:rPr>
      </w:pPr>
      <w:r>
        <w:rPr>
          <w:rFonts w:hint="eastAsia"/>
          <w:color w:val="000000" w:themeColor="text1"/>
          <w14:textFill>
            <w14:solidFill>
              <w14:schemeClr w14:val="tx1"/>
            </w14:solidFill>
          </w14:textFill>
        </w:rPr>
        <w:t>新建护岸695m，护岸过渡段157.8m，因建设消浪护岸施工船舶进出，需将本次扩建工程南侧护岸前沿线外侧20m范围疏浚至底高程-7.8m、消浪护岸过渡段1前沿线外侧20m范围疏浚至底高程-7.8m，施工船舶方可进入本次扩建9号1</w:t>
      </w:r>
      <w:r>
        <w:rPr>
          <w:color w:val="000000" w:themeColor="text1"/>
          <w14:textFill>
            <w14:solidFill>
              <w14:schemeClr w14:val="tx1"/>
            </w14:solidFill>
          </w14:textFill>
        </w:rPr>
        <w:t>0</w:t>
      </w:r>
      <w:r>
        <w:rPr>
          <w:rFonts w:hint="eastAsia"/>
          <w:color w:val="000000" w:themeColor="text1"/>
          <w14:textFill>
            <w14:solidFill>
              <w14:schemeClr w14:val="tx1"/>
            </w14:solidFill>
          </w14:textFill>
        </w:rPr>
        <w:t>号泊位南侧挖入区域进行船舶作业及掉头等施工活动。</w:t>
      </w:r>
    </w:p>
    <w:p>
      <w:pPr>
        <w:pStyle w:val="283"/>
        <w:ind w:firstLine="462"/>
        <w:rPr>
          <w:color w:val="000000" w:themeColor="text1"/>
          <w14:textFill>
            <w14:solidFill>
              <w14:schemeClr w14:val="tx1"/>
            </w14:solidFill>
          </w14:textFill>
        </w:rPr>
      </w:pPr>
      <w:r>
        <w:rPr>
          <w:rFonts w:hint="eastAsia"/>
          <w:color w:val="000000" w:themeColor="text1"/>
          <w14:textFill>
            <w14:solidFill>
              <w14:schemeClr w14:val="tx1"/>
            </w14:solidFill>
          </w14:textFill>
        </w:rPr>
        <w:t>海轮泊位回旋水域布置在停泊水域前方，回旋水域按满足20万吨级集装箱船设计，以不超出东航道原征海范围为前提，回旋水域在码头停泊水域前方</w:t>
      </w:r>
      <w:r>
        <w:rPr>
          <w:rFonts w:hint="eastAsia"/>
          <w:color w:val="000000" w:themeColor="text1"/>
          <w:lang w:eastAsia="zh-CN"/>
          <w14:textFill>
            <w14:solidFill>
              <w14:schemeClr w14:val="tx1"/>
            </w14:solidFill>
          </w14:textFill>
        </w:rPr>
        <w:t>通常布置</w:t>
      </w:r>
      <w:r>
        <w:rPr>
          <w:rFonts w:hint="eastAsia"/>
          <w:color w:val="000000" w:themeColor="text1"/>
          <w14:textFill>
            <w14:solidFill>
              <w14:schemeClr w14:val="tx1"/>
            </w14:solidFill>
          </w14:textFill>
        </w:rPr>
        <w:t>，垂直码头方向按1.65倍20万吨级集装箱船船长取值660m，底高程为-16.3m（取乘潮保证率90％，历时3小时的乘潮水位）。根据《钦州港大榄坪港区大榄坪南作业区9号10号泊位扩建工程船舶操纵仿真模拟试验研究报告》（交通运输部天津水运工程科学研究所，2023年12月），回旋水域布置可以满足20万吨级集装箱船舶在 6级大风。</w:t>
      </w:r>
    </w:p>
    <w:p>
      <w:pPr>
        <w:pStyle w:val="283"/>
        <w:ind w:firstLine="462"/>
        <w:rPr>
          <w:color w:val="000000" w:themeColor="text1"/>
          <w14:textFill>
            <w14:solidFill>
              <w14:schemeClr w14:val="tx1"/>
            </w14:solidFill>
          </w14:textFill>
        </w:rPr>
      </w:pPr>
      <w:r>
        <w:rPr>
          <w:rFonts w:hint="eastAsia"/>
          <w:color w:val="000000" w:themeColor="text1"/>
          <w14:textFill>
            <w14:solidFill>
              <w14:schemeClr w14:val="tx1"/>
            </w14:solidFill>
          </w14:textFill>
        </w:rPr>
        <w:t>本工程进出港可利用钦州港东航道，满足20万吨级集装箱船满载乘潮（乘潮水位为3.43m，3小时乘潮保证率90%）和20万吨级集装箱船吃水减载至14.5m不乘潮进出港的要求。</w:t>
      </w:r>
    </w:p>
    <w:p>
      <w:pPr>
        <w:pStyle w:val="6"/>
        <w:numPr>
          <w:ilvl w:val="3"/>
          <w:numId w:val="47"/>
        </w:numPr>
        <w:rPr>
          <w:color w:val="000000" w:themeColor="text1"/>
          <w14:textFill>
            <w14:solidFill>
              <w14:schemeClr w14:val="tx1"/>
            </w14:solidFill>
          </w14:textFill>
        </w:rPr>
      </w:pPr>
      <w:r>
        <w:rPr>
          <w:color w:val="000000" w:themeColor="text1"/>
          <w14:textFill>
            <w14:solidFill>
              <w14:schemeClr w14:val="tx1"/>
            </w14:solidFill>
          </w14:textFill>
        </w:rPr>
        <w:t>陆域平面布置</w:t>
      </w:r>
    </w:p>
    <w:p>
      <w:pPr>
        <w:pStyle w:val="283"/>
        <w:ind w:firstLine="462"/>
        <w:rPr>
          <w:color w:val="000000" w:themeColor="text1"/>
          <w14:textFill>
            <w14:solidFill>
              <w14:schemeClr w14:val="tx1"/>
            </w14:solidFill>
          </w14:textFill>
        </w:rPr>
      </w:pPr>
      <w:r>
        <w:rPr>
          <w:rFonts w:hint="eastAsia"/>
          <w:color w:val="000000" w:themeColor="text1"/>
          <w14:textFill>
            <w14:solidFill>
              <w14:schemeClr w14:val="tx1"/>
            </w14:solidFill>
          </w14:textFill>
        </w:rPr>
        <w:t>本扩建工程陆域沿9号10号泊位陆域南侧用地红线向南侧扩建208m，陆域总面积约20.63 hm</w:t>
      </w:r>
      <w:r>
        <w:rPr>
          <w:rFonts w:hint="eastAsia"/>
          <w:color w:val="000000" w:themeColor="text1"/>
          <w:vertAlign w:val="superscript"/>
          <w14:textFill>
            <w14:solidFill>
              <w14:schemeClr w14:val="tx1"/>
            </w14:solidFill>
          </w14:textFill>
        </w:rPr>
        <w:t>2</w:t>
      </w:r>
      <w:r>
        <w:rPr>
          <w:rFonts w:hint="eastAsia"/>
          <w:color w:val="000000" w:themeColor="text1"/>
          <w14:textFill>
            <w14:solidFill>
              <w14:schemeClr w14:val="tx1"/>
            </w14:solidFill>
          </w14:textFill>
        </w:rPr>
        <w:t>，其中已回填区面积约10.73hm</w:t>
      </w:r>
      <w:r>
        <w:rPr>
          <w:rFonts w:hint="eastAsia"/>
          <w:color w:val="000000" w:themeColor="text1"/>
          <w:vertAlign w:val="superscript"/>
          <w14:textFill>
            <w14:solidFill>
              <w14:schemeClr w14:val="tx1"/>
            </w14:solidFill>
          </w14:textFill>
        </w:rPr>
        <w:t>2</w:t>
      </w:r>
      <w:r>
        <w:rPr>
          <w:rFonts w:hint="eastAsia"/>
          <w:color w:val="000000" w:themeColor="text1"/>
          <w14:textFill>
            <w14:solidFill>
              <w14:schemeClr w14:val="tx1"/>
            </w14:solidFill>
          </w14:textFill>
        </w:rPr>
        <w:t>，于2020年填海完成，已回填区为钦州保税港区昊鼎仓储物流中心项目、钦州保税港区宏泰仓储项目宗海范围，已于2009年12月14日取得了国家海洋局颁发的海域使用权证书，用海手续完善。</w:t>
      </w:r>
    </w:p>
    <w:p>
      <w:pPr>
        <w:pStyle w:val="283"/>
        <w:ind w:firstLine="462"/>
        <w:rPr>
          <w:color w:val="000000" w:themeColor="text1"/>
          <w14:textFill>
            <w14:solidFill>
              <w14:schemeClr w14:val="tx1"/>
            </w14:solidFill>
          </w14:textFill>
        </w:rPr>
      </w:pPr>
      <w:r>
        <w:rPr>
          <w:rFonts w:hint="eastAsia"/>
          <w:color w:val="000000" w:themeColor="text1"/>
          <w14:textFill>
            <w14:solidFill>
              <w14:schemeClr w14:val="tx1"/>
            </w14:solidFill>
          </w14:textFill>
        </w:rPr>
        <w:t>未回填区均属于钦州保税港区昊鼎仓储物流中心项目，本项目围填海依托钦州保税港区昊鼎仓储物流中心项目，该项目中9号10号</w:t>
      </w:r>
      <w:r>
        <w:rPr>
          <w:rFonts w:hint="eastAsia"/>
          <w:color w:val="000000" w:themeColor="text1"/>
          <w:kern w:val="2"/>
          <w14:textFill>
            <w14:solidFill>
              <w14:schemeClr w14:val="tx1"/>
            </w14:solidFill>
          </w14:textFill>
        </w:rPr>
        <w:t>泊位</w:t>
      </w:r>
      <w:r>
        <w:rPr>
          <w:rFonts w:hint="eastAsia"/>
          <w:color w:val="000000" w:themeColor="text1"/>
          <w14:textFill>
            <w14:solidFill>
              <w14:schemeClr w14:val="tx1"/>
            </w14:solidFill>
          </w14:textFill>
        </w:rPr>
        <w:t>继续填海面积约9.9hm</w:t>
      </w:r>
      <w:r>
        <w:rPr>
          <w:rFonts w:hint="eastAsia"/>
          <w:color w:val="000000" w:themeColor="text1"/>
          <w:vertAlign w:val="superscript"/>
          <w14:textFill>
            <w14:solidFill>
              <w14:schemeClr w14:val="tx1"/>
            </w14:solidFill>
          </w14:textFill>
        </w:rPr>
        <w:t>2</w:t>
      </w:r>
      <w:r>
        <w:rPr>
          <w:rFonts w:hint="eastAsia"/>
          <w:color w:val="000000" w:themeColor="text1"/>
          <w14:textFill>
            <w14:solidFill>
              <w14:schemeClr w14:val="tx1"/>
            </w14:solidFill>
          </w14:textFill>
        </w:rPr>
        <w:t>，陆域纵深862.9m，总填方量106.82万m</w:t>
      </w:r>
      <w:r>
        <w:rPr>
          <w:rFonts w:hint="eastAsia"/>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，其中25.52万m</w:t>
      </w:r>
      <w:r>
        <w:rPr>
          <w:rFonts w:hint="eastAsia"/>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为现场堆存及外购砂料，81.3万m</w:t>
      </w:r>
      <w:r>
        <w:rPr>
          <w:rFonts w:hint="eastAsia"/>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为本项目疏浚砂吹填。</w:t>
      </w:r>
    </w:p>
    <w:p>
      <w:pPr>
        <w:pStyle w:val="283"/>
        <w:ind w:firstLine="462"/>
        <w:rPr>
          <w:color w:val="000000" w:themeColor="text1"/>
          <w14:textFill>
            <w14:solidFill>
              <w14:schemeClr w14:val="tx1"/>
            </w14:solidFill>
          </w14:textFill>
        </w:rPr>
      </w:pPr>
      <w:r>
        <w:rPr>
          <w:rFonts w:hint="eastAsia"/>
          <w:color w:val="000000" w:themeColor="text1"/>
          <w14:textFill>
            <w14:solidFill>
              <w14:schemeClr w14:val="tx1"/>
            </w14:solidFill>
          </w14:textFill>
        </w:rPr>
        <w:t>本次扩建工程陆域按照使用功能划分为码头前沿作业地带和堆场衔接区，陆域纵深分别为120m、743.1m。</w:t>
      </w:r>
    </w:p>
    <w:p>
      <w:pPr>
        <w:pStyle w:val="283"/>
        <w:ind w:firstLine="462"/>
        <w:rPr>
          <w:color w:val="000000" w:themeColor="text1"/>
          <w14:textFill>
            <w14:solidFill>
              <w14:schemeClr w14:val="tx1"/>
            </w14:solidFill>
          </w14:textFill>
        </w:rPr>
      </w:pPr>
      <w:r>
        <w:rPr>
          <w:rFonts w:hint="eastAsia"/>
          <w:color w:val="000000" w:themeColor="text1"/>
          <w14:textFill>
            <w14:solidFill>
              <w14:schemeClr w14:val="tx1"/>
            </w14:solidFill>
          </w14:textFill>
        </w:rPr>
        <w:t>1、码头前沿作业带</w:t>
      </w:r>
    </w:p>
    <w:p>
      <w:pPr>
        <w:pStyle w:val="283"/>
        <w:ind w:firstLine="462"/>
        <w:rPr>
          <w:color w:val="000000" w:themeColor="text1"/>
          <w14:textFill>
            <w14:solidFill>
              <w14:schemeClr w14:val="tx1"/>
            </w14:solidFill>
          </w14:textFill>
        </w:rPr>
      </w:pPr>
      <w:r>
        <w:rPr>
          <w:color w:val="000000" w:themeColor="text1"/>
          <w14:textFill>
            <w14:solidFill>
              <w14:schemeClr w14:val="tx1"/>
            </w14:solidFill>
          </w14:textFill>
        </w:rPr>
        <w:t>根据本工程集装箱的吞吐量及全自动化集装箱码头的需求，结合工艺布置方案，本工程海轮泊位码头前沿作业地带宽度取120m。码头前沿作业地带宽度从码头前沿线至陆侧，依次包括：岸边集装箱装卸桥海侧轨中心线至码头前沿线之间区域3.5m、岸边集装箱装卸桥两轨宽35m（含舱盖板堆放区和3条特殊箱通道）、安全距离及围网安置区5m、IGV装卸作业车道6道共24m、IGV缓冲区28m和IGV快速行车道6道共24.5m。</w:t>
      </w:r>
    </w:p>
    <w:p>
      <w:pPr>
        <w:pStyle w:val="283"/>
        <w:ind w:firstLine="462"/>
        <w:rPr>
          <w:color w:val="000000" w:themeColor="text1"/>
          <w14:textFill>
            <w14:solidFill>
              <w14:schemeClr w14:val="tx1"/>
            </w14:solidFill>
          </w14:textFill>
        </w:rPr>
      </w:pPr>
      <w:r>
        <w:rPr>
          <w:rFonts w:hint="eastAsia"/>
          <w:color w:val="000000" w:themeColor="text1"/>
          <w14:textFill>
            <w14:solidFill>
              <w14:schemeClr w14:val="tx1"/>
            </w14:solidFill>
          </w14:textFill>
        </w:rPr>
        <w:t>2、22号集装箱堆场</w:t>
      </w:r>
    </w:p>
    <w:p>
      <w:pPr>
        <w:pStyle w:val="283"/>
        <w:ind w:firstLine="462"/>
        <w:rPr>
          <w:color w:val="000000" w:themeColor="text1"/>
          <w14:textFill>
            <w14:solidFill>
              <w14:schemeClr w14:val="tx1"/>
            </w14:solidFill>
          </w14:textFill>
        </w:rPr>
      </w:pPr>
      <w:r>
        <w:rPr>
          <w:color w:val="000000" w:themeColor="text1"/>
          <w14:textFill>
            <w14:solidFill>
              <w14:schemeClr w14:val="tx1"/>
            </w14:solidFill>
          </w14:textFill>
        </w:rPr>
        <w:t>结合业务增长需求，将原9号10号泊位预留的22号堆场纳入本工程设计范围，该堆场已完成地基处理，集装箱堆场布置与7-10号泊位一致，堆场垂直码头前沿线布置，采用轨距37m的双悬臂自动化集装箱轨道龙门吊（ARMG）进行装卸作业。集装箱堆场区纵深563m，其海侧端设置IGV充电区，共布置3套IGV自动充电装置，其中缓建1套。新增集装箱堆场堆存面积约1.8</w:t>
      </w:r>
      <w:r>
        <w:rPr>
          <w:rFonts w:hint="eastAsia"/>
          <w:color w:val="000000" w:themeColor="text1"/>
          <w14:textFill>
            <w14:solidFill>
              <w14:schemeClr w14:val="tx1"/>
            </w14:solidFill>
          </w14:textFill>
        </w:rPr>
        <w:t>h</w:t>
      </w:r>
      <w:r>
        <w:rPr>
          <w:color w:val="000000" w:themeColor="text1"/>
          <w14:textFill>
            <w14:solidFill>
              <w14:schemeClr w14:val="tx1"/>
            </w14:solidFill>
          </w14:textFill>
        </w:rPr>
        <w:t>m</w:t>
      </w:r>
      <w:r>
        <w:rPr>
          <w:color w:val="000000" w:themeColor="text1"/>
          <w:vertAlign w:val="superscript"/>
          <w14:textFill>
            <w14:solidFill>
              <w14:schemeClr w14:val="tx1"/>
            </w14:solidFill>
          </w14:textFill>
        </w:rPr>
        <w:t>2</w:t>
      </w:r>
      <w:r>
        <w:rPr>
          <w:color w:val="000000" w:themeColor="text1"/>
          <w14:textFill>
            <w14:solidFill>
              <w14:schemeClr w14:val="tx1"/>
            </w14:solidFill>
          </w14:textFill>
        </w:rPr>
        <w:t>，重、空箱采用混堆方式。</w:t>
      </w:r>
      <w:r>
        <w:rPr>
          <w:rFonts w:hint="eastAsia"/>
          <w:color w:val="000000" w:themeColor="text1"/>
          <w14:textFill>
            <w14:solidFill>
              <w14:schemeClr w14:val="tx1"/>
            </w14:solidFill>
          </w14:textFill>
        </w:rPr>
        <w:t>22号堆场与本次扩建及原有泊位红线位置关系见图2.2-1。</w:t>
      </w:r>
    </w:p>
    <w:tbl>
      <w:tblPr>
        <w:tblStyle w:val="89"/>
        <w:tblW w:w="852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52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8528" w:type="dxa"/>
            <w:tcBorders>
              <w:top w:val="nil"/>
              <w:left w:val="nil"/>
              <w:bottom w:val="nil"/>
              <w:right w:val="nil"/>
            </w:tcBorders>
          </w:tcPr>
          <w:p>
            <w:pPr>
              <w:pStyle w:val="283"/>
              <w:ind w:firstLine="462"/>
              <w:rPr>
                <w:color w:val="000000" w:themeColor="text1"/>
                <w14:textFill>
                  <w14:solidFill>
                    <w14:schemeClr w14:val="tx1"/>
                  </w14:solidFill>
                </w14:textFill>
              </w:rPr>
            </w:pPr>
            <w:r>
              <w:rPr>
                <w:color w:val="000000" w:themeColor="text1"/>
                <w14:textFill>
                  <w14:solidFill>
                    <w14:schemeClr w14:val="tx1"/>
                  </w14:solidFill>
                </w14:textFill>
              </w:rPr>
              <mc:AlternateContent>
                <mc:Choice Requires="wps">
                  <w:drawing>
                    <wp:anchor distT="0" distB="0" distL="114300" distR="114300" simplePos="0" relativeHeight="251681792" behindDoc="0" locked="0" layoutInCell="1" allowOverlap="1">
                      <wp:simplePos x="0" y="0"/>
                      <wp:positionH relativeFrom="column">
                        <wp:posOffset>3429635</wp:posOffset>
                      </wp:positionH>
                      <wp:positionV relativeFrom="paragraph">
                        <wp:posOffset>2857500</wp:posOffset>
                      </wp:positionV>
                      <wp:extent cx="762000" cy="371475"/>
                      <wp:effectExtent l="0" t="0" r="0" b="0"/>
                      <wp:wrapNone/>
                      <wp:docPr id="14" name="矩形 14"/>
                      <wp:cNvGraphicFramePr/>
                      <a:graphic xmlns:a="http://schemas.openxmlformats.org/drawingml/2006/main">
                        <a:graphicData uri="http://schemas.microsoft.com/office/word/2010/wordprocessingShape">
                          <wps:wsp>
                            <wps:cNvSpPr/>
                            <wps:spPr>
                              <a:xfrm>
                                <a:off x="0" y="0"/>
                                <a:ext cx="762000" cy="37147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pPr>
                                    <w:snapToGrid w:val="0"/>
                                    <w:jc w:val="center"/>
                                    <w:rPr>
                                      <w:b/>
                                      <w:color w:val="000000" w:themeColor="text1"/>
                                      <w:sz w:val="22"/>
                                      <w14:textFill>
                                        <w14:solidFill>
                                          <w14:schemeClr w14:val="tx1"/>
                                        </w14:solidFill>
                                      </w14:textFill>
                                    </w:rPr>
                                  </w:pPr>
                                  <w:r>
                                    <w:rPr>
                                      <w:b/>
                                      <w:color w:val="000000" w:themeColor="text1"/>
                                      <w:sz w:val="22"/>
                                      <w14:textFill>
                                        <w14:solidFill>
                                          <w14:schemeClr w14:val="tx1"/>
                                        </w14:solidFill>
                                      </w14:textFill>
                                    </w:rPr>
                                    <w:t>120m</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70.05pt;margin-top:225pt;height:29.25pt;width:60pt;z-index:251681792;v-text-anchor:middle;mso-width-relative:page;mso-height-relative:page;" filled="f" stroked="f" coordsize="21600,21600" o:gfxdata="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NHTLWbXAAAACwEAAA8AAAAAAAAAAQAgAAAAIgAA&#10;AGRycy9kb3ducmV2LnhtbFBLAQIUABQAAAAIAIdO4kAN7UKgQgIAAGAEAAAOAAAAAAAAAAEAIAAA&#10;ACYBAABkcnMvZTJvRG9jLnhtbFBLBQYAAAAABgAGAFkBAADaBQAAAAA=&#10;">
                      <v:fill on="f" focussize="0,0"/>
                      <v:stroke on="f" weight="1pt" miterlimit="8" joinstyle="miter"/>
                      <v:imagedata o:title=""/>
                      <o:lock v:ext="edit" aspectratio="f"/>
                      <v:textbox>
                        <w:txbxContent>
                          <w:p>
                            <w:pPr>
                              <w:snapToGrid w:val="0"/>
                              <w:jc w:val="center"/>
                              <w:rPr>
                                <w:b/>
                                <w:color w:val="000000" w:themeColor="text1"/>
                                <w:sz w:val="22"/>
                                <w14:textFill>
                                  <w14:solidFill>
                                    <w14:schemeClr w14:val="tx1"/>
                                  </w14:solidFill>
                                </w14:textFill>
                              </w:rPr>
                            </w:pPr>
                            <w:r>
                              <w:rPr>
                                <w:b/>
                                <w:color w:val="000000" w:themeColor="text1"/>
                                <w:sz w:val="22"/>
                                <w14:textFill>
                                  <w14:solidFill>
                                    <w14:schemeClr w14:val="tx1"/>
                                  </w14:solidFill>
                                </w14:textFill>
                              </w:rPr>
                              <w:t>120m</w:t>
                            </w:r>
                          </w:p>
                        </w:txbxContent>
                      </v:textbox>
                    </v:rect>
                  </w:pict>
                </mc:Fallback>
              </mc:AlternateContent>
            </w:r>
            <w:r>
              <w:rPr>
                <w:color w:val="000000" w:themeColor="text1"/>
                <w14:textFill>
                  <w14:solidFill>
                    <w14:schemeClr w14:val="tx1"/>
                  </w14:solidFill>
                </w14:textFill>
              </w:rPr>
              <mc:AlternateContent>
                <mc:Choice Requires="wps">
                  <w:drawing>
                    <wp:anchor distT="0" distB="0" distL="114300" distR="114300" simplePos="0" relativeHeight="251685888" behindDoc="0" locked="0" layoutInCell="1" allowOverlap="1">
                      <wp:simplePos x="0" y="0"/>
                      <wp:positionH relativeFrom="column">
                        <wp:posOffset>3439160</wp:posOffset>
                      </wp:positionH>
                      <wp:positionV relativeFrom="paragraph">
                        <wp:posOffset>2857500</wp:posOffset>
                      </wp:positionV>
                      <wp:extent cx="201295" cy="0"/>
                      <wp:effectExtent l="0" t="19050" r="8255" b="19050"/>
                      <wp:wrapNone/>
                      <wp:docPr id="1375757826" name="直接连接符 1375757826"/>
                      <wp:cNvGraphicFramePr/>
                      <a:graphic xmlns:a="http://schemas.openxmlformats.org/drawingml/2006/main">
                        <a:graphicData uri="http://schemas.microsoft.com/office/word/2010/wordprocessingShape">
                          <wps:wsp>
                            <wps:cNvCnPr/>
                            <wps:spPr>
                              <a:xfrm>
                                <a:off x="0" y="0"/>
                                <a:ext cx="201295" cy="0"/>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270.8pt;margin-top:225pt;height:0pt;width:15.85pt;z-index:251685888;mso-width-relative:page;mso-height-relative:page;" filled="f" stroked="t" coordsize="21600,21600" o:gfxdata="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">
                      <v:fill on="f" focussize="0,0"/>
                      <v:stroke weight="2.25pt" color="#FF0000 [3204]" miterlimit="8" joinstyle="miter"/>
                      <v:imagedata o:title=""/>
                      <o:lock v:ext="edit" aspectratio="f"/>
                    </v:line>
                  </w:pict>
                </mc:Fallback>
              </mc:AlternateContent>
            </w:r>
            <w:r>
              <w:rPr>
                <w:color w:val="000000" w:themeColor="text1"/>
                <w14:textFill>
                  <w14:solidFill>
                    <w14:schemeClr w14:val="tx1"/>
                  </w14:solidFill>
                </w14:textFill>
              </w:rPr>
              <mc:AlternateContent>
                <mc:Choice Requires="wps">
                  <w:drawing>
                    <wp:anchor distT="0" distB="0" distL="114300" distR="114300" simplePos="0" relativeHeight="251686912" behindDoc="0" locked="0" layoutInCell="1" allowOverlap="1">
                      <wp:simplePos x="0" y="0"/>
                      <wp:positionH relativeFrom="column">
                        <wp:posOffset>3448685</wp:posOffset>
                      </wp:positionH>
                      <wp:positionV relativeFrom="paragraph">
                        <wp:posOffset>3295650</wp:posOffset>
                      </wp:positionV>
                      <wp:extent cx="200025" cy="0"/>
                      <wp:effectExtent l="0" t="19050" r="9525" b="19050"/>
                      <wp:wrapNone/>
                      <wp:docPr id="1375757827" name="直接连接符 1375757827"/>
                      <wp:cNvGraphicFramePr/>
                      <a:graphic xmlns:a="http://schemas.openxmlformats.org/drawingml/2006/main">
                        <a:graphicData uri="http://schemas.microsoft.com/office/word/2010/wordprocessingShape">
                          <wps:wsp>
                            <wps:cNvCnPr/>
                            <wps:spPr>
                              <a:xfrm>
                                <a:off x="0" y="0"/>
                                <a:ext cx="200025" cy="0"/>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271.55pt;margin-top:259.5pt;height:0pt;width:15.75pt;z-index:251686912;mso-width-relative:page;mso-height-relative:page;" filled="f" stroked="t" coordsize="21600,21600" o:gfxdata="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">
                      <v:fill on="f" focussize="0,0"/>
                      <v:stroke weight="2.25pt" color="#FF0000 [3204]" miterlimit="8" joinstyle="miter"/>
                      <v:imagedata o:title=""/>
                      <o:lock v:ext="edit" aspectratio="f"/>
                    </v:line>
                  </w:pict>
                </mc:Fallback>
              </mc:AlternateContent>
            </w:r>
            <w:r>
              <w:rPr>
                <w:color w:val="000000" w:themeColor="text1"/>
                <w14:textFill>
                  <w14:solidFill>
                    <w14:schemeClr w14:val="tx1"/>
                  </w14:solidFill>
                </w14:textFill>
              </w:rPr>
              <mc:AlternateContent>
                <mc:Choice Requires="wps">
                  <w:drawing>
                    <wp:anchor distT="0" distB="0" distL="114300" distR="114300" simplePos="0" relativeHeight="251684864" behindDoc="0" locked="0" layoutInCell="1" allowOverlap="1">
                      <wp:simplePos x="0" y="0"/>
                      <wp:positionH relativeFrom="column">
                        <wp:posOffset>3429635</wp:posOffset>
                      </wp:positionH>
                      <wp:positionV relativeFrom="paragraph">
                        <wp:posOffset>381000</wp:posOffset>
                      </wp:positionV>
                      <wp:extent cx="200025" cy="0"/>
                      <wp:effectExtent l="0" t="19050" r="9525" b="19050"/>
                      <wp:wrapNone/>
                      <wp:docPr id="1375757825" name="直接连接符 1375757825"/>
                      <wp:cNvGraphicFramePr/>
                      <a:graphic xmlns:a="http://schemas.openxmlformats.org/drawingml/2006/main">
                        <a:graphicData uri="http://schemas.microsoft.com/office/word/2010/wordprocessingShape">
                          <wps:wsp>
                            <wps:cNvCnPr/>
                            <wps:spPr>
                              <a:xfrm>
                                <a:off x="0" y="0"/>
                                <a:ext cx="200025" cy="0"/>
                              </a:xfrm>
                              <a:prstGeom prst="line">
                                <a:avLst/>
                              </a:prstGeom>
                              <a:ln w="3810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270.05pt;margin-top:30pt;height:0pt;width:15.75pt;z-index:251684864;mso-width-relative:page;mso-height-relative:page;" filled="f" stroked="t" coordsize="21600,21600" o:gfxdata="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">
                      <v:fill on="f" focussize="0,0"/>
                      <v:stroke weight="3pt" color="#FF0000 [3204]" miterlimit="8" joinstyle="miter"/>
                      <v:imagedata o:title=""/>
                      <o:lock v:ext="edit" aspectratio="f"/>
                    </v:line>
                  </w:pict>
                </mc:Fallback>
              </mc:AlternateContent>
            </w:r>
            <w:r>
              <w:rPr>
                <w:color w:val="000000" w:themeColor="text1"/>
                <w14:textFill>
                  <w14:solidFill>
                    <w14:schemeClr w14:val="tx1"/>
                  </w14:solidFill>
                </w14:textFill>
              </w:rPr>
              <mc:AlternateContent>
                <mc:Choice Requires="wps">
                  <w:drawing>
                    <wp:anchor distT="0" distB="0" distL="114300" distR="114300" simplePos="0" relativeHeight="251683840" behindDoc="0" locked="0" layoutInCell="1" allowOverlap="1">
                      <wp:simplePos x="0" y="0"/>
                      <wp:positionH relativeFrom="column">
                        <wp:posOffset>3391535</wp:posOffset>
                      </wp:positionH>
                      <wp:positionV relativeFrom="paragraph">
                        <wp:posOffset>1485900</wp:posOffset>
                      </wp:positionV>
                      <wp:extent cx="866775" cy="457200"/>
                      <wp:effectExtent l="0" t="0" r="0" b="0"/>
                      <wp:wrapNone/>
                      <wp:docPr id="1375757824" name="矩形 1375757824"/>
                      <wp:cNvGraphicFramePr/>
                      <a:graphic xmlns:a="http://schemas.openxmlformats.org/drawingml/2006/main">
                        <a:graphicData uri="http://schemas.microsoft.com/office/word/2010/wordprocessingShape">
                          <wps:wsp>
                            <wps:cNvSpPr/>
                            <wps:spPr>
                              <a:xfrm>
                                <a:off x="0" y="0"/>
                                <a:ext cx="866775" cy="4572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pPr>
                                    <w:snapToGrid w:val="0"/>
                                    <w:jc w:val="center"/>
                                    <w:rPr>
                                      <w:b/>
                                      <w:color w:val="000000" w:themeColor="text1"/>
                                      <w:sz w:val="22"/>
                                      <w14:textFill>
                                        <w14:solidFill>
                                          <w14:schemeClr w14:val="tx1"/>
                                        </w14:solidFill>
                                      </w14:textFill>
                                    </w:rPr>
                                  </w:pPr>
                                  <w:r>
                                    <w:rPr>
                                      <w:rFonts w:hint="eastAsia"/>
                                      <w:b/>
                                      <w:color w:val="000000" w:themeColor="text1"/>
                                      <w:sz w:val="22"/>
                                      <w14:textFill>
                                        <w14:solidFill>
                                          <w14:schemeClr w14:val="tx1"/>
                                        </w14:solidFill>
                                      </w14:textFill>
                                    </w:rPr>
                                    <w:t>741.3m</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67.05pt;margin-top:117pt;height:36pt;width:68.25pt;z-index:251683840;v-text-anchor:middle;mso-width-relative:page;mso-height-relative:page;" filled="f" stroked="f" coordsize="21600,21600" o:gfxdata="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">
                      <v:fill on="f" focussize="0,0"/>
                      <v:stroke on="f" weight="1pt" miterlimit="8" joinstyle="miter"/>
                      <v:imagedata o:title=""/>
                      <o:lock v:ext="edit" aspectratio="f"/>
                      <v:textbox>
                        <w:txbxContent>
                          <w:p>
                            <w:pPr>
                              <w:snapToGrid w:val="0"/>
                              <w:jc w:val="center"/>
                              <w:rPr>
                                <w:b/>
                                <w:color w:val="000000" w:themeColor="text1"/>
                                <w:sz w:val="22"/>
                                <w14:textFill>
                                  <w14:solidFill>
                                    <w14:schemeClr w14:val="tx1"/>
                                  </w14:solidFill>
                                </w14:textFill>
                              </w:rPr>
                            </w:pPr>
                            <w:r>
                              <w:rPr>
                                <w:rFonts w:hint="eastAsia"/>
                                <w:b/>
                                <w:color w:val="000000" w:themeColor="text1"/>
                                <w:sz w:val="22"/>
                                <w14:textFill>
                                  <w14:solidFill>
                                    <w14:schemeClr w14:val="tx1"/>
                                  </w14:solidFill>
                                </w14:textFill>
                              </w:rPr>
                              <w:t>741.3m</w:t>
                            </w:r>
                          </w:p>
                        </w:txbxContent>
                      </v:textbox>
                    </v:rect>
                  </w:pict>
                </mc:Fallback>
              </mc:AlternateContent>
            </w:r>
            <w:r>
              <w:rPr>
                <w:color w:val="000000" w:themeColor="text1"/>
                <w14:textFill>
                  <w14:solidFill>
                    <w14:schemeClr w14:val="tx1"/>
                  </w14:solidFill>
                </w14:textFill>
              </w:rPr>
              <mc:AlternateContent>
                <mc:Choice Requires="wps">
                  <w:drawing>
                    <wp:anchor distT="0" distB="0" distL="114300" distR="114300" simplePos="0" relativeHeight="251682816" behindDoc="0" locked="0" layoutInCell="1" allowOverlap="1">
                      <wp:simplePos x="0" y="0"/>
                      <wp:positionH relativeFrom="column">
                        <wp:posOffset>3534410</wp:posOffset>
                      </wp:positionH>
                      <wp:positionV relativeFrom="paragraph">
                        <wp:posOffset>371475</wp:posOffset>
                      </wp:positionV>
                      <wp:extent cx="0" cy="2486025"/>
                      <wp:effectExtent l="95250" t="38100" r="95250" b="66675"/>
                      <wp:wrapNone/>
                      <wp:docPr id="26" name="直接箭头连接符 26"/>
                      <wp:cNvGraphicFramePr/>
                      <a:graphic xmlns:a="http://schemas.openxmlformats.org/drawingml/2006/main">
                        <a:graphicData uri="http://schemas.microsoft.com/office/word/2010/wordprocessingShape">
                          <wps:wsp>
                            <wps:cNvCnPr/>
                            <wps:spPr>
                              <a:xfrm>
                                <a:off x="0" y="0"/>
                                <a:ext cx="1" cy="2486025"/>
                              </a:xfrm>
                              <a:prstGeom prst="straightConnector1">
                                <a:avLst/>
                              </a:prstGeom>
                              <a:ln w="19050">
                                <a:solidFill>
                                  <a:srgbClr val="FF0000"/>
                                </a:solidFill>
                                <a:headEnd type="arrow"/>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margin-left:278.3pt;margin-top:29.25pt;height:195.75pt;width:0pt;z-index:251682816;mso-width-relative:page;mso-height-relative:page;" filled="f" stroked="t" coordsize="21600,21600" o:gfxdata="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">
                      <v:fill on="f" focussize="0,0"/>
                      <v:stroke weight="1.5pt" color="#FF0000 [3204]" miterlimit="8" joinstyle="miter" startarrow="open" endarrow="open"/>
                      <v:imagedata o:title=""/>
                      <o:lock v:ext="edit" aspectratio="f"/>
                    </v:shape>
                  </w:pict>
                </mc:Fallback>
              </mc:AlternateContent>
            </w:r>
            <w:r>
              <w:rPr>
                <w:color w:val="000000" w:themeColor="text1"/>
                <w14:textFill>
                  <w14:solidFill>
                    <w14:schemeClr w14:val="tx1"/>
                  </w14:solidFill>
                </w14:textFill>
              </w:rPr>
              <mc:AlternateContent>
                <mc:Choice Requires="wps">
                  <w:drawing>
                    <wp:anchor distT="0" distB="0" distL="114300" distR="114300" simplePos="0" relativeHeight="251680768" behindDoc="0" locked="0" layoutInCell="1" allowOverlap="1">
                      <wp:simplePos x="0" y="0"/>
                      <wp:positionH relativeFrom="column">
                        <wp:posOffset>3534410</wp:posOffset>
                      </wp:positionH>
                      <wp:positionV relativeFrom="paragraph">
                        <wp:posOffset>2857500</wp:posOffset>
                      </wp:positionV>
                      <wp:extent cx="0" cy="438150"/>
                      <wp:effectExtent l="95250" t="38100" r="57150" b="57150"/>
                      <wp:wrapNone/>
                      <wp:docPr id="12" name="直接箭头连接符 12"/>
                      <wp:cNvGraphicFramePr/>
                      <a:graphic xmlns:a="http://schemas.openxmlformats.org/drawingml/2006/main">
                        <a:graphicData uri="http://schemas.microsoft.com/office/word/2010/wordprocessingShape">
                          <wps:wsp>
                            <wps:cNvCnPr/>
                            <wps:spPr>
                              <a:xfrm>
                                <a:off x="0" y="0"/>
                                <a:ext cx="0" cy="438150"/>
                              </a:xfrm>
                              <a:prstGeom prst="straightConnector1">
                                <a:avLst/>
                              </a:prstGeom>
                              <a:ln w="19050">
                                <a:solidFill>
                                  <a:srgbClr val="FF0000"/>
                                </a:solidFill>
                                <a:headEnd type="arrow"/>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margin-left:278.3pt;margin-top:225pt;height:34.5pt;width:0pt;z-index:251680768;mso-width-relative:page;mso-height-relative:page;" filled="f" stroked="t" coordsize="21600,21600" o:gfxdata="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">
                      <v:fill on="f" focussize="0,0"/>
                      <v:stroke weight="1.5pt" color="#FF0000 [3204]" miterlimit="8" joinstyle="miter" startarrow="open" endarrow="open"/>
                      <v:imagedata o:title=""/>
                      <o:lock v:ext="edit" aspectratio="f"/>
                    </v:shape>
                  </w:pict>
                </mc:Fallback>
              </mc:AlternateContent>
            </w:r>
            <w:r>
              <w:rPr>
                <w:color w:val="000000" w:themeColor="text1"/>
                <w14:textFill>
                  <w14:solidFill>
                    <w14:schemeClr w14:val="tx1"/>
                  </w14:solidFill>
                </w14:textFill>
              </w:rPr>
              <mc:AlternateContent>
                <mc:Choice Requires="wps">
                  <w:drawing>
                    <wp:anchor distT="0" distB="0" distL="114300" distR="114300" simplePos="0" relativeHeight="251677696" behindDoc="0" locked="0" layoutInCell="1" allowOverlap="1">
                      <wp:simplePos x="0" y="0"/>
                      <wp:positionH relativeFrom="column">
                        <wp:posOffset>514985</wp:posOffset>
                      </wp:positionH>
                      <wp:positionV relativeFrom="paragraph">
                        <wp:posOffset>2505075</wp:posOffset>
                      </wp:positionV>
                      <wp:extent cx="1009650" cy="314325"/>
                      <wp:effectExtent l="19050" t="1181100" r="895350" b="28575"/>
                      <wp:wrapNone/>
                      <wp:docPr id="1375757848" name="矩形标注 1375757848"/>
                      <wp:cNvGraphicFramePr/>
                      <a:graphic xmlns:a="http://schemas.openxmlformats.org/drawingml/2006/main">
                        <a:graphicData uri="http://schemas.microsoft.com/office/word/2010/wordprocessingShape">
                          <wps:wsp>
                            <wps:cNvSpPr/>
                            <wps:spPr>
                              <a:xfrm>
                                <a:off x="0" y="0"/>
                                <a:ext cx="1009650" cy="314325"/>
                              </a:xfrm>
                              <a:prstGeom prst="wedgeRectCallout">
                                <a:avLst>
                                  <a:gd name="adj1" fmla="val 125601"/>
                                  <a:gd name="adj2" fmla="val -376894"/>
                                </a:avLst>
                              </a:prstGeom>
                              <a:solidFill>
                                <a:schemeClr val="bg1"/>
                              </a:solid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pPr>
                                    <w:snapToGrid w:val="0"/>
                                    <w:jc w:val="center"/>
                                    <w:rPr>
                                      <w:b/>
                                      <w:color w:val="000000" w:themeColor="text1"/>
                                      <w:sz w:val="22"/>
                                      <w14:textFill>
                                        <w14:solidFill>
                                          <w14:schemeClr w14:val="tx1"/>
                                        </w14:solidFill>
                                      </w14:textFill>
                                    </w:rPr>
                                  </w:pPr>
                                  <w:r>
                                    <w:rPr>
                                      <w:b/>
                                      <w:color w:val="000000" w:themeColor="text1"/>
                                      <w:sz w:val="22"/>
                                      <w14:textFill>
                                        <w14:solidFill>
                                          <w14:schemeClr w14:val="tx1"/>
                                        </w14:solidFill>
                                      </w14:textFill>
                                    </w:rPr>
                                    <w:t>22号堆场</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40.55pt;margin-top:197.25pt;height:24.75pt;width:79.5pt;z-index:251677696;v-text-anchor:middle;mso-width-relative:page;mso-height-relative:page;" fillcolor="#FFFFFF [3212]" filled="t" stroked="t" coordsize="21600,21600" o:gfxdata="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" adj="37930,-70609">
                      <v:fill on="t" focussize="0,0"/>
                      <v:stroke weight="2.25pt" color="#FF0000 [3204]" miterlimit="8" joinstyle="miter"/>
                      <v:imagedata o:title=""/>
                      <o:lock v:ext="edit" aspectratio="f"/>
                      <v:textbox>
                        <w:txbxContent>
                          <w:p>
                            <w:pPr>
                              <w:snapToGrid w:val="0"/>
                              <w:jc w:val="center"/>
                              <w:rPr>
                                <w:b/>
                                <w:color w:val="000000" w:themeColor="text1"/>
                                <w:sz w:val="22"/>
                                <w14:textFill>
                                  <w14:solidFill>
                                    <w14:schemeClr w14:val="tx1"/>
                                  </w14:solidFill>
                                </w14:textFill>
                              </w:rPr>
                            </w:pPr>
                            <w:r>
                              <w:rPr>
                                <w:b/>
                                <w:color w:val="000000" w:themeColor="text1"/>
                                <w:sz w:val="22"/>
                                <w14:textFill>
                                  <w14:solidFill>
                                    <w14:schemeClr w14:val="tx1"/>
                                  </w14:solidFill>
                                </w14:textFill>
                              </w:rPr>
                              <w:t>22号堆场</w:t>
                            </w:r>
                          </w:p>
                        </w:txbxContent>
                      </v:textbox>
                    </v:shape>
                  </w:pict>
                </mc:Fallback>
              </mc:AlternateContent>
            </w:r>
            <w:r>
              <w:rPr>
                <w:color w:val="000000" w:themeColor="text1"/>
                <w14:textFill>
                  <w14:solidFill>
                    <w14:schemeClr w14:val="tx1"/>
                  </w14:solidFill>
                </w14:textFill>
              </w:rPr>
              <mc:AlternateContent>
                <mc:Choice Requires="wps">
                  <w:drawing>
                    <wp:anchor distT="0" distB="0" distL="114300" distR="114300" simplePos="0" relativeHeight="251676672" behindDoc="0" locked="0" layoutInCell="1" allowOverlap="1">
                      <wp:simplePos x="0" y="0"/>
                      <wp:positionH relativeFrom="column">
                        <wp:posOffset>4029710</wp:posOffset>
                      </wp:positionH>
                      <wp:positionV relativeFrom="paragraph">
                        <wp:posOffset>2295525</wp:posOffset>
                      </wp:positionV>
                      <wp:extent cx="1038225" cy="523875"/>
                      <wp:effectExtent l="609600" t="1047750" r="28575" b="28575"/>
                      <wp:wrapNone/>
                      <wp:docPr id="1375757847" name="矩形标注 1375757847"/>
                      <wp:cNvGraphicFramePr/>
                      <a:graphic xmlns:a="http://schemas.openxmlformats.org/drawingml/2006/main">
                        <a:graphicData uri="http://schemas.microsoft.com/office/word/2010/wordprocessingShape">
                          <wps:wsp>
                            <wps:cNvSpPr/>
                            <wps:spPr>
                              <a:xfrm>
                                <a:off x="0" y="0"/>
                                <a:ext cx="1038225" cy="523875"/>
                              </a:xfrm>
                              <a:prstGeom prst="wedgeRectCallout">
                                <a:avLst>
                                  <a:gd name="adj1" fmla="val -103186"/>
                                  <a:gd name="adj2" fmla="val -237500"/>
                                </a:avLst>
                              </a:prstGeom>
                              <a:solidFill>
                                <a:schemeClr val="bg1"/>
                              </a:solidFill>
                              <a:ln w="19050">
                                <a:solidFill>
                                  <a:srgbClr val="4BFF60"/>
                                </a:solidFill>
                              </a:ln>
                            </wps:spPr>
                            <wps:style>
                              <a:lnRef idx="2">
                                <a:schemeClr val="accent1">
                                  <a:shade val="50000"/>
                                </a:schemeClr>
                              </a:lnRef>
                              <a:fillRef idx="1">
                                <a:schemeClr val="accent1"/>
                              </a:fillRef>
                              <a:effectRef idx="0">
                                <a:schemeClr val="accent1"/>
                              </a:effectRef>
                              <a:fontRef idx="minor">
                                <a:schemeClr val="lt1"/>
                              </a:fontRef>
                            </wps:style>
                            <wps:txbx>
                              <w:txbxContent>
                                <w:p>
                                  <w:pPr>
                                    <w:snapToGrid w:val="0"/>
                                    <w:jc w:val="center"/>
                                    <w:rPr>
                                      <w:rFonts w:ascii="宋体" w:hAnsi="宋体"/>
                                      <w:b/>
                                      <w:color w:val="000000" w:themeColor="text1"/>
                                      <w:sz w:val="22"/>
                                      <w14:textFill>
                                        <w14:solidFill>
                                          <w14:schemeClr w14:val="tx1"/>
                                        </w14:solidFill>
                                      </w14:textFill>
                                    </w:rPr>
                                  </w:pPr>
                                  <w:r>
                                    <w:rPr>
                                      <w:rFonts w:hint="eastAsia" w:ascii="宋体" w:hAnsi="宋体"/>
                                      <w:b/>
                                      <w:color w:val="000000" w:themeColor="text1"/>
                                      <w:sz w:val="22"/>
                                      <w14:textFill>
                                        <w14:solidFill>
                                          <w14:schemeClr w14:val="tx1"/>
                                        </w14:solidFill>
                                      </w14:textFill>
                                    </w:rPr>
                                    <w:t>本次扩建用地红线</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317.3pt;margin-top:180.75pt;height:41.25pt;width:81.75pt;z-index:251676672;v-text-anchor:middle;mso-width-relative:page;mso-height-relative:page;" fillcolor="#FFFFFF [3212]" filled="t" stroked="t" coordsize="21600,21600" o:gfxdata="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" adj="-11488,-40500">
                      <v:fill on="t" focussize="0,0"/>
                      <v:stroke weight="1.5pt" color="#4BFF60 [3204]" miterlimit="8" joinstyle="miter"/>
                      <v:imagedata o:title=""/>
                      <o:lock v:ext="edit" aspectratio="f"/>
                      <v:textbox>
                        <w:txbxContent>
                          <w:p>
                            <w:pPr>
                              <w:snapToGrid w:val="0"/>
                              <w:jc w:val="center"/>
                              <w:rPr>
                                <w:rFonts w:ascii="宋体" w:hAnsi="宋体"/>
                                <w:b/>
                                <w:color w:val="000000" w:themeColor="text1"/>
                                <w:sz w:val="22"/>
                                <w14:textFill>
                                  <w14:solidFill>
                                    <w14:schemeClr w14:val="tx1"/>
                                  </w14:solidFill>
                                </w14:textFill>
                              </w:rPr>
                            </w:pPr>
                            <w:r>
                              <w:rPr>
                                <w:rFonts w:hint="eastAsia" w:ascii="宋体" w:hAnsi="宋体"/>
                                <w:b/>
                                <w:color w:val="000000" w:themeColor="text1"/>
                                <w:sz w:val="22"/>
                                <w14:textFill>
                                  <w14:solidFill>
                                    <w14:schemeClr w14:val="tx1"/>
                                  </w14:solidFill>
                                </w14:textFill>
                              </w:rPr>
                              <w:t>本次扩建用地红线</w:t>
                            </w:r>
                          </w:p>
                        </w:txbxContent>
                      </v:textbox>
                    </v:shape>
                  </w:pict>
                </mc:Fallback>
              </mc:AlternateContent>
            </w:r>
            <w:r>
              <w:rPr>
                <w:color w:val="000000" w:themeColor="text1"/>
                <w14:textFill>
                  <w14:solidFill>
                    <w14:schemeClr w14:val="tx1"/>
                  </w14:solidFill>
                </w14:textFill>
              </w:rPr>
              <mc:AlternateContent>
                <mc:Choice Requires="wps">
                  <w:drawing>
                    <wp:anchor distT="0" distB="0" distL="114300" distR="114300" simplePos="0" relativeHeight="251675648" behindDoc="0" locked="0" layoutInCell="1" allowOverlap="1">
                      <wp:simplePos x="0" y="0"/>
                      <wp:positionH relativeFrom="column">
                        <wp:posOffset>334010</wp:posOffset>
                      </wp:positionH>
                      <wp:positionV relativeFrom="paragraph">
                        <wp:posOffset>85725</wp:posOffset>
                      </wp:positionV>
                      <wp:extent cx="1409700" cy="285750"/>
                      <wp:effectExtent l="0" t="0" r="19050" b="209550"/>
                      <wp:wrapNone/>
                      <wp:docPr id="1375757846" name="矩形标注 1375757846"/>
                      <wp:cNvGraphicFramePr/>
                      <a:graphic xmlns:a="http://schemas.openxmlformats.org/drawingml/2006/main">
                        <a:graphicData uri="http://schemas.microsoft.com/office/word/2010/wordprocessingShape">
                          <wps:wsp>
                            <wps:cNvSpPr/>
                            <wps:spPr>
                              <a:xfrm>
                                <a:off x="0" y="0"/>
                                <a:ext cx="1409700" cy="285750"/>
                              </a:xfrm>
                              <a:prstGeom prst="wedgeRectCallout">
                                <a:avLst>
                                  <a:gd name="adj1" fmla="val -4867"/>
                                  <a:gd name="adj2" fmla="val 112500"/>
                                </a:avLst>
                              </a:prstGeom>
                              <a:solidFill>
                                <a:schemeClr val="bg1"/>
                              </a:solidFill>
                              <a:ln w="19050">
                                <a:solidFill>
                                  <a:srgbClr val="FB4BFF"/>
                                </a:solidFill>
                              </a:ln>
                            </wps:spPr>
                            <wps:style>
                              <a:lnRef idx="2">
                                <a:schemeClr val="accent1">
                                  <a:shade val="50000"/>
                                </a:schemeClr>
                              </a:lnRef>
                              <a:fillRef idx="1">
                                <a:schemeClr val="accent1"/>
                              </a:fillRef>
                              <a:effectRef idx="0">
                                <a:schemeClr val="accent1"/>
                              </a:effectRef>
                              <a:fontRef idx="minor">
                                <a:schemeClr val="lt1"/>
                              </a:fontRef>
                            </wps:style>
                            <wps:txbx>
                              <w:txbxContent>
                                <w:p>
                                  <w:pPr>
                                    <w:snapToGrid w:val="0"/>
                                    <w:jc w:val="center"/>
                                    <w:rPr>
                                      <w:b/>
                                      <w:color w:val="000000" w:themeColor="text1"/>
                                      <w:sz w:val="22"/>
                                      <w14:textFill>
                                        <w14:solidFill>
                                          <w14:schemeClr w14:val="tx1"/>
                                        </w14:solidFill>
                                      </w14:textFill>
                                    </w:rPr>
                                  </w:pPr>
                                  <w:r>
                                    <w:rPr>
                                      <w:b/>
                                      <w:color w:val="000000" w:themeColor="text1"/>
                                      <w:sz w:val="22"/>
                                      <w14:textFill>
                                        <w14:solidFill>
                                          <w14:schemeClr w14:val="tx1"/>
                                        </w14:solidFill>
                                      </w14:textFill>
                                    </w:rPr>
                                    <w:t>现有9号10号泊位</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26.3pt;margin-top:6.75pt;height:22.5pt;width:111pt;z-index:251675648;v-text-anchor:middle;mso-width-relative:page;mso-height-relative:page;" fillcolor="#FFFFFF [3212]" filled="t" stroked="t" coordsize="21600,21600" o:gfxdata="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" adj="9749,35100">
                      <v:fill on="t" focussize="0,0"/>
                      <v:stroke weight="1.5pt" color="#FB4BFF [3204]" miterlimit="8" joinstyle="miter"/>
                      <v:imagedata o:title=""/>
                      <o:lock v:ext="edit" aspectratio="f"/>
                      <v:textbox>
                        <w:txbxContent>
                          <w:p>
                            <w:pPr>
                              <w:snapToGrid w:val="0"/>
                              <w:jc w:val="center"/>
                              <w:rPr>
                                <w:b/>
                                <w:color w:val="000000" w:themeColor="text1"/>
                                <w:sz w:val="22"/>
                                <w14:textFill>
                                  <w14:solidFill>
                                    <w14:schemeClr w14:val="tx1"/>
                                  </w14:solidFill>
                                </w14:textFill>
                              </w:rPr>
                            </w:pPr>
                            <w:r>
                              <w:rPr>
                                <w:b/>
                                <w:color w:val="000000" w:themeColor="text1"/>
                                <w:sz w:val="22"/>
                                <w14:textFill>
                                  <w14:solidFill>
                                    <w14:schemeClr w14:val="tx1"/>
                                  </w14:solidFill>
                                </w14:textFill>
                              </w:rPr>
                              <w:t>现有9号10号泊位</w:t>
                            </w:r>
                          </w:p>
                        </w:txbxContent>
                      </v:textbox>
                    </v:shape>
                  </w:pict>
                </mc:Fallback>
              </mc:AlternateContent>
            </w:r>
            <w:r>
              <w:rPr>
                <w:color w:val="000000" w:themeColor="text1"/>
                <w14:textFill>
                  <w14:solidFill>
                    <w14:schemeClr w14:val="tx1"/>
                  </w14:solidFill>
                </w14:textFill>
              </w:rPr>
              <mc:AlternateContent>
                <mc:Choice Requires="wps">
                  <w:drawing>
                    <wp:anchor distT="0" distB="0" distL="114300" distR="114300" simplePos="0" relativeHeight="251666432" behindDoc="0" locked="0" layoutInCell="1" allowOverlap="1">
                      <wp:simplePos x="0" y="0"/>
                      <wp:positionH relativeFrom="column">
                        <wp:posOffset>66675</wp:posOffset>
                      </wp:positionH>
                      <wp:positionV relativeFrom="paragraph">
                        <wp:posOffset>571500</wp:posOffset>
                      </wp:positionV>
                      <wp:extent cx="2543175" cy="2724150"/>
                      <wp:effectExtent l="19050" t="19050" r="28575" b="19050"/>
                      <wp:wrapNone/>
                      <wp:docPr id="1375757836" name="矩形 1375757836"/>
                      <wp:cNvGraphicFramePr/>
                      <a:graphic xmlns:a="http://schemas.openxmlformats.org/drawingml/2006/main">
                        <a:graphicData uri="http://schemas.microsoft.com/office/word/2010/wordprocessingShape">
                          <wps:wsp>
                            <wps:cNvSpPr/>
                            <wps:spPr>
                              <a:xfrm>
                                <a:off x="0" y="0"/>
                                <a:ext cx="2543175" cy="2724150"/>
                              </a:xfrm>
                              <a:prstGeom prst="rect">
                                <a:avLst/>
                              </a:prstGeom>
                              <a:noFill/>
                              <a:ln w="38100">
                                <a:solidFill>
                                  <a:srgbClr val="FB4BFF"/>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5.25pt;margin-top:45pt;height:214.5pt;width:200.25pt;z-index:251666432;v-text-anchor:middle;mso-width-relative:page;mso-height-relative:page;" filled="f" stroked="t" coordsize="21600,21600" o:gfxdata="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">
                      <v:fill on="f" focussize="0,0"/>
                      <v:stroke weight="3pt" color="#FB4BFF [3204]" miterlimit="8" joinstyle="miter"/>
                      <v:imagedata o:title=""/>
                      <o:lock v:ext="edit" aspectratio="f"/>
                    </v:rect>
                  </w:pict>
                </mc:Fallback>
              </mc:AlternateContent>
            </w:r>
            <w:r>
              <w:rPr>
                <w:color w:val="000000" w:themeColor="text1"/>
                <w14:textFill>
                  <w14:solidFill>
                    <w14:schemeClr w14:val="tx1"/>
                  </w14:solidFill>
                </w14:textFill>
              </w:rPr>
              <mc:AlternateContent>
                <mc:Choice Requires="wps">
                  <w:drawing>
                    <wp:anchor distT="0" distB="0" distL="114300" distR="114300" simplePos="0" relativeHeight="251674624" behindDoc="0" locked="0" layoutInCell="1" allowOverlap="1">
                      <wp:simplePos x="0" y="0"/>
                      <wp:positionH relativeFrom="column">
                        <wp:posOffset>2429510</wp:posOffset>
                      </wp:positionH>
                      <wp:positionV relativeFrom="paragraph">
                        <wp:posOffset>1009650</wp:posOffset>
                      </wp:positionV>
                      <wp:extent cx="114300" cy="1914525"/>
                      <wp:effectExtent l="19050" t="19050" r="19050" b="28575"/>
                      <wp:wrapNone/>
                      <wp:docPr id="1375757845" name="矩形 1375757845"/>
                      <wp:cNvGraphicFramePr/>
                      <a:graphic xmlns:a="http://schemas.openxmlformats.org/drawingml/2006/main">
                        <a:graphicData uri="http://schemas.microsoft.com/office/word/2010/wordprocessingShape">
                          <wps:wsp>
                            <wps:cNvSpPr/>
                            <wps:spPr>
                              <a:xfrm>
                                <a:off x="0" y="0"/>
                                <a:ext cx="114300" cy="1914525"/>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91.3pt;margin-top:79.5pt;height:150.75pt;width:9pt;z-index:251674624;v-text-anchor:middle;mso-width-relative:page;mso-height-relative:page;" filled="f" stroked="t" coordsize="21600,21600" o:gfxdata="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">
                      <v:fill on="f" focussize="0,0"/>
                      <v:stroke weight="3pt" color="#FF0000 [3204]" miterlimit="8" joinstyle="miter"/>
                      <v:imagedata o:title=""/>
                      <o:lock v:ext="edit" aspectratio="f"/>
                    </v:rect>
                  </w:pict>
                </mc:Fallback>
              </mc:AlternateContent>
            </w:r>
            <w:r>
              <w:rPr>
                <w:color w:val="000000" w:themeColor="text1"/>
                <w14:textFill>
                  <w14:solidFill>
                    <w14:schemeClr w14:val="tx1"/>
                  </w14:solidFill>
                </w14:textFill>
              </w:rPr>
              <mc:AlternateContent>
                <mc:Choice Requires="wps">
                  <w:drawing>
                    <wp:anchor distT="0" distB="0" distL="114300" distR="114300" simplePos="0" relativeHeight="251673600" behindDoc="0" locked="0" layoutInCell="1" allowOverlap="1">
                      <wp:simplePos x="0" y="0"/>
                      <wp:positionH relativeFrom="column">
                        <wp:posOffset>3391535</wp:posOffset>
                      </wp:positionH>
                      <wp:positionV relativeFrom="paragraph">
                        <wp:posOffset>923290</wp:posOffset>
                      </wp:positionV>
                      <wp:extent cx="0" cy="2371725"/>
                      <wp:effectExtent l="19050" t="0" r="19050" b="9525"/>
                      <wp:wrapNone/>
                      <wp:docPr id="1375757844" name="直接连接符 1375757844"/>
                      <wp:cNvGraphicFramePr/>
                      <a:graphic xmlns:a="http://schemas.openxmlformats.org/drawingml/2006/main">
                        <a:graphicData uri="http://schemas.microsoft.com/office/word/2010/wordprocessingShape">
                          <wps:wsp>
                            <wps:cNvCnPr/>
                            <wps:spPr>
                              <a:xfrm>
                                <a:off x="0" y="0"/>
                                <a:ext cx="0" cy="2371725"/>
                              </a:xfrm>
                              <a:prstGeom prst="line">
                                <a:avLst/>
                              </a:prstGeom>
                              <a:ln w="38100">
                                <a:solidFill>
                                  <a:srgbClr val="4BFF6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267.05pt;margin-top:72.7pt;height:186.75pt;width:0pt;z-index:251673600;mso-width-relative:page;mso-height-relative:page;" filled="f" stroked="t" coordsize="21600,21600" o:gfxdata="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">
                      <v:fill on="f" focussize="0,0"/>
                      <v:stroke weight="3pt" color="#4BFF60 [3204]" miterlimit="8" joinstyle="miter"/>
                      <v:imagedata o:title=""/>
                      <o:lock v:ext="edit" aspectratio="f"/>
                    </v:line>
                  </w:pict>
                </mc:Fallback>
              </mc:AlternateContent>
            </w:r>
            <w:r>
              <w:rPr>
                <w:color w:val="000000" w:themeColor="text1"/>
                <w14:textFill>
                  <w14:solidFill>
                    <w14:schemeClr w14:val="tx1"/>
                  </w14:solidFill>
                </w14:textFill>
              </w:rPr>
              <mc:AlternateContent>
                <mc:Choice Requires="wps">
                  <w:drawing>
                    <wp:anchor distT="0" distB="0" distL="114300" distR="114300" simplePos="0" relativeHeight="251672576" behindDoc="0" locked="0" layoutInCell="1" allowOverlap="1">
                      <wp:simplePos x="0" y="0"/>
                      <wp:positionH relativeFrom="column">
                        <wp:posOffset>2658110</wp:posOffset>
                      </wp:positionH>
                      <wp:positionV relativeFrom="paragraph">
                        <wp:posOffset>3295650</wp:posOffset>
                      </wp:positionV>
                      <wp:extent cx="733425" cy="0"/>
                      <wp:effectExtent l="0" t="19050" r="9525" b="19050"/>
                      <wp:wrapNone/>
                      <wp:docPr id="1375757842" name="直接连接符 1375757842"/>
                      <wp:cNvGraphicFramePr/>
                      <a:graphic xmlns:a="http://schemas.openxmlformats.org/drawingml/2006/main">
                        <a:graphicData uri="http://schemas.microsoft.com/office/word/2010/wordprocessingShape">
                          <wps:wsp>
                            <wps:cNvCnPr/>
                            <wps:spPr>
                              <a:xfrm>
                                <a:off x="0" y="0"/>
                                <a:ext cx="733425" cy="0"/>
                              </a:xfrm>
                              <a:prstGeom prst="line">
                                <a:avLst/>
                              </a:prstGeom>
                              <a:ln w="38100">
                                <a:solidFill>
                                  <a:srgbClr val="4BFF6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209.3pt;margin-top:259.5pt;height:0pt;width:57.75pt;z-index:251672576;mso-width-relative:page;mso-height-relative:page;" filled="f" stroked="t" coordsize="21600,21600" o:gfxdata="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">
                      <v:fill on="f" focussize="0,0"/>
                      <v:stroke weight="3pt" color="#4BFF60 [3204]" miterlimit="8" joinstyle="miter"/>
                      <v:imagedata o:title=""/>
                      <o:lock v:ext="edit" aspectratio="f"/>
                    </v:line>
                  </w:pict>
                </mc:Fallback>
              </mc:AlternateContent>
            </w:r>
            <w:r>
              <w:rPr>
                <w:color w:val="000000" w:themeColor="text1"/>
                <w14:textFill>
                  <w14:solidFill>
                    <w14:schemeClr w14:val="tx1"/>
                  </w14:solidFill>
                </w14:textFill>
              </w:rPr>
              <mc:AlternateContent>
                <mc:Choice Requires="wps">
                  <w:drawing>
                    <wp:anchor distT="0" distB="0" distL="114300" distR="114300" simplePos="0" relativeHeight="251671552" behindDoc="0" locked="0" layoutInCell="1" allowOverlap="1">
                      <wp:simplePos x="0" y="0"/>
                      <wp:positionH relativeFrom="column">
                        <wp:posOffset>2658110</wp:posOffset>
                      </wp:positionH>
                      <wp:positionV relativeFrom="paragraph">
                        <wp:posOffset>571500</wp:posOffset>
                      </wp:positionV>
                      <wp:extent cx="0" cy="2724150"/>
                      <wp:effectExtent l="19050" t="0" r="19050" b="0"/>
                      <wp:wrapNone/>
                      <wp:docPr id="1375757841" name="直接连接符 1375757841"/>
                      <wp:cNvGraphicFramePr/>
                      <a:graphic xmlns:a="http://schemas.openxmlformats.org/drawingml/2006/main">
                        <a:graphicData uri="http://schemas.microsoft.com/office/word/2010/wordprocessingShape">
                          <wps:wsp>
                            <wps:cNvCnPr/>
                            <wps:spPr>
                              <a:xfrm>
                                <a:off x="0" y="0"/>
                                <a:ext cx="0" cy="2724150"/>
                              </a:xfrm>
                              <a:prstGeom prst="line">
                                <a:avLst/>
                              </a:prstGeom>
                              <a:ln w="38100">
                                <a:solidFill>
                                  <a:srgbClr val="4BFF6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209.3pt;margin-top:45pt;height:214.5pt;width:0pt;z-index:251671552;mso-width-relative:page;mso-height-relative:page;" filled="f" stroked="t" coordsize="21600,21600" o:gfxdata="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">
                      <v:fill on="f" focussize="0,0"/>
                      <v:stroke weight="3pt" color="#4BFF60 [3204]" miterlimit="8" joinstyle="miter"/>
                      <v:imagedata o:title=""/>
                      <o:lock v:ext="edit" aspectratio="f"/>
                    </v:line>
                  </w:pict>
                </mc:Fallback>
              </mc:AlternateContent>
            </w:r>
            <w:r>
              <w:rPr>
                <w:color w:val="000000" w:themeColor="text1"/>
                <w14:textFill>
                  <w14:solidFill>
                    <w14:schemeClr w14:val="tx1"/>
                  </w14:solidFill>
                </w14:textFill>
              </w:rPr>
              <mc:AlternateContent>
                <mc:Choice Requires="wps">
                  <w:drawing>
                    <wp:anchor distT="0" distB="0" distL="114300" distR="114300" simplePos="0" relativeHeight="251670528" behindDoc="0" locked="0" layoutInCell="1" allowOverlap="1">
                      <wp:simplePos x="0" y="0"/>
                      <wp:positionH relativeFrom="column">
                        <wp:posOffset>2658110</wp:posOffset>
                      </wp:positionH>
                      <wp:positionV relativeFrom="paragraph">
                        <wp:posOffset>371475</wp:posOffset>
                      </wp:positionV>
                      <wp:extent cx="0" cy="200025"/>
                      <wp:effectExtent l="19050" t="0" r="19050" b="9525"/>
                      <wp:wrapNone/>
                      <wp:docPr id="1375757840" name="直接连接符 1375757840"/>
                      <wp:cNvGraphicFramePr/>
                      <a:graphic xmlns:a="http://schemas.openxmlformats.org/drawingml/2006/main">
                        <a:graphicData uri="http://schemas.microsoft.com/office/word/2010/wordprocessingShape">
                          <wps:wsp>
                            <wps:cNvCnPr/>
                            <wps:spPr>
                              <a:xfrm>
                                <a:off x="0" y="0"/>
                                <a:ext cx="0" cy="200025"/>
                              </a:xfrm>
                              <a:prstGeom prst="line">
                                <a:avLst/>
                              </a:prstGeom>
                              <a:ln w="38100">
                                <a:solidFill>
                                  <a:srgbClr val="4BFF6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209.3pt;margin-top:29.25pt;height:15.75pt;width:0pt;z-index:251670528;mso-width-relative:page;mso-height-relative:page;" filled="f" stroked="t" coordsize="21600,21600" o:gfxdata="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">
                      <v:fill on="f" focussize="0,0"/>
                      <v:stroke weight="3pt" color="#4BFF60 [3204]" miterlimit="8" joinstyle="miter"/>
                      <v:imagedata o:title=""/>
                      <o:lock v:ext="edit" aspectratio="f"/>
                    </v:line>
                  </w:pict>
                </mc:Fallback>
              </mc:AlternateContent>
            </w:r>
            <w:r>
              <w:rPr>
                <w:color w:val="000000" w:themeColor="text1"/>
                <w14:textFill>
                  <w14:solidFill>
                    <w14:schemeClr w14:val="tx1"/>
                  </w14:solidFill>
                </w14:textFill>
              </w:rPr>
              <mc:AlternateContent>
                <mc:Choice Requires="wps">
                  <w:drawing>
                    <wp:anchor distT="0" distB="0" distL="114300" distR="114300" simplePos="0" relativeHeight="251669504" behindDoc="0" locked="0" layoutInCell="1" allowOverlap="1">
                      <wp:simplePos x="0" y="0"/>
                      <wp:positionH relativeFrom="column">
                        <wp:posOffset>3391535</wp:posOffset>
                      </wp:positionH>
                      <wp:positionV relativeFrom="paragraph">
                        <wp:posOffset>923925</wp:posOffset>
                      </wp:positionV>
                      <wp:extent cx="533400" cy="0"/>
                      <wp:effectExtent l="0" t="19050" r="0" b="19050"/>
                      <wp:wrapNone/>
                      <wp:docPr id="1375757839" name="直接连接符 1375757839"/>
                      <wp:cNvGraphicFramePr/>
                      <a:graphic xmlns:a="http://schemas.openxmlformats.org/drawingml/2006/main">
                        <a:graphicData uri="http://schemas.microsoft.com/office/word/2010/wordprocessingShape">
                          <wps:wsp>
                            <wps:cNvCnPr/>
                            <wps:spPr>
                              <a:xfrm>
                                <a:off x="0" y="0"/>
                                <a:ext cx="533400" cy="0"/>
                              </a:xfrm>
                              <a:prstGeom prst="line">
                                <a:avLst/>
                              </a:prstGeom>
                              <a:ln w="38100">
                                <a:solidFill>
                                  <a:srgbClr val="4BFF6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267.05pt;margin-top:72.75pt;height:0pt;width:42pt;z-index:251669504;mso-width-relative:page;mso-height-relative:page;" filled="f" stroked="t" coordsize="21600,21600" o:gfxdata="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">
                      <v:fill on="f" focussize="0,0"/>
                      <v:stroke weight="3pt" color="#4BFF60 [3204]" miterlimit="8" joinstyle="miter"/>
                      <v:imagedata o:title=""/>
                      <o:lock v:ext="edit" aspectratio="f"/>
                    </v:line>
                  </w:pict>
                </mc:Fallback>
              </mc:AlternateContent>
            </w:r>
            <w:r>
              <w:rPr>
                <w:color w:val="000000" w:themeColor="text1"/>
                <w14:textFill>
                  <w14:solidFill>
                    <w14:schemeClr w14:val="tx1"/>
                  </w14:solidFill>
                </w14:textFill>
              </w:rPr>
              <mc:AlternateContent>
                <mc:Choice Requires="wps">
                  <w:drawing>
                    <wp:anchor distT="0" distB="0" distL="114300" distR="114300" simplePos="0" relativeHeight="251668480" behindDoc="0" locked="0" layoutInCell="1" allowOverlap="1">
                      <wp:simplePos x="0" y="0"/>
                      <wp:positionH relativeFrom="column">
                        <wp:posOffset>3924935</wp:posOffset>
                      </wp:positionH>
                      <wp:positionV relativeFrom="paragraph">
                        <wp:posOffset>371475</wp:posOffset>
                      </wp:positionV>
                      <wp:extent cx="0" cy="552450"/>
                      <wp:effectExtent l="19050" t="0" r="19050" b="0"/>
                      <wp:wrapNone/>
                      <wp:docPr id="1375757838" name="直接连接符 1375757838"/>
                      <wp:cNvGraphicFramePr/>
                      <a:graphic xmlns:a="http://schemas.openxmlformats.org/drawingml/2006/main">
                        <a:graphicData uri="http://schemas.microsoft.com/office/word/2010/wordprocessingShape">
                          <wps:wsp>
                            <wps:cNvCnPr/>
                            <wps:spPr>
                              <a:xfrm>
                                <a:off x="0" y="0"/>
                                <a:ext cx="0" cy="552450"/>
                              </a:xfrm>
                              <a:prstGeom prst="line">
                                <a:avLst/>
                              </a:prstGeom>
                              <a:ln w="38100">
                                <a:solidFill>
                                  <a:srgbClr val="4BFF6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309.05pt;margin-top:29.25pt;height:43.5pt;width:0pt;z-index:251668480;mso-width-relative:page;mso-height-relative:page;" filled="f" stroked="t" coordsize="21600,21600" o:gfxdata="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">
                      <v:fill on="f" focussize="0,0"/>
                      <v:stroke weight="3pt" color="#4BFF60 [3204]" miterlimit="8" joinstyle="miter"/>
                      <v:imagedata o:title=""/>
                      <o:lock v:ext="edit" aspectratio="f"/>
                    </v:line>
                  </w:pict>
                </mc:Fallback>
              </mc:AlternateContent>
            </w:r>
            <w:r>
              <w:rPr>
                <w:color w:val="000000" w:themeColor="text1"/>
                <w14:textFill>
                  <w14:solidFill>
                    <w14:schemeClr w14:val="tx1"/>
                  </w14:solidFill>
                </w14:textFill>
              </w:rPr>
              <mc:AlternateContent>
                <mc:Choice Requires="wps">
                  <w:drawing>
                    <wp:anchor distT="0" distB="0" distL="114300" distR="114300" simplePos="0" relativeHeight="251667456" behindDoc="0" locked="0" layoutInCell="1" allowOverlap="1">
                      <wp:simplePos x="0" y="0"/>
                      <wp:positionH relativeFrom="column">
                        <wp:posOffset>2657475</wp:posOffset>
                      </wp:positionH>
                      <wp:positionV relativeFrom="paragraph">
                        <wp:posOffset>371475</wp:posOffset>
                      </wp:positionV>
                      <wp:extent cx="1266825" cy="9525"/>
                      <wp:effectExtent l="19050" t="19050" r="9525" b="28575"/>
                      <wp:wrapNone/>
                      <wp:docPr id="1375757837" name="直接连接符 1375757837"/>
                      <wp:cNvGraphicFramePr/>
                      <a:graphic xmlns:a="http://schemas.openxmlformats.org/drawingml/2006/main">
                        <a:graphicData uri="http://schemas.microsoft.com/office/word/2010/wordprocessingShape">
                          <wps:wsp>
                            <wps:cNvCnPr/>
                            <wps:spPr>
                              <a:xfrm flipV="1">
                                <a:off x="0" y="0"/>
                                <a:ext cx="1266825" cy="9525"/>
                              </a:xfrm>
                              <a:prstGeom prst="line">
                                <a:avLst/>
                              </a:prstGeom>
                              <a:ln w="38100">
                                <a:solidFill>
                                  <a:srgbClr val="4BFF6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flip:y;margin-left:209.25pt;margin-top:29.25pt;height:0.75pt;width:99.75pt;z-index:251667456;mso-width-relative:page;mso-height-relative:page;" filled="f" stroked="t" coordsize="21600,21600" o:gfxdata="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">
                      <v:fill on="f" focussize="0,0"/>
                      <v:stroke weight="3pt" color="#4BFF60 [3204]" miterlimit="8" joinstyle="miter"/>
                      <v:imagedata o:title=""/>
                      <o:lock v:ext="edit" aspectratio="f"/>
                    </v:line>
                  </w:pict>
                </mc:Fallback>
              </mc:AlternateContent>
            </w:r>
            <w:r>
              <w:rPr>
                <w:color w:val="000000" w:themeColor="text1"/>
                <w14:textFill>
                  <w14:solidFill>
                    <w14:schemeClr w14:val="tx1"/>
                  </w14:solidFill>
                </w14:textFill>
              </w:rPr>
              <w:drawing>
                <wp:inline distT="0" distB="0" distL="0" distR="0">
                  <wp:extent cx="5210175" cy="3818255"/>
                  <wp:effectExtent l="19050" t="19050" r="9525" b="10795"/>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pic:cNvPicPr>
                            <a:picLocks noChangeAspect="1"/>
                          </pic:cNvPicPr>
                        </pic:nvPicPr>
                        <pic:blipFill>
                          <a:blip r:embed="rId55"/>
                          <a:stretch>
                            <a:fillRect/>
                          </a:stretch>
                        </pic:blipFill>
                        <pic:spPr>
                          <a:xfrm>
                            <a:off x="0" y="0"/>
                            <a:ext cx="5211821" cy="3819589"/>
                          </a:xfrm>
                          <a:prstGeom prst="rect">
                            <a:avLst/>
                          </a:prstGeom>
                          <a:ln>
                            <a:solidFill>
                              <a:schemeClr val="tx1"/>
                            </a:solidFill>
                          </a:ln>
                        </pic:spPr>
                      </pic:pic>
                    </a:graphicData>
                  </a:graphic>
                </wp:inline>
              </w:drawing>
            </w:r>
          </w:p>
          <w:p>
            <w:pPr>
              <w:pStyle w:val="553"/>
              <w:rPr>
                <w:color w:val="000000" w:themeColor="text1"/>
                <w14:textFill>
                  <w14:solidFill>
                    <w14:schemeClr w14:val="tx1"/>
                  </w14:solidFill>
                </w14:textFill>
              </w:rPr>
            </w:pPr>
            <w:r>
              <w:rPr>
                <w:rFonts w:hint="eastAsia"/>
                <w:color w:val="000000" w:themeColor="text1"/>
                <w14:textFill>
                  <w14:solidFill>
                    <w14:schemeClr w14:val="tx1"/>
                  </w14:solidFill>
                </w14:textFill>
              </w:rPr>
              <w:t>22号堆场与本次扩建及原有泊位红线位置关系</w:t>
            </w:r>
          </w:p>
        </w:tc>
      </w:tr>
    </w:tbl>
    <w:p>
      <w:pPr>
        <w:pStyle w:val="283"/>
        <w:ind w:firstLine="462"/>
        <w:rPr>
          <w:color w:val="000000" w:themeColor="text1"/>
          <w14:textFill>
            <w14:solidFill>
              <w14:schemeClr w14:val="tx1"/>
            </w14:solidFill>
          </w14:textFill>
        </w:rPr>
      </w:pPr>
      <w:r>
        <w:rPr>
          <w:rFonts w:hint="eastAsia"/>
          <w:color w:val="000000" w:themeColor="text1"/>
          <w14:textFill>
            <w14:solidFill>
              <w14:schemeClr w14:val="tx1"/>
            </w14:solidFill>
          </w14:textFill>
        </w:rPr>
        <w:t>3、堆场衔接区</w:t>
      </w:r>
    </w:p>
    <w:p>
      <w:pPr>
        <w:pStyle w:val="283"/>
        <w:ind w:firstLine="462"/>
        <w:rPr>
          <w:color w:val="000000" w:themeColor="text1"/>
          <w14:textFill>
            <w14:solidFill>
              <w14:schemeClr w14:val="tx1"/>
            </w14:solidFill>
          </w14:textFill>
        </w:rPr>
      </w:pPr>
      <w:r>
        <w:rPr>
          <w:color w:val="000000" w:themeColor="text1"/>
          <w14:textFill>
            <w14:solidFill>
              <w14:schemeClr w14:val="tx1"/>
            </w14:solidFill>
          </w14:textFill>
        </w:rPr>
        <w:t>根据项目实施要求，码头前沿作业地带后方作为</w:t>
      </w:r>
      <w:bookmarkStart w:id="94" w:name="_Hlk171077796"/>
      <w:r>
        <w:rPr>
          <w:color w:val="000000" w:themeColor="text1"/>
          <w14:textFill>
            <w14:solidFill>
              <w14:schemeClr w14:val="tx1"/>
            </w14:solidFill>
          </w14:textFill>
        </w:rPr>
        <w:t>堆场衔接区，</w:t>
      </w:r>
      <w:bookmarkEnd w:id="94"/>
      <w:r>
        <w:rPr>
          <w:color w:val="000000" w:themeColor="text1"/>
          <w14:textFill>
            <w14:solidFill>
              <w14:schemeClr w14:val="tx1"/>
            </w14:solidFill>
          </w14:textFill>
        </w:rPr>
        <w:t>仅进行陆域形成，</w:t>
      </w:r>
      <w:r>
        <w:rPr>
          <w:rFonts w:hint="eastAsia"/>
          <w:color w:val="000000" w:themeColor="text1"/>
          <w14:textFill>
            <w14:solidFill>
              <w14:schemeClr w14:val="tx1"/>
            </w14:solidFill>
          </w14:textFill>
        </w:rPr>
        <w:t>后方预留发展区场地计划用于海铁联运连接通道、海关查验场地、运输缓冲场地等建设。堆场衔接区域已在9-10号泊位工程完成地基处理，在后续项目中用于集装箱堆场建设。</w:t>
      </w:r>
      <w:r>
        <w:rPr>
          <w:color w:val="000000" w:themeColor="text1"/>
          <w14:textFill>
            <w14:solidFill>
              <w14:schemeClr w14:val="tx1"/>
            </w14:solidFill>
          </w14:textFill>
        </w:rPr>
        <w:t>为满足扩建段照明要求，在堆场衔接区</w:t>
      </w:r>
      <w:r>
        <w:rPr>
          <w:rFonts w:hint="eastAsia"/>
          <w:color w:val="000000" w:themeColor="text1"/>
          <w14:textFill>
            <w14:solidFill>
              <w14:schemeClr w14:val="tx1"/>
            </w14:solidFill>
          </w14:textFill>
        </w:rPr>
        <w:t>海侧</w:t>
      </w:r>
      <w:r>
        <w:rPr>
          <w:color w:val="000000" w:themeColor="text1"/>
          <w14:textFill>
            <w14:solidFill>
              <w14:schemeClr w14:val="tx1"/>
            </w14:solidFill>
          </w14:textFill>
        </w:rPr>
        <w:t>新建一座灯塔。</w:t>
      </w:r>
    </w:p>
    <w:p>
      <w:pPr>
        <w:pStyle w:val="283"/>
        <w:ind w:firstLine="462"/>
        <w:rPr>
          <w:color w:val="000000" w:themeColor="text1"/>
          <w14:textFill>
            <w14:solidFill>
              <w14:schemeClr w14:val="tx1"/>
            </w14:solidFill>
          </w14:textFill>
        </w:rPr>
      </w:pPr>
      <w:r>
        <w:rPr>
          <w:rFonts w:hint="eastAsia"/>
          <w:color w:val="000000" w:themeColor="text1"/>
          <w14:textFill>
            <w14:solidFill>
              <w14:schemeClr w14:val="tx1"/>
            </w14:solidFill>
          </w14:textFill>
        </w:rPr>
        <w:t>4、港区道路布置</w:t>
      </w:r>
    </w:p>
    <w:p>
      <w:pPr>
        <w:pStyle w:val="283"/>
        <w:ind w:firstLine="462"/>
        <w:rPr>
          <w:color w:val="000000" w:themeColor="text1"/>
          <w14:textFill>
            <w14:solidFill>
              <w14:schemeClr w14:val="tx1"/>
            </w14:solidFill>
          </w14:textFill>
        </w:rPr>
      </w:pPr>
      <w:r>
        <w:rPr>
          <w:color w:val="000000" w:themeColor="text1"/>
          <w14:textFill>
            <w14:solidFill>
              <w14:schemeClr w14:val="tx1"/>
            </w14:solidFill>
          </w14:textFill>
        </w:rPr>
        <w:t>本扩建工程结合7-10号泊位道路布置，横向路布置2条横向主干道，其中横一路位于7-10号泊位堆场和本工程堆场衔接区海侧，为IGV快速行车道，设6车道，宽度为24.5m；横二路位于7-10号泊位堆场陆侧，为港区进出港主要通道，设11车道，宽度为44m。纵向路利用22号发展堆场南侧的外集卡车道，同时在扩建段前沿作业地带南端及后方布置2条集卡作业车道，宽8m。</w:t>
      </w:r>
    </w:p>
    <w:p>
      <w:pPr>
        <w:pStyle w:val="283"/>
        <w:ind w:firstLine="462"/>
        <w:rPr>
          <w:color w:val="000000" w:themeColor="text1"/>
          <w14:textFill>
            <w14:solidFill>
              <w14:schemeClr w14:val="tx1"/>
            </w14:solidFill>
          </w14:textFill>
        </w:rPr>
      </w:pPr>
      <w:r>
        <w:rPr>
          <w:color w:val="000000" w:themeColor="text1"/>
          <w14:textFill>
            <w14:solidFill>
              <w14:schemeClr w14:val="tx1"/>
            </w14:solidFill>
          </w14:textFill>
        </w:rPr>
        <w:t>特殊箱环形通道依托横二路、7号8号泊位的纵一路、7-10泊位码头前沿作业地带两轨内的特殊箱通道、扩建段前沿作业地带南端及后方新建衔接路和22号发展堆场南侧的外集卡车道形成环形的通道。生产区港区道路（前沿作业地带后方新建衔接路及灯塔区域，不含堆场拖车道及横一路）面积为0.43</w:t>
      </w:r>
      <w:r>
        <w:rPr>
          <w:rFonts w:hint="eastAsia"/>
          <w:color w:val="000000" w:themeColor="text1"/>
          <w14:textFill>
            <w14:solidFill>
              <w14:schemeClr w14:val="tx1"/>
            </w14:solidFill>
          </w14:textFill>
        </w:rPr>
        <w:t xml:space="preserve"> h</w:t>
      </w:r>
      <w:r>
        <w:rPr>
          <w:color w:val="000000" w:themeColor="text1"/>
          <w14:textFill>
            <w14:solidFill>
              <w14:schemeClr w14:val="tx1"/>
            </w14:solidFill>
          </w14:textFill>
        </w:rPr>
        <w:t>m</w:t>
      </w:r>
      <w:r>
        <w:rPr>
          <w:color w:val="000000" w:themeColor="text1"/>
          <w:vertAlign w:val="superscript"/>
          <w14:textFill>
            <w14:solidFill>
              <w14:schemeClr w14:val="tx1"/>
            </w14:solidFill>
          </w14:textFill>
        </w:rPr>
        <w:t>2</w:t>
      </w:r>
      <w:r>
        <w:rPr>
          <w:color w:val="000000" w:themeColor="text1"/>
          <w14:textFill>
            <w14:solidFill>
              <w14:schemeClr w14:val="tx1"/>
            </w14:solidFill>
          </w14:textFill>
        </w:rPr>
        <w:t>。</w:t>
      </w:r>
    </w:p>
    <w:p>
      <w:pPr>
        <w:pStyle w:val="5"/>
        <w:rPr>
          <w:color w:val="000000" w:themeColor="text1"/>
          <w14:textFill>
            <w14:solidFill>
              <w14:schemeClr w14:val="tx1"/>
            </w14:solidFill>
          </w14:textFill>
        </w:rPr>
      </w:pPr>
      <w:r>
        <w:rPr>
          <w:rFonts w:hint="eastAsia"/>
          <w:color w:val="000000" w:themeColor="text1"/>
          <w14:textFill>
            <w14:solidFill>
              <w14:schemeClr w14:val="tx1"/>
            </w14:solidFill>
          </w14:textFill>
        </w:rPr>
        <w:t>炸礁</w:t>
      </w:r>
      <w:r>
        <w:rPr>
          <w:color w:val="000000" w:themeColor="text1"/>
          <w14:textFill>
            <w14:solidFill>
              <w14:schemeClr w14:val="tx1"/>
            </w14:solidFill>
          </w14:textFill>
        </w:rPr>
        <w:t>疏浚</w:t>
      </w:r>
      <w:r>
        <w:rPr>
          <w:rFonts w:hint="eastAsia"/>
          <w:color w:val="000000" w:themeColor="text1"/>
          <w14:textFill>
            <w14:solidFill>
              <w14:schemeClr w14:val="tx1"/>
            </w14:solidFill>
          </w14:textFill>
        </w:rPr>
        <w:t>工程</w:t>
      </w:r>
    </w:p>
    <w:p>
      <w:pPr>
        <w:pStyle w:val="283"/>
        <w:ind w:firstLine="462"/>
        <w:rPr>
          <w:color w:val="000000" w:themeColor="text1"/>
          <w14:textFill>
            <w14:solidFill>
              <w14:schemeClr w14:val="tx1"/>
            </w14:solidFill>
          </w14:textFill>
        </w:rPr>
      </w:pPr>
      <w:r>
        <w:rPr>
          <w:color w:val="000000" w:themeColor="text1"/>
          <w14:textFill>
            <w14:solidFill>
              <w14:schemeClr w14:val="tx1"/>
            </w14:solidFill>
          </w14:textFill>
        </w:rPr>
        <w:t>根据《钦州港</w:t>
      </w:r>
      <w:r>
        <w:rPr>
          <w:rFonts w:hint="eastAsia"/>
          <w:color w:val="000000" w:themeColor="text1"/>
          <w14:textFill>
            <w14:solidFill>
              <w14:schemeClr w14:val="tx1"/>
            </w14:solidFill>
          </w14:textFill>
        </w:rPr>
        <w:t>大榄坪</w:t>
      </w:r>
      <w:r>
        <w:rPr>
          <w:color w:val="000000" w:themeColor="text1"/>
          <w14:textFill>
            <w14:solidFill>
              <w14:schemeClr w14:val="tx1"/>
            </w14:solidFill>
          </w14:textFill>
        </w:rPr>
        <w:t>港区大榄坪南作业区</w:t>
      </w:r>
      <w:r>
        <w:rPr>
          <w:rFonts w:hint="eastAsia"/>
          <w:color w:val="000000" w:themeColor="text1"/>
          <w14:textFill>
            <w14:solidFill>
              <w14:schemeClr w14:val="tx1"/>
            </w14:solidFill>
          </w14:textFill>
        </w:rPr>
        <w:t>9号10号泊位扩建工程初步设计说明</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，本项目疏浚深度范围内主要土质为淤泥类土和岩，挖泥边坡取1：7。本工程疏浚区域包括港池，疏浚总量约204.7万m</w:t>
      </w:r>
      <w:r>
        <w:rPr>
          <w:rFonts w:hint="eastAsia"/>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（其中炸礁47.6万m</w:t>
      </w:r>
      <w:r>
        <w:rPr>
          <w:rFonts w:hint="eastAsia"/>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）。本项目利用约81.3万m</w:t>
      </w:r>
      <w:r>
        <w:rPr>
          <w:rFonts w:hint="eastAsia"/>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疏浚砂用于依托工程——钦州保税港区昊鼎物流配送中心项目填海陆域形成，其中疏浚砂采用</w:t>
      </w:r>
      <w:r>
        <w:rPr>
          <w:color w:val="000000" w:themeColor="text1"/>
          <w14:textFill>
            <w14:solidFill>
              <w14:schemeClr w14:val="tx1"/>
            </w14:solidFill>
          </w14:textFill>
        </w:rPr>
        <w:t>1450m³/h</w:t>
      </w:r>
      <w:r>
        <w:rPr>
          <w:rFonts w:hint="eastAsia"/>
          <w:color w:val="000000" w:themeColor="text1"/>
          <w14:textFill>
            <w14:solidFill>
              <w14:schemeClr w14:val="tx1"/>
            </w14:solidFill>
          </w14:textFill>
        </w:rPr>
        <w:t>绞吸式挖泥船吹填至未回填水域；47.6万m</w:t>
      </w:r>
      <w:r>
        <w:rPr>
          <w:rFonts w:hint="eastAsia"/>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强风化岩和中风化岩采用爆破炸礁的方式进行预处理后，采用13m</w:t>
      </w:r>
      <w:r>
        <w:rPr>
          <w:rFonts w:hint="eastAsia"/>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抓斗式挖泥船进行清礁施工，开挖后泥驳运至53km外的钦州港30万吨级进港航道疏浚工程疏浚物临时性海洋倾倒区B区抛卸；其余75.8万m</w:t>
      </w:r>
      <w:r>
        <w:rPr>
          <w:rFonts w:hint="eastAsia"/>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疏浚土石采用抓斗式挖泥船进行疏浚施工，开挖后泥驳运至53km外的钦州港30万吨级进港航道疏浚工程疏浚物临时性海洋倾倒区B区抛卸。</w:t>
      </w:r>
    </w:p>
    <w:p>
      <w:pPr>
        <w:pStyle w:val="283"/>
        <w:ind w:firstLine="462"/>
        <w:rPr>
          <w:color w:val="000000" w:themeColor="text1"/>
          <w14:textFill>
            <w14:solidFill>
              <w14:schemeClr w14:val="tx1"/>
            </w14:solidFill>
          </w14:textFill>
        </w:rPr>
      </w:pPr>
      <w:r>
        <w:rPr>
          <w:rFonts w:hint="eastAsia"/>
          <w:color w:val="000000" w:themeColor="text1"/>
          <w14:textFill>
            <w14:solidFill>
              <w14:schemeClr w14:val="tx1"/>
            </w14:solidFill>
          </w14:textFill>
        </w:rPr>
        <w:t>采用水下钻孔爆破方法，由炸礁船进行水下钻孔爆破施工。由绞吸式挖泥船及13m</w:t>
      </w:r>
      <w:r>
        <w:rPr>
          <w:rFonts w:hint="eastAsia"/>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抓斗式挖泥船清渣，弃渣经自航泥驳运输至上述临时性海洋倾倒B区抛卸。</w:t>
      </w:r>
    </w:p>
    <w:p>
      <w:pPr>
        <w:pStyle w:val="384"/>
        <w:ind w:left="0" w:firstLine="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炸礁疏浚主要工程量汇总表</w:t>
      </w:r>
      <w:r>
        <w:rPr>
          <w:rFonts w:hint="eastAsia" w:cs="Times New Roman"/>
          <w:color w:val="000000" w:themeColor="text1"/>
          <w14:textFill>
            <w14:solidFill>
              <w14:schemeClr w14:val="tx1"/>
            </w14:solidFill>
          </w14:textFill>
        </w:rPr>
        <w:t xml:space="preserve"> </w:t>
      </w:r>
    </w:p>
    <w:tbl>
      <w:tblPr>
        <w:tblStyle w:val="89"/>
        <w:tblW w:w="8528" w:type="dxa"/>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5637"/>
        <w:gridCol w:w="1289"/>
        <w:gridCol w:w="1602"/>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blHeader/>
        </w:trPr>
        <w:tc>
          <w:tcPr>
            <w:tcW w:w="5637" w:type="dxa"/>
          </w:tcPr>
          <w:p>
            <w:pPr>
              <w:pStyle w:val="2001"/>
            </w:pPr>
            <w:r>
              <w:rPr>
                <w:rFonts w:hint="eastAsia"/>
              </w:rPr>
              <w:t>工程类别</w:t>
            </w:r>
          </w:p>
        </w:tc>
        <w:tc>
          <w:tcPr>
            <w:tcW w:w="1289" w:type="dxa"/>
          </w:tcPr>
          <w:p>
            <w:pPr>
              <w:pStyle w:val="2001"/>
            </w:pPr>
            <w:r>
              <w:rPr>
                <w:rFonts w:hint="eastAsia"/>
              </w:rPr>
              <w:t>单位</w:t>
            </w:r>
          </w:p>
        </w:tc>
        <w:tc>
          <w:tcPr>
            <w:tcW w:w="1602" w:type="dxa"/>
          </w:tcPr>
          <w:p>
            <w:pPr>
              <w:pStyle w:val="2001"/>
            </w:pPr>
            <w:r>
              <w:rPr>
                <w:rFonts w:hint="eastAsia"/>
              </w:rPr>
              <w:t>工程数量</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c>
          <w:tcPr>
            <w:tcW w:w="5637" w:type="dxa"/>
          </w:tcPr>
          <w:p>
            <w:pPr>
              <w:pStyle w:val="2001"/>
            </w:pPr>
            <w:r>
              <w:rPr>
                <w:rFonts w:hint="eastAsia"/>
              </w:rPr>
              <w:t>疏浚工程</w:t>
            </w:r>
          </w:p>
        </w:tc>
        <w:tc>
          <w:tcPr>
            <w:tcW w:w="1289" w:type="dxa"/>
          </w:tcPr>
          <w:p>
            <w:pPr>
              <w:pStyle w:val="2001"/>
            </w:pPr>
            <w:r>
              <w:rPr>
                <w:rFonts w:hint="eastAsia"/>
              </w:rPr>
              <w:t>万m</w:t>
            </w:r>
            <w:r>
              <w:rPr>
                <w:rFonts w:hint="eastAsia"/>
                <w:vertAlign w:val="superscript"/>
              </w:rPr>
              <w:t>3</w:t>
            </w:r>
          </w:p>
        </w:tc>
        <w:tc>
          <w:tcPr>
            <w:tcW w:w="1602" w:type="dxa"/>
          </w:tcPr>
          <w:p>
            <w:pPr>
              <w:pStyle w:val="2001"/>
            </w:pPr>
            <w:r>
              <w:rPr>
                <w:rFonts w:hint="eastAsia"/>
              </w:rPr>
              <w:t>204.7</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c>
          <w:tcPr>
            <w:tcW w:w="5637" w:type="dxa"/>
          </w:tcPr>
          <w:p>
            <w:pPr>
              <w:pStyle w:val="2001"/>
            </w:pPr>
            <w:r>
              <w:rPr>
                <w:rFonts w:hint="eastAsia"/>
              </w:rPr>
              <w:t>绞吸挖泥船，钦州保税港区昊鼎物流配送中心项目陆域回填</w:t>
            </w:r>
          </w:p>
        </w:tc>
        <w:tc>
          <w:tcPr>
            <w:tcW w:w="1289" w:type="dxa"/>
          </w:tcPr>
          <w:p>
            <w:pPr>
              <w:pStyle w:val="2001"/>
            </w:pPr>
            <w:r>
              <w:rPr>
                <w:rFonts w:hint="eastAsia"/>
              </w:rPr>
              <w:t>万m</w:t>
            </w:r>
            <w:r>
              <w:rPr>
                <w:rFonts w:hint="eastAsia"/>
                <w:vertAlign w:val="superscript"/>
              </w:rPr>
              <w:t>3</w:t>
            </w:r>
          </w:p>
        </w:tc>
        <w:tc>
          <w:tcPr>
            <w:tcW w:w="1602" w:type="dxa"/>
          </w:tcPr>
          <w:p>
            <w:pPr>
              <w:pStyle w:val="2001"/>
            </w:pPr>
            <w:r>
              <w:rPr>
                <w:rFonts w:hint="eastAsia"/>
              </w:rPr>
              <w:t>81.3</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c>
          <w:tcPr>
            <w:tcW w:w="5637" w:type="dxa"/>
          </w:tcPr>
          <w:p>
            <w:pPr>
              <w:pStyle w:val="2001"/>
            </w:pPr>
            <w:r>
              <w:rPr>
                <w:rFonts w:hint="eastAsia"/>
              </w:rPr>
              <w:t>抓斗挖泥船，外抛转运</w:t>
            </w:r>
          </w:p>
        </w:tc>
        <w:tc>
          <w:tcPr>
            <w:tcW w:w="1289" w:type="dxa"/>
          </w:tcPr>
          <w:p>
            <w:pPr>
              <w:pStyle w:val="2001"/>
            </w:pPr>
            <w:r>
              <w:rPr>
                <w:rFonts w:hint="eastAsia"/>
              </w:rPr>
              <w:t>万m</w:t>
            </w:r>
            <w:r>
              <w:rPr>
                <w:rFonts w:hint="eastAsia"/>
                <w:vertAlign w:val="superscript"/>
              </w:rPr>
              <w:t>3</w:t>
            </w:r>
          </w:p>
        </w:tc>
        <w:tc>
          <w:tcPr>
            <w:tcW w:w="1602" w:type="dxa"/>
          </w:tcPr>
          <w:p>
            <w:pPr>
              <w:pStyle w:val="2001"/>
            </w:pPr>
            <w:r>
              <w:rPr>
                <w:rFonts w:hint="eastAsia"/>
              </w:rPr>
              <w:t>75.8</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c>
          <w:tcPr>
            <w:tcW w:w="5637" w:type="dxa"/>
          </w:tcPr>
          <w:p>
            <w:pPr>
              <w:pStyle w:val="2001"/>
            </w:pPr>
            <w:r>
              <w:rPr>
                <w:rFonts w:hint="eastAsia"/>
              </w:rPr>
              <w:t>水下炸礁及清礁，外抛转运</w:t>
            </w:r>
          </w:p>
        </w:tc>
        <w:tc>
          <w:tcPr>
            <w:tcW w:w="1289" w:type="dxa"/>
          </w:tcPr>
          <w:p>
            <w:pPr>
              <w:pStyle w:val="2001"/>
            </w:pPr>
            <w:r>
              <w:rPr>
                <w:rFonts w:hint="eastAsia"/>
              </w:rPr>
              <w:t>万m</w:t>
            </w:r>
            <w:r>
              <w:rPr>
                <w:rFonts w:hint="eastAsia"/>
                <w:vertAlign w:val="superscript"/>
              </w:rPr>
              <w:t>3</w:t>
            </w:r>
          </w:p>
        </w:tc>
        <w:tc>
          <w:tcPr>
            <w:tcW w:w="1602" w:type="dxa"/>
          </w:tcPr>
          <w:p>
            <w:pPr>
              <w:pStyle w:val="2001"/>
            </w:pPr>
            <w:r>
              <w:rPr>
                <w:rFonts w:hint="eastAsia"/>
              </w:rPr>
              <w:t>47.6</w:t>
            </w:r>
          </w:p>
        </w:tc>
      </w:tr>
    </w:tbl>
    <w:p>
      <w:pPr>
        <w:pStyle w:val="5"/>
        <w:rPr>
          <w:color w:val="000000" w:themeColor="text1"/>
          <w14:textFill>
            <w14:solidFill>
              <w14:schemeClr w14:val="tx1"/>
            </w14:solidFill>
          </w14:textFill>
        </w:rPr>
      </w:pPr>
      <w:r>
        <w:rPr>
          <w:color w:val="000000" w:themeColor="text1"/>
          <w14:textFill>
            <w14:solidFill>
              <w14:schemeClr w14:val="tx1"/>
            </w14:solidFill>
          </w14:textFill>
        </w:rPr>
        <w:t>水工建筑物</w:t>
      </w:r>
    </w:p>
    <w:p>
      <w:pPr>
        <w:pStyle w:val="283"/>
        <w:ind w:firstLine="462"/>
        <w:rPr>
          <w:color w:val="000000" w:themeColor="text1"/>
          <w14:textFill>
            <w14:solidFill>
              <w14:schemeClr w14:val="tx1"/>
            </w14:solidFill>
          </w14:textFill>
        </w:rPr>
      </w:pPr>
      <w:bookmarkStart w:id="95" w:name="_Toc235237810"/>
      <w:bookmarkStart w:id="96" w:name="_Toc198998972"/>
      <w:bookmarkStart w:id="97" w:name="_Toc279065214"/>
      <w:bookmarkStart w:id="98" w:name="_Toc279393645"/>
      <w:r>
        <w:rPr>
          <w:rFonts w:hint="eastAsia"/>
          <w:color w:val="000000" w:themeColor="text1"/>
          <w14:textFill>
            <w14:solidFill>
              <w14:schemeClr w14:val="tx1"/>
            </w14:solidFill>
          </w14:textFill>
        </w:rPr>
        <w:t>本工程水工建筑物建设内容包括：</w:t>
      </w:r>
    </w:p>
    <w:p>
      <w:pPr>
        <w:pStyle w:val="283"/>
        <w:ind w:firstLine="462"/>
        <w:rPr>
          <w:color w:val="000000" w:themeColor="text1"/>
          <w14:textFill>
            <w14:solidFill>
              <w14:schemeClr w14:val="tx1"/>
            </w14:solidFill>
          </w14:textFill>
        </w:rPr>
      </w:pPr>
      <w:r>
        <w:rPr>
          <w:rFonts w:hint="eastAsia"/>
          <w:color w:val="000000" w:themeColor="text1"/>
          <w14:textFill>
            <w14:solidFill>
              <w14:schemeClr w14:val="tx1"/>
            </w14:solidFill>
          </w14:textFill>
        </w:rPr>
        <w:t>（1）扩建9号10号泊位208m，码头按照20万吨级集装箱泊位设计，结构-16.3m。</w:t>
      </w:r>
    </w:p>
    <w:p>
      <w:pPr>
        <w:pStyle w:val="283"/>
        <w:ind w:firstLine="462"/>
        <w:rPr>
          <w:color w:val="000000" w:themeColor="text1"/>
          <w14:textFill>
            <w14:solidFill>
              <w14:schemeClr w14:val="tx1"/>
            </w14:solidFill>
          </w14:textFill>
        </w:rPr>
      </w:pPr>
      <w:r>
        <w:rPr>
          <w:rFonts w:hint="eastAsia"/>
          <w:color w:val="000000" w:themeColor="text1"/>
          <w14:textFill>
            <w14:solidFill>
              <w14:schemeClr w14:val="tx1"/>
            </w14:solidFill>
          </w14:textFill>
        </w:rPr>
        <w:t>（2）</w:t>
      </w:r>
      <w:bookmarkStart w:id="99" w:name="_Hlk171077983"/>
      <w:r>
        <w:rPr>
          <w:color w:val="000000" w:themeColor="text1"/>
          <w14:textFill>
            <w14:solidFill>
              <w14:schemeClr w14:val="tx1"/>
            </w14:solidFill>
          </w14:textFill>
        </w:rPr>
        <w:t>新建消浪护岸695m，消浪护岸过渡段157.8m。</w:t>
      </w:r>
      <w:r>
        <w:rPr>
          <w:rFonts w:hint="eastAsia"/>
          <w:color w:val="000000" w:themeColor="text1"/>
          <w14:textFill>
            <w14:solidFill>
              <w14:schemeClr w14:val="tx1"/>
            </w14:solidFill>
          </w14:textFill>
        </w:rPr>
        <w:t>其中海侧</w:t>
      </w:r>
      <w:r>
        <w:rPr>
          <w:color w:val="000000" w:themeColor="text1"/>
          <w14:textFill>
            <w14:solidFill>
              <w14:schemeClr w14:val="tx1"/>
            </w14:solidFill>
          </w14:textFill>
        </w:rPr>
        <w:t>273m</w:t>
      </w:r>
      <w:r>
        <w:rPr>
          <w:rFonts w:hint="eastAsia"/>
          <w:color w:val="000000" w:themeColor="text1"/>
          <w14:textFill>
            <w14:solidFill>
              <w14:schemeClr w14:val="tx1"/>
            </w14:solidFill>
          </w14:textFill>
        </w:rPr>
        <w:t>结构设计底高程为</w:t>
      </w:r>
      <w:r>
        <w:rPr>
          <w:color w:val="000000" w:themeColor="text1"/>
          <w14:textFill>
            <w14:solidFill>
              <w14:schemeClr w14:val="tx1"/>
            </w14:solidFill>
          </w14:textFill>
        </w:rPr>
        <w:t>-11.4m</w:t>
      </w:r>
      <w:r>
        <w:rPr>
          <w:rFonts w:hint="eastAsia"/>
          <w:color w:val="000000" w:themeColor="text1"/>
          <w14:textFill>
            <w14:solidFill>
              <w14:schemeClr w14:val="tx1"/>
            </w14:solidFill>
          </w14:textFill>
        </w:rPr>
        <w:t>，满足</w:t>
      </w:r>
      <w:r>
        <w:rPr>
          <w:color w:val="000000" w:themeColor="text1"/>
          <w14:textFill>
            <w14:solidFill>
              <w14:schemeClr w14:val="tx1"/>
            </w14:solidFill>
          </w14:textFill>
        </w:rPr>
        <w:t>2</w:t>
      </w:r>
      <w:r>
        <w:rPr>
          <w:rFonts w:hint="eastAsia"/>
          <w:color w:val="000000" w:themeColor="text1"/>
          <w14:textFill>
            <w14:solidFill>
              <w14:schemeClr w14:val="tx1"/>
            </w14:solidFill>
          </w14:textFill>
        </w:rPr>
        <w:t>万吨级集装箱船靠泊改造要求；其余</w:t>
      </w:r>
      <w:r>
        <w:rPr>
          <w:color w:val="000000" w:themeColor="text1"/>
          <w14:textFill>
            <w14:solidFill>
              <w14:schemeClr w14:val="tx1"/>
            </w14:solidFill>
          </w14:textFill>
        </w:rPr>
        <w:t>422m</w:t>
      </w:r>
      <w:r>
        <w:rPr>
          <w:rFonts w:hint="eastAsia"/>
          <w:color w:val="000000" w:themeColor="text1"/>
          <w14:textFill>
            <w14:solidFill>
              <w14:schemeClr w14:val="tx1"/>
            </w14:solidFill>
          </w14:textFill>
        </w:rPr>
        <w:t>结构设计底高程为</w:t>
      </w:r>
      <w:r>
        <w:rPr>
          <w:color w:val="000000" w:themeColor="text1"/>
          <w14:textFill>
            <w14:solidFill>
              <w14:schemeClr w14:val="tx1"/>
            </w14:solidFill>
          </w14:textFill>
        </w:rPr>
        <w:t>-8.0m</w:t>
      </w:r>
      <w:r>
        <w:rPr>
          <w:rFonts w:hint="eastAsia"/>
          <w:color w:val="000000" w:themeColor="text1"/>
          <w14:textFill>
            <w14:solidFill>
              <w14:schemeClr w14:val="tx1"/>
            </w14:solidFill>
          </w14:textFill>
        </w:rPr>
        <w:t>，满足</w:t>
      </w:r>
      <w:r>
        <w:rPr>
          <w:color w:val="000000" w:themeColor="text1"/>
          <w14:textFill>
            <w14:solidFill>
              <w14:schemeClr w14:val="tx1"/>
            </w14:solidFill>
          </w14:textFill>
        </w:rPr>
        <w:t>5</w:t>
      </w:r>
      <w:r>
        <w:rPr>
          <w:rFonts w:hint="eastAsia"/>
          <w:color w:val="000000" w:themeColor="text1"/>
          <w14:textFill>
            <w14:solidFill>
              <w14:schemeClr w14:val="tx1"/>
            </w14:solidFill>
          </w14:textFill>
        </w:rPr>
        <w:t>千吨级集装箱船靠泊改造要求。</w:t>
      </w:r>
      <w:bookmarkEnd w:id="99"/>
    </w:p>
    <w:p>
      <w:pPr>
        <w:pStyle w:val="283"/>
        <w:ind w:firstLine="462"/>
        <w:rPr>
          <w:color w:val="000000" w:themeColor="text1"/>
          <w14:textFill>
            <w14:solidFill>
              <w14:schemeClr w14:val="tx1"/>
            </w14:solidFill>
          </w14:textFill>
        </w:rPr>
      </w:pPr>
      <w:r>
        <w:rPr>
          <w:rFonts w:hint="eastAsia"/>
          <w:color w:val="000000" w:themeColor="text1"/>
          <w14:textFill>
            <w14:solidFill>
              <w14:schemeClr w14:val="tx1"/>
            </w14:solidFill>
          </w14:textFill>
        </w:rPr>
        <w:t>9号10号泊位延长段配备双小车岸桥2台。轨距35m，海侧轨中心距码头前沿线3.5m，基距14m，支腿4个，10个轮/支腿，平均轮距1.2m/1.5m；两机联合作业时的最小间距为2.0m。</w:t>
      </w:r>
    </w:p>
    <w:p>
      <w:pPr>
        <w:pStyle w:val="283"/>
        <w:ind w:firstLine="462"/>
        <w:rPr>
          <w:color w:val="000000" w:themeColor="text1"/>
          <w14:textFill>
            <w14:solidFill>
              <w14:schemeClr w14:val="tx1"/>
            </w14:solidFill>
          </w14:textFill>
        </w:rPr>
      </w:pPr>
      <w:r>
        <w:rPr>
          <w:rFonts w:hint="eastAsia"/>
          <w:color w:val="000000" w:themeColor="text1"/>
          <w14:textFill>
            <w14:solidFill>
              <w14:schemeClr w14:val="tx1"/>
            </w14:solidFill>
          </w14:textFill>
        </w:rPr>
        <w:t>护岸（远期发展为集装箱泊位）装卸设备荷载按轻型岸桥控制。轨距12m，海侧轨中心距码头前沿线2.5m，基距17.15m，支腿4个，4个轮/支腿，平均轮距1.65m；两机联合作业时的最小间距为2.0m。</w:t>
      </w:r>
    </w:p>
    <w:p>
      <w:pPr>
        <w:pStyle w:val="6"/>
        <w:rPr>
          <w:color w:val="000000" w:themeColor="text1"/>
          <w14:textFill>
            <w14:solidFill>
              <w14:schemeClr w14:val="tx1"/>
            </w14:solidFill>
          </w14:textFill>
        </w:rPr>
      </w:pPr>
      <w:r>
        <w:rPr>
          <w:rFonts w:hint="eastAsia"/>
          <w:color w:val="000000" w:themeColor="text1"/>
          <w14:textFill>
            <w14:solidFill>
              <w14:schemeClr w14:val="tx1"/>
            </w14:solidFill>
          </w14:textFill>
        </w:rPr>
        <w:t>20万吨级码头方沉箱结构</w:t>
      </w:r>
    </w:p>
    <w:p>
      <w:pPr>
        <w:pStyle w:val="283"/>
        <w:ind w:firstLine="462"/>
        <w:rPr>
          <w:color w:val="000000" w:themeColor="text1"/>
          <w14:textFill>
            <w14:solidFill>
              <w14:schemeClr w14:val="tx1"/>
            </w14:solidFill>
          </w14:textFill>
        </w:rPr>
      </w:pPr>
      <w:r>
        <w:rPr>
          <w:rFonts w:hint="eastAsia"/>
          <w:color w:val="000000" w:themeColor="text1"/>
          <w14:textFill>
            <w14:solidFill>
              <w14:schemeClr w14:val="tx1"/>
            </w14:solidFill>
          </w14:textFill>
        </w:rPr>
        <w:t>码头顶高程为6.6m，采用重力式方沉箱结构型式。基槽开挖后抛填1m厚10～100kg块石形成基床，基床坐落于中风化泥岩上。抛石基床上安放C40钢筋混凝土沉箱，沉箱主尺度长×宽×高 =23.92m×15.8m×21.0m，宽度含前趾宽度1m。沉箱由3×5个舱格组成，单件沉箱重约3460t，沉箱前排舱格内部分回填块石1～100kg（含泥量＜10%），中间仓格和后排仓格全部回填同等块石至顶部，沉箱在前排仓格上方设置C40现浇混凝土胸墙，胸墙前方设置综合管沟，胸墙宽度为5m，高度3.6m，有系船柱位置局部嵌入沉箱仓格。墙后设置 10～100kg 抛石棱体（含泥量＜5%），棱体后依次铺设二片石垫层、混合倒滤层及土工布两层，块石棱体顶标高2.0m，前后轨之间2.0～路面底之间区域同样设置10～100kg抛石棱体（含泥量＜5%），陆域其余区域回填中粗砂（φ≥30º）并振冲密实（N≥15击）。</w:t>
      </w:r>
    </w:p>
    <w:p>
      <w:pPr>
        <w:pStyle w:val="283"/>
        <w:ind w:firstLine="462"/>
        <w:rPr>
          <w:color w:val="000000" w:themeColor="text1"/>
          <w14:textFill>
            <w14:solidFill>
              <w14:schemeClr w14:val="tx1"/>
            </w14:solidFill>
          </w14:textFill>
        </w:rPr>
      </w:pPr>
      <w:r>
        <w:rPr>
          <w:color w:val="000000" w:themeColor="text1"/>
          <w14:textFill>
            <w14:solidFill>
              <w14:schemeClr w14:val="tx1"/>
            </w14:solidFill>
          </w14:textFill>
        </w:rPr>
        <w:t>本项目沉箱预制场位于项目场地</w:t>
      </w:r>
      <w:r>
        <w:rPr>
          <w:rFonts w:hint="eastAsia"/>
          <w:color w:val="000000" w:themeColor="text1"/>
          <w14:textFill>
            <w14:solidFill>
              <w14:schemeClr w14:val="tx1"/>
            </w14:solidFill>
          </w14:textFill>
        </w:rPr>
        <w:t>西北</w:t>
      </w:r>
      <w:r>
        <w:rPr>
          <w:color w:val="000000" w:themeColor="text1"/>
          <w14:textFill>
            <w14:solidFill>
              <w14:schemeClr w14:val="tx1"/>
            </w14:solidFill>
          </w14:textFill>
        </w:rPr>
        <w:t>侧约</w:t>
      </w:r>
      <w:r>
        <w:rPr>
          <w:rFonts w:hint="eastAsia"/>
          <w:color w:val="000000" w:themeColor="text1"/>
          <w14:textFill>
            <w14:solidFill>
              <w14:schemeClr w14:val="tx1"/>
            </w14:solidFill>
          </w14:textFill>
        </w:rPr>
        <w:t>5km处，该沉箱预制场为钦州港大榄坪港区已建成预制场，沉箱场内预制不纳入本次评价，沉箱在预制场预制完成后，运输利用已有道路进行，不新增施工便道。</w:t>
      </w:r>
    </w:p>
    <w:p>
      <w:pPr>
        <w:pStyle w:val="283"/>
        <w:ind w:firstLine="462"/>
        <w:rPr>
          <w:color w:val="000000" w:themeColor="text1"/>
          <w14:textFill>
            <w14:solidFill>
              <w14:schemeClr w14:val="tx1"/>
            </w14:solidFill>
          </w14:textFill>
        </w:rPr>
      </w:pPr>
      <w:r>
        <w:rPr>
          <w:rFonts w:hint="eastAsia"/>
          <w:color w:val="000000" w:themeColor="text1"/>
          <w14:textFill>
            <w14:solidFill>
              <w14:schemeClr w14:val="tx1"/>
            </w14:solidFill>
          </w14:textFill>
        </w:rPr>
        <w:t>码头面上设置两条A150轨道，前轨坐落在胸墙上。后轨位于轨道梁上，采用PHC双桩为基础。橡胶护舷、系船柱等附属设施设置在胸墙上。橡胶护舷采用SUC1450H两鼓一板橡胶护舷，设置于胸墙临水面，间距16m 。在鼓形护舷之间增设拱形600H 护舷。胸墙顶面纵向每隔16m设2000kN 系船柱一个。</w:t>
      </w:r>
    </w:p>
    <w:p>
      <w:pPr>
        <w:pStyle w:val="6"/>
        <w:rPr>
          <w:color w:val="000000" w:themeColor="text1"/>
          <w14:textFill>
            <w14:solidFill>
              <w14:schemeClr w14:val="tx1"/>
            </w14:solidFill>
          </w14:textFill>
        </w:rPr>
      </w:pPr>
      <w:r>
        <w:rPr>
          <w:rFonts w:hint="eastAsia"/>
          <w:color w:val="000000" w:themeColor="text1"/>
          <w14:textFill>
            <w14:solidFill>
              <w14:schemeClr w14:val="tx1"/>
            </w14:solidFill>
          </w14:textFill>
        </w:rPr>
        <w:t>消浪护岸结构</w:t>
      </w:r>
    </w:p>
    <w:p>
      <w:pPr>
        <w:pStyle w:val="283"/>
        <w:ind w:firstLine="462"/>
        <w:rPr>
          <w:color w:val="000000" w:themeColor="text1"/>
          <w14:textFill>
            <w14:solidFill>
              <w14:schemeClr w14:val="tx1"/>
            </w14:solidFill>
          </w14:textFill>
        </w:rPr>
      </w:pPr>
      <w:r>
        <w:rPr>
          <w:rFonts w:hint="eastAsia"/>
          <w:color w:val="000000" w:themeColor="text1"/>
          <w14:textFill>
            <w14:solidFill>
              <w14:schemeClr w14:val="tx1"/>
            </w14:solidFill>
          </w14:textFill>
        </w:rPr>
        <w:t>1、海侧273m结构</w:t>
      </w:r>
    </w:p>
    <w:p>
      <w:pPr>
        <w:pStyle w:val="283"/>
        <w:ind w:firstLine="462"/>
        <w:rPr>
          <w:color w:val="000000" w:themeColor="text1"/>
          <w14:textFill>
            <w14:solidFill>
              <w14:schemeClr w14:val="tx1"/>
            </w14:solidFill>
          </w14:textFill>
        </w:rPr>
      </w:pPr>
      <w:r>
        <w:rPr>
          <w:rFonts w:hint="eastAsia"/>
          <w:color w:val="000000" w:themeColor="text1"/>
          <w14:textFill>
            <w14:solidFill>
              <w14:schemeClr w14:val="tx1"/>
            </w14:solidFill>
          </w14:textFill>
        </w:rPr>
        <w:t>采用岸壁式沉箱结构。码头面标高6.6m，沉箱顶标高3.0m，沉箱底标高-11.4m，沉箱总高14.4m，底宽13.4m（其中外趾长度1.0m），长23.92m，预制沉箱采用C40混凝土。沉箱仓格内回填中细砂，振冲密实，含泥量要求小于10%。沉箱在仓格上方设置现浇混凝土胸墙、轨道梁，采用 C40 混凝土，胸墙前沿设水电管沟。沉箱后回填10—100Kg块石棱体，抛石棱体后方设置二片石垫层、倒滤层后回填中细砂并振冲密实。沉箱下部设置10～100kg块石基床，厚度约1.0m，抛石基床坐落于强风化或中风化泥岩上。</w:t>
      </w:r>
    </w:p>
    <w:p>
      <w:pPr>
        <w:pStyle w:val="283"/>
        <w:ind w:firstLine="462"/>
        <w:rPr>
          <w:color w:val="000000" w:themeColor="text1"/>
          <w14:textFill>
            <w14:solidFill>
              <w14:schemeClr w14:val="tx1"/>
            </w14:solidFill>
          </w14:textFill>
        </w:rPr>
      </w:pPr>
      <w:r>
        <w:rPr>
          <w:rFonts w:hint="eastAsia"/>
          <w:color w:val="000000" w:themeColor="text1"/>
          <w14:textFill>
            <w14:solidFill>
              <w14:schemeClr w14:val="tx1"/>
            </w14:solidFill>
          </w14:textFill>
        </w:rPr>
        <w:t>2、里侧422m结构</w:t>
      </w:r>
    </w:p>
    <w:p>
      <w:pPr>
        <w:pStyle w:val="283"/>
        <w:ind w:firstLine="462"/>
        <w:rPr>
          <w:color w:val="000000" w:themeColor="text1"/>
          <w14:textFill>
            <w14:solidFill>
              <w14:schemeClr w14:val="tx1"/>
            </w14:solidFill>
          </w14:textFill>
        </w:rPr>
      </w:pPr>
      <w:r>
        <w:rPr>
          <w:rFonts w:hint="eastAsia"/>
          <w:color w:val="000000" w:themeColor="text1"/>
          <w14:textFill>
            <w14:solidFill>
              <w14:schemeClr w14:val="tx1"/>
            </w14:solidFill>
          </w14:textFill>
        </w:rPr>
        <w:t>采用岸壁式沉箱结构。码头面标高6.6m，沉箱顶标高3.0m，沉箱底标高-8.0m，沉箱总高11m，底宽11.4m（其中外趾长度1.0m），长13.92m，预制沉箱采用C40混凝土。沉箱仓格内回填中细砂，振冲密实，含泥量要求小于10%。沉箱在仓格上方设置现浇混凝土胸墙、轨道梁，采用C40 混凝土，胸墙前沿设水电管沟。沉箱后回填10—100kg块石棱体，抛石棱体后方设置二片石垫层、倒滤层后回填中细砂并振冲密实。沉箱下部设置10～100kg块石基床，厚度约4.0m，抛石基床坐落于强风化或中风化泥岩上。</w:t>
      </w:r>
    </w:p>
    <w:bookmarkEnd w:id="95"/>
    <w:bookmarkEnd w:id="96"/>
    <w:bookmarkEnd w:id="97"/>
    <w:bookmarkEnd w:id="98"/>
    <w:p>
      <w:pPr>
        <w:pStyle w:val="5"/>
        <w:rPr>
          <w:color w:val="000000" w:themeColor="text1"/>
          <w14:textFill>
            <w14:solidFill>
              <w14:schemeClr w14:val="tx1"/>
            </w14:solidFill>
          </w14:textFill>
        </w:rPr>
      </w:pPr>
      <w:r>
        <w:rPr>
          <w:rFonts w:hint="eastAsia"/>
          <w:color w:val="000000" w:themeColor="text1"/>
          <w14:textFill>
            <w14:solidFill>
              <w14:schemeClr w14:val="tx1"/>
            </w14:solidFill>
          </w14:textFill>
        </w:rPr>
        <w:t>装卸工艺</w:t>
      </w:r>
    </w:p>
    <w:p>
      <w:pPr>
        <w:pStyle w:val="6"/>
        <w:rPr>
          <w:color w:val="000000" w:themeColor="text1"/>
          <w14:textFill>
            <w14:solidFill>
              <w14:schemeClr w14:val="tx1"/>
            </w14:solidFill>
          </w14:textFill>
        </w:rPr>
      </w:pPr>
      <w:r>
        <w:rPr>
          <w:rFonts w:hint="eastAsia"/>
          <w:color w:val="000000" w:themeColor="text1"/>
          <w14:textFill>
            <w14:solidFill>
              <w14:schemeClr w14:val="tx1"/>
            </w14:solidFill>
          </w14:textFill>
        </w:rPr>
        <w:t>装卸工艺参数</w:t>
      </w:r>
    </w:p>
    <w:p>
      <w:pPr>
        <w:pStyle w:val="283"/>
        <w:ind w:firstLine="462"/>
        <w:rPr>
          <w:color w:val="000000" w:themeColor="text1"/>
          <w14:textFill>
            <w14:solidFill>
              <w14:schemeClr w14:val="tx1"/>
            </w14:solidFill>
          </w14:textFill>
        </w:rPr>
      </w:pPr>
      <w:r>
        <w:rPr>
          <w:rFonts w:hint="eastAsia"/>
          <w:color w:val="000000" w:themeColor="text1"/>
          <w14:textFill>
            <w14:solidFill>
              <w14:schemeClr w14:val="tx1"/>
            </w14:solidFill>
          </w14:textFill>
        </w:rPr>
        <w:t>现有9号10号泊位工程采用全球首创“U形垂直布置”的全自动化集装箱码头方案，码头前沿已配置有7台自动化双小车岸桥，共布置13条自动化集装箱堆场，每条堆场配置2台双悬臂自动化集装箱轨道龙门吊（ARMG），共配置26台。</w:t>
      </w:r>
    </w:p>
    <w:p>
      <w:pPr>
        <w:pStyle w:val="283"/>
        <w:ind w:firstLine="462"/>
        <w:rPr>
          <w:color w:val="000000" w:themeColor="text1"/>
          <w14:textFill>
            <w14:solidFill>
              <w14:schemeClr w14:val="tx1"/>
            </w14:solidFill>
          </w14:textFill>
        </w:rPr>
      </w:pPr>
      <w:r>
        <w:rPr>
          <w:rFonts w:hint="eastAsia"/>
          <w:color w:val="000000" w:themeColor="text1"/>
          <w14:textFill>
            <w14:solidFill>
              <w14:schemeClr w14:val="tx1"/>
            </w14:solidFill>
          </w14:textFill>
        </w:rPr>
        <w:t>本工程对原有9号10号泊位预留22号堆场新增装卸设备。装卸工艺布置、自动化装卸设备选型、设施设备配置等应与原码头相适应并统筹兼顾，装卸工艺系统保持不变，本次扩建主要工艺及堆场设计参数见下表2.2-7。</w:t>
      </w:r>
    </w:p>
    <w:p>
      <w:pPr>
        <w:pStyle w:val="384"/>
        <w:ind w:left="0" w:firstLine="0"/>
        <w:rPr>
          <w:rFonts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装卸工艺主要设计参数</w:t>
      </w:r>
    </w:p>
    <w:tbl>
      <w:tblPr>
        <w:tblStyle w:val="89"/>
        <w:tblW w:w="8528" w:type="dxa"/>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606"/>
        <w:gridCol w:w="2336"/>
        <w:gridCol w:w="1585"/>
        <w:gridCol w:w="855"/>
        <w:gridCol w:w="662"/>
        <w:gridCol w:w="2484"/>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blHeader/>
        </w:trPr>
        <w:tc>
          <w:tcPr>
            <w:tcW w:w="606" w:type="dxa"/>
            <w:vAlign w:val="center"/>
          </w:tcPr>
          <w:p>
            <w:pPr>
              <w:pStyle w:val="2001"/>
            </w:pPr>
            <w:r>
              <w:rPr>
                <w:rFonts w:hint="eastAsia"/>
              </w:rPr>
              <w:t>序号</w:t>
            </w:r>
          </w:p>
        </w:tc>
        <w:tc>
          <w:tcPr>
            <w:tcW w:w="3921" w:type="dxa"/>
            <w:gridSpan w:val="2"/>
            <w:vAlign w:val="center"/>
          </w:tcPr>
          <w:p>
            <w:pPr>
              <w:pStyle w:val="2001"/>
            </w:pPr>
            <w:r>
              <w:rPr>
                <w:rFonts w:hint="eastAsia"/>
              </w:rPr>
              <w:t>项目名称</w:t>
            </w:r>
          </w:p>
        </w:tc>
        <w:tc>
          <w:tcPr>
            <w:tcW w:w="855" w:type="dxa"/>
            <w:vAlign w:val="center"/>
          </w:tcPr>
          <w:p>
            <w:pPr>
              <w:pStyle w:val="2001"/>
            </w:pPr>
            <w:r>
              <w:rPr>
                <w:rFonts w:hint="eastAsia"/>
              </w:rPr>
              <w:t>单位</w:t>
            </w:r>
          </w:p>
        </w:tc>
        <w:tc>
          <w:tcPr>
            <w:tcW w:w="662" w:type="dxa"/>
            <w:vAlign w:val="center"/>
          </w:tcPr>
          <w:p>
            <w:pPr>
              <w:pStyle w:val="2001"/>
            </w:pPr>
            <w:r>
              <w:rPr>
                <w:rFonts w:hint="eastAsia"/>
              </w:rPr>
              <w:t>数量</w:t>
            </w:r>
          </w:p>
        </w:tc>
        <w:tc>
          <w:tcPr>
            <w:tcW w:w="2484" w:type="dxa"/>
            <w:vAlign w:val="center"/>
          </w:tcPr>
          <w:p>
            <w:pPr>
              <w:pStyle w:val="2001"/>
            </w:pPr>
            <w:r>
              <w:rPr>
                <w:rFonts w:hint="eastAsia"/>
              </w:rPr>
              <w:t>备注</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c>
          <w:tcPr>
            <w:tcW w:w="606" w:type="dxa"/>
            <w:vAlign w:val="center"/>
          </w:tcPr>
          <w:p>
            <w:pPr>
              <w:pStyle w:val="2001"/>
            </w:pPr>
            <w:r>
              <w:rPr>
                <w:rFonts w:hint="eastAsia"/>
              </w:rPr>
              <w:t>1</w:t>
            </w:r>
          </w:p>
        </w:tc>
        <w:tc>
          <w:tcPr>
            <w:tcW w:w="3921" w:type="dxa"/>
            <w:gridSpan w:val="2"/>
            <w:vAlign w:val="center"/>
          </w:tcPr>
          <w:p>
            <w:pPr>
              <w:pStyle w:val="2001"/>
            </w:pPr>
            <w:r>
              <w:rPr>
                <w:rFonts w:hint="eastAsia"/>
              </w:rPr>
              <w:t>设计船型</w:t>
            </w:r>
          </w:p>
        </w:tc>
        <w:tc>
          <w:tcPr>
            <w:tcW w:w="855" w:type="dxa"/>
            <w:vAlign w:val="center"/>
          </w:tcPr>
          <w:p>
            <w:pPr>
              <w:pStyle w:val="2001"/>
            </w:pPr>
            <w:r>
              <w:rPr>
                <w:rFonts w:hint="eastAsia"/>
              </w:rPr>
              <w:t>DWT</w:t>
            </w:r>
          </w:p>
        </w:tc>
        <w:tc>
          <w:tcPr>
            <w:tcW w:w="662" w:type="dxa"/>
            <w:vAlign w:val="center"/>
          </w:tcPr>
          <w:p>
            <w:pPr>
              <w:pStyle w:val="2001"/>
            </w:pPr>
            <w:r>
              <w:rPr>
                <w:rFonts w:hint="eastAsia"/>
              </w:rPr>
              <w:t>20万</w:t>
            </w:r>
          </w:p>
        </w:tc>
        <w:tc>
          <w:tcPr>
            <w:tcW w:w="2484" w:type="dxa"/>
            <w:vAlign w:val="center"/>
          </w:tcPr>
          <w:p>
            <w:pPr>
              <w:pStyle w:val="2001"/>
            </w:pPr>
            <w:r>
              <w:rPr>
                <w:rFonts w:hint="eastAsia"/>
              </w:rPr>
              <w:t>集装箱船</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c>
          <w:tcPr>
            <w:tcW w:w="606" w:type="dxa"/>
            <w:vAlign w:val="center"/>
          </w:tcPr>
          <w:p>
            <w:pPr>
              <w:pStyle w:val="2001"/>
            </w:pPr>
            <w:r>
              <w:rPr>
                <w:rFonts w:hint="eastAsia"/>
              </w:rPr>
              <w:t>2</w:t>
            </w:r>
          </w:p>
        </w:tc>
        <w:tc>
          <w:tcPr>
            <w:tcW w:w="3921" w:type="dxa"/>
            <w:gridSpan w:val="2"/>
            <w:vAlign w:val="center"/>
          </w:tcPr>
          <w:p>
            <w:pPr>
              <w:pStyle w:val="2001"/>
            </w:pPr>
            <w:r>
              <w:t>本工程新增年设计吞吐量</w:t>
            </w:r>
          </w:p>
        </w:tc>
        <w:tc>
          <w:tcPr>
            <w:tcW w:w="855" w:type="dxa"/>
            <w:vAlign w:val="center"/>
          </w:tcPr>
          <w:p>
            <w:pPr>
              <w:pStyle w:val="2001"/>
            </w:pPr>
            <w:r>
              <w:rPr>
                <w:rFonts w:hint="eastAsia"/>
              </w:rPr>
              <w:t>万TEU</w:t>
            </w:r>
          </w:p>
        </w:tc>
        <w:tc>
          <w:tcPr>
            <w:tcW w:w="662" w:type="dxa"/>
            <w:vAlign w:val="center"/>
          </w:tcPr>
          <w:p>
            <w:pPr>
              <w:pStyle w:val="2001"/>
            </w:pPr>
            <w:r>
              <w:rPr>
                <w:rFonts w:hint="eastAsia"/>
              </w:rPr>
              <w:t>40</w:t>
            </w:r>
          </w:p>
        </w:tc>
        <w:tc>
          <w:tcPr>
            <w:tcW w:w="2484" w:type="dxa"/>
            <w:vAlign w:val="center"/>
          </w:tcPr>
          <w:p>
            <w:pPr>
              <w:pStyle w:val="2001"/>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c>
          <w:tcPr>
            <w:tcW w:w="606" w:type="dxa"/>
            <w:vAlign w:val="center"/>
          </w:tcPr>
          <w:p>
            <w:pPr>
              <w:pStyle w:val="2001"/>
            </w:pPr>
            <w:r>
              <w:rPr>
                <w:rFonts w:hint="eastAsia"/>
              </w:rPr>
              <w:t>3</w:t>
            </w:r>
          </w:p>
        </w:tc>
        <w:tc>
          <w:tcPr>
            <w:tcW w:w="3921" w:type="dxa"/>
            <w:gridSpan w:val="2"/>
            <w:vAlign w:val="center"/>
          </w:tcPr>
          <w:p>
            <w:pPr>
              <w:pStyle w:val="2001"/>
            </w:pPr>
            <w:r>
              <w:rPr>
                <w:rFonts w:hint="eastAsia"/>
              </w:rPr>
              <w:t>泊位年营运天数</w:t>
            </w:r>
          </w:p>
        </w:tc>
        <w:tc>
          <w:tcPr>
            <w:tcW w:w="855" w:type="dxa"/>
            <w:vAlign w:val="center"/>
          </w:tcPr>
          <w:p>
            <w:pPr>
              <w:pStyle w:val="2001"/>
            </w:pPr>
            <w:r>
              <w:rPr>
                <w:rFonts w:hint="eastAsia"/>
              </w:rPr>
              <w:t>天</w:t>
            </w:r>
          </w:p>
        </w:tc>
        <w:tc>
          <w:tcPr>
            <w:tcW w:w="662" w:type="dxa"/>
            <w:vAlign w:val="center"/>
          </w:tcPr>
          <w:p>
            <w:pPr>
              <w:pStyle w:val="2001"/>
            </w:pPr>
            <w:r>
              <w:rPr>
                <w:rFonts w:hint="eastAsia"/>
              </w:rPr>
              <w:t>330</w:t>
            </w:r>
          </w:p>
        </w:tc>
        <w:tc>
          <w:tcPr>
            <w:tcW w:w="2484" w:type="dxa"/>
            <w:vAlign w:val="center"/>
          </w:tcPr>
          <w:p>
            <w:pPr>
              <w:pStyle w:val="2001"/>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c>
          <w:tcPr>
            <w:tcW w:w="606" w:type="dxa"/>
            <w:vAlign w:val="center"/>
          </w:tcPr>
          <w:p>
            <w:pPr>
              <w:pStyle w:val="2001"/>
            </w:pPr>
            <w:r>
              <w:rPr>
                <w:rFonts w:hint="eastAsia"/>
              </w:rPr>
              <w:t>4</w:t>
            </w:r>
          </w:p>
        </w:tc>
        <w:tc>
          <w:tcPr>
            <w:tcW w:w="3921" w:type="dxa"/>
            <w:gridSpan w:val="2"/>
            <w:vAlign w:val="center"/>
          </w:tcPr>
          <w:p>
            <w:pPr>
              <w:pStyle w:val="2001"/>
            </w:pPr>
            <w:r>
              <w:rPr>
                <w:rFonts w:hint="eastAsia"/>
              </w:rPr>
              <w:t>堆场年营运天数</w:t>
            </w:r>
          </w:p>
        </w:tc>
        <w:tc>
          <w:tcPr>
            <w:tcW w:w="855" w:type="dxa"/>
            <w:vAlign w:val="center"/>
          </w:tcPr>
          <w:p>
            <w:pPr>
              <w:pStyle w:val="2001"/>
            </w:pPr>
            <w:r>
              <w:rPr>
                <w:rFonts w:hint="eastAsia"/>
              </w:rPr>
              <w:t>天</w:t>
            </w:r>
          </w:p>
        </w:tc>
        <w:tc>
          <w:tcPr>
            <w:tcW w:w="662" w:type="dxa"/>
            <w:vAlign w:val="center"/>
          </w:tcPr>
          <w:p>
            <w:pPr>
              <w:pStyle w:val="2001"/>
            </w:pPr>
            <w:r>
              <w:rPr>
                <w:rFonts w:hint="eastAsia"/>
              </w:rPr>
              <w:t>360</w:t>
            </w:r>
          </w:p>
        </w:tc>
        <w:tc>
          <w:tcPr>
            <w:tcW w:w="2484" w:type="dxa"/>
            <w:vAlign w:val="center"/>
          </w:tcPr>
          <w:p>
            <w:pPr>
              <w:pStyle w:val="2001"/>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c>
          <w:tcPr>
            <w:tcW w:w="606" w:type="dxa"/>
            <w:vAlign w:val="center"/>
          </w:tcPr>
          <w:p>
            <w:pPr>
              <w:pStyle w:val="2001"/>
            </w:pPr>
            <w:r>
              <w:rPr>
                <w:rFonts w:hint="eastAsia"/>
              </w:rPr>
              <w:t>5</w:t>
            </w:r>
          </w:p>
        </w:tc>
        <w:tc>
          <w:tcPr>
            <w:tcW w:w="3921" w:type="dxa"/>
            <w:gridSpan w:val="2"/>
            <w:vAlign w:val="center"/>
          </w:tcPr>
          <w:p>
            <w:pPr>
              <w:pStyle w:val="2001"/>
            </w:pPr>
            <w:r>
              <w:rPr>
                <w:rFonts w:hint="eastAsia"/>
              </w:rPr>
              <w:t>堆场不平衡系数</w:t>
            </w:r>
          </w:p>
        </w:tc>
        <w:tc>
          <w:tcPr>
            <w:tcW w:w="855" w:type="dxa"/>
            <w:vAlign w:val="center"/>
          </w:tcPr>
          <w:p>
            <w:pPr>
              <w:pStyle w:val="2001"/>
            </w:pPr>
            <w:r>
              <w:rPr>
                <w:rFonts w:hint="eastAsia"/>
              </w:rPr>
              <w:t>1.2</w:t>
            </w:r>
          </w:p>
        </w:tc>
        <w:tc>
          <w:tcPr>
            <w:tcW w:w="662" w:type="dxa"/>
            <w:vAlign w:val="center"/>
          </w:tcPr>
          <w:p>
            <w:pPr>
              <w:pStyle w:val="2001"/>
            </w:pPr>
          </w:p>
        </w:tc>
        <w:tc>
          <w:tcPr>
            <w:tcW w:w="2484" w:type="dxa"/>
            <w:vAlign w:val="center"/>
          </w:tcPr>
          <w:p>
            <w:pPr>
              <w:pStyle w:val="2001"/>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c>
          <w:tcPr>
            <w:tcW w:w="606" w:type="dxa"/>
            <w:vAlign w:val="center"/>
          </w:tcPr>
          <w:p>
            <w:pPr>
              <w:pStyle w:val="2001"/>
            </w:pPr>
            <w:r>
              <w:rPr>
                <w:rFonts w:hint="eastAsia"/>
              </w:rPr>
              <w:t>6</w:t>
            </w:r>
          </w:p>
        </w:tc>
        <w:tc>
          <w:tcPr>
            <w:tcW w:w="3921" w:type="dxa"/>
            <w:gridSpan w:val="2"/>
            <w:vAlign w:val="center"/>
          </w:tcPr>
          <w:p>
            <w:pPr>
              <w:pStyle w:val="2001"/>
            </w:pPr>
            <w:r>
              <w:rPr>
                <w:rFonts w:hint="eastAsia"/>
              </w:rPr>
              <w:t>泊位有效利用率</w:t>
            </w:r>
          </w:p>
        </w:tc>
        <w:tc>
          <w:tcPr>
            <w:tcW w:w="855" w:type="dxa"/>
            <w:vAlign w:val="center"/>
          </w:tcPr>
          <w:p>
            <w:pPr>
              <w:pStyle w:val="2001"/>
            </w:pPr>
            <w:r>
              <w:rPr>
                <w:rFonts w:hint="eastAsia"/>
              </w:rPr>
              <w:t>%</w:t>
            </w:r>
          </w:p>
        </w:tc>
        <w:tc>
          <w:tcPr>
            <w:tcW w:w="662" w:type="dxa"/>
            <w:vAlign w:val="center"/>
          </w:tcPr>
          <w:p>
            <w:pPr>
              <w:pStyle w:val="2001"/>
            </w:pPr>
            <w:r>
              <w:rPr>
                <w:rFonts w:hint="eastAsia"/>
              </w:rPr>
              <w:t>68</w:t>
            </w:r>
          </w:p>
        </w:tc>
        <w:tc>
          <w:tcPr>
            <w:tcW w:w="2484" w:type="dxa"/>
            <w:vAlign w:val="center"/>
          </w:tcPr>
          <w:p>
            <w:pPr>
              <w:pStyle w:val="2001"/>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c>
          <w:tcPr>
            <w:tcW w:w="606" w:type="dxa"/>
            <w:vMerge w:val="restart"/>
            <w:vAlign w:val="center"/>
          </w:tcPr>
          <w:p>
            <w:pPr>
              <w:pStyle w:val="2001"/>
            </w:pPr>
            <w:r>
              <w:rPr>
                <w:rFonts w:hint="eastAsia"/>
              </w:rPr>
              <w:t>7</w:t>
            </w:r>
          </w:p>
        </w:tc>
        <w:tc>
          <w:tcPr>
            <w:tcW w:w="2336" w:type="dxa"/>
            <w:vMerge w:val="restart"/>
            <w:vAlign w:val="center"/>
          </w:tcPr>
          <w:p>
            <w:pPr>
              <w:pStyle w:val="2001"/>
            </w:pPr>
            <w:r>
              <w:rPr>
                <w:rFonts w:hint="eastAsia"/>
              </w:rPr>
              <w:t>箱型比例</w:t>
            </w:r>
          </w:p>
        </w:tc>
        <w:tc>
          <w:tcPr>
            <w:tcW w:w="1585" w:type="dxa"/>
            <w:vAlign w:val="center"/>
          </w:tcPr>
          <w:p>
            <w:pPr>
              <w:pStyle w:val="2001"/>
            </w:pPr>
            <w:r>
              <w:rPr>
                <w:rFonts w:hint="eastAsia"/>
              </w:rPr>
              <w:t>20</w:t>
            </w:r>
            <w:r>
              <w:t>’</w:t>
            </w:r>
            <w:r>
              <w:rPr>
                <w:rFonts w:hint="eastAsia"/>
              </w:rPr>
              <w:t>箱</w:t>
            </w:r>
          </w:p>
        </w:tc>
        <w:tc>
          <w:tcPr>
            <w:tcW w:w="855" w:type="dxa"/>
            <w:vMerge w:val="restart"/>
            <w:vAlign w:val="center"/>
          </w:tcPr>
          <w:p>
            <w:pPr>
              <w:pStyle w:val="2001"/>
            </w:pPr>
            <w:r>
              <w:rPr>
                <w:rFonts w:hint="eastAsia"/>
              </w:rPr>
              <w:t>%</w:t>
            </w:r>
          </w:p>
        </w:tc>
        <w:tc>
          <w:tcPr>
            <w:tcW w:w="662" w:type="dxa"/>
            <w:vAlign w:val="center"/>
          </w:tcPr>
          <w:p>
            <w:pPr>
              <w:pStyle w:val="2001"/>
            </w:pPr>
            <w:r>
              <w:rPr>
                <w:rFonts w:hint="eastAsia"/>
              </w:rPr>
              <w:t>70</w:t>
            </w:r>
          </w:p>
        </w:tc>
        <w:tc>
          <w:tcPr>
            <w:tcW w:w="2484" w:type="dxa"/>
            <w:vMerge w:val="restart"/>
            <w:vAlign w:val="center"/>
          </w:tcPr>
          <w:p>
            <w:pPr>
              <w:pStyle w:val="2001"/>
            </w:pPr>
            <w:r>
              <w:rPr>
                <w:rFonts w:hint="eastAsia"/>
              </w:rPr>
              <w:t>标准箱折算系数按1.3</w:t>
            </w:r>
          </w:p>
          <w:p>
            <w:pPr>
              <w:pStyle w:val="2001"/>
            </w:pPr>
            <w:r>
              <w:rPr>
                <w:rFonts w:hint="eastAsia"/>
              </w:rPr>
              <w:t>考虑</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c>
          <w:tcPr>
            <w:tcW w:w="606" w:type="dxa"/>
            <w:vMerge w:val="continue"/>
            <w:vAlign w:val="center"/>
          </w:tcPr>
          <w:p>
            <w:pPr>
              <w:pStyle w:val="2001"/>
            </w:pPr>
          </w:p>
        </w:tc>
        <w:tc>
          <w:tcPr>
            <w:tcW w:w="2336" w:type="dxa"/>
            <w:vMerge w:val="continue"/>
            <w:vAlign w:val="center"/>
          </w:tcPr>
          <w:p>
            <w:pPr>
              <w:pStyle w:val="2001"/>
            </w:pPr>
          </w:p>
        </w:tc>
        <w:tc>
          <w:tcPr>
            <w:tcW w:w="1585" w:type="dxa"/>
            <w:vAlign w:val="center"/>
          </w:tcPr>
          <w:p>
            <w:pPr>
              <w:pStyle w:val="2001"/>
            </w:pPr>
            <w:r>
              <w:rPr>
                <w:rFonts w:hint="eastAsia"/>
              </w:rPr>
              <w:t>40</w:t>
            </w:r>
            <w:r>
              <w:t>’</w:t>
            </w:r>
            <w:r>
              <w:rPr>
                <w:rFonts w:hint="eastAsia"/>
              </w:rPr>
              <w:t>箱</w:t>
            </w:r>
          </w:p>
        </w:tc>
        <w:tc>
          <w:tcPr>
            <w:tcW w:w="855" w:type="dxa"/>
            <w:vMerge w:val="continue"/>
            <w:vAlign w:val="center"/>
          </w:tcPr>
          <w:p>
            <w:pPr>
              <w:pStyle w:val="2001"/>
            </w:pPr>
          </w:p>
        </w:tc>
        <w:tc>
          <w:tcPr>
            <w:tcW w:w="662" w:type="dxa"/>
            <w:vAlign w:val="center"/>
          </w:tcPr>
          <w:p>
            <w:pPr>
              <w:pStyle w:val="2001"/>
            </w:pPr>
            <w:r>
              <w:rPr>
                <w:rFonts w:hint="eastAsia"/>
              </w:rPr>
              <w:t>30</w:t>
            </w:r>
          </w:p>
        </w:tc>
        <w:tc>
          <w:tcPr>
            <w:tcW w:w="2484" w:type="dxa"/>
            <w:vMerge w:val="continue"/>
            <w:vAlign w:val="center"/>
          </w:tcPr>
          <w:p>
            <w:pPr>
              <w:pStyle w:val="2001"/>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c>
          <w:tcPr>
            <w:tcW w:w="606" w:type="dxa"/>
            <w:vMerge w:val="restart"/>
            <w:vAlign w:val="center"/>
          </w:tcPr>
          <w:p>
            <w:pPr>
              <w:pStyle w:val="2001"/>
            </w:pPr>
            <w:r>
              <w:rPr>
                <w:rFonts w:hint="eastAsia"/>
              </w:rPr>
              <w:t>8</w:t>
            </w:r>
          </w:p>
        </w:tc>
        <w:tc>
          <w:tcPr>
            <w:tcW w:w="2336" w:type="dxa"/>
            <w:vMerge w:val="restart"/>
            <w:vAlign w:val="center"/>
          </w:tcPr>
          <w:p>
            <w:pPr>
              <w:pStyle w:val="2001"/>
            </w:pPr>
            <w:r>
              <w:rPr>
                <w:rFonts w:hint="eastAsia"/>
              </w:rPr>
              <w:t>各种集装箱占总运量百分比</w:t>
            </w:r>
          </w:p>
        </w:tc>
        <w:tc>
          <w:tcPr>
            <w:tcW w:w="1585" w:type="dxa"/>
            <w:vAlign w:val="center"/>
          </w:tcPr>
          <w:p>
            <w:pPr>
              <w:pStyle w:val="2001"/>
            </w:pPr>
            <w:r>
              <w:rPr>
                <w:rFonts w:hint="eastAsia"/>
              </w:rPr>
              <w:t>重箱</w:t>
            </w:r>
          </w:p>
        </w:tc>
        <w:tc>
          <w:tcPr>
            <w:tcW w:w="855" w:type="dxa"/>
            <w:vMerge w:val="restart"/>
            <w:vAlign w:val="center"/>
          </w:tcPr>
          <w:p>
            <w:pPr>
              <w:pStyle w:val="2001"/>
            </w:pPr>
            <w:r>
              <w:rPr>
                <w:rFonts w:hint="eastAsia"/>
              </w:rPr>
              <w:t>%</w:t>
            </w:r>
          </w:p>
        </w:tc>
        <w:tc>
          <w:tcPr>
            <w:tcW w:w="662" w:type="dxa"/>
            <w:vAlign w:val="center"/>
          </w:tcPr>
          <w:p>
            <w:pPr>
              <w:pStyle w:val="2001"/>
            </w:pPr>
            <w:r>
              <w:rPr>
                <w:rFonts w:hint="eastAsia"/>
              </w:rPr>
              <w:t>68</w:t>
            </w:r>
          </w:p>
        </w:tc>
        <w:tc>
          <w:tcPr>
            <w:tcW w:w="2484" w:type="dxa"/>
            <w:vAlign w:val="center"/>
          </w:tcPr>
          <w:p>
            <w:pPr>
              <w:pStyle w:val="2001"/>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c>
          <w:tcPr>
            <w:tcW w:w="606" w:type="dxa"/>
            <w:vMerge w:val="continue"/>
            <w:vAlign w:val="center"/>
          </w:tcPr>
          <w:p>
            <w:pPr>
              <w:pStyle w:val="2001"/>
            </w:pPr>
          </w:p>
        </w:tc>
        <w:tc>
          <w:tcPr>
            <w:tcW w:w="2336" w:type="dxa"/>
            <w:vMerge w:val="continue"/>
            <w:vAlign w:val="center"/>
          </w:tcPr>
          <w:p>
            <w:pPr>
              <w:pStyle w:val="2001"/>
            </w:pPr>
          </w:p>
        </w:tc>
        <w:tc>
          <w:tcPr>
            <w:tcW w:w="1585" w:type="dxa"/>
            <w:vAlign w:val="center"/>
          </w:tcPr>
          <w:p>
            <w:pPr>
              <w:pStyle w:val="2001"/>
            </w:pPr>
            <w:r>
              <w:rPr>
                <w:rFonts w:hint="eastAsia"/>
              </w:rPr>
              <w:t>空箱</w:t>
            </w:r>
          </w:p>
        </w:tc>
        <w:tc>
          <w:tcPr>
            <w:tcW w:w="855" w:type="dxa"/>
            <w:vMerge w:val="continue"/>
            <w:vAlign w:val="center"/>
          </w:tcPr>
          <w:p>
            <w:pPr>
              <w:pStyle w:val="2001"/>
            </w:pPr>
          </w:p>
        </w:tc>
        <w:tc>
          <w:tcPr>
            <w:tcW w:w="662" w:type="dxa"/>
            <w:vAlign w:val="center"/>
          </w:tcPr>
          <w:p>
            <w:pPr>
              <w:pStyle w:val="2001"/>
            </w:pPr>
            <w:r>
              <w:rPr>
                <w:rFonts w:hint="eastAsia"/>
              </w:rPr>
              <w:t>30</w:t>
            </w:r>
          </w:p>
        </w:tc>
        <w:tc>
          <w:tcPr>
            <w:tcW w:w="2484" w:type="dxa"/>
            <w:vAlign w:val="center"/>
          </w:tcPr>
          <w:p>
            <w:pPr>
              <w:pStyle w:val="2001"/>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c>
          <w:tcPr>
            <w:tcW w:w="606" w:type="dxa"/>
            <w:vMerge w:val="continue"/>
            <w:vAlign w:val="center"/>
          </w:tcPr>
          <w:p>
            <w:pPr>
              <w:pStyle w:val="2001"/>
            </w:pPr>
          </w:p>
        </w:tc>
        <w:tc>
          <w:tcPr>
            <w:tcW w:w="2336" w:type="dxa"/>
            <w:vMerge w:val="continue"/>
            <w:vAlign w:val="center"/>
          </w:tcPr>
          <w:p>
            <w:pPr>
              <w:pStyle w:val="2001"/>
            </w:pPr>
          </w:p>
        </w:tc>
        <w:tc>
          <w:tcPr>
            <w:tcW w:w="1585" w:type="dxa"/>
            <w:vAlign w:val="center"/>
          </w:tcPr>
          <w:p>
            <w:pPr>
              <w:pStyle w:val="2001"/>
            </w:pPr>
            <w:r>
              <w:rPr>
                <w:rFonts w:hint="eastAsia"/>
              </w:rPr>
              <w:t>冷藏箱</w:t>
            </w:r>
          </w:p>
        </w:tc>
        <w:tc>
          <w:tcPr>
            <w:tcW w:w="855" w:type="dxa"/>
            <w:vMerge w:val="continue"/>
            <w:vAlign w:val="center"/>
          </w:tcPr>
          <w:p>
            <w:pPr>
              <w:pStyle w:val="2001"/>
            </w:pPr>
          </w:p>
        </w:tc>
        <w:tc>
          <w:tcPr>
            <w:tcW w:w="662" w:type="dxa"/>
            <w:vAlign w:val="center"/>
          </w:tcPr>
          <w:p>
            <w:pPr>
              <w:pStyle w:val="2001"/>
            </w:pPr>
            <w:r>
              <w:rPr>
                <w:rFonts w:hint="eastAsia"/>
              </w:rPr>
              <w:t>2</w:t>
            </w:r>
          </w:p>
        </w:tc>
        <w:tc>
          <w:tcPr>
            <w:tcW w:w="2484" w:type="dxa"/>
            <w:vAlign w:val="center"/>
          </w:tcPr>
          <w:p>
            <w:pPr>
              <w:pStyle w:val="2001"/>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c>
          <w:tcPr>
            <w:tcW w:w="606" w:type="dxa"/>
            <w:vMerge w:val="restart"/>
            <w:vAlign w:val="center"/>
          </w:tcPr>
          <w:p>
            <w:pPr>
              <w:pStyle w:val="2001"/>
            </w:pPr>
            <w:r>
              <w:rPr>
                <w:rFonts w:hint="eastAsia"/>
              </w:rPr>
              <w:t>9</w:t>
            </w:r>
          </w:p>
        </w:tc>
        <w:tc>
          <w:tcPr>
            <w:tcW w:w="2336" w:type="dxa"/>
            <w:vMerge w:val="restart"/>
            <w:vAlign w:val="center"/>
          </w:tcPr>
          <w:p>
            <w:pPr>
              <w:pStyle w:val="2001"/>
            </w:pPr>
            <w:r>
              <w:rPr>
                <w:rFonts w:hint="eastAsia"/>
              </w:rPr>
              <w:t>各种集装箱平均堆存期</w:t>
            </w:r>
          </w:p>
        </w:tc>
        <w:tc>
          <w:tcPr>
            <w:tcW w:w="1585" w:type="dxa"/>
            <w:vAlign w:val="center"/>
          </w:tcPr>
          <w:p>
            <w:pPr>
              <w:pStyle w:val="2001"/>
            </w:pPr>
            <w:r>
              <w:rPr>
                <w:rFonts w:hint="eastAsia"/>
              </w:rPr>
              <w:t>重箱</w:t>
            </w:r>
          </w:p>
        </w:tc>
        <w:tc>
          <w:tcPr>
            <w:tcW w:w="855" w:type="dxa"/>
            <w:vMerge w:val="restart"/>
            <w:vAlign w:val="center"/>
          </w:tcPr>
          <w:p>
            <w:pPr>
              <w:pStyle w:val="2001"/>
            </w:pPr>
            <w:r>
              <w:rPr>
                <w:rFonts w:hint="eastAsia"/>
              </w:rPr>
              <w:t>天</w:t>
            </w:r>
          </w:p>
        </w:tc>
        <w:tc>
          <w:tcPr>
            <w:tcW w:w="662" w:type="dxa"/>
            <w:vAlign w:val="center"/>
          </w:tcPr>
          <w:p>
            <w:pPr>
              <w:pStyle w:val="2001"/>
            </w:pPr>
            <w:r>
              <w:rPr>
                <w:rFonts w:hint="eastAsia"/>
              </w:rPr>
              <w:t>7</w:t>
            </w:r>
          </w:p>
        </w:tc>
        <w:tc>
          <w:tcPr>
            <w:tcW w:w="2484" w:type="dxa"/>
            <w:vAlign w:val="center"/>
          </w:tcPr>
          <w:p>
            <w:pPr>
              <w:pStyle w:val="2001"/>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c>
          <w:tcPr>
            <w:tcW w:w="606" w:type="dxa"/>
            <w:vMerge w:val="continue"/>
            <w:vAlign w:val="center"/>
          </w:tcPr>
          <w:p>
            <w:pPr>
              <w:pStyle w:val="2001"/>
            </w:pPr>
          </w:p>
        </w:tc>
        <w:tc>
          <w:tcPr>
            <w:tcW w:w="2336" w:type="dxa"/>
            <w:vMerge w:val="continue"/>
            <w:vAlign w:val="center"/>
          </w:tcPr>
          <w:p>
            <w:pPr>
              <w:pStyle w:val="2001"/>
            </w:pPr>
          </w:p>
        </w:tc>
        <w:tc>
          <w:tcPr>
            <w:tcW w:w="1585" w:type="dxa"/>
            <w:vAlign w:val="center"/>
          </w:tcPr>
          <w:p>
            <w:pPr>
              <w:pStyle w:val="2001"/>
            </w:pPr>
            <w:r>
              <w:rPr>
                <w:rFonts w:hint="eastAsia"/>
              </w:rPr>
              <w:t>空箱</w:t>
            </w:r>
          </w:p>
        </w:tc>
        <w:tc>
          <w:tcPr>
            <w:tcW w:w="855" w:type="dxa"/>
            <w:vMerge w:val="continue"/>
            <w:vAlign w:val="center"/>
          </w:tcPr>
          <w:p>
            <w:pPr>
              <w:pStyle w:val="2001"/>
            </w:pPr>
          </w:p>
        </w:tc>
        <w:tc>
          <w:tcPr>
            <w:tcW w:w="662" w:type="dxa"/>
            <w:vAlign w:val="center"/>
          </w:tcPr>
          <w:p>
            <w:pPr>
              <w:pStyle w:val="2001"/>
            </w:pPr>
            <w:r>
              <w:rPr>
                <w:rFonts w:hint="eastAsia"/>
              </w:rPr>
              <w:t>12</w:t>
            </w:r>
          </w:p>
        </w:tc>
        <w:tc>
          <w:tcPr>
            <w:tcW w:w="2484" w:type="dxa"/>
            <w:vAlign w:val="center"/>
          </w:tcPr>
          <w:p>
            <w:pPr>
              <w:pStyle w:val="2001"/>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c>
          <w:tcPr>
            <w:tcW w:w="606" w:type="dxa"/>
            <w:vMerge w:val="continue"/>
            <w:vAlign w:val="center"/>
          </w:tcPr>
          <w:p>
            <w:pPr>
              <w:pStyle w:val="2001"/>
            </w:pPr>
          </w:p>
        </w:tc>
        <w:tc>
          <w:tcPr>
            <w:tcW w:w="2336" w:type="dxa"/>
            <w:vMerge w:val="continue"/>
            <w:vAlign w:val="center"/>
          </w:tcPr>
          <w:p>
            <w:pPr>
              <w:pStyle w:val="2001"/>
            </w:pPr>
          </w:p>
        </w:tc>
        <w:tc>
          <w:tcPr>
            <w:tcW w:w="1585" w:type="dxa"/>
            <w:vAlign w:val="center"/>
          </w:tcPr>
          <w:p>
            <w:pPr>
              <w:pStyle w:val="2001"/>
            </w:pPr>
            <w:r>
              <w:rPr>
                <w:rFonts w:hint="eastAsia"/>
              </w:rPr>
              <w:t>冷藏箱</w:t>
            </w:r>
          </w:p>
        </w:tc>
        <w:tc>
          <w:tcPr>
            <w:tcW w:w="855" w:type="dxa"/>
            <w:vMerge w:val="continue"/>
            <w:vAlign w:val="center"/>
          </w:tcPr>
          <w:p>
            <w:pPr>
              <w:pStyle w:val="2001"/>
            </w:pPr>
          </w:p>
        </w:tc>
        <w:tc>
          <w:tcPr>
            <w:tcW w:w="662" w:type="dxa"/>
            <w:vAlign w:val="center"/>
          </w:tcPr>
          <w:p>
            <w:pPr>
              <w:pStyle w:val="2001"/>
            </w:pPr>
            <w:r>
              <w:rPr>
                <w:rFonts w:hint="eastAsia"/>
              </w:rPr>
              <w:t>4</w:t>
            </w:r>
          </w:p>
        </w:tc>
        <w:tc>
          <w:tcPr>
            <w:tcW w:w="2484" w:type="dxa"/>
            <w:vAlign w:val="center"/>
          </w:tcPr>
          <w:p>
            <w:pPr>
              <w:pStyle w:val="2001"/>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c>
          <w:tcPr>
            <w:tcW w:w="606" w:type="dxa"/>
            <w:vMerge w:val="restart"/>
            <w:vAlign w:val="center"/>
          </w:tcPr>
          <w:p>
            <w:pPr>
              <w:pStyle w:val="2001"/>
            </w:pPr>
            <w:r>
              <w:rPr>
                <w:rFonts w:hint="eastAsia"/>
              </w:rPr>
              <w:t>10</w:t>
            </w:r>
          </w:p>
        </w:tc>
        <w:tc>
          <w:tcPr>
            <w:tcW w:w="2336" w:type="dxa"/>
            <w:vMerge w:val="restart"/>
            <w:vAlign w:val="center"/>
          </w:tcPr>
          <w:p>
            <w:pPr>
              <w:pStyle w:val="2001"/>
            </w:pPr>
            <w:r>
              <w:rPr>
                <w:rFonts w:hint="eastAsia"/>
              </w:rPr>
              <w:t>各种集装箱堆场容量利用率</w:t>
            </w:r>
          </w:p>
        </w:tc>
        <w:tc>
          <w:tcPr>
            <w:tcW w:w="1585" w:type="dxa"/>
            <w:vAlign w:val="center"/>
          </w:tcPr>
          <w:p>
            <w:pPr>
              <w:pStyle w:val="2001"/>
            </w:pPr>
            <w:r>
              <w:rPr>
                <w:rFonts w:hint="eastAsia"/>
              </w:rPr>
              <w:t>重箱、冷藏箱</w:t>
            </w:r>
          </w:p>
        </w:tc>
        <w:tc>
          <w:tcPr>
            <w:tcW w:w="855" w:type="dxa"/>
            <w:vMerge w:val="restart"/>
            <w:vAlign w:val="center"/>
          </w:tcPr>
          <w:p>
            <w:pPr>
              <w:pStyle w:val="2001"/>
            </w:pPr>
            <w:r>
              <w:rPr>
                <w:rFonts w:hint="eastAsia"/>
              </w:rPr>
              <w:t>%</w:t>
            </w:r>
          </w:p>
        </w:tc>
        <w:tc>
          <w:tcPr>
            <w:tcW w:w="662" w:type="dxa"/>
            <w:vAlign w:val="center"/>
          </w:tcPr>
          <w:p>
            <w:pPr>
              <w:pStyle w:val="2001"/>
            </w:pPr>
            <w:r>
              <w:rPr>
                <w:rFonts w:hint="eastAsia"/>
              </w:rPr>
              <w:t>65</w:t>
            </w:r>
          </w:p>
        </w:tc>
        <w:tc>
          <w:tcPr>
            <w:tcW w:w="2484" w:type="dxa"/>
            <w:vAlign w:val="center"/>
          </w:tcPr>
          <w:p>
            <w:pPr>
              <w:pStyle w:val="2001"/>
            </w:pPr>
            <w:r>
              <w:rPr>
                <w:rFonts w:hint="eastAsia"/>
              </w:rPr>
              <w:t>堆高6层</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c>
          <w:tcPr>
            <w:tcW w:w="606" w:type="dxa"/>
            <w:vMerge w:val="continue"/>
            <w:vAlign w:val="center"/>
          </w:tcPr>
          <w:p>
            <w:pPr>
              <w:pStyle w:val="2001"/>
            </w:pPr>
          </w:p>
        </w:tc>
        <w:tc>
          <w:tcPr>
            <w:tcW w:w="2336" w:type="dxa"/>
            <w:vMerge w:val="continue"/>
            <w:vAlign w:val="center"/>
          </w:tcPr>
          <w:p>
            <w:pPr>
              <w:pStyle w:val="2001"/>
            </w:pPr>
          </w:p>
        </w:tc>
        <w:tc>
          <w:tcPr>
            <w:tcW w:w="1585" w:type="dxa"/>
            <w:vAlign w:val="center"/>
          </w:tcPr>
          <w:p>
            <w:pPr>
              <w:pStyle w:val="2001"/>
            </w:pPr>
            <w:r>
              <w:rPr>
                <w:rFonts w:hint="eastAsia"/>
              </w:rPr>
              <w:t>空箱</w:t>
            </w:r>
          </w:p>
        </w:tc>
        <w:tc>
          <w:tcPr>
            <w:tcW w:w="855" w:type="dxa"/>
            <w:vMerge w:val="continue"/>
            <w:vAlign w:val="center"/>
          </w:tcPr>
          <w:p>
            <w:pPr>
              <w:pStyle w:val="2001"/>
            </w:pPr>
          </w:p>
        </w:tc>
        <w:tc>
          <w:tcPr>
            <w:tcW w:w="662" w:type="dxa"/>
            <w:vAlign w:val="center"/>
          </w:tcPr>
          <w:p>
            <w:pPr>
              <w:pStyle w:val="2001"/>
            </w:pPr>
            <w:r>
              <w:rPr>
                <w:rFonts w:hint="eastAsia"/>
              </w:rPr>
              <w:t>75</w:t>
            </w:r>
          </w:p>
        </w:tc>
        <w:tc>
          <w:tcPr>
            <w:tcW w:w="2484" w:type="dxa"/>
            <w:vAlign w:val="center"/>
          </w:tcPr>
          <w:p>
            <w:pPr>
              <w:pStyle w:val="2001"/>
            </w:pPr>
            <w:r>
              <w:rPr>
                <w:rFonts w:hint="eastAsia"/>
              </w:rPr>
              <w:t>堆高6层</w:t>
            </w:r>
          </w:p>
        </w:tc>
      </w:tr>
    </w:tbl>
    <w:p>
      <w:pPr>
        <w:pStyle w:val="6"/>
        <w:rPr>
          <w:color w:val="000000" w:themeColor="text1"/>
          <w14:textFill>
            <w14:solidFill>
              <w14:schemeClr w14:val="tx1"/>
            </w14:solidFill>
          </w14:textFill>
        </w:rPr>
      </w:pPr>
      <w:r>
        <w:rPr>
          <w:rFonts w:hint="eastAsia"/>
          <w:color w:val="000000" w:themeColor="text1"/>
          <w14:textFill>
            <w14:solidFill>
              <w14:schemeClr w14:val="tx1"/>
            </w14:solidFill>
          </w14:textFill>
        </w:rPr>
        <w:t>码头前沿装卸船作业方案及装卸工艺布置</w:t>
      </w:r>
    </w:p>
    <w:p>
      <w:pPr>
        <w:pStyle w:val="283"/>
        <w:ind w:firstLine="462"/>
        <w:rPr>
          <w:color w:val="000000" w:themeColor="text1"/>
          <w14:textFill>
            <w14:solidFill>
              <w14:schemeClr w14:val="tx1"/>
            </w14:solidFill>
          </w14:textFill>
        </w:rPr>
      </w:pPr>
      <w:r>
        <w:rPr>
          <w:rFonts w:hint="eastAsia"/>
          <w:color w:val="000000" w:themeColor="text1"/>
          <w14:textFill>
            <w14:solidFill>
              <w14:schemeClr w14:val="tx1"/>
            </w14:solidFill>
          </w14:textFill>
        </w:rPr>
        <w:t>本扩建工程码头前沿作业地带宽度及布置与原9号10号泊位一致，码头前沿作业地带宽度120m，采用自动化双小车岸桥，装卸船过程中拆装锁销作业在双小车岸桥中转平台上进行，舱盖板堆放区和特殊箱通道布置在岸桥轨内，集装箱自动化水平运输车辆（IGV）在岸桥陆侧轨后作业，岸桥陆侧轨后布置有6条IGV装卸作业车道、IGV缓冲区和6条IGV快速行车道，岸桥陆侧轨后为全自动化作业区，并通过围网与码头前沿非自动化区域隔离，码头前沿作业地带布置断面图如下所示：</w:t>
      </w:r>
    </w:p>
    <w:p>
      <w:pPr>
        <w:pStyle w:val="7"/>
      </w:pPr>
      <w:r>
        <w:drawing>
          <wp:inline distT="0" distB="0" distL="0" distR="0">
            <wp:extent cx="5278120" cy="2554605"/>
            <wp:effectExtent l="0" t="0" r="0" b="0"/>
            <wp:docPr id="1375757832" name="图片 13757578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5757832" name="图片 1375757832"/>
                    <pic:cNvPicPr>
                      <a:picLocks noChangeAspect="1"/>
                    </pic:cNvPicPr>
                  </pic:nvPicPr>
                  <pic:blipFill>
                    <a:blip r:embed="rId56"/>
                    <a:stretch>
                      <a:fillRect/>
                    </a:stretch>
                  </pic:blipFill>
                  <pic:spPr>
                    <a:xfrm>
                      <a:off x="0" y="0"/>
                      <a:ext cx="5278120" cy="2554757"/>
                    </a:xfrm>
                    <a:prstGeom prst="rect">
                      <a:avLst/>
                    </a:prstGeom>
                  </pic:spPr>
                </pic:pic>
              </a:graphicData>
            </a:graphic>
          </wp:inline>
        </w:drawing>
      </w:r>
    </w:p>
    <w:p>
      <w:pPr>
        <w:pStyle w:val="553"/>
        <w:rPr>
          <w:color w:val="000000" w:themeColor="text1"/>
          <w14:textFill>
            <w14:solidFill>
              <w14:schemeClr w14:val="tx1"/>
            </w14:solidFill>
          </w14:textFill>
        </w:rPr>
      </w:pPr>
      <w:r>
        <w:rPr>
          <w:rFonts w:hint="eastAsia"/>
          <w:color w:val="000000" w:themeColor="text1"/>
          <w14:textFill>
            <w14:solidFill>
              <w14:schemeClr w14:val="tx1"/>
            </w14:solidFill>
          </w14:textFill>
        </w:rPr>
        <w:t xml:space="preserve"> 自动化双小车岸桥装卸工艺断面图</w:t>
      </w:r>
    </w:p>
    <w:p>
      <w:pPr>
        <w:pStyle w:val="6"/>
        <w:rPr>
          <w:color w:val="000000" w:themeColor="text1"/>
          <w14:textFill>
            <w14:solidFill>
              <w14:schemeClr w14:val="tx1"/>
            </w14:solidFill>
          </w14:textFill>
        </w:rPr>
      </w:pPr>
      <w:r>
        <w:rPr>
          <w:rFonts w:hint="eastAsia"/>
          <w:color w:val="000000" w:themeColor="text1"/>
          <w14:textFill>
            <w14:solidFill>
              <w14:schemeClr w14:val="tx1"/>
            </w14:solidFill>
          </w14:textFill>
        </w:rPr>
        <w:t>集装箱堆场装卸作业方案及装卸工艺布置</w:t>
      </w:r>
    </w:p>
    <w:p>
      <w:pPr>
        <w:pStyle w:val="283"/>
        <w:ind w:firstLine="462"/>
        <w:rPr>
          <w:color w:val="000000" w:themeColor="text1"/>
          <w14:textFill>
            <w14:solidFill>
              <w14:schemeClr w14:val="tx1"/>
            </w14:solidFill>
          </w14:textFill>
        </w:rPr>
      </w:pPr>
      <w:r>
        <w:rPr>
          <w:rFonts w:hint="eastAsia"/>
          <w:color w:val="000000" w:themeColor="text1"/>
          <w14:textFill>
            <w14:solidFill>
              <w14:schemeClr w14:val="tx1"/>
            </w14:solidFill>
          </w14:textFill>
        </w:rPr>
        <w:t>本扩建工程考虑新增1条集装箱堆场（堆场占地为原9号10号泊位预留的第22号堆场），新增堆场装卸工艺方案与9号10号泊位一致，采用“U”型布局方案：自动化集装箱堆场采用双悬臂自动化集装箱轨道龙门吊（ARMG）作业，ARMG轨距37m，吊具下起重量41t，堆6过7，悬臂有效外伸距4.7m。自动化堆场每条堆箱区配置2台双悬臂ARMG，相邻两条堆场间间隔布置集装箱水平运输通道，港内集装箱水平运输采用IGV，港外集卡和IGV分别在ARMG悬臂两侧进行装卸作业，并利用围网将港内外水平运输设备隔离。其中堆场间IGV装卸运输通道为4车道，宽20m（ARMG轨道中心线间距），IGV车道布置情况为：相邻ARMG之间布置4个IGV装卸运输车道，两侧2个IGV装卸车道、中间1个IGV超车道和1个IGV折返车道，IGV折返车道与IGV</w:t>
      </w:r>
      <w:r>
        <w:rPr>
          <w:color w:val="000000" w:themeColor="text1"/>
          <w14:textFill>
            <w14:solidFill>
              <w14:schemeClr w14:val="tx1"/>
            </w14:solidFill>
          </w14:textFill>
        </w:rPr>
        <w:t>装卸车道、IGV超车道交通流向相反。堆场间港外集卡装卸运输通道为3车道，宽18.5m（ARMG轨道中心线间距），外集卡车道呈“U型”布置，每隔一个箱区在ARMG轨内布置2条港外集卡行驶通道，外集卡在ARMG一侧悬臂装卸完成后绕至ARMG轨内的车道进行掉头转向。ARMG轨内有港外集卡掉头车道的布置9排箱，无港外集卡掉头车道的布置12排箱。堆场断面及车道分布示意如下图</w:t>
      </w:r>
      <w:r>
        <w:rPr>
          <w:rFonts w:hint="eastAsia"/>
          <w:color w:val="000000" w:themeColor="text1"/>
          <w14:textFill>
            <w14:solidFill>
              <w14:schemeClr w14:val="tx1"/>
            </w14:solidFill>
          </w14:textFill>
        </w:rPr>
        <w:t>2.2-3、2.2-4</w:t>
      </w:r>
      <w:r>
        <w:rPr>
          <w:color w:val="000000" w:themeColor="text1"/>
          <w14:textFill>
            <w14:solidFill>
              <w14:schemeClr w14:val="tx1"/>
            </w14:solidFill>
          </w14:textFill>
        </w:rPr>
        <w:t>所示：</w:t>
      </w:r>
    </w:p>
    <w:tbl>
      <w:tblPr>
        <w:tblStyle w:val="89"/>
        <w:tblW w:w="8528"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8528"/>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c>
          <w:tcPr>
            <w:tcW w:w="8528" w:type="dxa"/>
            <w:vAlign w:val="center"/>
          </w:tcPr>
          <w:p>
            <w:pPr>
              <w:pStyle w:val="7"/>
            </w:pPr>
            <w:r>
              <w:drawing>
                <wp:inline distT="0" distB="0" distL="0" distR="0">
                  <wp:extent cx="5248275" cy="1706245"/>
                  <wp:effectExtent l="0" t="0" r="0" b="8255"/>
                  <wp:docPr id="1375757833" name="图片 13757578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5757833" name="图片 1375757833"/>
                          <pic:cNvPicPr>
                            <a:picLocks noChangeAspect="1"/>
                          </pic:cNvPicPr>
                        </pic:nvPicPr>
                        <pic:blipFill>
                          <a:blip r:embed="rId57"/>
                          <a:stretch>
                            <a:fillRect/>
                          </a:stretch>
                        </pic:blipFill>
                        <pic:spPr>
                          <a:xfrm>
                            <a:off x="0" y="0"/>
                            <a:ext cx="5255759" cy="1708730"/>
                          </a:xfrm>
                          <a:prstGeom prst="rect">
                            <a:avLst/>
                          </a:prstGeom>
                        </pic:spPr>
                      </pic:pic>
                    </a:graphicData>
                  </a:graphic>
                </wp:inline>
              </w:drawing>
            </w:r>
          </w:p>
          <w:p>
            <w:pPr>
              <w:pStyle w:val="553"/>
              <w:rPr>
                <w:color w:val="000000" w:themeColor="text1"/>
                <w14:textFill>
                  <w14:solidFill>
                    <w14:schemeClr w14:val="tx1"/>
                  </w14:solidFill>
                </w14:textFill>
              </w:rPr>
            </w:pPr>
            <w:r>
              <w:rPr>
                <w:rFonts w:hint="eastAsia"/>
                <w:color w:val="000000" w:themeColor="text1"/>
                <w14:textFill>
                  <w14:solidFill>
                    <w14:schemeClr w14:val="tx1"/>
                  </w14:solidFill>
                </w14:textFill>
              </w:rPr>
              <w:t>自动化集装箱堆场断面图</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c>
          <w:tcPr>
            <w:tcW w:w="8528" w:type="dxa"/>
            <w:vAlign w:val="center"/>
          </w:tcPr>
          <w:p>
            <w:pPr>
              <w:pStyle w:val="7"/>
            </w:pPr>
            <w:r>
              <w:drawing>
                <wp:inline distT="0" distB="0" distL="0" distR="0">
                  <wp:extent cx="5133975" cy="2666365"/>
                  <wp:effectExtent l="0" t="0" r="0" b="635"/>
                  <wp:docPr id="1375757834" name="图片 13757578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5757834" name="图片 1375757834"/>
                          <pic:cNvPicPr>
                            <a:picLocks noChangeAspect="1"/>
                          </pic:cNvPicPr>
                        </pic:nvPicPr>
                        <pic:blipFill>
                          <a:blip r:embed="rId58"/>
                          <a:stretch>
                            <a:fillRect/>
                          </a:stretch>
                        </pic:blipFill>
                        <pic:spPr>
                          <a:xfrm>
                            <a:off x="0" y="0"/>
                            <a:ext cx="5137409" cy="2668600"/>
                          </a:xfrm>
                          <a:prstGeom prst="rect">
                            <a:avLst/>
                          </a:prstGeom>
                        </pic:spPr>
                      </pic:pic>
                    </a:graphicData>
                  </a:graphic>
                </wp:inline>
              </w:drawing>
            </w:r>
          </w:p>
          <w:p>
            <w:pPr>
              <w:pStyle w:val="553"/>
              <w:rPr>
                <w:color w:val="000000" w:themeColor="text1"/>
                <w14:textFill>
                  <w14:solidFill>
                    <w14:schemeClr w14:val="tx1"/>
                  </w14:solidFill>
                </w14:textFill>
              </w:rPr>
            </w:pPr>
            <w:r>
              <w:rPr>
                <w:rFonts w:hint="eastAsia"/>
                <w:color w:val="000000" w:themeColor="text1"/>
                <w14:textFill>
                  <w14:solidFill>
                    <w14:schemeClr w14:val="tx1"/>
                  </w14:solidFill>
                </w14:textFill>
              </w:rPr>
              <w:t>自动化集装箱堆场车道分布示意图</w:t>
            </w:r>
          </w:p>
        </w:tc>
      </w:tr>
    </w:tbl>
    <w:p>
      <w:pPr>
        <w:pStyle w:val="283"/>
        <w:ind w:firstLine="462"/>
        <w:rPr>
          <w:color w:val="000000" w:themeColor="text1"/>
          <w14:textFill>
            <w14:solidFill>
              <w14:schemeClr w14:val="tx1"/>
            </w14:solidFill>
          </w14:textFill>
        </w:rPr>
      </w:pPr>
      <w:r>
        <w:rPr>
          <w:rFonts w:hint="eastAsia"/>
          <w:color w:val="000000" w:themeColor="text1"/>
          <w14:textFill>
            <w14:solidFill>
              <w14:schemeClr w14:val="tx1"/>
            </w14:solidFill>
          </w14:textFill>
        </w:rPr>
        <w:t>本次扩建新增的22号堆场外集卡车道因为用地限制缺少U型返回车道，考虑在22号堆场海侧端部设置“P”型调头区，外集卡在22号堆场装卸完成后，可通过P型调头区调头出港。</w:t>
      </w:r>
    </w:p>
    <w:p>
      <w:pPr>
        <w:pStyle w:val="7"/>
      </w:pPr>
      <w:r>
        <w:drawing>
          <wp:inline distT="0" distB="0" distL="0" distR="0">
            <wp:extent cx="4742815" cy="3173730"/>
            <wp:effectExtent l="19050" t="19050" r="19685" b="26670"/>
            <wp:docPr id="1375757835" name="图片 13757578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5757835" name="图片 1375757835"/>
                    <pic:cNvPicPr>
                      <a:picLocks noChangeAspect="1"/>
                    </pic:cNvPicPr>
                  </pic:nvPicPr>
                  <pic:blipFill>
                    <a:blip r:embed="rId59"/>
                    <a:srcRect l="594" t="646" r="323"/>
                    <a:stretch>
                      <a:fillRect/>
                    </a:stretch>
                  </pic:blipFill>
                  <pic:spPr>
                    <a:xfrm>
                      <a:off x="0" y="0"/>
                      <a:ext cx="4745904" cy="3176248"/>
                    </a:xfrm>
                    <a:prstGeom prst="rect">
                      <a:avLst/>
                    </a:prstGeom>
                    <a:ln>
                      <a:solidFill>
                        <a:schemeClr val="tx1"/>
                      </a:solidFill>
                    </a:ln>
                  </pic:spPr>
                </pic:pic>
              </a:graphicData>
            </a:graphic>
          </wp:inline>
        </w:drawing>
      </w:r>
    </w:p>
    <w:p>
      <w:pPr>
        <w:pStyle w:val="553"/>
        <w:rPr>
          <w:color w:val="000000" w:themeColor="text1"/>
          <w14:textFill>
            <w14:solidFill>
              <w14:schemeClr w14:val="tx1"/>
            </w14:solidFill>
          </w14:textFill>
        </w:rPr>
      </w:pPr>
      <w:r>
        <w:rPr>
          <w:rFonts w:hint="eastAsia"/>
          <w:color w:val="000000" w:themeColor="text1"/>
          <w14:textFill>
            <w14:solidFill>
              <w14:schemeClr w14:val="tx1"/>
            </w14:solidFill>
          </w14:textFill>
        </w:rPr>
        <w:t>新增22号堆场外集卡P型调头区示意图</w:t>
      </w:r>
    </w:p>
    <w:p>
      <w:pPr>
        <w:pStyle w:val="283"/>
        <w:ind w:firstLine="462"/>
        <w:rPr>
          <w:color w:val="000000" w:themeColor="text1"/>
          <w14:textFill>
            <w14:solidFill>
              <w14:schemeClr w14:val="tx1"/>
            </w14:solidFill>
          </w14:textFill>
        </w:rPr>
      </w:pPr>
      <w:r>
        <w:rPr>
          <w:color w:val="000000" w:themeColor="text1"/>
          <w14:textFill>
            <w14:solidFill>
              <w14:schemeClr w14:val="tx1"/>
            </w14:solidFill>
          </w14:textFill>
        </w:rPr>
        <w:t>本工程新增的集装箱堆场主要用于普通重、空箱堆存，堆场建成后与9号10号泊位一起统筹共用，整个堆场纵深563m，其中重、空箱混堆，堆高6层。冷藏箱利用原9号10号已建冷藏箱堆场堆存。</w:t>
      </w:r>
    </w:p>
    <w:p>
      <w:pPr>
        <w:pStyle w:val="6"/>
        <w:rPr>
          <w:color w:val="000000" w:themeColor="text1"/>
          <w14:textFill>
            <w14:solidFill>
              <w14:schemeClr w14:val="tx1"/>
            </w14:solidFill>
          </w14:textFill>
        </w:rPr>
      </w:pPr>
      <w:r>
        <w:rPr>
          <w:rFonts w:hint="eastAsia"/>
          <w:color w:val="000000" w:themeColor="text1"/>
          <w14:textFill>
            <w14:solidFill>
              <w14:schemeClr w14:val="tx1"/>
            </w14:solidFill>
          </w14:textFill>
        </w:rPr>
        <w:t>水平运输流程</w:t>
      </w:r>
    </w:p>
    <w:p>
      <w:pPr>
        <w:pStyle w:val="283"/>
        <w:ind w:firstLine="462"/>
        <w:rPr>
          <w:color w:val="000000" w:themeColor="text1"/>
          <w14:textFill>
            <w14:solidFill>
              <w14:schemeClr w14:val="tx1"/>
            </w14:solidFill>
          </w14:textFill>
        </w:rPr>
      </w:pPr>
      <w:r>
        <w:rPr>
          <w:color w:val="000000" w:themeColor="text1"/>
          <w14:textFill>
            <w14:solidFill>
              <w14:schemeClr w14:val="tx1"/>
            </w14:solidFill>
          </w14:textFill>
        </w:rPr>
        <w:t>码头与自动化集装箱堆场之间的集装箱水平运输，采用智能引导车（IGV）。</w:t>
      </w:r>
    </w:p>
    <w:p>
      <w:pPr>
        <w:pStyle w:val="283"/>
        <w:ind w:firstLine="462"/>
        <w:rPr>
          <w:color w:val="000000" w:themeColor="text1"/>
          <w14:textFill>
            <w14:solidFill>
              <w14:schemeClr w14:val="tx1"/>
            </w14:solidFill>
          </w14:textFill>
        </w:rPr>
      </w:pPr>
      <w:r>
        <w:rPr>
          <w:color w:val="000000" w:themeColor="text1"/>
          <w14:textFill>
            <w14:solidFill>
              <w14:schemeClr w14:val="tx1"/>
            </w14:solidFill>
          </w14:textFill>
        </w:rPr>
        <w:t>IGV为全电驱动，采用智能化导航和避障技术，实现在自动化作业区内的自动行驶。在自动化堆场海侧端端部设置IGV自动充电装置，补充电能。本工程使用大电流快速充电系统，具有功率大、防护等级高、交互容差性强等特点，当IGV电池包电量低至某个 预设值时，IGV自动行驶至充电区充电。</w:t>
      </w:r>
    </w:p>
    <w:p>
      <w:pPr>
        <w:pStyle w:val="6"/>
        <w:rPr>
          <w:color w:val="000000" w:themeColor="text1"/>
          <w14:textFill>
            <w14:solidFill>
              <w14:schemeClr w14:val="tx1"/>
            </w14:solidFill>
          </w14:textFill>
        </w:rPr>
      </w:pPr>
      <w:r>
        <w:rPr>
          <w:rFonts w:hint="eastAsia"/>
          <w:color w:val="000000" w:themeColor="text1"/>
          <w14:textFill>
            <w14:solidFill>
              <w14:schemeClr w14:val="tx1"/>
            </w14:solidFill>
          </w14:textFill>
        </w:rPr>
        <w:t>装卸工艺流程</w:t>
      </w:r>
    </w:p>
    <w:p>
      <w:pPr>
        <w:pStyle w:val="283"/>
        <w:ind w:firstLine="462"/>
        <w:rPr>
          <w:color w:val="000000" w:themeColor="text1"/>
          <w14:textFill>
            <w14:solidFill>
              <w14:schemeClr w14:val="tx1"/>
            </w14:solidFill>
          </w14:textFill>
        </w:rPr>
      </w:pPr>
      <w:r>
        <w:rPr>
          <w:color w:val="000000" w:themeColor="text1"/>
          <w14:textFill>
            <w14:solidFill>
              <w14:schemeClr w14:val="tx1"/>
            </w14:solidFill>
          </w14:textFill>
        </w:rPr>
        <w:t>本工程扩建后整个码头作业流程与原9号10号泊位一致，详见</w:t>
      </w:r>
      <w:r>
        <w:rPr>
          <w:rFonts w:hint="eastAsia"/>
          <w:color w:val="000000" w:themeColor="text1"/>
          <w14:textFill>
            <w14:solidFill>
              <w14:schemeClr w14:val="tx1"/>
            </w14:solidFill>
          </w14:textFill>
        </w:rPr>
        <w:t>2.1.2.4现有工程装卸工艺流程。</w:t>
      </w:r>
    </w:p>
    <w:p>
      <w:pPr>
        <w:pStyle w:val="6"/>
        <w:rPr>
          <w:color w:val="000000" w:themeColor="text1"/>
          <w14:textFill>
            <w14:solidFill>
              <w14:schemeClr w14:val="tx1"/>
            </w14:solidFill>
          </w14:textFill>
        </w:rPr>
      </w:pPr>
      <w:r>
        <w:rPr>
          <w:rFonts w:hint="eastAsia"/>
          <w:color w:val="000000" w:themeColor="text1"/>
          <w14:textFill>
            <w14:solidFill>
              <w14:schemeClr w14:val="tx1"/>
            </w14:solidFill>
          </w14:textFill>
        </w:rPr>
        <w:t>新增装卸设备</w:t>
      </w:r>
    </w:p>
    <w:p>
      <w:pPr>
        <w:pStyle w:val="283"/>
        <w:ind w:firstLine="462"/>
        <w:rPr>
          <w:color w:val="000000" w:themeColor="text1"/>
          <w14:textFill>
            <w14:solidFill>
              <w14:schemeClr w14:val="tx1"/>
            </w14:solidFill>
          </w14:textFill>
        </w:rPr>
      </w:pPr>
      <w:r>
        <w:rPr>
          <w:color w:val="000000" w:themeColor="text1"/>
          <w14:textFill>
            <w14:solidFill>
              <w14:schemeClr w14:val="tx1"/>
            </w14:solidFill>
          </w14:textFill>
        </w:rPr>
        <w:t>（1）码头前沿装卸设备 本扩建工程新增2台自动化双小车岸桥，规格与9号10号泊位已配备自动化双小车岸桥一致：轨距35m，主小车吊具下额定起重量70t，外伸距70m，后伸距16.5m，起升高度轨面以上50m、轨面以下20m；门架小车吊具下额定起重量70t，后伸距24m。</w:t>
      </w:r>
    </w:p>
    <w:p>
      <w:pPr>
        <w:pStyle w:val="283"/>
        <w:ind w:firstLine="462"/>
        <w:rPr>
          <w:color w:val="000000" w:themeColor="text1"/>
          <w14:textFill>
            <w14:solidFill>
              <w14:schemeClr w14:val="tx1"/>
            </w14:solidFill>
          </w14:textFill>
        </w:rPr>
      </w:pPr>
      <w:r>
        <w:rPr>
          <w:color w:val="000000" w:themeColor="text1"/>
          <w14:textFill>
            <w14:solidFill>
              <w14:schemeClr w14:val="tx1"/>
            </w14:solidFill>
          </w14:textFill>
        </w:rPr>
        <w:t>（2）堆场作业设备本工程集装箱堆场空、重箱混堆，采用双悬臂ARMG作业，ARMG轨距采用37m，吊具下额定起重量为41t，轨内可并列12排箱，堆6过7，悬臂有效外伸距4.7m，ARMG一侧悬臂下为IGV车道，另一侧悬臂下为普通外集卡装卸作业车道。新增的自动化堆场共配置2台ARMG。</w:t>
      </w:r>
    </w:p>
    <w:p>
      <w:pPr>
        <w:pStyle w:val="283"/>
        <w:ind w:firstLine="462"/>
        <w:rPr>
          <w:color w:val="000000" w:themeColor="text1"/>
          <w14:textFill>
            <w14:solidFill>
              <w14:schemeClr w14:val="tx1"/>
            </w14:solidFill>
          </w14:textFill>
        </w:rPr>
      </w:pPr>
      <w:r>
        <w:rPr>
          <w:color w:val="000000" w:themeColor="text1"/>
          <w14:textFill>
            <w14:solidFill>
              <w14:schemeClr w14:val="tx1"/>
            </w14:solidFill>
          </w14:textFill>
        </w:rPr>
        <w:t>（3）水平运输设备集装箱水平运输设备采用智能引导车（IGV），可载1个40’/45’或2个20’箱，IGV为全电驱动，并采用磁钉进行导航定位，并与码头调度系统、TOS系统相结合，将本工程码头、堆场区域有机串联，实现最优的码头装卸方式。本工程新增14台IGV，新增IGV与原9号10号泊位现有水平运输设备统筹调配使用。</w:t>
      </w:r>
    </w:p>
    <w:p>
      <w:pPr>
        <w:pStyle w:val="384"/>
        <w:ind w:left="0" w:firstLine="0"/>
        <w:rPr>
          <w:rFonts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本次扩建新增主要装卸设备配置表</w:t>
      </w:r>
    </w:p>
    <w:tbl>
      <w:tblPr>
        <w:tblStyle w:val="89"/>
        <w:tblW w:w="8528" w:type="dxa"/>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675"/>
        <w:gridCol w:w="2552"/>
        <w:gridCol w:w="3827"/>
        <w:gridCol w:w="709"/>
        <w:gridCol w:w="765"/>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c>
          <w:tcPr>
            <w:tcW w:w="675" w:type="dxa"/>
            <w:vAlign w:val="center"/>
          </w:tcPr>
          <w:p>
            <w:pPr>
              <w:pStyle w:val="2001"/>
            </w:pPr>
            <w:r>
              <w:rPr>
                <w:rFonts w:hint="eastAsia"/>
              </w:rPr>
              <w:t>序号</w:t>
            </w:r>
          </w:p>
        </w:tc>
        <w:tc>
          <w:tcPr>
            <w:tcW w:w="2552" w:type="dxa"/>
            <w:vAlign w:val="center"/>
          </w:tcPr>
          <w:p>
            <w:pPr>
              <w:pStyle w:val="2001"/>
            </w:pPr>
            <w:r>
              <w:rPr>
                <w:rFonts w:hint="eastAsia"/>
              </w:rPr>
              <w:t>名称</w:t>
            </w:r>
          </w:p>
        </w:tc>
        <w:tc>
          <w:tcPr>
            <w:tcW w:w="3827" w:type="dxa"/>
            <w:vAlign w:val="center"/>
          </w:tcPr>
          <w:p>
            <w:pPr>
              <w:pStyle w:val="2001"/>
            </w:pPr>
            <w:r>
              <w:rPr>
                <w:rFonts w:hint="eastAsia"/>
              </w:rPr>
              <w:t>规格</w:t>
            </w:r>
          </w:p>
        </w:tc>
        <w:tc>
          <w:tcPr>
            <w:tcW w:w="709" w:type="dxa"/>
            <w:vAlign w:val="center"/>
          </w:tcPr>
          <w:p>
            <w:pPr>
              <w:pStyle w:val="2001"/>
            </w:pPr>
            <w:r>
              <w:rPr>
                <w:rFonts w:hint="eastAsia"/>
              </w:rPr>
              <w:t>单位</w:t>
            </w:r>
          </w:p>
        </w:tc>
        <w:tc>
          <w:tcPr>
            <w:tcW w:w="765" w:type="dxa"/>
            <w:vAlign w:val="center"/>
          </w:tcPr>
          <w:p>
            <w:pPr>
              <w:pStyle w:val="2001"/>
            </w:pPr>
            <w:r>
              <w:rPr>
                <w:rFonts w:hint="eastAsia"/>
              </w:rPr>
              <w:t>数量</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c>
          <w:tcPr>
            <w:tcW w:w="675" w:type="dxa"/>
            <w:vAlign w:val="center"/>
          </w:tcPr>
          <w:p>
            <w:pPr>
              <w:pStyle w:val="2001"/>
            </w:pPr>
            <w:r>
              <w:rPr>
                <w:rFonts w:hint="eastAsia"/>
              </w:rPr>
              <w:t>1</w:t>
            </w:r>
          </w:p>
        </w:tc>
        <w:tc>
          <w:tcPr>
            <w:tcW w:w="2552" w:type="dxa"/>
            <w:vAlign w:val="center"/>
          </w:tcPr>
          <w:p>
            <w:pPr>
              <w:pStyle w:val="2001"/>
            </w:pPr>
            <w:r>
              <w:rPr>
                <w:rFonts w:hint="eastAsia"/>
              </w:rPr>
              <w:t>自动化双小车岸桥</w:t>
            </w:r>
          </w:p>
        </w:tc>
        <w:tc>
          <w:tcPr>
            <w:tcW w:w="3827" w:type="dxa"/>
            <w:vAlign w:val="center"/>
          </w:tcPr>
          <w:p>
            <w:pPr>
              <w:pStyle w:val="2001"/>
            </w:pPr>
            <w:r>
              <w:t>轨距35m，外伸距70m，吊具下额定起重量70t</w:t>
            </w:r>
          </w:p>
        </w:tc>
        <w:tc>
          <w:tcPr>
            <w:tcW w:w="709" w:type="dxa"/>
            <w:vAlign w:val="center"/>
          </w:tcPr>
          <w:p>
            <w:pPr>
              <w:pStyle w:val="2001"/>
            </w:pPr>
            <w:r>
              <w:rPr>
                <w:rFonts w:hint="eastAsia"/>
              </w:rPr>
              <w:t>台</w:t>
            </w:r>
          </w:p>
        </w:tc>
        <w:tc>
          <w:tcPr>
            <w:tcW w:w="765" w:type="dxa"/>
            <w:vAlign w:val="center"/>
          </w:tcPr>
          <w:p>
            <w:pPr>
              <w:pStyle w:val="2001"/>
            </w:pPr>
            <w:r>
              <w:rPr>
                <w:rFonts w:hint="eastAsia"/>
              </w:rPr>
              <w:t>2</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c>
          <w:tcPr>
            <w:tcW w:w="675" w:type="dxa"/>
            <w:vAlign w:val="center"/>
          </w:tcPr>
          <w:p>
            <w:pPr>
              <w:pStyle w:val="2001"/>
            </w:pPr>
            <w:r>
              <w:rPr>
                <w:rFonts w:hint="eastAsia"/>
              </w:rPr>
              <w:t>2</w:t>
            </w:r>
          </w:p>
        </w:tc>
        <w:tc>
          <w:tcPr>
            <w:tcW w:w="2552" w:type="dxa"/>
            <w:vAlign w:val="center"/>
          </w:tcPr>
          <w:p>
            <w:pPr>
              <w:pStyle w:val="2001"/>
            </w:pPr>
            <w:r>
              <w:rPr>
                <w:rFonts w:hint="eastAsia"/>
              </w:rPr>
              <w:t>自动化集装箱轨道龙门吊</w:t>
            </w:r>
          </w:p>
        </w:tc>
        <w:tc>
          <w:tcPr>
            <w:tcW w:w="3827" w:type="dxa"/>
            <w:vAlign w:val="center"/>
          </w:tcPr>
          <w:p>
            <w:pPr>
              <w:pStyle w:val="2001"/>
            </w:pPr>
            <w:r>
              <w:rPr>
                <w:rFonts w:hint="eastAsia"/>
              </w:rPr>
              <w:t>双悬臂，轨距37m，堆6过7，有效外伸距4.7m，吊具下起重量41t</w:t>
            </w:r>
          </w:p>
        </w:tc>
        <w:tc>
          <w:tcPr>
            <w:tcW w:w="709" w:type="dxa"/>
            <w:vAlign w:val="center"/>
          </w:tcPr>
          <w:p>
            <w:pPr>
              <w:pStyle w:val="2001"/>
            </w:pPr>
            <w:r>
              <w:rPr>
                <w:rFonts w:hint="eastAsia"/>
              </w:rPr>
              <w:t>台</w:t>
            </w:r>
          </w:p>
        </w:tc>
        <w:tc>
          <w:tcPr>
            <w:tcW w:w="765" w:type="dxa"/>
            <w:vAlign w:val="center"/>
          </w:tcPr>
          <w:p>
            <w:pPr>
              <w:pStyle w:val="2001"/>
            </w:pPr>
            <w:r>
              <w:rPr>
                <w:rFonts w:hint="eastAsia"/>
              </w:rPr>
              <w:t>2</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c>
          <w:tcPr>
            <w:tcW w:w="675" w:type="dxa"/>
            <w:vAlign w:val="center"/>
          </w:tcPr>
          <w:p>
            <w:pPr>
              <w:pStyle w:val="2001"/>
            </w:pPr>
            <w:r>
              <w:rPr>
                <w:rFonts w:hint="eastAsia"/>
              </w:rPr>
              <w:t>3</w:t>
            </w:r>
          </w:p>
        </w:tc>
        <w:tc>
          <w:tcPr>
            <w:tcW w:w="2552" w:type="dxa"/>
            <w:vAlign w:val="center"/>
          </w:tcPr>
          <w:p>
            <w:pPr>
              <w:pStyle w:val="2001"/>
            </w:pPr>
            <w:r>
              <w:rPr>
                <w:rFonts w:hint="eastAsia"/>
              </w:rPr>
              <w:t>智能引导车</w:t>
            </w:r>
          </w:p>
        </w:tc>
        <w:tc>
          <w:tcPr>
            <w:tcW w:w="3827" w:type="dxa"/>
            <w:vAlign w:val="center"/>
          </w:tcPr>
          <w:p>
            <w:pPr>
              <w:pStyle w:val="2001"/>
            </w:pPr>
            <w:r>
              <w:rPr>
                <w:rFonts w:hint="eastAsia"/>
              </w:rPr>
              <w:t>载1×40</w:t>
            </w:r>
            <w:r>
              <w:t>’</w:t>
            </w:r>
            <w:r>
              <w:rPr>
                <w:rFonts w:hint="eastAsia"/>
              </w:rPr>
              <w:t>/45</w:t>
            </w:r>
            <w:r>
              <w:t>’和</w:t>
            </w:r>
            <w:r>
              <w:rPr>
                <w:rFonts w:hint="eastAsia"/>
              </w:rPr>
              <w:t>2×20</w:t>
            </w:r>
            <w:r>
              <w:t>’</w:t>
            </w:r>
            <w:r>
              <w:rPr>
                <w:rFonts w:hint="eastAsia"/>
              </w:rPr>
              <w:t>箱</w:t>
            </w:r>
          </w:p>
        </w:tc>
        <w:tc>
          <w:tcPr>
            <w:tcW w:w="709" w:type="dxa"/>
            <w:vAlign w:val="center"/>
          </w:tcPr>
          <w:p>
            <w:pPr>
              <w:pStyle w:val="2001"/>
            </w:pPr>
            <w:r>
              <w:rPr>
                <w:rFonts w:hint="eastAsia"/>
              </w:rPr>
              <w:t>台</w:t>
            </w:r>
          </w:p>
        </w:tc>
        <w:tc>
          <w:tcPr>
            <w:tcW w:w="765" w:type="dxa"/>
            <w:vAlign w:val="center"/>
          </w:tcPr>
          <w:p>
            <w:pPr>
              <w:pStyle w:val="2001"/>
            </w:pPr>
            <w:r>
              <w:rPr>
                <w:rFonts w:hint="eastAsia"/>
              </w:rPr>
              <w:t>14</w:t>
            </w:r>
          </w:p>
        </w:tc>
      </w:tr>
    </w:tbl>
    <w:p>
      <w:pPr>
        <w:pStyle w:val="6"/>
        <w:rPr>
          <w:color w:val="000000" w:themeColor="text1"/>
          <w14:textFill>
            <w14:solidFill>
              <w14:schemeClr w14:val="tx1"/>
            </w14:solidFill>
          </w14:textFill>
        </w:rPr>
      </w:pPr>
      <w:r>
        <w:rPr>
          <w:rFonts w:hint="eastAsia"/>
          <w:color w:val="000000" w:themeColor="text1"/>
          <w14:textFill>
            <w14:solidFill>
              <w14:schemeClr w14:val="tx1"/>
            </w14:solidFill>
          </w14:textFill>
        </w:rPr>
        <w:t>扩建后堆场容量及地面箱位数</w:t>
      </w:r>
    </w:p>
    <w:p>
      <w:pPr>
        <w:pStyle w:val="283"/>
        <w:ind w:firstLine="462"/>
        <w:rPr>
          <w:color w:val="000000" w:themeColor="text1"/>
          <w14:textFill>
            <w14:solidFill>
              <w14:schemeClr w14:val="tx1"/>
            </w14:solidFill>
          </w14:textFill>
        </w:rPr>
      </w:pPr>
      <w:r>
        <w:rPr>
          <w:color w:val="000000" w:themeColor="text1"/>
          <w14:textFill>
            <w14:solidFill>
              <w14:schemeClr w14:val="tx1"/>
            </w14:solidFill>
          </w14:textFill>
        </w:rPr>
        <w:t>本工程新增1条自动化集装箱堆场，建成后集装箱堆场与原9号10号泊位一起统筹利用，设计所需及实际布置堆场容量和地面箱位如下表</w:t>
      </w:r>
      <w:r>
        <w:rPr>
          <w:rFonts w:hint="eastAsia"/>
          <w:color w:val="000000" w:themeColor="text1"/>
          <w14:textFill>
            <w14:solidFill>
              <w14:schemeClr w14:val="tx1"/>
            </w14:solidFill>
          </w14:textFill>
        </w:rPr>
        <w:t>2.2-9所示，可知，扩建后9号10号泊位堆场能满足码头年运量所需的堆场要求。</w:t>
      </w:r>
    </w:p>
    <w:p>
      <w:pPr>
        <w:pStyle w:val="384"/>
        <w:adjustRightInd w:val="0"/>
        <w:ind w:left="0" w:firstLine="0"/>
        <w:jc w:val="right"/>
        <w:rPr>
          <w:rFonts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设计所需及实际布置的堆场容量和地面箱位数一览表（单位TEU）</w:t>
      </w:r>
    </w:p>
    <w:tbl>
      <w:tblPr>
        <w:tblStyle w:val="89"/>
        <w:tblW w:w="8528" w:type="dxa"/>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2851"/>
        <w:gridCol w:w="870"/>
        <w:gridCol w:w="870"/>
        <w:gridCol w:w="1155"/>
        <w:gridCol w:w="2782"/>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c>
          <w:tcPr>
            <w:tcW w:w="2851" w:type="dxa"/>
          </w:tcPr>
          <w:p>
            <w:pPr>
              <w:pStyle w:val="2001"/>
            </w:pPr>
            <w:r>
              <w:rPr>
                <w:rFonts w:hint="eastAsia"/>
              </w:rPr>
              <w:t>项目</w:t>
            </w:r>
          </w:p>
        </w:tc>
        <w:tc>
          <w:tcPr>
            <w:tcW w:w="870" w:type="dxa"/>
          </w:tcPr>
          <w:p>
            <w:pPr>
              <w:pStyle w:val="2001"/>
            </w:pPr>
            <w:r>
              <w:rPr>
                <w:rFonts w:hint="eastAsia"/>
              </w:rPr>
              <w:t>重箱</w:t>
            </w:r>
          </w:p>
        </w:tc>
        <w:tc>
          <w:tcPr>
            <w:tcW w:w="870" w:type="dxa"/>
          </w:tcPr>
          <w:p>
            <w:pPr>
              <w:pStyle w:val="2001"/>
            </w:pPr>
            <w:r>
              <w:rPr>
                <w:rFonts w:hint="eastAsia"/>
              </w:rPr>
              <w:t>空箱</w:t>
            </w:r>
          </w:p>
        </w:tc>
        <w:tc>
          <w:tcPr>
            <w:tcW w:w="1155" w:type="dxa"/>
          </w:tcPr>
          <w:p>
            <w:pPr>
              <w:pStyle w:val="2001"/>
            </w:pPr>
            <w:r>
              <w:rPr>
                <w:rFonts w:hint="eastAsia"/>
              </w:rPr>
              <w:t>冷藏箱</w:t>
            </w:r>
          </w:p>
        </w:tc>
        <w:tc>
          <w:tcPr>
            <w:tcW w:w="2782" w:type="dxa"/>
          </w:tcPr>
          <w:p>
            <w:pPr>
              <w:pStyle w:val="2001"/>
            </w:pPr>
            <w:r>
              <w:rPr>
                <w:rFonts w:hint="eastAsia"/>
              </w:rPr>
              <w:t>备注</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c>
          <w:tcPr>
            <w:tcW w:w="2851" w:type="dxa"/>
          </w:tcPr>
          <w:p>
            <w:pPr>
              <w:pStyle w:val="2001"/>
            </w:pPr>
            <w:r>
              <w:rPr>
                <w:rFonts w:hint="eastAsia"/>
              </w:rPr>
              <w:t>堆场所需地面箱位数</w:t>
            </w:r>
          </w:p>
        </w:tc>
        <w:tc>
          <w:tcPr>
            <w:tcW w:w="870" w:type="dxa"/>
          </w:tcPr>
          <w:p>
            <w:pPr>
              <w:pStyle w:val="2001"/>
            </w:pPr>
            <w:r>
              <w:rPr>
                <w:rFonts w:hint="eastAsia"/>
              </w:rPr>
              <w:t>6951</w:t>
            </w:r>
          </w:p>
        </w:tc>
        <w:tc>
          <w:tcPr>
            <w:tcW w:w="870" w:type="dxa"/>
          </w:tcPr>
          <w:p>
            <w:pPr>
              <w:pStyle w:val="2001"/>
            </w:pPr>
            <w:r>
              <w:rPr>
                <w:rFonts w:hint="eastAsia"/>
              </w:rPr>
              <w:t>4556</w:t>
            </w:r>
          </w:p>
        </w:tc>
        <w:tc>
          <w:tcPr>
            <w:tcW w:w="1155" w:type="dxa"/>
          </w:tcPr>
          <w:p>
            <w:pPr>
              <w:pStyle w:val="2001"/>
            </w:pPr>
            <w:r>
              <w:rPr>
                <w:rFonts w:hint="eastAsia"/>
              </w:rPr>
              <w:t>140</w:t>
            </w:r>
          </w:p>
        </w:tc>
        <w:tc>
          <w:tcPr>
            <w:tcW w:w="2782" w:type="dxa"/>
          </w:tcPr>
          <w:p>
            <w:pPr>
              <w:pStyle w:val="2001"/>
            </w:pPr>
            <w:r>
              <w:rPr>
                <w:rFonts w:hint="eastAsia"/>
              </w:rPr>
              <w:t>重、空箱合计11507</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c>
          <w:tcPr>
            <w:tcW w:w="2851" w:type="dxa"/>
          </w:tcPr>
          <w:p>
            <w:pPr>
              <w:pStyle w:val="2001"/>
            </w:pPr>
            <w:r>
              <w:rPr>
                <w:rFonts w:hint="eastAsia"/>
              </w:rPr>
              <w:t>堆场所需容量</w:t>
            </w:r>
          </w:p>
        </w:tc>
        <w:tc>
          <w:tcPr>
            <w:tcW w:w="870" w:type="dxa"/>
          </w:tcPr>
          <w:p>
            <w:pPr>
              <w:pStyle w:val="2001"/>
            </w:pPr>
            <w:r>
              <w:rPr>
                <w:rFonts w:hint="eastAsia"/>
              </w:rPr>
              <w:t>27108</w:t>
            </w:r>
          </w:p>
        </w:tc>
        <w:tc>
          <w:tcPr>
            <w:tcW w:w="870" w:type="dxa"/>
          </w:tcPr>
          <w:p>
            <w:pPr>
              <w:pStyle w:val="2001"/>
            </w:pPr>
            <w:r>
              <w:rPr>
                <w:rFonts w:hint="eastAsia"/>
              </w:rPr>
              <w:t>20502</w:t>
            </w:r>
          </w:p>
        </w:tc>
        <w:tc>
          <w:tcPr>
            <w:tcW w:w="1155" w:type="dxa"/>
          </w:tcPr>
          <w:p>
            <w:pPr>
              <w:pStyle w:val="2001"/>
            </w:pPr>
            <w:r>
              <w:rPr>
                <w:rFonts w:hint="eastAsia"/>
              </w:rPr>
              <w:t>456</w:t>
            </w:r>
          </w:p>
        </w:tc>
        <w:tc>
          <w:tcPr>
            <w:tcW w:w="2782" w:type="dxa"/>
          </w:tcPr>
          <w:p>
            <w:pPr>
              <w:pStyle w:val="2001"/>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c>
          <w:tcPr>
            <w:tcW w:w="2851" w:type="dxa"/>
          </w:tcPr>
          <w:p>
            <w:pPr>
              <w:pStyle w:val="2001"/>
            </w:pPr>
            <w:r>
              <w:rPr>
                <w:rFonts w:hint="eastAsia"/>
              </w:rPr>
              <w:t>实际布置地面箱位数</w:t>
            </w:r>
          </w:p>
        </w:tc>
        <w:tc>
          <w:tcPr>
            <w:tcW w:w="1740" w:type="dxa"/>
            <w:gridSpan w:val="2"/>
          </w:tcPr>
          <w:p>
            <w:pPr>
              <w:pStyle w:val="2001"/>
            </w:pPr>
            <w:r>
              <w:rPr>
                <w:rFonts w:hint="eastAsia"/>
              </w:rPr>
              <w:t>11589</w:t>
            </w:r>
          </w:p>
        </w:tc>
        <w:tc>
          <w:tcPr>
            <w:tcW w:w="1155" w:type="dxa"/>
          </w:tcPr>
          <w:p>
            <w:pPr>
              <w:pStyle w:val="2001"/>
            </w:pPr>
            <w:r>
              <w:rPr>
                <w:rFonts w:hint="eastAsia"/>
              </w:rPr>
              <w:t>204</w:t>
            </w:r>
          </w:p>
        </w:tc>
        <w:tc>
          <w:tcPr>
            <w:tcW w:w="2782" w:type="dxa"/>
          </w:tcPr>
          <w:p>
            <w:pPr>
              <w:pStyle w:val="2001"/>
            </w:pPr>
            <w:r>
              <w:rPr>
                <w:rFonts w:hint="eastAsia"/>
              </w:rPr>
              <w:t>本扩建工程新增972TEU</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c>
          <w:tcPr>
            <w:tcW w:w="2851" w:type="dxa"/>
          </w:tcPr>
          <w:p>
            <w:pPr>
              <w:pStyle w:val="2001"/>
            </w:pPr>
            <w:r>
              <w:rPr>
                <w:rFonts w:hint="eastAsia"/>
              </w:rPr>
              <w:t>实际所需堆场容量</w:t>
            </w:r>
          </w:p>
        </w:tc>
        <w:tc>
          <w:tcPr>
            <w:tcW w:w="1740" w:type="dxa"/>
            <w:gridSpan w:val="2"/>
          </w:tcPr>
          <w:p>
            <w:pPr>
              <w:pStyle w:val="2001"/>
            </w:pPr>
            <w:r>
              <w:rPr>
                <w:rFonts w:hint="eastAsia"/>
              </w:rPr>
              <w:t>47950</w:t>
            </w:r>
          </w:p>
        </w:tc>
        <w:tc>
          <w:tcPr>
            <w:tcW w:w="1155" w:type="dxa"/>
          </w:tcPr>
          <w:p>
            <w:pPr>
              <w:pStyle w:val="2001"/>
            </w:pPr>
            <w:r>
              <w:rPr>
                <w:rFonts w:hint="eastAsia"/>
              </w:rPr>
              <w:t>663</w:t>
            </w:r>
          </w:p>
        </w:tc>
        <w:tc>
          <w:tcPr>
            <w:tcW w:w="2782" w:type="dxa"/>
          </w:tcPr>
          <w:p>
            <w:pPr>
              <w:pStyle w:val="2001"/>
            </w:pPr>
          </w:p>
        </w:tc>
      </w:tr>
    </w:tbl>
    <w:p>
      <w:pPr>
        <w:pStyle w:val="6"/>
        <w:rPr>
          <w:color w:val="000000" w:themeColor="text1"/>
          <w14:textFill>
            <w14:solidFill>
              <w14:schemeClr w14:val="tx1"/>
            </w14:solidFill>
          </w14:textFill>
        </w:rPr>
      </w:pPr>
      <w:r>
        <w:rPr>
          <w:rFonts w:hint="eastAsia"/>
          <w:color w:val="000000" w:themeColor="text1"/>
          <w14:textFill>
            <w14:solidFill>
              <w14:schemeClr w14:val="tx1"/>
            </w14:solidFill>
          </w14:textFill>
        </w:rPr>
        <w:t>码头大门车道数</w:t>
      </w:r>
    </w:p>
    <w:p>
      <w:pPr>
        <w:pStyle w:val="283"/>
        <w:ind w:firstLine="462"/>
        <w:rPr>
          <w:color w:val="000000" w:themeColor="text1"/>
          <w14:textFill>
            <w14:solidFill>
              <w14:schemeClr w14:val="tx1"/>
            </w14:solidFill>
          </w14:textFill>
        </w:rPr>
      </w:pPr>
      <w:r>
        <w:rPr>
          <w:color w:val="000000" w:themeColor="text1"/>
          <w14:textFill>
            <w14:solidFill>
              <w14:schemeClr w14:val="tx1"/>
            </w14:solidFill>
          </w14:textFill>
        </w:rPr>
        <w:t>本工程建成后与原7</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10</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泊位统筹所需闸口车道数为15道，7</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10</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泊位主闸口共设置18车道，其中进港主闸口设置10车道，出港主闸口设置8车道，可满足本工程建成后的使用需求。</w:t>
      </w:r>
    </w:p>
    <w:p>
      <w:pPr>
        <w:pStyle w:val="5"/>
        <w:rPr>
          <w:color w:val="000000" w:themeColor="text1"/>
          <w14:textFill>
            <w14:solidFill>
              <w14:schemeClr w14:val="tx1"/>
            </w14:solidFill>
          </w14:textFill>
        </w:rPr>
      </w:pPr>
      <w:r>
        <w:rPr>
          <w:rFonts w:hint="eastAsia"/>
          <w:color w:val="000000" w:themeColor="text1"/>
          <w14:textFill>
            <w14:solidFill>
              <w14:schemeClr w14:val="tx1"/>
            </w14:solidFill>
          </w14:textFill>
        </w:rPr>
        <w:t>地基处理及道路、堆场</w:t>
      </w:r>
    </w:p>
    <w:p>
      <w:pPr>
        <w:pStyle w:val="6"/>
        <w:rPr>
          <w:color w:val="000000" w:themeColor="text1"/>
          <w14:textFill>
            <w14:solidFill>
              <w14:schemeClr w14:val="tx1"/>
            </w14:solidFill>
          </w14:textFill>
        </w:rPr>
      </w:pPr>
      <w:r>
        <w:rPr>
          <w:rFonts w:hint="eastAsia"/>
          <w:color w:val="000000" w:themeColor="text1"/>
          <w14:textFill>
            <w14:solidFill>
              <w14:schemeClr w14:val="tx1"/>
            </w14:solidFill>
          </w14:textFill>
        </w:rPr>
        <w:t>地基处理</w:t>
      </w:r>
    </w:p>
    <w:p>
      <w:pPr>
        <w:pStyle w:val="283"/>
        <w:ind w:firstLine="462"/>
        <w:rPr>
          <w:color w:val="000000" w:themeColor="text1"/>
          <w14:textFill>
            <w14:solidFill>
              <w14:schemeClr w14:val="tx1"/>
            </w14:solidFill>
          </w14:textFill>
        </w:rPr>
      </w:pPr>
      <w:r>
        <w:rPr>
          <w:color w:val="000000" w:themeColor="text1"/>
          <w14:textFill>
            <w14:solidFill>
              <w14:schemeClr w14:val="tx1"/>
            </w14:solidFill>
          </w14:textFill>
        </w:rPr>
        <w:t>本工程陆域</w:t>
      </w:r>
      <w:r>
        <w:rPr>
          <w:rFonts w:hint="eastAsia"/>
          <w:color w:val="000000" w:themeColor="text1"/>
          <w14:textFill>
            <w14:solidFill>
              <w14:schemeClr w14:val="tx1"/>
            </w14:solidFill>
          </w14:textFill>
        </w:rPr>
        <w:t>形成后的主要地基类型为</w:t>
      </w:r>
      <w:r>
        <w:rPr>
          <w:color w:val="000000" w:themeColor="text1"/>
          <w14:textFill>
            <w14:solidFill>
              <w14:schemeClr w14:val="tx1"/>
            </w14:solidFill>
          </w14:textFill>
        </w:rPr>
        <w:t>回填砂和吹填淤泥成陆。</w:t>
      </w:r>
    </w:p>
    <w:p>
      <w:pPr>
        <w:pStyle w:val="283"/>
        <w:ind w:firstLine="462"/>
        <w:rPr>
          <w:b/>
          <w:color w:val="000000" w:themeColor="text1"/>
          <w14:textFill>
            <w14:solidFill>
              <w14:schemeClr w14:val="tx1"/>
            </w14:solidFill>
          </w14:textFill>
        </w:rPr>
      </w:pPr>
      <w:r>
        <w:rPr>
          <w:color w:val="000000" w:themeColor="text1"/>
          <w14:textFill>
            <w14:solidFill>
              <w14:schemeClr w14:val="tx1"/>
            </w14:solidFill>
          </w14:textFill>
        </w:rPr>
        <w:t>（1）回砂区域吹填砂层平均厚度约9.0m，吹填</w:t>
      </w:r>
      <w:r>
        <w:rPr>
          <w:rFonts w:hint="eastAsia"/>
          <w:color w:val="000000" w:themeColor="text1"/>
          <w14:textFill>
            <w14:solidFill>
              <w14:schemeClr w14:val="tx1"/>
            </w14:solidFill>
          </w14:textFill>
        </w:rPr>
        <w:t>后</w:t>
      </w:r>
      <w:r>
        <w:rPr>
          <w:color w:val="000000" w:themeColor="text1"/>
          <w14:textFill>
            <w14:solidFill>
              <w14:schemeClr w14:val="tx1"/>
            </w14:solidFill>
          </w14:textFill>
        </w:rPr>
        <w:t>的砂层孔隙比大、含水率高、承载力较低，未经处理不能直接作为天然地基使用，需进行密实处理。根据项目实施计划，</w:t>
      </w:r>
      <w:r>
        <w:rPr>
          <w:b/>
          <w:color w:val="000000" w:themeColor="text1"/>
          <w14:textFill>
            <w14:solidFill>
              <w14:schemeClr w14:val="tx1"/>
            </w14:solidFill>
          </w14:textFill>
        </w:rPr>
        <w:t>本次仅处理码头前沿线后方</w:t>
      </w:r>
      <w:r>
        <w:rPr>
          <w:rFonts w:hint="eastAsia"/>
          <w:b/>
          <w:color w:val="000000" w:themeColor="text1"/>
          <w14:textFill>
            <w14:solidFill>
              <w14:schemeClr w14:val="tx1"/>
            </w14:solidFill>
          </w14:textFill>
        </w:rPr>
        <w:t>4</w:t>
      </w:r>
      <w:r>
        <w:rPr>
          <w:b/>
          <w:color w:val="000000" w:themeColor="text1"/>
          <w14:textFill>
            <w14:solidFill>
              <w14:schemeClr w14:val="tx1"/>
            </w14:solidFill>
          </w14:textFill>
        </w:rPr>
        <w:t>0～180m范围的码头前沿作业地带。</w:t>
      </w:r>
    </w:p>
    <w:p>
      <w:pPr>
        <w:pStyle w:val="283"/>
        <w:ind w:firstLine="462"/>
        <w:rPr>
          <w:color w:val="000000" w:themeColor="text1"/>
          <w14:textFill>
            <w14:solidFill>
              <w14:schemeClr w14:val="tx1"/>
            </w14:solidFill>
          </w14:textFill>
        </w:rPr>
      </w:pPr>
      <w:r>
        <w:rPr>
          <w:color w:val="000000" w:themeColor="text1"/>
          <w14:textFill>
            <w14:solidFill>
              <w14:schemeClr w14:val="tx1"/>
            </w14:solidFill>
          </w14:textFill>
        </w:rPr>
        <w:t>（2）吹填疏浚淤泥区域淤泥厚度大、强度低、含水率高、压缩率高，需要进行加固处理才能满足场地要求</w:t>
      </w:r>
      <w:r>
        <w:rPr>
          <w:rFonts w:hint="eastAsia"/>
          <w:color w:val="000000" w:themeColor="text1"/>
          <w14:textFill>
            <w14:solidFill>
              <w14:schemeClr w14:val="tx1"/>
            </w14:solidFill>
          </w14:textFill>
        </w:rPr>
        <w:t>，</w:t>
      </w:r>
      <w:r>
        <w:rPr>
          <w:rFonts w:hint="eastAsia"/>
          <w:color w:val="000000" w:themeColor="text1"/>
          <w:kern w:val="2"/>
          <w14:textFill>
            <w14:solidFill>
              <w14:schemeClr w14:val="tx1"/>
            </w14:solidFill>
          </w14:textFill>
        </w:rPr>
        <w:t>根据业主实施计划，该区域本次暂不进行地基处理</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仅做密实处理</w:t>
      </w:r>
      <w:r>
        <w:rPr>
          <w:color w:val="000000" w:themeColor="text1"/>
          <w14:textFill>
            <w14:solidFill>
              <w14:schemeClr w14:val="tx1"/>
            </w14:solidFill>
          </w14:textFill>
        </w:rPr>
        <w:t>。该区域项目建成后不作为集装箱堆场，若后续规划场地硬化及新建堆场，</w:t>
      </w:r>
      <w:r>
        <w:rPr>
          <w:rFonts w:hint="eastAsia"/>
          <w:color w:val="000000" w:themeColor="text1"/>
          <w14:textFill>
            <w14:solidFill>
              <w14:schemeClr w14:val="tx1"/>
            </w14:solidFill>
          </w14:textFill>
        </w:rPr>
        <w:t>需</w:t>
      </w:r>
      <w:r>
        <w:rPr>
          <w:color w:val="000000" w:themeColor="text1"/>
          <w14:textFill>
            <w14:solidFill>
              <w14:schemeClr w14:val="tx1"/>
            </w14:solidFill>
          </w14:textFill>
        </w:rPr>
        <w:t>根据其环境影响进一步完善环保手续。</w:t>
      </w:r>
    </w:p>
    <w:p>
      <w:pPr>
        <w:pStyle w:val="283"/>
        <w:ind w:firstLine="462"/>
        <w:rPr>
          <w:color w:val="000000" w:themeColor="text1"/>
          <w14:textFill>
            <w14:solidFill>
              <w14:schemeClr w14:val="tx1"/>
            </w14:solidFill>
          </w14:textFill>
        </w:rPr>
      </w:pPr>
      <w:r>
        <w:rPr>
          <w:rFonts w:hint="eastAsia"/>
          <w:color w:val="000000" w:themeColor="text1"/>
          <w14:textFill>
            <w14:solidFill>
              <w14:schemeClr w14:val="tx1"/>
            </w14:solidFill>
          </w14:textFill>
        </w:rPr>
        <w:t>大面积地基处理拟采用强夯法，与已（在）建项目交界部位考虑采用振冲密实法。对于淤泥质土层，本工程场地回填砂层较厚，采用堆载预压方案。</w:t>
      </w:r>
    </w:p>
    <w:p>
      <w:pPr>
        <w:pStyle w:val="283"/>
        <w:ind w:firstLine="462"/>
        <w:rPr>
          <w:color w:val="000000" w:themeColor="text1"/>
          <w14:textFill>
            <w14:solidFill>
              <w14:schemeClr w14:val="tx1"/>
            </w14:solidFill>
          </w14:textFill>
        </w:rPr>
      </w:pPr>
      <w:r>
        <w:rPr>
          <w:rFonts w:hint="eastAsia"/>
          <w:color w:val="000000" w:themeColor="text1"/>
          <w14:textFill>
            <w14:solidFill>
              <w14:schemeClr w14:val="tx1"/>
            </w14:solidFill>
          </w14:textFill>
        </w:rPr>
        <w:t>9号10号泊位延长段码头前沿线后方15～40m为码头结构堆载区，不插板，堆载标高+10.0m，堆载时间为30d。9号10号泊位延长段码头前沿线后方40～180m（考虑外扩处理约30m），采用回填砂成陆，淤泥厚度普遍超过4.0m，回填砂层厚度约9.0m，采用堆载预压+振冲密实组合方案。</w:t>
      </w:r>
    </w:p>
    <w:p>
      <w:pPr>
        <w:pStyle w:val="6"/>
        <w:rPr>
          <w:color w:val="000000" w:themeColor="text1"/>
          <w14:textFill>
            <w14:solidFill>
              <w14:schemeClr w14:val="tx1"/>
            </w14:solidFill>
          </w14:textFill>
        </w:rPr>
      </w:pPr>
      <w:r>
        <w:rPr>
          <w:rFonts w:hint="eastAsia"/>
          <w:color w:val="000000" w:themeColor="text1"/>
          <w14:textFill>
            <w14:solidFill>
              <w14:schemeClr w14:val="tx1"/>
            </w14:solidFill>
          </w14:textFill>
        </w:rPr>
        <w:t>道路、堆场</w:t>
      </w:r>
    </w:p>
    <w:p>
      <w:pPr>
        <w:pStyle w:val="283"/>
        <w:ind w:firstLine="462"/>
        <w:rPr>
          <w:color w:val="000000" w:themeColor="text1"/>
          <w14:textFill>
            <w14:solidFill>
              <w14:schemeClr w14:val="tx1"/>
            </w14:solidFill>
          </w14:textFill>
        </w:rPr>
      </w:pPr>
      <w:r>
        <w:rPr>
          <w:rFonts w:hint="eastAsia"/>
          <w:color w:val="000000" w:themeColor="text1"/>
          <w14:textFill>
            <w14:solidFill>
              <w14:schemeClr w14:val="tx1"/>
            </w14:solidFill>
          </w14:textFill>
        </w:rPr>
        <w:t>根据总平面布置及装卸工艺设计要求，本工程道路、堆场工程主要为</w:t>
      </w:r>
      <w:r>
        <w:rPr>
          <w:color w:val="000000" w:themeColor="text1"/>
          <w14:textFill>
            <w14:solidFill>
              <w14:schemeClr w14:val="tx1"/>
            </w14:solidFill>
          </w14:textFill>
        </w:rPr>
        <w:t>港区道路、集装箱重箱堆场（第22号堆场）、码头前沿作业地带（包括IGV缓冲区、IGV快速行车道、特殊箱通道、轨后IGV装卸作业车道等）。</w:t>
      </w:r>
    </w:p>
    <w:p>
      <w:pPr>
        <w:pStyle w:val="283"/>
        <w:ind w:firstLine="462"/>
        <w:rPr>
          <w:color w:val="000000" w:themeColor="text1"/>
          <w14:textFill>
            <w14:solidFill>
              <w14:schemeClr w14:val="tx1"/>
            </w14:solidFill>
          </w14:textFill>
        </w:rPr>
      </w:pPr>
      <w:r>
        <w:rPr>
          <w:rFonts w:hint="eastAsia"/>
          <w:color w:val="000000" w:themeColor="text1"/>
          <w14:textFill>
            <w14:solidFill>
              <w14:schemeClr w14:val="tx1"/>
            </w14:solidFill>
          </w14:textFill>
        </w:rPr>
        <w:t>1、道路、堆场结构方案</w:t>
      </w:r>
    </w:p>
    <w:p>
      <w:pPr>
        <w:pStyle w:val="283"/>
        <w:ind w:firstLine="462"/>
        <w:rPr>
          <w:color w:val="000000" w:themeColor="text1"/>
          <w14:textFill>
            <w14:solidFill>
              <w14:schemeClr w14:val="tx1"/>
            </w14:solidFill>
          </w14:textFill>
        </w:rPr>
      </w:pPr>
      <w:r>
        <w:rPr>
          <w:color w:val="000000" w:themeColor="text1"/>
          <w14:textFill>
            <w14:solidFill>
              <w14:schemeClr w14:val="tx1"/>
            </w14:solidFill>
          </w14:textFill>
        </w:rPr>
        <w:t>（</w:t>
      </w:r>
      <w:r>
        <w:rPr>
          <w:rFonts w:hint="eastAsia"/>
          <w:color w:val="000000" w:themeColor="text1"/>
          <w14:textFill>
            <w14:solidFill>
              <w14:schemeClr w14:val="tx1"/>
            </w14:solidFill>
          </w14:textFill>
        </w:rPr>
        <w:t>1</w:t>
      </w:r>
      <w:r>
        <w:rPr>
          <w:color w:val="000000" w:themeColor="text1"/>
          <w14:textFill>
            <w14:solidFill>
              <w14:schemeClr w14:val="tx1"/>
            </w14:solidFill>
          </w14:textFill>
        </w:rPr>
        <w:t>）道路载荷</w:t>
      </w:r>
    </w:p>
    <w:p>
      <w:pPr>
        <w:pStyle w:val="283"/>
        <w:ind w:firstLine="462"/>
        <w:rPr>
          <w:color w:val="000000" w:themeColor="text1"/>
          <w14:textFill>
            <w14:solidFill>
              <w14:schemeClr w14:val="tx1"/>
            </w14:solidFill>
          </w14:textFill>
        </w:rPr>
      </w:pPr>
      <w:r>
        <w:rPr>
          <w:color w:val="000000" w:themeColor="text1"/>
          <w14:textFill>
            <w14:solidFill>
              <w14:schemeClr w14:val="tx1"/>
            </w14:solidFill>
          </w14:textFill>
        </w:rPr>
        <w:t>道路上主要流动机械为集装箱牵引半挂车、无人驾驶集卡（IGV）满载行驶，另外还有空载状态下行驶的正面吊等。</w:t>
      </w:r>
    </w:p>
    <w:p>
      <w:pPr>
        <w:pStyle w:val="283"/>
        <w:ind w:firstLine="462"/>
        <w:rPr>
          <w:color w:val="000000" w:themeColor="text1"/>
          <w14:textFill>
            <w14:solidFill>
              <w14:schemeClr w14:val="tx1"/>
            </w14:solidFill>
          </w14:textFill>
        </w:rPr>
      </w:pPr>
      <w:r>
        <w:rPr>
          <w:rFonts w:hint="eastAsia" w:ascii="宋体" w:hAnsi="宋体"/>
          <w:color w:val="000000" w:themeColor="text1"/>
          <w14:textFill>
            <w14:solidFill>
              <w14:schemeClr w14:val="tx1"/>
            </w14:solidFill>
          </w14:textFill>
        </w:rPr>
        <w:t>①</w:t>
      </w:r>
      <w:r>
        <w:rPr>
          <w:color w:val="000000" w:themeColor="text1"/>
          <w14:textFill>
            <w14:solidFill>
              <w14:schemeClr w14:val="tx1"/>
            </w14:solidFill>
          </w14:textFill>
        </w:rPr>
        <w:t>集装箱牵引半挂车：最大轴压280kN。</w:t>
      </w:r>
      <w:r>
        <w:rPr>
          <w:rFonts w:hint="eastAsia" w:ascii="宋体" w:hAnsi="宋体"/>
          <w:color w:val="000000" w:themeColor="text1"/>
          <w14:textFill>
            <w14:solidFill>
              <w14:schemeClr w14:val="tx1"/>
            </w14:solidFill>
          </w14:textFill>
        </w:rPr>
        <w:t>②</w:t>
      </w:r>
      <w:r>
        <w:rPr>
          <w:color w:val="000000" w:themeColor="text1"/>
          <w14:textFill>
            <w14:solidFill>
              <w14:schemeClr w14:val="tx1"/>
            </w14:solidFill>
          </w14:textFill>
        </w:rPr>
        <w:t>无人驾驶集卡（IGV）：与堆场轨道吊交互作业时，最大轴压270kN；载重箱行驶时最大轴压250kN。</w:t>
      </w:r>
      <w:r>
        <w:rPr>
          <w:rFonts w:hint="eastAsia" w:ascii="宋体" w:hAnsi="宋体"/>
          <w:color w:val="000000" w:themeColor="text1"/>
          <w14:textFill>
            <w14:solidFill>
              <w14:schemeClr w14:val="tx1"/>
            </w14:solidFill>
          </w14:textFill>
        </w:rPr>
        <w:t>③</w:t>
      </w:r>
      <w:r>
        <w:rPr>
          <w:color w:val="000000" w:themeColor="text1"/>
          <w14:textFill>
            <w14:solidFill>
              <w14:schemeClr w14:val="tx1"/>
            </w14:solidFill>
          </w14:textFill>
        </w:rPr>
        <w:t>集装箱正面吊运车：空载时，前轴轮压100kN/轮，后轴轮压 200kN/轮。</w:t>
      </w:r>
    </w:p>
    <w:p>
      <w:pPr>
        <w:pStyle w:val="283"/>
        <w:ind w:firstLine="462"/>
        <w:rPr>
          <w:color w:val="000000" w:themeColor="text1"/>
          <w14:textFill>
            <w14:solidFill>
              <w14:schemeClr w14:val="tx1"/>
            </w14:solidFill>
          </w14:textFill>
        </w:rPr>
      </w:pPr>
      <w:r>
        <w:rPr>
          <w:rFonts w:hint="eastAsia"/>
          <w:color w:val="000000" w:themeColor="text1"/>
          <w14:textFill>
            <w14:solidFill>
              <w14:schemeClr w14:val="tx1"/>
            </w14:solidFill>
          </w14:textFill>
        </w:rPr>
        <w:t>（2）堆场载荷</w:t>
      </w:r>
    </w:p>
    <w:p>
      <w:pPr>
        <w:pStyle w:val="283"/>
        <w:ind w:firstLine="462"/>
        <w:rPr>
          <w:color w:val="000000" w:themeColor="text1"/>
          <w14:textFill>
            <w14:solidFill>
              <w14:schemeClr w14:val="tx1"/>
            </w14:solidFill>
          </w14:textFill>
        </w:rPr>
      </w:pPr>
      <w:r>
        <w:rPr>
          <w:color w:val="000000" w:themeColor="text1"/>
          <w14:textFill>
            <w14:solidFill>
              <w14:schemeClr w14:val="tx1"/>
            </w14:solidFill>
          </w14:textFill>
        </w:rPr>
        <w:t>重箱堆场：重载集装箱堆高6层。</w:t>
      </w:r>
    </w:p>
    <w:p>
      <w:pPr>
        <w:pStyle w:val="283"/>
        <w:ind w:firstLine="462"/>
        <w:rPr>
          <w:color w:val="000000" w:themeColor="text1"/>
          <w14:textFill>
            <w14:solidFill>
              <w14:schemeClr w14:val="tx1"/>
            </w14:solidFill>
          </w14:textFill>
        </w:rPr>
      </w:pPr>
      <w:r>
        <w:rPr>
          <w:color w:val="000000" w:themeColor="text1"/>
          <w14:textFill>
            <w14:solidFill>
              <w14:schemeClr w14:val="tx1"/>
            </w14:solidFill>
          </w14:textFill>
        </w:rPr>
        <w:t>a.重箱堆场：双悬臂轨道式龙门吊：跨距 37m（带双侧外伸悬臂），4腿，6个轮/腿，轮距1.1m，基距17m。工作状态下最大轮压P=300kN。</w:t>
      </w:r>
    </w:p>
    <w:p>
      <w:pPr>
        <w:pStyle w:val="283"/>
        <w:ind w:firstLine="462"/>
        <w:rPr>
          <w:color w:val="000000" w:themeColor="text1"/>
          <w14:textFill>
            <w14:solidFill>
              <w14:schemeClr w14:val="tx1"/>
            </w14:solidFill>
          </w14:textFill>
        </w:rPr>
      </w:pPr>
      <w:r>
        <w:rPr>
          <w:color w:val="000000" w:themeColor="text1"/>
          <w14:textFill>
            <w14:solidFill>
              <w14:schemeClr w14:val="tx1"/>
            </w14:solidFill>
          </w14:textFill>
        </w:rPr>
        <w:t>b.流动机械：</w:t>
      </w:r>
      <w:r>
        <w:rPr>
          <w:rFonts w:hint="eastAsia" w:ascii="宋体" w:hAnsi="宋体"/>
          <w:color w:val="000000" w:themeColor="text1"/>
          <w14:textFill>
            <w14:solidFill>
              <w14:schemeClr w14:val="tx1"/>
            </w14:solidFill>
          </w14:textFill>
        </w:rPr>
        <w:t>①</w:t>
      </w:r>
      <w:r>
        <w:rPr>
          <w:color w:val="000000" w:themeColor="text1"/>
          <w14:textFill>
            <w14:solidFill>
              <w14:schemeClr w14:val="tx1"/>
            </w14:solidFill>
          </w14:textFill>
        </w:rPr>
        <w:t>无人驾驶集卡（IGV）：码头前沿岸桥陆侧轨后方和IGV车道内满载行驶。与堆场轨道吊交互作业时，最大轮压135kN；</w:t>
      </w:r>
      <w:r>
        <w:rPr>
          <w:rFonts w:hint="eastAsia" w:ascii="宋体" w:hAnsi="宋体"/>
          <w:color w:val="000000" w:themeColor="text1"/>
          <w14:textFill>
            <w14:solidFill>
              <w14:schemeClr w14:val="tx1"/>
            </w14:solidFill>
          </w14:textFill>
        </w:rPr>
        <w:t>②</w:t>
      </w:r>
      <w:r>
        <w:rPr>
          <w:color w:val="000000" w:themeColor="text1"/>
          <w14:textFill>
            <w14:solidFill>
              <w14:schemeClr w14:val="tx1"/>
            </w14:solidFill>
          </w14:textFill>
        </w:rPr>
        <w:t>载重箱行驶时最大轮压 125kN；与岸桥主小车交 互作业时，最大轮压145kN。</w:t>
      </w:r>
      <w:r>
        <w:rPr>
          <w:rFonts w:hint="eastAsia" w:ascii="宋体" w:hAnsi="宋体"/>
          <w:color w:val="000000" w:themeColor="text1"/>
          <w14:textFill>
            <w14:solidFill>
              <w14:schemeClr w14:val="tx1"/>
            </w14:solidFill>
          </w14:textFill>
        </w:rPr>
        <w:t>③</w:t>
      </w:r>
      <w:r>
        <w:rPr>
          <w:color w:val="000000" w:themeColor="text1"/>
          <w14:textFill>
            <w14:solidFill>
              <w14:schemeClr w14:val="tx1"/>
            </w14:solidFill>
          </w14:textFill>
        </w:rPr>
        <w:t xml:space="preserve"> 集装箱牵引半挂车：在码头前沿岸桥轨内、港区主要道路、外集卡车道载2个20</w:t>
      </w:r>
      <w:r>
        <w:rPr>
          <w:rFonts w:ascii="宋体" w:hAnsi="宋体"/>
          <w:color w:val="000000" w:themeColor="text1"/>
          <w14:textFill>
            <w14:solidFill>
              <w14:schemeClr w14:val="tx1"/>
            </w14:solidFill>
          </w14:textFill>
        </w:rPr>
        <w:t>’</w:t>
      </w:r>
      <w:r>
        <w:rPr>
          <w:color w:val="000000" w:themeColor="text1"/>
          <w14:textFill>
            <w14:solidFill>
              <w14:schemeClr w14:val="tx1"/>
            </w14:solidFill>
          </w14:textFill>
        </w:rPr>
        <w:t>重箱行驶或停留。满载行驶最大轮压为70kN/轮。</w:t>
      </w:r>
      <w:r>
        <w:rPr>
          <w:rFonts w:hint="eastAsia" w:ascii="宋体" w:hAnsi="宋体"/>
          <w:color w:val="000000" w:themeColor="text1"/>
          <w14:textFill>
            <w14:solidFill>
              <w14:schemeClr w14:val="tx1"/>
            </w14:solidFill>
          </w14:textFill>
        </w:rPr>
        <w:t>④</w:t>
      </w:r>
      <w:r>
        <w:rPr>
          <w:color w:val="000000" w:themeColor="text1"/>
          <w14:textFill>
            <w14:solidFill>
              <w14:schemeClr w14:val="tx1"/>
            </w14:solidFill>
          </w14:textFill>
        </w:rPr>
        <w:t>集装箱正面吊运车：自动化堆场海陆侧 50m 满载作业，其余道路区域空载运行。满载时：前轴轮压300KN/轮，后轴轮压 100KN/轮；空载时：前轴轮压 100KN/轮，后轴轮压 200KN/轮</w:t>
      </w:r>
      <w:r>
        <w:rPr>
          <w:rFonts w:hint="eastAsia"/>
          <w:color w:val="000000" w:themeColor="text1"/>
          <w14:textFill>
            <w14:solidFill>
              <w14:schemeClr w14:val="tx1"/>
            </w14:solidFill>
          </w14:textFill>
        </w:rPr>
        <w:t>。</w:t>
      </w:r>
    </w:p>
    <w:p>
      <w:pPr>
        <w:pStyle w:val="283"/>
        <w:ind w:firstLine="462"/>
        <w:rPr>
          <w:color w:val="000000" w:themeColor="text1"/>
          <w14:textFill>
            <w14:solidFill>
              <w14:schemeClr w14:val="tx1"/>
            </w14:solidFill>
          </w14:textFill>
        </w:rPr>
      </w:pPr>
      <w:r>
        <w:rPr>
          <w:rFonts w:hint="eastAsia"/>
          <w:color w:val="000000" w:themeColor="text1"/>
          <w14:textFill>
            <w14:solidFill>
              <w14:schemeClr w14:val="tx1"/>
            </w14:solidFill>
          </w14:textFill>
        </w:rPr>
        <w:t>2、道路、堆场工程规模</w:t>
      </w:r>
    </w:p>
    <w:p>
      <w:pPr>
        <w:pStyle w:val="283"/>
        <w:ind w:firstLine="462"/>
        <w:rPr>
          <w:color w:val="000000" w:themeColor="text1"/>
          <w14:textFill>
            <w14:solidFill>
              <w14:schemeClr w14:val="tx1"/>
            </w14:solidFill>
          </w14:textFill>
        </w:rPr>
      </w:pPr>
      <w:r>
        <w:rPr>
          <w:rFonts w:hint="eastAsia"/>
          <w:color w:val="000000" w:themeColor="text1"/>
          <w14:textFill>
            <w14:solidFill>
              <w14:schemeClr w14:val="tx1"/>
            </w14:solidFill>
          </w14:textFill>
        </w:rPr>
        <w:t>现有9号10号泊位内22号堆场内未布置装卸设备，本次扩建将22号堆场纳入本项目新增集装箱堆场，</w:t>
      </w:r>
      <w:r>
        <w:rPr>
          <w:color w:val="000000" w:themeColor="text1"/>
          <w14:textFill>
            <w14:solidFill>
              <w14:schemeClr w14:val="tx1"/>
            </w14:solidFill>
          </w14:textFill>
        </w:rPr>
        <w:t>新增集装箱堆场</w:t>
      </w:r>
      <w:r>
        <w:rPr>
          <w:rFonts w:hint="eastAsia"/>
          <w:color w:val="000000" w:themeColor="text1"/>
          <w14:textFill>
            <w14:solidFill>
              <w14:schemeClr w14:val="tx1"/>
            </w14:solidFill>
          </w14:textFill>
        </w:rPr>
        <w:t>堆存</w:t>
      </w:r>
      <w:r>
        <w:rPr>
          <w:color w:val="000000" w:themeColor="text1"/>
          <w14:textFill>
            <w14:solidFill>
              <w14:schemeClr w14:val="tx1"/>
            </w14:solidFill>
          </w14:textFill>
        </w:rPr>
        <w:t>占地面积约</w:t>
      </w:r>
      <w:r>
        <w:rPr>
          <w:rFonts w:hint="eastAsia"/>
          <w:color w:val="000000" w:themeColor="text1"/>
          <w14:textFill>
            <w14:solidFill>
              <w14:schemeClr w14:val="tx1"/>
            </w14:solidFill>
          </w14:textFill>
        </w:rPr>
        <w:t>2.4h</w:t>
      </w:r>
      <w:r>
        <w:rPr>
          <w:color w:val="000000" w:themeColor="text1"/>
          <w14:textFill>
            <w14:solidFill>
              <w14:schemeClr w14:val="tx1"/>
            </w14:solidFill>
          </w14:textFill>
        </w:rPr>
        <w:t>m</w:t>
      </w:r>
      <w:r>
        <w:rPr>
          <w:color w:val="000000" w:themeColor="text1"/>
          <w:vertAlign w:val="superscript"/>
          <w14:textFill>
            <w14:solidFill>
              <w14:schemeClr w14:val="tx1"/>
            </w14:solidFill>
          </w14:textFill>
        </w:rPr>
        <w:t>2</w:t>
      </w:r>
      <w:r>
        <w:rPr>
          <w:color w:val="000000" w:themeColor="text1"/>
          <w14:textFill>
            <w14:solidFill>
              <w14:schemeClr w14:val="tx1"/>
            </w14:solidFill>
          </w14:textFill>
        </w:rPr>
        <w:t>。本次扩建新增</w:t>
      </w:r>
      <w:r>
        <w:rPr>
          <w:rFonts w:hint="eastAsia"/>
          <w:color w:val="000000" w:themeColor="text1"/>
          <w14:textFill>
            <w14:solidFill>
              <w14:schemeClr w14:val="tx1"/>
            </w14:solidFill>
          </w14:textFill>
        </w:rPr>
        <w:t>22号堆场仅新增集装箱堆场装卸设备，无拆装箱、洗箱作业，</w:t>
      </w:r>
      <w:r>
        <w:rPr>
          <w:color w:val="000000" w:themeColor="text1"/>
          <w14:textFill>
            <w14:solidFill>
              <w14:schemeClr w14:val="tx1"/>
            </w14:solidFill>
          </w14:textFill>
        </w:rPr>
        <w:t>堆场集装箱</w:t>
      </w:r>
      <w:r>
        <w:rPr>
          <w:rFonts w:hint="eastAsia"/>
          <w:color w:val="000000" w:themeColor="text1"/>
          <w14:textFill>
            <w14:solidFill>
              <w14:schemeClr w14:val="tx1"/>
            </w14:solidFill>
          </w14:textFill>
        </w:rPr>
        <w:t>堆存</w:t>
      </w:r>
      <w:r>
        <w:rPr>
          <w:color w:val="000000" w:themeColor="text1"/>
          <w14:textFill>
            <w14:solidFill>
              <w14:schemeClr w14:val="tx1"/>
            </w14:solidFill>
          </w14:textFill>
        </w:rPr>
        <w:t>货物主要包括：农产品、烟草、食品、医药制品、先进设备、粮食、日用品、家电、橡胶等普通适箱货物，无动物活体、非密封食物等货品，不涉及危险品箱堆存。</w:t>
      </w:r>
    </w:p>
    <w:tbl>
      <w:tblPr>
        <w:tblStyle w:val="89"/>
        <w:tblW w:w="852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52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8528" w:type="dxa"/>
            <w:tcBorders>
              <w:top w:val="nil"/>
              <w:left w:val="nil"/>
              <w:bottom w:val="nil"/>
              <w:right w:val="nil"/>
            </w:tcBorders>
          </w:tcPr>
          <w:p>
            <w:pPr>
              <w:pStyle w:val="283"/>
              <w:ind w:firstLine="462"/>
              <w:rPr>
                <w:color w:val="000000" w:themeColor="text1"/>
                <w14:textFill>
                  <w14:solidFill>
                    <w14:schemeClr w14:val="tx1"/>
                  </w14:solidFill>
                </w14:textFill>
              </w:rPr>
            </w:pPr>
            <w:r>
              <w:rPr>
                <w:color w:val="000000" w:themeColor="text1"/>
                <w14:textFill>
                  <w14:solidFill>
                    <w14:schemeClr w14:val="tx1"/>
                  </w14:solidFill>
                </w14:textFill>
              </w:rPr>
              <w:drawing>
                <wp:inline distT="0" distB="0" distL="0" distR="0">
                  <wp:extent cx="5191125" cy="2466975"/>
                  <wp:effectExtent l="0" t="0" r="9525" b="9525"/>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pic:cNvPicPr>
                            <a:picLocks noChangeAspect="1"/>
                          </pic:cNvPicPr>
                        </pic:nvPicPr>
                        <pic:blipFill>
                          <a:blip r:embed="rId60"/>
                          <a:srcRect b="10035"/>
                          <a:stretch>
                            <a:fillRect/>
                          </a:stretch>
                        </pic:blipFill>
                        <pic:spPr>
                          <a:xfrm>
                            <a:off x="0" y="0"/>
                            <a:ext cx="5195679" cy="2469139"/>
                          </a:xfrm>
                          <a:prstGeom prst="rect">
                            <a:avLst/>
                          </a:prstGeom>
                          <a:ln>
                            <a:noFill/>
                          </a:ln>
                        </pic:spPr>
                      </pic:pic>
                    </a:graphicData>
                  </a:graphic>
                </wp:inline>
              </w:drawing>
            </w:r>
          </w:p>
          <w:p>
            <w:pPr>
              <w:pStyle w:val="553"/>
              <w:rPr>
                <w:color w:val="000000" w:themeColor="text1"/>
                <w14:textFill>
                  <w14:solidFill>
                    <w14:schemeClr w14:val="tx1"/>
                  </w14:solidFill>
                </w14:textFill>
              </w:rPr>
            </w:pPr>
            <w:r>
              <w:rPr>
                <w:rFonts w:hint="eastAsia"/>
                <w:color w:val="000000" w:themeColor="text1"/>
                <w14:textFill>
                  <w14:solidFill>
                    <w14:schemeClr w14:val="tx1"/>
                  </w14:solidFill>
                </w14:textFill>
              </w:rPr>
              <w:t>22号泊位堆场现状图</w:t>
            </w:r>
          </w:p>
        </w:tc>
      </w:tr>
    </w:tbl>
    <w:p>
      <w:pPr>
        <w:pStyle w:val="384"/>
        <w:ind w:left="0" w:firstLine="0"/>
        <w:rPr>
          <w:rFonts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扩建9号10号泊位道路、22号堆场铺面主要工程数量表</w:t>
      </w:r>
    </w:p>
    <w:tbl>
      <w:tblPr>
        <w:tblStyle w:val="89"/>
        <w:tblW w:w="8528" w:type="dxa"/>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675"/>
        <w:gridCol w:w="4111"/>
        <w:gridCol w:w="709"/>
        <w:gridCol w:w="992"/>
        <w:gridCol w:w="2041"/>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blHeader/>
        </w:trPr>
        <w:tc>
          <w:tcPr>
            <w:tcW w:w="675" w:type="dxa"/>
            <w:vAlign w:val="center"/>
          </w:tcPr>
          <w:p>
            <w:pPr>
              <w:pStyle w:val="2001"/>
            </w:pPr>
            <w:r>
              <w:t>序号</w:t>
            </w:r>
          </w:p>
        </w:tc>
        <w:tc>
          <w:tcPr>
            <w:tcW w:w="4111" w:type="dxa"/>
            <w:vAlign w:val="center"/>
          </w:tcPr>
          <w:p>
            <w:pPr>
              <w:pStyle w:val="2001"/>
            </w:pPr>
            <w:r>
              <w:t>项目名称</w:t>
            </w:r>
          </w:p>
        </w:tc>
        <w:tc>
          <w:tcPr>
            <w:tcW w:w="709" w:type="dxa"/>
            <w:vAlign w:val="center"/>
          </w:tcPr>
          <w:p>
            <w:pPr>
              <w:pStyle w:val="2001"/>
            </w:pPr>
            <w:r>
              <w:t>单位</w:t>
            </w:r>
          </w:p>
        </w:tc>
        <w:tc>
          <w:tcPr>
            <w:tcW w:w="992" w:type="dxa"/>
            <w:vAlign w:val="center"/>
          </w:tcPr>
          <w:p>
            <w:pPr>
              <w:pStyle w:val="2001"/>
            </w:pPr>
            <w:r>
              <w:t>数量</w:t>
            </w:r>
          </w:p>
        </w:tc>
        <w:tc>
          <w:tcPr>
            <w:tcW w:w="2041" w:type="dxa"/>
            <w:vAlign w:val="center"/>
          </w:tcPr>
          <w:p>
            <w:pPr>
              <w:pStyle w:val="2001"/>
            </w:pPr>
            <w:r>
              <w:t>备注</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c>
          <w:tcPr>
            <w:tcW w:w="675" w:type="dxa"/>
            <w:vAlign w:val="center"/>
          </w:tcPr>
          <w:p>
            <w:pPr>
              <w:pStyle w:val="2001"/>
            </w:pPr>
            <w:r>
              <w:rPr>
                <w:rFonts w:hint="eastAsia"/>
              </w:rPr>
              <w:t>1</w:t>
            </w:r>
          </w:p>
        </w:tc>
        <w:tc>
          <w:tcPr>
            <w:tcW w:w="4111" w:type="dxa"/>
            <w:vAlign w:val="center"/>
          </w:tcPr>
          <w:p>
            <w:pPr>
              <w:pStyle w:val="2001"/>
            </w:pPr>
            <w:r>
              <w:t>港区主干道、</w:t>
            </w:r>
            <w:r>
              <w:rPr>
                <w:rFonts w:hint="eastAsia"/>
              </w:rPr>
              <w:t>IGV缓冲区、IGV快速行车道</w:t>
            </w:r>
          </w:p>
        </w:tc>
        <w:tc>
          <w:tcPr>
            <w:tcW w:w="709" w:type="dxa"/>
            <w:vAlign w:val="center"/>
          </w:tcPr>
          <w:p>
            <w:pPr>
              <w:pStyle w:val="2001"/>
            </w:pPr>
            <w:r>
              <w:t>m</w:t>
            </w:r>
            <w:r>
              <w:rPr>
                <w:rFonts w:hint="eastAsia"/>
                <w:vertAlign w:val="superscript"/>
              </w:rPr>
              <w:t>2</w:t>
            </w:r>
          </w:p>
        </w:tc>
        <w:tc>
          <w:tcPr>
            <w:tcW w:w="992" w:type="dxa"/>
            <w:vAlign w:val="center"/>
          </w:tcPr>
          <w:p>
            <w:pPr>
              <w:pStyle w:val="2001"/>
            </w:pPr>
            <w:r>
              <w:rPr>
                <w:rFonts w:hint="eastAsia"/>
              </w:rPr>
              <w:t>12580</w:t>
            </w:r>
          </w:p>
        </w:tc>
        <w:tc>
          <w:tcPr>
            <w:tcW w:w="2041" w:type="dxa"/>
            <w:vAlign w:val="center"/>
          </w:tcPr>
          <w:p>
            <w:pPr>
              <w:pStyle w:val="2001"/>
            </w:pPr>
            <w:r>
              <w:rPr>
                <w:rFonts w:hint="eastAsia"/>
              </w:rPr>
              <w:t>现浇混凝土铺面</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c>
          <w:tcPr>
            <w:tcW w:w="675" w:type="dxa"/>
            <w:vAlign w:val="center"/>
          </w:tcPr>
          <w:p>
            <w:pPr>
              <w:pStyle w:val="2001"/>
            </w:pPr>
            <w:r>
              <w:rPr>
                <w:rFonts w:hint="eastAsia"/>
              </w:rPr>
              <w:t>2</w:t>
            </w:r>
          </w:p>
        </w:tc>
        <w:tc>
          <w:tcPr>
            <w:tcW w:w="4111" w:type="dxa"/>
            <w:vAlign w:val="center"/>
          </w:tcPr>
          <w:p>
            <w:pPr>
              <w:pStyle w:val="2001"/>
            </w:pPr>
            <w:r>
              <w:t>外集卡车道、特殊箱通道（码头前沿处）</w:t>
            </w:r>
          </w:p>
        </w:tc>
        <w:tc>
          <w:tcPr>
            <w:tcW w:w="709" w:type="dxa"/>
            <w:vAlign w:val="center"/>
          </w:tcPr>
          <w:p>
            <w:pPr>
              <w:pStyle w:val="2001"/>
            </w:pPr>
            <w:r>
              <w:t>m</w:t>
            </w:r>
            <w:r>
              <w:rPr>
                <w:rFonts w:hint="eastAsia"/>
                <w:vertAlign w:val="superscript"/>
              </w:rPr>
              <w:t>2</w:t>
            </w:r>
          </w:p>
        </w:tc>
        <w:tc>
          <w:tcPr>
            <w:tcW w:w="992" w:type="dxa"/>
            <w:vAlign w:val="center"/>
          </w:tcPr>
          <w:p>
            <w:pPr>
              <w:pStyle w:val="2001"/>
            </w:pPr>
            <w:r>
              <w:rPr>
                <w:rFonts w:hint="eastAsia"/>
              </w:rPr>
              <w:t>13980</w:t>
            </w:r>
          </w:p>
        </w:tc>
        <w:tc>
          <w:tcPr>
            <w:tcW w:w="2041" w:type="dxa"/>
            <w:vAlign w:val="center"/>
          </w:tcPr>
          <w:p>
            <w:pPr>
              <w:pStyle w:val="2001"/>
            </w:pPr>
            <w:r>
              <w:rPr>
                <w:rFonts w:hint="eastAsia"/>
              </w:rPr>
              <w:t>现浇混凝土铺面</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c>
          <w:tcPr>
            <w:tcW w:w="675" w:type="dxa"/>
            <w:vAlign w:val="center"/>
          </w:tcPr>
          <w:p>
            <w:pPr>
              <w:pStyle w:val="2001"/>
            </w:pPr>
            <w:r>
              <w:rPr>
                <w:rFonts w:hint="eastAsia"/>
              </w:rPr>
              <w:t>3</w:t>
            </w:r>
          </w:p>
        </w:tc>
        <w:tc>
          <w:tcPr>
            <w:tcW w:w="4111" w:type="dxa"/>
            <w:vAlign w:val="center"/>
          </w:tcPr>
          <w:p>
            <w:pPr>
              <w:pStyle w:val="2001"/>
            </w:pPr>
            <w:r>
              <w:t>轨后</w:t>
            </w:r>
            <w:r>
              <w:rPr>
                <w:rFonts w:hint="eastAsia"/>
              </w:rPr>
              <w:t>IGV装卸作业车道</w:t>
            </w:r>
          </w:p>
        </w:tc>
        <w:tc>
          <w:tcPr>
            <w:tcW w:w="709" w:type="dxa"/>
            <w:vAlign w:val="center"/>
          </w:tcPr>
          <w:p>
            <w:pPr>
              <w:pStyle w:val="2001"/>
            </w:pPr>
            <w:r>
              <w:t>m</w:t>
            </w:r>
            <w:r>
              <w:rPr>
                <w:rFonts w:hint="eastAsia"/>
                <w:vertAlign w:val="superscript"/>
              </w:rPr>
              <w:t>2</w:t>
            </w:r>
          </w:p>
        </w:tc>
        <w:tc>
          <w:tcPr>
            <w:tcW w:w="992" w:type="dxa"/>
            <w:vAlign w:val="center"/>
          </w:tcPr>
          <w:p>
            <w:pPr>
              <w:pStyle w:val="2001"/>
            </w:pPr>
            <w:r>
              <w:rPr>
                <w:rFonts w:hint="eastAsia"/>
              </w:rPr>
              <w:t>5320</w:t>
            </w:r>
          </w:p>
        </w:tc>
        <w:tc>
          <w:tcPr>
            <w:tcW w:w="2041" w:type="dxa"/>
            <w:vAlign w:val="center"/>
          </w:tcPr>
          <w:p>
            <w:pPr>
              <w:pStyle w:val="2001"/>
            </w:pPr>
            <w:r>
              <w:rPr>
                <w:rFonts w:hint="eastAsia"/>
              </w:rPr>
              <w:t>现浇混凝土铺面</w:t>
            </w:r>
          </w:p>
        </w:tc>
      </w:tr>
      <w:bookmarkEnd w:id="90"/>
      <w:bookmarkEnd w:id="91"/>
      <w:bookmarkEnd w:id="92"/>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c>
          <w:tcPr>
            <w:tcW w:w="675" w:type="dxa"/>
            <w:vAlign w:val="center"/>
          </w:tcPr>
          <w:p>
            <w:pPr>
              <w:pStyle w:val="2001"/>
            </w:pPr>
            <w:bookmarkStart w:id="100" w:name="_Toc247517284"/>
            <w:bookmarkStart w:id="101" w:name="_Toc232154430"/>
            <w:bookmarkStart w:id="102" w:name="_Toc279393644"/>
            <w:r>
              <w:rPr>
                <w:rFonts w:hint="eastAsia"/>
              </w:rPr>
              <w:t>4</w:t>
            </w:r>
          </w:p>
        </w:tc>
        <w:tc>
          <w:tcPr>
            <w:tcW w:w="4111" w:type="dxa"/>
            <w:vAlign w:val="center"/>
          </w:tcPr>
          <w:p>
            <w:pPr>
              <w:pStyle w:val="2001"/>
            </w:pPr>
            <w:r>
              <w:t>正面吊重载行驶道路</w:t>
            </w:r>
          </w:p>
        </w:tc>
        <w:tc>
          <w:tcPr>
            <w:tcW w:w="709" w:type="dxa"/>
            <w:vAlign w:val="center"/>
          </w:tcPr>
          <w:p>
            <w:pPr>
              <w:pStyle w:val="2001"/>
            </w:pPr>
            <w:r>
              <w:t>m</w:t>
            </w:r>
            <w:r>
              <w:rPr>
                <w:rFonts w:hint="eastAsia"/>
                <w:vertAlign w:val="superscript"/>
              </w:rPr>
              <w:t>2</w:t>
            </w:r>
          </w:p>
        </w:tc>
        <w:tc>
          <w:tcPr>
            <w:tcW w:w="992" w:type="dxa"/>
            <w:vAlign w:val="center"/>
          </w:tcPr>
          <w:p>
            <w:pPr>
              <w:pStyle w:val="2001"/>
            </w:pPr>
            <w:r>
              <w:rPr>
                <w:rFonts w:hint="eastAsia"/>
              </w:rPr>
              <w:t>305</w:t>
            </w:r>
          </w:p>
        </w:tc>
        <w:tc>
          <w:tcPr>
            <w:tcW w:w="2041" w:type="dxa"/>
            <w:vAlign w:val="center"/>
          </w:tcPr>
          <w:p>
            <w:pPr>
              <w:pStyle w:val="2001"/>
            </w:pPr>
            <w:r>
              <w:rPr>
                <w:rFonts w:hint="eastAsia"/>
              </w:rPr>
              <w:t>现浇混凝土铺面</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c>
          <w:tcPr>
            <w:tcW w:w="675" w:type="dxa"/>
            <w:vAlign w:val="center"/>
          </w:tcPr>
          <w:p>
            <w:pPr>
              <w:pStyle w:val="2001"/>
            </w:pPr>
            <w:r>
              <w:rPr>
                <w:rFonts w:hint="eastAsia"/>
              </w:rPr>
              <w:t>5</w:t>
            </w:r>
          </w:p>
        </w:tc>
        <w:tc>
          <w:tcPr>
            <w:tcW w:w="4111" w:type="dxa"/>
            <w:vAlign w:val="center"/>
          </w:tcPr>
          <w:p>
            <w:pPr>
              <w:pStyle w:val="2001"/>
            </w:pPr>
            <w:r>
              <w:t>集装箱堆场堆箱区</w:t>
            </w:r>
          </w:p>
        </w:tc>
        <w:tc>
          <w:tcPr>
            <w:tcW w:w="709" w:type="dxa"/>
            <w:vAlign w:val="center"/>
          </w:tcPr>
          <w:p>
            <w:pPr>
              <w:pStyle w:val="2001"/>
            </w:pPr>
            <w:r>
              <w:t>m</w:t>
            </w:r>
            <w:r>
              <w:rPr>
                <w:rFonts w:hint="eastAsia"/>
                <w:vertAlign w:val="superscript"/>
              </w:rPr>
              <w:t>2</w:t>
            </w:r>
          </w:p>
        </w:tc>
        <w:tc>
          <w:tcPr>
            <w:tcW w:w="992" w:type="dxa"/>
            <w:vAlign w:val="center"/>
          </w:tcPr>
          <w:p>
            <w:pPr>
              <w:pStyle w:val="2001"/>
            </w:pPr>
            <w:r>
              <w:rPr>
                <w:rFonts w:hint="eastAsia"/>
              </w:rPr>
              <w:t>20480</w:t>
            </w:r>
          </w:p>
        </w:tc>
        <w:tc>
          <w:tcPr>
            <w:tcW w:w="2041" w:type="dxa"/>
            <w:vAlign w:val="center"/>
          </w:tcPr>
          <w:p>
            <w:pPr>
              <w:pStyle w:val="2001"/>
            </w:pPr>
            <w:r>
              <w:rPr>
                <w:rFonts w:hint="eastAsia"/>
              </w:rPr>
              <w:t>箱角基础+箱角间区砼简易铺面</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c>
          <w:tcPr>
            <w:tcW w:w="675" w:type="dxa"/>
            <w:vAlign w:val="center"/>
          </w:tcPr>
          <w:p>
            <w:pPr>
              <w:pStyle w:val="2001"/>
            </w:pPr>
            <w:r>
              <w:rPr>
                <w:rFonts w:hint="eastAsia"/>
              </w:rPr>
              <w:t>6</w:t>
            </w:r>
          </w:p>
        </w:tc>
        <w:tc>
          <w:tcPr>
            <w:tcW w:w="4111" w:type="dxa"/>
            <w:vAlign w:val="center"/>
          </w:tcPr>
          <w:p>
            <w:pPr>
              <w:pStyle w:val="2001"/>
            </w:pPr>
            <w:r>
              <w:t>轨道基础</w:t>
            </w:r>
          </w:p>
        </w:tc>
        <w:tc>
          <w:tcPr>
            <w:tcW w:w="709" w:type="dxa"/>
            <w:vAlign w:val="center"/>
          </w:tcPr>
          <w:p>
            <w:pPr>
              <w:pStyle w:val="2001"/>
            </w:pPr>
            <w:r>
              <w:t>m</w:t>
            </w:r>
          </w:p>
        </w:tc>
        <w:tc>
          <w:tcPr>
            <w:tcW w:w="992" w:type="dxa"/>
            <w:vAlign w:val="center"/>
          </w:tcPr>
          <w:p>
            <w:pPr>
              <w:pStyle w:val="2001"/>
            </w:pPr>
            <w:r>
              <w:rPr>
                <w:rFonts w:hint="eastAsia"/>
              </w:rPr>
              <w:t>4322</w:t>
            </w:r>
          </w:p>
        </w:tc>
        <w:tc>
          <w:tcPr>
            <w:tcW w:w="2041" w:type="dxa"/>
            <w:vAlign w:val="center"/>
          </w:tcPr>
          <w:p>
            <w:pPr>
              <w:pStyle w:val="2001"/>
            </w:pPr>
            <w:r>
              <w:rPr>
                <w:rFonts w:hint="eastAsia"/>
              </w:rPr>
              <w:t>PHC桩基轨道梁</w:t>
            </w:r>
          </w:p>
        </w:tc>
      </w:tr>
      <w:bookmarkEnd w:id="100"/>
      <w:bookmarkEnd w:id="101"/>
      <w:bookmarkEnd w:id="102"/>
    </w:tbl>
    <w:p>
      <w:pPr>
        <w:pStyle w:val="5"/>
        <w:rPr>
          <w:color w:val="000000" w:themeColor="text1"/>
          <w14:textFill>
            <w14:solidFill>
              <w14:schemeClr w14:val="tx1"/>
            </w14:solidFill>
          </w14:textFill>
        </w:rPr>
      </w:pPr>
      <w:bookmarkStart w:id="103" w:name="_Toc160849702"/>
      <w:bookmarkStart w:id="104" w:name="_Toc99875758"/>
      <w:bookmarkStart w:id="105" w:name="_Toc100118323"/>
      <w:bookmarkStart w:id="106" w:name="_Toc91594503"/>
      <w:bookmarkStart w:id="107" w:name="_Toc100061293"/>
      <w:r>
        <w:rPr>
          <w:rFonts w:hint="eastAsia"/>
          <w:color w:val="000000" w:themeColor="text1"/>
          <w14:textFill>
            <w14:solidFill>
              <w14:schemeClr w14:val="tx1"/>
            </w14:solidFill>
          </w14:textFill>
        </w:rPr>
        <w:t>给水排水</w:t>
      </w:r>
    </w:p>
    <w:p>
      <w:pPr>
        <w:pStyle w:val="6"/>
        <w:rPr>
          <w:color w:val="000000" w:themeColor="text1"/>
          <w14:textFill>
            <w14:solidFill>
              <w14:schemeClr w14:val="tx1"/>
            </w14:solidFill>
          </w14:textFill>
        </w:rPr>
      </w:pPr>
      <w:r>
        <w:rPr>
          <w:rFonts w:hint="eastAsia"/>
          <w:color w:val="000000" w:themeColor="text1"/>
          <w14:textFill>
            <w14:solidFill>
              <w14:schemeClr w14:val="tx1"/>
            </w14:solidFill>
          </w14:textFill>
        </w:rPr>
        <w:t>给水</w:t>
      </w:r>
    </w:p>
    <w:p>
      <w:pPr>
        <w:pStyle w:val="1856"/>
        <w:ind w:firstLine="462"/>
        <w:rPr>
          <w:color w:val="000000" w:themeColor="text1"/>
          <w14:textFill>
            <w14:solidFill>
              <w14:schemeClr w14:val="tx1"/>
            </w14:solidFill>
          </w14:textFill>
        </w:rPr>
      </w:pPr>
      <w:r>
        <w:rPr>
          <w:rFonts w:hint="eastAsia"/>
          <w:color w:val="000000" w:themeColor="text1"/>
          <w14:textFill>
            <w14:solidFill>
              <w14:schemeClr w14:val="tx1"/>
            </w14:solidFill>
          </w14:textFill>
        </w:rPr>
        <w:t>本项目生活、消防给水水源来源于钦州港大榄坪港区大榄坪南作业区7、8#泊位工程的供水调节站，接管点位于港区与9、10#泊位交界处，生活给水管径为 DN200，供水压力不小于 0.35Mpa；消防给水管径为DN250，供水压力不小于 0.45Mpa，水质符合《生活饮用水卫生标准》（GB5749-2022）。</w:t>
      </w:r>
    </w:p>
    <w:p>
      <w:pPr>
        <w:pStyle w:val="6"/>
        <w:rPr>
          <w:color w:val="000000" w:themeColor="text1"/>
          <w14:textFill>
            <w14:solidFill>
              <w14:schemeClr w14:val="tx1"/>
            </w14:solidFill>
          </w14:textFill>
        </w:rPr>
      </w:pPr>
      <w:r>
        <w:rPr>
          <w:rFonts w:hint="eastAsia"/>
          <w:color w:val="000000" w:themeColor="text1"/>
          <w14:textFill>
            <w14:solidFill>
              <w14:schemeClr w14:val="tx1"/>
            </w14:solidFill>
          </w14:textFill>
        </w:rPr>
        <w:t>排水</w:t>
      </w:r>
    </w:p>
    <w:p>
      <w:pPr>
        <w:pStyle w:val="1856"/>
        <w:ind w:firstLine="462"/>
        <w:rPr>
          <w:color w:val="000000" w:themeColor="text1"/>
          <w14:textFill>
            <w14:solidFill>
              <w14:schemeClr w14:val="tx1"/>
            </w14:solidFill>
          </w14:textFill>
        </w:rPr>
      </w:pPr>
      <w:r>
        <w:rPr>
          <w:rFonts w:hint="eastAsia"/>
          <w:color w:val="000000" w:themeColor="text1"/>
          <w14:textFill>
            <w14:solidFill>
              <w14:schemeClr w14:val="tx1"/>
            </w14:solidFill>
          </w14:textFill>
        </w:rPr>
        <w:t>本项目港区清洁雨水经排水明沟、暗管收集后直接排入海域；港区生活污水依托7#、8#泊位生活污水处理站进行预处理达到《污水排入城镇下水道水质标准》（GB/T31962-2015）B级标准后排入大榄坪污水处理厂。</w:t>
      </w:r>
    </w:p>
    <w:p>
      <w:pPr>
        <w:pStyle w:val="1856"/>
        <w:ind w:firstLine="462"/>
        <w:rPr>
          <w:color w:val="000000" w:themeColor="text1"/>
          <w:u w:val="single"/>
          <w14:textFill>
            <w14:solidFill>
              <w14:schemeClr w14:val="tx1"/>
            </w14:solidFill>
          </w14:textFill>
        </w:rPr>
      </w:pPr>
      <w:r>
        <w:rPr>
          <w:rFonts w:hint="eastAsia"/>
          <w:color w:val="000000" w:themeColor="text1"/>
          <w:u w:val="single"/>
          <w14:textFill>
            <w14:solidFill>
              <w14:schemeClr w14:val="tx1"/>
            </w14:solidFill>
          </w14:textFill>
        </w:rPr>
        <w:t>根据项目排水平面布置图（详见附图6），港区排水体制采用分流制，清洁雨水经排水明沟和暗管收集后，直接排入海域。其中，码头前沿线后方40～180m范围的码头前沿作业地带进行地基处理，该区域雨水管道采用三级钢筋混凝土管，承插连接，采用混凝土基础，在码头前沿新增1处雨水排放口。码头前沿线180m以后堆场衔接区不进行地基处理及混凝土硬化，于该区域中部设置1处排水明沟，由码头陆域东侧设置1处雨水排放口。</w:t>
      </w:r>
    </w:p>
    <w:p>
      <w:pPr>
        <w:pStyle w:val="5"/>
        <w:rPr>
          <w:color w:val="000000" w:themeColor="text1"/>
          <w14:textFill>
            <w14:solidFill>
              <w14:schemeClr w14:val="tx1"/>
            </w14:solidFill>
          </w14:textFill>
        </w:rPr>
      </w:pPr>
      <w:r>
        <w:rPr>
          <w:rFonts w:hint="eastAsia"/>
          <w:color w:val="000000" w:themeColor="text1"/>
          <w14:textFill>
            <w14:solidFill>
              <w14:schemeClr w14:val="tx1"/>
            </w14:solidFill>
          </w14:textFill>
        </w:rPr>
        <w:t>本次扩建依托工程内容</w:t>
      </w:r>
    </w:p>
    <w:p>
      <w:pPr>
        <w:pStyle w:val="6"/>
        <w:rPr>
          <w:color w:val="000000" w:themeColor="text1"/>
          <w14:textFill>
            <w14:solidFill>
              <w14:schemeClr w14:val="tx1"/>
            </w14:solidFill>
          </w14:textFill>
        </w:rPr>
      </w:pPr>
      <w:r>
        <w:rPr>
          <w:rFonts w:hint="eastAsia"/>
          <w:color w:val="000000" w:themeColor="text1"/>
          <w14:textFill>
            <w14:solidFill>
              <w14:schemeClr w14:val="tx1"/>
            </w14:solidFill>
          </w14:textFill>
        </w:rPr>
        <w:t>陆域形成</w:t>
      </w:r>
    </w:p>
    <w:p>
      <w:pPr>
        <w:pStyle w:val="7"/>
      </w:pPr>
      <w:r>
        <w:rPr>
          <w:rFonts w:hint="eastAsia"/>
        </w:rPr>
        <w:t>1、陆域形成围填海用海手续及合法性说明</w:t>
      </w:r>
    </w:p>
    <w:p>
      <w:pPr>
        <w:pStyle w:val="1856"/>
        <w:ind w:firstLine="462"/>
        <w:rPr>
          <w:color w:val="000000" w:themeColor="text1"/>
          <w14:textFill>
            <w14:solidFill>
              <w14:schemeClr w14:val="tx1"/>
            </w14:solidFill>
          </w14:textFill>
        </w:rPr>
      </w:pPr>
      <w:r>
        <w:rPr>
          <w:rFonts w:hint="eastAsia"/>
          <w:color w:val="000000" w:themeColor="text1"/>
          <w14:textFill>
            <w14:solidFill>
              <w14:schemeClr w14:val="tx1"/>
            </w14:solidFill>
          </w14:textFill>
        </w:rPr>
        <w:t>本次扩建不新增围填海，陆域形成的未回填区域依托钦州保税港区昊鼎仓储物流中心项目，该项目于2009年9月取得广西壮族自治区海洋局《关于〈昊鼎仓储物流中心项目海洋环境影响报告表〉核准意见的函》（桂海函〔2009〕165号），根据核准意见，项目建设用地38.9219hm</w:t>
      </w:r>
      <w:r>
        <w:rPr>
          <w:rFonts w:hint="eastAsia"/>
          <w:color w:val="000000" w:themeColor="text1"/>
          <w:vertAlign w:val="superscript"/>
          <w14:textFill>
            <w14:solidFill>
              <w14:schemeClr w14:val="tx1"/>
            </w14:solidFill>
          </w14:textFill>
        </w:rPr>
        <w:t>2</w:t>
      </w:r>
      <w:r>
        <w:rPr>
          <w:rFonts w:hint="eastAsia"/>
          <w:color w:val="000000" w:themeColor="text1"/>
          <w14:textFill>
            <w14:solidFill>
              <w14:schemeClr w14:val="tx1"/>
            </w14:solidFill>
          </w14:textFill>
        </w:rPr>
        <w:t>，全部由填海完成，从海洋环境保护角度分析，同意该工程建设。</w:t>
      </w:r>
    </w:p>
    <w:p>
      <w:pPr>
        <w:pStyle w:val="1856"/>
        <w:ind w:firstLine="462"/>
        <w:rPr>
          <w:color w:val="000000" w:themeColor="text1"/>
          <w14:textFill>
            <w14:solidFill>
              <w14:schemeClr w14:val="tx1"/>
            </w14:solidFill>
          </w14:textFill>
        </w:rPr>
      </w:pPr>
      <w:r>
        <w:rPr>
          <w:rFonts w:hint="eastAsia"/>
          <w:color w:val="000000" w:themeColor="text1"/>
          <w14:textFill>
            <w14:solidFill>
              <w14:schemeClr w14:val="tx1"/>
            </w14:solidFill>
          </w14:textFill>
        </w:rPr>
        <w:t>该项目建设单位广西钦州保税港区开发投资有限责任公司于2009年12月取得钦州保税港区昊鼎仓储物流中心项目海域使用权证书（国海证09400029号），并于2010年开始围填海，至2020年陆续完成9号10号现有泊位区域围填海，但仍有部分海域处于批而未填的状态。</w:t>
      </w:r>
    </w:p>
    <w:p>
      <w:pPr>
        <w:pStyle w:val="1856"/>
        <w:ind w:firstLine="462"/>
        <w:rPr>
          <w:color w:val="000000" w:themeColor="text1"/>
          <w14:textFill>
            <w14:solidFill>
              <w14:schemeClr w14:val="tx1"/>
            </w14:solidFill>
          </w14:textFill>
        </w:rPr>
      </w:pPr>
      <w:r>
        <w:rPr>
          <w:rFonts w:hint="eastAsia"/>
          <w:color w:val="000000" w:themeColor="text1"/>
          <w14:textFill>
            <w14:solidFill>
              <w14:schemeClr w14:val="tx1"/>
            </w14:solidFill>
          </w14:textFill>
        </w:rPr>
        <w:t>2018年国务院发布《国务院关于加强滨海湿地保护严格管控围填海的通知》（国发〔2018〕24 号），提出要加快处理围填海历史遗留问题。钦州保税港区昊鼎仓储物流中心项目已批复宗海范围38.9219hm</w:t>
      </w:r>
      <w:r>
        <w:rPr>
          <w:rFonts w:hint="eastAsia"/>
          <w:color w:val="000000" w:themeColor="text1"/>
          <w:vertAlign w:val="superscript"/>
          <w14:textFill>
            <w14:solidFill>
              <w14:schemeClr w14:val="tx1"/>
            </w14:solidFill>
          </w14:textFill>
        </w:rPr>
        <w:t>2</w:t>
      </w:r>
      <w:r>
        <w:rPr>
          <w:rFonts w:hint="eastAsia"/>
          <w:color w:val="000000" w:themeColor="text1"/>
          <w14:textFill>
            <w14:solidFill>
              <w14:schemeClr w14:val="tx1"/>
            </w14:solidFill>
          </w14:textFill>
        </w:rPr>
        <w:t>填海未完成，由此造成了钦州保税港区昊鼎仓储物流中心项目围填海历史遗留问题（图斑号：450702-0253-02）。</w:t>
      </w:r>
    </w:p>
    <w:p>
      <w:pPr>
        <w:pStyle w:val="1856"/>
        <w:ind w:firstLine="462"/>
        <w:rPr>
          <w:color w:val="000000" w:themeColor="text1"/>
          <w14:textFill>
            <w14:solidFill>
              <w14:schemeClr w14:val="tx1"/>
            </w14:solidFill>
          </w14:textFill>
        </w:rPr>
      </w:pPr>
      <w:r>
        <w:rPr>
          <w:rFonts w:hint="eastAsia"/>
          <w:color w:val="000000" w:themeColor="text1"/>
          <w14:textFill>
            <w14:solidFill>
              <w14:schemeClr w14:val="tx1"/>
            </w14:solidFill>
          </w14:textFill>
        </w:rPr>
        <w:t>钦州保税港区昊鼎仓储物流中心项目批而未填海域的使用权于2019年12月均已划拨为广西钦州保税港区宏港码头有限公司，其中9.9hm</w:t>
      </w:r>
      <w:r>
        <w:rPr>
          <w:rFonts w:hint="eastAsia"/>
          <w:color w:val="000000" w:themeColor="text1"/>
          <w:vertAlign w:val="superscript"/>
          <w14:textFill>
            <w14:solidFill>
              <w14:schemeClr w14:val="tx1"/>
            </w14:solidFill>
          </w14:textFill>
        </w:rPr>
        <w:t>2</w:t>
      </w:r>
      <w:r>
        <w:rPr>
          <w:rFonts w:hint="eastAsia"/>
          <w:color w:val="000000" w:themeColor="text1"/>
          <w14:textFill>
            <w14:solidFill>
              <w14:schemeClr w14:val="tx1"/>
            </w14:solidFill>
          </w14:textFill>
        </w:rPr>
        <w:t>为本次9号10号扩建泊位未回填区域，宗海区域用海项目分布见图2.2-9，并取得不动产权证编号：桂（2019）钦州市不动产权第0181131号（详见附件8）。</w:t>
      </w:r>
    </w:p>
    <w:p>
      <w:pPr>
        <w:pStyle w:val="1856"/>
        <w:ind w:firstLine="462"/>
        <w:rPr>
          <w:color w:val="000000" w:themeColor="text1"/>
          <w14:textFill>
            <w14:solidFill>
              <w14:schemeClr w14:val="tx1"/>
            </w14:solidFill>
          </w14:textFill>
        </w:rPr>
      </w:pPr>
      <w:r>
        <w:rPr>
          <w:rFonts w:hint="eastAsia"/>
          <w:color w:val="000000" w:themeColor="text1"/>
          <w14:textFill>
            <w14:solidFill>
              <w14:schemeClr w14:val="tx1"/>
            </w14:solidFill>
          </w14:textFill>
        </w:rPr>
        <w:t>2023年11月钦州保税港区昊鼎仓储物流中心项目取得《广西壮族自治区海洋局关于钦州保税港区昊鼎仓储物流中心项目继续填海有关事项的批复》（桂海函</w:t>
      </w:r>
      <w:r>
        <w:rPr>
          <w:color w:val="000000" w:themeColor="text1"/>
          <w14:textFill>
            <w14:solidFill>
              <w14:schemeClr w14:val="tx1"/>
            </w14:solidFill>
          </w14:textFill>
        </w:rPr>
        <w:t>〔20</w:t>
      </w:r>
      <w:r>
        <w:rPr>
          <w:rFonts w:hint="eastAsia"/>
          <w:color w:val="000000" w:themeColor="text1"/>
          <w14:textFill>
            <w14:solidFill>
              <w14:schemeClr w14:val="tx1"/>
            </w14:solidFill>
          </w14:textFill>
        </w:rPr>
        <w:t>23</w:t>
      </w:r>
      <w:r>
        <w:rPr>
          <w:color w:val="000000" w:themeColor="text1"/>
          <w14:textFill>
            <w14:solidFill>
              <w14:schemeClr w14:val="tx1"/>
            </w14:solidFill>
          </w14:textFill>
        </w:rPr>
        <w:t>〕年</w:t>
      </w:r>
      <w:r>
        <w:rPr>
          <w:rFonts w:hint="eastAsia"/>
          <w:color w:val="000000" w:themeColor="text1"/>
          <w14:textFill>
            <w14:solidFill>
              <w14:schemeClr w14:val="tx1"/>
            </w14:solidFill>
          </w14:textFill>
        </w:rPr>
        <w:t>790号，附件6），批复相关事项如下：鉴于钦州保税港区昊鼎仓储物流中心项目已部分填海，为完善项目功能，允许在尚未完成填海的22.8591公顷范围内继续实施填海，需最大限度控制填海面积，不得超范围填海。未经批准不得改变海域用途，如需转让海域使用权，需依法依规办理相关手续；填海完成期限不得超过2025年底；严格按照原用海批准文件的要求节约集约使用海域资源，围填海需符合国家政策，不得用于房地产开发、低水平重复建设旅游休闲娱乐项目及污染海洋生态环境的项目；严格按照自然资源部办公厅关于已批准但尚未完成围填海项目处置文件的要求，督促项目建设单位完善相关手续，切实履行生态保护责任，并依法依规按照项目生态保护修复方案落实各项生态补偿措施，由钦州市海洋局监督落实。</w:t>
      </w:r>
    </w:p>
    <w:p>
      <w:pPr>
        <w:pStyle w:val="7"/>
      </w:pPr>
    </w:p>
    <w:p>
      <w:pPr>
        <w:pStyle w:val="553"/>
        <w:rPr>
          <w:color w:val="000000" w:themeColor="text1"/>
          <w14:textFill>
            <w14:solidFill>
              <w14:schemeClr w14:val="tx1"/>
            </w14:solidFill>
          </w14:textFill>
        </w:rPr>
      </w:pPr>
      <w:r>
        <w:rPr>
          <w:rFonts w:hint="eastAsia"/>
          <w:color w:val="000000" w:themeColor="text1"/>
          <w14:textFill>
            <w14:solidFill>
              <w14:schemeClr w14:val="tx1"/>
            </w14:solidFill>
          </w14:textFill>
        </w:rPr>
        <w:t>昊鼎仓储物流中心已填及未填区域位置关系图</w:t>
      </w:r>
    </w:p>
    <w:p>
      <w:pPr>
        <w:widowControl/>
        <w:ind w:firstLine="462" w:firstLineChars="200"/>
        <w:jc w:val="left"/>
        <w:rPr>
          <w:rFonts w:ascii="宋体" w:hAnsi="宋体" w:cs="宋体"/>
          <w:color w:val="000000" w:themeColor="text1"/>
          <w:kern w:val="0"/>
          <w14:textFill>
            <w14:solidFill>
              <w14:schemeClr w14:val="tx1"/>
            </w14:solidFill>
          </w14:textFill>
        </w:rPr>
      </w:pPr>
      <w:r>
        <w:rPr>
          <w:rFonts w:hint="eastAsia"/>
          <w:color w:val="000000" w:themeColor="text1"/>
          <w14:textFill>
            <w14:solidFill>
              <w14:schemeClr w14:val="tx1"/>
            </w14:solidFill>
          </w14:textFill>
        </w:rPr>
        <w:t>综上，本项目陆域形成依托上述钦州港保税区昊鼎仓储物流中心项目，该项目填海后的不动产权已划转至本项目建设单位，该项目已取得广西壮族自治区海洋局关于项目环评的核准意见。并按照广西壮族自治区海洋局2023年关于继续围填海的意见，编制《钦州港保税区昊鼎仓储物流中心项目围填海历史遗留问题生态保护修复方案》及《钦州港保税区昊鼎仓储物流中心项目围填海历史遗留问题生态评估报告》，围填海陆域形成后作为本项目自动化集装箱码头不属于房地产开发及低水平重复建设的休闲娱乐项目及污染海洋生态环境的项目，符合《广西壮族自治区海洋局关于钦州保税港区昊鼎仓储物流中心项目继续填海有关事项的批复》（桂海函</w:t>
      </w:r>
      <w:r>
        <w:rPr>
          <w:color w:val="000000" w:themeColor="text1"/>
          <w14:textFill>
            <w14:solidFill>
              <w14:schemeClr w14:val="tx1"/>
            </w14:solidFill>
          </w14:textFill>
        </w:rPr>
        <w:t>〔20</w:t>
      </w:r>
      <w:r>
        <w:rPr>
          <w:rFonts w:hint="eastAsia"/>
          <w:color w:val="000000" w:themeColor="text1"/>
          <w14:textFill>
            <w14:solidFill>
              <w14:schemeClr w14:val="tx1"/>
            </w14:solidFill>
          </w14:textFill>
        </w:rPr>
        <w:t>23〕790号）中有关事项的要求</w:t>
      </w:r>
      <w:r>
        <w:rPr>
          <w:rFonts w:hint="eastAsia"/>
          <w:color w:val="000000" w:themeColor="text1"/>
          <w:lang w:eastAsia="zh-CN"/>
          <w14:textFill>
            <w14:solidFill>
              <w14:schemeClr w14:val="tx1"/>
            </w14:solidFill>
          </w14:textFill>
        </w:rPr>
        <w:t>，</w:t>
      </w:r>
      <w:r>
        <w:rPr>
          <w:rFonts w:hint="eastAsia"/>
          <w:color w:val="000000" w:themeColor="text1"/>
          <w14:textFill>
            <w14:solidFill>
              <w14:schemeClr w14:val="tx1"/>
            </w14:solidFill>
          </w14:textFill>
        </w:rPr>
        <w:t>项目陆域形成依托该项目建设可行。</w:t>
      </w:r>
      <w:r>
        <w:rPr>
          <w:rFonts w:hint="eastAsia" w:ascii="宋体" w:hAnsi="宋体" w:cs="宋体"/>
          <w:color w:val="000000" w:themeColor="text1"/>
          <w:kern w:val="0"/>
          <w14:textFill>
            <w14:solidFill>
              <w14:schemeClr w14:val="tx1"/>
            </w14:solidFill>
          </w14:textFill>
        </w:rPr>
        <w:t xml:space="preserve"> </w:t>
      </w:r>
    </w:p>
    <w:p>
      <w:pPr>
        <w:pStyle w:val="1856"/>
        <w:ind w:firstLine="462"/>
        <w:rPr>
          <w:color w:val="000000" w:themeColor="text1"/>
          <w:u w:val="single"/>
          <w14:textFill>
            <w14:solidFill>
              <w14:schemeClr w14:val="tx1"/>
            </w14:solidFill>
          </w14:textFill>
        </w:rPr>
      </w:pPr>
      <w:r>
        <w:rPr>
          <w:rFonts w:hint="eastAsia"/>
          <w:color w:val="000000" w:themeColor="text1"/>
          <w:u w:val="single"/>
          <w14:textFill>
            <w14:solidFill>
              <w14:schemeClr w14:val="tx1"/>
            </w14:solidFill>
          </w14:textFill>
        </w:rPr>
        <w:t>昊鼎仓储物流中心项目尚未完成填海的22.8591公顷均未开工建设，昊鼎仓储物流中心项目围填海工程与本项目同期进行，本项目进行水工建筑物形成和疏浚作业的同时开展围填海工程的吹填作业，依托工程陆域形成后进行本项目地基处理、道路、堆场形成及给水排水布置。</w:t>
      </w:r>
    </w:p>
    <w:p>
      <w:pPr>
        <w:pStyle w:val="1856"/>
        <w:ind w:firstLine="464"/>
        <w:rPr>
          <w:b/>
          <w:color w:val="000000" w:themeColor="text1"/>
          <w14:textFill>
            <w14:solidFill>
              <w14:schemeClr w14:val="tx1"/>
            </w14:solidFill>
          </w14:textFill>
        </w:rPr>
      </w:pPr>
      <w:r>
        <w:rPr>
          <w:rFonts w:hint="eastAsia"/>
          <w:b/>
          <w:color w:val="000000" w:themeColor="text1"/>
          <w14:textFill>
            <w14:solidFill>
              <w14:schemeClr w14:val="tx1"/>
            </w14:solidFill>
          </w14:textFill>
        </w:rPr>
        <w:t>2、陆域形成围填海宗海范围</w:t>
      </w:r>
    </w:p>
    <w:p>
      <w:pPr>
        <w:pStyle w:val="1856"/>
        <w:ind w:firstLine="462"/>
        <w:rPr>
          <w:color w:val="000000" w:themeColor="text1"/>
          <w14:textFill>
            <w14:solidFill>
              <w14:schemeClr w14:val="tx1"/>
            </w14:solidFill>
          </w14:textFill>
        </w:rPr>
      </w:pPr>
      <w:r>
        <w:rPr>
          <w:rFonts w:hint="eastAsia"/>
          <w:color w:val="000000" w:themeColor="text1"/>
          <w14:textFill>
            <w14:solidFill>
              <w14:schemeClr w14:val="tx1"/>
            </w14:solidFill>
          </w14:textFill>
        </w:rPr>
        <w:t>本工程为9号10号泊位扩建工程，现有9号10号泊位工程处于钦州保税港区（国海证104500028号）、钦州保税港区宏远物流配送中心项目（国海证094500028 号）、钦州保税港区昊鼎仓储物流中心项目（国海证094500029号）的三宗用海项目宗海范围内。</w:t>
      </w:r>
    </w:p>
    <w:p>
      <w:pPr>
        <w:pStyle w:val="1856"/>
        <w:ind w:firstLine="462"/>
        <w:rPr>
          <w:color w:val="000000" w:themeColor="text1"/>
          <w14:textFill>
            <w14:solidFill>
              <w14:schemeClr w14:val="tx1"/>
            </w14:solidFill>
          </w14:textFill>
        </w:rPr>
      </w:pPr>
      <w:r>
        <w:rPr>
          <w:rFonts w:hint="eastAsia"/>
          <w:color w:val="000000" w:themeColor="text1"/>
          <w:u w:val="single"/>
          <w14:textFill>
            <w14:solidFill>
              <w14:schemeClr w14:val="tx1"/>
            </w14:solidFill>
          </w14:textFill>
        </w:rPr>
        <w:t>本次扩建工程陆域处于钦州保税港区宏泰仓储项目、钦州保税港区昊鼎仓储物流中心项目宗海范围内（不包含22号堆场），其中2.49hm</w:t>
      </w:r>
      <w:r>
        <w:rPr>
          <w:rFonts w:hint="eastAsia"/>
          <w:color w:val="000000" w:themeColor="text1"/>
          <w:u w:val="single"/>
          <w:vertAlign w:val="superscript"/>
          <w14:textFill>
            <w14:solidFill>
              <w14:schemeClr w14:val="tx1"/>
            </w14:solidFill>
          </w14:textFill>
        </w:rPr>
        <w:t>2</w:t>
      </w:r>
      <w:r>
        <w:rPr>
          <w:rFonts w:hint="eastAsia"/>
          <w:color w:val="000000" w:themeColor="text1"/>
          <w:u w:val="single"/>
          <w14:textFill>
            <w14:solidFill>
              <w14:schemeClr w14:val="tx1"/>
            </w14:solidFill>
          </w14:textFill>
        </w:rPr>
        <w:t>属于钦州保税港区宏泰仓储项目，已完成围填海施工；18.14hm</w:t>
      </w:r>
      <w:r>
        <w:rPr>
          <w:rFonts w:hint="eastAsia"/>
          <w:color w:val="000000" w:themeColor="text1"/>
          <w:u w:val="single"/>
          <w:vertAlign w:val="superscript"/>
          <w14:textFill>
            <w14:solidFill>
              <w14:schemeClr w14:val="tx1"/>
            </w14:solidFill>
          </w14:textFill>
        </w:rPr>
        <w:t>2</w:t>
      </w:r>
      <w:r>
        <w:rPr>
          <w:rFonts w:hint="eastAsia"/>
          <w:color w:val="000000" w:themeColor="text1"/>
          <w:u w:val="single"/>
          <w14:textFill>
            <w14:solidFill>
              <w14:schemeClr w14:val="tx1"/>
            </w14:solidFill>
          </w14:textFill>
        </w:rPr>
        <w:t>属于钦州港保税区昊鼎仓储物流中心项目， 8</w:t>
      </w:r>
      <w:r>
        <w:rPr>
          <w:color w:val="000000" w:themeColor="text1"/>
          <w:u w:val="single"/>
          <w14:textFill>
            <w14:solidFill>
              <w14:schemeClr w14:val="tx1"/>
            </w14:solidFill>
          </w14:textFill>
        </w:rPr>
        <w:t>.24</w:t>
      </w:r>
      <w:r>
        <w:rPr>
          <w:color w:val="000000" w:themeColor="text1"/>
          <w:u w:val="single"/>
          <w:lang w:val="en-US"/>
          <w14:textFill>
            <w14:solidFill>
              <w14:schemeClr w14:val="tx1"/>
            </w14:solidFill>
          </w14:textFill>
        </w:rPr>
        <w:t xml:space="preserve"> hm</w:t>
      </w:r>
      <w:r>
        <w:rPr>
          <w:rFonts w:hint="eastAsia"/>
          <w:color w:val="000000" w:themeColor="text1"/>
          <w:u w:val="single"/>
          <w:vertAlign w:val="superscript"/>
          <w:lang w:val="en-US"/>
          <w14:textFill>
            <w14:solidFill>
              <w14:schemeClr w14:val="tx1"/>
            </w14:solidFill>
          </w14:textFill>
        </w:rPr>
        <w:t>2</w:t>
      </w:r>
      <w:r>
        <w:rPr>
          <w:rFonts w:hint="eastAsia"/>
          <w:color w:val="000000" w:themeColor="text1"/>
          <w:u w:val="single"/>
          <w:lang w:val="en-US"/>
          <w14:textFill>
            <w14:solidFill>
              <w14:schemeClr w14:val="tx1"/>
            </w14:solidFill>
          </w14:textFill>
        </w:rPr>
        <w:t>已完成围填海施工，9</w:t>
      </w:r>
      <w:r>
        <w:rPr>
          <w:color w:val="000000" w:themeColor="text1"/>
          <w:u w:val="single"/>
          <w:lang w:val="en-US"/>
          <w14:textFill>
            <w14:solidFill>
              <w14:schemeClr w14:val="tx1"/>
            </w14:solidFill>
          </w14:textFill>
        </w:rPr>
        <w:t>.9 hm</w:t>
      </w:r>
      <w:r>
        <w:rPr>
          <w:rFonts w:hint="eastAsia"/>
          <w:color w:val="000000" w:themeColor="text1"/>
          <w:u w:val="single"/>
          <w:vertAlign w:val="superscript"/>
          <w:lang w:val="en-US"/>
          <w14:textFill>
            <w14:solidFill>
              <w14:schemeClr w14:val="tx1"/>
            </w14:solidFill>
          </w14:textFill>
        </w:rPr>
        <w:t>2</w:t>
      </w:r>
      <w:r>
        <w:rPr>
          <w:rFonts w:hint="eastAsia"/>
          <w:color w:val="000000" w:themeColor="text1"/>
          <w:u w:val="single"/>
          <w:lang w:val="en-US"/>
          <w14:textFill>
            <w14:solidFill>
              <w14:schemeClr w14:val="tx1"/>
            </w14:solidFill>
          </w14:textFill>
        </w:rPr>
        <w:t>为未填海区域</w:t>
      </w:r>
      <w:r>
        <w:rPr>
          <w:rFonts w:hint="eastAsia"/>
          <w:color w:val="000000" w:themeColor="text1"/>
          <w:u w:val="single"/>
          <w14:textFill>
            <w14:solidFill>
              <w14:schemeClr w14:val="tx1"/>
            </w14:solidFill>
          </w14:textFill>
        </w:rPr>
        <w:t>。该两项目于2019年12月31日分别获取了国家海洋局颁发的海域使用权证书，宗海使用权已划转给广西钦州保税港区宏港码头有限公司，用海权属明确。</w:t>
      </w:r>
      <w:r>
        <w:rPr>
          <w:rFonts w:hint="eastAsia"/>
          <w:color w:val="000000" w:themeColor="text1"/>
          <w14:textFill>
            <w14:solidFill>
              <w14:schemeClr w14:val="tx1"/>
            </w14:solidFill>
          </w14:textFill>
        </w:rPr>
        <w:t>本次扩建陆域形成宗海范围见图2.2-9，陆域形成宗海权属情况见表2.2-11。</w:t>
      </w:r>
    </w:p>
    <w:p>
      <w:pPr>
        <w:pStyle w:val="384"/>
        <w:ind w:left="0" w:firstLine="0"/>
        <w:rPr>
          <w:rFonts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陆域形成宗海权属表</w:t>
      </w:r>
    </w:p>
    <w:tbl>
      <w:tblPr>
        <w:tblStyle w:val="89"/>
        <w:tblW w:w="8528" w:type="dxa"/>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779"/>
        <w:gridCol w:w="4317"/>
        <w:gridCol w:w="1890"/>
        <w:gridCol w:w="1542"/>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95" w:hRule="atLeast"/>
          <w:tblHeader/>
        </w:trPr>
        <w:tc>
          <w:tcPr>
            <w:tcW w:w="779" w:type="dxa"/>
            <w:vAlign w:val="center"/>
          </w:tcPr>
          <w:p>
            <w:pPr>
              <w:pStyle w:val="2001"/>
            </w:pPr>
            <w:r>
              <w:rPr>
                <w:rFonts w:hint="eastAsia"/>
              </w:rPr>
              <w:t>序号</w:t>
            </w:r>
          </w:p>
        </w:tc>
        <w:tc>
          <w:tcPr>
            <w:tcW w:w="4317" w:type="dxa"/>
            <w:vAlign w:val="center"/>
          </w:tcPr>
          <w:p>
            <w:pPr>
              <w:pStyle w:val="2001"/>
            </w:pPr>
            <w:r>
              <w:rPr>
                <w:rFonts w:hint="eastAsia"/>
              </w:rPr>
              <w:t>宗海所属项目</w:t>
            </w:r>
          </w:p>
        </w:tc>
        <w:tc>
          <w:tcPr>
            <w:tcW w:w="1890" w:type="dxa"/>
            <w:vAlign w:val="center"/>
          </w:tcPr>
          <w:p>
            <w:pPr>
              <w:pStyle w:val="2001"/>
            </w:pPr>
            <w:r>
              <w:rPr>
                <w:rFonts w:hint="eastAsia"/>
              </w:rPr>
              <w:t>用</w:t>
            </w:r>
            <w:r>
              <w:t>海面积</w:t>
            </w:r>
            <w:r>
              <w:rPr>
                <w:rFonts w:hint="eastAsia"/>
              </w:rPr>
              <w:t>（</w:t>
            </w:r>
            <w:r>
              <w:t>hm</w:t>
            </w:r>
            <w:r>
              <w:rPr>
                <w:rFonts w:hint="eastAsia"/>
                <w:vertAlign w:val="superscript"/>
              </w:rPr>
              <w:t>2</w:t>
            </w:r>
            <w:r>
              <w:rPr>
                <w:rFonts w:hint="eastAsia"/>
              </w:rPr>
              <w:t>）</w:t>
            </w:r>
          </w:p>
        </w:tc>
        <w:tc>
          <w:tcPr>
            <w:tcW w:w="1542" w:type="dxa"/>
            <w:vAlign w:val="center"/>
          </w:tcPr>
          <w:p>
            <w:pPr>
              <w:pStyle w:val="2001"/>
            </w:pPr>
            <w:r>
              <w:rPr>
                <w:rFonts w:hint="eastAsia"/>
              </w:rPr>
              <w:t>围填海情况</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c>
          <w:tcPr>
            <w:tcW w:w="779" w:type="dxa"/>
            <w:vAlign w:val="center"/>
          </w:tcPr>
          <w:p>
            <w:pPr>
              <w:pStyle w:val="2001"/>
            </w:pPr>
            <w:r>
              <w:rPr>
                <w:rFonts w:hint="eastAsia"/>
              </w:rPr>
              <w:t>1</w:t>
            </w:r>
          </w:p>
        </w:tc>
        <w:tc>
          <w:tcPr>
            <w:tcW w:w="4317" w:type="dxa"/>
            <w:vAlign w:val="center"/>
          </w:tcPr>
          <w:p>
            <w:pPr>
              <w:pStyle w:val="2001"/>
            </w:pPr>
            <w:r>
              <w:rPr>
                <w:rFonts w:hint="eastAsia"/>
              </w:rPr>
              <w:t>钦州保税港区宏泰仓储项目</w:t>
            </w:r>
          </w:p>
        </w:tc>
        <w:tc>
          <w:tcPr>
            <w:tcW w:w="1890" w:type="dxa"/>
            <w:vAlign w:val="center"/>
          </w:tcPr>
          <w:p>
            <w:pPr>
              <w:pStyle w:val="2001"/>
            </w:pPr>
            <w:r>
              <w:rPr>
                <w:rFonts w:hint="eastAsia"/>
              </w:rPr>
              <w:t>2.49</w:t>
            </w:r>
          </w:p>
        </w:tc>
        <w:tc>
          <w:tcPr>
            <w:tcW w:w="1542" w:type="dxa"/>
            <w:vAlign w:val="center"/>
          </w:tcPr>
          <w:p>
            <w:pPr>
              <w:pStyle w:val="2001"/>
            </w:pPr>
            <w:r>
              <w:t>已填海</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c>
          <w:tcPr>
            <w:tcW w:w="779" w:type="dxa"/>
            <w:vAlign w:val="center"/>
          </w:tcPr>
          <w:p>
            <w:pPr>
              <w:pStyle w:val="2001"/>
            </w:pPr>
            <w:r>
              <w:rPr>
                <w:rFonts w:hint="eastAsia"/>
              </w:rPr>
              <w:t>2</w:t>
            </w:r>
          </w:p>
        </w:tc>
        <w:tc>
          <w:tcPr>
            <w:tcW w:w="4317" w:type="dxa"/>
            <w:vMerge w:val="restart"/>
            <w:vAlign w:val="center"/>
          </w:tcPr>
          <w:p>
            <w:pPr>
              <w:pStyle w:val="2001"/>
            </w:pPr>
            <w:r>
              <w:rPr>
                <w:rFonts w:hint="eastAsia"/>
              </w:rPr>
              <w:t>钦州保税港区昊鼎仓储物流中心项目</w:t>
            </w:r>
          </w:p>
        </w:tc>
        <w:tc>
          <w:tcPr>
            <w:tcW w:w="1890" w:type="dxa"/>
            <w:vAlign w:val="center"/>
          </w:tcPr>
          <w:p>
            <w:pPr>
              <w:pStyle w:val="2001"/>
            </w:pPr>
            <w:r>
              <w:rPr>
                <w:rFonts w:hint="eastAsia"/>
              </w:rPr>
              <w:t>8.24</w:t>
            </w:r>
          </w:p>
        </w:tc>
        <w:tc>
          <w:tcPr>
            <w:tcW w:w="1542" w:type="dxa"/>
            <w:vAlign w:val="center"/>
          </w:tcPr>
          <w:p>
            <w:pPr>
              <w:pStyle w:val="2001"/>
            </w:pPr>
            <w:r>
              <w:t>已填海</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c>
          <w:tcPr>
            <w:tcW w:w="779" w:type="dxa"/>
            <w:vAlign w:val="center"/>
          </w:tcPr>
          <w:p>
            <w:pPr>
              <w:pStyle w:val="2001"/>
            </w:pPr>
            <w:r>
              <w:rPr>
                <w:rFonts w:hint="eastAsia"/>
              </w:rPr>
              <w:t>3</w:t>
            </w:r>
          </w:p>
        </w:tc>
        <w:tc>
          <w:tcPr>
            <w:tcW w:w="4317" w:type="dxa"/>
            <w:vMerge w:val="continue"/>
            <w:vAlign w:val="center"/>
          </w:tcPr>
          <w:p>
            <w:pPr>
              <w:pStyle w:val="2001"/>
            </w:pPr>
          </w:p>
        </w:tc>
        <w:tc>
          <w:tcPr>
            <w:tcW w:w="1890" w:type="dxa"/>
            <w:vAlign w:val="center"/>
          </w:tcPr>
          <w:p>
            <w:pPr>
              <w:pStyle w:val="2001"/>
            </w:pPr>
            <w:r>
              <w:rPr>
                <w:rFonts w:hint="eastAsia"/>
              </w:rPr>
              <w:t>9.9</w:t>
            </w:r>
          </w:p>
        </w:tc>
        <w:tc>
          <w:tcPr>
            <w:tcW w:w="1542" w:type="dxa"/>
            <w:vAlign w:val="center"/>
          </w:tcPr>
          <w:p>
            <w:pPr>
              <w:pStyle w:val="2001"/>
            </w:pPr>
            <w:r>
              <w:rPr>
                <w:rFonts w:hint="eastAsia"/>
              </w:rPr>
              <w:t>本次</w:t>
            </w:r>
            <w:r>
              <w:t>填海</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c>
          <w:tcPr>
            <w:tcW w:w="5096" w:type="dxa"/>
            <w:gridSpan w:val="2"/>
            <w:vAlign w:val="center"/>
          </w:tcPr>
          <w:p>
            <w:pPr>
              <w:pStyle w:val="2001"/>
            </w:pPr>
            <w:r>
              <w:rPr>
                <w:rFonts w:hint="eastAsia"/>
              </w:rPr>
              <w:t>合计</w:t>
            </w:r>
          </w:p>
        </w:tc>
        <w:tc>
          <w:tcPr>
            <w:tcW w:w="1890" w:type="dxa"/>
            <w:vAlign w:val="center"/>
          </w:tcPr>
          <w:p>
            <w:pPr>
              <w:pStyle w:val="2001"/>
            </w:pPr>
            <w:r>
              <w:rPr>
                <w:rFonts w:hint="eastAsia"/>
              </w:rPr>
              <w:t>20.63</w:t>
            </w:r>
          </w:p>
        </w:tc>
        <w:tc>
          <w:tcPr>
            <w:tcW w:w="1542" w:type="dxa"/>
            <w:vAlign w:val="center"/>
          </w:tcPr>
          <w:p>
            <w:pPr>
              <w:pStyle w:val="2001"/>
            </w:pPr>
            <w:r>
              <w:rPr>
                <w:rFonts w:hint="eastAsia"/>
              </w:rPr>
              <w:t>-</w:t>
            </w:r>
          </w:p>
        </w:tc>
      </w:tr>
    </w:tbl>
    <w:p>
      <w:pPr>
        <w:pStyle w:val="7"/>
      </w:pPr>
    </w:p>
    <w:tbl>
      <w:tblPr>
        <w:tblStyle w:val="89"/>
        <w:tblW w:w="852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52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8528" w:type="dxa"/>
            <w:tcBorders>
              <w:top w:val="nil"/>
              <w:left w:val="nil"/>
              <w:bottom w:val="nil"/>
              <w:right w:val="nil"/>
            </w:tcBorders>
            <w:vAlign w:val="center"/>
          </w:tcPr>
          <w:p>
            <w:pPr>
              <w:pStyle w:val="7"/>
            </w:pPr>
          </w:p>
          <w:p>
            <w:pPr>
              <w:pStyle w:val="553"/>
              <w:rPr>
                <w:color w:val="000000" w:themeColor="text1"/>
                <w14:textFill>
                  <w14:solidFill>
                    <w14:schemeClr w14:val="tx1"/>
                  </w14:solidFill>
                </w14:textFill>
              </w:rPr>
            </w:pPr>
            <w:r>
              <w:rPr>
                <w:rFonts w:hint="eastAsia"/>
                <w:color w:val="000000" w:themeColor="text1"/>
                <w14:textFill>
                  <w14:solidFill>
                    <w14:schemeClr w14:val="tx1"/>
                  </w14:solidFill>
                </w14:textFill>
              </w:rPr>
              <w:t>陆域形成宗海范围图</w:t>
            </w:r>
          </w:p>
        </w:tc>
      </w:tr>
    </w:tbl>
    <w:p>
      <w:pPr>
        <w:pStyle w:val="283"/>
        <w:ind w:firstLine="462"/>
        <w:rPr>
          <w:color w:val="000000" w:themeColor="text1"/>
          <w14:textFill>
            <w14:solidFill>
              <w14:schemeClr w14:val="tx1"/>
            </w14:solidFill>
          </w14:textFill>
        </w:rPr>
      </w:pPr>
      <w:r>
        <w:rPr>
          <w:rFonts w:hint="eastAsia"/>
          <w:color w:val="000000" w:themeColor="text1"/>
          <w14:textFill>
            <w14:solidFill>
              <w14:schemeClr w14:val="tx1"/>
            </w14:solidFill>
          </w14:textFill>
        </w:rPr>
        <w:t>扩建后9号10号泊位宗海权属情况见表2.2-12。</w:t>
      </w:r>
    </w:p>
    <w:p>
      <w:pPr>
        <w:pStyle w:val="283"/>
        <w:ind w:firstLine="462"/>
        <w:rPr>
          <w:color w:val="000000" w:themeColor="text1"/>
          <w14:textFill>
            <w14:solidFill>
              <w14:schemeClr w14:val="tx1"/>
            </w14:solidFill>
          </w14:textFill>
        </w:rPr>
      </w:pPr>
    </w:p>
    <w:p>
      <w:pPr>
        <w:pStyle w:val="384"/>
        <w:ind w:left="0" w:firstLine="0"/>
        <w:rPr>
          <w:rFonts w:cs="Times New Roman"/>
          <w:color w:val="000000" w:themeColor="text1"/>
          <w:u w:val="single"/>
          <w14:textFill>
            <w14:solidFill>
              <w14:schemeClr w14:val="tx1"/>
            </w14:solidFill>
          </w14:textFill>
        </w:rPr>
      </w:pPr>
      <w:r>
        <w:rPr>
          <w:rFonts w:hint="eastAsia" w:cs="Times New Roman"/>
          <w:color w:val="000000" w:themeColor="text1"/>
          <w:u w:val="single"/>
          <w14:textFill>
            <w14:solidFill>
              <w14:schemeClr w14:val="tx1"/>
            </w14:solidFill>
          </w14:textFill>
        </w:rPr>
        <w:t>扩建后9号10号泊位宗海权属情况表</w:t>
      </w:r>
    </w:p>
    <w:tbl>
      <w:tblPr>
        <w:tblStyle w:val="89"/>
        <w:tblW w:w="8528" w:type="dxa"/>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525"/>
        <w:gridCol w:w="1600"/>
        <w:gridCol w:w="1373"/>
        <w:gridCol w:w="1223"/>
        <w:gridCol w:w="1373"/>
        <w:gridCol w:w="1063"/>
        <w:gridCol w:w="1371"/>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c>
          <w:tcPr>
            <w:tcW w:w="525" w:type="dxa"/>
            <w:vMerge w:val="restart"/>
            <w:vAlign w:val="center"/>
          </w:tcPr>
          <w:p>
            <w:pPr>
              <w:pStyle w:val="2001"/>
            </w:pPr>
            <w:r>
              <w:rPr>
                <w:rFonts w:hint="eastAsia"/>
              </w:rPr>
              <w:t>序号</w:t>
            </w:r>
          </w:p>
        </w:tc>
        <w:tc>
          <w:tcPr>
            <w:tcW w:w="2973" w:type="dxa"/>
            <w:gridSpan w:val="2"/>
            <w:vAlign w:val="center"/>
          </w:tcPr>
          <w:p>
            <w:pPr>
              <w:pStyle w:val="2001"/>
            </w:pPr>
            <w:r>
              <w:rPr>
                <w:rFonts w:hint="eastAsia"/>
              </w:rPr>
              <w:t>宗海权属</w:t>
            </w:r>
          </w:p>
        </w:tc>
        <w:tc>
          <w:tcPr>
            <w:tcW w:w="2596" w:type="dxa"/>
            <w:gridSpan w:val="2"/>
            <w:vAlign w:val="center"/>
          </w:tcPr>
          <w:p>
            <w:pPr>
              <w:pStyle w:val="2001"/>
            </w:pPr>
            <w:r>
              <w:rPr>
                <w:rFonts w:hint="eastAsia"/>
              </w:rPr>
              <w:t>所属项目</w:t>
            </w:r>
          </w:p>
        </w:tc>
        <w:tc>
          <w:tcPr>
            <w:tcW w:w="2434" w:type="dxa"/>
            <w:gridSpan w:val="2"/>
            <w:vAlign w:val="center"/>
          </w:tcPr>
          <w:p>
            <w:pPr>
              <w:pStyle w:val="2001"/>
            </w:pPr>
            <w:r>
              <w:rPr>
                <w:rFonts w:hint="eastAsia"/>
              </w:rPr>
              <w:t>建设情况</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c>
          <w:tcPr>
            <w:tcW w:w="525" w:type="dxa"/>
            <w:vMerge w:val="continue"/>
            <w:vAlign w:val="center"/>
          </w:tcPr>
          <w:p>
            <w:pPr>
              <w:pStyle w:val="2001"/>
            </w:pPr>
          </w:p>
        </w:tc>
        <w:tc>
          <w:tcPr>
            <w:tcW w:w="1600" w:type="dxa"/>
            <w:vAlign w:val="center"/>
          </w:tcPr>
          <w:p>
            <w:pPr>
              <w:pStyle w:val="2001"/>
            </w:pPr>
            <w:r>
              <w:rPr>
                <w:rFonts w:hint="eastAsia"/>
              </w:rPr>
              <w:t>名称</w:t>
            </w:r>
          </w:p>
        </w:tc>
        <w:tc>
          <w:tcPr>
            <w:tcW w:w="1373" w:type="dxa"/>
            <w:vAlign w:val="center"/>
          </w:tcPr>
          <w:p>
            <w:pPr>
              <w:pStyle w:val="2001"/>
            </w:pPr>
            <w:r>
              <w:rPr>
                <w:rFonts w:hint="eastAsia"/>
              </w:rPr>
              <w:t>用</w:t>
            </w:r>
            <w:r>
              <w:t>海面积</w:t>
            </w:r>
            <w:r>
              <w:rPr>
                <w:rFonts w:hint="eastAsia"/>
              </w:rPr>
              <w:t>（</w:t>
            </w:r>
            <w:r>
              <w:t>hm</w:t>
            </w:r>
            <w:r>
              <w:rPr>
                <w:rFonts w:hint="eastAsia"/>
                <w:vertAlign w:val="superscript"/>
              </w:rPr>
              <w:t>2</w:t>
            </w:r>
            <w:r>
              <w:rPr>
                <w:rFonts w:hint="eastAsia"/>
              </w:rPr>
              <w:t>）</w:t>
            </w:r>
          </w:p>
        </w:tc>
        <w:tc>
          <w:tcPr>
            <w:tcW w:w="1223" w:type="dxa"/>
            <w:vAlign w:val="center"/>
          </w:tcPr>
          <w:p>
            <w:pPr>
              <w:pStyle w:val="2001"/>
            </w:pPr>
            <w:r>
              <w:rPr>
                <w:rFonts w:hint="eastAsia"/>
              </w:rPr>
              <w:t>名称</w:t>
            </w:r>
          </w:p>
        </w:tc>
        <w:tc>
          <w:tcPr>
            <w:tcW w:w="1373" w:type="dxa"/>
            <w:vAlign w:val="center"/>
          </w:tcPr>
          <w:p>
            <w:pPr>
              <w:pStyle w:val="2001"/>
            </w:pPr>
            <w:r>
              <w:rPr>
                <w:rFonts w:hint="eastAsia"/>
              </w:rPr>
              <w:t>用海面积（</w:t>
            </w:r>
            <w:r>
              <w:t>hm</w:t>
            </w:r>
            <w:r>
              <w:rPr>
                <w:rFonts w:hint="eastAsia"/>
                <w:vertAlign w:val="superscript"/>
              </w:rPr>
              <w:t>2</w:t>
            </w:r>
            <w:r>
              <w:rPr>
                <w:rFonts w:hint="eastAsia"/>
              </w:rPr>
              <w:t>）</w:t>
            </w:r>
          </w:p>
        </w:tc>
        <w:tc>
          <w:tcPr>
            <w:tcW w:w="1063" w:type="dxa"/>
            <w:vAlign w:val="center"/>
          </w:tcPr>
          <w:p>
            <w:pPr>
              <w:pStyle w:val="2001"/>
            </w:pPr>
            <w:r>
              <w:rPr>
                <w:rFonts w:hint="eastAsia"/>
              </w:rPr>
              <w:t>名称</w:t>
            </w:r>
          </w:p>
        </w:tc>
        <w:tc>
          <w:tcPr>
            <w:tcW w:w="1371" w:type="dxa"/>
            <w:vAlign w:val="center"/>
          </w:tcPr>
          <w:p>
            <w:pPr>
              <w:pStyle w:val="2001"/>
            </w:pPr>
            <w:r>
              <w:rPr>
                <w:rFonts w:hint="eastAsia"/>
              </w:rPr>
              <w:t>用海面积（</w:t>
            </w:r>
            <w:r>
              <w:t>hm</w:t>
            </w:r>
            <w:r>
              <w:rPr>
                <w:rFonts w:hint="eastAsia"/>
                <w:vertAlign w:val="superscript"/>
              </w:rPr>
              <w:t>2</w:t>
            </w:r>
            <w:r>
              <w:rPr>
                <w:rFonts w:hint="eastAsia"/>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c>
          <w:tcPr>
            <w:tcW w:w="525" w:type="dxa"/>
            <w:vAlign w:val="center"/>
          </w:tcPr>
          <w:p>
            <w:pPr>
              <w:pStyle w:val="2001"/>
            </w:pPr>
            <w:r>
              <w:rPr>
                <w:rFonts w:hint="eastAsia"/>
              </w:rPr>
              <w:t>1</w:t>
            </w:r>
          </w:p>
        </w:tc>
        <w:tc>
          <w:tcPr>
            <w:tcW w:w="1600" w:type="dxa"/>
            <w:vAlign w:val="center"/>
          </w:tcPr>
          <w:p>
            <w:pPr>
              <w:pStyle w:val="2001"/>
            </w:pPr>
            <w:r>
              <w:rPr>
                <w:rFonts w:hint="eastAsia"/>
              </w:rPr>
              <w:t>钦州保税港区宏远</w:t>
            </w:r>
          </w:p>
          <w:p>
            <w:pPr>
              <w:pStyle w:val="2001"/>
            </w:pPr>
            <w:r>
              <w:rPr>
                <w:rFonts w:hint="eastAsia"/>
              </w:rPr>
              <w:t>物流配送中心项目</w:t>
            </w:r>
          </w:p>
        </w:tc>
        <w:tc>
          <w:tcPr>
            <w:tcW w:w="1373" w:type="dxa"/>
            <w:vAlign w:val="center"/>
          </w:tcPr>
          <w:p>
            <w:pPr>
              <w:pStyle w:val="2001"/>
            </w:pPr>
            <w:r>
              <w:t>42.1144</w:t>
            </w:r>
          </w:p>
        </w:tc>
        <w:tc>
          <w:tcPr>
            <w:tcW w:w="1223" w:type="dxa"/>
            <w:vAlign w:val="center"/>
          </w:tcPr>
          <w:p>
            <w:pPr>
              <w:pStyle w:val="2001"/>
            </w:pPr>
            <w:r>
              <w:rPr>
                <w:rFonts w:hint="eastAsia"/>
              </w:rPr>
              <w:t>现有9号1</w:t>
            </w:r>
            <w:r>
              <w:t>0</w:t>
            </w:r>
            <w:r>
              <w:rPr>
                <w:rFonts w:hint="eastAsia"/>
              </w:rPr>
              <w:t>号泊位</w:t>
            </w:r>
          </w:p>
        </w:tc>
        <w:tc>
          <w:tcPr>
            <w:tcW w:w="1373" w:type="dxa"/>
            <w:vAlign w:val="center"/>
          </w:tcPr>
          <w:p>
            <w:pPr>
              <w:pStyle w:val="2001"/>
              <w:rPr>
                <w:b/>
              </w:rPr>
            </w:pPr>
            <w:r>
              <w:t>42.1144</w:t>
            </w:r>
          </w:p>
        </w:tc>
        <w:tc>
          <w:tcPr>
            <w:tcW w:w="1063" w:type="dxa"/>
            <w:vAlign w:val="center"/>
          </w:tcPr>
          <w:p>
            <w:pPr>
              <w:pStyle w:val="2001"/>
            </w:pPr>
            <w:r>
              <w:rPr>
                <w:rFonts w:hint="eastAsia"/>
              </w:rPr>
              <w:t>已完成填海建设</w:t>
            </w:r>
          </w:p>
        </w:tc>
        <w:tc>
          <w:tcPr>
            <w:tcW w:w="1371" w:type="dxa"/>
            <w:vAlign w:val="center"/>
          </w:tcPr>
          <w:p>
            <w:pPr>
              <w:pStyle w:val="2001"/>
              <w:rPr>
                <w:b/>
              </w:rPr>
            </w:pPr>
            <w:r>
              <w:t>42.1144</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c>
          <w:tcPr>
            <w:tcW w:w="525" w:type="dxa"/>
            <w:vMerge w:val="restart"/>
            <w:vAlign w:val="center"/>
          </w:tcPr>
          <w:p>
            <w:pPr>
              <w:pStyle w:val="2001"/>
            </w:pPr>
            <w:r>
              <w:rPr>
                <w:rFonts w:hint="eastAsia"/>
              </w:rPr>
              <w:t>2</w:t>
            </w:r>
          </w:p>
        </w:tc>
        <w:tc>
          <w:tcPr>
            <w:tcW w:w="1600" w:type="dxa"/>
            <w:vMerge w:val="restart"/>
            <w:vAlign w:val="center"/>
          </w:tcPr>
          <w:p>
            <w:pPr>
              <w:pStyle w:val="2001"/>
            </w:pPr>
            <w:r>
              <w:rPr>
                <w:rFonts w:hint="eastAsia"/>
              </w:rPr>
              <w:t>钦州保税港区昊鼎仓储</w:t>
            </w:r>
          </w:p>
          <w:p>
            <w:pPr>
              <w:pStyle w:val="2001"/>
            </w:pPr>
            <w:r>
              <w:rPr>
                <w:rFonts w:hint="eastAsia"/>
              </w:rPr>
              <w:t>物流中心项目</w:t>
            </w:r>
          </w:p>
        </w:tc>
        <w:tc>
          <w:tcPr>
            <w:tcW w:w="1373" w:type="dxa"/>
            <w:vMerge w:val="restart"/>
            <w:vAlign w:val="center"/>
          </w:tcPr>
          <w:p>
            <w:pPr>
              <w:pStyle w:val="2001"/>
            </w:pPr>
            <w:r>
              <w:rPr>
                <w:rFonts w:hint="eastAsia"/>
              </w:rPr>
              <w:t>31.87</w:t>
            </w:r>
          </w:p>
        </w:tc>
        <w:tc>
          <w:tcPr>
            <w:tcW w:w="1223" w:type="dxa"/>
            <w:vAlign w:val="center"/>
          </w:tcPr>
          <w:p>
            <w:pPr>
              <w:pStyle w:val="2001"/>
            </w:pPr>
            <w:r>
              <w:rPr>
                <w:rFonts w:hint="eastAsia"/>
              </w:rPr>
              <w:t>现有9号1</w:t>
            </w:r>
            <w:r>
              <w:t>0</w:t>
            </w:r>
            <w:r>
              <w:rPr>
                <w:rFonts w:hint="eastAsia"/>
              </w:rPr>
              <w:t>号泊位</w:t>
            </w:r>
          </w:p>
        </w:tc>
        <w:tc>
          <w:tcPr>
            <w:tcW w:w="1373" w:type="dxa"/>
            <w:vAlign w:val="center"/>
          </w:tcPr>
          <w:p>
            <w:pPr>
              <w:pStyle w:val="2001"/>
            </w:pPr>
            <w:r>
              <w:rPr>
                <w:rFonts w:hint="eastAsia"/>
              </w:rPr>
              <w:t>1</w:t>
            </w:r>
            <w:r>
              <w:t>3.73</w:t>
            </w:r>
          </w:p>
        </w:tc>
        <w:tc>
          <w:tcPr>
            <w:tcW w:w="1063" w:type="dxa"/>
            <w:vAlign w:val="center"/>
          </w:tcPr>
          <w:p>
            <w:pPr>
              <w:pStyle w:val="2001"/>
            </w:pPr>
            <w:r>
              <w:rPr>
                <w:rFonts w:hint="eastAsia"/>
              </w:rPr>
              <w:t>已完成填海建设</w:t>
            </w:r>
          </w:p>
        </w:tc>
        <w:tc>
          <w:tcPr>
            <w:tcW w:w="1371" w:type="dxa"/>
            <w:vAlign w:val="center"/>
          </w:tcPr>
          <w:p>
            <w:pPr>
              <w:pStyle w:val="2001"/>
              <w:rPr>
                <w:b/>
              </w:rPr>
            </w:pPr>
            <w:r>
              <w:rPr>
                <w:rFonts w:hint="eastAsia"/>
              </w:rPr>
              <w:t>1</w:t>
            </w:r>
            <w:r>
              <w:t>3.73</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c>
          <w:tcPr>
            <w:tcW w:w="525" w:type="dxa"/>
            <w:vMerge w:val="continue"/>
            <w:vAlign w:val="center"/>
          </w:tcPr>
          <w:p>
            <w:pPr>
              <w:pStyle w:val="2001"/>
            </w:pPr>
          </w:p>
        </w:tc>
        <w:tc>
          <w:tcPr>
            <w:tcW w:w="1600" w:type="dxa"/>
            <w:vMerge w:val="continue"/>
            <w:vAlign w:val="center"/>
          </w:tcPr>
          <w:p>
            <w:pPr>
              <w:pStyle w:val="2001"/>
            </w:pPr>
          </w:p>
        </w:tc>
        <w:tc>
          <w:tcPr>
            <w:tcW w:w="1373" w:type="dxa"/>
            <w:vMerge w:val="continue"/>
            <w:vAlign w:val="center"/>
          </w:tcPr>
          <w:p>
            <w:pPr>
              <w:pStyle w:val="2001"/>
            </w:pPr>
          </w:p>
        </w:tc>
        <w:tc>
          <w:tcPr>
            <w:tcW w:w="1223" w:type="dxa"/>
            <w:vMerge w:val="restart"/>
            <w:vAlign w:val="center"/>
          </w:tcPr>
          <w:p>
            <w:pPr>
              <w:pStyle w:val="2001"/>
            </w:pPr>
            <w:r>
              <w:rPr>
                <w:rFonts w:hint="eastAsia"/>
              </w:rPr>
              <w:t>本次扩建</w:t>
            </w:r>
          </w:p>
        </w:tc>
        <w:tc>
          <w:tcPr>
            <w:tcW w:w="1373" w:type="dxa"/>
            <w:vMerge w:val="restart"/>
            <w:vAlign w:val="center"/>
          </w:tcPr>
          <w:p>
            <w:pPr>
              <w:pStyle w:val="2001"/>
            </w:pPr>
            <w:r>
              <w:rPr>
                <w:rFonts w:hint="eastAsia"/>
              </w:rPr>
              <w:t>1</w:t>
            </w:r>
            <w:r>
              <w:t>2.39</w:t>
            </w:r>
          </w:p>
        </w:tc>
        <w:tc>
          <w:tcPr>
            <w:tcW w:w="1063" w:type="dxa"/>
            <w:vAlign w:val="center"/>
          </w:tcPr>
          <w:p>
            <w:pPr>
              <w:pStyle w:val="2001"/>
            </w:pPr>
            <w:r>
              <w:rPr>
                <w:rFonts w:hint="eastAsia"/>
              </w:rPr>
              <w:t>已完成填海建设</w:t>
            </w:r>
          </w:p>
        </w:tc>
        <w:tc>
          <w:tcPr>
            <w:tcW w:w="1371" w:type="dxa"/>
            <w:vAlign w:val="center"/>
          </w:tcPr>
          <w:p>
            <w:pPr>
              <w:pStyle w:val="2001"/>
            </w:pPr>
            <w:r>
              <w:rPr>
                <w:rFonts w:hint="eastAsia"/>
              </w:rPr>
              <w:t>8</w:t>
            </w:r>
            <w:r>
              <w:t>.24</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c>
          <w:tcPr>
            <w:tcW w:w="525" w:type="dxa"/>
            <w:vMerge w:val="continue"/>
            <w:vAlign w:val="center"/>
          </w:tcPr>
          <w:p>
            <w:pPr>
              <w:pStyle w:val="2001"/>
            </w:pPr>
          </w:p>
        </w:tc>
        <w:tc>
          <w:tcPr>
            <w:tcW w:w="1600" w:type="dxa"/>
            <w:vMerge w:val="continue"/>
            <w:vAlign w:val="center"/>
          </w:tcPr>
          <w:p>
            <w:pPr>
              <w:pStyle w:val="2001"/>
            </w:pPr>
          </w:p>
        </w:tc>
        <w:tc>
          <w:tcPr>
            <w:tcW w:w="1373" w:type="dxa"/>
            <w:vMerge w:val="continue"/>
            <w:vAlign w:val="center"/>
          </w:tcPr>
          <w:p>
            <w:pPr>
              <w:pStyle w:val="2001"/>
            </w:pPr>
          </w:p>
        </w:tc>
        <w:tc>
          <w:tcPr>
            <w:tcW w:w="1223" w:type="dxa"/>
            <w:vMerge w:val="continue"/>
            <w:vAlign w:val="center"/>
          </w:tcPr>
          <w:p>
            <w:pPr>
              <w:pStyle w:val="2001"/>
            </w:pPr>
          </w:p>
        </w:tc>
        <w:tc>
          <w:tcPr>
            <w:tcW w:w="1373" w:type="dxa"/>
            <w:vMerge w:val="continue"/>
            <w:vAlign w:val="center"/>
          </w:tcPr>
          <w:p>
            <w:pPr>
              <w:pStyle w:val="2001"/>
            </w:pPr>
          </w:p>
        </w:tc>
        <w:tc>
          <w:tcPr>
            <w:tcW w:w="1063" w:type="dxa"/>
            <w:vAlign w:val="center"/>
          </w:tcPr>
          <w:p>
            <w:pPr>
              <w:pStyle w:val="2001"/>
            </w:pPr>
            <w:r>
              <w:rPr>
                <w:rFonts w:hint="eastAsia"/>
              </w:rPr>
              <w:t>未填海区域</w:t>
            </w:r>
          </w:p>
        </w:tc>
        <w:tc>
          <w:tcPr>
            <w:tcW w:w="1371" w:type="dxa"/>
            <w:vAlign w:val="center"/>
          </w:tcPr>
          <w:p>
            <w:pPr>
              <w:pStyle w:val="2001"/>
            </w:pPr>
            <w:r>
              <w:rPr>
                <w:rFonts w:hint="eastAsia"/>
              </w:rPr>
              <w:t>9</w:t>
            </w:r>
            <w:r>
              <w:t>.9</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c>
          <w:tcPr>
            <w:tcW w:w="525" w:type="dxa"/>
            <w:vMerge w:val="restart"/>
            <w:vAlign w:val="center"/>
          </w:tcPr>
          <w:p>
            <w:pPr>
              <w:pStyle w:val="2001"/>
            </w:pPr>
            <w:r>
              <w:rPr>
                <w:rFonts w:hint="eastAsia"/>
              </w:rPr>
              <w:t>3</w:t>
            </w:r>
          </w:p>
        </w:tc>
        <w:tc>
          <w:tcPr>
            <w:tcW w:w="1600" w:type="dxa"/>
            <w:vMerge w:val="restart"/>
            <w:vAlign w:val="center"/>
          </w:tcPr>
          <w:p>
            <w:pPr>
              <w:pStyle w:val="2001"/>
            </w:pPr>
            <w:r>
              <w:rPr>
                <w:rFonts w:hint="eastAsia"/>
              </w:rPr>
              <w:t>钦州保税港区宏泰仓储项目</w:t>
            </w:r>
          </w:p>
        </w:tc>
        <w:tc>
          <w:tcPr>
            <w:tcW w:w="1373" w:type="dxa"/>
            <w:vMerge w:val="restart"/>
            <w:vAlign w:val="center"/>
          </w:tcPr>
          <w:p>
            <w:pPr>
              <w:pStyle w:val="2001"/>
            </w:pPr>
            <w:r>
              <w:rPr>
                <w:rFonts w:hint="eastAsia"/>
              </w:rPr>
              <w:t>9.8456</w:t>
            </w:r>
          </w:p>
        </w:tc>
        <w:tc>
          <w:tcPr>
            <w:tcW w:w="1223" w:type="dxa"/>
            <w:vAlign w:val="center"/>
          </w:tcPr>
          <w:p>
            <w:pPr>
              <w:pStyle w:val="2001"/>
            </w:pPr>
            <w:r>
              <w:rPr>
                <w:rFonts w:hint="eastAsia"/>
              </w:rPr>
              <w:t>现有9号1</w:t>
            </w:r>
            <w:r>
              <w:t>0</w:t>
            </w:r>
            <w:r>
              <w:rPr>
                <w:rFonts w:hint="eastAsia"/>
              </w:rPr>
              <w:t>号泊位</w:t>
            </w:r>
          </w:p>
        </w:tc>
        <w:tc>
          <w:tcPr>
            <w:tcW w:w="1373" w:type="dxa"/>
            <w:vAlign w:val="center"/>
          </w:tcPr>
          <w:p>
            <w:pPr>
              <w:pStyle w:val="2001"/>
            </w:pPr>
            <w:r>
              <w:rPr>
                <w:rFonts w:hint="eastAsia"/>
              </w:rPr>
              <w:t>7</w:t>
            </w:r>
            <w:r>
              <w:t>.3556</w:t>
            </w:r>
          </w:p>
        </w:tc>
        <w:tc>
          <w:tcPr>
            <w:tcW w:w="1063" w:type="dxa"/>
            <w:vAlign w:val="center"/>
          </w:tcPr>
          <w:p>
            <w:pPr>
              <w:pStyle w:val="2001"/>
            </w:pPr>
            <w:r>
              <w:rPr>
                <w:rFonts w:hint="eastAsia"/>
              </w:rPr>
              <w:t>已完成填海建设</w:t>
            </w:r>
          </w:p>
        </w:tc>
        <w:tc>
          <w:tcPr>
            <w:tcW w:w="1371" w:type="dxa"/>
            <w:vAlign w:val="center"/>
          </w:tcPr>
          <w:p>
            <w:pPr>
              <w:pStyle w:val="2001"/>
            </w:pPr>
            <w:r>
              <w:rPr>
                <w:rFonts w:hint="eastAsia"/>
              </w:rPr>
              <w:t>7</w:t>
            </w:r>
            <w:r>
              <w:t>.3556</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c>
          <w:tcPr>
            <w:tcW w:w="525" w:type="dxa"/>
            <w:vMerge w:val="continue"/>
            <w:vAlign w:val="center"/>
          </w:tcPr>
          <w:p>
            <w:pPr>
              <w:pStyle w:val="2001"/>
            </w:pPr>
          </w:p>
        </w:tc>
        <w:tc>
          <w:tcPr>
            <w:tcW w:w="1600" w:type="dxa"/>
            <w:vMerge w:val="continue"/>
            <w:vAlign w:val="center"/>
          </w:tcPr>
          <w:p>
            <w:pPr>
              <w:pStyle w:val="2001"/>
            </w:pPr>
          </w:p>
        </w:tc>
        <w:tc>
          <w:tcPr>
            <w:tcW w:w="1373" w:type="dxa"/>
            <w:vMerge w:val="continue"/>
            <w:vAlign w:val="center"/>
          </w:tcPr>
          <w:p>
            <w:pPr>
              <w:pStyle w:val="2001"/>
            </w:pPr>
          </w:p>
        </w:tc>
        <w:tc>
          <w:tcPr>
            <w:tcW w:w="1223" w:type="dxa"/>
            <w:vAlign w:val="center"/>
          </w:tcPr>
          <w:p>
            <w:pPr>
              <w:pStyle w:val="2001"/>
            </w:pPr>
            <w:r>
              <w:rPr>
                <w:rFonts w:hint="eastAsia"/>
              </w:rPr>
              <w:t>本次扩建</w:t>
            </w:r>
          </w:p>
        </w:tc>
        <w:tc>
          <w:tcPr>
            <w:tcW w:w="1373" w:type="dxa"/>
            <w:vAlign w:val="center"/>
          </w:tcPr>
          <w:p>
            <w:pPr>
              <w:pStyle w:val="2001"/>
            </w:pPr>
            <w:r>
              <w:rPr>
                <w:rFonts w:hint="eastAsia"/>
              </w:rPr>
              <w:t>2</w:t>
            </w:r>
            <w:r>
              <w:t>.49</w:t>
            </w:r>
          </w:p>
        </w:tc>
        <w:tc>
          <w:tcPr>
            <w:tcW w:w="1063" w:type="dxa"/>
            <w:vAlign w:val="center"/>
          </w:tcPr>
          <w:p>
            <w:pPr>
              <w:pStyle w:val="2001"/>
            </w:pPr>
            <w:r>
              <w:rPr>
                <w:rFonts w:hint="eastAsia"/>
              </w:rPr>
              <w:t>已完成填海建设</w:t>
            </w:r>
          </w:p>
        </w:tc>
        <w:tc>
          <w:tcPr>
            <w:tcW w:w="1371" w:type="dxa"/>
            <w:vAlign w:val="center"/>
          </w:tcPr>
          <w:p>
            <w:pPr>
              <w:pStyle w:val="2001"/>
            </w:pPr>
            <w:r>
              <w:rPr>
                <w:rFonts w:hint="eastAsia"/>
              </w:rPr>
              <w:t>2</w:t>
            </w:r>
            <w:r>
              <w:t>.49</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c>
          <w:tcPr>
            <w:tcW w:w="2125" w:type="dxa"/>
            <w:gridSpan w:val="2"/>
            <w:vAlign w:val="center"/>
          </w:tcPr>
          <w:p>
            <w:pPr>
              <w:pStyle w:val="2001"/>
            </w:pPr>
            <w:r>
              <w:rPr>
                <w:rFonts w:hint="eastAsia"/>
              </w:rPr>
              <w:t>合计</w:t>
            </w:r>
          </w:p>
        </w:tc>
        <w:tc>
          <w:tcPr>
            <w:tcW w:w="1373" w:type="dxa"/>
            <w:vAlign w:val="center"/>
          </w:tcPr>
          <w:p>
            <w:pPr>
              <w:pStyle w:val="2001"/>
            </w:pPr>
            <w:r>
              <w:rPr>
                <w:rFonts w:hint="eastAsia"/>
              </w:rPr>
              <w:t>83.83</w:t>
            </w:r>
          </w:p>
        </w:tc>
        <w:tc>
          <w:tcPr>
            <w:tcW w:w="1223" w:type="dxa"/>
            <w:vAlign w:val="center"/>
          </w:tcPr>
          <w:p>
            <w:pPr>
              <w:pStyle w:val="2001"/>
            </w:pPr>
          </w:p>
        </w:tc>
        <w:tc>
          <w:tcPr>
            <w:tcW w:w="1373" w:type="dxa"/>
            <w:vAlign w:val="center"/>
          </w:tcPr>
          <w:p>
            <w:pPr>
              <w:pStyle w:val="2001"/>
            </w:pPr>
          </w:p>
        </w:tc>
        <w:tc>
          <w:tcPr>
            <w:tcW w:w="1063" w:type="dxa"/>
            <w:vAlign w:val="center"/>
          </w:tcPr>
          <w:p>
            <w:pPr>
              <w:pStyle w:val="2001"/>
            </w:pPr>
          </w:p>
        </w:tc>
        <w:tc>
          <w:tcPr>
            <w:tcW w:w="1371" w:type="dxa"/>
            <w:vAlign w:val="center"/>
          </w:tcPr>
          <w:p>
            <w:pPr>
              <w:pStyle w:val="2001"/>
            </w:pPr>
          </w:p>
        </w:tc>
      </w:tr>
    </w:tbl>
    <w:p>
      <w:pPr>
        <w:pStyle w:val="7"/>
      </w:pPr>
      <w:r>
        <w:rPr>
          <w:rFonts w:hint="eastAsia"/>
        </w:rPr>
        <w:t>3、陆域形成围填海生物资源损失及生态补偿情况</w:t>
      </w:r>
    </w:p>
    <w:p>
      <w:pPr>
        <w:pStyle w:val="283"/>
        <w:ind w:firstLine="462"/>
        <w:rPr>
          <w:color w:val="000000" w:themeColor="text1"/>
          <w14:textFill>
            <w14:solidFill>
              <w14:schemeClr w14:val="tx1"/>
            </w14:solidFill>
          </w14:textFill>
        </w:rPr>
      </w:pPr>
      <w:r>
        <w:rPr>
          <w:rFonts w:hint="eastAsia"/>
          <w:color w:val="000000" w:themeColor="text1"/>
          <w14:textFill>
            <w14:solidFill>
              <w14:schemeClr w14:val="tx1"/>
            </w14:solidFill>
          </w14:textFill>
        </w:rPr>
        <w:t>本次扩建工程陆域形成</w:t>
      </w:r>
      <w:r>
        <w:rPr>
          <w:color w:val="000000" w:themeColor="text1"/>
          <w14:textFill>
            <w14:solidFill>
              <w14:schemeClr w14:val="tx1"/>
            </w14:solidFill>
          </w14:textFill>
        </w:rPr>
        <w:t>属于钦州保税港区昊鼎仓储物流中心项目，属于围填海历史遗留问题，</w:t>
      </w:r>
      <w:r>
        <w:rPr>
          <w:rFonts w:hint="eastAsia"/>
          <w:color w:val="000000" w:themeColor="text1"/>
          <w14:textFill>
            <w14:solidFill>
              <w14:schemeClr w14:val="tx1"/>
            </w14:solidFill>
          </w14:textFill>
        </w:rPr>
        <w:t>填海区域</w:t>
      </w:r>
      <w:r>
        <w:rPr>
          <w:color w:val="000000" w:themeColor="text1"/>
          <w14:textFill>
            <w14:solidFill>
              <w14:schemeClr w14:val="tx1"/>
            </w14:solidFill>
          </w14:textFill>
        </w:rPr>
        <w:t>对永久占用海域底栖生物资源造成经济损失。该项目已编制《</w:t>
      </w:r>
      <w:r>
        <w:rPr>
          <w:rFonts w:hint="eastAsia"/>
          <w:color w:val="000000" w:themeColor="text1"/>
          <w14:textFill>
            <w14:solidFill>
              <w14:schemeClr w14:val="tx1"/>
            </w14:solidFill>
          </w14:textFill>
        </w:rPr>
        <w:t>钦州保税港区昊鼎仓储物流中心项目围填海历史遗留问题生态保护修复方案</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本项目陆域形成围填海工程的补偿金额按《钦州保税港区昊鼎仓储物流中心项目围填海历史遗留问题生态保护修复方案》方案落实。</w:t>
      </w:r>
    </w:p>
    <w:p>
      <w:pPr>
        <w:pStyle w:val="6"/>
        <w:rPr>
          <w:color w:val="000000" w:themeColor="text1"/>
          <w14:textFill>
            <w14:solidFill>
              <w14:schemeClr w14:val="tx1"/>
            </w14:solidFill>
          </w14:textFill>
        </w:rPr>
      </w:pPr>
      <w:r>
        <w:rPr>
          <w:rFonts w:hint="eastAsia"/>
          <w:color w:val="000000" w:themeColor="text1"/>
          <w14:textFill>
            <w14:solidFill>
              <w14:schemeClr w14:val="tx1"/>
            </w14:solidFill>
          </w14:textFill>
        </w:rPr>
        <w:t>航道、锚地</w:t>
      </w:r>
    </w:p>
    <w:p>
      <w:pPr>
        <w:pStyle w:val="283"/>
        <w:ind w:firstLine="462"/>
        <w:rPr>
          <w:color w:val="000000" w:themeColor="text1"/>
          <w14:textFill>
            <w14:solidFill>
              <w14:schemeClr w14:val="tx1"/>
            </w14:solidFill>
          </w14:textFill>
        </w:rPr>
      </w:pPr>
      <w:r>
        <w:rPr>
          <w:rFonts w:hint="eastAsia"/>
          <w:color w:val="000000" w:themeColor="text1"/>
          <w14:textFill>
            <w14:solidFill>
              <w14:schemeClr w14:val="tx1"/>
            </w14:solidFill>
          </w14:textFill>
        </w:rPr>
        <w:t>本工程可利用钦州港东航道现状南段航道、三墩航道、大榄坪航道1、大榄坪航道2（至大榄坪9号泊位航段）进出港。钦州港东航道扩建工程（扩建10万吨级双向航道）“二期工程调整”在原批复10万吨级集装箱船双向乘潮（乘潮保证率为90%）通航的基础上，增加满足10万吨级集装箱船满载单向不乘潮进出港、兼顾15万吨级集装箱船满载单向乘潮进出港（乘潮历时3小时、保证率100%）和20万吨级集装箱船满载单向乘潮进出港（乘潮历时3小时、保证率90%）的通航要求。</w:t>
      </w:r>
    </w:p>
    <w:p>
      <w:pPr>
        <w:pStyle w:val="283"/>
        <w:ind w:firstLine="462"/>
        <w:rPr>
          <w:color w:val="000000" w:themeColor="text1"/>
          <w14:textFill>
            <w14:solidFill>
              <w14:schemeClr w14:val="tx1"/>
            </w14:solidFill>
          </w14:textFill>
        </w:rPr>
      </w:pPr>
      <w:r>
        <w:rPr>
          <w:rFonts w:hint="eastAsia"/>
          <w:color w:val="000000" w:themeColor="text1"/>
          <w14:textFill>
            <w14:solidFill>
              <w14:schemeClr w14:val="tx1"/>
            </w14:solidFill>
          </w14:textFill>
        </w:rPr>
        <w:t>现有钦州湾东航道锚地为3万及10万吨级，锚地暂无法满足20万吨级集装箱船使用要求，随码头扩建同步完成配套的港外深水锚地设施，本工程20万吨级集装箱船可选用规划的外1#～外5#锚地。当地港口管理部门已开展钦州港锚地设施的测量及划选等工作，锚地建设不属于本项目工程内容。项目与钦州湾东航道及锚地位置关系见图2.2-11。</w:t>
      </w:r>
    </w:p>
    <w:tbl>
      <w:tblPr>
        <w:tblStyle w:val="89"/>
        <w:tblW w:w="852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52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8528" w:type="dxa"/>
            <w:tcBorders>
              <w:top w:val="nil"/>
              <w:left w:val="nil"/>
              <w:bottom w:val="nil"/>
              <w:right w:val="nil"/>
            </w:tcBorders>
            <w:vAlign w:val="center"/>
          </w:tcPr>
          <w:p>
            <w:pPr>
              <w:pStyle w:val="7"/>
            </w:pPr>
          </w:p>
          <w:p>
            <w:pPr>
              <w:pStyle w:val="553"/>
              <w:rPr>
                <w:color w:val="000000" w:themeColor="text1"/>
                <w14:textFill>
                  <w14:solidFill>
                    <w14:schemeClr w14:val="tx1"/>
                  </w14:solidFill>
                </w14:textFill>
              </w:rPr>
            </w:pPr>
            <w:r>
              <w:rPr>
                <w:color w:val="000000" w:themeColor="text1"/>
                <w14:textFill>
                  <w14:solidFill>
                    <w14:schemeClr w14:val="tx1"/>
                  </w14:solidFill>
                </w14:textFill>
              </w:rPr>
              <w:t>项目与钦州港东航道及锚地位置关系图</w:t>
            </w:r>
          </w:p>
        </w:tc>
      </w:tr>
    </w:tbl>
    <w:p>
      <w:pPr>
        <w:pStyle w:val="6"/>
        <w:rPr>
          <w:color w:val="000000" w:themeColor="text1"/>
          <w14:textFill>
            <w14:solidFill>
              <w14:schemeClr w14:val="tx1"/>
            </w14:solidFill>
          </w14:textFill>
        </w:rPr>
      </w:pPr>
      <w:r>
        <w:rPr>
          <w:color w:val="000000" w:themeColor="text1"/>
          <w14:textFill>
            <w14:solidFill>
              <w14:schemeClr w14:val="tx1"/>
            </w14:solidFill>
          </w14:textFill>
        </w:rPr>
        <w:t>配套工程</w:t>
      </w:r>
    </w:p>
    <w:p>
      <w:pPr>
        <w:pStyle w:val="283"/>
        <w:ind w:firstLine="462"/>
        <w:rPr>
          <w:color w:val="000000" w:themeColor="text1"/>
          <w14:textFill>
            <w14:solidFill>
              <w14:schemeClr w14:val="tx1"/>
            </w14:solidFill>
          </w14:textFill>
        </w:rPr>
      </w:pPr>
      <w:r>
        <w:rPr>
          <w:rFonts w:hint="eastAsia"/>
          <w:color w:val="000000" w:themeColor="text1"/>
          <w14:textFill>
            <w14:solidFill>
              <w14:schemeClr w14:val="tx1"/>
            </w14:solidFill>
          </w14:textFill>
        </w:rPr>
        <w:t>1、</w:t>
      </w:r>
      <w:r>
        <w:rPr>
          <w:color w:val="000000" w:themeColor="text1"/>
          <w14:textFill>
            <w14:solidFill>
              <w14:schemeClr w14:val="tx1"/>
            </w14:solidFill>
          </w14:textFill>
        </w:rPr>
        <w:t>供电</w:t>
      </w:r>
    </w:p>
    <w:p>
      <w:pPr>
        <w:pStyle w:val="283"/>
        <w:ind w:firstLine="462"/>
        <w:rPr>
          <w:color w:val="000000" w:themeColor="text1"/>
          <w14:textFill>
            <w14:solidFill>
              <w14:schemeClr w14:val="tx1"/>
            </w14:solidFill>
          </w14:textFill>
        </w:rPr>
      </w:pPr>
      <w:r>
        <w:rPr>
          <w:rFonts w:hint="eastAsia"/>
          <w:color w:val="000000" w:themeColor="text1"/>
          <w14:textFill>
            <w14:solidFill>
              <w14:schemeClr w14:val="tx1"/>
            </w14:solidFill>
          </w14:textFill>
        </w:rPr>
        <w:t>9号10号泊位工程共设置2座变电所，分别为901号变电所、902号变电所，均为中心变电所。</w:t>
      </w:r>
    </w:p>
    <w:p>
      <w:pPr>
        <w:pStyle w:val="283"/>
        <w:ind w:firstLine="462"/>
        <w:rPr>
          <w:color w:val="000000" w:themeColor="text1"/>
          <w14:textFill>
            <w14:solidFill>
              <w14:schemeClr w14:val="tx1"/>
            </w14:solidFill>
          </w14:textFill>
        </w:rPr>
      </w:pPr>
      <w:r>
        <w:rPr>
          <w:rFonts w:hint="eastAsia"/>
          <w:color w:val="000000" w:themeColor="text1"/>
          <w14:textFill>
            <w14:solidFill>
              <w14:schemeClr w14:val="tx1"/>
            </w14:solidFill>
          </w14:textFill>
        </w:rPr>
        <w:t>2、</w:t>
      </w:r>
      <w:bookmarkStart w:id="108" w:name="_Toc130639861"/>
      <w:bookmarkStart w:id="109" w:name="_Toc130557156"/>
      <w:r>
        <w:rPr>
          <w:rFonts w:hint="eastAsia"/>
          <w:color w:val="000000" w:themeColor="text1"/>
          <w14:textFill>
            <w14:solidFill>
              <w14:schemeClr w14:val="tx1"/>
            </w14:solidFill>
          </w14:textFill>
        </w:rPr>
        <w:t>环保工程</w:t>
      </w:r>
    </w:p>
    <w:p>
      <w:pPr>
        <w:pStyle w:val="283"/>
        <w:ind w:firstLine="462"/>
        <w:rPr>
          <w:color w:val="000000" w:themeColor="text1"/>
          <w14:textFill>
            <w14:solidFill>
              <w14:schemeClr w14:val="tx1"/>
            </w14:solidFill>
          </w14:textFill>
        </w:rPr>
      </w:pPr>
      <w:r>
        <w:rPr>
          <w:color w:val="000000" w:themeColor="text1"/>
          <w14:textFill>
            <w14:solidFill>
              <w14:schemeClr w14:val="tx1"/>
            </w14:solidFill>
          </w14:textFill>
        </w:rPr>
        <w:t>本项目与</w:t>
      </w:r>
      <w:r>
        <w:rPr>
          <w:rFonts w:hint="eastAsia"/>
          <w:color w:val="000000" w:themeColor="text1"/>
          <w14:textFill>
            <w14:solidFill>
              <w14:schemeClr w14:val="tx1"/>
            </w14:solidFill>
          </w14:textFill>
        </w:rPr>
        <w:t>7号、8号泊位一同运营，</w:t>
      </w:r>
      <w:r>
        <w:rPr>
          <w:color w:val="000000" w:themeColor="text1"/>
          <w14:textFill>
            <w14:solidFill>
              <w14:schemeClr w14:val="tx1"/>
            </w14:solidFill>
          </w14:textFill>
        </w:rPr>
        <w:t>项目环保工程涉及的生活污水处理站</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危险废物</w:t>
      </w:r>
      <w:r>
        <w:rPr>
          <w:rFonts w:hint="eastAsia"/>
          <w:color w:val="000000" w:themeColor="text1"/>
          <w14:textFill>
            <w14:solidFill>
              <w14:schemeClr w14:val="tx1"/>
            </w14:solidFill>
          </w14:textFill>
        </w:rPr>
        <w:t>贮存</w:t>
      </w:r>
      <w:r>
        <w:rPr>
          <w:color w:val="000000" w:themeColor="text1"/>
          <w14:textFill>
            <w14:solidFill>
              <w14:schemeClr w14:val="tx1"/>
            </w14:solidFill>
          </w14:textFill>
        </w:rPr>
        <w:t>间</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水上污染事故应急设备库均与现有</w:t>
      </w:r>
      <w:r>
        <w:rPr>
          <w:rFonts w:hint="eastAsia"/>
          <w:color w:val="000000" w:themeColor="text1"/>
          <w14:textFill>
            <w14:solidFill>
              <w14:schemeClr w14:val="tx1"/>
            </w14:solidFill>
          </w14:textFill>
        </w:rPr>
        <w:t>9号10号泊位相同，依托已建成的钦州港大榄坪港区大榄坪南作业区7号8号泊位集装箱自动化改造工程后方陆域辅建区，详见前文2.1.2.6节</w:t>
      </w:r>
      <w:r>
        <w:rPr>
          <w:color w:val="000000" w:themeColor="text1"/>
          <w14:textFill>
            <w14:solidFill>
              <w14:schemeClr w14:val="tx1"/>
            </w14:solidFill>
          </w14:textFill>
        </w:rPr>
        <w:t>。</w:t>
      </w:r>
    </w:p>
    <w:bookmarkEnd w:id="108"/>
    <w:bookmarkEnd w:id="109"/>
    <w:p>
      <w:pPr>
        <w:pStyle w:val="5"/>
        <w:rPr>
          <w:color w:val="000000" w:themeColor="text1"/>
          <w14:textFill>
            <w14:solidFill>
              <w14:schemeClr w14:val="tx1"/>
            </w14:solidFill>
          </w14:textFill>
        </w:rPr>
      </w:pPr>
      <w:r>
        <w:rPr>
          <w:rFonts w:hint="eastAsia"/>
          <w:color w:val="000000" w:themeColor="text1"/>
          <w14:textFill>
            <w14:solidFill>
              <w14:schemeClr w14:val="tx1"/>
            </w14:solidFill>
          </w14:textFill>
        </w:rPr>
        <w:t>港池及施工用海</w:t>
      </w:r>
    </w:p>
    <w:p>
      <w:pPr>
        <w:pStyle w:val="1856"/>
        <w:ind w:firstLine="464"/>
        <w:rPr>
          <w:b/>
          <w:color w:val="000000" w:themeColor="text1"/>
          <w14:textFill>
            <w14:solidFill>
              <w14:schemeClr w14:val="tx1"/>
            </w14:solidFill>
          </w14:textFill>
        </w:rPr>
      </w:pPr>
      <w:r>
        <w:rPr>
          <w:rFonts w:hint="eastAsia"/>
          <w:b/>
          <w:color w:val="000000" w:themeColor="text1"/>
          <w14:textFill>
            <w14:solidFill>
              <w14:schemeClr w14:val="tx1"/>
            </w14:solidFill>
          </w14:textFill>
        </w:rPr>
        <w:t>1、码头前沿港池及施工用海</w:t>
      </w:r>
    </w:p>
    <w:p>
      <w:pPr>
        <w:pStyle w:val="1856"/>
        <w:ind w:firstLine="462"/>
        <w:rPr>
          <w:color w:val="000000" w:themeColor="text1"/>
          <w:u w:val="single"/>
          <w14:textFill>
            <w14:solidFill>
              <w14:schemeClr w14:val="tx1"/>
            </w14:solidFill>
          </w14:textFill>
        </w:rPr>
      </w:pPr>
      <w:r>
        <w:rPr>
          <w:rFonts w:hint="eastAsia"/>
          <w:color w:val="000000" w:themeColor="text1"/>
          <w:u w:val="single"/>
          <w14:textFill>
            <w14:solidFill>
              <w14:schemeClr w14:val="tx1"/>
            </w14:solidFill>
          </w14:textFill>
        </w:rPr>
        <w:t>根据《大榄坪港区大榄坪南作业区9号10号泊位扩建工程（港池及施工用海）海域使用勘测定界报告书》（送审稿，2024年10月），本次扩建208m码头岸线前沿港池新增停泊水域，同时申请施工疏浚区域的用海（包含疏浚放坡区域），其中项目新增港池用海面积2.5588hm</w:t>
      </w:r>
      <w:r>
        <w:rPr>
          <w:rFonts w:hint="eastAsia"/>
          <w:color w:val="000000" w:themeColor="text1"/>
          <w:u w:val="single"/>
          <w:vertAlign w:val="superscript"/>
          <w14:textFill>
            <w14:solidFill>
              <w14:schemeClr w14:val="tx1"/>
            </w14:solidFill>
          </w14:textFill>
        </w:rPr>
        <w:t>2</w:t>
      </w:r>
      <w:r>
        <w:rPr>
          <w:rFonts w:hint="eastAsia"/>
          <w:color w:val="000000" w:themeColor="text1"/>
          <w:u w:val="single"/>
          <w14:textFill>
            <w14:solidFill>
              <w14:schemeClr w14:val="tx1"/>
            </w14:solidFill>
          </w14:textFill>
        </w:rPr>
        <w:t>，施工用海面积13.3451hm</w:t>
      </w:r>
      <w:r>
        <w:rPr>
          <w:rFonts w:hint="eastAsia"/>
          <w:color w:val="000000" w:themeColor="text1"/>
          <w:u w:val="single"/>
          <w:vertAlign w:val="superscript"/>
          <w14:textFill>
            <w14:solidFill>
              <w14:schemeClr w14:val="tx1"/>
            </w14:solidFill>
          </w14:textFill>
        </w:rPr>
        <w:t>2</w:t>
      </w:r>
      <w:r>
        <w:rPr>
          <w:rFonts w:hint="eastAsia"/>
          <w:color w:val="000000" w:themeColor="text1"/>
          <w:u w:val="single"/>
          <w14:textFill>
            <w14:solidFill>
              <w14:schemeClr w14:val="tx1"/>
            </w14:solidFill>
          </w14:textFill>
        </w:rPr>
        <w:t>（施工用海中疏浚区域有2.2295hm</w:t>
      </w:r>
      <w:r>
        <w:rPr>
          <w:rFonts w:hint="eastAsia"/>
          <w:color w:val="000000" w:themeColor="text1"/>
          <w:u w:val="single"/>
          <w:vertAlign w:val="superscript"/>
          <w14:textFill>
            <w14:solidFill>
              <w14:schemeClr w14:val="tx1"/>
            </w14:solidFill>
          </w14:textFill>
        </w:rPr>
        <w:t>2</w:t>
      </w:r>
      <w:r>
        <w:rPr>
          <w:rFonts w:hint="eastAsia"/>
          <w:color w:val="000000" w:themeColor="text1"/>
          <w:u w:val="single"/>
          <w14:textFill>
            <w14:solidFill>
              <w14:schemeClr w14:val="tx1"/>
            </w14:solidFill>
          </w14:textFill>
        </w:rPr>
        <w:t>位于钦州港东航道工程宗海范围内，本次海域使用申请已扣除），本次扩建申请用海总面积15.9039hm</w:t>
      </w:r>
      <w:r>
        <w:rPr>
          <w:rFonts w:hint="eastAsia"/>
          <w:color w:val="000000" w:themeColor="text1"/>
          <w:u w:val="single"/>
          <w:vertAlign w:val="superscript"/>
          <w14:textFill>
            <w14:solidFill>
              <w14:schemeClr w14:val="tx1"/>
            </w14:solidFill>
          </w14:textFill>
        </w:rPr>
        <w:t>2</w:t>
      </w:r>
      <w:r>
        <w:rPr>
          <w:rFonts w:hint="eastAsia"/>
          <w:color w:val="000000" w:themeColor="text1"/>
          <w:u w:val="single"/>
          <w14:textFill>
            <w14:solidFill>
              <w14:schemeClr w14:val="tx1"/>
            </w14:solidFill>
          </w14:textFill>
        </w:rPr>
        <w:t>。本项目正在申请办理用海过程中，本次海域使用申请用海办理范围见图2.2-8。</w:t>
      </w:r>
    </w:p>
    <w:tbl>
      <w:tblPr>
        <w:tblStyle w:val="89"/>
        <w:tblW w:w="852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52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8528" w:type="dxa"/>
            <w:tcBorders>
              <w:top w:val="nil"/>
              <w:left w:val="nil"/>
              <w:bottom w:val="nil"/>
              <w:right w:val="nil"/>
            </w:tcBorders>
            <w:vAlign w:val="center"/>
          </w:tcPr>
          <w:p>
            <w:pPr>
              <w:pStyle w:val="1856"/>
              <w:ind w:firstLine="0" w:firstLineChars="0"/>
              <w:jc w:val="center"/>
              <w:rPr>
                <w:color w:val="000000" w:themeColor="text1"/>
                <w14:textFill>
                  <w14:solidFill>
                    <w14:schemeClr w14:val="tx1"/>
                  </w14:solidFill>
                </w14:textFill>
              </w:rPr>
            </w:pPr>
          </w:p>
          <w:p>
            <w:pPr>
              <w:pStyle w:val="553"/>
              <w:rPr>
                <w:color w:val="000000" w:themeColor="text1"/>
                <w14:textFill>
                  <w14:solidFill>
                    <w14:schemeClr w14:val="tx1"/>
                  </w14:solidFill>
                </w14:textFill>
              </w:rPr>
            </w:pPr>
            <w:r>
              <w:rPr>
                <w:rFonts w:hint="eastAsia"/>
                <w:color w:val="000000" w:themeColor="text1"/>
                <w14:textFill>
                  <w14:solidFill>
                    <w14:schemeClr w14:val="tx1"/>
                  </w14:solidFill>
                </w14:textFill>
              </w:rPr>
              <w:t>项目申请港池用海及施工用海范围示意图</w:t>
            </w:r>
          </w:p>
        </w:tc>
      </w:tr>
    </w:tbl>
    <w:p>
      <w:pPr>
        <w:pStyle w:val="1856"/>
        <w:ind w:firstLine="464"/>
        <w:rPr>
          <w:b/>
          <w:color w:val="000000" w:themeColor="text1"/>
          <w14:textFill>
            <w14:solidFill>
              <w14:schemeClr w14:val="tx1"/>
            </w14:solidFill>
          </w14:textFill>
        </w:rPr>
      </w:pPr>
      <w:r>
        <w:rPr>
          <w:rFonts w:hint="eastAsia"/>
          <w:b/>
          <w:color w:val="000000" w:themeColor="text1"/>
          <w14:textFill>
            <w14:solidFill>
              <w14:schemeClr w14:val="tx1"/>
            </w14:solidFill>
          </w14:textFill>
        </w:rPr>
        <w:t>2、消浪护岸侧用海手续</w:t>
      </w:r>
    </w:p>
    <w:p>
      <w:pPr>
        <w:pStyle w:val="1856"/>
        <w:ind w:firstLine="462"/>
        <w:rPr>
          <w:color w:val="000000" w:themeColor="text1"/>
          <w14:textFill>
            <w14:solidFill>
              <w14:schemeClr w14:val="tx1"/>
            </w14:solidFill>
          </w14:textFill>
        </w:rPr>
      </w:pPr>
      <w:r>
        <w:rPr>
          <w:color w:val="000000" w:themeColor="text1"/>
          <w14:textFill>
            <w14:solidFill>
              <w14:schemeClr w14:val="tx1"/>
            </w14:solidFill>
          </w14:textFill>
        </w:rPr>
        <w:t>根据</w:t>
      </w:r>
      <w:r>
        <w:rPr>
          <w:rFonts w:hint="eastAsia"/>
          <w:color w:val="000000" w:themeColor="text1"/>
          <w14:textFill>
            <w14:solidFill>
              <w14:schemeClr w14:val="tx1"/>
            </w14:solidFill>
          </w14:textFill>
        </w:rPr>
        <w:t>钦州保税港区昊鼎仓储物流中心项目海域使用权证，本项目消浪护岸侧疏浚区域位于钦州保税港区昊鼎仓储物流中心项目填海造地范围内，海域使用方式为填海造地。根据《北部湾港总体规划（2035年）》，本项目扩建工程10号泊位消浪护岸南侧布置挖入式港池，10号泊位南侧共8.4321 hm</w:t>
      </w:r>
      <w:r>
        <w:rPr>
          <w:rFonts w:hint="eastAsia"/>
          <w:color w:val="000000" w:themeColor="text1"/>
          <w:vertAlign w:val="superscript"/>
          <w14:textFill>
            <w14:solidFill>
              <w14:schemeClr w14:val="tx1"/>
            </w14:solidFill>
          </w14:textFill>
        </w:rPr>
        <w:t>2</w:t>
      </w:r>
      <w:r>
        <w:rPr>
          <w:rFonts w:hint="eastAsia"/>
          <w:color w:val="000000" w:themeColor="text1"/>
          <w14:textFill>
            <w14:solidFill>
              <w14:schemeClr w14:val="tx1"/>
            </w14:solidFill>
          </w14:textFill>
        </w:rPr>
        <w:t>的用海方式将由填海造地改成港池用海，建设单位正在申请变更10号泊位消浪护岸南侧区域海域使用权证及用海方式为港池用海，变更后本项目消浪护岸南侧疏浚区域海域变更为港池用海。</w:t>
      </w:r>
    </w:p>
    <w:p>
      <w:pPr>
        <w:pStyle w:val="5"/>
        <w:rPr>
          <w:color w:val="000000" w:themeColor="text1"/>
          <w14:textFill>
            <w14:solidFill>
              <w14:schemeClr w14:val="tx1"/>
            </w14:solidFill>
          </w14:textFill>
        </w:rPr>
      </w:pPr>
      <w:r>
        <w:rPr>
          <w:color w:val="000000" w:themeColor="text1"/>
          <w14:textFill>
            <w14:solidFill>
              <w14:schemeClr w14:val="tx1"/>
            </w14:solidFill>
          </w14:textFill>
        </w:rPr>
        <w:t>投资估算</w:t>
      </w:r>
    </w:p>
    <w:p>
      <w:pPr>
        <w:pStyle w:val="283"/>
        <w:ind w:firstLine="462"/>
        <w:rPr>
          <w:color w:val="000000" w:themeColor="text1"/>
          <w14:textFill>
            <w14:solidFill>
              <w14:schemeClr w14:val="tx1"/>
            </w14:solidFill>
          </w14:textFill>
        </w:rPr>
      </w:pPr>
      <w:r>
        <w:rPr>
          <w:color w:val="000000" w:themeColor="text1"/>
          <w14:textFill>
            <w14:solidFill>
              <w14:schemeClr w14:val="tx1"/>
            </w14:solidFill>
          </w14:textFill>
        </w:rPr>
        <w:t>本项目工程总投资为</w:t>
      </w:r>
      <w:r>
        <w:rPr>
          <w:color w:val="000000" w:themeColor="text1"/>
          <w:lang w:val="zh-CN"/>
          <w14:textFill>
            <w14:solidFill>
              <w14:schemeClr w14:val="tx1"/>
            </w14:solidFill>
          </w14:textFill>
        </w:rPr>
        <w:t>114997</w:t>
      </w:r>
      <w:r>
        <w:rPr>
          <w:rFonts w:hint="eastAsia"/>
          <w:color w:val="000000" w:themeColor="text1"/>
          <w:lang w:val="zh-CN"/>
          <w14:textFill>
            <w14:solidFill>
              <w14:schemeClr w14:val="tx1"/>
            </w14:solidFill>
          </w14:textFill>
        </w:rPr>
        <w:t>.33</w:t>
      </w:r>
      <w:r>
        <w:rPr>
          <w:color w:val="000000" w:themeColor="text1"/>
          <w14:textFill>
            <w14:solidFill>
              <w14:schemeClr w14:val="tx1"/>
            </w14:solidFill>
          </w14:textFill>
        </w:rPr>
        <w:t>万元，本工程</w:t>
      </w:r>
      <w:r>
        <w:rPr>
          <w:rFonts w:hint="eastAsia"/>
          <w:color w:val="000000" w:themeColor="text1"/>
          <w14:textFill>
            <w14:solidFill>
              <w14:schemeClr w14:val="tx1"/>
            </w14:solidFill>
          </w14:textFill>
        </w:rPr>
        <w:t>建设投资20%考虑自有资金，80%考虑银行贷款。</w:t>
      </w:r>
    </w:p>
    <w:p>
      <w:pPr>
        <w:pStyle w:val="4"/>
        <w:rPr>
          <w:color w:val="000000" w:themeColor="text1"/>
          <w14:textFill>
            <w14:solidFill>
              <w14:schemeClr w14:val="tx1"/>
            </w14:solidFill>
          </w14:textFill>
        </w:rPr>
      </w:pPr>
      <w:bookmarkStart w:id="110" w:name="_Toc317003522"/>
      <w:bookmarkStart w:id="111" w:name="_Toc170918597"/>
      <w:bookmarkStart w:id="112" w:name="_Toc317003242"/>
      <w:r>
        <w:rPr>
          <w:color w:val="000000" w:themeColor="text1"/>
          <w14:textFill>
            <w14:solidFill>
              <w14:schemeClr w14:val="tx1"/>
            </w14:solidFill>
          </w14:textFill>
        </w:rPr>
        <w:t>施工方案</w:t>
      </w:r>
      <w:bookmarkEnd w:id="110"/>
      <w:bookmarkEnd w:id="111"/>
      <w:bookmarkEnd w:id="112"/>
    </w:p>
    <w:p>
      <w:pPr>
        <w:pStyle w:val="5"/>
        <w:rPr>
          <w:color w:val="000000" w:themeColor="text1"/>
          <w14:textFill>
            <w14:solidFill>
              <w14:schemeClr w14:val="tx1"/>
            </w14:solidFill>
          </w14:textFill>
        </w:rPr>
      </w:pPr>
      <w:r>
        <w:rPr>
          <w:color w:val="000000" w:themeColor="text1"/>
          <w14:textFill>
            <w14:solidFill>
              <w14:schemeClr w14:val="tx1"/>
            </w14:solidFill>
          </w14:textFill>
        </w:rPr>
        <w:t>施工方案</w:t>
      </w:r>
    </w:p>
    <w:p>
      <w:pPr>
        <w:pStyle w:val="6"/>
        <w:rPr>
          <w:color w:val="000000" w:themeColor="text1"/>
          <w14:textFill>
            <w14:solidFill>
              <w14:schemeClr w14:val="tx1"/>
            </w14:solidFill>
          </w14:textFill>
        </w:rPr>
      </w:pPr>
      <w:r>
        <w:rPr>
          <w:rFonts w:hint="eastAsia"/>
          <w:color w:val="000000" w:themeColor="text1"/>
          <w14:textFill>
            <w14:solidFill>
              <w14:schemeClr w14:val="tx1"/>
            </w14:solidFill>
          </w14:textFill>
        </w:rPr>
        <w:t>水域疏浚和基槽开挖</w:t>
      </w:r>
    </w:p>
    <w:p>
      <w:pPr>
        <w:ind w:firstLine="462" w:firstLineChars="200"/>
        <w:rPr>
          <w:color w:val="000000" w:themeColor="text1"/>
          <w:kern w:val="0"/>
          <w:u w:val="single"/>
          <w14:textFill>
            <w14:solidFill>
              <w14:schemeClr w14:val="tx1"/>
            </w14:solidFill>
          </w14:textFill>
        </w:rPr>
      </w:pPr>
      <w:r>
        <w:rPr>
          <w:rFonts w:hint="eastAsia"/>
          <w:color w:val="000000" w:themeColor="text1"/>
          <w:kern w:val="0"/>
          <w:u w:val="single"/>
          <w14:textFill>
            <w14:solidFill>
              <w14:schemeClr w14:val="tx1"/>
            </w14:solidFill>
          </w14:textFill>
        </w:rPr>
        <w:t>水域疏浚为码头停泊水域和港池的疏浚量，根据工程区域地质资料，本工程疏浚深度范围内主要土质为淤泥类土和砂性土，挖泥边坡取1</w:t>
      </w:r>
      <w:r>
        <w:rPr>
          <w:rFonts w:hint="eastAsia"/>
          <w:color w:val="000000" w:themeColor="text1"/>
          <w:kern w:val="0"/>
          <w:u w:val="single"/>
          <w:lang w:eastAsia="zh-CN"/>
          <w14:textFill>
            <w14:solidFill>
              <w14:schemeClr w14:val="tx1"/>
            </w14:solidFill>
          </w14:textFill>
        </w:rPr>
        <w:t>:</w:t>
      </w:r>
      <w:r>
        <w:rPr>
          <w:rFonts w:hint="eastAsia"/>
          <w:color w:val="000000" w:themeColor="text1"/>
          <w:kern w:val="0"/>
          <w:u w:val="single"/>
          <w14:textFill>
            <w14:solidFill>
              <w14:schemeClr w14:val="tx1"/>
            </w14:solidFill>
          </w14:textFill>
        </w:rPr>
        <w:t>7，疏浚总量约204.7万m</w:t>
      </w:r>
      <w:r>
        <w:rPr>
          <w:rFonts w:hint="eastAsia"/>
          <w:color w:val="000000" w:themeColor="text1"/>
          <w:kern w:val="0"/>
          <w:u w:val="single"/>
          <w:vertAlign w:val="superscript"/>
          <w14:textFill>
            <w14:solidFill>
              <w14:schemeClr w14:val="tx1"/>
            </w14:solidFill>
          </w14:textFill>
        </w:rPr>
        <w:t>3</w:t>
      </w:r>
      <w:r>
        <w:rPr>
          <w:rFonts w:hint="eastAsia"/>
          <w:color w:val="000000" w:themeColor="text1"/>
          <w:kern w:val="0"/>
          <w:u w:val="single"/>
          <w14:textFill>
            <w14:solidFill>
              <w14:schemeClr w14:val="tx1"/>
            </w14:solidFill>
          </w14:textFill>
        </w:rPr>
        <w:t>（其中炸礁47.6万m</w:t>
      </w:r>
      <w:r>
        <w:rPr>
          <w:rFonts w:hint="eastAsia"/>
          <w:color w:val="000000" w:themeColor="text1"/>
          <w:kern w:val="0"/>
          <w:u w:val="single"/>
          <w:vertAlign w:val="superscript"/>
          <w14:textFill>
            <w14:solidFill>
              <w14:schemeClr w14:val="tx1"/>
            </w14:solidFill>
          </w14:textFill>
        </w:rPr>
        <w:t>3</w:t>
      </w:r>
      <w:r>
        <w:rPr>
          <w:rFonts w:hint="eastAsia"/>
          <w:color w:val="000000" w:themeColor="text1"/>
          <w:kern w:val="0"/>
          <w:u w:val="single"/>
          <w14:textFill>
            <w14:solidFill>
              <w14:schemeClr w14:val="tx1"/>
            </w14:solidFill>
          </w14:textFill>
        </w:rPr>
        <w:t>）。本项目利用约81.3万m</w:t>
      </w:r>
      <w:r>
        <w:rPr>
          <w:rFonts w:hint="eastAsia"/>
          <w:color w:val="000000" w:themeColor="text1"/>
          <w:kern w:val="0"/>
          <w:u w:val="single"/>
          <w:vertAlign w:val="superscript"/>
          <w14:textFill>
            <w14:solidFill>
              <w14:schemeClr w14:val="tx1"/>
            </w14:solidFill>
          </w14:textFill>
        </w:rPr>
        <w:t>3</w:t>
      </w:r>
      <w:r>
        <w:rPr>
          <w:rFonts w:hint="eastAsia"/>
          <w:color w:val="000000" w:themeColor="text1"/>
          <w:kern w:val="0"/>
          <w:u w:val="single"/>
          <w14:textFill>
            <w14:solidFill>
              <w14:schemeClr w14:val="tx1"/>
            </w14:solidFill>
          </w14:textFill>
        </w:rPr>
        <w:t>疏浚砂用于钦州保税港区昊鼎仓储物流中心项目填海陆域形成。</w:t>
      </w:r>
    </w:p>
    <w:p>
      <w:pPr>
        <w:pStyle w:val="1856"/>
        <w:ind w:firstLine="462"/>
        <w:rPr>
          <w:color w:val="000000" w:themeColor="text1"/>
          <w14:textFill>
            <w14:solidFill>
              <w14:schemeClr w14:val="tx1"/>
            </w14:solidFill>
          </w14:textFill>
        </w:rPr>
      </w:pPr>
      <w:r>
        <w:rPr>
          <w:rFonts w:hint="eastAsia"/>
          <w:color w:val="000000" w:themeColor="text1"/>
          <w14:textFill>
            <w14:solidFill>
              <w14:schemeClr w14:val="tx1"/>
            </w14:solidFill>
          </w14:textFill>
        </w:rPr>
        <w:t>1、疏浚砂的利用。疏浚砂采用</w:t>
      </w:r>
      <w:r>
        <w:rPr>
          <w:color w:val="000000" w:themeColor="text1"/>
          <w14:textFill>
            <w14:solidFill>
              <w14:schemeClr w14:val="tx1"/>
            </w14:solidFill>
          </w14:textFill>
        </w:rPr>
        <w:t>1450m³/h</w:t>
      </w:r>
      <w:r>
        <w:rPr>
          <w:rFonts w:hint="eastAsia"/>
          <w:color w:val="000000" w:themeColor="text1"/>
          <w14:textFill>
            <w14:solidFill>
              <w14:schemeClr w14:val="tx1"/>
            </w14:solidFill>
          </w14:textFill>
        </w:rPr>
        <w:t>绞吸式挖泥船进行疏浚施工，吹填至回填区域。</w:t>
      </w:r>
    </w:p>
    <w:p>
      <w:pPr>
        <w:pStyle w:val="1856"/>
        <w:ind w:firstLine="462"/>
        <w:rPr>
          <w:color w:val="000000" w:themeColor="text1"/>
          <w14:textFill>
            <w14:solidFill>
              <w14:schemeClr w14:val="tx1"/>
            </w14:solidFill>
          </w14:textFill>
        </w:rPr>
      </w:pPr>
      <w:r>
        <w:rPr>
          <w:rFonts w:hint="eastAsia"/>
          <w:color w:val="000000" w:themeColor="text1"/>
          <w14:textFill>
            <w14:solidFill>
              <w14:schemeClr w14:val="tx1"/>
            </w14:solidFill>
          </w14:textFill>
        </w:rPr>
        <w:t>2、疏浚土、炸礁碴石外抛。疏浚土、炸礁碴石利用13m</w:t>
      </w:r>
      <w:r>
        <w:rPr>
          <w:rFonts w:hint="eastAsia"/>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抓斗式挖泥船堆放至泥驳后，由泥驳运至53km外的钦州港30万吨级进港航道疏浚工程疏浚物临时性海洋倾倒区</w:t>
      </w:r>
      <w:r>
        <w:rPr>
          <w:color w:val="000000" w:themeColor="text1"/>
          <w14:textFill>
            <w14:solidFill>
              <w14:schemeClr w14:val="tx1"/>
            </w14:solidFill>
          </w14:textFill>
        </w:rPr>
        <w:t>B</w:t>
      </w:r>
      <w:r>
        <w:rPr>
          <w:rFonts w:hint="eastAsia"/>
          <w:color w:val="000000" w:themeColor="text1"/>
          <w14:textFill>
            <w14:solidFill>
              <w14:schemeClr w14:val="tx1"/>
            </w14:solidFill>
          </w14:textFill>
        </w:rPr>
        <w:t>区抛卸。</w:t>
      </w:r>
    </w:p>
    <w:p>
      <w:pPr>
        <w:pStyle w:val="1856"/>
        <w:ind w:firstLine="462"/>
        <w:rPr>
          <w:color w:val="000000" w:themeColor="text1"/>
          <w14:textFill>
            <w14:solidFill>
              <w14:schemeClr w14:val="tx1"/>
            </w14:solidFill>
          </w14:textFill>
        </w:rPr>
      </w:pPr>
      <w:r>
        <w:rPr>
          <w:rFonts w:hint="eastAsia"/>
          <w:color w:val="000000" w:themeColor="text1"/>
          <w14:textFill>
            <w14:solidFill>
              <w14:schemeClr w14:val="tx1"/>
            </w14:solidFill>
          </w14:textFill>
        </w:rPr>
        <w:t>3、炸礁工艺。采用水下钻孔爆破方法，由炸礁船进行水下钻孔爆破施工。炸礁船舶为了准确定位礁石，应配备DGPS高精度差分GPS定位系统仪器设备，并配备专业的测量人员进行放样。爆破的孔网参数（包括炮孔直径、炮孔间距、炮孔排距等）和单孔装药量计算应符合《水运工程爆破技术规范》（ JTS204-2023）的规定。</w:t>
      </w:r>
    </w:p>
    <w:p>
      <w:pPr>
        <w:pStyle w:val="1856"/>
        <w:ind w:firstLine="462"/>
        <w:rPr>
          <w:color w:val="000000" w:themeColor="text1"/>
          <w14:textFill>
            <w14:solidFill>
              <w14:schemeClr w14:val="tx1"/>
            </w14:solidFill>
          </w14:textFill>
        </w:rPr>
      </w:pPr>
      <w:r>
        <w:rPr>
          <w:rFonts w:hint="eastAsia"/>
          <w:color w:val="000000" w:themeColor="text1"/>
          <w14:textFill>
            <w14:solidFill>
              <w14:schemeClr w14:val="tx1"/>
            </w14:solidFill>
          </w14:textFill>
        </w:rPr>
        <w:t>4、多余砂石去向。</w:t>
      </w:r>
    </w:p>
    <w:p>
      <w:pPr>
        <w:pStyle w:val="1856"/>
        <w:ind w:firstLine="462"/>
        <w:rPr>
          <w:color w:val="000000" w:themeColor="text1"/>
          <w14:textFill>
            <w14:solidFill>
              <w14:schemeClr w14:val="tx1"/>
            </w14:solidFill>
          </w14:textFill>
        </w:rPr>
      </w:pPr>
      <w:r>
        <w:rPr>
          <w:rFonts w:hint="eastAsia"/>
          <w:color w:val="000000" w:themeColor="text1"/>
          <w14:textFill>
            <w14:solidFill>
              <w14:schemeClr w14:val="tx1"/>
            </w14:solidFill>
          </w14:textFill>
        </w:rPr>
        <w:t>疏浚（包含炸礁）产生多余的123.4万m</w:t>
      </w:r>
      <w:r>
        <w:rPr>
          <w:rFonts w:hint="eastAsia"/>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疏浚土石，采用抓斗式挖泥船堆放至泥驳后，由泥驳运至53km外的钦州港30万吨级进港航道疏浚工程疏浚物临时性海洋倾倒区</w:t>
      </w:r>
      <w:r>
        <w:rPr>
          <w:color w:val="000000" w:themeColor="text1"/>
          <w14:textFill>
            <w14:solidFill>
              <w14:schemeClr w14:val="tx1"/>
            </w14:solidFill>
          </w14:textFill>
        </w:rPr>
        <w:t>B</w:t>
      </w:r>
      <w:r>
        <w:rPr>
          <w:rFonts w:hint="eastAsia"/>
          <w:color w:val="000000" w:themeColor="text1"/>
          <w14:textFill>
            <w14:solidFill>
              <w14:schemeClr w14:val="tx1"/>
            </w14:solidFill>
          </w14:textFill>
        </w:rPr>
        <w:t>区抛卸。</w:t>
      </w:r>
    </w:p>
    <w:p>
      <w:pPr>
        <w:pStyle w:val="1856"/>
        <w:ind w:firstLine="462"/>
        <w:rPr>
          <w:color w:val="000000" w:themeColor="text1"/>
          <w14:textFill>
            <w14:solidFill>
              <w14:schemeClr w14:val="tx1"/>
            </w14:solidFill>
          </w14:textFill>
        </w:rPr>
      </w:pPr>
      <w:r>
        <w:rPr>
          <w:rFonts w:hint="eastAsia"/>
          <w:color w:val="000000" w:themeColor="text1"/>
          <w:lang w:val="en-US"/>
          <w14:textFill>
            <w14:solidFill>
              <w14:schemeClr w14:val="tx1"/>
            </w14:solidFill>
          </w14:textFill>
        </w:rPr>
        <w:t>下一步施工单位应办理倾倒许可证并缴纳废弃物海洋倾倒费</w:t>
      </w:r>
      <w:r>
        <w:rPr>
          <w:rFonts w:hint="eastAsia"/>
          <w:color w:val="000000" w:themeColor="text1"/>
          <w14:textFill>
            <w14:solidFill>
              <w14:schemeClr w14:val="tx1"/>
            </w14:solidFill>
          </w14:textFill>
        </w:rPr>
        <w:t>，严格按照倾倒证许可的倾倒废弃物类型及数量进行倾倒，禁止改变倾倒物类别及新增倾倒物数量。</w:t>
      </w:r>
    </w:p>
    <w:p>
      <w:pPr>
        <w:pStyle w:val="6"/>
        <w:rPr>
          <w:color w:val="000000" w:themeColor="text1"/>
          <w14:textFill>
            <w14:solidFill>
              <w14:schemeClr w14:val="tx1"/>
            </w14:solidFill>
          </w14:textFill>
        </w:rPr>
      </w:pPr>
      <w:r>
        <w:rPr>
          <w:rFonts w:hint="eastAsia"/>
          <w:color w:val="000000" w:themeColor="text1"/>
          <w14:textFill>
            <w14:solidFill>
              <w14:schemeClr w14:val="tx1"/>
            </w14:solidFill>
          </w14:textFill>
        </w:rPr>
        <w:t>码头施工方案</w:t>
      </w:r>
    </w:p>
    <w:p>
      <w:pPr>
        <w:pStyle w:val="283"/>
        <w:ind w:firstLine="462"/>
        <w:rPr>
          <w:color w:val="000000" w:themeColor="text1"/>
          <w14:textFill>
            <w14:solidFill>
              <w14:schemeClr w14:val="tx1"/>
            </w14:solidFill>
          </w14:textFill>
        </w:rPr>
      </w:pPr>
      <w:r>
        <w:rPr>
          <w:rFonts w:hint="eastAsia"/>
          <w:color w:val="000000" w:themeColor="text1"/>
          <w14:textFill>
            <w14:solidFill>
              <w14:schemeClr w14:val="tx1"/>
            </w14:solidFill>
          </w14:textFill>
        </w:rPr>
        <w:t>1、码头基床抛石</w:t>
      </w:r>
    </w:p>
    <w:p>
      <w:pPr>
        <w:pStyle w:val="283"/>
        <w:ind w:firstLine="462"/>
        <w:rPr>
          <w:color w:val="000000" w:themeColor="text1"/>
          <w14:textFill>
            <w14:solidFill>
              <w14:schemeClr w14:val="tx1"/>
            </w14:solidFill>
          </w14:textFill>
        </w:rPr>
      </w:pPr>
      <w:r>
        <w:rPr>
          <w:rFonts w:hint="eastAsia"/>
          <w:color w:val="000000" w:themeColor="text1"/>
          <w14:textFill>
            <w14:solidFill>
              <w14:schemeClr w14:val="tx1"/>
            </w14:solidFill>
          </w14:textFill>
        </w:rPr>
        <w:t>基槽开挖完成，通过水下测量基床符合设计要求，进行基床抛石；采取分段分层的</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方法进行，码头基床抛石采用1000m</w:t>
      </w:r>
      <w:r>
        <w:rPr>
          <w:rFonts w:hint="eastAsia"/>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开底驳抛填，3000t级方驳配反铲补抛成型。</w:t>
      </w:r>
    </w:p>
    <w:p>
      <w:pPr>
        <w:pStyle w:val="283"/>
        <w:ind w:firstLine="462"/>
        <w:rPr>
          <w:color w:val="000000" w:themeColor="text1"/>
          <w14:textFill>
            <w14:solidFill>
              <w14:schemeClr w14:val="tx1"/>
            </w14:solidFill>
          </w14:textFill>
        </w:rPr>
      </w:pPr>
      <w:r>
        <w:rPr>
          <w:rFonts w:hint="eastAsia"/>
          <w:color w:val="000000" w:themeColor="text1"/>
          <w14:textFill>
            <w14:solidFill>
              <w14:schemeClr w14:val="tx1"/>
            </w14:solidFill>
          </w14:textFill>
        </w:rPr>
        <w:t>2、基床夯实</w:t>
      </w:r>
    </w:p>
    <w:p>
      <w:pPr>
        <w:pStyle w:val="283"/>
        <w:ind w:firstLine="462"/>
        <w:rPr>
          <w:color w:val="000000" w:themeColor="text1"/>
          <w14:textFill>
            <w14:solidFill>
              <w14:schemeClr w14:val="tx1"/>
            </w14:solidFill>
          </w14:textFill>
        </w:rPr>
      </w:pPr>
      <w:r>
        <w:rPr>
          <w:rFonts w:hint="eastAsia"/>
          <w:color w:val="000000" w:themeColor="text1"/>
          <w14:textFill>
            <w14:solidFill>
              <w14:schemeClr w14:val="tx1"/>
            </w14:solidFill>
          </w14:textFill>
        </w:rPr>
        <w:t>采用3000t级驳船（兼作整平工作船）+吊机吊重锤打夯法密实基床。</w:t>
      </w:r>
    </w:p>
    <w:p>
      <w:pPr>
        <w:pStyle w:val="283"/>
        <w:ind w:firstLine="462"/>
        <w:rPr>
          <w:color w:val="000000" w:themeColor="text1"/>
          <w14:textFill>
            <w14:solidFill>
              <w14:schemeClr w14:val="tx1"/>
            </w14:solidFill>
          </w14:textFill>
        </w:rPr>
      </w:pPr>
      <w:r>
        <w:rPr>
          <w:rFonts w:hint="eastAsia"/>
          <w:color w:val="000000" w:themeColor="text1"/>
          <w14:textFill>
            <w14:solidFill>
              <w14:schemeClr w14:val="tx1"/>
            </w14:solidFill>
          </w14:textFill>
        </w:rPr>
        <w:t>3、基床整平</w:t>
      </w:r>
    </w:p>
    <w:p>
      <w:pPr>
        <w:pStyle w:val="283"/>
        <w:ind w:firstLine="462"/>
        <w:rPr>
          <w:color w:val="000000" w:themeColor="text1"/>
          <w14:textFill>
            <w14:solidFill>
              <w14:schemeClr w14:val="tx1"/>
            </w14:solidFill>
          </w14:textFill>
        </w:rPr>
      </w:pPr>
      <w:r>
        <w:rPr>
          <w:rFonts w:hint="eastAsia"/>
          <w:color w:val="000000" w:themeColor="text1"/>
          <w14:textFill>
            <w14:solidFill>
              <w14:schemeClr w14:val="tx1"/>
            </w14:solidFill>
          </w14:textFill>
        </w:rPr>
        <w:t>整平工作船将选用3000t级驳船，驳船上配套有：漏斗、下碎石的漏管、下二片石的钢筋笼、电动吊机、整平钢轨和刮耙。整平采用潜水工水下放钢轨，钢轨上摆刮耙平钢轨间碎石的方法进行整平。整平工作船通过GPS定位系统初步定位，通过安装在测量杆上的GPS 接收天线进行单点定位及高程控制，指挥潜水工施工。</w:t>
      </w:r>
    </w:p>
    <w:p>
      <w:pPr>
        <w:pStyle w:val="283"/>
        <w:ind w:firstLine="462"/>
        <w:rPr>
          <w:color w:val="000000" w:themeColor="text1"/>
          <w14:textFill>
            <w14:solidFill>
              <w14:schemeClr w14:val="tx1"/>
            </w14:solidFill>
          </w14:textFill>
        </w:rPr>
      </w:pPr>
      <w:r>
        <w:rPr>
          <w:rFonts w:hint="eastAsia"/>
          <w:color w:val="000000" w:themeColor="text1"/>
          <w14:textFill>
            <w14:solidFill>
              <w14:schemeClr w14:val="tx1"/>
            </w14:solidFill>
          </w14:textFill>
        </w:rPr>
        <w:t>4、沉箱的出运、安装</w:t>
      </w:r>
    </w:p>
    <w:p>
      <w:pPr>
        <w:pStyle w:val="283"/>
        <w:ind w:firstLine="462"/>
        <w:rPr>
          <w:color w:val="000000" w:themeColor="text1"/>
          <w14:textFill>
            <w14:solidFill>
              <w14:schemeClr w14:val="tx1"/>
            </w14:solidFill>
          </w14:textFill>
        </w:rPr>
      </w:pPr>
      <w:r>
        <w:rPr>
          <w:rFonts w:hint="eastAsia"/>
          <w:color w:val="000000" w:themeColor="text1"/>
          <w14:textFill>
            <w14:solidFill>
              <w14:schemeClr w14:val="tx1"/>
            </w14:solidFill>
          </w14:textFill>
        </w:rPr>
        <w:t>沉箱陆上采用气囊或台车搬运上5000t级半潜驳，水上采用半潜驳进行出运，方驳配合安装；构件安装采用前方交会测量定位，GPS复核。沉箱安装完成后应立即进行内部抛填。</w:t>
      </w:r>
      <w:r>
        <w:rPr>
          <w:color w:val="000000" w:themeColor="text1"/>
          <w14:textFill>
            <w14:solidFill>
              <w14:schemeClr w14:val="tx1"/>
            </w14:solidFill>
          </w14:textFill>
        </w:rPr>
        <w:t>本项目沉箱预制场位于项目场地</w:t>
      </w:r>
      <w:r>
        <w:rPr>
          <w:rFonts w:hint="eastAsia"/>
          <w:color w:val="000000" w:themeColor="text1"/>
          <w14:textFill>
            <w14:solidFill>
              <w14:schemeClr w14:val="tx1"/>
            </w14:solidFill>
          </w14:textFill>
        </w:rPr>
        <w:t>西北</w:t>
      </w:r>
      <w:r>
        <w:rPr>
          <w:color w:val="000000" w:themeColor="text1"/>
          <w14:textFill>
            <w14:solidFill>
              <w14:schemeClr w14:val="tx1"/>
            </w14:solidFill>
          </w14:textFill>
        </w:rPr>
        <w:t>侧约</w:t>
      </w:r>
      <w:r>
        <w:rPr>
          <w:rFonts w:hint="eastAsia"/>
          <w:color w:val="000000" w:themeColor="text1"/>
          <w14:textFill>
            <w14:solidFill>
              <w14:schemeClr w14:val="tx1"/>
            </w14:solidFill>
          </w14:textFill>
        </w:rPr>
        <w:t>5km处，该沉箱预制场为钦州港大榄坪港区已建成预制场，沉箱在预制场预制完成后，运输利用已有道路进行，不新增施工便道。</w:t>
      </w:r>
    </w:p>
    <w:p>
      <w:pPr>
        <w:pStyle w:val="283"/>
        <w:ind w:firstLine="462"/>
        <w:rPr>
          <w:color w:val="000000" w:themeColor="text1"/>
          <w14:textFill>
            <w14:solidFill>
              <w14:schemeClr w14:val="tx1"/>
            </w14:solidFill>
          </w14:textFill>
        </w:rPr>
      </w:pPr>
      <w:r>
        <w:rPr>
          <w:color w:val="000000" w:themeColor="text1"/>
          <w14:textFill>
            <w14:solidFill>
              <w14:schemeClr w14:val="tx1"/>
            </w14:solidFill>
          </w14:textFill>
        </w:rPr>
        <w:t>5</w:t>
      </w:r>
      <w:r>
        <w:rPr>
          <w:rFonts w:hint="eastAsia"/>
          <w:color w:val="000000" w:themeColor="text1"/>
          <w14:textFill>
            <w14:solidFill>
              <w14:schemeClr w14:val="tx1"/>
            </w14:solidFill>
          </w14:textFill>
        </w:rPr>
        <w:t>、沉箱内回填</w:t>
      </w:r>
    </w:p>
    <w:p>
      <w:pPr>
        <w:pStyle w:val="283"/>
        <w:ind w:firstLine="462"/>
        <w:rPr>
          <w:color w:val="000000" w:themeColor="text1"/>
          <w14:textFill>
            <w14:solidFill>
              <w14:schemeClr w14:val="tx1"/>
            </w14:solidFill>
          </w14:textFill>
        </w:rPr>
      </w:pPr>
      <w:r>
        <w:rPr>
          <w:rFonts w:hint="eastAsia"/>
          <w:color w:val="000000" w:themeColor="text1"/>
          <w14:textFill>
            <w14:solidFill>
              <w14:schemeClr w14:val="tx1"/>
            </w14:solidFill>
          </w14:textFill>
        </w:rPr>
        <w:t>由1000m</w:t>
      </w:r>
      <w:r>
        <w:rPr>
          <w:rFonts w:hint="eastAsia"/>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自卸自航式皮带船运至现场，抛锚定位后直接由皮带输入箱内，抛填过程由测量人员打水砣测定抛填情况，抛填料接近设计高程时，皮带船根据测量情况移位细抛。抛填应分层逐仓进行，避免相邻仓格高差过大。</w:t>
      </w:r>
    </w:p>
    <w:p>
      <w:pPr>
        <w:pStyle w:val="283"/>
        <w:ind w:firstLine="462"/>
        <w:rPr>
          <w:color w:val="000000" w:themeColor="text1"/>
          <w14:textFill>
            <w14:solidFill>
              <w14:schemeClr w14:val="tx1"/>
            </w14:solidFill>
          </w14:textFill>
        </w:rPr>
      </w:pPr>
      <w:r>
        <w:rPr>
          <w:rFonts w:hint="eastAsia"/>
          <w:color w:val="000000" w:themeColor="text1"/>
          <w14:textFill>
            <w14:solidFill>
              <w14:schemeClr w14:val="tx1"/>
            </w14:solidFill>
          </w14:textFill>
        </w:rPr>
        <w:t>6、胸墙浇注</w:t>
      </w:r>
    </w:p>
    <w:p>
      <w:pPr>
        <w:pStyle w:val="283"/>
        <w:ind w:firstLine="462"/>
        <w:rPr>
          <w:color w:val="000000" w:themeColor="text1"/>
          <w14:textFill>
            <w14:solidFill>
              <w14:schemeClr w14:val="tx1"/>
            </w14:solidFill>
          </w14:textFill>
        </w:rPr>
      </w:pPr>
      <w:r>
        <w:rPr>
          <w:rFonts w:hint="eastAsia"/>
          <w:color w:val="000000" w:themeColor="text1"/>
          <w14:textFill>
            <w14:solidFill>
              <w14:schemeClr w14:val="tx1"/>
            </w14:solidFill>
          </w14:textFill>
        </w:rPr>
        <w:t>胸墙模板采用定型钢模板，砼采用陆地泵送或砼搅拌船水上浇注。</w:t>
      </w:r>
    </w:p>
    <w:p>
      <w:pPr>
        <w:pStyle w:val="283"/>
        <w:ind w:firstLine="462"/>
        <w:rPr>
          <w:color w:val="000000" w:themeColor="text1"/>
          <w14:textFill>
            <w14:solidFill>
              <w14:schemeClr w14:val="tx1"/>
            </w14:solidFill>
          </w14:textFill>
        </w:rPr>
      </w:pPr>
      <w:r>
        <w:rPr>
          <w:rFonts w:hint="eastAsia"/>
          <w:color w:val="000000" w:themeColor="text1"/>
          <w14:textFill>
            <w14:solidFill>
              <w14:schemeClr w14:val="tx1"/>
            </w14:solidFill>
          </w14:textFill>
        </w:rPr>
        <w:t>7、后方回填</w:t>
      </w:r>
    </w:p>
    <w:p>
      <w:pPr>
        <w:pStyle w:val="283"/>
        <w:ind w:firstLine="462"/>
        <w:rPr>
          <w:color w:val="000000" w:themeColor="text1"/>
          <w14:textFill>
            <w14:solidFill>
              <w14:schemeClr w14:val="tx1"/>
            </w14:solidFill>
          </w14:textFill>
        </w:rPr>
      </w:pPr>
      <w:r>
        <w:rPr>
          <w:rFonts w:hint="eastAsia"/>
          <w:color w:val="000000" w:themeColor="text1"/>
          <w14:textFill>
            <w14:solidFill>
              <w14:schemeClr w14:val="tx1"/>
            </w14:solidFill>
          </w14:textFill>
        </w:rPr>
        <w:t>码头后方回填块石棱体采用1000m</w:t>
      </w:r>
      <w:r>
        <w:rPr>
          <w:rFonts w:hint="eastAsia"/>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开底驳抛填，回填砂采用自航皮带船输砂，推土机推填至设计标高。</w:t>
      </w:r>
    </w:p>
    <w:p>
      <w:pPr>
        <w:pStyle w:val="5"/>
        <w:rPr>
          <w:color w:val="000000" w:themeColor="text1"/>
          <w14:textFill>
            <w14:solidFill>
              <w14:schemeClr w14:val="tx1"/>
            </w14:solidFill>
          </w14:textFill>
        </w:rPr>
      </w:pPr>
      <w:r>
        <w:rPr>
          <w:rFonts w:hint="eastAsia"/>
          <w:color w:val="000000" w:themeColor="text1"/>
          <w14:textFill>
            <w14:solidFill>
              <w14:schemeClr w14:val="tx1"/>
            </w14:solidFill>
          </w14:textFill>
        </w:rPr>
        <w:t>施工流程</w:t>
      </w:r>
    </w:p>
    <w:p>
      <w:pPr>
        <w:ind w:firstLine="462" w:firstLineChars="200"/>
        <w:rPr>
          <w:b/>
          <w:color w:val="000000" w:themeColor="text1"/>
          <w14:textFill>
            <w14:solidFill>
              <w14:schemeClr w14:val="tx1"/>
            </w14:solidFill>
          </w14:textFill>
        </w:rPr>
      </w:pPr>
      <w:r>
        <w:rPr>
          <w:b/>
          <w:color w:val="000000" w:themeColor="text1"/>
          <w14:textFill>
            <w14:solidFill>
              <w14:schemeClr w14:val="tx1"/>
            </w14:solidFill>
          </w14:textFill>
        </w:rPr>
        <w:t>1</w:t>
      </w:r>
      <w:r>
        <w:rPr>
          <w:rFonts w:hint="eastAsia"/>
          <w:b/>
          <w:color w:val="000000" w:themeColor="text1"/>
          <w14:textFill>
            <w14:solidFill>
              <w14:schemeClr w14:val="tx1"/>
            </w14:solidFill>
          </w14:textFill>
        </w:rPr>
        <w:t>、水域疏浚和基槽开挖施工流程</w:t>
      </w:r>
    </w:p>
    <w:p>
      <w:pPr>
        <w:ind w:firstLine="462" w:firstLineChars="200"/>
        <w:rPr>
          <w:color w:val="000000" w:themeColor="text1"/>
          <w14:textFill>
            <w14:solidFill>
              <w14:schemeClr w14:val="tx1"/>
            </w14:solidFill>
          </w14:textFill>
        </w:rPr>
      </w:pPr>
      <w:r>
        <w:rPr>
          <w:rFonts w:hint="eastAsia"/>
          <w:color w:val="000000" w:themeColor="text1"/>
          <w14:textFill>
            <w14:solidFill>
              <w14:schemeClr w14:val="tx1"/>
            </w14:solidFill>
          </w14:textFill>
        </w:rPr>
        <w:t>设置</w:t>
      </w:r>
      <w:r>
        <w:rPr>
          <w:color w:val="000000" w:themeColor="text1"/>
          <w14:textFill>
            <w14:solidFill>
              <w14:schemeClr w14:val="tx1"/>
            </w14:solidFill>
          </w14:textFill>
        </w:rPr>
        <w:t>GPS</w:t>
      </w:r>
      <w:r>
        <w:rPr>
          <w:rFonts w:hint="eastAsia"/>
          <w:color w:val="000000" w:themeColor="text1"/>
          <w14:textFill>
            <w14:solidFill>
              <w14:schemeClr w14:val="tx1"/>
            </w14:solidFill>
          </w14:textFill>
        </w:rPr>
        <w:t>基站→挖泥→卸到预定位置→清淤→验收。</w:t>
      </w:r>
    </w:p>
    <w:p>
      <w:pPr>
        <w:ind w:firstLine="462" w:firstLineChars="200"/>
        <w:rPr>
          <w:b/>
          <w:color w:val="000000" w:themeColor="text1"/>
          <w14:textFill>
            <w14:solidFill>
              <w14:schemeClr w14:val="tx1"/>
            </w14:solidFill>
          </w14:textFill>
        </w:rPr>
      </w:pPr>
      <w:r>
        <w:rPr>
          <w:b/>
          <w:color w:val="000000" w:themeColor="text1"/>
          <w14:textFill>
            <w14:solidFill>
              <w14:schemeClr w14:val="tx1"/>
            </w14:solidFill>
          </w14:textFill>
        </w:rPr>
        <w:t>2</w:t>
      </w:r>
      <w:r>
        <w:rPr>
          <w:rFonts w:hint="eastAsia"/>
          <w:b/>
          <w:color w:val="000000" w:themeColor="text1"/>
          <w14:textFill>
            <w14:solidFill>
              <w14:schemeClr w14:val="tx1"/>
            </w14:solidFill>
          </w14:textFill>
        </w:rPr>
        <w:t>、码头施工工艺流程</w:t>
      </w:r>
    </w:p>
    <w:p>
      <w:pPr>
        <w:ind w:firstLine="462" w:firstLineChars="200"/>
        <w:rPr>
          <w:color w:val="000000" w:themeColor="text1"/>
          <w14:textFill>
            <w14:solidFill>
              <w14:schemeClr w14:val="tx1"/>
            </w14:solidFill>
          </w14:textFill>
        </w:rPr>
      </w:pPr>
      <w:r>
        <w:rPr>
          <w:rFonts w:hint="eastAsia"/>
          <w:color w:val="000000" w:themeColor="text1"/>
          <w14:textFill>
            <w14:solidFill>
              <w14:schemeClr w14:val="tx1"/>
            </w14:solidFill>
          </w14:textFill>
        </w:rPr>
        <w:t>基槽开挖→基床抛石→基床夯实、整平→沉箱安装→箱内回填及垫层→现浇胸墙→码头后方回填→陆上施打</w:t>
      </w:r>
      <w:r>
        <w:rPr>
          <w:color w:val="000000" w:themeColor="text1"/>
          <w14:textFill>
            <w14:solidFill>
              <w14:schemeClr w14:val="tx1"/>
            </w14:solidFill>
          </w14:textFill>
        </w:rPr>
        <w:t>PHC</w:t>
      </w:r>
      <w:r>
        <w:rPr>
          <w:rFonts w:hint="eastAsia"/>
          <w:color w:val="000000" w:themeColor="text1"/>
          <w14:textFill>
            <w14:solidFill>
              <w14:schemeClr w14:val="tx1"/>
            </w14:solidFill>
          </w14:textFill>
        </w:rPr>
        <w:t>桩基→现浇帽及轨道梁→路面结构及附属设施→土建施工及其他配套工程建设→竣工验收。</w:t>
      </w:r>
    </w:p>
    <w:p>
      <w:pPr>
        <w:ind w:firstLine="462" w:firstLineChars="200"/>
        <w:rPr>
          <w:b/>
          <w:color w:val="000000" w:themeColor="text1"/>
          <w14:textFill>
            <w14:solidFill>
              <w14:schemeClr w14:val="tx1"/>
            </w14:solidFill>
          </w14:textFill>
        </w:rPr>
      </w:pPr>
      <w:r>
        <w:rPr>
          <w:b/>
          <w:color w:val="000000" w:themeColor="text1"/>
          <w14:textFill>
            <w14:solidFill>
              <w14:schemeClr w14:val="tx1"/>
            </w14:solidFill>
          </w14:textFill>
        </w:rPr>
        <w:t>3</w:t>
      </w:r>
      <w:r>
        <w:rPr>
          <w:rFonts w:hint="eastAsia"/>
          <w:b/>
          <w:color w:val="000000" w:themeColor="text1"/>
          <w14:textFill>
            <w14:solidFill>
              <w14:schemeClr w14:val="tx1"/>
            </w14:solidFill>
          </w14:textFill>
        </w:rPr>
        <w:t>、地基处理</w:t>
      </w:r>
    </w:p>
    <w:p>
      <w:pPr>
        <w:ind w:firstLine="462" w:firstLineChars="200"/>
        <w:rPr>
          <w:color w:val="000000" w:themeColor="text1"/>
          <w14:textFill>
            <w14:solidFill>
              <w14:schemeClr w14:val="tx1"/>
            </w14:solidFill>
          </w14:textFill>
        </w:rPr>
      </w:pPr>
      <w:r>
        <w:rPr>
          <w:rFonts w:hint="eastAsia"/>
          <w:color w:val="000000" w:themeColor="text1"/>
          <w14:textFill>
            <w14:solidFill>
              <w14:schemeClr w14:val="tx1"/>
            </w14:solidFill>
          </w14:textFill>
        </w:rPr>
        <w:t>本项目与依托的填海工程同步实施，在现状水域和陆域各设置一条围堰，并在已回填区和未回填区域交界处设置溢流口。项目采用堆载预压和振冲密实施工工艺进行陆域地基处理。</w:t>
      </w:r>
    </w:p>
    <w:tbl>
      <w:tblPr>
        <w:tblStyle w:val="89"/>
        <w:tblW w:w="852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52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8528" w:type="dxa"/>
            <w:tcBorders>
              <w:top w:val="nil"/>
              <w:left w:val="nil"/>
              <w:bottom w:val="nil"/>
              <w:right w:val="nil"/>
            </w:tcBorders>
            <w:vAlign w:val="center"/>
          </w:tcPr>
          <w:p>
            <w:pPr>
              <w:pStyle w:val="553"/>
              <w:numPr>
                <w:ilvl w:val="0"/>
                <w:numId w:val="0"/>
              </w:numPr>
              <w:rPr>
                <w:color w:val="000000" w:themeColor="text1"/>
                <w14:textFill>
                  <w14:solidFill>
                    <w14:schemeClr w14:val="tx1"/>
                  </w14:solidFill>
                </w14:textFill>
              </w:rPr>
            </w:pPr>
          </w:p>
          <w:p>
            <w:pPr>
              <w:pStyle w:val="553"/>
              <w:rPr>
                <w:color w:val="000000" w:themeColor="text1"/>
                <w14:textFill>
                  <w14:solidFill>
                    <w14:schemeClr w14:val="tx1"/>
                  </w14:solidFill>
                </w14:textFill>
              </w:rPr>
            </w:pPr>
            <w:r>
              <w:rPr>
                <w:rFonts w:hint="eastAsia"/>
                <w:color w:val="000000" w:themeColor="text1"/>
                <w14:textFill>
                  <w14:solidFill>
                    <w14:schemeClr w14:val="tx1"/>
                  </w14:solidFill>
                </w14:textFill>
              </w:rPr>
              <w:t>项目吹填拟设溢流口及围堰位置</w:t>
            </w:r>
          </w:p>
        </w:tc>
      </w:tr>
    </w:tbl>
    <w:p>
      <w:pPr>
        <w:ind w:firstLine="462" w:firstLineChars="200"/>
        <w:rPr>
          <w:color w:val="000000" w:themeColor="text1"/>
          <w14:textFill>
            <w14:solidFill>
              <w14:schemeClr w14:val="tx1"/>
            </w14:solidFill>
          </w14:textFill>
        </w:rPr>
      </w:pPr>
      <w:r>
        <w:rPr>
          <w:rFonts w:hint="eastAsia"/>
          <w:color w:val="000000" w:themeColor="text1"/>
          <w14:textFill>
            <w14:solidFill>
              <w14:schemeClr w14:val="tx1"/>
            </w14:solidFill>
          </w14:textFill>
        </w:rPr>
        <w:t>堆载预压施工流程：铺设砂垫层后插打塑料排水板，并</w:t>
      </w:r>
      <w:r>
        <w:rPr>
          <w:rFonts w:hint="eastAsia"/>
          <w:color w:val="000000" w:themeColor="text1"/>
          <w:lang w:eastAsia="zh-CN"/>
          <w14:textFill>
            <w14:solidFill>
              <w14:schemeClr w14:val="tx1"/>
            </w14:solidFill>
          </w14:textFill>
        </w:rPr>
        <w:t>静置</w:t>
      </w:r>
      <w:r>
        <w:rPr>
          <w:rFonts w:hint="eastAsia"/>
          <w:color w:val="000000" w:themeColor="text1"/>
          <w14:textFill>
            <w14:solidFill>
              <w14:schemeClr w14:val="tx1"/>
            </w14:solidFill>
          </w14:textFill>
        </w:rPr>
        <w:t>15天；分级堆载后满载预压约150天至固结度（不小于90%）及工后沉降达到设计要求后卸载；卸载后平整场地、进行强夯或振冲密实施工，补填平整至交工标高。</w:t>
      </w:r>
    </w:p>
    <w:p>
      <w:pPr>
        <w:ind w:firstLine="462" w:firstLineChars="200"/>
        <w:rPr>
          <w:color w:val="000000" w:themeColor="text1"/>
          <w14:textFill>
            <w14:solidFill>
              <w14:schemeClr w14:val="tx1"/>
            </w14:solidFill>
          </w14:textFill>
        </w:rPr>
      </w:pPr>
      <w:r>
        <w:rPr>
          <w:rFonts w:hint="eastAsia"/>
          <w:color w:val="000000" w:themeColor="text1"/>
          <w14:textFill>
            <w14:solidFill>
              <w14:schemeClr w14:val="tx1"/>
            </w14:solidFill>
          </w14:textFill>
        </w:rPr>
        <w:t>陆上插板主要工艺流程：①铺设水平排水垫层→②测放各施工分区边界线，定出塑料排水板位置并做好标记→③打设机定位，在套管内穿入塑料排水板→④安装管靴→⑤沉设套管→⑥打设至施工控制高程→⑦提升套管→⑧剪断塑料排水板→⑨检查并记录塑料排水板打设情况→⑩移机至下一板位。</w:t>
      </w:r>
    </w:p>
    <w:p>
      <w:pPr>
        <w:ind w:firstLine="462" w:firstLineChars="200"/>
        <w:rPr>
          <w:color w:val="000000" w:themeColor="text1"/>
          <w14:textFill>
            <w14:solidFill>
              <w14:schemeClr w14:val="tx1"/>
            </w14:solidFill>
          </w14:textFill>
        </w:rPr>
      </w:pPr>
      <w:r>
        <w:rPr>
          <w:rFonts w:hint="eastAsia"/>
          <w:color w:val="000000" w:themeColor="text1"/>
          <w14:textFill>
            <w14:solidFill>
              <w14:schemeClr w14:val="tx1"/>
            </w14:solidFill>
          </w14:textFill>
        </w:rPr>
        <w:t>振冲施工流程：施工准备→定标放线→振冲机定位→振动设备检查完好性→下放振冲器至砂面标高→启动水泵→启动振冲器→振动冲孔→达到设计深度→留振、分段提升→成孔→提升1～2m后移至下一孔位→重复振冲→效果检测→验收。</w:t>
      </w:r>
    </w:p>
    <w:p>
      <w:pPr>
        <w:pStyle w:val="5"/>
        <w:rPr>
          <w:color w:val="000000" w:themeColor="text1"/>
          <w14:textFill>
            <w14:solidFill>
              <w14:schemeClr w14:val="tx1"/>
            </w14:solidFill>
          </w14:textFill>
        </w:rPr>
      </w:pPr>
      <w:r>
        <w:rPr>
          <w:rFonts w:hint="eastAsia"/>
          <w:color w:val="000000" w:themeColor="text1"/>
          <w14:textFill>
            <w14:solidFill>
              <w14:schemeClr w14:val="tx1"/>
            </w14:solidFill>
          </w14:textFill>
        </w:rPr>
        <w:t>施工进度</w:t>
      </w:r>
    </w:p>
    <w:p>
      <w:pPr>
        <w:pStyle w:val="283"/>
        <w:ind w:firstLine="462"/>
        <w:rPr>
          <w:color w:val="000000" w:themeColor="text1"/>
          <w14:textFill>
            <w14:solidFill>
              <w14:schemeClr w14:val="tx1"/>
            </w14:solidFill>
          </w14:textFill>
        </w:rPr>
      </w:pPr>
      <w:r>
        <w:rPr>
          <w:color w:val="000000" w:themeColor="text1"/>
          <w14:textFill>
            <w14:solidFill>
              <w14:schemeClr w14:val="tx1"/>
            </w14:solidFill>
          </w14:textFill>
        </w:rPr>
        <w:t>本项目施工工期拟定为</w:t>
      </w:r>
      <w:r>
        <w:rPr>
          <w:rFonts w:hint="eastAsia"/>
          <w:color w:val="000000" w:themeColor="text1"/>
          <w14:textFill>
            <w14:solidFill>
              <w14:schemeClr w14:val="tx1"/>
            </w14:solidFill>
          </w14:textFill>
        </w:rPr>
        <w:t>24个月，其中码头水工及疏浚17个月，陆域施工7个月，</w:t>
      </w:r>
      <w:r>
        <w:rPr>
          <w:color w:val="000000" w:themeColor="text1"/>
          <w14:textFill>
            <w14:solidFill>
              <w14:schemeClr w14:val="tx1"/>
            </w14:solidFill>
          </w14:textFill>
        </w:rPr>
        <w:t>码头水工和陆域为主要控制工期的关键项目，要统筹安排。为保证按计划工期完成施工，应进行合理的分段流水施工作业。</w:t>
      </w:r>
    </w:p>
    <w:p>
      <w:pPr>
        <w:pStyle w:val="4"/>
        <w:rPr>
          <w:color w:val="000000" w:themeColor="text1"/>
          <w14:textFill>
            <w14:solidFill>
              <w14:schemeClr w14:val="tx1"/>
            </w14:solidFill>
          </w14:textFill>
        </w:rPr>
      </w:pPr>
      <w:bookmarkStart w:id="113" w:name="_Toc317003243"/>
      <w:bookmarkStart w:id="114" w:name="_Toc170918598"/>
      <w:bookmarkStart w:id="115" w:name="_Toc317003523"/>
      <w:r>
        <w:rPr>
          <w:color w:val="000000" w:themeColor="text1"/>
          <w14:textFill>
            <w14:solidFill>
              <w14:schemeClr w14:val="tx1"/>
            </w14:solidFill>
          </w14:textFill>
        </w:rPr>
        <w:t>工程分析</w:t>
      </w:r>
      <w:bookmarkEnd w:id="113"/>
      <w:bookmarkEnd w:id="114"/>
      <w:bookmarkEnd w:id="115"/>
    </w:p>
    <w:p>
      <w:pPr>
        <w:pStyle w:val="5"/>
        <w:rPr>
          <w:color w:val="000000" w:themeColor="text1"/>
          <w14:textFill>
            <w14:solidFill>
              <w14:schemeClr w14:val="tx1"/>
            </w14:solidFill>
          </w14:textFill>
        </w:rPr>
      </w:pPr>
      <w:r>
        <w:rPr>
          <w:color w:val="000000" w:themeColor="text1"/>
          <w14:textFill>
            <w14:solidFill>
              <w14:schemeClr w14:val="tx1"/>
            </w14:solidFill>
          </w14:textFill>
        </w:rPr>
        <w:t>施工期</w:t>
      </w:r>
    </w:p>
    <w:p>
      <w:pPr>
        <w:pStyle w:val="6"/>
        <w:rPr>
          <w:color w:val="000000" w:themeColor="text1"/>
          <w14:textFill>
            <w14:solidFill>
              <w14:schemeClr w14:val="tx1"/>
            </w14:solidFill>
          </w14:textFill>
        </w:rPr>
      </w:pPr>
      <w:r>
        <w:rPr>
          <w:rFonts w:hint="eastAsia"/>
          <w:color w:val="000000" w:themeColor="text1"/>
          <w14:textFill>
            <w14:solidFill>
              <w14:schemeClr w14:val="tx1"/>
            </w14:solidFill>
          </w14:textFill>
        </w:rPr>
        <w:t>产污节点分析</w:t>
      </w:r>
    </w:p>
    <w:p>
      <w:pPr>
        <w:pStyle w:val="283"/>
        <w:ind w:firstLine="462"/>
        <w:rPr>
          <w:color w:val="000000" w:themeColor="text1"/>
          <w14:textFill>
            <w14:solidFill>
              <w14:schemeClr w14:val="tx1"/>
            </w14:solidFill>
          </w14:textFill>
        </w:rPr>
      </w:pPr>
      <w:r>
        <w:rPr>
          <w:color w:val="000000" w:themeColor="text1"/>
          <w14:textFill>
            <w14:solidFill>
              <w14:schemeClr w14:val="tx1"/>
            </w14:solidFill>
          </w14:textFill>
        </w:rPr>
        <w:t>施工期主要产污环节包括：水域疏浚</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泥沙转运、炸礁产生的悬浮泥沙，施工船舶生活污水、机舱油污水及生活垃圾等。水域开挖造成周边海域水动力条件、生态环境、地形地貌与冲淤环境发生变化。</w:t>
      </w:r>
    </w:p>
    <w:p>
      <w:pPr>
        <w:pStyle w:val="283"/>
        <w:ind w:firstLine="462"/>
        <w:rPr>
          <w:color w:val="000000" w:themeColor="text1"/>
          <w14:textFill>
            <w14:solidFill>
              <w14:schemeClr w14:val="tx1"/>
            </w14:solidFill>
          </w14:textFill>
        </w:rPr>
      </w:pPr>
      <w:r>
        <w:rPr>
          <w:color w:val="000000" w:themeColor="text1"/>
          <w14:textFill>
            <w14:solidFill>
              <w14:schemeClr w14:val="tx1"/>
            </w14:solidFill>
          </w14:textFill>
        </w:rPr>
        <w:drawing>
          <wp:inline distT="0" distB="0" distL="0" distR="0">
            <wp:extent cx="4867275" cy="3619500"/>
            <wp:effectExtent l="0" t="0" r="9525" b="0"/>
            <wp:docPr id="37665" name="图片 37665" descr="施工流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665" name="图片 37665" descr="施工流程"/>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a:xfrm>
                      <a:off x="0" y="0"/>
                      <a:ext cx="4867275" cy="3619500"/>
                    </a:xfrm>
                    <a:prstGeom prst="rect">
                      <a:avLst/>
                    </a:prstGeom>
                    <a:noFill/>
                    <a:ln>
                      <a:noFill/>
                    </a:ln>
                  </pic:spPr>
                </pic:pic>
              </a:graphicData>
            </a:graphic>
          </wp:inline>
        </w:drawing>
      </w:r>
    </w:p>
    <w:p>
      <w:pPr>
        <w:pStyle w:val="553"/>
        <w:rPr>
          <w:color w:val="000000" w:themeColor="text1"/>
          <w14:textFill>
            <w14:solidFill>
              <w14:schemeClr w14:val="tx1"/>
            </w14:solidFill>
          </w14:textFill>
        </w:rPr>
      </w:pPr>
      <w:r>
        <w:rPr>
          <w:color w:val="000000" w:themeColor="text1"/>
          <w14:textFill>
            <w14:solidFill>
              <w14:schemeClr w14:val="tx1"/>
            </w14:solidFill>
          </w14:textFill>
        </w:rPr>
        <w:t>本工程施工期产污节点图</w:t>
      </w:r>
    </w:p>
    <w:p>
      <w:pPr>
        <w:pStyle w:val="6"/>
        <w:rPr>
          <w:color w:val="000000" w:themeColor="text1"/>
          <w14:textFill>
            <w14:solidFill>
              <w14:schemeClr w14:val="tx1"/>
            </w14:solidFill>
          </w14:textFill>
        </w:rPr>
      </w:pPr>
      <w:bookmarkStart w:id="116" w:name="_Hlk103883707"/>
      <w:r>
        <w:rPr>
          <w:color w:val="000000" w:themeColor="text1"/>
          <w14:textFill>
            <w14:solidFill>
              <w14:schemeClr w14:val="tx1"/>
            </w14:solidFill>
          </w14:textFill>
        </w:rPr>
        <w:t>水环境污染源</w:t>
      </w:r>
    </w:p>
    <w:p>
      <w:pPr>
        <w:pStyle w:val="283"/>
        <w:ind w:firstLine="462"/>
        <w:rPr>
          <w:color w:val="000000" w:themeColor="text1"/>
          <w14:textFill>
            <w14:solidFill>
              <w14:schemeClr w14:val="tx1"/>
            </w14:solidFill>
          </w14:textFill>
        </w:rPr>
      </w:pPr>
      <w:r>
        <w:rPr>
          <w:rFonts w:hint="eastAsia"/>
          <w:color w:val="000000" w:themeColor="text1"/>
          <w14:textFill>
            <w14:solidFill>
              <w14:schemeClr w14:val="tx1"/>
            </w14:solidFill>
          </w14:textFill>
        </w:rPr>
        <w:t>1、</w:t>
      </w:r>
      <w:r>
        <w:rPr>
          <w:color w:val="000000" w:themeColor="text1"/>
          <w14:textFill>
            <w14:solidFill>
              <w14:schemeClr w14:val="tx1"/>
            </w14:solidFill>
          </w14:textFill>
        </w:rPr>
        <w:t>悬浮泥沙源强</w:t>
      </w:r>
      <w:bookmarkEnd w:id="116"/>
      <w:r>
        <w:rPr>
          <w:color w:val="000000" w:themeColor="text1"/>
          <w14:textFill>
            <w14:solidFill>
              <w14:schemeClr w14:val="tx1"/>
            </w14:solidFill>
          </w14:textFill>
        </w:rPr>
        <w:t>分析</w:t>
      </w:r>
    </w:p>
    <w:p>
      <w:pPr>
        <w:pStyle w:val="283"/>
        <w:ind w:firstLine="462"/>
        <w:rPr>
          <w:color w:val="000000" w:themeColor="text1"/>
          <w14:textFill>
            <w14:solidFill>
              <w14:schemeClr w14:val="tx1"/>
            </w14:solidFill>
          </w14:textFill>
        </w:rPr>
      </w:pPr>
      <w:r>
        <w:rPr>
          <w:rFonts w:hint="eastAsia"/>
          <w:color w:val="000000" w:themeColor="text1"/>
          <w14:textFill>
            <w14:solidFill>
              <w14:schemeClr w14:val="tx1"/>
            </w14:solidFill>
          </w14:textFill>
        </w:rPr>
        <w:t>（1）</w:t>
      </w:r>
      <w:r>
        <w:rPr>
          <w:color w:val="000000" w:themeColor="text1"/>
          <w14:textFill>
            <w14:solidFill>
              <w14:schemeClr w14:val="tx1"/>
            </w14:solidFill>
          </w14:textFill>
        </w:rPr>
        <w:t>疏浚产生的悬沙源强</w:t>
      </w:r>
    </w:p>
    <w:p>
      <w:pPr>
        <w:pStyle w:val="283"/>
        <w:ind w:firstLine="462"/>
        <w:rPr>
          <w:color w:val="000000" w:themeColor="text1"/>
          <w14:textFill>
            <w14:solidFill>
              <w14:schemeClr w14:val="tx1"/>
            </w14:solidFill>
          </w14:textFill>
        </w:rPr>
      </w:pPr>
      <w:r>
        <w:rPr>
          <w:color w:val="000000" w:themeColor="text1"/>
          <w14:textFill>
            <w14:solidFill>
              <w14:schemeClr w14:val="tx1"/>
            </w14:solidFill>
          </w14:textFill>
        </w:rPr>
        <w:t>本次疏浚土石主要包括</w:t>
      </w:r>
      <w:r>
        <w:rPr>
          <w:rFonts w:hint="eastAsia"/>
          <w:color w:val="000000" w:themeColor="text1"/>
          <w14:textFill>
            <w14:solidFill>
              <w14:schemeClr w14:val="tx1"/>
            </w14:solidFill>
          </w14:textFill>
        </w:rPr>
        <w:t>淤泥类土</w:t>
      </w:r>
      <w:r>
        <w:rPr>
          <w:color w:val="000000" w:themeColor="text1"/>
          <w14:textFill>
            <w14:solidFill>
              <w14:schemeClr w14:val="tx1"/>
            </w14:solidFill>
          </w14:textFill>
        </w:rPr>
        <w:t>及</w:t>
      </w:r>
      <w:r>
        <w:rPr>
          <w:rFonts w:hint="eastAsia"/>
          <w:color w:val="000000" w:themeColor="text1"/>
          <w14:textFill>
            <w14:solidFill>
              <w14:schemeClr w14:val="tx1"/>
            </w14:solidFill>
          </w14:textFill>
        </w:rPr>
        <w:t>砂性石</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其中港池疏浚物回填采用的</w:t>
      </w:r>
      <w:r>
        <w:rPr>
          <w:color w:val="000000" w:themeColor="text1"/>
          <w14:textFill>
            <w14:solidFill>
              <w14:schemeClr w14:val="tx1"/>
            </w14:solidFill>
          </w14:textFill>
        </w:rPr>
        <w:t>疏浚土主要</w:t>
      </w:r>
      <w:r>
        <w:rPr>
          <w:rFonts w:hint="eastAsia"/>
          <w:color w:val="000000" w:themeColor="text1"/>
          <w14:textFill>
            <w14:solidFill>
              <w14:schemeClr w14:val="tx1"/>
            </w14:solidFill>
          </w14:textFill>
        </w:rPr>
        <w:t>由1台</w:t>
      </w:r>
      <w:r>
        <w:rPr>
          <w:color w:val="000000" w:themeColor="text1"/>
          <w14:textFill>
            <w14:solidFill>
              <w14:schemeClr w14:val="tx1"/>
            </w14:solidFill>
          </w14:textFill>
        </w:rPr>
        <w:t>1450m³/h绞吸式挖泥船进行吹填作业</w:t>
      </w:r>
      <w:r>
        <w:rPr>
          <w:rFonts w:hint="eastAsia"/>
          <w:color w:val="000000" w:themeColor="text1"/>
          <w14:textFill>
            <w14:solidFill>
              <w14:schemeClr w14:val="tx1"/>
            </w14:solidFill>
          </w14:textFill>
        </w:rPr>
        <w:t>，外运倾倒的强风化岩、中风化岩及疏浚土采用1台1</w:t>
      </w:r>
      <w:r>
        <w:rPr>
          <w:color w:val="000000" w:themeColor="text1"/>
          <w14:textFill>
            <w14:solidFill>
              <w14:schemeClr w14:val="tx1"/>
            </w14:solidFill>
          </w14:textFill>
        </w:rPr>
        <w:t>3</w:t>
      </w:r>
      <w:r>
        <w:rPr>
          <w:rFonts w:hint="eastAsia"/>
          <w:color w:val="000000" w:themeColor="text1"/>
          <w14:textFill>
            <w14:solidFill>
              <w14:schemeClr w14:val="tx1"/>
            </w14:solidFill>
          </w14:textFill>
        </w:rPr>
        <w:t>m</w:t>
      </w:r>
      <w:r>
        <w:rPr>
          <w:rFonts w:hint="eastAsia"/>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抓斗式挖泥船进行作业</w:t>
      </w:r>
      <w:r>
        <w:rPr>
          <w:color w:val="000000" w:themeColor="text1"/>
          <w14:textFill>
            <w14:solidFill>
              <w14:schemeClr w14:val="tx1"/>
            </w14:solidFill>
          </w14:textFill>
        </w:rPr>
        <w:t>。</w:t>
      </w:r>
    </w:p>
    <w:p>
      <w:pPr>
        <w:pStyle w:val="283"/>
        <w:ind w:firstLine="462"/>
        <w:rPr>
          <w:color w:val="000000" w:themeColor="text1"/>
          <w14:textFill>
            <w14:solidFill>
              <w14:schemeClr w14:val="tx1"/>
            </w14:solidFill>
          </w14:textFill>
        </w:rPr>
      </w:pPr>
      <w:r>
        <w:rPr>
          <w:rFonts w:hint="eastAsia" w:ascii="宋体" w:hAnsi="宋体"/>
          <w:color w:val="000000" w:themeColor="text1"/>
          <w14:textFill>
            <w14:solidFill>
              <w14:schemeClr w14:val="tx1"/>
            </w14:solidFill>
          </w14:textFill>
        </w:rPr>
        <w:t>①港池疏浚</w:t>
      </w:r>
      <w:r>
        <w:rPr>
          <w:color w:val="000000" w:themeColor="text1"/>
          <w14:textFill>
            <w14:solidFill>
              <w14:schemeClr w14:val="tx1"/>
            </w14:solidFill>
          </w14:textFill>
        </w:rPr>
        <w:t>抓斗式挖泥船源强</w:t>
      </w:r>
    </w:p>
    <w:p>
      <w:pPr>
        <w:pStyle w:val="283"/>
        <w:ind w:firstLine="462"/>
        <w:rPr>
          <w:color w:val="000000" w:themeColor="text1"/>
          <w14:textFill>
            <w14:solidFill>
              <w14:schemeClr w14:val="tx1"/>
            </w14:solidFill>
          </w14:textFill>
        </w:rPr>
      </w:pPr>
      <w:r>
        <w:rPr>
          <w:rFonts w:hint="eastAsia"/>
          <w:color w:val="000000" w:themeColor="text1"/>
          <w14:textFill>
            <w14:solidFill>
              <w14:schemeClr w14:val="tx1"/>
            </w14:solidFill>
          </w14:textFill>
        </w:rPr>
        <w:t>根据项目设计资料，项目4类疏浚土石采用13m</w:t>
      </w:r>
      <w:r>
        <w:rPr>
          <w:rFonts w:hint="eastAsia"/>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抓斗式</w:t>
      </w:r>
      <w:r>
        <w:rPr>
          <w:color w:val="000000" w:themeColor="text1"/>
          <w14:textFill>
            <w14:solidFill>
              <w14:schemeClr w14:val="tx1"/>
            </w14:solidFill>
          </w14:textFill>
        </w:rPr>
        <w:t>挖泥船清挖</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根据《水运工程建设项目</w:t>
      </w:r>
      <w:r>
        <w:rPr>
          <w:rFonts w:hint="eastAsia"/>
          <w:color w:val="000000" w:themeColor="text1"/>
          <w14:textFill>
            <w14:solidFill>
              <w14:schemeClr w14:val="tx1"/>
            </w14:solidFill>
          </w14:textFill>
        </w:rPr>
        <w:t>环境影响评价指南</w:t>
      </w:r>
      <w:r>
        <w:rPr>
          <w:color w:val="000000" w:themeColor="text1"/>
          <w14:textFill>
            <w14:solidFill>
              <w14:schemeClr w14:val="tx1"/>
            </w14:solidFill>
          </w14:textFill>
        </w:rPr>
        <w:t>》（JTS 105－2021），疏浚作业悬浮物源强计算公式为：</w:t>
      </w:r>
    </w:p>
    <w:p>
      <w:pPr>
        <w:pStyle w:val="283"/>
        <w:ind w:firstLine="462"/>
        <w:rPr>
          <w:color w:val="000000" w:themeColor="text1"/>
          <w14:textFill>
            <w14:solidFill>
              <w14:schemeClr w14:val="tx1"/>
            </w14:solidFill>
          </w14:textFill>
        </w:rPr>
      </w:pPr>
      <m:oMathPara>
        <m:oMath>
          <m:sSub>
            <m:sSubPr>
              <m:ctrlPr>
                <w:rPr>
                  <w:rFonts w:ascii="Cambria Math" w:hAnsi="Cambria Math"/>
                  <w:color w:val="000000" w:themeColor="text1"/>
                  <w14:textFill>
                    <w14:solidFill>
                      <w14:schemeClr w14:val="tx1"/>
                    </w14:solidFill>
                  </w14:textFill>
                </w:rPr>
              </m:ctrlPr>
            </m:sSubPr>
            <m:e>
              <m:r>
                <w:rPr>
                  <w:rFonts w:ascii="Cambria Math" w:hAnsi="Cambria Math"/>
                  <w:color w:val="000000" w:themeColor="text1"/>
                  <w14:textFill>
                    <w14:solidFill>
                      <w14:schemeClr w14:val="tx1"/>
                    </w14:solidFill>
                  </w14:textFill>
                </w:rPr>
                <m:t>Q</m:t>
              </m:r>
              <m:ctrlPr>
                <w:rPr>
                  <w:rFonts w:ascii="Cambria Math" w:hAnsi="Cambria Math"/>
                  <w:color w:val="000000" w:themeColor="text1"/>
                  <w14:textFill>
                    <w14:solidFill>
                      <w14:schemeClr w14:val="tx1"/>
                    </w14:solidFill>
                  </w14:textFill>
                </w:rPr>
              </m:ctrlPr>
            </m:e>
            <m:sub>
              <m:r>
                <m:rPr>
                  <m:sty m:val="p"/>
                </m:rPr>
                <w:rPr>
                  <w:rFonts w:ascii="Cambria Math" w:hAnsi="Cambria Math"/>
                  <w:color w:val="000000" w:themeColor="text1"/>
                  <w14:textFill>
                    <w14:solidFill>
                      <w14:schemeClr w14:val="tx1"/>
                    </w14:solidFill>
                  </w14:textFill>
                </w:rPr>
                <m:t>1</m:t>
              </m:r>
              <m:ctrlPr>
                <w:rPr>
                  <w:rFonts w:ascii="Cambria Math" w:hAnsi="Cambria Math"/>
                  <w:color w:val="000000" w:themeColor="text1"/>
                  <w14:textFill>
                    <w14:solidFill>
                      <w14:schemeClr w14:val="tx1"/>
                    </w14:solidFill>
                  </w14:textFill>
                </w:rPr>
              </m:ctrlPr>
            </m:sub>
          </m:sSub>
          <m:r>
            <m:rPr>
              <m:sty m:val="p"/>
            </m:rPr>
            <w:rPr>
              <w:rFonts w:ascii="Cambria Math" w:hAnsi="Cambria Math"/>
              <w:color w:val="000000" w:themeColor="text1"/>
              <w14:textFill>
                <w14:solidFill>
                  <w14:schemeClr w14:val="tx1"/>
                </w14:solidFill>
              </w14:textFill>
            </w:rPr>
            <m:t>=</m:t>
          </m:r>
          <m:f>
            <m:fPr>
              <m:ctrlPr>
                <w:rPr>
                  <w:rFonts w:ascii="Cambria Math" w:hAnsi="Cambria Math"/>
                  <w:color w:val="000000" w:themeColor="text1"/>
                  <w14:textFill>
                    <w14:solidFill>
                      <w14:schemeClr w14:val="tx1"/>
                    </w14:solidFill>
                  </w14:textFill>
                </w:rPr>
              </m:ctrlPr>
            </m:fPr>
            <m:num>
              <m:r>
                <w:rPr>
                  <w:rFonts w:ascii="Cambria Math" w:hAnsi="Cambria Math"/>
                  <w:color w:val="000000" w:themeColor="text1"/>
                  <w14:textFill>
                    <w14:solidFill>
                      <w14:schemeClr w14:val="tx1"/>
                    </w14:solidFill>
                  </w14:textFill>
                </w:rPr>
                <m:t>R</m:t>
              </m:r>
              <m:ctrlPr>
                <w:rPr>
                  <w:rFonts w:ascii="Cambria Math" w:hAnsi="Cambria Math"/>
                  <w:color w:val="000000" w:themeColor="text1"/>
                  <w14:textFill>
                    <w14:solidFill>
                      <w14:schemeClr w14:val="tx1"/>
                    </w14:solidFill>
                  </w14:textFill>
                </w:rPr>
              </m:ctrlPr>
            </m:num>
            <m:den>
              <m:sSub>
                <m:sSubPr>
                  <m:ctrlPr>
                    <w:rPr>
                      <w:rFonts w:ascii="Cambria Math" w:hAnsi="Cambria Math"/>
                      <w:color w:val="000000" w:themeColor="text1"/>
                      <w14:textFill>
                        <w14:solidFill>
                          <w14:schemeClr w14:val="tx1"/>
                        </w14:solidFill>
                      </w14:textFill>
                    </w:rPr>
                  </m:ctrlPr>
                </m:sSubPr>
                <m:e>
                  <m:r>
                    <w:rPr>
                      <w:rFonts w:ascii="Cambria Math" w:hAnsi="Cambria Math"/>
                      <w:color w:val="000000" w:themeColor="text1"/>
                      <w14:textFill>
                        <w14:solidFill>
                          <w14:schemeClr w14:val="tx1"/>
                        </w14:solidFill>
                      </w14:textFill>
                    </w:rPr>
                    <m:t>R</m:t>
                  </m:r>
                  <m:ctrlPr>
                    <w:rPr>
                      <w:rFonts w:ascii="Cambria Math" w:hAnsi="Cambria Math"/>
                      <w:color w:val="000000" w:themeColor="text1"/>
                      <w14:textFill>
                        <w14:solidFill>
                          <w14:schemeClr w14:val="tx1"/>
                        </w14:solidFill>
                      </w14:textFill>
                    </w:rPr>
                  </m:ctrlPr>
                </m:e>
                <m:sub>
                  <m:r>
                    <m:rPr>
                      <m:sty m:val="p"/>
                    </m:rPr>
                    <w:rPr>
                      <w:rFonts w:ascii="Cambria Math" w:hAnsi="Cambria Math"/>
                      <w:color w:val="000000" w:themeColor="text1"/>
                      <w14:textFill>
                        <w14:solidFill>
                          <w14:schemeClr w14:val="tx1"/>
                        </w14:solidFill>
                      </w14:textFill>
                    </w:rPr>
                    <m:t>0</m:t>
                  </m:r>
                  <m:ctrlPr>
                    <w:rPr>
                      <w:rFonts w:ascii="Cambria Math" w:hAnsi="Cambria Math"/>
                      <w:color w:val="000000" w:themeColor="text1"/>
                      <w14:textFill>
                        <w14:solidFill>
                          <w14:schemeClr w14:val="tx1"/>
                        </w14:solidFill>
                      </w14:textFill>
                    </w:rPr>
                  </m:ctrlPr>
                </m:sub>
              </m:sSub>
              <m:ctrlPr>
                <w:rPr>
                  <w:rFonts w:ascii="Cambria Math" w:hAnsi="Cambria Math"/>
                  <w:color w:val="000000" w:themeColor="text1"/>
                  <w14:textFill>
                    <w14:solidFill>
                      <w14:schemeClr w14:val="tx1"/>
                    </w14:solidFill>
                  </w14:textFill>
                </w:rPr>
              </m:ctrlPr>
            </m:den>
          </m:f>
          <m:r>
            <m:rPr>
              <m:sty m:val="p"/>
            </m:rPr>
            <w:rPr>
              <w:rFonts w:ascii="Cambria Math" w:hAnsi="Cambria Math"/>
              <w:color w:val="000000" w:themeColor="text1"/>
              <w14:textFill>
                <w14:solidFill>
                  <w14:schemeClr w14:val="tx1"/>
                </w14:solidFill>
              </w14:textFill>
            </w:rPr>
            <m:t>×</m:t>
          </m:r>
          <m:r>
            <w:rPr>
              <w:rFonts w:ascii="Cambria Math" w:hAnsi="Cambria Math"/>
              <w:color w:val="000000" w:themeColor="text1"/>
              <w14:textFill>
                <w14:solidFill>
                  <w14:schemeClr w14:val="tx1"/>
                </w14:solidFill>
              </w14:textFill>
            </w:rPr>
            <m:t>T</m:t>
          </m:r>
          <m:r>
            <m:rPr>
              <m:sty m:val="p"/>
            </m:rPr>
            <w:rPr>
              <w:rFonts w:ascii="Cambria Math" w:hAnsi="Cambria Math"/>
              <w:color w:val="000000" w:themeColor="text1"/>
              <w14:textFill>
                <w14:solidFill>
                  <w14:schemeClr w14:val="tx1"/>
                </w14:solidFill>
              </w14:textFill>
            </w:rPr>
            <m:t>×</m:t>
          </m:r>
          <m:sSub>
            <m:sSubPr>
              <m:ctrlPr>
                <w:rPr>
                  <w:rFonts w:ascii="Cambria Math" w:hAnsi="Cambria Math"/>
                  <w:color w:val="000000" w:themeColor="text1"/>
                  <w14:textFill>
                    <w14:solidFill>
                      <w14:schemeClr w14:val="tx1"/>
                    </w14:solidFill>
                  </w14:textFill>
                </w:rPr>
              </m:ctrlPr>
            </m:sSubPr>
            <m:e>
              <m:r>
                <w:rPr>
                  <w:rFonts w:ascii="Cambria Math" w:hAnsi="Cambria Math"/>
                  <w:color w:val="000000" w:themeColor="text1"/>
                  <w14:textFill>
                    <w14:solidFill>
                      <w14:schemeClr w14:val="tx1"/>
                    </w14:solidFill>
                  </w14:textFill>
                </w:rPr>
                <m:t>W</m:t>
              </m:r>
              <m:ctrlPr>
                <w:rPr>
                  <w:rFonts w:ascii="Cambria Math" w:hAnsi="Cambria Math"/>
                  <w:color w:val="000000" w:themeColor="text1"/>
                  <w14:textFill>
                    <w14:solidFill>
                      <w14:schemeClr w14:val="tx1"/>
                    </w14:solidFill>
                  </w14:textFill>
                </w:rPr>
              </m:ctrlPr>
            </m:e>
            <m:sub>
              <m:r>
                <m:rPr>
                  <m:sty m:val="p"/>
                </m:rPr>
                <w:rPr>
                  <w:rFonts w:ascii="Cambria Math" w:hAnsi="Cambria Math"/>
                  <w:color w:val="000000" w:themeColor="text1"/>
                  <w14:textFill>
                    <w14:solidFill>
                      <w14:schemeClr w14:val="tx1"/>
                    </w14:solidFill>
                  </w14:textFill>
                </w:rPr>
                <m:t>0</m:t>
              </m:r>
              <m:ctrlPr>
                <w:rPr>
                  <w:rFonts w:ascii="Cambria Math" w:hAnsi="Cambria Math"/>
                  <w:color w:val="000000" w:themeColor="text1"/>
                  <w14:textFill>
                    <w14:solidFill>
                      <w14:schemeClr w14:val="tx1"/>
                    </w14:solidFill>
                  </w14:textFill>
                </w:rPr>
              </m:ctrlPr>
            </m:sub>
          </m:sSub>
        </m:oMath>
      </m:oMathPara>
    </w:p>
    <w:p>
      <w:pPr>
        <w:pStyle w:val="283"/>
        <w:ind w:firstLine="462"/>
        <w:rPr>
          <w:color w:val="000000" w:themeColor="text1"/>
          <w14:textFill>
            <w14:solidFill>
              <w14:schemeClr w14:val="tx1"/>
            </w14:solidFill>
          </w14:textFill>
        </w:rPr>
      </w:pPr>
      <w:r>
        <w:rPr>
          <w:color w:val="000000" w:themeColor="text1"/>
          <w14:textFill>
            <w14:solidFill>
              <w14:schemeClr w14:val="tx1"/>
            </w14:solidFill>
          </w14:textFill>
        </w:rPr>
        <w:t>式中：</w:t>
      </w:r>
    </w:p>
    <w:p>
      <w:pPr>
        <w:pStyle w:val="283"/>
        <w:ind w:firstLine="462"/>
        <w:rPr>
          <w:color w:val="000000" w:themeColor="text1"/>
          <w14:textFill>
            <w14:solidFill>
              <w14:schemeClr w14:val="tx1"/>
            </w14:solidFill>
          </w14:textFill>
        </w:rPr>
      </w:pPr>
      <w:r>
        <w:rPr>
          <w:color w:val="000000" w:themeColor="text1"/>
          <w14:textFill>
            <w14:solidFill>
              <w14:schemeClr w14:val="tx1"/>
            </w14:solidFill>
          </w14:textFill>
        </w:rPr>
        <w:t>Q</w:t>
      </w:r>
      <w:r>
        <w:rPr>
          <w:color w:val="000000" w:themeColor="text1"/>
          <w:vertAlign w:val="subscript"/>
          <w14:textFill>
            <w14:solidFill>
              <w14:schemeClr w14:val="tx1"/>
            </w14:solidFill>
          </w14:textFill>
        </w:rPr>
        <w:t>1</w:t>
      </w:r>
      <w:r>
        <w:rPr>
          <w:color w:val="000000" w:themeColor="text1"/>
          <w14:textFill>
            <w14:solidFill>
              <w14:schemeClr w14:val="tx1"/>
            </w14:solidFill>
          </w14:textFill>
        </w:rPr>
        <w:t>——疏浚作业悬浮物产生量（t/h）；</w:t>
      </w:r>
    </w:p>
    <w:p>
      <w:pPr>
        <w:pStyle w:val="283"/>
        <w:ind w:firstLine="462"/>
        <w:rPr>
          <w:color w:val="000000" w:themeColor="text1"/>
          <w14:textFill>
            <w14:solidFill>
              <w14:schemeClr w14:val="tx1"/>
            </w14:solidFill>
          </w14:textFill>
        </w:rPr>
      </w:pPr>
      <w:r>
        <w:rPr>
          <w:color w:val="000000" w:themeColor="text1"/>
          <w14:textFill>
            <w14:solidFill>
              <w14:schemeClr w14:val="tx1"/>
            </w14:solidFill>
          </w14:textFill>
        </w:rPr>
        <w:t>R——现场流速悬浮物临界离子累计百分比（%），取89.2%；</w:t>
      </w:r>
    </w:p>
    <w:p>
      <w:pPr>
        <w:pStyle w:val="283"/>
        <w:ind w:firstLine="462"/>
        <w:rPr>
          <w:color w:val="000000" w:themeColor="text1"/>
          <w14:textFill>
            <w14:solidFill>
              <w14:schemeClr w14:val="tx1"/>
            </w14:solidFill>
          </w14:textFill>
        </w:rPr>
      </w:pPr>
      <w:r>
        <w:rPr>
          <w:color w:val="000000" w:themeColor="text1"/>
          <w14:textFill>
            <w14:solidFill>
              <w14:schemeClr w14:val="tx1"/>
            </w14:solidFill>
          </w14:textFill>
        </w:rPr>
        <w:t>R</w:t>
      </w:r>
      <w:r>
        <w:rPr>
          <w:color w:val="000000" w:themeColor="text1"/>
          <w:vertAlign w:val="subscript"/>
          <w14:textFill>
            <w14:solidFill>
              <w14:schemeClr w14:val="tx1"/>
            </w14:solidFill>
          </w14:textFill>
        </w:rPr>
        <w:t>0</w:t>
      </w:r>
      <w:r>
        <w:rPr>
          <w:color w:val="000000" w:themeColor="text1"/>
          <w14:textFill>
            <w14:solidFill>
              <w14:schemeClr w14:val="tx1"/>
            </w14:solidFill>
          </w14:textFill>
        </w:rPr>
        <w:t>——产生系数为W</w:t>
      </w:r>
      <w:r>
        <w:rPr>
          <w:color w:val="000000" w:themeColor="text1"/>
          <w:vertAlign w:val="subscript"/>
          <w14:textFill>
            <w14:solidFill>
              <w14:schemeClr w14:val="tx1"/>
            </w14:solidFill>
          </w14:textFill>
        </w:rPr>
        <w:t>0</w:t>
      </w:r>
      <w:r>
        <w:rPr>
          <w:color w:val="000000" w:themeColor="text1"/>
          <w14:textFill>
            <w14:solidFill>
              <w14:schemeClr w14:val="tx1"/>
            </w14:solidFill>
          </w14:textFill>
        </w:rPr>
        <w:t>时的悬浮物粒径累计百分比（%），取80.2%；</w:t>
      </w:r>
    </w:p>
    <w:p>
      <w:pPr>
        <w:pStyle w:val="283"/>
        <w:ind w:firstLine="462"/>
        <w:rPr>
          <w:color w:val="000000" w:themeColor="text1"/>
          <w14:textFill>
            <w14:solidFill>
              <w14:schemeClr w14:val="tx1"/>
            </w14:solidFill>
          </w14:textFill>
        </w:rPr>
      </w:pPr>
      <w:r>
        <w:rPr>
          <w:color w:val="000000" w:themeColor="text1"/>
          <w14:textFill>
            <w14:solidFill>
              <w14:schemeClr w14:val="tx1"/>
            </w14:solidFill>
          </w14:textFill>
        </w:rPr>
        <w:t>T——挖泥船疏浚效率（m</w:t>
      </w:r>
      <w:r>
        <w:rPr>
          <w:color w:val="000000" w:themeColor="text1"/>
          <w:vertAlign w:val="superscript"/>
          <w14:textFill>
            <w14:solidFill>
              <w14:schemeClr w14:val="tx1"/>
            </w14:solidFill>
          </w14:textFill>
        </w:rPr>
        <w:t>3</w:t>
      </w:r>
      <w:r>
        <w:rPr>
          <w:color w:val="000000" w:themeColor="text1"/>
          <w14:textFill>
            <w14:solidFill>
              <w14:schemeClr w14:val="tx1"/>
            </w14:solidFill>
          </w14:textFill>
        </w:rPr>
        <w:t>/h）；</w:t>
      </w:r>
    </w:p>
    <w:p>
      <w:pPr>
        <w:pStyle w:val="283"/>
        <w:ind w:firstLine="462"/>
        <w:rPr>
          <w:color w:val="000000" w:themeColor="text1"/>
          <w14:textFill>
            <w14:solidFill>
              <w14:schemeClr w14:val="tx1"/>
            </w14:solidFill>
          </w14:textFill>
        </w:rPr>
      </w:pPr>
      <w:r>
        <w:rPr>
          <w:color w:val="000000" w:themeColor="text1"/>
          <w14:textFill>
            <w14:solidFill>
              <w14:schemeClr w14:val="tx1"/>
            </w14:solidFill>
          </w14:textFill>
        </w:rPr>
        <w:t>W</w:t>
      </w:r>
      <w:r>
        <w:rPr>
          <w:color w:val="000000" w:themeColor="text1"/>
          <w:vertAlign w:val="subscript"/>
          <w14:textFill>
            <w14:solidFill>
              <w14:schemeClr w14:val="tx1"/>
            </w14:solidFill>
          </w14:textFill>
        </w:rPr>
        <w:t>0</w:t>
      </w:r>
      <w:r>
        <w:rPr>
          <w:color w:val="000000" w:themeColor="text1"/>
          <w14:textFill>
            <w14:solidFill>
              <w14:schemeClr w14:val="tx1"/>
            </w14:solidFill>
          </w14:textFill>
        </w:rPr>
        <w:t>——悬浮物产生系数（t/m</w:t>
      </w:r>
      <w:r>
        <w:rPr>
          <w:color w:val="000000" w:themeColor="text1"/>
          <w:vertAlign w:val="superscript"/>
          <w14:textFill>
            <w14:solidFill>
              <w14:schemeClr w14:val="tx1"/>
            </w14:solidFill>
          </w14:textFill>
        </w:rPr>
        <w:t>3</w:t>
      </w:r>
      <w:r>
        <w:rPr>
          <w:color w:val="000000" w:themeColor="text1"/>
          <w14:textFill>
            <w14:solidFill>
              <w14:schemeClr w14:val="tx1"/>
            </w14:solidFill>
          </w14:textFill>
        </w:rPr>
        <w:t>），取38.0×10</w:t>
      </w:r>
      <w:r>
        <w:rPr>
          <w:color w:val="000000" w:themeColor="text1"/>
          <w:vertAlign w:val="superscript"/>
          <w14:textFill>
            <w14:solidFill>
              <w14:schemeClr w14:val="tx1"/>
            </w14:solidFill>
          </w14:textFill>
        </w:rPr>
        <w:t>-3</w:t>
      </w:r>
      <w:r>
        <w:rPr>
          <w:color w:val="000000" w:themeColor="text1"/>
          <w14:textFill>
            <w14:solidFill>
              <w14:schemeClr w14:val="tx1"/>
            </w14:solidFill>
          </w14:textFill>
        </w:rPr>
        <w:t>。</w:t>
      </w:r>
    </w:p>
    <w:p>
      <w:pPr>
        <w:pStyle w:val="283"/>
        <w:ind w:firstLine="462"/>
        <w:rPr>
          <w:color w:val="000000" w:themeColor="text1"/>
          <w14:textFill>
            <w14:solidFill>
              <w14:schemeClr w14:val="tx1"/>
            </w14:solidFill>
          </w14:textFill>
        </w:rPr>
      </w:pPr>
      <w:r>
        <w:rPr>
          <w:color w:val="000000" w:themeColor="text1"/>
          <w14:textFill>
            <w14:solidFill>
              <w14:schemeClr w14:val="tx1"/>
            </w14:solidFill>
          </w14:textFill>
        </w:rPr>
        <w:t>根据《水运工程建设项目</w:t>
      </w:r>
      <w:r>
        <w:rPr>
          <w:rFonts w:hint="eastAsia"/>
          <w:color w:val="000000" w:themeColor="text1"/>
          <w14:textFill>
            <w14:solidFill>
              <w14:schemeClr w14:val="tx1"/>
            </w14:solidFill>
          </w14:textFill>
        </w:rPr>
        <w:t>环境影响评价指南</w:t>
      </w:r>
      <w:r>
        <w:rPr>
          <w:color w:val="000000" w:themeColor="text1"/>
          <w14:textFill>
            <w14:solidFill>
              <w14:schemeClr w14:val="tx1"/>
            </w14:solidFill>
          </w14:textFill>
        </w:rPr>
        <w:t>》（JTS 105－2021），取R为89.2%，R</w:t>
      </w:r>
      <w:r>
        <w:rPr>
          <w:color w:val="000000" w:themeColor="text1"/>
          <w:vertAlign w:val="subscript"/>
          <w14:textFill>
            <w14:solidFill>
              <w14:schemeClr w14:val="tx1"/>
            </w14:solidFill>
          </w14:textFill>
        </w:rPr>
        <w:t>0</w:t>
      </w:r>
      <w:r>
        <w:rPr>
          <w:color w:val="000000" w:themeColor="text1"/>
          <w14:textFill>
            <w14:solidFill>
              <w14:schemeClr w14:val="tx1"/>
            </w14:solidFill>
          </w14:textFill>
        </w:rPr>
        <w:t>为80.2%，W</w:t>
      </w:r>
      <w:r>
        <w:rPr>
          <w:color w:val="000000" w:themeColor="text1"/>
          <w:vertAlign w:val="subscript"/>
          <w14:textFill>
            <w14:solidFill>
              <w14:schemeClr w14:val="tx1"/>
            </w14:solidFill>
          </w14:textFill>
        </w:rPr>
        <w:t>0</w:t>
      </w:r>
      <w:r>
        <w:rPr>
          <w:color w:val="000000" w:themeColor="text1"/>
          <w14:textFill>
            <w14:solidFill>
              <w14:schemeClr w14:val="tx1"/>
            </w14:solidFill>
          </w14:textFill>
        </w:rPr>
        <w:t>为38×10</w:t>
      </w:r>
      <w:r>
        <w:rPr>
          <w:rFonts w:hint="eastAsia"/>
          <w:color w:val="000000" w:themeColor="text1"/>
          <w:vertAlign w:val="superscript"/>
          <w14:textFill>
            <w14:solidFill>
              <w14:schemeClr w14:val="tx1"/>
            </w14:solidFill>
          </w14:textFill>
        </w:rPr>
        <w:t>-</w:t>
      </w:r>
      <w:r>
        <w:rPr>
          <w:color w:val="000000" w:themeColor="text1"/>
          <w:vertAlign w:val="superscript"/>
          <w14:textFill>
            <w14:solidFill>
              <w14:schemeClr w14:val="tx1"/>
            </w14:solidFill>
          </w14:textFill>
        </w:rPr>
        <w:t>3</w:t>
      </w:r>
      <w:r>
        <w:rPr>
          <w:color w:val="000000" w:themeColor="text1"/>
          <w14:textFill>
            <w14:solidFill>
              <w14:schemeClr w14:val="tx1"/>
            </w14:solidFill>
          </w14:textFill>
        </w:rPr>
        <w:t>t/m</w:t>
      </w:r>
      <w:r>
        <w:rPr>
          <w:color w:val="000000" w:themeColor="text1"/>
          <w:vertAlign w:val="superscript"/>
          <w14:textFill>
            <w14:solidFill>
              <w14:schemeClr w14:val="tx1"/>
            </w14:solidFill>
          </w14:textFill>
        </w:rPr>
        <w:t>3</w:t>
      </w:r>
      <w:r>
        <w:rPr>
          <w:color w:val="000000" w:themeColor="text1"/>
          <w14:textFill>
            <w14:solidFill>
              <w14:schemeClr w14:val="tx1"/>
            </w14:solidFill>
          </w14:textFill>
        </w:rPr>
        <w:t>。</w:t>
      </w:r>
    </w:p>
    <w:p>
      <w:pPr>
        <w:pStyle w:val="283"/>
        <w:ind w:firstLine="462"/>
        <w:rPr>
          <w:color w:val="000000" w:themeColor="text1"/>
          <w14:textFill>
            <w14:solidFill>
              <w14:schemeClr w14:val="tx1"/>
            </w14:solidFill>
          </w14:textFill>
        </w:rPr>
      </w:pPr>
      <w:r>
        <w:rPr>
          <w:rFonts w:hint="eastAsia"/>
          <w:color w:val="000000" w:themeColor="text1"/>
          <w14:textFill>
            <w14:solidFill>
              <w14:schemeClr w14:val="tx1"/>
            </w14:solidFill>
          </w14:textFill>
        </w:rPr>
        <w:t>根据交通运输部发布《疏浚工程预算定额》（JTS/T 278-1</w:t>
      </w:r>
      <w:r>
        <w:rPr>
          <w:color w:val="000000" w:themeColor="text1"/>
          <w14:textFill>
            <w14:solidFill>
              <w14:schemeClr w14:val="tx1"/>
            </w14:solidFill>
          </w14:textFill>
        </w:rPr>
        <w:t>－20</w:t>
      </w:r>
      <w:r>
        <w:rPr>
          <w:rFonts w:hint="eastAsia"/>
          <w:color w:val="000000" w:themeColor="text1"/>
          <w14:textFill>
            <w14:solidFill>
              <w14:schemeClr w14:val="tx1"/>
            </w14:solidFill>
          </w14:textFill>
        </w:rPr>
        <w:t>19），4类土13m</w:t>
      </w:r>
      <w:r>
        <w:rPr>
          <w:rFonts w:hint="eastAsia"/>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抓斗式挖泥船疏浚效率10000m</w:t>
      </w:r>
      <w:r>
        <w:rPr>
          <w:rFonts w:hint="eastAsia"/>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需5.4台班（1台班按8h计算），则疏浚效率约为298m</w:t>
      </w:r>
      <w:r>
        <w:rPr>
          <w:rFonts w:hint="eastAsia"/>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/h</w:t>
      </w:r>
      <w:r>
        <w:rPr>
          <w:color w:val="000000" w:themeColor="text1"/>
          <w14:textFill>
            <w14:solidFill>
              <w14:schemeClr w14:val="tx1"/>
            </w14:solidFill>
          </w14:textFill>
        </w:rPr>
        <w:t>。则疏浚产生的悬浮物源强约为</w:t>
      </w:r>
      <w:r>
        <w:rPr>
          <w:rFonts w:hint="eastAsia"/>
          <w:color w:val="000000" w:themeColor="text1"/>
          <w14:textFill>
            <w14:solidFill>
              <w14:schemeClr w14:val="tx1"/>
            </w14:solidFill>
          </w14:textFill>
        </w:rPr>
        <w:t xml:space="preserve">12.59 </w:t>
      </w:r>
      <w:r>
        <w:rPr>
          <w:color w:val="000000" w:themeColor="text1"/>
          <w14:textFill>
            <w14:solidFill>
              <w14:schemeClr w14:val="tx1"/>
            </w14:solidFill>
          </w14:textFill>
        </w:rPr>
        <w:t>t/h（</w:t>
      </w:r>
      <w:r>
        <w:rPr>
          <w:rFonts w:hint="eastAsia"/>
          <w:color w:val="000000" w:themeColor="text1"/>
          <w14:textFill>
            <w14:solidFill>
              <w14:schemeClr w14:val="tx1"/>
            </w14:solidFill>
          </w14:textFill>
        </w:rPr>
        <w:t>3.49</w:t>
      </w:r>
      <w:r>
        <w:rPr>
          <w:color w:val="000000" w:themeColor="text1"/>
          <w14:textFill>
            <w14:solidFill>
              <w14:schemeClr w14:val="tx1"/>
            </w14:solidFill>
          </w14:textFill>
        </w:rPr>
        <w:t xml:space="preserve"> kg/s）</w:t>
      </w:r>
      <w:r>
        <w:rPr>
          <w:rFonts w:hint="eastAsia"/>
          <w:color w:val="000000" w:themeColor="text1"/>
          <w14:textFill>
            <w14:solidFill>
              <w14:schemeClr w14:val="tx1"/>
            </w14:solidFill>
          </w14:textFill>
        </w:rPr>
        <w:t>。</w:t>
      </w:r>
    </w:p>
    <w:p>
      <w:pPr>
        <w:pStyle w:val="283"/>
        <w:ind w:firstLine="462"/>
        <w:rPr>
          <w:color w:val="000000" w:themeColor="text1"/>
          <w14:textFill>
            <w14:solidFill>
              <w14:schemeClr w14:val="tx1"/>
            </w14:solidFill>
          </w14:textFill>
        </w:rPr>
      </w:pPr>
      <w:r>
        <w:rPr>
          <w:rFonts w:hint="eastAsia"/>
          <w:color w:val="000000" w:themeColor="text1"/>
          <w14:textFill>
            <w14:solidFill>
              <w14:schemeClr w14:val="tx1"/>
            </w14:solidFill>
          </w14:textFill>
        </w:rPr>
        <w:t>②护岸基槽开挖及疏浚绞吸式挖泥船源强</w:t>
      </w:r>
    </w:p>
    <w:p>
      <w:pPr>
        <w:pStyle w:val="283"/>
        <w:ind w:firstLine="462"/>
        <w:rPr>
          <w:color w:val="000000" w:themeColor="text1"/>
          <w14:textFill>
            <w14:solidFill>
              <w14:schemeClr w14:val="tx1"/>
            </w14:solidFill>
          </w14:textFill>
        </w:rPr>
      </w:pPr>
      <w:r>
        <w:rPr>
          <w:rFonts w:hint="eastAsia"/>
          <w:color w:val="000000" w:themeColor="text1"/>
          <w14:textFill>
            <w14:solidFill>
              <w14:schemeClr w14:val="tx1"/>
            </w14:solidFill>
          </w14:textFill>
        </w:rPr>
        <w:t>根据项目设计资料，项目护岸基槽开挖及疏浚区2类疏浚土采用疏浚效率为</w:t>
      </w:r>
      <w:r>
        <w:rPr>
          <w:color w:val="000000" w:themeColor="text1"/>
          <w14:textFill>
            <w14:solidFill>
              <w14:schemeClr w14:val="tx1"/>
            </w14:solidFill>
          </w14:textFill>
        </w:rPr>
        <w:t>1450m³/h的绞吸式挖泥船清挖</w:t>
      </w:r>
      <w:r>
        <w:rPr>
          <w:rFonts w:hint="eastAsia"/>
          <w:color w:val="000000" w:themeColor="text1"/>
          <w14:textFill>
            <w14:solidFill>
              <w14:schemeClr w14:val="tx1"/>
            </w14:solidFill>
          </w14:textFill>
        </w:rPr>
        <w:t>。根据上述《水运工程建设项目环境影响评价指南》（JTS 105－2021）中</w:t>
      </w:r>
      <w:r>
        <w:rPr>
          <w:color w:val="000000" w:themeColor="text1"/>
          <w14:textFill>
            <w14:solidFill>
              <w14:schemeClr w14:val="tx1"/>
            </w14:solidFill>
          </w14:textFill>
        </w:rPr>
        <w:t>疏浚作业悬浮物源强计算公式，本项目采用的1450m</w:t>
      </w:r>
      <w:r>
        <w:rPr>
          <w:color w:val="000000" w:themeColor="text1"/>
          <w:vertAlign w:val="superscript"/>
          <w14:textFill>
            <w14:solidFill>
              <w14:schemeClr w14:val="tx1"/>
            </w14:solidFill>
          </w14:textFill>
        </w:rPr>
        <w:t>3</w:t>
      </w:r>
      <w:r>
        <w:rPr>
          <w:color w:val="000000" w:themeColor="text1"/>
          <w14:textFill>
            <w14:solidFill>
              <w14:schemeClr w14:val="tx1"/>
            </w14:solidFill>
          </w14:textFill>
        </w:rPr>
        <w:t>/h绞吸式挖泥船进行港池</w:t>
      </w:r>
      <w:r>
        <w:rPr>
          <w:rFonts w:hint="eastAsia"/>
          <w:color w:val="000000" w:themeColor="text1"/>
          <w14:textFill>
            <w14:solidFill>
              <w14:schemeClr w14:val="tx1"/>
            </w14:solidFill>
          </w14:textFill>
        </w:rPr>
        <w:t>2类土疏浚</w:t>
      </w:r>
      <w:r>
        <w:rPr>
          <w:color w:val="000000" w:themeColor="text1"/>
          <w14:textFill>
            <w14:solidFill>
              <w14:schemeClr w14:val="tx1"/>
            </w14:solidFill>
          </w14:textFill>
        </w:rPr>
        <w:t>，取R为89.2%，R</w:t>
      </w:r>
      <w:r>
        <w:rPr>
          <w:color w:val="000000" w:themeColor="text1"/>
          <w:vertAlign w:val="subscript"/>
          <w14:textFill>
            <w14:solidFill>
              <w14:schemeClr w14:val="tx1"/>
            </w14:solidFill>
          </w14:textFill>
        </w:rPr>
        <w:t>0</w:t>
      </w:r>
      <w:r>
        <w:rPr>
          <w:color w:val="000000" w:themeColor="text1"/>
          <w14:textFill>
            <w14:solidFill>
              <w14:schemeClr w14:val="tx1"/>
            </w14:solidFill>
          </w14:textFill>
        </w:rPr>
        <w:t>为80.2%，W</w:t>
      </w:r>
      <w:r>
        <w:rPr>
          <w:color w:val="000000" w:themeColor="text1"/>
          <w:vertAlign w:val="subscript"/>
          <w14:textFill>
            <w14:solidFill>
              <w14:schemeClr w14:val="tx1"/>
            </w14:solidFill>
          </w14:textFill>
        </w:rPr>
        <w:t>0</w:t>
      </w:r>
      <w:r>
        <w:rPr>
          <w:color w:val="000000" w:themeColor="text1"/>
          <w14:textFill>
            <w14:solidFill>
              <w14:schemeClr w14:val="tx1"/>
            </w14:solidFill>
          </w14:textFill>
        </w:rPr>
        <w:t>为38×10</w:t>
      </w:r>
      <w:r>
        <w:rPr>
          <w:rFonts w:hint="eastAsia"/>
          <w:color w:val="000000" w:themeColor="text1"/>
          <w:vertAlign w:val="superscript"/>
          <w14:textFill>
            <w14:solidFill>
              <w14:schemeClr w14:val="tx1"/>
            </w14:solidFill>
          </w14:textFill>
        </w:rPr>
        <w:t>-</w:t>
      </w:r>
      <w:r>
        <w:rPr>
          <w:color w:val="000000" w:themeColor="text1"/>
          <w:vertAlign w:val="superscript"/>
          <w14:textFill>
            <w14:solidFill>
              <w14:schemeClr w14:val="tx1"/>
            </w14:solidFill>
          </w14:textFill>
        </w:rPr>
        <w:t>3</w:t>
      </w:r>
      <w:r>
        <w:rPr>
          <w:color w:val="000000" w:themeColor="text1"/>
          <w14:textFill>
            <w14:solidFill>
              <w14:schemeClr w14:val="tx1"/>
            </w14:solidFill>
          </w14:textFill>
        </w:rPr>
        <w:t>t/m</w:t>
      </w:r>
      <w:r>
        <w:rPr>
          <w:color w:val="000000" w:themeColor="text1"/>
          <w:vertAlign w:val="superscript"/>
          <w14:textFill>
            <w14:solidFill>
              <w14:schemeClr w14:val="tx1"/>
            </w14:solidFill>
          </w14:textFill>
        </w:rPr>
        <w:t>3</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根据《疏浚工程预算定额》（JTS/T 278-1</w:t>
      </w:r>
      <w:r>
        <w:rPr>
          <w:color w:val="000000" w:themeColor="text1"/>
          <w14:textFill>
            <w14:solidFill>
              <w14:schemeClr w14:val="tx1"/>
            </w14:solidFill>
          </w14:textFill>
        </w:rPr>
        <w:t>－20</w:t>
      </w:r>
      <w:r>
        <w:rPr>
          <w:rFonts w:hint="eastAsia"/>
          <w:color w:val="000000" w:themeColor="text1"/>
          <w14:textFill>
            <w14:solidFill>
              <w14:schemeClr w14:val="tx1"/>
            </w14:solidFill>
          </w14:textFill>
        </w:rPr>
        <w:t>19），2类土</w:t>
      </w:r>
      <w:r>
        <w:rPr>
          <w:color w:val="000000" w:themeColor="text1"/>
          <w14:textFill>
            <w14:solidFill>
              <w14:schemeClr w14:val="tx1"/>
            </w14:solidFill>
          </w14:textFill>
        </w:rPr>
        <w:t>1450m</w:t>
      </w:r>
      <w:r>
        <w:rPr>
          <w:color w:val="000000" w:themeColor="text1"/>
          <w:vertAlign w:val="superscript"/>
          <w14:textFill>
            <w14:solidFill>
              <w14:schemeClr w14:val="tx1"/>
            </w14:solidFill>
          </w14:textFill>
        </w:rPr>
        <w:t>3</w:t>
      </w:r>
      <w:r>
        <w:rPr>
          <w:color w:val="000000" w:themeColor="text1"/>
          <w14:textFill>
            <w14:solidFill>
              <w14:schemeClr w14:val="tx1"/>
            </w14:solidFill>
          </w14:textFill>
        </w:rPr>
        <w:t>/h绞吸式</w:t>
      </w:r>
      <w:r>
        <w:rPr>
          <w:rFonts w:hint="eastAsia"/>
          <w:color w:val="000000" w:themeColor="text1"/>
          <w14:textFill>
            <w14:solidFill>
              <w14:schemeClr w14:val="tx1"/>
            </w14:solidFill>
          </w14:textFill>
        </w:rPr>
        <w:t>挖泥船疏浚效率10000m</w:t>
      </w:r>
      <w:r>
        <w:rPr>
          <w:rFonts w:hint="eastAsia"/>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需1.98台班（1台班按8h计算），则疏浚效率约为631m</w:t>
      </w:r>
      <w:r>
        <w:rPr>
          <w:rFonts w:hint="eastAsia"/>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/h</w:t>
      </w:r>
      <w:r>
        <w:rPr>
          <w:color w:val="000000" w:themeColor="text1"/>
          <w14:textFill>
            <w14:solidFill>
              <w14:schemeClr w14:val="tx1"/>
            </w14:solidFill>
          </w14:textFill>
        </w:rPr>
        <w:t>。则疏浚产生的悬浮物源强约为</w:t>
      </w:r>
      <w:r>
        <w:rPr>
          <w:rFonts w:hint="eastAsia"/>
          <w:color w:val="000000" w:themeColor="text1"/>
          <w14:textFill>
            <w14:solidFill>
              <w14:schemeClr w14:val="tx1"/>
            </w14:solidFill>
          </w14:textFill>
        </w:rPr>
        <w:t>26.65</w:t>
      </w:r>
      <w:r>
        <w:rPr>
          <w:color w:val="000000" w:themeColor="text1"/>
          <w14:textFill>
            <w14:solidFill>
              <w14:schemeClr w14:val="tx1"/>
            </w14:solidFill>
          </w14:textFill>
        </w:rPr>
        <w:t>t/h（</w:t>
      </w:r>
      <w:r>
        <w:rPr>
          <w:rFonts w:hint="eastAsia"/>
          <w:color w:val="000000" w:themeColor="text1"/>
          <w14:textFill>
            <w14:solidFill>
              <w14:schemeClr w14:val="tx1"/>
            </w14:solidFill>
          </w14:textFill>
        </w:rPr>
        <w:t>7.41</w:t>
      </w:r>
      <w:r>
        <w:rPr>
          <w:color w:val="000000" w:themeColor="text1"/>
          <w14:textFill>
            <w14:solidFill>
              <w14:schemeClr w14:val="tx1"/>
            </w14:solidFill>
          </w14:textFill>
        </w:rPr>
        <w:t xml:space="preserve"> kg/s）</w:t>
      </w:r>
      <w:r>
        <w:rPr>
          <w:rFonts w:hint="eastAsia"/>
          <w:color w:val="000000" w:themeColor="text1"/>
          <w14:textFill>
            <w14:solidFill>
              <w14:schemeClr w14:val="tx1"/>
            </w14:solidFill>
          </w14:textFill>
        </w:rPr>
        <w:t>。</w:t>
      </w:r>
    </w:p>
    <w:p>
      <w:pPr>
        <w:pStyle w:val="283"/>
        <w:ind w:firstLine="462"/>
        <w:rPr>
          <w:color w:val="000000" w:themeColor="text1"/>
          <w14:textFill>
            <w14:solidFill>
              <w14:schemeClr w14:val="tx1"/>
            </w14:solidFill>
          </w14:textFill>
        </w:rPr>
      </w:pPr>
      <w:r>
        <w:rPr>
          <w:color w:val="000000" w:themeColor="text1"/>
          <w14:textFill>
            <w14:solidFill>
              <w14:schemeClr w14:val="tx1"/>
            </w14:solidFill>
          </w14:textFill>
        </w:rPr>
        <w:t>（2）</w:t>
      </w:r>
      <w:bookmarkStart w:id="117" w:name="_Hlk103883759"/>
      <w:r>
        <w:rPr>
          <w:color w:val="000000" w:themeColor="text1"/>
          <w14:textFill>
            <w14:solidFill>
              <w14:schemeClr w14:val="tx1"/>
            </w14:solidFill>
          </w14:textFill>
        </w:rPr>
        <w:t>炸礁</w:t>
      </w:r>
      <w:bookmarkEnd w:id="117"/>
    </w:p>
    <w:p>
      <w:pPr>
        <w:pStyle w:val="283"/>
        <w:ind w:firstLine="462"/>
        <w:rPr>
          <w:color w:val="000000" w:themeColor="text1"/>
          <w:kern w:val="2"/>
          <w14:textFill>
            <w14:solidFill>
              <w14:schemeClr w14:val="tx1"/>
            </w14:solidFill>
          </w14:textFill>
        </w:rPr>
      </w:pPr>
      <w:r>
        <w:rPr>
          <w:color w:val="000000" w:themeColor="text1"/>
          <w14:textFill>
            <w14:solidFill>
              <w14:schemeClr w14:val="tx1"/>
            </w14:solidFill>
          </w14:textFill>
        </w:rPr>
        <w:t>炸礁工程SS的产生量与水下工程施工的工程量、施工方式、施工强度、底质组成等有关。</w:t>
      </w:r>
      <w:bookmarkStart w:id="118" w:name="_Hlk171159852"/>
      <w:r>
        <w:rPr>
          <w:rFonts w:hint="eastAsia"/>
          <w:color w:val="000000" w:themeColor="text1"/>
          <w14:textFill>
            <w14:solidFill>
              <w14:schemeClr w14:val="tx1"/>
            </w14:solidFill>
          </w14:textFill>
        </w:rPr>
        <w:t>本工程采用先钻爆，后清渣，再扫浅分步实施，采用1艘炸礁船进行钻爆作业。一般每次钻爆炸礁量最多不超过250 m</w:t>
      </w:r>
      <w:r>
        <w:rPr>
          <w:rFonts w:hint="eastAsia"/>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参照《闽江通海航道三期工程环境影响报告书（报批稿）》（2017年4月，福建省环境科学研究院）炸礁悬浮物源强计算及相关研究，水下炸礁泥沙起悬量与工程区地质组成有关，通常起悬比不超过5%，按此比例，本工程每次爆破悬砂量应少于12.5m</w:t>
      </w:r>
      <w:r>
        <w:rPr>
          <w:rFonts w:hint="eastAsia"/>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，因此，水下炸礁瞬时悬沙泥沙源强为12.5 m</w:t>
      </w:r>
      <w:r>
        <w:rPr>
          <w:rFonts w:hint="eastAsia"/>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w:t>
      </w:r>
    </w:p>
    <w:p>
      <w:pPr>
        <w:pStyle w:val="283"/>
        <w:ind w:firstLine="462"/>
        <w:rPr>
          <w:color w:val="000000" w:themeColor="text1"/>
          <w14:textFill>
            <w14:solidFill>
              <w14:schemeClr w14:val="tx1"/>
            </w14:solidFill>
          </w14:textFill>
        </w:rPr>
      </w:pPr>
      <w:r>
        <w:rPr>
          <w:rFonts w:hint="eastAsia"/>
          <w:color w:val="000000" w:themeColor="text1"/>
          <w14:textFill>
            <w14:solidFill>
              <w14:schemeClr w14:val="tx1"/>
            </w14:solidFill>
          </w14:textFill>
        </w:rPr>
        <w:t>（3）溢流口悬浮物发生量</w:t>
      </w:r>
    </w:p>
    <w:p>
      <w:pPr>
        <w:pStyle w:val="283"/>
        <w:ind w:firstLine="462"/>
        <w:rPr>
          <w:color w:val="000000" w:themeColor="text1"/>
          <w14:textFill>
            <w14:solidFill>
              <w14:schemeClr w14:val="tx1"/>
            </w14:solidFill>
          </w14:textFill>
        </w:rPr>
      </w:pPr>
      <w:r>
        <w:rPr>
          <w:color w:val="000000" w:themeColor="text1"/>
          <w14:textFill>
            <w14:solidFill>
              <w14:schemeClr w14:val="tx1"/>
            </w14:solidFill>
          </w14:textFill>
        </w:rPr>
        <w:t>本项目依托工程后方陆域形成采用绞吸式挖泥船吹填造陆，</w:t>
      </w:r>
      <w:r>
        <w:rPr>
          <w:rFonts w:hint="eastAsia"/>
          <w:color w:val="000000" w:themeColor="text1"/>
          <w14:textFill>
            <w14:solidFill>
              <w14:schemeClr w14:val="tx1"/>
            </w14:solidFill>
          </w14:textFill>
        </w:rPr>
        <w:t>在回填区域与未回填区域的交界处设置溢流口，溢流口</w:t>
      </w:r>
      <w:r>
        <w:rPr>
          <w:color w:val="000000" w:themeColor="text1"/>
          <w14:textFill>
            <w14:solidFill>
              <w14:schemeClr w14:val="tx1"/>
            </w14:solidFill>
          </w14:textFill>
        </w:rPr>
        <w:t>排出的含有悬浮物的海水将对溢流口附近水域造成水体</w:t>
      </w:r>
      <w:r>
        <w:rPr>
          <w:rFonts w:hint="eastAsia"/>
          <w:color w:val="000000" w:themeColor="text1"/>
          <w:lang w:eastAsia="zh-CN"/>
          <w14:textFill>
            <w14:solidFill>
              <w14:schemeClr w14:val="tx1"/>
            </w14:solidFill>
          </w14:textFill>
        </w:rPr>
        <w:t>浑浊</w:t>
      </w:r>
      <w:r>
        <w:rPr>
          <w:color w:val="000000" w:themeColor="text1"/>
          <w14:textFill>
            <w14:solidFill>
              <w14:schemeClr w14:val="tx1"/>
            </w14:solidFill>
          </w14:textFill>
        </w:rPr>
        <w:t>，水质下降，对海洋生物也产生影响，其主要污染物为SS。</w:t>
      </w:r>
    </w:p>
    <w:p>
      <w:pPr>
        <w:pStyle w:val="283"/>
        <w:ind w:firstLine="462"/>
        <w:rPr>
          <w:color w:val="000000" w:themeColor="text1"/>
          <w14:textFill>
            <w14:solidFill>
              <w14:schemeClr w14:val="tx1"/>
            </w14:solidFill>
          </w14:textFill>
        </w:rPr>
      </w:pPr>
      <w:r>
        <w:rPr>
          <w:color w:val="000000" w:themeColor="text1"/>
          <w14:textFill>
            <w14:solidFill>
              <w14:schemeClr w14:val="tx1"/>
            </w14:solidFill>
          </w14:textFill>
        </w:rPr>
        <w:t>从</w:t>
      </w:r>
      <w:r>
        <w:rPr>
          <w:rFonts w:hint="eastAsia"/>
          <w:color w:val="000000" w:themeColor="text1"/>
          <w14:textFill>
            <w14:solidFill>
              <w14:schemeClr w14:val="tx1"/>
            </w14:solidFill>
          </w14:textFill>
        </w:rPr>
        <w:t>溢流口</w:t>
      </w:r>
      <w:r>
        <w:rPr>
          <w:color w:val="000000" w:themeColor="text1"/>
          <w14:textFill>
            <w14:solidFill>
              <w14:schemeClr w14:val="tx1"/>
            </w14:solidFill>
          </w14:textFill>
        </w:rPr>
        <w:t>排放出的悬浮物对海域的污染主要取决于</w:t>
      </w:r>
      <w:r>
        <w:rPr>
          <w:rFonts w:hint="eastAsia"/>
          <w:color w:val="000000" w:themeColor="text1"/>
          <w14:textFill>
            <w14:solidFill>
              <w14:schemeClr w14:val="tx1"/>
            </w14:solidFill>
          </w14:textFill>
        </w:rPr>
        <w:t>溢流口泄水</w:t>
      </w:r>
      <w:r>
        <w:rPr>
          <w:color w:val="000000" w:themeColor="text1"/>
          <w14:textFill>
            <w14:solidFill>
              <w14:schemeClr w14:val="tx1"/>
            </w14:solidFill>
          </w14:textFill>
        </w:rPr>
        <w:t>中的SS浓度，</w:t>
      </w:r>
      <w:r>
        <w:rPr>
          <w:rFonts w:hint="eastAsia"/>
          <w:color w:val="000000" w:themeColor="text1"/>
          <w14:textFill>
            <w14:solidFill>
              <w14:schemeClr w14:val="tx1"/>
            </w14:solidFill>
          </w14:textFill>
        </w:rPr>
        <w:t>参照</w:t>
      </w:r>
      <w:r>
        <w:rPr>
          <w:color w:val="000000" w:themeColor="text1"/>
          <w14:textFill>
            <w14:solidFill>
              <w14:schemeClr w14:val="tx1"/>
            </w14:solidFill>
          </w14:textFill>
        </w:rPr>
        <w:t>《水运工程建设项目环境影响评价指南》（JTS/T105-2021）吹填溢流口处的悬浮物发生量可按下式计算：</w:t>
      </w:r>
    </w:p>
    <w:p>
      <w:pPr>
        <w:pStyle w:val="283"/>
        <w:ind w:firstLine="462"/>
        <w:rPr>
          <w:color w:val="000000" w:themeColor="text1"/>
          <w14:textFill>
            <w14:solidFill>
              <w14:schemeClr w14:val="tx1"/>
            </w14:solidFill>
          </w14:textFill>
        </w:rPr>
      </w:pPr>
      <w:r>
        <w:rPr>
          <w:color w:val="000000" w:themeColor="text1"/>
          <w14:textFill>
            <w14:solidFill>
              <w14:schemeClr w14:val="tx1"/>
            </w14:solidFill>
          </w14:textFill>
        </w:rPr>
        <w:object>
          <v:shape id="_x0000_i1025" o:spt="75" type="#_x0000_t75" style="height:20.4pt;width:42.1pt;" o:ole="t" filled="f" o:preferrelative="t" stroked="f" coordsize="21600,21600">
            <v:path/>
            <v:fill on="f" focussize="0,0"/>
            <v:stroke on="f" joinstyle="miter"/>
            <v:imagedata r:id="rId63" o:title=""/>
            <o:lock v:ext="edit" aspectratio="t"/>
            <w10:wrap type="none"/>
            <w10:anchorlock/>
          </v:shape>
          <o:OLEObject Type="Embed" ProgID="Equation.3" ShapeID="_x0000_i1025" DrawAspect="Content" ObjectID="_1468075725" r:id="rId62">
            <o:LockedField>false</o:LockedField>
          </o:OLEObject>
        </w:object>
      </w:r>
    </w:p>
    <w:p>
      <w:pPr>
        <w:pStyle w:val="283"/>
        <w:ind w:firstLine="462"/>
        <w:rPr>
          <w:color w:val="000000" w:themeColor="text1"/>
          <w14:textFill>
            <w14:solidFill>
              <w14:schemeClr w14:val="tx1"/>
            </w14:solidFill>
          </w14:textFill>
        </w:rPr>
      </w:pPr>
      <w:r>
        <w:rPr>
          <w:color w:val="000000" w:themeColor="text1"/>
          <w14:textFill>
            <w14:solidFill>
              <w14:schemeClr w14:val="tx1"/>
            </w14:solidFill>
          </w14:textFill>
        </w:rPr>
        <w:t>式中：Q</w:t>
      </w:r>
      <w:r>
        <w:rPr>
          <w:color w:val="000000" w:themeColor="text1"/>
          <w:vertAlign w:val="subscript"/>
          <w14:textFill>
            <w14:solidFill>
              <w14:schemeClr w14:val="tx1"/>
            </w14:solidFill>
          </w14:textFill>
        </w:rPr>
        <w:t>3</w:t>
      </w:r>
      <w:r>
        <w:rPr>
          <w:color w:val="000000" w:themeColor="text1"/>
          <w14:textFill>
            <w14:solidFill>
              <w14:schemeClr w14:val="tx1"/>
            </w14:solidFill>
          </w14:textFill>
        </w:rPr>
        <w:t>——溢流口悬浮物源强（kg/s）；</w:t>
      </w:r>
    </w:p>
    <w:p>
      <w:pPr>
        <w:pStyle w:val="283"/>
        <w:ind w:firstLine="462"/>
        <w:rPr>
          <w:color w:val="000000" w:themeColor="text1"/>
          <w14:textFill>
            <w14:solidFill>
              <w14:schemeClr w14:val="tx1"/>
            </w14:solidFill>
          </w14:textFill>
        </w:rPr>
      </w:pPr>
      <w:r>
        <w:rPr>
          <w:color w:val="000000" w:themeColor="text1"/>
          <w14:textFill>
            <w14:solidFill>
              <w14:schemeClr w14:val="tx1"/>
            </w14:solidFill>
          </w14:textFill>
        </w:rPr>
        <w:t>c——溢流口悬浮物浓度控制标准（kg/m</w:t>
      </w:r>
      <w:r>
        <w:rPr>
          <w:color w:val="000000" w:themeColor="text1"/>
          <w:vertAlign w:val="superscript"/>
          <w14:textFill>
            <w14:solidFill>
              <w14:schemeClr w14:val="tx1"/>
            </w14:solidFill>
          </w14:textFill>
        </w:rPr>
        <w:t>3</w:t>
      </w:r>
      <w:r>
        <w:rPr>
          <w:color w:val="000000" w:themeColor="text1"/>
          <w14:textFill>
            <w14:solidFill>
              <w14:schemeClr w14:val="tx1"/>
            </w14:solidFill>
          </w14:textFill>
        </w:rPr>
        <w:t>）；</w:t>
      </w:r>
    </w:p>
    <w:p>
      <w:pPr>
        <w:pStyle w:val="283"/>
        <w:ind w:firstLine="462"/>
        <w:rPr>
          <w:color w:val="000000" w:themeColor="text1"/>
          <w14:textFill>
            <w14:solidFill>
              <w14:schemeClr w14:val="tx1"/>
            </w14:solidFill>
          </w14:textFill>
        </w:rPr>
      </w:pPr>
      <w:r>
        <w:rPr>
          <w:color w:val="000000" w:themeColor="text1"/>
          <w14:textFill>
            <w14:solidFill>
              <w14:schemeClr w14:val="tx1"/>
            </w14:solidFill>
          </w14:textFill>
        </w:rPr>
        <w:t>Q——溢流口流量（m</w:t>
      </w:r>
      <w:r>
        <w:rPr>
          <w:color w:val="000000" w:themeColor="text1"/>
          <w:vertAlign w:val="superscript"/>
          <w14:textFill>
            <w14:solidFill>
              <w14:schemeClr w14:val="tx1"/>
            </w14:solidFill>
          </w14:textFill>
        </w:rPr>
        <w:t>3</w:t>
      </w:r>
      <w:r>
        <w:rPr>
          <w:color w:val="000000" w:themeColor="text1"/>
          <w14:textFill>
            <w14:solidFill>
              <w14:schemeClr w14:val="tx1"/>
            </w14:solidFill>
          </w14:textFill>
        </w:rPr>
        <w:t>/s），按本次疏浚</w:t>
      </w:r>
      <w:r>
        <w:rPr>
          <w:rFonts w:hint="eastAsia"/>
          <w:color w:val="000000" w:themeColor="text1"/>
          <w14:textFill>
            <w14:solidFill>
              <w14:schemeClr w14:val="tx1"/>
            </w14:solidFill>
          </w14:textFill>
        </w:rPr>
        <w:t>绞吸式</w:t>
      </w:r>
      <w:r>
        <w:rPr>
          <w:color w:val="000000" w:themeColor="text1"/>
          <w14:textFill>
            <w14:solidFill>
              <w14:schemeClr w14:val="tx1"/>
            </w14:solidFill>
          </w14:textFill>
        </w:rPr>
        <w:t>挖泥船吹填效率取</w:t>
      </w:r>
      <w:r>
        <w:rPr>
          <w:rFonts w:hint="eastAsia"/>
          <w:color w:val="000000" w:themeColor="text1"/>
          <w14:textFill>
            <w14:solidFill>
              <w14:schemeClr w14:val="tx1"/>
            </w14:solidFill>
          </w14:textFill>
        </w:rPr>
        <w:t>0.40</w:t>
      </w:r>
      <w:r>
        <w:rPr>
          <w:color w:val="000000" w:themeColor="text1"/>
          <w14:textFill>
            <w14:solidFill>
              <w14:schemeClr w14:val="tx1"/>
            </w14:solidFill>
          </w14:textFill>
        </w:rPr>
        <w:t>m</w:t>
      </w:r>
      <w:r>
        <w:rPr>
          <w:color w:val="000000" w:themeColor="text1"/>
          <w:vertAlign w:val="superscript"/>
          <w14:textFill>
            <w14:solidFill>
              <w14:schemeClr w14:val="tx1"/>
            </w14:solidFill>
          </w14:textFill>
        </w:rPr>
        <w:t>3</w:t>
      </w:r>
      <w:r>
        <w:rPr>
          <w:color w:val="000000" w:themeColor="text1"/>
          <w14:textFill>
            <w14:solidFill>
              <w14:schemeClr w14:val="tx1"/>
            </w14:solidFill>
          </w14:textFill>
        </w:rPr>
        <w:t>/s。</w:t>
      </w:r>
    </w:p>
    <w:p>
      <w:pPr>
        <w:pStyle w:val="283"/>
        <w:ind w:firstLine="462"/>
        <w:rPr>
          <w:color w:val="000000" w:themeColor="text1"/>
          <w14:textFill>
            <w14:solidFill>
              <w14:schemeClr w14:val="tx1"/>
            </w14:solidFill>
          </w14:textFill>
        </w:rPr>
      </w:pPr>
      <w:r>
        <w:rPr>
          <w:color w:val="000000" w:themeColor="text1"/>
          <w14:textFill>
            <w14:solidFill>
              <w14:schemeClr w14:val="tx1"/>
            </w14:solidFill>
          </w14:textFill>
        </w:rPr>
        <w:t>则溢流口悬浮物源强取0.</w:t>
      </w:r>
      <w:r>
        <w:rPr>
          <w:rFonts w:hint="eastAsia"/>
          <w:color w:val="000000" w:themeColor="text1"/>
          <w14:textFill>
            <w14:solidFill>
              <w14:schemeClr w14:val="tx1"/>
            </w14:solidFill>
          </w14:textFill>
        </w:rPr>
        <w:t>06</w:t>
      </w:r>
      <w:r>
        <w:rPr>
          <w:color w:val="000000" w:themeColor="text1"/>
          <w14:textFill>
            <w14:solidFill>
              <w14:schemeClr w14:val="tx1"/>
            </w14:solidFill>
          </w14:textFill>
        </w:rPr>
        <w:t>kg/s。</w:t>
      </w:r>
    </w:p>
    <w:bookmarkEnd w:id="118"/>
    <w:p>
      <w:pPr>
        <w:pStyle w:val="283"/>
        <w:ind w:firstLine="462"/>
        <w:rPr>
          <w:color w:val="000000" w:themeColor="text1"/>
          <w14:textFill>
            <w14:solidFill>
              <w14:schemeClr w14:val="tx1"/>
            </w14:solidFill>
          </w14:textFill>
        </w:rPr>
      </w:pPr>
      <w:r>
        <w:rPr>
          <w:rFonts w:hint="eastAsia"/>
          <w:color w:val="000000" w:themeColor="text1"/>
          <w14:textFill>
            <w14:solidFill>
              <w14:schemeClr w14:val="tx1"/>
            </w14:solidFill>
          </w14:textFill>
        </w:rPr>
        <w:t>2</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施工</w:t>
      </w:r>
      <w:r>
        <w:rPr>
          <w:color w:val="000000" w:themeColor="text1"/>
          <w14:textFill>
            <w14:solidFill>
              <w14:schemeClr w14:val="tx1"/>
            </w14:solidFill>
          </w14:textFill>
        </w:rPr>
        <w:t>船舶污水</w:t>
      </w:r>
    </w:p>
    <w:p>
      <w:pPr>
        <w:pStyle w:val="283"/>
        <w:ind w:firstLine="462"/>
        <w:rPr>
          <w:color w:val="000000" w:themeColor="text1"/>
          <w14:textFill>
            <w14:solidFill>
              <w14:schemeClr w14:val="tx1"/>
            </w14:solidFill>
          </w14:textFill>
        </w:rPr>
      </w:pPr>
      <w:r>
        <w:rPr>
          <w:rFonts w:hint="eastAsia"/>
          <w:color w:val="000000" w:themeColor="text1"/>
          <w14:textFill>
            <w14:solidFill>
              <w14:schemeClr w14:val="tx1"/>
            </w14:solidFill>
          </w14:textFill>
        </w:rPr>
        <w:t>施工船舶污水包括船舶机舱含油污水和施工人员产生的生活污水。</w:t>
      </w:r>
    </w:p>
    <w:p>
      <w:pPr>
        <w:pStyle w:val="283"/>
        <w:ind w:firstLine="462"/>
        <w:rPr>
          <w:color w:val="000000" w:themeColor="text1"/>
          <w14:textFill>
            <w14:solidFill>
              <w14:schemeClr w14:val="tx1"/>
            </w14:solidFill>
          </w14:textFill>
        </w:rPr>
      </w:pPr>
      <w:r>
        <w:rPr>
          <w:color w:val="000000" w:themeColor="text1"/>
          <w14:textFill>
            <w14:solidFill>
              <w14:schemeClr w14:val="tx1"/>
            </w14:solidFill>
          </w14:textFill>
        </w:rPr>
        <w:t>根据《工程船舶劳动定员》（JT/T383.2-2008）、《水运工程环境保护设计规范》（JTS149-2018），本工程船舶定员如下表所示；船舶污水产生量指标按《水运工程环境保护设计规范》（JTS149-2018）表4.2.4由内插法确定，详见表2.</w:t>
      </w:r>
      <w:r>
        <w:rPr>
          <w:rFonts w:hint="eastAsia"/>
          <w:color w:val="000000" w:themeColor="text1"/>
          <w14:textFill>
            <w14:solidFill>
              <w14:schemeClr w14:val="tx1"/>
            </w14:solidFill>
          </w14:textFill>
        </w:rPr>
        <w:t>4</w:t>
      </w:r>
      <w:r>
        <w:rPr>
          <w:color w:val="000000" w:themeColor="text1"/>
          <w14:textFill>
            <w14:solidFill>
              <w14:schemeClr w14:val="tx1"/>
            </w14:solidFill>
          </w14:textFill>
        </w:rPr>
        <w:t>-1。经估算，施工期共产生船舶生活污水</w:t>
      </w:r>
      <w:r>
        <w:rPr>
          <w:rFonts w:hint="eastAsia"/>
          <w:color w:val="000000" w:themeColor="text1"/>
          <w14:textFill>
            <w14:solidFill>
              <w14:schemeClr w14:val="tx1"/>
            </w14:solidFill>
          </w14:textFill>
        </w:rPr>
        <w:t>700</w:t>
      </w:r>
      <w:r>
        <w:rPr>
          <w:color w:val="000000" w:themeColor="text1"/>
          <w14:textFill>
            <w14:solidFill>
              <w14:schemeClr w14:val="tx1"/>
            </w14:solidFill>
          </w14:textFill>
        </w:rPr>
        <w:t>t，油污水</w:t>
      </w:r>
      <w:r>
        <w:rPr>
          <w:rFonts w:hint="eastAsia"/>
          <w:color w:val="000000" w:themeColor="text1"/>
          <w14:textFill>
            <w14:solidFill>
              <w14:schemeClr w14:val="tx1"/>
            </w14:solidFill>
          </w14:textFill>
        </w:rPr>
        <w:t>504</w:t>
      </w:r>
      <w:r>
        <w:rPr>
          <w:color w:val="000000" w:themeColor="text1"/>
          <w14:textFill>
            <w14:solidFill>
              <w14:schemeClr w14:val="tx1"/>
            </w14:solidFill>
          </w14:textFill>
        </w:rPr>
        <w:t>t。项目施工期船舶机舱含油污水及船舶生活污水委托有资质的单位接收处理</w:t>
      </w:r>
      <w:r>
        <w:rPr>
          <w:rFonts w:hint="eastAsia"/>
          <w:color w:val="000000" w:themeColor="text1"/>
          <w14:textFill>
            <w14:solidFill>
              <w14:schemeClr w14:val="tx1"/>
            </w14:solidFill>
          </w14:textFill>
        </w:rPr>
        <w:t>。</w:t>
      </w:r>
    </w:p>
    <w:p>
      <w:pPr>
        <w:pStyle w:val="384"/>
        <w:ind w:left="0" w:firstLine="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船舶废水产生量</w:t>
      </w:r>
    </w:p>
    <w:tbl>
      <w:tblPr>
        <w:tblStyle w:val="88"/>
        <w:tblW w:w="8342" w:type="dxa"/>
        <w:jc w:val="center"/>
        <w:tblInd w:w="0" w:type="dxa"/>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Layout w:type="fixed"/>
        <w:tblCellMar>
          <w:top w:w="0" w:type="dxa"/>
          <w:left w:w="0" w:type="dxa"/>
          <w:bottom w:w="0" w:type="dxa"/>
          <w:right w:w="0" w:type="dxa"/>
        </w:tblCellMar>
      </w:tblPr>
      <w:tblGrid>
        <w:gridCol w:w="787"/>
        <w:gridCol w:w="929"/>
        <w:gridCol w:w="567"/>
        <w:gridCol w:w="993"/>
        <w:gridCol w:w="1134"/>
        <w:gridCol w:w="1559"/>
        <w:gridCol w:w="992"/>
        <w:gridCol w:w="1381"/>
      </w:tblGrid>
      <w:tr>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Layout w:type="fixed"/>
          <w:tblCellMar>
            <w:top w:w="0" w:type="dxa"/>
            <w:left w:w="0" w:type="dxa"/>
            <w:bottom w:w="0" w:type="dxa"/>
            <w:right w:w="0" w:type="dxa"/>
          </w:tblCellMar>
        </w:tblPrEx>
        <w:trPr>
          <w:trHeight w:val="15" w:hRule="atLeast"/>
          <w:tblHeader/>
          <w:jc w:val="center"/>
        </w:trPr>
        <w:tc>
          <w:tcPr>
            <w:tcW w:w="787" w:type="dxa"/>
            <w:vMerge w:val="restart"/>
            <w:vAlign w:val="center"/>
          </w:tcPr>
          <w:p>
            <w:pPr>
              <w:pStyle w:val="1856"/>
              <w:snapToGrid w:val="0"/>
              <w:ind w:firstLine="0" w:firstLineChars="0"/>
              <w:jc w:val="center"/>
              <w:rPr>
                <w:color w:val="000000" w:themeColor="text1"/>
                <w:sz w:val="21"/>
                <w:szCs w:val="21"/>
                <w14:textFill>
                  <w14:solidFill>
                    <w14:schemeClr w14:val="tx1"/>
                  </w14:solidFill>
                </w14:textFill>
              </w:rPr>
            </w:pPr>
            <w:bookmarkStart w:id="119" w:name="_Hlk103784603"/>
            <w:r>
              <w:rPr>
                <w:color w:val="000000" w:themeColor="text1"/>
                <w:sz w:val="21"/>
                <w:szCs w:val="21"/>
                <w14:textFill>
                  <w14:solidFill>
                    <w14:schemeClr w14:val="tx1"/>
                  </w14:solidFill>
                </w14:textFill>
              </w:rPr>
              <w:t>船舶</w:t>
            </w:r>
          </w:p>
          <w:p>
            <w:pPr>
              <w:pStyle w:val="1856"/>
              <w:snapToGrid w:val="0"/>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类型</w:t>
            </w:r>
          </w:p>
        </w:tc>
        <w:tc>
          <w:tcPr>
            <w:tcW w:w="929" w:type="dxa"/>
            <w:vMerge w:val="restart"/>
            <w:vAlign w:val="center"/>
          </w:tcPr>
          <w:p>
            <w:pPr>
              <w:pStyle w:val="1856"/>
              <w:snapToGrid w:val="0"/>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定员</w:t>
            </w:r>
          </w:p>
          <w:p>
            <w:pPr>
              <w:pStyle w:val="1856"/>
              <w:snapToGrid w:val="0"/>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（单艘）</w:t>
            </w:r>
          </w:p>
        </w:tc>
        <w:tc>
          <w:tcPr>
            <w:tcW w:w="567" w:type="dxa"/>
            <w:vMerge w:val="restart"/>
            <w:vAlign w:val="center"/>
          </w:tcPr>
          <w:p>
            <w:pPr>
              <w:pStyle w:val="1856"/>
              <w:snapToGrid w:val="0"/>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船舶数量</w:t>
            </w:r>
          </w:p>
        </w:tc>
        <w:tc>
          <w:tcPr>
            <w:tcW w:w="993" w:type="dxa"/>
            <w:vMerge w:val="restart"/>
            <w:vAlign w:val="center"/>
          </w:tcPr>
          <w:p>
            <w:pPr>
              <w:pStyle w:val="1856"/>
              <w:snapToGrid w:val="0"/>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有效施工天数</w:t>
            </w:r>
          </w:p>
        </w:tc>
        <w:tc>
          <w:tcPr>
            <w:tcW w:w="2693" w:type="dxa"/>
            <w:gridSpan w:val="2"/>
            <w:vAlign w:val="center"/>
          </w:tcPr>
          <w:p>
            <w:pPr>
              <w:pStyle w:val="1856"/>
              <w:snapToGrid w:val="0"/>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生活污水</w:t>
            </w:r>
          </w:p>
        </w:tc>
        <w:tc>
          <w:tcPr>
            <w:tcW w:w="2373" w:type="dxa"/>
            <w:gridSpan w:val="2"/>
            <w:vAlign w:val="center"/>
          </w:tcPr>
          <w:p>
            <w:pPr>
              <w:pStyle w:val="1856"/>
              <w:snapToGrid w:val="0"/>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油污水</w:t>
            </w:r>
          </w:p>
        </w:tc>
      </w:tr>
      <w:tr>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Layout w:type="fixed"/>
          <w:tblCellMar>
            <w:top w:w="0" w:type="dxa"/>
            <w:left w:w="0" w:type="dxa"/>
            <w:bottom w:w="0" w:type="dxa"/>
            <w:right w:w="0" w:type="dxa"/>
          </w:tblCellMar>
        </w:tblPrEx>
        <w:trPr>
          <w:trHeight w:val="15" w:hRule="atLeast"/>
          <w:tblHeader/>
          <w:jc w:val="center"/>
        </w:trPr>
        <w:tc>
          <w:tcPr>
            <w:tcW w:w="787" w:type="dxa"/>
            <w:vMerge w:val="continue"/>
            <w:vAlign w:val="center"/>
          </w:tcPr>
          <w:p>
            <w:pPr>
              <w:pStyle w:val="1856"/>
              <w:snapToGrid w:val="0"/>
              <w:ind w:firstLine="0" w:firstLineChars="0"/>
              <w:jc w:val="center"/>
              <w:rPr>
                <w:color w:val="000000" w:themeColor="text1"/>
                <w:sz w:val="21"/>
                <w:szCs w:val="21"/>
                <w14:textFill>
                  <w14:solidFill>
                    <w14:schemeClr w14:val="tx1"/>
                  </w14:solidFill>
                </w14:textFill>
              </w:rPr>
            </w:pPr>
          </w:p>
        </w:tc>
        <w:tc>
          <w:tcPr>
            <w:tcW w:w="929" w:type="dxa"/>
            <w:vMerge w:val="continue"/>
            <w:vAlign w:val="center"/>
          </w:tcPr>
          <w:p>
            <w:pPr>
              <w:pStyle w:val="1856"/>
              <w:snapToGrid w:val="0"/>
              <w:ind w:firstLine="0" w:firstLineChars="0"/>
              <w:jc w:val="center"/>
              <w:rPr>
                <w:color w:val="000000" w:themeColor="text1"/>
                <w:sz w:val="21"/>
                <w:szCs w:val="21"/>
                <w14:textFill>
                  <w14:solidFill>
                    <w14:schemeClr w14:val="tx1"/>
                  </w14:solidFill>
                </w14:textFill>
              </w:rPr>
            </w:pPr>
          </w:p>
        </w:tc>
        <w:tc>
          <w:tcPr>
            <w:tcW w:w="567" w:type="dxa"/>
            <w:vMerge w:val="continue"/>
            <w:vAlign w:val="center"/>
          </w:tcPr>
          <w:p>
            <w:pPr>
              <w:pStyle w:val="1856"/>
              <w:snapToGrid w:val="0"/>
              <w:ind w:firstLine="0" w:firstLineChars="0"/>
              <w:jc w:val="center"/>
              <w:rPr>
                <w:color w:val="000000" w:themeColor="text1"/>
                <w:sz w:val="21"/>
                <w:szCs w:val="21"/>
                <w14:textFill>
                  <w14:solidFill>
                    <w14:schemeClr w14:val="tx1"/>
                  </w14:solidFill>
                </w14:textFill>
              </w:rPr>
            </w:pPr>
          </w:p>
        </w:tc>
        <w:tc>
          <w:tcPr>
            <w:tcW w:w="993" w:type="dxa"/>
            <w:vMerge w:val="continue"/>
            <w:vAlign w:val="center"/>
          </w:tcPr>
          <w:p>
            <w:pPr>
              <w:pStyle w:val="1856"/>
              <w:snapToGrid w:val="0"/>
              <w:ind w:firstLine="0" w:firstLineChars="0"/>
              <w:jc w:val="center"/>
              <w:rPr>
                <w:color w:val="000000" w:themeColor="text1"/>
                <w:sz w:val="21"/>
                <w:szCs w:val="21"/>
                <w14:textFill>
                  <w14:solidFill>
                    <w14:schemeClr w14:val="tx1"/>
                  </w14:solidFill>
                </w14:textFill>
              </w:rPr>
            </w:pPr>
          </w:p>
        </w:tc>
        <w:tc>
          <w:tcPr>
            <w:tcW w:w="1134" w:type="dxa"/>
            <w:vAlign w:val="center"/>
          </w:tcPr>
          <w:p>
            <w:pPr>
              <w:pStyle w:val="1856"/>
              <w:snapToGrid w:val="0"/>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人均污水量（L/人•d）</w:t>
            </w:r>
          </w:p>
        </w:tc>
        <w:tc>
          <w:tcPr>
            <w:tcW w:w="1559" w:type="dxa"/>
            <w:vAlign w:val="center"/>
          </w:tcPr>
          <w:p>
            <w:pPr>
              <w:pStyle w:val="1856"/>
              <w:snapToGrid w:val="0"/>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污水产生量</w:t>
            </w:r>
          </w:p>
          <w:p>
            <w:pPr>
              <w:pStyle w:val="1856"/>
              <w:snapToGrid w:val="0"/>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（t）</w:t>
            </w:r>
          </w:p>
        </w:tc>
        <w:tc>
          <w:tcPr>
            <w:tcW w:w="992" w:type="dxa"/>
            <w:vAlign w:val="center"/>
          </w:tcPr>
          <w:p>
            <w:pPr>
              <w:pStyle w:val="1856"/>
              <w:snapToGrid w:val="0"/>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产生指标</w:t>
            </w:r>
          </w:p>
          <w:p>
            <w:pPr>
              <w:pStyle w:val="1856"/>
              <w:snapToGrid w:val="0"/>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（t/d•艘）</w:t>
            </w:r>
          </w:p>
        </w:tc>
        <w:tc>
          <w:tcPr>
            <w:tcW w:w="1381" w:type="dxa"/>
            <w:vAlign w:val="center"/>
          </w:tcPr>
          <w:p>
            <w:pPr>
              <w:pStyle w:val="1856"/>
              <w:snapToGrid w:val="0"/>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产生量</w:t>
            </w:r>
          </w:p>
          <w:p>
            <w:pPr>
              <w:pStyle w:val="1856"/>
              <w:snapToGrid w:val="0"/>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（t）</w:t>
            </w:r>
          </w:p>
        </w:tc>
      </w:tr>
      <w:tr>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Layout w:type="fixed"/>
          <w:tblCellMar>
            <w:top w:w="0" w:type="dxa"/>
            <w:left w:w="0" w:type="dxa"/>
            <w:bottom w:w="0" w:type="dxa"/>
            <w:right w:w="0" w:type="dxa"/>
          </w:tblCellMar>
        </w:tblPrEx>
        <w:trPr>
          <w:trHeight w:val="15" w:hRule="atLeast"/>
          <w:jc w:val="center"/>
        </w:trPr>
        <w:tc>
          <w:tcPr>
            <w:tcW w:w="787" w:type="dxa"/>
            <w:vAlign w:val="center"/>
          </w:tcPr>
          <w:p>
            <w:pPr>
              <w:pStyle w:val="1856"/>
              <w:snapToGrid w:val="0"/>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炸礁船</w:t>
            </w:r>
          </w:p>
        </w:tc>
        <w:tc>
          <w:tcPr>
            <w:tcW w:w="929" w:type="dxa"/>
            <w:vAlign w:val="center"/>
          </w:tcPr>
          <w:p>
            <w:pPr>
              <w:pStyle w:val="1856"/>
              <w:snapToGrid w:val="0"/>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8</w:t>
            </w:r>
          </w:p>
        </w:tc>
        <w:tc>
          <w:tcPr>
            <w:tcW w:w="567" w:type="dxa"/>
            <w:vAlign w:val="center"/>
          </w:tcPr>
          <w:p>
            <w:pPr>
              <w:pStyle w:val="1856"/>
              <w:snapToGrid w:val="0"/>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w:t>
            </w:r>
          </w:p>
        </w:tc>
        <w:tc>
          <w:tcPr>
            <w:tcW w:w="993" w:type="dxa"/>
            <w:vAlign w:val="center"/>
          </w:tcPr>
          <w:p>
            <w:pPr>
              <w:pStyle w:val="1856"/>
              <w:snapToGrid w:val="0"/>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100</w:t>
            </w:r>
          </w:p>
        </w:tc>
        <w:tc>
          <w:tcPr>
            <w:tcW w:w="1134" w:type="dxa"/>
            <w:vAlign w:val="center"/>
          </w:tcPr>
          <w:p>
            <w:pPr>
              <w:pStyle w:val="1856"/>
              <w:snapToGrid w:val="0"/>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100</w:t>
            </w:r>
          </w:p>
        </w:tc>
        <w:tc>
          <w:tcPr>
            <w:tcW w:w="1559" w:type="dxa"/>
            <w:vAlign w:val="center"/>
          </w:tcPr>
          <w:p>
            <w:pPr>
              <w:pStyle w:val="1856"/>
              <w:snapToGrid w:val="0"/>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80</w:t>
            </w:r>
          </w:p>
        </w:tc>
        <w:tc>
          <w:tcPr>
            <w:tcW w:w="992" w:type="dxa"/>
            <w:vAlign w:val="center"/>
          </w:tcPr>
          <w:p>
            <w:pPr>
              <w:pStyle w:val="1856"/>
              <w:snapToGrid w:val="0"/>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0.14</w:t>
            </w:r>
          </w:p>
        </w:tc>
        <w:tc>
          <w:tcPr>
            <w:tcW w:w="1381" w:type="dxa"/>
            <w:vAlign w:val="center"/>
          </w:tcPr>
          <w:p>
            <w:pPr>
              <w:pStyle w:val="1856"/>
              <w:snapToGrid w:val="0"/>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14</w:t>
            </w:r>
          </w:p>
        </w:tc>
      </w:tr>
      <w:tr>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Layout w:type="fixed"/>
          <w:tblCellMar>
            <w:top w:w="0" w:type="dxa"/>
            <w:left w:w="0" w:type="dxa"/>
            <w:bottom w:w="0" w:type="dxa"/>
            <w:right w:w="0" w:type="dxa"/>
          </w:tblCellMar>
        </w:tblPrEx>
        <w:trPr>
          <w:trHeight w:val="15" w:hRule="atLeast"/>
          <w:jc w:val="center"/>
        </w:trPr>
        <w:tc>
          <w:tcPr>
            <w:tcW w:w="787" w:type="dxa"/>
            <w:vAlign w:val="center"/>
          </w:tcPr>
          <w:p>
            <w:pPr>
              <w:pStyle w:val="1856"/>
              <w:snapToGrid w:val="0"/>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抓斗式挖泥船</w:t>
            </w:r>
          </w:p>
        </w:tc>
        <w:tc>
          <w:tcPr>
            <w:tcW w:w="929" w:type="dxa"/>
            <w:vAlign w:val="center"/>
          </w:tcPr>
          <w:p>
            <w:pPr>
              <w:pStyle w:val="1856"/>
              <w:snapToGrid w:val="0"/>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8</w:t>
            </w:r>
          </w:p>
        </w:tc>
        <w:tc>
          <w:tcPr>
            <w:tcW w:w="567" w:type="dxa"/>
            <w:vAlign w:val="center"/>
          </w:tcPr>
          <w:p>
            <w:pPr>
              <w:pStyle w:val="1856"/>
              <w:snapToGrid w:val="0"/>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w:t>
            </w:r>
          </w:p>
        </w:tc>
        <w:tc>
          <w:tcPr>
            <w:tcW w:w="993" w:type="dxa"/>
            <w:vAlign w:val="center"/>
          </w:tcPr>
          <w:p>
            <w:pPr>
              <w:pStyle w:val="1856"/>
              <w:snapToGrid w:val="0"/>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300</w:t>
            </w:r>
          </w:p>
        </w:tc>
        <w:tc>
          <w:tcPr>
            <w:tcW w:w="1134" w:type="dxa"/>
            <w:vAlign w:val="center"/>
          </w:tcPr>
          <w:p>
            <w:pPr>
              <w:pStyle w:val="1856"/>
              <w:snapToGrid w:val="0"/>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100</w:t>
            </w:r>
          </w:p>
        </w:tc>
        <w:tc>
          <w:tcPr>
            <w:tcW w:w="1559" w:type="dxa"/>
            <w:vAlign w:val="center"/>
          </w:tcPr>
          <w:p>
            <w:pPr>
              <w:pStyle w:val="1856"/>
              <w:snapToGrid w:val="0"/>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240</w:t>
            </w:r>
          </w:p>
        </w:tc>
        <w:tc>
          <w:tcPr>
            <w:tcW w:w="992" w:type="dxa"/>
            <w:vAlign w:val="center"/>
          </w:tcPr>
          <w:p>
            <w:pPr>
              <w:pStyle w:val="1856"/>
              <w:snapToGrid w:val="0"/>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0.14</w:t>
            </w:r>
          </w:p>
        </w:tc>
        <w:tc>
          <w:tcPr>
            <w:tcW w:w="1381" w:type="dxa"/>
            <w:vAlign w:val="center"/>
          </w:tcPr>
          <w:p>
            <w:pPr>
              <w:pStyle w:val="1856"/>
              <w:snapToGrid w:val="0"/>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42</w:t>
            </w:r>
          </w:p>
        </w:tc>
      </w:tr>
      <w:tr>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Layout w:type="fixed"/>
          <w:tblCellMar>
            <w:top w:w="0" w:type="dxa"/>
            <w:left w:w="0" w:type="dxa"/>
            <w:bottom w:w="0" w:type="dxa"/>
            <w:right w:w="0" w:type="dxa"/>
          </w:tblCellMar>
        </w:tblPrEx>
        <w:trPr>
          <w:trHeight w:val="15" w:hRule="atLeast"/>
          <w:jc w:val="center"/>
        </w:trPr>
        <w:tc>
          <w:tcPr>
            <w:tcW w:w="787" w:type="dxa"/>
            <w:vAlign w:val="center"/>
          </w:tcPr>
          <w:p>
            <w:pPr>
              <w:pStyle w:val="1856"/>
              <w:snapToGrid w:val="0"/>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绞吸式挖泥船</w:t>
            </w:r>
          </w:p>
        </w:tc>
        <w:tc>
          <w:tcPr>
            <w:tcW w:w="929" w:type="dxa"/>
            <w:vAlign w:val="center"/>
          </w:tcPr>
          <w:p>
            <w:pPr>
              <w:pStyle w:val="1856"/>
              <w:snapToGrid w:val="0"/>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9</w:t>
            </w:r>
          </w:p>
        </w:tc>
        <w:tc>
          <w:tcPr>
            <w:tcW w:w="567" w:type="dxa"/>
            <w:vAlign w:val="center"/>
          </w:tcPr>
          <w:p>
            <w:pPr>
              <w:pStyle w:val="1856"/>
              <w:snapToGrid w:val="0"/>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w:t>
            </w:r>
          </w:p>
        </w:tc>
        <w:tc>
          <w:tcPr>
            <w:tcW w:w="993" w:type="dxa"/>
            <w:vAlign w:val="center"/>
          </w:tcPr>
          <w:p>
            <w:pPr>
              <w:pStyle w:val="1856"/>
              <w:snapToGrid w:val="0"/>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200</w:t>
            </w:r>
          </w:p>
        </w:tc>
        <w:tc>
          <w:tcPr>
            <w:tcW w:w="1134" w:type="dxa"/>
            <w:vAlign w:val="center"/>
          </w:tcPr>
          <w:p>
            <w:pPr>
              <w:pStyle w:val="1856"/>
              <w:snapToGrid w:val="0"/>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100</w:t>
            </w:r>
          </w:p>
        </w:tc>
        <w:tc>
          <w:tcPr>
            <w:tcW w:w="1559" w:type="dxa"/>
            <w:vAlign w:val="center"/>
          </w:tcPr>
          <w:p>
            <w:pPr>
              <w:pStyle w:val="1856"/>
              <w:snapToGrid w:val="0"/>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180</w:t>
            </w:r>
          </w:p>
        </w:tc>
        <w:tc>
          <w:tcPr>
            <w:tcW w:w="992" w:type="dxa"/>
            <w:vAlign w:val="center"/>
          </w:tcPr>
          <w:p>
            <w:pPr>
              <w:pStyle w:val="1856"/>
              <w:snapToGrid w:val="0"/>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0.14</w:t>
            </w:r>
          </w:p>
        </w:tc>
        <w:tc>
          <w:tcPr>
            <w:tcW w:w="1381" w:type="dxa"/>
            <w:vAlign w:val="center"/>
          </w:tcPr>
          <w:p>
            <w:pPr>
              <w:pStyle w:val="1856"/>
              <w:snapToGrid w:val="0"/>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28</w:t>
            </w:r>
          </w:p>
        </w:tc>
      </w:tr>
      <w:tr>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Layout w:type="fixed"/>
          <w:tblCellMar>
            <w:top w:w="0" w:type="dxa"/>
            <w:left w:w="0" w:type="dxa"/>
            <w:bottom w:w="0" w:type="dxa"/>
            <w:right w:w="0" w:type="dxa"/>
          </w:tblCellMar>
        </w:tblPrEx>
        <w:trPr>
          <w:trHeight w:val="70" w:hRule="atLeast"/>
          <w:jc w:val="center"/>
        </w:trPr>
        <w:tc>
          <w:tcPr>
            <w:tcW w:w="787" w:type="dxa"/>
            <w:vAlign w:val="center"/>
          </w:tcPr>
          <w:p>
            <w:pPr>
              <w:pStyle w:val="1856"/>
              <w:snapToGrid w:val="0"/>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驳船</w:t>
            </w:r>
          </w:p>
        </w:tc>
        <w:tc>
          <w:tcPr>
            <w:tcW w:w="929" w:type="dxa"/>
            <w:vAlign w:val="center"/>
          </w:tcPr>
          <w:p>
            <w:pPr>
              <w:pStyle w:val="1856"/>
              <w:snapToGrid w:val="0"/>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4</w:t>
            </w:r>
          </w:p>
        </w:tc>
        <w:tc>
          <w:tcPr>
            <w:tcW w:w="567" w:type="dxa"/>
            <w:vAlign w:val="center"/>
          </w:tcPr>
          <w:p>
            <w:pPr>
              <w:pStyle w:val="1856"/>
              <w:snapToGrid w:val="0"/>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6</w:t>
            </w:r>
          </w:p>
        </w:tc>
        <w:tc>
          <w:tcPr>
            <w:tcW w:w="993" w:type="dxa"/>
            <w:vAlign w:val="center"/>
          </w:tcPr>
          <w:p>
            <w:pPr>
              <w:pStyle w:val="1856"/>
              <w:snapToGrid w:val="0"/>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500</w:t>
            </w:r>
          </w:p>
        </w:tc>
        <w:tc>
          <w:tcPr>
            <w:tcW w:w="1134" w:type="dxa"/>
            <w:vAlign w:val="center"/>
          </w:tcPr>
          <w:p>
            <w:pPr>
              <w:pStyle w:val="1856"/>
              <w:snapToGrid w:val="0"/>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100</w:t>
            </w:r>
          </w:p>
        </w:tc>
        <w:tc>
          <w:tcPr>
            <w:tcW w:w="1559" w:type="dxa"/>
          </w:tcPr>
          <w:p>
            <w:pPr>
              <w:pStyle w:val="1856"/>
              <w:snapToGrid w:val="0"/>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200</w:t>
            </w:r>
          </w:p>
        </w:tc>
        <w:tc>
          <w:tcPr>
            <w:tcW w:w="992" w:type="dxa"/>
            <w:vAlign w:val="center"/>
          </w:tcPr>
          <w:p>
            <w:pPr>
              <w:pStyle w:val="1856"/>
              <w:snapToGrid w:val="0"/>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0.10</w:t>
            </w:r>
          </w:p>
        </w:tc>
        <w:tc>
          <w:tcPr>
            <w:tcW w:w="1381" w:type="dxa"/>
          </w:tcPr>
          <w:p>
            <w:pPr>
              <w:pStyle w:val="1856"/>
              <w:snapToGrid w:val="0"/>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420</w:t>
            </w:r>
          </w:p>
        </w:tc>
      </w:tr>
      <w:tr>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Layout w:type="fixed"/>
          <w:tblCellMar>
            <w:top w:w="0" w:type="dxa"/>
            <w:left w:w="0" w:type="dxa"/>
            <w:bottom w:w="0" w:type="dxa"/>
            <w:right w:w="0" w:type="dxa"/>
          </w:tblCellMar>
        </w:tblPrEx>
        <w:trPr>
          <w:trHeight w:val="15" w:hRule="atLeast"/>
          <w:jc w:val="center"/>
        </w:trPr>
        <w:tc>
          <w:tcPr>
            <w:tcW w:w="787" w:type="dxa"/>
            <w:vAlign w:val="center"/>
          </w:tcPr>
          <w:p>
            <w:pPr>
              <w:pStyle w:val="1856"/>
              <w:snapToGrid w:val="0"/>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合计</w:t>
            </w:r>
          </w:p>
        </w:tc>
        <w:tc>
          <w:tcPr>
            <w:tcW w:w="929" w:type="dxa"/>
            <w:vAlign w:val="center"/>
          </w:tcPr>
          <w:p>
            <w:pPr>
              <w:pStyle w:val="1856"/>
              <w:snapToGrid w:val="0"/>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29</w:t>
            </w:r>
          </w:p>
        </w:tc>
        <w:tc>
          <w:tcPr>
            <w:tcW w:w="567" w:type="dxa"/>
            <w:vAlign w:val="center"/>
          </w:tcPr>
          <w:p>
            <w:pPr>
              <w:pStyle w:val="1856"/>
              <w:snapToGrid w:val="0"/>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w:t>
            </w:r>
          </w:p>
        </w:tc>
        <w:tc>
          <w:tcPr>
            <w:tcW w:w="993" w:type="dxa"/>
            <w:vAlign w:val="center"/>
          </w:tcPr>
          <w:p>
            <w:pPr>
              <w:pStyle w:val="1856"/>
              <w:snapToGrid w:val="0"/>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w:t>
            </w:r>
          </w:p>
        </w:tc>
        <w:tc>
          <w:tcPr>
            <w:tcW w:w="1134" w:type="dxa"/>
            <w:vAlign w:val="center"/>
          </w:tcPr>
          <w:p>
            <w:pPr>
              <w:pStyle w:val="1856"/>
              <w:snapToGrid w:val="0"/>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w:t>
            </w:r>
          </w:p>
        </w:tc>
        <w:tc>
          <w:tcPr>
            <w:tcW w:w="1559" w:type="dxa"/>
          </w:tcPr>
          <w:p>
            <w:pPr>
              <w:pStyle w:val="1856"/>
              <w:snapToGrid w:val="0"/>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700</w:t>
            </w:r>
          </w:p>
        </w:tc>
        <w:tc>
          <w:tcPr>
            <w:tcW w:w="992" w:type="dxa"/>
            <w:vAlign w:val="center"/>
          </w:tcPr>
          <w:p>
            <w:pPr>
              <w:pStyle w:val="1856"/>
              <w:snapToGrid w:val="0"/>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w:t>
            </w:r>
          </w:p>
        </w:tc>
        <w:tc>
          <w:tcPr>
            <w:tcW w:w="1381" w:type="dxa"/>
          </w:tcPr>
          <w:p>
            <w:pPr>
              <w:pStyle w:val="1856"/>
              <w:snapToGrid w:val="0"/>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504</w:t>
            </w:r>
          </w:p>
        </w:tc>
      </w:tr>
      <w:tr>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Layout w:type="fixed"/>
          <w:tblCellMar>
            <w:top w:w="0" w:type="dxa"/>
            <w:left w:w="0" w:type="dxa"/>
            <w:bottom w:w="0" w:type="dxa"/>
            <w:right w:w="0" w:type="dxa"/>
          </w:tblCellMar>
        </w:tblPrEx>
        <w:trPr>
          <w:trHeight w:val="15" w:hRule="atLeast"/>
          <w:jc w:val="center"/>
        </w:trPr>
        <w:tc>
          <w:tcPr>
            <w:tcW w:w="787" w:type="dxa"/>
            <w:vAlign w:val="center"/>
          </w:tcPr>
          <w:p>
            <w:pPr>
              <w:pStyle w:val="1856"/>
              <w:snapToGrid w:val="0"/>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主要污染物</w:t>
            </w:r>
          </w:p>
        </w:tc>
        <w:tc>
          <w:tcPr>
            <w:tcW w:w="929" w:type="dxa"/>
            <w:vAlign w:val="center"/>
          </w:tcPr>
          <w:p>
            <w:pPr>
              <w:pStyle w:val="1856"/>
              <w:snapToGrid w:val="0"/>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w:t>
            </w:r>
          </w:p>
        </w:tc>
        <w:tc>
          <w:tcPr>
            <w:tcW w:w="567" w:type="dxa"/>
            <w:vAlign w:val="center"/>
          </w:tcPr>
          <w:p>
            <w:pPr>
              <w:pStyle w:val="1856"/>
              <w:snapToGrid w:val="0"/>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w:t>
            </w:r>
          </w:p>
        </w:tc>
        <w:tc>
          <w:tcPr>
            <w:tcW w:w="993" w:type="dxa"/>
            <w:vAlign w:val="center"/>
          </w:tcPr>
          <w:p>
            <w:pPr>
              <w:pStyle w:val="1856"/>
              <w:snapToGrid w:val="0"/>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w:t>
            </w:r>
          </w:p>
        </w:tc>
        <w:tc>
          <w:tcPr>
            <w:tcW w:w="1134" w:type="dxa"/>
            <w:vAlign w:val="center"/>
          </w:tcPr>
          <w:p>
            <w:pPr>
              <w:pStyle w:val="1856"/>
              <w:snapToGrid w:val="0"/>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w:t>
            </w:r>
          </w:p>
        </w:tc>
        <w:tc>
          <w:tcPr>
            <w:tcW w:w="1559" w:type="dxa"/>
            <w:vAlign w:val="center"/>
          </w:tcPr>
          <w:p>
            <w:pPr>
              <w:pStyle w:val="1856"/>
              <w:snapToGrid w:val="0"/>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COD（300mg/L，</w:t>
            </w:r>
          </w:p>
          <w:p>
            <w:pPr>
              <w:pStyle w:val="1856"/>
              <w:snapToGrid w:val="0"/>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共计210kg）；</w:t>
            </w:r>
          </w:p>
          <w:p>
            <w:pPr>
              <w:pStyle w:val="1856"/>
              <w:snapToGrid w:val="0"/>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BOD</w:t>
            </w:r>
            <w:r>
              <w:rPr>
                <w:color w:val="000000" w:themeColor="text1"/>
                <w:sz w:val="21"/>
                <w:szCs w:val="21"/>
                <w:vertAlign w:val="subscript"/>
                <w14:textFill>
                  <w14:solidFill>
                    <w14:schemeClr w14:val="tx1"/>
                  </w14:solidFill>
                </w14:textFill>
              </w:rPr>
              <w:t>5</w:t>
            </w:r>
            <w:r>
              <w:rPr>
                <w:color w:val="000000" w:themeColor="text1"/>
                <w:sz w:val="21"/>
                <w:szCs w:val="21"/>
                <w14:textFill>
                  <w14:solidFill>
                    <w14:schemeClr w14:val="tx1"/>
                  </w14:solidFill>
                </w14:textFill>
              </w:rPr>
              <w:t>（200mg/L，</w:t>
            </w:r>
          </w:p>
          <w:p>
            <w:pPr>
              <w:pStyle w:val="1856"/>
              <w:snapToGrid w:val="0"/>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共计140kg）；</w:t>
            </w:r>
          </w:p>
          <w:p>
            <w:pPr>
              <w:pStyle w:val="1856"/>
              <w:snapToGrid w:val="0"/>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SS（400 mg/L，</w:t>
            </w:r>
          </w:p>
          <w:p>
            <w:pPr>
              <w:pStyle w:val="1856"/>
              <w:snapToGrid w:val="0"/>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共计280kg）</w:t>
            </w:r>
          </w:p>
        </w:tc>
        <w:tc>
          <w:tcPr>
            <w:tcW w:w="992" w:type="dxa"/>
            <w:vAlign w:val="center"/>
          </w:tcPr>
          <w:p>
            <w:pPr>
              <w:pStyle w:val="1856"/>
              <w:snapToGrid w:val="0"/>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w:t>
            </w:r>
          </w:p>
        </w:tc>
        <w:tc>
          <w:tcPr>
            <w:tcW w:w="1381" w:type="dxa"/>
            <w:vAlign w:val="center"/>
          </w:tcPr>
          <w:p>
            <w:pPr>
              <w:pStyle w:val="1856"/>
              <w:snapToGrid w:val="0"/>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石油类</w:t>
            </w:r>
          </w:p>
          <w:p>
            <w:pPr>
              <w:pStyle w:val="1856"/>
              <w:snapToGrid w:val="0"/>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（5000mg/L，</w:t>
            </w:r>
          </w:p>
          <w:p>
            <w:pPr>
              <w:pStyle w:val="1856"/>
              <w:snapToGrid w:val="0"/>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共计2520kg）</w:t>
            </w:r>
          </w:p>
        </w:tc>
      </w:tr>
      <w:bookmarkEnd w:id="119"/>
    </w:tbl>
    <w:p>
      <w:pPr>
        <w:pStyle w:val="283"/>
        <w:ind w:firstLine="462"/>
        <w:rPr>
          <w:color w:val="000000" w:themeColor="text1"/>
          <w14:textFill>
            <w14:solidFill>
              <w14:schemeClr w14:val="tx1"/>
            </w14:solidFill>
          </w14:textFill>
        </w:rPr>
      </w:pPr>
      <w:r>
        <w:rPr>
          <w:rFonts w:hint="eastAsia"/>
          <w:color w:val="000000" w:themeColor="text1"/>
          <w14:textFill>
            <w14:solidFill>
              <w14:schemeClr w14:val="tx1"/>
            </w14:solidFill>
          </w14:textFill>
        </w:rPr>
        <w:t>3</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港区</w:t>
      </w:r>
      <w:r>
        <w:rPr>
          <w:color w:val="000000" w:themeColor="text1"/>
          <w14:textFill>
            <w14:solidFill>
              <w14:schemeClr w14:val="tx1"/>
            </w14:solidFill>
          </w14:textFill>
        </w:rPr>
        <w:t>施工</w:t>
      </w:r>
      <w:r>
        <w:rPr>
          <w:rFonts w:hint="eastAsia"/>
          <w:color w:val="000000" w:themeColor="text1"/>
          <w14:textFill>
            <w14:solidFill>
              <w14:schemeClr w14:val="tx1"/>
            </w14:solidFill>
          </w14:textFill>
        </w:rPr>
        <w:t>污水</w:t>
      </w:r>
    </w:p>
    <w:p>
      <w:pPr>
        <w:pStyle w:val="283"/>
        <w:ind w:firstLine="462"/>
        <w:rPr>
          <w:color w:val="000000" w:themeColor="text1"/>
          <w14:textFill>
            <w14:solidFill>
              <w14:schemeClr w14:val="tx1"/>
            </w14:solidFill>
          </w14:textFill>
        </w:rPr>
      </w:pPr>
      <w:r>
        <w:rPr>
          <w:color w:val="000000" w:themeColor="text1"/>
          <w14:textFill>
            <w14:solidFill>
              <w14:schemeClr w14:val="tx1"/>
            </w14:solidFill>
          </w14:textFill>
        </w:rPr>
        <w:t>港区施工</w:t>
      </w:r>
      <w:r>
        <w:rPr>
          <w:rFonts w:hint="eastAsia"/>
          <w:color w:val="000000" w:themeColor="text1"/>
          <w14:textFill>
            <w14:solidFill>
              <w14:schemeClr w14:val="tx1"/>
            </w14:solidFill>
          </w14:textFill>
        </w:rPr>
        <w:t>污水</w:t>
      </w:r>
      <w:r>
        <w:rPr>
          <w:color w:val="000000" w:themeColor="text1"/>
          <w14:textFill>
            <w14:solidFill>
              <w14:schemeClr w14:val="tx1"/>
            </w14:solidFill>
          </w14:textFill>
        </w:rPr>
        <w:t>包括施工生产废水和生活污水</w:t>
      </w:r>
      <w:r>
        <w:rPr>
          <w:rFonts w:hint="eastAsia"/>
          <w:color w:val="000000" w:themeColor="text1"/>
          <w14:textFill>
            <w14:solidFill>
              <w14:schemeClr w14:val="tx1"/>
            </w14:solidFill>
          </w14:textFill>
        </w:rPr>
        <w:t>：</w:t>
      </w:r>
    </w:p>
    <w:p>
      <w:pPr>
        <w:pStyle w:val="283"/>
        <w:ind w:firstLine="462"/>
        <w:rPr>
          <w:color w:val="000000" w:themeColor="text1"/>
          <w14:textFill>
            <w14:solidFill>
              <w14:schemeClr w14:val="tx1"/>
            </w14:solidFill>
          </w14:textFill>
        </w:rPr>
      </w:pPr>
      <w:r>
        <w:rPr>
          <w:color w:val="000000" w:themeColor="text1"/>
          <w14:textFill>
            <w14:solidFill>
              <w14:schemeClr w14:val="tx1"/>
            </w14:solidFill>
          </w14:textFill>
        </w:rPr>
        <w:t>（1）施工生产废水</w:t>
      </w:r>
    </w:p>
    <w:p>
      <w:pPr>
        <w:pStyle w:val="283"/>
        <w:ind w:firstLine="462"/>
        <w:rPr>
          <w:color w:val="000000" w:themeColor="text1"/>
          <w14:textFill>
            <w14:solidFill>
              <w14:schemeClr w14:val="tx1"/>
            </w14:solidFill>
          </w14:textFill>
        </w:rPr>
      </w:pPr>
      <w:r>
        <w:rPr>
          <w:rFonts w:hint="eastAsia"/>
          <w:color w:val="000000" w:themeColor="text1"/>
          <w14:textFill>
            <w14:solidFill>
              <w14:schemeClr w14:val="tx1"/>
            </w14:solidFill>
          </w14:textFill>
        </w:rPr>
        <w:t>工程</w:t>
      </w:r>
      <w:r>
        <w:rPr>
          <w:color w:val="000000" w:themeColor="text1"/>
          <w14:textFill>
            <w14:solidFill>
              <w14:schemeClr w14:val="tx1"/>
            </w14:solidFill>
          </w14:textFill>
        </w:rPr>
        <w:t>陆域施工过程中将产生少量的生产废水，</w:t>
      </w:r>
      <w:r>
        <w:rPr>
          <w:rFonts w:hint="eastAsia"/>
          <w:color w:val="000000" w:themeColor="text1"/>
          <w14:textFill>
            <w14:solidFill>
              <w14:schemeClr w14:val="tx1"/>
            </w14:solidFill>
          </w14:textFill>
        </w:rPr>
        <w:t>施工过程中可自然蒸发干化</w:t>
      </w:r>
      <w:r>
        <w:rPr>
          <w:color w:val="000000" w:themeColor="text1"/>
          <w14:textFill>
            <w14:solidFill>
              <w14:schemeClr w14:val="tx1"/>
            </w14:solidFill>
          </w14:textFill>
        </w:rPr>
        <w:t>。</w:t>
      </w:r>
    </w:p>
    <w:p>
      <w:pPr>
        <w:pStyle w:val="283"/>
        <w:ind w:firstLine="462"/>
        <w:rPr>
          <w:color w:val="000000" w:themeColor="text1"/>
          <w14:textFill>
            <w14:solidFill>
              <w14:schemeClr w14:val="tx1"/>
            </w14:solidFill>
          </w14:textFill>
        </w:rPr>
      </w:pPr>
      <w:r>
        <w:rPr>
          <w:color w:val="000000" w:themeColor="text1"/>
          <w14:textFill>
            <w14:solidFill>
              <w14:schemeClr w14:val="tx1"/>
            </w14:solidFill>
          </w14:textFill>
        </w:rPr>
        <w:t>（2）施工人员生活污水</w:t>
      </w:r>
    </w:p>
    <w:p>
      <w:pPr>
        <w:pStyle w:val="283"/>
        <w:ind w:firstLine="462"/>
        <w:rPr>
          <w:snapToGrid w:val="0"/>
          <w:color w:val="000000" w:themeColor="text1"/>
          <w14:textFill>
            <w14:solidFill>
              <w14:schemeClr w14:val="tx1"/>
            </w14:solidFill>
          </w14:textFill>
        </w:rPr>
      </w:pPr>
      <w:r>
        <w:rPr>
          <w:rFonts w:hint="eastAsia"/>
          <w:snapToGrid w:val="0"/>
          <w:color w:val="000000" w:themeColor="text1"/>
          <w14:textFill>
            <w14:solidFill>
              <w14:schemeClr w14:val="tx1"/>
            </w14:solidFill>
          </w14:textFill>
        </w:rPr>
        <w:t>项目不设置施工营地，施工人员生活污水主要产生于9号10号泊位现有厕所，按陆域施工人员10人计，施工人员污水产生量约1m</w:t>
      </w:r>
      <w:r>
        <w:rPr>
          <w:rFonts w:hint="eastAsia"/>
          <w:snapToGrid w:val="0"/>
          <w:color w:val="000000" w:themeColor="text1"/>
          <w:vertAlign w:val="superscript"/>
          <w14:textFill>
            <w14:solidFill>
              <w14:schemeClr w14:val="tx1"/>
            </w14:solidFill>
          </w14:textFill>
        </w:rPr>
        <w:t>3</w:t>
      </w:r>
      <w:r>
        <w:rPr>
          <w:rFonts w:hint="eastAsia"/>
          <w:snapToGrid w:val="0"/>
          <w:color w:val="000000" w:themeColor="text1"/>
          <w14:textFill>
            <w14:solidFill>
              <w14:schemeClr w14:val="tx1"/>
            </w14:solidFill>
          </w14:textFill>
        </w:rPr>
        <w:t>/d，施工期污水产生总量为840t，进入7号8号泊位生活污水处理站，预处理达到《污水排入城镇下水道水质标准》（GB/T31962-2015）B级标准后进入大榄坪污水处理厂</w:t>
      </w:r>
      <w:r>
        <w:rPr>
          <w:snapToGrid w:val="0"/>
          <w:color w:val="000000" w:themeColor="text1"/>
          <w14:textFill>
            <w14:solidFill>
              <w14:schemeClr w14:val="tx1"/>
            </w14:solidFill>
          </w14:textFill>
        </w:rPr>
        <w:t>。</w:t>
      </w:r>
    </w:p>
    <w:p>
      <w:pPr>
        <w:pStyle w:val="6"/>
        <w:rPr>
          <w:color w:val="000000" w:themeColor="text1"/>
          <w14:textFill>
            <w14:solidFill>
              <w14:schemeClr w14:val="tx1"/>
            </w14:solidFill>
          </w14:textFill>
        </w:rPr>
      </w:pPr>
      <w:r>
        <w:rPr>
          <w:color w:val="000000" w:themeColor="text1"/>
          <w14:textFill>
            <w14:solidFill>
              <w14:schemeClr w14:val="tx1"/>
            </w14:solidFill>
          </w14:textFill>
        </w:rPr>
        <w:t>大气环境污染源</w:t>
      </w:r>
    </w:p>
    <w:p>
      <w:pPr>
        <w:pStyle w:val="283"/>
        <w:ind w:firstLine="462"/>
        <w:rPr>
          <w:color w:val="000000" w:themeColor="text1"/>
          <w14:textFill>
            <w14:solidFill>
              <w14:schemeClr w14:val="tx1"/>
            </w14:solidFill>
          </w14:textFill>
        </w:rPr>
      </w:pPr>
      <w:r>
        <w:rPr>
          <w:rFonts w:hint="eastAsia"/>
          <w:color w:val="000000" w:themeColor="text1"/>
          <w14:textFill>
            <w14:solidFill>
              <w14:schemeClr w14:val="tx1"/>
            </w14:solidFill>
          </w14:textFill>
        </w:rPr>
        <w:t>1、施工期</w:t>
      </w:r>
      <w:r>
        <w:rPr>
          <w:color w:val="000000" w:themeColor="text1"/>
          <w14:textFill>
            <w14:solidFill>
              <w14:schemeClr w14:val="tx1"/>
            </w14:solidFill>
          </w14:textFill>
        </w:rPr>
        <w:t>扬尘</w:t>
      </w:r>
    </w:p>
    <w:p>
      <w:pPr>
        <w:pStyle w:val="283"/>
        <w:ind w:firstLine="462"/>
        <w:rPr>
          <w:color w:val="000000" w:themeColor="text1"/>
          <w14:textFill>
            <w14:solidFill>
              <w14:schemeClr w14:val="tx1"/>
            </w14:solidFill>
          </w14:textFill>
        </w:rPr>
      </w:pPr>
      <w:r>
        <w:rPr>
          <w:color w:val="000000" w:themeColor="text1"/>
          <w14:textFill>
            <w14:solidFill>
              <w14:schemeClr w14:val="tx1"/>
            </w14:solidFill>
          </w14:textFill>
        </w:rPr>
        <w:t>本项目施工期扬尘污染物主要为进场道路及施工场地内车辆运输扬尘、</w:t>
      </w:r>
      <w:r>
        <w:rPr>
          <w:rFonts w:hint="eastAsia"/>
          <w:color w:val="000000" w:themeColor="text1"/>
          <w14:textFill>
            <w14:solidFill>
              <w14:schemeClr w14:val="tx1"/>
            </w14:solidFill>
          </w14:textFill>
        </w:rPr>
        <w:t>陆域土方</w:t>
      </w:r>
      <w:r>
        <w:rPr>
          <w:color w:val="000000" w:themeColor="text1"/>
          <w14:textFill>
            <w14:solidFill>
              <w14:schemeClr w14:val="tx1"/>
            </w14:solidFill>
          </w14:textFill>
        </w:rPr>
        <w:t>施工扬尘。</w:t>
      </w:r>
    </w:p>
    <w:p>
      <w:pPr>
        <w:pStyle w:val="283"/>
        <w:ind w:firstLine="462"/>
        <w:rPr>
          <w:color w:val="000000" w:themeColor="text1"/>
          <w14:textFill>
            <w14:solidFill>
              <w14:schemeClr w14:val="tx1"/>
            </w14:solidFill>
          </w14:textFill>
        </w:rPr>
      </w:pPr>
      <w:r>
        <w:rPr>
          <w:color w:val="000000" w:themeColor="text1"/>
          <w14:textFill>
            <w14:solidFill>
              <w14:schemeClr w14:val="tx1"/>
            </w14:solidFill>
          </w14:textFill>
        </w:rPr>
        <w:t>本项目施工区域小、挖填土方量小，采取洒水降尘、车辆限速、清扫道路等抑尘措施，扬尘对周围环境影响较小。根据国内港口工程施工现场监测资料，在正常风况下，</w:t>
      </w:r>
      <w:r>
        <w:rPr>
          <w:rFonts w:hint="eastAsia"/>
          <w:color w:val="000000" w:themeColor="text1"/>
          <w14:textFill>
            <w14:solidFill>
              <w14:schemeClr w14:val="tx1"/>
            </w14:solidFill>
          </w14:textFill>
        </w:rPr>
        <w:t>码头</w:t>
      </w:r>
      <w:r>
        <w:rPr>
          <w:color w:val="000000" w:themeColor="text1"/>
          <w14:textFill>
            <w14:solidFill>
              <w14:schemeClr w14:val="tx1"/>
            </w14:solidFill>
          </w14:textFill>
        </w:rPr>
        <w:t>施工活动将使施工现场TSP近地面浓度达到1.5～30mg/m</w:t>
      </w:r>
      <w:r>
        <w:rPr>
          <w:color w:val="000000" w:themeColor="text1"/>
          <w:vertAlign w:val="superscript"/>
          <w14:textFill>
            <w14:solidFill>
              <w14:schemeClr w14:val="tx1"/>
            </w14:solidFill>
          </w14:textFill>
        </w:rPr>
        <w:t>3</w:t>
      </w:r>
      <w:r>
        <w:rPr>
          <w:color w:val="000000" w:themeColor="text1"/>
          <w14:textFill>
            <w14:solidFill>
              <w14:schemeClr w14:val="tx1"/>
            </w14:solidFill>
          </w14:textFill>
        </w:rPr>
        <w:t>，距施工现场约200m外的TSP浓度符合《环境空气质量标准》（GB3095-</w:t>
      </w:r>
      <w:r>
        <w:rPr>
          <w:rFonts w:hint="eastAsia"/>
          <w:color w:val="000000" w:themeColor="text1"/>
          <w14:textFill>
            <w14:solidFill>
              <w14:schemeClr w14:val="tx1"/>
            </w14:solidFill>
          </w14:textFill>
        </w:rPr>
        <w:t>2012</w:t>
      </w:r>
      <w:r>
        <w:rPr>
          <w:color w:val="000000" w:themeColor="text1"/>
          <w14:textFill>
            <w14:solidFill>
              <w14:schemeClr w14:val="tx1"/>
            </w14:solidFill>
          </w14:textFill>
        </w:rPr>
        <w:t>）二级标准要求。</w:t>
      </w:r>
    </w:p>
    <w:p>
      <w:pPr>
        <w:pStyle w:val="283"/>
        <w:ind w:firstLine="462"/>
        <w:rPr>
          <w:color w:val="000000" w:themeColor="text1"/>
          <w14:textFill>
            <w14:solidFill>
              <w14:schemeClr w14:val="tx1"/>
            </w14:solidFill>
          </w14:textFill>
        </w:rPr>
      </w:pPr>
      <w:r>
        <w:rPr>
          <w:color w:val="000000" w:themeColor="text1"/>
          <w14:textFill>
            <w14:solidFill>
              <w14:schemeClr w14:val="tx1"/>
            </w14:solidFill>
          </w14:textFill>
        </w:rPr>
        <w:t>根据调研相关资料表明，在未采取抑尘措施的情况下，施工场地道路车辆运输扬尘影响范围超过200m，在距路边下风向50m，TSP浓度大于10mg/m</w:t>
      </w:r>
      <w:r>
        <w:rPr>
          <w:color w:val="000000" w:themeColor="text1"/>
          <w:vertAlign w:val="superscript"/>
          <w14:textFill>
            <w14:solidFill>
              <w14:schemeClr w14:val="tx1"/>
            </w14:solidFill>
          </w14:textFill>
        </w:rPr>
        <w:t>3</w:t>
      </w:r>
      <w:r>
        <w:rPr>
          <w:color w:val="000000" w:themeColor="text1"/>
          <w14:textFill>
            <w14:solidFill>
              <w14:schemeClr w14:val="tx1"/>
            </w14:solidFill>
          </w14:textFill>
        </w:rPr>
        <w:t>；在距路边下风向150m，TSP约为5.09mg/m</w:t>
      </w:r>
      <w:r>
        <w:rPr>
          <w:color w:val="000000" w:themeColor="text1"/>
          <w:vertAlign w:val="superscript"/>
          <w14:textFill>
            <w14:solidFill>
              <w14:schemeClr w14:val="tx1"/>
            </w14:solidFill>
          </w14:textFill>
        </w:rPr>
        <w:t>3</w:t>
      </w:r>
      <w:r>
        <w:rPr>
          <w:color w:val="000000" w:themeColor="text1"/>
          <w14:textFill>
            <w14:solidFill>
              <w14:schemeClr w14:val="tx1"/>
            </w14:solidFill>
          </w14:textFill>
        </w:rPr>
        <w:t>，超过GB3095-2012中二级标准。如采用洒水措施，将利于TSP沉降，在施工下风向200m外，TSP浓度满足二级标准</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施工路段洒水降尘试验结果见表2.</w:t>
      </w:r>
      <w:r>
        <w:rPr>
          <w:rFonts w:hint="eastAsia"/>
          <w:color w:val="000000" w:themeColor="text1"/>
          <w14:textFill>
            <w14:solidFill>
              <w14:schemeClr w14:val="tx1"/>
            </w14:solidFill>
          </w14:textFill>
        </w:rPr>
        <w:t>4</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2</w:t>
      </w:r>
      <w:r>
        <w:rPr>
          <w:color w:val="000000" w:themeColor="text1"/>
          <w14:textFill>
            <w14:solidFill>
              <w14:schemeClr w14:val="tx1"/>
            </w14:solidFill>
          </w14:textFill>
        </w:rPr>
        <w:t>。</w:t>
      </w:r>
    </w:p>
    <w:p>
      <w:pPr>
        <w:pStyle w:val="283"/>
        <w:ind w:firstLine="462"/>
        <w:rPr>
          <w:color w:val="000000" w:themeColor="text1"/>
          <w14:textFill>
            <w14:solidFill>
              <w14:schemeClr w14:val="tx1"/>
            </w14:solidFill>
          </w14:textFill>
        </w:rPr>
      </w:pPr>
    </w:p>
    <w:p>
      <w:pPr>
        <w:pStyle w:val="384"/>
        <w:ind w:left="0" w:firstLine="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施工路段洒水降尘试验结果</w:t>
      </w:r>
    </w:p>
    <w:tbl>
      <w:tblPr>
        <w:tblStyle w:val="88"/>
        <w:tblW w:w="8528" w:type="dxa"/>
        <w:jc w:val="center"/>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2442"/>
        <w:gridCol w:w="1330"/>
        <w:gridCol w:w="1081"/>
        <w:gridCol w:w="919"/>
        <w:gridCol w:w="919"/>
        <w:gridCol w:w="920"/>
        <w:gridCol w:w="917"/>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blHeader/>
          <w:jc w:val="center"/>
        </w:trPr>
        <w:tc>
          <w:tcPr>
            <w:tcW w:w="3772" w:type="dxa"/>
            <w:gridSpan w:val="2"/>
            <w:tcBorders>
              <w:top w:val="single" w:color="auto" w:sz="12" w:space="0"/>
              <w:left w:val="single" w:color="auto" w:sz="12" w:space="0"/>
              <w:bottom w:val="single" w:color="auto" w:sz="6" w:space="0"/>
              <w:right w:val="single" w:color="auto" w:sz="6" w:space="0"/>
            </w:tcBorders>
            <w:vAlign w:val="center"/>
          </w:tcPr>
          <w:p>
            <w:pPr>
              <w:pStyle w:val="1856"/>
              <w:snapToGrid w:val="0"/>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距路边距离（m）</w:t>
            </w:r>
          </w:p>
        </w:tc>
        <w:tc>
          <w:tcPr>
            <w:tcW w:w="1081" w:type="dxa"/>
            <w:tcBorders>
              <w:top w:val="single" w:color="auto" w:sz="12" w:space="0"/>
              <w:left w:val="single" w:color="auto" w:sz="6" w:space="0"/>
              <w:bottom w:val="single" w:color="auto" w:sz="6" w:space="0"/>
              <w:right w:val="single" w:color="auto" w:sz="6" w:space="0"/>
            </w:tcBorders>
            <w:vAlign w:val="center"/>
          </w:tcPr>
          <w:p>
            <w:pPr>
              <w:pStyle w:val="1856"/>
              <w:snapToGrid w:val="0"/>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0</w:t>
            </w:r>
          </w:p>
        </w:tc>
        <w:tc>
          <w:tcPr>
            <w:tcW w:w="919" w:type="dxa"/>
            <w:tcBorders>
              <w:top w:val="single" w:color="auto" w:sz="12" w:space="0"/>
              <w:left w:val="single" w:color="auto" w:sz="6" w:space="0"/>
              <w:bottom w:val="single" w:color="auto" w:sz="6" w:space="0"/>
              <w:right w:val="single" w:color="auto" w:sz="6" w:space="0"/>
            </w:tcBorders>
            <w:vAlign w:val="center"/>
          </w:tcPr>
          <w:p>
            <w:pPr>
              <w:pStyle w:val="1856"/>
              <w:snapToGrid w:val="0"/>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20</w:t>
            </w:r>
          </w:p>
        </w:tc>
        <w:tc>
          <w:tcPr>
            <w:tcW w:w="919" w:type="dxa"/>
            <w:tcBorders>
              <w:top w:val="single" w:color="auto" w:sz="12" w:space="0"/>
              <w:left w:val="single" w:color="auto" w:sz="6" w:space="0"/>
              <w:bottom w:val="single" w:color="auto" w:sz="6" w:space="0"/>
              <w:right w:val="single" w:color="auto" w:sz="6" w:space="0"/>
            </w:tcBorders>
            <w:vAlign w:val="center"/>
          </w:tcPr>
          <w:p>
            <w:pPr>
              <w:pStyle w:val="1856"/>
              <w:snapToGrid w:val="0"/>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50</w:t>
            </w:r>
          </w:p>
        </w:tc>
        <w:tc>
          <w:tcPr>
            <w:tcW w:w="920" w:type="dxa"/>
            <w:tcBorders>
              <w:top w:val="single" w:color="auto" w:sz="12" w:space="0"/>
              <w:left w:val="single" w:color="auto" w:sz="6" w:space="0"/>
              <w:bottom w:val="single" w:color="auto" w:sz="6" w:space="0"/>
              <w:right w:val="single" w:color="auto" w:sz="6" w:space="0"/>
            </w:tcBorders>
            <w:vAlign w:val="center"/>
          </w:tcPr>
          <w:p>
            <w:pPr>
              <w:pStyle w:val="1856"/>
              <w:snapToGrid w:val="0"/>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100</w:t>
            </w:r>
          </w:p>
        </w:tc>
        <w:tc>
          <w:tcPr>
            <w:tcW w:w="917" w:type="dxa"/>
            <w:tcBorders>
              <w:top w:val="single" w:color="auto" w:sz="12" w:space="0"/>
              <w:left w:val="single" w:color="auto" w:sz="6" w:space="0"/>
              <w:bottom w:val="single" w:color="auto" w:sz="6" w:space="0"/>
              <w:right w:val="single" w:color="auto" w:sz="12" w:space="0"/>
            </w:tcBorders>
            <w:vAlign w:val="center"/>
          </w:tcPr>
          <w:p>
            <w:pPr>
              <w:pStyle w:val="1856"/>
              <w:snapToGrid w:val="0"/>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200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cantSplit/>
          <w:jc w:val="center"/>
        </w:trPr>
        <w:tc>
          <w:tcPr>
            <w:tcW w:w="2442" w:type="dxa"/>
            <w:vMerge w:val="restart"/>
            <w:tcBorders>
              <w:top w:val="single" w:color="auto" w:sz="6" w:space="0"/>
              <w:left w:val="single" w:color="auto" w:sz="12" w:space="0"/>
              <w:bottom w:val="single" w:color="auto" w:sz="12" w:space="0"/>
              <w:right w:val="single" w:color="auto" w:sz="6" w:space="0"/>
            </w:tcBorders>
            <w:vAlign w:val="center"/>
          </w:tcPr>
          <w:p>
            <w:pPr>
              <w:pStyle w:val="1856"/>
              <w:snapToGrid w:val="0"/>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TSP（mg/m</w:t>
            </w:r>
            <w:r>
              <w:rPr>
                <w:color w:val="000000" w:themeColor="text1"/>
                <w:sz w:val="21"/>
                <w:szCs w:val="21"/>
                <w:vertAlign w:val="superscript"/>
                <w14:textFill>
                  <w14:solidFill>
                    <w14:schemeClr w14:val="tx1"/>
                  </w14:solidFill>
                </w14:textFill>
              </w:rPr>
              <w:t>3</w:t>
            </w:r>
            <w:r>
              <w:rPr>
                <w:color w:val="000000" w:themeColor="text1"/>
                <w:sz w:val="21"/>
                <w:szCs w:val="21"/>
                <w14:textFill>
                  <w14:solidFill>
                    <w14:schemeClr w14:val="tx1"/>
                  </w14:solidFill>
                </w14:textFill>
              </w:rPr>
              <w:t>）</w:t>
            </w:r>
          </w:p>
        </w:tc>
        <w:tc>
          <w:tcPr>
            <w:tcW w:w="1330" w:type="dxa"/>
            <w:tcBorders>
              <w:top w:val="single" w:color="auto" w:sz="6" w:space="0"/>
              <w:left w:val="single" w:color="auto" w:sz="6" w:space="0"/>
              <w:bottom w:val="single" w:color="auto" w:sz="6" w:space="0"/>
              <w:right w:val="single" w:color="auto" w:sz="6" w:space="0"/>
            </w:tcBorders>
            <w:vAlign w:val="center"/>
          </w:tcPr>
          <w:p>
            <w:pPr>
              <w:pStyle w:val="1856"/>
              <w:snapToGrid w:val="0"/>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不洒水</w:t>
            </w:r>
          </w:p>
        </w:tc>
        <w:tc>
          <w:tcPr>
            <w:tcW w:w="1081" w:type="dxa"/>
            <w:tcBorders>
              <w:top w:val="single" w:color="auto" w:sz="6" w:space="0"/>
              <w:left w:val="single" w:color="auto" w:sz="6" w:space="0"/>
              <w:bottom w:val="single" w:color="auto" w:sz="6" w:space="0"/>
              <w:right w:val="single" w:color="auto" w:sz="6" w:space="0"/>
            </w:tcBorders>
            <w:vAlign w:val="center"/>
          </w:tcPr>
          <w:p>
            <w:pPr>
              <w:pStyle w:val="1856"/>
              <w:snapToGrid w:val="0"/>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11.03</w:t>
            </w:r>
          </w:p>
        </w:tc>
        <w:tc>
          <w:tcPr>
            <w:tcW w:w="919" w:type="dxa"/>
            <w:tcBorders>
              <w:top w:val="single" w:color="auto" w:sz="6" w:space="0"/>
              <w:left w:val="single" w:color="auto" w:sz="6" w:space="0"/>
              <w:bottom w:val="single" w:color="auto" w:sz="6" w:space="0"/>
              <w:right w:val="single" w:color="auto" w:sz="6" w:space="0"/>
            </w:tcBorders>
            <w:vAlign w:val="center"/>
          </w:tcPr>
          <w:p>
            <w:pPr>
              <w:pStyle w:val="1856"/>
              <w:snapToGrid w:val="0"/>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2.89</w:t>
            </w:r>
          </w:p>
        </w:tc>
        <w:tc>
          <w:tcPr>
            <w:tcW w:w="919" w:type="dxa"/>
            <w:tcBorders>
              <w:top w:val="single" w:color="auto" w:sz="6" w:space="0"/>
              <w:left w:val="single" w:color="auto" w:sz="6" w:space="0"/>
              <w:bottom w:val="single" w:color="auto" w:sz="6" w:space="0"/>
              <w:right w:val="single" w:color="auto" w:sz="6" w:space="0"/>
            </w:tcBorders>
            <w:vAlign w:val="center"/>
          </w:tcPr>
          <w:p>
            <w:pPr>
              <w:pStyle w:val="1856"/>
              <w:snapToGrid w:val="0"/>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1.15</w:t>
            </w:r>
          </w:p>
        </w:tc>
        <w:tc>
          <w:tcPr>
            <w:tcW w:w="920" w:type="dxa"/>
            <w:tcBorders>
              <w:top w:val="single" w:color="auto" w:sz="6" w:space="0"/>
              <w:left w:val="single" w:color="auto" w:sz="6" w:space="0"/>
              <w:bottom w:val="single" w:color="auto" w:sz="6" w:space="0"/>
              <w:right w:val="single" w:color="auto" w:sz="6" w:space="0"/>
            </w:tcBorders>
            <w:vAlign w:val="center"/>
          </w:tcPr>
          <w:p>
            <w:pPr>
              <w:pStyle w:val="1856"/>
              <w:snapToGrid w:val="0"/>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0.86</w:t>
            </w:r>
          </w:p>
        </w:tc>
        <w:tc>
          <w:tcPr>
            <w:tcW w:w="917" w:type="dxa"/>
            <w:tcBorders>
              <w:top w:val="single" w:color="auto" w:sz="6" w:space="0"/>
              <w:left w:val="single" w:color="auto" w:sz="6" w:space="0"/>
              <w:bottom w:val="single" w:color="auto" w:sz="6" w:space="0"/>
              <w:right w:val="single" w:color="auto" w:sz="12" w:space="0"/>
            </w:tcBorders>
            <w:vAlign w:val="center"/>
          </w:tcPr>
          <w:p>
            <w:pPr>
              <w:pStyle w:val="1856"/>
              <w:snapToGrid w:val="0"/>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0.56</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cantSplit/>
          <w:jc w:val="center"/>
        </w:trPr>
        <w:tc>
          <w:tcPr>
            <w:tcW w:w="2442" w:type="dxa"/>
            <w:vMerge w:val="continue"/>
            <w:tcBorders>
              <w:top w:val="single" w:color="auto" w:sz="6" w:space="0"/>
              <w:left w:val="single" w:color="auto" w:sz="12" w:space="0"/>
              <w:bottom w:val="single" w:color="auto" w:sz="12" w:space="0"/>
              <w:right w:val="single" w:color="auto" w:sz="6" w:space="0"/>
            </w:tcBorders>
            <w:vAlign w:val="center"/>
          </w:tcPr>
          <w:p>
            <w:pPr>
              <w:pStyle w:val="1856"/>
              <w:snapToGrid w:val="0"/>
              <w:ind w:firstLine="0" w:firstLineChars="0"/>
              <w:jc w:val="center"/>
              <w:rPr>
                <w:color w:val="000000" w:themeColor="text1"/>
                <w:sz w:val="21"/>
                <w:szCs w:val="21"/>
                <w14:textFill>
                  <w14:solidFill>
                    <w14:schemeClr w14:val="tx1"/>
                  </w14:solidFill>
                </w14:textFill>
              </w:rPr>
            </w:pPr>
          </w:p>
        </w:tc>
        <w:tc>
          <w:tcPr>
            <w:tcW w:w="1330" w:type="dxa"/>
            <w:tcBorders>
              <w:top w:val="single" w:color="auto" w:sz="6" w:space="0"/>
              <w:left w:val="single" w:color="auto" w:sz="6" w:space="0"/>
              <w:bottom w:val="single" w:color="auto" w:sz="12" w:space="0"/>
              <w:right w:val="single" w:color="auto" w:sz="6" w:space="0"/>
            </w:tcBorders>
            <w:vAlign w:val="center"/>
          </w:tcPr>
          <w:p>
            <w:pPr>
              <w:pStyle w:val="1856"/>
              <w:snapToGrid w:val="0"/>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洒水</w:t>
            </w:r>
          </w:p>
        </w:tc>
        <w:tc>
          <w:tcPr>
            <w:tcW w:w="1081" w:type="dxa"/>
            <w:tcBorders>
              <w:top w:val="single" w:color="auto" w:sz="6" w:space="0"/>
              <w:left w:val="single" w:color="auto" w:sz="6" w:space="0"/>
              <w:bottom w:val="single" w:color="auto" w:sz="12" w:space="0"/>
              <w:right w:val="single" w:color="auto" w:sz="6" w:space="0"/>
            </w:tcBorders>
            <w:vAlign w:val="center"/>
          </w:tcPr>
          <w:p>
            <w:pPr>
              <w:pStyle w:val="1856"/>
              <w:snapToGrid w:val="0"/>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2.11</w:t>
            </w:r>
          </w:p>
        </w:tc>
        <w:tc>
          <w:tcPr>
            <w:tcW w:w="919" w:type="dxa"/>
            <w:tcBorders>
              <w:top w:val="single" w:color="auto" w:sz="6" w:space="0"/>
              <w:left w:val="single" w:color="auto" w:sz="6" w:space="0"/>
              <w:bottom w:val="single" w:color="auto" w:sz="12" w:space="0"/>
              <w:right w:val="single" w:color="auto" w:sz="6" w:space="0"/>
            </w:tcBorders>
            <w:vAlign w:val="center"/>
          </w:tcPr>
          <w:p>
            <w:pPr>
              <w:pStyle w:val="1856"/>
              <w:snapToGrid w:val="0"/>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1.40</w:t>
            </w:r>
          </w:p>
        </w:tc>
        <w:tc>
          <w:tcPr>
            <w:tcW w:w="919" w:type="dxa"/>
            <w:tcBorders>
              <w:top w:val="single" w:color="auto" w:sz="6" w:space="0"/>
              <w:left w:val="single" w:color="auto" w:sz="6" w:space="0"/>
              <w:bottom w:val="single" w:color="auto" w:sz="12" w:space="0"/>
              <w:right w:val="single" w:color="auto" w:sz="6" w:space="0"/>
            </w:tcBorders>
            <w:vAlign w:val="center"/>
          </w:tcPr>
          <w:p>
            <w:pPr>
              <w:pStyle w:val="1856"/>
              <w:snapToGrid w:val="0"/>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0.68</w:t>
            </w:r>
          </w:p>
        </w:tc>
        <w:tc>
          <w:tcPr>
            <w:tcW w:w="920" w:type="dxa"/>
            <w:tcBorders>
              <w:top w:val="single" w:color="auto" w:sz="6" w:space="0"/>
              <w:left w:val="single" w:color="auto" w:sz="6" w:space="0"/>
              <w:bottom w:val="single" w:color="auto" w:sz="12" w:space="0"/>
              <w:right w:val="single" w:color="auto" w:sz="6" w:space="0"/>
            </w:tcBorders>
            <w:vAlign w:val="center"/>
          </w:tcPr>
          <w:p>
            <w:pPr>
              <w:pStyle w:val="1856"/>
              <w:snapToGrid w:val="0"/>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0.60</w:t>
            </w:r>
          </w:p>
        </w:tc>
        <w:tc>
          <w:tcPr>
            <w:tcW w:w="917" w:type="dxa"/>
            <w:tcBorders>
              <w:top w:val="single" w:color="auto" w:sz="6" w:space="0"/>
              <w:left w:val="single" w:color="auto" w:sz="6" w:space="0"/>
              <w:bottom w:val="single" w:color="auto" w:sz="12" w:space="0"/>
              <w:right w:val="single" w:color="auto" w:sz="12" w:space="0"/>
            </w:tcBorders>
            <w:vAlign w:val="center"/>
          </w:tcPr>
          <w:p>
            <w:pPr>
              <w:pStyle w:val="1856"/>
              <w:snapToGrid w:val="0"/>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0.29</w:t>
            </w:r>
          </w:p>
        </w:tc>
      </w:tr>
    </w:tbl>
    <w:p>
      <w:pPr>
        <w:pStyle w:val="283"/>
        <w:ind w:firstLine="462"/>
        <w:rPr>
          <w:color w:val="000000" w:themeColor="text1"/>
          <w14:textFill>
            <w14:solidFill>
              <w14:schemeClr w14:val="tx1"/>
            </w14:solidFill>
          </w14:textFill>
        </w:rPr>
      </w:pPr>
      <w:r>
        <w:rPr>
          <w:rFonts w:hint="eastAsia"/>
          <w:color w:val="000000" w:themeColor="text1"/>
          <w14:textFill>
            <w14:solidFill>
              <w14:schemeClr w14:val="tx1"/>
            </w14:solidFill>
          </w14:textFill>
        </w:rPr>
        <w:t>本项目疏浚砂采用皮带机转运上岸，疏浚土吹填上岸，均为湿式作业，基本无运输扬尘影响。</w:t>
      </w:r>
    </w:p>
    <w:p>
      <w:pPr>
        <w:pStyle w:val="283"/>
        <w:ind w:firstLine="462"/>
        <w:rPr>
          <w:color w:val="000000" w:themeColor="text1"/>
          <w14:textFill>
            <w14:solidFill>
              <w14:schemeClr w14:val="tx1"/>
            </w14:solidFill>
          </w14:textFill>
        </w:rPr>
      </w:pPr>
      <w:r>
        <w:rPr>
          <w:color w:val="000000" w:themeColor="text1"/>
          <w14:textFill>
            <w14:solidFill>
              <w14:schemeClr w14:val="tx1"/>
            </w14:solidFill>
          </w14:textFill>
        </w:rPr>
        <w:t>2</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施工船舶废气</w:t>
      </w:r>
    </w:p>
    <w:p>
      <w:pPr>
        <w:pStyle w:val="283"/>
        <w:ind w:firstLine="462"/>
        <w:rPr>
          <w:color w:val="000000" w:themeColor="text1"/>
          <w14:textFill>
            <w14:solidFill>
              <w14:schemeClr w14:val="tx1"/>
            </w14:solidFill>
          </w14:textFill>
        </w:rPr>
      </w:pPr>
      <w:r>
        <w:rPr>
          <w:rFonts w:hint="eastAsia"/>
          <w:color w:val="000000" w:themeColor="text1"/>
          <w14:textFill>
            <w14:solidFill>
              <w14:schemeClr w14:val="tx1"/>
            </w14:solidFill>
          </w14:textFill>
        </w:rPr>
        <w:t>施工船舶</w:t>
      </w:r>
      <w:r>
        <w:rPr>
          <w:color w:val="000000" w:themeColor="text1"/>
          <w14:textFill>
            <w14:solidFill>
              <w14:schemeClr w14:val="tx1"/>
            </w14:solidFill>
          </w14:textFill>
        </w:rPr>
        <w:t>工作时耗油量，采用英国劳式船级社推荐的方法，即每1kW•h耗油量平均为231g，估算整个施工期间施工船舶耗油量</w:t>
      </w:r>
      <w:r>
        <w:rPr>
          <w:rFonts w:hint="eastAsia"/>
          <w:color w:val="000000" w:themeColor="text1"/>
          <w14:textFill>
            <w14:solidFill>
              <w14:schemeClr w14:val="tx1"/>
            </w14:solidFill>
          </w14:textFill>
        </w:rPr>
        <w:t>1104.1</w:t>
      </w:r>
      <w:r>
        <w:rPr>
          <w:color w:val="000000" w:themeColor="text1"/>
          <w14:textFill>
            <w14:solidFill>
              <w14:schemeClr w14:val="tx1"/>
            </w14:solidFill>
          </w14:textFill>
        </w:rPr>
        <w:t>t。施工船舶以含硫率＜0.1%的轻质柴油为燃料，SO</w:t>
      </w:r>
      <w:r>
        <w:rPr>
          <w:color w:val="000000" w:themeColor="text1"/>
          <w:vertAlign w:val="subscript"/>
          <w14:textFill>
            <w14:solidFill>
              <w14:schemeClr w14:val="tx1"/>
            </w14:solidFill>
          </w14:textFill>
        </w:rPr>
        <w:t>2</w:t>
      </w:r>
      <w:r>
        <w:rPr>
          <w:color w:val="000000" w:themeColor="text1"/>
          <w14:textFill>
            <w14:solidFill>
              <w14:schemeClr w14:val="tx1"/>
            </w14:solidFill>
          </w14:textFill>
        </w:rPr>
        <w:t>产生系数约为0.002kg/kg，NO</w:t>
      </w:r>
      <w:r>
        <w:rPr>
          <w:color w:val="000000" w:themeColor="text1"/>
          <w:vertAlign w:val="subscript"/>
          <w14:textFill>
            <w14:solidFill>
              <w14:schemeClr w14:val="tx1"/>
            </w14:solidFill>
          </w14:textFill>
        </w:rPr>
        <w:t>x</w:t>
      </w:r>
      <w:r>
        <w:rPr>
          <w:color w:val="000000" w:themeColor="text1"/>
          <w14:textFill>
            <w14:solidFill>
              <w14:schemeClr w14:val="tx1"/>
            </w14:solidFill>
          </w14:textFill>
        </w:rPr>
        <w:t>产生系数约为0.01kg/kg。估算得出，本工程施工船舶废气中SO</w:t>
      </w:r>
      <w:r>
        <w:rPr>
          <w:color w:val="000000" w:themeColor="text1"/>
          <w:vertAlign w:val="subscript"/>
          <w14:textFill>
            <w14:solidFill>
              <w14:schemeClr w14:val="tx1"/>
            </w14:solidFill>
          </w14:textFill>
        </w:rPr>
        <w:t>2</w:t>
      </w:r>
      <w:r>
        <w:rPr>
          <w:color w:val="000000" w:themeColor="text1"/>
          <w14:textFill>
            <w14:solidFill>
              <w14:schemeClr w14:val="tx1"/>
            </w14:solidFill>
          </w14:textFill>
        </w:rPr>
        <w:t>和NO</w:t>
      </w:r>
      <w:r>
        <w:rPr>
          <w:color w:val="000000" w:themeColor="text1"/>
          <w:vertAlign w:val="subscript"/>
          <w14:textFill>
            <w14:solidFill>
              <w14:schemeClr w14:val="tx1"/>
            </w14:solidFill>
          </w14:textFill>
        </w:rPr>
        <w:t>x</w:t>
      </w:r>
      <w:r>
        <w:rPr>
          <w:color w:val="000000" w:themeColor="text1"/>
          <w14:textFill>
            <w14:solidFill>
              <w14:schemeClr w14:val="tx1"/>
            </w14:solidFill>
          </w14:textFill>
        </w:rPr>
        <w:t>产生量分别为</w:t>
      </w:r>
      <w:r>
        <w:rPr>
          <w:rFonts w:hint="eastAsia"/>
          <w:color w:val="000000" w:themeColor="text1"/>
          <w14:textFill>
            <w14:solidFill>
              <w14:schemeClr w14:val="tx1"/>
            </w14:solidFill>
          </w14:textFill>
        </w:rPr>
        <w:t>2.20</w:t>
      </w:r>
      <w:r>
        <w:rPr>
          <w:color w:val="000000" w:themeColor="text1"/>
          <w14:textFill>
            <w14:solidFill>
              <w14:schemeClr w14:val="tx1"/>
            </w14:solidFill>
          </w14:textFill>
        </w:rPr>
        <w:t>t、</w:t>
      </w:r>
      <w:r>
        <w:rPr>
          <w:rFonts w:hint="eastAsia"/>
          <w:color w:val="000000" w:themeColor="text1"/>
          <w14:textFill>
            <w14:solidFill>
              <w14:schemeClr w14:val="tx1"/>
            </w14:solidFill>
          </w14:textFill>
        </w:rPr>
        <w:t>11.04</w:t>
      </w:r>
      <w:r>
        <w:rPr>
          <w:color w:val="000000" w:themeColor="text1"/>
          <w14:textFill>
            <w14:solidFill>
              <w14:schemeClr w14:val="tx1"/>
            </w14:solidFill>
          </w14:textFill>
        </w:rPr>
        <w:t>t。</w:t>
      </w:r>
    </w:p>
    <w:p>
      <w:pPr>
        <w:pStyle w:val="384"/>
        <w:ind w:left="0" w:firstLine="0"/>
        <w:rPr>
          <w:rFonts w:cs="Times New Roman"/>
          <w:color w:val="000000" w:themeColor="text1"/>
          <w14:textFill>
            <w14:solidFill>
              <w14:schemeClr w14:val="tx1"/>
            </w14:solidFill>
          </w14:textFill>
        </w:rPr>
      </w:pPr>
      <w:r>
        <w:rPr>
          <w:rFonts w:cs="Times New Roman"/>
          <w:snapToGrid w:val="0"/>
          <w:color w:val="000000" w:themeColor="text1"/>
          <w14:textFill>
            <w14:solidFill>
              <w14:schemeClr w14:val="tx1"/>
            </w14:solidFill>
          </w14:textFill>
        </w:rPr>
        <w:t>施工期</w:t>
      </w:r>
      <w:r>
        <w:rPr>
          <w:rFonts w:hint="eastAsia" w:cs="Times New Roman"/>
          <w:snapToGrid w:val="0"/>
          <w:color w:val="000000" w:themeColor="text1"/>
          <w14:textFill>
            <w14:solidFill>
              <w14:schemeClr w14:val="tx1"/>
            </w14:solidFill>
          </w14:textFill>
        </w:rPr>
        <w:t>船舶</w:t>
      </w:r>
      <w:r>
        <w:rPr>
          <w:rFonts w:cs="Times New Roman"/>
          <w:color w:val="000000" w:themeColor="text1"/>
          <w14:textFill>
            <w14:solidFill>
              <w14:schemeClr w14:val="tx1"/>
            </w14:solidFill>
          </w14:textFill>
        </w:rPr>
        <w:t>废气排放量估算</w:t>
      </w:r>
    </w:p>
    <w:tbl>
      <w:tblPr>
        <w:tblStyle w:val="88"/>
        <w:tblW w:w="8342" w:type="dxa"/>
        <w:tblInd w:w="-1" w:type="dxa"/>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Layout w:type="fixed"/>
        <w:tblCellMar>
          <w:top w:w="0" w:type="dxa"/>
          <w:left w:w="0" w:type="dxa"/>
          <w:bottom w:w="0" w:type="dxa"/>
          <w:right w:w="0" w:type="dxa"/>
        </w:tblCellMar>
      </w:tblPr>
      <w:tblGrid>
        <w:gridCol w:w="1376"/>
        <w:gridCol w:w="1018"/>
        <w:gridCol w:w="1540"/>
        <w:gridCol w:w="1625"/>
        <w:gridCol w:w="1625"/>
        <w:gridCol w:w="1158"/>
      </w:tblGrid>
      <w:tr>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Layout w:type="fixed"/>
          <w:tblCellMar>
            <w:top w:w="0" w:type="dxa"/>
            <w:left w:w="0" w:type="dxa"/>
            <w:bottom w:w="0" w:type="dxa"/>
            <w:right w:w="0" w:type="dxa"/>
          </w:tblCellMar>
        </w:tblPrEx>
        <w:trPr>
          <w:trHeight w:val="20" w:hRule="atLeast"/>
          <w:tblHeader/>
        </w:trPr>
        <w:tc>
          <w:tcPr>
            <w:tcW w:w="1376" w:type="dxa"/>
            <w:vAlign w:val="center"/>
          </w:tcPr>
          <w:p>
            <w:pPr>
              <w:pStyle w:val="1856"/>
              <w:snapToGrid w:val="0"/>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船舶类型</w:t>
            </w:r>
          </w:p>
        </w:tc>
        <w:tc>
          <w:tcPr>
            <w:tcW w:w="1018" w:type="dxa"/>
            <w:vAlign w:val="center"/>
          </w:tcPr>
          <w:p>
            <w:pPr>
              <w:pStyle w:val="1856"/>
              <w:snapToGrid w:val="0"/>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施工天数</w:t>
            </w:r>
          </w:p>
        </w:tc>
        <w:tc>
          <w:tcPr>
            <w:tcW w:w="1540" w:type="dxa"/>
            <w:vAlign w:val="center"/>
          </w:tcPr>
          <w:p>
            <w:pPr>
              <w:pStyle w:val="1856"/>
              <w:snapToGrid w:val="0"/>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平均工作效率（</w:t>
            </w:r>
            <w:r>
              <w:rPr>
                <w:rFonts w:hint="eastAsia"/>
                <w:color w:val="000000" w:themeColor="text1"/>
                <w:sz w:val="21"/>
                <w:szCs w:val="21"/>
                <w14:textFill>
                  <w14:solidFill>
                    <w14:schemeClr w14:val="tx1"/>
                  </w14:solidFill>
                </w14:textFill>
              </w:rPr>
              <w:t>k</w:t>
            </w:r>
            <w:r>
              <w:rPr>
                <w:color w:val="000000" w:themeColor="text1"/>
                <w:sz w:val="21"/>
                <w:szCs w:val="21"/>
                <w14:textFill>
                  <w14:solidFill>
                    <w14:schemeClr w14:val="tx1"/>
                  </w14:solidFill>
                </w14:textFill>
              </w:rPr>
              <w:t>W·h）</w:t>
            </w:r>
          </w:p>
        </w:tc>
        <w:tc>
          <w:tcPr>
            <w:tcW w:w="1625" w:type="dxa"/>
            <w:vAlign w:val="center"/>
          </w:tcPr>
          <w:p>
            <w:pPr>
              <w:pStyle w:val="1856"/>
              <w:snapToGrid w:val="0"/>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每天有效工作时间（</w:t>
            </w:r>
            <w:r>
              <w:rPr>
                <w:rFonts w:hint="eastAsia"/>
                <w:color w:val="000000" w:themeColor="text1"/>
                <w:sz w:val="21"/>
                <w:szCs w:val="21"/>
                <w14:textFill>
                  <w14:solidFill>
                    <w14:schemeClr w14:val="tx1"/>
                  </w14:solidFill>
                </w14:textFill>
              </w:rPr>
              <w:t>h</w:t>
            </w:r>
            <w:r>
              <w:rPr>
                <w:color w:val="000000" w:themeColor="text1"/>
                <w:sz w:val="21"/>
                <w:szCs w:val="21"/>
                <w14:textFill>
                  <w14:solidFill>
                    <w14:schemeClr w14:val="tx1"/>
                  </w14:solidFill>
                </w14:textFill>
              </w:rPr>
              <w:t>）</w:t>
            </w:r>
          </w:p>
        </w:tc>
        <w:tc>
          <w:tcPr>
            <w:tcW w:w="1625" w:type="dxa"/>
            <w:vAlign w:val="center"/>
          </w:tcPr>
          <w:p>
            <w:pPr>
              <w:pStyle w:val="1856"/>
              <w:snapToGrid w:val="0"/>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耗油系数（g/</w:t>
            </w:r>
            <w:r>
              <w:rPr>
                <w:rFonts w:hint="eastAsia"/>
                <w:color w:val="000000" w:themeColor="text1"/>
                <w:sz w:val="21"/>
                <w:szCs w:val="21"/>
                <w14:textFill>
                  <w14:solidFill>
                    <w14:schemeClr w14:val="tx1"/>
                  </w14:solidFill>
                </w14:textFill>
              </w:rPr>
              <w:t>k</w:t>
            </w:r>
            <w:r>
              <w:rPr>
                <w:color w:val="000000" w:themeColor="text1"/>
                <w:sz w:val="21"/>
                <w:szCs w:val="21"/>
                <w14:textFill>
                  <w14:solidFill>
                    <w14:schemeClr w14:val="tx1"/>
                  </w14:solidFill>
                </w14:textFill>
              </w:rPr>
              <w:t>W•h）</w:t>
            </w:r>
          </w:p>
        </w:tc>
        <w:tc>
          <w:tcPr>
            <w:tcW w:w="1158" w:type="dxa"/>
            <w:vAlign w:val="center"/>
          </w:tcPr>
          <w:p>
            <w:pPr>
              <w:pStyle w:val="1856"/>
              <w:snapToGrid w:val="0"/>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耗油量（t）</w:t>
            </w:r>
          </w:p>
        </w:tc>
      </w:tr>
      <w:tr>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Layout w:type="fixed"/>
          <w:tblCellMar>
            <w:top w:w="0" w:type="dxa"/>
            <w:left w:w="0" w:type="dxa"/>
            <w:bottom w:w="0" w:type="dxa"/>
            <w:right w:w="0" w:type="dxa"/>
          </w:tblCellMar>
        </w:tblPrEx>
        <w:trPr>
          <w:trHeight w:val="20" w:hRule="atLeast"/>
        </w:trPr>
        <w:tc>
          <w:tcPr>
            <w:tcW w:w="1376" w:type="dxa"/>
            <w:vAlign w:val="center"/>
          </w:tcPr>
          <w:p>
            <w:pPr>
              <w:pStyle w:val="1856"/>
              <w:snapToGrid w:val="0"/>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炸礁船</w:t>
            </w:r>
          </w:p>
        </w:tc>
        <w:tc>
          <w:tcPr>
            <w:tcW w:w="1018" w:type="dxa"/>
            <w:vAlign w:val="center"/>
          </w:tcPr>
          <w:p>
            <w:pPr>
              <w:pStyle w:val="1856"/>
              <w:snapToGrid w:val="0"/>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100</w:t>
            </w:r>
          </w:p>
        </w:tc>
        <w:tc>
          <w:tcPr>
            <w:tcW w:w="1540" w:type="dxa"/>
            <w:vAlign w:val="center"/>
          </w:tcPr>
          <w:p>
            <w:pPr>
              <w:pStyle w:val="1856"/>
              <w:snapToGrid w:val="0"/>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500</w:t>
            </w:r>
          </w:p>
        </w:tc>
        <w:tc>
          <w:tcPr>
            <w:tcW w:w="1625" w:type="dxa"/>
            <w:vAlign w:val="center"/>
          </w:tcPr>
          <w:p>
            <w:pPr>
              <w:pStyle w:val="1856"/>
              <w:snapToGrid w:val="0"/>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2</w:t>
            </w:r>
          </w:p>
        </w:tc>
        <w:tc>
          <w:tcPr>
            <w:tcW w:w="1625" w:type="dxa"/>
            <w:vAlign w:val="center"/>
          </w:tcPr>
          <w:p>
            <w:pPr>
              <w:pStyle w:val="1856"/>
              <w:snapToGrid w:val="0"/>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231</w:t>
            </w:r>
          </w:p>
        </w:tc>
        <w:tc>
          <w:tcPr>
            <w:tcW w:w="1158" w:type="dxa"/>
          </w:tcPr>
          <w:p>
            <w:pPr>
              <w:pStyle w:val="1856"/>
              <w:snapToGrid w:val="0"/>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23.1</w:t>
            </w:r>
          </w:p>
        </w:tc>
      </w:tr>
      <w:tr>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Layout w:type="fixed"/>
          <w:tblCellMar>
            <w:top w:w="0" w:type="dxa"/>
            <w:left w:w="0" w:type="dxa"/>
            <w:bottom w:w="0" w:type="dxa"/>
            <w:right w:w="0" w:type="dxa"/>
          </w:tblCellMar>
        </w:tblPrEx>
        <w:trPr>
          <w:trHeight w:val="20" w:hRule="atLeast"/>
        </w:trPr>
        <w:tc>
          <w:tcPr>
            <w:tcW w:w="1376" w:type="dxa"/>
            <w:vAlign w:val="center"/>
          </w:tcPr>
          <w:p>
            <w:pPr>
              <w:pStyle w:val="1856"/>
              <w:snapToGrid w:val="0"/>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绞吸式挖泥船</w:t>
            </w:r>
          </w:p>
        </w:tc>
        <w:tc>
          <w:tcPr>
            <w:tcW w:w="1018" w:type="dxa"/>
            <w:vAlign w:val="center"/>
          </w:tcPr>
          <w:p>
            <w:pPr>
              <w:pStyle w:val="1856"/>
              <w:snapToGrid w:val="0"/>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200</w:t>
            </w:r>
          </w:p>
        </w:tc>
        <w:tc>
          <w:tcPr>
            <w:tcW w:w="1540" w:type="dxa"/>
            <w:vAlign w:val="center"/>
          </w:tcPr>
          <w:p>
            <w:pPr>
              <w:pStyle w:val="1856"/>
              <w:snapToGrid w:val="0"/>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600</w:t>
            </w:r>
          </w:p>
        </w:tc>
        <w:tc>
          <w:tcPr>
            <w:tcW w:w="1625" w:type="dxa"/>
            <w:vAlign w:val="center"/>
          </w:tcPr>
          <w:p>
            <w:pPr>
              <w:pStyle w:val="1856"/>
              <w:snapToGrid w:val="0"/>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5</w:t>
            </w:r>
          </w:p>
        </w:tc>
        <w:tc>
          <w:tcPr>
            <w:tcW w:w="1625" w:type="dxa"/>
            <w:vAlign w:val="center"/>
          </w:tcPr>
          <w:p>
            <w:pPr>
              <w:pStyle w:val="1856"/>
              <w:snapToGrid w:val="0"/>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231</w:t>
            </w:r>
          </w:p>
        </w:tc>
        <w:tc>
          <w:tcPr>
            <w:tcW w:w="1158" w:type="dxa"/>
          </w:tcPr>
          <w:p>
            <w:pPr>
              <w:pStyle w:val="1856"/>
              <w:snapToGrid w:val="0"/>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138.6</w:t>
            </w:r>
          </w:p>
        </w:tc>
      </w:tr>
      <w:tr>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Layout w:type="fixed"/>
          <w:tblCellMar>
            <w:top w:w="0" w:type="dxa"/>
            <w:left w:w="0" w:type="dxa"/>
            <w:bottom w:w="0" w:type="dxa"/>
            <w:right w:w="0" w:type="dxa"/>
          </w:tblCellMar>
        </w:tblPrEx>
        <w:trPr>
          <w:trHeight w:val="20" w:hRule="atLeast"/>
        </w:trPr>
        <w:tc>
          <w:tcPr>
            <w:tcW w:w="1376" w:type="dxa"/>
            <w:vAlign w:val="center"/>
          </w:tcPr>
          <w:p>
            <w:pPr>
              <w:pStyle w:val="1856"/>
              <w:snapToGrid w:val="0"/>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抓斗式挖泥船</w:t>
            </w:r>
          </w:p>
        </w:tc>
        <w:tc>
          <w:tcPr>
            <w:tcW w:w="1018" w:type="dxa"/>
            <w:vAlign w:val="center"/>
          </w:tcPr>
          <w:p>
            <w:pPr>
              <w:pStyle w:val="1856"/>
              <w:snapToGrid w:val="0"/>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300</w:t>
            </w:r>
          </w:p>
        </w:tc>
        <w:tc>
          <w:tcPr>
            <w:tcW w:w="1540" w:type="dxa"/>
            <w:vAlign w:val="center"/>
          </w:tcPr>
          <w:p>
            <w:pPr>
              <w:pStyle w:val="1856"/>
              <w:snapToGrid w:val="0"/>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800</w:t>
            </w:r>
          </w:p>
        </w:tc>
        <w:tc>
          <w:tcPr>
            <w:tcW w:w="1625" w:type="dxa"/>
            <w:vAlign w:val="center"/>
          </w:tcPr>
          <w:p>
            <w:pPr>
              <w:pStyle w:val="1856"/>
              <w:snapToGrid w:val="0"/>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2</w:t>
            </w:r>
          </w:p>
        </w:tc>
        <w:tc>
          <w:tcPr>
            <w:tcW w:w="1625" w:type="dxa"/>
            <w:vAlign w:val="center"/>
          </w:tcPr>
          <w:p>
            <w:pPr>
              <w:pStyle w:val="1856"/>
              <w:snapToGrid w:val="0"/>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231</w:t>
            </w:r>
          </w:p>
        </w:tc>
        <w:tc>
          <w:tcPr>
            <w:tcW w:w="1158" w:type="dxa"/>
            <w:vAlign w:val="center"/>
          </w:tcPr>
          <w:p>
            <w:pPr>
              <w:pStyle w:val="1856"/>
              <w:snapToGrid w:val="0"/>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110.8</w:t>
            </w:r>
          </w:p>
        </w:tc>
      </w:tr>
      <w:tr>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Layout w:type="fixed"/>
          <w:tblCellMar>
            <w:top w:w="0" w:type="dxa"/>
            <w:left w:w="0" w:type="dxa"/>
            <w:bottom w:w="0" w:type="dxa"/>
            <w:right w:w="0" w:type="dxa"/>
          </w:tblCellMar>
        </w:tblPrEx>
        <w:trPr>
          <w:trHeight w:val="20" w:hRule="atLeast"/>
        </w:trPr>
        <w:tc>
          <w:tcPr>
            <w:tcW w:w="1376" w:type="dxa"/>
            <w:vAlign w:val="center"/>
          </w:tcPr>
          <w:p>
            <w:pPr>
              <w:pStyle w:val="1856"/>
              <w:snapToGrid w:val="0"/>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驳船</w:t>
            </w:r>
          </w:p>
        </w:tc>
        <w:tc>
          <w:tcPr>
            <w:tcW w:w="1018" w:type="dxa"/>
            <w:vAlign w:val="center"/>
          </w:tcPr>
          <w:p>
            <w:pPr>
              <w:pStyle w:val="1856"/>
              <w:snapToGrid w:val="0"/>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500</w:t>
            </w:r>
          </w:p>
        </w:tc>
        <w:tc>
          <w:tcPr>
            <w:tcW w:w="1540" w:type="dxa"/>
            <w:vAlign w:val="center"/>
          </w:tcPr>
          <w:p>
            <w:pPr>
              <w:pStyle w:val="1856"/>
              <w:snapToGrid w:val="0"/>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600</w:t>
            </w:r>
          </w:p>
        </w:tc>
        <w:tc>
          <w:tcPr>
            <w:tcW w:w="1625" w:type="dxa"/>
            <w:vAlign w:val="center"/>
          </w:tcPr>
          <w:p>
            <w:pPr>
              <w:pStyle w:val="1856"/>
              <w:snapToGrid w:val="0"/>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12</w:t>
            </w:r>
          </w:p>
        </w:tc>
        <w:tc>
          <w:tcPr>
            <w:tcW w:w="1625" w:type="dxa"/>
            <w:vAlign w:val="center"/>
          </w:tcPr>
          <w:p>
            <w:pPr>
              <w:pStyle w:val="1856"/>
              <w:snapToGrid w:val="0"/>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231</w:t>
            </w:r>
          </w:p>
        </w:tc>
        <w:tc>
          <w:tcPr>
            <w:tcW w:w="1158" w:type="dxa"/>
          </w:tcPr>
          <w:p>
            <w:pPr>
              <w:pStyle w:val="1856"/>
              <w:snapToGrid w:val="0"/>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831.6</w:t>
            </w:r>
          </w:p>
        </w:tc>
      </w:tr>
      <w:tr>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Layout w:type="fixed"/>
          <w:tblCellMar>
            <w:top w:w="0" w:type="dxa"/>
            <w:left w:w="0" w:type="dxa"/>
            <w:bottom w:w="0" w:type="dxa"/>
            <w:right w:w="0" w:type="dxa"/>
          </w:tblCellMar>
        </w:tblPrEx>
        <w:trPr>
          <w:trHeight w:val="77" w:hRule="atLeast"/>
        </w:trPr>
        <w:tc>
          <w:tcPr>
            <w:tcW w:w="1376" w:type="dxa"/>
            <w:vAlign w:val="center"/>
          </w:tcPr>
          <w:p>
            <w:pPr>
              <w:pStyle w:val="1856"/>
              <w:snapToGrid w:val="0"/>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合计</w:t>
            </w:r>
          </w:p>
        </w:tc>
        <w:tc>
          <w:tcPr>
            <w:tcW w:w="1018" w:type="dxa"/>
            <w:vAlign w:val="center"/>
          </w:tcPr>
          <w:p>
            <w:pPr>
              <w:pStyle w:val="1856"/>
              <w:snapToGrid w:val="0"/>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w:t>
            </w:r>
          </w:p>
        </w:tc>
        <w:tc>
          <w:tcPr>
            <w:tcW w:w="1540" w:type="dxa"/>
            <w:vAlign w:val="center"/>
          </w:tcPr>
          <w:p>
            <w:pPr>
              <w:pStyle w:val="1856"/>
              <w:snapToGrid w:val="0"/>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w:t>
            </w:r>
          </w:p>
        </w:tc>
        <w:tc>
          <w:tcPr>
            <w:tcW w:w="1625" w:type="dxa"/>
            <w:vAlign w:val="center"/>
          </w:tcPr>
          <w:p>
            <w:pPr>
              <w:pStyle w:val="1856"/>
              <w:snapToGrid w:val="0"/>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　</w:t>
            </w:r>
          </w:p>
        </w:tc>
        <w:tc>
          <w:tcPr>
            <w:tcW w:w="1625" w:type="dxa"/>
            <w:vAlign w:val="center"/>
          </w:tcPr>
          <w:p>
            <w:pPr>
              <w:pStyle w:val="1856"/>
              <w:snapToGrid w:val="0"/>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w:t>
            </w:r>
          </w:p>
        </w:tc>
        <w:tc>
          <w:tcPr>
            <w:tcW w:w="1158" w:type="dxa"/>
          </w:tcPr>
          <w:p>
            <w:pPr>
              <w:pStyle w:val="1856"/>
              <w:snapToGrid w:val="0"/>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1104.1</w:t>
            </w:r>
          </w:p>
        </w:tc>
      </w:tr>
    </w:tbl>
    <w:p>
      <w:pPr>
        <w:pStyle w:val="6"/>
        <w:rPr>
          <w:color w:val="000000" w:themeColor="text1"/>
          <w14:textFill>
            <w14:solidFill>
              <w14:schemeClr w14:val="tx1"/>
            </w14:solidFill>
          </w14:textFill>
        </w:rPr>
      </w:pPr>
      <w:r>
        <w:rPr>
          <w:color w:val="000000" w:themeColor="text1"/>
          <w14:textFill>
            <w14:solidFill>
              <w14:schemeClr w14:val="tx1"/>
            </w14:solidFill>
          </w14:textFill>
        </w:rPr>
        <w:t>声环境污染源</w:t>
      </w:r>
    </w:p>
    <w:p>
      <w:pPr>
        <w:pStyle w:val="283"/>
        <w:ind w:firstLine="462"/>
        <w:rPr>
          <w:snapToGrid w:val="0"/>
          <w:color w:val="000000" w:themeColor="text1"/>
          <w14:textFill>
            <w14:solidFill>
              <w14:schemeClr w14:val="tx1"/>
            </w14:solidFill>
          </w14:textFill>
        </w:rPr>
      </w:pPr>
      <w:r>
        <w:rPr>
          <w:color w:val="000000" w:themeColor="text1"/>
          <w14:textFill>
            <w14:solidFill>
              <w14:schemeClr w14:val="tx1"/>
            </w14:solidFill>
          </w14:textFill>
        </w:rPr>
        <w:t>项目建设中，可能使用的机械设备包括装载机</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挖掘机</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自卸车</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推土机</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履带吊</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搅拌机</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施工船舶等；参照《环境噪声与振动控制工程技术导则》（</w:t>
      </w:r>
      <w:r>
        <w:rPr>
          <w:rFonts w:hint="eastAsia"/>
          <w:color w:val="000000" w:themeColor="text1"/>
          <w14:textFill>
            <w14:solidFill>
              <w14:schemeClr w14:val="tx1"/>
            </w14:solidFill>
          </w14:textFill>
        </w:rPr>
        <w:t>HJ2034-2013</w:t>
      </w:r>
      <w:r>
        <w:rPr>
          <w:color w:val="000000" w:themeColor="text1"/>
          <w14:textFill>
            <w14:solidFill>
              <w14:schemeClr w14:val="tx1"/>
            </w14:solidFill>
          </w14:textFill>
        </w:rPr>
        <w:t>）典型</w:t>
      </w:r>
      <w:r>
        <w:rPr>
          <w:snapToGrid w:val="0"/>
          <w:color w:val="000000" w:themeColor="text1"/>
          <w14:textFill>
            <w14:solidFill>
              <w14:schemeClr w14:val="tx1"/>
            </w14:solidFill>
          </w14:textFill>
        </w:rPr>
        <w:t>施工机械噪声源强见表2.</w:t>
      </w:r>
      <w:r>
        <w:rPr>
          <w:rFonts w:hint="eastAsia"/>
          <w:snapToGrid w:val="0"/>
          <w:color w:val="000000" w:themeColor="text1"/>
          <w14:textFill>
            <w14:solidFill>
              <w14:schemeClr w14:val="tx1"/>
            </w14:solidFill>
          </w14:textFill>
        </w:rPr>
        <w:t>4</w:t>
      </w:r>
      <w:r>
        <w:rPr>
          <w:snapToGrid w:val="0"/>
          <w:color w:val="000000" w:themeColor="text1"/>
          <w14:textFill>
            <w14:solidFill>
              <w14:schemeClr w14:val="tx1"/>
            </w14:solidFill>
          </w14:textFill>
        </w:rPr>
        <w:t>-</w:t>
      </w:r>
      <w:r>
        <w:rPr>
          <w:rFonts w:hint="eastAsia"/>
          <w:snapToGrid w:val="0"/>
          <w:color w:val="000000" w:themeColor="text1"/>
          <w14:textFill>
            <w14:solidFill>
              <w14:schemeClr w14:val="tx1"/>
            </w14:solidFill>
          </w14:textFill>
        </w:rPr>
        <w:t>4</w:t>
      </w:r>
      <w:r>
        <w:rPr>
          <w:snapToGrid w:val="0"/>
          <w:color w:val="000000" w:themeColor="text1"/>
          <w14:textFill>
            <w14:solidFill>
              <w14:schemeClr w14:val="tx1"/>
            </w14:solidFill>
          </w14:textFill>
        </w:rPr>
        <w:t>。</w:t>
      </w:r>
    </w:p>
    <w:p>
      <w:pPr>
        <w:pStyle w:val="384"/>
        <w:ind w:left="0" w:firstLine="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主要施工机械噪声值一览 单位：dB（A）</w:t>
      </w:r>
    </w:p>
    <w:tbl>
      <w:tblPr>
        <w:tblStyle w:val="88"/>
        <w:tblW w:w="8528" w:type="dxa"/>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037"/>
        <w:gridCol w:w="2386"/>
        <w:gridCol w:w="3396"/>
        <w:gridCol w:w="1709"/>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blHeader/>
        </w:trPr>
        <w:tc>
          <w:tcPr>
            <w:tcW w:w="1037" w:type="dxa"/>
            <w:shd w:val="clear" w:color="auto" w:fill="auto"/>
            <w:vAlign w:val="center"/>
          </w:tcPr>
          <w:p>
            <w:pPr>
              <w:pStyle w:val="1856"/>
              <w:snapToGrid w:val="0"/>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序号</w:t>
            </w:r>
          </w:p>
        </w:tc>
        <w:tc>
          <w:tcPr>
            <w:tcW w:w="2386" w:type="dxa"/>
            <w:shd w:val="clear" w:color="auto" w:fill="auto"/>
            <w:vAlign w:val="center"/>
          </w:tcPr>
          <w:p>
            <w:pPr>
              <w:pStyle w:val="1856"/>
              <w:snapToGrid w:val="0"/>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噪声源</w:t>
            </w:r>
          </w:p>
        </w:tc>
        <w:tc>
          <w:tcPr>
            <w:tcW w:w="3396" w:type="dxa"/>
            <w:shd w:val="clear" w:color="auto" w:fill="auto"/>
            <w:vAlign w:val="center"/>
          </w:tcPr>
          <w:p>
            <w:pPr>
              <w:pStyle w:val="1856"/>
              <w:snapToGrid w:val="0"/>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声级值/距离（dB（A）/m）</w:t>
            </w:r>
          </w:p>
        </w:tc>
        <w:tc>
          <w:tcPr>
            <w:tcW w:w="1709" w:type="dxa"/>
            <w:shd w:val="clear" w:color="auto" w:fill="auto"/>
            <w:vAlign w:val="center"/>
          </w:tcPr>
          <w:p>
            <w:pPr>
              <w:pStyle w:val="1856"/>
              <w:snapToGrid w:val="0"/>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指向特性</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c>
          <w:tcPr>
            <w:tcW w:w="1037" w:type="dxa"/>
            <w:shd w:val="clear" w:color="auto" w:fill="auto"/>
            <w:vAlign w:val="center"/>
          </w:tcPr>
          <w:p>
            <w:pPr>
              <w:pStyle w:val="1856"/>
              <w:snapToGrid w:val="0"/>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w:t>
            </w:r>
          </w:p>
        </w:tc>
        <w:tc>
          <w:tcPr>
            <w:tcW w:w="2386" w:type="dxa"/>
            <w:shd w:val="clear" w:color="auto" w:fill="auto"/>
            <w:vAlign w:val="center"/>
          </w:tcPr>
          <w:p>
            <w:pPr>
              <w:pStyle w:val="1856"/>
              <w:snapToGrid w:val="0"/>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轮式</w:t>
            </w:r>
            <w:r>
              <w:rPr>
                <w:color w:val="000000" w:themeColor="text1"/>
                <w:sz w:val="21"/>
                <w:szCs w:val="21"/>
                <w14:textFill>
                  <w14:solidFill>
                    <w14:schemeClr w14:val="tx1"/>
                  </w14:solidFill>
                </w14:textFill>
              </w:rPr>
              <w:t>装载机</w:t>
            </w:r>
          </w:p>
        </w:tc>
        <w:tc>
          <w:tcPr>
            <w:tcW w:w="3396" w:type="dxa"/>
            <w:shd w:val="clear" w:color="auto" w:fill="auto"/>
            <w:vAlign w:val="center"/>
          </w:tcPr>
          <w:p>
            <w:pPr>
              <w:pStyle w:val="1856"/>
              <w:snapToGrid w:val="0"/>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90~95</w:t>
            </w:r>
            <w:r>
              <w:rPr>
                <w:color w:val="000000" w:themeColor="text1"/>
                <w:sz w:val="21"/>
                <w:szCs w:val="21"/>
                <w14:textFill>
                  <w14:solidFill>
                    <w14:schemeClr w14:val="tx1"/>
                  </w14:solidFill>
                </w14:textFill>
              </w:rPr>
              <w:t>/</w:t>
            </w:r>
            <w:r>
              <w:rPr>
                <w:rFonts w:hint="eastAsia"/>
                <w:color w:val="000000" w:themeColor="text1"/>
                <w:sz w:val="21"/>
                <w:szCs w:val="21"/>
                <w14:textFill>
                  <w14:solidFill>
                    <w14:schemeClr w14:val="tx1"/>
                  </w14:solidFill>
                </w14:textFill>
              </w:rPr>
              <w:t>5</w:t>
            </w:r>
          </w:p>
        </w:tc>
        <w:tc>
          <w:tcPr>
            <w:tcW w:w="1709" w:type="dxa"/>
            <w:shd w:val="clear" w:color="auto" w:fill="auto"/>
            <w:vAlign w:val="center"/>
          </w:tcPr>
          <w:p>
            <w:pPr>
              <w:pStyle w:val="1856"/>
              <w:snapToGrid w:val="0"/>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无</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c>
          <w:tcPr>
            <w:tcW w:w="1037" w:type="dxa"/>
            <w:shd w:val="clear" w:color="auto" w:fill="auto"/>
            <w:vAlign w:val="center"/>
          </w:tcPr>
          <w:p>
            <w:pPr>
              <w:pStyle w:val="1856"/>
              <w:snapToGrid w:val="0"/>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2</w:t>
            </w:r>
          </w:p>
        </w:tc>
        <w:tc>
          <w:tcPr>
            <w:tcW w:w="2386" w:type="dxa"/>
            <w:shd w:val="clear" w:color="auto" w:fill="auto"/>
            <w:vAlign w:val="center"/>
          </w:tcPr>
          <w:p>
            <w:pPr>
              <w:pStyle w:val="1856"/>
              <w:snapToGrid w:val="0"/>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液压挖掘机</w:t>
            </w:r>
          </w:p>
        </w:tc>
        <w:tc>
          <w:tcPr>
            <w:tcW w:w="3396" w:type="dxa"/>
            <w:shd w:val="clear" w:color="auto" w:fill="auto"/>
            <w:vAlign w:val="center"/>
          </w:tcPr>
          <w:p>
            <w:pPr>
              <w:pStyle w:val="1856"/>
              <w:snapToGrid w:val="0"/>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82~</w:t>
            </w:r>
            <w:r>
              <w:rPr>
                <w:color w:val="000000" w:themeColor="text1"/>
                <w:sz w:val="21"/>
                <w:szCs w:val="21"/>
                <w14:textFill>
                  <w14:solidFill>
                    <w14:schemeClr w14:val="tx1"/>
                  </w14:solidFill>
                </w14:textFill>
              </w:rPr>
              <w:t>90/</w:t>
            </w:r>
            <w:r>
              <w:rPr>
                <w:rFonts w:hint="eastAsia"/>
                <w:color w:val="000000" w:themeColor="text1"/>
                <w:sz w:val="21"/>
                <w:szCs w:val="21"/>
                <w14:textFill>
                  <w14:solidFill>
                    <w14:schemeClr w14:val="tx1"/>
                  </w14:solidFill>
                </w14:textFill>
              </w:rPr>
              <w:t>5</w:t>
            </w:r>
          </w:p>
        </w:tc>
        <w:tc>
          <w:tcPr>
            <w:tcW w:w="1709" w:type="dxa"/>
            <w:shd w:val="clear" w:color="auto" w:fill="auto"/>
            <w:vAlign w:val="center"/>
          </w:tcPr>
          <w:p>
            <w:pPr>
              <w:pStyle w:val="1856"/>
              <w:snapToGrid w:val="0"/>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无</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c>
          <w:tcPr>
            <w:tcW w:w="1037" w:type="dxa"/>
            <w:shd w:val="clear" w:color="auto" w:fill="auto"/>
            <w:vAlign w:val="center"/>
          </w:tcPr>
          <w:p>
            <w:pPr>
              <w:pStyle w:val="1856"/>
              <w:snapToGrid w:val="0"/>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3</w:t>
            </w:r>
          </w:p>
        </w:tc>
        <w:tc>
          <w:tcPr>
            <w:tcW w:w="2386" w:type="dxa"/>
            <w:shd w:val="clear" w:color="auto" w:fill="auto"/>
            <w:vAlign w:val="center"/>
          </w:tcPr>
          <w:p>
            <w:pPr>
              <w:pStyle w:val="1856"/>
              <w:snapToGrid w:val="0"/>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履带</w:t>
            </w:r>
            <w:r>
              <w:rPr>
                <w:color w:val="000000" w:themeColor="text1"/>
                <w:sz w:val="21"/>
                <w:szCs w:val="21"/>
                <w14:textFill>
                  <w14:solidFill>
                    <w14:schemeClr w14:val="tx1"/>
                  </w14:solidFill>
                </w14:textFill>
              </w:rPr>
              <w:t>吊</w:t>
            </w:r>
          </w:p>
        </w:tc>
        <w:tc>
          <w:tcPr>
            <w:tcW w:w="3396" w:type="dxa"/>
            <w:shd w:val="clear" w:color="auto" w:fill="auto"/>
            <w:vAlign w:val="center"/>
          </w:tcPr>
          <w:p>
            <w:pPr>
              <w:pStyle w:val="1856"/>
              <w:snapToGrid w:val="0"/>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76/8</w:t>
            </w:r>
          </w:p>
        </w:tc>
        <w:tc>
          <w:tcPr>
            <w:tcW w:w="1709" w:type="dxa"/>
            <w:shd w:val="clear" w:color="auto" w:fill="auto"/>
            <w:vAlign w:val="center"/>
          </w:tcPr>
          <w:p>
            <w:pPr>
              <w:pStyle w:val="1856"/>
              <w:snapToGrid w:val="0"/>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无</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c>
          <w:tcPr>
            <w:tcW w:w="1037" w:type="dxa"/>
            <w:shd w:val="clear" w:color="auto" w:fill="auto"/>
            <w:vAlign w:val="center"/>
          </w:tcPr>
          <w:p>
            <w:pPr>
              <w:pStyle w:val="1856"/>
              <w:snapToGrid w:val="0"/>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4</w:t>
            </w:r>
          </w:p>
        </w:tc>
        <w:tc>
          <w:tcPr>
            <w:tcW w:w="2386" w:type="dxa"/>
            <w:shd w:val="clear" w:color="auto" w:fill="auto"/>
            <w:vAlign w:val="center"/>
          </w:tcPr>
          <w:p>
            <w:pPr>
              <w:pStyle w:val="1856"/>
              <w:snapToGrid w:val="0"/>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皮带机</w:t>
            </w:r>
          </w:p>
        </w:tc>
        <w:tc>
          <w:tcPr>
            <w:tcW w:w="3396" w:type="dxa"/>
            <w:shd w:val="clear" w:color="auto" w:fill="auto"/>
            <w:vAlign w:val="center"/>
          </w:tcPr>
          <w:p>
            <w:pPr>
              <w:pStyle w:val="1856"/>
              <w:snapToGrid w:val="0"/>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91/3</w:t>
            </w:r>
          </w:p>
        </w:tc>
        <w:tc>
          <w:tcPr>
            <w:tcW w:w="1709" w:type="dxa"/>
            <w:shd w:val="clear" w:color="auto" w:fill="auto"/>
            <w:vAlign w:val="center"/>
          </w:tcPr>
          <w:p>
            <w:pPr>
              <w:pStyle w:val="1856"/>
              <w:snapToGrid w:val="0"/>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无</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c>
          <w:tcPr>
            <w:tcW w:w="1037" w:type="dxa"/>
            <w:shd w:val="clear" w:color="auto" w:fill="auto"/>
            <w:vAlign w:val="center"/>
          </w:tcPr>
          <w:p>
            <w:pPr>
              <w:pStyle w:val="1856"/>
              <w:snapToGrid w:val="0"/>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5</w:t>
            </w:r>
          </w:p>
        </w:tc>
        <w:tc>
          <w:tcPr>
            <w:tcW w:w="2386" w:type="dxa"/>
            <w:shd w:val="clear" w:color="auto" w:fill="auto"/>
            <w:vAlign w:val="center"/>
          </w:tcPr>
          <w:p>
            <w:pPr>
              <w:pStyle w:val="1856"/>
              <w:snapToGrid w:val="0"/>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自卸卡车</w:t>
            </w:r>
          </w:p>
        </w:tc>
        <w:tc>
          <w:tcPr>
            <w:tcW w:w="3396" w:type="dxa"/>
            <w:shd w:val="clear" w:color="auto" w:fill="auto"/>
            <w:vAlign w:val="center"/>
          </w:tcPr>
          <w:p>
            <w:pPr>
              <w:pStyle w:val="1856"/>
              <w:snapToGrid w:val="0"/>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88/2</w:t>
            </w:r>
          </w:p>
        </w:tc>
        <w:tc>
          <w:tcPr>
            <w:tcW w:w="1709" w:type="dxa"/>
            <w:shd w:val="clear" w:color="auto" w:fill="auto"/>
            <w:vAlign w:val="center"/>
          </w:tcPr>
          <w:p>
            <w:pPr>
              <w:pStyle w:val="1856"/>
              <w:snapToGrid w:val="0"/>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无</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c>
          <w:tcPr>
            <w:tcW w:w="1037" w:type="dxa"/>
            <w:shd w:val="clear" w:color="auto" w:fill="auto"/>
            <w:vAlign w:val="center"/>
          </w:tcPr>
          <w:p>
            <w:pPr>
              <w:pStyle w:val="1856"/>
              <w:snapToGrid w:val="0"/>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6</w:t>
            </w:r>
          </w:p>
        </w:tc>
        <w:tc>
          <w:tcPr>
            <w:tcW w:w="2386" w:type="dxa"/>
            <w:shd w:val="clear" w:color="auto" w:fill="auto"/>
            <w:vAlign w:val="center"/>
          </w:tcPr>
          <w:p>
            <w:pPr>
              <w:pStyle w:val="1856"/>
              <w:snapToGrid w:val="0"/>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混凝土搅拌机</w:t>
            </w:r>
          </w:p>
        </w:tc>
        <w:tc>
          <w:tcPr>
            <w:tcW w:w="3396" w:type="dxa"/>
            <w:shd w:val="clear" w:color="auto" w:fill="auto"/>
            <w:vAlign w:val="center"/>
          </w:tcPr>
          <w:p>
            <w:pPr>
              <w:pStyle w:val="1856"/>
              <w:snapToGrid w:val="0"/>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8</w:t>
            </w:r>
            <w:r>
              <w:rPr>
                <w:rFonts w:hint="eastAsia"/>
                <w:color w:val="000000" w:themeColor="text1"/>
                <w:sz w:val="21"/>
                <w:szCs w:val="21"/>
                <w14:textFill>
                  <w14:solidFill>
                    <w14:schemeClr w14:val="tx1"/>
                  </w14:solidFill>
                </w14:textFill>
              </w:rPr>
              <w:t>5~90</w:t>
            </w:r>
            <w:r>
              <w:rPr>
                <w:color w:val="000000" w:themeColor="text1"/>
                <w:sz w:val="21"/>
                <w:szCs w:val="21"/>
                <w14:textFill>
                  <w14:solidFill>
                    <w14:schemeClr w14:val="tx1"/>
                  </w14:solidFill>
                </w14:textFill>
              </w:rPr>
              <w:t>/5</w:t>
            </w:r>
          </w:p>
        </w:tc>
        <w:tc>
          <w:tcPr>
            <w:tcW w:w="1709" w:type="dxa"/>
            <w:shd w:val="clear" w:color="auto" w:fill="auto"/>
            <w:vAlign w:val="center"/>
          </w:tcPr>
          <w:p>
            <w:pPr>
              <w:pStyle w:val="1856"/>
              <w:snapToGrid w:val="0"/>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无</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c>
          <w:tcPr>
            <w:tcW w:w="1037" w:type="dxa"/>
            <w:shd w:val="clear" w:color="auto" w:fill="auto"/>
            <w:vAlign w:val="center"/>
          </w:tcPr>
          <w:p>
            <w:pPr>
              <w:pStyle w:val="1856"/>
              <w:snapToGrid w:val="0"/>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7</w:t>
            </w:r>
          </w:p>
        </w:tc>
        <w:tc>
          <w:tcPr>
            <w:tcW w:w="2386" w:type="dxa"/>
            <w:shd w:val="clear" w:color="auto" w:fill="auto"/>
            <w:vAlign w:val="center"/>
          </w:tcPr>
          <w:p>
            <w:pPr>
              <w:pStyle w:val="1856"/>
              <w:snapToGrid w:val="0"/>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打桩机</w:t>
            </w:r>
          </w:p>
        </w:tc>
        <w:tc>
          <w:tcPr>
            <w:tcW w:w="3396" w:type="dxa"/>
            <w:shd w:val="clear" w:color="auto" w:fill="auto"/>
            <w:vAlign w:val="center"/>
          </w:tcPr>
          <w:p>
            <w:pPr>
              <w:pStyle w:val="1856"/>
              <w:snapToGrid w:val="0"/>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100~110</w:t>
            </w:r>
            <w:r>
              <w:rPr>
                <w:color w:val="000000" w:themeColor="text1"/>
                <w:sz w:val="21"/>
                <w:szCs w:val="21"/>
                <w14:textFill>
                  <w14:solidFill>
                    <w14:schemeClr w14:val="tx1"/>
                  </w14:solidFill>
                </w14:textFill>
              </w:rPr>
              <w:t>/</w:t>
            </w:r>
            <w:r>
              <w:rPr>
                <w:rFonts w:hint="eastAsia"/>
                <w:color w:val="000000" w:themeColor="text1"/>
                <w:sz w:val="21"/>
                <w:szCs w:val="21"/>
                <w14:textFill>
                  <w14:solidFill>
                    <w14:schemeClr w14:val="tx1"/>
                  </w14:solidFill>
                </w14:textFill>
              </w:rPr>
              <w:t>5</w:t>
            </w:r>
          </w:p>
        </w:tc>
        <w:tc>
          <w:tcPr>
            <w:tcW w:w="1709" w:type="dxa"/>
            <w:shd w:val="clear" w:color="auto" w:fill="auto"/>
            <w:vAlign w:val="center"/>
          </w:tcPr>
          <w:p>
            <w:pPr>
              <w:pStyle w:val="1856"/>
              <w:snapToGrid w:val="0"/>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无</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c>
          <w:tcPr>
            <w:tcW w:w="1037" w:type="dxa"/>
            <w:shd w:val="clear" w:color="auto" w:fill="auto"/>
            <w:vAlign w:val="center"/>
          </w:tcPr>
          <w:p>
            <w:pPr>
              <w:pStyle w:val="1856"/>
              <w:snapToGrid w:val="0"/>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8</w:t>
            </w:r>
          </w:p>
        </w:tc>
        <w:tc>
          <w:tcPr>
            <w:tcW w:w="2386" w:type="dxa"/>
            <w:shd w:val="clear" w:color="auto" w:fill="auto"/>
            <w:vAlign w:val="center"/>
          </w:tcPr>
          <w:p>
            <w:pPr>
              <w:pStyle w:val="1856"/>
              <w:snapToGrid w:val="0"/>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施工船舶</w:t>
            </w:r>
          </w:p>
        </w:tc>
        <w:tc>
          <w:tcPr>
            <w:tcW w:w="3396" w:type="dxa"/>
            <w:shd w:val="clear" w:color="auto" w:fill="auto"/>
            <w:vAlign w:val="center"/>
          </w:tcPr>
          <w:p>
            <w:pPr>
              <w:pStyle w:val="1856"/>
              <w:snapToGrid w:val="0"/>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65/20</w:t>
            </w:r>
          </w:p>
        </w:tc>
        <w:tc>
          <w:tcPr>
            <w:tcW w:w="1709" w:type="dxa"/>
            <w:shd w:val="clear" w:color="auto" w:fill="auto"/>
            <w:vAlign w:val="center"/>
          </w:tcPr>
          <w:p>
            <w:pPr>
              <w:pStyle w:val="1856"/>
              <w:snapToGrid w:val="0"/>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无</w:t>
            </w:r>
          </w:p>
        </w:tc>
      </w:tr>
    </w:tbl>
    <w:p>
      <w:pPr>
        <w:pStyle w:val="6"/>
        <w:rPr>
          <w:color w:val="000000" w:themeColor="text1"/>
          <w14:textFill>
            <w14:solidFill>
              <w14:schemeClr w14:val="tx1"/>
            </w14:solidFill>
          </w14:textFill>
        </w:rPr>
      </w:pPr>
      <w:r>
        <w:rPr>
          <w:color w:val="000000" w:themeColor="text1"/>
          <w14:textFill>
            <w14:solidFill>
              <w14:schemeClr w14:val="tx1"/>
            </w14:solidFill>
          </w14:textFill>
        </w:rPr>
        <w:t>固体废物</w:t>
      </w:r>
    </w:p>
    <w:p>
      <w:pPr>
        <w:pStyle w:val="283"/>
        <w:ind w:firstLine="462"/>
        <w:rPr>
          <w:color w:val="000000" w:themeColor="text1"/>
          <w14:textFill>
            <w14:solidFill>
              <w14:schemeClr w14:val="tx1"/>
            </w14:solidFill>
          </w14:textFill>
        </w:rPr>
      </w:pPr>
      <w:r>
        <w:rPr>
          <w:rFonts w:hint="eastAsia"/>
          <w:color w:val="000000" w:themeColor="text1"/>
          <w14:textFill>
            <w14:solidFill>
              <w14:schemeClr w14:val="tx1"/>
            </w14:solidFill>
          </w14:textFill>
        </w:rPr>
        <w:t>工程施工期固体废物包括施工船舶垃圾、施工人员生活垃圾和疏浚物</w:t>
      </w:r>
      <w:r>
        <w:rPr>
          <w:color w:val="000000" w:themeColor="text1"/>
          <w14:textFill>
            <w14:solidFill>
              <w14:schemeClr w14:val="tx1"/>
            </w14:solidFill>
          </w14:textFill>
        </w:rPr>
        <w:t>：</w:t>
      </w:r>
    </w:p>
    <w:p>
      <w:pPr>
        <w:pStyle w:val="283"/>
        <w:ind w:firstLine="462"/>
        <w:rPr>
          <w:color w:val="000000" w:themeColor="text1"/>
          <w14:textFill>
            <w14:solidFill>
              <w14:schemeClr w14:val="tx1"/>
            </w14:solidFill>
          </w14:textFill>
        </w:rPr>
      </w:pPr>
      <w:r>
        <w:rPr>
          <w:rFonts w:hint="eastAsia"/>
          <w:color w:val="000000" w:themeColor="text1"/>
          <w14:textFill>
            <w14:solidFill>
              <w14:schemeClr w14:val="tx1"/>
            </w14:solidFill>
          </w14:textFill>
        </w:rPr>
        <w:t>1、施工船舶垃圾</w:t>
      </w:r>
    </w:p>
    <w:p>
      <w:pPr>
        <w:pStyle w:val="283"/>
        <w:ind w:firstLine="462"/>
        <w:rPr>
          <w:color w:val="000000" w:themeColor="text1"/>
          <w14:textFill>
            <w14:solidFill>
              <w14:schemeClr w14:val="tx1"/>
            </w14:solidFill>
          </w14:textFill>
        </w:rPr>
      </w:pPr>
      <w:r>
        <w:rPr>
          <w:color w:val="000000" w:themeColor="text1"/>
          <w14:textFill>
            <w14:solidFill>
              <w14:schemeClr w14:val="tx1"/>
            </w14:solidFill>
          </w14:textFill>
        </w:rPr>
        <w:t>按照《水运工程环境保护设计规范》（JTS149-1-2018），施工船舶生活垃圾发生系数按照1kg/d∙人估算，本工程施工期船舶垃圾产生量约为</w:t>
      </w:r>
      <w:r>
        <w:rPr>
          <w:rFonts w:hint="eastAsia"/>
          <w:color w:val="000000" w:themeColor="text1"/>
          <w14:textFill>
            <w14:solidFill>
              <w14:schemeClr w14:val="tx1"/>
            </w14:solidFill>
          </w14:textFill>
        </w:rPr>
        <w:t>17</w:t>
      </w:r>
      <w:r>
        <w:rPr>
          <w:color w:val="000000" w:themeColor="text1"/>
          <w14:textFill>
            <w14:solidFill>
              <w14:schemeClr w14:val="tx1"/>
            </w14:solidFill>
          </w14:textFill>
        </w:rPr>
        <w:t>t，详见表2.</w:t>
      </w:r>
      <w:r>
        <w:rPr>
          <w:rFonts w:hint="eastAsia"/>
          <w:color w:val="000000" w:themeColor="text1"/>
          <w14:textFill>
            <w14:solidFill>
              <w14:schemeClr w14:val="tx1"/>
            </w14:solidFill>
          </w14:textFill>
        </w:rPr>
        <w:t>4-5</w:t>
      </w:r>
      <w:r>
        <w:rPr>
          <w:color w:val="000000" w:themeColor="text1"/>
          <w14:textFill>
            <w14:solidFill>
              <w14:schemeClr w14:val="tx1"/>
            </w14:solidFill>
          </w14:textFill>
        </w:rPr>
        <w:t>。</w:t>
      </w:r>
    </w:p>
    <w:p>
      <w:pPr>
        <w:pStyle w:val="283"/>
        <w:ind w:firstLine="462"/>
        <w:rPr>
          <w:color w:val="000000" w:themeColor="text1"/>
          <w14:textFill>
            <w14:solidFill>
              <w14:schemeClr w14:val="tx1"/>
            </w14:solidFill>
          </w14:textFill>
        </w:rPr>
      </w:pPr>
      <w:r>
        <w:rPr>
          <w:color w:val="000000" w:themeColor="text1"/>
          <w14:textFill>
            <w14:solidFill>
              <w14:schemeClr w14:val="tx1"/>
            </w14:solidFill>
          </w14:textFill>
        </w:rPr>
        <w:t>施工船舶垃圾应做好日常的收集、分类与储存工作，严格按照船舶污染物监管“联单制度”进行管理，建立固体废物产生、外运、处置及最终去向的详细台账，并定期向当地环保部门报告。施工船舶垃圾委托船舶污染物接收单位接收处理，严禁将船舶垃圾倾倒入海污染水域。</w:t>
      </w:r>
    </w:p>
    <w:p>
      <w:pPr>
        <w:pStyle w:val="384"/>
        <w:ind w:left="0" w:firstLine="0"/>
        <w:rPr>
          <w:rFonts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本工程施工期船舶垃圾产生量</w:t>
      </w:r>
    </w:p>
    <w:tbl>
      <w:tblPr>
        <w:tblStyle w:val="88"/>
        <w:tblW w:w="8528" w:type="dxa"/>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1624"/>
        <w:gridCol w:w="1602"/>
        <w:gridCol w:w="1431"/>
        <w:gridCol w:w="1823"/>
        <w:gridCol w:w="2048"/>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blHeader/>
        </w:trPr>
        <w:tc>
          <w:tcPr>
            <w:tcW w:w="1624" w:type="dxa"/>
            <w:vMerge w:val="restart"/>
            <w:shd w:val="clear" w:color="auto" w:fill="auto"/>
            <w:vAlign w:val="center"/>
          </w:tcPr>
          <w:p>
            <w:pPr>
              <w:pStyle w:val="3463"/>
              <w:jc w:val="center"/>
              <w:rPr>
                <w:b/>
                <w:bCs/>
                <w:color w:val="000000" w:themeColor="text1"/>
                <w14:textFill>
                  <w14:solidFill>
                    <w14:schemeClr w14:val="tx1"/>
                  </w14:solidFill>
                </w14:textFill>
              </w:rPr>
            </w:pPr>
            <w:r>
              <w:rPr>
                <w:b/>
                <w:bCs/>
                <w:color w:val="000000" w:themeColor="text1"/>
                <w14:textFill>
                  <w14:solidFill>
                    <w14:schemeClr w14:val="tx1"/>
                  </w14:solidFill>
                </w14:textFill>
              </w:rPr>
              <w:t>船舶类型</w:t>
            </w:r>
          </w:p>
        </w:tc>
        <w:tc>
          <w:tcPr>
            <w:tcW w:w="1602" w:type="dxa"/>
            <w:vMerge w:val="restart"/>
            <w:shd w:val="clear" w:color="auto" w:fill="auto"/>
            <w:vAlign w:val="center"/>
          </w:tcPr>
          <w:p>
            <w:pPr>
              <w:pStyle w:val="3463"/>
              <w:jc w:val="center"/>
              <w:rPr>
                <w:b/>
                <w:bCs/>
                <w:color w:val="000000" w:themeColor="text1"/>
                <w14:textFill>
                  <w14:solidFill>
                    <w14:schemeClr w14:val="tx1"/>
                  </w14:solidFill>
                </w14:textFill>
              </w:rPr>
            </w:pPr>
            <w:r>
              <w:rPr>
                <w:b/>
                <w:bCs/>
                <w:color w:val="000000" w:themeColor="text1"/>
                <w14:textFill>
                  <w14:solidFill>
                    <w14:schemeClr w14:val="tx1"/>
                  </w14:solidFill>
                </w14:textFill>
              </w:rPr>
              <w:t>定员（单艘人）</w:t>
            </w:r>
          </w:p>
        </w:tc>
        <w:tc>
          <w:tcPr>
            <w:tcW w:w="1431" w:type="dxa"/>
            <w:vMerge w:val="restart"/>
            <w:shd w:val="clear" w:color="auto" w:fill="auto"/>
            <w:vAlign w:val="center"/>
          </w:tcPr>
          <w:p>
            <w:pPr>
              <w:pStyle w:val="3463"/>
              <w:jc w:val="center"/>
              <w:rPr>
                <w:b/>
                <w:bCs/>
                <w:color w:val="000000" w:themeColor="text1"/>
                <w14:textFill>
                  <w14:solidFill>
                    <w14:schemeClr w14:val="tx1"/>
                  </w14:solidFill>
                </w14:textFill>
              </w:rPr>
            </w:pPr>
            <w:r>
              <w:rPr>
                <w:b/>
                <w:bCs/>
                <w:color w:val="000000" w:themeColor="text1"/>
                <w14:textFill>
                  <w14:solidFill>
                    <w14:schemeClr w14:val="tx1"/>
                  </w14:solidFill>
                </w14:textFill>
              </w:rPr>
              <w:t>有效施工天数（艘/单艘天）</w:t>
            </w:r>
          </w:p>
        </w:tc>
        <w:tc>
          <w:tcPr>
            <w:tcW w:w="3871" w:type="dxa"/>
            <w:gridSpan w:val="2"/>
            <w:shd w:val="clear" w:color="auto" w:fill="auto"/>
            <w:vAlign w:val="center"/>
          </w:tcPr>
          <w:p>
            <w:pPr>
              <w:pStyle w:val="3463"/>
              <w:jc w:val="center"/>
              <w:rPr>
                <w:b/>
                <w:bCs/>
                <w:color w:val="000000" w:themeColor="text1"/>
                <w14:textFill>
                  <w14:solidFill>
                    <w14:schemeClr w14:val="tx1"/>
                  </w14:solidFill>
                </w14:textFill>
              </w:rPr>
            </w:pPr>
            <w:r>
              <w:rPr>
                <w:b/>
                <w:bCs/>
                <w:color w:val="000000" w:themeColor="text1"/>
                <w14:textFill>
                  <w14:solidFill>
                    <w14:schemeClr w14:val="tx1"/>
                  </w14:solidFill>
                </w14:textFill>
              </w:rPr>
              <w:t>船舶生活垃圾</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blHeader/>
        </w:trPr>
        <w:tc>
          <w:tcPr>
            <w:tcW w:w="1624" w:type="dxa"/>
            <w:vMerge w:val="continue"/>
            <w:shd w:val="clear" w:color="auto" w:fill="auto"/>
            <w:vAlign w:val="center"/>
          </w:tcPr>
          <w:p>
            <w:pPr>
              <w:pStyle w:val="3463"/>
              <w:rPr>
                <w:color w:val="000000" w:themeColor="text1"/>
                <w14:textFill>
                  <w14:solidFill>
                    <w14:schemeClr w14:val="tx1"/>
                  </w14:solidFill>
                </w14:textFill>
              </w:rPr>
            </w:pPr>
          </w:p>
        </w:tc>
        <w:tc>
          <w:tcPr>
            <w:tcW w:w="1602" w:type="dxa"/>
            <w:vMerge w:val="continue"/>
            <w:shd w:val="clear" w:color="auto" w:fill="auto"/>
            <w:vAlign w:val="center"/>
          </w:tcPr>
          <w:p>
            <w:pPr>
              <w:pStyle w:val="3463"/>
              <w:rPr>
                <w:color w:val="000000" w:themeColor="text1"/>
                <w14:textFill>
                  <w14:solidFill>
                    <w14:schemeClr w14:val="tx1"/>
                  </w14:solidFill>
                </w14:textFill>
              </w:rPr>
            </w:pPr>
          </w:p>
        </w:tc>
        <w:tc>
          <w:tcPr>
            <w:tcW w:w="1431" w:type="dxa"/>
            <w:vMerge w:val="continue"/>
            <w:shd w:val="clear" w:color="auto" w:fill="auto"/>
            <w:vAlign w:val="center"/>
          </w:tcPr>
          <w:p>
            <w:pPr>
              <w:pStyle w:val="3463"/>
              <w:rPr>
                <w:color w:val="000000" w:themeColor="text1"/>
                <w14:textFill>
                  <w14:solidFill>
                    <w14:schemeClr w14:val="tx1"/>
                  </w14:solidFill>
                </w14:textFill>
              </w:rPr>
            </w:pPr>
          </w:p>
        </w:tc>
        <w:tc>
          <w:tcPr>
            <w:tcW w:w="1823" w:type="dxa"/>
            <w:shd w:val="clear" w:color="auto" w:fill="auto"/>
            <w:vAlign w:val="center"/>
          </w:tcPr>
          <w:p>
            <w:pPr>
              <w:pStyle w:val="3463"/>
              <w:rPr>
                <w:b/>
                <w:bCs/>
                <w:color w:val="000000" w:themeColor="text1"/>
                <w14:textFill>
                  <w14:solidFill>
                    <w14:schemeClr w14:val="tx1"/>
                  </w14:solidFill>
                </w14:textFill>
              </w:rPr>
            </w:pPr>
            <w:r>
              <w:rPr>
                <w:b/>
                <w:bCs/>
                <w:color w:val="000000" w:themeColor="text1"/>
                <w14:textFill>
                  <w14:solidFill>
                    <w14:schemeClr w14:val="tx1"/>
                  </w14:solidFill>
                </w14:textFill>
              </w:rPr>
              <w:t>废物量（kg/人•d）</w:t>
            </w:r>
          </w:p>
        </w:tc>
        <w:tc>
          <w:tcPr>
            <w:tcW w:w="2048" w:type="dxa"/>
            <w:shd w:val="clear" w:color="auto" w:fill="auto"/>
            <w:vAlign w:val="center"/>
          </w:tcPr>
          <w:p>
            <w:pPr>
              <w:pStyle w:val="3463"/>
              <w:rPr>
                <w:b/>
                <w:bCs/>
                <w:color w:val="000000" w:themeColor="text1"/>
                <w14:textFill>
                  <w14:solidFill>
                    <w14:schemeClr w14:val="tx1"/>
                  </w14:solidFill>
                </w14:textFill>
              </w:rPr>
            </w:pPr>
            <w:r>
              <w:rPr>
                <w:b/>
                <w:bCs/>
                <w:color w:val="000000" w:themeColor="text1"/>
                <w14:textFill>
                  <w14:solidFill>
                    <w14:schemeClr w14:val="tx1"/>
                  </w14:solidFill>
                </w14:textFill>
              </w:rPr>
              <w:t>船舶垃圾产生量（t）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c>
          <w:tcPr>
            <w:tcW w:w="1624" w:type="dxa"/>
            <w:shd w:val="clear" w:color="auto" w:fill="auto"/>
            <w:vAlign w:val="center"/>
          </w:tcPr>
          <w:p>
            <w:pPr>
              <w:pStyle w:val="3463"/>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炸礁船</w:t>
            </w:r>
          </w:p>
        </w:tc>
        <w:tc>
          <w:tcPr>
            <w:tcW w:w="1602" w:type="dxa"/>
            <w:shd w:val="clear" w:color="auto" w:fill="auto"/>
            <w:vAlign w:val="center"/>
          </w:tcPr>
          <w:p>
            <w:pPr>
              <w:pStyle w:val="3463"/>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8</w:t>
            </w:r>
          </w:p>
        </w:tc>
        <w:tc>
          <w:tcPr>
            <w:tcW w:w="1431" w:type="dxa"/>
            <w:shd w:val="clear" w:color="auto" w:fill="auto"/>
            <w:vAlign w:val="center"/>
          </w:tcPr>
          <w:p>
            <w:pPr>
              <w:pStyle w:val="3463"/>
              <w:jc w:val="center"/>
              <w:rPr>
                <w:color w:val="000000" w:themeColor="text1"/>
                <w14:textFill>
                  <w14:solidFill>
                    <w14:schemeClr w14:val="tx1"/>
                  </w14:solidFill>
                </w14:textFill>
              </w:rPr>
            </w:pPr>
            <w:r>
              <w:rPr>
                <w:color w:val="000000" w:themeColor="text1"/>
                <w14:textFill>
                  <w14:solidFill>
                    <w14:schemeClr w14:val="tx1"/>
                  </w14:solidFill>
                </w14:textFill>
              </w:rPr>
              <w:t>1/</w:t>
            </w:r>
            <w:r>
              <w:rPr>
                <w:rFonts w:hint="eastAsia"/>
                <w:color w:val="000000" w:themeColor="text1"/>
                <w14:textFill>
                  <w14:solidFill>
                    <w14:schemeClr w14:val="tx1"/>
                  </w14:solidFill>
                </w14:textFill>
              </w:rPr>
              <w:t>100</w:t>
            </w:r>
          </w:p>
        </w:tc>
        <w:tc>
          <w:tcPr>
            <w:tcW w:w="1823" w:type="dxa"/>
            <w:shd w:val="clear" w:color="auto" w:fill="auto"/>
            <w:vAlign w:val="center"/>
          </w:tcPr>
          <w:p>
            <w:pPr>
              <w:pStyle w:val="3463"/>
              <w:jc w:val="center"/>
              <w:rPr>
                <w:color w:val="000000" w:themeColor="text1"/>
                <w14:textFill>
                  <w14:solidFill>
                    <w14:schemeClr w14:val="tx1"/>
                  </w14:solidFill>
                </w14:textFill>
              </w:rPr>
            </w:pPr>
            <w:r>
              <w:rPr>
                <w:color w:val="000000" w:themeColor="text1"/>
                <w14:textFill>
                  <w14:solidFill>
                    <w14:schemeClr w14:val="tx1"/>
                  </w14:solidFill>
                </w14:textFill>
              </w:rPr>
              <w:t>1</w:t>
            </w:r>
          </w:p>
        </w:tc>
        <w:tc>
          <w:tcPr>
            <w:tcW w:w="2048" w:type="dxa"/>
            <w:shd w:val="clear" w:color="auto" w:fill="auto"/>
            <w:vAlign w:val="bottom"/>
          </w:tcPr>
          <w:p>
            <w:pPr>
              <w:pStyle w:val="3463"/>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0.8</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c>
          <w:tcPr>
            <w:tcW w:w="1624" w:type="dxa"/>
            <w:shd w:val="clear" w:color="auto" w:fill="auto"/>
            <w:vAlign w:val="center"/>
          </w:tcPr>
          <w:p>
            <w:pPr>
              <w:pStyle w:val="3463"/>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抓斗式挖泥船</w:t>
            </w:r>
          </w:p>
        </w:tc>
        <w:tc>
          <w:tcPr>
            <w:tcW w:w="1602" w:type="dxa"/>
            <w:shd w:val="clear" w:color="auto" w:fill="auto"/>
            <w:vAlign w:val="center"/>
          </w:tcPr>
          <w:p>
            <w:pPr>
              <w:pStyle w:val="3463"/>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8</w:t>
            </w:r>
          </w:p>
        </w:tc>
        <w:tc>
          <w:tcPr>
            <w:tcW w:w="1431" w:type="dxa"/>
            <w:shd w:val="clear" w:color="auto" w:fill="auto"/>
            <w:vAlign w:val="center"/>
          </w:tcPr>
          <w:p>
            <w:pPr>
              <w:pStyle w:val="3463"/>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1/300</w:t>
            </w:r>
          </w:p>
        </w:tc>
        <w:tc>
          <w:tcPr>
            <w:tcW w:w="1823" w:type="dxa"/>
            <w:shd w:val="clear" w:color="auto" w:fill="auto"/>
            <w:vAlign w:val="center"/>
          </w:tcPr>
          <w:p>
            <w:pPr>
              <w:pStyle w:val="3463"/>
              <w:jc w:val="center"/>
              <w:rPr>
                <w:color w:val="000000" w:themeColor="text1"/>
                <w14:textFill>
                  <w14:solidFill>
                    <w14:schemeClr w14:val="tx1"/>
                  </w14:solidFill>
                </w14:textFill>
              </w:rPr>
            </w:pPr>
            <w:r>
              <w:rPr>
                <w:color w:val="000000" w:themeColor="text1"/>
                <w14:textFill>
                  <w14:solidFill>
                    <w14:schemeClr w14:val="tx1"/>
                  </w14:solidFill>
                </w14:textFill>
              </w:rPr>
              <w:t>1</w:t>
            </w:r>
          </w:p>
        </w:tc>
        <w:tc>
          <w:tcPr>
            <w:tcW w:w="2048" w:type="dxa"/>
            <w:shd w:val="clear" w:color="auto" w:fill="auto"/>
            <w:vAlign w:val="bottom"/>
          </w:tcPr>
          <w:p>
            <w:pPr>
              <w:pStyle w:val="3463"/>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2.4</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c>
          <w:tcPr>
            <w:tcW w:w="1624" w:type="dxa"/>
            <w:shd w:val="clear" w:color="auto" w:fill="auto"/>
            <w:vAlign w:val="center"/>
          </w:tcPr>
          <w:p>
            <w:pPr>
              <w:pStyle w:val="3463"/>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绞吸式挖泥船</w:t>
            </w:r>
          </w:p>
        </w:tc>
        <w:tc>
          <w:tcPr>
            <w:tcW w:w="1602" w:type="dxa"/>
            <w:shd w:val="clear" w:color="auto" w:fill="auto"/>
            <w:vAlign w:val="center"/>
          </w:tcPr>
          <w:p>
            <w:pPr>
              <w:pStyle w:val="3463"/>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9</w:t>
            </w:r>
          </w:p>
        </w:tc>
        <w:tc>
          <w:tcPr>
            <w:tcW w:w="1431" w:type="dxa"/>
            <w:shd w:val="clear" w:color="auto" w:fill="auto"/>
            <w:vAlign w:val="center"/>
          </w:tcPr>
          <w:p>
            <w:pPr>
              <w:pStyle w:val="3463"/>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1/200</w:t>
            </w:r>
          </w:p>
        </w:tc>
        <w:tc>
          <w:tcPr>
            <w:tcW w:w="1823" w:type="dxa"/>
            <w:shd w:val="clear" w:color="auto" w:fill="auto"/>
            <w:vAlign w:val="center"/>
          </w:tcPr>
          <w:p>
            <w:pPr>
              <w:pStyle w:val="3463"/>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1</w:t>
            </w:r>
          </w:p>
        </w:tc>
        <w:tc>
          <w:tcPr>
            <w:tcW w:w="2048" w:type="dxa"/>
            <w:shd w:val="clear" w:color="auto" w:fill="auto"/>
            <w:vAlign w:val="bottom"/>
          </w:tcPr>
          <w:p>
            <w:pPr>
              <w:pStyle w:val="3463"/>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1.8</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c>
          <w:tcPr>
            <w:tcW w:w="1624" w:type="dxa"/>
            <w:shd w:val="clear" w:color="auto" w:fill="auto"/>
            <w:vAlign w:val="center"/>
          </w:tcPr>
          <w:p>
            <w:pPr>
              <w:pStyle w:val="3463"/>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驳船</w:t>
            </w:r>
          </w:p>
        </w:tc>
        <w:tc>
          <w:tcPr>
            <w:tcW w:w="1602" w:type="dxa"/>
            <w:shd w:val="clear" w:color="auto" w:fill="auto"/>
            <w:vAlign w:val="center"/>
          </w:tcPr>
          <w:p>
            <w:pPr>
              <w:pStyle w:val="3463"/>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4</w:t>
            </w:r>
          </w:p>
        </w:tc>
        <w:tc>
          <w:tcPr>
            <w:tcW w:w="1431" w:type="dxa"/>
            <w:shd w:val="clear" w:color="auto" w:fill="auto"/>
            <w:vAlign w:val="center"/>
          </w:tcPr>
          <w:p>
            <w:pPr>
              <w:pStyle w:val="3463"/>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6/500</w:t>
            </w:r>
          </w:p>
        </w:tc>
        <w:tc>
          <w:tcPr>
            <w:tcW w:w="1823" w:type="dxa"/>
            <w:shd w:val="clear" w:color="auto" w:fill="auto"/>
            <w:vAlign w:val="center"/>
          </w:tcPr>
          <w:p>
            <w:pPr>
              <w:pStyle w:val="3463"/>
              <w:jc w:val="center"/>
              <w:rPr>
                <w:color w:val="000000" w:themeColor="text1"/>
                <w14:textFill>
                  <w14:solidFill>
                    <w14:schemeClr w14:val="tx1"/>
                  </w14:solidFill>
                </w14:textFill>
              </w:rPr>
            </w:pPr>
            <w:r>
              <w:rPr>
                <w:color w:val="000000" w:themeColor="text1"/>
                <w14:textFill>
                  <w14:solidFill>
                    <w14:schemeClr w14:val="tx1"/>
                  </w14:solidFill>
                </w14:textFill>
              </w:rPr>
              <w:t>1</w:t>
            </w:r>
          </w:p>
        </w:tc>
        <w:tc>
          <w:tcPr>
            <w:tcW w:w="2048" w:type="dxa"/>
            <w:shd w:val="clear" w:color="auto" w:fill="auto"/>
            <w:vAlign w:val="bottom"/>
          </w:tcPr>
          <w:p>
            <w:pPr>
              <w:pStyle w:val="3463"/>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12</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c>
          <w:tcPr>
            <w:tcW w:w="6480" w:type="dxa"/>
            <w:gridSpan w:val="4"/>
            <w:shd w:val="clear" w:color="auto" w:fill="auto"/>
            <w:vAlign w:val="center"/>
          </w:tcPr>
          <w:p>
            <w:pPr>
              <w:pStyle w:val="3463"/>
              <w:jc w:val="center"/>
              <w:rPr>
                <w:color w:val="000000" w:themeColor="text1"/>
                <w14:textFill>
                  <w14:solidFill>
                    <w14:schemeClr w14:val="tx1"/>
                  </w14:solidFill>
                </w14:textFill>
              </w:rPr>
            </w:pPr>
            <w:r>
              <w:rPr>
                <w:color w:val="000000" w:themeColor="text1"/>
                <w14:textFill>
                  <w14:solidFill>
                    <w14:schemeClr w14:val="tx1"/>
                  </w14:solidFill>
                </w14:textFill>
              </w:rPr>
              <w:t>合计</w:t>
            </w:r>
          </w:p>
        </w:tc>
        <w:tc>
          <w:tcPr>
            <w:tcW w:w="2048" w:type="dxa"/>
            <w:shd w:val="clear" w:color="auto" w:fill="auto"/>
            <w:vAlign w:val="center"/>
          </w:tcPr>
          <w:p>
            <w:pPr>
              <w:pStyle w:val="3463"/>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17</w:t>
            </w:r>
          </w:p>
        </w:tc>
      </w:tr>
    </w:tbl>
    <w:p>
      <w:pPr>
        <w:pStyle w:val="283"/>
        <w:ind w:firstLine="462"/>
        <w:rPr>
          <w:color w:val="000000" w:themeColor="text1"/>
          <w14:textFill>
            <w14:solidFill>
              <w14:schemeClr w14:val="tx1"/>
            </w14:solidFill>
          </w14:textFill>
        </w:rPr>
      </w:pPr>
      <w:r>
        <w:rPr>
          <w:rFonts w:hint="eastAsia"/>
          <w:color w:val="000000" w:themeColor="text1"/>
          <w14:textFill>
            <w14:solidFill>
              <w14:schemeClr w14:val="tx1"/>
            </w14:solidFill>
          </w14:textFill>
        </w:rPr>
        <w:t>2、疏浚泥沙处置</w:t>
      </w:r>
    </w:p>
    <w:p>
      <w:pPr>
        <w:pStyle w:val="283"/>
        <w:ind w:firstLine="462"/>
        <w:rPr>
          <w:color w:val="000000" w:themeColor="text1"/>
          <w14:textFill>
            <w14:solidFill>
              <w14:schemeClr w14:val="tx1"/>
            </w14:solidFill>
          </w14:textFill>
        </w:rPr>
      </w:pPr>
      <w:r>
        <w:rPr>
          <w:color w:val="000000" w:themeColor="text1"/>
          <w14:textFill>
            <w14:solidFill>
              <w14:schemeClr w14:val="tx1"/>
            </w14:solidFill>
          </w14:textFill>
        </w:rPr>
        <w:t>港池疏浚</w:t>
      </w:r>
      <w:r>
        <w:rPr>
          <w:rFonts w:hint="eastAsia"/>
          <w:color w:val="000000" w:themeColor="text1"/>
          <w14:textFill>
            <w14:solidFill>
              <w14:schemeClr w14:val="tx1"/>
            </w14:solidFill>
          </w14:textFill>
        </w:rPr>
        <w:t>总</w:t>
      </w:r>
      <w:r>
        <w:rPr>
          <w:color w:val="000000" w:themeColor="text1"/>
          <w14:textFill>
            <w14:solidFill>
              <w14:schemeClr w14:val="tx1"/>
            </w14:solidFill>
          </w14:textFill>
        </w:rPr>
        <w:t>工程量</w:t>
      </w:r>
      <w:r>
        <w:rPr>
          <w:rFonts w:hint="eastAsia"/>
          <w:color w:val="000000" w:themeColor="text1"/>
          <w14:textFill>
            <w14:solidFill>
              <w14:schemeClr w14:val="tx1"/>
            </w14:solidFill>
          </w14:textFill>
        </w:rPr>
        <w:t>204.7</w:t>
      </w:r>
      <w:r>
        <w:rPr>
          <w:color w:val="000000" w:themeColor="text1"/>
          <w14:textFill>
            <w14:solidFill>
              <w14:schemeClr w14:val="tx1"/>
            </w14:solidFill>
          </w14:textFill>
        </w:rPr>
        <w:t>万m</w:t>
      </w:r>
      <w:r>
        <w:rPr>
          <w:color w:val="000000" w:themeColor="text1"/>
          <w:vertAlign w:val="superscript"/>
          <w14:textFill>
            <w14:solidFill>
              <w14:schemeClr w14:val="tx1"/>
            </w14:solidFill>
          </w14:textFill>
        </w:rPr>
        <w:t>3</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其中疏浚砂81.3万m</w:t>
      </w:r>
      <w:r>
        <w:rPr>
          <w:rFonts w:hint="eastAsia"/>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用于施工期水上围堰及钦州保税港区昊鼎物流配送中心项目陆域形成，位于本项目红线范围内；47.6万m</w:t>
      </w:r>
      <w:r>
        <w:rPr>
          <w:rFonts w:hint="eastAsia"/>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强风化岩和中风化岩炸礁碴石及75.8万m</w:t>
      </w:r>
      <w:r>
        <w:rPr>
          <w:rFonts w:hint="eastAsia"/>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疏浚土泥驳运至53km外的钦州港30万吨级进港航道疏浚工程疏浚物临时性海洋倾倒区B区抛卸。</w:t>
      </w:r>
    </w:p>
    <w:p>
      <w:pPr>
        <w:pStyle w:val="283"/>
        <w:ind w:firstLine="462"/>
        <w:rPr>
          <w:color w:val="000000" w:themeColor="text1"/>
          <w14:textFill>
            <w14:solidFill>
              <w14:schemeClr w14:val="tx1"/>
            </w14:solidFill>
          </w14:textFill>
        </w:rPr>
      </w:pPr>
      <w:r>
        <w:rPr>
          <w:color w:val="000000" w:themeColor="text1"/>
          <w14:textFill>
            <w14:solidFill>
              <w14:schemeClr w14:val="tx1"/>
            </w14:solidFill>
          </w14:textFill>
        </w:rPr>
        <mc:AlternateContent>
          <mc:Choice Requires="wpc">
            <w:drawing>
              <wp:inline distT="0" distB="0" distL="0" distR="0">
                <wp:extent cx="5276850" cy="2714625"/>
                <wp:effectExtent l="0" t="0" r="0" b="0"/>
                <wp:docPr id="32" name="画布 32"/>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wps:wsp>
                        <wps:cNvPr id="3470" name="矩形 3470"/>
                        <wps:cNvSpPr/>
                        <wps:spPr>
                          <a:xfrm>
                            <a:off x="38101" y="1085850"/>
                            <a:ext cx="742950" cy="381000"/>
                          </a:xfrm>
                          <a:prstGeom prst="rect">
                            <a:avLst/>
                          </a:prstGeom>
                          <a:solidFill>
                            <a:schemeClr val="bg1"/>
                          </a:solid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pPr>
                                <w:pStyle w:val="81"/>
                                <w:snapToGrid w:val="0"/>
                                <w:spacing w:before="0" w:beforeAutospacing="0" w:after="0" w:afterAutospacing="0"/>
                                <w:jc w:val="center"/>
                                <w:rPr>
                                  <w:rFonts w:ascii="Times New Roman" w:hAnsi="Times New Roman"/>
                                  <w:color w:val="000000" w:themeColor="text1"/>
                                  <w:sz w:val="21"/>
                                  <w:szCs w:val="21"/>
                                  <w14:textFill>
                                    <w14:solidFill>
                                      <w14:schemeClr w14:val="tx1"/>
                                    </w14:solidFill>
                                  </w14:textFill>
                                </w:rPr>
                              </w:pPr>
                              <w:r>
                                <w:rPr>
                                  <w:rFonts w:hint="eastAsia" w:ascii="Times New Roman" w:hAnsi="Times New Roman"/>
                                  <w:color w:val="000000" w:themeColor="text1"/>
                                  <w:sz w:val="21"/>
                                  <w:szCs w:val="21"/>
                                  <w14:textFill>
                                    <w14:solidFill>
                                      <w14:schemeClr w14:val="tx1"/>
                                    </w14:solidFill>
                                  </w14:textFill>
                                </w:rPr>
                                <w:t>水域疏浚</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3482" name="矩形 3482"/>
                        <wps:cNvSpPr/>
                        <wps:spPr>
                          <a:xfrm>
                            <a:off x="704850" y="827700"/>
                            <a:ext cx="866775" cy="585787"/>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pPr>
                                <w:pStyle w:val="81"/>
                                <w:snapToGrid w:val="0"/>
                                <w:spacing w:before="0" w:beforeAutospacing="0" w:after="0" w:afterAutospacing="0"/>
                                <w:jc w:val="center"/>
                                <w:rPr>
                                  <w:rFonts w:ascii="Times New Roman" w:hAnsi="Times New Roman"/>
                                  <w:color w:val="000000" w:themeColor="text1"/>
                                  <w:sz w:val="21"/>
                                  <w:szCs w:val="21"/>
                                  <w14:textFill>
                                    <w14:solidFill>
                                      <w14:schemeClr w14:val="tx1"/>
                                    </w14:solidFill>
                                  </w14:textFill>
                                </w:rPr>
                              </w:pPr>
                              <w:r>
                                <w:rPr>
                                  <w:rFonts w:hint="eastAsia" w:ascii="Times New Roman" w:hAnsi="Times New Roman"/>
                                  <w:color w:val="000000" w:themeColor="text1"/>
                                  <w:sz w:val="21"/>
                                  <w:szCs w:val="21"/>
                                  <w14:textFill>
                                    <w14:solidFill>
                                      <w14:schemeClr w14:val="tx1"/>
                                    </w14:solidFill>
                                  </w14:textFill>
                                </w:rPr>
                                <w:t>疏浚量</w:t>
                              </w:r>
                            </w:p>
                            <w:p>
                              <w:pPr>
                                <w:pStyle w:val="81"/>
                                <w:snapToGrid w:val="0"/>
                                <w:spacing w:before="0" w:beforeAutospacing="0" w:after="0" w:afterAutospacing="0"/>
                                <w:jc w:val="center"/>
                                <w:rPr>
                                  <w:rFonts w:ascii="Times New Roman" w:hAnsi="Times New Roman"/>
                                  <w:color w:val="000000" w:themeColor="text1"/>
                                  <w:sz w:val="21"/>
                                  <w:szCs w:val="21"/>
                                  <w14:textFill>
                                    <w14:solidFill>
                                      <w14:schemeClr w14:val="tx1"/>
                                    </w14:solidFill>
                                  </w14:textFill>
                                </w:rPr>
                              </w:pPr>
                              <w:r>
                                <w:rPr>
                                  <w:rFonts w:hint="eastAsia" w:ascii="Times New Roman" w:hAnsi="Times New Roman"/>
                                  <w:color w:val="000000" w:themeColor="text1"/>
                                  <w:sz w:val="21"/>
                                  <w:szCs w:val="21"/>
                                  <w14:textFill>
                                    <w14:solidFill>
                                      <w14:schemeClr w14:val="tx1"/>
                                    </w14:solidFill>
                                  </w14:textFill>
                                </w:rPr>
                                <w:t>204.7万m</w:t>
                              </w:r>
                              <w:r>
                                <w:rPr>
                                  <w:rFonts w:hint="eastAsia" w:ascii="Times New Roman" w:hAnsi="Times New Roman"/>
                                  <w:color w:val="000000" w:themeColor="text1"/>
                                  <w:sz w:val="21"/>
                                  <w:szCs w:val="21"/>
                                  <w:vertAlign w:val="superscript"/>
                                  <w14:textFill>
                                    <w14:solidFill>
                                      <w14:schemeClr w14:val="tx1"/>
                                    </w14:solidFill>
                                  </w14:textFill>
                                </w:rPr>
                                <w:t>3</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3483" name="直接连接符 3483"/>
                        <wps:cNvCnPr/>
                        <wps:spPr>
                          <a:xfrm>
                            <a:off x="781051" y="1295400"/>
                            <a:ext cx="714374" cy="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3484" name="矩形 3484"/>
                        <wps:cNvSpPr/>
                        <wps:spPr>
                          <a:xfrm>
                            <a:off x="2247225" y="395287"/>
                            <a:ext cx="828674" cy="333375"/>
                          </a:xfrm>
                          <a:prstGeom prst="rect">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pPr>
                                <w:pStyle w:val="81"/>
                                <w:snapToGrid w:val="0"/>
                                <w:spacing w:before="0" w:beforeAutospacing="0" w:after="0" w:afterAutospacing="0"/>
                                <w:jc w:val="center"/>
                                <w:rPr>
                                  <w:rFonts w:ascii="Times New Roman" w:hAnsi="Times New Roman"/>
                                  <w:color w:val="000000" w:themeColor="text1"/>
                                  <w:sz w:val="21"/>
                                  <w:szCs w:val="21"/>
                                  <w14:textFill>
                                    <w14:solidFill>
                                      <w14:schemeClr w14:val="tx1"/>
                                    </w14:solidFill>
                                  </w14:textFill>
                                </w:rPr>
                              </w:pPr>
                              <w:r>
                                <w:rPr>
                                  <w:rFonts w:hint="eastAsia" w:ascii="Times New Roman" w:hAnsi="Times New Roman"/>
                                  <w:color w:val="000000" w:themeColor="text1"/>
                                  <w:sz w:val="21"/>
                                  <w:szCs w:val="21"/>
                                  <w14:textFill>
                                    <w14:solidFill>
                                      <w14:schemeClr w14:val="tx1"/>
                                    </w14:solidFill>
                                  </w14:textFill>
                                </w:rPr>
                                <w:t>疏浚砂</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303" name="矩形 303"/>
                        <wps:cNvSpPr/>
                        <wps:spPr>
                          <a:xfrm>
                            <a:off x="2257426" y="2161200"/>
                            <a:ext cx="828674" cy="333375"/>
                          </a:xfrm>
                          <a:prstGeom prst="rect">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pPr>
                                <w:pStyle w:val="81"/>
                                <w:snapToGrid w:val="0"/>
                                <w:spacing w:before="0" w:beforeAutospacing="0" w:after="0" w:afterAutospacing="0"/>
                                <w:jc w:val="center"/>
                                <w:rPr>
                                  <w:rFonts w:ascii="Times New Roman" w:hAnsi="Times New Roman"/>
                                  <w:color w:val="000000" w:themeColor="text1"/>
                                  <w:sz w:val="21"/>
                                  <w:szCs w:val="21"/>
                                  <w14:textFill>
                                    <w14:solidFill>
                                      <w14:schemeClr w14:val="tx1"/>
                                    </w14:solidFill>
                                  </w14:textFill>
                                </w:rPr>
                              </w:pPr>
                              <w:r>
                                <w:rPr>
                                  <w:rFonts w:hint="eastAsia" w:ascii="Times New Roman" w:hAnsi="Times New Roman"/>
                                  <w:color w:val="000000" w:themeColor="text1"/>
                                  <w:sz w:val="21"/>
                                  <w:szCs w:val="21"/>
                                  <w14:textFill>
                                    <w14:solidFill>
                                      <w14:schemeClr w14:val="tx1"/>
                                    </w14:solidFill>
                                  </w14:textFill>
                                </w:rPr>
                                <w:t>疏浚砂石</w:t>
                              </w:r>
                            </w:p>
                          </w:txbxContent>
                        </wps:txbx>
                        <wps:bodyPr rot="0" spcFirstLastPara="0" vert="horz" wrap="square" lIns="91440" tIns="45720" rIns="91440" bIns="45720" numCol="1" spcCol="0" rtlCol="0" fromWordArt="0" anchor="ctr" anchorCtr="0" forceAA="0" compatLnSpc="1">
                          <a:noAutofit/>
                        </wps:bodyPr>
                      </wps:wsp>
                      <wps:wsp>
                        <wps:cNvPr id="304" name="矩形 304"/>
                        <wps:cNvSpPr/>
                        <wps:spPr>
                          <a:xfrm>
                            <a:off x="2257426" y="1389675"/>
                            <a:ext cx="828040" cy="333375"/>
                          </a:xfrm>
                          <a:prstGeom prst="rect">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pPr>
                                <w:pStyle w:val="81"/>
                                <w:snapToGrid w:val="0"/>
                                <w:spacing w:before="0" w:beforeAutospacing="0" w:after="0" w:afterAutospacing="0"/>
                                <w:jc w:val="center"/>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炸礁碴石</w:t>
                              </w:r>
                            </w:p>
                          </w:txbxContent>
                        </wps:txbx>
                        <wps:bodyPr rot="0" spcFirstLastPara="0" vert="horz" wrap="square" lIns="91440" tIns="45720" rIns="91440" bIns="45720" numCol="1" spcCol="0" rtlCol="0" fromWordArt="0" anchor="ctr" anchorCtr="0" forceAA="0" compatLnSpc="1">
                          <a:noAutofit/>
                        </wps:bodyPr>
                      </wps:wsp>
                      <wps:wsp>
                        <wps:cNvPr id="3485" name="直接连接符 3485"/>
                        <wps:cNvCnPr/>
                        <wps:spPr>
                          <a:xfrm flipH="1">
                            <a:off x="1504274" y="590550"/>
                            <a:ext cx="676" cy="1737338"/>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3486" name="直接箭头连接符 3486"/>
                        <wps:cNvCnPr>
                          <a:endCxn id="3484" idx="1"/>
                        </wps:cNvCnPr>
                        <wps:spPr>
                          <a:xfrm flipV="1">
                            <a:off x="1494073" y="561975"/>
                            <a:ext cx="753152" cy="4762"/>
                          </a:xfrm>
                          <a:prstGeom prst="straightConnector1">
                            <a:avLst/>
                          </a:prstGeom>
                          <a:ln w="19050">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s:wsp>
                        <wps:cNvPr id="307" name="矩形 307"/>
                        <wps:cNvSpPr/>
                        <wps:spPr>
                          <a:xfrm>
                            <a:off x="1447801" y="238125"/>
                            <a:ext cx="809625" cy="51435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pPr>
                                <w:pStyle w:val="81"/>
                                <w:spacing w:before="0" w:beforeAutospacing="0" w:after="0" w:afterAutospacing="0"/>
                                <w:jc w:val="center"/>
                              </w:pPr>
                              <w:r>
                                <w:rPr>
                                  <w:rFonts w:hint="eastAsia" w:ascii="Times New Roman" w:hAnsi="Times New Roman"/>
                                  <w:color w:val="000000"/>
                                  <w:sz w:val="21"/>
                                  <w:szCs w:val="21"/>
                                </w:rPr>
                                <w:t>81.3万m</w:t>
                              </w:r>
                              <w:r>
                                <w:rPr>
                                  <w:rFonts w:hint="eastAsia" w:ascii="Times New Roman" w:hAnsi="Times New Roman"/>
                                  <w:color w:val="000000"/>
                                  <w:sz w:val="21"/>
                                  <w:szCs w:val="21"/>
                                  <w:vertAlign w:val="superscript"/>
                                </w:rPr>
                                <w:t>3</w:t>
                              </w:r>
                            </w:p>
                          </w:txbxContent>
                        </wps:txbx>
                        <wps:bodyPr rot="0" spcFirstLastPara="0" vert="horz" wrap="square" lIns="91440" tIns="45720" rIns="91440" bIns="45720" numCol="1" spcCol="0" rtlCol="0" fromWordArt="0" anchor="ctr" anchorCtr="0" forceAA="0" compatLnSpc="1">
                          <a:noAutofit/>
                        </wps:bodyPr>
                      </wps:wsp>
                      <wps:wsp>
                        <wps:cNvPr id="64" name="直接箭头连接符 64"/>
                        <wps:cNvCnPr/>
                        <wps:spPr>
                          <a:xfrm>
                            <a:off x="1504274" y="1556363"/>
                            <a:ext cx="753151" cy="0"/>
                          </a:xfrm>
                          <a:prstGeom prst="straightConnector1">
                            <a:avLst/>
                          </a:prstGeom>
                          <a:ln w="19050">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s:wsp>
                        <wps:cNvPr id="311" name="矩形 311"/>
                        <wps:cNvSpPr/>
                        <wps:spPr>
                          <a:xfrm>
                            <a:off x="1428750" y="1103925"/>
                            <a:ext cx="809625" cy="51435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pPr>
                                <w:pStyle w:val="81"/>
                                <w:snapToGrid w:val="0"/>
                                <w:spacing w:before="0" w:beforeAutospacing="0" w:after="0" w:afterAutospacing="0"/>
                                <w:jc w:val="center"/>
                                <w:rPr>
                                  <w:rFonts w:ascii="Times New Roman" w:hAnsi="Times New Roman"/>
                                  <w:color w:val="000000"/>
                                  <w:sz w:val="21"/>
                                  <w:szCs w:val="21"/>
                                </w:rPr>
                              </w:pPr>
                              <w:r>
                                <w:rPr>
                                  <w:rFonts w:hint="eastAsia" w:ascii="Times New Roman" w:hAnsi="Times New Roman"/>
                                  <w:color w:val="000000"/>
                                  <w:sz w:val="21"/>
                                  <w:szCs w:val="21"/>
                                </w:rPr>
                                <w:t>炸礁</w:t>
                              </w:r>
                            </w:p>
                            <w:p>
                              <w:pPr>
                                <w:pStyle w:val="81"/>
                                <w:snapToGrid w:val="0"/>
                                <w:spacing w:before="0" w:beforeAutospacing="0" w:after="0" w:afterAutospacing="0"/>
                                <w:jc w:val="center"/>
                              </w:pPr>
                              <w:r>
                                <w:rPr>
                                  <w:rFonts w:hint="eastAsia" w:ascii="Times New Roman" w:hAnsi="Times New Roman"/>
                                  <w:color w:val="000000"/>
                                  <w:sz w:val="21"/>
                                  <w:szCs w:val="21"/>
                                </w:rPr>
                                <w:t>47.6</w:t>
                              </w:r>
                              <w:r>
                                <w:rPr>
                                  <w:rFonts w:ascii="Times New Roman" w:hAnsi="Times New Roman"/>
                                  <w:color w:val="000000"/>
                                  <w:sz w:val="21"/>
                                  <w:szCs w:val="21"/>
                                </w:rPr>
                                <w:t>m</w:t>
                              </w:r>
                              <w:r>
                                <w:rPr>
                                  <w:rFonts w:ascii="Times New Roman" w:hAnsi="Times New Roman"/>
                                  <w:color w:val="000000"/>
                                  <w:position w:val="6"/>
                                  <w:sz w:val="21"/>
                                  <w:szCs w:val="21"/>
                                  <w:vertAlign w:val="superscript"/>
                                </w:rPr>
                                <w:t>3</w:t>
                              </w:r>
                            </w:p>
                          </w:txbxContent>
                        </wps:txbx>
                        <wps:bodyPr rot="0" spcFirstLastPara="0" vert="horz" wrap="square" lIns="91440" tIns="45720" rIns="91440" bIns="45720" numCol="1" spcCol="0" rtlCol="0" fromWordArt="0" anchor="ctr" anchorCtr="0" forceAA="0" compatLnSpc="1">
                          <a:noAutofit/>
                        </wps:bodyPr>
                      </wps:wsp>
                      <wps:wsp>
                        <wps:cNvPr id="65" name="直接箭头连接符 65"/>
                        <wps:cNvCnPr/>
                        <wps:spPr>
                          <a:xfrm>
                            <a:off x="1504950" y="2327888"/>
                            <a:ext cx="752475" cy="0"/>
                          </a:xfrm>
                          <a:prstGeom prst="straightConnector1">
                            <a:avLst/>
                          </a:prstGeom>
                          <a:ln w="19050">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s:wsp>
                        <wps:cNvPr id="313" name="矩形 313"/>
                        <wps:cNvSpPr/>
                        <wps:spPr>
                          <a:xfrm>
                            <a:off x="1428750" y="1932600"/>
                            <a:ext cx="809625" cy="51435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pPr>
                                <w:pStyle w:val="81"/>
                                <w:spacing w:before="0" w:beforeAutospacing="0" w:after="0" w:afterAutospacing="0"/>
                                <w:jc w:val="center"/>
                              </w:pPr>
                              <w:r>
                                <w:rPr>
                                  <w:rFonts w:hint="eastAsia" w:ascii="Times New Roman" w:hAnsi="Times New Roman"/>
                                  <w:color w:val="000000"/>
                                  <w:sz w:val="21"/>
                                  <w:szCs w:val="21"/>
                                </w:rPr>
                                <w:t>75.8</w:t>
                              </w:r>
                              <w:r>
                                <w:rPr>
                                  <w:rFonts w:ascii="Times New Roman" w:hAnsi="Times New Roman"/>
                                  <w:color w:val="000000"/>
                                  <w:sz w:val="21"/>
                                  <w:szCs w:val="21"/>
                                </w:rPr>
                                <w:t>万m</w:t>
                              </w:r>
                              <w:r>
                                <w:rPr>
                                  <w:rFonts w:ascii="Times New Roman" w:hAnsi="Times New Roman"/>
                                  <w:color w:val="000000"/>
                                  <w:position w:val="6"/>
                                  <w:sz w:val="21"/>
                                  <w:szCs w:val="21"/>
                                  <w:vertAlign w:val="superscript"/>
                                </w:rPr>
                                <w:t>3</w:t>
                              </w:r>
                            </w:p>
                          </w:txbxContent>
                        </wps:txbx>
                        <wps:bodyPr rot="0" spcFirstLastPara="0" vert="horz" wrap="square" lIns="91440" tIns="45720" rIns="91440" bIns="45720" numCol="1" spcCol="0" rtlCol="0" fromWordArt="0" anchor="ctr" anchorCtr="0" forceAA="0" compatLnSpc="1">
                          <a:noAutofit/>
                        </wps:bodyPr>
                      </wps:wsp>
                      <wps:wsp>
                        <wps:cNvPr id="68" name="直接连接符 68"/>
                        <wps:cNvCnPr>
                          <a:stCxn id="304" idx="3"/>
                        </wps:cNvCnPr>
                        <wps:spPr>
                          <a:xfrm>
                            <a:off x="3085466" y="1556363"/>
                            <a:ext cx="612000" cy="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70" name="直接连接符 70"/>
                        <wps:cNvCnPr/>
                        <wps:spPr>
                          <a:xfrm>
                            <a:off x="3086100" y="2327888"/>
                            <a:ext cx="612000" cy="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321" name="矩形 321"/>
                        <wps:cNvSpPr/>
                        <wps:spPr>
                          <a:xfrm>
                            <a:off x="3014400" y="1208700"/>
                            <a:ext cx="809625" cy="51435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pPr>
                                <w:pStyle w:val="81"/>
                                <w:spacing w:before="0" w:beforeAutospacing="0" w:after="0" w:afterAutospacing="0"/>
                                <w:jc w:val="center"/>
                              </w:pPr>
                              <w:r>
                                <w:rPr>
                                  <w:rFonts w:hint="eastAsia" w:ascii="Times New Roman" w:hAnsi="Times New Roman"/>
                                  <w:color w:val="000000"/>
                                  <w:sz w:val="21"/>
                                  <w:szCs w:val="21"/>
                                </w:rPr>
                                <w:t>47.6</w:t>
                              </w:r>
                              <w:r>
                                <w:rPr>
                                  <w:rFonts w:ascii="Times New Roman" w:hAnsi="Times New Roman"/>
                                  <w:color w:val="000000"/>
                                  <w:sz w:val="21"/>
                                  <w:szCs w:val="21"/>
                                </w:rPr>
                                <w:t>万m</w:t>
                              </w:r>
                              <w:r>
                                <w:rPr>
                                  <w:rFonts w:ascii="Times New Roman" w:hAnsi="Times New Roman"/>
                                  <w:color w:val="000000"/>
                                  <w:position w:val="6"/>
                                  <w:sz w:val="21"/>
                                  <w:szCs w:val="21"/>
                                  <w:vertAlign w:val="superscript"/>
                                </w:rPr>
                                <w:t>3</w:t>
                              </w:r>
                            </w:p>
                          </w:txbxContent>
                        </wps:txbx>
                        <wps:bodyPr rot="0" spcFirstLastPara="0" vert="horz" wrap="square" lIns="91440" tIns="45720" rIns="91440" bIns="45720" numCol="1" spcCol="0" rtlCol="0" fromWordArt="0" anchor="ctr" anchorCtr="0" forceAA="0" compatLnSpc="1">
                          <a:noAutofit/>
                        </wps:bodyPr>
                      </wps:wsp>
                      <wps:wsp>
                        <wps:cNvPr id="322" name="矩形 322"/>
                        <wps:cNvSpPr/>
                        <wps:spPr>
                          <a:xfrm>
                            <a:off x="2976300" y="1961175"/>
                            <a:ext cx="809625" cy="51435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pPr>
                                <w:pStyle w:val="81"/>
                                <w:spacing w:before="0" w:beforeAutospacing="0" w:after="0" w:afterAutospacing="0"/>
                                <w:jc w:val="center"/>
                              </w:pPr>
                              <w:r>
                                <w:rPr>
                                  <w:rFonts w:hint="eastAsia" w:ascii="Times New Roman" w:hAnsi="Times New Roman"/>
                                  <w:color w:val="000000"/>
                                  <w:sz w:val="21"/>
                                  <w:szCs w:val="21"/>
                                </w:rPr>
                                <w:t>75.8</w:t>
                              </w:r>
                              <w:r>
                                <w:rPr>
                                  <w:rFonts w:ascii="Times New Roman" w:hAnsi="Times New Roman"/>
                                  <w:color w:val="000000"/>
                                  <w:sz w:val="21"/>
                                  <w:szCs w:val="21"/>
                                </w:rPr>
                                <w:t>万m</w:t>
                              </w:r>
                              <w:r>
                                <w:rPr>
                                  <w:rFonts w:ascii="Times New Roman" w:hAnsi="Times New Roman"/>
                                  <w:color w:val="000000"/>
                                  <w:position w:val="6"/>
                                  <w:sz w:val="21"/>
                                  <w:szCs w:val="21"/>
                                  <w:vertAlign w:val="superscript"/>
                                </w:rPr>
                                <w:t>3</w:t>
                              </w:r>
                            </w:p>
                          </w:txbxContent>
                        </wps:txbx>
                        <wps:bodyPr rot="0" spcFirstLastPara="0" vert="horz" wrap="square" lIns="91440" tIns="45720" rIns="91440" bIns="45720" numCol="1" spcCol="0" rtlCol="0" fromWordArt="0" anchor="ctr" anchorCtr="0" forceAA="0" compatLnSpc="1">
                          <a:noAutofit/>
                        </wps:bodyPr>
                      </wps:wsp>
                      <wps:wsp>
                        <wps:cNvPr id="72" name="直接箭头连接符 72"/>
                        <wps:cNvCnPr>
                          <a:endCxn id="325" idx="1"/>
                        </wps:cNvCnPr>
                        <wps:spPr>
                          <a:xfrm>
                            <a:off x="3082843" y="556237"/>
                            <a:ext cx="788808" cy="0"/>
                          </a:xfrm>
                          <a:prstGeom prst="straightConnector1">
                            <a:avLst/>
                          </a:prstGeom>
                          <a:ln w="19050">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s:wsp>
                        <wps:cNvPr id="325" name="矩形 325"/>
                        <wps:cNvSpPr/>
                        <wps:spPr>
                          <a:xfrm>
                            <a:off x="3871651" y="246674"/>
                            <a:ext cx="730649" cy="619126"/>
                          </a:xfrm>
                          <a:prstGeom prst="rect">
                            <a:avLst/>
                          </a:prstGeom>
                          <a:solidFill>
                            <a:schemeClr val="bg1"/>
                          </a:solid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pPr>
                                <w:pStyle w:val="81"/>
                                <w:snapToGrid w:val="0"/>
                                <w:spacing w:before="0" w:beforeAutospacing="0" w:after="0" w:afterAutospacing="0"/>
                                <w:jc w:val="center"/>
                                <w:rPr>
                                  <w:rFonts w:ascii="Times New Roman" w:hAnsi="Times New Roman"/>
                                  <w:color w:val="000000" w:themeColor="text1"/>
                                  <w:sz w:val="21"/>
                                  <w:szCs w:val="21"/>
                                  <w14:textFill>
                                    <w14:solidFill>
                                      <w14:schemeClr w14:val="tx1"/>
                                    </w14:solidFill>
                                  </w14:textFill>
                                </w:rPr>
                              </w:pPr>
                              <w:r>
                                <w:rPr>
                                  <w:rFonts w:hint="eastAsia" w:ascii="Times New Roman" w:hAnsi="Times New Roman"/>
                                  <w:color w:val="000000" w:themeColor="text1"/>
                                  <w:sz w:val="21"/>
                                  <w:szCs w:val="21"/>
                                  <w14:textFill>
                                    <w14:solidFill>
                                      <w14:schemeClr w14:val="tx1"/>
                                    </w14:solidFill>
                                  </w14:textFill>
                                </w:rPr>
                                <w:t>疏浚物</w:t>
                              </w:r>
                            </w:p>
                            <w:p>
                              <w:pPr>
                                <w:pStyle w:val="81"/>
                                <w:snapToGrid w:val="0"/>
                                <w:spacing w:before="0" w:beforeAutospacing="0" w:after="0" w:afterAutospacing="0"/>
                                <w:jc w:val="center"/>
                                <w:rPr>
                                  <w:rFonts w:ascii="Times New Roman" w:hAnsi="Times New Roman"/>
                                  <w:color w:val="000000" w:themeColor="text1"/>
                                  <w:sz w:val="21"/>
                                  <w:szCs w:val="21"/>
                                  <w14:textFill>
                                    <w14:solidFill>
                                      <w14:schemeClr w14:val="tx1"/>
                                    </w14:solidFill>
                                  </w14:textFill>
                                </w:rPr>
                              </w:pPr>
                              <w:r>
                                <w:rPr>
                                  <w:rFonts w:hint="eastAsia" w:ascii="Times New Roman" w:hAnsi="Times New Roman"/>
                                  <w:color w:val="000000" w:themeColor="text1"/>
                                  <w:sz w:val="21"/>
                                  <w:szCs w:val="21"/>
                                  <w14:textFill>
                                    <w14:solidFill>
                                      <w14:schemeClr w14:val="tx1"/>
                                    </w14:solidFill>
                                  </w14:textFill>
                                </w:rPr>
                                <w:t>回填</w:t>
                              </w:r>
                            </w:p>
                          </w:txbxContent>
                        </wps:txbx>
                        <wps:bodyPr rot="0" spcFirstLastPara="0" vert="horz" wrap="square" lIns="91440" tIns="45720" rIns="91440" bIns="45720" numCol="1" spcCol="0" rtlCol="0" fromWordArt="0" anchor="ctr" anchorCtr="0" forceAA="0" compatLnSpc="1">
                          <a:noAutofit/>
                        </wps:bodyPr>
                      </wps:wsp>
                      <wps:wsp>
                        <wps:cNvPr id="73" name="直接连接符 73"/>
                        <wps:cNvCnPr/>
                        <wps:spPr>
                          <a:xfrm>
                            <a:off x="3697466" y="1556363"/>
                            <a:ext cx="2734" cy="771525"/>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74" name="直接箭头连接符 74"/>
                        <wps:cNvCnPr/>
                        <wps:spPr>
                          <a:xfrm>
                            <a:off x="3697466" y="1927838"/>
                            <a:ext cx="788807" cy="0"/>
                          </a:xfrm>
                          <a:prstGeom prst="straightConnector1">
                            <a:avLst/>
                          </a:prstGeom>
                          <a:ln w="19050">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s:wsp>
                        <wps:cNvPr id="328" name="矩形 328"/>
                        <wps:cNvSpPr/>
                        <wps:spPr>
                          <a:xfrm>
                            <a:off x="4486273" y="1599225"/>
                            <a:ext cx="715851" cy="619125"/>
                          </a:xfrm>
                          <a:prstGeom prst="rect">
                            <a:avLst/>
                          </a:prstGeom>
                          <a:solidFill>
                            <a:schemeClr val="bg1"/>
                          </a:solid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pPr>
                                <w:pStyle w:val="81"/>
                                <w:snapToGrid w:val="0"/>
                                <w:spacing w:before="0" w:beforeAutospacing="0" w:after="0" w:afterAutospacing="0"/>
                                <w:jc w:val="center"/>
                                <w:rPr>
                                  <w:rFonts w:ascii="Times New Roman" w:hAnsi="Times New Roman"/>
                                  <w:color w:val="000000"/>
                                  <w:sz w:val="21"/>
                                  <w:szCs w:val="21"/>
                                </w:rPr>
                              </w:pPr>
                              <w:r>
                                <w:rPr>
                                  <w:rFonts w:hint="eastAsia" w:ascii="Times New Roman" w:hAnsi="Times New Roman"/>
                                  <w:color w:val="000000"/>
                                  <w:sz w:val="21"/>
                                  <w:szCs w:val="21"/>
                                </w:rPr>
                                <w:t>临时性海洋倾倒</w:t>
                              </w:r>
                            </w:p>
                            <w:p>
                              <w:pPr>
                                <w:pStyle w:val="81"/>
                                <w:snapToGrid w:val="0"/>
                                <w:spacing w:before="0" w:beforeAutospacing="0" w:after="0" w:afterAutospacing="0"/>
                                <w:jc w:val="center"/>
                              </w:pPr>
                              <w:r>
                                <w:rPr>
                                  <w:rFonts w:hint="eastAsia" w:ascii="Times New Roman" w:hAnsi="Times New Roman"/>
                                  <w:color w:val="000000"/>
                                  <w:sz w:val="21"/>
                                  <w:szCs w:val="21"/>
                                </w:rPr>
                                <w:t>B区</w:t>
                              </w:r>
                            </w:p>
                          </w:txbxContent>
                        </wps:txbx>
                        <wps:bodyPr rot="0" spcFirstLastPara="0" vert="horz" wrap="square" lIns="91440" tIns="45720" rIns="91440" bIns="45720" numCol="1" spcCol="0" rtlCol="0" fromWordArt="0" anchor="ctr" anchorCtr="0" forceAA="0" compatLnSpc="1">
                          <a:noAutofit/>
                        </wps:bodyPr>
                      </wps:wsp>
                      <wps:wsp>
                        <wps:cNvPr id="1507739628" name="矩形 1507739628"/>
                        <wps:cNvSpPr/>
                        <wps:spPr>
                          <a:xfrm>
                            <a:off x="3018266" y="265725"/>
                            <a:ext cx="853384" cy="48577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pPr>
                                <w:pStyle w:val="81"/>
                                <w:spacing w:before="0" w:beforeAutospacing="0" w:after="0" w:afterAutospacing="0"/>
                                <w:jc w:val="center"/>
                              </w:pPr>
                              <w:r>
                                <w:rPr>
                                  <w:rFonts w:hint="eastAsia" w:ascii="Times New Roman" w:hAnsi="Times New Roman"/>
                                  <w:color w:val="000000"/>
                                  <w:sz w:val="21"/>
                                  <w:szCs w:val="21"/>
                                </w:rPr>
                                <w:t>81.3</w:t>
                              </w:r>
                              <w:r>
                                <w:rPr>
                                  <w:rFonts w:ascii="Times New Roman" w:hAnsi="Times New Roman"/>
                                  <w:color w:val="000000"/>
                                  <w:sz w:val="21"/>
                                  <w:szCs w:val="21"/>
                                </w:rPr>
                                <w:t>万m</w:t>
                              </w:r>
                              <w:r>
                                <w:rPr>
                                  <w:rFonts w:ascii="Times New Roman" w:hAnsi="Times New Roman"/>
                                  <w:color w:val="000000"/>
                                  <w:position w:val="6"/>
                                  <w:sz w:val="21"/>
                                  <w:szCs w:val="21"/>
                                  <w:vertAlign w:val="superscript"/>
                                </w:rPr>
                                <w:t>3</w:t>
                              </w:r>
                            </w:p>
                            <w:p>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1507739629" name="矩形 1507739629"/>
                        <wps:cNvSpPr/>
                        <wps:spPr>
                          <a:xfrm>
                            <a:off x="3576375" y="1612538"/>
                            <a:ext cx="1010284" cy="519113"/>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pPr>
                                <w:pStyle w:val="81"/>
                                <w:spacing w:before="0" w:beforeAutospacing="0" w:after="0" w:afterAutospacing="0"/>
                                <w:jc w:val="center"/>
                              </w:pPr>
                              <w:r>
                                <w:rPr>
                                  <w:rFonts w:hint="eastAsia" w:ascii="Times New Roman" w:hAnsi="Times New Roman"/>
                                  <w:color w:val="000000"/>
                                  <w:sz w:val="21"/>
                                  <w:szCs w:val="21"/>
                                </w:rPr>
                                <w:t>123.4</w:t>
                              </w:r>
                              <w:r>
                                <w:rPr>
                                  <w:rFonts w:ascii="Times New Roman" w:hAnsi="Times New Roman"/>
                                  <w:color w:val="000000"/>
                                  <w:sz w:val="21"/>
                                  <w:szCs w:val="21"/>
                                </w:rPr>
                                <w:t>万m</w:t>
                              </w:r>
                              <w:r>
                                <w:rPr>
                                  <w:rFonts w:ascii="Times New Roman" w:hAnsi="Times New Roman"/>
                                  <w:color w:val="000000"/>
                                  <w:position w:val="6"/>
                                  <w:sz w:val="21"/>
                                  <w:szCs w:val="21"/>
                                  <w:vertAlign w:val="superscript"/>
                                </w:rPr>
                                <w:t>3</w:t>
                              </w:r>
                            </w:p>
                            <w:p>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wpc:wpc>
                  </a:graphicData>
                </a:graphic>
              </wp:inline>
            </w:drawing>
          </mc:Choice>
          <mc:Fallback>
            <w:pict>
              <v:group id="_x0000_s1026" o:spid="_x0000_s1026" o:spt="203" style="height:213.75pt;width:415.5pt;" coordsize="5276850,2714625" editas="canvas" o:gfxdata="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">
                <o:lock v:ext="edit" aspectratio="f"/>
                <v:shape id="_x0000_s1026" o:spid="_x0000_s1026" style="position:absolute;left:0;top:0;height:2714625;width:5276850;" filled="f" stroked="f" coordsize="21600,21600" o:gfxdata="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">
                  <v:fill on="f" focussize="0,0"/>
                  <v:stroke on="f"/>
                  <v:imagedata o:title=""/>
                  <o:lock v:ext="edit" aspectratio="t"/>
                </v:shape>
                <v:rect id="_x0000_s1026" o:spid="_x0000_s1026" o:spt="1" style="position:absolute;left:38101;top:1085850;height:381000;width:742950;v-text-anchor:middle;" fillcolor="#FFFFFF [3212]" filled="t" stroked="t" coordsize="21600,21600" o:gfxdata="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">
                  <v:fill on="t" focussize="0,0"/>
                  <v:stroke weight="1.5pt" color="#000000 [3213]" miterlimit="8" joinstyle="miter"/>
                  <v:imagedata o:title=""/>
                  <o:lock v:ext="edit" aspectratio="f"/>
                  <v:textbox>
                    <w:txbxContent>
                      <w:p>
                        <w:pPr>
                          <w:pStyle w:val="81"/>
                          <w:snapToGrid w:val="0"/>
                          <w:spacing w:before="0" w:beforeAutospacing="0" w:after="0" w:afterAutospacing="0"/>
                          <w:jc w:val="center"/>
                          <w:rPr>
                            <w:rFonts w:ascii="Times New Roman" w:hAnsi="Times New Roman"/>
                            <w:color w:val="000000" w:themeColor="text1"/>
                            <w:sz w:val="21"/>
                            <w:szCs w:val="21"/>
                            <w14:textFill>
                              <w14:solidFill>
                                <w14:schemeClr w14:val="tx1"/>
                              </w14:solidFill>
                            </w14:textFill>
                          </w:rPr>
                        </w:pPr>
                        <w:r>
                          <w:rPr>
                            <w:rFonts w:hint="eastAsia" w:ascii="Times New Roman" w:hAnsi="Times New Roman"/>
                            <w:color w:val="000000" w:themeColor="text1"/>
                            <w:sz w:val="21"/>
                            <w:szCs w:val="21"/>
                            <w14:textFill>
                              <w14:solidFill>
                                <w14:schemeClr w14:val="tx1"/>
                              </w14:solidFill>
                            </w14:textFill>
                          </w:rPr>
                          <w:t>水域疏浚</w:t>
                        </w:r>
                      </w:p>
                    </w:txbxContent>
                  </v:textbox>
                </v:rect>
                <v:rect id="_x0000_s1026" o:spid="_x0000_s1026" o:spt="1" style="position:absolute;left:704850;top:827700;height:585787;width:866775;v-text-anchor:middle;" filled="f" stroked="f" coordsize="21600,21600" o:gfxdata="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">
                  <v:fill on="f" focussize="0,0"/>
                  <v:stroke on="f" weight="1pt" miterlimit="8" joinstyle="miter"/>
                  <v:imagedata o:title=""/>
                  <o:lock v:ext="edit" aspectratio="f"/>
                  <v:textbox>
                    <w:txbxContent>
                      <w:p>
                        <w:pPr>
                          <w:pStyle w:val="81"/>
                          <w:snapToGrid w:val="0"/>
                          <w:spacing w:before="0" w:beforeAutospacing="0" w:after="0" w:afterAutospacing="0"/>
                          <w:jc w:val="center"/>
                          <w:rPr>
                            <w:rFonts w:ascii="Times New Roman" w:hAnsi="Times New Roman"/>
                            <w:color w:val="000000" w:themeColor="text1"/>
                            <w:sz w:val="21"/>
                            <w:szCs w:val="21"/>
                            <w14:textFill>
                              <w14:solidFill>
                                <w14:schemeClr w14:val="tx1"/>
                              </w14:solidFill>
                            </w14:textFill>
                          </w:rPr>
                        </w:pPr>
                        <w:r>
                          <w:rPr>
                            <w:rFonts w:hint="eastAsia" w:ascii="Times New Roman" w:hAnsi="Times New Roman"/>
                            <w:color w:val="000000" w:themeColor="text1"/>
                            <w:sz w:val="21"/>
                            <w:szCs w:val="21"/>
                            <w14:textFill>
                              <w14:solidFill>
                                <w14:schemeClr w14:val="tx1"/>
                              </w14:solidFill>
                            </w14:textFill>
                          </w:rPr>
                          <w:t>疏浚量</w:t>
                        </w:r>
                      </w:p>
                      <w:p>
                        <w:pPr>
                          <w:pStyle w:val="81"/>
                          <w:snapToGrid w:val="0"/>
                          <w:spacing w:before="0" w:beforeAutospacing="0" w:after="0" w:afterAutospacing="0"/>
                          <w:jc w:val="center"/>
                          <w:rPr>
                            <w:rFonts w:ascii="Times New Roman" w:hAnsi="Times New Roman"/>
                            <w:color w:val="000000" w:themeColor="text1"/>
                            <w:sz w:val="21"/>
                            <w:szCs w:val="21"/>
                            <w14:textFill>
                              <w14:solidFill>
                                <w14:schemeClr w14:val="tx1"/>
                              </w14:solidFill>
                            </w14:textFill>
                          </w:rPr>
                        </w:pPr>
                        <w:r>
                          <w:rPr>
                            <w:rFonts w:hint="eastAsia" w:ascii="Times New Roman" w:hAnsi="Times New Roman"/>
                            <w:color w:val="000000" w:themeColor="text1"/>
                            <w:sz w:val="21"/>
                            <w:szCs w:val="21"/>
                            <w14:textFill>
                              <w14:solidFill>
                                <w14:schemeClr w14:val="tx1"/>
                              </w14:solidFill>
                            </w14:textFill>
                          </w:rPr>
                          <w:t>204.7万m</w:t>
                        </w:r>
                        <w:r>
                          <w:rPr>
                            <w:rFonts w:hint="eastAsia" w:ascii="Times New Roman" w:hAnsi="Times New Roman"/>
                            <w:color w:val="000000" w:themeColor="text1"/>
                            <w:sz w:val="21"/>
                            <w:szCs w:val="21"/>
                            <w:vertAlign w:val="superscript"/>
                            <w14:textFill>
                              <w14:solidFill>
                                <w14:schemeClr w14:val="tx1"/>
                              </w14:solidFill>
                            </w14:textFill>
                          </w:rPr>
                          <w:t>3</w:t>
                        </w:r>
                      </w:p>
                    </w:txbxContent>
                  </v:textbox>
                </v:rect>
                <v:line id="_x0000_s1026" o:spid="_x0000_s1026" o:spt="20" style="position:absolute;left:781051;top:1295400;height:0;width:714374;" filled="f" stroked="t" coordsize="21600,21600" o:gfxdata="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">
                  <v:fill on="f" focussize="0,0"/>
                  <v:stroke weight="1.5pt" color="#000000 [3213]" miterlimit="8" joinstyle="miter"/>
                  <v:imagedata o:title=""/>
                  <o:lock v:ext="edit" aspectratio="f"/>
                </v:line>
                <v:rect id="_x0000_s1026" o:spid="_x0000_s1026" o:spt="1" style="position:absolute;left:2247225;top:395287;height:333375;width:828674;v-text-anchor:middle;" filled="f" stroked="t" coordsize="21600,21600" o:gfxdata="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">
                  <v:fill on="f" focussize="0,0"/>
                  <v:stroke weight="1.5pt" color="#000000 [3213]" miterlimit="8" joinstyle="miter"/>
                  <v:imagedata o:title=""/>
                  <o:lock v:ext="edit" aspectratio="f"/>
                  <v:textbox>
                    <w:txbxContent>
                      <w:p>
                        <w:pPr>
                          <w:pStyle w:val="81"/>
                          <w:snapToGrid w:val="0"/>
                          <w:spacing w:before="0" w:beforeAutospacing="0" w:after="0" w:afterAutospacing="0"/>
                          <w:jc w:val="center"/>
                          <w:rPr>
                            <w:rFonts w:ascii="Times New Roman" w:hAnsi="Times New Roman"/>
                            <w:color w:val="000000" w:themeColor="text1"/>
                            <w:sz w:val="21"/>
                            <w:szCs w:val="21"/>
                            <w14:textFill>
                              <w14:solidFill>
                                <w14:schemeClr w14:val="tx1"/>
                              </w14:solidFill>
                            </w14:textFill>
                          </w:rPr>
                        </w:pPr>
                        <w:r>
                          <w:rPr>
                            <w:rFonts w:hint="eastAsia" w:ascii="Times New Roman" w:hAnsi="Times New Roman"/>
                            <w:color w:val="000000" w:themeColor="text1"/>
                            <w:sz w:val="21"/>
                            <w:szCs w:val="21"/>
                            <w14:textFill>
                              <w14:solidFill>
                                <w14:schemeClr w14:val="tx1"/>
                              </w14:solidFill>
                            </w14:textFill>
                          </w:rPr>
                          <w:t>疏浚砂</w:t>
                        </w:r>
                      </w:p>
                    </w:txbxContent>
                  </v:textbox>
                </v:rect>
                <v:rect id="_x0000_s1026" o:spid="_x0000_s1026" o:spt="1" style="position:absolute;left:2257426;top:2161200;height:333375;width:828674;v-text-anchor:middle;" filled="f" stroked="t" coordsize="21600,21600" o:gfxdata="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">
                  <v:fill on="f" focussize="0,0"/>
                  <v:stroke weight="1.5pt" color="#000000 [3213]" miterlimit="8" joinstyle="miter"/>
                  <v:imagedata o:title=""/>
                  <o:lock v:ext="edit" aspectratio="f"/>
                  <v:textbox>
                    <w:txbxContent>
                      <w:p>
                        <w:pPr>
                          <w:pStyle w:val="81"/>
                          <w:snapToGrid w:val="0"/>
                          <w:spacing w:before="0" w:beforeAutospacing="0" w:after="0" w:afterAutospacing="0"/>
                          <w:jc w:val="center"/>
                          <w:rPr>
                            <w:rFonts w:ascii="Times New Roman" w:hAnsi="Times New Roman"/>
                            <w:color w:val="000000" w:themeColor="text1"/>
                            <w:sz w:val="21"/>
                            <w:szCs w:val="21"/>
                            <w14:textFill>
                              <w14:solidFill>
                                <w14:schemeClr w14:val="tx1"/>
                              </w14:solidFill>
                            </w14:textFill>
                          </w:rPr>
                        </w:pPr>
                        <w:r>
                          <w:rPr>
                            <w:rFonts w:hint="eastAsia" w:ascii="Times New Roman" w:hAnsi="Times New Roman"/>
                            <w:color w:val="000000" w:themeColor="text1"/>
                            <w:sz w:val="21"/>
                            <w:szCs w:val="21"/>
                            <w14:textFill>
                              <w14:solidFill>
                                <w14:schemeClr w14:val="tx1"/>
                              </w14:solidFill>
                            </w14:textFill>
                          </w:rPr>
                          <w:t>疏浚砂石</w:t>
                        </w:r>
                      </w:p>
                    </w:txbxContent>
                  </v:textbox>
                </v:rect>
                <v:rect id="_x0000_s1026" o:spid="_x0000_s1026" o:spt="1" style="position:absolute;left:2257426;top:1389675;height:333375;width:828040;v-text-anchor:middle;" filled="f" stroked="t" coordsize="21600,21600" o:gfxdata="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">
                  <v:fill on="f" focussize="0,0"/>
                  <v:stroke weight="1.5pt" color="#000000 [3213]" miterlimit="8" joinstyle="miter"/>
                  <v:imagedata o:title=""/>
                  <o:lock v:ext="edit" aspectratio="f"/>
                  <v:textbox>
                    <w:txbxContent>
                      <w:p>
                        <w:pPr>
                          <w:pStyle w:val="81"/>
                          <w:snapToGrid w:val="0"/>
                          <w:spacing w:before="0" w:beforeAutospacing="0" w:after="0" w:afterAutospacing="0"/>
                          <w:jc w:val="center"/>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炸礁碴石</w:t>
                        </w:r>
                      </w:p>
                    </w:txbxContent>
                  </v:textbox>
                </v:rect>
                <v:line id="_x0000_s1026" o:spid="_x0000_s1026" o:spt="20" style="position:absolute;left:1504274;top:590550;flip:x;height:1737338;width:676;" filled="f" stroked="t" coordsize="21600,21600" o:gfxdata="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">
                  <v:fill on="f" focussize="0,0"/>
                  <v:stroke weight="1.5pt" color="#000000 [3213]" miterlimit="8" joinstyle="miter"/>
                  <v:imagedata o:title=""/>
                  <o:lock v:ext="edit" aspectratio="f"/>
                </v:line>
                <v:shape id="_x0000_s1026" o:spid="_x0000_s1026" o:spt="32" type="#_x0000_t32" style="position:absolute;left:1494073;top:561975;flip:y;height:4762;width:753152;" filled="f" stroked="t" coordsize="21600,21600" o:gfxdata="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Ce9I2N1gAAAAUBAAAPAAAAAAAAAAEA&#10;IAAAACIAAABkcnMvZG93bnJldi54bWxQSwECFAAUAAAACACHTuJAlof7DBECAADYAwAADgAAAAAA&#10;AAABACAAAAAlAQAAZHJzL2Uyb0RvYy54bWxQSwUGAAAAAAYABgBZAQAAqAUAAAAA&#10;">
                  <v:fill on="f" focussize="0,0"/>
                  <v:stroke weight="1.5pt" color="#000000 [3213]" miterlimit="8" joinstyle="miter" endarrow="open"/>
                  <v:imagedata o:title=""/>
                  <o:lock v:ext="edit" aspectratio="f"/>
                </v:shape>
                <v:rect id="_x0000_s1026" o:spid="_x0000_s1026" o:spt="1" style="position:absolute;left:1447801;top:238125;height:514350;width:809625;v-text-anchor:middle;" filled="f" stroked="f" coordsize="21600,21600" o:gfxdata="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">
                  <v:fill on="f" focussize="0,0"/>
                  <v:stroke on="f" weight="1pt" miterlimit="8" joinstyle="miter"/>
                  <v:imagedata o:title=""/>
                  <o:lock v:ext="edit" aspectratio="f"/>
                  <v:textbox>
                    <w:txbxContent>
                      <w:p>
                        <w:pPr>
                          <w:pStyle w:val="81"/>
                          <w:spacing w:before="0" w:beforeAutospacing="0" w:after="0" w:afterAutospacing="0"/>
                          <w:jc w:val="center"/>
                        </w:pPr>
                        <w:r>
                          <w:rPr>
                            <w:rFonts w:hint="eastAsia" w:ascii="Times New Roman" w:hAnsi="Times New Roman"/>
                            <w:color w:val="000000"/>
                            <w:sz w:val="21"/>
                            <w:szCs w:val="21"/>
                          </w:rPr>
                          <w:t>81.3万m</w:t>
                        </w:r>
                        <w:r>
                          <w:rPr>
                            <w:rFonts w:hint="eastAsia" w:ascii="Times New Roman" w:hAnsi="Times New Roman"/>
                            <w:color w:val="000000"/>
                            <w:sz w:val="21"/>
                            <w:szCs w:val="21"/>
                            <w:vertAlign w:val="superscript"/>
                          </w:rPr>
                          <w:t>3</w:t>
                        </w:r>
                      </w:p>
                    </w:txbxContent>
                  </v:textbox>
                </v:rect>
                <v:shape id="_x0000_s1026" o:spid="_x0000_s1026" o:spt="32" type="#_x0000_t32" style="position:absolute;left:1504274;top:1556363;height:0;width:753151;" filled="f" stroked="t" coordsize="21600,21600" o:gfxdata="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">
                  <v:fill on="f" focussize="0,0"/>
                  <v:stroke weight="1.5pt" color="#000000 [3213]" miterlimit="8" joinstyle="miter" endarrow="open"/>
                  <v:imagedata o:title=""/>
                  <o:lock v:ext="edit" aspectratio="f"/>
                </v:shape>
                <v:rect id="_x0000_s1026" o:spid="_x0000_s1026" o:spt="1" style="position:absolute;left:1428750;top:1103925;height:514350;width:809625;v-text-anchor:middle;" filled="f" stroked="f" coordsize="21600,21600" o:gfxdata="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">
                  <v:fill on="f" focussize="0,0"/>
                  <v:stroke on="f" weight="1pt" miterlimit="8" joinstyle="miter"/>
                  <v:imagedata o:title=""/>
                  <o:lock v:ext="edit" aspectratio="f"/>
                  <v:textbox>
                    <w:txbxContent>
                      <w:p>
                        <w:pPr>
                          <w:pStyle w:val="81"/>
                          <w:snapToGrid w:val="0"/>
                          <w:spacing w:before="0" w:beforeAutospacing="0" w:after="0" w:afterAutospacing="0"/>
                          <w:jc w:val="center"/>
                          <w:rPr>
                            <w:rFonts w:ascii="Times New Roman" w:hAnsi="Times New Roman"/>
                            <w:color w:val="000000"/>
                            <w:sz w:val="21"/>
                            <w:szCs w:val="21"/>
                          </w:rPr>
                        </w:pPr>
                        <w:r>
                          <w:rPr>
                            <w:rFonts w:hint="eastAsia" w:ascii="Times New Roman" w:hAnsi="Times New Roman"/>
                            <w:color w:val="000000"/>
                            <w:sz w:val="21"/>
                            <w:szCs w:val="21"/>
                          </w:rPr>
                          <w:t>炸礁</w:t>
                        </w:r>
                      </w:p>
                      <w:p>
                        <w:pPr>
                          <w:pStyle w:val="81"/>
                          <w:snapToGrid w:val="0"/>
                          <w:spacing w:before="0" w:beforeAutospacing="0" w:after="0" w:afterAutospacing="0"/>
                          <w:jc w:val="center"/>
                        </w:pPr>
                        <w:r>
                          <w:rPr>
                            <w:rFonts w:hint="eastAsia" w:ascii="Times New Roman" w:hAnsi="Times New Roman"/>
                            <w:color w:val="000000"/>
                            <w:sz w:val="21"/>
                            <w:szCs w:val="21"/>
                          </w:rPr>
                          <w:t>47.6</w:t>
                        </w:r>
                        <w:r>
                          <w:rPr>
                            <w:rFonts w:ascii="Times New Roman" w:hAnsi="Times New Roman"/>
                            <w:color w:val="000000"/>
                            <w:sz w:val="21"/>
                            <w:szCs w:val="21"/>
                          </w:rPr>
                          <w:t>m</w:t>
                        </w:r>
                        <w:r>
                          <w:rPr>
                            <w:rFonts w:ascii="Times New Roman" w:hAnsi="Times New Roman"/>
                            <w:color w:val="000000"/>
                            <w:position w:val="6"/>
                            <w:sz w:val="21"/>
                            <w:szCs w:val="21"/>
                            <w:vertAlign w:val="superscript"/>
                          </w:rPr>
                          <w:t>3</w:t>
                        </w:r>
                      </w:p>
                    </w:txbxContent>
                  </v:textbox>
                </v:rect>
                <v:shape id="_x0000_s1026" o:spid="_x0000_s1026" o:spt="32" type="#_x0000_t32" style="position:absolute;left:1504950;top:2327888;height:0;width:752475;" filled="f" stroked="t" coordsize="21600,21600" o:gfxdata="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">
                  <v:fill on="f" focussize="0,0"/>
                  <v:stroke weight="1.5pt" color="#000000 [3213]" miterlimit="8" joinstyle="miter" endarrow="open"/>
                  <v:imagedata o:title=""/>
                  <o:lock v:ext="edit" aspectratio="f"/>
                </v:shape>
                <v:rect id="_x0000_s1026" o:spid="_x0000_s1026" o:spt="1" style="position:absolute;left:1428750;top:1932600;height:514350;width:809625;v-text-anchor:middle;" filled="f" stroked="f" coordsize="21600,21600" o:gfxdata="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">
                  <v:fill on="f" focussize="0,0"/>
                  <v:stroke on="f" weight="1pt" miterlimit="8" joinstyle="miter"/>
                  <v:imagedata o:title=""/>
                  <o:lock v:ext="edit" aspectratio="f"/>
                  <v:textbox>
                    <w:txbxContent>
                      <w:p>
                        <w:pPr>
                          <w:pStyle w:val="81"/>
                          <w:spacing w:before="0" w:beforeAutospacing="0" w:after="0" w:afterAutospacing="0"/>
                          <w:jc w:val="center"/>
                        </w:pPr>
                        <w:r>
                          <w:rPr>
                            <w:rFonts w:hint="eastAsia" w:ascii="Times New Roman" w:hAnsi="Times New Roman"/>
                            <w:color w:val="000000"/>
                            <w:sz w:val="21"/>
                            <w:szCs w:val="21"/>
                          </w:rPr>
                          <w:t>75.8</w:t>
                        </w:r>
                        <w:r>
                          <w:rPr>
                            <w:rFonts w:ascii="Times New Roman" w:hAnsi="Times New Roman"/>
                            <w:color w:val="000000"/>
                            <w:sz w:val="21"/>
                            <w:szCs w:val="21"/>
                          </w:rPr>
                          <w:t>万m</w:t>
                        </w:r>
                        <w:r>
                          <w:rPr>
                            <w:rFonts w:ascii="Times New Roman" w:hAnsi="Times New Roman"/>
                            <w:color w:val="000000"/>
                            <w:position w:val="6"/>
                            <w:sz w:val="21"/>
                            <w:szCs w:val="21"/>
                            <w:vertAlign w:val="superscript"/>
                          </w:rPr>
                          <w:t>3</w:t>
                        </w:r>
                      </w:p>
                    </w:txbxContent>
                  </v:textbox>
                </v:rect>
                <v:line id="_x0000_s1026" o:spid="_x0000_s1026" o:spt="20" style="position:absolute;left:3085466;top:1556363;height:0;width:612000;" filled="f" stroked="t" coordsize="21600,21600" o:gfxdata="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">
                  <v:fill on="f" focussize="0,0"/>
                  <v:stroke weight="1.5pt" color="#000000 [3213]" miterlimit="8" joinstyle="miter"/>
                  <v:imagedata o:title=""/>
                  <o:lock v:ext="edit" aspectratio="f"/>
                </v:line>
                <v:line id="_x0000_s1026" o:spid="_x0000_s1026" o:spt="20" style="position:absolute;left:3086100;top:2327888;height:0;width:612000;" filled="f" stroked="t" coordsize="21600,21600" o:gfxdata="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">
                  <v:fill on="f" focussize="0,0"/>
                  <v:stroke weight="1.5pt" color="#000000 [3213]" miterlimit="8" joinstyle="miter"/>
                  <v:imagedata o:title=""/>
                  <o:lock v:ext="edit" aspectratio="f"/>
                </v:line>
                <v:rect id="_x0000_s1026" o:spid="_x0000_s1026" o:spt="1" style="position:absolute;left:3014400;top:1208700;height:514350;width:809625;v-text-anchor:middle;" filled="f" stroked="f" coordsize="21600,21600" o:gfxdata="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">
                  <v:fill on="f" focussize="0,0"/>
                  <v:stroke on="f" weight="1pt" miterlimit="8" joinstyle="miter"/>
                  <v:imagedata o:title=""/>
                  <o:lock v:ext="edit" aspectratio="f"/>
                  <v:textbox>
                    <w:txbxContent>
                      <w:p>
                        <w:pPr>
                          <w:pStyle w:val="81"/>
                          <w:spacing w:before="0" w:beforeAutospacing="0" w:after="0" w:afterAutospacing="0"/>
                          <w:jc w:val="center"/>
                        </w:pPr>
                        <w:r>
                          <w:rPr>
                            <w:rFonts w:hint="eastAsia" w:ascii="Times New Roman" w:hAnsi="Times New Roman"/>
                            <w:color w:val="000000"/>
                            <w:sz w:val="21"/>
                            <w:szCs w:val="21"/>
                          </w:rPr>
                          <w:t>47.6</w:t>
                        </w:r>
                        <w:r>
                          <w:rPr>
                            <w:rFonts w:ascii="Times New Roman" w:hAnsi="Times New Roman"/>
                            <w:color w:val="000000"/>
                            <w:sz w:val="21"/>
                            <w:szCs w:val="21"/>
                          </w:rPr>
                          <w:t>万m</w:t>
                        </w:r>
                        <w:r>
                          <w:rPr>
                            <w:rFonts w:ascii="Times New Roman" w:hAnsi="Times New Roman"/>
                            <w:color w:val="000000"/>
                            <w:position w:val="6"/>
                            <w:sz w:val="21"/>
                            <w:szCs w:val="21"/>
                            <w:vertAlign w:val="superscript"/>
                          </w:rPr>
                          <w:t>3</w:t>
                        </w:r>
                      </w:p>
                    </w:txbxContent>
                  </v:textbox>
                </v:rect>
                <v:rect id="_x0000_s1026" o:spid="_x0000_s1026" o:spt="1" style="position:absolute;left:2976300;top:1961175;height:514350;width:809625;v-text-anchor:middle;" filled="f" stroked="f" coordsize="21600,21600" o:gfxdata="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">
                  <v:fill on="f" focussize="0,0"/>
                  <v:stroke on="f" weight="1pt" miterlimit="8" joinstyle="miter"/>
                  <v:imagedata o:title=""/>
                  <o:lock v:ext="edit" aspectratio="f"/>
                  <v:textbox>
                    <w:txbxContent>
                      <w:p>
                        <w:pPr>
                          <w:pStyle w:val="81"/>
                          <w:spacing w:before="0" w:beforeAutospacing="0" w:after="0" w:afterAutospacing="0"/>
                          <w:jc w:val="center"/>
                        </w:pPr>
                        <w:r>
                          <w:rPr>
                            <w:rFonts w:hint="eastAsia" w:ascii="Times New Roman" w:hAnsi="Times New Roman"/>
                            <w:color w:val="000000"/>
                            <w:sz w:val="21"/>
                            <w:szCs w:val="21"/>
                          </w:rPr>
                          <w:t>75.8</w:t>
                        </w:r>
                        <w:r>
                          <w:rPr>
                            <w:rFonts w:ascii="Times New Roman" w:hAnsi="Times New Roman"/>
                            <w:color w:val="000000"/>
                            <w:sz w:val="21"/>
                            <w:szCs w:val="21"/>
                          </w:rPr>
                          <w:t>万m</w:t>
                        </w:r>
                        <w:r>
                          <w:rPr>
                            <w:rFonts w:ascii="Times New Roman" w:hAnsi="Times New Roman"/>
                            <w:color w:val="000000"/>
                            <w:position w:val="6"/>
                            <w:sz w:val="21"/>
                            <w:szCs w:val="21"/>
                            <w:vertAlign w:val="superscript"/>
                          </w:rPr>
                          <w:t>3</w:t>
                        </w:r>
                      </w:p>
                    </w:txbxContent>
                  </v:textbox>
                </v:rect>
                <v:shape id="_x0000_s1026" o:spid="_x0000_s1026" o:spt="32" type="#_x0000_t32" style="position:absolute;left:3082843;top:556237;height:0;width:788808;" filled="f" stroked="t" coordsize="21600,21600" o:gfxdata="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">
                  <v:fill on="f" focussize="0,0"/>
                  <v:stroke weight="1.5pt" color="#000000 [3213]" miterlimit="8" joinstyle="miter" endarrow="open"/>
                  <v:imagedata o:title=""/>
                  <o:lock v:ext="edit" aspectratio="f"/>
                </v:shape>
                <v:rect id="_x0000_s1026" o:spid="_x0000_s1026" o:spt="1" style="position:absolute;left:3871651;top:246674;height:619126;width:730649;v-text-anchor:middle;" fillcolor="#FFFFFF [3212]" filled="t" stroked="t" coordsize="21600,21600" o:gfxdata="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">
                  <v:fill on="t" focussize="0,0"/>
                  <v:stroke weight="1.5pt" color="#000000 [3213]" miterlimit="8" joinstyle="miter"/>
                  <v:imagedata o:title=""/>
                  <o:lock v:ext="edit" aspectratio="f"/>
                  <v:textbox>
                    <w:txbxContent>
                      <w:p>
                        <w:pPr>
                          <w:pStyle w:val="81"/>
                          <w:snapToGrid w:val="0"/>
                          <w:spacing w:before="0" w:beforeAutospacing="0" w:after="0" w:afterAutospacing="0"/>
                          <w:jc w:val="center"/>
                          <w:rPr>
                            <w:rFonts w:ascii="Times New Roman" w:hAnsi="Times New Roman"/>
                            <w:color w:val="000000" w:themeColor="text1"/>
                            <w:sz w:val="21"/>
                            <w:szCs w:val="21"/>
                            <w14:textFill>
                              <w14:solidFill>
                                <w14:schemeClr w14:val="tx1"/>
                              </w14:solidFill>
                            </w14:textFill>
                          </w:rPr>
                        </w:pPr>
                        <w:r>
                          <w:rPr>
                            <w:rFonts w:hint="eastAsia" w:ascii="Times New Roman" w:hAnsi="Times New Roman"/>
                            <w:color w:val="000000" w:themeColor="text1"/>
                            <w:sz w:val="21"/>
                            <w:szCs w:val="21"/>
                            <w14:textFill>
                              <w14:solidFill>
                                <w14:schemeClr w14:val="tx1"/>
                              </w14:solidFill>
                            </w14:textFill>
                          </w:rPr>
                          <w:t>疏浚物</w:t>
                        </w:r>
                      </w:p>
                      <w:p>
                        <w:pPr>
                          <w:pStyle w:val="81"/>
                          <w:snapToGrid w:val="0"/>
                          <w:spacing w:before="0" w:beforeAutospacing="0" w:after="0" w:afterAutospacing="0"/>
                          <w:jc w:val="center"/>
                          <w:rPr>
                            <w:rFonts w:ascii="Times New Roman" w:hAnsi="Times New Roman"/>
                            <w:color w:val="000000" w:themeColor="text1"/>
                            <w:sz w:val="21"/>
                            <w:szCs w:val="21"/>
                            <w14:textFill>
                              <w14:solidFill>
                                <w14:schemeClr w14:val="tx1"/>
                              </w14:solidFill>
                            </w14:textFill>
                          </w:rPr>
                        </w:pPr>
                        <w:r>
                          <w:rPr>
                            <w:rFonts w:hint="eastAsia" w:ascii="Times New Roman" w:hAnsi="Times New Roman"/>
                            <w:color w:val="000000" w:themeColor="text1"/>
                            <w:sz w:val="21"/>
                            <w:szCs w:val="21"/>
                            <w14:textFill>
                              <w14:solidFill>
                                <w14:schemeClr w14:val="tx1"/>
                              </w14:solidFill>
                            </w14:textFill>
                          </w:rPr>
                          <w:t>回填</w:t>
                        </w:r>
                      </w:p>
                    </w:txbxContent>
                  </v:textbox>
                </v:rect>
                <v:line id="_x0000_s1026" o:spid="_x0000_s1026" o:spt="20" style="position:absolute;left:3697466;top:1556363;height:771525;width:2734;" filled="f" stroked="t" coordsize="21600,21600" o:gfxdata="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">
                  <v:fill on="f" focussize="0,0"/>
                  <v:stroke weight="1.5pt" color="#000000 [3213]" miterlimit="8" joinstyle="miter"/>
                  <v:imagedata o:title=""/>
                  <o:lock v:ext="edit" aspectratio="f"/>
                </v:line>
                <v:shape id="_x0000_s1026" o:spid="_x0000_s1026" o:spt="32" type="#_x0000_t32" style="position:absolute;left:3697466;top:1927838;height:0;width:788807;" filled="f" stroked="t" coordsize="21600,21600" o:gfxdata="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">
                  <v:fill on="f" focussize="0,0"/>
                  <v:stroke weight="1.5pt" color="#000000 [3213]" miterlimit="8" joinstyle="miter" endarrow="open"/>
                  <v:imagedata o:title=""/>
                  <o:lock v:ext="edit" aspectratio="f"/>
                </v:shape>
                <v:rect id="_x0000_s1026" o:spid="_x0000_s1026" o:spt="1" style="position:absolute;left:4486273;top:1599225;height:619125;width:715851;v-text-anchor:middle;" fillcolor="#FFFFFF [3212]" filled="t" stroked="t" coordsize="21600,21600" o:gfxdata="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">
                  <v:fill on="t" focussize="0,0"/>
                  <v:stroke weight="1.5pt" color="#000000 [3213]" miterlimit="8" joinstyle="miter"/>
                  <v:imagedata o:title=""/>
                  <o:lock v:ext="edit" aspectratio="f"/>
                  <v:textbox>
                    <w:txbxContent>
                      <w:p>
                        <w:pPr>
                          <w:pStyle w:val="81"/>
                          <w:snapToGrid w:val="0"/>
                          <w:spacing w:before="0" w:beforeAutospacing="0" w:after="0" w:afterAutospacing="0"/>
                          <w:jc w:val="center"/>
                          <w:rPr>
                            <w:rFonts w:ascii="Times New Roman" w:hAnsi="Times New Roman"/>
                            <w:color w:val="000000"/>
                            <w:sz w:val="21"/>
                            <w:szCs w:val="21"/>
                          </w:rPr>
                        </w:pPr>
                        <w:r>
                          <w:rPr>
                            <w:rFonts w:hint="eastAsia" w:ascii="Times New Roman" w:hAnsi="Times New Roman"/>
                            <w:color w:val="000000"/>
                            <w:sz w:val="21"/>
                            <w:szCs w:val="21"/>
                          </w:rPr>
                          <w:t>临时性海洋倾倒</w:t>
                        </w:r>
                      </w:p>
                      <w:p>
                        <w:pPr>
                          <w:pStyle w:val="81"/>
                          <w:snapToGrid w:val="0"/>
                          <w:spacing w:before="0" w:beforeAutospacing="0" w:after="0" w:afterAutospacing="0"/>
                          <w:jc w:val="center"/>
                        </w:pPr>
                        <w:r>
                          <w:rPr>
                            <w:rFonts w:hint="eastAsia" w:ascii="Times New Roman" w:hAnsi="Times New Roman"/>
                            <w:color w:val="000000"/>
                            <w:sz w:val="21"/>
                            <w:szCs w:val="21"/>
                          </w:rPr>
                          <w:t>B区</w:t>
                        </w:r>
                      </w:p>
                    </w:txbxContent>
                  </v:textbox>
                </v:rect>
                <v:rect id="_x0000_s1026" o:spid="_x0000_s1026" o:spt="1" style="position:absolute;left:3018266;top:265725;height:485775;width:853384;v-text-anchor:middle;" filled="f" stroked="f" coordsize="21600,21600" o:gfxdata="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">
                  <v:fill on="f" focussize="0,0"/>
                  <v:stroke on="f" weight="1pt" miterlimit="8" joinstyle="miter"/>
                  <v:imagedata o:title=""/>
                  <o:lock v:ext="edit" aspectratio="f"/>
                  <v:textbox>
                    <w:txbxContent>
                      <w:p>
                        <w:pPr>
                          <w:pStyle w:val="81"/>
                          <w:spacing w:before="0" w:beforeAutospacing="0" w:after="0" w:afterAutospacing="0"/>
                          <w:jc w:val="center"/>
                        </w:pPr>
                        <w:r>
                          <w:rPr>
                            <w:rFonts w:hint="eastAsia" w:ascii="Times New Roman" w:hAnsi="Times New Roman"/>
                            <w:color w:val="000000"/>
                            <w:sz w:val="21"/>
                            <w:szCs w:val="21"/>
                          </w:rPr>
                          <w:t>81.3</w:t>
                        </w:r>
                        <w:r>
                          <w:rPr>
                            <w:rFonts w:ascii="Times New Roman" w:hAnsi="Times New Roman"/>
                            <w:color w:val="000000"/>
                            <w:sz w:val="21"/>
                            <w:szCs w:val="21"/>
                          </w:rPr>
                          <w:t>万m</w:t>
                        </w:r>
                        <w:r>
                          <w:rPr>
                            <w:rFonts w:ascii="Times New Roman" w:hAnsi="Times New Roman"/>
                            <w:color w:val="000000"/>
                            <w:position w:val="6"/>
                            <w:sz w:val="21"/>
                            <w:szCs w:val="21"/>
                            <w:vertAlign w:val="superscript"/>
                          </w:rPr>
                          <w:t>3</w:t>
                        </w:r>
                      </w:p>
                      <w:p>
                        <w:pPr>
                          <w:jc w:val="center"/>
                        </w:pPr>
                      </w:p>
                    </w:txbxContent>
                  </v:textbox>
                </v:rect>
                <v:rect id="_x0000_s1026" o:spid="_x0000_s1026" o:spt="1" style="position:absolute;left:3576375;top:1612538;height:519113;width:1010284;v-text-anchor:middle;" filled="f" stroked="f" coordsize="21600,21600" o:gfxdata="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">
                  <v:fill on="f" focussize="0,0"/>
                  <v:stroke on="f" weight="1pt" miterlimit="8" joinstyle="miter"/>
                  <v:imagedata o:title=""/>
                  <o:lock v:ext="edit" aspectratio="f"/>
                  <v:textbox>
                    <w:txbxContent>
                      <w:p>
                        <w:pPr>
                          <w:pStyle w:val="81"/>
                          <w:spacing w:before="0" w:beforeAutospacing="0" w:after="0" w:afterAutospacing="0"/>
                          <w:jc w:val="center"/>
                        </w:pPr>
                        <w:r>
                          <w:rPr>
                            <w:rFonts w:hint="eastAsia" w:ascii="Times New Roman" w:hAnsi="Times New Roman"/>
                            <w:color w:val="000000"/>
                            <w:sz w:val="21"/>
                            <w:szCs w:val="21"/>
                          </w:rPr>
                          <w:t>123.4</w:t>
                        </w:r>
                        <w:r>
                          <w:rPr>
                            <w:rFonts w:ascii="Times New Roman" w:hAnsi="Times New Roman"/>
                            <w:color w:val="000000"/>
                            <w:sz w:val="21"/>
                            <w:szCs w:val="21"/>
                          </w:rPr>
                          <w:t>万m</w:t>
                        </w:r>
                        <w:r>
                          <w:rPr>
                            <w:rFonts w:ascii="Times New Roman" w:hAnsi="Times New Roman"/>
                            <w:color w:val="000000"/>
                            <w:position w:val="6"/>
                            <w:sz w:val="21"/>
                            <w:szCs w:val="21"/>
                            <w:vertAlign w:val="superscript"/>
                          </w:rPr>
                          <w:t>3</w:t>
                        </w:r>
                      </w:p>
                      <w:p>
                        <w:pPr>
                          <w:jc w:val="center"/>
                        </w:pPr>
                      </w:p>
                    </w:txbxContent>
                  </v:textbox>
                </v:rect>
                <w10:wrap type="none"/>
                <w10:anchorlock/>
              </v:group>
            </w:pict>
          </mc:Fallback>
        </mc:AlternateContent>
      </w:r>
    </w:p>
    <w:p>
      <w:pPr>
        <w:pStyle w:val="553"/>
        <w:rPr>
          <w:color w:val="000000" w:themeColor="text1"/>
          <w14:textFill>
            <w14:solidFill>
              <w14:schemeClr w14:val="tx1"/>
            </w14:solidFill>
          </w14:textFill>
        </w:rPr>
      </w:pPr>
      <w:r>
        <w:rPr>
          <w:color w:val="000000" w:themeColor="text1"/>
          <w14:textFill>
            <w14:solidFill>
              <w14:schemeClr w14:val="tx1"/>
            </w14:solidFill>
          </w14:textFill>
        </w:rPr>
        <w:t>项目施工期疏浚工程土石方平衡流向图</w:t>
      </w:r>
    </w:p>
    <w:p>
      <w:pPr>
        <w:pStyle w:val="283"/>
        <w:ind w:firstLine="462"/>
        <w:rPr>
          <w:color w:val="000000" w:themeColor="text1"/>
          <w14:textFill>
            <w14:solidFill>
              <w14:schemeClr w14:val="tx1"/>
            </w14:solidFill>
          </w14:textFill>
        </w:rPr>
      </w:pPr>
      <w:r>
        <w:rPr>
          <w:rFonts w:hint="eastAsia"/>
          <w:color w:val="000000" w:themeColor="text1"/>
          <w14:textFill>
            <w14:solidFill>
              <w14:schemeClr w14:val="tx1"/>
            </w14:solidFill>
          </w14:textFill>
        </w:rPr>
        <w:t>3、</w:t>
      </w:r>
      <w:r>
        <w:rPr>
          <w:color w:val="000000" w:themeColor="text1"/>
          <w14:textFill>
            <w14:solidFill>
              <w14:schemeClr w14:val="tx1"/>
            </w14:solidFill>
          </w14:textFill>
        </w:rPr>
        <w:t>陆域</w:t>
      </w:r>
      <w:r>
        <w:rPr>
          <w:rFonts w:hint="eastAsia"/>
          <w:color w:val="000000" w:themeColor="text1"/>
          <w14:textFill>
            <w14:solidFill>
              <w14:schemeClr w14:val="tx1"/>
            </w14:solidFill>
          </w14:textFill>
        </w:rPr>
        <w:t>施工生产</w:t>
      </w:r>
      <w:r>
        <w:rPr>
          <w:color w:val="000000" w:themeColor="text1"/>
          <w14:textFill>
            <w14:solidFill>
              <w14:schemeClr w14:val="tx1"/>
            </w14:solidFill>
          </w14:textFill>
        </w:rPr>
        <w:t>生活垃圾</w:t>
      </w:r>
    </w:p>
    <w:p>
      <w:pPr>
        <w:pStyle w:val="283"/>
        <w:ind w:firstLine="462"/>
        <w:rPr>
          <w:color w:val="000000" w:themeColor="text1"/>
          <w14:textFill>
            <w14:solidFill>
              <w14:schemeClr w14:val="tx1"/>
            </w14:solidFill>
          </w14:textFill>
        </w:rPr>
      </w:pPr>
      <w:bookmarkStart w:id="120" w:name="_Hlk35607198"/>
      <w:r>
        <w:rPr>
          <w:color w:val="000000" w:themeColor="text1"/>
          <w14:textFill>
            <w14:solidFill>
              <w14:schemeClr w14:val="tx1"/>
            </w14:solidFill>
          </w14:textFill>
        </w:rPr>
        <w:t>本工程除水上施工外，还包括附属构筑物建设和水工建筑的辅助施工等，</w:t>
      </w:r>
      <w:bookmarkEnd w:id="120"/>
      <w:r>
        <w:rPr>
          <w:color w:val="000000" w:themeColor="text1"/>
          <w14:textFill>
            <w14:solidFill>
              <w14:schemeClr w14:val="tx1"/>
            </w14:solidFill>
          </w14:textFill>
        </w:rPr>
        <w:t>建筑材料均可得到有效利用，因此仅有少量的建筑垃圾产生。</w:t>
      </w:r>
    </w:p>
    <w:p>
      <w:pPr>
        <w:pStyle w:val="283"/>
        <w:ind w:firstLine="462"/>
        <w:rPr>
          <w:color w:val="000000" w:themeColor="text1"/>
          <w:lang w:val="zh-CN"/>
          <w14:textFill>
            <w14:solidFill>
              <w14:schemeClr w14:val="tx1"/>
            </w14:solidFill>
          </w14:textFill>
        </w:rPr>
      </w:pPr>
      <w:r>
        <w:rPr>
          <w:rFonts w:hint="eastAsia"/>
          <w:color w:val="000000" w:themeColor="text1"/>
          <w14:textFill>
            <w14:solidFill>
              <w14:schemeClr w14:val="tx1"/>
            </w14:solidFill>
          </w14:textFill>
        </w:rPr>
        <w:t>本项目</w:t>
      </w:r>
      <w:r>
        <w:rPr>
          <w:color w:val="000000" w:themeColor="text1"/>
          <w14:textFill>
            <w14:solidFill>
              <w14:schemeClr w14:val="tx1"/>
            </w14:solidFill>
          </w14:textFill>
        </w:rPr>
        <w:t>周边临近村庄，不设置施工营地，施工期无生活垃圾。</w:t>
      </w:r>
    </w:p>
    <w:p>
      <w:pPr>
        <w:pStyle w:val="6"/>
        <w:rPr>
          <w:color w:val="000000" w:themeColor="text1"/>
          <w14:textFill>
            <w14:solidFill>
              <w14:schemeClr w14:val="tx1"/>
            </w14:solidFill>
          </w14:textFill>
        </w:rPr>
      </w:pPr>
      <w:r>
        <w:rPr>
          <w:color w:val="000000" w:themeColor="text1"/>
          <w14:textFill>
            <w14:solidFill>
              <w14:schemeClr w14:val="tx1"/>
            </w14:solidFill>
          </w14:textFill>
        </w:rPr>
        <w:t>生态环境</w:t>
      </w:r>
    </w:p>
    <w:p>
      <w:pPr>
        <w:pStyle w:val="283"/>
        <w:ind w:firstLine="462"/>
        <w:rPr>
          <w:color w:val="000000" w:themeColor="text1"/>
          <w14:textFill>
            <w14:solidFill>
              <w14:schemeClr w14:val="tx1"/>
            </w14:solidFill>
          </w14:textFill>
        </w:rPr>
      </w:pPr>
      <w:r>
        <w:rPr>
          <w:rFonts w:hint="eastAsia"/>
          <w:color w:val="000000" w:themeColor="text1"/>
          <w14:textFill>
            <w14:solidFill>
              <w14:schemeClr w14:val="tx1"/>
            </w14:solidFill>
          </w14:textFill>
        </w:rPr>
        <w:t>项目水工结构建设及疏浚炸礁工程，紧邻码头陆域，且周边现有泊位已进行船舶靠泊及货物装卸作业，所在区域生态结构简单，项目施工产生的生态环境影响主要为水工结构永久占用海域、基槽开挖、疏浚物回填造成悬浮物泥沙骤增以及炸礁冲击波对底栖生物、游泳生物、鱼类等生物的影响；随着施工期结束，生态影响可逐步缓慢恢复。</w:t>
      </w:r>
    </w:p>
    <w:bookmarkEnd w:id="103"/>
    <w:bookmarkEnd w:id="104"/>
    <w:bookmarkEnd w:id="105"/>
    <w:bookmarkEnd w:id="106"/>
    <w:bookmarkEnd w:id="107"/>
    <w:p>
      <w:pPr>
        <w:pStyle w:val="5"/>
        <w:rPr>
          <w:color w:val="000000" w:themeColor="text1"/>
          <w14:textFill>
            <w14:solidFill>
              <w14:schemeClr w14:val="tx1"/>
            </w14:solidFill>
          </w14:textFill>
        </w:rPr>
      </w:pPr>
      <w:r>
        <w:rPr>
          <w:color w:val="000000" w:themeColor="text1"/>
          <w14:textFill>
            <w14:solidFill>
              <w14:schemeClr w14:val="tx1"/>
            </w14:solidFill>
          </w14:textFill>
        </w:rPr>
        <w:t>运营期</w:t>
      </w:r>
    </w:p>
    <w:p>
      <w:pPr>
        <w:pStyle w:val="283"/>
        <w:ind w:firstLine="462"/>
        <w:rPr>
          <w:color w:val="000000" w:themeColor="text1"/>
          <w14:textFill>
            <w14:solidFill>
              <w14:schemeClr w14:val="tx1"/>
            </w14:solidFill>
          </w14:textFill>
        </w:rPr>
      </w:pPr>
      <w:r>
        <w:rPr>
          <w:rFonts w:hint="eastAsia"/>
          <w:color w:val="000000" w:themeColor="text1"/>
          <w14:textFill>
            <w14:solidFill>
              <w14:schemeClr w14:val="tx1"/>
            </w14:solidFill>
          </w14:textFill>
        </w:rPr>
        <w:t>本次扩建港区新增劳动定员41人，扩建后劳动定员为233人；扩建后9号10号泊位由2个10万吨级集装箱泊位变动至2个20万吨级集装箱泊位；年吞吐量新增40万TEU，原有9号10号泊位22号堆场本次扩建新增2台双小车岸桥，扩建工程新增1条集装箱堆场，配备2台双悬臂轨道吊，水平运输新增14台IGV小车。码头装卸工艺与现有工程一致，较现有工程9号10号泊位污染物排放变化情况不大。项目运营期主要产排污情况如下：</w:t>
      </w:r>
    </w:p>
    <w:p>
      <w:pPr>
        <w:pStyle w:val="6"/>
        <w:rPr>
          <w:color w:val="000000" w:themeColor="text1"/>
          <w14:textFill>
            <w14:solidFill>
              <w14:schemeClr w14:val="tx1"/>
            </w14:solidFill>
          </w14:textFill>
        </w:rPr>
      </w:pPr>
      <w:r>
        <w:rPr>
          <w:color w:val="000000" w:themeColor="text1"/>
          <w14:textFill>
            <w14:solidFill>
              <w14:schemeClr w14:val="tx1"/>
            </w14:solidFill>
          </w14:textFill>
        </w:rPr>
        <w:t>水环境污染源</w:t>
      </w:r>
    </w:p>
    <w:p>
      <w:pPr>
        <w:pStyle w:val="283"/>
        <w:ind w:firstLine="462"/>
        <w:rPr>
          <w:snapToGrid w:val="0"/>
          <w:color w:val="000000" w:themeColor="text1"/>
          <w14:textFill>
            <w14:solidFill>
              <w14:schemeClr w14:val="tx1"/>
            </w14:solidFill>
          </w14:textFill>
        </w:rPr>
      </w:pPr>
      <w:r>
        <w:rPr>
          <w:rFonts w:hint="eastAsia"/>
          <w:snapToGrid w:val="0"/>
          <w:color w:val="000000" w:themeColor="text1"/>
          <w14:textFill>
            <w14:solidFill>
              <w14:schemeClr w14:val="tx1"/>
            </w14:solidFill>
          </w14:textFill>
        </w:rPr>
        <w:t>本项目</w:t>
      </w:r>
      <w:r>
        <w:rPr>
          <w:snapToGrid w:val="0"/>
          <w:color w:val="000000" w:themeColor="text1"/>
          <w14:textFill>
            <w14:solidFill>
              <w14:schemeClr w14:val="tx1"/>
            </w14:solidFill>
          </w14:textFill>
        </w:rPr>
        <w:t>运营时仅提供集装箱的存放和转运业务</w:t>
      </w:r>
      <w:r>
        <w:rPr>
          <w:rFonts w:hint="eastAsia"/>
          <w:snapToGrid w:val="0"/>
          <w:color w:val="000000" w:themeColor="text1"/>
          <w14:textFill>
            <w14:solidFill>
              <w14:schemeClr w14:val="tx1"/>
            </w14:solidFill>
          </w14:textFill>
        </w:rPr>
        <w:t>，</w:t>
      </w:r>
      <w:r>
        <w:rPr>
          <w:snapToGrid w:val="0"/>
          <w:color w:val="000000" w:themeColor="text1"/>
          <w14:textFill>
            <w14:solidFill>
              <w14:schemeClr w14:val="tx1"/>
            </w14:solidFill>
          </w14:textFill>
        </w:rPr>
        <w:t>无开箱业务</w:t>
      </w:r>
      <w:r>
        <w:rPr>
          <w:rFonts w:hint="eastAsia"/>
          <w:snapToGrid w:val="0"/>
          <w:color w:val="000000" w:themeColor="text1"/>
          <w14:textFill>
            <w14:solidFill>
              <w14:schemeClr w14:val="tx1"/>
            </w14:solidFill>
          </w14:textFill>
        </w:rPr>
        <w:t>，</w:t>
      </w:r>
      <w:r>
        <w:rPr>
          <w:snapToGrid w:val="0"/>
          <w:color w:val="000000" w:themeColor="text1"/>
          <w14:textFill>
            <w14:solidFill>
              <w14:schemeClr w14:val="tx1"/>
            </w14:solidFill>
          </w14:textFill>
        </w:rPr>
        <w:t>无洗箱作业工艺</w:t>
      </w:r>
      <w:r>
        <w:rPr>
          <w:rFonts w:hint="eastAsia"/>
          <w:snapToGrid w:val="0"/>
          <w:color w:val="000000" w:themeColor="text1"/>
          <w14:textFill>
            <w14:solidFill>
              <w14:schemeClr w14:val="tx1"/>
            </w14:solidFill>
          </w14:textFill>
        </w:rPr>
        <w:t>，</w:t>
      </w:r>
      <w:r>
        <w:rPr>
          <w:snapToGrid w:val="0"/>
          <w:color w:val="000000" w:themeColor="text1"/>
          <w14:textFill>
            <w14:solidFill>
              <w14:schemeClr w14:val="tx1"/>
            </w14:solidFill>
          </w14:textFill>
        </w:rPr>
        <w:t>因此无洗箱废水产生</w:t>
      </w:r>
      <w:r>
        <w:rPr>
          <w:rFonts w:hint="eastAsia"/>
          <w:snapToGrid w:val="0"/>
          <w:color w:val="000000" w:themeColor="text1"/>
          <w14:textFill>
            <w14:solidFill>
              <w14:schemeClr w14:val="tx1"/>
            </w14:solidFill>
          </w14:textFill>
        </w:rPr>
        <w:t>。水环境污染源主要为到港船舶污水、陆域生活污水等。</w:t>
      </w:r>
      <w:r>
        <w:rPr>
          <w:color w:val="000000" w:themeColor="text1"/>
          <w14:textFill>
            <w14:solidFill>
              <w14:schemeClr w14:val="tx1"/>
            </w14:solidFill>
          </w14:textFill>
        </w:rPr>
        <w:t>项目扩建后最大吨级设计船型由</w:t>
      </w:r>
      <w:r>
        <w:rPr>
          <w:rFonts w:hint="eastAsia"/>
          <w:color w:val="000000" w:themeColor="text1"/>
          <w14:textFill>
            <w14:solidFill>
              <w14:schemeClr w14:val="tx1"/>
            </w14:solidFill>
          </w14:textFill>
        </w:rPr>
        <w:t>10万吨级提升至20万吨级，</w:t>
      </w:r>
      <w:r>
        <w:rPr>
          <w:color w:val="000000" w:themeColor="text1"/>
          <w14:textFill>
            <w14:solidFill>
              <w14:schemeClr w14:val="tx1"/>
            </w14:solidFill>
          </w14:textFill>
        </w:rPr>
        <w:t>运营期</w:t>
      </w:r>
      <w:r>
        <w:rPr>
          <w:rFonts w:hint="eastAsia"/>
          <w:color w:val="000000" w:themeColor="text1"/>
          <w14:textFill>
            <w14:solidFill>
              <w14:schemeClr w14:val="tx1"/>
            </w14:solidFill>
          </w14:textFill>
        </w:rPr>
        <w:t>9号10号泊位总</w:t>
      </w:r>
      <w:r>
        <w:rPr>
          <w:color w:val="000000" w:themeColor="text1"/>
          <w14:textFill>
            <w14:solidFill>
              <w14:schemeClr w14:val="tx1"/>
            </w14:solidFill>
          </w14:textFill>
        </w:rPr>
        <w:t>吞吐量</w:t>
      </w:r>
      <w:r>
        <w:rPr>
          <w:rFonts w:hint="eastAsia"/>
          <w:color w:val="000000" w:themeColor="text1"/>
          <w14:textFill>
            <w14:solidFill>
              <w14:schemeClr w14:val="tx1"/>
            </w14:solidFill>
          </w14:textFill>
        </w:rPr>
        <w:t>200</w:t>
      </w:r>
      <w:r>
        <w:rPr>
          <w:color w:val="000000" w:themeColor="text1"/>
          <w14:textFill>
            <w14:solidFill>
              <w14:schemeClr w14:val="tx1"/>
            </w14:solidFill>
          </w14:textFill>
        </w:rPr>
        <w:t>万</w:t>
      </w:r>
      <w:r>
        <w:rPr>
          <w:rFonts w:hint="eastAsia"/>
          <w:color w:val="000000" w:themeColor="text1"/>
          <w14:textFill>
            <w14:solidFill>
              <w14:schemeClr w14:val="tx1"/>
            </w14:solidFill>
          </w14:textFill>
        </w:rPr>
        <w:t>TEU</w:t>
      </w:r>
      <w:r>
        <w:rPr>
          <w:color w:val="000000" w:themeColor="text1"/>
          <w14:textFill>
            <w14:solidFill>
              <w14:schemeClr w14:val="tx1"/>
            </w14:solidFill>
          </w14:textFill>
        </w:rPr>
        <w:t>，泊位年作业天数按</w:t>
      </w:r>
      <w:r>
        <w:rPr>
          <w:rFonts w:hint="eastAsia"/>
          <w:color w:val="000000" w:themeColor="text1"/>
          <w14:textFill>
            <w14:solidFill>
              <w14:schemeClr w14:val="tx1"/>
            </w14:solidFill>
          </w14:textFill>
        </w:rPr>
        <w:t>330天</w:t>
      </w:r>
      <w:r>
        <w:rPr>
          <w:color w:val="000000" w:themeColor="text1"/>
          <w14:textFill>
            <w14:solidFill>
              <w14:schemeClr w14:val="tx1"/>
            </w14:solidFill>
          </w14:textFill>
        </w:rPr>
        <w:t>，评价按泊位最大吨级设计船型（</w:t>
      </w:r>
      <w:r>
        <w:rPr>
          <w:rFonts w:hint="eastAsia"/>
          <w:color w:val="000000" w:themeColor="text1"/>
          <w14:textFill>
            <w14:solidFill>
              <w14:schemeClr w14:val="tx1"/>
            </w14:solidFill>
          </w14:textFill>
        </w:rPr>
        <w:t>20万吨级集装箱船</w:t>
      </w:r>
      <w:r>
        <w:rPr>
          <w:color w:val="000000" w:themeColor="text1"/>
          <w14:textFill>
            <w14:solidFill>
              <w14:schemeClr w14:val="tx1"/>
            </w14:solidFill>
          </w14:textFill>
        </w:rPr>
        <w:t>），扩建后新增到港船舶约</w:t>
      </w:r>
      <w:r>
        <w:rPr>
          <w:rFonts w:hint="eastAsia"/>
          <w:color w:val="000000" w:themeColor="text1"/>
          <w14:textFill>
            <w14:solidFill>
              <w14:schemeClr w14:val="tx1"/>
            </w14:solidFill>
          </w14:textFill>
        </w:rPr>
        <w:t>50艘，</w:t>
      </w:r>
      <w:r>
        <w:rPr>
          <w:color w:val="000000" w:themeColor="text1"/>
          <w14:textFill>
            <w14:solidFill>
              <w14:schemeClr w14:val="tx1"/>
            </w14:solidFill>
          </w14:textFill>
        </w:rPr>
        <w:t>工程全年到港船舶数量约</w:t>
      </w:r>
      <w:r>
        <w:rPr>
          <w:rFonts w:hint="eastAsia"/>
          <w:color w:val="000000" w:themeColor="text1"/>
          <w14:textFill>
            <w14:solidFill>
              <w14:schemeClr w14:val="tx1"/>
            </w14:solidFill>
          </w14:textFill>
        </w:rPr>
        <w:t>330</w:t>
      </w:r>
      <w:r>
        <w:rPr>
          <w:color w:val="000000" w:themeColor="text1"/>
          <w14:textFill>
            <w14:solidFill>
              <w14:schemeClr w14:val="tx1"/>
            </w14:solidFill>
          </w14:textFill>
        </w:rPr>
        <w:t>艘次</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设计代表船型平均在港停留时间</w:t>
      </w:r>
      <w:r>
        <w:rPr>
          <w:rFonts w:hint="eastAsia"/>
          <w:color w:val="000000" w:themeColor="text1"/>
          <w14:textFill>
            <w14:solidFill>
              <w14:schemeClr w14:val="tx1"/>
            </w14:solidFill>
          </w14:textFill>
        </w:rPr>
        <w:t>2</w:t>
      </w:r>
      <w:r>
        <w:rPr>
          <w:color w:val="000000" w:themeColor="text1"/>
          <w14:textFill>
            <w14:solidFill>
              <w14:schemeClr w14:val="tx1"/>
            </w14:solidFill>
          </w14:textFill>
        </w:rPr>
        <w:t>天</w:t>
      </w:r>
      <w:r>
        <w:rPr>
          <w:rFonts w:hint="eastAsia"/>
          <w:color w:val="000000" w:themeColor="text1"/>
          <w14:textFill>
            <w14:solidFill>
              <w14:schemeClr w14:val="tx1"/>
            </w14:solidFill>
          </w14:textFill>
        </w:rPr>
        <w:t>。</w:t>
      </w:r>
    </w:p>
    <w:p>
      <w:pPr>
        <w:pStyle w:val="283"/>
        <w:ind w:firstLine="462"/>
        <w:rPr>
          <w:color w:val="000000" w:themeColor="text1"/>
          <w14:textFill>
            <w14:solidFill>
              <w14:schemeClr w14:val="tx1"/>
            </w14:solidFill>
          </w14:textFill>
        </w:rPr>
      </w:pPr>
      <w:r>
        <w:rPr>
          <w:rFonts w:hint="eastAsia"/>
          <w:color w:val="000000" w:themeColor="text1"/>
          <w14:textFill>
            <w14:solidFill>
              <w14:schemeClr w14:val="tx1"/>
            </w14:solidFill>
          </w14:textFill>
        </w:rPr>
        <w:t>1、</w:t>
      </w:r>
      <w:r>
        <w:rPr>
          <w:color w:val="000000" w:themeColor="text1"/>
          <w14:textFill>
            <w14:solidFill>
              <w14:schemeClr w14:val="tx1"/>
            </w14:solidFill>
          </w14:textFill>
        </w:rPr>
        <w:t>到港船舶污水</w:t>
      </w:r>
    </w:p>
    <w:p>
      <w:pPr>
        <w:pStyle w:val="283"/>
        <w:ind w:firstLine="462"/>
        <w:rPr>
          <w:color w:val="000000" w:themeColor="text1"/>
          <w14:textFill>
            <w14:solidFill>
              <w14:schemeClr w14:val="tx1"/>
            </w14:solidFill>
          </w14:textFill>
        </w:rPr>
      </w:pPr>
      <w:r>
        <w:rPr>
          <w:color w:val="000000" w:themeColor="text1"/>
          <w14:textFill>
            <w14:solidFill>
              <w14:schemeClr w14:val="tx1"/>
            </w14:solidFill>
          </w14:textFill>
        </w:rPr>
        <w:t>根据</w:t>
      </w:r>
      <w:r>
        <w:rPr>
          <w:rFonts w:hint="eastAsia"/>
          <w:color w:val="000000" w:themeColor="text1"/>
          <w14:textFill>
            <w14:solidFill>
              <w14:schemeClr w14:val="tx1"/>
            </w14:solidFill>
          </w14:textFill>
        </w:rPr>
        <w:t>本项目码头吞吐量和设计船型，本次扩建后新增港船舶约50艘，在港停留时间约2d，根据《中华人民共和国船舶最低安全配员规则》，到港船舶船员按30人计，</w:t>
      </w:r>
      <w:r>
        <w:rPr>
          <w:color w:val="000000" w:themeColor="text1"/>
          <w14:textFill>
            <w14:solidFill>
              <w14:schemeClr w14:val="tx1"/>
            </w14:solidFill>
          </w14:textFill>
        </w:rPr>
        <w:t>生活污水产生系数</w:t>
      </w:r>
      <w:r>
        <w:rPr>
          <w:rFonts w:hint="eastAsia"/>
          <w:color w:val="000000" w:themeColor="text1"/>
          <w14:textFill>
            <w14:solidFill>
              <w14:schemeClr w14:val="tx1"/>
            </w14:solidFill>
          </w14:textFill>
        </w:rPr>
        <w:t>0.8，污水产生量按</w:t>
      </w:r>
      <w:r>
        <w:rPr>
          <w:color w:val="000000" w:themeColor="text1"/>
          <w14:textFill>
            <w14:solidFill>
              <w14:schemeClr w14:val="tx1"/>
            </w14:solidFill>
          </w14:textFill>
        </w:rPr>
        <w:t>0.15m</w:t>
      </w:r>
      <w:r>
        <w:rPr>
          <w:color w:val="000000" w:themeColor="text1"/>
          <w:vertAlign w:val="superscript"/>
          <w14:textFill>
            <w14:solidFill>
              <w14:schemeClr w14:val="tx1"/>
            </w14:solidFill>
          </w14:textFill>
        </w:rPr>
        <w:t>3</w:t>
      </w:r>
      <w:r>
        <w:rPr>
          <w:color w:val="000000" w:themeColor="text1"/>
          <w14:textFill>
            <w14:solidFill>
              <w14:schemeClr w14:val="tx1"/>
            </w14:solidFill>
          </w14:textFill>
        </w:rPr>
        <w:t>/人•d估算，则船舶生活污水产生量约为</w:t>
      </w:r>
      <w:r>
        <w:rPr>
          <w:rFonts w:hint="eastAsia"/>
          <w:color w:val="000000" w:themeColor="text1"/>
          <w14:textFill>
            <w14:solidFill>
              <w14:schemeClr w14:val="tx1"/>
            </w14:solidFill>
          </w14:textFill>
        </w:rPr>
        <w:t>4.50</w:t>
      </w:r>
      <w:r>
        <w:rPr>
          <w:color w:val="000000" w:themeColor="text1"/>
          <w14:textFill>
            <w14:solidFill>
              <w14:schemeClr w14:val="tx1"/>
            </w14:solidFill>
          </w14:textFill>
        </w:rPr>
        <w:t>m</w:t>
      </w:r>
      <w:r>
        <w:rPr>
          <w:color w:val="000000" w:themeColor="text1"/>
          <w:vertAlign w:val="superscript"/>
          <w14:textFill>
            <w14:solidFill>
              <w14:schemeClr w14:val="tx1"/>
            </w14:solidFill>
          </w14:textFill>
        </w:rPr>
        <w:t>3</w:t>
      </w:r>
      <w:r>
        <w:rPr>
          <w:color w:val="000000" w:themeColor="text1"/>
          <w14:textFill>
            <w14:solidFill>
              <w14:schemeClr w14:val="tx1"/>
            </w14:solidFill>
          </w14:textFill>
        </w:rPr>
        <w:t>/d，全年为</w:t>
      </w:r>
      <w:r>
        <w:rPr>
          <w:rFonts w:hint="eastAsia"/>
          <w:color w:val="000000" w:themeColor="text1"/>
          <w14:textFill>
            <w14:solidFill>
              <w14:schemeClr w14:val="tx1"/>
            </w14:solidFill>
          </w14:textFill>
        </w:rPr>
        <w:t>1485</w:t>
      </w:r>
      <w:r>
        <w:rPr>
          <w:color w:val="000000" w:themeColor="text1"/>
          <w14:textFill>
            <w14:solidFill>
              <w14:schemeClr w14:val="tx1"/>
            </w14:solidFill>
          </w14:textFill>
        </w:rPr>
        <w:t>m</w:t>
      </w:r>
      <w:r>
        <w:rPr>
          <w:color w:val="000000" w:themeColor="text1"/>
          <w:vertAlign w:val="superscript"/>
          <w14:textFill>
            <w14:solidFill>
              <w14:schemeClr w14:val="tx1"/>
            </w14:solidFill>
          </w14:textFill>
        </w:rPr>
        <w:t>3</w:t>
      </w:r>
      <w:r>
        <w:rPr>
          <w:color w:val="000000" w:themeColor="text1"/>
          <w14:textFill>
            <w14:solidFill>
              <w14:schemeClr w14:val="tx1"/>
            </w14:solidFill>
          </w14:textFill>
        </w:rPr>
        <w:t>/a</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到港船舶生活污水中主要污染因子为COD、BOD</w:t>
      </w:r>
      <w:r>
        <w:rPr>
          <w:color w:val="000000" w:themeColor="text1"/>
          <w:vertAlign w:val="subscript"/>
          <w14:textFill>
            <w14:solidFill>
              <w14:schemeClr w14:val="tx1"/>
            </w14:solidFill>
          </w14:textFill>
        </w:rPr>
        <w:t>5</w:t>
      </w:r>
      <w:r>
        <w:rPr>
          <w:color w:val="000000" w:themeColor="text1"/>
          <w14:textFill>
            <w14:solidFill>
              <w14:schemeClr w14:val="tx1"/>
            </w14:solidFill>
          </w14:textFill>
        </w:rPr>
        <w:t>和NH</w:t>
      </w:r>
      <w:r>
        <w:rPr>
          <w:color w:val="000000" w:themeColor="text1"/>
          <w:vertAlign w:val="subscript"/>
          <w14:textFill>
            <w14:solidFill>
              <w14:schemeClr w14:val="tx1"/>
            </w14:solidFill>
          </w14:textFill>
        </w:rPr>
        <w:t>3</w:t>
      </w:r>
      <w:r>
        <w:rPr>
          <w:color w:val="000000" w:themeColor="text1"/>
          <w14:textFill>
            <w14:solidFill>
              <w14:schemeClr w14:val="tx1"/>
            </w14:solidFill>
          </w14:textFill>
        </w:rPr>
        <w:t>-N，根据同类项目类比分析，其浓度分别达到300mg/L、200mg/L和35mg/L</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COD、BOD</w:t>
      </w:r>
      <w:r>
        <w:rPr>
          <w:color w:val="000000" w:themeColor="text1"/>
          <w:vertAlign w:val="subscript"/>
          <w14:textFill>
            <w14:solidFill>
              <w14:schemeClr w14:val="tx1"/>
            </w14:solidFill>
          </w14:textFill>
        </w:rPr>
        <w:t>5</w:t>
      </w:r>
      <w:r>
        <w:rPr>
          <w:color w:val="000000" w:themeColor="text1"/>
          <w14:textFill>
            <w14:solidFill>
              <w14:schemeClr w14:val="tx1"/>
            </w14:solidFill>
          </w14:textFill>
        </w:rPr>
        <w:t>和NH</w:t>
      </w:r>
      <w:r>
        <w:rPr>
          <w:color w:val="000000" w:themeColor="text1"/>
          <w:vertAlign w:val="subscript"/>
          <w14:textFill>
            <w14:solidFill>
              <w14:schemeClr w14:val="tx1"/>
            </w14:solidFill>
          </w14:textFill>
        </w:rPr>
        <w:t>3</w:t>
      </w:r>
      <w:r>
        <w:rPr>
          <w:color w:val="000000" w:themeColor="text1"/>
          <w14:textFill>
            <w14:solidFill>
              <w14:schemeClr w14:val="tx1"/>
            </w14:solidFill>
          </w14:textFill>
        </w:rPr>
        <w:t>-N产生量分别为</w:t>
      </w:r>
      <w:r>
        <w:rPr>
          <w:rFonts w:hint="eastAsia"/>
          <w:color w:val="000000" w:themeColor="text1"/>
          <w14:textFill>
            <w14:solidFill>
              <w14:schemeClr w14:val="tx1"/>
            </w14:solidFill>
          </w14:textFill>
        </w:rPr>
        <w:t>445</w:t>
      </w:r>
      <w:r>
        <w:rPr>
          <w:color w:val="000000" w:themeColor="text1"/>
          <w14:textFill>
            <w14:solidFill>
              <w14:schemeClr w14:val="tx1"/>
            </w14:solidFill>
          </w14:textFill>
        </w:rPr>
        <w:t>kg/a、</w:t>
      </w:r>
      <w:r>
        <w:rPr>
          <w:rFonts w:hint="eastAsia"/>
          <w:color w:val="000000" w:themeColor="text1"/>
          <w14:textFill>
            <w14:solidFill>
              <w14:schemeClr w14:val="tx1"/>
            </w14:solidFill>
          </w14:textFill>
        </w:rPr>
        <w:t>296</w:t>
      </w:r>
      <w:r>
        <w:rPr>
          <w:color w:val="000000" w:themeColor="text1"/>
          <w14:textFill>
            <w14:solidFill>
              <w14:schemeClr w14:val="tx1"/>
            </w14:solidFill>
          </w14:textFill>
        </w:rPr>
        <w:t>kg/a和</w:t>
      </w:r>
      <w:r>
        <w:rPr>
          <w:rFonts w:hint="eastAsia"/>
          <w:color w:val="000000" w:themeColor="text1"/>
          <w14:textFill>
            <w14:solidFill>
              <w14:schemeClr w14:val="tx1"/>
            </w14:solidFill>
          </w14:textFill>
        </w:rPr>
        <w:t>51.8</w:t>
      </w:r>
      <w:r>
        <w:rPr>
          <w:color w:val="000000" w:themeColor="text1"/>
          <w14:textFill>
            <w14:solidFill>
              <w14:schemeClr w14:val="tx1"/>
            </w14:solidFill>
          </w14:textFill>
        </w:rPr>
        <w:t>t/a。</w:t>
      </w:r>
    </w:p>
    <w:p>
      <w:pPr>
        <w:pStyle w:val="283"/>
        <w:ind w:firstLine="462"/>
        <w:rPr>
          <w:color w:val="000000" w:themeColor="text1"/>
          <w14:textFill>
            <w14:solidFill>
              <w14:schemeClr w14:val="tx1"/>
            </w14:solidFill>
          </w14:textFill>
        </w:rPr>
      </w:pPr>
      <w:r>
        <w:rPr>
          <w:rFonts w:hint="eastAsia"/>
          <w:color w:val="000000" w:themeColor="text1"/>
          <w14:textFill>
            <w14:solidFill>
              <w14:schemeClr w14:val="tx1"/>
            </w14:solidFill>
          </w14:textFill>
        </w:rPr>
        <w:t>本项目到港船舶污水由具有接收资质单位接收转运</w:t>
      </w:r>
      <w:r>
        <w:rPr>
          <w:color w:val="000000" w:themeColor="text1"/>
          <w14:textFill>
            <w14:solidFill>
              <w14:schemeClr w14:val="tx1"/>
            </w14:solidFill>
          </w14:textFill>
        </w:rPr>
        <w:t>。</w:t>
      </w:r>
    </w:p>
    <w:p>
      <w:pPr>
        <w:pStyle w:val="283"/>
        <w:ind w:firstLine="462"/>
        <w:rPr>
          <w:color w:val="000000" w:themeColor="text1"/>
          <w14:textFill>
            <w14:solidFill>
              <w14:schemeClr w14:val="tx1"/>
            </w14:solidFill>
          </w14:textFill>
        </w:rPr>
      </w:pPr>
      <w:r>
        <w:rPr>
          <w:rFonts w:hint="eastAsia"/>
          <w:color w:val="000000" w:themeColor="text1"/>
          <w14:textFill>
            <w14:solidFill>
              <w14:schemeClr w14:val="tx1"/>
            </w14:solidFill>
          </w14:textFill>
        </w:rPr>
        <w:t>2</w:t>
      </w:r>
      <w:r>
        <w:rPr>
          <w:color w:val="000000" w:themeColor="text1"/>
          <w14:textFill>
            <w14:solidFill>
              <w14:schemeClr w14:val="tx1"/>
            </w14:solidFill>
          </w14:textFill>
        </w:rPr>
        <w:t>、陆域生活污水</w:t>
      </w:r>
    </w:p>
    <w:p>
      <w:pPr>
        <w:pStyle w:val="283"/>
        <w:ind w:firstLine="462"/>
        <w:rPr>
          <w:color w:val="000000" w:themeColor="text1"/>
          <w14:textFill>
            <w14:solidFill>
              <w14:schemeClr w14:val="tx1"/>
            </w14:solidFill>
          </w14:textFill>
        </w:rPr>
      </w:pPr>
      <w:r>
        <w:rPr>
          <w:color w:val="000000" w:themeColor="text1"/>
          <w14:textFill>
            <w14:solidFill>
              <w14:schemeClr w14:val="tx1"/>
            </w14:solidFill>
          </w14:textFill>
        </w:rPr>
        <w:t>本</w:t>
      </w:r>
      <w:r>
        <w:rPr>
          <w:rFonts w:hint="eastAsia"/>
          <w:color w:val="000000" w:themeColor="text1"/>
          <w14:textFill>
            <w14:solidFill>
              <w14:schemeClr w14:val="tx1"/>
            </w14:solidFill>
          </w14:textFill>
        </w:rPr>
        <w:t>次</w:t>
      </w:r>
      <w:r>
        <w:rPr>
          <w:color w:val="000000" w:themeColor="text1"/>
          <w14:textFill>
            <w14:solidFill>
              <w14:schemeClr w14:val="tx1"/>
            </w14:solidFill>
          </w14:textFill>
        </w:rPr>
        <w:t>扩建后</w:t>
      </w:r>
      <w:r>
        <w:rPr>
          <w:rFonts w:hint="eastAsia"/>
          <w:color w:val="000000" w:themeColor="text1"/>
          <w14:textFill>
            <w14:solidFill>
              <w14:schemeClr w14:val="tx1"/>
            </w14:solidFill>
          </w14:textFill>
        </w:rPr>
        <w:t>港区新增定员41人，按人均用水量40</w:t>
      </w:r>
      <w:r>
        <w:rPr>
          <w:color w:val="000000" w:themeColor="text1"/>
          <w14:textFill>
            <w14:solidFill>
              <w14:schemeClr w14:val="tx1"/>
            </w14:solidFill>
          </w14:textFill>
        </w:rPr>
        <w:t>L/</w:t>
      </w:r>
      <w:r>
        <w:rPr>
          <w:rFonts w:hint="eastAsia"/>
          <w:color w:val="000000" w:themeColor="text1"/>
          <w14:textFill>
            <w14:solidFill>
              <w14:schemeClr w14:val="tx1"/>
            </w14:solidFill>
          </w14:textFill>
        </w:rPr>
        <w:t>人</w:t>
      </w:r>
      <w:r>
        <w:rPr>
          <w:color w:val="000000" w:themeColor="text1"/>
          <w14:textFill>
            <w14:solidFill>
              <w14:schemeClr w14:val="tx1"/>
            </w14:solidFill>
          </w14:textFill>
        </w:rPr>
        <w:t>·d</w:t>
      </w:r>
      <w:r>
        <w:rPr>
          <w:rFonts w:hint="eastAsia"/>
          <w:color w:val="000000" w:themeColor="text1"/>
          <w14:textFill>
            <w14:solidFill>
              <w14:schemeClr w14:val="tx1"/>
            </w14:solidFill>
          </w14:textFill>
        </w:rPr>
        <w:t>估算，生活污水产生量按用水量的80%，则陆域生活污水排放量约1.31m</w:t>
      </w:r>
      <w:r>
        <w:rPr>
          <w:rFonts w:hint="eastAsia"/>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/d，年生活污水排放量为432.3t/a，港区生活污水产生量见表2.4-6。生活污水经收集后泵送至</w:t>
      </w:r>
      <w:r>
        <w:rPr>
          <w:color w:val="000000" w:themeColor="text1"/>
          <w14:textFill>
            <w14:solidFill>
              <w14:schemeClr w14:val="tx1"/>
            </w14:solidFill>
          </w14:textFill>
        </w:rPr>
        <w:t>7</w:t>
      </w:r>
      <w:r>
        <w:rPr>
          <w:rFonts w:hint="eastAsia"/>
          <w:color w:val="000000" w:themeColor="text1"/>
          <w14:textFill>
            <w14:solidFill>
              <w14:schemeClr w14:val="tx1"/>
            </w14:solidFill>
          </w14:textFill>
        </w:rPr>
        <w:t>号</w:t>
      </w:r>
      <w:r>
        <w:rPr>
          <w:color w:val="000000" w:themeColor="text1"/>
          <w14:textFill>
            <w14:solidFill>
              <w14:schemeClr w14:val="tx1"/>
            </w14:solidFill>
          </w14:textFill>
        </w:rPr>
        <w:t>8</w:t>
      </w:r>
      <w:r>
        <w:rPr>
          <w:rFonts w:hint="eastAsia"/>
          <w:color w:val="000000" w:themeColor="text1"/>
          <w14:textFill>
            <w14:solidFill>
              <w14:schemeClr w14:val="tx1"/>
            </w14:solidFill>
          </w14:textFill>
        </w:rPr>
        <w:t>号泊位的生活污水处理站处理达到《污水排入城镇下水道水质标准》（GB/T31962-2015）B级标准后，进入大榄坪污水处理厂。</w:t>
      </w:r>
    </w:p>
    <w:p>
      <w:pPr>
        <w:pStyle w:val="384"/>
        <w:ind w:left="0" w:firstLine="0"/>
        <w:rPr>
          <w:rFonts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运营期生活污水产生情况表</w:t>
      </w:r>
    </w:p>
    <w:tbl>
      <w:tblPr>
        <w:tblStyle w:val="88"/>
        <w:tblW w:w="8528" w:type="dxa"/>
        <w:jc w:val="center"/>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663"/>
        <w:gridCol w:w="595"/>
        <w:gridCol w:w="666"/>
        <w:gridCol w:w="710"/>
        <w:gridCol w:w="1055"/>
        <w:gridCol w:w="883"/>
        <w:gridCol w:w="3956"/>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201" w:hRule="atLeast"/>
          <w:jc w:val="center"/>
        </w:trPr>
        <w:tc>
          <w:tcPr>
            <w:tcW w:w="663" w:type="dxa"/>
            <w:vMerge w:val="restart"/>
            <w:vAlign w:val="center"/>
          </w:tcPr>
          <w:p>
            <w:pPr>
              <w:pStyle w:val="3472"/>
              <w:wordWrap/>
              <w:rPr>
                <w:color w:val="000000" w:themeColor="text1"/>
                <w14:textFill>
                  <w14:solidFill>
                    <w14:schemeClr w14:val="tx1"/>
                  </w14:solidFill>
                </w14:textFill>
              </w:rPr>
            </w:pPr>
            <w:r>
              <w:rPr>
                <w:rFonts w:hint="eastAsia"/>
                <w:color w:val="000000" w:themeColor="text1"/>
                <w14:textFill>
                  <w14:solidFill>
                    <w14:schemeClr w14:val="tx1"/>
                  </w14:solidFill>
                </w14:textFill>
              </w:rPr>
              <w:t>污染类别</w:t>
            </w:r>
          </w:p>
        </w:tc>
        <w:tc>
          <w:tcPr>
            <w:tcW w:w="1261" w:type="dxa"/>
            <w:gridSpan w:val="2"/>
            <w:vMerge w:val="restart"/>
            <w:vAlign w:val="center"/>
          </w:tcPr>
          <w:p>
            <w:pPr>
              <w:pStyle w:val="3472"/>
              <w:wordWrap/>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产生量</w:t>
            </w:r>
          </w:p>
        </w:tc>
        <w:tc>
          <w:tcPr>
            <w:tcW w:w="710" w:type="dxa"/>
            <w:vMerge w:val="restart"/>
            <w:vAlign w:val="center"/>
          </w:tcPr>
          <w:p>
            <w:pPr>
              <w:pStyle w:val="3472"/>
              <w:wordWrap/>
              <w:rPr>
                <w:color w:val="000000" w:themeColor="text1"/>
                <w:szCs w:val="21"/>
                <w14:textFill>
                  <w14:solidFill>
                    <w14:schemeClr w14:val="tx1"/>
                  </w14:solidFill>
                </w14:textFill>
              </w:rPr>
            </w:pPr>
            <w:r>
              <w:rPr>
                <w:color w:val="000000" w:themeColor="text1"/>
                <w:szCs w:val="21"/>
                <w14:textFill>
                  <w14:solidFill>
                    <w14:schemeClr w14:val="tx1"/>
                  </w14:solidFill>
                </w14:textFill>
              </w:rPr>
              <w:t>污染因子</w:t>
            </w:r>
          </w:p>
        </w:tc>
        <w:tc>
          <w:tcPr>
            <w:tcW w:w="1938" w:type="dxa"/>
            <w:gridSpan w:val="2"/>
            <w:vAlign w:val="center"/>
          </w:tcPr>
          <w:p>
            <w:pPr>
              <w:pStyle w:val="3472"/>
              <w:wordWrap/>
              <w:rPr>
                <w:bCs/>
                <w:color w:val="000000" w:themeColor="text1"/>
                <w14:textFill>
                  <w14:solidFill>
                    <w14:schemeClr w14:val="tx1"/>
                  </w14:solidFill>
                </w14:textFill>
              </w:rPr>
            </w:pPr>
            <w:r>
              <w:rPr>
                <w:rFonts w:hint="eastAsia"/>
                <w:bCs/>
                <w:color w:val="000000" w:themeColor="text1"/>
                <w14:textFill>
                  <w14:solidFill>
                    <w14:schemeClr w14:val="tx1"/>
                  </w14:solidFill>
                </w14:textFill>
              </w:rPr>
              <w:t>排放情况</w:t>
            </w:r>
          </w:p>
        </w:tc>
        <w:tc>
          <w:tcPr>
            <w:tcW w:w="3956" w:type="dxa"/>
            <w:vMerge w:val="restart"/>
            <w:vAlign w:val="center"/>
          </w:tcPr>
          <w:p>
            <w:pPr>
              <w:pStyle w:val="3472"/>
              <w:wordWrap/>
              <w:rPr>
                <w:bCs/>
                <w:color w:val="000000" w:themeColor="text1"/>
                <w14:textFill>
                  <w14:solidFill>
                    <w14:schemeClr w14:val="tx1"/>
                  </w14:solidFill>
                </w14:textFill>
              </w:rPr>
            </w:pPr>
            <w:r>
              <w:rPr>
                <w:rFonts w:hint="eastAsia"/>
                <w:bCs/>
                <w:color w:val="000000" w:themeColor="text1"/>
                <w14:textFill>
                  <w14:solidFill>
                    <w14:schemeClr w14:val="tx1"/>
                  </w14:solidFill>
                </w14:textFill>
              </w:rPr>
              <w:t>处理措施及去向</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34" w:hRule="atLeast"/>
          <w:jc w:val="center"/>
        </w:trPr>
        <w:tc>
          <w:tcPr>
            <w:tcW w:w="663" w:type="dxa"/>
            <w:vMerge w:val="continue"/>
            <w:vAlign w:val="center"/>
          </w:tcPr>
          <w:p>
            <w:pPr>
              <w:pStyle w:val="3472"/>
              <w:wordWrap/>
              <w:rPr>
                <w:color w:val="000000" w:themeColor="text1"/>
                <w14:textFill>
                  <w14:solidFill>
                    <w14:schemeClr w14:val="tx1"/>
                  </w14:solidFill>
                </w14:textFill>
              </w:rPr>
            </w:pPr>
          </w:p>
        </w:tc>
        <w:tc>
          <w:tcPr>
            <w:tcW w:w="1261" w:type="dxa"/>
            <w:gridSpan w:val="2"/>
            <w:vMerge w:val="continue"/>
            <w:vAlign w:val="center"/>
          </w:tcPr>
          <w:p>
            <w:pPr>
              <w:pStyle w:val="3472"/>
              <w:wordWrap/>
              <w:rPr>
                <w:color w:val="000000" w:themeColor="text1"/>
                <w:szCs w:val="21"/>
                <w14:textFill>
                  <w14:solidFill>
                    <w14:schemeClr w14:val="tx1"/>
                  </w14:solidFill>
                </w14:textFill>
              </w:rPr>
            </w:pPr>
          </w:p>
        </w:tc>
        <w:tc>
          <w:tcPr>
            <w:tcW w:w="710" w:type="dxa"/>
            <w:vMerge w:val="continue"/>
            <w:vAlign w:val="center"/>
          </w:tcPr>
          <w:p>
            <w:pPr>
              <w:pStyle w:val="3472"/>
              <w:wordWrap/>
              <w:rPr>
                <w:color w:val="000000" w:themeColor="text1"/>
                <w:szCs w:val="21"/>
                <w14:textFill>
                  <w14:solidFill>
                    <w14:schemeClr w14:val="tx1"/>
                  </w14:solidFill>
                </w14:textFill>
              </w:rPr>
            </w:pPr>
          </w:p>
        </w:tc>
        <w:tc>
          <w:tcPr>
            <w:tcW w:w="1055" w:type="dxa"/>
            <w:vAlign w:val="center"/>
          </w:tcPr>
          <w:p>
            <w:pPr>
              <w:widowControl/>
              <w:snapToGrid w:val="0"/>
              <w:jc w:val="center"/>
              <w:rPr>
                <w:color w:val="000000" w:themeColor="text1"/>
                <w:sz w:val="21"/>
                <w14:textFill>
                  <w14:solidFill>
                    <w14:schemeClr w14:val="tx1"/>
                  </w14:solidFill>
                </w14:textFill>
              </w:rPr>
            </w:pPr>
            <w:r>
              <w:rPr>
                <w:color w:val="000000" w:themeColor="text1"/>
                <w:sz w:val="21"/>
                <w14:textFill>
                  <w14:solidFill>
                    <w14:schemeClr w14:val="tx1"/>
                  </w14:solidFill>
                </w14:textFill>
              </w:rPr>
              <w:t>排放浓度（</w:t>
            </w:r>
            <w:r>
              <w:rPr>
                <w:color w:val="000000" w:themeColor="text1"/>
                <w:kern w:val="0"/>
                <w:sz w:val="21"/>
                <w:szCs w:val="21"/>
                <w14:textFill>
                  <w14:solidFill>
                    <w14:schemeClr w14:val="tx1"/>
                  </w14:solidFill>
                </w14:textFill>
              </w:rPr>
              <w:t>mg/L</w:t>
            </w:r>
            <w:r>
              <w:rPr>
                <w:color w:val="000000" w:themeColor="text1"/>
                <w:sz w:val="21"/>
                <w14:textFill>
                  <w14:solidFill>
                    <w14:schemeClr w14:val="tx1"/>
                  </w14:solidFill>
                </w14:textFill>
              </w:rPr>
              <w:t>）</w:t>
            </w:r>
          </w:p>
        </w:tc>
        <w:tc>
          <w:tcPr>
            <w:tcW w:w="883" w:type="dxa"/>
            <w:vAlign w:val="center"/>
          </w:tcPr>
          <w:p>
            <w:pPr>
              <w:pStyle w:val="3472"/>
              <w:wordWrap/>
              <w:rPr>
                <w:bCs/>
                <w:color w:val="000000" w:themeColor="text1"/>
                <w14:textFill>
                  <w14:solidFill>
                    <w14:schemeClr w14:val="tx1"/>
                  </w14:solidFill>
                </w14:textFill>
              </w:rPr>
            </w:pPr>
            <w:r>
              <w:rPr>
                <w:rFonts w:hint="eastAsia"/>
                <w:bCs/>
                <w:color w:val="000000" w:themeColor="text1"/>
                <w14:textFill>
                  <w14:solidFill>
                    <w14:schemeClr w14:val="tx1"/>
                  </w14:solidFill>
                </w14:textFill>
              </w:rPr>
              <w:t>排放量（t/a）</w:t>
            </w:r>
          </w:p>
        </w:tc>
        <w:tc>
          <w:tcPr>
            <w:tcW w:w="3956" w:type="dxa"/>
            <w:vMerge w:val="continue"/>
            <w:vAlign w:val="center"/>
          </w:tcPr>
          <w:p>
            <w:pPr>
              <w:pStyle w:val="3472"/>
              <w:wordWrap/>
              <w:rPr>
                <w:bCs/>
                <w:color w:val="000000" w:themeColor="text1"/>
                <w14:textFill>
                  <w14:solidFill>
                    <w14:schemeClr w14:val="tx1"/>
                  </w14:solidFill>
                </w14:textFill>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516" w:hRule="atLeast"/>
          <w:jc w:val="center"/>
        </w:trPr>
        <w:tc>
          <w:tcPr>
            <w:tcW w:w="663" w:type="dxa"/>
            <w:vMerge w:val="restart"/>
            <w:vAlign w:val="center"/>
          </w:tcPr>
          <w:p>
            <w:pPr>
              <w:pStyle w:val="3472"/>
              <w:wordWrap/>
              <w:rPr>
                <w:color w:val="000000" w:themeColor="text1"/>
                <w14:textFill>
                  <w14:solidFill>
                    <w14:schemeClr w14:val="tx1"/>
                  </w14:solidFill>
                </w14:textFill>
              </w:rPr>
            </w:pPr>
            <w:r>
              <w:rPr>
                <w:rFonts w:hint="eastAsia"/>
                <w:color w:val="000000" w:themeColor="text1"/>
                <w14:textFill>
                  <w14:solidFill>
                    <w14:schemeClr w14:val="tx1"/>
                  </w14:solidFill>
                </w14:textFill>
              </w:rPr>
              <w:t>港区生活污水</w:t>
            </w:r>
          </w:p>
        </w:tc>
        <w:tc>
          <w:tcPr>
            <w:tcW w:w="595" w:type="dxa"/>
            <w:vMerge w:val="restart"/>
            <w:vAlign w:val="center"/>
          </w:tcPr>
          <w:p>
            <w:pPr>
              <w:pStyle w:val="3472"/>
              <w:wordWrap/>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1.31</w:t>
            </w:r>
          </w:p>
          <w:p>
            <w:pPr>
              <w:pStyle w:val="3472"/>
              <w:wordWrap/>
              <w:rPr>
                <w:color w:val="000000" w:themeColor="text1"/>
                <w:szCs w:val="21"/>
                <w14:textFill>
                  <w14:solidFill>
                    <w14:schemeClr w14:val="tx1"/>
                  </w14:solidFill>
                </w14:textFill>
              </w:rPr>
            </w:pPr>
            <w:r>
              <w:rPr>
                <w:color w:val="000000" w:themeColor="text1"/>
                <w:szCs w:val="21"/>
                <w14:textFill>
                  <w14:solidFill>
                    <w14:schemeClr w14:val="tx1"/>
                  </w14:solidFill>
                </w14:textFill>
              </w:rPr>
              <w:t>m</w:t>
            </w:r>
            <w:r>
              <w:rPr>
                <w:color w:val="000000" w:themeColor="text1"/>
                <w:szCs w:val="21"/>
                <w:vertAlign w:val="superscript"/>
                <w14:textFill>
                  <w14:solidFill>
                    <w14:schemeClr w14:val="tx1"/>
                  </w14:solidFill>
                </w14:textFill>
              </w:rPr>
              <w:t>3</w:t>
            </w:r>
            <w:r>
              <w:rPr>
                <w:color w:val="000000" w:themeColor="text1"/>
                <w:szCs w:val="21"/>
                <w14:textFill>
                  <w14:solidFill>
                    <w14:schemeClr w14:val="tx1"/>
                  </w14:solidFill>
                </w14:textFill>
              </w:rPr>
              <w:t>/d</w:t>
            </w:r>
          </w:p>
        </w:tc>
        <w:tc>
          <w:tcPr>
            <w:tcW w:w="666" w:type="dxa"/>
            <w:vMerge w:val="restart"/>
            <w:vAlign w:val="center"/>
          </w:tcPr>
          <w:p>
            <w:pPr>
              <w:pStyle w:val="3472"/>
              <w:wordWrap/>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432.3</w:t>
            </w:r>
          </w:p>
          <w:p>
            <w:pPr>
              <w:pStyle w:val="3472"/>
              <w:wordWrap/>
              <w:rPr>
                <w:color w:val="000000" w:themeColor="text1"/>
                <w:szCs w:val="21"/>
                <w14:textFill>
                  <w14:solidFill>
                    <w14:schemeClr w14:val="tx1"/>
                  </w14:solidFill>
                </w14:textFill>
              </w:rPr>
            </w:pPr>
            <w:r>
              <w:rPr>
                <w:color w:val="000000" w:themeColor="text1"/>
                <w:szCs w:val="21"/>
                <w14:textFill>
                  <w14:solidFill>
                    <w14:schemeClr w14:val="tx1"/>
                  </w14:solidFill>
                </w14:textFill>
              </w:rPr>
              <w:t>t/a</w:t>
            </w:r>
          </w:p>
        </w:tc>
        <w:tc>
          <w:tcPr>
            <w:tcW w:w="710" w:type="dxa"/>
            <w:vAlign w:val="center"/>
          </w:tcPr>
          <w:p>
            <w:pPr>
              <w:pStyle w:val="3472"/>
              <w:wordWrap/>
              <w:rPr>
                <w:color w:val="000000" w:themeColor="text1"/>
                <w:szCs w:val="21"/>
                <w14:textFill>
                  <w14:solidFill>
                    <w14:schemeClr w14:val="tx1"/>
                  </w14:solidFill>
                </w14:textFill>
              </w:rPr>
            </w:pPr>
            <w:r>
              <w:rPr>
                <w:color w:val="000000" w:themeColor="text1"/>
                <w:szCs w:val="21"/>
                <w14:textFill>
                  <w14:solidFill>
                    <w14:schemeClr w14:val="tx1"/>
                  </w14:solidFill>
                </w14:textFill>
              </w:rPr>
              <w:t>COD</w:t>
            </w:r>
          </w:p>
        </w:tc>
        <w:tc>
          <w:tcPr>
            <w:tcW w:w="1055" w:type="dxa"/>
            <w:vAlign w:val="center"/>
          </w:tcPr>
          <w:p>
            <w:pPr>
              <w:widowControl/>
              <w:snapToGrid w:val="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500</w:t>
            </w:r>
          </w:p>
        </w:tc>
        <w:tc>
          <w:tcPr>
            <w:tcW w:w="883" w:type="dxa"/>
            <w:vAlign w:val="center"/>
          </w:tcPr>
          <w:p>
            <w:pPr>
              <w:pStyle w:val="3472"/>
              <w:wordWrap/>
              <w:rPr>
                <w:bCs/>
                <w:color w:val="000000" w:themeColor="text1"/>
                <w14:textFill>
                  <w14:solidFill>
                    <w14:schemeClr w14:val="tx1"/>
                  </w14:solidFill>
                </w14:textFill>
              </w:rPr>
            </w:pPr>
            <w:r>
              <w:rPr>
                <w:rFonts w:hint="eastAsia"/>
                <w:bCs/>
                <w:color w:val="000000" w:themeColor="text1"/>
                <w14:textFill>
                  <w14:solidFill>
                    <w14:schemeClr w14:val="tx1"/>
                  </w14:solidFill>
                </w14:textFill>
              </w:rPr>
              <w:t>0.22</w:t>
            </w:r>
          </w:p>
        </w:tc>
        <w:tc>
          <w:tcPr>
            <w:tcW w:w="3956" w:type="dxa"/>
            <w:vMerge w:val="restart"/>
            <w:vAlign w:val="center"/>
          </w:tcPr>
          <w:p>
            <w:pPr>
              <w:pStyle w:val="3472"/>
              <w:wordWrap/>
              <w:rPr>
                <w:color w:val="000000" w:themeColor="text1"/>
                <w14:textFill>
                  <w14:solidFill>
                    <w14:schemeClr w14:val="tx1"/>
                  </w14:solidFill>
                </w14:textFill>
              </w:rPr>
            </w:pPr>
            <w:r>
              <w:rPr>
                <w:rFonts w:hint="eastAsia"/>
                <w:bCs/>
                <w:color w:val="000000" w:themeColor="text1"/>
                <w14:textFill>
                  <w14:solidFill>
                    <w14:schemeClr w14:val="tx1"/>
                  </w14:solidFill>
                </w14:textFill>
              </w:rPr>
              <w:t>生活污水经生活污水处理站处理，达到《污水排入城镇下水道水质标准》（GB/T31962-2015）B级标准，进入大榄坪污水处理厂</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522" w:hRule="atLeast"/>
          <w:jc w:val="center"/>
        </w:trPr>
        <w:tc>
          <w:tcPr>
            <w:tcW w:w="663" w:type="dxa"/>
            <w:vMerge w:val="continue"/>
            <w:vAlign w:val="center"/>
          </w:tcPr>
          <w:p>
            <w:pPr>
              <w:widowControl/>
              <w:rPr>
                <w:color w:val="000000" w:themeColor="text1"/>
                <w:kern w:val="0"/>
                <w:sz w:val="21"/>
                <w14:textFill>
                  <w14:solidFill>
                    <w14:schemeClr w14:val="tx1"/>
                  </w14:solidFill>
                </w14:textFill>
              </w:rPr>
            </w:pPr>
          </w:p>
        </w:tc>
        <w:tc>
          <w:tcPr>
            <w:tcW w:w="595" w:type="dxa"/>
            <w:vMerge w:val="continue"/>
            <w:vAlign w:val="center"/>
          </w:tcPr>
          <w:p>
            <w:pPr>
              <w:widowControl/>
              <w:rPr>
                <w:color w:val="000000" w:themeColor="text1"/>
                <w:kern w:val="0"/>
                <w:sz w:val="21"/>
                <w:szCs w:val="21"/>
                <w14:textFill>
                  <w14:solidFill>
                    <w14:schemeClr w14:val="tx1"/>
                  </w14:solidFill>
                </w14:textFill>
              </w:rPr>
            </w:pPr>
          </w:p>
        </w:tc>
        <w:tc>
          <w:tcPr>
            <w:tcW w:w="666" w:type="dxa"/>
            <w:vMerge w:val="continue"/>
            <w:vAlign w:val="center"/>
          </w:tcPr>
          <w:p>
            <w:pPr>
              <w:widowControl/>
              <w:rPr>
                <w:color w:val="000000" w:themeColor="text1"/>
                <w:kern w:val="0"/>
                <w:sz w:val="21"/>
                <w:szCs w:val="21"/>
                <w14:textFill>
                  <w14:solidFill>
                    <w14:schemeClr w14:val="tx1"/>
                  </w14:solidFill>
                </w14:textFill>
              </w:rPr>
            </w:pPr>
          </w:p>
        </w:tc>
        <w:tc>
          <w:tcPr>
            <w:tcW w:w="710" w:type="dxa"/>
            <w:vAlign w:val="center"/>
          </w:tcPr>
          <w:p>
            <w:pPr>
              <w:pStyle w:val="3472"/>
              <w:wordWrap/>
              <w:rPr>
                <w:color w:val="000000" w:themeColor="text1"/>
                <w:szCs w:val="21"/>
                <w14:textFill>
                  <w14:solidFill>
                    <w14:schemeClr w14:val="tx1"/>
                  </w14:solidFill>
                </w14:textFill>
              </w:rPr>
            </w:pPr>
            <w:r>
              <w:rPr>
                <w:color w:val="000000" w:themeColor="text1"/>
                <w:szCs w:val="21"/>
                <w14:textFill>
                  <w14:solidFill>
                    <w14:schemeClr w14:val="tx1"/>
                  </w14:solidFill>
                </w14:textFill>
              </w:rPr>
              <w:t>BOD</w:t>
            </w:r>
            <w:r>
              <w:rPr>
                <w:color w:val="000000" w:themeColor="text1"/>
                <w:szCs w:val="21"/>
                <w:vertAlign w:val="subscript"/>
                <w14:textFill>
                  <w14:solidFill>
                    <w14:schemeClr w14:val="tx1"/>
                  </w14:solidFill>
                </w14:textFill>
              </w:rPr>
              <w:t>5</w:t>
            </w:r>
          </w:p>
        </w:tc>
        <w:tc>
          <w:tcPr>
            <w:tcW w:w="1055" w:type="dxa"/>
            <w:vAlign w:val="center"/>
          </w:tcPr>
          <w:p>
            <w:pPr>
              <w:pStyle w:val="3472"/>
              <w:wordWrap/>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350</w:t>
            </w:r>
          </w:p>
        </w:tc>
        <w:tc>
          <w:tcPr>
            <w:tcW w:w="883" w:type="dxa"/>
            <w:vAlign w:val="center"/>
          </w:tcPr>
          <w:p>
            <w:pPr>
              <w:widowControl/>
              <w:jc w:val="center"/>
              <w:rPr>
                <w:color w:val="000000" w:themeColor="text1"/>
                <w:kern w:val="0"/>
                <w:sz w:val="21"/>
                <w14:textFill>
                  <w14:solidFill>
                    <w14:schemeClr w14:val="tx1"/>
                  </w14:solidFill>
                </w14:textFill>
              </w:rPr>
            </w:pPr>
            <w:r>
              <w:rPr>
                <w:rFonts w:hint="eastAsia"/>
                <w:color w:val="000000" w:themeColor="text1"/>
                <w:kern w:val="0"/>
                <w:sz w:val="21"/>
                <w14:textFill>
                  <w14:solidFill>
                    <w14:schemeClr w14:val="tx1"/>
                  </w14:solidFill>
                </w14:textFill>
              </w:rPr>
              <w:t>0.14</w:t>
            </w:r>
          </w:p>
        </w:tc>
        <w:tc>
          <w:tcPr>
            <w:tcW w:w="3956" w:type="dxa"/>
            <w:vMerge w:val="continue"/>
            <w:vAlign w:val="center"/>
          </w:tcPr>
          <w:p>
            <w:pPr>
              <w:widowControl/>
              <w:rPr>
                <w:color w:val="000000" w:themeColor="text1"/>
                <w:kern w:val="0"/>
                <w:sz w:val="21"/>
                <w14:textFill>
                  <w14:solidFill>
                    <w14:schemeClr w14:val="tx1"/>
                  </w14:solidFill>
                </w14:textFill>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97" w:hRule="atLeast"/>
          <w:jc w:val="center"/>
        </w:trPr>
        <w:tc>
          <w:tcPr>
            <w:tcW w:w="663" w:type="dxa"/>
            <w:vMerge w:val="continue"/>
            <w:vAlign w:val="center"/>
          </w:tcPr>
          <w:p>
            <w:pPr>
              <w:widowControl/>
              <w:rPr>
                <w:color w:val="000000" w:themeColor="text1"/>
                <w:kern w:val="0"/>
                <w:sz w:val="21"/>
                <w14:textFill>
                  <w14:solidFill>
                    <w14:schemeClr w14:val="tx1"/>
                  </w14:solidFill>
                </w14:textFill>
              </w:rPr>
            </w:pPr>
          </w:p>
        </w:tc>
        <w:tc>
          <w:tcPr>
            <w:tcW w:w="595" w:type="dxa"/>
            <w:vMerge w:val="continue"/>
            <w:vAlign w:val="center"/>
          </w:tcPr>
          <w:p>
            <w:pPr>
              <w:widowControl/>
              <w:rPr>
                <w:color w:val="000000" w:themeColor="text1"/>
                <w:kern w:val="0"/>
                <w:sz w:val="21"/>
                <w:szCs w:val="21"/>
                <w14:textFill>
                  <w14:solidFill>
                    <w14:schemeClr w14:val="tx1"/>
                  </w14:solidFill>
                </w14:textFill>
              </w:rPr>
            </w:pPr>
          </w:p>
        </w:tc>
        <w:tc>
          <w:tcPr>
            <w:tcW w:w="666" w:type="dxa"/>
            <w:vMerge w:val="continue"/>
            <w:vAlign w:val="center"/>
          </w:tcPr>
          <w:p>
            <w:pPr>
              <w:widowControl/>
              <w:rPr>
                <w:color w:val="000000" w:themeColor="text1"/>
                <w:kern w:val="0"/>
                <w:sz w:val="21"/>
                <w:szCs w:val="21"/>
                <w14:textFill>
                  <w14:solidFill>
                    <w14:schemeClr w14:val="tx1"/>
                  </w14:solidFill>
                </w14:textFill>
              </w:rPr>
            </w:pPr>
          </w:p>
        </w:tc>
        <w:tc>
          <w:tcPr>
            <w:tcW w:w="710" w:type="dxa"/>
            <w:vAlign w:val="center"/>
          </w:tcPr>
          <w:p>
            <w:pPr>
              <w:pStyle w:val="3472"/>
              <w:wordWrap/>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氨氮</w:t>
            </w:r>
          </w:p>
        </w:tc>
        <w:tc>
          <w:tcPr>
            <w:tcW w:w="1055" w:type="dxa"/>
            <w:vAlign w:val="center"/>
          </w:tcPr>
          <w:p>
            <w:pPr>
              <w:pStyle w:val="3472"/>
              <w:wordWrap/>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45</w:t>
            </w:r>
          </w:p>
        </w:tc>
        <w:tc>
          <w:tcPr>
            <w:tcW w:w="883" w:type="dxa"/>
            <w:vAlign w:val="center"/>
          </w:tcPr>
          <w:p>
            <w:pPr>
              <w:widowControl/>
              <w:jc w:val="center"/>
              <w:rPr>
                <w:color w:val="000000" w:themeColor="text1"/>
                <w:kern w:val="0"/>
                <w:sz w:val="21"/>
                <w14:textFill>
                  <w14:solidFill>
                    <w14:schemeClr w14:val="tx1"/>
                  </w14:solidFill>
                </w14:textFill>
              </w:rPr>
            </w:pPr>
            <w:r>
              <w:rPr>
                <w:rFonts w:hint="eastAsia"/>
                <w:color w:val="000000" w:themeColor="text1"/>
                <w:kern w:val="0"/>
                <w:sz w:val="21"/>
                <w14:textFill>
                  <w14:solidFill>
                    <w14:schemeClr w14:val="tx1"/>
                  </w14:solidFill>
                </w14:textFill>
              </w:rPr>
              <w:t>0.013</w:t>
            </w:r>
          </w:p>
        </w:tc>
        <w:tc>
          <w:tcPr>
            <w:tcW w:w="3956" w:type="dxa"/>
            <w:vMerge w:val="continue"/>
            <w:vAlign w:val="center"/>
          </w:tcPr>
          <w:p>
            <w:pPr>
              <w:widowControl/>
              <w:rPr>
                <w:color w:val="000000" w:themeColor="text1"/>
                <w:kern w:val="0"/>
                <w:sz w:val="21"/>
                <w14:textFill>
                  <w14:solidFill>
                    <w14:schemeClr w14:val="tx1"/>
                  </w14:solidFill>
                </w14:textFill>
              </w:rPr>
            </w:pPr>
          </w:p>
        </w:tc>
      </w:tr>
    </w:tbl>
    <w:p>
      <w:pPr>
        <w:pStyle w:val="283"/>
        <w:ind w:firstLine="462"/>
        <w:rPr>
          <w:snapToGrid w:val="0"/>
          <w:color w:val="000000" w:themeColor="text1"/>
          <w14:textFill>
            <w14:solidFill>
              <w14:schemeClr w14:val="tx1"/>
            </w14:solidFill>
          </w14:textFill>
        </w:rPr>
      </w:pPr>
      <w:r>
        <w:rPr>
          <w:rFonts w:hint="eastAsia"/>
          <w:snapToGrid w:val="0"/>
          <w:color w:val="000000" w:themeColor="text1"/>
          <w14:textFill>
            <w14:solidFill>
              <w14:schemeClr w14:val="tx1"/>
            </w14:solidFill>
          </w14:textFill>
        </w:rPr>
        <w:t>3</w:t>
      </w:r>
      <w:r>
        <w:rPr>
          <w:snapToGrid w:val="0"/>
          <w:color w:val="000000" w:themeColor="text1"/>
          <w14:textFill>
            <w14:solidFill>
              <w14:schemeClr w14:val="tx1"/>
            </w14:solidFill>
          </w14:textFill>
        </w:rPr>
        <w:t>、</w:t>
      </w:r>
      <w:r>
        <w:rPr>
          <w:rFonts w:hint="eastAsia"/>
          <w:snapToGrid w:val="0"/>
          <w:color w:val="000000" w:themeColor="text1"/>
          <w14:textFill>
            <w14:solidFill>
              <w14:schemeClr w14:val="tx1"/>
            </w14:solidFill>
          </w14:textFill>
        </w:rPr>
        <w:t>陆域</w:t>
      </w:r>
      <w:r>
        <w:rPr>
          <w:snapToGrid w:val="0"/>
          <w:color w:val="000000" w:themeColor="text1"/>
          <w14:textFill>
            <w14:solidFill>
              <w14:schemeClr w14:val="tx1"/>
            </w14:solidFill>
          </w14:textFill>
        </w:rPr>
        <w:t>生产废水</w:t>
      </w:r>
    </w:p>
    <w:p>
      <w:pPr>
        <w:pStyle w:val="283"/>
        <w:ind w:firstLine="462"/>
        <w:rPr>
          <w:snapToGrid w:val="0"/>
          <w:color w:val="000000" w:themeColor="text1"/>
          <w14:textFill>
            <w14:solidFill>
              <w14:schemeClr w14:val="tx1"/>
            </w14:solidFill>
          </w14:textFill>
        </w:rPr>
      </w:pPr>
      <w:r>
        <w:rPr>
          <w:rFonts w:hint="eastAsia"/>
          <w:snapToGrid w:val="0"/>
          <w:color w:val="000000" w:themeColor="text1"/>
          <w14:textFill>
            <w14:solidFill>
              <w14:schemeClr w14:val="tx1"/>
            </w14:solidFill>
          </w14:textFill>
        </w:rPr>
        <w:t>扩建后9号10号泊位港区不接收船舶污水，运营期堆场仅提供集装箱的存放和转运业务，无集装箱冲洗废水。维修、机修及</w:t>
      </w:r>
      <w:r>
        <w:rPr>
          <w:rFonts w:hint="eastAsia"/>
          <w:color w:val="000000" w:themeColor="text1"/>
          <w14:textFill>
            <w14:solidFill>
              <w14:schemeClr w14:val="tx1"/>
            </w14:solidFill>
          </w14:textFill>
        </w:rPr>
        <w:t>智能引导运输IGV小车冲洗均</w:t>
      </w:r>
      <w:r>
        <w:rPr>
          <w:rFonts w:hint="eastAsia"/>
          <w:snapToGrid w:val="0"/>
          <w:color w:val="000000" w:themeColor="text1"/>
          <w14:textFill>
            <w14:solidFill>
              <w14:schemeClr w14:val="tx1"/>
            </w14:solidFill>
          </w14:textFill>
        </w:rPr>
        <w:t>于7号8号泊位后方机修间内进行，本项目陆域不产生生产废水等</w:t>
      </w:r>
      <w:bookmarkStart w:id="121" w:name="_Hlk55840494"/>
      <w:r>
        <w:rPr>
          <w:snapToGrid w:val="0"/>
          <w:color w:val="000000" w:themeColor="text1"/>
          <w14:textFill>
            <w14:solidFill>
              <w14:schemeClr w14:val="tx1"/>
            </w14:solidFill>
          </w14:textFill>
        </w:rPr>
        <w:t>。</w:t>
      </w:r>
      <w:bookmarkEnd w:id="121"/>
    </w:p>
    <w:p>
      <w:pPr>
        <w:pStyle w:val="6"/>
        <w:rPr>
          <w:color w:val="000000" w:themeColor="text1"/>
          <w14:textFill>
            <w14:solidFill>
              <w14:schemeClr w14:val="tx1"/>
            </w14:solidFill>
          </w14:textFill>
        </w:rPr>
      </w:pPr>
      <w:r>
        <w:rPr>
          <w:color w:val="000000" w:themeColor="text1"/>
          <w14:textFill>
            <w14:solidFill>
              <w14:schemeClr w14:val="tx1"/>
            </w14:solidFill>
          </w14:textFill>
        </w:rPr>
        <w:t>大气环境污染源</w:t>
      </w:r>
    </w:p>
    <w:p>
      <w:pPr>
        <w:pStyle w:val="283"/>
        <w:ind w:firstLine="462"/>
        <w:rPr>
          <w:color w:val="000000" w:themeColor="text1"/>
          <w14:textFill>
            <w14:solidFill>
              <w14:schemeClr w14:val="tx1"/>
            </w14:solidFill>
          </w14:textFill>
        </w:rPr>
      </w:pPr>
      <w:r>
        <w:rPr>
          <w:rFonts w:hint="eastAsia"/>
          <w:color w:val="000000" w:themeColor="text1"/>
          <w14:textFill>
            <w14:solidFill>
              <w14:schemeClr w14:val="tx1"/>
            </w14:solidFill>
          </w14:textFill>
        </w:rPr>
        <w:t>本次扩建22号堆场新增装卸设备及IGV小车均采用电能，无设备废气。本次扩建工程运营期大气污染源主要来自车辆港内运输扬尘及车辆燃油尾气。</w:t>
      </w:r>
      <w:r>
        <w:rPr>
          <w:color w:val="000000" w:themeColor="text1"/>
          <w14:textFill>
            <w14:solidFill>
              <w14:schemeClr w14:val="tx1"/>
            </w14:solidFill>
          </w14:textFill>
        </w:rPr>
        <w:t>根据</w:t>
      </w:r>
      <w:r>
        <w:rPr>
          <w:rFonts w:hint="eastAsia"/>
          <w:color w:val="000000" w:themeColor="text1"/>
          <w14:textFill>
            <w14:solidFill>
              <w14:schemeClr w14:val="tx1"/>
            </w14:solidFill>
          </w14:textFill>
        </w:rPr>
        <w:t>本项目码头吞吐量和设计船型，本次扩建后新增港船舶约50艘，相应运输车辆增加40辆/d，运营期大气环境污染源计算如下：</w:t>
      </w:r>
    </w:p>
    <w:p>
      <w:pPr>
        <w:pStyle w:val="283"/>
        <w:ind w:firstLine="462"/>
        <w:rPr>
          <w:color w:val="000000" w:themeColor="text1"/>
          <w14:textFill>
            <w14:solidFill>
              <w14:schemeClr w14:val="tx1"/>
            </w14:solidFill>
          </w14:textFill>
        </w:rPr>
      </w:pPr>
      <w:r>
        <w:rPr>
          <w:rFonts w:hint="eastAsia"/>
          <w:color w:val="000000" w:themeColor="text1"/>
          <w14:textFill>
            <w14:solidFill>
              <w14:schemeClr w14:val="tx1"/>
            </w14:solidFill>
          </w14:textFill>
        </w:rPr>
        <w:t>1、车辆燃油尾气</w:t>
      </w:r>
    </w:p>
    <w:p>
      <w:pPr>
        <w:pStyle w:val="283"/>
        <w:ind w:firstLine="462"/>
        <w:rPr>
          <w:color w:val="000000" w:themeColor="text1"/>
          <w14:textFill>
            <w14:solidFill>
              <w14:schemeClr w14:val="tx1"/>
            </w14:solidFill>
          </w14:textFill>
        </w:rPr>
      </w:pPr>
      <w:r>
        <w:rPr>
          <w:rFonts w:hint="eastAsia"/>
          <w:color w:val="000000" w:themeColor="text1"/>
          <w14:textFill>
            <w14:solidFill>
              <w14:schemeClr w14:val="tx1"/>
            </w14:solidFill>
          </w14:textFill>
        </w:rPr>
        <w:t>集装箱货物进出港区集卡等运输车辆以柴油为原料，集卡汽车尾气污染物SO</w:t>
      </w:r>
      <w:r>
        <w:rPr>
          <w:rFonts w:hint="eastAsia"/>
          <w:color w:val="000000" w:themeColor="text1"/>
          <w:vertAlign w:val="subscript"/>
          <w14:textFill>
            <w14:solidFill>
              <w14:schemeClr w14:val="tx1"/>
            </w14:solidFill>
          </w14:textFill>
        </w:rPr>
        <w:t>2</w:t>
      </w:r>
      <w:r>
        <w:rPr>
          <w:rFonts w:hint="eastAsia"/>
          <w:color w:val="000000" w:themeColor="text1"/>
          <w14:textFill>
            <w14:solidFill>
              <w14:schemeClr w14:val="tx1"/>
            </w14:solidFill>
          </w14:textFill>
        </w:rPr>
        <w:t>、CO、NO</w:t>
      </w:r>
      <w:r>
        <w:rPr>
          <w:rFonts w:hint="eastAsia"/>
          <w:color w:val="000000" w:themeColor="text1"/>
          <w:vertAlign w:val="subscript"/>
          <w14:textFill>
            <w14:solidFill>
              <w14:schemeClr w14:val="tx1"/>
            </w14:solidFill>
          </w14:textFill>
        </w:rPr>
        <w:t>x</w:t>
      </w:r>
      <w:r>
        <w:rPr>
          <w:rFonts w:hint="eastAsia"/>
          <w:color w:val="000000" w:themeColor="text1"/>
          <w14:textFill>
            <w14:solidFill>
              <w14:schemeClr w14:val="tx1"/>
            </w14:solidFill>
          </w14:textFill>
        </w:rPr>
        <w:t>，港区内车辆运行时速按20km/h，车辆运行时速小，</w:t>
      </w:r>
      <w:r>
        <w:rPr>
          <w:color w:val="000000" w:themeColor="text1"/>
          <w14:textFill>
            <w14:solidFill>
              <w14:schemeClr w14:val="tx1"/>
            </w14:solidFill>
          </w14:textFill>
        </w:rPr>
        <w:t>相关调查结果表明</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如果港内通风良好</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车辆在怠速工况下排放的废气中污染物对外界环境的影响基本可以接受</w:t>
      </w:r>
      <w:r>
        <w:rPr>
          <w:rFonts w:hint="eastAsia"/>
          <w:color w:val="000000" w:themeColor="text1"/>
          <w14:textFill>
            <w14:solidFill>
              <w14:schemeClr w14:val="tx1"/>
            </w14:solidFill>
          </w14:textFill>
        </w:rPr>
        <w:t>。</w:t>
      </w:r>
    </w:p>
    <w:p>
      <w:pPr>
        <w:pStyle w:val="283"/>
        <w:ind w:firstLine="462"/>
        <w:rPr>
          <w:color w:val="000000" w:themeColor="text1"/>
          <w14:textFill>
            <w14:solidFill>
              <w14:schemeClr w14:val="tx1"/>
            </w14:solidFill>
          </w14:textFill>
        </w:rPr>
      </w:pPr>
      <w:r>
        <w:rPr>
          <w:rFonts w:hint="eastAsia"/>
          <w:color w:val="000000" w:themeColor="text1"/>
          <w14:textFill>
            <w14:solidFill>
              <w14:schemeClr w14:val="tx1"/>
            </w14:solidFill>
          </w14:textFill>
        </w:rPr>
        <w:t>2、车辆道路扬尘</w:t>
      </w:r>
    </w:p>
    <w:p>
      <w:pPr>
        <w:pStyle w:val="283"/>
        <w:ind w:firstLine="462"/>
        <w:rPr>
          <w:color w:val="000000" w:themeColor="text1"/>
          <w14:textFill>
            <w14:solidFill>
              <w14:schemeClr w14:val="tx1"/>
            </w14:solidFill>
          </w14:textFill>
        </w:rPr>
      </w:pPr>
      <w:r>
        <w:rPr>
          <w:rFonts w:hint="eastAsia"/>
          <w:color w:val="000000" w:themeColor="text1"/>
          <w14:textFill>
            <w14:solidFill>
              <w14:schemeClr w14:val="tx1"/>
            </w14:solidFill>
          </w14:textFill>
        </w:rPr>
        <w:t>根据《水运工程建设项目环境影响评价指南》（JTS/T 105-2021），车辆港内铺装道路起尘按下列公式计算：</w:t>
      </w:r>
    </w:p>
    <w:p>
      <w:pPr>
        <w:pStyle w:val="283"/>
        <w:ind w:firstLine="462"/>
        <w:rPr>
          <w:color w:val="000000" w:themeColor="text1"/>
          <w14:textFill>
            <w14:solidFill>
              <w14:schemeClr w14:val="tx1"/>
            </w14:solidFill>
          </w14:textFill>
        </w:rPr>
      </w:pPr>
      <m:oMathPara>
        <m:oMath>
          <m:sSub>
            <m:sSubPr>
              <m:ctrlPr>
                <w:rPr>
                  <w:rFonts w:ascii="Cambria Math" w:hAnsi="Cambria Math"/>
                  <w:color w:val="000000" w:themeColor="text1"/>
                  <w14:textFill>
                    <w14:solidFill>
                      <w14:schemeClr w14:val="tx1"/>
                    </w14:solidFill>
                  </w14:textFill>
                </w:rPr>
              </m:ctrlPr>
            </m:sSubPr>
            <m:e>
              <m:r>
                <w:rPr>
                  <w:rFonts w:ascii="Cambria Math" w:hAnsi="Cambria Math"/>
                  <w:color w:val="000000" w:themeColor="text1"/>
                  <w14:textFill>
                    <w14:solidFill>
                      <w14:schemeClr w14:val="tx1"/>
                    </w14:solidFill>
                  </w14:textFill>
                </w:rPr>
                <m:t>W</m:t>
              </m:r>
              <m:ctrlPr>
                <w:rPr>
                  <w:rFonts w:ascii="Cambria Math" w:hAnsi="Cambria Math"/>
                  <w:color w:val="000000" w:themeColor="text1"/>
                  <w14:textFill>
                    <w14:solidFill>
                      <w14:schemeClr w14:val="tx1"/>
                    </w14:solidFill>
                  </w14:textFill>
                </w:rPr>
              </m:ctrlPr>
            </m:e>
            <m:sub>
              <m:r>
                <w:rPr>
                  <w:rFonts w:ascii="Cambria Math" w:hAnsi="Cambria Math"/>
                  <w:color w:val="000000" w:themeColor="text1"/>
                  <w14:textFill>
                    <w14:solidFill>
                      <w14:schemeClr w14:val="tx1"/>
                    </w14:solidFill>
                  </w14:textFill>
                </w:rPr>
                <m:t>Ri</m:t>
              </m:r>
              <m:ctrlPr>
                <w:rPr>
                  <w:rFonts w:ascii="Cambria Math" w:hAnsi="Cambria Math"/>
                  <w:color w:val="000000" w:themeColor="text1"/>
                  <w14:textFill>
                    <w14:solidFill>
                      <w14:schemeClr w14:val="tx1"/>
                    </w14:solidFill>
                  </w14:textFill>
                </w:rPr>
              </m:ctrlPr>
            </m:sub>
          </m:sSub>
          <m:r>
            <m:rPr>
              <m:sty m:val="p"/>
            </m:rPr>
            <w:rPr>
              <w:rFonts w:ascii="Cambria Math" w:hAnsi="Cambria Math"/>
              <w:color w:val="000000" w:themeColor="text1"/>
              <w14:textFill>
                <w14:solidFill>
                  <w14:schemeClr w14:val="tx1"/>
                </w14:solidFill>
              </w14:textFill>
            </w:rPr>
            <m:t>=</m:t>
          </m:r>
          <m:sSub>
            <m:sSubPr>
              <m:ctrlPr>
                <w:rPr>
                  <w:rFonts w:ascii="Cambria Math" w:hAnsi="Cambria Math"/>
                  <w:color w:val="000000" w:themeColor="text1"/>
                  <w14:textFill>
                    <w14:solidFill>
                      <w14:schemeClr w14:val="tx1"/>
                    </w14:solidFill>
                  </w14:textFill>
                </w:rPr>
              </m:ctrlPr>
            </m:sSubPr>
            <m:e>
              <m:r>
                <w:rPr>
                  <w:rFonts w:ascii="Cambria Math" w:hAnsi="Cambria Math"/>
                  <w:color w:val="000000" w:themeColor="text1"/>
                  <w14:textFill>
                    <w14:solidFill>
                      <w14:schemeClr w14:val="tx1"/>
                    </w14:solidFill>
                  </w14:textFill>
                </w:rPr>
                <m:t>E</m:t>
              </m:r>
              <m:ctrlPr>
                <w:rPr>
                  <w:rFonts w:ascii="Cambria Math" w:hAnsi="Cambria Math"/>
                  <w:color w:val="000000" w:themeColor="text1"/>
                  <w14:textFill>
                    <w14:solidFill>
                      <w14:schemeClr w14:val="tx1"/>
                    </w14:solidFill>
                  </w14:textFill>
                </w:rPr>
              </m:ctrlPr>
            </m:e>
            <m:sub>
              <m:r>
                <w:rPr>
                  <w:rFonts w:ascii="Cambria Math" w:hAnsi="Cambria Math"/>
                  <w:color w:val="000000" w:themeColor="text1"/>
                  <w14:textFill>
                    <w14:solidFill>
                      <w14:schemeClr w14:val="tx1"/>
                    </w14:solidFill>
                  </w14:textFill>
                </w:rPr>
                <m:t>Ri</m:t>
              </m:r>
              <m:ctrlPr>
                <w:rPr>
                  <w:rFonts w:ascii="Cambria Math" w:hAnsi="Cambria Math"/>
                  <w:color w:val="000000" w:themeColor="text1"/>
                  <w14:textFill>
                    <w14:solidFill>
                      <w14:schemeClr w14:val="tx1"/>
                    </w14:solidFill>
                  </w14:textFill>
                </w:rPr>
              </m:ctrlPr>
            </m:sub>
          </m:sSub>
          <m:sSub>
            <m:sSubPr>
              <m:ctrlPr>
                <w:rPr>
                  <w:rFonts w:ascii="Cambria Math" w:hAnsi="Cambria Math"/>
                  <w:color w:val="000000" w:themeColor="text1"/>
                  <w14:textFill>
                    <w14:solidFill>
                      <w14:schemeClr w14:val="tx1"/>
                    </w14:solidFill>
                  </w14:textFill>
                </w:rPr>
              </m:ctrlPr>
            </m:sSubPr>
            <m:e>
              <m:r>
                <w:rPr>
                  <w:rFonts w:ascii="Cambria Math" w:hAnsi="Cambria Math"/>
                  <w:color w:val="000000" w:themeColor="text1"/>
                  <w14:textFill>
                    <w14:solidFill>
                      <w14:schemeClr w14:val="tx1"/>
                    </w14:solidFill>
                  </w14:textFill>
                </w:rPr>
                <m:t>L</m:t>
              </m:r>
              <m:ctrlPr>
                <w:rPr>
                  <w:rFonts w:ascii="Cambria Math" w:hAnsi="Cambria Math"/>
                  <w:color w:val="000000" w:themeColor="text1"/>
                  <w14:textFill>
                    <w14:solidFill>
                      <w14:schemeClr w14:val="tx1"/>
                    </w14:solidFill>
                  </w14:textFill>
                </w:rPr>
              </m:ctrlPr>
            </m:e>
            <m:sub>
              <m:r>
                <w:rPr>
                  <w:rFonts w:ascii="Cambria Math" w:hAnsi="Cambria Math"/>
                  <w:color w:val="000000" w:themeColor="text1"/>
                  <w14:textFill>
                    <w14:solidFill>
                      <w14:schemeClr w14:val="tx1"/>
                    </w14:solidFill>
                  </w14:textFill>
                </w:rPr>
                <m:t>R</m:t>
              </m:r>
              <m:ctrlPr>
                <w:rPr>
                  <w:rFonts w:ascii="Cambria Math" w:hAnsi="Cambria Math"/>
                  <w:color w:val="000000" w:themeColor="text1"/>
                  <w14:textFill>
                    <w14:solidFill>
                      <w14:schemeClr w14:val="tx1"/>
                    </w14:solidFill>
                  </w14:textFill>
                </w:rPr>
              </m:ctrlPr>
            </m:sub>
          </m:sSub>
          <m:sSub>
            <m:sSubPr>
              <m:ctrlPr>
                <w:rPr>
                  <w:rFonts w:ascii="Cambria Math" w:hAnsi="Cambria Math"/>
                  <w:color w:val="000000" w:themeColor="text1"/>
                  <w14:textFill>
                    <w14:solidFill>
                      <w14:schemeClr w14:val="tx1"/>
                    </w14:solidFill>
                  </w14:textFill>
                </w:rPr>
              </m:ctrlPr>
            </m:sSubPr>
            <m:e>
              <m:r>
                <w:rPr>
                  <w:rFonts w:ascii="Cambria Math" w:hAnsi="Cambria Math"/>
                  <w:color w:val="000000" w:themeColor="text1"/>
                  <w14:textFill>
                    <w14:solidFill>
                      <w14:schemeClr w14:val="tx1"/>
                    </w14:solidFill>
                  </w14:textFill>
                </w:rPr>
                <m:t>N</m:t>
              </m:r>
              <m:ctrlPr>
                <w:rPr>
                  <w:rFonts w:ascii="Cambria Math" w:hAnsi="Cambria Math"/>
                  <w:color w:val="000000" w:themeColor="text1"/>
                  <w14:textFill>
                    <w14:solidFill>
                      <w14:schemeClr w14:val="tx1"/>
                    </w14:solidFill>
                  </w14:textFill>
                </w:rPr>
              </m:ctrlPr>
            </m:e>
            <m:sub>
              <m:r>
                <w:rPr>
                  <w:rFonts w:ascii="Cambria Math" w:hAnsi="Cambria Math"/>
                  <w:color w:val="000000" w:themeColor="text1"/>
                  <w14:textFill>
                    <w14:solidFill>
                      <w14:schemeClr w14:val="tx1"/>
                    </w14:solidFill>
                  </w14:textFill>
                </w:rPr>
                <m:t>R</m:t>
              </m:r>
              <m:ctrlPr>
                <w:rPr>
                  <w:rFonts w:ascii="Cambria Math" w:hAnsi="Cambria Math"/>
                  <w:color w:val="000000" w:themeColor="text1"/>
                  <w14:textFill>
                    <w14:solidFill>
                      <w14:schemeClr w14:val="tx1"/>
                    </w14:solidFill>
                  </w14:textFill>
                </w:rPr>
              </m:ctrlPr>
            </m:sub>
          </m:sSub>
          <m:d>
            <m:dPr>
              <m:begChr m:val="["/>
              <m:endChr m:val="]"/>
              <m:ctrlPr>
                <w:rPr>
                  <w:rFonts w:ascii="Cambria Math" w:hAnsi="Cambria Math"/>
                  <w:color w:val="000000" w:themeColor="text1"/>
                  <w14:textFill>
                    <w14:solidFill>
                      <w14:schemeClr w14:val="tx1"/>
                    </w14:solidFill>
                  </w14:textFill>
                </w:rPr>
              </m:ctrlPr>
            </m:dPr>
            <m:e>
              <m:r>
                <m:rPr>
                  <m:sty m:val="p"/>
                </m:rPr>
                <w:rPr>
                  <w:rFonts w:ascii="Cambria Math" w:hAnsi="Cambria Math"/>
                  <w:color w:val="000000" w:themeColor="text1"/>
                  <w14:textFill>
                    <w14:solidFill>
                      <w14:schemeClr w14:val="tx1"/>
                    </w14:solidFill>
                  </w14:textFill>
                </w:rPr>
                <m:t>1−</m:t>
              </m:r>
              <m:d>
                <m:dPr>
                  <m:ctrlPr>
                    <w:rPr>
                      <w:rFonts w:ascii="Cambria Math" w:hAnsi="Cambria Math"/>
                      <w:color w:val="000000" w:themeColor="text1"/>
                      <w14:textFill>
                        <w14:solidFill>
                          <w14:schemeClr w14:val="tx1"/>
                        </w14:solidFill>
                      </w14:textFill>
                    </w:rPr>
                  </m:ctrlPr>
                </m:dPr>
                <m:e>
                  <m:sSub>
                    <m:sSubPr>
                      <m:ctrlPr>
                        <w:rPr>
                          <w:rFonts w:ascii="Cambria Math" w:hAnsi="Cambria Math"/>
                          <w:color w:val="000000" w:themeColor="text1"/>
                          <w14:textFill>
                            <w14:solidFill>
                              <w14:schemeClr w14:val="tx1"/>
                            </w14:solidFill>
                          </w14:textFill>
                        </w:rPr>
                      </m:ctrlPr>
                    </m:sSubPr>
                    <m:e>
                      <m:r>
                        <w:rPr>
                          <w:rFonts w:ascii="Cambria Math" w:hAnsi="Cambria Math"/>
                          <w:color w:val="000000" w:themeColor="text1"/>
                          <w14:textFill>
                            <w14:solidFill>
                              <w14:schemeClr w14:val="tx1"/>
                            </w14:solidFill>
                          </w14:textFill>
                        </w:rPr>
                        <m:t>n</m:t>
                      </m:r>
                      <m:ctrlPr>
                        <w:rPr>
                          <w:rFonts w:ascii="Cambria Math" w:hAnsi="Cambria Math"/>
                          <w:color w:val="000000" w:themeColor="text1"/>
                          <w14:textFill>
                            <w14:solidFill>
                              <w14:schemeClr w14:val="tx1"/>
                            </w14:solidFill>
                          </w14:textFill>
                        </w:rPr>
                      </m:ctrlPr>
                    </m:e>
                    <m:sub>
                      <m:r>
                        <w:rPr>
                          <w:rFonts w:ascii="Cambria Math" w:hAnsi="Cambria Math"/>
                          <w:color w:val="000000" w:themeColor="text1"/>
                          <w14:textFill>
                            <w14:solidFill>
                              <w14:schemeClr w14:val="tx1"/>
                            </w14:solidFill>
                          </w14:textFill>
                        </w:rPr>
                        <m:t>r</m:t>
                      </m:r>
                      <m:ctrlPr>
                        <w:rPr>
                          <w:rFonts w:ascii="Cambria Math" w:hAnsi="Cambria Math"/>
                          <w:color w:val="000000" w:themeColor="text1"/>
                          <w14:textFill>
                            <w14:solidFill>
                              <w14:schemeClr w14:val="tx1"/>
                            </w14:solidFill>
                          </w14:textFill>
                        </w:rPr>
                      </m:ctrlPr>
                    </m:sub>
                  </m:sSub>
                  <m:r>
                    <m:rPr>
                      <m:sty m:val="p"/>
                    </m:rPr>
                    <w:rPr>
                      <w:rFonts w:ascii="Cambria Math" w:hAnsi="Cambria Math"/>
                      <w:color w:val="000000" w:themeColor="text1"/>
                      <w14:textFill>
                        <w14:solidFill>
                          <w14:schemeClr w14:val="tx1"/>
                        </w14:solidFill>
                      </w14:textFill>
                    </w:rPr>
                    <m:t>/365</m:t>
                  </m:r>
                  <m:ctrlPr>
                    <w:rPr>
                      <w:rFonts w:ascii="Cambria Math" w:hAnsi="Cambria Math"/>
                      <w:color w:val="000000" w:themeColor="text1"/>
                      <w14:textFill>
                        <w14:solidFill>
                          <w14:schemeClr w14:val="tx1"/>
                        </w14:solidFill>
                      </w14:textFill>
                    </w:rPr>
                  </m:ctrlPr>
                </m:e>
              </m:d>
              <m:ctrlPr>
                <w:rPr>
                  <w:rFonts w:ascii="Cambria Math" w:hAnsi="Cambria Math"/>
                  <w:color w:val="000000" w:themeColor="text1"/>
                  <w14:textFill>
                    <w14:solidFill>
                      <w14:schemeClr w14:val="tx1"/>
                    </w14:solidFill>
                  </w14:textFill>
                </w:rPr>
              </m:ctrlPr>
            </m:e>
          </m:d>
          <m:r>
            <m:rPr>
              <m:sty m:val="p"/>
            </m:rPr>
            <w:rPr>
              <w:rFonts w:ascii="Cambria Math" w:hAnsi="Cambria Math"/>
              <w:color w:val="000000" w:themeColor="text1"/>
              <w14:textFill>
                <w14:solidFill>
                  <w14:schemeClr w14:val="tx1"/>
                </w14:solidFill>
              </w14:textFill>
            </w:rPr>
            <m:t>×</m:t>
          </m:r>
          <m:sSup>
            <m:sSupPr>
              <m:ctrlPr>
                <w:rPr>
                  <w:rFonts w:ascii="Cambria Math" w:hAnsi="Cambria Math"/>
                  <w:color w:val="000000" w:themeColor="text1"/>
                  <w14:textFill>
                    <w14:solidFill>
                      <w14:schemeClr w14:val="tx1"/>
                    </w14:solidFill>
                  </w14:textFill>
                </w:rPr>
              </m:ctrlPr>
            </m:sSupPr>
            <m:e>
              <m:r>
                <m:rPr>
                  <m:sty m:val="p"/>
                </m:rPr>
                <w:rPr>
                  <w:rFonts w:ascii="Cambria Math" w:hAnsi="Cambria Math"/>
                  <w:color w:val="000000" w:themeColor="text1"/>
                  <w14:textFill>
                    <w14:solidFill>
                      <w14:schemeClr w14:val="tx1"/>
                    </w14:solidFill>
                  </w14:textFill>
                </w:rPr>
                <m:t>10</m:t>
              </m:r>
              <m:ctrlPr>
                <w:rPr>
                  <w:rFonts w:ascii="Cambria Math" w:hAnsi="Cambria Math"/>
                  <w:color w:val="000000" w:themeColor="text1"/>
                  <w14:textFill>
                    <w14:solidFill>
                      <w14:schemeClr w14:val="tx1"/>
                    </w14:solidFill>
                  </w14:textFill>
                </w:rPr>
              </m:ctrlPr>
            </m:e>
            <m:sup>
              <m:r>
                <m:rPr>
                  <m:sty m:val="p"/>
                </m:rPr>
                <w:rPr>
                  <w:rFonts w:ascii="Cambria Math" w:hAnsi="Cambria Math"/>
                  <w:color w:val="000000" w:themeColor="text1"/>
                  <w14:textFill>
                    <w14:solidFill>
                      <w14:schemeClr w14:val="tx1"/>
                    </w14:solidFill>
                  </w14:textFill>
                </w:rPr>
                <m:t>−6</m:t>
              </m:r>
              <m:ctrlPr>
                <w:rPr>
                  <w:rFonts w:ascii="Cambria Math" w:hAnsi="Cambria Math"/>
                  <w:color w:val="000000" w:themeColor="text1"/>
                  <w14:textFill>
                    <w14:solidFill>
                      <w14:schemeClr w14:val="tx1"/>
                    </w14:solidFill>
                  </w14:textFill>
                </w:rPr>
              </m:ctrlPr>
            </m:sup>
          </m:sSup>
        </m:oMath>
      </m:oMathPara>
    </w:p>
    <w:p>
      <w:pPr>
        <w:pStyle w:val="283"/>
        <w:ind w:firstLine="462"/>
        <w:rPr>
          <w:color w:val="000000" w:themeColor="text1"/>
          <w14:textFill>
            <w14:solidFill>
              <w14:schemeClr w14:val="tx1"/>
            </w14:solidFill>
          </w14:textFill>
        </w:rPr>
      </w:pPr>
      <w:r>
        <w:rPr>
          <w:rFonts w:hint="eastAsia"/>
          <w:color w:val="000000" w:themeColor="text1"/>
          <w14:textFill>
            <w14:solidFill>
              <w14:schemeClr w14:val="tx1"/>
            </w14:solidFill>
          </w14:textFill>
        </w:rPr>
        <w:t xml:space="preserve">式中   </w:t>
      </w:r>
      <w:r>
        <w:rPr>
          <w:rFonts w:hint="eastAsia"/>
          <w:i/>
          <w:iCs/>
          <w:color w:val="000000" w:themeColor="text1"/>
          <w14:textFill>
            <w14:solidFill>
              <w14:schemeClr w14:val="tx1"/>
            </w14:solidFill>
          </w14:textFill>
        </w:rPr>
        <w:t>W</w:t>
      </w:r>
      <w:r>
        <w:rPr>
          <w:rFonts w:hint="eastAsia"/>
          <w:i/>
          <w:iCs/>
          <w:color w:val="000000" w:themeColor="text1"/>
          <w:vertAlign w:val="subscript"/>
          <w14:textFill>
            <w14:solidFill>
              <w14:schemeClr w14:val="tx1"/>
            </w14:solidFill>
          </w14:textFill>
        </w:rPr>
        <w:t>Ri</w:t>
      </w:r>
      <w:r>
        <w:rPr>
          <w:rFonts w:hint="eastAsia"/>
          <w:color w:val="000000" w:themeColor="text1"/>
          <w14:textFill>
            <w14:solidFill>
              <w14:schemeClr w14:val="tx1"/>
            </w14:solidFill>
          </w14:textFill>
        </w:rPr>
        <w:t>———道路扬尘源中颗粒物P</w:t>
      </w:r>
      <w:r>
        <w:rPr>
          <w:rFonts w:hint="eastAsia"/>
          <w:color w:val="000000" w:themeColor="text1"/>
          <w:vertAlign w:val="subscript"/>
          <w14:textFill>
            <w14:solidFill>
              <w14:schemeClr w14:val="tx1"/>
            </w14:solidFill>
          </w14:textFill>
        </w:rPr>
        <w:t>Mi</w:t>
      </w:r>
      <w:r>
        <w:rPr>
          <w:rFonts w:hint="eastAsia"/>
          <w:color w:val="000000" w:themeColor="text1"/>
          <w14:textFill>
            <w14:solidFill>
              <w14:schemeClr w14:val="tx1"/>
            </w14:solidFill>
          </w14:textFill>
        </w:rPr>
        <w:t>的总排放量（t/a）；</w:t>
      </w:r>
    </w:p>
    <w:p>
      <w:pPr>
        <w:pStyle w:val="283"/>
        <w:ind w:firstLine="462"/>
        <w:rPr>
          <w:color w:val="000000" w:themeColor="text1"/>
          <w14:textFill>
            <w14:solidFill>
              <w14:schemeClr w14:val="tx1"/>
            </w14:solidFill>
          </w14:textFill>
        </w:rPr>
      </w:pPr>
      <w:r>
        <w:rPr>
          <w:rFonts w:hint="eastAsia"/>
          <w:i/>
          <w:iCs/>
          <w:color w:val="000000" w:themeColor="text1"/>
          <w14:textFill>
            <w14:solidFill>
              <w14:schemeClr w14:val="tx1"/>
            </w14:solidFill>
          </w14:textFill>
        </w:rPr>
        <w:t>E</w:t>
      </w:r>
      <w:r>
        <w:rPr>
          <w:rFonts w:hint="eastAsia"/>
          <w:i/>
          <w:iCs/>
          <w:color w:val="000000" w:themeColor="text1"/>
          <w:vertAlign w:val="subscript"/>
          <w14:textFill>
            <w14:solidFill>
              <w14:schemeClr w14:val="tx1"/>
            </w14:solidFill>
          </w14:textFill>
        </w:rPr>
        <w:t>Ri</w:t>
      </w:r>
      <w:r>
        <w:rPr>
          <w:rFonts w:hint="eastAsia"/>
          <w:i/>
          <w:iCs/>
          <w:color w:val="000000" w:themeColor="text1"/>
          <w14:textFill>
            <w14:solidFill>
              <w14:schemeClr w14:val="tx1"/>
            </w14:solidFill>
          </w14:textFill>
        </w:rPr>
        <w:t>———</w:t>
      </w:r>
      <w:r>
        <w:rPr>
          <w:rFonts w:hint="eastAsia"/>
          <w:color w:val="000000" w:themeColor="text1"/>
          <w14:textFill>
            <w14:solidFill>
              <w14:schemeClr w14:val="tx1"/>
            </w14:solidFill>
          </w14:textFill>
        </w:rPr>
        <w:t>数（g/km·辆）；</w:t>
      </w:r>
    </w:p>
    <w:p>
      <w:pPr>
        <w:pStyle w:val="283"/>
        <w:ind w:firstLine="462"/>
        <w:rPr>
          <w:color w:val="000000" w:themeColor="text1"/>
          <w14:textFill>
            <w14:solidFill>
              <w14:schemeClr w14:val="tx1"/>
            </w14:solidFill>
          </w14:textFill>
        </w:rPr>
      </w:pPr>
      <w:r>
        <w:rPr>
          <w:rFonts w:hint="eastAsia"/>
          <w:i/>
          <w:iCs/>
          <w:color w:val="000000" w:themeColor="text1"/>
          <w14:textFill>
            <w14:solidFill>
              <w14:schemeClr w14:val="tx1"/>
            </w14:solidFill>
          </w14:textFill>
        </w:rPr>
        <w:t>L</w:t>
      </w:r>
      <w:r>
        <w:rPr>
          <w:rFonts w:hint="eastAsia"/>
          <w:i/>
          <w:iCs/>
          <w:color w:val="000000" w:themeColor="text1"/>
          <w:vertAlign w:val="subscript"/>
          <w14:textFill>
            <w14:solidFill>
              <w14:schemeClr w14:val="tx1"/>
            </w14:solidFill>
          </w14:textFill>
        </w:rPr>
        <w:t>R</w:t>
      </w:r>
      <w:r>
        <w:rPr>
          <w:rFonts w:hint="eastAsia"/>
          <w:i/>
          <w:iCs/>
          <w:color w:val="000000" w:themeColor="text1"/>
          <w14:textFill>
            <w14:solidFill>
              <w14:schemeClr w14:val="tx1"/>
            </w14:solidFill>
          </w14:textFill>
        </w:rPr>
        <w:t>———</w:t>
      </w:r>
      <w:r>
        <w:rPr>
          <w:rFonts w:hint="eastAsia"/>
          <w:color w:val="000000" w:themeColor="text1"/>
          <w14:textFill>
            <w14:solidFill>
              <w14:schemeClr w14:val="tx1"/>
            </w14:solidFill>
          </w14:textFill>
        </w:rPr>
        <w:t>道路长度（km），按集卡港内运输路线长度2.5km；</w:t>
      </w:r>
    </w:p>
    <w:p>
      <w:pPr>
        <w:pStyle w:val="283"/>
        <w:ind w:firstLine="462"/>
        <w:rPr>
          <w:color w:val="000000" w:themeColor="text1"/>
          <w14:textFill>
            <w14:solidFill>
              <w14:schemeClr w14:val="tx1"/>
            </w14:solidFill>
          </w14:textFill>
        </w:rPr>
      </w:pPr>
      <w:r>
        <w:rPr>
          <w:rFonts w:hint="eastAsia"/>
          <w:i/>
          <w:iCs/>
          <w:color w:val="000000" w:themeColor="text1"/>
          <w14:textFill>
            <w14:solidFill>
              <w14:schemeClr w14:val="tx1"/>
            </w14:solidFill>
          </w14:textFill>
        </w:rPr>
        <w:t>N</w:t>
      </w:r>
      <w:r>
        <w:rPr>
          <w:rFonts w:hint="eastAsia"/>
          <w:i/>
          <w:iCs/>
          <w:color w:val="000000" w:themeColor="text1"/>
          <w:vertAlign w:val="subscript"/>
          <w14:textFill>
            <w14:solidFill>
              <w14:schemeClr w14:val="tx1"/>
            </w14:solidFill>
          </w14:textFill>
        </w:rPr>
        <w:t>R</w:t>
      </w:r>
      <w:r>
        <w:rPr>
          <w:rFonts w:hint="eastAsia"/>
          <w:i/>
          <w:iCs/>
          <w:color w:val="000000" w:themeColor="text1"/>
          <w14:textFill>
            <w14:solidFill>
              <w14:schemeClr w14:val="tx1"/>
            </w14:solidFill>
          </w14:textFill>
        </w:rPr>
        <w:t>———</w:t>
      </w:r>
      <w:r>
        <w:rPr>
          <w:rFonts w:hint="eastAsia"/>
          <w:color w:val="000000" w:themeColor="text1"/>
          <w14:textFill>
            <w14:solidFill>
              <w14:schemeClr w14:val="tx1"/>
            </w14:solidFill>
          </w14:textFill>
        </w:rPr>
        <w:t>一定时期内车辆在该段道路上的平均车流量（辆/a），根据吞吐量除以车辆装载重量计算得本项目新增车流量4500辆/a；</w:t>
      </w:r>
    </w:p>
    <w:p>
      <w:pPr>
        <w:pStyle w:val="283"/>
        <w:ind w:firstLine="462"/>
        <w:rPr>
          <w:color w:val="000000" w:themeColor="text1"/>
          <w14:textFill>
            <w14:solidFill>
              <w14:schemeClr w14:val="tx1"/>
            </w14:solidFill>
          </w14:textFill>
        </w:rPr>
      </w:pPr>
      <w:r>
        <w:rPr>
          <w:rFonts w:hint="eastAsia"/>
          <w:i/>
          <w:iCs/>
          <w:color w:val="000000" w:themeColor="text1"/>
          <w14:textFill>
            <w14:solidFill>
              <w14:schemeClr w14:val="tx1"/>
            </w14:solidFill>
          </w14:textFill>
        </w:rPr>
        <w:t>n</w:t>
      </w:r>
      <w:r>
        <w:rPr>
          <w:rFonts w:hint="eastAsia"/>
          <w:i/>
          <w:iCs/>
          <w:color w:val="000000" w:themeColor="text1"/>
          <w:vertAlign w:val="subscript"/>
          <w14:textFill>
            <w14:solidFill>
              <w14:schemeClr w14:val="tx1"/>
            </w14:solidFill>
          </w14:textFill>
        </w:rPr>
        <w:t>r</w:t>
      </w:r>
      <w:r>
        <w:rPr>
          <w:rFonts w:hint="eastAsia"/>
          <w:color w:val="000000" w:themeColor="text1"/>
          <w14:textFill>
            <w14:solidFill>
              <w14:schemeClr w14:val="tx1"/>
            </w14:solidFill>
          </w14:textFill>
        </w:rPr>
        <w:t>——不起尘天数，通过实测（统计降水造成的路面潮湿的天数）得到，评价统计钦州市一年中降水量大于0.25mm/d的天数，取150d。</w:t>
      </w:r>
    </w:p>
    <w:p>
      <w:pPr>
        <w:pStyle w:val="283"/>
        <w:ind w:firstLine="462"/>
        <w:rPr>
          <w:color w:val="000000" w:themeColor="text1"/>
          <w14:textFill>
            <w14:solidFill>
              <w14:schemeClr w14:val="tx1"/>
            </w14:solidFill>
          </w14:textFill>
        </w:rPr>
      </w:pPr>
      <w:r>
        <w:rPr>
          <w:rFonts w:hint="eastAsia"/>
          <w:color w:val="000000" w:themeColor="text1"/>
          <w14:textFill>
            <w14:solidFill>
              <w14:schemeClr w14:val="tx1"/>
            </w14:solidFill>
          </w14:textFill>
        </w:rPr>
        <w:t>其中，铺装道路</w:t>
      </w:r>
      <w:r>
        <w:rPr>
          <w:rFonts w:hint="eastAsia"/>
          <w:color w:val="000000" w:themeColor="text1"/>
          <w:lang w:eastAsia="zh-CN"/>
          <w14:textFill>
            <w14:solidFill>
              <w14:schemeClr w14:val="tx1"/>
            </w14:solidFill>
          </w14:textFill>
        </w:rPr>
        <w:t>扬</w:t>
      </w:r>
      <w:r>
        <w:rPr>
          <w:rFonts w:hint="eastAsia"/>
          <w:color w:val="000000" w:themeColor="text1"/>
          <w14:textFill>
            <w14:solidFill>
              <w14:schemeClr w14:val="tx1"/>
            </w14:solidFill>
          </w14:textFill>
        </w:rPr>
        <w:t>尘排放系数计算公式如下：</w:t>
      </w:r>
    </w:p>
    <w:p>
      <w:pPr>
        <w:pStyle w:val="283"/>
        <w:ind w:firstLine="462"/>
        <w:rPr>
          <w:color w:val="000000" w:themeColor="text1"/>
          <w14:textFill>
            <w14:solidFill>
              <w14:schemeClr w14:val="tx1"/>
            </w14:solidFill>
          </w14:textFill>
        </w:rPr>
      </w:pPr>
      <m:oMathPara>
        <m:oMath>
          <m:sSub>
            <m:sSubPr>
              <m:ctrlPr>
                <w:rPr>
                  <w:rFonts w:ascii="Cambria Math" w:hAnsi="Cambria Math"/>
                  <w:color w:val="000000" w:themeColor="text1"/>
                  <w14:textFill>
                    <w14:solidFill>
                      <w14:schemeClr w14:val="tx1"/>
                    </w14:solidFill>
                  </w14:textFill>
                </w:rPr>
              </m:ctrlPr>
            </m:sSubPr>
            <m:e>
              <m:r>
                <w:rPr>
                  <w:rFonts w:ascii="Cambria Math" w:hAnsi="Cambria Math"/>
                  <w:color w:val="000000" w:themeColor="text1"/>
                  <w14:textFill>
                    <w14:solidFill>
                      <w14:schemeClr w14:val="tx1"/>
                    </w14:solidFill>
                  </w14:textFill>
                </w:rPr>
                <m:t>E</m:t>
              </m:r>
              <m:ctrlPr>
                <w:rPr>
                  <w:rFonts w:ascii="Cambria Math" w:hAnsi="Cambria Math"/>
                  <w:color w:val="000000" w:themeColor="text1"/>
                  <w14:textFill>
                    <w14:solidFill>
                      <w14:schemeClr w14:val="tx1"/>
                    </w14:solidFill>
                  </w14:textFill>
                </w:rPr>
              </m:ctrlPr>
            </m:e>
            <m:sub>
              <m:r>
                <w:rPr>
                  <w:rFonts w:ascii="Cambria Math" w:hAnsi="Cambria Math"/>
                  <w:color w:val="000000" w:themeColor="text1"/>
                  <w14:textFill>
                    <w14:solidFill>
                      <w14:schemeClr w14:val="tx1"/>
                    </w14:solidFill>
                  </w14:textFill>
                </w:rPr>
                <m:t>Ri</m:t>
              </m:r>
              <m:ctrlPr>
                <w:rPr>
                  <w:rFonts w:ascii="Cambria Math" w:hAnsi="Cambria Math"/>
                  <w:color w:val="000000" w:themeColor="text1"/>
                  <w14:textFill>
                    <w14:solidFill>
                      <w14:schemeClr w14:val="tx1"/>
                    </w14:solidFill>
                  </w14:textFill>
                </w:rPr>
              </m:ctrlPr>
            </m:sub>
          </m:sSub>
          <m:r>
            <m:rPr>
              <m:sty m:val="p"/>
            </m:rPr>
            <w:rPr>
              <w:rFonts w:ascii="Cambria Math" w:hAnsi="Cambria Math"/>
              <w:color w:val="000000" w:themeColor="text1"/>
              <w14:textFill>
                <w14:solidFill>
                  <w14:schemeClr w14:val="tx1"/>
                </w14:solidFill>
              </w14:textFill>
            </w:rPr>
            <m:t>=</m:t>
          </m:r>
          <m:sSub>
            <m:sSubPr>
              <m:ctrlPr>
                <w:rPr>
                  <w:rFonts w:ascii="Cambria Math" w:hAnsi="Cambria Math"/>
                  <w:color w:val="000000" w:themeColor="text1"/>
                  <w14:textFill>
                    <w14:solidFill>
                      <w14:schemeClr w14:val="tx1"/>
                    </w14:solidFill>
                  </w14:textFill>
                </w:rPr>
              </m:ctrlPr>
            </m:sSubPr>
            <m:e>
              <m:r>
                <w:rPr>
                  <w:rFonts w:ascii="Cambria Math" w:hAnsi="Cambria Math"/>
                  <w:color w:val="000000" w:themeColor="text1"/>
                  <w14:textFill>
                    <w14:solidFill>
                      <w14:schemeClr w14:val="tx1"/>
                    </w14:solidFill>
                  </w14:textFill>
                </w:rPr>
                <m:t>k</m:t>
              </m:r>
              <m:ctrlPr>
                <w:rPr>
                  <w:rFonts w:ascii="Cambria Math" w:hAnsi="Cambria Math"/>
                  <w:color w:val="000000" w:themeColor="text1"/>
                  <w14:textFill>
                    <w14:solidFill>
                      <w14:schemeClr w14:val="tx1"/>
                    </w14:solidFill>
                  </w14:textFill>
                </w:rPr>
              </m:ctrlPr>
            </m:e>
            <m:sub>
              <m:r>
                <w:rPr>
                  <w:rFonts w:ascii="Cambria Math" w:hAnsi="Cambria Math"/>
                  <w:color w:val="000000" w:themeColor="text1"/>
                  <w14:textFill>
                    <w14:solidFill>
                      <w14:schemeClr w14:val="tx1"/>
                    </w14:solidFill>
                  </w14:textFill>
                </w:rPr>
                <m:t>i</m:t>
              </m:r>
              <m:ctrlPr>
                <w:rPr>
                  <w:rFonts w:ascii="Cambria Math" w:hAnsi="Cambria Math"/>
                  <w:color w:val="000000" w:themeColor="text1"/>
                  <w14:textFill>
                    <w14:solidFill>
                      <w14:schemeClr w14:val="tx1"/>
                    </w14:solidFill>
                  </w14:textFill>
                </w:rPr>
              </m:ctrlPr>
            </m:sub>
          </m:sSub>
          <m:sSup>
            <m:sSupPr>
              <m:ctrlPr>
                <w:rPr>
                  <w:rFonts w:ascii="Cambria Math" w:hAnsi="Cambria Math"/>
                  <w:color w:val="000000" w:themeColor="text1"/>
                  <w14:textFill>
                    <w14:solidFill>
                      <w14:schemeClr w14:val="tx1"/>
                    </w14:solidFill>
                  </w14:textFill>
                </w:rPr>
              </m:ctrlPr>
            </m:sSupPr>
            <m:e>
              <m:d>
                <m:dPr>
                  <m:ctrlPr>
                    <w:rPr>
                      <w:rFonts w:ascii="Cambria Math" w:hAnsi="Cambria Math"/>
                      <w:color w:val="000000" w:themeColor="text1"/>
                      <w14:textFill>
                        <w14:solidFill>
                          <w14:schemeClr w14:val="tx1"/>
                        </w14:solidFill>
                      </w14:textFill>
                    </w:rPr>
                  </m:ctrlPr>
                </m:dPr>
                <m:e>
                  <m:r>
                    <w:rPr>
                      <w:rFonts w:ascii="Cambria Math" w:hAnsi="Cambria Math"/>
                      <w:color w:val="000000" w:themeColor="text1"/>
                      <w14:textFill>
                        <w14:solidFill>
                          <w14:schemeClr w14:val="tx1"/>
                        </w14:solidFill>
                      </w14:textFill>
                    </w:rPr>
                    <m:t>sL</m:t>
                  </m:r>
                  <m:ctrlPr>
                    <w:rPr>
                      <w:rFonts w:ascii="Cambria Math" w:hAnsi="Cambria Math"/>
                      <w:color w:val="000000" w:themeColor="text1"/>
                      <w14:textFill>
                        <w14:solidFill>
                          <w14:schemeClr w14:val="tx1"/>
                        </w14:solidFill>
                      </w14:textFill>
                    </w:rPr>
                  </m:ctrlPr>
                </m:e>
              </m:d>
              <m:ctrlPr>
                <w:rPr>
                  <w:rFonts w:ascii="Cambria Math" w:hAnsi="Cambria Math"/>
                  <w:color w:val="000000" w:themeColor="text1"/>
                  <w14:textFill>
                    <w14:solidFill>
                      <w14:schemeClr w14:val="tx1"/>
                    </w14:solidFill>
                  </w14:textFill>
                </w:rPr>
              </m:ctrlPr>
            </m:e>
            <m:sup>
              <m:r>
                <m:rPr>
                  <m:sty m:val="p"/>
                </m:rPr>
                <w:rPr>
                  <w:rFonts w:ascii="Cambria Math" w:hAnsi="Cambria Math"/>
                  <w:color w:val="000000" w:themeColor="text1"/>
                  <w14:textFill>
                    <w14:solidFill>
                      <w14:schemeClr w14:val="tx1"/>
                    </w14:solidFill>
                  </w14:textFill>
                </w:rPr>
                <m:t>0.91</m:t>
              </m:r>
              <m:ctrlPr>
                <w:rPr>
                  <w:rFonts w:ascii="Cambria Math" w:hAnsi="Cambria Math"/>
                  <w:color w:val="000000" w:themeColor="text1"/>
                  <w14:textFill>
                    <w14:solidFill>
                      <w14:schemeClr w14:val="tx1"/>
                    </w14:solidFill>
                  </w14:textFill>
                </w:rPr>
              </m:ctrlPr>
            </m:sup>
          </m:sSup>
          <m:sSup>
            <m:sSupPr>
              <m:ctrlPr>
                <w:rPr>
                  <w:rFonts w:ascii="Cambria Math" w:hAnsi="Cambria Math"/>
                  <w:color w:val="000000" w:themeColor="text1"/>
                  <w14:textFill>
                    <w14:solidFill>
                      <w14:schemeClr w14:val="tx1"/>
                    </w14:solidFill>
                  </w14:textFill>
                </w:rPr>
              </m:ctrlPr>
            </m:sSupPr>
            <m:e>
              <m:d>
                <m:dPr>
                  <m:ctrlPr>
                    <w:rPr>
                      <w:rFonts w:ascii="Cambria Math" w:hAnsi="Cambria Math"/>
                      <w:color w:val="000000" w:themeColor="text1"/>
                      <w14:textFill>
                        <w14:solidFill>
                          <w14:schemeClr w14:val="tx1"/>
                        </w14:solidFill>
                      </w14:textFill>
                    </w:rPr>
                  </m:ctrlPr>
                </m:dPr>
                <m:e>
                  <m:r>
                    <w:rPr>
                      <w:rFonts w:ascii="Cambria Math" w:hAnsi="Cambria Math"/>
                      <w:color w:val="000000" w:themeColor="text1"/>
                      <w14:textFill>
                        <w14:solidFill>
                          <w14:schemeClr w14:val="tx1"/>
                        </w14:solidFill>
                      </w14:textFill>
                    </w:rPr>
                    <m:t>W</m:t>
                  </m:r>
                  <m:ctrlPr>
                    <w:rPr>
                      <w:rFonts w:ascii="Cambria Math" w:hAnsi="Cambria Math"/>
                      <w:color w:val="000000" w:themeColor="text1"/>
                      <w14:textFill>
                        <w14:solidFill>
                          <w14:schemeClr w14:val="tx1"/>
                        </w14:solidFill>
                      </w14:textFill>
                    </w:rPr>
                  </m:ctrlPr>
                </m:e>
              </m:d>
              <m:ctrlPr>
                <w:rPr>
                  <w:rFonts w:ascii="Cambria Math" w:hAnsi="Cambria Math"/>
                  <w:color w:val="000000" w:themeColor="text1"/>
                  <w14:textFill>
                    <w14:solidFill>
                      <w14:schemeClr w14:val="tx1"/>
                    </w14:solidFill>
                  </w14:textFill>
                </w:rPr>
              </m:ctrlPr>
            </m:e>
            <m:sup>
              <m:r>
                <m:rPr>
                  <m:sty m:val="p"/>
                </m:rPr>
                <w:rPr>
                  <w:rFonts w:ascii="Cambria Math" w:hAnsi="Cambria Math"/>
                  <w:color w:val="000000" w:themeColor="text1"/>
                  <w14:textFill>
                    <w14:solidFill>
                      <w14:schemeClr w14:val="tx1"/>
                    </w14:solidFill>
                  </w14:textFill>
                </w:rPr>
                <m:t>1.02</m:t>
              </m:r>
              <m:ctrlPr>
                <w:rPr>
                  <w:rFonts w:ascii="Cambria Math" w:hAnsi="Cambria Math"/>
                  <w:color w:val="000000" w:themeColor="text1"/>
                  <w14:textFill>
                    <w14:solidFill>
                      <w14:schemeClr w14:val="tx1"/>
                    </w14:solidFill>
                  </w14:textFill>
                </w:rPr>
              </m:ctrlPr>
            </m:sup>
          </m:sSup>
          <m:d>
            <m:dPr>
              <m:ctrlPr>
                <w:rPr>
                  <w:rFonts w:ascii="Cambria Math" w:hAnsi="Cambria Math"/>
                  <w:color w:val="000000" w:themeColor="text1"/>
                  <w14:textFill>
                    <w14:solidFill>
                      <w14:schemeClr w14:val="tx1"/>
                    </w14:solidFill>
                  </w14:textFill>
                </w:rPr>
              </m:ctrlPr>
            </m:dPr>
            <m:e>
              <m:r>
                <m:rPr>
                  <m:sty m:val="p"/>
                </m:rPr>
                <w:rPr>
                  <w:rFonts w:ascii="Cambria Math" w:hAnsi="Cambria Math"/>
                  <w:color w:val="000000" w:themeColor="text1"/>
                  <w14:textFill>
                    <w14:solidFill>
                      <w14:schemeClr w14:val="tx1"/>
                    </w14:solidFill>
                  </w14:textFill>
                </w:rPr>
                <m:t>1−</m:t>
              </m:r>
              <m:r>
                <w:rPr>
                  <w:rFonts w:ascii="Cambria Math" w:hAnsi="Cambria Math"/>
                  <w:color w:val="000000" w:themeColor="text1"/>
                  <w14:textFill>
                    <w14:solidFill>
                      <w14:schemeClr w14:val="tx1"/>
                    </w14:solidFill>
                  </w14:textFill>
                </w:rPr>
                <m:t>η</m:t>
              </m:r>
              <m:ctrlPr>
                <w:rPr>
                  <w:rFonts w:ascii="Cambria Math" w:hAnsi="Cambria Math"/>
                  <w:color w:val="000000" w:themeColor="text1"/>
                  <w14:textFill>
                    <w14:solidFill>
                      <w14:schemeClr w14:val="tx1"/>
                    </w14:solidFill>
                  </w14:textFill>
                </w:rPr>
              </m:ctrlPr>
            </m:e>
          </m:d>
        </m:oMath>
      </m:oMathPara>
    </w:p>
    <w:p>
      <w:pPr>
        <w:pStyle w:val="283"/>
        <w:ind w:firstLine="462"/>
        <w:rPr>
          <w:color w:val="000000" w:themeColor="text1"/>
          <w14:textFill>
            <w14:solidFill>
              <w14:schemeClr w14:val="tx1"/>
            </w14:solidFill>
          </w14:textFill>
        </w:rPr>
      </w:pPr>
      <w:r>
        <w:rPr>
          <w:rFonts w:hint="eastAsia"/>
          <w:color w:val="000000" w:themeColor="text1"/>
          <w14:textFill>
            <w14:solidFill>
              <w14:schemeClr w14:val="tx1"/>
            </w14:solidFill>
          </w14:textFill>
        </w:rPr>
        <w:t xml:space="preserve">式中   </w:t>
      </w:r>
      <w:r>
        <w:rPr>
          <w:rFonts w:hint="eastAsia"/>
          <w:i/>
          <w:iCs/>
          <w:color w:val="000000" w:themeColor="text1"/>
          <w14:textFill>
            <w14:solidFill>
              <w14:schemeClr w14:val="tx1"/>
            </w14:solidFill>
          </w14:textFill>
        </w:rPr>
        <w:t>E</w:t>
      </w:r>
      <w:r>
        <w:rPr>
          <w:rFonts w:hint="eastAsia"/>
          <w:i/>
          <w:iCs/>
          <w:color w:val="000000" w:themeColor="text1"/>
          <w:vertAlign w:val="subscript"/>
          <w14:textFill>
            <w14:solidFill>
              <w14:schemeClr w14:val="tx1"/>
            </w14:solidFill>
          </w14:textFill>
        </w:rPr>
        <w:t>Ri</w:t>
      </w:r>
      <w:r>
        <w:rPr>
          <w:rFonts w:hint="eastAsia"/>
          <w:color w:val="000000" w:themeColor="text1"/>
          <w14:textFill>
            <w14:solidFill>
              <w14:schemeClr w14:val="tx1"/>
            </w14:solidFill>
          </w14:textFill>
        </w:rPr>
        <w:t>———铺装道路的扬尘中P</w:t>
      </w:r>
      <w:r>
        <w:rPr>
          <w:rFonts w:hint="eastAsia"/>
          <w:color w:val="000000" w:themeColor="text1"/>
          <w:vertAlign w:val="subscript"/>
          <w14:textFill>
            <w14:solidFill>
              <w14:schemeClr w14:val="tx1"/>
            </w14:solidFill>
          </w14:textFill>
        </w:rPr>
        <w:t>Mi</w:t>
      </w:r>
      <w:r>
        <w:rPr>
          <w:rFonts w:hint="eastAsia"/>
          <w:color w:val="000000" w:themeColor="text1"/>
          <w14:textFill>
            <w14:solidFill>
              <w14:schemeClr w14:val="tx1"/>
            </w14:solidFill>
          </w14:textFill>
        </w:rPr>
        <w:t>排放系数（g/km）；</w:t>
      </w:r>
    </w:p>
    <w:p>
      <w:pPr>
        <w:pStyle w:val="283"/>
        <w:ind w:firstLine="462"/>
        <w:rPr>
          <w:color w:val="000000" w:themeColor="text1"/>
          <w14:textFill>
            <w14:solidFill>
              <w14:schemeClr w14:val="tx1"/>
            </w14:solidFill>
          </w14:textFill>
        </w:rPr>
      </w:pPr>
      <w:r>
        <w:rPr>
          <w:rFonts w:hint="eastAsia"/>
          <w:i/>
          <w:iCs/>
          <w:color w:val="000000" w:themeColor="text1"/>
          <w14:textFill>
            <w14:solidFill>
              <w14:schemeClr w14:val="tx1"/>
            </w14:solidFill>
          </w14:textFill>
        </w:rPr>
        <w:t>k</w:t>
      </w:r>
      <w:r>
        <w:rPr>
          <w:rFonts w:hint="eastAsia"/>
          <w:i/>
          <w:iCs/>
          <w:color w:val="000000" w:themeColor="text1"/>
          <w:vertAlign w:val="subscript"/>
          <w14:textFill>
            <w14:solidFill>
              <w14:schemeClr w14:val="tx1"/>
            </w14:solidFill>
          </w14:textFill>
        </w:rPr>
        <w:t>i</w:t>
      </w:r>
      <w:r>
        <w:rPr>
          <w:rFonts w:hint="eastAsia"/>
          <w:color w:val="000000" w:themeColor="text1"/>
          <w14:textFill>
            <w14:solidFill>
              <w14:schemeClr w14:val="tx1"/>
            </w14:solidFill>
          </w14:textFill>
        </w:rPr>
        <w:t>———扬尘中P</w:t>
      </w:r>
      <w:r>
        <w:rPr>
          <w:rFonts w:hint="eastAsia"/>
          <w:color w:val="000000" w:themeColor="text1"/>
          <w:vertAlign w:val="subscript"/>
          <w14:textFill>
            <w14:solidFill>
              <w14:schemeClr w14:val="tx1"/>
            </w14:solidFill>
          </w14:textFill>
        </w:rPr>
        <w:t>Mi</w:t>
      </w:r>
      <w:r>
        <w:rPr>
          <w:rFonts w:hint="eastAsia"/>
          <w:color w:val="000000" w:themeColor="text1"/>
          <w14:textFill>
            <w14:solidFill>
              <w14:schemeClr w14:val="tx1"/>
            </w14:solidFill>
          </w14:textFill>
        </w:rPr>
        <w:t>的粒度乘数，参考值见表2.4-7；</w:t>
      </w:r>
    </w:p>
    <w:p>
      <w:pPr>
        <w:pStyle w:val="283"/>
        <w:ind w:firstLine="462"/>
        <w:rPr>
          <w:color w:val="000000" w:themeColor="text1"/>
          <w14:textFill>
            <w14:solidFill>
              <w14:schemeClr w14:val="tx1"/>
            </w14:solidFill>
          </w14:textFill>
        </w:rPr>
      </w:pPr>
      <w:r>
        <w:rPr>
          <w:rFonts w:hint="eastAsia"/>
          <w:i/>
          <w:iCs/>
          <w:color w:val="000000" w:themeColor="text1"/>
          <w14:textFill>
            <w14:solidFill>
              <w14:schemeClr w14:val="tx1"/>
            </w14:solidFill>
          </w14:textFill>
        </w:rPr>
        <w:t>sL</w:t>
      </w:r>
      <w:r>
        <w:rPr>
          <w:rFonts w:hint="eastAsia"/>
          <w:color w:val="000000" w:themeColor="text1"/>
          <w14:textFill>
            <w14:solidFill>
              <w14:schemeClr w14:val="tx1"/>
            </w14:solidFill>
          </w14:textFill>
        </w:rPr>
        <w:t>——道路积尘负荷（g/m</w:t>
      </w:r>
      <w:r>
        <w:rPr>
          <w:rFonts w:hint="eastAsia"/>
          <w:color w:val="000000" w:themeColor="text1"/>
          <w:vertAlign w:val="superscript"/>
          <w14:textFill>
            <w14:solidFill>
              <w14:schemeClr w14:val="tx1"/>
            </w14:solidFill>
          </w14:textFill>
        </w:rPr>
        <w:t>2</w:t>
      </w:r>
      <w:r>
        <w:rPr>
          <w:rFonts w:hint="eastAsia"/>
          <w:color w:val="000000" w:themeColor="text1"/>
          <w14:textFill>
            <w14:solidFill>
              <w14:schemeClr w14:val="tx1"/>
            </w14:solidFill>
          </w14:textFill>
        </w:rPr>
        <w:t>），参照《防治城市扬尘污染技术规范》（HJ/T393-2007）附录C中道路类型为“优”的机动车道积尘负荷限定标准参考值，取1g/m</w:t>
      </w:r>
      <w:r>
        <w:rPr>
          <w:rFonts w:hint="eastAsia"/>
          <w:color w:val="000000" w:themeColor="text1"/>
          <w:vertAlign w:val="superscript"/>
          <w14:textFill>
            <w14:solidFill>
              <w14:schemeClr w14:val="tx1"/>
            </w14:solidFill>
          </w14:textFill>
        </w:rPr>
        <w:t>2</w:t>
      </w:r>
      <w:r>
        <w:rPr>
          <w:rFonts w:hint="eastAsia"/>
          <w:color w:val="000000" w:themeColor="text1"/>
          <w14:textFill>
            <w14:solidFill>
              <w14:schemeClr w14:val="tx1"/>
            </w14:solidFill>
          </w14:textFill>
        </w:rPr>
        <w:t>；</w:t>
      </w:r>
    </w:p>
    <w:p>
      <w:pPr>
        <w:pStyle w:val="283"/>
        <w:ind w:firstLine="462"/>
        <w:rPr>
          <w:color w:val="000000" w:themeColor="text1"/>
          <w14:textFill>
            <w14:solidFill>
              <w14:schemeClr w14:val="tx1"/>
            </w14:solidFill>
          </w14:textFill>
        </w:rPr>
      </w:pPr>
      <w:r>
        <w:rPr>
          <w:rFonts w:hint="eastAsia"/>
          <w:i/>
          <w:iCs/>
          <w:color w:val="000000" w:themeColor="text1"/>
          <w14:textFill>
            <w14:solidFill>
              <w14:schemeClr w14:val="tx1"/>
            </w14:solidFill>
          </w14:textFill>
        </w:rPr>
        <w:t>W</w:t>
      </w:r>
      <w:r>
        <w:rPr>
          <w:rFonts w:hint="eastAsia"/>
          <w:color w:val="000000" w:themeColor="text1"/>
          <w14:textFill>
            <w14:solidFill>
              <w14:schemeClr w14:val="tx1"/>
            </w14:solidFill>
          </w14:textFill>
        </w:rPr>
        <w:t>——平均车重（t），取40t；</w:t>
      </w:r>
    </w:p>
    <w:p>
      <w:pPr>
        <w:pStyle w:val="283"/>
        <w:ind w:firstLine="462"/>
        <w:rPr>
          <w:color w:val="000000" w:themeColor="text1"/>
          <w14:textFill>
            <w14:solidFill>
              <w14:schemeClr w14:val="tx1"/>
            </w14:solidFill>
          </w14:textFill>
        </w:rPr>
      </w:pPr>
      <w:r>
        <w:rPr>
          <w:rFonts w:hint="eastAsia"/>
          <w:i/>
          <w:iCs/>
          <w:color w:val="000000" w:themeColor="text1"/>
          <w14:textFill>
            <w14:solidFill>
              <w14:schemeClr w14:val="tx1"/>
            </w14:solidFill>
          </w14:textFill>
        </w:rPr>
        <w:t>η</w:t>
      </w:r>
      <w:r>
        <w:rPr>
          <w:rFonts w:hint="eastAsia"/>
          <w:color w:val="000000" w:themeColor="text1"/>
          <w14:textFill>
            <w14:solidFill>
              <w14:schemeClr w14:val="tx1"/>
            </w14:solidFill>
          </w14:textFill>
        </w:rPr>
        <w:t>——污染控制技术对扬尘的控制效率（%），推荐值见表2.4-8。</w:t>
      </w:r>
    </w:p>
    <w:p>
      <w:pPr>
        <w:pStyle w:val="283"/>
        <w:ind w:firstLine="462"/>
        <w:rPr>
          <w:color w:val="000000" w:themeColor="text1"/>
          <w14:textFill>
            <w14:solidFill>
              <w14:schemeClr w14:val="tx1"/>
            </w14:solidFill>
          </w14:textFill>
        </w:rPr>
      </w:pPr>
      <w:r>
        <w:rPr>
          <w:rFonts w:hint="eastAsia"/>
          <w:color w:val="000000" w:themeColor="text1"/>
          <w14:textFill>
            <w14:solidFill>
              <w14:schemeClr w14:val="tx1"/>
            </w14:solidFill>
          </w14:textFill>
        </w:rPr>
        <w:t>运输道路起尘源强参数见表2.4-9。</w:t>
      </w:r>
    </w:p>
    <w:p>
      <w:pPr>
        <w:pStyle w:val="384"/>
        <w:ind w:left="0" w:firstLine="0"/>
        <w:rPr>
          <w:rFonts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铺装道路产生颗粒物的粒度乘数</w:t>
      </w:r>
    </w:p>
    <w:tbl>
      <w:tblPr>
        <w:tblStyle w:val="88"/>
        <w:tblW w:w="8519" w:type="dxa"/>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2129"/>
        <w:gridCol w:w="2128"/>
        <w:gridCol w:w="2131"/>
        <w:gridCol w:w="2131"/>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2129" w:type="dxa"/>
            <w:vAlign w:val="center"/>
          </w:tcPr>
          <w:p>
            <w:pPr>
              <w:snapToGrid w:val="0"/>
              <w:spacing w:line="280" w:lineRule="exact"/>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粒径</w:t>
            </w:r>
          </w:p>
        </w:tc>
        <w:tc>
          <w:tcPr>
            <w:tcW w:w="2128" w:type="dxa"/>
            <w:vAlign w:val="center"/>
          </w:tcPr>
          <w:p>
            <w:pPr>
              <w:snapToGrid w:val="0"/>
              <w:spacing w:line="280" w:lineRule="exact"/>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TSP</w:t>
            </w:r>
          </w:p>
        </w:tc>
        <w:tc>
          <w:tcPr>
            <w:tcW w:w="2131" w:type="dxa"/>
            <w:vAlign w:val="center"/>
          </w:tcPr>
          <w:p>
            <w:pPr>
              <w:snapToGrid w:val="0"/>
              <w:spacing w:line="280" w:lineRule="exact"/>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PM</w:t>
            </w:r>
            <w:r>
              <w:rPr>
                <w:rFonts w:hint="eastAsia"/>
                <w:color w:val="000000" w:themeColor="text1"/>
                <w:sz w:val="21"/>
                <w:szCs w:val="21"/>
                <w:vertAlign w:val="subscript"/>
                <w14:textFill>
                  <w14:solidFill>
                    <w14:schemeClr w14:val="tx1"/>
                  </w14:solidFill>
                </w14:textFill>
              </w:rPr>
              <w:t>10</w:t>
            </w:r>
          </w:p>
        </w:tc>
        <w:tc>
          <w:tcPr>
            <w:tcW w:w="2131" w:type="dxa"/>
            <w:vAlign w:val="center"/>
          </w:tcPr>
          <w:p>
            <w:pPr>
              <w:snapToGrid w:val="0"/>
              <w:spacing w:line="280" w:lineRule="exact"/>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PM</w:t>
            </w:r>
            <w:r>
              <w:rPr>
                <w:rFonts w:hint="eastAsia"/>
                <w:color w:val="000000" w:themeColor="text1"/>
                <w:sz w:val="21"/>
                <w:szCs w:val="21"/>
                <w:vertAlign w:val="subscript"/>
                <w14:textFill>
                  <w14:solidFill>
                    <w14:schemeClr w14:val="tx1"/>
                  </w14:solidFill>
                </w14:textFill>
              </w:rPr>
              <w:t>2.5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2129" w:type="dxa"/>
            <w:vAlign w:val="center"/>
          </w:tcPr>
          <w:p>
            <w:pPr>
              <w:snapToGrid w:val="0"/>
              <w:spacing w:line="280" w:lineRule="exact"/>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粒度乘数</w:t>
            </w:r>
          </w:p>
        </w:tc>
        <w:tc>
          <w:tcPr>
            <w:tcW w:w="2128" w:type="dxa"/>
            <w:vAlign w:val="center"/>
          </w:tcPr>
          <w:p>
            <w:pPr>
              <w:snapToGrid w:val="0"/>
              <w:spacing w:line="280" w:lineRule="exact"/>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3.23</w:t>
            </w:r>
          </w:p>
        </w:tc>
        <w:tc>
          <w:tcPr>
            <w:tcW w:w="2131" w:type="dxa"/>
            <w:vAlign w:val="center"/>
          </w:tcPr>
          <w:p>
            <w:pPr>
              <w:snapToGrid w:val="0"/>
              <w:spacing w:line="280" w:lineRule="exact"/>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0.62</w:t>
            </w:r>
          </w:p>
        </w:tc>
        <w:tc>
          <w:tcPr>
            <w:tcW w:w="2131" w:type="dxa"/>
            <w:vAlign w:val="center"/>
          </w:tcPr>
          <w:p>
            <w:pPr>
              <w:snapToGrid w:val="0"/>
              <w:spacing w:line="280" w:lineRule="exact"/>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0.15</w:t>
            </w:r>
          </w:p>
        </w:tc>
      </w:tr>
    </w:tbl>
    <w:p>
      <w:pPr>
        <w:pStyle w:val="384"/>
        <w:ind w:left="0" w:firstLine="0"/>
        <w:rPr>
          <w:rFonts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铺装道路扬尘源控制措施的控制效率</w:t>
      </w:r>
    </w:p>
    <w:tbl>
      <w:tblPr>
        <w:tblStyle w:val="88"/>
        <w:tblW w:w="8519" w:type="dxa"/>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2129"/>
        <w:gridCol w:w="2128"/>
        <w:gridCol w:w="2131"/>
        <w:gridCol w:w="2131"/>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2129" w:type="dxa"/>
            <w:vAlign w:val="center"/>
          </w:tcPr>
          <w:p>
            <w:pPr>
              <w:snapToGrid w:val="0"/>
              <w:spacing w:line="280" w:lineRule="exact"/>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控制措施</w:t>
            </w:r>
          </w:p>
        </w:tc>
        <w:tc>
          <w:tcPr>
            <w:tcW w:w="2128" w:type="dxa"/>
            <w:vAlign w:val="center"/>
          </w:tcPr>
          <w:p>
            <w:pPr>
              <w:snapToGrid w:val="0"/>
              <w:spacing w:line="280" w:lineRule="exact"/>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TSP控制效率</w:t>
            </w:r>
          </w:p>
        </w:tc>
        <w:tc>
          <w:tcPr>
            <w:tcW w:w="2131" w:type="dxa"/>
            <w:vAlign w:val="center"/>
          </w:tcPr>
          <w:p>
            <w:pPr>
              <w:snapToGrid w:val="0"/>
              <w:spacing w:line="280" w:lineRule="exact"/>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PM</w:t>
            </w:r>
            <w:r>
              <w:rPr>
                <w:rFonts w:hint="eastAsia"/>
                <w:color w:val="000000" w:themeColor="text1"/>
                <w:sz w:val="21"/>
                <w:szCs w:val="21"/>
                <w:vertAlign w:val="subscript"/>
                <w14:textFill>
                  <w14:solidFill>
                    <w14:schemeClr w14:val="tx1"/>
                  </w14:solidFill>
                </w14:textFill>
              </w:rPr>
              <w:t>10</w:t>
            </w:r>
            <w:r>
              <w:rPr>
                <w:rFonts w:hint="eastAsia"/>
                <w:color w:val="000000" w:themeColor="text1"/>
                <w:sz w:val="21"/>
                <w:szCs w:val="21"/>
                <w14:textFill>
                  <w14:solidFill>
                    <w14:schemeClr w14:val="tx1"/>
                  </w14:solidFill>
                </w14:textFill>
              </w:rPr>
              <w:t>控制效率</w:t>
            </w:r>
          </w:p>
        </w:tc>
        <w:tc>
          <w:tcPr>
            <w:tcW w:w="2131" w:type="dxa"/>
            <w:vAlign w:val="center"/>
          </w:tcPr>
          <w:p>
            <w:pPr>
              <w:snapToGrid w:val="0"/>
              <w:spacing w:line="280" w:lineRule="exact"/>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PM</w:t>
            </w:r>
            <w:r>
              <w:rPr>
                <w:rFonts w:hint="eastAsia"/>
                <w:color w:val="000000" w:themeColor="text1"/>
                <w:sz w:val="21"/>
                <w:szCs w:val="21"/>
                <w:vertAlign w:val="subscript"/>
                <w14:textFill>
                  <w14:solidFill>
                    <w14:schemeClr w14:val="tx1"/>
                  </w14:solidFill>
                </w14:textFill>
              </w:rPr>
              <w:t>2.5</w:t>
            </w:r>
            <w:r>
              <w:rPr>
                <w:rFonts w:hint="eastAsia"/>
                <w:color w:val="000000" w:themeColor="text1"/>
                <w:sz w:val="21"/>
                <w:szCs w:val="21"/>
                <w14:textFill>
                  <w14:solidFill>
                    <w14:schemeClr w14:val="tx1"/>
                  </w14:solidFill>
                </w14:textFill>
              </w:rPr>
              <w:t>控制效率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2129" w:type="dxa"/>
            <w:vAlign w:val="center"/>
          </w:tcPr>
          <w:p>
            <w:pPr>
              <w:snapToGrid w:val="0"/>
              <w:spacing w:line="280" w:lineRule="exact"/>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洒水（2次/天）</w:t>
            </w:r>
          </w:p>
        </w:tc>
        <w:tc>
          <w:tcPr>
            <w:tcW w:w="2128" w:type="dxa"/>
            <w:vAlign w:val="center"/>
          </w:tcPr>
          <w:p>
            <w:pPr>
              <w:snapToGrid w:val="0"/>
              <w:spacing w:line="280" w:lineRule="exact"/>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66%</w:t>
            </w:r>
          </w:p>
        </w:tc>
        <w:tc>
          <w:tcPr>
            <w:tcW w:w="2131" w:type="dxa"/>
            <w:vAlign w:val="center"/>
          </w:tcPr>
          <w:p>
            <w:pPr>
              <w:snapToGrid w:val="0"/>
              <w:spacing w:line="280" w:lineRule="exact"/>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55%</w:t>
            </w:r>
          </w:p>
        </w:tc>
        <w:tc>
          <w:tcPr>
            <w:tcW w:w="2131" w:type="dxa"/>
            <w:vAlign w:val="center"/>
          </w:tcPr>
          <w:p>
            <w:pPr>
              <w:snapToGrid w:val="0"/>
              <w:spacing w:line="280" w:lineRule="exact"/>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46%</w:t>
            </w:r>
          </w:p>
        </w:tc>
      </w:tr>
    </w:tbl>
    <w:p>
      <w:pPr>
        <w:pStyle w:val="384"/>
        <w:ind w:left="0" w:firstLine="0"/>
        <w:rPr>
          <w:rFonts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运输道路起尘源强估算结果</w:t>
      </w:r>
    </w:p>
    <w:tbl>
      <w:tblPr>
        <w:tblStyle w:val="88"/>
        <w:tblW w:w="8522" w:type="dxa"/>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2054"/>
        <w:gridCol w:w="2463"/>
        <w:gridCol w:w="4005"/>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20" w:hRule="atLeast"/>
          <w:tblHeader/>
        </w:trPr>
        <w:tc>
          <w:tcPr>
            <w:tcW w:w="2054" w:type="dxa"/>
            <w:vAlign w:val="center"/>
          </w:tcPr>
          <w:p>
            <w:pPr>
              <w:snapToGrid w:val="0"/>
              <w:spacing w:line="280" w:lineRule="exact"/>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扬尘源</w:t>
            </w:r>
          </w:p>
        </w:tc>
        <w:tc>
          <w:tcPr>
            <w:tcW w:w="2463" w:type="dxa"/>
            <w:vAlign w:val="center"/>
          </w:tcPr>
          <w:p>
            <w:pPr>
              <w:snapToGrid w:val="0"/>
              <w:spacing w:line="280" w:lineRule="exact"/>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污染物类型</w:t>
            </w:r>
          </w:p>
        </w:tc>
        <w:tc>
          <w:tcPr>
            <w:tcW w:w="4005" w:type="dxa"/>
            <w:vAlign w:val="center"/>
          </w:tcPr>
          <w:p>
            <w:pPr>
              <w:snapToGrid w:val="0"/>
              <w:spacing w:line="280" w:lineRule="exact"/>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污染源源强（t/a）</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20" w:hRule="atLeast"/>
        </w:trPr>
        <w:tc>
          <w:tcPr>
            <w:tcW w:w="2054" w:type="dxa"/>
            <w:vMerge w:val="restart"/>
            <w:vAlign w:val="center"/>
          </w:tcPr>
          <w:p>
            <w:pPr>
              <w:snapToGrid w:val="0"/>
              <w:spacing w:line="280" w:lineRule="exact"/>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运输</w:t>
            </w:r>
            <w:r>
              <w:rPr>
                <w:color w:val="000000" w:themeColor="text1"/>
                <w:sz w:val="21"/>
                <w:szCs w:val="21"/>
                <w14:textFill>
                  <w14:solidFill>
                    <w14:schemeClr w14:val="tx1"/>
                  </w14:solidFill>
                </w14:textFill>
              </w:rPr>
              <w:t>道路</w:t>
            </w:r>
          </w:p>
        </w:tc>
        <w:tc>
          <w:tcPr>
            <w:tcW w:w="2463" w:type="dxa"/>
            <w:vAlign w:val="center"/>
          </w:tcPr>
          <w:p>
            <w:pPr>
              <w:snapToGrid w:val="0"/>
              <w:spacing w:line="280" w:lineRule="exact"/>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TSP</w:t>
            </w:r>
          </w:p>
        </w:tc>
        <w:tc>
          <w:tcPr>
            <w:tcW w:w="4005" w:type="dxa"/>
            <w:vAlign w:val="center"/>
          </w:tcPr>
          <w:p>
            <w:pPr>
              <w:snapToGrid w:val="0"/>
              <w:spacing w:line="280" w:lineRule="exact"/>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0.030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20" w:hRule="atLeast"/>
        </w:trPr>
        <w:tc>
          <w:tcPr>
            <w:tcW w:w="2054" w:type="dxa"/>
            <w:vMerge w:val="continue"/>
            <w:vAlign w:val="center"/>
          </w:tcPr>
          <w:p>
            <w:pPr>
              <w:snapToGrid w:val="0"/>
              <w:spacing w:line="280" w:lineRule="exact"/>
              <w:jc w:val="center"/>
              <w:rPr>
                <w:color w:val="000000" w:themeColor="text1"/>
                <w:sz w:val="21"/>
                <w:szCs w:val="21"/>
                <w14:textFill>
                  <w14:solidFill>
                    <w14:schemeClr w14:val="tx1"/>
                  </w14:solidFill>
                </w14:textFill>
              </w:rPr>
            </w:pPr>
          </w:p>
        </w:tc>
        <w:tc>
          <w:tcPr>
            <w:tcW w:w="2463" w:type="dxa"/>
            <w:vAlign w:val="center"/>
          </w:tcPr>
          <w:p>
            <w:pPr>
              <w:snapToGrid w:val="0"/>
              <w:spacing w:line="280" w:lineRule="exact"/>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PM</w:t>
            </w:r>
            <w:r>
              <w:rPr>
                <w:rFonts w:hint="eastAsia"/>
                <w:color w:val="000000" w:themeColor="text1"/>
                <w:sz w:val="21"/>
                <w:szCs w:val="21"/>
                <w:vertAlign w:val="subscript"/>
                <w14:textFill>
                  <w14:solidFill>
                    <w14:schemeClr w14:val="tx1"/>
                  </w14:solidFill>
                </w14:textFill>
              </w:rPr>
              <w:t>10</w:t>
            </w:r>
          </w:p>
        </w:tc>
        <w:tc>
          <w:tcPr>
            <w:tcW w:w="4005" w:type="dxa"/>
            <w:vAlign w:val="center"/>
          </w:tcPr>
          <w:p>
            <w:pPr>
              <w:snapToGrid w:val="0"/>
              <w:spacing w:line="280" w:lineRule="exact"/>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0.007</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20" w:hRule="atLeast"/>
        </w:trPr>
        <w:tc>
          <w:tcPr>
            <w:tcW w:w="2054" w:type="dxa"/>
            <w:vMerge w:val="continue"/>
            <w:vAlign w:val="center"/>
          </w:tcPr>
          <w:p>
            <w:pPr>
              <w:snapToGrid w:val="0"/>
              <w:spacing w:line="280" w:lineRule="exact"/>
              <w:jc w:val="center"/>
              <w:rPr>
                <w:color w:val="000000" w:themeColor="text1"/>
                <w:sz w:val="21"/>
                <w:szCs w:val="21"/>
                <w14:textFill>
                  <w14:solidFill>
                    <w14:schemeClr w14:val="tx1"/>
                  </w14:solidFill>
                </w14:textFill>
              </w:rPr>
            </w:pPr>
          </w:p>
        </w:tc>
        <w:tc>
          <w:tcPr>
            <w:tcW w:w="2463" w:type="dxa"/>
            <w:vAlign w:val="center"/>
          </w:tcPr>
          <w:p>
            <w:pPr>
              <w:snapToGrid w:val="0"/>
              <w:spacing w:line="280" w:lineRule="exact"/>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PM</w:t>
            </w:r>
            <w:r>
              <w:rPr>
                <w:rFonts w:hint="eastAsia"/>
                <w:color w:val="000000" w:themeColor="text1"/>
                <w:sz w:val="21"/>
                <w:szCs w:val="21"/>
                <w:vertAlign w:val="subscript"/>
                <w14:textFill>
                  <w14:solidFill>
                    <w14:schemeClr w14:val="tx1"/>
                  </w14:solidFill>
                </w14:textFill>
              </w:rPr>
              <w:t>2.5</w:t>
            </w:r>
          </w:p>
        </w:tc>
        <w:tc>
          <w:tcPr>
            <w:tcW w:w="4005" w:type="dxa"/>
            <w:vAlign w:val="center"/>
          </w:tcPr>
          <w:p>
            <w:pPr>
              <w:snapToGrid w:val="0"/>
              <w:spacing w:line="280" w:lineRule="exact"/>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0.002</w:t>
            </w:r>
          </w:p>
        </w:tc>
      </w:tr>
    </w:tbl>
    <w:p>
      <w:pPr>
        <w:pStyle w:val="6"/>
        <w:rPr>
          <w:color w:val="000000" w:themeColor="text1"/>
          <w14:textFill>
            <w14:solidFill>
              <w14:schemeClr w14:val="tx1"/>
            </w14:solidFill>
          </w14:textFill>
        </w:rPr>
      </w:pPr>
      <w:r>
        <w:rPr>
          <w:color w:val="000000" w:themeColor="text1"/>
          <w14:textFill>
            <w14:solidFill>
              <w14:schemeClr w14:val="tx1"/>
            </w14:solidFill>
          </w14:textFill>
        </w:rPr>
        <w:t>声环境污染源</w:t>
      </w:r>
    </w:p>
    <w:p>
      <w:pPr>
        <w:ind w:firstLine="480"/>
        <w:rPr>
          <w:color w:val="000000" w:themeColor="text1"/>
          <w:sz w:val="28"/>
          <w:szCs w:val="28"/>
          <w14:textFill>
            <w14:solidFill>
              <w14:schemeClr w14:val="tx1"/>
            </w14:solidFill>
          </w14:textFill>
        </w:rPr>
      </w:pPr>
      <w:r>
        <w:rPr>
          <w:color w:val="000000" w:themeColor="text1"/>
          <w14:textFill>
            <w14:solidFill>
              <w14:schemeClr w14:val="tx1"/>
            </w14:solidFill>
          </w14:textFill>
        </w:rPr>
        <w:t>本项目扩建工程噪声源主要为码头新增进出港船舶辅机运行、装卸作业噪声，</w:t>
      </w:r>
      <w:r>
        <w:rPr>
          <w:rFonts w:hint="eastAsia"/>
          <w:color w:val="000000" w:themeColor="text1"/>
          <w14:textFill>
            <w14:solidFill>
              <w14:schemeClr w14:val="tx1"/>
            </w14:solidFill>
          </w14:textFill>
        </w:rPr>
        <w:t>22号堆场新增2台双小车岸桥，扩建工程新增1条集装箱堆场，配备2台双悬臂轨道吊，水平运输新增14台IGV小车，与原9号10号泊位装卸工艺一致，项目噪声污染源较扩建前基本维持不变</w:t>
      </w:r>
      <w:r>
        <w:rPr>
          <w:color w:val="000000" w:themeColor="text1"/>
          <w14:textFill>
            <w14:solidFill>
              <w14:schemeClr w14:val="tx1"/>
            </w14:solidFill>
          </w14:textFill>
        </w:rPr>
        <w:t>。根据《港口工程环境保护设计规范》（JTS149-1-2007），运营期主要设备噪声级见表</w:t>
      </w:r>
      <w:r>
        <w:rPr>
          <w:rFonts w:hint="eastAsia"/>
          <w:color w:val="000000" w:themeColor="text1"/>
          <w14:textFill>
            <w14:solidFill>
              <w14:schemeClr w14:val="tx1"/>
            </w14:solidFill>
          </w14:textFill>
        </w:rPr>
        <w:t>2.4-10。</w:t>
      </w:r>
    </w:p>
    <w:p>
      <w:pPr>
        <w:pStyle w:val="384"/>
        <w:ind w:left="0" w:firstLine="0"/>
        <w:rPr>
          <w:rFonts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运营期主要设备噪声级</w:t>
      </w:r>
    </w:p>
    <w:tbl>
      <w:tblPr>
        <w:tblStyle w:val="88"/>
        <w:tblW w:w="8522" w:type="dxa"/>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1704"/>
        <w:gridCol w:w="1704"/>
        <w:gridCol w:w="1704"/>
        <w:gridCol w:w="1705"/>
        <w:gridCol w:w="1705"/>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blHeader/>
        </w:trPr>
        <w:tc>
          <w:tcPr>
            <w:tcW w:w="1704" w:type="dxa"/>
          </w:tcPr>
          <w:p>
            <w:pPr>
              <w:widowControl/>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序号</w:t>
            </w:r>
          </w:p>
        </w:tc>
        <w:tc>
          <w:tcPr>
            <w:tcW w:w="1704" w:type="dxa"/>
          </w:tcPr>
          <w:p>
            <w:pPr>
              <w:widowControl/>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噪声源</w:t>
            </w:r>
          </w:p>
        </w:tc>
        <w:tc>
          <w:tcPr>
            <w:tcW w:w="1704" w:type="dxa"/>
          </w:tcPr>
          <w:p>
            <w:pPr>
              <w:widowControl/>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测点距离（m）</w:t>
            </w:r>
          </w:p>
        </w:tc>
        <w:tc>
          <w:tcPr>
            <w:tcW w:w="1705" w:type="dxa"/>
          </w:tcPr>
          <w:p>
            <w:pPr>
              <w:widowControl/>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数量</w:t>
            </w:r>
          </w:p>
        </w:tc>
        <w:tc>
          <w:tcPr>
            <w:tcW w:w="1705" w:type="dxa"/>
          </w:tcPr>
          <w:p>
            <w:pPr>
              <w:widowControl/>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最大噪声级</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c>
          <w:tcPr>
            <w:tcW w:w="1704" w:type="dxa"/>
          </w:tcPr>
          <w:p>
            <w:pPr>
              <w:widowControl/>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1</w:t>
            </w:r>
          </w:p>
        </w:tc>
        <w:tc>
          <w:tcPr>
            <w:tcW w:w="1704" w:type="dxa"/>
          </w:tcPr>
          <w:p>
            <w:pPr>
              <w:widowControl/>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集装箱</w:t>
            </w:r>
            <w:r>
              <w:rPr>
                <w:rFonts w:hint="eastAsia"/>
                <w:color w:val="000000" w:themeColor="text1"/>
                <w:kern w:val="0"/>
                <w:sz w:val="21"/>
                <w:szCs w:val="21"/>
                <w14:textFill>
                  <w14:solidFill>
                    <w14:schemeClr w14:val="tx1"/>
                  </w14:solidFill>
                </w14:textFill>
              </w:rPr>
              <w:t>装卸桥</w:t>
            </w:r>
          </w:p>
        </w:tc>
        <w:tc>
          <w:tcPr>
            <w:tcW w:w="1704" w:type="dxa"/>
          </w:tcPr>
          <w:p>
            <w:pPr>
              <w:widowControl/>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5</w:t>
            </w:r>
          </w:p>
        </w:tc>
        <w:tc>
          <w:tcPr>
            <w:tcW w:w="1705" w:type="dxa"/>
          </w:tcPr>
          <w:p>
            <w:pPr>
              <w:widowControl/>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5</w:t>
            </w:r>
          </w:p>
        </w:tc>
        <w:tc>
          <w:tcPr>
            <w:tcW w:w="1705" w:type="dxa"/>
          </w:tcPr>
          <w:p>
            <w:pPr>
              <w:widowControl/>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103</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c>
          <w:tcPr>
            <w:tcW w:w="1704" w:type="dxa"/>
          </w:tcPr>
          <w:p>
            <w:pPr>
              <w:widowControl/>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2</w:t>
            </w:r>
          </w:p>
        </w:tc>
        <w:tc>
          <w:tcPr>
            <w:tcW w:w="1704" w:type="dxa"/>
          </w:tcPr>
          <w:p>
            <w:pPr>
              <w:widowControl/>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轨道吊</w:t>
            </w:r>
          </w:p>
        </w:tc>
        <w:tc>
          <w:tcPr>
            <w:tcW w:w="1704" w:type="dxa"/>
          </w:tcPr>
          <w:p>
            <w:pPr>
              <w:widowControl/>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5</w:t>
            </w:r>
          </w:p>
        </w:tc>
        <w:tc>
          <w:tcPr>
            <w:tcW w:w="1705" w:type="dxa"/>
          </w:tcPr>
          <w:p>
            <w:pPr>
              <w:widowControl/>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16</w:t>
            </w:r>
          </w:p>
        </w:tc>
        <w:tc>
          <w:tcPr>
            <w:tcW w:w="1705" w:type="dxa"/>
          </w:tcPr>
          <w:p>
            <w:pPr>
              <w:widowControl/>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90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c>
          <w:tcPr>
            <w:tcW w:w="1704" w:type="dxa"/>
          </w:tcPr>
          <w:p>
            <w:pPr>
              <w:widowControl/>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3</w:t>
            </w:r>
          </w:p>
        </w:tc>
        <w:tc>
          <w:tcPr>
            <w:tcW w:w="1704" w:type="dxa"/>
          </w:tcPr>
          <w:p>
            <w:pPr>
              <w:widowControl/>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IGV小车</w:t>
            </w:r>
          </w:p>
        </w:tc>
        <w:tc>
          <w:tcPr>
            <w:tcW w:w="1704" w:type="dxa"/>
          </w:tcPr>
          <w:p>
            <w:pPr>
              <w:widowControl/>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5</w:t>
            </w:r>
          </w:p>
        </w:tc>
        <w:tc>
          <w:tcPr>
            <w:tcW w:w="1705" w:type="dxa"/>
          </w:tcPr>
          <w:p>
            <w:pPr>
              <w:widowControl/>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3</w:t>
            </w:r>
          </w:p>
        </w:tc>
        <w:tc>
          <w:tcPr>
            <w:tcW w:w="1705" w:type="dxa"/>
          </w:tcPr>
          <w:p>
            <w:pPr>
              <w:widowControl/>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70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c>
          <w:tcPr>
            <w:tcW w:w="1704" w:type="dxa"/>
          </w:tcPr>
          <w:p>
            <w:pPr>
              <w:widowControl/>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4</w:t>
            </w:r>
          </w:p>
        </w:tc>
        <w:tc>
          <w:tcPr>
            <w:tcW w:w="1704" w:type="dxa"/>
          </w:tcPr>
          <w:p>
            <w:pPr>
              <w:widowControl/>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船舶</w:t>
            </w:r>
          </w:p>
        </w:tc>
        <w:tc>
          <w:tcPr>
            <w:tcW w:w="1704" w:type="dxa"/>
          </w:tcPr>
          <w:p>
            <w:pPr>
              <w:widowControl/>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10</w:t>
            </w:r>
          </w:p>
        </w:tc>
        <w:tc>
          <w:tcPr>
            <w:tcW w:w="1705" w:type="dxa"/>
          </w:tcPr>
          <w:p>
            <w:pPr>
              <w:widowControl/>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w:t>
            </w:r>
          </w:p>
        </w:tc>
        <w:tc>
          <w:tcPr>
            <w:tcW w:w="1705" w:type="dxa"/>
          </w:tcPr>
          <w:p>
            <w:pPr>
              <w:widowControl/>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90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c>
          <w:tcPr>
            <w:tcW w:w="1704" w:type="dxa"/>
          </w:tcPr>
          <w:p>
            <w:pPr>
              <w:widowControl/>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5</w:t>
            </w:r>
          </w:p>
        </w:tc>
        <w:tc>
          <w:tcPr>
            <w:tcW w:w="1704" w:type="dxa"/>
          </w:tcPr>
          <w:p>
            <w:pPr>
              <w:widowControl/>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进出港运输集卡</w:t>
            </w:r>
          </w:p>
        </w:tc>
        <w:tc>
          <w:tcPr>
            <w:tcW w:w="1704" w:type="dxa"/>
          </w:tcPr>
          <w:p>
            <w:pPr>
              <w:widowControl/>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w:t>
            </w:r>
          </w:p>
        </w:tc>
        <w:tc>
          <w:tcPr>
            <w:tcW w:w="1705" w:type="dxa"/>
          </w:tcPr>
          <w:p>
            <w:pPr>
              <w:widowControl/>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w:t>
            </w:r>
          </w:p>
        </w:tc>
        <w:tc>
          <w:tcPr>
            <w:tcW w:w="1705" w:type="dxa"/>
          </w:tcPr>
          <w:p>
            <w:pPr>
              <w:widowControl/>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82</w:t>
            </w:r>
          </w:p>
        </w:tc>
      </w:tr>
    </w:tbl>
    <w:p>
      <w:pPr>
        <w:pStyle w:val="6"/>
        <w:rPr>
          <w:color w:val="000000" w:themeColor="text1"/>
          <w14:textFill>
            <w14:solidFill>
              <w14:schemeClr w14:val="tx1"/>
            </w14:solidFill>
          </w14:textFill>
        </w:rPr>
      </w:pPr>
      <w:r>
        <w:rPr>
          <w:color w:val="000000" w:themeColor="text1"/>
          <w14:textFill>
            <w14:solidFill>
              <w14:schemeClr w14:val="tx1"/>
            </w14:solidFill>
          </w14:textFill>
        </w:rPr>
        <w:t>生态环境</w:t>
      </w:r>
    </w:p>
    <w:p>
      <w:pPr>
        <w:pStyle w:val="283"/>
        <w:ind w:firstLine="462"/>
        <w:rPr>
          <w:color w:val="000000" w:themeColor="text1"/>
          <w14:textFill>
            <w14:solidFill>
              <w14:schemeClr w14:val="tx1"/>
            </w14:solidFill>
          </w14:textFill>
        </w:rPr>
      </w:pPr>
      <w:r>
        <w:rPr>
          <w:snapToGrid w:val="0"/>
          <w:color w:val="000000" w:themeColor="text1"/>
          <w14:textFill>
            <w14:solidFill>
              <w14:schemeClr w14:val="tx1"/>
            </w14:solidFill>
          </w14:textFill>
        </w:rPr>
        <w:t>运营期码头作业、船舶运行密度增加以及相关污染物的排放，将破坏原有水生生境，影响水生生物的正常生长、繁衍，鱼类中不适应新生境的物种可以通过主动迁徙避开该影响；随着项目的</w:t>
      </w:r>
      <w:r>
        <w:rPr>
          <w:rFonts w:hint="eastAsia"/>
          <w:snapToGrid w:val="0"/>
          <w:color w:val="000000" w:themeColor="text1"/>
          <w14:textFill>
            <w14:solidFill>
              <w14:schemeClr w14:val="tx1"/>
            </w14:solidFill>
          </w14:textFill>
        </w:rPr>
        <w:t>运营</w:t>
      </w:r>
      <w:r>
        <w:rPr>
          <w:snapToGrid w:val="0"/>
          <w:color w:val="000000" w:themeColor="text1"/>
          <w14:textFill>
            <w14:solidFill>
              <w14:schemeClr w14:val="tx1"/>
            </w14:solidFill>
          </w14:textFill>
        </w:rPr>
        <w:t>，经过一段时间，能适应新环境的水生生物又会在此择地而居，形成新的生态平衡。此外，港区建设及营运增加航运船舶密度，可能引起船舶事故的</w:t>
      </w:r>
      <w:r>
        <w:rPr>
          <w:rFonts w:hint="eastAsia"/>
          <w:snapToGrid w:val="0"/>
          <w:color w:val="000000" w:themeColor="text1"/>
          <w14:textFill>
            <w14:solidFill>
              <w14:schemeClr w14:val="tx1"/>
            </w14:solidFill>
          </w14:textFill>
        </w:rPr>
        <w:t>概率</w:t>
      </w:r>
      <w:r>
        <w:rPr>
          <w:snapToGrid w:val="0"/>
          <w:color w:val="000000" w:themeColor="text1"/>
          <w14:textFill>
            <w14:solidFill>
              <w14:schemeClr w14:val="tx1"/>
            </w14:solidFill>
          </w14:textFill>
        </w:rPr>
        <w:t>增大（如溢油污染），使区域水生生态环境及水生生物的生存受潜在威胁。</w:t>
      </w:r>
    </w:p>
    <w:p>
      <w:pPr>
        <w:pStyle w:val="6"/>
        <w:rPr>
          <w:color w:val="000000" w:themeColor="text1"/>
          <w14:textFill>
            <w14:solidFill>
              <w14:schemeClr w14:val="tx1"/>
            </w14:solidFill>
          </w14:textFill>
        </w:rPr>
      </w:pPr>
      <w:r>
        <w:rPr>
          <w:color w:val="000000" w:themeColor="text1"/>
          <w14:textFill>
            <w14:solidFill>
              <w14:schemeClr w14:val="tx1"/>
            </w14:solidFill>
          </w14:textFill>
        </w:rPr>
        <w:t>固体废物</w:t>
      </w:r>
    </w:p>
    <w:p>
      <w:pPr>
        <w:pStyle w:val="283"/>
        <w:ind w:firstLine="462"/>
        <w:rPr>
          <w:color w:val="000000" w:themeColor="text1"/>
          <w14:textFill>
            <w14:solidFill>
              <w14:schemeClr w14:val="tx1"/>
            </w14:solidFill>
          </w14:textFill>
        </w:rPr>
      </w:pPr>
      <w:bookmarkStart w:id="122" w:name="OLE_LINK9"/>
      <w:r>
        <w:rPr>
          <w:rFonts w:hint="eastAsia"/>
          <w:color w:val="000000" w:themeColor="text1"/>
          <w14:textFill>
            <w14:solidFill>
              <w14:schemeClr w14:val="tx1"/>
            </w14:solidFill>
          </w14:textFill>
        </w:rPr>
        <w:t>本项目运营期固体废物主要来自到港船舶生活垃圾、陆域生活垃圾等。</w:t>
      </w:r>
    </w:p>
    <w:p>
      <w:pPr>
        <w:pStyle w:val="283"/>
        <w:ind w:firstLine="462"/>
        <w:rPr>
          <w:color w:val="000000" w:themeColor="text1"/>
          <w14:textFill>
            <w14:solidFill>
              <w14:schemeClr w14:val="tx1"/>
            </w14:solidFill>
          </w14:textFill>
        </w:rPr>
      </w:pPr>
      <w:r>
        <w:rPr>
          <w:rFonts w:hint="eastAsia"/>
          <w:color w:val="000000" w:themeColor="text1"/>
          <w14:textFill>
            <w14:solidFill>
              <w14:schemeClr w14:val="tx1"/>
            </w14:solidFill>
          </w14:textFill>
        </w:rPr>
        <w:t>1、</w:t>
      </w:r>
      <w:r>
        <w:rPr>
          <w:color w:val="000000" w:themeColor="text1"/>
          <w14:textFill>
            <w14:solidFill>
              <w14:schemeClr w14:val="tx1"/>
            </w14:solidFill>
          </w14:textFill>
        </w:rPr>
        <w:t>到港船舶</w:t>
      </w:r>
      <w:r>
        <w:rPr>
          <w:rFonts w:hint="eastAsia"/>
          <w:color w:val="000000" w:themeColor="text1"/>
          <w14:textFill>
            <w14:solidFill>
              <w14:schemeClr w14:val="tx1"/>
            </w14:solidFill>
          </w14:textFill>
        </w:rPr>
        <w:t>生活</w:t>
      </w:r>
      <w:r>
        <w:rPr>
          <w:color w:val="000000" w:themeColor="text1"/>
          <w14:textFill>
            <w14:solidFill>
              <w14:schemeClr w14:val="tx1"/>
            </w14:solidFill>
          </w14:textFill>
        </w:rPr>
        <w:t>垃圾</w:t>
      </w:r>
    </w:p>
    <w:p>
      <w:pPr>
        <w:pStyle w:val="283"/>
        <w:ind w:firstLine="462"/>
        <w:rPr>
          <w:color w:val="000000" w:themeColor="text1"/>
          <w14:textFill>
            <w14:solidFill>
              <w14:schemeClr w14:val="tx1"/>
            </w14:solidFill>
          </w14:textFill>
        </w:rPr>
      </w:pPr>
      <w:r>
        <w:rPr>
          <w:color w:val="000000" w:themeColor="text1"/>
          <w14:textFill>
            <w14:solidFill>
              <w14:schemeClr w14:val="tx1"/>
            </w14:solidFill>
          </w14:textFill>
        </w:rPr>
        <w:t>根据</w:t>
      </w:r>
      <w:r>
        <w:rPr>
          <w:rFonts w:hint="eastAsia"/>
          <w:color w:val="000000" w:themeColor="text1"/>
          <w14:textFill>
            <w14:solidFill>
              <w14:schemeClr w14:val="tx1"/>
            </w14:solidFill>
          </w14:textFill>
        </w:rPr>
        <w:t>本次扩建新增到港船舶约50艘，到港船舶船员按30人计，</w:t>
      </w:r>
      <w:r>
        <w:rPr>
          <w:color w:val="000000" w:themeColor="text1"/>
          <w14:textFill>
            <w14:solidFill>
              <w14:schemeClr w14:val="tx1"/>
            </w14:solidFill>
          </w14:textFill>
        </w:rPr>
        <w:t>船员生活垃圾产生量按1.5kg/天·人计算，到港船舶生活垃圾产生量约为</w:t>
      </w:r>
      <w:r>
        <w:rPr>
          <w:rFonts w:hint="eastAsia"/>
          <w:color w:val="000000" w:themeColor="text1"/>
          <w14:textFill>
            <w14:solidFill>
              <w14:schemeClr w14:val="tx1"/>
            </w14:solidFill>
          </w14:textFill>
        </w:rPr>
        <w:t>22.5</w:t>
      </w:r>
      <w:r>
        <w:rPr>
          <w:color w:val="000000" w:themeColor="text1"/>
          <w14:textFill>
            <w14:solidFill>
              <w14:schemeClr w14:val="tx1"/>
            </w14:solidFill>
          </w14:textFill>
        </w:rPr>
        <w:t>kg/d，年产生量为</w:t>
      </w:r>
      <w:r>
        <w:rPr>
          <w:rFonts w:hint="eastAsia"/>
          <w:color w:val="000000" w:themeColor="text1"/>
          <w14:textFill>
            <w14:solidFill>
              <w14:schemeClr w14:val="tx1"/>
            </w14:solidFill>
          </w14:textFill>
        </w:rPr>
        <w:t>7.43</w:t>
      </w:r>
      <w:r>
        <w:rPr>
          <w:color w:val="000000" w:themeColor="text1"/>
          <w14:textFill>
            <w14:solidFill>
              <w14:schemeClr w14:val="tx1"/>
            </w14:solidFill>
          </w14:textFill>
        </w:rPr>
        <w:t>t/a。</w:t>
      </w:r>
      <w:r>
        <w:rPr>
          <w:rFonts w:hint="eastAsia"/>
          <w:color w:val="000000" w:themeColor="text1"/>
          <w14:textFill>
            <w14:solidFill>
              <w14:schemeClr w14:val="tx1"/>
            </w14:solidFill>
          </w14:textFill>
        </w:rPr>
        <w:t>本项目为扩建工程，</w:t>
      </w:r>
      <w:r>
        <w:rPr>
          <w:color w:val="000000" w:themeColor="text1"/>
          <w14:textFill>
            <w14:solidFill>
              <w14:schemeClr w14:val="tx1"/>
            </w14:solidFill>
          </w14:textFill>
        </w:rPr>
        <w:t>运营期到港船舶</w:t>
      </w:r>
      <w:r>
        <w:rPr>
          <w:rFonts w:hint="eastAsia"/>
          <w:color w:val="000000" w:themeColor="text1"/>
          <w14:textFill>
            <w14:solidFill>
              <w14:schemeClr w14:val="tx1"/>
            </w14:solidFill>
          </w14:textFill>
        </w:rPr>
        <w:t>生活</w:t>
      </w:r>
      <w:r>
        <w:rPr>
          <w:color w:val="000000" w:themeColor="text1"/>
          <w14:textFill>
            <w14:solidFill>
              <w14:schemeClr w14:val="tx1"/>
            </w14:solidFill>
          </w14:textFill>
        </w:rPr>
        <w:t>垃圾与现有</w:t>
      </w:r>
      <w:r>
        <w:rPr>
          <w:rFonts w:hint="eastAsia"/>
          <w:color w:val="000000" w:themeColor="text1"/>
          <w14:textFill>
            <w14:solidFill>
              <w14:schemeClr w14:val="tx1"/>
            </w14:solidFill>
          </w14:textFill>
        </w:rPr>
        <w:t>9号10号码头生活垃圾处理方式相同，委托有资质的单位接收处理。</w:t>
      </w:r>
    </w:p>
    <w:p>
      <w:pPr>
        <w:pStyle w:val="283"/>
        <w:ind w:firstLine="462"/>
        <w:rPr>
          <w:color w:val="000000" w:themeColor="text1"/>
          <w14:textFill>
            <w14:solidFill>
              <w14:schemeClr w14:val="tx1"/>
            </w14:solidFill>
          </w14:textFill>
        </w:rPr>
      </w:pPr>
      <w:r>
        <w:rPr>
          <w:rFonts w:hint="eastAsia"/>
          <w:color w:val="000000" w:themeColor="text1"/>
          <w14:textFill>
            <w14:solidFill>
              <w14:schemeClr w14:val="tx1"/>
            </w14:solidFill>
          </w14:textFill>
        </w:rPr>
        <w:t>2、陆域</w:t>
      </w:r>
      <w:r>
        <w:rPr>
          <w:color w:val="000000" w:themeColor="text1"/>
          <w14:textFill>
            <w14:solidFill>
              <w14:schemeClr w14:val="tx1"/>
            </w14:solidFill>
          </w14:textFill>
        </w:rPr>
        <w:t>固体废物</w:t>
      </w:r>
    </w:p>
    <w:p>
      <w:pPr>
        <w:pStyle w:val="283"/>
        <w:ind w:firstLine="462"/>
        <w:rPr>
          <w:color w:val="000000" w:themeColor="text1"/>
          <w:kern w:val="2"/>
          <w14:textFill>
            <w14:solidFill>
              <w14:schemeClr w14:val="tx1"/>
            </w14:solidFill>
          </w14:textFill>
        </w:rPr>
      </w:pPr>
      <w:r>
        <w:rPr>
          <w:color w:val="000000" w:themeColor="text1"/>
          <w14:textFill>
            <w14:solidFill>
              <w14:schemeClr w14:val="tx1"/>
            </w14:solidFill>
          </w14:textFill>
        </w:rPr>
        <w:t>本</w:t>
      </w:r>
      <w:r>
        <w:rPr>
          <w:rFonts w:hint="eastAsia"/>
          <w:color w:val="000000" w:themeColor="text1"/>
          <w14:textFill>
            <w14:solidFill>
              <w14:schemeClr w14:val="tx1"/>
            </w14:solidFill>
          </w14:textFill>
        </w:rPr>
        <w:t>次</w:t>
      </w:r>
      <w:r>
        <w:rPr>
          <w:color w:val="000000" w:themeColor="text1"/>
          <w14:textFill>
            <w14:solidFill>
              <w14:schemeClr w14:val="tx1"/>
            </w14:solidFill>
          </w14:textFill>
        </w:rPr>
        <w:t>扩建后</w:t>
      </w:r>
      <w:r>
        <w:rPr>
          <w:rFonts w:hint="eastAsia"/>
          <w:color w:val="000000" w:themeColor="text1"/>
          <w14:textFill>
            <w14:solidFill>
              <w14:schemeClr w14:val="tx1"/>
            </w14:solidFill>
          </w14:textFill>
        </w:rPr>
        <w:t>港区新增定员41人，工作期间生活垃圾产生量按1</w:t>
      </w:r>
      <w:r>
        <w:rPr>
          <w:color w:val="000000" w:themeColor="text1"/>
          <w14:textFill>
            <w14:solidFill>
              <w14:schemeClr w14:val="tx1"/>
            </w14:solidFill>
          </w14:textFill>
        </w:rPr>
        <w:t>kg/</w:t>
      </w:r>
      <w:r>
        <w:rPr>
          <w:rFonts w:hint="eastAsia"/>
          <w:color w:val="000000" w:themeColor="text1"/>
          <w14:textFill>
            <w14:solidFill>
              <w14:schemeClr w14:val="tx1"/>
            </w14:solidFill>
          </w14:textFill>
        </w:rPr>
        <w:t>天人计算，产生量为41</w:t>
      </w:r>
      <w:r>
        <w:rPr>
          <w:color w:val="000000" w:themeColor="text1"/>
          <w14:textFill>
            <w14:solidFill>
              <w14:schemeClr w14:val="tx1"/>
            </w14:solidFill>
          </w14:textFill>
        </w:rPr>
        <w:t>kg/d</w:t>
      </w:r>
      <w:r>
        <w:rPr>
          <w:rFonts w:hint="eastAsia"/>
          <w:color w:val="000000" w:themeColor="text1"/>
          <w14:textFill>
            <w14:solidFill>
              <w14:schemeClr w14:val="tx1"/>
            </w14:solidFill>
          </w14:textFill>
        </w:rPr>
        <w:t>，年生活垃圾产生量约13.53</w:t>
      </w:r>
      <w:r>
        <w:rPr>
          <w:color w:val="000000" w:themeColor="text1"/>
          <w14:textFill>
            <w14:solidFill>
              <w14:schemeClr w14:val="tx1"/>
            </w14:solidFill>
          </w14:textFill>
        </w:rPr>
        <w:t>t/a</w:t>
      </w:r>
      <w:r>
        <w:rPr>
          <w:rFonts w:hint="eastAsia"/>
          <w:color w:val="000000" w:themeColor="text1"/>
          <w14:textFill>
            <w14:solidFill>
              <w14:schemeClr w14:val="tx1"/>
            </w14:solidFill>
          </w14:textFill>
        </w:rPr>
        <w:t>，收集后生活垃圾集中堆放在7号8号泊位后方的垃圾中转站内，再由钦州港环卫部门上门清运处理。</w:t>
      </w:r>
    </w:p>
    <w:p>
      <w:pPr>
        <w:pStyle w:val="283"/>
        <w:ind w:firstLine="462"/>
        <w:rPr>
          <w:color w:val="000000" w:themeColor="text1"/>
          <w14:textFill>
            <w14:solidFill>
              <w14:schemeClr w14:val="tx1"/>
            </w14:solidFill>
          </w14:textFill>
        </w:rPr>
      </w:pPr>
      <w:r>
        <w:rPr>
          <w:rFonts w:hint="eastAsia"/>
          <w:color w:val="000000" w:themeColor="text1"/>
          <w14:textFill>
            <w14:solidFill>
              <w14:schemeClr w14:val="tx1"/>
            </w14:solidFill>
          </w14:textFill>
        </w:rPr>
        <w:t>7#~10#泊位机械保养作业均发生于7号8号泊位陆域后方维修间，产生危险废物存放于7号8号泊位后方危险废物贮存</w:t>
      </w:r>
      <w:r>
        <w:rPr>
          <w:color w:val="000000" w:themeColor="text1"/>
          <w14:textFill>
            <w14:solidFill>
              <w14:schemeClr w14:val="tx1"/>
            </w14:solidFill>
          </w14:textFill>
        </w:rPr>
        <w:t>间</w:t>
      </w:r>
      <w:r>
        <w:rPr>
          <w:rFonts w:hint="eastAsia"/>
          <w:color w:val="000000" w:themeColor="text1"/>
          <w14:textFill>
            <w14:solidFill>
              <w14:schemeClr w14:val="tx1"/>
            </w14:solidFill>
          </w14:textFill>
        </w:rPr>
        <w:t>内，委托有资质的污染物接收单位接收处理</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本项目不产生危险废物。</w:t>
      </w:r>
      <w:bookmarkEnd w:id="122"/>
    </w:p>
    <w:p>
      <w:pPr>
        <w:pStyle w:val="6"/>
        <w:rPr>
          <w:color w:val="000000" w:themeColor="text1"/>
          <w14:textFill>
            <w14:solidFill>
              <w14:schemeClr w14:val="tx1"/>
            </w14:solidFill>
          </w14:textFill>
        </w:rPr>
      </w:pPr>
      <w:r>
        <w:rPr>
          <w:color w:val="000000" w:themeColor="text1"/>
          <w14:textFill>
            <w14:solidFill>
              <w14:schemeClr w14:val="tx1"/>
            </w14:solidFill>
          </w14:textFill>
        </w:rPr>
        <w:t>环境风险</w:t>
      </w:r>
    </w:p>
    <w:p>
      <w:pPr>
        <w:pStyle w:val="283"/>
        <w:ind w:firstLine="462"/>
        <w:rPr>
          <w:color w:val="000000" w:themeColor="text1"/>
          <w14:textFill>
            <w14:solidFill>
              <w14:schemeClr w14:val="tx1"/>
            </w14:solidFill>
          </w14:textFill>
        </w:rPr>
      </w:pPr>
      <w:r>
        <w:rPr>
          <w:color w:val="000000" w:themeColor="text1"/>
          <w14:textFill>
            <w14:solidFill>
              <w14:schemeClr w14:val="tx1"/>
            </w14:solidFill>
          </w14:textFill>
        </w:rPr>
        <w:t>本码头工程扩建完成后，为</w:t>
      </w:r>
      <w:r>
        <w:rPr>
          <w:rFonts w:hint="eastAsia"/>
          <w:color w:val="000000" w:themeColor="text1"/>
          <w:szCs w:val="28"/>
          <w14:textFill>
            <w14:solidFill>
              <w14:schemeClr w14:val="tx1"/>
            </w14:solidFill>
          </w14:textFill>
        </w:rPr>
        <w:t>2</w:t>
      </w:r>
      <w:r>
        <w:rPr>
          <w:color w:val="000000" w:themeColor="text1"/>
          <w:szCs w:val="28"/>
          <w14:textFill>
            <w14:solidFill>
              <w14:schemeClr w14:val="tx1"/>
            </w14:solidFill>
          </w14:textFill>
        </w:rPr>
        <w:t>个</w:t>
      </w:r>
      <w:r>
        <w:rPr>
          <w:rFonts w:hint="eastAsia"/>
          <w:color w:val="000000" w:themeColor="text1"/>
          <w:szCs w:val="28"/>
          <w14:textFill>
            <w14:solidFill>
              <w14:schemeClr w14:val="tx1"/>
            </w14:solidFill>
          </w14:textFill>
        </w:rPr>
        <w:t>20</w:t>
      </w:r>
      <w:r>
        <w:rPr>
          <w:color w:val="000000" w:themeColor="text1"/>
          <w:szCs w:val="28"/>
          <w14:textFill>
            <w14:solidFill>
              <w14:schemeClr w14:val="tx1"/>
            </w14:solidFill>
          </w14:textFill>
        </w:rPr>
        <w:t>万吨</w:t>
      </w:r>
      <w:r>
        <w:rPr>
          <w:color w:val="000000" w:themeColor="text1"/>
          <w14:textFill>
            <w14:solidFill>
              <w14:schemeClr w14:val="tx1"/>
            </w14:solidFill>
          </w14:textFill>
        </w:rPr>
        <w:t>级</w:t>
      </w:r>
      <w:r>
        <w:rPr>
          <w:rFonts w:hint="eastAsia"/>
          <w:iCs/>
          <w:color w:val="000000" w:themeColor="text1"/>
          <w14:textFill>
            <w14:solidFill>
              <w14:schemeClr w14:val="tx1"/>
            </w14:solidFill>
          </w14:textFill>
        </w:rPr>
        <w:t>集装</w:t>
      </w:r>
      <w:r>
        <w:rPr>
          <w:iCs/>
          <w:color w:val="000000" w:themeColor="text1"/>
          <w14:textFill>
            <w14:solidFill>
              <w14:schemeClr w14:val="tx1"/>
            </w14:solidFill>
          </w14:textFill>
        </w:rPr>
        <w:t>箱泊位</w:t>
      </w:r>
      <w:r>
        <w:rPr>
          <w:color w:val="000000" w:themeColor="text1"/>
          <w14:textFill>
            <w14:solidFill>
              <w14:schemeClr w14:val="tx1"/>
            </w14:solidFill>
          </w14:textFill>
        </w:rPr>
        <w:t>，不涉及危险品和化学品货种的储运；事故风险主要来源于船舶进出港期间因碰撞等造成的油箱破裂带来的突发性事故溢油，对海域水生生态环境造成的不利影响。</w:t>
      </w:r>
      <w:r>
        <w:rPr>
          <w:rFonts w:hint="eastAsia"/>
          <w:color w:val="000000" w:themeColor="text1"/>
          <w14:textFill>
            <w14:solidFill>
              <w14:schemeClr w14:val="tx1"/>
            </w14:solidFill>
          </w14:textFill>
        </w:rPr>
        <w:t>具体源强和影响见4.6章。</w:t>
      </w:r>
    </w:p>
    <w:p>
      <w:pPr>
        <w:pStyle w:val="5"/>
        <w:rPr>
          <w:color w:val="000000" w:themeColor="text1"/>
          <w14:textFill>
            <w14:solidFill>
              <w14:schemeClr w14:val="tx1"/>
            </w14:solidFill>
          </w14:textFill>
        </w:rPr>
      </w:pPr>
      <w:r>
        <w:rPr>
          <w:color w:val="000000" w:themeColor="text1"/>
          <w14:textFill>
            <w14:solidFill>
              <w14:schemeClr w14:val="tx1"/>
            </w14:solidFill>
          </w14:textFill>
        </w:rPr>
        <w:t>项目污染物排放情况</w:t>
      </w:r>
    </w:p>
    <w:p>
      <w:pPr>
        <w:pStyle w:val="283"/>
        <w:ind w:firstLine="462"/>
        <w:rPr>
          <w:color w:val="000000" w:themeColor="text1"/>
          <w14:textFill>
            <w14:solidFill>
              <w14:schemeClr w14:val="tx1"/>
            </w14:solidFill>
          </w14:textFill>
        </w:rPr>
      </w:pPr>
      <w:r>
        <w:rPr>
          <w:color w:val="000000" w:themeColor="text1"/>
          <w14:textFill>
            <w14:solidFill>
              <w14:schemeClr w14:val="tx1"/>
            </w14:solidFill>
          </w14:textFill>
        </w:rPr>
        <w:t>项目施工期主要污染物排放情况见下表2.</w:t>
      </w:r>
      <w:r>
        <w:rPr>
          <w:rFonts w:hint="eastAsia"/>
          <w:color w:val="000000" w:themeColor="text1"/>
          <w14:textFill>
            <w14:solidFill>
              <w14:schemeClr w14:val="tx1"/>
            </w14:solidFill>
          </w14:textFill>
        </w:rPr>
        <w:t>4</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11，运营期主要污染物排放情况见表2.4-12，本项目扩建前后污染物产生及排放“三本账”情况见表2.4-13</w:t>
      </w:r>
      <w:r>
        <w:rPr>
          <w:color w:val="000000" w:themeColor="text1"/>
          <w14:textFill>
            <w14:solidFill>
              <w14:schemeClr w14:val="tx1"/>
            </w14:solidFill>
          </w14:textFill>
        </w:rPr>
        <w:t>。</w:t>
      </w:r>
    </w:p>
    <w:p>
      <w:pPr>
        <w:pStyle w:val="384"/>
        <w:ind w:left="0" w:firstLine="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施工期间主要污染物排放情况</w:t>
      </w:r>
    </w:p>
    <w:tbl>
      <w:tblPr>
        <w:tblStyle w:val="88"/>
        <w:tblW w:w="8414" w:type="dxa"/>
        <w:jc w:val="center"/>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51" w:type="dxa"/>
          <w:bottom w:w="0" w:type="dxa"/>
          <w:right w:w="51" w:type="dxa"/>
        </w:tblCellMar>
      </w:tblPr>
      <w:tblGrid>
        <w:gridCol w:w="703"/>
        <w:gridCol w:w="1431"/>
        <w:gridCol w:w="1461"/>
        <w:gridCol w:w="1798"/>
        <w:gridCol w:w="3021"/>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51" w:type="dxa"/>
            <w:bottom w:w="0" w:type="dxa"/>
            <w:right w:w="51" w:type="dxa"/>
          </w:tblCellMar>
        </w:tblPrEx>
        <w:trPr>
          <w:trHeight w:val="349" w:hRule="atLeast"/>
          <w:tblHeader/>
          <w:jc w:val="center"/>
        </w:trPr>
        <w:tc>
          <w:tcPr>
            <w:tcW w:w="703" w:type="dxa"/>
            <w:vAlign w:val="center"/>
          </w:tcPr>
          <w:p>
            <w:pPr>
              <w:pStyle w:val="2001"/>
            </w:pPr>
            <w:r>
              <w:t>种类</w:t>
            </w:r>
          </w:p>
        </w:tc>
        <w:tc>
          <w:tcPr>
            <w:tcW w:w="1431" w:type="dxa"/>
            <w:vAlign w:val="center"/>
          </w:tcPr>
          <w:p>
            <w:pPr>
              <w:pStyle w:val="2001"/>
            </w:pPr>
            <w:r>
              <w:t>污染源</w:t>
            </w:r>
          </w:p>
        </w:tc>
        <w:tc>
          <w:tcPr>
            <w:tcW w:w="1461" w:type="dxa"/>
            <w:vAlign w:val="center"/>
          </w:tcPr>
          <w:p>
            <w:pPr>
              <w:pStyle w:val="2001"/>
            </w:pPr>
            <w:r>
              <w:t>发生量</w:t>
            </w:r>
          </w:p>
        </w:tc>
        <w:tc>
          <w:tcPr>
            <w:tcW w:w="1798" w:type="dxa"/>
            <w:vAlign w:val="center"/>
          </w:tcPr>
          <w:p>
            <w:pPr>
              <w:pStyle w:val="2001"/>
            </w:pPr>
            <w:r>
              <w:t>主要污染物</w:t>
            </w:r>
          </w:p>
        </w:tc>
        <w:tc>
          <w:tcPr>
            <w:tcW w:w="3021" w:type="dxa"/>
            <w:vAlign w:val="center"/>
          </w:tcPr>
          <w:p>
            <w:pPr>
              <w:pStyle w:val="2001"/>
            </w:pPr>
            <w:r>
              <w:t>排放方式</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51" w:type="dxa"/>
            <w:bottom w:w="0" w:type="dxa"/>
            <w:right w:w="51" w:type="dxa"/>
          </w:tblCellMar>
        </w:tblPrEx>
        <w:trPr>
          <w:trHeight w:val="349" w:hRule="atLeast"/>
          <w:jc w:val="center"/>
        </w:trPr>
        <w:tc>
          <w:tcPr>
            <w:tcW w:w="703" w:type="dxa"/>
            <w:vMerge w:val="restart"/>
            <w:vAlign w:val="center"/>
          </w:tcPr>
          <w:p>
            <w:pPr>
              <w:pStyle w:val="2001"/>
            </w:pPr>
            <w:r>
              <w:t>废水</w:t>
            </w:r>
          </w:p>
        </w:tc>
        <w:tc>
          <w:tcPr>
            <w:tcW w:w="1431" w:type="dxa"/>
            <w:vAlign w:val="center"/>
          </w:tcPr>
          <w:p>
            <w:pPr>
              <w:widowControl/>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水域疏浚</w:t>
            </w:r>
          </w:p>
        </w:tc>
        <w:tc>
          <w:tcPr>
            <w:tcW w:w="1461" w:type="dxa"/>
            <w:vAlign w:val="center"/>
          </w:tcPr>
          <w:p>
            <w:pPr>
              <w:widowControl/>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7.41 kg/s</w:t>
            </w:r>
          </w:p>
        </w:tc>
        <w:tc>
          <w:tcPr>
            <w:tcW w:w="1798" w:type="dxa"/>
            <w:vAlign w:val="center"/>
          </w:tcPr>
          <w:p>
            <w:pPr>
              <w:widowControl/>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悬浮物（SS）</w:t>
            </w:r>
          </w:p>
        </w:tc>
        <w:tc>
          <w:tcPr>
            <w:tcW w:w="3021" w:type="dxa"/>
            <w:vAlign w:val="center"/>
          </w:tcPr>
          <w:p>
            <w:pPr>
              <w:widowControl/>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无组织排放</w:t>
            </w:r>
          </w:p>
          <w:p>
            <w:pPr>
              <w:widowControl/>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w:t>
            </w:r>
            <w:r>
              <w:rPr>
                <w:rFonts w:hint="eastAsia"/>
                <w:color w:val="000000" w:themeColor="text1"/>
                <w:kern w:val="0"/>
                <w:sz w:val="21"/>
                <w:szCs w:val="21"/>
                <w14:textFill>
                  <w14:solidFill>
                    <w14:schemeClr w14:val="tx1"/>
                  </w14:solidFill>
                </w14:textFill>
              </w:rPr>
              <w:t>两种</w:t>
            </w:r>
            <w:r>
              <w:rPr>
                <w:color w:val="000000" w:themeColor="text1"/>
                <w:kern w:val="0"/>
                <w:sz w:val="21"/>
                <w:szCs w:val="21"/>
                <w14:textFill>
                  <w14:solidFill>
                    <w14:schemeClr w14:val="tx1"/>
                  </w14:solidFill>
                </w14:textFill>
              </w:rPr>
              <w:t>挖泥船不同时作业，污染物源强以发生量较大的</w:t>
            </w:r>
            <w:r>
              <w:rPr>
                <w:rFonts w:hint="eastAsia"/>
                <w:color w:val="000000" w:themeColor="text1"/>
                <w:kern w:val="0"/>
                <w:sz w:val="21"/>
                <w:szCs w:val="21"/>
                <w14:textFill>
                  <w14:solidFill>
                    <w14:schemeClr w14:val="tx1"/>
                  </w14:solidFill>
                </w14:textFill>
              </w:rPr>
              <w:t>绞吸式</w:t>
            </w:r>
            <w:r>
              <w:rPr>
                <w:color w:val="000000" w:themeColor="text1"/>
                <w:kern w:val="0"/>
                <w:sz w:val="21"/>
                <w:szCs w:val="21"/>
                <w14:textFill>
                  <w14:solidFill>
                    <w14:schemeClr w14:val="tx1"/>
                  </w14:solidFill>
                </w14:textFill>
              </w:rPr>
              <w:t>挖泥船为准）</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51" w:type="dxa"/>
            <w:bottom w:w="0" w:type="dxa"/>
            <w:right w:w="51" w:type="dxa"/>
          </w:tblCellMar>
        </w:tblPrEx>
        <w:trPr>
          <w:trHeight w:val="349" w:hRule="atLeast"/>
          <w:jc w:val="center"/>
        </w:trPr>
        <w:tc>
          <w:tcPr>
            <w:tcW w:w="703" w:type="dxa"/>
            <w:vMerge w:val="continue"/>
            <w:vAlign w:val="center"/>
          </w:tcPr>
          <w:p>
            <w:pPr>
              <w:pStyle w:val="2001"/>
            </w:pPr>
          </w:p>
        </w:tc>
        <w:tc>
          <w:tcPr>
            <w:tcW w:w="1431" w:type="dxa"/>
            <w:vAlign w:val="center"/>
          </w:tcPr>
          <w:p>
            <w:pPr>
              <w:widowControl/>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水域炸礁</w:t>
            </w:r>
          </w:p>
        </w:tc>
        <w:tc>
          <w:tcPr>
            <w:tcW w:w="1461" w:type="dxa"/>
            <w:vAlign w:val="center"/>
          </w:tcPr>
          <w:p>
            <w:pPr>
              <w:widowControl/>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12.5m</w:t>
            </w:r>
            <w:r>
              <w:rPr>
                <w:rFonts w:hint="eastAsia"/>
                <w:color w:val="000000" w:themeColor="text1"/>
                <w:kern w:val="0"/>
                <w:sz w:val="21"/>
                <w:szCs w:val="21"/>
                <w:vertAlign w:val="superscript"/>
                <w14:textFill>
                  <w14:solidFill>
                    <w14:schemeClr w14:val="tx1"/>
                  </w14:solidFill>
                </w14:textFill>
              </w:rPr>
              <w:t>3</w:t>
            </w:r>
          </w:p>
          <w:p>
            <w:pPr>
              <w:widowControl/>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（瞬时</w:t>
            </w:r>
            <w:r>
              <w:rPr>
                <w:rFonts w:hint="eastAsia"/>
                <w:color w:val="000000" w:themeColor="text1"/>
                <w:kern w:val="0"/>
                <w:sz w:val="21"/>
                <w:szCs w:val="21"/>
                <w14:textFill>
                  <w14:solidFill>
                    <w14:schemeClr w14:val="tx1"/>
                  </w14:solidFill>
                </w14:textFill>
              </w:rPr>
              <w:t>、单次</w:t>
            </w:r>
            <w:r>
              <w:rPr>
                <w:color w:val="000000" w:themeColor="text1"/>
                <w:kern w:val="0"/>
                <w:sz w:val="21"/>
                <w:szCs w:val="21"/>
                <w14:textFill>
                  <w14:solidFill>
                    <w14:schemeClr w14:val="tx1"/>
                  </w14:solidFill>
                </w14:textFill>
              </w:rPr>
              <w:t>）</w:t>
            </w:r>
          </w:p>
        </w:tc>
        <w:tc>
          <w:tcPr>
            <w:tcW w:w="1798" w:type="dxa"/>
            <w:vAlign w:val="center"/>
          </w:tcPr>
          <w:p>
            <w:pPr>
              <w:widowControl/>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悬浮物（SS）</w:t>
            </w:r>
          </w:p>
        </w:tc>
        <w:tc>
          <w:tcPr>
            <w:tcW w:w="3021" w:type="dxa"/>
            <w:vAlign w:val="center"/>
          </w:tcPr>
          <w:p>
            <w:pPr>
              <w:widowControl/>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无组织</w:t>
            </w:r>
            <w:r>
              <w:rPr>
                <w:color w:val="000000" w:themeColor="text1"/>
                <w:kern w:val="0"/>
                <w:sz w:val="21"/>
                <w:szCs w:val="21"/>
                <w14:textFill>
                  <w14:solidFill>
                    <w14:schemeClr w14:val="tx1"/>
                  </w14:solidFill>
                </w14:textFill>
              </w:rPr>
              <w:t>排放</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51" w:type="dxa"/>
            <w:bottom w:w="0" w:type="dxa"/>
            <w:right w:w="51" w:type="dxa"/>
          </w:tblCellMar>
        </w:tblPrEx>
        <w:trPr>
          <w:trHeight w:val="349" w:hRule="atLeast"/>
          <w:jc w:val="center"/>
        </w:trPr>
        <w:tc>
          <w:tcPr>
            <w:tcW w:w="703" w:type="dxa"/>
            <w:vMerge w:val="continue"/>
            <w:vAlign w:val="center"/>
          </w:tcPr>
          <w:p>
            <w:pPr>
              <w:pStyle w:val="2001"/>
            </w:pPr>
          </w:p>
        </w:tc>
        <w:tc>
          <w:tcPr>
            <w:tcW w:w="1431" w:type="dxa"/>
            <w:vAlign w:val="center"/>
          </w:tcPr>
          <w:p>
            <w:pPr>
              <w:widowControl/>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溢流口</w:t>
            </w:r>
          </w:p>
        </w:tc>
        <w:tc>
          <w:tcPr>
            <w:tcW w:w="1461" w:type="dxa"/>
            <w:vAlign w:val="center"/>
          </w:tcPr>
          <w:p>
            <w:pPr>
              <w:widowControl/>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0.06kg/s</w:t>
            </w:r>
          </w:p>
        </w:tc>
        <w:tc>
          <w:tcPr>
            <w:tcW w:w="1798" w:type="dxa"/>
            <w:vAlign w:val="center"/>
          </w:tcPr>
          <w:p>
            <w:pPr>
              <w:widowControl/>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悬浮物（SS）</w:t>
            </w:r>
          </w:p>
        </w:tc>
        <w:tc>
          <w:tcPr>
            <w:tcW w:w="3021" w:type="dxa"/>
            <w:vAlign w:val="center"/>
          </w:tcPr>
          <w:p>
            <w:pPr>
              <w:widowControl/>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排水口排放</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51" w:type="dxa"/>
            <w:bottom w:w="0" w:type="dxa"/>
            <w:right w:w="51" w:type="dxa"/>
          </w:tblCellMar>
        </w:tblPrEx>
        <w:trPr>
          <w:trHeight w:val="349" w:hRule="atLeast"/>
          <w:jc w:val="center"/>
        </w:trPr>
        <w:tc>
          <w:tcPr>
            <w:tcW w:w="703" w:type="dxa"/>
            <w:vMerge w:val="continue"/>
            <w:vAlign w:val="center"/>
          </w:tcPr>
          <w:p>
            <w:pPr>
              <w:pStyle w:val="2001"/>
            </w:pPr>
          </w:p>
        </w:tc>
        <w:tc>
          <w:tcPr>
            <w:tcW w:w="1431" w:type="dxa"/>
            <w:vAlign w:val="center"/>
          </w:tcPr>
          <w:p>
            <w:pPr>
              <w:widowControl/>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船舶生活污水</w:t>
            </w:r>
          </w:p>
        </w:tc>
        <w:tc>
          <w:tcPr>
            <w:tcW w:w="1461" w:type="dxa"/>
            <w:vAlign w:val="center"/>
          </w:tcPr>
          <w:p>
            <w:pPr>
              <w:widowControl/>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 xml:space="preserve">700 </w:t>
            </w:r>
            <w:r>
              <w:rPr>
                <w:color w:val="000000" w:themeColor="text1"/>
                <w:kern w:val="0"/>
                <w:sz w:val="21"/>
                <w:szCs w:val="21"/>
                <w14:textFill>
                  <w14:solidFill>
                    <w14:schemeClr w14:val="tx1"/>
                  </w14:solidFill>
                </w14:textFill>
              </w:rPr>
              <w:t>t</w:t>
            </w:r>
          </w:p>
        </w:tc>
        <w:tc>
          <w:tcPr>
            <w:tcW w:w="1798" w:type="dxa"/>
            <w:vAlign w:val="center"/>
          </w:tcPr>
          <w:p>
            <w:pPr>
              <w:widowControl/>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COD（</w:t>
            </w:r>
            <w:r>
              <w:rPr>
                <w:rFonts w:hint="eastAsia"/>
                <w:color w:val="000000" w:themeColor="text1"/>
                <w:kern w:val="0"/>
                <w:sz w:val="21"/>
                <w:szCs w:val="21"/>
                <w14:textFill>
                  <w14:solidFill>
                    <w14:schemeClr w14:val="tx1"/>
                  </w14:solidFill>
                </w14:textFill>
              </w:rPr>
              <w:t>210</w:t>
            </w:r>
            <w:r>
              <w:rPr>
                <w:color w:val="000000" w:themeColor="text1"/>
                <w:kern w:val="0"/>
                <w:sz w:val="21"/>
                <w:szCs w:val="21"/>
                <w14:textFill>
                  <w14:solidFill>
                    <w14:schemeClr w14:val="tx1"/>
                  </w14:solidFill>
                </w14:textFill>
              </w:rPr>
              <w:t>kg）</w:t>
            </w:r>
          </w:p>
          <w:p>
            <w:pPr>
              <w:widowControl/>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BOD</w:t>
            </w:r>
            <w:r>
              <w:rPr>
                <w:color w:val="000000" w:themeColor="text1"/>
                <w:kern w:val="0"/>
                <w:sz w:val="21"/>
                <w:szCs w:val="21"/>
                <w:vertAlign w:val="subscript"/>
                <w14:textFill>
                  <w14:solidFill>
                    <w14:schemeClr w14:val="tx1"/>
                  </w14:solidFill>
                </w14:textFill>
              </w:rPr>
              <w:t>5</w:t>
            </w:r>
            <w:r>
              <w:rPr>
                <w:color w:val="000000" w:themeColor="text1"/>
                <w:kern w:val="0"/>
                <w:sz w:val="21"/>
                <w:szCs w:val="21"/>
                <w14:textFill>
                  <w14:solidFill>
                    <w14:schemeClr w14:val="tx1"/>
                  </w14:solidFill>
                </w14:textFill>
              </w:rPr>
              <w:t>（</w:t>
            </w:r>
            <w:r>
              <w:rPr>
                <w:rFonts w:hint="eastAsia"/>
                <w:color w:val="000000" w:themeColor="text1"/>
                <w:kern w:val="0"/>
                <w:sz w:val="21"/>
                <w:szCs w:val="21"/>
                <w14:textFill>
                  <w14:solidFill>
                    <w14:schemeClr w14:val="tx1"/>
                  </w14:solidFill>
                </w14:textFill>
              </w:rPr>
              <w:t>140</w:t>
            </w:r>
            <w:r>
              <w:rPr>
                <w:color w:val="000000" w:themeColor="text1"/>
                <w:kern w:val="0"/>
                <w:sz w:val="21"/>
                <w:szCs w:val="21"/>
                <w14:textFill>
                  <w14:solidFill>
                    <w14:schemeClr w14:val="tx1"/>
                  </w14:solidFill>
                </w14:textFill>
              </w:rPr>
              <w:t>kg）</w:t>
            </w:r>
          </w:p>
          <w:p>
            <w:pPr>
              <w:widowControl/>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SS（</w:t>
            </w:r>
            <w:r>
              <w:rPr>
                <w:rFonts w:hint="eastAsia"/>
                <w:color w:val="000000" w:themeColor="text1"/>
                <w:kern w:val="0"/>
                <w:sz w:val="21"/>
                <w:szCs w:val="21"/>
                <w14:textFill>
                  <w14:solidFill>
                    <w14:schemeClr w14:val="tx1"/>
                  </w14:solidFill>
                </w14:textFill>
              </w:rPr>
              <w:t>280</w:t>
            </w:r>
            <w:r>
              <w:rPr>
                <w:color w:val="000000" w:themeColor="text1"/>
                <w:kern w:val="0"/>
                <w:sz w:val="21"/>
                <w:szCs w:val="21"/>
                <w14:textFill>
                  <w14:solidFill>
                    <w14:schemeClr w14:val="tx1"/>
                  </w14:solidFill>
                </w14:textFill>
              </w:rPr>
              <w:t>kg）</w:t>
            </w:r>
          </w:p>
        </w:tc>
        <w:tc>
          <w:tcPr>
            <w:tcW w:w="3021" w:type="dxa"/>
            <w:vMerge w:val="restart"/>
            <w:vAlign w:val="center"/>
          </w:tcPr>
          <w:p>
            <w:pPr>
              <w:widowControl/>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固定接收船接收，委托有资质单位处置</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51" w:type="dxa"/>
            <w:bottom w:w="0" w:type="dxa"/>
            <w:right w:w="51" w:type="dxa"/>
          </w:tblCellMar>
        </w:tblPrEx>
        <w:trPr>
          <w:trHeight w:val="349" w:hRule="atLeast"/>
          <w:jc w:val="center"/>
        </w:trPr>
        <w:tc>
          <w:tcPr>
            <w:tcW w:w="703" w:type="dxa"/>
            <w:vMerge w:val="continue"/>
            <w:vAlign w:val="center"/>
          </w:tcPr>
          <w:p>
            <w:pPr>
              <w:pStyle w:val="2001"/>
            </w:pPr>
          </w:p>
        </w:tc>
        <w:tc>
          <w:tcPr>
            <w:tcW w:w="1431" w:type="dxa"/>
            <w:vAlign w:val="center"/>
          </w:tcPr>
          <w:p>
            <w:pPr>
              <w:widowControl/>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船舶含油污水</w:t>
            </w:r>
          </w:p>
        </w:tc>
        <w:tc>
          <w:tcPr>
            <w:tcW w:w="1461" w:type="dxa"/>
            <w:vAlign w:val="center"/>
          </w:tcPr>
          <w:p>
            <w:pPr>
              <w:widowControl/>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504</w:t>
            </w:r>
            <w:r>
              <w:rPr>
                <w:color w:val="000000" w:themeColor="text1"/>
                <w:kern w:val="0"/>
                <w:sz w:val="21"/>
                <w:szCs w:val="21"/>
                <w14:textFill>
                  <w14:solidFill>
                    <w14:schemeClr w14:val="tx1"/>
                  </w14:solidFill>
                </w14:textFill>
              </w:rPr>
              <w:t xml:space="preserve"> t</w:t>
            </w:r>
          </w:p>
        </w:tc>
        <w:tc>
          <w:tcPr>
            <w:tcW w:w="1798" w:type="dxa"/>
            <w:vAlign w:val="center"/>
          </w:tcPr>
          <w:p>
            <w:pPr>
              <w:widowControl/>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石油类（</w:t>
            </w:r>
            <w:r>
              <w:rPr>
                <w:rFonts w:hint="eastAsia"/>
                <w:color w:val="000000" w:themeColor="text1"/>
                <w:kern w:val="0"/>
                <w:sz w:val="21"/>
                <w:szCs w:val="21"/>
                <w14:textFill>
                  <w14:solidFill>
                    <w14:schemeClr w14:val="tx1"/>
                  </w14:solidFill>
                </w14:textFill>
              </w:rPr>
              <w:t>2520</w:t>
            </w:r>
            <w:r>
              <w:rPr>
                <w:color w:val="000000" w:themeColor="text1"/>
                <w:kern w:val="0"/>
                <w:sz w:val="21"/>
                <w:szCs w:val="21"/>
                <w14:textFill>
                  <w14:solidFill>
                    <w14:schemeClr w14:val="tx1"/>
                  </w14:solidFill>
                </w14:textFill>
              </w:rPr>
              <w:t>kg）</w:t>
            </w:r>
          </w:p>
        </w:tc>
        <w:tc>
          <w:tcPr>
            <w:tcW w:w="3021" w:type="dxa"/>
            <w:vMerge w:val="continue"/>
            <w:vAlign w:val="center"/>
          </w:tcPr>
          <w:p>
            <w:pPr>
              <w:widowControl/>
              <w:jc w:val="center"/>
              <w:rPr>
                <w:color w:val="000000" w:themeColor="text1"/>
                <w:kern w:val="0"/>
                <w:sz w:val="21"/>
                <w:szCs w:val="21"/>
                <w14:textFill>
                  <w14:solidFill>
                    <w14:schemeClr w14:val="tx1"/>
                  </w14:solidFill>
                </w14:textFill>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51" w:type="dxa"/>
            <w:bottom w:w="0" w:type="dxa"/>
            <w:right w:w="51" w:type="dxa"/>
          </w:tblCellMar>
        </w:tblPrEx>
        <w:trPr>
          <w:trHeight w:val="349" w:hRule="atLeast"/>
          <w:jc w:val="center"/>
        </w:trPr>
        <w:tc>
          <w:tcPr>
            <w:tcW w:w="703" w:type="dxa"/>
            <w:vMerge w:val="continue"/>
            <w:vAlign w:val="center"/>
          </w:tcPr>
          <w:p>
            <w:pPr>
              <w:pStyle w:val="2001"/>
            </w:pPr>
          </w:p>
        </w:tc>
        <w:tc>
          <w:tcPr>
            <w:tcW w:w="1431" w:type="dxa"/>
            <w:vAlign w:val="center"/>
          </w:tcPr>
          <w:p>
            <w:pPr>
              <w:widowControl/>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陆域施工生活废水</w:t>
            </w:r>
          </w:p>
        </w:tc>
        <w:tc>
          <w:tcPr>
            <w:tcW w:w="1461" w:type="dxa"/>
            <w:vAlign w:val="center"/>
          </w:tcPr>
          <w:p>
            <w:pPr>
              <w:widowControl/>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 xml:space="preserve">840 </w:t>
            </w:r>
            <w:r>
              <w:rPr>
                <w:color w:val="000000" w:themeColor="text1"/>
                <w:kern w:val="0"/>
                <w:sz w:val="21"/>
                <w:szCs w:val="21"/>
                <w14:textFill>
                  <w14:solidFill>
                    <w14:schemeClr w14:val="tx1"/>
                  </w14:solidFill>
                </w14:textFill>
              </w:rPr>
              <w:t>t</w:t>
            </w:r>
          </w:p>
        </w:tc>
        <w:tc>
          <w:tcPr>
            <w:tcW w:w="1798" w:type="dxa"/>
            <w:vAlign w:val="center"/>
          </w:tcPr>
          <w:p>
            <w:pPr>
              <w:widowControl/>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COD（</w:t>
            </w:r>
            <w:r>
              <w:rPr>
                <w:rFonts w:hint="eastAsia"/>
                <w:color w:val="000000" w:themeColor="text1"/>
                <w:kern w:val="0"/>
                <w:sz w:val="21"/>
                <w:szCs w:val="21"/>
                <w14:textFill>
                  <w14:solidFill>
                    <w14:schemeClr w14:val="tx1"/>
                  </w14:solidFill>
                </w14:textFill>
              </w:rPr>
              <w:t>420</w:t>
            </w:r>
            <w:r>
              <w:rPr>
                <w:color w:val="000000" w:themeColor="text1"/>
                <w:kern w:val="0"/>
                <w:sz w:val="21"/>
                <w:szCs w:val="21"/>
                <w14:textFill>
                  <w14:solidFill>
                    <w14:schemeClr w14:val="tx1"/>
                  </w14:solidFill>
                </w14:textFill>
              </w:rPr>
              <w:t>kg）</w:t>
            </w:r>
          </w:p>
          <w:p>
            <w:pPr>
              <w:widowControl/>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BOD</w:t>
            </w:r>
            <w:r>
              <w:rPr>
                <w:color w:val="000000" w:themeColor="text1"/>
                <w:kern w:val="0"/>
                <w:sz w:val="21"/>
                <w:szCs w:val="21"/>
                <w:vertAlign w:val="subscript"/>
                <w14:textFill>
                  <w14:solidFill>
                    <w14:schemeClr w14:val="tx1"/>
                  </w14:solidFill>
                </w14:textFill>
              </w:rPr>
              <w:t>5</w:t>
            </w:r>
            <w:r>
              <w:rPr>
                <w:color w:val="000000" w:themeColor="text1"/>
                <w:kern w:val="0"/>
                <w:sz w:val="21"/>
                <w:szCs w:val="21"/>
                <w14:textFill>
                  <w14:solidFill>
                    <w14:schemeClr w14:val="tx1"/>
                  </w14:solidFill>
                </w14:textFill>
              </w:rPr>
              <w:t>（</w:t>
            </w:r>
            <w:r>
              <w:rPr>
                <w:rFonts w:hint="eastAsia"/>
                <w:color w:val="000000" w:themeColor="text1"/>
                <w:kern w:val="0"/>
                <w:sz w:val="21"/>
                <w:szCs w:val="21"/>
                <w14:textFill>
                  <w14:solidFill>
                    <w14:schemeClr w14:val="tx1"/>
                  </w14:solidFill>
                </w14:textFill>
              </w:rPr>
              <w:t>294</w:t>
            </w:r>
            <w:r>
              <w:rPr>
                <w:color w:val="000000" w:themeColor="text1"/>
                <w:kern w:val="0"/>
                <w:sz w:val="21"/>
                <w:szCs w:val="21"/>
                <w14:textFill>
                  <w14:solidFill>
                    <w14:schemeClr w14:val="tx1"/>
                  </w14:solidFill>
                </w14:textFill>
              </w:rPr>
              <w:t>kg）</w:t>
            </w:r>
          </w:p>
          <w:p>
            <w:pPr>
              <w:widowControl/>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NH</w:t>
            </w:r>
            <w:r>
              <w:rPr>
                <w:color w:val="000000" w:themeColor="text1"/>
                <w:kern w:val="0"/>
                <w:sz w:val="21"/>
                <w:szCs w:val="21"/>
                <w:vertAlign w:val="subscript"/>
                <w14:textFill>
                  <w14:solidFill>
                    <w14:schemeClr w14:val="tx1"/>
                  </w14:solidFill>
                </w14:textFill>
              </w:rPr>
              <w:t>3</w:t>
            </w:r>
            <w:r>
              <w:rPr>
                <w:color w:val="000000" w:themeColor="text1"/>
                <w:kern w:val="0"/>
                <w:sz w:val="21"/>
                <w:szCs w:val="21"/>
                <w14:textFill>
                  <w14:solidFill>
                    <w14:schemeClr w14:val="tx1"/>
                  </w14:solidFill>
                </w14:textFill>
              </w:rPr>
              <w:t>-N（</w:t>
            </w:r>
            <w:r>
              <w:rPr>
                <w:rFonts w:hint="eastAsia"/>
                <w:color w:val="000000" w:themeColor="text1"/>
                <w:kern w:val="0"/>
                <w:sz w:val="21"/>
                <w:szCs w:val="21"/>
                <w14:textFill>
                  <w14:solidFill>
                    <w14:schemeClr w14:val="tx1"/>
                  </w14:solidFill>
                </w14:textFill>
              </w:rPr>
              <w:t>22.68</w:t>
            </w:r>
            <w:r>
              <w:rPr>
                <w:color w:val="000000" w:themeColor="text1"/>
                <w:kern w:val="0"/>
                <w:sz w:val="21"/>
                <w:szCs w:val="21"/>
                <w14:textFill>
                  <w14:solidFill>
                    <w14:schemeClr w14:val="tx1"/>
                  </w14:solidFill>
                </w14:textFill>
              </w:rPr>
              <w:t>kg）</w:t>
            </w:r>
          </w:p>
        </w:tc>
        <w:tc>
          <w:tcPr>
            <w:tcW w:w="3021" w:type="dxa"/>
            <w:vAlign w:val="center"/>
          </w:tcPr>
          <w:p>
            <w:pPr>
              <w:widowControl/>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9号10号泊位现有厕所，收集后泵送至7号8号泊位生活污水处理站，经预处理后进入大榄坪污水处理厂</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51" w:type="dxa"/>
            <w:bottom w:w="0" w:type="dxa"/>
            <w:right w:w="51" w:type="dxa"/>
          </w:tblCellMar>
        </w:tblPrEx>
        <w:trPr>
          <w:trHeight w:val="798" w:hRule="atLeast"/>
          <w:jc w:val="center"/>
        </w:trPr>
        <w:tc>
          <w:tcPr>
            <w:tcW w:w="703" w:type="dxa"/>
            <w:vMerge w:val="restart"/>
            <w:vAlign w:val="center"/>
          </w:tcPr>
          <w:p>
            <w:pPr>
              <w:pStyle w:val="2001"/>
            </w:pPr>
            <w:r>
              <w:t>废气</w:t>
            </w:r>
          </w:p>
        </w:tc>
        <w:tc>
          <w:tcPr>
            <w:tcW w:w="1431" w:type="dxa"/>
            <w:vAlign w:val="center"/>
          </w:tcPr>
          <w:p>
            <w:pPr>
              <w:widowControl/>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材料运输扬尘</w:t>
            </w:r>
          </w:p>
        </w:tc>
        <w:tc>
          <w:tcPr>
            <w:tcW w:w="1461" w:type="dxa"/>
            <w:vAlign w:val="center"/>
          </w:tcPr>
          <w:p>
            <w:pPr>
              <w:widowControl/>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w:t>
            </w:r>
          </w:p>
        </w:tc>
        <w:tc>
          <w:tcPr>
            <w:tcW w:w="1798" w:type="dxa"/>
            <w:vAlign w:val="center"/>
          </w:tcPr>
          <w:p>
            <w:pPr>
              <w:widowControl/>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TSP（</w:t>
            </w:r>
            <w:r>
              <w:rPr>
                <w:color w:val="000000" w:themeColor="text1"/>
                <w:kern w:val="0"/>
                <w:sz w:val="21"/>
                <w:szCs w:val="21"/>
                <w14:textFill>
                  <w14:solidFill>
                    <w14:schemeClr w14:val="tx1"/>
                  </w14:solidFill>
                </w14:textFill>
              </w:rPr>
              <w:t>距路边下风向50m，TSP浓度大于10mg/m</w:t>
            </w:r>
            <w:r>
              <w:rPr>
                <w:color w:val="000000" w:themeColor="text1"/>
                <w:kern w:val="0"/>
                <w:sz w:val="21"/>
                <w:szCs w:val="21"/>
                <w:vertAlign w:val="superscript"/>
                <w14:textFill>
                  <w14:solidFill>
                    <w14:schemeClr w14:val="tx1"/>
                  </w14:solidFill>
                </w14:textFill>
              </w:rPr>
              <w:t>3</w:t>
            </w:r>
            <w:r>
              <w:rPr>
                <w:rFonts w:hint="eastAsia"/>
                <w:color w:val="000000" w:themeColor="text1"/>
                <w:kern w:val="0"/>
                <w:sz w:val="21"/>
                <w:szCs w:val="21"/>
                <w14:textFill>
                  <w14:solidFill>
                    <w14:schemeClr w14:val="tx1"/>
                  </w14:solidFill>
                </w14:textFill>
              </w:rPr>
              <w:t>）</w:t>
            </w:r>
          </w:p>
        </w:tc>
        <w:tc>
          <w:tcPr>
            <w:tcW w:w="3021" w:type="dxa"/>
            <w:vAlign w:val="center"/>
          </w:tcPr>
          <w:p>
            <w:pPr>
              <w:widowControl/>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无组织排放</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51" w:type="dxa"/>
            <w:bottom w:w="0" w:type="dxa"/>
            <w:right w:w="51" w:type="dxa"/>
          </w:tblCellMar>
        </w:tblPrEx>
        <w:trPr>
          <w:trHeight w:val="546" w:hRule="atLeast"/>
          <w:jc w:val="center"/>
        </w:trPr>
        <w:tc>
          <w:tcPr>
            <w:tcW w:w="703" w:type="dxa"/>
            <w:vMerge w:val="continue"/>
            <w:vAlign w:val="center"/>
          </w:tcPr>
          <w:p>
            <w:pPr>
              <w:pStyle w:val="2001"/>
            </w:pPr>
          </w:p>
        </w:tc>
        <w:tc>
          <w:tcPr>
            <w:tcW w:w="1431" w:type="dxa"/>
            <w:vAlign w:val="center"/>
          </w:tcPr>
          <w:p>
            <w:pPr>
              <w:widowControl/>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施工船舶</w:t>
            </w:r>
          </w:p>
        </w:tc>
        <w:tc>
          <w:tcPr>
            <w:tcW w:w="1461" w:type="dxa"/>
            <w:vAlign w:val="center"/>
          </w:tcPr>
          <w:p>
            <w:pPr>
              <w:widowControl/>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w:t>
            </w:r>
          </w:p>
        </w:tc>
        <w:tc>
          <w:tcPr>
            <w:tcW w:w="1798" w:type="dxa"/>
            <w:vAlign w:val="center"/>
          </w:tcPr>
          <w:p>
            <w:pPr>
              <w:widowControl/>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SO</w:t>
            </w:r>
            <w:r>
              <w:rPr>
                <w:color w:val="000000" w:themeColor="text1"/>
                <w:kern w:val="0"/>
                <w:sz w:val="21"/>
                <w:szCs w:val="21"/>
                <w:vertAlign w:val="subscript"/>
                <w14:textFill>
                  <w14:solidFill>
                    <w14:schemeClr w14:val="tx1"/>
                  </w14:solidFill>
                </w14:textFill>
              </w:rPr>
              <w:t>2</w:t>
            </w:r>
            <w:r>
              <w:rPr>
                <w:color w:val="000000" w:themeColor="text1"/>
                <w:kern w:val="0"/>
                <w:sz w:val="21"/>
                <w:szCs w:val="21"/>
                <w14:textFill>
                  <w14:solidFill>
                    <w14:schemeClr w14:val="tx1"/>
                  </w14:solidFill>
                </w14:textFill>
              </w:rPr>
              <w:t>（</w:t>
            </w:r>
            <w:r>
              <w:rPr>
                <w:rFonts w:hint="eastAsia"/>
                <w:color w:val="000000" w:themeColor="text1"/>
                <w:kern w:val="0"/>
                <w:sz w:val="21"/>
                <w:szCs w:val="21"/>
                <w14:textFill>
                  <w14:solidFill>
                    <w14:schemeClr w14:val="tx1"/>
                  </w14:solidFill>
                </w14:textFill>
              </w:rPr>
              <w:t>2.20</w:t>
            </w:r>
            <w:r>
              <w:rPr>
                <w:color w:val="000000" w:themeColor="text1"/>
                <w:kern w:val="0"/>
                <w:sz w:val="21"/>
                <w:szCs w:val="21"/>
                <w14:textFill>
                  <w14:solidFill>
                    <w14:schemeClr w14:val="tx1"/>
                  </w14:solidFill>
                </w14:textFill>
              </w:rPr>
              <w:t>t）</w:t>
            </w:r>
          </w:p>
          <w:p>
            <w:pPr>
              <w:widowControl/>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NO</w:t>
            </w:r>
            <w:r>
              <w:rPr>
                <w:color w:val="000000" w:themeColor="text1"/>
                <w:kern w:val="0"/>
                <w:sz w:val="21"/>
                <w:szCs w:val="21"/>
                <w:vertAlign w:val="subscript"/>
                <w14:textFill>
                  <w14:solidFill>
                    <w14:schemeClr w14:val="tx1"/>
                  </w14:solidFill>
                </w14:textFill>
              </w:rPr>
              <w:t>2</w:t>
            </w:r>
            <w:r>
              <w:rPr>
                <w:color w:val="000000" w:themeColor="text1"/>
                <w:kern w:val="0"/>
                <w:sz w:val="21"/>
                <w:szCs w:val="21"/>
                <w14:textFill>
                  <w14:solidFill>
                    <w14:schemeClr w14:val="tx1"/>
                  </w14:solidFill>
                </w14:textFill>
              </w:rPr>
              <w:t>（</w:t>
            </w:r>
            <w:r>
              <w:rPr>
                <w:rFonts w:hint="eastAsia"/>
                <w:color w:val="000000" w:themeColor="text1"/>
                <w:kern w:val="0"/>
                <w:sz w:val="21"/>
                <w:szCs w:val="21"/>
                <w14:textFill>
                  <w14:solidFill>
                    <w14:schemeClr w14:val="tx1"/>
                  </w14:solidFill>
                </w14:textFill>
              </w:rPr>
              <w:t>11.04</w:t>
            </w:r>
            <w:r>
              <w:rPr>
                <w:color w:val="000000" w:themeColor="text1"/>
                <w:kern w:val="0"/>
                <w:sz w:val="21"/>
                <w:szCs w:val="21"/>
                <w14:textFill>
                  <w14:solidFill>
                    <w14:schemeClr w14:val="tx1"/>
                  </w14:solidFill>
                </w14:textFill>
              </w:rPr>
              <w:t>t）</w:t>
            </w:r>
          </w:p>
        </w:tc>
        <w:tc>
          <w:tcPr>
            <w:tcW w:w="3021" w:type="dxa"/>
            <w:vAlign w:val="center"/>
          </w:tcPr>
          <w:p>
            <w:pPr>
              <w:widowControl/>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无组织排放</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51" w:type="dxa"/>
            <w:bottom w:w="0" w:type="dxa"/>
            <w:right w:w="51" w:type="dxa"/>
          </w:tblCellMar>
        </w:tblPrEx>
        <w:trPr>
          <w:trHeight w:val="349" w:hRule="atLeast"/>
          <w:jc w:val="center"/>
        </w:trPr>
        <w:tc>
          <w:tcPr>
            <w:tcW w:w="703" w:type="dxa"/>
            <w:vMerge w:val="restart"/>
            <w:vAlign w:val="center"/>
          </w:tcPr>
          <w:p>
            <w:pPr>
              <w:pStyle w:val="2001"/>
            </w:pPr>
            <w:r>
              <w:t>固废</w:t>
            </w:r>
          </w:p>
        </w:tc>
        <w:tc>
          <w:tcPr>
            <w:tcW w:w="1431" w:type="dxa"/>
            <w:vAlign w:val="center"/>
          </w:tcPr>
          <w:p>
            <w:pPr>
              <w:widowControl/>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炸礁</w:t>
            </w:r>
            <w:r>
              <w:rPr>
                <w:rFonts w:hint="eastAsia"/>
                <w:color w:val="000000" w:themeColor="text1"/>
                <w:kern w:val="0"/>
                <w:sz w:val="21"/>
                <w:szCs w:val="21"/>
                <w14:textFill>
                  <w14:solidFill>
                    <w14:schemeClr w14:val="tx1"/>
                  </w14:solidFill>
                </w14:textFill>
              </w:rPr>
              <w:t>、</w:t>
            </w:r>
            <w:r>
              <w:rPr>
                <w:color w:val="000000" w:themeColor="text1"/>
                <w:kern w:val="0"/>
                <w:sz w:val="21"/>
                <w:szCs w:val="21"/>
                <w14:textFill>
                  <w14:solidFill>
                    <w14:schemeClr w14:val="tx1"/>
                  </w14:solidFill>
                </w14:textFill>
              </w:rPr>
              <w:t>疏浚物</w:t>
            </w:r>
          </w:p>
        </w:tc>
        <w:tc>
          <w:tcPr>
            <w:tcW w:w="1461" w:type="dxa"/>
            <w:vAlign w:val="center"/>
          </w:tcPr>
          <w:p>
            <w:pPr>
              <w:widowControl/>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204.7</w:t>
            </w:r>
            <w:r>
              <w:rPr>
                <w:color w:val="000000" w:themeColor="text1"/>
                <w:kern w:val="0"/>
                <w:sz w:val="21"/>
                <w:szCs w:val="21"/>
                <w14:textFill>
                  <w14:solidFill>
                    <w14:schemeClr w14:val="tx1"/>
                  </w14:solidFill>
                </w14:textFill>
              </w:rPr>
              <w:t>万m</w:t>
            </w:r>
            <w:r>
              <w:rPr>
                <w:color w:val="000000" w:themeColor="text1"/>
                <w:kern w:val="0"/>
                <w:sz w:val="21"/>
                <w:szCs w:val="21"/>
                <w:vertAlign w:val="superscript"/>
                <w14:textFill>
                  <w14:solidFill>
                    <w14:schemeClr w14:val="tx1"/>
                  </w14:solidFill>
                </w14:textFill>
              </w:rPr>
              <w:t>3</w:t>
            </w:r>
            <w:r>
              <w:rPr>
                <w:rFonts w:hint="eastAsia"/>
                <w:color w:val="000000" w:themeColor="text1"/>
                <w:kern w:val="0"/>
                <w:sz w:val="21"/>
                <w:szCs w:val="21"/>
                <w14:textFill>
                  <w14:solidFill>
                    <w14:schemeClr w14:val="tx1"/>
                  </w14:solidFill>
                </w14:textFill>
              </w:rPr>
              <w:t>（其中炸礁47.6</w:t>
            </w:r>
            <w:r>
              <w:rPr>
                <w:color w:val="000000" w:themeColor="text1"/>
                <w:kern w:val="0"/>
                <w:sz w:val="21"/>
                <w:szCs w:val="21"/>
                <w14:textFill>
                  <w14:solidFill>
                    <w14:schemeClr w14:val="tx1"/>
                  </w14:solidFill>
                </w14:textFill>
              </w:rPr>
              <w:t>万m</w:t>
            </w:r>
            <w:r>
              <w:rPr>
                <w:color w:val="000000" w:themeColor="text1"/>
                <w:kern w:val="0"/>
                <w:sz w:val="21"/>
                <w:szCs w:val="21"/>
                <w:vertAlign w:val="superscript"/>
                <w14:textFill>
                  <w14:solidFill>
                    <w14:schemeClr w14:val="tx1"/>
                  </w14:solidFill>
                </w14:textFill>
              </w:rPr>
              <w:t>3</w:t>
            </w:r>
            <w:r>
              <w:rPr>
                <w:rFonts w:hint="eastAsia"/>
                <w:color w:val="000000" w:themeColor="text1"/>
                <w:kern w:val="0"/>
                <w:sz w:val="21"/>
                <w:szCs w:val="21"/>
                <w14:textFill>
                  <w14:solidFill>
                    <w14:schemeClr w14:val="tx1"/>
                  </w14:solidFill>
                </w14:textFill>
              </w:rPr>
              <w:t>）</w:t>
            </w:r>
          </w:p>
        </w:tc>
        <w:tc>
          <w:tcPr>
            <w:tcW w:w="1798" w:type="dxa"/>
            <w:vMerge w:val="restart"/>
            <w:vAlign w:val="center"/>
          </w:tcPr>
          <w:p>
            <w:pPr>
              <w:widowControl/>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w:t>
            </w:r>
          </w:p>
        </w:tc>
        <w:tc>
          <w:tcPr>
            <w:tcW w:w="3021" w:type="dxa"/>
            <w:vAlign w:val="center"/>
          </w:tcPr>
          <w:p>
            <w:pPr>
              <w:widowControl/>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123.4万</w:t>
            </w:r>
            <w:r>
              <w:rPr>
                <w:color w:val="000000" w:themeColor="text1"/>
                <w:kern w:val="0"/>
                <w:sz w:val="21"/>
                <w:szCs w:val="21"/>
                <w14:textFill>
                  <w14:solidFill>
                    <w14:schemeClr w14:val="tx1"/>
                  </w14:solidFill>
                </w14:textFill>
              </w:rPr>
              <w:t>m</w:t>
            </w:r>
            <w:r>
              <w:rPr>
                <w:color w:val="000000" w:themeColor="text1"/>
                <w:kern w:val="0"/>
                <w:sz w:val="21"/>
                <w:szCs w:val="21"/>
                <w:vertAlign w:val="superscript"/>
                <w14:textFill>
                  <w14:solidFill>
                    <w14:schemeClr w14:val="tx1"/>
                  </w14:solidFill>
                </w14:textFill>
              </w:rPr>
              <w:t>3</w:t>
            </w:r>
            <w:r>
              <w:rPr>
                <w:color w:val="000000" w:themeColor="text1"/>
                <w:kern w:val="0"/>
                <w:sz w:val="21"/>
                <w:szCs w:val="21"/>
                <w14:textFill>
                  <w14:solidFill>
                    <w14:schemeClr w14:val="tx1"/>
                  </w14:solidFill>
                </w14:textFill>
              </w:rPr>
              <w:t>运往</w:t>
            </w:r>
            <w:r>
              <w:rPr>
                <w:rFonts w:hint="eastAsia"/>
                <w:color w:val="000000" w:themeColor="text1"/>
                <w:kern w:val="0"/>
                <w:sz w:val="21"/>
                <w:szCs w:val="21"/>
                <w14:textFill>
                  <w14:solidFill>
                    <w14:schemeClr w14:val="tx1"/>
                  </w14:solidFill>
                </w14:textFill>
              </w:rPr>
              <w:t>钦州港30万吨级进港航道疏浚工程疏浚物临时性海洋倾倒区B区，81.3万</w:t>
            </w:r>
            <w:r>
              <w:rPr>
                <w:color w:val="000000" w:themeColor="text1"/>
                <w:kern w:val="0"/>
                <w:sz w:val="21"/>
                <w:szCs w:val="21"/>
                <w14:textFill>
                  <w14:solidFill>
                    <w14:schemeClr w14:val="tx1"/>
                  </w14:solidFill>
                </w14:textFill>
              </w:rPr>
              <w:t>m</w:t>
            </w:r>
            <w:r>
              <w:rPr>
                <w:color w:val="000000" w:themeColor="text1"/>
                <w:kern w:val="0"/>
                <w:sz w:val="21"/>
                <w:szCs w:val="21"/>
                <w:vertAlign w:val="superscript"/>
                <w14:textFill>
                  <w14:solidFill>
                    <w14:schemeClr w14:val="tx1"/>
                  </w14:solidFill>
                </w14:textFill>
              </w:rPr>
              <w:t>3</w:t>
            </w:r>
            <w:r>
              <w:rPr>
                <w:rFonts w:hint="eastAsia"/>
                <w:color w:val="000000" w:themeColor="text1"/>
                <w:kern w:val="0"/>
                <w:sz w:val="21"/>
                <w:szCs w:val="21"/>
                <w14:textFill>
                  <w14:solidFill>
                    <w14:schemeClr w14:val="tx1"/>
                  </w14:solidFill>
                </w14:textFill>
              </w:rPr>
              <w:t>吹填于后方昊鼎物流配送中心项目陆域形成。</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51" w:type="dxa"/>
            <w:bottom w:w="0" w:type="dxa"/>
            <w:right w:w="51" w:type="dxa"/>
          </w:tblCellMar>
        </w:tblPrEx>
        <w:trPr>
          <w:trHeight w:val="463" w:hRule="atLeast"/>
          <w:jc w:val="center"/>
        </w:trPr>
        <w:tc>
          <w:tcPr>
            <w:tcW w:w="703" w:type="dxa"/>
            <w:vMerge w:val="continue"/>
            <w:vAlign w:val="center"/>
          </w:tcPr>
          <w:p>
            <w:pPr>
              <w:pStyle w:val="2001"/>
            </w:pPr>
          </w:p>
        </w:tc>
        <w:tc>
          <w:tcPr>
            <w:tcW w:w="1431" w:type="dxa"/>
            <w:vAlign w:val="center"/>
          </w:tcPr>
          <w:p>
            <w:pPr>
              <w:widowControl/>
              <w:jc w:val="center"/>
              <w:rPr>
                <w:color w:val="000000" w:themeColor="text1"/>
                <w:kern w:val="0"/>
                <w:sz w:val="21"/>
                <w:szCs w:val="21"/>
                <w:u w:val="single"/>
                <w14:textFill>
                  <w14:solidFill>
                    <w14:schemeClr w14:val="tx1"/>
                  </w14:solidFill>
                </w14:textFill>
              </w:rPr>
            </w:pPr>
            <w:r>
              <w:rPr>
                <w:color w:val="000000" w:themeColor="text1"/>
                <w:kern w:val="0"/>
                <w:sz w:val="21"/>
                <w:szCs w:val="21"/>
                <w:u w:val="single"/>
                <w14:textFill>
                  <w14:solidFill>
                    <w14:schemeClr w14:val="tx1"/>
                  </w14:solidFill>
                </w14:textFill>
              </w:rPr>
              <w:t>船舶生活垃圾</w:t>
            </w:r>
          </w:p>
        </w:tc>
        <w:tc>
          <w:tcPr>
            <w:tcW w:w="1461" w:type="dxa"/>
            <w:vAlign w:val="center"/>
          </w:tcPr>
          <w:p>
            <w:pPr>
              <w:widowControl/>
              <w:jc w:val="center"/>
              <w:rPr>
                <w:color w:val="000000" w:themeColor="text1"/>
                <w:kern w:val="0"/>
                <w:sz w:val="21"/>
                <w:szCs w:val="21"/>
                <w:u w:val="single"/>
                <w14:textFill>
                  <w14:solidFill>
                    <w14:schemeClr w14:val="tx1"/>
                  </w14:solidFill>
                </w14:textFill>
              </w:rPr>
            </w:pPr>
            <w:r>
              <w:rPr>
                <w:color w:val="000000" w:themeColor="text1"/>
                <w:kern w:val="0"/>
                <w:sz w:val="21"/>
                <w:szCs w:val="21"/>
                <w:u w:val="single"/>
                <w14:textFill>
                  <w14:solidFill>
                    <w14:schemeClr w14:val="tx1"/>
                  </w14:solidFill>
                </w14:textFill>
              </w:rPr>
              <w:t>17.0t</w:t>
            </w:r>
          </w:p>
        </w:tc>
        <w:tc>
          <w:tcPr>
            <w:tcW w:w="1798" w:type="dxa"/>
            <w:vMerge w:val="continue"/>
            <w:vAlign w:val="center"/>
          </w:tcPr>
          <w:p>
            <w:pPr>
              <w:widowControl/>
              <w:jc w:val="center"/>
              <w:rPr>
                <w:color w:val="000000" w:themeColor="text1"/>
                <w:kern w:val="0"/>
                <w:sz w:val="21"/>
                <w:szCs w:val="21"/>
                <w14:textFill>
                  <w14:solidFill>
                    <w14:schemeClr w14:val="tx1"/>
                  </w14:solidFill>
                </w14:textFill>
              </w:rPr>
            </w:pPr>
          </w:p>
        </w:tc>
        <w:tc>
          <w:tcPr>
            <w:tcW w:w="3021" w:type="dxa"/>
            <w:vAlign w:val="center"/>
          </w:tcPr>
          <w:p>
            <w:pPr>
              <w:widowControl/>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固定接收船</w:t>
            </w:r>
            <w:r>
              <w:rPr>
                <w:rFonts w:hint="eastAsia"/>
                <w:color w:val="000000" w:themeColor="text1"/>
                <w:kern w:val="0"/>
                <w:sz w:val="21"/>
                <w:szCs w:val="21"/>
                <w14:textFill>
                  <w14:solidFill>
                    <w14:schemeClr w14:val="tx1"/>
                  </w14:solidFill>
                </w14:textFill>
              </w:rPr>
              <w:t>接收</w:t>
            </w:r>
            <w:r>
              <w:rPr>
                <w:color w:val="000000" w:themeColor="text1"/>
                <w:kern w:val="0"/>
                <w:sz w:val="21"/>
                <w:szCs w:val="21"/>
                <w14:textFill>
                  <w14:solidFill>
                    <w14:schemeClr w14:val="tx1"/>
                  </w14:solidFill>
                </w14:textFill>
              </w:rPr>
              <w:t>上岸处理</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51" w:type="dxa"/>
            <w:bottom w:w="0" w:type="dxa"/>
            <w:right w:w="51" w:type="dxa"/>
          </w:tblCellMar>
        </w:tblPrEx>
        <w:trPr>
          <w:trHeight w:val="349" w:hRule="atLeast"/>
          <w:jc w:val="center"/>
        </w:trPr>
        <w:tc>
          <w:tcPr>
            <w:tcW w:w="703" w:type="dxa"/>
            <w:vAlign w:val="center"/>
          </w:tcPr>
          <w:p>
            <w:pPr>
              <w:pStyle w:val="2001"/>
            </w:pPr>
            <w:r>
              <w:t>生态环境</w:t>
            </w:r>
          </w:p>
        </w:tc>
        <w:tc>
          <w:tcPr>
            <w:tcW w:w="1431" w:type="dxa"/>
            <w:vAlign w:val="center"/>
          </w:tcPr>
          <w:p>
            <w:pPr>
              <w:widowControl/>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永久</w:t>
            </w:r>
            <w:r>
              <w:rPr>
                <w:color w:val="000000" w:themeColor="text1"/>
                <w:kern w:val="0"/>
                <w:sz w:val="21"/>
                <w:szCs w:val="21"/>
                <w14:textFill>
                  <w14:solidFill>
                    <w14:schemeClr w14:val="tx1"/>
                  </w14:solidFill>
                </w14:textFill>
              </w:rPr>
              <w:t>水工结构开挖、港池疏浚</w:t>
            </w:r>
          </w:p>
        </w:tc>
        <w:tc>
          <w:tcPr>
            <w:tcW w:w="1461" w:type="dxa"/>
            <w:vAlign w:val="center"/>
          </w:tcPr>
          <w:p>
            <w:pPr>
              <w:widowControl/>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水工结构占用，疏浚（炸礁）悬浮物扩散</w:t>
            </w:r>
          </w:p>
        </w:tc>
        <w:tc>
          <w:tcPr>
            <w:tcW w:w="1798" w:type="dxa"/>
            <w:vAlign w:val="center"/>
          </w:tcPr>
          <w:p>
            <w:pPr>
              <w:widowControl/>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底栖生物死亡</w:t>
            </w:r>
          </w:p>
          <w:p>
            <w:pPr>
              <w:widowControl/>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冲淤条件变化</w:t>
            </w:r>
          </w:p>
        </w:tc>
        <w:tc>
          <w:tcPr>
            <w:tcW w:w="3021" w:type="dxa"/>
            <w:vAlign w:val="center"/>
          </w:tcPr>
          <w:p>
            <w:pPr>
              <w:widowControl/>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w:t>
            </w:r>
          </w:p>
        </w:tc>
      </w:tr>
    </w:tbl>
    <w:p>
      <w:pPr>
        <w:pStyle w:val="384"/>
        <w:ind w:left="0" w:firstLine="0"/>
        <w:rPr>
          <w:rFonts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本</w:t>
      </w:r>
      <w:r>
        <w:rPr>
          <w:rFonts w:cs="Times New Roman"/>
          <w:color w:val="000000" w:themeColor="text1"/>
          <w14:textFill>
            <w14:solidFill>
              <w14:schemeClr w14:val="tx1"/>
            </w14:solidFill>
          </w14:textFill>
        </w:rPr>
        <w:t>项目运营期污染物排放状况</w:t>
      </w:r>
    </w:p>
    <w:tbl>
      <w:tblPr>
        <w:tblStyle w:val="88"/>
        <w:tblW w:w="8311" w:type="dxa"/>
        <w:jc w:val="center"/>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6" w:type="dxa"/>
          <w:bottom w:w="0" w:type="dxa"/>
          <w:right w:w="6" w:type="dxa"/>
        </w:tblCellMar>
      </w:tblPr>
      <w:tblGrid>
        <w:gridCol w:w="438"/>
        <w:gridCol w:w="1692"/>
        <w:gridCol w:w="944"/>
        <w:gridCol w:w="992"/>
        <w:gridCol w:w="992"/>
        <w:gridCol w:w="1134"/>
        <w:gridCol w:w="2119"/>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6" w:type="dxa"/>
            <w:bottom w:w="0" w:type="dxa"/>
            <w:right w:w="6" w:type="dxa"/>
          </w:tblCellMar>
        </w:tblPrEx>
        <w:trPr>
          <w:tblHeader/>
          <w:jc w:val="center"/>
        </w:trPr>
        <w:tc>
          <w:tcPr>
            <w:tcW w:w="438" w:type="dxa"/>
            <w:vMerge w:val="restart"/>
            <w:shd w:val="clear" w:color="auto" w:fill="auto"/>
            <w:vAlign w:val="center"/>
          </w:tcPr>
          <w:p>
            <w:pPr>
              <w:pStyle w:val="2001"/>
            </w:pPr>
            <w:r>
              <w:t>类别</w:t>
            </w:r>
          </w:p>
        </w:tc>
        <w:tc>
          <w:tcPr>
            <w:tcW w:w="1692" w:type="dxa"/>
            <w:vMerge w:val="restart"/>
            <w:shd w:val="clear" w:color="auto" w:fill="auto"/>
            <w:vAlign w:val="center"/>
          </w:tcPr>
          <w:p>
            <w:pPr>
              <w:pStyle w:val="2001"/>
            </w:pPr>
            <w:r>
              <w:t>污染源</w:t>
            </w:r>
          </w:p>
        </w:tc>
        <w:tc>
          <w:tcPr>
            <w:tcW w:w="944" w:type="dxa"/>
            <w:vMerge w:val="restart"/>
            <w:vAlign w:val="center"/>
          </w:tcPr>
          <w:p>
            <w:pPr>
              <w:pStyle w:val="2001"/>
            </w:pPr>
            <w:r>
              <w:t>年排放量</w:t>
            </w:r>
          </w:p>
          <w:p>
            <w:pPr>
              <w:pStyle w:val="2001"/>
            </w:pPr>
            <w:r>
              <w:rPr>
                <w:rFonts w:hint="eastAsia"/>
              </w:rPr>
              <w:t>t</w:t>
            </w:r>
            <w:r>
              <w:t>/a</w:t>
            </w:r>
          </w:p>
        </w:tc>
        <w:tc>
          <w:tcPr>
            <w:tcW w:w="3118" w:type="dxa"/>
            <w:gridSpan w:val="3"/>
            <w:shd w:val="clear" w:color="auto" w:fill="auto"/>
            <w:vAlign w:val="center"/>
          </w:tcPr>
          <w:p>
            <w:pPr>
              <w:pStyle w:val="2001"/>
            </w:pPr>
            <w:r>
              <w:t>主要污染物</w:t>
            </w:r>
          </w:p>
        </w:tc>
        <w:tc>
          <w:tcPr>
            <w:tcW w:w="2119" w:type="dxa"/>
            <w:vMerge w:val="restart"/>
            <w:shd w:val="clear" w:color="auto" w:fill="auto"/>
            <w:vAlign w:val="center"/>
          </w:tcPr>
          <w:p>
            <w:pPr>
              <w:pStyle w:val="2001"/>
            </w:pPr>
            <w:r>
              <w:t>排放去向</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6" w:type="dxa"/>
            <w:bottom w:w="0" w:type="dxa"/>
            <w:right w:w="6" w:type="dxa"/>
          </w:tblCellMar>
        </w:tblPrEx>
        <w:trPr>
          <w:tblHeader/>
          <w:jc w:val="center"/>
        </w:trPr>
        <w:tc>
          <w:tcPr>
            <w:tcW w:w="438" w:type="dxa"/>
            <w:vMerge w:val="continue"/>
            <w:shd w:val="clear" w:color="auto" w:fill="auto"/>
            <w:vAlign w:val="center"/>
          </w:tcPr>
          <w:p>
            <w:pPr>
              <w:pStyle w:val="2001"/>
            </w:pPr>
          </w:p>
        </w:tc>
        <w:tc>
          <w:tcPr>
            <w:tcW w:w="1692" w:type="dxa"/>
            <w:vMerge w:val="continue"/>
            <w:shd w:val="clear" w:color="auto" w:fill="auto"/>
            <w:vAlign w:val="center"/>
          </w:tcPr>
          <w:p>
            <w:pPr>
              <w:pStyle w:val="2001"/>
            </w:pPr>
          </w:p>
        </w:tc>
        <w:tc>
          <w:tcPr>
            <w:tcW w:w="944" w:type="dxa"/>
            <w:vMerge w:val="continue"/>
            <w:vAlign w:val="center"/>
          </w:tcPr>
          <w:p>
            <w:pPr>
              <w:pStyle w:val="2001"/>
            </w:pPr>
          </w:p>
        </w:tc>
        <w:tc>
          <w:tcPr>
            <w:tcW w:w="992" w:type="dxa"/>
            <w:shd w:val="clear" w:color="auto" w:fill="auto"/>
            <w:vAlign w:val="center"/>
          </w:tcPr>
          <w:p>
            <w:pPr>
              <w:pStyle w:val="2001"/>
            </w:pPr>
            <w:r>
              <w:t>污染因子</w:t>
            </w:r>
          </w:p>
        </w:tc>
        <w:tc>
          <w:tcPr>
            <w:tcW w:w="992" w:type="dxa"/>
            <w:shd w:val="clear" w:color="auto" w:fill="auto"/>
            <w:vAlign w:val="center"/>
          </w:tcPr>
          <w:p>
            <w:pPr>
              <w:pStyle w:val="2001"/>
            </w:pPr>
            <w:r>
              <w:t>排放浓度</w:t>
            </w:r>
          </w:p>
          <w:p>
            <w:pPr>
              <w:pStyle w:val="2001"/>
            </w:pPr>
            <w:r>
              <w:t>（mg/</w:t>
            </w:r>
            <w:r>
              <w:rPr>
                <w:rFonts w:hint="eastAsia"/>
              </w:rPr>
              <w:t>L</w:t>
            </w:r>
            <w:r>
              <w:t>）</w:t>
            </w:r>
          </w:p>
        </w:tc>
        <w:tc>
          <w:tcPr>
            <w:tcW w:w="1134" w:type="dxa"/>
            <w:shd w:val="clear" w:color="auto" w:fill="auto"/>
            <w:vAlign w:val="center"/>
          </w:tcPr>
          <w:p>
            <w:pPr>
              <w:pStyle w:val="2001"/>
            </w:pPr>
            <w:r>
              <w:t>排放量</w:t>
            </w:r>
          </w:p>
          <w:p>
            <w:pPr>
              <w:pStyle w:val="2001"/>
            </w:pPr>
            <w:r>
              <w:t>（kg/a）</w:t>
            </w:r>
          </w:p>
        </w:tc>
        <w:tc>
          <w:tcPr>
            <w:tcW w:w="2119" w:type="dxa"/>
            <w:vMerge w:val="continue"/>
            <w:shd w:val="clear" w:color="auto" w:fill="auto"/>
            <w:vAlign w:val="center"/>
          </w:tcPr>
          <w:p>
            <w:pPr>
              <w:pStyle w:val="2001"/>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6" w:type="dxa"/>
            <w:bottom w:w="0" w:type="dxa"/>
            <w:right w:w="6" w:type="dxa"/>
          </w:tblCellMar>
        </w:tblPrEx>
        <w:trPr>
          <w:trHeight w:val="363" w:hRule="atLeast"/>
          <w:jc w:val="center"/>
        </w:trPr>
        <w:tc>
          <w:tcPr>
            <w:tcW w:w="438" w:type="dxa"/>
            <w:vMerge w:val="restart"/>
            <w:shd w:val="clear" w:color="auto" w:fill="auto"/>
            <w:vAlign w:val="center"/>
          </w:tcPr>
          <w:p>
            <w:pPr>
              <w:pStyle w:val="2001"/>
            </w:pPr>
            <w:r>
              <w:t>废水</w:t>
            </w:r>
          </w:p>
        </w:tc>
        <w:tc>
          <w:tcPr>
            <w:tcW w:w="1692" w:type="dxa"/>
            <w:vMerge w:val="restart"/>
            <w:shd w:val="clear" w:color="auto" w:fill="auto"/>
            <w:vAlign w:val="center"/>
          </w:tcPr>
          <w:p>
            <w:pPr>
              <w:pStyle w:val="2001"/>
            </w:pPr>
            <w:r>
              <w:rPr>
                <w:rFonts w:hint="eastAsia"/>
              </w:rPr>
              <w:t>陆域</w:t>
            </w:r>
            <w:r>
              <w:t>生活污水</w:t>
            </w:r>
          </w:p>
        </w:tc>
        <w:tc>
          <w:tcPr>
            <w:tcW w:w="944" w:type="dxa"/>
            <w:vMerge w:val="restart"/>
            <w:vAlign w:val="center"/>
          </w:tcPr>
          <w:p>
            <w:pPr>
              <w:pStyle w:val="2001"/>
            </w:pPr>
            <w:r>
              <w:rPr>
                <w:rFonts w:hint="eastAsia"/>
              </w:rPr>
              <w:t>432.3</w:t>
            </w:r>
          </w:p>
        </w:tc>
        <w:tc>
          <w:tcPr>
            <w:tcW w:w="992" w:type="dxa"/>
            <w:shd w:val="clear" w:color="auto" w:fill="auto"/>
            <w:vAlign w:val="center"/>
          </w:tcPr>
          <w:p>
            <w:pPr>
              <w:pStyle w:val="2001"/>
            </w:pPr>
            <w:r>
              <w:t>COD</w:t>
            </w:r>
          </w:p>
        </w:tc>
        <w:tc>
          <w:tcPr>
            <w:tcW w:w="992" w:type="dxa"/>
            <w:shd w:val="clear" w:color="auto" w:fill="auto"/>
            <w:vAlign w:val="center"/>
          </w:tcPr>
          <w:p>
            <w:pPr>
              <w:pStyle w:val="2001"/>
            </w:pPr>
            <w:r>
              <w:rPr>
                <w:rFonts w:hint="eastAsia"/>
              </w:rPr>
              <w:t>500</w:t>
            </w:r>
          </w:p>
        </w:tc>
        <w:tc>
          <w:tcPr>
            <w:tcW w:w="1134" w:type="dxa"/>
            <w:shd w:val="clear" w:color="auto" w:fill="auto"/>
            <w:vAlign w:val="center"/>
          </w:tcPr>
          <w:p>
            <w:pPr>
              <w:pStyle w:val="2001"/>
            </w:pPr>
            <w:r>
              <w:rPr>
                <w:rFonts w:hint="eastAsia"/>
              </w:rPr>
              <w:t>220</w:t>
            </w:r>
          </w:p>
        </w:tc>
        <w:tc>
          <w:tcPr>
            <w:tcW w:w="2119" w:type="dxa"/>
            <w:vMerge w:val="restart"/>
            <w:shd w:val="clear" w:color="auto" w:fill="auto"/>
            <w:vAlign w:val="center"/>
          </w:tcPr>
          <w:p>
            <w:pPr>
              <w:pStyle w:val="2001"/>
            </w:pPr>
            <w:r>
              <w:rPr>
                <w:rFonts w:hint="eastAsia"/>
              </w:rPr>
              <w:t>经收集后泵送至7号8号泊位的生活污水处理站处理后进入大榄坪污水处理厂</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6" w:type="dxa"/>
            <w:bottom w:w="0" w:type="dxa"/>
            <w:right w:w="6" w:type="dxa"/>
          </w:tblCellMar>
        </w:tblPrEx>
        <w:trPr>
          <w:trHeight w:val="279" w:hRule="atLeast"/>
          <w:jc w:val="center"/>
        </w:trPr>
        <w:tc>
          <w:tcPr>
            <w:tcW w:w="438" w:type="dxa"/>
            <w:vMerge w:val="continue"/>
            <w:shd w:val="clear" w:color="auto" w:fill="auto"/>
            <w:vAlign w:val="center"/>
          </w:tcPr>
          <w:p>
            <w:pPr>
              <w:pStyle w:val="2001"/>
            </w:pPr>
          </w:p>
        </w:tc>
        <w:tc>
          <w:tcPr>
            <w:tcW w:w="1692" w:type="dxa"/>
            <w:vMerge w:val="continue"/>
            <w:shd w:val="clear" w:color="auto" w:fill="auto"/>
            <w:vAlign w:val="center"/>
          </w:tcPr>
          <w:p>
            <w:pPr>
              <w:pStyle w:val="2001"/>
            </w:pPr>
          </w:p>
        </w:tc>
        <w:tc>
          <w:tcPr>
            <w:tcW w:w="944" w:type="dxa"/>
            <w:vMerge w:val="continue"/>
            <w:vAlign w:val="center"/>
          </w:tcPr>
          <w:p>
            <w:pPr>
              <w:pStyle w:val="2001"/>
            </w:pPr>
          </w:p>
        </w:tc>
        <w:tc>
          <w:tcPr>
            <w:tcW w:w="992" w:type="dxa"/>
            <w:shd w:val="clear" w:color="auto" w:fill="auto"/>
            <w:vAlign w:val="center"/>
          </w:tcPr>
          <w:p>
            <w:pPr>
              <w:pStyle w:val="2001"/>
            </w:pPr>
            <w:r>
              <w:t>BOD</w:t>
            </w:r>
            <w:r>
              <w:rPr>
                <w:vertAlign w:val="subscript"/>
              </w:rPr>
              <w:t>5</w:t>
            </w:r>
          </w:p>
        </w:tc>
        <w:tc>
          <w:tcPr>
            <w:tcW w:w="992" w:type="dxa"/>
            <w:shd w:val="clear" w:color="auto" w:fill="auto"/>
            <w:vAlign w:val="center"/>
          </w:tcPr>
          <w:p>
            <w:pPr>
              <w:pStyle w:val="2001"/>
            </w:pPr>
            <w:r>
              <w:rPr>
                <w:rFonts w:hint="eastAsia"/>
              </w:rPr>
              <w:t>350</w:t>
            </w:r>
          </w:p>
        </w:tc>
        <w:tc>
          <w:tcPr>
            <w:tcW w:w="1134" w:type="dxa"/>
            <w:shd w:val="clear" w:color="auto" w:fill="auto"/>
            <w:vAlign w:val="center"/>
          </w:tcPr>
          <w:p>
            <w:pPr>
              <w:pStyle w:val="2001"/>
            </w:pPr>
            <w:r>
              <w:rPr>
                <w:rFonts w:hint="eastAsia"/>
              </w:rPr>
              <w:t>140</w:t>
            </w:r>
          </w:p>
        </w:tc>
        <w:tc>
          <w:tcPr>
            <w:tcW w:w="2119" w:type="dxa"/>
            <w:vMerge w:val="continue"/>
            <w:shd w:val="clear" w:color="auto" w:fill="auto"/>
            <w:vAlign w:val="center"/>
          </w:tcPr>
          <w:p>
            <w:pPr>
              <w:pStyle w:val="2001"/>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6" w:type="dxa"/>
            <w:bottom w:w="0" w:type="dxa"/>
            <w:right w:w="6" w:type="dxa"/>
          </w:tblCellMar>
        </w:tblPrEx>
        <w:trPr>
          <w:trHeight w:val="160" w:hRule="atLeast"/>
          <w:jc w:val="center"/>
        </w:trPr>
        <w:tc>
          <w:tcPr>
            <w:tcW w:w="438" w:type="dxa"/>
            <w:vMerge w:val="continue"/>
            <w:shd w:val="clear" w:color="auto" w:fill="auto"/>
            <w:vAlign w:val="center"/>
          </w:tcPr>
          <w:p>
            <w:pPr>
              <w:pStyle w:val="2001"/>
            </w:pPr>
          </w:p>
        </w:tc>
        <w:tc>
          <w:tcPr>
            <w:tcW w:w="1692" w:type="dxa"/>
            <w:vMerge w:val="continue"/>
            <w:shd w:val="clear" w:color="auto" w:fill="auto"/>
            <w:vAlign w:val="center"/>
          </w:tcPr>
          <w:p>
            <w:pPr>
              <w:pStyle w:val="2001"/>
            </w:pPr>
          </w:p>
        </w:tc>
        <w:tc>
          <w:tcPr>
            <w:tcW w:w="944" w:type="dxa"/>
            <w:vMerge w:val="continue"/>
            <w:vAlign w:val="center"/>
          </w:tcPr>
          <w:p>
            <w:pPr>
              <w:pStyle w:val="2001"/>
            </w:pPr>
          </w:p>
        </w:tc>
        <w:tc>
          <w:tcPr>
            <w:tcW w:w="992" w:type="dxa"/>
            <w:shd w:val="clear" w:color="auto" w:fill="auto"/>
            <w:vAlign w:val="center"/>
          </w:tcPr>
          <w:p>
            <w:pPr>
              <w:pStyle w:val="2001"/>
            </w:pPr>
            <w:r>
              <w:t>NH</w:t>
            </w:r>
            <w:r>
              <w:rPr>
                <w:vertAlign w:val="subscript"/>
              </w:rPr>
              <w:t>3</w:t>
            </w:r>
            <w:r>
              <w:t>-N</w:t>
            </w:r>
          </w:p>
        </w:tc>
        <w:tc>
          <w:tcPr>
            <w:tcW w:w="992" w:type="dxa"/>
            <w:shd w:val="clear" w:color="auto" w:fill="auto"/>
            <w:vAlign w:val="center"/>
          </w:tcPr>
          <w:p>
            <w:pPr>
              <w:pStyle w:val="2001"/>
            </w:pPr>
            <w:r>
              <w:rPr>
                <w:rFonts w:hint="eastAsia"/>
              </w:rPr>
              <w:t>45</w:t>
            </w:r>
          </w:p>
        </w:tc>
        <w:tc>
          <w:tcPr>
            <w:tcW w:w="1134" w:type="dxa"/>
            <w:shd w:val="clear" w:color="auto" w:fill="auto"/>
            <w:vAlign w:val="center"/>
          </w:tcPr>
          <w:p>
            <w:pPr>
              <w:pStyle w:val="2001"/>
            </w:pPr>
            <w:r>
              <w:rPr>
                <w:rFonts w:hint="eastAsia"/>
              </w:rPr>
              <w:t>13</w:t>
            </w:r>
          </w:p>
        </w:tc>
        <w:tc>
          <w:tcPr>
            <w:tcW w:w="2119" w:type="dxa"/>
            <w:vMerge w:val="continue"/>
            <w:shd w:val="clear" w:color="auto" w:fill="auto"/>
            <w:vAlign w:val="center"/>
          </w:tcPr>
          <w:p>
            <w:pPr>
              <w:pStyle w:val="2001"/>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6" w:type="dxa"/>
            <w:bottom w:w="0" w:type="dxa"/>
            <w:right w:w="6" w:type="dxa"/>
          </w:tblCellMar>
        </w:tblPrEx>
        <w:trPr>
          <w:trHeight w:val="271" w:hRule="atLeast"/>
          <w:jc w:val="center"/>
        </w:trPr>
        <w:tc>
          <w:tcPr>
            <w:tcW w:w="438" w:type="dxa"/>
            <w:vMerge w:val="continue"/>
            <w:tcBorders>
              <w:bottom w:val="single" w:color="auto" w:sz="4" w:space="0"/>
            </w:tcBorders>
            <w:shd w:val="clear" w:color="auto" w:fill="auto"/>
            <w:vAlign w:val="center"/>
          </w:tcPr>
          <w:p>
            <w:pPr>
              <w:pStyle w:val="2001"/>
            </w:pPr>
          </w:p>
        </w:tc>
        <w:tc>
          <w:tcPr>
            <w:tcW w:w="1692" w:type="dxa"/>
            <w:vMerge w:val="restart"/>
            <w:tcBorders>
              <w:bottom w:val="single" w:color="auto" w:sz="4" w:space="0"/>
            </w:tcBorders>
            <w:shd w:val="clear" w:color="auto" w:fill="auto"/>
            <w:vAlign w:val="center"/>
          </w:tcPr>
          <w:p>
            <w:pPr>
              <w:pStyle w:val="2001"/>
            </w:pPr>
            <w:r>
              <w:t>船舶生活污水</w:t>
            </w:r>
          </w:p>
        </w:tc>
        <w:tc>
          <w:tcPr>
            <w:tcW w:w="944" w:type="dxa"/>
            <w:vMerge w:val="restart"/>
            <w:tcBorders>
              <w:bottom w:val="single" w:color="auto" w:sz="4" w:space="0"/>
            </w:tcBorders>
            <w:vAlign w:val="center"/>
          </w:tcPr>
          <w:p>
            <w:pPr>
              <w:pStyle w:val="2001"/>
            </w:pPr>
            <w:r>
              <w:rPr>
                <w:rFonts w:hint="eastAsia"/>
              </w:rPr>
              <w:t>1485</w:t>
            </w:r>
          </w:p>
        </w:tc>
        <w:tc>
          <w:tcPr>
            <w:tcW w:w="992" w:type="dxa"/>
            <w:tcBorders>
              <w:bottom w:val="single" w:color="auto" w:sz="4" w:space="0"/>
            </w:tcBorders>
            <w:shd w:val="clear" w:color="auto" w:fill="auto"/>
            <w:vAlign w:val="center"/>
          </w:tcPr>
          <w:p>
            <w:pPr>
              <w:pStyle w:val="2001"/>
            </w:pPr>
            <w:r>
              <w:rPr>
                <w:rFonts w:hint="eastAsia"/>
              </w:rPr>
              <w:t>COD</w:t>
            </w:r>
          </w:p>
        </w:tc>
        <w:tc>
          <w:tcPr>
            <w:tcW w:w="992" w:type="dxa"/>
            <w:tcBorders>
              <w:bottom w:val="single" w:color="auto" w:sz="4" w:space="0"/>
            </w:tcBorders>
            <w:shd w:val="clear" w:color="auto" w:fill="auto"/>
            <w:vAlign w:val="center"/>
          </w:tcPr>
          <w:p>
            <w:pPr>
              <w:pStyle w:val="2001"/>
            </w:pPr>
            <w:r>
              <w:rPr>
                <w:rFonts w:hint="eastAsia"/>
              </w:rPr>
              <w:t>300</w:t>
            </w:r>
          </w:p>
        </w:tc>
        <w:tc>
          <w:tcPr>
            <w:tcW w:w="1134" w:type="dxa"/>
            <w:tcBorders>
              <w:bottom w:val="single" w:color="auto" w:sz="4" w:space="0"/>
            </w:tcBorders>
            <w:shd w:val="clear" w:color="auto" w:fill="auto"/>
            <w:vAlign w:val="center"/>
          </w:tcPr>
          <w:p>
            <w:pPr>
              <w:pStyle w:val="2001"/>
            </w:pPr>
            <w:r>
              <w:rPr>
                <w:rFonts w:hint="eastAsia"/>
              </w:rPr>
              <w:t>445.5</w:t>
            </w:r>
          </w:p>
        </w:tc>
        <w:tc>
          <w:tcPr>
            <w:tcW w:w="2119" w:type="dxa"/>
            <w:vMerge w:val="restart"/>
            <w:tcBorders>
              <w:bottom w:val="single" w:color="auto" w:sz="4" w:space="0"/>
            </w:tcBorders>
            <w:shd w:val="clear" w:color="auto" w:fill="auto"/>
            <w:vAlign w:val="center"/>
          </w:tcPr>
          <w:p>
            <w:pPr>
              <w:pStyle w:val="2001"/>
              <w:rPr>
                <w:snapToGrid w:val="0"/>
              </w:rPr>
            </w:pPr>
            <w:r>
              <w:rPr>
                <w:rFonts w:hint="eastAsia"/>
              </w:rPr>
              <w:t>交</w:t>
            </w:r>
            <w:r>
              <w:t>由相应资质单位接收</w:t>
            </w:r>
            <w:r>
              <w:rPr>
                <w:rFonts w:hint="eastAsia"/>
              </w:rPr>
              <w:t>处理</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6" w:type="dxa"/>
            <w:bottom w:w="0" w:type="dxa"/>
            <w:right w:w="6" w:type="dxa"/>
          </w:tblCellMar>
        </w:tblPrEx>
        <w:trPr>
          <w:jc w:val="center"/>
        </w:trPr>
        <w:tc>
          <w:tcPr>
            <w:tcW w:w="438" w:type="dxa"/>
            <w:vMerge w:val="continue"/>
            <w:shd w:val="clear" w:color="auto" w:fill="auto"/>
            <w:vAlign w:val="center"/>
          </w:tcPr>
          <w:p>
            <w:pPr>
              <w:pStyle w:val="2001"/>
            </w:pPr>
          </w:p>
        </w:tc>
        <w:tc>
          <w:tcPr>
            <w:tcW w:w="1692" w:type="dxa"/>
            <w:vMerge w:val="continue"/>
            <w:shd w:val="clear" w:color="auto" w:fill="auto"/>
            <w:vAlign w:val="center"/>
          </w:tcPr>
          <w:p>
            <w:pPr>
              <w:pStyle w:val="2001"/>
            </w:pPr>
          </w:p>
        </w:tc>
        <w:tc>
          <w:tcPr>
            <w:tcW w:w="944" w:type="dxa"/>
            <w:vMerge w:val="continue"/>
            <w:vAlign w:val="center"/>
          </w:tcPr>
          <w:p>
            <w:pPr>
              <w:pStyle w:val="2001"/>
            </w:pPr>
          </w:p>
        </w:tc>
        <w:tc>
          <w:tcPr>
            <w:tcW w:w="992" w:type="dxa"/>
            <w:shd w:val="clear" w:color="auto" w:fill="auto"/>
            <w:vAlign w:val="center"/>
          </w:tcPr>
          <w:p>
            <w:pPr>
              <w:pStyle w:val="2001"/>
            </w:pPr>
            <w:r>
              <w:t>BOD</w:t>
            </w:r>
            <w:r>
              <w:rPr>
                <w:vertAlign w:val="subscript"/>
              </w:rPr>
              <w:t>5</w:t>
            </w:r>
          </w:p>
        </w:tc>
        <w:tc>
          <w:tcPr>
            <w:tcW w:w="992" w:type="dxa"/>
            <w:shd w:val="clear" w:color="auto" w:fill="auto"/>
            <w:vAlign w:val="center"/>
          </w:tcPr>
          <w:p>
            <w:pPr>
              <w:pStyle w:val="2001"/>
            </w:pPr>
            <w:r>
              <w:rPr>
                <w:rFonts w:hint="eastAsia"/>
              </w:rPr>
              <w:t>200</w:t>
            </w:r>
          </w:p>
        </w:tc>
        <w:tc>
          <w:tcPr>
            <w:tcW w:w="1134" w:type="dxa"/>
            <w:shd w:val="clear" w:color="auto" w:fill="auto"/>
            <w:vAlign w:val="center"/>
          </w:tcPr>
          <w:p>
            <w:pPr>
              <w:pStyle w:val="2001"/>
            </w:pPr>
            <w:r>
              <w:rPr>
                <w:rFonts w:hint="eastAsia"/>
              </w:rPr>
              <w:t>297.0</w:t>
            </w:r>
          </w:p>
        </w:tc>
        <w:tc>
          <w:tcPr>
            <w:tcW w:w="2119" w:type="dxa"/>
            <w:vMerge w:val="continue"/>
            <w:shd w:val="clear" w:color="auto" w:fill="auto"/>
            <w:vAlign w:val="center"/>
          </w:tcPr>
          <w:p>
            <w:pPr>
              <w:pStyle w:val="2001"/>
              <w:rPr>
                <w:snapToGrid w:val="0"/>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6" w:type="dxa"/>
            <w:bottom w:w="0" w:type="dxa"/>
            <w:right w:w="6" w:type="dxa"/>
          </w:tblCellMar>
        </w:tblPrEx>
        <w:trPr>
          <w:jc w:val="center"/>
        </w:trPr>
        <w:tc>
          <w:tcPr>
            <w:tcW w:w="438" w:type="dxa"/>
            <w:vMerge w:val="continue"/>
            <w:shd w:val="clear" w:color="auto" w:fill="auto"/>
            <w:vAlign w:val="center"/>
          </w:tcPr>
          <w:p>
            <w:pPr>
              <w:pStyle w:val="2001"/>
            </w:pPr>
          </w:p>
        </w:tc>
        <w:tc>
          <w:tcPr>
            <w:tcW w:w="1692" w:type="dxa"/>
            <w:vMerge w:val="continue"/>
            <w:shd w:val="clear" w:color="auto" w:fill="auto"/>
            <w:vAlign w:val="center"/>
          </w:tcPr>
          <w:p>
            <w:pPr>
              <w:pStyle w:val="2001"/>
            </w:pPr>
          </w:p>
        </w:tc>
        <w:tc>
          <w:tcPr>
            <w:tcW w:w="944" w:type="dxa"/>
            <w:vMerge w:val="continue"/>
            <w:vAlign w:val="center"/>
          </w:tcPr>
          <w:p>
            <w:pPr>
              <w:pStyle w:val="2001"/>
            </w:pPr>
          </w:p>
        </w:tc>
        <w:tc>
          <w:tcPr>
            <w:tcW w:w="992" w:type="dxa"/>
            <w:shd w:val="clear" w:color="auto" w:fill="auto"/>
            <w:vAlign w:val="center"/>
          </w:tcPr>
          <w:p>
            <w:pPr>
              <w:pStyle w:val="2001"/>
            </w:pPr>
            <w:r>
              <w:t>NH</w:t>
            </w:r>
            <w:r>
              <w:rPr>
                <w:vertAlign w:val="subscript"/>
              </w:rPr>
              <w:t>3</w:t>
            </w:r>
            <w:r>
              <w:t>-N</w:t>
            </w:r>
          </w:p>
        </w:tc>
        <w:tc>
          <w:tcPr>
            <w:tcW w:w="992" w:type="dxa"/>
            <w:shd w:val="clear" w:color="auto" w:fill="auto"/>
            <w:vAlign w:val="center"/>
          </w:tcPr>
          <w:p>
            <w:pPr>
              <w:pStyle w:val="2001"/>
            </w:pPr>
            <w:r>
              <w:rPr>
                <w:rFonts w:hint="eastAsia"/>
              </w:rPr>
              <w:t>35</w:t>
            </w:r>
          </w:p>
        </w:tc>
        <w:tc>
          <w:tcPr>
            <w:tcW w:w="1134" w:type="dxa"/>
            <w:shd w:val="clear" w:color="auto" w:fill="auto"/>
            <w:vAlign w:val="center"/>
          </w:tcPr>
          <w:p>
            <w:pPr>
              <w:pStyle w:val="2001"/>
            </w:pPr>
            <w:r>
              <w:rPr>
                <w:rFonts w:hint="eastAsia"/>
              </w:rPr>
              <w:t>52.0</w:t>
            </w:r>
          </w:p>
        </w:tc>
        <w:tc>
          <w:tcPr>
            <w:tcW w:w="2119" w:type="dxa"/>
            <w:vMerge w:val="continue"/>
            <w:shd w:val="clear" w:color="auto" w:fill="auto"/>
            <w:vAlign w:val="center"/>
          </w:tcPr>
          <w:p>
            <w:pPr>
              <w:pStyle w:val="2001"/>
              <w:rPr>
                <w:snapToGrid w:val="0"/>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6" w:type="dxa"/>
            <w:bottom w:w="0" w:type="dxa"/>
            <w:right w:w="6" w:type="dxa"/>
          </w:tblCellMar>
        </w:tblPrEx>
        <w:trPr>
          <w:jc w:val="center"/>
        </w:trPr>
        <w:tc>
          <w:tcPr>
            <w:tcW w:w="438" w:type="dxa"/>
            <w:vMerge w:val="restart"/>
            <w:shd w:val="clear" w:color="auto" w:fill="auto"/>
            <w:vAlign w:val="center"/>
          </w:tcPr>
          <w:p>
            <w:pPr>
              <w:pStyle w:val="2001"/>
            </w:pPr>
            <w:r>
              <w:t>废气</w:t>
            </w:r>
          </w:p>
        </w:tc>
        <w:tc>
          <w:tcPr>
            <w:tcW w:w="1692" w:type="dxa"/>
            <w:vMerge w:val="restart"/>
            <w:shd w:val="clear" w:color="auto" w:fill="auto"/>
            <w:vAlign w:val="center"/>
          </w:tcPr>
          <w:p>
            <w:pPr>
              <w:pStyle w:val="2001"/>
            </w:pPr>
            <w:r>
              <w:rPr>
                <w:rFonts w:hint="eastAsia"/>
              </w:rPr>
              <w:t>铺装道路扬尘</w:t>
            </w:r>
          </w:p>
        </w:tc>
        <w:tc>
          <w:tcPr>
            <w:tcW w:w="944" w:type="dxa"/>
            <w:vMerge w:val="restart"/>
            <w:vAlign w:val="center"/>
          </w:tcPr>
          <w:p>
            <w:pPr>
              <w:pStyle w:val="2001"/>
            </w:pPr>
            <w:r>
              <w:t>/</w:t>
            </w:r>
          </w:p>
        </w:tc>
        <w:tc>
          <w:tcPr>
            <w:tcW w:w="992" w:type="dxa"/>
            <w:shd w:val="clear" w:color="auto" w:fill="auto"/>
            <w:vAlign w:val="center"/>
          </w:tcPr>
          <w:p>
            <w:pPr>
              <w:snapToGrid w:val="0"/>
              <w:spacing w:line="280" w:lineRule="exact"/>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TSP</w:t>
            </w:r>
          </w:p>
        </w:tc>
        <w:tc>
          <w:tcPr>
            <w:tcW w:w="992" w:type="dxa"/>
            <w:shd w:val="clear" w:color="auto" w:fill="auto"/>
            <w:vAlign w:val="center"/>
          </w:tcPr>
          <w:p>
            <w:pPr>
              <w:pStyle w:val="2001"/>
            </w:pPr>
            <w:r>
              <w:rPr>
                <w:snapToGrid w:val="0"/>
              </w:rPr>
              <w:t>/</w:t>
            </w:r>
          </w:p>
        </w:tc>
        <w:tc>
          <w:tcPr>
            <w:tcW w:w="1134" w:type="dxa"/>
            <w:shd w:val="clear" w:color="auto" w:fill="auto"/>
            <w:vAlign w:val="center"/>
          </w:tcPr>
          <w:p>
            <w:pPr>
              <w:snapToGrid w:val="0"/>
              <w:spacing w:line="280" w:lineRule="exact"/>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0.092</w:t>
            </w:r>
          </w:p>
        </w:tc>
        <w:tc>
          <w:tcPr>
            <w:tcW w:w="2119" w:type="dxa"/>
            <w:vMerge w:val="restart"/>
            <w:shd w:val="clear" w:color="auto" w:fill="auto"/>
            <w:vAlign w:val="center"/>
          </w:tcPr>
          <w:p>
            <w:pPr>
              <w:pStyle w:val="2001"/>
            </w:pPr>
            <w:r>
              <w:t>无组织排放</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6" w:type="dxa"/>
            <w:bottom w:w="0" w:type="dxa"/>
            <w:right w:w="6" w:type="dxa"/>
          </w:tblCellMar>
        </w:tblPrEx>
        <w:trPr>
          <w:jc w:val="center"/>
        </w:trPr>
        <w:tc>
          <w:tcPr>
            <w:tcW w:w="438" w:type="dxa"/>
            <w:vMerge w:val="continue"/>
            <w:shd w:val="clear" w:color="auto" w:fill="auto"/>
            <w:vAlign w:val="center"/>
          </w:tcPr>
          <w:p>
            <w:pPr>
              <w:pStyle w:val="2001"/>
            </w:pPr>
          </w:p>
        </w:tc>
        <w:tc>
          <w:tcPr>
            <w:tcW w:w="1692" w:type="dxa"/>
            <w:vMerge w:val="continue"/>
            <w:shd w:val="clear" w:color="auto" w:fill="auto"/>
            <w:vAlign w:val="center"/>
          </w:tcPr>
          <w:p>
            <w:pPr>
              <w:pStyle w:val="2001"/>
            </w:pPr>
          </w:p>
        </w:tc>
        <w:tc>
          <w:tcPr>
            <w:tcW w:w="944" w:type="dxa"/>
            <w:vMerge w:val="continue"/>
            <w:vAlign w:val="center"/>
          </w:tcPr>
          <w:p>
            <w:pPr>
              <w:pStyle w:val="2001"/>
            </w:pPr>
          </w:p>
        </w:tc>
        <w:tc>
          <w:tcPr>
            <w:tcW w:w="992" w:type="dxa"/>
            <w:shd w:val="clear" w:color="auto" w:fill="auto"/>
            <w:vAlign w:val="center"/>
          </w:tcPr>
          <w:p>
            <w:pPr>
              <w:snapToGrid w:val="0"/>
              <w:spacing w:line="280" w:lineRule="exact"/>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PM</w:t>
            </w:r>
            <w:r>
              <w:rPr>
                <w:rFonts w:hint="eastAsia"/>
                <w:color w:val="000000" w:themeColor="text1"/>
                <w:sz w:val="21"/>
                <w:szCs w:val="21"/>
                <w:vertAlign w:val="subscript"/>
                <w14:textFill>
                  <w14:solidFill>
                    <w14:schemeClr w14:val="tx1"/>
                  </w14:solidFill>
                </w14:textFill>
              </w:rPr>
              <w:t>10</w:t>
            </w:r>
          </w:p>
        </w:tc>
        <w:tc>
          <w:tcPr>
            <w:tcW w:w="992" w:type="dxa"/>
            <w:shd w:val="clear" w:color="auto" w:fill="auto"/>
            <w:vAlign w:val="center"/>
          </w:tcPr>
          <w:p>
            <w:pPr>
              <w:pStyle w:val="2001"/>
            </w:pPr>
            <w:r>
              <w:rPr>
                <w:snapToGrid w:val="0"/>
              </w:rPr>
              <w:t>/</w:t>
            </w:r>
          </w:p>
        </w:tc>
        <w:tc>
          <w:tcPr>
            <w:tcW w:w="1134" w:type="dxa"/>
            <w:shd w:val="clear" w:color="auto" w:fill="auto"/>
            <w:vAlign w:val="center"/>
          </w:tcPr>
          <w:p>
            <w:pPr>
              <w:snapToGrid w:val="0"/>
              <w:spacing w:line="280" w:lineRule="exact"/>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0.023</w:t>
            </w:r>
          </w:p>
        </w:tc>
        <w:tc>
          <w:tcPr>
            <w:tcW w:w="2119" w:type="dxa"/>
            <w:vMerge w:val="continue"/>
            <w:shd w:val="clear" w:color="auto" w:fill="auto"/>
            <w:vAlign w:val="center"/>
          </w:tcPr>
          <w:p>
            <w:pPr>
              <w:pStyle w:val="2001"/>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6" w:type="dxa"/>
            <w:bottom w:w="0" w:type="dxa"/>
            <w:right w:w="6" w:type="dxa"/>
          </w:tblCellMar>
        </w:tblPrEx>
        <w:trPr>
          <w:jc w:val="center"/>
        </w:trPr>
        <w:tc>
          <w:tcPr>
            <w:tcW w:w="438" w:type="dxa"/>
            <w:vMerge w:val="continue"/>
            <w:shd w:val="clear" w:color="auto" w:fill="auto"/>
            <w:vAlign w:val="center"/>
          </w:tcPr>
          <w:p>
            <w:pPr>
              <w:pStyle w:val="2001"/>
            </w:pPr>
          </w:p>
        </w:tc>
        <w:tc>
          <w:tcPr>
            <w:tcW w:w="1692" w:type="dxa"/>
            <w:vMerge w:val="continue"/>
            <w:shd w:val="clear" w:color="auto" w:fill="auto"/>
            <w:vAlign w:val="center"/>
          </w:tcPr>
          <w:p>
            <w:pPr>
              <w:pStyle w:val="2001"/>
            </w:pPr>
          </w:p>
        </w:tc>
        <w:tc>
          <w:tcPr>
            <w:tcW w:w="944" w:type="dxa"/>
            <w:vMerge w:val="continue"/>
            <w:vAlign w:val="center"/>
          </w:tcPr>
          <w:p>
            <w:pPr>
              <w:pStyle w:val="2001"/>
            </w:pPr>
          </w:p>
        </w:tc>
        <w:tc>
          <w:tcPr>
            <w:tcW w:w="992" w:type="dxa"/>
            <w:shd w:val="clear" w:color="auto" w:fill="auto"/>
            <w:vAlign w:val="center"/>
          </w:tcPr>
          <w:p>
            <w:pPr>
              <w:snapToGrid w:val="0"/>
              <w:spacing w:line="280" w:lineRule="exact"/>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PM</w:t>
            </w:r>
            <w:r>
              <w:rPr>
                <w:rFonts w:hint="eastAsia"/>
                <w:color w:val="000000" w:themeColor="text1"/>
                <w:sz w:val="21"/>
                <w:szCs w:val="21"/>
                <w:vertAlign w:val="subscript"/>
                <w14:textFill>
                  <w14:solidFill>
                    <w14:schemeClr w14:val="tx1"/>
                  </w14:solidFill>
                </w14:textFill>
              </w:rPr>
              <w:t>2.5</w:t>
            </w:r>
          </w:p>
        </w:tc>
        <w:tc>
          <w:tcPr>
            <w:tcW w:w="992" w:type="dxa"/>
            <w:shd w:val="clear" w:color="auto" w:fill="auto"/>
            <w:vAlign w:val="center"/>
          </w:tcPr>
          <w:p>
            <w:pPr>
              <w:pStyle w:val="2001"/>
            </w:pPr>
            <w:r>
              <w:rPr>
                <w:snapToGrid w:val="0"/>
              </w:rPr>
              <w:t>/</w:t>
            </w:r>
          </w:p>
        </w:tc>
        <w:tc>
          <w:tcPr>
            <w:tcW w:w="1134" w:type="dxa"/>
            <w:shd w:val="clear" w:color="auto" w:fill="auto"/>
            <w:vAlign w:val="center"/>
          </w:tcPr>
          <w:p>
            <w:pPr>
              <w:snapToGrid w:val="0"/>
              <w:spacing w:line="280" w:lineRule="exact"/>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0.006</w:t>
            </w:r>
          </w:p>
        </w:tc>
        <w:tc>
          <w:tcPr>
            <w:tcW w:w="2119" w:type="dxa"/>
            <w:vMerge w:val="continue"/>
            <w:shd w:val="clear" w:color="auto" w:fill="auto"/>
            <w:vAlign w:val="center"/>
          </w:tcPr>
          <w:p>
            <w:pPr>
              <w:pStyle w:val="2001"/>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6" w:type="dxa"/>
            <w:bottom w:w="0" w:type="dxa"/>
            <w:right w:w="6" w:type="dxa"/>
          </w:tblCellMar>
        </w:tblPrEx>
        <w:trPr>
          <w:jc w:val="center"/>
        </w:trPr>
        <w:tc>
          <w:tcPr>
            <w:tcW w:w="438" w:type="dxa"/>
            <w:shd w:val="clear" w:color="auto" w:fill="auto"/>
            <w:vAlign w:val="center"/>
          </w:tcPr>
          <w:p>
            <w:pPr>
              <w:pStyle w:val="2001"/>
            </w:pPr>
            <w:r>
              <w:t>噪声</w:t>
            </w:r>
          </w:p>
        </w:tc>
        <w:tc>
          <w:tcPr>
            <w:tcW w:w="1692" w:type="dxa"/>
            <w:shd w:val="clear" w:color="auto" w:fill="auto"/>
            <w:vAlign w:val="center"/>
          </w:tcPr>
          <w:p>
            <w:pPr>
              <w:pStyle w:val="2001"/>
            </w:pPr>
            <w:r>
              <w:rPr>
                <w:rFonts w:hint="eastAsia"/>
              </w:rPr>
              <w:t>港口机械作业噪声和到港船舶</w:t>
            </w:r>
          </w:p>
        </w:tc>
        <w:tc>
          <w:tcPr>
            <w:tcW w:w="944" w:type="dxa"/>
            <w:vAlign w:val="center"/>
          </w:tcPr>
          <w:p>
            <w:pPr>
              <w:pStyle w:val="2001"/>
            </w:pPr>
            <w:r>
              <w:t>/</w:t>
            </w:r>
          </w:p>
        </w:tc>
        <w:tc>
          <w:tcPr>
            <w:tcW w:w="992" w:type="dxa"/>
            <w:shd w:val="clear" w:color="auto" w:fill="auto"/>
            <w:vAlign w:val="center"/>
          </w:tcPr>
          <w:p>
            <w:pPr>
              <w:pStyle w:val="2001"/>
              <w:rPr>
                <w:snapToGrid w:val="0"/>
              </w:rPr>
            </w:pPr>
            <w:r>
              <w:t>Leq</w:t>
            </w:r>
          </w:p>
        </w:tc>
        <w:tc>
          <w:tcPr>
            <w:tcW w:w="992" w:type="dxa"/>
            <w:shd w:val="clear" w:color="auto" w:fill="auto"/>
            <w:vAlign w:val="center"/>
          </w:tcPr>
          <w:p>
            <w:pPr>
              <w:pStyle w:val="2001"/>
              <w:rPr>
                <w:snapToGrid w:val="0"/>
              </w:rPr>
            </w:pPr>
            <w:r>
              <w:rPr>
                <w:rFonts w:hint="eastAsia"/>
                <w:snapToGrid w:val="0"/>
              </w:rPr>
              <w:t>70</w:t>
            </w:r>
            <w:r>
              <w:rPr>
                <w:snapToGrid w:val="0"/>
              </w:rPr>
              <w:t>～</w:t>
            </w:r>
            <w:r>
              <w:rPr>
                <w:rFonts w:hint="eastAsia"/>
                <w:snapToGrid w:val="0"/>
              </w:rPr>
              <w:t>90</w:t>
            </w:r>
            <w:r>
              <w:rPr>
                <w:snapToGrid w:val="0"/>
              </w:rPr>
              <w:t>dB</w:t>
            </w:r>
          </w:p>
        </w:tc>
        <w:tc>
          <w:tcPr>
            <w:tcW w:w="1134" w:type="dxa"/>
            <w:shd w:val="clear" w:color="auto" w:fill="auto"/>
            <w:vAlign w:val="center"/>
          </w:tcPr>
          <w:p>
            <w:pPr>
              <w:pStyle w:val="2001"/>
              <w:rPr>
                <w:snapToGrid w:val="0"/>
              </w:rPr>
            </w:pPr>
            <w:r>
              <w:t>/</w:t>
            </w:r>
          </w:p>
        </w:tc>
        <w:tc>
          <w:tcPr>
            <w:tcW w:w="2119" w:type="dxa"/>
            <w:shd w:val="clear" w:color="auto" w:fill="auto"/>
            <w:vAlign w:val="center"/>
          </w:tcPr>
          <w:p>
            <w:pPr>
              <w:pStyle w:val="2001"/>
            </w:pPr>
            <w:r>
              <w:t>直接排放</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6" w:type="dxa"/>
            <w:bottom w:w="0" w:type="dxa"/>
            <w:right w:w="6" w:type="dxa"/>
          </w:tblCellMar>
        </w:tblPrEx>
        <w:trPr>
          <w:jc w:val="center"/>
        </w:trPr>
        <w:tc>
          <w:tcPr>
            <w:tcW w:w="438" w:type="dxa"/>
            <w:vMerge w:val="restart"/>
            <w:shd w:val="clear" w:color="auto" w:fill="auto"/>
            <w:vAlign w:val="center"/>
          </w:tcPr>
          <w:p>
            <w:pPr>
              <w:pStyle w:val="2001"/>
            </w:pPr>
            <w:r>
              <w:t>固废</w:t>
            </w:r>
          </w:p>
        </w:tc>
        <w:tc>
          <w:tcPr>
            <w:tcW w:w="1692" w:type="dxa"/>
            <w:shd w:val="clear" w:color="auto" w:fill="auto"/>
            <w:vAlign w:val="center"/>
          </w:tcPr>
          <w:p>
            <w:pPr>
              <w:pStyle w:val="2001"/>
            </w:pPr>
            <w:r>
              <w:t>到港船舶</w:t>
            </w:r>
            <w:r>
              <w:rPr>
                <w:rFonts w:hint="eastAsia"/>
              </w:rPr>
              <w:t>生活垃圾</w:t>
            </w:r>
          </w:p>
        </w:tc>
        <w:tc>
          <w:tcPr>
            <w:tcW w:w="944" w:type="dxa"/>
            <w:vAlign w:val="center"/>
          </w:tcPr>
          <w:p>
            <w:pPr>
              <w:pStyle w:val="2001"/>
            </w:pPr>
            <w:r>
              <w:rPr>
                <w:rFonts w:hint="eastAsia"/>
              </w:rPr>
              <w:t>7.43</w:t>
            </w:r>
            <w:r>
              <w:t>t/a</w:t>
            </w:r>
          </w:p>
        </w:tc>
        <w:tc>
          <w:tcPr>
            <w:tcW w:w="992" w:type="dxa"/>
            <w:shd w:val="clear" w:color="auto" w:fill="auto"/>
            <w:vAlign w:val="center"/>
          </w:tcPr>
          <w:p>
            <w:pPr>
              <w:pStyle w:val="2001"/>
            </w:pPr>
            <w:r>
              <w:rPr>
                <w:rFonts w:hint="eastAsia"/>
              </w:rPr>
              <w:t>生活</w:t>
            </w:r>
            <w:r>
              <w:t>垃圾</w:t>
            </w:r>
          </w:p>
        </w:tc>
        <w:tc>
          <w:tcPr>
            <w:tcW w:w="992" w:type="dxa"/>
            <w:shd w:val="clear" w:color="auto" w:fill="auto"/>
            <w:vAlign w:val="center"/>
          </w:tcPr>
          <w:p>
            <w:pPr>
              <w:pStyle w:val="2001"/>
              <w:rPr>
                <w:snapToGrid w:val="0"/>
              </w:rPr>
            </w:pPr>
            <w:r>
              <w:t>/</w:t>
            </w:r>
          </w:p>
        </w:tc>
        <w:tc>
          <w:tcPr>
            <w:tcW w:w="1134" w:type="dxa"/>
            <w:shd w:val="clear" w:color="auto" w:fill="auto"/>
            <w:vAlign w:val="center"/>
          </w:tcPr>
          <w:p>
            <w:pPr>
              <w:pStyle w:val="2001"/>
            </w:pPr>
            <w:r>
              <w:rPr>
                <w:rFonts w:hint="eastAsia"/>
              </w:rPr>
              <w:t>7.43</w:t>
            </w:r>
            <w:r>
              <w:t>t/a</w:t>
            </w:r>
          </w:p>
        </w:tc>
        <w:tc>
          <w:tcPr>
            <w:tcW w:w="2119" w:type="dxa"/>
            <w:shd w:val="clear" w:color="auto" w:fill="auto"/>
            <w:vAlign w:val="center"/>
          </w:tcPr>
          <w:p>
            <w:pPr>
              <w:pStyle w:val="2001"/>
            </w:pPr>
            <w:r>
              <w:t>统一接收</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6" w:type="dxa"/>
            <w:bottom w:w="0" w:type="dxa"/>
            <w:right w:w="6" w:type="dxa"/>
          </w:tblCellMar>
        </w:tblPrEx>
        <w:trPr>
          <w:jc w:val="center"/>
        </w:trPr>
        <w:tc>
          <w:tcPr>
            <w:tcW w:w="438" w:type="dxa"/>
            <w:vMerge w:val="continue"/>
            <w:shd w:val="clear" w:color="auto" w:fill="auto"/>
            <w:vAlign w:val="center"/>
          </w:tcPr>
          <w:p>
            <w:pPr>
              <w:pStyle w:val="2001"/>
            </w:pPr>
          </w:p>
        </w:tc>
        <w:tc>
          <w:tcPr>
            <w:tcW w:w="1692" w:type="dxa"/>
            <w:shd w:val="clear" w:color="auto" w:fill="auto"/>
            <w:vAlign w:val="center"/>
          </w:tcPr>
          <w:p>
            <w:pPr>
              <w:pStyle w:val="2001"/>
            </w:pPr>
            <w:r>
              <w:rPr>
                <w:rFonts w:hint="eastAsia"/>
              </w:rPr>
              <w:t>陆域</w:t>
            </w:r>
            <w:r>
              <w:t>固体废物</w:t>
            </w:r>
          </w:p>
        </w:tc>
        <w:tc>
          <w:tcPr>
            <w:tcW w:w="944" w:type="dxa"/>
            <w:vAlign w:val="center"/>
          </w:tcPr>
          <w:p>
            <w:pPr>
              <w:pStyle w:val="2001"/>
            </w:pPr>
            <w:r>
              <w:rPr>
                <w:rFonts w:hint="eastAsia"/>
              </w:rPr>
              <w:t>13.53</w:t>
            </w:r>
            <w:r>
              <w:t>t/a</w:t>
            </w:r>
          </w:p>
        </w:tc>
        <w:tc>
          <w:tcPr>
            <w:tcW w:w="992" w:type="dxa"/>
            <w:shd w:val="clear" w:color="auto" w:fill="auto"/>
            <w:vAlign w:val="center"/>
          </w:tcPr>
          <w:p>
            <w:pPr>
              <w:pStyle w:val="2001"/>
            </w:pPr>
            <w:r>
              <w:t>生活垃圾</w:t>
            </w:r>
          </w:p>
        </w:tc>
        <w:tc>
          <w:tcPr>
            <w:tcW w:w="992" w:type="dxa"/>
            <w:shd w:val="clear" w:color="auto" w:fill="auto"/>
            <w:vAlign w:val="center"/>
          </w:tcPr>
          <w:p>
            <w:pPr>
              <w:pStyle w:val="2001"/>
              <w:rPr>
                <w:snapToGrid w:val="0"/>
              </w:rPr>
            </w:pPr>
            <w:r>
              <w:t>/</w:t>
            </w:r>
          </w:p>
        </w:tc>
        <w:tc>
          <w:tcPr>
            <w:tcW w:w="1134" w:type="dxa"/>
            <w:shd w:val="clear" w:color="auto" w:fill="auto"/>
            <w:vAlign w:val="center"/>
          </w:tcPr>
          <w:p>
            <w:pPr>
              <w:pStyle w:val="2001"/>
            </w:pPr>
            <w:r>
              <w:rPr>
                <w:rFonts w:hint="eastAsia"/>
              </w:rPr>
              <w:t>13.53</w:t>
            </w:r>
            <w:r>
              <w:t>t/a</w:t>
            </w:r>
          </w:p>
        </w:tc>
        <w:tc>
          <w:tcPr>
            <w:tcW w:w="2119" w:type="dxa"/>
            <w:shd w:val="clear" w:color="auto" w:fill="auto"/>
            <w:vAlign w:val="center"/>
          </w:tcPr>
          <w:p>
            <w:pPr>
              <w:pStyle w:val="2001"/>
            </w:pPr>
            <w:r>
              <w:t>环卫部门处置</w:t>
            </w:r>
          </w:p>
        </w:tc>
      </w:tr>
    </w:tbl>
    <w:p>
      <w:pPr>
        <w:pStyle w:val="384"/>
        <w:ind w:left="0" w:firstLine="0"/>
        <w:jc w:val="right"/>
        <w:rPr>
          <w:rFonts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本项目扩建</w:t>
      </w:r>
      <w:r>
        <w:rPr>
          <w:rFonts w:cs="Times New Roman"/>
          <w:color w:val="000000" w:themeColor="text1"/>
          <w14:textFill>
            <w14:solidFill>
              <w14:schemeClr w14:val="tx1"/>
            </w14:solidFill>
          </w14:textFill>
        </w:rPr>
        <w:t>前后污染物产生及排放“三本账”汇总表    单位：t/a</w:t>
      </w:r>
    </w:p>
    <w:tbl>
      <w:tblPr>
        <w:tblStyle w:val="88"/>
        <w:tblW w:w="8528" w:type="dxa"/>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426"/>
        <w:gridCol w:w="977"/>
        <w:gridCol w:w="834"/>
        <w:gridCol w:w="849"/>
        <w:gridCol w:w="851"/>
        <w:gridCol w:w="849"/>
        <w:gridCol w:w="853"/>
        <w:gridCol w:w="1133"/>
        <w:gridCol w:w="849"/>
        <w:gridCol w:w="907"/>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12" w:hRule="atLeast"/>
          <w:tblHeader/>
        </w:trPr>
        <w:tc>
          <w:tcPr>
            <w:tcW w:w="1403" w:type="dxa"/>
            <w:gridSpan w:val="2"/>
            <w:vMerge w:val="restart"/>
            <w:vAlign w:val="center"/>
          </w:tcPr>
          <w:p>
            <w:pPr>
              <w:wordWrap w:val="0"/>
              <w:autoSpaceDE w:val="0"/>
              <w:autoSpaceDN w:val="0"/>
              <w:jc w:val="center"/>
              <w:rPr>
                <w:b/>
                <w:color w:val="000000" w:themeColor="text1"/>
                <w:sz w:val="21"/>
                <w:szCs w:val="21"/>
                <w14:textFill>
                  <w14:solidFill>
                    <w14:schemeClr w14:val="tx1"/>
                  </w14:solidFill>
                </w14:textFill>
              </w:rPr>
            </w:pPr>
            <w:r>
              <w:rPr>
                <w:b/>
                <w:color w:val="000000" w:themeColor="text1"/>
                <w:sz w:val="21"/>
                <w:szCs w:val="21"/>
                <w14:textFill>
                  <w14:solidFill>
                    <w14:schemeClr w14:val="tx1"/>
                  </w14:solidFill>
                </w14:textFill>
              </w:rPr>
              <w:t>污染源</w:t>
            </w:r>
          </w:p>
        </w:tc>
        <w:tc>
          <w:tcPr>
            <w:tcW w:w="834" w:type="dxa"/>
            <w:vMerge w:val="restart"/>
            <w:vAlign w:val="center"/>
          </w:tcPr>
          <w:p>
            <w:pPr>
              <w:wordWrap w:val="0"/>
              <w:autoSpaceDE w:val="0"/>
              <w:autoSpaceDN w:val="0"/>
              <w:jc w:val="center"/>
              <w:rPr>
                <w:b/>
                <w:color w:val="000000" w:themeColor="text1"/>
                <w:sz w:val="21"/>
                <w:szCs w:val="21"/>
                <w14:textFill>
                  <w14:solidFill>
                    <w14:schemeClr w14:val="tx1"/>
                  </w14:solidFill>
                </w14:textFill>
              </w:rPr>
            </w:pPr>
            <w:r>
              <w:rPr>
                <w:b/>
                <w:color w:val="000000" w:themeColor="text1"/>
                <w:sz w:val="21"/>
                <w:szCs w:val="21"/>
                <w14:textFill>
                  <w14:solidFill>
                    <w14:schemeClr w14:val="tx1"/>
                  </w14:solidFill>
                </w14:textFill>
              </w:rPr>
              <w:t>污染物</w:t>
            </w:r>
          </w:p>
        </w:tc>
        <w:tc>
          <w:tcPr>
            <w:tcW w:w="1700" w:type="dxa"/>
            <w:gridSpan w:val="2"/>
            <w:vAlign w:val="center"/>
          </w:tcPr>
          <w:p>
            <w:pPr>
              <w:wordWrap w:val="0"/>
              <w:autoSpaceDE w:val="0"/>
              <w:autoSpaceDN w:val="0"/>
              <w:jc w:val="center"/>
              <w:rPr>
                <w:b/>
                <w:color w:val="000000" w:themeColor="text1"/>
                <w:sz w:val="21"/>
                <w:szCs w:val="21"/>
                <w14:textFill>
                  <w14:solidFill>
                    <w14:schemeClr w14:val="tx1"/>
                  </w14:solidFill>
                </w14:textFill>
              </w:rPr>
            </w:pPr>
            <w:r>
              <w:rPr>
                <w:b/>
                <w:color w:val="000000" w:themeColor="text1"/>
                <w:sz w:val="21"/>
                <w:szCs w:val="21"/>
                <w14:textFill>
                  <w14:solidFill>
                    <w14:schemeClr w14:val="tx1"/>
                  </w14:solidFill>
                </w14:textFill>
              </w:rPr>
              <w:t>现有工程排放量</w:t>
            </w:r>
          </w:p>
        </w:tc>
        <w:tc>
          <w:tcPr>
            <w:tcW w:w="1702" w:type="dxa"/>
            <w:gridSpan w:val="2"/>
            <w:vAlign w:val="center"/>
          </w:tcPr>
          <w:p>
            <w:pPr>
              <w:wordWrap w:val="0"/>
              <w:autoSpaceDE w:val="0"/>
              <w:autoSpaceDN w:val="0"/>
              <w:jc w:val="center"/>
              <w:rPr>
                <w:b/>
                <w:color w:val="000000" w:themeColor="text1"/>
                <w:sz w:val="21"/>
                <w:szCs w:val="21"/>
                <w14:textFill>
                  <w14:solidFill>
                    <w14:schemeClr w14:val="tx1"/>
                  </w14:solidFill>
                </w14:textFill>
              </w:rPr>
            </w:pPr>
            <w:r>
              <w:rPr>
                <w:rFonts w:hint="eastAsia"/>
                <w:b/>
                <w:color w:val="000000" w:themeColor="text1"/>
                <w:sz w:val="21"/>
                <w:szCs w:val="21"/>
                <w14:textFill>
                  <w14:solidFill>
                    <w14:schemeClr w14:val="tx1"/>
                  </w14:solidFill>
                </w14:textFill>
              </w:rPr>
              <w:t>本工程扩建新增污染源排放量</w:t>
            </w:r>
          </w:p>
        </w:tc>
        <w:tc>
          <w:tcPr>
            <w:tcW w:w="1133" w:type="dxa"/>
            <w:vMerge w:val="restart"/>
            <w:vAlign w:val="center"/>
          </w:tcPr>
          <w:p>
            <w:pPr>
              <w:wordWrap w:val="0"/>
              <w:autoSpaceDE w:val="0"/>
              <w:autoSpaceDN w:val="0"/>
              <w:jc w:val="center"/>
              <w:rPr>
                <w:b/>
                <w:bCs/>
                <w:color w:val="000000" w:themeColor="text1"/>
                <w:sz w:val="21"/>
                <w:szCs w:val="21"/>
                <w14:textFill>
                  <w14:solidFill>
                    <w14:schemeClr w14:val="tx1"/>
                  </w14:solidFill>
                </w14:textFill>
              </w:rPr>
            </w:pPr>
            <w:r>
              <w:rPr>
                <w:b/>
                <w:bCs/>
                <w:color w:val="000000" w:themeColor="text1"/>
                <w:sz w:val="21"/>
                <w:szCs w:val="21"/>
                <w14:textFill>
                  <w14:solidFill>
                    <w14:schemeClr w14:val="tx1"/>
                  </w14:solidFill>
                </w14:textFill>
              </w:rPr>
              <w:t>“以新带老”削减量（</w:t>
            </w:r>
            <w:r>
              <w:rPr>
                <w:rFonts w:hint="eastAsia"/>
                <w:color w:val="000000" w:themeColor="text1"/>
                <w:sz w:val="21"/>
                <w:szCs w:val="21"/>
                <w14:textFill>
                  <w14:solidFill>
                    <w14:schemeClr w14:val="tx1"/>
                  </w14:solidFill>
                </w14:textFill>
              </w:rPr>
              <w:t>t/a</w:t>
            </w:r>
            <w:r>
              <w:rPr>
                <w:b/>
                <w:bCs/>
                <w:color w:val="000000" w:themeColor="text1"/>
                <w:sz w:val="21"/>
                <w:szCs w:val="21"/>
                <w14:textFill>
                  <w14:solidFill>
                    <w14:schemeClr w14:val="tx1"/>
                  </w14:solidFill>
                </w14:textFill>
              </w:rPr>
              <w:t>）</w:t>
            </w:r>
          </w:p>
        </w:tc>
        <w:tc>
          <w:tcPr>
            <w:tcW w:w="849" w:type="dxa"/>
            <w:vMerge w:val="restart"/>
            <w:vAlign w:val="center"/>
          </w:tcPr>
          <w:p>
            <w:pPr>
              <w:wordWrap w:val="0"/>
              <w:autoSpaceDE w:val="0"/>
              <w:autoSpaceDN w:val="0"/>
              <w:jc w:val="center"/>
              <w:rPr>
                <w:b/>
                <w:bCs/>
                <w:color w:val="000000" w:themeColor="text1"/>
                <w:sz w:val="21"/>
                <w:szCs w:val="21"/>
                <w14:textFill>
                  <w14:solidFill>
                    <w14:schemeClr w14:val="tx1"/>
                  </w14:solidFill>
                </w14:textFill>
              </w:rPr>
            </w:pPr>
            <w:r>
              <w:rPr>
                <w:rFonts w:hint="eastAsia"/>
                <w:b/>
                <w:bCs/>
                <w:color w:val="000000" w:themeColor="text1"/>
                <w:sz w:val="21"/>
                <w:szCs w:val="21"/>
                <w14:textFill>
                  <w14:solidFill>
                    <w14:schemeClr w14:val="tx1"/>
                  </w14:solidFill>
                </w14:textFill>
              </w:rPr>
              <w:t>预测排放总</w:t>
            </w:r>
            <w:r>
              <w:rPr>
                <w:b/>
                <w:bCs/>
                <w:color w:val="000000" w:themeColor="text1"/>
                <w:sz w:val="21"/>
                <w:szCs w:val="21"/>
                <w14:textFill>
                  <w14:solidFill>
                    <w14:schemeClr w14:val="tx1"/>
                  </w14:solidFill>
                </w14:textFill>
              </w:rPr>
              <w:t>量（</w:t>
            </w:r>
            <w:r>
              <w:rPr>
                <w:rFonts w:hint="eastAsia"/>
                <w:color w:val="000000" w:themeColor="text1"/>
                <w:sz w:val="21"/>
                <w:szCs w:val="21"/>
                <w14:textFill>
                  <w14:solidFill>
                    <w14:schemeClr w14:val="tx1"/>
                  </w14:solidFill>
                </w14:textFill>
              </w:rPr>
              <w:t>t/a</w:t>
            </w:r>
            <w:r>
              <w:rPr>
                <w:b/>
                <w:bCs/>
                <w:color w:val="000000" w:themeColor="text1"/>
                <w:sz w:val="21"/>
                <w:szCs w:val="21"/>
                <w14:textFill>
                  <w14:solidFill>
                    <w14:schemeClr w14:val="tx1"/>
                  </w14:solidFill>
                </w14:textFill>
              </w:rPr>
              <w:t>）</w:t>
            </w:r>
          </w:p>
        </w:tc>
        <w:tc>
          <w:tcPr>
            <w:tcW w:w="907" w:type="dxa"/>
            <w:vMerge w:val="restart"/>
            <w:vAlign w:val="center"/>
          </w:tcPr>
          <w:p>
            <w:pPr>
              <w:wordWrap w:val="0"/>
              <w:autoSpaceDE w:val="0"/>
              <w:autoSpaceDN w:val="0"/>
              <w:jc w:val="center"/>
              <w:rPr>
                <w:b/>
                <w:bCs/>
                <w:color w:val="000000" w:themeColor="text1"/>
                <w:sz w:val="21"/>
                <w:szCs w:val="21"/>
                <w14:textFill>
                  <w14:solidFill>
                    <w14:schemeClr w14:val="tx1"/>
                  </w14:solidFill>
                </w14:textFill>
              </w:rPr>
            </w:pPr>
            <w:r>
              <w:rPr>
                <w:b/>
                <w:bCs/>
                <w:color w:val="000000" w:themeColor="text1"/>
                <w:sz w:val="21"/>
                <w:szCs w:val="21"/>
                <w14:textFill>
                  <w14:solidFill>
                    <w14:schemeClr w14:val="tx1"/>
                  </w14:solidFill>
                </w14:textFill>
              </w:rPr>
              <w:t>排放</w:t>
            </w:r>
          </w:p>
          <w:p>
            <w:pPr>
              <w:wordWrap w:val="0"/>
              <w:autoSpaceDE w:val="0"/>
              <w:autoSpaceDN w:val="0"/>
              <w:jc w:val="center"/>
              <w:rPr>
                <w:b/>
                <w:bCs/>
                <w:color w:val="000000" w:themeColor="text1"/>
                <w:sz w:val="21"/>
                <w:szCs w:val="21"/>
                <w14:textFill>
                  <w14:solidFill>
                    <w14:schemeClr w14:val="tx1"/>
                  </w14:solidFill>
                </w14:textFill>
              </w:rPr>
            </w:pPr>
            <w:r>
              <w:rPr>
                <w:b/>
                <w:bCs/>
                <w:color w:val="000000" w:themeColor="text1"/>
                <w:sz w:val="21"/>
                <w:szCs w:val="21"/>
                <w14:textFill>
                  <w14:solidFill>
                    <w14:schemeClr w14:val="tx1"/>
                  </w14:solidFill>
                </w14:textFill>
              </w:rPr>
              <w:t>增减量（</w:t>
            </w:r>
            <w:r>
              <w:rPr>
                <w:rFonts w:hint="eastAsia"/>
                <w:color w:val="000000" w:themeColor="text1"/>
                <w:sz w:val="21"/>
                <w:szCs w:val="21"/>
                <w14:textFill>
                  <w14:solidFill>
                    <w14:schemeClr w14:val="tx1"/>
                  </w14:solidFill>
                </w14:textFill>
              </w:rPr>
              <w:t>t/a</w:t>
            </w:r>
            <w:r>
              <w:rPr>
                <w:b/>
                <w:bCs/>
                <w:color w:val="000000" w:themeColor="text1"/>
                <w:sz w:val="21"/>
                <w:szCs w:val="21"/>
                <w14:textFill>
                  <w14:solidFill>
                    <w14:schemeClr w14:val="tx1"/>
                  </w14:solidFill>
                </w14:textFill>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12" w:hRule="atLeast"/>
          <w:tblHeader/>
        </w:trPr>
        <w:tc>
          <w:tcPr>
            <w:tcW w:w="1403" w:type="dxa"/>
            <w:gridSpan w:val="2"/>
            <w:vMerge w:val="continue"/>
            <w:vAlign w:val="center"/>
          </w:tcPr>
          <w:p>
            <w:pPr>
              <w:wordWrap w:val="0"/>
              <w:autoSpaceDE w:val="0"/>
              <w:autoSpaceDN w:val="0"/>
              <w:jc w:val="center"/>
              <w:rPr>
                <w:color w:val="000000" w:themeColor="text1"/>
                <w:sz w:val="21"/>
                <w:szCs w:val="21"/>
                <w14:textFill>
                  <w14:solidFill>
                    <w14:schemeClr w14:val="tx1"/>
                  </w14:solidFill>
                </w14:textFill>
              </w:rPr>
            </w:pPr>
          </w:p>
        </w:tc>
        <w:tc>
          <w:tcPr>
            <w:tcW w:w="834" w:type="dxa"/>
            <w:vMerge w:val="continue"/>
            <w:vAlign w:val="center"/>
          </w:tcPr>
          <w:p>
            <w:pPr>
              <w:wordWrap w:val="0"/>
              <w:autoSpaceDE w:val="0"/>
              <w:autoSpaceDN w:val="0"/>
              <w:jc w:val="center"/>
              <w:rPr>
                <w:color w:val="000000" w:themeColor="text1"/>
                <w:sz w:val="21"/>
                <w:szCs w:val="21"/>
                <w14:textFill>
                  <w14:solidFill>
                    <w14:schemeClr w14:val="tx1"/>
                  </w14:solidFill>
                </w14:textFill>
              </w:rPr>
            </w:pPr>
          </w:p>
        </w:tc>
        <w:tc>
          <w:tcPr>
            <w:tcW w:w="849" w:type="dxa"/>
            <w:vAlign w:val="center"/>
          </w:tcPr>
          <w:p>
            <w:pPr>
              <w:wordWrap w:val="0"/>
              <w:autoSpaceDE w:val="0"/>
              <w:autoSpaceDN w:val="0"/>
              <w:jc w:val="center"/>
              <w:rPr>
                <w:b/>
                <w:color w:val="000000" w:themeColor="text1"/>
                <w:sz w:val="21"/>
                <w:szCs w:val="21"/>
                <w14:textFill>
                  <w14:solidFill>
                    <w14:schemeClr w14:val="tx1"/>
                  </w14:solidFill>
                </w14:textFill>
              </w:rPr>
            </w:pPr>
            <w:r>
              <w:rPr>
                <w:b/>
                <w:color w:val="000000" w:themeColor="text1"/>
                <w:sz w:val="21"/>
                <w:szCs w:val="21"/>
                <w14:textFill>
                  <w14:solidFill>
                    <w14:schemeClr w14:val="tx1"/>
                  </w14:solidFill>
                </w14:textFill>
              </w:rPr>
              <w:t>产生量</w:t>
            </w:r>
          </w:p>
          <w:p>
            <w:pPr>
              <w:wordWrap w:val="0"/>
              <w:autoSpaceDE w:val="0"/>
              <w:autoSpaceDN w:val="0"/>
              <w:jc w:val="center"/>
              <w:rPr>
                <w:color w:val="000000" w:themeColor="text1"/>
                <w:sz w:val="21"/>
                <w:szCs w:val="21"/>
                <w14:textFill>
                  <w14:solidFill>
                    <w14:schemeClr w14:val="tx1"/>
                  </w14:solidFill>
                </w14:textFill>
              </w:rPr>
            </w:pPr>
            <w:r>
              <w:rPr>
                <w:b/>
                <w:bCs/>
                <w:color w:val="000000" w:themeColor="text1"/>
                <w:sz w:val="21"/>
                <w:szCs w:val="21"/>
                <w14:textFill>
                  <w14:solidFill>
                    <w14:schemeClr w14:val="tx1"/>
                  </w14:solidFill>
                </w14:textFill>
              </w:rPr>
              <w:t>（</w:t>
            </w:r>
            <w:r>
              <w:rPr>
                <w:rFonts w:hint="eastAsia"/>
                <w:color w:val="000000" w:themeColor="text1"/>
                <w:sz w:val="21"/>
                <w:szCs w:val="21"/>
                <w14:textFill>
                  <w14:solidFill>
                    <w14:schemeClr w14:val="tx1"/>
                  </w14:solidFill>
                </w14:textFill>
              </w:rPr>
              <w:t>t/a</w:t>
            </w:r>
            <w:r>
              <w:rPr>
                <w:b/>
                <w:bCs/>
                <w:color w:val="000000" w:themeColor="text1"/>
                <w:sz w:val="21"/>
                <w:szCs w:val="21"/>
                <w14:textFill>
                  <w14:solidFill>
                    <w14:schemeClr w14:val="tx1"/>
                  </w14:solidFill>
                </w14:textFill>
              </w:rPr>
              <w:t>）</w:t>
            </w:r>
          </w:p>
        </w:tc>
        <w:tc>
          <w:tcPr>
            <w:tcW w:w="851" w:type="dxa"/>
            <w:vAlign w:val="center"/>
          </w:tcPr>
          <w:p>
            <w:pPr>
              <w:wordWrap w:val="0"/>
              <w:autoSpaceDE w:val="0"/>
              <w:autoSpaceDN w:val="0"/>
              <w:jc w:val="center"/>
              <w:rPr>
                <w:b/>
                <w:color w:val="000000" w:themeColor="text1"/>
                <w:sz w:val="21"/>
                <w:szCs w:val="21"/>
                <w14:textFill>
                  <w14:solidFill>
                    <w14:schemeClr w14:val="tx1"/>
                  </w14:solidFill>
                </w14:textFill>
              </w:rPr>
            </w:pPr>
            <w:r>
              <w:rPr>
                <w:b/>
                <w:color w:val="000000" w:themeColor="text1"/>
                <w:sz w:val="21"/>
                <w:szCs w:val="21"/>
                <w14:textFill>
                  <w14:solidFill>
                    <w14:schemeClr w14:val="tx1"/>
                  </w14:solidFill>
                </w14:textFill>
              </w:rPr>
              <w:t>排放量</w:t>
            </w:r>
          </w:p>
          <w:p>
            <w:pPr>
              <w:wordWrap w:val="0"/>
              <w:autoSpaceDE w:val="0"/>
              <w:autoSpaceDN w:val="0"/>
              <w:jc w:val="center"/>
              <w:rPr>
                <w:color w:val="000000" w:themeColor="text1"/>
                <w:sz w:val="21"/>
                <w:szCs w:val="21"/>
                <w14:textFill>
                  <w14:solidFill>
                    <w14:schemeClr w14:val="tx1"/>
                  </w14:solidFill>
                </w14:textFill>
              </w:rPr>
            </w:pPr>
            <w:r>
              <w:rPr>
                <w:b/>
                <w:bCs/>
                <w:color w:val="000000" w:themeColor="text1"/>
                <w:sz w:val="21"/>
                <w:szCs w:val="21"/>
                <w14:textFill>
                  <w14:solidFill>
                    <w14:schemeClr w14:val="tx1"/>
                  </w14:solidFill>
                </w14:textFill>
              </w:rPr>
              <w:t>（</w:t>
            </w:r>
            <w:r>
              <w:rPr>
                <w:rFonts w:hint="eastAsia"/>
                <w:color w:val="000000" w:themeColor="text1"/>
                <w:sz w:val="21"/>
                <w:szCs w:val="21"/>
                <w14:textFill>
                  <w14:solidFill>
                    <w14:schemeClr w14:val="tx1"/>
                  </w14:solidFill>
                </w14:textFill>
              </w:rPr>
              <w:t>t/a</w:t>
            </w:r>
            <w:r>
              <w:rPr>
                <w:b/>
                <w:bCs/>
                <w:color w:val="000000" w:themeColor="text1"/>
                <w:sz w:val="21"/>
                <w:szCs w:val="21"/>
                <w14:textFill>
                  <w14:solidFill>
                    <w14:schemeClr w14:val="tx1"/>
                  </w14:solidFill>
                </w14:textFill>
              </w:rPr>
              <w:t>）</w:t>
            </w:r>
          </w:p>
        </w:tc>
        <w:tc>
          <w:tcPr>
            <w:tcW w:w="849" w:type="dxa"/>
            <w:vAlign w:val="center"/>
          </w:tcPr>
          <w:p>
            <w:pPr>
              <w:wordWrap w:val="0"/>
              <w:autoSpaceDE w:val="0"/>
              <w:autoSpaceDN w:val="0"/>
              <w:jc w:val="center"/>
              <w:rPr>
                <w:b/>
                <w:color w:val="000000" w:themeColor="text1"/>
                <w:sz w:val="21"/>
                <w:szCs w:val="21"/>
                <w14:textFill>
                  <w14:solidFill>
                    <w14:schemeClr w14:val="tx1"/>
                  </w14:solidFill>
                </w14:textFill>
              </w:rPr>
            </w:pPr>
            <w:r>
              <w:rPr>
                <w:b/>
                <w:color w:val="000000" w:themeColor="text1"/>
                <w:sz w:val="21"/>
                <w:szCs w:val="21"/>
                <w14:textFill>
                  <w14:solidFill>
                    <w14:schemeClr w14:val="tx1"/>
                  </w14:solidFill>
                </w14:textFill>
              </w:rPr>
              <w:t>产生量</w:t>
            </w:r>
          </w:p>
          <w:p>
            <w:pPr>
              <w:wordWrap w:val="0"/>
              <w:autoSpaceDE w:val="0"/>
              <w:autoSpaceDN w:val="0"/>
              <w:jc w:val="center"/>
              <w:rPr>
                <w:b/>
                <w:color w:val="000000" w:themeColor="text1"/>
                <w:sz w:val="21"/>
                <w:szCs w:val="21"/>
                <w14:textFill>
                  <w14:solidFill>
                    <w14:schemeClr w14:val="tx1"/>
                  </w14:solidFill>
                </w14:textFill>
              </w:rPr>
            </w:pPr>
            <w:r>
              <w:rPr>
                <w:b/>
                <w:bCs/>
                <w:color w:val="000000" w:themeColor="text1"/>
                <w:sz w:val="21"/>
                <w:szCs w:val="21"/>
                <w14:textFill>
                  <w14:solidFill>
                    <w14:schemeClr w14:val="tx1"/>
                  </w14:solidFill>
                </w14:textFill>
              </w:rPr>
              <w:t>（</w:t>
            </w:r>
            <w:r>
              <w:rPr>
                <w:rFonts w:hint="eastAsia"/>
                <w:color w:val="000000" w:themeColor="text1"/>
                <w:sz w:val="21"/>
                <w:szCs w:val="21"/>
                <w14:textFill>
                  <w14:solidFill>
                    <w14:schemeClr w14:val="tx1"/>
                  </w14:solidFill>
                </w14:textFill>
              </w:rPr>
              <w:t>t/a</w:t>
            </w:r>
            <w:r>
              <w:rPr>
                <w:b/>
                <w:bCs/>
                <w:color w:val="000000" w:themeColor="text1"/>
                <w:sz w:val="21"/>
                <w:szCs w:val="21"/>
                <w14:textFill>
                  <w14:solidFill>
                    <w14:schemeClr w14:val="tx1"/>
                  </w14:solidFill>
                </w14:textFill>
              </w:rPr>
              <w:t>）</w:t>
            </w:r>
          </w:p>
        </w:tc>
        <w:tc>
          <w:tcPr>
            <w:tcW w:w="853" w:type="dxa"/>
            <w:vAlign w:val="center"/>
          </w:tcPr>
          <w:p>
            <w:pPr>
              <w:wordWrap w:val="0"/>
              <w:autoSpaceDE w:val="0"/>
              <w:autoSpaceDN w:val="0"/>
              <w:jc w:val="center"/>
              <w:rPr>
                <w:b/>
                <w:color w:val="000000" w:themeColor="text1"/>
                <w:sz w:val="21"/>
                <w:szCs w:val="21"/>
                <w14:textFill>
                  <w14:solidFill>
                    <w14:schemeClr w14:val="tx1"/>
                  </w14:solidFill>
                </w14:textFill>
              </w:rPr>
            </w:pPr>
            <w:r>
              <w:rPr>
                <w:b/>
                <w:color w:val="000000" w:themeColor="text1"/>
                <w:sz w:val="21"/>
                <w:szCs w:val="21"/>
                <w14:textFill>
                  <w14:solidFill>
                    <w14:schemeClr w14:val="tx1"/>
                  </w14:solidFill>
                </w14:textFill>
              </w:rPr>
              <w:t>排放量</w:t>
            </w:r>
          </w:p>
          <w:p>
            <w:pPr>
              <w:wordWrap w:val="0"/>
              <w:autoSpaceDE w:val="0"/>
              <w:autoSpaceDN w:val="0"/>
              <w:jc w:val="center"/>
              <w:rPr>
                <w:b/>
                <w:color w:val="000000" w:themeColor="text1"/>
                <w:sz w:val="21"/>
                <w:szCs w:val="21"/>
                <w14:textFill>
                  <w14:solidFill>
                    <w14:schemeClr w14:val="tx1"/>
                  </w14:solidFill>
                </w14:textFill>
              </w:rPr>
            </w:pPr>
            <w:r>
              <w:rPr>
                <w:b/>
                <w:bCs/>
                <w:color w:val="000000" w:themeColor="text1"/>
                <w:sz w:val="21"/>
                <w:szCs w:val="21"/>
                <w14:textFill>
                  <w14:solidFill>
                    <w14:schemeClr w14:val="tx1"/>
                  </w14:solidFill>
                </w14:textFill>
              </w:rPr>
              <w:t>（</w:t>
            </w:r>
            <w:r>
              <w:rPr>
                <w:rFonts w:hint="eastAsia"/>
                <w:color w:val="000000" w:themeColor="text1"/>
                <w:sz w:val="21"/>
                <w:szCs w:val="21"/>
                <w14:textFill>
                  <w14:solidFill>
                    <w14:schemeClr w14:val="tx1"/>
                  </w14:solidFill>
                </w14:textFill>
              </w:rPr>
              <w:t>t/a</w:t>
            </w:r>
            <w:r>
              <w:rPr>
                <w:b/>
                <w:bCs/>
                <w:color w:val="000000" w:themeColor="text1"/>
                <w:sz w:val="21"/>
                <w:szCs w:val="21"/>
                <w14:textFill>
                  <w14:solidFill>
                    <w14:schemeClr w14:val="tx1"/>
                  </w14:solidFill>
                </w14:textFill>
              </w:rPr>
              <w:t>）</w:t>
            </w:r>
          </w:p>
        </w:tc>
        <w:tc>
          <w:tcPr>
            <w:tcW w:w="1133" w:type="dxa"/>
            <w:vMerge w:val="continue"/>
            <w:vAlign w:val="center"/>
          </w:tcPr>
          <w:p>
            <w:pPr>
              <w:wordWrap w:val="0"/>
              <w:autoSpaceDE w:val="0"/>
              <w:autoSpaceDN w:val="0"/>
              <w:jc w:val="center"/>
              <w:rPr>
                <w:b/>
                <w:bCs/>
                <w:color w:val="000000" w:themeColor="text1"/>
                <w:sz w:val="21"/>
                <w:szCs w:val="21"/>
                <w14:textFill>
                  <w14:solidFill>
                    <w14:schemeClr w14:val="tx1"/>
                  </w14:solidFill>
                </w14:textFill>
              </w:rPr>
            </w:pPr>
          </w:p>
        </w:tc>
        <w:tc>
          <w:tcPr>
            <w:tcW w:w="849" w:type="dxa"/>
            <w:vMerge w:val="continue"/>
            <w:vAlign w:val="center"/>
          </w:tcPr>
          <w:p>
            <w:pPr>
              <w:wordWrap w:val="0"/>
              <w:autoSpaceDE w:val="0"/>
              <w:autoSpaceDN w:val="0"/>
              <w:jc w:val="center"/>
              <w:rPr>
                <w:b/>
                <w:bCs/>
                <w:color w:val="000000" w:themeColor="text1"/>
                <w:sz w:val="21"/>
                <w:szCs w:val="21"/>
                <w14:textFill>
                  <w14:solidFill>
                    <w14:schemeClr w14:val="tx1"/>
                  </w14:solidFill>
                </w14:textFill>
              </w:rPr>
            </w:pPr>
          </w:p>
        </w:tc>
        <w:tc>
          <w:tcPr>
            <w:tcW w:w="907" w:type="dxa"/>
            <w:vMerge w:val="continue"/>
            <w:vAlign w:val="center"/>
          </w:tcPr>
          <w:p>
            <w:pPr>
              <w:wordWrap w:val="0"/>
              <w:autoSpaceDE w:val="0"/>
              <w:autoSpaceDN w:val="0"/>
              <w:jc w:val="center"/>
              <w:rPr>
                <w:b/>
                <w:bCs/>
                <w:color w:val="000000" w:themeColor="text1"/>
                <w:sz w:val="21"/>
                <w:szCs w:val="21"/>
                <w14:textFill>
                  <w14:solidFill>
                    <w14:schemeClr w14:val="tx1"/>
                  </w14:solidFill>
                </w14:textFill>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12" w:hRule="atLeast"/>
        </w:trPr>
        <w:tc>
          <w:tcPr>
            <w:tcW w:w="426" w:type="dxa"/>
            <w:vMerge w:val="restart"/>
            <w:vAlign w:val="center"/>
          </w:tcPr>
          <w:p>
            <w:pPr>
              <w:wordWrap w:val="0"/>
              <w:autoSpaceDE w:val="0"/>
              <w:autoSpaceDN w:val="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废气</w:t>
            </w:r>
          </w:p>
        </w:tc>
        <w:tc>
          <w:tcPr>
            <w:tcW w:w="977" w:type="dxa"/>
            <w:vMerge w:val="restart"/>
            <w:vAlign w:val="center"/>
          </w:tcPr>
          <w:p>
            <w:pPr>
              <w:wordWrap w:val="0"/>
              <w:autoSpaceDE w:val="0"/>
              <w:autoSpaceDN w:val="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铺装道路扬尘</w:t>
            </w:r>
          </w:p>
        </w:tc>
        <w:tc>
          <w:tcPr>
            <w:tcW w:w="834" w:type="dxa"/>
            <w:vAlign w:val="center"/>
          </w:tcPr>
          <w:p>
            <w:pPr>
              <w:snapToGrid w:val="0"/>
              <w:spacing w:line="280" w:lineRule="exact"/>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TSP</w:t>
            </w:r>
          </w:p>
        </w:tc>
        <w:tc>
          <w:tcPr>
            <w:tcW w:w="849" w:type="dxa"/>
            <w:vAlign w:val="center"/>
          </w:tcPr>
          <w:p>
            <w:pPr>
              <w:widowControl/>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2.42</w:t>
            </w:r>
          </w:p>
        </w:tc>
        <w:tc>
          <w:tcPr>
            <w:tcW w:w="851" w:type="dxa"/>
            <w:vAlign w:val="center"/>
          </w:tcPr>
          <w:p>
            <w:pPr>
              <w:widowControl/>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2.42</w:t>
            </w:r>
          </w:p>
        </w:tc>
        <w:tc>
          <w:tcPr>
            <w:tcW w:w="849" w:type="dxa"/>
            <w:vAlign w:val="center"/>
          </w:tcPr>
          <w:p>
            <w:pPr>
              <w:snapToGrid w:val="0"/>
              <w:spacing w:line="280" w:lineRule="exact"/>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0.092</w:t>
            </w:r>
          </w:p>
        </w:tc>
        <w:tc>
          <w:tcPr>
            <w:tcW w:w="853" w:type="dxa"/>
            <w:vAlign w:val="center"/>
          </w:tcPr>
          <w:p>
            <w:pPr>
              <w:snapToGrid w:val="0"/>
              <w:spacing w:line="280" w:lineRule="exact"/>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0.092</w:t>
            </w:r>
          </w:p>
        </w:tc>
        <w:tc>
          <w:tcPr>
            <w:tcW w:w="1133" w:type="dxa"/>
            <w:vAlign w:val="center"/>
          </w:tcPr>
          <w:p>
            <w:pPr>
              <w:wordWrap w:val="0"/>
              <w:autoSpaceDE w:val="0"/>
              <w:autoSpaceDN w:val="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0</w:t>
            </w:r>
          </w:p>
        </w:tc>
        <w:tc>
          <w:tcPr>
            <w:tcW w:w="849" w:type="dxa"/>
            <w:vAlign w:val="center"/>
          </w:tcPr>
          <w:p>
            <w:pPr>
              <w:wordWrap w:val="0"/>
              <w:autoSpaceDE w:val="0"/>
              <w:autoSpaceDN w:val="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2.512</w:t>
            </w:r>
          </w:p>
        </w:tc>
        <w:tc>
          <w:tcPr>
            <w:tcW w:w="907" w:type="dxa"/>
            <w:vAlign w:val="center"/>
          </w:tcPr>
          <w:p>
            <w:pPr>
              <w:snapToGrid w:val="0"/>
              <w:spacing w:line="280" w:lineRule="exact"/>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0.092</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12" w:hRule="atLeast"/>
        </w:trPr>
        <w:tc>
          <w:tcPr>
            <w:tcW w:w="426" w:type="dxa"/>
            <w:vMerge w:val="continue"/>
            <w:vAlign w:val="center"/>
          </w:tcPr>
          <w:p>
            <w:pPr>
              <w:wordWrap w:val="0"/>
              <w:autoSpaceDE w:val="0"/>
              <w:autoSpaceDN w:val="0"/>
              <w:jc w:val="center"/>
              <w:rPr>
                <w:color w:val="000000" w:themeColor="text1"/>
                <w:sz w:val="21"/>
                <w:szCs w:val="21"/>
                <w14:textFill>
                  <w14:solidFill>
                    <w14:schemeClr w14:val="tx1"/>
                  </w14:solidFill>
                </w14:textFill>
              </w:rPr>
            </w:pPr>
          </w:p>
        </w:tc>
        <w:tc>
          <w:tcPr>
            <w:tcW w:w="977" w:type="dxa"/>
            <w:vMerge w:val="continue"/>
            <w:vAlign w:val="center"/>
          </w:tcPr>
          <w:p>
            <w:pPr>
              <w:wordWrap w:val="0"/>
              <w:autoSpaceDE w:val="0"/>
              <w:autoSpaceDN w:val="0"/>
              <w:jc w:val="center"/>
              <w:rPr>
                <w:color w:val="000000" w:themeColor="text1"/>
                <w:sz w:val="21"/>
                <w:szCs w:val="21"/>
                <w14:textFill>
                  <w14:solidFill>
                    <w14:schemeClr w14:val="tx1"/>
                  </w14:solidFill>
                </w14:textFill>
              </w:rPr>
            </w:pPr>
          </w:p>
        </w:tc>
        <w:tc>
          <w:tcPr>
            <w:tcW w:w="834" w:type="dxa"/>
            <w:vAlign w:val="center"/>
          </w:tcPr>
          <w:p>
            <w:pPr>
              <w:snapToGrid w:val="0"/>
              <w:spacing w:line="280" w:lineRule="exact"/>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PM</w:t>
            </w:r>
            <w:r>
              <w:rPr>
                <w:rFonts w:hint="eastAsia"/>
                <w:color w:val="000000" w:themeColor="text1"/>
                <w:sz w:val="21"/>
                <w:szCs w:val="21"/>
                <w:vertAlign w:val="subscript"/>
                <w14:textFill>
                  <w14:solidFill>
                    <w14:schemeClr w14:val="tx1"/>
                  </w14:solidFill>
                </w14:textFill>
              </w:rPr>
              <w:t>10</w:t>
            </w:r>
          </w:p>
        </w:tc>
        <w:tc>
          <w:tcPr>
            <w:tcW w:w="849" w:type="dxa"/>
            <w:vAlign w:val="center"/>
          </w:tcPr>
          <w:p>
            <w:pPr>
              <w:widowControl/>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0.61</w:t>
            </w:r>
          </w:p>
        </w:tc>
        <w:tc>
          <w:tcPr>
            <w:tcW w:w="851" w:type="dxa"/>
            <w:vAlign w:val="center"/>
          </w:tcPr>
          <w:p>
            <w:pPr>
              <w:widowControl/>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0.61</w:t>
            </w:r>
          </w:p>
        </w:tc>
        <w:tc>
          <w:tcPr>
            <w:tcW w:w="849" w:type="dxa"/>
            <w:vAlign w:val="center"/>
          </w:tcPr>
          <w:p>
            <w:pPr>
              <w:snapToGrid w:val="0"/>
              <w:spacing w:line="280" w:lineRule="exact"/>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0.023</w:t>
            </w:r>
          </w:p>
        </w:tc>
        <w:tc>
          <w:tcPr>
            <w:tcW w:w="853" w:type="dxa"/>
            <w:vAlign w:val="center"/>
          </w:tcPr>
          <w:p>
            <w:pPr>
              <w:snapToGrid w:val="0"/>
              <w:spacing w:line="280" w:lineRule="exact"/>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0.023</w:t>
            </w:r>
          </w:p>
        </w:tc>
        <w:tc>
          <w:tcPr>
            <w:tcW w:w="1133" w:type="dxa"/>
            <w:vAlign w:val="center"/>
          </w:tcPr>
          <w:p>
            <w:pPr>
              <w:wordWrap w:val="0"/>
              <w:autoSpaceDE w:val="0"/>
              <w:autoSpaceDN w:val="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849" w:type="dxa"/>
            <w:vAlign w:val="center"/>
          </w:tcPr>
          <w:p>
            <w:pPr>
              <w:wordWrap w:val="0"/>
              <w:autoSpaceDE w:val="0"/>
              <w:autoSpaceDN w:val="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0.633</w:t>
            </w:r>
          </w:p>
        </w:tc>
        <w:tc>
          <w:tcPr>
            <w:tcW w:w="907" w:type="dxa"/>
            <w:vAlign w:val="center"/>
          </w:tcPr>
          <w:p>
            <w:pPr>
              <w:snapToGrid w:val="0"/>
              <w:spacing w:line="280" w:lineRule="exact"/>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0.023</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12" w:hRule="atLeast"/>
        </w:trPr>
        <w:tc>
          <w:tcPr>
            <w:tcW w:w="426" w:type="dxa"/>
            <w:vMerge w:val="continue"/>
            <w:vAlign w:val="center"/>
          </w:tcPr>
          <w:p>
            <w:pPr>
              <w:wordWrap w:val="0"/>
              <w:autoSpaceDE w:val="0"/>
              <w:autoSpaceDN w:val="0"/>
              <w:jc w:val="center"/>
              <w:rPr>
                <w:color w:val="000000" w:themeColor="text1"/>
                <w:sz w:val="21"/>
                <w:szCs w:val="21"/>
                <w14:textFill>
                  <w14:solidFill>
                    <w14:schemeClr w14:val="tx1"/>
                  </w14:solidFill>
                </w14:textFill>
              </w:rPr>
            </w:pPr>
          </w:p>
        </w:tc>
        <w:tc>
          <w:tcPr>
            <w:tcW w:w="977" w:type="dxa"/>
            <w:vMerge w:val="continue"/>
            <w:vAlign w:val="center"/>
          </w:tcPr>
          <w:p>
            <w:pPr>
              <w:wordWrap w:val="0"/>
              <w:autoSpaceDE w:val="0"/>
              <w:autoSpaceDN w:val="0"/>
              <w:jc w:val="center"/>
              <w:rPr>
                <w:color w:val="000000" w:themeColor="text1"/>
                <w:sz w:val="21"/>
                <w:szCs w:val="21"/>
                <w14:textFill>
                  <w14:solidFill>
                    <w14:schemeClr w14:val="tx1"/>
                  </w14:solidFill>
                </w14:textFill>
              </w:rPr>
            </w:pPr>
          </w:p>
        </w:tc>
        <w:tc>
          <w:tcPr>
            <w:tcW w:w="834" w:type="dxa"/>
            <w:vAlign w:val="center"/>
          </w:tcPr>
          <w:p>
            <w:pPr>
              <w:snapToGrid w:val="0"/>
              <w:spacing w:line="280" w:lineRule="exact"/>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PM</w:t>
            </w:r>
            <w:r>
              <w:rPr>
                <w:rFonts w:hint="eastAsia"/>
                <w:color w:val="000000" w:themeColor="text1"/>
                <w:sz w:val="21"/>
                <w:szCs w:val="21"/>
                <w:vertAlign w:val="subscript"/>
                <w14:textFill>
                  <w14:solidFill>
                    <w14:schemeClr w14:val="tx1"/>
                  </w14:solidFill>
                </w14:textFill>
              </w:rPr>
              <w:t>2.5</w:t>
            </w:r>
          </w:p>
        </w:tc>
        <w:tc>
          <w:tcPr>
            <w:tcW w:w="849" w:type="dxa"/>
            <w:vAlign w:val="center"/>
          </w:tcPr>
          <w:p>
            <w:pPr>
              <w:widowControl/>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0.18</w:t>
            </w:r>
          </w:p>
        </w:tc>
        <w:tc>
          <w:tcPr>
            <w:tcW w:w="851" w:type="dxa"/>
            <w:vAlign w:val="center"/>
          </w:tcPr>
          <w:p>
            <w:pPr>
              <w:widowControl/>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0.18</w:t>
            </w:r>
          </w:p>
        </w:tc>
        <w:tc>
          <w:tcPr>
            <w:tcW w:w="849" w:type="dxa"/>
            <w:vAlign w:val="center"/>
          </w:tcPr>
          <w:p>
            <w:pPr>
              <w:snapToGrid w:val="0"/>
              <w:spacing w:line="280" w:lineRule="exact"/>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0.006</w:t>
            </w:r>
          </w:p>
        </w:tc>
        <w:tc>
          <w:tcPr>
            <w:tcW w:w="853" w:type="dxa"/>
            <w:vAlign w:val="center"/>
          </w:tcPr>
          <w:p>
            <w:pPr>
              <w:snapToGrid w:val="0"/>
              <w:spacing w:line="280" w:lineRule="exact"/>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0.006</w:t>
            </w:r>
          </w:p>
        </w:tc>
        <w:tc>
          <w:tcPr>
            <w:tcW w:w="1133" w:type="dxa"/>
            <w:vAlign w:val="center"/>
          </w:tcPr>
          <w:p>
            <w:pPr>
              <w:wordWrap w:val="0"/>
              <w:autoSpaceDE w:val="0"/>
              <w:autoSpaceDN w:val="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0</w:t>
            </w:r>
          </w:p>
        </w:tc>
        <w:tc>
          <w:tcPr>
            <w:tcW w:w="849" w:type="dxa"/>
            <w:vAlign w:val="center"/>
          </w:tcPr>
          <w:p>
            <w:pPr>
              <w:wordWrap w:val="0"/>
              <w:autoSpaceDE w:val="0"/>
              <w:autoSpaceDN w:val="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0.186</w:t>
            </w:r>
          </w:p>
        </w:tc>
        <w:tc>
          <w:tcPr>
            <w:tcW w:w="907" w:type="dxa"/>
            <w:vAlign w:val="center"/>
          </w:tcPr>
          <w:p>
            <w:pPr>
              <w:snapToGrid w:val="0"/>
              <w:spacing w:line="280" w:lineRule="exact"/>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0.006</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12" w:hRule="atLeast"/>
        </w:trPr>
        <w:tc>
          <w:tcPr>
            <w:tcW w:w="426" w:type="dxa"/>
            <w:vMerge w:val="restart"/>
            <w:vAlign w:val="center"/>
          </w:tcPr>
          <w:p>
            <w:pPr>
              <w:wordWrap w:val="0"/>
              <w:autoSpaceDE w:val="0"/>
              <w:autoSpaceDN w:val="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废水</w:t>
            </w:r>
          </w:p>
        </w:tc>
        <w:tc>
          <w:tcPr>
            <w:tcW w:w="977" w:type="dxa"/>
            <w:vAlign w:val="center"/>
          </w:tcPr>
          <w:p>
            <w:pPr>
              <w:wordWrap w:val="0"/>
              <w:autoSpaceDE w:val="0"/>
              <w:autoSpaceDN w:val="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陆域</w:t>
            </w:r>
            <w:r>
              <w:rPr>
                <w:color w:val="000000" w:themeColor="text1"/>
                <w:sz w:val="21"/>
                <w:szCs w:val="21"/>
                <w14:textFill>
                  <w14:solidFill>
                    <w14:schemeClr w14:val="tx1"/>
                  </w14:solidFill>
                </w14:textFill>
              </w:rPr>
              <w:t>生活污水</w:t>
            </w:r>
          </w:p>
        </w:tc>
        <w:tc>
          <w:tcPr>
            <w:tcW w:w="834" w:type="dxa"/>
            <w:vAlign w:val="center"/>
          </w:tcPr>
          <w:p>
            <w:pPr>
              <w:snapToGrid w:val="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废水量</w:t>
            </w:r>
          </w:p>
        </w:tc>
        <w:tc>
          <w:tcPr>
            <w:tcW w:w="849" w:type="dxa"/>
            <w:vAlign w:val="center"/>
          </w:tcPr>
          <w:p>
            <w:pPr>
              <w:snapToGrid w:val="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2532.7</w:t>
            </w:r>
          </w:p>
        </w:tc>
        <w:tc>
          <w:tcPr>
            <w:tcW w:w="851" w:type="dxa"/>
            <w:vAlign w:val="center"/>
          </w:tcPr>
          <w:p>
            <w:pPr>
              <w:wordWrap w:val="0"/>
              <w:autoSpaceDE w:val="0"/>
              <w:autoSpaceDN w:val="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2026.2</w:t>
            </w:r>
          </w:p>
        </w:tc>
        <w:tc>
          <w:tcPr>
            <w:tcW w:w="849" w:type="dxa"/>
            <w:vAlign w:val="center"/>
          </w:tcPr>
          <w:p>
            <w:pPr>
              <w:wordWrap w:val="0"/>
              <w:autoSpaceDE w:val="0"/>
              <w:autoSpaceDN w:val="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540.3</w:t>
            </w:r>
          </w:p>
        </w:tc>
        <w:tc>
          <w:tcPr>
            <w:tcW w:w="853" w:type="dxa"/>
            <w:vAlign w:val="center"/>
          </w:tcPr>
          <w:p>
            <w:pPr>
              <w:wordWrap w:val="0"/>
              <w:autoSpaceDE w:val="0"/>
              <w:autoSpaceDN w:val="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432.3</w:t>
            </w:r>
          </w:p>
        </w:tc>
        <w:tc>
          <w:tcPr>
            <w:tcW w:w="1133" w:type="dxa"/>
            <w:vAlign w:val="center"/>
          </w:tcPr>
          <w:p>
            <w:pPr>
              <w:wordWrap w:val="0"/>
              <w:autoSpaceDE w:val="0"/>
              <w:autoSpaceDN w:val="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0</w:t>
            </w:r>
          </w:p>
        </w:tc>
        <w:tc>
          <w:tcPr>
            <w:tcW w:w="849" w:type="dxa"/>
            <w:vAlign w:val="center"/>
          </w:tcPr>
          <w:p>
            <w:pPr>
              <w:widowControl/>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2458.5</w:t>
            </w:r>
          </w:p>
        </w:tc>
        <w:tc>
          <w:tcPr>
            <w:tcW w:w="907" w:type="dxa"/>
            <w:vAlign w:val="center"/>
          </w:tcPr>
          <w:p>
            <w:pPr>
              <w:wordWrap w:val="0"/>
              <w:autoSpaceDE w:val="0"/>
              <w:autoSpaceDN w:val="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432.3</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242" w:hRule="atLeast"/>
        </w:trPr>
        <w:tc>
          <w:tcPr>
            <w:tcW w:w="426" w:type="dxa"/>
            <w:vMerge w:val="continue"/>
            <w:vAlign w:val="center"/>
          </w:tcPr>
          <w:p>
            <w:pPr>
              <w:wordWrap w:val="0"/>
              <w:autoSpaceDE w:val="0"/>
              <w:autoSpaceDN w:val="0"/>
              <w:jc w:val="center"/>
              <w:rPr>
                <w:color w:val="000000" w:themeColor="text1"/>
                <w:sz w:val="21"/>
                <w:szCs w:val="21"/>
                <w14:textFill>
                  <w14:solidFill>
                    <w14:schemeClr w14:val="tx1"/>
                  </w14:solidFill>
                </w14:textFill>
              </w:rPr>
            </w:pPr>
          </w:p>
        </w:tc>
        <w:tc>
          <w:tcPr>
            <w:tcW w:w="977" w:type="dxa"/>
            <w:vAlign w:val="center"/>
          </w:tcPr>
          <w:p>
            <w:pPr>
              <w:wordWrap w:val="0"/>
              <w:autoSpaceDE w:val="0"/>
              <w:autoSpaceDN w:val="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船舶</w:t>
            </w:r>
          </w:p>
          <w:p>
            <w:pPr>
              <w:wordWrap w:val="0"/>
              <w:autoSpaceDE w:val="0"/>
              <w:autoSpaceDN w:val="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污水</w:t>
            </w:r>
          </w:p>
        </w:tc>
        <w:tc>
          <w:tcPr>
            <w:tcW w:w="834" w:type="dxa"/>
            <w:vAlign w:val="center"/>
          </w:tcPr>
          <w:p>
            <w:pPr>
              <w:wordWrap w:val="0"/>
              <w:autoSpaceDE w:val="0"/>
              <w:autoSpaceDN w:val="0"/>
              <w:jc w:val="center"/>
              <w:rPr>
                <w:color w:val="000000" w:themeColor="text1"/>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废水</w:t>
            </w:r>
            <w:r>
              <w:rPr>
                <w:color w:val="000000" w:themeColor="text1"/>
                <w:kern w:val="0"/>
                <w:sz w:val="21"/>
                <w:szCs w:val="21"/>
                <w14:textFill>
                  <w14:solidFill>
                    <w14:schemeClr w14:val="tx1"/>
                  </w14:solidFill>
                </w14:textFill>
              </w:rPr>
              <w:t>量</w:t>
            </w:r>
          </w:p>
        </w:tc>
        <w:tc>
          <w:tcPr>
            <w:tcW w:w="849" w:type="dxa"/>
            <w:vAlign w:val="center"/>
          </w:tcPr>
          <w:p>
            <w:pPr>
              <w:snapToGrid w:val="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1862</w:t>
            </w:r>
          </w:p>
        </w:tc>
        <w:tc>
          <w:tcPr>
            <w:tcW w:w="851" w:type="dxa"/>
            <w:vAlign w:val="center"/>
          </w:tcPr>
          <w:p>
            <w:pPr>
              <w:wordWrap w:val="0"/>
              <w:autoSpaceDE w:val="0"/>
              <w:autoSpaceDN w:val="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1490</w:t>
            </w:r>
          </w:p>
        </w:tc>
        <w:tc>
          <w:tcPr>
            <w:tcW w:w="849" w:type="dxa"/>
            <w:vAlign w:val="center"/>
          </w:tcPr>
          <w:p>
            <w:pPr>
              <w:wordWrap w:val="0"/>
              <w:autoSpaceDE w:val="0"/>
              <w:autoSpaceDN w:val="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1856</w:t>
            </w:r>
          </w:p>
        </w:tc>
        <w:tc>
          <w:tcPr>
            <w:tcW w:w="853" w:type="dxa"/>
            <w:vAlign w:val="center"/>
          </w:tcPr>
          <w:p>
            <w:pPr>
              <w:wordWrap w:val="0"/>
              <w:autoSpaceDE w:val="0"/>
              <w:autoSpaceDN w:val="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1485</w:t>
            </w:r>
          </w:p>
        </w:tc>
        <w:tc>
          <w:tcPr>
            <w:tcW w:w="1133" w:type="dxa"/>
            <w:vAlign w:val="center"/>
          </w:tcPr>
          <w:p>
            <w:pPr>
              <w:wordWrap w:val="0"/>
              <w:autoSpaceDE w:val="0"/>
              <w:autoSpaceDN w:val="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p>
        </w:tc>
        <w:tc>
          <w:tcPr>
            <w:tcW w:w="849" w:type="dxa"/>
            <w:vAlign w:val="center"/>
          </w:tcPr>
          <w:p>
            <w:pPr>
              <w:snapToGrid w:val="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2975</w:t>
            </w:r>
          </w:p>
        </w:tc>
        <w:tc>
          <w:tcPr>
            <w:tcW w:w="907" w:type="dxa"/>
            <w:vAlign w:val="center"/>
          </w:tcPr>
          <w:p>
            <w:pPr>
              <w:wordWrap w:val="0"/>
              <w:autoSpaceDE w:val="0"/>
              <w:autoSpaceDN w:val="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1485</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12" w:hRule="atLeast"/>
        </w:trPr>
        <w:tc>
          <w:tcPr>
            <w:tcW w:w="426" w:type="dxa"/>
            <w:vMerge w:val="restart"/>
            <w:vAlign w:val="center"/>
          </w:tcPr>
          <w:p>
            <w:pPr>
              <w:wordWrap w:val="0"/>
              <w:autoSpaceDE w:val="0"/>
              <w:autoSpaceDN w:val="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固体废物</w:t>
            </w:r>
          </w:p>
        </w:tc>
        <w:tc>
          <w:tcPr>
            <w:tcW w:w="1811" w:type="dxa"/>
            <w:gridSpan w:val="2"/>
            <w:vAlign w:val="center"/>
          </w:tcPr>
          <w:p>
            <w:pPr>
              <w:wordWrap w:val="0"/>
              <w:autoSpaceDE w:val="0"/>
              <w:autoSpaceDN w:val="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陆域</w:t>
            </w:r>
            <w:r>
              <w:rPr>
                <w:color w:val="000000" w:themeColor="text1"/>
                <w:sz w:val="21"/>
                <w:szCs w:val="21"/>
                <w14:textFill>
                  <w14:solidFill>
                    <w14:schemeClr w14:val="tx1"/>
                  </w14:solidFill>
                </w14:textFill>
              </w:rPr>
              <w:t>生活垃圾</w:t>
            </w:r>
          </w:p>
        </w:tc>
        <w:tc>
          <w:tcPr>
            <w:tcW w:w="849" w:type="dxa"/>
            <w:vAlign w:val="center"/>
          </w:tcPr>
          <w:p>
            <w:pPr>
              <w:wordWrap w:val="0"/>
              <w:autoSpaceDE w:val="0"/>
              <w:autoSpaceDN w:val="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63.36</w:t>
            </w:r>
          </w:p>
        </w:tc>
        <w:tc>
          <w:tcPr>
            <w:tcW w:w="851" w:type="dxa"/>
            <w:vAlign w:val="center"/>
          </w:tcPr>
          <w:p>
            <w:pPr>
              <w:wordWrap w:val="0"/>
              <w:autoSpaceDE w:val="0"/>
              <w:autoSpaceDN w:val="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63.36</w:t>
            </w:r>
          </w:p>
        </w:tc>
        <w:tc>
          <w:tcPr>
            <w:tcW w:w="849" w:type="dxa"/>
            <w:vAlign w:val="center"/>
          </w:tcPr>
          <w:p>
            <w:pPr>
              <w:wordWrap w:val="0"/>
              <w:autoSpaceDE w:val="0"/>
              <w:autoSpaceDN w:val="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13.53</w:t>
            </w:r>
          </w:p>
        </w:tc>
        <w:tc>
          <w:tcPr>
            <w:tcW w:w="853" w:type="dxa"/>
            <w:vAlign w:val="center"/>
          </w:tcPr>
          <w:p>
            <w:pPr>
              <w:wordWrap w:val="0"/>
              <w:autoSpaceDE w:val="0"/>
              <w:autoSpaceDN w:val="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13.53</w:t>
            </w:r>
          </w:p>
        </w:tc>
        <w:tc>
          <w:tcPr>
            <w:tcW w:w="1133" w:type="dxa"/>
            <w:vAlign w:val="center"/>
          </w:tcPr>
          <w:p>
            <w:pPr>
              <w:wordWrap w:val="0"/>
              <w:autoSpaceDE w:val="0"/>
              <w:autoSpaceDN w:val="0"/>
              <w:jc w:val="center"/>
              <w:rPr>
                <w:bCs/>
                <w:color w:val="000000" w:themeColor="text1"/>
                <w:sz w:val="21"/>
                <w:szCs w:val="21"/>
                <w14:textFill>
                  <w14:solidFill>
                    <w14:schemeClr w14:val="tx1"/>
                  </w14:solidFill>
                </w14:textFill>
              </w:rPr>
            </w:pPr>
            <w:r>
              <w:rPr>
                <w:bCs/>
                <w:color w:val="000000" w:themeColor="text1"/>
                <w:sz w:val="21"/>
                <w:szCs w:val="21"/>
                <w14:textFill>
                  <w14:solidFill>
                    <w14:schemeClr w14:val="tx1"/>
                  </w14:solidFill>
                </w14:textFill>
              </w:rPr>
              <w:t>0</w:t>
            </w:r>
          </w:p>
        </w:tc>
        <w:tc>
          <w:tcPr>
            <w:tcW w:w="849" w:type="dxa"/>
            <w:vAlign w:val="center"/>
          </w:tcPr>
          <w:p>
            <w:pPr>
              <w:wordWrap w:val="0"/>
              <w:autoSpaceDE w:val="0"/>
              <w:autoSpaceDN w:val="0"/>
              <w:jc w:val="center"/>
              <w:rPr>
                <w:bCs/>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76.89</w:t>
            </w:r>
          </w:p>
        </w:tc>
        <w:tc>
          <w:tcPr>
            <w:tcW w:w="907" w:type="dxa"/>
            <w:vAlign w:val="center"/>
          </w:tcPr>
          <w:p>
            <w:pPr>
              <w:wordWrap w:val="0"/>
              <w:autoSpaceDE w:val="0"/>
              <w:autoSpaceDN w:val="0"/>
              <w:jc w:val="center"/>
              <w:rPr>
                <w:bCs/>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13.53</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12" w:hRule="atLeast"/>
        </w:trPr>
        <w:tc>
          <w:tcPr>
            <w:tcW w:w="426" w:type="dxa"/>
            <w:vMerge w:val="continue"/>
            <w:vAlign w:val="center"/>
          </w:tcPr>
          <w:p>
            <w:pPr>
              <w:wordWrap w:val="0"/>
              <w:autoSpaceDE w:val="0"/>
              <w:autoSpaceDN w:val="0"/>
              <w:jc w:val="center"/>
              <w:rPr>
                <w:color w:val="000000" w:themeColor="text1"/>
                <w:sz w:val="21"/>
                <w:szCs w:val="21"/>
                <w14:textFill>
                  <w14:solidFill>
                    <w14:schemeClr w14:val="tx1"/>
                  </w14:solidFill>
                </w14:textFill>
              </w:rPr>
            </w:pPr>
          </w:p>
        </w:tc>
        <w:tc>
          <w:tcPr>
            <w:tcW w:w="1811" w:type="dxa"/>
            <w:gridSpan w:val="2"/>
            <w:vAlign w:val="center"/>
          </w:tcPr>
          <w:p>
            <w:pPr>
              <w:wordWrap w:val="0"/>
              <w:autoSpaceDE w:val="0"/>
              <w:autoSpaceDN w:val="0"/>
              <w:jc w:val="center"/>
              <w:rPr>
                <w:color w:val="000000" w:themeColor="text1"/>
                <w:sz w:val="21"/>
                <w:szCs w:val="22"/>
                <w14:textFill>
                  <w14:solidFill>
                    <w14:schemeClr w14:val="tx1"/>
                  </w14:solidFill>
                </w14:textFill>
              </w:rPr>
            </w:pPr>
            <w:r>
              <w:rPr>
                <w:rFonts w:hint="eastAsia"/>
                <w:color w:val="000000" w:themeColor="text1"/>
                <w:sz w:val="21"/>
                <w:szCs w:val="22"/>
                <w14:textFill>
                  <w14:solidFill>
                    <w14:schemeClr w14:val="tx1"/>
                  </w14:solidFill>
                </w14:textFill>
              </w:rPr>
              <w:t>到港船舶的生活</w:t>
            </w:r>
          </w:p>
          <w:p>
            <w:pPr>
              <w:wordWrap w:val="0"/>
              <w:autoSpaceDE w:val="0"/>
              <w:autoSpaceDN w:val="0"/>
              <w:jc w:val="center"/>
              <w:rPr>
                <w:color w:val="000000" w:themeColor="text1"/>
                <w:sz w:val="21"/>
                <w:szCs w:val="21"/>
                <w14:textFill>
                  <w14:solidFill>
                    <w14:schemeClr w14:val="tx1"/>
                  </w14:solidFill>
                </w14:textFill>
              </w:rPr>
            </w:pPr>
            <w:r>
              <w:rPr>
                <w:rFonts w:hint="eastAsia"/>
                <w:color w:val="000000" w:themeColor="text1"/>
                <w:sz w:val="21"/>
                <w:szCs w:val="22"/>
                <w14:textFill>
                  <w14:solidFill>
                    <w14:schemeClr w14:val="tx1"/>
                  </w14:solidFill>
                </w14:textFill>
              </w:rPr>
              <w:t>垃圾</w:t>
            </w:r>
          </w:p>
        </w:tc>
        <w:tc>
          <w:tcPr>
            <w:tcW w:w="849" w:type="dxa"/>
            <w:vAlign w:val="center"/>
          </w:tcPr>
          <w:p>
            <w:pPr>
              <w:wordWrap w:val="0"/>
              <w:autoSpaceDE w:val="0"/>
              <w:autoSpaceDN w:val="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12.23</w:t>
            </w:r>
          </w:p>
        </w:tc>
        <w:tc>
          <w:tcPr>
            <w:tcW w:w="851" w:type="dxa"/>
            <w:vAlign w:val="center"/>
          </w:tcPr>
          <w:p>
            <w:pPr>
              <w:wordWrap w:val="0"/>
              <w:autoSpaceDE w:val="0"/>
              <w:autoSpaceDN w:val="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12.23</w:t>
            </w:r>
          </w:p>
        </w:tc>
        <w:tc>
          <w:tcPr>
            <w:tcW w:w="849" w:type="dxa"/>
            <w:vAlign w:val="center"/>
          </w:tcPr>
          <w:p>
            <w:pPr>
              <w:wordWrap w:val="0"/>
              <w:autoSpaceDE w:val="0"/>
              <w:autoSpaceDN w:val="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7.43</w:t>
            </w:r>
          </w:p>
        </w:tc>
        <w:tc>
          <w:tcPr>
            <w:tcW w:w="853" w:type="dxa"/>
            <w:vAlign w:val="center"/>
          </w:tcPr>
          <w:p>
            <w:pPr>
              <w:wordWrap w:val="0"/>
              <w:autoSpaceDE w:val="0"/>
              <w:autoSpaceDN w:val="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7.43</w:t>
            </w:r>
          </w:p>
        </w:tc>
        <w:tc>
          <w:tcPr>
            <w:tcW w:w="1133" w:type="dxa"/>
            <w:vAlign w:val="center"/>
          </w:tcPr>
          <w:p>
            <w:pPr>
              <w:wordWrap w:val="0"/>
              <w:autoSpaceDE w:val="0"/>
              <w:autoSpaceDN w:val="0"/>
              <w:jc w:val="center"/>
              <w:rPr>
                <w:bCs/>
                <w:color w:val="000000" w:themeColor="text1"/>
                <w:sz w:val="21"/>
                <w:szCs w:val="21"/>
                <w14:textFill>
                  <w14:solidFill>
                    <w14:schemeClr w14:val="tx1"/>
                  </w14:solidFill>
                </w14:textFill>
              </w:rPr>
            </w:pPr>
            <w:r>
              <w:rPr>
                <w:rFonts w:hint="eastAsia"/>
                <w:bCs/>
                <w:color w:val="000000" w:themeColor="text1"/>
                <w:sz w:val="21"/>
                <w:szCs w:val="21"/>
                <w14:textFill>
                  <w14:solidFill>
                    <w14:schemeClr w14:val="tx1"/>
                  </w14:solidFill>
                </w14:textFill>
              </w:rPr>
              <w:t>0</w:t>
            </w:r>
          </w:p>
        </w:tc>
        <w:tc>
          <w:tcPr>
            <w:tcW w:w="849" w:type="dxa"/>
            <w:vAlign w:val="center"/>
          </w:tcPr>
          <w:p>
            <w:pPr>
              <w:wordWrap w:val="0"/>
              <w:autoSpaceDE w:val="0"/>
              <w:autoSpaceDN w:val="0"/>
              <w:jc w:val="center"/>
              <w:rPr>
                <w:bCs/>
                <w:color w:val="000000" w:themeColor="text1"/>
                <w:sz w:val="21"/>
                <w:szCs w:val="21"/>
                <w14:textFill>
                  <w14:solidFill>
                    <w14:schemeClr w14:val="tx1"/>
                  </w14:solidFill>
                </w14:textFill>
              </w:rPr>
            </w:pPr>
            <w:r>
              <w:rPr>
                <w:rFonts w:hint="eastAsia"/>
                <w:bCs/>
                <w:color w:val="000000" w:themeColor="text1"/>
                <w:sz w:val="21"/>
                <w:szCs w:val="21"/>
                <w14:textFill>
                  <w14:solidFill>
                    <w14:schemeClr w14:val="tx1"/>
                  </w14:solidFill>
                </w14:textFill>
              </w:rPr>
              <w:t>19.66</w:t>
            </w:r>
          </w:p>
        </w:tc>
        <w:tc>
          <w:tcPr>
            <w:tcW w:w="907" w:type="dxa"/>
            <w:vAlign w:val="center"/>
          </w:tcPr>
          <w:p>
            <w:pPr>
              <w:wordWrap w:val="0"/>
              <w:autoSpaceDE w:val="0"/>
              <w:autoSpaceDN w:val="0"/>
              <w:jc w:val="center"/>
              <w:rPr>
                <w:bCs/>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7.43</w:t>
            </w:r>
          </w:p>
        </w:tc>
      </w:tr>
    </w:tbl>
    <w:p>
      <w:pPr>
        <w:pStyle w:val="4"/>
        <w:rPr>
          <w:color w:val="000000" w:themeColor="text1"/>
          <w14:textFill>
            <w14:solidFill>
              <w14:schemeClr w14:val="tx1"/>
            </w14:solidFill>
          </w14:textFill>
        </w:rPr>
      </w:pPr>
      <w:bookmarkStart w:id="123" w:name="_Toc170918599"/>
      <w:r>
        <w:rPr>
          <w:color w:val="000000" w:themeColor="text1"/>
          <w14:textFill>
            <w14:solidFill>
              <w14:schemeClr w14:val="tx1"/>
            </w14:solidFill>
          </w14:textFill>
        </w:rPr>
        <w:t>规划相符性分析</w:t>
      </w:r>
      <w:bookmarkEnd w:id="123"/>
    </w:p>
    <w:p>
      <w:pPr>
        <w:pStyle w:val="5"/>
        <w:rPr>
          <w:color w:val="000000" w:themeColor="text1"/>
          <w14:textFill>
            <w14:solidFill>
              <w14:schemeClr w14:val="tx1"/>
            </w14:solidFill>
          </w14:textFill>
        </w:rPr>
      </w:pPr>
      <w:r>
        <w:rPr>
          <w:rFonts w:hint="eastAsia"/>
          <w:color w:val="000000" w:themeColor="text1"/>
          <w14:textFill>
            <w14:solidFill>
              <w14:schemeClr w14:val="tx1"/>
            </w14:solidFill>
          </w14:textFill>
        </w:rPr>
        <w:t>与《北部湾港总体规划（2035年）》相符性</w:t>
      </w:r>
    </w:p>
    <w:p>
      <w:pPr>
        <w:pStyle w:val="283"/>
        <w:ind w:firstLine="462"/>
        <w:rPr>
          <w:color w:val="000000" w:themeColor="text1"/>
          <w14:textFill>
            <w14:solidFill>
              <w14:schemeClr w14:val="tx1"/>
            </w14:solidFill>
          </w14:textFill>
        </w:rPr>
      </w:pPr>
      <w:r>
        <w:rPr>
          <w:color w:val="000000" w:themeColor="text1"/>
          <w14:textFill>
            <w14:solidFill>
              <w14:schemeClr w14:val="tx1"/>
            </w14:solidFill>
          </w14:textFill>
        </w:rPr>
        <w:t>1、规划概况</w:t>
      </w:r>
    </w:p>
    <w:p>
      <w:pPr>
        <w:pStyle w:val="283"/>
        <w:ind w:firstLine="462"/>
        <w:rPr>
          <w:color w:val="000000" w:themeColor="text1"/>
          <w:lang w:val="zh-CN"/>
          <w14:textFill>
            <w14:solidFill>
              <w14:schemeClr w14:val="tx1"/>
            </w14:solidFill>
          </w14:textFill>
        </w:rPr>
      </w:pPr>
      <w:r>
        <w:rPr>
          <w:color w:val="000000" w:themeColor="text1"/>
          <w:lang w:val="zh-CN"/>
          <w14:textFill>
            <w14:solidFill>
              <w14:schemeClr w14:val="tx1"/>
            </w14:solidFill>
          </w14:textFill>
        </w:rPr>
        <w:t>《</w:t>
      </w:r>
      <w:r>
        <w:rPr>
          <w:rFonts w:hint="eastAsia"/>
          <w:color w:val="000000" w:themeColor="text1"/>
          <w:lang w:val="zh-CN"/>
          <w14:textFill>
            <w14:solidFill>
              <w14:schemeClr w14:val="tx1"/>
            </w14:solidFill>
          </w14:textFill>
        </w:rPr>
        <w:t>北部湾港</w:t>
      </w:r>
      <w:r>
        <w:rPr>
          <w:color w:val="000000" w:themeColor="text1"/>
          <w:lang w:val="zh-CN"/>
          <w14:textFill>
            <w14:solidFill>
              <w14:schemeClr w14:val="tx1"/>
            </w14:solidFill>
          </w14:textFill>
        </w:rPr>
        <w:t>总体规划（2035年）》环境影响报告书《北部湾港总体规划（</w:t>
      </w:r>
      <w:r>
        <w:rPr>
          <w:rFonts w:hint="eastAsia"/>
          <w:color w:val="000000" w:themeColor="text1"/>
          <w:lang w:val="zh-CN"/>
          <w14:textFill>
            <w14:solidFill>
              <w14:schemeClr w14:val="tx1"/>
            </w14:solidFill>
          </w14:textFill>
        </w:rPr>
        <w:t>2035年</w:t>
      </w:r>
      <w:r>
        <w:rPr>
          <w:color w:val="000000" w:themeColor="text1"/>
          <w:lang w:val="zh-CN"/>
          <w14:textFill>
            <w14:solidFill>
              <w14:schemeClr w14:val="tx1"/>
            </w14:solidFill>
          </w14:textFill>
        </w:rPr>
        <w:t>）环境影响报告书》</w:t>
      </w:r>
      <w:r>
        <w:rPr>
          <w:rFonts w:hint="eastAsia"/>
          <w:color w:val="000000" w:themeColor="text1"/>
          <w:lang w:val="zh-CN"/>
          <w14:textFill>
            <w14:solidFill>
              <w14:schemeClr w14:val="tx1"/>
            </w14:solidFill>
          </w14:textFill>
        </w:rPr>
        <w:t>于2023年9月取得中华人民共和国生态环境部的审查意见（</w:t>
      </w:r>
      <w:r>
        <w:rPr>
          <w:color w:val="000000" w:themeColor="text1"/>
          <w14:textFill>
            <w14:solidFill>
              <w14:schemeClr w14:val="tx1"/>
            </w14:solidFill>
          </w14:textFill>
        </w:rPr>
        <w:t>环审</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2023〕125号</w:t>
      </w:r>
      <w:r>
        <w:rPr>
          <w:rFonts w:hint="eastAsia"/>
          <w:color w:val="000000" w:themeColor="text1"/>
          <w:lang w:val="zh-CN"/>
          <w14:textFill>
            <w14:solidFill>
              <w14:schemeClr w14:val="tx1"/>
            </w14:solidFill>
          </w14:textFill>
        </w:rPr>
        <w:t>）</w:t>
      </w:r>
      <w:r>
        <w:rPr>
          <w:color w:val="000000" w:themeColor="text1"/>
          <w:lang w:val="zh-CN"/>
          <w14:textFill>
            <w14:solidFill>
              <w14:schemeClr w14:val="tx1"/>
            </w14:solidFill>
          </w14:textFill>
        </w:rPr>
        <w:t>。</w:t>
      </w:r>
    </w:p>
    <w:p>
      <w:pPr>
        <w:pStyle w:val="283"/>
        <w:ind w:firstLine="462"/>
        <w:rPr>
          <w:color w:val="000000" w:themeColor="text1"/>
          <w14:textFill>
            <w14:solidFill>
              <w14:schemeClr w14:val="tx1"/>
            </w14:solidFill>
          </w14:textFill>
        </w:rPr>
      </w:pPr>
      <w:r>
        <w:rPr>
          <w:color w:val="000000" w:themeColor="text1"/>
          <w14:textFill>
            <w14:solidFill>
              <w14:schemeClr w14:val="tx1"/>
            </w14:solidFill>
          </w14:textFill>
        </w:rPr>
        <w:t>根据《</w:t>
      </w:r>
      <w:r>
        <w:rPr>
          <w:rFonts w:hint="eastAsia"/>
          <w:color w:val="000000" w:themeColor="text1"/>
          <w14:textFill>
            <w14:solidFill>
              <w14:schemeClr w14:val="tx1"/>
            </w14:solidFill>
          </w14:textFill>
        </w:rPr>
        <w:t>北部湾港总体规划（2035年）</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规划在现有大榄坪南集装箱码头基础上，向南集中连片布置大型集装箱码头，形成大榄坪南、大环两大集装箱作业区。大榄坪</w:t>
      </w:r>
      <w:r>
        <w:rPr>
          <w:color w:val="000000" w:themeColor="text1"/>
          <w14:textFill>
            <w14:solidFill>
              <w14:schemeClr w14:val="tx1"/>
            </w14:solidFill>
          </w14:textFill>
        </w:rPr>
        <w:t>南作业区：</w:t>
      </w:r>
      <w:r>
        <w:rPr>
          <w:rFonts w:hint="eastAsia"/>
          <w:color w:val="000000" w:themeColor="text1"/>
          <w14:textFill>
            <w14:solidFill>
              <w14:schemeClr w14:val="tx1"/>
            </w14:solidFill>
          </w14:textFill>
        </w:rPr>
        <w:t>以集装箱运输为主，兼顾商品汽车滚装运输。北段已建北1号～北3号共3个5万吨～7万吨级泊位，近期保留多用途功能，规划改造为集装箱泊位，兼顾商品汽车滚装运输。南段规划大榄坪南既有集装箱码头向南以大顺岸为主布置，共规划14个大型集装箱泊位，岸线长4755m。</w:t>
      </w:r>
    </w:p>
    <w:p>
      <w:pPr>
        <w:pStyle w:val="283"/>
        <w:ind w:firstLine="462"/>
        <w:rPr>
          <w:color w:val="000000" w:themeColor="text1"/>
          <w14:textFill>
            <w14:solidFill>
              <w14:schemeClr w14:val="tx1"/>
            </w14:solidFill>
          </w14:textFill>
        </w:rPr>
      </w:pPr>
    </w:p>
    <w:p>
      <w:pPr>
        <w:pStyle w:val="283"/>
        <w:ind w:firstLine="462"/>
        <w:rPr>
          <w:color w:val="000000" w:themeColor="text1"/>
          <w14:textFill>
            <w14:solidFill>
              <w14:schemeClr w14:val="tx1"/>
            </w14:solidFill>
          </w14:textFill>
        </w:rPr>
      </w:pPr>
      <w:r>
        <w:rPr>
          <w:color w:val="000000" w:themeColor="text1"/>
          <w14:textFill>
            <w14:solidFill>
              <w14:schemeClr w14:val="tx1"/>
            </w14:solidFill>
          </w14:textFill>
        </w:rPr>
        <w:t>2、规划符合性</w:t>
      </w:r>
    </w:p>
    <w:p>
      <w:pPr>
        <w:pStyle w:val="283"/>
        <w:ind w:firstLine="462"/>
        <w:rPr>
          <w:color w:val="000000" w:themeColor="text1"/>
          <w14:textFill>
            <w14:solidFill>
              <w14:schemeClr w14:val="tx1"/>
            </w14:solidFill>
          </w14:textFill>
        </w:rPr>
      </w:pPr>
      <w:r>
        <w:rPr>
          <w:color w:val="000000" w:themeColor="text1"/>
          <w14:textFill>
            <w14:solidFill>
              <w14:schemeClr w14:val="tx1"/>
            </w14:solidFill>
          </w14:textFill>
        </w:rPr>
        <w:t>本次建设</w:t>
      </w:r>
      <w:r>
        <w:rPr>
          <w:rFonts w:hint="eastAsia"/>
          <w:color w:val="000000" w:themeColor="text1"/>
          <w14:textFill>
            <w14:solidFill>
              <w14:schemeClr w14:val="tx1"/>
            </w14:solidFill>
          </w14:textFill>
        </w:rPr>
        <w:t>北部湾港钦州港域</w:t>
      </w:r>
      <w:r>
        <w:rPr>
          <w:color w:val="000000" w:themeColor="text1"/>
          <w14:textFill>
            <w14:solidFill>
              <w14:schemeClr w14:val="tx1"/>
            </w14:solidFill>
          </w14:textFill>
        </w:rPr>
        <w:t>大榄坪港区大榄坪南作业区</w:t>
      </w:r>
      <w:r>
        <w:rPr>
          <w:rFonts w:hint="eastAsia"/>
          <w:color w:val="000000" w:themeColor="text1"/>
          <w14:textFill>
            <w14:solidFill>
              <w14:schemeClr w14:val="tx1"/>
            </w14:solidFill>
          </w14:textFill>
        </w:rPr>
        <w:t>9号10号泊位工程</w:t>
      </w:r>
      <w:r>
        <w:rPr>
          <w:color w:val="000000" w:themeColor="text1"/>
          <w14:textFill>
            <w14:solidFill>
              <w14:schemeClr w14:val="tx1"/>
            </w14:solidFill>
          </w14:textFill>
        </w:rPr>
        <w:t>为扩建</w:t>
      </w:r>
      <w:r>
        <w:rPr>
          <w:rFonts w:hint="eastAsia"/>
          <w:color w:val="000000" w:themeColor="text1"/>
          <w14:textFill>
            <w14:solidFill>
              <w14:schemeClr w14:val="tx1"/>
            </w14:solidFill>
          </w14:textFill>
        </w:rPr>
        <w:t>2</w:t>
      </w:r>
      <w:r>
        <w:rPr>
          <w:color w:val="000000" w:themeColor="text1"/>
          <w14:textFill>
            <w14:solidFill>
              <w14:schemeClr w14:val="tx1"/>
            </w14:solidFill>
          </w14:textFill>
        </w:rPr>
        <w:t>艘</w:t>
      </w:r>
      <w:r>
        <w:rPr>
          <w:rFonts w:hint="eastAsia"/>
          <w:color w:val="000000" w:themeColor="text1"/>
          <w14:textFill>
            <w14:solidFill>
              <w14:schemeClr w14:val="tx1"/>
            </w14:solidFill>
          </w14:textFill>
        </w:rPr>
        <w:t>20</w:t>
      </w:r>
      <w:r>
        <w:rPr>
          <w:color w:val="000000" w:themeColor="text1"/>
          <w14:textFill>
            <w14:solidFill>
              <w14:schemeClr w14:val="tx1"/>
            </w14:solidFill>
          </w14:textFill>
        </w:rPr>
        <w:t>万吨级</w:t>
      </w:r>
      <w:r>
        <w:rPr>
          <w:rFonts w:hint="eastAsia"/>
          <w:color w:val="000000" w:themeColor="text1"/>
          <w14:textFill>
            <w14:solidFill>
              <w14:schemeClr w14:val="tx1"/>
            </w14:solidFill>
          </w14:textFill>
        </w:rPr>
        <w:t>集装箱</w:t>
      </w:r>
      <w:r>
        <w:rPr>
          <w:color w:val="000000" w:themeColor="text1"/>
          <w14:textFill>
            <w14:solidFill>
              <w14:schemeClr w14:val="tx1"/>
            </w14:solidFill>
          </w14:textFill>
        </w:rPr>
        <w:t>泊位，</w:t>
      </w:r>
      <w:r>
        <w:rPr>
          <w:rFonts w:hint="eastAsia"/>
          <w:color w:val="000000" w:themeColor="text1"/>
          <w14:textFill>
            <w14:solidFill>
              <w14:schemeClr w14:val="tx1"/>
            </w14:solidFill>
          </w14:textFill>
        </w:rPr>
        <w:t>为</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北部湾港总体规划（2035年）</w:t>
      </w:r>
      <w:r>
        <w:rPr>
          <w:color w:val="000000" w:themeColor="text1"/>
          <w14:textFill>
            <w14:solidFill>
              <w14:schemeClr w14:val="tx1"/>
            </w14:solidFill>
          </w14:textFill>
        </w:rPr>
        <w:t>》中新增钦州港域大榄坪港区大榄坪南</w:t>
      </w:r>
      <w:r>
        <w:rPr>
          <w:rFonts w:hint="eastAsia"/>
          <w:color w:val="000000" w:themeColor="text1"/>
          <w14:textFill>
            <w14:solidFill>
              <w14:schemeClr w14:val="tx1"/>
            </w14:solidFill>
          </w14:textFill>
        </w:rPr>
        <w:t>7-10号自动化集装箱泊位建设内容，规划泊位岸线位置、泊位扩建吨级、功能均与</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北部湾港总体规划（2035年）</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一致</w:t>
      </w:r>
      <w:r>
        <w:rPr>
          <w:color w:val="000000" w:themeColor="text1"/>
          <w14:textFill>
            <w14:solidFill>
              <w14:schemeClr w14:val="tx1"/>
            </w14:solidFill>
          </w14:textFill>
        </w:rPr>
        <w:t>。本次新增依托</w:t>
      </w:r>
      <w:r>
        <w:rPr>
          <w:rFonts w:hint="eastAsia"/>
          <w:color w:val="000000" w:themeColor="text1"/>
          <w14:textFill>
            <w14:solidFill>
              <w14:schemeClr w14:val="tx1"/>
            </w14:solidFill>
          </w14:textFill>
        </w:rPr>
        <w:t>陆域</w:t>
      </w:r>
      <w:r>
        <w:rPr>
          <w:color w:val="000000" w:themeColor="text1"/>
          <w14:textFill>
            <w14:solidFill>
              <w14:schemeClr w14:val="tx1"/>
            </w14:solidFill>
          </w14:textFill>
        </w:rPr>
        <w:t>位于</w:t>
      </w:r>
      <w:r>
        <w:rPr>
          <w:rFonts w:hint="eastAsia"/>
          <w:color w:val="000000" w:themeColor="text1"/>
          <w14:textFill>
            <w14:solidFill>
              <w14:schemeClr w14:val="tx1"/>
            </w14:solidFill>
          </w14:textFill>
        </w:rPr>
        <w:t>《北部湾港总体规划（2035年）》划定的规划围填海范围内，项目陆域范围及位置与规划范围一致。综上，本项目建设与</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北部湾港总体规划（2021～2035年）</w:t>
      </w:r>
      <w:r>
        <w:rPr>
          <w:color w:val="000000" w:themeColor="text1"/>
          <w14:textFill>
            <w14:solidFill>
              <w14:schemeClr w14:val="tx1"/>
            </w14:solidFill>
          </w14:textFill>
        </w:rPr>
        <w:t>》相符。</w:t>
      </w:r>
    </w:p>
    <w:p>
      <w:pPr>
        <w:pStyle w:val="283"/>
        <w:ind w:firstLine="462"/>
        <w:rPr>
          <w:color w:val="000000" w:themeColor="text1"/>
          <w14:textFill>
            <w14:solidFill>
              <w14:schemeClr w14:val="tx1"/>
            </w14:solidFill>
          </w14:textFill>
        </w:rPr>
      </w:pPr>
      <w:r>
        <w:rPr>
          <w:color w:val="000000" w:themeColor="text1"/>
          <w14:textFill>
            <w14:solidFill>
              <w14:schemeClr w14:val="tx1"/>
            </w14:solidFill>
          </w14:textFill>
        </w:rPr>
        <w:t>3、项目与规划环评符合性</w:t>
      </w:r>
    </w:p>
    <w:p>
      <w:pPr>
        <w:pStyle w:val="283"/>
        <w:ind w:firstLine="462"/>
        <w:rPr>
          <w:color w:val="000000" w:themeColor="text1"/>
          <w14:textFill>
            <w14:solidFill>
              <w14:schemeClr w14:val="tx1"/>
            </w14:solidFill>
          </w14:textFill>
        </w:rPr>
      </w:pPr>
      <w:r>
        <w:rPr>
          <w:color w:val="000000" w:themeColor="text1"/>
          <w14:textFill>
            <w14:solidFill>
              <w14:schemeClr w14:val="tx1"/>
            </w14:solidFill>
          </w14:textFill>
        </w:rPr>
        <w:t>《</w:t>
      </w:r>
      <w:r>
        <w:rPr>
          <w:rFonts w:hint="eastAsia"/>
          <w:color w:val="000000" w:themeColor="text1"/>
          <w14:textFill>
            <w14:solidFill>
              <w14:schemeClr w14:val="tx1"/>
            </w14:solidFill>
          </w14:textFill>
        </w:rPr>
        <w:t>北部湾港总体规划（2035年）环境影响报告书</w:t>
      </w:r>
      <w:r>
        <w:rPr>
          <w:color w:val="000000" w:themeColor="text1"/>
          <w14:textFill>
            <w14:solidFill>
              <w14:schemeClr w14:val="tx1"/>
            </w14:solidFill>
          </w14:textFill>
        </w:rPr>
        <w:t>》中未对</w:t>
      </w:r>
      <w:r>
        <w:rPr>
          <w:rFonts w:hint="eastAsia"/>
          <w:color w:val="000000" w:themeColor="text1"/>
          <w14:textFill>
            <w14:solidFill>
              <w14:schemeClr w14:val="tx1"/>
            </w14:solidFill>
          </w14:textFill>
        </w:rPr>
        <w:t>大榄坪</w:t>
      </w:r>
      <w:r>
        <w:rPr>
          <w:color w:val="000000" w:themeColor="text1"/>
          <w14:textFill>
            <w14:solidFill>
              <w14:schemeClr w14:val="tx1"/>
            </w14:solidFill>
          </w14:textFill>
        </w:rPr>
        <w:t>港区大榄坪南作业区提出规划优化调整建议，项目与规划环评相符性分析见表2.</w:t>
      </w:r>
      <w:r>
        <w:rPr>
          <w:rFonts w:hint="eastAsia"/>
          <w:color w:val="000000" w:themeColor="text1"/>
          <w14:textFill>
            <w14:solidFill>
              <w14:schemeClr w14:val="tx1"/>
            </w14:solidFill>
          </w14:textFill>
        </w:rPr>
        <w:t>5</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1</w:t>
      </w:r>
      <w:r>
        <w:rPr>
          <w:color w:val="000000" w:themeColor="text1"/>
          <w14:textFill>
            <w14:solidFill>
              <w14:schemeClr w14:val="tx1"/>
            </w14:solidFill>
          </w14:textFill>
        </w:rPr>
        <w:t>。经分析，拟建项目符合《</w:t>
      </w:r>
      <w:r>
        <w:rPr>
          <w:rFonts w:hint="eastAsia"/>
          <w:color w:val="000000" w:themeColor="text1"/>
          <w14:textFill>
            <w14:solidFill>
              <w14:schemeClr w14:val="tx1"/>
            </w14:solidFill>
          </w14:textFill>
        </w:rPr>
        <w:t>北部湾港总体规划（2035年）环境影响报告书</w:t>
      </w:r>
      <w:r>
        <w:rPr>
          <w:color w:val="000000" w:themeColor="text1"/>
          <w14:textFill>
            <w14:solidFill>
              <w14:schemeClr w14:val="tx1"/>
            </w14:solidFill>
          </w14:textFill>
        </w:rPr>
        <w:t>》有关要求，项目的建设将</w:t>
      </w:r>
      <w:r>
        <w:rPr>
          <w:rFonts w:hint="eastAsia"/>
          <w:color w:val="000000" w:themeColor="text1"/>
          <w14:textFill>
            <w14:solidFill>
              <w14:schemeClr w14:val="tx1"/>
            </w14:solidFill>
          </w14:textFill>
        </w:rPr>
        <w:t>完善</w:t>
      </w:r>
      <w:r>
        <w:rPr>
          <w:color w:val="000000" w:themeColor="text1"/>
          <w14:textFill>
            <w14:solidFill>
              <w14:schemeClr w14:val="tx1"/>
            </w14:solidFill>
          </w14:textFill>
        </w:rPr>
        <w:t>大榄坪南作业区集装箱泊位的建设，</w:t>
      </w:r>
      <w:r>
        <w:rPr>
          <w:rFonts w:hint="eastAsia"/>
          <w:color w:val="000000" w:themeColor="text1"/>
          <w14:textFill>
            <w14:solidFill>
              <w14:schemeClr w14:val="tx1"/>
            </w14:solidFill>
          </w14:textFill>
        </w:rPr>
        <w:t>加快北部湾港集约、高效的发展</w:t>
      </w:r>
      <w:r>
        <w:rPr>
          <w:color w:val="000000" w:themeColor="text1"/>
          <w14:textFill>
            <w14:solidFill>
              <w14:schemeClr w14:val="tx1"/>
            </w14:solidFill>
          </w14:textFill>
        </w:rPr>
        <w:t>。</w:t>
      </w:r>
    </w:p>
    <w:p>
      <w:pPr>
        <w:pStyle w:val="384"/>
        <w:ind w:left="0" w:firstLine="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拟建项目与规划环评及其审查意见相关要求情况对比</w:t>
      </w:r>
    </w:p>
    <w:tbl>
      <w:tblPr>
        <w:tblStyle w:val="88"/>
        <w:tblW w:w="8528" w:type="dxa"/>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774"/>
        <w:gridCol w:w="4296"/>
        <w:gridCol w:w="2459"/>
        <w:gridCol w:w="999"/>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149" w:hRule="atLeast"/>
          <w:tblHeader/>
        </w:trPr>
        <w:tc>
          <w:tcPr>
            <w:tcW w:w="774" w:type="dxa"/>
            <w:shd w:val="clear" w:color="auto" w:fill="auto"/>
            <w:vAlign w:val="center"/>
          </w:tcPr>
          <w:p>
            <w:pPr>
              <w:pStyle w:val="2001"/>
            </w:pPr>
            <w:r>
              <w:t>序号</w:t>
            </w:r>
          </w:p>
        </w:tc>
        <w:tc>
          <w:tcPr>
            <w:tcW w:w="4296" w:type="dxa"/>
            <w:shd w:val="clear" w:color="auto" w:fill="auto"/>
            <w:vAlign w:val="center"/>
          </w:tcPr>
          <w:p>
            <w:pPr>
              <w:pStyle w:val="2001"/>
            </w:pPr>
            <w:r>
              <w:t>规划环评</w:t>
            </w:r>
            <w:r>
              <w:rPr>
                <w:rFonts w:hint="eastAsia"/>
              </w:rPr>
              <w:t>要求及结论</w:t>
            </w:r>
          </w:p>
        </w:tc>
        <w:tc>
          <w:tcPr>
            <w:tcW w:w="2459" w:type="dxa"/>
            <w:shd w:val="clear" w:color="auto" w:fill="auto"/>
            <w:vAlign w:val="center"/>
          </w:tcPr>
          <w:p>
            <w:pPr>
              <w:pStyle w:val="2001"/>
            </w:pPr>
            <w:r>
              <w:t>本项目</w:t>
            </w:r>
          </w:p>
        </w:tc>
        <w:tc>
          <w:tcPr>
            <w:tcW w:w="999" w:type="dxa"/>
            <w:shd w:val="clear" w:color="auto" w:fill="auto"/>
            <w:vAlign w:val="center"/>
          </w:tcPr>
          <w:p>
            <w:pPr>
              <w:pStyle w:val="2001"/>
            </w:pPr>
            <w:r>
              <w:t>相符</w:t>
            </w:r>
          </w:p>
          <w:p>
            <w:pPr>
              <w:pStyle w:val="2001"/>
            </w:pPr>
            <w:r>
              <w:t>情况</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149" w:hRule="atLeast"/>
        </w:trPr>
        <w:tc>
          <w:tcPr>
            <w:tcW w:w="774" w:type="dxa"/>
            <w:shd w:val="clear" w:color="auto" w:fill="auto"/>
            <w:vAlign w:val="center"/>
          </w:tcPr>
          <w:p>
            <w:pPr>
              <w:pStyle w:val="2001"/>
            </w:pPr>
            <w:r>
              <w:t>1</w:t>
            </w:r>
          </w:p>
        </w:tc>
        <w:tc>
          <w:tcPr>
            <w:tcW w:w="4296" w:type="dxa"/>
            <w:shd w:val="clear" w:color="auto" w:fill="auto"/>
            <w:vAlign w:val="center"/>
          </w:tcPr>
          <w:p>
            <w:pPr>
              <w:pStyle w:val="2001"/>
            </w:pPr>
            <w:r>
              <w:rPr>
                <w:rFonts w:hint="eastAsia"/>
              </w:rPr>
              <w:t>本次规划</w:t>
            </w:r>
            <w:r>
              <w:rPr>
                <w:rFonts w:hint="eastAsia"/>
                <w:lang w:eastAsia="zh-CN"/>
              </w:rPr>
              <w:t>……</w:t>
            </w:r>
            <w:r>
              <w:rPr>
                <w:rFonts w:hint="eastAsia"/>
              </w:rPr>
              <w:t>、金鼓江作业区、金鼓江北作业区、大榄坪作业区，.......、合浦港点邻近红树林，距离均在1km范围内。</w:t>
            </w:r>
          </w:p>
          <w:p>
            <w:pPr>
              <w:pStyle w:val="2001"/>
            </w:pPr>
            <w:r>
              <w:rPr>
                <w:rFonts w:hint="eastAsia"/>
              </w:rPr>
              <w:t>上述作业区具体建设项目施工期，应严格控制施工范围，避免对周边现状红树林造成破坏；涉水作业应采取防污帘等水污染物防治措施，控制施工悬浮物的产生；在施工和营运期加强对周边水域及敏感点的水质监测，做好码头污水的妥善收集处理；加强环境风险防范，避免码头施工及运营对红树林及其生态系统的不利影响。</w:t>
            </w:r>
          </w:p>
        </w:tc>
        <w:tc>
          <w:tcPr>
            <w:tcW w:w="2459" w:type="dxa"/>
            <w:shd w:val="clear" w:color="auto" w:fill="auto"/>
            <w:vAlign w:val="center"/>
          </w:tcPr>
          <w:p>
            <w:pPr>
              <w:pStyle w:val="2001"/>
            </w:pPr>
            <w:r>
              <w:t>本项目</w:t>
            </w:r>
            <w:r>
              <w:rPr>
                <w:rFonts w:hint="eastAsia"/>
              </w:rPr>
              <w:t>位于大榄坪港区大榄坪南作业区，距离红树林集中分布区最近约6.3km，项目建设范围内无红树林分布，施工期悬浮物扩散对评价范围内红树林基本无影响。运营期</w:t>
            </w:r>
            <w:r>
              <w:t>码头污水均不外排，通过新增溢油事故应急设备等措施，环境风险可控。</w:t>
            </w:r>
          </w:p>
        </w:tc>
        <w:tc>
          <w:tcPr>
            <w:tcW w:w="999" w:type="dxa"/>
            <w:shd w:val="clear" w:color="auto" w:fill="auto"/>
            <w:vAlign w:val="center"/>
          </w:tcPr>
          <w:p>
            <w:pPr>
              <w:pStyle w:val="2001"/>
            </w:pPr>
            <w:r>
              <w:t>相符</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149" w:hRule="atLeast"/>
        </w:trPr>
        <w:tc>
          <w:tcPr>
            <w:tcW w:w="774" w:type="dxa"/>
            <w:shd w:val="clear" w:color="auto" w:fill="auto"/>
            <w:vAlign w:val="center"/>
          </w:tcPr>
          <w:p>
            <w:pPr>
              <w:pStyle w:val="2001"/>
            </w:pPr>
            <w:r>
              <w:t>2</w:t>
            </w:r>
          </w:p>
        </w:tc>
        <w:tc>
          <w:tcPr>
            <w:tcW w:w="4296" w:type="dxa"/>
            <w:shd w:val="clear" w:color="auto" w:fill="auto"/>
            <w:vAlign w:val="center"/>
          </w:tcPr>
          <w:p>
            <w:pPr>
              <w:pStyle w:val="2001"/>
            </w:pPr>
            <w:r>
              <w:rPr>
                <w:rFonts w:hint="eastAsia"/>
              </w:rPr>
              <w:t>重视并统筹安排港口、航道等水运工程建设的生态修复及渔民补偿安置工作，建议规划实施过程中应制定和落实生态修复、渔民补偿安置计划和分步实施方案，通过渔业增殖放流、鱼礁建设、渔民补偿安置等方式，有计划、有步骤、有目的针对港口发展造成的生态和渔业损失进行补偿。</w:t>
            </w:r>
          </w:p>
        </w:tc>
        <w:tc>
          <w:tcPr>
            <w:tcW w:w="2459" w:type="dxa"/>
            <w:shd w:val="clear" w:color="auto" w:fill="auto"/>
            <w:vAlign w:val="center"/>
          </w:tcPr>
          <w:p>
            <w:pPr>
              <w:pStyle w:val="2001"/>
            </w:pPr>
            <w:r>
              <w:t>本项目</w:t>
            </w:r>
            <w:r>
              <w:rPr>
                <w:rFonts w:hint="eastAsia"/>
              </w:rPr>
              <w:t>陆域工程依托钦州保税港区昊鼎仓储物流中心项目，该项目已编制《钦州保税港区昊鼎仓储物流中心项目围填海历史遗留问题生态保护修复方案》进行增殖放流及生态绿网修复；本项目疏浚、炸礁及水工结构永久占用海域在本次评价中提出生态损失补偿并纳入环保投资</w:t>
            </w:r>
            <w:r>
              <w:t>。</w:t>
            </w:r>
          </w:p>
        </w:tc>
        <w:tc>
          <w:tcPr>
            <w:tcW w:w="999" w:type="dxa"/>
            <w:shd w:val="clear" w:color="auto" w:fill="auto"/>
            <w:vAlign w:val="center"/>
          </w:tcPr>
          <w:p>
            <w:pPr>
              <w:pStyle w:val="2001"/>
            </w:pPr>
            <w:r>
              <w:t>相符</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149" w:hRule="atLeast"/>
        </w:trPr>
        <w:tc>
          <w:tcPr>
            <w:tcW w:w="774" w:type="dxa"/>
            <w:shd w:val="clear" w:color="auto" w:fill="auto"/>
            <w:vAlign w:val="center"/>
          </w:tcPr>
          <w:p>
            <w:pPr>
              <w:pStyle w:val="2001"/>
            </w:pPr>
            <w:r>
              <w:t>3</w:t>
            </w:r>
          </w:p>
        </w:tc>
        <w:tc>
          <w:tcPr>
            <w:tcW w:w="4296" w:type="dxa"/>
            <w:shd w:val="clear" w:color="auto" w:fill="auto"/>
            <w:vAlign w:val="center"/>
          </w:tcPr>
          <w:p>
            <w:pPr>
              <w:pStyle w:val="2001"/>
            </w:pPr>
            <w:r>
              <w:rPr>
                <w:rFonts w:hint="eastAsia"/>
              </w:rPr>
              <w:t>本次规划渔澫港区、企沙南港区、大榄坪港区、三墩港区、铁山西港区、合浦港点的部分区域占用了《广西壮族自治区近岸海域环境功能区划》的二类环境功能区，与水质目标要求以及《近岸海域环境功能区管理办法》的管理要求不符。目前，自治区生态环境厅已经启动新一轮的《广西壮族自治区近岸海域环境功能区划》调整工作。经与自治区生态环境厅沟通协调，本次规划与调整后的近岸海域环境功能区划不存在冲突。建议近岸海域功能区划调整批复前，规划相关项目不得实施。</w:t>
            </w:r>
          </w:p>
        </w:tc>
        <w:tc>
          <w:tcPr>
            <w:tcW w:w="2459" w:type="dxa"/>
            <w:shd w:val="clear" w:color="auto" w:fill="auto"/>
            <w:vAlign w:val="center"/>
          </w:tcPr>
          <w:p>
            <w:pPr>
              <w:pStyle w:val="2001"/>
            </w:pPr>
            <w:r>
              <w:t>本项目位于大榄坪港区</w:t>
            </w:r>
            <w:r>
              <w:rPr>
                <w:rFonts w:hint="eastAsia"/>
              </w:rPr>
              <w:t>大榄坪</w:t>
            </w:r>
            <w:r>
              <w:t>南作业区，</w:t>
            </w:r>
            <w:r>
              <w:rPr>
                <w:rFonts w:hint="eastAsia"/>
              </w:rPr>
              <w:t>工程</w:t>
            </w:r>
            <w:r>
              <w:t>内容均位于</w:t>
            </w:r>
            <w:r>
              <w:rPr>
                <w:rFonts w:hint="eastAsia"/>
              </w:rPr>
              <w:t>《广西壮族自治区近岸海域环境功能区规划》的四类环境功能区，与《近岸海域环境功能区管理办法》的管理要求相符</w:t>
            </w:r>
            <w:r>
              <w:t>。</w:t>
            </w:r>
          </w:p>
        </w:tc>
        <w:tc>
          <w:tcPr>
            <w:tcW w:w="999" w:type="dxa"/>
            <w:shd w:val="clear" w:color="auto" w:fill="auto"/>
            <w:vAlign w:val="center"/>
          </w:tcPr>
          <w:p>
            <w:pPr>
              <w:pStyle w:val="2001"/>
            </w:pPr>
            <w:r>
              <w:t>相符</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149" w:hRule="atLeast"/>
        </w:trPr>
        <w:tc>
          <w:tcPr>
            <w:tcW w:w="774" w:type="dxa"/>
            <w:shd w:val="clear" w:color="auto" w:fill="auto"/>
            <w:vAlign w:val="center"/>
          </w:tcPr>
          <w:p>
            <w:pPr>
              <w:pStyle w:val="2001"/>
            </w:pPr>
            <w:r>
              <w:t>4</w:t>
            </w:r>
          </w:p>
        </w:tc>
        <w:tc>
          <w:tcPr>
            <w:tcW w:w="4296" w:type="dxa"/>
            <w:shd w:val="clear" w:color="auto" w:fill="auto"/>
            <w:vAlign w:val="center"/>
          </w:tcPr>
          <w:p>
            <w:pPr>
              <w:pStyle w:val="2001"/>
            </w:pPr>
            <w:r>
              <w:rPr>
                <w:rFonts w:hint="eastAsia"/>
              </w:rPr>
              <w:t>强化环境污染防治。落实港口和船舶污水收集处理方案，确保港口船舶污染物充分有效处置。针对城市基础设施未完全覆盖的港区，应采取有效可行的水污染防治、固废处理处置措施，依法依规妥善处置危险废物。加强扬尘污染防治，干散货装卸、储运应优先采取封闭防治措施。严格控制船舶大气污染物排放，码头建设应同步配套岸电设施。</w:t>
            </w:r>
          </w:p>
        </w:tc>
        <w:tc>
          <w:tcPr>
            <w:tcW w:w="2459" w:type="dxa"/>
            <w:shd w:val="clear" w:color="auto" w:fill="auto"/>
            <w:vAlign w:val="center"/>
          </w:tcPr>
          <w:p>
            <w:pPr>
              <w:pStyle w:val="2001"/>
            </w:pPr>
            <w:r>
              <w:t>本项目到港船舶污染物均由有资质单位转运处理，陆域生活垃圾由环保部门清运，生活污水进入大榄坪污水处理厂不外排。</w:t>
            </w:r>
          </w:p>
        </w:tc>
        <w:tc>
          <w:tcPr>
            <w:tcW w:w="999" w:type="dxa"/>
            <w:shd w:val="clear" w:color="auto" w:fill="auto"/>
            <w:vAlign w:val="center"/>
          </w:tcPr>
          <w:p>
            <w:pPr>
              <w:pStyle w:val="2001"/>
            </w:pPr>
            <w:r>
              <w:t>相符</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149" w:hRule="atLeast"/>
        </w:trPr>
        <w:tc>
          <w:tcPr>
            <w:tcW w:w="774" w:type="dxa"/>
            <w:shd w:val="clear" w:color="auto" w:fill="auto"/>
            <w:vAlign w:val="center"/>
          </w:tcPr>
          <w:p>
            <w:pPr>
              <w:pStyle w:val="2001"/>
            </w:pPr>
            <w:r>
              <w:rPr>
                <w:rFonts w:hint="eastAsia"/>
              </w:rPr>
              <w:t>5</w:t>
            </w:r>
          </w:p>
        </w:tc>
        <w:tc>
          <w:tcPr>
            <w:tcW w:w="4296" w:type="dxa"/>
            <w:shd w:val="clear" w:color="auto" w:fill="auto"/>
            <w:vAlign w:val="center"/>
          </w:tcPr>
          <w:p>
            <w:pPr>
              <w:pStyle w:val="2001"/>
            </w:pPr>
            <w:r>
              <w:rPr>
                <w:rFonts w:hint="eastAsia"/>
              </w:rPr>
              <w:t>加强环境风险事故防范。强化溢油及危险化学品泄漏事故的应急能力建设，各港区编制污染事故应急预案，配备溢油及化学品应急设备设施；建立应急响应区域联动机制，防范和减缓可能发生的溢油及危险品泄漏事故的不利影响。结合化工品的货种以及液体散货码头区的详细规划和设计做好安全评价和风险评估，加强码头及后方仓储区的风险防范工作。</w:t>
            </w:r>
          </w:p>
        </w:tc>
        <w:tc>
          <w:tcPr>
            <w:tcW w:w="2459" w:type="dxa"/>
            <w:shd w:val="clear" w:color="auto" w:fill="auto"/>
            <w:vAlign w:val="center"/>
          </w:tcPr>
          <w:p>
            <w:pPr>
              <w:pStyle w:val="2001"/>
            </w:pPr>
            <w:r>
              <w:t>本项目为自动化集装箱码头，不涉及危险化学品运输，现有</w:t>
            </w:r>
            <w:r>
              <w:rPr>
                <w:rFonts w:hint="eastAsia"/>
              </w:rPr>
              <w:t>泊位已编制污染事故应急预案并配备溢油应急设施。</w:t>
            </w:r>
          </w:p>
        </w:tc>
        <w:tc>
          <w:tcPr>
            <w:tcW w:w="999" w:type="dxa"/>
            <w:shd w:val="clear" w:color="auto" w:fill="auto"/>
            <w:vAlign w:val="center"/>
          </w:tcPr>
          <w:p>
            <w:pPr>
              <w:pStyle w:val="2001"/>
            </w:pPr>
            <w:r>
              <w:t>相符</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149" w:hRule="atLeast"/>
        </w:trPr>
        <w:tc>
          <w:tcPr>
            <w:tcW w:w="774" w:type="dxa"/>
            <w:shd w:val="clear" w:color="auto" w:fill="auto"/>
            <w:vAlign w:val="center"/>
          </w:tcPr>
          <w:p>
            <w:pPr>
              <w:pStyle w:val="2001"/>
            </w:pPr>
            <w:r>
              <w:rPr>
                <w:rFonts w:hint="eastAsia"/>
              </w:rPr>
              <w:t>6</w:t>
            </w:r>
          </w:p>
        </w:tc>
        <w:tc>
          <w:tcPr>
            <w:tcW w:w="4296" w:type="dxa"/>
            <w:shd w:val="clear" w:color="auto" w:fill="auto"/>
            <w:vAlign w:val="center"/>
          </w:tcPr>
          <w:p>
            <w:pPr>
              <w:pStyle w:val="2001"/>
            </w:pPr>
            <w:r>
              <w:rPr>
                <w:rFonts w:hint="eastAsia"/>
              </w:rPr>
              <w:t>规划实施过程中，建立完善环境质量、湿地生态系统、珍稀保护物种、重要生境、渔业资源等的长期监测监控体系，明确工作任务、责任主体、投资来源、实施时限等。根据生态环境质量监测变化情况，及时优化调整港口规划内容，并完善相应的生态环境保护措施，加强运营管理。</w:t>
            </w:r>
          </w:p>
        </w:tc>
        <w:tc>
          <w:tcPr>
            <w:tcW w:w="2459" w:type="dxa"/>
            <w:shd w:val="clear" w:color="auto" w:fill="auto"/>
            <w:vAlign w:val="center"/>
          </w:tcPr>
          <w:p>
            <w:pPr>
              <w:pStyle w:val="2001"/>
            </w:pPr>
            <w:r>
              <w:t>项目运营期间将建立长期监测体系，开展必要的环境监测，确保区域环境质量达标。</w:t>
            </w:r>
          </w:p>
        </w:tc>
        <w:tc>
          <w:tcPr>
            <w:tcW w:w="999" w:type="dxa"/>
            <w:shd w:val="clear" w:color="auto" w:fill="auto"/>
            <w:vAlign w:val="center"/>
          </w:tcPr>
          <w:p>
            <w:pPr>
              <w:pStyle w:val="2001"/>
            </w:pPr>
            <w:r>
              <w:t>相符</w:t>
            </w:r>
          </w:p>
        </w:tc>
      </w:tr>
    </w:tbl>
    <w:p>
      <w:pPr>
        <w:pStyle w:val="5"/>
        <w:ind w:left="0" w:firstLine="0"/>
        <w:rPr>
          <w:color w:val="000000" w:themeColor="text1"/>
          <w:u w:val="single"/>
          <w14:textFill>
            <w14:solidFill>
              <w14:schemeClr w14:val="tx1"/>
            </w14:solidFill>
          </w14:textFill>
        </w:rPr>
      </w:pPr>
      <w:r>
        <w:rPr>
          <w:rFonts w:hint="eastAsia"/>
          <w:color w:val="000000" w:themeColor="text1"/>
          <w:u w:val="single"/>
          <w14:textFill>
            <w14:solidFill>
              <w14:schemeClr w14:val="tx1"/>
            </w14:solidFill>
          </w14:textFill>
        </w:rPr>
        <w:t>与《广西壮族自治区生态环境准入及管控要求清单（试行）》（2023年）的相符性</w:t>
      </w:r>
    </w:p>
    <w:p>
      <w:pPr>
        <w:pStyle w:val="283"/>
        <w:ind w:firstLine="462"/>
        <w:rPr>
          <w:color w:val="000000" w:themeColor="text1"/>
          <w14:textFill>
            <w14:solidFill>
              <w14:schemeClr w14:val="tx1"/>
            </w14:solidFill>
          </w14:textFill>
        </w:rPr>
      </w:pPr>
      <w:r>
        <w:rPr>
          <w:rFonts w:hint="eastAsia"/>
          <w:color w:val="000000" w:themeColor="text1"/>
          <w14:textFill>
            <w14:solidFill>
              <w14:schemeClr w14:val="tx1"/>
            </w14:solidFill>
          </w14:textFill>
        </w:rPr>
        <w:t>为落实《全国国土空间规划纲要(2021－2035年)》、国家“十四五”生态环境保护相关规划中关于生态保护红线、环境质量底线、资源利用上线最新要求，广西壮族自治区生态环境厅发布《广西壮族自治区生态环境准入及管控要求清单（试行）》（2023年）》，其中包括自治区总体生态环境准入及控制要求、四大板块生态环境总体准入及管控要求，四大板块分为北部湾经济区、左右江革命老区、西江经济带、桂林国际旅游胜地。本项目位于北部湾港钦州港域，项目建设涉及近岸海域重点管控单元，本项目与《广西壮族自治区生态环境准入及管控要求清单（试行）》（2023年）中近岸海域准入及管控要求、北部湾经济区准入及管控要求符合性分别见下表2.5-2、表2.5-3。由表可知，本项目与《广西壮族自治区生态环境准入及管控要求清单（试行）》（2023年）管控要求相符。</w:t>
      </w:r>
    </w:p>
    <w:p>
      <w:pPr>
        <w:pStyle w:val="5"/>
        <w:rPr>
          <w:color w:val="000000" w:themeColor="text1"/>
          <w14:textFill>
            <w14:solidFill>
              <w14:schemeClr w14:val="tx1"/>
            </w14:solidFill>
          </w14:textFill>
        </w:rPr>
      </w:pPr>
      <w:r>
        <w:rPr>
          <w:rFonts w:hint="eastAsia"/>
          <w:color w:val="000000" w:themeColor="text1"/>
          <w14:textFill>
            <w14:solidFill>
              <w14:schemeClr w14:val="tx1"/>
            </w14:solidFill>
          </w14:textFill>
        </w:rPr>
        <w:t>生态环境分区管控实施意见</w:t>
      </w:r>
      <w:r>
        <w:rPr>
          <w:color w:val="000000" w:themeColor="text1"/>
          <w14:textFill>
            <w14:solidFill>
              <w14:schemeClr w14:val="tx1"/>
            </w14:solidFill>
          </w14:textFill>
        </w:rPr>
        <w:t>相符性分析</w:t>
      </w:r>
    </w:p>
    <w:p>
      <w:pPr>
        <w:pStyle w:val="283"/>
        <w:ind w:firstLine="462"/>
        <w:rPr>
          <w:color w:val="000000" w:themeColor="text1"/>
          <w:lang w:val="zh-CN"/>
          <w14:textFill>
            <w14:solidFill>
              <w14:schemeClr w14:val="tx1"/>
            </w14:solidFill>
          </w14:textFill>
        </w:rPr>
      </w:pPr>
      <w:r>
        <w:rPr>
          <w:rFonts w:hint="eastAsia"/>
          <w:color w:val="000000" w:themeColor="text1"/>
          <w:lang w:val="zh-CN"/>
          <w14:textFill>
            <w14:solidFill>
              <w14:schemeClr w14:val="tx1"/>
            </w14:solidFill>
          </w14:textFill>
        </w:rPr>
        <w:t>根据《钦州市人民政府关于印发钦州市“三线一单”生态环境分区管控实施意见的通知》（钦政发〔2021〕13号）、钦州市生态环境局关于印发《钦州市环境管控单元生态环境准入及管控要求清单（试行）》的通知（钦环发〔2022〕3号），项目位于广西钦州保税港区重点管控单元，项目与广西钦州保税港区重点管控要求相符性见表2.5-4。对照生态准入及管控要求，本项目与</w:t>
      </w:r>
      <w:bookmarkStart w:id="124" w:name="_Hlk101969170"/>
      <w:r>
        <w:rPr>
          <w:rFonts w:hint="eastAsia"/>
          <w:color w:val="000000" w:themeColor="text1"/>
          <w:lang w:val="zh-CN"/>
          <w14:textFill>
            <w14:solidFill>
              <w14:schemeClr w14:val="tx1"/>
            </w14:solidFill>
          </w14:textFill>
        </w:rPr>
        <w:t>广西钦州保税港区重点管控单元管控</w:t>
      </w:r>
      <w:bookmarkEnd w:id="124"/>
      <w:r>
        <w:rPr>
          <w:rFonts w:hint="eastAsia"/>
          <w:color w:val="000000" w:themeColor="text1"/>
          <w:lang w:val="zh-CN"/>
          <w14:textFill>
            <w14:solidFill>
              <w14:schemeClr w14:val="tx1"/>
            </w14:solidFill>
          </w14:textFill>
        </w:rPr>
        <w:t>要求相符的。</w:t>
      </w:r>
    </w:p>
    <w:p>
      <w:pPr>
        <w:pStyle w:val="283"/>
        <w:ind w:firstLine="462"/>
        <w:rPr>
          <w:color w:val="000000" w:themeColor="text1"/>
          <w14:textFill>
            <w14:solidFill>
              <w14:schemeClr w14:val="tx1"/>
            </w14:solidFill>
          </w14:textFill>
        </w:rPr>
        <w:sectPr>
          <w:headerReference r:id="rId22" w:type="even"/>
          <w:pgSz w:w="11907" w:h="16840"/>
          <w:pgMar w:top="1440" w:right="1514" w:bottom="1440" w:left="1797" w:header="992" w:footer="851" w:gutter="284"/>
          <w:pgNumType w:fmt="numberInDash"/>
          <w:cols w:space="425" w:num="1"/>
          <w:docGrid w:type="linesAndChars" w:linePitch="465" w:charSpace="-1866"/>
        </w:sectPr>
      </w:pPr>
    </w:p>
    <w:p>
      <w:pPr>
        <w:pStyle w:val="384"/>
        <w:ind w:left="0" w:firstLine="528"/>
        <w:rPr>
          <w:color w:val="000000" w:themeColor="text1"/>
          <w:u w:val="single"/>
          <w14:textFill>
            <w14:solidFill>
              <w14:schemeClr w14:val="tx1"/>
            </w14:solidFill>
          </w14:textFill>
        </w:rPr>
      </w:pPr>
      <w:r>
        <w:rPr>
          <w:rFonts w:hint="eastAsia"/>
          <w:color w:val="000000" w:themeColor="text1"/>
          <w:u w:val="single"/>
          <w14:textFill>
            <w14:solidFill>
              <w14:schemeClr w14:val="tx1"/>
            </w14:solidFill>
          </w14:textFill>
        </w:rPr>
        <w:t>近岸海域准入及管控要求一览表</w:t>
      </w:r>
    </w:p>
    <w:tbl>
      <w:tblPr>
        <w:tblStyle w:val="89"/>
        <w:tblW w:w="14176" w:type="dxa"/>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659"/>
        <w:gridCol w:w="755"/>
        <w:gridCol w:w="821"/>
        <w:gridCol w:w="7087"/>
        <w:gridCol w:w="4854"/>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blHeader/>
        </w:trPr>
        <w:tc>
          <w:tcPr>
            <w:tcW w:w="659" w:type="dxa"/>
            <w:vAlign w:val="center"/>
          </w:tcPr>
          <w:p>
            <w:pPr>
              <w:pStyle w:val="384"/>
              <w:numPr>
                <w:ilvl w:val="0"/>
                <w:numId w:val="0"/>
              </w:numPr>
              <w:rPr>
                <w:color w:val="000000" w:themeColor="text1"/>
                <w:sz w:val="21"/>
                <w:szCs w:val="21"/>
                <w:u w:val="single"/>
                <w14:textFill>
                  <w14:solidFill>
                    <w14:schemeClr w14:val="tx1"/>
                  </w14:solidFill>
                </w14:textFill>
              </w:rPr>
            </w:pPr>
            <w:r>
              <w:rPr>
                <w:rFonts w:hint="eastAsia"/>
                <w:color w:val="000000" w:themeColor="text1"/>
                <w:sz w:val="21"/>
                <w:szCs w:val="21"/>
                <w:u w:val="single"/>
                <w14:textFill>
                  <w14:solidFill>
                    <w14:schemeClr w14:val="tx1"/>
                  </w14:solidFill>
                </w14:textFill>
              </w:rPr>
              <w:t>适用分区</w:t>
            </w:r>
          </w:p>
        </w:tc>
        <w:tc>
          <w:tcPr>
            <w:tcW w:w="755" w:type="dxa"/>
            <w:vAlign w:val="center"/>
          </w:tcPr>
          <w:p>
            <w:pPr>
              <w:pStyle w:val="384"/>
              <w:numPr>
                <w:ilvl w:val="0"/>
                <w:numId w:val="0"/>
              </w:numPr>
              <w:rPr>
                <w:color w:val="000000" w:themeColor="text1"/>
                <w:sz w:val="21"/>
                <w:szCs w:val="21"/>
                <w:u w:val="single"/>
                <w14:textFill>
                  <w14:solidFill>
                    <w14:schemeClr w14:val="tx1"/>
                  </w14:solidFill>
                </w14:textFill>
              </w:rPr>
            </w:pPr>
            <w:r>
              <w:rPr>
                <w:rFonts w:hint="eastAsia"/>
                <w:color w:val="000000" w:themeColor="text1"/>
                <w:sz w:val="21"/>
                <w:szCs w:val="21"/>
                <w:u w:val="single"/>
                <w14:textFill>
                  <w14:solidFill>
                    <w14:schemeClr w14:val="tx1"/>
                  </w14:solidFill>
                </w14:textFill>
              </w:rPr>
              <w:t>适用对象</w:t>
            </w:r>
          </w:p>
        </w:tc>
        <w:tc>
          <w:tcPr>
            <w:tcW w:w="821" w:type="dxa"/>
            <w:vAlign w:val="center"/>
          </w:tcPr>
          <w:p>
            <w:pPr>
              <w:pStyle w:val="384"/>
              <w:numPr>
                <w:ilvl w:val="0"/>
                <w:numId w:val="0"/>
              </w:numPr>
              <w:rPr>
                <w:color w:val="000000" w:themeColor="text1"/>
                <w:sz w:val="21"/>
                <w:szCs w:val="21"/>
                <w:u w:val="single"/>
                <w14:textFill>
                  <w14:solidFill>
                    <w14:schemeClr w14:val="tx1"/>
                  </w14:solidFill>
                </w14:textFill>
              </w:rPr>
            </w:pPr>
            <w:r>
              <w:rPr>
                <w:rFonts w:hint="eastAsia"/>
                <w:color w:val="000000" w:themeColor="text1"/>
                <w:sz w:val="21"/>
                <w:szCs w:val="21"/>
                <w:u w:val="single"/>
                <w14:textFill>
                  <w14:solidFill>
                    <w14:schemeClr w14:val="tx1"/>
                  </w14:solidFill>
                </w14:textFill>
              </w:rPr>
              <w:t>管控要求类别</w:t>
            </w:r>
          </w:p>
        </w:tc>
        <w:tc>
          <w:tcPr>
            <w:tcW w:w="7087" w:type="dxa"/>
            <w:vAlign w:val="center"/>
          </w:tcPr>
          <w:p>
            <w:pPr>
              <w:pStyle w:val="384"/>
              <w:numPr>
                <w:ilvl w:val="0"/>
                <w:numId w:val="0"/>
              </w:numPr>
              <w:rPr>
                <w:color w:val="000000" w:themeColor="text1"/>
                <w:sz w:val="21"/>
                <w:szCs w:val="21"/>
                <w:u w:val="single"/>
                <w14:textFill>
                  <w14:solidFill>
                    <w14:schemeClr w14:val="tx1"/>
                  </w14:solidFill>
                </w14:textFill>
              </w:rPr>
            </w:pPr>
            <w:r>
              <w:rPr>
                <w:rFonts w:hint="eastAsia"/>
                <w:color w:val="000000" w:themeColor="text1"/>
                <w:sz w:val="21"/>
                <w:szCs w:val="21"/>
                <w:u w:val="single"/>
                <w14:textFill>
                  <w14:solidFill>
                    <w14:schemeClr w14:val="tx1"/>
                  </w14:solidFill>
                </w14:textFill>
              </w:rPr>
              <w:t>生态环境准入及管控要求</w:t>
            </w:r>
          </w:p>
        </w:tc>
        <w:tc>
          <w:tcPr>
            <w:tcW w:w="4854" w:type="dxa"/>
            <w:vAlign w:val="center"/>
          </w:tcPr>
          <w:p>
            <w:pPr>
              <w:pStyle w:val="384"/>
              <w:numPr>
                <w:ilvl w:val="0"/>
                <w:numId w:val="0"/>
              </w:numPr>
              <w:rPr>
                <w:color w:val="000000" w:themeColor="text1"/>
                <w:sz w:val="21"/>
                <w:szCs w:val="21"/>
                <w:u w:val="single"/>
                <w14:textFill>
                  <w14:solidFill>
                    <w14:schemeClr w14:val="tx1"/>
                  </w14:solidFill>
                </w14:textFill>
              </w:rPr>
            </w:pPr>
            <w:r>
              <w:rPr>
                <w:rFonts w:hint="eastAsia"/>
                <w:color w:val="000000" w:themeColor="text1"/>
                <w:sz w:val="21"/>
                <w:szCs w:val="21"/>
                <w:u w:val="single"/>
                <w14:textFill>
                  <w14:solidFill>
                    <w14:schemeClr w14:val="tx1"/>
                  </w14:solidFill>
                </w14:textFill>
              </w:rPr>
              <w:t>相符性分析</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c>
          <w:tcPr>
            <w:tcW w:w="14176" w:type="dxa"/>
            <w:gridSpan w:val="5"/>
          </w:tcPr>
          <w:p>
            <w:pPr>
              <w:pStyle w:val="384"/>
              <w:numPr>
                <w:ilvl w:val="0"/>
                <w:numId w:val="0"/>
              </w:numPr>
              <w:rPr>
                <w:color w:val="000000" w:themeColor="text1"/>
                <w:sz w:val="21"/>
                <w:szCs w:val="21"/>
                <w:u w:val="single"/>
                <w14:textFill>
                  <w14:solidFill>
                    <w14:schemeClr w14:val="tx1"/>
                  </w14:solidFill>
                </w14:textFill>
              </w:rPr>
            </w:pPr>
            <w:r>
              <w:rPr>
                <w:rFonts w:hint="eastAsia"/>
                <w:color w:val="000000" w:themeColor="text1"/>
                <w:sz w:val="21"/>
                <w:szCs w:val="21"/>
                <w:u w:val="single"/>
                <w14:textFill>
                  <w14:solidFill>
                    <w14:schemeClr w14:val="tx1"/>
                  </w14:solidFill>
                </w14:textFill>
              </w:rPr>
              <w:t>近岸海域总体准入要求</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c>
          <w:tcPr>
            <w:tcW w:w="659" w:type="dxa"/>
            <w:vAlign w:val="center"/>
          </w:tcPr>
          <w:p>
            <w:pPr>
              <w:pStyle w:val="384"/>
              <w:numPr>
                <w:ilvl w:val="0"/>
                <w:numId w:val="0"/>
              </w:numPr>
              <w:rPr>
                <w:b w:val="0"/>
                <w:color w:val="000000" w:themeColor="text1"/>
                <w:sz w:val="21"/>
                <w:szCs w:val="21"/>
                <w:u w:val="single"/>
                <w14:textFill>
                  <w14:solidFill>
                    <w14:schemeClr w14:val="tx1"/>
                  </w14:solidFill>
                </w14:textFill>
              </w:rPr>
            </w:pPr>
            <w:r>
              <w:rPr>
                <w:rFonts w:hint="eastAsia"/>
                <w:b w:val="0"/>
                <w:color w:val="000000" w:themeColor="text1"/>
                <w:sz w:val="21"/>
                <w:szCs w:val="21"/>
                <w:u w:val="single"/>
                <w14:textFill>
                  <w14:solidFill>
                    <w14:schemeClr w14:val="tx1"/>
                  </w14:solidFill>
                </w14:textFill>
              </w:rPr>
              <w:t>全自治区海域</w:t>
            </w:r>
          </w:p>
        </w:tc>
        <w:tc>
          <w:tcPr>
            <w:tcW w:w="755" w:type="dxa"/>
            <w:vAlign w:val="center"/>
          </w:tcPr>
          <w:p>
            <w:pPr>
              <w:pStyle w:val="384"/>
              <w:numPr>
                <w:ilvl w:val="0"/>
                <w:numId w:val="0"/>
              </w:numPr>
              <w:rPr>
                <w:b w:val="0"/>
                <w:color w:val="000000" w:themeColor="text1"/>
                <w:sz w:val="21"/>
                <w:szCs w:val="21"/>
                <w:u w:val="single"/>
                <w14:textFill>
                  <w14:solidFill>
                    <w14:schemeClr w14:val="tx1"/>
                  </w14:solidFill>
                </w14:textFill>
              </w:rPr>
            </w:pPr>
            <w:r>
              <w:rPr>
                <w:rFonts w:hint="eastAsia"/>
                <w:b w:val="0"/>
                <w:color w:val="000000" w:themeColor="text1"/>
                <w:sz w:val="21"/>
                <w:szCs w:val="21"/>
                <w:u w:val="single"/>
                <w14:textFill>
                  <w14:solidFill>
                    <w14:schemeClr w14:val="tx1"/>
                  </w14:solidFill>
                </w14:textFill>
              </w:rPr>
              <w:t>全自治区海域</w:t>
            </w:r>
          </w:p>
        </w:tc>
        <w:tc>
          <w:tcPr>
            <w:tcW w:w="821" w:type="dxa"/>
            <w:vAlign w:val="center"/>
          </w:tcPr>
          <w:p>
            <w:pPr>
              <w:pStyle w:val="384"/>
              <w:numPr>
                <w:ilvl w:val="0"/>
                <w:numId w:val="0"/>
              </w:numPr>
              <w:rPr>
                <w:b w:val="0"/>
                <w:color w:val="000000" w:themeColor="text1"/>
                <w:sz w:val="21"/>
                <w:szCs w:val="21"/>
                <w:u w:val="single"/>
                <w14:textFill>
                  <w14:solidFill>
                    <w14:schemeClr w14:val="tx1"/>
                  </w14:solidFill>
                </w14:textFill>
              </w:rPr>
            </w:pPr>
            <w:r>
              <w:rPr>
                <w:rFonts w:hint="eastAsia"/>
                <w:b w:val="0"/>
                <w:color w:val="000000" w:themeColor="text1"/>
                <w:sz w:val="21"/>
                <w:szCs w:val="21"/>
                <w:u w:val="single"/>
                <w14:textFill>
                  <w14:solidFill>
                    <w14:schemeClr w14:val="tx1"/>
                  </w14:solidFill>
                </w14:textFill>
              </w:rPr>
              <w:t>空间布局约束</w:t>
            </w:r>
          </w:p>
        </w:tc>
        <w:tc>
          <w:tcPr>
            <w:tcW w:w="7087" w:type="dxa"/>
          </w:tcPr>
          <w:p>
            <w:pPr>
              <w:pStyle w:val="384"/>
              <w:numPr>
                <w:ilvl w:val="0"/>
                <w:numId w:val="0"/>
              </w:numPr>
              <w:rPr>
                <w:b w:val="0"/>
                <w:color w:val="000000" w:themeColor="text1"/>
                <w:sz w:val="21"/>
                <w:szCs w:val="21"/>
                <w:u w:val="single"/>
                <w14:textFill>
                  <w14:solidFill>
                    <w14:schemeClr w14:val="tx1"/>
                  </w14:solidFill>
                </w14:textFill>
              </w:rPr>
            </w:pPr>
            <w:r>
              <w:rPr>
                <w:rFonts w:hint="eastAsia"/>
                <w:b w:val="0"/>
                <w:color w:val="000000" w:themeColor="text1"/>
                <w:sz w:val="21"/>
                <w:szCs w:val="21"/>
                <w:u w:val="single"/>
                <w14:textFill>
                  <w14:solidFill>
                    <w14:schemeClr w14:val="tx1"/>
                  </w14:solidFill>
                </w14:textFill>
              </w:rPr>
              <w:t>1．严格限制在生态脆弱敏感、自净能力弱的海域实施围填海行为，严禁国家产业政策淘汰类、限制类项目在滨海湿地布局。 2．强化近岸排污口入海污染物管控，严格按照相关法律法规及国土空间用途管制等要求，规范设置和监管入海排污口。有条件的地区，应当将排污口深水设置，实行离岸排放。 3．禁止在依法划定的自然保护地、重要渔业水域及其他需要特别保护的区域，违法建设污染环境、破坏生态的工程建设项目或者从事其他活动。禁止在严格保护岸线范围内开采海砂。 4．加强水生生物重要生境以及自然岸线、红树林、湿地保护。红树林严格按照《广西壮族自治区红树林资源保护条例》进行管控。重要湿地严格按照《中华人民共和国湿地保护法》《广西壮族自治区湿地保护条例》进行管控。 5．确需在生态保护红线区内进行渔业及其执法码头、陆岛交通码头、道路交通、航道锚地、海底管线等公益或公共基础设施建设的，要经严格科学论证并经相关主管部门审批后方可准入。</w:t>
            </w:r>
          </w:p>
        </w:tc>
        <w:tc>
          <w:tcPr>
            <w:tcW w:w="4854" w:type="dxa"/>
            <w:vAlign w:val="center"/>
          </w:tcPr>
          <w:p>
            <w:pPr>
              <w:pStyle w:val="384"/>
              <w:numPr>
                <w:ilvl w:val="0"/>
                <w:numId w:val="0"/>
              </w:numPr>
              <w:rPr>
                <w:b w:val="0"/>
                <w:color w:val="000000" w:themeColor="text1"/>
                <w:sz w:val="21"/>
                <w:szCs w:val="21"/>
                <w:u w:val="single"/>
                <w14:textFill>
                  <w14:solidFill>
                    <w14:schemeClr w14:val="tx1"/>
                  </w14:solidFill>
                </w14:textFill>
              </w:rPr>
            </w:pPr>
            <w:r>
              <w:rPr>
                <w:rFonts w:hint="eastAsia"/>
                <w:b w:val="0"/>
                <w:color w:val="000000" w:themeColor="text1"/>
                <w:sz w:val="21"/>
                <w:szCs w:val="21"/>
                <w:u w:val="single"/>
                <w14:textFill>
                  <w14:solidFill>
                    <w14:schemeClr w14:val="tx1"/>
                  </w14:solidFill>
                </w14:textFill>
              </w:rPr>
              <w:t>1．本项目不属于国家产业政策淘汰类、限制类项目，项目选址位于钦州湾湾口，港口活动密集，不属于生态脆弱敏感及自净能力弱的海域。 2．本项目不设置入海排污口。3．本项目工程建设不占用自然保护地、重要渔业水域及其他需要特别保护的区域。4．本项目所在区域岸线均为围填海形成，不涉及水生生物重要生境以及自然岸线、红树林、湿地等。5．本项目用海位于划定的交通运输用海区，不占用海洋生态保护红线区。符合。</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c>
          <w:tcPr>
            <w:tcW w:w="14176" w:type="dxa"/>
            <w:gridSpan w:val="5"/>
            <w:vAlign w:val="center"/>
          </w:tcPr>
          <w:p>
            <w:pPr>
              <w:pStyle w:val="384"/>
              <w:numPr>
                <w:ilvl w:val="0"/>
                <w:numId w:val="0"/>
              </w:numPr>
              <w:rPr>
                <w:color w:val="000000" w:themeColor="text1"/>
                <w:sz w:val="21"/>
                <w:szCs w:val="21"/>
                <w:u w:val="single"/>
                <w14:textFill>
                  <w14:solidFill>
                    <w14:schemeClr w14:val="tx1"/>
                  </w14:solidFill>
                </w14:textFill>
              </w:rPr>
            </w:pPr>
            <w:r>
              <w:rPr>
                <w:rFonts w:hint="eastAsia"/>
                <w:color w:val="000000" w:themeColor="text1"/>
                <w:sz w:val="21"/>
                <w:szCs w:val="21"/>
                <w:u w:val="single"/>
                <w14:textFill>
                  <w14:solidFill>
                    <w14:schemeClr w14:val="tx1"/>
                  </w14:solidFill>
                </w14:textFill>
              </w:rPr>
              <w:t>近岸海域重点管控区总体准入要求</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c>
          <w:tcPr>
            <w:tcW w:w="659" w:type="dxa"/>
            <w:vAlign w:val="center"/>
          </w:tcPr>
          <w:p>
            <w:pPr>
              <w:pStyle w:val="384"/>
              <w:numPr>
                <w:ilvl w:val="0"/>
                <w:numId w:val="0"/>
              </w:numPr>
              <w:rPr>
                <w:b w:val="0"/>
                <w:color w:val="000000" w:themeColor="text1"/>
                <w:sz w:val="21"/>
                <w:szCs w:val="21"/>
                <w:u w:val="single"/>
                <w14:textFill>
                  <w14:solidFill>
                    <w14:schemeClr w14:val="tx1"/>
                  </w14:solidFill>
                </w14:textFill>
              </w:rPr>
            </w:pPr>
            <w:r>
              <w:rPr>
                <w:rFonts w:hint="eastAsia"/>
                <w:b w:val="0"/>
                <w:color w:val="000000" w:themeColor="text1"/>
                <w:sz w:val="21"/>
                <w:szCs w:val="21"/>
                <w:u w:val="single"/>
                <w14:textFill>
                  <w14:solidFill>
                    <w14:schemeClr w14:val="tx1"/>
                  </w14:solidFill>
                </w14:textFill>
              </w:rPr>
              <w:t>重点管控单元</w:t>
            </w:r>
          </w:p>
        </w:tc>
        <w:tc>
          <w:tcPr>
            <w:tcW w:w="755" w:type="dxa"/>
            <w:vAlign w:val="center"/>
          </w:tcPr>
          <w:p>
            <w:pPr>
              <w:pStyle w:val="384"/>
              <w:numPr>
                <w:ilvl w:val="0"/>
                <w:numId w:val="0"/>
              </w:numPr>
              <w:rPr>
                <w:b w:val="0"/>
                <w:color w:val="000000" w:themeColor="text1"/>
                <w:sz w:val="21"/>
                <w:szCs w:val="21"/>
                <w:u w:val="single"/>
                <w14:textFill>
                  <w14:solidFill>
                    <w14:schemeClr w14:val="tx1"/>
                  </w14:solidFill>
                </w14:textFill>
              </w:rPr>
            </w:pPr>
            <w:r>
              <w:rPr>
                <w:rFonts w:hint="eastAsia"/>
                <w:b w:val="0"/>
                <w:color w:val="000000" w:themeColor="text1"/>
                <w:sz w:val="21"/>
                <w:szCs w:val="21"/>
                <w:u w:val="single"/>
                <w14:textFill>
                  <w14:solidFill>
                    <w14:schemeClr w14:val="tx1"/>
                  </w14:solidFill>
                </w14:textFill>
              </w:rPr>
              <w:t>海洋重点开发区域</w:t>
            </w:r>
          </w:p>
        </w:tc>
        <w:tc>
          <w:tcPr>
            <w:tcW w:w="821" w:type="dxa"/>
            <w:vAlign w:val="center"/>
          </w:tcPr>
          <w:p>
            <w:pPr>
              <w:pStyle w:val="384"/>
              <w:numPr>
                <w:ilvl w:val="0"/>
                <w:numId w:val="0"/>
              </w:numPr>
              <w:rPr>
                <w:b w:val="0"/>
                <w:color w:val="000000" w:themeColor="text1"/>
                <w:sz w:val="21"/>
                <w:szCs w:val="21"/>
                <w:u w:val="single"/>
                <w14:textFill>
                  <w14:solidFill>
                    <w14:schemeClr w14:val="tx1"/>
                  </w14:solidFill>
                </w14:textFill>
              </w:rPr>
            </w:pPr>
            <w:r>
              <w:rPr>
                <w:rFonts w:hint="eastAsia"/>
                <w:b w:val="0"/>
                <w:color w:val="000000" w:themeColor="text1"/>
                <w:sz w:val="21"/>
                <w:szCs w:val="21"/>
                <w:u w:val="single"/>
                <w14:textFill>
                  <w14:solidFill>
                    <w14:schemeClr w14:val="tx1"/>
                  </w14:solidFill>
                </w14:textFill>
              </w:rPr>
              <w:t>空间布局约束</w:t>
            </w:r>
          </w:p>
        </w:tc>
        <w:tc>
          <w:tcPr>
            <w:tcW w:w="7087" w:type="dxa"/>
          </w:tcPr>
          <w:p>
            <w:pPr>
              <w:pStyle w:val="384"/>
              <w:numPr>
                <w:ilvl w:val="0"/>
                <w:numId w:val="0"/>
              </w:numPr>
              <w:rPr>
                <w:b w:val="0"/>
                <w:color w:val="000000" w:themeColor="text1"/>
                <w:sz w:val="21"/>
                <w:szCs w:val="21"/>
                <w:u w:val="single"/>
                <w14:textFill>
                  <w14:solidFill>
                    <w14:schemeClr w14:val="tx1"/>
                  </w14:solidFill>
                </w14:textFill>
              </w:rPr>
            </w:pPr>
            <w:r>
              <w:rPr>
                <w:rFonts w:hint="eastAsia"/>
                <w:b w:val="0"/>
                <w:color w:val="000000" w:themeColor="text1"/>
                <w:sz w:val="21"/>
                <w:szCs w:val="21"/>
                <w:u w:val="single"/>
                <w14:textFill>
                  <w14:solidFill>
                    <w14:schemeClr w14:val="tx1"/>
                  </w14:solidFill>
                </w14:textFill>
              </w:rPr>
              <w:t>1．严控新增围填海造地。除国家重大战略项目外，全面停止新增围填海项目审批。新增围填海项目要同步强化生态保护修复，边施工边修复，最大程度避免降低生态系统服务功能。 2．全区海洋经济活动主要承载区域，沿海地区工业化与城镇化发展空间拓展区域。 3．实施据点式集约开发，严格控制开发活动规模和范围，形成现代海洋产业集群。 4．统筹规划港口、桥梁、隧道及其配套设施等海洋工程建设，形成陆海协调、安全高效的基础设施网络。 5．加强对重大海洋工程特别是围填海项目的环境影响评价，严格监控临港工业集中区和重大海洋工程施工，防止破坏和污染近岸海洋生态环境。 6．加强海洋防灾减灾能力建设。 7．原则上限制开发利用区域内无居民海岛，国家战略需要、允许开发利用无居民海岛的开发利用，须按照相关法律规定进行。 8．港口航运区域应符合以下管控要求：（1）严格按照港口总体规划准入项目。（2）禁止在港区、锚地、航道、通航密集区、航道与码头前沿线之间的海域以及规定的航路内准入与航运无关</w:t>
            </w:r>
            <w:r>
              <w:rPr>
                <w:rFonts w:hint="eastAsia"/>
                <w:b w:val="0"/>
                <w:color w:val="000000" w:themeColor="text1"/>
                <w:sz w:val="21"/>
                <w:szCs w:val="21"/>
                <w:u w:val="single"/>
                <w:lang w:eastAsia="zh-CN"/>
                <w14:textFill>
                  <w14:solidFill>
                    <w14:schemeClr w14:val="tx1"/>
                  </w14:solidFill>
                </w14:textFill>
              </w:rPr>
              <w:t>或</w:t>
            </w:r>
            <w:r>
              <w:rPr>
                <w:rFonts w:hint="eastAsia"/>
                <w:b w:val="0"/>
                <w:color w:val="000000" w:themeColor="text1"/>
                <w:sz w:val="21"/>
                <w:szCs w:val="21"/>
                <w:u w:val="single"/>
                <w14:textFill>
                  <w14:solidFill>
                    <w14:schemeClr w14:val="tx1"/>
                  </w14:solidFill>
                </w14:textFill>
              </w:rPr>
              <w:t>有碍航行安全的项目。（3）禁止准入渔业增养殖、捕捞等项目。（4）严格控制准入排放含油废水项目。（5）港口航道区建设要注意保护临近生态环境。</w:t>
            </w:r>
          </w:p>
        </w:tc>
        <w:tc>
          <w:tcPr>
            <w:tcW w:w="4854" w:type="dxa"/>
            <w:vAlign w:val="center"/>
          </w:tcPr>
          <w:p>
            <w:pPr>
              <w:pStyle w:val="384"/>
              <w:numPr>
                <w:ilvl w:val="0"/>
                <w:numId w:val="0"/>
              </w:numPr>
              <w:rPr>
                <w:b w:val="0"/>
                <w:color w:val="000000" w:themeColor="text1"/>
                <w:sz w:val="21"/>
                <w:szCs w:val="21"/>
                <w:u w:val="single"/>
                <w14:textFill>
                  <w14:solidFill>
                    <w14:schemeClr w14:val="tx1"/>
                  </w14:solidFill>
                </w14:textFill>
              </w:rPr>
            </w:pPr>
            <w:r>
              <w:rPr>
                <w:rFonts w:hint="eastAsia"/>
                <w:b w:val="0"/>
                <w:color w:val="000000" w:themeColor="text1"/>
                <w:sz w:val="21"/>
                <w:szCs w:val="21"/>
                <w:u w:val="single"/>
                <w14:textFill>
                  <w14:solidFill>
                    <w14:schemeClr w14:val="tx1"/>
                  </w14:solidFill>
                </w14:textFill>
              </w:rPr>
              <w:t>1．本次扩建不新增围填海，陆域填海依托昊鼎物流配送中心项目，属于《广西壮族自治区围填海历史遗留项目清单》中列出的用海遗留问题项目，已编制生态保护修复方案。符合。2．本项目为《北部湾港总体规划（2035年）》中规划港口，符合规划统筹建设规模及泊位功能要求。3．项目不属于限制开发利用区域内无居民海岛。4．本项目疏浚、炸礁及水工结构永久占用海域等在本次评价中提出生态损失补偿并纳入环保投资。符合。</w:t>
            </w:r>
          </w:p>
        </w:tc>
      </w:tr>
    </w:tbl>
    <w:p>
      <w:pPr>
        <w:pStyle w:val="384"/>
        <w:ind w:left="0" w:firstLine="528"/>
        <w:rPr>
          <w:color w:val="000000" w:themeColor="text1"/>
          <w:u w:val="single"/>
          <w14:textFill>
            <w14:solidFill>
              <w14:schemeClr w14:val="tx1"/>
            </w14:solidFill>
          </w14:textFill>
        </w:rPr>
      </w:pPr>
      <w:r>
        <w:rPr>
          <w:color w:val="000000" w:themeColor="text1"/>
          <w:u w:val="single"/>
          <w14:textFill>
            <w14:solidFill>
              <w14:schemeClr w14:val="tx1"/>
            </w14:solidFill>
          </w14:textFill>
        </w:rPr>
        <w:t>北部湾经济区生态环境准入及管控要求一览表</w:t>
      </w:r>
    </w:p>
    <w:tbl>
      <w:tblPr>
        <w:tblStyle w:val="89"/>
        <w:tblW w:w="14176" w:type="dxa"/>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698"/>
        <w:gridCol w:w="993"/>
        <w:gridCol w:w="992"/>
        <w:gridCol w:w="8057"/>
        <w:gridCol w:w="3436"/>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blHeader/>
        </w:trPr>
        <w:tc>
          <w:tcPr>
            <w:tcW w:w="698" w:type="dxa"/>
            <w:vAlign w:val="center"/>
          </w:tcPr>
          <w:p>
            <w:pPr>
              <w:pStyle w:val="384"/>
              <w:numPr>
                <w:ilvl w:val="0"/>
                <w:numId w:val="0"/>
              </w:numPr>
              <w:rPr>
                <w:color w:val="000000" w:themeColor="text1"/>
                <w:sz w:val="21"/>
                <w:szCs w:val="21"/>
                <w:u w:val="single"/>
                <w14:textFill>
                  <w14:solidFill>
                    <w14:schemeClr w14:val="tx1"/>
                  </w14:solidFill>
                </w14:textFill>
              </w:rPr>
            </w:pPr>
            <w:r>
              <w:rPr>
                <w:rFonts w:hint="eastAsia"/>
                <w:color w:val="000000" w:themeColor="text1"/>
                <w:sz w:val="21"/>
                <w:szCs w:val="21"/>
                <w:u w:val="single"/>
                <w14:textFill>
                  <w14:solidFill>
                    <w14:schemeClr w14:val="tx1"/>
                  </w14:solidFill>
                </w14:textFill>
              </w:rPr>
              <w:t>适用分区</w:t>
            </w:r>
          </w:p>
        </w:tc>
        <w:tc>
          <w:tcPr>
            <w:tcW w:w="993" w:type="dxa"/>
            <w:vAlign w:val="center"/>
          </w:tcPr>
          <w:p>
            <w:pPr>
              <w:pStyle w:val="384"/>
              <w:numPr>
                <w:ilvl w:val="0"/>
                <w:numId w:val="0"/>
              </w:numPr>
              <w:rPr>
                <w:color w:val="000000" w:themeColor="text1"/>
                <w:sz w:val="21"/>
                <w:szCs w:val="21"/>
                <w:u w:val="single"/>
                <w14:textFill>
                  <w14:solidFill>
                    <w14:schemeClr w14:val="tx1"/>
                  </w14:solidFill>
                </w14:textFill>
              </w:rPr>
            </w:pPr>
            <w:r>
              <w:rPr>
                <w:rFonts w:hint="eastAsia"/>
                <w:color w:val="000000" w:themeColor="text1"/>
                <w:sz w:val="21"/>
                <w:szCs w:val="21"/>
                <w:u w:val="single"/>
                <w14:textFill>
                  <w14:solidFill>
                    <w14:schemeClr w14:val="tx1"/>
                  </w14:solidFill>
                </w14:textFill>
              </w:rPr>
              <w:t>适用</w:t>
            </w:r>
          </w:p>
          <w:p>
            <w:pPr>
              <w:pStyle w:val="384"/>
              <w:numPr>
                <w:ilvl w:val="0"/>
                <w:numId w:val="0"/>
              </w:numPr>
              <w:rPr>
                <w:color w:val="000000" w:themeColor="text1"/>
                <w:sz w:val="21"/>
                <w:szCs w:val="21"/>
                <w:u w:val="single"/>
                <w14:textFill>
                  <w14:solidFill>
                    <w14:schemeClr w14:val="tx1"/>
                  </w14:solidFill>
                </w14:textFill>
              </w:rPr>
            </w:pPr>
            <w:r>
              <w:rPr>
                <w:rFonts w:hint="eastAsia"/>
                <w:color w:val="000000" w:themeColor="text1"/>
                <w:sz w:val="21"/>
                <w:szCs w:val="21"/>
                <w:u w:val="single"/>
                <w14:textFill>
                  <w14:solidFill>
                    <w14:schemeClr w14:val="tx1"/>
                  </w14:solidFill>
                </w14:textFill>
              </w:rPr>
              <w:t>对象</w:t>
            </w:r>
          </w:p>
        </w:tc>
        <w:tc>
          <w:tcPr>
            <w:tcW w:w="992" w:type="dxa"/>
            <w:vAlign w:val="center"/>
          </w:tcPr>
          <w:p>
            <w:pPr>
              <w:pStyle w:val="384"/>
              <w:numPr>
                <w:ilvl w:val="0"/>
                <w:numId w:val="0"/>
              </w:numPr>
              <w:rPr>
                <w:color w:val="000000" w:themeColor="text1"/>
                <w:sz w:val="21"/>
                <w:szCs w:val="21"/>
                <w:u w:val="single"/>
                <w14:textFill>
                  <w14:solidFill>
                    <w14:schemeClr w14:val="tx1"/>
                  </w14:solidFill>
                </w14:textFill>
              </w:rPr>
            </w:pPr>
            <w:r>
              <w:rPr>
                <w:rFonts w:hint="eastAsia"/>
                <w:color w:val="000000" w:themeColor="text1"/>
                <w:sz w:val="21"/>
                <w:szCs w:val="21"/>
                <w:u w:val="single"/>
                <w14:textFill>
                  <w14:solidFill>
                    <w14:schemeClr w14:val="tx1"/>
                  </w14:solidFill>
                </w14:textFill>
              </w:rPr>
              <w:t>管控要求类别</w:t>
            </w:r>
          </w:p>
        </w:tc>
        <w:tc>
          <w:tcPr>
            <w:tcW w:w="8057" w:type="dxa"/>
            <w:vAlign w:val="center"/>
          </w:tcPr>
          <w:p>
            <w:pPr>
              <w:pStyle w:val="384"/>
              <w:numPr>
                <w:ilvl w:val="0"/>
                <w:numId w:val="0"/>
              </w:numPr>
              <w:rPr>
                <w:color w:val="000000" w:themeColor="text1"/>
                <w:sz w:val="21"/>
                <w:szCs w:val="21"/>
                <w:u w:val="single"/>
                <w14:textFill>
                  <w14:solidFill>
                    <w14:schemeClr w14:val="tx1"/>
                  </w14:solidFill>
                </w14:textFill>
              </w:rPr>
            </w:pPr>
            <w:r>
              <w:rPr>
                <w:rFonts w:hint="eastAsia"/>
                <w:color w:val="000000" w:themeColor="text1"/>
                <w:sz w:val="21"/>
                <w:szCs w:val="21"/>
                <w:u w:val="single"/>
                <w14:textFill>
                  <w14:solidFill>
                    <w14:schemeClr w14:val="tx1"/>
                  </w14:solidFill>
                </w14:textFill>
              </w:rPr>
              <w:t>生态环境准入及管控要求</w:t>
            </w:r>
          </w:p>
        </w:tc>
        <w:tc>
          <w:tcPr>
            <w:tcW w:w="3436" w:type="dxa"/>
            <w:vAlign w:val="center"/>
          </w:tcPr>
          <w:p>
            <w:pPr>
              <w:pStyle w:val="384"/>
              <w:numPr>
                <w:ilvl w:val="0"/>
                <w:numId w:val="0"/>
              </w:numPr>
              <w:rPr>
                <w:color w:val="000000" w:themeColor="text1"/>
                <w:sz w:val="21"/>
                <w:szCs w:val="21"/>
                <w:u w:val="single"/>
                <w14:textFill>
                  <w14:solidFill>
                    <w14:schemeClr w14:val="tx1"/>
                  </w14:solidFill>
                </w14:textFill>
              </w:rPr>
            </w:pPr>
            <w:r>
              <w:rPr>
                <w:rFonts w:hint="eastAsia"/>
                <w:color w:val="000000" w:themeColor="text1"/>
                <w:sz w:val="21"/>
                <w:szCs w:val="21"/>
                <w:u w:val="single"/>
                <w14:textFill>
                  <w14:solidFill>
                    <w14:schemeClr w14:val="tx1"/>
                  </w14:solidFill>
                </w14:textFill>
              </w:rPr>
              <w:t>相符性分析</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c>
          <w:tcPr>
            <w:tcW w:w="14176" w:type="dxa"/>
            <w:gridSpan w:val="5"/>
          </w:tcPr>
          <w:p>
            <w:pPr>
              <w:pStyle w:val="384"/>
              <w:numPr>
                <w:ilvl w:val="0"/>
                <w:numId w:val="0"/>
              </w:numPr>
              <w:rPr>
                <w:color w:val="000000" w:themeColor="text1"/>
                <w:sz w:val="21"/>
                <w:szCs w:val="21"/>
                <w:u w:val="single"/>
                <w14:textFill>
                  <w14:solidFill>
                    <w14:schemeClr w14:val="tx1"/>
                  </w14:solidFill>
                </w14:textFill>
              </w:rPr>
            </w:pPr>
            <w:r>
              <w:rPr>
                <w:rFonts w:hint="eastAsia"/>
                <w:color w:val="000000" w:themeColor="text1"/>
                <w:sz w:val="21"/>
                <w:szCs w:val="21"/>
                <w:u w:val="single"/>
                <w14:textFill>
                  <w14:solidFill>
                    <w14:schemeClr w14:val="tx1"/>
                  </w14:solidFill>
                </w14:textFill>
              </w:rPr>
              <w:t>北部湾经济区生态环境总体准入及管控要求</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65" w:hRule="atLeast"/>
        </w:trPr>
        <w:tc>
          <w:tcPr>
            <w:tcW w:w="698" w:type="dxa"/>
            <w:vMerge w:val="restart"/>
            <w:vAlign w:val="center"/>
          </w:tcPr>
          <w:p>
            <w:pPr>
              <w:pStyle w:val="384"/>
              <w:numPr>
                <w:ilvl w:val="0"/>
                <w:numId w:val="0"/>
              </w:numPr>
              <w:rPr>
                <w:b w:val="0"/>
                <w:color w:val="000000" w:themeColor="text1"/>
                <w:sz w:val="21"/>
                <w:szCs w:val="21"/>
                <w:u w:val="single"/>
                <w14:textFill>
                  <w14:solidFill>
                    <w14:schemeClr w14:val="tx1"/>
                  </w14:solidFill>
                </w14:textFill>
              </w:rPr>
            </w:pPr>
            <w:r>
              <w:rPr>
                <w:rFonts w:hint="eastAsia"/>
                <w:b w:val="0"/>
                <w:color w:val="000000" w:themeColor="text1"/>
                <w:sz w:val="21"/>
                <w:szCs w:val="21"/>
                <w:u w:val="single"/>
                <w14:textFill>
                  <w14:solidFill>
                    <w14:schemeClr w14:val="tx1"/>
                  </w14:solidFill>
                </w14:textFill>
              </w:rPr>
              <w:t>北部湾经济区全部分区</w:t>
            </w:r>
          </w:p>
        </w:tc>
        <w:tc>
          <w:tcPr>
            <w:tcW w:w="993" w:type="dxa"/>
            <w:vMerge w:val="restart"/>
            <w:vAlign w:val="center"/>
          </w:tcPr>
          <w:p>
            <w:pPr>
              <w:pStyle w:val="384"/>
              <w:numPr>
                <w:ilvl w:val="0"/>
                <w:numId w:val="0"/>
              </w:numPr>
              <w:rPr>
                <w:b w:val="0"/>
                <w:color w:val="000000" w:themeColor="text1"/>
                <w:sz w:val="21"/>
                <w:szCs w:val="21"/>
                <w:u w:val="single"/>
                <w14:textFill>
                  <w14:solidFill>
                    <w14:schemeClr w14:val="tx1"/>
                  </w14:solidFill>
                </w14:textFill>
              </w:rPr>
            </w:pPr>
            <w:r>
              <w:rPr>
                <w:rFonts w:hint="eastAsia"/>
                <w:b w:val="0"/>
                <w:color w:val="000000" w:themeColor="text1"/>
                <w:sz w:val="21"/>
                <w:szCs w:val="21"/>
                <w:u w:val="single"/>
                <w14:textFill>
                  <w14:solidFill>
                    <w14:schemeClr w14:val="tx1"/>
                  </w14:solidFill>
                </w14:textFill>
              </w:rPr>
              <w:t>北部湾经济区（本清单适用于南宁市、北海市、钦州市、防城港市、玉林市、崇左市）</w:t>
            </w:r>
          </w:p>
        </w:tc>
        <w:tc>
          <w:tcPr>
            <w:tcW w:w="992" w:type="dxa"/>
            <w:vAlign w:val="center"/>
          </w:tcPr>
          <w:p>
            <w:pPr>
              <w:pStyle w:val="384"/>
              <w:numPr>
                <w:ilvl w:val="0"/>
                <w:numId w:val="0"/>
              </w:numPr>
              <w:rPr>
                <w:b w:val="0"/>
                <w:color w:val="000000" w:themeColor="text1"/>
                <w:sz w:val="21"/>
                <w:szCs w:val="21"/>
                <w:u w:val="single"/>
                <w14:textFill>
                  <w14:solidFill>
                    <w14:schemeClr w14:val="tx1"/>
                  </w14:solidFill>
                </w14:textFill>
              </w:rPr>
            </w:pPr>
            <w:r>
              <w:rPr>
                <w:rFonts w:hint="eastAsia"/>
                <w:b w:val="0"/>
                <w:color w:val="000000" w:themeColor="text1"/>
                <w:sz w:val="21"/>
                <w:szCs w:val="21"/>
                <w:u w:val="single"/>
                <w14:textFill>
                  <w14:solidFill>
                    <w14:schemeClr w14:val="tx1"/>
                  </w14:solidFill>
                </w14:textFill>
              </w:rPr>
              <w:t>空间布局约束</w:t>
            </w:r>
          </w:p>
        </w:tc>
        <w:tc>
          <w:tcPr>
            <w:tcW w:w="8057" w:type="dxa"/>
          </w:tcPr>
          <w:p>
            <w:pPr>
              <w:pStyle w:val="384"/>
              <w:numPr>
                <w:ilvl w:val="0"/>
                <w:numId w:val="0"/>
              </w:numPr>
              <w:rPr>
                <w:b w:val="0"/>
                <w:color w:val="000000" w:themeColor="text1"/>
                <w:sz w:val="21"/>
                <w:szCs w:val="21"/>
                <w:u w:val="single"/>
                <w14:textFill>
                  <w14:solidFill>
                    <w14:schemeClr w14:val="tx1"/>
                  </w14:solidFill>
                </w14:textFill>
              </w:rPr>
            </w:pPr>
            <w:r>
              <w:rPr>
                <w:rFonts w:hint="eastAsia"/>
                <w:b w:val="0"/>
                <w:color w:val="000000" w:themeColor="text1"/>
                <w:sz w:val="21"/>
                <w:szCs w:val="21"/>
                <w:u w:val="single"/>
                <w14:textFill>
                  <w14:solidFill>
                    <w14:schemeClr w14:val="tx1"/>
                  </w14:solidFill>
                </w14:textFill>
              </w:rPr>
              <w:t>1．坚持高质量发展和高水平保护并重，引领广西高质量发展的重要增长极和成为具有区域影响力和带动力的重要增长极，建设宜居宜业宜游蓝色生态湾区。 2．实行严格的资源环境生态红线管控，合理开发和节约资源，加强对水源林、防护林、湿地等生态系统的保护与修复。 3．加大滨海湿地保护和修复力度，对红树林、珊瑚礁、海草床等重要海洋生态系统实行最严格的保护措施，加强珍稀濒危物种及重要海洋生态系统的生境保护。加强沿海防护林体系建设，加强对防城江、北仑河、钦江等重要江河源头区、湖库型饮用水源地等区域水土流失预防。推进互花米草防治。 4．严格围填海管控，禁止在海域内实施连岛行动。保护北部湾自然岸线，严格控制岸线利用项目准入门槛。合理有序开发利用滩涂资源。 5．南流江流域、廉州湾海域超过环境承载力的县市区严格区域主要污染物管控要求，新改扩“两高”、重点行业建设项目实行主要污染物区域削减方案。廉州湾沿岸新设排污口选址必须符合《中华人民共和国海洋环境保护法》《</w:t>
            </w:r>
            <w:r>
              <w:rPr>
                <w:rFonts w:hint="eastAsia"/>
                <w:b w:val="0"/>
                <w:color w:val="000000" w:themeColor="text1"/>
                <w:sz w:val="21"/>
                <w:szCs w:val="21"/>
                <w:u w:val="single"/>
                <w:lang w:eastAsia="zh-CN"/>
                <w14:textFill>
                  <w14:solidFill>
                    <w14:schemeClr w14:val="tx1"/>
                  </w14:solidFill>
                </w14:textFill>
              </w:rPr>
              <w:t>中华人民共和国防治陆源污染物污染损害海洋环境管理条例</w:t>
            </w:r>
            <w:r>
              <w:rPr>
                <w:rFonts w:hint="eastAsia"/>
                <w:b w:val="0"/>
                <w:color w:val="000000" w:themeColor="text1"/>
                <w:sz w:val="21"/>
                <w:szCs w:val="21"/>
                <w:u w:val="single"/>
                <w14:textFill>
                  <w14:solidFill>
                    <w14:schemeClr w14:val="tx1"/>
                  </w14:solidFill>
                </w14:textFill>
              </w:rPr>
              <w:t>》等有关规定。 6．依法依规推动落后产能有序退出。 7．严禁占用运河沿线两岸1公里范围内预留作为生态廊道的用地，科学规划平陆运河沿岸生态廊道空间和开发保护核心管制区。 8．平陆运河绿色工程防范管控重点清单、打造特色亮点清单，平陆运河绿色工程评估指标体系，西部陆海新通道（平陆）运河绿色航道和绿色船闸建设标准公布实施后，从其规定。</w:t>
            </w:r>
          </w:p>
        </w:tc>
        <w:tc>
          <w:tcPr>
            <w:tcW w:w="3436" w:type="dxa"/>
            <w:vAlign w:val="center"/>
          </w:tcPr>
          <w:p>
            <w:pPr>
              <w:pStyle w:val="384"/>
              <w:numPr>
                <w:ilvl w:val="0"/>
                <w:numId w:val="0"/>
              </w:numPr>
              <w:rPr>
                <w:b w:val="0"/>
                <w:color w:val="000000" w:themeColor="text1"/>
                <w:sz w:val="21"/>
                <w:szCs w:val="21"/>
                <w:u w:val="single"/>
                <w14:textFill>
                  <w14:solidFill>
                    <w14:schemeClr w14:val="tx1"/>
                  </w14:solidFill>
                </w14:textFill>
              </w:rPr>
            </w:pPr>
            <w:r>
              <w:rPr>
                <w:rFonts w:hint="eastAsia"/>
                <w:b w:val="0"/>
                <w:color w:val="000000" w:themeColor="text1"/>
                <w:sz w:val="21"/>
                <w:szCs w:val="21"/>
                <w:u w:val="single"/>
                <w14:textFill>
                  <w14:solidFill>
                    <w14:schemeClr w14:val="tx1"/>
                  </w14:solidFill>
                </w14:textFill>
              </w:rPr>
              <w:t>1．本项目建设提升大榄坪9号10号自动化集装箱泊位吞吐能力，有效推动大榄坪港区货物集疏运能力。</w:t>
            </w:r>
          </w:p>
          <w:p>
            <w:pPr>
              <w:pStyle w:val="384"/>
              <w:numPr>
                <w:ilvl w:val="0"/>
                <w:numId w:val="0"/>
              </w:numPr>
              <w:rPr>
                <w:b w:val="0"/>
                <w:color w:val="000000" w:themeColor="text1"/>
                <w:sz w:val="21"/>
                <w:szCs w:val="21"/>
                <w:u w:val="single"/>
                <w14:textFill>
                  <w14:solidFill>
                    <w14:schemeClr w14:val="tx1"/>
                  </w14:solidFill>
                </w14:textFill>
              </w:rPr>
            </w:pPr>
            <w:r>
              <w:rPr>
                <w:rFonts w:hint="eastAsia"/>
                <w:b w:val="0"/>
                <w:color w:val="000000" w:themeColor="text1"/>
                <w:sz w:val="21"/>
                <w:szCs w:val="21"/>
                <w:u w:val="single"/>
                <w14:textFill>
                  <w14:solidFill>
                    <w14:schemeClr w14:val="tx1"/>
                  </w14:solidFill>
                </w14:textFill>
              </w:rPr>
              <w:t>2．本项目工程建设用海不涉及海洋生态红线、水源林、防护林湿地等保护生态系统。3．本项目不涉及滨海湿地、红树林、珊瑚礁、海草床等重要海洋生态系统。4．本次扩建不新增围填海，陆域填海依托昊鼎物流配送中心项目，围填海符合《北部湾港总体规划（2035年）》划定的规划围填海范围。5．项目不属于落后产能项目。符合。</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c>
          <w:tcPr>
            <w:tcW w:w="698" w:type="dxa"/>
            <w:vMerge w:val="continue"/>
            <w:vAlign w:val="center"/>
          </w:tcPr>
          <w:p>
            <w:pPr>
              <w:pStyle w:val="384"/>
              <w:numPr>
                <w:ilvl w:val="0"/>
                <w:numId w:val="0"/>
              </w:numPr>
              <w:rPr>
                <w:b w:val="0"/>
                <w:color w:val="000000" w:themeColor="text1"/>
                <w:sz w:val="21"/>
                <w:szCs w:val="21"/>
                <w:u w:val="single"/>
                <w14:textFill>
                  <w14:solidFill>
                    <w14:schemeClr w14:val="tx1"/>
                  </w14:solidFill>
                </w14:textFill>
              </w:rPr>
            </w:pPr>
          </w:p>
        </w:tc>
        <w:tc>
          <w:tcPr>
            <w:tcW w:w="993" w:type="dxa"/>
            <w:vMerge w:val="continue"/>
            <w:vAlign w:val="center"/>
          </w:tcPr>
          <w:p>
            <w:pPr>
              <w:pStyle w:val="384"/>
              <w:numPr>
                <w:ilvl w:val="0"/>
                <w:numId w:val="0"/>
              </w:numPr>
              <w:rPr>
                <w:b w:val="0"/>
                <w:color w:val="000000" w:themeColor="text1"/>
                <w:sz w:val="21"/>
                <w:szCs w:val="21"/>
                <w:u w:val="single"/>
                <w14:textFill>
                  <w14:solidFill>
                    <w14:schemeClr w14:val="tx1"/>
                  </w14:solidFill>
                </w14:textFill>
              </w:rPr>
            </w:pPr>
          </w:p>
        </w:tc>
        <w:tc>
          <w:tcPr>
            <w:tcW w:w="992" w:type="dxa"/>
            <w:vAlign w:val="center"/>
          </w:tcPr>
          <w:p>
            <w:pPr>
              <w:pStyle w:val="384"/>
              <w:numPr>
                <w:ilvl w:val="0"/>
                <w:numId w:val="0"/>
              </w:numPr>
              <w:rPr>
                <w:b w:val="0"/>
                <w:color w:val="000000" w:themeColor="text1"/>
                <w:sz w:val="21"/>
                <w:szCs w:val="21"/>
                <w:u w:val="single"/>
                <w14:textFill>
                  <w14:solidFill>
                    <w14:schemeClr w14:val="tx1"/>
                  </w14:solidFill>
                </w14:textFill>
              </w:rPr>
            </w:pPr>
            <w:r>
              <w:rPr>
                <w:rFonts w:hint="eastAsia"/>
                <w:b w:val="0"/>
                <w:color w:val="000000" w:themeColor="text1"/>
                <w:sz w:val="21"/>
                <w:szCs w:val="21"/>
                <w:u w:val="single"/>
                <w14:textFill>
                  <w14:solidFill>
                    <w14:schemeClr w14:val="tx1"/>
                  </w14:solidFill>
                </w14:textFill>
              </w:rPr>
              <w:t>污染物排放管控</w:t>
            </w:r>
          </w:p>
        </w:tc>
        <w:tc>
          <w:tcPr>
            <w:tcW w:w="8057" w:type="dxa"/>
          </w:tcPr>
          <w:p>
            <w:pPr>
              <w:pStyle w:val="384"/>
              <w:numPr>
                <w:ilvl w:val="0"/>
                <w:numId w:val="0"/>
              </w:numPr>
              <w:rPr>
                <w:b w:val="0"/>
                <w:color w:val="000000" w:themeColor="text1"/>
                <w:sz w:val="21"/>
                <w:szCs w:val="21"/>
                <w:u w:val="single"/>
                <w14:textFill>
                  <w14:solidFill>
                    <w14:schemeClr w14:val="tx1"/>
                  </w14:solidFill>
                </w14:textFill>
              </w:rPr>
            </w:pPr>
            <w:r>
              <w:rPr>
                <w:rFonts w:hint="eastAsia"/>
                <w:b w:val="0"/>
                <w:color w:val="000000" w:themeColor="text1"/>
                <w:sz w:val="21"/>
                <w:szCs w:val="21"/>
                <w:u w:val="single"/>
                <w14:textFill>
                  <w14:solidFill>
                    <w14:schemeClr w14:val="tx1"/>
                  </w14:solidFill>
                </w14:textFill>
              </w:rPr>
              <w:t>1．坚持陆海统筹，强化重大海域、入海河流、海岸带的生态环境统筹协同管控，开展北部湾沿海城市生态环境综合治理。推行河长制、湖长制，持续推进钦江、南流江、九洲江等流域综合治理，鼓励施行生态养殖和清洁生产，从源头控制生产、生活污水排放。推行湾长制，协同推进近岸海域污染治理，实施蓝色海湾整治行动和北部湾入海河流综合治理工程，严格控制水产养殖污染、港口码头船舶污染、采沙污染。 2．围绕建设蓝色海湾城市群，深入推进北钦防生态环境基础设施一体化，统筹推进北钦防三市生态环境齐保共治。加强港口码头环境保护基础设施建设，重点加强有色矿产、硫磺、煤等堆场配套环保设施建设。建立生态环境联防联治平台和机制，推动建立北部湾城市群跨行政区生态环境保护和生态补偿机制。 3．推进区域大气污染联防联控。共同开展重点行业污染整治和重污染天气联合应对，加强挥发性有机化合物（VOCs）和氮氧化物（NOx）协同控制，协同应对区域多污染物，联合开展空气污染综合治理，改善空气质量。严格城市空气质量达标管理，改善城市环境空气质量，对大气质量改善进度进行监督和考核。 4．严格控制高污染、高排放“两高”行业项目布局和建设。提升“两高”行业清洁生产和减污降碳水平。以碳达峰、碳中和愿景为导向，推动产业转型升级、能源结构优化。开展碳排放权、排污权交易试点。重点管控行业建设项目无主要污染物排放指标来源的，应提出有效的区域削减方案，确保项目投产后区域环境质量不恶化。 5．平陆运河、北部湾港加强船舶和港口污染防治，加快淘汰老旧船舶，鼓励引导高能耗船舶技术改造升级和提前退出。推动新能源、清洁能源动力船舶应用，加快港口供电设施建设，提高船舶岸电设施使用率。 6．平陆运河沿线城市实施生活污水集中处理设施能力提升全覆盖工程，开展城市污水处理设施差别化精准提标改造。</w:t>
            </w:r>
          </w:p>
        </w:tc>
        <w:tc>
          <w:tcPr>
            <w:tcW w:w="3436" w:type="dxa"/>
            <w:vAlign w:val="center"/>
          </w:tcPr>
          <w:p>
            <w:pPr>
              <w:pStyle w:val="384"/>
              <w:numPr>
                <w:ilvl w:val="0"/>
                <w:numId w:val="0"/>
              </w:numPr>
              <w:rPr>
                <w:b w:val="0"/>
                <w:color w:val="000000" w:themeColor="text1"/>
                <w:sz w:val="21"/>
                <w:szCs w:val="21"/>
                <w:u w:val="single"/>
                <w14:textFill>
                  <w14:solidFill>
                    <w14:schemeClr w14:val="tx1"/>
                  </w14:solidFill>
                </w14:textFill>
              </w:rPr>
            </w:pPr>
            <w:r>
              <w:rPr>
                <w:rFonts w:hint="eastAsia"/>
                <w:b w:val="0"/>
                <w:color w:val="000000" w:themeColor="text1"/>
                <w:sz w:val="21"/>
                <w:szCs w:val="21"/>
                <w:u w:val="single"/>
                <w14:textFill>
                  <w14:solidFill>
                    <w14:schemeClr w14:val="tx1"/>
                  </w14:solidFill>
                </w14:textFill>
              </w:rPr>
              <w:t>1．本项目到港船舶污染物均由有资质单位转运处理，陆域生活垃圾由环保部门清运，生活污水进入大榄坪污水处理厂不外排。2．本项目为集装箱码头，不设置有色矿产、硫磺、煤等堆场</w:t>
            </w:r>
            <w:r>
              <w:rPr>
                <w:rFonts w:hint="eastAsia"/>
                <w:b w:val="0"/>
                <w:color w:val="000000" w:themeColor="text1"/>
                <w:sz w:val="21"/>
                <w:szCs w:val="21"/>
                <w:u w:val="single"/>
                <w:lang w:eastAsia="zh-CN"/>
                <w14:textFill>
                  <w14:solidFill>
                    <w14:schemeClr w14:val="tx1"/>
                  </w14:solidFill>
                </w14:textFill>
              </w:rPr>
              <w:t>，</w:t>
            </w:r>
            <w:r>
              <w:rPr>
                <w:rFonts w:hint="eastAsia"/>
                <w:b w:val="0"/>
                <w:color w:val="000000" w:themeColor="text1"/>
                <w:sz w:val="21"/>
                <w:szCs w:val="21"/>
                <w:u w:val="single"/>
                <w14:textFill>
                  <w14:solidFill>
                    <w14:schemeClr w14:val="tx1"/>
                  </w14:solidFill>
                </w14:textFill>
              </w:rPr>
              <w:t>在采取各项环保措施前提下，对海域环境影响可以接受。3．本项目运营期大气环境污染主要为车辆燃油尾气及车辆道路扬尘，均能达到《大气污染物综合排放标准》（GB20426-2006）排放限值要求。4．本项目不属于高污染、高排放“两高”行业项目。本项目位于北部湾港钦州港域，项目设置岸电接入设施，停靠船舶可使用岸电替代燃油，停靠时无船舶大气污染物排放。符合。</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c>
          <w:tcPr>
            <w:tcW w:w="698" w:type="dxa"/>
            <w:vMerge w:val="continue"/>
            <w:vAlign w:val="center"/>
          </w:tcPr>
          <w:p>
            <w:pPr>
              <w:pStyle w:val="384"/>
              <w:numPr>
                <w:ilvl w:val="0"/>
                <w:numId w:val="0"/>
              </w:numPr>
              <w:rPr>
                <w:b w:val="0"/>
                <w:color w:val="000000" w:themeColor="text1"/>
                <w:sz w:val="21"/>
                <w:szCs w:val="21"/>
                <w:u w:val="single"/>
                <w14:textFill>
                  <w14:solidFill>
                    <w14:schemeClr w14:val="tx1"/>
                  </w14:solidFill>
                </w14:textFill>
              </w:rPr>
            </w:pPr>
          </w:p>
        </w:tc>
        <w:tc>
          <w:tcPr>
            <w:tcW w:w="993" w:type="dxa"/>
            <w:vMerge w:val="continue"/>
            <w:vAlign w:val="center"/>
          </w:tcPr>
          <w:p>
            <w:pPr>
              <w:pStyle w:val="384"/>
              <w:numPr>
                <w:ilvl w:val="0"/>
                <w:numId w:val="0"/>
              </w:numPr>
              <w:rPr>
                <w:b w:val="0"/>
                <w:color w:val="000000" w:themeColor="text1"/>
                <w:sz w:val="21"/>
                <w:szCs w:val="21"/>
                <w:u w:val="single"/>
                <w14:textFill>
                  <w14:solidFill>
                    <w14:schemeClr w14:val="tx1"/>
                  </w14:solidFill>
                </w14:textFill>
              </w:rPr>
            </w:pPr>
          </w:p>
        </w:tc>
        <w:tc>
          <w:tcPr>
            <w:tcW w:w="992" w:type="dxa"/>
            <w:vAlign w:val="center"/>
          </w:tcPr>
          <w:p>
            <w:pPr>
              <w:pStyle w:val="384"/>
              <w:numPr>
                <w:ilvl w:val="0"/>
                <w:numId w:val="0"/>
              </w:numPr>
              <w:rPr>
                <w:b w:val="0"/>
                <w:color w:val="000000" w:themeColor="text1"/>
                <w:sz w:val="21"/>
                <w:szCs w:val="21"/>
                <w:u w:val="single"/>
                <w14:textFill>
                  <w14:solidFill>
                    <w14:schemeClr w14:val="tx1"/>
                  </w14:solidFill>
                </w14:textFill>
              </w:rPr>
            </w:pPr>
            <w:r>
              <w:rPr>
                <w:rFonts w:hint="eastAsia"/>
                <w:b w:val="0"/>
                <w:color w:val="000000" w:themeColor="text1"/>
                <w:sz w:val="21"/>
                <w:szCs w:val="21"/>
                <w:u w:val="single"/>
                <w14:textFill>
                  <w14:solidFill>
                    <w14:schemeClr w14:val="tx1"/>
                  </w14:solidFill>
                </w14:textFill>
              </w:rPr>
              <w:t>环境风险防控</w:t>
            </w:r>
          </w:p>
        </w:tc>
        <w:tc>
          <w:tcPr>
            <w:tcW w:w="8057" w:type="dxa"/>
          </w:tcPr>
          <w:p>
            <w:pPr>
              <w:pStyle w:val="384"/>
              <w:numPr>
                <w:ilvl w:val="0"/>
                <w:numId w:val="0"/>
              </w:numPr>
              <w:rPr>
                <w:b w:val="0"/>
                <w:color w:val="000000" w:themeColor="text1"/>
                <w:sz w:val="21"/>
                <w:szCs w:val="21"/>
                <w:u w:val="single"/>
                <w14:textFill>
                  <w14:solidFill>
                    <w14:schemeClr w14:val="tx1"/>
                  </w14:solidFill>
                </w14:textFill>
              </w:rPr>
            </w:pPr>
            <w:r>
              <w:rPr>
                <w:rFonts w:hint="eastAsia"/>
                <w:b w:val="0"/>
                <w:color w:val="000000" w:themeColor="text1"/>
                <w:sz w:val="21"/>
                <w:szCs w:val="21"/>
                <w:u w:val="single"/>
                <w14:textFill>
                  <w14:solidFill>
                    <w14:schemeClr w14:val="tx1"/>
                  </w14:solidFill>
                </w14:textFill>
              </w:rPr>
              <w:t>1．强化沿海工业园区和沿海石油、石化、化工、冶炼及危化品储运等企业的环境风险防控。 2．建立和完善海上溢油、危险化学品泄漏、赤潮应急反应预案，提升应对海洋突发环境事件能力，防范海上溢油、危险化学品泄漏等重大环境风险。加强海洋环境监测，实施海洋环境预警预报工程。 3．实行严格的核污染监控管理，提升核安全治理能力，提高核设施安全水平，降低核安全风险，推进放射性污染防治，确保辐射环境质量保持良好，强化核辐射安全监管体系，消除核安全隐患。</w:t>
            </w:r>
          </w:p>
        </w:tc>
        <w:tc>
          <w:tcPr>
            <w:tcW w:w="3436" w:type="dxa"/>
            <w:vAlign w:val="center"/>
          </w:tcPr>
          <w:p>
            <w:pPr>
              <w:pStyle w:val="384"/>
              <w:numPr>
                <w:ilvl w:val="0"/>
                <w:numId w:val="0"/>
              </w:numPr>
              <w:rPr>
                <w:b w:val="0"/>
                <w:color w:val="000000" w:themeColor="text1"/>
                <w:sz w:val="21"/>
                <w:szCs w:val="21"/>
                <w:u w:val="single"/>
                <w14:textFill>
                  <w14:solidFill>
                    <w14:schemeClr w14:val="tx1"/>
                  </w14:solidFill>
                </w14:textFill>
              </w:rPr>
            </w:pPr>
            <w:r>
              <w:rPr>
                <w:rFonts w:hint="eastAsia"/>
                <w:b w:val="0"/>
                <w:color w:val="000000" w:themeColor="text1"/>
                <w:sz w:val="21"/>
                <w:szCs w:val="21"/>
                <w:u w:val="single"/>
                <w14:textFill>
                  <w14:solidFill>
                    <w14:schemeClr w14:val="tx1"/>
                  </w14:solidFill>
                </w14:textFill>
              </w:rPr>
              <w:t>项目运营后按要求开展风险评估，制订突发环境应急预案，健全企业应急制度管理。符合</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c>
          <w:tcPr>
            <w:tcW w:w="698" w:type="dxa"/>
            <w:vMerge w:val="continue"/>
            <w:vAlign w:val="center"/>
          </w:tcPr>
          <w:p>
            <w:pPr>
              <w:pStyle w:val="384"/>
              <w:numPr>
                <w:ilvl w:val="0"/>
                <w:numId w:val="0"/>
              </w:numPr>
              <w:rPr>
                <w:b w:val="0"/>
                <w:color w:val="000000" w:themeColor="text1"/>
                <w:sz w:val="21"/>
                <w:szCs w:val="21"/>
                <w:u w:val="single"/>
                <w14:textFill>
                  <w14:solidFill>
                    <w14:schemeClr w14:val="tx1"/>
                  </w14:solidFill>
                </w14:textFill>
              </w:rPr>
            </w:pPr>
          </w:p>
        </w:tc>
        <w:tc>
          <w:tcPr>
            <w:tcW w:w="993" w:type="dxa"/>
            <w:vMerge w:val="continue"/>
            <w:vAlign w:val="center"/>
          </w:tcPr>
          <w:p>
            <w:pPr>
              <w:pStyle w:val="384"/>
              <w:numPr>
                <w:ilvl w:val="0"/>
                <w:numId w:val="0"/>
              </w:numPr>
              <w:rPr>
                <w:b w:val="0"/>
                <w:color w:val="000000" w:themeColor="text1"/>
                <w:sz w:val="21"/>
                <w:szCs w:val="21"/>
                <w:u w:val="single"/>
                <w14:textFill>
                  <w14:solidFill>
                    <w14:schemeClr w14:val="tx1"/>
                  </w14:solidFill>
                </w14:textFill>
              </w:rPr>
            </w:pPr>
          </w:p>
        </w:tc>
        <w:tc>
          <w:tcPr>
            <w:tcW w:w="992" w:type="dxa"/>
            <w:vAlign w:val="center"/>
          </w:tcPr>
          <w:p>
            <w:pPr>
              <w:pStyle w:val="384"/>
              <w:numPr>
                <w:ilvl w:val="0"/>
                <w:numId w:val="0"/>
              </w:numPr>
              <w:rPr>
                <w:b w:val="0"/>
                <w:color w:val="000000" w:themeColor="text1"/>
                <w:sz w:val="21"/>
                <w:szCs w:val="21"/>
                <w:u w:val="single"/>
                <w14:textFill>
                  <w14:solidFill>
                    <w14:schemeClr w14:val="tx1"/>
                  </w14:solidFill>
                </w14:textFill>
              </w:rPr>
            </w:pPr>
            <w:r>
              <w:rPr>
                <w:rFonts w:hint="eastAsia"/>
                <w:b w:val="0"/>
                <w:color w:val="000000" w:themeColor="text1"/>
                <w:sz w:val="21"/>
                <w:szCs w:val="21"/>
                <w:u w:val="single"/>
                <w14:textFill>
                  <w14:solidFill>
                    <w14:schemeClr w14:val="tx1"/>
                  </w14:solidFill>
                </w14:textFill>
              </w:rPr>
              <w:t>资源开发利用效率</w:t>
            </w:r>
          </w:p>
        </w:tc>
        <w:tc>
          <w:tcPr>
            <w:tcW w:w="8057" w:type="dxa"/>
            <w:vAlign w:val="center"/>
          </w:tcPr>
          <w:p>
            <w:pPr>
              <w:pStyle w:val="384"/>
              <w:numPr>
                <w:ilvl w:val="0"/>
                <w:numId w:val="0"/>
              </w:numPr>
              <w:rPr>
                <w:b w:val="0"/>
                <w:color w:val="000000" w:themeColor="text1"/>
                <w:sz w:val="21"/>
                <w:szCs w:val="21"/>
                <w:u w:val="single"/>
                <w14:textFill>
                  <w14:solidFill>
                    <w14:schemeClr w14:val="tx1"/>
                  </w14:solidFill>
                </w14:textFill>
              </w:rPr>
            </w:pPr>
            <w:r>
              <w:rPr>
                <w:rFonts w:hint="eastAsia"/>
                <w:b w:val="0"/>
                <w:color w:val="000000" w:themeColor="text1"/>
                <w:sz w:val="21"/>
                <w:szCs w:val="21"/>
                <w:u w:val="single"/>
                <w14:textFill>
                  <w14:solidFill>
                    <w14:schemeClr w14:val="tx1"/>
                  </w14:solidFill>
                </w14:textFill>
              </w:rPr>
              <w:t>1．严格执行能耗“双控”，新建项目能源利用效率应达到国内先进水平。 2．实施水资源消耗总量和强度“双控”。</w:t>
            </w:r>
          </w:p>
        </w:tc>
        <w:tc>
          <w:tcPr>
            <w:tcW w:w="3436" w:type="dxa"/>
            <w:vAlign w:val="center"/>
          </w:tcPr>
          <w:p>
            <w:pPr>
              <w:pStyle w:val="384"/>
              <w:numPr>
                <w:ilvl w:val="0"/>
                <w:numId w:val="0"/>
              </w:numPr>
              <w:rPr>
                <w:b w:val="0"/>
                <w:color w:val="000000" w:themeColor="text1"/>
                <w:sz w:val="21"/>
                <w:szCs w:val="21"/>
                <w:u w:val="single"/>
                <w14:textFill>
                  <w14:solidFill>
                    <w14:schemeClr w14:val="tx1"/>
                  </w14:solidFill>
                </w14:textFill>
              </w:rPr>
            </w:pPr>
            <w:r>
              <w:rPr>
                <w:b w:val="0"/>
                <w:color w:val="000000" w:themeColor="text1"/>
                <w:sz w:val="21"/>
                <w:szCs w:val="21"/>
                <w:u w:val="single"/>
                <w14:textFill>
                  <w14:solidFill>
                    <w14:schemeClr w14:val="tx1"/>
                  </w14:solidFill>
                </w14:textFill>
              </w:rPr>
              <w:t>不涉及</w:t>
            </w:r>
          </w:p>
        </w:tc>
      </w:tr>
    </w:tbl>
    <w:p>
      <w:pPr>
        <w:pStyle w:val="384"/>
        <w:ind w:left="0" w:firstLine="528"/>
        <w:rPr>
          <w:color w:val="000000" w:themeColor="text1"/>
          <w:u w:val="single"/>
          <w14:textFill>
            <w14:solidFill>
              <w14:schemeClr w14:val="tx1"/>
            </w14:solidFill>
          </w14:textFill>
        </w:rPr>
        <w:sectPr>
          <w:pgSz w:w="16840" w:h="11907" w:orient="landscape"/>
          <w:pgMar w:top="1797" w:right="1440" w:bottom="1514" w:left="1440" w:header="992" w:footer="851" w:gutter="284"/>
          <w:pgNumType w:fmt="numberInDash"/>
          <w:cols w:space="425" w:num="1"/>
          <w:docGrid w:type="linesAndChars" w:linePitch="465" w:charSpace="-1866"/>
        </w:sectPr>
      </w:pPr>
    </w:p>
    <w:p>
      <w:pPr>
        <w:pStyle w:val="384"/>
        <w:ind w:left="0" w:firstLine="528"/>
        <w:rPr>
          <w:color w:val="000000" w:themeColor="text1"/>
          <w14:textFill>
            <w14:solidFill>
              <w14:schemeClr w14:val="tx1"/>
            </w14:solidFill>
          </w14:textFill>
        </w:rPr>
      </w:pPr>
      <w:r>
        <w:rPr>
          <w:rFonts w:hint="eastAsia"/>
          <w:color w:val="000000" w:themeColor="text1"/>
          <w14:textFill>
            <w14:solidFill>
              <w14:schemeClr w14:val="tx1"/>
            </w14:solidFill>
          </w14:textFill>
        </w:rPr>
        <w:t>项目与</w:t>
      </w:r>
      <w:r>
        <w:rPr>
          <w:rFonts w:hint="eastAsia"/>
          <w:color w:val="000000" w:themeColor="text1"/>
          <w:lang w:val="zh-CN"/>
          <w14:textFill>
            <w14:solidFill>
              <w14:schemeClr w14:val="tx1"/>
            </w14:solidFill>
          </w14:textFill>
        </w:rPr>
        <w:t>广西钦州保税港区重点管控要求</w:t>
      </w:r>
      <w:r>
        <w:rPr>
          <w:rFonts w:hint="eastAsia"/>
          <w:color w:val="000000" w:themeColor="text1"/>
          <w14:textFill>
            <w14:solidFill>
              <w14:schemeClr w14:val="tx1"/>
            </w14:solidFill>
          </w14:textFill>
        </w:rPr>
        <w:t>相符性分析</w:t>
      </w:r>
    </w:p>
    <w:tbl>
      <w:tblPr>
        <w:tblStyle w:val="89"/>
        <w:tblpPr w:leftFromText="180" w:rightFromText="180" w:vertAnchor="text" w:tblpXSpec="center" w:tblpY="1"/>
        <w:tblOverlap w:val="never"/>
        <w:tblW w:w="8342" w:type="dxa"/>
        <w:jc w:val="center"/>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0" w:type="dxa"/>
          <w:bottom w:w="0" w:type="dxa"/>
          <w:right w:w="0" w:type="dxa"/>
        </w:tblCellMar>
      </w:tblPr>
      <w:tblGrid>
        <w:gridCol w:w="989"/>
        <w:gridCol w:w="727"/>
        <w:gridCol w:w="711"/>
        <w:gridCol w:w="425"/>
        <w:gridCol w:w="3399"/>
        <w:gridCol w:w="2091"/>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0" w:type="dxa"/>
            <w:bottom w:w="0" w:type="dxa"/>
            <w:right w:w="0" w:type="dxa"/>
          </w:tblCellMar>
        </w:tblPrEx>
        <w:trPr>
          <w:tblHeader/>
          <w:jc w:val="center"/>
        </w:trPr>
        <w:tc>
          <w:tcPr>
            <w:tcW w:w="989" w:type="dxa"/>
            <w:vAlign w:val="center"/>
          </w:tcPr>
          <w:p>
            <w:pPr>
              <w:pStyle w:val="3463"/>
              <w:jc w:val="center"/>
              <w:rPr>
                <w:b/>
                <w:color w:val="000000" w:themeColor="text1"/>
                <w14:textFill>
                  <w14:solidFill>
                    <w14:schemeClr w14:val="tx1"/>
                  </w14:solidFill>
                </w14:textFill>
              </w:rPr>
            </w:pPr>
            <w:bookmarkStart w:id="125" w:name="_Hlk143513067"/>
            <w:r>
              <w:rPr>
                <w:b/>
                <w:color w:val="000000" w:themeColor="text1"/>
                <w14:textFill>
                  <w14:solidFill>
                    <w14:schemeClr w14:val="tx1"/>
                  </w14:solidFill>
                </w14:textFill>
              </w:rPr>
              <w:t>环境管控单元编码</w:t>
            </w:r>
          </w:p>
        </w:tc>
        <w:tc>
          <w:tcPr>
            <w:tcW w:w="727" w:type="dxa"/>
            <w:vAlign w:val="center"/>
          </w:tcPr>
          <w:p>
            <w:pPr>
              <w:pStyle w:val="3463"/>
              <w:jc w:val="center"/>
              <w:rPr>
                <w:b/>
                <w:color w:val="000000" w:themeColor="text1"/>
                <w14:textFill>
                  <w14:solidFill>
                    <w14:schemeClr w14:val="tx1"/>
                  </w14:solidFill>
                </w14:textFill>
              </w:rPr>
            </w:pPr>
            <w:r>
              <w:rPr>
                <w:b/>
                <w:color w:val="000000" w:themeColor="text1"/>
                <w14:textFill>
                  <w14:solidFill>
                    <w14:schemeClr w14:val="tx1"/>
                  </w14:solidFill>
                </w14:textFill>
              </w:rPr>
              <w:t>环境管控单元名称</w:t>
            </w:r>
          </w:p>
        </w:tc>
        <w:tc>
          <w:tcPr>
            <w:tcW w:w="711" w:type="dxa"/>
            <w:vAlign w:val="center"/>
          </w:tcPr>
          <w:p>
            <w:pPr>
              <w:pStyle w:val="3463"/>
              <w:jc w:val="center"/>
              <w:rPr>
                <w:b/>
                <w:color w:val="000000" w:themeColor="text1"/>
                <w14:textFill>
                  <w14:solidFill>
                    <w14:schemeClr w14:val="tx1"/>
                  </w14:solidFill>
                </w14:textFill>
              </w:rPr>
            </w:pPr>
            <w:r>
              <w:rPr>
                <w:b/>
                <w:color w:val="000000" w:themeColor="text1"/>
                <w14:textFill>
                  <w14:solidFill>
                    <w14:schemeClr w14:val="tx1"/>
                  </w14:solidFill>
                </w14:textFill>
              </w:rPr>
              <w:t>管控单元类别</w:t>
            </w:r>
          </w:p>
        </w:tc>
        <w:tc>
          <w:tcPr>
            <w:tcW w:w="3824" w:type="dxa"/>
            <w:gridSpan w:val="2"/>
            <w:vAlign w:val="center"/>
          </w:tcPr>
          <w:p>
            <w:pPr>
              <w:pStyle w:val="3463"/>
              <w:jc w:val="center"/>
              <w:rPr>
                <w:b/>
                <w:color w:val="000000" w:themeColor="text1"/>
                <w14:textFill>
                  <w14:solidFill>
                    <w14:schemeClr w14:val="tx1"/>
                  </w14:solidFill>
                </w14:textFill>
              </w:rPr>
            </w:pPr>
            <w:r>
              <w:rPr>
                <w:b/>
                <w:color w:val="000000" w:themeColor="text1"/>
                <w14:textFill>
                  <w14:solidFill>
                    <w14:schemeClr w14:val="tx1"/>
                  </w14:solidFill>
                </w14:textFill>
              </w:rPr>
              <w:t>管控要求</w:t>
            </w:r>
          </w:p>
        </w:tc>
        <w:tc>
          <w:tcPr>
            <w:tcW w:w="2091" w:type="dxa"/>
            <w:vAlign w:val="center"/>
          </w:tcPr>
          <w:p>
            <w:pPr>
              <w:pStyle w:val="3463"/>
              <w:jc w:val="center"/>
              <w:rPr>
                <w:b/>
                <w:color w:val="000000" w:themeColor="text1"/>
                <w14:textFill>
                  <w14:solidFill>
                    <w14:schemeClr w14:val="tx1"/>
                  </w14:solidFill>
                </w14:textFill>
              </w:rPr>
            </w:pPr>
            <w:r>
              <w:rPr>
                <w:rFonts w:hint="eastAsia"/>
                <w:b/>
                <w:color w:val="000000" w:themeColor="text1"/>
                <w14:textFill>
                  <w14:solidFill>
                    <w14:schemeClr w14:val="tx1"/>
                  </w14:solidFill>
                </w14:textFill>
              </w:rPr>
              <w:t>相符性分析</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0" w:type="dxa"/>
            <w:bottom w:w="0" w:type="dxa"/>
            <w:right w:w="0" w:type="dxa"/>
          </w:tblCellMar>
        </w:tblPrEx>
        <w:trPr>
          <w:jc w:val="center"/>
        </w:trPr>
        <w:tc>
          <w:tcPr>
            <w:tcW w:w="989" w:type="dxa"/>
            <w:vMerge w:val="restart"/>
            <w:vAlign w:val="center"/>
          </w:tcPr>
          <w:p>
            <w:pPr>
              <w:pStyle w:val="3463"/>
              <w:jc w:val="center"/>
              <w:rPr>
                <w:color w:val="000000" w:themeColor="text1"/>
                <w14:textFill>
                  <w14:solidFill>
                    <w14:schemeClr w14:val="tx1"/>
                  </w14:solidFill>
                </w14:textFill>
              </w:rPr>
            </w:pPr>
            <w:r>
              <w:rPr>
                <w:color w:val="000000" w:themeColor="text1"/>
                <w14:textFill>
                  <w14:solidFill>
                    <w14:schemeClr w14:val="tx1"/>
                  </w14:solidFill>
                </w14:textFill>
              </w:rPr>
              <w:t>ZH450702</w:t>
            </w:r>
          </w:p>
          <w:p>
            <w:pPr>
              <w:pStyle w:val="3463"/>
              <w:jc w:val="center"/>
              <w:rPr>
                <w:color w:val="000000" w:themeColor="text1"/>
                <w14:textFill>
                  <w14:solidFill>
                    <w14:schemeClr w14:val="tx1"/>
                  </w14:solidFill>
                </w14:textFill>
              </w:rPr>
            </w:pPr>
            <w:r>
              <w:rPr>
                <w:color w:val="000000" w:themeColor="text1"/>
                <w14:textFill>
                  <w14:solidFill>
                    <w14:schemeClr w14:val="tx1"/>
                  </w14:solidFill>
                </w14:textFill>
              </w:rPr>
              <w:t>20001</w:t>
            </w:r>
          </w:p>
        </w:tc>
        <w:tc>
          <w:tcPr>
            <w:tcW w:w="727" w:type="dxa"/>
            <w:vMerge w:val="restart"/>
            <w:vAlign w:val="center"/>
          </w:tcPr>
          <w:p>
            <w:pPr>
              <w:pStyle w:val="3463"/>
              <w:jc w:val="center"/>
              <w:rPr>
                <w:color w:val="000000" w:themeColor="text1"/>
                <w14:textFill>
                  <w14:solidFill>
                    <w14:schemeClr w14:val="tx1"/>
                  </w14:solidFill>
                </w14:textFill>
              </w:rPr>
            </w:pPr>
            <w:r>
              <w:rPr>
                <w:rFonts w:hint="eastAsia"/>
                <w:color w:val="000000" w:themeColor="text1"/>
                <w:kern w:val="0"/>
                <w14:textFill>
                  <w14:solidFill>
                    <w14:schemeClr w14:val="tx1"/>
                  </w14:solidFill>
                </w14:textFill>
              </w:rPr>
              <w:t>广西钦州保税港区重点管控单元</w:t>
            </w:r>
          </w:p>
        </w:tc>
        <w:tc>
          <w:tcPr>
            <w:tcW w:w="711" w:type="dxa"/>
            <w:vMerge w:val="restart"/>
            <w:vAlign w:val="center"/>
          </w:tcPr>
          <w:p>
            <w:pPr>
              <w:pStyle w:val="3463"/>
              <w:jc w:val="center"/>
              <w:rPr>
                <w:color w:val="000000" w:themeColor="text1"/>
                <w14:textFill>
                  <w14:solidFill>
                    <w14:schemeClr w14:val="tx1"/>
                  </w14:solidFill>
                </w14:textFill>
              </w:rPr>
            </w:pPr>
            <w:r>
              <w:rPr>
                <w:color w:val="000000" w:themeColor="text1"/>
                <w14:textFill>
                  <w14:solidFill>
                    <w14:schemeClr w14:val="tx1"/>
                  </w14:solidFill>
                </w14:textFill>
              </w:rPr>
              <w:t>重点管控单元</w:t>
            </w:r>
          </w:p>
        </w:tc>
        <w:tc>
          <w:tcPr>
            <w:tcW w:w="425" w:type="dxa"/>
            <w:vAlign w:val="center"/>
          </w:tcPr>
          <w:p>
            <w:pPr>
              <w:pStyle w:val="3463"/>
              <w:jc w:val="center"/>
              <w:rPr>
                <w:color w:val="000000" w:themeColor="text1"/>
                <w14:textFill>
                  <w14:solidFill>
                    <w14:schemeClr w14:val="tx1"/>
                  </w14:solidFill>
                </w14:textFill>
              </w:rPr>
            </w:pPr>
            <w:r>
              <w:rPr>
                <w:color w:val="000000" w:themeColor="text1"/>
                <w14:textFill>
                  <w14:solidFill>
                    <w14:schemeClr w14:val="tx1"/>
                  </w14:solidFill>
                </w14:textFill>
              </w:rPr>
              <w:t>空间布局约束</w:t>
            </w:r>
          </w:p>
        </w:tc>
        <w:tc>
          <w:tcPr>
            <w:tcW w:w="3399" w:type="dxa"/>
            <w:vAlign w:val="center"/>
          </w:tcPr>
          <w:p>
            <w:pPr>
              <w:pStyle w:val="3463"/>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1、居住用地周边严控布局潜在污染扰民和环境风险突出的建设项目。</w:t>
            </w:r>
          </w:p>
          <w:p>
            <w:pPr>
              <w:pStyle w:val="3463"/>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2、不得引进与园区产业定位不符的产业，引进项目清洁生产水平须达到国内同行业先进水平。</w:t>
            </w:r>
          </w:p>
          <w:p>
            <w:pPr>
              <w:pStyle w:val="3463"/>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3、园区产业准入执行《广西壮族自治区人民政府办公厅关于印发北钦防一体化产业协同发展限制布局清单（工业类2021年版）的通知》（桂政办函〔2021〕4号）要求，限制新建不符合综合保税区产业政策的产品加工制造和产业服务项目。</w:t>
            </w:r>
          </w:p>
        </w:tc>
        <w:tc>
          <w:tcPr>
            <w:tcW w:w="2091" w:type="dxa"/>
            <w:vAlign w:val="center"/>
          </w:tcPr>
          <w:p>
            <w:pPr>
              <w:pStyle w:val="3463"/>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1、大榄坪南作业区（保税港区）是钦州港从事集装箱运输的主要区域，与保税港区产业中码头作业区定位相符。</w:t>
            </w:r>
          </w:p>
          <w:p>
            <w:pPr>
              <w:pStyle w:val="3463"/>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2、本项目为自动化集装箱码头，</w:t>
            </w:r>
            <w:r>
              <w:rPr>
                <w:rFonts w:hint="eastAsia"/>
                <w:color w:val="000000" w:themeColor="text1"/>
                <w:lang w:val="zh-CN"/>
                <w14:textFill>
                  <w14:solidFill>
                    <w14:schemeClr w14:val="tx1"/>
                  </w14:solidFill>
                </w14:textFill>
              </w:rPr>
              <w:t>集装箱装卸作业采用龙门吊、IGV充电小车均为电能作业，清洁生产水平较高</w:t>
            </w:r>
            <w:r>
              <w:rPr>
                <w:rFonts w:hint="eastAsia"/>
                <w:color w:val="000000" w:themeColor="text1"/>
                <w14:textFill>
                  <w14:solidFill>
                    <w14:schemeClr w14:val="tx1"/>
                  </w14:solidFill>
                </w14:textFill>
              </w:rPr>
              <w:t>。</w:t>
            </w:r>
          </w:p>
          <w:p>
            <w:pPr>
              <w:pStyle w:val="3463"/>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3、本项目为集装箱码头建设，不属于《广西壮族自治区人民政府办公厅关于印发北钦防一体化产业协同发展限制布局清单（工业类2021年版）的通知》（桂政办函〔2021〕4号）中不符合综合保税区产业政策的产品加工制造和产业服务的项目。</w:t>
            </w:r>
            <w:r>
              <w:rPr>
                <w:rFonts w:hint="eastAsia"/>
                <w:b/>
                <w:color w:val="000000" w:themeColor="text1"/>
                <w14:textFill>
                  <w14:solidFill>
                    <w14:schemeClr w14:val="tx1"/>
                  </w14:solidFill>
                </w14:textFill>
              </w:rPr>
              <w:t>符合。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0" w:type="dxa"/>
            <w:bottom w:w="0" w:type="dxa"/>
            <w:right w:w="0" w:type="dxa"/>
          </w:tblCellMar>
        </w:tblPrEx>
        <w:trPr>
          <w:jc w:val="center"/>
        </w:trPr>
        <w:tc>
          <w:tcPr>
            <w:tcW w:w="989" w:type="dxa"/>
            <w:vMerge w:val="continue"/>
            <w:vAlign w:val="center"/>
          </w:tcPr>
          <w:p>
            <w:pPr>
              <w:pStyle w:val="3463"/>
              <w:jc w:val="center"/>
              <w:rPr>
                <w:color w:val="000000" w:themeColor="text1"/>
                <w14:textFill>
                  <w14:solidFill>
                    <w14:schemeClr w14:val="tx1"/>
                  </w14:solidFill>
                </w14:textFill>
              </w:rPr>
            </w:pPr>
          </w:p>
        </w:tc>
        <w:tc>
          <w:tcPr>
            <w:tcW w:w="727" w:type="dxa"/>
            <w:vMerge w:val="continue"/>
            <w:vAlign w:val="center"/>
          </w:tcPr>
          <w:p>
            <w:pPr>
              <w:pStyle w:val="3463"/>
              <w:jc w:val="center"/>
              <w:rPr>
                <w:color w:val="000000" w:themeColor="text1"/>
                <w14:textFill>
                  <w14:solidFill>
                    <w14:schemeClr w14:val="tx1"/>
                  </w14:solidFill>
                </w14:textFill>
              </w:rPr>
            </w:pPr>
          </w:p>
        </w:tc>
        <w:tc>
          <w:tcPr>
            <w:tcW w:w="711" w:type="dxa"/>
            <w:vMerge w:val="continue"/>
            <w:vAlign w:val="center"/>
          </w:tcPr>
          <w:p>
            <w:pPr>
              <w:pStyle w:val="3463"/>
              <w:jc w:val="center"/>
              <w:rPr>
                <w:color w:val="000000" w:themeColor="text1"/>
                <w14:textFill>
                  <w14:solidFill>
                    <w14:schemeClr w14:val="tx1"/>
                  </w14:solidFill>
                </w14:textFill>
              </w:rPr>
            </w:pPr>
          </w:p>
        </w:tc>
        <w:tc>
          <w:tcPr>
            <w:tcW w:w="425" w:type="dxa"/>
            <w:vAlign w:val="center"/>
          </w:tcPr>
          <w:p>
            <w:pPr>
              <w:pStyle w:val="3463"/>
              <w:jc w:val="center"/>
              <w:rPr>
                <w:color w:val="000000" w:themeColor="text1"/>
                <w14:textFill>
                  <w14:solidFill>
                    <w14:schemeClr w14:val="tx1"/>
                  </w14:solidFill>
                </w14:textFill>
              </w:rPr>
            </w:pPr>
            <w:r>
              <w:rPr>
                <w:color w:val="000000" w:themeColor="text1"/>
                <w14:textFill>
                  <w14:solidFill>
                    <w14:schemeClr w14:val="tx1"/>
                  </w14:solidFill>
                </w14:textFill>
              </w:rPr>
              <w:t>污染物排放管控</w:t>
            </w:r>
          </w:p>
        </w:tc>
        <w:tc>
          <w:tcPr>
            <w:tcW w:w="3399" w:type="dxa"/>
            <w:vAlign w:val="center"/>
          </w:tcPr>
          <w:p>
            <w:pPr>
              <w:pStyle w:val="3463"/>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1、完善工业园区污水集中处理设施和配套管网。实行“清污分流、雨污分流”，实现废水分类收集、分质处理，入园企业应在达到国家或地方规定的排放标准后接入集中式污水处理设施处理，园区集中式污水处理设施总排口应安装自动监控系统、视频监控系统，并与环境保护主管部门联网。</w:t>
            </w:r>
          </w:p>
          <w:p>
            <w:pPr>
              <w:pStyle w:val="3463"/>
              <w:jc w:val="left"/>
              <w:rPr>
                <w:color w:val="000000" w:themeColor="text1"/>
                <w14:textFill>
                  <w14:solidFill>
                    <w14:schemeClr w14:val="tx1"/>
                  </w14:solidFill>
                </w14:textFill>
              </w:rPr>
            </w:pPr>
            <w:r>
              <w:rPr>
                <w:rFonts w:hint="eastAsia"/>
                <w:color w:val="000000" w:themeColor="text1"/>
                <w14:textFill>
                  <w14:solidFill>
                    <w14:schemeClr w14:val="tx1"/>
                  </w14:solidFill>
                </w14:textFill>
              </w:rPr>
              <w:t>2、强化工业企业无组织排放管理。</w:t>
            </w:r>
          </w:p>
          <w:p>
            <w:pPr>
              <w:pStyle w:val="3463"/>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3、有条件的工业聚集区建设集中喷涂工程中心，配备高效治污设施，替代企业独立喷涂工序。推动重点行业挥发性有机物（VOCs）污染防治，强化企业精细化管控、无组织废气排放控制以及高效治污设施建设，严格控制挥发性有机污染物排放。</w:t>
            </w:r>
          </w:p>
          <w:p>
            <w:pPr>
              <w:pStyle w:val="3463"/>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4、工业固废以循环经济的理念进行处置，逐步实行垃圾分类收集，危险工业垃圾独立安全处置。</w:t>
            </w:r>
          </w:p>
        </w:tc>
        <w:tc>
          <w:tcPr>
            <w:tcW w:w="2091" w:type="dxa"/>
            <w:vAlign w:val="center"/>
          </w:tcPr>
          <w:p>
            <w:pPr>
              <w:pStyle w:val="3463"/>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1、本项目船舶污染物按要求委托有资质单位进行接收转运，不在本码头进行接收处置。本项目设置雨污分流，生活污水依托7号8号泊位生活污水处理站收集预处理后进入市政污水管网。</w:t>
            </w:r>
          </w:p>
          <w:p>
            <w:pPr>
              <w:pStyle w:val="3463"/>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2、项目固体废物分类收集至7号8号泊位生活垃圾中转站。</w:t>
            </w:r>
            <w:r>
              <w:rPr>
                <w:rFonts w:hint="eastAsia"/>
                <w:b/>
                <w:color w:val="000000" w:themeColor="text1"/>
                <w14:textFill>
                  <w14:solidFill>
                    <w14:schemeClr w14:val="tx1"/>
                  </w14:solidFill>
                </w14:textFill>
              </w:rPr>
              <w:t>符合</w:t>
            </w:r>
            <w:r>
              <w:rPr>
                <w:rFonts w:hint="eastAsia"/>
                <w:color w:val="000000" w:themeColor="text1"/>
                <w14:textFill>
                  <w14:solidFill>
                    <w14:schemeClr w14:val="tx1"/>
                  </w14:solidFill>
                </w14:textFill>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0" w:type="dxa"/>
            <w:bottom w:w="0" w:type="dxa"/>
            <w:right w:w="0" w:type="dxa"/>
          </w:tblCellMar>
        </w:tblPrEx>
        <w:trPr>
          <w:jc w:val="center"/>
        </w:trPr>
        <w:tc>
          <w:tcPr>
            <w:tcW w:w="989" w:type="dxa"/>
            <w:vMerge w:val="continue"/>
            <w:vAlign w:val="center"/>
          </w:tcPr>
          <w:p>
            <w:pPr>
              <w:pStyle w:val="3463"/>
              <w:jc w:val="center"/>
              <w:rPr>
                <w:color w:val="000000" w:themeColor="text1"/>
                <w14:textFill>
                  <w14:solidFill>
                    <w14:schemeClr w14:val="tx1"/>
                  </w14:solidFill>
                </w14:textFill>
              </w:rPr>
            </w:pPr>
          </w:p>
        </w:tc>
        <w:tc>
          <w:tcPr>
            <w:tcW w:w="727" w:type="dxa"/>
            <w:vMerge w:val="continue"/>
            <w:vAlign w:val="center"/>
          </w:tcPr>
          <w:p>
            <w:pPr>
              <w:pStyle w:val="3463"/>
              <w:jc w:val="center"/>
              <w:rPr>
                <w:color w:val="000000" w:themeColor="text1"/>
                <w14:textFill>
                  <w14:solidFill>
                    <w14:schemeClr w14:val="tx1"/>
                  </w14:solidFill>
                </w14:textFill>
              </w:rPr>
            </w:pPr>
          </w:p>
        </w:tc>
        <w:tc>
          <w:tcPr>
            <w:tcW w:w="711" w:type="dxa"/>
            <w:vMerge w:val="continue"/>
            <w:vAlign w:val="center"/>
          </w:tcPr>
          <w:p>
            <w:pPr>
              <w:pStyle w:val="3463"/>
              <w:jc w:val="center"/>
              <w:rPr>
                <w:color w:val="000000" w:themeColor="text1"/>
                <w14:textFill>
                  <w14:solidFill>
                    <w14:schemeClr w14:val="tx1"/>
                  </w14:solidFill>
                </w14:textFill>
              </w:rPr>
            </w:pPr>
          </w:p>
        </w:tc>
        <w:tc>
          <w:tcPr>
            <w:tcW w:w="425" w:type="dxa"/>
            <w:vAlign w:val="center"/>
          </w:tcPr>
          <w:p>
            <w:pPr>
              <w:pStyle w:val="3463"/>
              <w:jc w:val="center"/>
              <w:rPr>
                <w:color w:val="000000" w:themeColor="text1"/>
                <w14:textFill>
                  <w14:solidFill>
                    <w14:schemeClr w14:val="tx1"/>
                  </w14:solidFill>
                </w14:textFill>
              </w:rPr>
            </w:pPr>
            <w:r>
              <w:rPr>
                <w:color w:val="000000" w:themeColor="text1"/>
                <w14:textFill>
                  <w14:solidFill>
                    <w14:schemeClr w14:val="tx1"/>
                  </w14:solidFill>
                </w14:textFill>
              </w:rPr>
              <w:t>环境风险防控</w:t>
            </w:r>
          </w:p>
        </w:tc>
        <w:tc>
          <w:tcPr>
            <w:tcW w:w="3399" w:type="dxa"/>
            <w:vAlign w:val="center"/>
          </w:tcPr>
          <w:p>
            <w:pPr>
              <w:pStyle w:val="3463"/>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1、入区项目应严格落实环境保护措施和环境风险防范措施，确保园区周边麻兰岛旅游度假区、鹿耳环江红树林生态安全。</w:t>
            </w:r>
          </w:p>
          <w:p>
            <w:pPr>
              <w:pStyle w:val="3463"/>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2、开展环境风险评估，制定突发环境事件应急预案并备案，配备应急能力和物资，建设环境应急队伍，并定期演练。企业、园区与地方人民政府环境应急预案应当有机衔接。</w:t>
            </w:r>
          </w:p>
        </w:tc>
        <w:tc>
          <w:tcPr>
            <w:tcW w:w="2091" w:type="dxa"/>
            <w:vAlign w:val="center"/>
          </w:tcPr>
          <w:p>
            <w:pPr>
              <w:pStyle w:val="3463"/>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1、本项目施工及运营期间产生的污染物不外排入海，不会对周边海域的环境产生不利影响。</w:t>
            </w:r>
          </w:p>
          <w:p>
            <w:pPr>
              <w:pStyle w:val="3463"/>
              <w:jc w:val="center"/>
              <w:rPr>
                <w:color w:val="000000" w:themeColor="text1"/>
                <w14:textFill>
                  <w14:solidFill>
                    <w14:schemeClr w14:val="tx1"/>
                  </w14:solidFill>
                </w14:textFill>
              </w:rPr>
            </w:pPr>
            <w:r>
              <w:rPr>
                <w:color w:val="000000" w:themeColor="text1"/>
                <w14:textFill>
                  <w14:solidFill>
                    <w14:schemeClr w14:val="tx1"/>
                  </w14:solidFill>
                </w14:textFill>
              </w:rPr>
              <w:t>2</w:t>
            </w:r>
            <w:r>
              <w:rPr>
                <w:rFonts w:hint="eastAsia"/>
                <w:color w:val="000000" w:themeColor="text1"/>
                <w14:textFill>
                  <w14:solidFill>
                    <w14:schemeClr w14:val="tx1"/>
                  </w14:solidFill>
                </w14:textFill>
              </w:rPr>
              <w:t>、项目运营后按要求开展风险评估，制订突发环境应急预案，健全企业应急制度管理。</w:t>
            </w:r>
            <w:r>
              <w:rPr>
                <w:rFonts w:hint="eastAsia"/>
                <w:b/>
                <w:bCs/>
                <w:color w:val="000000" w:themeColor="text1"/>
                <w14:textFill>
                  <w14:solidFill>
                    <w14:schemeClr w14:val="tx1"/>
                  </w14:solidFill>
                </w14:textFill>
              </w:rPr>
              <w:t>符合。</w:t>
            </w:r>
          </w:p>
        </w:tc>
      </w:tr>
    </w:tbl>
    <w:p>
      <w:pPr>
        <w:pStyle w:val="384"/>
        <w:numPr>
          <w:ilvl w:val="0"/>
          <w:numId w:val="0"/>
        </w:numPr>
        <w:ind w:left="528"/>
        <w:rPr>
          <w:color w:val="000000" w:themeColor="text1"/>
          <w14:textFill>
            <w14:solidFill>
              <w14:schemeClr w14:val="tx1"/>
            </w14:solidFill>
          </w14:textFill>
        </w:rPr>
      </w:pPr>
    </w:p>
    <w:p>
      <w:pPr>
        <w:pStyle w:val="384"/>
        <w:ind w:left="0" w:firstLine="528"/>
        <w:rPr>
          <w:color w:val="000000" w:themeColor="text1"/>
          <w14:textFill>
            <w14:solidFill>
              <w14:schemeClr w14:val="tx1"/>
            </w14:solidFill>
          </w14:textFill>
        </w:rPr>
      </w:pPr>
      <w:r>
        <w:rPr>
          <w:rFonts w:hint="eastAsia"/>
          <w:color w:val="000000" w:themeColor="text1"/>
          <w14:textFill>
            <w14:solidFill>
              <w14:schemeClr w14:val="tx1"/>
            </w14:solidFill>
          </w14:textFill>
        </w:rPr>
        <w:t>项目与钦州市生态环境准入及管控要求清单相符性分析</w:t>
      </w:r>
    </w:p>
    <w:tbl>
      <w:tblPr>
        <w:tblStyle w:val="88"/>
        <w:tblW w:w="8368" w:type="dxa"/>
        <w:jc w:val="center"/>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540"/>
        <w:gridCol w:w="5460"/>
        <w:gridCol w:w="2368"/>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blHeader/>
          <w:jc w:val="center"/>
        </w:trPr>
        <w:tc>
          <w:tcPr>
            <w:tcW w:w="540" w:type="dxa"/>
            <w:shd w:val="clear" w:color="auto" w:fill="auto"/>
            <w:tcMar>
              <w:left w:w="28" w:type="dxa"/>
              <w:right w:w="28" w:type="dxa"/>
            </w:tcMar>
            <w:vAlign w:val="center"/>
          </w:tcPr>
          <w:p>
            <w:pPr>
              <w:pStyle w:val="3460"/>
              <w:spacing w:line="240" w:lineRule="exact"/>
              <w:ind w:firstLine="0" w:firstLineChars="0"/>
              <w:jc w:val="center"/>
              <w:rPr>
                <w:b/>
                <w:color w:val="000000" w:themeColor="text1"/>
                <w14:textFill>
                  <w14:solidFill>
                    <w14:schemeClr w14:val="tx1"/>
                  </w14:solidFill>
                </w14:textFill>
              </w:rPr>
            </w:pPr>
            <w:r>
              <w:rPr>
                <w:b/>
                <w:color w:val="000000" w:themeColor="text1"/>
                <w14:textFill>
                  <w14:solidFill>
                    <w14:schemeClr w14:val="tx1"/>
                  </w14:solidFill>
                </w14:textFill>
              </w:rPr>
              <w:t>管控类别</w:t>
            </w:r>
          </w:p>
        </w:tc>
        <w:tc>
          <w:tcPr>
            <w:tcW w:w="5460" w:type="dxa"/>
            <w:shd w:val="clear" w:color="auto" w:fill="auto"/>
            <w:tcMar>
              <w:left w:w="28" w:type="dxa"/>
              <w:right w:w="28" w:type="dxa"/>
            </w:tcMar>
            <w:vAlign w:val="center"/>
          </w:tcPr>
          <w:p>
            <w:pPr>
              <w:pStyle w:val="3460"/>
              <w:spacing w:line="240" w:lineRule="exact"/>
              <w:ind w:firstLine="0" w:firstLineChars="0"/>
              <w:jc w:val="center"/>
              <w:rPr>
                <w:b/>
                <w:color w:val="000000" w:themeColor="text1"/>
                <w14:textFill>
                  <w14:solidFill>
                    <w14:schemeClr w14:val="tx1"/>
                  </w14:solidFill>
                </w14:textFill>
              </w:rPr>
            </w:pPr>
            <w:r>
              <w:rPr>
                <w:b/>
                <w:color w:val="000000" w:themeColor="text1"/>
                <w14:textFill>
                  <w14:solidFill>
                    <w14:schemeClr w14:val="tx1"/>
                  </w14:solidFill>
                </w14:textFill>
              </w:rPr>
              <w:t>生态环境准入及管控要求</w:t>
            </w:r>
          </w:p>
        </w:tc>
        <w:tc>
          <w:tcPr>
            <w:tcW w:w="2368" w:type="dxa"/>
            <w:shd w:val="clear" w:color="auto" w:fill="auto"/>
            <w:tcMar>
              <w:left w:w="28" w:type="dxa"/>
              <w:right w:w="28" w:type="dxa"/>
            </w:tcMar>
            <w:vAlign w:val="center"/>
          </w:tcPr>
          <w:p>
            <w:pPr>
              <w:pStyle w:val="3460"/>
              <w:spacing w:line="240" w:lineRule="exact"/>
              <w:ind w:firstLine="0" w:firstLineChars="0"/>
              <w:jc w:val="center"/>
              <w:rPr>
                <w:b/>
                <w:color w:val="000000" w:themeColor="text1"/>
                <w14:textFill>
                  <w14:solidFill>
                    <w14:schemeClr w14:val="tx1"/>
                  </w14:solidFill>
                </w14:textFill>
              </w:rPr>
            </w:pPr>
            <w:r>
              <w:rPr>
                <w:b/>
                <w:color w:val="000000" w:themeColor="text1"/>
                <w14:textFill>
                  <w14:solidFill>
                    <w14:schemeClr w14:val="tx1"/>
                  </w14:solidFill>
                </w14:textFill>
              </w:rPr>
              <w:t>相符性分析</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jc w:val="center"/>
        </w:trPr>
        <w:tc>
          <w:tcPr>
            <w:tcW w:w="540" w:type="dxa"/>
            <w:vMerge w:val="restart"/>
            <w:shd w:val="clear" w:color="auto" w:fill="auto"/>
            <w:tcMar>
              <w:left w:w="28" w:type="dxa"/>
              <w:right w:w="28" w:type="dxa"/>
            </w:tcMar>
            <w:vAlign w:val="center"/>
          </w:tcPr>
          <w:p>
            <w:pPr>
              <w:pStyle w:val="3460"/>
              <w:spacing w:line="240" w:lineRule="exact"/>
              <w:ind w:firstLine="0" w:firstLineChars="0"/>
              <w:rPr>
                <w:color w:val="000000" w:themeColor="text1"/>
                <w14:textFill>
                  <w14:solidFill>
                    <w14:schemeClr w14:val="tx1"/>
                  </w14:solidFill>
                </w14:textFill>
              </w:rPr>
            </w:pPr>
            <w:r>
              <w:rPr>
                <w:color w:val="000000" w:themeColor="text1"/>
                <w14:textFill>
                  <w14:solidFill>
                    <w14:schemeClr w14:val="tx1"/>
                  </w14:solidFill>
                </w14:textFill>
              </w:rPr>
              <w:t>空间布局约束</w:t>
            </w:r>
          </w:p>
        </w:tc>
        <w:tc>
          <w:tcPr>
            <w:tcW w:w="5460" w:type="dxa"/>
            <w:shd w:val="clear" w:color="auto" w:fill="auto"/>
            <w:tcMar>
              <w:left w:w="28" w:type="dxa"/>
              <w:right w:w="28" w:type="dxa"/>
            </w:tcMar>
            <w:vAlign w:val="center"/>
          </w:tcPr>
          <w:p>
            <w:pPr>
              <w:pStyle w:val="3460"/>
              <w:spacing w:line="240" w:lineRule="exact"/>
              <w:ind w:firstLine="0" w:firstLineChars="0"/>
              <w:jc w:val="both"/>
              <w:rPr>
                <w:color w:val="000000" w:themeColor="text1"/>
                <w14:textFill>
                  <w14:solidFill>
                    <w14:schemeClr w14:val="tx1"/>
                  </w14:solidFill>
                </w14:textFill>
              </w:rPr>
            </w:pPr>
            <w:r>
              <w:rPr>
                <w:color w:val="000000" w:themeColor="text1"/>
                <w14:textFill>
                  <w14:solidFill>
                    <w14:schemeClr w14:val="tx1"/>
                  </w14:solidFill>
                </w14:textFill>
              </w:rPr>
              <w:t>1.自然保护地、森林公园、湿地公园、水源保护区、风景名胜区、公益林、天然林等具有法律地位，有管理条例、规定、办法管控的各类保护地，其管控要求原则上按照各类保护地的现行规定进行管理，重叠区域以最严格的要求进行管理。纳入生态保护红线管理的各类自然保护地，还应执行《关于在国土空间规划中统筹划定落实三条控制线的指导意见》相关要求以及国家、自治区有关生态保护红线内各类开发活动的准入及管控规定和要求。</w:t>
            </w:r>
          </w:p>
        </w:tc>
        <w:tc>
          <w:tcPr>
            <w:tcW w:w="2368" w:type="dxa"/>
            <w:shd w:val="clear" w:color="auto" w:fill="auto"/>
            <w:tcMar>
              <w:left w:w="28" w:type="dxa"/>
              <w:right w:w="28" w:type="dxa"/>
            </w:tcMar>
            <w:vAlign w:val="center"/>
          </w:tcPr>
          <w:p>
            <w:pPr>
              <w:pStyle w:val="3460"/>
              <w:spacing w:line="240" w:lineRule="exact"/>
              <w:ind w:firstLine="0" w:firstLineChars="0"/>
              <w:jc w:val="both"/>
              <w:rPr>
                <w:color w:val="000000" w:themeColor="text1"/>
                <w14:textFill>
                  <w14:solidFill>
                    <w14:schemeClr w14:val="tx1"/>
                  </w14:solidFill>
                </w14:textFill>
              </w:rPr>
            </w:pPr>
            <w:r>
              <w:rPr>
                <w:rFonts w:hint="eastAsia"/>
                <w:color w:val="000000" w:themeColor="text1"/>
                <w14:textFill>
                  <w14:solidFill>
                    <w14:schemeClr w14:val="tx1"/>
                  </w14:solidFill>
                </w14:textFill>
              </w:rPr>
              <w:t>项目不涉及所列各类保护地，位于划定的重点管控单元内。</w:t>
            </w:r>
            <w:r>
              <w:rPr>
                <w:rFonts w:hint="eastAsia"/>
                <w:b/>
                <w:bCs/>
                <w:color w:val="000000" w:themeColor="text1"/>
                <w14:textFill>
                  <w14:solidFill>
                    <w14:schemeClr w14:val="tx1"/>
                  </w14:solidFill>
                </w14:textFill>
              </w:rPr>
              <w:t>符合。</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874" w:hRule="atLeast"/>
          <w:jc w:val="center"/>
        </w:trPr>
        <w:tc>
          <w:tcPr>
            <w:tcW w:w="540" w:type="dxa"/>
            <w:vMerge w:val="continue"/>
            <w:shd w:val="clear" w:color="auto" w:fill="auto"/>
            <w:tcMar>
              <w:left w:w="28" w:type="dxa"/>
              <w:right w:w="28" w:type="dxa"/>
            </w:tcMar>
            <w:vAlign w:val="center"/>
          </w:tcPr>
          <w:p>
            <w:pPr>
              <w:pStyle w:val="3460"/>
              <w:spacing w:line="240" w:lineRule="exact"/>
              <w:ind w:firstLine="0" w:firstLineChars="0"/>
              <w:rPr>
                <w:color w:val="000000" w:themeColor="text1"/>
                <w14:textFill>
                  <w14:solidFill>
                    <w14:schemeClr w14:val="tx1"/>
                  </w14:solidFill>
                </w14:textFill>
              </w:rPr>
            </w:pPr>
          </w:p>
        </w:tc>
        <w:tc>
          <w:tcPr>
            <w:tcW w:w="5460" w:type="dxa"/>
            <w:shd w:val="clear" w:color="auto" w:fill="auto"/>
            <w:tcMar>
              <w:left w:w="28" w:type="dxa"/>
              <w:right w:w="28" w:type="dxa"/>
            </w:tcMar>
            <w:vAlign w:val="center"/>
          </w:tcPr>
          <w:p>
            <w:pPr>
              <w:pStyle w:val="3460"/>
              <w:spacing w:line="240" w:lineRule="exact"/>
              <w:ind w:firstLine="0" w:firstLineChars="0"/>
              <w:jc w:val="both"/>
              <w:rPr>
                <w:color w:val="000000" w:themeColor="text1"/>
                <w14:textFill>
                  <w14:solidFill>
                    <w14:schemeClr w14:val="tx1"/>
                  </w14:solidFill>
                </w14:textFill>
              </w:rPr>
            </w:pPr>
            <w:r>
              <w:rPr>
                <w:color w:val="000000" w:themeColor="text1"/>
                <w14:textFill>
                  <w14:solidFill>
                    <w14:schemeClr w14:val="tx1"/>
                  </w14:solidFill>
                </w14:textFill>
              </w:rPr>
              <w:t>2.</w:t>
            </w:r>
            <w:r>
              <w:rPr>
                <w:rFonts w:hint="eastAsia"/>
                <w:color w:val="000000" w:themeColor="text1"/>
                <w14:textFill>
                  <w14:solidFill>
                    <w14:schemeClr w14:val="tx1"/>
                  </w14:solidFill>
                </w14:textFill>
              </w:rPr>
              <w:t>红树林依据《广西壮族自治区红树林资源保护条例》进行管理。开展红树林修复要依法依规进行，并符合红树林资源保护规划等相关要求。</w:t>
            </w:r>
          </w:p>
        </w:tc>
        <w:tc>
          <w:tcPr>
            <w:tcW w:w="2368" w:type="dxa"/>
            <w:shd w:val="clear" w:color="auto" w:fill="auto"/>
            <w:tcMar>
              <w:left w:w="28" w:type="dxa"/>
              <w:right w:w="28" w:type="dxa"/>
            </w:tcMar>
            <w:vAlign w:val="center"/>
          </w:tcPr>
          <w:p>
            <w:pPr>
              <w:pStyle w:val="3460"/>
              <w:spacing w:line="240" w:lineRule="exact"/>
              <w:ind w:firstLine="0" w:firstLineChars="0"/>
              <w:jc w:val="both"/>
              <w:rPr>
                <w:color w:val="000000" w:themeColor="text1"/>
                <w14:textFill>
                  <w14:solidFill>
                    <w14:schemeClr w14:val="tx1"/>
                  </w14:solidFill>
                </w14:textFill>
              </w:rPr>
            </w:pPr>
            <w:r>
              <w:rPr>
                <w:rFonts w:hint="eastAsia"/>
                <w:color w:val="000000" w:themeColor="text1"/>
                <w14:textFill>
                  <w14:solidFill>
                    <w14:schemeClr w14:val="tx1"/>
                  </w14:solidFill>
                </w14:textFill>
              </w:rPr>
              <w:t>项目位于规划港区内，不涉及占用红树林资源。</w:t>
            </w:r>
            <w:r>
              <w:rPr>
                <w:rFonts w:hint="eastAsia"/>
                <w:b/>
                <w:bCs/>
                <w:color w:val="000000" w:themeColor="text1"/>
                <w14:textFill>
                  <w14:solidFill>
                    <w14:schemeClr w14:val="tx1"/>
                  </w14:solidFill>
                </w14:textFill>
              </w:rPr>
              <w:t>符合。</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jc w:val="center"/>
        </w:trPr>
        <w:tc>
          <w:tcPr>
            <w:tcW w:w="540" w:type="dxa"/>
            <w:vMerge w:val="continue"/>
            <w:shd w:val="clear" w:color="auto" w:fill="auto"/>
            <w:tcMar>
              <w:left w:w="28" w:type="dxa"/>
              <w:right w:w="28" w:type="dxa"/>
            </w:tcMar>
            <w:vAlign w:val="center"/>
          </w:tcPr>
          <w:p>
            <w:pPr>
              <w:pStyle w:val="3460"/>
              <w:spacing w:line="240" w:lineRule="exact"/>
              <w:ind w:firstLine="0" w:firstLineChars="0"/>
              <w:rPr>
                <w:color w:val="000000" w:themeColor="text1"/>
                <w14:textFill>
                  <w14:solidFill>
                    <w14:schemeClr w14:val="tx1"/>
                  </w14:solidFill>
                </w14:textFill>
              </w:rPr>
            </w:pPr>
          </w:p>
        </w:tc>
        <w:tc>
          <w:tcPr>
            <w:tcW w:w="5460" w:type="dxa"/>
            <w:shd w:val="clear" w:color="auto" w:fill="auto"/>
            <w:tcMar>
              <w:left w:w="28" w:type="dxa"/>
              <w:right w:w="28" w:type="dxa"/>
            </w:tcMar>
            <w:vAlign w:val="center"/>
          </w:tcPr>
          <w:p>
            <w:pPr>
              <w:pStyle w:val="3460"/>
              <w:spacing w:line="240" w:lineRule="exact"/>
              <w:ind w:firstLine="0" w:firstLineChars="0"/>
              <w:jc w:val="both"/>
              <w:rPr>
                <w:color w:val="000000" w:themeColor="text1"/>
                <w14:textFill>
                  <w14:solidFill>
                    <w14:schemeClr w14:val="tx1"/>
                  </w14:solidFill>
                </w14:textFill>
              </w:rPr>
            </w:pPr>
            <w:r>
              <w:rPr>
                <w:rFonts w:hint="eastAsia"/>
                <w:color w:val="000000" w:themeColor="text1"/>
                <w14:textFill>
                  <w14:solidFill>
                    <w14:schemeClr w14:val="tx1"/>
                  </w14:solidFill>
                </w14:textFill>
              </w:rPr>
              <w:t>8</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海洋开发和海岸开发各类活动，大陆自然岸线保有率标准不低于35%、无居民海岛岸线长度保有率标准不低于85%。</w:t>
            </w:r>
          </w:p>
        </w:tc>
        <w:tc>
          <w:tcPr>
            <w:tcW w:w="2368" w:type="dxa"/>
            <w:shd w:val="clear" w:color="auto" w:fill="auto"/>
            <w:tcMar>
              <w:left w:w="28" w:type="dxa"/>
              <w:right w:w="28" w:type="dxa"/>
            </w:tcMar>
            <w:vAlign w:val="center"/>
          </w:tcPr>
          <w:p>
            <w:pPr>
              <w:pStyle w:val="3460"/>
              <w:spacing w:line="240" w:lineRule="exact"/>
              <w:ind w:firstLine="0" w:firstLineChars="0"/>
              <w:jc w:val="both"/>
              <w:rPr>
                <w:color w:val="000000" w:themeColor="text1"/>
                <w14:textFill>
                  <w14:solidFill>
                    <w14:schemeClr w14:val="tx1"/>
                  </w14:solidFill>
                </w14:textFill>
              </w:rPr>
            </w:pPr>
            <w:r>
              <w:rPr>
                <w:rFonts w:hint="eastAsia"/>
                <w:color w:val="000000" w:themeColor="text1"/>
                <w14:textFill>
                  <w14:solidFill>
                    <w14:schemeClr w14:val="tx1"/>
                  </w14:solidFill>
                </w14:textFill>
              </w:rPr>
              <w:t>本项目为规划泊位，在已建工程基础上进行扩建，新增使用岸线已取得岸线联合审批意见。</w:t>
            </w:r>
            <w:r>
              <w:rPr>
                <w:rFonts w:hint="eastAsia"/>
                <w:b/>
                <w:bCs/>
                <w:color w:val="000000" w:themeColor="text1"/>
                <w14:textFill>
                  <w14:solidFill>
                    <w14:schemeClr w14:val="tx1"/>
                  </w14:solidFill>
                </w14:textFill>
              </w:rPr>
              <w:t>符合。</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jc w:val="center"/>
        </w:trPr>
        <w:tc>
          <w:tcPr>
            <w:tcW w:w="540" w:type="dxa"/>
            <w:vMerge w:val="continue"/>
            <w:shd w:val="clear" w:color="auto" w:fill="auto"/>
            <w:tcMar>
              <w:left w:w="28" w:type="dxa"/>
              <w:right w:w="28" w:type="dxa"/>
            </w:tcMar>
            <w:vAlign w:val="center"/>
          </w:tcPr>
          <w:p>
            <w:pPr>
              <w:pStyle w:val="3460"/>
              <w:spacing w:line="240" w:lineRule="exact"/>
              <w:ind w:firstLine="0" w:firstLineChars="0"/>
              <w:rPr>
                <w:color w:val="000000" w:themeColor="text1"/>
                <w14:textFill>
                  <w14:solidFill>
                    <w14:schemeClr w14:val="tx1"/>
                  </w14:solidFill>
                </w14:textFill>
              </w:rPr>
            </w:pPr>
          </w:p>
        </w:tc>
        <w:tc>
          <w:tcPr>
            <w:tcW w:w="5460" w:type="dxa"/>
            <w:shd w:val="clear" w:color="auto" w:fill="auto"/>
            <w:tcMar>
              <w:left w:w="28" w:type="dxa"/>
              <w:right w:w="28" w:type="dxa"/>
            </w:tcMar>
            <w:vAlign w:val="center"/>
          </w:tcPr>
          <w:p>
            <w:pPr>
              <w:pStyle w:val="3460"/>
              <w:spacing w:line="240" w:lineRule="exact"/>
              <w:ind w:firstLine="0" w:firstLineChars="0"/>
              <w:jc w:val="both"/>
              <w:rPr>
                <w:color w:val="000000" w:themeColor="text1"/>
                <w14:textFill>
                  <w14:solidFill>
                    <w14:schemeClr w14:val="tx1"/>
                  </w14:solidFill>
                </w14:textFill>
              </w:rPr>
            </w:pPr>
            <w:r>
              <w:rPr>
                <w:rFonts w:hint="eastAsia"/>
                <w:color w:val="000000" w:themeColor="text1"/>
                <w14:textFill>
                  <w14:solidFill>
                    <w14:schemeClr w14:val="tx1"/>
                  </w14:solidFill>
                </w14:textFill>
              </w:rPr>
              <w:t>9</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推进海域资源市场化配置，严控新增围填海造地，完善围填海总量管控，除国家重大战略项目外，全面停止新增围填海项目审批，全面清理非法占用海洋生态保护红线区域的围填海项目。</w:t>
            </w:r>
          </w:p>
        </w:tc>
        <w:tc>
          <w:tcPr>
            <w:tcW w:w="2368" w:type="dxa"/>
            <w:shd w:val="clear" w:color="auto" w:fill="auto"/>
            <w:tcMar>
              <w:left w:w="28" w:type="dxa"/>
              <w:right w:w="28" w:type="dxa"/>
            </w:tcMar>
            <w:vAlign w:val="center"/>
          </w:tcPr>
          <w:p>
            <w:pPr>
              <w:pStyle w:val="3460"/>
              <w:spacing w:line="240" w:lineRule="exact"/>
              <w:ind w:firstLine="0" w:firstLineChars="0"/>
              <w:jc w:val="both"/>
              <w:rPr>
                <w:color w:val="000000" w:themeColor="text1"/>
                <w14:textFill>
                  <w14:solidFill>
                    <w14:schemeClr w14:val="tx1"/>
                  </w14:solidFill>
                </w14:textFill>
              </w:rPr>
            </w:pPr>
            <w:r>
              <w:rPr>
                <w:rFonts w:hint="eastAsia"/>
                <w:color w:val="000000" w:themeColor="text1"/>
                <w14:textFill>
                  <w14:solidFill>
                    <w14:schemeClr w14:val="tx1"/>
                  </w14:solidFill>
                </w14:textFill>
              </w:rPr>
              <w:t>本次扩建</w:t>
            </w:r>
            <w:r>
              <w:rPr>
                <w:rFonts w:hint="eastAsia"/>
                <w:color w:val="000000" w:themeColor="text1"/>
                <w:u w:val="single"/>
                <w14:textFill>
                  <w14:solidFill>
                    <w14:schemeClr w14:val="tx1"/>
                  </w14:solidFill>
                </w14:textFill>
              </w:rPr>
              <w:t>不新增围填海</w:t>
            </w:r>
            <w:r>
              <w:rPr>
                <w:rFonts w:hint="eastAsia"/>
                <w:color w:val="000000" w:themeColor="text1"/>
                <w14:textFill>
                  <w14:solidFill>
                    <w14:schemeClr w14:val="tx1"/>
                  </w14:solidFill>
                </w14:textFill>
              </w:rPr>
              <w:t>，陆域填海依托昊鼎物流配送中心项目，属于《广西壮族自治区围填海历史遗留项目清单》中列出的用海遗留问题项目，已编制生态保护修复方案。</w:t>
            </w:r>
            <w:r>
              <w:rPr>
                <w:rFonts w:hint="eastAsia"/>
                <w:b/>
                <w:bCs/>
                <w:color w:val="000000" w:themeColor="text1"/>
                <w14:textFill>
                  <w14:solidFill>
                    <w14:schemeClr w14:val="tx1"/>
                  </w14:solidFill>
                </w14:textFill>
              </w:rPr>
              <w:t>符合。</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jc w:val="center"/>
        </w:trPr>
        <w:tc>
          <w:tcPr>
            <w:tcW w:w="540" w:type="dxa"/>
            <w:vMerge w:val="continue"/>
            <w:shd w:val="clear" w:color="auto" w:fill="auto"/>
            <w:tcMar>
              <w:left w:w="28" w:type="dxa"/>
              <w:right w:w="28" w:type="dxa"/>
            </w:tcMar>
            <w:vAlign w:val="center"/>
          </w:tcPr>
          <w:p>
            <w:pPr>
              <w:pStyle w:val="3460"/>
              <w:spacing w:line="240" w:lineRule="exact"/>
              <w:ind w:firstLine="0" w:firstLineChars="0"/>
              <w:rPr>
                <w:color w:val="000000" w:themeColor="text1"/>
                <w14:textFill>
                  <w14:solidFill>
                    <w14:schemeClr w14:val="tx1"/>
                  </w14:solidFill>
                </w14:textFill>
              </w:rPr>
            </w:pPr>
          </w:p>
        </w:tc>
        <w:tc>
          <w:tcPr>
            <w:tcW w:w="5460" w:type="dxa"/>
            <w:shd w:val="clear" w:color="auto" w:fill="auto"/>
            <w:tcMar>
              <w:left w:w="28" w:type="dxa"/>
              <w:right w:w="28" w:type="dxa"/>
            </w:tcMar>
            <w:vAlign w:val="center"/>
          </w:tcPr>
          <w:p>
            <w:pPr>
              <w:pStyle w:val="3460"/>
              <w:spacing w:line="240" w:lineRule="exact"/>
              <w:ind w:firstLine="0" w:firstLineChars="0"/>
              <w:jc w:val="both"/>
              <w:rPr>
                <w:color w:val="000000" w:themeColor="text1"/>
                <w14:textFill>
                  <w14:solidFill>
                    <w14:schemeClr w14:val="tx1"/>
                  </w14:solidFill>
                </w14:textFill>
              </w:rPr>
            </w:pPr>
            <w:r>
              <w:rPr>
                <w:rFonts w:hint="eastAsia"/>
                <w:color w:val="000000" w:themeColor="text1"/>
                <w14:textFill>
                  <w14:solidFill>
                    <w14:schemeClr w14:val="tx1"/>
                  </w14:solidFill>
                </w14:textFill>
              </w:rPr>
              <w:t>1</w:t>
            </w:r>
            <w:r>
              <w:rPr>
                <w:color w:val="000000" w:themeColor="text1"/>
                <w14:textFill>
                  <w14:solidFill>
                    <w14:schemeClr w14:val="tx1"/>
                  </w14:solidFill>
                </w14:textFill>
              </w:rPr>
              <w:t>0.</w:t>
            </w:r>
            <w:r>
              <w:rPr>
                <w:rFonts w:hint="eastAsia"/>
                <w:color w:val="000000" w:themeColor="text1"/>
                <w14:textFill>
                  <w14:solidFill>
                    <w14:schemeClr w14:val="tx1"/>
                  </w14:solidFill>
                </w14:textFill>
              </w:rPr>
              <w:t>科学论证在三娘湾海洋保护区、茅尾海中部海洋保护区及周边区域的开发利用活动，严格落实保护区管理要求。</w:t>
            </w:r>
          </w:p>
        </w:tc>
        <w:tc>
          <w:tcPr>
            <w:tcW w:w="2368" w:type="dxa"/>
            <w:shd w:val="clear" w:color="auto" w:fill="auto"/>
            <w:tcMar>
              <w:left w:w="28" w:type="dxa"/>
              <w:right w:w="28" w:type="dxa"/>
            </w:tcMar>
            <w:vAlign w:val="center"/>
          </w:tcPr>
          <w:p>
            <w:pPr>
              <w:pStyle w:val="3460"/>
              <w:spacing w:line="240" w:lineRule="exact"/>
              <w:ind w:firstLine="0" w:firstLineChars="0"/>
              <w:jc w:val="both"/>
              <w:rPr>
                <w:color w:val="000000" w:themeColor="text1"/>
                <w14:textFill>
                  <w14:solidFill>
                    <w14:schemeClr w14:val="tx1"/>
                  </w14:solidFill>
                </w14:textFill>
              </w:rPr>
            </w:pPr>
            <w:r>
              <w:rPr>
                <w:rFonts w:hint="eastAsia"/>
                <w:color w:val="000000" w:themeColor="text1"/>
                <w14:textFill>
                  <w14:solidFill>
                    <w14:schemeClr w14:val="tx1"/>
                  </w14:solidFill>
                </w14:textFill>
              </w:rPr>
              <w:t>项目位于规划港区，距离保护区有一定距离，在采取各项环保措施前提下，对海域环境影响可以接受。</w:t>
            </w:r>
            <w:r>
              <w:rPr>
                <w:rFonts w:hint="eastAsia"/>
                <w:b/>
                <w:bCs/>
                <w:color w:val="000000" w:themeColor="text1"/>
                <w14:textFill>
                  <w14:solidFill>
                    <w14:schemeClr w14:val="tx1"/>
                  </w14:solidFill>
                </w14:textFill>
              </w:rPr>
              <w:t>符合。</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jc w:val="center"/>
        </w:trPr>
        <w:tc>
          <w:tcPr>
            <w:tcW w:w="540" w:type="dxa"/>
            <w:vMerge w:val="continue"/>
            <w:shd w:val="clear" w:color="auto" w:fill="auto"/>
            <w:tcMar>
              <w:left w:w="28" w:type="dxa"/>
              <w:right w:w="28" w:type="dxa"/>
            </w:tcMar>
            <w:vAlign w:val="center"/>
          </w:tcPr>
          <w:p>
            <w:pPr>
              <w:pStyle w:val="3460"/>
              <w:spacing w:line="240" w:lineRule="exact"/>
              <w:ind w:firstLine="0" w:firstLineChars="0"/>
              <w:rPr>
                <w:color w:val="000000" w:themeColor="text1"/>
                <w14:textFill>
                  <w14:solidFill>
                    <w14:schemeClr w14:val="tx1"/>
                  </w14:solidFill>
                </w14:textFill>
              </w:rPr>
            </w:pPr>
          </w:p>
        </w:tc>
        <w:tc>
          <w:tcPr>
            <w:tcW w:w="5460" w:type="dxa"/>
            <w:shd w:val="clear" w:color="auto" w:fill="auto"/>
            <w:tcMar>
              <w:left w:w="28" w:type="dxa"/>
              <w:right w:w="28" w:type="dxa"/>
            </w:tcMar>
            <w:vAlign w:val="center"/>
          </w:tcPr>
          <w:p>
            <w:pPr>
              <w:pStyle w:val="3460"/>
              <w:spacing w:line="240" w:lineRule="exact"/>
              <w:ind w:firstLine="0" w:firstLineChars="0"/>
              <w:jc w:val="both"/>
              <w:rPr>
                <w:color w:val="000000" w:themeColor="text1"/>
                <w14:textFill>
                  <w14:solidFill>
                    <w14:schemeClr w14:val="tx1"/>
                  </w14:solidFill>
                </w14:textFill>
              </w:rPr>
            </w:pPr>
            <w:r>
              <w:rPr>
                <w:rFonts w:hint="eastAsia"/>
                <w:color w:val="000000" w:themeColor="text1"/>
                <w14:textFill>
                  <w14:solidFill>
                    <w14:schemeClr w14:val="tx1"/>
                  </w14:solidFill>
                </w14:textFill>
              </w:rPr>
              <w:t>1</w:t>
            </w:r>
            <w:r>
              <w:rPr>
                <w:color w:val="000000" w:themeColor="text1"/>
                <w14:textFill>
                  <w14:solidFill>
                    <w14:schemeClr w14:val="tx1"/>
                  </w14:solidFill>
                </w14:textFill>
              </w:rPr>
              <w:t>1.</w:t>
            </w:r>
            <w:r>
              <w:rPr>
                <w:rFonts w:hint="eastAsia"/>
                <w:color w:val="000000" w:themeColor="text1"/>
                <w14:textFill>
                  <w14:solidFill>
                    <w14:schemeClr w14:val="tx1"/>
                  </w14:solidFill>
                </w14:textFill>
              </w:rPr>
              <w:t>严格按照相关法律法规及海洋国土空间规划等要求，规范设置和监管入海排污口。禁止采挖海砂、设置直排排污口及其他破坏河口生态功能的开发活动。</w:t>
            </w:r>
          </w:p>
        </w:tc>
        <w:tc>
          <w:tcPr>
            <w:tcW w:w="2368" w:type="dxa"/>
            <w:shd w:val="clear" w:color="auto" w:fill="auto"/>
            <w:tcMar>
              <w:left w:w="28" w:type="dxa"/>
              <w:right w:w="28" w:type="dxa"/>
            </w:tcMar>
            <w:vAlign w:val="center"/>
          </w:tcPr>
          <w:p>
            <w:pPr>
              <w:pStyle w:val="3460"/>
              <w:spacing w:line="240" w:lineRule="exact"/>
              <w:ind w:firstLine="0" w:firstLineChars="0"/>
              <w:jc w:val="both"/>
              <w:rPr>
                <w:color w:val="000000" w:themeColor="text1"/>
                <w14:textFill>
                  <w14:solidFill>
                    <w14:schemeClr w14:val="tx1"/>
                  </w14:solidFill>
                </w14:textFill>
              </w:rPr>
            </w:pPr>
            <w:r>
              <w:rPr>
                <w:rFonts w:hint="eastAsia"/>
                <w:color w:val="000000" w:themeColor="text1"/>
                <w14:textFill>
                  <w14:solidFill>
                    <w14:schemeClr w14:val="tx1"/>
                  </w14:solidFill>
                </w14:textFill>
              </w:rPr>
              <w:t>本项目生活污水排入市政管网，不在码头设置排污口。</w:t>
            </w:r>
            <w:r>
              <w:rPr>
                <w:rFonts w:hint="eastAsia"/>
                <w:b/>
                <w:bCs/>
                <w:color w:val="000000" w:themeColor="text1"/>
                <w14:textFill>
                  <w14:solidFill>
                    <w14:schemeClr w14:val="tx1"/>
                  </w14:solidFill>
                </w14:textFill>
              </w:rPr>
              <w:t>符合。</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jc w:val="center"/>
        </w:trPr>
        <w:tc>
          <w:tcPr>
            <w:tcW w:w="540" w:type="dxa"/>
            <w:vMerge w:val="continue"/>
            <w:shd w:val="clear" w:color="auto" w:fill="auto"/>
            <w:tcMar>
              <w:left w:w="28" w:type="dxa"/>
              <w:right w:w="28" w:type="dxa"/>
            </w:tcMar>
            <w:vAlign w:val="center"/>
          </w:tcPr>
          <w:p>
            <w:pPr>
              <w:pStyle w:val="3460"/>
              <w:spacing w:line="240" w:lineRule="exact"/>
              <w:ind w:firstLine="0" w:firstLineChars="0"/>
              <w:rPr>
                <w:color w:val="000000" w:themeColor="text1"/>
                <w14:textFill>
                  <w14:solidFill>
                    <w14:schemeClr w14:val="tx1"/>
                  </w14:solidFill>
                </w14:textFill>
              </w:rPr>
            </w:pPr>
          </w:p>
        </w:tc>
        <w:tc>
          <w:tcPr>
            <w:tcW w:w="5460" w:type="dxa"/>
            <w:shd w:val="clear" w:color="auto" w:fill="auto"/>
            <w:tcMar>
              <w:left w:w="28" w:type="dxa"/>
              <w:right w:w="28" w:type="dxa"/>
            </w:tcMar>
            <w:vAlign w:val="center"/>
          </w:tcPr>
          <w:p>
            <w:pPr>
              <w:pStyle w:val="3460"/>
              <w:spacing w:line="240" w:lineRule="exact"/>
              <w:ind w:firstLine="0" w:firstLineChars="0"/>
              <w:jc w:val="both"/>
              <w:rPr>
                <w:color w:val="000000" w:themeColor="text1"/>
                <w14:textFill>
                  <w14:solidFill>
                    <w14:schemeClr w14:val="tx1"/>
                  </w14:solidFill>
                </w14:textFill>
              </w:rPr>
            </w:pPr>
            <w:r>
              <w:rPr>
                <w:rFonts w:hint="eastAsia"/>
                <w:color w:val="000000" w:themeColor="text1"/>
                <w14:textFill>
                  <w14:solidFill>
                    <w14:schemeClr w14:val="tx1"/>
                  </w14:solidFill>
                </w14:textFill>
              </w:rPr>
              <w:t>1</w:t>
            </w:r>
            <w:r>
              <w:rPr>
                <w:color w:val="000000" w:themeColor="text1"/>
                <w14:textFill>
                  <w14:solidFill>
                    <w14:schemeClr w14:val="tx1"/>
                  </w14:solidFill>
                </w14:textFill>
              </w:rPr>
              <w:t>2.</w:t>
            </w:r>
            <w:r>
              <w:rPr>
                <w:rFonts w:hint="eastAsia"/>
                <w:color w:val="000000" w:themeColor="text1"/>
                <w14:textFill>
                  <w14:solidFill>
                    <w14:schemeClr w14:val="tx1"/>
                  </w14:solidFill>
                </w14:textFill>
              </w:rPr>
              <w:t>严禁圈占沙滩和红树林，禁止红树林海岸带内陆采石等破坏性活动。对红树林、海草床、滨海湿地等重要海洋生态系统实行最严格的保护措施，加强珍稀濒危物种及重要海洋生态系统的生境保护，加大滨海湿地的保护和修复力度。禁止红树林海岸带内陆采石等破坏性活动。</w:t>
            </w:r>
          </w:p>
        </w:tc>
        <w:tc>
          <w:tcPr>
            <w:tcW w:w="2368" w:type="dxa"/>
            <w:shd w:val="clear" w:color="auto" w:fill="auto"/>
            <w:tcMar>
              <w:left w:w="28" w:type="dxa"/>
              <w:right w:w="28" w:type="dxa"/>
            </w:tcMar>
            <w:vAlign w:val="center"/>
          </w:tcPr>
          <w:p>
            <w:pPr>
              <w:pStyle w:val="3460"/>
              <w:spacing w:line="240" w:lineRule="exact"/>
              <w:ind w:firstLine="0" w:firstLineChars="0"/>
              <w:jc w:val="both"/>
              <w:rPr>
                <w:color w:val="000000" w:themeColor="text1"/>
                <w14:textFill>
                  <w14:solidFill>
                    <w14:schemeClr w14:val="tx1"/>
                  </w14:solidFill>
                </w14:textFill>
              </w:rPr>
            </w:pPr>
            <w:r>
              <w:rPr>
                <w:rFonts w:hint="eastAsia"/>
                <w:color w:val="000000" w:themeColor="text1"/>
                <w14:textFill>
                  <w14:solidFill>
                    <w14:schemeClr w14:val="tx1"/>
                  </w14:solidFill>
                </w14:textFill>
              </w:rPr>
              <w:t>本项目为规划泊位，不涉及该条所述活动。</w:t>
            </w:r>
            <w:r>
              <w:rPr>
                <w:rFonts w:hint="eastAsia"/>
                <w:b/>
                <w:bCs/>
                <w:color w:val="000000" w:themeColor="text1"/>
                <w14:textFill>
                  <w14:solidFill>
                    <w14:schemeClr w14:val="tx1"/>
                  </w14:solidFill>
                </w14:textFill>
              </w:rPr>
              <w:t>符合。</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jc w:val="center"/>
        </w:trPr>
        <w:tc>
          <w:tcPr>
            <w:tcW w:w="540" w:type="dxa"/>
            <w:vMerge w:val="continue"/>
            <w:shd w:val="clear" w:color="auto" w:fill="auto"/>
            <w:tcMar>
              <w:left w:w="28" w:type="dxa"/>
              <w:right w:w="28" w:type="dxa"/>
            </w:tcMar>
            <w:vAlign w:val="center"/>
          </w:tcPr>
          <w:p>
            <w:pPr>
              <w:pStyle w:val="3460"/>
              <w:spacing w:line="240" w:lineRule="exact"/>
              <w:ind w:firstLine="0" w:firstLineChars="0"/>
              <w:rPr>
                <w:color w:val="000000" w:themeColor="text1"/>
                <w14:textFill>
                  <w14:solidFill>
                    <w14:schemeClr w14:val="tx1"/>
                  </w14:solidFill>
                </w14:textFill>
              </w:rPr>
            </w:pPr>
          </w:p>
        </w:tc>
        <w:tc>
          <w:tcPr>
            <w:tcW w:w="5460" w:type="dxa"/>
            <w:shd w:val="clear" w:color="auto" w:fill="auto"/>
            <w:tcMar>
              <w:left w:w="28" w:type="dxa"/>
              <w:right w:w="28" w:type="dxa"/>
            </w:tcMar>
            <w:vAlign w:val="center"/>
          </w:tcPr>
          <w:p>
            <w:pPr>
              <w:pStyle w:val="3460"/>
              <w:spacing w:line="240" w:lineRule="exact"/>
              <w:ind w:firstLine="0" w:firstLineChars="0"/>
              <w:jc w:val="both"/>
              <w:rPr>
                <w:color w:val="000000" w:themeColor="text1"/>
                <w14:textFill>
                  <w14:solidFill>
                    <w14:schemeClr w14:val="tx1"/>
                  </w14:solidFill>
                </w14:textFill>
              </w:rPr>
            </w:pPr>
            <w:r>
              <w:rPr>
                <w:rFonts w:hint="eastAsia"/>
                <w:color w:val="000000" w:themeColor="text1"/>
                <w14:textFill>
                  <w14:solidFill>
                    <w14:schemeClr w14:val="tx1"/>
                  </w14:solidFill>
                </w14:textFill>
              </w:rPr>
              <w:t>1</w:t>
            </w:r>
            <w:r>
              <w:rPr>
                <w:color w:val="000000" w:themeColor="text1"/>
                <w14:textFill>
                  <w14:solidFill>
                    <w14:schemeClr w14:val="tx1"/>
                  </w14:solidFill>
                </w14:textFill>
              </w:rPr>
              <w:t>3.</w:t>
            </w:r>
            <w:r>
              <w:rPr>
                <w:rFonts w:hint="eastAsia"/>
                <w:color w:val="000000" w:themeColor="text1"/>
                <w14:textFill>
                  <w14:solidFill>
                    <w14:schemeClr w14:val="tx1"/>
                  </w14:solidFill>
                </w14:textFill>
              </w:rPr>
              <w:t>严格用途管制，坚持陆海统筹，严禁国家产业政策淘汰类、限制类项目在滨海湿地布局，实现山水林田湖草整体保护、系统修复、综合治理</w:t>
            </w:r>
          </w:p>
        </w:tc>
        <w:tc>
          <w:tcPr>
            <w:tcW w:w="2368" w:type="dxa"/>
            <w:shd w:val="clear" w:color="auto" w:fill="auto"/>
            <w:tcMar>
              <w:left w:w="28" w:type="dxa"/>
              <w:right w:w="28" w:type="dxa"/>
            </w:tcMar>
            <w:vAlign w:val="center"/>
          </w:tcPr>
          <w:p>
            <w:pPr>
              <w:pStyle w:val="3460"/>
              <w:spacing w:line="240" w:lineRule="exact"/>
              <w:ind w:firstLine="0" w:firstLineChars="0"/>
              <w:jc w:val="both"/>
              <w:rPr>
                <w:color w:val="000000" w:themeColor="text1"/>
                <w14:textFill>
                  <w14:solidFill>
                    <w14:schemeClr w14:val="tx1"/>
                  </w14:solidFill>
                </w14:textFill>
              </w:rPr>
            </w:pPr>
            <w:r>
              <w:rPr>
                <w:rFonts w:hint="eastAsia"/>
                <w:color w:val="000000" w:themeColor="text1"/>
                <w14:textFill>
                  <w14:solidFill>
                    <w14:schemeClr w14:val="tx1"/>
                  </w14:solidFill>
                </w14:textFill>
              </w:rPr>
              <w:t>项目为集装箱码头工程，属于产业结构调整目录中鼓励类项目。</w:t>
            </w:r>
            <w:r>
              <w:rPr>
                <w:rFonts w:hint="eastAsia"/>
                <w:b/>
                <w:bCs/>
                <w:color w:val="000000" w:themeColor="text1"/>
                <w14:textFill>
                  <w14:solidFill>
                    <w14:schemeClr w14:val="tx1"/>
                  </w14:solidFill>
                </w14:textFill>
              </w:rPr>
              <w:t>符合。</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1690" w:hRule="atLeast"/>
          <w:jc w:val="center"/>
        </w:trPr>
        <w:tc>
          <w:tcPr>
            <w:tcW w:w="540" w:type="dxa"/>
            <w:vMerge w:val="restart"/>
            <w:shd w:val="clear" w:color="auto" w:fill="auto"/>
            <w:tcMar>
              <w:left w:w="28" w:type="dxa"/>
              <w:right w:w="28" w:type="dxa"/>
            </w:tcMar>
            <w:vAlign w:val="center"/>
          </w:tcPr>
          <w:p>
            <w:pPr>
              <w:pStyle w:val="3460"/>
              <w:spacing w:line="240" w:lineRule="exact"/>
              <w:ind w:firstLine="0" w:firstLineChars="0"/>
              <w:rPr>
                <w:color w:val="000000" w:themeColor="text1"/>
                <w14:textFill>
                  <w14:solidFill>
                    <w14:schemeClr w14:val="tx1"/>
                  </w14:solidFill>
                </w14:textFill>
              </w:rPr>
            </w:pPr>
            <w:r>
              <w:rPr>
                <w:color w:val="000000" w:themeColor="text1"/>
                <w14:textFill>
                  <w14:solidFill>
                    <w14:schemeClr w14:val="tx1"/>
                  </w14:solidFill>
                </w14:textFill>
              </w:rPr>
              <w:t>污染物排放管控</w:t>
            </w:r>
          </w:p>
        </w:tc>
        <w:tc>
          <w:tcPr>
            <w:tcW w:w="5460" w:type="dxa"/>
            <w:shd w:val="clear" w:color="auto" w:fill="auto"/>
            <w:tcMar>
              <w:left w:w="28" w:type="dxa"/>
              <w:right w:w="28" w:type="dxa"/>
            </w:tcMar>
            <w:vAlign w:val="center"/>
          </w:tcPr>
          <w:p>
            <w:pPr>
              <w:pStyle w:val="3460"/>
              <w:spacing w:line="240" w:lineRule="exact"/>
              <w:ind w:firstLine="0" w:firstLineChars="0"/>
              <w:jc w:val="both"/>
              <w:rPr>
                <w:color w:val="000000" w:themeColor="text1"/>
                <w14:textFill>
                  <w14:solidFill>
                    <w14:schemeClr w14:val="tx1"/>
                  </w14:solidFill>
                </w14:textFill>
              </w:rPr>
            </w:pPr>
            <w:r>
              <w:rPr>
                <w:color w:val="000000" w:themeColor="text1"/>
                <w14:textFill>
                  <w14:solidFill>
                    <w14:schemeClr w14:val="tx1"/>
                  </w14:solidFill>
                </w14:textFill>
              </w:rPr>
              <w:t>2.推进全市自治区级及以上工业园区污水管网全覆盖，提高工业企业水循环利用率，按照“清污分流、雨污分流”原则，实施废水分类收集、分质处理，入园企业在达到国家或地方规定的排放标准后接入园区集中式污水处理设施稳定达标排放；加快推进深海排放基础设施建设。</w:t>
            </w:r>
          </w:p>
        </w:tc>
        <w:tc>
          <w:tcPr>
            <w:tcW w:w="2368" w:type="dxa"/>
            <w:shd w:val="clear" w:color="auto" w:fill="auto"/>
            <w:tcMar>
              <w:left w:w="28" w:type="dxa"/>
              <w:right w:w="28" w:type="dxa"/>
            </w:tcMar>
            <w:vAlign w:val="center"/>
          </w:tcPr>
          <w:p>
            <w:pPr>
              <w:pStyle w:val="3460"/>
              <w:spacing w:line="240" w:lineRule="exact"/>
              <w:ind w:firstLine="0" w:firstLineChars="0"/>
              <w:jc w:val="both"/>
              <w:rPr>
                <w:color w:val="000000" w:themeColor="text1"/>
                <w14:textFill>
                  <w14:solidFill>
                    <w14:schemeClr w14:val="tx1"/>
                  </w14:solidFill>
                </w14:textFill>
              </w:rPr>
            </w:pPr>
            <w:r>
              <w:rPr>
                <w:rFonts w:hint="eastAsia"/>
                <w:color w:val="000000" w:themeColor="text1"/>
                <w14:textFill>
                  <w14:solidFill>
                    <w14:schemeClr w14:val="tx1"/>
                  </w14:solidFill>
                </w14:textFill>
              </w:rPr>
              <w:t>本项目雨污分流，生活污水在生活污水处理站处理达到《污水排入城镇下水道水质标准》（GB/T31962-2015）B级标准后，进入大榄坪污水处理厂。</w:t>
            </w:r>
            <w:r>
              <w:rPr>
                <w:rFonts w:hint="eastAsia"/>
                <w:b/>
                <w:bCs/>
                <w:color w:val="000000" w:themeColor="text1"/>
                <w14:textFill>
                  <w14:solidFill>
                    <w14:schemeClr w14:val="tx1"/>
                  </w14:solidFill>
                </w14:textFill>
              </w:rPr>
              <w:t>符合。</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1690" w:hRule="atLeast"/>
          <w:jc w:val="center"/>
        </w:trPr>
        <w:tc>
          <w:tcPr>
            <w:tcW w:w="540" w:type="dxa"/>
            <w:vMerge w:val="continue"/>
            <w:shd w:val="clear" w:color="auto" w:fill="auto"/>
            <w:tcMar>
              <w:left w:w="28" w:type="dxa"/>
              <w:right w:w="28" w:type="dxa"/>
            </w:tcMar>
            <w:vAlign w:val="center"/>
          </w:tcPr>
          <w:p>
            <w:pPr>
              <w:pStyle w:val="3460"/>
              <w:spacing w:line="240" w:lineRule="exact"/>
              <w:ind w:firstLine="0" w:firstLineChars="0"/>
              <w:rPr>
                <w:color w:val="000000" w:themeColor="text1"/>
                <w14:textFill>
                  <w14:solidFill>
                    <w14:schemeClr w14:val="tx1"/>
                  </w14:solidFill>
                </w14:textFill>
              </w:rPr>
            </w:pPr>
          </w:p>
        </w:tc>
        <w:tc>
          <w:tcPr>
            <w:tcW w:w="5460" w:type="dxa"/>
            <w:shd w:val="clear" w:color="auto" w:fill="auto"/>
            <w:tcMar>
              <w:left w:w="28" w:type="dxa"/>
              <w:right w:w="28" w:type="dxa"/>
            </w:tcMar>
            <w:vAlign w:val="center"/>
          </w:tcPr>
          <w:p>
            <w:pPr>
              <w:pStyle w:val="3460"/>
              <w:spacing w:line="240" w:lineRule="exact"/>
              <w:ind w:firstLine="0" w:firstLineChars="0"/>
              <w:jc w:val="both"/>
              <w:rPr>
                <w:color w:val="000000" w:themeColor="text1"/>
                <w14:textFill>
                  <w14:solidFill>
                    <w14:schemeClr w14:val="tx1"/>
                  </w14:solidFill>
                </w14:textFill>
              </w:rPr>
            </w:pPr>
            <w:r>
              <w:rPr>
                <w:rFonts w:hint="eastAsia"/>
                <w:color w:val="000000" w:themeColor="text1"/>
                <w14:textFill>
                  <w14:solidFill>
                    <w14:schemeClr w14:val="tx1"/>
                  </w14:solidFill>
                </w14:textFill>
              </w:rPr>
              <w:t>3.开展陆海统筹流域治理，深化钦江、大风江、茅岭江、南流江等流域水环境综合整治，钦江、南流江流域切实开展截污、拔污、清污、治污专项行动，以“控磷除氮”为重点，抓好养殖、生活、工业、农业面源等污染综合治理和河道生态修复。全面开展茅尾海、钦州湾等重点海域综合整治。严厉打击非法用海抽砂行为，优化茅尾海等海域养殖规划布局，整治非法养殖。完善钦州港区污水截流及雨污分流、海上水产养殖尾水整治。</w:t>
            </w:r>
          </w:p>
        </w:tc>
        <w:tc>
          <w:tcPr>
            <w:tcW w:w="2368" w:type="dxa"/>
            <w:shd w:val="clear" w:color="auto" w:fill="auto"/>
            <w:tcMar>
              <w:left w:w="28" w:type="dxa"/>
              <w:right w:w="28" w:type="dxa"/>
            </w:tcMar>
            <w:vAlign w:val="center"/>
          </w:tcPr>
          <w:p>
            <w:pPr>
              <w:pStyle w:val="3460"/>
              <w:spacing w:line="240" w:lineRule="exact"/>
              <w:ind w:firstLine="0" w:firstLineChars="0"/>
              <w:jc w:val="both"/>
              <w:rPr>
                <w:color w:val="000000" w:themeColor="text1"/>
                <w14:textFill>
                  <w14:solidFill>
                    <w14:schemeClr w14:val="tx1"/>
                  </w14:solidFill>
                </w14:textFill>
              </w:rPr>
            </w:pPr>
            <w:r>
              <w:rPr>
                <w:rFonts w:hint="eastAsia"/>
                <w:color w:val="000000" w:themeColor="text1"/>
                <w14:textFill>
                  <w14:solidFill>
                    <w14:schemeClr w14:val="tx1"/>
                  </w14:solidFill>
                </w14:textFill>
              </w:rPr>
              <w:t>项目为码头工程，码头污水妥善处理后，不在码头设置排污口排放。</w:t>
            </w:r>
            <w:r>
              <w:rPr>
                <w:rFonts w:hint="eastAsia"/>
                <w:b/>
                <w:bCs/>
                <w:color w:val="000000" w:themeColor="text1"/>
                <w14:textFill>
                  <w14:solidFill>
                    <w14:schemeClr w14:val="tx1"/>
                  </w14:solidFill>
                </w14:textFill>
              </w:rPr>
              <w:t>符合。</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jc w:val="center"/>
        </w:trPr>
        <w:tc>
          <w:tcPr>
            <w:tcW w:w="540" w:type="dxa"/>
            <w:vMerge w:val="continue"/>
            <w:shd w:val="clear" w:color="auto" w:fill="auto"/>
            <w:tcMar>
              <w:left w:w="28" w:type="dxa"/>
              <w:right w:w="28" w:type="dxa"/>
            </w:tcMar>
            <w:vAlign w:val="center"/>
          </w:tcPr>
          <w:p>
            <w:pPr>
              <w:pStyle w:val="3460"/>
              <w:spacing w:line="240" w:lineRule="exact"/>
              <w:ind w:firstLine="0" w:firstLineChars="0"/>
              <w:rPr>
                <w:color w:val="000000" w:themeColor="text1"/>
                <w14:textFill>
                  <w14:solidFill>
                    <w14:schemeClr w14:val="tx1"/>
                  </w14:solidFill>
                </w14:textFill>
              </w:rPr>
            </w:pPr>
          </w:p>
        </w:tc>
        <w:tc>
          <w:tcPr>
            <w:tcW w:w="5460" w:type="dxa"/>
            <w:shd w:val="clear" w:color="auto" w:fill="auto"/>
            <w:tcMar>
              <w:left w:w="28" w:type="dxa"/>
              <w:right w:w="28" w:type="dxa"/>
            </w:tcMar>
            <w:vAlign w:val="center"/>
          </w:tcPr>
          <w:p>
            <w:pPr>
              <w:pStyle w:val="3460"/>
              <w:spacing w:line="240" w:lineRule="exact"/>
              <w:ind w:firstLine="0" w:firstLineChars="0"/>
              <w:jc w:val="both"/>
              <w:rPr>
                <w:color w:val="000000" w:themeColor="text1"/>
                <w14:textFill>
                  <w14:solidFill>
                    <w14:schemeClr w14:val="tx1"/>
                  </w14:solidFill>
                </w14:textFill>
              </w:rPr>
            </w:pPr>
            <w:r>
              <w:rPr>
                <w:rFonts w:hint="eastAsia"/>
                <w:color w:val="000000" w:themeColor="text1"/>
                <w14:textFill>
                  <w14:solidFill>
                    <w14:schemeClr w14:val="tx1"/>
                  </w14:solidFill>
                </w14:textFill>
              </w:rPr>
              <w:t>1</w:t>
            </w:r>
            <w:r>
              <w:rPr>
                <w:color w:val="000000" w:themeColor="text1"/>
                <w14:textFill>
                  <w14:solidFill>
                    <w14:schemeClr w14:val="tx1"/>
                  </w14:solidFill>
                </w14:textFill>
              </w:rPr>
              <w:t>0.</w:t>
            </w:r>
            <w:r>
              <w:rPr>
                <w:rFonts w:hint="eastAsia"/>
                <w:color w:val="000000" w:themeColor="text1"/>
                <w14:textFill>
                  <w14:solidFill>
                    <w14:schemeClr w14:val="tx1"/>
                  </w14:solidFill>
                </w14:textFill>
              </w:rPr>
              <w:t>加强海陆联动，严格控制陆源污染物排放。规范入海排污口设置，全面清理非法或设置不合理的入海排污口。</w:t>
            </w:r>
          </w:p>
        </w:tc>
        <w:tc>
          <w:tcPr>
            <w:tcW w:w="2368" w:type="dxa"/>
            <w:shd w:val="clear" w:color="auto" w:fill="auto"/>
            <w:tcMar>
              <w:left w:w="28" w:type="dxa"/>
              <w:right w:w="28" w:type="dxa"/>
            </w:tcMar>
            <w:vAlign w:val="center"/>
          </w:tcPr>
          <w:p>
            <w:pPr>
              <w:pStyle w:val="3460"/>
              <w:spacing w:line="240" w:lineRule="exact"/>
              <w:ind w:firstLine="0" w:firstLineChars="0"/>
              <w:jc w:val="both"/>
              <w:rPr>
                <w:color w:val="000000" w:themeColor="text1"/>
                <w14:textFill>
                  <w14:solidFill>
                    <w14:schemeClr w14:val="tx1"/>
                  </w14:solidFill>
                </w14:textFill>
              </w:rPr>
            </w:pPr>
            <w:r>
              <w:rPr>
                <w:rFonts w:hint="eastAsia"/>
                <w:color w:val="000000" w:themeColor="text1"/>
                <w14:textFill>
                  <w14:solidFill>
                    <w14:schemeClr w14:val="tx1"/>
                  </w14:solidFill>
                </w14:textFill>
              </w:rPr>
              <w:t>本项目污水分类收集分质处理，生活污水进入大榄坪污水处理厂，不设置入海排污口。</w:t>
            </w:r>
            <w:r>
              <w:rPr>
                <w:rFonts w:hint="eastAsia"/>
                <w:b/>
                <w:bCs/>
                <w:color w:val="000000" w:themeColor="text1"/>
                <w14:textFill>
                  <w14:solidFill>
                    <w14:schemeClr w14:val="tx1"/>
                  </w14:solidFill>
                </w14:textFill>
              </w:rPr>
              <w:t>符合。</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jc w:val="center"/>
        </w:trPr>
        <w:tc>
          <w:tcPr>
            <w:tcW w:w="540" w:type="dxa"/>
            <w:vMerge w:val="continue"/>
            <w:shd w:val="clear" w:color="auto" w:fill="auto"/>
            <w:tcMar>
              <w:left w:w="28" w:type="dxa"/>
              <w:right w:w="28" w:type="dxa"/>
            </w:tcMar>
            <w:vAlign w:val="center"/>
          </w:tcPr>
          <w:p>
            <w:pPr>
              <w:pStyle w:val="3460"/>
              <w:spacing w:line="240" w:lineRule="exact"/>
              <w:ind w:firstLine="0" w:firstLineChars="0"/>
              <w:rPr>
                <w:color w:val="000000" w:themeColor="text1"/>
                <w14:textFill>
                  <w14:solidFill>
                    <w14:schemeClr w14:val="tx1"/>
                  </w14:solidFill>
                </w14:textFill>
              </w:rPr>
            </w:pPr>
          </w:p>
        </w:tc>
        <w:tc>
          <w:tcPr>
            <w:tcW w:w="5460" w:type="dxa"/>
            <w:shd w:val="clear" w:color="auto" w:fill="auto"/>
            <w:tcMar>
              <w:left w:w="28" w:type="dxa"/>
              <w:right w:w="28" w:type="dxa"/>
            </w:tcMar>
            <w:vAlign w:val="center"/>
          </w:tcPr>
          <w:p>
            <w:pPr>
              <w:pStyle w:val="3460"/>
              <w:spacing w:line="240" w:lineRule="exact"/>
              <w:ind w:firstLine="0" w:firstLineChars="0"/>
              <w:rPr>
                <w:color w:val="000000" w:themeColor="text1"/>
                <w14:textFill>
                  <w14:solidFill>
                    <w14:schemeClr w14:val="tx1"/>
                  </w14:solidFill>
                </w14:textFill>
              </w:rPr>
            </w:pPr>
            <w:r>
              <w:rPr>
                <w:rFonts w:hint="eastAsia"/>
                <w:color w:val="000000" w:themeColor="text1"/>
                <w14:textFill>
                  <w14:solidFill>
                    <w14:schemeClr w14:val="tx1"/>
                  </w14:solidFill>
                </w14:textFill>
              </w:rPr>
              <w:t>11.积极治理船舶污染，全面贯彻落实《广西北部湾港船舶污染物接收、转运、处置能力评估及相应设施建设方案》，建设完善船舶污染物接收处理设施，提高含油污水、化学品洗舱水、船舶垃圾等接收处置能力及污染事故应急能力。</w:t>
            </w:r>
          </w:p>
        </w:tc>
        <w:tc>
          <w:tcPr>
            <w:tcW w:w="2368" w:type="dxa"/>
            <w:shd w:val="clear" w:color="auto" w:fill="auto"/>
            <w:tcMar>
              <w:left w:w="28" w:type="dxa"/>
              <w:right w:w="28" w:type="dxa"/>
            </w:tcMar>
            <w:vAlign w:val="center"/>
          </w:tcPr>
          <w:p>
            <w:pPr>
              <w:pStyle w:val="3460"/>
              <w:spacing w:line="240" w:lineRule="exact"/>
              <w:ind w:firstLine="0" w:firstLineChars="0"/>
              <w:jc w:val="both"/>
              <w:rPr>
                <w:color w:val="000000" w:themeColor="text1"/>
                <w14:textFill>
                  <w14:solidFill>
                    <w14:schemeClr w14:val="tx1"/>
                  </w14:solidFill>
                </w14:textFill>
              </w:rPr>
            </w:pPr>
            <w:r>
              <w:rPr>
                <w:rFonts w:hint="eastAsia"/>
                <w:color w:val="000000" w:themeColor="text1"/>
                <w14:textFill>
                  <w14:solidFill>
                    <w14:schemeClr w14:val="tx1"/>
                  </w14:solidFill>
                </w14:textFill>
              </w:rPr>
              <w:t>本项目船舶污染物按建设方案要求委托有资质单位进行接收转运，不在本码头进行接收处置。</w:t>
            </w:r>
            <w:r>
              <w:rPr>
                <w:rFonts w:hint="eastAsia"/>
                <w:b/>
                <w:bCs/>
                <w:color w:val="000000" w:themeColor="text1"/>
                <w14:textFill>
                  <w14:solidFill>
                    <w14:schemeClr w14:val="tx1"/>
                  </w14:solidFill>
                </w14:textFill>
              </w:rPr>
              <w:t>符合。</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jc w:val="center"/>
        </w:trPr>
        <w:tc>
          <w:tcPr>
            <w:tcW w:w="540" w:type="dxa"/>
            <w:vMerge w:val="continue"/>
            <w:shd w:val="clear" w:color="auto" w:fill="auto"/>
            <w:tcMar>
              <w:left w:w="28" w:type="dxa"/>
              <w:right w:w="28" w:type="dxa"/>
            </w:tcMar>
            <w:vAlign w:val="center"/>
          </w:tcPr>
          <w:p>
            <w:pPr>
              <w:pStyle w:val="3460"/>
              <w:spacing w:line="240" w:lineRule="exact"/>
              <w:ind w:firstLine="0" w:firstLineChars="0"/>
              <w:rPr>
                <w:color w:val="000000" w:themeColor="text1"/>
                <w14:textFill>
                  <w14:solidFill>
                    <w14:schemeClr w14:val="tx1"/>
                  </w14:solidFill>
                </w14:textFill>
              </w:rPr>
            </w:pPr>
          </w:p>
        </w:tc>
        <w:tc>
          <w:tcPr>
            <w:tcW w:w="5460" w:type="dxa"/>
            <w:shd w:val="clear" w:color="auto" w:fill="auto"/>
            <w:tcMar>
              <w:left w:w="28" w:type="dxa"/>
              <w:right w:w="28" w:type="dxa"/>
            </w:tcMar>
            <w:vAlign w:val="center"/>
          </w:tcPr>
          <w:p>
            <w:pPr>
              <w:pStyle w:val="3460"/>
              <w:spacing w:line="240" w:lineRule="exact"/>
              <w:ind w:firstLine="0" w:firstLineChars="0"/>
              <w:rPr>
                <w:color w:val="000000" w:themeColor="text1"/>
                <w14:textFill>
                  <w14:solidFill>
                    <w14:schemeClr w14:val="tx1"/>
                  </w14:solidFill>
                </w14:textFill>
              </w:rPr>
            </w:pPr>
            <w:r>
              <w:rPr>
                <w:rFonts w:hint="eastAsia"/>
                <w:color w:val="000000" w:themeColor="text1"/>
                <w14:textFill>
                  <w14:solidFill>
                    <w14:schemeClr w14:val="tx1"/>
                  </w14:solidFill>
                </w14:textFill>
              </w:rPr>
              <w:t>12.加强港口码头环保基础设施处理和建设。完善堆场防风抑尘设施，降低扬尘污染。钦州港区实行雨污分流和污水分质处理，防止堆场废水通过雨水沟直排入海，完善配套污水处理设施和管网建设，实现污水集中处理、回用或达标排放。</w:t>
            </w:r>
          </w:p>
        </w:tc>
        <w:tc>
          <w:tcPr>
            <w:tcW w:w="2368" w:type="dxa"/>
            <w:shd w:val="clear" w:color="auto" w:fill="auto"/>
            <w:tcMar>
              <w:left w:w="28" w:type="dxa"/>
              <w:right w:w="28" w:type="dxa"/>
            </w:tcMar>
            <w:vAlign w:val="center"/>
          </w:tcPr>
          <w:p>
            <w:pPr>
              <w:pStyle w:val="3460"/>
              <w:spacing w:line="240" w:lineRule="exact"/>
              <w:ind w:firstLine="0" w:firstLineChars="0"/>
              <w:jc w:val="both"/>
              <w:rPr>
                <w:color w:val="000000" w:themeColor="text1"/>
                <w14:textFill>
                  <w14:solidFill>
                    <w14:schemeClr w14:val="tx1"/>
                  </w14:solidFill>
                </w14:textFill>
              </w:rPr>
            </w:pPr>
            <w:r>
              <w:rPr>
                <w:rFonts w:hint="eastAsia"/>
                <w:color w:val="000000" w:themeColor="text1"/>
                <w14:textFill>
                  <w14:solidFill>
                    <w14:schemeClr w14:val="tx1"/>
                  </w14:solidFill>
                </w14:textFill>
              </w:rPr>
              <w:t>项目生活污水在生活污水处理站处理达到《污水排入城镇下水道水质标准》（GB/T31962-2015）B级标准后进入大榄坪污水处理厂。</w:t>
            </w:r>
            <w:r>
              <w:rPr>
                <w:rFonts w:hint="eastAsia"/>
                <w:b/>
                <w:bCs/>
                <w:color w:val="000000" w:themeColor="text1"/>
                <w14:textFill>
                  <w14:solidFill>
                    <w14:schemeClr w14:val="tx1"/>
                  </w14:solidFill>
                </w14:textFill>
              </w:rPr>
              <w:t>符合。</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jc w:val="center"/>
        </w:trPr>
        <w:tc>
          <w:tcPr>
            <w:tcW w:w="540" w:type="dxa"/>
            <w:vMerge w:val="continue"/>
            <w:shd w:val="clear" w:color="auto" w:fill="auto"/>
            <w:tcMar>
              <w:left w:w="28" w:type="dxa"/>
              <w:right w:w="28" w:type="dxa"/>
            </w:tcMar>
            <w:vAlign w:val="center"/>
          </w:tcPr>
          <w:p>
            <w:pPr>
              <w:pStyle w:val="3460"/>
              <w:spacing w:line="240" w:lineRule="exact"/>
              <w:ind w:firstLine="0" w:firstLineChars="0"/>
              <w:rPr>
                <w:color w:val="000000" w:themeColor="text1"/>
                <w14:textFill>
                  <w14:solidFill>
                    <w14:schemeClr w14:val="tx1"/>
                  </w14:solidFill>
                </w14:textFill>
              </w:rPr>
            </w:pPr>
          </w:p>
        </w:tc>
        <w:tc>
          <w:tcPr>
            <w:tcW w:w="5460" w:type="dxa"/>
            <w:shd w:val="clear" w:color="auto" w:fill="auto"/>
            <w:tcMar>
              <w:left w:w="28" w:type="dxa"/>
              <w:right w:w="28" w:type="dxa"/>
            </w:tcMar>
            <w:vAlign w:val="center"/>
          </w:tcPr>
          <w:p>
            <w:pPr>
              <w:pStyle w:val="3460"/>
              <w:spacing w:line="240" w:lineRule="exact"/>
              <w:ind w:firstLine="0" w:firstLineChars="0"/>
              <w:rPr>
                <w:color w:val="000000" w:themeColor="text1"/>
                <w14:textFill>
                  <w14:solidFill>
                    <w14:schemeClr w14:val="tx1"/>
                  </w14:solidFill>
                </w14:textFill>
              </w:rPr>
            </w:pPr>
            <w:r>
              <w:rPr>
                <w:rFonts w:hint="eastAsia"/>
                <w:color w:val="000000" w:themeColor="text1"/>
                <w14:textFill>
                  <w14:solidFill>
                    <w14:schemeClr w14:val="tx1"/>
                  </w14:solidFill>
                </w14:textFill>
              </w:rPr>
              <w:t>13.污水离岸排放不得超过国家或者地方规定的排放标准。禁止向海域排放油类、酸液、碱液、剧毒废液和高、中水平放射性废水，严格控制向海域排放含有不易降解的有机物和重金属的废水，排放低水平放射性废水应当符合国家放射性污染防治标准，其他污染物的排放应当符合国家或者地方标准。含病原体的医疗污水、生活污水和工业废水必须经过处理，符合国家有关排放标准后，方能排入海域。含有机物和营养物质的工业废水、生活污水，应当严格控制向海湾、半封闭海及其他自净能力较差的海域排放。向海域排放含热废水，必须采取有效措施，保证邻近渔业水域的水温符合国家海洋环境质量标准，避免热污染对水产资源的危害。</w:t>
            </w:r>
          </w:p>
        </w:tc>
        <w:tc>
          <w:tcPr>
            <w:tcW w:w="2368" w:type="dxa"/>
            <w:shd w:val="clear" w:color="auto" w:fill="auto"/>
            <w:tcMar>
              <w:left w:w="28" w:type="dxa"/>
              <w:right w:w="28" w:type="dxa"/>
            </w:tcMar>
            <w:vAlign w:val="center"/>
          </w:tcPr>
          <w:p>
            <w:pPr>
              <w:pStyle w:val="3460"/>
              <w:spacing w:line="240" w:lineRule="exact"/>
              <w:ind w:firstLine="0" w:firstLineChars="0"/>
              <w:jc w:val="both"/>
              <w:rPr>
                <w:color w:val="000000" w:themeColor="text1"/>
                <w14:textFill>
                  <w14:solidFill>
                    <w14:schemeClr w14:val="tx1"/>
                  </w14:solidFill>
                </w14:textFill>
              </w:rPr>
            </w:pPr>
            <w:r>
              <w:rPr>
                <w:rFonts w:hint="eastAsia"/>
                <w:color w:val="000000" w:themeColor="text1"/>
                <w14:textFill>
                  <w14:solidFill>
                    <w14:schemeClr w14:val="tx1"/>
                  </w14:solidFill>
                </w14:textFill>
              </w:rPr>
              <w:t>评价要求船舶污水按《防治船舶污染海洋环境管理条例》《MARPOL73/78 防污公约》等要求进行管理；本项目码头区域污水均得到妥善处理，不在码头排放。</w:t>
            </w:r>
            <w:r>
              <w:rPr>
                <w:rFonts w:hint="eastAsia"/>
                <w:b/>
                <w:bCs/>
                <w:color w:val="000000" w:themeColor="text1"/>
                <w14:textFill>
                  <w14:solidFill>
                    <w14:schemeClr w14:val="tx1"/>
                  </w14:solidFill>
                </w14:textFill>
              </w:rPr>
              <w:t>符合。</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jc w:val="center"/>
        </w:trPr>
        <w:tc>
          <w:tcPr>
            <w:tcW w:w="540" w:type="dxa"/>
            <w:vMerge w:val="restart"/>
            <w:shd w:val="clear" w:color="auto" w:fill="auto"/>
            <w:tcMar>
              <w:left w:w="28" w:type="dxa"/>
              <w:right w:w="28" w:type="dxa"/>
            </w:tcMar>
            <w:vAlign w:val="center"/>
          </w:tcPr>
          <w:p>
            <w:pPr>
              <w:spacing w:line="240" w:lineRule="exact"/>
              <w:jc w:val="left"/>
              <w:rPr>
                <w:color w:val="000000" w:themeColor="text1"/>
                <w:sz w:val="21"/>
                <w:szCs w:val="21"/>
                <w14:textFill>
                  <w14:solidFill>
                    <w14:schemeClr w14:val="tx1"/>
                  </w14:solidFill>
                </w14:textFill>
              </w:rPr>
            </w:pPr>
            <w:r>
              <w:rPr>
                <w:rStyle w:val="3433"/>
                <w:rFonts w:hint="default"/>
                <w:color w:val="000000" w:themeColor="text1"/>
                <w:sz w:val="21"/>
                <w:szCs w:val="21"/>
                <w14:textFill>
                  <w14:solidFill>
                    <w14:schemeClr w14:val="tx1"/>
                  </w14:solidFill>
                </w14:textFill>
              </w:rPr>
              <w:t>环境风险防控</w:t>
            </w:r>
          </w:p>
        </w:tc>
        <w:tc>
          <w:tcPr>
            <w:tcW w:w="5460" w:type="dxa"/>
            <w:shd w:val="clear" w:color="auto" w:fill="auto"/>
            <w:tcMar>
              <w:left w:w="28" w:type="dxa"/>
              <w:right w:w="28" w:type="dxa"/>
            </w:tcMar>
            <w:vAlign w:val="center"/>
          </w:tcPr>
          <w:p>
            <w:pPr>
              <w:spacing w:line="240" w:lineRule="exact"/>
              <w:rPr>
                <w:rStyle w:val="3433"/>
                <w:rFonts w:hint="default" w:ascii="Times New Roman" w:hAnsi="Times New Roman"/>
                <w:color w:val="000000" w:themeColor="text1"/>
                <w:sz w:val="21"/>
                <w:szCs w:val="21"/>
                <w14:textFill>
                  <w14:solidFill>
                    <w14:schemeClr w14:val="tx1"/>
                  </w14:solidFill>
                </w14:textFill>
              </w:rPr>
            </w:pPr>
            <w:r>
              <w:rPr>
                <w:rStyle w:val="3433"/>
                <w:rFonts w:hint="default" w:ascii="Times New Roman" w:hAnsi="Times New Roman"/>
                <w:color w:val="000000" w:themeColor="text1"/>
                <w:sz w:val="21"/>
                <w:szCs w:val="21"/>
                <w14:textFill>
                  <w14:solidFill>
                    <w14:schemeClr w14:val="tx1"/>
                  </w14:solidFill>
                </w14:textFill>
              </w:rPr>
              <w:t>1.</w:t>
            </w:r>
            <w:r>
              <w:rPr>
                <w:rStyle w:val="3434"/>
                <w:rFonts w:ascii="Times New Roman" w:hAnsi="Times New Roman"/>
                <w:color w:val="000000" w:themeColor="text1"/>
                <w:sz w:val="21"/>
                <w:szCs w:val="21"/>
                <w14:textFill>
                  <w14:solidFill>
                    <w14:schemeClr w14:val="tx1"/>
                  </w14:solidFill>
                </w14:textFill>
              </w:rPr>
              <w:t>强化环境风险源精准化管理，健全企业突发环境事件风险评估制度，动态更新重点环境风险源管理目录清单，建立信息齐全、数据准确的风险源及敏感保护目标的数据库，准确掌握重点环境风险源分布情况，重点加强较大及以上风险等级风险源的环境风险防范和应急预警管理。</w:t>
            </w:r>
          </w:p>
        </w:tc>
        <w:tc>
          <w:tcPr>
            <w:tcW w:w="2368" w:type="dxa"/>
            <w:shd w:val="clear" w:color="auto" w:fill="auto"/>
            <w:tcMar>
              <w:left w:w="28" w:type="dxa"/>
              <w:right w:w="28" w:type="dxa"/>
            </w:tcMar>
            <w:vAlign w:val="center"/>
          </w:tcPr>
          <w:p>
            <w:pPr>
              <w:pStyle w:val="3460"/>
              <w:spacing w:line="240" w:lineRule="exact"/>
              <w:ind w:firstLine="0" w:firstLineChars="0"/>
              <w:jc w:val="both"/>
              <w:rPr>
                <w:color w:val="000000" w:themeColor="text1"/>
                <w14:textFill>
                  <w14:solidFill>
                    <w14:schemeClr w14:val="tx1"/>
                  </w14:solidFill>
                </w14:textFill>
              </w:rPr>
            </w:pPr>
            <w:r>
              <w:rPr>
                <w:rFonts w:hint="eastAsia"/>
                <w:color w:val="000000" w:themeColor="text1"/>
                <w14:textFill>
                  <w14:solidFill>
                    <w14:schemeClr w14:val="tx1"/>
                  </w14:solidFill>
                </w14:textFill>
              </w:rPr>
              <w:t>项目运营后按要求开展风险评估，制订突发环境应急预案，健全企业应急制度管理。</w:t>
            </w:r>
            <w:r>
              <w:rPr>
                <w:rFonts w:hint="eastAsia"/>
                <w:b/>
                <w:bCs/>
                <w:color w:val="000000" w:themeColor="text1"/>
                <w14:textFill>
                  <w14:solidFill>
                    <w14:schemeClr w14:val="tx1"/>
                  </w14:solidFill>
                </w14:textFill>
              </w:rPr>
              <w:t>符合。</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jc w:val="center"/>
        </w:trPr>
        <w:tc>
          <w:tcPr>
            <w:tcW w:w="540" w:type="dxa"/>
            <w:vMerge w:val="continue"/>
            <w:shd w:val="clear" w:color="auto" w:fill="auto"/>
            <w:tcMar>
              <w:left w:w="28" w:type="dxa"/>
              <w:right w:w="28" w:type="dxa"/>
            </w:tcMar>
            <w:vAlign w:val="center"/>
          </w:tcPr>
          <w:p>
            <w:pPr>
              <w:pStyle w:val="3460"/>
              <w:spacing w:line="240" w:lineRule="exact"/>
              <w:ind w:firstLine="0" w:firstLineChars="0"/>
              <w:rPr>
                <w:color w:val="000000" w:themeColor="text1"/>
                <w14:textFill>
                  <w14:solidFill>
                    <w14:schemeClr w14:val="tx1"/>
                  </w14:solidFill>
                </w14:textFill>
              </w:rPr>
            </w:pPr>
          </w:p>
        </w:tc>
        <w:tc>
          <w:tcPr>
            <w:tcW w:w="5460" w:type="dxa"/>
            <w:shd w:val="clear" w:color="auto" w:fill="auto"/>
            <w:tcMar>
              <w:left w:w="28" w:type="dxa"/>
              <w:right w:w="28" w:type="dxa"/>
            </w:tcMar>
            <w:vAlign w:val="center"/>
          </w:tcPr>
          <w:p>
            <w:pPr>
              <w:spacing w:line="240" w:lineRule="exact"/>
              <w:rPr>
                <w:rStyle w:val="3433"/>
                <w:rFonts w:hint="default" w:ascii="Times New Roman" w:hAnsi="Times New Roman"/>
                <w:color w:val="000000" w:themeColor="text1"/>
                <w:sz w:val="21"/>
                <w:szCs w:val="21"/>
                <w14:textFill>
                  <w14:solidFill>
                    <w14:schemeClr w14:val="tx1"/>
                  </w14:solidFill>
                </w14:textFill>
              </w:rPr>
            </w:pPr>
            <w:r>
              <w:rPr>
                <w:rStyle w:val="3433"/>
                <w:rFonts w:hint="default" w:ascii="Times New Roman" w:hAnsi="Times New Roman"/>
                <w:color w:val="000000" w:themeColor="text1"/>
                <w:sz w:val="21"/>
                <w:szCs w:val="21"/>
                <w14:textFill>
                  <w14:solidFill>
                    <w14:schemeClr w14:val="tx1"/>
                  </w14:solidFill>
                </w14:textFill>
              </w:rPr>
              <w:t>6.严格管控涉海重大工程环境风险，全面排查陆域环境风险源、海上溢油、危险化学品泄漏等环境风险隐患，完善分类分级的海上应急监测及处置预案，在石化基地、危化品储存区等邻近海域部署快速监测能力和应急处置物资设备。建立健全海洋生态补偿和生态损害赔偿制度。</w:t>
            </w:r>
          </w:p>
        </w:tc>
        <w:tc>
          <w:tcPr>
            <w:tcW w:w="2368" w:type="dxa"/>
            <w:shd w:val="clear" w:color="auto" w:fill="auto"/>
            <w:tcMar>
              <w:left w:w="28" w:type="dxa"/>
              <w:right w:w="28" w:type="dxa"/>
            </w:tcMar>
            <w:vAlign w:val="center"/>
          </w:tcPr>
          <w:p>
            <w:pPr>
              <w:pStyle w:val="3460"/>
              <w:spacing w:line="240" w:lineRule="exact"/>
              <w:ind w:firstLine="0" w:firstLineChars="0"/>
              <w:jc w:val="both"/>
              <w:rPr>
                <w:color w:val="000000" w:themeColor="text1"/>
                <w14:textFill>
                  <w14:solidFill>
                    <w14:schemeClr w14:val="tx1"/>
                  </w14:solidFill>
                </w14:textFill>
              </w:rPr>
            </w:pPr>
            <w:r>
              <w:rPr>
                <w:rFonts w:hint="eastAsia"/>
                <w:color w:val="000000" w:themeColor="text1"/>
                <w14:textFill>
                  <w14:solidFill>
                    <w14:schemeClr w14:val="tx1"/>
                  </w14:solidFill>
                </w14:textFill>
              </w:rPr>
              <w:t>项目运营后按要求开展风险评估，制订突发环境应急预案，健全企业应急制度管理。</w:t>
            </w:r>
            <w:r>
              <w:rPr>
                <w:rFonts w:hint="eastAsia"/>
                <w:b/>
                <w:bCs/>
                <w:color w:val="000000" w:themeColor="text1"/>
                <w14:textFill>
                  <w14:solidFill>
                    <w14:schemeClr w14:val="tx1"/>
                  </w14:solidFill>
                </w14:textFill>
              </w:rPr>
              <w:t>符合。</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jc w:val="center"/>
        </w:trPr>
        <w:tc>
          <w:tcPr>
            <w:tcW w:w="540" w:type="dxa"/>
            <w:vMerge w:val="restart"/>
            <w:shd w:val="clear" w:color="auto" w:fill="auto"/>
            <w:tcMar>
              <w:left w:w="28" w:type="dxa"/>
              <w:right w:w="28" w:type="dxa"/>
            </w:tcMar>
            <w:vAlign w:val="center"/>
          </w:tcPr>
          <w:p>
            <w:pPr>
              <w:pStyle w:val="3460"/>
              <w:spacing w:line="240" w:lineRule="exact"/>
              <w:ind w:firstLine="0" w:firstLineChars="0"/>
              <w:rPr>
                <w:color w:val="000000" w:themeColor="text1"/>
                <w14:textFill>
                  <w14:solidFill>
                    <w14:schemeClr w14:val="tx1"/>
                  </w14:solidFill>
                </w14:textFill>
              </w:rPr>
            </w:pPr>
            <w:r>
              <w:rPr>
                <w:color w:val="000000" w:themeColor="text1"/>
                <w14:textFill>
                  <w14:solidFill>
                    <w14:schemeClr w14:val="tx1"/>
                  </w14:solidFill>
                </w14:textFill>
              </w:rPr>
              <w:t>资源开发利用效率要求</w:t>
            </w:r>
          </w:p>
        </w:tc>
        <w:tc>
          <w:tcPr>
            <w:tcW w:w="5460" w:type="dxa"/>
            <w:shd w:val="clear" w:color="auto" w:fill="auto"/>
            <w:tcMar>
              <w:left w:w="28" w:type="dxa"/>
              <w:right w:w="28" w:type="dxa"/>
            </w:tcMar>
            <w:vAlign w:val="center"/>
          </w:tcPr>
          <w:p>
            <w:pPr>
              <w:spacing w:line="240" w:lineRule="exact"/>
              <w:rPr>
                <w:rStyle w:val="3433"/>
                <w:rFonts w:hint="default" w:ascii="Times New Roman" w:hAnsi="Times New Roman"/>
                <w:color w:val="000000" w:themeColor="text1"/>
                <w:sz w:val="21"/>
                <w:szCs w:val="21"/>
                <w14:textFill>
                  <w14:solidFill>
                    <w14:schemeClr w14:val="tx1"/>
                  </w14:solidFill>
                </w14:textFill>
              </w:rPr>
            </w:pPr>
            <w:r>
              <w:rPr>
                <w:rStyle w:val="3433"/>
                <w:rFonts w:hint="default" w:ascii="Times New Roman" w:hAnsi="Times New Roman"/>
                <w:color w:val="000000" w:themeColor="text1"/>
                <w:sz w:val="21"/>
                <w:szCs w:val="21"/>
                <w14:textFill>
                  <w14:solidFill>
                    <w14:schemeClr w14:val="tx1"/>
                  </w14:solidFill>
                </w14:textFill>
              </w:rPr>
              <w:t>2.土地资源：严格执行自治区下达的土地资源利用总量及效率管控指标要求。突出节约集约用海原则，合理控制规模，优化空间布局，提高海域空间资源的整体使用效能。</w:t>
            </w:r>
          </w:p>
        </w:tc>
        <w:tc>
          <w:tcPr>
            <w:tcW w:w="2368" w:type="dxa"/>
            <w:shd w:val="clear" w:color="auto" w:fill="auto"/>
            <w:tcMar>
              <w:left w:w="28" w:type="dxa"/>
              <w:right w:w="28" w:type="dxa"/>
            </w:tcMar>
            <w:vAlign w:val="center"/>
          </w:tcPr>
          <w:p>
            <w:pPr>
              <w:pStyle w:val="3460"/>
              <w:spacing w:line="240" w:lineRule="exact"/>
              <w:ind w:firstLine="0" w:firstLineChars="0"/>
              <w:jc w:val="both"/>
              <w:rPr>
                <w:color w:val="000000" w:themeColor="text1"/>
                <w14:textFill>
                  <w14:solidFill>
                    <w14:schemeClr w14:val="tx1"/>
                  </w14:solidFill>
                </w14:textFill>
              </w:rPr>
            </w:pPr>
            <w:r>
              <w:rPr>
                <w:rFonts w:hint="eastAsia"/>
                <w:color w:val="000000" w:themeColor="text1"/>
                <w14:textFill>
                  <w14:solidFill>
                    <w14:schemeClr w14:val="tx1"/>
                  </w14:solidFill>
                </w14:textFill>
              </w:rPr>
              <w:t>本项目为规划泊位，在依托工程陆域形成基础上进行建设，新增用海正在办理用海手续，陆域范围均已取得海域使用证书/不动产权证，空间布局合理。</w:t>
            </w:r>
            <w:r>
              <w:rPr>
                <w:rFonts w:hint="eastAsia"/>
                <w:b/>
                <w:bCs/>
                <w:color w:val="000000" w:themeColor="text1"/>
                <w14:textFill>
                  <w14:solidFill>
                    <w14:schemeClr w14:val="tx1"/>
                  </w14:solidFill>
                </w14:textFill>
              </w:rPr>
              <w:t>符合。</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jc w:val="center"/>
        </w:trPr>
        <w:tc>
          <w:tcPr>
            <w:tcW w:w="540" w:type="dxa"/>
            <w:vMerge w:val="continue"/>
            <w:shd w:val="clear" w:color="auto" w:fill="auto"/>
            <w:tcMar>
              <w:left w:w="28" w:type="dxa"/>
              <w:right w:w="28" w:type="dxa"/>
            </w:tcMar>
            <w:vAlign w:val="center"/>
          </w:tcPr>
          <w:p>
            <w:pPr>
              <w:pStyle w:val="3460"/>
              <w:spacing w:line="240" w:lineRule="exact"/>
              <w:ind w:firstLine="0" w:firstLineChars="0"/>
              <w:rPr>
                <w:color w:val="000000" w:themeColor="text1"/>
                <w14:textFill>
                  <w14:solidFill>
                    <w14:schemeClr w14:val="tx1"/>
                  </w14:solidFill>
                </w14:textFill>
              </w:rPr>
            </w:pPr>
          </w:p>
        </w:tc>
        <w:tc>
          <w:tcPr>
            <w:tcW w:w="5460" w:type="dxa"/>
            <w:shd w:val="clear" w:color="auto" w:fill="auto"/>
            <w:tcMar>
              <w:left w:w="28" w:type="dxa"/>
              <w:right w:w="28" w:type="dxa"/>
            </w:tcMar>
            <w:vAlign w:val="center"/>
          </w:tcPr>
          <w:p>
            <w:pPr>
              <w:spacing w:line="240" w:lineRule="exact"/>
              <w:rPr>
                <w:rStyle w:val="3433"/>
                <w:rFonts w:hint="default" w:ascii="Times New Roman" w:hAnsi="Times New Roman"/>
                <w:color w:val="000000" w:themeColor="text1"/>
                <w:sz w:val="21"/>
                <w:szCs w:val="21"/>
                <w14:textFill>
                  <w14:solidFill>
                    <w14:schemeClr w14:val="tx1"/>
                  </w14:solidFill>
                </w14:textFill>
              </w:rPr>
            </w:pPr>
            <w:r>
              <w:rPr>
                <w:rStyle w:val="3433"/>
                <w:rFonts w:hint="default" w:ascii="Times New Roman" w:hAnsi="Times New Roman"/>
                <w:color w:val="000000" w:themeColor="text1"/>
                <w:sz w:val="21"/>
                <w:szCs w:val="21"/>
                <w14:textFill>
                  <w14:solidFill>
                    <w14:schemeClr w14:val="tx1"/>
                  </w14:solidFill>
                </w14:textFill>
              </w:rPr>
              <w:t>5.岸线资源：涉及岸线开发的工业区和钦州港区，应严格按照相关规划实施，控制占用岸线长度，提高岸线利用效率，加强污染防治。建设海岸生态隔离带；有效保护自然岸线和典型海洋生态系统，提高海洋生态服务功能，增强海洋碳汇功能。合理控制滨海旅游开发强度，科学有序发展海洋生态旅游。规范海岛资源开发，科学规划海岛岸线开发，保护海岛自然岸线。</w:t>
            </w:r>
          </w:p>
        </w:tc>
        <w:tc>
          <w:tcPr>
            <w:tcW w:w="2368" w:type="dxa"/>
            <w:shd w:val="clear" w:color="auto" w:fill="auto"/>
            <w:tcMar>
              <w:left w:w="28" w:type="dxa"/>
              <w:right w:w="28" w:type="dxa"/>
            </w:tcMar>
            <w:vAlign w:val="center"/>
          </w:tcPr>
          <w:p>
            <w:pPr>
              <w:pStyle w:val="3460"/>
              <w:spacing w:line="240" w:lineRule="exact"/>
              <w:ind w:firstLine="0" w:firstLineChars="0"/>
              <w:jc w:val="both"/>
              <w:rPr>
                <w:color w:val="000000" w:themeColor="text1"/>
                <w14:textFill>
                  <w14:solidFill>
                    <w14:schemeClr w14:val="tx1"/>
                  </w14:solidFill>
                </w14:textFill>
              </w:rPr>
            </w:pPr>
            <w:r>
              <w:rPr>
                <w:rFonts w:hint="eastAsia"/>
                <w:color w:val="000000" w:themeColor="text1"/>
                <w14:textFill>
                  <w14:solidFill>
                    <w14:schemeClr w14:val="tx1"/>
                  </w14:solidFill>
                </w14:textFill>
              </w:rPr>
              <w:t>本次项目完全为规划码头，新增岸线长度符合相关规划布局。</w:t>
            </w:r>
            <w:r>
              <w:rPr>
                <w:rFonts w:hint="eastAsia"/>
                <w:b/>
                <w:bCs/>
                <w:color w:val="000000" w:themeColor="text1"/>
                <w14:textFill>
                  <w14:solidFill>
                    <w14:schemeClr w14:val="tx1"/>
                  </w14:solidFill>
                </w14:textFill>
              </w:rPr>
              <w:t>符合。</w:t>
            </w:r>
          </w:p>
        </w:tc>
      </w:tr>
      <w:bookmarkEnd w:id="125"/>
    </w:tbl>
    <w:p>
      <w:pPr>
        <w:pStyle w:val="5"/>
        <w:rPr>
          <w:color w:val="000000" w:themeColor="text1"/>
          <w14:textFill>
            <w14:solidFill>
              <w14:schemeClr w14:val="tx1"/>
            </w14:solidFill>
          </w14:textFill>
        </w:rPr>
      </w:pPr>
      <w:r>
        <w:rPr>
          <w:rFonts w:hint="eastAsia"/>
          <w:color w:val="000000" w:themeColor="text1"/>
          <w14:textFill>
            <w14:solidFill>
              <w14:schemeClr w14:val="tx1"/>
            </w14:solidFill>
          </w14:textFill>
        </w:rPr>
        <w:t>与国土空间总体规划及其相关成果的相符性分析</w:t>
      </w:r>
    </w:p>
    <w:p>
      <w:pPr>
        <w:pStyle w:val="6"/>
        <w:numPr>
          <w:ilvl w:val="3"/>
          <w:numId w:val="47"/>
        </w:numPr>
        <w:rPr>
          <w:color w:val="000000" w:themeColor="text1"/>
          <w14:textFill>
            <w14:solidFill>
              <w14:schemeClr w14:val="tx1"/>
            </w14:solidFill>
          </w14:textFill>
        </w:rPr>
      </w:pPr>
      <w:r>
        <w:rPr>
          <w:rFonts w:hint="eastAsia"/>
          <w:color w:val="000000" w:themeColor="text1"/>
          <w14:textFill>
            <w14:solidFill>
              <w14:schemeClr w14:val="tx1"/>
            </w14:solidFill>
          </w14:textFill>
        </w:rPr>
        <w:t>“三区三线”符合性分析</w:t>
      </w:r>
    </w:p>
    <w:p>
      <w:pPr>
        <w:pStyle w:val="3470"/>
        <w:ind w:firstLine="462"/>
        <w:rPr>
          <w:rFonts w:ascii="Times New Roman" w:hAnsi="Times New Roman"/>
          <w:color w:val="000000" w:themeColor="text1"/>
          <w14:textFill>
            <w14:solidFill>
              <w14:schemeClr w14:val="tx1"/>
            </w14:solidFill>
          </w14:textFill>
        </w:rPr>
      </w:pPr>
      <w:r>
        <w:rPr>
          <w:rFonts w:hint="eastAsia" w:ascii="Times New Roman" w:hAnsi="Times New Roman"/>
          <w:color w:val="000000" w:themeColor="text1"/>
          <w14:textFill>
            <w14:solidFill>
              <w14:schemeClr w14:val="tx1"/>
            </w14:solidFill>
          </w14:textFill>
        </w:rPr>
        <w:t xml:space="preserve"> “三区三线”中的“三区”是指城镇空间、农业空间、生态空间三种类型的国土空间，“三线”分别对应在城镇空间、农业空间、生态空间划定的城镇开发边界、永久基本农田、生态保护红线三条控制线。根据《钦州市自然资源局关于钦州港大榄坪港区大榄坪南作业区9号10号泊位扩建工程是否符合钦州市国土空间总体规划的意见》（钦市自然资函〔2024〕383号，附件9），本项目不占用基本农田、生态保护红线，项目位于《钦州市国土空间总体规划（2021—2035年）》中划定的城镇开发边界，项目已纳入《钦州市国土空间总体规划2021—2035年》重点项目建设安排表，项目建设符合“三区三线”和国土空间规划管控要求。</w:t>
      </w:r>
    </w:p>
    <w:p>
      <w:pPr>
        <w:pStyle w:val="3470"/>
        <w:ind w:firstLine="462"/>
        <w:rPr>
          <w:rFonts w:ascii="Times New Roman" w:hAnsi="Times New Roman"/>
          <w:color w:val="000000" w:themeColor="text1"/>
          <w14:textFill>
            <w14:solidFill>
              <w14:schemeClr w14:val="tx1"/>
            </w14:solidFill>
          </w14:textFill>
        </w:rPr>
      </w:pPr>
      <w:r>
        <w:rPr>
          <w:rFonts w:hint="eastAsia" w:ascii="Times New Roman" w:hAnsi="Times New Roman"/>
          <w:color w:val="000000" w:themeColor="text1"/>
          <w14:textFill>
            <w14:solidFill>
              <w14:schemeClr w14:val="tx1"/>
            </w14:solidFill>
          </w14:textFill>
        </w:rPr>
        <w:t>项目与《钦州市国土空间总体规划（2021—2035年）》中城镇开发边界管控规则符合性情况见表2.5-4，由表可知，项目建设符合城镇开发边界管控规则。</w:t>
      </w:r>
    </w:p>
    <w:p>
      <w:pPr>
        <w:pStyle w:val="384"/>
        <w:ind w:left="0" w:firstLine="0"/>
        <w:rPr>
          <w:rFonts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项目与城镇开发边界管控规则符合性情况表</w:t>
      </w:r>
    </w:p>
    <w:tbl>
      <w:tblPr>
        <w:tblStyle w:val="89"/>
        <w:tblW w:w="8528" w:type="dxa"/>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4927"/>
        <w:gridCol w:w="3601"/>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blHeader/>
        </w:trPr>
        <w:tc>
          <w:tcPr>
            <w:tcW w:w="4927" w:type="dxa"/>
          </w:tcPr>
          <w:p>
            <w:pPr>
              <w:pStyle w:val="2001"/>
            </w:pPr>
            <w:r>
              <w:rPr>
                <w:rFonts w:hint="eastAsia"/>
              </w:rPr>
              <w:t>城镇开发边界管控规则</w:t>
            </w:r>
          </w:p>
        </w:tc>
        <w:tc>
          <w:tcPr>
            <w:tcW w:w="3601" w:type="dxa"/>
          </w:tcPr>
          <w:p>
            <w:pPr>
              <w:pStyle w:val="2001"/>
            </w:pPr>
            <w:r>
              <w:rPr>
                <w:rFonts w:hint="eastAsia"/>
              </w:rPr>
              <w:t>协调性分析</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c>
          <w:tcPr>
            <w:tcW w:w="4927" w:type="dxa"/>
            <w:vAlign w:val="center"/>
          </w:tcPr>
          <w:p>
            <w:pPr>
              <w:pStyle w:val="2001"/>
            </w:pPr>
            <w:r>
              <w:rPr>
                <w:rFonts w:hint="eastAsia"/>
              </w:rPr>
              <w:t>城镇开发边界内，实行“详细规划+规划许可”的管制方式，加强与水体保护线、绿地系统线、基础设施建设控制线、历史文化保护线等控制线的协同管理。城镇开发边界外不得进行城镇集中建设，不得设立各类开发区，允许交通基础设施及其他线性工程，军事及安全保密、宗教、殡葬、综合防灾减灾、战略储备等特殊建设项目，乡村振兴战略建设项目，风景游览配套服务设施项目以及选址有特殊要求的城镇民生保障项目建设。</w:t>
            </w:r>
          </w:p>
        </w:tc>
        <w:tc>
          <w:tcPr>
            <w:tcW w:w="3601" w:type="dxa"/>
            <w:vAlign w:val="center"/>
          </w:tcPr>
          <w:p>
            <w:pPr>
              <w:pStyle w:val="2001"/>
              <w:rPr>
                <w:lang w:val="zh-CN"/>
              </w:rPr>
            </w:pPr>
            <w:r>
              <w:rPr>
                <w:rFonts w:hint="eastAsia"/>
              </w:rPr>
              <w:t>本项目位于城镇开发边界内，项目用地由填海形成，项目用海已办理相关手续，项目建设位置、建设范围以及功能均符合港区所在的《钦州港总体规划（2035年）》《广西钦州保税港区控制性详细规划》（修编），项目建设将完善区域基础设施，对促进区域临港产业发展以及城镇发展具有积极意义，项目建设符合城镇开发需求</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c>
          <w:tcPr>
            <w:tcW w:w="4927" w:type="dxa"/>
            <w:vAlign w:val="center"/>
          </w:tcPr>
          <w:p>
            <w:pPr>
              <w:pStyle w:val="2001"/>
            </w:pPr>
            <w:r>
              <w:rPr>
                <w:rFonts w:hint="eastAsia"/>
              </w:rPr>
              <w:t>集中建设区应主要布局城市、建制镇和新城新区、依法合规设立的开发区等。弹性发展区在满足特定条件下，方可进行开发建设活动。在不突破规划城镇建设用地规模的前提下，可在弹性发展范围内调整城镇建设用地布局，同时相应核减城镇集中建设用地规模。</w:t>
            </w:r>
          </w:p>
        </w:tc>
        <w:tc>
          <w:tcPr>
            <w:tcW w:w="3601" w:type="dxa"/>
            <w:vMerge w:val="restart"/>
            <w:vAlign w:val="center"/>
          </w:tcPr>
          <w:p>
            <w:pPr>
              <w:pStyle w:val="2001"/>
            </w:pPr>
            <w:r>
              <w:rPr>
                <w:rFonts w:hint="eastAsia"/>
              </w:rPr>
              <w:t>项目位于依法合规设立的广西钦州保税港区内，不属于弹性发展区及特殊用途区</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c>
          <w:tcPr>
            <w:tcW w:w="4927" w:type="dxa"/>
            <w:vAlign w:val="center"/>
          </w:tcPr>
          <w:p>
            <w:pPr>
              <w:pStyle w:val="2001"/>
            </w:pPr>
            <w:r>
              <w:rPr>
                <w:rFonts w:hint="eastAsia"/>
              </w:rPr>
              <w:t>特别用途区原则上禁止任何城镇集中建设行为，实施建设用地总量控制，原则上不得新增除市政基础设施、交通基础设施、生态修复工程、必要的配套及游憩设施外的其他城镇建设用地。</w:t>
            </w:r>
          </w:p>
        </w:tc>
        <w:tc>
          <w:tcPr>
            <w:tcW w:w="3601" w:type="dxa"/>
            <w:vMerge w:val="continue"/>
          </w:tcPr>
          <w:p>
            <w:pPr>
              <w:pStyle w:val="2001"/>
            </w:pPr>
          </w:p>
        </w:tc>
      </w:tr>
    </w:tbl>
    <w:p>
      <w:pPr>
        <w:pStyle w:val="3470"/>
        <w:spacing w:before="116" w:beforeLines="25"/>
        <w:ind w:firstLine="462"/>
        <w:rPr>
          <w:rFonts w:ascii="Times New Roman" w:hAnsi="Times New Roman"/>
          <w:color w:val="000000" w:themeColor="text1"/>
          <w14:textFill>
            <w14:solidFill>
              <w14:schemeClr w14:val="tx1"/>
            </w14:solidFill>
          </w14:textFill>
        </w:rPr>
      </w:pPr>
      <w:r>
        <w:rPr>
          <w:rFonts w:hint="eastAsia" w:ascii="Times New Roman" w:hAnsi="Times New Roman"/>
          <w:color w:val="000000" w:themeColor="text1"/>
          <w14:textFill>
            <w14:solidFill>
              <w14:schemeClr w14:val="tx1"/>
            </w14:solidFill>
          </w14:textFill>
        </w:rPr>
        <w:t>综上所述，项目与区域“三区三线”相符。</w:t>
      </w:r>
    </w:p>
    <w:p>
      <w:pPr>
        <w:pStyle w:val="6"/>
        <w:rPr>
          <w:color w:val="000000" w:themeColor="text1"/>
          <w14:textFill>
            <w14:solidFill>
              <w14:schemeClr w14:val="tx1"/>
            </w14:solidFill>
          </w14:textFill>
        </w:rPr>
      </w:pPr>
      <w:r>
        <w:rPr>
          <w:rFonts w:hint="eastAsia"/>
          <w:color w:val="000000" w:themeColor="text1"/>
          <w14:textFill>
            <w14:solidFill>
              <w14:schemeClr w14:val="tx1"/>
            </w14:solidFill>
          </w14:textFill>
        </w:rPr>
        <w:t>与《钦州市国土空间总体规划（2021—2035年）》市域海洋功能分区协调性分析</w:t>
      </w:r>
    </w:p>
    <w:p>
      <w:pPr>
        <w:pStyle w:val="283"/>
        <w:ind w:firstLine="462"/>
        <w:rPr>
          <w:color w:val="000000" w:themeColor="text1"/>
          <w14:textFill>
            <w14:solidFill>
              <w14:schemeClr w14:val="tx1"/>
            </w14:solidFill>
          </w14:textFill>
        </w:rPr>
      </w:pPr>
      <w:r>
        <w:rPr>
          <w:rFonts w:hint="eastAsia"/>
          <w:color w:val="000000" w:themeColor="text1"/>
          <w14:textFill>
            <w14:solidFill>
              <w14:schemeClr w14:val="tx1"/>
            </w14:solidFill>
          </w14:textFill>
        </w:rPr>
        <w:t>根据《钦州市国土空间总体规划（2021—2035年）》，围绕国土空间开发保护总体格局，统筹布局农业、生态、城镇、海洋等功能空间，加强全域全要素国土空间用途管制，将钦州市国土空间划分为农田保护区、生态保护区、生态控制区、城镇发展区、乡村发展区、矿产能源发展区、海洋发展区7类一级规划分区。其中，海洋发展区划分为渔业用海区、交通运输用海区、工矿通信用海区、游憩用海区、特殊用海区及海洋预留区6类二级规划分区。</w:t>
      </w:r>
    </w:p>
    <w:p>
      <w:pPr>
        <w:pStyle w:val="283"/>
        <w:ind w:firstLine="462"/>
        <w:rPr>
          <w:color w:val="000000" w:themeColor="text1"/>
          <w14:textFill>
            <w14:solidFill>
              <w14:schemeClr w14:val="tx1"/>
            </w14:solidFill>
          </w14:textFill>
        </w:rPr>
      </w:pPr>
      <w:r>
        <w:rPr>
          <w:rFonts w:hint="eastAsia"/>
          <w:color w:val="000000" w:themeColor="text1"/>
          <w14:textFill>
            <w14:solidFill>
              <w14:schemeClr w14:val="tx1"/>
            </w14:solidFill>
          </w14:textFill>
        </w:rPr>
        <w:t>本项目位于海洋发展区内的交通运输用海区，海岸交通运输用海区主要用于近岸港口陆域、码头、港池等航运设施建设，重点保障平陆运河、金鼓江、大榄坪等发展需要；近海交通运输用海区主要用于港外航道、锚地等航运用海。在已经开发利用的港区、锚地、航道以及规定的航路及其保护范围内，禁止开展与航运无关、有碍航行安全的活动；原则上禁止其他海岸工程或海洋工程占用深水岸线资源；在未开发利用的港区内，对无碍交通运输功能发挥的海洋开发活动尤其是渔业开发活动可暂时予以保留；在不影响交通运输用海及安全的前提下，可兼容临海工业用海。</w:t>
      </w:r>
    </w:p>
    <w:p>
      <w:pPr>
        <w:pStyle w:val="283"/>
        <w:ind w:firstLine="462"/>
        <w:rPr>
          <w:color w:val="000000" w:themeColor="text1"/>
          <w:lang w:val="zh-CN"/>
          <w14:textFill>
            <w14:solidFill>
              <w14:schemeClr w14:val="tx1"/>
            </w14:solidFill>
          </w14:textFill>
        </w:rPr>
      </w:pPr>
      <w:r>
        <w:rPr>
          <w:rFonts w:hint="eastAsia"/>
          <w:color w:val="000000" w:themeColor="text1"/>
          <w14:textFill>
            <w14:solidFill>
              <w14:schemeClr w14:val="tx1"/>
            </w14:solidFill>
          </w14:textFill>
        </w:rPr>
        <w:t>本项目位于大榄坪港区，为海岸交通运输用海区重点保障发展的区域，项目在已开发的港区内进行扩建，项目建设位置、码头功能均符合钦州港及钦州保税港区规划，不阻碍航行安全，符合《钦州市国土空间总体规划（2021—2035年）》中海洋功能分区内交通运输用海区建设要求。</w:t>
      </w:r>
    </w:p>
    <w:p>
      <w:pPr>
        <w:pStyle w:val="5"/>
        <w:rPr>
          <w:color w:val="000000" w:themeColor="text1"/>
          <w14:textFill>
            <w14:solidFill>
              <w14:schemeClr w14:val="tx1"/>
            </w14:solidFill>
          </w14:textFill>
        </w:rPr>
      </w:pPr>
      <w:r>
        <w:rPr>
          <w:rFonts w:hint="eastAsia"/>
          <w:color w:val="000000" w:themeColor="text1"/>
          <w14:textFill>
            <w14:solidFill>
              <w14:schemeClr w14:val="tx1"/>
            </w14:solidFill>
          </w14:textFill>
        </w:rPr>
        <w:t>与《广西钦州保税港区控制性详细规划》（修编）的相符性</w:t>
      </w:r>
    </w:p>
    <w:p>
      <w:pPr>
        <w:pStyle w:val="283"/>
        <w:ind w:firstLine="462"/>
        <w:rPr>
          <w:color w:val="000000" w:themeColor="text1"/>
          <w14:textFill>
            <w14:solidFill>
              <w14:schemeClr w14:val="tx1"/>
            </w14:solidFill>
          </w14:textFill>
        </w:rPr>
      </w:pPr>
      <w:r>
        <w:rPr>
          <w:color w:val="000000" w:themeColor="text1"/>
          <w14:textFill>
            <w14:solidFill>
              <w14:schemeClr w14:val="tx1"/>
            </w14:solidFill>
          </w14:textFill>
        </w:rPr>
        <w:t>1、规划概况</w:t>
      </w:r>
    </w:p>
    <w:p>
      <w:pPr>
        <w:pStyle w:val="283"/>
        <w:ind w:firstLine="462"/>
        <w:rPr>
          <w:color w:val="000000" w:themeColor="text1"/>
          <w:lang w:val="zh-CN"/>
          <w14:textFill>
            <w14:solidFill>
              <w14:schemeClr w14:val="tx1"/>
            </w14:solidFill>
          </w14:textFill>
        </w:rPr>
      </w:pPr>
      <w:r>
        <w:rPr>
          <w:rFonts w:hint="eastAsia"/>
          <w:color w:val="000000" w:themeColor="text1"/>
          <w:lang w:val="zh-CN"/>
          <w14:textFill>
            <w14:solidFill>
              <w14:schemeClr w14:val="tx1"/>
            </w14:solidFill>
          </w14:textFill>
        </w:rPr>
        <w:t>《广西钦州保税港区控制性详细规划》（修编）北至第八大街、南至大榄坪南作业区、西至钦州港10万吨级航道、东至大环作业区后方陆域，总用地面积约10km</w:t>
      </w:r>
      <w:r>
        <w:rPr>
          <w:rFonts w:hint="eastAsia"/>
          <w:color w:val="000000" w:themeColor="text1"/>
          <w:vertAlign w:val="superscript"/>
          <w:lang w:val="zh-CN"/>
          <w14:textFill>
            <w14:solidFill>
              <w14:schemeClr w14:val="tx1"/>
            </w14:solidFill>
          </w14:textFill>
        </w:rPr>
        <w:t>2</w:t>
      </w:r>
      <w:r>
        <w:rPr>
          <w:rFonts w:hint="eastAsia"/>
          <w:color w:val="000000" w:themeColor="text1"/>
          <w:lang w:val="zh-CN"/>
          <w14:textFill>
            <w14:solidFill>
              <w14:schemeClr w14:val="tx1"/>
            </w14:solidFill>
          </w14:textFill>
        </w:rPr>
        <w:t>。</w:t>
      </w:r>
    </w:p>
    <w:p>
      <w:pPr>
        <w:pStyle w:val="283"/>
        <w:ind w:firstLine="462"/>
        <w:rPr>
          <w:color w:val="000000" w:themeColor="text1"/>
          <w14:textFill>
            <w14:solidFill>
              <w14:schemeClr w14:val="tx1"/>
            </w14:solidFill>
          </w14:textFill>
        </w:rPr>
      </w:pPr>
      <w:r>
        <w:rPr>
          <w:rFonts w:hint="eastAsia"/>
          <w:color w:val="000000" w:themeColor="text1"/>
          <w14:textFill>
            <w14:solidFill>
              <w14:schemeClr w14:val="tx1"/>
            </w14:solidFill>
          </w14:textFill>
        </w:rPr>
        <w:t>保税港区形成码头作业区、保税物流区、生产物流综合区和管理服务区四大主要功能区。码头作业区位于保税港区西侧，重点发展集装箱运输、整车上岸、国际中转、国际转口贸易、集装箱集拼箱等功能。</w:t>
      </w:r>
    </w:p>
    <w:p>
      <w:pPr>
        <w:pStyle w:val="283"/>
        <w:ind w:firstLine="462"/>
        <w:rPr>
          <w:color w:val="000000" w:themeColor="text1"/>
          <w14:textFill>
            <w14:solidFill>
              <w14:schemeClr w14:val="tx1"/>
            </w14:solidFill>
          </w14:textFill>
        </w:rPr>
      </w:pPr>
      <w:r>
        <w:rPr>
          <w:color w:val="000000" w:themeColor="text1"/>
          <w14:textFill>
            <w14:solidFill>
              <w14:schemeClr w14:val="tx1"/>
            </w14:solidFill>
          </w14:textFill>
        </w:rPr>
        <w:t>2、规划符合性</w:t>
      </w:r>
    </w:p>
    <w:p>
      <w:pPr>
        <w:pStyle w:val="283"/>
        <w:ind w:firstLine="462"/>
        <w:rPr>
          <w:color w:val="000000" w:themeColor="text1"/>
          <w14:textFill>
            <w14:solidFill>
              <w14:schemeClr w14:val="tx1"/>
            </w14:solidFill>
          </w14:textFill>
        </w:rPr>
      </w:pPr>
      <w:r>
        <w:rPr>
          <w:color w:val="000000" w:themeColor="text1"/>
          <w14:textFill>
            <w14:solidFill>
              <w14:schemeClr w14:val="tx1"/>
            </w14:solidFill>
          </w14:textFill>
        </w:rPr>
        <w:t>本次建设</w:t>
      </w:r>
      <w:r>
        <w:rPr>
          <w:rFonts w:hint="eastAsia"/>
          <w:color w:val="000000" w:themeColor="text1"/>
          <w14:textFill>
            <w14:solidFill>
              <w14:schemeClr w14:val="tx1"/>
            </w14:solidFill>
          </w14:textFill>
        </w:rPr>
        <w:t>北部湾港钦州港域</w:t>
      </w:r>
      <w:r>
        <w:rPr>
          <w:color w:val="000000" w:themeColor="text1"/>
          <w14:textFill>
            <w14:solidFill>
              <w14:schemeClr w14:val="tx1"/>
            </w14:solidFill>
          </w14:textFill>
        </w:rPr>
        <w:t>大榄坪港区大榄坪南作业区</w:t>
      </w:r>
      <w:r>
        <w:rPr>
          <w:rFonts w:hint="eastAsia"/>
          <w:color w:val="000000" w:themeColor="text1"/>
          <w14:textFill>
            <w14:solidFill>
              <w14:schemeClr w14:val="tx1"/>
            </w14:solidFill>
          </w14:textFill>
        </w:rPr>
        <w:t>9号10号泊位工程位于</w:t>
      </w:r>
      <w:r>
        <w:rPr>
          <w:color w:val="000000" w:themeColor="text1"/>
          <w14:textFill>
            <w14:solidFill>
              <w14:schemeClr w14:val="tx1"/>
            </w14:solidFill>
          </w14:textFill>
        </w:rPr>
        <w:t>钦州保税港区码头作业区内，为自动化集装箱码头，主要功能为集装箱运输、装卸及堆存业务，码头定位</w:t>
      </w:r>
      <w:r>
        <w:rPr>
          <w:rFonts w:hint="eastAsia"/>
          <w:color w:val="000000" w:themeColor="text1"/>
          <w14:textFill>
            <w14:solidFill>
              <w14:schemeClr w14:val="tx1"/>
            </w14:solidFill>
          </w14:textFill>
        </w:rPr>
        <w:t>与</w:t>
      </w:r>
      <w:r>
        <w:rPr>
          <w:color w:val="000000" w:themeColor="text1"/>
          <w14:textFill>
            <w14:solidFill>
              <w14:schemeClr w14:val="tx1"/>
            </w14:solidFill>
          </w14:textFill>
        </w:rPr>
        <w:t>钦州保税港区产业定位相符。</w:t>
      </w:r>
    </w:p>
    <w:p>
      <w:pPr>
        <w:pStyle w:val="5"/>
        <w:rPr>
          <w:color w:val="000000" w:themeColor="text1"/>
          <w14:textFill>
            <w14:solidFill>
              <w14:schemeClr w14:val="tx1"/>
            </w14:solidFill>
          </w14:textFill>
        </w:rPr>
      </w:pPr>
      <w:r>
        <w:rPr>
          <w:rFonts w:hint="eastAsia"/>
          <w:color w:val="000000" w:themeColor="text1"/>
          <w14:textFill>
            <w14:solidFill>
              <w14:schemeClr w14:val="tx1"/>
            </w14:solidFill>
          </w14:textFill>
        </w:rPr>
        <w:t>与海洋产业发展政策相符性分析</w:t>
      </w:r>
    </w:p>
    <w:p>
      <w:pPr>
        <w:pStyle w:val="283"/>
        <w:ind w:firstLine="462"/>
        <w:rPr>
          <w:color w:val="000000" w:themeColor="text1"/>
          <w14:textFill>
            <w14:solidFill>
              <w14:schemeClr w14:val="tx1"/>
            </w14:solidFill>
          </w14:textFill>
        </w:rPr>
      </w:pPr>
      <w:r>
        <w:rPr>
          <w:rFonts w:hint="eastAsia"/>
          <w:color w:val="000000" w:themeColor="text1"/>
          <w14:textFill>
            <w14:solidFill>
              <w14:schemeClr w14:val="tx1"/>
            </w14:solidFill>
          </w14:textFill>
        </w:rPr>
        <w:t>2021年7月，广西壮族自治区海洋局、广西壮族自治区发展改革委发布《广西海洋经济发展“十四五”规划》（以下简称《规划》），明确了“十四五”时期广西海洋经济发展的指导思想、目标任务和重大举措，规划范围包括北海、钦州、防城港3市，并延伸到南宁、玉林市相关陆域地区。</w:t>
      </w:r>
    </w:p>
    <w:p>
      <w:pPr>
        <w:pStyle w:val="283"/>
        <w:ind w:firstLine="462"/>
        <w:rPr>
          <w:color w:val="000000" w:themeColor="text1"/>
          <w14:textFill>
            <w14:solidFill>
              <w14:schemeClr w14:val="tx1"/>
            </w14:solidFill>
          </w14:textFill>
        </w:rPr>
      </w:pPr>
      <w:r>
        <w:rPr>
          <w:rFonts w:hint="eastAsia"/>
          <w:color w:val="000000" w:themeColor="text1"/>
          <w14:textFill>
            <w14:solidFill>
              <w14:schemeClr w14:val="tx1"/>
            </w14:solidFill>
          </w14:textFill>
        </w:rPr>
        <w:t>《规划》以海洋经济高质量发展为主题，按照“一港两区两基地”的发展定位，系统谋划海洋产业布局，扎实推进海洋经济转型升级，着力提升海洋治理能力现代化水平，全力打造“一轴两带三核多园区”的海洋发展新格局，使海洋经济成为推动广西经济高质量发展的重要增长极，把广西建设成为具有重要区域影响力的海洋强区。提升产业质量，构建现代海洋产业体系，包括现代海洋业、海洋交通运输业、海洋药物和生物制品业、海水综合利用业、海洋可再生能源利用业等。其中海洋交通运输业要求推进建设自动化、信息化与智慧化港口，包括加快建设钦州大榄坪南作业区9号10号自动化集装箱泊位等工程。</w:t>
      </w:r>
    </w:p>
    <w:p>
      <w:pPr>
        <w:pStyle w:val="283"/>
        <w:ind w:firstLine="462"/>
        <w:rPr>
          <w:color w:val="000000" w:themeColor="text1"/>
          <w14:textFill>
            <w14:solidFill>
              <w14:schemeClr w14:val="tx1"/>
            </w14:solidFill>
          </w14:textFill>
        </w:rPr>
      </w:pPr>
      <w:r>
        <w:rPr>
          <w:rFonts w:hint="eastAsia"/>
          <w:color w:val="000000" w:themeColor="text1"/>
          <w14:textFill>
            <w14:solidFill>
              <w14:schemeClr w14:val="tx1"/>
            </w14:solidFill>
          </w14:textFill>
        </w:rPr>
        <w:t>本项目属于《广西海洋经济发展“十四五”规划》中的重点建设的港口基础设施，项目建设对完善区域海洋交通运输具有促进作用，项目建设与区域海洋产业发展政策相符。</w:t>
      </w:r>
    </w:p>
    <w:p>
      <w:pPr>
        <w:pStyle w:val="5"/>
        <w:ind w:left="0" w:firstLine="0"/>
        <w:rPr>
          <w:color w:val="000000" w:themeColor="text1"/>
          <w14:textFill>
            <w14:solidFill>
              <w14:schemeClr w14:val="tx1"/>
            </w14:solidFill>
          </w14:textFill>
        </w:rPr>
      </w:pPr>
      <w:r>
        <w:rPr>
          <w:rFonts w:hint="eastAsia"/>
          <w:color w:val="000000" w:themeColor="text1"/>
          <w14:textFill>
            <w14:solidFill>
              <w14:schemeClr w14:val="tx1"/>
            </w14:solidFill>
          </w14:textFill>
        </w:rPr>
        <w:t>《国务院关于加强滨海湿地保护严格管控围填海的通知》（国发〔2018〕24 号）、《广西壮族自治区人民政府关于加强滨海湿地 保护严格管控围填海的实施意见》（桂政发〔2019〕15号）相符性分析</w:t>
      </w:r>
    </w:p>
    <w:p>
      <w:pPr>
        <w:pStyle w:val="283"/>
        <w:ind w:firstLine="462"/>
        <w:rPr>
          <w:color w:val="000000" w:themeColor="text1"/>
          <w14:textFill>
            <w14:solidFill>
              <w14:schemeClr w14:val="tx1"/>
            </w14:solidFill>
          </w14:textFill>
        </w:rPr>
      </w:pPr>
      <w:r>
        <w:rPr>
          <w:rFonts w:hint="eastAsia"/>
          <w:color w:val="000000" w:themeColor="text1"/>
          <w14:textFill>
            <w14:solidFill>
              <w14:schemeClr w14:val="tx1"/>
            </w14:solidFill>
          </w14:textFill>
        </w:rPr>
        <w:t>2018年7月，国务院为切实提高滨海湿地保护水平，严格管控围填海活动，发布《国务院关于加强滨海湿地保护严格管控围填海的通知》（国发〔2018〕24 号），针对围填海活动及加快处理围填海历史遗留问题，提出以下要求：</w:t>
      </w:r>
    </w:p>
    <w:p>
      <w:pPr>
        <w:pStyle w:val="283"/>
        <w:ind w:firstLine="462"/>
        <w:rPr>
          <w:color w:val="000000" w:themeColor="text1"/>
          <w14:textFill>
            <w14:solidFill>
              <w14:schemeClr w14:val="tx1"/>
            </w14:solidFill>
          </w14:textFill>
        </w:rPr>
      </w:pPr>
      <w:r>
        <w:rPr>
          <w:rFonts w:hint="eastAsia"/>
          <w:color w:val="000000" w:themeColor="text1"/>
          <w14:textFill>
            <w14:solidFill>
              <w14:schemeClr w14:val="tx1"/>
            </w14:solidFill>
          </w14:textFill>
        </w:rPr>
        <w:t>（一）全面开展现状调查并制定处理方案。有关省级人民政府按照“生态优先、节约集约、分类施策、积极稳妥”的原则，结合2017年开展的围填海专项督察情况，确定围填海历史遗留问题清单，在2019年底前制定围填海历史遗留问题处理方案，提出年度处置目标，严格限制围填海用于房地产开发、低水平重复建设旅游休闲娱乐项目及污染海洋生态环境的项目。原则上不受理未完成历史遗留问题处理的省（自治区、直辖市）提出的新增围填海项目申请。</w:t>
      </w:r>
    </w:p>
    <w:p>
      <w:pPr>
        <w:pStyle w:val="283"/>
        <w:ind w:firstLine="462"/>
        <w:rPr>
          <w:color w:val="000000" w:themeColor="text1"/>
          <w14:textFill>
            <w14:solidFill>
              <w14:schemeClr w14:val="tx1"/>
            </w14:solidFill>
          </w14:textFill>
        </w:rPr>
      </w:pPr>
      <w:r>
        <w:rPr>
          <w:rFonts w:hint="eastAsia"/>
          <w:color w:val="000000" w:themeColor="text1"/>
          <w14:textFill>
            <w14:solidFill>
              <w14:schemeClr w14:val="tx1"/>
            </w14:solidFill>
          </w14:textFill>
        </w:rPr>
        <w:t>（二）妥善处置合法合规围填海项目。由省级人民政府负责组织有关地方人民政府根据围填海工程进展情况，监督指导海域使用权人进行妥善处置。已经完成围填海的，原则上应集约利用，进行必要的生态修复；在2017年底前批准而尚未完成围填海的，最大限度控制围填海面积，并进行必要的生态修复。</w:t>
      </w:r>
    </w:p>
    <w:p>
      <w:pPr>
        <w:pStyle w:val="283"/>
        <w:ind w:firstLine="462"/>
        <w:rPr>
          <w:color w:val="000000" w:themeColor="text1"/>
          <w14:textFill>
            <w14:solidFill>
              <w14:schemeClr w14:val="tx1"/>
            </w14:solidFill>
          </w14:textFill>
        </w:rPr>
      </w:pPr>
      <w:r>
        <w:rPr>
          <w:rFonts w:hint="eastAsia"/>
          <w:color w:val="000000" w:themeColor="text1"/>
          <w14:textFill>
            <w14:solidFill>
              <w14:schemeClr w14:val="tx1"/>
            </w14:solidFill>
          </w14:textFill>
        </w:rPr>
        <w:t>本次扩建陆域形成的未回填区域依托钦州保税港区昊鼎仓储物流中心项目，该项目已取得《关于〈昊鼎仓储物流中心项目海洋环境影响报告表〉核准意见的函》（桂海函〔2009〕165号）及项目海域使用权证书，该项目于2010年开始围填海，已批复的宗海范围填海尚未完成，造成了该项目的围填海历史遗留问题。围填海陆域形成后作为自动化集装箱码头，不属于房地产开发及低水平重复建设的休闲娱乐项目及污染海洋生态环境的项目，不属于新增围填海项目。项目为2017年底前批准且尚未完成的围填海历史遗留问题，本次陆域形成回填区域均位于《广西钦州保税港区控制性详细规划》（修编）及《北部湾港总体规划（2035年）》规划岸线范围内，严格按照项目海域使用权证书内申请范围进行围填海，并已编制《钦州港保税区昊鼎仓储物流中心项目围填海历史遗留问题生态保护修复方案》。综上，本次扩建陆域形成的围填海历史遗留问题符合《国务院关于加强滨海湿地保护严格管控围填海的通知》（国发〔2018〕24 号）相关要求。</w:t>
      </w:r>
    </w:p>
    <w:p>
      <w:pPr>
        <w:pStyle w:val="283"/>
        <w:ind w:firstLine="462"/>
        <w:rPr>
          <w:color w:val="000000" w:themeColor="text1"/>
          <w14:textFill>
            <w14:solidFill>
              <w14:schemeClr w14:val="tx1"/>
            </w14:solidFill>
          </w14:textFill>
        </w:rPr>
      </w:pPr>
      <w:r>
        <w:rPr>
          <w:rFonts w:hint="eastAsia"/>
          <w:color w:val="000000" w:themeColor="text1"/>
          <w14:textFill>
            <w14:solidFill>
              <w14:schemeClr w14:val="tx1"/>
            </w14:solidFill>
          </w14:textFill>
        </w:rPr>
        <w:t>为贯彻落实《国务院关于加强滨海湿地保护严格管控围填海的通知》（国发〔2018〕24号）精神，广西壮族自治区人民政府于2019年3月发布《广西壮族自治区人民政府关于加强滨海湿地 保护严格管控围填海的实施意见（桂政发〔2019〕15号）》，针对围填海活动及加快处理围填海历史遗留问题提出以下要求：《通知》下发前已完成围填海工程的，由自治区海洋局负责监督指导海域使用权人在符合国家产业政策的前提下集约节约利用海域，并进行必要的生态修复。《通知》下发前已经批准但尚未完成围填海的，有关设区市人民政府要严格审查项目实施的必要性，如确需继续围填海的，要监督指导海域使用权人按照国家产业政策制定项目建设方案，最大限度控制围填海面积，并进行必要的生态修复，提升湿地生态功能。有关设区市人民政府将项目建设方案送自治区海洋局，经自治区海洋局审核，报自治区人民政府同意后实施，同时报自然资源部备案。</w:t>
      </w:r>
    </w:p>
    <w:p>
      <w:pPr>
        <w:pStyle w:val="283"/>
        <w:ind w:firstLine="462"/>
        <w:rPr>
          <w:color w:val="000000" w:themeColor="text1"/>
          <w14:textFill>
            <w14:solidFill>
              <w14:schemeClr w14:val="tx1"/>
            </w14:solidFill>
          </w14:textFill>
        </w:rPr>
      </w:pPr>
      <w:r>
        <w:rPr>
          <w:rFonts w:hint="eastAsia"/>
          <w:color w:val="000000" w:themeColor="text1"/>
          <w14:textFill>
            <w14:solidFill>
              <w14:schemeClr w14:val="tx1"/>
            </w14:solidFill>
          </w14:textFill>
        </w:rPr>
        <w:t>本次扩建陆域形成的未回填区域依托钦州保税港区昊鼎仓储物流中心项目，</w:t>
      </w:r>
      <w:r>
        <w:rPr>
          <w:color w:val="000000" w:themeColor="text1"/>
          <w14:textFill>
            <w14:solidFill>
              <w14:schemeClr w14:val="tx1"/>
            </w14:solidFill>
          </w14:textFill>
        </w:rPr>
        <w:t>为</w:t>
      </w:r>
      <w:r>
        <w:rPr>
          <w:rFonts w:hint="eastAsia"/>
          <w:color w:val="000000" w:themeColor="text1"/>
          <w14:textFill>
            <w14:solidFill>
              <w14:schemeClr w14:val="tx1"/>
            </w14:solidFill>
          </w14:textFill>
        </w:rPr>
        <w:t>《通知》下发前已经批准但尚未完成围填海的工程，项目已编制《钦州保税港区昊鼎仓储物流中心项目围填海历史遗留问题生态评估报告》及《钦州港保税区昊鼎仓储物流中心项目围填海历史遗留问题生态保护修复方案》，该方案中已包含项目建设方案、围填海区域位置等信息，并已取得《自治区海洋局关</w:t>
      </w:r>
      <w:r>
        <w:rPr>
          <w:color w:val="000000" w:themeColor="text1"/>
          <w14:textFill>
            <w14:solidFill>
              <w14:schemeClr w14:val="tx1"/>
            </w14:solidFill>
          </w14:textFill>
        </w:rPr>
        <w:t>于钦州保税港区昊鼎仓储物流中心项目继续填海有关事项的批复</w:t>
      </w:r>
      <w:r>
        <w:rPr>
          <w:rFonts w:hint="eastAsia"/>
          <w:color w:val="000000" w:themeColor="text1"/>
          <w14:textFill>
            <w14:solidFill>
              <w14:schemeClr w14:val="tx1"/>
            </w14:solidFill>
          </w14:textFill>
        </w:rPr>
        <w:t xml:space="preserve">》（附件6），根据批复经自治区海洋局组织进行严格论证评估并报自然资源部备案，报经自治区人民政府同意，允许在尚未完成填海的22.8591公顷范围内继续实施填海。 </w:t>
      </w:r>
    </w:p>
    <w:p>
      <w:pPr>
        <w:pStyle w:val="5"/>
        <w:rPr>
          <w:color w:val="000000" w:themeColor="text1"/>
          <w14:textFill>
            <w14:solidFill>
              <w14:schemeClr w14:val="tx1"/>
            </w14:solidFill>
          </w14:textFill>
        </w:rPr>
      </w:pPr>
      <w:r>
        <w:rPr>
          <w:rFonts w:hint="eastAsia"/>
          <w:color w:val="000000" w:themeColor="text1"/>
          <w14:textFill>
            <w14:solidFill>
              <w14:schemeClr w14:val="tx1"/>
            </w14:solidFill>
          </w14:textFill>
        </w:rPr>
        <w:t>与《广西壮族自治区近岸海域环境功能区划调整方案》相符性分析</w:t>
      </w:r>
    </w:p>
    <w:p>
      <w:pPr>
        <w:pStyle w:val="283"/>
        <w:ind w:firstLine="462"/>
        <w:rPr>
          <w:color w:val="000000" w:themeColor="text1"/>
          <w14:textFill>
            <w14:solidFill>
              <w14:schemeClr w14:val="tx1"/>
            </w14:solidFill>
          </w14:textFill>
        </w:rPr>
      </w:pPr>
      <w:r>
        <w:rPr>
          <w:color w:val="000000" w:themeColor="text1"/>
          <w14:textFill>
            <w14:solidFill>
              <w14:schemeClr w14:val="tx1"/>
            </w14:solidFill>
          </w14:textFill>
        </w:rPr>
        <w:t>根据《广西壮族自治区生态环境厅关于印发广西壮族自治区近岸海域环境功能区划调整方案的通知》（桂环发〔2023〕9号），本工程位于</w:t>
      </w:r>
      <w:r>
        <w:rPr>
          <w:rFonts w:hint="eastAsia"/>
          <w:color w:val="000000" w:themeColor="text1"/>
          <w14:textFill>
            <w14:solidFill>
              <w14:schemeClr w14:val="tx1"/>
            </w14:solidFill>
          </w14:textFill>
        </w:rPr>
        <w:t>钦州港大榄坪港口工业区（GX055D</w:t>
      </w:r>
      <w:r>
        <w:rPr>
          <w:color w:val="000000" w:themeColor="text1"/>
          <w14:textFill>
            <w14:solidFill>
              <w14:schemeClr w14:val="tx1"/>
            </w14:solidFill>
          </w14:textFill>
        </w:rPr>
        <w:t>Ⅳ）和钦州港大榄坪排污混合区（GX057DⅣ</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钦州港大榄坪港口工业区（GX055D</w:t>
      </w:r>
      <w:r>
        <w:rPr>
          <w:color w:val="000000" w:themeColor="text1"/>
          <w14:textFill>
            <w14:solidFill>
              <w14:schemeClr w14:val="tx1"/>
            </w14:solidFill>
          </w14:textFill>
        </w:rPr>
        <w:t>Ⅳ</w:t>
      </w:r>
      <w:r>
        <w:rPr>
          <w:rFonts w:hint="eastAsia"/>
          <w:color w:val="000000" w:themeColor="text1"/>
          <w14:textFill>
            <w14:solidFill>
              <w14:schemeClr w14:val="tx1"/>
            </w14:solidFill>
          </w14:textFill>
        </w:rPr>
        <w:t>）主导功能为港口、工业用海，属四类环境功能区，水质保护目标为海水水质标准第四类；钦州港大榄坪排污混合区（</w:t>
      </w:r>
      <w:r>
        <w:rPr>
          <w:color w:val="000000" w:themeColor="text1"/>
          <w14:textFill>
            <w14:solidFill>
              <w14:schemeClr w14:val="tx1"/>
            </w14:solidFill>
          </w14:textFill>
        </w:rPr>
        <w:t>GX057D</w:t>
      </w:r>
      <w:r>
        <w:rPr>
          <w:rFonts w:hint="eastAsia"/>
          <w:color w:val="000000" w:themeColor="text1"/>
          <w14:textFill>
            <w14:solidFill>
              <w14:schemeClr w14:val="tx1"/>
            </w14:solidFill>
          </w14:textFill>
        </w:rPr>
        <w:t>Ⅳ）主导功能为港口、工业、生活排污用海，属四类环境功能区，水质保护目标为海水水质标准第四类，排污口距离本项目红线边界约263m，位于已批复的《北部湾港总体规划（2035年）》10号泊位南侧挖入式港池，规划中已预留排污口排放区域</w:t>
      </w:r>
      <w:r>
        <w:rPr>
          <w:color w:val="000000" w:themeColor="text1"/>
          <w14:textFill>
            <w14:solidFill>
              <w14:schemeClr w14:val="tx1"/>
            </w14:solidFill>
          </w14:textFill>
        </w:rPr>
        <w:t>。</w:t>
      </w:r>
    </w:p>
    <w:p>
      <w:pPr>
        <w:pStyle w:val="283"/>
        <w:ind w:firstLine="462"/>
        <w:rPr>
          <w:color w:val="000000" w:themeColor="text1"/>
          <w14:textFill>
            <w14:solidFill>
              <w14:schemeClr w14:val="tx1"/>
            </w14:solidFill>
          </w14:textFill>
        </w:rPr>
      </w:pPr>
      <w:r>
        <w:rPr>
          <w:color w:val="000000" w:themeColor="text1"/>
          <w14:textFill>
            <w14:solidFill>
              <w14:schemeClr w14:val="tx1"/>
            </w14:solidFill>
          </w14:textFill>
        </w:rPr>
        <w:t>本项目拟建为</w:t>
      </w:r>
      <w:r>
        <w:rPr>
          <w:rFonts w:hint="eastAsia"/>
          <w:color w:val="000000" w:themeColor="text1"/>
          <w14:textFill>
            <w14:solidFill>
              <w14:schemeClr w14:val="tx1"/>
            </w14:solidFill>
          </w14:textFill>
        </w:rPr>
        <w:t>集装箱</w:t>
      </w:r>
      <w:r>
        <w:rPr>
          <w:color w:val="000000" w:themeColor="text1"/>
          <w14:textFill>
            <w14:solidFill>
              <w14:schemeClr w14:val="tx1"/>
            </w14:solidFill>
          </w14:textFill>
        </w:rPr>
        <w:t>泊位，与规划区主导功能相符；项目不涉及危化品的储运，在做好施工期及运营期环境保护措施后，对区域主导环境功能基本无影响。因此，项目用海符合《广西壮族自治区近岸海域环境功能区划调整方案》对海区的环境功能区划要求。</w:t>
      </w:r>
    </w:p>
    <w:p>
      <w:pPr>
        <w:pStyle w:val="283"/>
        <w:ind w:firstLine="462"/>
        <w:rPr>
          <w:color w:val="000000" w:themeColor="text1"/>
          <w14:textFill>
            <w14:solidFill>
              <w14:schemeClr w14:val="tx1"/>
            </w14:solidFill>
          </w14:textFill>
        </w:rPr>
      </w:pPr>
      <w:r>
        <w:rPr>
          <w:color w:val="000000" w:themeColor="text1"/>
          <w14:textFill>
            <w14:solidFill>
              <w14:schemeClr w14:val="tx1"/>
            </w14:solidFill>
          </w14:textFill>
        </w:rPr>
        <w:t>本项目与相关功能区划管理要求的符合性详见表2.</w:t>
      </w:r>
      <w:r>
        <w:rPr>
          <w:rFonts w:hint="eastAsia"/>
          <w:color w:val="000000" w:themeColor="text1"/>
          <w14:textFill>
            <w14:solidFill>
              <w14:schemeClr w14:val="tx1"/>
            </w14:solidFill>
          </w14:textFill>
        </w:rPr>
        <w:t>5</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6</w:t>
      </w:r>
      <w:r>
        <w:rPr>
          <w:color w:val="000000" w:themeColor="text1"/>
          <w14:textFill>
            <w14:solidFill>
              <w14:schemeClr w14:val="tx1"/>
            </w14:solidFill>
          </w14:textFill>
        </w:rPr>
        <w:t>。</w:t>
      </w:r>
    </w:p>
    <w:p>
      <w:pPr>
        <w:pStyle w:val="384"/>
        <w:ind w:left="0" w:firstLine="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项目与</w:t>
      </w:r>
      <w:r>
        <w:rPr>
          <w:rFonts w:hint="eastAsia" w:cs="Times New Roman"/>
          <w:color w:val="000000" w:themeColor="text1"/>
          <w14:textFill>
            <w14:solidFill>
              <w14:schemeClr w14:val="tx1"/>
            </w14:solidFill>
          </w14:textFill>
        </w:rPr>
        <w:t>《广西壮族自治区近岸海域环境功能区划调整方案》</w:t>
      </w:r>
      <w:r>
        <w:rPr>
          <w:rFonts w:cs="Times New Roman"/>
          <w:color w:val="000000" w:themeColor="text1"/>
          <w14:textFill>
            <w14:solidFill>
              <w14:schemeClr w14:val="tx1"/>
            </w14:solidFill>
          </w14:textFill>
        </w:rPr>
        <w:t>符合性分析一览表</w:t>
      </w:r>
    </w:p>
    <w:tbl>
      <w:tblPr>
        <w:tblStyle w:val="88"/>
        <w:tblW w:w="8528" w:type="dxa"/>
        <w:jc w:val="center"/>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480"/>
        <w:gridCol w:w="3544"/>
        <w:gridCol w:w="3504"/>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blHeader/>
          <w:jc w:val="center"/>
        </w:trPr>
        <w:tc>
          <w:tcPr>
            <w:tcW w:w="5024" w:type="dxa"/>
            <w:gridSpan w:val="2"/>
            <w:vAlign w:val="center"/>
          </w:tcPr>
          <w:p>
            <w:pPr>
              <w:pStyle w:val="2001"/>
            </w:pPr>
            <w:r>
              <w:t>规划管理要求</w:t>
            </w:r>
          </w:p>
        </w:tc>
        <w:tc>
          <w:tcPr>
            <w:tcW w:w="3504" w:type="dxa"/>
            <w:vAlign w:val="center"/>
          </w:tcPr>
          <w:p>
            <w:pPr>
              <w:pStyle w:val="2001"/>
            </w:pPr>
            <w:r>
              <w:t>协调性分析</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blHeader/>
          <w:jc w:val="center"/>
        </w:trPr>
        <w:tc>
          <w:tcPr>
            <w:tcW w:w="1480" w:type="dxa"/>
            <w:vMerge w:val="restart"/>
            <w:vAlign w:val="center"/>
          </w:tcPr>
          <w:p>
            <w:pPr>
              <w:pStyle w:val="2001"/>
            </w:pPr>
            <w:r>
              <w:t>《广西壮族自治区近岸海域环境功能区划调整方案》</w:t>
            </w:r>
          </w:p>
        </w:tc>
        <w:tc>
          <w:tcPr>
            <w:tcW w:w="3544" w:type="dxa"/>
            <w:vAlign w:val="center"/>
          </w:tcPr>
          <w:p>
            <w:pPr>
              <w:pStyle w:val="2001"/>
            </w:pPr>
            <w:r>
              <w:t>功能区名称：</w:t>
            </w:r>
            <w:r>
              <w:rPr>
                <w:rFonts w:hint="eastAsia"/>
              </w:rPr>
              <w:t>钦州港大榄坪港口工业区（GX055D</w:t>
            </w:r>
            <w:r>
              <w:t>Ⅳ）和钦州港大榄坪排污混合区（GX057DⅣ</w:t>
            </w:r>
            <w:r>
              <w:rPr>
                <w:rFonts w:hint="eastAsia"/>
              </w:rPr>
              <w:t>）</w:t>
            </w:r>
          </w:p>
          <w:p>
            <w:pPr>
              <w:pStyle w:val="2001"/>
            </w:pPr>
            <w:r>
              <w:t>主导功能：港口、工业</w:t>
            </w:r>
            <w:r>
              <w:rPr>
                <w:rFonts w:hint="eastAsia"/>
              </w:rPr>
              <w:t>、</w:t>
            </w:r>
            <w:r>
              <w:t>生活排污用海</w:t>
            </w:r>
          </w:p>
        </w:tc>
        <w:tc>
          <w:tcPr>
            <w:tcW w:w="3504" w:type="dxa"/>
            <w:vAlign w:val="center"/>
          </w:tcPr>
          <w:p>
            <w:pPr>
              <w:pStyle w:val="2001"/>
            </w:pPr>
            <w:r>
              <w:t>本项目为港口建设项目，项目用途与规划主导功能相符。</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blHeader/>
          <w:jc w:val="center"/>
        </w:trPr>
        <w:tc>
          <w:tcPr>
            <w:tcW w:w="1480" w:type="dxa"/>
            <w:vMerge w:val="continue"/>
            <w:vAlign w:val="center"/>
          </w:tcPr>
          <w:p>
            <w:pPr>
              <w:pStyle w:val="2001"/>
            </w:pPr>
          </w:p>
        </w:tc>
        <w:tc>
          <w:tcPr>
            <w:tcW w:w="3544" w:type="dxa"/>
            <w:vAlign w:val="center"/>
          </w:tcPr>
          <w:p>
            <w:pPr>
              <w:pStyle w:val="2001"/>
            </w:pPr>
            <w:r>
              <w:t>水质保护目标：四类海水水质标准</w:t>
            </w:r>
          </w:p>
        </w:tc>
        <w:tc>
          <w:tcPr>
            <w:tcW w:w="3504" w:type="dxa"/>
            <w:vAlign w:val="center"/>
          </w:tcPr>
          <w:p>
            <w:pPr>
              <w:pStyle w:val="2001"/>
            </w:pPr>
            <w:r>
              <w:t>项目运营期无污染物外排入海，不会造成周边海域水质降低。与水质保护目标相符。</w:t>
            </w:r>
          </w:p>
        </w:tc>
      </w:tr>
    </w:tbl>
    <w:p>
      <w:pPr>
        <w:pStyle w:val="5"/>
        <w:rPr>
          <w:color w:val="000000" w:themeColor="text1"/>
          <w14:textFill>
            <w14:solidFill>
              <w14:schemeClr w14:val="tx1"/>
            </w14:solidFill>
          </w14:textFill>
        </w:rPr>
      </w:pPr>
      <w:r>
        <w:rPr>
          <w:color w:val="000000" w:themeColor="text1"/>
          <w14:textFill>
            <w14:solidFill>
              <w14:schemeClr w14:val="tx1"/>
            </w14:solidFill>
          </w14:textFill>
        </w:rPr>
        <w:t>产业政策符合性</w:t>
      </w:r>
    </w:p>
    <w:p>
      <w:pPr>
        <w:pStyle w:val="283"/>
        <w:ind w:firstLine="462"/>
        <w:rPr>
          <w:color w:val="000000" w:themeColor="text1"/>
          <w14:textFill>
            <w14:solidFill>
              <w14:schemeClr w14:val="tx1"/>
            </w14:solidFill>
          </w14:textFill>
        </w:rPr>
      </w:pPr>
      <w:r>
        <w:rPr>
          <w:color w:val="000000" w:themeColor="text1"/>
          <w14:textFill>
            <w14:solidFill>
              <w14:schemeClr w14:val="tx1"/>
            </w14:solidFill>
          </w14:textFill>
        </w:rPr>
        <w:t>本工程为沿海万吨级以上深水泊位建设，为自动化</w:t>
      </w:r>
      <w:r>
        <w:rPr>
          <w:rFonts w:hint="eastAsia"/>
          <w:color w:val="000000" w:themeColor="text1"/>
          <w14:textFill>
            <w14:solidFill>
              <w14:schemeClr w14:val="tx1"/>
            </w14:solidFill>
          </w14:textFill>
        </w:rPr>
        <w:t>集装箱泊位</w:t>
      </w:r>
      <w:r>
        <w:rPr>
          <w:color w:val="000000" w:themeColor="text1"/>
          <w14:textFill>
            <w14:solidFill>
              <w14:schemeClr w14:val="tx1"/>
            </w14:solidFill>
          </w14:textFill>
        </w:rPr>
        <w:t>。</w:t>
      </w:r>
    </w:p>
    <w:p>
      <w:pPr>
        <w:pStyle w:val="283"/>
        <w:ind w:firstLine="462"/>
        <w:rPr>
          <w:color w:val="000000" w:themeColor="text1"/>
          <w14:textFill>
            <w14:solidFill>
              <w14:schemeClr w14:val="tx1"/>
            </w14:solidFill>
          </w14:textFill>
        </w:rPr>
      </w:pPr>
      <w:r>
        <w:rPr>
          <w:color w:val="000000" w:themeColor="text1"/>
          <w14:textFill>
            <w14:solidFill>
              <w14:schemeClr w14:val="tx1"/>
            </w14:solidFill>
          </w14:textFill>
        </w:rPr>
        <w:t>根据《产业结构调整指导目录（</w:t>
      </w:r>
      <w:r>
        <w:rPr>
          <w:rFonts w:hint="eastAsia"/>
          <w:color w:val="000000" w:themeColor="text1"/>
          <w14:textFill>
            <w14:solidFill>
              <w14:schemeClr w14:val="tx1"/>
            </w14:solidFill>
          </w14:textFill>
        </w:rPr>
        <w:t>2024年本</w:t>
      </w:r>
      <w:r>
        <w:rPr>
          <w:color w:val="000000" w:themeColor="text1"/>
          <w14:textFill>
            <w14:solidFill>
              <w14:schemeClr w14:val="tx1"/>
            </w14:solidFill>
          </w14:textFill>
        </w:rPr>
        <w:t>）》，本工程属于鼓励类项目中“第二十五条，水运”分类中“</w:t>
      </w:r>
      <w:r>
        <w:rPr>
          <w:rFonts w:hint="eastAsia"/>
          <w:color w:val="000000" w:themeColor="text1"/>
          <w14:textFill>
            <w14:solidFill>
              <w14:schemeClr w14:val="tx1"/>
            </w14:solidFill>
          </w14:textFill>
        </w:rPr>
        <w:t>2</w:t>
      </w:r>
      <w:r>
        <w:rPr>
          <w:color w:val="000000" w:themeColor="text1"/>
          <w14:textFill>
            <w14:solidFill>
              <w14:schemeClr w14:val="tx1"/>
            </w14:solidFill>
          </w14:textFill>
        </w:rPr>
        <w:t xml:space="preserve">. </w:t>
      </w:r>
      <w:r>
        <w:rPr>
          <w:rFonts w:hint="eastAsia"/>
          <w:color w:val="000000" w:themeColor="text1"/>
          <w14:textFill>
            <w14:solidFill>
              <w14:schemeClr w14:val="tx1"/>
            </w14:solidFill>
          </w14:textFill>
        </w:rPr>
        <w:t>码头</w:t>
      </w:r>
      <w:r>
        <w:rPr>
          <w:color w:val="000000" w:themeColor="text1"/>
          <w14:textFill>
            <w14:solidFill>
              <w14:schemeClr w14:val="tx1"/>
            </w14:solidFill>
          </w14:textFill>
        </w:rPr>
        <w:t xml:space="preserve">泊位建设”。 </w:t>
      </w:r>
    </w:p>
    <w:p>
      <w:pPr>
        <w:pStyle w:val="283"/>
        <w:ind w:firstLine="462"/>
        <w:rPr>
          <w:color w:val="000000" w:themeColor="text1"/>
          <w14:textFill>
            <w14:solidFill>
              <w14:schemeClr w14:val="tx1"/>
            </w14:solidFill>
          </w14:textFill>
        </w:rPr>
        <w:sectPr>
          <w:pgSz w:w="11907" w:h="16840"/>
          <w:pgMar w:top="1440" w:right="1514" w:bottom="1440" w:left="1797" w:header="992" w:footer="851" w:gutter="284"/>
          <w:pgNumType w:fmt="numberInDash"/>
          <w:cols w:space="425" w:num="1"/>
          <w:docGrid w:type="linesAndChars" w:linePitch="465" w:charSpace="-1866"/>
        </w:sectPr>
      </w:pPr>
      <w:r>
        <w:rPr>
          <w:color w:val="000000" w:themeColor="text1"/>
          <w14:textFill>
            <w14:solidFill>
              <w14:schemeClr w14:val="tx1"/>
            </w14:solidFill>
          </w14:textFill>
        </w:rPr>
        <w:t>鼓励类主要是对经济社会发展有重要促进作用，有利于节约资源、保护环境、产业结构优化升级，需要采取政策措施予以鼓励和支持的项目。本工程建设期和运营期将分别针对各类污染源采取了有针对性的防范措施，能够做到达标排放，符合国家相关的环境保护政策。因此，本工程的建设符合国家产业政策。</w:t>
      </w:r>
    </w:p>
    <w:p>
      <w:pPr>
        <w:pStyle w:val="3"/>
        <w:rPr>
          <w:color w:val="000000" w:themeColor="text1"/>
          <w14:textFill>
            <w14:solidFill>
              <w14:schemeClr w14:val="tx1"/>
            </w14:solidFill>
          </w14:textFill>
        </w:rPr>
      </w:pPr>
      <w:bookmarkStart w:id="126" w:name="_Toc170918600"/>
      <w:r>
        <w:rPr>
          <w:color w:val="000000" w:themeColor="text1"/>
          <w14:textFill>
            <w14:solidFill>
              <w14:schemeClr w14:val="tx1"/>
            </w14:solidFill>
          </w14:textFill>
        </w:rPr>
        <w:t>环境现状调查与评价</w:t>
      </w:r>
      <w:bookmarkEnd w:id="126"/>
    </w:p>
    <w:p>
      <w:pPr>
        <w:pStyle w:val="4"/>
        <w:rPr>
          <w:color w:val="000000" w:themeColor="text1"/>
          <w14:textFill>
            <w14:solidFill>
              <w14:schemeClr w14:val="tx1"/>
            </w14:solidFill>
          </w14:textFill>
        </w:rPr>
      </w:pPr>
      <w:bookmarkStart w:id="127" w:name="_Toc247517462"/>
      <w:bookmarkStart w:id="128" w:name="_Toc247517535"/>
      <w:bookmarkStart w:id="129" w:name="_Toc317003248"/>
      <w:bookmarkStart w:id="130" w:name="_Toc247517267"/>
      <w:bookmarkStart w:id="131" w:name="_Toc170918601"/>
      <w:bookmarkStart w:id="132" w:name="_Toc317003528"/>
      <w:bookmarkStart w:id="133" w:name="_Toc232154408"/>
      <w:bookmarkStart w:id="134" w:name="_Toc247517291"/>
      <w:bookmarkStart w:id="135" w:name="_Toc247517474"/>
      <w:bookmarkStart w:id="136" w:name="_Toc317003532"/>
      <w:bookmarkStart w:id="137" w:name="_Toc247517547"/>
      <w:bookmarkStart w:id="138" w:name="_Toc317003252"/>
      <w:bookmarkStart w:id="139" w:name="_Toc232154452"/>
      <w:r>
        <w:rPr>
          <w:color w:val="000000" w:themeColor="text1"/>
          <w14:textFill>
            <w14:solidFill>
              <w14:schemeClr w14:val="tx1"/>
            </w14:solidFill>
          </w14:textFill>
        </w:rPr>
        <w:t>自然环境概况</w:t>
      </w:r>
      <w:bookmarkEnd w:id="127"/>
      <w:bookmarkEnd w:id="128"/>
      <w:bookmarkEnd w:id="129"/>
      <w:bookmarkEnd w:id="130"/>
      <w:bookmarkEnd w:id="131"/>
      <w:bookmarkEnd w:id="132"/>
      <w:bookmarkEnd w:id="133"/>
    </w:p>
    <w:p>
      <w:pPr>
        <w:pStyle w:val="5"/>
        <w:rPr>
          <w:color w:val="000000" w:themeColor="text1"/>
          <w14:textFill>
            <w14:solidFill>
              <w14:schemeClr w14:val="tx1"/>
            </w14:solidFill>
          </w14:textFill>
        </w:rPr>
      </w:pPr>
      <w:r>
        <w:rPr>
          <w:color w:val="000000" w:themeColor="text1"/>
          <w14:textFill>
            <w14:solidFill>
              <w14:schemeClr w14:val="tx1"/>
            </w14:solidFill>
          </w14:textFill>
        </w:rPr>
        <w:t>地理位置</w:t>
      </w:r>
    </w:p>
    <w:p>
      <w:pPr>
        <w:pStyle w:val="1075"/>
        <w:rPr>
          <w:color w:val="000000" w:themeColor="text1"/>
          <w14:textFill>
            <w14:solidFill>
              <w14:schemeClr w14:val="tx1"/>
            </w14:solidFill>
          </w14:textFill>
        </w:rPr>
      </w:pPr>
      <w:r>
        <w:rPr>
          <w:color w:val="000000" w:themeColor="text1"/>
          <w14:textFill>
            <w14:solidFill>
              <w14:schemeClr w14:val="tx1"/>
            </w14:solidFill>
          </w14:textFill>
        </w:rPr>
        <w:t>钦州港地处北部湾湾顶，钦州湾中部，三面环陆、一面向海，具有良好的天然深水水域和广阔的陆域。钦州港是我国西南地区最便捷的出海通道之一，背靠地域辽阔、蕴含丰富自然资源和发展潜力巨大的西南地区和华中地区，同时钦州港又是广西以南宁－钦州为中轴线的临海工业带的南部枢纽，地理位置十分优越。</w:t>
      </w:r>
    </w:p>
    <w:p>
      <w:pPr>
        <w:pStyle w:val="1075"/>
        <w:rPr>
          <w:color w:val="000000" w:themeColor="text1"/>
          <w14:textFill>
            <w14:solidFill>
              <w14:schemeClr w14:val="tx1"/>
            </w14:solidFill>
          </w14:textFill>
        </w:rPr>
      </w:pPr>
      <w:r>
        <w:rPr>
          <w:color w:val="000000" w:themeColor="text1"/>
          <w14:textFill>
            <w14:solidFill>
              <w14:schemeClr w14:val="tx1"/>
            </w14:solidFill>
          </w14:textFill>
        </w:rPr>
        <w:t>本项目工程位于规划的钦州港</w:t>
      </w:r>
      <w:r>
        <w:rPr>
          <w:rFonts w:hint="eastAsia"/>
          <w:color w:val="000000" w:themeColor="text1"/>
          <w14:textFill>
            <w14:solidFill>
              <w14:schemeClr w14:val="tx1"/>
            </w14:solidFill>
          </w14:textFill>
        </w:rPr>
        <w:t>大榄坪港区</w:t>
      </w:r>
      <w:r>
        <w:rPr>
          <w:color w:val="000000" w:themeColor="text1"/>
          <w14:textFill>
            <w14:solidFill>
              <w14:schemeClr w14:val="tx1"/>
            </w14:solidFill>
          </w14:textFill>
        </w:rPr>
        <w:t>大榄坪南作业区</w:t>
      </w:r>
      <w:r>
        <w:rPr>
          <w:rFonts w:hint="eastAsia"/>
          <w:color w:val="000000" w:themeColor="text1"/>
          <w14:textFill>
            <w14:solidFill>
              <w14:schemeClr w14:val="tx1"/>
            </w14:solidFill>
          </w14:textFill>
        </w:rPr>
        <w:t>，北侧紧接已建9号10号泊位下游延长线，南侧与规划的1101号泊位相接。</w:t>
      </w:r>
    </w:p>
    <w:p>
      <w:pPr>
        <w:pStyle w:val="5"/>
        <w:rPr>
          <w:color w:val="000000" w:themeColor="text1"/>
          <w14:textFill>
            <w14:solidFill>
              <w14:schemeClr w14:val="tx1"/>
            </w14:solidFill>
          </w14:textFill>
        </w:rPr>
      </w:pPr>
      <w:r>
        <w:rPr>
          <w:rFonts w:hint="eastAsia"/>
          <w:color w:val="000000" w:themeColor="text1"/>
          <w14:textFill>
            <w14:solidFill>
              <w14:schemeClr w14:val="tx1"/>
            </w14:solidFill>
          </w14:textFill>
        </w:rPr>
        <w:t>地质地貌</w:t>
      </w:r>
      <w:r>
        <w:rPr>
          <w:color w:val="000000" w:themeColor="text1"/>
          <w14:textFill>
            <w14:solidFill>
              <w14:schemeClr w14:val="tx1"/>
            </w14:solidFill>
          </w14:textFill>
        </w:rPr>
        <w:t>与泥沙运动</w:t>
      </w:r>
    </w:p>
    <w:p>
      <w:pPr>
        <w:pStyle w:val="6"/>
        <w:rPr>
          <w:color w:val="000000" w:themeColor="text1"/>
          <w14:textFill>
            <w14:solidFill>
              <w14:schemeClr w14:val="tx1"/>
            </w14:solidFill>
          </w14:textFill>
        </w:rPr>
      </w:pPr>
      <w:r>
        <w:rPr>
          <w:rFonts w:hint="eastAsia"/>
          <w:color w:val="000000" w:themeColor="text1"/>
          <w14:textFill>
            <w14:solidFill>
              <w14:schemeClr w14:val="tx1"/>
            </w14:solidFill>
          </w14:textFill>
        </w:rPr>
        <w:t>区域</w:t>
      </w:r>
      <w:r>
        <w:rPr>
          <w:color w:val="000000" w:themeColor="text1"/>
          <w14:textFill>
            <w14:solidFill>
              <w14:schemeClr w14:val="tx1"/>
            </w14:solidFill>
          </w14:textFill>
        </w:rPr>
        <w:t>地质构造</w:t>
      </w:r>
    </w:p>
    <w:p>
      <w:pPr>
        <w:pStyle w:val="1075"/>
        <w:rPr>
          <w:color w:val="000000" w:themeColor="text1"/>
          <w14:textFill>
            <w14:solidFill>
              <w14:schemeClr w14:val="tx1"/>
            </w14:solidFill>
          </w14:textFill>
        </w:rPr>
      </w:pPr>
      <w:r>
        <w:rPr>
          <w:rFonts w:hint="eastAsia"/>
          <w:color w:val="000000" w:themeColor="text1"/>
          <w14:textFill>
            <w14:solidFill>
              <w14:schemeClr w14:val="tx1"/>
            </w14:solidFill>
          </w14:textFill>
        </w:rPr>
        <w:t>工程区位于华夏陆块西部钦州褶皱系，合浦中新生代断陷盆地，其北西侧为六万大山凸起，东南为博白断褶带。区域上，主要发育两组断裂－灵山－藤县深断裂和岗中－小董断裂，其中，灵山－藤县深断裂位于钦州拗陷东南侧，由一系列平行断层组成。断裂控制沉积作用明显。断裂带内动力变质作用较强，但岩浆活动却较弱，西南段有华力西期花岗岩零星分布，而印支期小岩体见于东北段。</w:t>
      </w:r>
    </w:p>
    <w:p>
      <w:pPr>
        <w:pStyle w:val="1075"/>
        <w:rPr>
          <w:color w:val="000000" w:themeColor="text1"/>
          <w14:textFill>
            <w14:solidFill>
              <w14:schemeClr w14:val="tx1"/>
            </w14:solidFill>
          </w14:textFill>
        </w:rPr>
      </w:pPr>
      <w:r>
        <w:rPr>
          <w:rFonts w:hint="eastAsia"/>
          <w:color w:val="000000" w:themeColor="text1"/>
          <w14:textFill>
            <w14:solidFill>
              <w14:schemeClr w14:val="tx1"/>
            </w14:solidFill>
          </w14:textFill>
        </w:rPr>
        <w:t>钦州附近有少量晚白垩世火山岩。断裂在华力西旋回至印支亚旋回南升北降，通过志留系～上二叠统的断裂，多为倾向南东的冲断层。燕山亚旋回以来北升南降，通过侏罗系中的断层，多为倾向北西的冲断层。晚白垩世至第三纪盆地沉积多覆盖断裂，个别切割盆地的断裂为倾向北西的高角度正断层。断裂晚期活动强度减弱，并向张性转化。该断裂距离工程区较远；岗中－小董断裂位于钦州拗陷中部。其对华力西地槽沉积岩相、厚度并无显著影响，两侧缺失中、新生代陆相盆地沉积。但岩浆活动强烈，断裂多期性仍很明显。钦州小董一带，有晚二叠世至早三叠世酸性岩浆喷发，可能与断裂活动有关。华力西－印支期花岗岩沿断裂带呈狭长带状分布，个别印支期岩墙宽度仅8～200m，长度达18km，可见断裂是华力西至印支期岩浆活动的重要通道。大直以南，印支期花岗斑岩中的片理化及小董附近逆断层向正断层的转化，都说明其在印支亚旋回以后仍在持续活动。</w:t>
      </w:r>
    </w:p>
    <w:p>
      <w:pPr>
        <w:pStyle w:val="1075"/>
        <w:rPr>
          <w:color w:val="000000" w:themeColor="text1"/>
          <w14:textFill>
            <w14:solidFill>
              <w14:schemeClr w14:val="tx1"/>
            </w14:solidFill>
          </w14:textFill>
        </w:rPr>
      </w:pPr>
      <w:r>
        <w:rPr>
          <w:rFonts w:hint="eastAsia"/>
          <w:color w:val="000000" w:themeColor="text1"/>
          <w14:textFill>
            <w14:solidFill>
              <w14:schemeClr w14:val="tx1"/>
            </w14:solidFill>
          </w14:textFill>
        </w:rPr>
        <w:t>该断裂距离工程区较远。工程区内构造、断裂不发育。</w:t>
      </w:r>
    </w:p>
    <w:p>
      <w:pPr>
        <w:pStyle w:val="6"/>
        <w:rPr>
          <w:color w:val="000000" w:themeColor="text1"/>
          <w14:textFill>
            <w14:solidFill>
              <w14:schemeClr w14:val="tx1"/>
            </w14:solidFill>
          </w14:textFill>
        </w:rPr>
      </w:pPr>
      <w:r>
        <w:rPr>
          <w:rFonts w:hint="eastAsia"/>
          <w:color w:val="000000" w:themeColor="text1"/>
          <w14:textFill>
            <w14:solidFill>
              <w14:schemeClr w14:val="tx1"/>
            </w14:solidFill>
          </w14:textFill>
        </w:rPr>
        <w:t>区域</w:t>
      </w:r>
      <w:r>
        <w:rPr>
          <w:color w:val="000000" w:themeColor="text1"/>
          <w14:textFill>
            <w14:solidFill>
              <w14:schemeClr w14:val="tx1"/>
            </w14:solidFill>
          </w14:textFill>
        </w:rPr>
        <w:t>地貌特征</w:t>
      </w:r>
    </w:p>
    <w:p>
      <w:pPr>
        <w:pStyle w:val="1075"/>
        <w:rPr>
          <w:color w:val="000000" w:themeColor="text1"/>
          <w14:textFill>
            <w14:solidFill>
              <w14:schemeClr w14:val="tx1"/>
            </w14:solidFill>
          </w14:textFill>
        </w:rPr>
      </w:pPr>
      <w:r>
        <w:rPr>
          <w:rFonts w:hint="eastAsia"/>
          <w:color w:val="000000" w:themeColor="text1"/>
          <w14:textFill>
            <w14:solidFill>
              <w14:schemeClr w14:val="tx1"/>
            </w14:solidFill>
          </w14:textFill>
        </w:rPr>
        <w:t>钦州湾是冰后期海平面上升，海水淹没钦江和茅岭江古河谷而形成的典型的巨型溺谷湾。该湾深入内陆，岸线蜿蜒曲折，海底地形起伏不平，在沿岸河流水动力和海洋水动力的共同作用下，形成了各种各样的水下动力地貌（图3.1-1）。</w:t>
      </w:r>
    </w:p>
    <w:tbl>
      <w:tblPr>
        <w:tblStyle w:val="89"/>
        <w:tblW w:w="852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52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8528" w:type="dxa"/>
            <w:tcBorders>
              <w:top w:val="nil"/>
              <w:left w:val="nil"/>
              <w:bottom w:val="nil"/>
              <w:right w:val="nil"/>
            </w:tcBorders>
            <w:vAlign w:val="center"/>
          </w:tcPr>
          <w:p>
            <w:pPr>
              <w:pStyle w:val="1075"/>
              <w:rPr>
                <w:color w:val="000000" w:themeColor="text1"/>
                <w14:textFill>
                  <w14:solidFill>
                    <w14:schemeClr w14:val="tx1"/>
                  </w14:solidFill>
                </w14:textFill>
              </w:rPr>
            </w:pPr>
          </w:p>
          <w:p>
            <w:pPr>
              <w:pStyle w:val="553"/>
              <w:rPr>
                <w:color w:val="000000" w:themeColor="text1"/>
                <w14:textFill>
                  <w14:solidFill>
                    <w14:schemeClr w14:val="tx1"/>
                  </w14:solidFill>
                </w14:textFill>
              </w:rPr>
            </w:pPr>
            <w:r>
              <w:rPr>
                <w:rFonts w:hint="eastAsia"/>
                <w:color w:val="000000" w:themeColor="text1"/>
                <w14:textFill>
                  <w14:solidFill>
                    <w14:schemeClr w14:val="tx1"/>
                  </w14:solidFill>
                </w14:textFill>
              </w:rPr>
              <w:t>钦州港水下动力地貌图</w:t>
            </w:r>
          </w:p>
        </w:tc>
      </w:tr>
    </w:tbl>
    <w:p>
      <w:pPr>
        <w:pStyle w:val="1075"/>
        <w:rPr>
          <w:color w:val="000000" w:themeColor="text1"/>
          <w14:textFill>
            <w14:solidFill>
              <w14:schemeClr w14:val="tx1"/>
            </w14:solidFill>
          </w14:textFill>
        </w:rPr>
      </w:pPr>
      <w:r>
        <w:rPr>
          <w:rFonts w:hint="eastAsia"/>
          <w:color w:val="000000" w:themeColor="text1"/>
          <w14:textFill>
            <w14:solidFill>
              <w14:schemeClr w14:val="tx1"/>
            </w14:solidFill>
          </w14:textFill>
        </w:rPr>
        <w:t>（1）潮间浅滩：广泛分布于茅尾海、龙门、金鼓江、鹿耳环江和钦州湾东、西两侧湾以及三娘湾沿岸潮间带。潮滩宽阔平坦，一般宽1～3km，最宽的潮滩分布在茅尾海，宽度达4～6km，其次为东岸金鼓江淡水湾沿岸和西岸沙螺寮至山新沿岸一带，宽度2～4km，坡度为1.0</w:t>
      </w:r>
      <w:r>
        <w:rPr>
          <w:color w:val="000000" w:themeColor="text1"/>
          <w14:textFill>
            <w14:solidFill>
              <w14:schemeClr w14:val="tx1"/>
            </w14:solidFill>
          </w14:textFill>
        </w:rPr>
        <w:t>‰～2.0‰，位于湾中部勒沟－果子山－鹰岭一带的潮滩最窄，仅0.1～0.3km，坡度较陡，为2.8‰。潮滩受入海河流、沿岸流、近海潮流及波浪作用的影响。潮滩沉积物的粒度由低潮滩</w:t>
      </w:r>
      <w:r>
        <w:rPr>
          <w:rFonts w:hint="eastAsia"/>
          <w:color w:val="000000" w:themeColor="text1"/>
          <w14:textFill>
            <w14:solidFill>
              <w14:schemeClr w14:val="tx1"/>
            </w14:solidFill>
          </w14:textFill>
        </w:rPr>
        <w:t>向高潮滩逐渐变细，泥质含量逐渐增多，分选性差，如茅尾海南定坪和中部东岸果子山的潮滩最为典型。潮滩的上部往往生长莎草和红树林。茅尾海顶部一带潮滩最上部由于人工围塘而开辟为水稻田和虾蟹养殖塘。潮间浅滩按其沉积物粗细及组成特征可划分为沙滩、沙泥滩、红树林滩。其中，沙滩主要见于钦州湾外湾西南山新－下底坡一带沿海潮间带和三娘湾潮间带中、下部以及麻蓝岛南部沿岸，沉积物有中细砂组成；淤泥滩主要分布在茅尾海沿岸潮间带和金鼓江－鹿耳环江－犀牛脚以及龙门－朱沙港一带，潮间带沉积物以粘土为主，约占 60%，砂次之，约 40%；红树林滩主要见于钦江河口东侧沿岸，茅尾海西岸，金鼓江、鹿耳环江两侧潮间带中、上部，沉积物组成复杂，由粘土、粉砂、砂组成。</w:t>
      </w:r>
    </w:p>
    <w:p>
      <w:pPr>
        <w:pStyle w:val="1075"/>
        <w:rPr>
          <w:color w:val="000000" w:themeColor="text1"/>
          <w14:textFill>
            <w14:solidFill>
              <w14:schemeClr w14:val="tx1"/>
            </w14:solidFill>
          </w14:textFill>
        </w:rPr>
      </w:pPr>
      <w:r>
        <w:rPr>
          <w:rFonts w:hint="eastAsia"/>
          <w:color w:val="000000" w:themeColor="text1"/>
          <w14:textFill>
            <w14:solidFill>
              <w14:schemeClr w14:val="tx1"/>
            </w14:solidFill>
          </w14:textFill>
        </w:rPr>
        <w:t>（2）河口沙坝：发育于钦江、茅岭江河口湾内，较大规模的有四道：紫沙、四方沙、按马沙河石西沙。这四道沙坝走向均呈南北向，与潮流流向一致，最大长度约2.3km，最大宽度约1.0km。沉积物中为中砂和细砂，分选性从好到差均有，泥质含量较少，为0～14%，重矿物含量为.31%～2.72%。这些河口沙坝的成因主要是来自茅尾海南部潮流和北部径流相互作用，流速骤减而沉积形成的。</w:t>
      </w:r>
    </w:p>
    <w:p>
      <w:pPr>
        <w:pStyle w:val="1075"/>
        <w:rPr>
          <w:color w:val="000000" w:themeColor="text1"/>
          <w14:textFill>
            <w14:solidFill>
              <w14:schemeClr w14:val="tx1"/>
            </w14:solidFill>
          </w14:textFill>
        </w:rPr>
      </w:pPr>
      <w:r>
        <w:rPr>
          <w:rFonts w:hint="eastAsia"/>
          <w:color w:val="000000" w:themeColor="text1"/>
          <w14:textFill>
            <w14:solidFill>
              <w14:schemeClr w14:val="tx1"/>
            </w14:solidFill>
          </w14:textFill>
        </w:rPr>
        <w:t>（3）潮沟：普遍发育于潮间浅滩和深入内陆的潮流汊道地带，一般在高潮期被淹没。低潮期间出露，其与潮滩的滩面高差2～5m，宽50～100m，长2～30km不等，为潮流或径流的通道，可作为小型渔船的天然航道。潮沟的沉积物粗细取决于水动力条件和潮滩的垂向沉积物，通常在流速急而大的潮沟为砂质沉积，如茅尾海的钦江口外和茅岭江口外的潮沟为中砂和中细砂；在流速慢而小的潮沟为泥质沉积，如金鼓江和鹿耳环江潮流汊道沉积物为砂质淤泥。</w:t>
      </w:r>
    </w:p>
    <w:p>
      <w:pPr>
        <w:pStyle w:val="1075"/>
        <w:rPr>
          <w:color w:val="000000" w:themeColor="text1"/>
          <w14:textFill>
            <w14:solidFill>
              <w14:schemeClr w14:val="tx1"/>
            </w14:solidFill>
          </w14:textFill>
        </w:rPr>
      </w:pPr>
      <w:r>
        <w:rPr>
          <w:rFonts w:hint="eastAsia"/>
          <w:color w:val="000000" w:themeColor="text1"/>
          <w14:textFill>
            <w14:solidFill>
              <w14:schemeClr w14:val="tx1"/>
            </w14:solidFill>
          </w14:textFill>
        </w:rPr>
        <w:t>（4）潮流沙脊：发育于钦州湾外湾一带海区，规模较大的潮流沙脊为老人沙，长7.5km，宽约0.7km，长宽比为10.7，沙体走向为NNW，低潮时露出水面，与相邻的深槽水深相差7m左右。老人沙两侧还有两个小型潮流沙脊在低潮露出水面，组成一个“小”字形，脊潮相间排列，呈辐射状分布。潮流沙脊的沉积物主要为细砂，分选性很好到中等，其中粉砂质成分的含量很低（0～14%）；相邻的深槽沉积物粗细无规律，分选性差，这与潮流的速度、槽的深浅及物源等多种因素有关。</w:t>
      </w:r>
    </w:p>
    <w:p>
      <w:pPr>
        <w:pStyle w:val="1075"/>
        <w:rPr>
          <w:color w:val="000000" w:themeColor="text1"/>
          <w14:textFill>
            <w14:solidFill>
              <w14:schemeClr w14:val="tx1"/>
            </w14:solidFill>
          </w14:textFill>
        </w:rPr>
      </w:pPr>
      <w:r>
        <w:rPr>
          <w:rFonts w:hint="eastAsia"/>
          <w:color w:val="000000" w:themeColor="text1"/>
          <w14:textFill>
            <w14:solidFill>
              <w14:schemeClr w14:val="tx1"/>
            </w14:solidFill>
          </w14:textFill>
        </w:rPr>
        <w:t>（5）潮流深槽：钦州湾潮流深槽相当发育，贯通内外湾的主槽在湾中部外端呈指状分叉呈三道，最长的达27km，一般水深为5～10m，最大水深达18.6m，深槽北部沉积物有砂砾物质组成，南部东侧深槽沉积物由泥质砂和中细砂组成，西侧深槽由粗砂或细中砂组成，中间深槽由含砾粗砂组成，潮流深槽为涨、落潮流冲刷海底而成，湾内落潮流速大于涨潮流速，为维持深槽稳定性创造了必要的条件，目前深槽北部已开发为钦州港和龙门港的港池及锚地，南部东、西两道深槽已开发成为钦州港东进港航道和西进港航道，矿区便处于两航道之间。</w:t>
      </w:r>
    </w:p>
    <w:p>
      <w:pPr>
        <w:pStyle w:val="1075"/>
        <w:rPr>
          <w:color w:val="000000" w:themeColor="text1"/>
          <w14:textFill>
            <w14:solidFill>
              <w14:schemeClr w14:val="tx1"/>
            </w14:solidFill>
          </w14:textFill>
        </w:rPr>
      </w:pPr>
      <w:r>
        <w:rPr>
          <w:rFonts w:hint="eastAsia"/>
          <w:color w:val="000000" w:themeColor="text1"/>
          <w14:textFill>
            <w14:solidFill>
              <w14:schemeClr w14:val="tx1"/>
            </w14:solidFill>
          </w14:textFill>
        </w:rPr>
        <w:t>（6）水下拦门浅滩：发育于钦州湾外湾口门潮流冲刷深槽南端，大潮低潮时水深在2～5m之间，宽1.5～4.0km，与潮流沙脊和潮流流向成垂直关系，但与南向波浪基本平行。其形成原因是潮流和南向波浪共同作用。拦门浅滩沉积物由细砂组成，地形微起伏，向南缓倾斜，坡度为0.1‰～1.5‰，沉积物中碎屑重矿物含量较高，均在1.0%～5.0%之间。</w:t>
      </w:r>
    </w:p>
    <w:p>
      <w:pPr>
        <w:pStyle w:val="1075"/>
        <w:rPr>
          <w:color w:val="000000" w:themeColor="text1"/>
          <w14:textFill>
            <w14:solidFill>
              <w14:schemeClr w14:val="tx1"/>
            </w14:solidFill>
          </w14:textFill>
        </w:rPr>
      </w:pPr>
      <w:r>
        <w:rPr>
          <w:rFonts w:hint="eastAsia"/>
          <w:color w:val="000000" w:themeColor="text1"/>
          <w14:textFill>
            <w14:solidFill>
              <w14:schemeClr w14:val="tx1"/>
            </w14:solidFill>
          </w14:textFill>
        </w:rPr>
        <w:t>（7）水下斜坡：发育于钦州湾口门外水深5～12m之间，宽4.0～8.0km，西部较窄，东部较宽。水下斜坡的外缘水深为10～13m，且东部水深大，西部水深小，其坡度近岸陡，一般为0.5‰～1.2‰，向海坡度变缓0.1‰～1.0‰。水下斜坡表层沉积物为砂－粉砂－</w:t>
      </w:r>
      <w:r>
        <w:rPr>
          <w:rFonts w:hint="eastAsia"/>
          <w:color w:val="000000" w:themeColor="text1"/>
          <w:lang w:eastAsia="zh-CN"/>
          <w14:textFill>
            <w14:solidFill>
              <w14:schemeClr w14:val="tx1"/>
            </w14:solidFill>
          </w14:textFill>
        </w:rPr>
        <w:t>黏土</w:t>
      </w:r>
      <w:r>
        <w:rPr>
          <w:rFonts w:hint="eastAsia"/>
          <w:color w:val="000000" w:themeColor="text1"/>
          <w14:textFill>
            <w14:solidFill>
              <w14:schemeClr w14:val="tx1"/>
            </w14:solidFill>
          </w14:textFill>
        </w:rPr>
        <w:t>覆盖，沉积物中含较多贝壳碎片和完整贝壳，局部夹有砂质粘土团块，具虫管、钙质骨针。沉积物中有孔虫群含量丰富，一般每50g干样含500～5000枚，最多达10000枚，其中有孔虫遭受磨损严重，尤其是瓷质贝壳类最为明显，在被磨穿的有孔虫壳体内充填有自生黄铁矿之类矿物。</w:t>
      </w:r>
    </w:p>
    <w:p>
      <w:pPr>
        <w:pStyle w:val="1075"/>
        <w:rPr>
          <w:color w:val="000000" w:themeColor="text1"/>
          <w14:textFill>
            <w14:solidFill>
              <w14:schemeClr w14:val="tx1"/>
            </w14:solidFill>
          </w14:textFill>
        </w:rPr>
      </w:pPr>
      <w:r>
        <w:rPr>
          <w:rFonts w:hint="eastAsia"/>
          <w:color w:val="000000" w:themeColor="text1"/>
          <w14:textFill>
            <w14:solidFill>
              <w14:schemeClr w14:val="tx1"/>
            </w14:solidFill>
          </w14:textFill>
        </w:rPr>
        <w:t>（8）潮下带（水下岸坡）</w:t>
      </w:r>
    </w:p>
    <w:p>
      <w:pPr>
        <w:pStyle w:val="1075"/>
        <w:rPr>
          <w:color w:val="000000" w:themeColor="text1"/>
          <w14:textFill>
            <w14:solidFill>
              <w14:schemeClr w14:val="tx1"/>
            </w14:solidFill>
          </w14:textFill>
        </w:rPr>
      </w:pPr>
      <w:r>
        <w:rPr>
          <w:rFonts w:hint="eastAsia"/>
          <w:color w:val="000000" w:themeColor="text1"/>
          <w14:textFill>
            <w14:solidFill>
              <w14:schemeClr w14:val="tx1"/>
            </w14:solidFill>
          </w14:textFill>
        </w:rPr>
        <w:t>主要分布于金鼓江浅滩东南侧和钦州湾两侧三块石附近海域。该潮下带属于近岸陆坡向海延伸部分，水深一般为0.2m～1.2m，金鼓江浅滩东南侧的水下岸坡较宽，达3km以上，而三块石水下岸坡宽只有 0.5m～1.0m。潮下带的物质组成以细砂为主，含少许淤泥。</w:t>
      </w:r>
    </w:p>
    <w:p>
      <w:pPr>
        <w:pStyle w:val="1075"/>
        <w:rPr>
          <w:color w:val="000000" w:themeColor="text1"/>
          <w14:textFill>
            <w14:solidFill>
              <w14:schemeClr w14:val="tx1"/>
            </w14:solidFill>
          </w14:textFill>
        </w:rPr>
      </w:pPr>
      <w:r>
        <w:rPr>
          <w:rFonts w:hint="eastAsia"/>
          <w:color w:val="000000" w:themeColor="text1"/>
          <w14:textFill>
            <w14:solidFill>
              <w14:schemeClr w14:val="tx1"/>
            </w14:solidFill>
          </w14:textFill>
        </w:rPr>
        <w:t>（9）水下岩滩</w:t>
      </w:r>
    </w:p>
    <w:p>
      <w:pPr>
        <w:pStyle w:val="1075"/>
        <w:rPr>
          <w:color w:val="000000" w:themeColor="text1"/>
          <w14:textFill>
            <w14:solidFill>
              <w14:schemeClr w14:val="tx1"/>
            </w14:solidFill>
          </w14:textFill>
        </w:rPr>
      </w:pPr>
      <w:r>
        <w:rPr>
          <w:rFonts w:hint="eastAsia"/>
          <w:color w:val="000000" w:themeColor="text1"/>
          <w14:textFill>
            <w14:solidFill>
              <w14:schemeClr w14:val="tx1"/>
            </w14:solidFill>
          </w14:textFill>
        </w:rPr>
        <w:t>水下岩滩主要分布于亚公山东南侧的将军石，果子山附近深槽西侧的小鸦石、乱石和青菜头附近的小鬼石、老鸦石等。这些水下岩滩一般称之水下礁石（暗礁），有部分在低潮时出露（如将军石）。涨潮时才淹没，其特点是对航船是有很大威胁性。因为它们都处于航道附近。</w:t>
      </w:r>
    </w:p>
    <w:p>
      <w:pPr>
        <w:pStyle w:val="1075"/>
        <w:rPr>
          <w:color w:val="000000" w:themeColor="text1"/>
          <w14:textFill>
            <w14:solidFill>
              <w14:schemeClr w14:val="tx1"/>
            </w14:solidFill>
          </w14:textFill>
        </w:rPr>
      </w:pPr>
      <w:r>
        <w:rPr>
          <w:rFonts w:hint="eastAsia"/>
          <w:color w:val="000000" w:themeColor="text1"/>
          <w14:textFill>
            <w14:solidFill>
              <w14:schemeClr w14:val="tx1"/>
            </w14:solidFill>
          </w14:textFill>
        </w:rPr>
        <w:t>（10）深水航道</w:t>
      </w:r>
    </w:p>
    <w:p>
      <w:pPr>
        <w:pStyle w:val="1075"/>
        <w:rPr>
          <w:color w:val="000000" w:themeColor="text1"/>
          <w14:textFill>
            <w14:solidFill>
              <w14:schemeClr w14:val="tx1"/>
            </w14:solidFill>
          </w14:textFill>
        </w:rPr>
      </w:pPr>
      <w:r>
        <w:rPr>
          <w:rFonts w:hint="eastAsia"/>
          <w:color w:val="000000" w:themeColor="text1"/>
          <w14:textFill>
            <w14:solidFill>
              <w14:schemeClr w14:val="tx1"/>
            </w14:solidFill>
          </w14:textFill>
        </w:rPr>
        <w:t>钦州港规划航道包括从外海进入钦州湾内的钦州湾西航道和钦州湾东航道、茅尾海内的茅岭航道和沙井航道、鹿耳环江内的乌雷航道。</w:t>
      </w:r>
    </w:p>
    <w:p>
      <w:pPr>
        <w:pStyle w:val="1075"/>
        <w:rPr>
          <w:color w:val="000000" w:themeColor="text1"/>
          <w14:textFill>
            <w14:solidFill>
              <w14:schemeClr w14:val="tx1"/>
            </w14:solidFill>
          </w14:textFill>
        </w:rPr>
      </w:pPr>
      <w:r>
        <w:rPr>
          <w:rFonts w:hint="eastAsia"/>
          <w:color w:val="000000" w:themeColor="text1"/>
          <w14:textFill>
            <w14:solidFill>
              <w14:schemeClr w14:val="tx1"/>
            </w14:solidFill>
          </w14:textFill>
        </w:rPr>
        <w:t>1、钦州湾西航道</w:t>
      </w:r>
    </w:p>
    <w:p>
      <w:pPr>
        <w:pStyle w:val="1075"/>
        <w:rPr>
          <w:color w:val="000000" w:themeColor="text1"/>
          <w14:textFill>
            <w14:solidFill>
              <w14:schemeClr w14:val="tx1"/>
            </w14:solidFill>
          </w14:textFill>
        </w:rPr>
      </w:pPr>
      <w:r>
        <w:rPr>
          <w:rFonts w:hint="eastAsia"/>
          <w:color w:val="000000" w:themeColor="text1"/>
          <w14:textFill>
            <w14:solidFill>
              <w14:schemeClr w14:val="tx1"/>
            </w14:solidFill>
          </w14:textFill>
        </w:rPr>
        <w:t>钦州湾西航道规划扩建至10万吨级单向航道，通航宽度210m，设计底高程-14.3m。</w:t>
      </w:r>
    </w:p>
    <w:p>
      <w:pPr>
        <w:pStyle w:val="1075"/>
        <w:rPr>
          <w:color w:val="000000" w:themeColor="text1"/>
          <w14:textFill>
            <w14:solidFill>
              <w14:schemeClr w14:val="tx1"/>
            </w14:solidFill>
          </w14:textFill>
        </w:rPr>
      </w:pPr>
      <w:r>
        <w:rPr>
          <w:rFonts w:hint="eastAsia"/>
          <w:color w:val="000000" w:themeColor="text1"/>
          <w14:textFill>
            <w14:solidFill>
              <w14:schemeClr w14:val="tx1"/>
            </w14:solidFill>
          </w14:textFill>
        </w:rPr>
        <w:t>2、钦州湾东航道</w:t>
      </w:r>
    </w:p>
    <w:p>
      <w:pPr>
        <w:pStyle w:val="1075"/>
        <w:rPr>
          <w:color w:val="000000" w:themeColor="text1"/>
          <w14:textFill>
            <w14:solidFill>
              <w14:schemeClr w14:val="tx1"/>
            </w14:solidFill>
          </w14:textFill>
        </w:rPr>
      </w:pPr>
      <w:r>
        <w:rPr>
          <w:rFonts w:hint="eastAsia"/>
          <w:color w:val="000000" w:themeColor="text1"/>
          <w14:textFill>
            <w14:solidFill>
              <w14:schemeClr w14:val="tx1"/>
            </w14:solidFill>
          </w14:textFill>
        </w:rPr>
        <w:t>钦州湾东航道外海至三墩西作业区30万吨级油码头段规划为30万吨级单向航道，通航宽度320m，设计底高程-21.7m；三墩西作业区30万吨级油码头南侧向东北至三墩港区北港池段规划为20万吨级单向航道，通航宽度270m，设计底高程-17.8m；外海至大榄坪南作业区9号泊位段规划为20万吨级双向航道，通航宽度460～526m，设计底高程-16.3m，满足20万吨级集装箱船双向通航；大榄坪南作业区8号泊位至1号泊位段规划为10万吨级双向航道，通航宽度360m，设计底高程-15.2m，满足10万吨级集装箱船双向通航；鹰岭作业区至樟木环作业区段规划为10万吨级单向航道、5万吨级双向航道，通航宽度240m，设计底高程-11.6～-14.3m。金鼓江内的金鼓江航道规划为0.5万～7万吨级单向航道，通航宽度75.8～183m，设计底高程-5.2～-15.2m。</w:t>
      </w:r>
    </w:p>
    <w:p>
      <w:pPr>
        <w:pStyle w:val="1075"/>
        <w:rPr>
          <w:color w:val="000000" w:themeColor="text1"/>
          <w14:textFill>
            <w14:solidFill>
              <w14:schemeClr w14:val="tx1"/>
            </w14:solidFill>
          </w14:textFill>
        </w:rPr>
      </w:pPr>
      <w:r>
        <w:rPr>
          <w:rFonts w:hint="eastAsia"/>
          <w:color w:val="000000" w:themeColor="text1"/>
          <w14:textFill>
            <w14:solidFill>
              <w14:schemeClr w14:val="tx1"/>
            </w14:solidFill>
          </w14:textFill>
        </w:rPr>
        <w:t>3、茅岭航道</w:t>
      </w:r>
    </w:p>
    <w:p>
      <w:pPr>
        <w:pStyle w:val="1075"/>
        <w:rPr>
          <w:color w:val="000000" w:themeColor="text1"/>
          <w14:textFill>
            <w14:solidFill>
              <w14:schemeClr w14:val="tx1"/>
            </w14:solidFill>
          </w14:textFill>
        </w:rPr>
      </w:pPr>
      <w:r>
        <w:rPr>
          <w:rFonts w:hint="eastAsia"/>
          <w:color w:val="000000" w:themeColor="text1"/>
          <w14:textFill>
            <w14:solidFill>
              <w14:schemeClr w14:val="tx1"/>
            </w14:solidFill>
          </w14:textFill>
        </w:rPr>
        <w:t>茅岭航道由樟木环至茅岭江口，规划为3000吨级单向航道，通航宽度84m，设计底高程-5.4m。</w:t>
      </w:r>
    </w:p>
    <w:p>
      <w:pPr>
        <w:pStyle w:val="1075"/>
        <w:rPr>
          <w:color w:val="000000" w:themeColor="text1"/>
          <w14:textFill>
            <w14:solidFill>
              <w14:schemeClr w14:val="tx1"/>
            </w14:solidFill>
          </w14:textFill>
        </w:rPr>
      </w:pPr>
      <w:r>
        <w:rPr>
          <w:rFonts w:hint="eastAsia"/>
          <w:color w:val="000000" w:themeColor="text1"/>
          <w14:textFill>
            <w14:solidFill>
              <w14:schemeClr w14:val="tx1"/>
            </w14:solidFill>
          </w14:textFill>
        </w:rPr>
        <w:t>4、沙井航道</w:t>
      </w:r>
    </w:p>
    <w:p>
      <w:pPr>
        <w:pStyle w:val="1075"/>
        <w:rPr>
          <w:color w:val="000000" w:themeColor="text1"/>
          <w14:textFill>
            <w14:solidFill>
              <w14:schemeClr w14:val="tx1"/>
            </w14:solidFill>
          </w14:textFill>
        </w:rPr>
      </w:pPr>
      <w:r>
        <w:rPr>
          <w:rFonts w:hint="eastAsia"/>
          <w:color w:val="000000" w:themeColor="text1"/>
          <w14:textFill>
            <w14:solidFill>
              <w14:schemeClr w14:val="tx1"/>
            </w14:solidFill>
          </w14:textFill>
        </w:rPr>
        <w:t>沙井航道由樟木环至沙井，规划为2万总吨客船航道，兼顾5000吨级江海轮双向通航，通航宽度118～135m，设计底高程-7.9m。</w:t>
      </w:r>
    </w:p>
    <w:p>
      <w:pPr>
        <w:pStyle w:val="1075"/>
        <w:rPr>
          <w:color w:val="000000" w:themeColor="text1"/>
          <w14:textFill>
            <w14:solidFill>
              <w14:schemeClr w14:val="tx1"/>
            </w14:solidFill>
          </w14:textFill>
        </w:rPr>
      </w:pPr>
      <w:r>
        <w:rPr>
          <w:rFonts w:hint="eastAsia"/>
          <w:color w:val="000000" w:themeColor="text1"/>
          <w14:textFill>
            <w14:solidFill>
              <w14:schemeClr w14:val="tx1"/>
            </w14:solidFill>
          </w14:textFill>
        </w:rPr>
        <w:t>5、乌雷航道</w:t>
      </w:r>
    </w:p>
    <w:p>
      <w:pPr>
        <w:pStyle w:val="1075"/>
        <w:rPr>
          <w:color w:val="000000" w:themeColor="text1"/>
          <w14:textFill>
            <w14:solidFill>
              <w14:schemeClr w14:val="tx1"/>
            </w14:solidFill>
          </w14:textFill>
        </w:rPr>
      </w:pPr>
      <w:r>
        <w:rPr>
          <w:rFonts w:hint="eastAsia"/>
          <w:color w:val="000000" w:themeColor="text1"/>
          <w14:textFill>
            <w14:solidFill>
              <w14:schemeClr w14:val="tx1"/>
            </w14:solidFill>
          </w14:textFill>
        </w:rPr>
        <w:t>鹿耳环江内的乌雷航道规划为3万总吨客船航道，通航宽度132m，设计底高程-8.5m。</w:t>
      </w:r>
    </w:p>
    <w:p>
      <w:pPr>
        <w:pStyle w:val="1075"/>
        <w:rPr>
          <w:color w:val="000000" w:themeColor="text1"/>
          <w14:textFill>
            <w14:solidFill>
              <w14:schemeClr w14:val="tx1"/>
            </w14:solidFill>
          </w14:textFill>
        </w:rPr>
      </w:pPr>
      <w:r>
        <w:rPr>
          <w:rFonts w:hint="eastAsia"/>
          <w:color w:val="000000" w:themeColor="text1"/>
          <w14:textFill>
            <w14:solidFill>
              <w14:schemeClr w14:val="tx1"/>
            </w14:solidFill>
          </w14:textFill>
        </w:rPr>
        <w:t>本工程可利用钦州港东航道现状南段航道、三墩航道、大榄坪航道1、大榄坪航道2（至大榄坪9号泊位航段）进出港。</w:t>
      </w:r>
    </w:p>
    <w:p>
      <w:pPr>
        <w:pStyle w:val="1075"/>
        <w:rPr>
          <w:color w:val="000000" w:themeColor="text1"/>
          <w14:textFill>
            <w14:solidFill>
              <w14:schemeClr w14:val="tx1"/>
            </w14:solidFill>
          </w14:textFill>
        </w:rPr>
      </w:pPr>
      <w:r>
        <w:rPr>
          <w:rFonts w:hint="eastAsia"/>
          <w:color w:val="000000" w:themeColor="text1"/>
          <w14:textFill>
            <w14:solidFill>
              <w14:schemeClr w14:val="tx1"/>
            </w14:solidFill>
          </w14:textFill>
        </w:rPr>
        <w:t>（11）落潮三角洲（水下拦门浅滩）</w:t>
      </w:r>
    </w:p>
    <w:p>
      <w:pPr>
        <w:pStyle w:val="1075"/>
        <w:rPr>
          <w:color w:val="000000" w:themeColor="text1"/>
          <w14:textFill>
            <w14:solidFill>
              <w14:schemeClr w14:val="tx1"/>
            </w14:solidFill>
          </w14:textFill>
        </w:rPr>
      </w:pPr>
      <w:r>
        <w:rPr>
          <w:rFonts w:hint="eastAsia"/>
          <w:color w:val="000000" w:themeColor="text1"/>
          <w14:textFill>
            <w14:solidFill>
              <w14:schemeClr w14:val="tx1"/>
            </w14:solidFill>
          </w14:textFill>
        </w:rPr>
        <w:t>发育于钦州湾口门至湾口海域，口门处与深槽、砂脊相间排列，水深在0.5m～1.2m之间；湾口处与潮流砂脊、潮流流向成垂直关系，与南向波浪基本平行，水深在2m～5m之间，其形成</w:t>
      </w:r>
      <w:r>
        <w:rPr>
          <w:rFonts w:hint="eastAsia"/>
          <w:color w:val="000000" w:themeColor="text1"/>
          <w:lang w:eastAsia="zh-CN"/>
          <w14:textFill>
            <w14:solidFill>
              <w14:schemeClr w14:val="tx1"/>
            </w14:solidFill>
          </w14:textFill>
        </w:rPr>
        <w:t>原因是</w:t>
      </w:r>
      <w:r>
        <w:rPr>
          <w:rFonts w:hint="eastAsia"/>
          <w:color w:val="000000" w:themeColor="text1"/>
          <w14:textFill>
            <w14:solidFill>
              <w14:schemeClr w14:val="tx1"/>
            </w14:solidFill>
          </w14:textFill>
        </w:rPr>
        <w:t>潮流和南向波浪共同作用。浅滩面较为平坦，微向海（南）倾斜，坡度为0.05%～0.12%，沉积物主要为细砂组成，与潮流砂脊物质组成相近。</w:t>
      </w:r>
    </w:p>
    <w:p>
      <w:pPr>
        <w:pStyle w:val="1075"/>
        <w:rPr>
          <w:color w:val="000000" w:themeColor="text1"/>
          <w:u w:val="single"/>
          <w14:textFill>
            <w14:solidFill>
              <w14:schemeClr w14:val="tx1"/>
            </w14:solidFill>
          </w14:textFill>
        </w:rPr>
      </w:pPr>
      <w:r>
        <w:rPr>
          <w:rFonts w:hint="eastAsia"/>
          <w:color w:val="000000" w:themeColor="text1"/>
          <w:u w:val="single"/>
          <w14:textFill>
            <w14:solidFill>
              <w14:schemeClr w14:val="tx1"/>
            </w14:solidFill>
          </w14:textFill>
        </w:rPr>
        <w:t>本工程位于外湾金鼓江入海口南侧，为近岸浅海区。根据场地勘察资料，附近工地正在施工开挖，场地地面起伏较大，地面高程为0.3～-7.43m，在码头前沿线位置地面高程相对较高，地面均被海水淹没，为滨海-浅海带，属浅海地貌。</w:t>
      </w:r>
    </w:p>
    <w:p>
      <w:pPr>
        <w:pStyle w:val="6"/>
        <w:rPr>
          <w:color w:val="000000" w:themeColor="text1"/>
          <w14:textFill>
            <w14:solidFill>
              <w14:schemeClr w14:val="tx1"/>
            </w14:solidFill>
          </w14:textFill>
        </w:rPr>
      </w:pPr>
      <w:r>
        <w:rPr>
          <w:rFonts w:hint="eastAsia"/>
          <w:color w:val="000000" w:themeColor="text1"/>
          <w14:textFill>
            <w14:solidFill>
              <w14:schemeClr w14:val="tx1"/>
            </w14:solidFill>
          </w14:textFill>
        </w:rPr>
        <w:t>泥沙运动</w:t>
      </w:r>
    </w:p>
    <w:p>
      <w:pPr>
        <w:pStyle w:val="1856"/>
        <w:ind w:firstLine="494"/>
        <w:rPr>
          <w:color w:val="000000" w:themeColor="text1"/>
          <w14:textFill>
            <w14:solidFill>
              <w14:schemeClr w14:val="tx1"/>
            </w14:solidFill>
          </w14:textFill>
        </w:rPr>
      </w:pPr>
      <w:r>
        <w:rPr>
          <w:rFonts w:hint="eastAsia"/>
          <w:color w:val="000000" w:themeColor="text1"/>
          <w14:textFill>
            <w14:solidFill>
              <w14:schemeClr w14:val="tx1"/>
            </w14:solidFill>
          </w14:textFill>
        </w:rPr>
        <w:t>钦州湾面积宽广，有17种沉积物类型，分布复杂，但仍有规律可循。沉积物分布与地貌部位及水动力条件密切相关。茅尾海既为内湾纳潮水域，又为钦江和茅岭江入海河口湾，沉积物较细，中值粒径约0.25～0.015mm。龙门岛东部通道峡谷深槽上下及南向潮流冲刷槽，底质较粗，中径约1.0～0.25mm。落潮三角洲潮流冲刷槽之间的沙脊、沙坝和海湾两侧滩地及浅水区，中径约0.5～0.063mm。钦州湾外5～10m水下岸坡，中径一般小于0.063mm。</w:t>
      </w:r>
    </w:p>
    <w:p>
      <w:pPr>
        <w:pStyle w:val="1856"/>
        <w:ind w:firstLine="494"/>
        <w:rPr>
          <w:color w:val="000000" w:themeColor="text1"/>
          <w14:textFill>
            <w14:solidFill>
              <w14:schemeClr w14:val="tx1"/>
            </w14:solidFill>
          </w14:textFill>
        </w:rPr>
      </w:pPr>
      <w:r>
        <w:rPr>
          <w:rFonts w:hint="eastAsia"/>
          <w:color w:val="000000" w:themeColor="text1"/>
          <w14:textFill>
            <w14:solidFill>
              <w14:schemeClr w14:val="tx1"/>
            </w14:solidFill>
          </w14:textFill>
        </w:rPr>
        <w:t>钦州湾内湾的茅尾海北面有茅岭江和钦江注入，其中茅岭江年径流量为15.97亿m</w:t>
      </w:r>
      <w:r>
        <w:rPr>
          <w:rFonts w:hint="eastAsia"/>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，年均输沙量为31.86万t；钦江年径流量为11.69亿m</w:t>
      </w:r>
      <w:r>
        <w:rPr>
          <w:rFonts w:hint="eastAsia"/>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年均输沙量为26.99万t。两河携带来的泥沙，绝大部分沉积在河口区和茅尾海内，只有极少量极细的颗粒才会随潮进入钦州湾。据2003年8～9月的水文观测，大潮期最大含沙量出现在湾颈处，垂线平均含沙量最大值为0.143kg/m</w:t>
      </w:r>
      <w:r>
        <w:rPr>
          <w:rFonts w:hint="eastAsia"/>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，外湾其他各站海水含沙量相对较小，一般在0.002～0.100kg/m</w:t>
      </w:r>
      <w:r>
        <w:rPr>
          <w:rFonts w:hint="eastAsia"/>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。水体含沙浓度平面分布，夏季以钦州港区水域相对较高，平均为0.039kg/m</w:t>
      </w:r>
      <w:r>
        <w:rPr>
          <w:rFonts w:hint="eastAsia"/>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，其次是钦州湾北部和中部水域均为0.008kg/m</w:t>
      </w:r>
      <w:r>
        <w:rPr>
          <w:rFonts w:hint="eastAsia"/>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，钦州湾南部水域较低，平均为0.004kg/m</w:t>
      </w:r>
      <w:r>
        <w:rPr>
          <w:rFonts w:hint="eastAsia"/>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；冬季钦州湾北部水域平均为0.009kg/m</w:t>
      </w:r>
      <w:r>
        <w:rPr>
          <w:rFonts w:hint="eastAsia"/>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，其次是钦州港区和钦州湾中部水域均为0.008kg/m</w:t>
      </w:r>
      <w:r>
        <w:rPr>
          <w:rFonts w:hint="eastAsia"/>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，钦州湾南部水域较低，平均为0.005kg/m</w:t>
      </w:r>
      <w:r>
        <w:rPr>
          <w:rFonts w:hint="eastAsia"/>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。除钦州港区夏季测验时水体含沙浓度受挖泥船影响外，总体上平面分布比较均匀。含沙量较小，与流速关系不明显。</w:t>
      </w:r>
    </w:p>
    <w:p>
      <w:pPr>
        <w:pStyle w:val="1856"/>
        <w:ind w:firstLine="494"/>
        <w:rPr>
          <w:color w:val="000000" w:themeColor="text1"/>
          <w14:textFill>
            <w14:solidFill>
              <w14:schemeClr w14:val="tx1"/>
            </w14:solidFill>
          </w14:textFill>
        </w:rPr>
      </w:pPr>
      <w:r>
        <w:rPr>
          <w:rFonts w:hint="eastAsia"/>
          <w:color w:val="000000" w:themeColor="text1"/>
          <w14:textFill>
            <w14:solidFill>
              <w14:schemeClr w14:val="tx1"/>
            </w14:solidFill>
          </w14:textFill>
        </w:rPr>
        <w:t>本地区常风向北向，为离岸风，波浪对海岸作用较小。虽S～SW为强浪向，但浪高平均仅为0.6m左右。本海区潮汐动力较强，平均潮差2.51m，最大潮差5.52m，基于上述特点，本区海岸泥沙运动有如下特点：</w:t>
      </w:r>
    </w:p>
    <w:p>
      <w:pPr>
        <w:pStyle w:val="1856"/>
        <w:ind w:firstLine="494"/>
        <w:rPr>
          <w:rFonts w:hint="eastAsia" w:eastAsia="宋体"/>
          <w:color w:val="000000" w:themeColor="text1"/>
          <w:lang w:val="en-US" w:eastAsia="zh-CN"/>
          <w14:textFill>
            <w14:solidFill>
              <w14:schemeClr w14:val="tx1"/>
            </w14:solidFill>
          </w14:textFill>
        </w:rPr>
      </w:pPr>
      <w:r>
        <w:rPr>
          <w:rFonts w:hint="eastAsia"/>
          <w:color w:val="000000" w:themeColor="text1"/>
          <w14:textFill>
            <w14:solidFill>
              <w14:schemeClr w14:val="tx1"/>
            </w14:solidFill>
          </w14:textFill>
        </w:rPr>
        <w:t>（1）泥沙来源不</w:t>
      </w:r>
      <w:r>
        <w:rPr>
          <w:rFonts w:hint="eastAsia"/>
          <w:color w:val="000000" w:themeColor="text1"/>
          <w:lang w:eastAsia="zh-CN"/>
          <w14:textFill>
            <w14:solidFill>
              <w14:schemeClr w14:val="tx1"/>
            </w14:solidFill>
          </w14:textFill>
        </w:rPr>
        <w:t>多</w:t>
      </w:r>
    </w:p>
    <w:p>
      <w:pPr>
        <w:pStyle w:val="1856"/>
        <w:ind w:firstLine="494"/>
        <w:rPr>
          <w:color w:val="000000" w:themeColor="text1"/>
          <w14:textFill>
            <w14:solidFill>
              <w14:schemeClr w14:val="tx1"/>
            </w14:solidFill>
          </w14:textFill>
        </w:rPr>
      </w:pPr>
      <w:r>
        <w:rPr>
          <w:rFonts w:hint="eastAsia"/>
          <w:color w:val="000000" w:themeColor="text1"/>
          <w14:textFill>
            <w14:solidFill>
              <w14:schemeClr w14:val="tx1"/>
            </w14:solidFill>
          </w14:textFill>
        </w:rPr>
        <w:t>①茅岭江和钦江从钦州湾顶注入，但其径流量不大，夹带泥沙有限，且比降骤降，径流携带的泥沙几乎全部沉积在茅尾海中。</w:t>
      </w:r>
    </w:p>
    <w:p>
      <w:pPr>
        <w:pStyle w:val="1856"/>
        <w:ind w:firstLine="494"/>
        <w:rPr>
          <w:color w:val="000000" w:themeColor="text1"/>
          <w14:textFill>
            <w14:solidFill>
              <w14:schemeClr w14:val="tx1"/>
            </w14:solidFill>
          </w14:textFill>
        </w:rPr>
      </w:pPr>
      <w:r>
        <w:rPr>
          <w:rFonts w:hint="eastAsia"/>
          <w:color w:val="000000" w:themeColor="text1"/>
          <w14:textFill>
            <w14:solidFill>
              <w14:schemeClr w14:val="tx1"/>
            </w14:solidFill>
          </w14:textFill>
        </w:rPr>
        <w:t>②钦州湾口处普遍发育有拦门沙，虽潮汐动力较强，但波浪掀沙能力较弱，因而泥沙进入港湾很少。据当地海军多年观察，该拦门沙一直没有扩大和延伸。</w:t>
      </w:r>
    </w:p>
    <w:p>
      <w:pPr>
        <w:pStyle w:val="1856"/>
        <w:ind w:firstLine="494"/>
        <w:rPr>
          <w:color w:val="000000" w:themeColor="text1"/>
          <w14:textFill>
            <w14:solidFill>
              <w14:schemeClr w14:val="tx1"/>
            </w14:solidFill>
          </w14:textFill>
        </w:rPr>
      </w:pPr>
      <w:r>
        <w:rPr>
          <w:rFonts w:hint="eastAsia"/>
          <w:color w:val="000000" w:themeColor="text1"/>
          <w14:textFill>
            <w14:solidFill>
              <w14:schemeClr w14:val="tx1"/>
            </w14:solidFill>
          </w14:textFill>
        </w:rPr>
        <w:t>③钦州湾内含沙量低</w:t>
      </w:r>
    </w:p>
    <w:p>
      <w:pPr>
        <w:pStyle w:val="1856"/>
        <w:ind w:firstLine="494"/>
        <w:rPr>
          <w:color w:val="000000" w:themeColor="text1"/>
          <w14:textFill>
            <w14:solidFill>
              <w14:schemeClr w14:val="tx1"/>
            </w14:solidFill>
          </w14:textFill>
        </w:rPr>
      </w:pPr>
      <w:r>
        <w:rPr>
          <w:rFonts w:hint="eastAsia"/>
          <w:color w:val="000000" w:themeColor="text1"/>
          <w14:textFill>
            <w14:solidFill>
              <w14:schemeClr w14:val="tx1"/>
            </w14:solidFill>
          </w14:textFill>
        </w:rPr>
        <w:t>根据天津水利科学研究所实测资料：最大含沙量：0.08kg/m</w:t>
      </w:r>
      <w:r>
        <w:rPr>
          <w:rFonts w:hint="eastAsia"/>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，夏季含沙量：0.05kg/m</w:t>
      </w:r>
      <w:r>
        <w:rPr>
          <w:rFonts w:hint="eastAsia"/>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，冬季含沙量：0.03kg/m</w:t>
      </w:r>
      <w:r>
        <w:rPr>
          <w:rFonts w:hint="eastAsia"/>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w:t>
      </w:r>
    </w:p>
    <w:p>
      <w:pPr>
        <w:pStyle w:val="1856"/>
        <w:ind w:firstLine="494"/>
        <w:rPr>
          <w:color w:val="000000" w:themeColor="text1"/>
          <w14:textFill>
            <w14:solidFill>
              <w14:schemeClr w14:val="tx1"/>
            </w14:solidFill>
          </w14:textFill>
        </w:rPr>
      </w:pPr>
      <w:r>
        <w:rPr>
          <w:rFonts w:hint="eastAsia"/>
          <w:color w:val="000000" w:themeColor="text1"/>
          <w14:textFill>
            <w14:solidFill>
              <w14:schemeClr w14:val="tx1"/>
            </w14:solidFill>
          </w14:textFill>
        </w:rPr>
        <w:t>勒沟泾东岸有大片洼塘与勒沟泾相通，部分泥沙随地表径流进入洼塘，随涨落潮或洪水带出，但泥沙量不大，且大部分落于勒沟泾口以北。随着钦州港的逐步开发，洼塘填平形成陆域后，自然解决。</w:t>
      </w:r>
    </w:p>
    <w:p>
      <w:pPr>
        <w:pStyle w:val="1856"/>
        <w:ind w:firstLine="494"/>
        <w:rPr>
          <w:color w:val="000000" w:themeColor="text1"/>
          <w14:textFill>
            <w14:solidFill>
              <w14:schemeClr w14:val="tx1"/>
            </w14:solidFill>
          </w14:textFill>
        </w:rPr>
      </w:pPr>
      <w:r>
        <w:rPr>
          <w:rFonts w:hint="eastAsia"/>
          <w:color w:val="000000" w:themeColor="text1"/>
          <w14:textFill>
            <w14:solidFill>
              <w14:schemeClr w14:val="tx1"/>
            </w14:solidFill>
          </w14:textFill>
        </w:rPr>
        <w:t>（2）以落潮为主的潮汐水道，平均涨潮历时10h23min，平均落潮历时8h。因落潮流速大于涨潮流速，随涨潮入港之泥沙由落潮水流带出港外，使港区处于不淤或少淤状态。综上所述，本海域不存在大规模泥沙运动，在较强的涨落潮流作用下，港区无明显泥沙冲淤，基本保持动态平衡。</w:t>
      </w:r>
    </w:p>
    <w:p>
      <w:pPr>
        <w:pStyle w:val="6"/>
        <w:rPr>
          <w:color w:val="000000" w:themeColor="text1"/>
          <w14:textFill>
            <w14:solidFill>
              <w14:schemeClr w14:val="tx1"/>
            </w14:solidFill>
          </w14:textFill>
        </w:rPr>
      </w:pPr>
      <w:r>
        <w:rPr>
          <w:rFonts w:hint="eastAsia"/>
          <w:color w:val="000000" w:themeColor="text1"/>
          <w14:textFill>
            <w14:solidFill>
              <w14:schemeClr w14:val="tx1"/>
            </w14:solidFill>
          </w14:textFill>
        </w:rPr>
        <w:t>项目区地质条件</w:t>
      </w:r>
    </w:p>
    <w:p>
      <w:pPr>
        <w:pStyle w:val="1075"/>
        <w:rPr>
          <w:color w:val="000000" w:themeColor="text1"/>
          <w14:textFill>
            <w14:solidFill>
              <w14:schemeClr w14:val="tx1"/>
            </w14:solidFill>
          </w14:textFill>
        </w:rPr>
      </w:pPr>
      <w:r>
        <w:rPr>
          <w:rFonts w:hint="eastAsia"/>
          <w:color w:val="000000" w:themeColor="text1"/>
          <w14:textFill>
            <w14:solidFill>
              <w14:schemeClr w14:val="tx1"/>
            </w14:solidFill>
          </w14:textFill>
        </w:rPr>
        <w:t>本次扩建工程泊位场地地层自上而下划分为8个大层、16个亚层。各岩土层特征分述如下：</w:t>
      </w:r>
    </w:p>
    <w:p>
      <w:pPr>
        <w:pStyle w:val="1075"/>
        <w:rPr>
          <w:color w:val="000000" w:themeColor="text1"/>
          <w14:textFill>
            <w14:solidFill>
              <w14:schemeClr w14:val="tx1"/>
            </w14:solidFill>
          </w14:textFill>
        </w:rPr>
      </w:pPr>
      <w:r>
        <w:rPr>
          <w:rFonts w:hint="eastAsia"/>
          <w:color w:val="000000" w:themeColor="text1"/>
          <w14:textFill>
            <w14:solidFill>
              <w14:schemeClr w14:val="tx1"/>
            </w14:solidFill>
          </w14:textFill>
        </w:rPr>
        <w:t>I</w:t>
      </w:r>
      <w:r>
        <w:rPr>
          <w:rFonts w:hint="eastAsia"/>
          <w:color w:val="000000" w:themeColor="text1"/>
          <w:vertAlign w:val="subscript"/>
          <w14:textFill>
            <w14:solidFill>
              <w14:schemeClr w14:val="tx1"/>
            </w14:solidFill>
          </w14:textFill>
        </w:rPr>
        <w:t>0</w:t>
      </w:r>
      <w:r>
        <w:rPr>
          <w:rFonts w:hint="eastAsia"/>
          <w:color w:val="000000" w:themeColor="text1"/>
          <w14:textFill>
            <w14:solidFill>
              <w14:schemeClr w14:val="tx1"/>
            </w14:solidFill>
          </w14:textFill>
        </w:rPr>
        <w:t xml:space="preserve"> 灰黄色淤泥</w:t>
      </w:r>
    </w:p>
    <w:p>
      <w:pPr>
        <w:pStyle w:val="1075"/>
        <w:rPr>
          <w:color w:val="000000" w:themeColor="text1"/>
          <w14:textFill>
            <w14:solidFill>
              <w14:schemeClr w14:val="tx1"/>
            </w14:solidFill>
          </w14:textFill>
        </w:rPr>
      </w:pPr>
      <w:r>
        <w:rPr>
          <w:rFonts w:hint="eastAsia"/>
          <w:color w:val="000000" w:themeColor="text1"/>
          <w14:textFill>
            <w14:solidFill>
              <w14:schemeClr w14:val="tx1"/>
            </w14:solidFill>
          </w14:textFill>
        </w:rPr>
        <w:t>饱和，流塑。土质较均匀，切面光滑，含少量贝壳碎片和砂颗粒，具腥臭味。韧性高，干强度高，摇震反应明显。该层为新近淤积，一般直接出露于海底，或被填土层覆盖。该层属高压缩性土，土质极软，力学强度低，工程性质差，该层仅堆场区钻孔ZK3、ZK10，码头区钻孔SG4、SG7和港池区钻孔SY1中揭露，顶板标高为－1.0～－5.5m，厚度为0.5～3.5m。</w:t>
      </w:r>
    </w:p>
    <w:p>
      <w:pPr>
        <w:pStyle w:val="1075"/>
        <w:rPr>
          <w:color w:val="000000" w:themeColor="text1"/>
          <w14:textFill>
            <w14:solidFill>
              <w14:schemeClr w14:val="tx1"/>
            </w14:solidFill>
          </w14:textFill>
        </w:rPr>
      </w:pPr>
      <w:r>
        <w:rPr>
          <w:rFonts w:hint="eastAsia"/>
          <w:color w:val="000000" w:themeColor="text1"/>
          <w14:textFill>
            <w14:solidFill>
              <w14:schemeClr w14:val="tx1"/>
            </w14:solidFill>
          </w14:textFill>
        </w:rPr>
        <w:t>I</w:t>
      </w:r>
      <w:r>
        <w:rPr>
          <w:rFonts w:hint="eastAsia"/>
          <w:color w:val="000000" w:themeColor="text1"/>
          <w:vertAlign w:val="subscript"/>
          <w14:textFill>
            <w14:solidFill>
              <w14:schemeClr w14:val="tx1"/>
            </w14:solidFill>
          </w14:textFill>
        </w:rPr>
        <w:t>1</w:t>
      </w:r>
      <w:r>
        <w:rPr>
          <w:rFonts w:hint="eastAsia"/>
          <w:color w:val="000000" w:themeColor="text1"/>
          <w14:textFill>
            <w14:solidFill>
              <w14:schemeClr w14:val="tx1"/>
            </w14:solidFill>
          </w14:textFill>
        </w:rPr>
        <w:t>灰红～紫红色素填土</w:t>
      </w:r>
    </w:p>
    <w:p>
      <w:pPr>
        <w:pStyle w:val="1075"/>
        <w:rPr>
          <w:color w:val="000000" w:themeColor="text1"/>
          <w14:textFill>
            <w14:solidFill>
              <w14:schemeClr w14:val="tx1"/>
            </w14:solidFill>
          </w14:textFill>
        </w:rPr>
      </w:pPr>
      <w:r>
        <w:rPr>
          <w:rFonts w:hint="eastAsia"/>
          <w:color w:val="000000" w:themeColor="text1"/>
          <w14:textFill>
            <w14:solidFill>
              <w14:schemeClr w14:val="tx1"/>
            </w14:solidFill>
          </w14:textFill>
        </w:rPr>
        <w:t>灰黄色，饱和，松散。成分较杂乱，由黏性土、泥岩风化土、岩块、粗砾砂、贝壳碎屑等组成。该层仅在堆场区钻孔ZK1、ZK2、ZK3和港池区钻孔SY1、SY2揭露，顶板标高为－1.7～－4.8m，厚度为0.5～2.6m。实测标准贯入试验击数为9～14击。</w:t>
      </w:r>
    </w:p>
    <w:p>
      <w:pPr>
        <w:pStyle w:val="1075"/>
        <w:rPr>
          <w:color w:val="000000" w:themeColor="text1"/>
          <w14:textFill>
            <w14:solidFill>
              <w14:schemeClr w14:val="tx1"/>
            </w14:solidFill>
          </w14:textFill>
        </w:rPr>
      </w:pPr>
      <w:r>
        <w:rPr>
          <w:rFonts w:hint="eastAsia"/>
          <w:color w:val="000000" w:themeColor="text1"/>
          <w14:textFill>
            <w14:solidFill>
              <w14:schemeClr w14:val="tx1"/>
            </w14:solidFill>
          </w14:textFill>
        </w:rPr>
        <w:t>I</w:t>
      </w:r>
      <w:r>
        <w:rPr>
          <w:rFonts w:hint="eastAsia"/>
          <w:color w:val="000000" w:themeColor="text1"/>
          <w:vertAlign w:val="subscript"/>
          <w14:textFill>
            <w14:solidFill>
              <w14:schemeClr w14:val="tx1"/>
            </w14:solidFill>
          </w14:textFill>
        </w:rPr>
        <w:t>2</w:t>
      </w:r>
      <w:r>
        <w:rPr>
          <w:rFonts w:hint="eastAsia"/>
          <w:color w:val="000000" w:themeColor="text1"/>
          <w14:textFill>
            <w14:solidFill>
              <w14:schemeClr w14:val="tx1"/>
            </w14:solidFill>
          </w14:textFill>
        </w:rPr>
        <w:t>杂色抛填石</w:t>
      </w:r>
    </w:p>
    <w:p>
      <w:pPr>
        <w:pStyle w:val="1075"/>
        <w:rPr>
          <w:color w:val="000000" w:themeColor="text1"/>
          <w14:textFill>
            <w14:solidFill>
              <w14:schemeClr w14:val="tx1"/>
            </w14:solidFill>
          </w14:textFill>
        </w:rPr>
      </w:pPr>
      <w:r>
        <w:rPr>
          <w:rFonts w:hint="eastAsia"/>
          <w:color w:val="000000" w:themeColor="text1"/>
          <w14:textFill>
            <w14:solidFill>
              <w14:schemeClr w14:val="tx1"/>
            </w14:solidFill>
          </w14:textFill>
        </w:rPr>
        <w:t>坚硬。成分主要为中风化花岗岩块石，局部为紫红色中风化泥岩混灰白色花岗岩碎块，其间隙填充砾砂颗粒。该层仅靠近已建12#、13#泊位的码头区钻孔SG5和SG8有揭露，为前期施工抛填至此处，顶板标高分别为－3.9m、－1.7m，层厚分别为7.8m、11.8m。</w:t>
      </w:r>
    </w:p>
    <w:p>
      <w:pPr>
        <w:pStyle w:val="1075"/>
        <w:rPr>
          <w:color w:val="000000" w:themeColor="text1"/>
          <w14:textFill>
            <w14:solidFill>
              <w14:schemeClr w14:val="tx1"/>
            </w14:solidFill>
          </w14:textFill>
        </w:rPr>
      </w:pPr>
      <w:r>
        <w:rPr>
          <w:rFonts w:hint="eastAsia"/>
          <w:color w:val="000000" w:themeColor="text1"/>
          <w14:textFill>
            <w14:solidFill>
              <w14:schemeClr w14:val="tx1"/>
            </w14:solidFill>
          </w14:textFill>
        </w:rPr>
        <w:t>I</w:t>
      </w:r>
      <w:r>
        <w:rPr>
          <w:rFonts w:hint="eastAsia"/>
          <w:color w:val="000000" w:themeColor="text1"/>
          <w:vertAlign w:val="subscript"/>
          <w14:textFill>
            <w14:solidFill>
              <w14:schemeClr w14:val="tx1"/>
            </w14:solidFill>
          </w14:textFill>
        </w:rPr>
        <w:t>3</w:t>
      </w:r>
      <w:r>
        <w:rPr>
          <w:rFonts w:hint="eastAsia"/>
          <w:color w:val="000000" w:themeColor="text1"/>
          <w14:textFill>
            <w14:solidFill>
              <w14:schemeClr w14:val="tx1"/>
            </w14:solidFill>
          </w14:textFill>
        </w:rPr>
        <w:t>灰黄～灰色中细砂</w:t>
      </w:r>
    </w:p>
    <w:p>
      <w:pPr>
        <w:pStyle w:val="1075"/>
        <w:rPr>
          <w:color w:val="000000" w:themeColor="text1"/>
          <w14:textFill>
            <w14:solidFill>
              <w14:schemeClr w14:val="tx1"/>
            </w14:solidFill>
          </w14:textFill>
        </w:rPr>
      </w:pPr>
      <w:r>
        <w:rPr>
          <w:rFonts w:hint="eastAsia"/>
          <w:color w:val="000000" w:themeColor="text1"/>
          <w14:textFill>
            <w14:solidFill>
              <w14:schemeClr w14:val="tx1"/>
            </w14:solidFill>
          </w14:textFill>
        </w:rPr>
        <w:t>松散～稍密。砂质较纯，颗粒较均匀，局部淤泥含量较多，为砂混淤泥。该层受人工活动影响形成，主要在堆场区揭露，陆域钻孔ZK1和ZK2中该层顶板较高为+6.33m、+6.16m，厚度为8.0m、11.0m；</w:t>
      </w:r>
      <w:r>
        <w:rPr>
          <w:rFonts w:hint="eastAsia"/>
          <w:color w:val="000000" w:themeColor="text1"/>
          <w:lang w:eastAsia="zh-CN"/>
          <w14:textFill>
            <w14:solidFill>
              <w14:schemeClr w14:val="tx1"/>
            </w14:solidFill>
          </w14:textFill>
        </w:rPr>
        <w:t>其他</w:t>
      </w:r>
      <w:r>
        <w:rPr>
          <w:rFonts w:hint="eastAsia"/>
          <w:color w:val="000000" w:themeColor="text1"/>
          <w14:textFill>
            <w14:solidFill>
              <w14:schemeClr w14:val="tx1"/>
            </w14:solidFill>
          </w14:textFill>
        </w:rPr>
        <w:t>堆场区钻孔中该层顶板标高为+1.9～－2.0m，厚度为2.6～5.3m；码头区仅SG2、SG3、SG7钻孔揭露该层，顶板标高为－2.8～－5.5m，层厚0.7～2.5m；港池区仅SY1揭露该层，顶板标高为－6.0m，层厚1.3m。实测标准贯入试验击数一般为4～7击，局部为10～14击。</w:t>
      </w:r>
    </w:p>
    <w:p>
      <w:pPr>
        <w:pStyle w:val="1075"/>
        <w:rPr>
          <w:color w:val="000000" w:themeColor="text1"/>
          <w14:textFill>
            <w14:solidFill>
              <w14:schemeClr w14:val="tx1"/>
            </w14:solidFill>
          </w14:textFill>
        </w:rPr>
      </w:pPr>
      <w:r>
        <w:rPr>
          <w:rFonts w:hint="eastAsia"/>
          <w:color w:val="000000" w:themeColor="text1"/>
          <w14:textFill>
            <w14:solidFill>
              <w14:schemeClr w14:val="tx1"/>
            </w14:solidFill>
          </w14:textFill>
        </w:rPr>
        <w:t>Ⅱ</w:t>
      </w:r>
      <w:r>
        <w:rPr>
          <w:rFonts w:hint="eastAsia"/>
          <w:color w:val="000000" w:themeColor="text1"/>
          <w:vertAlign w:val="subscript"/>
          <w14:textFill>
            <w14:solidFill>
              <w14:schemeClr w14:val="tx1"/>
            </w14:solidFill>
          </w14:textFill>
        </w:rPr>
        <w:t>1</w:t>
      </w:r>
      <w:r>
        <w:rPr>
          <w:rFonts w:hint="eastAsia"/>
          <w:color w:val="000000" w:themeColor="text1"/>
          <w14:textFill>
            <w14:solidFill>
              <w14:schemeClr w14:val="tx1"/>
            </w14:solidFill>
          </w14:textFill>
        </w:rPr>
        <w:t>灰色淤泥</w:t>
      </w:r>
    </w:p>
    <w:p>
      <w:pPr>
        <w:pStyle w:val="1075"/>
        <w:rPr>
          <w:color w:val="000000" w:themeColor="text1"/>
          <w14:textFill>
            <w14:solidFill>
              <w14:schemeClr w14:val="tx1"/>
            </w14:solidFill>
          </w14:textFill>
        </w:rPr>
      </w:pPr>
      <w:r>
        <w:rPr>
          <w:rFonts w:hint="eastAsia"/>
          <w:color w:val="000000" w:themeColor="text1"/>
          <w14:textFill>
            <w14:solidFill>
              <w14:schemeClr w14:val="tx1"/>
            </w14:solidFill>
          </w14:textFill>
        </w:rPr>
        <w:t>饱和，流塑。土质均匀，切面光滑，见少量有机质，偶夹少量贝壳碎片，稍具臭味，局部为淤泥夹砂或淤泥混砂。韧性高，干强度高，摇震反应明显。土质极软，属高压缩性土，力学强度低，工程性质差。该层在勘察区分布较广泛，约半数钻孔揭露，顶板标高为－2.3～－7.3m，厚度为0.9～5.5m。实测标准贯入试验击数一般为&lt;1～2击。</w:t>
      </w:r>
    </w:p>
    <w:p>
      <w:pPr>
        <w:pStyle w:val="1075"/>
        <w:rPr>
          <w:color w:val="000000" w:themeColor="text1"/>
          <w14:textFill>
            <w14:solidFill>
              <w14:schemeClr w14:val="tx1"/>
            </w14:solidFill>
          </w14:textFill>
        </w:rPr>
      </w:pPr>
      <w:r>
        <w:rPr>
          <w:rFonts w:hint="eastAsia"/>
          <w:color w:val="000000" w:themeColor="text1"/>
          <w14:textFill>
            <w14:solidFill>
              <w14:schemeClr w14:val="tx1"/>
            </w14:solidFill>
          </w14:textFill>
        </w:rPr>
        <w:t>Ⅱ</w:t>
      </w:r>
      <w:r>
        <w:rPr>
          <w:rFonts w:hint="eastAsia"/>
          <w:color w:val="000000" w:themeColor="text1"/>
          <w:vertAlign w:val="subscript"/>
          <w14:textFill>
            <w14:solidFill>
              <w14:schemeClr w14:val="tx1"/>
            </w14:solidFill>
          </w14:textFill>
        </w:rPr>
        <w:t>2</w:t>
      </w:r>
      <w:r>
        <w:rPr>
          <w:rFonts w:hint="eastAsia"/>
          <w:color w:val="000000" w:themeColor="text1"/>
          <w14:textFill>
            <w14:solidFill>
              <w14:schemeClr w14:val="tx1"/>
            </w14:solidFill>
          </w14:textFill>
        </w:rPr>
        <w:t>灰色淤泥质土</w:t>
      </w:r>
    </w:p>
    <w:p>
      <w:pPr>
        <w:pStyle w:val="1075"/>
        <w:rPr>
          <w:color w:val="000000" w:themeColor="text1"/>
          <w14:textFill>
            <w14:solidFill>
              <w14:schemeClr w14:val="tx1"/>
            </w14:solidFill>
          </w14:textFill>
        </w:rPr>
      </w:pPr>
      <w:r>
        <w:rPr>
          <w:rFonts w:hint="eastAsia"/>
          <w:color w:val="000000" w:themeColor="text1"/>
          <w14:textFill>
            <w14:solidFill>
              <w14:schemeClr w14:val="tx1"/>
            </w14:solidFill>
          </w14:textFill>
        </w:rPr>
        <w:t>饱和，流塑～软塑。土质均匀，切面光滑，夹少量贝壳碎屑，稍具异味，局部含泥质结核。韧性高，干强度高，摇震具反应。该层在勘察区不连续发育，主要在堆场区和码头区有揭露，港池区仅SY6钻孔揭露，顶板标高一般为－5.3～－6.1m，局部顶板标高较大处为－2.1m，局部顶板标高较小处为－9.4～－11.7m，厚度一般为1.2～3.5m，在ZK11钻孔中厚度较大，为10.1m。实测标准贯入试验击数一般为2～4击。</w:t>
      </w:r>
    </w:p>
    <w:p>
      <w:pPr>
        <w:pStyle w:val="1075"/>
        <w:rPr>
          <w:color w:val="000000" w:themeColor="text1"/>
          <w14:textFill>
            <w14:solidFill>
              <w14:schemeClr w14:val="tx1"/>
            </w14:solidFill>
          </w14:textFill>
        </w:rPr>
      </w:pPr>
      <w:r>
        <w:rPr>
          <w:rFonts w:hint="eastAsia"/>
          <w:color w:val="000000" w:themeColor="text1"/>
          <w14:textFill>
            <w14:solidFill>
              <w14:schemeClr w14:val="tx1"/>
            </w14:solidFill>
          </w14:textFill>
        </w:rPr>
        <w:t>Ⅲ</w:t>
      </w:r>
      <w:r>
        <w:rPr>
          <w:rFonts w:hint="eastAsia"/>
          <w:color w:val="000000" w:themeColor="text1"/>
          <w:vertAlign w:val="subscript"/>
          <w14:textFill>
            <w14:solidFill>
              <w14:schemeClr w14:val="tx1"/>
            </w14:solidFill>
          </w14:textFill>
        </w:rPr>
        <w:t>1</w:t>
      </w:r>
      <w:r>
        <w:rPr>
          <w:rFonts w:hint="eastAsia"/>
          <w:color w:val="000000" w:themeColor="text1"/>
          <w14:textFill>
            <w14:solidFill>
              <w14:schemeClr w14:val="tx1"/>
            </w14:solidFill>
          </w14:textFill>
        </w:rPr>
        <w:t>浅灰～灰黄色粉细砂</w:t>
      </w:r>
    </w:p>
    <w:p>
      <w:pPr>
        <w:pStyle w:val="1075"/>
        <w:rPr>
          <w:color w:val="000000" w:themeColor="text1"/>
          <w14:textFill>
            <w14:solidFill>
              <w14:schemeClr w14:val="tx1"/>
            </w14:solidFill>
          </w14:textFill>
        </w:rPr>
      </w:pPr>
      <w:r>
        <w:rPr>
          <w:rFonts w:hint="eastAsia"/>
          <w:color w:val="000000" w:themeColor="text1"/>
          <w14:textFill>
            <w14:solidFill>
              <w14:schemeClr w14:val="tx1"/>
            </w14:solidFill>
          </w14:textFill>
        </w:rPr>
        <w:t>饱和，松散～稍密。砂质较纯，颗粒较均匀，混少量贝壳碎片，局部混较多黏性土，少量为中砂。该层主要在堆场区有揭露，在近岸处ZK4钻孔中顶板标高较大，为－1.6m，一般为－4.8～－9.4m，厚度为0.8～3.8m；码头区仅SG2、SG4、SG6钻孔揭露该层，顶板标高为－4.2～－8.1m，厚度为0.8～1.9m；港池区仅SY3钻孔揭露该层，顶板标</w:t>
      </w:r>
    </w:p>
    <w:p>
      <w:pPr>
        <w:pStyle w:val="1075"/>
        <w:rPr>
          <w:color w:val="000000" w:themeColor="text1"/>
          <w14:textFill>
            <w14:solidFill>
              <w14:schemeClr w14:val="tx1"/>
            </w14:solidFill>
          </w14:textFill>
        </w:rPr>
      </w:pPr>
      <w:r>
        <w:rPr>
          <w:rFonts w:hint="eastAsia"/>
          <w:color w:val="000000" w:themeColor="text1"/>
          <w14:textFill>
            <w14:solidFill>
              <w14:schemeClr w14:val="tx1"/>
            </w14:solidFill>
          </w14:textFill>
        </w:rPr>
        <w:t>高为－10.4m，厚度为3.3m。实测标准贯入试验击数一般为6～12击。</w:t>
      </w:r>
    </w:p>
    <w:p>
      <w:pPr>
        <w:pStyle w:val="1075"/>
        <w:rPr>
          <w:color w:val="000000" w:themeColor="text1"/>
          <w14:textFill>
            <w14:solidFill>
              <w14:schemeClr w14:val="tx1"/>
            </w14:solidFill>
          </w14:textFill>
        </w:rPr>
      </w:pPr>
      <w:r>
        <w:rPr>
          <w:rFonts w:hint="eastAsia"/>
          <w:color w:val="000000" w:themeColor="text1"/>
          <w14:textFill>
            <w14:solidFill>
              <w14:schemeClr w14:val="tx1"/>
            </w14:solidFill>
          </w14:textFill>
        </w:rPr>
        <w:t>Ⅳ</w:t>
      </w:r>
      <w:r>
        <w:rPr>
          <w:rFonts w:hint="eastAsia"/>
          <w:color w:val="000000" w:themeColor="text1"/>
          <w:vertAlign w:val="subscript"/>
          <w14:textFill>
            <w14:solidFill>
              <w14:schemeClr w14:val="tx1"/>
            </w14:solidFill>
          </w14:textFill>
        </w:rPr>
        <w:t>1</w:t>
      </w:r>
      <w:r>
        <w:rPr>
          <w:rFonts w:hint="eastAsia"/>
          <w:color w:val="000000" w:themeColor="text1"/>
          <w14:textFill>
            <w14:solidFill>
              <w14:schemeClr w14:val="tx1"/>
            </w14:solidFill>
          </w14:textFill>
        </w:rPr>
        <w:t>褐黄～褐红色粉质黏土</w:t>
      </w:r>
    </w:p>
    <w:p>
      <w:pPr>
        <w:pStyle w:val="1075"/>
        <w:rPr>
          <w:color w:val="000000" w:themeColor="text1"/>
          <w14:textFill>
            <w14:solidFill>
              <w14:schemeClr w14:val="tx1"/>
            </w14:solidFill>
          </w14:textFill>
        </w:rPr>
      </w:pPr>
      <w:r>
        <w:rPr>
          <w:rFonts w:hint="eastAsia"/>
          <w:color w:val="000000" w:themeColor="text1"/>
          <w14:textFill>
            <w14:solidFill>
              <w14:schemeClr w14:val="tx1"/>
            </w14:solidFill>
          </w14:textFill>
        </w:rPr>
        <w:t>饱和，可塑。土质较匀，切面较光滑，局部土质不均匀，混较多砂粒，切面稍粗糙。该层在勘察区少量分布，顶板标高为－3.4～－9.4m，厚度为0.4～4.0m。实测标准贯入试验击数一般为7～16击。</w:t>
      </w:r>
    </w:p>
    <w:p>
      <w:pPr>
        <w:pStyle w:val="1075"/>
        <w:rPr>
          <w:color w:val="000000" w:themeColor="text1"/>
          <w14:textFill>
            <w14:solidFill>
              <w14:schemeClr w14:val="tx1"/>
            </w14:solidFill>
          </w14:textFill>
        </w:rPr>
      </w:pPr>
      <w:r>
        <w:rPr>
          <w:rFonts w:hint="eastAsia"/>
          <w:color w:val="000000" w:themeColor="text1"/>
          <w14:textFill>
            <w14:solidFill>
              <w14:schemeClr w14:val="tx1"/>
            </w14:solidFill>
          </w14:textFill>
        </w:rPr>
        <w:t>Ⅳ</w:t>
      </w:r>
      <w:r>
        <w:rPr>
          <w:rFonts w:hint="eastAsia"/>
          <w:color w:val="000000" w:themeColor="text1"/>
          <w:vertAlign w:val="subscript"/>
          <w14:textFill>
            <w14:solidFill>
              <w14:schemeClr w14:val="tx1"/>
            </w14:solidFill>
          </w14:textFill>
        </w:rPr>
        <w:t>2</w:t>
      </w:r>
      <w:r>
        <w:rPr>
          <w:rFonts w:hint="eastAsia"/>
          <w:color w:val="000000" w:themeColor="text1"/>
          <w14:textFill>
            <w14:solidFill>
              <w14:schemeClr w14:val="tx1"/>
            </w14:solidFill>
          </w14:textFill>
        </w:rPr>
        <w:t>灰黄色中粗砂</w:t>
      </w:r>
    </w:p>
    <w:p>
      <w:pPr>
        <w:pStyle w:val="1075"/>
        <w:rPr>
          <w:color w:val="000000" w:themeColor="text1"/>
          <w14:textFill>
            <w14:solidFill>
              <w14:schemeClr w14:val="tx1"/>
            </w14:solidFill>
          </w14:textFill>
        </w:rPr>
      </w:pPr>
      <w:r>
        <w:rPr>
          <w:rFonts w:hint="eastAsia"/>
          <w:color w:val="000000" w:themeColor="text1"/>
          <w14:textFill>
            <w14:solidFill>
              <w14:schemeClr w14:val="tx1"/>
            </w14:solidFill>
          </w14:textFill>
        </w:rPr>
        <w:t>饱和，稍密～中密。砂质较纯，颗粒不均匀，磨圆度差，呈次棱角状，混少量黏性土，局部为灰色细砂。该层在勘察区少量发育，顶板标高为－6.3～－11.6m，厚度为0.6～4.2m。实测标准贯入试验击数一般为11～22击。</w:t>
      </w:r>
    </w:p>
    <w:p>
      <w:pPr>
        <w:pStyle w:val="1075"/>
        <w:rPr>
          <w:color w:val="000000" w:themeColor="text1"/>
          <w14:textFill>
            <w14:solidFill>
              <w14:schemeClr w14:val="tx1"/>
            </w14:solidFill>
          </w14:textFill>
        </w:rPr>
      </w:pPr>
      <w:r>
        <w:rPr>
          <w:rFonts w:hint="eastAsia"/>
          <w:color w:val="000000" w:themeColor="text1"/>
          <w14:textFill>
            <w14:solidFill>
              <w14:schemeClr w14:val="tx1"/>
            </w14:solidFill>
          </w14:textFill>
        </w:rPr>
        <w:t>Ⅴ灰黄～褐红色残积土</w:t>
      </w:r>
    </w:p>
    <w:p>
      <w:pPr>
        <w:pStyle w:val="1075"/>
        <w:rPr>
          <w:color w:val="000000" w:themeColor="text1"/>
          <w14:textFill>
            <w14:solidFill>
              <w14:schemeClr w14:val="tx1"/>
            </w14:solidFill>
          </w14:textFill>
        </w:rPr>
      </w:pPr>
      <w:r>
        <w:rPr>
          <w:rFonts w:hint="eastAsia"/>
          <w:color w:val="000000" w:themeColor="text1"/>
          <w14:textFill>
            <w14:solidFill>
              <w14:schemeClr w14:val="tx1"/>
            </w14:solidFill>
          </w14:textFill>
        </w:rPr>
        <w:t>饱和，硬塑。土质不均匀，切面粗糙。该层在勘察区零星发育，仅SG2、SG4、SY2钻孔揭露，顶板标高分别为－10.2m、－9.3m、－13.2m，厚度分别为1.2m、1.0m、2.7m。实测标准贯入试验击数为11～23击。</w:t>
      </w:r>
    </w:p>
    <w:p>
      <w:pPr>
        <w:pStyle w:val="1075"/>
        <w:rPr>
          <w:color w:val="000000" w:themeColor="text1"/>
          <w14:textFill>
            <w14:solidFill>
              <w14:schemeClr w14:val="tx1"/>
            </w14:solidFill>
          </w14:textFill>
        </w:rPr>
      </w:pPr>
      <w:r>
        <w:rPr>
          <w:rFonts w:hint="eastAsia"/>
          <w:color w:val="000000" w:themeColor="text1"/>
          <w14:textFill>
            <w14:solidFill>
              <w14:schemeClr w14:val="tx1"/>
            </w14:solidFill>
          </w14:textFill>
        </w:rPr>
        <w:t>Ⅵ灰黄～褐红色全风化层</w:t>
      </w:r>
    </w:p>
    <w:p>
      <w:pPr>
        <w:pStyle w:val="1075"/>
        <w:rPr>
          <w:color w:val="000000" w:themeColor="text1"/>
          <w14:textFill>
            <w14:solidFill>
              <w14:schemeClr w14:val="tx1"/>
            </w14:solidFill>
          </w14:textFill>
        </w:rPr>
      </w:pPr>
      <w:r>
        <w:rPr>
          <w:rFonts w:hint="eastAsia"/>
          <w:color w:val="000000" w:themeColor="text1"/>
          <w14:textFill>
            <w14:solidFill>
              <w14:schemeClr w14:val="tx1"/>
            </w14:solidFill>
          </w14:textFill>
        </w:rPr>
        <w:t>可塑～硬塑。岩芯呈坚硬黏性土状，原岩结构基本破坏，稍可辨，粒间黏结力差，手捏即散，遇水很快软化、崩解。该层在勘察区零星分布，顶板标高为－8.0～－13.7m，厚度为0.3～3.1m。实测标贯击数一般为20～36击。</w:t>
      </w:r>
    </w:p>
    <w:p>
      <w:pPr>
        <w:pStyle w:val="1075"/>
        <w:rPr>
          <w:color w:val="000000" w:themeColor="text1"/>
          <w14:textFill>
            <w14:solidFill>
              <w14:schemeClr w14:val="tx1"/>
            </w14:solidFill>
          </w14:textFill>
        </w:rPr>
      </w:pPr>
      <w:r>
        <w:rPr>
          <w:rFonts w:hint="eastAsia"/>
          <w:color w:val="000000" w:themeColor="text1"/>
          <w14:textFill>
            <w14:solidFill>
              <w14:schemeClr w14:val="tx1"/>
            </w14:solidFill>
          </w14:textFill>
        </w:rPr>
        <w:t>Ⅶ</w:t>
      </w:r>
      <w:r>
        <w:rPr>
          <w:rFonts w:hint="eastAsia"/>
          <w:color w:val="000000" w:themeColor="text1"/>
          <w:vertAlign w:val="subscript"/>
          <w14:textFill>
            <w14:solidFill>
              <w14:schemeClr w14:val="tx1"/>
            </w14:solidFill>
          </w14:textFill>
        </w:rPr>
        <w:t>2</w:t>
      </w:r>
      <w:r>
        <w:rPr>
          <w:rFonts w:hint="eastAsia"/>
          <w:color w:val="000000" w:themeColor="text1"/>
          <w14:textFill>
            <w14:solidFill>
              <w14:schemeClr w14:val="tx1"/>
            </w14:solidFill>
          </w14:textFill>
        </w:rPr>
        <w:t>褐色强风化砂岩</w:t>
      </w:r>
    </w:p>
    <w:p>
      <w:pPr>
        <w:pStyle w:val="1075"/>
        <w:rPr>
          <w:color w:val="000000" w:themeColor="text1"/>
          <w14:textFill>
            <w14:solidFill>
              <w14:schemeClr w14:val="tx1"/>
            </w14:solidFill>
          </w14:textFill>
        </w:rPr>
      </w:pPr>
      <w:r>
        <w:rPr>
          <w:rFonts w:hint="eastAsia"/>
          <w:color w:val="000000" w:themeColor="text1"/>
          <w14:textFill>
            <w14:solidFill>
              <w14:schemeClr w14:val="tx1"/>
            </w14:solidFill>
          </w14:textFill>
        </w:rPr>
        <w:t>硬。原岩风化强烈，结构可辨，岩芯呈破碎块状。岩体基本质量等级为Ⅴ级。该层仅SG2钻孔揭露，顶板标高为－15.6m，厚度为3.7m。</w:t>
      </w:r>
    </w:p>
    <w:p>
      <w:pPr>
        <w:pStyle w:val="1075"/>
        <w:rPr>
          <w:color w:val="000000" w:themeColor="text1"/>
          <w14:textFill>
            <w14:solidFill>
              <w14:schemeClr w14:val="tx1"/>
            </w14:solidFill>
          </w14:textFill>
        </w:rPr>
      </w:pPr>
      <w:r>
        <w:rPr>
          <w:rFonts w:hint="eastAsia"/>
          <w:color w:val="000000" w:themeColor="text1"/>
          <w14:textFill>
            <w14:solidFill>
              <w14:schemeClr w14:val="tx1"/>
            </w14:solidFill>
          </w14:textFill>
        </w:rPr>
        <w:t>Ⅶ</w:t>
      </w:r>
      <w:r>
        <w:rPr>
          <w:rFonts w:hint="eastAsia"/>
          <w:color w:val="000000" w:themeColor="text1"/>
          <w:vertAlign w:val="subscript"/>
          <w14:textFill>
            <w14:solidFill>
              <w14:schemeClr w14:val="tx1"/>
            </w14:solidFill>
          </w14:textFill>
        </w:rPr>
        <w:t>3</w:t>
      </w:r>
      <w:r>
        <w:rPr>
          <w:rFonts w:hint="eastAsia"/>
          <w:color w:val="000000" w:themeColor="text1"/>
          <w14:textFill>
            <w14:solidFill>
              <w14:schemeClr w14:val="tx1"/>
            </w14:solidFill>
          </w14:textFill>
        </w:rPr>
        <w:t>深红～紫红色强风化泥岩</w:t>
      </w:r>
    </w:p>
    <w:p>
      <w:pPr>
        <w:pStyle w:val="1075"/>
        <w:rPr>
          <w:color w:val="000000" w:themeColor="text1"/>
          <w14:textFill>
            <w14:solidFill>
              <w14:schemeClr w14:val="tx1"/>
            </w14:solidFill>
          </w14:textFill>
        </w:rPr>
      </w:pPr>
      <w:r>
        <w:rPr>
          <w:rFonts w:hint="eastAsia"/>
          <w:color w:val="000000" w:themeColor="text1"/>
          <w14:textFill>
            <w14:solidFill>
              <w14:schemeClr w14:val="tx1"/>
            </w14:solidFill>
          </w14:textFill>
        </w:rPr>
        <w:t>硬。原岩风化强烈，结构也已大部分破坏，尚可辨，矿物颗粒间的黏结力较差，岩芯呈破碎小块状和半岩半土状。岩体基本质量等级为Ⅴ级。该层在勘察区内大部分钻孔均有揭露，顶板起伏稍大，标高一般为－8.2～－19.5m，厚度一般为1.0～5.7m，ZK3钻孔中厚度较大，为9.2m。实测标贯击数一般大于50击，部分孔段标贯反弹。经杆长修正后的重型圆锥动力触探试验击数为17.1～27.7击，平均击数为22.3击。</w:t>
      </w:r>
    </w:p>
    <w:p>
      <w:pPr>
        <w:pStyle w:val="1075"/>
        <w:rPr>
          <w:color w:val="000000" w:themeColor="text1"/>
          <w14:textFill>
            <w14:solidFill>
              <w14:schemeClr w14:val="tx1"/>
            </w14:solidFill>
          </w14:textFill>
        </w:rPr>
      </w:pPr>
      <w:r>
        <w:rPr>
          <w:rFonts w:hint="eastAsia"/>
          <w:color w:val="000000" w:themeColor="text1"/>
          <w14:textFill>
            <w14:solidFill>
              <w14:schemeClr w14:val="tx1"/>
            </w14:solidFill>
          </w14:textFill>
        </w:rPr>
        <w:t>Ⅷ</w:t>
      </w:r>
      <w:r>
        <w:rPr>
          <w:rFonts w:hint="eastAsia"/>
          <w:color w:val="000000" w:themeColor="text1"/>
          <w:vertAlign w:val="subscript"/>
          <w14:textFill>
            <w14:solidFill>
              <w14:schemeClr w14:val="tx1"/>
            </w14:solidFill>
          </w14:textFill>
        </w:rPr>
        <w:t>2</w:t>
      </w:r>
      <w:r>
        <w:rPr>
          <w:rFonts w:hint="eastAsia"/>
          <w:color w:val="000000" w:themeColor="text1"/>
          <w14:textFill>
            <w14:solidFill>
              <w14:schemeClr w14:val="tx1"/>
            </w14:solidFill>
          </w14:textFill>
        </w:rPr>
        <w:t>深红～灰色中风化砂岩</w:t>
      </w:r>
    </w:p>
    <w:p>
      <w:pPr>
        <w:pStyle w:val="1075"/>
        <w:rPr>
          <w:color w:val="000000" w:themeColor="text1"/>
          <w14:textFill>
            <w14:solidFill>
              <w14:schemeClr w14:val="tx1"/>
            </w14:solidFill>
          </w14:textFill>
        </w:rPr>
      </w:pPr>
      <w:r>
        <w:rPr>
          <w:rFonts w:hint="eastAsia"/>
          <w:color w:val="000000" w:themeColor="text1"/>
          <w14:textFill>
            <w14:solidFill>
              <w14:schemeClr w14:val="tx1"/>
            </w14:solidFill>
          </w14:textFill>
        </w:rPr>
        <w:t>坚硬。砂状结构，风化面呈棕红色，新鲜面红褐色，手触有微小颗粒砂感，岩芯多呈柱状、短柱状或块状，RQD一般为60%～85%。岩体基本质量等级为Ⅳ级。该层顶板起伏稍大，标高一般为－12.2～－21.4m，厚度未揭穿，揭示厚度为1.3～7.5m。</w:t>
      </w:r>
    </w:p>
    <w:p>
      <w:pPr>
        <w:pStyle w:val="1075"/>
        <w:rPr>
          <w:color w:val="000000" w:themeColor="text1"/>
          <w14:textFill>
            <w14:solidFill>
              <w14:schemeClr w14:val="tx1"/>
            </w14:solidFill>
          </w14:textFill>
        </w:rPr>
      </w:pPr>
      <w:r>
        <w:rPr>
          <w:rFonts w:hint="eastAsia"/>
          <w:color w:val="000000" w:themeColor="text1"/>
          <w14:textFill>
            <w14:solidFill>
              <w14:schemeClr w14:val="tx1"/>
            </w14:solidFill>
          </w14:textFill>
        </w:rPr>
        <w:t>Ⅷ3深红～紫红色中风化泥岩</w:t>
      </w:r>
    </w:p>
    <w:p>
      <w:pPr>
        <w:pStyle w:val="1075"/>
        <w:rPr>
          <w:color w:val="000000" w:themeColor="text1"/>
          <w14:textFill>
            <w14:solidFill>
              <w14:schemeClr w14:val="tx1"/>
            </w14:solidFill>
          </w14:textFill>
        </w:rPr>
      </w:pPr>
      <w:r>
        <w:rPr>
          <w:rFonts w:hint="eastAsia"/>
          <w:color w:val="000000" w:themeColor="text1"/>
          <w14:textFill>
            <w14:solidFill>
              <w14:schemeClr w14:val="tx1"/>
            </w14:solidFill>
          </w14:textFill>
        </w:rPr>
        <w:t>坚硬。风化面呈红棕色，新鲜面呈红褐色，手触有轻微粗糙感，岩芯多呈柱状或短柱状，局部块状，RQD一般为60%～80%。岩体基本质量等级为Ⅳ级。该层为勘察区广泛发育的基岩，顶板起伏稍大，标高一般为－10.6～－22.7m，一般厚度未揭穿，揭示厚度为3.4～12.9m。</w:t>
      </w:r>
    </w:p>
    <w:p>
      <w:pPr>
        <w:jc w:val="center"/>
        <w:rPr>
          <w:color w:val="000000" w:themeColor="text1"/>
          <w14:textFill>
            <w14:solidFill>
              <w14:schemeClr w14:val="tx1"/>
            </w14:solidFill>
          </w14:textFill>
        </w:rPr>
      </w:pPr>
    </w:p>
    <w:p>
      <w:pPr>
        <w:pStyle w:val="553"/>
        <w:rPr>
          <w:color w:val="000000" w:themeColor="text1"/>
          <w14:textFill>
            <w14:solidFill>
              <w14:schemeClr w14:val="tx1"/>
            </w14:solidFill>
          </w14:textFill>
        </w:rPr>
      </w:pPr>
      <w:r>
        <w:rPr>
          <w:color w:val="000000" w:themeColor="text1"/>
          <w14:textFill>
            <w14:solidFill>
              <w14:schemeClr w14:val="tx1"/>
            </w14:solidFill>
          </w14:textFill>
        </w:rPr>
        <w:t>典型陆域钻孔剖面</w:t>
      </w:r>
    </w:p>
    <w:p>
      <w:pPr>
        <w:pStyle w:val="5"/>
        <w:rPr>
          <w:color w:val="000000" w:themeColor="text1"/>
          <w14:textFill>
            <w14:solidFill>
              <w14:schemeClr w14:val="tx1"/>
            </w14:solidFill>
          </w14:textFill>
        </w:rPr>
      </w:pPr>
      <w:bookmarkStart w:id="140" w:name="_Toc317003250"/>
      <w:bookmarkStart w:id="141" w:name="_Toc317003530"/>
      <w:bookmarkStart w:id="142" w:name="_Toc301808219"/>
      <w:r>
        <w:rPr>
          <w:color w:val="000000" w:themeColor="text1"/>
          <w14:textFill>
            <w14:solidFill>
              <w14:schemeClr w14:val="tx1"/>
            </w14:solidFill>
          </w14:textFill>
        </w:rPr>
        <w:t>气候特征</w:t>
      </w:r>
    </w:p>
    <w:p>
      <w:pPr>
        <w:pStyle w:val="283"/>
        <w:ind w:firstLine="494"/>
        <w:rPr>
          <w:color w:val="000000" w:themeColor="text1"/>
          <w14:textFill>
            <w14:solidFill>
              <w14:schemeClr w14:val="tx1"/>
            </w14:solidFill>
          </w14:textFill>
        </w:rPr>
      </w:pPr>
      <w:r>
        <w:rPr>
          <w:color w:val="000000" w:themeColor="text1"/>
          <w14:textFill>
            <w14:solidFill>
              <w14:schemeClr w14:val="tx1"/>
            </w14:solidFill>
          </w14:textFill>
        </w:rPr>
        <w:t>本项目所在的钦州市，位于20°54′～22°41′N、107°27′～109°56′E之间，属南亚热带季风气候，具有典型的亚热带海洋季风气候特点。高温多雨，干湿季节分明，夏无酷暑，冬无严寒，季风盛行。</w:t>
      </w:r>
    </w:p>
    <w:p>
      <w:pPr>
        <w:pStyle w:val="6"/>
        <w:rPr>
          <w:color w:val="000000" w:themeColor="text1"/>
          <w14:textFill>
            <w14:solidFill>
              <w14:schemeClr w14:val="tx1"/>
            </w14:solidFill>
          </w14:textFill>
        </w:rPr>
      </w:pPr>
      <w:r>
        <w:rPr>
          <w:color w:val="000000" w:themeColor="text1"/>
          <w14:textFill>
            <w14:solidFill>
              <w14:schemeClr w14:val="tx1"/>
            </w14:solidFill>
          </w14:textFill>
        </w:rPr>
        <w:t>气温</w:t>
      </w:r>
    </w:p>
    <w:p>
      <w:pPr>
        <w:pStyle w:val="283"/>
        <w:ind w:firstLine="496"/>
        <w:rPr>
          <w:color w:val="000000" w:themeColor="text1"/>
          <w14:textFill>
            <w14:solidFill>
              <w14:schemeClr w14:val="tx1"/>
            </w14:solidFill>
          </w14:textFill>
        </w:rPr>
      </w:pPr>
      <w:r>
        <w:rPr>
          <w:b/>
          <w:color w:val="000000" w:themeColor="text1"/>
          <w14:textFill>
            <w14:solidFill>
              <w14:schemeClr w14:val="tx1"/>
            </w14:solidFill>
          </w14:textFill>
        </w:rPr>
        <w:t>平均气温</w:t>
      </w:r>
      <w:r>
        <w:rPr>
          <w:color w:val="000000" w:themeColor="text1"/>
          <w14:textFill>
            <w14:solidFill>
              <w14:schemeClr w14:val="tx1"/>
            </w14:solidFill>
          </w14:textFill>
        </w:rPr>
        <w:t xml:space="preserve">   根据钦州气象站提供的资料，钦州湾平均气温的分布呈南高北低的趋势。根据钦州气象站的统计资料（1956年至2015年），湾口东部的犀牛脚，累年平均气温为23.4℃；湾中部的龙门为22.2℃，湾顶的钦州市区为22.1℃，累年平均气温的逐月变化见表3.1-1。</w:t>
      </w:r>
    </w:p>
    <w:p>
      <w:pPr>
        <w:pStyle w:val="283"/>
        <w:ind w:firstLine="496"/>
        <w:rPr>
          <w:color w:val="000000" w:themeColor="text1"/>
          <w14:textFill>
            <w14:solidFill>
              <w14:schemeClr w14:val="tx1"/>
            </w14:solidFill>
          </w14:textFill>
        </w:rPr>
      </w:pPr>
      <w:r>
        <w:rPr>
          <w:b/>
          <w:color w:val="000000" w:themeColor="text1"/>
          <w14:textFill>
            <w14:solidFill>
              <w14:schemeClr w14:val="tx1"/>
            </w14:solidFill>
          </w14:textFill>
        </w:rPr>
        <w:t xml:space="preserve">极端气温   </w:t>
      </w:r>
      <w:r>
        <w:rPr>
          <w:color w:val="000000" w:themeColor="text1"/>
          <w14:textFill>
            <w14:solidFill>
              <w14:schemeClr w14:val="tx1"/>
            </w14:solidFill>
          </w14:textFill>
        </w:rPr>
        <w:t>钦州站历年极端最高气温为39.2℃；极端最低气温为-1.8℃。</w:t>
      </w:r>
    </w:p>
    <w:p>
      <w:pPr>
        <w:pStyle w:val="384"/>
        <w:ind w:left="0" w:firstLine="0"/>
        <w:jc w:val="right"/>
        <w:rPr>
          <w:rFonts w:cs="Times New Roman"/>
          <w:color w:val="000000" w:themeColor="text1"/>
          <w:sz w:val="21"/>
          <w14:textFill>
            <w14:solidFill>
              <w14:schemeClr w14:val="tx1"/>
            </w14:solidFill>
          </w14:textFill>
        </w:rPr>
      </w:pPr>
      <w:r>
        <w:rPr>
          <w:rFonts w:cs="Times New Roman"/>
          <w:color w:val="000000" w:themeColor="text1"/>
          <w14:textFill>
            <w14:solidFill>
              <w14:schemeClr w14:val="tx1"/>
            </w14:solidFill>
          </w14:textFill>
        </w:rPr>
        <w:t xml:space="preserve">累年各月平均气温及极端气温（1956～2015 年）  </w:t>
      </w:r>
      <w:r>
        <w:rPr>
          <w:rFonts w:cs="Times New Roman"/>
          <w:b w:val="0"/>
          <w:bCs/>
          <w:color w:val="000000" w:themeColor="text1"/>
          <w:sz w:val="21"/>
          <w14:textFill>
            <w14:solidFill>
              <w14:schemeClr w14:val="tx1"/>
            </w14:solidFill>
          </w14:textFill>
        </w:rPr>
        <w:t>单位：℃</w:t>
      </w:r>
    </w:p>
    <w:tbl>
      <w:tblPr>
        <w:tblStyle w:val="88"/>
        <w:tblW w:w="8832" w:type="dxa"/>
        <w:jc w:val="center"/>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934"/>
        <w:gridCol w:w="1166"/>
        <w:gridCol w:w="1602"/>
        <w:gridCol w:w="1602"/>
        <w:gridCol w:w="1662"/>
        <w:gridCol w:w="1866"/>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291" w:hRule="atLeast"/>
          <w:tblHeader/>
          <w:jc w:val="center"/>
        </w:trPr>
        <w:tc>
          <w:tcPr>
            <w:tcW w:w="934" w:type="dxa"/>
            <w:shd w:val="clear" w:color="auto" w:fill="auto"/>
            <w:noWrap/>
            <w:vAlign w:val="center"/>
          </w:tcPr>
          <w:p>
            <w:pPr>
              <w:pStyle w:val="2001"/>
            </w:pPr>
            <w:r>
              <w:t xml:space="preserve">月份   </w:t>
            </w:r>
          </w:p>
        </w:tc>
        <w:tc>
          <w:tcPr>
            <w:tcW w:w="1166" w:type="dxa"/>
            <w:shd w:val="clear" w:color="auto" w:fill="auto"/>
            <w:noWrap/>
            <w:vAlign w:val="center"/>
          </w:tcPr>
          <w:p>
            <w:pPr>
              <w:pStyle w:val="2001"/>
            </w:pPr>
            <w:r>
              <w:t>平均气温</w:t>
            </w:r>
          </w:p>
        </w:tc>
        <w:tc>
          <w:tcPr>
            <w:tcW w:w="1602" w:type="dxa"/>
            <w:shd w:val="clear" w:color="auto" w:fill="auto"/>
            <w:noWrap/>
            <w:vAlign w:val="center"/>
          </w:tcPr>
          <w:p>
            <w:pPr>
              <w:pStyle w:val="2001"/>
            </w:pPr>
            <w:r>
              <w:t>平均最高气温</w:t>
            </w:r>
          </w:p>
        </w:tc>
        <w:tc>
          <w:tcPr>
            <w:tcW w:w="1602" w:type="dxa"/>
            <w:shd w:val="clear" w:color="auto" w:fill="auto"/>
            <w:noWrap/>
            <w:vAlign w:val="center"/>
          </w:tcPr>
          <w:p>
            <w:pPr>
              <w:pStyle w:val="2001"/>
            </w:pPr>
            <w:r>
              <w:t>平均最低气温</w:t>
            </w:r>
          </w:p>
        </w:tc>
        <w:tc>
          <w:tcPr>
            <w:tcW w:w="1662" w:type="dxa"/>
            <w:shd w:val="clear" w:color="auto" w:fill="auto"/>
            <w:noWrap/>
            <w:vAlign w:val="center"/>
          </w:tcPr>
          <w:p>
            <w:pPr>
              <w:pStyle w:val="2001"/>
            </w:pPr>
            <w:r>
              <w:t>极端最高气温</w:t>
            </w:r>
          </w:p>
        </w:tc>
        <w:tc>
          <w:tcPr>
            <w:tcW w:w="1866" w:type="dxa"/>
            <w:shd w:val="clear" w:color="auto" w:fill="auto"/>
            <w:noWrap/>
            <w:vAlign w:val="center"/>
          </w:tcPr>
          <w:p>
            <w:pPr>
              <w:pStyle w:val="2001"/>
            </w:pPr>
            <w:r>
              <w:t>极端最低气温</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291" w:hRule="atLeast"/>
          <w:jc w:val="center"/>
        </w:trPr>
        <w:tc>
          <w:tcPr>
            <w:tcW w:w="934" w:type="dxa"/>
            <w:shd w:val="clear" w:color="auto" w:fill="auto"/>
            <w:noWrap/>
            <w:vAlign w:val="center"/>
          </w:tcPr>
          <w:p>
            <w:pPr>
              <w:pStyle w:val="2001"/>
            </w:pPr>
            <w:r>
              <w:t>1</w:t>
            </w:r>
          </w:p>
        </w:tc>
        <w:tc>
          <w:tcPr>
            <w:tcW w:w="1166" w:type="dxa"/>
            <w:shd w:val="clear" w:color="auto" w:fill="auto"/>
            <w:noWrap/>
            <w:vAlign w:val="center"/>
          </w:tcPr>
          <w:p>
            <w:pPr>
              <w:pStyle w:val="2001"/>
            </w:pPr>
            <w:r>
              <w:t>13.4</w:t>
            </w:r>
          </w:p>
        </w:tc>
        <w:tc>
          <w:tcPr>
            <w:tcW w:w="1602" w:type="dxa"/>
            <w:shd w:val="clear" w:color="auto" w:fill="auto"/>
            <w:noWrap/>
            <w:vAlign w:val="center"/>
          </w:tcPr>
          <w:p>
            <w:pPr>
              <w:pStyle w:val="2001"/>
            </w:pPr>
            <w:r>
              <w:t>17.9</w:t>
            </w:r>
          </w:p>
        </w:tc>
        <w:tc>
          <w:tcPr>
            <w:tcW w:w="1602" w:type="dxa"/>
            <w:shd w:val="clear" w:color="auto" w:fill="auto"/>
            <w:noWrap/>
            <w:vAlign w:val="center"/>
          </w:tcPr>
          <w:p>
            <w:pPr>
              <w:pStyle w:val="2001"/>
            </w:pPr>
            <w:r>
              <w:t>10.3</w:t>
            </w:r>
          </w:p>
        </w:tc>
        <w:tc>
          <w:tcPr>
            <w:tcW w:w="1662" w:type="dxa"/>
            <w:shd w:val="clear" w:color="auto" w:fill="auto"/>
            <w:noWrap/>
            <w:vAlign w:val="center"/>
          </w:tcPr>
          <w:p>
            <w:pPr>
              <w:pStyle w:val="2001"/>
            </w:pPr>
            <w:r>
              <w:t>28.1</w:t>
            </w:r>
          </w:p>
        </w:tc>
        <w:tc>
          <w:tcPr>
            <w:tcW w:w="1866" w:type="dxa"/>
            <w:shd w:val="clear" w:color="auto" w:fill="auto"/>
            <w:noWrap/>
            <w:vAlign w:val="center"/>
          </w:tcPr>
          <w:p>
            <w:pPr>
              <w:pStyle w:val="2001"/>
            </w:pPr>
            <w:r>
              <w:t>-1.8</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291" w:hRule="atLeast"/>
          <w:jc w:val="center"/>
        </w:trPr>
        <w:tc>
          <w:tcPr>
            <w:tcW w:w="934" w:type="dxa"/>
            <w:shd w:val="clear" w:color="auto" w:fill="auto"/>
            <w:noWrap/>
            <w:vAlign w:val="center"/>
          </w:tcPr>
          <w:p>
            <w:pPr>
              <w:pStyle w:val="2001"/>
            </w:pPr>
            <w:r>
              <w:t>2</w:t>
            </w:r>
          </w:p>
        </w:tc>
        <w:tc>
          <w:tcPr>
            <w:tcW w:w="1166" w:type="dxa"/>
            <w:shd w:val="clear" w:color="auto" w:fill="auto"/>
            <w:noWrap/>
            <w:vAlign w:val="center"/>
          </w:tcPr>
          <w:p>
            <w:pPr>
              <w:pStyle w:val="2001"/>
            </w:pPr>
            <w:r>
              <w:t>14.5</w:t>
            </w:r>
          </w:p>
        </w:tc>
        <w:tc>
          <w:tcPr>
            <w:tcW w:w="1602" w:type="dxa"/>
            <w:shd w:val="clear" w:color="auto" w:fill="auto"/>
            <w:noWrap/>
            <w:vAlign w:val="center"/>
          </w:tcPr>
          <w:p>
            <w:pPr>
              <w:pStyle w:val="2001"/>
            </w:pPr>
            <w:r>
              <w:t>18.4</w:t>
            </w:r>
          </w:p>
        </w:tc>
        <w:tc>
          <w:tcPr>
            <w:tcW w:w="1602" w:type="dxa"/>
            <w:shd w:val="clear" w:color="auto" w:fill="auto"/>
            <w:noWrap/>
            <w:vAlign w:val="center"/>
          </w:tcPr>
          <w:p>
            <w:pPr>
              <w:pStyle w:val="2001"/>
            </w:pPr>
            <w:r>
              <w:t>11.9</w:t>
            </w:r>
          </w:p>
        </w:tc>
        <w:tc>
          <w:tcPr>
            <w:tcW w:w="1662" w:type="dxa"/>
            <w:shd w:val="clear" w:color="auto" w:fill="auto"/>
            <w:noWrap/>
            <w:vAlign w:val="center"/>
          </w:tcPr>
          <w:p>
            <w:pPr>
              <w:pStyle w:val="2001"/>
            </w:pPr>
            <w:r>
              <w:t>29.2</w:t>
            </w:r>
          </w:p>
        </w:tc>
        <w:tc>
          <w:tcPr>
            <w:tcW w:w="1866" w:type="dxa"/>
            <w:shd w:val="clear" w:color="auto" w:fill="auto"/>
            <w:noWrap/>
            <w:vAlign w:val="center"/>
          </w:tcPr>
          <w:p>
            <w:pPr>
              <w:pStyle w:val="2001"/>
            </w:pPr>
            <w:r>
              <w:t>2.1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291" w:hRule="atLeast"/>
          <w:jc w:val="center"/>
        </w:trPr>
        <w:tc>
          <w:tcPr>
            <w:tcW w:w="934" w:type="dxa"/>
            <w:shd w:val="clear" w:color="auto" w:fill="auto"/>
            <w:noWrap/>
            <w:vAlign w:val="center"/>
          </w:tcPr>
          <w:p>
            <w:pPr>
              <w:pStyle w:val="2001"/>
            </w:pPr>
            <w:r>
              <w:t>3</w:t>
            </w:r>
          </w:p>
        </w:tc>
        <w:tc>
          <w:tcPr>
            <w:tcW w:w="1166" w:type="dxa"/>
            <w:shd w:val="clear" w:color="auto" w:fill="auto"/>
            <w:noWrap/>
            <w:vAlign w:val="center"/>
          </w:tcPr>
          <w:p>
            <w:pPr>
              <w:pStyle w:val="2001"/>
            </w:pPr>
            <w:r>
              <w:t>18.1</w:t>
            </w:r>
          </w:p>
        </w:tc>
        <w:tc>
          <w:tcPr>
            <w:tcW w:w="1602" w:type="dxa"/>
            <w:shd w:val="clear" w:color="auto" w:fill="auto"/>
            <w:noWrap/>
            <w:vAlign w:val="center"/>
          </w:tcPr>
          <w:p>
            <w:pPr>
              <w:pStyle w:val="2001"/>
            </w:pPr>
            <w:r>
              <w:t>21.8</w:t>
            </w:r>
          </w:p>
        </w:tc>
        <w:tc>
          <w:tcPr>
            <w:tcW w:w="1602" w:type="dxa"/>
            <w:shd w:val="clear" w:color="auto" w:fill="auto"/>
            <w:noWrap/>
            <w:vAlign w:val="center"/>
          </w:tcPr>
          <w:p>
            <w:pPr>
              <w:pStyle w:val="2001"/>
            </w:pPr>
            <w:r>
              <w:t>15.7</w:t>
            </w:r>
          </w:p>
        </w:tc>
        <w:tc>
          <w:tcPr>
            <w:tcW w:w="1662" w:type="dxa"/>
            <w:shd w:val="clear" w:color="auto" w:fill="auto"/>
            <w:noWrap/>
            <w:vAlign w:val="center"/>
          </w:tcPr>
          <w:p>
            <w:pPr>
              <w:pStyle w:val="2001"/>
            </w:pPr>
            <w:r>
              <w:t>31.8</w:t>
            </w:r>
          </w:p>
        </w:tc>
        <w:tc>
          <w:tcPr>
            <w:tcW w:w="1866" w:type="dxa"/>
            <w:shd w:val="clear" w:color="auto" w:fill="auto"/>
            <w:noWrap/>
            <w:vAlign w:val="center"/>
          </w:tcPr>
          <w:p>
            <w:pPr>
              <w:pStyle w:val="2001"/>
            </w:pPr>
            <w:r>
              <w:t>5.6</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291" w:hRule="atLeast"/>
          <w:jc w:val="center"/>
        </w:trPr>
        <w:tc>
          <w:tcPr>
            <w:tcW w:w="934" w:type="dxa"/>
            <w:shd w:val="clear" w:color="auto" w:fill="auto"/>
            <w:noWrap/>
            <w:vAlign w:val="center"/>
          </w:tcPr>
          <w:p>
            <w:pPr>
              <w:pStyle w:val="2001"/>
            </w:pPr>
            <w:r>
              <w:t>4</w:t>
            </w:r>
          </w:p>
        </w:tc>
        <w:tc>
          <w:tcPr>
            <w:tcW w:w="1166" w:type="dxa"/>
            <w:shd w:val="clear" w:color="auto" w:fill="auto"/>
            <w:noWrap/>
            <w:vAlign w:val="center"/>
          </w:tcPr>
          <w:p>
            <w:pPr>
              <w:pStyle w:val="2001"/>
            </w:pPr>
            <w:r>
              <w:t>22.3</w:t>
            </w:r>
          </w:p>
        </w:tc>
        <w:tc>
          <w:tcPr>
            <w:tcW w:w="1602" w:type="dxa"/>
            <w:shd w:val="clear" w:color="auto" w:fill="auto"/>
            <w:noWrap/>
            <w:vAlign w:val="center"/>
          </w:tcPr>
          <w:p>
            <w:pPr>
              <w:pStyle w:val="2001"/>
            </w:pPr>
            <w:r>
              <w:t>26</w:t>
            </w:r>
          </w:p>
        </w:tc>
        <w:tc>
          <w:tcPr>
            <w:tcW w:w="1602" w:type="dxa"/>
            <w:shd w:val="clear" w:color="auto" w:fill="auto"/>
            <w:noWrap/>
            <w:vAlign w:val="center"/>
          </w:tcPr>
          <w:p>
            <w:pPr>
              <w:pStyle w:val="2001"/>
            </w:pPr>
            <w:r>
              <w:t>19.9</w:t>
            </w:r>
          </w:p>
        </w:tc>
        <w:tc>
          <w:tcPr>
            <w:tcW w:w="1662" w:type="dxa"/>
            <w:shd w:val="clear" w:color="auto" w:fill="auto"/>
            <w:noWrap/>
            <w:vAlign w:val="center"/>
          </w:tcPr>
          <w:p>
            <w:pPr>
              <w:pStyle w:val="2001"/>
            </w:pPr>
            <w:r>
              <w:t>32.7</w:t>
            </w:r>
          </w:p>
        </w:tc>
        <w:tc>
          <w:tcPr>
            <w:tcW w:w="1866" w:type="dxa"/>
            <w:shd w:val="clear" w:color="auto" w:fill="auto"/>
            <w:noWrap/>
            <w:vAlign w:val="center"/>
          </w:tcPr>
          <w:p>
            <w:pPr>
              <w:pStyle w:val="2001"/>
            </w:pPr>
            <w:r>
              <w:t>9.6</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291" w:hRule="atLeast"/>
          <w:jc w:val="center"/>
        </w:trPr>
        <w:tc>
          <w:tcPr>
            <w:tcW w:w="934" w:type="dxa"/>
            <w:shd w:val="clear" w:color="auto" w:fill="auto"/>
            <w:noWrap/>
            <w:vAlign w:val="center"/>
          </w:tcPr>
          <w:p>
            <w:pPr>
              <w:pStyle w:val="2001"/>
            </w:pPr>
            <w:r>
              <w:t>5</w:t>
            </w:r>
          </w:p>
        </w:tc>
        <w:tc>
          <w:tcPr>
            <w:tcW w:w="1166" w:type="dxa"/>
            <w:shd w:val="clear" w:color="auto" w:fill="auto"/>
            <w:noWrap/>
            <w:vAlign w:val="center"/>
          </w:tcPr>
          <w:p>
            <w:pPr>
              <w:pStyle w:val="2001"/>
            </w:pPr>
            <w:r>
              <w:t>26.3</w:t>
            </w:r>
          </w:p>
        </w:tc>
        <w:tc>
          <w:tcPr>
            <w:tcW w:w="1602" w:type="dxa"/>
            <w:shd w:val="clear" w:color="auto" w:fill="auto"/>
            <w:noWrap/>
            <w:vAlign w:val="center"/>
          </w:tcPr>
          <w:p>
            <w:pPr>
              <w:pStyle w:val="2001"/>
            </w:pPr>
            <w:r>
              <w:t>30</w:t>
            </w:r>
          </w:p>
        </w:tc>
        <w:tc>
          <w:tcPr>
            <w:tcW w:w="1602" w:type="dxa"/>
            <w:shd w:val="clear" w:color="auto" w:fill="auto"/>
            <w:noWrap/>
            <w:vAlign w:val="center"/>
          </w:tcPr>
          <w:p>
            <w:pPr>
              <w:pStyle w:val="2001"/>
            </w:pPr>
            <w:r>
              <w:t>23.7</w:t>
            </w:r>
          </w:p>
        </w:tc>
        <w:tc>
          <w:tcPr>
            <w:tcW w:w="1662" w:type="dxa"/>
            <w:shd w:val="clear" w:color="auto" w:fill="auto"/>
            <w:noWrap/>
            <w:vAlign w:val="center"/>
          </w:tcPr>
          <w:p>
            <w:pPr>
              <w:pStyle w:val="2001"/>
            </w:pPr>
            <w:r>
              <w:t>36.5</w:t>
            </w:r>
          </w:p>
        </w:tc>
        <w:tc>
          <w:tcPr>
            <w:tcW w:w="1866" w:type="dxa"/>
            <w:shd w:val="clear" w:color="auto" w:fill="auto"/>
            <w:noWrap/>
            <w:vAlign w:val="center"/>
          </w:tcPr>
          <w:p>
            <w:pPr>
              <w:pStyle w:val="2001"/>
            </w:pPr>
            <w:r>
              <w:t>15.6</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291" w:hRule="atLeast"/>
          <w:jc w:val="center"/>
        </w:trPr>
        <w:tc>
          <w:tcPr>
            <w:tcW w:w="934" w:type="dxa"/>
            <w:shd w:val="clear" w:color="auto" w:fill="auto"/>
            <w:noWrap/>
            <w:vAlign w:val="center"/>
          </w:tcPr>
          <w:p>
            <w:pPr>
              <w:pStyle w:val="2001"/>
            </w:pPr>
            <w:r>
              <w:t>6</w:t>
            </w:r>
          </w:p>
        </w:tc>
        <w:tc>
          <w:tcPr>
            <w:tcW w:w="1166" w:type="dxa"/>
            <w:shd w:val="clear" w:color="auto" w:fill="auto"/>
            <w:noWrap/>
            <w:vAlign w:val="center"/>
          </w:tcPr>
          <w:p>
            <w:pPr>
              <w:pStyle w:val="2001"/>
            </w:pPr>
            <w:r>
              <w:t>27.7</w:t>
            </w:r>
          </w:p>
        </w:tc>
        <w:tc>
          <w:tcPr>
            <w:tcW w:w="1602" w:type="dxa"/>
            <w:shd w:val="clear" w:color="auto" w:fill="auto"/>
            <w:noWrap/>
            <w:vAlign w:val="center"/>
          </w:tcPr>
          <w:p>
            <w:pPr>
              <w:pStyle w:val="2001"/>
            </w:pPr>
            <w:r>
              <w:t>31.1</w:t>
            </w:r>
          </w:p>
        </w:tc>
        <w:tc>
          <w:tcPr>
            <w:tcW w:w="1602" w:type="dxa"/>
            <w:shd w:val="clear" w:color="auto" w:fill="auto"/>
            <w:noWrap/>
            <w:vAlign w:val="center"/>
          </w:tcPr>
          <w:p>
            <w:pPr>
              <w:pStyle w:val="2001"/>
            </w:pPr>
            <w:r>
              <w:t>25.1</w:t>
            </w:r>
          </w:p>
        </w:tc>
        <w:tc>
          <w:tcPr>
            <w:tcW w:w="1662" w:type="dxa"/>
            <w:shd w:val="clear" w:color="auto" w:fill="auto"/>
            <w:noWrap/>
            <w:vAlign w:val="center"/>
          </w:tcPr>
          <w:p>
            <w:pPr>
              <w:pStyle w:val="2001"/>
            </w:pPr>
            <w:r>
              <w:t>37</w:t>
            </w:r>
          </w:p>
        </w:tc>
        <w:tc>
          <w:tcPr>
            <w:tcW w:w="1866" w:type="dxa"/>
            <w:shd w:val="clear" w:color="auto" w:fill="auto"/>
            <w:noWrap/>
            <w:vAlign w:val="center"/>
          </w:tcPr>
          <w:p>
            <w:pPr>
              <w:pStyle w:val="2001"/>
            </w:pPr>
            <w:r>
              <w:t>20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291" w:hRule="atLeast"/>
          <w:jc w:val="center"/>
        </w:trPr>
        <w:tc>
          <w:tcPr>
            <w:tcW w:w="934" w:type="dxa"/>
            <w:shd w:val="clear" w:color="auto" w:fill="auto"/>
            <w:noWrap/>
            <w:vAlign w:val="center"/>
          </w:tcPr>
          <w:p>
            <w:pPr>
              <w:pStyle w:val="2001"/>
            </w:pPr>
            <w:r>
              <w:t>7</w:t>
            </w:r>
          </w:p>
        </w:tc>
        <w:tc>
          <w:tcPr>
            <w:tcW w:w="1166" w:type="dxa"/>
            <w:shd w:val="clear" w:color="auto" w:fill="auto"/>
            <w:noWrap/>
            <w:vAlign w:val="center"/>
          </w:tcPr>
          <w:p>
            <w:pPr>
              <w:pStyle w:val="2001"/>
            </w:pPr>
            <w:r>
              <w:t>28.4</w:t>
            </w:r>
          </w:p>
        </w:tc>
        <w:tc>
          <w:tcPr>
            <w:tcW w:w="1602" w:type="dxa"/>
            <w:shd w:val="clear" w:color="auto" w:fill="auto"/>
            <w:noWrap/>
            <w:vAlign w:val="center"/>
          </w:tcPr>
          <w:p>
            <w:pPr>
              <w:pStyle w:val="2001"/>
            </w:pPr>
            <w:r>
              <w:t>31.9</w:t>
            </w:r>
          </w:p>
        </w:tc>
        <w:tc>
          <w:tcPr>
            <w:tcW w:w="1602" w:type="dxa"/>
            <w:shd w:val="clear" w:color="auto" w:fill="auto"/>
            <w:noWrap/>
            <w:vAlign w:val="center"/>
          </w:tcPr>
          <w:p>
            <w:pPr>
              <w:pStyle w:val="2001"/>
            </w:pPr>
            <w:r>
              <w:t>25.6</w:t>
            </w:r>
          </w:p>
        </w:tc>
        <w:tc>
          <w:tcPr>
            <w:tcW w:w="1662" w:type="dxa"/>
            <w:shd w:val="clear" w:color="auto" w:fill="auto"/>
            <w:noWrap/>
            <w:vAlign w:val="center"/>
          </w:tcPr>
          <w:p>
            <w:pPr>
              <w:pStyle w:val="2001"/>
            </w:pPr>
            <w:r>
              <w:t>37.7</w:t>
            </w:r>
          </w:p>
        </w:tc>
        <w:tc>
          <w:tcPr>
            <w:tcW w:w="1866" w:type="dxa"/>
            <w:shd w:val="clear" w:color="auto" w:fill="auto"/>
            <w:noWrap/>
            <w:vAlign w:val="center"/>
          </w:tcPr>
          <w:p>
            <w:pPr>
              <w:pStyle w:val="2001"/>
            </w:pPr>
            <w:r>
              <w:t>21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291" w:hRule="atLeast"/>
          <w:jc w:val="center"/>
        </w:trPr>
        <w:tc>
          <w:tcPr>
            <w:tcW w:w="934" w:type="dxa"/>
            <w:shd w:val="clear" w:color="auto" w:fill="auto"/>
            <w:noWrap/>
            <w:vAlign w:val="center"/>
          </w:tcPr>
          <w:p>
            <w:pPr>
              <w:pStyle w:val="2001"/>
            </w:pPr>
            <w:r>
              <w:t>8</w:t>
            </w:r>
          </w:p>
        </w:tc>
        <w:tc>
          <w:tcPr>
            <w:tcW w:w="1166" w:type="dxa"/>
            <w:shd w:val="clear" w:color="auto" w:fill="auto"/>
            <w:noWrap/>
            <w:vAlign w:val="center"/>
          </w:tcPr>
          <w:p>
            <w:pPr>
              <w:pStyle w:val="2001"/>
            </w:pPr>
            <w:r>
              <w:t>27.9</w:t>
            </w:r>
          </w:p>
        </w:tc>
        <w:tc>
          <w:tcPr>
            <w:tcW w:w="1602" w:type="dxa"/>
            <w:shd w:val="clear" w:color="auto" w:fill="auto"/>
            <w:noWrap/>
            <w:vAlign w:val="center"/>
          </w:tcPr>
          <w:p>
            <w:pPr>
              <w:pStyle w:val="2001"/>
            </w:pPr>
            <w:r>
              <w:t>31.6</w:t>
            </w:r>
          </w:p>
        </w:tc>
        <w:tc>
          <w:tcPr>
            <w:tcW w:w="1602" w:type="dxa"/>
            <w:shd w:val="clear" w:color="auto" w:fill="auto"/>
            <w:noWrap/>
            <w:vAlign w:val="center"/>
          </w:tcPr>
          <w:p>
            <w:pPr>
              <w:pStyle w:val="2001"/>
            </w:pPr>
            <w:r>
              <w:t>25.2</w:t>
            </w:r>
          </w:p>
        </w:tc>
        <w:tc>
          <w:tcPr>
            <w:tcW w:w="1662" w:type="dxa"/>
            <w:shd w:val="clear" w:color="auto" w:fill="auto"/>
            <w:noWrap/>
            <w:vAlign w:val="center"/>
          </w:tcPr>
          <w:p>
            <w:pPr>
              <w:pStyle w:val="2001"/>
            </w:pPr>
            <w:r>
              <w:t>37.5</w:t>
            </w:r>
          </w:p>
        </w:tc>
        <w:tc>
          <w:tcPr>
            <w:tcW w:w="1866" w:type="dxa"/>
            <w:shd w:val="clear" w:color="auto" w:fill="auto"/>
            <w:noWrap/>
            <w:vAlign w:val="center"/>
          </w:tcPr>
          <w:p>
            <w:pPr>
              <w:pStyle w:val="2001"/>
            </w:pPr>
            <w:r>
              <w:t>20.9</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291" w:hRule="atLeast"/>
          <w:jc w:val="center"/>
        </w:trPr>
        <w:tc>
          <w:tcPr>
            <w:tcW w:w="934" w:type="dxa"/>
            <w:shd w:val="clear" w:color="auto" w:fill="auto"/>
            <w:noWrap/>
            <w:vAlign w:val="center"/>
          </w:tcPr>
          <w:p>
            <w:pPr>
              <w:pStyle w:val="2001"/>
            </w:pPr>
            <w:r>
              <w:t>9</w:t>
            </w:r>
          </w:p>
        </w:tc>
        <w:tc>
          <w:tcPr>
            <w:tcW w:w="1166" w:type="dxa"/>
            <w:shd w:val="clear" w:color="auto" w:fill="auto"/>
            <w:noWrap/>
            <w:vAlign w:val="center"/>
          </w:tcPr>
          <w:p>
            <w:pPr>
              <w:pStyle w:val="2001"/>
            </w:pPr>
            <w:r>
              <w:t>26.8</w:t>
            </w:r>
          </w:p>
        </w:tc>
        <w:tc>
          <w:tcPr>
            <w:tcW w:w="1602" w:type="dxa"/>
            <w:shd w:val="clear" w:color="auto" w:fill="auto"/>
            <w:noWrap/>
            <w:vAlign w:val="center"/>
          </w:tcPr>
          <w:p>
            <w:pPr>
              <w:pStyle w:val="2001"/>
            </w:pPr>
            <w:r>
              <w:t>31.2</w:t>
            </w:r>
          </w:p>
        </w:tc>
        <w:tc>
          <w:tcPr>
            <w:tcW w:w="1602" w:type="dxa"/>
            <w:shd w:val="clear" w:color="auto" w:fill="auto"/>
            <w:noWrap/>
            <w:vAlign w:val="center"/>
          </w:tcPr>
          <w:p>
            <w:pPr>
              <w:pStyle w:val="2001"/>
            </w:pPr>
            <w:r>
              <w:t>24</w:t>
            </w:r>
          </w:p>
        </w:tc>
        <w:tc>
          <w:tcPr>
            <w:tcW w:w="1662" w:type="dxa"/>
            <w:shd w:val="clear" w:color="auto" w:fill="auto"/>
            <w:noWrap/>
            <w:vAlign w:val="center"/>
          </w:tcPr>
          <w:p>
            <w:pPr>
              <w:pStyle w:val="2001"/>
            </w:pPr>
            <w:r>
              <w:t>37</w:t>
            </w:r>
          </w:p>
        </w:tc>
        <w:tc>
          <w:tcPr>
            <w:tcW w:w="1866" w:type="dxa"/>
            <w:shd w:val="clear" w:color="auto" w:fill="auto"/>
            <w:noWrap/>
            <w:vAlign w:val="center"/>
          </w:tcPr>
          <w:p>
            <w:pPr>
              <w:pStyle w:val="2001"/>
            </w:pPr>
            <w:r>
              <w:t>15.7</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291" w:hRule="atLeast"/>
          <w:jc w:val="center"/>
        </w:trPr>
        <w:tc>
          <w:tcPr>
            <w:tcW w:w="934" w:type="dxa"/>
            <w:shd w:val="clear" w:color="auto" w:fill="auto"/>
            <w:noWrap/>
            <w:vAlign w:val="center"/>
          </w:tcPr>
          <w:p>
            <w:pPr>
              <w:pStyle w:val="2001"/>
            </w:pPr>
            <w:r>
              <w:t>10</w:t>
            </w:r>
          </w:p>
        </w:tc>
        <w:tc>
          <w:tcPr>
            <w:tcW w:w="1166" w:type="dxa"/>
            <w:shd w:val="clear" w:color="auto" w:fill="auto"/>
            <w:noWrap/>
            <w:vAlign w:val="center"/>
          </w:tcPr>
          <w:p>
            <w:pPr>
              <w:pStyle w:val="2001"/>
            </w:pPr>
            <w:r>
              <w:t>23.7</w:t>
            </w:r>
          </w:p>
        </w:tc>
        <w:tc>
          <w:tcPr>
            <w:tcW w:w="1602" w:type="dxa"/>
            <w:shd w:val="clear" w:color="auto" w:fill="auto"/>
            <w:noWrap/>
            <w:vAlign w:val="center"/>
          </w:tcPr>
          <w:p>
            <w:pPr>
              <w:pStyle w:val="2001"/>
            </w:pPr>
            <w:r>
              <w:t>28.6</w:t>
            </w:r>
          </w:p>
        </w:tc>
        <w:tc>
          <w:tcPr>
            <w:tcW w:w="1602" w:type="dxa"/>
            <w:shd w:val="clear" w:color="auto" w:fill="auto"/>
            <w:noWrap/>
            <w:vAlign w:val="center"/>
          </w:tcPr>
          <w:p>
            <w:pPr>
              <w:pStyle w:val="2001"/>
            </w:pPr>
            <w:r>
              <w:t>20.5</w:t>
            </w:r>
          </w:p>
        </w:tc>
        <w:tc>
          <w:tcPr>
            <w:tcW w:w="1662" w:type="dxa"/>
            <w:shd w:val="clear" w:color="auto" w:fill="auto"/>
            <w:noWrap/>
            <w:vAlign w:val="center"/>
          </w:tcPr>
          <w:p>
            <w:pPr>
              <w:pStyle w:val="2001"/>
            </w:pPr>
            <w:r>
              <w:t>24.3</w:t>
            </w:r>
          </w:p>
        </w:tc>
        <w:tc>
          <w:tcPr>
            <w:tcW w:w="1866" w:type="dxa"/>
            <w:shd w:val="clear" w:color="auto" w:fill="auto"/>
            <w:noWrap/>
            <w:vAlign w:val="center"/>
          </w:tcPr>
          <w:p>
            <w:pPr>
              <w:pStyle w:val="2001"/>
            </w:pPr>
            <w:r>
              <w:t>10.2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291" w:hRule="atLeast"/>
          <w:jc w:val="center"/>
        </w:trPr>
        <w:tc>
          <w:tcPr>
            <w:tcW w:w="934" w:type="dxa"/>
            <w:shd w:val="clear" w:color="auto" w:fill="auto"/>
            <w:noWrap/>
            <w:vAlign w:val="center"/>
          </w:tcPr>
          <w:p>
            <w:pPr>
              <w:pStyle w:val="2001"/>
            </w:pPr>
            <w:r>
              <w:t>11</w:t>
            </w:r>
          </w:p>
        </w:tc>
        <w:tc>
          <w:tcPr>
            <w:tcW w:w="1166" w:type="dxa"/>
            <w:shd w:val="clear" w:color="auto" w:fill="auto"/>
            <w:noWrap/>
            <w:vAlign w:val="center"/>
          </w:tcPr>
          <w:p>
            <w:pPr>
              <w:pStyle w:val="2001"/>
            </w:pPr>
            <w:r>
              <w:t>19.3</w:t>
            </w:r>
          </w:p>
        </w:tc>
        <w:tc>
          <w:tcPr>
            <w:tcW w:w="1602" w:type="dxa"/>
            <w:shd w:val="clear" w:color="auto" w:fill="auto"/>
            <w:noWrap/>
            <w:vAlign w:val="center"/>
          </w:tcPr>
          <w:p>
            <w:pPr>
              <w:pStyle w:val="2001"/>
            </w:pPr>
            <w:r>
              <w:t>24.6</w:t>
            </w:r>
          </w:p>
        </w:tc>
        <w:tc>
          <w:tcPr>
            <w:tcW w:w="1602" w:type="dxa"/>
            <w:shd w:val="clear" w:color="auto" w:fill="auto"/>
            <w:noWrap/>
            <w:vAlign w:val="center"/>
          </w:tcPr>
          <w:p>
            <w:pPr>
              <w:pStyle w:val="2001"/>
            </w:pPr>
            <w:r>
              <w:t>15.8</w:t>
            </w:r>
          </w:p>
        </w:tc>
        <w:tc>
          <w:tcPr>
            <w:tcW w:w="1662" w:type="dxa"/>
            <w:shd w:val="clear" w:color="auto" w:fill="auto"/>
            <w:noWrap/>
            <w:vAlign w:val="center"/>
          </w:tcPr>
          <w:p>
            <w:pPr>
              <w:pStyle w:val="2001"/>
            </w:pPr>
            <w:r>
              <w:t>32.8</w:t>
            </w:r>
          </w:p>
        </w:tc>
        <w:tc>
          <w:tcPr>
            <w:tcW w:w="1866" w:type="dxa"/>
            <w:shd w:val="clear" w:color="auto" w:fill="auto"/>
            <w:noWrap/>
            <w:vAlign w:val="center"/>
          </w:tcPr>
          <w:p>
            <w:pPr>
              <w:pStyle w:val="2001"/>
            </w:pPr>
            <w:r>
              <w:t>3.9</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291" w:hRule="atLeast"/>
          <w:jc w:val="center"/>
        </w:trPr>
        <w:tc>
          <w:tcPr>
            <w:tcW w:w="934" w:type="dxa"/>
            <w:shd w:val="clear" w:color="auto" w:fill="auto"/>
            <w:noWrap/>
            <w:vAlign w:val="center"/>
          </w:tcPr>
          <w:p>
            <w:pPr>
              <w:pStyle w:val="2001"/>
            </w:pPr>
            <w:r>
              <w:t>12</w:t>
            </w:r>
          </w:p>
        </w:tc>
        <w:tc>
          <w:tcPr>
            <w:tcW w:w="1166" w:type="dxa"/>
            <w:shd w:val="clear" w:color="auto" w:fill="auto"/>
            <w:noWrap/>
            <w:vAlign w:val="center"/>
          </w:tcPr>
          <w:p>
            <w:pPr>
              <w:pStyle w:val="2001"/>
            </w:pPr>
            <w:r>
              <w:t>15.6</w:t>
            </w:r>
          </w:p>
        </w:tc>
        <w:tc>
          <w:tcPr>
            <w:tcW w:w="1602" w:type="dxa"/>
            <w:shd w:val="clear" w:color="auto" w:fill="auto"/>
            <w:noWrap/>
            <w:vAlign w:val="center"/>
          </w:tcPr>
          <w:p>
            <w:pPr>
              <w:pStyle w:val="2001"/>
            </w:pPr>
            <w:r>
              <w:t>20.7</w:t>
            </w:r>
          </w:p>
        </w:tc>
        <w:tc>
          <w:tcPr>
            <w:tcW w:w="1602" w:type="dxa"/>
            <w:shd w:val="clear" w:color="auto" w:fill="auto"/>
            <w:noWrap/>
            <w:vAlign w:val="center"/>
          </w:tcPr>
          <w:p>
            <w:pPr>
              <w:pStyle w:val="2001"/>
            </w:pPr>
            <w:r>
              <w:t>12.1</w:t>
            </w:r>
          </w:p>
        </w:tc>
        <w:tc>
          <w:tcPr>
            <w:tcW w:w="1662" w:type="dxa"/>
            <w:shd w:val="clear" w:color="auto" w:fill="auto"/>
            <w:noWrap/>
            <w:vAlign w:val="center"/>
          </w:tcPr>
          <w:p>
            <w:pPr>
              <w:pStyle w:val="2001"/>
            </w:pPr>
            <w:r>
              <w:t>31.5</w:t>
            </w:r>
          </w:p>
        </w:tc>
        <w:tc>
          <w:tcPr>
            <w:tcW w:w="1866" w:type="dxa"/>
            <w:shd w:val="clear" w:color="auto" w:fill="auto"/>
            <w:noWrap/>
            <w:vAlign w:val="center"/>
          </w:tcPr>
          <w:p>
            <w:pPr>
              <w:pStyle w:val="2001"/>
            </w:pPr>
            <w:r>
              <w:t>1.9</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291" w:hRule="atLeast"/>
          <w:jc w:val="center"/>
        </w:trPr>
        <w:tc>
          <w:tcPr>
            <w:tcW w:w="934" w:type="dxa"/>
            <w:shd w:val="clear" w:color="auto" w:fill="auto"/>
            <w:noWrap/>
            <w:vAlign w:val="center"/>
          </w:tcPr>
          <w:p>
            <w:pPr>
              <w:pStyle w:val="2001"/>
            </w:pPr>
            <w:r>
              <w:t>年平均</w:t>
            </w:r>
          </w:p>
        </w:tc>
        <w:tc>
          <w:tcPr>
            <w:tcW w:w="1166" w:type="dxa"/>
            <w:shd w:val="clear" w:color="auto" w:fill="auto"/>
            <w:noWrap/>
            <w:vAlign w:val="center"/>
          </w:tcPr>
          <w:p>
            <w:pPr>
              <w:pStyle w:val="2001"/>
            </w:pPr>
            <w:r>
              <w:t>22.1</w:t>
            </w:r>
          </w:p>
        </w:tc>
        <w:tc>
          <w:tcPr>
            <w:tcW w:w="1602" w:type="dxa"/>
            <w:shd w:val="clear" w:color="auto" w:fill="auto"/>
            <w:noWrap/>
            <w:vAlign w:val="center"/>
          </w:tcPr>
          <w:p>
            <w:pPr>
              <w:pStyle w:val="2001"/>
            </w:pPr>
            <w:r>
              <w:t>26.2</w:t>
            </w:r>
          </w:p>
        </w:tc>
        <w:tc>
          <w:tcPr>
            <w:tcW w:w="1602" w:type="dxa"/>
            <w:shd w:val="clear" w:color="auto" w:fill="auto"/>
            <w:noWrap/>
            <w:vAlign w:val="center"/>
          </w:tcPr>
          <w:p>
            <w:pPr>
              <w:pStyle w:val="2001"/>
            </w:pPr>
            <w:r>
              <w:t>19.2</w:t>
            </w:r>
          </w:p>
        </w:tc>
        <w:tc>
          <w:tcPr>
            <w:tcW w:w="1662" w:type="dxa"/>
            <w:shd w:val="clear" w:color="auto" w:fill="auto"/>
            <w:noWrap/>
            <w:vAlign w:val="center"/>
          </w:tcPr>
          <w:p>
            <w:pPr>
              <w:pStyle w:val="2001"/>
            </w:pPr>
            <w:r>
              <w:t>－</w:t>
            </w:r>
          </w:p>
        </w:tc>
        <w:tc>
          <w:tcPr>
            <w:tcW w:w="1866" w:type="dxa"/>
            <w:shd w:val="clear" w:color="auto" w:fill="auto"/>
            <w:noWrap/>
            <w:vAlign w:val="center"/>
          </w:tcPr>
          <w:p>
            <w:pPr>
              <w:pStyle w:val="2001"/>
            </w:pPr>
            <w: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291" w:hRule="atLeast"/>
          <w:jc w:val="center"/>
        </w:trPr>
        <w:tc>
          <w:tcPr>
            <w:tcW w:w="934" w:type="dxa"/>
            <w:shd w:val="clear" w:color="auto" w:fill="auto"/>
            <w:noWrap/>
            <w:vAlign w:val="center"/>
          </w:tcPr>
          <w:p>
            <w:pPr>
              <w:pStyle w:val="2001"/>
            </w:pPr>
            <w:r>
              <w:t>年极值</w:t>
            </w:r>
          </w:p>
        </w:tc>
        <w:tc>
          <w:tcPr>
            <w:tcW w:w="1166" w:type="dxa"/>
            <w:shd w:val="clear" w:color="auto" w:fill="auto"/>
            <w:noWrap/>
            <w:vAlign w:val="center"/>
          </w:tcPr>
          <w:p>
            <w:pPr>
              <w:pStyle w:val="2001"/>
            </w:pPr>
            <w:r>
              <w:t>－</w:t>
            </w:r>
          </w:p>
        </w:tc>
        <w:tc>
          <w:tcPr>
            <w:tcW w:w="1602" w:type="dxa"/>
            <w:shd w:val="clear" w:color="auto" w:fill="auto"/>
            <w:noWrap/>
            <w:vAlign w:val="center"/>
          </w:tcPr>
          <w:p>
            <w:pPr>
              <w:pStyle w:val="2001"/>
            </w:pPr>
            <w:r>
              <w:t>－</w:t>
            </w:r>
          </w:p>
        </w:tc>
        <w:tc>
          <w:tcPr>
            <w:tcW w:w="1602" w:type="dxa"/>
            <w:shd w:val="clear" w:color="auto" w:fill="auto"/>
            <w:noWrap/>
            <w:vAlign w:val="center"/>
          </w:tcPr>
          <w:p>
            <w:pPr>
              <w:pStyle w:val="2001"/>
            </w:pPr>
            <w:r>
              <w:t>－</w:t>
            </w:r>
          </w:p>
        </w:tc>
        <w:tc>
          <w:tcPr>
            <w:tcW w:w="1662" w:type="dxa"/>
            <w:shd w:val="clear" w:color="auto" w:fill="auto"/>
            <w:noWrap/>
            <w:vAlign w:val="center"/>
          </w:tcPr>
          <w:p>
            <w:pPr>
              <w:pStyle w:val="2001"/>
            </w:pPr>
            <w:r>
              <w:t>37.7</w:t>
            </w:r>
          </w:p>
        </w:tc>
        <w:tc>
          <w:tcPr>
            <w:tcW w:w="1866" w:type="dxa"/>
            <w:shd w:val="clear" w:color="auto" w:fill="auto"/>
            <w:noWrap/>
            <w:vAlign w:val="center"/>
          </w:tcPr>
          <w:p>
            <w:pPr>
              <w:pStyle w:val="2001"/>
            </w:pPr>
            <w:r>
              <w:t>-1.8</w:t>
            </w:r>
          </w:p>
        </w:tc>
      </w:tr>
    </w:tbl>
    <w:p>
      <w:pPr>
        <w:pStyle w:val="6"/>
        <w:rPr>
          <w:color w:val="000000" w:themeColor="text1"/>
          <w14:textFill>
            <w14:solidFill>
              <w14:schemeClr w14:val="tx1"/>
            </w14:solidFill>
          </w14:textFill>
        </w:rPr>
      </w:pPr>
      <w:r>
        <w:rPr>
          <w:color w:val="000000" w:themeColor="text1"/>
          <w14:textFill>
            <w14:solidFill>
              <w14:schemeClr w14:val="tx1"/>
            </w14:solidFill>
          </w14:textFill>
        </w:rPr>
        <w:t>降水</w:t>
      </w:r>
    </w:p>
    <w:p>
      <w:pPr>
        <w:pStyle w:val="283"/>
        <w:ind w:firstLine="494"/>
        <w:rPr>
          <w:color w:val="000000" w:themeColor="text1"/>
          <w14:textFill>
            <w14:solidFill>
              <w14:schemeClr w14:val="tx1"/>
            </w14:solidFill>
          </w14:textFill>
        </w:rPr>
      </w:pPr>
      <w:r>
        <w:rPr>
          <w:color w:val="000000" w:themeColor="text1"/>
          <w14:textFill>
            <w14:solidFill>
              <w14:schemeClr w14:val="tx1"/>
            </w14:solidFill>
          </w14:textFill>
        </w:rPr>
        <w:t>区域降水主要集中在6～9月，4个月降水量占全年降水量的66.7%，而11月至次年3月期间，降水量仅占降水量的11.3%，以8月降水量为最多，达449.5mm, 占年降水量的20.1%；</w:t>
      </w:r>
    </w:p>
    <w:p>
      <w:pPr>
        <w:pStyle w:val="283"/>
        <w:ind w:firstLine="494"/>
        <w:rPr>
          <w:color w:val="000000" w:themeColor="text1"/>
          <w14:textFill>
            <w14:solidFill>
              <w14:schemeClr w14:val="tx1"/>
            </w14:solidFill>
          </w14:textFill>
        </w:rPr>
      </w:pPr>
      <w:r>
        <w:rPr>
          <w:color w:val="000000" w:themeColor="text1"/>
          <w14:textFill>
            <w14:solidFill>
              <w14:schemeClr w14:val="tx1"/>
            </w14:solidFill>
          </w14:textFill>
        </w:rPr>
        <w:t>多年平均降水量：2227.3mm；</w:t>
      </w:r>
    </w:p>
    <w:p>
      <w:pPr>
        <w:pStyle w:val="283"/>
        <w:ind w:firstLine="494"/>
        <w:rPr>
          <w:color w:val="000000" w:themeColor="text1"/>
          <w14:textFill>
            <w14:solidFill>
              <w14:schemeClr w14:val="tx1"/>
            </w14:solidFill>
          </w14:textFill>
        </w:rPr>
      </w:pPr>
      <w:r>
        <w:rPr>
          <w:color w:val="000000" w:themeColor="text1"/>
          <w14:textFill>
            <w14:solidFill>
              <w14:schemeClr w14:val="tx1"/>
            </w14:solidFill>
          </w14:textFill>
        </w:rPr>
        <w:t>年最大降水量：2961.5mm（1976年）；</w:t>
      </w:r>
    </w:p>
    <w:p>
      <w:pPr>
        <w:pStyle w:val="283"/>
        <w:ind w:firstLine="494"/>
        <w:rPr>
          <w:color w:val="000000" w:themeColor="text1"/>
          <w14:textFill>
            <w14:solidFill>
              <w14:schemeClr w14:val="tx1"/>
            </w14:solidFill>
          </w14:textFill>
        </w:rPr>
      </w:pPr>
      <w:r>
        <w:rPr>
          <w:color w:val="000000" w:themeColor="text1"/>
          <w14:textFill>
            <w14:solidFill>
              <w14:schemeClr w14:val="tx1"/>
            </w14:solidFill>
          </w14:textFill>
        </w:rPr>
        <w:t>年最小降水量：1426.0mm（1977年）；</w:t>
      </w:r>
    </w:p>
    <w:p>
      <w:pPr>
        <w:pStyle w:val="283"/>
        <w:ind w:firstLine="494"/>
        <w:rPr>
          <w:color w:val="000000" w:themeColor="text1"/>
          <w14:textFill>
            <w14:solidFill>
              <w14:schemeClr w14:val="tx1"/>
            </w14:solidFill>
          </w14:textFill>
        </w:rPr>
      </w:pPr>
      <w:r>
        <w:rPr>
          <w:color w:val="000000" w:themeColor="text1"/>
          <w14:textFill>
            <w14:solidFill>
              <w14:schemeClr w14:val="tx1"/>
            </w14:solidFill>
          </w14:textFill>
        </w:rPr>
        <w:t>日最大降水量：359.9mm（1971年9月29日）；</w:t>
      </w:r>
    </w:p>
    <w:p>
      <w:pPr>
        <w:pStyle w:val="283"/>
        <w:ind w:firstLine="494"/>
        <w:rPr>
          <w:color w:val="000000" w:themeColor="text1"/>
          <w14:textFill>
            <w14:solidFill>
              <w14:schemeClr w14:val="tx1"/>
            </w14:solidFill>
          </w14:textFill>
        </w:rPr>
      </w:pPr>
      <w:r>
        <w:rPr>
          <w:color w:val="000000" w:themeColor="text1"/>
          <w14:textFill>
            <w14:solidFill>
              <w14:schemeClr w14:val="tx1"/>
            </w14:solidFill>
          </w14:textFill>
        </w:rPr>
        <w:t>1小时最大降水量：85.1mm（1927年5月16日15：30～16：30）；</w:t>
      </w:r>
    </w:p>
    <w:p>
      <w:pPr>
        <w:pStyle w:val="283"/>
        <w:ind w:firstLine="494"/>
        <w:rPr>
          <w:color w:val="000000" w:themeColor="text1"/>
          <w14:textFill>
            <w14:solidFill>
              <w14:schemeClr w14:val="tx1"/>
            </w14:solidFill>
          </w14:textFill>
        </w:rPr>
      </w:pPr>
      <w:r>
        <w:rPr>
          <w:color w:val="000000" w:themeColor="text1"/>
          <w14:textFill>
            <w14:solidFill>
              <w14:schemeClr w14:val="tx1"/>
            </w14:solidFill>
          </w14:textFill>
        </w:rPr>
        <w:t>日降水量≥25mm：年平均26日。</w:t>
      </w:r>
    </w:p>
    <w:p>
      <w:pPr>
        <w:pStyle w:val="6"/>
        <w:rPr>
          <w:color w:val="000000" w:themeColor="text1"/>
          <w14:textFill>
            <w14:solidFill>
              <w14:schemeClr w14:val="tx1"/>
            </w14:solidFill>
          </w14:textFill>
        </w:rPr>
      </w:pPr>
      <w:r>
        <w:rPr>
          <w:color w:val="000000" w:themeColor="text1"/>
          <w14:textFill>
            <w14:solidFill>
              <w14:schemeClr w14:val="tx1"/>
            </w14:solidFill>
          </w14:textFill>
        </w:rPr>
        <w:t>风况</w:t>
      </w:r>
    </w:p>
    <w:p>
      <w:pPr>
        <w:pStyle w:val="283"/>
        <w:ind w:firstLine="494"/>
        <w:rPr>
          <w:color w:val="000000" w:themeColor="text1"/>
          <w14:textFill>
            <w14:solidFill>
              <w14:schemeClr w14:val="tx1"/>
            </w14:solidFill>
          </w14:textFill>
        </w:rPr>
      </w:pPr>
      <w:r>
        <w:rPr>
          <w:color w:val="000000" w:themeColor="text1"/>
          <w14:textFill>
            <w14:solidFill>
              <w14:schemeClr w14:val="tx1"/>
            </w14:solidFill>
          </w14:textFill>
        </w:rPr>
        <w:t>钦州市风况描述如下：</w:t>
      </w:r>
    </w:p>
    <w:p>
      <w:pPr>
        <w:pStyle w:val="283"/>
        <w:ind w:firstLine="494"/>
        <w:rPr>
          <w:color w:val="000000" w:themeColor="text1"/>
          <w14:textFill>
            <w14:solidFill>
              <w14:schemeClr w14:val="tx1"/>
            </w14:solidFill>
          </w14:textFill>
        </w:rPr>
      </w:pPr>
    </w:p>
    <w:p>
      <w:pPr>
        <w:pStyle w:val="283"/>
        <w:ind w:firstLine="494"/>
        <w:rPr>
          <w:color w:val="000000" w:themeColor="text1"/>
          <w14:textFill>
            <w14:solidFill>
              <w14:schemeClr w14:val="tx1"/>
            </w14:solidFill>
          </w14:textFill>
        </w:rPr>
      </w:pPr>
    </w:p>
    <w:p>
      <w:pPr>
        <w:pStyle w:val="283"/>
        <w:ind w:firstLine="494"/>
        <w:rPr>
          <w:color w:val="000000" w:themeColor="text1"/>
          <w14:textFill>
            <w14:solidFill>
              <w14:schemeClr w14:val="tx1"/>
            </w14:solidFill>
          </w14:textFill>
        </w:rPr>
      </w:pPr>
    </w:p>
    <w:p>
      <w:pPr>
        <w:jc w:val="center"/>
        <w:rPr>
          <w:color w:val="000000" w:themeColor="text1"/>
          <w14:textFill>
            <w14:solidFill>
              <w14:schemeClr w14:val="tx1"/>
            </w14:solidFill>
          </w14:textFill>
        </w:rPr>
      </w:pPr>
      <w:r>
        <w:rPr>
          <w:color w:val="000000" w:themeColor="text1"/>
          <w14:textFill>
            <w14:solidFill>
              <w14:schemeClr w14:val="tx1"/>
            </w14:solidFill>
          </w14:textFill>
        </w:rPr>
        <w:drawing>
          <wp:inline distT="0" distB="0" distL="0" distR="0">
            <wp:extent cx="1950720" cy="1950720"/>
            <wp:effectExtent l="0" t="0" r="0" b="0"/>
            <wp:docPr id="15" name="图片 8" descr="说明: 5963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8" descr="说明: 59632-01"/>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a:xfrm>
                      <a:off x="0" y="0"/>
                      <a:ext cx="1950720" cy="1950720"/>
                    </a:xfrm>
                    <a:prstGeom prst="rect">
                      <a:avLst/>
                    </a:prstGeom>
                    <a:noFill/>
                    <a:ln>
                      <a:noFill/>
                    </a:ln>
                  </pic:spPr>
                </pic:pic>
              </a:graphicData>
            </a:graphic>
          </wp:inline>
        </w:drawing>
      </w:r>
    </w:p>
    <w:p>
      <w:pPr>
        <w:pStyle w:val="553"/>
        <w:rPr>
          <w:color w:val="000000" w:themeColor="text1"/>
          <w14:textFill>
            <w14:solidFill>
              <w14:schemeClr w14:val="tx1"/>
            </w14:solidFill>
          </w14:textFill>
        </w:rPr>
      </w:pPr>
      <w:r>
        <w:rPr>
          <w:color w:val="000000" w:themeColor="text1"/>
          <w14:textFill>
            <w14:solidFill>
              <w14:schemeClr w14:val="tx1"/>
            </w14:solidFill>
          </w14:textFill>
        </w:rPr>
        <w:t>钦州市多年统计风玫瑰图</w:t>
      </w:r>
    </w:p>
    <w:p>
      <w:pPr>
        <w:pStyle w:val="283"/>
        <w:ind w:firstLine="494"/>
        <w:rPr>
          <w:color w:val="000000" w:themeColor="text1"/>
          <w14:textFill>
            <w14:solidFill>
              <w14:schemeClr w14:val="tx1"/>
            </w14:solidFill>
          </w14:textFill>
        </w:rPr>
      </w:pPr>
      <w:r>
        <w:rPr>
          <w:color w:val="000000" w:themeColor="text1"/>
          <w14:textFill>
            <w14:solidFill>
              <w14:schemeClr w14:val="tx1"/>
            </w14:solidFill>
          </w14:textFill>
        </w:rPr>
        <w:t>区域季风分布特征比较明显，每年5～8月多偏S向风，尤以6～7月最多，10月至翌年3月多偏N向风，4月及9月为偏N向气旋和偏S向气旋交替时期。</w:t>
      </w:r>
    </w:p>
    <w:p>
      <w:pPr>
        <w:pStyle w:val="283"/>
        <w:ind w:firstLine="494"/>
        <w:rPr>
          <w:color w:val="000000" w:themeColor="text1"/>
          <w14:textFill>
            <w14:solidFill>
              <w14:schemeClr w14:val="tx1"/>
            </w14:solidFill>
          </w14:textFill>
        </w:rPr>
      </w:pPr>
      <w:r>
        <w:rPr>
          <w:color w:val="000000" w:themeColor="text1"/>
          <w14:textFill>
            <w14:solidFill>
              <w14:schemeClr w14:val="tx1"/>
            </w14:solidFill>
          </w14:textFill>
        </w:rPr>
        <w:t>常风向为N向，频率为26%，次常风向为NNE向，频率为9.2%；强风向为N向，最大风速为31m/s，多年平均风速3.8m/s，风速≥8级大风日数，多年平均为7天。</w:t>
      </w:r>
    </w:p>
    <w:p>
      <w:pPr>
        <w:pStyle w:val="283"/>
        <w:ind w:firstLine="494"/>
        <w:rPr>
          <w:color w:val="000000" w:themeColor="text1"/>
          <w14:textFill>
            <w14:solidFill>
              <w14:schemeClr w14:val="tx1"/>
            </w14:solidFill>
          </w14:textFill>
        </w:rPr>
      </w:pPr>
      <w:r>
        <w:rPr>
          <w:color w:val="000000" w:themeColor="text1"/>
          <w14:textFill>
            <w14:solidFill>
              <w14:schemeClr w14:val="tx1"/>
            </w14:solidFill>
          </w14:textFill>
        </w:rPr>
        <w:t>区域每年5～11月份受台风影响，其中7、8、9月较为严重，据历史资料统计，影响本地区的台风平均每年为2～4次，最多为5次。项目所在区域常年风频、风速情况见表3.1-2。</w:t>
      </w:r>
    </w:p>
    <w:p>
      <w:pPr>
        <w:pStyle w:val="384"/>
        <w:ind w:left="0" w:firstLine="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项目所在区域常年风频、风速情况</w:t>
      </w:r>
    </w:p>
    <w:tbl>
      <w:tblPr>
        <w:tblStyle w:val="88"/>
        <w:tblpPr w:leftFromText="180" w:rightFromText="180" w:vertAnchor="text" w:horzAnchor="margin" w:tblpXSpec="center" w:tblpY="35"/>
        <w:tblW w:w="8646" w:type="dxa"/>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6" w:type="dxa"/>
          <w:bottom w:w="0" w:type="dxa"/>
          <w:right w:w="6" w:type="dxa"/>
        </w:tblCellMar>
      </w:tblPr>
      <w:tblGrid>
        <w:gridCol w:w="770"/>
        <w:gridCol w:w="415"/>
        <w:gridCol w:w="441"/>
        <w:gridCol w:w="355"/>
        <w:gridCol w:w="473"/>
        <w:gridCol w:w="473"/>
        <w:gridCol w:w="473"/>
        <w:gridCol w:w="474"/>
        <w:gridCol w:w="474"/>
        <w:gridCol w:w="474"/>
        <w:gridCol w:w="474"/>
        <w:gridCol w:w="474"/>
        <w:gridCol w:w="512"/>
        <w:gridCol w:w="474"/>
        <w:gridCol w:w="512"/>
        <w:gridCol w:w="500"/>
        <w:gridCol w:w="500"/>
        <w:gridCol w:w="378"/>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6" w:type="dxa"/>
            <w:bottom w:w="0" w:type="dxa"/>
            <w:right w:w="6" w:type="dxa"/>
          </w:tblCellMar>
        </w:tblPrEx>
        <w:tc>
          <w:tcPr>
            <w:tcW w:w="770" w:type="dxa"/>
            <w:tcMar>
              <w:left w:w="11" w:type="dxa"/>
              <w:right w:w="11" w:type="dxa"/>
            </w:tcMar>
            <w:vAlign w:val="center"/>
          </w:tcPr>
          <w:p>
            <w:pPr>
              <w:pStyle w:val="2001"/>
            </w:pPr>
            <w:r>
              <w:t>风向</w:t>
            </w:r>
          </w:p>
        </w:tc>
        <w:tc>
          <w:tcPr>
            <w:tcW w:w="415" w:type="dxa"/>
            <w:vAlign w:val="center"/>
          </w:tcPr>
          <w:p>
            <w:pPr>
              <w:pStyle w:val="2001"/>
            </w:pPr>
            <w:r>
              <w:t>N</w:t>
            </w:r>
          </w:p>
        </w:tc>
        <w:tc>
          <w:tcPr>
            <w:tcW w:w="441" w:type="dxa"/>
            <w:vAlign w:val="center"/>
          </w:tcPr>
          <w:p>
            <w:pPr>
              <w:pStyle w:val="2001"/>
            </w:pPr>
            <w:r>
              <w:t>NNE</w:t>
            </w:r>
          </w:p>
        </w:tc>
        <w:tc>
          <w:tcPr>
            <w:tcW w:w="355" w:type="dxa"/>
            <w:vAlign w:val="center"/>
          </w:tcPr>
          <w:p>
            <w:pPr>
              <w:pStyle w:val="2001"/>
            </w:pPr>
            <w:r>
              <w:t>NE</w:t>
            </w:r>
          </w:p>
        </w:tc>
        <w:tc>
          <w:tcPr>
            <w:tcW w:w="473" w:type="dxa"/>
            <w:vAlign w:val="center"/>
          </w:tcPr>
          <w:p>
            <w:pPr>
              <w:pStyle w:val="2001"/>
            </w:pPr>
            <w:r>
              <w:t>NEN</w:t>
            </w:r>
          </w:p>
        </w:tc>
        <w:tc>
          <w:tcPr>
            <w:tcW w:w="473" w:type="dxa"/>
            <w:vAlign w:val="center"/>
          </w:tcPr>
          <w:p>
            <w:pPr>
              <w:pStyle w:val="2001"/>
            </w:pPr>
            <w:r>
              <w:t>E</w:t>
            </w:r>
          </w:p>
        </w:tc>
        <w:tc>
          <w:tcPr>
            <w:tcW w:w="473" w:type="dxa"/>
            <w:vAlign w:val="center"/>
          </w:tcPr>
          <w:p>
            <w:pPr>
              <w:pStyle w:val="2001"/>
            </w:pPr>
            <w:r>
              <w:t>ESE</w:t>
            </w:r>
          </w:p>
        </w:tc>
        <w:tc>
          <w:tcPr>
            <w:tcW w:w="474" w:type="dxa"/>
            <w:vAlign w:val="center"/>
          </w:tcPr>
          <w:p>
            <w:pPr>
              <w:pStyle w:val="2001"/>
            </w:pPr>
            <w:r>
              <w:t>SE</w:t>
            </w:r>
          </w:p>
        </w:tc>
        <w:tc>
          <w:tcPr>
            <w:tcW w:w="474" w:type="dxa"/>
            <w:vAlign w:val="center"/>
          </w:tcPr>
          <w:p>
            <w:pPr>
              <w:pStyle w:val="2001"/>
            </w:pPr>
            <w:r>
              <w:t>SSE</w:t>
            </w:r>
          </w:p>
        </w:tc>
        <w:tc>
          <w:tcPr>
            <w:tcW w:w="474" w:type="dxa"/>
            <w:vAlign w:val="center"/>
          </w:tcPr>
          <w:p>
            <w:pPr>
              <w:pStyle w:val="2001"/>
            </w:pPr>
            <w:r>
              <w:t>S</w:t>
            </w:r>
          </w:p>
        </w:tc>
        <w:tc>
          <w:tcPr>
            <w:tcW w:w="474" w:type="dxa"/>
            <w:vAlign w:val="center"/>
          </w:tcPr>
          <w:p>
            <w:pPr>
              <w:pStyle w:val="2001"/>
            </w:pPr>
            <w:r>
              <w:t>SSE</w:t>
            </w:r>
          </w:p>
        </w:tc>
        <w:tc>
          <w:tcPr>
            <w:tcW w:w="474" w:type="dxa"/>
            <w:vAlign w:val="center"/>
          </w:tcPr>
          <w:p>
            <w:pPr>
              <w:pStyle w:val="2001"/>
            </w:pPr>
            <w:r>
              <w:t>SW</w:t>
            </w:r>
          </w:p>
        </w:tc>
        <w:tc>
          <w:tcPr>
            <w:tcW w:w="512" w:type="dxa"/>
            <w:vAlign w:val="center"/>
          </w:tcPr>
          <w:p>
            <w:pPr>
              <w:pStyle w:val="2001"/>
            </w:pPr>
            <w:r>
              <w:t>WSW</w:t>
            </w:r>
          </w:p>
        </w:tc>
        <w:tc>
          <w:tcPr>
            <w:tcW w:w="474" w:type="dxa"/>
            <w:vAlign w:val="center"/>
          </w:tcPr>
          <w:p>
            <w:pPr>
              <w:pStyle w:val="2001"/>
            </w:pPr>
            <w:r>
              <w:t>W</w:t>
            </w:r>
          </w:p>
        </w:tc>
        <w:tc>
          <w:tcPr>
            <w:tcW w:w="512" w:type="dxa"/>
            <w:vAlign w:val="center"/>
          </w:tcPr>
          <w:p>
            <w:pPr>
              <w:pStyle w:val="2001"/>
            </w:pPr>
            <w:r>
              <w:t>WSW</w:t>
            </w:r>
          </w:p>
        </w:tc>
        <w:tc>
          <w:tcPr>
            <w:tcW w:w="500" w:type="dxa"/>
            <w:vAlign w:val="center"/>
          </w:tcPr>
          <w:p>
            <w:pPr>
              <w:pStyle w:val="2001"/>
            </w:pPr>
            <w:r>
              <w:t>NNW</w:t>
            </w:r>
          </w:p>
        </w:tc>
        <w:tc>
          <w:tcPr>
            <w:tcW w:w="500" w:type="dxa"/>
            <w:vAlign w:val="center"/>
          </w:tcPr>
          <w:p>
            <w:pPr>
              <w:pStyle w:val="2001"/>
            </w:pPr>
            <w:r>
              <w:t>NNW</w:t>
            </w:r>
          </w:p>
        </w:tc>
        <w:tc>
          <w:tcPr>
            <w:tcW w:w="378" w:type="dxa"/>
            <w:vAlign w:val="center"/>
          </w:tcPr>
          <w:p>
            <w:pPr>
              <w:pStyle w:val="2001"/>
            </w:pPr>
            <w:r>
              <w:t>C</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6" w:type="dxa"/>
            <w:bottom w:w="0" w:type="dxa"/>
            <w:right w:w="6" w:type="dxa"/>
          </w:tblCellMar>
        </w:tblPrEx>
        <w:tc>
          <w:tcPr>
            <w:tcW w:w="770" w:type="dxa"/>
            <w:tcMar>
              <w:left w:w="11" w:type="dxa"/>
              <w:right w:w="11" w:type="dxa"/>
            </w:tcMar>
            <w:vAlign w:val="center"/>
          </w:tcPr>
          <w:p>
            <w:pPr>
              <w:pStyle w:val="2001"/>
            </w:pPr>
            <w:r>
              <w:t>频率%</w:t>
            </w:r>
          </w:p>
        </w:tc>
        <w:tc>
          <w:tcPr>
            <w:tcW w:w="415" w:type="dxa"/>
            <w:vAlign w:val="center"/>
          </w:tcPr>
          <w:p>
            <w:pPr>
              <w:pStyle w:val="2001"/>
            </w:pPr>
            <w:r>
              <w:t>26.0</w:t>
            </w:r>
          </w:p>
        </w:tc>
        <w:tc>
          <w:tcPr>
            <w:tcW w:w="441" w:type="dxa"/>
            <w:vAlign w:val="center"/>
          </w:tcPr>
          <w:p>
            <w:pPr>
              <w:pStyle w:val="2001"/>
            </w:pPr>
            <w:r>
              <w:t>9.2</w:t>
            </w:r>
          </w:p>
        </w:tc>
        <w:tc>
          <w:tcPr>
            <w:tcW w:w="355" w:type="dxa"/>
            <w:vAlign w:val="center"/>
          </w:tcPr>
          <w:p>
            <w:pPr>
              <w:pStyle w:val="2001"/>
            </w:pPr>
            <w:r>
              <w:t>2.5</w:t>
            </w:r>
          </w:p>
        </w:tc>
        <w:tc>
          <w:tcPr>
            <w:tcW w:w="473" w:type="dxa"/>
            <w:vAlign w:val="center"/>
          </w:tcPr>
          <w:p>
            <w:pPr>
              <w:pStyle w:val="2001"/>
            </w:pPr>
            <w:r>
              <w:t>2.1</w:t>
            </w:r>
          </w:p>
        </w:tc>
        <w:tc>
          <w:tcPr>
            <w:tcW w:w="473" w:type="dxa"/>
            <w:vAlign w:val="center"/>
          </w:tcPr>
          <w:p>
            <w:pPr>
              <w:pStyle w:val="2001"/>
            </w:pPr>
            <w:r>
              <w:t>3.0</w:t>
            </w:r>
          </w:p>
        </w:tc>
        <w:tc>
          <w:tcPr>
            <w:tcW w:w="473" w:type="dxa"/>
            <w:vAlign w:val="center"/>
          </w:tcPr>
          <w:p>
            <w:pPr>
              <w:pStyle w:val="2001"/>
            </w:pPr>
            <w:r>
              <w:t>4.5</w:t>
            </w:r>
          </w:p>
        </w:tc>
        <w:tc>
          <w:tcPr>
            <w:tcW w:w="474" w:type="dxa"/>
            <w:vAlign w:val="center"/>
          </w:tcPr>
          <w:p>
            <w:pPr>
              <w:pStyle w:val="2001"/>
            </w:pPr>
            <w:r>
              <w:t>7.0</w:t>
            </w:r>
          </w:p>
        </w:tc>
        <w:tc>
          <w:tcPr>
            <w:tcW w:w="474" w:type="dxa"/>
            <w:vAlign w:val="center"/>
          </w:tcPr>
          <w:p>
            <w:pPr>
              <w:pStyle w:val="2001"/>
            </w:pPr>
            <w:r>
              <w:t>7.0</w:t>
            </w:r>
          </w:p>
        </w:tc>
        <w:tc>
          <w:tcPr>
            <w:tcW w:w="474" w:type="dxa"/>
            <w:vAlign w:val="center"/>
          </w:tcPr>
          <w:p>
            <w:pPr>
              <w:pStyle w:val="2001"/>
            </w:pPr>
            <w:r>
              <w:t>7.0</w:t>
            </w:r>
          </w:p>
        </w:tc>
        <w:tc>
          <w:tcPr>
            <w:tcW w:w="474" w:type="dxa"/>
            <w:vAlign w:val="center"/>
          </w:tcPr>
          <w:p>
            <w:pPr>
              <w:pStyle w:val="2001"/>
            </w:pPr>
            <w:r>
              <w:t>5.4</w:t>
            </w:r>
          </w:p>
        </w:tc>
        <w:tc>
          <w:tcPr>
            <w:tcW w:w="474" w:type="dxa"/>
            <w:vAlign w:val="center"/>
          </w:tcPr>
          <w:p>
            <w:pPr>
              <w:pStyle w:val="2001"/>
            </w:pPr>
            <w:r>
              <w:t>4.1</w:t>
            </w:r>
          </w:p>
        </w:tc>
        <w:tc>
          <w:tcPr>
            <w:tcW w:w="512" w:type="dxa"/>
            <w:vAlign w:val="center"/>
          </w:tcPr>
          <w:p>
            <w:pPr>
              <w:pStyle w:val="2001"/>
            </w:pPr>
            <w:r>
              <w:t>2.6</w:t>
            </w:r>
          </w:p>
        </w:tc>
        <w:tc>
          <w:tcPr>
            <w:tcW w:w="474" w:type="dxa"/>
            <w:vAlign w:val="center"/>
          </w:tcPr>
          <w:p>
            <w:pPr>
              <w:pStyle w:val="2001"/>
            </w:pPr>
            <w:r>
              <w:t>1.3</w:t>
            </w:r>
          </w:p>
        </w:tc>
        <w:tc>
          <w:tcPr>
            <w:tcW w:w="512" w:type="dxa"/>
            <w:vAlign w:val="center"/>
          </w:tcPr>
          <w:p>
            <w:pPr>
              <w:pStyle w:val="2001"/>
            </w:pPr>
            <w:r>
              <w:t>0.8</w:t>
            </w:r>
          </w:p>
        </w:tc>
        <w:tc>
          <w:tcPr>
            <w:tcW w:w="500" w:type="dxa"/>
            <w:vAlign w:val="center"/>
          </w:tcPr>
          <w:p>
            <w:pPr>
              <w:pStyle w:val="2001"/>
            </w:pPr>
            <w:r>
              <w:t>1.8</w:t>
            </w:r>
          </w:p>
        </w:tc>
        <w:tc>
          <w:tcPr>
            <w:tcW w:w="500" w:type="dxa"/>
            <w:vAlign w:val="center"/>
          </w:tcPr>
          <w:p>
            <w:pPr>
              <w:pStyle w:val="2001"/>
            </w:pPr>
            <w:r>
              <w:t>7.2</w:t>
            </w:r>
          </w:p>
        </w:tc>
        <w:tc>
          <w:tcPr>
            <w:tcW w:w="378" w:type="dxa"/>
            <w:vAlign w:val="center"/>
          </w:tcPr>
          <w:p>
            <w:pPr>
              <w:pStyle w:val="2001"/>
            </w:pPr>
            <w:r>
              <w:t>9.4</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6" w:type="dxa"/>
            <w:bottom w:w="0" w:type="dxa"/>
            <w:right w:w="6" w:type="dxa"/>
          </w:tblCellMar>
        </w:tblPrEx>
        <w:tc>
          <w:tcPr>
            <w:tcW w:w="770" w:type="dxa"/>
            <w:tcMar>
              <w:left w:w="11" w:type="dxa"/>
              <w:right w:w="11" w:type="dxa"/>
            </w:tcMar>
            <w:vAlign w:val="center"/>
          </w:tcPr>
          <w:p>
            <w:pPr>
              <w:pStyle w:val="2001"/>
            </w:pPr>
            <w:r>
              <w:t>最大风速m/s</w:t>
            </w:r>
          </w:p>
        </w:tc>
        <w:tc>
          <w:tcPr>
            <w:tcW w:w="415" w:type="dxa"/>
            <w:vAlign w:val="center"/>
          </w:tcPr>
          <w:p>
            <w:pPr>
              <w:pStyle w:val="2001"/>
            </w:pPr>
            <w:r>
              <w:t>31</w:t>
            </w:r>
          </w:p>
        </w:tc>
        <w:tc>
          <w:tcPr>
            <w:tcW w:w="441" w:type="dxa"/>
            <w:vAlign w:val="center"/>
          </w:tcPr>
          <w:p>
            <w:pPr>
              <w:pStyle w:val="2001"/>
            </w:pPr>
            <w:r>
              <w:t>22</w:t>
            </w:r>
          </w:p>
        </w:tc>
        <w:tc>
          <w:tcPr>
            <w:tcW w:w="355" w:type="dxa"/>
            <w:vAlign w:val="center"/>
          </w:tcPr>
          <w:p>
            <w:pPr>
              <w:pStyle w:val="2001"/>
            </w:pPr>
            <w:r>
              <w:t>12</w:t>
            </w:r>
          </w:p>
        </w:tc>
        <w:tc>
          <w:tcPr>
            <w:tcW w:w="473" w:type="dxa"/>
            <w:vAlign w:val="center"/>
          </w:tcPr>
          <w:p>
            <w:pPr>
              <w:pStyle w:val="2001"/>
            </w:pPr>
            <w:r>
              <w:t>19</w:t>
            </w:r>
          </w:p>
        </w:tc>
        <w:tc>
          <w:tcPr>
            <w:tcW w:w="473" w:type="dxa"/>
            <w:vAlign w:val="center"/>
          </w:tcPr>
          <w:p>
            <w:pPr>
              <w:pStyle w:val="2001"/>
            </w:pPr>
            <w:r>
              <w:t>15</w:t>
            </w:r>
          </w:p>
        </w:tc>
        <w:tc>
          <w:tcPr>
            <w:tcW w:w="473" w:type="dxa"/>
            <w:vAlign w:val="center"/>
          </w:tcPr>
          <w:p>
            <w:pPr>
              <w:pStyle w:val="2001"/>
            </w:pPr>
            <w:r>
              <w:t>21</w:t>
            </w:r>
          </w:p>
        </w:tc>
        <w:tc>
          <w:tcPr>
            <w:tcW w:w="474" w:type="dxa"/>
            <w:vAlign w:val="center"/>
          </w:tcPr>
          <w:p>
            <w:pPr>
              <w:pStyle w:val="2001"/>
            </w:pPr>
            <w:r>
              <w:t>15</w:t>
            </w:r>
          </w:p>
        </w:tc>
        <w:tc>
          <w:tcPr>
            <w:tcW w:w="474" w:type="dxa"/>
            <w:vAlign w:val="center"/>
          </w:tcPr>
          <w:p>
            <w:pPr>
              <w:pStyle w:val="2001"/>
            </w:pPr>
            <w:r>
              <w:t>16</w:t>
            </w:r>
          </w:p>
        </w:tc>
        <w:tc>
          <w:tcPr>
            <w:tcW w:w="474" w:type="dxa"/>
            <w:vAlign w:val="center"/>
          </w:tcPr>
          <w:p>
            <w:pPr>
              <w:pStyle w:val="2001"/>
            </w:pPr>
            <w:r>
              <w:t>21</w:t>
            </w:r>
          </w:p>
        </w:tc>
        <w:tc>
          <w:tcPr>
            <w:tcW w:w="474" w:type="dxa"/>
            <w:vAlign w:val="center"/>
          </w:tcPr>
          <w:p>
            <w:pPr>
              <w:pStyle w:val="2001"/>
            </w:pPr>
            <w:r>
              <w:t>16</w:t>
            </w:r>
          </w:p>
        </w:tc>
        <w:tc>
          <w:tcPr>
            <w:tcW w:w="474" w:type="dxa"/>
            <w:vAlign w:val="center"/>
          </w:tcPr>
          <w:p>
            <w:pPr>
              <w:pStyle w:val="2001"/>
            </w:pPr>
            <w:r>
              <w:t>15</w:t>
            </w:r>
          </w:p>
        </w:tc>
        <w:tc>
          <w:tcPr>
            <w:tcW w:w="512" w:type="dxa"/>
            <w:vAlign w:val="center"/>
          </w:tcPr>
          <w:p>
            <w:pPr>
              <w:pStyle w:val="2001"/>
            </w:pPr>
            <w:r>
              <w:t>11</w:t>
            </w:r>
          </w:p>
        </w:tc>
        <w:tc>
          <w:tcPr>
            <w:tcW w:w="474" w:type="dxa"/>
            <w:vAlign w:val="center"/>
          </w:tcPr>
          <w:p>
            <w:pPr>
              <w:pStyle w:val="2001"/>
            </w:pPr>
            <w:r>
              <w:t>8</w:t>
            </w:r>
          </w:p>
        </w:tc>
        <w:tc>
          <w:tcPr>
            <w:tcW w:w="512" w:type="dxa"/>
            <w:vAlign w:val="center"/>
          </w:tcPr>
          <w:p>
            <w:pPr>
              <w:pStyle w:val="2001"/>
            </w:pPr>
            <w:r>
              <w:t>9</w:t>
            </w:r>
          </w:p>
        </w:tc>
        <w:tc>
          <w:tcPr>
            <w:tcW w:w="500" w:type="dxa"/>
            <w:vAlign w:val="center"/>
          </w:tcPr>
          <w:p>
            <w:pPr>
              <w:pStyle w:val="2001"/>
            </w:pPr>
            <w:r>
              <w:t>16</w:t>
            </w:r>
          </w:p>
        </w:tc>
        <w:tc>
          <w:tcPr>
            <w:tcW w:w="500" w:type="dxa"/>
            <w:vAlign w:val="center"/>
          </w:tcPr>
          <w:p>
            <w:pPr>
              <w:pStyle w:val="2001"/>
            </w:pPr>
            <w:r>
              <w:t>27</w:t>
            </w:r>
          </w:p>
        </w:tc>
        <w:tc>
          <w:tcPr>
            <w:tcW w:w="378" w:type="dxa"/>
            <w:vAlign w:val="center"/>
          </w:tcPr>
          <w:p>
            <w:pPr>
              <w:pStyle w:val="2001"/>
            </w:pPr>
            <w: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6" w:type="dxa"/>
            <w:bottom w:w="0" w:type="dxa"/>
            <w:right w:w="6" w:type="dxa"/>
          </w:tblCellMar>
        </w:tblPrEx>
        <w:tc>
          <w:tcPr>
            <w:tcW w:w="770" w:type="dxa"/>
            <w:tcMar>
              <w:left w:w="11" w:type="dxa"/>
              <w:right w:w="11" w:type="dxa"/>
            </w:tcMar>
            <w:vAlign w:val="center"/>
          </w:tcPr>
          <w:p>
            <w:pPr>
              <w:pStyle w:val="2001"/>
            </w:pPr>
            <w:r>
              <w:t>平均风速m/s</w:t>
            </w:r>
          </w:p>
        </w:tc>
        <w:tc>
          <w:tcPr>
            <w:tcW w:w="415" w:type="dxa"/>
            <w:vAlign w:val="center"/>
          </w:tcPr>
          <w:p>
            <w:pPr>
              <w:pStyle w:val="2001"/>
            </w:pPr>
            <w:r>
              <w:t>5.0</w:t>
            </w:r>
          </w:p>
        </w:tc>
        <w:tc>
          <w:tcPr>
            <w:tcW w:w="441" w:type="dxa"/>
            <w:vAlign w:val="center"/>
          </w:tcPr>
          <w:p>
            <w:pPr>
              <w:pStyle w:val="2001"/>
            </w:pPr>
            <w:r>
              <w:t>3.1</w:t>
            </w:r>
          </w:p>
        </w:tc>
        <w:tc>
          <w:tcPr>
            <w:tcW w:w="355" w:type="dxa"/>
            <w:vAlign w:val="center"/>
          </w:tcPr>
          <w:p>
            <w:pPr>
              <w:pStyle w:val="2001"/>
            </w:pPr>
            <w:r>
              <w:t>2.5</w:t>
            </w:r>
          </w:p>
        </w:tc>
        <w:tc>
          <w:tcPr>
            <w:tcW w:w="473" w:type="dxa"/>
            <w:vAlign w:val="center"/>
          </w:tcPr>
          <w:p>
            <w:pPr>
              <w:pStyle w:val="2001"/>
            </w:pPr>
            <w:r>
              <w:t>2.5</w:t>
            </w:r>
          </w:p>
        </w:tc>
        <w:tc>
          <w:tcPr>
            <w:tcW w:w="473" w:type="dxa"/>
            <w:vAlign w:val="center"/>
          </w:tcPr>
          <w:p>
            <w:pPr>
              <w:pStyle w:val="2001"/>
            </w:pPr>
            <w:r>
              <w:t>3.0</w:t>
            </w:r>
          </w:p>
        </w:tc>
        <w:tc>
          <w:tcPr>
            <w:tcW w:w="473" w:type="dxa"/>
            <w:vAlign w:val="center"/>
          </w:tcPr>
          <w:p>
            <w:pPr>
              <w:pStyle w:val="2001"/>
            </w:pPr>
            <w:r>
              <w:t>2.9</w:t>
            </w:r>
          </w:p>
        </w:tc>
        <w:tc>
          <w:tcPr>
            <w:tcW w:w="474" w:type="dxa"/>
            <w:vAlign w:val="center"/>
          </w:tcPr>
          <w:p>
            <w:pPr>
              <w:pStyle w:val="2001"/>
            </w:pPr>
            <w:r>
              <w:t>4.3</w:t>
            </w:r>
          </w:p>
        </w:tc>
        <w:tc>
          <w:tcPr>
            <w:tcW w:w="474" w:type="dxa"/>
            <w:vAlign w:val="center"/>
          </w:tcPr>
          <w:p>
            <w:pPr>
              <w:pStyle w:val="2001"/>
            </w:pPr>
            <w:r>
              <w:t>3.8</w:t>
            </w:r>
          </w:p>
        </w:tc>
        <w:tc>
          <w:tcPr>
            <w:tcW w:w="474" w:type="dxa"/>
            <w:vAlign w:val="center"/>
          </w:tcPr>
          <w:p>
            <w:pPr>
              <w:pStyle w:val="2001"/>
            </w:pPr>
            <w:r>
              <w:t>2.6</w:t>
            </w:r>
          </w:p>
        </w:tc>
        <w:tc>
          <w:tcPr>
            <w:tcW w:w="474" w:type="dxa"/>
            <w:vAlign w:val="center"/>
          </w:tcPr>
          <w:p>
            <w:pPr>
              <w:pStyle w:val="2001"/>
            </w:pPr>
            <w:r>
              <w:t>2.7</w:t>
            </w:r>
          </w:p>
        </w:tc>
        <w:tc>
          <w:tcPr>
            <w:tcW w:w="474" w:type="dxa"/>
            <w:vAlign w:val="center"/>
          </w:tcPr>
          <w:p>
            <w:pPr>
              <w:pStyle w:val="2001"/>
            </w:pPr>
            <w:r>
              <w:t>2.4</w:t>
            </w:r>
          </w:p>
        </w:tc>
        <w:tc>
          <w:tcPr>
            <w:tcW w:w="512" w:type="dxa"/>
            <w:vAlign w:val="center"/>
          </w:tcPr>
          <w:p>
            <w:pPr>
              <w:pStyle w:val="2001"/>
            </w:pPr>
            <w:r>
              <w:t>2.4</w:t>
            </w:r>
          </w:p>
        </w:tc>
        <w:tc>
          <w:tcPr>
            <w:tcW w:w="474" w:type="dxa"/>
            <w:vAlign w:val="center"/>
          </w:tcPr>
          <w:p>
            <w:pPr>
              <w:pStyle w:val="2001"/>
            </w:pPr>
            <w:r>
              <w:t>2.1</w:t>
            </w:r>
          </w:p>
        </w:tc>
        <w:tc>
          <w:tcPr>
            <w:tcW w:w="512" w:type="dxa"/>
            <w:vAlign w:val="center"/>
          </w:tcPr>
          <w:p>
            <w:pPr>
              <w:pStyle w:val="2001"/>
            </w:pPr>
            <w:r>
              <w:t>2.1</w:t>
            </w:r>
          </w:p>
        </w:tc>
        <w:tc>
          <w:tcPr>
            <w:tcW w:w="500" w:type="dxa"/>
            <w:vAlign w:val="center"/>
          </w:tcPr>
          <w:p>
            <w:pPr>
              <w:pStyle w:val="2001"/>
            </w:pPr>
            <w:r>
              <w:t>2.4</w:t>
            </w:r>
          </w:p>
        </w:tc>
        <w:tc>
          <w:tcPr>
            <w:tcW w:w="500" w:type="dxa"/>
            <w:vAlign w:val="center"/>
          </w:tcPr>
          <w:p>
            <w:pPr>
              <w:pStyle w:val="2001"/>
            </w:pPr>
            <w:r>
              <w:t>3.8</w:t>
            </w:r>
          </w:p>
        </w:tc>
        <w:tc>
          <w:tcPr>
            <w:tcW w:w="378" w:type="dxa"/>
            <w:vAlign w:val="center"/>
          </w:tcPr>
          <w:p>
            <w:pPr>
              <w:pStyle w:val="2001"/>
            </w:pPr>
            <w:r>
              <w:t>/</w:t>
            </w:r>
          </w:p>
        </w:tc>
      </w:tr>
    </w:tbl>
    <w:p>
      <w:pPr>
        <w:pStyle w:val="6"/>
        <w:rPr>
          <w:color w:val="000000" w:themeColor="text1"/>
          <w14:textFill>
            <w14:solidFill>
              <w14:schemeClr w14:val="tx1"/>
            </w14:solidFill>
          </w14:textFill>
        </w:rPr>
      </w:pPr>
      <w:r>
        <w:rPr>
          <w:color w:val="000000" w:themeColor="text1"/>
          <w14:textFill>
            <w14:solidFill>
              <w14:schemeClr w14:val="tx1"/>
            </w14:solidFill>
          </w14:textFill>
        </w:rPr>
        <w:t>雾、相对湿度及蒸发量</w:t>
      </w:r>
    </w:p>
    <w:p>
      <w:pPr>
        <w:pStyle w:val="283"/>
        <w:ind w:firstLine="496"/>
        <w:rPr>
          <w:color w:val="000000" w:themeColor="text1"/>
          <w14:textFill>
            <w14:solidFill>
              <w14:schemeClr w14:val="tx1"/>
            </w14:solidFill>
          </w14:textFill>
        </w:rPr>
      </w:pPr>
      <w:r>
        <w:rPr>
          <w:b/>
          <w:color w:val="000000" w:themeColor="text1"/>
          <w14:textFill>
            <w14:solidFill>
              <w14:schemeClr w14:val="tx1"/>
            </w14:solidFill>
          </w14:textFill>
        </w:rPr>
        <w:t>雾</w:t>
      </w:r>
      <w:r>
        <w:rPr>
          <w:color w:val="000000" w:themeColor="text1"/>
          <w14:textFill>
            <w14:solidFill>
              <w14:schemeClr w14:val="tx1"/>
            </w14:solidFill>
          </w14:textFill>
        </w:rPr>
        <w:t xml:space="preserve">   钦州湾的雾以锋面雾和平流雾为主，辐射雾次之。钦州湾的雾日与廉州湾相近，多年平均为13.4d，历年最多雾日达30d，最少为6d。一年中多雾日时段为12月至翌年3月，在此期间月平均雾日为2d至3d。一天中雾主要出现在傍晚至次日清晨。冬春季节，大雾常出现在冷空气南下之前。</w:t>
      </w:r>
    </w:p>
    <w:p>
      <w:pPr>
        <w:pStyle w:val="283"/>
        <w:ind w:firstLine="496"/>
        <w:rPr>
          <w:color w:val="000000" w:themeColor="text1"/>
          <w14:textFill>
            <w14:solidFill>
              <w14:schemeClr w14:val="tx1"/>
            </w14:solidFill>
          </w14:textFill>
        </w:rPr>
      </w:pPr>
      <w:r>
        <w:rPr>
          <w:b/>
          <w:color w:val="000000" w:themeColor="text1"/>
          <w14:textFill>
            <w14:solidFill>
              <w14:schemeClr w14:val="tx1"/>
            </w14:solidFill>
          </w14:textFill>
        </w:rPr>
        <w:t>相对湿度</w:t>
      </w:r>
      <w:r>
        <w:rPr>
          <w:color w:val="000000" w:themeColor="text1"/>
          <w14:textFill>
            <w14:solidFill>
              <w14:schemeClr w14:val="tx1"/>
            </w14:solidFill>
          </w14:textFill>
        </w:rPr>
        <w:t xml:space="preserve">   区域相对湿度以春季3月和雨季6～8月为最大，10月到次年1月为相对湿度低值期。多年平均相对湿度为82%，历史最大相对湿度达100%，历史最小相对湿度为22%。</w:t>
      </w:r>
    </w:p>
    <w:p>
      <w:pPr>
        <w:pStyle w:val="5"/>
        <w:rPr>
          <w:color w:val="000000" w:themeColor="text1"/>
          <w14:textFill>
            <w14:solidFill>
              <w14:schemeClr w14:val="tx1"/>
            </w14:solidFill>
          </w14:textFill>
        </w:rPr>
      </w:pPr>
      <w:r>
        <w:rPr>
          <w:color w:val="000000" w:themeColor="text1"/>
          <w14:textFill>
            <w14:solidFill>
              <w14:schemeClr w14:val="tx1"/>
            </w14:solidFill>
          </w14:textFill>
        </w:rPr>
        <w:t>海洋水文</w:t>
      </w:r>
    </w:p>
    <w:p>
      <w:pPr>
        <w:pStyle w:val="283"/>
        <w:ind w:firstLine="494"/>
        <w:rPr>
          <w:color w:val="000000" w:themeColor="text1"/>
          <w14:textFill>
            <w14:solidFill>
              <w14:schemeClr w14:val="tx1"/>
            </w14:solidFill>
          </w14:textFill>
        </w:rPr>
      </w:pPr>
      <w:r>
        <w:rPr>
          <w:rFonts w:hint="eastAsia"/>
          <w:color w:val="000000" w:themeColor="text1"/>
          <w14:textFill>
            <w14:solidFill>
              <w14:schemeClr w14:val="tx1"/>
            </w14:solidFill>
          </w14:textFill>
        </w:rPr>
        <w:t>1、</w:t>
      </w:r>
      <w:r>
        <w:rPr>
          <w:color w:val="000000" w:themeColor="text1"/>
          <w14:textFill>
            <w14:solidFill>
              <w14:schemeClr w14:val="tx1"/>
            </w14:solidFill>
          </w14:textFill>
        </w:rPr>
        <w:t>潮汐</w:t>
      </w:r>
    </w:p>
    <w:p>
      <w:pPr>
        <w:pStyle w:val="283"/>
        <w:ind w:firstLine="494"/>
        <w:rPr>
          <w:color w:val="000000" w:themeColor="text1"/>
          <w14:textFill>
            <w14:solidFill>
              <w14:schemeClr w14:val="tx1"/>
            </w14:solidFill>
          </w14:textFill>
        </w:rPr>
      </w:pPr>
      <w:r>
        <w:rPr>
          <w:color w:val="000000" w:themeColor="text1"/>
          <w14:textFill>
            <w14:solidFill>
              <w14:schemeClr w14:val="tx1"/>
            </w14:solidFill>
          </w14:textFill>
        </w:rPr>
        <w:t>钦州湾的潮汐性质属非正规全日潮，其显著特点是，每月大潮过后约有2～4日时间为半日潮，其余多为全日潮。一年当中，全日潮的时间约为60%～70%。</w:t>
      </w:r>
    </w:p>
    <w:p>
      <w:pPr>
        <w:ind w:firstLine="462"/>
        <w:rPr>
          <w:color w:val="000000" w:themeColor="text1"/>
          <w14:textFill>
            <w14:solidFill>
              <w14:schemeClr w14:val="tx1"/>
            </w14:solidFill>
          </w14:textFill>
        </w:rPr>
      </w:pPr>
      <w:r>
        <w:rPr>
          <w:color w:val="000000" w:themeColor="text1"/>
          <w14:textFill>
            <w14:solidFill>
              <w14:schemeClr w14:val="tx1"/>
            </w14:solidFill>
          </w14:textFill>
        </w:rPr>
        <w:t>根据龙门潮位站1966年～2002年观测资料计算，钦州湾多年平均海面为0.40m（黄海基面起算），其潮位特征值如下：</w:t>
      </w:r>
    </w:p>
    <w:p>
      <w:pPr>
        <w:pStyle w:val="283"/>
        <w:ind w:firstLine="494"/>
        <w:rPr>
          <w:color w:val="000000" w:themeColor="text1"/>
          <w14:textFill>
            <w14:solidFill>
              <w14:schemeClr w14:val="tx1"/>
            </w14:solidFill>
          </w14:textFill>
        </w:rPr>
      </w:pPr>
      <w:r>
        <w:rPr>
          <w:color w:val="000000" w:themeColor="text1"/>
          <w14:textFill>
            <w14:solidFill>
              <w14:schemeClr w14:val="tx1"/>
            </w14:solidFill>
          </w14:textFill>
        </w:rPr>
        <w:t>历年最高高潮位：3.96m（1986年7月22日）</w:t>
      </w:r>
    </w:p>
    <w:p>
      <w:pPr>
        <w:pStyle w:val="283"/>
        <w:ind w:firstLine="494"/>
        <w:rPr>
          <w:color w:val="000000" w:themeColor="text1"/>
          <w14:textFill>
            <w14:solidFill>
              <w14:schemeClr w14:val="tx1"/>
            </w14:solidFill>
          </w14:textFill>
        </w:rPr>
      </w:pPr>
      <w:r>
        <w:rPr>
          <w:color w:val="000000" w:themeColor="text1"/>
          <w14:textFill>
            <w14:solidFill>
              <w14:schemeClr w14:val="tx1"/>
            </w14:solidFill>
          </w14:textFill>
        </w:rPr>
        <w:t>历年最低低潮位：-2.57m（1968年12月22日）</w:t>
      </w:r>
    </w:p>
    <w:p>
      <w:pPr>
        <w:ind w:firstLine="462"/>
        <w:rPr>
          <w:color w:val="000000" w:themeColor="text1"/>
          <w14:textFill>
            <w14:solidFill>
              <w14:schemeClr w14:val="tx1"/>
            </w14:solidFill>
          </w14:textFill>
        </w:rPr>
      </w:pPr>
      <w:r>
        <w:rPr>
          <w:color w:val="000000" w:themeColor="text1"/>
          <w14:textFill>
            <w14:solidFill>
              <w14:schemeClr w14:val="tx1"/>
            </w14:solidFill>
          </w14:textFill>
        </w:rPr>
        <w:t>历年涨潮最大潮差：5.95m（1968年）</w:t>
      </w:r>
    </w:p>
    <w:p>
      <w:pPr>
        <w:ind w:firstLine="462"/>
        <w:rPr>
          <w:color w:val="000000" w:themeColor="text1"/>
          <w14:textFill>
            <w14:solidFill>
              <w14:schemeClr w14:val="tx1"/>
            </w14:solidFill>
          </w14:textFill>
        </w:rPr>
      </w:pPr>
      <w:r>
        <w:rPr>
          <w:color w:val="000000" w:themeColor="text1"/>
          <w14:textFill>
            <w14:solidFill>
              <w14:schemeClr w14:val="tx1"/>
            </w14:solidFill>
          </w14:textFill>
        </w:rPr>
        <w:t>多年涨潮平均潮差：2.46m</w:t>
      </w:r>
    </w:p>
    <w:p>
      <w:pPr>
        <w:ind w:firstLine="462"/>
        <w:rPr>
          <w:color w:val="000000" w:themeColor="text1"/>
          <w14:textFill>
            <w14:solidFill>
              <w14:schemeClr w14:val="tx1"/>
            </w14:solidFill>
          </w14:textFill>
        </w:rPr>
      </w:pPr>
      <w:r>
        <w:rPr>
          <w:color w:val="000000" w:themeColor="text1"/>
          <w14:textFill>
            <w14:solidFill>
              <w14:schemeClr w14:val="tx1"/>
            </w14:solidFill>
          </w14:textFill>
        </w:rPr>
        <w:t>历年落潮最大潮差：5.69m（1987年）</w:t>
      </w:r>
    </w:p>
    <w:p>
      <w:pPr>
        <w:ind w:firstLine="462"/>
        <w:rPr>
          <w:color w:val="000000" w:themeColor="text1"/>
          <w14:textFill>
            <w14:solidFill>
              <w14:schemeClr w14:val="tx1"/>
            </w14:solidFill>
          </w14:textFill>
        </w:rPr>
      </w:pPr>
      <w:r>
        <w:rPr>
          <w:color w:val="000000" w:themeColor="text1"/>
          <w14:textFill>
            <w14:solidFill>
              <w14:schemeClr w14:val="tx1"/>
            </w14:solidFill>
          </w14:textFill>
        </w:rPr>
        <w:t>多年落潮平均潮差：2.46m</w:t>
      </w:r>
    </w:p>
    <w:p>
      <w:pPr>
        <w:ind w:firstLine="462"/>
        <w:rPr>
          <w:color w:val="000000" w:themeColor="text1"/>
          <w14:textFill>
            <w14:solidFill>
              <w14:schemeClr w14:val="tx1"/>
            </w14:solidFill>
          </w14:textFill>
        </w:rPr>
      </w:pPr>
      <w:r>
        <w:rPr>
          <w:color w:val="000000" w:themeColor="text1"/>
          <w14:textFill>
            <w14:solidFill>
              <w14:schemeClr w14:val="tx1"/>
            </w14:solidFill>
          </w14:textFill>
        </w:rPr>
        <w:t>多年平均涨潮历时：10h29min</w:t>
      </w:r>
    </w:p>
    <w:p>
      <w:pPr>
        <w:ind w:firstLine="462"/>
        <w:rPr>
          <w:color w:val="000000" w:themeColor="text1"/>
          <w14:textFill>
            <w14:solidFill>
              <w14:schemeClr w14:val="tx1"/>
            </w14:solidFill>
          </w14:textFill>
        </w:rPr>
      </w:pPr>
      <w:r>
        <w:rPr>
          <w:color w:val="000000" w:themeColor="text1"/>
          <w14:textFill>
            <w14:solidFill>
              <w14:schemeClr w14:val="tx1"/>
            </w14:solidFill>
          </w14:textFill>
        </w:rPr>
        <w:t>多年平均落潮历时：7h47min</w:t>
      </w:r>
    </w:p>
    <w:p>
      <w:pPr>
        <w:pStyle w:val="283"/>
        <w:ind w:firstLine="494"/>
        <w:rPr>
          <w:color w:val="000000" w:themeColor="text1"/>
          <w14:textFill>
            <w14:solidFill>
              <w14:schemeClr w14:val="tx1"/>
            </w14:solidFill>
          </w14:textFill>
        </w:rPr>
      </w:pPr>
      <w:r>
        <w:rPr>
          <w:rFonts w:hint="eastAsia"/>
          <w:color w:val="000000" w:themeColor="text1"/>
          <w14:textFill>
            <w14:solidFill>
              <w14:schemeClr w14:val="tx1"/>
            </w14:solidFill>
          </w14:textFill>
        </w:rPr>
        <w:t>2、</w:t>
      </w:r>
      <w:r>
        <w:rPr>
          <w:color w:val="000000" w:themeColor="text1"/>
          <w14:textFill>
            <w14:solidFill>
              <w14:schemeClr w14:val="tx1"/>
            </w14:solidFill>
          </w14:textFill>
        </w:rPr>
        <w:t xml:space="preserve">潮流 </w:t>
      </w:r>
    </w:p>
    <w:p>
      <w:pPr>
        <w:pStyle w:val="283"/>
        <w:ind w:firstLine="494"/>
        <w:rPr>
          <w:color w:val="000000" w:themeColor="text1"/>
          <w14:textFill>
            <w14:solidFill>
              <w14:schemeClr w14:val="tx1"/>
            </w14:solidFill>
          </w14:textFill>
        </w:rPr>
      </w:pPr>
      <w:r>
        <w:rPr>
          <w:color w:val="000000" w:themeColor="text1"/>
          <w14:textFill>
            <w14:solidFill>
              <w14:schemeClr w14:val="tx1"/>
            </w14:solidFill>
          </w14:textFill>
        </w:rPr>
        <w:t>钦州湾潮流呈往复流性质。涨潮方向指北，即涨潮流由南进入湾内后，受东侧边界的影响，在东侧呈NNW流向青菜头，并沿潮汐通道进入茅尾海。落潮流由茅尾海向外，沿潮汐通道直冲青菜头，而后由北向南逐渐向SW方向偏转。涨落潮流均与航道走向大体一致，落潮潮流可将携带的泥沙向外海推移。</w:t>
      </w:r>
    </w:p>
    <w:p>
      <w:pPr>
        <w:pStyle w:val="283"/>
        <w:ind w:firstLine="494"/>
        <w:rPr>
          <w:color w:val="000000" w:themeColor="text1"/>
          <w14:textFill>
            <w14:solidFill>
              <w14:schemeClr w14:val="tx1"/>
            </w14:solidFill>
          </w14:textFill>
        </w:rPr>
      </w:pPr>
      <w:r>
        <w:rPr>
          <w:color w:val="000000" w:themeColor="text1"/>
          <w14:textFill>
            <w14:solidFill>
              <w14:schemeClr w14:val="tx1"/>
            </w14:solidFill>
          </w14:textFill>
        </w:rPr>
        <w:t>钦州湾内涨潮平均流速为8cm/s～28cm/s，最大为54cm/s，落潮平均流速为9cm/s～55cm/s，最大流速为95cm/s。落潮平均流速和最大流速均较涨潮大。</w:t>
      </w:r>
    </w:p>
    <w:p>
      <w:pPr>
        <w:pStyle w:val="283"/>
        <w:ind w:firstLine="494"/>
        <w:rPr>
          <w:color w:val="000000" w:themeColor="text1"/>
          <w14:textFill>
            <w14:solidFill>
              <w14:schemeClr w14:val="tx1"/>
            </w14:solidFill>
          </w14:textFill>
        </w:rPr>
      </w:pPr>
      <w:r>
        <w:rPr>
          <w:color w:val="000000" w:themeColor="text1"/>
          <w14:textFill>
            <w14:solidFill>
              <w14:schemeClr w14:val="tx1"/>
            </w14:solidFill>
          </w14:textFill>
        </w:rPr>
        <w:t>鹰岭附近，大潮时，落潮流最大垂线平均流速达106cm/s，流向113°；涨潮流最大垂线平均流速为72cm/s，流向313°；小潮时，落潮流最大垂线平均流速为20cm/s，流向108°；涨潮流最大垂线平均流速为38cm/s，流向288°。在东航道中段，中潮时落潮流最大垂线平均流速为65cm/s，流向为162°；涨潮时最大垂线平均流速为51cm/s，流向为355°。在青菜头以北的潮汐通道中，除局部水域受岛礁影响水流流向较散乱外，潮流呈往复流性质，涨落潮流方向与深槽走向一致。由于茅尾海的纳潮量大，因此，潮汐通道潮流强劲，无大的风浪，最大涨潮流速为100cm/s，最大落潮流速为170cm/s。基岩上无淤积物覆盖，深槽水深达10cm～20cm。</w:t>
      </w:r>
    </w:p>
    <w:p>
      <w:pPr>
        <w:pStyle w:val="283"/>
        <w:ind w:firstLine="494"/>
        <w:rPr>
          <w:color w:val="000000" w:themeColor="text1"/>
          <w14:textFill>
            <w14:solidFill>
              <w14:schemeClr w14:val="tx1"/>
            </w14:solidFill>
          </w14:textFill>
        </w:rPr>
      </w:pPr>
      <w:r>
        <w:rPr>
          <w:rFonts w:hint="eastAsia"/>
          <w:color w:val="000000" w:themeColor="text1"/>
          <w14:textFill>
            <w14:solidFill>
              <w14:schemeClr w14:val="tx1"/>
            </w14:solidFill>
          </w14:textFill>
        </w:rPr>
        <w:t>3、</w:t>
      </w:r>
      <w:r>
        <w:rPr>
          <w:color w:val="000000" w:themeColor="text1"/>
          <w14:textFill>
            <w14:solidFill>
              <w14:schemeClr w14:val="tx1"/>
            </w14:solidFill>
          </w14:textFill>
        </w:rPr>
        <w:t>波浪</w:t>
      </w:r>
    </w:p>
    <w:p>
      <w:pPr>
        <w:pStyle w:val="283"/>
        <w:ind w:firstLine="494"/>
        <w:rPr>
          <w:color w:val="000000" w:themeColor="text1"/>
          <w14:textFill>
            <w14:solidFill>
              <w14:schemeClr w14:val="tx1"/>
            </w14:solidFill>
          </w14:textFill>
        </w:rPr>
      </w:pPr>
      <w:r>
        <w:rPr>
          <w:rFonts w:hint="eastAsia"/>
          <w:color w:val="000000" w:themeColor="text1"/>
          <w14:textFill>
            <w14:solidFill>
              <w14:schemeClr w14:val="tx1"/>
            </w14:solidFill>
          </w14:textFill>
        </w:rPr>
        <w:t>本海区波浪以风浪为主，常浪向SSW向、频率占17.67％，其次NNE向、频率为17.2％；强浪向为ESE向，次强浪向为SSW向和NE向；本海区实测最大波高为3.4m，实测最大周期为6.8s。据统计本区H 1/10小于0.5m发生频率为66.37％，小于1.0m发生频率为96.21％，大于1.5m波高出现频率仅为1.1%。</w:t>
      </w:r>
    </w:p>
    <w:p>
      <w:pPr>
        <w:ind w:firstLine="482"/>
        <w:rPr>
          <w:b/>
          <w:color w:val="000000" w:themeColor="text1"/>
          <w14:textFill>
            <w14:solidFill>
              <w14:schemeClr w14:val="tx1"/>
            </w14:solidFill>
          </w14:textFill>
        </w:rPr>
      </w:pPr>
      <w:r>
        <w:rPr>
          <w:rFonts w:hint="eastAsia"/>
          <w:b/>
          <w:color w:val="000000" w:themeColor="text1"/>
          <w14:textFill>
            <w14:solidFill>
              <w14:schemeClr w14:val="tx1"/>
            </w14:solidFill>
          </w14:textFill>
        </w:rPr>
        <w:t>4、</w:t>
      </w:r>
      <w:r>
        <w:rPr>
          <w:b/>
          <w:color w:val="000000" w:themeColor="text1"/>
          <w14:textFill>
            <w14:solidFill>
              <w14:schemeClr w14:val="tx1"/>
            </w14:solidFill>
          </w14:textFill>
        </w:rPr>
        <w:t>乘潮水位</w:t>
      </w:r>
    </w:p>
    <w:p>
      <w:pPr>
        <w:ind w:firstLine="480"/>
        <w:rPr>
          <w:color w:val="000000" w:themeColor="text1"/>
          <w14:textFill>
            <w14:solidFill>
              <w14:schemeClr w14:val="tx1"/>
            </w14:solidFill>
          </w14:textFill>
        </w:rPr>
      </w:pPr>
      <w:r>
        <w:rPr>
          <w:color w:val="000000" w:themeColor="text1"/>
          <w14:textFill>
            <w14:solidFill>
              <w14:schemeClr w14:val="tx1"/>
            </w14:solidFill>
          </w14:textFill>
        </w:rPr>
        <w:t>钦州港</w:t>
      </w:r>
      <w:r>
        <w:rPr>
          <w:rFonts w:hint="eastAsia"/>
          <w:color w:val="000000" w:themeColor="text1"/>
          <w14:textFill>
            <w14:solidFill>
              <w14:schemeClr w14:val="tx1"/>
            </w14:solidFill>
          </w14:textFill>
        </w:rPr>
        <w:t>极端高水位为</w:t>
      </w:r>
      <w:r>
        <w:rPr>
          <w:color w:val="000000" w:themeColor="text1"/>
          <w14:textFill>
            <w14:solidFill>
              <w14:schemeClr w14:val="tx1"/>
            </w14:solidFill>
          </w14:textFill>
        </w:rPr>
        <w:t>5.77m</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50</w:t>
      </w:r>
      <w:r>
        <w:rPr>
          <w:rFonts w:hint="eastAsia"/>
          <w:color w:val="000000" w:themeColor="text1"/>
          <w14:textFill>
            <w14:solidFill>
              <w14:schemeClr w14:val="tx1"/>
            </w14:solidFill>
          </w14:textFill>
        </w:rPr>
        <w:t>年一遇高潮位），极端低水位为</w:t>
      </w:r>
      <w:r>
        <w:rPr>
          <w:color w:val="000000" w:themeColor="text1"/>
          <w14:textFill>
            <w14:solidFill>
              <w14:schemeClr w14:val="tx1"/>
            </w14:solidFill>
          </w14:textFill>
        </w:rPr>
        <w:t>-0.89m</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50</w:t>
      </w:r>
      <w:r>
        <w:rPr>
          <w:rFonts w:hint="eastAsia"/>
          <w:color w:val="000000" w:themeColor="text1"/>
          <w14:textFill>
            <w14:solidFill>
              <w14:schemeClr w14:val="tx1"/>
            </w14:solidFill>
          </w14:textFill>
        </w:rPr>
        <w:t>年一遇低潮位），</w:t>
      </w:r>
      <w:r>
        <w:rPr>
          <w:color w:val="000000" w:themeColor="text1"/>
          <w14:textFill>
            <w14:solidFill>
              <w14:schemeClr w14:val="tx1"/>
            </w14:solidFill>
          </w14:textFill>
        </w:rPr>
        <w:t>各乘潮历时不同保证率乘潮水位如下表</w:t>
      </w:r>
      <w:r>
        <w:rPr>
          <w:rFonts w:hint="eastAsia"/>
          <w:color w:val="000000" w:themeColor="text1"/>
          <w14:textFill>
            <w14:solidFill>
              <w14:schemeClr w14:val="tx1"/>
            </w14:solidFill>
          </w14:textFill>
        </w:rPr>
        <w:t>3.1-3</w:t>
      </w:r>
      <w:r>
        <w:rPr>
          <w:color w:val="000000" w:themeColor="text1"/>
          <w14:textFill>
            <w14:solidFill>
              <w14:schemeClr w14:val="tx1"/>
            </w14:solidFill>
          </w14:textFill>
        </w:rPr>
        <w:t>。</w:t>
      </w:r>
    </w:p>
    <w:p>
      <w:pPr>
        <w:pStyle w:val="384"/>
        <w:ind w:left="0" w:firstLine="0"/>
        <w:rPr>
          <w:rFonts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 xml:space="preserve"> </w:t>
      </w:r>
      <w:r>
        <w:rPr>
          <w:rFonts w:cs="Times New Roman"/>
          <w:color w:val="000000" w:themeColor="text1"/>
          <w14:textFill>
            <w14:solidFill>
              <w14:schemeClr w14:val="tx1"/>
            </w14:solidFill>
          </w14:textFill>
        </w:rPr>
        <w:t>乘潮水位表（果子山理论深度基准面）</w:t>
      </w:r>
    </w:p>
    <w:tbl>
      <w:tblPr>
        <w:tblStyle w:val="88"/>
        <w:tblW w:w="8522" w:type="dxa"/>
        <w:jc w:val="center"/>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2496"/>
        <w:gridCol w:w="1687"/>
        <w:gridCol w:w="1571"/>
        <w:gridCol w:w="1454"/>
        <w:gridCol w:w="1314"/>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170" w:hRule="atLeast"/>
          <w:tblHeader/>
          <w:jc w:val="center"/>
        </w:trPr>
        <w:tc>
          <w:tcPr>
            <w:tcW w:w="2496" w:type="dxa"/>
            <w:vAlign w:val="center"/>
          </w:tcPr>
          <w:p>
            <w:pPr>
              <w:pStyle w:val="3472"/>
              <w:wordWrap/>
              <w:snapToGrid w:val="0"/>
              <w:spacing w:line="240" w:lineRule="exact"/>
              <w:rPr>
                <w:b/>
                <w:bCs/>
                <w:color w:val="000000" w:themeColor="text1"/>
                <w:kern w:val="2"/>
                <w:szCs w:val="21"/>
                <w14:textFill>
                  <w14:solidFill>
                    <w14:schemeClr w14:val="tx1"/>
                  </w14:solidFill>
                </w14:textFill>
              </w:rPr>
            </w:pPr>
            <w:r>
              <w:rPr>
                <w:color w:val="000000" w:themeColor="text1"/>
                <w14:textFill>
                  <w14:solidFill>
                    <w14:schemeClr w14:val="tx1"/>
                  </w14:solidFill>
                </w14:textFill>
              </w:rPr>
              <mc:AlternateContent>
                <mc:Choice Requires="wps">
                  <w:drawing>
                    <wp:anchor distT="0" distB="0" distL="114300" distR="114300" simplePos="0" relativeHeight="251694080" behindDoc="0" locked="0" layoutInCell="1" allowOverlap="1">
                      <wp:simplePos x="0" y="0"/>
                      <wp:positionH relativeFrom="column">
                        <wp:posOffset>-55245</wp:posOffset>
                      </wp:positionH>
                      <wp:positionV relativeFrom="paragraph">
                        <wp:posOffset>16510</wp:posOffset>
                      </wp:positionV>
                      <wp:extent cx="916305" cy="643890"/>
                      <wp:effectExtent l="0" t="0" r="17145" b="22860"/>
                      <wp:wrapNone/>
                      <wp:docPr id="355215808" name="直接连接符 355215808"/>
                      <wp:cNvGraphicFramePr/>
                      <a:graphic xmlns:a="http://schemas.openxmlformats.org/drawingml/2006/main">
                        <a:graphicData uri="http://schemas.microsoft.com/office/word/2010/wordprocessingShape">
                          <wps:wsp>
                            <wps:cNvCnPr>
                              <a:cxnSpLocks noChangeShapeType="1"/>
                            </wps:cNvCnPr>
                            <wps:spPr bwMode="auto">
                              <a:xfrm>
                                <a:off x="0" y="0"/>
                                <a:ext cx="916305" cy="643890"/>
                              </a:xfrm>
                              <a:prstGeom prst="line">
                                <a:avLst/>
                              </a:prstGeom>
                              <a:noFill/>
                              <a:ln w="9525">
                                <a:solidFill>
                                  <a:srgbClr val="000000"/>
                                </a:solidFill>
                                <a:round/>
                              </a:ln>
                              <a:effectLst/>
                            </wps:spPr>
                            <wps:bodyPr/>
                          </wps:wsp>
                        </a:graphicData>
                      </a:graphic>
                    </wp:anchor>
                  </w:drawing>
                </mc:Choice>
                <mc:Fallback>
                  <w:pict>
                    <v:line id="_x0000_s1026" o:spid="_x0000_s1026" o:spt="20" style="position:absolute;left:0pt;margin-left:-4.35pt;margin-top:1.3pt;height:50.7pt;width:72.15pt;z-index:251694080;mso-width-relative:page;mso-height-relative:page;" filled="f" stroked="t" coordsize="21600,21600" o:gfxdata="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">
                      <v:fill on="f" focussize="0,0"/>
                      <v:stroke color="#000000" joinstyle="round"/>
                      <v:imagedata o:title=""/>
                      <o:lock v:ext="edit" aspectratio="f"/>
                    </v:line>
                  </w:pict>
                </mc:Fallback>
              </mc:AlternateContent>
            </w:r>
            <w:r>
              <w:rPr>
                <w:color w:val="000000" w:themeColor="text1"/>
                <w14:textFill>
                  <w14:solidFill>
                    <w14:schemeClr w14:val="tx1"/>
                  </w14:solidFill>
                </w14:textFill>
              </w:rPr>
              <mc:AlternateContent>
                <mc:Choice Requires="wps">
                  <w:drawing>
                    <wp:anchor distT="0" distB="0" distL="114300" distR="114300" simplePos="0" relativeHeight="251693056" behindDoc="0" locked="0" layoutInCell="1" allowOverlap="1">
                      <wp:simplePos x="0" y="0"/>
                      <wp:positionH relativeFrom="column">
                        <wp:posOffset>-69215</wp:posOffset>
                      </wp:positionH>
                      <wp:positionV relativeFrom="paragraph">
                        <wp:posOffset>16510</wp:posOffset>
                      </wp:positionV>
                      <wp:extent cx="1593215" cy="466725"/>
                      <wp:effectExtent l="0" t="0" r="26035" b="28575"/>
                      <wp:wrapNone/>
                      <wp:docPr id="63" name="直接连接符 63"/>
                      <wp:cNvGraphicFramePr/>
                      <a:graphic xmlns:a="http://schemas.openxmlformats.org/drawingml/2006/main">
                        <a:graphicData uri="http://schemas.microsoft.com/office/word/2010/wordprocessingShape">
                          <wps:wsp>
                            <wps:cNvCnPr>
                              <a:cxnSpLocks noChangeShapeType="1"/>
                            </wps:cNvCnPr>
                            <wps:spPr bwMode="auto">
                              <a:xfrm>
                                <a:off x="0" y="0"/>
                                <a:ext cx="1593215" cy="466725"/>
                              </a:xfrm>
                              <a:prstGeom prst="line">
                                <a:avLst/>
                              </a:prstGeom>
                              <a:noFill/>
                              <a:ln w="9525">
                                <a:solidFill>
                                  <a:srgbClr val="000000"/>
                                </a:solidFill>
                                <a:round/>
                              </a:ln>
                            </wps:spPr>
                            <wps:bodyPr/>
                          </wps:wsp>
                        </a:graphicData>
                      </a:graphic>
                    </wp:anchor>
                  </w:drawing>
                </mc:Choice>
                <mc:Fallback>
                  <w:pict>
                    <v:line id="_x0000_s1026" o:spid="_x0000_s1026" o:spt="20" style="position:absolute;left:0pt;margin-left:-5.45pt;margin-top:1.3pt;height:36.75pt;width:125.45pt;z-index:251693056;mso-width-relative:page;mso-height-relative:page;" filled="f" stroked="t" coordsize="21600,21600" o:gfxdata="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">
                      <v:fill on="f" focussize="0,0"/>
                      <v:stroke color="#000000" joinstyle="round"/>
                      <v:imagedata o:title=""/>
                      <o:lock v:ext="edit" aspectratio="f"/>
                    </v:line>
                  </w:pict>
                </mc:Fallback>
              </mc:AlternateContent>
            </w:r>
            <w:r>
              <w:rPr>
                <w:rFonts w:hint="eastAsia"/>
                <w:b/>
                <w:bCs/>
                <w:color w:val="000000" w:themeColor="text1"/>
                <w:kern w:val="2"/>
                <w:szCs w:val="21"/>
                <w14:textFill>
                  <w14:solidFill>
                    <w14:schemeClr w14:val="tx1"/>
                  </w14:solidFill>
                </w14:textFill>
              </w:rPr>
              <w:t xml:space="preserve">        </w:t>
            </w:r>
            <w:r>
              <w:rPr>
                <w:b/>
                <w:bCs/>
                <w:color w:val="000000" w:themeColor="text1"/>
                <w:kern w:val="2"/>
                <w:szCs w:val="21"/>
                <w14:textFill>
                  <w14:solidFill>
                    <w14:schemeClr w14:val="tx1"/>
                  </w14:solidFill>
                </w14:textFill>
              </w:rPr>
              <w:t>乘潮历时（h）</w:t>
            </w:r>
          </w:p>
          <w:p>
            <w:pPr>
              <w:pStyle w:val="3472"/>
              <w:wordWrap/>
              <w:snapToGrid w:val="0"/>
              <w:spacing w:line="240" w:lineRule="exact"/>
              <w:jc w:val="left"/>
              <w:rPr>
                <w:b/>
                <w:bCs/>
                <w:color w:val="000000" w:themeColor="text1"/>
                <w:kern w:val="2"/>
                <w:szCs w:val="21"/>
                <w14:textFill>
                  <w14:solidFill>
                    <w14:schemeClr w14:val="tx1"/>
                  </w14:solidFill>
                </w14:textFill>
              </w:rPr>
            </w:pPr>
          </w:p>
          <w:p>
            <w:pPr>
              <w:pStyle w:val="3472"/>
              <w:wordWrap/>
              <w:snapToGrid w:val="0"/>
              <w:spacing w:line="240" w:lineRule="exact"/>
              <w:jc w:val="left"/>
              <w:rPr>
                <w:b/>
                <w:bCs/>
                <w:color w:val="000000" w:themeColor="text1"/>
                <w:kern w:val="2"/>
                <w:szCs w:val="21"/>
                <w14:textFill>
                  <w14:solidFill>
                    <w14:schemeClr w14:val="tx1"/>
                  </w14:solidFill>
                </w14:textFill>
              </w:rPr>
            </w:pPr>
            <w:r>
              <w:rPr>
                <w:rFonts w:hint="eastAsia"/>
                <w:b/>
                <w:bCs/>
                <w:color w:val="000000" w:themeColor="text1"/>
                <w:kern w:val="2"/>
                <w:szCs w:val="21"/>
                <w14:textFill>
                  <w14:solidFill>
                    <w14:schemeClr w14:val="tx1"/>
                  </w14:solidFill>
                </w14:textFill>
              </w:rPr>
              <w:t xml:space="preserve"> </w:t>
            </w:r>
            <w:r>
              <w:rPr>
                <w:b/>
                <w:bCs/>
                <w:color w:val="000000" w:themeColor="text1"/>
                <w:kern w:val="2"/>
                <w:szCs w:val="21"/>
                <w14:textFill>
                  <w14:solidFill>
                    <w14:schemeClr w14:val="tx1"/>
                  </w14:solidFill>
                </w14:textFill>
              </w:rPr>
              <w:t>频率</w:t>
            </w:r>
            <w:r>
              <w:rPr>
                <w:rFonts w:hint="eastAsia"/>
                <w:b/>
                <w:bCs/>
                <w:color w:val="000000" w:themeColor="text1"/>
                <w:kern w:val="2"/>
                <w:szCs w:val="21"/>
                <w14:textFill>
                  <w14:solidFill>
                    <w14:schemeClr w14:val="tx1"/>
                  </w14:solidFill>
                </w14:textFill>
              </w:rPr>
              <w:t>（</w:t>
            </w:r>
            <w:r>
              <w:rPr>
                <w:b/>
                <w:bCs/>
                <w:color w:val="000000" w:themeColor="text1"/>
                <w:kern w:val="2"/>
                <w:szCs w:val="21"/>
                <w14:textFill>
                  <w14:solidFill>
                    <w14:schemeClr w14:val="tx1"/>
                  </w14:solidFill>
                </w14:textFill>
              </w:rPr>
              <w:t>%)</w:t>
            </w:r>
          </w:p>
          <w:p>
            <w:pPr>
              <w:pStyle w:val="3472"/>
              <w:wordWrap/>
              <w:snapToGrid w:val="0"/>
              <w:spacing w:line="240" w:lineRule="exact"/>
              <w:jc w:val="left"/>
              <w:rPr>
                <w:b/>
                <w:bCs/>
                <w:color w:val="000000" w:themeColor="text1"/>
                <w:kern w:val="2"/>
                <w:szCs w:val="21"/>
                <w14:textFill>
                  <w14:solidFill>
                    <w14:schemeClr w14:val="tx1"/>
                  </w14:solidFill>
                </w14:textFill>
              </w:rPr>
            </w:pPr>
            <w:r>
              <w:rPr>
                <w:b/>
                <w:bCs/>
                <w:color w:val="000000" w:themeColor="text1"/>
                <w:kern w:val="2"/>
                <w:szCs w:val="21"/>
                <w14:textFill>
                  <w14:solidFill>
                    <w14:schemeClr w14:val="tx1"/>
                  </w14:solidFill>
                </w14:textFill>
              </w:rPr>
              <w:t>水位（m）</w:t>
            </w:r>
          </w:p>
        </w:tc>
        <w:tc>
          <w:tcPr>
            <w:tcW w:w="1687" w:type="dxa"/>
            <w:vAlign w:val="center"/>
          </w:tcPr>
          <w:p>
            <w:pPr>
              <w:pStyle w:val="3472"/>
              <w:wordWrap/>
              <w:snapToGrid w:val="0"/>
              <w:spacing w:line="240" w:lineRule="exact"/>
              <w:rPr>
                <w:b/>
                <w:bCs/>
                <w:color w:val="000000" w:themeColor="text1"/>
                <w:kern w:val="2"/>
                <w:szCs w:val="21"/>
                <w14:textFill>
                  <w14:solidFill>
                    <w14:schemeClr w14:val="tx1"/>
                  </w14:solidFill>
                </w14:textFill>
              </w:rPr>
            </w:pPr>
            <w:r>
              <w:rPr>
                <w:rFonts w:hint="eastAsia"/>
                <w:b/>
                <w:bCs/>
                <w:color w:val="000000" w:themeColor="text1"/>
                <w:kern w:val="2"/>
                <w:szCs w:val="21"/>
                <w14:textFill>
                  <w14:solidFill>
                    <w14:schemeClr w14:val="tx1"/>
                  </w14:solidFill>
                </w14:textFill>
              </w:rPr>
              <w:t>1</w:t>
            </w:r>
          </w:p>
        </w:tc>
        <w:tc>
          <w:tcPr>
            <w:tcW w:w="1571" w:type="dxa"/>
            <w:vAlign w:val="center"/>
          </w:tcPr>
          <w:p>
            <w:pPr>
              <w:pStyle w:val="3472"/>
              <w:wordWrap/>
              <w:snapToGrid w:val="0"/>
              <w:spacing w:line="240" w:lineRule="exact"/>
              <w:rPr>
                <w:b/>
                <w:bCs/>
                <w:color w:val="000000" w:themeColor="text1"/>
                <w:kern w:val="2"/>
                <w:szCs w:val="21"/>
                <w14:textFill>
                  <w14:solidFill>
                    <w14:schemeClr w14:val="tx1"/>
                  </w14:solidFill>
                </w14:textFill>
              </w:rPr>
            </w:pPr>
            <w:r>
              <w:rPr>
                <w:rFonts w:hint="eastAsia"/>
                <w:b/>
                <w:bCs/>
                <w:color w:val="000000" w:themeColor="text1"/>
                <w:kern w:val="2"/>
                <w:szCs w:val="21"/>
                <w14:textFill>
                  <w14:solidFill>
                    <w14:schemeClr w14:val="tx1"/>
                  </w14:solidFill>
                </w14:textFill>
              </w:rPr>
              <w:t>2</w:t>
            </w:r>
          </w:p>
        </w:tc>
        <w:tc>
          <w:tcPr>
            <w:tcW w:w="1454" w:type="dxa"/>
            <w:vAlign w:val="center"/>
          </w:tcPr>
          <w:p>
            <w:pPr>
              <w:pStyle w:val="3472"/>
              <w:wordWrap/>
              <w:snapToGrid w:val="0"/>
              <w:spacing w:line="240" w:lineRule="exact"/>
              <w:rPr>
                <w:b/>
                <w:bCs/>
                <w:color w:val="000000" w:themeColor="text1"/>
                <w:kern w:val="2"/>
                <w:szCs w:val="21"/>
                <w14:textFill>
                  <w14:solidFill>
                    <w14:schemeClr w14:val="tx1"/>
                  </w14:solidFill>
                </w14:textFill>
              </w:rPr>
            </w:pPr>
            <w:r>
              <w:rPr>
                <w:rFonts w:hint="eastAsia"/>
                <w:b/>
                <w:bCs/>
                <w:color w:val="000000" w:themeColor="text1"/>
                <w:kern w:val="2"/>
                <w:szCs w:val="21"/>
                <w14:textFill>
                  <w14:solidFill>
                    <w14:schemeClr w14:val="tx1"/>
                  </w14:solidFill>
                </w14:textFill>
              </w:rPr>
              <w:t>3</w:t>
            </w:r>
          </w:p>
        </w:tc>
        <w:tc>
          <w:tcPr>
            <w:tcW w:w="1314" w:type="dxa"/>
            <w:vAlign w:val="center"/>
          </w:tcPr>
          <w:p>
            <w:pPr>
              <w:pStyle w:val="3472"/>
              <w:wordWrap/>
              <w:snapToGrid w:val="0"/>
              <w:spacing w:line="240" w:lineRule="exact"/>
              <w:rPr>
                <w:b/>
                <w:bCs/>
                <w:color w:val="000000" w:themeColor="text1"/>
                <w:kern w:val="2"/>
                <w:szCs w:val="21"/>
                <w14:textFill>
                  <w14:solidFill>
                    <w14:schemeClr w14:val="tx1"/>
                  </w14:solidFill>
                </w14:textFill>
              </w:rPr>
            </w:pPr>
            <w:r>
              <w:rPr>
                <w:rFonts w:hint="eastAsia"/>
                <w:b/>
                <w:bCs/>
                <w:color w:val="000000" w:themeColor="text1"/>
                <w:kern w:val="2"/>
                <w:szCs w:val="21"/>
                <w14:textFill>
                  <w14:solidFill>
                    <w14:schemeClr w14:val="tx1"/>
                  </w14:solidFill>
                </w14:textFill>
              </w:rPr>
              <w:t>4</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170" w:hRule="atLeast"/>
          <w:jc w:val="center"/>
        </w:trPr>
        <w:tc>
          <w:tcPr>
            <w:tcW w:w="2496" w:type="dxa"/>
            <w:vAlign w:val="center"/>
          </w:tcPr>
          <w:p>
            <w:pPr>
              <w:pStyle w:val="3472"/>
              <w:wordWrap/>
              <w:snapToGrid w:val="0"/>
              <w:spacing w:line="240" w:lineRule="exact"/>
              <w:rPr>
                <w:color w:val="000000" w:themeColor="text1"/>
                <w:kern w:val="2"/>
                <w:szCs w:val="21"/>
                <w14:textFill>
                  <w14:solidFill>
                    <w14:schemeClr w14:val="tx1"/>
                  </w14:solidFill>
                </w14:textFill>
              </w:rPr>
            </w:pPr>
            <w:r>
              <w:rPr>
                <w:color w:val="000000" w:themeColor="text1"/>
                <w:kern w:val="2"/>
                <w:szCs w:val="21"/>
                <w14:textFill>
                  <w14:solidFill>
                    <w14:schemeClr w14:val="tx1"/>
                  </w14:solidFill>
                </w14:textFill>
              </w:rPr>
              <w:t>10</w:t>
            </w:r>
          </w:p>
        </w:tc>
        <w:tc>
          <w:tcPr>
            <w:tcW w:w="1687" w:type="dxa"/>
            <w:vAlign w:val="center"/>
          </w:tcPr>
          <w:p>
            <w:pPr>
              <w:pStyle w:val="3472"/>
              <w:wordWrap/>
              <w:snapToGrid w:val="0"/>
              <w:spacing w:line="240" w:lineRule="exact"/>
              <w:rPr>
                <w:color w:val="000000" w:themeColor="text1"/>
                <w:kern w:val="2"/>
                <w:szCs w:val="21"/>
                <w14:textFill>
                  <w14:solidFill>
                    <w14:schemeClr w14:val="tx1"/>
                  </w14:solidFill>
                </w14:textFill>
              </w:rPr>
            </w:pPr>
            <w:r>
              <w:rPr>
                <w:color w:val="000000" w:themeColor="text1"/>
                <w:spacing w:val="-1"/>
                <w:kern w:val="2"/>
                <w:szCs w:val="21"/>
                <w14:textFill>
                  <w14:solidFill>
                    <w14:schemeClr w14:val="tx1"/>
                  </w14:solidFill>
                </w14:textFill>
              </w:rPr>
              <w:t>5.13</w:t>
            </w:r>
          </w:p>
        </w:tc>
        <w:tc>
          <w:tcPr>
            <w:tcW w:w="1571" w:type="dxa"/>
            <w:vAlign w:val="center"/>
          </w:tcPr>
          <w:p>
            <w:pPr>
              <w:pStyle w:val="3472"/>
              <w:wordWrap/>
              <w:snapToGrid w:val="0"/>
              <w:spacing w:line="240" w:lineRule="exact"/>
              <w:rPr>
                <w:color w:val="000000" w:themeColor="text1"/>
                <w:kern w:val="2"/>
                <w:szCs w:val="21"/>
                <w14:textFill>
                  <w14:solidFill>
                    <w14:schemeClr w14:val="tx1"/>
                  </w14:solidFill>
                </w14:textFill>
              </w:rPr>
            </w:pPr>
            <w:r>
              <w:rPr>
                <w:color w:val="000000" w:themeColor="text1"/>
                <w:spacing w:val="-1"/>
                <w:kern w:val="2"/>
                <w:szCs w:val="21"/>
                <w14:textFill>
                  <w14:solidFill>
                    <w14:schemeClr w14:val="tx1"/>
                  </w14:solidFill>
                </w14:textFill>
              </w:rPr>
              <w:t>5.03</w:t>
            </w:r>
          </w:p>
        </w:tc>
        <w:tc>
          <w:tcPr>
            <w:tcW w:w="1454" w:type="dxa"/>
            <w:vAlign w:val="center"/>
          </w:tcPr>
          <w:p>
            <w:pPr>
              <w:pStyle w:val="3472"/>
              <w:wordWrap/>
              <w:snapToGrid w:val="0"/>
              <w:spacing w:line="240" w:lineRule="exact"/>
              <w:rPr>
                <w:color w:val="000000" w:themeColor="text1"/>
                <w:kern w:val="2"/>
                <w:szCs w:val="21"/>
                <w14:textFill>
                  <w14:solidFill>
                    <w14:schemeClr w14:val="tx1"/>
                  </w14:solidFill>
                </w14:textFill>
              </w:rPr>
            </w:pPr>
            <w:r>
              <w:rPr>
                <w:color w:val="000000" w:themeColor="text1"/>
                <w:spacing w:val="-1"/>
                <w:kern w:val="2"/>
                <w:szCs w:val="21"/>
                <w14:textFill>
                  <w14:solidFill>
                    <w14:schemeClr w14:val="tx1"/>
                  </w14:solidFill>
                </w14:textFill>
              </w:rPr>
              <w:t>4.90</w:t>
            </w:r>
          </w:p>
        </w:tc>
        <w:tc>
          <w:tcPr>
            <w:tcW w:w="1314" w:type="dxa"/>
            <w:vAlign w:val="center"/>
          </w:tcPr>
          <w:p>
            <w:pPr>
              <w:pStyle w:val="3472"/>
              <w:wordWrap/>
              <w:snapToGrid w:val="0"/>
              <w:spacing w:line="240" w:lineRule="exact"/>
              <w:rPr>
                <w:color w:val="000000" w:themeColor="text1"/>
                <w:kern w:val="2"/>
                <w:szCs w:val="21"/>
                <w14:textFill>
                  <w14:solidFill>
                    <w14:schemeClr w14:val="tx1"/>
                  </w14:solidFill>
                </w14:textFill>
              </w:rPr>
            </w:pPr>
            <w:r>
              <w:rPr>
                <w:color w:val="000000" w:themeColor="text1"/>
                <w:spacing w:val="-1"/>
                <w:kern w:val="2"/>
                <w:szCs w:val="21"/>
                <w14:textFill>
                  <w14:solidFill>
                    <w14:schemeClr w14:val="tx1"/>
                  </w14:solidFill>
                </w14:textFill>
              </w:rPr>
              <w:t>4.71</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170" w:hRule="atLeast"/>
          <w:jc w:val="center"/>
        </w:trPr>
        <w:tc>
          <w:tcPr>
            <w:tcW w:w="2496" w:type="dxa"/>
            <w:vAlign w:val="center"/>
          </w:tcPr>
          <w:p>
            <w:pPr>
              <w:pStyle w:val="3472"/>
              <w:wordWrap/>
              <w:snapToGrid w:val="0"/>
              <w:spacing w:line="240" w:lineRule="exact"/>
              <w:rPr>
                <w:color w:val="000000" w:themeColor="text1"/>
                <w:kern w:val="2"/>
                <w:szCs w:val="21"/>
                <w14:textFill>
                  <w14:solidFill>
                    <w14:schemeClr w14:val="tx1"/>
                  </w14:solidFill>
                </w14:textFill>
              </w:rPr>
            </w:pPr>
            <w:r>
              <w:rPr>
                <w:color w:val="000000" w:themeColor="text1"/>
                <w:kern w:val="2"/>
                <w:szCs w:val="21"/>
                <w14:textFill>
                  <w14:solidFill>
                    <w14:schemeClr w14:val="tx1"/>
                  </w14:solidFill>
                </w14:textFill>
              </w:rPr>
              <w:t>20</w:t>
            </w:r>
          </w:p>
        </w:tc>
        <w:tc>
          <w:tcPr>
            <w:tcW w:w="1687" w:type="dxa"/>
            <w:vAlign w:val="center"/>
          </w:tcPr>
          <w:p>
            <w:pPr>
              <w:pStyle w:val="3472"/>
              <w:wordWrap/>
              <w:snapToGrid w:val="0"/>
              <w:spacing w:line="240" w:lineRule="exact"/>
              <w:rPr>
                <w:color w:val="000000" w:themeColor="text1"/>
                <w:kern w:val="2"/>
                <w:szCs w:val="21"/>
                <w14:textFill>
                  <w14:solidFill>
                    <w14:schemeClr w14:val="tx1"/>
                  </w14:solidFill>
                </w14:textFill>
              </w:rPr>
            </w:pPr>
            <w:r>
              <w:rPr>
                <w:color w:val="000000" w:themeColor="text1"/>
                <w:spacing w:val="-1"/>
                <w:kern w:val="2"/>
                <w:szCs w:val="21"/>
                <w14:textFill>
                  <w14:solidFill>
                    <w14:schemeClr w14:val="tx1"/>
                  </w14:solidFill>
                </w14:textFill>
              </w:rPr>
              <w:t>4.92</w:t>
            </w:r>
          </w:p>
        </w:tc>
        <w:tc>
          <w:tcPr>
            <w:tcW w:w="1571" w:type="dxa"/>
            <w:vAlign w:val="center"/>
          </w:tcPr>
          <w:p>
            <w:pPr>
              <w:pStyle w:val="3472"/>
              <w:wordWrap/>
              <w:snapToGrid w:val="0"/>
              <w:spacing w:line="240" w:lineRule="exact"/>
              <w:rPr>
                <w:color w:val="000000" w:themeColor="text1"/>
                <w:kern w:val="2"/>
                <w:szCs w:val="21"/>
                <w14:textFill>
                  <w14:solidFill>
                    <w14:schemeClr w14:val="tx1"/>
                  </w14:solidFill>
                </w14:textFill>
              </w:rPr>
            </w:pPr>
            <w:r>
              <w:rPr>
                <w:color w:val="000000" w:themeColor="text1"/>
                <w:spacing w:val="-1"/>
                <w:kern w:val="2"/>
                <w:szCs w:val="21"/>
                <w14:textFill>
                  <w14:solidFill>
                    <w14:schemeClr w14:val="tx1"/>
                  </w14:solidFill>
                </w14:textFill>
              </w:rPr>
              <w:t>4.84</w:t>
            </w:r>
          </w:p>
        </w:tc>
        <w:tc>
          <w:tcPr>
            <w:tcW w:w="1454" w:type="dxa"/>
            <w:vAlign w:val="center"/>
          </w:tcPr>
          <w:p>
            <w:pPr>
              <w:pStyle w:val="3472"/>
              <w:wordWrap/>
              <w:snapToGrid w:val="0"/>
              <w:spacing w:line="240" w:lineRule="exact"/>
              <w:rPr>
                <w:color w:val="000000" w:themeColor="text1"/>
                <w:kern w:val="2"/>
                <w:szCs w:val="21"/>
                <w14:textFill>
                  <w14:solidFill>
                    <w14:schemeClr w14:val="tx1"/>
                  </w14:solidFill>
                </w14:textFill>
              </w:rPr>
            </w:pPr>
            <w:r>
              <w:rPr>
                <w:color w:val="000000" w:themeColor="text1"/>
                <w:spacing w:val="-1"/>
                <w:kern w:val="2"/>
                <w:szCs w:val="21"/>
                <w14:textFill>
                  <w14:solidFill>
                    <w14:schemeClr w14:val="tx1"/>
                  </w14:solidFill>
                </w14:textFill>
              </w:rPr>
              <w:t>4.70</w:t>
            </w:r>
          </w:p>
        </w:tc>
        <w:tc>
          <w:tcPr>
            <w:tcW w:w="1314" w:type="dxa"/>
            <w:vAlign w:val="center"/>
          </w:tcPr>
          <w:p>
            <w:pPr>
              <w:pStyle w:val="3472"/>
              <w:wordWrap/>
              <w:snapToGrid w:val="0"/>
              <w:spacing w:line="240" w:lineRule="exact"/>
              <w:rPr>
                <w:color w:val="000000" w:themeColor="text1"/>
                <w:kern w:val="2"/>
                <w:szCs w:val="21"/>
                <w14:textFill>
                  <w14:solidFill>
                    <w14:schemeClr w14:val="tx1"/>
                  </w14:solidFill>
                </w14:textFill>
              </w:rPr>
            </w:pPr>
            <w:r>
              <w:rPr>
                <w:color w:val="000000" w:themeColor="text1"/>
                <w:spacing w:val="-1"/>
                <w:kern w:val="2"/>
                <w:szCs w:val="21"/>
                <w14:textFill>
                  <w14:solidFill>
                    <w14:schemeClr w14:val="tx1"/>
                  </w14:solidFill>
                </w14:textFill>
              </w:rPr>
              <w:t>4.52</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170" w:hRule="atLeast"/>
          <w:jc w:val="center"/>
        </w:trPr>
        <w:tc>
          <w:tcPr>
            <w:tcW w:w="2496" w:type="dxa"/>
            <w:vAlign w:val="center"/>
          </w:tcPr>
          <w:p>
            <w:pPr>
              <w:pStyle w:val="3472"/>
              <w:wordWrap/>
              <w:snapToGrid w:val="0"/>
              <w:spacing w:line="240" w:lineRule="exact"/>
              <w:rPr>
                <w:color w:val="000000" w:themeColor="text1"/>
                <w:kern w:val="2"/>
                <w:szCs w:val="21"/>
                <w14:textFill>
                  <w14:solidFill>
                    <w14:schemeClr w14:val="tx1"/>
                  </w14:solidFill>
                </w14:textFill>
              </w:rPr>
            </w:pPr>
            <w:r>
              <w:rPr>
                <w:color w:val="000000" w:themeColor="text1"/>
                <w:kern w:val="2"/>
                <w:szCs w:val="21"/>
                <w14:textFill>
                  <w14:solidFill>
                    <w14:schemeClr w14:val="tx1"/>
                  </w14:solidFill>
                </w14:textFill>
              </w:rPr>
              <w:t>30</w:t>
            </w:r>
          </w:p>
        </w:tc>
        <w:tc>
          <w:tcPr>
            <w:tcW w:w="1687" w:type="dxa"/>
            <w:vAlign w:val="center"/>
          </w:tcPr>
          <w:p>
            <w:pPr>
              <w:pStyle w:val="3472"/>
              <w:wordWrap/>
              <w:snapToGrid w:val="0"/>
              <w:spacing w:line="240" w:lineRule="exact"/>
              <w:rPr>
                <w:color w:val="000000" w:themeColor="text1"/>
                <w:kern w:val="2"/>
                <w:szCs w:val="21"/>
                <w14:textFill>
                  <w14:solidFill>
                    <w14:schemeClr w14:val="tx1"/>
                  </w14:solidFill>
                </w14:textFill>
              </w:rPr>
            </w:pPr>
            <w:r>
              <w:rPr>
                <w:color w:val="000000" w:themeColor="text1"/>
                <w:spacing w:val="-1"/>
                <w:kern w:val="2"/>
                <w:szCs w:val="21"/>
                <w14:textFill>
                  <w14:solidFill>
                    <w14:schemeClr w14:val="tx1"/>
                  </w14:solidFill>
                </w14:textFill>
              </w:rPr>
              <w:t>4.77</w:t>
            </w:r>
          </w:p>
        </w:tc>
        <w:tc>
          <w:tcPr>
            <w:tcW w:w="1571" w:type="dxa"/>
            <w:vAlign w:val="center"/>
          </w:tcPr>
          <w:p>
            <w:pPr>
              <w:pStyle w:val="3472"/>
              <w:wordWrap/>
              <w:snapToGrid w:val="0"/>
              <w:spacing w:line="240" w:lineRule="exact"/>
              <w:rPr>
                <w:color w:val="000000" w:themeColor="text1"/>
                <w:kern w:val="2"/>
                <w:szCs w:val="21"/>
                <w14:textFill>
                  <w14:solidFill>
                    <w14:schemeClr w14:val="tx1"/>
                  </w14:solidFill>
                </w14:textFill>
              </w:rPr>
            </w:pPr>
            <w:r>
              <w:rPr>
                <w:color w:val="000000" w:themeColor="text1"/>
                <w:spacing w:val="-1"/>
                <w:kern w:val="2"/>
                <w:szCs w:val="21"/>
                <w14:textFill>
                  <w14:solidFill>
                    <w14:schemeClr w14:val="tx1"/>
                  </w14:solidFill>
                </w14:textFill>
              </w:rPr>
              <w:t>4.70</w:t>
            </w:r>
          </w:p>
        </w:tc>
        <w:tc>
          <w:tcPr>
            <w:tcW w:w="1454" w:type="dxa"/>
            <w:vAlign w:val="center"/>
          </w:tcPr>
          <w:p>
            <w:pPr>
              <w:pStyle w:val="3472"/>
              <w:wordWrap/>
              <w:snapToGrid w:val="0"/>
              <w:spacing w:line="240" w:lineRule="exact"/>
              <w:rPr>
                <w:color w:val="000000" w:themeColor="text1"/>
                <w:kern w:val="2"/>
                <w:szCs w:val="21"/>
                <w14:textFill>
                  <w14:solidFill>
                    <w14:schemeClr w14:val="tx1"/>
                  </w14:solidFill>
                </w14:textFill>
              </w:rPr>
            </w:pPr>
            <w:r>
              <w:rPr>
                <w:color w:val="000000" w:themeColor="text1"/>
                <w:spacing w:val="-1"/>
                <w:kern w:val="2"/>
                <w:szCs w:val="21"/>
                <w14:textFill>
                  <w14:solidFill>
                    <w14:schemeClr w14:val="tx1"/>
                  </w14:solidFill>
                </w14:textFill>
              </w:rPr>
              <w:t>4.57</w:t>
            </w:r>
          </w:p>
        </w:tc>
        <w:tc>
          <w:tcPr>
            <w:tcW w:w="1314" w:type="dxa"/>
            <w:vAlign w:val="center"/>
          </w:tcPr>
          <w:p>
            <w:pPr>
              <w:pStyle w:val="3472"/>
              <w:wordWrap/>
              <w:snapToGrid w:val="0"/>
              <w:spacing w:line="240" w:lineRule="exact"/>
              <w:rPr>
                <w:color w:val="000000" w:themeColor="text1"/>
                <w:kern w:val="2"/>
                <w:szCs w:val="21"/>
                <w14:textFill>
                  <w14:solidFill>
                    <w14:schemeClr w14:val="tx1"/>
                  </w14:solidFill>
                </w14:textFill>
              </w:rPr>
            </w:pPr>
            <w:r>
              <w:rPr>
                <w:color w:val="000000" w:themeColor="text1"/>
                <w:spacing w:val="-1"/>
                <w:kern w:val="2"/>
                <w:szCs w:val="21"/>
                <w14:textFill>
                  <w14:solidFill>
                    <w14:schemeClr w14:val="tx1"/>
                  </w14:solidFill>
                </w14:textFill>
              </w:rPr>
              <w:t>4.40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170" w:hRule="atLeast"/>
          <w:jc w:val="center"/>
        </w:trPr>
        <w:tc>
          <w:tcPr>
            <w:tcW w:w="2496" w:type="dxa"/>
            <w:vAlign w:val="center"/>
          </w:tcPr>
          <w:p>
            <w:pPr>
              <w:pStyle w:val="3472"/>
              <w:wordWrap/>
              <w:snapToGrid w:val="0"/>
              <w:spacing w:line="240" w:lineRule="exact"/>
              <w:rPr>
                <w:color w:val="000000" w:themeColor="text1"/>
                <w:kern w:val="2"/>
                <w:szCs w:val="21"/>
                <w14:textFill>
                  <w14:solidFill>
                    <w14:schemeClr w14:val="tx1"/>
                  </w14:solidFill>
                </w14:textFill>
              </w:rPr>
            </w:pPr>
            <w:r>
              <w:rPr>
                <w:color w:val="000000" w:themeColor="text1"/>
                <w:kern w:val="2"/>
                <w:szCs w:val="21"/>
                <w14:textFill>
                  <w14:solidFill>
                    <w14:schemeClr w14:val="tx1"/>
                  </w14:solidFill>
                </w14:textFill>
              </w:rPr>
              <w:t>40</w:t>
            </w:r>
          </w:p>
        </w:tc>
        <w:tc>
          <w:tcPr>
            <w:tcW w:w="1687" w:type="dxa"/>
            <w:vAlign w:val="center"/>
          </w:tcPr>
          <w:p>
            <w:pPr>
              <w:pStyle w:val="3472"/>
              <w:wordWrap/>
              <w:snapToGrid w:val="0"/>
              <w:spacing w:line="240" w:lineRule="exact"/>
              <w:rPr>
                <w:color w:val="000000" w:themeColor="text1"/>
                <w:kern w:val="2"/>
                <w:szCs w:val="21"/>
                <w14:textFill>
                  <w14:solidFill>
                    <w14:schemeClr w14:val="tx1"/>
                  </w14:solidFill>
                </w14:textFill>
              </w:rPr>
            </w:pPr>
            <w:r>
              <w:rPr>
                <w:color w:val="000000" w:themeColor="text1"/>
                <w:spacing w:val="-1"/>
                <w:kern w:val="2"/>
                <w:szCs w:val="21"/>
                <w14:textFill>
                  <w14:solidFill>
                    <w14:schemeClr w14:val="tx1"/>
                  </w14:solidFill>
                </w14:textFill>
              </w:rPr>
              <w:t>4.64</w:t>
            </w:r>
          </w:p>
        </w:tc>
        <w:tc>
          <w:tcPr>
            <w:tcW w:w="1571" w:type="dxa"/>
            <w:vAlign w:val="center"/>
          </w:tcPr>
          <w:p>
            <w:pPr>
              <w:pStyle w:val="3472"/>
              <w:wordWrap/>
              <w:snapToGrid w:val="0"/>
              <w:spacing w:line="240" w:lineRule="exact"/>
              <w:rPr>
                <w:color w:val="000000" w:themeColor="text1"/>
                <w:kern w:val="2"/>
                <w:szCs w:val="21"/>
                <w14:textFill>
                  <w14:solidFill>
                    <w14:schemeClr w14:val="tx1"/>
                  </w14:solidFill>
                </w14:textFill>
              </w:rPr>
            </w:pPr>
            <w:r>
              <w:rPr>
                <w:color w:val="000000" w:themeColor="text1"/>
                <w:spacing w:val="-1"/>
                <w:kern w:val="2"/>
                <w:szCs w:val="21"/>
                <w14:textFill>
                  <w14:solidFill>
                    <w14:schemeClr w14:val="tx1"/>
                  </w14:solidFill>
                </w14:textFill>
              </w:rPr>
              <w:t>4.57</w:t>
            </w:r>
          </w:p>
        </w:tc>
        <w:tc>
          <w:tcPr>
            <w:tcW w:w="1454" w:type="dxa"/>
            <w:vAlign w:val="center"/>
          </w:tcPr>
          <w:p>
            <w:pPr>
              <w:pStyle w:val="3472"/>
              <w:wordWrap/>
              <w:snapToGrid w:val="0"/>
              <w:spacing w:line="240" w:lineRule="exact"/>
              <w:rPr>
                <w:color w:val="000000" w:themeColor="text1"/>
                <w:kern w:val="2"/>
                <w:szCs w:val="21"/>
                <w14:textFill>
                  <w14:solidFill>
                    <w14:schemeClr w14:val="tx1"/>
                  </w14:solidFill>
                </w14:textFill>
              </w:rPr>
            </w:pPr>
            <w:r>
              <w:rPr>
                <w:color w:val="000000" w:themeColor="text1"/>
                <w:spacing w:val="-1"/>
                <w:kern w:val="2"/>
                <w:szCs w:val="21"/>
                <w14:textFill>
                  <w14:solidFill>
                    <w14:schemeClr w14:val="tx1"/>
                  </w14:solidFill>
                </w14:textFill>
              </w:rPr>
              <w:t>4.45</w:t>
            </w:r>
          </w:p>
        </w:tc>
        <w:tc>
          <w:tcPr>
            <w:tcW w:w="1314" w:type="dxa"/>
            <w:vAlign w:val="center"/>
          </w:tcPr>
          <w:p>
            <w:pPr>
              <w:pStyle w:val="3472"/>
              <w:wordWrap/>
              <w:snapToGrid w:val="0"/>
              <w:spacing w:line="240" w:lineRule="exact"/>
              <w:rPr>
                <w:color w:val="000000" w:themeColor="text1"/>
                <w:kern w:val="2"/>
                <w:szCs w:val="21"/>
                <w14:textFill>
                  <w14:solidFill>
                    <w14:schemeClr w14:val="tx1"/>
                  </w14:solidFill>
                </w14:textFill>
              </w:rPr>
            </w:pPr>
            <w:r>
              <w:rPr>
                <w:color w:val="000000" w:themeColor="text1"/>
                <w:spacing w:val="-1"/>
                <w:kern w:val="2"/>
                <w:szCs w:val="21"/>
                <w14:textFill>
                  <w14:solidFill>
                    <w14:schemeClr w14:val="tx1"/>
                  </w14:solidFill>
                </w14:textFill>
              </w:rPr>
              <w:t>4.29</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170" w:hRule="atLeast"/>
          <w:jc w:val="center"/>
        </w:trPr>
        <w:tc>
          <w:tcPr>
            <w:tcW w:w="2496" w:type="dxa"/>
            <w:vAlign w:val="center"/>
          </w:tcPr>
          <w:p>
            <w:pPr>
              <w:pStyle w:val="3472"/>
              <w:wordWrap/>
              <w:snapToGrid w:val="0"/>
              <w:spacing w:line="240" w:lineRule="exact"/>
              <w:rPr>
                <w:color w:val="000000" w:themeColor="text1"/>
                <w:kern w:val="2"/>
                <w:szCs w:val="21"/>
                <w14:textFill>
                  <w14:solidFill>
                    <w14:schemeClr w14:val="tx1"/>
                  </w14:solidFill>
                </w14:textFill>
              </w:rPr>
            </w:pPr>
            <w:r>
              <w:rPr>
                <w:color w:val="000000" w:themeColor="text1"/>
                <w:kern w:val="2"/>
                <w:szCs w:val="21"/>
                <w14:textFill>
                  <w14:solidFill>
                    <w14:schemeClr w14:val="tx1"/>
                  </w14:solidFill>
                </w14:textFill>
              </w:rPr>
              <w:t>50</w:t>
            </w:r>
          </w:p>
        </w:tc>
        <w:tc>
          <w:tcPr>
            <w:tcW w:w="1687" w:type="dxa"/>
            <w:vAlign w:val="center"/>
          </w:tcPr>
          <w:p>
            <w:pPr>
              <w:pStyle w:val="3472"/>
              <w:wordWrap/>
              <w:snapToGrid w:val="0"/>
              <w:spacing w:line="240" w:lineRule="exact"/>
              <w:rPr>
                <w:color w:val="000000" w:themeColor="text1"/>
                <w:kern w:val="2"/>
                <w:szCs w:val="21"/>
                <w14:textFill>
                  <w14:solidFill>
                    <w14:schemeClr w14:val="tx1"/>
                  </w14:solidFill>
                </w14:textFill>
              </w:rPr>
            </w:pPr>
            <w:r>
              <w:rPr>
                <w:color w:val="000000" w:themeColor="text1"/>
                <w:spacing w:val="-1"/>
                <w:kern w:val="2"/>
                <w:szCs w:val="21"/>
                <w14:textFill>
                  <w14:solidFill>
                    <w14:schemeClr w14:val="tx1"/>
                  </w14:solidFill>
                </w14:textFill>
              </w:rPr>
              <w:t>4.50</w:t>
            </w:r>
          </w:p>
        </w:tc>
        <w:tc>
          <w:tcPr>
            <w:tcW w:w="1571" w:type="dxa"/>
            <w:vAlign w:val="center"/>
          </w:tcPr>
          <w:p>
            <w:pPr>
              <w:pStyle w:val="3472"/>
              <w:wordWrap/>
              <w:snapToGrid w:val="0"/>
              <w:spacing w:line="240" w:lineRule="exact"/>
              <w:rPr>
                <w:color w:val="000000" w:themeColor="text1"/>
                <w:kern w:val="2"/>
                <w:szCs w:val="21"/>
                <w14:textFill>
                  <w14:solidFill>
                    <w14:schemeClr w14:val="tx1"/>
                  </w14:solidFill>
                </w14:textFill>
              </w:rPr>
            </w:pPr>
            <w:r>
              <w:rPr>
                <w:color w:val="000000" w:themeColor="text1"/>
                <w:spacing w:val="-1"/>
                <w:kern w:val="2"/>
                <w:szCs w:val="21"/>
                <w14:textFill>
                  <w14:solidFill>
                    <w14:schemeClr w14:val="tx1"/>
                  </w14:solidFill>
                </w14:textFill>
              </w:rPr>
              <w:t>4.42</w:t>
            </w:r>
          </w:p>
        </w:tc>
        <w:tc>
          <w:tcPr>
            <w:tcW w:w="1454" w:type="dxa"/>
            <w:vAlign w:val="center"/>
          </w:tcPr>
          <w:p>
            <w:pPr>
              <w:pStyle w:val="3472"/>
              <w:wordWrap/>
              <w:snapToGrid w:val="0"/>
              <w:spacing w:line="240" w:lineRule="exact"/>
              <w:rPr>
                <w:color w:val="000000" w:themeColor="text1"/>
                <w:kern w:val="2"/>
                <w:szCs w:val="21"/>
                <w14:textFill>
                  <w14:solidFill>
                    <w14:schemeClr w14:val="tx1"/>
                  </w14:solidFill>
                </w14:textFill>
              </w:rPr>
            </w:pPr>
            <w:r>
              <w:rPr>
                <w:color w:val="000000" w:themeColor="text1"/>
                <w:spacing w:val="-1"/>
                <w:kern w:val="2"/>
                <w:szCs w:val="21"/>
                <w14:textFill>
                  <w14:solidFill>
                    <w14:schemeClr w14:val="tx1"/>
                  </w14:solidFill>
                </w14:textFill>
              </w:rPr>
              <w:t>4.32</w:t>
            </w:r>
          </w:p>
        </w:tc>
        <w:tc>
          <w:tcPr>
            <w:tcW w:w="1314" w:type="dxa"/>
            <w:vAlign w:val="center"/>
          </w:tcPr>
          <w:p>
            <w:pPr>
              <w:pStyle w:val="3472"/>
              <w:wordWrap/>
              <w:snapToGrid w:val="0"/>
              <w:spacing w:line="240" w:lineRule="exact"/>
              <w:rPr>
                <w:color w:val="000000" w:themeColor="text1"/>
                <w:kern w:val="2"/>
                <w:szCs w:val="21"/>
                <w14:textFill>
                  <w14:solidFill>
                    <w14:schemeClr w14:val="tx1"/>
                  </w14:solidFill>
                </w14:textFill>
              </w:rPr>
            </w:pPr>
            <w:r>
              <w:rPr>
                <w:color w:val="000000" w:themeColor="text1"/>
                <w:spacing w:val="-1"/>
                <w:kern w:val="2"/>
                <w:szCs w:val="21"/>
                <w14:textFill>
                  <w14:solidFill>
                    <w14:schemeClr w14:val="tx1"/>
                  </w14:solidFill>
                </w14:textFill>
              </w:rPr>
              <w:t>4.15</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170" w:hRule="atLeast"/>
          <w:jc w:val="center"/>
        </w:trPr>
        <w:tc>
          <w:tcPr>
            <w:tcW w:w="2496" w:type="dxa"/>
            <w:vAlign w:val="center"/>
          </w:tcPr>
          <w:p>
            <w:pPr>
              <w:pStyle w:val="3472"/>
              <w:wordWrap/>
              <w:snapToGrid w:val="0"/>
              <w:spacing w:line="240" w:lineRule="exact"/>
              <w:rPr>
                <w:color w:val="000000" w:themeColor="text1"/>
                <w:kern w:val="2"/>
                <w:szCs w:val="21"/>
                <w14:textFill>
                  <w14:solidFill>
                    <w14:schemeClr w14:val="tx1"/>
                  </w14:solidFill>
                </w14:textFill>
              </w:rPr>
            </w:pPr>
            <w:r>
              <w:rPr>
                <w:color w:val="000000" w:themeColor="text1"/>
                <w:kern w:val="2"/>
                <w:szCs w:val="21"/>
                <w14:textFill>
                  <w14:solidFill>
                    <w14:schemeClr w14:val="tx1"/>
                  </w14:solidFill>
                </w14:textFill>
              </w:rPr>
              <w:t>60</w:t>
            </w:r>
          </w:p>
        </w:tc>
        <w:tc>
          <w:tcPr>
            <w:tcW w:w="1687" w:type="dxa"/>
            <w:vAlign w:val="center"/>
          </w:tcPr>
          <w:p>
            <w:pPr>
              <w:pStyle w:val="3472"/>
              <w:wordWrap/>
              <w:snapToGrid w:val="0"/>
              <w:spacing w:line="240" w:lineRule="exact"/>
              <w:rPr>
                <w:color w:val="000000" w:themeColor="text1"/>
                <w:kern w:val="2"/>
                <w:szCs w:val="21"/>
                <w14:textFill>
                  <w14:solidFill>
                    <w14:schemeClr w14:val="tx1"/>
                  </w14:solidFill>
                </w14:textFill>
              </w:rPr>
            </w:pPr>
            <w:r>
              <w:rPr>
                <w:color w:val="000000" w:themeColor="text1"/>
                <w:spacing w:val="-1"/>
                <w:kern w:val="2"/>
                <w:szCs w:val="21"/>
                <w14:textFill>
                  <w14:solidFill>
                    <w14:schemeClr w14:val="tx1"/>
                  </w14:solidFill>
                </w14:textFill>
              </w:rPr>
              <w:t>4.32</w:t>
            </w:r>
          </w:p>
        </w:tc>
        <w:tc>
          <w:tcPr>
            <w:tcW w:w="1571" w:type="dxa"/>
            <w:vAlign w:val="center"/>
          </w:tcPr>
          <w:p>
            <w:pPr>
              <w:pStyle w:val="3472"/>
              <w:wordWrap/>
              <w:snapToGrid w:val="0"/>
              <w:spacing w:line="240" w:lineRule="exact"/>
              <w:rPr>
                <w:color w:val="000000" w:themeColor="text1"/>
                <w:kern w:val="2"/>
                <w:szCs w:val="21"/>
                <w14:textFill>
                  <w14:solidFill>
                    <w14:schemeClr w14:val="tx1"/>
                  </w14:solidFill>
                </w14:textFill>
              </w:rPr>
            </w:pPr>
            <w:r>
              <w:rPr>
                <w:color w:val="000000" w:themeColor="text1"/>
                <w:spacing w:val="-1"/>
                <w:kern w:val="2"/>
                <w:szCs w:val="21"/>
                <w14:textFill>
                  <w14:solidFill>
                    <w14:schemeClr w14:val="tx1"/>
                  </w14:solidFill>
                </w14:textFill>
              </w:rPr>
              <w:t>4.25</w:t>
            </w:r>
          </w:p>
        </w:tc>
        <w:tc>
          <w:tcPr>
            <w:tcW w:w="1454" w:type="dxa"/>
            <w:vAlign w:val="center"/>
          </w:tcPr>
          <w:p>
            <w:pPr>
              <w:pStyle w:val="3472"/>
              <w:wordWrap/>
              <w:snapToGrid w:val="0"/>
              <w:spacing w:line="240" w:lineRule="exact"/>
              <w:rPr>
                <w:color w:val="000000" w:themeColor="text1"/>
                <w:kern w:val="2"/>
                <w:szCs w:val="21"/>
                <w14:textFill>
                  <w14:solidFill>
                    <w14:schemeClr w14:val="tx1"/>
                  </w14:solidFill>
                </w14:textFill>
              </w:rPr>
            </w:pPr>
            <w:r>
              <w:rPr>
                <w:color w:val="000000" w:themeColor="text1"/>
                <w:spacing w:val="-1"/>
                <w:kern w:val="2"/>
                <w:szCs w:val="21"/>
                <w14:textFill>
                  <w14:solidFill>
                    <w14:schemeClr w14:val="tx1"/>
                  </w14:solidFill>
                </w14:textFill>
              </w:rPr>
              <w:t>4.14</w:t>
            </w:r>
          </w:p>
        </w:tc>
        <w:tc>
          <w:tcPr>
            <w:tcW w:w="1314" w:type="dxa"/>
            <w:vAlign w:val="center"/>
          </w:tcPr>
          <w:p>
            <w:pPr>
              <w:pStyle w:val="3472"/>
              <w:wordWrap/>
              <w:snapToGrid w:val="0"/>
              <w:spacing w:line="240" w:lineRule="exact"/>
              <w:rPr>
                <w:color w:val="000000" w:themeColor="text1"/>
                <w:kern w:val="2"/>
                <w:szCs w:val="21"/>
                <w14:textFill>
                  <w14:solidFill>
                    <w14:schemeClr w14:val="tx1"/>
                  </w14:solidFill>
                </w14:textFill>
              </w:rPr>
            </w:pPr>
            <w:r>
              <w:rPr>
                <w:color w:val="000000" w:themeColor="text1"/>
                <w:spacing w:val="-1"/>
                <w:kern w:val="2"/>
                <w:szCs w:val="21"/>
                <w14:textFill>
                  <w14:solidFill>
                    <w14:schemeClr w14:val="tx1"/>
                  </w14:solidFill>
                </w14:textFill>
              </w:rPr>
              <w:t>4.00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170" w:hRule="atLeast"/>
          <w:jc w:val="center"/>
        </w:trPr>
        <w:tc>
          <w:tcPr>
            <w:tcW w:w="2496" w:type="dxa"/>
            <w:vAlign w:val="center"/>
          </w:tcPr>
          <w:p>
            <w:pPr>
              <w:pStyle w:val="3472"/>
              <w:wordWrap/>
              <w:snapToGrid w:val="0"/>
              <w:spacing w:line="240" w:lineRule="exact"/>
              <w:rPr>
                <w:color w:val="000000" w:themeColor="text1"/>
                <w:kern w:val="2"/>
                <w:szCs w:val="21"/>
                <w14:textFill>
                  <w14:solidFill>
                    <w14:schemeClr w14:val="tx1"/>
                  </w14:solidFill>
                </w14:textFill>
              </w:rPr>
            </w:pPr>
            <w:r>
              <w:rPr>
                <w:color w:val="000000" w:themeColor="text1"/>
                <w:kern w:val="2"/>
                <w:szCs w:val="21"/>
                <w14:textFill>
                  <w14:solidFill>
                    <w14:schemeClr w14:val="tx1"/>
                  </w14:solidFill>
                </w14:textFill>
              </w:rPr>
              <w:t>70</w:t>
            </w:r>
          </w:p>
        </w:tc>
        <w:tc>
          <w:tcPr>
            <w:tcW w:w="1687" w:type="dxa"/>
            <w:vAlign w:val="center"/>
          </w:tcPr>
          <w:p>
            <w:pPr>
              <w:pStyle w:val="3472"/>
              <w:wordWrap/>
              <w:snapToGrid w:val="0"/>
              <w:spacing w:line="240" w:lineRule="exact"/>
              <w:rPr>
                <w:color w:val="000000" w:themeColor="text1"/>
                <w:kern w:val="2"/>
                <w:szCs w:val="21"/>
                <w14:textFill>
                  <w14:solidFill>
                    <w14:schemeClr w14:val="tx1"/>
                  </w14:solidFill>
                </w14:textFill>
              </w:rPr>
            </w:pPr>
            <w:r>
              <w:rPr>
                <w:color w:val="000000" w:themeColor="text1"/>
                <w:spacing w:val="-1"/>
                <w:kern w:val="2"/>
                <w:szCs w:val="21"/>
                <w14:textFill>
                  <w14:solidFill>
                    <w14:schemeClr w14:val="tx1"/>
                  </w14:solidFill>
                </w14:textFill>
              </w:rPr>
              <w:t>4.12</w:t>
            </w:r>
          </w:p>
        </w:tc>
        <w:tc>
          <w:tcPr>
            <w:tcW w:w="1571" w:type="dxa"/>
            <w:vAlign w:val="center"/>
          </w:tcPr>
          <w:p>
            <w:pPr>
              <w:pStyle w:val="3472"/>
              <w:wordWrap/>
              <w:snapToGrid w:val="0"/>
              <w:spacing w:line="240" w:lineRule="exact"/>
              <w:rPr>
                <w:color w:val="000000" w:themeColor="text1"/>
                <w:kern w:val="2"/>
                <w:szCs w:val="21"/>
                <w14:textFill>
                  <w14:solidFill>
                    <w14:schemeClr w14:val="tx1"/>
                  </w14:solidFill>
                </w14:textFill>
              </w:rPr>
            </w:pPr>
            <w:r>
              <w:rPr>
                <w:color w:val="000000" w:themeColor="text1"/>
                <w:spacing w:val="-1"/>
                <w:kern w:val="2"/>
                <w:szCs w:val="21"/>
                <w14:textFill>
                  <w14:solidFill>
                    <w14:schemeClr w14:val="tx1"/>
                  </w14:solidFill>
                </w14:textFill>
              </w:rPr>
              <w:t>4.05</w:t>
            </w:r>
          </w:p>
        </w:tc>
        <w:tc>
          <w:tcPr>
            <w:tcW w:w="1454" w:type="dxa"/>
            <w:vAlign w:val="center"/>
          </w:tcPr>
          <w:p>
            <w:pPr>
              <w:pStyle w:val="3472"/>
              <w:wordWrap/>
              <w:snapToGrid w:val="0"/>
              <w:spacing w:line="240" w:lineRule="exact"/>
              <w:rPr>
                <w:color w:val="000000" w:themeColor="text1"/>
                <w:kern w:val="2"/>
                <w:szCs w:val="21"/>
                <w14:textFill>
                  <w14:solidFill>
                    <w14:schemeClr w14:val="tx1"/>
                  </w14:solidFill>
                </w14:textFill>
              </w:rPr>
            </w:pPr>
            <w:r>
              <w:rPr>
                <w:color w:val="000000" w:themeColor="text1"/>
                <w:spacing w:val="-1"/>
                <w:kern w:val="2"/>
                <w:szCs w:val="21"/>
                <w14:textFill>
                  <w14:solidFill>
                    <w14:schemeClr w14:val="tx1"/>
                  </w14:solidFill>
                </w14:textFill>
              </w:rPr>
              <w:t>3.95</w:t>
            </w:r>
          </w:p>
        </w:tc>
        <w:tc>
          <w:tcPr>
            <w:tcW w:w="1314" w:type="dxa"/>
            <w:vAlign w:val="center"/>
          </w:tcPr>
          <w:p>
            <w:pPr>
              <w:pStyle w:val="3472"/>
              <w:wordWrap/>
              <w:snapToGrid w:val="0"/>
              <w:spacing w:line="240" w:lineRule="exact"/>
              <w:rPr>
                <w:color w:val="000000" w:themeColor="text1"/>
                <w:kern w:val="2"/>
                <w:szCs w:val="21"/>
                <w14:textFill>
                  <w14:solidFill>
                    <w14:schemeClr w14:val="tx1"/>
                  </w14:solidFill>
                </w14:textFill>
              </w:rPr>
            </w:pPr>
            <w:r>
              <w:rPr>
                <w:color w:val="000000" w:themeColor="text1"/>
                <w:spacing w:val="-1"/>
                <w:kern w:val="2"/>
                <w:szCs w:val="21"/>
                <w14:textFill>
                  <w14:solidFill>
                    <w14:schemeClr w14:val="tx1"/>
                  </w14:solidFill>
                </w14:textFill>
              </w:rPr>
              <w:t>3.81</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170" w:hRule="atLeast"/>
          <w:jc w:val="center"/>
        </w:trPr>
        <w:tc>
          <w:tcPr>
            <w:tcW w:w="2496" w:type="dxa"/>
            <w:vAlign w:val="center"/>
          </w:tcPr>
          <w:p>
            <w:pPr>
              <w:pStyle w:val="3472"/>
              <w:wordWrap/>
              <w:snapToGrid w:val="0"/>
              <w:spacing w:line="240" w:lineRule="exact"/>
              <w:rPr>
                <w:color w:val="000000" w:themeColor="text1"/>
                <w:kern w:val="2"/>
                <w:szCs w:val="21"/>
                <w14:textFill>
                  <w14:solidFill>
                    <w14:schemeClr w14:val="tx1"/>
                  </w14:solidFill>
                </w14:textFill>
              </w:rPr>
            </w:pPr>
            <w:r>
              <w:rPr>
                <w:color w:val="000000" w:themeColor="text1"/>
                <w:kern w:val="2"/>
                <w:szCs w:val="21"/>
                <w14:textFill>
                  <w14:solidFill>
                    <w14:schemeClr w14:val="tx1"/>
                  </w14:solidFill>
                </w14:textFill>
              </w:rPr>
              <w:t>80</w:t>
            </w:r>
          </w:p>
        </w:tc>
        <w:tc>
          <w:tcPr>
            <w:tcW w:w="1687" w:type="dxa"/>
            <w:vAlign w:val="center"/>
          </w:tcPr>
          <w:p>
            <w:pPr>
              <w:pStyle w:val="3472"/>
              <w:wordWrap/>
              <w:snapToGrid w:val="0"/>
              <w:spacing w:line="240" w:lineRule="exact"/>
              <w:rPr>
                <w:color w:val="000000" w:themeColor="text1"/>
                <w:kern w:val="2"/>
                <w:szCs w:val="21"/>
                <w14:textFill>
                  <w14:solidFill>
                    <w14:schemeClr w14:val="tx1"/>
                  </w14:solidFill>
                </w14:textFill>
              </w:rPr>
            </w:pPr>
            <w:r>
              <w:rPr>
                <w:color w:val="000000" w:themeColor="text1"/>
                <w:spacing w:val="-1"/>
                <w:kern w:val="2"/>
                <w:szCs w:val="21"/>
                <w14:textFill>
                  <w14:solidFill>
                    <w14:schemeClr w14:val="tx1"/>
                  </w14:solidFill>
                </w14:textFill>
              </w:rPr>
              <w:t>3.87</w:t>
            </w:r>
          </w:p>
        </w:tc>
        <w:tc>
          <w:tcPr>
            <w:tcW w:w="1571" w:type="dxa"/>
            <w:vAlign w:val="center"/>
          </w:tcPr>
          <w:p>
            <w:pPr>
              <w:pStyle w:val="3472"/>
              <w:wordWrap/>
              <w:snapToGrid w:val="0"/>
              <w:spacing w:line="240" w:lineRule="exact"/>
              <w:rPr>
                <w:color w:val="000000" w:themeColor="text1"/>
                <w:kern w:val="2"/>
                <w:szCs w:val="21"/>
                <w14:textFill>
                  <w14:solidFill>
                    <w14:schemeClr w14:val="tx1"/>
                  </w14:solidFill>
                </w14:textFill>
              </w:rPr>
            </w:pPr>
            <w:r>
              <w:rPr>
                <w:color w:val="000000" w:themeColor="text1"/>
                <w:spacing w:val="-1"/>
                <w:kern w:val="2"/>
                <w:szCs w:val="21"/>
                <w14:textFill>
                  <w14:solidFill>
                    <w14:schemeClr w14:val="tx1"/>
                  </w14:solidFill>
                </w14:textFill>
              </w:rPr>
              <w:t>3.82</w:t>
            </w:r>
          </w:p>
        </w:tc>
        <w:tc>
          <w:tcPr>
            <w:tcW w:w="1454" w:type="dxa"/>
            <w:vAlign w:val="center"/>
          </w:tcPr>
          <w:p>
            <w:pPr>
              <w:pStyle w:val="3472"/>
              <w:wordWrap/>
              <w:snapToGrid w:val="0"/>
              <w:spacing w:line="240" w:lineRule="exact"/>
              <w:rPr>
                <w:color w:val="000000" w:themeColor="text1"/>
                <w:kern w:val="2"/>
                <w:szCs w:val="21"/>
                <w14:textFill>
                  <w14:solidFill>
                    <w14:schemeClr w14:val="tx1"/>
                  </w14:solidFill>
                </w14:textFill>
              </w:rPr>
            </w:pPr>
            <w:r>
              <w:rPr>
                <w:color w:val="000000" w:themeColor="text1"/>
                <w:spacing w:val="-1"/>
                <w:kern w:val="2"/>
                <w:szCs w:val="21"/>
                <w14:textFill>
                  <w14:solidFill>
                    <w14:schemeClr w14:val="tx1"/>
                  </w14:solidFill>
                </w14:textFill>
              </w:rPr>
              <w:t>3.72</w:t>
            </w:r>
          </w:p>
        </w:tc>
        <w:tc>
          <w:tcPr>
            <w:tcW w:w="1314" w:type="dxa"/>
            <w:vAlign w:val="center"/>
          </w:tcPr>
          <w:p>
            <w:pPr>
              <w:pStyle w:val="3472"/>
              <w:wordWrap/>
              <w:snapToGrid w:val="0"/>
              <w:spacing w:line="240" w:lineRule="exact"/>
              <w:rPr>
                <w:color w:val="000000" w:themeColor="text1"/>
                <w:kern w:val="2"/>
                <w:szCs w:val="21"/>
                <w14:textFill>
                  <w14:solidFill>
                    <w14:schemeClr w14:val="tx1"/>
                  </w14:solidFill>
                </w14:textFill>
              </w:rPr>
            </w:pPr>
            <w:r>
              <w:rPr>
                <w:color w:val="000000" w:themeColor="text1"/>
                <w:spacing w:val="-1"/>
                <w:kern w:val="2"/>
                <w:szCs w:val="21"/>
                <w14:textFill>
                  <w14:solidFill>
                    <w14:schemeClr w14:val="tx1"/>
                  </w14:solidFill>
                </w14:textFill>
              </w:rPr>
              <w:t>3.59</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170" w:hRule="atLeast"/>
          <w:jc w:val="center"/>
        </w:trPr>
        <w:tc>
          <w:tcPr>
            <w:tcW w:w="2496" w:type="dxa"/>
            <w:vAlign w:val="center"/>
          </w:tcPr>
          <w:p>
            <w:pPr>
              <w:pStyle w:val="3472"/>
              <w:wordWrap/>
              <w:snapToGrid w:val="0"/>
              <w:spacing w:line="240" w:lineRule="exact"/>
              <w:rPr>
                <w:color w:val="000000" w:themeColor="text1"/>
                <w:kern w:val="2"/>
                <w:szCs w:val="21"/>
                <w14:textFill>
                  <w14:solidFill>
                    <w14:schemeClr w14:val="tx1"/>
                  </w14:solidFill>
                </w14:textFill>
              </w:rPr>
            </w:pPr>
            <w:r>
              <w:rPr>
                <w:color w:val="000000" w:themeColor="text1"/>
                <w:kern w:val="2"/>
                <w:szCs w:val="21"/>
                <w14:textFill>
                  <w14:solidFill>
                    <w14:schemeClr w14:val="tx1"/>
                  </w14:solidFill>
                </w14:textFill>
              </w:rPr>
              <w:t>90</w:t>
            </w:r>
          </w:p>
        </w:tc>
        <w:tc>
          <w:tcPr>
            <w:tcW w:w="1687" w:type="dxa"/>
            <w:vAlign w:val="center"/>
          </w:tcPr>
          <w:p>
            <w:pPr>
              <w:pStyle w:val="3472"/>
              <w:wordWrap/>
              <w:snapToGrid w:val="0"/>
              <w:spacing w:line="240" w:lineRule="exact"/>
              <w:rPr>
                <w:color w:val="000000" w:themeColor="text1"/>
                <w:kern w:val="2"/>
                <w:szCs w:val="21"/>
                <w14:textFill>
                  <w14:solidFill>
                    <w14:schemeClr w14:val="tx1"/>
                  </w14:solidFill>
                </w14:textFill>
              </w:rPr>
            </w:pPr>
            <w:r>
              <w:rPr>
                <w:color w:val="000000" w:themeColor="text1"/>
                <w:spacing w:val="-1"/>
                <w:kern w:val="2"/>
                <w:szCs w:val="21"/>
                <w14:textFill>
                  <w14:solidFill>
                    <w14:schemeClr w14:val="tx1"/>
                  </w14:solidFill>
                </w14:textFill>
              </w:rPr>
              <w:t>3.55</w:t>
            </w:r>
          </w:p>
        </w:tc>
        <w:tc>
          <w:tcPr>
            <w:tcW w:w="1571" w:type="dxa"/>
            <w:vAlign w:val="center"/>
          </w:tcPr>
          <w:p>
            <w:pPr>
              <w:pStyle w:val="3472"/>
              <w:wordWrap/>
              <w:snapToGrid w:val="0"/>
              <w:spacing w:line="240" w:lineRule="exact"/>
              <w:rPr>
                <w:color w:val="000000" w:themeColor="text1"/>
                <w:kern w:val="2"/>
                <w:szCs w:val="21"/>
                <w14:textFill>
                  <w14:solidFill>
                    <w14:schemeClr w14:val="tx1"/>
                  </w14:solidFill>
                </w14:textFill>
              </w:rPr>
            </w:pPr>
            <w:r>
              <w:rPr>
                <w:color w:val="000000" w:themeColor="text1"/>
                <w:spacing w:val="-1"/>
                <w:kern w:val="2"/>
                <w:szCs w:val="21"/>
                <w14:textFill>
                  <w14:solidFill>
                    <w14:schemeClr w14:val="tx1"/>
                  </w14:solidFill>
                </w14:textFill>
              </w:rPr>
              <w:t>3.51</w:t>
            </w:r>
          </w:p>
        </w:tc>
        <w:tc>
          <w:tcPr>
            <w:tcW w:w="1454" w:type="dxa"/>
            <w:vAlign w:val="center"/>
          </w:tcPr>
          <w:p>
            <w:pPr>
              <w:pStyle w:val="3472"/>
              <w:wordWrap/>
              <w:snapToGrid w:val="0"/>
              <w:spacing w:line="240" w:lineRule="exact"/>
              <w:rPr>
                <w:color w:val="000000" w:themeColor="text1"/>
                <w:kern w:val="2"/>
                <w:szCs w:val="21"/>
                <w14:textFill>
                  <w14:solidFill>
                    <w14:schemeClr w14:val="tx1"/>
                  </w14:solidFill>
                </w14:textFill>
              </w:rPr>
            </w:pPr>
            <w:r>
              <w:rPr>
                <w:color w:val="000000" w:themeColor="text1"/>
                <w:spacing w:val="-1"/>
                <w:kern w:val="2"/>
                <w:szCs w:val="21"/>
                <w14:textFill>
                  <w14:solidFill>
                    <w14:schemeClr w14:val="tx1"/>
                  </w14:solidFill>
                </w14:textFill>
              </w:rPr>
              <w:t>3.43</w:t>
            </w:r>
          </w:p>
        </w:tc>
        <w:tc>
          <w:tcPr>
            <w:tcW w:w="1314" w:type="dxa"/>
            <w:vAlign w:val="center"/>
          </w:tcPr>
          <w:p>
            <w:pPr>
              <w:pStyle w:val="3472"/>
              <w:wordWrap/>
              <w:snapToGrid w:val="0"/>
              <w:spacing w:line="240" w:lineRule="exact"/>
              <w:rPr>
                <w:color w:val="000000" w:themeColor="text1"/>
                <w:kern w:val="2"/>
                <w:szCs w:val="21"/>
                <w14:textFill>
                  <w14:solidFill>
                    <w14:schemeClr w14:val="tx1"/>
                  </w14:solidFill>
                </w14:textFill>
              </w:rPr>
            </w:pPr>
            <w:r>
              <w:rPr>
                <w:color w:val="000000" w:themeColor="text1"/>
                <w:spacing w:val="-1"/>
                <w:kern w:val="2"/>
                <w:szCs w:val="21"/>
                <w14:textFill>
                  <w14:solidFill>
                    <w14:schemeClr w14:val="tx1"/>
                  </w14:solidFill>
                </w14:textFill>
              </w:rPr>
              <w:t>3.30</w:t>
            </w:r>
          </w:p>
        </w:tc>
      </w:tr>
    </w:tbl>
    <w:p>
      <w:pPr>
        <w:ind w:firstLine="482"/>
        <w:rPr>
          <w:b/>
          <w:color w:val="000000" w:themeColor="text1"/>
          <w14:textFill>
            <w14:solidFill>
              <w14:schemeClr w14:val="tx1"/>
            </w14:solidFill>
          </w14:textFill>
        </w:rPr>
      </w:pPr>
      <w:r>
        <w:rPr>
          <w:rFonts w:hint="eastAsia"/>
          <w:b/>
          <w:color w:val="000000" w:themeColor="text1"/>
          <w14:textFill>
            <w14:solidFill>
              <w14:schemeClr w14:val="tx1"/>
            </w14:solidFill>
          </w14:textFill>
        </w:rPr>
        <w:t>5、泥沙</w:t>
      </w:r>
    </w:p>
    <w:p>
      <w:pPr>
        <w:ind w:firstLine="480"/>
        <w:rPr>
          <w:color w:val="000000" w:themeColor="text1"/>
          <w14:textFill>
            <w14:solidFill>
              <w14:schemeClr w14:val="tx1"/>
            </w14:solidFill>
          </w14:textFill>
        </w:rPr>
      </w:pPr>
      <w:r>
        <w:rPr>
          <w:color w:val="000000" w:themeColor="text1"/>
          <w14:textFill>
            <w14:solidFill>
              <w14:schemeClr w14:val="tx1"/>
            </w14:solidFill>
          </w14:textFill>
        </w:rPr>
        <w:t>钦州湾泥沙主要来自北部的茅尾海，而且多以悬移式进入港内。由于钦江自东北向西南注入茅尾海，入海后，比降骤减，河流所携带的泥沙在河口一带落淤，使钦江和茅尾江</w:t>
      </w:r>
      <w:r>
        <w:rPr>
          <w:rFonts w:hint="eastAsia"/>
          <w:color w:val="000000" w:themeColor="text1"/>
          <w14:textFill>
            <w14:solidFill>
              <w14:schemeClr w14:val="tx1"/>
            </w14:solidFill>
          </w14:textFill>
        </w:rPr>
        <w:t>三角洲</w:t>
      </w:r>
      <w:r>
        <w:rPr>
          <w:color w:val="000000" w:themeColor="text1"/>
          <w14:textFill>
            <w14:solidFill>
              <w14:schemeClr w14:val="tx1"/>
            </w14:solidFill>
          </w14:textFill>
        </w:rPr>
        <w:t xml:space="preserve">及河汊十分发育，并缓慢向海方向扩展，导致茅尾海趋向淤浅、萎缩，然而这一过程的发展是极其缓慢的。由于海面宽阔、纳潮量大，且落潮流大于涨潮流，落潮流可将泥沙逐步向外海输送，而保持港内不淤或少淤之状态。在钦州湾口之外，海岸呈东向西走向，强浪向为南向，沿岸泥沙不易做纵向运动，致使湾口处普遍发育有拦门沙。虽潮汐动力较强，但波浪掀沙能力较弱，泥沙进入可以认为该海域不存在大规模的泥沙运动。 </w:t>
      </w:r>
    </w:p>
    <w:p>
      <w:pPr>
        <w:ind w:firstLine="480"/>
        <w:rPr>
          <w:color w:val="000000" w:themeColor="text1"/>
          <w14:textFill>
            <w14:solidFill>
              <w14:schemeClr w14:val="tx1"/>
            </w14:solidFill>
          </w14:textFill>
        </w:rPr>
      </w:pPr>
      <w:r>
        <w:rPr>
          <w:color w:val="000000" w:themeColor="text1"/>
          <w14:textFill>
            <w14:solidFill>
              <w14:schemeClr w14:val="tx1"/>
            </w14:solidFill>
          </w14:textFill>
        </w:rPr>
        <w:t>2019 年 7 月，南京水利科学研究院对钦州港总体规划实施后钦州湾泥沙回淤的分析研究成果表明：钦州湾分内、外湾，中间湾颈段相对较窄，河流来沙主要淤积在内湾，外湾泥沙来源少，潮流强度不大，风浪也小，岸线长，具备较好的港口开发建设条件。钦州湾水域以全日潮为主，涨、落潮相对缓慢，一般涨潮历时长于落潮历时，落潮流速大于涨潮流速，潮流特征有利于向外海输沙。平常条件下钦州湾水体含沙量很小，通常小于 0.01kg/m</w:t>
      </w:r>
      <w:r>
        <w:rPr>
          <w:color w:val="000000" w:themeColor="text1"/>
          <w:vertAlign w:val="superscript"/>
          <w14:textFill>
            <w14:solidFill>
              <w14:schemeClr w14:val="tx1"/>
            </w14:solidFill>
          </w14:textFill>
        </w:rPr>
        <w:t>3</w:t>
      </w:r>
      <w:r>
        <w:rPr>
          <w:color w:val="000000" w:themeColor="text1"/>
          <w14:textFill>
            <w14:solidFill>
              <w14:schemeClr w14:val="tx1"/>
            </w14:solidFill>
          </w14:textFill>
        </w:rPr>
        <w:t>，冬季含沙量一般比夏季小一个数量级，夏季遇风浪天时，湾口水域含沙量会明显升高，较大风浪时可达0.03kg/m</w:t>
      </w:r>
      <w:r>
        <w:rPr>
          <w:color w:val="000000" w:themeColor="text1"/>
          <w:vertAlign w:val="superscript"/>
          <w14:textFill>
            <w14:solidFill>
              <w14:schemeClr w14:val="tx1"/>
            </w14:solidFill>
          </w14:textFill>
        </w:rPr>
        <w:t>3</w:t>
      </w:r>
      <w:r>
        <w:rPr>
          <w:color w:val="000000" w:themeColor="text1"/>
          <w14:textFill>
            <w14:solidFill>
              <w14:schemeClr w14:val="tx1"/>
            </w14:solidFill>
          </w14:textFill>
        </w:rPr>
        <w:t>。钦州湾内含沙量低，根据天津水运工程科学研究所实测资料，钦州湾最大含沙量：0.08kg/m</w:t>
      </w:r>
      <w:r>
        <w:rPr>
          <w:color w:val="000000" w:themeColor="text1"/>
          <w:vertAlign w:val="superscript"/>
          <w14:textFill>
            <w14:solidFill>
              <w14:schemeClr w14:val="tx1"/>
            </w14:solidFill>
          </w14:textFill>
        </w:rPr>
        <w:t>3</w:t>
      </w:r>
      <w:r>
        <w:rPr>
          <w:color w:val="000000" w:themeColor="text1"/>
          <w14:textFill>
            <w14:solidFill>
              <w14:schemeClr w14:val="tx1"/>
            </w14:solidFill>
          </w14:textFill>
        </w:rPr>
        <w:t>；夏季含沙量：0.05kg/m</w:t>
      </w:r>
      <w:r>
        <w:rPr>
          <w:color w:val="000000" w:themeColor="text1"/>
          <w:vertAlign w:val="superscript"/>
          <w14:textFill>
            <w14:solidFill>
              <w14:schemeClr w14:val="tx1"/>
            </w14:solidFill>
          </w14:textFill>
        </w:rPr>
        <w:t>3</w:t>
      </w:r>
      <w:r>
        <w:rPr>
          <w:color w:val="000000" w:themeColor="text1"/>
          <w14:textFill>
            <w14:solidFill>
              <w14:schemeClr w14:val="tx1"/>
            </w14:solidFill>
          </w14:textFill>
        </w:rPr>
        <w:t>；冬季含沙量：0.03kg/m</w:t>
      </w:r>
      <w:r>
        <w:rPr>
          <w:color w:val="000000" w:themeColor="text1"/>
          <w:vertAlign w:val="superscript"/>
          <w14:textFill>
            <w14:solidFill>
              <w14:schemeClr w14:val="tx1"/>
            </w14:solidFill>
          </w14:textFill>
        </w:rPr>
        <w:t>3</w:t>
      </w:r>
      <w:r>
        <w:rPr>
          <w:color w:val="000000" w:themeColor="text1"/>
          <w14:textFill>
            <w14:solidFill>
              <w14:schemeClr w14:val="tx1"/>
            </w14:solidFill>
          </w14:textFill>
        </w:rPr>
        <w:t xml:space="preserve">。 </w:t>
      </w:r>
    </w:p>
    <w:p>
      <w:pPr>
        <w:snapToGrid w:val="0"/>
        <w:ind w:firstLine="482"/>
        <w:rPr>
          <w:b/>
          <w:color w:val="000000" w:themeColor="text1"/>
          <w14:textFill>
            <w14:solidFill>
              <w14:schemeClr w14:val="tx1"/>
            </w14:solidFill>
          </w14:textFill>
        </w:rPr>
      </w:pPr>
      <w:r>
        <w:rPr>
          <w:rFonts w:hint="eastAsia"/>
          <w:b/>
          <w:color w:val="000000" w:themeColor="text1"/>
          <w14:textFill>
            <w14:solidFill>
              <w14:schemeClr w14:val="tx1"/>
            </w14:solidFill>
          </w14:textFill>
        </w:rPr>
        <w:t>6、盐度和水温</w:t>
      </w:r>
    </w:p>
    <w:p>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钦州湾海域盐度分布规律为河口低、海高，等值线与等深线几乎平行。年平均盐度为</w:t>
      </w:r>
      <w:r>
        <w:rPr>
          <w:color w:val="000000" w:themeColor="text1"/>
          <w14:textFill>
            <w14:solidFill>
              <w14:schemeClr w14:val="tx1"/>
            </w14:solidFill>
          </w14:textFill>
        </w:rPr>
        <w:t>1.93%</w:t>
      </w:r>
      <w:r>
        <w:rPr>
          <w:rFonts w:hint="eastAsia"/>
          <w:color w:val="000000" w:themeColor="text1"/>
          <w14:textFill>
            <w14:solidFill>
              <w14:schemeClr w14:val="tx1"/>
            </w14:solidFill>
          </w14:textFill>
        </w:rPr>
        <w:t>。（龙门）最高为</w:t>
      </w:r>
      <w:r>
        <w:rPr>
          <w:color w:val="000000" w:themeColor="text1"/>
          <w14:textFill>
            <w14:solidFill>
              <w14:schemeClr w14:val="tx1"/>
            </w14:solidFill>
          </w14:textFill>
        </w:rPr>
        <w:t>3.23%</w:t>
      </w:r>
      <w:r>
        <w:rPr>
          <w:rFonts w:hint="eastAsia"/>
          <w:color w:val="000000" w:themeColor="text1"/>
          <w14:textFill>
            <w14:solidFill>
              <w14:schemeClr w14:val="tx1"/>
            </w14:solidFill>
          </w14:textFill>
        </w:rPr>
        <w:t>，最低为</w:t>
      </w:r>
      <w:r>
        <w:rPr>
          <w:color w:val="000000" w:themeColor="text1"/>
          <w14:textFill>
            <w14:solidFill>
              <w14:schemeClr w14:val="tx1"/>
            </w14:solidFill>
          </w14:textFill>
        </w:rPr>
        <w:t>2.63%</w:t>
      </w:r>
      <w:r>
        <w:rPr>
          <w:rFonts w:hint="eastAsia"/>
          <w:color w:val="000000" w:themeColor="text1"/>
          <w14:textFill>
            <w14:solidFill>
              <w14:schemeClr w14:val="tx1"/>
            </w14:solidFill>
          </w14:textFill>
        </w:rPr>
        <w:t>。</w:t>
      </w:r>
    </w:p>
    <w:p>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水温变化特征分为夏季型、冬季型和过渡型三种。夏季沿岸水温高，外海低，冬季水温则是外海高沿岸低；春夏分层稳定，上层高，下层低。水温的升降则以春季和秋季为过渡季节。最高水温</w:t>
      </w:r>
      <w:r>
        <w:rPr>
          <w:color w:val="000000" w:themeColor="text1"/>
          <w14:textFill>
            <w14:solidFill>
              <w14:schemeClr w14:val="tx1"/>
            </w14:solidFill>
          </w14:textFill>
        </w:rPr>
        <w:t>32.75℃</w:t>
      </w:r>
      <w:r>
        <w:rPr>
          <w:rFonts w:hint="eastAsia"/>
          <w:color w:val="000000" w:themeColor="text1"/>
          <w14:textFill>
            <w14:solidFill>
              <w14:schemeClr w14:val="tx1"/>
            </w14:solidFill>
          </w14:textFill>
        </w:rPr>
        <w:t>，平均水温</w:t>
      </w:r>
      <w:r>
        <w:rPr>
          <w:color w:val="000000" w:themeColor="text1"/>
          <w14:textFill>
            <w14:solidFill>
              <w14:schemeClr w14:val="tx1"/>
            </w14:solidFill>
          </w14:textFill>
        </w:rPr>
        <w:t>21.90℃</w:t>
      </w:r>
      <w:r>
        <w:rPr>
          <w:rFonts w:hint="eastAsia"/>
          <w:color w:val="000000" w:themeColor="text1"/>
          <w14:textFill>
            <w14:solidFill>
              <w14:schemeClr w14:val="tx1"/>
            </w14:solidFill>
          </w14:textFill>
        </w:rPr>
        <w:t>。</w:t>
      </w:r>
    </w:p>
    <w:p>
      <w:pPr>
        <w:pStyle w:val="5"/>
        <w:rPr>
          <w:color w:val="000000" w:themeColor="text1"/>
          <w14:textFill>
            <w14:solidFill>
              <w14:schemeClr w14:val="tx1"/>
            </w14:solidFill>
          </w14:textFill>
        </w:rPr>
      </w:pPr>
      <w:r>
        <w:rPr>
          <w:color w:val="000000" w:themeColor="text1"/>
          <w14:textFill>
            <w14:solidFill>
              <w14:schemeClr w14:val="tx1"/>
            </w14:solidFill>
          </w14:textFill>
        </w:rPr>
        <w:t>自然灾害</w:t>
      </w:r>
    </w:p>
    <w:p>
      <w:pPr>
        <w:pStyle w:val="283"/>
        <w:ind w:firstLine="494"/>
        <w:rPr>
          <w:color w:val="000000" w:themeColor="text1"/>
          <w14:textFill>
            <w14:solidFill>
              <w14:schemeClr w14:val="tx1"/>
            </w14:solidFill>
          </w14:textFill>
        </w:rPr>
      </w:pPr>
      <w:r>
        <w:rPr>
          <w:color w:val="000000" w:themeColor="text1"/>
          <w14:textFill>
            <w14:solidFill>
              <w14:schemeClr w14:val="tx1"/>
            </w14:solidFill>
          </w14:textFill>
        </w:rPr>
        <w:t>钦州港自然灾害影响种类主要有热带气旋（台风）、风暴潮、低温阴雨、暴雨、海雾等。</w:t>
      </w:r>
    </w:p>
    <w:p>
      <w:pPr>
        <w:pStyle w:val="283"/>
        <w:ind w:firstLine="494"/>
        <w:rPr>
          <w:color w:val="000000" w:themeColor="text1"/>
          <w14:textFill>
            <w14:solidFill>
              <w14:schemeClr w14:val="tx1"/>
            </w14:solidFill>
          </w14:textFill>
        </w:rPr>
      </w:pPr>
      <w:r>
        <w:rPr>
          <w:rFonts w:hint="eastAsia"/>
          <w:color w:val="000000" w:themeColor="text1"/>
          <w14:textFill>
            <w14:solidFill>
              <w14:schemeClr w14:val="tx1"/>
            </w14:solidFill>
          </w14:textFill>
        </w:rPr>
        <w:t>1、</w:t>
      </w:r>
      <w:r>
        <w:rPr>
          <w:color w:val="000000" w:themeColor="text1"/>
          <w14:textFill>
            <w14:solidFill>
              <w14:schemeClr w14:val="tx1"/>
            </w14:solidFill>
          </w14:textFill>
        </w:rPr>
        <w:t>热带气旋（台风）</w:t>
      </w:r>
    </w:p>
    <w:p>
      <w:pPr>
        <w:pStyle w:val="283"/>
        <w:ind w:firstLine="494"/>
        <w:rPr>
          <w:color w:val="000000" w:themeColor="text1"/>
          <w14:textFill>
            <w14:solidFill>
              <w14:schemeClr w14:val="tx1"/>
            </w14:solidFill>
          </w14:textFill>
        </w:rPr>
      </w:pPr>
      <w:r>
        <w:rPr>
          <w:color w:val="000000" w:themeColor="text1"/>
          <w14:textFill>
            <w14:solidFill>
              <w14:schemeClr w14:val="tx1"/>
            </w14:solidFill>
          </w14:textFill>
        </w:rPr>
        <w:t>每年影响钦州市沿海地区的台风始于5月而止于11月，以7月～9月出现频率最高，约占年台风总数的73.5%。</w:t>
      </w:r>
    </w:p>
    <w:p>
      <w:pPr>
        <w:pStyle w:val="283"/>
        <w:ind w:firstLine="494"/>
        <w:rPr>
          <w:color w:val="000000" w:themeColor="text1"/>
          <w14:textFill>
            <w14:solidFill>
              <w14:schemeClr w14:val="tx1"/>
            </w14:solidFill>
          </w14:textFill>
        </w:rPr>
      </w:pPr>
      <w:r>
        <w:rPr>
          <w:rFonts w:hint="eastAsia"/>
          <w:color w:val="000000" w:themeColor="text1"/>
          <w14:textFill>
            <w14:solidFill>
              <w14:schemeClr w14:val="tx1"/>
            </w14:solidFill>
          </w14:textFill>
        </w:rPr>
        <w:t>2、</w:t>
      </w:r>
      <w:r>
        <w:rPr>
          <w:color w:val="000000" w:themeColor="text1"/>
          <w14:textFill>
            <w14:solidFill>
              <w14:schemeClr w14:val="tx1"/>
            </w14:solidFill>
          </w14:textFill>
        </w:rPr>
        <w:t>风暴潮</w:t>
      </w:r>
    </w:p>
    <w:p>
      <w:pPr>
        <w:ind w:firstLine="462"/>
        <w:rPr>
          <w:color w:val="000000" w:themeColor="text1"/>
          <w14:textFill>
            <w14:solidFill>
              <w14:schemeClr w14:val="tx1"/>
            </w14:solidFill>
          </w14:textFill>
        </w:rPr>
      </w:pPr>
      <w:r>
        <w:rPr>
          <w:color w:val="000000" w:themeColor="text1"/>
          <w14:textFill>
            <w14:solidFill>
              <w14:schemeClr w14:val="tx1"/>
            </w14:solidFill>
          </w14:textFill>
        </w:rPr>
        <w:t>项目所在区域的风暴潮，一般始于每年5月，止于11月，以7月～9月发生最多。</w:t>
      </w:r>
    </w:p>
    <w:p>
      <w:pPr>
        <w:pStyle w:val="283"/>
        <w:ind w:firstLine="494"/>
        <w:rPr>
          <w:color w:val="000000" w:themeColor="text1"/>
          <w14:textFill>
            <w14:solidFill>
              <w14:schemeClr w14:val="tx1"/>
            </w14:solidFill>
          </w14:textFill>
        </w:rPr>
      </w:pPr>
      <w:r>
        <w:rPr>
          <w:rFonts w:hint="eastAsia"/>
          <w:color w:val="000000" w:themeColor="text1"/>
          <w14:textFill>
            <w14:solidFill>
              <w14:schemeClr w14:val="tx1"/>
            </w14:solidFill>
          </w14:textFill>
        </w:rPr>
        <w:t>3、</w:t>
      </w:r>
      <w:r>
        <w:rPr>
          <w:color w:val="000000" w:themeColor="text1"/>
          <w14:textFill>
            <w14:solidFill>
              <w14:schemeClr w14:val="tx1"/>
            </w14:solidFill>
          </w14:textFill>
        </w:rPr>
        <w:t>低温阴雨</w:t>
      </w:r>
    </w:p>
    <w:p>
      <w:pPr>
        <w:pStyle w:val="283"/>
        <w:ind w:firstLine="494"/>
        <w:rPr>
          <w:color w:val="000000" w:themeColor="text1"/>
          <w14:textFill>
            <w14:solidFill>
              <w14:schemeClr w14:val="tx1"/>
            </w14:solidFill>
          </w14:textFill>
        </w:rPr>
      </w:pPr>
      <w:r>
        <w:rPr>
          <w:color w:val="000000" w:themeColor="text1"/>
          <w14:textFill>
            <w14:solidFill>
              <w14:schemeClr w14:val="tx1"/>
            </w14:solidFill>
          </w14:textFill>
        </w:rPr>
        <w:t>低温阴雨是钦州湾的主要灾害性天气，其特点是范围广且维持时间长，影响程度之严重，居广西沿岸港湾之冠。据统计，低温阴雨出现频率最</w:t>
      </w:r>
      <w:r>
        <w:rPr>
          <w:rFonts w:hint="eastAsia"/>
          <w:color w:val="000000" w:themeColor="text1"/>
          <w14:textFill>
            <w14:solidFill>
              <w14:schemeClr w14:val="tx1"/>
            </w14:solidFill>
          </w14:textFill>
        </w:rPr>
        <w:t>高</w:t>
      </w:r>
      <w:r>
        <w:rPr>
          <w:color w:val="000000" w:themeColor="text1"/>
          <w14:textFill>
            <w14:solidFill>
              <w14:schemeClr w14:val="tx1"/>
            </w14:solidFill>
          </w14:textFill>
        </w:rPr>
        <w:t>的时段是1月26日～2月24日。历史记录该地区最长低温阴雨过程出现在1968年，从2月1日起至27日止，持续2 7天，日平均气温在4.7℃～6.0℃之间，最低气温为1.6℃～4.3℃。</w:t>
      </w:r>
    </w:p>
    <w:p>
      <w:pPr>
        <w:pStyle w:val="283"/>
        <w:ind w:firstLine="494"/>
        <w:rPr>
          <w:color w:val="000000" w:themeColor="text1"/>
          <w14:textFill>
            <w14:solidFill>
              <w14:schemeClr w14:val="tx1"/>
            </w14:solidFill>
          </w14:textFill>
        </w:rPr>
      </w:pPr>
      <w:r>
        <w:rPr>
          <w:rFonts w:hint="eastAsia"/>
          <w:color w:val="000000" w:themeColor="text1"/>
          <w14:textFill>
            <w14:solidFill>
              <w14:schemeClr w14:val="tx1"/>
            </w14:solidFill>
          </w14:textFill>
        </w:rPr>
        <w:t>4、</w:t>
      </w:r>
      <w:r>
        <w:rPr>
          <w:color w:val="000000" w:themeColor="text1"/>
          <w14:textFill>
            <w14:solidFill>
              <w14:schemeClr w14:val="tx1"/>
            </w14:solidFill>
          </w14:textFill>
        </w:rPr>
        <w:t>暴雨</w:t>
      </w:r>
    </w:p>
    <w:p>
      <w:pPr>
        <w:pStyle w:val="283"/>
        <w:ind w:firstLine="494"/>
        <w:rPr>
          <w:color w:val="000000" w:themeColor="text1"/>
          <w14:textFill>
            <w14:solidFill>
              <w14:schemeClr w14:val="tx1"/>
            </w14:solidFill>
          </w14:textFill>
        </w:rPr>
      </w:pPr>
      <w:r>
        <w:rPr>
          <w:color w:val="000000" w:themeColor="text1"/>
          <w14:textFill>
            <w14:solidFill>
              <w14:schemeClr w14:val="tx1"/>
            </w14:solidFill>
          </w14:textFill>
        </w:rPr>
        <w:t>钦州湾沿岸地形低平，雨量丰富，是广西沿岸暴雨最多的地区之一。以钦州市为例，累年平均雨量≥50mm的暴雨日数为9.7d；累年平均雨量≥80mm的暴雨天数为4.2d；≥l00mm的暴雨日数为2.5d。暴雨一年四季均可出现，以夏季6月～8月最多，暴雨天数占全年的73%，其中以7月居多，占全年暴雨的28%。在钦江、茅岭江流域平均每年出现洪涝0.9次，平均维持时间为26h。</w:t>
      </w:r>
    </w:p>
    <w:p>
      <w:pPr>
        <w:pStyle w:val="283"/>
        <w:ind w:firstLine="494"/>
        <w:rPr>
          <w:color w:val="000000" w:themeColor="text1"/>
          <w14:textFill>
            <w14:solidFill>
              <w14:schemeClr w14:val="tx1"/>
            </w14:solidFill>
          </w14:textFill>
        </w:rPr>
      </w:pPr>
      <w:r>
        <w:rPr>
          <w:rFonts w:hint="eastAsia"/>
          <w:color w:val="000000" w:themeColor="text1"/>
          <w14:textFill>
            <w14:solidFill>
              <w14:schemeClr w14:val="tx1"/>
            </w14:solidFill>
          </w14:textFill>
        </w:rPr>
        <w:t>5、</w:t>
      </w:r>
      <w:r>
        <w:rPr>
          <w:color w:val="000000" w:themeColor="text1"/>
          <w14:textFill>
            <w14:solidFill>
              <w14:schemeClr w14:val="tx1"/>
            </w14:solidFill>
          </w14:textFill>
        </w:rPr>
        <w:t>海雾</w:t>
      </w:r>
    </w:p>
    <w:p>
      <w:pPr>
        <w:pStyle w:val="283"/>
        <w:ind w:firstLine="494"/>
        <w:rPr>
          <w:color w:val="000000" w:themeColor="text1"/>
          <w14:textFill>
            <w14:solidFill>
              <w14:schemeClr w14:val="tx1"/>
            </w14:solidFill>
          </w14:textFill>
        </w:rPr>
      </w:pPr>
      <w:r>
        <w:rPr>
          <w:color w:val="000000" w:themeColor="text1"/>
          <w14:textFill>
            <w14:solidFill>
              <w14:schemeClr w14:val="tx1"/>
            </w14:solidFill>
          </w14:textFill>
        </w:rPr>
        <w:t>海雾多发于春季（11月～4月），海雾生成从早晨4时～5时为多，持续时间一般为3h～4h，最长可持续1d。多年平均雾日20.2d。历年最多雾日32d</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1985年</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w:t>
      </w:r>
    </w:p>
    <w:p>
      <w:pPr>
        <w:pStyle w:val="5"/>
        <w:rPr>
          <w:color w:val="000000" w:themeColor="text1"/>
          <w14:textFill>
            <w14:solidFill>
              <w14:schemeClr w14:val="tx1"/>
            </w14:solidFill>
          </w14:textFill>
        </w:rPr>
      </w:pPr>
      <w:bookmarkStart w:id="143" w:name="_Toc279393606"/>
      <w:r>
        <w:rPr>
          <w:color w:val="000000" w:themeColor="text1"/>
          <w14:textFill>
            <w14:solidFill>
              <w14:schemeClr w14:val="tx1"/>
            </w14:solidFill>
          </w14:textFill>
        </w:rPr>
        <w:t>地震</w:t>
      </w:r>
      <w:bookmarkEnd w:id="143"/>
    </w:p>
    <w:p>
      <w:pPr>
        <w:pStyle w:val="283"/>
        <w:ind w:firstLine="494"/>
        <w:rPr>
          <w:color w:val="000000" w:themeColor="text1"/>
          <w14:textFill>
            <w14:solidFill>
              <w14:schemeClr w14:val="tx1"/>
            </w14:solidFill>
          </w14:textFill>
        </w:rPr>
      </w:pPr>
      <w:r>
        <w:rPr>
          <w:color w:val="000000" w:themeColor="text1"/>
          <w14:textFill>
            <w14:solidFill>
              <w14:schemeClr w14:val="tx1"/>
            </w14:solidFill>
          </w14:textFill>
        </w:rPr>
        <w:t>根据《建筑抗震设计规范》（GB50011-2001），设计基本地震加速度</w:t>
      </w:r>
      <w:r>
        <w:rPr>
          <w:rFonts w:hint="eastAsia"/>
          <w:color w:val="000000" w:themeColor="text1"/>
          <w14:textFill>
            <w14:solidFill>
              <w14:schemeClr w14:val="tx1"/>
            </w14:solidFill>
          </w14:textFill>
        </w:rPr>
        <w:t>0.1</w:t>
      </w:r>
      <w:r>
        <w:rPr>
          <w:color w:val="000000" w:themeColor="text1"/>
          <w14:textFill>
            <w14:solidFill>
              <w14:schemeClr w14:val="tx1"/>
            </w14:solidFill>
          </w14:textFill>
        </w:rPr>
        <w:t>g。本工程位置抗震设防烈度为Ⅶ度。</w:t>
      </w:r>
    </w:p>
    <w:p>
      <w:pPr>
        <w:pStyle w:val="5"/>
        <w:rPr>
          <w:color w:val="000000" w:themeColor="text1"/>
          <w14:textFill>
            <w14:solidFill>
              <w14:schemeClr w14:val="tx1"/>
            </w14:solidFill>
          </w14:textFill>
        </w:rPr>
      </w:pPr>
      <w:r>
        <w:rPr>
          <w:color w:val="000000" w:themeColor="text1"/>
          <w14:textFill>
            <w14:solidFill>
              <w14:schemeClr w14:val="tx1"/>
            </w14:solidFill>
          </w14:textFill>
        </w:rPr>
        <w:t>港口作业天数</w:t>
      </w:r>
    </w:p>
    <w:p>
      <w:pPr>
        <w:ind w:firstLine="494" w:firstLineChars="200"/>
        <w:rPr>
          <w:bCs/>
          <w:color w:val="000000" w:themeColor="text1"/>
          <w14:textFill>
            <w14:solidFill>
              <w14:schemeClr w14:val="tx1"/>
            </w14:solidFill>
          </w14:textFill>
        </w:rPr>
      </w:pPr>
      <w:r>
        <w:rPr>
          <w:bCs/>
          <w:color w:val="000000" w:themeColor="text1"/>
          <w14:textFill>
            <w14:solidFill>
              <w14:schemeClr w14:val="tx1"/>
            </w14:solidFill>
          </w14:textFill>
        </w:rPr>
        <w:t>本项目各吨级集装箱船作业允许条件如下表</w:t>
      </w:r>
      <w:r>
        <w:rPr>
          <w:rFonts w:hint="eastAsia"/>
          <w:bCs/>
          <w:color w:val="000000" w:themeColor="text1"/>
          <w14:textFill>
            <w14:solidFill>
              <w14:schemeClr w14:val="tx1"/>
            </w14:solidFill>
          </w14:textFill>
        </w:rPr>
        <w:t>3.1-4。</w:t>
      </w:r>
    </w:p>
    <w:p>
      <w:pPr>
        <w:pStyle w:val="384"/>
        <w:ind w:left="0" w:firstLine="0"/>
        <w:rPr>
          <w:rFonts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泊位作业允许条件表</w:t>
      </w:r>
    </w:p>
    <w:tbl>
      <w:tblPr>
        <w:tblStyle w:val="89"/>
        <w:tblW w:w="8832" w:type="dxa"/>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657"/>
        <w:gridCol w:w="1450"/>
        <w:gridCol w:w="1274"/>
        <w:gridCol w:w="1378"/>
        <w:gridCol w:w="1153"/>
        <w:gridCol w:w="1542"/>
        <w:gridCol w:w="1378"/>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blHeader/>
        </w:trPr>
        <w:tc>
          <w:tcPr>
            <w:tcW w:w="2107" w:type="dxa"/>
            <w:gridSpan w:val="2"/>
            <w:tcBorders>
              <w:top w:val="single" w:color="auto" w:sz="12" w:space="0"/>
              <w:bottom w:val="single" w:color="auto" w:sz="6" w:space="0"/>
              <w:tl2br w:val="single" w:color="auto" w:sz="6" w:space="0"/>
            </w:tcBorders>
          </w:tcPr>
          <w:p>
            <w:pPr>
              <w:pStyle w:val="2001"/>
              <w:rPr>
                <w:snapToGrid w:val="0"/>
              </w:rPr>
            </w:pPr>
            <w:r>
              <w:rPr>
                <w:snapToGrid w:val="0"/>
              </w:rPr>
              <w:t>船舶吨级</w:t>
            </w:r>
          </w:p>
          <w:p>
            <w:pPr>
              <w:pStyle w:val="2001"/>
              <w:rPr>
                <w:snapToGrid w:val="0"/>
              </w:rPr>
            </w:pPr>
            <w:r>
              <w:rPr>
                <w:rFonts w:hint="eastAsia"/>
                <w:snapToGrid w:val="0"/>
              </w:rPr>
              <w:t>影响因素</w:t>
            </w:r>
          </w:p>
        </w:tc>
        <w:tc>
          <w:tcPr>
            <w:tcW w:w="1274" w:type="dxa"/>
            <w:vAlign w:val="center"/>
          </w:tcPr>
          <w:p>
            <w:pPr>
              <w:pStyle w:val="2001"/>
              <w:rPr>
                <w:snapToGrid w:val="0"/>
              </w:rPr>
            </w:pPr>
            <w:r>
              <w:rPr>
                <w:snapToGrid w:val="0"/>
              </w:rPr>
              <w:t>≥</w:t>
            </w:r>
            <w:r>
              <w:rPr>
                <w:rFonts w:hint="eastAsia"/>
                <w:snapToGrid w:val="0"/>
              </w:rPr>
              <w:t>5万DWT</w:t>
            </w:r>
          </w:p>
        </w:tc>
        <w:tc>
          <w:tcPr>
            <w:tcW w:w="1378" w:type="dxa"/>
            <w:vAlign w:val="center"/>
          </w:tcPr>
          <w:p>
            <w:pPr>
              <w:pStyle w:val="2001"/>
              <w:rPr>
                <w:snapToGrid w:val="0"/>
              </w:rPr>
            </w:pPr>
            <w:r>
              <w:rPr>
                <w:rFonts w:hint="eastAsia"/>
                <w:snapToGrid w:val="0"/>
              </w:rPr>
              <w:t>3万～4万DWT</w:t>
            </w:r>
          </w:p>
        </w:tc>
        <w:tc>
          <w:tcPr>
            <w:tcW w:w="1153" w:type="dxa"/>
            <w:vAlign w:val="center"/>
          </w:tcPr>
          <w:p>
            <w:pPr>
              <w:pStyle w:val="2001"/>
              <w:rPr>
                <w:snapToGrid w:val="0"/>
              </w:rPr>
            </w:pPr>
            <w:r>
              <w:rPr>
                <w:rFonts w:hint="eastAsia"/>
                <w:snapToGrid w:val="0"/>
              </w:rPr>
              <w:t>2万DWT</w:t>
            </w:r>
          </w:p>
        </w:tc>
        <w:tc>
          <w:tcPr>
            <w:tcW w:w="1542" w:type="dxa"/>
            <w:vAlign w:val="center"/>
          </w:tcPr>
          <w:p>
            <w:pPr>
              <w:pStyle w:val="2001"/>
              <w:rPr>
                <w:snapToGrid w:val="0"/>
              </w:rPr>
            </w:pPr>
            <w:r>
              <w:rPr>
                <w:rFonts w:hint="eastAsia"/>
                <w:snapToGrid w:val="0"/>
              </w:rPr>
              <w:t>1万～1.5万DWT</w:t>
            </w:r>
          </w:p>
        </w:tc>
        <w:tc>
          <w:tcPr>
            <w:tcW w:w="1378" w:type="dxa"/>
            <w:vAlign w:val="center"/>
          </w:tcPr>
          <w:p>
            <w:pPr>
              <w:pStyle w:val="2001"/>
              <w:rPr>
                <w:snapToGrid w:val="0"/>
              </w:rPr>
            </w:pPr>
            <w:r>
              <w:rPr>
                <w:rFonts w:hint="eastAsia"/>
                <w:snapToGrid w:val="0"/>
              </w:rPr>
              <w:t>1万～5000DWT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c>
          <w:tcPr>
            <w:tcW w:w="2107" w:type="dxa"/>
            <w:gridSpan w:val="2"/>
            <w:tcBorders>
              <w:top w:val="single" w:color="auto" w:sz="6" w:space="0"/>
            </w:tcBorders>
          </w:tcPr>
          <w:p>
            <w:pPr>
              <w:pStyle w:val="2001"/>
              <w:rPr>
                <w:snapToGrid w:val="0"/>
              </w:rPr>
            </w:pPr>
            <w:r>
              <w:rPr>
                <w:snapToGrid w:val="0"/>
              </w:rPr>
              <w:t>风</w:t>
            </w:r>
          </w:p>
        </w:tc>
        <w:tc>
          <w:tcPr>
            <w:tcW w:w="6725" w:type="dxa"/>
            <w:gridSpan w:val="5"/>
            <w:vAlign w:val="center"/>
          </w:tcPr>
          <w:p>
            <w:pPr>
              <w:pStyle w:val="2001"/>
              <w:rPr>
                <w:snapToGrid w:val="0"/>
              </w:rPr>
            </w:pPr>
            <w:r>
              <w:rPr>
                <w:rFonts w:hint="eastAsia"/>
                <w:snapToGrid w:val="0"/>
              </w:rPr>
              <w:t>≤6级（10.8～13.8 m/s）</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c>
          <w:tcPr>
            <w:tcW w:w="2107" w:type="dxa"/>
            <w:gridSpan w:val="2"/>
          </w:tcPr>
          <w:p>
            <w:pPr>
              <w:pStyle w:val="2001"/>
              <w:rPr>
                <w:snapToGrid w:val="0"/>
              </w:rPr>
            </w:pPr>
            <w:r>
              <w:rPr>
                <w:snapToGrid w:val="0"/>
              </w:rPr>
              <w:t>雨</w:t>
            </w:r>
          </w:p>
        </w:tc>
        <w:tc>
          <w:tcPr>
            <w:tcW w:w="6725" w:type="dxa"/>
            <w:gridSpan w:val="5"/>
            <w:vAlign w:val="center"/>
          </w:tcPr>
          <w:p>
            <w:pPr>
              <w:pStyle w:val="2001"/>
              <w:rPr>
                <w:snapToGrid w:val="0"/>
              </w:rPr>
            </w:pPr>
            <w:r>
              <w:rPr>
                <w:snapToGrid w:val="0"/>
              </w:rPr>
              <w:t>＜</w:t>
            </w:r>
            <w:r>
              <w:rPr>
                <w:rFonts w:hint="eastAsia"/>
                <w:snapToGrid w:val="0"/>
              </w:rPr>
              <w:t>25mm/d</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c>
          <w:tcPr>
            <w:tcW w:w="2107" w:type="dxa"/>
            <w:gridSpan w:val="2"/>
          </w:tcPr>
          <w:p>
            <w:pPr>
              <w:pStyle w:val="2001"/>
              <w:rPr>
                <w:snapToGrid w:val="0"/>
              </w:rPr>
            </w:pPr>
            <w:r>
              <w:rPr>
                <w:snapToGrid w:val="0"/>
              </w:rPr>
              <w:t>雾</w:t>
            </w:r>
          </w:p>
        </w:tc>
        <w:tc>
          <w:tcPr>
            <w:tcW w:w="6725" w:type="dxa"/>
            <w:gridSpan w:val="5"/>
            <w:vAlign w:val="center"/>
          </w:tcPr>
          <w:p>
            <w:pPr>
              <w:pStyle w:val="2001"/>
              <w:rPr>
                <w:snapToGrid w:val="0"/>
              </w:rPr>
            </w:pPr>
            <w:r>
              <w:rPr>
                <w:snapToGrid w:val="0"/>
              </w:rPr>
              <w:t>水平能见度≥</w:t>
            </w:r>
            <w:r>
              <w:rPr>
                <w:rFonts w:hint="eastAsia"/>
                <w:snapToGrid w:val="0"/>
              </w:rPr>
              <w:t>500mm</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c>
          <w:tcPr>
            <w:tcW w:w="2107" w:type="dxa"/>
            <w:gridSpan w:val="2"/>
          </w:tcPr>
          <w:p>
            <w:pPr>
              <w:pStyle w:val="2001"/>
              <w:rPr>
                <w:snapToGrid w:val="0"/>
              </w:rPr>
            </w:pPr>
            <w:r>
              <w:rPr>
                <w:snapToGrid w:val="0"/>
              </w:rPr>
              <w:t>雷暴</w:t>
            </w:r>
          </w:p>
        </w:tc>
        <w:tc>
          <w:tcPr>
            <w:tcW w:w="6725" w:type="dxa"/>
            <w:gridSpan w:val="5"/>
            <w:vAlign w:val="center"/>
          </w:tcPr>
          <w:p>
            <w:pPr>
              <w:pStyle w:val="2001"/>
              <w:rPr>
                <w:snapToGrid w:val="0"/>
              </w:rPr>
            </w:pPr>
            <w:r>
              <w:rPr>
                <w:rFonts w:hint="eastAsia"/>
                <w:snapToGrid w:val="0"/>
              </w:rPr>
              <w:t>不发生</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c>
          <w:tcPr>
            <w:tcW w:w="657" w:type="dxa"/>
            <w:vMerge w:val="restart"/>
            <w:vAlign w:val="center"/>
          </w:tcPr>
          <w:p>
            <w:pPr>
              <w:pStyle w:val="2001"/>
              <w:rPr>
                <w:snapToGrid w:val="0"/>
              </w:rPr>
            </w:pPr>
            <w:r>
              <w:rPr>
                <w:snapToGrid w:val="0"/>
              </w:rPr>
              <w:t>波浪</w:t>
            </w:r>
          </w:p>
        </w:tc>
        <w:tc>
          <w:tcPr>
            <w:tcW w:w="1450" w:type="dxa"/>
          </w:tcPr>
          <w:p>
            <w:pPr>
              <w:pStyle w:val="2001"/>
              <w:rPr>
                <w:snapToGrid w:val="0"/>
              </w:rPr>
            </w:pPr>
            <w:r>
              <w:rPr>
                <w:snapToGrid w:val="0"/>
              </w:rPr>
              <w:t>顺浪</w:t>
            </w:r>
            <w:r>
              <w:rPr>
                <w:rFonts w:hint="eastAsia"/>
                <w:snapToGrid w:val="0"/>
              </w:rPr>
              <w:t>H4%</w:t>
            </w:r>
          </w:p>
        </w:tc>
        <w:tc>
          <w:tcPr>
            <w:tcW w:w="1274" w:type="dxa"/>
            <w:vAlign w:val="center"/>
          </w:tcPr>
          <w:p>
            <w:pPr>
              <w:pStyle w:val="2001"/>
              <w:rPr>
                <w:snapToGrid w:val="0"/>
              </w:rPr>
            </w:pPr>
            <w:r>
              <w:rPr>
                <w:rFonts w:hint="eastAsia"/>
                <w:snapToGrid w:val="0"/>
              </w:rPr>
              <w:t>≤1.2m</w:t>
            </w:r>
          </w:p>
        </w:tc>
        <w:tc>
          <w:tcPr>
            <w:tcW w:w="1378" w:type="dxa"/>
            <w:vAlign w:val="center"/>
          </w:tcPr>
          <w:p>
            <w:pPr>
              <w:pStyle w:val="2001"/>
              <w:rPr>
                <w:snapToGrid w:val="0"/>
              </w:rPr>
            </w:pPr>
            <w:r>
              <w:rPr>
                <w:rFonts w:hint="eastAsia"/>
                <w:snapToGrid w:val="0"/>
              </w:rPr>
              <w:t>≤1.0m</w:t>
            </w:r>
          </w:p>
        </w:tc>
        <w:tc>
          <w:tcPr>
            <w:tcW w:w="1153" w:type="dxa"/>
            <w:vAlign w:val="center"/>
          </w:tcPr>
          <w:p>
            <w:pPr>
              <w:pStyle w:val="2001"/>
              <w:rPr>
                <w:snapToGrid w:val="0"/>
              </w:rPr>
            </w:pPr>
            <w:r>
              <w:rPr>
                <w:rFonts w:hint="eastAsia"/>
                <w:snapToGrid w:val="0"/>
              </w:rPr>
              <w:t>≤1.0m</w:t>
            </w:r>
          </w:p>
        </w:tc>
        <w:tc>
          <w:tcPr>
            <w:tcW w:w="1542" w:type="dxa"/>
            <w:vAlign w:val="center"/>
          </w:tcPr>
          <w:p>
            <w:pPr>
              <w:pStyle w:val="2001"/>
              <w:rPr>
                <w:snapToGrid w:val="0"/>
              </w:rPr>
            </w:pPr>
            <w:r>
              <w:rPr>
                <w:rFonts w:hint="eastAsia"/>
                <w:snapToGrid w:val="0"/>
              </w:rPr>
              <w:t>≤0.8m</w:t>
            </w:r>
          </w:p>
        </w:tc>
        <w:tc>
          <w:tcPr>
            <w:tcW w:w="1378" w:type="dxa"/>
            <w:vAlign w:val="center"/>
          </w:tcPr>
          <w:p>
            <w:pPr>
              <w:pStyle w:val="2001"/>
              <w:rPr>
                <w:snapToGrid w:val="0"/>
              </w:rPr>
            </w:pPr>
            <w:r>
              <w:rPr>
                <w:rFonts w:hint="eastAsia"/>
                <w:snapToGrid w:val="0"/>
              </w:rPr>
              <w:t>≤0.6m</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c>
          <w:tcPr>
            <w:tcW w:w="657" w:type="dxa"/>
            <w:vMerge w:val="continue"/>
          </w:tcPr>
          <w:p>
            <w:pPr>
              <w:pStyle w:val="2001"/>
              <w:rPr>
                <w:snapToGrid w:val="0"/>
              </w:rPr>
            </w:pPr>
          </w:p>
        </w:tc>
        <w:tc>
          <w:tcPr>
            <w:tcW w:w="1450" w:type="dxa"/>
          </w:tcPr>
          <w:p>
            <w:pPr>
              <w:pStyle w:val="2001"/>
              <w:rPr>
                <w:snapToGrid w:val="0"/>
              </w:rPr>
            </w:pPr>
            <w:r>
              <w:rPr>
                <w:snapToGrid w:val="0"/>
              </w:rPr>
              <w:t>横浪</w:t>
            </w:r>
            <w:r>
              <w:rPr>
                <w:rFonts w:hint="eastAsia"/>
                <w:snapToGrid w:val="0"/>
              </w:rPr>
              <w:t>H4%</w:t>
            </w:r>
          </w:p>
        </w:tc>
        <w:tc>
          <w:tcPr>
            <w:tcW w:w="1274" w:type="dxa"/>
            <w:vAlign w:val="center"/>
          </w:tcPr>
          <w:p>
            <w:pPr>
              <w:pStyle w:val="2001"/>
              <w:rPr>
                <w:snapToGrid w:val="0"/>
              </w:rPr>
            </w:pPr>
            <w:r>
              <w:rPr>
                <w:rFonts w:hint="eastAsia"/>
                <w:snapToGrid w:val="0"/>
              </w:rPr>
              <w:t>≤1.0m</w:t>
            </w:r>
          </w:p>
        </w:tc>
        <w:tc>
          <w:tcPr>
            <w:tcW w:w="1378" w:type="dxa"/>
            <w:vAlign w:val="center"/>
          </w:tcPr>
          <w:p>
            <w:pPr>
              <w:pStyle w:val="2001"/>
              <w:rPr>
                <w:snapToGrid w:val="0"/>
              </w:rPr>
            </w:pPr>
            <w:r>
              <w:rPr>
                <w:rFonts w:hint="eastAsia"/>
                <w:snapToGrid w:val="0"/>
              </w:rPr>
              <w:t>≤0.8m</w:t>
            </w:r>
          </w:p>
        </w:tc>
        <w:tc>
          <w:tcPr>
            <w:tcW w:w="1153" w:type="dxa"/>
            <w:vAlign w:val="center"/>
          </w:tcPr>
          <w:p>
            <w:pPr>
              <w:pStyle w:val="2001"/>
              <w:rPr>
                <w:snapToGrid w:val="0"/>
              </w:rPr>
            </w:pPr>
            <w:r>
              <w:rPr>
                <w:rFonts w:hint="eastAsia"/>
                <w:snapToGrid w:val="0"/>
              </w:rPr>
              <w:t>≤0.7m</w:t>
            </w:r>
          </w:p>
        </w:tc>
        <w:tc>
          <w:tcPr>
            <w:tcW w:w="1542" w:type="dxa"/>
            <w:vAlign w:val="center"/>
          </w:tcPr>
          <w:p>
            <w:pPr>
              <w:pStyle w:val="2001"/>
              <w:rPr>
                <w:snapToGrid w:val="0"/>
              </w:rPr>
            </w:pPr>
            <w:r>
              <w:rPr>
                <w:rFonts w:hint="eastAsia"/>
                <w:snapToGrid w:val="0"/>
              </w:rPr>
              <w:t>≤0.6m</w:t>
            </w:r>
          </w:p>
        </w:tc>
        <w:tc>
          <w:tcPr>
            <w:tcW w:w="1378" w:type="dxa"/>
            <w:vAlign w:val="center"/>
          </w:tcPr>
          <w:p>
            <w:pPr>
              <w:pStyle w:val="2001"/>
              <w:rPr>
                <w:snapToGrid w:val="0"/>
              </w:rPr>
            </w:pPr>
            <w:r>
              <w:rPr>
                <w:rFonts w:hint="eastAsia"/>
                <w:snapToGrid w:val="0"/>
              </w:rPr>
              <w:t>≤0.6m</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c>
          <w:tcPr>
            <w:tcW w:w="657" w:type="dxa"/>
            <w:vMerge w:val="continue"/>
          </w:tcPr>
          <w:p>
            <w:pPr>
              <w:pStyle w:val="2001"/>
              <w:rPr>
                <w:snapToGrid w:val="0"/>
              </w:rPr>
            </w:pPr>
          </w:p>
        </w:tc>
        <w:tc>
          <w:tcPr>
            <w:tcW w:w="1450" w:type="dxa"/>
          </w:tcPr>
          <w:p>
            <w:pPr>
              <w:pStyle w:val="2001"/>
              <w:rPr>
                <w:snapToGrid w:val="0"/>
              </w:rPr>
            </w:pPr>
            <w:r>
              <w:rPr>
                <w:rFonts w:hint="eastAsia"/>
                <w:snapToGrid w:val="0"/>
              </w:rPr>
              <w:t>平均周期Tm</w:t>
            </w:r>
          </w:p>
        </w:tc>
        <w:tc>
          <w:tcPr>
            <w:tcW w:w="1274" w:type="dxa"/>
            <w:vAlign w:val="center"/>
          </w:tcPr>
          <w:p>
            <w:pPr>
              <w:pStyle w:val="2001"/>
              <w:rPr>
                <w:snapToGrid w:val="0"/>
              </w:rPr>
            </w:pPr>
            <w:r>
              <w:rPr>
                <w:rFonts w:hint="eastAsia"/>
                <w:snapToGrid w:val="0"/>
              </w:rPr>
              <w:t>≤8s</w:t>
            </w:r>
          </w:p>
        </w:tc>
        <w:tc>
          <w:tcPr>
            <w:tcW w:w="1378" w:type="dxa"/>
            <w:vAlign w:val="center"/>
          </w:tcPr>
          <w:p>
            <w:pPr>
              <w:pStyle w:val="2001"/>
              <w:rPr>
                <w:snapToGrid w:val="0"/>
              </w:rPr>
            </w:pPr>
            <w:r>
              <w:rPr>
                <w:rFonts w:hint="eastAsia"/>
                <w:snapToGrid w:val="0"/>
              </w:rPr>
              <w:t>≤8s</w:t>
            </w:r>
          </w:p>
        </w:tc>
        <w:tc>
          <w:tcPr>
            <w:tcW w:w="1153" w:type="dxa"/>
            <w:vAlign w:val="center"/>
          </w:tcPr>
          <w:p>
            <w:pPr>
              <w:pStyle w:val="2001"/>
              <w:rPr>
                <w:snapToGrid w:val="0"/>
              </w:rPr>
            </w:pPr>
            <w:r>
              <w:rPr>
                <w:rFonts w:hint="eastAsia"/>
                <w:snapToGrid w:val="0"/>
              </w:rPr>
              <w:t>≤6s</w:t>
            </w:r>
          </w:p>
        </w:tc>
        <w:tc>
          <w:tcPr>
            <w:tcW w:w="1542" w:type="dxa"/>
            <w:vAlign w:val="center"/>
          </w:tcPr>
          <w:p>
            <w:pPr>
              <w:pStyle w:val="2001"/>
              <w:rPr>
                <w:snapToGrid w:val="0"/>
              </w:rPr>
            </w:pPr>
            <w:r>
              <w:rPr>
                <w:rFonts w:hint="eastAsia"/>
                <w:snapToGrid w:val="0"/>
              </w:rPr>
              <w:t>≤7s</w:t>
            </w:r>
          </w:p>
        </w:tc>
        <w:tc>
          <w:tcPr>
            <w:tcW w:w="1378" w:type="dxa"/>
            <w:vAlign w:val="center"/>
          </w:tcPr>
          <w:p>
            <w:pPr>
              <w:pStyle w:val="2001"/>
              <w:rPr>
                <w:snapToGrid w:val="0"/>
              </w:rPr>
            </w:pPr>
            <w:r>
              <w:rPr>
                <w:rFonts w:hint="eastAsia"/>
                <w:snapToGrid w:val="0"/>
              </w:rPr>
              <w:t>≤8s</w:t>
            </w:r>
          </w:p>
        </w:tc>
      </w:tr>
    </w:tbl>
    <w:p>
      <w:pPr>
        <w:pStyle w:val="283"/>
        <w:ind w:firstLine="494"/>
        <w:rPr>
          <w:color w:val="000000" w:themeColor="text1"/>
          <w14:textFill>
            <w14:solidFill>
              <w14:schemeClr w14:val="tx1"/>
            </w14:solidFill>
          </w14:textFill>
        </w:rPr>
      </w:pPr>
      <w:r>
        <w:rPr>
          <w:color w:val="000000" w:themeColor="text1"/>
          <w14:textFill>
            <w14:solidFill>
              <w14:schemeClr w14:val="tx1"/>
            </w14:solidFill>
          </w14:textFill>
        </w:rPr>
        <w:t>综合各种天气因素，考虑各影响因素重叠发生的情况，</w:t>
      </w:r>
      <w:r>
        <w:rPr>
          <w:rFonts w:hint="eastAsia"/>
          <w:color w:val="000000" w:themeColor="text1"/>
          <w14:textFill>
            <w14:solidFill>
              <w14:schemeClr w14:val="tx1"/>
            </w14:solidFill>
          </w14:textFill>
        </w:rPr>
        <w:t>本项目泊位年可作业天数见表3.1-5</w:t>
      </w:r>
      <w:r>
        <w:rPr>
          <w:color w:val="000000" w:themeColor="text1"/>
          <w14:textFill>
            <w14:solidFill>
              <w14:schemeClr w14:val="tx1"/>
            </w14:solidFill>
          </w14:textFill>
        </w:rPr>
        <w:t>。</w:t>
      </w:r>
    </w:p>
    <w:p>
      <w:pPr>
        <w:pStyle w:val="384"/>
        <w:ind w:left="0" w:firstLine="0"/>
        <w:rPr>
          <w:rFonts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本项目各吨级船舶作业天数表</w:t>
      </w:r>
    </w:p>
    <w:tbl>
      <w:tblPr>
        <w:tblStyle w:val="89"/>
        <w:tblW w:w="8832" w:type="dxa"/>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1498"/>
        <w:gridCol w:w="1747"/>
        <w:gridCol w:w="1890"/>
        <w:gridCol w:w="1583"/>
        <w:gridCol w:w="2114"/>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c>
          <w:tcPr>
            <w:tcW w:w="1498" w:type="dxa"/>
            <w:vAlign w:val="center"/>
          </w:tcPr>
          <w:p>
            <w:pPr>
              <w:pStyle w:val="2001"/>
              <w:rPr>
                <w:snapToGrid w:val="0"/>
              </w:rPr>
            </w:pPr>
            <w:r>
              <w:rPr>
                <w:snapToGrid w:val="0"/>
              </w:rPr>
              <w:t>船舶吨级</w:t>
            </w:r>
          </w:p>
        </w:tc>
        <w:tc>
          <w:tcPr>
            <w:tcW w:w="1747" w:type="dxa"/>
            <w:vAlign w:val="center"/>
          </w:tcPr>
          <w:p>
            <w:pPr>
              <w:pStyle w:val="2001"/>
              <w:rPr>
                <w:snapToGrid w:val="0"/>
              </w:rPr>
            </w:pPr>
            <w:r>
              <w:rPr>
                <w:snapToGrid w:val="0"/>
              </w:rPr>
              <w:t>≥</w:t>
            </w:r>
            <w:r>
              <w:rPr>
                <w:rFonts w:hint="eastAsia"/>
                <w:snapToGrid w:val="0"/>
              </w:rPr>
              <w:t>5万DWT</w:t>
            </w:r>
          </w:p>
        </w:tc>
        <w:tc>
          <w:tcPr>
            <w:tcW w:w="1890" w:type="dxa"/>
            <w:vAlign w:val="center"/>
          </w:tcPr>
          <w:p>
            <w:pPr>
              <w:pStyle w:val="2001"/>
              <w:rPr>
                <w:snapToGrid w:val="0"/>
              </w:rPr>
            </w:pPr>
            <w:r>
              <w:rPr>
                <w:rFonts w:hint="eastAsia"/>
                <w:snapToGrid w:val="0"/>
              </w:rPr>
              <w:t>3万～4万DWT</w:t>
            </w:r>
          </w:p>
        </w:tc>
        <w:tc>
          <w:tcPr>
            <w:tcW w:w="1583" w:type="dxa"/>
            <w:vAlign w:val="center"/>
          </w:tcPr>
          <w:p>
            <w:pPr>
              <w:pStyle w:val="2001"/>
              <w:rPr>
                <w:snapToGrid w:val="0"/>
              </w:rPr>
            </w:pPr>
            <w:r>
              <w:rPr>
                <w:rFonts w:hint="eastAsia"/>
                <w:snapToGrid w:val="0"/>
              </w:rPr>
              <w:t>2万DWT</w:t>
            </w:r>
          </w:p>
        </w:tc>
        <w:tc>
          <w:tcPr>
            <w:tcW w:w="2114" w:type="dxa"/>
            <w:vAlign w:val="center"/>
          </w:tcPr>
          <w:p>
            <w:pPr>
              <w:pStyle w:val="2001"/>
              <w:rPr>
                <w:snapToGrid w:val="0"/>
              </w:rPr>
            </w:pPr>
            <w:r>
              <w:rPr>
                <w:rFonts w:hint="eastAsia"/>
                <w:snapToGrid w:val="0"/>
              </w:rPr>
              <w:t>1万～1.5万DWT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c>
          <w:tcPr>
            <w:tcW w:w="1498" w:type="dxa"/>
            <w:vAlign w:val="center"/>
          </w:tcPr>
          <w:p>
            <w:pPr>
              <w:pStyle w:val="2001"/>
              <w:rPr>
                <w:snapToGrid w:val="0"/>
              </w:rPr>
            </w:pPr>
            <w:r>
              <w:rPr>
                <w:snapToGrid w:val="0"/>
              </w:rPr>
              <w:t>作业天数</w:t>
            </w:r>
          </w:p>
        </w:tc>
        <w:tc>
          <w:tcPr>
            <w:tcW w:w="1747" w:type="dxa"/>
            <w:vAlign w:val="center"/>
          </w:tcPr>
          <w:p>
            <w:pPr>
              <w:pStyle w:val="2001"/>
              <w:rPr>
                <w:snapToGrid w:val="0"/>
              </w:rPr>
            </w:pPr>
            <w:r>
              <w:rPr>
                <w:rFonts w:hint="eastAsia"/>
                <w:snapToGrid w:val="0"/>
              </w:rPr>
              <w:t>330天</w:t>
            </w:r>
          </w:p>
        </w:tc>
        <w:tc>
          <w:tcPr>
            <w:tcW w:w="1890" w:type="dxa"/>
            <w:vAlign w:val="center"/>
          </w:tcPr>
          <w:p>
            <w:pPr>
              <w:pStyle w:val="2001"/>
              <w:rPr>
                <w:snapToGrid w:val="0"/>
              </w:rPr>
            </w:pPr>
            <w:r>
              <w:rPr>
                <w:rFonts w:hint="eastAsia"/>
                <w:snapToGrid w:val="0"/>
              </w:rPr>
              <w:t>320天</w:t>
            </w:r>
          </w:p>
        </w:tc>
        <w:tc>
          <w:tcPr>
            <w:tcW w:w="1583" w:type="dxa"/>
            <w:vAlign w:val="center"/>
          </w:tcPr>
          <w:p>
            <w:pPr>
              <w:pStyle w:val="2001"/>
              <w:rPr>
                <w:snapToGrid w:val="0"/>
              </w:rPr>
            </w:pPr>
            <w:r>
              <w:rPr>
                <w:rFonts w:hint="eastAsia"/>
                <w:snapToGrid w:val="0"/>
              </w:rPr>
              <w:t>320天</w:t>
            </w:r>
          </w:p>
        </w:tc>
        <w:tc>
          <w:tcPr>
            <w:tcW w:w="2114" w:type="dxa"/>
            <w:vAlign w:val="center"/>
          </w:tcPr>
          <w:p>
            <w:pPr>
              <w:pStyle w:val="2001"/>
              <w:rPr>
                <w:snapToGrid w:val="0"/>
              </w:rPr>
            </w:pPr>
            <w:r>
              <w:rPr>
                <w:rFonts w:hint="eastAsia"/>
                <w:snapToGrid w:val="0"/>
              </w:rPr>
              <w:t>308天</w:t>
            </w:r>
          </w:p>
        </w:tc>
      </w:tr>
      <w:bookmarkEnd w:id="140"/>
      <w:bookmarkEnd w:id="141"/>
      <w:bookmarkEnd w:id="142"/>
    </w:tbl>
    <w:p>
      <w:pPr>
        <w:pStyle w:val="5"/>
        <w:rPr>
          <w:color w:val="000000" w:themeColor="text1"/>
          <w14:textFill>
            <w14:solidFill>
              <w14:schemeClr w14:val="tx1"/>
            </w14:solidFill>
          </w14:textFill>
        </w:rPr>
      </w:pPr>
      <w:r>
        <w:rPr>
          <w:color w:val="000000" w:themeColor="text1"/>
          <w14:textFill>
            <w14:solidFill>
              <w14:schemeClr w14:val="tx1"/>
            </w14:solidFill>
          </w14:textFill>
        </w:rPr>
        <w:t xml:space="preserve">海洋资源的种类及分布 </w:t>
      </w:r>
    </w:p>
    <w:p>
      <w:pPr>
        <w:pStyle w:val="6"/>
        <w:rPr>
          <w:color w:val="000000" w:themeColor="text1"/>
          <w14:textFill>
            <w14:solidFill>
              <w14:schemeClr w14:val="tx1"/>
            </w14:solidFill>
          </w14:textFill>
        </w:rPr>
      </w:pPr>
      <w:r>
        <w:rPr>
          <w:color w:val="000000" w:themeColor="text1"/>
          <w14:textFill>
            <w14:solidFill>
              <w14:schemeClr w14:val="tx1"/>
            </w14:solidFill>
          </w14:textFill>
        </w:rPr>
        <w:t>港口资源</w:t>
      </w:r>
    </w:p>
    <w:p>
      <w:pPr>
        <w:pStyle w:val="283"/>
        <w:ind w:firstLine="494"/>
        <w:rPr>
          <w:color w:val="000000" w:themeColor="text1"/>
          <w14:textFill>
            <w14:solidFill>
              <w14:schemeClr w14:val="tx1"/>
            </w14:solidFill>
          </w14:textFill>
        </w:rPr>
      </w:pPr>
      <w:r>
        <w:rPr>
          <w:rFonts w:hint="eastAsia"/>
          <w:color w:val="000000" w:themeColor="text1"/>
          <w14:textFill>
            <w14:solidFill>
              <w14:schemeClr w14:val="tx1"/>
            </w14:solidFill>
          </w14:textFill>
        </w:rPr>
        <w:t>钦州港规划由大榄坪港区、三墩港区组成集装箱运输系统，在金谷港区形成煤炭运输系统，由金谷港区、三墩港区构成油品运输系统，在三娘湾和沙井等港点发展休闲旅游客运系统，逐步发展成为具备多式联运、装卸仓储、临港工业、现代物流、保税、航运服务、旅游客运、滚装等功能的现代化港口，满足港口腹地经济和临港产业对以集装箱、油品等大宗型货物为主的货物运输需求，以及对休闲旅游客运的需求。</w:t>
      </w:r>
    </w:p>
    <w:p>
      <w:pPr>
        <w:pStyle w:val="283"/>
        <w:ind w:firstLine="494"/>
        <w:rPr>
          <w:color w:val="000000" w:themeColor="text1"/>
          <w14:textFill>
            <w14:solidFill>
              <w14:schemeClr w14:val="tx1"/>
            </w14:solidFill>
          </w14:textFill>
        </w:rPr>
      </w:pPr>
      <w:r>
        <w:rPr>
          <w:rFonts w:hint="eastAsia"/>
          <w:color w:val="000000" w:themeColor="text1"/>
          <w14:textFill>
            <w14:solidFill>
              <w14:schemeClr w14:val="tx1"/>
            </w14:solidFill>
          </w14:textFill>
        </w:rPr>
        <w:t>预测钦州港2025年、2030年和2035年货物吞吐量分别为1.85亿吨、2.56亿吨和3.06亿吨；客运量分别为100万人次、170万人次和240万人次；集装箱吞吐量分别为760万TEU、1060万TEU、1360万TEU。钦州港规划岸线利用长度64.570km，其中深水港口岸线为51.017km。</w:t>
      </w:r>
    </w:p>
    <w:p>
      <w:pPr>
        <w:pStyle w:val="283"/>
        <w:ind w:firstLine="494"/>
        <w:rPr>
          <w:color w:val="000000" w:themeColor="text1"/>
          <w14:textFill>
            <w14:solidFill>
              <w14:schemeClr w14:val="tx1"/>
            </w14:solidFill>
          </w14:textFill>
        </w:rPr>
      </w:pPr>
      <w:r>
        <w:rPr>
          <w:rFonts w:hint="eastAsia"/>
          <w:color w:val="000000" w:themeColor="text1"/>
          <w14:textFill>
            <w14:solidFill>
              <w14:schemeClr w14:val="tx1"/>
            </w14:solidFill>
          </w14:textFill>
        </w:rPr>
        <w:t>钦州港划分为金谷港区、大榄坪港区、三墩港区等重点发展枢纽港区，以及龙门港点、茅岭港点、平山港点、沙井港点和三娘湾港点等。其中：金谷港区：以油品、液体化工品和煤炭运输为主，兼顾散杂货运输，主要为临港产业园区发展服务。大榄坪港区：以集装箱运输为核心的大型专业化、智能化港区，兼顾滚装和散杂货运输，支撑中国（广西）自由贸易试验区钦州港片区建设，将其发展成为现代综合物流服务中心，主要为中西部地区货物运输服务。三墩港区：以油品、液体化工品和集装箱运输为主，兼顾散杂货运输，将其发展成为大型综合性港区，主要为临港产业园区发展和腹地集装箱运输服务。规划建设泊位211个；港口用地5256.2hm</w:t>
      </w:r>
      <w:r>
        <w:rPr>
          <w:rFonts w:hint="eastAsia"/>
          <w:color w:val="000000" w:themeColor="text1"/>
          <w:vertAlign w:val="superscript"/>
          <w14:textFill>
            <w14:solidFill>
              <w14:schemeClr w14:val="tx1"/>
            </w14:solidFill>
          </w14:textFill>
        </w:rPr>
        <w:t>2</w:t>
      </w:r>
      <w:r>
        <w:rPr>
          <w:rFonts w:hint="eastAsia"/>
          <w:color w:val="000000" w:themeColor="text1"/>
          <w14:textFill>
            <w14:solidFill>
              <w14:schemeClr w14:val="tx1"/>
            </w14:solidFill>
          </w14:textFill>
        </w:rPr>
        <w:t>其中占用滩涂面积622.9hm</w:t>
      </w:r>
      <w:r>
        <w:rPr>
          <w:rFonts w:hint="eastAsia"/>
          <w:color w:val="000000" w:themeColor="text1"/>
          <w:vertAlign w:val="superscript"/>
          <w14:textFill>
            <w14:solidFill>
              <w14:schemeClr w14:val="tx1"/>
            </w14:solidFill>
          </w14:textFill>
        </w:rPr>
        <w:t>2</w:t>
      </w:r>
      <w:r>
        <w:rPr>
          <w:rFonts w:hint="eastAsia"/>
          <w:color w:val="000000" w:themeColor="text1"/>
          <w14:textFill>
            <w14:solidFill>
              <w14:schemeClr w14:val="tx1"/>
            </w14:solidFill>
          </w14:textFill>
        </w:rPr>
        <w:t>，占用水域面积4484.3hm</w:t>
      </w:r>
      <w:r>
        <w:rPr>
          <w:rFonts w:hint="eastAsia"/>
          <w:color w:val="000000" w:themeColor="text1"/>
          <w:vertAlign w:val="superscript"/>
          <w14:textFill>
            <w14:solidFill>
              <w14:schemeClr w14:val="tx1"/>
            </w14:solidFill>
          </w14:textFill>
        </w:rPr>
        <w:t>2</w:t>
      </w:r>
      <w:r>
        <w:rPr>
          <w:rFonts w:hint="eastAsia"/>
          <w:color w:val="000000" w:themeColor="text1"/>
          <w14:textFill>
            <w14:solidFill>
              <w14:schemeClr w14:val="tx1"/>
            </w14:solidFill>
          </w14:textFill>
        </w:rPr>
        <w:t>。</w:t>
      </w:r>
    </w:p>
    <w:p>
      <w:pPr>
        <w:pStyle w:val="6"/>
        <w:rPr>
          <w:color w:val="000000" w:themeColor="text1"/>
          <w14:textFill>
            <w14:solidFill>
              <w14:schemeClr w14:val="tx1"/>
            </w14:solidFill>
          </w14:textFill>
        </w:rPr>
      </w:pPr>
      <w:r>
        <w:rPr>
          <w:rFonts w:hint="eastAsia"/>
          <w:color w:val="000000" w:themeColor="text1"/>
          <w14:textFill>
            <w14:solidFill>
              <w14:schemeClr w14:val="tx1"/>
            </w14:solidFill>
          </w14:textFill>
        </w:rPr>
        <w:t>项目周边开发利用情况</w:t>
      </w:r>
    </w:p>
    <w:p>
      <w:pPr>
        <w:pStyle w:val="283"/>
        <w:ind w:firstLine="494"/>
        <w:rPr>
          <w:color w:val="000000" w:themeColor="text1"/>
          <w14:textFill>
            <w14:solidFill>
              <w14:schemeClr w14:val="tx1"/>
            </w14:solidFill>
          </w14:textFill>
        </w:rPr>
      </w:pPr>
      <w:r>
        <w:rPr>
          <w:rFonts w:hint="eastAsia"/>
          <w:color w:val="000000" w:themeColor="text1"/>
          <w14:textFill>
            <w14:solidFill>
              <w14:schemeClr w14:val="tx1"/>
            </w14:solidFill>
          </w14:textFill>
        </w:rPr>
        <w:t>根据现场踏勘及资料搜集情况，结合遥感影像图，了解到项目所在海域及周边海域海洋开发活动较多，主要为航道、港口、锚地及滨海旅游区等。工程周边海域开发利用现状见表3.1-6。</w:t>
      </w:r>
    </w:p>
    <w:p>
      <w:pPr>
        <w:pStyle w:val="384"/>
        <w:ind w:left="0" w:firstLine="0"/>
        <w:rPr>
          <w:rFonts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工程区周边海域利用现状</w:t>
      </w:r>
    </w:p>
    <w:tbl>
      <w:tblPr>
        <w:tblStyle w:val="89"/>
        <w:tblW w:w="8832" w:type="dxa"/>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678"/>
        <w:gridCol w:w="2021"/>
        <w:gridCol w:w="3921"/>
        <w:gridCol w:w="1088"/>
        <w:gridCol w:w="1124"/>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blHeader/>
        </w:trPr>
        <w:tc>
          <w:tcPr>
            <w:tcW w:w="678" w:type="dxa"/>
            <w:vAlign w:val="center"/>
          </w:tcPr>
          <w:p>
            <w:pPr>
              <w:pStyle w:val="2001"/>
              <w:rPr>
                <w:snapToGrid w:val="0"/>
              </w:rPr>
            </w:pPr>
            <w:r>
              <w:rPr>
                <w:rFonts w:hint="eastAsia"/>
                <w:snapToGrid w:val="0"/>
              </w:rPr>
              <w:t>序号</w:t>
            </w:r>
          </w:p>
        </w:tc>
        <w:tc>
          <w:tcPr>
            <w:tcW w:w="5942" w:type="dxa"/>
            <w:gridSpan w:val="2"/>
            <w:vAlign w:val="center"/>
          </w:tcPr>
          <w:p>
            <w:pPr>
              <w:pStyle w:val="2001"/>
              <w:rPr>
                <w:snapToGrid w:val="0"/>
              </w:rPr>
            </w:pPr>
            <w:r>
              <w:rPr>
                <w:rFonts w:hint="eastAsia"/>
                <w:snapToGrid w:val="0"/>
              </w:rPr>
              <w:t>开发利用活动</w:t>
            </w:r>
          </w:p>
        </w:tc>
        <w:tc>
          <w:tcPr>
            <w:tcW w:w="1088" w:type="dxa"/>
            <w:vAlign w:val="center"/>
          </w:tcPr>
          <w:p>
            <w:pPr>
              <w:pStyle w:val="2001"/>
              <w:rPr>
                <w:snapToGrid w:val="0"/>
              </w:rPr>
            </w:pPr>
            <w:r>
              <w:rPr>
                <w:rFonts w:hint="eastAsia"/>
                <w:snapToGrid w:val="0"/>
              </w:rPr>
              <w:t>方位</w:t>
            </w:r>
          </w:p>
        </w:tc>
        <w:tc>
          <w:tcPr>
            <w:tcW w:w="1124" w:type="dxa"/>
            <w:vAlign w:val="center"/>
          </w:tcPr>
          <w:p>
            <w:pPr>
              <w:pStyle w:val="2001"/>
              <w:rPr>
                <w:snapToGrid w:val="0"/>
              </w:rPr>
            </w:pPr>
            <w:r>
              <w:rPr>
                <w:rFonts w:hint="eastAsia"/>
                <w:snapToGrid w:val="0"/>
              </w:rPr>
              <w:t>最近距离（km）</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c>
          <w:tcPr>
            <w:tcW w:w="678" w:type="dxa"/>
            <w:vMerge w:val="restart"/>
            <w:vAlign w:val="center"/>
          </w:tcPr>
          <w:p>
            <w:pPr>
              <w:pStyle w:val="2001"/>
              <w:rPr>
                <w:snapToGrid w:val="0"/>
              </w:rPr>
            </w:pPr>
            <w:r>
              <w:rPr>
                <w:rFonts w:hint="eastAsia"/>
                <w:snapToGrid w:val="0"/>
              </w:rPr>
              <w:t>1</w:t>
            </w:r>
          </w:p>
        </w:tc>
        <w:tc>
          <w:tcPr>
            <w:tcW w:w="2021" w:type="dxa"/>
            <w:vMerge w:val="restart"/>
            <w:vAlign w:val="center"/>
          </w:tcPr>
          <w:p>
            <w:pPr>
              <w:pStyle w:val="2001"/>
              <w:rPr>
                <w:snapToGrid w:val="0"/>
              </w:rPr>
            </w:pPr>
            <w:r>
              <w:rPr>
                <w:rFonts w:hint="eastAsia"/>
                <w:snapToGrid w:val="0"/>
              </w:rPr>
              <w:t>航道</w:t>
            </w:r>
          </w:p>
        </w:tc>
        <w:tc>
          <w:tcPr>
            <w:tcW w:w="3921" w:type="dxa"/>
            <w:vAlign w:val="center"/>
          </w:tcPr>
          <w:p>
            <w:pPr>
              <w:pStyle w:val="2001"/>
              <w:rPr>
                <w:snapToGrid w:val="0"/>
              </w:rPr>
            </w:pPr>
            <w:r>
              <w:rPr>
                <w:rFonts w:hint="eastAsia"/>
                <w:snapToGrid w:val="0"/>
              </w:rPr>
              <w:t>钦州港东航道</w:t>
            </w:r>
          </w:p>
        </w:tc>
        <w:tc>
          <w:tcPr>
            <w:tcW w:w="1088" w:type="dxa"/>
            <w:vAlign w:val="center"/>
          </w:tcPr>
          <w:p>
            <w:pPr>
              <w:pStyle w:val="2001"/>
              <w:rPr>
                <w:snapToGrid w:val="0"/>
              </w:rPr>
            </w:pPr>
            <w:r>
              <w:rPr>
                <w:rFonts w:hint="eastAsia"/>
                <w:snapToGrid w:val="0"/>
              </w:rPr>
              <w:t>W</w:t>
            </w:r>
          </w:p>
        </w:tc>
        <w:tc>
          <w:tcPr>
            <w:tcW w:w="1124" w:type="dxa"/>
            <w:vAlign w:val="center"/>
          </w:tcPr>
          <w:p>
            <w:pPr>
              <w:pStyle w:val="2001"/>
              <w:rPr>
                <w:snapToGrid w:val="0"/>
              </w:rPr>
            </w:pPr>
            <w:r>
              <w:rPr>
                <w:rFonts w:hint="eastAsia"/>
                <w:snapToGrid w:val="0"/>
              </w:rPr>
              <w:t>紧邻</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c>
          <w:tcPr>
            <w:tcW w:w="678" w:type="dxa"/>
            <w:vMerge w:val="continue"/>
            <w:vAlign w:val="center"/>
          </w:tcPr>
          <w:p>
            <w:pPr>
              <w:pStyle w:val="2001"/>
              <w:rPr>
                <w:snapToGrid w:val="0"/>
              </w:rPr>
            </w:pPr>
          </w:p>
        </w:tc>
        <w:tc>
          <w:tcPr>
            <w:tcW w:w="2021" w:type="dxa"/>
            <w:vMerge w:val="continue"/>
            <w:vAlign w:val="center"/>
          </w:tcPr>
          <w:p>
            <w:pPr>
              <w:pStyle w:val="2001"/>
              <w:rPr>
                <w:snapToGrid w:val="0"/>
              </w:rPr>
            </w:pPr>
          </w:p>
        </w:tc>
        <w:tc>
          <w:tcPr>
            <w:tcW w:w="3921" w:type="dxa"/>
            <w:vAlign w:val="center"/>
          </w:tcPr>
          <w:p>
            <w:pPr>
              <w:pStyle w:val="2001"/>
              <w:rPr>
                <w:snapToGrid w:val="0"/>
              </w:rPr>
            </w:pPr>
            <w:r>
              <w:rPr>
                <w:rFonts w:hint="eastAsia"/>
                <w:snapToGrid w:val="0"/>
              </w:rPr>
              <w:t>钦州港西航道</w:t>
            </w:r>
          </w:p>
        </w:tc>
        <w:tc>
          <w:tcPr>
            <w:tcW w:w="1088" w:type="dxa"/>
            <w:vAlign w:val="center"/>
          </w:tcPr>
          <w:p>
            <w:pPr>
              <w:pStyle w:val="2001"/>
              <w:rPr>
                <w:snapToGrid w:val="0"/>
              </w:rPr>
            </w:pPr>
            <w:r>
              <w:rPr>
                <w:rFonts w:hint="eastAsia"/>
                <w:snapToGrid w:val="0"/>
              </w:rPr>
              <w:t>W</w:t>
            </w:r>
          </w:p>
        </w:tc>
        <w:tc>
          <w:tcPr>
            <w:tcW w:w="1124" w:type="dxa"/>
            <w:vAlign w:val="center"/>
          </w:tcPr>
          <w:p>
            <w:pPr>
              <w:pStyle w:val="2001"/>
              <w:rPr>
                <w:snapToGrid w:val="0"/>
              </w:rPr>
            </w:pPr>
            <w:r>
              <w:rPr>
                <w:rFonts w:hint="eastAsia"/>
                <w:snapToGrid w:val="0"/>
              </w:rPr>
              <w:t>6.10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c>
          <w:tcPr>
            <w:tcW w:w="678" w:type="dxa"/>
            <w:vMerge w:val="continue"/>
            <w:vAlign w:val="center"/>
          </w:tcPr>
          <w:p>
            <w:pPr>
              <w:pStyle w:val="2001"/>
              <w:rPr>
                <w:snapToGrid w:val="0"/>
              </w:rPr>
            </w:pPr>
          </w:p>
        </w:tc>
        <w:tc>
          <w:tcPr>
            <w:tcW w:w="2021" w:type="dxa"/>
            <w:vMerge w:val="continue"/>
            <w:vAlign w:val="center"/>
          </w:tcPr>
          <w:p>
            <w:pPr>
              <w:pStyle w:val="2001"/>
              <w:rPr>
                <w:snapToGrid w:val="0"/>
              </w:rPr>
            </w:pPr>
          </w:p>
        </w:tc>
        <w:tc>
          <w:tcPr>
            <w:tcW w:w="3921" w:type="dxa"/>
            <w:vAlign w:val="center"/>
          </w:tcPr>
          <w:p>
            <w:pPr>
              <w:pStyle w:val="2001"/>
              <w:rPr>
                <w:snapToGrid w:val="0"/>
              </w:rPr>
            </w:pPr>
            <w:r>
              <w:rPr>
                <w:rFonts w:hint="eastAsia"/>
                <w:snapToGrid w:val="0"/>
              </w:rPr>
              <w:t>钦州港30万吨级进港航道及其支航道</w:t>
            </w:r>
          </w:p>
        </w:tc>
        <w:tc>
          <w:tcPr>
            <w:tcW w:w="1088" w:type="dxa"/>
            <w:vAlign w:val="center"/>
          </w:tcPr>
          <w:p>
            <w:pPr>
              <w:pStyle w:val="2001"/>
              <w:rPr>
                <w:snapToGrid w:val="0"/>
              </w:rPr>
            </w:pPr>
            <w:r>
              <w:rPr>
                <w:rFonts w:hint="eastAsia"/>
                <w:snapToGrid w:val="0"/>
              </w:rPr>
              <w:t>S</w:t>
            </w:r>
          </w:p>
        </w:tc>
        <w:tc>
          <w:tcPr>
            <w:tcW w:w="1124" w:type="dxa"/>
            <w:vAlign w:val="center"/>
          </w:tcPr>
          <w:p>
            <w:pPr>
              <w:pStyle w:val="2001"/>
              <w:rPr>
                <w:snapToGrid w:val="0"/>
              </w:rPr>
            </w:pPr>
            <w:r>
              <w:rPr>
                <w:rFonts w:hint="eastAsia"/>
                <w:snapToGrid w:val="0"/>
              </w:rPr>
              <w:t>12.01</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c>
          <w:tcPr>
            <w:tcW w:w="678" w:type="dxa"/>
            <w:vMerge w:val="restart"/>
            <w:vAlign w:val="center"/>
          </w:tcPr>
          <w:p>
            <w:pPr>
              <w:pStyle w:val="2001"/>
              <w:rPr>
                <w:snapToGrid w:val="0"/>
              </w:rPr>
            </w:pPr>
            <w:r>
              <w:rPr>
                <w:rFonts w:hint="eastAsia"/>
                <w:snapToGrid w:val="0"/>
              </w:rPr>
              <w:t>2</w:t>
            </w:r>
          </w:p>
        </w:tc>
        <w:tc>
          <w:tcPr>
            <w:tcW w:w="2021" w:type="dxa"/>
            <w:vMerge w:val="restart"/>
            <w:vAlign w:val="center"/>
          </w:tcPr>
          <w:p>
            <w:pPr>
              <w:pStyle w:val="2001"/>
              <w:rPr>
                <w:snapToGrid w:val="0"/>
              </w:rPr>
            </w:pPr>
            <w:r>
              <w:rPr>
                <w:rFonts w:hint="eastAsia"/>
                <w:snapToGrid w:val="0"/>
              </w:rPr>
              <w:t>锚地</w:t>
            </w:r>
          </w:p>
        </w:tc>
        <w:tc>
          <w:tcPr>
            <w:tcW w:w="3921" w:type="dxa"/>
            <w:vAlign w:val="center"/>
          </w:tcPr>
          <w:p>
            <w:pPr>
              <w:pStyle w:val="2001"/>
              <w:rPr>
                <w:snapToGrid w:val="0"/>
              </w:rPr>
            </w:pPr>
            <w:r>
              <w:rPr>
                <w:rFonts w:hint="eastAsia"/>
                <w:snapToGrid w:val="0"/>
              </w:rPr>
              <w:t>0#锚地</w:t>
            </w:r>
          </w:p>
        </w:tc>
        <w:tc>
          <w:tcPr>
            <w:tcW w:w="1088" w:type="dxa"/>
            <w:vAlign w:val="center"/>
          </w:tcPr>
          <w:p>
            <w:pPr>
              <w:pStyle w:val="2001"/>
              <w:rPr>
                <w:snapToGrid w:val="0"/>
              </w:rPr>
            </w:pPr>
            <w:r>
              <w:rPr>
                <w:rFonts w:hint="eastAsia"/>
                <w:snapToGrid w:val="0"/>
              </w:rPr>
              <w:t>SW</w:t>
            </w:r>
          </w:p>
        </w:tc>
        <w:tc>
          <w:tcPr>
            <w:tcW w:w="1124" w:type="dxa"/>
            <w:vAlign w:val="center"/>
          </w:tcPr>
          <w:p>
            <w:pPr>
              <w:pStyle w:val="2001"/>
              <w:rPr>
                <w:snapToGrid w:val="0"/>
              </w:rPr>
            </w:pPr>
            <w:r>
              <w:rPr>
                <w:rFonts w:hint="eastAsia"/>
                <w:snapToGrid w:val="0"/>
              </w:rPr>
              <w:t>21.33</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c>
          <w:tcPr>
            <w:tcW w:w="678" w:type="dxa"/>
            <w:vMerge w:val="continue"/>
            <w:vAlign w:val="center"/>
          </w:tcPr>
          <w:p>
            <w:pPr>
              <w:pStyle w:val="2001"/>
              <w:rPr>
                <w:snapToGrid w:val="0"/>
              </w:rPr>
            </w:pPr>
          </w:p>
        </w:tc>
        <w:tc>
          <w:tcPr>
            <w:tcW w:w="2021" w:type="dxa"/>
            <w:vMerge w:val="continue"/>
            <w:vAlign w:val="center"/>
          </w:tcPr>
          <w:p>
            <w:pPr>
              <w:pStyle w:val="2001"/>
              <w:rPr>
                <w:snapToGrid w:val="0"/>
              </w:rPr>
            </w:pPr>
          </w:p>
        </w:tc>
        <w:tc>
          <w:tcPr>
            <w:tcW w:w="3921" w:type="dxa"/>
            <w:vAlign w:val="center"/>
          </w:tcPr>
          <w:p>
            <w:pPr>
              <w:pStyle w:val="2001"/>
              <w:rPr>
                <w:snapToGrid w:val="0"/>
              </w:rPr>
            </w:pPr>
            <w:r>
              <w:rPr>
                <w:rFonts w:hint="eastAsia"/>
                <w:snapToGrid w:val="0"/>
              </w:rPr>
              <w:t>2#锚地</w:t>
            </w:r>
          </w:p>
        </w:tc>
        <w:tc>
          <w:tcPr>
            <w:tcW w:w="1088" w:type="dxa"/>
            <w:vAlign w:val="center"/>
          </w:tcPr>
          <w:p>
            <w:pPr>
              <w:pStyle w:val="2001"/>
              <w:rPr>
                <w:snapToGrid w:val="0"/>
              </w:rPr>
            </w:pPr>
            <w:r>
              <w:rPr>
                <w:rFonts w:hint="eastAsia"/>
                <w:snapToGrid w:val="0"/>
              </w:rPr>
              <w:t>S</w:t>
            </w:r>
          </w:p>
        </w:tc>
        <w:tc>
          <w:tcPr>
            <w:tcW w:w="1124" w:type="dxa"/>
            <w:vAlign w:val="center"/>
          </w:tcPr>
          <w:p>
            <w:pPr>
              <w:pStyle w:val="2001"/>
              <w:rPr>
                <w:snapToGrid w:val="0"/>
              </w:rPr>
            </w:pPr>
            <w:r>
              <w:rPr>
                <w:rFonts w:hint="eastAsia"/>
                <w:snapToGrid w:val="0"/>
              </w:rPr>
              <w:t>27.07</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c>
          <w:tcPr>
            <w:tcW w:w="678" w:type="dxa"/>
            <w:vMerge w:val="continue"/>
            <w:vAlign w:val="center"/>
          </w:tcPr>
          <w:p>
            <w:pPr>
              <w:pStyle w:val="2001"/>
              <w:rPr>
                <w:snapToGrid w:val="0"/>
              </w:rPr>
            </w:pPr>
          </w:p>
        </w:tc>
        <w:tc>
          <w:tcPr>
            <w:tcW w:w="2021" w:type="dxa"/>
            <w:vMerge w:val="continue"/>
            <w:vAlign w:val="center"/>
          </w:tcPr>
          <w:p>
            <w:pPr>
              <w:pStyle w:val="2001"/>
              <w:rPr>
                <w:snapToGrid w:val="0"/>
              </w:rPr>
            </w:pPr>
          </w:p>
        </w:tc>
        <w:tc>
          <w:tcPr>
            <w:tcW w:w="3921" w:type="dxa"/>
            <w:vAlign w:val="center"/>
          </w:tcPr>
          <w:p>
            <w:pPr>
              <w:pStyle w:val="2001"/>
              <w:rPr>
                <w:snapToGrid w:val="0"/>
              </w:rPr>
            </w:pPr>
            <w:r>
              <w:rPr>
                <w:rFonts w:hint="eastAsia"/>
                <w:snapToGrid w:val="0"/>
              </w:rPr>
              <w:t>3#锚地</w:t>
            </w:r>
          </w:p>
        </w:tc>
        <w:tc>
          <w:tcPr>
            <w:tcW w:w="1088" w:type="dxa"/>
            <w:vAlign w:val="center"/>
          </w:tcPr>
          <w:p>
            <w:pPr>
              <w:pStyle w:val="2001"/>
              <w:rPr>
                <w:snapToGrid w:val="0"/>
              </w:rPr>
            </w:pPr>
            <w:r>
              <w:rPr>
                <w:rFonts w:hint="eastAsia"/>
                <w:snapToGrid w:val="0"/>
              </w:rPr>
              <w:t>S</w:t>
            </w:r>
          </w:p>
        </w:tc>
        <w:tc>
          <w:tcPr>
            <w:tcW w:w="1124" w:type="dxa"/>
            <w:vAlign w:val="center"/>
          </w:tcPr>
          <w:p>
            <w:pPr>
              <w:pStyle w:val="2001"/>
              <w:rPr>
                <w:snapToGrid w:val="0"/>
              </w:rPr>
            </w:pPr>
            <w:r>
              <w:rPr>
                <w:rFonts w:hint="eastAsia"/>
                <w:snapToGrid w:val="0"/>
              </w:rPr>
              <w:t>27.07</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c>
          <w:tcPr>
            <w:tcW w:w="678" w:type="dxa"/>
            <w:vMerge w:val="restart"/>
            <w:vAlign w:val="center"/>
          </w:tcPr>
          <w:p>
            <w:pPr>
              <w:pStyle w:val="2001"/>
              <w:rPr>
                <w:snapToGrid w:val="0"/>
              </w:rPr>
            </w:pPr>
            <w:r>
              <w:rPr>
                <w:rFonts w:hint="eastAsia"/>
                <w:snapToGrid w:val="0"/>
              </w:rPr>
              <w:t>3</w:t>
            </w:r>
          </w:p>
        </w:tc>
        <w:tc>
          <w:tcPr>
            <w:tcW w:w="2021" w:type="dxa"/>
            <w:vMerge w:val="restart"/>
            <w:vAlign w:val="center"/>
          </w:tcPr>
          <w:p>
            <w:pPr>
              <w:pStyle w:val="2001"/>
              <w:rPr>
                <w:snapToGrid w:val="0"/>
              </w:rPr>
            </w:pPr>
            <w:r>
              <w:rPr>
                <w:rFonts w:hint="eastAsia"/>
                <w:snapToGrid w:val="0"/>
              </w:rPr>
              <w:t>港口码头</w:t>
            </w:r>
          </w:p>
        </w:tc>
        <w:tc>
          <w:tcPr>
            <w:tcW w:w="3921" w:type="dxa"/>
            <w:vAlign w:val="center"/>
          </w:tcPr>
          <w:p>
            <w:pPr>
              <w:pStyle w:val="2001"/>
              <w:rPr>
                <w:snapToGrid w:val="0"/>
              </w:rPr>
            </w:pPr>
            <w:r>
              <w:rPr>
                <w:rFonts w:hint="eastAsia"/>
                <w:snapToGrid w:val="0"/>
              </w:rPr>
              <w:t>钦州保税港区</w:t>
            </w:r>
          </w:p>
        </w:tc>
        <w:tc>
          <w:tcPr>
            <w:tcW w:w="1088" w:type="dxa"/>
            <w:vAlign w:val="center"/>
          </w:tcPr>
          <w:p>
            <w:pPr>
              <w:pStyle w:val="2001"/>
              <w:rPr>
                <w:snapToGrid w:val="0"/>
              </w:rPr>
            </w:pPr>
            <w:r>
              <w:rPr>
                <w:rFonts w:hint="eastAsia"/>
                <w:snapToGrid w:val="0"/>
              </w:rPr>
              <w:t>N</w:t>
            </w:r>
          </w:p>
        </w:tc>
        <w:tc>
          <w:tcPr>
            <w:tcW w:w="1124" w:type="dxa"/>
            <w:vAlign w:val="center"/>
          </w:tcPr>
          <w:p>
            <w:pPr>
              <w:pStyle w:val="2001"/>
              <w:rPr>
                <w:snapToGrid w:val="0"/>
              </w:rPr>
            </w:pPr>
            <w:r>
              <w:rPr>
                <w:rFonts w:hint="eastAsia"/>
                <w:snapToGrid w:val="0"/>
              </w:rPr>
              <w:t>0.20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c>
          <w:tcPr>
            <w:tcW w:w="678" w:type="dxa"/>
            <w:vMerge w:val="continue"/>
            <w:vAlign w:val="center"/>
          </w:tcPr>
          <w:p>
            <w:pPr>
              <w:pStyle w:val="2001"/>
              <w:rPr>
                <w:snapToGrid w:val="0"/>
              </w:rPr>
            </w:pPr>
          </w:p>
        </w:tc>
        <w:tc>
          <w:tcPr>
            <w:tcW w:w="2021" w:type="dxa"/>
            <w:vMerge w:val="continue"/>
            <w:vAlign w:val="center"/>
          </w:tcPr>
          <w:p>
            <w:pPr>
              <w:pStyle w:val="2001"/>
              <w:rPr>
                <w:snapToGrid w:val="0"/>
              </w:rPr>
            </w:pPr>
          </w:p>
        </w:tc>
        <w:tc>
          <w:tcPr>
            <w:tcW w:w="3921" w:type="dxa"/>
            <w:vAlign w:val="center"/>
          </w:tcPr>
          <w:p>
            <w:pPr>
              <w:pStyle w:val="2001"/>
              <w:rPr>
                <w:snapToGrid w:val="0"/>
              </w:rPr>
            </w:pPr>
            <w:r>
              <w:rPr>
                <w:rFonts w:hint="eastAsia"/>
                <w:snapToGrid w:val="0"/>
              </w:rPr>
              <w:t>大榄坪综合物流加工区</w:t>
            </w:r>
          </w:p>
        </w:tc>
        <w:tc>
          <w:tcPr>
            <w:tcW w:w="1088" w:type="dxa"/>
            <w:vAlign w:val="center"/>
          </w:tcPr>
          <w:p>
            <w:pPr>
              <w:pStyle w:val="2001"/>
              <w:rPr>
                <w:snapToGrid w:val="0"/>
              </w:rPr>
            </w:pPr>
            <w:r>
              <w:rPr>
                <w:rFonts w:hint="eastAsia"/>
                <w:snapToGrid w:val="0"/>
              </w:rPr>
              <w:t>N</w:t>
            </w:r>
          </w:p>
        </w:tc>
        <w:tc>
          <w:tcPr>
            <w:tcW w:w="1124" w:type="dxa"/>
            <w:vAlign w:val="center"/>
          </w:tcPr>
          <w:p>
            <w:pPr>
              <w:pStyle w:val="2001"/>
              <w:rPr>
                <w:snapToGrid w:val="0"/>
              </w:rPr>
            </w:pPr>
            <w:r>
              <w:rPr>
                <w:rFonts w:hint="eastAsia"/>
                <w:snapToGrid w:val="0"/>
              </w:rPr>
              <w:t>3.66</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c>
          <w:tcPr>
            <w:tcW w:w="678" w:type="dxa"/>
            <w:vMerge w:val="continue"/>
            <w:vAlign w:val="center"/>
          </w:tcPr>
          <w:p>
            <w:pPr>
              <w:pStyle w:val="2001"/>
              <w:rPr>
                <w:snapToGrid w:val="0"/>
              </w:rPr>
            </w:pPr>
          </w:p>
        </w:tc>
        <w:tc>
          <w:tcPr>
            <w:tcW w:w="2021" w:type="dxa"/>
            <w:vMerge w:val="continue"/>
            <w:vAlign w:val="center"/>
          </w:tcPr>
          <w:p>
            <w:pPr>
              <w:pStyle w:val="2001"/>
              <w:rPr>
                <w:snapToGrid w:val="0"/>
              </w:rPr>
            </w:pPr>
          </w:p>
        </w:tc>
        <w:tc>
          <w:tcPr>
            <w:tcW w:w="3921" w:type="dxa"/>
            <w:vAlign w:val="center"/>
          </w:tcPr>
          <w:p>
            <w:pPr>
              <w:pStyle w:val="2001"/>
              <w:rPr>
                <w:snapToGrid w:val="0"/>
              </w:rPr>
            </w:pPr>
            <w:r>
              <w:rPr>
                <w:rFonts w:hint="eastAsia"/>
                <w:snapToGrid w:val="0"/>
              </w:rPr>
              <w:t>大榄坪南作业区</w:t>
            </w:r>
          </w:p>
        </w:tc>
        <w:tc>
          <w:tcPr>
            <w:tcW w:w="1088" w:type="dxa"/>
            <w:vAlign w:val="center"/>
          </w:tcPr>
          <w:p>
            <w:pPr>
              <w:pStyle w:val="2001"/>
              <w:rPr>
                <w:snapToGrid w:val="0"/>
              </w:rPr>
            </w:pPr>
            <w:r>
              <w:rPr>
                <w:rFonts w:hint="eastAsia"/>
                <w:snapToGrid w:val="0"/>
              </w:rPr>
              <w:t>内部</w:t>
            </w:r>
          </w:p>
        </w:tc>
        <w:tc>
          <w:tcPr>
            <w:tcW w:w="1124" w:type="dxa"/>
            <w:vAlign w:val="center"/>
          </w:tcPr>
          <w:p>
            <w:pPr>
              <w:pStyle w:val="2001"/>
              <w:rPr>
                <w:snapToGrid w:val="0"/>
              </w:rPr>
            </w:pPr>
            <w:r>
              <w:rPr>
                <w:rFonts w:hint="eastAsia"/>
                <w:snapToGrid w:val="0"/>
              </w:rPr>
              <w:t>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c>
          <w:tcPr>
            <w:tcW w:w="678" w:type="dxa"/>
            <w:vMerge w:val="continue"/>
            <w:vAlign w:val="center"/>
          </w:tcPr>
          <w:p>
            <w:pPr>
              <w:pStyle w:val="2001"/>
              <w:rPr>
                <w:snapToGrid w:val="0"/>
              </w:rPr>
            </w:pPr>
          </w:p>
        </w:tc>
        <w:tc>
          <w:tcPr>
            <w:tcW w:w="2021" w:type="dxa"/>
            <w:vMerge w:val="continue"/>
            <w:vAlign w:val="center"/>
          </w:tcPr>
          <w:p>
            <w:pPr>
              <w:pStyle w:val="2001"/>
              <w:rPr>
                <w:snapToGrid w:val="0"/>
              </w:rPr>
            </w:pPr>
          </w:p>
        </w:tc>
        <w:tc>
          <w:tcPr>
            <w:tcW w:w="3921" w:type="dxa"/>
            <w:vAlign w:val="center"/>
          </w:tcPr>
          <w:p>
            <w:pPr>
              <w:pStyle w:val="2001"/>
              <w:rPr>
                <w:snapToGrid w:val="0"/>
              </w:rPr>
            </w:pPr>
            <w:r>
              <w:rPr>
                <w:rFonts w:hint="eastAsia"/>
                <w:snapToGrid w:val="0"/>
              </w:rPr>
              <w:t>三墩作业区</w:t>
            </w:r>
          </w:p>
        </w:tc>
        <w:tc>
          <w:tcPr>
            <w:tcW w:w="1088" w:type="dxa"/>
            <w:vAlign w:val="center"/>
          </w:tcPr>
          <w:p>
            <w:pPr>
              <w:pStyle w:val="2001"/>
              <w:rPr>
                <w:snapToGrid w:val="0"/>
              </w:rPr>
            </w:pPr>
            <w:r>
              <w:rPr>
                <w:rFonts w:hint="eastAsia"/>
                <w:snapToGrid w:val="0"/>
              </w:rPr>
              <w:t>SE</w:t>
            </w:r>
          </w:p>
        </w:tc>
        <w:tc>
          <w:tcPr>
            <w:tcW w:w="1124" w:type="dxa"/>
            <w:vAlign w:val="center"/>
          </w:tcPr>
          <w:p>
            <w:pPr>
              <w:pStyle w:val="2001"/>
              <w:rPr>
                <w:snapToGrid w:val="0"/>
              </w:rPr>
            </w:pPr>
            <w:r>
              <w:rPr>
                <w:rFonts w:hint="eastAsia"/>
                <w:snapToGrid w:val="0"/>
              </w:rPr>
              <w:t>5.89</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c>
          <w:tcPr>
            <w:tcW w:w="678" w:type="dxa"/>
            <w:vMerge w:val="continue"/>
            <w:vAlign w:val="center"/>
          </w:tcPr>
          <w:p>
            <w:pPr>
              <w:pStyle w:val="2001"/>
              <w:rPr>
                <w:snapToGrid w:val="0"/>
              </w:rPr>
            </w:pPr>
          </w:p>
        </w:tc>
        <w:tc>
          <w:tcPr>
            <w:tcW w:w="2021" w:type="dxa"/>
            <w:vMerge w:val="continue"/>
            <w:vAlign w:val="center"/>
          </w:tcPr>
          <w:p>
            <w:pPr>
              <w:pStyle w:val="2001"/>
              <w:rPr>
                <w:snapToGrid w:val="0"/>
              </w:rPr>
            </w:pPr>
          </w:p>
        </w:tc>
        <w:tc>
          <w:tcPr>
            <w:tcW w:w="3921" w:type="dxa"/>
            <w:vAlign w:val="center"/>
          </w:tcPr>
          <w:p>
            <w:pPr>
              <w:pStyle w:val="2001"/>
              <w:rPr>
                <w:snapToGrid w:val="0"/>
              </w:rPr>
            </w:pPr>
            <w:r>
              <w:rPr>
                <w:rFonts w:hint="eastAsia"/>
                <w:snapToGrid w:val="0"/>
              </w:rPr>
              <w:t>金鼓江作业区</w:t>
            </w:r>
          </w:p>
        </w:tc>
        <w:tc>
          <w:tcPr>
            <w:tcW w:w="1088" w:type="dxa"/>
            <w:vAlign w:val="center"/>
          </w:tcPr>
          <w:p>
            <w:pPr>
              <w:pStyle w:val="2001"/>
              <w:rPr>
                <w:snapToGrid w:val="0"/>
              </w:rPr>
            </w:pPr>
            <w:r>
              <w:rPr>
                <w:rFonts w:hint="eastAsia"/>
                <w:snapToGrid w:val="0"/>
              </w:rPr>
              <w:t>NW</w:t>
            </w:r>
          </w:p>
        </w:tc>
        <w:tc>
          <w:tcPr>
            <w:tcW w:w="1124" w:type="dxa"/>
            <w:vAlign w:val="center"/>
          </w:tcPr>
          <w:p>
            <w:pPr>
              <w:pStyle w:val="2001"/>
              <w:rPr>
                <w:snapToGrid w:val="0"/>
              </w:rPr>
            </w:pPr>
            <w:r>
              <w:rPr>
                <w:rFonts w:hint="eastAsia"/>
                <w:snapToGrid w:val="0"/>
              </w:rPr>
              <w:t>7.08</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22" w:hRule="atLeast"/>
        </w:trPr>
        <w:tc>
          <w:tcPr>
            <w:tcW w:w="678" w:type="dxa"/>
            <w:vMerge w:val="restart"/>
            <w:vAlign w:val="center"/>
          </w:tcPr>
          <w:p>
            <w:pPr>
              <w:pStyle w:val="2001"/>
              <w:rPr>
                <w:snapToGrid w:val="0"/>
              </w:rPr>
            </w:pPr>
            <w:r>
              <w:rPr>
                <w:rFonts w:hint="eastAsia"/>
                <w:snapToGrid w:val="0"/>
              </w:rPr>
              <w:t>4</w:t>
            </w:r>
          </w:p>
        </w:tc>
        <w:tc>
          <w:tcPr>
            <w:tcW w:w="2021" w:type="dxa"/>
            <w:vMerge w:val="restart"/>
            <w:vAlign w:val="center"/>
          </w:tcPr>
          <w:p>
            <w:pPr>
              <w:pStyle w:val="2001"/>
              <w:rPr>
                <w:snapToGrid w:val="0"/>
              </w:rPr>
            </w:pPr>
            <w:r>
              <w:rPr>
                <w:rFonts w:hint="eastAsia"/>
                <w:snapToGrid w:val="0"/>
              </w:rPr>
              <w:t>旅游区</w:t>
            </w:r>
          </w:p>
        </w:tc>
        <w:tc>
          <w:tcPr>
            <w:tcW w:w="3921" w:type="dxa"/>
            <w:vAlign w:val="center"/>
          </w:tcPr>
          <w:p>
            <w:pPr>
              <w:pStyle w:val="2001"/>
              <w:rPr>
                <w:snapToGrid w:val="0"/>
              </w:rPr>
            </w:pPr>
            <w:r>
              <w:rPr>
                <w:rFonts w:hint="eastAsia"/>
                <w:snapToGrid w:val="0"/>
              </w:rPr>
              <w:t>鹿耳环至三娘湾旅游区</w:t>
            </w:r>
          </w:p>
        </w:tc>
        <w:tc>
          <w:tcPr>
            <w:tcW w:w="1088" w:type="dxa"/>
            <w:vAlign w:val="center"/>
          </w:tcPr>
          <w:p>
            <w:pPr>
              <w:pStyle w:val="2001"/>
              <w:rPr>
                <w:snapToGrid w:val="0"/>
              </w:rPr>
            </w:pPr>
            <w:r>
              <w:rPr>
                <w:rFonts w:hint="eastAsia"/>
                <w:snapToGrid w:val="0"/>
              </w:rPr>
              <w:t>E</w:t>
            </w:r>
          </w:p>
        </w:tc>
        <w:tc>
          <w:tcPr>
            <w:tcW w:w="1124" w:type="dxa"/>
            <w:vAlign w:val="center"/>
          </w:tcPr>
          <w:p>
            <w:pPr>
              <w:pStyle w:val="2001"/>
              <w:rPr>
                <w:snapToGrid w:val="0"/>
              </w:rPr>
            </w:pPr>
            <w:r>
              <w:rPr>
                <w:rFonts w:hint="eastAsia"/>
                <w:snapToGrid w:val="0"/>
              </w:rPr>
              <w:t>4.2</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c>
          <w:tcPr>
            <w:tcW w:w="678" w:type="dxa"/>
            <w:vMerge w:val="continue"/>
            <w:vAlign w:val="center"/>
          </w:tcPr>
          <w:p>
            <w:pPr>
              <w:pStyle w:val="2001"/>
              <w:rPr>
                <w:snapToGrid w:val="0"/>
              </w:rPr>
            </w:pPr>
          </w:p>
        </w:tc>
        <w:tc>
          <w:tcPr>
            <w:tcW w:w="2021" w:type="dxa"/>
            <w:vMerge w:val="continue"/>
            <w:vAlign w:val="center"/>
          </w:tcPr>
          <w:p>
            <w:pPr>
              <w:pStyle w:val="2001"/>
              <w:rPr>
                <w:snapToGrid w:val="0"/>
              </w:rPr>
            </w:pPr>
          </w:p>
        </w:tc>
        <w:tc>
          <w:tcPr>
            <w:tcW w:w="3921" w:type="dxa"/>
            <w:vAlign w:val="center"/>
          </w:tcPr>
          <w:p>
            <w:pPr>
              <w:pStyle w:val="2001"/>
              <w:rPr>
                <w:snapToGrid w:val="0"/>
              </w:rPr>
            </w:pPr>
            <w:r>
              <w:rPr>
                <w:rFonts w:hint="eastAsia"/>
                <w:snapToGrid w:val="0"/>
              </w:rPr>
              <w:t>七十二泾旅游区</w:t>
            </w:r>
          </w:p>
        </w:tc>
        <w:tc>
          <w:tcPr>
            <w:tcW w:w="1088" w:type="dxa"/>
            <w:vAlign w:val="center"/>
          </w:tcPr>
          <w:p>
            <w:pPr>
              <w:pStyle w:val="2001"/>
              <w:rPr>
                <w:snapToGrid w:val="0"/>
              </w:rPr>
            </w:pPr>
            <w:r>
              <w:rPr>
                <w:rFonts w:hint="eastAsia"/>
                <w:snapToGrid w:val="0"/>
              </w:rPr>
              <w:t>NNW</w:t>
            </w:r>
          </w:p>
        </w:tc>
        <w:tc>
          <w:tcPr>
            <w:tcW w:w="1124" w:type="dxa"/>
            <w:vAlign w:val="center"/>
          </w:tcPr>
          <w:p>
            <w:pPr>
              <w:pStyle w:val="2001"/>
              <w:rPr>
                <w:snapToGrid w:val="0"/>
              </w:rPr>
            </w:pPr>
            <w:r>
              <w:rPr>
                <w:rFonts w:hint="eastAsia"/>
                <w:snapToGrid w:val="0"/>
              </w:rPr>
              <w:t>11.5</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c>
          <w:tcPr>
            <w:tcW w:w="678" w:type="dxa"/>
            <w:vAlign w:val="center"/>
          </w:tcPr>
          <w:p>
            <w:pPr>
              <w:pStyle w:val="2001"/>
              <w:rPr>
                <w:snapToGrid w:val="0"/>
              </w:rPr>
            </w:pPr>
            <w:r>
              <w:rPr>
                <w:rFonts w:hint="eastAsia"/>
                <w:snapToGrid w:val="0"/>
              </w:rPr>
              <w:t>5</w:t>
            </w:r>
          </w:p>
        </w:tc>
        <w:tc>
          <w:tcPr>
            <w:tcW w:w="2021" w:type="dxa"/>
            <w:vAlign w:val="center"/>
          </w:tcPr>
          <w:p>
            <w:pPr>
              <w:pStyle w:val="2001"/>
              <w:rPr>
                <w:snapToGrid w:val="0"/>
              </w:rPr>
            </w:pPr>
            <w:r>
              <w:rPr>
                <w:rFonts w:hint="eastAsia"/>
                <w:snapToGrid w:val="0"/>
              </w:rPr>
              <w:t>禁止抛锚与捕捞区</w:t>
            </w:r>
          </w:p>
        </w:tc>
        <w:tc>
          <w:tcPr>
            <w:tcW w:w="3921" w:type="dxa"/>
            <w:vAlign w:val="center"/>
          </w:tcPr>
          <w:p>
            <w:pPr>
              <w:pStyle w:val="2001"/>
              <w:rPr>
                <w:snapToGrid w:val="0"/>
              </w:rPr>
            </w:pPr>
            <w:r>
              <w:rPr>
                <w:rFonts w:hint="eastAsia"/>
                <w:snapToGrid w:val="0"/>
              </w:rPr>
              <w:t>海底有光缆敷设</w:t>
            </w:r>
          </w:p>
        </w:tc>
        <w:tc>
          <w:tcPr>
            <w:tcW w:w="1088" w:type="dxa"/>
            <w:vAlign w:val="center"/>
          </w:tcPr>
          <w:p>
            <w:pPr>
              <w:pStyle w:val="2001"/>
              <w:rPr>
                <w:snapToGrid w:val="0"/>
              </w:rPr>
            </w:pPr>
            <w:r>
              <w:rPr>
                <w:rFonts w:hint="eastAsia"/>
                <w:snapToGrid w:val="0"/>
              </w:rPr>
              <w:t>SE、S</w:t>
            </w:r>
          </w:p>
        </w:tc>
        <w:tc>
          <w:tcPr>
            <w:tcW w:w="1124" w:type="dxa"/>
            <w:vAlign w:val="center"/>
          </w:tcPr>
          <w:p>
            <w:pPr>
              <w:pStyle w:val="2001"/>
              <w:rPr>
                <w:snapToGrid w:val="0"/>
              </w:rPr>
            </w:pPr>
            <w:r>
              <w:rPr>
                <w:rFonts w:hint="eastAsia"/>
                <w:snapToGrid w:val="0"/>
              </w:rPr>
              <w:t>5.54</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c>
          <w:tcPr>
            <w:tcW w:w="678" w:type="dxa"/>
            <w:vAlign w:val="center"/>
          </w:tcPr>
          <w:p>
            <w:pPr>
              <w:pStyle w:val="2001"/>
              <w:rPr>
                <w:snapToGrid w:val="0"/>
              </w:rPr>
            </w:pPr>
            <w:r>
              <w:rPr>
                <w:rFonts w:hint="eastAsia"/>
                <w:snapToGrid w:val="0"/>
              </w:rPr>
              <w:t>6</w:t>
            </w:r>
          </w:p>
        </w:tc>
        <w:tc>
          <w:tcPr>
            <w:tcW w:w="2021" w:type="dxa"/>
            <w:vAlign w:val="center"/>
          </w:tcPr>
          <w:p>
            <w:pPr>
              <w:pStyle w:val="2001"/>
              <w:rPr>
                <w:snapToGrid w:val="0"/>
              </w:rPr>
            </w:pPr>
            <w:r>
              <w:rPr>
                <w:rFonts w:hint="eastAsia"/>
                <w:snapToGrid w:val="0"/>
              </w:rPr>
              <w:t>防城港核电工程</w:t>
            </w:r>
          </w:p>
        </w:tc>
        <w:tc>
          <w:tcPr>
            <w:tcW w:w="3921" w:type="dxa"/>
            <w:vAlign w:val="center"/>
          </w:tcPr>
          <w:p>
            <w:pPr>
              <w:pStyle w:val="2001"/>
              <w:rPr>
                <w:snapToGrid w:val="0"/>
              </w:rPr>
            </w:pPr>
            <w:r>
              <w:rPr>
                <w:rFonts w:hint="eastAsia"/>
                <w:snapToGrid w:val="0"/>
              </w:rPr>
              <w:t>包括陆域回填和取、排水口等</w:t>
            </w:r>
          </w:p>
        </w:tc>
        <w:tc>
          <w:tcPr>
            <w:tcW w:w="1088" w:type="dxa"/>
            <w:vAlign w:val="center"/>
          </w:tcPr>
          <w:p>
            <w:pPr>
              <w:pStyle w:val="2001"/>
              <w:rPr>
                <w:snapToGrid w:val="0"/>
              </w:rPr>
            </w:pPr>
            <w:r>
              <w:rPr>
                <w:rFonts w:hint="eastAsia"/>
                <w:snapToGrid w:val="0"/>
              </w:rPr>
              <w:t>W</w:t>
            </w:r>
          </w:p>
        </w:tc>
        <w:tc>
          <w:tcPr>
            <w:tcW w:w="1124" w:type="dxa"/>
            <w:vAlign w:val="center"/>
          </w:tcPr>
          <w:p>
            <w:pPr>
              <w:pStyle w:val="2001"/>
              <w:rPr>
                <w:snapToGrid w:val="0"/>
              </w:rPr>
            </w:pPr>
            <w:r>
              <w:rPr>
                <w:rFonts w:hint="eastAsia"/>
                <w:snapToGrid w:val="0"/>
              </w:rPr>
              <w:t>7.1</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c>
          <w:tcPr>
            <w:tcW w:w="678" w:type="dxa"/>
            <w:vMerge w:val="restart"/>
            <w:vAlign w:val="center"/>
          </w:tcPr>
          <w:p>
            <w:pPr>
              <w:pStyle w:val="2001"/>
              <w:rPr>
                <w:snapToGrid w:val="0"/>
              </w:rPr>
            </w:pPr>
            <w:r>
              <w:rPr>
                <w:rFonts w:hint="eastAsia"/>
                <w:snapToGrid w:val="0"/>
              </w:rPr>
              <w:t>7</w:t>
            </w:r>
          </w:p>
        </w:tc>
        <w:tc>
          <w:tcPr>
            <w:tcW w:w="2021" w:type="dxa"/>
            <w:vMerge w:val="restart"/>
            <w:vAlign w:val="center"/>
          </w:tcPr>
          <w:p>
            <w:pPr>
              <w:pStyle w:val="2001"/>
              <w:rPr>
                <w:snapToGrid w:val="0"/>
              </w:rPr>
            </w:pPr>
            <w:r>
              <w:rPr>
                <w:rFonts w:hint="eastAsia"/>
                <w:snapToGrid w:val="0"/>
              </w:rPr>
              <w:t>入海排污口</w:t>
            </w:r>
          </w:p>
        </w:tc>
        <w:tc>
          <w:tcPr>
            <w:tcW w:w="3921" w:type="dxa"/>
            <w:vAlign w:val="center"/>
          </w:tcPr>
          <w:p>
            <w:pPr>
              <w:pStyle w:val="2001"/>
              <w:rPr>
                <w:snapToGrid w:val="0"/>
              </w:rPr>
            </w:pPr>
            <w:r>
              <w:rPr>
                <w:rFonts w:hint="eastAsia"/>
                <w:snapToGrid w:val="0"/>
              </w:rPr>
              <w:t>广西金桂浆纸业有限公司排污口</w:t>
            </w:r>
          </w:p>
        </w:tc>
        <w:tc>
          <w:tcPr>
            <w:tcW w:w="1088" w:type="dxa"/>
            <w:vAlign w:val="center"/>
          </w:tcPr>
          <w:p>
            <w:pPr>
              <w:pStyle w:val="2001"/>
              <w:rPr>
                <w:snapToGrid w:val="0"/>
              </w:rPr>
            </w:pPr>
            <w:r>
              <w:rPr>
                <w:rFonts w:hint="eastAsia"/>
                <w:snapToGrid w:val="0"/>
              </w:rPr>
              <w:t>S</w:t>
            </w:r>
            <w:r>
              <w:rPr>
                <w:snapToGrid w:val="0"/>
              </w:rPr>
              <w:t>E</w:t>
            </w:r>
          </w:p>
        </w:tc>
        <w:tc>
          <w:tcPr>
            <w:tcW w:w="1124" w:type="dxa"/>
            <w:vAlign w:val="center"/>
          </w:tcPr>
          <w:p>
            <w:pPr>
              <w:pStyle w:val="2001"/>
              <w:rPr>
                <w:snapToGrid w:val="0"/>
              </w:rPr>
            </w:pPr>
            <w:r>
              <w:rPr>
                <w:rFonts w:hint="eastAsia"/>
                <w:snapToGrid w:val="0"/>
              </w:rPr>
              <w:t>2</w:t>
            </w:r>
            <w:r>
              <w:rPr>
                <w:snapToGrid w:val="0"/>
              </w:rPr>
              <w:t>40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c>
          <w:tcPr>
            <w:tcW w:w="678" w:type="dxa"/>
            <w:vMerge w:val="continue"/>
            <w:vAlign w:val="center"/>
          </w:tcPr>
          <w:p>
            <w:pPr>
              <w:pStyle w:val="2001"/>
              <w:rPr>
                <w:snapToGrid w:val="0"/>
              </w:rPr>
            </w:pPr>
          </w:p>
        </w:tc>
        <w:tc>
          <w:tcPr>
            <w:tcW w:w="2021" w:type="dxa"/>
            <w:vMerge w:val="continue"/>
            <w:vAlign w:val="center"/>
          </w:tcPr>
          <w:p>
            <w:pPr>
              <w:pStyle w:val="2001"/>
              <w:rPr>
                <w:snapToGrid w:val="0"/>
              </w:rPr>
            </w:pPr>
          </w:p>
        </w:tc>
        <w:tc>
          <w:tcPr>
            <w:tcW w:w="3921" w:type="dxa"/>
            <w:vAlign w:val="center"/>
          </w:tcPr>
          <w:p>
            <w:pPr>
              <w:pStyle w:val="2001"/>
              <w:rPr>
                <w:snapToGrid w:val="0"/>
              </w:rPr>
            </w:pPr>
            <w:r>
              <w:rPr>
                <w:rFonts w:hint="eastAsia"/>
                <w:snapToGrid w:val="0"/>
              </w:rPr>
              <w:t>钦州市大榄坪污水处理厂排污口</w:t>
            </w:r>
          </w:p>
        </w:tc>
        <w:tc>
          <w:tcPr>
            <w:tcW w:w="1088" w:type="dxa"/>
            <w:vAlign w:val="center"/>
          </w:tcPr>
          <w:p>
            <w:pPr>
              <w:pStyle w:val="2001"/>
              <w:rPr>
                <w:snapToGrid w:val="0"/>
              </w:rPr>
            </w:pPr>
            <w:r>
              <w:rPr>
                <w:rFonts w:hint="eastAsia"/>
                <w:snapToGrid w:val="0"/>
              </w:rPr>
              <w:t>S</w:t>
            </w:r>
            <w:r>
              <w:rPr>
                <w:snapToGrid w:val="0"/>
              </w:rPr>
              <w:t>E</w:t>
            </w:r>
          </w:p>
        </w:tc>
        <w:tc>
          <w:tcPr>
            <w:tcW w:w="1124" w:type="dxa"/>
            <w:vAlign w:val="center"/>
          </w:tcPr>
          <w:p>
            <w:pPr>
              <w:pStyle w:val="2001"/>
              <w:rPr>
                <w:snapToGrid w:val="0"/>
              </w:rPr>
            </w:pPr>
            <w:r>
              <w:rPr>
                <w:rFonts w:hint="eastAsia"/>
                <w:snapToGrid w:val="0"/>
              </w:rPr>
              <w:t>4</w:t>
            </w:r>
            <w:r>
              <w:rPr>
                <w:snapToGrid w:val="0"/>
              </w:rPr>
              <w:t>30</w:t>
            </w:r>
          </w:p>
        </w:tc>
      </w:tr>
    </w:tbl>
    <w:p>
      <w:pPr>
        <w:pStyle w:val="6"/>
        <w:rPr>
          <w:color w:val="000000" w:themeColor="text1"/>
          <w14:textFill>
            <w14:solidFill>
              <w14:schemeClr w14:val="tx1"/>
            </w14:solidFill>
          </w14:textFill>
        </w:rPr>
      </w:pPr>
      <w:r>
        <w:rPr>
          <w:color w:val="000000" w:themeColor="text1"/>
          <w14:textFill>
            <w14:solidFill>
              <w14:schemeClr w14:val="tx1"/>
            </w14:solidFill>
          </w14:textFill>
        </w:rPr>
        <w:t>滨海旅游资源</w:t>
      </w:r>
    </w:p>
    <w:p>
      <w:pPr>
        <w:pStyle w:val="283"/>
        <w:ind w:firstLine="494"/>
        <w:rPr>
          <w:color w:val="000000" w:themeColor="text1"/>
          <w14:textFill>
            <w14:solidFill>
              <w14:schemeClr w14:val="tx1"/>
            </w14:solidFill>
          </w14:textFill>
        </w:rPr>
      </w:pPr>
      <w:r>
        <w:rPr>
          <w:color w:val="000000" w:themeColor="text1"/>
          <w14:textFill>
            <w14:solidFill>
              <w14:schemeClr w14:val="tx1"/>
            </w14:solidFill>
          </w14:textFill>
        </w:rPr>
        <w:t>评价范围内钦州市自然旅游资源主要有七十二泾风景区、三娘湾沙滩等。</w:t>
      </w:r>
    </w:p>
    <w:p>
      <w:pPr>
        <w:pStyle w:val="283"/>
        <w:ind w:firstLine="494"/>
        <w:rPr>
          <w:color w:val="000000" w:themeColor="text1"/>
          <w14:textFill>
            <w14:solidFill>
              <w14:schemeClr w14:val="tx1"/>
            </w14:solidFill>
          </w14:textFill>
        </w:rPr>
      </w:pPr>
      <w:r>
        <w:rPr>
          <w:color w:val="000000" w:themeColor="text1"/>
          <w14:textFill>
            <w14:solidFill>
              <w14:schemeClr w14:val="tx1"/>
            </w14:solidFill>
          </w14:textFill>
        </w:rPr>
        <w:t>三娘湾是中华白海豚之乡，有一千余头野生中华白海豚长年栖居于此，可以看到的海豚有黑色、灰色、白色、粉红色、墨绿色、海蓝色等。海岸防护林带保护完好，绿树成荫，沙滩平坦广阔，沙质松软。三娘湾已建或正在建设多个旅游开发项目，是钦州旅游开发的重中之重</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三娘湾沙滩距离本项目约</w:t>
      </w:r>
      <w:r>
        <w:rPr>
          <w:rFonts w:hint="eastAsia"/>
          <w:color w:val="000000" w:themeColor="text1"/>
          <w14:textFill>
            <w14:solidFill>
              <w14:schemeClr w14:val="tx1"/>
            </w14:solidFill>
          </w14:textFill>
        </w:rPr>
        <w:t>14.9km，不在项目评价范围内，根据《钦州市国土空间总体规划（2021—2035年）》市域海洋功能分区，本项目评价范围涉及三娘湾生态保护区内西侧区块，距离最近约5.8km。</w:t>
      </w:r>
    </w:p>
    <w:p>
      <w:pPr>
        <w:pStyle w:val="283"/>
        <w:ind w:firstLine="494"/>
        <w:rPr>
          <w:color w:val="000000" w:themeColor="text1"/>
          <w14:textFill>
            <w14:solidFill>
              <w14:schemeClr w14:val="tx1"/>
            </w14:solidFill>
          </w14:textFill>
        </w:rPr>
      </w:pPr>
      <w:r>
        <w:rPr>
          <w:color w:val="000000" w:themeColor="text1"/>
          <w14:textFill>
            <w14:solidFill>
              <w14:schemeClr w14:val="tx1"/>
            </w14:solidFill>
          </w14:textFill>
        </w:rPr>
        <w:t>龙门群岛旅游景区位于钦州湾中部龙门群岛区内。岛屿</w:t>
      </w:r>
      <w:r>
        <w:rPr>
          <w:rFonts w:hint="eastAsia"/>
          <w:color w:val="000000" w:themeColor="text1"/>
          <w14:textFill>
            <w14:solidFill>
              <w14:schemeClr w14:val="tx1"/>
            </w14:solidFill>
          </w14:textFill>
        </w:rPr>
        <w:t>星罗棋布</w:t>
      </w:r>
      <w:r>
        <w:rPr>
          <w:color w:val="000000" w:themeColor="text1"/>
          <w14:textFill>
            <w14:solidFill>
              <w14:schemeClr w14:val="tx1"/>
            </w14:solidFill>
          </w14:textFill>
        </w:rPr>
        <w:t>，水道众多、</w:t>
      </w:r>
      <w:r>
        <w:rPr>
          <w:rFonts w:hint="eastAsia"/>
          <w:color w:val="000000" w:themeColor="text1"/>
          <w14:textFill>
            <w14:solidFill>
              <w14:schemeClr w14:val="tx1"/>
            </w14:solidFill>
          </w14:textFill>
        </w:rPr>
        <w:t>蜿蜒伸展</w:t>
      </w:r>
      <w:r>
        <w:rPr>
          <w:color w:val="000000" w:themeColor="text1"/>
          <w14:textFill>
            <w14:solidFill>
              <w14:schemeClr w14:val="tx1"/>
            </w14:solidFill>
          </w14:textFill>
        </w:rPr>
        <w:t>、纵横交错，形成七十二条水路，泾深浪静，称“七十二泾”。群岛、水道、岩礁、红树林滩分布区纵横跨度达10km，岛上树林郁郁葱葱，岛下风平浪静，奇岛异礁参差错落，青山碧水。龟岛上建有逸仙公园，园内山头矗立着全国最大的孙中山铜像。</w:t>
      </w:r>
      <w:r>
        <w:rPr>
          <w:rFonts w:hint="eastAsia"/>
          <w:color w:val="000000" w:themeColor="text1"/>
          <w14:textFill>
            <w14:solidFill>
              <w14:schemeClr w14:val="tx1"/>
            </w14:solidFill>
          </w14:textFill>
        </w:rPr>
        <w:t>龙门群岛</w:t>
      </w:r>
      <w:r>
        <w:rPr>
          <w:color w:val="000000" w:themeColor="text1"/>
          <w14:textFill>
            <w14:solidFill>
              <w14:schemeClr w14:val="tx1"/>
            </w14:solidFill>
          </w14:textFill>
        </w:rPr>
        <w:t>距离本项目约</w:t>
      </w:r>
      <w:r>
        <w:rPr>
          <w:rFonts w:hint="eastAsia"/>
          <w:color w:val="000000" w:themeColor="text1"/>
          <w14:textFill>
            <w14:solidFill>
              <w14:schemeClr w14:val="tx1"/>
            </w14:solidFill>
          </w14:textFill>
        </w:rPr>
        <w:t>14.3k</w:t>
      </w:r>
      <w:r>
        <w:rPr>
          <w:color w:val="000000" w:themeColor="text1"/>
          <w14:textFill>
            <w14:solidFill>
              <w14:schemeClr w14:val="tx1"/>
            </w14:solidFill>
          </w14:textFill>
        </w:rPr>
        <w:t>m</w:t>
      </w:r>
      <w:r>
        <w:rPr>
          <w:rFonts w:hint="eastAsia"/>
          <w:color w:val="000000" w:themeColor="text1"/>
          <w14:textFill>
            <w14:solidFill>
              <w14:schemeClr w14:val="tx1"/>
            </w14:solidFill>
          </w14:textFill>
        </w:rPr>
        <w:t>。</w:t>
      </w:r>
    </w:p>
    <w:p>
      <w:pPr>
        <w:pStyle w:val="6"/>
        <w:rPr>
          <w:color w:val="000000" w:themeColor="text1"/>
          <w14:textFill>
            <w14:solidFill>
              <w14:schemeClr w14:val="tx1"/>
            </w14:solidFill>
          </w14:textFill>
        </w:rPr>
      </w:pPr>
      <w:r>
        <w:rPr>
          <w:rFonts w:hint="eastAsia"/>
          <w:color w:val="000000" w:themeColor="text1"/>
          <w14:textFill>
            <w14:solidFill>
              <w14:schemeClr w14:val="tx1"/>
            </w14:solidFill>
          </w14:textFill>
        </w:rPr>
        <w:t>北部湾中华白海豚分布区</w:t>
      </w:r>
    </w:p>
    <w:p>
      <w:pPr>
        <w:pStyle w:val="1075"/>
        <w:ind w:firstLine="496"/>
        <w:rPr>
          <w:b/>
          <w:color w:val="000000" w:themeColor="text1"/>
          <w14:textFill>
            <w14:solidFill>
              <w14:schemeClr w14:val="tx1"/>
            </w14:solidFill>
          </w14:textFill>
        </w:rPr>
      </w:pPr>
      <w:r>
        <w:rPr>
          <w:b/>
          <w:color w:val="000000" w:themeColor="text1"/>
          <w14:textFill>
            <w14:solidFill>
              <w14:schemeClr w14:val="tx1"/>
            </w14:solidFill>
          </w14:textFill>
        </w:rPr>
        <w:t>1、北部湾中华白海豚分布调查</w:t>
      </w:r>
    </w:p>
    <w:p>
      <w:pPr>
        <w:pStyle w:val="1075"/>
        <w:rPr>
          <w:color w:val="000000" w:themeColor="text1"/>
          <w:lang w:val="zh-CN"/>
          <w14:textFill>
            <w14:solidFill>
              <w14:schemeClr w14:val="tx1"/>
            </w14:solidFill>
          </w14:textFill>
        </w:rPr>
      </w:pPr>
      <w:r>
        <w:rPr>
          <w:color w:val="000000" w:themeColor="text1"/>
          <w:lang w:val="zh-CN"/>
          <w14:textFill>
            <w14:solidFill>
              <w14:schemeClr w14:val="tx1"/>
            </w14:solidFill>
          </w14:textFill>
        </w:rPr>
        <w:t>根据《中华人民共和国野生动物保护法》，林业部和农业部联合公布了《国家重点保护野生动物名录》，中华白海豚被列为国家一级保护动物。中华白海豚是当前地球上最稀有的物种之一，被我国列为国家一级重点保护动物，有“海上大熊猫</w:t>
      </w:r>
      <w:r>
        <w:rPr>
          <w:rFonts w:hint="eastAsia"/>
          <w:color w:val="000000" w:themeColor="text1"/>
          <w:lang w:val="zh-CN"/>
          <w14:textFill>
            <w14:solidFill>
              <w14:schemeClr w14:val="tx1"/>
            </w14:solidFill>
          </w14:textFill>
        </w:rPr>
        <w:t>”“</w:t>
      </w:r>
      <w:r>
        <w:rPr>
          <w:color w:val="000000" w:themeColor="text1"/>
          <w:lang w:val="zh-CN"/>
          <w14:textFill>
            <w14:solidFill>
              <w14:schemeClr w14:val="tx1"/>
            </w14:solidFill>
          </w14:textFill>
        </w:rPr>
        <w:t>海上国宝”之称，被世界自然保护联盟（IUCU）红皮书收录为“极危物种”，具有很高的科研价值和潜在的经济价值。</w:t>
      </w:r>
    </w:p>
    <w:p>
      <w:pPr>
        <w:pStyle w:val="1075"/>
        <w:rPr>
          <w:color w:val="000000" w:themeColor="text1"/>
          <w:lang w:val="zh-CN"/>
          <w14:textFill>
            <w14:solidFill>
              <w14:schemeClr w14:val="tx1"/>
            </w14:solidFill>
          </w14:textFill>
        </w:rPr>
      </w:pPr>
      <w:r>
        <w:rPr>
          <w:color w:val="000000" w:themeColor="text1"/>
          <w:lang w:val="zh-CN"/>
          <w14:textFill>
            <w14:solidFill>
              <w14:schemeClr w14:val="tx1"/>
            </w14:solidFill>
          </w14:textFill>
        </w:rPr>
        <w:t>北部湾因其栖息环境远远优于中国东南和广东沿海地区，海水水质优良率居全国首位，海洋生物多样性高，水产品丰富等特点，</w:t>
      </w:r>
      <w:r>
        <w:rPr>
          <w:rFonts w:hint="eastAsia"/>
          <w:color w:val="000000" w:themeColor="text1"/>
          <w:lang w:val="zh-CN"/>
          <w14:textFill>
            <w14:solidFill>
              <w14:schemeClr w14:val="tx1"/>
            </w14:solidFill>
          </w14:textFill>
        </w:rPr>
        <w:t>成为</w:t>
      </w:r>
      <w:r>
        <w:rPr>
          <w:color w:val="000000" w:themeColor="text1"/>
          <w:lang w:val="zh-CN"/>
          <w14:textFill>
            <w14:solidFill>
              <w14:schemeClr w14:val="tx1"/>
            </w14:solidFill>
          </w14:textFill>
        </w:rPr>
        <w:t>中华白海豚的有利栖息地（张等，2008.《中国沿海中华白海豚种群的分布区》），在北部湾作业渔轮常见中华白海豚成小群出没。</w:t>
      </w:r>
    </w:p>
    <w:p>
      <w:pPr>
        <w:pStyle w:val="1075"/>
        <w:rPr>
          <w:color w:val="000000" w:themeColor="text1"/>
          <w:lang w:val="zh-CN"/>
          <w14:textFill>
            <w14:solidFill>
              <w14:schemeClr w14:val="tx1"/>
            </w14:solidFill>
          </w14:textFill>
        </w:rPr>
      </w:pPr>
      <w:r>
        <w:rPr>
          <w:color w:val="000000" w:themeColor="text1"/>
          <w:lang w:val="zh-CN"/>
          <w14:textFill>
            <w14:solidFill>
              <w14:schemeClr w14:val="tx1"/>
            </w14:solidFill>
          </w14:textFill>
        </w:rPr>
        <w:t>南京师范大学生命科学研究院针对北部湾中华白海豚，在2000年进行了问卷调查和少数探索性船只调查，在2003</w:t>
      </w:r>
      <w:r>
        <w:rPr>
          <w:rFonts w:hint="eastAsia"/>
          <w:color w:val="000000" w:themeColor="text1"/>
          <w:lang w:val="zh-CN"/>
          <w14:textFill>
            <w14:solidFill>
              <w14:schemeClr w14:val="tx1"/>
            </w14:solidFill>
          </w14:textFill>
        </w:rPr>
        <w:t>—</w:t>
      </w:r>
      <w:r>
        <w:rPr>
          <w:color w:val="000000" w:themeColor="text1"/>
          <w:lang w:val="zh-CN"/>
          <w14:textFill>
            <w14:solidFill>
              <w14:schemeClr w14:val="tx1"/>
            </w14:solidFill>
          </w14:textFill>
        </w:rPr>
        <w:t>2004年进行了为期一年的船只调查，在2011</w:t>
      </w:r>
      <w:r>
        <w:rPr>
          <w:rFonts w:hint="eastAsia"/>
          <w:color w:val="000000" w:themeColor="text1"/>
          <w:lang w:val="zh-CN"/>
          <w14:textFill>
            <w14:solidFill>
              <w14:schemeClr w14:val="tx1"/>
            </w14:solidFill>
          </w14:textFill>
        </w:rPr>
        <w:t>—</w:t>
      </w:r>
      <w:r>
        <w:rPr>
          <w:color w:val="000000" w:themeColor="text1"/>
          <w:lang w:val="zh-CN"/>
          <w14:textFill>
            <w14:solidFill>
              <w14:schemeClr w14:val="tx1"/>
            </w14:solidFill>
          </w14:textFill>
        </w:rPr>
        <w:t>2015年进行连续照相识别研究。通过野外船只调查和照相识别数据，获取种群和识别个体出现位点，在种群水平和个体水平上计算家域面积。并探讨不同的社群、不同时期、不同水域</w:t>
      </w:r>
      <w:r>
        <w:rPr>
          <w:rFonts w:hint="eastAsia"/>
          <w:color w:val="000000" w:themeColor="text1"/>
          <w:lang w:val="zh-CN"/>
          <w14:textFill>
            <w14:solidFill>
              <w14:schemeClr w14:val="tx1"/>
            </w14:solidFill>
          </w14:textFill>
        </w:rPr>
        <w:t>（</w:t>
      </w:r>
      <w:r>
        <w:rPr>
          <w:color w:val="000000" w:themeColor="text1"/>
          <w:lang w:val="zh-CN"/>
          <w14:textFill>
            <w14:solidFill>
              <w14:schemeClr w14:val="tx1"/>
            </w14:solidFill>
          </w14:textFill>
        </w:rPr>
        <w:t>沙田、大风江</w:t>
      </w:r>
      <w:r>
        <w:rPr>
          <w:rFonts w:hint="eastAsia"/>
          <w:color w:val="000000" w:themeColor="text1"/>
          <w:lang w:val="zh-CN"/>
          <w14:textFill>
            <w14:solidFill>
              <w14:schemeClr w14:val="tx1"/>
            </w14:solidFill>
          </w14:textFill>
        </w:rPr>
        <w:t>－</w:t>
      </w:r>
      <w:r>
        <w:rPr>
          <w:color w:val="000000" w:themeColor="text1"/>
          <w:lang w:val="zh-CN"/>
          <w14:textFill>
            <w14:solidFill>
              <w14:schemeClr w14:val="tx1"/>
            </w14:solidFill>
          </w14:textFill>
        </w:rPr>
        <w:t>南流江</w:t>
      </w:r>
      <w:r>
        <w:rPr>
          <w:rFonts w:hint="eastAsia"/>
          <w:color w:val="000000" w:themeColor="text1"/>
          <w:lang w:val="zh-CN"/>
          <w14:textFill>
            <w14:solidFill>
              <w14:schemeClr w14:val="tx1"/>
            </w14:solidFill>
          </w14:textFill>
        </w:rPr>
        <w:t>）</w:t>
      </w:r>
      <w:r>
        <w:rPr>
          <w:color w:val="000000" w:themeColor="text1"/>
          <w:lang w:val="zh-CN"/>
          <w14:textFill>
            <w14:solidFill>
              <w14:schemeClr w14:val="tx1"/>
            </w14:solidFill>
          </w14:textFill>
        </w:rPr>
        <w:t xml:space="preserve"> 中华白海豚家域的变化和移动规律。根据不同时期</w:t>
      </w:r>
      <w:r>
        <w:rPr>
          <w:rFonts w:hint="eastAsia"/>
          <w:color w:val="000000" w:themeColor="text1"/>
          <w:lang w:val="zh-CN"/>
          <w14:textFill>
            <w14:solidFill>
              <w14:schemeClr w14:val="tx1"/>
            </w14:solidFill>
          </w14:textFill>
        </w:rPr>
        <w:t>（</w:t>
      </w:r>
      <w:r>
        <w:rPr>
          <w:color w:val="000000" w:themeColor="text1"/>
          <w:lang w:val="zh-CN"/>
          <w14:textFill>
            <w14:solidFill>
              <w14:schemeClr w14:val="tx1"/>
            </w14:solidFill>
          </w14:textFill>
        </w:rPr>
        <w:t>年际、季节</w:t>
      </w:r>
      <w:r>
        <w:rPr>
          <w:rFonts w:hint="eastAsia"/>
          <w:color w:val="000000" w:themeColor="text1"/>
          <w:lang w:val="zh-CN"/>
          <w14:textFill>
            <w14:solidFill>
              <w14:schemeClr w14:val="tx1"/>
            </w14:solidFill>
          </w14:textFill>
        </w:rPr>
        <w:t>）</w:t>
      </w:r>
      <w:r>
        <w:rPr>
          <w:color w:val="000000" w:themeColor="text1"/>
          <w:lang w:val="zh-CN"/>
          <w14:textFill>
            <w14:solidFill>
              <w14:schemeClr w14:val="tx1"/>
            </w14:solidFill>
          </w14:textFill>
        </w:rPr>
        <w:t>的</w:t>
      </w:r>
      <w:r>
        <w:rPr>
          <w:rFonts w:hint="eastAsia"/>
          <w:color w:val="000000" w:themeColor="text1"/>
          <w:lang w:val="zh-CN"/>
          <w14:textFill>
            <w14:solidFill>
              <w14:schemeClr w14:val="tx1"/>
            </w14:solidFill>
          </w14:textFill>
        </w:rPr>
        <w:t>水域</w:t>
      </w:r>
      <w:r>
        <w:rPr>
          <w:color w:val="000000" w:themeColor="text1"/>
          <w:lang w:val="zh-CN"/>
          <w14:textFill>
            <w14:solidFill>
              <w14:schemeClr w14:val="tx1"/>
            </w14:solidFill>
          </w14:textFill>
        </w:rPr>
        <w:t>变化，判断海洋哺乳动物是否对特殊水域表现出较强的忠诚度。团队调查范围涵盖沙田、大风江 南流江水域、大庙墩水域。历时7年时间，进行了204次船只调查，总计11026.92 km样线。</w:t>
      </w:r>
    </w:p>
    <w:p>
      <w:pPr>
        <w:pStyle w:val="1075"/>
        <w:rPr>
          <w:color w:val="000000" w:themeColor="text1"/>
          <w:lang w:val="zh-CN"/>
          <w14:textFill>
            <w14:solidFill>
              <w14:schemeClr w14:val="tx1"/>
            </w14:solidFill>
          </w14:textFill>
        </w:rPr>
      </w:pPr>
      <w:r>
        <w:rPr>
          <w:color w:val="000000" w:themeColor="text1"/>
          <w:lang w:val="zh-CN"/>
          <w14:textFill>
            <w14:solidFill>
              <w14:schemeClr w14:val="tx1"/>
            </w14:solidFill>
          </w14:textFill>
        </w:rPr>
        <w:t>根据南京师范大学的调查成果，北部湾中华白海豚分成两个群体：大风江水域和沙田水域，两个群体很少有交流。调查结果显示，大风江</w:t>
      </w:r>
      <w:r>
        <w:rPr>
          <w:rFonts w:hint="eastAsia"/>
          <w:color w:val="000000" w:themeColor="text1"/>
          <w:lang w:val="zh-CN"/>
          <w14:textFill>
            <w14:solidFill>
              <w14:schemeClr w14:val="tx1"/>
            </w14:solidFill>
          </w14:textFill>
        </w:rPr>
        <w:t>－</w:t>
      </w:r>
      <w:r>
        <w:rPr>
          <w:color w:val="000000" w:themeColor="text1"/>
          <w:lang w:val="zh-CN"/>
          <w14:textFill>
            <w14:solidFill>
              <w14:schemeClr w14:val="tx1"/>
            </w14:solidFill>
          </w14:textFill>
        </w:rPr>
        <w:t>南流江中华白海豚家域面积在不同时期有所不同，2011-2012年均大于2003</w:t>
      </w:r>
      <w:r>
        <w:rPr>
          <w:rFonts w:hint="eastAsia"/>
          <w:color w:val="000000" w:themeColor="text1"/>
          <w:lang w:val="zh-CN"/>
          <w14:textFill>
            <w14:solidFill>
              <w14:schemeClr w14:val="tx1"/>
            </w14:solidFill>
          </w14:textFill>
        </w:rPr>
        <w:t>—</w:t>
      </w:r>
      <w:r>
        <w:rPr>
          <w:color w:val="000000" w:themeColor="text1"/>
          <w:lang w:val="zh-CN"/>
          <w14:textFill>
            <w14:solidFill>
              <w14:schemeClr w14:val="tx1"/>
            </w14:solidFill>
          </w14:textFill>
        </w:rPr>
        <w:t>2004年（Pan et al. (2006)）的面积。从发现位点上来讲，2011</w:t>
      </w:r>
      <w:r>
        <w:rPr>
          <w:rFonts w:hint="eastAsia"/>
          <w:color w:val="000000" w:themeColor="text1"/>
          <w:lang w:val="zh-CN"/>
          <w14:textFill>
            <w14:solidFill>
              <w14:schemeClr w14:val="tx1"/>
            </w14:solidFill>
          </w14:textFill>
        </w:rPr>
        <w:t>—</w:t>
      </w:r>
      <w:r>
        <w:rPr>
          <w:color w:val="000000" w:themeColor="text1"/>
          <w:lang w:val="zh-CN"/>
          <w14:textFill>
            <w14:solidFill>
              <w14:schemeClr w14:val="tx1"/>
            </w14:solidFill>
          </w14:textFill>
        </w:rPr>
        <w:t>2012年和2003</w:t>
      </w:r>
      <w:r>
        <w:rPr>
          <w:rFonts w:hint="eastAsia"/>
          <w:color w:val="000000" w:themeColor="text1"/>
          <w:lang w:val="zh-CN"/>
          <w14:textFill>
            <w14:solidFill>
              <w14:schemeClr w14:val="tx1"/>
            </w14:solidFill>
          </w14:textFill>
        </w:rPr>
        <w:t>—</w:t>
      </w:r>
      <w:r>
        <w:rPr>
          <w:color w:val="000000" w:themeColor="text1"/>
          <w:lang w:val="zh-CN"/>
          <w14:textFill>
            <w14:solidFill>
              <w14:schemeClr w14:val="tx1"/>
            </w14:solidFill>
          </w14:textFill>
        </w:rPr>
        <w:t>2004年分布范围相似，密集分布区较近。但经过比较发现，2011</w:t>
      </w:r>
      <w:r>
        <w:rPr>
          <w:rFonts w:hint="eastAsia"/>
          <w:color w:val="000000" w:themeColor="text1"/>
          <w:lang w:val="zh-CN"/>
          <w14:textFill>
            <w14:solidFill>
              <w14:schemeClr w14:val="tx1"/>
            </w14:solidFill>
          </w14:textFill>
        </w:rPr>
        <w:t>—</w:t>
      </w:r>
      <w:r>
        <w:rPr>
          <w:color w:val="000000" w:themeColor="text1"/>
          <w:lang w:val="zh-CN"/>
          <w14:textFill>
            <w14:solidFill>
              <w14:schemeClr w14:val="tx1"/>
            </w14:solidFill>
          </w14:textFill>
        </w:rPr>
        <w:t xml:space="preserve">2012年中华白海豚活动范围更加靠近岸边。 </w:t>
      </w:r>
    </w:p>
    <w:p>
      <w:pPr>
        <w:pStyle w:val="1075"/>
        <w:rPr>
          <w:color w:val="000000" w:themeColor="text1"/>
          <w:lang w:val="zh-CN"/>
          <w14:textFill>
            <w14:solidFill>
              <w14:schemeClr w14:val="tx1"/>
            </w14:solidFill>
          </w14:textFill>
        </w:rPr>
      </w:pPr>
      <w:r>
        <w:rPr>
          <w:color w:val="000000" w:themeColor="text1"/>
          <w:lang w:val="zh-CN"/>
          <w14:textFill>
            <w14:solidFill>
              <w14:schemeClr w14:val="tx1"/>
            </w14:solidFill>
          </w14:textFill>
        </w:rPr>
        <w:t>研究团队于2011</w:t>
      </w:r>
      <w:r>
        <w:rPr>
          <w:rFonts w:hint="eastAsia"/>
          <w:color w:val="000000" w:themeColor="text1"/>
          <w:lang w:val="zh-CN"/>
          <w14:textFill>
            <w14:solidFill>
              <w14:schemeClr w14:val="tx1"/>
            </w14:solidFill>
          </w14:textFill>
        </w:rPr>
        <w:t>—</w:t>
      </w:r>
      <w:r>
        <w:rPr>
          <w:color w:val="000000" w:themeColor="text1"/>
          <w:lang w:val="zh-CN"/>
          <w14:textFill>
            <w14:solidFill>
              <w14:schemeClr w14:val="tx1"/>
            </w14:solidFill>
          </w14:textFill>
        </w:rPr>
        <w:t>2016年对大风江及沙田水域进行了连续调查，应用特征重捕法估算了北部湾水域的中华白海豚总数量为398</w:t>
      </w:r>
      <w:r>
        <w:rPr>
          <w:rFonts w:hint="eastAsia"/>
          <w:color w:val="000000" w:themeColor="text1"/>
          <w:lang w:val="zh-CN"/>
          <w14:textFill>
            <w14:solidFill>
              <w14:schemeClr w14:val="tx1"/>
            </w14:solidFill>
          </w14:textFill>
        </w:rPr>
        <w:t>～</w:t>
      </w:r>
      <w:r>
        <w:rPr>
          <w:color w:val="000000" w:themeColor="text1"/>
          <w:lang w:val="zh-CN"/>
          <w14:textFill>
            <w14:solidFill>
              <w14:schemeClr w14:val="tx1"/>
            </w14:solidFill>
          </w14:textFill>
        </w:rPr>
        <w:t>444头，其中大风江南流江（包括三娘湾水域）共计248</w:t>
      </w:r>
      <w:r>
        <w:rPr>
          <w:rFonts w:hint="eastAsia"/>
          <w:color w:val="000000" w:themeColor="text1"/>
          <w:lang w:val="zh-CN"/>
          <w14:textFill>
            <w14:solidFill>
              <w14:schemeClr w14:val="tx1"/>
            </w14:solidFill>
          </w14:textFill>
        </w:rPr>
        <w:t>～</w:t>
      </w:r>
      <w:r>
        <w:rPr>
          <w:color w:val="000000" w:themeColor="text1"/>
          <w:lang w:val="zh-CN"/>
          <w14:textFill>
            <w14:solidFill>
              <w14:schemeClr w14:val="tx1"/>
            </w14:solidFill>
          </w14:textFill>
        </w:rPr>
        <w:t>262头，沙田水域约150</w:t>
      </w:r>
      <w:r>
        <w:rPr>
          <w:rFonts w:hint="eastAsia"/>
          <w:color w:val="000000" w:themeColor="text1"/>
          <w:lang w:val="zh-CN"/>
          <w14:textFill>
            <w14:solidFill>
              <w14:schemeClr w14:val="tx1"/>
            </w14:solidFill>
          </w14:textFill>
        </w:rPr>
        <w:t>～</w:t>
      </w:r>
      <w:r>
        <w:rPr>
          <w:color w:val="000000" w:themeColor="text1"/>
          <w:lang w:val="zh-CN"/>
          <w14:textFill>
            <w14:solidFill>
              <w14:schemeClr w14:val="tx1"/>
            </w14:solidFill>
          </w14:textFill>
        </w:rPr>
        <w:t>182头。中华白海豚社群以青年和成体为主。</w:t>
      </w:r>
    </w:p>
    <w:p>
      <w:pPr>
        <w:pStyle w:val="1075"/>
        <w:ind w:firstLine="0" w:firstLineChars="0"/>
        <w:jc w:val="center"/>
        <w:rPr>
          <w:color w:val="000000" w:themeColor="text1"/>
          <w14:textFill>
            <w14:solidFill>
              <w14:schemeClr w14:val="tx1"/>
            </w14:solidFill>
          </w14:textFill>
        </w:rPr>
      </w:pPr>
    </w:p>
    <w:p>
      <w:pPr>
        <w:pStyle w:val="553"/>
        <w:rPr>
          <w:color w:val="000000" w:themeColor="text1"/>
          <w14:textFill>
            <w14:solidFill>
              <w14:schemeClr w14:val="tx1"/>
            </w14:solidFill>
          </w14:textFill>
        </w:rPr>
      </w:pPr>
      <w:r>
        <w:rPr>
          <w:color w:val="000000" w:themeColor="text1"/>
          <w14:textFill>
            <w14:solidFill>
              <w14:schemeClr w14:val="tx1"/>
            </w14:solidFill>
          </w14:textFill>
        </w:rPr>
        <w:t>北部湾水域中华白海豚的发现位置及其可能的迁移路线图</w:t>
      </w:r>
    </w:p>
    <w:p>
      <w:pPr>
        <w:pStyle w:val="1075"/>
        <w:rPr>
          <w:color w:val="000000" w:themeColor="text1"/>
          <w:lang w:val="zh-CN"/>
          <w14:textFill>
            <w14:solidFill>
              <w14:schemeClr w14:val="tx1"/>
            </w14:solidFill>
          </w14:textFill>
        </w:rPr>
      </w:pPr>
      <w:r>
        <w:rPr>
          <w:color w:val="000000" w:themeColor="text1"/>
          <w:lang w:val="zh-CN"/>
          <w14:textFill>
            <w14:solidFill>
              <w14:schemeClr w14:val="tx1"/>
            </w14:solidFill>
          </w14:textFill>
        </w:rPr>
        <w:t>结合安徽师范大学的调查成果，北部湾中华白海豚多在中午前后觅食，其中沙田水域部分白海豚觅食区主要在儒艮保护区及邻近水域的螺桩稀疏区。</w:t>
      </w:r>
    </w:p>
    <w:p>
      <w:pPr>
        <w:pStyle w:val="1075"/>
        <w:rPr>
          <w:color w:val="000000" w:themeColor="text1"/>
          <w:lang w:val="zh-CN"/>
          <w14:textFill>
            <w14:solidFill>
              <w14:schemeClr w14:val="tx1"/>
            </w14:solidFill>
          </w14:textFill>
        </w:rPr>
      </w:pPr>
      <w:r>
        <w:rPr>
          <w:color w:val="000000" w:themeColor="text1"/>
          <w:lang w:val="zh-CN"/>
          <w14:textFill>
            <w14:solidFill>
              <w14:schemeClr w14:val="tx1"/>
            </w14:solidFill>
          </w14:textFill>
        </w:rPr>
        <w:t>2005年1月，著名动物学家潘文石教授在广西钦州三娘湾成立了北京大学钦州湾中华白海豚保护研究基地，根据该基地统计结果，钦州湾中华白海豚种群的个体数量已由2004年的90多头增至2016年底的220头，这与南京师范大学的调查成果总体一致。该基地科研人员研究认为，受临港工业、滩涂养殖业发展影响，以及非法电鱼、抽砂等活动对白海豚栖息地的扰动，2014年</w:t>
      </w:r>
      <w:r>
        <w:rPr>
          <w:rFonts w:hint="eastAsia"/>
          <w:color w:val="000000" w:themeColor="text1"/>
          <w:lang w:val="zh-CN"/>
          <w14:textFill>
            <w14:solidFill>
              <w14:schemeClr w14:val="tx1"/>
            </w14:solidFill>
          </w14:textFill>
        </w:rPr>
        <w:t>～</w:t>
      </w:r>
      <w:r>
        <w:rPr>
          <w:color w:val="000000" w:themeColor="text1"/>
          <w:lang w:val="zh-CN"/>
          <w14:textFill>
            <w14:solidFill>
              <w14:schemeClr w14:val="tx1"/>
            </w14:solidFill>
          </w14:textFill>
        </w:rPr>
        <w:t>2016年观测到北部湾中华白海豚分布区整体向东移动，但目前北部湾中华白海豚仍是一个年</w:t>
      </w:r>
      <w:r>
        <w:rPr>
          <w:rFonts w:hint="eastAsia"/>
          <w:color w:val="000000" w:themeColor="text1"/>
          <w:lang w:val="zh-CN"/>
          <w14:textFill>
            <w14:solidFill>
              <w14:schemeClr w14:val="tx1"/>
            </w14:solidFill>
          </w14:textFill>
        </w:rPr>
        <w:t>轻</w:t>
      </w:r>
      <w:r>
        <w:rPr>
          <w:color w:val="000000" w:themeColor="text1"/>
          <w:lang w:val="zh-CN"/>
          <w14:textFill>
            <w14:solidFill>
              <w14:schemeClr w14:val="tx1"/>
            </w14:solidFill>
          </w14:textFill>
        </w:rPr>
        <w:t>的、健康的群体，只要给予充分的时间和空间保证大风江淡水系统的健康及江口两侧200km</w:t>
      </w:r>
      <w:r>
        <w:rPr>
          <w:color w:val="000000" w:themeColor="text1"/>
          <w:vertAlign w:val="superscript"/>
          <w:lang w:val="zh-CN"/>
          <w14:textFill>
            <w14:solidFill>
              <w14:schemeClr w14:val="tx1"/>
            </w14:solidFill>
          </w14:textFill>
        </w:rPr>
        <w:t>2</w:t>
      </w:r>
      <w:r>
        <w:rPr>
          <w:color w:val="000000" w:themeColor="text1"/>
          <w:lang w:val="zh-CN"/>
          <w14:textFill>
            <w14:solidFill>
              <w14:schemeClr w14:val="tx1"/>
            </w14:solidFill>
          </w14:textFill>
        </w:rPr>
        <w:t>浅海海域丰富的生物多样性，这个种群就可以长期生存下去。</w:t>
      </w:r>
    </w:p>
    <w:p>
      <w:pPr>
        <w:pStyle w:val="1075"/>
        <w:ind w:firstLine="0" w:firstLineChars="0"/>
        <w:rPr>
          <w:b/>
          <w:color w:val="000000" w:themeColor="text1"/>
          <w14:textFill>
            <w14:solidFill>
              <w14:schemeClr w14:val="tx1"/>
            </w14:solidFill>
          </w14:textFill>
        </w:rPr>
      </w:pPr>
    </w:p>
    <w:p>
      <w:pPr>
        <w:pStyle w:val="553"/>
        <w:rPr>
          <w:color w:val="000000" w:themeColor="text1"/>
          <w14:textFill>
            <w14:solidFill>
              <w14:schemeClr w14:val="tx1"/>
            </w14:solidFill>
          </w14:textFill>
        </w:rPr>
      </w:pPr>
      <w:r>
        <w:rPr>
          <w:rFonts w:hint="eastAsia"/>
          <w:color w:val="000000" w:themeColor="text1"/>
          <w14:textFill>
            <w14:solidFill>
              <w14:schemeClr w14:val="tx1"/>
            </w14:solidFill>
          </w14:textFill>
        </w:rPr>
        <w:t>北部湾及三娘湾中华白海豚种群数量增长曲线（2005-2012)</w:t>
      </w:r>
    </w:p>
    <w:p>
      <w:pPr>
        <w:pStyle w:val="1075"/>
        <w:ind w:firstLine="496"/>
        <w:rPr>
          <w:b/>
          <w:color w:val="000000" w:themeColor="text1"/>
          <w14:textFill>
            <w14:solidFill>
              <w14:schemeClr w14:val="tx1"/>
            </w14:solidFill>
          </w14:textFill>
        </w:rPr>
      </w:pPr>
      <w:r>
        <w:rPr>
          <w:b/>
          <w:color w:val="000000" w:themeColor="text1"/>
          <w14:textFill>
            <w14:solidFill>
              <w14:schemeClr w14:val="tx1"/>
            </w14:solidFill>
          </w14:textFill>
        </w:rPr>
        <w:t>2、北部湾中华白海豚的保护现状</w:t>
      </w:r>
    </w:p>
    <w:p>
      <w:pPr>
        <w:pStyle w:val="1075"/>
        <w:rPr>
          <w:color w:val="000000" w:themeColor="text1"/>
          <w:lang w:val="zh-CN"/>
          <w14:textFill>
            <w14:solidFill>
              <w14:schemeClr w14:val="tx1"/>
            </w14:solidFill>
          </w14:textFill>
        </w:rPr>
      </w:pPr>
      <w:r>
        <w:rPr>
          <w:color w:val="000000" w:themeColor="text1"/>
          <w:lang w:val="zh-CN"/>
          <w14:textFill>
            <w14:solidFill>
              <w14:schemeClr w14:val="tx1"/>
            </w14:solidFill>
          </w14:textFill>
        </w:rPr>
        <w:t>近年随着沿岸港口的建设，航运事业的发达，工农业的发展，造成海洋环境的污染，加上渔业捕捞过度，鱼类资源严重减少，沿岸生态系统遭受破坏，北部湾中华白海豚因其生息在浅海沿岸水域，最易受到人类活动和沿岸渔业生产的影响，渔网混获、搁浅死亡时有发生。虽然根据南京师范大学生命科学学院的调查研究，从2011</w:t>
      </w:r>
      <w:r>
        <w:rPr>
          <w:rFonts w:hint="eastAsia"/>
          <w:color w:val="000000" w:themeColor="text1"/>
          <w:lang w:val="zh-CN"/>
          <w14:textFill>
            <w14:solidFill>
              <w14:schemeClr w14:val="tx1"/>
            </w14:solidFill>
          </w14:textFill>
        </w:rPr>
        <w:t>—</w:t>
      </w:r>
      <w:r>
        <w:rPr>
          <w:color w:val="000000" w:themeColor="text1"/>
          <w:lang w:val="zh-CN"/>
          <w14:textFill>
            <w14:solidFill>
              <w14:schemeClr w14:val="tx1"/>
            </w14:solidFill>
          </w14:textFill>
        </w:rPr>
        <w:t>2016年的调查来看，北部湾中华白海豚遇见率比较稳定，死亡个体较少，整体上来看比较稳定，钦州三娘湾发现有中华白海豚出没活动的水域，开发了三娘湾旅游度假区的特色旅游资源，但没有建立中华白海豚自然保护区。</w:t>
      </w:r>
    </w:p>
    <w:p>
      <w:pPr>
        <w:pStyle w:val="1075"/>
        <w:ind w:firstLine="496"/>
        <w:rPr>
          <w:b/>
          <w:color w:val="000000" w:themeColor="text1"/>
          <w14:textFill>
            <w14:solidFill>
              <w14:schemeClr w14:val="tx1"/>
            </w14:solidFill>
          </w14:textFill>
        </w:rPr>
      </w:pPr>
      <w:r>
        <w:rPr>
          <w:b/>
          <w:color w:val="000000" w:themeColor="text1"/>
          <w14:textFill>
            <w14:solidFill>
              <w14:schemeClr w14:val="tx1"/>
            </w14:solidFill>
          </w14:textFill>
        </w:rPr>
        <w:t>3、建设项目与北部湾中华白海豚主要活动区域关系调查</w:t>
      </w:r>
    </w:p>
    <w:p>
      <w:pPr>
        <w:pStyle w:val="1075"/>
        <w:rPr>
          <w:color w:val="000000" w:themeColor="text1"/>
          <w14:textFill>
            <w14:solidFill>
              <w14:schemeClr w14:val="tx1"/>
            </w14:solidFill>
          </w14:textFill>
        </w:rPr>
      </w:pPr>
      <w:r>
        <w:rPr>
          <w:color w:val="000000" w:themeColor="text1"/>
          <w14:textFill>
            <w14:solidFill>
              <w14:schemeClr w14:val="tx1"/>
            </w14:solidFill>
          </w14:textFill>
        </w:rPr>
        <w:t>根据现有调查资料，结合《钦州港总体规划（2035年）环境影响报告书》对钦州港港口岸线与北部湾中华白海豚主要活动区域关系的调查结果，钦州港规划的港口岸线均未进入北部湾中华白海豚主要活动区域。</w:t>
      </w:r>
    </w:p>
    <w:p>
      <w:pPr>
        <w:pStyle w:val="1075"/>
        <w:rPr>
          <w:color w:val="000000" w:themeColor="text1"/>
          <w14:textFill>
            <w14:solidFill>
              <w14:schemeClr w14:val="tx1"/>
            </w14:solidFill>
          </w14:textFill>
        </w:rPr>
      </w:pPr>
      <w:r>
        <w:rPr>
          <w:color w:val="000000" w:themeColor="text1"/>
          <w14:textFill>
            <w14:solidFill>
              <w14:schemeClr w14:val="tx1"/>
            </w14:solidFill>
          </w14:textFill>
        </w:rPr>
        <w:t>本项目与白海豚主要活动区域距离约7.3km且存在钦州港三墩作业区已建30万吨级原油码头及其进港公路（三墩公路）阻隔，本项目对该生态敏感区基本无影响。近年在项目区周边海域未发现有北部湾中华白海豚活动记录。</w:t>
      </w:r>
    </w:p>
    <w:p>
      <w:pPr>
        <w:pStyle w:val="4"/>
        <w:rPr>
          <w:color w:val="000000" w:themeColor="text1"/>
          <w14:textFill>
            <w14:solidFill>
              <w14:schemeClr w14:val="tx1"/>
            </w14:solidFill>
          </w14:textFill>
        </w:rPr>
      </w:pPr>
      <w:bookmarkStart w:id="144" w:name="_Toc170918602"/>
      <w:r>
        <w:rPr>
          <w:color w:val="000000" w:themeColor="text1"/>
          <w14:textFill>
            <w14:solidFill>
              <w14:schemeClr w14:val="tx1"/>
            </w14:solidFill>
          </w14:textFill>
        </w:rPr>
        <w:t>生态敏感区及珍稀濒危物种调查</w:t>
      </w:r>
      <w:bookmarkEnd w:id="144"/>
    </w:p>
    <w:p>
      <w:pPr>
        <w:pStyle w:val="5"/>
        <w:rPr>
          <w:color w:val="000000" w:themeColor="text1"/>
          <w14:textFill>
            <w14:solidFill>
              <w14:schemeClr w14:val="tx1"/>
            </w14:solidFill>
          </w14:textFill>
        </w:rPr>
      </w:pPr>
      <w:r>
        <w:rPr>
          <w:rFonts w:hint="eastAsia"/>
          <w:color w:val="000000" w:themeColor="text1"/>
          <w14:textFill>
            <w14:solidFill>
              <w14:schemeClr w14:val="tx1"/>
            </w14:solidFill>
          </w14:textFill>
        </w:rPr>
        <w:t>广西茅尾海红树林自治区级自然保护区</w:t>
      </w:r>
    </w:p>
    <w:p>
      <w:pPr>
        <w:pStyle w:val="283"/>
        <w:ind w:firstLine="494"/>
        <w:rPr>
          <w:color w:val="000000" w:themeColor="text1"/>
          <w14:textFill>
            <w14:solidFill>
              <w14:schemeClr w14:val="tx1"/>
            </w14:solidFill>
          </w14:textFill>
        </w:rPr>
      </w:pPr>
      <w:r>
        <w:rPr>
          <w:color w:val="000000" w:themeColor="text1"/>
          <w14:textFill>
            <w14:solidFill>
              <w14:schemeClr w14:val="tx1"/>
            </w14:solidFill>
          </w14:textFill>
        </w:rPr>
        <w:t>（一）保护区概况</w:t>
      </w:r>
    </w:p>
    <w:p>
      <w:pPr>
        <w:pStyle w:val="283"/>
        <w:ind w:firstLine="494"/>
        <w:rPr>
          <w:color w:val="000000" w:themeColor="text1"/>
          <w:lang w:val="zh-CN"/>
          <w14:textFill>
            <w14:solidFill>
              <w14:schemeClr w14:val="tx1"/>
            </w14:solidFill>
          </w14:textFill>
        </w:rPr>
      </w:pPr>
      <w:r>
        <w:rPr>
          <w:color w:val="000000" w:themeColor="text1"/>
          <w:lang w:val="zh-CN"/>
          <w14:textFill>
            <w14:solidFill>
              <w14:schemeClr w14:val="tx1"/>
            </w14:solidFill>
          </w14:textFill>
        </w:rPr>
        <w:t>2020年02月，广西壮族自治区人民政府以《广西壮族自治区人民政府关于同意广西茅尾海红树林自治区级自然保护区范围与功能区调整的批复》（桂政函〔2020〕14号）</w:t>
      </w:r>
      <w:r>
        <w:rPr>
          <w:color w:val="000000" w:themeColor="text1"/>
          <w14:textFill>
            <w14:solidFill>
              <w14:schemeClr w14:val="tx1"/>
            </w14:solidFill>
          </w14:textFill>
        </w:rPr>
        <w:t>同意调整广西茅尾海红树林自治区级自然保护区范围与功能区。调整后，保护区范围涉及康熙岭片、坚心围片、七十二泾片和大风江片4个片区，地理坐标为东经108°28′35″—108°54′26″、北纬21°44′13″—21°53′49″。保护区总面积5010.05公顷，其中核心区面积2153.2公顷、缓冲区面积1386.13公顷、实验区面积1470.72公顷。</w:t>
      </w:r>
    </w:p>
    <w:p>
      <w:pPr>
        <w:pStyle w:val="283"/>
        <w:ind w:firstLine="494"/>
        <w:rPr>
          <w:color w:val="000000" w:themeColor="text1"/>
          <w:lang w:val="zh-CN"/>
          <w14:textFill>
            <w14:solidFill>
              <w14:schemeClr w14:val="tx1"/>
            </w14:solidFill>
          </w14:textFill>
        </w:rPr>
      </w:pPr>
      <w:r>
        <w:rPr>
          <w:color w:val="000000" w:themeColor="text1"/>
          <w:lang w:val="zh-CN"/>
          <w14:textFill>
            <w14:solidFill>
              <w14:schemeClr w14:val="tx1"/>
            </w14:solidFill>
          </w14:textFill>
        </w:rPr>
        <w:t>保护区主要红树林植被类型有秋茄林、桐花树林、白骨壤林、海漆林、黄槿林、无瓣海桑林、老鼠簕群。保护区资源十分丰富，目前已知有维管束植物有82科228属294种。其中：蕨类植物9科10属13种，裸子植物1科1属2种，被子植物72科217属279种。没有发现有国家重点保护的野生植物。</w:t>
      </w:r>
    </w:p>
    <w:p>
      <w:pPr>
        <w:pStyle w:val="283"/>
        <w:ind w:firstLine="494"/>
        <w:rPr>
          <w:color w:val="000000" w:themeColor="text1"/>
          <w:lang w:val="zh-CN"/>
          <w14:textFill>
            <w14:solidFill>
              <w14:schemeClr w14:val="tx1"/>
            </w14:solidFill>
          </w14:textFill>
        </w:rPr>
      </w:pPr>
      <w:r>
        <w:rPr>
          <w:color w:val="000000" w:themeColor="text1"/>
          <w:lang w:val="zh-CN"/>
          <w14:textFill>
            <w14:solidFill>
              <w14:schemeClr w14:val="tx1"/>
            </w14:solidFill>
          </w14:textFill>
        </w:rPr>
        <w:t>保护区有红树植物13科17种，占全国红树植物种类的45.9%，其中真红树植物8科10种，半红树植物6科7种。在真红树植物中，乡土红树植物6科7种，分别为红树科的木榄、秋茄、红海榄；卤蕨科的卤蕨；使君子科的榄李；紫金牛科的桐花树；马鞭草科的白骨壤；大戟科的海漆；爵床科的老鼠簕。引种的红树植物1科1种，即海桑科的无瓣海桑。半红树植物为锦葵科的黄槿；夹竹桃科的海芒果；马鞭草科的钝叶臭黄荆和苦榔树、草海桐科的草海桐、蝶形花科的水黄皮和菊科的阔苞菊。</w:t>
      </w:r>
    </w:p>
    <w:p>
      <w:pPr>
        <w:rPr>
          <w:color w:val="000000" w:themeColor="text1"/>
          <w14:textFill>
            <w14:solidFill>
              <w14:schemeClr w14:val="tx1"/>
            </w14:solidFill>
          </w14:textFill>
        </w:rPr>
      </w:pPr>
      <w:r>
        <w:rPr>
          <w:color w:val="000000" w:themeColor="text1"/>
          <w14:textFill>
            <w14:solidFill>
              <w14:schemeClr w14:val="tx1"/>
            </w14:solidFill>
          </w14:textFill>
        </w:rPr>
        <w:t>保护区有脊椎动物216种，其中鱼类资源计有11目39科87种；两栖类动物有7种，隶属于1目5科5属；爬行类动物16种，隶属于1目7科15属；鸟类动物有15目31科103种；哺乳动物有3种，隶属于2目2科3属。</w:t>
      </w:r>
    </w:p>
    <w:tbl>
      <w:tblPr>
        <w:tblStyle w:val="89"/>
        <w:tblW w:w="883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83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8832" w:type="dxa"/>
            <w:tcBorders>
              <w:top w:val="nil"/>
              <w:left w:val="nil"/>
              <w:bottom w:val="nil"/>
              <w:right w:val="nil"/>
            </w:tcBorders>
          </w:tcPr>
          <w:p>
            <w:pPr>
              <w:rPr>
                <w:color w:val="000000" w:themeColor="text1"/>
                <w14:textFill>
                  <w14:solidFill>
                    <w14:schemeClr w14:val="tx1"/>
                  </w14:solidFill>
                </w14:textFill>
              </w:rPr>
            </w:pPr>
          </w:p>
          <w:p>
            <w:pPr>
              <w:pStyle w:val="553"/>
              <w:rPr>
                <w:color w:val="000000" w:themeColor="text1"/>
                <w14:textFill>
                  <w14:solidFill>
                    <w14:schemeClr w14:val="tx1"/>
                  </w14:solidFill>
                </w14:textFill>
              </w:rPr>
            </w:pPr>
            <w:r>
              <w:rPr>
                <w:rFonts w:hint="eastAsia"/>
                <w:color w:val="000000" w:themeColor="text1"/>
                <w14:textFill>
                  <w14:solidFill>
                    <w14:schemeClr w14:val="tx1"/>
                  </w14:solidFill>
                </w14:textFill>
              </w:rPr>
              <w:t>茅尾海红树林自然保护区位置示意图</w:t>
            </w:r>
          </w:p>
        </w:tc>
      </w:tr>
    </w:tbl>
    <w:p>
      <w:pPr>
        <w:pStyle w:val="283"/>
        <w:ind w:firstLine="494"/>
        <w:rPr>
          <w:color w:val="000000" w:themeColor="text1"/>
          <w14:textFill>
            <w14:solidFill>
              <w14:schemeClr w14:val="tx1"/>
            </w14:solidFill>
          </w14:textFill>
        </w:rPr>
      </w:pPr>
      <w:r>
        <w:rPr>
          <w:color w:val="000000" w:themeColor="text1"/>
          <w14:textFill>
            <w14:solidFill>
              <w14:schemeClr w14:val="tx1"/>
            </w14:solidFill>
          </w14:textFill>
        </w:rPr>
        <w:t>（二）项目与保护区位置关系</w:t>
      </w:r>
    </w:p>
    <w:p>
      <w:pPr>
        <w:pStyle w:val="283"/>
        <w:ind w:firstLine="494"/>
        <w:rPr>
          <w:color w:val="000000" w:themeColor="text1"/>
          <w14:textFill>
            <w14:solidFill>
              <w14:schemeClr w14:val="tx1"/>
            </w14:solidFill>
          </w14:textFill>
        </w:rPr>
      </w:pPr>
      <w:r>
        <w:rPr>
          <w:color w:val="000000" w:themeColor="text1"/>
          <w14:textFill>
            <w14:solidFill>
              <w14:schemeClr w14:val="tx1"/>
            </w14:solidFill>
          </w14:textFill>
        </w:rPr>
        <w:t>广西茅尾海红树林自治区级自然保护区七十二泾片</w:t>
      </w:r>
      <w:r>
        <w:rPr>
          <w:rFonts w:hint="eastAsia"/>
          <w:color w:val="000000" w:themeColor="text1"/>
          <w14:textFill>
            <w14:solidFill>
              <w14:schemeClr w14:val="tx1"/>
            </w14:solidFill>
          </w14:textFill>
        </w:rPr>
        <w:t>距离</w:t>
      </w:r>
      <w:r>
        <w:rPr>
          <w:color w:val="000000" w:themeColor="text1"/>
          <w14:textFill>
            <w14:solidFill>
              <w14:schemeClr w14:val="tx1"/>
            </w14:solidFill>
          </w14:textFill>
        </w:rPr>
        <w:t>本项目西北面最近距离为</w:t>
      </w:r>
      <w:r>
        <w:rPr>
          <w:rFonts w:hint="eastAsia"/>
          <w:color w:val="000000" w:themeColor="text1"/>
          <w14:textFill>
            <w14:solidFill>
              <w14:schemeClr w14:val="tx1"/>
            </w14:solidFill>
          </w14:textFill>
        </w:rPr>
        <w:t>10.6</w:t>
      </w:r>
      <w:r>
        <w:rPr>
          <w:color w:val="000000" w:themeColor="text1"/>
          <w14:textFill>
            <w14:solidFill>
              <w14:schemeClr w14:val="tx1"/>
            </w14:solidFill>
          </w14:textFill>
        </w:rPr>
        <w:t>km，茅尾海片</w:t>
      </w:r>
      <w:r>
        <w:rPr>
          <w:rFonts w:hint="eastAsia"/>
          <w:color w:val="000000" w:themeColor="text1"/>
          <w14:textFill>
            <w14:solidFill>
              <w14:schemeClr w14:val="tx1"/>
            </w14:solidFill>
          </w14:textFill>
        </w:rPr>
        <w:t>距离</w:t>
      </w:r>
      <w:r>
        <w:rPr>
          <w:color w:val="000000" w:themeColor="text1"/>
          <w14:textFill>
            <w14:solidFill>
              <w14:schemeClr w14:val="tx1"/>
            </w14:solidFill>
          </w14:textFill>
        </w:rPr>
        <w:t>本项目西北面最近距离约</w:t>
      </w:r>
      <w:r>
        <w:rPr>
          <w:rFonts w:hint="eastAsia"/>
          <w:color w:val="000000" w:themeColor="text1"/>
          <w14:textFill>
            <w14:solidFill>
              <w14:schemeClr w14:val="tx1"/>
            </w14:solidFill>
          </w14:textFill>
        </w:rPr>
        <w:t>25.0km</w:t>
      </w:r>
      <w:r>
        <w:rPr>
          <w:color w:val="000000" w:themeColor="text1"/>
          <w14:textFill>
            <w14:solidFill>
              <w14:schemeClr w14:val="tx1"/>
            </w14:solidFill>
          </w14:textFill>
        </w:rPr>
        <w:t>。</w:t>
      </w:r>
    </w:p>
    <w:p>
      <w:pPr>
        <w:pStyle w:val="5"/>
        <w:rPr>
          <w:color w:val="000000" w:themeColor="text1"/>
          <w14:textFill>
            <w14:solidFill>
              <w14:schemeClr w14:val="tx1"/>
            </w14:solidFill>
          </w14:textFill>
        </w:rPr>
      </w:pPr>
      <w:r>
        <w:rPr>
          <w:rFonts w:hint="eastAsia"/>
          <w:color w:val="000000" w:themeColor="text1"/>
          <w14:textFill>
            <w14:solidFill>
              <w14:schemeClr w14:val="tx1"/>
            </w14:solidFill>
          </w14:textFill>
        </w:rPr>
        <w:t>茅尾海国家级海洋公园</w:t>
      </w:r>
    </w:p>
    <w:p>
      <w:pPr>
        <w:pStyle w:val="283"/>
        <w:ind w:firstLine="494"/>
        <w:rPr>
          <w:color w:val="000000" w:themeColor="text1"/>
          <w14:textFill>
            <w14:solidFill>
              <w14:schemeClr w14:val="tx1"/>
            </w14:solidFill>
          </w14:textFill>
        </w:rPr>
      </w:pPr>
      <w:r>
        <w:rPr>
          <w:color w:val="000000" w:themeColor="text1"/>
          <w14:textFill>
            <w14:solidFill>
              <w14:schemeClr w14:val="tx1"/>
            </w14:solidFill>
          </w14:textFill>
        </w:rPr>
        <w:t>（一）公园概况</w:t>
      </w:r>
    </w:p>
    <w:p>
      <w:pPr>
        <w:pStyle w:val="283"/>
        <w:ind w:firstLine="494"/>
        <w:rPr>
          <w:color w:val="000000" w:themeColor="text1"/>
          <w14:textFill>
            <w14:solidFill>
              <w14:schemeClr w14:val="tx1"/>
            </w14:solidFill>
          </w14:textFill>
        </w:rPr>
      </w:pPr>
      <w:r>
        <w:rPr>
          <w:color w:val="000000" w:themeColor="text1"/>
          <w14:textFill>
            <w14:solidFill>
              <w14:schemeClr w14:val="tx1"/>
            </w14:solidFill>
          </w14:textFill>
        </w:rPr>
        <w:t>根据国家海洋局关于发布广东特呈岛国家级海洋公园等11处新建国家级海洋特别保护区名单等事项的通知（国海环字〔2011〕297号），茅尾海国家级海洋公园位于钦州市茅尾海海域。保护区边界长25.0km，南连七十二泾群岛、西临茅岭江航道、北连茅尾海红树林自然保护区、东接沙井岛航道，总面积3482.7hm</w:t>
      </w:r>
      <w:r>
        <w:rPr>
          <w:color w:val="000000" w:themeColor="text1"/>
          <w:vertAlign w:val="superscript"/>
          <w14:textFill>
            <w14:solidFill>
              <w14:schemeClr w14:val="tx1"/>
            </w14:solidFill>
          </w14:textFill>
        </w:rPr>
        <w:t>2</w:t>
      </w:r>
      <w:r>
        <w:rPr>
          <w:color w:val="000000" w:themeColor="text1"/>
          <w14:textFill>
            <w14:solidFill>
              <w14:schemeClr w14:val="tx1"/>
            </w14:solidFill>
          </w14:textFill>
        </w:rPr>
        <w:t>，其中重点保护区面积578.7hm</w:t>
      </w:r>
      <w:r>
        <w:rPr>
          <w:color w:val="000000" w:themeColor="text1"/>
          <w:vertAlign w:val="superscript"/>
          <w14:textFill>
            <w14:solidFill>
              <w14:schemeClr w14:val="tx1"/>
            </w14:solidFill>
          </w14:textFill>
        </w:rPr>
        <w:t>2</w:t>
      </w:r>
      <w:r>
        <w:rPr>
          <w:color w:val="000000" w:themeColor="text1"/>
          <w14:textFill>
            <w14:solidFill>
              <w14:schemeClr w14:val="tx1"/>
            </w14:solidFill>
          </w14:textFill>
        </w:rPr>
        <w:t>、适度利用区面积为2183.0 hm</w:t>
      </w:r>
      <w:r>
        <w:rPr>
          <w:color w:val="000000" w:themeColor="text1"/>
          <w:vertAlign w:val="superscript"/>
          <w14:textFill>
            <w14:solidFill>
              <w14:schemeClr w14:val="tx1"/>
            </w14:solidFill>
          </w14:textFill>
        </w:rPr>
        <w:t>2</w:t>
      </w:r>
      <w:r>
        <w:rPr>
          <w:color w:val="000000" w:themeColor="text1"/>
          <w14:textFill>
            <w14:solidFill>
              <w14:schemeClr w14:val="tx1"/>
            </w14:solidFill>
          </w14:textFill>
        </w:rPr>
        <w:t>、生态与资源恢复区面积为721.0 hm</w:t>
      </w:r>
      <w:r>
        <w:rPr>
          <w:color w:val="000000" w:themeColor="text1"/>
          <w:vertAlign w:val="superscript"/>
          <w14:textFill>
            <w14:solidFill>
              <w14:schemeClr w14:val="tx1"/>
            </w14:solidFill>
          </w14:textFill>
        </w:rPr>
        <w:t>2</w:t>
      </w:r>
      <w:r>
        <w:rPr>
          <w:color w:val="000000" w:themeColor="text1"/>
          <w14:textFill>
            <w14:solidFill>
              <w14:schemeClr w14:val="tx1"/>
            </w14:solidFill>
          </w14:textFill>
        </w:rPr>
        <w:t>。保护对象为红树植物、盐沼生态系统及其海洋环境，是近江牡蛎的全球种质资源保留地和我国最重要的养殖区及采苗区。</w:t>
      </w:r>
    </w:p>
    <w:p>
      <w:pPr>
        <w:pStyle w:val="283"/>
        <w:ind w:firstLine="494"/>
        <w:rPr>
          <w:color w:val="000000" w:themeColor="text1"/>
          <w14:textFill>
            <w14:solidFill>
              <w14:schemeClr w14:val="tx1"/>
            </w14:solidFill>
          </w14:textFill>
        </w:rPr>
      </w:pPr>
      <w:r>
        <w:rPr>
          <w:color w:val="000000" w:themeColor="text1"/>
          <w14:textFill>
            <w14:solidFill>
              <w14:schemeClr w14:val="tx1"/>
            </w14:solidFill>
          </w14:textFill>
        </w:rPr>
        <w:t>（二）项目与保护区位置关系</w:t>
      </w:r>
    </w:p>
    <w:p>
      <w:pPr>
        <w:pStyle w:val="283"/>
        <w:ind w:firstLine="494"/>
        <w:rPr>
          <w:color w:val="000000" w:themeColor="text1"/>
          <w14:textFill>
            <w14:solidFill>
              <w14:schemeClr w14:val="tx1"/>
            </w14:solidFill>
          </w14:textFill>
        </w:rPr>
      </w:pPr>
      <w:r>
        <w:rPr>
          <w:color w:val="000000" w:themeColor="text1"/>
          <w14:textFill>
            <w14:solidFill>
              <w14:schemeClr w14:val="tx1"/>
            </w14:solidFill>
          </w14:textFill>
        </w:rPr>
        <w:t>茅尾海国家级海洋公园位于本项目</w:t>
      </w:r>
      <w:r>
        <w:rPr>
          <w:rFonts w:hint="eastAsia"/>
          <w:color w:val="000000" w:themeColor="text1"/>
          <w14:textFill>
            <w14:solidFill>
              <w14:schemeClr w14:val="tx1"/>
            </w14:solidFill>
          </w14:textFill>
        </w:rPr>
        <w:t>西北</w:t>
      </w:r>
      <w:r>
        <w:rPr>
          <w:color w:val="000000" w:themeColor="text1"/>
          <w14:textFill>
            <w14:solidFill>
              <w14:schemeClr w14:val="tx1"/>
            </w14:solidFill>
          </w14:textFill>
        </w:rPr>
        <w:t>面约</w:t>
      </w:r>
      <w:r>
        <w:rPr>
          <w:rFonts w:hint="eastAsia"/>
          <w:color w:val="000000" w:themeColor="text1"/>
          <w14:textFill>
            <w14:solidFill>
              <w14:schemeClr w14:val="tx1"/>
            </w14:solidFill>
          </w14:textFill>
        </w:rPr>
        <w:t>17.5</w:t>
      </w:r>
      <w:r>
        <w:rPr>
          <w:color w:val="000000" w:themeColor="text1"/>
          <w14:textFill>
            <w14:solidFill>
              <w14:schemeClr w14:val="tx1"/>
            </w14:solidFill>
          </w14:textFill>
        </w:rPr>
        <w:t>km处。</w:t>
      </w:r>
    </w:p>
    <w:p>
      <w:pPr>
        <w:pStyle w:val="283"/>
        <w:ind w:firstLine="494"/>
        <w:rPr>
          <w:color w:val="000000" w:themeColor="text1"/>
          <w14:textFill>
            <w14:solidFill>
              <w14:schemeClr w14:val="tx1"/>
            </w14:solidFill>
          </w14:textFill>
        </w:rPr>
      </w:pPr>
    </w:p>
    <w:p>
      <w:pPr>
        <w:pStyle w:val="553"/>
        <w:ind w:left="7939"/>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茅尾海国家级海洋公园范围图</w:t>
      </w:r>
    </w:p>
    <w:p>
      <w:pPr>
        <w:pStyle w:val="5"/>
        <w:rPr>
          <w:color w:val="000000" w:themeColor="text1"/>
          <w14:textFill>
            <w14:solidFill>
              <w14:schemeClr w14:val="tx1"/>
            </w14:solidFill>
          </w14:textFill>
        </w:rPr>
      </w:pPr>
      <w:r>
        <w:rPr>
          <w:rFonts w:hint="eastAsia"/>
          <w:color w:val="000000" w:themeColor="text1"/>
          <w14:textFill>
            <w14:solidFill>
              <w14:schemeClr w14:val="tx1"/>
            </w14:solidFill>
          </w14:textFill>
        </w:rPr>
        <w:t>北部湾二长棘鲷长毛对虾种质资源保护区</w:t>
      </w:r>
    </w:p>
    <w:p>
      <w:pPr>
        <w:pStyle w:val="283"/>
        <w:ind w:firstLine="494"/>
        <w:rPr>
          <w:color w:val="000000" w:themeColor="text1"/>
          <w14:textFill>
            <w14:solidFill>
              <w14:schemeClr w14:val="tx1"/>
            </w14:solidFill>
          </w14:textFill>
        </w:rPr>
      </w:pPr>
      <w:r>
        <w:rPr>
          <w:color w:val="000000" w:themeColor="text1"/>
          <w14:textFill>
            <w14:solidFill>
              <w14:schemeClr w14:val="tx1"/>
            </w14:solidFill>
          </w14:textFill>
        </w:rPr>
        <w:t>（一）保护区概况</w:t>
      </w:r>
    </w:p>
    <w:p>
      <w:pPr>
        <w:pStyle w:val="283"/>
        <w:ind w:firstLine="494"/>
        <w:rPr>
          <w:color w:val="000000" w:themeColor="text1"/>
          <w14:textFill>
            <w14:solidFill>
              <w14:schemeClr w14:val="tx1"/>
            </w14:solidFill>
          </w14:textFill>
        </w:rPr>
      </w:pPr>
      <w:r>
        <w:rPr>
          <w:color w:val="000000" w:themeColor="text1"/>
          <w14:textFill>
            <w14:solidFill>
              <w14:schemeClr w14:val="tx1"/>
            </w14:solidFill>
          </w14:textFill>
        </w:rPr>
        <w:t>北部湾二长棘鲷长毛对虾国家级水产种质资源保护区是2009年农业部批准的水产种质资源保护区。位于北部湾东北部沿岸区域，由北纬21°31′线、五个拐点连线及广西壮族自治区防城港市、北海市海岸线组成，拐点坐标分别为（108°04′E，21°31′N；108°30′E，21°00′N；109°00′E，20°30′N；109°30′E，20°30′N；109°30′E，21°29′N）。核心区由五个拐点连线组成，拐点坐标分别为（108°15′E，21°15′N；108°30′E，21°00′N；109°00′E，20°30′N；109°30′E，20°30N′；109°30′E，21°15′N）；实验区由北纬21°31′线、四个拐点连线及广西壮族自治区防城港市、北海市海岸线组成，拐点坐标分别为（108°04′E，21°31N′；108°15′E，21°15′N；109°30′E，21°15′N；109°30′E，21°29′N）。</w:t>
      </w:r>
    </w:p>
    <w:p>
      <w:pPr>
        <w:pStyle w:val="283"/>
        <w:ind w:firstLine="494"/>
        <w:rPr>
          <w:color w:val="000000" w:themeColor="text1"/>
          <w14:textFill>
            <w14:solidFill>
              <w14:schemeClr w14:val="tx1"/>
            </w14:solidFill>
          </w14:textFill>
        </w:rPr>
      </w:pPr>
      <w:r>
        <w:rPr>
          <w:color w:val="000000" w:themeColor="text1"/>
          <w14:textFill>
            <w14:solidFill>
              <w14:schemeClr w14:val="tx1"/>
            </w14:solidFill>
          </w14:textFill>
        </w:rPr>
        <w:t>保护区总面积11.42km</w:t>
      </w:r>
      <w:r>
        <w:rPr>
          <w:color w:val="000000" w:themeColor="text1"/>
          <w:vertAlign w:val="superscript"/>
          <w14:textFill>
            <w14:solidFill>
              <w14:schemeClr w14:val="tx1"/>
            </w14:solidFill>
          </w14:textFill>
        </w:rPr>
        <w:t>2</w:t>
      </w:r>
      <w:r>
        <w:rPr>
          <w:color w:val="000000" w:themeColor="text1"/>
          <w14:textFill>
            <w14:solidFill>
              <w14:schemeClr w14:val="tx1"/>
            </w14:solidFill>
          </w14:textFill>
        </w:rPr>
        <w:t>，其中核心区面积8.09km</w:t>
      </w:r>
      <w:r>
        <w:rPr>
          <w:color w:val="000000" w:themeColor="text1"/>
          <w:vertAlign w:val="superscript"/>
          <w14:textFill>
            <w14:solidFill>
              <w14:schemeClr w14:val="tx1"/>
            </w14:solidFill>
          </w14:textFill>
        </w:rPr>
        <w:t>2</w:t>
      </w:r>
      <w:r>
        <w:rPr>
          <w:color w:val="000000" w:themeColor="text1"/>
          <w14:textFill>
            <w14:solidFill>
              <w14:schemeClr w14:val="tx1"/>
            </w14:solidFill>
          </w14:textFill>
        </w:rPr>
        <w:t>，实验区面积3.33km</w:t>
      </w:r>
      <w:r>
        <w:rPr>
          <w:color w:val="000000" w:themeColor="text1"/>
          <w:vertAlign w:val="superscript"/>
          <w14:textFill>
            <w14:solidFill>
              <w14:schemeClr w14:val="tx1"/>
            </w14:solidFill>
          </w14:textFill>
        </w:rPr>
        <w:t>2</w:t>
      </w:r>
      <w:r>
        <w:rPr>
          <w:color w:val="000000" w:themeColor="text1"/>
          <w14:textFill>
            <w14:solidFill>
              <w14:schemeClr w14:val="tx1"/>
            </w14:solidFill>
          </w14:textFill>
        </w:rPr>
        <w:t>。核心区特别保护期为1月15日至3月1日。</w:t>
      </w:r>
    </w:p>
    <w:p>
      <w:pPr>
        <w:pStyle w:val="283"/>
        <w:ind w:firstLine="494"/>
        <w:rPr>
          <w:color w:val="000000" w:themeColor="text1"/>
          <w14:textFill>
            <w14:solidFill>
              <w14:schemeClr w14:val="tx1"/>
            </w14:solidFill>
          </w14:textFill>
        </w:rPr>
      </w:pPr>
      <w:r>
        <w:rPr>
          <w:color w:val="000000" w:themeColor="text1"/>
          <w14:textFill>
            <w14:solidFill>
              <w14:schemeClr w14:val="tx1"/>
            </w14:solidFill>
          </w14:textFill>
        </w:rPr>
        <w:t>根据农业部第1130号公告，北部湾二长棘鲷长毛对虾国家级水产种质资源保护区主要保护对象为二长棘鲷和长毛对虾。保护区内栖息的其他物种包括金线鱼、蓝圆鲹、黄带鲱鲤、长尾大眼鲷、蛇鲻类、日本金线鱼、墨吉对虾、长足鹰爪虾、中华管鞭虾、锈斑蟳、逍遥馒头蟹、日本蟳、马氏珠母贝、方格星虫等。</w:t>
      </w:r>
    </w:p>
    <w:p>
      <w:pPr>
        <w:spacing w:line="360" w:lineRule="auto"/>
        <w:jc w:val="center"/>
        <w:rPr>
          <w:color w:val="000000" w:themeColor="text1"/>
          <w14:textFill>
            <w14:solidFill>
              <w14:schemeClr w14:val="tx1"/>
            </w14:solidFill>
          </w14:textFill>
        </w:rPr>
      </w:pPr>
    </w:p>
    <w:p>
      <w:pPr>
        <w:pStyle w:val="553"/>
        <w:ind w:left="7939"/>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北部湾二长棘鲷长毛对虾种质资源保护区范围图</w:t>
      </w:r>
    </w:p>
    <w:p>
      <w:pPr>
        <w:pStyle w:val="283"/>
        <w:ind w:firstLine="494"/>
        <w:rPr>
          <w:color w:val="000000" w:themeColor="text1"/>
          <w14:textFill>
            <w14:solidFill>
              <w14:schemeClr w14:val="tx1"/>
            </w14:solidFill>
          </w14:textFill>
        </w:rPr>
      </w:pPr>
      <w:r>
        <w:rPr>
          <w:color w:val="000000" w:themeColor="text1"/>
          <w14:textFill>
            <w14:solidFill>
              <w14:schemeClr w14:val="tx1"/>
            </w14:solidFill>
          </w14:textFill>
        </w:rPr>
        <w:t>（二）项目与保护区位置关系</w:t>
      </w:r>
    </w:p>
    <w:p>
      <w:pPr>
        <w:pStyle w:val="1075"/>
        <w:rPr>
          <w:color w:val="000000" w:themeColor="text1"/>
          <w14:textFill>
            <w14:solidFill>
              <w14:schemeClr w14:val="tx1"/>
            </w14:solidFill>
          </w14:textFill>
        </w:rPr>
      </w:pPr>
      <w:r>
        <w:rPr>
          <w:color w:val="000000" w:themeColor="text1"/>
          <w14:textFill>
            <w14:solidFill>
              <w14:schemeClr w14:val="tx1"/>
            </w14:solidFill>
          </w14:textFill>
        </w:rPr>
        <w:t>北部湾二长棘鲷长毛对虾种质资源保护区位于本项目南面约</w:t>
      </w:r>
      <w:r>
        <w:rPr>
          <w:rFonts w:hint="eastAsia"/>
          <w:color w:val="000000" w:themeColor="text1"/>
          <w14:textFill>
            <w14:solidFill>
              <w14:schemeClr w14:val="tx1"/>
            </w14:solidFill>
          </w14:textFill>
        </w:rPr>
        <w:t>16.3</w:t>
      </w:r>
      <w:r>
        <w:rPr>
          <w:color w:val="000000" w:themeColor="text1"/>
          <w14:textFill>
            <w14:solidFill>
              <w14:schemeClr w14:val="tx1"/>
            </w14:solidFill>
          </w14:textFill>
        </w:rPr>
        <w:t>km处。</w:t>
      </w:r>
    </w:p>
    <w:p>
      <w:pPr>
        <w:pStyle w:val="5"/>
        <w:rPr>
          <w:color w:val="000000" w:themeColor="text1"/>
          <w14:textFill>
            <w14:solidFill>
              <w14:schemeClr w14:val="tx1"/>
            </w14:solidFill>
          </w14:textFill>
        </w:rPr>
      </w:pPr>
      <w:r>
        <w:rPr>
          <w:color w:val="000000" w:themeColor="text1"/>
          <w14:textFill>
            <w14:solidFill>
              <w14:schemeClr w14:val="tx1"/>
            </w14:solidFill>
          </w14:textFill>
        </w:rPr>
        <w:t>红树林集中分布区</w:t>
      </w:r>
    </w:p>
    <w:p>
      <w:pPr>
        <w:pStyle w:val="1075"/>
        <w:rPr>
          <w:color w:val="000000" w:themeColor="text1"/>
          <w14:textFill>
            <w14:solidFill>
              <w14:schemeClr w14:val="tx1"/>
            </w14:solidFill>
          </w14:textFill>
        </w:rPr>
      </w:pPr>
      <w:r>
        <w:rPr>
          <w:color w:val="000000" w:themeColor="text1"/>
          <w14:textFill>
            <w14:solidFill>
              <w14:schemeClr w14:val="tx1"/>
            </w14:solidFill>
          </w14:textFill>
        </w:rPr>
        <w:t>红树林是位于热带、亚热带海路交错带的常绿阔叶林，是河口海岸生态系统中最重要的初级生产者。广西红树林海岸是广西海岸中重要的生物海岸类型，在全国也占有重要的位置，其基本特征是在潮间带上部生长着称为红树林的耐盐常绿乔木或灌木。</w:t>
      </w:r>
      <w:r>
        <w:rPr>
          <w:rFonts w:hint="eastAsia"/>
          <w:color w:val="000000" w:themeColor="text1"/>
          <w14:textFill>
            <w14:solidFill>
              <w14:schemeClr w14:val="tx1"/>
            </w14:solidFill>
          </w14:textFill>
        </w:rPr>
        <w:t>根据2019年4月自然资源部、国家林草局联合组织的红树林资源和适宜恢复地专项调查结果，广西红树林总面积9330.34 hm</w:t>
      </w:r>
      <w:r>
        <w:rPr>
          <w:rFonts w:hint="eastAsia"/>
          <w:color w:val="000000" w:themeColor="text1"/>
          <w:vertAlign w:val="superscript"/>
          <w14:textFill>
            <w14:solidFill>
              <w14:schemeClr w14:val="tx1"/>
            </w14:solidFill>
          </w14:textFill>
        </w:rPr>
        <w:t>2</w:t>
      </w:r>
      <w:r>
        <w:rPr>
          <w:rFonts w:hint="eastAsia"/>
          <w:color w:val="000000" w:themeColor="text1"/>
          <w14:textFill>
            <w14:solidFill>
              <w14:schemeClr w14:val="tx1"/>
            </w14:solidFill>
          </w14:textFill>
        </w:rPr>
        <w:t>，其中，4115.57 hm</w:t>
      </w:r>
      <w:r>
        <w:rPr>
          <w:rFonts w:hint="eastAsia"/>
          <w:color w:val="000000" w:themeColor="text1"/>
          <w:vertAlign w:val="superscript"/>
          <w14:textFill>
            <w14:solidFill>
              <w14:schemeClr w14:val="tx1"/>
            </w14:solidFill>
          </w14:textFill>
        </w:rPr>
        <w:t>2</w:t>
      </w:r>
      <w:r>
        <w:rPr>
          <w:rFonts w:hint="eastAsia"/>
          <w:color w:val="000000" w:themeColor="text1"/>
          <w14:textFill>
            <w14:solidFill>
              <w14:schemeClr w14:val="tx1"/>
            </w14:solidFill>
          </w14:textFill>
        </w:rPr>
        <w:t>（44.11%）位于自然保护地（自然保护区，海洋公园、湿地公园等自然公园，不含红树林保护小区，下同）内，5214.77 hm</w:t>
      </w:r>
      <w:r>
        <w:rPr>
          <w:rFonts w:hint="eastAsia"/>
          <w:color w:val="000000" w:themeColor="text1"/>
          <w:vertAlign w:val="superscript"/>
          <w14:textFill>
            <w14:solidFill>
              <w14:schemeClr w14:val="tx1"/>
            </w14:solidFill>
          </w14:textFill>
        </w:rPr>
        <w:t>2</w:t>
      </w:r>
      <w:r>
        <w:rPr>
          <w:rFonts w:hint="eastAsia"/>
          <w:color w:val="000000" w:themeColor="text1"/>
          <w14:textFill>
            <w14:solidFill>
              <w14:schemeClr w14:val="tx1"/>
            </w14:solidFill>
          </w14:textFill>
        </w:rPr>
        <w:t>（55.89%）位于自然保护地外。</w:t>
      </w:r>
    </w:p>
    <w:p>
      <w:pPr>
        <w:pStyle w:val="1075"/>
        <w:ind w:firstLine="496"/>
        <w:rPr>
          <w:b/>
          <w:color w:val="000000" w:themeColor="text1"/>
          <w14:textFill>
            <w14:solidFill>
              <w14:schemeClr w14:val="tx1"/>
            </w14:solidFill>
          </w14:textFill>
        </w:rPr>
      </w:pPr>
      <w:r>
        <w:rPr>
          <w:b/>
          <w:color w:val="000000" w:themeColor="text1"/>
          <w14:textFill>
            <w14:solidFill>
              <w14:schemeClr w14:val="tx1"/>
            </w14:solidFill>
          </w14:textFill>
        </w:rPr>
        <w:t>1、钦州</w:t>
      </w:r>
      <w:r>
        <w:rPr>
          <w:rFonts w:hint="eastAsia"/>
          <w:b/>
          <w:color w:val="000000" w:themeColor="text1"/>
          <w14:textFill>
            <w14:solidFill>
              <w14:schemeClr w14:val="tx1"/>
            </w14:solidFill>
          </w14:textFill>
        </w:rPr>
        <w:t>市</w:t>
      </w:r>
      <w:r>
        <w:rPr>
          <w:b/>
          <w:color w:val="000000" w:themeColor="text1"/>
          <w14:textFill>
            <w14:solidFill>
              <w14:schemeClr w14:val="tx1"/>
            </w14:solidFill>
          </w14:textFill>
        </w:rPr>
        <w:t>红树林分布状况调查</w:t>
      </w:r>
    </w:p>
    <w:p>
      <w:pPr>
        <w:pStyle w:val="1075"/>
        <w:rPr>
          <w:color w:val="000000" w:themeColor="text1"/>
          <w14:textFill>
            <w14:solidFill>
              <w14:schemeClr w14:val="tx1"/>
            </w14:solidFill>
          </w14:textFill>
        </w:rPr>
      </w:pPr>
      <w:r>
        <w:rPr>
          <w:rFonts w:hint="eastAsia"/>
          <w:color w:val="000000" w:themeColor="text1"/>
          <w14:textFill>
            <w14:solidFill>
              <w14:schemeClr w14:val="tx1"/>
            </w14:solidFill>
          </w14:textFill>
        </w:rPr>
        <w:t>以钦州市2020年国土变更调查数据为基础，衔接广西红树林资源保护规划再结合现场补充调查成果，钦州市现有红树林面积3212.82hm</w:t>
      </w:r>
      <w:r>
        <w:rPr>
          <w:rFonts w:hint="eastAsia"/>
          <w:color w:val="000000" w:themeColor="text1"/>
          <w:vertAlign w:val="superscript"/>
          <w14:textFill>
            <w14:solidFill>
              <w14:schemeClr w14:val="tx1"/>
            </w14:solidFill>
          </w14:textFill>
        </w:rPr>
        <w:t>2</w:t>
      </w:r>
      <w:r>
        <w:rPr>
          <w:rFonts w:hint="eastAsia"/>
          <w:color w:val="000000" w:themeColor="text1"/>
          <w14:textFill>
            <w14:solidFill>
              <w14:schemeClr w14:val="tx1"/>
            </w14:solidFill>
          </w14:textFill>
        </w:rPr>
        <w:t>。主要包括乔木红树林和灌木红树林两大类，其中：</w:t>
      </w:r>
      <w:r>
        <w:rPr>
          <w:color w:val="000000" w:themeColor="text1"/>
          <w14:textFill>
            <w14:solidFill>
              <w14:schemeClr w14:val="tx1"/>
            </w14:solidFill>
          </w14:textFill>
        </w:rPr>
        <w:t>（1）乔木类红树林以人工营造的无瓣海桑为主，面积494.58</w:t>
      </w:r>
      <w:r>
        <w:rPr>
          <w:rFonts w:hint="eastAsia"/>
          <w:color w:val="000000" w:themeColor="text1"/>
          <w14:textFill>
            <w14:solidFill>
              <w14:schemeClr w14:val="tx1"/>
            </w14:solidFill>
          </w14:textFill>
        </w:rPr>
        <w:t>hm</w:t>
      </w:r>
      <w:r>
        <w:rPr>
          <w:rFonts w:hint="eastAsia"/>
          <w:color w:val="000000" w:themeColor="text1"/>
          <w:vertAlign w:val="superscript"/>
          <w14:textFill>
            <w14:solidFill>
              <w14:schemeClr w14:val="tx1"/>
            </w14:solidFill>
          </w14:textFill>
        </w:rPr>
        <w:t>2</w:t>
      </w:r>
      <w:r>
        <w:rPr>
          <w:color w:val="000000" w:themeColor="text1"/>
          <w14:textFill>
            <w14:solidFill>
              <w14:schemeClr w14:val="tx1"/>
            </w14:solidFill>
          </w14:textFill>
        </w:rPr>
        <w:t>；（2）灌木类红树林包括桐花树、秋茄、白骨壤等天然或人工类型，面积2718.24</w:t>
      </w:r>
      <w:r>
        <w:rPr>
          <w:rFonts w:hint="eastAsia"/>
          <w:color w:val="000000" w:themeColor="text1"/>
          <w14:textFill>
            <w14:solidFill>
              <w14:schemeClr w14:val="tx1"/>
            </w14:solidFill>
          </w14:textFill>
        </w:rPr>
        <w:t>hm</w:t>
      </w:r>
      <w:r>
        <w:rPr>
          <w:rFonts w:hint="eastAsia"/>
          <w:color w:val="000000" w:themeColor="text1"/>
          <w:vertAlign w:val="superscript"/>
          <w14:textFill>
            <w14:solidFill>
              <w14:schemeClr w14:val="tx1"/>
            </w14:solidFill>
          </w14:textFill>
        </w:rPr>
        <w:t>2</w:t>
      </w:r>
      <w:r>
        <w:rPr>
          <w:color w:val="000000" w:themeColor="text1"/>
          <w14:textFill>
            <w14:solidFill>
              <w14:schemeClr w14:val="tx1"/>
            </w14:solidFill>
          </w14:textFill>
        </w:rPr>
        <w:t>。</w:t>
      </w:r>
    </w:p>
    <w:p>
      <w:pPr>
        <w:pStyle w:val="1075"/>
        <w:rPr>
          <w:color w:val="000000" w:themeColor="text1"/>
          <w14:textFill>
            <w14:solidFill>
              <w14:schemeClr w14:val="tx1"/>
            </w14:solidFill>
          </w14:textFill>
        </w:rPr>
      </w:pPr>
      <w:r>
        <w:rPr>
          <w:rFonts w:hint="eastAsia"/>
          <w:color w:val="000000" w:themeColor="text1"/>
          <w14:textFill>
            <w14:solidFill>
              <w14:schemeClr w14:val="tx1"/>
            </w14:solidFill>
          </w14:textFill>
        </w:rPr>
        <w:t>钦州市红树林主要分布于茅尾海、七十二泾、大风江一带近海河口，面积3212.82hm</w:t>
      </w:r>
      <w:r>
        <w:rPr>
          <w:rFonts w:hint="eastAsia"/>
          <w:color w:val="000000" w:themeColor="text1"/>
          <w:vertAlign w:val="superscript"/>
          <w14:textFill>
            <w14:solidFill>
              <w14:schemeClr w14:val="tx1"/>
            </w14:solidFill>
          </w14:textFill>
        </w:rPr>
        <w:t>2</w:t>
      </w:r>
      <w:r>
        <w:rPr>
          <w:rFonts w:hint="eastAsia"/>
          <w:color w:val="000000" w:themeColor="text1"/>
          <w14:textFill>
            <w14:solidFill>
              <w14:schemeClr w14:val="tx1"/>
            </w14:solidFill>
          </w14:textFill>
        </w:rPr>
        <w:t>。其中，自然保护地（包含广西茅尾海红树林自治区级自然保护区和广西钦州茅尾海国家级海洋公园）内红树林面积2035.24hm</w:t>
      </w:r>
      <w:r>
        <w:rPr>
          <w:rFonts w:hint="eastAsia"/>
          <w:color w:val="000000" w:themeColor="text1"/>
          <w:vertAlign w:val="superscript"/>
          <w14:textFill>
            <w14:solidFill>
              <w14:schemeClr w14:val="tx1"/>
            </w14:solidFill>
          </w14:textFill>
        </w:rPr>
        <w:t>2</w:t>
      </w:r>
      <w:r>
        <w:rPr>
          <w:rFonts w:hint="eastAsia"/>
          <w:color w:val="000000" w:themeColor="text1"/>
          <w14:textFill>
            <w14:solidFill>
              <w14:schemeClr w14:val="tx1"/>
            </w14:solidFill>
          </w14:textFill>
        </w:rPr>
        <w:t>，占全市红树林总面积63.35%；自然保护地外红树林面积1177.58 hm</w:t>
      </w:r>
      <w:r>
        <w:rPr>
          <w:rFonts w:hint="eastAsia"/>
          <w:color w:val="000000" w:themeColor="text1"/>
          <w:vertAlign w:val="superscript"/>
          <w14:textFill>
            <w14:solidFill>
              <w14:schemeClr w14:val="tx1"/>
            </w14:solidFill>
          </w14:textFill>
        </w:rPr>
        <w:t>2</w:t>
      </w:r>
      <w:r>
        <w:rPr>
          <w:rFonts w:hint="eastAsia"/>
          <w:color w:val="000000" w:themeColor="text1"/>
          <w14:textFill>
            <w14:solidFill>
              <w14:schemeClr w14:val="tx1"/>
            </w14:solidFill>
          </w14:textFill>
        </w:rPr>
        <w:t>，占全市红树林总面积36.65%。钦州市的红树林全部位于钦南区行政范围内，涉及沙埠镇、康熙岭镇、尖山街道、大番坡镇、龙门港镇、东场镇、那丽镇、犀牛脚镇（含三娘湾旅游管理区）、自贸区钦州港片区等9个乡镇（街道/开发区）。各红树林分布面积如下：</w:t>
      </w:r>
    </w:p>
    <w:p>
      <w:pPr>
        <w:pStyle w:val="1075"/>
        <w:rPr>
          <w:color w:val="000000" w:themeColor="text1"/>
          <w14:textFill>
            <w14:solidFill>
              <w14:schemeClr w14:val="tx1"/>
            </w14:solidFill>
          </w14:textFill>
        </w:rPr>
      </w:pPr>
      <w:r>
        <w:rPr>
          <w:rFonts w:hint="eastAsia"/>
          <w:color w:val="000000" w:themeColor="text1"/>
          <w14:textFill>
            <w14:solidFill>
              <w14:schemeClr w14:val="tx1"/>
            </w14:solidFill>
          </w14:textFill>
        </w:rPr>
        <w:t>（1）沙埠镇红树林面积45.12 hm</w:t>
      </w:r>
      <w:r>
        <w:rPr>
          <w:rFonts w:hint="eastAsia"/>
          <w:color w:val="000000" w:themeColor="text1"/>
          <w:vertAlign w:val="superscript"/>
          <w14:textFill>
            <w14:solidFill>
              <w14:schemeClr w14:val="tx1"/>
            </w14:solidFill>
          </w14:textFill>
        </w:rPr>
        <w:t>2</w:t>
      </w:r>
      <w:r>
        <w:rPr>
          <w:rFonts w:hint="eastAsia"/>
          <w:color w:val="000000" w:themeColor="text1"/>
          <w14:textFill>
            <w14:solidFill>
              <w14:schemeClr w14:val="tx1"/>
            </w14:solidFill>
          </w14:textFill>
        </w:rPr>
        <w:t>，占红树林总面积1.40%；</w:t>
      </w:r>
    </w:p>
    <w:p>
      <w:pPr>
        <w:pStyle w:val="1075"/>
        <w:rPr>
          <w:color w:val="000000" w:themeColor="text1"/>
          <w14:textFill>
            <w14:solidFill>
              <w14:schemeClr w14:val="tx1"/>
            </w14:solidFill>
          </w14:textFill>
        </w:rPr>
      </w:pPr>
      <w:r>
        <w:rPr>
          <w:rFonts w:hint="eastAsia"/>
          <w:color w:val="000000" w:themeColor="text1"/>
          <w14:textFill>
            <w14:solidFill>
              <w14:schemeClr w14:val="tx1"/>
            </w14:solidFill>
          </w14:textFill>
        </w:rPr>
        <w:t>（2）康熙岭镇红树林面积841.63 hm</w:t>
      </w:r>
      <w:r>
        <w:rPr>
          <w:rFonts w:hint="eastAsia"/>
          <w:color w:val="000000" w:themeColor="text1"/>
          <w:vertAlign w:val="superscript"/>
          <w14:textFill>
            <w14:solidFill>
              <w14:schemeClr w14:val="tx1"/>
            </w14:solidFill>
          </w14:textFill>
        </w:rPr>
        <w:t>2</w:t>
      </w:r>
      <w:r>
        <w:rPr>
          <w:rFonts w:hint="eastAsia"/>
          <w:color w:val="000000" w:themeColor="text1"/>
          <w14:textFill>
            <w14:solidFill>
              <w14:schemeClr w14:val="tx1"/>
            </w14:solidFill>
          </w14:textFill>
        </w:rPr>
        <w:t>，占红树林总面积26.20%；</w:t>
      </w:r>
    </w:p>
    <w:p>
      <w:pPr>
        <w:pStyle w:val="1075"/>
        <w:rPr>
          <w:color w:val="000000" w:themeColor="text1"/>
          <w14:textFill>
            <w14:solidFill>
              <w14:schemeClr w14:val="tx1"/>
            </w14:solidFill>
          </w14:textFill>
        </w:rPr>
      </w:pPr>
      <w:r>
        <w:rPr>
          <w:rFonts w:hint="eastAsia"/>
          <w:color w:val="000000" w:themeColor="text1"/>
          <w14:textFill>
            <w14:solidFill>
              <w14:schemeClr w14:val="tx1"/>
            </w14:solidFill>
          </w14:textFill>
        </w:rPr>
        <w:t>（3）尖山街道红树林面积897.88 hm</w:t>
      </w:r>
      <w:r>
        <w:rPr>
          <w:rFonts w:hint="eastAsia"/>
          <w:color w:val="000000" w:themeColor="text1"/>
          <w:vertAlign w:val="superscript"/>
          <w14:textFill>
            <w14:solidFill>
              <w14:schemeClr w14:val="tx1"/>
            </w14:solidFill>
          </w14:textFill>
        </w:rPr>
        <w:t>2</w:t>
      </w:r>
      <w:r>
        <w:rPr>
          <w:rFonts w:hint="eastAsia"/>
          <w:color w:val="000000" w:themeColor="text1"/>
          <w14:textFill>
            <w14:solidFill>
              <w14:schemeClr w14:val="tx1"/>
            </w14:solidFill>
          </w14:textFill>
        </w:rPr>
        <w:t>，占红树林总面积27.95%；</w:t>
      </w:r>
    </w:p>
    <w:p>
      <w:pPr>
        <w:pStyle w:val="1075"/>
        <w:rPr>
          <w:color w:val="000000" w:themeColor="text1"/>
          <w14:textFill>
            <w14:solidFill>
              <w14:schemeClr w14:val="tx1"/>
            </w14:solidFill>
          </w14:textFill>
        </w:rPr>
      </w:pPr>
      <w:r>
        <w:rPr>
          <w:rFonts w:hint="eastAsia"/>
          <w:color w:val="000000" w:themeColor="text1"/>
          <w14:textFill>
            <w14:solidFill>
              <w14:schemeClr w14:val="tx1"/>
            </w14:solidFill>
          </w14:textFill>
        </w:rPr>
        <w:t>（4）大番坡镇红树林面积316.01 hm</w:t>
      </w:r>
      <w:r>
        <w:rPr>
          <w:rFonts w:hint="eastAsia"/>
          <w:color w:val="000000" w:themeColor="text1"/>
          <w:vertAlign w:val="superscript"/>
          <w14:textFill>
            <w14:solidFill>
              <w14:schemeClr w14:val="tx1"/>
            </w14:solidFill>
          </w14:textFill>
        </w:rPr>
        <w:t>2</w:t>
      </w:r>
      <w:r>
        <w:rPr>
          <w:rFonts w:hint="eastAsia"/>
          <w:color w:val="000000" w:themeColor="text1"/>
          <w14:textFill>
            <w14:solidFill>
              <w14:schemeClr w14:val="tx1"/>
            </w14:solidFill>
          </w14:textFill>
        </w:rPr>
        <w:t>，占红树林总面积9.84%；</w:t>
      </w:r>
    </w:p>
    <w:p>
      <w:pPr>
        <w:pStyle w:val="1075"/>
        <w:rPr>
          <w:color w:val="000000" w:themeColor="text1"/>
          <w14:textFill>
            <w14:solidFill>
              <w14:schemeClr w14:val="tx1"/>
            </w14:solidFill>
          </w14:textFill>
        </w:rPr>
      </w:pPr>
      <w:r>
        <w:rPr>
          <w:color w:val="000000" w:themeColor="text1"/>
          <w14:textFill>
            <w14:solidFill>
              <w14:schemeClr w14:val="tx1"/>
            </w14:solidFill>
          </w14:textFill>
        </w:rPr>
        <w:t>（5）龙门港镇红树林面积68.92</w:t>
      </w:r>
      <w:r>
        <w:rPr>
          <w:rFonts w:hint="eastAsia"/>
          <w:color w:val="000000" w:themeColor="text1"/>
          <w14:textFill>
            <w14:solidFill>
              <w14:schemeClr w14:val="tx1"/>
            </w14:solidFill>
          </w14:textFill>
        </w:rPr>
        <w:t xml:space="preserve"> hm</w:t>
      </w:r>
      <w:r>
        <w:rPr>
          <w:rFonts w:hint="eastAsia"/>
          <w:color w:val="000000" w:themeColor="text1"/>
          <w:vertAlign w:val="superscript"/>
          <w14:textFill>
            <w14:solidFill>
              <w14:schemeClr w14:val="tx1"/>
            </w14:solidFill>
          </w14:textFill>
        </w:rPr>
        <w:t>2</w:t>
      </w:r>
      <w:r>
        <w:rPr>
          <w:color w:val="000000" w:themeColor="text1"/>
          <w14:textFill>
            <w14:solidFill>
              <w14:schemeClr w14:val="tx1"/>
            </w14:solidFill>
          </w14:textFill>
        </w:rPr>
        <w:t>，占红树林总面积2.15%；</w:t>
      </w:r>
    </w:p>
    <w:p>
      <w:pPr>
        <w:pStyle w:val="1075"/>
        <w:rPr>
          <w:color w:val="000000" w:themeColor="text1"/>
          <w14:textFill>
            <w14:solidFill>
              <w14:schemeClr w14:val="tx1"/>
            </w14:solidFill>
          </w14:textFill>
        </w:rPr>
      </w:pPr>
      <w:r>
        <w:rPr>
          <w:color w:val="000000" w:themeColor="text1"/>
          <w14:textFill>
            <w14:solidFill>
              <w14:schemeClr w14:val="tx1"/>
            </w14:solidFill>
          </w14:textFill>
        </w:rPr>
        <w:t>（6）东场镇红树林面积198.92</w:t>
      </w:r>
      <w:r>
        <w:rPr>
          <w:rFonts w:hint="eastAsia"/>
          <w:color w:val="000000" w:themeColor="text1"/>
          <w14:textFill>
            <w14:solidFill>
              <w14:schemeClr w14:val="tx1"/>
            </w14:solidFill>
          </w14:textFill>
        </w:rPr>
        <w:t xml:space="preserve"> hm</w:t>
      </w:r>
      <w:r>
        <w:rPr>
          <w:rFonts w:hint="eastAsia"/>
          <w:color w:val="000000" w:themeColor="text1"/>
          <w:vertAlign w:val="superscript"/>
          <w14:textFill>
            <w14:solidFill>
              <w14:schemeClr w14:val="tx1"/>
            </w14:solidFill>
          </w14:textFill>
        </w:rPr>
        <w:t>2</w:t>
      </w:r>
      <w:r>
        <w:rPr>
          <w:color w:val="000000" w:themeColor="text1"/>
          <w14:textFill>
            <w14:solidFill>
              <w14:schemeClr w14:val="tx1"/>
            </w14:solidFill>
          </w14:textFill>
        </w:rPr>
        <w:t>，占红树林总面积6.19%；</w:t>
      </w:r>
    </w:p>
    <w:p>
      <w:pPr>
        <w:pStyle w:val="1075"/>
        <w:rPr>
          <w:color w:val="000000" w:themeColor="text1"/>
          <w14:textFill>
            <w14:solidFill>
              <w14:schemeClr w14:val="tx1"/>
            </w14:solidFill>
          </w14:textFill>
        </w:rPr>
      </w:pPr>
      <w:r>
        <w:rPr>
          <w:color w:val="000000" w:themeColor="text1"/>
          <w14:textFill>
            <w14:solidFill>
              <w14:schemeClr w14:val="tx1"/>
            </w14:solidFill>
          </w14:textFill>
        </w:rPr>
        <w:t>（7）那丽镇红树林面积255.24</w:t>
      </w:r>
      <w:r>
        <w:rPr>
          <w:rFonts w:hint="eastAsia"/>
          <w:color w:val="000000" w:themeColor="text1"/>
          <w14:textFill>
            <w14:solidFill>
              <w14:schemeClr w14:val="tx1"/>
            </w14:solidFill>
          </w14:textFill>
        </w:rPr>
        <w:t xml:space="preserve"> hm</w:t>
      </w:r>
      <w:r>
        <w:rPr>
          <w:rFonts w:hint="eastAsia"/>
          <w:color w:val="000000" w:themeColor="text1"/>
          <w:vertAlign w:val="superscript"/>
          <w14:textFill>
            <w14:solidFill>
              <w14:schemeClr w14:val="tx1"/>
            </w14:solidFill>
          </w14:textFill>
        </w:rPr>
        <w:t>2</w:t>
      </w:r>
      <w:r>
        <w:rPr>
          <w:color w:val="000000" w:themeColor="text1"/>
          <w14:textFill>
            <w14:solidFill>
              <w14:schemeClr w14:val="tx1"/>
            </w14:solidFill>
          </w14:textFill>
        </w:rPr>
        <w:t>，占红树林总面积7.94%；</w:t>
      </w:r>
    </w:p>
    <w:p>
      <w:pPr>
        <w:pStyle w:val="1075"/>
        <w:rPr>
          <w:color w:val="000000" w:themeColor="text1"/>
          <w14:textFill>
            <w14:solidFill>
              <w14:schemeClr w14:val="tx1"/>
            </w14:solidFill>
          </w14:textFill>
        </w:rPr>
      </w:pPr>
      <w:r>
        <w:rPr>
          <w:color w:val="000000" w:themeColor="text1"/>
          <w14:textFill>
            <w14:solidFill>
              <w14:schemeClr w14:val="tx1"/>
            </w14:solidFill>
          </w14:textFill>
        </w:rPr>
        <w:t>（8）犀牛脚镇（含三娘湾旅游管理区）红树林面积371.59</w:t>
      </w:r>
      <w:r>
        <w:rPr>
          <w:rFonts w:hint="eastAsia"/>
          <w:color w:val="000000" w:themeColor="text1"/>
          <w14:textFill>
            <w14:solidFill>
              <w14:schemeClr w14:val="tx1"/>
            </w14:solidFill>
          </w14:textFill>
        </w:rPr>
        <w:t xml:space="preserve"> hm</w:t>
      </w:r>
      <w:r>
        <w:rPr>
          <w:rFonts w:hint="eastAsia"/>
          <w:color w:val="000000" w:themeColor="text1"/>
          <w:vertAlign w:val="superscript"/>
          <w14:textFill>
            <w14:solidFill>
              <w14:schemeClr w14:val="tx1"/>
            </w14:solidFill>
          </w14:textFill>
        </w:rPr>
        <w:t>2</w:t>
      </w:r>
      <w:r>
        <w:rPr>
          <w:color w:val="000000" w:themeColor="text1"/>
          <w14:textFill>
            <w14:solidFill>
              <w14:schemeClr w14:val="tx1"/>
            </w14:solidFill>
          </w14:textFill>
        </w:rPr>
        <w:t>，占红树林总面积11.57%；</w:t>
      </w:r>
    </w:p>
    <w:p>
      <w:pPr>
        <w:pStyle w:val="1075"/>
        <w:rPr>
          <w:color w:val="000000" w:themeColor="text1"/>
          <w14:textFill>
            <w14:solidFill>
              <w14:schemeClr w14:val="tx1"/>
            </w14:solidFill>
          </w14:textFill>
        </w:rPr>
      </w:pPr>
      <w:r>
        <w:rPr>
          <w:color w:val="000000" w:themeColor="text1"/>
          <w14:textFill>
            <w14:solidFill>
              <w14:schemeClr w14:val="tx1"/>
            </w14:solidFill>
          </w14:textFill>
        </w:rPr>
        <w:t>（9）自贸区钦州港片区红树林面积217.51</w:t>
      </w:r>
      <w:r>
        <w:rPr>
          <w:rFonts w:hint="eastAsia"/>
          <w:color w:val="000000" w:themeColor="text1"/>
          <w14:textFill>
            <w14:solidFill>
              <w14:schemeClr w14:val="tx1"/>
            </w14:solidFill>
          </w14:textFill>
        </w:rPr>
        <w:t xml:space="preserve"> hm</w:t>
      </w:r>
      <w:r>
        <w:rPr>
          <w:rFonts w:hint="eastAsia"/>
          <w:color w:val="000000" w:themeColor="text1"/>
          <w:vertAlign w:val="superscript"/>
          <w14:textFill>
            <w14:solidFill>
              <w14:schemeClr w14:val="tx1"/>
            </w14:solidFill>
          </w14:textFill>
        </w:rPr>
        <w:t>2</w:t>
      </w:r>
      <w:r>
        <w:rPr>
          <w:color w:val="000000" w:themeColor="text1"/>
          <w14:textFill>
            <w14:solidFill>
              <w14:schemeClr w14:val="tx1"/>
            </w14:solidFill>
          </w14:textFill>
        </w:rPr>
        <w:t>，占红树林总面积6.77%。</w:t>
      </w:r>
    </w:p>
    <w:p>
      <w:pPr>
        <w:pStyle w:val="1075"/>
        <w:ind w:firstLine="496"/>
        <w:rPr>
          <w:b/>
          <w:color w:val="000000" w:themeColor="text1"/>
          <w14:textFill>
            <w14:solidFill>
              <w14:schemeClr w14:val="tx1"/>
            </w14:solidFill>
          </w14:textFill>
        </w:rPr>
      </w:pPr>
      <w:r>
        <w:rPr>
          <w:b/>
          <w:color w:val="000000" w:themeColor="text1"/>
          <w14:textFill>
            <w14:solidFill>
              <w14:schemeClr w14:val="tx1"/>
            </w14:solidFill>
          </w14:textFill>
        </w:rPr>
        <w:t>2、钦州市红树林资源</w:t>
      </w:r>
      <w:r>
        <w:rPr>
          <w:rFonts w:hint="eastAsia"/>
          <w:b/>
          <w:color w:val="000000" w:themeColor="text1"/>
          <w14:textFill>
            <w14:solidFill>
              <w14:schemeClr w14:val="tx1"/>
            </w14:solidFill>
          </w14:textFill>
        </w:rPr>
        <w:t>构成</w:t>
      </w:r>
    </w:p>
    <w:p>
      <w:pPr>
        <w:pStyle w:val="1075"/>
        <w:rPr>
          <w:color w:val="000000" w:themeColor="text1"/>
          <w14:textFill>
            <w14:solidFill>
              <w14:schemeClr w14:val="tx1"/>
            </w14:solidFill>
          </w14:textFill>
        </w:rPr>
      </w:pPr>
      <w:r>
        <w:rPr>
          <w:color w:val="000000" w:themeColor="text1"/>
          <w14:textFill>
            <w14:solidFill>
              <w14:schemeClr w14:val="tx1"/>
            </w14:solidFill>
          </w14:textFill>
        </w:rPr>
        <w:t>钦州市现有红树林主要优势树种（组）为桐花树、无瓣海桑、白骨壤和秋茄，以桐花树为主。其中：</w:t>
      </w:r>
    </w:p>
    <w:p>
      <w:pPr>
        <w:pStyle w:val="1075"/>
        <w:rPr>
          <w:color w:val="000000" w:themeColor="text1"/>
          <w14:textFill>
            <w14:solidFill>
              <w14:schemeClr w14:val="tx1"/>
            </w14:solidFill>
          </w14:textFill>
        </w:rPr>
      </w:pPr>
      <w:r>
        <w:rPr>
          <w:color w:val="000000" w:themeColor="text1"/>
          <w14:textFill>
            <w14:solidFill>
              <w14:schemeClr w14:val="tx1"/>
            </w14:solidFill>
          </w14:textFill>
        </w:rPr>
        <w:t>（1）以桐花树为优势树种的红树林面积2411.06</w:t>
      </w:r>
      <w:r>
        <w:rPr>
          <w:rFonts w:hint="eastAsia"/>
          <w:color w:val="000000" w:themeColor="text1"/>
          <w14:textFill>
            <w14:solidFill>
              <w14:schemeClr w14:val="tx1"/>
            </w14:solidFill>
          </w14:textFill>
        </w:rPr>
        <w:t xml:space="preserve"> hm</w:t>
      </w:r>
      <w:r>
        <w:rPr>
          <w:rFonts w:hint="eastAsia"/>
          <w:color w:val="000000" w:themeColor="text1"/>
          <w:vertAlign w:val="superscript"/>
          <w14:textFill>
            <w14:solidFill>
              <w14:schemeClr w14:val="tx1"/>
            </w14:solidFill>
          </w14:textFill>
        </w:rPr>
        <w:t>2</w:t>
      </w:r>
      <w:r>
        <w:rPr>
          <w:color w:val="000000" w:themeColor="text1"/>
          <w14:textFill>
            <w14:solidFill>
              <w14:schemeClr w14:val="tx1"/>
            </w14:solidFill>
          </w14:textFill>
        </w:rPr>
        <w:t>，占总面积75.05%，在钦南区各乡镇均有分布，是钦州市红树林分布最广的树种；</w:t>
      </w:r>
    </w:p>
    <w:p>
      <w:pPr>
        <w:pStyle w:val="1075"/>
        <w:rPr>
          <w:color w:val="000000" w:themeColor="text1"/>
          <w14:textFill>
            <w14:solidFill>
              <w14:schemeClr w14:val="tx1"/>
            </w14:solidFill>
          </w14:textFill>
        </w:rPr>
      </w:pPr>
      <w:r>
        <w:rPr>
          <w:color w:val="000000" w:themeColor="text1"/>
          <w14:textFill>
            <w14:solidFill>
              <w14:schemeClr w14:val="tx1"/>
            </w14:solidFill>
          </w14:textFill>
        </w:rPr>
        <w:t>（2）以无瓣海桑为优势树种的红树林面积494.58</w:t>
      </w:r>
      <w:r>
        <w:rPr>
          <w:rFonts w:hint="eastAsia"/>
          <w:color w:val="000000" w:themeColor="text1"/>
          <w14:textFill>
            <w14:solidFill>
              <w14:schemeClr w14:val="tx1"/>
            </w14:solidFill>
          </w14:textFill>
        </w:rPr>
        <w:t xml:space="preserve"> hm</w:t>
      </w:r>
      <w:r>
        <w:rPr>
          <w:rFonts w:hint="eastAsia"/>
          <w:color w:val="000000" w:themeColor="text1"/>
          <w:vertAlign w:val="superscript"/>
          <w14:textFill>
            <w14:solidFill>
              <w14:schemeClr w14:val="tx1"/>
            </w14:solidFill>
          </w14:textFill>
        </w:rPr>
        <w:t>2</w:t>
      </w:r>
      <w:r>
        <w:rPr>
          <w:color w:val="000000" w:themeColor="text1"/>
          <w14:textFill>
            <w14:solidFill>
              <w14:schemeClr w14:val="tx1"/>
            </w14:solidFill>
          </w14:textFill>
        </w:rPr>
        <w:t>，占总面积15.39%；主要分布在康熙岭镇，为人工种植的引入种，自然繁殖生长能力强，种子随海水潮涨潮落漂移生根发芽，植株生长迅速，近几年无瓣海桑果甚至已随潮水侵入到远离原种植地10</w:t>
      </w:r>
      <w:r>
        <w:rPr>
          <w:rFonts w:hint="eastAsia" w:eastAsia="华文楷体"/>
          <w:color w:val="000000" w:themeColor="text1"/>
          <w14:textFill>
            <w14:solidFill>
              <w14:schemeClr w14:val="tx1"/>
            </w14:solidFill>
          </w14:textFill>
        </w:rPr>
        <w:t>km</w:t>
      </w:r>
      <w:r>
        <w:rPr>
          <w:color w:val="000000" w:themeColor="text1"/>
          <w14:textFill>
            <w14:solidFill>
              <w14:schemeClr w14:val="tx1"/>
            </w14:solidFill>
          </w14:textFill>
        </w:rPr>
        <w:t>外的尖山街道一带；</w:t>
      </w:r>
    </w:p>
    <w:p>
      <w:pPr>
        <w:pStyle w:val="1075"/>
        <w:rPr>
          <w:color w:val="000000" w:themeColor="text1"/>
          <w14:textFill>
            <w14:solidFill>
              <w14:schemeClr w14:val="tx1"/>
            </w14:solidFill>
          </w14:textFill>
        </w:rPr>
      </w:pPr>
      <w:r>
        <w:rPr>
          <w:color w:val="000000" w:themeColor="text1"/>
          <w14:textFill>
            <w14:solidFill>
              <w14:schemeClr w14:val="tx1"/>
            </w14:solidFill>
          </w14:textFill>
        </w:rPr>
        <w:t>（3）以白骨壤为优势树种的红树林面积306.43</w:t>
      </w:r>
      <w:r>
        <w:rPr>
          <w:rFonts w:hint="eastAsia"/>
          <w:color w:val="000000" w:themeColor="text1"/>
          <w14:textFill>
            <w14:solidFill>
              <w14:schemeClr w14:val="tx1"/>
            </w14:solidFill>
          </w14:textFill>
        </w:rPr>
        <w:t xml:space="preserve"> hm</w:t>
      </w:r>
      <w:r>
        <w:rPr>
          <w:rFonts w:hint="eastAsia"/>
          <w:color w:val="000000" w:themeColor="text1"/>
          <w:vertAlign w:val="superscript"/>
          <w14:textFill>
            <w14:solidFill>
              <w14:schemeClr w14:val="tx1"/>
            </w14:solidFill>
          </w14:textFill>
        </w:rPr>
        <w:t>2</w:t>
      </w:r>
      <w:r>
        <w:rPr>
          <w:color w:val="000000" w:themeColor="text1"/>
          <w14:textFill>
            <w14:solidFill>
              <w14:schemeClr w14:val="tx1"/>
            </w14:solidFill>
          </w14:textFill>
        </w:rPr>
        <w:t>，占总面积9.54%，主要分布在犀牛脚镇、龙门港镇、大番坡镇、自贸区钦州港片区，生长在盐度较大的近海河口和海湾；</w:t>
      </w:r>
    </w:p>
    <w:p>
      <w:pPr>
        <w:pStyle w:val="1075"/>
        <w:rPr>
          <w:color w:val="000000" w:themeColor="text1"/>
          <w14:textFill>
            <w14:solidFill>
              <w14:schemeClr w14:val="tx1"/>
            </w14:solidFill>
          </w14:textFill>
        </w:rPr>
      </w:pPr>
      <w:r>
        <w:rPr>
          <w:color w:val="000000" w:themeColor="text1"/>
          <w14:textFill>
            <w14:solidFill>
              <w14:schemeClr w14:val="tx1"/>
            </w14:solidFill>
          </w14:textFill>
        </w:rPr>
        <w:t>（4）以秋茄为优势树种的红树林面积0.75</w:t>
      </w:r>
      <w:r>
        <w:rPr>
          <w:rFonts w:hint="eastAsia"/>
          <w:color w:val="000000" w:themeColor="text1"/>
          <w14:textFill>
            <w14:solidFill>
              <w14:schemeClr w14:val="tx1"/>
            </w14:solidFill>
          </w14:textFill>
        </w:rPr>
        <w:t xml:space="preserve"> hm</w:t>
      </w:r>
      <w:r>
        <w:rPr>
          <w:rFonts w:hint="eastAsia"/>
          <w:color w:val="000000" w:themeColor="text1"/>
          <w:vertAlign w:val="superscript"/>
          <w14:textFill>
            <w14:solidFill>
              <w14:schemeClr w14:val="tx1"/>
            </w14:solidFill>
          </w14:textFill>
        </w:rPr>
        <w:t>2</w:t>
      </w:r>
      <w:r>
        <w:rPr>
          <w:color w:val="000000" w:themeColor="text1"/>
          <w14:textFill>
            <w14:solidFill>
              <w14:schemeClr w14:val="tx1"/>
            </w14:solidFill>
          </w14:textFill>
        </w:rPr>
        <w:t>，占总面积0.02%，主要零星分布在桐花树群落中，以人工种植的成片秋茄分布在康熙岭镇和犀牛脚镇沿海一带。</w:t>
      </w:r>
    </w:p>
    <w:p>
      <w:pPr>
        <w:pStyle w:val="1075"/>
        <w:rPr>
          <w:color w:val="000000" w:themeColor="text1"/>
          <w14:textFill>
            <w14:solidFill>
              <w14:schemeClr w14:val="tx1"/>
            </w14:solidFill>
          </w14:textFill>
        </w:rPr>
      </w:pPr>
      <w:r>
        <w:rPr>
          <w:color w:val="000000" w:themeColor="text1"/>
          <w14:textFill>
            <w14:solidFill>
              <w14:schemeClr w14:val="tx1"/>
            </w14:solidFill>
          </w14:textFill>
        </w:rPr>
        <w:t>钦州市区域内分布数量极少的红树林有木榄、老鼠簕，濒危红树林物种有红海榄、榄李。半红树植物有苦郎树、钝叶臭黄荆、海芒果、黄槿、草海桐、水黄皮、阔苞菊。分布情况如下：</w:t>
      </w:r>
    </w:p>
    <w:p>
      <w:pPr>
        <w:pStyle w:val="1075"/>
        <w:rPr>
          <w:color w:val="000000" w:themeColor="text1"/>
          <w14:textFill>
            <w14:solidFill>
              <w14:schemeClr w14:val="tx1"/>
            </w14:solidFill>
          </w14:textFill>
        </w:rPr>
      </w:pPr>
      <w:r>
        <w:rPr>
          <w:color w:val="000000" w:themeColor="text1"/>
          <w14:textFill>
            <w14:solidFill>
              <w14:schemeClr w14:val="tx1"/>
            </w14:solidFill>
          </w14:textFill>
        </w:rPr>
        <w:t>（1）木榄：主要零星分布在七十二泾一带的红树林群落内，数量较少。</w:t>
      </w:r>
    </w:p>
    <w:p>
      <w:pPr>
        <w:pStyle w:val="1075"/>
        <w:rPr>
          <w:color w:val="000000" w:themeColor="text1"/>
          <w14:textFill>
            <w14:solidFill>
              <w14:schemeClr w14:val="tx1"/>
            </w14:solidFill>
          </w14:textFill>
        </w:rPr>
      </w:pPr>
      <w:r>
        <w:rPr>
          <w:color w:val="000000" w:themeColor="text1"/>
          <w14:textFill>
            <w14:solidFill>
              <w14:schemeClr w14:val="tx1"/>
            </w14:solidFill>
          </w14:textFill>
        </w:rPr>
        <w:t>（2）老鼠簕：在坚心围一带有少量成片分布，多数为小范围零星分布在桐花树等群落中，主要位于北部湾大学南面茶山江一带。分布较广数量较少。</w:t>
      </w:r>
    </w:p>
    <w:p>
      <w:pPr>
        <w:pStyle w:val="1075"/>
        <w:rPr>
          <w:color w:val="000000" w:themeColor="text1"/>
          <w14:textFill>
            <w14:solidFill>
              <w14:schemeClr w14:val="tx1"/>
            </w14:solidFill>
          </w14:textFill>
        </w:rPr>
      </w:pPr>
      <w:r>
        <w:rPr>
          <w:color w:val="000000" w:themeColor="text1"/>
          <w14:textFill>
            <w14:solidFill>
              <w14:schemeClr w14:val="tx1"/>
            </w14:solidFill>
          </w14:textFill>
        </w:rPr>
        <w:t>（3）红海榄和榄李：主要零星分布在七十二泾一带的红树林群落内，数量较少。</w:t>
      </w:r>
    </w:p>
    <w:p>
      <w:pPr>
        <w:pStyle w:val="1075"/>
        <w:rPr>
          <w:color w:val="000000" w:themeColor="text1"/>
          <w14:textFill>
            <w14:solidFill>
              <w14:schemeClr w14:val="tx1"/>
            </w14:solidFill>
          </w14:textFill>
        </w:rPr>
      </w:pPr>
      <w:r>
        <w:rPr>
          <w:color w:val="000000" w:themeColor="text1"/>
          <w14:textFill>
            <w14:solidFill>
              <w14:schemeClr w14:val="tx1"/>
            </w14:solidFill>
          </w14:textFill>
        </w:rPr>
        <w:t>（4）海漆和黄槿：分布在江河沿岸及养殖塘周边广泛分布。两种树种混交散生在河流沿岸地势较高处。</w:t>
      </w:r>
    </w:p>
    <w:p>
      <w:pPr>
        <w:pStyle w:val="1075"/>
        <w:rPr>
          <w:color w:val="000000" w:themeColor="text1"/>
          <w14:textFill>
            <w14:solidFill>
              <w14:schemeClr w14:val="tx1"/>
            </w14:solidFill>
          </w14:textFill>
        </w:rPr>
      </w:pPr>
      <w:r>
        <w:rPr>
          <w:color w:val="000000" w:themeColor="text1"/>
          <w14:textFill>
            <w14:solidFill>
              <w14:schemeClr w14:val="tx1"/>
            </w14:solidFill>
          </w14:textFill>
        </w:rPr>
        <w:t>（5）苦郎树：规划区均有分布，集中分布在江河上、中游河岸一带，部分与桐花树混交形成桐花树+苦郎树群落。</w:t>
      </w:r>
    </w:p>
    <w:p>
      <w:pPr>
        <w:pStyle w:val="1075"/>
        <w:rPr>
          <w:b/>
          <w:bCs/>
          <w:color w:val="000000" w:themeColor="text1"/>
          <w14:textFill>
            <w14:solidFill>
              <w14:schemeClr w14:val="tx1"/>
            </w14:solidFill>
          </w14:textFill>
        </w:rPr>
      </w:pPr>
      <w:r>
        <w:rPr>
          <w:color w:val="000000" w:themeColor="text1"/>
          <w14:textFill>
            <w14:solidFill>
              <w14:schemeClr w14:val="tx1"/>
            </w14:solidFill>
          </w14:textFill>
        </w:rPr>
        <w:t>（6）钝叶臭黄荆、草海桐和阔苞菊在规划范围内的江河两岸及海岸线一带有零星分布。</w:t>
      </w:r>
    </w:p>
    <w:p>
      <w:pPr>
        <w:pStyle w:val="1075"/>
        <w:ind w:firstLine="496"/>
        <w:rPr>
          <w:b/>
          <w:color w:val="000000" w:themeColor="text1"/>
          <w14:textFill>
            <w14:solidFill>
              <w14:schemeClr w14:val="tx1"/>
            </w14:solidFill>
          </w14:textFill>
        </w:rPr>
      </w:pPr>
      <w:r>
        <w:rPr>
          <w:rFonts w:hint="eastAsia"/>
          <w:b/>
          <w:color w:val="000000" w:themeColor="text1"/>
          <w14:textFill>
            <w14:solidFill>
              <w14:schemeClr w14:val="tx1"/>
            </w14:solidFill>
          </w14:textFill>
        </w:rPr>
        <w:t>3、</w:t>
      </w:r>
      <w:r>
        <w:rPr>
          <w:b/>
          <w:color w:val="000000" w:themeColor="text1"/>
          <w14:textFill>
            <w14:solidFill>
              <w14:schemeClr w14:val="tx1"/>
            </w14:solidFill>
          </w14:textFill>
        </w:rPr>
        <w:t>钦州</w:t>
      </w:r>
      <w:r>
        <w:rPr>
          <w:rFonts w:hint="eastAsia"/>
          <w:b/>
          <w:color w:val="000000" w:themeColor="text1"/>
          <w14:textFill>
            <w14:solidFill>
              <w14:schemeClr w14:val="tx1"/>
            </w14:solidFill>
          </w14:textFill>
        </w:rPr>
        <w:t>市</w:t>
      </w:r>
      <w:r>
        <w:rPr>
          <w:b/>
          <w:color w:val="000000" w:themeColor="text1"/>
          <w14:textFill>
            <w14:solidFill>
              <w14:schemeClr w14:val="tx1"/>
            </w14:solidFill>
          </w14:textFill>
        </w:rPr>
        <w:t>红树林群落分布状况</w:t>
      </w:r>
    </w:p>
    <w:p>
      <w:pPr>
        <w:pStyle w:val="1075"/>
        <w:rPr>
          <w:color w:val="000000" w:themeColor="text1"/>
          <w14:textFill>
            <w14:solidFill>
              <w14:schemeClr w14:val="tx1"/>
            </w14:solidFill>
          </w14:textFill>
        </w:rPr>
      </w:pPr>
      <w:r>
        <w:rPr>
          <w:color w:val="000000" w:themeColor="text1"/>
          <w14:textFill>
            <w14:solidFill>
              <w14:schemeClr w14:val="tx1"/>
            </w14:solidFill>
          </w14:textFill>
        </w:rPr>
        <w:t>钦州市红树林主要群落类型有：桐花树群落、无瓣海桑群落、白骨壤群落、无瓣海桑+桐花树群落、无瓣海桑+桐花树+秋茄群落、桐花树+秋茄群落、桐花树+卤蕨群落、白骨壤+桐花树+秋茄群落、白骨壤+桐花树群落、秋茄群落和白骨壤+秋茄群落。其中：</w:t>
      </w:r>
    </w:p>
    <w:p>
      <w:pPr>
        <w:pStyle w:val="1075"/>
        <w:rPr>
          <w:color w:val="000000" w:themeColor="text1"/>
          <w14:textFill>
            <w14:solidFill>
              <w14:schemeClr w14:val="tx1"/>
            </w14:solidFill>
          </w14:textFill>
        </w:rPr>
      </w:pPr>
      <w:r>
        <w:rPr>
          <w:color w:val="000000" w:themeColor="text1"/>
          <w14:textFill>
            <w14:solidFill>
              <w14:schemeClr w14:val="tx1"/>
            </w14:solidFill>
          </w14:textFill>
        </w:rPr>
        <w:t>（1）桐花树+秋茄群落面积988.53</w:t>
      </w:r>
      <w:r>
        <w:rPr>
          <w:rFonts w:hint="eastAsia"/>
          <w:color w:val="000000" w:themeColor="text1"/>
          <w14:textFill>
            <w14:solidFill>
              <w14:schemeClr w14:val="tx1"/>
            </w14:solidFill>
          </w14:textFill>
        </w:rPr>
        <w:t xml:space="preserve"> hm</w:t>
      </w:r>
      <w:r>
        <w:rPr>
          <w:rFonts w:hint="eastAsia"/>
          <w:color w:val="000000" w:themeColor="text1"/>
          <w:vertAlign w:val="superscript"/>
          <w14:textFill>
            <w14:solidFill>
              <w14:schemeClr w14:val="tx1"/>
            </w14:solidFill>
          </w14:textFill>
        </w:rPr>
        <w:t>2</w:t>
      </w:r>
      <w:r>
        <w:rPr>
          <w:color w:val="000000" w:themeColor="text1"/>
          <w14:textFill>
            <w14:solidFill>
              <w14:schemeClr w14:val="tx1"/>
            </w14:solidFill>
          </w14:textFill>
        </w:rPr>
        <w:t>，占总面积30.76%；</w:t>
      </w:r>
    </w:p>
    <w:p>
      <w:pPr>
        <w:pStyle w:val="1075"/>
        <w:rPr>
          <w:color w:val="000000" w:themeColor="text1"/>
          <w14:textFill>
            <w14:solidFill>
              <w14:schemeClr w14:val="tx1"/>
            </w14:solidFill>
          </w14:textFill>
        </w:rPr>
      </w:pPr>
      <w:r>
        <w:rPr>
          <w:color w:val="000000" w:themeColor="text1"/>
          <w14:textFill>
            <w14:solidFill>
              <w14:schemeClr w14:val="tx1"/>
            </w14:solidFill>
          </w14:textFill>
        </w:rPr>
        <w:t>（2）桐花树群落面积822.08</w:t>
      </w:r>
      <w:r>
        <w:rPr>
          <w:rFonts w:hint="eastAsia"/>
          <w:color w:val="000000" w:themeColor="text1"/>
          <w14:textFill>
            <w14:solidFill>
              <w14:schemeClr w14:val="tx1"/>
            </w14:solidFill>
          </w14:textFill>
        </w:rPr>
        <w:t xml:space="preserve"> hm</w:t>
      </w:r>
      <w:r>
        <w:rPr>
          <w:rFonts w:hint="eastAsia"/>
          <w:color w:val="000000" w:themeColor="text1"/>
          <w:vertAlign w:val="superscript"/>
          <w14:textFill>
            <w14:solidFill>
              <w14:schemeClr w14:val="tx1"/>
            </w14:solidFill>
          </w14:textFill>
        </w:rPr>
        <w:t>2</w:t>
      </w:r>
      <w:r>
        <w:rPr>
          <w:color w:val="000000" w:themeColor="text1"/>
          <w14:textFill>
            <w14:solidFill>
              <w14:schemeClr w14:val="tx1"/>
            </w14:solidFill>
          </w14:textFill>
        </w:rPr>
        <w:t>，占总面积25.58%；</w:t>
      </w:r>
    </w:p>
    <w:p>
      <w:pPr>
        <w:pStyle w:val="1075"/>
        <w:rPr>
          <w:color w:val="000000" w:themeColor="text1"/>
          <w14:textFill>
            <w14:solidFill>
              <w14:schemeClr w14:val="tx1"/>
            </w14:solidFill>
          </w14:textFill>
        </w:rPr>
      </w:pPr>
      <w:r>
        <w:rPr>
          <w:color w:val="000000" w:themeColor="text1"/>
          <w14:textFill>
            <w14:solidFill>
              <w14:schemeClr w14:val="tx1"/>
            </w14:solidFill>
          </w14:textFill>
        </w:rPr>
        <w:t>（3）无瓣海桑群落面积30.49</w:t>
      </w:r>
      <w:r>
        <w:rPr>
          <w:rFonts w:hint="eastAsia"/>
          <w:color w:val="000000" w:themeColor="text1"/>
          <w14:textFill>
            <w14:solidFill>
              <w14:schemeClr w14:val="tx1"/>
            </w14:solidFill>
          </w14:textFill>
        </w:rPr>
        <w:t xml:space="preserve"> hm</w:t>
      </w:r>
      <w:r>
        <w:rPr>
          <w:rFonts w:hint="eastAsia"/>
          <w:color w:val="000000" w:themeColor="text1"/>
          <w:vertAlign w:val="superscript"/>
          <w14:textFill>
            <w14:solidFill>
              <w14:schemeClr w14:val="tx1"/>
            </w14:solidFill>
          </w14:textFill>
        </w:rPr>
        <w:t>2</w:t>
      </w:r>
      <w:r>
        <w:rPr>
          <w:color w:val="000000" w:themeColor="text1"/>
          <w14:textFill>
            <w14:solidFill>
              <w14:schemeClr w14:val="tx1"/>
            </w14:solidFill>
          </w14:textFill>
        </w:rPr>
        <w:t>，占总面积0.965%；</w:t>
      </w:r>
    </w:p>
    <w:p>
      <w:pPr>
        <w:pStyle w:val="1075"/>
        <w:rPr>
          <w:color w:val="000000" w:themeColor="text1"/>
          <w14:textFill>
            <w14:solidFill>
              <w14:schemeClr w14:val="tx1"/>
            </w14:solidFill>
          </w14:textFill>
        </w:rPr>
      </w:pPr>
      <w:r>
        <w:rPr>
          <w:color w:val="000000" w:themeColor="text1"/>
          <w14:textFill>
            <w14:solidFill>
              <w14:schemeClr w14:val="tx1"/>
            </w14:solidFill>
          </w14:textFill>
        </w:rPr>
        <w:t>（4）白骨壤群落面积284.29</w:t>
      </w:r>
      <w:r>
        <w:rPr>
          <w:rFonts w:hint="eastAsia"/>
          <w:color w:val="000000" w:themeColor="text1"/>
          <w14:textFill>
            <w14:solidFill>
              <w14:schemeClr w14:val="tx1"/>
            </w14:solidFill>
          </w14:textFill>
        </w:rPr>
        <w:t xml:space="preserve"> hm</w:t>
      </w:r>
      <w:r>
        <w:rPr>
          <w:rFonts w:hint="eastAsia"/>
          <w:color w:val="000000" w:themeColor="text1"/>
          <w:vertAlign w:val="superscript"/>
          <w14:textFill>
            <w14:solidFill>
              <w14:schemeClr w14:val="tx1"/>
            </w14:solidFill>
          </w14:textFill>
        </w:rPr>
        <w:t>2</w:t>
      </w:r>
      <w:r>
        <w:rPr>
          <w:color w:val="000000" w:themeColor="text1"/>
          <w14:textFill>
            <w14:solidFill>
              <w14:schemeClr w14:val="tx1"/>
            </w14:solidFill>
          </w14:textFill>
        </w:rPr>
        <w:t>，占总面积8.85%；</w:t>
      </w:r>
    </w:p>
    <w:p>
      <w:pPr>
        <w:pStyle w:val="1075"/>
        <w:rPr>
          <w:color w:val="000000" w:themeColor="text1"/>
          <w14:textFill>
            <w14:solidFill>
              <w14:schemeClr w14:val="tx1"/>
            </w14:solidFill>
          </w14:textFill>
        </w:rPr>
      </w:pPr>
      <w:r>
        <w:rPr>
          <w:color w:val="000000" w:themeColor="text1"/>
          <w14:textFill>
            <w14:solidFill>
              <w14:schemeClr w14:val="tx1"/>
            </w14:solidFill>
          </w14:textFill>
        </w:rPr>
        <w:t>（5）秋茄群落面积0.67</w:t>
      </w:r>
      <w:r>
        <w:rPr>
          <w:rFonts w:hint="eastAsia"/>
          <w:color w:val="000000" w:themeColor="text1"/>
          <w14:textFill>
            <w14:solidFill>
              <w14:schemeClr w14:val="tx1"/>
            </w14:solidFill>
          </w14:textFill>
        </w:rPr>
        <w:t xml:space="preserve"> hm</w:t>
      </w:r>
      <w:r>
        <w:rPr>
          <w:rFonts w:hint="eastAsia"/>
          <w:color w:val="000000" w:themeColor="text1"/>
          <w:vertAlign w:val="superscript"/>
          <w14:textFill>
            <w14:solidFill>
              <w14:schemeClr w14:val="tx1"/>
            </w14:solidFill>
          </w14:textFill>
        </w:rPr>
        <w:t>2</w:t>
      </w:r>
      <w:r>
        <w:rPr>
          <w:color w:val="000000" w:themeColor="text1"/>
          <w14:textFill>
            <w14:solidFill>
              <w14:schemeClr w14:val="tx1"/>
            </w14:solidFill>
          </w14:textFill>
        </w:rPr>
        <w:t>，占总面积0.02%；</w:t>
      </w:r>
    </w:p>
    <w:p>
      <w:pPr>
        <w:pStyle w:val="1075"/>
        <w:rPr>
          <w:color w:val="000000" w:themeColor="text1"/>
          <w14:textFill>
            <w14:solidFill>
              <w14:schemeClr w14:val="tx1"/>
            </w14:solidFill>
          </w14:textFill>
        </w:rPr>
      </w:pPr>
      <w:r>
        <w:rPr>
          <w:color w:val="000000" w:themeColor="text1"/>
          <w14:textFill>
            <w14:solidFill>
              <w14:schemeClr w14:val="tx1"/>
            </w14:solidFill>
          </w14:textFill>
        </w:rPr>
        <w:t>（6）无瓣海桑+桐花树群落面积572.34</w:t>
      </w:r>
      <w:r>
        <w:rPr>
          <w:rFonts w:hint="eastAsia"/>
          <w:color w:val="000000" w:themeColor="text1"/>
          <w14:textFill>
            <w14:solidFill>
              <w14:schemeClr w14:val="tx1"/>
            </w14:solidFill>
          </w14:textFill>
        </w:rPr>
        <w:t xml:space="preserve"> hm</w:t>
      </w:r>
      <w:r>
        <w:rPr>
          <w:rFonts w:hint="eastAsia"/>
          <w:color w:val="000000" w:themeColor="text1"/>
          <w:vertAlign w:val="superscript"/>
          <w14:textFill>
            <w14:solidFill>
              <w14:schemeClr w14:val="tx1"/>
            </w14:solidFill>
          </w14:textFill>
        </w:rPr>
        <w:t>2</w:t>
      </w:r>
      <w:r>
        <w:rPr>
          <w:color w:val="000000" w:themeColor="text1"/>
          <w14:textFill>
            <w14:solidFill>
              <w14:schemeClr w14:val="tx1"/>
            </w14:solidFill>
          </w14:textFill>
        </w:rPr>
        <w:t>，占总面积17.81%；</w:t>
      </w:r>
    </w:p>
    <w:p>
      <w:pPr>
        <w:pStyle w:val="1075"/>
        <w:rPr>
          <w:color w:val="000000" w:themeColor="text1"/>
          <w14:textFill>
            <w14:solidFill>
              <w14:schemeClr w14:val="tx1"/>
            </w14:solidFill>
          </w14:textFill>
        </w:rPr>
      </w:pPr>
      <w:r>
        <w:rPr>
          <w:color w:val="000000" w:themeColor="text1"/>
          <w14:textFill>
            <w14:solidFill>
              <w14:schemeClr w14:val="tx1"/>
            </w14:solidFill>
          </w14:textFill>
        </w:rPr>
        <w:t>（7）无瓣海桑+桐花树+秋茄群落面积182.11</w:t>
      </w:r>
      <w:r>
        <w:rPr>
          <w:rFonts w:hint="eastAsia"/>
          <w:color w:val="000000" w:themeColor="text1"/>
          <w14:textFill>
            <w14:solidFill>
              <w14:schemeClr w14:val="tx1"/>
            </w14:solidFill>
          </w14:textFill>
        </w:rPr>
        <w:t xml:space="preserve"> hm</w:t>
      </w:r>
      <w:r>
        <w:rPr>
          <w:rFonts w:hint="eastAsia"/>
          <w:color w:val="000000" w:themeColor="text1"/>
          <w:vertAlign w:val="superscript"/>
          <w14:textFill>
            <w14:solidFill>
              <w14:schemeClr w14:val="tx1"/>
            </w14:solidFill>
          </w14:textFill>
        </w:rPr>
        <w:t>2</w:t>
      </w:r>
      <w:r>
        <w:rPr>
          <w:color w:val="000000" w:themeColor="text1"/>
          <w14:textFill>
            <w14:solidFill>
              <w14:schemeClr w14:val="tx1"/>
            </w14:solidFill>
          </w14:textFill>
        </w:rPr>
        <w:t>，占总面积5.67%；</w:t>
      </w:r>
    </w:p>
    <w:p>
      <w:pPr>
        <w:pStyle w:val="1075"/>
        <w:rPr>
          <w:color w:val="000000" w:themeColor="text1"/>
          <w14:textFill>
            <w14:solidFill>
              <w14:schemeClr w14:val="tx1"/>
            </w14:solidFill>
          </w14:textFill>
        </w:rPr>
      </w:pPr>
      <w:r>
        <w:rPr>
          <w:color w:val="000000" w:themeColor="text1"/>
          <w14:textFill>
            <w14:solidFill>
              <w14:schemeClr w14:val="tx1"/>
            </w14:solidFill>
          </w14:textFill>
        </w:rPr>
        <w:t>（8）桐花树+卤蕨群落面积24.87</w:t>
      </w:r>
      <w:r>
        <w:rPr>
          <w:rFonts w:hint="eastAsia"/>
          <w:color w:val="000000" w:themeColor="text1"/>
          <w14:textFill>
            <w14:solidFill>
              <w14:schemeClr w14:val="tx1"/>
            </w14:solidFill>
          </w14:textFill>
        </w:rPr>
        <w:t xml:space="preserve"> hm</w:t>
      </w:r>
      <w:r>
        <w:rPr>
          <w:rFonts w:hint="eastAsia"/>
          <w:color w:val="000000" w:themeColor="text1"/>
          <w:vertAlign w:val="superscript"/>
          <w14:textFill>
            <w14:solidFill>
              <w14:schemeClr w14:val="tx1"/>
            </w14:solidFill>
          </w14:textFill>
        </w:rPr>
        <w:t>2</w:t>
      </w:r>
      <w:r>
        <w:rPr>
          <w:color w:val="000000" w:themeColor="text1"/>
          <w14:textFill>
            <w14:solidFill>
              <w14:schemeClr w14:val="tx1"/>
            </w14:solidFill>
          </w14:textFill>
        </w:rPr>
        <w:t>，占总面积0.77%；</w:t>
      </w:r>
    </w:p>
    <w:p>
      <w:pPr>
        <w:pStyle w:val="1075"/>
        <w:rPr>
          <w:color w:val="000000" w:themeColor="text1"/>
          <w14:textFill>
            <w14:solidFill>
              <w14:schemeClr w14:val="tx1"/>
            </w14:solidFill>
          </w14:textFill>
        </w:rPr>
      </w:pPr>
      <w:r>
        <w:rPr>
          <w:color w:val="000000" w:themeColor="text1"/>
          <w14:textFill>
            <w14:solidFill>
              <w14:schemeClr w14:val="tx1"/>
            </w14:solidFill>
          </w14:textFill>
        </w:rPr>
        <w:t>（9）白骨壤+桐花树+秋茄群落面积26.25</w:t>
      </w:r>
      <w:r>
        <w:rPr>
          <w:rFonts w:hint="eastAsia"/>
          <w:color w:val="000000" w:themeColor="text1"/>
          <w14:textFill>
            <w14:solidFill>
              <w14:schemeClr w14:val="tx1"/>
            </w14:solidFill>
          </w14:textFill>
        </w:rPr>
        <w:t xml:space="preserve"> hm</w:t>
      </w:r>
      <w:r>
        <w:rPr>
          <w:rFonts w:hint="eastAsia"/>
          <w:color w:val="000000" w:themeColor="text1"/>
          <w:vertAlign w:val="superscript"/>
          <w14:textFill>
            <w14:solidFill>
              <w14:schemeClr w14:val="tx1"/>
            </w14:solidFill>
          </w14:textFill>
        </w:rPr>
        <w:t>2</w:t>
      </w:r>
      <w:r>
        <w:rPr>
          <w:color w:val="000000" w:themeColor="text1"/>
          <w14:textFill>
            <w14:solidFill>
              <w14:schemeClr w14:val="tx1"/>
            </w14:solidFill>
          </w14:textFill>
        </w:rPr>
        <w:t>，占总面积0.82%；</w:t>
      </w:r>
    </w:p>
    <w:p>
      <w:pPr>
        <w:pStyle w:val="1075"/>
        <w:rPr>
          <w:color w:val="000000" w:themeColor="text1"/>
          <w14:textFill>
            <w14:solidFill>
              <w14:schemeClr w14:val="tx1"/>
            </w14:solidFill>
          </w14:textFill>
        </w:rPr>
      </w:pPr>
      <w:r>
        <w:rPr>
          <w:color w:val="000000" w:themeColor="text1"/>
          <w14:textFill>
            <w14:solidFill>
              <w14:schemeClr w14:val="tx1"/>
            </w14:solidFill>
          </w14:textFill>
        </w:rPr>
        <w:t>（10）白骨壤+桐花树群落面积276.82</w:t>
      </w:r>
      <w:r>
        <w:rPr>
          <w:rFonts w:hint="eastAsia"/>
          <w:color w:val="000000" w:themeColor="text1"/>
          <w14:textFill>
            <w14:solidFill>
              <w14:schemeClr w14:val="tx1"/>
            </w14:solidFill>
          </w14:textFill>
        </w:rPr>
        <w:t xml:space="preserve"> hm</w:t>
      </w:r>
      <w:r>
        <w:rPr>
          <w:rFonts w:hint="eastAsia"/>
          <w:color w:val="000000" w:themeColor="text1"/>
          <w:vertAlign w:val="superscript"/>
          <w14:textFill>
            <w14:solidFill>
              <w14:schemeClr w14:val="tx1"/>
            </w14:solidFill>
          </w14:textFill>
        </w:rPr>
        <w:t>2</w:t>
      </w:r>
      <w:r>
        <w:rPr>
          <w:color w:val="000000" w:themeColor="text1"/>
          <w14:textFill>
            <w14:solidFill>
              <w14:schemeClr w14:val="tx1"/>
            </w14:solidFill>
          </w14:textFill>
        </w:rPr>
        <w:t>，占总面积8.63%；</w:t>
      </w:r>
    </w:p>
    <w:p>
      <w:pPr>
        <w:pStyle w:val="1075"/>
        <w:rPr>
          <w:color w:val="000000" w:themeColor="text1"/>
          <w14:textFill>
            <w14:solidFill>
              <w14:schemeClr w14:val="tx1"/>
            </w14:solidFill>
          </w14:textFill>
        </w:rPr>
      </w:pPr>
      <w:r>
        <w:rPr>
          <w:color w:val="000000" w:themeColor="text1"/>
          <w14:textFill>
            <w14:solidFill>
              <w14:schemeClr w14:val="tx1"/>
            </w14:solidFill>
          </w14:textFill>
        </w:rPr>
        <w:t>（11）白骨壤+秋茄群落面积0.08</w:t>
      </w:r>
      <w:r>
        <w:rPr>
          <w:rFonts w:hint="eastAsia"/>
          <w:color w:val="000000" w:themeColor="text1"/>
          <w14:textFill>
            <w14:solidFill>
              <w14:schemeClr w14:val="tx1"/>
            </w14:solidFill>
          </w14:textFill>
        </w:rPr>
        <w:t xml:space="preserve"> hm</w:t>
      </w:r>
      <w:r>
        <w:rPr>
          <w:rFonts w:hint="eastAsia"/>
          <w:color w:val="000000" w:themeColor="text1"/>
          <w:vertAlign w:val="superscript"/>
          <w14:textFill>
            <w14:solidFill>
              <w14:schemeClr w14:val="tx1"/>
            </w14:solidFill>
          </w14:textFill>
        </w:rPr>
        <w:t>2</w:t>
      </w:r>
      <w:r>
        <w:rPr>
          <w:color w:val="000000" w:themeColor="text1"/>
          <w14:textFill>
            <w14:solidFill>
              <w14:schemeClr w14:val="tx1"/>
            </w14:solidFill>
          </w14:textFill>
        </w:rPr>
        <w:t>，占总面积0.01%。</w:t>
      </w:r>
    </w:p>
    <w:p>
      <w:pPr>
        <w:pStyle w:val="1075"/>
        <w:rPr>
          <w:color w:val="000000" w:themeColor="text1"/>
          <w14:textFill>
            <w14:solidFill>
              <w14:schemeClr w14:val="tx1"/>
            </w14:solidFill>
          </w14:textFill>
        </w:rPr>
      </w:pPr>
      <w:r>
        <w:rPr>
          <w:color w:val="000000" w:themeColor="text1"/>
          <w14:textFill>
            <w14:solidFill>
              <w14:schemeClr w14:val="tx1"/>
            </w14:solidFill>
          </w14:textFill>
        </w:rPr>
        <w:t>（12）其他类型群落面积总计4.29</w:t>
      </w:r>
      <w:r>
        <w:rPr>
          <w:rFonts w:hint="eastAsia"/>
          <w:color w:val="000000" w:themeColor="text1"/>
          <w14:textFill>
            <w14:solidFill>
              <w14:schemeClr w14:val="tx1"/>
            </w14:solidFill>
          </w14:textFill>
        </w:rPr>
        <w:t xml:space="preserve"> hm</w:t>
      </w:r>
      <w:r>
        <w:rPr>
          <w:rFonts w:hint="eastAsia"/>
          <w:color w:val="000000" w:themeColor="text1"/>
          <w:vertAlign w:val="superscript"/>
          <w14:textFill>
            <w14:solidFill>
              <w14:schemeClr w14:val="tx1"/>
            </w14:solidFill>
          </w14:textFill>
        </w:rPr>
        <w:t>2</w:t>
      </w:r>
      <w:r>
        <w:rPr>
          <w:color w:val="000000" w:themeColor="text1"/>
          <w14:textFill>
            <w14:solidFill>
              <w14:schemeClr w14:val="tx1"/>
            </w14:solidFill>
          </w14:textFill>
        </w:rPr>
        <w:t>，占总面积0.12%</w:t>
      </w:r>
    </w:p>
    <w:p>
      <w:pPr>
        <w:pStyle w:val="1075"/>
        <w:ind w:firstLine="496"/>
        <w:rPr>
          <w:b/>
          <w:color w:val="000000" w:themeColor="text1"/>
          <w14:textFill>
            <w14:solidFill>
              <w14:schemeClr w14:val="tx1"/>
            </w14:solidFill>
          </w14:textFill>
        </w:rPr>
      </w:pPr>
      <w:r>
        <w:rPr>
          <w:rFonts w:hint="eastAsia"/>
          <w:b/>
          <w:color w:val="000000" w:themeColor="text1"/>
          <w14:textFill>
            <w14:solidFill>
              <w14:schemeClr w14:val="tx1"/>
            </w14:solidFill>
          </w14:textFill>
        </w:rPr>
        <w:t>4</w:t>
      </w:r>
      <w:r>
        <w:rPr>
          <w:b/>
          <w:color w:val="000000" w:themeColor="text1"/>
          <w14:textFill>
            <w14:solidFill>
              <w14:schemeClr w14:val="tx1"/>
            </w14:solidFill>
          </w14:textFill>
        </w:rPr>
        <w:t>、项目与红树林斑块关系调查</w:t>
      </w:r>
    </w:p>
    <w:p>
      <w:pPr>
        <w:pStyle w:val="1075"/>
        <w:rPr>
          <w:color w:val="000000" w:themeColor="text1"/>
          <w14:textFill>
            <w14:solidFill>
              <w14:schemeClr w14:val="tx1"/>
            </w14:solidFill>
          </w14:textFill>
        </w:rPr>
      </w:pPr>
      <w:r>
        <w:rPr>
          <w:color w:val="000000" w:themeColor="text1"/>
          <w14:textFill>
            <w14:solidFill>
              <w14:schemeClr w14:val="tx1"/>
            </w14:solidFill>
          </w14:textFill>
        </w:rPr>
        <w:t>距项目较近的红树林集中分布斑块为项目选址北面直线距离约</w:t>
      </w:r>
      <w:r>
        <w:rPr>
          <w:rFonts w:hint="eastAsia"/>
          <w:color w:val="000000" w:themeColor="text1"/>
          <w14:textFill>
            <w14:solidFill>
              <w14:schemeClr w14:val="tx1"/>
            </w14:solidFill>
          </w14:textFill>
        </w:rPr>
        <w:t>9.6</w:t>
      </w:r>
      <w:r>
        <w:rPr>
          <w:color w:val="000000" w:themeColor="text1"/>
          <w14:textFill>
            <w14:solidFill>
              <w14:schemeClr w14:val="tx1"/>
            </w14:solidFill>
          </w14:textFill>
        </w:rPr>
        <w:t>km外的金鼓江红树林集中分布斑块，东北侧直线距离约6.</w:t>
      </w:r>
      <w:r>
        <w:rPr>
          <w:rFonts w:hint="eastAsia"/>
          <w:color w:val="000000" w:themeColor="text1"/>
          <w14:textFill>
            <w14:solidFill>
              <w14:schemeClr w14:val="tx1"/>
            </w14:solidFill>
          </w14:textFill>
        </w:rPr>
        <w:t>3</w:t>
      </w:r>
      <w:r>
        <w:rPr>
          <w:color w:val="000000" w:themeColor="text1"/>
          <w14:textFill>
            <w14:solidFill>
              <w14:schemeClr w14:val="tx1"/>
            </w14:solidFill>
          </w14:textFill>
        </w:rPr>
        <w:t>km外的鹿耳环江红树林集中分布斑块，红树林斑块与本项目位置及评价范围关系见附图</w:t>
      </w:r>
      <w:r>
        <w:rPr>
          <w:rFonts w:hint="eastAsia"/>
          <w:color w:val="000000" w:themeColor="text1"/>
          <w14:textFill>
            <w14:solidFill>
              <w14:schemeClr w14:val="tx1"/>
            </w14:solidFill>
          </w14:textFill>
        </w:rPr>
        <w:t>11</w:t>
      </w:r>
      <w:r>
        <w:rPr>
          <w:color w:val="000000" w:themeColor="text1"/>
          <w14:textFill>
            <w14:solidFill>
              <w14:schemeClr w14:val="tx1"/>
            </w14:solidFill>
          </w14:textFill>
        </w:rPr>
        <w:t>。本项目与金鼓江红树林集中分布</w:t>
      </w:r>
      <w:r>
        <w:rPr>
          <w:rFonts w:hint="eastAsia"/>
          <w:color w:val="000000" w:themeColor="text1"/>
          <w14:textFill>
            <w14:solidFill>
              <w14:schemeClr w14:val="tx1"/>
            </w14:solidFill>
          </w14:textFill>
        </w:rPr>
        <w:t>斑块</w:t>
      </w:r>
      <w:r>
        <w:rPr>
          <w:color w:val="000000" w:themeColor="text1"/>
          <w14:textFill>
            <w14:solidFill>
              <w14:schemeClr w14:val="tx1"/>
            </w14:solidFill>
          </w14:textFill>
        </w:rPr>
        <w:t>的水上距离约</w:t>
      </w:r>
      <w:r>
        <w:rPr>
          <w:rFonts w:hint="eastAsia"/>
          <w:color w:val="000000" w:themeColor="text1"/>
          <w14:textFill>
            <w14:solidFill>
              <w14:schemeClr w14:val="tx1"/>
            </w14:solidFill>
          </w14:textFill>
        </w:rPr>
        <w:t>10.45km，其中与本项目较近的该区域红树林斑块位于钦州港东航道对侧，有航道阻隔；本项目与鹿耳环江红树林集中分布斑块水上距离为22.1km，该区域与本项目之间有三墩港防波堤阻隔，水上距离间隔较远。</w:t>
      </w:r>
    </w:p>
    <w:p>
      <w:pPr>
        <w:pStyle w:val="553"/>
        <w:rPr>
          <w:color w:val="000000" w:themeColor="text1"/>
          <w14:textFill>
            <w14:solidFill>
              <w14:schemeClr w14:val="tx1"/>
            </w14:solidFill>
          </w14:textFill>
        </w:rPr>
      </w:pPr>
      <w:r>
        <w:rPr>
          <w:color w:val="000000" w:themeColor="text1"/>
          <w14:textFill>
            <w14:solidFill>
              <w14:schemeClr w14:val="tx1"/>
            </w14:solidFill>
          </w14:textFill>
        </w:rPr>
        <w:t>项目周边红树林斑块分布示意图</w:t>
      </w:r>
    </w:p>
    <w:p>
      <w:pPr>
        <w:pStyle w:val="5"/>
        <w:ind w:left="0" w:firstLine="0"/>
        <w:rPr>
          <w:color w:val="000000" w:themeColor="text1"/>
          <w14:textFill>
            <w14:solidFill>
              <w14:schemeClr w14:val="tx1"/>
            </w14:solidFill>
          </w14:textFill>
        </w:rPr>
      </w:pPr>
      <w:r>
        <w:rPr>
          <w:rFonts w:hint="eastAsia"/>
          <w:color w:val="000000" w:themeColor="text1"/>
          <w14:textFill>
            <w14:solidFill>
              <w14:schemeClr w14:val="tx1"/>
            </w14:solidFill>
          </w14:textFill>
        </w:rPr>
        <w:t>《钦州市国土空间总体规划（2021—2035年）》生态保护红线</w:t>
      </w:r>
    </w:p>
    <w:p>
      <w:pPr>
        <w:ind w:firstLine="462"/>
        <w:rPr>
          <w:color w:val="000000" w:themeColor="text1"/>
          <w14:textFill>
            <w14:solidFill>
              <w14:schemeClr w14:val="tx1"/>
            </w14:solidFill>
          </w14:textFill>
        </w:rPr>
      </w:pPr>
      <w:r>
        <w:rPr>
          <w:rFonts w:hint="eastAsia"/>
          <w:color w:val="000000" w:themeColor="text1"/>
          <w:u w:val="single"/>
          <w14:textFill>
            <w14:solidFill>
              <w14:schemeClr w14:val="tx1"/>
            </w14:solidFill>
          </w14:textFill>
        </w:rPr>
        <w:t>根据《钦州市国土空间总体规划（2021—2035年）》，本项目评价范围内涉及4处海洋生态保护红线，分别为钦州市鹿耳环重要滩涂及浅海水域红线区、北部湾水源涵养生态保护红线区、钦州市月亮湾海岸防护极重要区、钦州市三娘湾重要滩涂浅海水域红线区。</w:t>
      </w:r>
      <w:r>
        <w:rPr>
          <w:rFonts w:hint="eastAsia"/>
          <w:color w:val="000000" w:themeColor="text1"/>
          <w14:textFill>
            <w14:solidFill>
              <w14:schemeClr w14:val="tx1"/>
            </w14:solidFill>
          </w14:textFill>
        </w:rPr>
        <w:t>海洋生态保护红线具有特殊生态功能或生态敏感脆弱、必须强制性严格保护的海洋自然区域。《钦州市国土空间总体规划（2021—2035年）》关于海洋生态保护红线引导要求及本项目协调性分析见表3.2-1。由表3.2-1可知，本项目评价范围内涉及的海洋生态保护红线与引导要求相符。</w:t>
      </w:r>
    </w:p>
    <w:p>
      <w:pPr>
        <w:pStyle w:val="384"/>
        <w:ind w:left="0" w:firstLine="0"/>
        <w:rPr>
          <w:rFonts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评价范围内海洋生态保护红线引导要求协调性表</w:t>
      </w:r>
    </w:p>
    <w:tbl>
      <w:tblPr>
        <w:tblStyle w:val="89"/>
        <w:tblW w:w="8832" w:type="dxa"/>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1339"/>
        <w:gridCol w:w="5432"/>
        <w:gridCol w:w="2061"/>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blHeader/>
        </w:trPr>
        <w:tc>
          <w:tcPr>
            <w:tcW w:w="1339" w:type="dxa"/>
            <w:vAlign w:val="center"/>
          </w:tcPr>
          <w:p>
            <w:pPr>
              <w:widowControl/>
              <w:jc w:val="center"/>
              <w:rPr>
                <w:b/>
                <w:color w:val="000000" w:themeColor="text1"/>
                <w:kern w:val="0"/>
                <w:sz w:val="21"/>
                <w:szCs w:val="21"/>
                <w14:textFill>
                  <w14:solidFill>
                    <w14:schemeClr w14:val="tx1"/>
                  </w14:solidFill>
                </w14:textFill>
              </w:rPr>
            </w:pPr>
            <w:r>
              <w:rPr>
                <w:rFonts w:hint="eastAsia"/>
                <w:b/>
                <w:color w:val="000000" w:themeColor="text1"/>
                <w:kern w:val="0"/>
                <w:sz w:val="21"/>
                <w:szCs w:val="21"/>
                <w14:textFill>
                  <w14:solidFill>
                    <w14:schemeClr w14:val="tx1"/>
                  </w14:solidFill>
                </w14:textFill>
              </w:rPr>
              <w:t>分区类型</w:t>
            </w:r>
          </w:p>
        </w:tc>
        <w:tc>
          <w:tcPr>
            <w:tcW w:w="5432" w:type="dxa"/>
            <w:vAlign w:val="center"/>
          </w:tcPr>
          <w:p>
            <w:pPr>
              <w:widowControl/>
              <w:jc w:val="center"/>
              <w:rPr>
                <w:b/>
                <w:color w:val="000000" w:themeColor="text1"/>
                <w:kern w:val="0"/>
                <w:sz w:val="21"/>
                <w:szCs w:val="21"/>
                <w14:textFill>
                  <w14:solidFill>
                    <w14:schemeClr w14:val="tx1"/>
                  </w14:solidFill>
                </w14:textFill>
              </w:rPr>
            </w:pPr>
            <w:r>
              <w:rPr>
                <w:rFonts w:hint="eastAsia"/>
                <w:b/>
                <w:color w:val="000000" w:themeColor="text1"/>
                <w:kern w:val="0"/>
                <w:sz w:val="21"/>
                <w:szCs w:val="21"/>
                <w14:textFill>
                  <w14:solidFill>
                    <w14:schemeClr w14:val="tx1"/>
                  </w14:solidFill>
                </w14:textFill>
              </w:rPr>
              <w:t>引导要求</w:t>
            </w:r>
          </w:p>
        </w:tc>
        <w:tc>
          <w:tcPr>
            <w:tcW w:w="2061" w:type="dxa"/>
            <w:vAlign w:val="center"/>
          </w:tcPr>
          <w:p>
            <w:pPr>
              <w:widowControl/>
              <w:jc w:val="center"/>
              <w:rPr>
                <w:b/>
                <w:color w:val="000000" w:themeColor="text1"/>
                <w:kern w:val="0"/>
                <w:sz w:val="21"/>
                <w:szCs w:val="21"/>
                <w14:textFill>
                  <w14:solidFill>
                    <w14:schemeClr w14:val="tx1"/>
                  </w14:solidFill>
                </w14:textFill>
              </w:rPr>
            </w:pPr>
            <w:r>
              <w:rPr>
                <w:rFonts w:hint="eastAsia"/>
                <w:b/>
                <w:color w:val="000000" w:themeColor="text1"/>
                <w:kern w:val="0"/>
                <w:sz w:val="21"/>
                <w:szCs w:val="21"/>
                <w14:textFill>
                  <w14:solidFill>
                    <w14:schemeClr w14:val="tx1"/>
                  </w14:solidFill>
                </w14:textFill>
              </w:rPr>
              <w:t>本项目协调性</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c>
          <w:tcPr>
            <w:tcW w:w="1339" w:type="dxa"/>
            <w:vAlign w:val="center"/>
          </w:tcPr>
          <w:p>
            <w:pPr>
              <w:widowControl/>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海洋生态保护红线</w:t>
            </w:r>
          </w:p>
        </w:tc>
        <w:tc>
          <w:tcPr>
            <w:tcW w:w="5432" w:type="dxa"/>
            <w:vAlign w:val="center"/>
          </w:tcPr>
          <w:p>
            <w:pPr>
              <w:widowControl/>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1.海洋生态保护区按海洋生态红线要求管控，严格禁止开发性、生产性建设活动。原则上自然保护地核心保护区内禁止人为活动，其他区域在符合现行法律法规的前提下，除国家重大战略项目外，仅允许开展对生态功能不造成破坏的有限人为活动。</w:t>
            </w:r>
          </w:p>
          <w:p>
            <w:pPr>
              <w:widowControl/>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2.海洋生态保护红线内的海洋开发利用活动不得采取填海造地和围海的用海方式；不得开展采挖海砂、海上倾废、炸岩炸礁、填海连岛、实体坝连岛、沙滩建造永久建筑物、毁林挖塘等造成海洋自然地形、地貌改变的活动；不得开展截断洄游通道、水下爆破施工及其他可能会影响资源育幼、索饵、产卵的开发活动。</w:t>
            </w:r>
          </w:p>
        </w:tc>
        <w:tc>
          <w:tcPr>
            <w:tcW w:w="2061" w:type="dxa"/>
            <w:vAlign w:val="center"/>
          </w:tcPr>
          <w:p>
            <w:pPr>
              <w:widowControl/>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本项目工程内容不涉及海洋生态保护红线，工程距离海洋生态保护红线最近距离约5.3km，工程建设对海洋生态保护红线海域基本无直接影响，与引导要求相符。</w:t>
            </w:r>
          </w:p>
        </w:tc>
      </w:tr>
    </w:tbl>
    <w:p>
      <w:pPr>
        <w:pStyle w:val="5"/>
        <w:rPr>
          <w:color w:val="000000" w:themeColor="text1"/>
          <w14:textFill>
            <w14:solidFill>
              <w14:schemeClr w14:val="tx1"/>
            </w14:solidFill>
          </w14:textFill>
        </w:rPr>
      </w:pPr>
      <w:r>
        <w:rPr>
          <w:rFonts w:hint="eastAsia"/>
          <w:color w:val="000000" w:themeColor="text1"/>
          <w14:textFill>
            <w14:solidFill>
              <w14:schemeClr w14:val="tx1"/>
            </w14:solidFill>
          </w14:textFill>
        </w:rPr>
        <w:t>七十二泾海岛旅游度假区</w:t>
      </w:r>
    </w:p>
    <w:p>
      <w:pPr>
        <w:ind w:firstLine="462"/>
        <w:rPr>
          <w:color w:val="000000" w:themeColor="text1"/>
          <w14:textFill>
            <w14:solidFill>
              <w14:schemeClr w14:val="tx1"/>
            </w14:solidFill>
          </w14:textFill>
        </w:rPr>
      </w:pPr>
      <w:r>
        <w:rPr>
          <w:rFonts w:hint="eastAsia"/>
          <w:color w:val="000000" w:themeColor="text1"/>
          <w14:textFill>
            <w14:solidFill>
              <w14:schemeClr w14:val="tx1"/>
            </w14:solidFill>
          </w14:textFill>
        </w:rPr>
        <w:t>七十二泾海岛群位于茅尾海与钦州港之间、茅尾海的出海口，距钦州市区约20公里，距离南宁约120公里。七十二泾片区的岛屿，处于整个钦州市可开发利用岛屿面积最广阔、最集中的区域，七十二泾海岛群临近钦州港，至2005年末钦州港全港拥有生产性码头泊位35个，其中深水泊位9个，功能主要有件杂货、散货、油气、滚装、集装箱等。码头岸线总长3881米，总吞吐能力1026万吨。七十二泾海岛群风光旖旎，气候宜人，夏无酷暑，冬无严寒，海岸地貌、生物景观和人文资源丰富，为发展海洋旅游业提供了丰厚的资源。海岛周边渔业生物资源和海水养殖资源优势突出，以海岛岸线为依托的围塘养殖、底播养殖或吊排养殖等活动十分普遍。</w:t>
      </w:r>
    </w:p>
    <w:p>
      <w:pPr>
        <w:ind w:firstLine="462"/>
        <w:rPr>
          <w:color w:val="000000" w:themeColor="text1"/>
          <w:u w:val="single"/>
          <w14:textFill>
            <w14:solidFill>
              <w14:schemeClr w14:val="tx1"/>
            </w14:solidFill>
          </w14:textFill>
        </w:rPr>
      </w:pPr>
      <w:r>
        <w:rPr>
          <w:rFonts w:hint="eastAsia"/>
          <w:color w:val="000000" w:themeColor="text1"/>
          <w:u w:val="single"/>
          <w14:textFill>
            <w14:solidFill>
              <w14:schemeClr w14:val="tx1"/>
            </w14:solidFill>
          </w14:textFill>
        </w:rPr>
        <w:t>根据《钦州市七十二泾海岛群区域用岛规划》，七十二泾海岛旅游度假区南侧限制开发区位于本项目评价范围内，本项目距离该区域海域约10.66km。</w:t>
      </w:r>
    </w:p>
    <w:p>
      <w:pPr>
        <w:pStyle w:val="5"/>
        <w:rPr>
          <w:color w:val="000000" w:themeColor="text1"/>
          <w14:textFill>
            <w14:solidFill>
              <w14:schemeClr w14:val="tx1"/>
            </w14:solidFill>
          </w14:textFill>
        </w:rPr>
      </w:pPr>
      <w:r>
        <w:rPr>
          <w:color w:val="000000" w:themeColor="text1"/>
          <w14:textFill>
            <w14:solidFill>
              <w14:schemeClr w14:val="tx1"/>
            </w14:solidFill>
          </w14:textFill>
        </w:rPr>
        <w:t>养殖区</w:t>
      </w:r>
    </w:p>
    <w:p>
      <w:pPr>
        <w:ind w:firstLine="462"/>
        <w:rPr>
          <w:color w:val="000000" w:themeColor="text1"/>
          <w14:textFill>
            <w14:solidFill>
              <w14:schemeClr w14:val="tx1"/>
            </w14:solidFill>
          </w14:textFill>
        </w:rPr>
      </w:pPr>
      <w:r>
        <w:rPr>
          <w:color w:val="000000" w:themeColor="text1"/>
          <w14:textFill>
            <w14:solidFill>
              <w14:schemeClr w14:val="tx1"/>
            </w14:solidFill>
          </w14:textFill>
        </w:rPr>
        <w:t>本项目位于《钦州市养殖水域滩涂规划（2019-2030）》中划定的1.2.1-2钦州港港口航运禁养区，项目评价范围内涉及的</w:t>
      </w:r>
      <w:r>
        <w:rPr>
          <w:rFonts w:hint="eastAsia"/>
          <w:color w:val="000000" w:themeColor="text1"/>
          <w14:textFill>
            <w14:solidFill>
              <w14:schemeClr w14:val="tx1"/>
            </w14:solidFill>
          </w14:textFill>
        </w:rPr>
        <w:t>6处</w:t>
      </w:r>
      <w:r>
        <w:rPr>
          <w:color w:val="000000" w:themeColor="text1"/>
          <w14:textFill>
            <w14:solidFill>
              <w14:schemeClr w14:val="tx1"/>
            </w14:solidFill>
          </w14:textFill>
        </w:rPr>
        <w:t>养殖区划分情况详见表3.2-</w:t>
      </w:r>
      <w:r>
        <w:rPr>
          <w:rFonts w:hint="eastAsia"/>
          <w:color w:val="000000" w:themeColor="text1"/>
          <w14:textFill>
            <w14:solidFill>
              <w14:schemeClr w14:val="tx1"/>
            </w14:solidFill>
          </w14:textFill>
        </w:rPr>
        <w:t>2</w:t>
      </w:r>
      <w:r>
        <w:rPr>
          <w:color w:val="000000" w:themeColor="text1"/>
          <w14:textFill>
            <w14:solidFill>
              <w14:schemeClr w14:val="tx1"/>
            </w14:solidFill>
          </w14:textFill>
        </w:rPr>
        <w:t>。</w:t>
      </w:r>
    </w:p>
    <w:p>
      <w:pPr>
        <w:pStyle w:val="384"/>
        <w:ind w:left="1134" w:firstLine="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评价范围内涉及的养殖区划分情况及与项目位置关系一览表</w:t>
      </w:r>
    </w:p>
    <w:tbl>
      <w:tblPr>
        <w:tblStyle w:val="436"/>
        <w:tblW w:w="8738" w:type="dxa"/>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816"/>
        <w:gridCol w:w="1091"/>
        <w:gridCol w:w="2976"/>
        <w:gridCol w:w="851"/>
        <w:gridCol w:w="2127"/>
        <w:gridCol w:w="877"/>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255" w:hRule="atLeast"/>
          <w:tblHeader/>
        </w:trPr>
        <w:tc>
          <w:tcPr>
            <w:tcW w:w="816" w:type="dxa"/>
            <w:vAlign w:val="center"/>
          </w:tcPr>
          <w:p>
            <w:pPr>
              <w:pStyle w:val="2001"/>
              <w:rPr>
                <w:snapToGrid w:val="0"/>
              </w:rPr>
            </w:pPr>
            <w:r>
              <w:rPr>
                <w:snapToGrid w:val="0"/>
              </w:rPr>
              <w:t>代码</w:t>
            </w:r>
          </w:p>
        </w:tc>
        <w:tc>
          <w:tcPr>
            <w:tcW w:w="1091" w:type="dxa"/>
            <w:vAlign w:val="center"/>
          </w:tcPr>
          <w:p>
            <w:pPr>
              <w:pStyle w:val="2001"/>
              <w:rPr>
                <w:snapToGrid w:val="0"/>
              </w:rPr>
            </w:pPr>
            <w:r>
              <w:rPr>
                <w:snapToGrid w:val="0"/>
              </w:rPr>
              <w:t>功能区名称</w:t>
            </w:r>
          </w:p>
        </w:tc>
        <w:tc>
          <w:tcPr>
            <w:tcW w:w="2976" w:type="dxa"/>
            <w:vAlign w:val="center"/>
          </w:tcPr>
          <w:p>
            <w:pPr>
              <w:pStyle w:val="2001"/>
              <w:rPr>
                <w:snapToGrid w:val="0"/>
              </w:rPr>
            </w:pPr>
            <w:r>
              <w:rPr>
                <w:snapToGrid w:val="0"/>
              </w:rPr>
              <w:t>地理范围</w:t>
            </w:r>
          </w:p>
        </w:tc>
        <w:tc>
          <w:tcPr>
            <w:tcW w:w="851" w:type="dxa"/>
            <w:vAlign w:val="center"/>
          </w:tcPr>
          <w:p>
            <w:pPr>
              <w:pStyle w:val="2001"/>
              <w:rPr>
                <w:snapToGrid w:val="0"/>
              </w:rPr>
            </w:pPr>
            <w:r>
              <w:rPr>
                <w:snapToGrid w:val="0"/>
              </w:rPr>
              <w:t>面积</w:t>
            </w:r>
          </w:p>
          <w:p>
            <w:pPr>
              <w:pStyle w:val="2001"/>
              <w:rPr>
                <w:snapToGrid w:val="0"/>
              </w:rPr>
            </w:pPr>
            <w:r>
              <w:rPr>
                <w:rFonts w:hint="eastAsia"/>
                <w:snapToGrid w:val="0"/>
              </w:rPr>
              <w:t>(hm</w:t>
            </w:r>
            <w:r>
              <w:rPr>
                <w:rFonts w:hint="eastAsia"/>
                <w:snapToGrid w:val="0"/>
                <w:vertAlign w:val="superscript"/>
              </w:rPr>
              <w:t>2</w:t>
            </w:r>
            <w:r>
              <w:rPr>
                <w:rFonts w:hint="eastAsia"/>
                <w:snapToGrid w:val="0"/>
              </w:rPr>
              <w:t>)</w:t>
            </w:r>
          </w:p>
        </w:tc>
        <w:tc>
          <w:tcPr>
            <w:tcW w:w="2127" w:type="dxa"/>
            <w:vAlign w:val="center"/>
          </w:tcPr>
          <w:p>
            <w:pPr>
              <w:pStyle w:val="2001"/>
              <w:rPr>
                <w:snapToGrid w:val="0"/>
              </w:rPr>
            </w:pPr>
            <w:r>
              <w:rPr>
                <w:snapToGrid w:val="0"/>
              </w:rPr>
              <w:t>管理要求</w:t>
            </w:r>
          </w:p>
        </w:tc>
        <w:tc>
          <w:tcPr>
            <w:tcW w:w="877" w:type="dxa"/>
            <w:vAlign w:val="center"/>
          </w:tcPr>
          <w:p>
            <w:pPr>
              <w:pStyle w:val="2001"/>
              <w:rPr>
                <w:snapToGrid w:val="0"/>
              </w:rPr>
            </w:pPr>
            <w:r>
              <w:rPr>
                <w:snapToGrid w:val="0"/>
              </w:rPr>
              <w:t>与</w:t>
            </w:r>
            <w:r>
              <w:rPr>
                <w:rFonts w:hint="eastAsia"/>
                <w:snapToGrid w:val="0"/>
              </w:rPr>
              <w:t>本项目</w:t>
            </w:r>
            <w:r>
              <w:rPr>
                <w:snapToGrid w:val="0"/>
              </w:rPr>
              <w:t>位置关系</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310" w:hRule="atLeast"/>
        </w:trPr>
        <w:tc>
          <w:tcPr>
            <w:tcW w:w="816" w:type="dxa"/>
            <w:vAlign w:val="center"/>
          </w:tcPr>
          <w:p>
            <w:pPr>
              <w:pStyle w:val="2001"/>
              <w:rPr>
                <w:snapToGrid w:val="0"/>
              </w:rPr>
            </w:pPr>
            <w:r>
              <w:rPr>
                <w:rFonts w:hint="eastAsia"/>
                <w:snapToGrid w:val="0"/>
              </w:rPr>
              <w:t>3.1.1-1</w:t>
            </w:r>
          </w:p>
        </w:tc>
        <w:tc>
          <w:tcPr>
            <w:tcW w:w="1091" w:type="dxa"/>
            <w:vAlign w:val="center"/>
          </w:tcPr>
          <w:p>
            <w:pPr>
              <w:pStyle w:val="2001"/>
            </w:pPr>
            <w:r>
              <w:rPr>
                <w:rFonts w:hint="eastAsia"/>
              </w:rPr>
              <w:t>茅尾海南部浅海滩涂养殖区</w:t>
            </w:r>
          </w:p>
        </w:tc>
        <w:tc>
          <w:tcPr>
            <w:tcW w:w="2976" w:type="dxa"/>
            <w:vAlign w:val="center"/>
          </w:tcPr>
          <w:p>
            <w:pPr>
              <w:pStyle w:val="2001"/>
            </w:pPr>
            <w:r>
              <w:rPr>
                <w:rFonts w:hint="eastAsia"/>
              </w:rPr>
              <w:t>茅岭江航道以北至四方沙附近海域（</w:t>
            </w:r>
            <w:r>
              <w:t>108°31′20″；108°32′33″；21°45′36″；21°47′02″</w:t>
            </w:r>
            <w:r>
              <w:rPr>
                <w:rFonts w:hint="eastAsia"/>
              </w:rPr>
              <w:t>）</w:t>
            </w:r>
          </w:p>
        </w:tc>
        <w:tc>
          <w:tcPr>
            <w:tcW w:w="851" w:type="dxa"/>
            <w:vAlign w:val="center"/>
          </w:tcPr>
          <w:p>
            <w:pPr>
              <w:pStyle w:val="2001"/>
            </w:pPr>
            <w:r>
              <w:rPr>
                <w:rFonts w:hint="eastAsia"/>
              </w:rPr>
              <w:t>315</w:t>
            </w:r>
          </w:p>
        </w:tc>
        <w:tc>
          <w:tcPr>
            <w:tcW w:w="2127" w:type="dxa"/>
            <w:vAlign w:val="center"/>
          </w:tcPr>
          <w:p>
            <w:pPr>
              <w:pStyle w:val="2001"/>
            </w:pPr>
            <w:r>
              <w:rPr>
                <w:rFonts w:hint="eastAsia"/>
              </w:rPr>
              <w:t>近江牡蛎浮筏吊养殖。海水水质执行不劣于二类标准，海洋沉积物和海洋生物执行一类标准。</w:t>
            </w:r>
          </w:p>
        </w:tc>
        <w:tc>
          <w:tcPr>
            <w:tcW w:w="877" w:type="dxa"/>
            <w:vAlign w:val="center"/>
          </w:tcPr>
          <w:p>
            <w:pPr>
              <w:pStyle w:val="2001"/>
              <w:rPr>
                <w:snapToGrid w:val="0"/>
              </w:rPr>
            </w:pPr>
            <w:r>
              <w:rPr>
                <w:snapToGrid w:val="0"/>
              </w:rPr>
              <w:t>NW</w:t>
            </w:r>
            <w:r>
              <w:rPr>
                <w:rFonts w:hint="eastAsia"/>
                <w:snapToGrid w:val="0"/>
              </w:rPr>
              <w:t>，</w:t>
            </w:r>
          </w:p>
          <w:p>
            <w:pPr>
              <w:pStyle w:val="2001"/>
              <w:rPr>
                <w:snapToGrid w:val="0"/>
              </w:rPr>
            </w:pPr>
            <w:r>
              <w:rPr>
                <w:rFonts w:hint="eastAsia"/>
                <w:snapToGrid w:val="0"/>
              </w:rPr>
              <w:t>19.2km</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569" w:hRule="atLeast"/>
        </w:trPr>
        <w:tc>
          <w:tcPr>
            <w:tcW w:w="816" w:type="dxa"/>
            <w:vAlign w:val="center"/>
          </w:tcPr>
          <w:p>
            <w:pPr>
              <w:pStyle w:val="2001"/>
              <w:rPr>
                <w:snapToGrid w:val="0"/>
              </w:rPr>
            </w:pPr>
            <w:r>
              <w:rPr>
                <w:rFonts w:hint="eastAsia"/>
                <w:snapToGrid w:val="0"/>
              </w:rPr>
              <w:t>3.1.1-2</w:t>
            </w:r>
          </w:p>
        </w:tc>
        <w:tc>
          <w:tcPr>
            <w:tcW w:w="1091" w:type="dxa"/>
            <w:vAlign w:val="center"/>
          </w:tcPr>
          <w:p>
            <w:pPr>
              <w:pStyle w:val="2001"/>
            </w:pPr>
            <w:r>
              <w:rPr>
                <w:rFonts w:hint="eastAsia"/>
              </w:rPr>
              <w:t>龙门群岛浅海滩涂养殖区</w:t>
            </w:r>
          </w:p>
        </w:tc>
        <w:tc>
          <w:tcPr>
            <w:tcW w:w="2976" w:type="dxa"/>
            <w:vAlign w:val="center"/>
          </w:tcPr>
          <w:p>
            <w:pPr>
              <w:pStyle w:val="2001"/>
            </w:pPr>
            <w:r>
              <w:rPr>
                <w:rFonts w:hint="eastAsia"/>
              </w:rPr>
              <w:t>龙门群岛及周边海域，包括茅岭港航道南，西至平石江，南邻防城海域，东至龙门港航道的海域（</w:t>
            </w:r>
            <w:r>
              <w:t>108°30′11″；108°33′00″；21°42′52″；21°46′04″</w:t>
            </w:r>
            <w:r>
              <w:rPr>
                <w:rFonts w:hint="eastAsia"/>
              </w:rPr>
              <w:t>）</w:t>
            </w:r>
          </w:p>
        </w:tc>
        <w:tc>
          <w:tcPr>
            <w:tcW w:w="851" w:type="dxa"/>
            <w:vAlign w:val="center"/>
          </w:tcPr>
          <w:p>
            <w:pPr>
              <w:pStyle w:val="2001"/>
            </w:pPr>
            <w:r>
              <w:t>867</w:t>
            </w:r>
          </w:p>
        </w:tc>
        <w:tc>
          <w:tcPr>
            <w:tcW w:w="2127" w:type="dxa"/>
            <w:vAlign w:val="center"/>
          </w:tcPr>
          <w:p>
            <w:pPr>
              <w:pStyle w:val="2001"/>
            </w:pPr>
            <w:r>
              <w:rPr>
                <w:rFonts w:hint="eastAsia"/>
              </w:rPr>
              <w:t>贝类滩涂养殖、贝类吊养殖。海水水质执行不劣于二类标准，海洋沉积物和海洋生物执行一类标准。</w:t>
            </w:r>
          </w:p>
        </w:tc>
        <w:tc>
          <w:tcPr>
            <w:tcW w:w="877" w:type="dxa"/>
            <w:vAlign w:val="center"/>
          </w:tcPr>
          <w:p>
            <w:pPr>
              <w:pStyle w:val="2001"/>
              <w:rPr>
                <w:snapToGrid w:val="0"/>
              </w:rPr>
            </w:pPr>
            <w:r>
              <w:rPr>
                <w:snapToGrid w:val="0"/>
              </w:rPr>
              <w:t>NWW</w:t>
            </w:r>
            <w:r>
              <w:rPr>
                <w:rFonts w:hint="eastAsia"/>
                <w:snapToGrid w:val="0"/>
              </w:rPr>
              <w:t>，</w:t>
            </w:r>
          </w:p>
          <w:p>
            <w:pPr>
              <w:pStyle w:val="2001"/>
              <w:rPr>
                <w:snapToGrid w:val="0"/>
              </w:rPr>
            </w:pPr>
            <w:r>
              <w:rPr>
                <w:rFonts w:hint="eastAsia"/>
                <w:snapToGrid w:val="0"/>
              </w:rPr>
              <w:t>14.8km</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569" w:hRule="atLeast"/>
        </w:trPr>
        <w:tc>
          <w:tcPr>
            <w:tcW w:w="816" w:type="dxa"/>
            <w:vAlign w:val="center"/>
          </w:tcPr>
          <w:p>
            <w:pPr>
              <w:pStyle w:val="2001"/>
              <w:rPr>
                <w:snapToGrid w:val="0"/>
              </w:rPr>
            </w:pPr>
            <w:r>
              <w:rPr>
                <w:snapToGrid w:val="0"/>
              </w:rPr>
              <w:t>3.1.1-3</w:t>
            </w:r>
          </w:p>
        </w:tc>
        <w:tc>
          <w:tcPr>
            <w:tcW w:w="1091" w:type="dxa"/>
            <w:vAlign w:val="center"/>
          </w:tcPr>
          <w:p>
            <w:pPr>
              <w:pStyle w:val="2001"/>
            </w:pPr>
            <w:r>
              <w:t>钦州港青菜头南</w:t>
            </w:r>
            <w:r>
              <w:rPr>
                <w:spacing w:val="-95"/>
              </w:rPr>
              <w:t xml:space="preserve"> </w:t>
            </w:r>
            <w:r>
              <w:t>浅海滩涂养殖区</w:t>
            </w:r>
          </w:p>
        </w:tc>
        <w:tc>
          <w:tcPr>
            <w:tcW w:w="2976" w:type="dxa"/>
            <w:vAlign w:val="center"/>
          </w:tcPr>
          <w:p>
            <w:pPr>
              <w:pStyle w:val="2001"/>
            </w:pPr>
            <w:r>
              <w:t>西航道以东，传统中航道以西，北至青菜头，南至伞沙尾海域（108°35′24″；108°37′56″；21°34′09″；21°40′32″）</w:t>
            </w:r>
          </w:p>
        </w:tc>
        <w:tc>
          <w:tcPr>
            <w:tcW w:w="851" w:type="dxa"/>
            <w:vAlign w:val="center"/>
          </w:tcPr>
          <w:p>
            <w:pPr>
              <w:pStyle w:val="2001"/>
              <w:rPr>
                <w:rFonts w:eastAsia="Times New Roman"/>
              </w:rPr>
            </w:pPr>
            <w:r>
              <w:t>3649</w:t>
            </w:r>
          </w:p>
        </w:tc>
        <w:tc>
          <w:tcPr>
            <w:tcW w:w="2127" w:type="dxa"/>
            <w:vAlign w:val="center"/>
          </w:tcPr>
          <w:p>
            <w:pPr>
              <w:pStyle w:val="2001"/>
            </w:pPr>
            <w:r>
              <w:t>贝类（大蚝）浮筏吊养殖。海水水质执</w:t>
            </w:r>
            <w:r>
              <w:rPr>
                <w:spacing w:val="-71"/>
              </w:rPr>
              <w:t xml:space="preserve"> </w:t>
            </w:r>
            <w:r>
              <w:t>行不劣于二类标准，海洋沉积物和海洋生物执行一类标准。</w:t>
            </w:r>
          </w:p>
        </w:tc>
        <w:tc>
          <w:tcPr>
            <w:tcW w:w="877" w:type="dxa"/>
            <w:vAlign w:val="center"/>
          </w:tcPr>
          <w:p>
            <w:pPr>
              <w:pStyle w:val="2001"/>
              <w:rPr>
                <w:snapToGrid w:val="0"/>
              </w:rPr>
            </w:pPr>
            <w:r>
              <w:rPr>
                <w:rFonts w:hint="eastAsia"/>
                <w:snapToGrid w:val="0"/>
              </w:rPr>
              <w:t>W，4.0</w:t>
            </w:r>
            <w:r>
              <w:rPr>
                <w:snapToGrid w:val="0"/>
              </w:rPr>
              <w:t>km</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569" w:hRule="atLeast"/>
        </w:trPr>
        <w:tc>
          <w:tcPr>
            <w:tcW w:w="816" w:type="dxa"/>
            <w:vAlign w:val="center"/>
          </w:tcPr>
          <w:p>
            <w:pPr>
              <w:pStyle w:val="2001"/>
              <w:rPr>
                <w:snapToGrid w:val="0"/>
              </w:rPr>
            </w:pPr>
            <w:r>
              <w:rPr>
                <w:rFonts w:hint="eastAsia"/>
                <w:snapToGrid w:val="0"/>
              </w:rPr>
              <w:t>3.1.1-5</w:t>
            </w:r>
          </w:p>
        </w:tc>
        <w:tc>
          <w:tcPr>
            <w:tcW w:w="1091" w:type="dxa"/>
            <w:vAlign w:val="center"/>
          </w:tcPr>
          <w:p>
            <w:pPr>
              <w:pStyle w:val="2001"/>
            </w:pPr>
            <w:r>
              <w:rPr>
                <w:rFonts w:hint="eastAsia"/>
              </w:rPr>
              <w:t>三娘湾南离岸浅海养殖区</w:t>
            </w:r>
          </w:p>
        </w:tc>
        <w:tc>
          <w:tcPr>
            <w:tcW w:w="2976" w:type="dxa"/>
            <w:vAlign w:val="center"/>
          </w:tcPr>
          <w:p>
            <w:pPr>
              <w:pStyle w:val="2001"/>
            </w:pPr>
            <w:r>
              <w:t>108°44′04″；108°51′33″；21°21′58″；21°30′48″</w:t>
            </w:r>
          </w:p>
        </w:tc>
        <w:tc>
          <w:tcPr>
            <w:tcW w:w="851" w:type="dxa"/>
            <w:vAlign w:val="center"/>
          </w:tcPr>
          <w:p>
            <w:pPr>
              <w:pStyle w:val="2001"/>
            </w:pPr>
            <w:r>
              <w:t>16449</w:t>
            </w:r>
          </w:p>
        </w:tc>
        <w:tc>
          <w:tcPr>
            <w:tcW w:w="2127" w:type="dxa"/>
            <w:vAlign w:val="center"/>
          </w:tcPr>
          <w:p>
            <w:pPr>
              <w:pStyle w:val="2001"/>
            </w:pPr>
            <w:r>
              <w:rPr>
                <w:rFonts w:hint="eastAsia"/>
              </w:rPr>
              <w:t>贝类浅海底播养殖、贝类浮筏吊养殖、深水抗风浪网箱鱼类养殖、渔礁增殖。海水水质执行不劣于二类标准，海洋沉积物和海洋生物执行一类标准。</w:t>
            </w:r>
          </w:p>
        </w:tc>
        <w:tc>
          <w:tcPr>
            <w:tcW w:w="877" w:type="dxa"/>
            <w:vAlign w:val="center"/>
          </w:tcPr>
          <w:p>
            <w:pPr>
              <w:pStyle w:val="2001"/>
              <w:rPr>
                <w:snapToGrid w:val="0"/>
              </w:rPr>
            </w:pPr>
            <w:r>
              <w:rPr>
                <w:snapToGrid w:val="0"/>
              </w:rPr>
              <w:t>SE，</w:t>
            </w:r>
          </w:p>
          <w:p>
            <w:pPr>
              <w:pStyle w:val="2001"/>
              <w:rPr>
                <w:snapToGrid w:val="0"/>
              </w:rPr>
            </w:pPr>
            <w:r>
              <w:rPr>
                <w:rFonts w:hint="eastAsia"/>
                <w:snapToGrid w:val="0"/>
              </w:rPr>
              <w:t>18.5km</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569" w:hRule="atLeast"/>
        </w:trPr>
        <w:tc>
          <w:tcPr>
            <w:tcW w:w="816" w:type="dxa"/>
            <w:vAlign w:val="center"/>
          </w:tcPr>
          <w:p>
            <w:pPr>
              <w:pStyle w:val="2001"/>
              <w:rPr>
                <w:snapToGrid w:val="0"/>
              </w:rPr>
            </w:pPr>
            <w:r>
              <w:rPr>
                <w:rFonts w:hint="eastAsia"/>
                <w:snapToGrid w:val="0"/>
              </w:rPr>
              <w:t>3.1.2-1</w:t>
            </w:r>
          </w:p>
        </w:tc>
        <w:tc>
          <w:tcPr>
            <w:tcW w:w="1091" w:type="dxa"/>
            <w:vAlign w:val="center"/>
          </w:tcPr>
          <w:p>
            <w:pPr>
              <w:pStyle w:val="2001"/>
            </w:pPr>
            <w:r>
              <w:rPr>
                <w:rFonts w:hint="eastAsia"/>
              </w:rPr>
              <w:t>茅尾海沿岸池塘养殖区</w:t>
            </w:r>
          </w:p>
        </w:tc>
        <w:tc>
          <w:tcPr>
            <w:tcW w:w="2976" w:type="dxa"/>
            <w:vAlign w:val="center"/>
          </w:tcPr>
          <w:p>
            <w:pPr>
              <w:pStyle w:val="2001"/>
            </w:pPr>
            <w:r>
              <w:rPr>
                <w:rFonts w:hint="eastAsia"/>
              </w:rPr>
              <w:t>茅尾海北部的尖山镇，西部的康熙岭镇，西南的龙门港镇沿岸传统池塘养殖区（</w:t>
            </w:r>
            <w:r>
              <w:t>108°28′38"，21°50′35"；108°29′50"，21°53′52"；108°31′56"，21°55′32"；108°33′28"，21°56′47"；108°35′21"，21°56′25"；108°33′54"，21°54′45"；108°35′48"，21°55′06"</w:t>
            </w:r>
            <w:r>
              <w:rPr>
                <w:rFonts w:hint="eastAsia"/>
              </w:rPr>
              <w:t>）</w:t>
            </w:r>
          </w:p>
        </w:tc>
        <w:tc>
          <w:tcPr>
            <w:tcW w:w="851" w:type="dxa"/>
            <w:vAlign w:val="center"/>
          </w:tcPr>
          <w:p>
            <w:pPr>
              <w:pStyle w:val="2001"/>
            </w:pPr>
            <w:r>
              <w:rPr>
                <w:rFonts w:hint="eastAsia"/>
              </w:rPr>
              <w:t>3043</w:t>
            </w:r>
          </w:p>
        </w:tc>
        <w:tc>
          <w:tcPr>
            <w:tcW w:w="2127" w:type="dxa"/>
            <w:vAlign w:val="center"/>
          </w:tcPr>
          <w:p>
            <w:pPr>
              <w:pStyle w:val="2001"/>
            </w:pPr>
            <w:r>
              <w:rPr>
                <w:rFonts w:hint="eastAsia"/>
              </w:rPr>
              <w:t>池塘养殖执行健康养殖标准（模式），禁止池塘养殖尾水直排，养殖尾水要求处理后排放。</w:t>
            </w:r>
          </w:p>
        </w:tc>
        <w:tc>
          <w:tcPr>
            <w:tcW w:w="877" w:type="dxa"/>
            <w:vAlign w:val="center"/>
          </w:tcPr>
          <w:p>
            <w:pPr>
              <w:pStyle w:val="2001"/>
              <w:rPr>
                <w:snapToGrid w:val="0"/>
              </w:rPr>
            </w:pPr>
            <w:r>
              <w:rPr>
                <w:snapToGrid w:val="0"/>
              </w:rPr>
              <w:t>NWW，</w:t>
            </w:r>
            <w:r>
              <w:rPr>
                <w:rFonts w:hint="eastAsia"/>
                <w:snapToGrid w:val="0"/>
              </w:rPr>
              <w:t>16.0km</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569" w:hRule="atLeast"/>
        </w:trPr>
        <w:tc>
          <w:tcPr>
            <w:tcW w:w="816" w:type="dxa"/>
            <w:vAlign w:val="center"/>
          </w:tcPr>
          <w:p>
            <w:pPr>
              <w:pStyle w:val="2001"/>
              <w:rPr>
                <w:snapToGrid w:val="0"/>
              </w:rPr>
            </w:pPr>
            <w:r>
              <w:rPr>
                <w:rFonts w:hint="eastAsia"/>
                <w:snapToGrid w:val="0"/>
              </w:rPr>
              <w:t>3.1.3-2</w:t>
            </w:r>
          </w:p>
        </w:tc>
        <w:tc>
          <w:tcPr>
            <w:tcW w:w="1091" w:type="dxa"/>
            <w:vAlign w:val="center"/>
          </w:tcPr>
          <w:p>
            <w:pPr>
              <w:pStyle w:val="2001"/>
            </w:pPr>
            <w:r>
              <w:rPr>
                <w:rFonts w:hint="eastAsia"/>
              </w:rPr>
              <w:t>茅尾海茅岭江口近江牡蛎苗种生产功能区</w:t>
            </w:r>
          </w:p>
        </w:tc>
        <w:tc>
          <w:tcPr>
            <w:tcW w:w="2976" w:type="dxa"/>
            <w:vAlign w:val="center"/>
          </w:tcPr>
          <w:p>
            <w:pPr>
              <w:pStyle w:val="2001"/>
            </w:pPr>
            <w:r>
              <w:rPr>
                <w:rFonts w:hint="eastAsia"/>
              </w:rPr>
              <w:t>紫沙附近海域（</w:t>
            </w:r>
            <w:r>
              <w:t>108°29′34″；108°30′56″；21°48′08″；21°49′47″</w:t>
            </w:r>
            <w:r>
              <w:rPr>
                <w:rFonts w:hint="eastAsia"/>
              </w:rPr>
              <w:t>）</w:t>
            </w:r>
          </w:p>
        </w:tc>
        <w:tc>
          <w:tcPr>
            <w:tcW w:w="851" w:type="dxa"/>
            <w:vAlign w:val="center"/>
          </w:tcPr>
          <w:p>
            <w:pPr>
              <w:pStyle w:val="2001"/>
            </w:pPr>
            <w:r>
              <w:rPr>
                <w:rFonts w:hint="eastAsia"/>
              </w:rPr>
              <w:t>136</w:t>
            </w:r>
          </w:p>
        </w:tc>
        <w:tc>
          <w:tcPr>
            <w:tcW w:w="2127" w:type="dxa"/>
            <w:vAlign w:val="center"/>
          </w:tcPr>
          <w:p>
            <w:pPr>
              <w:pStyle w:val="2001"/>
            </w:pPr>
            <w:r>
              <w:rPr>
                <w:rFonts w:hint="eastAsia"/>
              </w:rPr>
              <w:t>近江牡蛎苗种繁育。海水水质执行不劣于二类标准，海洋沉积物和海洋生物执行一类标准。</w:t>
            </w:r>
          </w:p>
        </w:tc>
        <w:tc>
          <w:tcPr>
            <w:tcW w:w="877" w:type="dxa"/>
            <w:vAlign w:val="center"/>
          </w:tcPr>
          <w:p>
            <w:pPr>
              <w:pStyle w:val="2001"/>
              <w:rPr>
                <w:snapToGrid w:val="0"/>
              </w:rPr>
            </w:pPr>
            <w:r>
              <w:rPr>
                <w:snapToGrid w:val="0"/>
              </w:rPr>
              <w:t>NW，</w:t>
            </w:r>
          </w:p>
          <w:p>
            <w:pPr>
              <w:pStyle w:val="2001"/>
              <w:rPr>
                <w:snapToGrid w:val="0"/>
              </w:rPr>
            </w:pPr>
            <w:r>
              <w:rPr>
                <w:rFonts w:hint="eastAsia"/>
                <w:snapToGrid w:val="0"/>
              </w:rPr>
              <w:t>25.0km</w:t>
            </w:r>
          </w:p>
        </w:tc>
      </w:tr>
    </w:tbl>
    <w:p>
      <w:pPr>
        <w:pStyle w:val="4"/>
        <w:rPr>
          <w:color w:val="000000" w:themeColor="text1"/>
          <w14:textFill>
            <w14:solidFill>
              <w14:schemeClr w14:val="tx1"/>
            </w14:solidFill>
          </w14:textFill>
        </w:rPr>
      </w:pPr>
      <w:bookmarkStart w:id="145" w:name="_Toc170918603"/>
      <w:r>
        <w:rPr>
          <w:color w:val="000000" w:themeColor="text1"/>
          <w14:textFill>
            <w14:solidFill>
              <w14:schemeClr w14:val="tx1"/>
            </w14:solidFill>
          </w14:textFill>
        </w:rPr>
        <w:t>海洋环境现状调查</w:t>
      </w:r>
      <w:bookmarkEnd w:id="145"/>
    </w:p>
    <w:p>
      <w:pPr>
        <w:pStyle w:val="1075"/>
        <w:rPr>
          <w:color w:val="000000" w:themeColor="text1"/>
          <w14:textFill>
            <w14:solidFill>
              <w14:schemeClr w14:val="tx1"/>
            </w14:solidFill>
          </w14:textFill>
        </w:rPr>
      </w:pPr>
      <w:r>
        <w:rPr>
          <w:color w:val="000000" w:themeColor="text1"/>
          <w14:textFill>
            <w14:solidFill>
              <w14:schemeClr w14:val="tx1"/>
            </w14:solidFill>
          </w14:textFill>
        </w:rPr>
        <w:t>本项目海洋环境现状调查与评价引用</w:t>
      </w:r>
      <w:r>
        <w:rPr>
          <w:rFonts w:hint="eastAsia"/>
          <w:color w:val="000000" w:themeColor="text1"/>
          <w14:textFill>
            <w14:solidFill>
              <w14:schemeClr w14:val="tx1"/>
            </w14:solidFill>
          </w14:textFill>
        </w:rPr>
        <w:t>《钦州港金谷港区金鼓江作业区12#泊位工程环境影响报告书》（报批稿）中的调查结果，该项目距离本项目约5.2km，</w:t>
      </w:r>
      <w:r>
        <w:rPr>
          <w:color w:val="000000" w:themeColor="text1"/>
          <w14:textFill>
            <w14:solidFill>
              <w14:schemeClr w14:val="tx1"/>
            </w14:solidFill>
          </w14:textFill>
        </w:rPr>
        <w:t>本项目海洋环境评价范围为工程</w:t>
      </w:r>
      <w:r>
        <w:rPr>
          <w:rFonts w:hint="eastAsia"/>
          <w:color w:val="000000" w:themeColor="text1"/>
          <w14:textFill>
            <w14:solidFill>
              <w14:schemeClr w14:val="tx1"/>
            </w14:solidFill>
          </w14:textFill>
        </w:rPr>
        <w:t>区</w:t>
      </w:r>
      <w:r>
        <w:rPr>
          <w:color w:val="000000" w:themeColor="text1"/>
          <w14:textFill>
            <w14:solidFill>
              <w14:schemeClr w14:val="tx1"/>
            </w14:solidFill>
          </w14:textFill>
        </w:rPr>
        <w:t>向四周延伸</w:t>
      </w:r>
      <w:r>
        <w:rPr>
          <w:rFonts w:hint="eastAsia"/>
          <w:color w:val="000000" w:themeColor="text1"/>
          <w14:textFill>
            <w14:solidFill>
              <w14:schemeClr w14:val="tx1"/>
            </w14:solidFill>
          </w14:textFill>
        </w:rPr>
        <w:t>20km，布设的海洋环境现状调查点位均位于本项目评价范围内，其中本项目水质环境评价等级为1级，应布设5个~8个调查断面，每个调查断面应设置4个~6个测站，调查报告中共设置20个测站，调查断面方向大体上与海岸垂直，在本项目工程区域周边附近设置调查站位，水质调查监测站位均匀分布且覆盖整个评价海域；本项目沉积物环境评价等级为2级，调查站位2021年11月布设14个、2022年4月布设12个占水质调查站位量超过50%，站位均匀分布且覆盖(控制)整个评价海域，且在本项目工程海域周边设置海洋沉积物监测站位；综上，点位布设位置符合本项目海洋环境现状调查要求。</w:t>
      </w:r>
    </w:p>
    <w:p>
      <w:pPr>
        <w:pStyle w:val="5"/>
        <w:rPr>
          <w:color w:val="000000" w:themeColor="text1"/>
          <w14:textFill>
            <w14:solidFill>
              <w14:schemeClr w14:val="tx1"/>
            </w14:solidFill>
          </w14:textFill>
        </w:rPr>
      </w:pPr>
      <w:r>
        <w:rPr>
          <w:color w:val="000000" w:themeColor="text1"/>
          <w14:textFill>
            <w14:solidFill>
              <w14:schemeClr w14:val="tx1"/>
            </w14:solidFill>
          </w14:textFill>
        </w:rPr>
        <w:t>海水水质现状调查与评价</w:t>
      </w:r>
    </w:p>
    <w:p>
      <w:pPr>
        <w:pStyle w:val="6"/>
        <w:rPr>
          <w:color w:val="000000" w:themeColor="text1"/>
          <w14:textFill>
            <w14:solidFill>
              <w14:schemeClr w14:val="tx1"/>
            </w14:solidFill>
          </w14:textFill>
        </w:rPr>
      </w:pPr>
      <w:r>
        <w:rPr>
          <w:color w:val="000000" w:themeColor="text1"/>
          <w14:textFill>
            <w14:solidFill>
              <w14:schemeClr w14:val="tx1"/>
            </w14:solidFill>
          </w14:textFill>
        </w:rPr>
        <w:t>调查站位布设</w:t>
      </w:r>
    </w:p>
    <w:p>
      <w:pPr>
        <w:pStyle w:val="1075"/>
        <w:rPr>
          <w:color w:val="000000" w:themeColor="text1"/>
          <w:u w:val="single"/>
          <w14:textFill>
            <w14:solidFill>
              <w14:schemeClr w14:val="tx1"/>
            </w14:solidFill>
          </w14:textFill>
        </w:rPr>
      </w:pPr>
      <w:r>
        <w:rPr>
          <w:color w:val="000000" w:themeColor="text1"/>
          <w14:textFill>
            <w14:solidFill>
              <w14:schemeClr w14:val="tx1"/>
            </w14:solidFill>
          </w14:textFill>
        </w:rPr>
        <w:t>环境质量现状调查与评价中的海水水质、海洋沉积物、海洋生态、渔业资源及生物体质量数据来自</w:t>
      </w:r>
      <w:r>
        <w:rPr>
          <w:rFonts w:hint="eastAsia"/>
          <w:color w:val="000000" w:themeColor="text1"/>
          <w14:textFill>
            <w14:solidFill>
              <w14:schemeClr w14:val="tx1"/>
            </w14:solidFill>
          </w14:textFill>
        </w:rPr>
        <w:t>广西北部湾海洋研究中心</w:t>
      </w:r>
      <w:r>
        <w:rPr>
          <w:color w:val="000000" w:themeColor="text1"/>
          <w14:textFill>
            <w14:solidFill>
              <w14:schemeClr w14:val="tx1"/>
            </w14:solidFill>
          </w14:textFill>
        </w:rPr>
        <w:t>于2021年11月（</w:t>
      </w:r>
      <w:r>
        <w:rPr>
          <w:rFonts w:hint="eastAsia"/>
          <w:color w:val="000000" w:themeColor="text1"/>
          <w14:textFill>
            <w14:solidFill>
              <w14:schemeClr w14:val="tx1"/>
            </w14:solidFill>
          </w14:textFill>
        </w:rPr>
        <w:t>秋季</w:t>
      </w:r>
      <w:r>
        <w:rPr>
          <w:color w:val="000000" w:themeColor="text1"/>
          <w14:textFill>
            <w14:solidFill>
              <w14:schemeClr w14:val="tx1"/>
            </w14:solidFill>
          </w14:textFill>
        </w:rPr>
        <w:t>）和2022年4月（春季）在工程附近海域开展现状监测所获资料。</w:t>
      </w:r>
    </w:p>
    <w:p>
      <w:pPr>
        <w:pStyle w:val="1075"/>
        <w:rPr>
          <w:color w:val="000000" w:themeColor="text1"/>
          <w:lang w:bidi="zh-CN"/>
          <w14:textFill>
            <w14:solidFill>
              <w14:schemeClr w14:val="tx1"/>
            </w14:solidFill>
          </w14:textFill>
        </w:rPr>
      </w:pPr>
      <w:r>
        <w:rPr>
          <w:color w:val="000000" w:themeColor="text1"/>
          <w:lang w:bidi="zh-CN"/>
          <w14:textFill>
            <w14:solidFill>
              <w14:schemeClr w14:val="tx1"/>
            </w14:solidFill>
          </w14:textFill>
        </w:rPr>
        <w:t>（1）2021年11月</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秋季</w:t>
      </w:r>
      <w:r>
        <w:rPr>
          <w:color w:val="000000" w:themeColor="text1"/>
          <w14:textFill>
            <w14:solidFill>
              <w14:schemeClr w14:val="tx1"/>
            </w14:solidFill>
          </w14:textFill>
        </w:rPr>
        <w:t>）</w:t>
      </w:r>
    </w:p>
    <w:p>
      <w:pPr>
        <w:pStyle w:val="1075"/>
        <w:rPr>
          <w:color w:val="000000" w:themeColor="text1"/>
          <w:lang w:bidi="zh-CN"/>
          <w14:textFill>
            <w14:solidFill>
              <w14:schemeClr w14:val="tx1"/>
            </w14:solidFill>
          </w14:textFill>
        </w:rPr>
      </w:pPr>
      <w:r>
        <w:rPr>
          <w:rFonts w:hint="eastAsia"/>
          <w:color w:val="000000" w:themeColor="text1"/>
          <w14:textFill>
            <w14:solidFill>
              <w14:schemeClr w14:val="tx1"/>
            </w14:solidFill>
          </w14:textFill>
        </w:rPr>
        <w:t>广西北部湾海洋研究中心</w:t>
      </w:r>
      <w:r>
        <w:rPr>
          <w:color w:val="000000" w:themeColor="text1"/>
          <w14:textFill>
            <w14:solidFill>
              <w14:schemeClr w14:val="tx1"/>
            </w14:solidFill>
          </w14:textFill>
        </w:rPr>
        <w:t>于</w:t>
      </w:r>
      <w:r>
        <w:rPr>
          <w:color w:val="000000" w:themeColor="text1"/>
          <w:lang w:bidi="zh-CN"/>
          <w14:textFill>
            <w14:solidFill>
              <w14:schemeClr w14:val="tx1"/>
            </w14:solidFill>
          </w14:textFill>
        </w:rPr>
        <w:t>2021年11月</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秋季</w:t>
      </w:r>
      <w:r>
        <w:rPr>
          <w:color w:val="000000" w:themeColor="text1"/>
          <w14:textFill>
            <w14:solidFill>
              <w14:schemeClr w14:val="tx1"/>
            </w14:solidFill>
          </w14:textFill>
        </w:rPr>
        <w:t>）</w:t>
      </w:r>
      <w:r>
        <w:rPr>
          <w:color w:val="000000" w:themeColor="text1"/>
          <w:lang w:bidi="zh-CN"/>
          <w14:textFill>
            <w14:solidFill>
              <w14:schemeClr w14:val="tx1"/>
            </w14:solidFill>
          </w14:textFill>
        </w:rPr>
        <w:t>开展钦州港附近海域沉积物现场监测，从内湾至湾口共布20个站位，其中水质调查站位20个，沉积物调查站位14个，生物生态调查站位14个。</w:t>
      </w:r>
    </w:p>
    <w:p>
      <w:pPr>
        <w:pStyle w:val="1075"/>
        <w:rPr>
          <w:color w:val="000000" w:themeColor="text1"/>
          <w:lang w:bidi="zh-CN"/>
          <w14:textFill>
            <w14:solidFill>
              <w14:schemeClr w14:val="tx1"/>
            </w14:solidFill>
          </w14:textFill>
        </w:rPr>
      </w:pPr>
      <w:r>
        <w:rPr>
          <w:color w:val="000000" w:themeColor="text1"/>
          <w:lang w:bidi="zh-CN"/>
          <w14:textFill>
            <w14:solidFill>
              <w14:schemeClr w14:val="tx1"/>
            </w14:solidFill>
          </w14:textFill>
        </w:rPr>
        <w:t>站位布设、调查项目见表3.3-1和图3.3-1。</w:t>
      </w:r>
    </w:p>
    <w:p>
      <w:pPr>
        <w:pStyle w:val="384"/>
        <w:ind w:left="0" w:firstLine="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钦州港附近海域调查站位坐标及调查项目（2021年11月）</w:t>
      </w:r>
    </w:p>
    <w:p>
      <w:pPr>
        <w:pStyle w:val="553"/>
        <w:rPr>
          <w:color w:val="000000" w:themeColor="text1"/>
          <w14:textFill>
            <w14:solidFill>
              <w14:schemeClr w14:val="tx1"/>
            </w14:solidFill>
          </w14:textFill>
        </w:rPr>
      </w:pPr>
      <w:r>
        <w:rPr>
          <w:color w:val="000000" w:themeColor="text1"/>
          <w14:textFill>
            <w14:solidFill>
              <w14:schemeClr w14:val="tx1"/>
            </w14:solidFill>
          </w14:textFill>
        </w:rPr>
        <w:t>钦州港附近海域调查站位</w:t>
      </w:r>
      <w:r>
        <w:rPr>
          <w:rFonts w:hint="eastAsia"/>
          <w:color w:val="000000" w:themeColor="text1"/>
          <w14:textFill>
            <w14:solidFill>
              <w14:schemeClr w14:val="tx1"/>
            </w14:solidFill>
          </w14:textFill>
        </w:rPr>
        <w:t>（202</w:t>
      </w:r>
      <w:r>
        <w:rPr>
          <w:color w:val="000000" w:themeColor="text1"/>
          <w14:textFill>
            <w14:solidFill>
              <w14:schemeClr w14:val="tx1"/>
            </w14:solidFill>
          </w14:textFill>
        </w:rPr>
        <w:t>1</w:t>
      </w:r>
      <w:r>
        <w:rPr>
          <w:rFonts w:hint="eastAsia"/>
          <w:color w:val="000000" w:themeColor="text1"/>
          <w14:textFill>
            <w14:solidFill>
              <w14:schemeClr w14:val="tx1"/>
            </w14:solidFill>
          </w14:textFill>
        </w:rPr>
        <w:t>年</w:t>
      </w:r>
      <w:r>
        <w:rPr>
          <w:color w:val="000000" w:themeColor="text1"/>
          <w14:textFill>
            <w14:solidFill>
              <w14:schemeClr w14:val="tx1"/>
            </w14:solidFill>
          </w14:textFill>
        </w:rPr>
        <w:t>11</w:t>
      </w:r>
      <w:r>
        <w:rPr>
          <w:rFonts w:hint="eastAsia"/>
          <w:color w:val="000000" w:themeColor="text1"/>
          <w14:textFill>
            <w14:solidFill>
              <w14:schemeClr w14:val="tx1"/>
            </w14:solidFill>
          </w14:textFill>
        </w:rPr>
        <w:t>月）</w:t>
      </w:r>
    </w:p>
    <w:p>
      <w:pPr>
        <w:pStyle w:val="1075"/>
        <w:rPr>
          <w:color w:val="000000" w:themeColor="text1"/>
          <w:lang w:bidi="zh-CN"/>
          <w14:textFill>
            <w14:solidFill>
              <w14:schemeClr w14:val="tx1"/>
            </w14:solidFill>
          </w14:textFill>
        </w:rPr>
      </w:pPr>
      <w:r>
        <w:rPr>
          <w:color w:val="000000" w:themeColor="text1"/>
          <w:lang w:bidi="zh-CN"/>
          <w14:textFill>
            <w14:solidFill>
              <w14:schemeClr w14:val="tx1"/>
            </w14:solidFill>
          </w14:textFill>
        </w:rPr>
        <w:t>（2）2022年4月（春季）</w:t>
      </w:r>
    </w:p>
    <w:p>
      <w:pPr>
        <w:pStyle w:val="1075"/>
        <w:rPr>
          <w:color w:val="000000" w:themeColor="text1"/>
          <w:lang w:bidi="zh-CN"/>
          <w14:textFill>
            <w14:solidFill>
              <w14:schemeClr w14:val="tx1"/>
            </w14:solidFill>
          </w14:textFill>
        </w:rPr>
      </w:pPr>
      <w:r>
        <w:rPr>
          <w:rFonts w:hint="eastAsia"/>
          <w:color w:val="000000" w:themeColor="text1"/>
          <w14:textFill>
            <w14:solidFill>
              <w14:schemeClr w14:val="tx1"/>
            </w14:solidFill>
          </w14:textFill>
        </w:rPr>
        <w:t>广西北部湾海洋研究中心</w:t>
      </w:r>
      <w:r>
        <w:rPr>
          <w:color w:val="000000" w:themeColor="text1"/>
          <w14:textFill>
            <w14:solidFill>
              <w14:schemeClr w14:val="tx1"/>
            </w14:solidFill>
          </w14:textFill>
        </w:rPr>
        <w:t>于2022年4月（春季）</w:t>
      </w:r>
      <w:r>
        <w:rPr>
          <w:color w:val="000000" w:themeColor="text1"/>
          <w:lang w:bidi="zh-CN"/>
          <w14:textFill>
            <w14:solidFill>
              <w14:schemeClr w14:val="tx1"/>
            </w14:solidFill>
          </w14:textFill>
        </w:rPr>
        <w:t>开展钦州港附近海域水质现场监测。从内湾至湾口共布设20个站位，其中水质监测站位20个，沉积物调查站位</w:t>
      </w:r>
      <w:r>
        <w:rPr>
          <w:rFonts w:hint="eastAsia"/>
          <w:color w:val="000000" w:themeColor="text1"/>
          <w:lang w:bidi="zh-CN"/>
          <w14:textFill>
            <w14:solidFill>
              <w14:schemeClr w14:val="tx1"/>
            </w14:solidFill>
          </w14:textFill>
        </w:rPr>
        <w:t>12</w:t>
      </w:r>
      <w:r>
        <w:rPr>
          <w:color w:val="000000" w:themeColor="text1"/>
          <w:lang w:bidi="zh-CN"/>
          <w14:textFill>
            <w14:solidFill>
              <w14:schemeClr w14:val="tx1"/>
            </w14:solidFill>
          </w14:textFill>
        </w:rPr>
        <w:t>个，生物生态调查站位</w:t>
      </w:r>
      <w:r>
        <w:rPr>
          <w:rFonts w:hint="eastAsia"/>
          <w:color w:val="000000" w:themeColor="text1"/>
          <w:lang w:bidi="zh-CN"/>
          <w14:textFill>
            <w14:solidFill>
              <w14:schemeClr w14:val="tx1"/>
            </w14:solidFill>
          </w14:textFill>
        </w:rPr>
        <w:t>12</w:t>
      </w:r>
      <w:r>
        <w:rPr>
          <w:color w:val="000000" w:themeColor="text1"/>
          <w:lang w:bidi="zh-CN"/>
          <w14:textFill>
            <w14:solidFill>
              <w14:schemeClr w14:val="tx1"/>
            </w14:solidFill>
          </w14:textFill>
        </w:rPr>
        <w:t>个，潮间带调查断面6条，游泳动物拖网断面29条。站位布设、调查项目见表3.3-2、图3.3-2。</w:t>
      </w:r>
    </w:p>
    <w:p>
      <w:pPr>
        <w:pStyle w:val="384"/>
        <w:ind w:left="0" w:firstLine="0"/>
        <w:rPr>
          <w:rFonts w:cs="Times New Roman"/>
          <w:color w:val="000000" w:themeColor="text1"/>
          <w:lang w:bidi="zh-CN"/>
          <w14:textFill>
            <w14:solidFill>
              <w14:schemeClr w14:val="tx1"/>
            </w14:solidFill>
          </w14:textFill>
        </w:rPr>
      </w:pPr>
      <w:r>
        <w:rPr>
          <w:rFonts w:cs="Times New Roman"/>
          <w:color w:val="000000" w:themeColor="text1"/>
          <w:lang w:bidi="zh-CN"/>
          <w14:textFill>
            <w14:solidFill>
              <w14:schemeClr w14:val="tx1"/>
            </w14:solidFill>
          </w14:textFill>
        </w:rPr>
        <w:t>钦州港附近海域调查站位坐标及调查项目（2022年</w:t>
      </w:r>
      <w:r>
        <w:rPr>
          <w:rFonts w:hint="eastAsia" w:cs="Times New Roman"/>
          <w:color w:val="000000" w:themeColor="text1"/>
          <w:lang w:bidi="zh-CN"/>
          <w14:textFill>
            <w14:solidFill>
              <w14:schemeClr w14:val="tx1"/>
            </w14:solidFill>
          </w14:textFill>
        </w:rPr>
        <w:t>4</w:t>
      </w:r>
      <w:r>
        <w:rPr>
          <w:rFonts w:cs="Times New Roman"/>
          <w:color w:val="000000" w:themeColor="text1"/>
          <w:lang w:bidi="zh-CN"/>
          <w14:textFill>
            <w14:solidFill>
              <w14:schemeClr w14:val="tx1"/>
            </w14:solidFill>
          </w14:textFill>
        </w:rPr>
        <w:t>月）</w:t>
      </w:r>
    </w:p>
    <w:p>
      <w:pPr>
        <w:pStyle w:val="553"/>
        <w:rPr>
          <w:color w:val="000000" w:themeColor="text1"/>
          <w14:textFill>
            <w14:solidFill>
              <w14:schemeClr w14:val="tx1"/>
            </w14:solidFill>
          </w14:textFill>
        </w:rPr>
      </w:pPr>
      <w:r>
        <w:rPr>
          <w:color w:val="000000" w:themeColor="text1"/>
          <w14:textFill>
            <w14:solidFill>
              <w14:schemeClr w14:val="tx1"/>
            </w14:solidFill>
          </w14:textFill>
        </w:rPr>
        <w:t>钦州港附近海域调查站位</w:t>
      </w:r>
      <w:r>
        <w:rPr>
          <w:rFonts w:hint="eastAsia"/>
          <w:color w:val="000000" w:themeColor="text1"/>
          <w14:textFill>
            <w14:solidFill>
              <w14:schemeClr w14:val="tx1"/>
            </w14:solidFill>
          </w14:textFill>
        </w:rPr>
        <w:t>（2022年4月）</w:t>
      </w:r>
    </w:p>
    <w:p>
      <w:pPr>
        <w:pStyle w:val="6"/>
        <w:rPr>
          <w:color w:val="000000" w:themeColor="text1"/>
          <w14:textFill>
            <w14:solidFill>
              <w14:schemeClr w14:val="tx1"/>
            </w14:solidFill>
          </w14:textFill>
        </w:rPr>
      </w:pPr>
      <w:r>
        <w:rPr>
          <w:color w:val="000000" w:themeColor="text1"/>
          <w14:textFill>
            <w14:solidFill>
              <w14:schemeClr w14:val="tx1"/>
            </w14:solidFill>
          </w14:textFill>
        </w:rPr>
        <w:t>监测项目和监测方法</w:t>
      </w:r>
    </w:p>
    <w:p>
      <w:pPr>
        <w:pStyle w:val="1075"/>
        <w:rPr>
          <w:color w:val="000000" w:themeColor="text1"/>
          <w:lang w:bidi="zh-CN"/>
          <w14:textFill>
            <w14:solidFill>
              <w14:schemeClr w14:val="tx1"/>
            </w14:solidFill>
          </w14:textFill>
        </w:rPr>
      </w:pPr>
      <w:r>
        <w:rPr>
          <w:color w:val="000000" w:themeColor="text1"/>
          <w:lang w:bidi="zh-CN"/>
          <w14:textFill>
            <w14:solidFill>
              <w14:schemeClr w14:val="tx1"/>
            </w14:solidFill>
          </w14:textFill>
        </w:rPr>
        <w:t>监测项目：水温、pH、盐度、悬浮物、化学需氧量（COD）、五日生化需氧量（BOD</w:t>
      </w:r>
      <w:r>
        <w:rPr>
          <w:color w:val="000000" w:themeColor="text1"/>
          <w:vertAlign w:val="subscript"/>
          <w:lang w:bidi="zh-CN"/>
          <w14:textFill>
            <w14:solidFill>
              <w14:schemeClr w14:val="tx1"/>
            </w14:solidFill>
          </w14:textFill>
        </w:rPr>
        <w:t>5</w:t>
      </w:r>
      <w:r>
        <w:rPr>
          <w:color w:val="000000" w:themeColor="text1"/>
          <w:lang w:bidi="zh-CN"/>
          <w14:textFill>
            <w14:solidFill>
              <w14:schemeClr w14:val="tx1"/>
            </w14:solidFill>
          </w14:textFill>
        </w:rPr>
        <w:t>）、溶解氧、硝酸盐氮、亚硝酸盐氮、氨氮、活性磷酸盐、硫化物、油类、铜、铅、锌、镉、汞、砷、总铬共20项。</w:t>
      </w:r>
    </w:p>
    <w:p>
      <w:pPr>
        <w:pStyle w:val="1075"/>
        <w:rPr>
          <w:color w:val="000000" w:themeColor="text1"/>
          <w:lang w:bidi="zh-CN"/>
          <w14:textFill>
            <w14:solidFill>
              <w14:schemeClr w14:val="tx1"/>
            </w14:solidFill>
          </w14:textFill>
        </w:rPr>
      </w:pPr>
      <w:r>
        <w:rPr>
          <w:color w:val="000000" w:themeColor="text1"/>
          <w:lang w:bidi="zh-CN"/>
          <w14:textFill>
            <w14:solidFill>
              <w14:schemeClr w14:val="tx1"/>
            </w14:solidFill>
          </w14:textFill>
        </w:rPr>
        <w:t>监测方法：各项监测因子的采集和分析均按照《海洋监测规范 第4部分：海水分析》（GB 17378.4-2007）进行，见表3.3-3。</w:t>
      </w:r>
    </w:p>
    <w:p>
      <w:pPr>
        <w:pStyle w:val="384"/>
        <w:ind w:left="0" w:firstLine="0"/>
        <w:rPr>
          <w:rFonts w:cs="Times New Roman"/>
          <w:color w:val="000000" w:themeColor="text1"/>
          <w:lang w:bidi="zh-CN"/>
          <w14:textFill>
            <w14:solidFill>
              <w14:schemeClr w14:val="tx1"/>
            </w14:solidFill>
          </w14:textFill>
        </w:rPr>
      </w:pPr>
      <w:bookmarkStart w:id="146" w:name="_Ref56631565"/>
      <w:r>
        <w:rPr>
          <w:rFonts w:cs="Times New Roman"/>
          <w:color w:val="000000" w:themeColor="text1"/>
          <w:lang w:bidi="zh-CN"/>
          <w14:textFill>
            <w14:solidFill>
              <w14:schemeClr w14:val="tx1"/>
            </w14:solidFill>
          </w14:textFill>
        </w:rPr>
        <w:t>水质调查分析方法</w:t>
      </w:r>
      <w:bookmarkEnd w:id="146"/>
    </w:p>
    <w:tbl>
      <w:tblPr>
        <w:tblStyle w:val="88"/>
        <w:tblW w:w="8832" w:type="dxa"/>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471"/>
        <w:gridCol w:w="2916"/>
        <w:gridCol w:w="2828"/>
        <w:gridCol w:w="1617"/>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c>
          <w:tcPr>
            <w:tcW w:w="1471" w:type="dxa"/>
            <w:vAlign w:val="center"/>
          </w:tcPr>
          <w:p>
            <w:pPr>
              <w:pStyle w:val="2001"/>
            </w:pPr>
            <w:r>
              <w:t>项目</w:t>
            </w:r>
          </w:p>
        </w:tc>
        <w:tc>
          <w:tcPr>
            <w:tcW w:w="2916" w:type="dxa"/>
            <w:vAlign w:val="center"/>
          </w:tcPr>
          <w:p>
            <w:pPr>
              <w:pStyle w:val="2001"/>
            </w:pPr>
            <w:r>
              <w:t>分析方法</w:t>
            </w:r>
          </w:p>
        </w:tc>
        <w:tc>
          <w:tcPr>
            <w:tcW w:w="2828" w:type="dxa"/>
            <w:vAlign w:val="center"/>
          </w:tcPr>
          <w:p>
            <w:pPr>
              <w:pStyle w:val="2001"/>
            </w:pPr>
            <w:r>
              <w:t>仪器名称及型号</w:t>
            </w:r>
          </w:p>
        </w:tc>
        <w:tc>
          <w:tcPr>
            <w:tcW w:w="1617" w:type="dxa"/>
            <w:vAlign w:val="center"/>
          </w:tcPr>
          <w:p>
            <w:pPr>
              <w:pStyle w:val="2001"/>
            </w:pPr>
            <w:r>
              <w:t>检出限（mg/L）</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c>
          <w:tcPr>
            <w:tcW w:w="1471" w:type="dxa"/>
            <w:vAlign w:val="center"/>
          </w:tcPr>
          <w:p>
            <w:pPr>
              <w:pStyle w:val="2001"/>
            </w:pPr>
            <w:r>
              <w:t>盐度</w:t>
            </w:r>
          </w:p>
        </w:tc>
        <w:tc>
          <w:tcPr>
            <w:tcW w:w="2916" w:type="dxa"/>
            <w:vAlign w:val="center"/>
          </w:tcPr>
          <w:p>
            <w:pPr>
              <w:pStyle w:val="2001"/>
            </w:pPr>
            <w:r>
              <w:t>盐度计法</w:t>
            </w:r>
          </w:p>
        </w:tc>
        <w:tc>
          <w:tcPr>
            <w:tcW w:w="2828" w:type="dxa"/>
            <w:vAlign w:val="center"/>
          </w:tcPr>
          <w:p>
            <w:pPr>
              <w:pStyle w:val="2001"/>
            </w:pPr>
            <w:r>
              <w:t>SYA2-2盐度计</w:t>
            </w:r>
          </w:p>
        </w:tc>
        <w:tc>
          <w:tcPr>
            <w:tcW w:w="1617" w:type="dxa"/>
            <w:vAlign w:val="center"/>
          </w:tcPr>
          <w:p>
            <w:pPr>
              <w:pStyle w:val="2001"/>
            </w:pPr>
            <w:r>
              <w:t>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c>
          <w:tcPr>
            <w:tcW w:w="1471" w:type="dxa"/>
            <w:vAlign w:val="center"/>
          </w:tcPr>
          <w:p>
            <w:pPr>
              <w:pStyle w:val="2001"/>
            </w:pPr>
            <w:r>
              <w:t>悬浮物</w:t>
            </w:r>
          </w:p>
        </w:tc>
        <w:tc>
          <w:tcPr>
            <w:tcW w:w="2916" w:type="dxa"/>
            <w:vAlign w:val="center"/>
          </w:tcPr>
          <w:p>
            <w:pPr>
              <w:pStyle w:val="2001"/>
            </w:pPr>
            <w:r>
              <w:t>重量法</w:t>
            </w:r>
          </w:p>
        </w:tc>
        <w:tc>
          <w:tcPr>
            <w:tcW w:w="2828" w:type="dxa"/>
            <w:vAlign w:val="center"/>
          </w:tcPr>
          <w:p>
            <w:pPr>
              <w:pStyle w:val="2001"/>
            </w:pPr>
            <w:r>
              <w:t>XS105DU梅特勒电子天平</w:t>
            </w:r>
          </w:p>
        </w:tc>
        <w:tc>
          <w:tcPr>
            <w:tcW w:w="1617" w:type="dxa"/>
            <w:vAlign w:val="center"/>
          </w:tcPr>
          <w:p>
            <w:pPr>
              <w:pStyle w:val="2001"/>
            </w:pPr>
            <w:r>
              <w:t>2.0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c>
          <w:tcPr>
            <w:tcW w:w="1471" w:type="dxa"/>
            <w:vAlign w:val="center"/>
          </w:tcPr>
          <w:p>
            <w:pPr>
              <w:pStyle w:val="2001"/>
            </w:pPr>
            <w:r>
              <w:t>水温</w:t>
            </w:r>
          </w:p>
        </w:tc>
        <w:tc>
          <w:tcPr>
            <w:tcW w:w="2916" w:type="dxa"/>
            <w:vAlign w:val="center"/>
          </w:tcPr>
          <w:p>
            <w:pPr>
              <w:pStyle w:val="2001"/>
            </w:pPr>
            <w:r>
              <w:t>温度计法</w:t>
            </w:r>
          </w:p>
        </w:tc>
        <w:tc>
          <w:tcPr>
            <w:tcW w:w="2828" w:type="dxa"/>
            <w:vAlign w:val="center"/>
          </w:tcPr>
          <w:p>
            <w:pPr>
              <w:pStyle w:val="2001"/>
            </w:pPr>
            <w:r>
              <w:t>SWL1-1表层水温表</w:t>
            </w:r>
          </w:p>
        </w:tc>
        <w:tc>
          <w:tcPr>
            <w:tcW w:w="1617" w:type="dxa"/>
            <w:vAlign w:val="center"/>
          </w:tcPr>
          <w:p>
            <w:pPr>
              <w:pStyle w:val="2001"/>
            </w:pPr>
            <w: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c>
          <w:tcPr>
            <w:tcW w:w="1471" w:type="dxa"/>
            <w:vAlign w:val="center"/>
          </w:tcPr>
          <w:p>
            <w:pPr>
              <w:pStyle w:val="2001"/>
            </w:pPr>
            <w:r>
              <w:t>pH值</w:t>
            </w:r>
          </w:p>
        </w:tc>
        <w:tc>
          <w:tcPr>
            <w:tcW w:w="2916" w:type="dxa"/>
            <w:vAlign w:val="center"/>
          </w:tcPr>
          <w:p>
            <w:pPr>
              <w:pStyle w:val="2001"/>
            </w:pPr>
            <w:r>
              <w:t>pH计法</w:t>
            </w:r>
          </w:p>
        </w:tc>
        <w:tc>
          <w:tcPr>
            <w:tcW w:w="2828" w:type="dxa"/>
            <w:vAlign w:val="center"/>
          </w:tcPr>
          <w:p>
            <w:pPr>
              <w:pStyle w:val="2001"/>
            </w:pPr>
            <w:r>
              <w:t>PHSJ-4A 型pH计</w:t>
            </w:r>
          </w:p>
        </w:tc>
        <w:tc>
          <w:tcPr>
            <w:tcW w:w="1617" w:type="dxa"/>
            <w:vAlign w:val="center"/>
          </w:tcPr>
          <w:p>
            <w:pPr>
              <w:pStyle w:val="2001"/>
            </w:pPr>
            <w: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c>
          <w:tcPr>
            <w:tcW w:w="1471" w:type="dxa"/>
            <w:vAlign w:val="center"/>
          </w:tcPr>
          <w:p>
            <w:pPr>
              <w:pStyle w:val="2001"/>
            </w:pPr>
            <w:r>
              <w:t>溶解氧</w:t>
            </w:r>
          </w:p>
        </w:tc>
        <w:tc>
          <w:tcPr>
            <w:tcW w:w="2916" w:type="dxa"/>
            <w:vAlign w:val="center"/>
          </w:tcPr>
          <w:p>
            <w:pPr>
              <w:pStyle w:val="2001"/>
            </w:pPr>
            <w:r>
              <w:t>碘量法</w:t>
            </w:r>
          </w:p>
        </w:tc>
        <w:tc>
          <w:tcPr>
            <w:tcW w:w="2828" w:type="dxa"/>
            <w:vAlign w:val="center"/>
          </w:tcPr>
          <w:p>
            <w:pPr>
              <w:pStyle w:val="2001"/>
            </w:pPr>
            <w:r>
              <w:t>（滴定）</w:t>
            </w:r>
          </w:p>
        </w:tc>
        <w:tc>
          <w:tcPr>
            <w:tcW w:w="1617" w:type="dxa"/>
            <w:vAlign w:val="center"/>
          </w:tcPr>
          <w:p>
            <w:pPr>
              <w:pStyle w:val="2001"/>
            </w:pPr>
            <w:r>
              <w:t>0.042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c>
          <w:tcPr>
            <w:tcW w:w="1471" w:type="dxa"/>
            <w:vAlign w:val="center"/>
          </w:tcPr>
          <w:p>
            <w:pPr>
              <w:pStyle w:val="2001"/>
            </w:pPr>
            <w:r>
              <w:t>化学需氧量</w:t>
            </w:r>
          </w:p>
        </w:tc>
        <w:tc>
          <w:tcPr>
            <w:tcW w:w="2916" w:type="dxa"/>
            <w:vAlign w:val="center"/>
          </w:tcPr>
          <w:p>
            <w:pPr>
              <w:pStyle w:val="2001"/>
            </w:pPr>
            <w:r>
              <w:t>碱性高锰酸钾法</w:t>
            </w:r>
          </w:p>
        </w:tc>
        <w:tc>
          <w:tcPr>
            <w:tcW w:w="2828" w:type="dxa"/>
            <w:vAlign w:val="center"/>
          </w:tcPr>
          <w:p>
            <w:pPr>
              <w:pStyle w:val="2001"/>
            </w:pPr>
            <w:r>
              <w:t>（滴定）</w:t>
            </w:r>
          </w:p>
        </w:tc>
        <w:tc>
          <w:tcPr>
            <w:tcW w:w="1617" w:type="dxa"/>
            <w:vAlign w:val="center"/>
          </w:tcPr>
          <w:p>
            <w:pPr>
              <w:pStyle w:val="2001"/>
            </w:pPr>
            <w:r>
              <w:t>0.15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c>
          <w:tcPr>
            <w:tcW w:w="1471" w:type="dxa"/>
            <w:vAlign w:val="center"/>
          </w:tcPr>
          <w:p>
            <w:pPr>
              <w:pStyle w:val="2001"/>
            </w:pPr>
            <w:r>
              <w:t>氨氮</w:t>
            </w:r>
          </w:p>
        </w:tc>
        <w:tc>
          <w:tcPr>
            <w:tcW w:w="2916" w:type="dxa"/>
            <w:vAlign w:val="center"/>
          </w:tcPr>
          <w:p>
            <w:pPr>
              <w:pStyle w:val="2001"/>
            </w:pPr>
            <w:r>
              <w:t>次溴酸盐氧化法</w:t>
            </w:r>
          </w:p>
        </w:tc>
        <w:tc>
          <w:tcPr>
            <w:tcW w:w="2828" w:type="dxa"/>
            <w:vMerge w:val="restart"/>
            <w:vAlign w:val="center"/>
          </w:tcPr>
          <w:p>
            <w:pPr>
              <w:pStyle w:val="2001"/>
            </w:pPr>
            <w:r>
              <w:t>Cary100紫外可见分光光度计</w:t>
            </w:r>
          </w:p>
        </w:tc>
        <w:tc>
          <w:tcPr>
            <w:tcW w:w="1617" w:type="dxa"/>
            <w:vAlign w:val="center"/>
          </w:tcPr>
          <w:p>
            <w:pPr>
              <w:pStyle w:val="2001"/>
            </w:pPr>
            <w:r>
              <w:t>0.4×10</w:t>
            </w:r>
            <w:r>
              <w:rPr>
                <w:vertAlign w:val="subscript"/>
              </w:rPr>
              <w:t>-3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c>
          <w:tcPr>
            <w:tcW w:w="1471" w:type="dxa"/>
            <w:vAlign w:val="center"/>
          </w:tcPr>
          <w:p>
            <w:pPr>
              <w:pStyle w:val="2001"/>
            </w:pPr>
            <w:r>
              <w:t>硝酸盐</w:t>
            </w:r>
          </w:p>
        </w:tc>
        <w:tc>
          <w:tcPr>
            <w:tcW w:w="2916" w:type="dxa"/>
            <w:vAlign w:val="center"/>
          </w:tcPr>
          <w:p>
            <w:pPr>
              <w:pStyle w:val="2001"/>
            </w:pPr>
            <w:r>
              <w:t>锌镉还原法</w:t>
            </w:r>
          </w:p>
        </w:tc>
        <w:tc>
          <w:tcPr>
            <w:tcW w:w="2828" w:type="dxa"/>
            <w:vMerge w:val="continue"/>
            <w:vAlign w:val="center"/>
          </w:tcPr>
          <w:p>
            <w:pPr>
              <w:pStyle w:val="2001"/>
            </w:pPr>
          </w:p>
        </w:tc>
        <w:tc>
          <w:tcPr>
            <w:tcW w:w="1617" w:type="dxa"/>
            <w:vAlign w:val="center"/>
          </w:tcPr>
          <w:p>
            <w:pPr>
              <w:pStyle w:val="2001"/>
            </w:pPr>
            <w:r>
              <w:t>0.7×10</w:t>
            </w:r>
            <w:r>
              <w:rPr>
                <w:vertAlign w:val="subscript"/>
              </w:rPr>
              <w:t>-3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c>
          <w:tcPr>
            <w:tcW w:w="1471" w:type="dxa"/>
            <w:vAlign w:val="center"/>
          </w:tcPr>
          <w:p>
            <w:pPr>
              <w:pStyle w:val="2001"/>
            </w:pPr>
            <w:r>
              <w:t>亚硝酸盐</w:t>
            </w:r>
          </w:p>
        </w:tc>
        <w:tc>
          <w:tcPr>
            <w:tcW w:w="2916" w:type="dxa"/>
            <w:vAlign w:val="center"/>
          </w:tcPr>
          <w:p>
            <w:pPr>
              <w:pStyle w:val="2001"/>
            </w:pPr>
            <w:r>
              <w:t>萘乙二胺分光光度法</w:t>
            </w:r>
          </w:p>
        </w:tc>
        <w:tc>
          <w:tcPr>
            <w:tcW w:w="2828" w:type="dxa"/>
            <w:vMerge w:val="continue"/>
            <w:vAlign w:val="center"/>
          </w:tcPr>
          <w:p>
            <w:pPr>
              <w:pStyle w:val="2001"/>
            </w:pPr>
          </w:p>
        </w:tc>
        <w:tc>
          <w:tcPr>
            <w:tcW w:w="1617" w:type="dxa"/>
            <w:vAlign w:val="center"/>
          </w:tcPr>
          <w:p>
            <w:pPr>
              <w:pStyle w:val="2001"/>
            </w:pPr>
            <w:r>
              <w:t>0.5×10</w:t>
            </w:r>
            <w:r>
              <w:rPr>
                <w:vertAlign w:val="superscript"/>
              </w:rPr>
              <w:t>-3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c>
          <w:tcPr>
            <w:tcW w:w="1471" w:type="dxa"/>
            <w:vAlign w:val="center"/>
          </w:tcPr>
          <w:p>
            <w:pPr>
              <w:pStyle w:val="2001"/>
            </w:pPr>
            <w:r>
              <w:t>活性磷酸盐</w:t>
            </w:r>
          </w:p>
        </w:tc>
        <w:tc>
          <w:tcPr>
            <w:tcW w:w="2916" w:type="dxa"/>
            <w:vAlign w:val="center"/>
          </w:tcPr>
          <w:p>
            <w:pPr>
              <w:pStyle w:val="2001"/>
            </w:pPr>
            <w:r>
              <w:t>磷钼蓝分光光度法</w:t>
            </w:r>
          </w:p>
        </w:tc>
        <w:tc>
          <w:tcPr>
            <w:tcW w:w="2828" w:type="dxa"/>
            <w:vMerge w:val="continue"/>
            <w:vAlign w:val="center"/>
          </w:tcPr>
          <w:p>
            <w:pPr>
              <w:pStyle w:val="2001"/>
            </w:pPr>
          </w:p>
        </w:tc>
        <w:tc>
          <w:tcPr>
            <w:tcW w:w="1617" w:type="dxa"/>
            <w:vAlign w:val="center"/>
          </w:tcPr>
          <w:p>
            <w:pPr>
              <w:pStyle w:val="2001"/>
            </w:pPr>
            <w:r>
              <w:t>0.2×10</w:t>
            </w:r>
            <w:r>
              <w:rPr>
                <w:vertAlign w:val="superscript"/>
              </w:rPr>
              <w:t>-3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c>
          <w:tcPr>
            <w:tcW w:w="1471" w:type="dxa"/>
            <w:vAlign w:val="center"/>
          </w:tcPr>
          <w:p>
            <w:pPr>
              <w:pStyle w:val="2001"/>
            </w:pPr>
            <w:r>
              <w:t>油类</w:t>
            </w:r>
          </w:p>
        </w:tc>
        <w:tc>
          <w:tcPr>
            <w:tcW w:w="2916" w:type="dxa"/>
            <w:vAlign w:val="center"/>
          </w:tcPr>
          <w:p>
            <w:pPr>
              <w:pStyle w:val="2001"/>
            </w:pPr>
            <w:r>
              <w:t>紫外分光光度法</w:t>
            </w:r>
          </w:p>
        </w:tc>
        <w:tc>
          <w:tcPr>
            <w:tcW w:w="2828" w:type="dxa"/>
            <w:vAlign w:val="center"/>
          </w:tcPr>
          <w:p>
            <w:pPr>
              <w:pStyle w:val="2001"/>
            </w:pPr>
            <w:r>
              <w:t>Cary100紫外可见分光光度计</w:t>
            </w:r>
          </w:p>
        </w:tc>
        <w:tc>
          <w:tcPr>
            <w:tcW w:w="1617" w:type="dxa"/>
            <w:vAlign w:val="center"/>
          </w:tcPr>
          <w:p>
            <w:pPr>
              <w:pStyle w:val="2001"/>
            </w:pPr>
            <w:r>
              <w:t>3.5×10</w:t>
            </w:r>
            <w:r>
              <w:rPr>
                <w:vertAlign w:val="superscript"/>
              </w:rPr>
              <w:t>-3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c>
          <w:tcPr>
            <w:tcW w:w="1471" w:type="dxa"/>
            <w:vAlign w:val="center"/>
          </w:tcPr>
          <w:p>
            <w:pPr>
              <w:pStyle w:val="2001"/>
            </w:pPr>
            <w:r>
              <w:t>汞</w:t>
            </w:r>
          </w:p>
        </w:tc>
        <w:tc>
          <w:tcPr>
            <w:tcW w:w="2916" w:type="dxa"/>
            <w:vMerge w:val="restart"/>
            <w:vAlign w:val="center"/>
          </w:tcPr>
          <w:p>
            <w:pPr>
              <w:pStyle w:val="2001"/>
            </w:pPr>
            <w:r>
              <w:t>原子荧光法</w:t>
            </w:r>
          </w:p>
        </w:tc>
        <w:tc>
          <w:tcPr>
            <w:tcW w:w="2828" w:type="dxa"/>
            <w:vMerge w:val="restart"/>
            <w:vAlign w:val="center"/>
          </w:tcPr>
          <w:p>
            <w:pPr>
              <w:pStyle w:val="2001"/>
            </w:pPr>
            <w:r>
              <w:t>AFS-830 原子荧光光度计</w:t>
            </w:r>
          </w:p>
        </w:tc>
        <w:tc>
          <w:tcPr>
            <w:tcW w:w="1617" w:type="dxa"/>
            <w:vAlign w:val="center"/>
          </w:tcPr>
          <w:p>
            <w:pPr>
              <w:pStyle w:val="2001"/>
            </w:pPr>
            <w:r>
              <w:t>0.007×10</w:t>
            </w:r>
            <w:r>
              <w:rPr>
                <w:vertAlign w:val="superscript"/>
              </w:rPr>
              <w:t>-6</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c>
          <w:tcPr>
            <w:tcW w:w="1471" w:type="dxa"/>
            <w:vAlign w:val="center"/>
          </w:tcPr>
          <w:p>
            <w:pPr>
              <w:pStyle w:val="2001"/>
            </w:pPr>
            <w:r>
              <w:t>砷</w:t>
            </w:r>
          </w:p>
        </w:tc>
        <w:tc>
          <w:tcPr>
            <w:tcW w:w="2916" w:type="dxa"/>
            <w:vMerge w:val="continue"/>
            <w:vAlign w:val="center"/>
          </w:tcPr>
          <w:p>
            <w:pPr>
              <w:pStyle w:val="2001"/>
            </w:pPr>
          </w:p>
        </w:tc>
        <w:tc>
          <w:tcPr>
            <w:tcW w:w="2828" w:type="dxa"/>
            <w:vMerge w:val="continue"/>
            <w:vAlign w:val="center"/>
          </w:tcPr>
          <w:p>
            <w:pPr>
              <w:pStyle w:val="2001"/>
            </w:pPr>
          </w:p>
        </w:tc>
        <w:tc>
          <w:tcPr>
            <w:tcW w:w="1617" w:type="dxa"/>
            <w:vAlign w:val="center"/>
          </w:tcPr>
          <w:p>
            <w:pPr>
              <w:pStyle w:val="2001"/>
            </w:pPr>
            <w:r>
              <w:t>0.5×10</w:t>
            </w:r>
            <w:r>
              <w:rPr>
                <w:vertAlign w:val="superscript"/>
              </w:rPr>
              <w:t>-3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c>
          <w:tcPr>
            <w:tcW w:w="1471" w:type="dxa"/>
            <w:vAlign w:val="center"/>
          </w:tcPr>
          <w:p>
            <w:pPr>
              <w:pStyle w:val="2001"/>
            </w:pPr>
            <w:r>
              <w:t>镉</w:t>
            </w:r>
          </w:p>
        </w:tc>
        <w:tc>
          <w:tcPr>
            <w:tcW w:w="2916" w:type="dxa"/>
            <w:vMerge w:val="restart"/>
            <w:vAlign w:val="center"/>
          </w:tcPr>
          <w:p>
            <w:pPr>
              <w:pStyle w:val="2001"/>
            </w:pPr>
            <w:r>
              <w:t>无火焰原子吸收分光光度法</w:t>
            </w:r>
          </w:p>
        </w:tc>
        <w:tc>
          <w:tcPr>
            <w:tcW w:w="2828" w:type="dxa"/>
            <w:vMerge w:val="restart"/>
            <w:vAlign w:val="center"/>
          </w:tcPr>
          <w:p>
            <w:pPr>
              <w:pStyle w:val="2001"/>
            </w:pPr>
            <w:r>
              <w:t>AA 800 原子吸收光谱仪</w:t>
            </w:r>
          </w:p>
        </w:tc>
        <w:tc>
          <w:tcPr>
            <w:tcW w:w="1617" w:type="dxa"/>
            <w:vAlign w:val="center"/>
          </w:tcPr>
          <w:p>
            <w:pPr>
              <w:pStyle w:val="2001"/>
            </w:pPr>
            <w:r>
              <w:t>0.01×10</w:t>
            </w:r>
            <w:r>
              <w:rPr>
                <w:vertAlign w:val="superscript"/>
              </w:rPr>
              <w:t>-3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c>
          <w:tcPr>
            <w:tcW w:w="1471" w:type="dxa"/>
            <w:vAlign w:val="center"/>
          </w:tcPr>
          <w:p>
            <w:pPr>
              <w:pStyle w:val="2001"/>
            </w:pPr>
            <w:r>
              <w:t>铅</w:t>
            </w:r>
          </w:p>
        </w:tc>
        <w:tc>
          <w:tcPr>
            <w:tcW w:w="2916" w:type="dxa"/>
            <w:vMerge w:val="continue"/>
            <w:vAlign w:val="center"/>
          </w:tcPr>
          <w:p>
            <w:pPr>
              <w:pStyle w:val="2001"/>
            </w:pPr>
          </w:p>
        </w:tc>
        <w:tc>
          <w:tcPr>
            <w:tcW w:w="2828" w:type="dxa"/>
            <w:vMerge w:val="continue"/>
            <w:vAlign w:val="center"/>
          </w:tcPr>
          <w:p>
            <w:pPr>
              <w:pStyle w:val="2001"/>
            </w:pPr>
          </w:p>
        </w:tc>
        <w:tc>
          <w:tcPr>
            <w:tcW w:w="1617" w:type="dxa"/>
            <w:vAlign w:val="center"/>
          </w:tcPr>
          <w:p>
            <w:pPr>
              <w:pStyle w:val="2001"/>
            </w:pPr>
            <w:r>
              <w:t>0.03×10</w:t>
            </w:r>
            <w:r>
              <w:rPr>
                <w:vertAlign w:val="superscript"/>
              </w:rPr>
              <w:t>-3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c>
          <w:tcPr>
            <w:tcW w:w="1471" w:type="dxa"/>
            <w:vAlign w:val="center"/>
          </w:tcPr>
          <w:p>
            <w:pPr>
              <w:pStyle w:val="2001"/>
            </w:pPr>
            <w:r>
              <w:t>总铬</w:t>
            </w:r>
          </w:p>
        </w:tc>
        <w:tc>
          <w:tcPr>
            <w:tcW w:w="2916" w:type="dxa"/>
            <w:vMerge w:val="continue"/>
            <w:vAlign w:val="center"/>
          </w:tcPr>
          <w:p>
            <w:pPr>
              <w:pStyle w:val="2001"/>
            </w:pPr>
          </w:p>
        </w:tc>
        <w:tc>
          <w:tcPr>
            <w:tcW w:w="2828" w:type="dxa"/>
            <w:vMerge w:val="continue"/>
            <w:vAlign w:val="center"/>
          </w:tcPr>
          <w:p>
            <w:pPr>
              <w:pStyle w:val="2001"/>
            </w:pPr>
          </w:p>
        </w:tc>
        <w:tc>
          <w:tcPr>
            <w:tcW w:w="1617" w:type="dxa"/>
            <w:vAlign w:val="center"/>
          </w:tcPr>
          <w:p>
            <w:pPr>
              <w:pStyle w:val="2001"/>
            </w:pPr>
            <w:r>
              <w:t>0.4 ×10</w:t>
            </w:r>
            <w:r>
              <w:rPr>
                <w:vertAlign w:val="superscript"/>
              </w:rPr>
              <w:t>-3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c>
          <w:tcPr>
            <w:tcW w:w="1471" w:type="dxa"/>
            <w:vAlign w:val="center"/>
          </w:tcPr>
          <w:p>
            <w:pPr>
              <w:pStyle w:val="2001"/>
            </w:pPr>
            <w:r>
              <w:t>铜</w:t>
            </w:r>
          </w:p>
        </w:tc>
        <w:tc>
          <w:tcPr>
            <w:tcW w:w="2916" w:type="dxa"/>
            <w:vMerge w:val="continue"/>
            <w:vAlign w:val="center"/>
          </w:tcPr>
          <w:p>
            <w:pPr>
              <w:pStyle w:val="2001"/>
            </w:pPr>
          </w:p>
        </w:tc>
        <w:tc>
          <w:tcPr>
            <w:tcW w:w="2828" w:type="dxa"/>
            <w:vMerge w:val="continue"/>
            <w:vAlign w:val="center"/>
          </w:tcPr>
          <w:p>
            <w:pPr>
              <w:pStyle w:val="2001"/>
            </w:pPr>
          </w:p>
        </w:tc>
        <w:tc>
          <w:tcPr>
            <w:tcW w:w="1617" w:type="dxa"/>
            <w:vAlign w:val="center"/>
          </w:tcPr>
          <w:p>
            <w:pPr>
              <w:pStyle w:val="2001"/>
            </w:pPr>
            <w:r>
              <w:t>0.0002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c>
          <w:tcPr>
            <w:tcW w:w="1471" w:type="dxa"/>
            <w:vAlign w:val="center"/>
          </w:tcPr>
          <w:p>
            <w:pPr>
              <w:pStyle w:val="2001"/>
            </w:pPr>
            <w:r>
              <w:t>锌</w:t>
            </w:r>
          </w:p>
        </w:tc>
        <w:tc>
          <w:tcPr>
            <w:tcW w:w="2916" w:type="dxa"/>
            <w:vAlign w:val="center"/>
          </w:tcPr>
          <w:p>
            <w:pPr>
              <w:pStyle w:val="2001"/>
            </w:pPr>
            <w:r>
              <w:t>火焰原子吸收分光光度法</w:t>
            </w:r>
          </w:p>
        </w:tc>
        <w:tc>
          <w:tcPr>
            <w:tcW w:w="2828" w:type="dxa"/>
            <w:vMerge w:val="continue"/>
            <w:vAlign w:val="center"/>
          </w:tcPr>
          <w:p>
            <w:pPr>
              <w:pStyle w:val="2001"/>
            </w:pPr>
          </w:p>
        </w:tc>
        <w:tc>
          <w:tcPr>
            <w:tcW w:w="1617" w:type="dxa"/>
            <w:vAlign w:val="center"/>
          </w:tcPr>
          <w:p>
            <w:pPr>
              <w:pStyle w:val="2001"/>
            </w:pPr>
            <w:r>
              <w:t>3.1×10</w:t>
            </w:r>
            <w:r>
              <w:rPr>
                <w:vertAlign w:val="superscript"/>
              </w:rPr>
              <w:t>-3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c>
          <w:tcPr>
            <w:tcW w:w="1471" w:type="dxa"/>
            <w:vAlign w:val="center"/>
          </w:tcPr>
          <w:p>
            <w:pPr>
              <w:pStyle w:val="2001"/>
            </w:pPr>
            <w:r>
              <w:t>硫化物</w:t>
            </w:r>
          </w:p>
        </w:tc>
        <w:tc>
          <w:tcPr>
            <w:tcW w:w="2916" w:type="dxa"/>
            <w:vAlign w:val="center"/>
          </w:tcPr>
          <w:p>
            <w:pPr>
              <w:pStyle w:val="2001"/>
            </w:pPr>
            <w:r>
              <w:t>亚甲基蓝分光光度法</w:t>
            </w:r>
          </w:p>
        </w:tc>
        <w:tc>
          <w:tcPr>
            <w:tcW w:w="2828" w:type="dxa"/>
            <w:vAlign w:val="center"/>
          </w:tcPr>
          <w:p>
            <w:pPr>
              <w:pStyle w:val="2001"/>
            </w:pPr>
            <w:r>
              <w:t>2102C 紫外分光光度计</w:t>
            </w:r>
          </w:p>
        </w:tc>
        <w:tc>
          <w:tcPr>
            <w:tcW w:w="1617" w:type="dxa"/>
            <w:vAlign w:val="center"/>
          </w:tcPr>
          <w:p>
            <w:pPr>
              <w:pStyle w:val="2001"/>
            </w:pPr>
            <w:r>
              <w:t>0.0002</w:t>
            </w:r>
          </w:p>
        </w:tc>
      </w:tr>
    </w:tbl>
    <w:p>
      <w:pPr>
        <w:pStyle w:val="6"/>
        <w:rPr>
          <w:color w:val="000000" w:themeColor="text1"/>
          <w14:textFill>
            <w14:solidFill>
              <w14:schemeClr w14:val="tx1"/>
            </w14:solidFill>
          </w14:textFill>
        </w:rPr>
      </w:pPr>
      <w:r>
        <w:rPr>
          <w:color w:val="000000" w:themeColor="text1"/>
          <w14:textFill>
            <w14:solidFill>
              <w14:schemeClr w14:val="tx1"/>
            </w14:solidFill>
          </w14:textFill>
        </w:rPr>
        <w:t>监测结果</w:t>
      </w:r>
    </w:p>
    <w:p>
      <w:pPr>
        <w:pStyle w:val="1075"/>
        <w:rPr>
          <w:color w:val="000000" w:themeColor="text1"/>
          <w:lang w:bidi="zh-CN"/>
          <w14:textFill>
            <w14:solidFill>
              <w14:schemeClr w14:val="tx1"/>
            </w14:solidFill>
          </w14:textFill>
        </w:rPr>
      </w:pPr>
      <w:r>
        <w:rPr>
          <w:color w:val="000000" w:themeColor="text1"/>
          <w:lang w:bidi="zh-CN"/>
          <w14:textFill>
            <w14:solidFill>
              <w14:schemeClr w14:val="tx1"/>
            </w14:solidFill>
          </w14:textFill>
        </w:rPr>
        <w:t>2021年11月（</w:t>
      </w:r>
      <w:r>
        <w:rPr>
          <w:rFonts w:hint="eastAsia"/>
          <w:color w:val="000000" w:themeColor="text1"/>
          <w:lang w:bidi="zh-CN"/>
          <w14:textFill>
            <w14:solidFill>
              <w14:schemeClr w14:val="tx1"/>
            </w14:solidFill>
          </w14:textFill>
        </w:rPr>
        <w:t>秋季</w:t>
      </w:r>
      <w:r>
        <w:rPr>
          <w:color w:val="000000" w:themeColor="text1"/>
          <w:lang w:bidi="zh-CN"/>
          <w14:textFill>
            <w14:solidFill>
              <w14:schemeClr w14:val="tx1"/>
            </w14:solidFill>
          </w14:textFill>
        </w:rPr>
        <w:t>）、2022年4月（春季）海水水质调查结果见表3.3-4～表3.3-7。</w:t>
      </w:r>
    </w:p>
    <w:p>
      <w:pPr>
        <w:pStyle w:val="1075"/>
        <w:rPr>
          <w:color w:val="000000" w:themeColor="text1"/>
          <w:lang w:bidi="zh-CN"/>
          <w14:textFill>
            <w14:solidFill>
              <w14:schemeClr w14:val="tx1"/>
            </w14:solidFill>
          </w14:textFill>
        </w:rPr>
        <w:sectPr>
          <w:headerReference r:id="rId23" w:type="even"/>
          <w:pgSz w:w="11910" w:h="16840"/>
          <w:pgMar w:top="1418" w:right="1514" w:bottom="1418" w:left="1780" w:header="1134" w:footer="992" w:gutter="0"/>
          <w:pgNumType w:fmt="numberInDash"/>
          <w:cols w:space="720" w:num="1"/>
          <w:docGrid w:type="linesAndChars" w:linePitch="466" w:charSpace="1434"/>
        </w:sectPr>
      </w:pPr>
    </w:p>
    <w:p>
      <w:pPr>
        <w:pStyle w:val="384"/>
        <w:ind w:left="0" w:firstLine="482"/>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2021年11月调查水质要素调查结果</w:t>
      </w:r>
    </w:p>
    <w:p>
      <w:pPr>
        <w:spacing w:line="240" w:lineRule="exact"/>
        <w:rPr>
          <w:color w:val="000000" w:themeColor="text1"/>
          <w:sz w:val="18"/>
          <w:szCs w:val="18"/>
          <w14:textFill>
            <w14:solidFill>
              <w14:schemeClr w14:val="tx1"/>
            </w14:solidFill>
          </w14:textFill>
        </w:rPr>
      </w:pPr>
    </w:p>
    <w:p>
      <w:pPr>
        <w:spacing w:line="240" w:lineRule="exact"/>
        <w:rPr>
          <w:color w:val="000000" w:themeColor="text1"/>
          <w:sz w:val="18"/>
          <w:szCs w:val="18"/>
          <w14:textFill>
            <w14:solidFill>
              <w14:schemeClr w14:val="tx1"/>
            </w14:solidFill>
          </w14:textFill>
        </w:rPr>
      </w:pPr>
    </w:p>
    <w:p>
      <w:pPr>
        <w:pStyle w:val="384"/>
        <w:ind w:left="0" w:firstLine="482"/>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2021年11月调查水质要素调查结果（续表）</w:t>
      </w:r>
    </w:p>
    <w:p>
      <w:pPr>
        <w:widowControl/>
        <w:jc w:val="left"/>
        <w:rPr>
          <w:color w:val="000000" w:themeColor="text1"/>
          <w:sz w:val="18"/>
          <w:szCs w:val="18"/>
          <w14:textFill>
            <w14:solidFill>
              <w14:schemeClr w14:val="tx1"/>
            </w14:solidFill>
          </w14:textFill>
        </w:rPr>
      </w:pPr>
    </w:p>
    <w:p>
      <w:pPr>
        <w:pStyle w:val="384"/>
        <w:ind w:left="0" w:firstLine="482"/>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2022年4月调查水质要素调查结果</w:t>
      </w:r>
    </w:p>
    <w:p>
      <w:pPr>
        <w:pStyle w:val="384"/>
        <w:ind w:left="0" w:firstLine="482"/>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2022年4月调查水质要素调查结果（续表）</w:t>
      </w:r>
    </w:p>
    <w:p>
      <w:pPr>
        <w:spacing w:line="240" w:lineRule="exact"/>
        <w:rPr>
          <w:color w:val="000000" w:themeColor="text1"/>
          <w:sz w:val="18"/>
          <w:szCs w:val="18"/>
          <w14:textFill>
            <w14:solidFill>
              <w14:schemeClr w14:val="tx1"/>
            </w14:solidFill>
          </w14:textFill>
        </w:rPr>
      </w:pPr>
    </w:p>
    <w:p>
      <w:pPr>
        <w:spacing w:line="240" w:lineRule="exact"/>
        <w:rPr>
          <w:color w:val="000000" w:themeColor="text1"/>
          <w:sz w:val="18"/>
          <w:szCs w:val="18"/>
          <w14:textFill>
            <w14:solidFill>
              <w14:schemeClr w14:val="tx1"/>
            </w14:solidFill>
          </w14:textFill>
        </w:rPr>
        <w:sectPr>
          <w:pgSz w:w="16840" w:h="11910" w:orient="landscape"/>
          <w:pgMar w:top="1780" w:right="1418" w:bottom="1514" w:left="1418" w:header="1134" w:footer="992" w:gutter="0"/>
          <w:cols w:space="720" w:num="1"/>
          <w:docGrid w:type="linesAndChars" w:linePitch="466" w:charSpace="1434"/>
        </w:sectPr>
      </w:pPr>
    </w:p>
    <w:p>
      <w:pPr>
        <w:pStyle w:val="6"/>
        <w:rPr>
          <w:color w:val="000000" w:themeColor="text1"/>
          <w14:textFill>
            <w14:solidFill>
              <w14:schemeClr w14:val="tx1"/>
            </w14:solidFill>
          </w14:textFill>
        </w:rPr>
      </w:pPr>
      <w:r>
        <w:rPr>
          <w:color w:val="000000" w:themeColor="text1"/>
          <w14:textFill>
            <w14:solidFill>
              <w14:schemeClr w14:val="tx1"/>
            </w14:solidFill>
          </w14:textFill>
        </w:rPr>
        <w:t>评价标准与方法</w:t>
      </w:r>
    </w:p>
    <w:p>
      <w:pPr>
        <w:pStyle w:val="1075"/>
        <w:rPr>
          <w:color w:val="000000" w:themeColor="text1"/>
          <w:lang w:bidi="zh-CN"/>
          <w14:textFill>
            <w14:solidFill>
              <w14:schemeClr w14:val="tx1"/>
            </w14:solidFill>
          </w14:textFill>
        </w:rPr>
      </w:pPr>
      <w:r>
        <w:rPr>
          <w:color w:val="000000" w:themeColor="text1"/>
          <w:lang w:bidi="zh-CN"/>
          <w14:textFill>
            <w14:solidFill>
              <w14:schemeClr w14:val="tx1"/>
            </w14:solidFill>
          </w14:textFill>
        </w:rPr>
        <w:t>按照</w:t>
      </w:r>
      <w:r>
        <w:rPr>
          <w:color w:val="000000" w:themeColor="text1"/>
          <w14:textFill>
            <w14:solidFill>
              <w14:schemeClr w14:val="tx1"/>
            </w14:solidFill>
          </w14:textFill>
        </w:rPr>
        <w:t>《广西壮族自治区生态环境厅关于印发广西壮族自治区近岸海域环境功能区划调整方案的通知》（桂环发〔2023〕9号）</w:t>
      </w:r>
      <w:r>
        <w:rPr>
          <w:color w:val="000000" w:themeColor="text1"/>
          <w:lang w:bidi="zh-CN"/>
          <w14:textFill>
            <w14:solidFill>
              <w14:schemeClr w14:val="tx1"/>
            </w14:solidFill>
          </w14:textFill>
        </w:rPr>
        <w:t>的环境管理要求，所有站位均采用《海水水质标准》（GB3097-1997）中的相应水质标准要求进行评价，各站位执行水质标准详见表3.3-8。</w:t>
      </w:r>
    </w:p>
    <w:p>
      <w:pPr>
        <w:pStyle w:val="384"/>
        <w:ind w:left="0" w:firstLine="482"/>
        <w:rPr>
          <w:rFonts w:cs="Times New Roman"/>
          <w:color w:val="000000" w:themeColor="text1"/>
          <w:lang w:bidi="zh-CN"/>
          <w14:textFill>
            <w14:solidFill>
              <w14:schemeClr w14:val="tx1"/>
            </w14:solidFill>
          </w14:textFill>
        </w:rPr>
      </w:pPr>
      <w:r>
        <w:rPr>
          <w:rFonts w:cs="Times New Roman"/>
          <w:color w:val="000000" w:themeColor="text1"/>
          <w14:textFill>
            <w14:solidFill>
              <w14:schemeClr w14:val="tx1"/>
            </w14:solidFill>
          </w14:textFill>
        </w:rPr>
        <w:t>各站位所属功能区及海水水质评价标准</w:t>
      </w:r>
    </w:p>
    <w:tbl>
      <w:tblPr>
        <w:tblStyle w:val="88"/>
        <w:tblW w:w="8831" w:type="dxa"/>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446"/>
        <w:gridCol w:w="2621"/>
        <w:gridCol w:w="3499"/>
        <w:gridCol w:w="1265"/>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c>
          <w:tcPr>
            <w:tcW w:w="1446" w:type="dxa"/>
            <w:shd w:val="clear" w:color="auto" w:fill="auto"/>
            <w:noWrap/>
            <w:vAlign w:val="center"/>
          </w:tcPr>
          <w:p>
            <w:pPr>
              <w:pStyle w:val="2001"/>
            </w:pPr>
            <w:r>
              <w:t>监测时间</w:t>
            </w:r>
          </w:p>
        </w:tc>
        <w:tc>
          <w:tcPr>
            <w:tcW w:w="2621" w:type="dxa"/>
            <w:shd w:val="clear" w:color="auto" w:fill="auto"/>
            <w:noWrap/>
            <w:vAlign w:val="center"/>
          </w:tcPr>
          <w:p>
            <w:pPr>
              <w:pStyle w:val="2001"/>
            </w:pPr>
            <w:r>
              <w:t>近岸海域环境功能区划所属功能区</w:t>
            </w:r>
          </w:p>
        </w:tc>
        <w:tc>
          <w:tcPr>
            <w:tcW w:w="3499" w:type="dxa"/>
            <w:shd w:val="clear" w:color="auto" w:fill="auto"/>
            <w:vAlign w:val="center"/>
          </w:tcPr>
          <w:p>
            <w:pPr>
              <w:pStyle w:val="2001"/>
            </w:pPr>
            <w:r>
              <w:t>站位</w:t>
            </w:r>
          </w:p>
        </w:tc>
        <w:tc>
          <w:tcPr>
            <w:tcW w:w="1265" w:type="dxa"/>
            <w:shd w:val="clear" w:color="auto" w:fill="auto"/>
            <w:noWrap/>
            <w:vAlign w:val="center"/>
          </w:tcPr>
          <w:p>
            <w:pPr>
              <w:pStyle w:val="2001"/>
            </w:pPr>
            <w:r>
              <w:t>执行海水水质标准</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c>
          <w:tcPr>
            <w:tcW w:w="1446" w:type="dxa"/>
            <w:vMerge w:val="restart"/>
            <w:shd w:val="clear" w:color="auto" w:fill="auto"/>
            <w:noWrap/>
            <w:vAlign w:val="center"/>
          </w:tcPr>
          <w:p>
            <w:pPr>
              <w:pStyle w:val="2001"/>
            </w:pPr>
            <w:r>
              <w:t>2021年11月（</w:t>
            </w:r>
            <w:r>
              <w:rPr>
                <w:rFonts w:hint="eastAsia"/>
              </w:rPr>
              <w:t>秋季</w:t>
            </w:r>
            <w:r>
              <w:t>）</w:t>
            </w:r>
          </w:p>
        </w:tc>
        <w:tc>
          <w:tcPr>
            <w:tcW w:w="2621" w:type="dxa"/>
            <w:shd w:val="clear" w:color="auto" w:fill="auto"/>
            <w:vAlign w:val="center"/>
          </w:tcPr>
          <w:p>
            <w:pPr>
              <w:pStyle w:val="2001"/>
            </w:pPr>
            <w:r>
              <w:t>GX069BⅡ</w:t>
            </w:r>
          </w:p>
        </w:tc>
        <w:tc>
          <w:tcPr>
            <w:tcW w:w="3499" w:type="dxa"/>
            <w:shd w:val="clear" w:color="auto" w:fill="auto"/>
            <w:vAlign w:val="center"/>
          </w:tcPr>
          <w:p>
            <w:pPr>
              <w:pStyle w:val="2001"/>
            </w:pPr>
            <w:r>
              <w:t>1、2</w:t>
            </w:r>
          </w:p>
        </w:tc>
        <w:tc>
          <w:tcPr>
            <w:tcW w:w="1265" w:type="dxa"/>
            <w:shd w:val="clear" w:color="auto" w:fill="auto"/>
            <w:noWrap/>
            <w:vAlign w:val="center"/>
          </w:tcPr>
          <w:p>
            <w:pPr>
              <w:pStyle w:val="2001"/>
            </w:pPr>
            <w:r>
              <w:t>第二类</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c>
          <w:tcPr>
            <w:tcW w:w="1446" w:type="dxa"/>
            <w:vMerge w:val="continue"/>
            <w:vAlign w:val="center"/>
          </w:tcPr>
          <w:p>
            <w:pPr>
              <w:pStyle w:val="2001"/>
            </w:pPr>
          </w:p>
        </w:tc>
        <w:tc>
          <w:tcPr>
            <w:tcW w:w="2621" w:type="dxa"/>
            <w:shd w:val="clear" w:color="auto" w:fill="auto"/>
            <w:vAlign w:val="center"/>
          </w:tcPr>
          <w:p>
            <w:pPr>
              <w:pStyle w:val="2001"/>
            </w:pPr>
            <w:r>
              <w:t>GX054DⅣ</w:t>
            </w:r>
            <w:r>
              <w:rPr>
                <w:rFonts w:hint="eastAsia"/>
              </w:rPr>
              <w:t>水质过渡带</w:t>
            </w:r>
          </w:p>
        </w:tc>
        <w:tc>
          <w:tcPr>
            <w:tcW w:w="3499" w:type="dxa"/>
            <w:shd w:val="clear" w:color="auto" w:fill="auto"/>
            <w:vAlign w:val="center"/>
          </w:tcPr>
          <w:p>
            <w:pPr>
              <w:pStyle w:val="2001"/>
            </w:pPr>
            <w:r>
              <w:t>3</w:t>
            </w:r>
          </w:p>
        </w:tc>
        <w:tc>
          <w:tcPr>
            <w:tcW w:w="1265" w:type="dxa"/>
            <w:shd w:val="clear" w:color="auto" w:fill="auto"/>
            <w:noWrap/>
            <w:vAlign w:val="center"/>
          </w:tcPr>
          <w:p>
            <w:pPr>
              <w:pStyle w:val="2001"/>
            </w:pPr>
            <w:r>
              <w:t>第三类</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c>
          <w:tcPr>
            <w:tcW w:w="1446" w:type="dxa"/>
            <w:vMerge w:val="continue"/>
            <w:vAlign w:val="center"/>
          </w:tcPr>
          <w:p>
            <w:pPr>
              <w:pStyle w:val="2001"/>
            </w:pPr>
          </w:p>
        </w:tc>
        <w:tc>
          <w:tcPr>
            <w:tcW w:w="2621" w:type="dxa"/>
            <w:shd w:val="clear" w:color="auto" w:fill="auto"/>
            <w:vAlign w:val="center"/>
          </w:tcPr>
          <w:p>
            <w:pPr>
              <w:pStyle w:val="2001"/>
            </w:pPr>
            <w:r>
              <w:t>GX073CⅢ</w:t>
            </w:r>
          </w:p>
        </w:tc>
        <w:tc>
          <w:tcPr>
            <w:tcW w:w="3499" w:type="dxa"/>
            <w:shd w:val="clear" w:color="auto" w:fill="auto"/>
            <w:vAlign w:val="center"/>
          </w:tcPr>
          <w:p>
            <w:pPr>
              <w:pStyle w:val="2001"/>
            </w:pPr>
            <w:r>
              <w:t>4、5</w:t>
            </w:r>
          </w:p>
        </w:tc>
        <w:tc>
          <w:tcPr>
            <w:tcW w:w="1265" w:type="dxa"/>
            <w:shd w:val="clear" w:color="auto" w:fill="auto"/>
            <w:noWrap/>
            <w:vAlign w:val="center"/>
          </w:tcPr>
          <w:p>
            <w:pPr>
              <w:pStyle w:val="2001"/>
            </w:pPr>
            <w:r>
              <w:t>第三类</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c>
          <w:tcPr>
            <w:tcW w:w="1446" w:type="dxa"/>
            <w:vMerge w:val="continue"/>
            <w:vAlign w:val="center"/>
          </w:tcPr>
          <w:p>
            <w:pPr>
              <w:pStyle w:val="2001"/>
            </w:pPr>
          </w:p>
        </w:tc>
        <w:tc>
          <w:tcPr>
            <w:tcW w:w="2621" w:type="dxa"/>
            <w:shd w:val="clear" w:color="auto" w:fill="auto"/>
            <w:vAlign w:val="center"/>
          </w:tcPr>
          <w:p>
            <w:pPr>
              <w:pStyle w:val="2001"/>
            </w:pPr>
            <w:r>
              <w:t>GX074DⅣ</w:t>
            </w:r>
          </w:p>
        </w:tc>
        <w:tc>
          <w:tcPr>
            <w:tcW w:w="3499" w:type="dxa"/>
            <w:shd w:val="clear" w:color="auto" w:fill="auto"/>
            <w:vAlign w:val="center"/>
          </w:tcPr>
          <w:p>
            <w:pPr>
              <w:pStyle w:val="2001"/>
            </w:pPr>
            <w:r>
              <w:t>6</w:t>
            </w:r>
          </w:p>
        </w:tc>
        <w:tc>
          <w:tcPr>
            <w:tcW w:w="1265" w:type="dxa"/>
            <w:shd w:val="clear" w:color="auto" w:fill="auto"/>
            <w:noWrap/>
            <w:vAlign w:val="center"/>
          </w:tcPr>
          <w:p>
            <w:pPr>
              <w:pStyle w:val="2001"/>
            </w:pPr>
            <w:r>
              <w:t>第四类</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c>
          <w:tcPr>
            <w:tcW w:w="1446" w:type="dxa"/>
            <w:vMerge w:val="continue"/>
            <w:vAlign w:val="center"/>
          </w:tcPr>
          <w:p>
            <w:pPr>
              <w:pStyle w:val="2001"/>
            </w:pPr>
          </w:p>
        </w:tc>
        <w:tc>
          <w:tcPr>
            <w:tcW w:w="2621" w:type="dxa"/>
            <w:shd w:val="clear" w:color="auto" w:fill="auto"/>
            <w:vAlign w:val="center"/>
          </w:tcPr>
          <w:p>
            <w:pPr>
              <w:pStyle w:val="2001"/>
            </w:pPr>
            <w:r>
              <w:t>GX053BⅡ</w:t>
            </w:r>
          </w:p>
        </w:tc>
        <w:tc>
          <w:tcPr>
            <w:tcW w:w="3499" w:type="dxa"/>
            <w:shd w:val="clear" w:color="auto" w:fill="auto"/>
            <w:vAlign w:val="center"/>
          </w:tcPr>
          <w:p>
            <w:pPr>
              <w:pStyle w:val="2001"/>
            </w:pPr>
            <w:r>
              <w:t>7.8.9.10</w:t>
            </w:r>
          </w:p>
        </w:tc>
        <w:tc>
          <w:tcPr>
            <w:tcW w:w="1265" w:type="dxa"/>
            <w:shd w:val="clear" w:color="auto" w:fill="auto"/>
            <w:noWrap/>
            <w:vAlign w:val="center"/>
          </w:tcPr>
          <w:p>
            <w:pPr>
              <w:pStyle w:val="2001"/>
            </w:pPr>
            <w:r>
              <w:t>第二类</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c>
          <w:tcPr>
            <w:tcW w:w="1446" w:type="dxa"/>
            <w:vMerge w:val="continue"/>
            <w:vAlign w:val="center"/>
          </w:tcPr>
          <w:p>
            <w:pPr>
              <w:pStyle w:val="2001"/>
            </w:pPr>
          </w:p>
        </w:tc>
        <w:tc>
          <w:tcPr>
            <w:tcW w:w="2621" w:type="dxa"/>
            <w:shd w:val="clear" w:color="auto" w:fill="auto"/>
            <w:vAlign w:val="center"/>
          </w:tcPr>
          <w:p>
            <w:pPr>
              <w:pStyle w:val="2001"/>
            </w:pPr>
            <w:r>
              <w:t>GX055DⅣ</w:t>
            </w:r>
          </w:p>
        </w:tc>
        <w:tc>
          <w:tcPr>
            <w:tcW w:w="3499" w:type="dxa"/>
            <w:shd w:val="clear" w:color="auto" w:fill="auto"/>
            <w:vAlign w:val="center"/>
          </w:tcPr>
          <w:p>
            <w:pPr>
              <w:pStyle w:val="2001"/>
            </w:pPr>
            <w:r>
              <w:t>11</w:t>
            </w:r>
          </w:p>
        </w:tc>
        <w:tc>
          <w:tcPr>
            <w:tcW w:w="1265" w:type="dxa"/>
            <w:shd w:val="clear" w:color="auto" w:fill="auto"/>
            <w:noWrap/>
            <w:vAlign w:val="center"/>
          </w:tcPr>
          <w:p>
            <w:pPr>
              <w:pStyle w:val="2001"/>
            </w:pPr>
            <w:r>
              <w:t>第四类</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c>
          <w:tcPr>
            <w:tcW w:w="1446" w:type="dxa"/>
            <w:vMerge w:val="continue"/>
            <w:vAlign w:val="center"/>
          </w:tcPr>
          <w:p>
            <w:pPr>
              <w:pStyle w:val="2001"/>
            </w:pPr>
          </w:p>
        </w:tc>
        <w:tc>
          <w:tcPr>
            <w:tcW w:w="2621" w:type="dxa"/>
            <w:shd w:val="clear" w:color="auto" w:fill="auto"/>
            <w:vAlign w:val="center"/>
          </w:tcPr>
          <w:p>
            <w:pPr>
              <w:pStyle w:val="2001"/>
            </w:pPr>
            <w:r>
              <w:t>GX048BⅡ</w:t>
            </w:r>
          </w:p>
        </w:tc>
        <w:tc>
          <w:tcPr>
            <w:tcW w:w="3499" w:type="dxa"/>
            <w:shd w:val="clear" w:color="auto" w:fill="auto"/>
            <w:vAlign w:val="center"/>
          </w:tcPr>
          <w:p>
            <w:pPr>
              <w:pStyle w:val="2001"/>
            </w:pPr>
            <w:r>
              <w:t>12</w:t>
            </w:r>
          </w:p>
        </w:tc>
        <w:tc>
          <w:tcPr>
            <w:tcW w:w="1265" w:type="dxa"/>
            <w:shd w:val="clear" w:color="auto" w:fill="auto"/>
            <w:noWrap/>
            <w:vAlign w:val="center"/>
          </w:tcPr>
          <w:p>
            <w:pPr>
              <w:pStyle w:val="2001"/>
            </w:pPr>
            <w:r>
              <w:t>第二类</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c>
          <w:tcPr>
            <w:tcW w:w="1446" w:type="dxa"/>
            <w:vMerge w:val="continue"/>
            <w:vAlign w:val="center"/>
          </w:tcPr>
          <w:p>
            <w:pPr>
              <w:pStyle w:val="2001"/>
            </w:pPr>
          </w:p>
        </w:tc>
        <w:tc>
          <w:tcPr>
            <w:tcW w:w="2621" w:type="dxa"/>
            <w:shd w:val="clear" w:color="auto" w:fill="auto"/>
            <w:vAlign w:val="center"/>
          </w:tcPr>
          <w:p>
            <w:pPr>
              <w:pStyle w:val="2001"/>
            </w:pPr>
            <w:r>
              <w:t>GX057DⅣ</w:t>
            </w:r>
            <w:r>
              <w:rPr>
                <w:rFonts w:hint="eastAsia"/>
              </w:rPr>
              <w:t>水质过渡带</w:t>
            </w:r>
          </w:p>
        </w:tc>
        <w:tc>
          <w:tcPr>
            <w:tcW w:w="3499" w:type="dxa"/>
            <w:shd w:val="clear" w:color="auto" w:fill="auto"/>
            <w:vAlign w:val="center"/>
          </w:tcPr>
          <w:p>
            <w:pPr>
              <w:pStyle w:val="2001"/>
            </w:pPr>
            <w:r>
              <w:t>13</w:t>
            </w:r>
          </w:p>
        </w:tc>
        <w:tc>
          <w:tcPr>
            <w:tcW w:w="1265" w:type="dxa"/>
            <w:shd w:val="clear" w:color="auto" w:fill="auto"/>
            <w:noWrap/>
            <w:vAlign w:val="center"/>
          </w:tcPr>
          <w:p>
            <w:pPr>
              <w:pStyle w:val="2001"/>
            </w:pPr>
            <w:r>
              <w:t>第三类</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c>
          <w:tcPr>
            <w:tcW w:w="1446" w:type="dxa"/>
            <w:vMerge w:val="continue"/>
            <w:vAlign w:val="center"/>
          </w:tcPr>
          <w:p>
            <w:pPr>
              <w:pStyle w:val="2001"/>
            </w:pPr>
          </w:p>
        </w:tc>
        <w:tc>
          <w:tcPr>
            <w:tcW w:w="2621" w:type="dxa"/>
            <w:shd w:val="clear" w:color="auto" w:fill="auto"/>
            <w:vAlign w:val="center"/>
          </w:tcPr>
          <w:p>
            <w:pPr>
              <w:pStyle w:val="2001"/>
            </w:pPr>
            <w:r>
              <w:t>GX061 CⅡ</w:t>
            </w:r>
          </w:p>
        </w:tc>
        <w:tc>
          <w:tcPr>
            <w:tcW w:w="3499" w:type="dxa"/>
            <w:shd w:val="clear" w:color="auto" w:fill="auto"/>
            <w:vAlign w:val="center"/>
          </w:tcPr>
          <w:p>
            <w:pPr>
              <w:pStyle w:val="2001"/>
            </w:pPr>
            <w:r>
              <w:t>14</w:t>
            </w:r>
          </w:p>
        </w:tc>
        <w:tc>
          <w:tcPr>
            <w:tcW w:w="1265" w:type="dxa"/>
            <w:shd w:val="clear" w:color="auto" w:fill="auto"/>
            <w:noWrap/>
          </w:tcPr>
          <w:p>
            <w:pPr>
              <w:pStyle w:val="2001"/>
            </w:pPr>
            <w:r>
              <w:t>第二类</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c>
          <w:tcPr>
            <w:tcW w:w="1446" w:type="dxa"/>
            <w:vMerge w:val="continue"/>
            <w:vAlign w:val="center"/>
          </w:tcPr>
          <w:p>
            <w:pPr>
              <w:pStyle w:val="2001"/>
            </w:pPr>
          </w:p>
        </w:tc>
        <w:tc>
          <w:tcPr>
            <w:tcW w:w="2621" w:type="dxa"/>
            <w:shd w:val="clear" w:color="auto" w:fill="auto"/>
            <w:vAlign w:val="center"/>
          </w:tcPr>
          <w:p>
            <w:pPr>
              <w:pStyle w:val="2001"/>
            </w:pPr>
            <w:r>
              <w:t>GX064 BⅡ</w:t>
            </w:r>
          </w:p>
        </w:tc>
        <w:tc>
          <w:tcPr>
            <w:tcW w:w="3499" w:type="dxa"/>
            <w:shd w:val="clear" w:color="auto" w:fill="auto"/>
            <w:vAlign w:val="center"/>
          </w:tcPr>
          <w:p>
            <w:pPr>
              <w:pStyle w:val="2001"/>
            </w:pPr>
            <w:r>
              <w:t>15</w:t>
            </w:r>
          </w:p>
        </w:tc>
        <w:tc>
          <w:tcPr>
            <w:tcW w:w="1265" w:type="dxa"/>
            <w:shd w:val="clear" w:color="auto" w:fill="auto"/>
            <w:noWrap/>
          </w:tcPr>
          <w:p>
            <w:pPr>
              <w:pStyle w:val="2001"/>
            </w:pPr>
            <w:r>
              <w:t>第二类</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c>
          <w:tcPr>
            <w:tcW w:w="1446" w:type="dxa"/>
            <w:vMerge w:val="continue"/>
            <w:vAlign w:val="center"/>
          </w:tcPr>
          <w:p>
            <w:pPr>
              <w:pStyle w:val="2001"/>
            </w:pPr>
          </w:p>
        </w:tc>
        <w:tc>
          <w:tcPr>
            <w:tcW w:w="2621" w:type="dxa"/>
            <w:shd w:val="clear" w:color="auto" w:fill="auto"/>
            <w:vAlign w:val="center"/>
          </w:tcPr>
          <w:p>
            <w:pPr>
              <w:pStyle w:val="2001"/>
            </w:pPr>
            <w:r>
              <w:t>GX049 CⅡ</w:t>
            </w:r>
          </w:p>
        </w:tc>
        <w:tc>
          <w:tcPr>
            <w:tcW w:w="3499" w:type="dxa"/>
            <w:shd w:val="clear" w:color="auto" w:fill="auto"/>
            <w:vAlign w:val="center"/>
          </w:tcPr>
          <w:p>
            <w:pPr>
              <w:pStyle w:val="2001"/>
            </w:pPr>
            <w:r>
              <w:t>16</w:t>
            </w:r>
          </w:p>
        </w:tc>
        <w:tc>
          <w:tcPr>
            <w:tcW w:w="1265" w:type="dxa"/>
            <w:shd w:val="clear" w:color="auto" w:fill="auto"/>
            <w:noWrap/>
          </w:tcPr>
          <w:p>
            <w:pPr>
              <w:pStyle w:val="2001"/>
            </w:pPr>
            <w:r>
              <w:t>第二类</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c>
          <w:tcPr>
            <w:tcW w:w="1446" w:type="dxa"/>
            <w:vMerge w:val="continue"/>
            <w:vAlign w:val="center"/>
          </w:tcPr>
          <w:p>
            <w:pPr>
              <w:pStyle w:val="2001"/>
            </w:pPr>
          </w:p>
        </w:tc>
        <w:tc>
          <w:tcPr>
            <w:tcW w:w="2621" w:type="dxa"/>
            <w:shd w:val="clear" w:color="auto" w:fill="auto"/>
            <w:vAlign w:val="center"/>
          </w:tcPr>
          <w:p>
            <w:pPr>
              <w:pStyle w:val="2001"/>
            </w:pPr>
            <w:r>
              <w:t>GX059 DⅣ</w:t>
            </w:r>
          </w:p>
        </w:tc>
        <w:tc>
          <w:tcPr>
            <w:tcW w:w="3499" w:type="dxa"/>
            <w:shd w:val="clear" w:color="auto" w:fill="auto"/>
            <w:vAlign w:val="center"/>
          </w:tcPr>
          <w:p>
            <w:pPr>
              <w:pStyle w:val="2001"/>
            </w:pPr>
            <w:r>
              <w:t>17</w:t>
            </w:r>
          </w:p>
        </w:tc>
        <w:tc>
          <w:tcPr>
            <w:tcW w:w="1265" w:type="dxa"/>
            <w:shd w:val="clear" w:color="auto" w:fill="auto"/>
            <w:noWrap/>
            <w:vAlign w:val="center"/>
          </w:tcPr>
          <w:p>
            <w:pPr>
              <w:pStyle w:val="2001"/>
            </w:pPr>
            <w:r>
              <w:t>第四类</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c>
          <w:tcPr>
            <w:tcW w:w="1446" w:type="dxa"/>
            <w:vMerge w:val="continue"/>
            <w:vAlign w:val="center"/>
          </w:tcPr>
          <w:p>
            <w:pPr>
              <w:pStyle w:val="2001"/>
            </w:pPr>
          </w:p>
        </w:tc>
        <w:tc>
          <w:tcPr>
            <w:tcW w:w="2621" w:type="dxa"/>
            <w:shd w:val="clear" w:color="auto" w:fill="auto"/>
            <w:vAlign w:val="center"/>
          </w:tcPr>
          <w:p>
            <w:pPr>
              <w:pStyle w:val="2001"/>
            </w:pPr>
            <w:r>
              <w:t>GX047 BⅡ</w:t>
            </w:r>
          </w:p>
        </w:tc>
        <w:tc>
          <w:tcPr>
            <w:tcW w:w="3499" w:type="dxa"/>
            <w:shd w:val="clear" w:color="auto" w:fill="auto"/>
            <w:vAlign w:val="center"/>
          </w:tcPr>
          <w:p>
            <w:pPr>
              <w:pStyle w:val="2001"/>
            </w:pPr>
            <w:r>
              <w:t>18、19</w:t>
            </w:r>
          </w:p>
        </w:tc>
        <w:tc>
          <w:tcPr>
            <w:tcW w:w="1265" w:type="dxa"/>
            <w:shd w:val="clear" w:color="auto" w:fill="auto"/>
            <w:noWrap/>
          </w:tcPr>
          <w:p>
            <w:pPr>
              <w:pStyle w:val="2001"/>
            </w:pPr>
            <w:r>
              <w:t>第二类</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c>
          <w:tcPr>
            <w:tcW w:w="1446" w:type="dxa"/>
            <w:vMerge w:val="continue"/>
            <w:vAlign w:val="center"/>
          </w:tcPr>
          <w:p>
            <w:pPr>
              <w:pStyle w:val="2001"/>
            </w:pPr>
          </w:p>
        </w:tc>
        <w:tc>
          <w:tcPr>
            <w:tcW w:w="2621" w:type="dxa"/>
            <w:shd w:val="clear" w:color="auto" w:fill="auto"/>
            <w:vAlign w:val="center"/>
          </w:tcPr>
          <w:p>
            <w:pPr>
              <w:pStyle w:val="2001"/>
            </w:pPr>
            <w:r>
              <w:t>GX109 BⅡ</w:t>
            </w:r>
          </w:p>
        </w:tc>
        <w:tc>
          <w:tcPr>
            <w:tcW w:w="3499" w:type="dxa"/>
            <w:shd w:val="clear" w:color="auto" w:fill="auto"/>
            <w:vAlign w:val="center"/>
          </w:tcPr>
          <w:p>
            <w:pPr>
              <w:pStyle w:val="2001"/>
            </w:pPr>
            <w:r>
              <w:t>20</w:t>
            </w:r>
          </w:p>
        </w:tc>
        <w:tc>
          <w:tcPr>
            <w:tcW w:w="1265" w:type="dxa"/>
            <w:shd w:val="clear" w:color="auto" w:fill="auto"/>
            <w:noWrap/>
          </w:tcPr>
          <w:p>
            <w:pPr>
              <w:pStyle w:val="2001"/>
            </w:pPr>
            <w:r>
              <w:t>第二类</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c>
          <w:tcPr>
            <w:tcW w:w="1446" w:type="dxa"/>
            <w:vMerge w:val="restart"/>
            <w:shd w:val="clear" w:color="auto" w:fill="auto"/>
            <w:noWrap/>
            <w:vAlign w:val="center"/>
          </w:tcPr>
          <w:p>
            <w:pPr>
              <w:pStyle w:val="2001"/>
            </w:pPr>
            <w:r>
              <w:t>2022年4月（春季）</w:t>
            </w:r>
          </w:p>
        </w:tc>
        <w:tc>
          <w:tcPr>
            <w:tcW w:w="2621" w:type="dxa"/>
            <w:shd w:val="clear" w:color="auto" w:fill="auto"/>
            <w:vAlign w:val="center"/>
          </w:tcPr>
          <w:p>
            <w:pPr>
              <w:pStyle w:val="2001"/>
            </w:pPr>
            <w:r>
              <w:t>GX065 BⅡ</w:t>
            </w:r>
          </w:p>
        </w:tc>
        <w:tc>
          <w:tcPr>
            <w:tcW w:w="3499" w:type="dxa"/>
            <w:shd w:val="clear" w:color="auto" w:fill="auto"/>
            <w:vAlign w:val="center"/>
          </w:tcPr>
          <w:p>
            <w:pPr>
              <w:pStyle w:val="2001"/>
            </w:pPr>
            <w:r>
              <w:t>1、2、6</w:t>
            </w:r>
          </w:p>
        </w:tc>
        <w:tc>
          <w:tcPr>
            <w:tcW w:w="1265" w:type="dxa"/>
            <w:shd w:val="clear" w:color="auto" w:fill="auto"/>
            <w:noWrap/>
          </w:tcPr>
          <w:p>
            <w:pPr>
              <w:pStyle w:val="2001"/>
            </w:pPr>
            <w:r>
              <w:t>第二类</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c>
          <w:tcPr>
            <w:tcW w:w="1446" w:type="dxa"/>
            <w:vMerge w:val="continue"/>
            <w:vAlign w:val="center"/>
          </w:tcPr>
          <w:p>
            <w:pPr>
              <w:pStyle w:val="2001"/>
            </w:pPr>
          </w:p>
        </w:tc>
        <w:tc>
          <w:tcPr>
            <w:tcW w:w="2621" w:type="dxa"/>
            <w:shd w:val="clear" w:color="auto" w:fill="auto"/>
            <w:vAlign w:val="center"/>
          </w:tcPr>
          <w:p>
            <w:pPr>
              <w:pStyle w:val="2001"/>
            </w:pPr>
            <w:r>
              <w:t>GX069 BⅡ</w:t>
            </w:r>
          </w:p>
        </w:tc>
        <w:tc>
          <w:tcPr>
            <w:tcW w:w="3499" w:type="dxa"/>
            <w:shd w:val="clear" w:color="auto" w:fill="auto"/>
            <w:vAlign w:val="center"/>
          </w:tcPr>
          <w:p>
            <w:pPr>
              <w:pStyle w:val="2001"/>
            </w:pPr>
            <w:r>
              <w:t>3、4、5</w:t>
            </w:r>
          </w:p>
        </w:tc>
        <w:tc>
          <w:tcPr>
            <w:tcW w:w="1265" w:type="dxa"/>
            <w:shd w:val="clear" w:color="auto" w:fill="auto"/>
            <w:noWrap/>
          </w:tcPr>
          <w:p>
            <w:pPr>
              <w:pStyle w:val="2001"/>
            </w:pPr>
            <w:r>
              <w:t>第二类</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c>
          <w:tcPr>
            <w:tcW w:w="1446" w:type="dxa"/>
            <w:vMerge w:val="continue"/>
            <w:vAlign w:val="center"/>
          </w:tcPr>
          <w:p>
            <w:pPr>
              <w:pStyle w:val="2001"/>
            </w:pPr>
          </w:p>
        </w:tc>
        <w:tc>
          <w:tcPr>
            <w:tcW w:w="2621" w:type="dxa"/>
            <w:shd w:val="clear" w:color="auto" w:fill="auto"/>
            <w:vAlign w:val="center"/>
          </w:tcPr>
          <w:p>
            <w:pPr>
              <w:pStyle w:val="2001"/>
            </w:pPr>
            <w:r>
              <w:t>GX072 CⅡ</w:t>
            </w:r>
          </w:p>
        </w:tc>
        <w:tc>
          <w:tcPr>
            <w:tcW w:w="3499" w:type="dxa"/>
            <w:shd w:val="clear" w:color="auto" w:fill="auto"/>
            <w:vAlign w:val="center"/>
          </w:tcPr>
          <w:p>
            <w:pPr>
              <w:pStyle w:val="2001"/>
            </w:pPr>
            <w:r>
              <w:t>7</w:t>
            </w:r>
          </w:p>
        </w:tc>
        <w:tc>
          <w:tcPr>
            <w:tcW w:w="1265" w:type="dxa"/>
            <w:shd w:val="clear" w:color="auto" w:fill="auto"/>
            <w:noWrap/>
          </w:tcPr>
          <w:p>
            <w:pPr>
              <w:pStyle w:val="2001"/>
            </w:pPr>
            <w:r>
              <w:t>第二类</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c>
          <w:tcPr>
            <w:tcW w:w="1446" w:type="dxa"/>
            <w:vMerge w:val="continue"/>
            <w:vAlign w:val="center"/>
          </w:tcPr>
          <w:p>
            <w:pPr>
              <w:pStyle w:val="2001"/>
            </w:pPr>
          </w:p>
        </w:tc>
        <w:tc>
          <w:tcPr>
            <w:tcW w:w="2621" w:type="dxa"/>
            <w:shd w:val="clear" w:color="auto" w:fill="auto"/>
            <w:vAlign w:val="center"/>
          </w:tcPr>
          <w:p>
            <w:pPr>
              <w:pStyle w:val="2001"/>
            </w:pPr>
            <w:r>
              <w:t>GX069 BⅡ</w:t>
            </w:r>
          </w:p>
        </w:tc>
        <w:tc>
          <w:tcPr>
            <w:tcW w:w="3499" w:type="dxa"/>
            <w:shd w:val="clear" w:color="auto" w:fill="auto"/>
            <w:vAlign w:val="center"/>
          </w:tcPr>
          <w:p>
            <w:pPr>
              <w:pStyle w:val="2001"/>
            </w:pPr>
            <w:r>
              <w:t>8、9</w:t>
            </w:r>
          </w:p>
        </w:tc>
        <w:tc>
          <w:tcPr>
            <w:tcW w:w="1265" w:type="dxa"/>
            <w:shd w:val="clear" w:color="auto" w:fill="auto"/>
            <w:noWrap/>
          </w:tcPr>
          <w:p>
            <w:pPr>
              <w:pStyle w:val="2001"/>
            </w:pPr>
            <w:r>
              <w:t>第二类</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c>
          <w:tcPr>
            <w:tcW w:w="1446" w:type="dxa"/>
            <w:vMerge w:val="continue"/>
            <w:vAlign w:val="center"/>
          </w:tcPr>
          <w:p>
            <w:pPr>
              <w:pStyle w:val="2001"/>
            </w:pPr>
          </w:p>
        </w:tc>
        <w:tc>
          <w:tcPr>
            <w:tcW w:w="2621" w:type="dxa"/>
            <w:shd w:val="clear" w:color="auto" w:fill="auto"/>
            <w:vAlign w:val="center"/>
          </w:tcPr>
          <w:p>
            <w:pPr>
              <w:pStyle w:val="2001"/>
            </w:pPr>
            <w:r>
              <w:t>GX054DⅣ</w:t>
            </w:r>
            <w:r>
              <w:rPr>
                <w:rFonts w:hint="eastAsia"/>
              </w:rPr>
              <w:t>水质过渡带</w:t>
            </w:r>
          </w:p>
        </w:tc>
        <w:tc>
          <w:tcPr>
            <w:tcW w:w="3499" w:type="dxa"/>
            <w:shd w:val="clear" w:color="auto" w:fill="auto"/>
            <w:vAlign w:val="center"/>
          </w:tcPr>
          <w:p>
            <w:pPr>
              <w:pStyle w:val="2001"/>
            </w:pPr>
            <w:r>
              <w:t>10</w:t>
            </w:r>
          </w:p>
        </w:tc>
        <w:tc>
          <w:tcPr>
            <w:tcW w:w="1265" w:type="dxa"/>
            <w:shd w:val="clear" w:color="auto" w:fill="auto"/>
            <w:noWrap/>
            <w:vAlign w:val="center"/>
          </w:tcPr>
          <w:p>
            <w:pPr>
              <w:pStyle w:val="2001"/>
            </w:pPr>
            <w:r>
              <w:t>第三类</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c>
          <w:tcPr>
            <w:tcW w:w="1446" w:type="dxa"/>
            <w:vMerge w:val="continue"/>
            <w:vAlign w:val="center"/>
          </w:tcPr>
          <w:p>
            <w:pPr>
              <w:pStyle w:val="2001"/>
            </w:pPr>
          </w:p>
        </w:tc>
        <w:tc>
          <w:tcPr>
            <w:tcW w:w="2621" w:type="dxa"/>
            <w:shd w:val="clear" w:color="auto" w:fill="auto"/>
            <w:vAlign w:val="center"/>
          </w:tcPr>
          <w:p>
            <w:pPr>
              <w:pStyle w:val="2001"/>
            </w:pPr>
            <w:r>
              <w:t>GX054 DⅣ</w:t>
            </w:r>
          </w:p>
        </w:tc>
        <w:tc>
          <w:tcPr>
            <w:tcW w:w="3499" w:type="dxa"/>
            <w:shd w:val="clear" w:color="auto" w:fill="auto"/>
            <w:vAlign w:val="center"/>
          </w:tcPr>
          <w:p>
            <w:pPr>
              <w:pStyle w:val="2001"/>
            </w:pPr>
            <w:r>
              <w:t>11</w:t>
            </w:r>
          </w:p>
        </w:tc>
        <w:tc>
          <w:tcPr>
            <w:tcW w:w="1265" w:type="dxa"/>
            <w:shd w:val="clear" w:color="auto" w:fill="auto"/>
            <w:noWrap/>
            <w:vAlign w:val="center"/>
          </w:tcPr>
          <w:p>
            <w:pPr>
              <w:pStyle w:val="2001"/>
            </w:pPr>
            <w:r>
              <w:t>第四类</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c>
          <w:tcPr>
            <w:tcW w:w="1446" w:type="dxa"/>
            <w:vMerge w:val="continue"/>
            <w:vAlign w:val="center"/>
          </w:tcPr>
          <w:p>
            <w:pPr>
              <w:pStyle w:val="2001"/>
            </w:pPr>
          </w:p>
        </w:tc>
        <w:tc>
          <w:tcPr>
            <w:tcW w:w="2621" w:type="dxa"/>
            <w:shd w:val="clear" w:color="auto" w:fill="auto"/>
            <w:vAlign w:val="center"/>
          </w:tcPr>
          <w:p>
            <w:pPr>
              <w:pStyle w:val="2001"/>
            </w:pPr>
            <w:r>
              <w:t>GX073 CⅢ</w:t>
            </w:r>
          </w:p>
        </w:tc>
        <w:tc>
          <w:tcPr>
            <w:tcW w:w="3499" w:type="dxa"/>
            <w:shd w:val="clear" w:color="auto" w:fill="auto"/>
            <w:vAlign w:val="center"/>
          </w:tcPr>
          <w:p>
            <w:pPr>
              <w:pStyle w:val="2001"/>
            </w:pPr>
            <w:r>
              <w:t>12、14</w:t>
            </w:r>
          </w:p>
        </w:tc>
        <w:tc>
          <w:tcPr>
            <w:tcW w:w="1265" w:type="dxa"/>
            <w:shd w:val="clear" w:color="auto" w:fill="auto"/>
            <w:noWrap/>
            <w:vAlign w:val="center"/>
          </w:tcPr>
          <w:p>
            <w:pPr>
              <w:pStyle w:val="2001"/>
            </w:pPr>
            <w:r>
              <w:t>第三类</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c>
          <w:tcPr>
            <w:tcW w:w="1446" w:type="dxa"/>
            <w:vMerge w:val="continue"/>
            <w:vAlign w:val="center"/>
          </w:tcPr>
          <w:p>
            <w:pPr>
              <w:pStyle w:val="2001"/>
            </w:pPr>
          </w:p>
        </w:tc>
        <w:tc>
          <w:tcPr>
            <w:tcW w:w="2621" w:type="dxa"/>
            <w:shd w:val="clear" w:color="auto" w:fill="auto"/>
            <w:vAlign w:val="center"/>
          </w:tcPr>
          <w:p>
            <w:pPr>
              <w:pStyle w:val="2001"/>
            </w:pPr>
            <w:r>
              <w:t>GX074 DⅣ</w:t>
            </w:r>
          </w:p>
        </w:tc>
        <w:tc>
          <w:tcPr>
            <w:tcW w:w="3499" w:type="dxa"/>
            <w:shd w:val="clear" w:color="auto" w:fill="auto"/>
            <w:vAlign w:val="center"/>
          </w:tcPr>
          <w:p>
            <w:pPr>
              <w:pStyle w:val="2001"/>
            </w:pPr>
            <w:r>
              <w:t>13</w:t>
            </w:r>
          </w:p>
        </w:tc>
        <w:tc>
          <w:tcPr>
            <w:tcW w:w="1265" w:type="dxa"/>
            <w:shd w:val="clear" w:color="auto" w:fill="auto"/>
            <w:noWrap/>
            <w:vAlign w:val="center"/>
          </w:tcPr>
          <w:p>
            <w:pPr>
              <w:pStyle w:val="2001"/>
            </w:pPr>
            <w:r>
              <w:t>第四类</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c>
          <w:tcPr>
            <w:tcW w:w="1446" w:type="dxa"/>
            <w:vMerge w:val="continue"/>
            <w:vAlign w:val="center"/>
          </w:tcPr>
          <w:p>
            <w:pPr>
              <w:pStyle w:val="2001"/>
            </w:pPr>
          </w:p>
        </w:tc>
        <w:tc>
          <w:tcPr>
            <w:tcW w:w="2621" w:type="dxa"/>
            <w:shd w:val="clear" w:color="auto" w:fill="auto"/>
            <w:vAlign w:val="center"/>
          </w:tcPr>
          <w:p>
            <w:pPr>
              <w:pStyle w:val="2001"/>
            </w:pPr>
            <w:r>
              <w:t>GX048 BⅡ</w:t>
            </w:r>
          </w:p>
        </w:tc>
        <w:tc>
          <w:tcPr>
            <w:tcW w:w="3499" w:type="dxa"/>
            <w:shd w:val="clear" w:color="auto" w:fill="auto"/>
            <w:noWrap/>
            <w:vAlign w:val="center"/>
          </w:tcPr>
          <w:p>
            <w:pPr>
              <w:pStyle w:val="2001"/>
            </w:pPr>
            <w:r>
              <w:t>15</w:t>
            </w:r>
          </w:p>
        </w:tc>
        <w:tc>
          <w:tcPr>
            <w:tcW w:w="1265" w:type="dxa"/>
            <w:shd w:val="clear" w:color="auto" w:fill="auto"/>
            <w:noWrap/>
            <w:vAlign w:val="center"/>
          </w:tcPr>
          <w:p>
            <w:pPr>
              <w:pStyle w:val="2001"/>
            </w:pPr>
            <w:r>
              <w:t>第二类</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c>
          <w:tcPr>
            <w:tcW w:w="1446" w:type="dxa"/>
            <w:vMerge w:val="continue"/>
            <w:vAlign w:val="center"/>
          </w:tcPr>
          <w:p>
            <w:pPr>
              <w:pStyle w:val="2001"/>
            </w:pPr>
          </w:p>
        </w:tc>
        <w:tc>
          <w:tcPr>
            <w:tcW w:w="2621" w:type="dxa"/>
            <w:shd w:val="clear" w:color="auto" w:fill="auto"/>
            <w:vAlign w:val="center"/>
          </w:tcPr>
          <w:p>
            <w:pPr>
              <w:pStyle w:val="2001"/>
            </w:pPr>
            <w:r>
              <w:t>GX055 DⅣ</w:t>
            </w:r>
          </w:p>
        </w:tc>
        <w:tc>
          <w:tcPr>
            <w:tcW w:w="3499" w:type="dxa"/>
            <w:shd w:val="clear" w:color="auto" w:fill="auto"/>
            <w:noWrap/>
            <w:vAlign w:val="center"/>
          </w:tcPr>
          <w:p>
            <w:pPr>
              <w:pStyle w:val="2001"/>
            </w:pPr>
            <w:r>
              <w:t>16</w:t>
            </w:r>
          </w:p>
        </w:tc>
        <w:tc>
          <w:tcPr>
            <w:tcW w:w="1265" w:type="dxa"/>
            <w:shd w:val="clear" w:color="auto" w:fill="auto"/>
            <w:noWrap/>
            <w:vAlign w:val="center"/>
          </w:tcPr>
          <w:p>
            <w:pPr>
              <w:pStyle w:val="2001"/>
            </w:pPr>
            <w:r>
              <w:t>第四类</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c>
          <w:tcPr>
            <w:tcW w:w="1446" w:type="dxa"/>
            <w:vMerge w:val="continue"/>
            <w:vAlign w:val="center"/>
          </w:tcPr>
          <w:p>
            <w:pPr>
              <w:pStyle w:val="2001"/>
            </w:pPr>
          </w:p>
        </w:tc>
        <w:tc>
          <w:tcPr>
            <w:tcW w:w="2621" w:type="dxa"/>
            <w:shd w:val="clear" w:color="auto" w:fill="auto"/>
            <w:vAlign w:val="center"/>
          </w:tcPr>
          <w:p>
            <w:pPr>
              <w:pStyle w:val="2001"/>
            </w:pPr>
            <w:r>
              <w:t>GX061 CⅡ</w:t>
            </w:r>
          </w:p>
        </w:tc>
        <w:tc>
          <w:tcPr>
            <w:tcW w:w="3499" w:type="dxa"/>
            <w:shd w:val="clear" w:color="auto" w:fill="auto"/>
            <w:noWrap/>
            <w:vAlign w:val="center"/>
          </w:tcPr>
          <w:p>
            <w:pPr>
              <w:pStyle w:val="2001"/>
            </w:pPr>
            <w:r>
              <w:t>17、19</w:t>
            </w:r>
          </w:p>
        </w:tc>
        <w:tc>
          <w:tcPr>
            <w:tcW w:w="1265" w:type="dxa"/>
            <w:shd w:val="clear" w:color="auto" w:fill="auto"/>
            <w:noWrap/>
            <w:vAlign w:val="center"/>
          </w:tcPr>
          <w:p>
            <w:pPr>
              <w:pStyle w:val="2001"/>
            </w:pPr>
            <w:r>
              <w:t>第二类</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91" w:hRule="atLeast"/>
        </w:trPr>
        <w:tc>
          <w:tcPr>
            <w:tcW w:w="1446" w:type="dxa"/>
            <w:vMerge w:val="continue"/>
            <w:vAlign w:val="center"/>
          </w:tcPr>
          <w:p>
            <w:pPr>
              <w:pStyle w:val="2001"/>
            </w:pPr>
          </w:p>
        </w:tc>
        <w:tc>
          <w:tcPr>
            <w:tcW w:w="2621" w:type="dxa"/>
            <w:shd w:val="clear" w:color="auto" w:fill="auto"/>
            <w:vAlign w:val="center"/>
          </w:tcPr>
          <w:p>
            <w:pPr>
              <w:pStyle w:val="2001"/>
            </w:pPr>
            <w:r>
              <w:t>GX058 DⅣ</w:t>
            </w:r>
          </w:p>
        </w:tc>
        <w:tc>
          <w:tcPr>
            <w:tcW w:w="3499" w:type="dxa"/>
            <w:shd w:val="clear" w:color="auto" w:fill="auto"/>
            <w:noWrap/>
            <w:vAlign w:val="center"/>
          </w:tcPr>
          <w:p>
            <w:pPr>
              <w:pStyle w:val="2001"/>
            </w:pPr>
            <w:r>
              <w:t>18</w:t>
            </w:r>
          </w:p>
        </w:tc>
        <w:tc>
          <w:tcPr>
            <w:tcW w:w="1265" w:type="dxa"/>
            <w:shd w:val="clear" w:color="auto" w:fill="auto"/>
            <w:noWrap/>
            <w:vAlign w:val="center"/>
          </w:tcPr>
          <w:p>
            <w:pPr>
              <w:pStyle w:val="2001"/>
            </w:pPr>
            <w:r>
              <w:t>第四类</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c>
          <w:tcPr>
            <w:tcW w:w="1446" w:type="dxa"/>
            <w:vMerge w:val="continue"/>
            <w:vAlign w:val="center"/>
          </w:tcPr>
          <w:p>
            <w:pPr>
              <w:pStyle w:val="2001"/>
            </w:pPr>
          </w:p>
        </w:tc>
        <w:tc>
          <w:tcPr>
            <w:tcW w:w="2621" w:type="dxa"/>
            <w:shd w:val="clear" w:color="auto" w:fill="auto"/>
            <w:vAlign w:val="center"/>
          </w:tcPr>
          <w:p>
            <w:pPr>
              <w:pStyle w:val="2001"/>
            </w:pPr>
            <w:r>
              <w:t>GX047 BⅡ</w:t>
            </w:r>
          </w:p>
        </w:tc>
        <w:tc>
          <w:tcPr>
            <w:tcW w:w="3499" w:type="dxa"/>
            <w:shd w:val="clear" w:color="auto" w:fill="auto"/>
            <w:noWrap/>
            <w:vAlign w:val="center"/>
          </w:tcPr>
          <w:p>
            <w:pPr>
              <w:pStyle w:val="2001"/>
            </w:pPr>
            <w:r>
              <w:t>20</w:t>
            </w:r>
          </w:p>
        </w:tc>
        <w:tc>
          <w:tcPr>
            <w:tcW w:w="1265" w:type="dxa"/>
            <w:shd w:val="clear" w:color="auto" w:fill="auto"/>
            <w:noWrap/>
            <w:vAlign w:val="center"/>
          </w:tcPr>
          <w:p>
            <w:pPr>
              <w:pStyle w:val="2001"/>
            </w:pPr>
            <w:r>
              <w:t>第二类</w:t>
            </w:r>
          </w:p>
        </w:tc>
      </w:tr>
    </w:tbl>
    <w:p>
      <w:pPr>
        <w:ind w:firstLine="480"/>
        <w:rPr>
          <w:color w:val="000000" w:themeColor="text1"/>
          <w14:textFill>
            <w14:solidFill>
              <w14:schemeClr w14:val="tx1"/>
            </w14:solidFill>
          </w14:textFill>
        </w:rPr>
      </w:pPr>
      <w:r>
        <w:rPr>
          <w:color w:val="000000" w:themeColor="text1"/>
          <w14:textFill>
            <w14:solidFill>
              <w14:schemeClr w14:val="tx1"/>
            </w14:solidFill>
          </w14:textFill>
        </w:rPr>
        <w:t>采用单项标准指数法进行评价，单项指数的计算公式为：</w:t>
      </w:r>
    </w:p>
    <w:p>
      <w:pPr>
        <w:ind w:firstLine="480"/>
        <w:jc w:val="center"/>
        <w:rPr>
          <w:color w:val="000000" w:themeColor="text1"/>
          <w14:textFill>
            <w14:solidFill>
              <w14:schemeClr w14:val="tx1"/>
            </w14:solidFill>
          </w14:textFill>
        </w:rPr>
      </w:pPr>
      <w:r>
        <w:rPr>
          <w:color w:val="000000" w:themeColor="text1"/>
          <w14:textFill>
            <w14:solidFill>
              <w14:schemeClr w14:val="tx1"/>
            </w14:solidFill>
          </w14:textFill>
        </w:rPr>
        <w:drawing>
          <wp:inline distT="0" distB="0" distL="0" distR="0">
            <wp:extent cx="931545" cy="569595"/>
            <wp:effectExtent l="0" t="0" r="1905" b="1905"/>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pic:cNvPicPr>
                      <a:picLocks noChangeAspect="1"/>
                    </pic:cNvPicPr>
                  </pic:nvPicPr>
                  <pic:blipFill>
                    <a:blip r:embed="rId65"/>
                    <a:stretch>
                      <a:fillRect/>
                    </a:stretch>
                  </pic:blipFill>
                  <pic:spPr>
                    <a:xfrm>
                      <a:off x="0" y="0"/>
                      <a:ext cx="934454" cy="571429"/>
                    </a:xfrm>
                    <a:prstGeom prst="rect">
                      <a:avLst/>
                    </a:prstGeom>
                  </pic:spPr>
                </pic:pic>
              </a:graphicData>
            </a:graphic>
          </wp:inline>
        </w:drawing>
      </w:r>
    </w:p>
    <w:p>
      <w:pPr>
        <w:ind w:firstLine="480"/>
        <w:rPr>
          <w:color w:val="000000" w:themeColor="text1"/>
          <w14:textFill>
            <w14:solidFill>
              <w14:schemeClr w14:val="tx1"/>
            </w14:solidFill>
          </w14:textFill>
        </w:rPr>
      </w:pPr>
      <w:r>
        <w:rPr>
          <w:color w:val="000000" w:themeColor="text1"/>
          <w14:textFill>
            <w14:solidFill>
              <w14:schemeClr w14:val="tx1"/>
            </w14:solidFill>
          </w14:textFill>
        </w:rPr>
        <w:t>式中：Qij—单项评价因子i在j站的标准指数；</w:t>
      </w:r>
    </w:p>
    <w:p>
      <w:pPr>
        <w:ind w:firstLine="1235" w:firstLineChars="500"/>
        <w:rPr>
          <w:color w:val="000000" w:themeColor="text1"/>
          <w14:textFill>
            <w14:solidFill>
              <w14:schemeClr w14:val="tx1"/>
            </w14:solidFill>
          </w14:textFill>
        </w:rPr>
      </w:pPr>
      <w:r>
        <w:rPr>
          <w:color w:val="000000" w:themeColor="text1"/>
          <w14:textFill>
            <w14:solidFill>
              <w14:schemeClr w14:val="tx1"/>
            </w14:solidFill>
          </w14:textFill>
        </w:rPr>
        <w:t>Cij——评价因子i在j站的实测值；</w:t>
      </w:r>
    </w:p>
    <w:p>
      <w:pPr>
        <w:ind w:firstLine="1235" w:firstLineChars="500"/>
        <w:rPr>
          <w:color w:val="000000" w:themeColor="text1"/>
          <w14:textFill>
            <w14:solidFill>
              <w14:schemeClr w14:val="tx1"/>
            </w14:solidFill>
          </w14:textFill>
        </w:rPr>
      </w:pPr>
      <w:r>
        <w:rPr>
          <w:color w:val="000000" w:themeColor="text1"/>
          <w14:textFill>
            <w14:solidFill>
              <w14:schemeClr w14:val="tx1"/>
            </w14:solidFill>
          </w14:textFill>
        </w:rPr>
        <w:t>Coi—评价因子i 的评价标准值。</w:t>
      </w:r>
    </w:p>
    <w:p>
      <w:pPr>
        <w:ind w:firstLine="480"/>
        <w:rPr>
          <w:color w:val="000000" w:themeColor="text1"/>
          <w14:textFill>
            <w14:solidFill>
              <w14:schemeClr w14:val="tx1"/>
            </w14:solidFill>
          </w14:textFill>
        </w:rPr>
      </w:pPr>
      <w:r>
        <w:rPr>
          <w:color w:val="000000" w:themeColor="text1"/>
          <w14:textFill>
            <w14:solidFill>
              <w14:schemeClr w14:val="tx1"/>
            </w14:solidFill>
          </w14:textFill>
        </w:rPr>
        <w:t>对于水中溶解氧的标准指数采用模式为：</w:t>
      </w:r>
    </w:p>
    <w:p>
      <w:pPr>
        <w:ind w:firstLine="480"/>
        <w:jc w:val="center"/>
        <w:rPr>
          <w:color w:val="000000" w:themeColor="text1"/>
          <w14:textFill>
            <w14:solidFill>
              <w14:schemeClr w14:val="tx1"/>
            </w14:solidFill>
          </w14:textFill>
        </w:rPr>
      </w:pPr>
      <w:r>
        <w:rPr>
          <w:color w:val="000000" w:themeColor="text1"/>
          <w14:textFill>
            <w14:solidFill>
              <w14:schemeClr w14:val="tx1"/>
            </w14:solidFill>
          </w14:textFill>
        </w:rPr>
        <w:drawing>
          <wp:inline distT="0" distB="0" distL="0" distR="0">
            <wp:extent cx="2898140" cy="1149350"/>
            <wp:effectExtent l="0" t="0" r="0" b="0"/>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pic:cNvPicPr>
                      <a:picLocks noChangeAspect="1"/>
                    </pic:cNvPicPr>
                  </pic:nvPicPr>
                  <pic:blipFill>
                    <a:blip r:embed="rId66"/>
                    <a:stretch>
                      <a:fillRect/>
                    </a:stretch>
                  </pic:blipFill>
                  <pic:spPr>
                    <a:xfrm>
                      <a:off x="0" y="0"/>
                      <a:ext cx="2910957" cy="1154452"/>
                    </a:xfrm>
                    <a:prstGeom prst="rect">
                      <a:avLst/>
                    </a:prstGeom>
                  </pic:spPr>
                </pic:pic>
              </a:graphicData>
            </a:graphic>
          </wp:inline>
        </w:drawing>
      </w:r>
    </w:p>
    <w:p>
      <w:pPr>
        <w:ind w:firstLine="480"/>
        <w:rPr>
          <w:color w:val="000000" w:themeColor="text1"/>
          <w14:textFill>
            <w14:solidFill>
              <w14:schemeClr w14:val="tx1"/>
            </w14:solidFill>
          </w14:textFill>
        </w:rPr>
      </w:pPr>
      <w:r>
        <w:rPr>
          <w:color w:val="000000" w:themeColor="text1"/>
          <w14:textFill>
            <w14:solidFill>
              <w14:schemeClr w14:val="tx1"/>
            </w14:solidFill>
          </w14:textFill>
        </w:rPr>
        <w:t>式中：Cf——现场水温和盐度条件下的溶解氧饱和含量，Cf＝468/（31.6+t）。</w:t>
      </w:r>
    </w:p>
    <w:p>
      <w:pPr>
        <w:ind w:firstLine="480"/>
        <w:rPr>
          <w:color w:val="000000" w:themeColor="text1"/>
          <w14:textFill>
            <w14:solidFill>
              <w14:schemeClr w14:val="tx1"/>
            </w14:solidFill>
          </w14:textFill>
        </w:rPr>
      </w:pPr>
      <w:r>
        <w:rPr>
          <w:color w:val="000000" w:themeColor="text1"/>
          <w14:textFill>
            <w14:solidFill>
              <w14:schemeClr w14:val="tx1"/>
            </w14:solidFill>
          </w14:textFill>
        </w:rPr>
        <w:t>对于水中pH 的标准指数采用模式为：</w:t>
      </w:r>
    </w:p>
    <w:p>
      <w:pPr>
        <w:ind w:firstLine="480"/>
        <w:jc w:val="center"/>
        <w:rPr>
          <w:color w:val="000000" w:themeColor="text1"/>
          <w14:textFill>
            <w14:solidFill>
              <w14:schemeClr w14:val="tx1"/>
            </w14:solidFill>
          </w14:textFill>
        </w:rPr>
      </w:pPr>
      <w:r>
        <w:rPr>
          <w:color w:val="000000" w:themeColor="text1"/>
          <w14:textFill>
            <w14:solidFill>
              <w14:schemeClr w14:val="tx1"/>
            </w14:solidFill>
          </w14:textFill>
        </w:rPr>
        <w:drawing>
          <wp:inline distT="0" distB="0" distL="0" distR="0">
            <wp:extent cx="3950335" cy="525145"/>
            <wp:effectExtent l="0" t="0" r="0" b="8255"/>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pic:cNvPicPr>
                      <a:picLocks noChangeAspect="1"/>
                    </pic:cNvPicPr>
                  </pic:nvPicPr>
                  <pic:blipFill>
                    <a:blip r:embed="rId67"/>
                    <a:stretch>
                      <a:fillRect/>
                    </a:stretch>
                  </pic:blipFill>
                  <pic:spPr>
                    <a:xfrm>
                      <a:off x="0" y="0"/>
                      <a:ext cx="3977031" cy="529133"/>
                    </a:xfrm>
                    <a:prstGeom prst="rect">
                      <a:avLst/>
                    </a:prstGeom>
                  </pic:spPr>
                </pic:pic>
              </a:graphicData>
            </a:graphic>
          </wp:inline>
        </w:drawing>
      </w:r>
    </w:p>
    <w:p>
      <w:pPr>
        <w:ind w:firstLine="480"/>
        <w:rPr>
          <w:color w:val="000000" w:themeColor="text1"/>
          <w14:textFill>
            <w14:solidFill>
              <w14:schemeClr w14:val="tx1"/>
            </w14:solidFill>
          </w14:textFill>
        </w:rPr>
      </w:pPr>
      <w:r>
        <w:rPr>
          <w:color w:val="000000" w:themeColor="text1"/>
          <w14:textFill>
            <w14:solidFill>
              <w14:schemeClr w14:val="tx1"/>
            </w14:solidFill>
          </w14:textFill>
        </w:rPr>
        <w:t>式中：</w:t>
      </w:r>
      <w:r>
        <w:rPr>
          <w:i/>
          <w:color w:val="000000" w:themeColor="text1"/>
          <w14:textFill>
            <w14:solidFill>
              <w14:schemeClr w14:val="tx1"/>
            </w14:solidFill>
          </w14:textFill>
        </w:rPr>
        <w:t>C</w:t>
      </w:r>
      <w:r>
        <w:rPr>
          <w:i/>
          <w:color w:val="000000" w:themeColor="text1"/>
          <w:vertAlign w:val="subscript"/>
          <w14:textFill>
            <w14:solidFill>
              <w14:schemeClr w14:val="tx1"/>
            </w14:solidFill>
          </w14:textFill>
        </w:rPr>
        <w:t>o, upper</w:t>
      </w:r>
      <w:r>
        <w:rPr>
          <w:color w:val="000000" w:themeColor="text1"/>
          <w14:textFill>
            <w14:solidFill>
              <w14:schemeClr w14:val="tx1"/>
            </w14:solidFill>
          </w14:textFill>
        </w:rPr>
        <w:t>——pH的评价标准值上限；</w:t>
      </w:r>
    </w:p>
    <w:p>
      <w:pPr>
        <w:ind w:firstLine="1235" w:firstLineChars="500"/>
        <w:rPr>
          <w:color w:val="000000" w:themeColor="text1"/>
          <w14:textFill>
            <w14:solidFill>
              <w14:schemeClr w14:val="tx1"/>
            </w14:solidFill>
          </w14:textFill>
        </w:rPr>
      </w:pPr>
      <w:r>
        <w:rPr>
          <w:i/>
          <w:color w:val="000000" w:themeColor="text1"/>
          <w14:textFill>
            <w14:solidFill>
              <w14:schemeClr w14:val="tx1"/>
            </w14:solidFill>
          </w14:textFill>
        </w:rPr>
        <w:t>C</w:t>
      </w:r>
      <w:r>
        <w:rPr>
          <w:i/>
          <w:color w:val="000000" w:themeColor="text1"/>
          <w:vertAlign w:val="subscript"/>
          <w14:textFill>
            <w14:solidFill>
              <w14:schemeClr w14:val="tx1"/>
            </w14:solidFill>
          </w14:textFill>
        </w:rPr>
        <w:t>o,lower</w:t>
      </w:r>
      <w:r>
        <w:rPr>
          <w:color w:val="000000" w:themeColor="text1"/>
          <w14:textFill>
            <w14:solidFill>
              <w14:schemeClr w14:val="tx1"/>
            </w14:solidFill>
          </w14:textFill>
        </w:rPr>
        <w:t>——pH 的评价标准值下限；</w:t>
      </w:r>
    </w:p>
    <w:p>
      <w:pPr>
        <w:pStyle w:val="1075"/>
        <w:rPr>
          <w:color w:val="000000" w:themeColor="text1"/>
          <w:lang w:bidi="zh-CN"/>
          <w14:textFill>
            <w14:solidFill>
              <w14:schemeClr w14:val="tx1"/>
            </w14:solidFill>
          </w14:textFill>
        </w:rPr>
      </w:pPr>
      <w:r>
        <w:rPr>
          <w:i/>
          <w:color w:val="000000" w:themeColor="text1"/>
          <w14:textFill>
            <w14:solidFill>
              <w14:schemeClr w14:val="tx1"/>
            </w14:solidFill>
          </w14:textFill>
        </w:rPr>
        <w:t>C</w:t>
      </w:r>
      <w:r>
        <w:rPr>
          <w:i/>
          <w:color w:val="000000" w:themeColor="text1"/>
          <w:vertAlign w:val="subscript"/>
          <w14:textFill>
            <w14:solidFill>
              <w14:schemeClr w14:val="tx1"/>
            </w14:solidFill>
          </w14:textFill>
        </w:rPr>
        <w:t>j</w:t>
      </w:r>
      <w:r>
        <w:rPr>
          <w:color w:val="000000" w:themeColor="text1"/>
          <w14:textFill>
            <w14:solidFill>
              <w14:schemeClr w14:val="tx1"/>
            </w14:solidFill>
          </w14:textFill>
        </w:rPr>
        <w:t>——评价因子pH在j站的实测值。</w:t>
      </w:r>
    </w:p>
    <w:p>
      <w:pPr>
        <w:pStyle w:val="6"/>
        <w:rPr>
          <w:color w:val="000000" w:themeColor="text1"/>
          <w14:textFill>
            <w14:solidFill>
              <w14:schemeClr w14:val="tx1"/>
            </w14:solidFill>
          </w14:textFill>
        </w:rPr>
      </w:pPr>
      <w:r>
        <w:rPr>
          <w:color w:val="000000" w:themeColor="text1"/>
          <w14:textFill>
            <w14:solidFill>
              <w14:schemeClr w14:val="tx1"/>
            </w14:solidFill>
          </w14:textFill>
        </w:rPr>
        <w:t>评价</w:t>
      </w:r>
      <w:r>
        <w:rPr>
          <w:rFonts w:hint="eastAsia"/>
          <w:color w:val="000000" w:themeColor="text1"/>
          <w14:textFill>
            <w14:solidFill>
              <w14:schemeClr w14:val="tx1"/>
            </w14:solidFill>
          </w14:textFill>
        </w:rPr>
        <w:t>小结</w:t>
      </w:r>
    </w:p>
    <w:p>
      <w:pPr>
        <w:ind w:firstLine="494" w:firstLineChars="200"/>
        <w:rPr>
          <w:color w:val="000000" w:themeColor="text1"/>
          <w:lang w:val="zh-CN" w:bidi="zh-CN"/>
          <w14:textFill>
            <w14:solidFill>
              <w14:schemeClr w14:val="tx1"/>
            </w14:solidFill>
          </w14:textFill>
        </w:rPr>
      </w:pPr>
      <w:r>
        <w:rPr>
          <w:color w:val="000000" w:themeColor="text1"/>
          <w:lang w:val="zh-CN" w:bidi="zh-CN"/>
          <w14:textFill>
            <w14:solidFill>
              <w14:schemeClr w14:val="tx1"/>
            </w14:solidFill>
          </w14:textFill>
        </w:rPr>
        <w:t>（1）2021年11月（</w:t>
      </w:r>
      <w:r>
        <w:rPr>
          <w:rFonts w:hint="eastAsia"/>
          <w:color w:val="000000" w:themeColor="text1"/>
          <w:lang w:val="zh-CN" w:bidi="zh-CN"/>
          <w14:textFill>
            <w14:solidFill>
              <w14:schemeClr w14:val="tx1"/>
            </w14:solidFill>
          </w14:textFill>
        </w:rPr>
        <w:t>秋季</w:t>
      </w:r>
      <w:r>
        <w:rPr>
          <w:color w:val="000000" w:themeColor="text1"/>
          <w:lang w:val="zh-CN" w:bidi="zh-CN"/>
          <w14:textFill>
            <w14:solidFill>
              <w14:schemeClr w14:val="tx1"/>
            </w14:solidFill>
          </w14:textFill>
        </w:rPr>
        <w:t>）海域水质现状评价</w:t>
      </w:r>
    </w:p>
    <w:p>
      <w:pPr>
        <w:ind w:firstLine="494" w:firstLineChars="200"/>
        <w:rPr>
          <w:color w:val="000000" w:themeColor="text1"/>
          <w:lang w:val="zh-CN" w:bidi="zh-CN"/>
          <w14:textFill>
            <w14:solidFill>
              <w14:schemeClr w14:val="tx1"/>
            </w14:solidFill>
          </w14:textFill>
        </w:rPr>
      </w:pPr>
      <w:r>
        <w:rPr>
          <w:color w:val="000000" w:themeColor="text1"/>
          <w:lang w:val="zh-CN" w:bidi="zh-CN"/>
          <w14:textFill>
            <w14:solidFill>
              <w14:schemeClr w14:val="tx1"/>
            </w14:solidFill>
          </w14:textFill>
        </w:rPr>
        <w:t>水质现状评价结果见表3.3-9。从表中可以看出</w:t>
      </w:r>
      <w:r>
        <w:rPr>
          <w:rFonts w:hint="eastAsia"/>
          <w:color w:val="000000" w:themeColor="text1"/>
          <w:lang w:val="zh-CN" w:bidi="zh-CN"/>
          <w14:textFill>
            <w14:solidFill>
              <w14:schemeClr w14:val="tx1"/>
            </w14:solidFill>
          </w14:textFill>
        </w:rPr>
        <w:t>7、8、9、10、1</w:t>
      </w:r>
      <w:r>
        <w:rPr>
          <w:color w:val="000000" w:themeColor="text1"/>
          <w:lang w:val="zh-CN" w:bidi="zh-CN"/>
          <w14:textFill>
            <w14:solidFill>
              <w14:schemeClr w14:val="tx1"/>
            </w14:solidFill>
          </w14:textFill>
        </w:rPr>
        <w:t>2</w:t>
      </w:r>
      <w:r>
        <w:rPr>
          <w:rFonts w:hint="eastAsia"/>
          <w:color w:val="000000" w:themeColor="text1"/>
          <w:lang w:val="zh-CN" w:bidi="zh-CN"/>
          <w14:textFill>
            <w14:solidFill>
              <w14:schemeClr w14:val="tx1"/>
            </w14:solidFill>
          </w14:textFill>
        </w:rPr>
        <w:t>、1</w:t>
      </w:r>
      <w:r>
        <w:rPr>
          <w:color w:val="000000" w:themeColor="text1"/>
          <w:lang w:val="zh-CN" w:bidi="zh-CN"/>
          <w14:textFill>
            <w14:solidFill>
              <w14:schemeClr w14:val="tx1"/>
            </w14:solidFill>
          </w14:textFill>
        </w:rPr>
        <w:t>6</w:t>
      </w:r>
      <w:r>
        <w:rPr>
          <w:rFonts w:hint="eastAsia"/>
          <w:color w:val="000000" w:themeColor="text1"/>
          <w:lang w:val="zh-CN" w:bidi="zh-CN"/>
          <w14:textFill>
            <w14:solidFill>
              <w14:schemeClr w14:val="tx1"/>
            </w14:solidFill>
          </w14:textFill>
        </w:rPr>
        <w:t>号站部分监测因子超过《海水水质标准》（GB3097-1997）中</w:t>
      </w:r>
      <w:r>
        <w:rPr>
          <w:color w:val="000000" w:themeColor="text1"/>
          <w14:textFill>
            <w14:solidFill>
              <w14:schemeClr w14:val="tx1"/>
            </w14:solidFill>
          </w14:textFill>
        </w:rPr>
        <w:t>第二类</w:t>
      </w:r>
      <w:r>
        <w:rPr>
          <w:rFonts w:hint="eastAsia"/>
          <w:color w:val="000000" w:themeColor="text1"/>
          <w14:textFill>
            <w14:solidFill>
              <w14:schemeClr w14:val="tx1"/>
            </w14:solidFill>
          </w14:textFill>
        </w:rPr>
        <w:t>水质标准，超标因子主要为</w:t>
      </w:r>
      <w:r>
        <w:rPr>
          <w:color w:val="000000" w:themeColor="text1"/>
          <w:lang w:val="zh-CN" w:bidi="zh-CN"/>
          <w14:textFill>
            <w14:solidFill>
              <w14:schemeClr w14:val="tx1"/>
            </w14:solidFill>
          </w14:textFill>
        </w:rPr>
        <w:t>pH、COD、石油类、</w:t>
      </w:r>
      <w:r>
        <w:rPr>
          <w:rFonts w:hint="eastAsia"/>
          <w:color w:val="000000" w:themeColor="text1"/>
          <w:lang w:val="zh-CN" w:bidi="zh-CN"/>
          <w14:textFill>
            <w14:solidFill>
              <w14:schemeClr w14:val="tx1"/>
            </w14:solidFill>
          </w14:textFill>
        </w:rPr>
        <w:t>活性</w:t>
      </w:r>
      <w:r>
        <w:rPr>
          <w:color w:val="000000" w:themeColor="text1"/>
          <w:lang w:val="zh-CN" w:bidi="zh-CN"/>
          <w14:textFill>
            <w14:solidFill>
              <w14:schemeClr w14:val="tx1"/>
            </w14:solidFill>
          </w14:textFill>
        </w:rPr>
        <w:t>磷酸盐</w:t>
      </w:r>
      <w:r>
        <w:rPr>
          <w:rFonts w:hint="eastAsia"/>
          <w:color w:val="000000" w:themeColor="text1"/>
          <w:lang w:val="zh-CN" w:bidi="zh-CN"/>
          <w14:textFill>
            <w14:solidFill>
              <w14:schemeClr w14:val="tx1"/>
            </w14:solidFill>
          </w14:textFill>
        </w:rPr>
        <w:t>。</w:t>
      </w:r>
      <w:r>
        <w:rPr>
          <w:color w:val="000000" w:themeColor="text1"/>
          <w:lang w:val="zh-CN" w:bidi="zh-CN"/>
          <w14:textFill>
            <w14:solidFill>
              <w14:schemeClr w14:val="tx1"/>
            </w14:solidFill>
          </w14:textFill>
        </w:rPr>
        <w:t>pH超标倍数介于1.46-2.00之间，8</w:t>
      </w:r>
      <w:r>
        <w:rPr>
          <w:rFonts w:hint="eastAsia"/>
          <w:color w:val="000000" w:themeColor="text1"/>
          <w:lang w:val="zh-CN" w:bidi="zh-CN"/>
          <w14:textFill>
            <w14:solidFill>
              <w14:schemeClr w14:val="tx1"/>
            </w14:solidFill>
          </w14:textFill>
        </w:rPr>
        <w:t>、1</w:t>
      </w:r>
      <w:r>
        <w:rPr>
          <w:color w:val="000000" w:themeColor="text1"/>
          <w:lang w:val="zh-CN" w:bidi="zh-CN"/>
          <w14:textFill>
            <w14:solidFill>
              <w14:schemeClr w14:val="tx1"/>
            </w14:solidFill>
          </w14:textFill>
        </w:rPr>
        <w:t>2</w:t>
      </w:r>
      <w:r>
        <w:rPr>
          <w:rFonts w:hint="eastAsia"/>
          <w:color w:val="000000" w:themeColor="text1"/>
          <w:lang w:val="zh-CN" w:bidi="zh-CN"/>
          <w14:textFill>
            <w14:solidFill>
              <w14:schemeClr w14:val="tx1"/>
            </w14:solidFill>
          </w14:textFill>
        </w:rPr>
        <w:t>、1</w:t>
      </w:r>
      <w:r>
        <w:rPr>
          <w:color w:val="000000" w:themeColor="text1"/>
          <w:lang w:val="zh-CN" w:bidi="zh-CN"/>
          <w14:textFill>
            <w14:solidFill>
              <w14:schemeClr w14:val="tx1"/>
            </w14:solidFill>
          </w14:textFill>
        </w:rPr>
        <w:t>6号站</w:t>
      </w:r>
      <w:r>
        <w:rPr>
          <w:rFonts w:hint="eastAsia"/>
          <w:color w:val="000000" w:themeColor="text1"/>
          <w:lang w:val="zh-CN" w:bidi="zh-CN"/>
          <w14:textFill>
            <w14:solidFill>
              <w14:schemeClr w14:val="tx1"/>
            </w14:solidFill>
          </w14:textFill>
        </w:rPr>
        <w:t>出现超标，</w:t>
      </w:r>
      <w:r>
        <w:rPr>
          <w:color w:val="000000" w:themeColor="text1"/>
          <w:lang w:val="zh-CN" w:bidi="zh-CN"/>
          <w14:textFill>
            <w14:solidFill>
              <w14:schemeClr w14:val="tx1"/>
            </w14:solidFill>
          </w14:textFill>
        </w:rPr>
        <w:t>最大超标倍数出现在8号站，超标率13.64%</w:t>
      </w:r>
      <w:r>
        <w:rPr>
          <w:rFonts w:hint="eastAsia"/>
          <w:color w:val="000000" w:themeColor="text1"/>
          <w:lang w:val="zh-CN" w:bidi="zh-CN"/>
          <w14:textFill>
            <w14:solidFill>
              <w14:schemeClr w14:val="tx1"/>
            </w14:solidFill>
          </w14:textFill>
        </w:rPr>
        <w:t>；其超标原因可能由陆源污染物输入导致。</w:t>
      </w:r>
      <w:r>
        <w:rPr>
          <w:color w:val="000000" w:themeColor="text1"/>
          <w:lang w:val="zh-CN" w:bidi="zh-CN"/>
          <w14:textFill>
            <w14:solidFill>
              <w14:schemeClr w14:val="tx1"/>
            </w14:solidFill>
          </w14:textFill>
        </w:rPr>
        <w:t>COD超标倍数介于1.56-1.59之间，10</w:t>
      </w:r>
      <w:r>
        <w:rPr>
          <w:rFonts w:hint="eastAsia"/>
          <w:color w:val="000000" w:themeColor="text1"/>
          <w:lang w:val="zh-CN" w:bidi="zh-CN"/>
          <w14:textFill>
            <w14:solidFill>
              <w14:schemeClr w14:val="tx1"/>
            </w14:solidFill>
          </w14:textFill>
        </w:rPr>
        <w:t>、1</w:t>
      </w:r>
      <w:r>
        <w:rPr>
          <w:color w:val="000000" w:themeColor="text1"/>
          <w:lang w:val="zh-CN" w:bidi="zh-CN"/>
          <w14:textFill>
            <w14:solidFill>
              <w14:schemeClr w14:val="tx1"/>
            </w14:solidFill>
          </w14:textFill>
        </w:rPr>
        <w:t>6号站</w:t>
      </w:r>
      <w:r>
        <w:rPr>
          <w:rFonts w:hint="eastAsia"/>
          <w:color w:val="000000" w:themeColor="text1"/>
          <w:lang w:val="zh-CN" w:bidi="zh-CN"/>
          <w14:textFill>
            <w14:solidFill>
              <w14:schemeClr w14:val="tx1"/>
            </w14:solidFill>
          </w14:textFill>
        </w:rPr>
        <w:t>出现超标，</w:t>
      </w:r>
      <w:r>
        <w:rPr>
          <w:color w:val="000000" w:themeColor="text1"/>
          <w:lang w:val="zh-CN" w:bidi="zh-CN"/>
          <w14:textFill>
            <w14:solidFill>
              <w14:schemeClr w14:val="tx1"/>
            </w14:solidFill>
          </w14:textFill>
        </w:rPr>
        <w:t>最大超标倍数出现在16号站，超标率9.09%</w:t>
      </w:r>
      <w:r>
        <w:rPr>
          <w:rFonts w:hint="eastAsia"/>
          <w:color w:val="000000" w:themeColor="text1"/>
          <w:lang w:val="zh-CN" w:bidi="zh-CN"/>
          <w14:textFill>
            <w14:solidFill>
              <w14:schemeClr w14:val="tx1"/>
            </w14:solidFill>
          </w14:textFill>
        </w:rPr>
        <w:t>；其超标原因可能由陆源污染物输入导致。</w:t>
      </w:r>
      <w:r>
        <w:rPr>
          <w:color w:val="000000" w:themeColor="text1"/>
          <w:lang w:val="zh-CN" w:bidi="zh-CN"/>
          <w14:textFill>
            <w14:solidFill>
              <w14:schemeClr w14:val="tx1"/>
            </w14:solidFill>
          </w14:textFill>
        </w:rPr>
        <w:t>石油类仅有18号站出现超标，超标倍数1.02。</w:t>
      </w:r>
      <w:r>
        <w:rPr>
          <w:rFonts w:hint="eastAsia"/>
          <w:color w:val="000000" w:themeColor="text1"/>
          <w:lang w:val="zh-CN" w:bidi="zh-CN"/>
          <w14:textFill>
            <w14:solidFill>
              <w14:schemeClr w14:val="tx1"/>
            </w14:solidFill>
          </w14:textFill>
        </w:rPr>
        <w:t>超标点位超标原因可能由航道及港口区域船舶航行导致。活性</w:t>
      </w:r>
      <w:r>
        <w:rPr>
          <w:color w:val="000000" w:themeColor="text1"/>
          <w:lang w:val="zh-CN" w:bidi="zh-CN"/>
          <w14:textFill>
            <w14:solidFill>
              <w14:schemeClr w14:val="tx1"/>
            </w14:solidFill>
          </w14:textFill>
        </w:rPr>
        <w:t>磷酸盐超标倍数介于1.07-1.53之间，7</w:t>
      </w:r>
      <w:r>
        <w:rPr>
          <w:rFonts w:hint="eastAsia"/>
          <w:color w:val="000000" w:themeColor="text1"/>
          <w:lang w:val="zh-CN" w:bidi="zh-CN"/>
          <w14:textFill>
            <w14:solidFill>
              <w14:schemeClr w14:val="tx1"/>
            </w14:solidFill>
          </w14:textFill>
        </w:rPr>
        <w:t>、8、9、1</w:t>
      </w:r>
      <w:r>
        <w:rPr>
          <w:color w:val="000000" w:themeColor="text1"/>
          <w:lang w:val="zh-CN" w:bidi="zh-CN"/>
          <w14:textFill>
            <w14:solidFill>
              <w14:schemeClr w14:val="tx1"/>
            </w14:solidFill>
          </w14:textFill>
        </w:rPr>
        <w:t>0号站</w:t>
      </w:r>
      <w:r>
        <w:rPr>
          <w:rFonts w:hint="eastAsia"/>
          <w:color w:val="000000" w:themeColor="text1"/>
          <w:lang w:val="zh-CN" w:bidi="zh-CN"/>
          <w14:textFill>
            <w14:solidFill>
              <w14:schemeClr w14:val="tx1"/>
            </w14:solidFill>
          </w14:textFill>
        </w:rPr>
        <w:t>出现超标，</w:t>
      </w:r>
      <w:r>
        <w:rPr>
          <w:color w:val="000000" w:themeColor="text1"/>
          <w:lang w:val="zh-CN" w:bidi="zh-CN"/>
          <w14:textFill>
            <w14:solidFill>
              <w14:schemeClr w14:val="tx1"/>
            </w14:solidFill>
          </w14:textFill>
        </w:rPr>
        <w:t>最大超标倍数出现在7站，超标率18.18%。</w:t>
      </w:r>
      <w:r>
        <w:rPr>
          <w:rFonts w:hint="eastAsia"/>
          <w:color w:val="000000" w:themeColor="text1"/>
          <w:lang w:val="zh-CN" w:bidi="zh-CN"/>
          <w14:textFill>
            <w14:solidFill>
              <w14:schemeClr w14:val="tx1"/>
            </w14:solidFill>
          </w14:textFill>
        </w:rPr>
        <w:t>其超标原因可能由陆源污染物输入导致</w:t>
      </w:r>
      <w:r>
        <w:rPr>
          <w:color w:val="000000" w:themeColor="text1"/>
          <w:lang w:val="zh-CN" w:bidi="zh-CN"/>
          <w14:textFill>
            <w14:solidFill>
              <w14:schemeClr w14:val="tx1"/>
            </w14:solidFill>
          </w14:textFill>
        </w:rPr>
        <w:t>。</w:t>
      </w:r>
    </w:p>
    <w:p>
      <w:pPr>
        <w:ind w:firstLine="494" w:firstLineChars="200"/>
        <w:rPr>
          <w:color w:val="000000" w:themeColor="text1"/>
          <w:lang w:bidi="zh-CN"/>
          <w14:textFill>
            <w14:solidFill>
              <w14:schemeClr w14:val="tx1"/>
            </w14:solidFill>
          </w14:textFill>
        </w:rPr>
      </w:pPr>
      <w:r>
        <w:rPr>
          <w:rFonts w:hint="eastAsia"/>
          <w:color w:val="000000" w:themeColor="text1"/>
          <w14:textFill>
            <w14:solidFill>
              <w14:schemeClr w14:val="tx1"/>
            </w14:solidFill>
          </w14:textFill>
        </w:rPr>
        <w:t>根据监测站位分布及水质监测结果可知，2021年11月水质超标点位主要集中于金鼓江及鹿耳环江入海河口上游，上述区域均为工业与城镇用海区，监测海域深入钦州市区，渔业养殖及城镇居民活动频繁，形成的陆源污染及船舶航行污染较强。本项目工程附近海域监测站点4号、13号、14号站各项指标均达所在海域水质标准，海水水质良好。</w:t>
      </w:r>
    </w:p>
    <w:p>
      <w:pPr>
        <w:ind w:firstLine="494" w:firstLineChars="200"/>
        <w:rPr>
          <w:color w:val="000000" w:themeColor="text1"/>
          <w:lang w:val="zh-CN" w:bidi="zh-CN"/>
          <w14:textFill>
            <w14:solidFill>
              <w14:schemeClr w14:val="tx1"/>
            </w14:solidFill>
          </w14:textFill>
        </w:rPr>
      </w:pPr>
      <w:r>
        <w:rPr>
          <w:color w:val="000000" w:themeColor="text1"/>
          <w:lang w:val="zh-CN" w:bidi="zh-CN"/>
          <w14:textFill>
            <w14:solidFill>
              <w14:schemeClr w14:val="tx1"/>
            </w14:solidFill>
          </w14:textFill>
        </w:rPr>
        <w:t>（2）2022年4月（春季）海域水质现状评价</w:t>
      </w:r>
    </w:p>
    <w:p>
      <w:pPr>
        <w:ind w:firstLine="494" w:firstLineChars="200"/>
        <w:rPr>
          <w:color w:val="000000" w:themeColor="text1"/>
          <w:lang w:val="zh-CN" w:bidi="zh-CN"/>
          <w14:textFill>
            <w14:solidFill>
              <w14:schemeClr w14:val="tx1"/>
            </w14:solidFill>
          </w14:textFill>
        </w:rPr>
      </w:pPr>
      <w:r>
        <w:rPr>
          <w:color w:val="000000" w:themeColor="text1"/>
          <w:lang w:val="zh-CN" w:bidi="zh-CN"/>
          <w14:textFill>
            <w14:solidFill>
              <w14:schemeClr w14:val="tx1"/>
            </w14:solidFill>
          </w14:textFill>
        </w:rPr>
        <w:t>水质现状评价结果见表3.3-10。从表中可以看出1</w:t>
      </w:r>
      <w:r>
        <w:rPr>
          <w:rFonts w:hint="eastAsia"/>
          <w:color w:val="000000" w:themeColor="text1"/>
          <w:lang w:val="zh-CN" w:bidi="zh-CN"/>
          <w14:textFill>
            <w14:solidFill>
              <w14:schemeClr w14:val="tx1"/>
            </w14:solidFill>
          </w14:textFill>
        </w:rPr>
        <w:t>、2、3、4、5、6、7、8、9、1</w:t>
      </w:r>
      <w:r>
        <w:rPr>
          <w:color w:val="000000" w:themeColor="text1"/>
          <w:lang w:val="zh-CN" w:bidi="zh-CN"/>
          <w14:textFill>
            <w14:solidFill>
              <w14:schemeClr w14:val="tx1"/>
            </w14:solidFill>
          </w14:textFill>
        </w:rPr>
        <w:t>5</w:t>
      </w:r>
      <w:r>
        <w:rPr>
          <w:rFonts w:hint="eastAsia"/>
          <w:color w:val="000000" w:themeColor="text1"/>
          <w:lang w:val="zh-CN" w:bidi="zh-CN"/>
          <w14:textFill>
            <w14:solidFill>
              <w14:schemeClr w14:val="tx1"/>
            </w14:solidFill>
          </w14:textFill>
        </w:rPr>
        <w:t>号站部分监测因子超过《海水水质标准》（GB3097-1997）中</w:t>
      </w:r>
      <w:r>
        <w:rPr>
          <w:color w:val="000000" w:themeColor="text1"/>
          <w14:textFill>
            <w14:solidFill>
              <w14:schemeClr w14:val="tx1"/>
            </w14:solidFill>
          </w14:textFill>
        </w:rPr>
        <w:t>第二类</w:t>
      </w:r>
      <w:r>
        <w:rPr>
          <w:rFonts w:hint="eastAsia"/>
          <w:color w:val="000000" w:themeColor="text1"/>
          <w14:textFill>
            <w14:solidFill>
              <w14:schemeClr w14:val="tx1"/>
            </w14:solidFill>
          </w14:textFill>
        </w:rPr>
        <w:t>水质标准，</w:t>
      </w:r>
      <w:r>
        <w:rPr>
          <w:rFonts w:hint="eastAsia"/>
          <w:color w:val="000000" w:themeColor="text1"/>
          <w:lang w:val="zh-CN" w:bidi="zh-CN"/>
          <w14:textFill>
            <w14:solidFill>
              <w14:schemeClr w14:val="tx1"/>
            </w14:solidFill>
          </w14:textFill>
        </w:rPr>
        <w:t>1</w:t>
      </w:r>
      <w:r>
        <w:rPr>
          <w:color w:val="000000" w:themeColor="text1"/>
          <w:lang w:val="zh-CN" w:bidi="zh-CN"/>
          <w14:textFill>
            <w14:solidFill>
              <w14:schemeClr w14:val="tx1"/>
            </w14:solidFill>
          </w14:textFill>
        </w:rPr>
        <w:t>1</w:t>
      </w:r>
      <w:r>
        <w:rPr>
          <w:rFonts w:hint="eastAsia"/>
          <w:color w:val="000000" w:themeColor="text1"/>
          <w:lang w:val="zh-CN" w:bidi="zh-CN"/>
          <w14:textFill>
            <w14:solidFill>
              <w14:schemeClr w14:val="tx1"/>
            </w14:solidFill>
          </w14:textFill>
        </w:rPr>
        <w:t>号站部分监测因子超过《海水水质标准》（GB3097-1997）中</w:t>
      </w:r>
      <w:r>
        <w:rPr>
          <w:rFonts w:hint="eastAsia"/>
          <w:color w:val="000000" w:themeColor="text1"/>
          <w14:textFill>
            <w14:solidFill>
              <w14:schemeClr w14:val="tx1"/>
            </w14:solidFill>
          </w14:textFill>
        </w:rPr>
        <w:t>第四类水质标准，超标因子主要为</w:t>
      </w:r>
      <w:r>
        <w:rPr>
          <w:color w:val="000000" w:themeColor="text1"/>
          <w:lang w:val="zh-CN" w:bidi="zh-CN"/>
          <w14:textFill>
            <w14:solidFill>
              <w14:schemeClr w14:val="tx1"/>
            </w14:solidFill>
          </w14:textFill>
        </w:rPr>
        <w:t>pH、活性磷酸盐</w:t>
      </w:r>
      <w:r>
        <w:rPr>
          <w:rFonts w:hint="eastAsia"/>
          <w:color w:val="000000" w:themeColor="text1"/>
          <w:lang w:val="zh-CN" w:bidi="zh-CN"/>
          <w14:textFill>
            <w14:solidFill>
              <w14:schemeClr w14:val="tx1"/>
            </w14:solidFill>
          </w14:textFill>
        </w:rPr>
        <w:t>、</w:t>
      </w:r>
      <w:r>
        <w:rPr>
          <w:rFonts w:hint="eastAsia"/>
          <w:color w:val="000000" w:themeColor="text1"/>
          <w:u w:val="single"/>
          <w:lang w:val="zh-CN" w:bidi="zh-CN"/>
          <w14:textFill>
            <w14:solidFill>
              <w14:schemeClr w14:val="tx1"/>
            </w14:solidFill>
          </w14:textFill>
        </w:rPr>
        <w:t>无机氮</w:t>
      </w:r>
      <w:r>
        <w:rPr>
          <w:rFonts w:hint="eastAsia"/>
          <w:color w:val="000000" w:themeColor="text1"/>
          <w:lang w:val="zh-CN" w:bidi="zh-CN"/>
          <w14:textFill>
            <w14:solidFill>
              <w14:schemeClr w14:val="tx1"/>
            </w14:solidFill>
          </w14:textFill>
        </w:rPr>
        <w:t>。</w:t>
      </w:r>
      <w:r>
        <w:rPr>
          <w:color w:val="000000" w:themeColor="text1"/>
          <w:lang w:val="zh-CN" w:bidi="zh-CN"/>
          <w14:textFill>
            <w14:solidFill>
              <w14:schemeClr w14:val="tx1"/>
            </w14:solidFill>
          </w14:textFill>
        </w:rPr>
        <w:t>pH超标倍数介于1.4-1.94之间，5</w:t>
      </w:r>
      <w:r>
        <w:rPr>
          <w:rFonts w:hint="eastAsia"/>
          <w:color w:val="000000" w:themeColor="text1"/>
          <w:lang w:val="zh-CN" w:bidi="zh-CN"/>
          <w14:textFill>
            <w14:solidFill>
              <w14:schemeClr w14:val="tx1"/>
            </w14:solidFill>
          </w14:textFill>
        </w:rPr>
        <w:t>、</w:t>
      </w:r>
      <w:r>
        <w:rPr>
          <w:color w:val="000000" w:themeColor="text1"/>
          <w:lang w:val="zh-CN" w:bidi="zh-CN"/>
          <w14:textFill>
            <w14:solidFill>
              <w14:schemeClr w14:val="tx1"/>
            </w14:solidFill>
          </w14:textFill>
        </w:rPr>
        <w:t>8</w:t>
      </w:r>
      <w:r>
        <w:rPr>
          <w:rFonts w:hint="eastAsia"/>
          <w:color w:val="000000" w:themeColor="text1"/>
          <w:lang w:val="zh-CN" w:bidi="zh-CN"/>
          <w14:textFill>
            <w14:solidFill>
              <w14:schemeClr w14:val="tx1"/>
            </w14:solidFill>
          </w14:textFill>
        </w:rPr>
        <w:t>、</w:t>
      </w:r>
      <w:r>
        <w:rPr>
          <w:color w:val="000000" w:themeColor="text1"/>
          <w:lang w:val="zh-CN" w:bidi="zh-CN"/>
          <w14:textFill>
            <w14:solidFill>
              <w14:schemeClr w14:val="tx1"/>
            </w14:solidFill>
          </w14:textFill>
        </w:rPr>
        <w:t>9</w:t>
      </w:r>
      <w:r>
        <w:rPr>
          <w:rFonts w:hint="eastAsia"/>
          <w:color w:val="000000" w:themeColor="text1"/>
          <w:lang w:val="zh-CN" w:bidi="zh-CN"/>
          <w14:textFill>
            <w14:solidFill>
              <w14:schemeClr w14:val="tx1"/>
            </w14:solidFill>
          </w14:textFill>
        </w:rPr>
        <w:t>、1</w:t>
      </w:r>
      <w:r>
        <w:rPr>
          <w:color w:val="000000" w:themeColor="text1"/>
          <w:lang w:val="zh-CN" w:bidi="zh-CN"/>
          <w14:textFill>
            <w14:solidFill>
              <w14:schemeClr w14:val="tx1"/>
            </w14:solidFill>
          </w14:textFill>
        </w:rPr>
        <w:t>5号站</w:t>
      </w:r>
      <w:r>
        <w:rPr>
          <w:rFonts w:hint="eastAsia"/>
          <w:color w:val="000000" w:themeColor="text1"/>
          <w:lang w:val="zh-CN" w:bidi="zh-CN"/>
          <w14:textFill>
            <w14:solidFill>
              <w14:schemeClr w14:val="tx1"/>
            </w14:solidFill>
          </w14:textFill>
        </w:rPr>
        <w:t>出现超标</w:t>
      </w:r>
      <w:r>
        <w:rPr>
          <w:color w:val="000000" w:themeColor="text1"/>
          <w:lang w:val="zh-CN" w:bidi="zh-CN"/>
          <w14:textFill>
            <w14:solidFill>
              <w14:schemeClr w14:val="tx1"/>
            </w14:solidFill>
          </w14:textFill>
        </w:rPr>
        <w:t>，最大超标倍数出现在9号站，超标率20.00%</w:t>
      </w:r>
      <w:r>
        <w:rPr>
          <w:rFonts w:hint="eastAsia"/>
          <w:color w:val="000000" w:themeColor="text1"/>
          <w:lang w:val="zh-CN" w:bidi="zh-CN"/>
          <w14:textFill>
            <w14:solidFill>
              <w14:schemeClr w14:val="tx1"/>
            </w14:solidFill>
          </w14:textFill>
        </w:rPr>
        <w:t>。其超标原因可能由陆源污染物输入。活性</w:t>
      </w:r>
      <w:r>
        <w:rPr>
          <w:color w:val="000000" w:themeColor="text1"/>
          <w:lang w:val="zh-CN" w:bidi="zh-CN"/>
          <w14:textFill>
            <w14:solidFill>
              <w14:schemeClr w14:val="tx1"/>
            </w14:solidFill>
          </w14:textFill>
        </w:rPr>
        <w:t>磷酸盐超标倍数介于1.02-2.4之间，1</w:t>
      </w:r>
      <w:r>
        <w:rPr>
          <w:rFonts w:hint="eastAsia"/>
          <w:color w:val="000000" w:themeColor="text1"/>
          <w:lang w:val="zh-CN" w:bidi="zh-CN"/>
          <w14:textFill>
            <w14:solidFill>
              <w14:schemeClr w14:val="tx1"/>
            </w14:solidFill>
          </w14:textFill>
        </w:rPr>
        <w:t>、2、3、4、5、6、7、1</w:t>
      </w:r>
      <w:r>
        <w:rPr>
          <w:color w:val="000000" w:themeColor="text1"/>
          <w:lang w:val="zh-CN" w:bidi="zh-CN"/>
          <w14:textFill>
            <w14:solidFill>
              <w14:schemeClr w14:val="tx1"/>
            </w14:solidFill>
          </w14:textFill>
        </w:rPr>
        <w:t>1</w:t>
      </w:r>
      <w:r>
        <w:rPr>
          <w:rFonts w:hint="eastAsia"/>
          <w:color w:val="000000" w:themeColor="text1"/>
          <w:lang w:val="zh-CN" w:bidi="zh-CN"/>
          <w14:textFill>
            <w14:solidFill>
              <w14:schemeClr w14:val="tx1"/>
            </w14:solidFill>
          </w14:textFill>
        </w:rPr>
        <w:t>、</w:t>
      </w:r>
      <w:r>
        <w:rPr>
          <w:color w:val="000000" w:themeColor="text1"/>
          <w:lang w:val="zh-CN" w:bidi="zh-CN"/>
          <w14:textFill>
            <w14:solidFill>
              <w14:schemeClr w14:val="tx1"/>
            </w14:solidFill>
          </w14:textFill>
        </w:rPr>
        <w:t>15号站</w:t>
      </w:r>
      <w:r>
        <w:rPr>
          <w:rFonts w:hint="eastAsia"/>
          <w:color w:val="000000" w:themeColor="text1"/>
          <w:lang w:val="zh-CN" w:bidi="zh-CN"/>
          <w14:textFill>
            <w14:solidFill>
              <w14:schemeClr w14:val="tx1"/>
            </w14:solidFill>
          </w14:textFill>
        </w:rPr>
        <w:t>出现超标</w:t>
      </w:r>
      <w:r>
        <w:rPr>
          <w:color w:val="000000" w:themeColor="text1"/>
          <w:lang w:val="zh-CN" w:bidi="zh-CN"/>
          <w14:textFill>
            <w14:solidFill>
              <w14:schemeClr w14:val="tx1"/>
            </w14:solidFill>
          </w14:textFill>
        </w:rPr>
        <w:t>，最大超标倍数出现在5站，超标率45.0%。</w:t>
      </w:r>
      <w:r>
        <w:rPr>
          <w:rFonts w:hint="eastAsia"/>
          <w:color w:val="000000" w:themeColor="text1"/>
          <w:u w:val="single"/>
          <w:lang w:val="zh-CN" w:bidi="zh-CN"/>
          <w14:textFill>
            <w14:solidFill>
              <w14:schemeClr w14:val="tx1"/>
            </w14:solidFill>
          </w14:textFill>
        </w:rPr>
        <w:t>无机氮超标倍数介于1</w:t>
      </w:r>
      <w:r>
        <w:rPr>
          <w:color w:val="000000" w:themeColor="text1"/>
          <w:u w:val="single"/>
          <w:lang w:val="zh-CN" w:bidi="zh-CN"/>
          <w14:textFill>
            <w14:solidFill>
              <w14:schemeClr w14:val="tx1"/>
            </w14:solidFill>
          </w14:textFill>
        </w:rPr>
        <w:t>.50-3.73</w:t>
      </w:r>
      <w:r>
        <w:rPr>
          <w:rFonts w:hint="eastAsia"/>
          <w:color w:val="000000" w:themeColor="text1"/>
          <w:u w:val="single"/>
          <w:lang w:val="zh-CN" w:bidi="zh-CN"/>
          <w14:textFill>
            <w14:solidFill>
              <w14:schemeClr w14:val="tx1"/>
            </w14:solidFill>
          </w14:textFill>
        </w:rPr>
        <w:t>之间，最大超标倍数出现在7号站，超标率3</w:t>
      </w:r>
      <w:r>
        <w:rPr>
          <w:color w:val="000000" w:themeColor="text1"/>
          <w:u w:val="single"/>
          <w:lang w:val="zh-CN" w:bidi="zh-CN"/>
          <w14:textFill>
            <w14:solidFill>
              <w14:schemeClr w14:val="tx1"/>
            </w14:solidFill>
          </w14:textFill>
        </w:rPr>
        <w:t>5%</w:t>
      </w:r>
      <w:r>
        <w:rPr>
          <w:rFonts w:hint="eastAsia"/>
          <w:color w:val="000000" w:themeColor="text1"/>
          <w:u w:val="single"/>
          <w:lang w:val="zh-CN" w:bidi="zh-CN"/>
          <w14:textFill>
            <w14:solidFill>
              <w14:schemeClr w14:val="tx1"/>
            </w14:solidFill>
          </w14:textFill>
        </w:rPr>
        <w:t>。</w:t>
      </w:r>
      <w:r>
        <w:rPr>
          <w:color w:val="000000" w:themeColor="text1"/>
          <w:lang w:val="zh-CN" w:bidi="zh-CN"/>
          <w14:textFill>
            <w14:solidFill>
              <w14:schemeClr w14:val="tx1"/>
            </w14:solidFill>
          </w14:textFill>
        </w:rPr>
        <w:t>其余各站各监测因子均符合相应功能区海水水质标准。</w:t>
      </w:r>
      <w:r>
        <w:rPr>
          <w:rFonts w:hint="eastAsia"/>
          <w:color w:val="000000" w:themeColor="text1"/>
          <w:lang w:val="zh-CN" w:bidi="zh-CN"/>
          <w14:textFill>
            <w14:solidFill>
              <w14:schemeClr w14:val="tx1"/>
            </w14:solidFill>
          </w14:textFill>
        </w:rPr>
        <w:t>其超标原因可能由陆源污染物输入。</w:t>
      </w:r>
    </w:p>
    <w:p>
      <w:pPr>
        <w:ind w:firstLine="494" w:firstLineChars="200"/>
        <w:rPr>
          <w:color w:val="000000" w:themeColor="text1"/>
          <w14:textFill>
            <w14:solidFill>
              <w14:schemeClr w14:val="tx1"/>
            </w14:solidFill>
          </w14:textFill>
        </w:rPr>
      </w:pPr>
      <w:r>
        <w:rPr>
          <w:rFonts w:hint="eastAsia"/>
          <w:color w:val="000000" w:themeColor="text1"/>
          <w14:textFill>
            <w14:solidFill>
              <w14:schemeClr w14:val="tx1"/>
            </w14:solidFill>
          </w14:textFill>
        </w:rPr>
        <w:t>根据监测站位分布及水质监测结果可知，2022年4月水质超标点位主要集中于茅尾海、金鼓江及鹿耳环江，上述区域海域功能主要为农渔业用海及工业与城镇用海，监测站位均为人为活动频繁区，渔业养殖及城镇居民活动频繁，形成的陆源污染及船舶航行污染较强。本项目工程附近海域监测站点12号、16号、17号站各项指标均达所在海域水质标准，海水水质良好。</w:t>
      </w:r>
    </w:p>
    <w:p>
      <w:pPr>
        <w:ind w:firstLine="494" w:firstLineChars="200"/>
        <w:rPr>
          <w:color w:val="000000" w:themeColor="text1"/>
          <w:lang w:bidi="zh-CN"/>
          <w14:textFill>
            <w14:solidFill>
              <w14:schemeClr w14:val="tx1"/>
            </w14:solidFill>
          </w14:textFill>
        </w:rPr>
      </w:pPr>
    </w:p>
    <w:p>
      <w:pPr>
        <w:ind w:firstLine="494" w:firstLineChars="200"/>
        <w:rPr>
          <w:color w:val="000000" w:themeColor="text1"/>
          <w:lang w:bidi="zh-CN"/>
          <w14:textFill>
            <w14:solidFill>
              <w14:schemeClr w14:val="tx1"/>
            </w14:solidFill>
          </w14:textFill>
        </w:rPr>
        <w:sectPr>
          <w:pgSz w:w="11910" w:h="16840"/>
          <w:pgMar w:top="1418" w:right="1514" w:bottom="1418" w:left="1780" w:header="1134" w:footer="992" w:gutter="0"/>
          <w:cols w:space="720" w:num="1"/>
          <w:docGrid w:type="linesAndChars" w:linePitch="466" w:charSpace="1434"/>
        </w:sectPr>
      </w:pPr>
    </w:p>
    <w:p>
      <w:pPr>
        <w:pStyle w:val="384"/>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2021年11月水质调查标准指数统计表</w:t>
      </w:r>
    </w:p>
    <w:p>
      <w:pPr>
        <w:pStyle w:val="384"/>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2022年4月水质调查标准指数统计表</w:t>
      </w:r>
    </w:p>
    <w:p>
      <w:pPr>
        <w:pStyle w:val="1621"/>
        <w:rPr>
          <w:rFonts w:ascii="Times New Roman" w:hAnsi="Times New Roman" w:cs="Times New Roman"/>
          <w:color w:val="000000" w:themeColor="text1"/>
          <w14:textFill>
            <w14:solidFill>
              <w14:schemeClr w14:val="tx1"/>
            </w14:solidFill>
          </w14:textFill>
        </w:rPr>
      </w:pPr>
    </w:p>
    <w:p>
      <w:pPr>
        <w:ind w:firstLine="438" w:firstLineChars="200"/>
        <w:jc w:val="left"/>
        <w:rPr>
          <w:color w:val="000000" w:themeColor="text1"/>
          <w:szCs w:val="21"/>
          <w14:textFill>
            <w14:solidFill>
              <w14:schemeClr w14:val="tx1"/>
            </w14:solidFill>
          </w14:textFill>
        </w:rPr>
        <w:sectPr>
          <w:pgSz w:w="16840" w:h="11907" w:orient="landscape"/>
          <w:pgMar w:top="1797" w:right="1440" w:bottom="1514" w:left="1440" w:header="992" w:footer="851" w:gutter="284"/>
          <w:pgNumType w:fmt="numberInDash"/>
          <w:cols w:space="425" w:num="1"/>
          <w:docGrid w:type="linesAndChars" w:linePitch="465" w:charSpace="-4355"/>
        </w:sectPr>
      </w:pPr>
    </w:p>
    <w:p>
      <w:pPr>
        <w:pStyle w:val="5"/>
        <w:rPr>
          <w:color w:val="000000" w:themeColor="text1"/>
          <w14:textFill>
            <w14:solidFill>
              <w14:schemeClr w14:val="tx1"/>
            </w14:solidFill>
          </w14:textFill>
        </w:rPr>
      </w:pPr>
      <w:r>
        <w:rPr>
          <w:color w:val="000000" w:themeColor="text1"/>
          <w14:textFill>
            <w14:solidFill>
              <w14:schemeClr w14:val="tx1"/>
            </w14:solidFill>
          </w14:textFill>
        </w:rPr>
        <w:t>海洋沉积物现状调查与评价</w:t>
      </w:r>
    </w:p>
    <w:p>
      <w:pPr>
        <w:pStyle w:val="430"/>
        <w:numPr>
          <w:ilvl w:val="3"/>
          <w:numId w:val="2"/>
        </w:numPr>
        <w:rPr>
          <w:lang w:bidi="zh-CN"/>
        </w:rPr>
      </w:pPr>
    </w:p>
    <w:p>
      <w:pPr>
        <w:pStyle w:val="6"/>
        <w:rPr>
          <w:color w:val="000000" w:themeColor="text1"/>
          <w14:textFill>
            <w14:solidFill>
              <w14:schemeClr w14:val="tx1"/>
            </w14:solidFill>
          </w14:textFill>
        </w:rPr>
      </w:pPr>
      <w:r>
        <w:rPr>
          <w:color w:val="000000" w:themeColor="text1"/>
          <w14:textFill>
            <w14:solidFill>
              <w14:schemeClr w14:val="tx1"/>
            </w14:solidFill>
          </w14:textFill>
        </w:rPr>
        <w:t>调查站位</w:t>
      </w:r>
    </w:p>
    <w:p>
      <w:pPr>
        <w:ind w:firstLine="438" w:firstLineChars="200"/>
        <w:rPr>
          <w:color w:val="000000" w:themeColor="text1"/>
          <w14:textFill>
            <w14:solidFill>
              <w14:schemeClr w14:val="tx1"/>
            </w14:solidFill>
          </w14:textFill>
        </w:rPr>
      </w:pPr>
      <w:r>
        <w:rPr>
          <w:rFonts w:hint="eastAsia"/>
          <w:color w:val="000000" w:themeColor="text1"/>
          <w14:textFill>
            <w14:solidFill>
              <w14:schemeClr w14:val="tx1"/>
            </w14:solidFill>
          </w14:textFill>
        </w:rPr>
        <w:t>广西北部湾海洋研究中心</w:t>
      </w:r>
      <w:r>
        <w:rPr>
          <w:color w:val="000000" w:themeColor="text1"/>
          <w14:textFill>
            <w14:solidFill>
              <w14:schemeClr w14:val="tx1"/>
            </w14:solidFill>
          </w14:textFill>
        </w:rPr>
        <w:t>于2021年11月（</w:t>
      </w:r>
      <w:r>
        <w:rPr>
          <w:rFonts w:hint="eastAsia"/>
          <w:color w:val="000000" w:themeColor="text1"/>
          <w:lang w:val="zh-CN" w:bidi="zh-CN"/>
          <w14:textFill>
            <w14:solidFill>
              <w14:schemeClr w14:val="tx1"/>
            </w14:solidFill>
          </w14:textFill>
        </w:rPr>
        <w:t>秋季</w:t>
      </w:r>
      <w:r>
        <w:rPr>
          <w:color w:val="000000" w:themeColor="text1"/>
          <w14:textFill>
            <w14:solidFill>
              <w14:schemeClr w14:val="tx1"/>
            </w14:solidFill>
          </w14:textFill>
        </w:rPr>
        <w:t>）和2022年4月（春季）开展钦州港附近海域沉积物现场监测，其中，</w:t>
      </w:r>
      <w:r>
        <w:rPr>
          <w:rFonts w:hint="eastAsia"/>
          <w:color w:val="000000" w:themeColor="text1"/>
          <w14:textFill>
            <w14:solidFill>
              <w14:schemeClr w14:val="tx1"/>
            </w14:solidFill>
          </w14:textFill>
        </w:rPr>
        <w:t>2021年11月布设14个监测站位、2022年4月布设12个监测站位，监测站位布设点与海水水质现状调查站位命名一致，调查点位布设点位见</w:t>
      </w:r>
      <w:r>
        <w:rPr>
          <w:color w:val="000000" w:themeColor="text1"/>
          <w14:textFill>
            <w14:solidFill>
              <w14:schemeClr w14:val="tx1"/>
            </w14:solidFill>
          </w14:textFill>
        </w:rPr>
        <w:t>表3.3-1</w:t>
      </w:r>
      <w:r>
        <w:rPr>
          <w:rFonts w:hint="eastAsia"/>
          <w:color w:val="000000" w:themeColor="text1"/>
          <w14:textFill>
            <w14:solidFill>
              <w14:schemeClr w14:val="tx1"/>
            </w14:solidFill>
          </w14:textFill>
        </w:rPr>
        <w:t>1</w:t>
      </w:r>
      <w:r>
        <w:rPr>
          <w:color w:val="000000" w:themeColor="text1"/>
          <w14:textFill>
            <w14:solidFill>
              <w14:schemeClr w14:val="tx1"/>
            </w14:solidFill>
          </w14:textFill>
        </w:rPr>
        <w:t>，调查点位布设图见图3.3-1～2</w:t>
      </w:r>
      <w:r>
        <w:rPr>
          <w:rFonts w:hint="eastAsia"/>
          <w:color w:val="000000" w:themeColor="text1"/>
          <w14:textFill>
            <w14:solidFill>
              <w14:schemeClr w14:val="tx1"/>
            </w14:solidFill>
          </w14:textFill>
        </w:rPr>
        <w:t>。</w:t>
      </w:r>
    </w:p>
    <w:p>
      <w:pPr>
        <w:pStyle w:val="384"/>
        <w:ind w:left="0" w:firstLine="0"/>
        <w:rPr>
          <w:rFonts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海洋沉积物现场监测点位表</w:t>
      </w:r>
    </w:p>
    <w:p>
      <w:pPr>
        <w:pStyle w:val="6"/>
        <w:rPr>
          <w:color w:val="000000" w:themeColor="text1"/>
          <w14:textFill>
            <w14:solidFill>
              <w14:schemeClr w14:val="tx1"/>
            </w14:solidFill>
          </w14:textFill>
        </w:rPr>
      </w:pPr>
      <w:r>
        <w:rPr>
          <w:color w:val="000000" w:themeColor="text1"/>
          <w14:textFill>
            <w14:solidFill>
              <w14:schemeClr w14:val="tx1"/>
            </w14:solidFill>
          </w14:textFill>
        </w:rPr>
        <w:t>监测项目</w:t>
      </w:r>
    </w:p>
    <w:p>
      <w:pPr>
        <w:ind w:firstLine="438" w:firstLineChars="200"/>
        <w:rPr>
          <w:color w:val="000000" w:themeColor="text1"/>
          <w14:textFill>
            <w14:solidFill>
              <w14:schemeClr w14:val="tx1"/>
            </w14:solidFill>
          </w14:textFill>
        </w:rPr>
      </w:pPr>
      <w:r>
        <w:rPr>
          <w:color w:val="000000" w:themeColor="text1"/>
          <w14:textFill>
            <w14:solidFill>
              <w14:schemeClr w14:val="tx1"/>
            </w14:solidFill>
          </w14:textFill>
        </w:rPr>
        <w:t>分析项目包括：铜、锌、铅、镉、汞、铬、砷、石油类、硫化物和有机碳等共10项。样品的采集、贮存、运输及分析均按《海洋监测规范》（GB17378-2007）和《海洋调查规范》（GB/T 12763-2007）的规定进行。</w:t>
      </w:r>
    </w:p>
    <w:p>
      <w:pPr>
        <w:pStyle w:val="6"/>
        <w:rPr>
          <w:color w:val="000000" w:themeColor="text1"/>
          <w14:textFill>
            <w14:solidFill>
              <w14:schemeClr w14:val="tx1"/>
            </w14:solidFill>
          </w14:textFill>
        </w:rPr>
      </w:pPr>
      <w:r>
        <w:rPr>
          <w:color w:val="000000" w:themeColor="text1"/>
          <w14:textFill>
            <w14:solidFill>
              <w14:schemeClr w14:val="tx1"/>
            </w14:solidFill>
          </w14:textFill>
        </w:rPr>
        <w:t>监测结果</w:t>
      </w:r>
    </w:p>
    <w:p>
      <w:pPr>
        <w:pStyle w:val="384"/>
        <w:ind w:left="0" w:firstLine="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2021年11月工程附近海域沉积物调查结果</w:t>
      </w:r>
    </w:p>
    <w:p>
      <w:pPr>
        <w:pStyle w:val="384"/>
        <w:ind w:left="0" w:firstLine="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2022年4月工程附近海域沉积物调查结果</w:t>
      </w:r>
    </w:p>
    <w:p>
      <w:pPr>
        <w:pStyle w:val="6"/>
        <w:rPr>
          <w:color w:val="000000" w:themeColor="text1"/>
          <w14:textFill>
            <w14:solidFill>
              <w14:schemeClr w14:val="tx1"/>
            </w14:solidFill>
          </w14:textFill>
        </w:rPr>
      </w:pPr>
      <w:r>
        <w:rPr>
          <w:color w:val="000000" w:themeColor="text1"/>
          <w14:textFill>
            <w14:solidFill>
              <w14:schemeClr w14:val="tx1"/>
            </w14:solidFill>
          </w14:textFill>
        </w:rPr>
        <w:t>评价标准与方法</w:t>
      </w:r>
    </w:p>
    <w:p>
      <w:pPr>
        <w:ind w:firstLine="438" w:firstLineChars="200"/>
        <w:rPr>
          <w:color w:val="000000" w:themeColor="text1"/>
          <w14:textFill>
            <w14:solidFill>
              <w14:schemeClr w14:val="tx1"/>
            </w14:solidFill>
          </w14:textFill>
        </w:rPr>
      </w:pPr>
      <w:r>
        <w:rPr>
          <w:color w:val="000000" w:themeColor="text1"/>
          <w14:textFill>
            <w14:solidFill>
              <w14:schemeClr w14:val="tx1"/>
            </w14:solidFill>
          </w14:textFill>
        </w:rPr>
        <w:t>各站位所属海洋功能区及评价标准见表3.3-1</w:t>
      </w:r>
      <w:r>
        <w:rPr>
          <w:rFonts w:hint="eastAsia"/>
          <w:color w:val="000000" w:themeColor="text1"/>
          <w14:textFill>
            <w14:solidFill>
              <w14:schemeClr w14:val="tx1"/>
            </w14:solidFill>
          </w14:textFill>
        </w:rPr>
        <w:t>4</w:t>
      </w:r>
      <w:r>
        <w:rPr>
          <w:color w:val="000000" w:themeColor="text1"/>
          <w14:textFill>
            <w14:solidFill>
              <w14:schemeClr w14:val="tx1"/>
            </w14:solidFill>
          </w14:textFill>
        </w:rPr>
        <w:t>。</w:t>
      </w:r>
    </w:p>
    <w:p>
      <w:pPr>
        <w:pStyle w:val="384"/>
        <w:ind w:left="0" w:firstLine="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各站所属海洋功能区划及沉积物评价标准</w:t>
      </w:r>
    </w:p>
    <w:p>
      <w:pPr>
        <w:ind w:firstLine="480"/>
        <w:rPr>
          <w:color w:val="000000" w:themeColor="text1"/>
          <w14:textFill>
            <w14:solidFill>
              <w14:schemeClr w14:val="tx1"/>
            </w14:solidFill>
          </w14:textFill>
        </w:rPr>
      </w:pPr>
      <w:r>
        <w:rPr>
          <w:color w:val="000000" w:themeColor="text1"/>
          <w14:textFill>
            <w14:solidFill>
              <w14:schemeClr w14:val="tx1"/>
            </w14:solidFill>
          </w14:textFill>
        </w:rPr>
        <w:t>评价方法同样采用单因子标准指数法，公式如下：</w:t>
      </w:r>
    </w:p>
    <w:p>
      <w:pPr>
        <w:ind w:firstLine="560"/>
        <w:rPr>
          <w:color w:val="000000" w:themeColor="text1"/>
          <w:sz w:val="28"/>
          <w:szCs w:val="28"/>
          <w14:textFill>
            <w14:solidFill>
              <w14:schemeClr w14:val="tx1"/>
            </w14:solidFill>
          </w14:textFill>
        </w:rPr>
      </w:pPr>
      <m:oMathPara>
        <m:oMathParaPr>
          <m:jc m:val="center"/>
        </m:oMathParaPr>
        <m:oMath>
          <m:sSub>
            <m:sSubPr>
              <m:ctrlPr>
                <w:rPr>
                  <w:rFonts w:ascii="Cambria Math" w:hAnsi="Cambria Math" w:eastAsia="Cambria Math"/>
                  <w:i/>
                  <w:color w:val="000000" w:themeColor="text1"/>
                  <w:sz w:val="28"/>
                  <w:szCs w:val="28"/>
                  <w14:textFill>
                    <w14:solidFill>
                      <w14:schemeClr w14:val="tx1"/>
                    </w14:solidFill>
                  </w14:textFill>
                </w:rPr>
              </m:ctrlPr>
            </m:sSubPr>
            <m:e>
              <m:r>
                <w:rPr>
                  <w:rFonts w:ascii="Cambria Math" w:hAnsi="Cambria Math" w:eastAsia="Cambria Math"/>
                  <w:color w:val="000000" w:themeColor="text1"/>
                  <w:sz w:val="28"/>
                  <w:szCs w:val="28"/>
                  <w14:textFill>
                    <w14:solidFill>
                      <w14:schemeClr w14:val="tx1"/>
                    </w14:solidFill>
                  </w14:textFill>
                </w:rPr>
                <m:t>P</m:t>
              </m:r>
              <m:ctrlPr>
                <w:rPr>
                  <w:rFonts w:ascii="Cambria Math" w:hAnsi="Cambria Math" w:eastAsia="Cambria Math"/>
                  <w:i/>
                  <w:color w:val="000000" w:themeColor="text1"/>
                  <w:sz w:val="28"/>
                  <w:szCs w:val="28"/>
                  <w14:textFill>
                    <w14:solidFill>
                      <w14:schemeClr w14:val="tx1"/>
                    </w14:solidFill>
                  </w14:textFill>
                </w:rPr>
              </m:ctrlPr>
            </m:e>
            <m:sub>
              <m:r>
                <w:rPr>
                  <w:rFonts w:ascii="Cambria Math" w:hAnsi="Cambria Math" w:eastAsiaTheme="minorEastAsia"/>
                  <w:color w:val="000000" w:themeColor="text1"/>
                  <w:sz w:val="28"/>
                  <w:szCs w:val="28"/>
                  <w14:textFill>
                    <w14:solidFill>
                      <w14:schemeClr w14:val="tx1"/>
                    </w14:solidFill>
                  </w14:textFill>
                </w:rPr>
                <m:t>i</m:t>
              </m:r>
              <m:ctrlPr>
                <w:rPr>
                  <w:rFonts w:ascii="Cambria Math" w:hAnsi="Cambria Math" w:eastAsia="Cambria Math"/>
                  <w:i/>
                  <w:color w:val="000000" w:themeColor="text1"/>
                  <w:sz w:val="28"/>
                  <w:szCs w:val="28"/>
                  <w14:textFill>
                    <w14:solidFill>
                      <w14:schemeClr w14:val="tx1"/>
                    </w14:solidFill>
                  </w14:textFill>
                </w:rPr>
              </m:ctrlPr>
            </m:sub>
          </m:sSub>
          <m:r>
            <m:rPr>
              <m:sty m:val="p"/>
            </m:rPr>
            <w:rPr>
              <w:rFonts w:ascii="Cambria Math" w:hAnsi="Cambria Math" w:eastAsia="Cambria Math"/>
              <w:color w:val="000000" w:themeColor="text1"/>
              <w:sz w:val="28"/>
              <w:szCs w:val="28"/>
              <w14:textFill>
                <w14:solidFill>
                  <w14:schemeClr w14:val="tx1"/>
                </w14:solidFill>
              </w14:textFill>
            </w:rPr>
            <m:t>=</m:t>
          </m:r>
          <m:f>
            <m:fPr>
              <m:ctrlPr>
                <w:rPr>
                  <w:rFonts w:ascii="Cambria Math" w:hAnsi="Cambria Math" w:eastAsia="Cambria Math"/>
                  <w:color w:val="000000" w:themeColor="text1"/>
                  <w:sz w:val="28"/>
                  <w:szCs w:val="28"/>
                  <w14:textFill>
                    <w14:solidFill>
                      <w14:schemeClr w14:val="tx1"/>
                    </w14:solidFill>
                  </w14:textFill>
                </w:rPr>
              </m:ctrlPr>
            </m:fPr>
            <m:num>
              <m:sSub>
                <m:sSubPr>
                  <m:ctrlPr>
                    <w:rPr>
                      <w:rFonts w:ascii="Cambria Math" w:hAnsi="Cambria Math" w:eastAsia="Cambria Math"/>
                      <w:i/>
                      <w:color w:val="000000" w:themeColor="text1"/>
                      <w:sz w:val="28"/>
                      <w:szCs w:val="28"/>
                      <w14:textFill>
                        <w14:solidFill>
                          <w14:schemeClr w14:val="tx1"/>
                        </w14:solidFill>
                      </w14:textFill>
                    </w:rPr>
                  </m:ctrlPr>
                </m:sSubPr>
                <m:e>
                  <m:r>
                    <w:rPr>
                      <w:rFonts w:ascii="Cambria Math" w:hAnsi="Cambria Math" w:eastAsia="Cambria Math"/>
                      <w:color w:val="000000" w:themeColor="text1"/>
                      <w:sz w:val="28"/>
                      <w:szCs w:val="28"/>
                      <w14:textFill>
                        <w14:solidFill>
                          <w14:schemeClr w14:val="tx1"/>
                        </w14:solidFill>
                      </w14:textFill>
                    </w:rPr>
                    <m:t>C</m:t>
                  </m:r>
                  <m:ctrlPr>
                    <w:rPr>
                      <w:rFonts w:ascii="Cambria Math" w:hAnsi="Cambria Math" w:eastAsia="Cambria Math"/>
                      <w:i/>
                      <w:color w:val="000000" w:themeColor="text1"/>
                      <w:sz w:val="28"/>
                      <w:szCs w:val="28"/>
                      <w14:textFill>
                        <w14:solidFill>
                          <w14:schemeClr w14:val="tx1"/>
                        </w14:solidFill>
                      </w14:textFill>
                    </w:rPr>
                  </m:ctrlPr>
                </m:e>
                <m:sub>
                  <m:r>
                    <w:rPr>
                      <w:rFonts w:ascii="Cambria Math" w:hAnsi="Cambria Math" w:eastAsia="Cambria Math"/>
                      <w:color w:val="000000" w:themeColor="text1"/>
                      <w:sz w:val="28"/>
                      <w:szCs w:val="28"/>
                      <w14:textFill>
                        <w14:solidFill>
                          <w14:schemeClr w14:val="tx1"/>
                        </w14:solidFill>
                      </w14:textFill>
                    </w:rPr>
                    <m:t>i</m:t>
                  </m:r>
                  <m:ctrlPr>
                    <w:rPr>
                      <w:rFonts w:ascii="Cambria Math" w:hAnsi="Cambria Math" w:eastAsia="Cambria Math"/>
                      <w:i/>
                      <w:color w:val="000000" w:themeColor="text1"/>
                      <w:sz w:val="28"/>
                      <w:szCs w:val="28"/>
                      <w14:textFill>
                        <w14:solidFill>
                          <w14:schemeClr w14:val="tx1"/>
                        </w14:solidFill>
                      </w14:textFill>
                    </w:rPr>
                  </m:ctrlPr>
                </m:sub>
              </m:sSub>
              <m:ctrlPr>
                <w:rPr>
                  <w:rFonts w:ascii="Cambria Math" w:hAnsi="Cambria Math" w:eastAsia="Cambria Math"/>
                  <w:color w:val="000000" w:themeColor="text1"/>
                  <w:sz w:val="28"/>
                  <w:szCs w:val="28"/>
                  <w14:textFill>
                    <w14:solidFill>
                      <w14:schemeClr w14:val="tx1"/>
                    </w14:solidFill>
                  </w14:textFill>
                </w:rPr>
              </m:ctrlPr>
            </m:num>
            <m:den>
              <m:sSub>
                <m:sSubPr>
                  <m:ctrlPr>
                    <w:rPr>
                      <w:rFonts w:ascii="Cambria Math" w:hAnsi="Cambria Math" w:eastAsia="Cambria Math"/>
                      <w:i/>
                      <w:color w:val="000000" w:themeColor="text1"/>
                      <w:sz w:val="28"/>
                      <w:szCs w:val="28"/>
                      <w14:textFill>
                        <w14:solidFill>
                          <w14:schemeClr w14:val="tx1"/>
                        </w14:solidFill>
                      </w14:textFill>
                    </w:rPr>
                  </m:ctrlPr>
                </m:sSubPr>
                <m:e>
                  <m:r>
                    <w:rPr>
                      <w:rFonts w:ascii="Cambria Math" w:hAnsi="Cambria Math" w:eastAsiaTheme="minorEastAsia"/>
                      <w:color w:val="000000" w:themeColor="text1"/>
                      <w:sz w:val="28"/>
                      <w:szCs w:val="28"/>
                      <w14:textFill>
                        <w14:solidFill>
                          <w14:schemeClr w14:val="tx1"/>
                        </w14:solidFill>
                      </w14:textFill>
                    </w:rPr>
                    <m:t>C</m:t>
                  </m:r>
                  <m:ctrlPr>
                    <w:rPr>
                      <w:rFonts w:ascii="Cambria Math" w:hAnsi="Cambria Math" w:eastAsia="Cambria Math"/>
                      <w:i/>
                      <w:color w:val="000000" w:themeColor="text1"/>
                      <w:sz w:val="28"/>
                      <w:szCs w:val="28"/>
                      <w14:textFill>
                        <w14:solidFill>
                          <w14:schemeClr w14:val="tx1"/>
                        </w14:solidFill>
                      </w14:textFill>
                    </w:rPr>
                  </m:ctrlPr>
                </m:e>
                <m:sub>
                  <m:r>
                    <m:rPr>
                      <m:sty m:val="p"/>
                    </m:rPr>
                    <w:rPr>
                      <w:rFonts w:ascii="Cambria Math" w:hAnsi="Cambria Math" w:eastAsiaTheme="minorEastAsia"/>
                      <w:color w:val="000000" w:themeColor="text1"/>
                      <w:sz w:val="28"/>
                      <w:szCs w:val="28"/>
                      <w14:textFill>
                        <w14:solidFill>
                          <w14:schemeClr w14:val="tx1"/>
                        </w14:solidFill>
                      </w14:textFill>
                    </w:rPr>
                    <m:t>io</m:t>
                  </m:r>
                  <m:ctrlPr>
                    <w:rPr>
                      <w:rFonts w:ascii="Cambria Math" w:hAnsi="Cambria Math" w:eastAsia="Cambria Math"/>
                      <w:i/>
                      <w:color w:val="000000" w:themeColor="text1"/>
                      <w:sz w:val="28"/>
                      <w:szCs w:val="28"/>
                      <w14:textFill>
                        <w14:solidFill>
                          <w14:schemeClr w14:val="tx1"/>
                        </w14:solidFill>
                      </w14:textFill>
                    </w:rPr>
                  </m:ctrlPr>
                </m:sub>
              </m:sSub>
              <m:ctrlPr>
                <w:rPr>
                  <w:rFonts w:ascii="Cambria Math" w:hAnsi="Cambria Math" w:eastAsia="Cambria Math"/>
                  <w:color w:val="000000" w:themeColor="text1"/>
                  <w:sz w:val="28"/>
                  <w:szCs w:val="28"/>
                  <w14:textFill>
                    <w14:solidFill>
                      <w14:schemeClr w14:val="tx1"/>
                    </w14:solidFill>
                  </w14:textFill>
                </w:rPr>
              </m:ctrlPr>
            </m:den>
          </m:f>
        </m:oMath>
      </m:oMathPara>
    </w:p>
    <w:p>
      <w:pPr>
        <w:ind w:firstLine="480"/>
        <w:rPr>
          <w:color w:val="000000" w:themeColor="text1"/>
          <w14:textFill>
            <w14:solidFill>
              <w14:schemeClr w14:val="tx1"/>
            </w14:solidFill>
          </w14:textFill>
        </w:rPr>
      </w:pPr>
      <w:r>
        <w:rPr>
          <w:color w:val="000000" w:themeColor="text1"/>
          <w14:textFill>
            <w14:solidFill>
              <w14:schemeClr w14:val="tx1"/>
            </w14:solidFill>
          </w14:textFill>
        </w:rPr>
        <w:t>式中：</w:t>
      </w:r>
      <w:r>
        <w:rPr>
          <w:i/>
          <w:color w:val="000000" w:themeColor="text1"/>
          <w14:textFill>
            <w14:solidFill>
              <w14:schemeClr w14:val="tx1"/>
            </w14:solidFill>
          </w14:textFill>
        </w:rPr>
        <w:t>P</w:t>
      </w:r>
      <w:r>
        <w:rPr>
          <w:i/>
          <w:color w:val="000000" w:themeColor="text1"/>
          <w:vertAlign w:val="subscript"/>
          <w14:textFill>
            <w14:solidFill>
              <w14:schemeClr w14:val="tx1"/>
            </w14:solidFill>
          </w14:textFill>
        </w:rPr>
        <w:t>i</w:t>
      </w:r>
      <w:r>
        <w:rPr>
          <w:color w:val="000000" w:themeColor="text1"/>
          <w14:textFill>
            <w14:solidFill>
              <w14:schemeClr w14:val="tx1"/>
            </w14:solidFill>
          </w14:textFill>
        </w:rPr>
        <w:t>某污染因子的污染指数即单因子污染指数；</w:t>
      </w:r>
    </w:p>
    <w:p>
      <w:pPr>
        <w:ind w:firstLine="480"/>
        <w:rPr>
          <w:color w:val="000000" w:themeColor="text1"/>
          <w14:textFill>
            <w14:solidFill>
              <w14:schemeClr w14:val="tx1"/>
            </w14:solidFill>
          </w14:textFill>
        </w:rPr>
      </w:pPr>
      <w:r>
        <w:rPr>
          <w:i/>
          <w:color w:val="000000" w:themeColor="text1"/>
          <w14:textFill>
            <w14:solidFill>
              <w14:schemeClr w14:val="tx1"/>
            </w14:solidFill>
          </w14:textFill>
        </w:rPr>
        <w:t>C</w:t>
      </w:r>
      <w:r>
        <w:rPr>
          <w:i/>
          <w:color w:val="000000" w:themeColor="text1"/>
          <w:vertAlign w:val="subscript"/>
          <w14:textFill>
            <w14:solidFill>
              <w14:schemeClr w14:val="tx1"/>
            </w14:solidFill>
          </w14:textFill>
        </w:rPr>
        <w:t>i</w:t>
      </w:r>
      <w:r>
        <w:rPr>
          <w:color w:val="000000" w:themeColor="text1"/>
          <w14:textFill>
            <w14:solidFill>
              <w14:schemeClr w14:val="tx1"/>
            </w14:solidFill>
          </w14:textFill>
        </w:rPr>
        <w:t>——某污染因子的实测含量；</w:t>
      </w:r>
    </w:p>
    <w:p>
      <w:pPr>
        <w:ind w:firstLine="438" w:firstLineChars="200"/>
        <w:rPr>
          <w:color w:val="000000" w:themeColor="text1"/>
          <w14:textFill>
            <w14:solidFill>
              <w14:schemeClr w14:val="tx1"/>
            </w14:solidFill>
          </w14:textFill>
        </w:rPr>
      </w:pPr>
      <w:r>
        <w:rPr>
          <w:i/>
          <w:color w:val="000000" w:themeColor="text1"/>
          <w14:textFill>
            <w14:solidFill>
              <w14:schemeClr w14:val="tx1"/>
            </w14:solidFill>
          </w14:textFill>
        </w:rPr>
        <w:t>C</w:t>
      </w:r>
      <w:r>
        <w:rPr>
          <w:i/>
          <w:color w:val="000000" w:themeColor="text1"/>
          <w:vertAlign w:val="subscript"/>
          <w14:textFill>
            <w14:solidFill>
              <w14:schemeClr w14:val="tx1"/>
            </w14:solidFill>
          </w14:textFill>
        </w:rPr>
        <w:t>oi</w:t>
      </w:r>
      <w:r>
        <w:rPr>
          <w:color w:val="000000" w:themeColor="text1"/>
          <w14:textFill>
            <w14:solidFill>
              <w14:schemeClr w14:val="tx1"/>
            </w14:solidFill>
          </w14:textFill>
        </w:rPr>
        <w:t>——某污染因子的评价标准。</w:t>
      </w:r>
    </w:p>
    <w:p>
      <w:pPr>
        <w:pStyle w:val="6"/>
        <w:rPr>
          <w:color w:val="000000" w:themeColor="text1"/>
          <w14:textFill>
            <w14:solidFill>
              <w14:schemeClr w14:val="tx1"/>
            </w14:solidFill>
          </w14:textFill>
        </w:rPr>
      </w:pPr>
      <w:r>
        <w:rPr>
          <w:color w:val="000000" w:themeColor="text1"/>
          <w14:textFill>
            <w14:solidFill>
              <w14:schemeClr w14:val="tx1"/>
            </w14:solidFill>
          </w14:textFill>
        </w:rPr>
        <w:t>评价小结</w:t>
      </w:r>
    </w:p>
    <w:p>
      <w:pPr>
        <w:pStyle w:val="1075"/>
        <w:ind w:firstLine="437"/>
        <w:rPr>
          <w:color w:val="000000" w:themeColor="text1"/>
          <w14:textFill>
            <w14:solidFill>
              <w14:schemeClr w14:val="tx1"/>
            </w14:solidFill>
          </w14:textFill>
        </w:rPr>
      </w:pPr>
      <w:r>
        <w:rPr>
          <w:color w:val="000000" w:themeColor="text1"/>
          <w14:textFill>
            <w14:solidFill>
              <w14:schemeClr w14:val="tx1"/>
            </w14:solidFill>
          </w14:textFill>
        </w:rPr>
        <w:t>2021年</w:t>
      </w:r>
      <w:r>
        <w:rPr>
          <w:rFonts w:hint="eastAsia"/>
          <w:color w:val="000000" w:themeColor="text1"/>
          <w14:textFill>
            <w14:solidFill>
              <w14:schemeClr w14:val="tx1"/>
            </w14:solidFill>
          </w14:textFill>
        </w:rPr>
        <w:t>11</w:t>
      </w:r>
      <w:r>
        <w:rPr>
          <w:color w:val="000000" w:themeColor="text1"/>
          <w14:textFill>
            <w14:solidFill>
              <w14:schemeClr w14:val="tx1"/>
            </w14:solidFill>
          </w14:textFill>
        </w:rPr>
        <w:t>月、2022年</w:t>
      </w:r>
      <w:r>
        <w:rPr>
          <w:rFonts w:hint="eastAsia"/>
          <w:color w:val="000000" w:themeColor="text1"/>
          <w14:textFill>
            <w14:solidFill>
              <w14:schemeClr w14:val="tx1"/>
            </w14:solidFill>
          </w14:textFill>
        </w:rPr>
        <w:t>4</w:t>
      </w:r>
      <w:r>
        <w:rPr>
          <w:color w:val="000000" w:themeColor="text1"/>
          <w14:textFill>
            <w14:solidFill>
              <w14:schemeClr w14:val="tx1"/>
            </w14:solidFill>
          </w14:textFill>
        </w:rPr>
        <w:t>月沉积物质量现状评价结果分别详见表3</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3</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1</w:t>
      </w:r>
      <w:r>
        <w:rPr>
          <w:rFonts w:hint="eastAsia"/>
          <w:color w:val="000000" w:themeColor="text1"/>
          <w14:textFill>
            <w14:solidFill>
              <w14:schemeClr w14:val="tx1"/>
            </w14:solidFill>
          </w14:textFill>
        </w:rPr>
        <w:t>5</w:t>
      </w:r>
      <w:r>
        <w:rPr>
          <w:color w:val="000000" w:themeColor="text1"/>
          <w14:textFill>
            <w14:solidFill>
              <w14:schemeClr w14:val="tx1"/>
            </w14:solidFill>
          </w14:textFill>
        </w:rPr>
        <w:t>、3</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3</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1</w:t>
      </w:r>
      <w:r>
        <w:rPr>
          <w:rFonts w:hint="eastAsia"/>
          <w:color w:val="000000" w:themeColor="text1"/>
          <w14:textFill>
            <w14:solidFill>
              <w14:schemeClr w14:val="tx1"/>
            </w14:solidFill>
          </w14:textFill>
        </w:rPr>
        <w:t>6</w:t>
      </w:r>
      <w:r>
        <w:rPr>
          <w:color w:val="000000" w:themeColor="text1"/>
          <w14:textFill>
            <w14:solidFill>
              <w14:schemeClr w14:val="tx1"/>
            </w14:solidFill>
          </w14:textFill>
        </w:rPr>
        <w:t>。从表中可以看出，2021年</w:t>
      </w:r>
      <w:r>
        <w:rPr>
          <w:rFonts w:hint="eastAsia"/>
          <w:color w:val="000000" w:themeColor="text1"/>
          <w14:textFill>
            <w14:solidFill>
              <w14:schemeClr w14:val="tx1"/>
            </w14:solidFill>
          </w14:textFill>
        </w:rPr>
        <w:t>11</w:t>
      </w:r>
      <w:r>
        <w:rPr>
          <w:color w:val="000000" w:themeColor="text1"/>
          <w14:textFill>
            <w14:solidFill>
              <w14:schemeClr w14:val="tx1"/>
            </w14:solidFill>
          </w14:textFill>
        </w:rPr>
        <w:t>月</w:t>
      </w:r>
      <w:r>
        <w:rPr>
          <w:rFonts w:hint="eastAsia"/>
          <w:color w:val="000000" w:themeColor="text1"/>
          <w14:textFill>
            <w14:solidFill>
              <w14:schemeClr w14:val="tx1"/>
            </w14:solidFill>
          </w14:textFill>
        </w:rPr>
        <w:t>石油类13#站超标，超标倍数为1</w:t>
      </w:r>
      <w:r>
        <w:rPr>
          <w:color w:val="000000" w:themeColor="text1"/>
          <w14:textFill>
            <w14:solidFill>
              <w14:schemeClr w14:val="tx1"/>
            </w14:solidFill>
          </w14:textFill>
        </w:rPr>
        <w:t>.27</w:t>
      </w:r>
      <w:r>
        <w:rPr>
          <w:rFonts w:hint="eastAsia"/>
          <w:color w:val="000000" w:themeColor="text1"/>
          <w14:textFill>
            <w14:solidFill>
              <w14:schemeClr w14:val="tx1"/>
            </w14:solidFill>
          </w14:textFill>
        </w:rPr>
        <w:t>，其他</w:t>
      </w:r>
      <w:r>
        <w:rPr>
          <w:color w:val="000000" w:themeColor="text1"/>
          <w14:textFill>
            <w14:solidFill>
              <w14:schemeClr w14:val="tx1"/>
            </w14:solidFill>
          </w14:textFill>
        </w:rPr>
        <w:t>沉积物各站各评价因子均符合相应功能区标准的要求</w:t>
      </w:r>
      <w:r>
        <w:rPr>
          <w:rFonts w:hint="eastAsia"/>
          <w:color w:val="000000" w:themeColor="text1"/>
          <w14:textFill>
            <w14:solidFill>
              <w14:schemeClr w14:val="tx1"/>
            </w14:solidFill>
          </w14:textFill>
        </w:rPr>
        <w:t>。该监测站点位于本项目工程区西南侧约2.0km处，与本项目工程区位置较近，该站点临近钦州港东航道，船舶常年运行形成的累积污染导致该区域沉积物中石油类超标，其他评价范围内海域沉积物质量均能达到相应标准，区域内沉积物质量总体良好。</w:t>
      </w:r>
    </w:p>
    <w:p>
      <w:pPr>
        <w:pStyle w:val="384"/>
        <w:ind w:left="0" w:firstLine="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海洋沉积物质量评价结果（2021年</w:t>
      </w:r>
      <w:r>
        <w:rPr>
          <w:rFonts w:hint="eastAsia" w:cs="Times New Roman"/>
          <w:color w:val="000000" w:themeColor="text1"/>
          <w14:textFill>
            <w14:solidFill>
              <w14:schemeClr w14:val="tx1"/>
            </w14:solidFill>
          </w14:textFill>
        </w:rPr>
        <w:t>11</w:t>
      </w:r>
      <w:r>
        <w:rPr>
          <w:rFonts w:cs="Times New Roman"/>
          <w:color w:val="000000" w:themeColor="text1"/>
          <w14:textFill>
            <w14:solidFill>
              <w14:schemeClr w14:val="tx1"/>
            </w14:solidFill>
          </w14:textFill>
        </w:rPr>
        <w:t>月）</w:t>
      </w:r>
    </w:p>
    <w:p>
      <w:pPr>
        <w:pStyle w:val="384"/>
        <w:ind w:left="0" w:firstLine="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海洋沉积物质量评价结果（2022年4月）</w:t>
      </w:r>
    </w:p>
    <w:p>
      <w:pPr>
        <w:pStyle w:val="5"/>
        <w:rPr>
          <w:color w:val="000000" w:themeColor="text1"/>
          <w14:textFill>
            <w14:solidFill>
              <w14:schemeClr w14:val="tx1"/>
            </w14:solidFill>
          </w14:textFill>
        </w:rPr>
      </w:pPr>
      <w:r>
        <w:rPr>
          <w:color w:val="000000" w:themeColor="text1"/>
          <w14:textFill>
            <w14:solidFill>
              <w14:schemeClr w14:val="tx1"/>
            </w14:solidFill>
          </w14:textFill>
        </w:rPr>
        <w:t>海洋生态环境现状调查与评价</w:t>
      </w:r>
    </w:p>
    <w:p>
      <w:pPr>
        <w:pStyle w:val="430"/>
        <w:numPr>
          <w:ilvl w:val="3"/>
          <w:numId w:val="2"/>
        </w:numPr>
        <w:rPr>
          <w:lang w:bidi="zh-CN"/>
        </w:rPr>
      </w:pPr>
    </w:p>
    <w:p>
      <w:pPr>
        <w:pStyle w:val="6"/>
        <w:rPr>
          <w:color w:val="000000" w:themeColor="text1"/>
          <w14:textFill>
            <w14:solidFill>
              <w14:schemeClr w14:val="tx1"/>
            </w14:solidFill>
          </w14:textFill>
        </w:rPr>
      </w:pPr>
      <w:r>
        <w:rPr>
          <w:color w:val="000000" w:themeColor="text1"/>
          <w14:textFill>
            <w14:solidFill>
              <w14:schemeClr w14:val="tx1"/>
            </w14:solidFill>
          </w14:textFill>
        </w:rPr>
        <w:t>监测点位</w:t>
      </w:r>
    </w:p>
    <w:p>
      <w:pPr>
        <w:pStyle w:val="1075"/>
        <w:ind w:firstLine="439"/>
        <w:rPr>
          <w:b/>
          <w:color w:val="000000" w:themeColor="text1"/>
          <w14:textFill>
            <w14:solidFill>
              <w14:schemeClr w14:val="tx1"/>
            </w14:solidFill>
          </w14:textFill>
        </w:rPr>
      </w:pPr>
      <w:r>
        <w:rPr>
          <w:b/>
          <w:color w:val="000000" w:themeColor="text1"/>
          <w14:textFill>
            <w14:solidFill>
              <w14:schemeClr w14:val="tx1"/>
            </w14:solidFill>
          </w14:textFill>
        </w:rPr>
        <w:t>1、2021年11月（</w:t>
      </w:r>
      <w:r>
        <w:rPr>
          <w:rFonts w:hint="eastAsia"/>
          <w:b/>
          <w:color w:val="000000" w:themeColor="text1"/>
          <w:lang w:bidi="zh-CN"/>
          <w14:textFill>
            <w14:solidFill>
              <w14:schemeClr w14:val="tx1"/>
            </w14:solidFill>
          </w14:textFill>
        </w:rPr>
        <w:t>秋季</w:t>
      </w:r>
      <w:r>
        <w:rPr>
          <w:b/>
          <w:color w:val="000000" w:themeColor="text1"/>
          <w14:textFill>
            <w14:solidFill>
              <w14:schemeClr w14:val="tx1"/>
            </w14:solidFill>
          </w14:textFill>
        </w:rPr>
        <w:t>）</w:t>
      </w:r>
    </w:p>
    <w:p>
      <w:pPr>
        <w:pStyle w:val="1075"/>
        <w:ind w:firstLine="437"/>
        <w:rPr>
          <w:color w:val="000000" w:themeColor="text1"/>
          <w14:textFill>
            <w14:solidFill>
              <w14:schemeClr w14:val="tx1"/>
            </w14:solidFill>
          </w14:textFill>
        </w:rPr>
      </w:pPr>
      <w:r>
        <w:rPr>
          <w:color w:val="000000" w:themeColor="text1"/>
          <w14:textFill>
            <w14:solidFill>
              <w14:schemeClr w14:val="tx1"/>
            </w14:solidFill>
          </w14:textFill>
        </w:rPr>
        <w:t>（</w:t>
      </w:r>
      <w:r>
        <w:rPr>
          <w:rFonts w:hint="eastAsia"/>
          <w:color w:val="000000" w:themeColor="text1"/>
          <w14:textFill>
            <w14:solidFill>
              <w14:schemeClr w14:val="tx1"/>
            </w14:solidFill>
          </w14:textFill>
        </w:rPr>
        <w:t>1</w:t>
      </w:r>
      <w:r>
        <w:rPr>
          <w:color w:val="000000" w:themeColor="text1"/>
          <w14:textFill>
            <w14:solidFill>
              <w14:schemeClr w14:val="tx1"/>
            </w14:solidFill>
          </w14:textFill>
        </w:rPr>
        <w:t>）生态调查站</w:t>
      </w:r>
    </w:p>
    <w:p>
      <w:pPr>
        <w:pStyle w:val="1075"/>
        <w:ind w:firstLine="437"/>
        <w:rPr>
          <w:color w:val="000000" w:themeColor="text1"/>
          <w14:textFill>
            <w14:solidFill>
              <w14:schemeClr w14:val="tx1"/>
            </w14:solidFill>
          </w14:textFill>
        </w:rPr>
      </w:pPr>
      <w:r>
        <w:rPr>
          <w:color w:val="000000" w:themeColor="text1"/>
          <w14:textFill>
            <w14:solidFill>
              <w14:schemeClr w14:val="tx1"/>
            </w14:solidFill>
          </w14:textFill>
        </w:rPr>
        <w:t>广西北部湾海洋研究中心于2021年11月（</w:t>
      </w:r>
      <w:r>
        <w:rPr>
          <w:rFonts w:hint="eastAsia"/>
          <w:color w:val="000000" w:themeColor="text1"/>
          <w:lang w:bidi="zh-CN"/>
          <w14:textFill>
            <w14:solidFill>
              <w14:schemeClr w14:val="tx1"/>
            </w14:solidFill>
          </w14:textFill>
        </w:rPr>
        <w:t>秋季</w:t>
      </w:r>
      <w:r>
        <w:rPr>
          <w:color w:val="000000" w:themeColor="text1"/>
          <w14:textFill>
            <w14:solidFill>
              <w14:schemeClr w14:val="tx1"/>
            </w14:solidFill>
          </w14:textFill>
        </w:rPr>
        <w:t>）开展钦州港附近海域海洋生态现状调查，共布设生物生态调查站位14个。</w:t>
      </w:r>
      <w:r>
        <w:rPr>
          <w:rFonts w:hint="eastAsia"/>
          <w:color w:val="000000" w:themeColor="text1"/>
          <w14:textFill>
            <w14:solidFill>
              <w14:schemeClr w14:val="tx1"/>
            </w14:solidFill>
          </w14:textFill>
        </w:rPr>
        <w:t>监测站位布设点与海水水质现状调查点位命名一致，调查点位布设点位见</w:t>
      </w:r>
      <w:r>
        <w:rPr>
          <w:color w:val="000000" w:themeColor="text1"/>
          <w14:textFill>
            <w14:solidFill>
              <w14:schemeClr w14:val="tx1"/>
            </w14:solidFill>
          </w14:textFill>
        </w:rPr>
        <w:t>表3.3-1</w:t>
      </w:r>
      <w:r>
        <w:rPr>
          <w:rFonts w:hint="eastAsia"/>
          <w:color w:val="000000" w:themeColor="text1"/>
          <w14:textFill>
            <w14:solidFill>
              <w14:schemeClr w14:val="tx1"/>
            </w14:solidFill>
          </w14:textFill>
        </w:rPr>
        <w:t>7</w:t>
      </w:r>
      <w:r>
        <w:rPr>
          <w:color w:val="000000" w:themeColor="text1"/>
          <w14:textFill>
            <w14:solidFill>
              <w14:schemeClr w14:val="tx1"/>
            </w14:solidFill>
          </w14:textFill>
        </w:rPr>
        <w:t>，调查点位布设图见图3.3-1。</w:t>
      </w:r>
    </w:p>
    <w:p>
      <w:pPr>
        <w:pStyle w:val="384"/>
        <w:ind w:left="0" w:firstLine="528"/>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2021年11月生物生态调查站现场监测点位表</w:t>
      </w:r>
    </w:p>
    <w:p>
      <w:pPr>
        <w:pStyle w:val="1075"/>
        <w:ind w:firstLine="437"/>
        <w:rPr>
          <w:color w:val="000000" w:themeColor="text1"/>
          <w14:textFill>
            <w14:solidFill>
              <w14:schemeClr w14:val="tx1"/>
            </w14:solidFill>
          </w14:textFill>
        </w:rPr>
      </w:pPr>
      <w:r>
        <w:rPr>
          <w:color w:val="000000" w:themeColor="text1"/>
          <w14:textFill>
            <w14:solidFill>
              <w14:schemeClr w14:val="tx1"/>
            </w14:solidFill>
          </w14:textFill>
        </w:rPr>
        <w:t>（</w:t>
      </w:r>
      <w:r>
        <w:rPr>
          <w:rFonts w:hint="eastAsia"/>
          <w:color w:val="000000" w:themeColor="text1"/>
          <w14:textFill>
            <w14:solidFill>
              <w14:schemeClr w14:val="tx1"/>
            </w14:solidFill>
          </w14:textFill>
        </w:rPr>
        <w:t>2</w:t>
      </w:r>
      <w:r>
        <w:rPr>
          <w:color w:val="000000" w:themeColor="text1"/>
          <w14:textFill>
            <w14:solidFill>
              <w14:schemeClr w14:val="tx1"/>
            </w14:solidFill>
          </w14:textFill>
        </w:rPr>
        <w:t>）潮间带断面</w:t>
      </w:r>
    </w:p>
    <w:p>
      <w:pPr>
        <w:pStyle w:val="1075"/>
        <w:ind w:firstLine="437"/>
        <w:rPr>
          <w:color w:val="000000" w:themeColor="text1"/>
          <w14:textFill>
            <w14:solidFill>
              <w14:schemeClr w14:val="tx1"/>
            </w14:solidFill>
          </w14:textFill>
        </w:rPr>
      </w:pPr>
      <w:r>
        <w:rPr>
          <w:color w:val="000000" w:themeColor="text1"/>
          <w14:textFill>
            <w14:solidFill>
              <w14:schemeClr w14:val="tx1"/>
            </w14:solidFill>
          </w14:textFill>
        </w:rPr>
        <w:t>共布设六条潮间带断面，每条断面设3个站。每个站随机采集3个大小为25cm×25cm的样方。铲取样方框内厚度为30cm的泥样，用孔径为0.50mm的筛网淘洗，挑取样方内所有肉眼可见生物，并将残渣一并用5.0%甲醛溶液固定，带至实验室分类鉴定、计数和称重。</w:t>
      </w:r>
      <w:r>
        <w:rPr>
          <w:rFonts w:hint="eastAsia"/>
          <w:color w:val="000000" w:themeColor="text1"/>
          <w14:textFill>
            <w14:solidFill>
              <w14:schemeClr w14:val="tx1"/>
            </w14:solidFill>
          </w14:textFill>
        </w:rPr>
        <w:t>潮间带</w:t>
      </w:r>
      <w:r>
        <w:rPr>
          <w:color w:val="000000" w:themeColor="text1"/>
          <w14:textFill>
            <w14:solidFill>
              <w14:schemeClr w14:val="tx1"/>
            </w14:solidFill>
          </w14:textFill>
        </w:rPr>
        <w:t>生物调查断面布设见表</w:t>
      </w:r>
      <w:r>
        <w:rPr>
          <w:rFonts w:hint="eastAsia"/>
          <w:color w:val="000000" w:themeColor="text1"/>
          <w14:textFill>
            <w14:solidFill>
              <w14:schemeClr w14:val="tx1"/>
            </w14:solidFill>
          </w14:textFill>
        </w:rPr>
        <w:t>3.3-18，潮间带生物调查断面布设位置见图3.3-4。</w:t>
      </w:r>
    </w:p>
    <w:p>
      <w:pPr>
        <w:pStyle w:val="384"/>
        <w:ind w:left="0" w:firstLine="528"/>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潮间带</w:t>
      </w:r>
      <w:r>
        <w:rPr>
          <w:rFonts w:hint="eastAsia" w:cs="Times New Roman"/>
          <w:color w:val="000000" w:themeColor="text1"/>
          <w14:textFill>
            <w14:solidFill>
              <w14:schemeClr w14:val="tx1"/>
            </w14:solidFill>
          </w14:textFill>
        </w:rPr>
        <w:t>断面</w:t>
      </w:r>
      <w:r>
        <w:rPr>
          <w:rFonts w:cs="Times New Roman"/>
          <w:color w:val="000000" w:themeColor="text1"/>
          <w14:textFill>
            <w14:solidFill>
              <w14:schemeClr w14:val="tx1"/>
            </w14:solidFill>
          </w14:textFill>
        </w:rPr>
        <w:t>布设</w:t>
      </w:r>
    </w:p>
    <w:p>
      <w:pPr>
        <w:pStyle w:val="1075"/>
        <w:ind w:firstLine="437"/>
        <w:rPr>
          <w:color w:val="000000" w:themeColor="text1"/>
          <w14:textFill>
            <w14:solidFill>
              <w14:schemeClr w14:val="tx1"/>
            </w14:solidFill>
          </w14:textFill>
        </w:rPr>
      </w:pPr>
    </w:p>
    <w:p>
      <w:pPr>
        <w:pStyle w:val="553"/>
        <w:rPr>
          <w:color w:val="000000" w:themeColor="text1"/>
          <w14:textFill>
            <w14:solidFill>
              <w14:schemeClr w14:val="tx1"/>
            </w14:solidFill>
          </w14:textFill>
        </w:rPr>
      </w:pPr>
      <w:r>
        <w:rPr>
          <w:rFonts w:hint="eastAsia"/>
          <w:color w:val="000000" w:themeColor="text1"/>
          <w14:textFill>
            <w14:solidFill>
              <w14:schemeClr w14:val="tx1"/>
            </w14:solidFill>
          </w14:textFill>
        </w:rPr>
        <w:t>2021年11月潮间带生物调查断面布设位置图</w:t>
      </w:r>
    </w:p>
    <w:p>
      <w:pPr>
        <w:pStyle w:val="1075"/>
        <w:ind w:firstLine="439"/>
        <w:rPr>
          <w:b/>
          <w:color w:val="000000" w:themeColor="text1"/>
          <w14:textFill>
            <w14:solidFill>
              <w14:schemeClr w14:val="tx1"/>
            </w14:solidFill>
          </w14:textFill>
        </w:rPr>
      </w:pPr>
      <w:r>
        <w:rPr>
          <w:rFonts w:hint="eastAsia"/>
          <w:b/>
          <w:color w:val="000000" w:themeColor="text1"/>
          <w14:textFill>
            <w14:solidFill>
              <w14:schemeClr w14:val="tx1"/>
            </w14:solidFill>
          </w14:textFill>
        </w:rPr>
        <w:t>2</w:t>
      </w:r>
      <w:r>
        <w:rPr>
          <w:b/>
          <w:color w:val="000000" w:themeColor="text1"/>
          <w14:textFill>
            <w14:solidFill>
              <w14:schemeClr w14:val="tx1"/>
            </w14:solidFill>
          </w14:textFill>
        </w:rPr>
        <w:t>、2022年4月（春季）</w:t>
      </w:r>
    </w:p>
    <w:p>
      <w:pPr>
        <w:pStyle w:val="1075"/>
        <w:ind w:firstLine="437"/>
        <w:rPr>
          <w:color w:val="000000" w:themeColor="text1"/>
          <w14:textFill>
            <w14:solidFill>
              <w14:schemeClr w14:val="tx1"/>
            </w14:solidFill>
          </w14:textFill>
        </w:rPr>
      </w:pPr>
      <w:r>
        <w:rPr>
          <w:color w:val="000000" w:themeColor="text1"/>
          <w14:textFill>
            <w14:solidFill>
              <w14:schemeClr w14:val="tx1"/>
            </w14:solidFill>
          </w14:textFill>
        </w:rPr>
        <w:t>（</w:t>
      </w:r>
      <w:r>
        <w:rPr>
          <w:rFonts w:hint="eastAsia"/>
          <w:color w:val="000000" w:themeColor="text1"/>
          <w14:textFill>
            <w14:solidFill>
              <w14:schemeClr w14:val="tx1"/>
            </w14:solidFill>
          </w14:textFill>
        </w:rPr>
        <w:t>1</w:t>
      </w:r>
      <w:r>
        <w:rPr>
          <w:color w:val="000000" w:themeColor="text1"/>
          <w14:textFill>
            <w14:solidFill>
              <w14:schemeClr w14:val="tx1"/>
            </w14:solidFill>
          </w14:textFill>
        </w:rPr>
        <w:t>）生态调查站</w:t>
      </w:r>
    </w:p>
    <w:p>
      <w:pPr>
        <w:pStyle w:val="1075"/>
        <w:ind w:firstLine="437"/>
        <w:rPr>
          <w:color w:val="000000" w:themeColor="text1"/>
          <w14:textFill>
            <w14:solidFill>
              <w14:schemeClr w14:val="tx1"/>
            </w14:solidFill>
          </w14:textFill>
        </w:rPr>
      </w:pPr>
      <w:r>
        <w:rPr>
          <w:color w:val="000000" w:themeColor="text1"/>
          <w14:textFill>
            <w14:solidFill>
              <w14:schemeClr w14:val="tx1"/>
            </w14:solidFill>
          </w14:textFill>
        </w:rPr>
        <w:t>广西北部湾海洋研究中心于2022年4月（春季）开展钦州港附近海域海洋生态现状调查。共布设生物生态调查站位1</w:t>
      </w:r>
      <w:r>
        <w:rPr>
          <w:rFonts w:hint="eastAsia"/>
          <w:color w:val="000000" w:themeColor="text1"/>
          <w14:textFill>
            <w14:solidFill>
              <w14:schemeClr w14:val="tx1"/>
            </w14:solidFill>
          </w14:textFill>
        </w:rPr>
        <w:t>2</w:t>
      </w:r>
      <w:r>
        <w:rPr>
          <w:rFonts w:hint="eastAsia"/>
          <w:color w:val="000000" w:themeColor="text1"/>
          <w:kern w:val="0"/>
          <w14:textFill>
            <w14:solidFill>
              <w14:schemeClr w14:val="tx1"/>
            </w14:solidFill>
          </w14:textFill>
        </w:rPr>
        <w:t>个</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监测站位布设点与海水水质现状调查点位命名一致，调查点位布设点位见</w:t>
      </w:r>
      <w:r>
        <w:rPr>
          <w:color w:val="000000" w:themeColor="text1"/>
          <w14:textFill>
            <w14:solidFill>
              <w14:schemeClr w14:val="tx1"/>
            </w14:solidFill>
          </w14:textFill>
        </w:rPr>
        <w:t>表3.3-</w:t>
      </w:r>
      <w:r>
        <w:rPr>
          <w:rFonts w:hint="eastAsia"/>
          <w:color w:val="000000" w:themeColor="text1"/>
          <w14:textFill>
            <w14:solidFill>
              <w14:schemeClr w14:val="tx1"/>
            </w14:solidFill>
          </w14:textFill>
        </w:rPr>
        <w:t>19</w:t>
      </w:r>
      <w:r>
        <w:rPr>
          <w:color w:val="000000" w:themeColor="text1"/>
          <w14:textFill>
            <w14:solidFill>
              <w14:schemeClr w14:val="tx1"/>
            </w14:solidFill>
          </w14:textFill>
        </w:rPr>
        <w:t>，调查点位布设图见图3.3-</w:t>
      </w:r>
      <w:r>
        <w:rPr>
          <w:rFonts w:hint="eastAsia"/>
          <w:color w:val="000000" w:themeColor="text1"/>
          <w14:textFill>
            <w14:solidFill>
              <w14:schemeClr w14:val="tx1"/>
            </w14:solidFill>
          </w14:textFill>
        </w:rPr>
        <w:t>2</w:t>
      </w:r>
      <w:r>
        <w:rPr>
          <w:color w:val="000000" w:themeColor="text1"/>
          <w14:textFill>
            <w14:solidFill>
              <w14:schemeClr w14:val="tx1"/>
            </w14:solidFill>
          </w14:textFill>
        </w:rPr>
        <w:t>。</w:t>
      </w:r>
    </w:p>
    <w:p>
      <w:pPr>
        <w:pStyle w:val="384"/>
        <w:ind w:left="0" w:firstLine="528"/>
        <w:rPr>
          <w:rFonts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2022年4月生物生态调查站现场监测点位表</w:t>
      </w:r>
    </w:p>
    <w:p>
      <w:pPr>
        <w:pStyle w:val="1075"/>
        <w:ind w:firstLine="437"/>
        <w:rPr>
          <w:color w:val="000000" w:themeColor="text1"/>
          <w14:textFill>
            <w14:solidFill>
              <w14:schemeClr w14:val="tx1"/>
            </w14:solidFill>
          </w14:textFill>
        </w:rPr>
      </w:pPr>
      <w:r>
        <w:rPr>
          <w:rFonts w:hint="eastAsia"/>
          <w:color w:val="000000" w:themeColor="text1"/>
          <w14:textFill>
            <w14:solidFill>
              <w14:schemeClr w14:val="tx1"/>
            </w14:solidFill>
          </w14:textFill>
        </w:rPr>
        <w:t>（2）潮间带断面</w:t>
      </w:r>
    </w:p>
    <w:p>
      <w:pPr>
        <w:pStyle w:val="1075"/>
        <w:ind w:firstLine="437"/>
        <w:rPr>
          <w:color w:val="000000" w:themeColor="text1"/>
          <w14:textFill>
            <w14:solidFill>
              <w14:schemeClr w14:val="tx1"/>
            </w14:solidFill>
          </w14:textFill>
        </w:rPr>
      </w:pPr>
      <w:r>
        <w:rPr>
          <w:color w:val="000000" w:themeColor="text1"/>
          <w14:textFill>
            <w14:solidFill>
              <w14:schemeClr w14:val="tx1"/>
            </w14:solidFill>
          </w14:textFill>
        </w:rPr>
        <w:t>潮间带断面布设方法与</w:t>
      </w:r>
      <w:r>
        <w:rPr>
          <w:rFonts w:hint="eastAsia"/>
          <w:color w:val="000000" w:themeColor="text1"/>
          <w14:textFill>
            <w14:solidFill>
              <w14:schemeClr w14:val="tx1"/>
            </w14:solidFill>
          </w14:textFill>
        </w:rPr>
        <w:t>2021年11月相同，共布设</w:t>
      </w:r>
      <w:r>
        <w:rPr>
          <w:color w:val="000000" w:themeColor="text1"/>
          <w14:textFill>
            <w14:solidFill>
              <w14:schemeClr w14:val="tx1"/>
            </w14:solidFill>
          </w14:textFill>
        </w:rPr>
        <w:t>调查断面7条。</w:t>
      </w:r>
      <w:r>
        <w:rPr>
          <w:rFonts w:hint="eastAsia"/>
          <w:color w:val="000000" w:themeColor="text1"/>
          <w14:textFill>
            <w14:solidFill>
              <w14:schemeClr w14:val="tx1"/>
            </w14:solidFill>
          </w14:textFill>
        </w:rPr>
        <w:t>潮间带</w:t>
      </w:r>
      <w:r>
        <w:rPr>
          <w:color w:val="000000" w:themeColor="text1"/>
          <w14:textFill>
            <w14:solidFill>
              <w14:schemeClr w14:val="tx1"/>
            </w14:solidFill>
          </w14:textFill>
        </w:rPr>
        <w:t>断面生物调查断面布设见表</w:t>
      </w:r>
      <w:r>
        <w:rPr>
          <w:rFonts w:hint="eastAsia"/>
          <w:color w:val="000000" w:themeColor="text1"/>
          <w14:textFill>
            <w14:solidFill>
              <w14:schemeClr w14:val="tx1"/>
            </w14:solidFill>
          </w14:textFill>
        </w:rPr>
        <w:t>3.3-20，潮间带生物调查断面布设位置见图3.3-5。</w:t>
      </w:r>
    </w:p>
    <w:p>
      <w:pPr>
        <w:pStyle w:val="384"/>
        <w:ind w:left="0" w:firstLine="528"/>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潮间带</w:t>
      </w:r>
      <w:r>
        <w:rPr>
          <w:rFonts w:hint="eastAsia" w:cs="Times New Roman"/>
          <w:color w:val="000000" w:themeColor="text1"/>
          <w14:textFill>
            <w14:solidFill>
              <w14:schemeClr w14:val="tx1"/>
            </w14:solidFill>
          </w14:textFill>
        </w:rPr>
        <w:t>断面</w:t>
      </w:r>
      <w:r>
        <w:rPr>
          <w:rFonts w:cs="Times New Roman"/>
          <w:color w:val="000000" w:themeColor="text1"/>
          <w14:textFill>
            <w14:solidFill>
              <w14:schemeClr w14:val="tx1"/>
            </w14:solidFill>
          </w14:textFill>
        </w:rPr>
        <w:t>布设</w:t>
      </w:r>
    </w:p>
    <w:p>
      <w:pPr>
        <w:pStyle w:val="1075"/>
        <w:ind w:firstLine="437"/>
        <w:rPr>
          <w:color w:val="000000" w:themeColor="text1"/>
          <w14:textFill>
            <w14:solidFill>
              <w14:schemeClr w14:val="tx1"/>
            </w14:solidFill>
          </w14:textFill>
        </w:rPr>
      </w:pPr>
    </w:p>
    <w:p>
      <w:pPr>
        <w:pStyle w:val="553"/>
        <w:rPr>
          <w:color w:val="000000" w:themeColor="text1"/>
          <w14:textFill>
            <w14:solidFill>
              <w14:schemeClr w14:val="tx1"/>
            </w14:solidFill>
          </w14:textFill>
        </w:rPr>
      </w:pPr>
      <w:r>
        <w:rPr>
          <w:rFonts w:hint="eastAsia"/>
          <w:color w:val="000000" w:themeColor="text1"/>
          <w14:textFill>
            <w14:solidFill>
              <w14:schemeClr w14:val="tx1"/>
            </w14:solidFill>
          </w14:textFill>
        </w:rPr>
        <w:t>2022年4月潮间带生物调查断面布设位置图</w:t>
      </w:r>
    </w:p>
    <w:p>
      <w:pPr>
        <w:pStyle w:val="6"/>
        <w:rPr>
          <w:color w:val="000000" w:themeColor="text1"/>
          <w14:textFill>
            <w14:solidFill>
              <w14:schemeClr w14:val="tx1"/>
            </w14:solidFill>
          </w14:textFill>
        </w:rPr>
      </w:pPr>
      <w:r>
        <w:rPr>
          <w:color w:val="000000" w:themeColor="text1"/>
          <w14:textFill>
            <w14:solidFill>
              <w14:schemeClr w14:val="tx1"/>
            </w14:solidFill>
          </w14:textFill>
        </w:rPr>
        <w:t>调查结果</w:t>
      </w:r>
    </w:p>
    <w:p>
      <w:pPr>
        <w:pStyle w:val="1075"/>
        <w:ind w:firstLine="437"/>
        <w:rPr>
          <w:color w:val="000000" w:themeColor="text1"/>
          <w14:textFill>
            <w14:solidFill>
              <w14:schemeClr w14:val="tx1"/>
            </w14:solidFill>
          </w14:textFill>
        </w:rPr>
      </w:pPr>
      <w:r>
        <w:rPr>
          <w:rFonts w:hint="eastAsia"/>
          <w:color w:val="000000" w:themeColor="text1"/>
          <w14:textFill>
            <w14:solidFill>
              <w14:schemeClr w14:val="tx1"/>
            </w14:solidFill>
          </w14:textFill>
        </w:rPr>
        <w:t>1、</w:t>
      </w:r>
      <w:r>
        <w:rPr>
          <w:color w:val="000000" w:themeColor="text1"/>
          <w14:textFill>
            <w14:solidFill>
              <w14:schemeClr w14:val="tx1"/>
            </w14:solidFill>
          </w14:textFill>
        </w:rPr>
        <w:t>叶绿素α</w:t>
      </w:r>
    </w:p>
    <w:p>
      <w:pPr>
        <w:pStyle w:val="1075"/>
        <w:ind w:firstLine="437"/>
        <w:rPr>
          <w:color w:val="000000" w:themeColor="text1"/>
          <w14:textFill>
            <w14:solidFill>
              <w14:schemeClr w14:val="tx1"/>
            </w14:solidFill>
          </w14:textFill>
        </w:rPr>
      </w:pPr>
      <w:r>
        <w:rPr>
          <w:color w:val="000000" w:themeColor="text1"/>
          <w14:textFill>
            <w14:solidFill>
              <w14:schemeClr w14:val="tx1"/>
            </w14:solidFill>
          </w14:textFill>
        </w:rPr>
        <w:t>2021年11月调查海域各监测站位叶绿素α含量为1.26μg/L～3.29μg/L，平均为1.91μg/L，最大值出现在</w:t>
      </w:r>
      <w:r>
        <w:rPr>
          <w:color w:val="000000" w:themeColor="text1"/>
          <w:kern w:val="0"/>
          <w14:textFill>
            <w14:solidFill>
              <w14:schemeClr w14:val="tx1"/>
            </w14:solidFill>
          </w14:textFill>
        </w:rPr>
        <w:t>14</w:t>
      </w:r>
      <w:r>
        <w:rPr>
          <w:rFonts w:hint="eastAsia"/>
          <w:color w:val="000000" w:themeColor="text1"/>
          <w:kern w:val="0"/>
          <w14:textFill>
            <w14:solidFill>
              <w14:schemeClr w14:val="tx1"/>
            </w14:solidFill>
          </w14:textFill>
        </w:rPr>
        <w:t>号站</w:t>
      </w:r>
      <w:r>
        <w:rPr>
          <w:color w:val="000000" w:themeColor="text1"/>
          <w14:textFill>
            <w14:solidFill>
              <w14:schemeClr w14:val="tx1"/>
            </w14:solidFill>
          </w14:textFill>
        </w:rPr>
        <w:t>位，最小值出现在7号站位。</w:t>
      </w:r>
    </w:p>
    <w:p>
      <w:pPr>
        <w:pStyle w:val="384"/>
        <w:ind w:left="0" w:firstLine="528"/>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各站叶绿素</w:t>
      </w:r>
      <w:r>
        <w:rPr>
          <w:color w:val="000000" w:themeColor="text1"/>
          <w14:textFill>
            <w14:solidFill>
              <w14:schemeClr w14:val="tx1"/>
            </w14:solidFill>
          </w14:textFill>
        </w:rPr>
        <w:t>α</w:t>
      </w:r>
      <w:r>
        <w:rPr>
          <w:rFonts w:cs="Times New Roman"/>
          <w:color w:val="000000" w:themeColor="text1"/>
          <w14:textFill>
            <w14:solidFill>
              <w14:schemeClr w14:val="tx1"/>
            </w14:solidFill>
          </w14:textFill>
        </w:rPr>
        <w:t>含量（2021年11月）</w:t>
      </w:r>
    </w:p>
    <w:p>
      <w:pPr>
        <w:pStyle w:val="1075"/>
        <w:ind w:firstLine="437"/>
        <w:rPr>
          <w:color w:val="000000" w:themeColor="text1"/>
          <w14:textFill>
            <w14:solidFill>
              <w14:schemeClr w14:val="tx1"/>
            </w14:solidFill>
          </w14:textFill>
        </w:rPr>
      </w:pPr>
      <w:r>
        <w:rPr>
          <w:color w:val="000000" w:themeColor="text1"/>
          <w14:textFill>
            <w14:solidFill>
              <w14:schemeClr w14:val="tx1"/>
            </w14:solidFill>
          </w14:textFill>
        </w:rPr>
        <w:t>2022年4月调查海域各监测站位叶绿素α含量为1.25～4.34μg/L，平均为2.775μg/L，最大值出现在9号站位，最小值出现在1号站位。</w:t>
      </w:r>
    </w:p>
    <w:p>
      <w:pPr>
        <w:pStyle w:val="1075"/>
        <w:ind w:firstLine="437"/>
        <w:rPr>
          <w:color w:val="000000" w:themeColor="text1"/>
          <w14:textFill>
            <w14:solidFill>
              <w14:schemeClr w14:val="tx1"/>
            </w14:solidFill>
          </w14:textFill>
        </w:rPr>
      </w:pPr>
    </w:p>
    <w:p>
      <w:pPr>
        <w:pStyle w:val="1075"/>
        <w:ind w:firstLine="437"/>
        <w:rPr>
          <w:color w:val="000000" w:themeColor="text1"/>
          <w14:textFill>
            <w14:solidFill>
              <w14:schemeClr w14:val="tx1"/>
            </w14:solidFill>
          </w14:textFill>
        </w:rPr>
      </w:pPr>
    </w:p>
    <w:p>
      <w:pPr>
        <w:pStyle w:val="384"/>
        <w:ind w:left="0" w:firstLine="528"/>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各站叶绿素</w:t>
      </w:r>
      <w:r>
        <w:rPr>
          <w:color w:val="000000" w:themeColor="text1"/>
          <w14:textFill>
            <w14:solidFill>
              <w14:schemeClr w14:val="tx1"/>
            </w14:solidFill>
          </w14:textFill>
        </w:rPr>
        <w:t>α</w:t>
      </w:r>
      <w:r>
        <w:rPr>
          <w:rFonts w:cs="Times New Roman"/>
          <w:color w:val="000000" w:themeColor="text1"/>
          <w14:textFill>
            <w14:solidFill>
              <w14:schemeClr w14:val="tx1"/>
            </w14:solidFill>
          </w14:textFill>
        </w:rPr>
        <w:t>含量（2022年4月）</w:t>
      </w:r>
    </w:p>
    <w:p>
      <w:pPr>
        <w:pStyle w:val="1075"/>
        <w:ind w:firstLine="437"/>
        <w:rPr>
          <w:color w:val="000000" w:themeColor="text1"/>
          <w14:textFill>
            <w14:solidFill>
              <w14:schemeClr w14:val="tx1"/>
            </w14:solidFill>
          </w14:textFill>
        </w:rPr>
      </w:pPr>
      <w:r>
        <w:rPr>
          <w:color w:val="000000" w:themeColor="text1"/>
          <w14:textFill>
            <w14:solidFill>
              <w14:schemeClr w14:val="tx1"/>
            </w14:solidFill>
          </w14:textFill>
        </w:rPr>
        <w:t>（2）浮游植物</w:t>
      </w:r>
    </w:p>
    <w:p>
      <w:pPr>
        <w:pStyle w:val="1075"/>
        <w:ind w:firstLine="437"/>
        <w:rPr>
          <w:color w:val="000000" w:themeColor="text1"/>
          <w14:textFill>
            <w14:solidFill>
              <w14:schemeClr w14:val="tx1"/>
            </w14:solidFill>
          </w14:textFill>
        </w:rPr>
      </w:pPr>
      <w:r>
        <w:rPr>
          <w:color w:val="000000" w:themeColor="text1"/>
          <w14:textFill>
            <w14:solidFill>
              <w14:schemeClr w14:val="tx1"/>
            </w14:solidFill>
          </w14:textFill>
        </w:rPr>
        <w:t>1）2021年11月</w:t>
      </w:r>
    </w:p>
    <w:p>
      <w:pPr>
        <w:pStyle w:val="1075"/>
        <w:ind w:firstLine="437"/>
        <w:rPr>
          <w:color w:val="000000" w:themeColor="text1"/>
          <w14:textFill>
            <w14:solidFill>
              <w14:schemeClr w14:val="tx1"/>
            </w14:solidFill>
          </w14:textFill>
        </w:rPr>
      </w:pPr>
      <w:r>
        <w:rPr>
          <w:rFonts w:hint="eastAsia" w:ascii="宋体" w:hAnsi="宋体" w:cs="宋体"/>
          <w:color w:val="000000" w:themeColor="text1"/>
          <w14:textFill>
            <w14:solidFill>
              <w14:schemeClr w14:val="tx1"/>
            </w14:solidFill>
          </w14:textFill>
        </w:rPr>
        <w:t>①</w:t>
      </w:r>
      <w:r>
        <w:rPr>
          <w:color w:val="000000" w:themeColor="text1"/>
          <w14:textFill>
            <w14:solidFill>
              <w14:schemeClr w14:val="tx1"/>
            </w14:solidFill>
          </w14:textFill>
        </w:rPr>
        <w:t>结构组成</w:t>
      </w:r>
    </w:p>
    <w:p>
      <w:pPr>
        <w:pStyle w:val="1075"/>
        <w:ind w:firstLine="437"/>
        <w:rPr>
          <w:color w:val="000000" w:themeColor="text1"/>
          <w14:textFill>
            <w14:solidFill>
              <w14:schemeClr w14:val="tx1"/>
            </w14:solidFill>
          </w14:textFill>
        </w:rPr>
      </w:pPr>
      <w:r>
        <w:rPr>
          <w:color w:val="000000" w:themeColor="text1"/>
          <w14:textFill>
            <w14:solidFill>
              <w14:schemeClr w14:val="tx1"/>
            </w14:solidFill>
          </w14:textFill>
        </w:rPr>
        <w:t>本次调查共鉴定出浮游植物5门44属77种，其中硅藻种类最多为33属64种，占种类数的83.1%；其次为甲藻6属7种，占种类数的9.1%；裸藻2属3种，占种类数的3.9%；金藻2属2种，占种类数2.6%。绿藻1属1种，占种类数的1.3%。</w:t>
      </w:r>
    </w:p>
    <w:p>
      <w:pPr>
        <w:pStyle w:val="1075"/>
        <w:ind w:firstLine="437"/>
        <w:rPr>
          <w:color w:val="000000" w:themeColor="text1"/>
          <w14:textFill>
            <w14:solidFill>
              <w14:schemeClr w14:val="tx1"/>
            </w14:solidFill>
          </w14:textFill>
        </w:rPr>
      </w:pPr>
      <w:r>
        <w:rPr>
          <w:rFonts w:hint="eastAsia" w:ascii="宋体" w:hAnsi="宋体" w:cs="宋体"/>
          <w:color w:val="000000" w:themeColor="text1"/>
          <w14:textFill>
            <w14:solidFill>
              <w14:schemeClr w14:val="tx1"/>
            </w14:solidFill>
          </w14:textFill>
        </w:rPr>
        <w:t>②</w:t>
      </w:r>
      <w:r>
        <w:rPr>
          <w:color w:val="000000" w:themeColor="text1"/>
          <w14:textFill>
            <w14:solidFill>
              <w14:schemeClr w14:val="tx1"/>
            </w14:solidFill>
          </w14:textFill>
        </w:rPr>
        <w:t>数量分布</w:t>
      </w:r>
    </w:p>
    <w:p>
      <w:pPr>
        <w:pStyle w:val="1075"/>
        <w:ind w:firstLine="437"/>
        <w:rPr>
          <w:color w:val="000000" w:themeColor="text1"/>
          <w14:textFill>
            <w14:solidFill>
              <w14:schemeClr w14:val="tx1"/>
            </w14:solidFill>
          </w14:textFill>
        </w:rPr>
      </w:pPr>
      <w:r>
        <w:rPr>
          <w:color w:val="000000" w:themeColor="text1"/>
          <w14:textFill>
            <w14:solidFill>
              <w14:schemeClr w14:val="tx1"/>
            </w14:solidFill>
          </w14:textFill>
        </w:rPr>
        <w:t>本次调查浮游植物密度范围为（2.24～10.5）×10</w:t>
      </w:r>
      <w:r>
        <w:rPr>
          <w:color w:val="000000" w:themeColor="text1"/>
          <w:vertAlign w:val="superscript"/>
          <w14:textFill>
            <w14:solidFill>
              <w14:schemeClr w14:val="tx1"/>
            </w14:solidFill>
          </w14:textFill>
        </w:rPr>
        <w:t>4</w:t>
      </w:r>
      <w:r>
        <w:rPr>
          <w:color w:val="000000" w:themeColor="text1"/>
          <w14:textFill>
            <w14:solidFill>
              <w14:schemeClr w14:val="tx1"/>
            </w14:solidFill>
          </w14:textFill>
        </w:rPr>
        <w:t>个/L，平均为4.50×10</w:t>
      </w:r>
      <w:r>
        <w:rPr>
          <w:color w:val="000000" w:themeColor="text1"/>
          <w:vertAlign w:val="superscript"/>
          <w14:textFill>
            <w14:solidFill>
              <w14:schemeClr w14:val="tx1"/>
            </w14:solidFill>
          </w14:textFill>
        </w:rPr>
        <w:t>4</w:t>
      </w:r>
      <w:r>
        <w:rPr>
          <w:color w:val="000000" w:themeColor="text1"/>
          <w14:textFill>
            <w14:solidFill>
              <w14:schemeClr w14:val="tx1"/>
            </w14:solidFill>
          </w14:textFill>
        </w:rPr>
        <w:t>个/L，最小值出现在7号站，最大值出现在14号站；硅藻密度范围为（0.80～8.71）×10</w:t>
      </w:r>
      <w:r>
        <w:rPr>
          <w:color w:val="000000" w:themeColor="text1"/>
          <w:vertAlign w:val="superscript"/>
          <w14:textFill>
            <w14:solidFill>
              <w14:schemeClr w14:val="tx1"/>
            </w14:solidFill>
          </w14:textFill>
        </w:rPr>
        <w:t>4</w:t>
      </w:r>
      <w:r>
        <w:rPr>
          <w:color w:val="000000" w:themeColor="text1"/>
          <w14:textFill>
            <w14:solidFill>
              <w14:schemeClr w14:val="tx1"/>
            </w14:solidFill>
          </w14:textFill>
        </w:rPr>
        <w:t>个/L，平均为3.53×10</w:t>
      </w:r>
      <w:r>
        <w:rPr>
          <w:color w:val="000000" w:themeColor="text1"/>
          <w:vertAlign w:val="superscript"/>
          <w14:textFill>
            <w14:solidFill>
              <w14:schemeClr w14:val="tx1"/>
            </w14:solidFill>
          </w14:textFill>
        </w:rPr>
        <w:t>4</w:t>
      </w:r>
      <w:r>
        <w:rPr>
          <w:color w:val="000000" w:themeColor="text1"/>
          <w14:textFill>
            <w14:solidFill>
              <w14:schemeClr w14:val="tx1"/>
            </w14:solidFill>
          </w14:textFill>
        </w:rPr>
        <w:t>个/L；甲藻密度范围为（0～3.21）×10</w:t>
      </w:r>
      <w:r>
        <w:rPr>
          <w:color w:val="000000" w:themeColor="text1"/>
          <w:vertAlign w:val="superscript"/>
          <w14:textFill>
            <w14:solidFill>
              <w14:schemeClr w14:val="tx1"/>
            </w14:solidFill>
          </w14:textFill>
        </w:rPr>
        <w:t>4</w:t>
      </w:r>
      <w:r>
        <w:rPr>
          <w:color w:val="000000" w:themeColor="text1"/>
          <w14:textFill>
            <w14:solidFill>
              <w14:schemeClr w14:val="tx1"/>
            </w14:solidFill>
          </w14:textFill>
        </w:rPr>
        <w:t>个/L，平均为0.59×10</w:t>
      </w:r>
      <w:r>
        <w:rPr>
          <w:color w:val="000000" w:themeColor="text1"/>
          <w:vertAlign w:val="superscript"/>
          <w14:textFill>
            <w14:solidFill>
              <w14:schemeClr w14:val="tx1"/>
            </w14:solidFill>
          </w14:textFill>
        </w:rPr>
        <w:t>4</w:t>
      </w:r>
      <w:r>
        <w:rPr>
          <w:color w:val="000000" w:themeColor="text1"/>
          <w14:textFill>
            <w14:solidFill>
              <w14:schemeClr w14:val="tx1"/>
            </w14:solidFill>
          </w14:textFill>
        </w:rPr>
        <w:t>个/L；其他主要是金藻门和裸藻门。调查海域浮游植物数量主要以硅藻、金藻、甲藻为主，还有少量裸藻、绿藻。具体见浮游植物数量统计表。</w:t>
      </w:r>
    </w:p>
    <w:p>
      <w:pPr>
        <w:pStyle w:val="384"/>
        <w:ind w:left="0" w:firstLine="528"/>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浮游植物数量分布（2021年11月）</w:t>
      </w:r>
    </w:p>
    <w:p>
      <w:pPr>
        <w:pStyle w:val="384"/>
        <w:numPr>
          <w:ilvl w:val="0"/>
          <w:numId w:val="0"/>
        </w:numPr>
        <w:ind w:right="4"/>
        <w:jc w:val="right"/>
        <w:rPr>
          <w:rFonts w:cs="Times New Roman"/>
          <w:b w:val="0"/>
          <w:bCs/>
          <w:color w:val="000000" w:themeColor="text1"/>
          <w14:textFill>
            <w14:solidFill>
              <w14:schemeClr w14:val="tx1"/>
            </w14:solidFill>
          </w14:textFill>
        </w:rPr>
      </w:pPr>
      <w:r>
        <w:rPr>
          <w:rFonts w:cs="Times New Roman"/>
          <w:b w:val="0"/>
          <w:bCs/>
          <w:color w:val="000000" w:themeColor="text1"/>
          <w:sz w:val="21"/>
          <w:szCs w:val="21"/>
          <w14:textFill>
            <w14:solidFill>
              <w14:schemeClr w14:val="tx1"/>
            </w14:solidFill>
          </w14:textFill>
        </w:rPr>
        <w:t>单位：×10</w:t>
      </w:r>
      <w:r>
        <w:rPr>
          <w:rFonts w:cs="Times New Roman"/>
          <w:b w:val="0"/>
          <w:bCs/>
          <w:color w:val="000000" w:themeColor="text1"/>
          <w:sz w:val="21"/>
          <w:szCs w:val="21"/>
          <w:vertAlign w:val="superscript"/>
          <w14:textFill>
            <w14:solidFill>
              <w14:schemeClr w14:val="tx1"/>
            </w14:solidFill>
          </w14:textFill>
        </w:rPr>
        <w:t>4</w:t>
      </w:r>
      <w:r>
        <w:rPr>
          <w:rFonts w:cs="Times New Roman"/>
          <w:b w:val="0"/>
          <w:bCs/>
          <w:color w:val="000000" w:themeColor="text1"/>
          <w:sz w:val="21"/>
          <w:szCs w:val="21"/>
          <w14:textFill>
            <w14:solidFill>
              <w14:schemeClr w14:val="tx1"/>
            </w14:solidFill>
          </w14:textFill>
        </w:rPr>
        <w:t>个/L</w:t>
      </w:r>
    </w:p>
    <w:p>
      <w:pPr>
        <w:pStyle w:val="1075"/>
        <w:ind w:firstLine="437"/>
        <w:rPr>
          <w:color w:val="000000" w:themeColor="text1"/>
          <w14:textFill>
            <w14:solidFill>
              <w14:schemeClr w14:val="tx1"/>
            </w14:solidFill>
          </w14:textFill>
        </w:rPr>
      </w:pPr>
      <w:r>
        <w:rPr>
          <w:rFonts w:hint="eastAsia" w:ascii="宋体" w:hAnsi="宋体" w:cs="宋体"/>
          <w:color w:val="000000" w:themeColor="text1"/>
          <w14:textFill>
            <w14:solidFill>
              <w14:schemeClr w14:val="tx1"/>
            </w14:solidFill>
          </w14:textFill>
        </w:rPr>
        <w:t>③</w:t>
      </w:r>
      <w:r>
        <w:rPr>
          <w:color w:val="000000" w:themeColor="text1"/>
          <w14:textFill>
            <w14:solidFill>
              <w14:schemeClr w14:val="tx1"/>
            </w14:solidFill>
          </w14:textFill>
        </w:rPr>
        <w:t>优势种</w:t>
      </w:r>
    </w:p>
    <w:p>
      <w:pPr>
        <w:pStyle w:val="1075"/>
        <w:ind w:firstLine="437"/>
        <w:rPr>
          <w:color w:val="000000" w:themeColor="text1"/>
          <w14:textFill>
            <w14:solidFill>
              <w14:schemeClr w14:val="tx1"/>
            </w14:solidFill>
          </w14:textFill>
        </w:rPr>
      </w:pPr>
      <w:r>
        <w:rPr>
          <w:color w:val="000000" w:themeColor="text1"/>
          <w14:textFill>
            <w14:solidFill>
              <w14:schemeClr w14:val="tx1"/>
            </w14:solidFill>
          </w14:textFill>
        </w:rPr>
        <w:t>在调查海域中共有9个优势种，主要优势藻种为微小原甲藻（</w:t>
      </w:r>
      <w:r>
        <w:rPr>
          <w:i/>
          <w:color w:val="000000" w:themeColor="text1"/>
          <w14:textFill>
            <w14:solidFill>
              <w14:schemeClr w14:val="tx1"/>
            </w14:solidFill>
          </w14:textFill>
        </w:rPr>
        <w:t>Prorocentrium minimum</w:t>
      </w:r>
      <w:r>
        <w:rPr>
          <w:color w:val="000000" w:themeColor="text1"/>
          <w14:textFill>
            <w14:solidFill>
              <w14:schemeClr w14:val="tx1"/>
            </w14:solidFill>
          </w14:textFill>
        </w:rPr>
        <w:t>）、圆海链藻（</w:t>
      </w:r>
      <w:r>
        <w:rPr>
          <w:i/>
          <w:color w:val="000000" w:themeColor="text1"/>
          <w14:textFill>
            <w14:solidFill>
              <w14:schemeClr w14:val="tx1"/>
            </w14:solidFill>
          </w14:textFill>
        </w:rPr>
        <w:t>Thalassiosira rotula</w:t>
      </w:r>
      <w:r>
        <w:rPr>
          <w:color w:val="000000" w:themeColor="text1"/>
          <w14:textFill>
            <w14:solidFill>
              <w14:schemeClr w14:val="tx1"/>
            </w14:solidFill>
          </w14:textFill>
        </w:rPr>
        <w:t>）、中肋骨条藻（</w:t>
      </w:r>
      <w:r>
        <w:rPr>
          <w:i/>
          <w:color w:val="000000" w:themeColor="text1"/>
          <w14:textFill>
            <w14:solidFill>
              <w14:schemeClr w14:val="tx1"/>
            </w14:solidFill>
          </w14:textFill>
        </w:rPr>
        <w:t>Skelrtonemacostatum</w:t>
      </w:r>
      <w:r>
        <w:rPr>
          <w:color w:val="000000" w:themeColor="text1"/>
          <w14:textFill>
            <w14:solidFill>
              <w14:schemeClr w14:val="tx1"/>
            </w14:solidFill>
          </w14:textFill>
        </w:rPr>
        <w:t>）、太阳双尾藻（</w:t>
      </w:r>
      <w:r>
        <w:rPr>
          <w:i/>
          <w:color w:val="000000" w:themeColor="text1"/>
          <w14:textFill>
            <w14:solidFill>
              <w14:schemeClr w14:val="tx1"/>
            </w14:solidFill>
          </w14:textFill>
        </w:rPr>
        <w:t>Ditylum sol</w:t>
      </w:r>
      <w:r>
        <w:rPr>
          <w:color w:val="000000" w:themeColor="text1"/>
          <w14:textFill>
            <w14:solidFill>
              <w14:schemeClr w14:val="tx1"/>
            </w14:solidFill>
          </w14:textFill>
        </w:rPr>
        <w:t>）、赤潮异弯藻（</w:t>
      </w:r>
      <w:r>
        <w:rPr>
          <w:i/>
          <w:color w:val="000000" w:themeColor="text1"/>
          <w14:textFill>
            <w14:solidFill>
              <w14:schemeClr w14:val="tx1"/>
            </w14:solidFill>
          </w14:textFill>
        </w:rPr>
        <w:t>Heterosigmaakashiwo</w:t>
      </w:r>
      <w:r>
        <w:rPr>
          <w:color w:val="000000" w:themeColor="text1"/>
          <w14:textFill>
            <w14:solidFill>
              <w14:schemeClr w14:val="tx1"/>
            </w14:solidFill>
          </w14:textFill>
        </w:rPr>
        <w:t>）、条纹小环藻（</w:t>
      </w:r>
      <w:r>
        <w:rPr>
          <w:i/>
          <w:color w:val="000000" w:themeColor="text1"/>
          <w14:textFill>
            <w14:solidFill>
              <w14:schemeClr w14:val="tx1"/>
            </w14:solidFill>
          </w14:textFill>
        </w:rPr>
        <w:t>Cyclotella striata</w:t>
      </w:r>
      <w:r>
        <w:rPr>
          <w:color w:val="000000" w:themeColor="text1"/>
          <w14:textFill>
            <w14:solidFill>
              <w14:schemeClr w14:val="tx1"/>
            </w14:solidFill>
          </w14:textFill>
        </w:rPr>
        <w:t>）、柔弱拟菱形藻（</w:t>
      </w:r>
      <w:r>
        <w:rPr>
          <w:i/>
          <w:color w:val="000000" w:themeColor="text1"/>
          <w14:textFill>
            <w14:solidFill>
              <w14:schemeClr w14:val="tx1"/>
            </w14:solidFill>
          </w14:textFill>
        </w:rPr>
        <w:t>Pseudo-nitzschiadelicatissima</w:t>
      </w:r>
      <w:r>
        <w:rPr>
          <w:color w:val="000000" w:themeColor="text1"/>
          <w14:textFill>
            <w14:solidFill>
              <w14:schemeClr w14:val="tx1"/>
            </w14:solidFill>
          </w14:textFill>
        </w:rPr>
        <w:t>）、湖沼圆筛藻（</w:t>
      </w:r>
      <w:r>
        <w:rPr>
          <w:i/>
          <w:color w:val="000000" w:themeColor="text1"/>
          <w14:textFill>
            <w14:solidFill>
              <w14:schemeClr w14:val="tx1"/>
            </w14:solidFill>
          </w14:textFill>
        </w:rPr>
        <w:t>Coscinodiscus lacustris</w:t>
      </w:r>
      <w:r>
        <w:rPr>
          <w:color w:val="000000" w:themeColor="text1"/>
          <w14:textFill>
            <w14:solidFill>
              <w14:schemeClr w14:val="tx1"/>
            </w14:solidFill>
          </w14:textFill>
        </w:rPr>
        <w:t>）和布氏双尾藻（</w:t>
      </w:r>
      <w:r>
        <w:rPr>
          <w:i/>
          <w:color w:val="000000" w:themeColor="text1"/>
          <w14:textFill>
            <w14:solidFill>
              <w14:schemeClr w14:val="tx1"/>
            </w14:solidFill>
          </w14:textFill>
        </w:rPr>
        <w:t>Ditylumbrightwellii</w:t>
      </w:r>
      <w:r>
        <w:rPr>
          <w:color w:val="000000" w:themeColor="text1"/>
          <w14:textFill>
            <w14:solidFill>
              <w14:schemeClr w14:val="tx1"/>
            </w14:solidFill>
          </w14:textFill>
        </w:rPr>
        <w:t>），其优势度分别为0.10、0.08、0.06、0.04、0.04、0.03、0.03、0.03和0.02。</w:t>
      </w:r>
    </w:p>
    <w:p>
      <w:pPr>
        <w:pStyle w:val="1075"/>
        <w:ind w:firstLine="437"/>
        <w:rPr>
          <w:color w:val="000000" w:themeColor="text1"/>
          <w14:textFill>
            <w14:solidFill>
              <w14:schemeClr w14:val="tx1"/>
            </w14:solidFill>
          </w14:textFill>
        </w:rPr>
      </w:pPr>
      <w:r>
        <w:rPr>
          <w:rFonts w:hint="eastAsia" w:ascii="宋体" w:hAnsi="宋体" w:cs="宋体"/>
          <w:color w:val="000000" w:themeColor="text1"/>
          <w14:textFill>
            <w14:solidFill>
              <w14:schemeClr w14:val="tx1"/>
            </w14:solidFill>
          </w14:textFill>
        </w:rPr>
        <w:t>④</w:t>
      </w:r>
      <w:r>
        <w:rPr>
          <w:color w:val="000000" w:themeColor="text1"/>
          <w14:textFill>
            <w14:solidFill>
              <w14:schemeClr w14:val="tx1"/>
            </w14:solidFill>
          </w14:textFill>
        </w:rPr>
        <w:t>浮游植物生物学指标</w:t>
      </w:r>
    </w:p>
    <w:p>
      <w:pPr>
        <w:pStyle w:val="384"/>
        <w:ind w:left="0" w:firstLine="528"/>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浮游植物生物学指标统计表（2021年11月）</w:t>
      </w:r>
    </w:p>
    <w:p>
      <w:pPr>
        <w:pStyle w:val="1075"/>
        <w:ind w:firstLine="437"/>
        <w:rPr>
          <w:color w:val="000000" w:themeColor="text1"/>
          <w14:textFill>
            <w14:solidFill>
              <w14:schemeClr w14:val="tx1"/>
            </w14:solidFill>
          </w14:textFill>
        </w:rPr>
      </w:pPr>
      <w:r>
        <w:rPr>
          <w:color w:val="000000" w:themeColor="text1"/>
          <w14:textFill>
            <w14:solidFill>
              <w14:schemeClr w14:val="tx1"/>
            </w14:solidFill>
          </w14:textFill>
        </w:rPr>
        <w:t>2）2022年4月</w:t>
      </w:r>
    </w:p>
    <w:p>
      <w:pPr>
        <w:pStyle w:val="1075"/>
        <w:ind w:firstLine="437"/>
        <w:rPr>
          <w:color w:val="000000" w:themeColor="text1"/>
          <w14:textFill>
            <w14:solidFill>
              <w14:schemeClr w14:val="tx1"/>
            </w14:solidFill>
          </w14:textFill>
        </w:rPr>
      </w:pPr>
      <w:r>
        <w:rPr>
          <w:rFonts w:hint="eastAsia" w:ascii="宋体" w:hAnsi="宋体" w:cs="宋体"/>
          <w:color w:val="000000" w:themeColor="text1"/>
          <w14:textFill>
            <w14:solidFill>
              <w14:schemeClr w14:val="tx1"/>
            </w14:solidFill>
          </w14:textFill>
        </w:rPr>
        <w:t>①</w:t>
      </w:r>
      <w:r>
        <w:rPr>
          <w:color w:val="000000" w:themeColor="text1"/>
          <w14:textFill>
            <w14:solidFill>
              <w14:schemeClr w14:val="tx1"/>
            </w14:solidFill>
          </w14:textFill>
        </w:rPr>
        <w:t>种类组成</w:t>
      </w:r>
    </w:p>
    <w:p>
      <w:pPr>
        <w:pStyle w:val="1075"/>
        <w:ind w:firstLine="437"/>
        <w:rPr>
          <w:color w:val="000000" w:themeColor="text1"/>
          <w14:textFill>
            <w14:solidFill>
              <w14:schemeClr w14:val="tx1"/>
            </w14:solidFill>
          </w14:textFill>
        </w:rPr>
      </w:pPr>
      <w:r>
        <w:rPr>
          <w:color w:val="000000" w:themeColor="text1"/>
          <w14:textFill>
            <w14:solidFill>
              <w14:schemeClr w14:val="tx1"/>
            </w14:solidFill>
          </w14:textFill>
        </w:rPr>
        <w:t>本次调查共鉴定出浮游植物7门54属147种，其中硅藻种类最多为28属105种，占种类数的71.4%，其次为甲藻，共有10属20种，占种类数的13.6%，绿藻为8属11种，占种类数7.5%。此外蓝藻2属2种，裸藻3属5种，隐藻2属3种以及金藻1种。</w:t>
      </w:r>
    </w:p>
    <w:p>
      <w:pPr>
        <w:pStyle w:val="1075"/>
        <w:ind w:firstLine="437"/>
        <w:rPr>
          <w:color w:val="000000" w:themeColor="text1"/>
          <w14:textFill>
            <w14:solidFill>
              <w14:schemeClr w14:val="tx1"/>
            </w14:solidFill>
          </w14:textFill>
        </w:rPr>
      </w:pPr>
      <w:r>
        <w:rPr>
          <w:rFonts w:hint="eastAsia" w:ascii="宋体" w:hAnsi="宋体" w:cs="宋体"/>
          <w:color w:val="000000" w:themeColor="text1"/>
          <w14:textFill>
            <w14:solidFill>
              <w14:schemeClr w14:val="tx1"/>
            </w14:solidFill>
          </w14:textFill>
        </w:rPr>
        <w:t>②</w:t>
      </w:r>
      <w:r>
        <w:rPr>
          <w:color w:val="000000" w:themeColor="text1"/>
          <w14:textFill>
            <w14:solidFill>
              <w14:schemeClr w14:val="tx1"/>
            </w14:solidFill>
          </w14:textFill>
        </w:rPr>
        <w:t>数量分布</w:t>
      </w:r>
    </w:p>
    <w:p>
      <w:pPr>
        <w:pStyle w:val="1075"/>
        <w:ind w:firstLine="437"/>
        <w:rPr>
          <w:color w:val="000000" w:themeColor="text1"/>
          <w14:textFill>
            <w14:solidFill>
              <w14:schemeClr w14:val="tx1"/>
            </w14:solidFill>
          </w14:textFill>
        </w:rPr>
      </w:pPr>
      <w:r>
        <w:rPr>
          <w:color w:val="000000" w:themeColor="text1"/>
          <w14:textFill>
            <w14:solidFill>
              <w14:schemeClr w14:val="tx1"/>
            </w14:solidFill>
          </w14:textFill>
        </w:rPr>
        <w:t>本次调查浮游植物密度范围为（1.32～32.77）</w:t>
      </w:r>
      <w:bookmarkStart w:id="147" w:name="OLE_LINK1"/>
      <w:r>
        <w:rPr>
          <w:color w:val="000000" w:themeColor="text1"/>
          <w14:textFill>
            <w14:solidFill>
              <w14:schemeClr w14:val="tx1"/>
            </w14:solidFill>
          </w14:textFill>
        </w:rPr>
        <w:t>×10</w:t>
      </w:r>
      <w:r>
        <w:rPr>
          <w:color w:val="000000" w:themeColor="text1"/>
          <w:vertAlign w:val="superscript"/>
          <w14:textFill>
            <w14:solidFill>
              <w14:schemeClr w14:val="tx1"/>
            </w14:solidFill>
          </w14:textFill>
        </w:rPr>
        <w:t>4</w:t>
      </w:r>
      <w:r>
        <w:rPr>
          <w:color w:val="000000" w:themeColor="text1"/>
          <w14:textFill>
            <w14:solidFill>
              <w14:schemeClr w14:val="tx1"/>
            </w14:solidFill>
          </w14:textFill>
        </w:rPr>
        <w:t>个/L，</w:t>
      </w:r>
      <w:bookmarkEnd w:id="147"/>
      <w:r>
        <w:rPr>
          <w:color w:val="000000" w:themeColor="text1"/>
          <w14:textFill>
            <w14:solidFill>
              <w14:schemeClr w14:val="tx1"/>
            </w14:solidFill>
          </w14:textFill>
        </w:rPr>
        <w:t>平均为10.47×10</w:t>
      </w:r>
      <w:r>
        <w:rPr>
          <w:color w:val="000000" w:themeColor="text1"/>
          <w:vertAlign w:val="superscript"/>
          <w14:textFill>
            <w14:solidFill>
              <w14:schemeClr w14:val="tx1"/>
            </w14:solidFill>
          </w14:textFill>
        </w:rPr>
        <w:t>4</w:t>
      </w:r>
      <w:r>
        <w:rPr>
          <w:color w:val="000000" w:themeColor="text1"/>
          <w14:textFill>
            <w14:solidFill>
              <w14:schemeClr w14:val="tx1"/>
            </w14:solidFill>
          </w14:textFill>
        </w:rPr>
        <w:t>个/L，最小值出现在6号站海水，最大值出现在15号站。在15号站，浮游植物以隐藻为主，隐藻门的密度高达26.64×10</w:t>
      </w:r>
      <w:r>
        <w:rPr>
          <w:color w:val="000000" w:themeColor="text1"/>
          <w:vertAlign w:val="superscript"/>
          <w14:textFill>
            <w14:solidFill>
              <w14:schemeClr w14:val="tx1"/>
            </w14:solidFill>
          </w14:textFill>
        </w:rPr>
        <w:t>4</w:t>
      </w:r>
      <w:r>
        <w:rPr>
          <w:color w:val="000000" w:themeColor="text1"/>
          <w14:textFill>
            <w14:solidFill>
              <w14:schemeClr w14:val="tx1"/>
            </w14:solidFill>
          </w14:textFill>
        </w:rPr>
        <w:t>个/L。</w:t>
      </w:r>
    </w:p>
    <w:p>
      <w:pPr>
        <w:pStyle w:val="384"/>
        <w:ind w:left="0" w:firstLine="528"/>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 xml:space="preserve">浮游植物数量统计表  </w:t>
      </w:r>
    </w:p>
    <w:p>
      <w:pPr>
        <w:pStyle w:val="384"/>
        <w:numPr>
          <w:ilvl w:val="0"/>
          <w:numId w:val="0"/>
        </w:numPr>
        <w:jc w:val="right"/>
        <w:rPr>
          <w:rFonts w:cs="Times New Roman"/>
          <w:b w:val="0"/>
          <w:bCs/>
          <w:color w:val="000000" w:themeColor="text1"/>
          <w14:textFill>
            <w14:solidFill>
              <w14:schemeClr w14:val="tx1"/>
            </w14:solidFill>
          </w14:textFill>
        </w:rPr>
      </w:pPr>
      <w:r>
        <w:rPr>
          <w:rFonts w:cs="Times New Roman"/>
          <w:b w:val="0"/>
          <w:bCs/>
          <w:color w:val="000000" w:themeColor="text1"/>
          <w14:textFill>
            <w14:solidFill>
              <w14:schemeClr w14:val="tx1"/>
            </w14:solidFill>
          </w14:textFill>
        </w:rPr>
        <w:t>单位：×10</w:t>
      </w:r>
      <w:r>
        <w:rPr>
          <w:rFonts w:cs="Times New Roman"/>
          <w:b w:val="0"/>
          <w:bCs/>
          <w:color w:val="000000" w:themeColor="text1"/>
          <w:vertAlign w:val="superscript"/>
          <w14:textFill>
            <w14:solidFill>
              <w14:schemeClr w14:val="tx1"/>
            </w14:solidFill>
          </w14:textFill>
        </w:rPr>
        <w:t>4</w:t>
      </w:r>
      <w:r>
        <w:rPr>
          <w:rFonts w:cs="Times New Roman"/>
          <w:b w:val="0"/>
          <w:bCs/>
          <w:color w:val="000000" w:themeColor="text1"/>
          <w14:textFill>
            <w14:solidFill>
              <w14:schemeClr w14:val="tx1"/>
            </w14:solidFill>
          </w14:textFill>
        </w:rPr>
        <w:t>个/L</w:t>
      </w:r>
    </w:p>
    <w:p>
      <w:pPr>
        <w:pStyle w:val="1075"/>
        <w:ind w:firstLine="437"/>
        <w:rPr>
          <w:color w:val="000000" w:themeColor="text1"/>
          <w14:textFill>
            <w14:solidFill>
              <w14:schemeClr w14:val="tx1"/>
            </w14:solidFill>
          </w14:textFill>
        </w:rPr>
      </w:pPr>
      <w:r>
        <w:rPr>
          <w:rFonts w:hint="eastAsia" w:ascii="宋体" w:hAnsi="宋体" w:cs="宋体"/>
          <w:color w:val="000000" w:themeColor="text1"/>
          <w14:textFill>
            <w14:solidFill>
              <w14:schemeClr w14:val="tx1"/>
            </w14:solidFill>
          </w14:textFill>
        </w:rPr>
        <w:t>③</w:t>
      </w:r>
      <w:r>
        <w:rPr>
          <w:color w:val="000000" w:themeColor="text1"/>
          <w14:textFill>
            <w14:solidFill>
              <w14:schemeClr w14:val="tx1"/>
            </w14:solidFill>
          </w14:textFill>
        </w:rPr>
        <w:t>优势种</w:t>
      </w:r>
    </w:p>
    <w:p>
      <w:pPr>
        <w:pStyle w:val="1075"/>
        <w:ind w:firstLine="437"/>
        <w:rPr>
          <w:color w:val="000000" w:themeColor="text1"/>
          <w14:textFill>
            <w14:solidFill>
              <w14:schemeClr w14:val="tx1"/>
            </w14:solidFill>
          </w14:textFill>
        </w:rPr>
      </w:pPr>
      <w:r>
        <w:rPr>
          <w:color w:val="000000" w:themeColor="text1"/>
          <w14:textFill>
            <w14:solidFill>
              <w14:schemeClr w14:val="tx1"/>
            </w14:solidFill>
          </w14:textFill>
        </w:rPr>
        <w:t>计算各物种的优势度（</w:t>
      </w:r>
      <w:r>
        <w:rPr>
          <w:i/>
          <w:color w:val="000000" w:themeColor="text1"/>
          <w14:textFill>
            <w14:solidFill>
              <w14:schemeClr w14:val="tx1"/>
            </w14:solidFill>
          </w14:textFill>
        </w:rPr>
        <w:t>Y</w:t>
      </w:r>
      <w:r>
        <w:rPr>
          <w:color w:val="000000" w:themeColor="text1"/>
          <w14:textFill>
            <w14:solidFill>
              <w14:schemeClr w14:val="tx1"/>
            </w14:solidFill>
          </w14:textFill>
        </w:rPr>
        <w:t>），</w:t>
      </w:r>
      <w:r>
        <w:rPr>
          <w:i/>
          <w:color w:val="000000" w:themeColor="text1"/>
          <w14:textFill>
            <w14:solidFill>
              <w14:schemeClr w14:val="tx1"/>
            </w14:solidFill>
          </w14:textFill>
        </w:rPr>
        <w:t>Y</w:t>
      </w:r>
      <w:r>
        <w:rPr>
          <w:color w:val="000000" w:themeColor="text1"/>
          <w14:textFill>
            <w14:solidFill>
              <w14:schemeClr w14:val="tx1"/>
            </w14:solidFill>
          </w14:textFill>
        </w:rPr>
        <w:t>值&gt;0.02为优势种。在调查海域中共有6个优势种，分别为硅藻门的中肋骨条藻（</w:t>
      </w:r>
      <w:r>
        <w:rPr>
          <w:i/>
          <w:color w:val="000000" w:themeColor="text1"/>
          <w14:textFill>
            <w14:solidFill>
              <w14:schemeClr w14:val="tx1"/>
            </w14:solidFill>
          </w14:textFill>
        </w:rPr>
        <w:t>Skeletonemacostatum</w:t>
      </w:r>
      <w:r>
        <w:rPr>
          <w:color w:val="000000" w:themeColor="text1"/>
          <w14:textFill>
            <w14:solidFill>
              <w14:schemeClr w14:val="tx1"/>
            </w14:solidFill>
          </w14:textFill>
        </w:rPr>
        <w:t>）和条纹小环藻（</w:t>
      </w:r>
      <w:r>
        <w:rPr>
          <w:i/>
          <w:iCs/>
          <w:color w:val="000000" w:themeColor="text1"/>
          <w14:textFill>
            <w14:solidFill>
              <w14:schemeClr w14:val="tx1"/>
            </w14:solidFill>
          </w14:textFill>
        </w:rPr>
        <w:t>Cyclotella striata</w:t>
      </w:r>
      <w:r>
        <w:rPr>
          <w:color w:val="000000" w:themeColor="text1"/>
          <w14:textFill>
            <w14:solidFill>
              <w14:schemeClr w14:val="tx1"/>
            </w14:solidFill>
          </w14:textFill>
        </w:rPr>
        <w:t>）、甲藻门的微小原甲藻（</w:t>
      </w:r>
      <w:r>
        <w:rPr>
          <w:i/>
          <w:iCs/>
          <w:color w:val="000000" w:themeColor="text1"/>
          <w14:textFill>
            <w14:solidFill>
              <w14:schemeClr w14:val="tx1"/>
            </w14:solidFill>
          </w14:textFill>
        </w:rPr>
        <w:t>Prorocentrium minimum</w:t>
      </w:r>
      <w:r>
        <w:rPr>
          <w:color w:val="000000" w:themeColor="text1"/>
          <w14:textFill>
            <w14:solidFill>
              <w14:schemeClr w14:val="tx1"/>
            </w14:solidFill>
          </w14:textFill>
        </w:rPr>
        <w:t>）、隐藻门的尖尾蓝隐藻（</w:t>
      </w:r>
      <w:r>
        <w:rPr>
          <w:i/>
          <w:iCs/>
          <w:color w:val="000000" w:themeColor="text1"/>
          <w14:textFill>
            <w14:solidFill>
              <w14:schemeClr w14:val="tx1"/>
            </w14:solidFill>
          </w14:textFill>
        </w:rPr>
        <w:t>Chroomonas acuta</w:t>
      </w:r>
      <w:r>
        <w:rPr>
          <w:color w:val="000000" w:themeColor="text1"/>
          <w14:textFill>
            <w14:solidFill>
              <w14:schemeClr w14:val="tx1"/>
            </w14:solidFill>
          </w14:textFill>
        </w:rPr>
        <w:t>）和啮蚀隐藻（</w:t>
      </w:r>
      <w:r>
        <w:rPr>
          <w:i/>
          <w:iCs/>
          <w:color w:val="000000" w:themeColor="text1"/>
          <w14:textFill>
            <w14:solidFill>
              <w14:schemeClr w14:val="tx1"/>
            </w14:solidFill>
          </w14:textFill>
        </w:rPr>
        <w:t>Cryptomonaserosa</w:t>
      </w:r>
      <w:r>
        <w:rPr>
          <w:color w:val="000000" w:themeColor="text1"/>
          <w14:textFill>
            <w14:solidFill>
              <w14:schemeClr w14:val="tx1"/>
            </w14:solidFill>
          </w14:textFill>
        </w:rPr>
        <w:t>）以及裸藻门的喙状鳞孔藻（</w:t>
      </w:r>
      <w:r>
        <w:rPr>
          <w:i/>
          <w:color w:val="000000" w:themeColor="text1"/>
          <w14:textFill>
            <w14:solidFill>
              <w14:schemeClr w14:val="tx1"/>
            </w14:solidFill>
          </w14:textFill>
        </w:rPr>
        <w:t>Lepocinclisplayfairiana</w:t>
      </w:r>
      <w:r>
        <w:rPr>
          <w:color w:val="000000" w:themeColor="text1"/>
          <w14:textFill>
            <w14:solidFill>
              <w14:schemeClr w14:val="tx1"/>
            </w14:solidFill>
          </w14:textFill>
        </w:rPr>
        <w:t>），这六种优势种的优势度分别为0.144、0.027、0.026、0.060、0.071和0.094。</w:t>
      </w:r>
    </w:p>
    <w:p>
      <w:pPr>
        <w:pStyle w:val="1075"/>
        <w:ind w:firstLine="437"/>
        <w:rPr>
          <w:color w:val="000000" w:themeColor="text1"/>
          <w14:textFill>
            <w14:solidFill>
              <w14:schemeClr w14:val="tx1"/>
            </w14:solidFill>
          </w14:textFill>
        </w:rPr>
      </w:pPr>
      <w:r>
        <w:rPr>
          <w:rFonts w:hint="eastAsia" w:ascii="宋体" w:hAnsi="宋体" w:cs="宋体"/>
          <w:color w:val="000000" w:themeColor="text1"/>
          <w14:textFill>
            <w14:solidFill>
              <w14:schemeClr w14:val="tx1"/>
            </w14:solidFill>
          </w14:textFill>
        </w:rPr>
        <w:t>④</w:t>
      </w:r>
      <w:r>
        <w:rPr>
          <w:color w:val="000000" w:themeColor="text1"/>
          <w14:textFill>
            <w14:solidFill>
              <w14:schemeClr w14:val="tx1"/>
            </w14:solidFill>
          </w14:textFill>
        </w:rPr>
        <w:t>浮游植物生物学指标</w:t>
      </w:r>
    </w:p>
    <w:p>
      <w:pPr>
        <w:pStyle w:val="384"/>
        <w:ind w:left="0" w:firstLine="528"/>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浮游植物生物学指标统计表（2022年4月）</w:t>
      </w:r>
    </w:p>
    <w:p>
      <w:pPr>
        <w:pStyle w:val="1075"/>
        <w:ind w:firstLine="437"/>
        <w:rPr>
          <w:color w:val="000000" w:themeColor="text1"/>
          <w14:textFill>
            <w14:solidFill>
              <w14:schemeClr w14:val="tx1"/>
            </w14:solidFill>
          </w14:textFill>
        </w:rPr>
      </w:pPr>
      <w:r>
        <w:rPr>
          <w:color w:val="000000" w:themeColor="text1"/>
          <w14:textFill>
            <w14:solidFill>
              <w14:schemeClr w14:val="tx1"/>
            </w14:solidFill>
          </w14:textFill>
        </w:rPr>
        <w:t>（3）浮游动物</w:t>
      </w:r>
    </w:p>
    <w:p>
      <w:pPr>
        <w:pStyle w:val="1075"/>
        <w:ind w:firstLine="437"/>
        <w:rPr>
          <w:color w:val="000000" w:themeColor="text1"/>
          <w14:textFill>
            <w14:solidFill>
              <w14:schemeClr w14:val="tx1"/>
            </w14:solidFill>
          </w14:textFill>
        </w:rPr>
      </w:pPr>
      <w:r>
        <w:rPr>
          <w:color w:val="000000" w:themeColor="text1"/>
          <w14:textFill>
            <w14:solidFill>
              <w14:schemeClr w14:val="tx1"/>
            </w14:solidFill>
          </w14:textFill>
        </w:rPr>
        <w:t>1）2021年11月</w:t>
      </w:r>
    </w:p>
    <w:p>
      <w:pPr>
        <w:pStyle w:val="1075"/>
        <w:ind w:firstLine="437"/>
        <w:rPr>
          <w:color w:val="000000" w:themeColor="text1"/>
          <w14:textFill>
            <w14:solidFill>
              <w14:schemeClr w14:val="tx1"/>
            </w14:solidFill>
          </w14:textFill>
        </w:rPr>
      </w:pPr>
      <w:r>
        <w:rPr>
          <w:rFonts w:hint="eastAsia" w:ascii="宋体" w:hAnsi="宋体" w:cs="宋体"/>
          <w:color w:val="000000" w:themeColor="text1"/>
          <w14:textFill>
            <w14:solidFill>
              <w14:schemeClr w14:val="tx1"/>
            </w14:solidFill>
          </w14:textFill>
        </w:rPr>
        <w:t>①</w:t>
      </w:r>
      <w:r>
        <w:rPr>
          <w:color w:val="000000" w:themeColor="text1"/>
          <w14:textFill>
            <w14:solidFill>
              <w14:schemeClr w14:val="tx1"/>
            </w14:solidFill>
          </w14:textFill>
        </w:rPr>
        <w:t>种类组成</w:t>
      </w:r>
    </w:p>
    <w:p>
      <w:pPr>
        <w:pStyle w:val="1075"/>
        <w:ind w:firstLine="437"/>
        <w:rPr>
          <w:color w:val="000000" w:themeColor="text1"/>
          <w14:textFill>
            <w14:solidFill>
              <w14:schemeClr w14:val="tx1"/>
            </w14:solidFill>
          </w14:textFill>
        </w:rPr>
      </w:pPr>
      <w:r>
        <w:rPr>
          <w:color w:val="000000" w:themeColor="text1"/>
          <w14:textFill>
            <w14:solidFill>
              <w14:schemeClr w14:val="tx1"/>
            </w14:solidFill>
          </w14:textFill>
        </w:rPr>
        <w:t>调查以浅水Ⅱ型浮游生物网进行垂直拖网，调查期间共发现浮游动物17类，分属于6大类，其中桡足类8种，莹虾类1种，毛颚类2种，被囊类1种，多毛类1种，浮游幼虫4种（类）。</w:t>
      </w:r>
    </w:p>
    <w:p>
      <w:pPr>
        <w:pStyle w:val="1075"/>
        <w:ind w:firstLine="437"/>
        <w:rPr>
          <w:color w:val="000000" w:themeColor="text1"/>
          <w14:textFill>
            <w14:solidFill>
              <w14:schemeClr w14:val="tx1"/>
            </w14:solidFill>
          </w14:textFill>
        </w:rPr>
      </w:pPr>
      <w:r>
        <w:rPr>
          <w:rFonts w:hint="eastAsia" w:ascii="宋体" w:hAnsi="宋体" w:cs="宋体"/>
          <w:color w:val="000000" w:themeColor="text1"/>
          <w14:textFill>
            <w14:solidFill>
              <w14:schemeClr w14:val="tx1"/>
            </w14:solidFill>
          </w14:textFill>
        </w:rPr>
        <w:t>②</w:t>
      </w:r>
      <w:r>
        <w:rPr>
          <w:color w:val="000000" w:themeColor="text1"/>
          <w14:textFill>
            <w14:solidFill>
              <w14:schemeClr w14:val="tx1"/>
            </w14:solidFill>
          </w14:textFill>
        </w:rPr>
        <w:t>数量及生物量</w:t>
      </w:r>
    </w:p>
    <w:p>
      <w:pPr>
        <w:pStyle w:val="1075"/>
        <w:ind w:firstLine="437"/>
        <w:rPr>
          <w:color w:val="000000" w:themeColor="text1"/>
          <w14:textFill>
            <w14:solidFill>
              <w14:schemeClr w14:val="tx1"/>
            </w14:solidFill>
          </w14:textFill>
        </w:rPr>
      </w:pPr>
      <w:r>
        <w:rPr>
          <w:color w:val="000000" w:themeColor="text1"/>
          <w14:textFill>
            <w14:solidFill>
              <w14:schemeClr w14:val="tx1"/>
            </w14:solidFill>
          </w14:textFill>
        </w:rPr>
        <w:t>调查期间，浮游动物数量变化范围从8号站的最低值467 个/m</w:t>
      </w:r>
      <w:r>
        <w:rPr>
          <w:color w:val="000000" w:themeColor="text1"/>
          <w:vertAlign w:val="superscript"/>
          <w14:textFill>
            <w14:solidFill>
              <w14:schemeClr w14:val="tx1"/>
            </w14:solidFill>
          </w14:textFill>
        </w:rPr>
        <w:t>3</w:t>
      </w:r>
      <w:r>
        <w:rPr>
          <w:color w:val="000000" w:themeColor="text1"/>
          <w14:textFill>
            <w14:solidFill>
              <w14:schemeClr w14:val="tx1"/>
            </w14:solidFill>
          </w14:textFill>
        </w:rPr>
        <w:t>到15号站的最高值5369个/m</w:t>
      </w:r>
      <w:r>
        <w:rPr>
          <w:color w:val="000000" w:themeColor="text1"/>
          <w:vertAlign w:val="superscript"/>
          <w14:textFill>
            <w14:solidFill>
              <w14:schemeClr w14:val="tx1"/>
            </w14:solidFill>
          </w14:textFill>
        </w:rPr>
        <w:t>3</w:t>
      </w:r>
      <w:r>
        <w:rPr>
          <w:color w:val="000000" w:themeColor="text1"/>
          <w14:textFill>
            <w14:solidFill>
              <w14:schemeClr w14:val="tx1"/>
            </w14:solidFill>
          </w14:textFill>
        </w:rPr>
        <w:t>，平均丰度为2161个/m</w:t>
      </w:r>
      <w:r>
        <w:rPr>
          <w:color w:val="000000" w:themeColor="text1"/>
          <w:vertAlign w:val="superscript"/>
          <w14:textFill>
            <w14:solidFill>
              <w14:schemeClr w14:val="tx1"/>
            </w14:solidFill>
          </w14:textFill>
        </w:rPr>
        <w:t>3</w:t>
      </w:r>
      <w:r>
        <w:rPr>
          <w:color w:val="000000" w:themeColor="text1"/>
          <w14:textFill>
            <w14:solidFill>
              <w14:schemeClr w14:val="tx1"/>
            </w14:solidFill>
          </w14:textFill>
        </w:rPr>
        <w:t>。浮游动物生物量范围从11号站的最低值263 mg/m</w:t>
      </w:r>
      <w:r>
        <w:rPr>
          <w:color w:val="000000" w:themeColor="text1"/>
          <w:vertAlign w:val="superscript"/>
          <w14:textFill>
            <w14:solidFill>
              <w14:schemeClr w14:val="tx1"/>
            </w14:solidFill>
          </w14:textFill>
        </w:rPr>
        <w:t>3</w:t>
      </w:r>
      <w:r>
        <w:rPr>
          <w:color w:val="000000" w:themeColor="text1"/>
          <w14:textFill>
            <w14:solidFill>
              <w14:schemeClr w14:val="tx1"/>
            </w14:solidFill>
          </w14:textFill>
        </w:rPr>
        <w:t>到15号站的最高值1562 mg/m</w:t>
      </w:r>
      <w:r>
        <w:rPr>
          <w:color w:val="000000" w:themeColor="text1"/>
          <w:vertAlign w:val="superscript"/>
          <w14:textFill>
            <w14:solidFill>
              <w14:schemeClr w14:val="tx1"/>
            </w14:solidFill>
          </w14:textFill>
        </w:rPr>
        <w:t>3</w:t>
      </w:r>
      <w:r>
        <w:rPr>
          <w:color w:val="000000" w:themeColor="text1"/>
          <w14:textFill>
            <w14:solidFill>
              <w14:schemeClr w14:val="tx1"/>
            </w14:solidFill>
          </w14:textFill>
        </w:rPr>
        <w:t>，平均生物量为735 mg/m</w:t>
      </w:r>
      <w:r>
        <w:rPr>
          <w:color w:val="000000" w:themeColor="text1"/>
          <w:vertAlign w:val="superscript"/>
          <w14:textFill>
            <w14:solidFill>
              <w14:schemeClr w14:val="tx1"/>
            </w14:solidFill>
          </w14:textFill>
        </w:rPr>
        <w:t>3</w:t>
      </w:r>
      <w:r>
        <w:rPr>
          <w:color w:val="000000" w:themeColor="text1"/>
          <w14:textFill>
            <w14:solidFill>
              <w14:schemeClr w14:val="tx1"/>
            </w14:solidFill>
          </w14:textFill>
        </w:rPr>
        <w:t xml:space="preserve">，详见浮游动物数量和生物量统计表。 </w:t>
      </w:r>
    </w:p>
    <w:p>
      <w:pPr>
        <w:pStyle w:val="384"/>
        <w:ind w:left="0" w:firstLine="528"/>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浮游动物丰度和生物量统计表</w:t>
      </w:r>
    </w:p>
    <w:p>
      <w:pPr>
        <w:pStyle w:val="1075"/>
        <w:ind w:firstLine="437"/>
        <w:rPr>
          <w:color w:val="000000" w:themeColor="text1"/>
          <w14:textFill>
            <w14:solidFill>
              <w14:schemeClr w14:val="tx1"/>
            </w14:solidFill>
          </w14:textFill>
        </w:rPr>
      </w:pPr>
      <w:r>
        <w:rPr>
          <w:rFonts w:hint="eastAsia" w:ascii="宋体" w:hAnsi="宋体" w:cs="宋体"/>
          <w:color w:val="000000" w:themeColor="text1"/>
          <w14:textFill>
            <w14:solidFill>
              <w14:schemeClr w14:val="tx1"/>
            </w14:solidFill>
          </w14:textFill>
        </w:rPr>
        <w:t>③</w:t>
      </w:r>
      <w:r>
        <w:rPr>
          <w:color w:val="000000" w:themeColor="text1"/>
          <w14:textFill>
            <w14:solidFill>
              <w14:schemeClr w14:val="tx1"/>
            </w14:solidFill>
          </w14:textFill>
        </w:rPr>
        <w:t>浮游动物生物学指标</w:t>
      </w:r>
    </w:p>
    <w:p>
      <w:pPr>
        <w:pStyle w:val="1075"/>
        <w:ind w:firstLine="437"/>
        <w:rPr>
          <w:color w:val="000000" w:themeColor="text1"/>
          <w14:textFill>
            <w14:solidFill>
              <w14:schemeClr w14:val="tx1"/>
            </w14:solidFill>
          </w14:textFill>
        </w:rPr>
      </w:pPr>
      <w:r>
        <w:rPr>
          <w:color w:val="000000" w:themeColor="text1"/>
          <w14:textFill>
            <w14:solidFill>
              <w14:schemeClr w14:val="tx1"/>
            </w14:solidFill>
          </w14:textFill>
        </w:rPr>
        <w:t>调查结果表明，多样性指数最高出现在18号站，其多样性指数为2.64，最低为7号站，多样性指数为0.57，调查期间各站位多样性指数平均值为1.90。调查期间，均匀度指数最高的是8号站，为0.89，最低的为7号站，为0.57，各站均匀度指数平均值为0.79，具体见浮游动物生物多样性与均匀度指数统计表。</w:t>
      </w:r>
    </w:p>
    <w:p>
      <w:pPr>
        <w:pStyle w:val="1075"/>
        <w:ind w:firstLine="437"/>
        <w:rPr>
          <w:color w:val="000000" w:themeColor="text1"/>
          <w14:textFill>
            <w14:solidFill>
              <w14:schemeClr w14:val="tx1"/>
            </w14:solidFill>
          </w14:textFill>
        </w:rPr>
      </w:pPr>
    </w:p>
    <w:p>
      <w:pPr>
        <w:pStyle w:val="1075"/>
        <w:ind w:firstLine="437"/>
        <w:rPr>
          <w:color w:val="000000" w:themeColor="text1"/>
          <w14:textFill>
            <w14:solidFill>
              <w14:schemeClr w14:val="tx1"/>
            </w14:solidFill>
          </w14:textFill>
        </w:rPr>
      </w:pPr>
    </w:p>
    <w:p>
      <w:pPr>
        <w:pStyle w:val="384"/>
        <w:ind w:left="0" w:firstLine="528"/>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多样性指数与均匀度指数表</w:t>
      </w:r>
    </w:p>
    <w:p>
      <w:pPr>
        <w:pStyle w:val="1075"/>
        <w:ind w:firstLine="437"/>
        <w:rPr>
          <w:color w:val="000000" w:themeColor="text1"/>
          <w14:textFill>
            <w14:solidFill>
              <w14:schemeClr w14:val="tx1"/>
            </w14:solidFill>
          </w14:textFill>
        </w:rPr>
      </w:pPr>
      <w:r>
        <w:rPr>
          <w:rFonts w:hint="eastAsia" w:ascii="宋体" w:hAnsi="宋体" w:cs="宋体"/>
          <w:color w:val="000000" w:themeColor="text1"/>
          <w14:textFill>
            <w14:solidFill>
              <w14:schemeClr w14:val="tx1"/>
            </w14:solidFill>
          </w14:textFill>
        </w:rPr>
        <w:t>④</w:t>
      </w:r>
      <w:r>
        <w:rPr>
          <w:color w:val="000000" w:themeColor="text1"/>
          <w14:textFill>
            <w14:solidFill>
              <w14:schemeClr w14:val="tx1"/>
            </w14:solidFill>
          </w14:textFill>
        </w:rPr>
        <w:t>浮游动物优势种</w:t>
      </w:r>
    </w:p>
    <w:p>
      <w:pPr>
        <w:ind w:firstLine="482"/>
        <w:rPr>
          <w:color w:val="000000" w:themeColor="text1"/>
          <w14:textFill>
            <w14:solidFill>
              <w14:schemeClr w14:val="tx1"/>
            </w14:solidFill>
          </w14:textFill>
        </w:rPr>
      </w:pPr>
      <w:r>
        <w:rPr>
          <w:color w:val="000000" w:themeColor="text1"/>
          <w14:textFill>
            <w14:solidFill>
              <w14:schemeClr w14:val="tx1"/>
            </w14:solidFill>
          </w14:textFill>
        </w:rPr>
        <w:t>根据物种优势度计算结果，在调查站位中共有4种优势种，具体见浮游动物优势种与优势度统计表。</w:t>
      </w:r>
    </w:p>
    <w:p>
      <w:pPr>
        <w:pStyle w:val="384"/>
        <w:ind w:left="0" w:firstLine="528"/>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浮游动物优势种与优势度统计表</w:t>
      </w:r>
    </w:p>
    <w:p>
      <w:pPr>
        <w:pStyle w:val="1075"/>
        <w:ind w:firstLine="437"/>
        <w:rPr>
          <w:color w:val="000000" w:themeColor="text1"/>
          <w14:textFill>
            <w14:solidFill>
              <w14:schemeClr w14:val="tx1"/>
            </w14:solidFill>
          </w14:textFill>
        </w:rPr>
      </w:pPr>
      <w:r>
        <w:rPr>
          <w:color w:val="000000" w:themeColor="text1"/>
          <w14:textFill>
            <w14:solidFill>
              <w14:schemeClr w14:val="tx1"/>
            </w14:solidFill>
          </w14:textFill>
        </w:rPr>
        <w:t>2）2022年4月</w:t>
      </w:r>
    </w:p>
    <w:p>
      <w:pPr>
        <w:pStyle w:val="1075"/>
        <w:ind w:firstLine="437"/>
        <w:rPr>
          <w:color w:val="000000" w:themeColor="text1"/>
          <w14:textFill>
            <w14:solidFill>
              <w14:schemeClr w14:val="tx1"/>
            </w14:solidFill>
          </w14:textFill>
        </w:rPr>
      </w:pPr>
      <w:r>
        <w:rPr>
          <w:rFonts w:hint="eastAsia" w:ascii="宋体" w:hAnsi="宋体" w:cs="宋体"/>
          <w:color w:val="000000" w:themeColor="text1"/>
          <w14:textFill>
            <w14:solidFill>
              <w14:schemeClr w14:val="tx1"/>
            </w14:solidFill>
          </w14:textFill>
        </w:rPr>
        <w:t>①</w:t>
      </w:r>
      <w:r>
        <w:rPr>
          <w:color w:val="000000" w:themeColor="text1"/>
          <w14:textFill>
            <w14:solidFill>
              <w14:schemeClr w14:val="tx1"/>
            </w14:solidFill>
          </w14:textFill>
        </w:rPr>
        <w:t>种类组成</w:t>
      </w:r>
    </w:p>
    <w:p>
      <w:pPr>
        <w:pStyle w:val="1075"/>
        <w:ind w:firstLine="437"/>
        <w:rPr>
          <w:color w:val="000000" w:themeColor="text1"/>
          <w14:textFill>
            <w14:solidFill>
              <w14:schemeClr w14:val="tx1"/>
            </w14:solidFill>
          </w14:textFill>
        </w:rPr>
      </w:pPr>
      <w:r>
        <w:rPr>
          <w:color w:val="000000" w:themeColor="text1"/>
          <w14:textFill>
            <w14:solidFill>
              <w14:schemeClr w14:val="tx1"/>
            </w14:solidFill>
          </w14:textFill>
        </w:rPr>
        <w:t>调查以浅水Ⅱ型浮游生物网进行垂直拖网，调查期间共发现浮游动物16种，分属于6大类，其中桡足类8种，毛颚类2种，枝角类1种，被囊类1种，多毛类1种，浮游幼虫3种（类）。</w:t>
      </w:r>
    </w:p>
    <w:p>
      <w:pPr>
        <w:pStyle w:val="1075"/>
        <w:ind w:firstLine="437"/>
        <w:rPr>
          <w:color w:val="000000" w:themeColor="text1"/>
          <w14:textFill>
            <w14:solidFill>
              <w14:schemeClr w14:val="tx1"/>
            </w14:solidFill>
          </w14:textFill>
        </w:rPr>
      </w:pPr>
      <w:r>
        <w:rPr>
          <w:rFonts w:hint="eastAsia" w:ascii="宋体" w:hAnsi="宋体" w:cs="宋体"/>
          <w:color w:val="000000" w:themeColor="text1"/>
          <w14:textFill>
            <w14:solidFill>
              <w14:schemeClr w14:val="tx1"/>
            </w14:solidFill>
          </w14:textFill>
        </w:rPr>
        <w:t>②</w:t>
      </w:r>
      <w:r>
        <w:rPr>
          <w:color w:val="000000" w:themeColor="text1"/>
          <w14:textFill>
            <w14:solidFill>
              <w14:schemeClr w14:val="tx1"/>
            </w14:solidFill>
          </w14:textFill>
        </w:rPr>
        <w:t>数量及生物量</w:t>
      </w:r>
    </w:p>
    <w:p>
      <w:pPr>
        <w:pStyle w:val="1075"/>
        <w:ind w:firstLine="437"/>
        <w:rPr>
          <w:color w:val="000000" w:themeColor="text1"/>
          <w14:textFill>
            <w14:solidFill>
              <w14:schemeClr w14:val="tx1"/>
            </w14:solidFill>
          </w14:textFill>
        </w:rPr>
      </w:pPr>
      <w:r>
        <w:rPr>
          <w:color w:val="000000" w:themeColor="text1"/>
          <w14:textFill>
            <w14:solidFill>
              <w14:schemeClr w14:val="tx1"/>
            </w14:solidFill>
          </w14:textFill>
        </w:rPr>
        <w:t>调查期间，浮游动物数量变化范围从10号站的最低值194个/m</w:t>
      </w:r>
      <w:r>
        <w:rPr>
          <w:color w:val="000000" w:themeColor="text1"/>
          <w:vertAlign w:val="superscript"/>
          <w14:textFill>
            <w14:solidFill>
              <w14:schemeClr w14:val="tx1"/>
            </w14:solidFill>
          </w14:textFill>
        </w:rPr>
        <w:t>3</w:t>
      </w:r>
      <w:r>
        <w:rPr>
          <w:color w:val="000000" w:themeColor="text1"/>
          <w14:textFill>
            <w14:solidFill>
              <w14:schemeClr w14:val="tx1"/>
            </w14:solidFill>
          </w14:textFill>
        </w:rPr>
        <w:t>到20号站的最高值3958个/m</w:t>
      </w:r>
      <w:r>
        <w:rPr>
          <w:color w:val="000000" w:themeColor="text1"/>
          <w:vertAlign w:val="superscript"/>
          <w14:textFill>
            <w14:solidFill>
              <w14:schemeClr w14:val="tx1"/>
            </w14:solidFill>
          </w14:textFill>
        </w:rPr>
        <w:t>3</w:t>
      </w:r>
      <w:r>
        <w:rPr>
          <w:color w:val="000000" w:themeColor="text1"/>
          <w14:textFill>
            <w14:solidFill>
              <w14:schemeClr w14:val="tx1"/>
            </w14:solidFill>
          </w14:textFill>
        </w:rPr>
        <w:t>，平均数量为1096个/m</w:t>
      </w:r>
      <w:r>
        <w:rPr>
          <w:color w:val="000000" w:themeColor="text1"/>
          <w:vertAlign w:val="superscript"/>
          <w14:textFill>
            <w14:solidFill>
              <w14:schemeClr w14:val="tx1"/>
            </w14:solidFill>
          </w14:textFill>
        </w:rPr>
        <w:t>3</w:t>
      </w:r>
      <w:r>
        <w:rPr>
          <w:color w:val="000000" w:themeColor="text1"/>
          <w14:textFill>
            <w14:solidFill>
              <w14:schemeClr w14:val="tx1"/>
            </w14:solidFill>
          </w14:textFill>
        </w:rPr>
        <w:t>。浮游动物生物量范围从10号站的最低值167 mg/m</w:t>
      </w:r>
      <w:r>
        <w:rPr>
          <w:color w:val="000000" w:themeColor="text1"/>
          <w:vertAlign w:val="superscript"/>
          <w14:textFill>
            <w14:solidFill>
              <w14:schemeClr w14:val="tx1"/>
            </w14:solidFill>
          </w14:textFill>
        </w:rPr>
        <w:t>3</w:t>
      </w:r>
      <w:r>
        <w:rPr>
          <w:color w:val="000000" w:themeColor="text1"/>
          <w14:textFill>
            <w14:solidFill>
              <w14:schemeClr w14:val="tx1"/>
            </w14:solidFill>
          </w14:textFill>
        </w:rPr>
        <w:t>到16号站的最高值880 mg/m</w:t>
      </w:r>
      <w:r>
        <w:rPr>
          <w:color w:val="000000" w:themeColor="text1"/>
          <w:vertAlign w:val="superscript"/>
          <w14:textFill>
            <w14:solidFill>
              <w14:schemeClr w14:val="tx1"/>
            </w14:solidFill>
          </w14:textFill>
        </w:rPr>
        <w:t>3</w:t>
      </w:r>
      <w:r>
        <w:rPr>
          <w:color w:val="000000" w:themeColor="text1"/>
          <w14:textFill>
            <w14:solidFill>
              <w14:schemeClr w14:val="tx1"/>
            </w14:solidFill>
          </w14:textFill>
        </w:rPr>
        <w:t>，平均生物量为412 mg/m</w:t>
      </w:r>
      <w:r>
        <w:rPr>
          <w:color w:val="000000" w:themeColor="text1"/>
          <w:vertAlign w:val="superscript"/>
          <w14:textFill>
            <w14:solidFill>
              <w14:schemeClr w14:val="tx1"/>
            </w14:solidFill>
          </w14:textFill>
        </w:rPr>
        <w:t>3</w:t>
      </w:r>
      <w:r>
        <w:rPr>
          <w:color w:val="000000" w:themeColor="text1"/>
          <w14:textFill>
            <w14:solidFill>
              <w14:schemeClr w14:val="tx1"/>
            </w14:solidFill>
          </w14:textFill>
        </w:rPr>
        <w:t>。</w:t>
      </w:r>
    </w:p>
    <w:p>
      <w:pPr>
        <w:pStyle w:val="1075"/>
        <w:ind w:firstLine="437"/>
        <w:rPr>
          <w:color w:val="000000" w:themeColor="text1"/>
          <w14:textFill>
            <w14:solidFill>
              <w14:schemeClr w14:val="tx1"/>
            </w14:solidFill>
          </w14:textFill>
        </w:rPr>
      </w:pPr>
    </w:p>
    <w:p>
      <w:pPr>
        <w:pStyle w:val="1075"/>
        <w:ind w:firstLine="437"/>
        <w:rPr>
          <w:color w:val="000000" w:themeColor="text1"/>
          <w14:textFill>
            <w14:solidFill>
              <w14:schemeClr w14:val="tx1"/>
            </w14:solidFill>
          </w14:textFill>
        </w:rPr>
      </w:pPr>
    </w:p>
    <w:p>
      <w:pPr>
        <w:pStyle w:val="384"/>
        <w:ind w:left="0" w:firstLine="528"/>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浮游动物丰度和生物量统计表（2022年4月）</w:t>
      </w:r>
    </w:p>
    <w:p>
      <w:pPr>
        <w:pStyle w:val="1075"/>
        <w:ind w:firstLine="437"/>
        <w:rPr>
          <w:color w:val="000000" w:themeColor="text1"/>
          <w14:textFill>
            <w14:solidFill>
              <w14:schemeClr w14:val="tx1"/>
            </w14:solidFill>
          </w14:textFill>
        </w:rPr>
      </w:pPr>
      <w:r>
        <w:rPr>
          <w:rFonts w:hint="eastAsia" w:ascii="宋体" w:hAnsi="宋体" w:cs="宋体"/>
          <w:color w:val="000000" w:themeColor="text1"/>
          <w14:textFill>
            <w14:solidFill>
              <w14:schemeClr w14:val="tx1"/>
            </w14:solidFill>
          </w14:textFill>
        </w:rPr>
        <w:t>③</w:t>
      </w:r>
      <w:r>
        <w:rPr>
          <w:color w:val="000000" w:themeColor="text1"/>
          <w14:textFill>
            <w14:solidFill>
              <w14:schemeClr w14:val="tx1"/>
            </w14:solidFill>
          </w14:textFill>
        </w:rPr>
        <w:t>浮游动物生物学指标</w:t>
      </w:r>
    </w:p>
    <w:p>
      <w:pPr>
        <w:pStyle w:val="1075"/>
        <w:ind w:firstLine="437"/>
        <w:rPr>
          <w:color w:val="000000" w:themeColor="text1"/>
          <w14:textFill>
            <w14:solidFill>
              <w14:schemeClr w14:val="tx1"/>
            </w14:solidFill>
          </w14:textFill>
        </w:rPr>
      </w:pPr>
      <w:r>
        <w:rPr>
          <w:color w:val="000000" w:themeColor="text1"/>
          <w14:textFill>
            <w14:solidFill>
              <w14:schemeClr w14:val="tx1"/>
            </w14:solidFill>
          </w14:textFill>
        </w:rPr>
        <w:t>调查结果表明，多样性指数最高出现在17号站，其多样性指数为1.87，最低为18号站，多样性指数为0.93，调查期间各站位多样性指数平均值为1.39。调查期间，均匀度指数最高的是6号站和10号站，为0.98，最低的为18号站，为0.59，各站均匀度指数平均值为0.79。</w:t>
      </w:r>
    </w:p>
    <w:p>
      <w:pPr>
        <w:pStyle w:val="384"/>
        <w:ind w:left="0" w:firstLine="528"/>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多样性指数与均匀度指数表（2022年4月）</w:t>
      </w:r>
    </w:p>
    <w:p>
      <w:pPr>
        <w:pStyle w:val="1075"/>
        <w:ind w:firstLine="437"/>
        <w:rPr>
          <w:color w:val="000000" w:themeColor="text1"/>
          <w14:textFill>
            <w14:solidFill>
              <w14:schemeClr w14:val="tx1"/>
            </w14:solidFill>
          </w14:textFill>
        </w:rPr>
      </w:pPr>
      <w:r>
        <w:rPr>
          <w:rFonts w:hint="eastAsia" w:ascii="宋体" w:hAnsi="宋体" w:cs="宋体"/>
          <w:color w:val="000000" w:themeColor="text1"/>
          <w14:textFill>
            <w14:solidFill>
              <w14:schemeClr w14:val="tx1"/>
            </w14:solidFill>
          </w14:textFill>
        </w:rPr>
        <w:t>④</w:t>
      </w:r>
      <w:r>
        <w:rPr>
          <w:color w:val="000000" w:themeColor="text1"/>
          <w14:textFill>
            <w14:solidFill>
              <w14:schemeClr w14:val="tx1"/>
            </w14:solidFill>
          </w14:textFill>
        </w:rPr>
        <w:t>浮游动物优势种</w:t>
      </w:r>
    </w:p>
    <w:p>
      <w:pPr>
        <w:pStyle w:val="1075"/>
        <w:ind w:firstLine="437"/>
        <w:rPr>
          <w:color w:val="000000" w:themeColor="text1"/>
          <w14:textFill>
            <w14:solidFill>
              <w14:schemeClr w14:val="tx1"/>
            </w14:solidFill>
          </w14:textFill>
        </w:rPr>
      </w:pPr>
      <w:r>
        <w:rPr>
          <w:color w:val="000000" w:themeColor="text1"/>
          <w14:textFill>
            <w14:solidFill>
              <w14:schemeClr w14:val="tx1"/>
            </w14:solidFill>
          </w14:textFill>
        </w:rPr>
        <w:t>根据物种优势度计算结果，在调查站位中共有4种优势种，具体见浮游动物优势种与优势度统计表。</w:t>
      </w:r>
    </w:p>
    <w:p>
      <w:pPr>
        <w:pStyle w:val="1075"/>
        <w:ind w:firstLine="437"/>
        <w:rPr>
          <w:color w:val="000000" w:themeColor="text1"/>
          <w14:textFill>
            <w14:solidFill>
              <w14:schemeClr w14:val="tx1"/>
            </w14:solidFill>
          </w14:textFill>
        </w:rPr>
      </w:pPr>
    </w:p>
    <w:p>
      <w:pPr>
        <w:pStyle w:val="1075"/>
        <w:ind w:firstLine="437"/>
        <w:rPr>
          <w:color w:val="000000" w:themeColor="text1"/>
          <w14:textFill>
            <w14:solidFill>
              <w14:schemeClr w14:val="tx1"/>
            </w14:solidFill>
          </w14:textFill>
        </w:rPr>
      </w:pPr>
    </w:p>
    <w:p>
      <w:pPr>
        <w:pStyle w:val="384"/>
        <w:ind w:left="0" w:firstLine="528"/>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浮游动物优势种与优势度统计表</w:t>
      </w:r>
    </w:p>
    <w:p>
      <w:pPr>
        <w:pStyle w:val="1075"/>
        <w:ind w:firstLine="437"/>
        <w:rPr>
          <w:color w:val="000000" w:themeColor="text1"/>
          <w14:textFill>
            <w14:solidFill>
              <w14:schemeClr w14:val="tx1"/>
            </w14:solidFill>
          </w14:textFill>
        </w:rPr>
      </w:pPr>
      <w:r>
        <w:rPr>
          <w:color w:val="000000" w:themeColor="text1"/>
          <w14:textFill>
            <w14:solidFill>
              <w14:schemeClr w14:val="tx1"/>
            </w14:solidFill>
          </w14:textFill>
        </w:rPr>
        <w:t>（4）底栖生物</w:t>
      </w:r>
    </w:p>
    <w:p>
      <w:pPr>
        <w:pStyle w:val="1075"/>
        <w:ind w:firstLine="437"/>
        <w:rPr>
          <w:color w:val="000000" w:themeColor="text1"/>
          <w14:textFill>
            <w14:solidFill>
              <w14:schemeClr w14:val="tx1"/>
            </w14:solidFill>
          </w14:textFill>
        </w:rPr>
      </w:pPr>
      <w:r>
        <w:rPr>
          <w:color w:val="000000" w:themeColor="text1"/>
          <w14:textFill>
            <w14:solidFill>
              <w14:schemeClr w14:val="tx1"/>
            </w14:solidFill>
          </w14:textFill>
        </w:rPr>
        <w:t>1）2021年11月</w:t>
      </w:r>
    </w:p>
    <w:p>
      <w:pPr>
        <w:pStyle w:val="1075"/>
        <w:ind w:firstLine="437"/>
        <w:rPr>
          <w:color w:val="000000" w:themeColor="text1"/>
          <w14:textFill>
            <w14:solidFill>
              <w14:schemeClr w14:val="tx1"/>
            </w14:solidFill>
          </w14:textFill>
        </w:rPr>
      </w:pPr>
      <w:r>
        <w:rPr>
          <w:rFonts w:hint="eastAsia" w:ascii="宋体" w:hAnsi="宋体" w:cs="宋体"/>
          <w:color w:val="000000" w:themeColor="text1"/>
          <w14:textFill>
            <w14:solidFill>
              <w14:schemeClr w14:val="tx1"/>
            </w14:solidFill>
          </w14:textFill>
        </w:rPr>
        <w:t>①</w:t>
      </w:r>
      <w:r>
        <w:rPr>
          <w:color w:val="000000" w:themeColor="text1"/>
          <w14:textFill>
            <w14:solidFill>
              <w14:schemeClr w14:val="tx1"/>
            </w14:solidFill>
          </w14:textFill>
        </w:rPr>
        <w:t>种类组成</w:t>
      </w:r>
    </w:p>
    <w:p>
      <w:pPr>
        <w:pStyle w:val="1075"/>
        <w:ind w:firstLine="437"/>
        <w:rPr>
          <w:color w:val="000000" w:themeColor="text1"/>
          <w14:textFill>
            <w14:solidFill>
              <w14:schemeClr w14:val="tx1"/>
            </w14:solidFill>
          </w14:textFill>
        </w:rPr>
      </w:pPr>
      <w:r>
        <w:rPr>
          <w:color w:val="000000" w:themeColor="text1"/>
          <w14:textFill>
            <w14:solidFill>
              <w14:schemeClr w14:val="tx1"/>
            </w14:solidFill>
          </w14:textFill>
        </w:rPr>
        <w:t>共采集到底栖动物21种，其中软体动物最多，为6种，占总种数28.6%；其次为多毛类和节肢动物，各为5种，占总种数23.8%，第三为脊索动物，为3种，占14.3%，第四为纽形动物和星虫动物，各为1种，占总种数4.8%。多毛类、节肢动物、软体动物为调查区域底栖动物主要组成类群。</w:t>
      </w:r>
    </w:p>
    <w:p>
      <w:pPr>
        <w:pStyle w:val="1075"/>
        <w:ind w:firstLine="437"/>
        <w:rPr>
          <w:color w:val="000000" w:themeColor="text1"/>
          <w14:textFill>
            <w14:solidFill>
              <w14:schemeClr w14:val="tx1"/>
            </w14:solidFill>
          </w14:textFill>
        </w:rPr>
      </w:pPr>
      <w:r>
        <w:rPr>
          <w:rFonts w:hint="eastAsia" w:ascii="宋体" w:hAnsi="宋体" w:cs="宋体"/>
          <w:color w:val="000000" w:themeColor="text1"/>
          <w14:textFill>
            <w14:solidFill>
              <w14:schemeClr w14:val="tx1"/>
            </w14:solidFill>
          </w14:textFill>
        </w:rPr>
        <w:t>②</w:t>
      </w:r>
      <w:r>
        <w:rPr>
          <w:color w:val="000000" w:themeColor="text1"/>
          <w14:textFill>
            <w14:solidFill>
              <w14:schemeClr w14:val="tx1"/>
            </w14:solidFill>
          </w14:textFill>
        </w:rPr>
        <w:t>密度和生物量分布</w:t>
      </w:r>
    </w:p>
    <w:p>
      <w:pPr>
        <w:pStyle w:val="1075"/>
        <w:ind w:firstLine="437"/>
        <w:rPr>
          <w:color w:val="000000" w:themeColor="text1"/>
          <w14:textFill>
            <w14:solidFill>
              <w14:schemeClr w14:val="tx1"/>
            </w14:solidFill>
          </w14:textFill>
        </w:rPr>
      </w:pPr>
      <w:r>
        <w:rPr>
          <w:color w:val="000000" w:themeColor="text1"/>
          <w14:textFill>
            <w14:solidFill>
              <w14:schemeClr w14:val="tx1"/>
            </w14:solidFill>
          </w14:textFill>
        </w:rPr>
        <w:t>各站底栖动物密度分布范围为（0～141）个/m</w:t>
      </w:r>
      <w:r>
        <w:rPr>
          <w:color w:val="000000" w:themeColor="text1"/>
          <w:vertAlign w:val="superscript"/>
          <w14:textFill>
            <w14:solidFill>
              <w14:schemeClr w14:val="tx1"/>
            </w14:solidFill>
          </w14:textFill>
        </w:rPr>
        <w:t>2</w:t>
      </w:r>
      <w:r>
        <w:rPr>
          <w:color w:val="000000" w:themeColor="text1"/>
          <w14:textFill>
            <w14:solidFill>
              <w14:schemeClr w14:val="tx1"/>
            </w14:solidFill>
          </w14:textFill>
        </w:rPr>
        <w:t>，平均为36个/m</w:t>
      </w:r>
      <w:r>
        <w:rPr>
          <w:color w:val="000000" w:themeColor="text1"/>
          <w:vertAlign w:val="superscript"/>
          <w14:textFill>
            <w14:solidFill>
              <w14:schemeClr w14:val="tx1"/>
            </w14:solidFill>
          </w14:textFill>
        </w:rPr>
        <w:t>2</w:t>
      </w:r>
      <w:r>
        <w:rPr>
          <w:color w:val="000000" w:themeColor="text1"/>
          <w14:textFill>
            <w14:solidFill>
              <w14:schemeClr w14:val="tx1"/>
            </w14:solidFill>
          </w14:textFill>
        </w:rPr>
        <w:t>，栖息密度最高的为18号站，其次为6号站，最低的为3号站。生物量分布范围为（0～66.56）g/m</w:t>
      </w:r>
      <w:r>
        <w:rPr>
          <w:color w:val="000000" w:themeColor="text1"/>
          <w:vertAlign w:val="superscript"/>
          <w14:textFill>
            <w14:solidFill>
              <w14:schemeClr w14:val="tx1"/>
            </w14:solidFill>
          </w14:textFill>
        </w:rPr>
        <w:t>2</w:t>
      </w:r>
      <w:r>
        <w:rPr>
          <w:color w:val="000000" w:themeColor="text1"/>
          <w14:textFill>
            <w14:solidFill>
              <w14:schemeClr w14:val="tx1"/>
            </w14:solidFill>
          </w14:textFill>
        </w:rPr>
        <w:t>，平均为9.10g/m</w:t>
      </w:r>
      <w:r>
        <w:rPr>
          <w:color w:val="000000" w:themeColor="text1"/>
          <w:vertAlign w:val="superscript"/>
          <w14:textFill>
            <w14:solidFill>
              <w14:schemeClr w14:val="tx1"/>
            </w14:solidFill>
          </w14:textFill>
        </w:rPr>
        <w:t>2</w:t>
      </w:r>
      <w:r>
        <w:rPr>
          <w:color w:val="000000" w:themeColor="text1"/>
          <w14:textFill>
            <w14:solidFill>
              <w14:schemeClr w14:val="tx1"/>
            </w14:solidFill>
          </w14:textFill>
        </w:rPr>
        <w:t>。生物量最高的是6号站，最低的为3号站。</w:t>
      </w:r>
    </w:p>
    <w:p>
      <w:pPr>
        <w:pStyle w:val="384"/>
        <w:ind w:left="0" w:firstLine="528"/>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各站底栖生物密度和生物量</w:t>
      </w:r>
    </w:p>
    <w:p>
      <w:pPr>
        <w:pStyle w:val="1075"/>
        <w:ind w:firstLine="437"/>
        <w:rPr>
          <w:color w:val="000000" w:themeColor="text1"/>
          <w14:textFill>
            <w14:solidFill>
              <w14:schemeClr w14:val="tx1"/>
            </w14:solidFill>
          </w14:textFill>
        </w:rPr>
      </w:pPr>
      <w:r>
        <w:rPr>
          <w:rFonts w:hint="eastAsia" w:ascii="宋体" w:hAnsi="宋体" w:cs="宋体"/>
          <w:color w:val="000000" w:themeColor="text1"/>
          <w14:textFill>
            <w14:solidFill>
              <w14:schemeClr w14:val="tx1"/>
            </w14:solidFill>
          </w14:textFill>
        </w:rPr>
        <w:t>③</w:t>
      </w:r>
      <w:r>
        <w:rPr>
          <w:color w:val="000000" w:themeColor="text1"/>
          <w14:textFill>
            <w14:solidFill>
              <w14:schemeClr w14:val="tx1"/>
            </w14:solidFill>
          </w14:textFill>
        </w:rPr>
        <w:t>底栖动物生物学指标</w:t>
      </w:r>
    </w:p>
    <w:p>
      <w:pPr>
        <w:pStyle w:val="384"/>
        <w:ind w:left="0" w:firstLine="528"/>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各站底栖动物生物学指标</w:t>
      </w:r>
    </w:p>
    <w:p>
      <w:pPr>
        <w:pStyle w:val="1075"/>
        <w:ind w:firstLine="437"/>
        <w:rPr>
          <w:color w:val="000000" w:themeColor="text1"/>
          <w14:textFill>
            <w14:solidFill>
              <w14:schemeClr w14:val="tx1"/>
            </w14:solidFill>
          </w14:textFill>
        </w:rPr>
      </w:pPr>
      <w:r>
        <w:rPr>
          <w:color w:val="000000" w:themeColor="text1"/>
          <w14:textFill>
            <w14:solidFill>
              <w14:schemeClr w14:val="tx1"/>
            </w14:solidFill>
          </w14:textFill>
        </w:rPr>
        <w:t>2）2022年4月</w:t>
      </w:r>
    </w:p>
    <w:p>
      <w:pPr>
        <w:pStyle w:val="1075"/>
        <w:ind w:firstLine="437"/>
        <w:rPr>
          <w:color w:val="000000" w:themeColor="text1"/>
          <w14:textFill>
            <w14:solidFill>
              <w14:schemeClr w14:val="tx1"/>
            </w14:solidFill>
          </w14:textFill>
        </w:rPr>
      </w:pPr>
      <w:r>
        <w:rPr>
          <w:rFonts w:hint="eastAsia" w:ascii="宋体" w:hAnsi="宋体" w:cs="宋体"/>
          <w:color w:val="000000" w:themeColor="text1"/>
          <w14:textFill>
            <w14:solidFill>
              <w14:schemeClr w14:val="tx1"/>
            </w14:solidFill>
          </w14:textFill>
        </w:rPr>
        <w:t>①</w:t>
      </w:r>
      <w:r>
        <w:rPr>
          <w:color w:val="000000" w:themeColor="text1"/>
          <w14:textFill>
            <w14:solidFill>
              <w14:schemeClr w14:val="tx1"/>
            </w14:solidFill>
          </w14:textFill>
        </w:rPr>
        <w:t>种类组成</w:t>
      </w:r>
    </w:p>
    <w:p>
      <w:pPr>
        <w:pStyle w:val="1075"/>
        <w:ind w:firstLine="437"/>
        <w:rPr>
          <w:color w:val="000000" w:themeColor="text1"/>
          <w14:textFill>
            <w14:solidFill>
              <w14:schemeClr w14:val="tx1"/>
            </w14:solidFill>
          </w14:textFill>
        </w:rPr>
      </w:pPr>
      <w:r>
        <w:rPr>
          <w:color w:val="000000" w:themeColor="text1"/>
          <w14:textFill>
            <w14:solidFill>
              <w14:schemeClr w14:val="tx1"/>
            </w14:solidFill>
          </w14:textFill>
        </w:rPr>
        <w:t>共采集到底栖动物19种，其中多毛类最多，为10种，占总种数52.6%；其次为软体动物，为5种，占总种数26.3%，第三为节肢动物，为2种，占10.5%，第四为纽形动物和星虫动物，各为1种，各占总种数5.3%。多毛类、节肢动物调查区域底栖动物主要组成类群。</w:t>
      </w:r>
    </w:p>
    <w:p>
      <w:pPr>
        <w:pStyle w:val="1075"/>
        <w:ind w:firstLine="437"/>
        <w:rPr>
          <w:color w:val="000000" w:themeColor="text1"/>
          <w14:textFill>
            <w14:solidFill>
              <w14:schemeClr w14:val="tx1"/>
            </w14:solidFill>
          </w14:textFill>
        </w:rPr>
      </w:pPr>
      <w:r>
        <w:rPr>
          <w:rFonts w:hint="eastAsia" w:ascii="宋体" w:hAnsi="宋体" w:cs="宋体"/>
          <w:color w:val="000000" w:themeColor="text1"/>
          <w14:textFill>
            <w14:solidFill>
              <w14:schemeClr w14:val="tx1"/>
            </w14:solidFill>
          </w14:textFill>
        </w:rPr>
        <w:t>②</w:t>
      </w:r>
      <w:r>
        <w:rPr>
          <w:color w:val="000000" w:themeColor="text1"/>
          <w14:textFill>
            <w14:solidFill>
              <w14:schemeClr w14:val="tx1"/>
            </w14:solidFill>
          </w14:textFill>
        </w:rPr>
        <w:t>密度和生物量</w:t>
      </w:r>
    </w:p>
    <w:p>
      <w:pPr>
        <w:pStyle w:val="1075"/>
        <w:ind w:firstLine="437"/>
        <w:rPr>
          <w:color w:val="000000" w:themeColor="text1"/>
          <w14:textFill>
            <w14:solidFill>
              <w14:schemeClr w14:val="tx1"/>
            </w14:solidFill>
          </w14:textFill>
        </w:rPr>
      </w:pPr>
      <w:r>
        <w:rPr>
          <w:color w:val="000000" w:themeColor="text1"/>
          <w14:textFill>
            <w14:solidFill>
              <w14:schemeClr w14:val="tx1"/>
            </w14:solidFill>
          </w14:textFill>
        </w:rPr>
        <w:t>各站底栖动物密度分布范围为（0～1563）个/m</w:t>
      </w:r>
      <w:r>
        <w:rPr>
          <w:color w:val="000000" w:themeColor="text1"/>
          <w:vertAlign w:val="superscript"/>
          <w14:textFill>
            <w14:solidFill>
              <w14:schemeClr w14:val="tx1"/>
            </w14:solidFill>
          </w14:textFill>
        </w:rPr>
        <w:t>2</w:t>
      </w:r>
      <w:r>
        <w:rPr>
          <w:color w:val="000000" w:themeColor="text1"/>
          <w14:textFill>
            <w14:solidFill>
              <w14:schemeClr w14:val="tx1"/>
            </w14:solidFill>
          </w14:textFill>
        </w:rPr>
        <w:t>，平均为339个/m</w:t>
      </w:r>
      <w:r>
        <w:rPr>
          <w:color w:val="000000" w:themeColor="text1"/>
          <w:vertAlign w:val="superscript"/>
          <w14:textFill>
            <w14:solidFill>
              <w14:schemeClr w14:val="tx1"/>
            </w14:solidFill>
          </w14:textFill>
        </w:rPr>
        <w:t>2</w:t>
      </w:r>
      <w:r>
        <w:rPr>
          <w:color w:val="000000" w:themeColor="text1"/>
          <w14:textFill>
            <w14:solidFill>
              <w14:schemeClr w14:val="tx1"/>
            </w14:solidFill>
          </w14:textFill>
        </w:rPr>
        <w:t>，栖息密度最高的为16号站和18号站，最低的为1号站和17号站。生物量分布范围为（0～1302.81）</w:t>
      </w:r>
      <w:r>
        <w:rPr>
          <w:color w:val="000000" w:themeColor="text1"/>
          <w:kern w:val="0"/>
          <w14:textFill>
            <w14:solidFill>
              <w14:schemeClr w14:val="tx1"/>
            </w14:solidFill>
          </w14:textFill>
        </w:rPr>
        <w:t>g/m</w:t>
      </w:r>
      <w:r>
        <w:rPr>
          <w:color w:val="000000" w:themeColor="text1"/>
          <w:kern w:val="0"/>
          <w:vertAlign w:val="superscript"/>
          <w14:textFill>
            <w14:solidFill>
              <w14:schemeClr w14:val="tx1"/>
            </w14:solidFill>
          </w14:textFill>
        </w:rPr>
        <w:t>2</w:t>
      </w:r>
      <w:r>
        <w:rPr>
          <w:color w:val="000000" w:themeColor="text1"/>
          <w14:textFill>
            <w14:solidFill>
              <w14:schemeClr w14:val="tx1"/>
            </w14:solidFill>
          </w14:textFill>
        </w:rPr>
        <w:t>，平均为223.12</w:t>
      </w:r>
      <w:r>
        <w:rPr>
          <w:color w:val="000000" w:themeColor="text1"/>
          <w:kern w:val="0"/>
          <w14:textFill>
            <w14:solidFill>
              <w14:schemeClr w14:val="tx1"/>
            </w14:solidFill>
          </w14:textFill>
        </w:rPr>
        <w:t>g/m</w:t>
      </w:r>
      <w:r>
        <w:rPr>
          <w:color w:val="000000" w:themeColor="text1"/>
          <w:kern w:val="0"/>
          <w:vertAlign w:val="superscript"/>
          <w14:textFill>
            <w14:solidFill>
              <w14:schemeClr w14:val="tx1"/>
            </w14:solidFill>
          </w14:textFill>
        </w:rPr>
        <w:t>2</w:t>
      </w:r>
      <w:r>
        <w:rPr>
          <w:color w:val="000000" w:themeColor="text1"/>
          <w14:textFill>
            <w14:solidFill>
              <w14:schemeClr w14:val="tx1"/>
            </w14:solidFill>
          </w14:textFill>
        </w:rPr>
        <w:t>。生物量最高的为18号站，最低的为1号站和17号站。</w:t>
      </w:r>
    </w:p>
    <w:p>
      <w:pPr>
        <w:pStyle w:val="384"/>
        <w:ind w:left="0" w:firstLine="528"/>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各站底栖生物密度和生物量（2022年4月）</w:t>
      </w:r>
    </w:p>
    <w:p>
      <w:pPr>
        <w:pStyle w:val="1075"/>
        <w:ind w:firstLine="437"/>
        <w:rPr>
          <w:color w:val="000000" w:themeColor="text1"/>
          <w14:textFill>
            <w14:solidFill>
              <w14:schemeClr w14:val="tx1"/>
            </w14:solidFill>
          </w14:textFill>
        </w:rPr>
      </w:pPr>
      <w:r>
        <w:rPr>
          <w:rFonts w:hint="eastAsia" w:ascii="宋体" w:hAnsi="宋体" w:cs="宋体"/>
          <w:color w:val="000000" w:themeColor="text1"/>
          <w14:textFill>
            <w14:solidFill>
              <w14:schemeClr w14:val="tx1"/>
            </w14:solidFill>
          </w14:textFill>
        </w:rPr>
        <w:t>③</w:t>
      </w:r>
      <w:r>
        <w:rPr>
          <w:color w:val="000000" w:themeColor="text1"/>
          <w14:textFill>
            <w14:solidFill>
              <w14:schemeClr w14:val="tx1"/>
            </w14:solidFill>
          </w14:textFill>
        </w:rPr>
        <w:t>生物多样性评价</w:t>
      </w:r>
    </w:p>
    <w:p>
      <w:pPr>
        <w:pStyle w:val="1075"/>
        <w:ind w:firstLine="437"/>
        <w:rPr>
          <w:color w:val="000000" w:themeColor="text1"/>
          <w14:textFill>
            <w14:solidFill>
              <w14:schemeClr w14:val="tx1"/>
            </w14:solidFill>
          </w14:textFill>
        </w:rPr>
      </w:pPr>
      <w:r>
        <w:rPr>
          <w:color w:val="000000" w:themeColor="text1"/>
          <w14:textFill>
            <w14:solidFill>
              <w14:schemeClr w14:val="tx1"/>
            </w14:solidFill>
          </w14:textFill>
        </w:rPr>
        <w:t>生物多样性评价方法同潮间带生物，对种类数2以上的站点计算生物多样性指数。</w:t>
      </w:r>
    </w:p>
    <w:p>
      <w:pPr>
        <w:pStyle w:val="1075"/>
        <w:ind w:firstLine="437"/>
        <w:rPr>
          <w:color w:val="000000" w:themeColor="text1"/>
          <w14:textFill>
            <w14:solidFill>
              <w14:schemeClr w14:val="tx1"/>
            </w14:solidFill>
          </w14:textFill>
        </w:rPr>
      </w:pPr>
    </w:p>
    <w:p>
      <w:pPr>
        <w:pStyle w:val="384"/>
        <w:ind w:left="0" w:firstLine="528"/>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各站生物多样性指数（20</w:t>
      </w:r>
      <w:r>
        <w:rPr>
          <w:rFonts w:hint="eastAsia" w:cs="Times New Roman"/>
          <w:color w:val="000000" w:themeColor="text1"/>
          <w14:textFill>
            <w14:solidFill>
              <w14:schemeClr w14:val="tx1"/>
            </w14:solidFill>
          </w14:textFill>
        </w:rPr>
        <w:t>22</w:t>
      </w:r>
      <w:r>
        <w:rPr>
          <w:rFonts w:cs="Times New Roman"/>
          <w:color w:val="000000" w:themeColor="text1"/>
          <w14:textFill>
            <w14:solidFill>
              <w14:schemeClr w14:val="tx1"/>
            </w14:solidFill>
          </w14:textFill>
        </w:rPr>
        <w:t>年</w:t>
      </w:r>
      <w:r>
        <w:rPr>
          <w:rFonts w:hint="eastAsia" w:cs="Times New Roman"/>
          <w:color w:val="000000" w:themeColor="text1"/>
          <w14:textFill>
            <w14:solidFill>
              <w14:schemeClr w14:val="tx1"/>
            </w14:solidFill>
          </w14:textFill>
        </w:rPr>
        <w:t>4</w:t>
      </w:r>
      <w:r>
        <w:rPr>
          <w:rFonts w:cs="Times New Roman"/>
          <w:color w:val="000000" w:themeColor="text1"/>
          <w14:textFill>
            <w14:solidFill>
              <w14:schemeClr w14:val="tx1"/>
            </w14:solidFill>
          </w14:textFill>
        </w:rPr>
        <w:t>月）</w:t>
      </w:r>
    </w:p>
    <w:p>
      <w:pPr>
        <w:pStyle w:val="1075"/>
        <w:ind w:firstLine="437"/>
        <w:rPr>
          <w:color w:val="000000" w:themeColor="text1"/>
          <w14:textFill>
            <w14:solidFill>
              <w14:schemeClr w14:val="tx1"/>
            </w14:solidFill>
          </w14:textFill>
        </w:rPr>
      </w:pPr>
      <w:r>
        <w:rPr>
          <w:color w:val="000000" w:themeColor="text1"/>
          <w14:textFill>
            <w14:solidFill>
              <w14:schemeClr w14:val="tx1"/>
            </w14:solidFill>
          </w14:textFill>
        </w:rPr>
        <w:t>（5）潮间带生物</w:t>
      </w:r>
    </w:p>
    <w:p>
      <w:pPr>
        <w:pStyle w:val="1075"/>
        <w:ind w:firstLine="437"/>
        <w:rPr>
          <w:color w:val="000000" w:themeColor="text1"/>
          <w14:textFill>
            <w14:solidFill>
              <w14:schemeClr w14:val="tx1"/>
            </w14:solidFill>
          </w14:textFill>
        </w:rPr>
      </w:pPr>
      <w:r>
        <w:rPr>
          <w:color w:val="000000" w:themeColor="text1"/>
          <w14:textFill>
            <w14:solidFill>
              <w14:schemeClr w14:val="tx1"/>
            </w14:solidFill>
          </w14:textFill>
        </w:rPr>
        <w:t>1）2021年11月</w:t>
      </w:r>
    </w:p>
    <w:p>
      <w:pPr>
        <w:pStyle w:val="1075"/>
        <w:ind w:firstLine="437"/>
        <w:rPr>
          <w:color w:val="000000" w:themeColor="text1"/>
          <w14:textFill>
            <w14:solidFill>
              <w14:schemeClr w14:val="tx1"/>
            </w14:solidFill>
          </w14:textFill>
        </w:rPr>
      </w:pPr>
      <w:r>
        <w:rPr>
          <w:rFonts w:hint="eastAsia" w:ascii="宋体" w:hAnsi="宋体" w:cs="宋体"/>
          <w:color w:val="000000" w:themeColor="text1"/>
          <w14:textFill>
            <w14:solidFill>
              <w14:schemeClr w14:val="tx1"/>
            </w14:solidFill>
          </w14:textFill>
        </w:rPr>
        <w:t>①</w:t>
      </w:r>
      <w:r>
        <w:rPr>
          <w:color w:val="000000" w:themeColor="text1"/>
          <w14:textFill>
            <w14:solidFill>
              <w14:schemeClr w14:val="tx1"/>
            </w14:solidFill>
          </w14:textFill>
        </w:rPr>
        <w:t>种类和类群组成</w:t>
      </w:r>
    </w:p>
    <w:p>
      <w:pPr>
        <w:pStyle w:val="1075"/>
        <w:ind w:firstLine="437"/>
        <w:rPr>
          <w:color w:val="000000" w:themeColor="text1"/>
          <w14:textFill>
            <w14:solidFill>
              <w14:schemeClr w14:val="tx1"/>
            </w14:solidFill>
          </w14:textFill>
        </w:rPr>
      </w:pPr>
      <w:r>
        <w:rPr>
          <w:color w:val="000000" w:themeColor="text1"/>
          <w14:textFill>
            <w14:solidFill>
              <w14:schemeClr w14:val="tx1"/>
            </w14:solidFill>
          </w14:textFill>
        </w:rPr>
        <w:t>共采集到潮间带动物52种，其中节肢动物、软体动物各17种，多毛类13种，纽形动物、脊索动物、星虫动物、棘皮动物和刺胞动物各1种。</w:t>
      </w:r>
    </w:p>
    <w:p>
      <w:pPr>
        <w:pStyle w:val="1075"/>
        <w:ind w:firstLine="437"/>
        <w:rPr>
          <w:color w:val="000000" w:themeColor="text1"/>
          <w14:textFill>
            <w14:solidFill>
              <w14:schemeClr w14:val="tx1"/>
            </w14:solidFill>
          </w14:textFill>
        </w:rPr>
      </w:pPr>
      <w:r>
        <w:rPr>
          <w:rFonts w:hint="eastAsia" w:ascii="宋体" w:hAnsi="宋体" w:cs="宋体"/>
          <w:color w:val="000000" w:themeColor="text1"/>
          <w14:textFill>
            <w14:solidFill>
              <w14:schemeClr w14:val="tx1"/>
            </w14:solidFill>
          </w14:textFill>
        </w:rPr>
        <w:t>②</w:t>
      </w:r>
      <w:r>
        <w:rPr>
          <w:color w:val="000000" w:themeColor="text1"/>
          <w14:textFill>
            <w14:solidFill>
              <w14:schemeClr w14:val="tx1"/>
            </w14:solidFill>
          </w14:textFill>
        </w:rPr>
        <w:t>优势种</w:t>
      </w:r>
    </w:p>
    <w:p>
      <w:pPr>
        <w:pStyle w:val="1075"/>
        <w:ind w:firstLine="437"/>
        <w:rPr>
          <w:color w:val="000000" w:themeColor="text1"/>
          <w14:textFill>
            <w14:solidFill>
              <w14:schemeClr w14:val="tx1"/>
            </w14:solidFill>
          </w14:textFill>
        </w:rPr>
      </w:pPr>
      <w:r>
        <w:rPr>
          <w:color w:val="000000" w:themeColor="text1"/>
          <w14:textFill>
            <w14:solidFill>
              <w14:schemeClr w14:val="tx1"/>
            </w14:solidFill>
          </w14:textFill>
        </w:rPr>
        <w:t>此次调查潮间带生物优势种为台湾泥蟹（Ilyoplaxformosensis</w:t>
      </w:r>
      <w:r>
        <w:rPr>
          <w:iCs/>
          <w:color w:val="000000" w:themeColor="text1"/>
          <w14:textFill>
            <w14:solidFill>
              <w14:schemeClr w14:val="tx1"/>
            </w14:solidFill>
          </w14:textFill>
        </w:rPr>
        <w:t>）、</w:t>
      </w:r>
      <w:r>
        <w:rPr>
          <w:color w:val="000000" w:themeColor="text1"/>
          <w14:textFill>
            <w14:solidFill>
              <w14:schemeClr w14:val="tx1"/>
            </w14:solidFill>
          </w14:textFill>
        </w:rPr>
        <w:t>秀丽长方蟹（Metaplax elegans）和相拟节虫（Praxillella cf. affinis）。</w:t>
      </w:r>
    </w:p>
    <w:p>
      <w:pPr>
        <w:pStyle w:val="1075"/>
        <w:ind w:firstLine="437"/>
        <w:rPr>
          <w:color w:val="000000" w:themeColor="text1"/>
          <w14:textFill>
            <w14:solidFill>
              <w14:schemeClr w14:val="tx1"/>
            </w14:solidFill>
          </w14:textFill>
        </w:rPr>
      </w:pPr>
      <w:r>
        <w:rPr>
          <w:rFonts w:hint="eastAsia" w:ascii="宋体" w:hAnsi="宋体" w:cs="宋体"/>
          <w:color w:val="000000" w:themeColor="text1"/>
          <w14:textFill>
            <w14:solidFill>
              <w14:schemeClr w14:val="tx1"/>
            </w14:solidFill>
          </w14:textFill>
        </w:rPr>
        <w:t>③</w:t>
      </w:r>
      <w:r>
        <w:rPr>
          <w:color w:val="000000" w:themeColor="text1"/>
          <w14:textFill>
            <w14:solidFill>
              <w14:schemeClr w14:val="tx1"/>
            </w14:solidFill>
          </w14:textFill>
        </w:rPr>
        <w:t>密度和生物量分布</w:t>
      </w:r>
    </w:p>
    <w:p>
      <w:pPr>
        <w:pStyle w:val="1075"/>
        <w:ind w:firstLine="437"/>
        <w:rPr>
          <w:color w:val="000000" w:themeColor="text1"/>
          <w14:textFill>
            <w14:solidFill>
              <w14:schemeClr w14:val="tx1"/>
            </w14:solidFill>
          </w14:textFill>
        </w:rPr>
      </w:pPr>
      <w:r>
        <w:rPr>
          <w:color w:val="000000" w:themeColor="text1"/>
          <w14:textFill>
            <w14:solidFill>
              <w14:schemeClr w14:val="tx1"/>
            </w14:solidFill>
          </w14:textFill>
        </w:rPr>
        <w:t>密度介于14～142ind/m</w:t>
      </w:r>
      <w:r>
        <w:rPr>
          <w:color w:val="000000" w:themeColor="text1"/>
          <w:vertAlign w:val="superscript"/>
          <w14:textFill>
            <w14:solidFill>
              <w14:schemeClr w14:val="tx1"/>
            </w14:solidFill>
          </w14:textFill>
        </w:rPr>
        <w:t>2</w:t>
      </w:r>
      <w:r>
        <w:rPr>
          <w:color w:val="000000" w:themeColor="text1"/>
          <w14:textFill>
            <w14:solidFill>
              <w14:schemeClr w14:val="tx1"/>
            </w14:solidFill>
          </w14:textFill>
        </w:rPr>
        <w:t>之间，平均值58ind/m</w:t>
      </w:r>
      <w:r>
        <w:rPr>
          <w:color w:val="000000" w:themeColor="text1"/>
          <w:vertAlign w:val="superscript"/>
          <w14:textFill>
            <w14:solidFill>
              <w14:schemeClr w14:val="tx1"/>
            </w14:solidFill>
          </w14:textFill>
        </w:rPr>
        <w:t>2</w:t>
      </w:r>
      <w:r>
        <w:rPr>
          <w:color w:val="000000" w:themeColor="text1"/>
          <w14:textFill>
            <w14:solidFill>
              <w14:schemeClr w14:val="tx1"/>
            </w14:solidFill>
          </w14:textFill>
        </w:rPr>
        <w:t>。最大值出现在C4断面，最小值出现在C5断面。生物量介于13.76～319.45g/m</w:t>
      </w:r>
      <w:r>
        <w:rPr>
          <w:color w:val="000000" w:themeColor="text1"/>
          <w:vertAlign w:val="superscript"/>
          <w14:textFill>
            <w14:solidFill>
              <w14:schemeClr w14:val="tx1"/>
            </w14:solidFill>
          </w14:textFill>
        </w:rPr>
        <w:t>2</w:t>
      </w:r>
      <w:r>
        <w:rPr>
          <w:color w:val="000000" w:themeColor="text1"/>
          <w14:textFill>
            <w14:solidFill>
              <w14:schemeClr w14:val="tx1"/>
            </w14:solidFill>
          </w14:textFill>
        </w:rPr>
        <w:t>之间，平均值116.87g/m</w:t>
      </w:r>
      <w:r>
        <w:rPr>
          <w:color w:val="000000" w:themeColor="text1"/>
          <w:vertAlign w:val="superscript"/>
          <w14:textFill>
            <w14:solidFill>
              <w14:schemeClr w14:val="tx1"/>
            </w14:solidFill>
          </w14:textFill>
        </w:rPr>
        <w:t>2</w:t>
      </w:r>
      <w:r>
        <w:rPr>
          <w:color w:val="000000" w:themeColor="text1"/>
          <w14:textFill>
            <w14:solidFill>
              <w14:schemeClr w14:val="tx1"/>
            </w14:solidFill>
          </w14:textFill>
        </w:rPr>
        <w:t>。最大值出现在C6断面，最小值出现在C5断面。</w:t>
      </w:r>
    </w:p>
    <w:p>
      <w:pPr>
        <w:pStyle w:val="384"/>
        <w:ind w:left="0" w:firstLine="528"/>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各调查站位种数、密度和生物量</w:t>
      </w:r>
    </w:p>
    <w:p>
      <w:pPr>
        <w:pStyle w:val="1075"/>
        <w:ind w:firstLine="437"/>
        <w:rPr>
          <w:color w:val="000000" w:themeColor="text1"/>
          <w14:textFill>
            <w14:solidFill>
              <w14:schemeClr w14:val="tx1"/>
            </w14:solidFill>
          </w14:textFill>
        </w:rPr>
      </w:pPr>
      <w:r>
        <w:rPr>
          <w:rFonts w:hint="eastAsia" w:ascii="宋体" w:hAnsi="宋体" w:cs="宋体"/>
          <w:color w:val="000000" w:themeColor="text1"/>
          <w14:textFill>
            <w14:solidFill>
              <w14:schemeClr w14:val="tx1"/>
            </w14:solidFill>
          </w14:textFill>
        </w:rPr>
        <w:t>④</w:t>
      </w:r>
      <w:r>
        <w:rPr>
          <w:color w:val="000000" w:themeColor="text1"/>
          <w14:textFill>
            <w14:solidFill>
              <w14:schemeClr w14:val="tx1"/>
            </w14:solidFill>
          </w14:textFill>
        </w:rPr>
        <w:t>生物多样性评价</w:t>
      </w:r>
    </w:p>
    <w:p>
      <w:pPr>
        <w:pStyle w:val="384"/>
        <w:ind w:left="0" w:firstLine="528"/>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各断面生物多样性指数</w:t>
      </w:r>
    </w:p>
    <w:p>
      <w:pPr>
        <w:pStyle w:val="1075"/>
        <w:ind w:firstLine="437"/>
        <w:rPr>
          <w:color w:val="000000" w:themeColor="text1"/>
          <w14:textFill>
            <w14:solidFill>
              <w14:schemeClr w14:val="tx1"/>
            </w14:solidFill>
          </w14:textFill>
        </w:rPr>
      </w:pPr>
      <w:r>
        <w:rPr>
          <w:color w:val="000000" w:themeColor="text1"/>
          <w14:textFill>
            <w14:solidFill>
              <w14:schemeClr w14:val="tx1"/>
            </w14:solidFill>
          </w14:textFill>
        </w:rPr>
        <w:t>2）2022年4月</w:t>
      </w:r>
    </w:p>
    <w:p>
      <w:pPr>
        <w:pStyle w:val="1075"/>
        <w:ind w:firstLine="437"/>
        <w:rPr>
          <w:color w:val="000000" w:themeColor="text1"/>
          <w14:textFill>
            <w14:solidFill>
              <w14:schemeClr w14:val="tx1"/>
            </w14:solidFill>
          </w14:textFill>
        </w:rPr>
      </w:pPr>
      <w:r>
        <w:rPr>
          <w:rFonts w:hint="eastAsia" w:ascii="宋体" w:hAnsi="宋体" w:cs="宋体"/>
          <w:color w:val="000000" w:themeColor="text1"/>
          <w14:textFill>
            <w14:solidFill>
              <w14:schemeClr w14:val="tx1"/>
            </w14:solidFill>
          </w14:textFill>
        </w:rPr>
        <w:t>①</w:t>
      </w:r>
      <w:r>
        <w:rPr>
          <w:color w:val="000000" w:themeColor="text1"/>
          <w14:textFill>
            <w14:solidFill>
              <w14:schemeClr w14:val="tx1"/>
            </w14:solidFill>
          </w14:textFill>
        </w:rPr>
        <w:t>种类和类群组成</w:t>
      </w:r>
    </w:p>
    <w:p>
      <w:pPr>
        <w:pStyle w:val="1075"/>
        <w:ind w:firstLine="437"/>
        <w:rPr>
          <w:color w:val="000000" w:themeColor="text1"/>
          <w14:textFill>
            <w14:solidFill>
              <w14:schemeClr w14:val="tx1"/>
            </w14:solidFill>
          </w14:textFill>
        </w:rPr>
      </w:pPr>
      <w:r>
        <w:rPr>
          <w:color w:val="000000" w:themeColor="text1"/>
          <w14:textFill>
            <w14:solidFill>
              <w14:schemeClr w14:val="tx1"/>
            </w14:solidFill>
          </w14:textFill>
        </w:rPr>
        <w:t>共采集到潮间带动物43种，其中，节肢动物16种，多毛类14种，软体动物9种，脊索动物3种，纽形动物1种。</w:t>
      </w:r>
    </w:p>
    <w:p>
      <w:pPr>
        <w:pStyle w:val="1075"/>
        <w:ind w:firstLine="437"/>
        <w:rPr>
          <w:color w:val="000000" w:themeColor="text1"/>
          <w14:textFill>
            <w14:solidFill>
              <w14:schemeClr w14:val="tx1"/>
            </w14:solidFill>
          </w14:textFill>
        </w:rPr>
      </w:pPr>
      <w:r>
        <w:rPr>
          <w:rFonts w:hint="eastAsia" w:ascii="宋体" w:hAnsi="宋体" w:cs="宋体"/>
          <w:color w:val="000000" w:themeColor="text1"/>
          <w14:textFill>
            <w14:solidFill>
              <w14:schemeClr w14:val="tx1"/>
            </w14:solidFill>
          </w14:textFill>
        </w:rPr>
        <w:t>②</w:t>
      </w:r>
      <w:r>
        <w:rPr>
          <w:color w:val="000000" w:themeColor="text1"/>
          <w14:textFill>
            <w14:solidFill>
              <w14:schemeClr w14:val="tx1"/>
            </w14:solidFill>
          </w14:textFill>
        </w:rPr>
        <w:t>优势种</w:t>
      </w:r>
    </w:p>
    <w:p>
      <w:pPr>
        <w:pStyle w:val="1075"/>
        <w:ind w:firstLine="437"/>
        <w:rPr>
          <w:color w:val="000000" w:themeColor="text1"/>
          <w14:textFill>
            <w14:solidFill>
              <w14:schemeClr w14:val="tx1"/>
            </w14:solidFill>
          </w14:textFill>
        </w:rPr>
      </w:pPr>
      <w:r>
        <w:rPr>
          <w:color w:val="000000" w:themeColor="text1"/>
          <w14:textFill>
            <w14:solidFill>
              <w14:schemeClr w14:val="tx1"/>
            </w14:solidFill>
          </w14:textFill>
        </w:rPr>
        <w:t>此次调查潮间带生物优势种为台湾泥蟹（</w:t>
      </w:r>
      <w:r>
        <w:rPr>
          <w:i/>
          <w:color w:val="000000" w:themeColor="text1"/>
          <w14:textFill>
            <w14:solidFill>
              <w14:schemeClr w14:val="tx1"/>
            </w14:solidFill>
          </w14:textFill>
        </w:rPr>
        <w:t>Ilyoplaxformosensis</w:t>
      </w:r>
      <w:r>
        <w:rPr>
          <w:color w:val="000000" w:themeColor="text1"/>
          <w14:textFill>
            <w14:solidFill>
              <w14:schemeClr w14:val="tx1"/>
            </w14:solidFill>
          </w14:textFill>
        </w:rPr>
        <w:t>）、秀丽长方蟹（</w:t>
      </w:r>
      <w:r>
        <w:rPr>
          <w:i/>
          <w:color w:val="000000" w:themeColor="text1"/>
          <w14:textFill>
            <w14:solidFill>
              <w14:schemeClr w14:val="tx1"/>
            </w14:solidFill>
          </w14:textFill>
        </w:rPr>
        <w:t>Metaplax elegans</w:t>
      </w:r>
      <w:r>
        <w:rPr>
          <w:color w:val="000000" w:themeColor="text1"/>
          <w14:textFill>
            <w14:solidFill>
              <w14:schemeClr w14:val="tx1"/>
            </w14:solidFill>
          </w14:textFill>
        </w:rPr>
        <w:t>）和扁平拟闭口蟹（</w:t>
      </w:r>
      <w:r>
        <w:rPr>
          <w:i/>
          <w:color w:val="000000" w:themeColor="text1"/>
          <w14:textFill>
            <w14:solidFill>
              <w14:schemeClr w14:val="tx1"/>
            </w14:solidFill>
          </w14:textFill>
        </w:rPr>
        <w:t>Paracteistomadepressum</w:t>
      </w:r>
      <w:r>
        <w:rPr>
          <w:color w:val="000000" w:themeColor="text1"/>
          <w14:textFill>
            <w14:solidFill>
              <w14:schemeClr w14:val="tx1"/>
            </w14:solidFill>
          </w14:textFill>
        </w:rPr>
        <w:t>）。</w:t>
      </w:r>
    </w:p>
    <w:p>
      <w:pPr>
        <w:pStyle w:val="1075"/>
        <w:ind w:firstLine="437"/>
        <w:rPr>
          <w:color w:val="000000" w:themeColor="text1"/>
          <w14:textFill>
            <w14:solidFill>
              <w14:schemeClr w14:val="tx1"/>
            </w14:solidFill>
          </w14:textFill>
        </w:rPr>
      </w:pPr>
      <w:r>
        <w:rPr>
          <w:rFonts w:hint="eastAsia" w:ascii="宋体" w:hAnsi="宋体" w:cs="宋体"/>
          <w:color w:val="000000" w:themeColor="text1"/>
          <w14:textFill>
            <w14:solidFill>
              <w14:schemeClr w14:val="tx1"/>
            </w14:solidFill>
          </w14:textFill>
        </w:rPr>
        <w:t>③</w:t>
      </w:r>
      <w:r>
        <w:rPr>
          <w:color w:val="000000" w:themeColor="text1"/>
          <w14:textFill>
            <w14:solidFill>
              <w14:schemeClr w14:val="tx1"/>
            </w14:solidFill>
          </w14:textFill>
        </w:rPr>
        <w:t>密度和生物量分布</w:t>
      </w:r>
    </w:p>
    <w:p>
      <w:pPr>
        <w:pStyle w:val="1075"/>
        <w:ind w:firstLine="437"/>
        <w:rPr>
          <w:color w:val="000000" w:themeColor="text1"/>
          <w14:textFill>
            <w14:solidFill>
              <w14:schemeClr w14:val="tx1"/>
            </w14:solidFill>
          </w14:textFill>
        </w:rPr>
      </w:pPr>
      <w:r>
        <w:rPr>
          <w:color w:val="000000" w:themeColor="text1"/>
          <w14:textFill>
            <w14:solidFill>
              <w14:schemeClr w14:val="tx1"/>
            </w14:solidFill>
          </w14:textFill>
        </w:rPr>
        <w:t>各断面潮间带生物密度平均为106ind/m</w:t>
      </w:r>
      <w:r>
        <w:rPr>
          <w:color w:val="000000" w:themeColor="text1"/>
          <w:vertAlign w:val="superscript"/>
          <w14:textFill>
            <w14:solidFill>
              <w14:schemeClr w14:val="tx1"/>
            </w14:solidFill>
          </w14:textFill>
        </w:rPr>
        <w:t>2</w:t>
      </w:r>
      <w:r>
        <w:rPr>
          <w:color w:val="000000" w:themeColor="text1"/>
          <w14:textFill>
            <w14:solidFill>
              <w14:schemeClr w14:val="tx1"/>
            </w14:solidFill>
          </w14:textFill>
        </w:rPr>
        <w:t>，生物量平均值为105.26g/m</w:t>
      </w:r>
      <w:r>
        <w:rPr>
          <w:color w:val="000000" w:themeColor="text1"/>
          <w:vertAlign w:val="superscript"/>
          <w14:textFill>
            <w14:solidFill>
              <w14:schemeClr w14:val="tx1"/>
            </w14:solidFill>
          </w14:textFill>
        </w:rPr>
        <w:t>2</w:t>
      </w:r>
      <w:r>
        <w:rPr>
          <w:color w:val="000000" w:themeColor="text1"/>
          <w14:textFill>
            <w14:solidFill>
              <w14:schemeClr w14:val="tx1"/>
            </w14:solidFill>
          </w14:textFill>
        </w:rPr>
        <w:t>。</w:t>
      </w:r>
    </w:p>
    <w:p>
      <w:pPr>
        <w:pStyle w:val="384"/>
        <w:ind w:left="0" w:firstLine="528"/>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各调查站位种数、密度和生物量（2022年4月）</w:t>
      </w:r>
    </w:p>
    <w:p>
      <w:pPr>
        <w:pStyle w:val="1075"/>
        <w:ind w:firstLine="437"/>
        <w:rPr>
          <w:color w:val="000000" w:themeColor="text1"/>
          <w14:textFill>
            <w14:solidFill>
              <w14:schemeClr w14:val="tx1"/>
            </w14:solidFill>
          </w14:textFill>
        </w:rPr>
      </w:pPr>
      <w:r>
        <w:rPr>
          <w:rFonts w:hint="eastAsia" w:ascii="宋体" w:hAnsi="宋体" w:cs="宋体"/>
          <w:color w:val="000000" w:themeColor="text1"/>
          <w14:textFill>
            <w14:solidFill>
              <w14:schemeClr w14:val="tx1"/>
            </w14:solidFill>
          </w14:textFill>
        </w:rPr>
        <w:t>④</w:t>
      </w:r>
      <w:r>
        <w:rPr>
          <w:color w:val="000000" w:themeColor="text1"/>
          <w14:textFill>
            <w14:solidFill>
              <w14:schemeClr w14:val="tx1"/>
            </w14:solidFill>
          </w14:textFill>
        </w:rPr>
        <w:t>生物多样性评价</w:t>
      </w:r>
    </w:p>
    <w:p>
      <w:pPr>
        <w:pStyle w:val="384"/>
        <w:ind w:left="0" w:firstLine="528"/>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各断面生物多样性指数（2022年4月）</w:t>
      </w:r>
    </w:p>
    <w:p>
      <w:pPr>
        <w:pStyle w:val="6"/>
        <w:rPr>
          <w:color w:val="000000" w:themeColor="text1"/>
          <w14:textFill>
            <w14:solidFill>
              <w14:schemeClr w14:val="tx1"/>
            </w14:solidFill>
          </w14:textFill>
        </w:rPr>
      </w:pPr>
      <w:r>
        <w:rPr>
          <w:color w:val="000000" w:themeColor="text1"/>
          <w14:textFill>
            <w14:solidFill>
              <w14:schemeClr w14:val="tx1"/>
            </w14:solidFill>
          </w14:textFill>
        </w:rPr>
        <w:t>评价小结</w:t>
      </w:r>
    </w:p>
    <w:p>
      <w:pPr>
        <w:pStyle w:val="1856"/>
        <w:ind w:firstLine="437"/>
        <w:rPr>
          <w:color w:val="000000" w:themeColor="text1"/>
          <w14:textFill>
            <w14:solidFill>
              <w14:schemeClr w14:val="tx1"/>
            </w14:solidFill>
          </w14:textFill>
        </w:rPr>
      </w:pPr>
      <w:r>
        <w:rPr>
          <w:rFonts w:hint="eastAsia"/>
          <w:color w:val="000000" w:themeColor="text1"/>
          <w:lang w:bidi="zh-CN"/>
          <w14:textFill>
            <w14:solidFill>
              <w14:schemeClr w14:val="tx1"/>
            </w14:solidFill>
          </w14:textFill>
        </w:rPr>
        <w:t>2021年11月，本项目工程区域周边海洋生态环境监测站点为4号、13号、14号站，2022年4月，本项目工程区域周边海洋生态环境监测站点为12号、16号、17号站，对上述站点叶绿素</w:t>
      </w:r>
      <w:r>
        <w:rPr>
          <w:color w:val="000000" w:themeColor="text1"/>
          <w14:textFill>
            <w14:solidFill>
              <w14:schemeClr w14:val="tx1"/>
            </w14:solidFill>
          </w14:textFill>
        </w:rPr>
        <w:t>α、浮游植物、浮游动物、底栖生物进行统计评价，统计结果见表</w:t>
      </w:r>
      <w:r>
        <w:rPr>
          <w:rFonts w:hint="eastAsia"/>
          <w:color w:val="000000" w:themeColor="text1"/>
          <w14:textFill>
            <w14:solidFill>
              <w14:schemeClr w14:val="tx1"/>
            </w14:solidFill>
          </w14:textFill>
        </w:rPr>
        <w:t>3.3-41。根据《近岸海域环境监测技术规范》（HJ442-2008）及《近岸海域海洋生物多样性评价技术指南》（</w:t>
      </w:r>
      <w:r>
        <w:rPr>
          <w:color w:val="000000" w:themeColor="text1"/>
          <w14:textFill>
            <w14:solidFill>
              <w14:schemeClr w14:val="tx1"/>
            </w14:solidFill>
          </w14:textFill>
        </w:rPr>
        <w:t>HY/T 215-2017</w:t>
      </w:r>
      <w:r>
        <w:rPr>
          <w:rFonts w:hint="eastAsia"/>
          <w:color w:val="000000" w:themeColor="text1"/>
          <w14:textFill>
            <w14:solidFill>
              <w14:schemeClr w14:val="tx1"/>
            </w14:solidFill>
          </w14:textFill>
        </w:rPr>
        <w:t>）中提供的生物多样性评价指标等级划分标准，工程周边海域浮游植物物种多样性为Ⅳ级、浮游动物物种多样性为Ⅲ级、底栖生物物种多样性为Ⅳ级，海洋生物物种多样性等级为一般，海洋生物物种较少，物种分布均匀度较好，局部区域或个别生物群落的物种多样性较高，但生物多样性总体水平一般。</w:t>
      </w:r>
    </w:p>
    <w:p>
      <w:pPr>
        <w:pStyle w:val="384"/>
        <w:ind w:left="0" w:firstLine="528"/>
        <w:rPr>
          <w:rFonts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工程</w:t>
      </w:r>
      <w:bookmarkStart w:id="148" w:name="_Hlk171114195"/>
      <w:r>
        <w:rPr>
          <w:rFonts w:hint="eastAsia" w:cs="Times New Roman"/>
          <w:color w:val="000000" w:themeColor="text1"/>
          <w14:textFill>
            <w14:solidFill>
              <w14:schemeClr w14:val="tx1"/>
            </w14:solidFill>
          </w14:textFill>
        </w:rPr>
        <w:t>周边监测站点海洋生态监测结果统计一览表</w:t>
      </w:r>
      <w:bookmarkEnd w:id="148"/>
    </w:p>
    <w:p>
      <w:pPr>
        <w:pStyle w:val="5"/>
        <w:rPr>
          <w:color w:val="000000" w:themeColor="text1"/>
          <w14:textFill>
            <w14:solidFill>
              <w14:schemeClr w14:val="tx1"/>
            </w14:solidFill>
          </w14:textFill>
        </w:rPr>
      </w:pPr>
      <w:r>
        <w:rPr>
          <w:color w:val="000000" w:themeColor="text1"/>
          <w14:textFill>
            <w14:solidFill>
              <w14:schemeClr w14:val="tx1"/>
            </w14:solidFill>
          </w14:textFill>
        </w:rPr>
        <w:t>渔业资源调查</w:t>
      </w:r>
    </w:p>
    <w:p>
      <w:pPr>
        <w:pStyle w:val="430"/>
        <w:numPr>
          <w:ilvl w:val="3"/>
          <w:numId w:val="2"/>
        </w:numPr>
        <w:rPr>
          <w:lang w:bidi="zh-CN"/>
        </w:rPr>
      </w:pPr>
    </w:p>
    <w:p>
      <w:pPr>
        <w:pStyle w:val="6"/>
        <w:rPr>
          <w:color w:val="000000" w:themeColor="text1"/>
          <w14:textFill>
            <w14:solidFill>
              <w14:schemeClr w14:val="tx1"/>
            </w14:solidFill>
          </w14:textFill>
        </w:rPr>
      </w:pPr>
      <w:r>
        <w:rPr>
          <w:color w:val="000000" w:themeColor="text1"/>
          <w14:textFill>
            <w14:solidFill>
              <w14:schemeClr w14:val="tx1"/>
            </w14:solidFill>
          </w14:textFill>
        </w:rPr>
        <w:t>调查内容</w:t>
      </w:r>
    </w:p>
    <w:p>
      <w:pPr>
        <w:ind w:firstLine="438" w:firstLineChars="200"/>
        <w:rPr>
          <w:bCs/>
          <w:color w:val="000000" w:themeColor="text1"/>
          <w14:textFill>
            <w14:solidFill>
              <w14:schemeClr w14:val="tx1"/>
            </w14:solidFill>
          </w14:textFill>
        </w:rPr>
      </w:pPr>
      <w:r>
        <w:rPr>
          <w:bCs/>
          <w:color w:val="000000" w:themeColor="text1"/>
          <w14:textFill>
            <w14:solidFill>
              <w14:schemeClr w14:val="tx1"/>
            </w14:solidFill>
          </w14:textFill>
        </w:rPr>
        <w:t>2021年11月</w:t>
      </w:r>
      <w:r>
        <w:rPr>
          <w:rFonts w:hint="eastAsia"/>
          <w:bCs/>
          <w:color w:val="000000" w:themeColor="text1"/>
          <w:lang w:bidi="en-US"/>
          <w14:textFill>
            <w14:solidFill>
              <w14:schemeClr w14:val="tx1"/>
            </w14:solidFill>
          </w14:textFill>
        </w:rPr>
        <w:t>、</w:t>
      </w:r>
      <w:r>
        <w:rPr>
          <w:bCs/>
          <w:color w:val="000000" w:themeColor="text1"/>
          <w:lang w:bidi="en-US"/>
          <w14:textFill>
            <w14:solidFill>
              <w14:schemeClr w14:val="tx1"/>
            </w14:solidFill>
          </w14:textFill>
        </w:rPr>
        <w:t>2022年4月</w:t>
      </w:r>
      <w:r>
        <w:rPr>
          <w:bCs/>
          <w:color w:val="000000" w:themeColor="text1"/>
          <w14:textFill>
            <w14:solidFill>
              <w14:schemeClr w14:val="tx1"/>
            </w14:solidFill>
          </w14:textFill>
        </w:rPr>
        <w:t>设10个调查断面</w:t>
      </w:r>
      <w:r>
        <w:rPr>
          <w:rFonts w:hint="eastAsia"/>
          <w:bCs/>
          <w:color w:val="000000" w:themeColor="text1"/>
          <w14:textFill>
            <w14:solidFill>
              <w14:schemeClr w14:val="tx1"/>
            </w14:solidFill>
          </w14:textFill>
        </w:rPr>
        <w:t>对</w:t>
      </w:r>
      <w:r>
        <w:rPr>
          <w:bCs/>
          <w:color w:val="000000" w:themeColor="text1"/>
          <w14:textFill>
            <w14:solidFill>
              <w14:schemeClr w14:val="tx1"/>
            </w14:solidFill>
          </w14:textFill>
        </w:rPr>
        <w:t>游泳动物</w:t>
      </w:r>
      <w:r>
        <w:rPr>
          <w:rFonts w:hint="eastAsia"/>
          <w:bCs/>
          <w:color w:val="000000" w:themeColor="text1"/>
          <w14:textFill>
            <w14:solidFill>
              <w14:schemeClr w14:val="tx1"/>
            </w14:solidFill>
          </w14:textFill>
        </w:rPr>
        <w:t>进行调查，</w:t>
      </w:r>
      <w:r>
        <w:rPr>
          <w:bCs/>
          <w:color w:val="000000" w:themeColor="text1"/>
          <w14:textFill>
            <w14:solidFill>
              <w14:schemeClr w14:val="tx1"/>
            </w14:solidFill>
          </w14:textFill>
        </w:rPr>
        <w:t>分别为Y1、Y2、Y3、Y4、Y5、Y6、Y7、Y8、Y9、Y10，断面坐标见表3.3-</w:t>
      </w:r>
      <w:r>
        <w:rPr>
          <w:rFonts w:hint="eastAsia"/>
          <w:bCs/>
          <w:color w:val="000000" w:themeColor="text1"/>
          <w14:textFill>
            <w14:solidFill>
              <w14:schemeClr w14:val="tx1"/>
            </w14:solidFill>
          </w14:textFill>
        </w:rPr>
        <w:t>42</w:t>
      </w:r>
      <w:r>
        <w:rPr>
          <w:bCs/>
          <w:color w:val="000000" w:themeColor="text1"/>
          <w14:textFill>
            <w14:solidFill>
              <w14:schemeClr w14:val="tx1"/>
            </w14:solidFill>
          </w14:textFill>
        </w:rPr>
        <w:t>。</w:t>
      </w:r>
    </w:p>
    <w:p>
      <w:pPr>
        <w:pStyle w:val="384"/>
        <w:ind w:left="1298" w:hanging="1294" w:hangingChars="591"/>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游泳动物调查站位</w:t>
      </w:r>
    </w:p>
    <w:p>
      <w:pPr>
        <w:pStyle w:val="553"/>
        <w:rPr>
          <w:color w:val="000000" w:themeColor="text1"/>
          <w14:textFill>
            <w14:solidFill>
              <w14:schemeClr w14:val="tx1"/>
            </w14:solidFill>
          </w14:textFill>
        </w:rPr>
      </w:pPr>
      <w:r>
        <w:rPr>
          <w:rFonts w:hint="eastAsia"/>
          <w:color w:val="000000" w:themeColor="text1"/>
          <w14:textFill>
            <w14:solidFill>
              <w14:schemeClr w14:val="tx1"/>
            </w14:solidFill>
          </w14:textFill>
        </w:rPr>
        <w:t>钦州湾</w:t>
      </w:r>
      <w:r>
        <w:rPr>
          <w:color w:val="000000" w:themeColor="text1"/>
          <w14:textFill>
            <w14:solidFill>
              <w14:schemeClr w14:val="tx1"/>
            </w14:solidFill>
          </w14:textFill>
        </w:rPr>
        <w:t>游泳动物监测站位</w:t>
      </w:r>
      <w:r>
        <w:rPr>
          <w:rFonts w:hint="eastAsia"/>
          <w:color w:val="000000" w:themeColor="text1"/>
          <w14:textFill>
            <w14:solidFill>
              <w14:schemeClr w14:val="tx1"/>
            </w14:solidFill>
          </w14:textFill>
        </w:rPr>
        <w:t>示意</w:t>
      </w:r>
      <w:r>
        <w:rPr>
          <w:color w:val="000000" w:themeColor="text1"/>
          <w14:textFill>
            <w14:solidFill>
              <w14:schemeClr w14:val="tx1"/>
            </w14:solidFill>
          </w14:textFill>
        </w:rPr>
        <w:t>图</w:t>
      </w:r>
    </w:p>
    <w:p>
      <w:pPr>
        <w:ind w:firstLine="438" w:firstLineChars="200"/>
        <w:rPr>
          <w:bCs/>
          <w:color w:val="000000" w:themeColor="text1"/>
          <w:lang w:bidi="en-US"/>
          <w14:textFill>
            <w14:solidFill>
              <w14:schemeClr w14:val="tx1"/>
            </w14:solidFill>
          </w14:textFill>
        </w:rPr>
      </w:pPr>
      <w:r>
        <w:rPr>
          <w:bCs/>
          <w:color w:val="000000" w:themeColor="text1"/>
          <w:lang w:bidi="en-US"/>
          <w14:textFill>
            <w14:solidFill>
              <w14:schemeClr w14:val="tx1"/>
            </w14:solidFill>
          </w14:textFill>
        </w:rPr>
        <w:t>鱼卵、仔稚鱼：利用浅水I型浮游生物网（口径50cm，网长145cm，孔径0.50mm），进行水平拖网。水平拖网采样时，让水面刚好没过网口拖拽约10min。样品用5%福尔马林溶液现场固定，实验室内进行鱼卵和仔稚鱼挑选计数、分类鉴定。按滤水体积换算密度，以个（尾）/m</w:t>
      </w:r>
      <w:r>
        <w:rPr>
          <w:bCs/>
          <w:color w:val="000000" w:themeColor="text1"/>
          <w:vertAlign w:val="superscript"/>
          <w:lang w:bidi="en-US"/>
          <w14:textFill>
            <w14:solidFill>
              <w14:schemeClr w14:val="tx1"/>
            </w14:solidFill>
          </w14:textFill>
        </w:rPr>
        <w:t>3</w:t>
      </w:r>
      <w:r>
        <w:rPr>
          <w:bCs/>
          <w:color w:val="000000" w:themeColor="text1"/>
          <w:lang w:bidi="en-US"/>
          <w14:textFill>
            <w14:solidFill>
              <w14:schemeClr w14:val="tx1"/>
            </w14:solidFill>
          </w14:textFill>
        </w:rPr>
        <w:t>表示。</w:t>
      </w:r>
    </w:p>
    <w:p>
      <w:pPr>
        <w:ind w:firstLine="438" w:firstLineChars="200"/>
        <w:rPr>
          <w:bCs/>
          <w:color w:val="000000" w:themeColor="text1"/>
          <w14:textFill>
            <w14:solidFill>
              <w14:schemeClr w14:val="tx1"/>
            </w14:solidFill>
          </w14:textFill>
        </w:rPr>
      </w:pPr>
      <w:r>
        <w:rPr>
          <w:bCs/>
          <w:color w:val="000000" w:themeColor="text1"/>
          <w14:textFill>
            <w14:solidFill>
              <w14:schemeClr w14:val="tx1"/>
            </w14:solidFill>
          </w14:textFill>
        </w:rPr>
        <w:t>游泳动物：按《GB/T 12763.6-2007海洋调查规范第6部分海洋生物调查》，采用拖网法进行调查。渔船安装有翼单囊拖网，网口宽6.0m，高1.5m，长10.5m，囊网网目为2.5cm。每站拖网时间为45min，船速平均为5.8km/h。所得样品用塑料样品袋盛装，放入装有冰块的泡沫箱中临时保存，带回实验室后移入冰柜存放。</w:t>
      </w:r>
    </w:p>
    <w:p>
      <w:pPr>
        <w:pStyle w:val="6"/>
        <w:rPr>
          <w:color w:val="000000" w:themeColor="text1"/>
          <w14:textFill>
            <w14:solidFill>
              <w14:schemeClr w14:val="tx1"/>
            </w14:solidFill>
          </w14:textFill>
        </w:rPr>
      </w:pPr>
      <w:bookmarkStart w:id="149" w:name="_Toc73619087"/>
      <w:r>
        <w:rPr>
          <w:color w:val="000000" w:themeColor="text1"/>
          <w14:textFill>
            <w14:solidFill>
              <w14:schemeClr w14:val="tx1"/>
            </w14:solidFill>
          </w14:textFill>
        </w:rPr>
        <w:t>鱼卵、仔稚鱼调查结果</w:t>
      </w:r>
      <w:bookmarkEnd w:id="149"/>
    </w:p>
    <w:p>
      <w:pPr>
        <w:ind w:firstLine="438" w:firstLineChars="200"/>
        <w:rPr>
          <w:bCs/>
          <w:color w:val="000000" w:themeColor="text1"/>
          <w:lang w:bidi="en-US"/>
          <w14:textFill>
            <w14:solidFill>
              <w14:schemeClr w14:val="tx1"/>
            </w14:solidFill>
          </w14:textFill>
        </w:rPr>
      </w:pPr>
      <w:r>
        <w:rPr>
          <w:bCs/>
          <w:color w:val="000000" w:themeColor="text1"/>
          <w:lang w:bidi="en-US"/>
          <w14:textFill>
            <w14:solidFill>
              <w14:schemeClr w14:val="tx1"/>
            </w14:solidFill>
          </w14:textFill>
        </w:rPr>
        <w:t>1）2021年11月</w:t>
      </w:r>
    </w:p>
    <w:p>
      <w:pPr>
        <w:ind w:firstLine="438" w:firstLineChars="200"/>
        <w:rPr>
          <w:bCs/>
          <w:color w:val="000000" w:themeColor="text1"/>
          <w:lang w:bidi="en-US"/>
          <w14:textFill>
            <w14:solidFill>
              <w14:schemeClr w14:val="tx1"/>
            </w14:solidFill>
          </w14:textFill>
        </w:rPr>
      </w:pPr>
      <w:r>
        <w:rPr>
          <w:rFonts w:hint="eastAsia" w:ascii="宋体" w:hAnsi="宋体" w:cs="宋体"/>
          <w:bCs/>
          <w:color w:val="000000" w:themeColor="text1"/>
          <w:lang w:bidi="en-US"/>
          <w14:textFill>
            <w14:solidFill>
              <w14:schemeClr w14:val="tx1"/>
            </w14:solidFill>
          </w14:textFill>
        </w:rPr>
        <w:t>①</w:t>
      </w:r>
      <w:r>
        <w:rPr>
          <w:bCs/>
          <w:color w:val="000000" w:themeColor="text1"/>
          <w:lang w:bidi="en-US"/>
          <w14:textFill>
            <w14:solidFill>
              <w14:schemeClr w14:val="tx1"/>
            </w14:solidFill>
          </w14:textFill>
        </w:rPr>
        <w:t>种类组成</w:t>
      </w:r>
    </w:p>
    <w:p>
      <w:pPr>
        <w:ind w:firstLine="438" w:firstLineChars="200"/>
        <w:rPr>
          <w:bCs/>
          <w:color w:val="000000" w:themeColor="text1"/>
          <w14:textFill>
            <w14:solidFill>
              <w14:schemeClr w14:val="tx1"/>
            </w14:solidFill>
          </w14:textFill>
        </w:rPr>
      </w:pPr>
      <w:r>
        <w:rPr>
          <w:bCs/>
          <w:color w:val="000000" w:themeColor="text1"/>
          <w14:textFill>
            <w14:solidFill>
              <w14:schemeClr w14:val="tx1"/>
            </w14:solidFill>
          </w14:textFill>
        </w:rPr>
        <w:t>采集到1种鱼卵（</w:t>
      </w:r>
      <w:r>
        <w:rPr>
          <w:color w:val="000000" w:themeColor="text1"/>
          <w:kern w:val="0"/>
          <w14:textFill>
            <w14:solidFill>
              <w14:schemeClr w14:val="tx1"/>
            </w14:solidFill>
          </w14:textFill>
        </w:rPr>
        <w:t xml:space="preserve">鲻鱼鱼卵 </w:t>
      </w:r>
      <w:r>
        <w:rPr>
          <w:rFonts w:eastAsia="等线"/>
          <w:i/>
          <w:iCs/>
          <w:color w:val="000000" w:themeColor="text1"/>
          <w:kern w:val="0"/>
          <w14:textFill>
            <w14:solidFill>
              <w14:schemeClr w14:val="tx1"/>
            </w14:solidFill>
          </w14:textFill>
        </w:rPr>
        <w:t> Mugil cephalus</w:t>
      </w:r>
      <w:r>
        <w:rPr>
          <w:bCs/>
          <w:color w:val="000000" w:themeColor="text1"/>
          <w14:textFill>
            <w14:solidFill>
              <w14:schemeClr w14:val="tx1"/>
            </w14:solidFill>
          </w14:textFill>
        </w:rPr>
        <w:t>）</w:t>
      </w:r>
      <w:r>
        <w:rPr>
          <w:color w:val="000000" w:themeColor="text1"/>
          <w14:textFill>
            <w14:solidFill>
              <w14:schemeClr w14:val="tx1"/>
            </w14:solidFill>
          </w14:textFill>
        </w:rPr>
        <w:t>，未采集到仔鱼</w:t>
      </w:r>
      <w:r>
        <w:rPr>
          <w:rFonts w:hint="eastAsia"/>
          <w:color w:val="000000" w:themeColor="text1"/>
          <w14:textFill>
            <w14:solidFill>
              <w14:schemeClr w14:val="tx1"/>
            </w14:solidFill>
          </w14:textFill>
        </w:rPr>
        <w:t>。</w:t>
      </w:r>
    </w:p>
    <w:p>
      <w:pPr>
        <w:ind w:firstLine="438" w:firstLineChars="200"/>
        <w:rPr>
          <w:bCs/>
          <w:color w:val="000000" w:themeColor="text1"/>
          <w14:textFill>
            <w14:solidFill>
              <w14:schemeClr w14:val="tx1"/>
            </w14:solidFill>
          </w14:textFill>
        </w:rPr>
      </w:pPr>
      <w:r>
        <w:rPr>
          <w:rFonts w:hint="eastAsia" w:ascii="宋体" w:hAnsi="宋体" w:cs="宋体"/>
          <w:bCs/>
          <w:color w:val="000000" w:themeColor="text1"/>
          <w14:textFill>
            <w14:solidFill>
              <w14:schemeClr w14:val="tx1"/>
            </w14:solidFill>
          </w14:textFill>
        </w:rPr>
        <w:t>②</w:t>
      </w:r>
      <w:r>
        <w:rPr>
          <w:bCs/>
          <w:color w:val="000000" w:themeColor="text1"/>
          <w14:textFill>
            <w14:solidFill>
              <w14:schemeClr w14:val="tx1"/>
            </w14:solidFill>
          </w14:textFill>
        </w:rPr>
        <w:t>密度分布</w:t>
      </w:r>
    </w:p>
    <w:p>
      <w:pPr>
        <w:ind w:firstLine="438" w:firstLineChars="200"/>
        <w:rPr>
          <w:bCs/>
          <w:color w:val="000000" w:themeColor="text1"/>
          <w14:textFill>
            <w14:solidFill>
              <w14:schemeClr w14:val="tx1"/>
            </w14:solidFill>
          </w14:textFill>
        </w:rPr>
      </w:pPr>
      <w:r>
        <w:rPr>
          <w:bCs/>
          <w:color w:val="000000" w:themeColor="text1"/>
          <w14:textFill>
            <w14:solidFill>
              <w14:schemeClr w14:val="tx1"/>
            </w14:solidFill>
          </w14:textFill>
        </w:rPr>
        <w:t>在2个站采集到鱼卵，平均密度为0.085个/m</w:t>
      </w:r>
      <w:r>
        <w:rPr>
          <w:bCs/>
          <w:color w:val="000000" w:themeColor="text1"/>
          <w:vertAlign w:val="superscript"/>
          <w14:textFill>
            <w14:solidFill>
              <w14:schemeClr w14:val="tx1"/>
            </w14:solidFill>
          </w14:textFill>
        </w:rPr>
        <w:t>3</w:t>
      </w:r>
      <w:r>
        <w:rPr>
          <w:bCs/>
          <w:color w:val="000000" w:themeColor="text1"/>
          <w14:textFill>
            <w14:solidFill>
              <w14:schemeClr w14:val="tx1"/>
            </w14:solidFill>
          </w14:textFill>
        </w:rPr>
        <w:t>，未采集到仔鱼。详见鱼卵和仔、稚鱼密度统计表。</w:t>
      </w:r>
    </w:p>
    <w:p>
      <w:pPr>
        <w:pStyle w:val="384"/>
        <w:ind w:left="0" w:firstLine="528"/>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鱼卵、仔鱼密度分布（2021年</w:t>
      </w:r>
      <w:r>
        <w:rPr>
          <w:rFonts w:hint="eastAsia" w:cs="Times New Roman"/>
          <w:color w:val="000000" w:themeColor="text1"/>
          <w14:textFill>
            <w14:solidFill>
              <w14:schemeClr w14:val="tx1"/>
            </w14:solidFill>
          </w14:textFill>
        </w:rPr>
        <w:t>11</w:t>
      </w:r>
      <w:r>
        <w:rPr>
          <w:rFonts w:cs="Times New Roman"/>
          <w:color w:val="000000" w:themeColor="text1"/>
          <w14:textFill>
            <w14:solidFill>
              <w14:schemeClr w14:val="tx1"/>
            </w14:solidFill>
          </w14:textFill>
        </w:rPr>
        <w:t>月）</w:t>
      </w:r>
    </w:p>
    <w:p>
      <w:pPr>
        <w:ind w:firstLine="438" w:firstLineChars="200"/>
        <w:rPr>
          <w:bCs/>
          <w:color w:val="000000" w:themeColor="text1"/>
          <w:lang w:bidi="en-US"/>
          <w14:textFill>
            <w14:solidFill>
              <w14:schemeClr w14:val="tx1"/>
            </w14:solidFill>
          </w14:textFill>
        </w:rPr>
      </w:pPr>
      <w:r>
        <w:rPr>
          <w:bCs/>
          <w:color w:val="000000" w:themeColor="text1"/>
          <w:lang w:bidi="en-US"/>
          <w14:textFill>
            <w14:solidFill>
              <w14:schemeClr w14:val="tx1"/>
            </w14:solidFill>
          </w14:textFill>
        </w:rPr>
        <w:t>2）2022年4月</w:t>
      </w:r>
    </w:p>
    <w:p>
      <w:pPr>
        <w:ind w:firstLine="438" w:firstLineChars="200"/>
        <w:rPr>
          <w:bCs/>
          <w:color w:val="000000" w:themeColor="text1"/>
          <w:lang w:bidi="en-US"/>
          <w14:textFill>
            <w14:solidFill>
              <w14:schemeClr w14:val="tx1"/>
            </w14:solidFill>
          </w14:textFill>
        </w:rPr>
      </w:pPr>
      <w:r>
        <w:rPr>
          <w:rFonts w:hint="eastAsia" w:ascii="宋体" w:hAnsi="宋体" w:cs="宋体"/>
          <w:bCs/>
          <w:color w:val="000000" w:themeColor="text1"/>
          <w:lang w:bidi="en-US"/>
          <w14:textFill>
            <w14:solidFill>
              <w14:schemeClr w14:val="tx1"/>
            </w14:solidFill>
          </w14:textFill>
        </w:rPr>
        <w:t>①</w:t>
      </w:r>
      <w:r>
        <w:rPr>
          <w:bCs/>
          <w:color w:val="000000" w:themeColor="text1"/>
          <w:lang w:bidi="en-US"/>
          <w14:textFill>
            <w14:solidFill>
              <w14:schemeClr w14:val="tx1"/>
            </w14:solidFill>
          </w14:textFill>
        </w:rPr>
        <w:t>种类组成</w:t>
      </w:r>
    </w:p>
    <w:p>
      <w:pPr>
        <w:ind w:firstLine="438" w:firstLineChars="200"/>
        <w:jc w:val="left"/>
        <w:rPr>
          <w:bCs/>
          <w:color w:val="000000" w:themeColor="text1"/>
          <w:lang w:bidi="en-US"/>
          <w14:textFill>
            <w14:solidFill>
              <w14:schemeClr w14:val="tx1"/>
            </w14:solidFill>
          </w14:textFill>
        </w:rPr>
      </w:pPr>
      <w:r>
        <w:rPr>
          <w:bCs/>
          <w:color w:val="000000" w:themeColor="text1"/>
          <w:lang w:bidi="en-US"/>
          <w14:textFill>
            <w14:solidFill>
              <w14:schemeClr w14:val="tx1"/>
            </w14:solidFill>
          </w14:textFill>
        </w:rPr>
        <w:t>采集到3种鱼卵（无齿鰶鱼卵</w:t>
      </w:r>
      <w:r>
        <w:rPr>
          <w:bCs/>
          <w:i/>
          <w:iCs/>
          <w:color w:val="000000" w:themeColor="text1"/>
          <w:lang w:bidi="en-US"/>
          <w14:textFill>
            <w14:solidFill>
              <w14:schemeClr w14:val="tx1"/>
            </w14:solidFill>
          </w14:textFill>
        </w:rPr>
        <w:t>Anodontostomachacunda</w:t>
      </w:r>
      <w:r>
        <w:rPr>
          <w:bCs/>
          <w:color w:val="000000" w:themeColor="text1"/>
          <w:lang w:bidi="en-US"/>
          <w14:textFill>
            <w14:solidFill>
              <w14:schemeClr w14:val="tx1"/>
            </w14:solidFill>
          </w14:textFill>
        </w:rPr>
        <w:t>、鳀鱼鱼卵</w:t>
      </w:r>
      <w:r>
        <w:rPr>
          <w:bCs/>
          <w:color w:val="000000" w:themeColor="text1"/>
          <w:lang w:bidi="en-US"/>
          <w14:textFill>
            <w14:solidFill>
              <w14:schemeClr w14:val="tx1"/>
            </w14:solidFill>
          </w14:textFill>
        </w:rPr>
        <w:tab/>
      </w:r>
      <w:r>
        <w:rPr>
          <w:bCs/>
          <w:i/>
          <w:iCs/>
          <w:color w:val="000000" w:themeColor="text1"/>
          <w:lang w:bidi="en-US"/>
          <w14:textFill>
            <w14:solidFill>
              <w14:schemeClr w14:val="tx1"/>
            </w14:solidFill>
          </w14:textFill>
        </w:rPr>
        <w:t>Engraulis japonicus</w:t>
      </w:r>
      <w:r>
        <w:rPr>
          <w:bCs/>
          <w:color w:val="000000" w:themeColor="text1"/>
          <w:lang w:bidi="en-US"/>
          <w14:textFill>
            <w14:solidFill>
              <w14:schemeClr w14:val="tx1"/>
            </w14:solidFill>
          </w14:textFill>
        </w:rPr>
        <w:t>、蓝圆鲹鱼卵</w:t>
      </w:r>
      <w:r>
        <w:rPr>
          <w:bCs/>
          <w:i/>
          <w:iCs/>
          <w:color w:val="000000" w:themeColor="text1"/>
          <w:lang w:bidi="en-US"/>
          <w14:textFill>
            <w14:solidFill>
              <w14:schemeClr w14:val="tx1"/>
            </w14:solidFill>
          </w14:textFill>
        </w:rPr>
        <w:tab/>
      </w:r>
      <w:r>
        <w:rPr>
          <w:bCs/>
          <w:i/>
          <w:iCs/>
          <w:color w:val="000000" w:themeColor="text1"/>
          <w:lang w:bidi="en-US"/>
          <w14:textFill>
            <w14:solidFill>
              <w14:schemeClr w14:val="tx1"/>
            </w14:solidFill>
          </w14:textFill>
        </w:rPr>
        <w:t>Decapterusmaruadsi</w:t>
      </w:r>
      <w:r>
        <w:rPr>
          <w:bCs/>
          <w:color w:val="000000" w:themeColor="text1"/>
          <w:lang w:bidi="en-US"/>
          <w14:textFill>
            <w14:solidFill>
              <w14:schemeClr w14:val="tx1"/>
            </w14:solidFill>
          </w14:textFill>
        </w:rPr>
        <w:t>）和1种仔鱼（鳀鱼仔鱼</w:t>
      </w:r>
      <w:r>
        <w:rPr>
          <w:bCs/>
          <w:color w:val="000000" w:themeColor="text1"/>
          <w:lang w:bidi="en-US"/>
          <w14:textFill>
            <w14:solidFill>
              <w14:schemeClr w14:val="tx1"/>
            </w14:solidFill>
          </w14:textFill>
        </w:rPr>
        <w:tab/>
      </w:r>
      <w:r>
        <w:rPr>
          <w:bCs/>
          <w:i/>
          <w:iCs/>
          <w:color w:val="000000" w:themeColor="text1"/>
          <w:lang w:bidi="en-US"/>
          <w14:textFill>
            <w14:solidFill>
              <w14:schemeClr w14:val="tx1"/>
            </w14:solidFill>
          </w14:textFill>
        </w:rPr>
        <w:t>Engraulis japonicus</w:t>
      </w:r>
      <w:r>
        <w:rPr>
          <w:bCs/>
          <w:color w:val="000000" w:themeColor="text1"/>
          <w:lang w:bidi="en-US"/>
          <w14:textFill>
            <w14:solidFill>
              <w14:schemeClr w14:val="tx1"/>
            </w14:solidFill>
          </w14:textFill>
        </w:rPr>
        <w:t>）。</w:t>
      </w:r>
    </w:p>
    <w:p>
      <w:pPr>
        <w:ind w:firstLine="438" w:firstLineChars="200"/>
        <w:rPr>
          <w:bCs/>
          <w:color w:val="000000" w:themeColor="text1"/>
          <w:lang w:bidi="en-US"/>
          <w14:textFill>
            <w14:solidFill>
              <w14:schemeClr w14:val="tx1"/>
            </w14:solidFill>
          </w14:textFill>
        </w:rPr>
      </w:pPr>
      <w:r>
        <w:rPr>
          <w:rFonts w:hint="eastAsia" w:ascii="宋体" w:hAnsi="宋体" w:cs="宋体"/>
          <w:bCs/>
          <w:color w:val="000000" w:themeColor="text1"/>
          <w:lang w:bidi="en-US"/>
          <w14:textFill>
            <w14:solidFill>
              <w14:schemeClr w14:val="tx1"/>
            </w14:solidFill>
          </w14:textFill>
        </w:rPr>
        <w:t>②</w:t>
      </w:r>
      <w:r>
        <w:rPr>
          <w:bCs/>
          <w:color w:val="000000" w:themeColor="text1"/>
          <w:lang w:bidi="en-US"/>
          <w14:textFill>
            <w14:solidFill>
              <w14:schemeClr w14:val="tx1"/>
            </w14:solidFill>
          </w14:textFill>
        </w:rPr>
        <w:t>密度分布</w:t>
      </w:r>
    </w:p>
    <w:p>
      <w:pPr>
        <w:ind w:firstLine="438" w:firstLineChars="200"/>
        <w:rPr>
          <w:bCs/>
          <w:color w:val="000000" w:themeColor="text1"/>
          <w14:textFill>
            <w14:solidFill>
              <w14:schemeClr w14:val="tx1"/>
            </w14:solidFill>
          </w14:textFill>
        </w:rPr>
      </w:pPr>
      <w:r>
        <w:rPr>
          <w:bCs/>
          <w:color w:val="000000" w:themeColor="text1"/>
          <w14:textFill>
            <w14:solidFill>
              <w14:schemeClr w14:val="tx1"/>
            </w14:solidFill>
          </w14:textFill>
        </w:rPr>
        <w:t>在3个站采集到鱼卵，平均密度为0.37个/m</w:t>
      </w:r>
      <w:r>
        <w:rPr>
          <w:bCs/>
          <w:color w:val="000000" w:themeColor="text1"/>
          <w:vertAlign w:val="superscript"/>
          <w14:textFill>
            <w14:solidFill>
              <w14:schemeClr w14:val="tx1"/>
            </w14:solidFill>
          </w14:textFill>
        </w:rPr>
        <w:t>3</w:t>
      </w:r>
      <w:r>
        <w:rPr>
          <w:bCs/>
          <w:color w:val="000000" w:themeColor="text1"/>
          <w14:textFill>
            <w14:solidFill>
              <w14:schemeClr w14:val="tx1"/>
            </w14:solidFill>
          </w14:textFill>
        </w:rPr>
        <w:t>，在2个站采集到仔鱼，平均密度为0.13个/m</w:t>
      </w:r>
      <w:r>
        <w:rPr>
          <w:bCs/>
          <w:color w:val="000000" w:themeColor="text1"/>
          <w:vertAlign w:val="superscript"/>
          <w14:textFill>
            <w14:solidFill>
              <w14:schemeClr w14:val="tx1"/>
            </w14:solidFill>
          </w14:textFill>
        </w:rPr>
        <w:t>3</w:t>
      </w:r>
      <w:r>
        <w:rPr>
          <w:bCs/>
          <w:color w:val="000000" w:themeColor="text1"/>
          <w14:textFill>
            <w14:solidFill>
              <w14:schemeClr w14:val="tx1"/>
            </w14:solidFill>
          </w14:textFill>
        </w:rPr>
        <w:t>。详见鱼卵和仔、稚鱼密度统计表。</w:t>
      </w:r>
    </w:p>
    <w:p>
      <w:pPr>
        <w:pStyle w:val="384"/>
        <w:ind w:left="0" w:firstLine="528"/>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鱼卵、仔鱼密度分布（2022年4月）</w:t>
      </w:r>
    </w:p>
    <w:p>
      <w:pPr>
        <w:pStyle w:val="6"/>
        <w:rPr>
          <w:color w:val="000000" w:themeColor="text1"/>
          <w14:textFill>
            <w14:solidFill>
              <w14:schemeClr w14:val="tx1"/>
            </w14:solidFill>
          </w14:textFill>
        </w:rPr>
      </w:pPr>
      <w:bookmarkStart w:id="150" w:name="_Toc73619088"/>
      <w:r>
        <w:rPr>
          <w:color w:val="000000" w:themeColor="text1"/>
          <w14:textFill>
            <w14:solidFill>
              <w14:schemeClr w14:val="tx1"/>
            </w14:solidFill>
          </w14:textFill>
        </w:rPr>
        <w:t>游泳动物调查结果</w:t>
      </w:r>
      <w:bookmarkEnd w:id="150"/>
    </w:p>
    <w:p>
      <w:pPr>
        <w:ind w:firstLine="438" w:firstLineChars="200"/>
        <w:rPr>
          <w:bCs/>
          <w:color w:val="000000" w:themeColor="text1"/>
          <w:lang w:bidi="en-US"/>
          <w14:textFill>
            <w14:solidFill>
              <w14:schemeClr w14:val="tx1"/>
            </w14:solidFill>
          </w14:textFill>
        </w:rPr>
      </w:pPr>
      <w:r>
        <w:rPr>
          <w:bCs/>
          <w:color w:val="000000" w:themeColor="text1"/>
          <w:lang w:bidi="en-US"/>
          <w14:textFill>
            <w14:solidFill>
              <w14:schemeClr w14:val="tx1"/>
            </w14:solidFill>
          </w14:textFill>
        </w:rPr>
        <w:t>1）2021年11月</w:t>
      </w:r>
    </w:p>
    <w:p>
      <w:pPr>
        <w:ind w:firstLine="438" w:firstLineChars="200"/>
        <w:rPr>
          <w:bCs/>
          <w:color w:val="000000" w:themeColor="text1"/>
          <w:lang w:bidi="en-US"/>
          <w14:textFill>
            <w14:solidFill>
              <w14:schemeClr w14:val="tx1"/>
            </w14:solidFill>
          </w14:textFill>
        </w:rPr>
      </w:pPr>
      <w:r>
        <w:rPr>
          <w:rFonts w:hint="eastAsia" w:ascii="宋体" w:hAnsi="宋体" w:cs="宋体"/>
          <w:bCs/>
          <w:color w:val="000000" w:themeColor="text1"/>
          <w:lang w:bidi="en-US"/>
          <w14:textFill>
            <w14:solidFill>
              <w14:schemeClr w14:val="tx1"/>
            </w14:solidFill>
          </w14:textFill>
        </w:rPr>
        <w:t>①</w:t>
      </w:r>
      <w:r>
        <w:rPr>
          <w:bCs/>
          <w:color w:val="000000" w:themeColor="text1"/>
          <w:lang w:bidi="en-US"/>
          <w14:textFill>
            <w14:solidFill>
              <w14:schemeClr w14:val="tx1"/>
            </w14:solidFill>
          </w14:textFill>
        </w:rPr>
        <w:t>渔获物种类组成</w:t>
      </w:r>
    </w:p>
    <w:p>
      <w:pPr>
        <w:ind w:firstLine="438" w:firstLineChars="200"/>
        <w:rPr>
          <w:bCs/>
          <w:color w:val="000000" w:themeColor="text1"/>
          <w:lang w:bidi="en-US"/>
          <w14:textFill>
            <w14:solidFill>
              <w14:schemeClr w14:val="tx1"/>
            </w14:solidFill>
          </w14:textFill>
        </w:rPr>
      </w:pPr>
      <w:r>
        <w:rPr>
          <w:bCs/>
          <w:color w:val="000000" w:themeColor="text1"/>
          <w:lang w:bidi="en-US"/>
          <w14:textFill>
            <w14:solidFill>
              <w14:schemeClr w14:val="tx1"/>
            </w14:solidFill>
          </w14:textFill>
        </w:rPr>
        <w:t>共采集到渔获物79种，其中鱼类55种，虾类和蟹类各8种，口足类4种，头足类2种，其他2种。</w:t>
      </w:r>
    </w:p>
    <w:p>
      <w:pPr>
        <w:ind w:firstLine="438" w:firstLineChars="200"/>
        <w:rPr>
          <w:bCs/>
          <w:color w:val="000000" w:themeColor="text1"/>
          <w:lang w:bidi="en-US"/>
          <w14:textFill>
            <w14:solidFill>
              <w14:schemeClr w14:val="tx1"/>
            </w14:solidFill>
          </w14:textFill>
        </w:rPr>
      </w:pPr>
      <w:r>
        <w:rPr>
          <w:rFonts w:hint="eastAsia" w:ascii="宋体" w:hAnsi="宋体" w:cs="宋体"/>
          <w:bCs/>
          <w:color w:val="000000" w:themeColor="text1"/>
          <w:lang w:bidi="en-US"/>
          <w14:textFill>
            <w14:solidFill>
              <w14:schemeClr w14:val="tx1"/>
            </w14:solidFill>
          </w14:textFill>
        </w:rPr>
        <w:t>②</w:t>
      </w:r>
      <w:r>
        <w:rPr>
          <w:bCs/>
          <w:color w:val="000000" w:themeColor="text1"/>
          <w:lang w:bidi="en-US"/>
          <w14:textFill>
            <w14:solidFill>
              <w14:schemeClr w14:val="tx1"/>
            </w14:solidFill>
          </w14:textFill>
        </w:rPr>
        <w:t>优势种</w:t>
      </w:r>
    </w:p>
    <w:p>
      <w:pPr>
        <w:ind w:firstLine="438" w:firstLineChars="200"/>
        <w:rPr>
          <w:bCs/>
          <w:color w:val="000000" w:themeColor="text1"/>
          <w:lang w:bidi="en-US"/>
          <w14:textFill>
            <w14:solidFill>
              <w14:schemeClr w14:val="tx1"/>
            </w14:solidFill>
          </w14:textFill>
        </w:rPr>
      </w:pPr>
      <w:r>
        <w:rPr>
          <w:bCs/>
          <w:color w:val="000000" w:themeColor="text1"/>
          <w:lang w:bidi="en-US"/>
          <w14:textFill>
            <w14:solidFill>
              <w14:schemeClr w14:val="tx1"/>
            </w14:solidFill>
          </w14:textFill>
        </w:rPr>
        <w:t>2021年11月调查该海域游泳动物优势种为斑鰶（</w:t>
      </w:r>
      <w:r>
        <w:rPr>
          <w:bCs/>
          <w:i/>
          <w:iCs/>
          <w:color w:val="000000" w:themeColor="text1"/>
          <w:lang w:bidi="en-US"/>
          <w14:textFill>
            <w14:solidFill>
              <w14:schemeClr w14:val="tx1"/>
            </w14:solidFill>
          </w14:textFill>
        </w:rPr>
        <w:t>Konosirus punctatus</w:t>
      </w:r>
      <w:r>
        <w:rPr>
          <w:bCs/>
          <w:color w:val="000000" w:themeColor="text1"/>
          <w:lang w:bidi="en-US"/>
          <w14:textFill>
            <w14:solidFill>
              <w14:schemeClr w14:val="tx1"/>
            </w14:solidFill>
          </w14:textFill>
        </w:rPr>
        <w:t>）、黄鳍棘鲷（</w:t>
      </w:r>
      <w:r>
        <w:rPr>
          <w:bCs/>
          <w:i/>
          <w:iCs/>
          <w:color w:val="000000" w:themeColor="text1"/>
          <w:lang w:bidi="en-US"/>
          <w14:textFill>
            <w14:solidFill>
              <w14:schemeClr w14:val="tx1"/>
            </w14:solidFill>
          </w14:textFill>
        </w:rPr>
        <w:t>Acanthopagrus latus</w:t>
      </w:r>
      <w:r>
        <w:rPr>
          <w:bCs/>
          <w:color w:val="000000" w:themeColor="text1"/>
          <w:lang w:bidi="en-US"/>
          <w14:textFill>
            <w14:solidFill>
              <w14:schemeClr w14:val="tx1"/>
            </w14:solidFill>
          </w14:textFill>
        </w:rPr>
        <w:t>）、多鳞鱚（</w:t>
      </w:r>
      <w:r>
        <w:rPr>
          <w:bCs/>
          <w:i/>
          <w:iCs/>
          <w:color w:val="000000" w:themeColor="text1"/>
          <w:lang w:bidi="en-US"/>
          <w14:textFill>
            <w14:solidFill>
              <w14:schemeClr w14:val="tx1"/>
            </w14:solidFill>
          </w14:textFill>
        </w:rPr>
        <w:t>Sillagosihama</w:t>
      </w:r>
      <w:r>
        <w:rPr>
          <w:bCs/>
          <w:color w:val="000000" w:themeColor="text1"/>
          <w:lang w:bidi="en-US"/>
          <w14:textFill>
            <w14:solidFill>
              <w14:schemeClr w14:val="tx1"/>
            </w14:solidFill>
          </w14:textFill>
        </w:rPr>
        <w:t>）和大头银姑鱼（</w:t>
      </w:r>
      <w:r>
        <w:rPr>
          <w:bCs/>
          <w:i/>
          <w:iCs/>
          <w:color w:val="000000" w:themeColor="text1"/>
          <w:lang w:bidi="en-US"/>
          <w14:textFill>
            <w14:solidFill>
              <w14:schemeClr w14:val="tx1"/>
            </w14:solidFill>
          </w14:textFill>
        </w:rPr>
        <w:t>Pennahia macrocephalus</w:t>
      </w:r>
      <w:r>
        <w:rPr>
          <w:bCs/>
          <w:color w:val="000000" w:themeColor="text1"/>
          <w:lang w:bidi="en-US"/>
          <w14:textFill>
            <w14:solidFill>
              <w14:schemeClr w14:val="tx1"/>
            </w14:solidFill>
          </w14:textFill>
        </w:rPr>
        <w:t>）。</w:t>
      </w:r>
    </w:p>
    <w:p>
      <w:pPr>
        <w:ind w:firstLine="438" w:firstLineChars="200"/>
        <w:rPr>
          <w:bCs/>
          <w:color w:val="000000" w:themeColor="text1"/>
          <w:lang w:bidi="en-US"/>
          <w14:textFill>
            <w14:solidFill>
              <w14:schemeClr w14:val="tx1"/>
            </w14:solidFill>
          </w14:textFill>
        </w:rPr>
      </w:pPr>
      <w:r>
        <w:rPr>
          <w:rFonts w:hint="eastAsia" w:ascii="宋体" w:hAnsi="宋体" w:cs="宋体"/>
          <w:bCs/>
          <w:color w:val="000000" w:themeColor="text1"/>
          <w:lang w:bidi="en-US"/>
          <w14:textFill>
            <w14:solidFill>
              <w14:schemeClr w14:val="tx1"/>
            </w14:solidFill>
          </w14:textFill>
        </w:rPr>
        <w:t>③</w:t>
      </w:r>
      <w:r>
        <w:rPr>
          <w:bCs/>
          <w:color w:val="000000" w:themeColor="text1"/>
          <w:lang w:bidi="en-US"/>
          <w14:textFill>
            <w14:solidFill>
              <w14:schemeClr w14:val="tx1"/>
            </w14:solidFill>
          </w14:textFill>
        </w:rPr>
        <w:t>渔获量及相对资源密度</w:t>
      </w:r>
    </w:p>
    <w:p>
      <w:pPr>
        <w:pStyle w:val="384"/>
        <w:ind w:left="0" w:firstLine="528"/>
        <w:rPr>
          <w:rFonts w:cs="Times New Roman"/>
          <w:bCs/>
          <w:color w:val="000000" w:themeColor="text1"/>
          <w14:textFill>
            <w14:solidFill>
              <w14:schemeClr w14:val="tx1"/>
            </w14:solidFill>
          </w14:textFill>
        </w:rPr>
      </w:pPr>
      <w:r>
        <w:rPr>
          <w:rFonts w:cs="Times New Roman"/>
          <w:color w:val="000000" w:themeColor="text1"/>
          <w14:textFill>
            <w14:solidFill>
              <w14:schemeClr w14:val="tx1"/>
            </w14:solidFill>
          </w14:textFill>
        </w:rPr>
        <w:t>渔获量组成及相对资源密度（2021年11月）</w:t>
      </w:r>
    </w:p>
    <w:p>
      <w:pPr>
        <w:ind w:firstLine="438" w:firstLineChars="200"/>
        <w:rPr>
          <w:bCs/>
          <w:color w:val="000000" w:themeColor="text1"/>
          <w:lang w:bidi="en-US"/>
          <w14:textFill>
            <w14:solidFill>
              <w14:schemeClr w14:val="tx1"/>
            </w14:solidFill>
          </w14:textFill>
        </w:rPr>
      </w:pPr>
      <w:r>
        <w:rPr>
          <w:rFonts w:hint="eastAsia" w:ascii="宋体" w:hAnsi="宋体" w:cs="宋体"/>
          <w:bCs/>
          <w:color w:val="000000" w:themeColor="text1"/>
          <w:lang w:bidi="en-US"/>
          <w14:textFill>
            <w14:solidFill>
              <w14:schemeClr w14:val="tx1"/>
            </w14:solidFill>
          </w14:textFill>
        </w:rPr>
        <w:t>④</w:t>
      </w:r>
      <w:r>
        <w:rPr>
          <w:bCs/>
          <w:color w:val="000000" w:themeColor="text1"/>
          <w:lang w:bidi="en-US"/>
          <w14:textFill>
            <w14:solidFill>
              <w14:schemeClr w14:val="tx1"/>
            </w14:solidFill>
          </w14:textFill>
        </w:rPr>
        <w:t>生物多样性评价</w:t>
      </w:r>
    </w:p>
    <w:p>
      <w:pPr>
        <w:pStyle w:val="384"/>
        <w:ind w:left="0" w:firstLine="528"/>
        <w:rPr>
          <w:rFonts w:cs="Times New Roman"/>
          <w:bCs/>
          <w:color w:val="000000" w:themeColor="text1"/>
          <w14:textFill>
            <w14:solidFill>
              <w14:schemeClr w14:val="tx1"/>
            </w14:solidFill>
          </w14:textFill>
        </w:rPr>
      </w:pPr>
      <w:r>
        <w:rPr>
          <w:rFonts w:cs="Times New Roman"/>
          <w:color w:val="000000" w:themeColor="text1"/>
          <w14:textFill>
            <w14:solidFill>
              <w14:schemeClr w14:val="tx1"/>
            </w14:solidFill>
          </w14:textFill>
        </w:rPr>
        <w:t>各站游泳动物生物多样性指数（2021年11月）</w:t>
      </w:r>
    </w:p>
    <w:p>
      <w:pPr>
        <w:ind w:firstLine="438" w:firstLineChars="200"/>
        <w:rPr>
          <w:bCs/>
          <w:color w:val="000000" w:themeColor="text1"/>
          <w:lang w:bidi="en-US"/>
          <w14:textFill>
            <w14:solidFill>
              <w14:schemeClr w14:val="tx1"/>
            </w14:solidFill>
          </w14:textFill>
        </w:rPr>
      </w:pPr>
      <w:r>
        <w:rPr>
          <w:bCs/>
          <w:color w:val="000000" w:themeColor="text1"/>
          <w:lang w:bidi="en-US"/>
          <w14:textFill>
            <w14:solidFill>
              <w14:schemeClr w14:val="tx1"/>
            </w14:solidFill>
          </w14:textFill>
        </w:rPr>
        <w:t>2）2022年4月</w:t>
      </w:r>
    </w:p>
    <w:p>
      <w:pPr>
        <w:ind w:firstLine="438" w:firstLineChars="200"/>
        <w:rPr>
          <w:bCs/>
          <w:color w:val="000000" w:themeColor="text1"/>
          <w:lang w:bidi="en-US"/>
          <w14:textFill>
            <w14:solidFill>
              <w14:schemeClr w14:val="tx1"/>
            </w14:solidFill>
          </w14:textFill>
        </w:rPr>
      </w:pPr>
      <w:r>
        <w:rPr>
          <w:rFonts w:hint="eastAsia" w:ascii="宋体" w:hAnsi="宋体" w:cs="宋体"/>
          <w:bCs/>
          <w:color w:val="000000" w:themeColor="text1"/>
          <w:lang w:bidi="en-US"/>
          <w14:textFill>
            <w14:solidFill>
              <w14:schemeClr w14:val="tx1"/>
            </w14:solidFill>
          </w14:textFill>
        </w:rPr>
        <w:t>①</w:t>
      </w:r>
      <w:r>
        <w:rPr>
          <w:bCs/>
          <w:color w:val="000000" w:themeColor="text1"/>
          <w:lang w:bidi="en-US"/>
          <w14:textFill>
            <w14:solidFill>
              <w14:schemeClr w14:val="tx1"/>
            </w14:solidFill>
          </w14:textFill>
        </w:rPr>
        <w:t>渔获物种类组成</w:t>
      </w:r>
    </w:p>
    <w:p>
      <w:pPr>
        <w:ind w:firstLine="438" w:firstLineChars="200"/>
        <w:rPr>
          <w:bCs/>
          <w:color w:val="000000" w:themeColor="text1"/>
          <w:lang w:bidi="en-US"/>
          <w14:textFill>
            <w14:solidFill>
              <w14:schemeClr w14:val="tx1"/>
            </w14:solidFill>
          </w14:textFill>
        </w:rPr>
      </w:pPr>
      <w:r>
        <w:rPr>
          <w:bCs/>
          <w:color w:val="000000" w:themeColor="text1"/>
          <w:lang w:bidi="en-US"/>
          <w14:textFill>
            <w14:solidFill>
              <w14:schemeClr w14:val="tx1"/>
            </w14:solidFill>
          </w14:textFill>
        </w:rPr>
        <w:t>共采集到渔获物72种，其中鱼类44种，虾类6种，蟹类13种，头足类1种，口足类5种，其他3种。</w:t>
      </w:r>
    </w:p>
    <w:p>
      <w:pPr>
        <w:ind w:firstLine="438" w:firstLineChars="200"/>
        <w:rPr>
          <w:bCs/>
          <w:color w:val="000000" w:themeColor="text1"/>
          <w:lang w:bidi="en-US"/>
          <w14:textFill>
            <w14:solidFill>
              <w14:schemeClr w14:val="tx1"/>
            </w14:solidFill>
          </w14:textFill>
        </w:rPr>
      </w:pPr>
      <w:r>
        <w:rPr>
          <w:rFonts w:hint="eastAsia" w:ascii="宋体" w:hAnsi="宋体" w:cs="宋体"/>
          <w:bCs/>
          <w:color w:val="000000" w:themeColor="text1"/>
          <w:lang w:bidi="en-US"/>
          <w14:textFill>
            <w14:solidFill>
              <w14:schemeClr w14:val="tx1"/>
            </w14:solidFill>
          </w14:textFill>
        </w:rPr>
        <w:t>②</w:t>
      </w:r>
      <w:r>
        <w:rPr>
          <w:bCs/>
          <w:color w:val="000000" w:themeColor="text1"/>
          <w:lang w:bidi="en-US"/>
          <w14:textFill>
            <w14:solidFill>
              <w14:schemeClr w14:val="tx1"/>
            </w14:solidFill>
          </w14:textFill>
        </w:rPr>
        <w:t>优势种</w:t>
      </w:r>
    </w:p>
    <w:p>
      <w:pPr>
        <w:ind w:firstLine="438" w:firstLineChars="200"/>
        <w:rPr>
          <w:bCs/>
          <w:color w:val="000000" w:themeColor="text1"/>
          <w:lang w:bidi="en-US"/>
          <w14:textFill>
            <w14:solidFill>
              <w14:schemeClr w14:val="tx1"/>
            </w14:solidFill>
          </w14:textFill>
        </w:rPr>
      </w:pPr>
      <w:r>
        <w:rPr>
          <w:bCs/>
          <w:color w:val="000000" w:themeColor="text1"/>
          <w:lang w:bidi="en-US"/>
          <w14:textFill>
            <w14:solidFill>
              <w14:schemeClr w14:val="tx1"/>
            </w14:solidFill>
          </w14:textFill>
        </w:rPr>
        <w:t>2022年4月调查该海域游泳动物优势种为周氏新对虾（</w:t>
      </w:r>
      <w:r>
        <w:rPr>
          <w:bCs/>
          <w:i/>
          <w:iCs/>
          <w:color w:val="000000" w:themeColor="text1"/>
          <w:lang w:bidi="en-US"/>
          <w14:textFill>
            <w14:solidFill>
              <w14:schemeClr w14:val="tx1"/>
            </w14:solidFill>
          </w14:textFill>
        </w:rPr>
        <w:t>Metapenaeusjoyneri</w:t>
      </w:r>
      <w:r>
        <w:rPr>
          <w:bCs/>
          <w:color w:val="000000" w:themeColor="text1"/>
          <w:lang w:bidi="en-US"/>
          <w14:textFill>
            <w14:solidFill>
              <w14:schemeClr w14:val="tx1"/>
            </w14:solidFill>
          </w14:textFill>
        </w:rPr>
        <w:t>）、光掌蟳（</w:t>
      </w:r>
      <w:r>
        <w:rPr>
          <w:bCs/>
          <w:i/>
          <w:iCs/>
          <w:color w:val="000000" w:themeColor="text1"/>
          <w:lang w:bidi="en-US"/>
          <w14:textFill>
            <w14:solidFill>
              <w14:schemeClr w14:val="tx1"/>
            </w14:solidFill>
          </w14:textFill>
        </w:rPr>
        <w:t>Charybdis riversandersoni</w:t>
      </w:r>
      <w:r>
        <w:rPr>
          <w:bCs/>
          <w:color w:val="000000" w:themeColor="text1"/>
          <w:lang w:bidi="en-US"/>
          <w14:textFill>
            <w14:solidFill>
              <w14:schemeClr w14:val="tx1"/>
            </w14:solidFill>
          </w14:textFill>
        </w:rPr>
        <w:t>）和褐菖鮋（</w:t>
      </w:r>
      <w:r>
        <w:rPr>
          <w:bCs/>
          <w:i/>
          <w:iCs/>
          <w:color w:val="000000" w:themeColor="text1"/>
          <w:lang w:bidi="en-US"/>
          <w14:textFill>
            <w14:solidFill>
              <w14:schemeClr w14:val="tx1"/>
            </w14:solidFill>
          </w14:textFill>
        </w:rPr>
        <w:t>Sebastiscusmarmoratus</w:t>
      </w:r>
      <w:r>
        <w:rPr>
          <w:bCs/>
          <w:color w:val="000000" w:themeColor="text1"/>
          <w:lang w:bidi="en-US"/>
          <w14:textFill>
            <w14:solidFill>
              <w14:schemeClr w14:val="tx1"/>
            </w14:solidFill>
          </w14:textFill>
        </w:rPr>
        <w:t>）。</w:t>
      </w:r>
    </w:p>
    <w:p>
      <w:pPr>
        <w:ind w:firstLine="438" w:firstLineChars="200"/>
        <w:rPr>
          <w:bCs/>
          <w:color w:val="000000" w:themeColor="text1"/>
          <w:lang w:bidi="en-US"/>
          <w14:textFill>
            <w14:solidFill>
              <w14:schemeClr w14:val="tx1"/>
            </w14:solidFill>
          </w14:textFill>
        </w:rPr>
      </w:pPr>
      <w:r>
        <w:rPr>
          <w:rFonts w:hint="eastAsia" w:ascii="宋体" w:hAnsi="宋体" w:cs="宋体"/>
          <w:bCs/>
          <w:color w:val="000000" w:themeColor="text1"/>
          <w:lang w:bidi="en-US"/>
          <w14:textFill>
            <w14:solidFill>
              <w14:schemeClr w14:val="tx1"/>
            </w14:solidFill>
          </w14:textFill>
        </w:rPr>
        <w:t>③</w:t>
      </w:r>
      <w:r>
        <w:rPr>
          <w:bCs/>
          <w:color w:val="000000" w:themeColor="text1"/>
          <w:lang w:bidi="en-US"/>
          <w14:textFill>
            <w14:solidFill>
              <w14:schemeClr w14:val="tx1"/>
            </w14:solidFill>
          </w14:textFill>
        </w:rPr>
        <w:t>渔获量及相对资源密度</w:t>
      </w:r>
    </w:p>
    <w:p>
      <w:pPr>
        <w:pStyle w:val="384"/>
        <w:ind w:left="0" w:firstLine="528"/>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渔获量组成及相对资源密度（2022年4月）</w:t>
      </w:r>
    </w:p>
    <w:p>
      <w:pPr>
        <w:ind w:firstLine="438" w:firstLineChars="200"/>
        <w:rPr>
          <w:bCs/>
          <w:color w:val="000000" w:themeColor="text1"/>
          <w14:textFill>
            <w14:solidFill>
              <w14:schemeClr w14:val="tx1"/>
            </w14:solidFill>
          </w14:textFill>
        </w:rPr>
      </w:pPr>
      <w:r>
        <w:rPr>
          <w:rFonts w:hint="eastAsia" w:ascii="宋体" w:hAnsi="宋体" w:cs="宋体"/>
          <w:bCs/>
          <w:color w:val="000000" w:themeColor="text1"/>
          <w14:textFill>
            <w14:solidFill>
              <w14:schemeClr w14:val="tx1"/>
            </w14:solidFill>
          </w14:textFill>
        </w:rPr>
        <w:t>④</w:t>
      </w:r>
      <w:r>
        <w:rPr>
          <w:bCs/>
          <w:color w:val="000000" w:themeColor="text1"/>
          <w14:textFill>
            <w14:solidFill>
              <w14:schemeClr w14:val="tx1"/>
            </w14:solidFill>
          </w14:textFill>
        </w:rPr>
        <w:t>生物多样性评价</w:t>
      </w:r>
    </w:p>
    <w:p>
      <w:pPr>
        <w:pStyle w:val="384"/>
        <w:ind w:left="0" w:firstLine="528"/>
        <w:rPr>
          <w:rFonts w:cs="Times New Roman"/>
          <w:bCs/>
          <w:color w:val="000000" w:themeColor="text1"/>
          <w14:textFill>
            <w14:solidFill>
              <w14:schemeClr w14:val="tx1"/>
            </w14:solidFill>
          </w14:textFill>
        </w:rPr>
      </w:pPr>
      <w:r>
        <w:rPr>
          <w:rFonts w:cs="Times New Roman"/>
          <w:color w:val="000000" w:themeColor="text1"/>
          <w14:textFill>
            <w14:solidFill>
              <w14:schemeClr w14:val="tx1"/>
            </w14:solidFill>
          </w14:textFill>
        </w:rPr>
        <w:t>各站游泳动物生物多样性指数（2022年4月）</w:t>
      </w:r>
    </w:p>
    <w:p>
      <w:pPr>
        <w:pStyle w:val="6"/>
        <w:rPr>
          <w:color w:val="000000" w:themeColor="text1"/>
          <w14:textFill>
            <w14:solidFill>
              <w14:schemeClr w14:val="tx1"/>
            </w14:solidFill>
          </w14:textFill>
        </w:rPr>
      </w:pPr>
      <w:r>
        <w:rPr>
          <w:rFonts w:hint="eastAsia"/>
          <w:color w:val="000000" w:themeColor="text1"/>
          <w14:textFill>
            <w14:solidFill>
              <w14:schemeClr w14:val="tx1"/>
            </w14:solidFill>
          </w14:textFill>
        </w:rPr>
        <w:t>评价小结</w:t>
      </w:r>
    </w:p>
    <w:p>
      <w:pPr>
        <w:pStyle w:val="1856"/>
        <w:ind w:firstLine="437"/>
        <w:rPr>
          <w:color w:val="000000" w:themeColor="text1"/>
          <w:lang w:val="en-US" w:bidi="zh-CN"/>
          <w14:textFill>
            <w14:solidFill>
              <w14:schemeClr w14:val="tx1"/>
            </w14:solidFill>
          </w14:textFill>
        </w:rPr>
      </w:pPr>
      <w:r>
        <w:rPr>
          <w:rFonts w:hint="eastAsia"/>
          <w:color w:val="000000" w:themeColor="text1"/>
          <w:lang w:bidi="zh-CN"/>
          <w14:textFill>
            <w14:solidFill>
              <w14:schemeClr w14:val="tx1"/>
            </w14:solidFill>
          </w14:textFill>
        </w:rPr>
        <w:t>本项目工程周边海域</w:t>
      </w:r>
      <w:r>
        <w:rPr>
          <w:rFonts w:hint="eastAsia"/>
          <w:color w:val="000000" w:themeColor="text1"/>
          <w:lang w:val="en-US" w:bidi="zh-CN"/>
          <w14:textFill>
            <w14:solidFill>
              <w14:schemeClr w14:val="tx1"/>
            </w14:solidFill>
          </w14:textFill>
        </w:rPr>
        <w:t xml:space="preserve">2021年11月，鱼卵、仔鱼监测站点为4号、13号、14号站，2022年4月为12号、16号、17号站，调查时段鱼卵、仔鱼密度均为0，上述站点均位于钦州港大榄坪港口工业用海区，调查区域内航运密集，工业码头聚集，难以检测到鱼卵仔鱼。工程所在海域鱼卵平均密度0.227 </w:t>
      </w:r>
      <w:r>
        <w:rPr>
          <w:color w:val="000000" w:themeColor="text1"/>
          <w:lang w:val="en-US" w:bidi="zh-CN"/>
          <w14:textFill>
            <w14:solidFill>
              <w14:schemeClr w14:val="tx1"/>
            </w14:solidFill>
          </w14:textFill>
        </w:rPr>
        <w:t>ind</w:t>
      </w:r>
      <w:r>
        <w:rPr>
          <w:rFonts w:hint="eastAsia"/>
          <w:color w:val="000000" w:themeColor="text1"/>
          <w:lang w:val="en-US" w:bidi="zh-CN"/>
          <w14:textFill>
            <w14:solidFill>
              <w14:schemeClr w14:val="tx1"/>
            </w14:solidFill>
          </w14:textFill>
        </w:rPr>
        <w:t>.</w:t>
      </w:r>
      <w:r>
        <w:rPr>
          <w:color w:val="000000" w:themeColor="text1"/>
          <w:lang w:val="en-US" w:bidi="zh-CN"/>
          <w14:textFill>
            <w14:solidFill>
              <w14:schemeClr w14:val="tx1"/>
            </w14:solidFill>
          </w14:textFill>
        </w:rPr>
        <w:t>./m</w:t>
      </w:r>
      <w:r>
        <w:rPr>
          <w:color w:val="000000" w:themeColor="text1"/>
          <w:vertAlign w:val="superscript"/>
          <w:lang w:val="en-US" w:bidi="zh-CN"/>
          <w14:textFill>
            <w14:solidFill>
              <w14:schemeClr w14:val="tx1"/>
            </w14:solidFill>
          </w14:textFill>
        </w:rPr>
        <w:t>3</w:t>
      </w:r>
      <w:r>
        <w:rPr>
          <w:color w:val="000000" w:themeColor="text1"/>
          <w:lang w:val="en-US" w:bidi="zh-CN"/>
          <w14:textFill>
            <w14:solidFill>
              <w14:schemeClr w14:val="tx1"/>
            </w14:solidFill>
          </w14:textFill>
        </w:rPr>
        <w:t>，仔鱼平均密度</w:t>
      </w:r>
      <w:r>
        <w:rPr>
          <w:rFonts w:hint="eastAsia"/>
          <w:color w:val="000000" w:themeColor="text1"/>
          <w:lang w:val="en-US" w:bidi="zh-CN"/>
          <w14:textFill>
            <w14:solidFill>
              <w14:schemeClr w14:val="tx1"/>
            </w14:solidFill>
          </w14:textFill>
        </w:rPr>
        <w:t xml:space="preserve">0.065 </w:t>
      </w:r>
      <w:r>
        <w:rPr>
          <w:color w:val="000000" w:themeColor="text1"/>
          <w:lang w:val="en-US" w:bidi="zh-CN"/>
          <w14:textFill>
            <w14:solidFill>
              <w14:schemeClr w14:val="tx1"/>
            </w14:solidFill>
          </w14:textFill>
        </w:rPr>
        <w:t>ind</w:t>
      </w:r>
      <w:r>
        <w:rPr>
          <w:rFonts w:hint="eastAsia"/>
          <w:color w:val="000000" w:themeColor="text1"/>
          <w:lang w:val="en-US" w:bidi="zh-CN"/>
          <w14:textFill>
            <w14:solidFill>
              <w14:schemeClr w14:val="tx1"/>
            </w14:solidFill>
          </w14:textFill>
        </w:rPr>
        <w:t>.</w:t>
      </w:r>
      <w:r>
        <w:rPr>
          <w:color w:val="000000" w:themeColor="text1"/>
          <w:lang w:val="en-US" w:bidi="zh-CN"/>
          <w14:textFill>
            <w14:solidFill>
              <w14:schemeClr w14:val="tx1"/>
            </w14:solidFill>
          </w14:textFill>
        </w:rPr>
        <w:t>./m</w:t>
      </w:r>
      <w:r>
        <w:rPr>
          <w:color w:val="000000" w:themeColor="text1"/>
          <w:vertAlign w:val="superscript"/>
          <w:lang w:val="en-US" w:bidi="zh-CN"/>
          <w14:textFill>
            <w14:solidFill>
              <w14:schemeClr w14:val="tx1"/>
            </w14:solidFill>
          </w14:textFill>
        </w:rPr>
        <w:t>3</w:t>
      </w:r>
      <w:r>
        <w:rPr>
          <w:color w:val="000000" w:themeColor="text1"/>
          <w:lang w:val="en-US" w:bidi="zh-CN"/>
          <w14:textFill>
            <w14:solidFill>
              <w14:schemeClr w14:val="tx1"/>
            </w14:solidFill>
          </w14:textFill>
        </w:rPr>
        <w:t>。</w:t>
      </w:r>
    </w:p>
    <w:p>
      <w:pPr>
        <w:pStyle w:val="1856"/>
        <w:ind w:firstLine="437"/>
        <w:rPr>
          <w:color w:val="000000" w:themeColor="text1"/>
          <w:lang w:bidi="zh-CN"/>
          <w14:textFill>
            <w14:solidFill>
              <w14:schemeClr w14:val="tx1"/>
            </w14:solidFill>
          </w14:textFill>
        </w:rPr>
      </w:pPr>
      <w:r>
        <w:rPr>
          <w:rFonts w:hint="eastAsia"/>
          <w:color w:val="000000" w:themeColor="text1"/>
          <w:lang w:bidi="zh-CN"/>
          <w14:textFill>
            <w14:solidFill>
              <w14:schemeClr w14:val="tx1"/>
            </w14:solidFill>
          </w14:textFill>
        </w:rPr>
        <w:t>工程周边海域游泳动物调查断面为Y1、Y4、Y5、Y6，游泳动物重量相对资源密度平均值</w:t>
      </w:r>
      <w:r>
        <w:rPr>
          <w:rFonts w:hint="eastAsia"/>
          <w:color w:val="000000" w:themeColor="text1"/>
          <w:lang w:val="en-US" w:bidi="zh-CN"/>
          <w14:textFill>
            <w14:solidFill>
              <w14:schemeClr w14:val="tx1"/>
            </w14:solidFill>
          </w14:textFill>
        </w:rPr>
        <w:t>143.49</w:t>
      </w:r>
      <w:r>
        <w:rPr>
          <w:color w:val="000000" w:themeColor="text1"/>
          <w:kern w:val="2"/>
          <w:szCs w:val="24"/>
          <w:lang w:val="en-US"/>
          <w14:textFill>
            <w14:solidFill>
              <w14:schemeClr w14:val="tx1"/>
            </w14:solidFill>
          </w14:textFill>
        </w:rPr>
        <w:t xml:space="preserve"> </w:t>
      </w:r>
      <w:r>
        <w:rPr>
          <w:color w:val="000000" w:themeColor="text1"/>
          <w:lang w:val="en-US" w:bidi="zh-CN"/>
          <w14:textFill>
            <w14:solidFill>
              <w14:schemeClr w14:val="tx1"/>
            </w14:solidFill>
          </w14:textFill>
        </w:rPr>
        <w:t>kg/km</w:t>
      </w:r>
      <w:r>
        <w:rPr>
          <w:color w:val="000000" w:themeColor="text1"/>
          <w:vertAlign w:val="superscript"/>
          <w:lang w:val="en-US" w:bidi="zh-CN"/>
          <w14:textFill>
            <w14:solidFill>
              <w14:schemeClr w14:val="tx1"/>
            </w14:solidFill>
          </w14:textFill>
        </w:rPr>
        <w:t>2</w:t>
      </w:r>
      <w:r>
        <w:rPr>
          <w:rFonts w:hint="eastAsia"/>
          <w:color w:val="000000" w:themeColor="text1"/>
          <w:lang w:bidi="zh-CN"/>
          <w14:textFill>
            <w14:solidFill>
              <w14:schemeClr w14:val="tx1"/>
            </w14:solidFill>
          </w14:textFill>
        </w:rPr>
        <w:t>，评价范围内游泳动物重量相对资源平均密度为132.02</w:t>
      </w:r>
      <w:r>
        <w:rPr>
          <w:color w:val="000000" w:themeColor="text1"/>
          <w:kern w:val="2"/>
          <w:szCs w:val="24"/>
          <w:lang w:val="en-US"/>
          <w14:textFill>
            <w14:solidFill>
              <w14:schemeClr w14:val="tx1"/>
            </w14:solidFill>
          </w14:textFill>
        </w:rPr>
        <w:t xml:space="preserve"> </w:t>
      </w:r>
      <w:r>
        <w:rPr>
          <w:color w:val="000000" w:themeColor="text1"/>
          <w:lang w:val="en-US" w:bidi="zh-CN"/>
          <w14:textFill>
            <w14:solidFill>
              <w14:schemeClr w14:val="tx1"/>
            </w14:solidFill>
          </w14:textFill>
        </w:rPr>
        <w:t>kg/km</w:t>
      </w:r>
      <w:r>
        <w:rPr>
          <w:color w:val="000000" w:themeColor="text1"/>
          <w:vertAlign w:val="superscript"/>
          <w:lang w:val="en-US" w:bidi="zh-CN"/>
          <w14:textFill>
            <w14:solidFill>
              <w14:schemeClr w14:val="tx1"/>
            </w14:solidFill>
          </w14:textFill>
        </w:rPr>
        <w:t>2</w:t>
      </w:r>
      <w:r>
        <w:rPr>
          <w:rFonts w:hint="eastAsia"/>
          <w:color w:val="000000" w:themeColor="text1"/>
          <w:lang w:bidi="zh-CN"/>
          <w14:textFill>
            <w14:solidFill>
              <w14:schemeClr w14:val="tx1"/>
            </w14:solidFill>
          </w14:textFill>
        </w:rPr>
        <w:t>，可知工程周边海域游泳动物多样性及丰富度一般，物种分布较均匀。</w:t>
      </w:r>
    </w:p>
    <w:p>
      <w:pPr>
        <w:pStyle w:val="384"/>
        <w:ind w:left="0" w:firstLine="528"/>
        <w:rPr>
          <w:rFonts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工程周边监测站点游泳动物监测结果统计一览表</w:t>
      </w:r>
    </w:p>
    <w:p>
      <w:pPr>
        <w:pStyle w:val="5"/>
        <w:rPr>
          <w:color w:val="000000" w:themeColor="text1"/>
          <w14:textFill>
            <w14:solidFill>
              <w14:schemeClr w14:val="tx1"/>
            </w14:solidFill>
          </w14:textFill>
        </w:rPr>
      </w:pPr>
      <w:r>
        <w:rPr>
          <w:color w:val="000000" w:themeColor="text1"/>
          <w14:textFill>
            <w14:solidFill>
              <w14:schemeClr w14:val="tx1"/>
            </w14:solidFill>
          </w14:textFill>
        </w:rPr>
        <w:t>海洋生物体质量调查与评价</w:t>
      </w:r>
    </w:p>
    <w:bookmarkEnd w:id="134"/>
    <w:bookmarkEnd w:id="135"/>
    <w:bookmarkEnd w:id="136"/>
    <w:bookmarkEnd w:id="137"/>
    <w:bookmarkEnd w:id="138"/>
    <w:bookmarkEnd w:id="139"/>
    <w:p>
      <w:pPr>
        <w:ind w:firstLine="438" w:firstLineChars="200"/>
        <w:rPr>
          <w:bCs/>
          <w:color w:val="000000" w:themeColor="text1"/>
          <w14:textFill>
            <w14:solidFill>
              <w14:schemeClr w14:val="tx1"/>
            </w14:solidFill>
          </w14:textFill>
        </w:rPr>
      </w:pPr>
      <w:bookmarkStart w:id="151" w:name="_Toc317003254"/>
      <w:bookmarkStart w:id="152" w:name="_Toc232154469"/>
      <w:bookmarkStart w:id="153" w:name="_Toc247517476"/>
      <w:bookmarkStart w:id="154" w:name="_Toc317003534"/>
      <w:bookmarkStart w:id="155" w:name="_Toc247517549"/>
      <w:bookmarkStart w:id="156" w:name="_Toc247517306"/>
      <w:r>
        <w:rPr>
          <w:bCs/>
          <w:color w:val="000000" w:themeColor="text1"/>
          <w14:textFill>
            <w14:solidFill>
              <w14:schemeClr w14:val="tx1"/>
            </w14:solidFill>
          </w14:textFill>
        </w:rPr>
        <w:t>（1）2021年11月</w:t>
      </w:r>
    </w:p>
    <w:p>
      <w:pPr>
        <w:ind w:firstLine="438" w:firstLineChars="200"/>
        <w:rPr>
          <w:bCs/>
          <w:color w:val="000000" w:themeColor="text1"/>
          <w14:textFill>
            <w14:solidFill>
              <w14:schemeClr w14:val="tx1"/>
            </w14:solidFill>
          </w14:textFill>
        </w:rPr>
      </w:pPr>
      <w:r>
        <w:rPr>
          <w:bCs/>
          <w:color w:val="000000" w:themeColor="text1"/>
          <w14:textFill>
            <w14:solidFill>
              <w14:schemeClr w14:val="tx1"/>
            </w14:solidFill>
          </w14:textFill>
        </w:rPr>
        <w:t>根据海洋生物体质量调查结果，</w:t>
      </w:r>
      <w:r>
        <w:rPr>
          <w:rFonts w:hint="eastAsia"/>
          <w:bCs/>
          <w:color w:val="000000" w:themeColor="text1"/>
          <w14:textFill>
            <w14:solidFill>
              <w14:schemeClr w14:val="tx1"/>
            </w14:solidFill>
          </w14:textFill>
        </w:rPr>
        <w:t>贝</w:t>
      </w:r>
      <w:r>
        <w:rPr>
          <w:bCs/>
          <w:color w:val="000000" w:themeColor="text1"/>
          <w14:textFill>
            <w14:solidFill>
              <w14:schemeClr w14:val="tx1"/>
            </w14:solidFill>
          </w14:textFill>
        </w:rPr>
        <w:t>类的</w:t>
      </w:r>
      <w:r>
        <w:rPr>
          <w:color w:val="000000" w:themeColor="text1"/>
          <w14:textFill>
            <w14:solidFill>
              <w14:schemeClr w14:val="tx1"/>
            </w14:solidFill>
          </w14:textFill>
        </w:rPr>
        <w:t>锌</w:t>
      </w:r>
      <w:r>
        <w:rPr>
          <w:bCs/>
          <w:color w:val="000000" w:themeColor="text1"/>
          <w14:textFill>
            <w14:solidFill>
              <w14:schemeClr w14:val="tx1"/>
            </w14:solidFill>
          </w14:textFill>
        </w:rPr>
        <w:t>出现不同程度的超标现象，其余指标均满足相应评价标准。</w:t>
      </w:r>
    </w:p>
    <w:p>
      <w:pPr>
        <w:pStyle w:val="384"/>
        <w:ind w:left="0" w:firstLine="528"/>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生物体质量调查结果（2021年11月）</w:t>
      </w:r>
    </w:p>
    <w:p>
      <w:pPr>
        <w:pStyle w:val="384"/>
        <w:numPr>
          <w:ilvl w:val="0"/>
          <w:numId w:val="0"/>
        </w:numPr>
        <w:ind w:left="528"/>
        <w:jc w:val="right"/>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单位：×10</w:t>
      </w:r>
      <w:r>
        <w:rPr>
          <w:rFonts w:cs="Times New Roman"/>
          <w:color w:val="000000" w:themeColor="text1"/>
          <w:vertAlign w:val="superscript"/>
          <w14:textFill>
            <w14:solidFill>
              <w14:schemeClr w14:val="tx1"/>
            </w14:solidFill>
          </w14:textFill>
        </w:rPr>
        <w:t>-6</w:t>
      </w:r>
    </w:p>
    <w:p>
      <w:pPr>
        <w:pStyle w:val="384"/>
        <w:ind w:left="0" w:firstLine="528"/>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生物体质量评价结果</w:t>
      </w:r>
    </w:p>
    <w:p>
      <w:pPr>
        <w:ind w:firstLine="438" w:firstLineChars="200"/>
        <w:rPr>
          <w:bCs/>
          <w:color w:val="000000" w:themeColor="text1"/>
          <w14:textFill>
            <w14:solidFill>
              <w14:schemeClr w14:val="tx1"/>
            </w14:solidFill>
          </w14:textFill>
        </w:rPr>
      </w:pPr>
      <w:r>
        <w:rPr>
          <w:bCs/>
          <w:color w:val="000000" w:themeColor="text1"/>
          <w14:textFill>
            <w14:solidFill>
              <w14:schemeClr w14:val="tx1"/>
            </w14:solidFill>
          </w14:textFill>
        </w:rPr>
        <w:t>（2）2022年4月</w:t>
      </w:r>
    </w:p>
    <w:p>
      <w:pPr>
        <w:ind w:firstLine="438" w:firstLineChars="200"/>
        <w:rPr>
          <w:bCs/>
          <w:color w:val="000000" w:themeColor="text1"/>
          <w14:textFill>
            <w14:solidFill>
              <w14:schemeClr w14:val="tx1"/>
            </w14:solidFill>
          </w14:textFill>
        </w:rPr>
      </w:pPr>
      <w:r>
        <w:rPr>
          <w:bCs/>
          <w:color w:val="000000" w:themeColor="text1"/>
          <w14:textFill>
            <w14:solidFill>
              <w14:schemeClr w14:val="tx1"/>
            </w14:solidFill>
          </w14:textFill>
        </w:rPr>
        <w:t>根据海洋生物体质量调查结果，所有指标均满足相应评价标准。</w:t>
      </w:r>
    </w:p>
    <w:p>
      <w:pPr>
        <w:pStyle w:val="384"/>
        <w:ind w:left="0" w:firstLine="528"/>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生物体质量调查结果（2022年4月）</w:t>
      </w:r>
    </w:p>
    <w:p>
      <w:pPr>
        <w:pStyle w:val="384"/>
        <w:numPr>
          <w:ilvl w:val="0"/>
          <w:numId w:val="0"/>
        </w:numPr>
        <w:ind w:left="528"/>
        <w:jc w:val="right"/>
        <w:rPr>
          <w:rFonts w:cs="Times New Roman"/>
          <w:b w:val="0"/>
          <w:bCs/>
          <w:color w:val="000000" w:themeColor="text1"/>
          <w14:textFill>
            <w14:solidFill>
              <w14:schemeClr w14:val="tx1"/>
            </w14:solidFill>
          </w14:textFill>
        </w:rPr>
      </w:pPr>
      <w:r>
        <w:rPr>
          <w:rFonts w:cs="Times New Roman"/>
          <w:b w:val="0"/>
          <w:bCs/>
          <w:color w:val="000000" w:themeColor="text1"/>
          <w14:textFill>
            <w14:solidFill>
              <w14:schemeClr w14:val="tx1"/>
            </w14:solidFill>
          </w14:textFill>
        </w:rPr>
        <w:t>单位：×10</w:t>
      </w:r>
      <w:r>
        <w:rPr>
          <w:rFonts w:cs="Times New Roman"/>
          <w:b w:val="0"/>
          <w:bCs/>
          <w:color w:val="000000" w:themeColor="text1"/>
          <w:vertAlign w:val="superscript"/>
          <w14:textFill>
            <w14:solidFill>
              <w14:schemeClr w14:val="tx1"/>
            </w14:solidFill>
          </w14:textFill>
        </w:rPr>
        <w:t>-6</w:t>
      </w:r>
    </w:p>
    <w:p>
      <w:pPr>
        <w:pStyle w:val="384"/>
        <w:ind w:left="0" w:firstLine="528"/>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生物体质量评价结果</w:t>
      </w:r>
    </w:p>
    <w:bookmarkEnd w:id="151"/>
    <w:bookmarkEnd w:id="152"/>
    <w:bookmarkEnd w:id="153"/>
    <w:bookmarkEnd w:id="154"/>
    <w:bookmarkEnd w:id="155"/>
    <w:bookmarkEnd w:id="156"/>
    <w:p>
      <w:pPr>
        <w:pStyle w:val="5"/>
        <w:rPr>
          <w:color w:val="000000" w:themeColor="text1"/>
          <w14:textFill>
            <w14:solidFill>
              <w14:schemeClr w14:val="tx1"/>
            </w14:solidFill>
          </w14:textFill>
        </w:rPr>
      </w:pPr>
      <w:r>
        <w:rPr>
          <w:color w:val="000000" w:themeColor="text1"/>
          <w14:textFill>
            <w14:solidFill>
              <w14:schemeClr w14:val="tx1"/>
            </w14:solidFill>
          </w14:textFill>
        </w:rPr>
        <w:t>水文动力环境现状调查</w:t>
      </w:r>
    </w:p>
    <w:p>
      <w:pPr>
        <w:pStyle w:val="430"/>
        <w:numPr>
          <w:ilvl w:val="3"/>
          <w:numId w:val="2"/>
        </w:numPr>
        <w:rPr>
          <w:lang w:bidi="zh-CN"/>
        </w:rPr>
      </w:pPr>
    </w:p>
    <w:p>
      <w:pPr>
        <w:pStyle w:val="6"/>
        <w:rPr>
          <w:color w:val="000000" w:themeColor="text1"/>
          <w14:textFill>
            <w14:solidFill>
              <w14:schemeClr w14:val="tx1"/>
            </w14:solidFill>
          </w14:textFill>
        </w:rPr>
      </w:pPr>
      <w:r>
        <w:rPr>
          <w:color w:val="000000" w:themeColor="text1"/>
          <w14:textFill>
            <w14:solidFill>
              <w14:schemeClr w14:val="tx1"/>
            </w14:solidFill>
          </w14:textFill>
        </w:rPr>
        <w:t>调查时间与站位布设</w:t>
      </w:r>
    </w:p>
    <w:p>
      <w:pPr>
        <w:ind w:firstLine="438" w:firstLineChars="200"/>
        <w:rPr>
          <w:color w:val="000000" w:themeColor="text1"/>
          <w:kern w:val="0"/>
          <w14:textFill>
            <w14:solidFill>
              <w14:schemeClr w14:val="tx1"/>
            </w14:solidFill>
          </w14:textFill>
        </w:rPr>
      </w:pPr>
      <w:r>
        <w:rPr>
          <w:color w:val="000000" w:themeColor="text1"/>
          <w:kern w:val="0"/>
          <w14:textFill>
            <w14:solidFill>
              <w14:schemeClr w14:val="tx1"/>
            </w14:solidFill>
          </w14:textFill>
        </w:rPr>
        <w:t>共布设潮位测站3个，海流测站6个。观测时间为2019年9月27日至9月28日（秋季）和2020年3月21日至3月22日（春季），监测单位为广西北部湾海洋研究中心，监测站位布设见图3.3-</w:t>
      </w:r>
      <w:r>
        <w:rPr>
          <w:rFonts w:hint="eastAsia"/>
          <w:color w:val="000000" w:themeColor="text1"/>
          <w:kern w:val="0"/>
          <w14:textFill>
            <w14:solidFill>
              <w14:schemeClr w14:val="tx1"/>
            </w14:solidFill>
          </w14:textFill>
        </w:rPr>
        <w:t>7</w:t>
      </w:r>
      <w:r>
        <w:rPr>
          <w:color w:val="000000" w:themeColor="text1"/>
          <w:kern w:val="0"/>
          <w14:textFill>
            <w14:solidFill>
              <w14:schemeClr w14:val="tx1"/>
            </w14:solidFill>
          </w14:textFill>
        </w:rPr>
        <w:t>。根据</w:t>
      </w:r>
      <w:r>
        <w:rPr>
          <w:rFonts w:hint="eastAsia"/>
          <w:color w:val="000000" w:themeColor="text1"/>
          <w:kern w:val="0"/>
          <w14:textFill>
            <w14:solidFill>
              <w14:schemeClr w14:val="tx1"/>
            </w14:solidFill>
          </w14:textFill>
        </w:rPr>
        <w:t>Goggle Earth历史影像图显示，自2019年至今，监测站位周边海岸线未新增围填海，水文动力环境基本不变，监测数据有效性良好。</w:t>
      </w:r>
    </w:p>
    <w:p>
      <w:pPr>
        <w:pStyle w:val="553"/>
        <w:rPr>
          <w:color w:val="000000" w:themeColor="text1"/>
          <w14:textFill>
            <w14:solidFill>
              <w14:schemeClr w14:val="tx1"/>
            </w14:solidFill>
          </w14:textFill>
        </w:rPr>
      </w:pPr>
      <w:r>
        <w:rPr>
          <w:color w:val="000000" w:themeColor="text1"/>
          <w14:textFill>
            <w14:solidFill>
              <w14:schemeClr w14:val="tx1"/>
            </w14:solidFill>
          </w14:textFill>
        </w:rPr>
        <w:t>海流、潮位观测站位布设图</w:t>
      </w:r>
    </w:p>
    <w:p>
      <w:pPr>
        <w:pStyle w:val="6"/>
        <w:rPr>
          <w:color w:val="000000" w:themeColor="text1"/>
          <w14:textFill>
            <w14:solidFill>
              <w14:schemeClr w14:val="tx1"/>
            </w14:solidFill>
          </w14:textFill>
        </w:rPr>
      </w:pPr>
      <w:r>
        <w:rPr>
          <w:color w:val="000000" w:themeColor="text1"/>
          <w14:textFill>
            <w14:solidFill>
              <w14:schemeClr w14:val="tx1"/>
            </w14:solidFill>
          </w14:textFill>
        </w:rPr>
        <w:t>潮汐</w:t>
      </w:r>
    </w:p>
    <w:p>
      <w:pPr>
        <w:ind w:firstLine="438" w:firstLineChars="200"/>
        <w:rPr>
          <w:color w:val="000000" w:themeColor="text1"/>
          <w14:textFill>
            <w14:solidFill>
              <w14:schemeClr w14:val="tx1"/>
            </w14:solidFill>
          </w14:textFill>
        </w:rPr>
      </w:pPr>
      <w:r>
        <w:rPr>
          <w:color w:val="000000" w:themeColor="text1"/>
          <w14:textFill>
            <w14:solidFill>
              <w14:schemeClr w14:val="tx1"/>
            </w14:solidFill>
          </w14:textFill>
        </w:rPr>
        <w:t>（1）实测潮位资料统计分析</w:t>
      </w:r>
    </w:p>
    <w:p>
      <w:pPr>
        <w:ind w:firstLine="438" w:firstLineChars="200"/>
        <w:rPr>
          <w:color w:val="000000" w:themeColor="text1"/>
          <w:kern w:val="0"/>
          <w14:textFill>
            <w14:solidFill>
              <w14:schemeClr w14:val="tx1"/>
            </w14:solidFill>
          </w14:textFill>
        </w:rPr>
      </w:pPr>
      <w:r>
        <w:rPr>
          <w:color w:val="000000" w:themeColor="text1"/>
          <w:kern w:val="0"/>
          <w14:textFill>
            <w14:solidFill>
              <w14:schemeClr w14:val="tx1"/>
            </w14:solidFill>
          </w14:textFill>
        </w:rPr>
        <w:t>工程附近海域设置3个临时验潮站，分别位于钦州港（CW1）、三娘湾（CW2）和企沙半岛东岸（CW3），潮位测量中采用1985国家高程基准面为零点。以2019年9月27日～28日潮位观测结果进行分析，潮位曲线如图3.3-</w:t>
      </w:r>
      <w:r>
        <w:rPr>
          <w:rFonts w:hint="eastAsia"/>
          <w:color w:val="000000" w:themeColor="text1"/>
          <w:kern w:val="0"/>
          <w14:textFill>
            <w14:solidFill>
              <w14:schemeClr w14:val="tx1"/>
            </w14:solidFill>
          </w14:textFill>
        </w:rPr>
        <w:t>8</w:t>
      </w:r>
      <w:r>
        <w:rPr>
          <w:color w:val="000000" w:themeColor="text1"/>
          <w:kern w:val="0"/>
          <w14:textFill>
            <w14:solidFill>
              <w14:schemeClr w14:val="tx1"/>
            </w14:solidFill>
          </w14:textFill>
        </w:rPr>
        <w:t>～3.3-</w:t>
      </w:r>
      <w:r>
        <w:rPr>
          <w:rFonts w:hint="eastAsia"/>
          <w:color w:val="000000" w:themeColor="text1"/>
          <w:kern w:val="0"/>
          <w14:textFill>
            <w14:solidFill>
              <w14:schemeClr w14:val="tx1"/>
            </w14:solidFill>
          </w14:textFill>
        </w:rPr>
        <w:t>10</w:t>
      </w:r>
      <w:r>
        <w:rPr>
          <w:color w:val="000000" w:themeColor="text1"/>
          <w:kern w:val="0"/>
          <w14:textFill>
            <w14:solidFill>
              <w14:schemeClr w14:val="tx1"/>
            </w14:solidFill>
          </w14:textFill>
        </w:rPr>
        <w:t>所示。由观测结果可知，工程所在海域的潮汐属于不正规全日潮类型。观测期间三个临时潮位站潮汐潮差分别为3.61m、3.57m和3.50m，落潮历时分别约9h45min、10h和9h15min。</w:t>
      </w:r>
    </w:p>
    <w:p>
      <w:pPr>
        <w:jc w:val="center"/>
        <w:rPr>
          <w:b/>
          <w:color w:val="000000" w:themeColor="text1"/>
          <w:sz w:val="21"/>
          <w:szCs w:val="22"/>
          <w:lang w:bidi="en-US"/>
          <w14:textFill>
            <w14:solidFill>
              <w14:schemeClr w14:val="tx1"/>
            </w14:solidFill>
          </w14:textFill>
        </w:rPr>
      </w:pPr>
      <w:r>
        <w:rPr>
          <w:b/>
          <w:color w:val="000000" w:themeColor="text1"/>
          <w:sz w:val="21"/>
          <w:szCs w:val="22"/>
          <w:lang w:bidi="en-US"/>
          <w14:textFill>
            <w14:solidFill>
              <w14:schemeClr w14:val="tx1"/>
            </w14:solidFill>
          </w14:textFill>
        </w:rPr>
        <w:t xml:space="preserve"> </w:t>
      </w:r>
    </w:p>
    <w:p>
      <w:pPr>
        <w:pStyle w:val="553"/>
        <w:rPr>
          <w:color w:val="000000" w:themeColor="text1"/>
          <w14:textFill>
            <w14:solidFill>
              <w14:schemeClr w14:val="tx1"/>
            </w14:solidFill>
          </w14:textFill>
        </w:rPr>
      </w:pPr>
      <w:r>
        <w:rPr>
          <w:color w:val="000000" w:themeColor="text1"/>
          <w14:textFill>
            <w14:solidFill>
              <w14:schemeClr w14:val="tx1"/>
            </w14:solidFill>
          </w14:textFill>
        </w:rPr>
        <w:t xml:space="preserve"> 钦州港临时验潮站（CW1）潮位曲线（85高程）</w:t>
      </w:r>
    </w:p>
    <w:p>
      <w:pPr>
        <w:jc w:val="center"/>
        <w:rPr>
          <w:b/>
          <w:color w:val="000000" w:themeColor="text1"/>
          <w:sz w:val="21"/>
          <w:szCs w:val="22"/>
          <w:lang w:bidi="en-US"/>
          <w14:textFill>
            <w14:solidFill>
              <w14:schemeClr w14:val="tx1"/>
            </w14:solidFill>
          </w14:textFill>
        </w:rPr>
      </w:pPr>
      <w:r>
        <w:rPr>
          <w:b/>
          <w:color w:val="000000" w:themeColor="text1"/>
          <w:sz w:val="21"/>
          <w:szCs w:val="22"/>
          <w:lang w:bidi="en-US"/>
          <w14:textFill>
            <w14:solidFill>
              <w14:schemeClr w14:val="tx1"/>
            </w14:solidFill>
          </w14:textFill>
        </w:rPr>
        <w:t xml:space="preserve"> </w:t>
      </w:r>
    </w:p>
    <w:p>
      <w:pPr>
        <w:pStyle w:val="553"/>
        <w:rPr>
          <w:color w:val="000000" w:themeColor="text1"/>
          <w14:textFill>
            <w14:solidFill>
              <w14:schemeClr w14:val="tx1"/>
            </w14:solidFill>
          </w14:textFill>
        </w:rPr>
      </w:pPr>
      <w:r>
        <w:rPr>
          <w:color w:val="000000" w:themeColor="text1"/>
          <w14:textFill>
            <w14:solidFill>
              <w14:schemeClr w14:val="tx1"/>
            </w14:solidFill>
          </w14:textFill>
        </w:rPr>
        <w:t xml:space="preserve"> 三娘湾临时验潮站（CW2）潮位曲线（85高程）</w:t>
      </w:r>
    </w:p>
    <w:p>
      <w:pPr>
        <w:jc w:val="center"/>
        <w:rPr>
          <w:b/>
          <w:color w:val="000000" w:themeColor="text1"/>
          <w:sz w:val="21"/>
          <w:szCs w:val="22"/>
          <w:lang w:bidi="en-US"/>
          <w14:textFill>
            <w14:solidFill>
              <w14:schemeClr w14:val="tx1"/>
            </w14:solidFill>
          </w14:textFill>
        </w:rPr>
      </w:pPr>
    </w:p>
    <w:p>
      <w:pPr>
        <w:pStyle w:val="553"/>
        <w:rPr>
          <w:color w:val="000000" w:themeColor="text1"/>
          <w14:textFill>
            <w14:solidFill>
              <w14:schemeClr w14:val="tx1"/>
            </w14:solidFill>
          </w14:textFill>
        </w:rPr>
      </w:pPr>
      <w:r>
        <w:rPr>
          <w:color w:val="000000" w:themeColor="text1"/>
          <w14:textFill>
            <w14:solidFill>
              <w14:schemeClr w14:val="tx1"/>
            </w14:solidFill>
          </w14:textFill>
        </w:rPr>
        <w:t xml:space="preserve"> 企沙临时验潮站（CW3）潮位曲线（85高程）</w:t>
      </w:r>
    </w:p>
    <w:p>
      <w:pPr>
        <w:ind w:firstLine="438" w:firstLineChars="200"/>
        <w:rPr>
          <w:color w:val="000000" w:themeColor="text1"/>
          <w14:textFill>
            <w14:solidFill>
              <w14:schemeClr w14:val="tx1"/>
            </w14:solidFill>
          </w14:textFill>
        </w:rPr>
      </w:pPr>
      <w:r>
        <w:rPr>
          <w:color w:val="000000" w:themeColor="text1"/>
          <w14:textFill>
            <w14:solidFill>
              <w14:schemeClr w14:val="tx1"/>
            </w14:solidFill>
          </w14:textFill>
        </w:rPr>
        <w:t>（2）历史潮位观测资料统计分析</w:t>
      </w:r>
    </w:p>
    <w:p>
      <w:pPr>
        <w:ind w:firstLine="438" w:firstLineChars="200"/>
        <w:rPr>
          <w:color w:val="000000" w:themeColor="text1"/>
          <w14:textFill>
            <w14:solidFill>
              <w14:schemeClr w14:val="tx1"/>
            </w14:solidFill>
          </w14:textFill>
        </w:rPr>
      </w:pPr>
      <w:r>
        <w:rPr>
          <w:color w:val="000000" w:themeColor="text1"/>
          <w14:textFill>
            <w14:solidFill>
              <w14:schemeClr w14:val="tx1"/>
            </w14:solidFill>
          </w14:textFill>
        </w:rPr>
        <w:t>根据钦州龙门验潮站资料分析，钦州湾潮汐性质属不正规全日潮，湾内潮汐日不等现象明显，每月约有19—25日出现一天（一个太阳日，下同）一次涨、落潮过程，涨潮历时长，落潮历时短，落潮流速大于涨潮流速；其余时间出现一天二次涨、落潮过程，涨、落历时接近，涨、落流速相差不大。</w:t>
      </w:r>
    </w:p>
    <w:p>
      <w:pPr>
        <w:pStyle w:val="6"/>
        <w:rPr>
          <w:color w:val="000000" w:themeColor="text1"/>
          <w14:textFill>
            <w14:solidFill>
              <w14:schemeClr w14:val="tx1"/>
            </w14:solidFill>
          </w14:textFill>
        </w:rPr>
      </w:pPr>
      <w:r>
        <w:rPr>
          <w:color w:val="000000" w:themeColor="text1"/>
          <w14:textFill>
            <w14:solidFill>
              <w14:schemeClr w14:val="tx1"/>
            </w14:solidFill>
          </w14:textFill>
        </w:rPr>
        <w:t>海流</w:t>
      </w:r>
    </w:p>
    <w:p>
      <w:pPr>
        <w:ind w:firstLine="438" w:firstLineChars="200"/>
        <w:rPr>
          <w:color w:val="000000" w:themeColor="text1"/>
          <w14:textFill>
            <w14:solidFill>
              <w14:schemeClr w14:val="tx1"/>
            </w14:solidFill>
          </w14:textFill>
        </w:rPr>
      </w:pPr>
      <w:r>
        <w:rPr>
          <w:rFonts w:hint="eastAsia"/>
          <w:color w:val="000000" w:themeColor="text1"/>
          <w14:textFill>
            <w14:solidFill>
              <w14:schemeClr w14:val="tx1"/>
            </w14:solidFill>
          </w14:textFill>
        </w:rPr>
        <w:t>①</w:t>
      </w:r>
      <w:r>
        <w:rPr>
          <w:color w:val="000000" w:themeColor="text1"/>
          <w14:textFill>
            <w14:solidFill>
              <w14:schemeClr w14:val="tx1"/>
            </w14:solidFill>
          </w14:textFill>
        </w:rPr>
        <w:t>2019年9月调查结果</w:t>
      </w:r>
    </w:p>
    <w:p>
      <w:pPr>
        <w:ind w:firstLine="438" w:firstLineChars="200"/>
        <w:rPr>
          <w:color w:val="000000" w:themeColor="text1"/>
          <w14:textFill>
            <w14:solidFill>
              <w14:schemeClr w14:val="tx1"/>
            </w14:solidFill>
          </w14:textFill>
        </w:rPr>
      </w:pPr>
      <w:r>
        <w:rPr>
          <w:color w:val="000000" w:themeColor="text1"/>
          <w14:textFill>
            <w14:solidFill>
              <w14:schemeClr w14:val="tx1"/>
            </w14:solidFill>
          </w14:textFill>
        </w:rPr>
        <w:t>2019年9月实测海流平均流速、涨落潮最大流速、流向统计结果见表3.3-</w:t>
      </w:r>
      <w:r>
        <w:rPr>
          <w:rFonts w:hint="eastAsia"/>
          <w:color w:val="000000" w:themeColor="text1"/>
          <w14:textFill>
            <w14:solidFill>
              <w14:schemeClr w14:val="tx1"/>
            </w14:solidFill>
          </w14:textFill>
        </w:rPr>
        <w:t>54</w:t>
      </w:r>
      <w:r>
        <w:rPr>
          <w:color w:val="000000" w:themeColor="text1"/>
          <w14:textFill>
            <w14:solidFill>
              <w14:schemeClr w14:val="tx1"/>
            </w14:solidFill>
          </w14:textFill>
        </w:rPr>
        <w:t>所示，海流矢量图如图3.3-</w:t>
      </w:r>
      <w:r>
        <w:rPr>
          <w:rFonts w:hint="eastAsia"/>
          <w:color w:val="000000" w:themeColor="text1"/>
          <w14:textFill>
            <w14:solidFill>
              <w14:schemeClr w14:val="tx1"/>
            </w14:solidFill>
          </w14:textFill>
        </w:rPr>
        <w:t>11</w:t>
      </w:r>
      <w:r>
        <w:rPr>
          <w:color w:val="000000" w:themeColor="text1"/>
          <w14:textFill>
            <w14:solidFill>
              <w14:schemeClr w14:val="tx1"/>
            </w14:solidFill>
          </w14:textFill>
        </w:rPr>
        <w:t>～图3.3-</w:t>
      </w:r>
      <w:r>
        <w:rPr>
          <w:rFonts w:hint="eastAsia"/>
          <w:color w:val="000000" w:themeColor="text1"/>
          <w14:textFill>
            <w14:solidFill>
              <w14:schemeClr w14:val="tx1"/>
            </w14:solidFill>
          </w14:textFill>
        </w:rPr>
        <w:t>13</w:t>
      </w:r>
      <w:r>
        <w:rPr>
          <w:color w:val="000000" w:themeColor="text1"/>
          <w14:textFill>
            <w14:solidFill>
              <w14:schemeClr w14:val="tx1"/>
            </w14:solidFill>
          </w14:textFill>
        </w:rPr>
        <w:t>所示。</w:t>
      </w:r>
    </w:p>
    <w:p>
      <w:pPr>
        <w:ind w:firstLine="438" w:firstLineChars="200"/>
        <w:rPr>
          <w:color w:val="000000" w:themeColor="text1"/>
          <w14:textFill>
            <w14:solidFill>
              <w14:schemeClr w14:val="tx1"/>
            </w14:solidFill>
          </w14:textFill>
        </w:rPr>
      </w:pPr>
      <w:r>
        <w:rPr>
          <w:color w:val="000000" w:themeColor="text1"/>
          <w14:textFill>
            <w14:solidFill>
              <w14:schemeClr w14:val="tx1"/>
            </w14:solidFill>
          </w14:textFill>
        </w:rPr>
        <w:t>该海域潮流运动形式以往复流为主，外侧海域逐渐向旋转流过渡。1～6站点，表层、底层平均流速分别介于11.1～46.5cm/s、12.6～30.9cm/s之间；涨潮时表层、底层最大流速分别介于16.9～63.5cm/s、24.3～47cm/s之间，落潮时表层、底层最大流速分别介于22～113.4cm/s、20～108.6cm/s之间。</w:t>
      </w:r>
    </w:p>
    <w:p>
      <w:pPr>
        <w:ind w:firstLine="438" w:firstLineChars="200"/>
        <w:rPr>
          <w:color w:val="000000" w:themeColor="text1"/>
          <w14:textFill>
            <w14:solidFill>
              <w14:schemeClr w14:val="tx1"/>
            </w14:solidFill>
          </w14:textFill>
        </w:rPr>
      </w:pPr>
      <w:r>
        <w:rPr>
          <w:color w:val="000000" w:themeColor="text1"/>
          <w14:textFill>
            <w14:solidFill>
              <w14:schemeClr w14:val="tx1"/>
            </w14:solidFill>
          </w14:textFill>
        </w:rPr>
        <w:t>从流速平面分布来看，1～6站点涨潮时表层最大流速出现在1站，最大流速为63.5m/s，对应流向为355.5°，落潮时表层最大流速出现在2站，最大流速为113.4cm/s，对应流向为204°；涨潮时底层最大流速出现在1站，最大流速为47.0cm/s，对应流向为358.2°，落潮时底层最大流速出现在2站，最大流速为108.6cm/s，对应流向201°。</w:t>
      </w:r>
    </w:p>
    <w:p>
      <w:pPr>
        <w:ind w:firstLine="438" w:firstLineChars="200"/>
        <w:rPr>
          <w:color w:val="000000" w:themeColor="text1"/>
          <w14:textFill>
            <w14:solidFill>
              <w14:schemeClr w14:val="tx1"/>
            </w14:solidFill>
          </w14:textFill>
        </w:rPr>
      </w:pPr>
      <w:r>
        <w:rPr>
          <w:color w:val="000000" w:themeColor="text1"/>
          <w14:textFill>
            <w14:solidFill>
              <w14:schemeClr w14:val="tx1"/>
            </w14:solidFill>
          </w14:textFill>
        </w:rPr>
        <w:t>从涨、落潮流速看，1站点表层涨潮流速大于落潮流速，其余站点表层涨潮流速均小于落潮流速。</w:t>
      </w:r>
    </w:p>
    <w:p>
      <w:pPr>
        <w:ind w:firstLine="438" w:firstLineChars="200"/>
        <w:rPr>
          <w:color w:val="000000" w:themeColor="text1"/>
          <w14:textFill>
            <w14:solidFill>
              <w14:schemeClr w14:val="tx1"/>
            </w14:solidFill>
          </w14:textFill>
        </w:rPr>
      </w:pPr>
      <w:r>
        <w:rPr>
          <w:rFonts w:hint="eastAsia"/>
          <w:color w:val="000000" w:themeColor="text1"/>
          <w14:textFill>
            <w14:solidFill>
              <w14:schemeClr w14:val="tx1"/>
            </w14:solidFill>
          </w14:textFill>
        </w:rPr>
        <w:t>②</w:t>
      </w:r>
      <w:r>
        <w:rPr>
          <w:color w:val="000000" w:themeColor="text1"/>
          <w14:textFill>
            <w14:solidFill>
              <w14:schemeClr w14:val="tx1"/>
            </w14:solidFill>
          </w14:textFill>
        </w:rPr>
        <w:t>2020年3月调查结果</w:t>
      </w:r>
    </w:p>
    <w:p>
      <w:pPr>
        <w:ind w:firstLine="438" w:firstLineChars="200"/>
        <w:rPr>
          <w:color w:val="000000" w:themeColor="text1"/>
          <w14:textFill>
            <w14:solidFill>
              <w14:schemeClr w14:val="tx1"/>
            </w14:solidFill>
          </w14:textFill>
        </w:rPr>
      </w:pPr>
      <w:r>
        <w:rPr>
          <w:color w:val="000000" w:themeColor="text1"/>
          <w14:textFill>
            <w14:solidFill>
              <w14:schemeClr w14:val="tx1"/>
            </w14:solidFill>
          </w14:textFill>
        </w:rPr>
        <w:t>2020年3月实测海流平均流速、涨落潮最大流速、流向统计结果见表3.3-</w:t>
      </w:r>
      <w:r>
        <w:rPr>
          <w:rFonts w:hint="eastAsia"/>
          <w:color w:val="000000" w:themeColor="text1"/>
          <w14:textFill>
            <w14:solidFill>
              <w14:schemeClr w14:val="tx1"/>
            </w14:solidFill>
          </w14:textFill>
        </w:rPr>
        <w:t>55</w:t>
      </w:r>
      <w:r>
        <w:rPr>
          <w:color w:val="000000" w:themeColor="text1"/>
          <w14:textFill>
            <w14:solidFill>
              <w14:schemeClr w14:val="tx1"/>
            </w14:solidFill>
          </w14:textFill>
        </w:rPr>
        <w:t>所示，海流矢量图如图3.3-1</w:t>
      </w:r>
      <w:r>
        <w:rPr>
          <w:rFonts w:hint="eastAsia"/>
          <w:color w:val="000000" w:themeColor="text1"/>
          <w14:textFill>
            <w14:solidFill>
              <w14:schemeClr w14:val="tx1"/>
            </w14:solidFill>
          </w14:textFill>
        </w:rPr>
        <w:t>4</w:t>
      </w:r>
      <w:r>
        <w:rPr>
          <w:color w:val="000000" w:themeColor="text1"/>
          <w14:textFill>
            <w14:solidFill>
              <w14:schemeClr w14:val="tx1"/>
            </w14:solidFill>
          </w14:textFill>
        </w:rPr>
        <w:t>～图3.3-1</w:t>
      </w:r>
      <w:r>
        <w:rPr>
          <w:rFonts w:hint="eastAsia"/>
          <w:color w:val="000000" w:themeColor="text1"/>
          <w14:textFill>
            <w14:solidFill>
              <w14:schemeClr w14:val="tx1"/>
            </w14:solidFill>
          </w14:textFill>
        </w:rPr>
        <w:t>6</w:t>
      </w:r>
      <w:r>
        <w:rPr>
          <w:color w:val="000000" w:themeColor="text1"/>
          <w14:textFill>
            <w14:solidFill>
              <w14:schemeClr w14:val="tx1"/>
            </w14:solidFill>
          </w14:textFill>
        </w:rPr>
        <w:t>所示。</w:t>
      </w:r>
    </w:p>
    <w:p>
      <w:pPr>
        <w:ind w:firstLine="438" w:firstLineChars="200"/>
        <w:rPr>
          <w:color w:val="000000" w:themeColor="text1"/>
          <w14:textFill>
            <w14:solidFill>
              <w14:schemeClr w14:val="tx1"/>
            </w14:solidFill>
          </w14:textFill>
        </w:rPr>
      </w:pPr>
      <w:r>
        <w:rPr>
          <w:color w:val="000000" w:themeColor="text1"/>
          <w14:textFill>
            <w14:solidFill>
              <w14:schemeClr w14:val="tx1"/>
            </w14:solidFill>
          </w14:textFill>
        </w:rPr>
        <w:t>该海域潮流运动形式以往复流为主。1～6站点，表层、底层平均流速分别介于12.4～38.1cm/s、6.7～22.4cm/s之间；涨潮时表层、底层最大流速分别介于17.3～52.8cm/s、9.3～31.2cm/s之间，落潮时表层、底层最大流速分别介于22.8～63.7cm/s、11.5～39.7cm/s之间。</w:t>
      </w:r>
    </w:p>
    <w:p>
      <w:pPr>
        <w:ind w:firstLine="438" w:firstLineChars="200"/>
        <w:rPr>
          <w:color w:val="000000" w:themeColor="text1"/>
          <w14:textFill>
            <w14:solidFill>
              <w14:schemeClr w14:val="tx1"/>
            </w14:solidFill>
          </w14:textFill>
        </w:rPr>
      </w:pPr>
      <w:r>
        <w:rPr>
          <w:color w:val="000000" w:themeColor="text1"/>
          <w14:textFill>
            <w14:solidFill>
              <w14:schemeClr w14:val="tx1"/>
            </w14:solidFill>
          </w14:textFill>
        </w:rPr>
        <w:t>从流速平面分布来看，1～6站点涨潮时表层最大流速出现在1站，最大流速为52.8cm/s，对应流向为351.2°，落潮时表层最大流速出现在1站，最大流速为63.7cm/s，对应流向为171°；涨潮时底层最大流速出现在1站，最大流速为31.2cm/s，对应流向为350.6°，落潮时底层最大流速出现在2站，最大流速为39.7cm/s，对应流向190°。</w:t>
      </w:r>
    </w:p>
    <w:p>
      <w:pPr>
        <w:ind w:firstLine="438" w:firstLineChars="200"/>
        <w:rPr>
          <w:color w:val="000000" w:themeColor="text1"/>
          <w14:textFill>
            <w14:solidFill>
              <w14:schemeClr w14:val="tx1"/>
            </w14:solidFill>
          </w14:textFill>
        </w:rPr>
      </w:pPr>
      <w:r>
        <w:rPr>
          <w:color w:val="000000" w:themeColor="text1"/>
          <w14:textFill>
            <w14:solidFill>
              <w14:schemeClr w14:val="tx1"/>
            </w14:solidFill>
          </w14:textFill>
        </w:rPr>
        <w:t>从涨、落潮流速看，各站的表层涨潮流速均小于落潮流速。</w:t>
      </w:r>
    </w:p>
    <w:p>
      <w:pPr>
        <w:jc w:val="center"/>
        <w:rPr>
          <w:b/>
          <w:color w:val="000000" w:themeColor="text1"/>
          <w:sz w:val="21"/>
          <w:szCs w:val="22"/>
          <w:lang w:bidi="en-US"/>
          <w14:textFill>
            <w14:solidFill>
              <w14:schemeClr w14:val="tx1"/>
            </w14:solidFill>
          </w14:textFill>
        </w:rPr>
      </w:pPr>
    </w:p>
    <w:p>
      <w:pPr>
        <w:pStyle w:val="553"/>
        <w:rPr>
          <w:color w:val="000000" w:themeColor="text1"/>
          <w14:textFill>
            <w14:solidFill>
              <w14:schemeClr w14:val="tx1"/>
            </w14:solidFill>
          </w14:textFill>
        </w:rPr>
      </w:pPr>
      <w:r>
        <w:rPr>
          <w:color w:val="000000" w:themeColor="text1"/>
          <w14:textFill>
            <w14:solidFill>
              <w14:schemeClr w14:val="tx1"/>
            </w14:solidFill>
          </w14:textFill>
        </w:rPr>
        <w:t xml:space="preserve"> 2019年9月海流观测矢量图（表层）</w:t>
      </w:r>
    </w:p>
    <w:p>
      <w:pPr>
        <w:jc w:val="center"/>
        <w:rPr>
          <w:b/>
          <w:color w:val="000000" w:themeColor="text1"/>
          <w:sz w:val="21"/>
          <w:szCs w:val="22"/>
          <w:lang w:bidi="en-US"/>
          <w14:textFill>
            <w14:solidFill>
              <w14:schemeClr w14:val="tx1"/>
            </w14:solidFill>
          </w14:textFill>
        </w:rPr>
      </w:pPr>
      <w:r>
        <w:rPr>
          <w:b/>
          <w:color w:val="000000" w:themeColor="text1"/>
          <w:sz w:val="21"/>
          <w:szCs w:val="22"/>
          <w:lang w:bidi="en-US"/>
          <w14:textFill>
            <w14:solidFill>
              <w14:schemeClr w14:val="tx1"/>
            </w14:solidFill>
          </w14:textFill>
        </w:rPr>
        <w:t xml:space="preserve"> </w:t>
      </w:r>
    </w:p>
    <w:p>
      <w:pPr>
        <w:pStyle w:val="553"/>
        <w:rPr>
          <w:color w:val="000000" w:themeColor="text1"/>
          <w14:textFill>
            <w14:solidFill>
              <w14:schemeClr w14:val="tx1"/>
            </w14:solidFill>
          </w14:textFill>
        </w:rPr>
      </w:pPr>
      <w:r>
        <w:rPr>
          <w:color w:val="000000" w:themeColor="text1"/>
          <w14:textFill>
            <w14:solidFill>
              <w14:schemeClr w14:val="tx1"/>
            </w14:solidFill>
          </w14:textFill>
        </w:rPr>
        <w:t xml:space="preserve">  2019年9月海流观测矢量图（底层）</w:t>
      </w:r>
    </w:p>
    <w:p>
      <w:pPr>
        <w:jc w:val="center"/>
        <w:rPr>
          <w:b/>
          <w:color w:val="000000" w:themeColor="text1"/>
          <w:sz w:val="21"/>
          <w:szCs w:val="21"/>
          <w:lang w:bidi="en-US"/>
          <w14:textFill>
            <w14:solidFill>
              <w14:schemeClr w14:val="tx1"/>
            </w14:solidFill>
          </w14:textFill>
        </w:rPr>
      </w:pPr>
    </w:p>
    <w:p>
      <w:pPr>
        <w:pStyle w:val="553"/>
        <w:rPr>
          <w:color w:val="000000" w:themeColor="text1"/>
          <w14:textFill>
            <w14:solidFill>
              <w14:schemeClr w14:val="tx1"/>
            </w14:solidFill>
          </w14:textFill>
        </w:rPr>
      </w:pPr>
      <w:r>
        <w:rPr>
          <w:color w:val="000000" w:themeColor="text1"/>
          <w14:textFill>
            <w14:solidFill>
              <w14:schemeClr w14:val="tx1"/>
            </w14:solidFill>
          </w14:textFill>
        </w:rPr>
        <w:t xml:space="preserve">  2019年9月海流观测矢量图（垂向平均）</w:t>
      </w:r>
    </w:p>
    <w:p>
      <w:pPr>
        <w:jc w:val="center"/>
        <w:rPr>
          <w:b/>
          <w:color w:val="000000" w:themeColor="text1"/>
          <w:sz w:val="21"/>
          <w:szCs w:val="21"/>
          <w:lang w:bidi="en-US"/>
          <w14:textFill>
            <w14:solidFill>
              <w14:schemeClr w14:val="tx1"/>
            </w14:solidFill>
          </w14:textFill>
        </w:rPr>
      </w:pPr>
    </w:p>
    <w:p>
      <w:pPr>
        <w:pStyle w:val="553"/>
        <w:rPr>
          <w:color w:val="000000" w:themeColor="text1"/>
          <w14:textFill>
            <w14:solidFill>
              <w14:schemeClr w14:val="tx1"/>
            </w14:solidFill>
          </w14:textFill>
        </w:rPr>
      </w:pPr>
      <w:r>
        <w:rPr>
          <w:color w:val="000000" w:themeColor="text1"/>
          <w14:textFill>
            <w14:solidFill>
              <w14:schemeClr w14:val="tx1"/>
            </w14:solidFill>
          </w14:textFill>
        </w:rPr>
        <w:t xml:space="preserve"> 2020年3月海流观测矢量图（表层）</w:t>
      </w:r>
    </w:p>
    <w:p>
      <w:pPr>
        <w:jc w:val="center"/>
        <w:rPr>
          <w:b/>
          <w:color w:val="000000" w:themeColor="text1"/>
          <w:sz w:val="21"/>
          <w:szCs w:val="21"/>
          <w:lang w:bidi="en-US"/>
          <w14:textFill>
            <w14:solidFill>
              <w14:schemeClr w14:val="tx1"/>
            </w14:solidFill>
          </w14:textFill>
        </w:rPr>
      </w:pPr>
      <w:r>
        <w:rPr>
          <w:b/>
          <w:color w:val="000000" w:themeColor="text1"/>
          <w:sz w:val="21"/>
          <w:szCs w:val="21"/>
          <w:lang w:bidi="en-US"/>
          <w14:textFill>
            <w14:solidFill>
              <w14:schemeClr w14:val="tx1"/>
            </w14:solidFill>
          </w14:textFill>
        </w:rPr>
        <w:t xml:space="preserve"> </w:t>
      </w:r>
    </w:p>
    <w:p>
      <w:pPr>
        <w:pStyle w:val="553"/>
        <w:rPr>
          <w:color w:val="000000" w:themeColor="text1"/>
          <w14:textFill>
            <w14:solidFill>
              <w14:schemeClr w14:val="tx1"/>
            </w14:solidFill>
          </w14:textFill>
        </w:rPr>
      </w:pPr>
      <w:r>
        <w:rPr>
          <w:color w:val="000000" w:themeColor="text1"/>
          <w14:textFill>
            <w14:solidFill>
              <w14:schemeClr w14:val="tx1"/>
            </w14:solidFill>
          </w14:textFill>
        </w:rPr>
        <w:t xml:space="preserve">  2020年3月海流观测矢量图（底层）</w:t>
      </w:r>
    </w:p>
    <w:p>
      <w:pPr>
        <w:jc w:val="center"/>
        <w:rPr>
          <w:b/>
          <w:color w:val="000000" w:themeColor="text1"/>
          <w:sz w:val="21"/>
          <w:szCs w:val="21"/>
          <w:lang w:bidi="en-US"/>
          <w14:textFill>
            <w14:solidFill>
              <w14:schemeClr w14:val="tx1"/>
            </w14:solidFill>
          </w14:textFill>
        </w:rPr>
      </w:pPr>
      <w:r>
        <w:rPr>
          <w:b/>
          <w:color w:val="000000" w:themeColor="text1"/>
          <w:sz w:val="21"/>
          <w:szCs w:val="21"/>
          <w:lang w:bidi="en-US"/>
          <w14:textFill>
            <w14:solidFill>
              <w14:schemeClr w14:val="tx1"/>
            </w14:solidFill>
          </w14:textFill>
        </w:rPr>
        <w:t xml:space="preserve"> </w:t>
      </w:r>
    </w:p>
    <w:p>
      <w:pPr>
        <w:pStyle w:val="553"/>
        <w:rPr>
          <w:color w:val="000000" w:themeColor="text1"/>
          <w14:textFill>
            <w14:solidFill>
              <w14:schemeClr w14:val="tx1"/>
            </w14:solidFill>
          </w14:textFill>
        </w:rPr>
      </w:pPr>
      <w:r>
        <w:rPr>
          <w:color w:val="000000" w:themeColor="text1"/>
          <w14:textFill>
            <w14:solidFill>
              <w14:schemeClr w14:val="tx1"/>
            </w14:solidFill>
          </w14:textFill>
        </w:rPr>
        <w:t xml:space="preserve">  2020年3月海流观测矢图（垂向平均）</w:t>
      </w:r>
    </w:p>
    <w:p>
      <w:pPr>
        <w:pStyle w:val="384"/>
        <w:ind w:left="0" w:firstLine="503"/>
        <w:rPr>
          <w:color w:val="000000" w:themeColor="text1"/>
          <w:sz w:val="21"/>
          <w:szCs w:val="22"/>
          <w:lang w:bidi="en-US"/>
          <w14:textFill>
            <w14:solidFill>
              <w14:schemeClr w14:val="tx1"/>
            </w14:solidFill>
          </w14:textFill>
        </w:rPr>
      </w:pPr>
      <w:r>
        <w:rPr>
          <w:rFonts w:cs="Times New Roman"/>
          <w:color w:val="000000" w:themeColor="text1"/>
          <w14:textFill>
            <w14:solidFill>
              <w14:schemeClr w14:val="tx1"/>
            </w14:solidFill>
          </w14:textFill>
        </w:rPr>
        <w:t xml:space="preserve">2019年9月海流观测特征值 </w:t>
      </w:r>
      <w:r>
        <w:rPr>
          <w:rFonts w:hint="eastAsia" w:cs="Times New Roman"/>
          <w:color w:val="000000" w:themeColor="text1"/>
          <w14:textFill>
            <w14:solidFill>
              <w14:schemeClr w14:val="tx1"/>
            </w14:solidFill>
          </w14:textFill>
        </w:rPr>
        <w:t xml:space="preserve">  </w:t>
      </w:r>
      <w:r>
        <w:rPr>
          <w:color w:val="000000" w:themeColor="text1"/>
          <w:sz w:val="21"/>
          <w:szCs w:val="22"/>
          <w:lang w:bidi="en-US"/>
          <w14:textFill>
            <w14:solidFill>
              <w14:schemeClr w14:val="tx1"/>
            </w14:solidFill>
          </w14:textFill>
        </w:rPr>
        <w:t xml:space="preserve"> 单位：流速（cm/s）、流向（°）</w:t>
      </w:r>
    </w:p>
    <w:p>
      <w:pPr>
        <w:pStyle w:val="384"/>
        <w:ind w:left="0" w:firstLine="503"/>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 xml:space="preserve">  2020年3月海流观测特征值    单位：流速（cm/s）、流向（°）</w:t>
      </w:r>
    </w:p>
    <w:p>
      <w:pPr>
        <w:ind w:firstLine="438" w:firstLineChars="200"/>
        <w:rPr>
          <w:color w:val="000000" w:themeColor="text1"/>
          <w14:textFill>
            <w14:solidFill>
              <w14:schemeClr w14:val="tx1"/>
            </w14:solidFill>
          </w14:textFill>
        </w:rPr>
      </w:pPr>
      <w:r>
        <w:rPr>
          <w:color w:val="000000" w:themeColor="text1"/>
          <w14:textFill>
            <w14:solidFill>
              <w14:schemeClr w14:val="tx1"/>
            </w14:solidFill>
          </w14:textFill>
        </w:rPr>
        <w:t>（2）潮流特征分析</w:t>
      </w:r>
    </w:p>
    <w:p>
      <w:pPr>
        <w:pStyle w:val="283"/>
        <w:rPr>
          <w:color w:val="000000" w:themeColor="text1"/>
          <w14:textFill>
            <w14:solidFill>
              <w14:schemeClr w14:val="tx1"/>
            </w14:solidFill>
          </w14:textFill>
        </w:rPr>
      </w:pPr>
      <w:r>
        <w:rPr>
          <w:rFonts w:hint="eastAsia" w:ascii="宋体" w:hAnsi="宋体" w:cs="宋体"/>
          <w:color w:val="000000" w:themeColor="text1"/>
          <w14:textFill>
            <w14:solidFill>
              <w14:schemeClr w14:val="tx1"/>
            </w14:solidFill>
          </w14:textFill>
        </w:rPr>
        <w:t>①</w:t>
      </w:r>
      <w:r>
        <w:rPr>
          <w:color w:val="000000" w:themeColor="text1"/>
          <w14:textFill>
            <w14:solidFill>
              <w14:schemeClr w14:val="tx1"/>
            </w14:solidFill>
          </w14:textFill>
        </w:rPr>
        <w:t>潮流性质</w:t>
      </w:r>
    </w:p>
    <w:p>
      <w:pPr>
        <w:pStyle w:val="283"/>
        <w:rPr>
          <w:color w:val="000000" w:themeColor="text1"/>
          <w14:textFill>
            <w14:solidFill>
              <w14:schemeClr w14:val="tx1"/>
            </w14:solidFill>
          </w14:textFill>
        </w:rPr>
      </w:pPr>
      <w:r>
        <w:rPr>
          <w:color w:val="000000" w:themeColor="text1"/>
          <w14:textFill>
            <w14:solidFill>
              <w14:schemeClr w14:val="tx1"/>
            </w14:solidFill>
          </w14:textFill>
        </w:rPr>
        <w:t>《港口与航道水文规范》中规定，潮流通常分为规则半日潮流、不规则半日潮流、不规则日潮流及规则日潮流。潮流性质判别依据为K=（W</w:t>
      </w:r>
      <w:r>
        <w:rPr>
          <w:color w:val="000000" w:themeColor="text1"/>
          <w:vertAlign w:val="subscript"/>
          <w14:textFill>
            <w14:solidFill>
              <w14:schemeClr w14:val="tx1"/>
            </w14:solidFill>
          </w14:textFill>
        </w:rPr>
        <w:t>O1</w:t>
      </w:r>
      <w:r>
        <w:rPr>
          <w:color w:val="000000" w:themeColor="text1"/>
          <w14:textFill>
            <w14:solidFill>
              <w14:schemeClr w14:val="tx1"/>
            </w14:solidFill>
          </w14:textFill>
        </w:rPr>
        <w:t>+W</w:t>
      </w:r>
      <w:r>
        <w:rPr>
          <w:color w:val="000000" w:themeColor="text1"/>
          <w:vertAlign w:val="subscript"/>
          <w14:textFill>
            <w14:solidFill>
              <w14:schemeClr w14:val="tx1"/>
            </w14:solidFill>
          </w14:textFill>
        </w:rPr>
        <w:t>K1</w:t>
      </w:r>
      <w:r>
        <w:rPr>
          <w:color w:val="000000" w:themeColor="text1"/>
          <w14:textFill>
            <w14:solidFill>
              <w14:schemeClr w14:val="tx1"/>
            </w14:solidFill>
          </w14:textFill>
        </w:rPr>
        <w:t>）／W</w:t>
      </w:r>
      <w:r>
        <w:rPr>
          <w:color w:val="000000" w:themeColor="text1"/>
          <w:vertAlign w:val="subscript"/>
          <w14:textFill>
            <w14:solidFill>
              <w14:schemeClr w14:val="tx1"/>
            </w14:solidFill>
          </w14:textFill>
        </w:rPr>
        <w:t>M2</w:t>
      </w:r>
      <w:r>
        <w:rPr>
          <w:color w:val="000000" w:themeColor="text1"/>
          <w14:textFill>
            <w14:solidFill>
              <w14:schemeClr w14:val="tx1"/>
            </w14:solidFill>
          </w14:textFill>
        </w:rPr>
        <w:t>，其判别标准分别为：</w:t>
      </w:r>
    </w:p>
    <w:p>
      <w:pPr>
        <w:pStyle w:val="283"/>
        <w:rPr>
          <w:color w:val="000000" w:themeColor="text1"/>
          <w14:textFill>
            <w14:solidFill>
              <w14:schemeClr w14:val="tx1"/>
            </w14:solidFill>
          </w14:textFill>
        </w:rPr>
      </w:pPr>
      <w:r>
        <w:rPr>
          <w:color w:val="000000" w:themeColor="text1"/>
          <w14:textFill>
            <w14:solidFill>
              <w14:schemeClr w14:val="tx1"/>
            </w14:solidFill>
          </w14:textFill>
        </w:rPr>
        <w:t>K≤0.5：规则半日潮流；</w:t>
      </w:r>
    </w:p>
    <w:p>
      <w:pPr>
        <w:pStyle w:val="283"/>
        <w:rPr>
          <w:color w:val="000000" w:themeColor="text1"/>
          <w14:textFill>
            <w14:solidFill>
              <w14:schemeClr w14:val="tx1"/>
            </w14:solidFill>
          </w14:textFill>
        </w:rPr>
      </w:pPr>
      <w:r>
        <w:rPr>
          <w:color w:val="000000" w:themeColor="text1"/>
          <w14:textFill>
            <w14:solidFill>
              <w14:schemeClr w14:val="tx1"/>
            </w14:solidFill>
          </w14:textFill>
        </w:rPr>
        <w:t>0.5&lt;K≤2.0：不规则半日潮流；</w:t>
      </w:r>
    </w:p>
    <w:p>
      <w:pPr>
        <w:pStyle w:val="283"/>
        <w:rPr>
          <w:color w:val="000000" w:themeColor="text1"/>
          <w14:textFill>
            <w14:solidFill>
              <w14:schemeClr w14:val="tx1"/>
            </w14:solidFill>
          </w14:textFill>
        </w:rPr>
      </w:pPr>
      <w:r>
        <w:rPr>
          <w:color w:val="000000" w:themeColor="text1"/>
          <w14:textFill>
            <w14:solidFill>
              <w14:schemeClr w14:val="tx1"/>
            </w14:solidFill>
          </w14:textFill>
        </w:rPr>
        <w:t>2.0&lt;K≤4.0：不规则日潮流；</w:t>
      </w:r>
    </w:p>
    <w:p>
      <w:pPr>
        <w:pStyle w:val="283"/>
        <w:rPr>
          <w:color w:val="000000" w:themeColor="text1"/>
          <w14:textFill>
            <w14:solidFill>
              <w14:schemeClr w14:val="tx1"/>
            </w14:solidFill>
          </w14:textFill>
        </w:rPr>
      </w:pPr>
      <w:r>
        <w:rPr>
          <w:color w:val="000000" w:themeColor="text1"/>
          <w14:textFill>
            <w14:solidFill>
              <w14:schemeClr w14:val="tx1"/>
            </w14:solidFill>
          </w14:textFill>
        </w:rPr>
        <w:t>K&gt;4.0：规则日潮流。</w:t>
      </w:r>
    </w:p>
    <w:p>
      <w:pPr>
        <w:pStyle w:val="283"/>
        <w:rPr>
          <w:color w:val="000000" w:themeColor="text1"/>
          <w14:textFill>
            <w14:solidFill>
              <w14:schemeClr w14:val="tx1"/>
            </w14:solidFill>
          </w14:textFill>
        </w:rPr>
      </w:pPr>
      <w:r>
        <w:rPr>
          <w:color w:val="000000" w:themeColor="text1"/>
          <w14:textFill>
            <w14:solidFill>
              <w14:schemeClr w14:val="tx1"/>
            </w14:solidFill>
          </w14:textFill>
        </w:rPr>
        <w:t>其中W</w:t>
      </w:r>
      <w:r>
        <w:rPr>
          <w:color w:val="000000" w:themeColor="text1"/>
          <w:vertAlign w:val="subscript"/>
          <w14:textFill>
            <w14:solidFill>
              <w14:schemeClr w14:val="tx1"/>
            </w14:solidFill>
          </w14:textFill>
        </w:rPr>
        <w:t>O1</w:t>
      </w:r>
      <w:r>
        <w:rPr>
          <w:color w:val="000000" w:themeColor="text1"/>
          <w14:textFill>
            <w14:solidFill>
              <w14:schemeClr w14:val="tx1"/>
            </w14:solidFill>
          </w14:textFill>
        </w:rPr>
        <w:t>、W</w:t>
      </w:r>
      <w:r>
        <w:rPr>
          <w:color w:val="000000" w:themeColor="text1"/>
          <w:vertAlign w:val="subscript"/>
          <w14:textFill>
            <w14:solidFill>
              <w14:schemeClr w14:val="tx1"/>
            </w14:solidFill>
          </w14:textFill>
        </w:rPr>
        <w:t>K1</w:t>
      </w:r>
      <w:r>
        <w:rPr>
          <w:color w:val="000000" w:themeColor="text1"/>
          <w14:textFill>
            <w14:solidFill>
              <w14:schemeClr w14:val="tx1"/>
            </w14:solidFill>
          </w14:textFill>
        </w:rPr>
        <w:t>、W</w:t>
      </w:r>
      <w:r>
        <w:rPr>
          <w:color w:val="000000" w:themeColor="text1"/>
          <w:vertAlign w:val="subscript"/>
          <w14:textFill>
            <w14:solidFill>
              <w14:schemeClr w14:val="tx1"/>
            </w14:solidFill>
          </w14:textFill>
        </w:rPr>
        <w:t>M2</w:t>
      </w:r>
      <w:r>
        <w:rPr>
          <w:color w:val="000000" w:themeColor="text1"/>
          <w14:textFill>
            <w14:solidFill>
              <w14:schemeClr w14:val="tx1"/>
            </w14:solidFill>
          </w14:textFill>
        </w:rPr>
        <w:t>分别为O1、K1、M2分潮潮流椭圆长半轴之值。</w:t>
      </w:r>
    </w:p>
    <w:p>
      <w:pPr>
        <w:pStyle w:val="283"/>
        <w:rPr>
          <w:color w:val="000000" w:themeColor="text1"/>
          <w14:textFill>
            <w14:solidFill>
              <w14:schemeClr w14:val="tx1"/>
            </w14:solidFill>
          </w14:textFill>
        </w:rPr>
      </w:pPr>
      <w:r>
        <w:rPr>
          <w:color w:val="000000" w:themeColor="text1"/>
          <w14:textFill>
            <w14:solidFill>
              <w14:schemeClr w14:val="tx1"/>
            </w14:solidFill>
          </w14:textFill>
        </w:rPr>
        <w:t>根据2019年9月海流调查资料，经准调和分析后计算得到的K值如表3.3-</w:t>
      </w:r>
      <w:r>
        <w:rPr>
          <w:rFonts w:hint="eastAsia"/>
          <w:color w:val="000000" w:themeColor="text1"/>
          <w14:textFill>
            <w14:solidFill>
              <w14:schemeClr w14:val="tx1"/>
            </w14:solidFill>
          </w14:textFill>
        </w:rPr>
        <w:t>56</w:t>
      </w:r>
      <w:r>
        <w:rPr>
          <w:color w:val="000000" w:themeColor="text1"/>
          <w14:textFill>
            <w14:solidFill>
              <w14:schemeClr w14:val="tx1"/>
            </w14:solidFill>
          </w14:textFill>
        </w:rPr>
        <w:t>所示。由表可知，在各站的潮流性质判别系数中，2站、3站底层、4站中层、5站中层K值大于2且小于4，为不规则日潮流，其余各层位K值均大于0.5且小于2，主要表现为不规则半日潮流特征。</w:t>
      </w:r>
    </w:p>
    <w:p>
      <w:pPr>
        <w:pStyle w:val="283"/>
        <w:rPr>
          <w:color w:val="000000" w:themeColor="text1"/>
          <w14:textFill>
            <w14:solidFill>
              <w14:schemeClr w14:val="tx1"/>
            </w14:solidFill>
          </w14:textFill>
        </w:rPr>
      </w:pPr>
      <w:r>
        <w:rPr>
          <w:color w:val="000000" w:themeColor="text1"/>
          <w14:textFill>
            <w14:solidFill>
              <w14:schemeClr w14:val="tx1"/>
            </w14:solidFill>
          </w14:textFill>
        </w:rPr>
        <w:t>根据2020年3月海流调查资料，经准调和分析后计算得到的K值如表3.3-</w:t>
      </w:r>
      <w:r>
        <w:rPr>
          <w:rFonts w:hint="eastAsia"/>
          <w:color w:val="000000" w:themeColor="text1"/>
          <w14:textFill>
            <w14:solidFill>
              <w14:schemeClr w14:val="tx1"/>
            </w14:solidFill>
          </w14:textFill>
        </w:rPr>
        <w:t>57</w:t>
      </w:r>
      <w:r>
        <w:rPr>
          <w:color w:val="000000" w:themeColor="text1"/>
          <w14:textFill>
            <w14:solidFill>
              <w14:schemeClr w14:val="tx1"/>
            </w14:solidFill>
          </w14:textFill>
        </w:rPr>
        <w:t>所示。由表可知，在各站的潮流性质判别系数中，1～5号站位K值均大于2且小于4，为不规则日潮流。6号站位K值大于0.5且小于2，表现为不规则半日潮流特征。</w:t>
      </w:r>
    </w:p>
    <w:p>
      <w:pPr>
        <w:pStyle w:val="384"/>
        <w:ind w:left="0" w:firstLine="503"/>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 xml:space="preserve">  2019年09月潮流性质判别系数</w:t>
      </w:r>
      <w:r>
        <w:rPr>
          <w:rFonts w:cs="Times New Roman"/>
          <w:color w:val="000000" w:themeColor="text1"/>
          <w14:textFill>
            <w14:solidFill>
              <w14:schemeClr w14:val="tx1"/>
            </w14:solidFill>
          </w14:textFill>
        </w:rPr>
        <w:drawing>
          <wp:inline distT="0" distB="0" distL="0" distR="0">
            <wp:extent cx="1175385" cy="193040"/>
            <wp:effectExtent l="0" t="0" r="0" b="0"/>
            <wp:docPr id="228" name="图片 1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图片 1189"/>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a:xfrm>
                      <a:off x="0" y="0"/>
                      <a:ext cx="1175385" cy="193040"/>
                    </a:xfrm>
                    <a:prstGeom prst="rect">
                      <a:avLst/>
                    </a:prstGeom>
                    <a:noFill/>
                    <a:ln>
                      <a:noFill/>
                    </a:ln>
                  </pic:spPr>
                </pic:pic>
              </a:graphicData>
            </a:graphic>
          </wp:inline>
        </w:drawing>
      </w:r>
    </w:p>
    <w:p>
      <w:pPr>
        <w:pStyle w:val="384"/>
        <w:ind w:left="0" w:firstLine="503"/>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2020年03月潮流性质判别系数</w:t>
      </w:r>
      <w:r>
        <w:rPr>
          <w:rFonts w:cs="Times New Roman"/>
          <w:color w:val="000000" w:themeColor="text1"/>
          <w14:textFill>
            <w14:solidFill>
              <w14:schemeClr w14:val="tx1"/>
            </w14:solidFill>
          </w14:textFill>
        </w:rPr>
        <w:drawing>
          <wp:inline distT="0" distB="0" distL="0" distR="0">
            <wp:extent cx="1175385" cy="193040"/>
            <wp:effectExtent l="0" t="0" r="0" b="0"/>
            <wp:docPr id="229" name="图片 1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图片 1186"/>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a:xfrm>
                      <a:off x="0" y="0"/>
                      <a:ext cx="1175385" cy="193040"/>
                    </a:xfrm>
                    <a:prstGeom prst="rect">
                      <a:avLst/>
                    </a:prstGeom>
                    <a:noFill/>
                    <a:ln>
                      <a:noFill/>
                    </a:ln>
                  </pic:spPr>
                </pic:pic>
              </a:graphicData>
            </a:graphic>
          </wp:inline>
        </w:drawing>
      </w:r>
    </w:p>
    <w:p>
      <w:pPr>
        <w:pStyle w:val="283"/>
        <w:rPr>
          <w:color w:val="000000" w:themeColor="text1"/>
          <w14:textFill>
            <w14:solidFill>
              <w14:schemeClr w14:val="tx1"/>
            </w14:solidFill>
          </w14:textFill>
        </w:rPr>
      </w:pPr>
      <w:r>
        <w:rPr>
          <w:rFonts w:hint="eastAsia" w:ascii="宋体" w:hAnsi="宋体" w:cs="宋体"/>
          <w:color w:val="000000" w:themeColor="text1"/>
          <w14:textFill>
            <w14:solidFill>
              <w14:schemeClr w14:val="tx1"/>
            </w14:solidFill>
          </w14:textFill>
        </w:rPr>
        <w:t>②</w:t>
      </w:r>
      <w:r>
        <w:rPr>
          <w:color w:val="000000" w:themeColor="text1"/>
          <w14:textFill>
            <w14:solidFill>
              <w14:schemeClr w14:val="tx1"/>
            </w14:solidFill>
          </w14:textFill>
        </w:rPr>
        <w:t>潮流运动形式</w:t>
      </w:r>
    </w:p>
    <w:p>
      <w:pPr>
        <w:pStyle w:val="283"/>
        <w:rPr>
          <w:color w:val="000000" w:themeColor="text1"/>
          <w14:textFill>
            <w14:solidFill>
              <w14:schemeClr w14:val="tx1"/>
            </w14:solidFill>
          </w14:textFill>
        </w:rPr>
      </w:pPr>
      <w:r>
        <w:rPr>
          <w:color w:val="000000" w:themeColor="text1"/>
          <w14:textFill>
            <w14:solidFill>
              <w14:schemeClr w14:val="tx1"/>
            </w14:solidFill>
          </w14:textFill>
        </w:rPr>
        <w:t>潮流的运动形式取决于本海区主要分潮流的椭圆要素。本海区的潮流具有不规则日潮流和不规则半日潮流两种性质，判断海区潮流的运动形式主要依据M2分潮和K1分潮确定。反映潮流运动形式的参量为旋转率（亦称椭圆率）K′，其值为该分潮流椭圆短轴与椭圆长轴的比值，其符号有</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之分，</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表示分潮流为逆时针旋转，</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则为顺时针旋转。</w:t>
      </w:r>
    </w:p>
    <w:p>
      <w:pPr>
        <w:pStyle w:val="283"/>
        <w:rPr>
          <w:color w:val="000000" w:themeColor="text1"/>
          <w14:textFill>
            <w14:solidFill>
              <w14:schemeClr w14:val="tx1"/>
            </w14:solidFill>
          </w14:textFill>
        </w:rPr>
      </w:pPr>
      <w:r>
        <w:rPr>
          <w:color w:val="000000" w:themeColor="text1"/>
          <w14:textFill>
            <w14:solidFill>
              <w14:schemeClr w14:val="tx1"/>
            </w14:solidFill>
          </w14:textFill>
        </w:rPr>
        <w:t>潮流的运动形式分旋转流和往复流，通常以椭圆率K′的绝对值大小来判断，当</w:t>
      </w:r>
      <m:oMath>
        <m:d>
          <m:dPr>
            <m:begChr m:val="|"/>
            <m:endChr m:val="|"/>
            <m:ctrlPr>
              <w:rPr>
                <w:rFonts w:ascii="Cambria Math" w:hAnsi="Cambria Math"/>
                <w:i/>
                <w:color w:val="000000" w:themeColor="text1"/>
                <w14:textFill>
                  <w14:solidFill>
                    <w14:schemeClr w14:val="tx1"/>
                  </w14:solidFill>
                </w14:textFill>
              </w:rPr>
            </m:ctrlPr>
          </m:dPr>
          <m:e>
            <m:sSup>
              <m:sSupPr>
                <m:ctrlPr>
                  <w:rPr>
                    <w:rFonts w:ascii="Cambria Math" w:hAnsi="Cambria Math"/>
                    <w:i/>
                    <w:color w:val="000000" w:themeColor="text1"/>
                    <w14:textFill>
                      <w14:solidFill>
                        <w14:schemeClr w14:val="tx1"/>
                      </w14:solidFill>
                    </w14:textFill>
                  </w:rPr>
                </m:ctrlPr>
              </m:sSupPr>
              <m:e>
                <m:r>
                  <w:rPr>
                    <w:rFonts w:ascii="Cambria Math" w:hAnsi="Cambria Math"/>
                    <w:color w:val="000000" w:themeColor="text1"/>
                    <w14:textFill>
                      <w14:solidFill>
                        <w14:schemeClr w14:val="tx1"/>
                      </w14:solidFill>
                    </w14:textFill>
                  </w:rPr>
                  <m:t>K</m:t>
                </m:r>
                <m:ctrlPr>
                  <w:rPr>
                    <w:rFonts w:ascii="Cambria Math" w:hAnsi="Cambria Math"/>
                    <w:i/>
                    <w:color w:val="000000" w:themeColor="text1"/>
                    <w14:textFill>
                      <w14:solidFill>
                        <w14:schemeClr w14:val="tx1"/>
                      </w14:solidFill>
                    </w14:textFill>
                  </w:rPr>
                </m:ctrlPr>
              </m:e>
              <m:sup>
                <m:r>
                  <w:rPr>
                    <w:rFonts w:ascii="Cambria Math" w:hAnsi="Cambria Math"/>
                    <w:color w:val="000000" w:themeColor="text1"/>
                    <w14:textFill>
                      <w14:solidFill>
                        <w14:schemeClr w14:val="tx1"/>
                      </w14:solidFill>
                    </w14:textFill>
                  </w:rPr>
                  <m:t>'</m:t>
                </m:r>
                <m:ctrlPr>
                  <w:rPr>
                    <w:rFonts w:ascii="Cambria Math" w:hAnsi="Cambria Math"/>
                    <w:i/>
                    <w:color w:val="000000" w:themeColor="text1"/>
                    <w14:textFill>
                      <w14:solidFill>
                        <w14:schemeClr w14:val="tx1"/>
                      </w14:solidFill>
                    </w14:textFill>
                  </w:rPr>
                </m:ctrlPr>
              </m:sup>
            </m:sSup>
            <m:ctrlPr>
              <w:rPr>
                <w:rFonts w:ascii="Cambria Math" w:hAnsi="Cambria Math"/>
                <w:i/>
                <w:color w:val="000000" w:themeColor="text1"/>
                <w14:textFill>
                  <w14:solidFill>
                    <w14:schemeClr w14:val="tx1"/>
                  </w14:solidFill>
                </w14:textFill>
              </w:rPr>
            </m:ctrlPr>
          </m:e>
        </m:d>
      </m:oMath>
      <w:r>
        <w:rPr>
          <w:color w:val="000000" w:themeColor="text1"/>
          <w14:textFill>
            <w14:solidFill>
              <w14:schemeClr w14:val="tx1"/>
            </w14:solidFill>
          </w14:textFill>
        </w:rPr>
        <w:t>=1时，潮流椭圆成圆形，各方向流速相等，为纯旋转流；当</w:t>
      </w:r>
      <m:oMath>
        <m:d>
          <m:dPr>
            <m:begChr m:val="|"/>
            <m:endChr m:val="|"/>
            <m:ctrlPr>
              <w:rPr>
                <w:rFonts w:ascii="Cambria Math" w:hAnsi="Cambria Math"/>
                <w:i/>
                <w:color w:val="000000" w:themeColor="text1"/>
                <w14:textFill>
                  <w14:solidFill>
                    <w14:schemeClr w14:val="tx1"/>
                  </w14:solidFill>
                </w14:textFill>
              </w:rPr>
            </m:ctrlPr>
          </m:dPr>
          <m:e>
            <m:sSup>
              <m:sSupPr>
                <m:ctrlPr>
                  <w:rPr>
                    <w:rFonts w:ascii="Cambria Math" w:hAnsi="Cambria Math"/>
                    <w:i/>
                    <w:color w:val="000000" w:themeColor="text1"/>
                    <w14:textFill>
                      <w14:solidFill>
                        <w14:schemeClr w14:val="tx1"/>
                      </w14:solidFill>
                    </w14:textFill>
                  </w:rPr>
                </m:ctrlPr>
              </m:sSupPr>
              <m:e>
                <m:r>
                  <w:rPr>
                    <w:rFonts w:ascii="Cambria Math" w:hAnsi="Cambria Math"/>
                    <w:color w:val="000000" w:themeColor="text1"/>
                    <w14:textFill>
                      <w14:solidFill>
                        <w14:schemeClr w14:val="tx1"/>
                      </w14:solidFill>
                    </w14:textFill>
                  </w:rPr>
                  <m:t>K</m:t>
                </m:r>
                <m:ctrlPr>
                  <w:rPr>
                    <w:rFonts w:ascii="Cambria Math" w:hAnsi="Cambria Math"/>
                    <w:i/>
                    <w:color w:val="000000" w:themeColor="text1"/>
                    <w14:textFill>
                      <w14:solidFill>
                        <w14:schemeClr w14:val="tx1"/>
                      </w14:solidFill>
                    </w14:textFill>
                  </w:rPr>
                </m:ctrlPr>
              </m:e>
              <m:sup>
                <m:r>
                  <w:rPr>
                    <w:rFonts w:ascii="Cambria Math" w:hAnsi="Cambria Math"/>
                    <w:color w:val="000000" w:themeColor="text1"/>
                    <w14:textFill>
                      <w14:solidFill>
                        <w14:schemeClr w14:val="tx1"/>
                      </w14:solidFill>
                    </w14:textFill>
                  </w:rPr>
                  <m:t>'</m:t>
                </m:r>
                <m:ctrlPr>
                  <w:rPr>
                    <w:rFonts w:ascii="Cambria Math" w:hAnsi="Cambria Math"/>
                    <w:i/>
                    <w:color w:val="000000" w:themeColor="text1"/>
                    <w14:textFill>
                      <w14:solidFill>
                        <w14:schemeClr w14:val="tx1"/>
                      </w14:solidFill>
                    </w14:textFill>
                  </w:rPr>
                </m:ctrlPr>
              </m:sup>
            </m:sSup>
            <m:ctrlPr>
              <w:rPr>
                <w:rFonts w:ascii="Cambria Math" w:hAnsi="Cambria Math"/>
                <w:i/>
                <w:color w:val="000000" w:themeColor="text1"/>
                <w14:textFill>
                  <w14:solidFill>
                    <w14:schemeClr w14:val="tx1"/>
                  </w14:solidFill>
                </w14:textFill>
              </w:rPr>
            </m:ctrlPr>
          </m:e>
        </m:d>
      </m:oMath>
      <w:r>
        <w:rPr>
          <w:color w:val="000000" w:themeColor="text1"/>
          <w14:textFill>
            <w14:solidFill>
              <w14:schemeClr w14:val="tx1"/>
            </w14:solidFill>
          </w14:textFill>
        </w:rPr>
        <w:t>=0时，潮流椭圆为一直线，海水在某一直线上往返流动，为典型往复流。</w:t>
      </w:r>
      <m:oMath>
        <m:d>
          <m:dPr>
            <m:begChr m:val="|"/>
            <m:endChr m:val="|"/>
            <m:ctrlPr>
              <w:rPr>
                <w:rFonts w:ascii="Cambria Math" w:hAnsi="Cambria Math"/>
                <w:i/>
                <w:color w:val="000000" w:themeColor="text1"/>
                <w14:textFill>
                  <w14:solidFill>
                    <w14:schemeClr w14:val="tx1"/>
                  </w14:solidFill>
                </w14:textFill>
              </w:rPr>
            </m:ctrlPr>
          </m:dPr>
          <m:e>
            <m:sSup>
              <m:sSupPr>
                <m:ctrlPr>
                  <w:rPr>
                    <w:rFonts w:ascii="Cambria Math" w:hAnsi="Cambria Math"/>
                    <w:i/>
                    <w:color w:val="000000" w:themeColor="text1"/>
                    <w14:textFill>
                      <w14:solidFill>
                        <w14:schemeClr w14:val="tx1"/>
                      </w14:solidFill>
                    </w14:textFill>
                  </w:rPr>
                </m:ctrlPr>
              </m:sSupPr>
              <m:e>
                <m:r>
                  <w:rPr>
                    <w:rFonts w:ascii="Cambria Math" w:hAnsi="Cambria Math"/>
                    <w:color w:val="000000" w:themeColor="text1"/>
                    <w14:textFill>
                      <w14:solidFill>
                        <w14:schemeClr w14:val="tx1"/>
                      </w14:solidFill>
                    </w14:textFill>
                  </w:rPr>
                  <m:t>K</m:t>
                </m:r>
                <m:ctrlPr>
                  <w:rPr>
                    <w:rFonts w:ascii="Cambria Math" w:hAnsi="Cambria Math"/>
                    <w:i/>
                    <w:color w:val="000000" w:themeColor="text1"/>
                    <w14:textFill>
                      <w14:solidFill>
                        <w14:schemeClr w14:val="tx1"/>
                      </w14:solidFill>
                    </w14:textFill>
                  </w:rPr>
                </m:ctrlPr>
              </m:e>
              <m:sup>
                <m:r>
                  <w:rPr>
                    <w:rFonts w:ascii="Cambria Math" w:hAnsi="Cambria Math"/>
                    <w:color w:val="000000" w:themeColor="text1"/>
                    <w14:textFill>
                      <w14:solidFill>
                        <w14:schemeClr w14:val="tx1"/>
                      </w14:solidFill>
                    </w14:textFill>
                  </w:rPr>
                  <m:t>'</m:t>
                </m:r>
                <m:ctrlPr>
                  <w:rPr>
                    <w:rFonts w:ascii="Cambria Math" w:hAnsi="Cambria Math"/>
                    <w:i/>
                    <w:color w:val="000000" w:themeColor="text1"/>
                    <w14:textFill>
                      <w14:solidFill>
                        <w14:schemeClr w14:val="tx1"/>
                      </w14:solidFill>
                    </w14:textFill>
                  </w:rPr>
                </m:ctrlPr>
              </m:sup>
            </m:sSup>
            <m:ctrlPr>
              <w:rPr>
                <w:rFonts w:ascii="Cambria Math" w:hAnsi="Cambria Math"/>
                <w:i/>
                <w:color w:val="000000" w:themeColor="text1"/>
                <w14:textFill>
                  <w14:solidFill>
                    <w14:schemeClr w14:val="tx1"/>
                  </w14:solidFill>
                </w14:textFill>
              </w:rPr>
            </m:ctrlPr>
          </m:e>
        </m:d>
      </m:oMath>
      <w:r>
        <w:rPr>
          <w:color w:val="000000" w:themeColor="text1"/>
          <w14:textFill>
            <w14:solidFill>
              <w14:schemeClr w14:val="tx1"/>
            </w14:solidFill>
          </w14:textFill>
        </w:rPr>
        <w:t>值通常在0-1之间，值越大，旋转流的形式越显著，</w:t>
      </w:r>
      <m:oMath>
        <m:d>
          <m:dPr>
            <m:begChr m:val="|"/>
            <m:endChr m:val="|"/>
            <m:ctrlPr>
              <w:rPr>
                <w:rFonts w:ascii="Cambria Math" w:hAnsi="Cambria Math"/>
                <w:i/>
                <w:color w:val="000000" w:themeColor="text1"/>
                <w14:textFill>
                  <w14:solidFill>
                    <w14:schemeClr w14:val="tx1"/>
                  </w14:solidFill>
                </w14:textFill>
              </w:rPr>
            </m:ctrlPr>
          </m:dPr>
          <m:e>
            <m:sSup>
              <m:sSupPr>
                <m:ctrlPr>
                  <w:rPr>
                    <w:rFonts w:ascii="Cambria Math" w:hAnsi="Cambria Math"/>
                    <w:i/>
                    <w:color w:val="000000" w:themeColor="text1"/>
                    <w14:textFill>
                      <w14:solidFill>
                        <w14:schemeClr w14:val="tx1"/>
                      </w14:solidFill>
                    </w14:textFill>
                  </w:rPr>
                </m:ctrlPr>
              </m:sSupPr>
              <m:e>
                <m:r>
                  <w:rPr>
                    <w:rFonts w:ascii="Cambria Math" w:hAnsi="Cambria Math"/>
                    <w:color w:val="000000" w:themeColor="text1"/>
                    <w14:textFill>
                      <w14:solidFill>
                        <w14:schemeClr w14:val="tx1"/>
                      </w14:solidFill>
                    </w14:textFill>
                  </w:rPr>
                  <m:t>K</m:t>
                </m:r>
                <m:ctrlPr>
                  <w:rPr>
                    <w:rFonts w:ascii="Cambria Math" w:hAnsi="Cambria Math"/>
                    <w:i/>
                    <w:color w:val="000000" w:themeColor="text1"/>
                    <w14:textFill>
                      <w14:solidFill>
                        <w14:schemeClr w14:val="tx1"/>
                      </w14:solidFill>
                    </w14:textFill>
                  </w:rPr>
                </m:ctrlPr>
              </m:e>
              <m:sup>
                <m:r>
                  <w:rPr>
                    <w:rFonts w:ascii="Cambria Math" w:hAnsi="Cambria Math"/>
                    <w:color w:val="000000" w:themeColor="text1"/>
                    <w14:textFill>
                      <w14:solidFill>
                        <w14:schemeClr w14:val="tx1"/>
                      </w14:solidFill>
                    </w14:textFill>
                  </w:rPr>
                  <m:t>'</m:t>
                </m:r>
                <m:ctrlPr>
                  <w:rPr>
                    <w:rFonts w:ascii="Cambria Math" w:hAnsi="Cambria Math"/>
                    <w:i/>
                    <w:color w:val="000000" w:themeColor="text1"/>
                    <w14:textFill>
                      <w14:solidFill>
                        <w14:schemeClr w14:val="tx1"/>
                      </w14:solidFill>
                    </w14:textFill>
                  </w:rPr>
                </m:ctrlPr>
              </m:sup>
            </m:sSup>
            <m:ctrlPr>
              <w:rPr>
                <w:rFonts w:ascii="Cambria Math" w:hAnsi="Cambria Math"/>
                <w:i/>
                <w:color w:val="000000" w:themeColor="text1"/>
                <w14:textFill>
                  <w14:solidFill>
                    <w14:schemeClr w14:val="tx1"/>
                  </w14:solidFill>
                </w14:textFill>
              </w:rPr>
            </m:ctrlPr>
          </m:e>
        </m:d>
      </m:oMath>
      <w:r>
        <w:rPr>
          <w:color w:val="000000" w:themeColor="text1"/>
          <w14:textFill>
            <w14:solidFill>
              <w14:schemeClr w14:val="tx1"/>
            </w14:solidFill>
          </w14:textFill>
        </w:rPr>
        <w:t>值越小，往复流的形式越显著；</w:t>
      </w:r>
    </w:p>
    <w:p>
      <w:pPr>
        <w:pStyle w:val="283"/>
        <w:rPr>
          <w:color w:val="000000" w:themeColor="text1"/>
          <w14:textFill>
            <w14:solidFill>
              <w14:schemeClr w14:val="tx1"/>
            </w14:solidFill>
          </w14:textFill>
        </w:rPr>
      </w:pPr>
      <w:r>
        <w:rPr>
          <w:color w:val="000000" w:themeColor="text1"/>
          <w14:textFill>
            <w14:solidFill>
              <w14:schemeClr w14:val="tx1"/>
            </w14:solidFill>
          </w14:textFill>
        </w:rPr>
        <w:t>根据2019年9月调查资料，经计算可知，各站点各层位主要分潮流的椭圆率</w:t>
      </w:r>
      <m:oMath>
        <m:d>
          <m:dPr>
            <m:begChr m:val="|"/>
            <m:endChr m:val="|"/>
            <m:ctrlPr>
              <w:rPr>
                <w:rFonts w:ascii="Cambria Math" w:hAnsi="Cambria Math"/>
                <w:i/>
                <w:color w:val="000000" w:themeColor="text1"/>
                <w14:textFill>
                  <w14:solidFill>
                    <w14:schemeClr w14:val="tx1"/>
                  </w14:solidFill>
                </w14:textFill>
              </w:rPr>
            </m:ctrlPr>
          </m:dPr>
          <m:e>
            <m:sSup>
              <m:sSupPr>
                <m:ctrlPr>
                  <w:rPr>
                    <w:rFonts w:ascii="Cambria Math" w:hAnsi="Cambria Math"/>
                    <w:i/>
                    <w:color w:val="000000" w:themeColor="text1"/>
                    <w14:textFill>
                      <w14:solidFill>
                        <w14:schemeClr w14:val="tx1"/>
                      </w14:solidFill>
                    </w14:textFill>
                  </w:rPr>
                </m:ctrlPr>
              </m:sSupPr>
              <m:e>
                <m:r>
                  <w:rPr>
                    <w:rFonts w:ascii="Cambria Math" w:hAnsi="Cambria Math"/>
                    <w:color w:val="000000" w:themeColor="text1"/>
                    <w14:textFill>
                      <w14:solidFill>
                        <w14:schemeClr w14:val="tx1"/>
                      </w14:solidFill>
                    </w14:textFill>
                  </w:rPr>
                  <m:t>K</m:t>
                </m:r>
                <m:ctrlPr>
                  <w:rPr>
                    <w:rFonts w:ascii="Cambria Math" w:hAnsi="Cambria Math"/>
                    <w:i/>
                    <w:color w:val="000000" w:themeColor="text1"/>
                    <w14:textFill>
                      <w14:solidFill>
                        <w14:schemeClr w14:val="tx1"/>
                      </w14:solidFill>
                    </w14:textFill>
                  </w:rPr>
                </m:ctrlPr>
              </m:e>
              <m:sup>
                <m:r>
                  <w:rPr>
                    <w:rFonts w:ascii="Cambria Math" w:hAnsi="Cambria Math"/>
                    <w:color w:val="000000" w:themeColor="text1"/>
                    <w14:textFill>
                      <w14:solidFill>
                        <w14:schemeClr w14:val="tx1"/>
                      </w14:solidFill>
                    </w14:textFill>
                  </w:rPr>
                  <m:t>'</m:t>
                </m:r>
                <m:ctrlPr>
                  <w:rPr>
                    <w:rFonts w:ascii="Cambria Math" w:hAnsi="Cambria Math"/>
                    <w:i/>
                    <w:color w:val="000000" w:themeColor="text1"/>
                    <w14:textFill>
                      <w14:solidFill>
                        <w14:schemeClr w14:val="tx1"/>
                      </w14:solidFill>
                    </w14:textFill>
                  </w:rPr>
                </m:ctrlPr>
              </m:sup>
            </m:sSup>
            <m:ctrlPr>
              <w:rPr>
                <w:rFonts w:ascii="Cambria Math" w:hAnsi="Cambria Math"/>
                <w:i/>
                <w:color w:val="000000" w:themeColor="text1"/>
                <w14:textFill>
                  <w14:solidFill>
                    <w14:schemeClr w14:val="tx1"/>
                  </w14:solidFill>
                </w14:textFill>
              </w:rPr>
            </m:ctrlPr>
          </m:e>
        </m:d>
      </m:oMath>
      <w:r>
        <w:rPr>
          <w:color w:val="000000" w:themeColor="text1"/>
          <w14:textFill>
            <w14:solidFill>
              <w14:schemeClr w14:val="tx1"/>
            </w14:solidFill>
          </w14:textFill>
        </w:rPr>
        <w:t>值都小于0.5，潮流运动形式为往复流。3、5站表中层、6站位的椭圆率为负值，潮流矢量的旋转方向以顺时针方向旋转，其余站位的椭圆率为正值，潮流矢量的旋转方向以逆时针方向旋转。</w:t>
      </w:r>
    </w:p>
    <w:p>
      <w:pPr>
        <w:pStyle w:val="283"/>
        <w:rPr>
          <w:color w:val="000000" w:themeColor="text1"/>
          <w14:textFill>
            <w14:solidFill>
              <w14:schemeClr w14:val="tx1"/>
            </w14:solidFill>
          </w14:textFill>
        </w:rPr>
      </w:pPr>
      <w:r>
        <w:rPr>
          <w:color w:val="000000" w:themeColor="text1"/>
          <w14:textFill>
            <w14:solidFill>
              <w14:schemeClr w14:val="tx1"/>
            </w14:solidFill>
          </w14:textFill>
        </w:rPr>
        <w:t>根据2020年3月调查资料，经计算可知，各站点各层位主要分潮流的椭圆率</w:t>
      </w:r>
      <m:oMath>
        <m:d>
          <m:dPr>
            <m:begChr m:val="|"/>
            <m:endChr m:val="|"/>
            <m:ctrlPr>
              <w:rPr>
                <w:rFonts w:ascii="Cambria Math" w:hAnsi="Cambria Math"/>
                <w:i/>
                <w:color w:val="000000" w:themeColor="text1"/>
                <w14:textFill>
                  <w14:solidFill>
                    <w14:schemeClr w14:val="tx1"/>
                  </w14:solidFill>
                </w14:textFill>
              </w:rPr>
            </m:ctrlPr>
          </m:dPr>
          <m:e>
            <m:sSup>
              <m:sSupPr>
                <m:ctrlPr>
                  <w:rPr>
                    <w:rFonts w:ascii="Cambria Math" w:hAnsi="Cambria Math"/>
                    <w:i/>
                    <w:color w:val="000000" w:themeColor="text1"/>
                    <w14:textFill>
                      <w14:solidFill>
                        <w14:schemeClr w14:val="tx1"/>
                      </w14:solidFill>
                    </w14:textFill>
                  </w:rPr>
                </m:ctrlPr>
              </m:sSupPr>
              <m:e>
                <m:r>
                  <w:rPr>
                    <w:rFonts w:ascii="Cambria Math" w:hAnsi="Cambria Math"/>
                    <w:color w:val="000000" w:themeColor="text1"/>
                    <w14:textFill>
                      <w14:solidFill>
                        <w14:schemeClr w14:val="tx1"/>
                      </w14:solidFill>
                    </w14:textFill>
                  </w:rPr>
                  <m:t>K</m:t>
                </m:r>
                <m:ctrlPr>
                  <w:rPr>
                    <w:rFonts w:ascii="Cambria Math" w:hAnsi="Cambria Math"/>
                    <w:i/>
                    <w:color w:val="000000" w:themeColor="text1"/>
                    <w14:textFill>
                      <w14:solidFill>
                        <w14:schemeClr w14:val="tx1"/>
                      </w14:solidFill>
                    </w14:textFill>
                  </w:rPr>
                </m:ctrlPr>
              </m:e>
              <m:sup>
                <m:r>
                  <w:rPr>
                    <w:rFonts w:ascii="Cambria Math" w:hAnsi="Cambria Math"/>
                    <w:color w:val="000000" w:themeColor="text1"/>
                    <w14:textFill>
                      <w14:solidFill>
                        <w14:schemeClr w14:val="tx1"/>
                      </w14:solidFill>
                    </w14:textFill>
                  </w:rPr>
                  <m:t>'</m:t>
                </m:r>
                <m:ctrlPr>
                  <w:rPr>
                    <w:rFonts w:ascii="Cambria Math" w:hAnsi="Cambria Math"/>
                    <w:i/>
                    <w:color w:val="000000" w:themeColor="text1"/>
                    <w14:textFill>
                      <w14:solidFill>
                        <w14:schemeClr w14:val="tx1"/>
                      </w14:solidFill>
                    </w14:textFill>
                  </w:rPr>
                </m:ctrlPr>
              </m:sup>
            </m:sSup>
            <m:ctrlPr>
              <w:rPr>
                <w:rFonts w:ascii="Cambria Math" w:hAnsi="Cambria Math"/>
                <w:i/>
                <w:color w:val="000000" w:themeColor="text1"/>
                <w14:textFill>
                  <w14:solidFill>
                    <w14:schemeClr w14:val="tx1"/>
                  </w14:solidFill>
                </w14:textFill>
              </w:rPr>
            </m:ctrlPr>
          </m:e>
        </m:d>
      </m:oMath>
      <w:r>
        <w:rPr>
          <w:color w:val="000000" w:themeColor="text1"/>
          <w14:textFill>
            <w14:solidFill>
              <w14:schemeClr w14:val="tx1"/>
            </w14:solidFill>
          </w14:textFill>
        </w:rPr>
        <w:t>值都小于0.5，潮流运动形式为往复流。1、5、6站位的椭圆率为负值，潮流矢量的旋转方向以顺时针方向旋转，其余站位的椭圆率为正值，潮流矢量的旋转方向以逆时针方向旋转。</w:t>
      </w:r>
    </w:p>
    <w:p>
      <w:pPr>
        <w:pStyle w:val="283"/>
        <w:rPr>
          <w:color w:val="000000" w:themeColor="text1"/>
          <w14:textFill>
            <w14:solidFill>
              <w14:schemeClr w14:val="tx1"/>
            </w14:solidFill>
          </w14:textFill>
        </w:rPr>
      </w:pPr>
      <w:r>
        <w:rPr>
          <w:rFonts w:hint="eastAsia" w:ascii="宋体" w:hAnsi="宋体" w:cs="宋体"/>
          <w:color w:val="000000" w:themeColor="text1"/>
          <w14:textFill>
            <w14:solidFill>
              <w14:schemeClr w14:val="tx1"/>
            </w14:solidFill>
          </w14:textFill>
        </w:rPr>
        <w:t>③</w:t>
      </w:r>
      <w:r>
        <w:rPr>
          <w:color w:val="000000" w:themeColor="text1"/>
          <w14:textFill>
            <w14:solidFill>
              <w14:schemeClr w14:val="tx1"/>
            </w14:solidFill>
          </w14:textFill>
        </w:rPr>
        <w:t>余流</w:t>
      </w:r>
    </w:p>
    <w:p>
      <w:pPr>
        <w:pStyle w:val="283"/>
        <w:rPr>
          <w:color w:val="000000" w:themeColor="text1"/>
          <w14:textFill>
            <w14:solidFill>
              <w14:schemeClr w14:val="tx1"/>
            </w14:solidFill>
          </w14:textFill>
        </w:rPr>
      </w:pPr>
      <w:r>
        <w:rPr>
          <w:color w:val="000000" w:themeColor="text1"/>
          <w14:textFill>
            <w14:solidFill>
              <w14:schemeClr w14:val="tx1"/>
            </w14:solidFill>
          </w14:textFill>
        </w:rPr>
        <w:t>余流是指从实测海流中分离出潮流后所余下部分，包括风海流、沿岸流和潮致余流。根据准调和分析得到的是潮致余流。</w:t>
      </w:r>
    </w:p>
    <w:p>
      <w:pPr>
        <w:pStyle w:val="283"/>
        <w:rPr>
          <w:color w:val="000000" w:themeColor="text1"/>
          <w14:textFill>
            <w14:solidFill>
              <w14:schemeClr w14:val="tx1"/>
            </w14:solidFill>
          </w14:textFill>
        </w:rPr>
      </w:pPr>
      <w:r>
        <w:rPr>
          <w:color w:val="000000" w:themeColor="text1"/>
          <w14:textFill>
            <w14:solidFill>
              <w14:schemeClr w14:val="tx1"/>
            </w14:solidFill>
          </w14:textFill>
        </w:rPr>
        <w:t>2019年9月余流值在1.7～20.6cm/s之间，1～6站位中，2站表层余流流速最大，为20.6cm/s，流向为239.6°，4站表层、5站表、中层余流流速最小，为1.7cm/s，流向为251.4°、314.6°。</w:t>
      </w:r>
    </w:p>
    <w:p>
      <w:pPr>
        <w:pStyle w:val="283"/>
        <w:rPr>
          <w:color w:val="000000" w:themeColor="text1"/>
          <w14:textFill>
            <w14:solidFill>
              <w14:schemeClr w14:val="tx1"/>
            </w14:solidFill>
          </w14:textFill>
        </w:rPr>
      </w:pPr>
      <w:r>
        <w:rPr>
          <w:color w:val="000000" w:themeColor="text1"/>
          <w14:textFill>
            <w14:solidFill>
              <w14:schemeClr w14:val="tx1"/>
            </w14:solidFill>
          </w14:textFill>
        </w:rPr>
        <w:t>2020年3月余流值在0.2～2.2cm/s之间，1～6站位中，2站中层余流流速最大，为2.2cm/s，流向为255.5°，3站中层余流流速最小，为0.2cm/s，流向为266.3°。</w:t>
      </w:r>
    </w:p>
    <w:p>
      <w:pPr>
        <w:pStyle w:val="5"/>
        <w:rPr>
          <w:color w:val="000000" w:themeColor="text1"/>
          <w14:textFill>
            <w14:solidFill>
              <w14:schemeClr w14:val="tx1"/>
            </w14:solidFill>
          </w14:textFill>
        </w:rPr>
      </w:pPr>
      <w:bookmarkStart w:id="157" w:name="_Hlk171113917"/>
      <w:bookmarkStart w:id="158" w:name="_Toc170918604"/>
      <w:r>
        <w:rPr>
          <w:rFonts w:hint="eastAsia"/>
          <w:color w:val="000000" w:themeColor="text1"/>
          <w14:textFill>
            <w14:solidFill>
              <w14:schemeClr w14:val="tx1"/>
            </w14:solidFill>
          </w14:textFill>
        </w:rPr>
        <w:t>混合区的排污</w:t>
      </w:r>
      <w:bookmarkEnd w:id="157"/>
      <w:r>
        <w:rPr>
          <w:rFonts w:hint="eastAsia"/>
          <w:color w:val="000000" w:themeColor="text1"/>
          <w14:textFill>
            <w14:solidFill>
              <w14:schemeClr w14:val="tx1"/>
            </w14:solidFill>
          </w14:textFill>
        </w:rPr>
        <w:t>及水质情况</w:t>
      </w:r>
    </w:p>
    <w:p>
      <w:pPr>
        <w:pStyle w:val="6"/>
        <w:rPr>
          <w:color w:val="000000" w:themeColor="text1"/>
          <w14:textFill>
            <w14:solidFill>
              <w14:schemeClr w14:val="tx1"/>
            </w14:solidFill>
          </w14:textFill>
        </w:rPr>
      </w:pPr>
      <w:r>
        <w:rPr>
          <w:rFonts w:hint="eastAsia"/>
          <w:color w:val="000000" w:themeColor="text1"/>
          <w14:textFill>
            <w14:solidFill>
              <w14:schemeClr w14:val="tx1"/>
            </w14:solidFill>
          </w14:textFill>
        </w:rPr>
        <w:t>排污口设置情况</w:t>
      </w:r>
    </w:p>
    <w:p>
      <w:pPr>
        <w:ind w:firstLine="438" w:firstLineChars="200"/>
        <w:rPr>
          <w:bCs/>
          <w:color w:val="000000" w:themeColor="text1"/>
          <w14:textFill>
            <w14:solidFill>
              <w14:schemeClr w14:val="tx1"/>
            </w14:solidFill>
          </w14:textFill>
        </w:rPr>
      </w:pPr>
      <w:r>
        <w:rPr>
          <w:rFonts w:hint="eastAsia"/>
          <w:color w:val="000000" w:themeColor="text1"/>
          <w14:textFill>
            <w14:solidFill>
              <w14:schemeClr w14:val="tx1"/>
            </w14:solidFill>
          </w14:textFill>
        </w:rPr>
        <w:t>本项目工程涉及钦州港大榄坪排污混合区，排污混合区内现有企业入河排污口广西金桂浆纸业有限公司及钦州市大榄坪污水处理厂排污口，经与钦州市生态环境局核实，广西金桂浆纸业有限公司排污口及钦州市大榄坪污水处理厂排污口均位于本次扩建工程东侧，大</w:t>
      </w:r>
      <w:r>
        <w:rPr>
          <w:rFonts w:hint="eastAsia"/>
          <w:bCs/>
          <w:color w:val="000000" w:themeColor="text1"/>
          <w14:textFill>
            <w14:solidFill>
              <w14:schemeClr w14:val="tx1"/>
            </w14:solidFill>
          </w14:textFill>
        </w:rPr>
        <w:t>榄坪污水处理厂排污口坐标为108.656183445°E，21.658889267°N，金桂浆纸业排污口坐标为108.659370400°E，21.657898570°N，</w:t>
      </w:r>
      <w:r>
        <w:rPr>
          <w:rFonts w:hint="eastAsia"/>
          <w:color w:val="000000" w:themeColor="text1"/>
          <w14:textFill>
            <w14:solidFill>
              <w14:schemeClr w14:val="tx1"/>
            </w14:solidFill>
          </w14:textFill>
        </w:rPr>
        <w:t>其中</w:t>
      </w:r>
      <w:r>
        <w:rPr>
          <w:rFonts w:hint="eastAsia"/>
          <w:bCs/>
          <w:color w:val="000000" w:themeColor="text1"/>
          <w14:textFill>
            <w14:solidFill>
              <w14:schemeClr w14:val="tx1"/>
            </w14:solidFill>
          </w14:textFill>
        </w:rPr>
        <w:t>现有9号10号泊位岸线距离大榄坪污水处理厂排污口约646m、距离金桂浆纸业排污口约460m，本次泊位扩建工程沿现有岸线向南扩建208m，扩建后距离大榄坪污水处理厂排污口约430m、距离金桂浆纸业排污口约240m，排污口及排污管网与本次扩建工程位置关系见图3.3-16。</w:t>
      </w:r>
    </w:p>
    <w:tbl>
      <w:tblPr>
        <w:tblStyle w:val="89"/>
        <w:tblW w:w="852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52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8528" w:type="dxa"/>
            <w:tcBorders>
              <w:top w:val="nil"/>
              <w:left w:val="nil"/>
              <w:bottom w:val="nil"/>
              <w:right w:val="nil"/>
            </w:tcBorders>
            <w:vAlign w:val="center"/>
          </w:tcPr>
          <w:p>
            <w:pPr>
              <w:pStyle w:val="553"/>
              <w:rPr>
                <w:color w:val="000000" w:themeColor="text1"/>
                <w:u w:val="single"/>
                <w14:textFill>
                  <w14:solidFill>
                    <w14:schemeClr w14:val="tx1"/>
                  </w14:solidFill>
                </w14:textFill>
              </w:rPr>
            </w:pPr>
            <w:r>
              <w:rPr>
                <w:rFonts w:hint="eastAsia"/>
                <w:color w:val="000000" w:themeColor="text1"/>
                <w:u w:val="single"/>
                <w14:textFill>
                  <w14:solidFill>
                    <w14:schemeClr w14:val="tx1"/>
                  </w14:solidFill>
                </w14:textFill>
              </w:rPr>
              <w:t>混合区排污口与本次扩建区域位置关系</w:t>
            </w:r>
          </w:p>
        </w:tc>
      </w:tr>
    </w:tbl>
    <w:p>
      <w:pPr>
        <w:ind w:firstLine="438" w:firstLineChars="200"/>
        <w:rPr>
          <w:color w:val="000000" w:themeColor="text1"/>
          <w14:textFill>
            <w14:solidFill>
              <w14:schemeClr w14:val="tx1"/>
            </w14:solidFill>
          </w14:textFill>
        </w:rPr>
      </w:pPr>
      <w:r>
        <w:rPr>
          <w:color w:val="000000" w:themeColor="text1"/>
          <w14:textFill>
            <w14:solidFill>
              <w14:schemeClr w14:val="tx1"/>
            </w14:solidFill>
          </w14:textFill>
        </w:rPr>
        <w:t>根据企业提供的排污口竣工图，扩散器位置由排海管路由重点位置确定，</w:t>
      </w:r>
      <w:r>
        <w:rPr>
          <w:rFonts w:hint="eastAsia"/>
          <w:color w:val="000000" w:themeColor="text1"/>
          <w14:textFill>
            <w14:solidFill>
              <w14:schemeClr w14:val="tx1"/>
            </w14:solidFill>
          </w14:textFill>
        </w:rPr>
        <w:t>同时</w:t>
      </w:r>
      <w:r>
        <w:rPr>
          <w:color w:val="000000" w:themeColor="text1"/>
          <w14:textFill>
            <w14:solidFill>
              <w14:schemeClr w14:val="tx1"/>
            </w14:solidFill>
          </w14:textFill>
        </w:rPr>
        <w:t>避免东航道建设对排海管道的影响，扩散器采用Ⅰ型扩散器，布置为西北—东南向，与</w:t>
      </w:r>
      <w:r>
        <w:rPr>
          <w:rFonts w:hint="eastAsia"/>
          <w:color w:val="000000" w:themeColor="text1"/>
          <w14:textFill>
            <w14:solidFill>
              <w14:schemeClr w14:val="tx1"/>
            </w14:solidFill>
          </w14:textFill>
        </w:rPr>
        <w:t>9号10号泊位规划码头岸线平行，扩散器排放深度7.0m，排放长度480m，扩散器喷口数目取240个，喷孔口径为80mm，喷空出口安装鸭嘴型止回阀；采用60根竖管，竖管间间距为8m，竖管管径为DN200，每根竖管排4个喷孔，扩散器末端设置J型管和</w:t>
      </w:r>
      <w:r>
        <w:rPr>
          <w:rFonts w:hint="eastAsia"/>
          <w:color w:val="000000" w:themeColor="text1"/>
          <w:lang w:eastAsia="zh-CN"/>
          <w14:textFill>
            <w14:solidFill>
              <w14:schemeClr w14:val="tx1"/>
            </w14:solidFill>
          </w14:textFill>
        </w:rPr>
        <w:t>冲洗阀</w:t>
      </w:r>
      <w:r>
        <w:rPr>
          <w:rFonts w:hint="eastAsia"/>
          <w:color w:val="000000" w:themeColor="text1"/>
          <w14:textFill>
            <w14:solidFill>
              <w14:schemeClr w14:val="tx1"/>
            </w14:solidFill>
          </w14:textFill>
        </w:rPr>
        <w:t>门。</w:t>
      </w:r>
    </w:p>
    <w:p>
      <w:pPr>
        <w:pStyle w:val="6"/>
        <w:rPr>
          <w:color w:val="000000" w:themeColor="text1"/>
          <w14:textFill>
            <w14:solidFill>
              <w14:schemeClr w14:val="tx1"/>
            </w14:solidFill>
          </w14:textFill>
        </w:rPr>
      </w:pPr>
      <w:r>
        <w:rPr>
          <w:rFonts w:hint="eastAsia"/>
          <w:color w:val="000000" w:themeColor="text1"/>
          <w14:textFill>
            <w14:solidFill>
              <w14:schemeClr w14:val="tx1"/>
            </w14:solidFill>
          </w14:textFill>
        </w:rPr>
        <w:t>排污口许可排放量</w:t>
      </w:r>
    </w:p>
    <w:p>
      <w:pPr>
        <w:ind w:firstLine="438" w:firstLineChars="200"/>
        <w:rPr>
          <w:b/>
          <w:color w:val="000000" w:themeColor="text1"/>
          <w14:textFill>
            <w14:solidFill>
              <w14:schemeClr w14:val="tx1"/>
            </w14:solidFill>
          </w14:textFill>
        </w:rPr>
      </w:pPr>
      <w:r>
        <w:rPr>
          <w:rFonts w:hint="eastAsia"/>
          <w:b/>
          <w:color w:val="000000" w:themeColor="text1"/>
          <w14:textFill>
            <w14:solidFill>
              <w14:schemeClr w14:val="tx1"/>
            </w14:solidFill>
          </w14:textFill>
        </w:rPr>
        <w:t>1、广西金桂浆纸业有限公司排污口许可排放量</w:t>
      </w:r>
    </w:p>
    <w:p>
      <w:pPr>
        <w:ind w:firstLine="438" w:firstLineChars="200"/>
        <w:rPr>
          <w:color w:val="000000" w:themeColor="text1"/>
          <w14:textFill>
            <w14:solidFill>
              <w14:schemeClr w14:val="tx1"/>
            </w14:solidFill>
          </w14:textFill>
        </w:rPr>
      </w:pPr>
      <w:r>
        <w:rPr>
          <w:rFonts w:hint="eastAsia"/>
          <w:color w:val="000000" w:themeColor="text1"/>
          <w14:textFill>
            <w14:solidFill>
              <w14:schemeClr w14:val="tx1"/>
            </w14:solidFill>
          </w14:textFill>
        </w:rPr>
        <w:t>根据广西金桂浆纸业有限公司排污许可证，金桂浆纸业废水排放口许可排污情况如下表3.3-58。</w:t>
      </w:r>
    </w:p>
    <w:p>
      <w:pPr>
        <w:pStyle w:val="384"/>
        <w:ind w:left="0" w:firstLine="0"/>
        <w:rPr>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广西金桂浆纸业有限公司废水污染物许可排放情况</w:t>
      </w:r>
    </w:p>
    <w:p>
      <w:pPr>
        <w:ind w:firstLine="438" w:firstLineChars="200"/>
        <w:rPr>
          <w:b/>
          <w:color w:val="000000" w:themeColor="text1"/>
          <w14:textFill>
            <w14:solidFill>
              <w14:schemeClr w14:val="tx1"/>
            </w14:solidFill>
          </w14:textFill>
        </w:rPr>
      </w:pPr>
      <w:r>
        <w:rPr>
          <w:rFonts w:hint="eastAsia"/>
          <w:b/>
          <w:color w:val="000000" w:themeColor="text1"/>
          <w14:textFill>
            <w14:solidFill>
              <w14:schemeClr w14:val="tx1"/>
            </w14:solidFill>
          </w14:textFill>
        </w:rPr>
        <w:t>2、钦州市大榄坪污水处理厂排污口许可排放量</w:t>
      </w:r>
    </w:p>
    <w:p>
      <w:pPr>
        <w:ind w:firstLine="438" w:firstLineChars="200"/>
        <w:rPr>
          <w:color w:val="000000" w:themeColor="text1"/>
          <w14:textFill>
            <w14:solidFill>
              <w14:schemeClr w14:val="tx1"/>
            </w14:solidFill>
          </w14:textFill>
        </w:rPr>
      </w:pPr>
      <w:r>
        <w:rPr>
          <w:rFonts w:hint="eastAsia"/>
          <w:color w:val="000000" w:themeColor="text1"/>
          <w14:textFill>
            <w14:solidFill>
              <w14:schemeClr w14:val="tx1"/>
            </w14:solidFill>
          </w14:textFill>
        </w:rPr>
        <w:t>根据钦州市大榄坪污水处理厂排污许可证，大榄坪污水处理厂废水排放口许可排污情况如下表3.3-59。</w:t>
      </w:r>
    </w:p>
    <w:p>
      <w:pPr>
        <w:pStyle w:val="384"/>
        <w:ind w:left="0" w:firstLine="0"/>
        <w:rPr>
          <w:rFonts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钦州市大榄坪污水处理厂废水污染物许可排放情况</w:t>
      </w:r>
    </w:p>
    <w:p>
      <w:pPr>
        <w:pStyle w:val="6"/>
        <w:rPr>
          <w:color w:val="000000" w:themeColor="text1"/>
          <w14:textFill>
            <w14:solidFill>
              <w14:schemeClr w14:val="tx1"/>
            </w14:solidFill>
          </w14:textFill>
        </w:rPr>
      </w:pPr>
      <w:r>
        <w:rPr>
          <w:rFonts w:hint="eastAsia"/>
          <w:color w:val="000000" w:themeColor="text1"/>
          <w14:textFill>
            <w14:solidFill>
              <w14:schemeClr w14:val="tx1"/>
            </w14:solidFill>
          </w14:textFill>
        </w:rPr>
        <w:t>排污口实际排放量</w:t>
      </w:r>
    </w:p>
    <w:p>
      <w:pPr>
        <w:ind w:firstLine="438" w:firstLineChars="200"/>
        <w:rPr>
          <w:b/>
          <w:color w:val="000000" w:themeColor="text1"/>
          <w14:textFill>
            <w14:solidFill>
              <w14:schemeClr w14:val="tx1"/>
            </w14:solidFill>
          </w14:textFill>
        </w:rPr>
      </w:pPr>
      <w:r>
        <w:rPr>
          <w:rFonts w:hint="eastAsia"/>
          <w:b/>
          <w:color w:val="000000" w:themeColor="text1"/>
          <w14:textFill>
            <w14:solidFill>
              <w14:schemeClr w14:val="tx1"/>
            </w14:solidFill>
          </w14:textFill>
        </w:rPr>
        <w:t>1、广西金桂浆纸业有限公司排污口实际排放量</w:t>
      </w:r>
    </w:p>
    <w:p>
      <w:pPr>
        <w:ind w:firstLine="438" w:firstLineChars="200"/>
        <w:rPr>
          <w:color w:val="000000" w:themeColor="text1"/>
          <w14:textFill>
            <w14:solidFill>
              <w14:schemeClr w14:val="tx1"/>
            </w14:solidFill>
          </w14:textFill>
        </w:rPr>
      </w:pPr>
      <w:r>
        <w:rPr>
          <w:rFonts w:hint="eastAsia"/>
          <w:color w:val="000000" w:themeColor="text1"/>
          <w:u w:val="single"/>
          <w14:textFill>
            <w14:solidFill>
              <w14:schemeClr w14:val="tx1"/>
            </w14:solidFill>
          </w14:textFill>
        </w:rPr>
        <w:t>广西金桂浆纸业有限公司排污口现阶段主要受纳污水为广西金桂浆纸业有限公司一期、二期工程经厂区处理后的生产废水及生活污水，</w:t>
      </w:r>
      <w:r>
        <w:rPr>
          <w:rFonts w:hint="eastAsia"/>
          <w:color w:val="000000" w:themeColor="text1"/>
          <w14:textFill>
            <w14:solidFill>
              <w14:schemeClr w14:val="tx1"/>
            </w14:solidFill>
          </w14:textFill>
        </w:rPr>
        <w:t>根据2023年、2022年排污单位在钦州市生态环境局系统填报的废水连续排放监测日均值年报表，金桂浆纸业废水排放口排污情况如下表3.3-60。</w:t>
      </w:r>
    </w:p>
    <w:p>
      <w:pPr>
        <w:pStyle w:val="384"/>
        <w:snapToGrid w:val="0"/>
        <w:spacing w:before="232" w:beforeLines="50"/>
        <w:ind w:left="0" w:firstLine="0"/>
        <w:rPr>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广西金桂浆纸业有限公司废水排放口</w:t>
      </w:r>
    </w:p>
    <w:p>
      <w:pPr>
        <w:pStyle w:val="384"/>
        <w:numPr>
          <w:ilvl w:val="0"/>
          <w:numId w:val="0"/>
        </w:numPr>
        <w:snapToGrid w:val="0"/>
        <w:ind w:firstLine="1739" w:firstLineChars="794"/>
        <w:jc w:val="both"/>
        <w:rPr>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 xml:space="preserve">2022年及2023年废水连续排放日均值年报表 </w:t>
      </w:r>
    </w:p>
    <w:p>
      <w:pPr>
        <w:ind w:firstLine="438" w:firstLineChars="200"/>
        <w:rPr>
          <w:b/>
          <w:color w:val="000000" w:themeColor="text1"/>
          <w14:textFill>
            <w14:solidFill>
              <w14:schemeClr w14:val="tx1"/>
            </w14:solidFill>
          </w14:textFill>
        </w:rPr>
      </w:pPr>
      <w:r>
        <w:rPr>
          <w:rFonts w:hint="eastAsia"/>
          <w:b/>
          <w:color w:val="000000" w:themeColor="text1"/>
          <w14:textFill>
            <w14:solidFill>
              <w14:schemeClr w14:val="tx1"/>
            </w14:solidFill>
          </w14:textFill>
        </w:rPr>
        <w:t>2、钦州市大榄坪污水处理厂排污口实际排放量</w:t>
      </w:r>
    </w:p>
    <w:p>
      <w:pPr>
        <w:ind w:firstLine="438" w:firstLineChars="200"/>
        <w:rPr>
          <w:color w:val="000000" w:themeColor="text1"/>
          <w14:textFill>
            <w14:solidFill>
              <w14:schemeClr w14:val="tx1"/>
            </w14:solidFill>
          </w14:textFill>
        </w:rPr>
      </w:pPr>
      <w:r>
        <w:rPr>
          <w:rFonts w:hint="eastAsia"/>
          <w:color w:val="000000" w:themeColor="text1"/>
          <w:u w:val="single"/>
          <w14:textFill>
            <w14:solidFill>
              <w14:schemeClr w14:val="tx1"/>
            </w14:solidFill>
          </w14:textFill>
        </w:rPr>
        <w:t>钦州市大榄坪污水处理厂排污口现阶段主要受纳污水为中船广西船舶及海洋工程有限公司废水及钦州港保税港区经各企业厂区内污水处理站先行处理达到《污水综合排放标准》（GB8978-1996）三级标准后的工业废水和生活污水。</w:t>
      </w:r>
      <w:r>
        <w:rPr>
          <w:rFonts w:hint="eastAsia"/>
          <w:color w:val="000000" w:themeColor="text1"/>
          <w14:textFill>
            <w14:solidFill>
              <w14:schemeClr w14:val="tx1"/>
            </w14:solidFill>
          </w14:textFill>
        </w:rPr>
        <w:t>根据2023年、2022年排污单位在钦州市生态环境局系统填报的废水连续排放监测日均值年报表，大榄坪污水处理厂污水排放口排污情况如下表3.3-61。</w:t>
      </w:r>
    </w:p>
    <w:p>
      <w:pPr>
        <w:pStyle w:val="384"/>
        <w:snapToGrid w:val="0"/>
        <w:spacing w:before="232" w:beforeLines="50"/>
        <w:ind w:left="0" w:firstLine="0"/>
        <w:rPr>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大榄坪污水处理厂污水排放口</w:t>
      </w:r>
    </w:p>
    <w:p>
      <w:pPr>
        <w:pStyle w:val="384"/>
        <w:numPr>
          <w:ilvl w:val="0"/>
          <w:numId w:val="0"/>
        </w:numPr>
        <w:snapToGrid w:val="0"/>
        <w:rPr>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2022年及2023年废水连续排放日均值年报表</w:t>
      </w:r>
    </w:p>
    <w:p>
      <w:pPr>
        <w:pStyle w:val="6"/>
        <w:rPr>
          <w:color w:val="000000" w:themeColor="text1"/>
          <w14:textFill>
            <w14:solidFill>
              <w14:schemeClr w14:val="tx1"/>
            </w14:solidFill>
          </w14:textFill>
        </w:rPr>
      </w:pPr>
      <w:r>
        <w:rPr>
          <w:rFonts w:hint="eastAsia"/>
          <w:color w:val="000000" w:themeColor="text1"/>
          <w14:textFill>
            <w14:solidFill>
              <w14:schemeClr w14:val="tx1"/>
            </w14:solidFill>
          </w14:textFill>
        </w:rPr>
        <w:t>排污口规划新增排放量</w:t>
      </w:r>
    </w:p>
    <w:p>
      <w:pPr>
        <w:ind w:firstLine="438" w:firstLineChars="200"/>
        <w:rPr>
          <w:color w:val="000000" w:themeColor="text1"/>
          <w:u w:val="single"/>
          <w14:textFill>
            <w14:solidFill>
              <w14:schemeClr w14:val="tx1"/>
            </w14:solidFill>
          </w14:textFill>
        </w:rPr>
      </w:pPr>
      <w:r>
        <w:rPr>
          <w:rFonts w:hint="eastAsia"/>
          <w:color w:val="000000" w:themeColor="text1"/>
          <w:u w:val="single"/>
          <w14:textFill>
            <w14:solidFill>
              <w14:schemeClr w14:val="tx1"/>
            </w14:solidFill>
          </w14:textFill>
        </w:rPr>
        <w:t>根据《钦州市人民政府办公室关于印发钦州湾海域污染整治及排污口控制目标方案的通知》，至2020年，取消现有的钦州市犀牛脚糖厂、金桂浆纸厂排污口，钦州市犀牛脚糖厂、金桂浆纸厂排水预处理后，接入大榄坪污水处理厂集中处理；在三墩近期西侧突堤修建钦州湾外迁污水总排放口，并修建钦州湾污水外迁管道，将胜科污水处理厂、大榄坪污水处理厂及三墩循环经济示范岛污水处理厂尾水均引至外迁污水总排放口排放。上述排污口外迁工程正在逐步落实，本次论证重点关注三墩外迁排污口迁改前，规划接入大榄坪污水处理厂、金桂浆纸业有限公司排污口已批在建项目排放的污水情况。</w:t>
      </w:r>
    </w:p>
    <w:p>
      <w:pPr>
        <w:ind w:firstLine="438" w:firstLineChars="200"/>
        <w:rPr>
          <w:b/>
          <w:color w:val="000000" w:themeColor="text1"/>
          <w:u w:val="single"/>
          <w14:textFill>
            <w14:solidFill>
              <w14:schemeClr w14:val="tx1"/>
            </w14:solidFill>
          </w14:textFill>
        </w:rPr>
      </w:pPr>
      <w:r>
        <w:rPr>
          <w:rFonts w:hint="eastAsia"/>
          <w:b/>
          <w:color w:val="000000" w:themeColor="text1"/>
          <w:u w:val="single"/>
          <w14:textFill>
            <w14:solidFill>
              <w14:schemeClr w14:val="tx1"/>
            </w14:solidFill>
          </w14:textFill>
        </w:rPr>
        <w:t>1、广西金桂浆纸业有限公司三期工程</w:t>
      </w:r>
    </w:p>
    <w:p>
      <w:pPr>
        <w:ind w:firstLine="438" w:firstLineChars="200"/>
        <w:rPr>
          <w:color w:val="000000" w:themeColor="text1"/>
          <w:u w:val="single"/>
          <w14:textFill>
            <w14:solidFill>
              <w14:schemeClr w14:val="tx1"/>
            </w14:solidFill>
          </w14:textFill>
        </w:rPr>
      </w:pPr>
      <w:r>
        <w:rPr>
          <w:rFonts w:hint="eastAsia"/>
          <w:color w:val="000000" w:themeColor="text1"/>
          <w:u w:val="single"/>
          <w14:textFill>
            <w14:solidFill>
              <w14:schemeClr w14:val="tx1"/>
            </w14:solidFill>
          </w14:textFill>
        </w:rPr>
        <w:t>根据《广西金桂浆纸业有限公司三期工程年产300万吨林浆纸一体化项目环境影响报告书（公示稿）》（2024年5月），广西金桂浆纸业有限公司三期工程新增废水量为87206m</w:t>
      </w:r>
      <w:r>
        <w:rPr>
          <w:rFonts w:hint="eastAsia"/>
          <w:color w:val="000000" w:themeColor="text1"/>
          <w:u w:val="single"/>
          <w:vertAlign w:val="superscript"/>
          <w14:textFill>
            <w14:solidFill>
              <w14:schemeClr w14:val="tx1"/>
            </w14:solidFill>
          </w14:textFill>
        </w:rPr>
        <w:t>3</w:t>
      </w:r>
      <w:r>
        <w:rPr>
          <w:rFonts w:hint="eastAsia"/>
          <w:color w:val="000000" w:themeColor="text1"/>
          <w:u w:val="single"/>
          <w14:textFill>
            <w14:solidFill>
              <w14:schemeClr w14:val="tx1"/>
            </w14:solidFill>
          </w14:textFill>
        </w:rPr>
        <w:t>/d，经厂区污水处理站处理达标后，依托中国（广西）自由贸易试验区钦州港大榄坪及三墩作业区深海排水管道工程排放。上述两处深海排水管道工程未建成正常运行的情况下，广西金桂浆纸业有限公司三期工程不得排放废水。</w:t>
      </w:r>
    </w:p>
    <w:p>
      <w:pPr>
        <w:ind w:firstLine="438" w:firstLineChars="200"/>
        <w:rPr>
          <w:color w:val="000000" w:themeColor="text1"/>
          <w:u w:val="single"/>
          <w14:textFill>
            <w14:solidFill>
              <w14:schemeClr w14:val="tx1"/>
            </w14:solidFill>
          </w14:textFill>
        </w:rPr>
      </w:pPr>
      <w:r>
        <w:rPr>
          <w:rFonts w:hint="eastAsia"/>
          <w:color w:val="000000" w:themeColor="text1"/>
          <w:u w:val="single"/>
          <w14:textFill>
            <w14:solidFill>
              <w14:schemeClr w14:val="tx1"/>
            </w14:solidFill>
          </w14:textFill>
        </w:rPr>
        <w:t>因此，广西金桂浆纸业有限公司三期工程新增废污水不排入本项目南侧2处大榄坪污水处理厂、金桂浆纸业有限公司排污口排放。</w:t>
      </w:r>
    </w:p>
    <w:p>
      <w:pPr>
        <w:ind w:firstLine="438" w:firstLineChars="200"/>
        <w:rPr>
          <w:b/>
          <w:color w:val="000000" w:themeColor="text1"/>
          <w:u w:val="single"/>
          <w14:textFill>
            <w14:solidFill>
              <w14:schemeClr w14:val="tx1"/>
            </w14:solidFill>
          </w14:textFill>
        </w:rPr>
      </w:pPr>
      <w:r>
        <w:rPr>
          <w:rFonts w:hint="eastAsia"/>
          <w:b/>
          <w:color w:val="000000" w:themeColor="text1"/>
          <w:u w:val="single"/>
          <w14:textFill>
            <w14:solidFill>
              <w14:schemeClr w14:val="tx1"/>
            </w14:solidFill>
          </w14:textFill>
        </w:rPr>
        <w:t>2、广西中伟新能源项目氧化钴处置线技改项目</w:t>
      </w:r>
    </w:p>
    <w:p>
      <w:pPr>
        <w:ind w:firstLine="438" w:firstLineChars="200"/>
        <w:rPr>
          <w:color w:val="000000" w:themeColor="text1"/>
          <w:u w:val="single"/>
          <w14:textFill>
            <w14:solidFill>
              <w14:schemeClr w14:val="tx1"/>
            </w14:solidFill>
          </w14:textFill>
        </w:rPr>
      </w:pPr>
      <w:r>
        <w:rPr>
          <w:rFonts w:hint="eastAsia"/>
          <w:color w:val="000000" w:themeColor="text1"/>
          <w:u w:val="single"/>
          <w14:textFill>
            <w14:solidFill>
              <w14:schemeClr w14:val="tx1"/>
            </w14:solidFill>
          </w14:textFill>
        </w:rPr>
        <w:t>根据《广西中伟能源项目氧化钴处置线技改项目环境影响报告书（公示稿）》（2024年6月），广西中伟能源项目氧化钴处置线技改项目新增废水量外排量为226007.3 t/a，其中生活污水9586.5 t/a进入大榄坪污水处理厂，经大榄坪污水处理厂处理达到设计出水水质后排放，生产废水216420.8 t/a经厂区处理后进入现有金桂浆纸业有限公司A2排放口排放。</w:t>
      </w:r>
    </w:p>
    <w:p>
      <w:pPr>
        <w:ind w:firstLine="438" w:firstLineChars="200"/>
        <w:rPr>
          <w:b/>
          <w:bCs/>
          <w:color w:val="000000" w:themeColor="text1"/>
          <w:u w:val="single"/>
          <w14:textFill>
            <w14:solidFill>
              <w14:schemeClr w14:val="tx1"/>
            </w14:solidFill>
          </w14:textFill>
        </w:rPr>
      </w:pPr>
      <w:r>
        <w:rPr>
          <w:rFonts w:hint="eastAsia"/>
          <w:b/>
          <w:bCs/>
          <w:color w:val="000000" w:themeColor="text1"/>
          <w:u w:val="single"/>
          <w14:textFill>
            <w14:solidFill>
              <w14:schemeClr w14:val="tx1"/>
            </w14:solidFill>
          </w14:textFill>
        </w:rPr>
        <w:t>3、格派新能源电池材料一体化项目（一期）</w:t>
      </w:r>
    </w:p>
    <w:p>
      <w:pPr>
        <w:ind w:firstLine="438" w:firstLineChars="200"/>
        <w:rPr>
          <w:b/>
          <w:color w:val="000000" w:themeColor="text1"/>
          <w:u w:val="single"/>
          <w14:textFill>
            <w14:solidFill>
              <w14:schemeClr w14:val="tx1"/>
            </w14:solidFill>
          </w14:textFill>
        </w:rPr>
      </w:pPr>
      <w:r>
        <w:rPr>
          <w:rFonts w:hint="eastAsia"/>
          <w:color w:val="000000" w:themeColor="text1"/>
          <w:u w:val="single"/>
          <w14:textFill>
            <w14:solidFill>
              <w14:schemeClr w14:val="tx1"/>
            </w14:solidFill>
          </w14:textFill>
        </w:rPr>
        <w:t>根据《格派新能源电池材料一体化项目（一期）环境影响报告书（公示稿）》（2</w:t>
      </w:r>
      <w:r>
        <w:rPr>
          <w:color w:val="000000" w:themeColor="text1"/>
          <w:u w:val="single"/>
          <w14:textFill>
            <w14:solidFill>
              <w14:schemeClr w14:val="tx1"/>
            </w14:solidFill>
          </w14:textFill>
        </w:rPr>
        <w:t>022</w:t>
      </w:r>
      <w:r>
        <w:rPr>
          <w:rFonts w:hint="eastAsia"/>
          <w:color w:val="000000" w:themeColor="text1"/>
          <w:u w:val="single"/>
          <w14:textFill>
            <w14:solidFill>
              <w14:schemeClr w14:val="tx1"/>
            </w14:solidFill>
          </w14:textFill>
        </w:rPr>
        <w:t>年6月），广西格派新能源电池材料一体化项目新增废水外排量1</w:t>
      </w:r>
      <w:r>
        <w:rPr>
          <w:color w:val="000000" w:themeColor="text1"/>
          <w:u w:val="single"/>
          <w14:textFill>
            <w14:solidFill>
              <w14:schemeClr w14:val="tx1"/>
            </w14:solidFill>
          </w14:textFill>
        </w:rPr>
        <w:t>566510</w:t>
      </w:r>
      <w:r>
        <w:rPr>
          <w:rFonts w:hint="eastAsia"/>
          <w:color w:val="000000" w:themeColor="text1"/>
          <w:u w:val="single"/>
          <w14:textFill>
            <w14:solidFill>
              <w14:schemeClr w14:val="tx1"/>
            </w14:solidFill>
          </w14:textFill>
        </w:rPr>
        <w:t xml:space="preserve"> t/a，其中生活污水</w:t>
      </w:r>
      <w:r>
        <w:rPr>
          <w:color w:val="000000" w:themeColor="text1"/>
          <w:u w:val="single"/>
          <w14:textFill>
            <w14:solidFill>
              <w14:schemeClr w14:val="tx1"/>
            </w14:solidFill>
          </w14:textFill>
        </w:rPr>
        <w:t>47520 t/a</w:t>
      </w:r>
      <w:r>
        <w:rPr>
          <w:rFonts w:hint="eastAsia"/>
          <w:color w:val="000000" w:themeColor="text1"/>
          <w:u w:val="single"/>
          <w14:textFill>
            <w14:solidFill>
              <w14:schemeClr w14:val="tx1"/>
            </w14:solidFill>
          </w14:textFill>
        </w:rPr>
        <w:t>、生产废水</w:t>
      </w:r>
      <w:r>
        <w:rPr>
          <w:color w:val="000000" w:themeColor="text1"/>
          <w:u w:val="single"/>
          <w14:textFill>
            <w14:solidFill>
              <w14:schemeClr w14:val="tx1"/>
            </w14:solidFill>
          </w14:textFill>
        </w:rPr>
        <w:t>1518990 t/a</w:t>
      </w:r>
      <w:r>
        <w:rPr>
          <w:rFonts w:hint="eastAsia"/>
          <w:color w:val="000000" w:themeColor="text1"/>
          <w:u w:val="single"/>
          <w14:textFill>
            <w14:solidFill>
              <w14:schemeClr w14:val="tx1"/>
            </w14:solidFill>
          </w14:textFill>
        </w:rPr>
        <w:t>均进入大榄坪污水处理厂，经大榄坪污水处理厂处理达到设计出水水质后排放</w:t>
      </w:r>
      <w:r>
        <w:rPr>
          <w:rFonts w:hint="eastAsia"/>
          <w:b/>
          <w:color w:val="000000" w:themeColor="text1"/>
          <w:u w:val="single"/>
          <w14:textFill>
            <w14:solidFill>
              <w14:schemeClr w14:val="tx1"/>
            </w14:solidFill>
          </w14:textFill>
        </w:rPr>
        <w:t>。</w:t>
      </w:r>
    </w:p>
    <w:p>
      <w:pPr>
        <w:ind w:firstLine="438" w:firstLineChars="200"/>
        <w:rPr>
          <w:color w:val="000000" w:themeColor="text1"/>
          <w:u w:val="single"/>
          <w14:textFill>
            <w14:solidFill>
              <w14:schemeClr w14:val="tx1"/>
            </w14:solidFill>
          </w14:textFill>
        </w:rPr>
      </w:pPr>
      <w:r>
        <w:rPr>
          <w:rFonts w:hint="eastAsia"/>
          <w:color w:val="000000" w:themeColor="text1"/>
          <w:u w:val="single"/>
          <w14:textFill>
            <w14:solidFill>
              <w14:schemeClr w14:val="tx1"/>
            </w14:solidFill>
          </w14:textFill>
        </w:rPr>
        <w:t>综上，三墩外迁排污口迁改前规划接入大榄坪污水处理厂、金桂浆纸业有限公司排污口的</w:t>
      </w:r>
      <w:r>
        <w:rPr>
          <w:rFonts w:hint="eastAsia"/>
          <w:color w:val="000000" w:themeColor="text1"/>
          <w:u w:val="single"/>
          <w:lang w:eastAsia="zh-CN"/>
          <w14:textFill>
            <w14:solidFill>
              <w14:schemeClr w14:val="tx1"/>
            </w14:solidFill>
          </w14:textFill>
        </w:rPr>
        <w:t>废污水</w:t>
      </w:r>
      <w:r>
        <w:rPr>
          <w:rFonts w:hint="eastAsia"/>
          <w:color w:val="000000" w:themeColor="text1"/>
          <w:u w:val="single"/>
          <w14:textFill>
            <w14:solidFill>
              <w14:schemeClr w14:val="tx1"/>
            </w14:solidFill>
          </w14:textFill>
        </w:rPr>
        <w:t>主要为广西中伟能源项目氧化钴处置线技改项目、格派新能源电池材料一体化项目（一期）产生，污染物排放量及排放浓度见下表3.3-62。</w:t>
      </w:r>
    </w:p>
    <w:p>
      <w:pPr>
        <w:pStyle w:val="384"/>
        <w:snapToGrid w:val="0"/>
        <w:spacing w:before="232" w:beforeLines="50"/>
        <w:ind w:left="0" w:firstLine="0"/>
        <w:rPr>
          <w:rFonts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规划接入大榄坪污水处理厂、金桂浆纸业有限公司排污口的污水情况</w:t>
      </w:r>
    </w:p>
    <w:tbl>
      <w:tblPr>
        <w:tblStyle w:val="89"/>
        <w:tblW w:w="8282" w:type="dxa"/>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405"/>
        <w:gridCol w:w="1299"/>
        <w:gridCol w:w="1248"/>
        <w:gridCol w:w="1339"/>
        <w:gridCol w:w="628"/>
        <w:gridCol w:w="701"/>
        <w:gridCol w:w="2662"/>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blHeader/>
        </w:trPr>
        <w:tc>
          <w:tcPr>
            <w:tcW w:w="405" w:type="dxa"/>
            <w:tcMar>
              <w:left w:w="0" w:type="dxa"/>
              <w:right w:w="0" w:type="dxa"/>
            </w:tcMar>
            <w:vAlign w:val="center"/>
          </w:tcPr>
          <w:p>
            <w:pPr>
              <w:pStyle w:val="1856"/>
              <w:snapToGrid w:val="0"/>
              <w:ind w:firstLine="0" w:firstLineChars="0"/>
              <w:jc w:val="center"/>
              <w:rPr>
                <w:color w:val="000000" w:themeColor="text1"/>
                <w:sz w:val="21"/>
                <w:szCs w:val="21"/>
                <w:u w:val="single"/>
                <w14:textFill>
                  <w14:solidFill>
                    <w14:schemeClr w14:val="tx1"/>
                  </w14:solidFill>
                </w14:textFill>
              </w:rPr>
            </w:pPr>
            <w:r>
              <w:rPr>
                <w:rFonts w:hint="eastAsia"/>
                <w:color w:val="000000" w:themeColor="text1"/>
                <w:sz w:val="21"/>
                <w:szCs w:val="21"/>
                <w:u w:val="single"/>
                <w14:textFill>
                  <w14:solidFill>
                    <w14:schemeClr w14:val="tx1"/>
                  </w14:solidFill>
                </w14:textFill>
              </w:rPr>
              <w:t>序号</w:t>
            </w:r>
          </w:p>
        </w:tc>
        <w:tc>
          <w:tcPr>
            <w:tcW w:w="1299" w:type="dxa"/>
            <w:tcMar>
              <w:left w:w="0" w:type="dxa"/>
              <w:right w:w="0" w:type="dxa"/>
            </w:tcMar>
            <w:vAlign w:val="center"/>
          </w:tcPr>
          <w:p>
            <w:pPr>
              <w:pStyle w:val="1856"/>
              <w:snapToGrid w:val="0"/>
              <w:ind w:firstLine="0" w:firstLineChars="0"/>
              <w:jc w:val="center"/>
              <w:rPr>
                <w:color w:val="000000" w:themeColor="text1"/>
                <w:sz w:val="21"/>
                <w:szCs w:val="21"/>
                <w:u w:val="single"/>
                <w14:textFill>
                  <w14:solidFill>
                    <w14:schemeClr w14:val="tx1"/>
                  </w14:solidFill>
                </w14:textFill>
              </w:rPr>
            </w:pPr>
            <w:r>
              <w:rPr>
                <w:rFonts w:hint="eastAsia"/>
                <w:color w:val="000000" w:themeColor="text1"/>
                <w:sz w:val="21"/>
                <w:szCs w:val="21"/>
                <w:u w:val="single"/>
                <w14:textFill>
                  <w14:solidFill>
                    <w14:schemeClr w14:val="tx1"/>
                  </w14:solidFill>
                </w14:textFill>
              </w:rPr>
              <w:t>新增项目</w:t>
            </w:r>
          </w:p>
        </w:tc>
        <w:tc>
          <w:tcPr>
            <w:tcW w:w="2587" w:type="dxa"/>
            <w:gridSpan w:val="2"/>
            <w:tcMar>
              <w:left w:w="0" w:type="dxa"/>
              <w:right w:w="0" w:type="dxa"/>
            </w:tcMar>
            <w:vAlign w:val="center"/>
          </w:tcPr>
          <w:p>
            <w:pPr>
              <w:pStyle w:val="1856"/>
              <w:snapToGrid w:val="0"/>
              <w:ind w:firstLine="0" w:firstLineChars="0"/>
              <w:jc w:val="center"/>
              <w:rPr>
                <w:color w:val="000000" w:themeColor="text1"/>
                <w:sz w:val="21"/>
                <w:szCs w:val="21"/>
                <w:u w:val="single"/>
                <w14:textFill>
                  <w14:solidFill>
                    <w14:schemeClr w14:val="tx1"/>
                  </w14:solidFill>
                </w14:textFill>
              </w:rPr>
            </w:pPr>
            <w:r>
              <w:rPr>
                <w:rFonts w:hint="eastAsia"/>
                <w:color w:val="000000" w:themeColor="text1"/>
                <w:sz w:val="21"/>
                <w:szCs w:val="21"/>
                <w:u w:val="single"/>
                <w14:textFill>
                  <w14:solidFill>
                    <w14:schemeClr w14:val="tx1"/>
                  </w14:solidFill>
                </w14:textFill>
              </w:rPr>
              <w:t>污水排放量</w:t>
            </w:r>
          </w:p>
        </w:tc>
        <w:tc>
          <w:tcPr>
            <w:tcW w:w="1329" w:type="dxa"/>
            <w:gridSpan w:val="2"/>
            <w:tcMar>
              <w:left w:w="0" w:type="dxa"/>
              <w:right w:w="0" w:type="dxa"/>
            </w:tcMar>
            <w:vAlign w:val="center"/>
          </w:tcPr>
          <w:p>
            <w:pPr>
              <w:pStyle w:val="1856"/>
              <w:snapToGrid w:val="0"/>
              <w:ind w:firstLine="0" w:firstLineChars="0"/>
              <w:jc w:val="center"/>
              <w:rPr>
                <w:color w:val="000000" w:themeColor="text1"/>
                <w:sz w:val="21"/>
                <w:szCs w:val="21"/>
                <w:u w:val="single"/>
                <w14:textFill>
                  <w14:solidFill>
                    <w14:schemeClr w14:val="tx1"/>
                  </w14:solidFill>
                </w14:textFill>
              </w:rPr>
            </w:pPr>
            <w:r>
              <w:rPr>
                <w:rFonts w:hint="eastAsia"/>
                <w:color w:val="000000" w:themeColor="text1"/>
                <w:sz w:val="21"/>
                <w:szCs w:val="21"/>
                <w:u w:val="single"/>
                <w14:textFill>
                  <w14:solidFill>
                    <w14:schemeClr w14:val="tx1"/>
                  </w14:solidFill>
                </w14:textFill>
              </w:rPr>
              <w:t>污染物浓度（mg</w:t>
            </w:r>
            <w:r>
              <w:rPr>
                <w:color w:val="000000" w:themeColor="text1"/>
                <w:sz w:val="21"/>
                <w:szCs w:val="21"/>
                <w:u w:val="single"/>
                <w14:textFill>
                  <w14:solidFill>
                    <w14:schemeClr w14:val="tx1"/>
                  </w14:solidFill>
                </w14:textFill>
              </w:rPr>
              <w:t>/</w:t>
            </w:r>
            <w:r>
              <w:rPr>
                <w:rFonts w:hint="eastAsia"/>
                <w:color w:val="000000" w:themeColor="text1"/>
                <w:sz w:val="21"/>
                <w:szCs w:val="21"/>
                <w:u w:val="single"/>
                <w14:textFill>
                  <w14:solidFill>
                    <w14:schemeClr w14:val="tx1"/>
                  </w14:solidFill>
                </w14:textFill>
              </w:rPr>
              <w:t>L）</w:t>
            </w:r>
          </w:p>
        </w:tc>
        <w:tc>
          <w:tcPr>
            <w:tcW w:w="2662" w:type="dxa"/>
            <w:tcMar>
              <w:left w:w="0" w:type="dxa"/>
              <w:right w:w="0" w:type="dxa"/>
            </w:tcMar>
            <w:vAlign w:val="center"/>
          </w:tcPr>
          <w:p>
            <w:pPr>
              <w:pStyle w:val="1856"/>
              <w:snapToGrid w:val="0"/>
              <w:ind w:firstLine="0" w:firstLineChars="0"/>
              <w:jc w:val="center"/>
              <w:rPr>
                <w:color w:val="000000" w:themeColor="text1"/>
                <w:sz w:val="21"/>
                <w:szCs w:val="21"/>
                <w:u w:val="single"/>
                <w14:textFill>
                  <w14:solidFill>
                    <w14:schemeClr w14:val="tx1"/>
                  </w14:solidFill>
                </w14:textFill>
              </w:rPr>
            </w:pPr>
            <w:r>
              <w:rPr>
                <w:rFonts w:hint="eastAsia"/>
                <w:color w:val="000000" w:themeColor="text1"/>
                <w:sz w:val="21"/>
                <w:szCs w:val="21"/>
                <w:u w:val="single"/>
                <w14:textFill>
                  <w14:solidFill>
                    <w14:schemeClr w14:val="tx1"/>
                  </w14:solidFill>
                </w14:textFill>
              </w:rPr>
              <w:t>资料来源</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c>
          <w:tcPr>
            <w:tcW w:w="405" w:type="dxa"/>
            <w:tcMar>
              <w:left w:w="0" w:type="dxa"/>
              <w:right w:w="0" w:type="dxa"/>
            </w:tcMar>
            <w:vAlign w:val="center"/>
          </w:tcPr>
          <w:p>
            <w:pPr>
              <w:pStyle w:val="1856"/>
              <w:snapToGrid w:val="0"/>
              <w:ind w:firstLine="0" w:firstLineChars="0"/>
              <w:jc w:val="center"/>
              <w:rPr>
                <w:color w:val="000000" w:themeColor="text1"/>
                <w:sz w:val="21"/>
                <w:szCs w:val="21"/>
                <w:u w:val="single"/>
                <w14:textFill>
                  <w14:solidFill>
                    <w14:schemeClr w14:val="tx1"/>
                  </w14:solidFill>
                </w14:textFill>
              </w:rPr>
            </w:pPr>
            <w:r>
              <w:rPr>
                <w:rFonts w:hint="eastAsia"/>
                <w:color w:val="000000" w:themeColor="text1"/>
                <w:sz w:val="21"/>
                <w:szCs w:val="21"/>
                <w:u w:val="single"/>
                <w14:textFill>
                  <w14:solidFill>
                    <w14:schemeClr w14:val="tx1"/>
                  </w14:solidFill>
                </w14:textFill>
              </w:rPr>
              <w:t>1</w:t>
            </w:r>
          </w:p>
        </w:tc>
        <w:tc>
          <w:tcPr>
            <w:tcW w:w="1299" w:type="dxa"/>
            <w:tcMar>
              <w:left w:w="0" w:type="dxa"/>
              <w:right w:w="0" w:type="dxa"/>
            </w:tcMar>
            <w:vAlign w:val="center"/>
          </w:tcPr>
          <w:p>
            <w:pPr>
              <w:pStyle w:val="1856"/>
              <w:snapToGrid w:val="0"/>
              <w:ind w:firstLine="0" w:firstLineChars="0"/>
              <w:jc w:val="center"/>
              <w:rPr>
                <w:color w:val="000000" w:themeColor="text1"/>
                <w:sz w:val="21"/>
                <w:szCs w:val="21"/>
                <w:u w:val="single"/>
                <w14:textFill>
                  <w14:solidFill>
                    <w14:schemeClr w14:val="tx1"/>
                  </w14:solidFill>
                </w14:textFill>
              </w:rPr>
            </w:pPr>
            <w:r>
              <w:rPr>
                <w:rFonts w:hint="eastAsia"/>
                <w:color w:val="000000" w:themeColor="text1"/>
                <w:sz w:val="21"/>
                <w:szCs w:val="21"/>
                <w:u w:val="single"/>
                <w14:textFill>
                  <w14:solidFill>
                    <w14:schemeClr w14:val="tx1"/>
                  </w14:solidFill>
                </w14:textFill>
              </w:rPr>
              <w:t>广西金桂浆纸业有限公司三期工程</w:t>
            </w:r>
          </w:p>
        </w:tc>
        <w:tc>
          <w:tcPr>
            <w:tcW w:w="2587" w:type="dxa"/>
            <w:gridSpan w:val="2"/>
            <w:tcMar>
              <w:left w:w="0" w:type="dxa"/>
              <w:right w:w="0" w:type="dxa"/>
            </w:tcMar>
            <w:vAlign w:val="center"/>
          </w:tcPr>
          <w:p>
            <w:pPr>
              <w:pStyle w:val="1856"/>
              <w:snapToGrid w:val="0"/>
              <w:ind w:firstLine="0" w:firstLineChars="0"/>
              <w:jc w:val="center"/>
              <w:rPr>
                <w:color w:val="000000" w:themeColor="text1"/>
                <w:sz w:val="21"/>
                <w:szCs w:val="21"/>
                <w:u w:val="single"/>
                <w14:textFill>
                  <w14:solidFill>
                    <w14:schemeClr w14:val="tx1"/>
                  </w14:solidFill>
                </w14:textFill>
              </w:rPr>
            </w:pPr>
            <w:r>
              <w:rPr>
                <w:rFonts w:hint="eastAsia"/>
                <w:color w:val="000000" w:themeColor="text1"/>
                <w:sz w:val="21"/>
                <w:szCs w:val="21"/>
                <w:u w:val="single"/>
                <w14:textFill>
                  <w14:solidFill>
                    <w14:schemeClr w14:val="tx1"/>
                  </w14:solidFill>
                </w14:textFill>
              </w:rPr>
              <w:t>由三墩外海排放口排放</w:t>
            </w:r>
          </w:p>
        </w:tc>
        <w:tc>
          <w:tcPr>
            <w:tcW w:w="1329" w:type="dxa"/>
            <w:gridSpan w:val="2"/>
            <w:tcMar>
              <w:left w:w="0" w:type="dxa"/>
              <w:right w:w="0" w:type="dxa"/>
            </w:tcMar>
            <w:vAlign w:val="center"/>
          </w:tcPr>
          <w:p>
            <w:pPr>
              <w:pStyle w:val="1856"/>
              <w:snapToGrid w:val="0"/>
              <w:ind w:firstLine="0" w:firstLineChars="0"/>
              <w:jc w:val="center"/>
              <w:rPr>
                <w:color w:val="000000" w:themeColor="text1"/>
                <w:sz w:val="21"/>
                <w:szCs w:val="21"/>
                <w:u w:val="single"/>
                <w14:textFill>
                  <w14:solidFill>
                    <w14:schemeClr w14:val="tx1"/>
                  </w14:solidFill>
                </w14:textFill>
              </w:rPr>
            </w:pPr>
            <w:r>
              <w:rPr>
                <w:rFonts w:hint="eastAsia"/>
                <w:color w:val="000000" w:themeColor="text1"/>
                <w:sz w:val="21"/>
                <w:szCs w:val="21"/>
                <w:u w:val="single"/>
                <w14:textFill>
                  <w14:solidFill>
                    <w14:schemeClr w14:val="tx1"/>
                  </w14:solidFill>
                </w14:textFill>
              </w:rPr>
              <w:t>-</w:t>
            </w:r>
          </w:p>
        </w:tc>
        <w:tc>
          <w:tcPr>
            <w:tcW w:w="2662" w:type="dxa"/>
            <w:tcMar>
              <w:left w:w="0" w:type="dxa"/>
              <w:right w:w="0" w:type="dxa"/>
            </w:tcMar>
            <w:vAlign w:val="center"/>
          </w:tcPr>
          <w:p>
            <w:pPr>
              <w:pStyle w:val="1856"/>
              <w:snapToGrid w:val="0"/>
              <w:ind w:firstLine="0" w:firstLineChars="0"/>
              <w:jc w:val="center"/>
              <w:rPr>
                <w:color w:val="000000" w:themeColor="text1"/>
                <w:sz w:val="21"/>
                <w:szCs w:val="21"/>
                <w:u w:val="single"/>
                <w14:textFill>
                  <w14:solidFill>
                    <w14:schemeClr w14:val="tx1"/>
                  </w14:solidFill>
                </w14:textFill>
              </w:rPr>
            </w:pPr>
            <w:r>
              <w:rPr>
                <w:rFonts w:hint="eastAsia"/>
                <w:color w:val="000000" w:themeColor="text1"/>
                <w:sz w:val="21"/>
                <w:szCs w:val="21"/>
                <w:u w:val="single"/>
                <w14:textFill>
                  <w14:solidFill>
                    <w14:schemeClr w14:val="tx1"/>
                  </w14:solidFill>
                </w14:textFill>
              </w:rPr>
              <w:t>《广西金桂浆纸业有限公司三期工程年产300万吨林浆纸一体化项目环境影响报告书》</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49" w:hRule="atLeast"/>
        </w:trPr>
        <w:tc>
          <w:tcPr>
            <w:tcW w:w="405" w:type="dxa"/>
            <w:vMerge w:val="restart"/>
            <w:tcMar>
              <w:left w:w="0" w:type="dxa"/>
              <w:right w:w="0" w:type="dxa"/>
            </w:tcMar>
            <w:vAlign w:val="center"/>
          </w:tcPr>
          <w:p>
            <w:pPr>
              <w:pStyle w:val="1856"/>
              <w:snapToGrid w:val="0"/>
              <w:ind w:firstLine="0" w:firstLineChars="0"/>
              <w:jc w:val="center"/>
              <w:rPr>
                <w:color w:val="000000" w:themeColor="text1"/>
                <w:sz w:val="21"/>
                <w:szCs w:val="21"/>
                <w:u w:val="single"/>
                <w14:textFill>
                  <w14:solidFill>
                    <w14:schemeClr w14:val="tx1"/>
                  </w14:solidFill>
                </w14:textFill>
              </w:rPr>
            </w:pPr>
            <w:r>
              <w:rPr>
                <w:rFonts w:hint="eastAsia"/>
                <w:color w:val="000000" w:themeColor="text1"/>
                <w:sz w:val="21"/>
                <w:szCs w:val="21"/>
                <w:u w:val="single"/>
                <w14:textFill>
                  <w14:solidFill>
                    <w14:schemeClr w14:val="tx1"/>
                  </w14:solidFill>
                </w14:textFill>
              </w:rPr>
              <w:t>2</w:t>
            </w:r>
          </w:p>
        </w:tc>
        <w:tc>
          <w:tcPr>
            <w:tcW w:w="1299" w:type="dxa"/>
            <w:vMerge w:val="restart"/>
            <w:tcMar>
              <w:left w:w="0" w:type="dxa"/>
              <w:right w:w="0" w:type="dxa"/>
            </w:tcMar>
            <w:vAlign w:val="center"/>
          </w:tcPr>
          <w:p>
            <w:pPr>
              <w:pStyle w:val="1856"/>
              <w:snapToGrid w:val="0"/>
              <w:ind w:firstLine="0" w:firstLineChars="0"/>
              <w:jc w:val="center"/>
              <w:rPr>
                <w:color w:val="000000" w:themeColor="text1"/>
                <w:sz w:val="21"/>
                <w:szCs w:val="21"/>
                <w:u w:val="single"/>
                <w14:textFill>
                  <w14:solidFill>
                    <w14:schemeClr w14:val="tx1"/>
                  </w14:solidFill>
                </w14:textFill>
              </w:rPr>
            </w:pPr>
            <w:r>
              <w:rPr>
                <w:rFonts w:hint="eastAsia"/>
                <w:color w:val="000000" w:themeColor="text1"/>
                <w:sz w:val="21"/>
                <w:szCs w:val="21"/>
                <w:u w:val="single"/>
                <w14:textFill>
                  <w14:solidFill>
                    <w14:schemeClr w14:val="tx1"/>
                  </w14:solidFill>
                </w14:textFill>
              </w:rPr>
              <w:t>广西中伟新能源项目氧化钴处置线技改项目</w:t>
            </w:r>
          </w:p>
        </w:tc>
        <w:tc>
          <w:tcPr>
            <w:tcW w:w="1248" w:type="dxa"/>
            <w:vMerge w:val="restart"/>
            <w:tcMar>
              <w:left w:w="0" w:type="dxa"/>
              <w:right w:w="0" w:type="dxa"/>
            </w:tcMar>
            <w:vAlign w:val="center"/>
          </w:tcPr>
          <w:p>
            <w:pPr>
              <w:pStyle w:val="1856"/>
              <w:snapToGrid w:val="0"/>
              <w:ind w:firstLine="0" w:firstLineChars="0"/>
              <w:jc w:val="center"/>
              <w:rPr>
                <w:color w:val="000000" w:themeColor="text1"/>
                <w:sz w:val="21"/>
                <w:szCs w:val="21"/>
                <w:u w:val="single"/>
                <w14:textFill>
                  <w14:solidFill>
                    <w14:schemeClr w14:val="tx1"/>
                  </w14:solidFill>
                </w14:textFill>
              </w:rPr>
            </w:pPr>
            <w:r>
              <w:rPr>
                <w:rFonts w:hint="eastAsia"/>
                <w:color w:val="000000" w:themeColor="text1"/>
                <w:sz w:val="21"/>
                <w:szCs w:val="21"/>
                <w:u w:val="single"/>
                <w14:textFill>
                  <w14:solidFill>
                    <w14:schemeClr w14:val="tx1"/>
                  </w14:solidFill>
                </w14:textFill>
              </w:rPr>
              <w:t>排入大榄坪污水处理厂（排污口）</w:t>
            </w:r>
          </w:p>
        </w:tc>
        <w:tc>
          <w:tcPr>
            <w:tcW w:w="1339" w:type="dxa"/>
            <w:vMerge w:val="restart"/>
            <w:tcMar>
              <w:left w:w="0" w:type="dxa"/>
              <w:right w:w="0" w:type="dxa"/>
            </w:tcMar>
            <w:vAlign w:val="center"/>
          </w:tcPr>
          <w:p>
            <w:pPr>
              <w:pStyle w:val="1856"/>
              <w:snapToGrid w:val="0"/>
              <w:ind w:firstLine="0" w:firstLineChars="0"/>
              <w:jc w:val="center"/>
              <w:rPr>
                <w:color w:val="000000" w:themeColor="text1"/>
                <w:sz w:val="21"/>
                <w:szCs w:val="21"/>
                <w:u w:val="single"/>
                <w:lang w:val="en-US"/>
                <w14:textFill>
                  <w14:solidFill>
                    <w14:schemeClr w14:val="tx1"/>
                  </w14:solidFill>
                </w14:textFill>
              </w:rPr>
            </w:pPr>
            <w:r>
              <w:rPr>
                <w:color w:val="000000" w:themeColor="text1"/>
                <w:sz w:val="21"/>
                <w:szCs w:val="21"/>
                <w:u w:val="single"/>
                <w:lang w:val="en-US"/>
                <w14:textFill>
                  <w14:solidFill>
                    <w14:schemeClr w14:val="tx1"/>
                  </w14:solidFill>
                </w14:textFill>
              </w:rPr>
              <w:t>9586.5 t/a</w:t>
            </w:r>
          </w:p>
          <w:p>
            <w:pPr>
              <w:pStyle w:val="1856"/>
              <w:snapToGrid w:val="0"/>
              <w:ind w:firstLine="0" w:firstLineChars="0"/>
              <w:jc w:val="center"/>
              <w:rPr>
                <w:color w:val="000000" w:themeColor="text1"/>
                <w:sz w:val="21"/>
                <w:szCs w:val="21"/>
                <w:u w:val="single"/>
                <w:lang w:val="en-US"/>
                <w14:textFill>
                  <w14:solidFill>
                    <w14:schemeClr w14:val="tx1"/>
                  </w14:solidFill>
                </w14:textFill>
              </w:rPr>
            </w:pPr>
            <w:r>
              <w:rPr>
                <w:rFonts w:hint="eastAsia"/>
                <w:color w:val="000000" w:themeColor="text1"/>
                <w:sz w:val="21"/>
                <w:szCs w:val="21"/>
                <w:u w:val="single"/>
                <w:lang w:val="en-US"/>
                <w14:textFill>
                  <w14:solidFill>
                    <w14:schemeClr w14:val="tx1"/>
                  </w14:solidFill>
                </w14:textFill>
              </w:rPr>
              <w:t>29.05 m</w:t>
            </w:r>
            <w:r>
              <w:rPr>
                <w:rFonts w:hint="eastAsia"/>
                <w:color w:val="000000" w:themeColor="text1"/>
                <w:sz w:val="21"/>
                <w:szCs w:val="21"/>
                <w:u w:val="single"/>
                <w:vertAlign w:val="superscript"/>
                <w:lang w:val="en-US"/>
                <w14:textFill>
                  <w14:solidFill>
                    <w14:schemeClr w14:val="tx1"/>
                  </w14:solidFill>
                </w14:textFill>
              </w:rPr>
              <w:t>3</w:t>
            </w:r>
            <w:r>
              <w:rPr>
                <w:rFonts w:hint="eastAsia"/>
                <w:color w:val="000000" w:themeColor="text1"/>
                <w:sz w:val="21"/>
                <w:szCs w:val="21"/>
                <w:u w:val="single"/>
                <w:lang w:val="en-US"/>
                <w14:textFill>
                  <w14:solidFill>
                    <w14:schemeClr w14:val="tx1"/>
                  </w14:solidFill>
                </w14:textFill>
              </w:rPr>
              <w:t>/d</w:t>
            </w:r>
          </w:p>
          <w:p>
            <w:pPr>
              <w:pStyle w:val="1856"/>
              <w:snapToGrid w:val="0"/>
              <w:ind w:firstLine="0" w:firstLineChars="0"/>
              <w:jc w:val="center"/>
              <w:rPr>
                <w:color w:val="000000" w:themeColor="text1"/>
                <w:sz w:val="21"/>
                <w:szCs w:val="21"/>
                <w:u w:val="single"/>
                <w:lang w:val="en-US"/>
                <w14:textFill>
                  <w14:solidFill>
                    <w14:schemeClr w14:val="tx1"/>
                  </w14:solidFill>
                </w14:textFill>
              </w:rPr>
            </w:pPr>
            <w:r>
              <w:rPr>
                <w:rFonts w:hint="eastAsia"/>
                <w:color w:val="000000" w:themeColor="text1"/>
                <w:sz w:val="21"/>
                <w:szCs w:val="21"/>
                <w:u w:val="single"/>
                <w:lang w:val="en-US"/>
                <w14:textFill>
                  <w14:solidFill>
                    <w14:schemeClr w14:val="tx1"/>
                  </w14:solidFill>
                </w14:textFill>
              </w:rPr>
              <w:t>（</w:t>
            </w:r>
            <w:r>
              <w:rPr>
                <w:rFonts w:hint="eastAsia"/>
                <w:color w:val="000000" w:themeColor="text1"/>
                <w:sz w:val="21"/>
                <w:szCs w:val="21"/>
                <w:u w:val="single"/>
                <w14:textFill>
                  <w14:solidFill>
                    <w14:schemeClr w14:val="tx1"/>
                  </w14:solidFill>
                </w14:textFill>
              </w:rPr>
              <w:t>生活污水</w:t>
            </w:r>
            <w:r>
              <w:rPr>
                <w:rFonts w:hint="eastAsia"/>
                <w:color w:val="000000" w:themeColor="text1"/>
                <w:sz w:val="21"/>
                <w:szCs w:val="21"/>
                <w:u w:val="single"/>
                <w:lang w:val="en-US"/>
                <w14:textFill>
                  <w14:solidFill>
                    <w14:schemeClr w14:val="tx1"/>
                  </w14:solidFill>
                </w14:textFill>
              </w:rPr>
              <w:t>）</w:t>
            </w:r>
          </w:p>
        </w:tc>
        <w:tc>
          <w:tcPr>
            <w:tcW w:w="628" w:type="dxa"/>
            <w:tcMar>
              <w:left w:w="0" w:type="dxa"/>
              <w:right w:w="0" w:type="dxa"/>
            </w:tcMar>
            <w:vAlign w:val="center"/>
          </w:tcPr>
          <w:p>
            <w:pPr>
              <w:pStyle w:val="1856"/>
              <w:snapToGrid w:val="0"/>
              <w:ind w:firstLine="0" w:firstLineChars="0"/>
              <w:jc w:val="center"/>
              <w:rPr>
                <w:color w:val="000000" w:themeColor="text1"/>
                <w:sz w:val="21"/>
                <w:szCs w:val="21"/>
                <w:u w:val="single"/>
                <w14:textFill>
                  <w14:solidFill>
                    <w14:schemeClr w14:val="tx1"/>
                  </w14:solidFill>
                </w14:textFill>
              </w:rPr>
            </w:pPr>
            <w:r>
              <w:rPr>
                <w:rFonts w:hint="eastAsia"/>
                <w:color w:val="000000" w:themeColor="text1"/>
                <w:sz w:val="21"/>
                <w:szCs w:val="21"/>
                <w:u w:val="single"/>
                <w14:textFill>
                  <w14:solidFill>
                    <w14:schemeClr w14:val="tx1"/>
                  </w14:solidFill>
                </w14:textFill>
              </w:rPr>
              <w:t>COD</w:t>
            </w:r>
          </w:p>
        </w:tc>
        <w:tc>
          <w:tcPr>
            <w:tcW w:w="701" w:type="dxa"/>
            <w:tcMar>
              <w:left w:w="0" w:type="dxa"/>
              <w:right w:w="0" w:type="dxa"/>
            </w:tcMar>
            <w:vAlign w:val="center"/>
          </w:tcPr>
          <w:p>
            <w:pPr>
              <w:pStyle w:val="1856"/>
              <w:snapToGrid w:val="0"/>
              <w:ind w:firstLine="0" w:firstLineChars="0"/>
              <w:jc w:val="center"/>
              <w:rPr>
                <w:color w:val="000000" w:themeColor="text1"/>
                <w:sz w:val="21"/>
                <w:szCs w:val="21"/>
                <w:u w:val="single"/>
                <w14:textFill>
                  <w14:solidFill>
                    <w14:schemeClr w14:val="tx1"/>
                  </w14:solidFill>
                </w14:textFill>
              </w:rPr>
            </w:pPr>
            <w:r>
              <w:rPr>
                <w:color w:val="000000" w:themeColor="text1"/>
                <w:sz w:val="21"/>
                <w:szCs w:val="21"/>
                <w:u w:val="single"/>
                <w14:textFill>
                  <w14:solidFill>
                    <w14:schemeClr w14:val="tx1"/>
                  </w14:solidFill>
                </w14:textFill>
              </w:rPr>
              <w:t>50</w:t>
            </w:r>
          </w:p>
        </w:tc>
        <w:tc>
          <w:tcPr>
            <w:tcW w:w="2662" w:type="dxa"/>
            <w:vMerge w:val="restart"/>
            <w:tcMar>
              <w:left w:w="0" w:type="dxa"/>
              <w:right w:w="0" w:type="dxa"/>
            </w:tcMar>
            <w:vAlign w:val="center"/>
          </w:tcPr>
          <w:p>
            <w:pPr>
              <w:pStyle w:val="1856"/>
              <w:snapToGrid w:val="0"/>
              <w:ind w:firstLine="0" w:firstLineChars="0"/>
              <w:jc w:val="center"/>
              <w:rPr>
                <w:color w:val="000000" w:themeColor="text1"/>
                <w:sz w:val="21"/>
                <w:szCs w:val="21"/>
                <w:u w:val="single"/>
                <w14:textFill>
                  <w14:solidFill>
                    <w14:schemeClr w14:val="tx1"/>
                  </w14:solidFill>
                </w14:textFill>
              </w:rPr>
            </w:pPr>
            <w:r>
              <w:rPr>
                <w:rFonts w:hint="eastAsia"/>
                <w:color w:val="000000" w:themeColor="text1"/>
                <w:sz w:val="21"/>
                <w:szCs w:val="21"/>
                <w:u w:val="single"/>
                <w14:textFill>
                  <w14:solidFill>
                    <w14:schemeClr w14:val="tx1"/>
                  </w14:solidFill>
                </w14:textFill>
              </w:rPr>
              <w:t>《广西中伟能源项目氧化钴处置线技改项目环境影响报告书》</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c>
          <w:tcPr>
            <w:tcW w:w="405" w:type="dxa"/>
            <w:vMerge w:val="continue"/>
            <w:tcMar>
              <w:left w:w="0" w:type="dxa"/>
              <w:right w:w="0" w:type="dxa"/>
            </w:tcMar>
            <w:vAlign w:val="center"/>
          </w:tcPr>
          <w:p>
            <w:pPr>
              <w:pStyle w:val="1856"/>
              <w:snapToGrid w:val="0"/>
              <w:ind w:firstLine="0" w:firstLineChars="0"/>
              <w:jc w:val="center"/>
              <w:rPr>
                <w:color w:val="000000" w:themeColor="text1"/>
                <w:sz w:val="21"/>
                <w:szCs w:val="21"/>
                <w:u w:val="single"/>
                <w14:textFill>
                  <w14:solidFill>
                    <w14:schemeClr w14:val="tx1"/>
                  </w14:solidFill>
                </w14:textFill>
              </w:rPr>
            </w:pPr>
          </w:p>
        </w:tc>
        <w:tc>
          <w:tcPr>
            <w:tcW w:w="1299" w:type="dxa"/>
            <w:vMerge w:val="continue"/>
            <w:tcMar>
              <w:left w:w="0" w:type="dxa"/>
              <w:right w:w="0" w:type="dxa"/>
            </w:tcMar>
            <w:vAlign w:val="center"/>
          </w:tcPr>
          <w:p>
            <w:pPr>
              <w:pStyle w:val="1856"/>
              <w:snapToGrid w:val="0"/>
              <w:ind w:firstLine="0" w:firstLineChars="0"/>
              <w:jc w:val="center"/>
              <w:rPr>
                <w:color w:val="000000" w:themeColor="text1"/>
                <w:sz w:val="21"/>
                <w:szCs w:val="21"/>
                <w:u w:val="single"/>
                <w14:textFill>
                  <w14:solidFill>
                    <w14:schemeClr w14:val="tx1"/>
                  </w14:solidFill>
                </w14:textFill>
              </w:rPr>
            </w:pPr>
          </w:p>
        </w:tc>
        <w:tc>
          <w:tcPr>
            <w:tcW w:w="1248" w:type="dxa"/>
            <w:vMerge w:val="continue"/>
            <w:tcMar>
              <w:left w:w="0" w:type="dxa"/>
              <w:right w:w="0" w:type="dxa"/>
            </w:tcMar>
            <w:vAlign w:val="center"/>
          </w:tcPr>
          <w:p>
            <w:pPr>
              <w:pStyle w:val="1856"/>
              <w:snapToGrid w:val="0"/>
              <w:ind w:firstLine="0" w:firstLineChars="0"/>
              <w:jc w:val="center"/>
              <w:rPr>
                <w:color w:val="000000" w:themeColor="text1"/>
                <w:sz w:val="21"/>
                <w:szCs w:val="21"/>
                <w:u w:val="single"/>
                <w14:textFill>
                  <w14:solidFill>
                    <w14:schemeClr w14:val="tx1"/>
                  </w14:solidFill>
                </w14:textFill>
              </w:rPr>
            </w:pPr>
          </w:p>
        </w:tc>
        <w:tc>
          <w:tcPr>
            <w:tcW w:w="1339" w:type="dxa"/>
            <w:vMerge w:val="continue"/>
            <w:tcMar>
              <w:left w:w="0" w:type="dxa"/>
              <w:right w:w="0" w:type="dxa"/>
            </w:tcMar>
            <w:vAlign w:val="center"/>
          </w:tcPr>
          <w:p>
            <w:pPr>
              <w:pStyle w:val="1856"/>
              <w:snapToGrid w:val="0"/>
              <w:ind w:firstLine="0" w:firstLineChars="0"/>
              <w:jc w:val="center"/>
              <w:rPr>
                <w:color w:val="000000" w:themeColor="text1"/>
                <w:sz w:val="21"/>
                <w:szCs w:val="21"/>
                <w:u w:val="single"/>
                <w14:textFill>
                  <w14:solidFill>
                    <w14:schemeClr w14:val="tx1"/>
                  </w14:solidFill>
                </w14:textFill>
              </w:rPr>
            </w:pPr>
          </w:p>
        </w:tc>
        <w:tc>
          <w:tcPr>
            <w:tcW w:w="628" w:type="dxa"/>
            <w:tcMar>
              <w:left w:w="0" w:type="dxa"/>
              <w:right w:w="0" w:type="dxa"/>
            </w:tcMar>
            <w:vAlign w:val="center"/>
          </w:tcPr>
          <w:p>
            <w:pPr>
              <w:pStyle w:val="1856"/>
              <w:snapToGrid w:val="0"/>
              <w:ind w:firstLine="0" w:firstLineChars="0"/>
              <w:jc w:val="center"/>
              <w:rPr>
                <w:color w:val="000000" w:themeColor="text1"/>
                <w:sz w:val="21"/>
                <w:szCs w:val="21"/>
                <w:u w:val="single"/>
                <w14:textFill>
                  <w14:solidFill>
                    <w14:schemeClr w14:val="tx1"/>
                  </w14:solidFill>
                </w14:textFill>
              </w:rPr>
            </w:pPr>
            <w:r>
              <w:rPr>
                <w:rFonts w:hint="eastAsia"/>
                <w:color w:val="000000" w:themeColor="text1"/>
                <w:sz w:val="21"/>
                <w:szCs w:val="21"/>
                <w:u w:val="single"/>
                <w14:textFill>
                  <w14:solidFill>
                    <w14:schemeClr w14:val="tx1"/>
                  </w14:solidFill>
                </w14:textFill>
              </w:rPr>
              <w:t>氨氮</w:t>
            </w:r>
          </w:p>
        </w:tc>
        <w:tc>
          <w:tcPr>
            <w:tcW w:w="701" w:type="dxa"/>
            <w:tcMar>
              <w:left w:w="0" w:type="dxa"/>
              <w:right w:w="0" w:type="dxa"/>
            </w:tcMar>
            <w:vAlign w:val="center"/>
          </w:tcPr>
          <w:p>
            <w:pPr>
              <w:pStyle w:val="1856"/>
              <w:snapToGrid w:val="0"/>
              <w:ind w:firstLine="0" w:firstLineChars="0"/>
              <w:jc w:val="center"/>
              <w:rPr>
                <w:color w:val="000000" w:themeColor="text1"/>
                <w:sz w:val="21"/>
                <w:szCs w:val="21"/>
                <w:u w:val="single"/>
                <w14:textFill>
                  <w14:solidFill>
                    <w14:schemeClr w14:val="tx1"/>
                  </w14:solidFill>
                </w14:textFill>
              </w:rPr>
            </w:pPr>
            <w:r>
              <w:rPr>
                <w:color w:val="000000" w:themeColor="text1"/>
                <w:sz w:val="21"/>
                <w:szCs w:val="21"/>
                <w:u w:val="single"/>
                <w14:textFill>
                  <w14:solidFill>
                    <w14:schemeClr w14:val="tx1"/>
                  </w14:solidFill>
                </w14:textFill>
              </w:rPr>
              <w:t>5</w:t>
            </w:r>
          </w:p>
        </w:tc>
        <w:tc>
          <w:tcPr>
            <w:tcW w:w="2662" w:type="dxa"/>
            <w:vMerge w:val="continue"/>
            <w:tcMar>
              <w:left w:w="0" w:type="dxa"/>
              <w:right w:w="0" w:type="dxa"/>
            </w:tcMar>
            <w:vAlign w:val="center"/>
          </w:tcPr>
          <w:p>
            <w:pPr>
              <w:pStyle w:val="1856"/>
              <w:snapToGrid w:val="0"/>
              <w:ind w:firstLine="0" w:firstLineChars="0"/>
              <w:jc w:val="center"/>
              <w:rPr>
                <w:color w:val="000000" w:themeColor="text1"/>
                <w:sz w:val="21"/>
                <w:szCs w:val="21"/>
                <w:u w:val="single"/>
                <w14:textFill>
                  <w14:solidFill>
                    <w14:schemeClr w14:val="tx1"/>
                  </w14:solidFill>
                </w14:textFill>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76" w:hRule="atLeast"/>
        </w:trPr>
        <w:tc>
          <w:tcPr>
            <w:tcW w:w="405" w:type="dxa"/>
            <w:vMerge w:val="continue"/>
            <w:tcMar>
              <w:left w:w="0" w:type="dxa"/>
              <w:right w:w="0" w:type="dxa"/>
            </w:tcMar>
            <w:vAlign w:val="center"/>
          </w:tcPr>
          <w:p>
            <w:pPr>
              <w:pStyle w:val="1856"/>
              <w:snapToGrid w:val="0"/>
              <w:ind w:firstLine="0" w:firstLineChars="0"/>
              <w:jc w:val="center"/>
              <w:rPr>
                <w:color w:val="000000" w:themeColor="text1"/>
                <w:sz w:val="21"/>
                <w:szCs w:val="21"/>
                <w:u w:val="single"/>
                <w14:textFill>
                  <w14:solidFill>
                    <w14:schemeClr w14:val="tx1"/>
                  </w14:solidFill>
                </w14:textFill>
              </w:rPr>
            </w:pPr>
          </w:p>
        </w:tc>
        <w:tc>
          <w:tcPr>
            <w:tcW w:w="1299" w:type="dxa"/>
            <w:vMerge w:val="continue"/>
            <w:tcMar>
              <w:left w:w="0" w:type="dxa"/>
              <w:right w:w="0" w:type="dxa"/>
            </w:tcMar>
            <w:vAlign w:val="center"/>
          </w:tcPr>
          <w:p>
            <w:pPr>
              <w:pStyle w:val="1856"/>
              <w:snapToGrid w:val="0"/>
              <w:ind w:firstLine="0" w:firstLineChars="0"/>
              <w:jc w:val="center"/>
              <w:rPr>
                <w:color w:val="000000" w:themeColor="text1"/>
                <w:sz w:val="21"/>
                <w:szCs w:val="21"/>
                <w:u w:val="single"/>
                <w14:textFill>
                  <w14:solidFill>
                    <w14:schemeClr w14:val="tx1"/>
                  </w14:solidFill>
                </w14:textFill>
              </w:rPr>
            </w:pPr>
          </w:p>
        </w:tc>
        <w:tc>
          <w:tcPr>
            <w:tcW w:w="1248" w:type="dxa"/>
            <w:vMerge w:val="restart"/>
            <w:tcMar>
              <w:left w:w="0" w:type="dxa"/>
              <w:right w:w="0" w:type="dxa"/>
            </w:tcMar>
            <w:vAlign w:val="center"/>
          </w:tcPr>
          <w:p>
            <w:pPr>
              <w:pStyle w:val="1856"/>
              <w:snapToGrid w:val="0"/>
              <w:ind w:firstLine="0" w:firstLineChars="0"/>
              <w:jc w:val="center"/>
              <w:rPr>
                <w:color w:val="000000" w:themeColor="text1"/>
                <w:sz w:val="21"/>
                <w:szCs w:val="21"/>
                <w:u w:val="single"/>
                <w14:textFill>
                  <w14:solidFill>
                    <w14:schemeClr w14:val="tx1"/>
                  </w14:solidFill>
                </w14:textFill>
              </w:rPr>
            </w:pPr>
            <w:r>
              <w:rPr>
                <w:rFonts w:hint="eastAsia"/>
                <w:color w:val="000000" w:themeColor="text1"/>
                <w:sz w:val="21"/>
                <w:szCs w:val="21"/>
                <w:u w:val="single"/>
                <w14:textFill>
                  <w14:solidFill>
                    <w14:schemeClr w14:val="tx1"/>
                  </w14:solidFill>
                </w14:textFill>
              </w:rPr>
              <w:t>排入金桂浆纸业有限公司排污口</w:t>
            </w:r>
          </w:p>
        </w:tc>
        <w:tc>
          <w:tcPr>
            <w:tcW w:w="1339" w:type="dxa"/>
            <w:vMerge w:val="restart"/>
            <w:tcMar>
              <w:left w:w="0" w:type="dxa"/>
              <w:right w:w="0" w:type="dxa"/>
            </w:tcMar>
            <w:vAlign w:val="center"/>
          </w:tcPr>
          <w:p>
            <w:pPr>
              <w:pStyle w:val="1856"/>
              <w:snapToGrid w:val="0"/>
              <w:ind w:firstLine="0" w:firstLineChars="0"/>
              <w:jc w:val="center"/>
              <w:rPr>
                <w:color w:val="000000" w:themeColor="text1"/>
                <w:sz w:val="21"/>
                <w:szCs w:val="21"/>
                <w:u w:val="single"/>
                <w14:textFill>
                  <w14:solidFill>
                    <w14:schemeClr w14:val="tx1"/>
                  </w14:solidFill>
                </w14:textFill>
              </w:rPr>
            </w:pPr>
            <w:r>
              <w:rPr>
                <w:color w:val="000000" w:themeColor="text1"/>
                <w:sz w:val="21"/>
                <w:szCs w:val="21"/>
                <w:u w:val="single"/>
                <w14:textFill>
                  <w14:solidFill>
                    <w14:schemeClr w14:val="tx1"/>
                  </w14:solidFill>
                </w14:textFill>
              </w:rPr>
              <w:t>216420.8</w:t>
            </w:r>
            <w:r>
              <w:rPr>
                <w:rFonts w:hint="eastAsia"/>
                <w:color w:val="000000" w:themeColor="text1"/>
                <w:sz w:val="21"/>
                <w:szCs w:val="21"/>
                <w:u w:val="single"/>
                <w14:textFill>
                  <w14:solidFill>
                    <w14:schemeClr w14:val="tx1"/>
                  </w14:solidFill>
                </w14:textFill>
              </w:rPr>
              <w:t xml:space="preserve"> </w:t>
            </w:r>
            <w:r>
              <w:rPr>
                <w:color w:val="000000" w:themeColor="text1"/>
                <w:sz w:val="21"/>
                <w:szCs w:val="21"/>
                <w:u w:val="single"/>
                <w14:textFill>
                  <w14:solidFill>
                    <w14:schemeClr w14:val="tx1"/>
                  </w14:solidFill>
                </w14:textFill>
              </w:rPr>
              <w:t>t/a</w:t>
            </w:r>
          </w:p>
          <w:p>
            <w:pPr>
              <w:pStyle w:val="1856"/>
              <w:snapToGrid w:val="0"/>
              <w:ind w:firstLine="0" w:firstLineChars="0"/>
              <w:jc w:val="center"/>
              <w:rPr>
                <w:color w:val="000000" w:themeColor="text1"/>
                <w:sz w:val="21"/>
                <w:szCs w:val="21"/>
                <w:u w:val="single"/>
                <w14:textFill>
                  <w14:solidFill>
                    <w14:schemeClr w14:val="tx1"/>
                  </w14:solidFill>
                </w14:textFill>
              </w:rPr>
            </w:pPr>
            <w:r>
              <w:rPr>
                <w:rFonts w:hint="eastAsia"/>
                <w:color w:val="000000" w:themeColor="text1"/>
                <w:sz w:val="21"/>
                <w:szCs w:val="21"/>
                <w:u w:val="single"/>
                <w14:textFill>
                  <w14:solidFill>
                    <w14:schemeClr w14:val="tx1"/>
                  </w14:solidFill>
                </w14:textFill>
              </w:rPr>
              <w:t>655.8 m</w:t>
            </w:r>
            <w:r>
              <w:rPr>
                <w:rFonts w:hint="eastAsia"/>
                <w:color w:val="000000" w:themeColor="text1"/>
                <w:sz w:val="21"/>
                <w:szCs w:val="21"/>
                <w:u w:val="single"/>
                <w:vertAlign w:val="superscript"/>
                <w14:textFill>
                  <w14:solidFill>
                    <w14:schemeClr w14:val="tx1"/>
                  </w14:solidFill>
                </w14:textFill>
              </w:rPr>
              <w:t>3</w:t>
            </w:r>
            <w:r>
              <w:rPr>
                <w:rFonts w:hint="eastAsia"/>
                <w:color w:val="000000" w:themeColor="text1"/>
                <w:sz w:val="21"/>
                <w:szCs w:val="21"/>
                <w:u w:val="single"/>
                <w14:textFill>
                  <w14:solidFill>
                    <w14:schemeClr w14:val="tx1"/>
                  </w14:solidFill>
                </w14:textFill>
              </w:rPr>
              <w:t>/d</w:t>
            </w:r>
          </w:p>
          <w:p>
            <w:pPr>
              <w:pStyle w:val="1856"/>
              <w:snapToGrid w:val="0"/>
              <w:ind w:firstLine="0" w:firstLineChars="0"/>
              <w:jc w:val="center"/>
              <w:rPr>
                <w:color w:val="000000" w:themeColor="text1"/>
                <w:sz w:val="21"/>
                <w:szCs w:val="21"/>
                <w:u w:val="single"/>
                <w14:textFill>
                  <w14:solidFill>
                    <w14:schemeClr w14:val="tx1"/>
                  </w14:solidFill>
                </w14:textFill>
              </w:rPr>
            </w:pPr>
            <w:r>
              <w:rPr>
                <w:rFonts w:hint="eastAsia"/>
                <w:color w:val="000000" w:themeColor="text1"/>
                <w:sz w:val="21"/>
                <w:szCs w:val="21"/>
                <w:u w:val="single"/>
                <w14:textFill>
                  <w14:solidFill>
                    <w14:schemeClr w14:val="tx1"/>
                  </w14:solidFill>
                </w14:textFill>
              </w:rPr>
              <w:t>（生产废水）</w:t>
            </w:r>
          </w:p>
        </w:tc>
        <w:tc>
          <w:tcPr>
            <w:tcW w:w="628" w:type="dxa"/>
            <w:tcMar>
              <w:left w:w="0" w:type="dxa"/>
              <w:right w:w="0" w:type="dxa"/>
            </w:tcMar>
            <w:vAlign w:val="center"/>
          </w:tcPr>
          <w:p>
            <w:pPr>
              <w:pStyle w:val="1856"/>
              <w:snapToGrid w:val="0"/>
              <w:ind w:firstLine="0" w:firstLineChars="0"/>
              <w:jc w:val="center"/>
              <w:rPr>
                <w:color w:val="000000" w:themeColor="text1"/>
                <w:sz w:val="21"/>
                <w:szCs w:val="21"/>
                <w:u w:val="single"/>
                <w14:textFill>
                  <w14:solidFill>
                    <w14:schemeClr w14:val="tx1"/>
                  </w14:solidFill>
                </w14:textFill>
              </w:rPr>
            </w:pPr>
            <w:r>
              <w:rPr>
                <w:rFonts w:hint="eastAsia"/>
                <w:color w:val="000000" w:themeColor="text1"/>
                <w:sz w:val="21"/>
                <w:szCs w:val="21"/>
                <w:u w:val="single"/>
                <w14:textFill>
                  <w14:solidFill>
                    <w14:schemeClr w14:val="tx1"/>
                  </w14:solidFill>
                </w14:textFill>
              </w:rPr>
              <w:t>COD</w:t>
            </w:r>
          </w:p>
        </w:tc>
        <w:tc>
          <w:tcPr>
            <w:tcW w:w="701" w:type="dxa"/>
            <w:tcMar>
              <w:left w:w="0" w:type="dxa"/>
              <w:right w:w="0" w:type="dxa"/>
            </w:tcMar>
            <w:vAlign w:val="center"/>
          </w:tcPr>
          <w:p>
            <w:pPr>
              <w:pStyle w:val="1856"/>
              <w:snapToGrid w:val="0"/>
              <w:ind w:firstLine="0" w:firstLineChars="0"/>
              <w:jc w:val="center"/>
              <w:rPr>
                <w:color w:val="000000" w:themeColor="text1"/>
                <w:sz w:val="21"/>
                <w:szCs w:val="21"/>
                <w:u w:val="single"/>
                <w14:textFill>
                  <w14:solidFill>
                    <w14:schemeClr w14:val="tx1"/>
                  </w14:solidFill>
                </w14:textFill>
              </w:rPr>
            </w:pPr>
            <w:r>
              <w:rPr>
                <w:rFonts w:hint="eastAsia"/>
                <w:color w:val="000000" w:themeColor="text1"/>
                <w:sz w:val="21"/>
                <w:szCs w:val="21"/>
                <w:u w:val="single"/>
                <w14:textFill>
                  <w14:solidFill>
                    <w14:schemeClr w14:val="tx1"/>
                  </w14:solidFill>
                </w14:textFill>
              </w:rPr>
              <w:t>30</w:t>
            </w:r>
          </w:p>
        </w:tc>
        <w:tc>
          <w:tcPr>
            <w:tcW w:w="2662" w:type="dxa"/>
            <w:vMerge w:val="continue"/>
            <w:tcMar>
              <w:left w:w="0" w:type="dxa"/>
              <w:right w:w="0" w:type="dxa"/>
            </w:tcMar>
            <w:vAlign w:val="center"/>
          </w:tcPr>
          <w:p>
            <w:pPr>
              <w:pStyle w:val="1856"/>
              <w:snapToGrid w:val="0"/>
              <w:ind w:firstLine="0" w:firstLineChars="0"/>
              <w:jc w:val="center"/>
              <w:rPr>
                <w:color w:val="000000" w:themeColor="text1"/>
                <w:sz w:val="21"/>
                <w:szCs w:val="21"/>
                <w:u w:val="single"/>
                <w14:textFill>
                  <w14:solidFill>
                    <w14:schemeClr w14:val="tx1"/>
                  </w14:solidFill>
                </w14:textFill>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c>
          <w:tcPr>
            <w:tcW w:w="405" w:type="dxa"/>
            <w:vMerge w:val="continue"/>
            <w:tcMar>
              <w:left w:w="0" w:type="dxa"/>
              <w:right w:w="0" w:type="dxa"/>
            </w:tcMar>
            <w:vAlign w:val="center"/>
          </w:tcPr>
          <w:p>
            <w:pPr>
              <w:pStyle w:val="1856"/>
              <w:snapToGrid w:val="0"/>
              <w:ind w:firstLine="0" w:firstLineChars="0"/>
              <w:jc w:val="center"/>
              <w:rPr>
                <w:color w:val="000000" w:themeColor="text1"/>
                <w:sz w:val="21"/>
                <w:szCs w:val="21"/>
                <w:u w:val="single"/>
                <w14:textFill>
                  <w14:solidFill>
                    <w14:schemeClr w14:val="tx1"/>
                  </w14:solidFill>
                </w14:textFill>
              </w:rPr>
            </w:pPr>
          </w:p>
        </w:tc>
        <w:tc>
          <w:tcPr>
            <w:tcW w:w="1299" w:type="dxa"/>
            <w:vMerge w:val="continue"/>
            <w:tcMar>
              <w:left w:w="0" w:type="dxa"/>
              <w:right w:w="0" w:type="dxa"/>
            </w:tcMar>
            <w:vAlign w:val="center"/>
          </w:tcPr>
          <w:p>
            <w:pPr>
              <w:pStyle w:val="1856"/>
              <w:snapToGrid w:val="0"/>
              <w:ind w:firstLine="0" w:firstLineChars="0"/>
              <w:jc w:val="center"/>
              <w:rPr>
                <w:color w:val="000000" w:themeColor="text1"/>
                <w:sz w:val="21"/>
                <w:szCs w:val="21"/>
                <w:u w:val="single"/>
                <w14:textFill>
                  <w14:solidFill>
                    <w14:schemeClr w14:val="tx1"/>
                  </w14:solidFill>
                </w14:textFill>
              </w:rPr>
            </w:pPr>
          </w:p>
        </w:tc>
        <w:tc>
          <w:tcPr>
            <w:tcW w:w="1248" w:type="dxa"/>
            <w:vMerge w:val="continue"/>
            <w:tcMar>
              <w:left w:w="0" w:type="dxa"/>
              <w:right w:w="0" w:type="dxa"/>
            </w:tcMar>
            <w:vAlign w:val="center"/>
          </w:tcPr>
          <w:p>
            <w:pPr>
              <w:pStyle w:val="1856"/>
              <w:snapToGrid w:val="0"/>
              <w:ind w:firstLine="0" w:firstLineChars="0"/>
              <w:jc w:val="center"/>
              <w:rPr>
                <w:color w:val="000000" w:themeColor="text1"/>
                <w:sz w:val="21"/>
                <w:szCs w:val="21"/>
                <w:u w:val="single"/>
                <w14:textFill>
                  <w14:solidFill>
                    <w14:schemeClr w14:val="tx1"/>
                  </w14:solidFill>
                </w14:textFill>
              </w:rPr>
            </w:pPr>
          </w:p>
        </w:tc>
        <w:tc>
          <w:tcPr>
            <w:tcW w:w="1339" w:type="dxa"/>
            <w:vMerge w:val="continue"/>
            <w:tcMar>
              <w:left w:w="0" w:type="dxa"/>
              <w:right w:w="0" w:type="dxa"/>
            </w:tcMar>
            <w:vAlign w:val="center"/>
          </w:tcPr>
          <w:p>
            <w:pPr>
              <w:pStyle w:val="1856"/>
              <w:snapToGrid w:val="0"/>
              <w:ind w:firstLine="0" w:firstLineChars="0"/>
              <w:jc w:val="center"/>
              <w:rPr>
                <w:color w:val="000000" w:themeColor="text1"/>
                <w:sz w:val="21"/>
                <w:szCs w:val="21"/>
                <w:u w:val="single"/>
                <w14:textFill>
                  <w14:solidFill>
                    <w14:schemeClr w14:val="tx1"/>
                  </w14:solidFill>
                </w14:textFill>
              </w:rPr>
            </w:pPr>
          </w:p>
        </w:tc>
        <w:tc>
          <w:tcPr>
            <w:tcW w:w="628" w:type="dxa"/>
            <w:tcMar>
              <w:left w:w="0" w:type="dxa"/>
              <w:right w:w="0" w:type="dxa"/>
            </w:tcMar>
            <w:vAlign w:val="center"/>
          </w:tcPr>
          <w:p>
            <w:pPr>
              <w:pStyle w:val="1856"/>
              <w:snapToGrid w:val="0"/>
              <w:ind w:firstLine="0" w:firstLineChars="0"/>
              <w:jc w:val="center"/>
              <w:rPr>
                <w:color w:val="000000" w:themeColor="text1"/>
                <w:sz w:val="21"/>
                <w:szCs w:val="21"/>
                <w:u w:val="single"/>
                <w14:textFill>
                  <w14:solidFill>
                    <w14:schemeClr w14:val="tx1"/>
                  </w14:solidFill>
                </w14:textFill>
              </w:rPr>
            </w:pPr>
            <w:r>
              <w:rPr>
                <w:rFonts w:hint="eastAsia"/>
                <w:color w:val="000000" w:themeColor="text1"/>
                <w:sz w:val="21"/>
                <w:szCs w:val="21"/>
                <w:u w:val="single"/>
                <w14:textFill>
                  <w14:solidFill>
                    <w14:schemeClr w14:val="tx1"/>
                  </w14:solidFill>
                </w14:textFill>
              </w:rPr>
              <w:t>氨氮</w:t>
            </w:r>
          </w:p>
        </w:tc>
        <w:tc>
          <w:tcPr>
            <w:tcW w:w="701" w:type="dxa"/>
            <w:tcMar>
              <w:left w:w="0" w:type="dxa"/>
              <w:right w:w="0" w:type="dxa"/>
            </w:tcMar>
            <w:vAlign w:val="center"/>
          </w:tcPr>
          <w:p>
            <w:pPr>
              <w:pStyle w:val="1856"/>
              <w:snapToGrid w:val="0"/>
              <w:ind w:firstLine="0" w:firstLineChars="0"/>
              <w:jc w:val="center"/>
              <w:rPr>
                <w:color w:val="000000" w:themeColor="text1"/>
                <w:sz w:val="21"/>
                <w:szCs w:val="21"/>
                <w:u w:val="single"/>
                <w14:textFill>
                  <w14:solidFill>
                    <w14:schemeClr w14:val="tx1"/>
                  </w14:solidFill>
                </w14:textFill>
              </w:rPr>
            </w:pPr>
            <w:r>
              <w:rPr>
                <w:rFonts w:hint="eastAsia"/>
                <w:color w:val="000000" w:themeColor="text1"/>
                <w:sz w:val="21"/>
                <w:szCs w:val="21"/>
                <w:u w:val="single"/>
                <w14:textFill>
                  <w14:solidFill>
                    <w14:schemeClr w14:val="tx1"/>
                  </w14:solidFill>
                </w14:textFill>
              </w:rPr>
              <w:t>2.76</w:t>
            </w:r>
          </w:p>
        </w:tc>
        <w:tc>
          <w:tcPr>
            <w:tcW w:w="2662" w:type="dxa"/>
            <w:vMerge w:val="continue"/>
            <w:tcMar>
              <w:left w:w="0" w:type="dxa"/>
              <w:right w:w="0" w:type="dxa"/>
            </w:tcMar>
            <w:vAlign w:val="center"/>
          </w:tcPr>
          <w:p>
            <w:pPr>
              <w:pStyle w:val="1856"/>
              <w:snapToGrid w:val="0"/>
              <w:ind w:firstLine="0" w:firstLineChars="0"/>
              <w:jc w:val="center"/>
              <w:rPr>
                <w:color w:val="000000" w:themeColor="text1"/>
                <w:sz w:val="21"/>
                <w:szCs w:val="21"/>
                <w:u w:val="single"/>
                <w14:textFill>
                  <w14:solidFill>
                    <w14:schemeClr w14:val="tx1"/>
                  </w14:solidFill>
                </w14:textFill>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76" w:hRule="atLeast"/>
        </w:trPr>
        <w:tc>
          <w:tcPr>
            <w:tcW w:w="405" w:type="dxa"/>
            <w:vMerge w:val="restart"/>
            <w:tcMar>
              <w:left w:w="0" w:type="dxa"/>
              <w:right w:w="0" w:type="dxa"/>
            </w:tcMar>
            <w:vAlign w:val="center"/>
          </w:tcPr>
          <w:p>
            <w:pPr>
              <w:pStyle w:val="1856"/>
              <w:snapToGrid w:val="0"/>
              <w:ind w:firstLine="0" w:firstLineChars="0"/>
              <w:jc w:val="center"/>
              <w:rPr>
                <w:color w:val="000000" w:themeColor="text1"/>
                <w:sz w:val="21"/>
                <w:szCs w:val="21"/>
                <w:u w:val="single"/>
                <w14:textFill>
                  <w14:solidFill>
                    <w14:schemeClr w14:val="tx1"/>
                  </w14:solidFill>
                </w14:textFill>
              </w:rPr>
            </w:pPr>
            <w:r>
              <w:rPr>
                <w:rFonts w:hint="eastAsia"/>
                <w:color w:val="000000" w:themeColor="text1"/>
                <w:sz w:val="21"/>
                <w:szCs w:val="21"/>
                <w:u w:val="single"/>
                <w14:textFill>
                  <w14:solidFill>
                    <w14:schemeClr w14:val="tx1"/>
                  </w14:solidFill>
                </w14:textFill>
              </w:rPr>
              <w:t>3</w:t>
            </w:r>
          </w:p>
        </w:tc>
        <w:tc>
          <w:tcPr>
            <w:tcW w:w="1299" w:type="dxa"/>
            <w:vMerge w:val="restart"/>
            <w:tcMar>
              <w:left w:w="0" w:type="dxa"/>
              <w:right w:w="0" w:type="dxa"/>
            </w:tcMar>
            <w:vAlign w:val="center"/>
          </w:tcPr>
          <w:p>
            <w:pPr>
              <w:pStyle w:val="1856"/>
              <w:snapToGrid w:val="0"/>
              <w:ind w:firstLine="0" w:firstLineChars="0"/>
              <w:jc w:val="center"/>
              <w:rPr>
                <w:color w:val="000000" w:themeColor="text1"/>
                <w:sz w:val="21"/>
                <w:szCs w:val="21"/>
                <w:u w:val="single"/>
                <w14:textFill>
                  <w14:solidFill>
                    <w14:schemeClr w14:val="tx1"/>
                  </w14:solidFill>
                </w14:textFill>
              </w:rPr>
            </w:pPr>
            <w:r>
              <w:rPr>
                <w:rFonts w:hint="eastAsia"/>
                <w:color w:val="000000" w:themeColor="text1"/>
                <w:sz w:val="21"/>
                <w:szCs w:val="21"/>
                <w:u w:val="single"/>
                <w14:textFill>
                  <w14:solidFill>
                    <w14:schemeClr w14:val="tx1"/>
                  </w14:solidFill>
                </w14:textFill>
              </w:rPr>
              <w:t>格派新能源电池材料一体化项目（一期）</w:t>
            </w:r>
          </w:p>
        </w:tc>
        <w:tc>
          <w:tcPr>
            <w:tcW w:w="1248" w:type="dxa"/>
            <w:vMerge w:val="restart"/>
            <w:tcMar>
              <w:left w:w="0" w:type="dxa"/>
              <w:right w:w="0" w:type="dxa"/>
            </w:tcMar>
            <w:vAlign w:val="center"/>
          </w:tcPr>
          <w:p>
            <w:pPr>
              <w:pStyle w:val="1856"/>
              <w:snapToGrid w:val="0"/>
              <w:ind w:firstLine="0" w:firstLineChars="0"/>
              <w:jc w:val="center"/>
              <w:rPr>
                <w:color w:val="000000" w:themeColor="text1"/>
                <w:sz w:val="21"/>
                <w:szCs w:val="21"/>
                <w:u w:val="single"/>
                <w14:textFill>
                  <w14:solidFill>
                    <w14:schemeClr w14:val="tx1"/>
                  </w14:solidFill>
                </w14:textFill>
              </w:rPr>
            </w:pPr>
            <w:r>
              <w:rPr>
                <w:rFonts w:hint="eastAsia"/>
                <w:color w:val="000000" w:themeColor="text1"/>
                <w:sz w:val="21"/>
                <w:szCs w:val="21"/>
                <w:u w:val="single"/>
                <w14:textFill>
                  <w14:solidFill>
                    <w14:schemeClr w14:val="tx1"/>
                  </w14:solidFill>
                </w14:textFill>
              </w:rPr>
              <w:t>排入大榄坪污水处理厂（排污口）</w:t>
            </w:r>
          </w:p>
        </w:tc>
        <w:tc>
          <w:tcPr>
            <w:tcW w:w="1339" w:type="dxa"/>
            <w:vMerge w:val="restart"/>
            <w:tcMar>
              <w:left w:w="0" w:type="dxa"/>
              <w:right w:w="0" w:type="dxa"/>
            </w:tcMar>
            <w:vAlign w:val="center"/>
          </w:tcPr>
          <w:p>
            <w:pPr>
              <w:pStyle w:val="1856"/>
              <w:snapToGrid w:val="0"/>
              <w:ind w:firstLine="0" w:firstLineChars="0"/>
              <w:jc w:val="center"/>
              <w:rPr>
                <w:color w:val="000000" w:themeColor="text1"/>
                <w:sz w:val="21"/>
                <w:szCs w:val="21"/>
                <w:u w:val="single"/>
                <w:lang w:val="en-US"/>
                <w14:textFill>
                  <w14:solidFill>
                    <w14:schemeClr w14:val="tx1"/>
                  </w14:solidFill>
                </w14:textFill>
              </w:rPr>
            </w:pPr>
            <w:r>
              <w:rPr>
                <w:rFonts w:hint="eastAsia"/>
                <w:color w:val="000000" w:themeColor="text1"/>
                <w:sz w:val="21"/>
                <w:szCs w:val="21"/>
                <w:u w:val="single"/>
                <w:lang w:val="en-US"/>
                <w14:textFill>
                  <w14:solidFill>
                    <w14:schemeClr w14:val="tx1"/>
                  </w14:solidFill>
                </w14:textFill>
              </w:rPr>
              <w:t>4</w:t>
            </w:r>
            <w:r>
              <w:rPr>
                <w:color w:val="000000" w:themeColor="text1"/>
                <w:sz w:val="21"/>
                <w:szCs w:val="21"/>
                <w:u w:val="single"/>
                <w:lang w:val="en-US"/>
                <w14:textFill>
                  <w14:solidFill>
                    <w14:schemeClr w14:val="tx1"/>
                  </w14:solidFill>
                </w14:textFill>
              </w:rPr>
              <w:t>7520 t/a</w:t>
            </w:r>
          </w:p>
          <w:p>
            <w:pPr>
              <w:pStyle w:val="1856"/>
              <w:snapToGrid w:val="0"/>
              <w:ind w:firstLine="0" w:firstLineChars="0"/>
              <w:jc w:val="center"/>
              <w:rPr>
                <w:color w:val="000000" w:themeColor="text1"/>
                <w:sz w:val="21"/>
                <w:szCs w:val="21"/>
                <w:u w:val="single"/>
                <w:lang w:val="en-US"/>
                <w14:textFill>
                  <w14:solidFill>
                    <w14:schemeClr w14:val="tx1"/>
                  </w14:solidFill>
                </w14:textFill>
              </w:rPr>
            </w:pPr>
            <w:r>
              <w:rPr>
                <w:rFonts w:hint="eastAsia"/>
                <w:color w:val="000000" w:themeColor="text1"/>
                <w:sz w:val="21"/>
                <w:szCs w:val="21"/>
                <w:u w:val="single"/>
                <w:lang w:val="en-US"/>
                <w14:textFill>
                  <w14:solidFill>
                    <w14:schemeClr w14:val="tx1"/>
                  </w14:solidFill>
                </w14:textFill>
              </w:rPr>
              <w:t>1</w:t>
            </w:r>
            <w:r>
              <w:rPr>
                <w:color w:val="000000" w:themeColor="text1"/>
                <w:sz w:val="21"/>
                <w:szCs w:val="21"/>
                <w:u w:val="single"/>
                <w:lang w:val="en-US"/>
                <w14:textFill>
                  <w14:solidFill>
                    <w14:schemeClr w14:val="tx1"/>
                  </w14:solidFill>
                </w14:textFill>
              </w:rPr>
              <w:t>44</w:t>
            </w:r>
            <w:r>
              <w:rPr>
                <w:rFonts w:hint="eastAsia"/>
                <w:color w:val="000000" w:themeColor="text1"/>
                <w:sz w:val="21"/>
                <w:szCs w:val="21"/>
                <w:u w:val="single"/>
                <w:lang w:val="en-US"/>
                <w14:textFill>
                  <w14:solidFill>
                    <w14:schemeClr w14:val="tx1"/>
                  </w14:solidFill>
                </w14:textFill>
              </w:rPr>
              <w:t xml:space="preserve"> m</w:t>
            </w:r>
            <w:r>
              <w:rPr>
                <w:rFonts w:hint="eastAsia"/>
                <w:color w:val="000000" w:themeColor="text1"/>
                <w:sz w:val="21"/>
                <w:szCs w:val="21"/>
                <w:u w:val="single"/>
                <w:vertAlign w:val="superscript"/>
                <w:lang w:val="en-US"/>
                <w14:textFill>
                  <w14:solidFill>
                    <w14:schemeClr w14:val="tx1"/>
                  </w14:solidFill>
                </w14:textFill>
              </w:rPr>
              <w:t>3</w:t>
            </w:r>
            <w:r>
              <w:rPr>
                <w:rFonts w:hint="eastAsia"/>
                <w:color w:val="000000" w:themeColor="text1"/>
                <w:sz w:val="21"/>
                <w:szCs w:val="21"/>
                <w:u w:val="single"/>
                <w:lang w:val="en-US"/>
                <w14:textFill>
                  <w14:solidFill>
                    <w14:schemeClr w14:val="tx1"/>
                  </w14:solidFill>
                </w14:textFill>
              </w:rPr>
              <w:t>/d</w:t>
            </w:r>
          </w:p>
          <w:p>
            <w:pPr>
              <w:pStyle w:val="1856"/>
              <w:snapToGrid w:val="0"/>
              <w:ind w:firstLine="0" w:firstLineChars="0"/>
              <w:jc w:val="center"/>
              <w:rPr>
                <w:color w:val="000000" w:themeColor="text1"/>
                <w:sz w:val="21"/>
                <w:szCs w:val="21"/>
                <w:u w:val="single"/>
                <w:lang w:val="en-US"/>
                <w14:textFill>
                  <w14:solidFill>
                    <w14:schemeClr w14:val="tx1"/>
                  </w14:solidFill>
                </w14:textFill>
              </w:rPr>
            </w:pPr>
            <w:r>
              <w:rPr>
                <w:rFonts w:hint="eastAsia"/>
                <w:color w:val="000000" w:themeColor="text1"/>
                <w:sz w:val="21"/>
                <w:szCs w:val="21"/>
                <w:u w:val="single"/>
                <w:lang w:val="en-US"/>
                <w14:textFill>
                  <w14:solidFill>
                    <w14:schemeClr w14:val="tx1"/>
                  </w14:solidFill>
                </w14:textFill>
              </w:rPr>
              <w:t>（</w:t>
            </w:r>
            <w:r>
              <w:rPr>
                <w:rFonts w:hint="eastAsia"/>
                <w:color w:val="000000" w:themeColor="text1"/>
                <w:sz w:val="21"/>
                <w:szCs w:val="21"/>
                <w:u w:val="single"/>
                <w14:textFill>
                  <w14:solidFill>
                    <w14:schemeClr w14:val="tx1"/>
                  </w14:solidFill>
                </w14:textFill>
              </w:rPr>
              <w:t>生活污水</w:t>
            </w:r>
            <w:r>
              <w:rPr>
                <w:rFonts w:hint="eastAsia"/>
                <w:color w:val="000000" w:themeColor="text1"/>
                <w:sz w:val="21"/>
                <w:szCs w:val="21"/>
                <w:u w:val="single"/>
                <w:lang w:val="en-US"/>
                <w14:textFill>
                  <w14:solidFill>
                    <w14:schemeClr w14:val="tx1"/>
                  </w14:solidFill>
                </w14:textFill>
              </w:rPr>
              <w:t>）</w:t>
            </w:r>
          </w:p>
        </w:tc>
        <w:tc>
          <w:tcPr>
            <w:tcW w:w="628" w:type="dxa"/>
            <w:tcMar>
              <w:left w:w="0" w:type="dxa"/>
              <w:right w:w="0" w:type="dxa"/>
            </w:tcMar>
            <w:vAlign w:val="center"/>
          </w:tcPr>
          <w:p>
            <w:pPr>
              <w:pStyle w:val="1856"/>
              <w:snapToGrid w:val="0"/>
              <w:ind w:firstLine="0" w:firstLineChars="0"/>
              <w:jc w:val="center"/>
              <w:rPr>
                <w:color w:val="000000" w:themeColor="text1"/>
                <w:sz w:val="21"/>
                <w:szCs w:val="21"/>
                <w:u w:val="single"/>
                <w14:textFill>
                  <w14:solidFill>
                    <w14:schemeClr w14:val="tx1"/>
                  </w14:solidFill>
                </w14:textFill>
              </w:rPr>
            </w:pPr>
            <w:r>
              <w:rPr>
                <w:rFonts w:hint="eastAsia"/>
                <w:color w:val="000000" w:themeColor="text1"/>
                <w:sz w:val="21"/>
                <w:szCs w:val="21"/>
                <w:u w:val="single"/>
                <w14:textFill>
                  <w14:solidFill>
                    <w14:schemeClr w14:val="tx1"/>
                  </w14:solidFill>
                </w14:textFill>
              </w:rPr>
              <w:t>COD</w:t>
            </w:r>
          </w:p>
        </w:tc>
        <w:tc>
          <w:tcPr>
            <w:tcW w:w="701" w:type="dxa"/>
            <w:tcMar>
              <w:left w:w="0" w:type="dxa"/>
              <w:right w:w="0" w:type="dxa"/>
            </w:tcMar>
            <w:vAlign w:val="center"/>
          </w:tcPr>
          <w:p>
            <w:pPr>
              <w:pStyle w:val="1856"/>
              <w:snapToGrid w:val="0"/>
              <w:ind w:firstLine="0" w:firstLineChars="0"/>
              <w:jc w:val="center"/>
              <w:rPr>
                <w:color w:val="000000" w:themeColor="text1"/>
                <w:sz w:val="21"/>
                <w:szCs w:val="21"/>
                <w:u w:val="single"/>
                <w14:textFill>
                  <w14:solidFill>
                    <w14:schemeClr w14:val="tx1"/>
                  </w14:solidFill>
                </w14:textFill>
              </w:rPr>
            </w:pPr>
            <w:r>
              <w:rPr>
                <w:rFonts w:hint="eastAsia"/>
                <w:color w:val="000000" w:themeColor="text1"/>
                <w:sz w:val="21"/>
                <w:szCs w:val="21"/>
                <w:u w:val="single"/>
                <w14:textFill>
                  <w14:solidFill>
                    <w14:schemeClr w14:val="tx1"/>
                  </w14:solidFill>
                </w14:textFill>
              </w:rPr>
              <w:t>5</w:t>
            </w:r>
            <w:r>
              <w:rPr>
                <w:color w:val="000000" w:themeColor="text1"/>
                <w:sz w:val="21"/>
                <w:szCs w:val="21"/>
                <w:u w:val="single"/>
                <w14:textFill>
                  <w14:solidFill>
                    <w14:schemeClr w14:val="tx1"/>
                  </w14:solidFill>
                </w14:textFill>
              </w:rPr>
              <w:t>0</w:t>
            </w:r>
          </w:p>
        </w:tc>
        <w:tc>
          <w:tcPr>
            <w:tcW w:w="2662" w:type="dxa"/>
            <w:vMerge w:val="restart"/>
            <w:tcMar>
              <w:left w:w="0" w:type="dxa"/>
              <w:right w:w="0" w:type="dxa"/>
            </w:tcMar>
            <w:vAlign w:val="center"/>
          </w:tcPr>
          <w:p>
            <w:pPr>
              <w:pStyle w:val="1856"/>
              <w:snapToGrid w:val="0"/>
              <w:ind w:firstLine="0" w:firstLineChars="0"/>
              <w:jc w:val="center"/>
              <w:rPr>
                <w:color w:val="000000" w:themeColor="text1"/>
                <w:sz w:val="21"/>
                <w:szCs w:val="21"/>
                <w:u w:val="single"/>
                <w14:textFill>
                  <w14:solidFill>
                    <w14:schemeClr w14:val="tx1"/>
                  </w14:solidFill>
                </w14:textFill>
              </w:rPr>
            </w:pPr>
            <w:r>
              <w:rPr>
                <w:rFonts w:hint="eastAsia"/>
                <w:color w:val="000000" w:themeColor="text1"/>
                <w:sz w:val="21"/>
                <w:szCs w:val="21"/>
                <w:u w:val="single"/>
                <w14:textFill>
                  <w14:solidFill>
                    <w14:schemeClr w14:val="tx1"/>
                  </w14:solidFill>
                </w14:textFill>
              </w:rPr>
              <w:t>《格派新能源电池材料一体化项目（一期）环境影响报告书》</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c>
          <w:tcPr>
            <w:tcW w:w="405" w:type="dxa"/>
            <w:vMerge w:val="continue"/>
            <w:tcMar>
              <w:left w:w="0" w:type="dxa"/>
              <w:right w:w="0" w:type="dxa"/>
            </w:tcMar>
            <w:vAlign w:val="center"/>
          </w:tcPr>
          <w:p>
            <w:pPr>
              <w:pStyle w:val="1856"/>
              <w:snapToGrid w:val="0"/>
              <w:ind w:firstLine="0" w:firstLineChars="0"/>
              <w:jc w:val="center"/>
              <w:rPr>
                <w:color w:val="000000" w:themeColor="text1"/>
                <w:sz w:val="21"/>
                <w:szCs w:val="21"/>
                <w:u w:val="single"/>
                <w14:textFill>
                  <w14:solidFill>
                    <w14:schemeClr w14:val="tx1"/>
                  </w14:solidFill>
                </w14:textFill>
              </w:rPr>
            </w:pPr>
          </w:p>
        </w:tc>
        <w:tc>
          <w:tcPr>
            <w:tcW w:w="1299" w:type="dxa"/>
            <w:vMerge w:val="continue"/>
            <w:tcMar>
              <w:left w:w="0" w:type="dxa"/>
              <w:right w:w="0" w:type="dxa"/>
            </w:tcMar>
            <w:vAlign w:val="center"/>
          </w:tcPr>
          <w:p>
            <w:pPr>
              <w:pStyle w:val="1856"/>
              <w:snapToGrid w:val="0"/>
              <w:ind w:firstLine="0" w:firstLineChars="0"/>
              <w:jc w:val="center"/>
              <w:rPr>
                <w:color w:val="000000" w:themeColor="text1"/>
                <w:sz w:val="21"/>
                <w:szCs w:val="21"/>
                <w:u w:val="single"/>
                <w14:textFill>
                  <w14:solidFill>
                    <w14:schemeClr w14:val="tx1"/>
                  </w14:solidFill>
                </w14:textFill>
              </w:rPr>
            </w:pPr>
          </w:p>
        </w:tc>
        <w:tc>
          <w:tcPr>
            <w:tcW w:w="1248" w:type="dxa"/>
            <w:vMerge w:val="continue"/>
            <w:tcMar>
              <w:left w:w="0" w:type="dxa"/>
              <w:right w:w="0" w:type="dxa"/>
            </w:tcMar>
            <w:vAlign w:val="center"/>
          </w:tcPr>
          <w:p>
            <w:pPr>
              <w:pStyle w:val="1856"/>
              <w:snapToGrid w:val="0"/>
              <w:ind w:firstLine="0" w:firstLineChars="0"/>
              <w:jc w:val="center"/>
              <w:rPr>
                <w:color w:val="000000" w:themeColor="text1"/>
                <w:sz w:val="21"/>
                <w:szCs w:val="21"/>
                <w:u w:val="single"/>
                <w14:textFill>
                  <w14:solidFill>
                    <w14:schemeClr w14:val="tx1"/>
                  </w14:solidFill>
                </w14:textFill>
              </w:rPr>
            </w:pPr>
          </w:p>
        </w:tc>
        <w:tc>
          <w:tcPr>
            <w:tcW w:w="1339" w:type="dxa"/>
            <w:vMerge w:val="continue"/>
            <w:tcMar>
              <w:left w:w="0" w:type="dxa"/>
              <w:right w:w="0" w:type="dxa"/>
            </w:tcMar>
            <w:vAlign w:val="center"/>
          </w:tcPr>
          <w:p>
            <w:pPr>
              <w:pStyle w:val="1856"/>
              <w:snapToGrid w:val="0"/>
              <w:ind w:firstLine="0" w:firstLineChars="0"/>
              <w:jc w:val="center"/>
              <w:rPr>
                <w:color w:val="000000" w:themeColor="text1"/>
                <w:sz w:val="21"/>
                <w:szCs w:val="21"/>
                <w:u w:val="single"/>
                <w14:textFill>
                  <w14:solidFill>
                    <w14:schemeClr w14:val="tx1"/>
                  </w14:solidFill>
                </w14:textFill>
              </w:rPr>
            </w:pPr>
          </w:p>
        </w:tc>
        <w:tc>
          <w:tcPr>
            <w:tcW w:w="628" w:type="dxa"/>
            <w:tcMar>
              <w:left w:w="0" w:type="dxa"/>
              <w:right w:w="0" w:type="dxa"/>
            </w:tcMar>
            <w:vAlign w:val="center"/>
          </w:tcPr>
          <w:p>
            <w:pPr>
              <w:pStyle w:val="1856"/>
              <w:snapToGrid w:val="0"/>
              <w:ind w:firstLine="0" w:firstLineChars="0"/>
              <w:jc w:val="center"/>
              <w:rPr>
                <w:color w:val="000000" w:themeColor="text1"/>
                <w:sz w:val="21"/>
                <w:szCs w:val="21"/>
                <w:u w:val="single"/>
                <w14:textFill>
                  <w14:solidFill>
                    <w14:schemeClr w14:val="tx1"/>
                  </w14:solidFill>
                </w14:textFill>
              </w:rPr>
            </w:pPr>
            <w:r>
              <w:rPr>
                <w:rFonts w:hint="eastAsia"/>
                <w:color w:val="000000" w:themeColor="text1"/>
                <w:sz w:val="21"/>
                <w:szCs w:val="21"/>
                <w:u w:val="single"/>
                <w14:textFill>
                  <w14:solidFill>
                    <w14:schemeClr w14:val="tx1"/>
                  </w14:solidFill>
                </w14:textFill>
              </w:rPr>
              <w:t>氨氮</w:t>
            </w:r>
          </w:p>
        </w:tc>
        <w:tc>
          <w:tcPr>
            <w:tcW w:w="701" w:type="dxa"/>
            <w:tcMar>
              <w:left w:w="0" w:type="dxa"/>
              <w:right w:w="0" w:type="dxa"/>
            </w:tcMar>
            <w:vAlign w:val="center"/>
          </w:tcPr>
          <w:p>
            <w:pPr>
              <w:pStyle w:val="1856"/>
              <w:snapToGrid w:val="0"/>
              <w:ind w:firstLine="0" w:firstLineChars="0"/>
              <w:jc w:val="center"/>
              <w:rPr>
                <w:color w:val="000000" w:themeColor="text1"/>
                <w:sz w:val="21"/>
                <w:szCs w:val="21"/>
                <w:u w:val="single"/>
                <w14:textFill>
                  <w14:solidFill>
                    <w14:schemeClr w14:val="tx1"/>
                  </w14:solidFill>
                </w14:textFill>
              </w:rPr>
            </w:pPr>
            <w:r>
              <w:rPr>
                <w:rFonts w:hint="eastAsia"/>
                <w:color w:val="000000" w:themeColor="text1"/>
                <w:sz w:val="21"/>
                <w:szCs w:val="21"/>
                <w:u w:val="single"/>
                <w14:textFill>
                  <w14:solidFill>
                    <w14:schemeClr w14:val="tx1"/>
                  </w14:solidFill>
                </w14:textFill>
              </w:rPr>
              <w:t>5</w:t>
            </w:r>
          </w:p>
        </w:tc>
        <w:tc>
          <w:tcPr>
            <w:tcW w:w="2662" w:type="dxa"/>
            <w:vMerge w:val="continue"/>
            <w:tcMar>
              <w:left w:w="0" w:type="dxa"/>
              <w:right w:w="0" w:type="dxa"/>
            </w:tcMar>
            <w:vAlign w:val="center"/>
          </w:tcPr>
          <w:p>
            <w:pPr>
              <w:pStyle w:val="1856"/>
              <w:snapToGrid w:val="0"/>
              <w:ind w:firstLine="0" w:firstLineChars="0"/>
              <w:jc w:val="center"/>
              <w:rPr>
                <w:color w:val="000000" w:themeColor="text1"/>
                <w:sz w:val="21"/>
                <w:szCs w:val="21"/>
                <w:u w:val="single"/>
                <w14:textFill>
                  <w14:solidFill>
                    <w14:schemeClr w14:val="tx1"/>
                  </w14:solidFill>
                </w14:textFill>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401" w:hRule="atLeast"/>
        </w:trPr>
        <w:tc>
          <w:tcPr>
            <w:tcW w:w="405" w:type="dxa"/>
            <w:vMerge w:val="continue"/>
            <w:tcMar>
              <w:left w:w="0" w:type="dxa"/>
              <w:right w:w="0" w:type="dxa"/>
            </w:tcMar>
            <w:vAlign w:val="center"/>
          </w:tcPr>
          <w:p>
            <w:pPr>
              <w:pStyle w:val="1856"/>
              <w:snapToGrid w:val="0"/>
              <w:ind w:firstLine="0" w:firstLineChars="0"/>
              <w:jc w:val="center"/>
              <w:rPr>
                <w:color w:val="000000" w:themeColor="text1"/>
                <w:sz w:val="21"/>
                <w:szCs w:val="21"/>
                <w:u w:val="single"/>
                <w14:textFill>
                  <w14:solidFill>
                    <w14:schemeClr w14:val="tx1"/>
                  </w14:solidFill>
                </w14:textFill>
              </w:rPr>
            </w:pPr>
          </w:p>
        </w:tc>
        <w:tc>
          <w:tcPr>
            <w:tcW w:w="1299" w:type="dxa"/>
            <w:vMerge w:val="continue"/>
            <w:tcMar>
              <w:left w:w="0" w:type="dxa"/>
              <w:right w:w="0" w:type="dxa"/>
            </w:tcMar>
            <w:vAlign w:val="center"/>
          </w:tcPr>
          <w:p>
            <w:pPr>
              <w:pStyle w:val="1856"/>
              <w:snapToGrid w:val="0"/>
              <w:ind w:firstLine="0" w:firstLineChars="0"/>
              <w:jc w:val="center"/>
              <w:rPr>
                <w:color w:val="000000" w:themeColor="text1"/>
                <w:sz w:val="21"/>
                <w:szCs w:val="21"/>
                <w:u w:val="single"/>
                <w14:textFill>
                  <w14:solidFill>
                    <w14:schemeClr w14:val="tx1"/>
                  </w14:solidFill>
                </w14:textFill>
              </w:rPr>
            </w:pPr>
          </w:p>
        </w:tc>
        <w:tc>
          <w:tcPr>
            <w:tcW w:w="1248" w:type="dxa"/>
            <w:vMerge w:val="continue"/>
            <w:tcMar>
              <w:left w:w="0" w:type="dxa"/>
              <w:right w:w="0" w:type="dxa"/>
            </w:tcMar>
            <w:vAlign w:val="center"/>
          </w:tcPr>
          <w:p>
            <w:pPr>
              <w:pStyle w:val="1856"/>
              <w:snapToGrid w:val="0"/>
              <w:ind w:firstLine="0" w:firstLineChars="0"/>
              <w:jc w:val="center"/>
              <w:rPr>
                <w:color w:val="000000" w:themeColor="text1"/>
                <w:sz w:val="21"/>
                <w:szCs w:val="21"/>
                <w:u w:val="single"/>
                <w14:textFill>
                  <w14:solidFill>
                    <w14:schemeClr w14:val="tx1"/>
                  </w14:solidFill>
                </w14:textFill>
              </w:rPr>
            </w:pPr>
          </w:p>
        </w:tc>
        <w:tc>
          <w:tcPr>
            <w:tcW w:w="1339" w:type="dxa"/>
            <w:vMerge w:val="restart"/>
            <w:tcMar>
              <w:left w:w="0" w:type="dxa"/>
              <w:right w:w="0" w:type="dxa"/>
            </w:tcMar>
            <w:vAlign w:val="center"/>
          </w:tcPr>
          <w:p>
            <w:pPr>
              <w:pStyle w:val="1856"/>
              <w:snapToGrid w:val="0"/>
              <w:ind w:firstLine="0" w:firstLineChars="0"/>
              <w:jc w:val="center"/>
              <w:rPr>
                <w:color w:val="000000" w:themeColor="text1"/>
                <w:sz w:val="21"/>
                <w:szCs w:val="21"/>
                <w:u w:val="single"/>
                <w14:textFill>
                  <w14:solidFill>
                    <w14:schemeClr w14:val="tx1"/>
                  </w14:solidFill>
                </w14:textFill>
              </w:rPr>
            </w:pPr>
            <w:r>
              <w:rPr>
                <w:rFonts w:hint="eastAsia"/>
                <w:color w:val="000000" w:themeColor="text1"/>
                <w:sz w:val="21"/>
                <w:szCs w:val="21"/>
                <w:u w:val="single"/>
                <w14:textFill>
                  <w14:solidFill>
                    <w14:schemeClr w14:val="tx1"/>
                  </w14:solidFill>
                </w14:textFill>
              </w:rPr>
              <w:t>1</w:t>
            </w:r>
            <w:r>
              <w:rPr>
                <w:color w:val="000000" w:themeColor="text1"/>
                <w:sz w:val="21"/>
                <w:szCs w:val="21"/>
                <w:u w:val="single"/>
                <w14:textFill>
                  <w14:solidFill>
                    <w14:schemeClr w14:val="tx1"/>
                  </w14:solidFill>
                </w14:textFill>
              </w:rPr>
              <w:t>518990 t/a</w:t>
            </w:r>
          </w:p>
          <w:p>
            <w:pPr>
              <w:pStyle w:val="1856"/>
              <w:snapToGrid w:val="0"/>
              <w:ind w:firstLine="0" w:firstLineChars="0"/>
              <w:jc w:val="center"/>
              <w:rPr>
                <w:color w:val="000000" w:themeColor="text1"/>
                <w:sz w:val="21"/>
                <w:szCs w:val="21"/>
                <w:u w:val="single"/>
                <w14:textFill>
                  <w14:solidFill>
                    <w14:schemeClr w14:val="tx1"/>
                  </w14:solidFill>
                </w14:textFill>
              </w:rPr>
            </w:pPr>
            <w:r>
              <w:rPr>
                <w:rFonts w:hint="eastAsia"/>
                <w:color w:val="000000" w:themeColor="text1"/>
                <w:sz w:val="21"/>
                <w:szCs w:val="21"/>
                <w:u w:val="single"/>
                <w14:textFill>
                  <w14:solidFill>
                    <w14:schemeClr w14:val="tx1"/>
                  </w14:solidFill>
                </w14:textFill>
              </w:rPr>
              <w:t>4</w:t>
            </w:r>
            <w:r>
              <w:rPr>
                <w:color w:val="000000" w:themeColor="text1"/>
                <w:sz w:val="21"/>
                <w:szCs w:val="21"/>
                <w:u w:val="single"/>
                <w14:textFill>
                  <w14:solidFill>
                    <w14:schemeClr w14:val="tx1"/>
                  </w14:solidFill>
                </w14:textFill>
              </w:rPr>
              <w:t>603</w:t>
            </w:r>
            <w:r>
              <w:rPr>
                <w:rFonts w:hint="eastAsia"/>
                <w:color w:val="000000" w:themeColor="text1"/>
                <w:sz w:val="21"/>
                <w:szCs w:val="21"/>
                <w:u w:val="single"/>
                <w14:textFill>
                  <w14:solidFill>
                    <w14:schemeClr w14:val="tx1"/>
                  </w14:solidFill>
                </w14:textFill>
              </w:rPr>
              <w:t xml:space="preserve"> m</w:t>
            </w:r>
            <w:r>
              <w:rPr>
                <w:rFonts w:hint="eastAsia"/>
                <w:color w:val="000000" w:themeColor="text1"/>
                <w:sz w:val="21"/>
                <w:szCs w:val="21"/>
                <w:u w:val="single"/>
                <w:vertAlign w:val="superscript"/>
                <w14:textFill>
                  <w14:solidFill>
                    <w14:schemeClr w14:val="tx1"/>
                  </w14:solidFill>
                </w14:textFill>
              </w:rPr>
              <w:t>3</w:t>
            </w:r>
            <w:r>
              <w:rPr>
                <w:rFonts w:hint="eastAsia"/>
                <w:color w:val="000000" w:themeColor="text1"/>
                <w:sz w:val="21"/>
                <w:szCs w:val="21"/>
                <w:u w:val="single"/>
                <w14:textFill>
                  <w14:solidFill>
                    <w14:schemeClr w14:val="tx1"/>
                  </w14:solidFill>
                </w14:textFill>
              </w:rPr>
              <w:t>/d（生产废水）</w:t>
            </w:r>
          </w:p>
        </w:tc>
        <w:tc>
          <w:tcPr>
            <w:tcW w:w="628" w:type="dxa"/>
            <w:tcMar>
              <w:left w:w="0" w:type="dxa"/>
              <w:right w:w="0" w:type="dxa"/>
            </w:tcMar>
            <w:vAlign w:val="center"/>
          </w:tcPr>
          <w:p>
            <w:pPr>
              <w:pStyle w:val="1856"/>
              <w:snapToGrid w:val="0"/>
              <w:ind w:firstLine="0" w:firstLineChars="0"/>
              <w:jc w:val="center"/>
              <w:rPr>
                <w:color w:val="000000" w:themeColor="text1"/>
                <w:sz w:val="21"/>
                <w:szCs w:val="21"/>
                <w:u w:val="single"/>
                <w14:textFill>
                  <w14:solidFill>
                    <w14:schemeClr w14:val="tx1"/>
                  </w14:solidFill>
                </w14:textFill>
              </w:rPr>
            </w:pPr>
            <w:r>
              <w:rPr>
                <w:rFonts w:hint="eastAsia"/>
                <w:color w:val="000000" w:themeColor="text1"/>
                <w:sz w:val="21"/>
                <w:szCs w:val="21"/>
                <w:u w:val="single"/>
                <w14:textFill>
                  <w14:solidFill>
                    <w14:schemeClr w14:val="tx1"/>
                  </w14:solidFill>
                </w14:textFill>
              </w:rPr>
              <w:t>COD</w:t>
            </w:r>
          </w:p>
        </w:tc>
        <w:tc>
          <w:tcPr>
            <w:tcW w:w="701" w:type="dxa"/>
            <w:tcMar>
              <w:left w:w="0" w:type="dxa"/>
              <w:right w:w="0" w:type="dxa"/>
            </w:tcMar>
            <w:vAlign w:val="center"/>
          </w:tcPr>
          <w:p>
            <w:pPr>
              <w:pStyle w:val="1856"/>
              <w:snapToGrid w:val="0"/>
              <w:ind w:firstLine="0" w:firstLineChars="0"/>
              <w:jc w:val="center"/>
              <w:rPr>
                <w:color w:val="000000" w:themeColor="text1"/>
                <w:sz w:val="21"/>
                <w:szCs w:val="21"/>
                <w:u w:val="single"/>
                <w14:textFill>
                  <w14:solidFill>
                    <w14:schemeClr w14:val="tx1"/>
                  </w14:solidFill>
                </w14:textFill>
              </w:rPr>
            </w:pPr>
            <w:r>
              <w:rPr>
                <w:rFonts w:hint="eastAsia"/>
                <w:color w:val="000000" w:themeColor="text1"/>
                <w:sz w:val="21"/>
                <w:szCs w:val="21"/>
                <w:u w:val="single"/>
                <w14:textFill>
                  <w14:solidFill>
                    <w14:schemeClr w14:val="tx1"/>
                  </w14:solidFill>
                </w14:textFill>
              </w:rPr>
              <w:t>5</w:t>
            </w:r>
            <w:r>
              <w:rPr>
                <w:color w:val="000000" w:themeColor="text1"/>
                <w:sz w:val="21"/>
                <w:szCs w:val="21"/>
                <w:u w:val="single"/>
                <w14:textFill>
                  <w14:solidFill>
                    <w14:schemeClr w14:val="tx1"/>
                  </w14:solidFill>
                </w14:textFill>
              </w:rPr>
              <w:t>0</w:t>
            </w:r>
          </w:p>
        </w:tc>
        <w:tc>
          <w:tcPr>
            <w:tcW w:w="2662" w:type="dxa"/>
            <w:vMerge w:val="continue"/>
            <w:tcMar>
              <w:left w:w="0" w:type="dxa"/>
              <w:right w:w="0" w:type="dxa"/>
            </w:tcMar>
            <w:vAlign w:val="center"/>
          </w:tcPr>
          <w:p>
            <w:pPr>
              <w:pStyle w:val="1856"/>
              <w:snapToGrid w:val="0"/>
              <w:ind w:firstLine="0" w:firstLineChars="0"/>
              <w:jc w:val="center"/>
              <w:rPr>
                <w:color w:val="000000" w:themeColor="text1"/>
                <w:sz w:val="21"/>
                <w:szCs w:val="21"/>
                <w:u w:val="single"/>
                <w14:textFill>
                  <w14:solidFill>
                    <w14:schemeClr w14:val="tx1"/>
                  </w14:solidFill>
                </w14:textFill>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c>
          <w:tcPr>
            <w:tcW w:w="405" w:type="dxa"/>
            <w:vMerge w:val="continue"/>
            <w:tcMar>
              <w:left w:w="0" w:type="dxa"/>
              <w:right w:w="0" w:type="dxa"/>
            </w:tcMar>
            <w:vAlign w:val="center"/>
          </w:tcPr>
          <w:p>
            <w:pPr>
              <w:pStyle w:val="1856"/>
              <w:snapToGrid w:val="0"/>
              <w:ind w:firstLine="0" w:firstLineChars="0"/>
              <w:jc w:val="center"/>
              <w:rPr>
                <w:color w:val="000000" w:themeColor="text1"/>
                <w:sz w:val="21"/>
                <w:szCs w:val="21"/>
                <w:u w:val="single"/>
                <w14:textFill>
                  <w14:solidFill>
                    <w14:schemeClr w14:val="tx1"/>
                  </w14:solidFill>
                </w14:textFill>
              </w:rPr>
            </w:pPr>
          </w:p>
        </w:tc>
        <w:tc>
          <w:tcPr>
            <w:tcW w:w="1299" w:type="dxa"/>
            <w:vMerge w:val="continue"/>
            <w:tcMar>
              <w:left w:w="0" w:type="dxa"/>
              <w:right w:w="0" w:type="dxa"/>
            </w:tcMar>
            <w:vAlign w:val="center"/>
          </w:tcPr>
          <w:p>
            <w:pPr>
              <w:pStyle w:val="1856"/>
              <w:snapToGrid w:val="0"/>
              <w:ind w:firstLine="0" w:firstLineChars="0"/>
              <w:jc w:val="center"/>
              <w:rPr>
                <w:color w:val="000000" w:themeColor="text1"/>
                <w:sz w:val="21"/>
                <w:szCs w:val="21"/>
                <w:u w:val="single"/>
                <w14:textFill>
                  <w14:solidFill>
                    <w14:schemeClr w14:val="tx1"/>
                  </w14:solidFill>
                </w14:textFill>
              </w:rPr>
            </w:pPr>
          </w:p>
        </w:tc>
        <w:tc>
          <w:tcPr>
            <w:tcW w:w="1248" w:type="dxa"/>
            <w:vMerge w:val="continue"/>
            <w:tcMar>
              <w:left w:w="0" w:type="dxa"/>
              <w:right w:w="0" w:type="dxa"/>
            </w:tcMar>
            <w:vAlign w:val="center"/>
          </w:tcPr>
          <w:p>
            <w:pPr>
              <w:pStyle w:val="1856"/>
              <w:snapToGrid w:val="0"/>
              <w:ind w:firstLine="0" w:firstLineChars="0"/>
              <w:jc w:val="center"/>
              <w:rPr>
                <w:color w:val="000000" w:themeColor="text1"/>
                <w:sz w:val="21"/>
                <w:szCs w:val="21"/>
                <w:u w:val="single"/>
                <w14:textFill>
                  <w14:solidFill>
                    <w14:schemeClr w14:val="tx1"/>
                  </w14:solidFill>
                </w14:textFill>
              </w:rPr>
            </w:pPr>
          </w:p>
        </w:tc>
        <w:tc>
          <w:tcPr>
            <w:tcW w:w="1339" w:type="dxa"/>
            <w:vMerge w:val="continue"/>
            <w:tcMar>
              <w:left w:w="0" w:type="dxa"/>
              <w:right w:w="0" w:type="dxa"/>
            </w:tcMar>
            <w:vAlign w:val="center"/>
          </w:tcPr>
          <w:p>
            <w:pPr>
              <w:pStyle w:val="1856"/>
              <w:snapToGrid w:val="0"/>
              <w:ind w:firstLine="0" w:firstLineChars="0"/>
              <w:jc w:val="center"/>
              <w:rPr>
                <w:color w:val="000000" w:themeColor="text1"/>
                <w:sz w:val="21"/>
                <w:szCs w:val="21"/>
                <w:u w:val="single"/>
                <w14:textFill>
                  <w14:solidFill>
                    <w14:schemeClr w14:val="tx1"/>
                  </w14:solidFill>
                </w14:textFill>
              </w:rPr>
            </w:pPr>
          </w:p>
        </w:tc>
        <w:tc>
          <w:tcPr>
            <w:tcW w:w="628" w:type="dxa"/>
            <w:tcMar>
              <w:left w:w="0" w:type="dxa"/>
              <w:right w:w="0" w:type="dxa"/>
            </w:tcMar>
            <w:vAlign w:val="center"/>
          </w:tcPr>
          <w:p>
            <w:pPr>
              <w:pStyle w:val="1856"/>
              <w:snapToGrid w:val="0"/>
              <w:ind w:firstLine="0" w:firstLineChars="0"/>
              <w:jc w:val="center"/>
              <w:rPr>
                <w:color w:val="000000" w:themeColor="text1"/>
                <w:sz w:val="21"/>
                <w:szCs w:val="21"/>
                <w:u w:val="single"/>
                <w14:textFill>
                  <w14:solidFill>
                    <w14:schemeClr w14:val="tx1"/>
                  </w14:solidFill>
                </w14:textFill>
              </w:rPr>
            </w:pPr>
            <w:r>
              <w:rPr>
                <w:rFonts w:hint="eastAsia"/>
                <w:color w:val="000000" w:themeColor="text1"/>
                <w:sz w:val="21"/>
                <w:szCs w:val="21"/>
                <w:u w:val="single"/>
                <w14:textFill>
                  <w14:solidFill>
                    <w14:schemeClr w14:val="tx1"/>
                  </w14:solidFill>
                </w14:textFill>
              </w:rPr>
              <w:t>氨氮</w:t>
            </w:r>
          </w:p>
        </w:tc>
        <w:tc>
          <w:tcPr>
            <w:tcW w:w="701" w:type="dxa"/>
            <w:tcMar>
              <w:left w:w="0" w:type="dxa"/>
              <w:right w:w="0" w:type="dxa"/>
            </w:tcMar>
            <w:vAlign w:val="center"/>
          </w:tcPr>
          <w:p>
            <w:pPr>
              <w:pStyle w:val="1856"/>
              <w:snapToGrid w:val="0"/>
              <w:ind w:firstLine="0" w:firstLineChars="0"/>
              <w:jc w:val="center"/>
              <w:rPr>
                <w:color w:val="000000" w:themeColor="text1"/>
                <w:sz w:val="21"/>
                <w:szCs w:val="21"/>
                <w:u w:val="single"/>
                <w14:textFill>
                  <w14:solidFill>
                    <w14:schemeClr w14:val="tx1"/>
                  </w14:solidFill>
                </w14:textFill>
              </w:rPr>
            </w:pPr>
            <w:r>
              <w:rPr>
                <w:rFonts w:hint="eastAsia"/>
                <w:color w:val="000000" w:themeColor="text1"/>
                <w:sz w:val="21"/>
                <w:szCs w:val="21"/>
                <w:u w:val="single"/>
                <w14:textFill>
                  <w14:solidFill>
                    <w14:schemeClr w14:val="tx1"/>
                  </w14:solidFill>
                </w14:textFill>
              </w:rPr>
              <w:t>5</w:t>
            </w:r>
          </w:p>
        </w:tc>
        <w:tc>
          <w:tcPr>
            <w:tcW w:w="2662" w:type="dxa"/>
            <w:vMerge w:val="continue"/>
            <w:tcMar>
              <w:left w:w="0" w:type="dxa"/>
              <w:right w:w="0" w:type="dxa"/>
            </w:tcMar>
            <w:vAlign w:val="center"/>
          </w:tcPr>
          <w:p>
            <w:pPr>
              <w:pStyle w:val="1856"/>
              <w:snapToGrid w:val="0"/>
              <w:ind w:firstLine="0" w:firstLineChars="0"/>
              <w:jc w:val="center"/>
              <w:rPr>
                <w:color w:val="000000" w:themeColor="text1"/>
                <w:sz w:val="21"/>
                <w:szCs w:val="21"/>
                <w:u w:val="single"/>
                <w14:textFill>
                  <w14:solidFill>
                    <w14:schemeClr w14:val="tx1"/>
                  </w14:solidFill>
                </w14:textFill>
              </w:rPr>
            </w:pPr>
          </w:p>
        </w:tc>
      </w:tr>
    </w:tbl>
    <w:p>
      <w:pPr>
        <w:pStyle w:val="6"/>
        <w:rPr>
          <w:color w:val="000000" w:themeColor="text1"/>
          <w14:textFill>
            <w14:solidFill>
              <w14:schemeClr w14:val="tx1"/>
            </w14:solidFill>
          </w14:textFill>
        </w:rPr>
      </w:pPr>
      <w:r>
        <w:rPr>
          <w:rFonts w:hint="eastAsia"/>
          <w:color w:val="000000" w:themeColor="text1"/>
          <w14:textFill>
            <w14:solidFill>
              <w14:schemeClr w14:val="tx1"/>
            </w14:solidFill>
          </w14:textFill>
        </w:rPr>
        <w:t>混合区水质情况</w:t>
      </w:r>
    </w:p>
    <w:p>
      <w:pPr>
        <w:ind w:firstLine="438" w:firstLineChars="200"/>
        <w:rPr>
          <w:color w:val="000000" w:themeColor="text1"/>
          <w14:textFill>
            <w14:solidFill>
              <w14:schemeClr w14:val="tx1"/>
            </w14:solidFill>
          </w14:textFill>
        </w:rPr>
      </w:pPr>
      <w:r>
        <w:rPr>
          <w:rFonts w:hint="eastAsia"/>
          <w:color w:val="000000" w:themeColor="text1"/>
          <w14:textFill>
            <w14:solidFill>
              <w14:schemeClr w14:val="tx1"/>
            </w14:solidFill>
          </w14:textFill>
        </w:rPr>
        <w:t>现有9号10号泊位工程竣工环保验收期间对9号10号泊位周边进行了海水水质监测，根据《钦州港大榄坪港区大榄坪南作业区9号10号泊位工程竣工环境保护验收监测报告》（附件18），其中海水水质监测点S4位于排污混合区排放口周边，点位布置见图3.3-17，其海水水质监测结果见下表3.3-62。由表可知，混合区排放口周边水质现状良好，污水排海后对周边水质环境影响不大，可达到排污混合区Ⅳ类海水水质要求。</w:t>
      </w:r>
    </w:p>
    <w:tbl>
      <w:tblPr>
        <w:tblStyle w:val="89"/>
        <w:tblW w:w="852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52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8528" w:type="dxa"/>
            <w:tcBorders>
              <w:top w:val="nil"/>
              <w:left w:val="nil"/>
              <w:bottom w:val="nil"/>
              <w:right w:val="nil"/>
            </w:tcBorders>
            <w:vAlign w:val="center"/>
          </w:tcPr>
          <w:p>
            <w:pPr>
              <w:jc w:val="center"/>
              <w:rPr>
                <w:color w:val="000000" w:themeColor="text1"/>
                <w14:textFill>
                  <w14:solidFill>
                    <w14:schemeClr w14:val="tx1"/>
                  </w14:solidFill>
                </w14:textFill>
              </w:rPr>
            </w:pPr>
          </w:p>
          <w:p>
            <w:pPr>
              <w:pStyle w:val="553"/>
              <w:rPr>
                <w:color w:val="000000" w:themeColor="text1"/>
                <w14:textFill>
                  <w14:solidFill>
                    <w14:schemeClr w14:val="tx1"/>
                  </w14:solidFill>
                </w14:textFill>
              </w:rPr>
            </w:pPr>
            <w:r>
              <w:rPr>
                <w:rFonts w:hint="eastAsia"/>
                <w:color w:val="000000" w:themeColor="text1"/>
                <w14:textFill>
                  <w14:solidFill>
                    <w14:schemeClr w14:val="tx1"/>
                  </w14:solidFill>
                </w14:textFill>
              </w:rPr>
              <w:t>混合排污区水质监测点位示意图</w:t>
            </w:r>
          </w:p>
        </w:tc>
      </w:tr>
    </w:tbl>
    <w:p>
      <w:pPr>
        <w:pStyle w:val="384"/>
        <w:ind w:left="0" w:firstLine="0"/>
        <w:rPr>
          <w:rFonts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现状排污口周边海水水质情况表</w:t>
      </w:r>
    </w:p>
    <w:p>
      <w:pPr>
        <w:pStyle w:val="4"/>
        <w:rPr>
          <w:color w:val="000000" w:themeColor="text1"/>
          <w14:textFill>
            <w14:solidFill>
              <w14:schemeClr w14:val="tx1"/>
            </w14:solidFill>
          </w14:textFill>
        </w:rPr>
      </w:pPr>
      <w:r>
        <w:rPr>
          <w:color w:val="000000" w:themeColor="text1"/>
          <w14:textFill>
            <w14:solidFill>
              <w14:schemeClr w14:val="tx1"/>
            </w14:solidFill>
          </w14:textFill>
        </w:rPr>
        <w:t>环境空气质量现状调查与评价</w:t>
      </w:r>
      <w:bookmarkEnd w:id="158"/>
    </w:p>
    <w:p>
      <w:pPr>
        <w:pStyle w:val="5"/>
        <w:rPr>
          <w:color w:val="000000" w:themeColor="text1"/>
          <w14:textFill>
            <w14:solidFill>
              <w14:schemeClr w14:val="tx1"/>
            </w14:solidFill>
          </w14:textFill>
        </w:rPr>
      </w:pPr>
      <w:r>
        <w:rPr>
          <w:color w:val="000000" w:themeColor="text1"/>
          <w14:textFill>
            <w14:solidFill>
              <w14:schemeClr w14:val="tx1"/>
            </w14:solidFill>
          </w14:textFill>
        </w:rPr>
        <w:t>大气环境污染源调查</w:t>
      </w:r>
    </w:p>
    <w:p>
      <w:pPr>
        <w:pStyle w:val="1075"/>
        <w:ind w:firstLine="437"/>
        <w:rPr>
          <w:color w:val="000000" w:themeColor="text1"/>
          <w14:textFill>
            <w14:solidFill>
              <w14:schemeClr w14:val="tx1"/>
            </w14:solidFill>
          </w14:textFill>
        </w:rPr>
      </w:pPr>
      <w:r>
        <w:rPr>
          <w:color w:val="000000" w:themeColor="text1"/>
          <w14:textFill>
            <w14:solidFill>
              <w14:schemeClr w14:val="tx1"/>
            </w14:solidFill>
          </w14:textFill>
        </w:rPr>
        <w:t>本项目评价范围现状属</w:t>
      </w:r>
      <w:r>
        <w:rPr>
          <w:rFonts w:hint="eastAsia"/>
          <w:color w:val="000000" w:themeColor="text1"/>
          <w14:textFill>
            <w14:solidFill>
              <w14:schemeClr w14:val="tx1"/>
            </w14:solidFill>
          </w14:textFill>
        </w:rPr>
        <w:t>集装箱</w:t>
      </w:r>
      <w:r>
        <w:rPr>
          <w:color w:val="000000" w:themeColor="text1"/>
          <w14:textFill>
            <w14:solidFill>
              <w14:schemeClr w14:val="tx1"/>
            </w14:solidFill>
          </w14:textFill>
        </w:rPr>
        <w:t>港口物流区域，区域空气污染主要源于大榄坪南作业区</w:t>
      </w:r>
      <w:r>
        <w:rPr>
          <w:rFonts w:hint="eastAsia"/>
          <w:color w:val="000000" w:themeColor="text1"/>
          <w14:textFill>
            <w14:solidFill>
              <w14:schemeClr w14:val="tx1"/>
            </w14:solidFill>
          </w14:textFill>
        </w:rPr>
        <w:t>1-10号</w:t>
      </w:r>
      <w:r>
        <w:rPr>
          <w:color w:val="000000" w:themeColor="text1"/>
          <w14:textFill>
            <w14:solidFill>
              <w14:schemeClr w14:val="tx1"/>
            </w14:solidFill>
          </w14:textFill>
        </w:rPr>
        <w:t>已建泊位</w:t>
      </w:r>
      <w:r>
        <w:rPr>
          <w:rFonts w:hint="eastAsia"/>
          <w:color w:val="000000" w:themeColor="text1"/>
          <w14:textFill>
            <w14:solidFill>
              <w14:schemeClr w14:val="tx1"/>
            </w14:solidFill>
          </w14:textFill>
        </w:rPr>
        <w:t>集装箱码头装卸扬尘、道路</w:t>
      </w:r>
      <w:r>
        <w:rPr>
          <w:color w:val="000000" w:themeColor="text1"/>
          <w14:textFill>
            <w14:solidFill>
              <w14:schemeClr w14:val="tx1"/>
            </w14:solidFill>
          </w14:textFill>
        </w:rPr>
        <w:t>扬尘</w:t>
      </w:r>
      <w:r>
        <w:rPr>
          <w:rFonts w:hint="eastAsia"/>
          <w:color w:val="000000" w:themeColor="text1"/>
          <w14:textFill>
            <w14:solidFill>
              <w14:schemeClr w14:val="tx1"/>
            </w14:solidFill>
          </w14:textFill>
        </w:rPr>
        <w:t>及</w:t>
      </w:r>
      <w:r>
        <w:rPr>
          <w:color w:val="000000" w:themeColor="text1"/>
          <w14:textFill>
            <w14:solidFill>
              <w14:schemeClr w14:val="tx1"/>
            </w14:solidFill>
          </w14:textFill>
        </w:rPr>
        <w:t>交通运输汽车尾气等。其中</w:t>
      </w:r>
      <w:r>
        <w:rPr>
          <w:rFonts w:hint="eastAsia"/>
          <w:color w:val="000000" w:themeColor="text1"/>
          <w14:textFill>
            <w14:solidFill>
              <w14:schemeClr w14:val="tx1"/>
            </w14:solidFill>
          </w14:textFill>
        </w:rPr>
        <w:t>1-6号泊位为多用途泊位，码头以集装箱装卸任务为主，兼顾件杂货，废气污染物主要来源为装卸机械设备尾气排放的污染物，距离本项目场址最近约260m。7-10号已建泊位均为自动化集装箱码头，集装箱起重机等现有设备均采用电能，环境空气污染较小</w:t>
      </w:r>
      <w:r>
        <w:rPr>
          <w:color w:val="000000" w:themeColor="text1"/>
          <w14:textFill>
            <w14:solidFill>
              <w14:schemeClr w14:val="tx1"/>
            </w14:solidFill>
          </w14:textFill>
        </w:rPr>
        <w:t>。</w:t>
      </w:r>
    </w:p>
    <w:p>
      <w:pPr>
        <w:pStyle w:val="5"/>
        <w:rPr>
          <w:color w:val="000000" w:themeColor="text1"/>
          <w14:textFill>
            <w14:solidFill>
              <w14:schemeClr w14:val="tx1"/>
            </w14:solidFill>
          </w14:textFill>
        </w:rPr>
      </w:pPr>
      <w:bookmarkStart w:id="159" w:name="_Toc35629913"/>
      <w:r>
        <w:rPr>
          <w:color w:val="000000" w:themeColor="text1"/>
          <w14:textFill>
            <w14:solidFill>
              <w14:schemeClr w14:val="tx1"/>
            </w14:solidFill>
          </w14:textFill>
        </w:rPr>
        <w:t>环境空气达标区判断</w:t>
      </w:r>
      <w:bookmarkEnd w:id="159"/>
    </w:p>
    <w:p>
      <w:pPr>
        <w:pStyle w:val="1075"/>
        <w:ind w:firstLine="437"/>
        <w:rPr>
          <w:color w:val="000000" w:themeColor="text1"/>
          <w14:textFill>
            <w14:solidFill>
              <w14:schemeClr w14:val="tx1"/>
            </w14:solidFill>
          </w14:textFill>
        </w:rPr>
      </w:pPr>
      <w:r>
        <w:rPr>
          <w:color w:val="000000" w:themeColor="text1"/>
          <w14:textFill>
            <w14:solidFill>
              <w14:schemeClr w14:val="tx1"/>
            </w14:solidFill>
          </w14:textFill>
        </w:rPr>
        <w:t>根据《自治区生态环境厅关于通报202</w:t>
      </w:r>
      <w:r>
        <w:rPr>
          <w:rFonts w:hint="eastAsia"/>
          <w:color w:val="000000" w:themeColor="text1"/>
          <w14:textFill>
            <w14:solidFill>
              <w14:schemeClr w14:val="tx1"/>
            </w14:solidFill>
          </w14:textFill>
        </w:rPr>
        <w:t>3</w:t>
      </w:r>
      <w:r>
        <w:rPr>
          <w:color w:val="000000" w:themeColor="text1"/>
          <w14:textFill>
            <w14:solidFill>
              <w14:schemeClr w14:val="tx1"/>
            </w14:solidFill>
          </w14:textFill>
        </w:rPr>
        <w:t>年设区城市及各县（市、区）环境空气质量的函》（桂环函〔202</w:t>
      </w:r>
      <w:r>
        <w:rPr>
          <w:rFonts w:hint="eastAsia"/>
          <w:color w:val="000000" w:themeColor="text1"/>
          <w14:textFill>
            <w14:solidFill>
              <w14:schemeClr w14:val="tx1"/>
            </w14:solidFill>
          </w14:textFill>
        </w:rPr>
        <w:t>4</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58号</w:t>
      </w:r>
      <w:r>
        <w:rPr>
          <w:color w:val="000000" w:themeColor="text1"/>
          <w14:textFill>
            <w14:solidFill>
              <w14:schemeClr w14:val="tx1"/>
            </w14:solidFill>
          </w14:textFill>
        </w:rPr>
        <w:t>），项目位于钦州市，202</w:t>
      </w:r>
      <w:r>
        <w:rPr>
          <w:rFonts w:hint="eastAsia"/>
          <w:color w:val="000000" w:themeColor="text1"/>
          <w14:textFill>
            <w14:solidFill>
              <w14:schemeClr w14:val="tx1"/>
            </w14:solidFill>
          </w14:textFill>
        </w:rPr>
        <w:t>3</w:t>
      </w:r>
      <w:r>
        <w:rPr>
          <w:color w:val="000000" w:themeColor="text1"/>
          <w14:textFill>
            <w14:solidFill>
              <w14:schemeClr w14:val="tx1"/>
            </w14:solidFill>
          </w14:textFill>
        </w:rPr>
        <w:t>年SO</w:t>
      </w:r>
      <w:r>
        <w:rPr>
          <w:color w:val="000000" w:themeColor="text1"/>
          <w:vertAlign w:val="subscript"/>
          <w14:textFill>
            <w14:solidFill>
              <w14:schemeClr w14:val="tx1"/>
            </w14:solidFill>
          </w14:textFill>
        </w:rPr>
        <w:t>2</w:t>
      </w:r>
      <w:r>
        <w:rPr>
          <w:color w:val="000000" w:themeColor="text1"/>
          <w14:textFill>
            <w14:solidFill>
              <w14:schemeClr w14:val="tx1"/>
            </w14:solidFill>
          </w14:textFill>
        </w:rPr>
        <w:t>、NO</w:t>
      </w:r>
      <w:r>
        <w:rPr>
          <w:color w:val="000000" w:themeColor="text1"/>
          <w:vertAlign w:val="subscript"/>
          <w14:textFill>
            <w14:solidFill>
              <w14:schemeClr w14:val="tx1"/>
            </w14:solidFill>
          </w14:textFill>
        </w:rPr>
        <w:t>2</w:t>
      </w:r>
      <w:r>
        <w:rPr>
          <w:color w:val="000000" w:themeColor="text1"/>
          <w14:textFill>
            <w14:solidFill>
              <w14:schemeClr w14:val="tx1"/>
            </w14:solidFill>
          </w14:textFill>
        </w:rPr>
        <w:t>、PM</w:t>
      </w:r>
      <w:r>
        <w:rPr>
          <w:color w:val="000000" w:themeColor="text1"/>
          <w:vertAlign w:val="subscript"/>
          <w14:textFill>
            <w14:solidFill>
              <w14:schemeClr w14:val="tx1"/>
            </w14:solidFill>
          </w14:textFill>
        </w:rPr>
        <w:t>10</w:t>
      </w:r>
      <w:r>
        <w:rPr>
          <w:color w:val="000000" w:themeColor="text1"/>
          <w14:textFill>
            <w14:solidFill>
              <w14:schemeClr w14:val="tx1"/>
            </w14:solidFill>
          </w14:textFill>
        </w:rPr>
        <w:t>、PM</w:t>
      </w:r>
      <w:r>
        <w:rPr>
          <w:color w:val="000000" w:themeColor="text1"/>
          <w:vertAlign w:val="subscript"/>
          <w14:textFill>
            <w14:solidFill>
              <w14:schemeClr w14:val="tx1"/>
            </w14:solidFill>
          </w14:textFill>
        </w:rPr>
        <w:t>2.5</w:t>
      </w:r>
      <w:r>
        <w:rPr>
          <w:color w:val="000000" w:themeColor="text1"/>
          <w14:textFill>
            <w14:solidFill>
              <w14:schemeClr w14:val="tx1"/>
            </w14:solidFill>
          </w14:textFill>
        </w:rPr>
        <w:t>年均浓度分别为</w:t>
      </w:r>
      <w:r>
        <w:rPr>
          <w:rFonts w:hint="eastAsia"/>
          <w:color w:val="000000" w:themeColor="text1"/>
          <w14:textFill>
            <w14:solidFill>
              <w14:schemeClr w14:val="tx1"/>
            </w14:solidFill>
          </w14:textFill>
        </w:rPr>
        <w:t>8</w:t>
      </w:r>
      <w:r>
        <w:rPr>
          <w:color w:val="000000" w:themeColor="text1"/>
          <w14:textFill>
            <w14:solidFill>
              <w14:schemeClr w14:val="tx1"/>
            </w14:solidFill>
          </w14:textFill>
        </w:rPr>
        <w:t>ug/m</w:t>
      </w:r>
      <w:r>
        <w:rPr>
          <w:color w:val="000000" w:themeColor="text1"/>
          <w:vertAlign w:val="superscript"/>
          <w14:textFill>
            <w14:solidFill>
              <w14:schemeClr w14:val="tx1"/>
            </w14:solidFill>
          </w14:textFill>
        </w:rPr>
        <w:t>3</w:t>
      </w:r>
      <w:r>
        <w:rPr>
          <w:color w:val="000000" w:themeColor="text1"/>
          <w14:textFill>
            <w14:solidFill>
              <w14:schemeClr w14:val="tx1"/>
            </w14:solidFill>
          </w14:textFill>
        </w:rPr>
        <w:t>、1</w:t>
      </w:r>
      <w:r>
        <w:rPr>
          <w:rFonts w:hint="eastAsia"/>
          <w:color w:val="000000" w:themeColor="text1"/>
          <w14:textFill>
            <w14:solidFill>
              <w14:schemeClr w14:val="tx1"/>
            </w14:solidFill>
          </w14:textFill>
        </w:rPr>
        <w:t>9</w:t>
      </w:r>
      <w:r>
        <w:rPr>
          <w:color w:val="000000" w:themeColor="text1"/>
          <w14:textFill>
            <w14:solidFill>
              <w14:schemeClr w14:val="tx1"/>
            </w14:solidFill>
          </w14:textFill>
        </w:rPr>
        <w:t>ug/m</w:t>
      </w:r>
      <w:r>
        <w:rPr>
          <w:color w:val="000000" w:themeColor="text1"/>
          <w:vertAlign w:val="superscript"/>
          <w14:textFill>
            <w14:solidFill>
              <w14:schemeClr w14:val="tx1"/>
            </w14:solidFill>
          </w14:textFill>
        </w:rPr>
        <w:t>3</w:t>
      </w:r>
      <w:r>
        <w:rPr>
          <w:color w:val="000000" w:themeColor="text1"/>
          <w14:textFill>
            <w14:solidFill>
              <w14:schemeClr w14:val="tx1"/>
            </w14:solidFill>
          </w14:textFill>
        </w:rPr>
        <w:t>、44ug/m</w:t>
      </w:r>
      <w:r>
        <w:rPr>
          <w:color w:val="000000" w:themeColor="text1"/>
          <w:vertAlign w:val="superscript"/>
          <w14:textFill>
            <w14:solidFill>
              <w14:schemeClr w14:val="tx1"/>
            </w14:solidFill>
          </w14:textFill>
        </w:rPr>
        <w:t>3</w:t>
      </w:r>
      <w:r>
        <w:rPr>
          <w:color w:val="000000" w:themeColor="text1"/>
          <w14:textFill>
            <w14:solidFill>
              <w14:schemeClr w14:val="tx1"/>
            </w14:solidFill>
          </w14:textFill>
        </w:rPr>
        <w:t>、24.</w:t>
      </w:r>
      <w:r>
        <w:rPr>
          <w:rFonts w:hint="eastAsia"/>
          <w:color w:val="000000" w:themeColor="text1"/>
          <w14:textFill>
            <w14:solidFill>
              <w14:schemeClr w14:val="tx1"/>
            </w14:solidFill>
          </w14:textFill>
        </w:rPr>
        <w:t>3</w:t>
      </w:r>
      <w:r>
        <w:rPr>
          <w:color w:val="000000" w:themeColor="text1"/>
          <w14:textFill>
            <w14:solidFill>
              <w14:schemeClr w14:val="tx1"/>
            </w14:solidFill>
          </w14:textFill>
        </w:rPr>
        <w:t>ug/m</w:t>
      </w:r>
      <w:r>
        <w:rPr>
          <w:color w:val="000000" w:themeColor="text1"/>
          <w:vertAlign w:val="superscript"/>
          <w14:textFill>
            <w14:solidFill>
              <w14:schemeClr w14:val="tx1"/>
            </w14:solidFill>
          </w14:textFill>
        </w:rPr>
        <w:t>3</w:t>
      </w:r>
      <w:r>
        <w:rPr>
          <w:color w:val="000000" w:themeColor="text1"/>
          <w14:textFill>
            <w14:solidFill>
              <w14:schemeClr w14:val="tx1"/>
            </w14:solidFill>
          </w14:textFill>
        </w:rPr>
        <w:t>；CO 24小时平均第95百分位数为1.1mg/m</w:t>
      </w:r>
      <w:r>
        <w:rPr>
          <w:color w:val="000000" w:themeColor="text1"/>
          <w:vertAlign w:val="superscript"/>
          <w14:textFill>
            <w14:solidFill>
              <w14:schemeClr w14:val="tx1"/>
            </w14:solidFill>
          </w14:textFill>
        </w:rPr>
        <w:t>3</w:t>
      </w:r>
      <w:r>
        <w:rPr>
          <w:color w:val="000000" w:themeColor="text1"/>
          <w14:textFill>
            <w14:solidFill>
              <w14:schemeClr w14:val="tx1"/>
            </w14:solidFill>
          </w14:textFill>
        </w:rPr>
        <w:t>，O</w:t>
      </w:r>
      <w:r>
        <w:rPr>
          <w:color w:val="000000" w:themeColor="text1"/>
          <w:vertAlign w:val="subscript"/>
          <w14:textFill>
            <w14:solidFill>
              <w14:schemeClr w14:val="tx1"/>
            </w14:solidFill>
          </w14:textFill>
        </w:rPr>
        <w:t>3</w:t>
      </w:r>
      <w:r>
        <w:rPr>
          <w:color w:val="000000" w:themeColor="text1"/>
          <w14:textFill>
            <w14:solidFill>
              <w14:schemeClr w14:val="tx1"/>
            </w14:solidFill>
          </w14:textFill>
        </w:rPr>
        <w:t>日最大8小时平均第90百分位数为</w:t>
      </w:r>
      <w:r>
        <w:rPr>
          <w:rFonts w:hint="eastAsia"/>
          <w:color w:val="000000" w:themeColor="text1"/>
          <w14:textFill>
            <w14:solidFill>
              <w14:schemeClr w14:val="tx1"/>
            </w14:solidFill>
          </w14:textFill>
        </w:rPr>
        <w:t>118</w:t>
      </w:r>
      <w:r>
        <w:rPr>
          <w:color w:val="000000" w:themeColor="text1"/>
          <w14:textFill>
            <w14:solidFill>
              <w14:schemeClr w14:val="tx1"/>
            </w14:solidFill>
          </w14:textFill>
        </w:rPr>
        <w:t xml:space="preserve"> ug/m</w:t>
      </w:r>
      <w:r>
        <w:rPr>
          <w:color w:val="000000" w:themeColor="text1"/>
          <w:vertAlign w:val="superscript"/>
          <w14:textFill>
            <w14:solidFill>
              <w14:schemeClr w14:val="tx1"/>
            </w14:solidFill>
          </w14:textFill>
        </w:rPr>
        <w:t>3</w:t>
      </w:r>
      <w:r>
        <w:rPr>
          <w:color w:val="000000" w:themeColor="text1"/>
          <w14:textFill>
            <w14:solidFill>
              <w14:schemeClr w14:val="tx1"/>
            </w14:solidFill>
          </w14:textFill>
        </w:rPr>
        <w:t>；各污染物平均浓度均优于《环境空气质量标准》（GB3095-2012）中二级标准限值，202</w:t>
      </w:r>
      <w:r>
        <w:rPr>
          <w:rFonts w:hint="eastAsia"/>
          <w:color w:val="000000" w:themeColor="text1"/>
          <w14:textFill>
            <w14:solidFill>
              <w14:schemeClr w14:val="tx1"/>
            </w14:solidFill>
          </w14:textFill>
        </w:rPr>
        <w:t>3</w:t>
      </w:r>
      <w:r>
        <w:rPr>
          <w:color w:val="000000" w:themeColor="text1"/>
          <w14:textFill>
            <w14:solidFill>
              <w14:schemeClr w14:val="tx1"/>
            </w14:solidFill>
          </w14:textFill>
        </w:rPr>
        <w:t>年项目所在区域为环境空气达标区。</w:t>
      </w:r>
    </w:p>
    <w:p>
      <w:pPr>
        <w:pStyle w:val="5"/>
        <w:rPr>
          <w:color w:val="000000" w:themeColor="text1"/>
          <w14:textFill>
            <w14:solidFill>
              <w14:schemeClr w14:val="tx1"/>
            </w14:solidFill>
          </w14:textFill>
        </w:rPr>
      </w:pPr>
      <w:bookmarkStart w:id="160" w:name="_Toc35629914"/>
      <w:r>
        <w:rPr>
          <w:color w:val="000000" w:themeColor="text1"/>
          <w14:textFill>
            <w14:solidFill>
              <w14:schemeClr w14:val="tx1"/>
            </w14:solidFill>
          </w14:textFill>
        </w:rPr>
        <w:t>环境空气现状补充监测及评价</w:t>
      </w:r>
      <w:bookmarkEnd w:id="160"/>
    </w:p>
    <w:p>
      <w:pPr>
        <w:pStyle w:val="1075"/>
        <w:ind w:firstLine="437"/>
        <w:rPr>
          <w:color w:val="000000" w:themeColor="text1"/>
          <w14:textFill>
            <w14:solidFill>
              <w14:schemeClr w14:val="tx1"/>
            </w14:solidFill>
          </w14:textFill>
        </w:rPr>
      </w:pPr>
      <w:r>
        <w:rPr>
          <w:rFonts w:hint="eastAsia"/>
          <w:color w:val="000000" w:themeColor="text1"/>
          <w14:textFill>
            <w14:solidFill>
              <w14:schemeClr w14:val="tx1"/>
            </w14:solidFill>
          </w14:textFill>
        </w:rPr>
        <w:t>本项目为现有9号10号泊位工程扩建项目，本次评价引用临近9号10号泊位的《大榄坪南作业区7#、8#泊位新增危险货物集装箱项目》中对本项目西侧约800m处7号8号泊位厂界及周边大气环境敏感点监测结果（附件16），7#、8#泊位与本项目均为自动化集装箱码头，共同由广西钦州保税港区盛港码头有限公司运营，码头前沿装卸设备、堆场装卸运输设备均与本项目一致，监测结果可类比本项目工程所在区域。</w:t>
      </w:r>
    </w:p>
    <w:p>
      <w:pPr>
        <w:pStyle w:val="6"/>
        <w:rPr>
          <w:color w:val="000000" w:themeColor="text1"/>
          <w14:textFill>
            <w14:solidFill>
              <w14:schemeClr w14:val="tx1"/>
            </w14:solidFill>
          </w14:textFill>
        </w:rPr>
      </w:pPr>
      <w:r>
        <w:rPr>
          <w:color w:val="000000" w:themeColor="text1"/>
          <w14:textFill>
            <w14:solidFill>
              <w14:schemeClr w14:val="tx1"/>
            </w14:solidFill>
          </w14:textFill>
        </w:rPr>
        <w:t>监测点布设</w:t>
      </w:r>
    </w:p>
    <w:p>
      <w:pPr>
        <w:ind w:firstLine="438" w:firstLineChars="200"/>
        <w:rPr>
          <w:color w:val="000000" w:themeColor="text1"/>
          <w:kern w:val="0"/>
          <w:u w:val="single"/>
          <w14:textFill>
            <w14:solidFill>
              <w14:schemeClr w14:val="tx1"/>
            </w14:solidFill>
          </w14:textFill>
        </w:rPr>
      </w:pPr>
      <w:r>
        <w:rPr>
          <w:rFonts w:hint="eastAsia"/>
          <w:color w:val="000000" w:themeColor="text1"/>
          <w:kern w:val="0"/>
          <w14:textFill>
            <w14:solidFill>
              <w14:schemeClr w14:val="tx1"/>
            </w14:solidFill>
          </w14:textFill>
        </w:rPr>
        <w:t>为</w:t>
      </w:r>
      <w:r>
        <w:rPr>
          <w:color w:val="000000" w:themeColor="text1"/>
          <w:kern w:val="0"/>
          <w14:textFill>
            <w14:solidFill>
              <w14:schemeClr w14:val="tx1"/>
            </w14:solidFill>
          </w14:textFill>
        </w:rPr>
        <w:t>查明项目工程区域环境空气质量，对</w:t>
      </w:r>
      <w:r>
        <w:rPr>
          <w:rFonts w:hint="eastAsia"/>
          <w:color w:val="000000" w:themeColor="text1"/>
          <w:kern w:val="0"/>
          <w14:textFill>
            <w14:solidFill>
              <w14:schemeClr w14:val="tx1"/>
            </w14:solidFill>
          </w14:textFill>
        </w:rPr>
        <w:t>7#、8#泊位厂界下风向、敏感点联检大楼进行监测。</w:t>
      </w:r>
    </w:p>
    <w:p>
      <w:pPr>
        <w:pStyle w:val="384"/>
        <w:ind w:left="0" w:firstLine="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大气环境现状监测点位</w:t>
      </w:r>
    </w:p>
    <w:tbl>
      <w:tblPr>
        <w:tblStyle w:val="88"/>
        <w:tblW w:w="8528" w:type="dxa"/>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819"/>
        <w:gridCol w:w="3399"/>
        <w:gridCol w:w="1700"/>
        <w:gridCol w:w="2610"/>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blHeader/>
        </w:trPr>
        <w:tc>
          <w:tcPr>
            <w:tcW w:w="819" w:type="dxa"/>
            <w:vAlign w:val="center"/>
          </w:tcPr>
          <w:p>
            <w:pPr>
              <w:pStyle w:val="2001"/>
            </w:pPr>
            <w:r>
              <w:t>编号</w:t>
            </w:r>
          </w:p>
        </w:tc>
        <w:tc>
          <w:tcPr>
            <w:tcW w:w="3399" w:type="dxa"/>
            <w:vAlign w:val="center"/>
          </w:tcPr>
          <w:p>
            <w:pPr>
              <w:pStyle w:val="2001"/>
            </w:pPr>
            <w:r>
              <w:t>监测点位</w:t>
            </w:r>
          </w:p>
        </w:tc>
        <w:tc>
          <w:tcPr>
            <w:tcW w:w="1700" w:type="dxa"/>
            <w:vAlign w:val="center"/>
          </w:tcPr>
          <w:p>
            <w:pPr>
              <w:pStyle w:val="2001"/>
            </w:pPr>
            <w:r>
              <w:t>大气环境功能区</w:t>
            </w:r>
          </w:p>
        </w:tc>
        <w:tc>
          <w:tcPr>
            <w:tcW w:w="2610" w:type="dxa"/>
            <w:vAlign w:val="center"/>
          </w:tcPr>
          <w:p>
            <w:pPr>
              <w:pStyle w:val="2001"/>
            </w:pPr>
            <w:r>
              <w:rPr>
                <w:rFonts w:hint="eastAsia"/>
              </w:rPr>
              <w:t>执行标准</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c>
          <w:tcPr>
            <w:tcW w:w="819" w:type="dxa"/>
            <w:vAlign w:val="center"/>
          </w:tcPr>
          <w:p>
            <w:pPr>
              <w:pStyle w:val="2001"/>
            </w:pPr>
            <w:r>
              <w:t>A</w:t>
            </w:r>
            <w:r>
              <w:rPr>
                <w:rFonts w:hint="eastAsia"/>
              </w:rPr>
              <w:t>1</w:t>
            </w:r>
          </w:p>
        </w:tc>
        <w:tc>
          <w:tcPr>
            <w:tcW w:w="3399" w:type="dxa"/>
            <w:vAlign w:val="center"/>
          </w:tcPr>
          <w:p>
            <w:pPr>
              <w:pStyle w:val="2001"/>
            </w:pPr>
            <w:r>
              <w:rPr>
                <w:rFonts w:hint="eastAsia"/>
              </w:rPr>
              <w:t>7#、8#泊位场址下风向</w:t>
            </w:r>
          </w:p>
        </w:tc>
        <w:tc>
          <w:tcPr>
            <w:tcW w:w="1700" w:type="dxa"/>
            <w:vAlign w:val="center"/>
          </w:tcPr>
          <w:p>
            <w:pPr>
              <w:pStyle w:val="2001"/>
            </w:pPr>
            <w:r>
              <w:t>二类</w:t>
            </w:r>
          </w:p>
        </w:tc>
        <w:tc>
          <w:tcPr>
            <w:tcW w:w="2610" w:type="dxa"/>
            <w:vMerge w:val="restart"/>
            <w:vAlign w:val="center"/>
          </w:tcPr>
          <w:p>
            <w:pPr>
              <w:pStyle w:val="2001"/>
            </w:pPr>
            <w:r>
              <w:t>《环境空气质量标准》(GB3095-2012</w:t>
            </w:r>
            <w:r>
              <w:rPr>
                <w:rFonts w:hint="eastAsia"/>
              </w:rPr>
              <w:t>）</w:t>
            </w:r>
            <w:r>
              <w:t>二级</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c>
          <w:tcPr>
            <w:tcW w:w="819" w:type="dxa"/>
            <w:vAlign w:val="center"/>
          </w:tcPr>
          <w:p>
            <w:pPr>
              <w:pStyle w:val="2001"/>
            </w:pPr>
            <w:r>
              <w:rPr>
                <w:rFonts w:hint="eastAsia"/>
              </w:rPr>
              <w:t>A2</w:t>
            </w:r>
          </w:p>
        </w:tc>
        <w:tc>
          <w:tcPr>
            <w:tcW w:w="3399" w:type="dxa"/>
            <w:vAlign w:val="center"/>
          </w:tcPr>
          <w:p>
            <w:pPr>
              <w:pStyle w:val="2001"/>
            </w:pPr>
            <w:r>
              <w:rPr>
                <w:rFonts w:hint="eastAsia"/>
              </w:rPr>
              <w:t>联检大楼</w:t>
            </w:r>
          </w:p>
        </w:tc>
        <w:tc>
          <w:tcPr>
            <w:tcW w:w="1700" w:type="dxa"/>
            <w:vAlign w:val="center"/>
          </w:tcPr>
          <w:p>
            <w:pPr>
              <w:pStyle w:val="2001"/>
            </w:pPr>
            <w:r>
              <w:t>二类</w:t>
            </w:r>
          </w:p>
        </w:tc>
        <w:tc>
          <w:tcPr>
            <w:tcW w:w="2610" w:type="dxa"/>
            <w:vMerge w:val="continue"/>
            <w:vAlign w:val="center"/>
          </w:tcPr>
          <w:p>
            <w:pPr>
              <w:pStyle w:val="2001"/>
            </w:pPr>
          </w:p>
        </w:tc>
      </w:tr>
    </w:tbl>
    <w:p>
      <w:pPr>
        <w:pStyle w:val="384"/>
        <w:numPr>
          <w:ilvl w:val="0"/>
          <w:numId w:val="0"/>
        </w:numPr>
        <w:rPr>
          <w:rFonts w:cs="Times New Roman"/>
          <w:color w:val="000000" w:themeColor="text1"/>
          <w14:textFill>
            <w14:solidFill>
              <w14:schemeClr w14:val="tx1"/>
            </w14:solidFill>
          </w14:textFill>
        </w:rPr>
      </w:pPr>
    </w:p>
    <w:tbl>
      <w:tblPr>
        <w:tblStyle w:val="89"/>
        <w:tblW w:w="852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52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8528" w:type="dxa"/>
            <w:tcBorders>
              <w:top w:val="nil"/>
              <w:left w:val="nil"/>
              <w:bottom w:val="nil"/>
              <w:right w:val="nil"/>
            </w:tcBorders>
          </w:tcPr>
          <w:p>
            <w:pPr>
              <w:pStyle w:val="384"/>
              <w:numPr>
                <w:ilvl w:val="0"/>
                <w:numId w:val="0"/>
              </w:numPr>
              <w:rPr>
                <w:rFonts w:cs="Times New Roman"/>
                <w:color w:val="000000" w:themeColor="text1"/>
                <w14:textFill>
                  <w14:solidFill>
                    <w14:schemeClr w14:val="tx1"/>
                  </w14:solidFill>
                </w14:textFill>
              </w:rPr>
            </w:pPr>
          </w:p>
          <w:p>
            <w:pPr>
              <w:pStyle w:val="553"/>
              <w:rPr>
                <w:color w:val="000000" w:themeColor="text1"/>
                <w14:textFill>
                  <w14:solidFill>
                    <w14:schemeClr w14:val="tx1"/>
                  </w14:solidFill>
                </w14:textFill>
              </w:rPr>
            </w:pPr>
            <w:r>
              <w:rPr>
                <w:rFonts w:hint="eastAsia"/>
                <w:color w:val="000000" w:themeColor="text1"/>
                <w14:textFill>
                  <w14:solidFill>
                    <w14:schemeClr w14:val="tx1"/>
                  </w14:solidFill>
                </w14:textFill>
              </w:rPr>
              <w:t>9号10号泊位现有工程</w:t>
            </w:r>
            <w:r>
              <w:rPr>
                <w:color w:val="000000" w:themeColor="text1"/>
                <w14:textFill>
                  <w14:solidFill>
                    <w14:schemeClr w14:val="tx1"/>
                  </w14:solidFill>
                </w14:textFill>
              </w:rPr>
              <w:t>内容平面示意图</w:t>
            </w:r>
          </w:p>
        </w:tc>
      </w:tr>
    </w:tbl>
    <w:p>
      <w:pPr>
        <w:pStyle w:val="6"/>
        <w:rPr>
          <w:color w:val="000000" w:themeColor="text1"/>
          <w14:textFill>
            <w14:solidFill>
              <w14:schemeClr w14:val="tx1"/>
            </w14:solidFill>
          </w14:textFill>
        </w:rPr>
      </w:pPr>
      <w:r>
        <w:rPr>
          <w:color w:val="000000" w:themeColor="text1"/>
          <w14:textFill>
            <w14:solidFill>
              <w14:schemeClr w14:val="tx1"/>
            </w14:solidFill>
          </w14:textFill>
        </w:rPr>
        <w:t>监测时间及方法</w:t>
      </w:r>
    </w:p>
    <w:p>
      <w:pPr>
        <w:pStyle w:val="1075"/>
        <w:ind w:firstLine="437"/>
        <w:rPr>
          <w:color w:val="000000" w:themeColor="text1"/>
          <w14:textFill>
            <w14:solidFill>
              <w14:schemeClr w14:val="tx1"/>
            </w14:solidFill>
          </w14:textFill>
        </w:rPr>
      </w:pPr>
      <w:r>
        <w:rPr>
          <w:color w:val="000000" w:themeColor="text1"/>
          <w14:textFill>
            <w14:solidFill>
              <w14:schemeClr w14:val="tx1"/>
            </w14:solidFill>
          </w14:textFill>
        </w:rPr>
        <w:t>广西交通环境监测中心站</w:t>
      </w:r>
      <w:r>
        <w:rPr>
          <w:rFonts w:hint="eastAsia"/>
          <w:color w:val="000000" w:themeColor="text1"/>
          <w14:textFill>
            <w14:solidFill>
              <w14:schemeClr w14:val="tx1"/>
            </w14:solidFill>
          </w14:textFill>
        </w:rPr>
        <w:t>于</w:t>
      </w:r>
      <w:r>
        <w:rPr>
          <w:rFonts w:hint="eastAsia"/>
          <w:color w:val="000000" w:themeColor="text1"/>
          <w:kern w:val="0"/>
          <w14:textFill>
            <w14:solidFill>
              <w14:schemeClr w14:val="tx1"/>
            </w14:solidFill>
          </w14:textFill>
        </w:rPr>
        <w:t>2024年6月1日～6月7日对</w:t>
      </w:r>
      <w:r>
        <w:rPr>
          <w:color w:val="000000" w:themeColor="text1"/>
          <w:kern w:val="0"/>
          <w14:textFill>
            <w14:solidFill>
              <w14:schemeClr w14:val="tx1"/>
            </w14:solidFill>
          </w14:textFill>
        </w:rPr>
        <w:t>区域环境空气质量监测不包含的</w:t>
      </w:r>
      <w:r>
        <w:rPr>
          <w:rFonts w:hint="eastAsia"/>
          <w:color w:val="000000" w:themeColor="text1"/>
          <w:kern w:val="0"/>
          <w14:textFill>
            <w14:solidFill>
              <w14:schemeClr w14:val="tx1"/>
            </w14:solidFill>
          </w14:textFill>
        </w:rPr>
        <w:t>SO</w:t>
      </w:r>
      <w:r>
        <w:rPr>
          <w:rFonts w:hint="eastAsia"/>
          <w:color w:val="000000" w:themeColor="text1"/>
          <w:kern w:val="0"/>
          <w:vertAlign w:val="subscript"/>
          <w14:textFill>
            <w14:solidFill>
              <w14:schemeClr w14:val="tx1"/>
            </w14:solidFill>
          </w14:textFill>
        </w:rPr>
        <w:t>2</w:t>
      </w:r>
      <w:r>
        <w:rPr>
          <w:rFonts w:hint="eastAsia"/>
          <w:color w:val="000000" w:themeColor="text1"/>
          <w:kern w:val="0"/>
          <w14:textFill>
            <w14:solidFill>
              <w14:schemeClr w14:val="tx1"/>
            </w14:solidFill>
          </w14:textFill>
        </w:rPr>
        <w:t>、NO</w:t>
      </w:r>
      <w:r>
        <w:rPr>
          <w:rFonts w:hint="eastAsia"/>
          <w:color w:val="000000" w:themeColor="text1"/>
          <w:kern w:val="0"/>
          <w:vertAlign w:val="subscript"/>
          <w14:textFill>
            <w14:solidFill>
              <w14:schemeClr w14:val="tx1"/>
            </w14:solidFill>
          </w14:textFill>
        </w:rPr>
        <w:t>2</w:t>
      </w:r>
      <w:r>
        <w:rPr>
          <w:rFonts w:hint="eastAsia"/>
          <w:color w:val="000000" w:themeColor="text1"/>
          <w:kern w:val="0"/>
          <w14:textFill>
            <w14:solidFill>
              <w14:schemeClr w14:val="tx1"/>
            </w14:solidFill>
          </w14:textFill>
        </w:rPr>
        <w:t>、CO及TSP进行补充监测，</w:t>
      </w:r>
      <w:r>
        <w:rPr>
          <w:color w:val="000000" w:themeColor="text1"/>
          <w14:textFill>
            <w14:solidFill>
              <w14:schemeClr w14:val="tx1"/>
            </w14:solidFill>
          </w14:textFill>
        </w:rPr>
        <w:t>连续监测</w:t>
      </w:r>
      <w:r>
        <w:rPr>
          <w:rFonts w:hint="eastAsia"/>
          <w:color w:val="000000" w:themeColor="text1"/>
          <w14:textFill>
            <w14:solidFill>
              <w14:schemeClr w14:val="tx1"/>
            </w14:solidFill>
          </w14:textFill>
        </w:rPr>
        <w:t>7</w:t>
      </w:r>
      <w:r>
        <w:rPr>
          <w:color w:val="000000" w:themeColor="text1"/>
          <w14:textFill>
            <w14:solidFill>
              <w14:schemeClr w14:val="tx1"/>
            </w14:solidFill>
          </w14:textFill>
        </w:rPr>
        <w:t>天，每天</w:t>
      </w:r>
      <w:r>
        <w:rPr>
          <w:rFonts w:hint="eastAsia"/>
          <w:color w:val="000000" w:themeColor="text1"/>
          <w14:textFill>
            <w14:solidFill>
              <w14:schemeClr w14:val="tx1"/>
            </w14:solidFill>
          </w14:textFill>
        </w:rPr>
        <w:t>连续采样24h</w:t>
      </w:r>
      <w:r>
        <w:rPr>
          <w:color w:val="000000" w:themeColor="text1"/>
          <w14:textFill>
            <w14:solidFill>
              <w14:schemeClr w14:val="tx1"/>
            </w14:solidFill>
          </w14:textFill>
        </w:rPr>
        <w:t>，并同时记录温度、风向、风速。</w:t>
      </w:r>
    </w:p>
    <w:p>
      <w:pPr>
        <w:keepNext/>
        <w:keepLines/>
        <w:numPr>
          <w:ilvl w:val="2"/>
          <w:numId w:val="1"/>
        </w:numPr>
        <w:spacing w:after="120"/>
        <w:ind w:left="0" w:firstLine="0"/>
        <w:outlineLvl w:val="2"/>
        <w:rPr>
          <w:b/>
          <w:bCs/>
          <w:color w:val="000000" w:themeColor="text1"/>
          <w:sz w:val="30"/>
          <w:szCs w:val="32"/>
          <w:lang w:val="zh-CN"/>
          <w14:textFill>
            <w14:solidFill>
              <w14:schemeClr w14:val="tx1"/>
            </w14:solidFill>
          </w14:textFill>
        </w:rPr>
      </w:pPr>
      <w:r>
        <w:rPr>
          <w:b/>
          <w:bCs/>
          <w:color w:val="000000" w:themeColor="text1"/>
          <w:sz w:val="30"/>
          <w:szCs w:val="32"/>
          <w:lang w:val="zh-CN"/>
          <w14:textFill>
            <w14:solidFill>
              <w14:schemeClr w14:val="tx1"/>
            </w14:solidFill>
          </w14:textFill>
        </w:rPr>
        <w:t>现状评价标准及方法</w:t>
      </w:r>
    </w:p>
    <w:p>
      <w:pPr>
        <w:pStyle w:val="1075"/>
        <w:ind w:firstLine="437"/>
        <w:rPr>
          <w:color w:val="000000" w:themeColor="text1"/>
          <w14:textFill>
            <w14:solidFill>
              <w14:schemeClr w14:val="tx1"/>
            </w14:solidFill>
          </w14:textFill>
        </w:rPr>
      </w:pPr>
      <w:r>
        <w:rPr>
          <w:color w:val="000000" w:themeColor="text1"/>
          <w14:textFill>
            <w14:solidFill>
              <w14:schemeClr w14:val="tx1"/>
            </w14:solidFill>
          </w14:textFill>
        </w:rPr>
        <w:t>评价标准采用《环境空气质量标准》（GB3095-2012）中二级标准。</w:t>
      </w:r>
    </w:p>
    <w:p>
      <w:pPr>
        <w:adjustRightInd w:val="0"/>
        <w:ind w:firstLine="438" w:firstLineChars="200"/>
        <w:textAlignment w:val="baseline"/>
        <w:rPr>
          <w:color w:val="000000" w:themeColor="text1"/>
          <w:kern w:val="0"/>
          <w14:textFill>
            <w14:solidFill>
              <w14:schemeClr w14:val="tx1"/>
            </w14:solidFill>
          </w14:textFill>
        </w:rPr>
      </w:pPr>
      <w:r>
        <w:rPr>
          <w:color w:val="000000" w:themeColor="text1"/>
          <w:kern w:val="0"/>
          <w14:textFill>
            <w14:solidFill>
              <w14:schemeClr w14:val="tx1"/>
            </w14:solidFill>
          </w14:textFill>
        </w:rPr>
        <w:t>评价方法采用单因子指数法。</w:t>
      </w:r>
    </w:p>
    <w:p>
      <w:pPr>
        <w:adjustRightInd w:val="0"/>
        <w:ind w:firstLine="438" w:firstLineChars="200"/>
        <w:jc w:val="center"/>
        <w:textAlignment w:val="baseline"/>
        <w:rPr>
          <w:color w:val="000000" w:themeColor="text1"/>
          <w:kern w:val="0"/>
          <w14:textFill>
            <w14:solidFill>
              <w14:schemeClr w14:val="tx1"/>
            </w14:solidFill>
          </w14:textFill>
        </w:rPr>
      </w:pPr>
      <w:r>
        <w:rPr>
          <w:color w:val="000000" w:themeColor="text1"/>
          <w:kern w:val="0"/>
          <w14:textFill>
            <w14:solidFill>
              <w14:schemeClr w14:val="tx1"/>
            </w14:solidFill>
          </w14:textFill>
        </w:rPr>
        <w:t>公式为：P</w:t>
      </w:r>
      <w:r>
        <w:rPr>
          <w:color w:val="000000" w:themeColor="text1"/>
          <w:kern w:val="0"/>
          <w:vertAlign w:val="subscript"/>
          <w14:textFill>
            <w14:solidFill>
              <w14:schemeClr w14:val="tx1"/>
            </w14:solidFill>
          </w14:textFill>
        </w:rPr>
        <w:t>i</w:t>
      </w:r>
      <w:r>
        <w:rPr>
          <w:color w:val="000000" w:themeColor="text1"/>
          <w:kern w:val="0"/>
          <w14:textFill>
            <w14:solidFill>
              <w14:schemeClr w14:val="tx1"/>
            </w14:solidFill>
          </w14:textFill>
        </w:rPr>
        <w:t>＝C</w:t>
      </w:r>
      <w:r>
        <w:rPr>
          <w:color w:val="000000" w:themeColor="text1"/>
          <w:kern w:val="0"/>
          <w:vertAlign w:val="subscript"/>
          <w14:textFill>
            <w14:solidFill>
              <w14:schemeClr w14:val="tx1"/>
            </w14:solidFill>
          </w14:textFill>
        </w:rPr>
        <w:t>i</w:t>
      </w:r>
      <w:r>
        <w:rPr>
          <w:color w:val="000000" w:themeColor="text1"/>
          <w:kern w:val="0"/>
          <w14:textFill>
            <w14:solidFill>
              <w14:schemeClr w14:val="tx1"/>
            </w14:solidFill>
          </w14:textFill>
        </w:rPr>
        <w:t>／S</w:t>
      </w:r>
      <w:r>
        <w:rPr>
          <w:color w:val="000000" w:themeColor="text1"/>
          <w:kern w:val="0"/>
          <w:vertAlign w:val="subscript"/>
          <w14:textFill>
            <w14:solidFill>
              <w14:schemeClr w14:val="tx1"/>
            </w14:solidFill>
          </w14:textFill>
        </w:rPr>
        <w:t>i</w:t>
      </w:r>
    </w:p>
    <w:p>
      <w:pPr>
        <w:adjustRightInd w:val="0"/>
        <w:ind w:firstLine="438" w:firstLineChars="200"/>
        <w:textAlignment w:val="baseline"/>
        <w:rPr>
          <w:color w:val="000000" w:themeColor="text1"/>
          <w:kern w:val="0"/>
          <w14:textFill>
            <w14:solidFill>
              <w14:schemeClr w14:val="tx1"/>
            </w14:solidFill>
          </w14:textFill>
        </w:rPr>
      </w:pPr>
      <w:r>
        <w:rPr>
          <w:color w:val="000000" w:themeColor="text1"/>
          <w:kern w:val="0"/>
          <w14:textFill>
            <w14:solidFill>
              <w14:schemeClr w14:val="tx1"/>
            </w14:solidFill>
          </w14:textFill>
        </w:rPr>
        <w:t>式中：</w:t>
      </w:r>
      <w:r>
        <w:rPr>
          <w:iCs/>
          <w:color w:val="000000" w:themeColor="text1"/>
          <w:kern w:val="0"/>
          <w14:textFill>
            <w14:solidFill>
              <w14:schemeClr w14:val="tx1"/>
            </w14:solidFill>
          </w14:textFill>
        </w:rPr>
        <w:t>P</w:t>
      </w:r>
      <w:r>
        <w:rPr>
          <w:iCs/>
          <w:color w:val="000000" w:themeColor="text1"/>
          <w:kern w:val="0"/>
          <w:vertAlign w:val="subscript"/>
          <w14:textFill>
            <w14:solidFill>
              <w14:schemeClr w14:val="tx1"/>
            </w14:solidFill>
          </w14:textFill>
        </w:rPr>
        <w:t>i</w:t>
      </w:r>
      <w:r>
        <w:rPr>
          <w:color w:val="000000" w:themeColor="text1"/>
          <w:kern w:val="0"/>
          <w14:textFill>
            <w14:solidFill>
              <w14:schemeClr w14:val="tx1"/>
            </w14:solidFill>
          </w14:textFill>
        </w:rPr>
        <w:t>——某污染物的单项质量指数；</w:t>
      </w:r>
    </w:p>
    <w:p>
      <w:pPr>
        <w:adjustRightInd w:val="0"/>
        <w:ind w:firstLine="438" w:firstLineChars="200"/>
        <w:textAlignment w:val="baseline"/>
        <w:rPr>
          <w:color w:val="000000" w:themeColor="text1"/>
          <w:kern w:val="0"/>
          <w14:textFill>
            <w14:solidFill>
              <w14:schemeClr w14:val="tx1"/>
            </w14:solidFill>
          </w14:textFill>
        </w:rPr>
      </w:pPr>
      <w:r>
        <w:rPr>
          <w:color w:val="000000" w:themeColor="text1"/>
          <w:kern w:val="0"/>
          <w14:textFill>
            <w14:solidFill>
              <w14:schemeClr w14:val="tx1"/>
            </w14:solidFill>
          </w14:textFill>
        </w:rPr>
        <w:t xml:space="preserve">      </w:t>
      </w:r>
      <w:r>
        <w:rPr>
          <w:iCs/>
          <w:color w:val="000000" w:themeColor="text1"/>
          <w:kern w:val="0"/>
          <w14:textFill>
            <w14:solidFill>
              <w14:schemeClr w14:val="tx1"/>
            </w14:solidFill>
          </w14:textFill>
        </w:rPr>
        <w:t>C</w:t>
      </w:r>
      <w:r>
        <w:rPr>
          <w:iCs/>
          <w:color w:val="000000" w:themeColor="text1"/>
          <w:kern w:val="0"/>
          <w:vertAlign w:val="subscript"/>
          <w14:textFill>
            <w14:solidFill>
              <w14:schemeClr w14:val="tx1"/>
            </w14:solidFill>
          </w14:textFill>
        </w:rPr>
        <w:t>i</w:t>
      </w:r>
      <w:r>
        <w:rPr>
          <w:color w:val="000000" w:themeColor="text1"/>
          <w:kern w:val="0"/>
          <w14:textFill>
            <w14:solidFill>
              <w14:schemeClr w14:val="tx1"/>
            </w14:solidFill>
          </w14:textFill>
        </w:rPr>
        <w:t>——某污染物的实测浓度，mg/m</w:t>
      </w:r>
      <w:r>
        <w:rPr>
          <w:color w:val="000000" w:themeColor="text1"/>
          <w:kern w:val="0"/>
          <w:vertAlign w:val="superscript"/>
          <w14:textFill>
            <w14:solidFill>
              <w14:schemeClr w14:val="tx1"/>
            </w14:solidFill>
          </w14:textFill>
        </w:rPr>
        <w:t>3</w:t>
      </w:r>
      <w:r>
        <w:rPr>
          <w:color w:val="000000" w:themeColor="text1"/>
          <w:kern w:val="0"/>
          <w14:textFill>
            <w14:solidFill>
              <w14:schemeClr w14:val="tx1"/>
            </w14:solidFill>
          </w14:textFill>
        </w:rPr>
        <w:t>；</w:t>
      </w:r>
    </w:p>
    <w:p>
      <w:pPr>
        <w:adjustRightInd w:val="0"/>
        <w:ind w:firstLine="438" w:firstLineChars="200"/>
        <w:textAlignment w:val="baseline"/>
        <w:rPr>
          <w:color w:val="000000" w:themeColor="text1"/>
          <w14:textFill>
            <w14:solidFill>
              <w14:schemeClr w14:val="tx1"/>
            </w14:solidFill>
          </w14:textFill>
        </w:rPr>
      </w:pPr>
      <w:r>
        <w:rPr>
          <w:color w:val="000000" w:themeColor="text1"/>
          <w:kern w:val="0"/>
          <w14:textFill>
            <w14:solidFill>
              <w14:schemeClr w14:val="tx1"/>
            </w14:solidFill>
          </w14:textFill>
        </w:rPr>
        <w:t xml:space="preserve">      </w:t>
      </w:r>
      <w:r>
        <w:rPr>
          <w:iCs/>
          <w:color w:val="000000" w:themeColor="text1"/>
          <w:kern w:val="0"/>
          <w14:textFill>
            <w14:solidFill>
              <w14:schemeClr w14:val="tx1"/>
            </w14:solidFill>
          </w14:textFill>
        </w:rPr>
        <w:t>S</w:t>
      </w:r>
      <w:r>
        <w:rPr>
          <w:iCs/>
          <w:color w:val="000000" w:themeColor="text1"/>
          <w:kern w:val="0"/>
          <w:vertAlign w:val="subscript"/>
          <w14:textFill>
            <w14:solidFill>
              <w14:schemeClr w14:val="tx1"/>
            </w14:solidFill>
          </w14:textFill>
        </w:rPr>
        <w:t>i</w:t>
      </w:r>
      <w:r>
        <w:rPr>
          <w:color w:val="000000" w:themeColor="text1"/>
          <w:kern w:val="0"/>
          <w14:textFill>
            <w14:solidFill>
              <w14:schemeClr w14:val="tx1"/>
            </w14:solidFill>
          </w14:textFill>
        </w:rPr>
        <w:t>——某污染物的评价标准限值，mg/m</w:t>
      </w:r>
      <w:r>
        <w:rPr>
          <w:color w:val="000000" w:themeColor="text1"/>
          <w:kern w:val="0"/>
          <w:vertAlign w:val="superscript"/>
          <w14:textFill>
            <w14:solidFill>
              <w14:schemeClr w14:val="tx1"/>
            </w14:solidFill>
          </w14:textFill>
        </w:rPr>
        <w:t>3</w:t>
      </w:r>
      <w:r>
        <w:rPr>
          <w:color w:val="000000" w:themeColor="text1"/>
          <w:kern w:val="0"/>
          <w14:textFill>
            <w14:solidFill>
              <w14:schemeClr w14:val="tx1"/>
            </w14:solidFill>
          </w14:textFill>
        </w:rPr>
        <w:t>。</w:t>
      </w:r>
    </w:p>
    <w:p>
      <w:pPr>
        <w:keepNext/>
        <w:keepLines/>
        <w:numPr>
          <w:ilvl w:val="2"/>
          <w:numId w:val="1"/>
        </w:numPr>
        <w:spacing w:after="120"/>
        <w:ind w:left="0" w:firstLine="0"/>
        <w:outlineLvl w:val="2"/>
        <w:rPr>
          <w:b/>
          <w:bCs/>
          <w:color w:val="000000" w:themeColor="text1"/>
          <w:sz w:val="30"/>
          <w:szCs w:val="32"/>
          <w:lang w:val="zh-CN"/>
          <w14:textFill>
            <w14:solidFill>
              <w14:schemeClr w14:val="tx1"/>
            </w14:solidFill>
          </w14:textFill>
        </w:rPr>
      </w:pPr>
      <w:r>
        <w:rPr>
          <w:b/>
          <w:bCs/>
          <w:color w:val="000000" w:themeColor="text1"/>
          <w:sz w:val="30"/>
          <w:szCs w:val="32"/>
          <w:lang w:val="zh-CN"/>
          <w14:textFill>
            <w14:solidFill>
              <w14:schemeClr w14:val="tx1"/>
            </w14:solidFill>
          </w14:textFill>
        </w:rPr>
        <w:t>监测结果与评价</w:t>
      </w:r>
    </w:p>
    <w:p>
      <w:pPr>
        <w:adjustRightInd w:val="0"/>
        <w:ind w:firstLine="438" w:firstLineChars="200"/>
        <w:textAlignment w:val="baseline"/>
        <w:rPr>
          <w:color w:val="000000" w:themeColor="text1"/>
          <w:kern w:val="0"/>
          <w14:textFill>
            <w14:solidFill>
              <w14:schemeClr w14:val="tx1"/>
            </w14:solidFill>
          </w14:textFill>
        </w:rPr>
      </w:pPr>
      <w:r>
        <w:rPr>
          <w:color w:val="000000" w:themeColor="text1"/>
          <w:kern w:val="0"/>
          <w14:textFill>
            <w14:solidFill>
              <w14:schemeClr w14:val="tx1"/>
            </w14:solidFill>
          </w14:textFill>
        </w:rPr>
        <w:t>大气监测气象条件参数见表3.4-2。监测数据及统计结果见表3.4-3。</w:t>
      </w:r>
    </w:p>
    <w:p>
      <w:pPr>
        <w:pStyle w:val="384"/>
        <w:ind w:left="0" w:firstLine="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环境空气监测气象条件参数表</w:t>
      </w:r>
    </w:p>
    <w:p>
      <w:pPr>
        <w:pStyle w:val="384"/>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 xml:space="preserve">环境空气现状监测结果及统计     </w:t>
      </w:r>
      <w:r>
        <w:rPr>
          <w:rFonts w:cs="Times New Roman"/>
          <w:color w:val="000000" w:themeColor="text1"/>
          <w:sz w:val="21"/>
          <w:szCs w:val="21"/>
          <w14:textFill>
            <w14:solidFill>
              <w14:schemeClr w14:val="tx1"/>
            </w14:solidFill>
          </w14:textFill>
        </w:rPr>
        <w:t>单位</w:t>
      </w:r>
      <w:r>
        <w:rPr>
          <w:rFonts w:hint="eastAsia" w:cs="Times New Roman"/>
          <w:color w:val="000000" w:themeColor="text1"/>
          <w:sz w:val="21"/>
          <w:szCs w:val="21"/>
          <w14:textFill>
            <w14:solidFill>
              <w14:schemeClr w14:val="tx1"/>
            </w14:solidFill>
          </w14:textFill>
        </w:rPr>
        <w:t>：</w:t>
      </w:r>
      <w:r>
        <w:rPr>
          <w:rFonts w:cs="Times New Roman"/>
          <w:color w:val="000000" w:themeColor="text1"/>
          <w:sz w:val="21"/>
          <w:szCs w:val="21"/>
          <w14:textFill>
            <w14:solidFill>
              <w14:schemeClr w14:val="tx1"/>
            </w14:solidFill>
          </w14:textFill>
        </w:rPr>
        <w:t>µg/m</w:t>
      </w:r>
      <w:r>
        <w:rPr>
          <w:rFonts w:cs="Times New Roman"/>
          <w:color w:val="000000" w:themeColor="text1"/>
          <w:sz w:val="21"/>
          <w:szCs w:val="21"/>
          <w:vertAlign w:val="superscript"/>
          <w14:textFill>
            <w14:solidFill>
              <w14:schemeClr w14:val="tx1"/>
            </w14:solidFill>
          </w14:textFill>
        </w:rPr>
        <w:t>3</w:t>
      </w:r>
    </w:p>
    <w:p>
      <w:pPr>
        <w:adjustRightInd w:val="0"/>
        <w:ind w:firstLine="438" w:firstLineChars="200"/>
        <w:textAlignment w:val="baseline"/>
        <w:rPr>
          <w:color w:val="000000" w:themeColor="text1"/>
          <w14:textFill>
            <w14:solidFill>
              <w14:schemeClr w14:val="tx1"/>
            </w14:solidFill>
          </w14:textFill>
        </w:rPr>
      </w:pPr>
      <w:r>
        <w:rPr>
          <w:rFonts w:hint="eastAsia"/>
          <w:color w:val="000000" w:themeColor="text1"/>
          <w14:textFill>
            <w14:solidFill>
              <w14:schemeClr w14:val="tx1"/>
            </w14:solidFill>
          </w14:textFill>
        </w:rPr>
        <w:t>监测结果显示，泊位厂界下风向及敏感保护目标处SO</w:t>
      </w:r>
      <w:r>
        <w:rPr>
          <w:rFonts w:hint="eastAsia"/>
          <w:color w:val="000000" w:themeColor="text1"/>
          <w:vertAlign w:val="subscript"/>
          <w14:textFill>
            <w14:solidFill>
              <w14:schemeClr w14:val="tx1"/>
            </w14:solidFill>
          </w14:textFill>
        </w:rPr>
        <w:t>2</w:t>
      </w:r>
      <w:r>
        <w:rPr>
          <w:rFonts w:hint="eastAsia"/>
          <w:color w:val="000000" w:themeColor="text1"/>
          <w14:textFill>
            <w14:solidFill>
              <w14:schemeClr w14:val="tx1"/>
            </w14:solidFill>
          </w14:textFill>
        </w:rPr>
        <w:t>、NO</w:t>
      </w:r>
      <w:r>
        <w:rPr>
          <w:rFonts w:hint="eastAsia"/>
          <w:color w:val="000000" w:themeColor="text1"/>
          <w:vertAlign w:val="subscript"/>
          <w14:textFill>
            <w14:solidFill>
              <w14:schemeClr w14:val="tx1"/>
            </w14:solidFill>
          </w14:textFill>
        </w:rPr>
        <w:t>2</w:t>
      </w:r>
      <w:r>
        <w:rPr>
          <w:rFonts w:hint="eastAsia"/>
          <w:color w:val="000000" w:themeColor="text1"/>
          <w14:textFill>
            <w14:solidFill>
              <w14:schemeClr w14:val="tx1"/>
            </w14:solidFill>
          </w14:textFill>
        </w:rPr>
        <w:t>、CO及TSP监测结果均满足</w:t>
      </w:r>
      <w:r>
        <w:rPr>
          <w:color w:val="000000" w:themeColor="text1"/>
          <w14:textFill>
            <w14:solidFill>
              <w14:schemeClr w14:val="tx1"/>
            </w14:solidFill>
          </w14:textFill>
        </w:rPr>
        <w:t>《环境空气质量标准》(GB3095-2012</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二级标准</w:t>
      </w:r>
      <w:r>
        <w:rPr>
          <w:rFonts w:hint="eastAsia"/>
          <w:color w:val="000000" w:themeColor="text1"/>
          <w14:textFill>
            <w14:solidFill>
              <w14:schemeClr w14:val="tx1"/>
            </w14:solidFill>
          </w14:textFill>
        </w:rPr>
        <w:t>，环境空气质量现状良好。</w:t>
      </w:r>
    </w:p>
    <w:p>
      <w:pPr>
        <w:pStyle w:val="4"/>
        <w:rPr>
          <w:color w:val="000000" w:themeColor="text1"/>
          <w14:textFill>
            <w14:solidFill>
              <w14:schemeClr w14:val="tx1"/>
            </w14:solidFill>
          </w14:textFill>
        </w:rPr>
      </w:pPr>
      <w:bookmarkStart w:id="161" w:name="_Toc317003533"/>
      <w:bookmarkStart w:id="162" w:name="_Toc58731927"/>
      <w:bookmarkStart w:id="163" w:name="_Toc170918605"/>
      <w:bookmarkStart w:id="164" w:name="_Toc58939569"/>
      <w:bookmarkStart w:id="165" w:name="_Toc58939060"/>
      <w:bookmarkStart w:id="166" w:name="_Toc160855858"/>
      <w:bookmarkStart w:id="167" w:name="_Toc125384782"/>
      <w:bookmarkStart w:id="168" w:name="_Toc317003253"/>
      <w:bookmarkStart w:id="169" w:name="_Toc78814535"/>
      <w:bookmarkStart w:id="170" w:name="_Toc160857176"/>
      <w:bookmarkStart w:id="171" w:name="_Toc269375444"/>
      <w:bookmarkStart w:id="172" w:name="_Toc160854903"/>
      <w:r>
        <w:rPr>
          <w:color w:val="000000" w:themeColor="text1"/>
          <w14:textFill>
            <w14:solidFill>
              <w14:schemeClr w14:val="tx1"/>
            </w14:solidFill>
          </w14:textFill>
        </w:rPr>
        <w:t>声环境质量现状调查与评价</w:t>
      </w:r>
      <w:bookmarkEnd w:id="161"/>
      <w:bookmarkEnd w:id="162"/>
      <w:bookmarkEnd w:id="163"/>
      <w:bookmarkEnd w:id="164"/>
      <w:bookmarkEnd w:id="165"/>
      <w:bookmarkEnd w:id="166"/>
      <w:bookmarkEnd w:id="167"/>
      <w:bookmarkEnd w:id="168"/>
      <w:bookmarkEnd w:id="169"/>
      <w:bookmarkEnd w:id="170"/>
      <w:bookmarkEnd w:id="171"/>
      <w:bookmarkEnd w:id="172"/>
    </w:p>
    <w:p>
      <w:pPr>
        <w:pStyle w:val="5"/>
        <w:rPr>
          <w:color w:val="000000" w:themeColor="text1"/>
          <w14:textFill>
            <w14:solidFill>
              <w14:schemeClr w14:val="tx1"/>
            </w14:solidFill>
          </w14:textFill>
        </w:rPr>
      </w:pPr>
      <w:bookmarkStart w:id="173" w:name="_Toc58939570"/>
      <w:bookmarkStart w:id="174" w:name="_Toc58939061"/>
      <w:bookmarkStart w:id="175" w:name="_Toc61081326"/>
      <w:bookmarkStart w:id="176" w:name="_Toc160855859"/>
      <w:bookmarkStart w:id="177" w:name="_Toc61078073"/>
      <w:bookmarkStart w:id="178" w:name="_Toc160857177"/>
      <w:bookmarkStart w:id="179" w:name="_Toc78814536"/>
      <w:bookmarkStart w:id="180" w:name="_Toc160854904"/>
      <w:r>
        <w:rPr>
          <w:color w:val="000000" w:themeColor="text1"/>
          <w14:textFill>
            <w14:solidFill>
              <w14:schemeClr w14:val="tx1"/>
            </w14:solidFill>
          </w14:textFill>
        </w:rPr>
        <w:t>噪声环境质量现状监测</w:t>
      </w:r>
      <w:bookmarkEnd w:id="173"/>
      <w:bookmarkEnd w:id="174"/>
      <w:bookmarkEnd w:id="175"/>
      <w:bookmarkEnd w:id="176"/>
      <w:bookmarkEnd w:id="177"/>
      <w:bookmarkEnd w:id="178"/>
      <w:bookmarkEnd w:id="179"/>
      <w:bookmarkEnd w:id="180"/>
    </w:p>
    <w:p>
      <w:pPr>
        <w:pStyle w:val="283"/>
        <w:rPr>
          <w:color w:val="000000" w:themeColor="text1"/>
          <w14:textFill>
            <w14:solidFill>
              <w14:schemeClr w14:val="tx1"/>
            </w14:solidFill>
          </w14:textFill>
        </w:rPr>
      </w:pPr>
      <w:r>
        <w:rPr>
          <w:color w:val="000000" w:themeColor="text1"/>
          <w14:textFill>
            <w14:solidFill>
              <w14:schemeClr w14:val="tx1"/>
            </w14:solidFill>
          </w14:textFill>
        </w:rPr>
        <w:t>项目声环境评价范围内现有</w:t>
      </w:r>
      <w:r>
        <w:rPr>
          <w:rFonts w:hint="eastAsia"/>
          <w:color w:val="000000" w:themeColor="text1"/>
          <w14:textFill>
            <w14:solidFill>
              <w14:schemeClr w14:val="tx1"/>
            </w14:solidFill>
          </w14:textFill>
        </w:rPr>
        <w:t>噪声源</w:t>
      </w:r>
      <w:r>
        <w:rPr>
          <w:color w:val="000000" w:themeColor="text1"/>
          <w14:textFill>
            <w14:solidFill>
              <w14:schemeClr w14:val="tx1"/>
            </w14:solidFill>
          </w14:textFill>
        </w:rPr>
        <w:t>主要为</w:t>
      </w:r>
      <w:r>
        <w:rPr>
          <w:rFonts w:hint="eastAsia"/>
          <w:color w:val="000000" w:themeColor="text1"/>
          <w14:textFill>
            <w14:solidFill>
              <w14:schemeClr w14:val="tx1"/>
            </w14:solidFill>
          </w14:textFill>
        </w:rPr>
        <w:t>1-10号泊位船舶噪声、装卸设备运行机械噪声</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本次评价引用《钦州港大榄坪港区大榄坪南作业区9号10号泊位工程竣工环境保护验收调查报告》中厂界9号10号泊位厂界运营期噪声监测结果，监测时间段内9号10号泊位已试运行，各机械设备运行良好。</w:t>
      </w:r>
    </w:p>
    <w:p>
      <w:pPr>
        <w:pStyle w:val="6"/>
        <w:rPr>
          <w:color w:val="000000" w:themeColor="text1"/>
          <w14:textFill>
            <w14:solidFill>
              <w14:schemeClr w14:val="tx1"/>
            </w14:solidFill>
          </w14:textFill>
        </w:rPr>
      </w:pPr>
      <w:bookmarkStart w:id="181" w:name="_Toc160854905"/>
      <w:bookmarkStart w:id="182" w:name="_Toc160855860"/>
      <w:bookmarkStart w:id="183" w:name="_Toc160857178"/>
      <w:r>
        <w:rPr>
          <w:color w:val="000000" w:themeColor="text1"/>
          <w14:textFill>
            <w14:solidFill>
              <w14:schemeClr w14:val="tx1"/>
            </w14:solidFill>
          </w14:textFill>
        </w:rPr>
        <w:t>监测点</w:t>
      </w:r>
      <w:bookmarkEnd w:id="181"/>
      <w:bookmarkEnd w:id="182"/>
      <w:bookmarkEnd w:id="183"/>
      <w:r>
        <w:rPr>
          <w:color w:val="000000" w:themeColor="text1"/>
          <w14:textFill>
            <w14:solidFill>
              <w14:schemeClr w14:val="tx1"/>
            </w14:solidFill>
          </w14:textFill>
        </w:rPr>
        <w:t>位布设</w:t>
      </w:r>
    </w:p>
    <w:p>
      <w:pPr>
        <w:pStyle w:val="35"/>
        <w:spacing w:line="240" w:lineRule="auto"/>
        <w:rPr>
          <w:rStyle w:val="284"/>
          <w:rFonts w:ascii="Times New Roman" w:hAnsi="Times New Roman"/>
          <w:color w:val="000000" w:themeColor="text1"/>
          <w14:textFill>
            <w14:solidFill>
              <w14:schemeClr w14:val="tx1"/>
            </w14:solidFill>
          </w14:textFill>
        </w:rPr>
      </w:pPr>
      <w:r>
        <w:rPr>
          <w:rStyle w:val="284"/>
          <w:rFonts w:ascii="Times New Roman" w:hAnsi="Times New Roman"/>
          <w:color w:val="000000" w:themeColor="text1"/>
          <w14:textFill>
            <w14:solidFill>
              <w14:schemeClr w14:val="tx1"/>
            </w14:solidFill>
          </w14:textFill>
        </w:rPr>
        <w:t>声环境质量现状监测点设置见表3.5-1，监测点位分布见附图</w:t>
      </w:r>
      <w:r>
        <w:rPr>
          <w:rStyle w:val="284"/>
          <w:rFonts w:hint="eastAsia" w:ascii="Times New Roman" w:hAnsi="Times New Roman"/>
          <w:color w:val="000000" w:themeColor="text1"/>
          <w14:textFill>
            <w14:solidFill>
              <w14:schemeClr w14:val="tx1"/>
            </w14:solidFill>
          </w14:textFill>
        </w:rPr>
        <w:t>16</w:t>
      </w:r>
      <w:r>
        <w:rPr>
          <w:rStyle w:val="284"/>
          <w:rFonts w:ascii="Times New Roman" w:hAnsi="Times New Roman"/>
          <w:color w:val="000000" w:themeColor="text1"/>
          <w14:textFill>
            <w14:solidFill>
              <w14:schemeClr w14:val="tx1"/>
            </w14:solidFill>
          </w14:textFill>
        </w:rPr>
        <w:t>。</w:t>
      </w:r>
    </w:p>
    <w:p>
      <w:pPr>
        <w:pStyle w:val="384"/>
        <w:ind w:left="0" w:firstLine="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环境噪声现状监测点一览表</w:t>
      </w:r>
    </w:p>
    <w:tbl>
      <w:tblPr>
        <w:tblStyle w:val="88"/>
        <w:tblW w:w="8528" w:type="dxa"/>
        <w:jc w:val="center"/>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833"/>
        <w:gridCol w:w="1915"/>
        <w:gridCol w:w="2946"/>
        <w:gridCol w:w="1834"/>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blHeader/>
          <w:jc w:val="center"/>
        </w:trPr>
        <w:tc>
          <w:tcPr>
            <w:tcW w:w="1833" w:type="dxa"/>
            <w:vAlign w:val="center"/>
          </w:tcPr>
          <w:p>
            <w:pPr>
              <w:widowControl/>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点号</w:t>
            </w:r>
          </w:p>
        </w:tc>
        <w:tc>
          <w:tcPr>
            <w:tcW w:w="1915" w:type="dxa"/>
            <w:vAlign w:val="center"/>
          </w:tcPr>
          <w:p>
            <w:pPr>
              <w:widowControl/>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名称</w:t>
            </w:r>
          </w:p>
        </w:tc>
        <w:tc>
          <w:tcPr>
            <w:tcW w:w="2946" w:type="dxa"/>
            <w:vAlign w:val="center"/>
          </w:tcPr>
          <w:p>
            <w:pPr>
              <w:widowControl/>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执行标准</w:t>
            </w:r>
          </w:p>
        </w:tc>
        <w:tc>
          <w:tcPr>
            <w:tcW w:w="1834" w:type="dxa"/>
            <w:vAlign w:val="center"/>
          </w:tcPr>
          <w:p>
            <w:pPr>
              <w:widowControl/>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备注</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833" w:type="dxa"/>
            <w:vAlign w:val="center"/>
          </w:tcPr>
          <w:p>
            <w:pPr>
              <w:widowControl/>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N1</w:t>
            </w:r>
          </w:p>
        </w:tc>
        <w:tc>
          <w:tcPr>
            <w:tcW w:w="1915" w:type="dxa"/>
            <w:vAlign w:val="center"/>
          </w:tcPr>
          <w:p>
            <w:pPr>
              <w:widowControl/>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东侧厂界</w:t>
            </w:r>
          </w:p>
        </w:tc>
        <w:tc>
          <w:tcPr>
            <w:tcW w:w="2946" w:type="dxa"/>
            <w:vMerge w:val="restart"/>
            <w:vAlign w:val="center"/>
          </w:tcPr>
          <w:p>
            <w:pPr>
              <w:widowControl/>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《声环境质量标准》（GB3096-2008）3类</w:t>
            </w:r>
          </w:p>
        </w:tc>
        <w:tc>
          <w:tcPr>
            <w:tcW w:w="1834" w:type="dxa"/>
            <w:vMerge w:val="restart"/>
            <w:vAlign w:val="center"/>
          </w:tcPr>
          <w:p>
            <w:pPr>
              <w:widowControl/>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环境噪声</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833" w:type="dxa"/>
            <w:vAlign w:val="center"/>
          </w:tcPr>
          <w:p>
            <w:pPr>
              <w:widowControl/>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N2</w:t>
            </w:r>
          </w:p>
        </w:tc>
        <w:tc>
          <w:tcPr>
            <w:tcW w:w="1915" w:type="dxa"/>
            <w:vAlign w:val="center"/>
          </w:tcPr>
          <w:p>
            <w:pPr>
              <w:widowControl/>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南侧厂界</w:t>
            </w:r>
          </w:p>
        </w:tc>
        <w:tc>
          <w:tcPr>
            <w:tcW w:w="2946" w:type="dxa"/>
            <w:vMerge w:val="continue"/>
            <w:vAlign w:val="center"/>
          </w:tcPr>
          <w:p>
            <w:pPr>
              <w:widowControl/>
              <w:jc w:val="center"/>
              <w:rPr>
                <w:color w:val="000000" w:themeColor="text1"/>
                <w:kern w:val="0"/>
                <w:sz w:val="21"/>
                <w:szCs w:val="21"/>
                <w14:textFill>
                  <w14:solidFill>
                    <w14:schemeClr w14:val="tx1"/>
                  </w14:solidFill>
                </w14:textFill>
              </w:rPr>
            </w:pPr>
          </w:p>
        </w:tc>
        <w:tc>
          <w:tcPr>
            <w:tcW w:w="1834" w:type="dxa"/>
            <w:vMerge w:val="continue"/>
            <w:vAlign w:val="center"/>
          </w:tcPr>
          <w:p>
            <w:pPr>
              <w:widowControl/>
              <w:jc w:val="center"/>
              <w:rPr>
                <w:color w:val="000000" w:themeColor="text1"/>
                <w:kern w:val="0"/>
                <w:sz w:val="21"/>
                <w:szCs w:val="21"/>
                <w14:textFill>
                  <w14:solidFill>
                    <w14:schemeClr w14:val="tx1"/>
                  </w14:solidFill>
                </w14:textFill>
              </w:rPr>
            </w:pPr>
          </w:p>
        </w:tc>
      </w:tr>
    </w:tbl>
    <w:p>
      <w:pPr>
        <w:pStyle w:val="6"/>
        <w:rPr>
          <w:color w:val="000000" w:themeColor="text1"/>
          <w14:textFill>
            <w14:solidFill>
              <w14:schemeClr w14:val="tx1"/>
            </w14:solidFill>
          </w14:textFill>
        </w:rPr>
      </w:pPr>
      <w:r>
        <w:rPr>
          <w:color w:val="000000" w:themeColor="text1"/>
          <w14:textFill>
            <w14:solidFill>
              <w14:schemeClr w14:val="tx1"/>
            </w14:solidFill>
          </w14:textFill>
        </w:rPr>
        <w:t>监测项目与监测方法</w:t>
      </w:r>
    </w:p>
    <w:p>
      <w:pPr>
        <w:ind w:firstLine="438" w:firstLineChars="200"/>
        <w:rPr>
          <w:color w:val="000000" w:themeColor="text1"/>
          <w14:textFill>
            <w14:solidFill>
              <w14:schemeClr w14:val="tx1"/>
            </w14:solidFill>
          </w14:textFill>
        </w:rPr>
      </w:pPr>
      <w:r>
        <w:rPr>
          <w:color w:val="000000" w:themeColor="text1"/>
          <w14:textFill>
            <w14:solidFill>
              <w14:schemeClr w14:val="tx1"/>
            </w14:solidFill>
          </w14:textFill>
        </w:rPr>
        <w:t>监测项目：等效连续A声级L</w:t>
      </w:r>
      <w:r>
        <w:rPr>
          <w:color w:val="000000" w:themeColor="text1"/>
          <w:vertAlign w:val="subscript"/>
          <w14:textFill>
            <w14:solidFill>
              <w14:schemeClr w14:val="tx1"/>
            </w14:solidFill>
          </w14:textFill>
        </w:rPr>
        <w:t>Aeq</w:t>
      </w:r>
      <w:r>
        <w:rPr>
          <w:color w:val="000000" w:themeColor="text1"/>
          <w14:textFill>
            <w14:solidFill>
              <w14:schemeClr w14:val="tx1"/>
            </w14:solidFill>
          </w14:textFill>
        </w:rPr>
        <w:t>。</w:t>
      </w:r>
    </w:p>
    <w:p>
      <w:pPr>
        <w:ind w:firstLine="438" w:firstLineChars="200"/>
        <w:rPr>
          <w:color w:val="000000" w:themeColor="text1"/>
          <w14:textFill>
            <w14:solidFill>
              <w14:schemeClr w14:val="tx1"/>
            </w14:solidFill>
          </w14:textFill>
        </w:rPr>
      </w:pPr>
      <w:r>
        <w:rPr>
          <w:color w:val="000000" w:themeColor="text1"/>
          <w14:textFill>
            <w14:solidFill>
              <w14:schemeClr w14:val="tx1"/>
            </w14:solidFill>
          </w14:textFill>
        </w:rPr>
        <w:t>监测方法与数据处理按《声环境质量标准》（GB3096-2008）中的有关规定进行。</w:t>
      </w:r>
    </w:p>
    <w:p>
      <w:pPr>
        <w:pStyle w:val="6"/>
        <w:rPr>
          <w:color w:val="000000" w:themeColor="text1"/>
          <w14:textFill>
            <w14:solidFill>
              <w14:schemeClr w14:val="tx1"/>
            </w14:solidFill>
          </w14:textFill>
        </w:rPr>
      </w:pPr>
      <w:r>
        <w:rPr>
          <w:color w:val="000000" w:themeColor="text1"/>
          <w14:textFill>
            <w14:solidFill>
              <w14:schemeClr w14:val="tx1"/>
            </w14:solidFill>
          </w14:textFill>
        </w:rPr>
        <w:t>监测时间与频率</w:t>
      </w:r>
    </w:p>
    <w:p>
      <w:pPr>
        <w:pStyle w:val="283"/>
        <w:rPr>
          <w:color w:val="000000" w:themeColor="text1"/>
          <w14:textFill>
            <w14:solidFill>
              <w14:schemeClr w14:val="tx1"/>
            </w14:solidFill>
          </w14:textFill>
        </w:rPr>
      </w:pPr>
      <w:r>
        <w:rPr>
          <w:color w:val="000000" w:themeColor="text1"/>
          <w14:textFill>
            <w14:solidFill>
              <w14:schemeClr w14:val="tx1"/>
            </w14:solidFill>
          </w14:textFill>
        </w:rPr>
        <w:t>监测时间：202</w:t>
      </w:r>
      <w:r>
        <w:rPr>
          <w:rFonts w:hint="eastAsia"/>
          <w:color w:val="000000" w:themeColor="text1"/>
          <w14:textFill>
            <w14:solidFill>
              <w14:schemeClr w14:val="tx1"/>
            </w14:solidFill>
          </w14:textFill>
        </w:rPr>
        <w:t>3</w:t>
      </w:r>
      <w:r>
        <w:rPr>
          <w:color w:val="000000" w:themeColor="text1"/>
          <w14:textFill>
            <w14:solidFill>
              <w14:schemeClr w14:val="tx1"/>
            </w14:solidFill>
          </w14:textFill>
        </w:rPr>
        <w:t>年</w:t>
      </w:r>
      <w:r>
        <w:rPr>
          <w:rFonts w:hint="eastAsia"/>
          <w:color w:val="000000" w:themeColor="text1"/>
          <w14:textFill>
            <w14:solidFill>
              <w14:schemeClr w14:val="tx1"/>
            </w14:solidFill>
          </w14:textFill>
        </w:rPr>
        <w:t>7</w:t>
      </w:r>
      <w:r>
        <w:rPr>
          <w:color w:val="000000" w:themeColor="text1"/>
          <w14:textFill>
            <w14:solidFill>
              <w14:schemeClr w14:val="tx1"/>
            </w14:solidFill>
          </w14:textFill>
        </w:rPr>
        <w:t>月</w:t>
      </w:r>
      <w:r>
        <w:rPr>
          <w:rFonts w:hint="eastAsia"/>
          <w:color w:val="000000" w:themeColor="text1"/>
          <w14:textFill>
            <w14:solidFill>
              <w14:schemeClr w14:val="tx1"/>
            </w14:solidFill>
          </w14:textFill>
        </w:rPr>
        <w:t>10</w:t>
      </w:r>
      <w:r>
        <w:rPr>
          <w:color w:val="000000" w:themeColor="text1"/>
          <w14:textFill>
            <w14:solidFill>
              <w14:schemeClr w14:val="tx1"/>
            </w14:solidFill>
          </w14:textFill>
        </w:rPr>
        <w:t>日～</w:t>
      </w:r>
      <w:r>
        <w:rPr>
          <w:rFonts w:hint="eastAsia"/>
          <w:color w:val="000000" w:themeColor="text1"/>
          <w14:textFill>
            <w14:solidFill>
              <w14:schemeClr w14:val="tx1"/>
            </w14:solidFill>
          </w14:textFill>
        </w:rPr>
        <w:t>11</w:t>
      </w:r>
      <w:r>
        <w:rPr>
          <w:color w:val="000000" w:themeColor="text1"/>
          <w14:textFill>
            <w14:solidFill>
              <w14:schemeClr w14:val="tx1"/>
            </w14:solidFill>
          </w14:textFill>
        </w:rPr>
        <w:t>日，连续2d。</w:t>
      </w:r>
    </w:p>
    <w:p>
      <w:pPr>
        <w:pStyle w:val="1075"/>
        <w:ind w:firstLine="437"/>
        <w:rPr>
          <w:color w:val="000000" w:themeColor="text1"/>
          <w14:textFill>
            <w14:solidFill>
              <w14:schemeClr w14:val="tx1"/>
            </w14:solidFill>
          </w14:textFill>
        </w:rPr>
      </w:pPr>
      <w:r>
        <w:rPr>
          <w:color w:val="000000" w:themeColor="text1"/>
          <w14:textFill>
            <w14:solidFill>
              <w14:schemeClr w14:val="tx1"/>
            </w14:solidFill>
          </w14:textFill>
        </w:rPr>
        <w:t>监测频率：各测点连续监测2d，每天昼夜各测1次，每次20min。</w:t>
      </w:r>
    </w:p>
    <w:p>
      <w:pPr>
        <w:pStyle w:val="5"/>
        <w:rPr>
          <w:color w:val="000000" w:themeColor="text1"/>
          <w14:textFill>
            <w14:solidFill>
              <w14:schemeClr w14:val="tx1"/>
            </w14:solidFill>
          </w14:textFill>
        </w:rPr>
      </w:pPr>
      <w:r>
        <w:rPr>
          <w:color w:val="000000" w:themeColor="text1"/>
          <w14:textFill>
            <w14:solidFill>
              <w14:schemeClr w14:val="tx1"/>
            </w14:solidFill>
          </w14:textFill>
        </w:rPr>
        <w:t>声环境质量现状评价</w:t>
      </w:r>
    </w:p>
    <w:p>
      <w:pPr>
        <w:pStyle w:val="6"/>
        <w:rPr>
          <w:color w:val="000000" w:themeColor="text1"/>
          <w14:textFill>
            <w14:solidFill>
              <w14:schemeClr w14:val="tx1"/>
            </w14:solidFill>
          </w14:textFill>
        </w:rPr>
      </w:pPr>
      <w:r>
        <w:rPr>
          <w:color w:val="000000" w:themeColor="text1"/>
          <w14:textFill>
            <w14:solidFill>
              <w14:schemeClr w14:val="tx1"/>
            </w14:solidFill>
          </w14:textFill>
        </w:rPr>
        <w:t>评价方法与评价标准</w:t>
      </w:r>
    </w:p>
    <w:p>
      <w:pPr>
        <w:pStyle w:val="283"/>
        <w:rPr>
          <w:color w:val="000000" w:themeColor="text1"/>
          <w14:textFill>
            <w14:solidFill>
              <w14:schemeClr w14:val="tx1"/>
            </w14:solidFill>
          </w14:textFill>
        </w:rPr>
      </w:pPr>
      <w:r>
        <w:rPr>
          <w:color w:val="000000" w:themeColor="text1"/>
          <w14:textFill>
            <w14:solidFill>
              <w14:schemeClr w14:val="tx1"/>
            </w14:solidFill>
          </w14:textFill>
        </w:rPr>
        <w:t>评价方法：采用标准值对比分析法进行评价。</w:t>
      </w:r>
    </w:p>
    <w:p>
      <w:pPr>
        <w:pStyle w:val="283"/>
        <w:rPr>
          <w:color w:val="000000" w:themeColor="text1"/>
          <w14:textFill>
            <w14:solidFill>
              <w14:schemeClr w14:val="tx1"/>
            </w14:solidFill>
          </w14:textFill>
        </w:rPr>
      </w:pPr>
      <w:r>
        <w:rPr>
          <w:color w:val="000000" w:themeColor="text1"/>
          <w14:textFill>
            <w14:solidFill>
              <w14:schemeClr w14:val="tx1"/>
            </w14:solidFill>
          </w14:textFill>
        </w:rPr>
        <w:t>评价标准：场界现状执行《声环境质量标准》（GB3096-2008）3类标准。</w:t>
      </w:r>
    </w:p>
    <w:p>
      <w:pPr>
        <w:pStyle w:val="6"/>
        <w:rPr>
          <w:color w:val="000000" w:themeColor="text1"/>
          <w14:textFill>
            <w14:solidFill>
              <w14:schemeClr w14:val="tx1"/>
            </w14:solidFill>
          </w14:textFill>
        </w:rPr>
      </w:pPr>
      <w:r>
        <w:rPr>
          <w:color w:val="000000" w:themeColor="text1"/>
          <w14:textFill>
            <w14:solidFill>
              <w14:schemeClr w14:val="tx1"/>
            </w14:solidFill>
          </w14:textFill>
        </w:rPr>
        <w:t>现状监测评价</w:t>
      </w:r>
    </w:p>
    <w:p>
      <w:pPr>
        <w:pStyle w:val="283"/>
        <w:rPr>
          <w:color w:val="000000" w:themeColor="text1"/>
          <w14:textFill>
            <w14:solidFill>
              <w14:schemeClr w14:val="tx1"/>
            </w14:solidFill>
          </w14:textFill>
        </w:rPr>
      </w:pPr>
      <w:r>
        <w:rPr>
          <w:color w:val="000000" w:themeColor="text1"/>
          <w14:textFill>
            <w14:solidFill>
              <w14:schemeClr w14:val="tx1"/>
            </w14:solidFill>
          </w14:textFill>
        </w:rPr>
        <w:t>声环境现状监测及评价结果见表3.5-2。</w:t>
      </w:r>
    </w:p>
    <w:p>
      <w:pPr>
        <w:pStyle w:val="384"/>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 xml:space="preserve">  声环境监测及评价结果一览      单位</w:t>
      </w:r>
      <w:r>
        <w:rPr>
          <w:rFonts w:hint="eastAsia" w:cs="Times New Roman"/>
          <w:color w:val="000000" w:themeColor="text1"/>
          <w14:textFill>
            <w14:solidFill>
              <w14:schemeClr w14:val="tx1"/>
            </w14:solidFill>
          </w14:textFill>
        </w:rPr>
        <w:t>：</w:t>
      </w:r>
      <w:r>
        <w:rPr>
          <w:rFonts w:cs="Times New Roman"/>
          <w:color w:val="000000" w:themeColor="text1"/>
          <w14:textFill>
            <w14:solidFill>
              <w14:schemeClr w14:val="tx1"/>
            </w14:solidFill>
          </w14:textFill>
        </w:rPr>
        <w:t>dB（A）</w:t>
      </w:r>
    </w:p>
    <w:p>
      <w:pPr>
        <w:pStyle w:val="1075"/>
        <w:ind w:firstLine="437"/>
        <w:rPr>
          <w:color w:val="000000" w:themeColor="text1"/>
          <w14:textFill>
            <w14:solidFill>
              <w14:schemeClr w14:val="tx1"/>
            </w14:solidFill>
          </w14:textFill>
        </w:rPr>
      </w:pPr>
      <w:r>
        <w:rPr>
          <w:color w:val="000000" w:themeColor="text1"/>
          <w14:textFill>
            <w14:solidFill>
              <w14:schemeClr w14:val="tx1"/>
            </w14:solidFill>
          </w14:textFill>
        </w:rPr>
        <w:t>监测结果表明，项目厂界噪声监测点昼夜间监测值均满足验收标准《工业企业厂界环境噪声排放标准》（GB12348-2008）3类标准限值要求。</w:t>
      </w:r>
    </w:p>
    <w:p>
      <w:pPr>
        <w:pStyle w:val="4"/>
        <w:rPr>
          <w:color w:val="000000" w:themeColor="text1"/>
          <w14:textFill>
            <w14:solidFill>
              <w14:schemeClr w14:val="tx1"/>
            </w14:solidFill>
          </w14:textFill>
        </w:rPr>
      </w:pPr>
      <w:bookmarkStart w:id="184" w:name="_Toc170918606"/>
      <w:r>
        <w:rPr>
          <w:color w:val="000000" w:themeColor="text1"/>
          <w14:textFill>
            <w14:solidFill>
              <w14:schemeClr w14:val="tx1"/>
            </w14:solidFill>
          </w14:textFill>
        </w:rPr>
        <w:t>陆域生态环境现状调查</w:t>
      </w:r>
      <w:bookmarkEnd w:id="184"/>
    </w:p>
    <w:p>
      <w:pPr>
        <w:pStyle w:val="283"/>
        <w:rPr>
          <w:color w:val="000000" w:themeColor="text1"/>
          <w14:textFill>
            <w14:solidFill>
              <w14:schemeClr w14:val="tx1"/>
            </w14:solidFill>
          </w14:textFill>
        </w:rPr>
      </w:pPr>
      <w:r>
        <w:rPr>
          <w:color w:val="000000" w:themeColor="text1"/>
          <w14:textFill>
            <w14:solidFill>
              <w14:schemeClr w14:val="tx1"/>
            </w14:solidFill>
          </w14:textFill>
        </w:rPr>
        <w:t>本项目所在地</w:t>
      </w:r>
      <w:r>
        <w:rPr>
          <w:rFonts w:hint="eastAsia"/>
          <w:color w:val="000000" w:themeColor="text1"/>
          <w14:textFill>
            <w14:solidFill>
              <w14:schemeClr w14:val="tx1"/>
            </w14:solidFill>
          </w14:textFill>
        </w:rPr>
        <w:t>部分</w:t>
      </w:r>
      <w:r>
        <w:rPr>
          <w:color w:val="000000" w:themeColor="text1"/>
          <w14:textFill>
            <w14:solidFill>
              <w14:schemeClr w14:val="tx1"/>
            </w14:solidFill>
          </w14:textFill>
        </w:rPr>
        <w:t>已形成，现状工程用地范围内分布有少量绿化植被。项目及周边陆域区域除局部有少量杂草丛外，已无其他植被分布。</w:t>
      </w:r>
    </w:p>
    <w:p>
      <w:pPr>
        <w:pStyle w:val="283"/>
        <w:rPr>
          <w:color w:val="000000" w:themeColor="text1"/>
          <w14:textFill>
            <w14:solidFill>
              <w14:schemeClr w14:val="tx1"/>
            </w14:solidFill>
          </w14:textFill>
        </w:rPr>
      </w:pPr>
      <w:r>
        <w:rPr>
          <w:color w:val="000000" w:themeColor="text1"/>
          <w14:textFill>
            <w14:solidFill>
              <w14:schemeClr w14:val="tx1"/>
            </w14:solidFill>
          </w14:textFill>
        </w:rPr>
        <w:t>经</w:t>
      </w:r>
      <w:r>
        <w:rPr>
          <w:rFonts w:hint="eastAsia"/>
          <w:color w:val="000000" w:themeColor="text1"/>
          <w14:textFill>
            <w14:solidFill>
              <w14:schemeClr w14:val="tx1"/>
            </w14:solidFill>
          </w14:textFill>
        </w:rPr>
        <w:t>现场勘查</w:t>
      </w:r>
      <w:r>
        <w:rPr>
          <w:color w:val="000000" w:themeColor="text1"/>
          <w14:textFill>
            <w14:solidFill>
              <w14:schemeClr w14:val="tx1"/>
            </w14:solidFill>
          </w14:textFill>
        </w:rPr>
        <w:t>，评价区内人类活动频繁，受人类活动影响，野生动物生存环境受干扰严重，存在种类较少，多为适</w:t>
      </w:r>
      <w:r>
        <w:rPr>
          <w:rFonts w:hint="eastAsia"/>
          <w:color w:val="000000" w:themeColor="text1"/>
          <w:lang w:eastAsia="zh-CN"/>
          <w14:textFill>
            <w14:solidFill>
              <w14:schemeClr w14:val="tx1"/>
            </w14:solidFill>
          </w14:textFill>
        </w:rPr>
        <w:t>于</w:t>
      </w:r>
      <w:r>
        <w:rPr>
          <w:color w:val="000000" w:themeColor="text1"/>
          <w14:textFill>
            <w14:solidFill>
              <w14:schemeClr w14:val="tx1"/>
            </w14:solidFill>
          </w14:textFill>
        </w:rPr>
        <w:t>人类活动影响的各种常见两栖、爬行类、鸟类等动物，其中与人类活动密切的啮齿类动物在该区域内最为常见。评价区域内未发现受国家及自治区</w:t>
      </w:r>
      <w:r>
        <w:rPr>
          <w:rFonts w:hint="eastAsia"/>
          <w:color w:val="000000" w:themeColor="text1"/>
          <w14:textFill>
            <w14:solidFill>
              <w14:schemeClr w14:val="tx1"/>
            </w14:solidFill>
          </w14:textFill>
        </w:rPr>
        <w:t>陆生</w:t>
      </w:r>
      <w:r>
        <w:rPr>
          <w:color w:val="000000" w:themeColor="text1"/>
          <w14:textFill>
            <w14:solidFill>
              <w14:schemeClr w14:val="tx1"/>
            </w14:solidFill>
          </w14:textFill>
        </w:rPr>
        <w:t>保护物种存在。</w:t>
      </w:r>
    </w:p>
    <w:tbl>
      <w:tblPr>
        <w:tblStyle w:val="89"/>
        <w:tblW w:w="8528"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4226"/>
        <w:gridCol w:w="4302"/>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2923" w:hRule="atLeast"/>
        </w:trPr>
        <w:tc>
          <w:tcPr>
            <w:tcW w:w="4226" w:type="dxa"/>
            <w:vAlign w:val="center"/>
          </w:tcPr>
          <w:p>
            <w:pPr>
              <w:pStyle w:val="283"/>
              <w:rPr>
                <w:color w:val="000000" w:themeColor="text1"/>
                <w14:textFill>
                  <w14:solidFill>
                    <w14:schemeClr w14:val="tx1"/>
                  </w14:solidFill>
                </w14:textFill>
              </w:rPr>
            </w:pPr>
            <w:r>
              <w:rPr>
                <w:color w:val="000000" w:themeColor="text1"/>
                <w14:textFill>
                  <w14:solidFill>
                    <w14:schemeClr w14:val="tx1"/>
                  </w14:solidFill>
                </w14:textFill>
              </w:rPr>
              <w:drawing>
                <wp:inline distT="0" distB="0" distL="0" distR="0">
                  <wp:extent cx="2619375" cy="1921510"/>
                  <wp:effectExtent l="0" t="0" r="0" b="2540"/>
                  <wp:docPr id="3472" name="图片 3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2" name="图片 3472"/>
                          <pic:cNvPicPr>
                            <a:picLocks noChangeAspect="1"/>
                          </pic:cNvPicPr>
                        </pic:nvPicPr>
                        <pic:blipFill>
                          <a:blip r:embed="rId69"/>
                          <a:stretch>
                            <a:fillRect/>
                          </a:stretch>
                        </pic:blipFill>
                        <pic:spPr>
                          <a:xfrm>
                            <a:off x="0" y="0"/>
                            <a:ext cx="2619375" cy="1921784"/>
                          </a:xfrm>
                          <a:prstGeom prst="rect">
                            <a:avLst/>
                          </a:prstGeom>
                        </pic:spPr>
                      </pic:pic>
                    </a:graphicData>
                  </a:graphic>
                </wp:inline>
              </w:drawing>
            </w:r>
          </w:p>
        </w:tc>
        <w:tc>
          <w:tcPr>
            <w:tcW w:w="4302" w:type="dxa"/>
            <w:vAlign w:val="center"/>
          </w:tcPr>
          <w:p>
            <w:pPr>
              <w:pStyle w:val="283"/>
              <w:rPr>
                <w:color w:val="000000" w:themeColor="text1"/>
                <w14:textFill>
                  <w14:solidFill>
                    <w14:schemeClr w14:val="tx1"/>
                  </w14:solidFill>
                </w14:textFill>
              </w:rPr>
            </w:pPr>
            <w:r>
              <w:rPr>
                <w:color w:val="000000" w:themeColor="text1"/>
                <w14:textFill>
                  <w14:solidFill>
                    <w14:schemeClr w14:val="tx1"/>
                  </w14:solidFill>
                </w14:textFill>
              </w:rPr>
              <w:drawing>
                <wp:inline distT="0" distB="0" distL="0" distR="0">
                  <wp:extent cx="2674620" cy="1885950"/>
                  <wp:effectExtent l="0" t="0" r="0" b="0"/>
                  <wp:docPr id="3479" name="图片 3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9" name="图片 3479"/>
                          <pic:cNvPicPr>
                            <a:picLocks noChangeAspect="1"/>
                          </pic:cNvPicPr>
                        </pic:nvPicPr>
                        <pic:blipFill>
                          <a:blip r:embed="rId70"/>
                          <a:stretch>
                            <a:fillRect/>
                          </a:stretch>
                        </pic:blipFill>
                        <pic:spPr>
                          <a:xfrm>
                            <a:off x="0" y="0"/>
                            <a:ext cx="2677102" cy="1887605"/>
                          </a:xfrm>
                          <a:prstGeom prst="rect">
                            <a:avLst/>
                          </a:prstGeom>
                        </pic:spPr>
                      </pic:pic>
                    </a:graphicData>
                  </a:graphic>
                </wp:inline>
              </w:drawing>
            </w:r>
          </w:p>
        </w:tc>
      </w:tr>
    </w:tbl>
    <w:p>
      <w:pPr>
        <w:pStyle w:val="553"/>
        <w:rPr>
          <w:color w:val="000000" w:themeColor="text1"/>
          <w14:textFill>
            <w14:solidFill>
              <w14:schemeClr w14:val="tx1"/>
            </w14:solidFill>
          </w14:textFill>
        </w:rPr>
      </w:pPr>
      <w:r>
        <w:rPr>
          <w:color w:val="000000" w:themeColor="text1"/>
          <w14:textFill>
            <w14:solidFill>
              <w14:schemeClr w14:val="tx1"/>
            </w14:solidFill>
          </w14:textFill>
        </w:rPr>
        <w:t>场地现状植被分布图</w:t>
      </w:r>
    </w:p>
    <w:p>
      <w:pPr>
        <w:pStyle w:val="4"/>
        <w:rPr>
          <w:color w:val="000000" w:themeColor="text1"/>
          <w14:textFill>
            <w14:solidFill>
              <w14:schemeClr w14:val="tx1"/>
            </w14:solidFill>
          </w14:textFill>
        </w:rPr>
      </w:pPr>
      <w:bookmarkStart w:id="185" w:name="_Toc170918607"/>
      <w:r>
        <w:rPr>
          <w:rFonts w:hint="eastAsia"/>
          <w:color w:val="000000" w:themeColor="text1"/>
          <w14:textFill>
            <w14:solidFill>
              <w14:schemeClr w14:val="tx1"/>
            </w14:solidFill>
          </w14:textFill>
        </w:rPr>
        <w:t>环境现状调查与评价小结</w:t>
      </w:r>
      <w:bookmarkEnd w:id="185"/>
    </w:p>
    <w:p>
      <w:pPr>
        <w:pStyle w:val="5"/>
        <w:rPr>
          <w:color w:val="000000" w:themeColor="text1"/>
          <w14:textFill>
            <w14:solidFill>
              <w14:schemeClr w14:val="tx1"/>
            </w14:solidFill>
          </w14:textFill>
        </w:rPr>
      </w:pPr>
      <w:bookmarkStart w:id="186" w:name="_Toc317003538"/>
      <w:bookmarkStart w:id="187" w:name="_Toc269375450"/>
      <w:bookmarkStart w:id="188" w:name="_Toc317003258"/>
      <w:bookmarkStart w:id="189" w:name="_Toc247517316"/>
      <w:bookmarkStart w:id="190" w:name="_Toc247517552"/>
      <w:bookmarkStart w:id="191" w:name="_Toc247517479"/>
      <w:bookmarkStart w:id="192" w:name="_Toc232154484"/>
      <w:r>
        <w:rPr>
          <w:rFonts w:hint="eastAsia"/>
          <w:color w:val="000000" w:themeColor="text1"/>
          <w14:textFill>
            <w14:solidFill>
              <w14:schemeClr w14:val="tx1"/>
            </w14:solidFill>
          </w14:textFill>
        </w:rPr>
        <w:t>海洋生态及沉积物环境现状小结</w:t>
      </w:r>
    </w:p>
    <w:p>
      <w:pPr>
        <w:pStyle w:val="1075"/>
        <w:ind w:firstLine="437"/>
        <w:rPr>
          <w:color w:val="000000" w:themeColor="text1"/>
          <w14:textFill>
            <w14:solidFill>
              <w14:schemeClr w14:val="tx1"/>
            </w14:solidFill>
          </w14:textFill>
        </w:rPr>
      </w:pPr>
      <w:r>
        <w:rPr>
          <w:rFonts w:hint="eastAsia"/>
          <w:color w:val="000000" w:themeColor="text1"/>
          <w14:textFill>
            <w14:solidFill>
              <w14:schemeClr w14:val="tx1"/>
            </w14:solidFill>
          </w14:textFill>
        </w:rPr>
        <w:t>工程周边海域海洋沉积物2021年11月石油类超标，其他沉积物指标均达到所在海域沉积物标准，海洋沉积物质量较好。工程周边海域海洋生物多样性一般，物种分布均匀度较好；工程周边海域未监测出鱼卵及仔鱼，根据区域鱼类调查，鱼卵2021年11月平均密度为0.085</w:t>
      </w:r>
      <w:r>
        <w:rPr>
          <w:color w:val="000000" w:themeColor="text1"/>
          <w:sz w:val="21"/>
          <w:szCs w:val="21"/>
          <w14:textFill>
            <w14:solidFill>
              <w14:schemeClr w14:val="tx1"/>
            </w14:solidFill>
          </w14:textFill>
        </w:rPr>
        <w:t xml:space="preserve"> </w:t>
      </w:r>
      <w:r>
        <w:rPr>
          <w:color w:val="000000" w:themeColor="text1"/>
          <w14:textFill>
            <w14:solidFill>
              <w14:schemeClr w14:val="tx1"/>
            </w14:solidFill>
          </w14:textFill>
        </w:rPr>
        <w:t>ind</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./m</w:t>
      </w:r>
      <w:r>
        <w:rPr>
          <w:color w:val="000000" w:themeColor="text1"/>
          <w:vertAlign w:val="superscript"/>
          <w14:textFill>
            <w14:solidFill>
              <w14:schemeClr w14:val="tx1"/>
            </w14:solidFill>
          </w14:textFill>
        </w:rPr>
        <w:t>3</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2022年4月平均密度为0.37</w:t>
      </w:r>
      <w:r>
        <w:rPr>
          <w:color w:val="000000" w:themeColor="text1"/>
          <w14:textFill>
            <w14:solidFill>
              <w14:schemeClr w14:val="tx1"/>
            </w14:solidFill>
          </w14:textFill>
        </w:rPr>
        <w:t xml:space="preserve"> ind</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./m</w:t>
      </w:r>
      <w:r>
        <w:rPr>
          <w:color w:val="000000" w:themeColor="text1"/>
          <w:vertAlign w:val="superscript"/>
          <w14:textFill>
            <w14:solidFill>
              <w14:schemeClr w14:val="tx1"/>
            </w14:solidFill>
          </w14:textFill>
        </w:rPr>
        <w:t>3</w:t>
      </w:r>
      <w:r>
        <w:rPr>
          <w:color w:val="000000" w:themeColor="text1"/>
          <w14:textFill>
            <w14:solidFill>
              <w14:schemeClr w14:val="tx1"/>
            </w14:solidFill>
          </w14:textFill>
        </w:rPr>
        <w:t>，仔鱼</w:t>
      </w:r>
      <w:r>
        <w:rPr>
          <w:rFonts w:hint="eastAsia"/>
          <w:color w:val="000000" w:themeColor="text1"/>
          <w14:textFill>
            <w14:solidFill>
              <w14:schemeClr w14:val="tx1"/>
            </w14:solidFill>
          </w14:textFill>
        </w:rPr>
        <w:t>2021年11月平均密度为0</w:t>
      </w:r>
      <w:r>
        <w:rPr>
          <w:color w:val="000000" w:themeColor="text1"/>
          <w14:textFill>
            <w14:solidFill>
              <w14:schemeClr w14:val="tx1"/>
            </w14:solidFill>
          </w14:textFill>
        </w:rPr>
        <w:t xml:space="preserve"> ind</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./m</w:t>
      </w:r>
      <w:r>
        <w:rPr>
          <w:color w:val="000000" w:themeColor="text1"/>
          <w:vertAlign w:val="superscript"/>
          <w14:textFill>
            <w14:solidFill>
              <w14:schemeClr w14:val="tx1"/>
            </w14:solidFill>
          </w14:textFill>
        </w:rPr>
        <w:t>3</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2022年4月平均密度为0.13</w:t>
      </w:r>
      <w:r>
        <w:rPr>
          <w:color w:val="000000" w:themeColor="text1"/>
          <w14:textFill>
            <w14:solidFill>
              <w14:schemeClr w14:val="tx1"/>
            </w14:solidFill>
          </w14:textFill>
        </w:rPr>
        <w:t xml:space="preserve"> ind</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./m</w:t>
      </w:r>
      <w:r>
        <w:rPr>
          <w:color w:val="000000" w:themeColor="text1"/>
          <w:vertAlign w:val="superscript"/>
          <w14:textFill>
            <w14:solidFill>
              <w14:schemeClr w14:val="tx1"/>
            </w14:solidFill>
          </w14:textFill>
        </w:rPr>
        <w:t>3</w:t>
      </w:r>
      <w:r>
        <w:rPr>
          <w:color w:val="000000" w:themeColor="text1"/>
          <w14:textFill>
            <w14:solidFill>
              <w14:schemeClr w14:val="tx1"/>
            </w14:solidFill>
          </w14:textFill>
        </w:rPr>
        <w:t>，工程周边海域内船舶运输活动频繁，渔业资源较少。</w:t>
      </w:r>
    </w:p>
    <w:p>
      <w:pPr>
        <w:pStyle w:val="1075"/>
        <w:ind w:firstLine="437"/>
        <w:rPr>
          <w:color w:val="000000" w:themeColor="text1"/>
          <w14:textFill>
            <w14:solidFill>
              <w14:schemeClr w14:val="tx1"/>
            </w14:solidFill>
          </w14:textFill>
        </w:rPr>
      </w:pPr>
      <w:r>
        <w:rPr>
          <w:color w:val="000000" w:themeColor="text1"/>
          <w14:textFill>
            <w14:solidFill>
              <w14:schemeClr w14:val="tx1"/>
            </w14:solidFill>
          </w14:textFill>
        </w:rPr>
        <w:t>综上，本工程所在海域海洋生物资源密度概况见下表</w:t>
      </w:r>
      <w:r>
        <w:rPr>
          <w:rFonts w:hint="eastAsia"/>
          <w:color w:val="000000" w:themeColor="text1"/>
          <w14:textFill>
            <w14:solidFill>
              <w14:schemeClr w14:val="tx1"/>
            </w14:solidFill>
          </w14:textFill>
        </w:rPr>
        <w:t>3.7-1，各种类海洋生物资源取本工程周边海域及评价范围内海洋现状调查平均值。</w:t>
      </w:r>
    </w:p>
    <w:p>
      <w:pPr>
        <w:pStyle w:val="384"/>
        <w:ind w:left="0" w:firstLine="503"/>
        <w:rPr>
          <w:rFonts w:cs="Times New Roman"/>
          <w:color w:val="000000" w:themeColor="text1"/>
          <w:lang w:bidi="en-US"/>
          <w14:textFill>
            <w14:solidFill>
              <w14:schemeClr w14:val="tx1"/>
            </w14:solidFill>
          </w14:textFill>
        </w:rPr>
      </w:pPr>
      <w:r>
        <w:rPr>
          <w:rFonts w:cs="Times New Roman"/>
          <w:color w:val="000000" w:themeColor="text1"/>
          <w:lang w:bidi="en-US"/>
          <w14:textFill>
            <w14:solidFill>
              <w14:schemeClr w14:val="tx1"/>
            </w14:solidFill>
          </w14:textFill>
        </w:rPr>
        <w:t>项目所在海域海洋生物资源密度概况</w:t>
      </w:r>
    </w:p>
    <w:p>
      <w:pPr>
        <w:pStyle w:val="5"/>
        <w:rPr>
          <w:color w:val="000000" w:themeColor="text1"/>
          <w14:textFill>
            <w14:solidFill>
              <w14:schemeClr w14:val="tx1"/>
            </w14:solidFill>
          </w14:textFill>
        </w:rPr>
      </w:pPr>
      <w:r>
        <w:rPr>
          <w:rFonts w:hint="eastAsia"/>
          <w:color w:val="000000" w:themeColor="text1"/>
          <w14:textFill>
            <w14:solidFill>
              <w14:schemeClr w14:val="tx1"/>
            </w14:solidFill>
          </w14:textFill>
        </w:rPr>
        <w:t>海水水质现状小结</w:t>
      </w:r>
    </w:p>
    <w:p>
      <w:pPr>
        <w:pStyle w:val="1075"/>
        <w:ind w:firstLine="437"/>
        <w:rPr>
          <w:color w:val="000000" w:themeColor="text1"/>
          <w14:textFill>
            <w14:solidFill>
              <w14:schemeClr w14:val="tx1"/>
            </w14:solidFill>
          </w14:textFill>
        </w:rPr>
      </w:pPr>
      <w:r>
        <w:rPr>
          <w:rFonts w:hint="eastAsia"/>
          <w:color w:val="000000" w:themeColor="text1"/>
          <w14:textFill>
            <w14:solidFill>
              <w14:schemeClr w14:val="tx1"/>
            </w14:solidFill>
          </w14:textFill>
        </w:rPr>
        <w:t>根据区域及环保验收阶段工程周边海域海洋环境现状调查，本项目工程周边海域整体水质较好，受陆源污染影响存在部分区域悬浮物、无机氮、无机磷超出二类标准限值要求外，工程所在功能区海域海水水质均达到相应水质标准。其中环保验收阶段4号监测点位位于</w:t>
      </w:r>
      <w:r>
        <w:rPr>
          <w:color w:val="000000" w:themeColor="text1"/>
          <w14:textFill>
            <w14:solidFill>
              <w14:schemeClr w14:val="tx1"/>
            </w14:solidFill>
          </w14:textFill>
        </w:rPr>
        <w:t>钦州港大榄坪排污混合区（GX057DⅣ），</w:t>
      </w:r>
      <w:r>
        <w:rPr>
          <w:rFonts w:hint="eastAsia"/>
          <w:color w:val="000000" w:themeColor="text1"/>
          <w14:textFill>
            <w14:solidFill>
              <w14:schemeClr w14:val="tx1"/>
            </w14:solidFill>
          </w14:textFill>
        </w:rPr>
        <w:t>该点水质监测指标均达到排污混合区Ⅳ类水质标准。</w:t>
      </w:r>
    </w:p>
    <w:p>
      <w:pPr>
        <w:pStyle w:val="5"/>
        <w:rPr>
          <w:color w:val="000000" w:themeColor="text1"/>
          <w14:textFill>
            <w14:solidFill>
              <w14:schemeClr w14:val="tx1"/>
            </w14:solidFill>
          </w14:textFill>
        </w:rPr>
      </w:pPr>
      <w:r>
        <w:rPr>
          <w:rFonts w:hint="eastAsia"/>
          <w:color w:val="000000" w:themeColor="text1"/>
          <w14:textFill>
            <w14:solidFill>
              <w14:schemeClr w14:val="tx1"/>
            </w14:solidFill>
          </w14:textFill>
        </w:rPr>
        <w:t>其他环境因素现状小结</w:t>
      </w:r>
    </w:p>
    <w:p>
      <w:pPr>
        <w:pStyle w:val="1075"/>
        <w:ind w:firstLine="437"/>
        <w:rPr>
          <w:color w:val="000000" w:themeColor="text1"/>
          <w14:textFill>
            <w14:solidFill>
              <w14:schemeClr w14:val="tx1"/>
            </w14:solidFill>
          </w14:textFill>
        </w:rPr>
      </w:pPr>
      <w:r>
        <w:rPr>
          <w:rFonts w:hint="eastAsia"/>
          <w:color w:val="000000" w:themeColor="text1"/>
          <w14:textFill>
            <w14:solidFill>
              <w14:schemeClr w14:val="tx1"/>
            </w14:solidFill>
          </w14:textFill>
        </w:rPr>
        <w:t>2023年项目所在区域为环境空气达标区，9号10泊位试运营期间机械正常运行，</w:t>
      </w:r>
      <w:r>
        <w:rPr>
          <w:color w:val="000000" w:themeColor="text1"/>
          <w:kern w:val="0"/>
          <w14:textFill>
            <w14:solidFill>
              <w14:schemeClr w14:val="tx1"/>
            </w14:solidFill>
          </w14:textFill>
        </w:rPr>
        <w:t>厂界各监测因子的24小时监测值评价指数均小于1，满足《大气污染物综合排放标准》（GB16297-1996）无组织排放限值要求，厂界运营期</w:t>
      </w:r>
      <w:r>
        <w:rPr>
          <w:color w:val="000000" w:themeColor="text1"/>
          <w14:textFill>
            <w14:solidFill>
              <w14:schemeClr w14:val="tx1"/>
            </w14:solidFill>
          </w14:textFill>
        </w:rPr>
        <w:t>噪声监测点昼夜间监测值均满足验收标准《工业企业厂界环境噪声排放标准》（GB12348-2008）3类标准限值要求。声环境及环境空气质量良好。</w:t>
      </w:r>
    </w:p>
    <w:p>
      <w:pPr>
        <w:pStyle w:val="1075"/>
        <w:ind w:firstLine="437"/>
        <w:rPr>
          <w:color w:val="000000" w:themeColor="text1"/>
          <w:kern w:val="0"/>
          <w14:textFill>
            <w14:solidFill>
              <w14:schemeClr w14:val="tx1"/>
            </w14:solidFill>
          </w14:textFill>
        </w:rPr>
      </w:pPr>
      <w:r>
        <w:rPr>
          <w:rFonts w:hint="eastAsia"/>
          <w:color w:val="000000" w:themeColor="text1"/>
          <w14:textFill>
            <w14:solidFill>
              <w14:schemeClr w14:val="tx1"/>
            </w14:solidFill>
          </w14:textFill>
        </w:rPr>
        <w:t>综上，本项目工程所在区域海水水质、沉积物、声环境及环境空气质量均较好，现有9号10号泊位运营后各项环境因素均达标。</w:t>
      </w:r>
    </w:p>
    <w:p>
      <w:pPr>
        <w:pStyle w:val="1075"/>
        <w:ind w:firstLine="437"/>
        <w:rPr>
          <w:color w:val="000000" w:themeColor="text1"/>
          <w14:textFill>
            <w14:solidFill>
              <w14:schemeClr w14:val="tx1"/>
            </w14:solidFill>
          </w14:textFill>
        </w:rPr>
      </w:pPr>
    </w:p>
    <w:p>
      <w:pPr>
        <w:pStyle w:val="1075"/>
        <w:ind w:firstLine="437"/>
        <w:rPr>
          <w:color w:val="000000" w:themeColor="text1"/>
          <w14:textFill>
            <w14:solidFill>
              <w14:schemeClr w14:val="tx1"/>
            </w14:solidFill>
          </w14:textFill>
        </w:rPr>
        <w:sectPr>
          <w:pgSz w:w="11907" w:h="16840"/>
          <w:pgMar w:top="1440" w:right="1514" w:bottom="1440" w:left="1797" w:header="992" w:footer="851" w:gutter="284"/>
          <w:pgNumType w:fmt="numberInDash"/>
          <w:cols w:space="425" w:num="1"/>
          <w:docGrid w:type="linesAndChars" w:linePitch="465" w:charSpace="-4355"/>
        </w:sectPr>
      </w:pPr>
    </w:p>
    <w:p>
      <w:pPr>
        <w:pStyle w:val="3"/>
        <w:rPr>
          <w:color w:val="000000" w:themeColor="text1"/>
          <w14:textFill>
            <w14:solidFill>
              <w14:schemeClr w14:val="tx1"/>
            </w14:solidFill>
          </w14:textFill>
        </w:rPr>
      </w:pPr>
      <w:bookmarkStart w:id="193" w:name="_Toc170918608"/>
      <w:r>
        <w:rPr>
          <w:color w:val="000000" w:themeColor="text1"/>
          <w14:textFill>
            <w14:solidFill>
              <w14:schemeClr w14:val="tx1"/>
            </w14:solidFill>
          </w14:textFill>
        </w:rPr>
        <w:t>环境影响预测与评价</w:t>
      </w:r>
      <w:bookmarkEnd w:id="186"/>
      <w:bookmarkEnd w:id="187"/>
      <w:bookmarkEnd w:id="188"/>
      <w:bookmarkEnd w:id="193"/>
    </w:p>
    <w:p>
      <w:pPr>
        <w:pStyle w:val="4"/>
        <w:rPr>
          <w:color w:val="000000" w:themeColor="text1"/>
          <w14:textFill>
            <w14:solidFill>
              <w14:schemeClr w14:val="tx1"/>
            </w14:solidFill>
          </w14:textFill>
        </w:rPr>
      </w:pPr>
      <w:bookmarkStart w:id="194" w:name="_Toc317003260"/>
      <w:bookmarkStart w:id="195" w:name="_Toc317003540"/>
      <w:bookmarkStart w:id="196" w:name="_Toc170918609"/>
      <w:bookmarkStart w:id="197" w:name="_Toc313461081"/>
      <w:bookmarkStart w:id="198" w:name="_Toc279516000"/>
      <w:r>
        <w:rPr>
          <w:color w:val="000000" w:themeColor="text1"/>
          <w14:textFill>
            <w14:solidFill>
              <w14:schemeClr w14:val="tx1"/>
            </w14:solidFill>
          </w14:textFill>
        </w:rPr>
        <w:t>水环境影响分析</w:t>
      </w:r>
      <w:bookmarkEnd w:id="194"/>
      <w:bookmarkEnd w:id="195"/>
      <w:bookmarkEnd w:id="196"/>
      <w:bookmarkEnd w:id="197"/>
    </w:p>
    <w:p>
      <w:pPr>
        <w:pStyle w:val="5"/>
        <w:rPr>
          <w:color w:val="000000" w:themeColor="text1"/>
          <w14:textFill>
            <w14:solidFill>
              <w14:schemeClr w14:val="tx1"/>
            </w14:solidFill>
          </w14:textFill>
        </w:rPr>
      </w:pPr>
      <w:r>
        <w:rPr>
          <w:color w:val="000000" w:themeColor="text1"/>
          <w14:textFill>
            <w14:solidFill>
              <w14:schemeClr w14:val="tx1"/>
            </w14:solidFill>
          </w14:textFill>
        </w:rPr>
        <w:t>施工期水环境影响</w:t>
      </w:r>
    </w:p>
    <w:p>
      <w:pPr>
        <w:pStyle w:val="6"/>
        <w:rPr>
          <w:color w:val="000000" w:themeColor="text1"/>
          <w14:textFill>
            <w14:solidFill>
              <w14:schemeClr w14:val="tx1"/>
            </w14:solidFill>
          </w14:textFill>
        </w:rPr>
      </w:pPr>
      <w:bookmarkStart w:id="199" w:name="_Toc317003259"/>
      <w:bookmarkStart w:id="200" w:name="_Toc317003539"/>
      <w:r>
        <w:rPr>
          <w:color w:val="000000" w:themeColor="text1"/>
          <w14:textFill>
            <w14:solidFill>
              <w14:schemeClr w14:val="tx1"/>
            </w14:solidFill>
          </w14:textFill>
        </w:rPr>
        <w:t>海洋水文动力环境影响预测与评价</w:t>
      </w:r>
    </w:p>
    <w:p>
      <w:pPr>
        <w:pStyle w:val="684"/>
        <w:ind w:firstLine="437"/>
        <w:rPr>
          <w:color w:val="000000" w:themeColor="text1"/>
          <w14:textFill>
            <w14:solidFill>
              <w14:schemeClr w14:val="tx1"/>
            </w14:solidFill>
          </w14:textFill>
        </w:rPr>
      </w:pPr>
      <w:r>
        <w:rPr>
          <w:color w:val="000000" w:themeColor="text1"/>
          <w14:textFill>
            <w14:solidFill>
              <w14:schemeClr w14:val="tx1"/>
            </w14:solidFill>
          </w14:textFill>
        </w:rPr>
        <w:t>潮流是最重要的水动力因素，潮流数值计算是研究评价海域现状潮流场及预测潮流场分布的一个重要手段，是海洋环境影响评价工作的基础。在此基础上，可进一步开展溢油风险事故影响评估，预测工程建设对海洋环境产生的影响，以便对工程的可行性作出正确的论证和评价，并为有关部门提供决策和管理依据。</w:t>
      </w:r>
    </w:p>
    <w:p>
      <w:pPr>
        <w:pStyle w:val="684"/>
        <w:ind w:firstLine="439"/>
        <w:rPr>
          <w:b/>
          <w:bCs/>
          <w:color w:val="000000" w:themeColor="text1"/>
          <w14:textFill>
            <w14:solidFill>
              <w14:schemeClr w14:val="tx1"/>
            </w14:solidFill>
          </w14:textFill>
        </w:rPr>
      </w:pPr>
      <w:r>
        <w:rPr>
          <w:rFonts w:hint="eastAsia"/>
          <w:b/>
          <w:bCs/>
          <w:color w:val="000000" w:themeColor="text1"/>
          <w14:textFill>
            <w14:solidFill>
              <w14:schemeClr w14:val="tx1"/>
            </w14:solidFill>
          </w14:textFill>
        </w:rPr>
        <w:t>1</w:t>
      </w:r>
      <w:r>
        <w:rPr>
          <w:b/>
          <w:bCs/>
          <w:color w:val="000000" w:themeColor="text1"/>
          <w14:textFill>
            <w14:solidFill>
              <w14:schemeClr w14:val="tx1"/>
            </w14:solidFill>
          </w14:textFill>
        </w:rPr>
        <w:t>、水动力模型简介</w:t>
      </w:r>
    </w:p>
    <w:p>
      <w:pPr>
        <w:pStyle w:val="283"/>
        <w:rPr>
          <w:color w:val="000000" w:themeColor="text1"/>
          <w14:textFill>
            <w14:solidFill>
              <w14:schemeClr w14:val="tx1"/>
            </w14:solidFill>
          </w14:textFill>
        </w:rPr>
      </w:pPr>
      <w:r>
        <w:rPr>
          <w:color w:val="000000" w:themeColor="text1"/>
          <w14:textFill>
            <w14:solidFill>
              <w14:schemeClr w14:val="tx1"/>
            </w14:solidFill>
          </w14:textFill>
        </w:rPr>
        <w:t>根据</w:t>
      </w:r>
      <w:r>
        <w:rPr>
          <w:rFonts w:hint="eastAsia"/>
          <w:color w:val="000000" w:themeColor="text1"/>
          <w14:textFill>
            <w14:solidFill>
              <w14:schemeClr w14:val="tx1"/>
            </w14:solidFill>
          </w14:textFill>
        </w:rPr>
        <w:t>《海洋工程环境影响评价技术导则》要求，一级评价采用模型模拟法，本次</w:t>
      </w:r>
      <w:r>
        <w:rPr>
          <w:color w:val="000000" w:themeColor="text1"/>
          <w14:textFill>
            <w14:solidFill>
              <w14:schemeClr w14:val="tx1"/>
            </w14:solidFill>
          </w14:textFill>
        </w:rPr>
        <w:t>评价采用美国马萨诸塞大学海洋科技研究院和吾兹霍尔海洋研究所联合开发的FVCOM（An Unstructured Grid, Finite-Volume Coastal Ocean Model）模式，</w:t>
      </w:r>
      <w:r>
        <w:rPr>
          <w:rFonts w:hint="eastAsia"/>
          <w:color w:val="000000" w:themeColor="text1"/>
          <w14:textFill>
            <w14:solidFill>
              <w14:schemeClr w14:val="tx1"/>
            </w14:solidFill>
          </w14:textFill>
        </w:rPr>
        <w:t>运算原则</w:t>
      </w:r>
      <w:r>
        <w:rPr>
          <w:color w:val="000000" w:themeColor="text1"/>
          <w14:textFill>
            <w14:solidFill>
              <w14:schemeClr w14:val="tx1"/>
            </w14:solidFill>
          </w14:textFill>
        </w:rPr>
        <w:t>为导则附录</w:t>
      </w:r>
      <w:r>
        <w:rPr>
          <w:rFonts w:hint="eastAsia"/>
          <w:color w:val="000000" w:themeColor="text1"/>
          <w14:textFill>
            <w14:solidFill>
              <w14:schemeClr w14:val="tx1"/>
            </w14:solidFill>
          </w14:textFill>
        </w:rPr>
        <w:t>D中平面二维潮流运动方程</w:t>
      </w:r>
      <w:r>
        <w:rPr>
          <w:color w:val="000000" w:themeColor="text1"/>
          <w14:textFill>
            <w14:solidFill>
              <w14:schemeClr w14:val="tx1"/>
            </w14:solidFill>
          </w14:textFill>
        </w:rPr>
        <w:t>。FVCOM的主要控制方程包括动量方程、连续方程、盐度扩散方程、温度扩散方程、状态方程等，采用Mellor-Yamada 2.5阶湍封闭方案用于计算垂直混合，采用Smagorinsky湍封闭模式用于计算水平混合。另外FVCOM还包含3维干/湿网格处理模块，质点跟踪模块，以及泥沙输运模块等。</w:t>
      </w:r>
    </w:p>
    <w:p>
      <w:pPr>
        <w:pStyle w:val="283"/>
        <w:rPr>
          <w:color w:val="000000" w:themeColor="text1"/>
          <w14:textFill>
            <w14:solidFill>
              <w14:schemeClr w14:val="tx1"/>
            </w14:solidFill>
          </w14:textFill>
        </w:rPr>
      </w:pPr>
      <w:r>
        <w:rPr>
          <w:color w:val="000000" w:themeColor="text1"/>
          <w14:textFill>
            <w14:solidFill>
              <w14:schemeClr w14:val="tx1"/>
            </w14:solidFill>
          </w14:textFill>
        </w:rPr>
        <w:t>该工程所在海域岸线曲折，采用FVCOM能较好地拟合岸线。</w:t>
      </w:r>
    </w:p>
    <w:p>
      <w:pPr>
        <w:pStyle w:val="283"/>
        <w:rPr>
          <w:color w:val="000000" w:themeColor="text1"/>
          <w14:textFill>
            <w14:solidFill>
              <w14:schemeClr w14:val="tx1"/>
            </w14:solidFill>
          </w14:textFill>
        </w:rPr>
      </w:pPr>
      <w:r>
        <w:rPr>
          <w:color w:val="000000" w:themeColor="text1"/>
          <w14:textFill>
            <w14:solidFill>
              <w14:schemeClr w14:val="tx1"/>
            </w14:solidFill>
          </w14:textFill>
        </w:rPr>
        <w:t>1）模型控制方程</w:t>
      </w:r>
    </w:p>
    <w:p>
      <w:pPr>
        <w:pStyle w:val="283"/>
        <w:rPr>
          <w:color w:val="000000" w:themeColor="text1"/>
          <w14:textFill>
            <w14:solidFill>
              <w14:schemeClr w14:val="tx1"/>
            </w14:solidFill>
          </w14:textFill>
        </w:rPr>
      </w:pPr>
      <w:r>
        <w:rPr>
          <w:color w:val="000000" w:themeColor="text1"/>
          <w14:textFill>
            <w14:solidFill>
              <w14:schemeClr w14:val="tx1"/>
            </w14:solidFill>
          </w14:textFill>
        </w:rPr>
        <w:t>本模型垂向采用坐标变换，坐标变换被定义为：</w:t>
      </w:r>
    </w:p>
    <w:p>
      <w:pPr>
        <w:pStyle w:val="283"/>
        <w:rPr>
          <w:color w:val="000000" w:themeColor="text1"/>
          <w14:textFill>
            <w14:solidFill>
              <w14:schemeClr w14:val="tx1"/>
            </w14:solidFill>
          </w14:textFill>
        </w:rPr>
      </w:pPr>
      <w:r>
        <w:rPr>
          <w:color w:val="000000" w:themeColor="text1"/>
          <w14:textFill>
            <w14:solidFill>
              <w14:schemeClr w14:val="tx1"/>
            </w14:solidFill>
          </w14:textFill>
        </w:rPr>
        <w:drawing>
          <wp:inline distT="0" distB="0" distL="0" distR="0">
            <wp:extent cx="1247775" cy="419100"/>
            <wp:effectExtent l="0" t="0" r="0" b="0"/>
            <wp:docPr id="12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图片 1"/>
                    <pic:cNvPicPr>
                      <a:picLocks noChangeAspect="1" noChangeArrowheads="1"/>
                    </pic:cNvPicPr>
                  </pic:nvPicPr>
                  <pic:blipFill>
                    <a:blip r:embed="rId71"/>
                    <a:srcRect/>
                    <a:stretch>
                      <a:fillRect/>
                    </a:stretch>
                  </pic:blipFill>
                  <pic:spPr>
                    <a:xfrm>
                      <a:off x="0" y="0"/>
                      <a:ext cx="1247775" cy="419100"/>
                    </a:xfrm>
                    <a:prstGeom prst="rect">
                      <a:avLst/>
                    </a:prstGeom>
                    <a:noFill/>
                    <a:ln w="9525">
                      <a:noFill/>
                      <a:miter lim="800000"/>
                      <a:headEnd/>
                      <a:tailEnd/>
                    </a:ln>
                  </pic:spPr>
                </pic:pic>
              </a:graphicData>
            </a:graphic>
          </wp:inline>
        </w:drawing>
      </w:r>
      <w:r>
        <w:rPr>
          <w:color w:val="000000" w:themeColor="text1"/>
          <w14:textFill>
            <w14:solidFill>
              <w14:schemeClr w14:val="tx1"/>
            </w14:solidFill>
          </w14:textFill>
        </w:rPr>
        <w:t xml:space="preserve">                                             （</w:t>
      </w:r>
      <w:r>
        <w:rPr>
          <w:rFonts w:hint="eastAsia"/>
          <w:color w:val="000000" w:themeColor="text1"/>
          <w14:textFill>
            <w14:solidFill>
              <w14:schemeClr w14:val="tx1"/>
            </w14:solidFill>
          </w14:textFill>
        </w:rPr>
        <w:t>4</w:t>
      </w:r>
      <w:r>
        <w:rPr>
          <w:color w:val="000000" w:themeColor="text1"/>
          <w14:textFill>
            <w14:solidFill>
              <w14:schemeClr w14:val="tx1"/>
            </w14:solidFill>
          </w14:textFill>
        </w:rPr>
        <w:t>.1-1）</w:t>
      </w:r>
    </w:p>
    <w:p>
      <w:pPr>
        <w:pStyle w:val="283"/>
        <w:rPr>
          <w:color w:val="000000" w:themeColor="text1"/>
          <w14:textFill>
            <w14:solidFill>
              <w14:schemeClr w14:val="tx1"/>
            </w14:solidFill>
          </w14:textFill>
        </w:rPr>
      </w:pPr>
      <w:r>
        <w:rPr>
          <w:color w:val="000000" w:themeColor="text1"/>
          <w14:textFill>
            <w14:solidFill>
              <w14:schemeClr w14:val="tx1"/>
            </w14:solidFill>
          </w14:textFill>
        </w:rPr>
        <w:t>在</w:t>
      </w:r>
      <w:r>
        <w:rPr>
          <w:color w:val="000000" w:themeColor="text1"/>
          <w14:textFill>
            <w14:solidFill>
              <w14:schemeClr w14:val="tx1"/>
            </w14:solidFill>
          </w14:textFill>
        </w:rPr>
        <w:drawing>
          <wp:inline distT="0" distB="0" distL="0" distR="0">
            <wp:extent cx="142875" cy="152400"/>
            <wp:effectExtent l="19050" t="0" r="0" b="0"/>
            <wp:docPr id="127"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图片 2"/>
                    <pic:cNvPicPr>
                      <a:picLocks noChangeAspect="1" noChangeArrowheads="1"/>
                    </pic:cNvPicPr>
                  </pic:nvPicPr>
                  <pic:blipFill>
                    <a:blip r:embed="rId72"/>
                    <a:srcRect/>
                    <a:stretch>
                      <a:fillRect/>
                    </a:stretch>
                  </pic:blipFill>
                  <pic:spPr>
                    <a:xfrm>
                      <a:off x="0" y="0"/>
                      <a:ext cx="142875" cy="152400"/>
                    </a:xfrm>
                    <a:prstGeom prst="rect">
                      <a:avLst/>
                    </a:prstGeom>
                    <a:noFill/>
                    <a:ln w="9525">
                      <a:noFill/>
                      <a:miter lim="800000"/>
                      <a:headEnd/>
                      <a:tailEnd/>
                    </a:ln>
                  </pic:spPr>
                </pic:pic>
              </a:graphicData>
            </a:graphic>
          </wp:inline>
        </w:drawing>
      </w:r>
      <w:r>
        <w:rPr>
          <w:color w:val="000000" w:themeColor="text1"/>
          <w14:textFill>
            <w14:solidFill>
              <w14:schemeClr w14:val="tx1"/>
            </w14:solidFill>
          </w14:textFill>
        </w:rPr>
        <w:t>坐标变换下，模式的控制方程组可写为：</w:t>
      </w:r>
    </w:p>
    <w:p>
      <w:pPr>
        <w:pStyle w:val="283"/>
        <w:rPr>
          <w:color w:val="000000" w:themeColor="text1"/>
          <w14:textFill>
            <w14:solidFill>
              <w14:schemeClr w14:val="tx1"/>
            </w14:solidFill>
          </w14:textFill>
        </w:rPr>
      </w:pPr>
      <w:r>
        <w:rPr>
          <w:color w:val="000000" w:themeColor="text1"/>
          <w14:textFill>
            <w14:solidFill>
              <w14:schemeClr w14:val="tx1"/>
            </w14:solidFill>
          </w14:textFill>
        </w:rPr>
        <w:drawing>
          <wp:inline distT="0" distB="0" distL="0" distR="0">
            <wp:extent cx="1714500" cy="419100"/>
            <wp:effectExtent l="0" t="0" r="0" b="0"/>
            <wp:docPr id="3368"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8" name="图片 3"/>
                    <pic:cNvPicPr>
                      <a:picLocks noChangeAspect="1" noChangeArrowheads="1"/>
                    </pic:cNvPicPr>
                  </pic:nvPicPr>
                  <pic:blipFill>
                    <a:blip r:embed="rId73"/>
                    <a:srcRect/>
                    <a:stretch>
                      <a:fillRect/>
                    </a:stretch>
                  </pic:blipFill>
                  <pic:spPr>
                    <a:xfrm>
                      <a:off x="0" y="0"/>
                      <a:ext cx="1714500" cy="419100"/>
                    </a:xfrm>
                    <a:prstGeom prst="rect">
                      <a:avLst/>
                    </a:prstGeom>
                    <a:noFill/>
                    <a:ln w="9525">
                      <a:noFill/>
                      <a:miter lim="800000"/>
                      <a:headEnd/>
                      <a:tailEnd/>
                    </a:ln>
                  </pic:spPr>
                </pic:pic>
              </a:graphicData>
            </a:graphic>
          </wp:inline>
        </w:drawing>
      </w:r>
      <w:r>
        <w:rPr>
          <w:color w:val="000000" w:themeColor="text1"/>
          <w14:textFill>
            <w14:solidFill>
              <w14:schemeClr w14:val="tx1"/>
            </w14:solidFill>
          </w14:textFill>
        </w:rPr>
        <w:t xml:space="preserve">                                      （</w:t>
      </w:r>
      <w:r>
        <w:rPr>
          <w:rFonts w:hint="eastAsia"/>
          <w:color w:val="000000" w:themeColor="text1"/>
          <w14:textFill>
            <w14:solidFill>
              <w14:schemeClr w14:val="tx1"/>
            </w14:solidFill>
          </w14:textFill>
        </w:rPr>
        <w:t>4</w:t>
      </w:r>
      <w:r>
        <w:rPr>
          <w:color w:val="000000" w:themeColor="text1"/>
          <w14:textFill>
            <w14:solidFill>
              <w14:schemeClr w14:val="tx1"/>
            </w14:solidFill>
          </w14:textFill>
        </w:rPr>
        <w:t>.1-2）</w:t>
      </w:r>
    </w:p>
    <w:p>
      <w:pPr>
        <w:pStyle w:val="283"/>
        <w:rPr>
          <w:color w:val="000000" w:themeColor="text1"/>
          <w14:textFill>
            <w14:solidFill>
              <w14:schemeClr w14:val="tx1"/>
            </w14:solidFill>
          </w14:textFill>
        </w:rPr>
      </w:pPr>
      <w:r>
        <w:rPr>
          <w:color w:val="000000" w:themeColor="text1"/>
          <w14:textFill>
            <w14:solidFill>
              <w14:schemeClr w14:val="tx1"/>
            </w14:solidFill>
          </w14:textFill>
        </w:rPr>
        <w:drawing>
          <wp:inline distT="0" distB="0" distL="0" distR="0">
            <wp:extent cx="4000500" cy="942975"/>
            <wp:effectExtent l="19050" t="0" r="0" b="0"/>
            <wp:docPr id="3369"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9" name="图片 4"/>
                    <pic:cNvPicPr>
                      <a:picLocks noChangeAspect="1" noChangeArrowheads="1"/>
                    </pic:cNvPicPr>
                  </pic:nvPicPr>
                  <pic:blipFill>
                    <a:blip r:embed="rId74"/>
                    <a:srcRect/>
                    <a:stretch>
                      <a:fillRect/>
                    </a:stretch>
                  </pic:blipFill>
                  <pic:spPr>
                    <a:xfrm>
                      <a:off x="0" y="0"/>
                      <a:ext cx="4000500" cy="942975"/>
                    </a:xfrm>
                    <a:prstGeom prst="rect">
                      <a:avLst/>
                    </a:prstGeom>
                    <a:noFill/>
                    <a:ln w="9525">
                      <a:noFill/>
                      <a:miter lim="800000"/>
                      <a:headEnd/>
                      <a:tailEnd/>
                    </a:ln>
                  </pic:spPr>
                </pic:pic>
              </a:graphicData>
            </a:graphic>
          </wp:inline>
        </w:drawing>
      </w:r>
      <w:r>
        <w:rPr>
          <w:color w:val="000000" w:themeColor="text1"/>
          <w14:textFill>
            <w14:solidFill>
              <w14:schemeClr w14:val="tx1"/>
            </w14:solidFill>
          </w14:textFill>
        </w:rPr>
        <w:t xml:space="preserve">      （</w:t>
      </w:r>
      <w:r>
        <w:rPr>
          <w:rFonts w:hint="eastAsia"/>
          <w:color w:val="000000" w:themeColor="text1"/>
          <w14:textFill>
            <w14:solidFill>
              <w14:schemeClr w14:val="tx1"/>
            </w14:solidFill>
          </w14:textFill>
        </w:rPr>
        <w:t>4</w:t>
      </w:r>
      <w:r>
        <w:rPr>
          <w:color w:val="000000" w:themeColor="text1"/>
          <w14:textFill>
            <w14:solidFill>
              <w14:schemeClr w14:val="tx1"/>
            </w14:solidFill>
          </w14:textFill>
        </w:rPr>
        <w:t>.1-3）</w:t>
      </w:r>
    </w:p>
    <w:p>
      <w:pPr>
        <w:pStyle w:val="283"/>
        <w:rPr>
          <w:color w:val="000000" w:themeColor="text1"/>
          <w14:textFill>
            <w14:solidFill>
              <w14:schemeClr w14:val="tx1"/>
            </w14:solidFill>
          </w14:textFill>
        </w:rPr>
      </w:pPr>
      <w:r>
        <w:rPr>
          <w:color w:val="000000" w:themeColor="text1"/>
          <w14:textFill>
            <w14:solidFill>
              <w14:schemeClr w14:val="tx1"/>
            </w14:solidFill>
          </w14:textFill>
        </w:rPr>
        <w:drawing>
          <wp:inline distT="0" distB="0" distL="0" distR="0">
            <wp:extent cx="3962400" cy="942975"/>
            <wp:effectExtent l="19050" t="0" r="0" b="0"/>
            <wp:docPr id="3370"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0" name="图片 5"/>
                    <pic:cNvPicPr>
                      <a:picLocks noChangeAspect="1" noChangeArrowheads="1"/>
                    </pic:cNvPicPr>
                  </pic:nvPicPr>
                  <pic:blipFill>
                    <a:blip r:embed="rId75"/>
                    <a:srcRect/>
                    <a:stretch>
                      <a:fillRect/>
                    </a:stretch>
                  </pic:blipFill>
                  <pic:spPr>
                    <a:xfrm>
                      <a:off x="0" y="0"/>
                      <a:ext cx="3962400" cy="942975"/>
                    </a:xfrm>
                    <a:prstGeom prst="rect">
                      <a:avLst/>
                    </a:prstGeom>
                    <a:noFill/>
                    <a:ln w="9525">
                      <a:noFill/>
                      <a:miter lim="800000"/>
                      <a:headEnd/>
                      <a:tailEnd/>
                    </a:ln>
                  </pic:spPr>
                </pic:pic>
              </a:graphicData>
            </a:graphic>
          </wp:inline>
        </w:drawing>
      </w:r>
      <w:r>
        <w:rPr>
          <w:color w:val="000000" w:themeColor="text1"/>
          <w14:textFill>
            <w14:solidFill>
              <w14:schemeClr w14:val="tx1"/>
            </w14:solidFill>
          </w14:textFill>
        </w:rPr>
        <w:t xml:space="preserve">        （</w:t>
      </w:r>
      <w:r>
        <w:rPr>
          <w:rFonts w:hint="eastAsia"/>
          <w:color w:val="000000" w:themeColor="text1"/>
          <w14:textFill>
            <w14:solidFill>
              <w14:schemeClr w14:val="tx1"/>
            </w14:solidFill>
          </w14:textFill>
        </w:rPr>
        <w:t>4</w:t>
      </w:r>
      <w:r>
        <w:rPr>
          <w:color w:val="000000" w:themeColor="text1"/>
          <w14:textFill>
            <w14:solidFill>
              <w14:schemeClr w14:val="tx1"/>
            </w14:solidFill>
          </w14:textFill>
        </w:rPr>
        <w:t>.1-4）</w:t>
      </w:r>
    </w:p>
    <w:p>
      <w:pPr>
        <w:pStyle w:val="283"/>
        <w:rPr>
          <w:color w:val="000000" w:themeColor="text1"/>
          <w14:textFill>
            <w14:solidFill>
              <w14:schemeClr w14:val="tx1"/>
            </w14:solidFill>
          </w14:textFill>
        </w:rPr>
      </w:pPr>
      <w:r>
        <w:rPr>
          <w:color w:val="000000" w:themeColor="text1"/>
          <w14:textFill>
            <w14:solidFill>
              <w14:schemeClr w14:val="tx1"/>
            </w14:solidFill>
          </w14:textFill>
        </w:rPr>
        <w:drawing>
          <wp:inline distT="0" distB="0" distL="0" distR="0">
            <wp:extent cx="3619500" cy="419100"/>
            <wp:effectExtent l="0" t="0" r="0" b="0"/>
            <wp:docPr id="3371"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1" name="图片 6"/>
                    <pic:cNvPicPr>
                      <a:picLocks noChangeAspect="1" noChangeArrowheads="1"/>
                    </pic:cNvPicPr>
                  </pic:nvPicPr>
                  <pic:blipFill>
                    <a:blip r:embed="rId76"/>
                    <a:srcRect/>
                    <a:stretch>
                      <a:fillRect/>
                    </a:stretch>
                  </pic:blipFill>
                  <pic:spPr>
                    <a:xfrm>
                      <a:off x="0" y="0"/>
                      <a:ext cx="3619500" cy="419100"/>
                    </a:xfrm>
                    <a:prstGeom prst="rect">
                      <a:avLst/>
                    </a:prstGeom>
                    <a:noFill/>
                    <a:ln w="9525">
                      <a:noFill/>
                      <a:miter lim="800000"/>
                      <a:headEnd/>
                      <a:tailEnd/>
                    </a:ln>
                  </pic:spPr>
                </pic:pic>
              </a:graphicData>
            </a:graphic>
          </wp:inline>
        </w:drawing>
      </w:r>
      <w:r>
        <w:rPr>
          <w:color w:val="000000" w:themeColor="text1"/>
          <w14:textFill>
            <w14:solidFill>
              <w14:schemeClr w14:val="tx1"/>
            </w14:solidFill>
          </w14:textFill>
        </w:rPr>
        <w:t xml:space="preserve">             （</w:t>
      </w:r>
      <w:r>
        <w:rPr>
          <w:rFonts w:hint="eastAsia"/>
          <w:color w:val="000000" w:themeColor="text1"/>
          <w14:textFill>
            <w14:solidFill>
              <w14:schemeClr w14:val="tx1"/>
            </w14:solidFill>
          </w14:textFill>
        </w:rPr>
        <w:t>4</w:t>
      </w:r>
      <w:r>
        <w:rPr>
          <w:color w:val="000000" w:themeColor="text1"/>
          <w14:textFill>
            <w14:solidFill>
              <w14:schemeClr w14:val="tx1"/>
            </w14:solidFill>
          </w14:textFill>
        </w:rPr>
        <w:t>.1-5）</w:t>
      </w:r>
    </w:p>
    <w:p>
      <w:pPr>
        <w:pStyle w:val="283"/>
        <w:rPr>
          <w:color w:val="000000" w:themeColor="text1"/>
          <w14:textFill>
            <w14:solidFill>
              <w14:schemeClr w14:val="tx1"/>
            </w14:solidFill>
          </w14:textFill>
        </w:rPr>
      </w:pPr>
      <w:r>
        <w:rPr>
          <w:color w:val="000000" w:themeColor="text1"/>
          <w14:textFill>
            <w14:solidFill>
              <w14:schemeClr w14:val="tx1"/>
            </w14:solidFill>
          </w14:textFill>
        </w:rPr>
        <w:drawing>
          <wp:inline distT="0" distB="0" distL="0" distR="0">
            <wp:extent cx="2952750" cy="390525"/>
            <wp:effectExtent l="0" t="0" r="0" b="0"/>
            <wp:docPr id="3372"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2" name="图片 7"/>
                    <pic:cNvPicPr>
                      <a:picLocks noChangeAspect="1" noChangeArrowheads="1"/>
                    </pic:cNvPicPr>
                  </pic:nvPicPr>
                  <pic:blipFill>
                    <a:blip r:embed="rId77"/>
                    <a:srcRect/>
                    <a:stretch>
                      <a:fillRect/>
                    </a:stretch>
                  </pic:blipFill>
                  <pic:spPr>
                    <a:xfrm>
                      <a:off x="0" y="0"/>
                      <a:ext cx="2952750" cy="390525"/>
                    </a:xfrm>
                    <a:prstGeom prst="rect">
                      <a:avLst/>
                    </a:prstGeom>
                    <a:noFill/>
                    <a:ln w="9525">
                      <a:noFill/>
                      <a:miter lim="800000"/>
                      <a:headEnd/>
                      <a:tailEnd/>
                    </a:ln>
                  </pic:spPr>
                </pic:pic>
              </a:graphicData>
            </a:graphic>
          </wp:inline>
        </w:drawing>
      </w:r>
      <w:r>
        <w:rPr>
          <w:color w:val="000000" w:themeColor="text1"/>
          <w14:textFill>
            <w14:solidFill>
              <w14:schemeClr w14:val="tx1"/>
            </w14:solidFill>
          </w14:textFill>
        </w:rPr>
        <w:t xml:space="preserve">                       （</w:t>
      </w:r>
      <w:r>
        <w:rPr>
          <w:rFonts w:hint="eastAsia"/>
          <w:color w:val="000000" w:themeColor="text1"/>
          <w14:textFill>
            <w14:solidFill>
              <w14:schemeClr w14:val="tx1"/>
            </w14:solidFill>
          </w14:textFill>
        </w:rPr>
        <w:t>4</w:t>
      </w:r>
      <w:r>
        <w:rPr>
          <w:color w:val="000000" w:themeColor="text1"/>
          <w14:textFill>
            <w14:solidFill>
              <w14:schemeClr w14:val="tx1"/>
            </w14:solidFill>
          </w14:textFill>
        </w:rPr>
        <w:t>.1-6）</w:t>
      </w:r>
    </w:p>
    <w:p>
      <w:pPr>
        <w:pStyle w:val="283"/>
        <w:rPr>
          <w:color w:val="000000" w:themeColor="text1"/>
          <w14:textFill>
            <w14:solidFill>
              <w14:schemeClr w14:val="tx1"/>
            </w14:solidFill>
          </w14:textFill>
        </w:rPr>
      </w:pPr>
      <w:r>
        <w:rPr>
          <w:color w:val="000000" w:themeColor="text1"/>
          <w14:textFill>
            <w14:solidFill>
              <w14:schemeClr w14:val="tx1"/>
            </w14:solidFill>
          </w14:textFill>
        </w:rPr>
        <w:drawing>
          <wp:inline distT="0" distB="0" distL="0" distR="0">
            <wp:extent cx="723900" cy="200025"/>
            <wp:effectExtent l="19050" t="0" r="0" b="0"/>
            <wp:docPr id="3373"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3" name="图片 8"/>
                    <pic:cNvPicPr>
                      <a:picLocks noChangeAspect="1" noChangeArrowheads="1"/>
                    </pic:cNvPicPr>
                  </pic:nvPicPr>
                  <pic:blipFill>
                    <a:blip r:embed="rId78"/>
                    <a:srcRect/>
                    <a:stretch>
                      <a:fillRect/>
                    </a:stretch>
                  </pic:blipFill>
                  <pic:spPr>
                    <a:xfrm>
                      <a:off x="0" y="0"/>
                      <a:ext cx="723900" cy="200025"/>
                    </a:xfrm>
                    <a:prstGeom prst="rect">
                      <a:avLst/>
                    </a:prstGeom>
                    <a:noFill/>
                    <a:ln w="9525">
                      <a:noFill/>
                      <a:miter lim="800000"/>
                      <a:headEnd/>
                      <a:tailEnd/>
                    </a:ln>
                  </pic:spPr>
                </pic:pic>
              </a:graphicData>
            </a:graphic>
          </wp:inline>
        </w:drawing>
      </w:r>
      <w:r>
        <w:rPr>
          <w:color w:val="000000" w:themeColor="text1"/>
          <w14:textFill>
            <w14:solidFill>
              <w14:schemeClr w14:val="tx1"/>
            </w14:solidFill>
          </w14:textFill>
        </w:rPr>
        <w:t xml:space="preserve">                                                       （</w:t>
      </w:r>
      <w:r>
        <w:rPr>
          <w:rFonts w:hint="eastAsia"/>
          <w:color w:val="000000" w:themeColor="text1"/>
          <w14:textFill>
            <w14:solidFill>
              <w14:schemeClr w14:val="tx1"/>
            </w14:solidFill>
          </w14:textFill>
        </w:rPr>
        <w:t>4</w:t>
      </w:r>
      <w:r>
        <w:rPr>
          <w:color w:val="000000" w:themeColor="text1"/>
          <w14:textFill>
            <w14:solidFill>
              <w14:schemeClr w14:val="tx1"/>
            </w14:solidFill>
          </w14:textFill>
        </w:rPr>
        <w:t>.1-7）</w:t>
      </w:r>
    </w:p>
    <w:p>
      <w:pPr>
        <w:pStyle w:val="283"/>
        <w:rPr>
          <w:color w:val="000000" w:themeColor="text1"/>
          <w14:textFill>
            <w14:solidFill>
              <w14:schemeClr w14:val="tx1"/>
            </w14:solidFill>
          </w14:textFill>
        </w:rPr>
      </w:pPr>
      <w:r>
        <w:rPr>
          <w:color w:val="000000" w:themeColor="text1"/>
          <w14:textFill>
            <w14:solidFill>
              <w14:schemeClr w14:val="tx1"/>
            </w14:solidFill>
          </w14:textFill>
        </w:rPr>
        <w:t>其中水平扩散项被定义为：</w:t>
      </w:r>
    </w:p>
    <w:p>
      <w:pPr>
        <w:pStyle w:val="283"/>
        <w:rPr>
          <w:color w:val="000000" w:themeColor="text1"/>
          <w14:textFill>
            <w14:solidFill>
              <w14:schemeClr w14:val="tx1"/>
            </w14:solidFill>
          </w14:textFill>
        </w:rPr>
      </w:pPr>
      <w:r>
        <w:rPr>
          <w:color w:val="000000" w:themeColor="text1"/>
          <w14:textFill>
            <w14:solidFill>
              <w14:schemeClr w14:val="tx1"/>
            </w14:solidFill>
          </w14:textFill>
        </w:rPr>
        <w:drawing>
          <wp:inline distT="0" distB="0" distL="0" distR="0">
            <wp:extent cx="2676525" cy="419100"/>
            <wp:effectExtent l="19050" t="0" r="9525" b="0"/>
            <wp:docPr id="3374"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4" name="图片 9"/>
                    <pic:cNvPicPr>
                      <a:picLocks noChangeAspect="1" noChangeArrowheads="1"/>
                    </pic:cNvPicPr>
                  </pic:nvPicPr>
                  <pic:blipFill>
                    <a:blip r:embed="rId79"/>
                    <a:srcRect/>
                    <a:stretch>
                      <a:fillRect/>
                    </a:stretch>
                  </pic:blipFill>
                  <pic:spPr>
                    <a:xfrm>
                      <a:off x="0" y="0"/>
                      <a:ext cx="2676525" cy="419100"/>
                    </a:xfrm>
                    <a:prstGeom prst="rect">
                      <a:avLst/>
                    </a:prstGeom>
                    <a:noFill/>
                    <a:ln w="9525">
                      <a:noFill/>
                      <a:miter lim="800000"/>
                      <a:headEnd/>
                      <a:tailEnd/>
                    </a:ln>
                  </pic:spPr>
                </pic:pic>
              </a:graphicData>
            </a:graphic>
          </wp:inline>
        </w:drawing>
      </w:r>
      <w:r>
        <w:rPr>
          <w:color w:val="000000" w:themeColor="text1"/>
          <w14:textFill>
            <w14:solidFill>
              <w14:schemeClr w14:val="tx1"/>
            </w14:solidFill>
          </w14:textFill>
        </w:rPr>
        <w:t xml:space="preserve">                           （</w:t>
      </w:r>
      <w:r>
        <w:rPr>
          <w:rFonts w:hint="eastAsia"/>
          <w:color w:val="000000" w:themeColor="text1"/>
          <w14:textFill>
            <w14:solidFill>
              <w14:schemeClr w14:val="tx1"/>
            </w14:solidFill>
          </w14:textFill>
        </w:rPr>
        <w:t>4</w:t>
      </w:r>
      <w:r>
        <w:rPr>
          <w:color w:val="000000" w:themeColor="text1"/>
          <w14:textFill>
            <w14:solidFill>
              <w14:schemeClr w14:val="tx1"/>
            </w14:solidFill>
          </w14:textFill>
        </w:rPr>
        <w:t>.1-8）</w:t>
      </w:r>
    </w:p>
    <w:p>
      <w:pPr>
        <w:pStyle w:val="283"/>
        <w:rPr>
          <w:color w:val="000000" w:themeColor="text1"/>
          <w14:textFill>
            <w14:solidFill>
              <w14:schemeClr w14:val="tx1"/>
            </w14:solidFill>
          </w14:textFill>
        </w:rPr>
      </w:pPr>
      <w:r>
        <w:rPr>
          <w:color w:val="000000" w:themeColor="text1"/>
          <w14:textFill>
            <w14:solidFill>
              <w14:schemeClr w14:val="tx1"/>
            </w14:solidFill>
          </w14:textFill>
        </w:rPr>
        <w:drawing>
          <wp:inline distT="0" distB="0" distL="0" distR="0">
            <wp:extent cx="2676525" cy="419100"/>
            <wp:effectExtent l="19050" t="0" r="0" b="0"/>
            <wp:docPr id="3375"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5" name="图片 10"/>
                    <pic:cNvPicPr>
                      <a:picLocks noChangeAspect="1" noChangeArrowheads="1"/>
                    </pic:cNvPicPr>
                  </pic:nvPicPr>
                  <pic:blipFill>
                    <a:blip r:embed="rId80"/>
                    <a:srcRect/>
                    <a:stretch>
                      <a:fillRect/>
                    </a:stretch>
                  </pic:blipFill>
                  <pic:spPr>
                    <a:xfrm>
                      <a:off x="0" y="0"/>
                      <a:ext cx="2676525" cy="419100"/>
                    </a:xfrm>
                    <a:prstGeom prst="rect">
                      <a:avLst/>
                    </a:prstGeom>
                    <a:noFill/>
                    <a:ln w="9525">
                      <a:noFill/>
                      <a:miter lim="800000"/>
                      <a:headEnd/>
                      <a:tailEnd/>
                    </a:ln>
                  </pic:spPr>
                </pic:pic>
              </a:graphicData>
            </a:graphic>
          </wp:inline>
        </w:drawing>
      </w:r>
      <w:r>
        <w:rPr>
          <w:color w:val="000000" w:themeColor="text1"/>
          <w14:textFill>
            <w14:solidFill>
              <w14:schemeClr w14:val="tx1"/>
            </w14:solidFill>
          </w14:textFill>
        </w:rPr>
        <w:t xml:space="preserve">                            （</w:t>
      </w:r>
      <w:r>
        <w:rPr>
          <w:rFonts w:hint="eastAsia"/>
          <w:color w:val="000000" w:themeColor="text1"/>
          <w14:textFill>
            <w14:solidFill>
              <w14:schemeClr w14:val="tx1"/>
            </w14:solidFill>
          </w14:textFill>
        </w:rPr>
        <w:t>4</w:t>
      </w:r>
      <w:r>
        <w:rPr>
          <w:color w:val="000000" w:themeColor="text1"/>
          <w14:textFill>
            <w14:solidFill>
              <w14:schemeClr w14:val="tx1"/>
            </w14:solidFill>
          </w14:textFill>
        </w:rPr>
        <w:t>.1-9）</w:t>
      </w:r>
    </w:p>
    <w:p>
      <w:pPr>
        <w:pStyle w:val="283"/>
        <w:rPr>
          <w:color w:val="000000" w:themeColor="text1"/>
          <w14:textFill>
            <w14:solidFill>
              <w14:schemeClr w14:val="tx1"/>
            </w14:solidFill>
          </w14:textFill>
        </w:rPr>
      </w:pPr>
      <w:r>
        <w:rPr>
          <w:color w:val="000000" w:themeColor="text1"/>
          <w14:textFill>
            <w14:solidFill>
              <w14:schemeClr w14:val="tx1"/>
            </w14:solidFill>
          </w14:textFill>
        </w:rPr>
        <w:drawing>
          <wp:inline distT="0" distB="0" distL="0" distR="0">
            <wp:extent cx="3924300" cy="419100"/>
            <wp:effectExtent l="19050" t="0" r="0" b="0"/>
            <wp:docPr id="3376"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6" name="图片 11"/>
                    <pic:cNvPicPr>
                      <a:picLocks noChangeAspect="1" noChangeArrowheads="1"/>
                    </pic:cNvPicPr>
                  </pic:nvPicPr>
                  <pic:blipFill>
                    <a:blip r:embed="rId81"/>
                    <a:srcRect/>
                    <a:stretch>
                      <a:fillRect/>
                    </a:stretch>
                  </pic:blipFill>
                  <pic:spPr>
                    <a:xfrm>
                      <a:off x="0" y="0"/>
                      <a:ext cx="3924300" cy="419100"/>
                    </a:xfrm>
                    <a:prstGeom prst="rect">
                      <a:avLst/>
                    </a:prstGeom>
                    <a:noFill/>
                    <a:ln w="9525">
                      <a:noFill/>
                      <a:miter lim="800000"/>
                      <a:headEnd/>
                      <a:tailEnd/>
                    </a:ln>
                  </pic:spPr>
                </pic:pic>
              </a:graphicData>
            </a:graphic>
          </wp:inline>
        </w:drawing>
      </w:r>
      <w:r>
        <w:rPr>
          <w:color w:val="000000" w:themeColor="text1"/>
          <w14:textFill>
            <w14:solidFill>
              <w14:schemeClr w14:val="tx1"/>
            </w14:solidFill>
          </w14:textFill>
        </w:rPr>
        <w:t xml:space="preserve">         （5.1-10）</w:t>
      </w:r>
    </w:p>
    <w:p>
      <w:pPr>
        <w:pStyle w:val="283"/>
        <w:rPr>
          <w:color w:val="000000" w:themeColor="text1"/>
          <w14:textFill>
            <w14:solidFill>
              <w14:schemeClr w14:val="tx1"/>
            </w14:solidFill>
          </w14:textFill>
        </w:rPr>
      </w:pPr>
      <w:r>
        <w:rPr>
          <w:color w:val="000000" w:themeColor="text1"/>
          <w14:textFill>
            <w14:solidFill>
              <w14:schemeClr w14:val="tx1"/>
            </w14:solidFill>
          </w14:textFill>
        </w:rPr>
        <w:t xml:space="preserve">式中 </w:t>
      </w:r>
      <w:r>
        <w:rPr>
          <w:color w:val="000000" w:themeColor="text1"/>
          <w14:textFill>
            <w14:solidFill>
              <w14:schemeClr w14:val="tx1"/>
            </w14:solidFill>
          </w14:textFill>
        </w:rPr>
        <w:drawing>
          <wp:inline distT="0" distB="0" distL="0" distR="0">
            <wp:extent cx="219075" cy="219075"/>
            <wp:effectExtent l="0" t="0" r="9525" b="0"/>
            <wp:docPr id="3377" name="图片 3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7" name="图片 3377"/>
                    <pic:cNvPicPr>
                      <a:picLocks noChangeAspect="1" noChangeArrowheads="1"/>
                    </pic:cNvPicPr>
                  </pic:nvPicPr>
                  <pic:blipFill>
                    <a:blip r:embed="rId82"/>
                    <a:srcRect/>
                    <a:stretch>
                      <a:fillRect/>
                    </a:stretch>
                  </pic:blipFill>
                  <pic:spPr>
                    <a:xfrm>
                      <a:off x="0" y="0"/>
                      <a:ext cx="219075" cy="219075"/>
                    </a:xfrm>
                    <a:prstGeom prst="rect">
                      <a:avLst/>
                    </a:prstGeom>
                    <a:noFill/>
                    <a:ln w="9525">
                      <a:noFill/>
                      <a:miter lim="800000"/>
                      <a:headEnd/>
                      <a:tailEnd/>
                    </a:ln>
                  </pic:spPr>
                </pic:pic>
              </a:graphicData>
            </a:graphic>
          </wp:inline>
        </w:drawing>
      </w:r>
      <w:r>
        <w:rPr>
          <w:color w:val="000000" w:themeColor="text1"/>
          <w14:textFill>
            <w14:solidFill>
              <w14:schemeClr w14:val="tx1"/>
            </w14:solidFill>
          </w14:textFill>
        </w:rPr>
        <w:t>，</w:t>
      </w:r>
      <w:r>
        <w:rPr>
          <w:color w:val="000000" w:themeColor="text1"/>
          <w14:textFill>
            <w14:solidFill>
              <w14:schemeClr w14:val="tx1"/>
            </w14:solidFill>
          </w14:textFill>
        </w:rPr>
        <w:drawing>
          <wp:inline distT="0" distB="0" distL="0" distR="0">
            <wp:extent cx="200025" cy="219075"/>
            <wp:effectExtent l="0" t="0" r="9525" b="0"/>
            <wp:docPr id="3378"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8" name="图片 13"/>
                    <pic:cNvPicPr>
                      <a:picLocks noChangeAspect="1" noChangeArrowheads="1"/>
                    </pic:cNvPicPr>
                  </pic:nvPicPr>
                  <pic:blipFill>
                    <a:blip r:embed="rId83"/>
                    <a:srcRect/>
                    <a:stretch>
                      <a:fillRect/>
                    </a:stretch>
                  </pic:blipFill>
                  <pic:spPr>
                    <a:xfrm>
                      <a:off x="0" y="0"/>
                      <a:ext cx="200025" cy="219075"/>
                    </a:xfrm>
                    <a:prstGeom prst="rect">
                      <a:avLst/>
                    </a:prstGeom>
                    <a:noFill/>
                    <a:ln w="9525">
                      <a:noFill/>
                      <a:miter lim="800000"/>
                      <a:headEnd/>
                      <a:tailEnd/>
                    </a:ln>
                  </pic:spPr>
                </pic:pic>
              </a:graphicData>
            </a:graphic>
          </wp:inline>
        </w:drawing>
      </w:r>
      <w:r>
        <w:rPr>
          <w:color w:val="000000" w:themeColor="text1"/>
          <w14:textFill>
            <w14:solidFill>
              <w14:schemeClr w14:val="tx1"/>
            </w14:solidFill>
          </w14:textFill>
        </w:rPr>
        <w:t>分别为水平涡动粘性系数和热扩散系数；</w:t>
      </w:r>
      <w:r>
        <w:rPr>
          <w:color w:val="000000" w:themeColor="text1"/>
          <w14:textFill>
            <w14:solidFill>
              <w14:schemeClr w14:val="tx1"/>
            </w14:solidFill>
          </w14:textFill>
        </w:rPr>
        <w:drawing>
          <wp:inline distT="0" distB="0" distL="0" distR="0">
            <wp:extent cx="714375" cy="200025"/>
            <wp:effectExtent l="0" t="0" r="9525" b="0"/>
            <wp:docPr id="3379"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9" name="图片 14"/>
                    <pic:cNvPicPr>
                      <a:picLocks noChangeAspect="1" noChangeArrowheads="1"/>
                    </pic:cNvPicPr>
                  </pic:nvPicPr>
                  <pic:blipFill>
                    <a:blip r:embed="rId84"/>
                    <a:srcRect/>
                    <a:stretch>
                      <a:fillRect/>
                    </a:stretch>
                  </pic:blipFill>
                  <pic:spPr>
                    <a:xfrm>
                      <a:off x="0" y="0"/>
                      <a:ext cx="714375" cy="200025"/>
                    </a:xfrm>
                    <a:prstGeom prst="rect">
                      <a:avLst/>
                    </a:prstGeom>
                    <a:noFill/>
                    <a:ln w="9525">
                      <a:noFill/>
                      <a:miter lim="800000"/>
                      <a:headEnd/>
                      <a:tailEnd/>
                    </a:ln>
                  </pic:spPr>
                </pic:pic>
              </a:graphicData>
            </a:graphic>
          </wp:inline>
        </w:drawing>
      </w:r>
      <w:r>
        <w:rPr>
          <w:color w:val="000000" w:themeColor="text1"/>
          <w14:textFill>
            <w14:solidFill>
              <w14:schemeClr w14:val="tx1"/>
            </w14:solidFill>
          </w14:textFill>
        </w:rPr>
        <w:t>；</w:t>
      </w:r>
      <w:r>
        <w:rPr>
          <w:color w:val="000000" w:themeColor="text1"/>
          <w14:textFill>
            <w14:solidFill>
              <w14:schemeClr w14:val="tx1"/>
            </w14:solidFill>
          </w14:textFill>
        </w:rPr>
        <w:drawing>
          <wp:inline distT="0" distB="0" distL="0" distR="0">
            <wp:extent cx="152400" cy="200025"/>
            <wp:effectExtent l="19050" t="0" r="0" b="0"/>
            <wp:docPr id="3380"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0" name="图片 15"/>
                    <pic:cNvPicPr>
                      <a:picLocks noChangeAspect="1" noChangeArrowheads="1"/>
                    </pic:cNvPicPr>
                  </pic:nvPicPr>
                  <pic:blipFill>
                    <a:blip r:embed="rId85"/>
                    <a:srcRect/>
                    <a:stretch>
                      <a:fillRect/>
                    </a:stretch>
                  </pic:blipFill>
                  <pic:spPr>
                    <a:xfrm>
                      <a:off x="0" y="0"/>
                      <a:ext cx="152400" cy="200025"/>
                    </a:xfrm>
                    <a:prstGeom prst="rect">
                      <a:avLst/>
                    </a:prstGeom>
                    <a:noFill/>
                    <a:ln w="9525">
                      <a:noFill/>
                      <a:miter lim="800000"/>
                      <a:headEnd/>
                      <a:tailEnd/>
                    </a:ln>
                  </pic:spPr>
                </pic:pic>
              </a:graphicData>
            </a:graphic>
          </wp:inline>
        </w:drawing>
      </w:r>
      <w:r>
        <w:rPr>
          <w:color w:val="000000" w:themeColor="text1"/>
          <w14:textFill>
            <w14:solidFill>
              <w14:schemeClr w14:val="tx1"/>
            </w14:solidFill>
          </w14:textFill>
        </w:rPr>
        <w:t>为科氏参数</w:t>
      </w:r>
      <w:r>
        <w:rPr>
          <w:color w:val="000000" w:themeColor="text1"/>
          <w14:textFill>
            <w14:solidFill>
              <w14:schemeClr w14:val="tx1"/>
            </w14:solidFill>
          </w14:textFill>
        </w:rPr>
        <w:drawing>
          <wp:inline distT="0" distB="0" distL="0" distR="0">
            <wp:extent cx="238125" cy="219075"/>
            <wp:effectExtent l="0" t="0" r="9525" b="0"/>
            <wp:docPr id="3381"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1" name="图片 16"/>
                    <pic:cNvPicPr>
                      <a:picLocks noChangeAspect="1" noChangeArrowheads="1"/>
                    </pic:cNvPicPr>
                  </pic:nvPicPr>
                  <pic:blipFill>
                    <a:blip r:embed="rId86"/>
                    <a:srcRect/>
                    <a:stretch>
                      <a:fillRect/>
                    </a:stretch>
                  </pic:blipFill>
                  <pic:spPr>
                    <a:xfrm>
                      <a:off x="0" y="0"/>
                      <a:ext cx="238125" cy="219075"/>
                    </a:xfrm>
                    <a:prstGeom prst="rect">
                      <a:avLst/>
                    </a:prstGeom>
                    <a:noFill/>
                    <a:ln w="9525">
                      <a:noFill/>
                      <a:miter lim="800000"/>
                      <a:headEnd/>
                      <a:tailEnd/>
                    </a:ln>
                  </pic:spPr>
                </pic:pic>
              </a:graphicData>
            </a:graphic>
          </wp:inline>
        </w:drawing>
      </w:r>
      <w:r>
        <w:rPr>
          <w:color w:val="000000" w:themeColor="text1"/>
          <w14:textFill>
            <w14:solidFill>
              <w14:schemeClr w14:val="tx1"/>
            </w14:solidFill>
          </w14:textFill>
        </w:rPr>
        <w:t>为垂向湍粘滞系数；</w:t>
      </w:r>
      <w:r>
        <w:rPr>
          <w:color w:val="000000" w:themeColor="text1"/>
          <w14:textFill>
            <w14:solidFill>
              <w14:schemeClr w14:val="tx1"/>
            </w14:solidFill>
          </w14:textFill>
        </w:rPr>
        <w:drawing>
          <wp:inline distT="0" distB="0" distL="0" distR="0">
            <wp:extent cx="142875" cy="142875"/>
            <wp:effectExtent l="19050" t="0" r="9525" b="0"/>
            <wp:docPr id="3382"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2" name="图片 17"/>
                    <pic:cNvPicPr>
                      <a:picLocks noChangeAspect="1" noChangeArrowheads="1"/>
                    </pic:cNvPicPr>
                  </pic:nvPicPr>
                  <pic:blipFill>
                    <a:blip r:embed="rId87"/>
                    <a:srcRect/>
                    <a:stretch>
                      <a:fillRect/>
                    </a:stretch>
                  </pic:blipFill>
                  <pic:spPr>
                    <a:xfrm>
                      <a:off x="0" y="0"/>
                      <a:ext cx="142875" cy="142875"/>
                    </a:xfrm>
                    <a:prstGeom prst="rect">
                      <a:avLst/>
                    </a:prstGeom>
                    <a:noFill/>
                    <a:ln w="9525">
                      <a:noFill/>
                      <a:miter lim="800000"/>
                      <a:headEnd/>
                      <a:tailEnd/>
                    </a:ln>
                  </pic:spPr>
                </pic:pic>
              </a:graphicData>
            </a:graphic>
          </wp:inline>
        </w:drawing>
      </w:r>
      <w:r>
        <w:rPr>
          <w:color w:val="000000" w:themeColor="text1"/>
          <w14:textFill>
            <w14:solidFill>
              <w14:schemeClr w14:val="tx1"/>
            </w14:solidFill>
          </w14:textFill>
        </w:rPr>
        <w:t>为坐标变换后的垂向速度。</w:t>
      </w:r>
    </w:p>
    <w:p>
      <w:pPr>
        <w:pStyle w:val="283"/>
        <w:rPr>
          <w:color w:val="000000" w:themeColor="text1"/>
          <w14:textFill>
            <w14:solidFill>
              <w14:schemeClr w14:val="tx1"/>
            </w14:solidFill>
          </w14:textFill>
        </w:rPr>
      </w:pPr>
      <w:r>
        <w:rPr>
          <w:color w:val="000000" w:themeColor="text1"/>
          <w14:textFill>
            <w14:solidFill>
              <w14:schemeClr w14:val="tx1"/>
            </w14:solidFill>
          </w14:textFill>
        </w:rPr>
        <w:t>2）湍封闭方案</w:t>
      </w:r>
    </w:p>
    <w:p>
      <w:pPr>
        <w:pStyle w:val="283"/>
        <w:rPr>
          <w:color w:val="000000" w:themeColor="text1"/>
          <w14:textFill>
            <w14:solidFill>
              <w14:schemeClr w14:val="tx1"/>
            </w14:solidFill>
          </w14:textFill>
        </w:rPr>
      </w:pPr>
      <w:r>
        <w:rPr>
          <w:rFonts w:hint="eastAsia" w:ascii="宋体" w:hAnsi="宋体" w:cs="宋体"/>
          <w:color w:val="000000" w:themeColor="text1"/>
          <w14:textFill>
            <w14:solidFill>
              <w14:schemeClr w14:val="tx1"/>
            </w14:solidFill>
          </w14:textFill>
        </w:rPr>
        <w:t>①</w:t>
      </w:r>
      <w:r>
        <w:rPr>
          <w:color w:val="000000" w:themeColor="text1"/>
          <w14:textFill>
            <w14:solidFill>
              <w14:schemeClr w14:val="tx1"/>
            </w14:solidFill>
          </w14:textFill>
        </w:rPr>
        <w:t>水平涡动粘性系数和热扩散系数：</w:t>
      </w:r>
    </w:p>
    <w:p>
      <w:pPr>
        <w:pStyle w:val="283"/>
        <w:rPr>
          <w:color w:val="000000" w:themeColor="text1"/>
          <w14:textFill>
            <w14:solidFill>
              <w14:schemeClr w14:val="tx1"/>
            </w14:solidFill>
          </w14:textFill>
        </w:rPr>
      </w:pPr>
      <w:r>
        <w:rPr>
          <w:color w:val="000000" w:themeColor="text1"/>
          <w14:textFill>
            <w14:solidFill>
              <w14:schemeClr w14:val="tx1"/>
            </w14:solidFill>
          </w14:textFill>
        </w:rPr>
        <w:drawing>
          <wp:inline distT="0" distB="0" distL="0" distR="0">
            <wp:extent cx="2867025" cy="466725"/>
            <wp:effectExtent l="0" t="0" r="0" b="0"/>
            <wp:docPr id="3383"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3" name="图片 18"/>
                    <pic:cNvPicPr>
                      <a:picLocks noChangeAspect="1" noChangeArrowheads="1"/>
                    </pic:cNvPicPr>
                  </pic:nvPicPr>
                  <pic:blipFill>
                    <a:blip r:embed="rId88"/>
                    <a:srcRect/>
                    <a:stretch>
                      <a:fillRect/>
                    </a:stretch>
                  </pic:blipFill>
                  <pic:spPr>
                    <a:xfrm>
                      <a:off x="0" y="0"/>
                      <a:ext cx="2867025" cy="466725"/>
                    </a:xfrm>
                    <a:prstGeom prst="rect">
                      <a:avLst/>
                    </a:prstGeom>
                    <a:noFill/>
                    <a:ln w="9525">
                      <a:noFill/>
                      <a:miter lim="800000"/>
                      <a:headEnd/>
                      <a:tailEnd/>
                    </a:ln>
                  </pic:spPr>
                </pic:pic>
              </a:graphicData>
            </a:graphic>
          </wp:inline>
        </w:drawing>
      </w:r>
      <w:r>
        <w:rPr>
          <w:color w:val="000000" w:themeColor="text1"/>
          <w14:textFill>
            <w14:solidFill>
              <w14:schemeClr w14:val="tx1"/>
            </w14:solidFill>
          </w14:textFill>
        </w:rPr>
        <w:t xml:space="preserve">                        （</w:t>
      </w:r>
      <w:r>
        <w:rPr>
          <w:rFonts w:hint="eastAsia"/>
          <w:color w:val="000000" w:themeColor="text1"/>
          <w14:textFill>
            <w14:solidFill>
              <w14:schemeClr w14:val="tx1"/>
            </w14:solidFill>
          </w14:textFill>
        </w:rPr>
        <w:t>4</w:t>
      </w:r>
      <w:r>
        <w:rPr>
          <w:color w:val="000000" w:themeColor="text1"/>
          <w14:textFill>
            <w14:solidFill>
              <w14:schemeClr w14:val="tx1"/>
            </w14:solidFill>
          </w14:textFill>
        </w:rPr>
        <w:t>.1-11）</w:t>
      </w:r>
    </w:p>
    <w:p>
      <w:pPr>
        <w:pStyle w:val="283"/>
        <w:rPr>
          <w:color w:val="000000" w:themeColor="text1"/>
          <w14:textFill>
            <w14:solidFill>
              <w14:schemeClr w14:val="tx1"/>
            </w14:solidFill>
          </w14:textFill>
        </w:rPr>
      </w:pPr>
      <w:r>
        <w:rPr>
          <w:color w:val="000000" w:themeColor="text1"/>
          <w14:textFill>
            <w14:solidFill>
              <w14:schemeClr w14:val="tx1"/>
            </w14:solidFill>
          </w14:textFill>
        </w:rPr>
        <w:drawing>
          <wp:inline distT="0" distB="0" distL="0" distR="0">
            <wp:extent cx="2895600" cy="466725"/>
            <wp:effectExtent l="0" t="0" r="0" b="0"/>
            <wp:docPr id="3384"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4" name="图片 19"/>
                    <pic:cNvPicPr>
                      <a:picLocks noChangeAspect="1" noChangeArrowheads="1"/>
                    </pic:cNvPicPr>
                  </pic:nvPicPr>
                  <pic:blipFill>
                    <a:blip r:embed="rId89"/>
                    <a:srcRect/>
                    <a:stretch>
                      <a:fillRect/>
                    </a:stretch>
                  </pic:blipFill>
                  <pic:spPr>
                    <a:xfrm>
                      <a:off x="0" y="0"/>
                      <a:ext cx="2895600" cy="466725"/>
                    </a:xfrm>
                    <a:prstGeom prst="rect">
                      <a:avLst/>
                    </a:prstGeom>
                    <a:noFill/>
                    <a:ln w="9525">
                      <a:noFill/>
                      <a:miter lim="800000"/>
                      <a:headEnd/>
                      <a:tailEnd/>
                    </a:ln>
                  </pic:spPr>
                </pic:pic>
              </a:graphicData>
            </a:graphic>
          </wp:inline>
        </w:drawing>
      </w:r>
      <w:r>
        <w:rPr>
          <w:color w:val="000000" w:themeColor="text1"/>
          <w14:textFill>
            <w14:solidFill>
              <w14:schemeClr w14:val="tx1"/>
            </w14:solidFill>
          </w14:textFill>
        </w:rPr>
        <w:t xml:space="preserve">                        （</w:t>
      </w:r>
      <w:r>
        <w:rPr>
          <w:rFonts w:hint="eastAsia"/>
          <w:color w:val="000000" w:themeColor="text1"/>
          <w14:textFill>
            <w14:solidFill>
              <w14:schemeClr w14:val="tx1"/>
            </w14:solidFill>
          </w14:textFill>
        </w:rPr>
        <w:t>4</w:t>
      </w:r>
      <w:r>
        <w:rPr>
          <w:color w:val="000000" w:themeColor="text1"/>
          <w14:textFill>
            <w14:solidFill>
              <w14:schemeClr w14:val="tx1"/>
            </w14:solidFill>
          </w14:textFill>
        </w:rPr>
        <w:t>.1-12）</w:t>
      </w:r>
    </w:p>
    <w:p>
      <w:pPr>
        <w:pStyle w:val="283"/>
        <w:rPr>
          <w:color w:val="000000" w:themeColor="text1"/>
          <w14:textFill>
            <w14:solidFill>
              <w14:schemeClr w14:val="tx1"/>
            </w14:solidFill>
          </w14:textFill>
        </w:rPr>
      </w:pPr>
      <w:r>
        <w:rPr>
          <w:rFonts w:hint="eastAsia" w:ascii="宋体" w:hAnsi="宋体" w:cs="宋体"/>
          <w:color w:val="000000" w:themeColor="text1"/>
          <w14:textFill>
            <w14:solidFill>
              <w14:schemeClr w14:val="tx1"/>
            </w14:solidFill>
          </w14:textFill>
        </w:rPr>
        <w:t>②</w:t>
      </w:r>
      <w:r>
        <w:rPr>
          <w:color w:val="000000" w:themeColor="text1"/>
          <w14:textFill>
            <w14:solidFill>
              <w14:schemeClr w14:val="tx1"/>
            </w14:solidFill>
          </w14:textFill>
        </w:rPr>
        <w:t>垂直涡动粘性系数和热扩散系数的确定：</w:t>
      </w:r>
    </w:p>
    <w:p>
      <w:pPr>
        <w:pStyle w:val="283"/>
        <w:rPr>
          <w:color w:val="000000" w:themeColor="text1"/>
          <w14:textFill>
            <w14:solidFill>
              <w14:schemeClr w14:val="tx1"/>
            </w14:solidFill>
          </w14:textFill>
        </w:rPr>
      </w:pPr>
      <w:r>
        <w:rPr>
          <w:color w:val="000000" w:themeColor="text1"/>
          <w14:textFill>
            <w14:solidFill>
              <w14:schemeClr w14:val="tx1"/>
            </w14:solidFill>
          </w14:textFill>
        </w:rPr>
        <w:t>MY-2.5 模型：</w:t>
      </w:r>
    </w:p>
    <w:p>
      <w:pPr>
        <w:pStyle w:val="283"/>
        <w:rPr>
          <w:color w:val="000000" w:themeColor="text1"/>
          <w14:textFill>
            <w14:solidFill>
              <w14:schemeClr w14:val="tx1"/>
            </w14:solidFill>
          </w14:textFill>
        </w:rPr>
      </w:pPr>
      <w:r>
        <w:rPr>
          <w:color w:val="000000" w:themeColor="text1"/>
          <w14:textFill>
            <w14:solidFill>
              <w14:schemeClr w14:val="tx1"/>
            </w14:solidFill>
          </w14:textFill>
        </w:rPr>
        <w:drawing>
          <wp:inline distT="0" distB="0" distL="0" distR="0">
            <wp:extent cx="4572000" cy="962025"/>
            <wp:effectExtent l="19050" t="0" r="0" b="0"/>
            <wp:docPr id="3385"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5" name="图片 20"/>
                    <pic:cNvPicPr>
                      <a:picLocks noChangeAspect="1" noChangeArrowheads="1"/>
                    </pic:cNvPicPr>
                  </pic:nvPicPr>
                  <pic:blipFill>
                    <a:blip r:embed="rId90"/>
                    <a:srcRect/>
                    <a:stretch>
                      <a:fillRect/>
                    </a:stretch>
                  </pic:blipFill>
                  <pic:spPr>
                    <a:xfrm>
                      <a:off x="0" y="0"/>
                      <a:ext cx="4572000" cy="962025"/>
                    </a:xfrm>
                    <a:prstGeom prst="rect">
                      <a:avLst/>
                    </a:prstGeom>
                    <a:noFill/>
                    <a:ln w="9525">
                      <a:noFill/>
                      <a:miter lim="800000"/>
                      <a:headEnd/>
                      <a:tailEnd/>
                    </a:ln>
                  </pic:spPr>
                </pic:pic>
              </a:graphicData>
            </a:graphic>
          </wp:inline>
        </w:drawing>
      </w:r>
      <w:r>
        <w:rPr>
          <w:rFonts w:hint="eastAsia"/>
          <w:color w:val="000000" w:themeColor="text1"/>
          <w14:textFill>
            <w14:solidFill>
              <w14:schemeClr w14:val="tx1"/>
            </w14:solidFill>
          </w14:textFill>
        </w:rPr>
        <w:t>（4</w:t>
      </w:r>
      <w:r>
        <w:rPr>
          <w:color w:val="000000" w:themeColor="text1"/>
          <w14:textFill>
            <w14:solidFill>
              <w14:schemeClr w14:val="tx1"/>
            </w14:solidFill>
          </w14:textFill>
        </w:rPr>
        <w:t>.1-13）</w:t>
      </w:r>
    </w:p>
    <w:p>
      <w:pPr>
        <w:pStyle w:val="283"/>
        <w:rPr>
          <w:color w:val="000000" w:themeColor="text1"/>
          <w14:textFill>
            <w14:solidFill>
              <w14:schemeClr w14:val="tx1"/>
            </w14:solidFill>
          </w14:textFill>
        </w:rPr>
      </w:pPr>
      <w:r>
        <w:rPr>
          <w:color w:val="000000" w:themeColor="text1"/>
          <w14:textFill>
            <w14:solidFill>
              <w14:schemeClr w14:val="tx1"/>
            </w14:solidFill>
          </w14:textFill>
        </w:rPr>
        <w:drawing>
          <wp:inline distT="0" distB="0" distL="0" distR="0">
            <wp:extent cx="4543425" cy="876300"/>
            <wp:effectExtent l="19050" t="0" r="9525" b="0"/>
            <wp:docPr id="3387"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7" name="图片 21"/>
                    <pic:cNvPicPr>
                      <a:picLocks noChangeAspect="1" noChangeArrowheads="1"/>
                    </pic:cNvPicPr>
                  </pic:nvPicPr>
                  <pic:blipFill>
                    <a:blip r:embed="rId91"/>
                    <a:srcRect/>
                    <a:stretch>
                      <a:fillRect/>
                    </a:stretch>
                  </pic:blipFill>
                  <pic:spPr>
                    <a:xfrm>
                      <a:off x="0" y="0"/>
                      <a:ext cx="4543425" cy="876300"/>
                    </a:xfrm>
                    <a:prstGeom prst="rect">
                      <a:avLst/>
                    </a:prstGeom>
                    <a:noFill/>
                    <a:ln w="9525">
                      <a:noFill/>
                      <a:miter lim="800000"/>
                      <a:headEnd/>
                      <a:tailEnd/>
                    </a:ln>
                  </pic:spPr>
                </pic:pic>
              </a:graphicData>
            </a:graphic>
          </wp:inline>
        </w:drawing>
      </w:r>
      <w:r>
        <w:rPr>
          <w:color w:val="000000" w:themeColor="text1"/>
          <w14:textFill>
            <w14:solidFill>
              <w14:schemeClr w14:val="tx1"/>
            </w14:solidFill>
          </w14:textFill>
        </w:rPr>
        <w:t>（</w:t>
      </w:r>
      <w:r>
        <w:rPr>
          <w:rFonts w:hint="eastAsia"/>
          <w:color w:val="000000" w:themeColor="text1"/>
          <w14:textFill>
            <w14:solidFill>
              <w14:schemeClr w14:val="tx1"/>
            </w14:solidFill>
          </w14:textFill>
        </w:rPr>
        <w:t>4</w:t>
      </w:r>
      <w:r>
        <w:rPr>
          <w:color w:val="000000" w:themeColor="text1"/>
          <w14:textFill>
            <w14:solidFill>
              <w14:schemeClr w14:val="tx1"/>
            </w14:solidFill>
          </w14:textFill>
        </w:rPr>
        <w:t>.1-14）</w:t>
      </w:r>
    </w:p>
    <w:p>
      <w:pPr>
        <w:pStyle w:val="283"/>
        <w:rPr>
          <w:color w:val="000000" w:themeColor="text1"/>
          <w14:textFill>
            <w14:solidFill>
              <w14:schemeClr w14:val="tx1"/>
            </w14:solidFill>
          </w14:textFill>
        </w:rPr>
      </w:pPr>
      <w:r>
        <w:rPr>
          <w:color w:val="000000" w:themeColor="text1"/>
          <w14:textFill>
            <w14:solidFill>
              <w14:schemeClr w14:val="tx1"/>
            </w14:solidFill>
          </w14:textFill>
        </w:rPr>
        <w:t>式中，</w:t>
      </w:r>
      <w:r>
        <w:rPr>
          <w:color w:val="000000" w:themeColor="text1"/>
          <w14:textFill>
            <w14:solidFill>
              <w14:schemeClr w14:val="tx1"/>
            </w14:solidFill>
          </w14:textFill>
        </w:rPr>
        <w:drawing>
          <wp:inline distT="0" distB="0" distL="0" distR="0">
            <wp:extent cx="342900" cy="352425"/>
            <wp:effectExtent l="19050" t="0" r="0" b="0"/>
            <wp:docPr id="3388"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8" name="图片 22"/>
                    <pic:cNvPicPr>
                      <a:picLocks noChangeAspect="1" noChangeArrowheads="1"/>
                    </pic:cNvPicPr>
                  </pic:nvPicPr>
                  <pic:blipFill>
                    <a:blip r:embed="rId92"/>
                    <a:srcRect/>
                    <a:stretch>
                      <a:fillRect/>
                    </a:stretch>
                  </pic:blipFill>
                  <pic:spPr>
                    <a:xfrm>
                      <a:off x="0" y="0"/>
                      <a:ext cx="342900" cy="352425"/>
                    </a:xfrm>
                    <a:prstGeom prst="rect">
                      <a:avLst/>
                    </a:prstGeom>
                    <a:noFill/>
                    <a:ln w="9525">
                      <a:noFill/>
                      <a:miter lim="800000"/>
                      <a:headEnd/>
                      <a:tailEnd/>
                    </a:ln>
                  </pic:spPr>
                </pic:pic>
              </a:graphicData>
            </a:graphic>
          </wp:inline>
        </w:drawing>
      </w:r>
      <w:r>
        <w:rPr>
          <w:color w:val="000000" w:themeColor="text1"/>
          <w14:textFill>
            <w14:solidFill>
              <w14:schemeClr w14:val="tx1"/>
            </w14:solidFill>
          </w14:textFill>
        </w:rPr>
        <w:t>为湍流动能；</w:t>
      </w:r>
      <w:r>
        <w:rPr>
          <w:color w:val="000000" w:themeColor="text1"/>
          <w14:textFill>
            <w14:solidFill>
              <w14:schemeClr w14:val="tx1"/>
            </w14:solidFill>
          </w14:textFill>
        </w:rPr>
        <w:drawing>
          <wp:inline distT="0" distB="0" distL="0" distR="0">
            <wp:extent cx="85725" cy="180975"/>
            <wp:effectExtent l="19050" t="0" r="9525" b="0"/>
            <wp:docPr id="3389"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9" name="图片 23"/>
                    <pic:cNvPicPr>
                      <a:picLocks noChangeAspect="1" noChangeArrowheads="1"/>
                    </pic:cNvPicPr>
                  </pic:nvPicPr>
                  <pic:blipFill>
                    <a:blip r:embed="rId93"/>
                    <a:srcRect/>
                    <a:stretch>
                      <a:fillRect/>
                    </a:stretch>
                  </pic:blipFill>
                  <pic:spPr>
                    <a:xfrm>
                      <a:off x="0" y="0"/>
                      <a:ext cx="85725" cy="180975"/>
                    </a:xfrm>
                    <a:prstGeom prst="rect">
                      <a:avLst/>
                    </a:prstGeom>
                    <a:noFill/>
                    <a:ln w="9525">
                      <a:noFill/>
                      <a:miter lim="800000"/>
                      <a:headEnd/>
                      <a:tailEnd/>
                    </a:ln>
                  </pic:spPr>
                </pic:pic>
              </a:graphicData>
            </a:graphic>
          </wp:inline>
        </w:drawing>
      </w:r>
      <w:r>
        <w:rPr>
          <w:color w:val="000000" w:themeColor="text1"/>
          <w14:textFill>
            <w14:solidFill>
              <w14:schemeClr w14:val="tx1"/>
            </w14:solidFill>
          </w14:textFill>
        </w:rPr>
        <w:t>为湍流宏观尺度。</w:t>
      </w:r>
    </w:p>
    <w:p>
      <w:pPr>
        <w:pStyle w:val="283"/>
        <w:rPr>
          <w:color w:val="000000" w:themeColor="text1"/>
          <w14:textFill>
            <w14:solidFill>
              <w14:schemeClr w14:val="tx1"/>
            </w14:solidFill>
          </w14:textFill>
        </w:rPr>
      </w:pPr>
      <w:r>
        <w:rPr>
          <w:color w:val="000000" w:themeColor="text1"/>
          <w14:textFill>
            <w14:solidFill>
              <w14:schemeClr w14:val="tx1"/>
            </w14:solidFill>
          </w14:textFill>
        </w:rPr>
        <w:t>3）差分方法</w:t>
      </w:r>
    </w:p>
    <w:p>
      <w:pPr>
        <w:pStyle w:val="283"/>
        <w:rPr>
          <w:color w:val="000000" w:themeColor="text1"/>
          <w14:textFill>
            <w14:solidFill>
              <w14:schemeClr w14:val="tx1"/>
            </w14:solidFill>
          </w14:textFill>
        </w:rPr>
      </w:pPr>
      <w:r>
        <w:rPr>
          <w:color w:val="000000" w:themeColor="text1"/>
          <w14:textFill>
            <w14:solidFill>
              <w14:schemeClr w14:val="tx1"/>
            </w14:solidFill>
          </w14:textFill>
        </w:rPr>
        <w:t>对潮汐、潮流的模拟，FVCOM模式采用有限体积的方法，FVCOM用积分的方式通过计算非重叠水平三角形控制体的通量来解控制方程，这种有限体积方法很好地将有限元（finite-element）方法处理海湾岸边界复杂曲折的优点和有限差分方法简单的离散结构、高效的计算效率结合起来，并且对于近岸、河口具有复杂地形、岸界的区域来说，它更好</w:t>
      </w:r>
      <w:r>
        <w:rPr>
          <w:rFonts w:hint="eastAsia"/>
          <w:color w:val="000000" w:themeColor="text1"/>
          <w14:textFill>
            <w14:solidFill>
              <w14:schemeClr w14:val="tx1"/>
            </w14:solidFill>
          </w14:textFill>
        </w:rPr>
        <w:t>地</w:t>
      </w:r>
      <w:r>
        <w:rPr>
          <w:color w:val="000000" w:themeColor="text1"/>
          <w14:textFill>
            <w14:solidFill>
              <w14:schemeClr w14:val="tx1"/>
            </w14:solidFill>
          </w14:textFill>
        </w:rPr>
        <w:t>保证了质量、动量、盐度和热量的守恒性。</w:t>
      </w:r>
    </w:p>
    <w:p>
      <w:pPr>
        <w:pStyle w:val="283"/>
        <w:rPr>
          <w:color w:val="000000" w:themeColor="text1"/>
          <w14:textFill>
            <w14:solidFill>
              <w14:schemeClr w14:val="tx1"/>
            </w14:solidFill>
          </w14:textFill>
        </w:rPr>
      </w:pPr>
      <w:r>
        <w:rPr>
          <w:color w:val="000000" w:themeColor="text1"/>
          <w14:textFill>
            <w14:solidFill>
              <w14:schemeClr w14:val="tx1"/>
            </w14:solidFill>
          </w14:textFill>
        </w:rPr>
        <w:t>4）边界和自由条件</w:t>
      </w:r>
    </w:p>
    <w:p>
      <w:pPr>
        <w:pStyle w:val="283"/>
        <w:rPr>
          <w:color w:val="000000" w:themeColor="text1"/>
          <w14:textFill>
            <w14:solidFill>
              <w14:schemeClr w14:val="tx1"/>
            </w14:solidFill>
          </w14:textFill>
        </w:rPr>
      </w:pPr>
      <w:r>
        <w:rPr>
          <w:rFonts w:hint="eastAsia" w:ascii="宋体" w:hAnsi="宋体" w:cs="宋体"/>
          <w:color w:val="000000" w:themeColor="text1"/>
          <w14:textFill>
            <w14:solidFill>
              <w14:schemeClr w14:val="tx1"/>
            </w14:solidFill>
          </w14:textFill>
        </w:rPr>
        <w:t>①</w:t>
      </w:r>
      <w:r>
        <w:rPr>
          <w:color w:val="000000" w:themeColor="text1"/>
          <w14:textFill>
            <w14:solidFill>
              <w14:schemeClr w14:val="tx1"/>
            </w14:solidFill>
          </w14:textFill>
        </w:rPr>
        <w:t>自由表面边界条件</w:t>
      </w:r>
      <w:r>
        <w:rPr>
          <w:color w:val="000000" w:themeColor="text1"/>
          <w14:textFill>
            <w14:solidFill>
              <w14:schemeClr w14:val="tx1"/>
            </w14:solidFill>
          </w14:textFill>
        </w:rPr>
        <w:drawing>
          <wp:inline distT="0" distB="0" distL="0" distR="0">
            <wp:extent cx="428625" cy="180975"/>
            <wp:effectExtent l="19050" t="0" r="9525" b="0"/>
            <wp:docPr id="3390"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0" name="图片 24"/>
                    <pic:cNvPicPr>
                      <a:picLocks noChangeAspect="1" noChangeArrowheads="1"/>
                    </pic:cNvPicPr>
                  </pic:nvPicPr>
                  <pic:blipFill>
                    <a:blip r:embed="rId94"/>
                    <a:srcRect/>
                    <a:stretch>
                      <a:fillRect/>
                    </a:stretch>
                  </pic:blipFill>
                  <pic:spPr>
                    <a:xfrm>
                      <a:off x="0" y="0"/>
                      <a:ext cx="428625" cy="180975"/>
                    </a:xfrm>
                    <a:prstGeom prst="rect">
                      <a:avLst/>
                    </a:prstGeom>
                    <a:noFill/>
                    <a:ln w="9525">
                      <a:noFill/>
                      <a:miter lim="800000"/>
                      <a:headEnd/>
                      <a:tailEnd/>
                    </a:ln>
                  </pic:spPr>
                </pic:pic>
              </a:graphicData>
            </a:graphic>
          </wp:inline>
        </w:drawing>
      </w:r>
      <w:r>
        <w:rPr>
          <w:color w:val="000000" w:themeColor="text1"/>
          <w14:textFill>
            <w14:solidFill>
              <w14:schemeClr w14:val="tx1"/>
            </w14:solidFill>
          </w14:textFill>
        </w:rPr>
        <w:t xml:space="preserve">： </w:t>
      </w:r>
    </w:p>
    <w:p>
      <w:pPr>
        <w:pStyle w:val="283"/>
        <w:rPr>
          <w:color w:val="000000" w:themeColor="text1"/>
          <w14:textFill>
            <w14:solidFill>
              <w14:schemeClr w14:val="tx1"/>
            </w14:solidFill>
          </w14:textFill>
        </w:rPr>
      </w:pPr>
      <w:r>
        <w:rPr>
          <w:color w:val="000000" w:themeColor="text1"/>
          <w14:textFill>
            <w14:solidFill>
              <w14:schemeClr w14:val="tx1"/>
            </w14:solidFill>
          </w14:textFill>
        </w:rPr>
        <w:drawing>
          <wp:inline distT="0" distB="0" distL="0" distR="0">
            <wp:extent cx="4438650" cy="847725"/>
            <wp:effectExtent l="0" t="0" r="0" b="0"/>
            <wp:docPr id="3391"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1" name="图片 25"/>
                    <pic:cNvPicPr>
                      <a:picLocks noChangeAspect="1" noChangeArrowheads="1"/>
                    </pic:cNvPicPr>
                  </pic:nvPicPr>
                  <pic:blipFill>
                    <a:blip r:embed="rId95"/>
                    <a:srcRect/>
                    <a:stretch>
                      <a:fillRect/>
                    </a:stretch>
                  </pic:blipFill>
                  <pic:spPr>
                    <a:xfrm>
                      <a:off x="0" y="0"/>
                      <a:ext cx="4438650" cy="847725"/>
                    </a:xfrm>
                    <a:prstGeom prst="rect">
                      <a:avLst/>
                    </a:prstGeom>
                    <a:noFill/>
                    <a:ln w="9525">
                      <a:noFill/>
                      <a:miter lim="800000"/>
                      <a:headEnd/>
                      <a:tailEnd/>
                    </a:ln>
                  </pic:spPr>
                </pic:pic>
              </a:graphicData>
            </a:graphic>
          </wp:inline>
        </w:drawing>
      </w:r>
      <w:r>
        <w:rPr>
          <w:color w:val="000000" w:themeColor="text1"/>
          <w14:textFill>
            <w14:solidFill>
              <w14:schemeClr w14:val="tx1"/>
            </w14:solidFill>
          </w14:textFill>
        </w:rPr>
        <w:t xml:space="preserve">  （</w:t>
      </w:r>
      <w:r>
        <w:rPr>
          <w:rFonts w:hint="eastAsia"/>
          <w:color w:val="000000" w:themeColor="text1"/>
          <w14:textFill>
            <w14:solidFill>
              <w14:schemeClr w14:val="tx1"/>
            </w14:solidFill>
          </w14:textFill>
        </w:rPr>
        <w:t>4</w:t>
      </w:r>
      <w:r>
        <w:rPr>
          <w:color w:val="000000" w:themeColor="text1"/>
          <w14:textFill>
            <w14:solidFill>
              <w14:schemeClr w14:val="tx1"/>
            </w14:solidFill>
          </w14:textFill>
        </w:rPr>
        <w:t>.1-15）</w:t>
      </w:r>
    </w:p>
    <w:p>
      <w:pPr>
        <w:pStyle w:val="283"/>
        <w:rPr>
          <w:color w:val="000000" w:themeColor="text1"/>
          <w14:textFill>
            <w14:solidFill>
              <w14:schemeClr w14:val="tx1"/>
            </w14:solidFill>
          </w14:textFill>
        </w:rPr>
      </w:pPr>
      <w:r>
        <w:rPr>
          <w:color w:val="000000" w:themeColor="text1"/>
          <w14:textFill>
            <w14:solidFill>
              <w14:schemeClr w14:val="tx1"/>
            </w14:solidFill>
          </w14:textFill>
        </w:rPr>
        <w:t>对于纯天文潮，风应力</w:t>
      </w:r>
      <w:r>
        <w:rPr>
          <w:color w:val="000000" w:themeColor="text1"/>
          <w14:textFill>
            <w14:solidFill>
              <w14:schemeClr w14:val="tx1"/>
            </w14:solidFill>
          </w14:textFill>
        </w:rPr>
        <w:drawing>
          <wp:inline distT="0" distB="0" distL="0" distR="0">
            <wp:extent cx="409575" cy="228600"/>
            <wp:effectExtent l="19050" t="0" r="9525" b="0"/>
            <wp:docPr id="3424"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4" name="图片 26"/>
                    <pic:cNvPicPr>
                      <a:picLocks noChangeAspect="1" noChangeArrowheads="1"/>
                    </pic:cNvPicPr>
                  </pic:nvPicPr>
                  <pic:blipFill>
                    <a:blip r:embed="rId96"/>
                    <a:srcRect/>
                    <a:stretch>
                      <a:fillRect/>
                    </a:stretch>
                  </pic:blipFill>
                  <pic:spPr>
                    <a:xfrm>
                      <a:off x="0" y="0"/>
                      <a:ext cx="409575" cy="228600"/>
                    </a:xfrm>
                    <a:prstGeom prst="rect">
                      <a:avLst/>
                    </a:prstGeom>
                    <a:noFill/>
                    <a:ln w="9525">
                      <a:noFill/>
                      <a:miter lim="800000"/>
                      <a:headEnd/>
                      <a:tailEnd/>
                    </a:ln>
                  </pic:spPr>
                </pic:pic>
              </a:graphicData>
            </a:graphic>
          </wp:inline>
        </w:drawing>
      </w:r>
      <w:r>
        <w:rPr>
          <w:color w:val="000000" w:themeColor="text1"/>
          <w14:textFill>
            <w14:solidFill>
              <w14:schemeClr w14:val="tx1"/>
            </w14:solidFill>
          </w14:textFill>
        </w:rPr>
        <w:t>，表面热通量</w:t>
      </w:r>
      <w:r>
        <w:rPr>
          <w:color w:val="000000" w:themeColor="text1"/>
          <w14:textFill>
            <w14:solidFill>
              <w14:schemeClr w14:val="tx1"/>
            </w14:solidFill>
          </w14:textFill>
        </w:rPr>
        <w:drawing>
          <wp:inline distT="0" distB="0" distL="0" distR="0">
            <wp:extent cx="885825" cy="228600"/>
            <wp:effectExtent l="19050" t="0" r="9525" b="0"/>
            <wp:docPr id="3425"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5" name="图片 27"/>
                    <pic:cNvPicPr>
                      <a:picLocks noChangeAspect="1" noChangeArrowheads="1"/>
                    </pic:cNvPicPr>
                  </pic:nvPicPr>
                  <pic:blipFill>
                    <a:blip r:embed="rId97"/>
                    <a:srcRect/>
                    <a:stretch>
                      <a:fillRect/>
                    </a:stretch>
                  </pic:blipFill>
                  <pic:spPr>
                    <a:xfrm>
                      <a:off x="0" y="0"/>
                      <a:ext cx="885825" cy="228600"/>
                    </a:xfrm>
                    <a:prstGeom prst="rect">
                      <a:avLst/>
                    </a:prstGeom>
                    <a:noFill/>
                    <a:ln w="9525">
                      <a:noFill/>
                      <a:miter lim="800000"/>
                      <a:headEnd/>
                      <a:tailEnd/>
                    </a:ln>
                  </pic:spPr>
                </pic:pic>
              </a:graphicData>
            </a:graphic>
          </wp:inline>
        </w:drawing>
      </w:r>
      <w:r>
        <w:rPr>
          <w:color w:val="000000" w:themeColor="text1"/>
          <w14:textFill>
            <w14:solidFill>
              <w14:schemeClr w14:val="tx1"/>
            </w14:solidFill>
          </w14:textFill>
        </w:rPr>
        <w:t>，短波辐射</w:t>
      </w:r>
      <w:r>
        <w:rPr>
          <w:color w:val="000000" w:themeColor="text1"/>
          <w14:textFill>
            <w14:solidFill>
              <w14:schemeClr w14:val="tx1"/>
            </w14:solidFill>
          </w14:textFill>
        </w:rPr>
        <w:drawing>
          <wp:inline distT="0" distB="0" distL="0" distR="0">
            <wp:extent cx="1057275" cy="200025"/>
            <wp:effectExtent l="19050" t="0" r="9525" b="0"/>
            <wp:docPr id="3426"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6" name="图片 28"/>
                    <pic:cNvPicPr>
                      <a:picLocks noChangeAspect="1" noChangeArrowheads="1"/>
                    </pic:cNvPicPr>
                  </pic:nvPicPr>
                  <pic:blipFill>
                    <a:blip r:embed="rId98"/>
                    <a:srcRect/>
                    <a:stretch>
                      <a:fillRect/>
                    </a:stretch>
                  </pic:blipFill>
                  <pic:spPr>
                    <a:xfrm>
                      <a:off x="0" y="0"/>
                      <a:ext cx="1057275" cy="200025"/>
                    </a:xfrm>
                    <a:prstGeom prst="rect">
                      <a:avLst/>
                    </a:prstGeom>
                    <a:noFill/>
                    <a:ln w="9525">
                      <a:noFill/>
                      <a:miter lim="800000"/>
                      <a:headEnd/>
                      <a:tailEnd/>
                    </a:ln>
                  </pic:spPr>
                </pic:pic>
              </a:graphicData>
            </a:graphic>
          </wp:inline>
        </w:drawing>
      </w:r>
      <w:r>
        <w:rPr>
          <w:color w:val="000000" w:themeColor="text1"/>
          <w14:textFill>
            <w14:solidFill>
              <w14:schemeClr w14:val="tx1"/>
            </w14:solidFill>
          </w14:textFill>
        </w:rPr>
        <w:t>，蒸发E=0；降水P=0；</w:t>
      </w:r>
    </w:p>
    <w:p>
      <w:pPr>
        <w:pStyle w:val="283"/>
        <w:rPr>
          <w:color w:val="000000" w:themeColor="text1"/>
          <w14:textFill>
            <w14:solidFill>
              <w14:schemeClr w14:val="tx1"/>
            </w14:solidFill>
          </w14:textFill>
        </w:rPr>
      </w:pPr>
      <w:r>
        <w:rPr>
          <w:rFonts w:hint="eastAsia" w:ascii="宋体" w:hAnsi="宋体" w:cs="宋体"/>
          <w:color w:val="000000" w:themeColor="text1"/>
          <w14:textFill>
            <w14:solidFill>
              <w14:schemeClr w14:val="tx1"/>
            </w14:solidFill>
          </w14:textFill>
        </w:rPr>
        <w:t>②</w:t>
      </w:r>
      <w:r>
        <w:rPr>
          <w:color w:val="000000" w:themeColor="text1"/>
          <w14:textFill>
            <w14:solidFill>
              <w14:schemeClr w14:val="tx1"/>
            </w14:solidFill>
          </w14:textFill>
        </w:rPr>
        <w:t>在近海底处边界条件</w:t>
      </w:r>
      <w:r>
        <w:rPr>
          <w:color w:val="000000" w:themeColor="text1"/>
          <w14:textFill>
            <w14:solidFill>
              <w14:schemeClr w14:val="tx1"/>
            </w14:solidFill>
          </w14:textFill>
        </w:rPr>
        <w:drawing>
          <wp:inline distT="0" distB="0" distL="0" distR="0">
            <wp:extent cx="447675" cy="180975"/>
            <wp:effectExtent l="19050" t="0" r="9525" b="0"/>
            <wp:docPr id="3428"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8" name="图片 29"/>
                    <pic:cNvPicPr>
                      <a:picLocks noChangeAspect="1" noChangeArrowheads="1"/>
                    </pic:cNvPicPr>
                  </pic:nvPicPr>
                  <pic:blipFill>
                    <a:blip r:embed="rId99"/>
                    <a:srcRect/>
                    <a:stretch>
                      <a:fillRect/>
                    </a:stretch>
                  </pic:blipFill>
                  <pic:spPr>
                    <a:xfrm>
                      <a:off x="0" y="0"/>
                      <a:ext cx="447675" cy="180975"/>
                    </a:xfrm>
                    <a:prstGeom prst="rect">
                      <a:avLst/>
                    </a:prstGeom>
                    <a:noFill/>
                    <a:ln w="9525">
                      <a:noFill/>
                      <a:miter lim="800000"/>
                      <a:headEnd/>
                      <a:tailEnd/>
                    </a:ln>
                  </pic:spPr>
                </pic:pic>
              </a:graphicData>
            </a:graphic>
          </wp:inline>
        </w:drawing>
      </w:r>
      <w:r>
        <w:rPr>
          <w:color w:val="000000" w:themeColor="text1"/>
          <w14:textFill>
            <w14:solidFill>
              <w14:schemeClr w14:val="tx1"/>
            </w14:solidFill>
          </w14:textFill>
        </w:rPr>
        <w:t>：</w:t>
      </w:r>
    </w:p>
    <w:p>
      <w:pPr>
        <w:pStyle w:val="283"/>
        <w:rPr>
          <w:color w:val="000000" w:themeColor="text1"/>
          <w14:textFill>
            <w14:solidFill>
              <w14:schemeClr w14:val="tx1"/>
            </w14:solidFill>
          </w14:textFill>
        </w:rPr>
      </w:pPr>
      <w:r>
        <w:rPr>
          <w:color w:val="000000" w:themeColor="text1"/>
          <w14:textFill>
            <w14:solidFill>
              <w14:schemeClr w14:val="tx1"/>
            </w14:solidFill>
          </w14:textFill>
        </w:rPr>
        <w:drawing>
          <wp:inline distT="0" distB="0" distL="0" distR="0">
            <wp:extent cx="3524250" cy="1057275"/>
            <wp:effectExtent l="19050" t="0" r="0" b="0"/>
            <wp:docPr id="3429"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9" name="图片 30"/>
                    <pic:cNvPicPr>
                      <a:picLocks noChangeAspect="1" noChangeArrowheads="1"/>
                    </pic:cNvPicPr>
                  </pic:nvPicPr>
                  <pic:blipFill>
                    <a:blip r:embed="rId100"/>
                    <a:srcRect/>
                    <a:stretch>
                      <a:fillRect/>
                    </a:stretch>
                  </pic:blipFill>
                  <pic:spPr>
                    <a:xfrm>
                      <a:off x="0" y="0"/>
                      <a:ext cx="3524250" cy="1057275"/>
                    </a:xfrm>
                    <a:prstGeom prst="rect">
                      <a:avLst/>
                    </a:prstGeom>
                    <a:noFill/>
                    <a:ln w="9525">
                      <a:noFill/>
                      <a:miter lim="800000"/>
                      <a:headEnd/>
                      <a:tailEnd/>
                    </a:ln>
                  </pic:spPr>
                </pic:pic>
              </a:graphicData>
            </a:graphic>
          </wp:inline>
        </w:drawing>
      </w:r>
      <w:r>
        <w:rPr>
          <w:color w:val="000000" w:themeColor="text1"/>
          <w14:textFill>
            <w14:solidFill>
              <w14:schemeClr w14:val="tx1"/>
            </w14:solidFill>
          </w14:textFill>
        </w:rPr>
        <w:t xml:space="preserve">            （</w:t>
      </w:r>
      <w:r>
        <w:rPr>
          <w:rFonts w:hint="eastAsia"/>
          <w:color w:val="000000" w:themeColor="text1"/>
          <w14:textFill>
            <w14:solidFill>
              <w14:schemeClr w14:val="tx1"/>
            </w14:solidFill>
          </w14:textFill>
        </w:rPr>
        <w:t>4</w:t>
      </w:r>
      <w:r>
        <w:rPr>
          <w:color w:val="000000" w:themeColor="text1"/>
          <w14:textFill>
            <w14:solidFill>
              <w14:schemeClr w14:val="tx1"/>
            </w14:solidFill>
          </w14:textFill>
        </w:rPr>
        <w:t>.1-16）</w:t>
      </w:r>
    </w:p>
    <w:p>
      <w:pPr>
        <w:pStyle w:val="283"/>
        <w:rPr>
          <w:color w:val="000000" w:themeColor="text1"/>
          <w14:textFill>
            <w14:solidFill>
              <w14:schemeClr w14:val="tx1"/>
            </w14:solidFill>
          </w14:textFill>
        </w:rPr>
      </w:pPr>
      <w:r>
        <w:rPr>
          <w:color w:val="000000" w:themeColor="text1"/>
          <w14:textFill>
            <w14:solidFill>
              <w14:schemeClr w14:val="tx1"/>
            </w14:solidFill>
          </w14:textFill>
        </w:rPr>
        <w:t>式中，</w:t>
      </w:r>
      <w:r>
        <w:rPr>
          <w:color w:val="000000" w:themeColor="text1"/>
          <w14:textFill>
            <w14:solidFill>
              <w14:schemeClr w14:val="tx1"/>
            </w14:solidFill>
          </w14:textFill>
        </w:rPr>
        <w:drawing>
          <wp:inline distT="0" distB="0" distL="0" distR="0">
            <wp:extent cx="1781175" cy="295275"/>
            <wp:effectExtent l="19050" t="0" r="9525" b="0"/>
            <wp:docPr id="3430"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0" name="图片 31"/>
                    <pic:cNvPicPr>
                      <a:picLocks noChangeAspect="1" noChangeArrowheads="1"/>
                    </pic:cNvPicPr>
                  </pic:nvPicPr>
                  <pic:blipFill>
                    <a:blip r:embed="rId101"/>
                    <a:srcRect/>
                    <a:stretch>
                      <a:fillRect/>
                    </a:stretch>
                  </pic:blipFill>
                  <pic:spPr>
                    <a:xfrm>
                      <a:off x="0" y="0"/>
                      <a:ext cx="1781175" cy="295275"/>
                    </a:xfrm>
                    <a:prstGeom prst="rect">
                      <a:avLst/>
                    </a:prstGeom>
                    <a:noFill/>
                    <a:ln w="9525">
                      <a:noFill/>
                      <a:miter lim="800000"/>
                      <a:headEnd/>
                      <a:tailEnd/>
                    </a:ln>
                  </pic:spPr>
                </pic:pic>
              </a:graphicData>
            </a:graphic>
          </wp:inline>
        </w:drawing>
      </w:r>
      <w:r>
        <w:rPr>
          <w:color w:val="000000" w:themeColor="text1"/>
          <w14:textFill>
            <w14:solidFill>
              <w14:schemeClr w14:val="tx1"/>
            </w14:solidFill>
          </w14:textFill>
        </w:rPr>
        <w:t>，其中</w:t>
      </w:r>
      <w:r>
        <w:rPr>
          <w:color w:val="000000" w:themeColor="text1"/>
          <w14:textFill>
            <w14:solidFill>
              <w14:schemeClr w14:val="tx1"/>
            </w14:solidFill>
          </w14:textFill>
        </w:rPr>
        <w:drawing>
          <wp:inline distT="0" distB="0" distL="0" distR="0">
            <wp:extent cx="1924050" cy="752475"/>
            <wp:effectExtent l="19050" t="0" r="0" b="0"/>
            <wp:docPr id="3431"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1" name="图片 32"/>
                    <pic:cNvPicPr>
                      <a:picLocks noChangeAspect="1" noChangeArrowheads="1"/>
                    </pic:cNvPicPr>
                  </pic:nvPicPr>
                  <pic:blipFill>
                    <a:blip r:embed="rId102"/>
                    <a:srcRect/>
                    <a:stretch>
                      <a:fillRect/>
                    </a:stretch>
                  </pic:blipFill>
                  <pic:spPr>
                    <a:xfrm>
                      <a:off x="0" y="0"/>
                      <a:ext cx="1924050" cy="752475"/>
                    </a:xfrm>
                    <a:prstGeom prst="rect">
                      <a:avLst/>
                    </a:prstGeom>
                    <a:noFill/>
                    <a:ln w="9525">
                      <a:noFill/>
                      <a:miter lim="800000"/>
                      <a:headEnd/>
                      <a:tailEnd/>
                    </a:ln>
                  </pic:spPr>
                </pic:pic>
              </a:graphicData>
            </a:graphic>
          </wp:inline>
        </w:drawing>
      </w:r>
      <w:r>
        <w:rPr>
          <w:color w:val="000000" w:themeColor="text1"/>
          <w14:textFill>
            <w14:solidFill>
              <w14:schemeClr w14:val="tx1"/>
            </w14:solidFill>
          </w14:textFill>
        </w:rPr>
        <w:t>，</w:t>
      </w:r>
      <w:r>
        <w:rPr>
          <w:color w:val="000000" w:themeColor="text1"/>
          <w14:textFill>
            <w14:solidFill>
              <w14:schemeClr w14:val="tx1"/>
            </w14:solidFill>
          </w14:textFill>
        </w:rPr>
        <w:drawing>
          <wp:inline distT="0" distB="0" distL="0" distR="0">
            <wp:extent cx="495300" cy="180975"/>
            <wp:effectExtent l="19050" t="0" r="0" b="0"/>
            <wp:docPr id="3432"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2" name="图片 33"/>
                    <pic:cNvPicPr>
                      <a:picLocks noChangeAspect="1" noChangeArrowheads="1"/>
                    </pic:cNvPicPr>
                  </pic:nvPicPr>
                  <pic:blipFill>
                    <a:blip r:embed="rId103"/>
                    <a:srcRect/>
                    <a:stretch>
                      <a:fillRect/>
                    </a:stretch>
                  </pic:blipFill>
                  <pic:spPr>
                    <a:xfrm>
                      <a:off x="0" y="0"/>
                      <a:ext cx="495300" cy="180975"/>
                    </a:xfrm>
                    <a:prstGeom prst="rect">
                      <a:avLst/>
                    </a:prstGeom>
                    <a:noFill/>
                    <a:ln w="9525">
                      <a:noFill/>
                      <a:miter lim="800000"/>
                      <a:headEnd/>
                      <a:tailEnd/>
                    </a:ln>
                  </pic:spPr>
                </pic:pic>
              </a:graphicData>
            </a:graphic>
          </wp:inline>
        </w:drawing>
      </w:r>
      <w:r>
        <w:rPr>
          <w:color w:val="000000" w:themeColor="text1"/>
          <w14:textFill>
            <w14:solidFill>
              <w14:schemeClr w14:val="tx1"/>
            </w14:solidFill>
          </w14:textFill>
        </w:rPr>
        <w:t>是Karman常数，</w:t>
      </w:r>
      <w:r>
        <w:rPr>
          <w:color w:val="000000" w:themeColor="text1"/>
          <w14:textFill>
            <w14:solidFill>
              <w14:schemeClr w14:val="tx1"/>
            </w14:solidFill>
          </w14:textFill>
        </w:rPr>
        <w:drawing>
          <wp:inline distT="0" distB="0" distL="0" distR="0">
            <wp:extent cx="161925" cy="228600"/>
            <wp:effectExtent l="0" t="0" r="9525" b="0"/>
            <wp:docPr id="160"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图片 34"/>
                    <pic:cNvPicPr>
                      <a:picLocks noChangeAspect="1" noChangeArrowheads="1"/>
                    </pic:cNvPicPr>
                  </pic:nvPicPr>
                  <pic:blipFill>
                    <a:blip r:embed="rId104"/>
                    <a:srcRect/>
                    <a:stretch>
                      <a:fillRect/>
                    </a:stretch>
                  </pic:blipFill>
                  <pic:spPr>
                    <a:xfrm>
                      <a:off x="0" y="0"/>
                      <a:ext cx="161925" cy="228600"/>
                    </a:xfrm>
                    <a:prstGeom prst="rect">
                      <a:avLst/>
                    </a:prstGeom>
                    <a:noFill/>
                    <a:ln w="9525">
                      <a:noFill/>
                      <a:miter lim="800000"/>
                      <a:headEnd/>
                      <a:tailEnd/>
                    </a:ln>
                  </pic:spPr>
                </pic:pic>
              </a:graphicData>
            </a:graphic>
          </wp:inline>
        </w:drawing>
      </w:r>
      <w:r>
        <w:rPr>
          <w:color w:val="000000" w:themeColor="text1"/>
          <w14:textFill>
            <w14:solidFill>
              <w14:schemeClr w14:val="tx1"/>
            </w14:solidFill>
          </w14:textFill>
        </w:rPr>
        <w:t>是海底粗糙度，</w:t>
      </w:r>
      <w:r>
        <w:rPr>
          <w:color w:val="000000" w:themeColor="text1"/>
          <w14:textFill>
            <w14:solidFill>
              <w14:schemeClr w14:val="tx1"/>
            </w14:solidFill>
          </w14:textFill>
        </w:rPr>
        <w:drawing>
          <wp:inline distT="0" distB="0" distL="0" distR="0">
            <wp:extent cx="219075" cy="228600"/>
            <wp:effectExtent l="0" t="0" r="0" b="0"/>
            <wp:docPr id="161"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图片 35"/>
                    <pic:cNvPicPr>
                      <a:picLocks noChangeAspect="1" noChangeArrowheads="1"/>
                    </pic:cNvPicPr>
                  </pic:nvPicPr>
                  <pic:blipFill>
                    <a:blip r:embed="rId105"/>
                    <a:srcRect/>
                    <a:stretch>
                      <a:fillRect/>
                    </a:stretch>
                  </pic:blipFill>
                  <pic:spPr>
                    <a:xfrm>
                      <a:off x="0" y="0"/>
                      <a:ext cx="219075" cy="228600"/>
                    </a:xfrm>
                    <a:prstGeom prst="rect">
                      <a:avLst/>
                    </a:prstGeom>
                    <a:noFill/>
                    <a:ln w="9525">
                      <a:noFill/>
                      <a:miter lim="800000"/>
                      <a:headEnd/>
                      <a:tailEnd/>
                    </a:ln>
                  </pic:spPr>
                </pic:pic>
              </a:graphicData>
            </a:graphic>
          </wp:inline>
        </w:drawing>
      </w:r>
      <w:r>
        <w:rPr>
          <w:color w:val="000000" w:themeColor="text1"/>
          <w14:textFill>
            <w14:solidFill>
              <w14:schemeClr w14:val="tx1"/>
            </w14:solidFill>
          </w14:textFill>
        </w:rPr>
        <w:t>是离海底最近网格与海底的距离。</w:t>
      </w:r>
    </w:p>
    <w:p>
      <w:pPr>
        <w:pStyle w:val="283"/>
        <w:rPr>
          <w:color w:val="000000" w:themeColor="text1"/>
          <w14:textFill>
            <w14:solidFill>
              <w14:schemeClr w14:val="tx1"/>
            </w14:solidFill>
          </w14:textFill>
        </w:rPr>
      </w:pPr>
      <w:r>
        <w:rPr>
          <w:rFonts w:hint="eastAsia" w:ascii="宋体" w:hAnsi="宋体" w:cs="宋体"/>
          <w:color w:val="000000" w:themeColor="text1"/>
          <w14:textFill>
            <w14:solidFill>
              <w14:schemeClr w14:val="tx1"/>
            </w14:solidFill>
          </w14:textFill>
        </w:rPr>
        <w:t>③</w:t>
      </w:r>
      <w:r>
        <w:rPr>
          <w:color w:val="000000" w:themeColor="text1"/>
          <w14:textFill>
            <w14:solidFill>
              <w14:schemeClr w14:val="tx1"/>
            </w14:solidFill>
          </w14:textFill>
        </w:rPr>
        <w:t>岸边界条件：</w:t>
      </w:r>
    </w:p>
    <w:p>
      <w:pPr>
        <w:pStyle w:val="283"/>
        <w:rPr>
          <w:color w:val="000000" w:themeColor="text1"/>
          <w14:textFill>
            <w14:solidFill>
              <w14:schemeClr w14:val="tx1"/>
            </w14:solidFill>
          </w14:textFill>
        </w:rPr>
      </w:pPr>
      <w:r>
        <w:rPr>
          <w:color w:val="000000" w:themeColor="text1"/>
          <w14:textFill>
            <w14:solidFill>
              <w14:schemeClr w14:val="tx1"/>
            </w14:solidFill>
          </w14:textFill>
        </w:rPr>
        <w:drawing>
          <wp:inline distT="0" distB="0" distL="0" distR="0">
            <wp:extent cx="1971675" cy="390525"/>
            <wp:effectExtent l="19050" t="0" r="0" b="0"/>
            <wp:docPr id="3433"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3" name="图片 36"/>
                    <pic:cNvPicPr>
                      <a:picLocks noChangeAspect="1" noChangeArrowheads="1"/>
                    </pic:cNvPicPr>
                  </pic:nvPicPr>
                  <pic:blipFill>
                    <a:blip r:embed="rId106"/>
                    <a:srcRect/>
                    <a:stretch>
                      <a:fillRect/>
                    </a:stretch>
                  </pic:blipFill>
                  <pic:spPr>
                    <a:xfrm>
                      <a:off x="0" y="0"/>
                      <a:ext cx="1971675" cy="390525"/>
                    </a:xfrm>
                    <a:prstGeom prst="rect">
                      <a:avLst/>
                    </a:prstGeom>
                    <a:noFill/>
                    <a:ln w="9525">
                      <a:noFill/>
                      <a:miter lim="800000"/>
                      <a:headEnd/>
                      <a:tailEnd/>
                    </a:ln>
                  </pic:spPr>
                </pic:pic>
              </a:graphicData>
            </a:graphic>
          </wp:inline>
        </w:drawing>
      </w:r>
      <w:r>
        <w:rPr>
          <w:color w:val="000000" w:themeColor="text1"/>
          <w14:textFill>
            <w14:solidFill>
              <w14:schemeClr w14:val="tx1"/>
            </w14:solidFill>
          </w14:textFill>
        </w:rPr>
        <w:t xml:space="preserve">   </w:t>
      </w:r>
      <w:r>
        <w:rPr>
          <w:rFonts w:hint="eastAsia"/>
          <w:color w:val="000000" w:themeColor="text1"/>
          <w14:textFill>
            <w14:solidFill>
              <w14:schemeClr w14:val="tx1"/>
            </w14:solidFill>
          </w14:textFill>
        </w:rPr>
        <w:t xml:space="preserve"> </w:t>
      </w:r>
      <w:r>
        <w:rPr>
          <w:color w:val="000000" w:themeColor="text1"/>
          <w14:textFill>
            <w14:solidFill>
              <w14:schemeClr w14:val="tx1"/>
            </w14:solidFill>
          </w14:textFill>
        </w:rPr>
        <w:t xml:space="preserve">          （</w:t>
      </w:r>
      <w:r>
        <w:rPr>
          <w:rFonts w:hint="eastAsia"/>
          <w:color w:val="000000" w:themeColor="text1"/>
          <w14:textFill>
            <w14:solidFill>
              <w14:schemeClr w14:val="tx1"/>
            </w14:solidFill>
          </w14:textFill>
        </w:rPr>
        <w:t>4</w:t>
      </w:r>
      <w:r>
        <w:rPr>
          <w:color w:val="000000" w:themeColor="text1"/>
          <w14:textFill>
            <w14:solidFill>
              <w14:schemeClr w14:val="tx1"/>
            </w14:solidFill>
          </w14:textFill>
        </w:rPr>
        <w:t>.1-17）</w:t>
      </w:r>
    </w:p>
    <w:p>
      <w:pPr>
        <w:pStyle w:val="283"/>
        <w:rPr>
          <w:color w:val="000000" w:themeColor="text1"/>
          <w14:textFill>
            <w14:solidFill>
              <w14:schemeClr w14:val="tx1"/>
            </w14:solidFill>
          </w14:textFill>
        </w:rPr>
      </w:pPr>
      <w:r>
        <w:rPr>
          <w:color w:val="000000" w:themeColor="text1"/>
          <w14:textFill>
            <w14:solidFill>
              <w14:schemeClr w14:val="tx1"/>
            </w14:solidFill>
          </w14:textFill>
        </w:rPr>
        <w:t>其中，</w:t>
      </w:r>
      <w:r>
        <w:rPr>
          <w:color w:val="000000" w:themeColor="text1"/>
          <w14:textFill>
            <w14:solidFill>
              <w14:schemeClr w14:val="tx1"/>
            </w14:solidFill>
          </w14:textFill>
        </w:rPr>
        <w:drawing>
          <wp:inline distT="0" distB="0" distL="0" distR="0">
            <wp:extent cx="123825" cy="161925"/>
            <wp:effectExtent l="19050" t="0" r="9525" b="0"/>
            <wp:docPr id="3434"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4" name="图片 37"/>
                    <pic:cNvPicPr>
                      <a:picLocks noChangeAspect="1" noChangeArrowheads="1"/>
                    </pic:cNvPicPr>
                  </pic:nvPicPr>
                  <pic:blipFill>
                    <a:blip r:embed="rId107"/>
                    <a:srcRect/>
                    <a:stretch>
                      <a:fillRect/>
                    </a:stretch>
                  </pic:blipFill>
                  <pic:spPr>
                    <a:xfrm>
                      <a:off x="0" y="0"/>
                      <a:ext cx="123825" cy="161925"/>
                    </a:xfrm>
                    <a:prstGeom prst="rect">
                      <a:avLst/>
                    </a:prstGeom>
                    <a:noFill/>
                    <a:ln w="9525">
                      <a:noFill/>
                      <a:miter lim="800000"/>
                      <a:headEnd/>
                      <a:tailEnd/>
                    </a:ln>
                  </pic:spPr>
                </pic:pic>
              </a:graphicData>
            </a:graphic>
          </wp:inline>
        </w:drawing>
      </w:r>
      <w:r>
        <w:rPr>
          <w:color w:val="000000" w:themeColor="text1"/>
          <w14:textFill>
            <w14:solidFill>
              <w14:schemeClr w14:val="tx1"/>
            </w14:solidFill>
          </w14:textFill>
        </w:rPr>
        <w:t>为岸线外法线方向。</w:t>
      </w:r>
    </w:p>
    <w:p>
      <w:pPr>
        <w:pStyle w:val="684"/>
        <w:ind w:firstLine="439"/>
        <w:rPr>
          <w:b/>
          <w:bCs/>
          <w:color w:val="000000" w:themeColor="text1"/>
          <w14:textFill>
            <w14:solidFill>
              <w14:schemeClr w14:val="tx1"/>
            </w14:solidFill>
          </w14:textFill>
        </w:rPr>
      </w:pPr>
      <w:r>
        <w:rPr>
          <w:rFonts w:hint="eastAsia"/>
          <w:b/>
          <w:bCs/>
          <w:color w:val="000000" w:themeColor="text1"/>
          <w14:textFill>
            <w14:solidFill>
              <w14:schemeClr w14:val="tx1"/>
            </w14:solidFill>
          </w14:textFill>
        </w:rPr>
        <w:t>2</w:t>
      </w:r>
      <w:r>
        <w:rPr>
          <w:b/>
          <w:bCs/>
          <w:color w:val="000000" w:themeColor="text1"/>
          <w14:textFill>
            <w14:solidFill>
              <w14:schemeClr w14:val="tx1"/>
            </w14:solidFill>
          </w14:textFill>
        </w:rPr>
        <w:t>、模型设置</w:t>
      </w:r>
    </w:p>
    <w:p>
      <w:pPr>
        <w:pStyle w:val="684"/>
        <w:ind w:firstLine="437"/>
        <w:rPr>
          <w:color w:val="000000" w:themeColor="text1"/>
          <w:lang w:val="en-US"/>
          <w14:textFill>
            <w14:solidFill>
              <w14:schemeClr w14:val="tx1"/>
            </w14:solidFill>
          </w14:textFill>
        </w:rPr>
      </w:pPr>
      <w:r>
        <w:rPr>
          <w:color w:val="000000" w:themeColor="text1"/>
          <w:lang w:val="en-US"/>
          <w14:textFill>
            <w14:solidFill>
              <w14:schemeClr w14:val="tx1"/>
            </w14:solidFill>
          </w14:textFill>
        </w:rPr>
        <w:t>1</w:t>
      </w:r>
      <w:r>
        <w:rPr>
          <w:rFonts w:hint="eastAsia"/>
          <w:color w:val="000000" w:themeColor="text1"/>
          <w:lang w:val="en-US"/>
          <w14:textFill>
            <w14:solidFill>
              <w14:schemeClr w14:val="tx1"/>
            </w14:solidFill>
          </w14:textFill>
        </w:rPr>
        <w:t>）计算域</w:t>
      </w:r>
    </w:p>
    <w:p>
      <w:pPr>
        <w:pStyle w:val="684"/>
        <w:ind w:firstLine="437"/>
        <w:rPr>
          <w:color w:val="000000" w:themeColor="text1"/>
          <w:lang w:val="en-US"/>
          <w14:textFill>
            <w14:solidFill>
              <w14:schemeClr w14:val="tx1"/>
            </w14:solidFill>
          </w14:textFill>
        </w:rPr>
      </w:pPr>
      <w:r>
        <w:rPr>
          <w:rFonts w:hint="eastAsia"/>
          <w:color w:val="000000" w:themeColor="text1"/>
          <w:lang w:val="en-US"/>
          <w14:textFill>
            <w14:solidFill>
              <w14:schemeClr w14:val="tx1"/>
            </w14:solidFill>
          </w14:textFill>
        </w:rPr>
        <w:t>考虑到溢油可能进入钦州湾内，计算域北部可至钦州湾顶，南边界可至钦州湾外海，本次模拟的计算域范围如图4.1</w:t>
      </w:r>
      <w:r>
        <w:rPr>
          <w:color w:val="000000" w:themeColor="text1"/>
          <w:lang w:val="en-US"/>
          <w14:textFill>
            <w14:solidFill>
              <w14:schemeClr w14:val="tx1"/>
            </w14:solidFill>
          </w14:textFill>
        </w:rPr>
        <w:t>-1</w:t>
      </w:r>
      <w:r>
        <w:rPr>
          <w:rFonts w:hint="eastAsia"/>
          <w:color w:val="000000" w:themeColor="text1"/>
          <w:lang w:val="en-US"/>
          <w14:textFill>
            <w14:solidFill>
              <w14:schemeClr w14:val="tx1"/>
            </w14:solidFill>
          </w14:textFill>
        </w:rPr>
        <w:t>所示。</w:t>
      </w:r>
    </w:p>
    <w:p>
      <w:pPr>
        <w:pStyle w:val="684"/>
        <w:ind w:firstLine="437"/>
        <w:rPr>
          <w:color w:val="000000" w:themeColor="text1"/>
          <w:lang w:val="en-US"/>
          <w14:textFill>
            <w14:solidFill>
              <w14:schemeClr w14:val="tx1"/>
            </w14:solidFill>
          </w14:textFill>
        </w:rPr>
      </w:pPr>
      <w:r>
        <w:rPr>
          <w:color w:val="000000" w:themeColor="text1"/>
          <w:lang w:val="en-US"/>
          <w14:textFill>
            <w14:solidFill>
              <w14:schemeClr w14:val="tx1"/>
            </w14:solidFill>
          </w14:textFill>
        </w:rPr>
        <w:t>2</w:t>
      </w:r>
      <w:r>
        <w:rPr>
          <w:rFonts w:hint="eastAsia"/>
          <w:color w:val="000000" w:themeColor="text1"/>
          <w:lang w:val="en-US"/>
          <w14:textFill>
            <w14:solidFill>
              <w14:schemeClr w14:val="tx1"/>
            </w14:solidFill>
          </w14:textFill>
        </w:rPr>
        <w:t>）网格设置</w:t>
      </w:r>
    </w:p>
    <w:p>
      <w:pPr>
        <w:pStyle w:val="684"/>
        <w:ind w:firstLine="437"/>
        <w:rPr>
          <w:color w:val="000000" w:themeColor="text1"/>
          <w:lang w:val="en-US"/>
          <w14:textFill>
            <w14:solidFill>
              <w14:schemeClr w14:val="tx1"/>
            </w14:solidFill>
          </w14:textFill>
        </w:rPr>
      </w:pPr>
      <w:r>
        <w:rPr>
          <w:rFonts w:hint="eastAsia"/>
          <w:color w:val="000000" w:themeColor="text1"/>
          <w:lang w:val="en-US"/>
          <w14:textFill>
            <w14:solidFill>
              <w14:schemeClr w14:val="tx1"/>
            </w14:solidFill>
          </w14:textFill>
        </w:rPr>
        <w:t>水动力模型采用无结构的三角形网格系统，考虑实测的流速数据验证需求，将垂直方向分为</w:t>
      </w:r>
      <w:r>
        <w:rPr>
          <w:color w:val="000000" w:themeColor="text1"/>
          <w:lang w:val="en-US"/>
          <w14:textFill>
            <w14:solidFill>
              <w14:schemeClr w14:val="tx1"/>
            </w14:solidFill>
          </w14:textFill>
        </w:rPr>
        <w:t>5</w:t>
      </w:r>
      <w:r>
        <w:rPr>
          <w:rFonts w:hint="eastAsia"/>
          <w:color w:val="000000" w:themeColor="text1"/>
          <w:lang w:val="en-US"/>
          <w14:textFill>
            <w14:solidFill>
              <w14:schemeClr w14:val="tx1"/>
            </w14:solidFill>
          </w14:textFill>
        </w:rPr>
        <w:t>层。</w:t>
      </w:r>
    </w:p>
    <w:p>
      <w:pPr>
        <w:pStyle w:val="684"/>
        <w:ind w:firstLine="437"/>
        <w:rPr>
          <w:color w:val="000000" w:themeColor="text1"/>
          <w:lang w:val="en-US"/>
          <w14:textFill>
            <w14:solidFill>
              <w14:schemeClr w14:val="tx1"/>
            </w14:solidFill>
          </w14:textFill>
        </w:rPr>
      </w:pPr>
      <w:r>
        <w:rPr>
          <w:rFonts w:hint="eastAsia"/>
          <w:color w:val="000000" w:themeColor="text1"/>
          <w:lang w:val="en-US"/>
          <w14:textFill>
            <w14:solidFill>
              <w14:schemeClr w14:val="tx1"/>
            </w14:solidFill>
          </w14:textFill>
        </w:rPr>
        <w:t>模型采用三角形网格剖分计算域（见图4.</w:t>
      </w:r>
      <w:r>
        <w:rPr>
          <w:color w:val="000000" w:themeColor="text1"/>
          <w:lang w:val="en-US"/>
          <w14:textFill>
            <w14:solidFill>
              <w14:schemeClr w14:val="tx1"/>
            </w14:solidFill>
          </w14:textFill>
        </w:rPr>
        <w:t>1-</w:t>
      </w:r>
      <w:r>
        <w:rPr>
          <w:rFonts w:hint="eastAsia"/>
          <w:color w:val="000000" w:themeColor="text1"/>
          <w:lang w:val="en-US"/>
          <w14:textFill>
            <w14:solidFill>
              <w14:schemeClr w14:val="tx1"/>
            </w14:solidFill>
          </w14:textFill>
        </w:rPr>
        <w:t>2），对本工程所在区域的网格进行了加密，分辨率最小为</w:t>
      </w:r>
      <w:r>
        <w:rPr>
          <w:color w:val="000000" w:themeColor="text1"/>
          <w:lang w:val="en-US"/>
          <w14:textFill>
            <w14:solidFill>
              <w14:schemeClr w14:val="tx1"/>
            </w14:solidFill>
          </w14:textFill>
        </w:rPr>
        <w:t>30m</w:t>
      </w:r>
      <w:r>
        <w:rPr>
          <w:rFonts w:hint="eastAsia"/>
          <w:color w:val="000000" w:themeColor="text1"/>
          <w:lang w:val="en-US"/>
          <w14:textFill>
            <w14:solidFill>
              <w14:schemeClr w14:val="tx1"/>
            </w14:solidFill>
          </w14:textFill>
        </w:rPr>
        <w:t>。计算域内共有</w:t>
      </w:r>
      <w:r>
        <w:rPr>
          <w:color w:val="000000" w:themeColor="text1"/>
          <w:lang w:val="en-US"/>
          <w14:textFill>
            <w14:solidFill>
              <w14:schemeClr w14:val="tx1"/>
            </w14:solidFill>
          </w14:textFill>
        </w:rPr>
        <w:t>18286</w:t>
      </w:r>
      <w:r>
        <w:rPr>
          <w:rFonts w:hint="eastAsia"/>
          <w:color w:val="000000" w:themeColor="text1"/>
          <w:lang w:val="en-US"/>
          <w14:textFill>
            <w14:solidFill>
              <w14:schemeClr w14:val="tx1"/>
            </w14:solidFill>
          </w14:textFill>
        </w:rPr>
        <w:t>个结点（</w:t>
      </w:r>
      <w:r>
        <w:rPr>
          <w:color w:val="000000" w:themeColor="text1"/>
          <w:lang w:val="en-US"/>
          <w14:textFill>
            <w14:solidFill>
              <w14:schemeClr w14:val="tx1"/>
            </w14:solidFill>
          </w14:textFill>
        </w:rPr>
        <w:t>node</w:t>
      </w:r>
      <w:r>
        <w:rPr>
          <w:rFonts w:hint="eastAsia"/>
          <w:color w:val="000000" w:themeColor="text1"/>
          <w:lang w:val="en-US"/>
          <w14:textFill>
            <w14:solidFill>
              <w14:schemeClr w14:val="tx1"/>
            </w14:solidFill>
          </w14:textFill>
        </w:rPr>
        <w:t>），</w:t>
      </w:r>
      <w:r>
        <w:rPr>
          <w:color w:val="000000" w:themeColor="text1"/>
          <w:lang w:val="en-US"/>
          <w14:textFill>
            <w14:solidFill>
              <w14:schemeClr w14:val="tx1"/>
            </w14:solidFill>
          </w14:textFill>
        </w:rPr>
        <w:t>33775</w:t>
      </w:r>
      <w:r>
        <w:rPr>
          <w:rFonts w:hint="eastAsia"/>
          <w:color w:val="000000" w:themeColor="text1"/>
          <w:lang w:val="en-US"/>
          <w14:textFill>
            <w14:solidFill>
              <w14:schemeClr w14:val="tx1"/>
            </w14:solidFill>
          </w14:textFill>
        </w:rPr>
        <w:t>个三角形单元（</w:t>
      </w:r>
      <w:r>
        <w:rPr>
          <w:color w:val="000000" w:themeColor="text1"/>
          <w:lang w:val="en-US"/>
          <w14:textFill>
            <w14:solidFill>
              <w14:schemeClr w14:val="tx1"/>
            </w14:solidFill>
          </w14:textFill>
        </w:rPr>
        <w:t>cell</w:t>
      </w:r>
      <w:r>
        <w:rPr>
          <w:rFonts w:hint="eastAsia"/>
          <w:color w:val="000000" w:themeColor="text1"/>
          <w:lang w:val="en-US"/>
          <w14:textFill>
            <w14:solidFill>
              <w14:schemeClr w14:val="tx1"/>
            </w14:solidFill>
          </w14:textFill>
        </w:rPr>
        <w:t>）。</w:t>
      </w:r>
    </w:p>
    <w:p>
      <w:pPr>
        <w:pStyle w:val="684"/>
        <w:ind w:firstLine="437"/>
        <w:rPr>
          <w:color w:val="000000" w:themeColor="text1"/>
          <w:lang w:val="en-US"/>
          <w14:textFill>
            <w14:solidFill>
              <w14:schemeClr w14:val="tx1"/>
            </w14:solidFill>
          </w14:textFill>
        </w:rPr>
      </w:pPr>
      <w:r>
        <w:rPr>
          <w:color w:val="000000" w:themeColor="text1"/>
          <w:lang w:val="en-US"/>
          <w14:textFill>
            <w14:solidFill>
              <w14:schemeClr w14:val="tx1"/>
            </w14:solidFill>
          </w14:textFill>
        </w:rPr>
        <w:t>3</w:t>
      </w:r>
      <w:r>
        <w:rPr>
          <w:rFonts w:hint="eastAsia"/>
          <w:color w:val="000000" w:themeColor="text1"/>
          <w:lang w:val="en-US"/>
          <w14:textFill>
            <w14:solidFill>
              <w14:schemeClr w14:val="tx1"/>
            </w14:solidFill>
          </w14:textFill>
        </w:rPr>
        <w:t>）水深和岸界</w:t>
      </w:r>
    </w:p>
    <w:p>
      <w:pPr>
        <w:pStyle w:val="684"/>
        <w:ind w:firstLine="437"/>
        <w:rPr>
          <w:color w:val="000000" w:themeColor="text1"/>
          <w:lang w:val="en-US"/>
          <w14:textFill>
            <w14:solidFill>
              <w14:schemeClr w14:val="tx1"/>
            </w14:solidFill>
          </w14:textFill>
        </w:rPr>
      </w:pPr>
      <w:r>
        <w:rPr>
          <w:rFonts w:hint="eastAsia"/>
          <w:color w:val="000000" w:themeColor="text1"/>
          <w:lang w:val="en-US"/>
          <w14:textFill>
            <w14:solidFill>
              <w14:schemeClr w14:val="tx1"/>
            </w14:solidFill>
          </w14:textFill>
        </w:rPr>
        <w:t>海域的岸线和水深地形充分考虑了近年来工程建设引起的岸线和水深变化的影响，主要依据为中国人民解放军司令部航海保证部的海图数据，分别为海图编号16781(2019年5月）、16770(2013年7月），水深等值线见图4.</w:t>
      </w:r>
      <w:r>
        <w:rPr>
          <w:color w:val="000000" w:themeColor="text1"/>
          <w:lang w:val="en-US"/>
          <w14:textFill>
            <w14:solidFill>
              <w14:schemeClr w14:val="tx1"/>
            </w14:solidFill>
          </w14:textFill>
        </w:rPr>
        <w:t>1-3</w:t>
      </w:r>
      <w:r>
        <w:rPr>
          <w:rFonts w:hint="eastAsia"/>
          <w:color w:val="000000" w:themeColor="text1"/>
          <w:lang w:val="en-US"/>
          <w14:textFill>
            <w14:solidFill>
              <w14:schemeClr w14:val="tx1"/>
            </w14:solidFill>
          </w14:textFill>
        </w:rPr>
        <w:t>。</w:t>
      </w:r>
    </w:p>
    <w:p>
      <w:pPr>
        <w:pStyle w:val="684"/>
        <w:ind w:firstLine="437"/>
        <w:rPr>
          <w:color w:val="000000" w:themeColor="text1"/>
          <w:lang w:val="en-US"/>
          <w14:textFill>
            <w14:solidFill>
              <w14:schemeClr w14:val="tx1"/>
            </w14:solidFill>
          </w14:textFill>
        </w:rPr>
      </w:pPr>
      <w:r>
        <w:rPr>
          <w:color w:val="000000" w:themeColor="text1"/>
          <w:lang w:val="en-US"/>
          <w14:textFill>
            <w14:solidFill>
              <w14:schemeClr w14:val="tx1"/>
            </w14:solidFill>
          </w14:textFill>
        </w:rPr>
        <w:t>4</w:t>
      </w:r>
      <w:r>
        <w:rPr>
          <w:rFonts w:hint="eastAsia"/>
          <w:color w:val="000000" w:themeColor="text1"/>
          <w:lang w:val="en-US"/>
          <w14:textFill>
            <w14:solidFill>
              <w14:schemeClr w14:val="tx1"/>
            </w14:solidFill>
          </w14:textFill>
        </w:rPr>
        <w:t>）模型水边界</w:t>
      </w:r>
    </w:p>
    <w:p>
      <w:pPr>
        <w:pStyle w:val="684"/>
        <w:ind w:firstLine="437"/>
        <w:rPr>
          <w:color w:val="000000" w:themeColor="text1"/>
          <w:lang w:val="en-US"/>
          <w14:textFill>
            <w14:solidFill>
              <w14:schemeClr w14:val="tx1"/>
            </w14:solidFill>
          </w14:textFill>
        </w:rPr>
      </w:pPr>
      <w:r>
        <w:rPr>
          <w:rFonts w:hint="eastAsia"/>
          <w:color w:val="000000" w:themeColor="text1"/>
          <w:lang w:val="en-US"/>
          <w14:textFill>
            <w14:solidFill>
              <w14:schemeClr w14:val="tx1"/>
            </w14:solidFill>
          </w14:textFill>
        </w:rPr>
        <w:t>外海边界上采用潮汐调和常数预报开边界水位，为了与实测资料对比，数值模型计算时间涵盖了现场观测时段。</w:t>
      </w:r>
    </w:p>
    <w:p>
      <w:pPr>
        <w:pStyle w:val="684"/>
        <w:ind w:firstLine="437"/>
        <w:rPr>
          <w:color w:val="000000" w:themeColor="text1"/>
          <w:lang w:val="en-US"/>
          <w14:textFill>
            <w14:solidFill>
              <w14:schemeClr w14:val="tx1"/>
            </w14:solidFill>
          </w14:textFill>
        </w:rPr>
      </w:pPr>
      <w:r>
        <w:rPr>
          <w:rFonts w:hint="eastAsia"/>
          <w:color w:val="000000" w:themeColor="text1"/>
          <w14:textFill>
            <w14:solidFill>
              <w14:schemeClr w14:val="tx1"/>
            </w14:solidFill>
          </w14:textFill>
        </w:rPr>
        <w:t>针对本海区的特点，数值模拟计算考虑8个主要分潮，包括半日分潮M</w:t>
      </w:r>
      <w:r>
        <w:rPr>
          <w:rFonts w:hint="eastAsia"/>
          <w:color w:val="000000" w:themeColor="text1"/>
          <w:vertAlign w:val="subscript"/>
          <w14:textFill>
            <w14:solidFill>
              <w14:schemeClr w14:val="tx1"/>
            </w14:solidFill>
          </w14:textFill>
        </w:rPr>
        <w:t>2</w:t>
      </w:r>
      <w:r>
        <w:rPr>
          <w:rFonts w:hint="eastAsia"/>
          <w:color w:val="000000" w:themeColor="text1"/>
          <w14:textFill>
            <w14:solidFill>
              <w14:schemeClr w14:val="tx1"/>
            </w14:solidFill>
          </w14:textFill>
        </w:rPr>
        <w:t>、S</w:t>
      </w:r>
      <w:r>
        <w:rPr>
          <w:rFonts w:hint="eastAsia"/>
          <w:color w:val="000000" w:themeColor="text1"/>
          <w:vertAlign w:val="subscript"/>
          <w14:textFill>
            <w14:solidFill>
              <w14:schemeClr w14:val="tx1"/>
            </w14:solidFill>
          </w14:textFill>
        </w:rPr>
        <w:t>2</w:t>
      </w:r>
      <w:r>
        <w:rPr>
          <w:rFonts w:hint="eastAsia"/>
          <w:color w:val="000000" w:themeColor="text1"/>
          <w14:textFill>
            <w14:solidFill>
              <w14:schemeClr w14:val="tx1"/>
            </w14:solidFill>
          </w14:textFill>
        </w:rPr>
        <w:t>、N</w:t>
      </w:r>
      <w:r>
        <w:rPr>
          <w:rFonts w:hint="eastAsia"/>
          <w:color w:val="000000" w:themeColor="text1"/>
          <w:vertAlign w:val="subscript"/>
          <w14:textFill>
            <w14:solidFill>
              <w14:schemeClr w14:val="tx1"/>
            </w14:solidFill>
          </w14:textFill>
        </w:rPr>
        <w:t>2</w:t>
      </w:r>
      <w:r>
        <w:rPr>
          <w:rFonts w:hint="eastAsia"/>
          <w:color w:val="000000" w:themeColor="text1"/>
          <w14:textFill>
            <w14:solidFill>
              <w14:schemeClr w14:val="tx1"/>
            </w14:solidFill>
          </w14:textFill>
        </w:rPr>
        <w:t>、K</w:t>
      </w:r>
      <w:r>
        <w:rPr>
          <w:rFonts w:hint="eastAsia"/>
          <w:color w:val="000000" w:themeColor="text1"/>
          <w:vertAlign w:val="subscript"/>
          <w14:textFill>
            <w14:solidFill>
              <w14:schemeClr w14:val="tx1"/>
            </w14:solidFill>
          </w14:textFill>
        </w:rPr>
        <w:t>2</w:t>
      </w:r>
      <w:r>
        <w:rPr>
          <w:rFonts w:hint="eastAsia"/>
          <w:color w:val="000000" w:themeColor="text1"/>
          <w14:textFill>
            <w14:solidFill>
              <w14:schemeClr w14:val="tx1"/>
            </w14:solidFill>
          </w14:textFill>
        </w:rPr>
        <w:t>和全日分潮K</w:t>
      </w:r>
      <w:r>
        <w:rPr>
          <w:rFonts w:hint="eastAsia"/>
          <w:color w:val="000000" w:themeColor="text1"/>
          <w:vertAlign w:val="subscript"/>
          <w14:textFill>
            <w14:solidFill>
              <w14:schemeClr w14:val="tx1"/>
            </w14:solidFill>
          </w14:textFill>
        </w:rPr>
        <w:t>1</w:t>
      </w:r>
      <w:r>
        <w:rPr>
          <w:rFonts w:hint="eastAsia"/>
          <w:color w:val="000000" w:themeColor="text1"/>
          <w14:textFill>
            <w14:solidFill>
              <w14:schemeClr w14:val="tx1"/>
            </w14:solidFill>
          </w14:textFill>
        </w:rPr>
        <w:t>、O</w:t>
      </w:r>
      <w:r>
        <w:rPr>
          <w:rFonts w:hint="eastAsia"/>
          <w:color w:val="000000" w:themeColor="text1"/>
          <w:vertAlign w:val="subscript"/>
          <w14:textFill>
            <w14:solidFill>
              <w14:schemeClr w14:val="tx1"/>
            </w14:solidFill>
          </w14:textFill>
        </w:rPr>
        <w:t>1</w:t>
      </w:r>
      <w:r>
        <w:rPr>
          <w:rFonts w:hint="eastAsia"/>
          <w:color w:val="000000" w:themeColor="text1"/>
          <w14:textFill>
            <w14:solidFill>
              <w14:schemeClr w14:val="tx1"/>
            </w14:solidFill>
          </w14:textFill>
        </w:rPr>
        <w:t>、P</w:t>
      </w:r>
      <w:r>
        <w:rPr>
          <w:rFonts w:hint="eastAsia"/>
          <w:color w:val="000000" w:themeColor="text1"/>
          <w:vertAlign w:val="subscript"/>
          <w14:textFill>
            <w14:solidFill>
              <w14:schemeClr w14:val="tx1"/>
            </w14:solidFill>
          </w14:textFill>
        </w:rPr>
        <w:t>1</w:t>
      </w:r>
      <w:r>
        <w:rPr>
          <w:rFonts w:hint="eastAsia"/>
          <w:color w:val="000000" w:themeColor="text1"/>
          <w14:textFill>
            <w14:solidFill>
              <w14:schemeClr w14:val="tx1"/>
            </w14:solidFill>
          </w14:textFill>
        </w:rPr>
        <w:t>、Q</w:t>
      </w:r>
      <w:r>
        <w:rPr>
          <w:rFonts w:hint="eastAsia"/>
          <w:color w:val="000000" w:themeColor="text1"/>
          <w:vertAlign w:val="subscript"/>
          <w14:textFill>
            <w14:solidFill>
              <w14:schemeClr w14:val="tx1"/>
            </w14:solidFill>
          </w14:textFill>
        </w:rPr>
        <w:t>1</w:t>
      </w:r>
      <w:r>
        <w:rPr>
          <w:rFonts w:hint="eastAsia"/>
          <w:color w:val="000000" w:themeColor="text1"/>
          <w14:textFill>
            <w14:solidFill>
              <w14:schemeClr w14:val="tx1"/>
            </w14:solidFill>
          </w14:textFill>
        </w:rPr>
        <w:t>和浅水分潮M</w:t>
      </w:r>
      <w:r>
        <w:rPr>
          <w:rFonts w:hint="eastAsia"/>
          <w:color w:val="000000" w:themeColor="text1"/>
          <w:vertAlign w:val="subscript"/>
          <w14:textFill>
            <w14:solidFill>
              <w14:schemeClr w14:val="tx1"/>
            </w14:solidFill>
          </w14:textFill>
        </w:rPr>
        <w:t>4</w:t>
      </w:r>
      <w:r>
        <w:rPr>
          <w:rFonts w:hint="eastAsia"/>
          <w:color w:val="000000" w:themeColor="text1"/>
          <w14:textFill>
            <w14:solidFill>
              <w14:schemeClr w14:val="tx1"/>
            </w14:solidFill>
          </w14:textFill>
        </w:rPr>
        <w:t>、MS</w:t>
      </w:r>
      <w:r>
        <w:rPr>
          <w:rFonts w:hint="eastAsia"/>
          <w:color w:val="000000" w:themeColor="text1"/>
          <w:vertAlign w:val="subscript"/>
          <w14:textFill>
            <w14:solidFill>
              <w14:schemeClr w14:val="tx1"/>
            </w14:solidFill>
          </w14:textFill>
        </w:rPr>
        <w:t>4</w:t>
      </w:r>
      <w:r>
        <w:rPr>
          <w:rFonts w:hint="eastAsia"/>
          <w:color w:val="000000" w:themeColor="text1"/>
          <w14:textFill>
            <w14:solidFill>
              <w14:schemeClr w14:val="tx1"/>
            </w14:solidFill>
          </w14:textFill>
        </w:rPr>
        <w:t>、M</w:t>
      </w:r>
      <w:r>
        <w:rPr>
          <w:rFonts w:hint="eastAsia"/>
          <w:color w:val="000000" w:themeColor="text1"/>
          <w:vertAlign w:val="subscript"/>
          <w14:textFill>
            <w14:solidFill>
              <w14:schemeClr w14:val="tx1"/>
            </w14:solidFill>
          </w14:textFill>
        </w:rPr>
        <w:t>6</w:t>
      </w:r>
      <w:r>
        <w:rPr>
          <w:rFonts w:hint="eastAsia"/>
          <w:color w:val="000000" w:themeColor="text1"/>
          <w14:textFill>
            <w14:solidFill>
              <w14:schemeClr w14:val="tx1"/>
            </w14:solidFill>
          </w14:textFill>
        </w:rPr>
        <w:t>，以11个主要分潮预报的边界潮位来驱动模式，预报软件为ChinaTide，计算公式如下：</w:t>
      </w:r>
    </w:p>
    <w:p>
      <w:pPr>
        <w:pStyle w:val="684"/>
        <w:ind w:firstLine="437"/>
        <w:jc w:val="right"/>
        <w:rPr>
          <w:color w:val="000000" w:themeColor="text1"/>
          <w:lang w:val="en-US"/>
          <w14:textFill>
            <w14:solidFill>
              <w14:schemeClr w14:val="tx1"/>
            </w14:solidFill>
          </w14:textFill>
        </w:rPr>
      </w:pPr>
      <w:r>
        <w:rPr>
          <w:color w:val="000000" w:themeColor="text1"/>
          <w:lang w:val="en-US"/>
          <w14:textFill>
            <w14:solidFill>
              <w14:schemeClr w14:val="tx1"/>
            </w14:solidFill>
          </w14:textFill>
        </w:rPr>
        <w:object>
          <v:shape id="_x0000_i1026" o:spt="75" type="#_x0000_t75" style="height:29.9pt;width:178.65pt;" o:ole="t" filled="f" o:preferrelative="t" stroked="f" coordsize="21600,21600">
            <v:path/>
            <v:fill on="f" focussize="0,0"/>
            <v:stroke on="f" joinstyle="miter"/>
            <v:imagedata r:id="rId109" o:title=""/>
            <o:lock v:ext="edit" aspectratio="t"/>
            <w10:wrap type="none"/>
            <w10:anchorlock/>
          </v:shape>
          <o:OLEObject Type="Embed" ProgID="Equation.DSMT4" ShapeID="_x0000_i1026" DrawAspect="Content" ObjectID="_1468075726" r:id="rId108">
            <o:LockedField>false</o:LockedField>
          </o:OLEObject>
        </w:object>
      </w:r>
      <w:r>
        <w:rPr>
          <w:color w:val="000000" w:themeColor="text1"/>
          <w:lang w:val="en-US"/>
          <w14:textFill>
            <w14:solidFill>
              <w14:schemeClr w14:val="tx1"/>
            </w14:solidFill>
          </w14:textFill>
        </w:rPr>
        <w:t xml:space="preserve">           </w:t>
      </w:r>
      <w:r>
        <w:rPr>
          <w:rFonts w:hint="eastAsia"/>
          <w:color w:val="000000" w:themeColor="text1"/>
          <w:lang w:val="en-US"/>
          <w14:textFill>
            <w14:solidFill>
              <w14:schemeClr w14:val="tx1"/>
            </w14:solidFill>
          </w14:textFill>
        </w:rPr>
        <w:t>（4</w:t>
      </w:r>
      <w:r>
        <w:rPr>
          <w:color w:val="000000" w:themeColor="text1"/>
          <w:lang w:val="en-US"/>
          <w14:textFill>
            <w14:solidFill>
              <w14:schemeClr w14:val="tx1"/>
            </w14:solidFill>
          </w14:textFill>
        </w:rPr>
        <w:t>.1-18</w:t>
      </w:r>
      <w:r>
        <w:rPr>
          <w:rFonts w:hint="eastAsia"/>
          <w:color w:val="000000" w:themeColor="text1"/>
          <w:lang w:val="en-US"/>
          <w14:textFill>
            <w14:solidFill>
              <w14:schemeClr w14:val="tx1"/>
            </w14:solidFill>
          </w14:textFill>
        </w:rPr>
        <w:t>）</w:t>
      </w:r>
    </w:p>
    <w:p>
      <w:pPr>
        <w:pStyle w:val="684"/>
        <w:ind w:firstLine="437"/>
        <w:rPr>
          <w:color w:val="000000" w:themeColor="text1"/>
          <w:lang w:val="en-US"/>
          <w14:textFill>
            <w14:solidFill>
              <w14:schemeClr w14:val="tx1"/>
            </w14:solidFill>
          </w14:textFill>
        </w:rPr>
      </w:pPr>
      <w:r>
        <w:rPr>
          <w:rFonts w:hint="eastAsia"/>
          <w:color w:val="000000" w:themeColor="text1"/>
          <w:lang w:val="en-US"/>
          <w14:textFill>
            <w14:solidFill>
              <w14:schemeClr w14:val="tx1"/>
            </w14:solidFill>
          </w14:textFill>
        </w:rPr>
        <w:t>式中，</w:t>
      </w:r>
      <w:r>
        <w:rPr>
          <w:color w:val="000000" w:themeColor="text1"/>
          <w:lang w:val="en-US"/>
          <w14:textFill>
            <w14:solidFill>
              <w14:schemeClr w14:val="tx1"/>
            </w14:solidFill>
          </w14:textFill>
        </w:rPr>
        <w:object>
          <v:shape id="_x0000_i1027" o:spt="75" type="#_x0000_t75" style="height:14.25pt;width:14.25pt;" o:ole="t" filled="f" o:preferrelative="t" stroked="f" coordsize="21600,21600">
            <v:path/>
            <v:fill on="f" focussize="0,0"/>
            <v:stroke on="f" joinstyle="miter"/>
            <v:imagedata r:id="rId111" o:title=""/>
            <o:lock v:ext="edit" aspectratio="t"/>
            <w10:wrap type="none"/>
            <w10:anchorlock/>
          </v:shape>
          <o:OLEObject Type="Embed" ProgID="Equation.DSMT4" ShapeID="_x0000_i1027" DrawAspect="Content" ObjectID="_1468075727" r:id="rId110">
            <o:LockedField>false</o:LockedField>
          </o:OLEObject>
        </w:object>
      </w:r>
      <w:r>
        <w:rPr>
          <w:rFonts w:hint="eastAsia"/>
          <w:color w:val="000000" w:themeColor="text1"/>
          <w:lang w:val="en-US"/>
          <w14:textFill>
            <w14:solidFill>
              <w14:schemeClr w14:val="tx1"/>
            </w14:solidFill>
          </w14:textFill>
        </w:rPr>
        <w:t>为分潮数目，</w:t>
      </w:r>
      <w:r>
        <w:rPr>
          <w:color w:val="000000" w:themeColor="text1"/>
          <w:lang w:val="en-US"/>
          <w14:textFill>
            <w14:solidFill>
              <w14:schemeClr w14:val="tx1"/>
            </w14:solidFill>
          </w14:textFill>
        </w:rPr>
        <w:object>
          <v:shape id="_x0000_i1028" o:spt="75" type="#_x0000_t75" style="height:19pt;width:15.6pt;" o:ole="t" filled="f" o:preferrelative="t" stroked="f" coordsize="21600,21600">
            <v:path/>
            <v:fill on="f" focussize="0,0"/>
            <v:stroke on="f" joinstyle="miter"/>
            <v:imagedata r:id="rId113" o:title=""/>
            <o:lock v:ext="edit" aspectratio="t"/>
            <w10:wrap type="none"/>
            <w10:anchorlock/>
          </v:shape>
          <o:OLEObject Type="Embed" ProgID="Equation.DSMT4" ShapeID="_x0000_i1028" DrawAspect="Content" ObjectID="_1468075728" r:id="rId112">
            <o:LockedField>false</o:LockedField>
          </o:OLEObject>
        </w:object>
      </w:r>
      <w:r>
        <w:rPr>
          <w:rFonts w:hint="eastAsia"/>
          <w:color w:val="000000" w:themeColor="text1"/>
          <w:lang w:val="en-US"/>
          <w14:textFill>
            <w14:solidFill>
              <w14:schemeClr w14:val="tx1"/>
            </w14:solidFill>
          </w14:textFill>
        </w:rPr>
        <w:t>、</w:t>
      </w:r>
      <w:r>
        <w:rPr>
          <w:color w:val="000000" w:themeColor="text1"/>
          <w:lang w:val="en-US"/>
          <w14:textFill>
            <w14:solidFill>
              <w14:schemeClr w14:val="tx1"/>
            </w14:solidFill>
          </w14:textFill>
        </w:rPr>
        <w:object>
          <v:shape id="_x0000_i1029" o:spt="75" type="#_x0000_t75" style="height:19pt;width:12.9pt;" o:ole="t" filled="f" o:preferrelative="t" stroked="f" coordsize="21600,21600">
            <v:path/>
            <v:fill on="f" focussize="0,0"/>
            <v:stroke on="f" joinstyle="miter"/>
            <v:imagedata r:id="rId115" o:title=""/>
            <o:lock v:ext="edit" aspectratio="t"/>
            <w10:wrap type="none"/>
            <w10:anchorlock/>
          </v:shape>
          <o:OLEObject Type="Embed" ProgID="Equation.DSMT4" ShapeID="_x0000_i1029" DrawAspect="Content" ObjectID="_1468075729" r:id="rId114">
            <o:LockedField>false</o:LockedField>
          </o:OLEObject>
        </w:object>
      </w:r>
      <w:r>
        <w:rPr>
          <w:rFonts w:hint="eastAsia"/>
          <w:color w:val="000000" w:themeColor="text1"/>
          <w:lang w:val="en-US"/>
          <w14:textFill>
            <w14:solidFill>
              <w14:schemeClr w14:val="tx1"/>
            </w14:solidFill>
          </w14:textFill>
        </w:rPr>
        <w:t>、</w:t>
      </w:r>
      <w:r>
        <w:rPr>
          <w:color w:val="000000" w:themeColor="text1"/>
          <w:lang w:val="en-US"/>
          <w14:textFill>
            <w14:solidFill>
              <w14:schemeClr w14:val="tx1"/>
            </w14:solidFill>
          </w14:textFill>
        </w:rPr>
        <w:object>
          <v:shape id="_x0000_i1030" o:spt="75" type="#_x0000_t75" style="height:19pt;width:12.9pt;" o:ole="t" filled="f" o:preferrelative="t" stroked="f" coordsize="21600,21600">
            <v:path/>
            <v:fill on="f" focussize="0,0"/>
            <v:stroke on="f" joinstyle="miter"/>
            <v:imagedata r:id="rId117" o:title=""/>
            <o:lock v:ext="edit" aspectratio="t"/>
            <w10:wrap type="none"/>
            <w10:anchorlock/>
          </v:shape>
          <o:OLEObject Type="Embed" ProgID="Equation.DSMT4" ShapeID="_x0000_i1030" DrawAspect="Content" ObjectID="_1468075730" r:id="rId116">
            <o:LockedField>false</o:LockedField>
          </o:OLEObject>
        </w:object>
      </w:r>
      <w:r>
        <w:rPr>
          <w:rFonts w:hint="eastAsia"/>
          <w:color w:val="000000" w:themeColor="text1"/>
          <w:lang w:val="en-US"/>
          <w14:textFill>
            <w14:solidFill>
              <w14:schemeClr w14:val="tx1"/>
            </w14:solidFill>
          </w14:textFill>
        </w:rPr>
        <w:t>分别为第</w:t>
      </w:r>
      <w:r>
        <w:rPr>
          <w:i/>
          <w:color w:val="000000" w:themeColor="text1"/>
          <w:lang w:val="en-US"/>
          <w14:textFill>
            <w14:solidFill>
              <w14:schemeClr w14:val="tx1"/>
            </w14:solidFill>
          </w14:textFill>
        </w:rPr>
        <w:t>i</w:t>
      </w:r>
      <w:r>
        <w:rPr>
          <w:rFonts w:hint="eastAsia"/>
          <w:color w:val="000000" w:themeColor="text1"/>
          <w:lang w:val="en-US"/>
          <w14:textFill>
            <w14:solidFill>
              <w14:schemeClr w14:val="tx1"/>
            </w14:solidFill>
          </w14:textFill>
        </w:rPr>
        <w:t>个分潮的振幅、圆频率和</w:t>
      </w:r>
      <w:r>
        <w:rPr>
          <w:color w:val="000000" w:themeColor="text1"/>
          <w:lang w:val="en-US"/>
          <w14:textFill>
            <w14:solidFill>
              <w14:schemeClr w14:val="tx1"/>
            </w14:solidFill>
          </w14:textFill>
        </w:rPr>
        <w:t>Greenwich</w:t>
      </w:r>
      <w:r>
        <w:rPr>
          <w:rFonts w:hint="eastAsia"/>
          <w:color w:val="000000" w:themeColor="text1"/>
          <w:lang w:val="en-US"/>
          <w14:textFill>
            <w14:solidFill>
              <w14:schemeClr w14:val="tx1"/>
            </w14:solidFill>
          </w14:textFill>
        </w:rPr>
        <w:t>迟角，</w:t>
      </w:r>
      <w:r>
        <w:rPr>
          <w:color w:val="000000" w:themeColor="text1"/>
          <w:lang w:val="en-US"/>
          <w14:textFill>
            <w14:solidFill>
              <w14:schemeClr w14:val="tx1"/>
            </w14:solidFill>
          </w14:textFill>
        </w:rPr>
        <w:object>
          <v:shape id="_x0000_i1031" o:spt="75" type="#_x0000_t75" style="height:19pt;width:12.9pt;" o:ole="t" filled="f" o:preferrelative="t" stroked="f" coordsize="21600,21600">
            <v:path/>
            <v:fill on="f" focussize="0,0"/>
            <v:stroke on="f" joinstyle="miter"/>
            <v:imagedata r:id="rId119" o:title=""/>
            <o:lock v:ext="edit" aspectratio="t"/>
            <w10:wrap type="none"/>
            <w10:anchorlock/>
          </v:shape>
          <o:OLEObject Type="Embed" ProgID="Equation.DSMT4" ShapeID="_x0000_i1031" DrawAspect="Content" ObjectID="_1468075731" r:id="rId118">
            <o:LockedField>false</o:LockedField>
          </o:OLEObject>
        </w:object>
      </w:r>
      <w:r>
        <w:rPr>
          <w:rFonts w:hint="eastAsia"/>
          <w:color w:val="000000" w:themeColor="text1"/>
          <w:lang w:val="en-US"/>
          <w14:textFill>
            <w14:solidFill>
              <w14:schemeClr w14:val="tx1"/>
            </w14:solidFill>
          </w14:textFill>
        </w:rPr>
        <w:t>、</w:t>
      </w:r>
      <w:r>
        <w:rPr>
          <w:color w:val="000000" w:themeColor="text1"/>
          <w:lang w:val="en-US"/>
          <w14:textFill>
            <w14:solidFill>
              <w14:schemeClr w14:val="tx1"/>
            </w14:solidFill>
          </w14:textFill>
        </w:rPr>
        <w:object>
          <v:shape id="_x0000_i1032" o:spt="75" type="#_x0000_t75" style="height:19pt;width:12.9pt;" o:ole="t" filled="f" o:preferrelative="t" stroked="f" coordsize="21600,21600">
            <v:path/>
            <v:fill on="f" focussize="0,0"/>
            <v:stroke on="f" joinstyle="miter"/>
            <v:imagedata r:id="rId121" o:title=""/>
            <o:lock v:ext="edit" aspectratio="t"/>
            <w10:wrap type="none"/>
            <w10:anchorlock/>
          </v:shape>
          <o:OLEObject Type="Embed" ProgID="Equation.DSMT4" ShapeID="_x0000_i1032" DrawAspect="Content" ObjectID="_1468075732" r:id="rId120">
            <o:LockedField>false</o:LockedField>
          </o:OLEObject>
        </w:object>
      </w:r>
      <w:r>
        <w:rPr>
          <w:rFonts w:hint="eastAsia"/>
          <w:color w:val="000000" w:themeColor="text1"/>
          <w:lang w:val="en-US"/>
          <w14:textFill>
            <w14:solidFill>
              <w14:schemeClr w14:val="tx1"/>
            </w14:solidFill>
          </w14:textFill>
        </w:rPr>
        <w:t>、</w:t>
      </w:r>
      <w:r>
        <w:rPr>
          <w:color w:val="000000" w:themeColor="text1"/>
          <w:lang w:val="en-US"/>
          <w14:textFill>
            <w14:solidFill>
              <w14:schemeClr w14:val="tx1"/>
            </w14:solidFill>
          </w14:textFill>
        </w:rPr>
        <w:object>
          <v:shape id="_x0000_i1033" o:spt="75" type="#_x0000_t75" style="height:19pt;width:11.55pt;" o:ole="t" filled="f" o:preferrelative="t" stroked="f" coordsize="21600,21600">
            <v:path/>
            <v:fill on="f" focussize="0,0"/>
            <v:stroke on="f" joinstyle="miter"/>
            <v:imagedata r:id="rId123" o:title=""/>
            <o:lock v:ext="edit" aspectratio="t"/>
            <w10:wrap type="none"/>
            <w10:anchorlock/>
          </v:shape>
          <o:OLEObject Type="Embed" ProgID="Equation.DSMT4" ShapeID="_x0000_i1033" DrawAspect="Content" ObjectID="_1468075733" r:id="rId122">
            <o:LockedField>false</o:LockedField>
          </o:OLEObject>
        </w:object>
      </w:r>
      <w:r>
        <w:rPr>
          <w:rFonts w:hint="eastAsia"/>
          <w:color w:val="000000" w:themeColor="text1"/>
          <w:lang w:val="en-US"/>
          <w14:textFill>
            <w14:solidFill>
              <w14:schemeClr w14:val="tx1"/>
            </w14:solidFill>
          </w14:textFill>
        </w:rPr>
        <w:t>则分别为该分潮的交点因子、天文初相角和交点修正角。南部开边界设为</w:t>
      </w:r>
      <w:r>
        <w:rPr>
          <w:color w:val="000000" w:themeColor="text1"/>
          <w:lang w:val="en-US"/>
          <w14:textFill>
            <w14:solidFill>
              <w14:schemeClr w14:val="tx1"/>
            </w14:solidFill>
          </w14:textFill>
        </w:rPr>
        <w:t>Thompson</w:t>
      </w:r>
      <w:r>
        <w:rPr>
          <w:rFonts w:hint="eastAsia"/>
          <w:color w:val="000000" w:themeColor="text1"/>
          <w:lang w:val="en-US"/>
          <w14:textFill>
            <w14:solidFill>
              <w14:schemeClr w14:val="tx1"/>
            </w14:solidFill>
          </w14:textFill>
        </w:rPr>
        <w:t>型辐射边界，它允许潮波向外海自由传播并能够从一定程度上消除其在开边界上所产生的非真实的反射。</w:t>
      </w:r>
    </w:p>
    <w:p>
      <w:pPr>
        <w:pStyle w:val="684"/>
        <w:ind w:firstLine="437"/>
        <w:rPr>
          <w:color w:val="000000" w:themeColor="text1"/>
          <w:lang w:val="en-US"/>
          <w14:textFill>
            <w14:solidFill>
              <w14:schemeClr w14:val="tx1"/>
            </w14:solidFill>
          </w14:textFill>
        </w:rPr>
      </w:pPr>
      <w:r>
        <w:rPr>
          <w:color w:val="000000" w:themeColor="text1"/>
          <w:lang w:val="en-US"/>
          <w14:textFill>
            <w14:solidFill>
              <w14:schemeClr w14:val="tx1"/>
            </w14:solidFill>
          </w14:textFill>
        </w:rPr>
        <w:t>5</w:t>
      </w:r>
      <w:r>
        <w:rPr>
          <w:rFonts w:hint="eastAsia"/>
          <w:color w:val="000000" w:themeColor="text1"/>
          <w:lang w:val="en-US"/>
          <w14:textFill>
            <w14:solidFill>
              <w14:schemeClr w14:val="tx1"/>
            </w14:solidFill>
          </w14:textFill>
        </w:rPr>
        <w:t>）初始条件</w:t>
      </w:r>
    </w:p>
    <w:p>
      <w:pPr>
        <w:pStyle w:val="684"/>
        <w:ind w:firstLine="437"/>
        <w:rPr>
          <w:color w:val="000000" w:themeColor="text1"/>
          <w:lang w:val="en-US"/>
          <w14:textFill>
            <w14:solidFill>
              <w14:schemeClr w14:val="tx1"/>
            </w14:solidFill>
          </w14:textFill>
        </w:rPr>
      </w:pPr>
      <w:r>
        <w:rPr>
          <w:rFonts w:hint="eastAsia"/>
          <w:color w:val="000000" w:themeColor="text1"/>
          <w:lang w:val="en-US"/>
          <w14:textFill>
            <w14:solidFill>
              <w14:schemeClr w14:val="tx1"/>
            </w14:solidFill>
          </w14:textFill>
        </w:rPr>
        <w:t>模式为正压，水温场和盐度场取为常数，分别为</w:t>
      </w:r>
      <w:r>
        <w:rPr>
          <w:color w:val="000000" w:themeColor="text1"/>
          <w:lang w:val="en-US"/>
          <w14:textFill>
            <w14:solidFill>
              <w14:schemeClr w14:val="tx1"/>
            </w14:solidFill>
          </w14:textFill>
        </w:rPr>
        <w:t>25</w:t>
      </w:r>
      <w:r>
        <w:rPr>
          <w:rFonts w:hint="eastAsia"/>
          <w:color w:val="000000" w:themeColor="text1"/>
          <w:lang w:val="en-US"/>
          <w14:textFill>
            <w14:solidFill>
              <w14:schemeClr w14:val="tx1"/>
            </w14:solidFill>
          </w14:textFill>
        </w:rPr>
        <w:t>℃和</w:t>
      </w:r>
      <w:r>
        <w:rPr>
          <w:color w:val="000000" w:themeColor="text1"/>
          <w:lang w:val="en-US"/>
          <w14:textFill>
            <w14:solidFill>
              <w14:schemeClr w14:val="tx1"/>
            </w14:solidFill>
          </w14:textFill>
        </w:rPr>
        <w:t>32PSU</w:t>
      </w:r>
      <w:r>
        <w:rPr>
          <w:rFonts w:hint="eastAsia"/>
          <w:color w:val="000000" w:themeColor="text1"/>
          <w:lang w:val="en-US"/>
          <w14:textFill>
            <w14:solidFill>
              <w14:schemeClr w14:val="tx1"/>
            </w14:solidFill>
          </w14:textFill>
        </w:rPr>
        <w:t>。初始的水位场和流速场均为</w:t>
      </w:r>
      <w:r>
        <w:rPr>
          <w:color w:val="000000" w:themeColor="text1"/>
          <w:lang w:val="en-US"/>
          <w14:textFill>
            <w14:solidFill>
              <w14:schemeClr w14:val="tx1"/>
            </w14:solidFill>
          </w14:textFill>
        </w:rPr>
        <w:t>0</w:t>
      </w:r>
      <w:r>
        <w:rPr>
          <w:rFonts w:hint="eastAsia"/>
          <w:color w:val="000000" w:themeColor="text1"/>
          <w:lang w:val="en-US"/>
          <w14:textFill>
            <w14:solidFill>
              <w14:schemeClr w14:val="tx1"/>
            </w14:solidFill>
          </w14:textFill>
        </w:rPr>
        <w:t>。</w:t>
      </w:r>
    </w:p>
    <w:p>
      <w:pPr>
        <w:pStyle w:val="684"/>
        <w:ind w:firstLine="437"/>
        <w:rPr>
          <w:color w:val="000000" w:themeColor="text1"/>
          <w:u w:val="single"/>
          <w:lang w:val="en-US"/>
          <w14:textFill>
            <w14:solidFill>
              <w14:schemeClr w14:val="tx1"/>
            </w14:solidFill>
          </w14:textFill>
        </w:rPr>
      </w:pPr>
      <w:r>
        <w:rPr>
          <w:color w:val="000000" w:themeColor="text1"/>
          <w:u w:val="single"/>
          <w:lang w:val="en-US"/>
          <w14:textFill>
            <w14:solidFill>
              <w14:schemeClr w14:val="tx1"/>
            </w14:solidFill>
          </w14:textFill>
        </w:rPr>
        <w:t>6</w:t>
      </w:r>
      <w:r>
        <w:rPr>
          <w:rFonts w:hint="eastAsia"/>
          <w:color w:val="000000" w:themeColor="text1"/>
          <w:u w:val="single"/>
          <w:lang w:val="en-US"/>
          <w14:textFill>
            <w14:solidFill>
              <w14:schemeClr w14:val="tx1"/>
            </w14:solidFill>
          </w14:textFill>
        </w:rPr>
        <w:t>）计算时间步长</w:t>
      </w:r>
    </w:p>
    <w:p>
      <w:pPr>
        <w:pStyle w:val="684"/>
        <w:ind w:firstLine="437"/>
        <w:rPr>
          <w:color w:val="000000" w:themeColor="text1"/>
          <w:u w:val="single"/>
          <w:lang w:val="en-US"/>
          <w14:textFill>
            <w14:solidFill>
              <w14:schemeClr w14:val="tx1"/>
            </w14:solidFill>
          </w14:textFill>
        </w:rPr>
      </w:pPr>
      <w:r>
        <w:rPr>
          <w:rFonts w:hint="eastAsia"/>
          <w:color w:val="000000" w:themeColor="text1"/>
          <w:u w:val="single"/>
          <w:lang w:val="en-US"/>
          <w14:textFill>
            <w14:solidFill>
              <w14:schemeClr w14:val="tx1"/>
            </w14:solidFill>
          </w14:textFill>
        </w:rPr>
        <w:t>在工程区域，水平分辨率最小可以达到30m，为使模式稳定，需要满足CFL条件，选取外模时间步长：0.5s，内模时间步长为5s。为了配合模型结果与观测资料进行验证，模型计算的时间为2023年4月2日11时至2023年4月24日10时共22天，每6分钟输出一组数据。</w:t>
      </w:r>
    </w:p>
    <w:p>
      <w:pPr>
        <w:pStyle w:val="1002"/>
        <w:rPr>
          <w:color w:val="000000" w:themeColor="text1"/>
          <w14:textFill>
            <w14:solidFill>
              <w14:schemeClr w14:val="tx1"/>
            </w14:solidFill>
          </w14:textFill>
        </w:rPr>
      </w:pPr>
      <w:r>
        <w:rPr>
          <w:color w:val="000000" w:themeColor="text1"/>
          <w:lang w:val="en-US"/>
          <w14:textFill>
            <w14:solidFill>
              <w14:schemeClr w14:val="tx1"/>
            </w14:solidFill>
          </w14:textFill>
        </w:rPr>
        <w:drawing>
          <wp:inline distT="0" distB="0" distL="0" distR="0">
            <wp:extent cx="5278120" cy="3896360"/>
            <wp:effectExtent l="0" t="0" r="0" b="8890"/>
            <wp:docPr id="18" name="图片 18"/>
            <wp:cNvGraphicFramePr/>
            <a:graphic xmlns:a="http://schemas.openxmlformats.org/drawingml/2006/main">
              <a:graphicData uri="http://schemas.openxmlformats.org/drawingml/2006/picture">
                <pic:pic xmlns:pic="http://schemas.openxmlformats.org/drawingml/2006/picture">
                  <pic:nvPicPr>
                    <pic:cNvPr id="18" name="图片 18"/>
                    <pic:cNvPicPr/>
                  </pic:nvPicPr>
                  <pic:blipFill>
                    <a:blip r:embed="rId124"/>
                    <a:stretch>
                      <a:fillRect/>
                    </a:stretch>
                  </pic:blipFill>
                  <pic:spPr>
                    <a:xfrm>
                      <a:off x="0" y="0"/>
                      <a:ext cx="5278120" cy="3896573"/>
                    </a:xfrm>
                    <a:prstGeom prst="rect">
                      <a:avLst/>
                    </a:prstGeom>
                  </pic:spPr>
                </pic:pic>
              </a:graphicData>
            </a:graphic>
          </wp:inline>
        </w:drawing>
      </w:r>
    </w:p>
    <w:p>
      <w:pPr>
        <w:pStyle w:val="553"/>
        <w:rPr>
          <w:color w:val="000000" w:themeColor="text1"/>
          <w14:textFill>
            <w14:solidFill>
              <w14:schemeClr w14:val="tx1"/>
            </w14:solidFill>
          </w14:textFill>
        </w:rPr>
      </w:pPr>
      <w:r>
        <w:rPr>
          <w:color w:val="000000" w:themeColor="text1"/>
          <w14:textFill>
            <w14:solidFill>
              <w14:schemeClr w14:val="tx1"/>
            </w14:solidFill>
          </w14:textFill>
        </w:rPr>
        <w:t>评价区网格示意图</w:t>
      </w:r>
    </w:p>
    <w:p>
      <w:pPr>
        <w:pStyle w:val="1002"/>
        <w:rPr>
          <w:color w:val="000000" w:themeColor="text1"/>
          <w14:textFill>
            <w14:solidFill>
              <w14:schemeClr w14:val="tx1"/>
            </w14:solidFill>
          </w14:textFill>
        </w:rPr>
      </w:pPr>
    </w:p>
    <w:p>
      <w:pPr>
        <w:pStyle w:val="553"/>
        <w:rPr>
          <w:color w:val="000000" w:themeColor="text1"/>
          <w14:textFill>
            <w14:solidFill>
              <w14:schemeClr w14:val="tx1"/>
            </w14:solidFill>
          </w14:textFill>
        </w:rPr>
      </w:pPr>
      <w:r>
        <w:rPr>
          <w:color w:val="000000" w:themeColor="text1"/>
          <w14:textFill>
            <w14:solidFill>
              <w14:schemeClr w14:val="tx1"/>
            </w14:solidFill>
          </w14:textFill>
        </w:rPr>
        <w:t>计算区域潮流潮位验证点</w:t>
      </w:r>
    </w:p>
    <w:p>
      <w:pPr>
        <w:pStyle w:val="1002"/>
        <w:rPr>
          <w:color w:val="000000" w:themeColor="text1"/>
          <w14:textFill>
            <w14:solidFill>
              <w14:schemeClr w14:val="tx1"/>
            </w14:solidFill>
          </w14:textFill>
        </w:rPr>
      </w:pPr>
    </w:p>
    <w:p>
      <w:pPr>
        <w:pStyle w:val="553"/>
        <w:rPr>
          <w:color w:val="000000" w:themeColor="text1"/>
          <w14:textFill>
            <w14:solidFill>
              <w14:schemeClr w14:val="tx1"/>
            </w14:solidFill>
          </w14:textFill>
        </w:rPr>
      </w:pPr>
      <w:r>
        <w:rPr>
          <w:color w:val="000000" w:themeColor="text1"/>
          <w14:textFill>
            <w14:solidFill>
              <w14:schemeClr w14:val="tx1"/>
            </w14:solidFill>
          </w14:textFill>
        </w:rPr>
        <w:t>模拟区水深地形图</w:t>
      </w:r>
    </w:p>
    <w:p>
      <w:pPr>
        <w:pStyle w:val="684"/>
        <w:ind w:firstLine="439"/>
        <w:rPr>
          <w:b/>
          <w:bCs/>
          <w:color w:val="000000" w:themeColor="text1"/>
          <w14:textFill>
            <w14:solidFill>
              <w14:schemeClr w14:val="tx1"/>
            </w14:solidFill>
          </w14:textFill>
        </w:rPr>
      </w:pPr>
    </w:p>
    <w:p>
      <w:pPr>
        <w:pStyle w:val="684"/>
        <w:ind w:firstLine="439"/>
        <w:rPr>
          <w:b/>
          <w:bCs/>
          <w:color w:val="000000" w:themeColor="text1"/>
          <w14:textFill>
            <w14:solidFill>
              <w14:schemeClr w14:val="tx1"/>
            </w14:solidFill>
          </w14:textFill>
        </w:rPr>
      </w:pPr>
      <w:r>
        <w:rPr>
          <w:rFonts w:hint="eastAsia"/>
          <w:b/>
          <w:bCs/>
          <w:color w:val="000000" w:themeColor="text1"/>
          <w14:textFill>
            <w14:solidFill>
              <w14:schemeClr w14:val="tx1"/>
            </w14:solidFill>
          </w14:textFill>
        </w:rPr>
        <w:t>3</w:t>
      </w:r>
      <w:r>
        <w:rPr>
          <w:b/>
          <w:bCs/>
          <w:color w:val="000000" w:themeColor="text1"/>
          <w14:textFill>
            <w14:solidFill>
              <w14:schemeClr w14:val="tx1"/>
            </w14:solidFill>
          </w14:textFill>
        </w:rPr>
        <w:t>、模型验证</w:t>
      </w:r>
    </w:p>
    <w:p>
      <w:pPr>
        <w:pStyle w:val="684"/>
        <w:ind w:firstLine="437"/>
        <w:rPr>
          <w:color w:val="000000" w:themeColor="text1"/>
          <w:lang w:val="en-US"/>
          <w14:textFill>
            <w14:solidFill>
              <w14:schemeClr w14:val="tx1"/>
            </w14:solidFill>
          </w14:textFill>
        </w:rPr>
      </w:pPr>
      <w:r>
        <w:rPr>
          <w:rFonts w:hint="eastAsia"/>
          <w:color w:val="000000" w:themeColor="text1"/>
          <w:lang w:val="en-US"/>
          <w14:textFill>
            <w14:solidFill>
              <w14:schemeClr w14:val="tx1"/>
            </w14:solidFill>
          </w14:textFill>
        </w:rPr>
        <w:t>模型潮位验证所使用的观测潮流数据来自水文监测单位于2023年4月21日11：00至4月22日10：00对钦州湾外海设置的站位（图4.</w:t>
      </w:r>
      <w:r>
        <w:rPr>
          <w:color w:val="000000" w:themeColor="text1"/>
          <w:lang w:val="en-US"/>
          <w14:textFill>
            <w14:solidFill>
              <w14:schemeClr w14:val="tx1"/>
            </w14:solidFill>
          </w14:textFill>
        </w:rPr>
        <w:t>1-1</w:t>
      </w:r>
      <w:r>
        <w:rPr>
          <w:rFonts w:hint="eastAsia"/>
          <w:color w:val="000000" w:themeColor="text1"/>
          <w:lang w:val="en-US"/>
          <w14:textFill>
            <w14:solidFill>
              <w14:schemeClr w14:val="tx1"/>
            </w14:solidFill>
          </w14:textFill>
        </w:rPr>
        <w:t>），</w:t>
      </w:r>
      <w:r>
        <w:rPr>
          <w:rFonts w:hint="eastAsia"/>
          <w:bCs/>
          <w:color w:val="000000" w:themeColor="text1"/>
          <w:lang w:val="en-US"/>
          <w14:textFill>
            <w14:solidFill>
              <w14:schemeClr w14:val="tx1"/>
            </w14:solidFill>
          </w14:textFill>
        </w:rPr>
        <w:t>垂直评价海域的主流向方向布设的断面，布设4条断面，每条断面布设1～4个站位，潮流站位为9个，共24个小时，潮期为典型大潮期。</w:t>
      </w:r>
      <w:r>
        <w:rPr>
          <w:rFonts w:hint="eastAsia"/>
          <w:color w:val="000000" w:themeColor="text1"/>
          <w:lang w:val="en-US"/>
          <w14:textFill>
            <w14:solidFill>
              <w14:schemeClr w14:val="tx1"/>
            </w14:solidFill>
          </w14:textFill>
        </w:rPr>
        <w:t>各站位流速和流向的模拟值与观测值的对比如图4.</w:t>
      </w:r>
      <w:r>
        <w:rPr>
          <w:color w:val="000000" w:themeColor="text1"/>
          <w:lang w:val="en-US"/>
          <w14:textFill>
            <w14:solidFill>
              <w14:schemeClr w14:val="tx1"/>
            </w14:solidFill>
          </w14:textFill>
        </w:rPr>
        <w:t>1-6</w:t>
      </w:r>
      <w:r>
        <w:rPr>
          <w:rFonts w:hint="eastAsia"/>
          <w:color w:val="000000" w:themeColor="text1"/>
          <w:lang w:val="en-US"/>
          <w14:textFill>
            <w14:solidFill>
              <w14:schemeClr w14:val="tx1"/>
            </w14:solidFill>
          </w14:textFill>
        </w:rPr>
        <w:t>～图4.</w:t>
      </w:r>
      <w:r>
        <w:rPr>
          <w:color w:val="000000" w:themeColor="text1"/>
          <w:lang w:val="en-US"/>
          <w14:textFill>
            <w14:solidFill>
              <w14:schemeClr w14:val="tx1"/>
            </w14:solidFill>
          </w14:textFill>
        </w:rPr>
        <w:t>1-11</w:t>
      </w:r>
      <w:r>
        <w:rPr>
          <w:rFonts w:hint="eastAsia"/>
          <w:color w:val="000000" w:themeColor="text1"/>
          <w:lang w:val="en-US"/>
          <w14:textFill>
            <w14:solidFill>
              <w14:schemeClr w14:val="tx1"/>
            </w14:solidFill>
          </w14:textFill>
        </w:rPr>
        <w:t>所示。</w:t>
      </w:r>
    </w:p>
    <w:p>
      <w:pPr>
        <w:pStyle w:val="684"/>
        <w:ind w:firstLine="437"/>
        <w:rPr>
          <w:color w:val="000000" w:themeColor="text1"/>
          <w:lang w:val="en-US"/>
          <w14:textFill>
            <w14:solidFill>
              <w14:schemeClr w14:val="tx1"/>
            </w14:solidFill>
          </w14:textFill>
        </w:rPr>
      </w:pPr>
      <w:r>
        <w:rPr>
          <w:rFonts w:hint="eastAsia"/>
          <w:color w:val="000000" w:themeColor="text1"/>
          <w:lang w:val="en-US"/>
          <w14:textFill>
            <w14:solidFill>
              <w14:schemeClr w14:val="tx1"/>
            </w14:solidFill>
          </w14:textFill>
        </w:rPr>
        <w:t>潮位验证所使用的观测数据与潮流同期，采用2个站位(H1和H2)的潮位数据进行验证。各站位潮位的模拟值与观测值的对比如图4.</w:t>
      </w:r>
      <w:r>
        <w:rPr>
          <w:color w:val="000000" w:themeColor="text1"/>
          <w:lang w:val="en-US"/>
          <w14:textFill>
            <w14:solidFill>
              <w14:schemeClr w14:val="tx1"/>
            </w14:solidFill>
          </w14:textFill>
        </w:rPr>
        <w:t>1-4</w:t>
      </w:r>
      <w:r>
        <w:rPr>
          <w:rFonts w:hint="eastAsia"/>
          <w:color w:val="000000" w:themeColor="text1"/>
          <w:lang w:val="en-US"/>
          <w14:textFill>
            <w14:solidFill>
              <w14:schemeClr w14:val="tx1"/>
            </w14:solidFill>
          </w14:textFill>
        </w:rPr>
        <w:t>和图4.</w:t>
      </w:r>
      <w:r>
        <w:rPr>
          <w:color w:val="000000" w:themeColor="text1"/>
          <w:lang w:val="en-US"/>
          <w14:textFill>
            <w14:solidFill>
              <w14:schemeClr w14:val="tx1"/>
            </w14:solidFill>
          </w14:textFill>
        </w:rPr>
        <w:t>1-</w:t>
      </w:r>
      <w:r>
        <w:rPr>
          <w:rFonts w:hint="eastAsia"/>
          <w:color w:val="000000" w:themeColor="text1"/>
          <w:lang w:val="en-US"/>
          <w14:textFill>
            <w14:solidFill>
              <w14:schemeClr w14:val="tx1"/>
            </w14:solidFill>
          </w14:textFill>
        </w:rPr>
        <w:t>5所示。</w:t>
      </w:r>
    </w:p>
    <w:p>
      <w:pPr>
        <w:pStyle w:val="684"/>
        <w:ind w:firstLine="437"/>
        <w:rPr>
          <w:color w:val="000000" w:themeColor="text1"/>
          <w:lang w:val="en-US"/>
          <w14:textFill>
            <w14:solidFill>
              <w14:schemeClr w14:val="tx1"/>
            </w14:solidFill>
          </w14:textFill>
        </w:rPr>
      </w:pPr>
      <w:r>
        <w:rPr>
          <w:rFonts w:hint="eastAsia"/>
          <w:color w:val="000000" w:themeColor="text1"/>
          <w:lang w:val="en-US"/>
          <w14:textFill>
            <w14:solidFill>
              <w14:schemeClr w14:val="tx1"/>
            </w14:solidFill>
          </w14:textFill>
        </w:rPr>
        <w:t>实测流速、流向与模拟流速、流向的整体一致性良好，存在的偏差一是因为计算潮流只能反映计算网格点的流速，虽然三角形网格相对于正交网格可以更为接近实测流点，但仍然与其空间位置存在偏差；二是实测资料包含了风及温盐等动力过程，而模式仅为潮汐过程，并没有考虑表面风和斜压所造成的流动。通过流速流向图的比较表明潮流模式的计算结果是可信的，模拟结果能较好地体现该海域的潮汐潮流特征。</w:t>
      </w:r>
    </w:p>
    <w:p>
      <w:pPr>
        <w:pStyle w:val="684"/>
        <w:ind w:firstLine="0" w:firstLineChars="0"/>
        <w:jc w:val="center"/>
        <w:rPr>
          <w:color w:val="000000" w:themeColor="text1"/>
          <w:lang w:val="en-US"/>
          <w14:textFill>
            <w14:solidFill>
              <w14:schemeClr w14:val="tx1"/>
            </w14:solidFill>
          </w14:textFill>
        </w:rPr>
      </w:pPr>
    </w:p>
    <w:p>
      <w:pPr>
        <w:pStyle w:val="553"/>
        <w:rPr>
          <w:color w:val="000000" w:themeColor="text1"/>
          <w14:textFill>
            <w14:solidFill>
              <w14:schemeClr w14:val="tx1"/>
            </w14:solidFill>
          </w14:textFill>
        </w:rPr>
      </w:pPr>
      <w:r>
        <w:rPr>
          <w:rFonts w:hint="eastAsia"/>
          <w:color w:val="000000" w:themeColor="text1"/>
          <w14:textFill>
            <w14:solidFill>
              <w14:schemeClr w14:val="tx1"/>
            </w14:solidFill>
          </w14:textFill>
        </w:rPr>
        <w:t>H1潮位验证曲线</w:t>
      </w:r>
    </w:p>
    <w:p>
      <w:pPr>
        <w:pStyle w:val="553"/>
        <w:numPr>
          <w:ilvl w:val="0"/>
          <w:numId w:val="0"/>
        </w:numPr>
        <w:rPr>
          <w:color w:val="000000" w:themeColor="text1"/>
          <w14:textFill>
            <w14:solidFill>
              <w14:schemeClr w14:val="tx1"/>
            </w14:solidFill>
          </w14:textFill>
        </w:rPr>
      </w:pPr>
    </w:p>
    <w:p>
      <w:pPr>
        <w:pStyle w:val="553"/>
        <w:rPr>
          <w:color w:val="000000" w:themeColor="text1"/>
          <w14:textFill>
            <w14:solidFill>
              <w14:schemeClr w14:val="tx1"/>
            </w14:solidFill>
          </w14:textFill>
        </w:rPr>
      </w:pPr>
      <w:r>
        <w:rPr>
          <w:rFonts w:hint="eastAsia"/>
          <w:color w:val="000000" w:themeColor="text1"/>
          <w14:textFill>
            <w14:solidFill>
              <w14:schemeClr w14:val="tx1"/>
            </w14:solidFill>
          </w14:textFill>
        </w:rPr>
        <w:t>H2潮位验证曲线</w:t>
      </w:r>
    </w:p>
    <w:p>
      <w:pPr>
        <w:rPr>
          <w:color w:val="000000" w:themeColor="text1"/>
          <w14:textFill>
            <w14:solidFill>
              <w14:schemeClr w14:val="tx1"/>
            </w14:solidFill>
          </w14:textFill>
        </w:rPr>
      </w:pPr>
      <w:r>
        <w:rPr>
          <w:rFonts w:hint="eastAsia"/>
          <w:color w:val="000000" w:themeColor="text1"/>
          <w14:textFill>
            <w14:solidFill>
              <w14:schemeClr w14:val="tx1"/>
            </w14:solidFill>
          </w14:textFill>
        </w:rPr>
        <w:t xml:space="preserve"> </w:t>
      </w:r>
    </w:p>
    <w:p>
      <w:pPr>
        <w:pStyle w:val="553"/>
        <w:rPr>
          <w:color w:val="000000" w:themeColor="text1"/>
          <w14:textFill>
            <w14:solidFill>
              <w14:schemeClr w14:val="tx1"/>
            </w14:solidFill>
          </w14:textFill>
        </w:rPr>
      </w:pPr>
      <w:r>
        <w:rPr>
          <w:rFonts w:hint="eastAsia"/>
          <w:color w:val="000000" w:themeColor="text1"/>
          <w14:textFill>
            <w14:solidFill>
              <w14:schemeClr w14:val="tx1"/>
            </w14:solidFill>
          </w14:textFill>
        </w:rPr>
        <w:t>V</w:t>
      </w:r>
      <w:r>
        <w:rPr>
          <w:color w:val="000000" w:themeColor="text1"/>
          <w14:textFill>
            <w14:solidFill>
              <w14:schemeClr w14:val="tx1"/>
            </w14:solidFill>
          </w14:textFill>
        </w:rPr>
        <w:t>1</w:t>
      </w:r>
      <w:r>
        <w:rPr>
          <w:rFonts w:hint="eastAsia"/>
          <w:color w:val="000000" w:themeColor="text1"/>
          <w14:textFill>
            <w14:solidFill>
              <w14:schemeClr w14:val="tx1"/>
            </w14:solidFill>
          </w14:textFill>
        </w:rPr>
        <w:t>站位流速流向验证（垂向平均）</w:t>
      </w:r>
    </w:p>
    <w:p>
      <w:pPr>
        <w:pStyle w:val="553"/>
        <w:numPr>
          <w:ilvl w:val="0"/>
          <w:numId w:val="0"/>
        </w:numPr>
        <w:rPr>
          <w:color w:val="000000" w:themeColor="text1"/>
          <w14:textFill>
            <w14:solidFill>
              <w14:schemeClr w14:val="tx1"/>
            </w14:solidFill>
          </w14:textFill>
        </w:rPr>
      </w:pPr>
      <w:r>
        <w:rPr>
          <w:rFonts w:hint="eastAsia"/>
          <w:color w:val="000000" w:themeColor="text1"/>
          <w14:textFill>
            <w14:solidFill>
              <w14:schemeClr w14:val="tx1"/>
            </w14:solidFill>
          </w14:textFill>
        </w:rPr>
        <w:t xml:space="preserve"> </w:t>
      </w:r>
    </w:p>
    <w:p>
      <w:pPr>
        <w:pStyle w:val="553"/>
        <w:rPr>
          <w:color w:val="000000" w:themeColor="text1"/>
          <w14:textFill>
            <w14:solidFill>
              <w14:schemeClr w14:val="tx1"/>
            </w14:solidFill>
          </w14:textFill>
        </w:rPr>
      </w:pPr>
      <w:r>
        <w:rPr>
          <w:rFonts w:hint="eastAsia"/>
          <w:color w:val="000000" w:themeColor="text1"/>
          <w14:textFill>
            <w14:solidFill>
              <w14:schemeClr w14:val="tx1"/>
            </w14:solidFill>
          </w14:textFill>
        </w:rPr>
        <w:t>V</w:t>
      </w:r>
      <w:r>
        <w:rPr>
          <w:color w:val="000000" w:themeColor="text1"/>
          <w14:textFill>
            <w14:solidFill>
              <w14:schemeClr w14:val="tx1"/>
            </w14:solidFill>
          </w14:textFill>
        </w:rPr>
        <w:t>2</w:t>
      </w:r>
      <w:r>
        <w:rPr>
          <w:rFonts w:hint="eastAsia"/>
          <w:color w:val="000000" w:themeColor="text1"/>
          <w14:textFill>
            <w14:solidFill>
              <w14:schemeClr w14:val="tx1"/>
            </w14:solidFill>
          </w14:textFill>
        </w:rPr>
        <w:t>站位流速流向验证（垂向平均）</w:t>
      </w:r>
    </w:p>
    <w:p>
      <w:pPr>
        <w:pStyle w:val="553"/>
        <w:numPr>
          <w:ilvl w:val="0"/>
          <w:numId w:val="0"/>
        </w:numPr>
        <w:rPr>
          <w:color w:val="000000" w:themeColor="text1"/>
          <w14:textFill>
            <w14:solidFill>
              <w14:schemeClr w14:val="tx1"/>
            </w14:solidFill>
          </w14:textFill>
        </w:rPr>
      </w:pPr>
      <w:r>
        <w:rPr>
          <w:rFonts w:hint="eastAsia"/>
          <w:color w:val="000000" w:themeColor="text1"/>
          <w14:textFill>
            <w14:solidFill>
              <w14:schemeClr w14:val="tx1"/>
            </w14:solidFill>
          </w14:textFill>
        </w:rPr>
        <w:t xml:space="preserve"> </w:t>
      </w:r>
    </w:p>
    <w:p>
      <w:pPr>
        <w:pStyle w:val="553"/>
        <w:rPr>
          <w:color w:val="000000" w:themeColor="text1"/>
          <w14:textFill>
            <w14:solidFill>
              <w14:schemeClr w14:val="tx1"/>
            </w14:solidFill>
          </w14:textFill>
        </w:rPr>
      </w:pPr>
      <w:r>
        <w:rPr>
          <w:rFonts w:hint="eastAsia"/>
          <w:color w:val="000000" w:themeColor="text1"/>
          <w14:textFill>
            <w14:solidFill>
              <w14:schemeClr w14:val="tx1"/>
            </w14:solidFill>
          </w14:textFill>
        </w:rPr>
        <w:t>V3站位流速流向验证（垂向平均）</w:t>
      </w:r>
    </w:p>
    <w:p>
      <w:pPr>
        <w:pStyle w:val="553"/>
        <w:rPr>
          <w:color w:val="000000" w:themeColor="text1"/>
          <w14:textFill>
            <w14:solidFill>
              <w14:schemeClr w14:val="tx1"/>
            </w14:solidFill>
          </w14:textFill>
        </w:rPr>
      </w:pPr>
      <w:r>
        <w:rPr>
          <w:rFonts w:hint="eastAsia"/>
          <w:color w:val="000000" w:themeColor="text1"/>
          <w14:textFill>
            <w14:solidFill>
              <w14:schemeClr w14:val="tx1"/>
            </w14:solidFill>
          </w14:textFill>
        </w:rPr>
        <w:t>V4站位流速流向验证（垂向平均）</w:t>
      </w:r>
    </w:p>
    <w:p>
      <w:pPr>
        <w:pStyle w:val="553"/>
        <w:rPr>
          <w:color w:val="000000" w:themeColor="text1"/>
          <w14:textFill>
            <w14:solidFill>
              <w14:schemeClr w14:val="tx1"/>
            </w14:solidFill>
          </w14:textFill>
        </w:rPr>
      </w:pPr>
      <w:r>
        <w:rPr>
          <w:rFonts w:hint="eastAsia"/>
          <w:color w:val="000000" w:themeColor="text1"/>
          <w14:textFill>
            <w14:solidFill>
              <w14:schemeClr w14:val="tx1"/>
            </w14:solidFill>
          </w14:textFill>
        </w:rPr>
        <w:t>V5站位流速流向验证（垂向平均）</w:t>
      </w:r>
    </w:p>
    <w:p>
      <w:pPr>
        <w:pStyle w:val="553"/>
        <w:rPr>
          <w:color w:val="000000" w:themeColor="text1"/>
          <w14:textFill>
            <w14:solidFill>
              <w14:schemeClr w14:val="tx1"/>
            </w14:solidFill>
          </w14:textFill>
        </w:rPr>
      </w:pPr>
      <w:r>
        <w:rPr>
          <w:rFonts w:hint="eastAsia"/>
          <w:color w:val="000000" w:themeColor="text1"/>
          <w14:textFill>
            <w14:solidFill>
              <w14:schemeClr w14:val="tx1"/>
            </w14:solidFill>
          </w14:textFill>
        </w:rPr>
        <w:t>V6站位流速流向验证（垂向平均）</w:t>
      </w:r>
    </w:p>
    <w:p>
      <w:pPr>
        <w:pStyle w:val="553"/>
        <w:rPr>
          <w:color w:val="000000" w:themeColor="text1"/>
          <w14:textFill>
            <w14:solidFill>
              <w14:schemeClr w14:val="tx1"/>
            </w14:solidFill>
          </w14:textFill>
        </w:rPr>
      </w:pPr>
      <w:r>
        <w:rPr>
          <w:rFonts w:hint="eastAsia"/>
          <w:color w:val="000000" w:themeColor="text1"/>
          <w14:textFill>
            <w14:solidFill>
              <w14:schemeClr w14:val="tx1"/>
            </w14:solidFill>
          </w14:textFill>
        </w:rPr>
        <w:t>V7站位流速流向验证(垂向平均)</w:t>
      </w:r>
    </w:p>
    <w:p>
      <w:pPr>
        <w:pStyle w:val="553"/>
        <w:rPr>
          <w:color w:val="000000" w:themeColor="text1"/>
          <w14:textFill>
            <w14:solidFill>
              <w14:schemeClr w14:val="tx1"/>
            </w14:solidFill>
          </w14:textFill>
        </w:rPr>
      </w:pPr>
      <w:r>
        <w:rPr>
          <w:rFonts w:hint="eastAsia"/>
          <w:color w:val="000000" w:themeColor="text1"/>
          <w14:textFill>
            <w14:solidFill>
              <w14:schemeClr w14:val="tx1"/>
            </w14:solidFill>
          </w14:textFill>
        </w:rPr>
        <w:t>V9站位流速流向验证(垂向平均)</w:t>
      </w:r>
    </w:p>
    <w:p>
      <w:pPr>
        <w:pStyle w:val="684"/>
        <w:ind w:firstLine="439"/>
        <w:rPr>
          <w:b/>
          <w:bCs/>
          <w:color w:val="000000" w:themeColor="text1"/>
          <w14:textFill>
            <w14:solidFill>
              <w14:schemeClr w14:val="tx1"/>
            </w14:solidFill>
          </w14:textFill>
        </w:rPr>
      </w:pPr>
      <w:r>
        <w:rPr>
          <w:rFonts w:hint="eastAsia"/>
          <w:b/>
          <w:bCs/>
          <w:color w:val="000000" w:themeColor="text1"/>
          <w14:textFill>
            <w14:solidFill>
              <w14:schemeClr w14:val="tx1"/>
            </w14:solidFill>
          </w14:textFill>
        </w:rPr>
        <w:t>4</w:t>
      </w:r>
      <w:r>
        <w:rPr>
          <w:b/>
          <w:bCs/>
          <w:color w:val="000000" w:themeColor="text1"/>
          <w14:textFill>
            <w14:solidFill>
              <w14:schemeClr w14:val="tx1"/>
            </w14:solidFill>
          </w14:textFill>
        </w:rPr>
        <w:t>、潮流数值模拟结果分析</w:t>
      </w:r>
    </w:p>
    <w:p>
      <w:pPr>
        <w:pStyle w:val="684"/>
        <w:ind w:firstLine="437"/>
        <w:rPr>
          <w:color w:val="000000" w:themeColor="text1"/>
          <w:lang w:val="en-US"/>
          <w14:textFill>
            <w14:solidFill>
              <w14:schemeClr w14:val="tx1"/>
            </w14:solidFill>
          </w14:textFill>
        </w:rPr>
      </w:pPr>
      <w:r>
        <w:rPr>
          <w:rFonts w:hint="eastAsia"/>
          <w:color w:val="000000" w:themeColor="text1"/>
          <w:lang w:val="en-US"/>
          <w14:textFill>
            <w14:solidFill>
              <w14:schemeClr w14:val="tx1"/>
            </w14:solidFill>
          </w14:textFill>
        </w:rPr>
        <w:t>图4.</w:t>
      </w:r>
      <w:r>
        <w:rPr>
          <w:color w:val="000000" w:themeColor="text1"/>
          <w:lang w:val="en-US"/>
          <w14:textFill>
            <w14:solidFill>
              <w14:schemeClr w14:val="tx1"/>
            </w14:solidFill>
          </w14:textFill>
        </w:rPr>
        <w:t>1-12</w:t>
      </w:r>
      <w:r>
        <w:rPr>
          <w:rFonts w:hint="eastAsia"/>
          <w:color w:val="000000" w:themeColor="text1"/>
          <w:lang w:val="en-US"/>
          <w14:textFill>
            <w14:solidFill>
              <w14:schemeClr w14:val="tx1"/>
            </w14:solidFill>
          </w14:textFill>
        </w:rPr>
        <w:t>是计算域涨急时刻流场图。从图中可以看出，涨潮时，潮流从钦州湾外进入钦州湾，本项目所在区域潮流为顺岸朝湾内流动，钦州湾湾口位置潮流流向为</w:t>
      </w:r>
      <w:r>
        <w:rPr>
          <w:color w:val="000000" w:themeColor="text1"/>
          <w:lang w:val="en-US"/>
          <w14:textFill>
            <w14:solidFill>
              <w14:schemeClr w14:val="tx1"/>
            </w14:solidFill>
          </w14:textFill>
        </w:rPr>
        <w:t>N</w:t>
      </w:r>
      <w:r>
        <w:rPr>
          <w:rFonts w:hint="eastAsia"/>
          <w:color w:val="000000" w:themeColor="text1"/>
          <w:lang w:val="en-US"/>
          <w14:textFill>
            <w14:solidFill>
              <w14:schemeClr w14:val="tx1"/>
            </w14:solidFill>
          </w14:textFill>
        </w:rPr>
        <w:t>向。流速最大的区域位于钦州湾潮汐汊道位置，尤其是龙门港镇东侧位置的流速最大，可达</w:t>
      </w:r>
      <w:r>
        <w:rPr>
          <w:color w:val="000000" w:themeColor="text1"/>
          <w:lang w:val="en-US"/>
          <w14:textFill>
            <w14:solidFill>
              <w14:schemeClr w14:val="tx1"/>
            </w14:solidFill>
          </w14:textFill>
        </w:rPr>
        <w:t>1.3m/s</w:t>
      </w:r>
      <w:r>
        <w:rPr>
          <w:rFonts w:hint="eastAsia"/>
          <w:color w:val="000000" w:themeColor="text1"/>
          <w:lang w:val="en-US"/>
          <w14:textFill>
            <w14:solidFill>
              <w14:schemeClr w14:val="tx1"/>
            </w14:solidFill>
          </w14:textFill>
        </w:rPr>
        <w:t>左右，钦州港经发区西侧的潮汐汊道潮流流速亦较大；反观湾外及钦州湾湾内的流速则较小，大部分区域在</w:t>
      </w:r>
      <w:r>
        <w:rPr>
          <w:color w:val="000000" w:themeColor="text1"/>
          <w:lang w:val="en-US"/>
          <w14:textFill>
            <w14:solidFill>
              <w14:schemeClr w14:val="tx1"/>
            </w14:solidFill>
          </w14:textFill>
        </w:rPr>
        <w:t>0.4m/s</w:t>
      </w:r>
      <w:r>
        <w:rPr>
          <w:rFonts w:hint="eastAsia"/>
          <w:color w:val="000000" w:themeColor="text1"/>
          <w:lang w:val="en-US"/>
          <w14:textFill>
            <w14:solidFill>
              <w14:schemeClr w14:val="tx1"/>
            </w14:solidFill>
          </w14:textFill>
        </w:rPr>
        <w:t>左右，北海市西侧海域的流速在</w:t>
      </w:r>
      <w:r>
        <w:rPr>
          <w:color w:val="000000" w:themeColor="text1"/>
          <w:lang w:val="en-US"/>
          <w14:textFill>
            <w14:solidFill>
              <w14:schemeClr w14:val="tx1"/>
            </w14:solidFill>
          </w14:textFill>
        </w:rPr>
        <w:t>0.3</w:t>
      </w:r>
      <w:r>
        <w:rPr>
          <w:rFonts w:hint="eastAsia"/>
          <w:color w:val="000000" w:themeColor="text1"/>
          <w:lang w:val="en-US"/>
          <w14:textFill>
            <w14:solidFill>
              <w14:schemeClr w14:val="tx1"/>
            </w14:solidFill>
          </w14:textFill>
        </w:rPr>
        <w:t>～</w:t>
      </w:r>
      <w:r>
        <w:rPr>
          <w:color w:val="000000" w:themeColor="text1"/>
          <w:lang w:val="en-US"/>
          <w14:textFill>
            <w14:solidFill>
              <w14:schemeClr w14:val="tx1"/>
            </w14:solidFill>
          </w14:textFill>
        </w:rPr>
        <w:t>0.4m/s</w:t>
      </w:r>
      <w:r>
        <w:rPr>
          <w:rFonts w:hint="eastAsia"/>
          <w:color w:val="000000" w:themeColor="text1"/>
          <w:lang w:val="en-US"/>
          <w14:textFill>
            <w14:solidFill>
              <w14:schemeClr w14:val="tx1"/>
            </w14:solidFill>
          </w14:textFill>
        </w:rPr>
        <w:t>之间；除潮汐汊道的近岸区域流速大多小于</w:t>
      </w:r>
      <w:r>
        <w:rPr>
          <w:color w:val="000000" w:themeColor="text1"/>
          <w:lang w:val="en-US"/>
          <w14:textFill>
            <w14:solidFill>
              <w14:schemeClr w14:val="tx1"/>
            </w14:solidFill>
          </w14:textFill>
        </w:rPr>
        <w:t>0.1m/s</w:t>
      </w:r>
      <w:r>
        <w:rPr>
          <w:rFonts w:hint="eastAsia"/>
          <w:color w:val="000000" w:themeColor="text1"/>
          <w:lang w:val="en-US"/>
          <w14:textFill>
            <w14:solidFill>
              <w14:schemeClr w14:val="tx1"/>
            </w14:solidFill>
          </w14:textFill>
        </w:rPr>
        <w:t>。本项目码头前沿区域的流速较大，在</w:t>
      </w:r>
      <w:r>
        <w:rPr>
          <w:color w:val="000000" w:themeColor="text1"/>
          <w:lang w:val="en-US"/>
          <w14:textFill>
            <w14:solidFill>
              <w14:schemeClr w14:val="tx1"/>
            </w14:solidFill>
          </w14:textFill>
        </w:rPr>
        <w:t>0.15</w:t>
      </w:r>
      <w:r>
        <w:rPr>
          <w:rFonts w:hint="eastAsia"/>
          <w:color w:val="000000" w:themeColor="text1"/>
          <w:lang w:val="en-US"/>
          <w14:textFill>
            <w14:solidFill>
              <w14:schemeClr w14:val="tx1"/>
            </w14:solidFill>
          </w14:textFill>
        </w:rPr>
        <w:t>～</w:t>
      </w:r>
      <w:r>
        <w:rPr>
          <w:color w:val="000000" w:themeColor="text1"/>
          <w:lang w:val="en-US"/>
          <w14:textFill>
            <w14:solidFill>
              <w14:schemeClr w14:val="tx1"/>
            </w14:solidFill>
          </w14:textFill>
        </w:rPr>
        <w:t>0.50m/s</w:t>
      </w:r>
      <w:r>
        <w:rPr>
          <w:rFonts w:hint="eastAsia"/>
          <w:color w:val="000000" w:themeColor="text1"/>
          <w:lang w:val="en-US"/>
          <w14:textFill>
            <w14:solidFill>
              <w14:schemeClr w14:val="tx1"/>
            </w14:solidFill>
          </w14:textFill>
        </w:rPr>
        <w:t>之间。</w:t>
      </w:r>
    </w:p>
    <w:p>
      <w:pPr>
        <w:pStyle w:val="684"/>
        <w:ind w:firstLine="437"/>
        <w:rPr>
          <w:color w:val="000000" w:themeColor="text1"/>
          <w14:textFill>
            <w14:solidFill>
              <w14:schemeClr w14:val="tx1"/>
            </w14:solidFill>
          </w14:textFill>
        </w:rPr>
      </w:pPr>
      <w:r>
        <w:rPr>
          <w:rFonts w:hint="eastAsia"/>
          <w:color w:val="000000" w:themeColor="text1"/>
          <w:lang w:val="en-US"/>
          <w14:textFill>
            <w14:solidFill>
              <w14:schemeClr w14:val="tx1"/>
            </w14:solidFill>
          </w14:textFill>
        </w:rPr>
        <w:t>图4.</w:t>
      </w:r>
      <w:r>
        <w:rPr>
          <w:color w:val="000000" w:themeColor="text1"/>
          <w:lang w:val="en-US"/>
          <w14:textFill>
            <w14:solidFill>
              <w14:schemeClr w14:val="tx1"/>
            </w14:solidFill>
          </w14:textFill>
        </w:rPr>
        <w:t>1-13</w:t>
      </w:r>
      <w:r>
        <w:rPr>
          <w:rFonts w:hint="eastAsia"/>
          <w:color w:val="000000" w:themeColor="text1"/>
          <w:lang w:val="en-US"/>
          <w14:textFill>
            <w14:solidFill>
              <w14:schemeClr w14:val="tx1"/>
            </w14:solidFill>
          </w14:textFill>
        </w:rPr>
        <w:t>是计算域落急时刻流场图。落急时，流向与涨潮时相反，钦州湾潮汐汊道潮流运动形式以往复流为主，而钦州湾外侧海域则逐渐向旋转流过渡，钦州湾湾口位置潮流流向为</w:t>
      </w:r>
      <w:r>
        <w:rPr>
          <w:color w:val="000000" w:themeColor="text1"/>
          <w:lang w:val="en-US"/>
          <w14:textFill>
            <w14:solidFill>
              <w14:schemeClr w14:val="tx1"/>
            </w14:solidFill>
          </w14:textFill>
        </w:rPr>
        <w:t>S</w:t>
      </w:r>
      <w:r>
        <w:rPr>
          <w:rFonts w:hint="eastAsia"/>
          <w:color w:val="000000" w:themeColor="text1"/>
          <w:lang w:val="en-US"/>
          <w14:textFill>
            <w14:solidFill>
              <w14:schemeClr w14:val="tx1"/>
            </w14:solidFill>
          </w14:textFill>
        </w:rPr>
        <w:t>向。流速最大的区域依然位于钦州湾潮汐汊道位置，龙门港镇东侧潮汐汊道较窄，海流通量最大，因此，其流速亦最大，可达</w:t>
      </w:r>
      <w:r>
        <w:rPr>
          <w:color w:val="000000" w:themeColor="text1"/>
          <w:lang w:val="en-US"/>
          <w14:textFill>
            <w14:solidFill>
              <w14:schemeClr w14:val="tx1"/>
            </w14:solidFill>
          </w14:textFill>
        </w:rPr>
        <w:t>1.7m/s</w:t>
      </w:r>
      <w:r>
        <w:rPr>
          <w:rFonts w:hint="eastAsia"/>
          <w:color w:val="000000" w:themeColor="text1"/>
          <w:lang w:val="en-US"/>
          <w14:textFill>
            <w14:solidFill>
              <w14:schemeClr w14:val="tx1"/>
            </w14:solidFill>
          </w14:textFill>
        </w:rPr>
        <w:t>左右，钦州港经发区西侧的潮汐汊道潮流流速亦较大，最大流速可达</w:t>
      </w:r>
      <w:r>
        <w:rPr>
          <w:color w:val="000000" w:themeColor="text1"/>
          <w:lang w:val="en-US"/>
          <w14:textFill>
            <w14:solidFill>
              <w14:schemeClr w14:val="tx1"/>
            </w14:solidFill>
          </w14:textFill>
        </w:rPr>
        <w:t>1.65m/s</w:t>
      </w:r>
      <w:r>
        <w:rPr>
          <w:rFonts w:hint="eastAsia"/>
          <w:color w:val="000000" w:themeColor="text1"/>
          <w:lang w:val="en-US"/>
          <w14:textFill>
            <w14:solidFill>
              <w14:schemeClr w14:val="tx1"/>
            </w14:solidFill>
          </w14:textFill>
        </w:rPr>
        <w:t>；反观湾外及钦州湾湾内的流速则较小，大部分区域在</w:t>
      </w:r>
      <w:r>
        <w:rPr>
          <w:color w:val="000000" w:themeColor="text1"/>
          <w:lang w:val="en-US"/>
          <w14:textFill>
            <w14:solidFill>
              <w14:schemeClr w14:val="tx1"/>
            </w14:solidFill>
          </w14:textFill>
        </w:rPr>
        <w:t>0.5m/s</w:t>
      </w:r>
      <w:r>
        <w:rPr>
          <w:rFonts w:hint="eastAsia"/>
          <w:color w:val="000000" w:themeColor="text1"/>
          <w:lang w:val="en-US"/>
          <w14:textFill>
            <w14:solidFill>
              <w14:schemeClr w14:val="tx1"/>
            </w14:solidFill>
          </w14:textFill>
        </w:rPr>
        <w:t>左右；除潮汐汊道的近岸区域流速大多小于</w:t>
      </w:r>
      <w:r>
        <w:rPr>
          <w:color w:val="000000" w:themeColor="text1"/>
          <w:lang w:val="en-US"/>
          <w14:textFill>
            <w14:solidFill>
              <w14:schemeClr w14:val="tx1"/>
            </w14:solidFill>
          </w14:textFill>
        </w:rPr>
        <w:t>0.1m/s</w:t>
      </w:r>
      <w:r>
        <w:rPr>
          <w:rFonts w:hint="eastAsia"/>
          <w:color w:val="000000" w:themeColor="text1"/>
          <w:lang w:val="en-US"/>
          <w14:textFill>
            <w14:solidFill>
              <w14:schemeClr w14:val="tx1"/>
            </w14:solidFill>
          </w14:textFill>
        </w:rPr>
        <w:t>。本项目码头前沿水域的流速在</w:t>
      </w:r>
      <w:r>
        <w:rPr>
          <w:color w:val="000000" w:themeColor="text1"/>
          <w:lang w:val="en-US"/>
          <w14:textFill>
            <w14:solidFill>
              <w14:schemeClr w14:val="tx1"/>
            </w14:solidFill>
          </w14:textFill>
        </w:rPr>
        <w:t>0.25</w:t>
      </w:r>
      <w:r>
        <w:rPr>
          <w:rFonts w:hint="eastAsia"/>
          <w:color w:val="000000" w:themeColor="text1"/>
          <w:lang w:val="en-US"/>
          <w14:textFill>
            <w14:solidFill>
              <w14:schemeClr w14:val="tx1"/>
            </w14:solidFill>
          </w14:textFill>
        </w:rPr>
        <w:t>～</w:t>
      </w:r>
      <w:r>
        <w:rPr>
          <w:color w:val="000000" w:themeColor="text1"/>
          <w:lang w:val="en-US"/>
          <w14:textFill>
            <w14:solidFill>
              <w14:schemeClr w14:val="tx1"/>
            </w14:solidFill>
          </w14:textFill>
        </w:rPr>
        <w:t>0.80m/s</w:t>
      </w:r>
      <w:r>
        <w:rPr>
          <w:rFonts w:hint="eastAsia"/>
          <w:color w:val="000000" w:themeColor="text1"/>
          <w:lang w:val="en-US"/>
          <w14:textFill>
            <w14:solidFill>
              <w14:schemeClr w14:val="tx1"/>
            </w14:solidFill>
          </w14:textFill>
        </w:rPr>
        <w:t>之间。</w:t>
      </w:r>
    </w:p>
    <w:p>
      <w:pPr>
        <w:pStyle w:val="1002"/>
        <w:rPr>
          <w:color w:val="000000" w:themeColor="text1"/>
          <w14:textFill>
            <w14:solidFill>
              <w14:schemeClr w14:val="tx1"/>
            </w14:solidFill>
          </w14:textFill>
        </w:rPr>
      </w:pPr>
    </w:p>
    <w:p>
      <w:pPr>
        <w:pStyle w:val="553"/>
        <w:rPr>
          <w:color w:val="000000" w:themeColor="text1"/>
          <w14:textFill>
            <w14:solidFill>
              <w14:schemeClr w14:val="tx1"/>
            </w14:solidFill>
          </w14:textFill>
        </w:rPr>
        <w:sectPr>
          <w:headerReference r:id="rId24" w:type="even"/>
          <w:pgSz w:w="11907" w:h="16840"/>
          <w:pgMar w:top="1440" w:right="1514" w:bottom="1440" w:left="1797" w:header="992" w:footer="851" w:gutter="284"/>
          <w:pgNumType w:fmt="numberInDash"/>
          <w:cols w:space="425" w:num="1"/>
          <w:docGrid w:type="linesAndChars" w:linePitch="465" w:charSpace="-4355"/>
        </w:sectPr>
      </w:pPr>
      <w:r>
        <w:rPr>
          <w:color w:val="000000" w:themeColor="text1"/>
          <w14:textFill>
            <w14:solidFill>
              <w14:schemeClr w14:val="tx1"/>
            </w14:solidFill>
          </w14:textFill>
        </w:rPr>
        <w:t>评价区域涨急流场图（垂向平均）</w:t>
      </w:r>
    </w:p>
    <w:p>
      <w:pPr>
        <w:pStyle w:val="1002"/>
        <w:rPr>
          <w:color w:val="000000" w:themeColor="text1"/>
          <w14:textFill>
            <w14:solidFill>
              <w14:schemeClr w14:val="tx1"/>
            </w14:solidFill>
          </w14:textFill>
        </w:rPr>
      </w:pPr>
    </w:p>
    <w:p>
      <w:pPr>
        <w:pStyle w:val="553"/>
        <w:rPr>
          <w:color w:val="000000" w:themeColor="text1"/>
          <w14:textFill>
            <w14:solidFill>
              <w14:schemeClr w14:val="tx1"/>
            </w14:solidFill>
          </w14:textFill>
        </w:rPr>
      </w:pPr>
      <w:r>
        <w:rPr>
          <w:color w:val="000000" w:themeColor="text1"/>
          <w14:textFill>
            <w14:solidFill>
              <w14:schemeClr w14:val="tx1"/>
            </w14:solidFill>
          </w14:textFill>
        </w:rPr>
        <w:t>评价区域落急流场图（垂向平均）</w:t>
      </w:r>
    </w:p>
    <w:p>
      <w:pPr>
        <w:pStyle w:val="1002"/>
        <w:rPr>
          <w:rFonts w:eastAsia="黑体"/>
          <w:color w:val="000000" w:themeColor="text1"/>
          <w14:textFill>
            <w14:solidFill>
              <w14:schemeClr w14:val="tx1"/>
            </w14:solidFill>
          </w14:textFill>
        </w:rPr>
      </w:pPr>
    </w:p>
    <w:p>
      <w:pPr>
        <w:pStyle w:val="553"/>
        <w:rPr>
          <w:color w:val="000000" w:themeColor="text1"/>
          <w14:textFill>
            <w14:solidFill>
              <w14:schemeClr w14:val="tx1"/>
            </w14:solidFill>
          </w14:textFill>
        </w:rPr>
      </w:pPr>
      <w:r>
        <w:rPr>
          <w:color w:val="000000" w:themeColor="text1"/>
          <w14:textFill>
            <w14:solidFill>
              <w14:schemeClr w14:val="tx1"/>
            </w14:solidFill>
          </w14:textFill>
        </w:rPr>
        <w:t>评价区域涨急流速分布图（垂向平均）</w:t>
      </w:r>
    </w:p>
    <w:p>
      <w:pPr>
        <w:pStyle w:val="1002"/>
        <w:rPr>
          <w:rFonts w:eastAsia="黑体"/>
          <w:color w:val="000000" w:themeColor="text1"/>
          <w14:textFill>
            <w14:solidFill>
              <w14:schemeClr w14:val="tx1"/>
            </w14:solidFill>
          </w14:textFill>
        </w:rPr>
      </w:pPr>
    </w:p>
    <w:p>
      <w:pPr>
        <w:pStyle w:val="553"/>
        <w:rPr>
          <w:color w:val="000000" w:themeColor="text1"/>
          <w14:textFill>
            <w14:solidFill>
              <w14:schemeClr w14:val="tx1"/>
            </w14:solidFill>
          </w14:textFill>
        </w:rPr>
      </w:pPr>
      <w:r>
        <w:rPr>
          <w:color w:val="000000" w:themeColor="text1"/>
          <w14:textFill>
            <w14:solidFill>
              <w14:schemeClr w14:val="tx1"/>
            </w14:solidFill>
          </w14:textFill>
        </w:rPr>
        <w:t>评价区域落急流速分布图（垂向平均）</w:t>
      </w:r>
    </w:p>
    <w:p>
      <w:pPr>
        <w:pStyle w:val="1002"/>
        <w:rPr>
          <w:color w:val="000000" w:themeColor="text1"/>
          <w14:textFill>
            <w14:solidFill>
              <w14:schemeClr w14:val="tx1"/>
            </w14:solidFill>
          </w14:textFill>
        </w:rPr>
      </w:pPr>
    </w:p>
    <w:p>
      <w:pPr>
        <w:pStyle w:val="553"/>
        <w:rPr>
          <w:color w:val="000000" w:themeColor="text1"/>
          <w14:textFill>
            <w14:solidFill>
              <w14:schemeClr w14:val="tx1"/>
            </w14:solidFill>
          </w14:textFill>
        </w:rPr>
      </w:pPr>
      <w:r>
        <w:rPr>
          <w:color w:val="000000" w:themeColor="text1"/>
          <w14:textFill>
            <w14:solidFill>
              <w14:schemeClr w14:val="tx1"/>
            </w14:solidFill>
          </w14:textFill>
        </w:rPr>
        <w:t>工程</w:t>
      </w:r>
      <w:r>
        <w:rPr>
          <w:rFonts w:hint="eastAsia"/>
          <w:color w:val="000000" w:themeColor="text1"/>
          <w14:textFill>
            <w14:solidFill>
              <w14:schemeClr w14:val="tx1"/>
            </w14:solidFill>
          </w14:textFill>
        </w:rPr>
        <w:t>前</w:t>
      </w:r>
      <w:r>
        <w:rPr>
          <w:color w:val="000000" w:themeColor="text1"/>
          <w14:textFill>
            <w14:solidFill>
              <w14:schemeClr w14:val="tx1"/>
            </w14:solidFill>
          </w14:textFill>
        </w:rPr>
        <w:t>涨急流速分布图（垂向平均）</w:t>
      </w:r>
    </w:p>
    <w:p>
      <w:pPr>
        <w:pStyle w:val="1002"/>
        <w:rPr>
          <w:color w:val="000000" w:themeColor="text1"/>
          <w14:textFill>
            <w14:solidFill>
              <w14:schemeClr w14:val="tx1"/>
            </w14:solidFill>
          </w14:textFill>
        </w:rPr>
      </w:pPr>
    </w:p>
    <w:p>
      <w:pPr>
        <w:pStyle w:val="553"/>
        <w:rPr>
          <w:color w:val="000000" w:themeColor="text1"/>
          <w14:textFill>
            <w14:solidFill>
              <w14:schemeClr w14:val="tx1"/>
            </w14:solidFill>
          </w14:textFill>
        </w:rPr>
      </w:pPr>
      <w:r>
        <w:rPr>
          <w:color w:val="000000" w:themeColor="text1"/>
          <w14:textFill>
            <w14:solidFill>
              <w14:schemeClr w14:val="tx1"/>
            </w14:solidFill>
          </w14:textFill>
        </w:rPr>
        <w:t>工程</w:t>
      </w:r>
      <w:r>
        <w:rPr>
          <w:rFonts w:hint="eastAsia"/>
          <w:color w:val="000000" w:themeColor="text1"/>
          <w14:textFill>
            <w14:solidFill>
              <w14:schemeClr w14:val="tx1"/>
            </w14:solidFill>
          </w14:textFill>
        </w:rPr>
        <w:t>后</w:t>
      </w:r>
      <w:r>
        <w:rPr>
          <w:color w:val="000000" w:themeColor="text1"/>
          <w14:textFill>
            <w14:solidFill>
              <w14:schemeClr w14:val="tx1"/>
            </w14:solidFill>
          </w14:textFill>
        </w:rPr>
        <w:t>涨急流速分布图（垂向平均）</w:t>
      </w:r>
    </w:p>
    <w:p>
      <w:pPr>
        <w:pStyle w:val="553"/>
        <w:numPr>
          <w:ilvl w:val="0"/>
          <w:numId w:val="0"/>
        </w:numPr>
        <w:rPr>
          <w:color w:val="000000" w:themeColor="text1"/>
          <w14:textFill>
            <w14:solidFill>
              <w14:schemeClr w14:val="tx1"/>
            </w14:solidFill>
          </w14:textFill>
        </w:rPr>
      </w:pPr>
    </w:p>
    <w:p>
      <w:pPr>
        <w:pStyle w:val="553"/>
        <w:rPr>
          <w:color w:val="000000" w:themeColor="text1"/>
          <w14:textFill>
            <w14:solidFill>
              <w14:schemeClr w14:val="tx1"/>
            </w14:solidFill>
          </w14:textFill>
        </w:rPr>
      </w:pPr>
      <w:r>
        <w:rPr>
          <w:color w:val="000000" w:themeColor="text1"/>
          <w14:textFill>
            <w14:solidFill>
              <w14:schemeClr w14:val="tx1"/>
            </w14:solidFill>
          </w14:textFill>
        </w:rPr>
        <w:t>工程前落急流速垂向分布图（垂向平均）</w:t>
      </w:r>
    </w:p>
    <w:p>
      <w:pPr>
        <w:pStyle w:val="553"/>
        <w:numPr>
          <w:ilvl w:val="0"/>
          <w:numId w:val="0"/>
        </w:numPr>
        <w:rPr>
          <w:color w:val="000000" w:themeColor="text1"/>
          <w14:textFill>
            <w14:solidFill>
              <w14:schemeClr w14:val="tx1"/>
            </w14:solidFill>
          </w14:textFill>
        </w:rPr>
      </w:pPr>
    </w:p>
    <w:p>
      <w:pPr>
        <w:pStyle w:val="553"/>
        <w:rPr>
          <w:color w:val="000000" w:themeColor="text1"/>
          <w14:textFill>
            <w14:solidFill>
              <w14:schemeClr w14:val="tx1"/>
            </w14:solidFill>
          </w14:textFill>
        </w:rPr>
      </w:pPr>
      <w:r>
        <w:rPr>
          <w:color w:val="000000" w:themeColor="text1"/>
          <w14:textFill>
            <w14:solidFill>
              <w14:schemeClr w14:val="tx1"/>
            </w14:solidFill>
          </w14:textFill>
        </w:rPr>
        <w:t>工程后落急流速分布图（垂向平均）</w:t>
      </w:r>
    </w:p>
    <w:p>
      <w:pPr>
        <w:pStyle w:val="553"/>
        <w:numPr>
          <w:ilvl w:val="0"/>
          <w:numId w:val="0"/>
        </w:numPr>
        <w:rPr>
          <w:color w:val="000000" w:themeColor="text1"/>
          <w14:textFill>
            <w14:solidFill>
              <w14:schemeClr w14:val="tx1"/>
            </w14:solidFill>
          </w14:textFill>
        </w:rPr>
      </w:pPr>
    </w:p>
    <w:p>
      <w:pPr>
        <w:pStyle w:val="553"/>
        <w:rPr>
          <w:color w:val="000000" w:themeColor="text1"/>
          <w14:textFill>
            <w14:solidFill>
              <w14:schemeClr w14:val="tx1"/>
            </w14:solidFill>
          </w14:textFill>
        </w:rPr>
      </w:pPr>
      <w:r>
        <w:rPr>
          <w:color w:val="000000" w:themeColor="text1"/>
          <w14:textFill>
            <w14:solidFill>
              <w14:schemeClr w14:val="tx1"/>
            </w14:solidFill>
          </w14:textFill>
        </w:rPr>
        <w:t>工程区域工程前涨急流速分布图（垂向平均、局部放大）</w:t>
      </w:r>
    </w:p>
    <w:p>
      <w:pPr>
        <w:pStyle w:val="553"/>
        <w:numPr>
          <w:ilvl w:val="0"/>
          <w:numId w:val="0"/>
        </w:numPr>
        <w:rPr>
          <w:color w:val="000000" w:themeColor="text1"/>
          <w14:textFill>
            <w14:solidFill>
              <w14:schemeClr w14:val="tx1"/>
            </w14:solidFill>
          </w14:textFill>
        </w:rPr>
      </w:pPr>
    </w:p>
    <w:p>
      <w:pPr>
        <w:pStyle w:val="553"/>
        <w:rPr>
          <w:color w:val="000000" w:themeColor="text1"/>
          <w14:textFill>
            <w14:solidFill>
              <w14:schemeClr w14:val="tx1"/>
            </w14:solidFill>
          </w14:textFill>
        </w:rPr>
      </w:pPr>
      <w:r>
        <w:rPr>
          <w:color w:val="000000" w:themeColor="text1"/>
          <w14:textFill>
            <w14:solidFill>
              <w14:schemeClr w14:val="tx1"/>
            </w14:solidFill>
          </w14:textFill>
        </w:rPr>
        <w:t>工程区域工程前落急流速分布图（垂向平均、局部放大）</w:t>
      </w:r>
    </w:p>
    <w:p>
      <w:pPr>
        <w:pStyle w:val="553"/>
        <w:numPr>
          <w:ilvl w:val="0"/>
          <w:numId w:val="0"/>
        </w:numPr>
        <w:rPr>
          <w:color w:val="000000" w:themeColor="text1"/>
          <w14:textFill>
            <w14:solidFill>
              <w14:schemeClr w14:val="tx1"/>
            </w14:solidFill>
          </w14:textFill>
        </w:rPr>
      </w:pPr>
    </w:p>
    <w:p>
      <w:pPr>
        <w:pStyle w:val="553"/>
        <w:rPr>
          <w:color w:val="000000" w:themeColor="text1"/>
          <w14:textFill>
            <w14:solidFill>
              <w14:schemeClr w14:val="tx1"/>
            </w14:solidFill>
          </w14:textFill>
        </w:rPr>
      </w:pPr>
      <w:r>
        <w:rPr>
          <w:color w:val="000000" w:themeColor="text1"/>
          <w14:textFill>
            <w14:solidFill>
              <w14:schemeClr w14:val="tx1"/>
            </w14:solidFill>
          </w14:textFill>
        </w:rPr>
        <w:t>工程区域工程后涨急流速分布图（垂向平均、局部放大）</w:t>
      </w:r>
    </w:p>
    <w:p>
      <w:pPr>
        <w:pStyle w:val="553"/>
        <w:numPr>
          <w:ilvl w:val="0"/>
          <w:numId w:val="0"/>
        </w:numPr>
        <w:rPr>
          <w:color w:val="000000" w:themeColor="text1"/>
          <w14:textFill>
            <w14:solidFill>
              <w14:schemeClr w14:val="tx1"/>
            </w14:solidFill>
          </w14:textFill>
        </w:rPr>
      </w:pPr>
    </w:p>
    <w:p>
      <w:pPr>
        <w:pStyle w:val="553"/>
        <w:rPr>
          <w:color w:val="000000" w:themeColor="text1"/>
          <w14:textFill>
            <w14:solidFill>
              <w14:schemeClr w14:val="tx1"/>
            </w14:solidFill>
          </w14:textFill>
        </w:rPr>
      </w:pPr>
      <w:r>
        <w:rPr>
          <w:color w:val="000000" w:themeColor="text1"/>
          <w14:textFill>
            <w14:solidFill>
              <w14:schemeClr w14:val="tx1"/>
            </w14:solidFill>
          </w14:textFill>
        </w:rPr>
        <w:t>工程区域工程后落急流速分布图（垂向平均、局部放大）</w:t>
      </w:r>
    </w:p>
    <w:p>
      <w:pPr>
        <w:pStyle w:val="684"/>
        <w:ind w:firstLine="439"/>
        <w:rPr>
          <w:b/>
          <w:bCs/>
          <w:color w:val="000000" w:themeColor="text1"/>
          <w14:textFill>
            <w14:solidFill>
              <w14:schemeClr w14:val="tx1"/>
            </w14:solidFill>
          </w14:textFill>
        </w:rPr>
      </w:pPr>
      <w:r>
        <w:rPr>
          <w:rFonts w:hint="eastAsia"/>
          <w:b/>
          <w:bCs/>
          <w:color w:val="000000" w:themeColor="text1"/>
          <w14:textFill>
            <w14:solidFill>
              <w14:schemeClr w14:val="tx1"/>
            </w14:solidFill>
          </w14:textFill>
        </w:rPr>
        <w:t>5</w:t>
      </w:r>
      <w:r>
        <w:rPr>
          <w:b/>
          <w:bCs/>
          <w:color w:val="000000" w:themeColor="text1"/>
          <w14:textFill>
            <w14:solidFill>
              <w14:schemeClr w14:val="tx1"/>
            </w14:solidFill>
          </w14:textFill>
        </w:rPr>
        <w:t>、水文动力影响分析与评价</w:t>
      </w:r>
    </w:p>
    <w:p>
      <w:pPr>
        <w:pStyle w:val="684"/>
        <w:ind w:firstLine="437"/>
        <w:rPr>
          <w:color w:val="000000" w:themeColor="text1"/>
          <w:lang w:val="en-US"/>
          <w14:textFill>
            <w14:solidFill>
              <w14:schemeClr w14:val="tx1"/>
            </w14:solidFill>
          </w14:textFill>
        </w:rPr>
      </w:pPr>
      <w:r>
        <w:rPr>
          <w:rFonts w:hint="eastAsia"/>
          <w:color w:val="000000" w:themeColor="text1"/>
          <w:lang w:val="en-US"/>
          <w14:textFill>
            <w14:solidFill>
              <w14:schemeClr w14:val="tx1"/>
            </w14:solidFill>
          </w14:textFill>
        </w:rPr>
        <w:t>工程建设对潮流场的影响主要是炸礁和疏浚改变了水深地形以及潮流通量造成的。通过对比工程前后流速、流向的变化情况来说明潮流场变化。工程建设前后潮流流速和流向变化等值线图如图4.</w:t>
      </w:r>
      <w:r>
        <w:rPr>
          <w:color w:val="000000" w:themeColor="text1"/>
          <w:lang w:val="en-US"/>
          <w14:textFill>
            <w14:solidFill>
              <w14:schemeClr w14:val="tx1"/>
            </w14:solidFill>
          </w14:textFill>
        </w:rPr>
        <w:t>1-</w:t>
      </w:r>
      <w:r>
        <w:rPr>
          <w:rFonts w:hint="eastAsia"/>
          <w:color w:val="000000" w:themeColor="text1"/>
          <w:lang w:val="en-US"/>
          <w14:textFill>
            <w14:solidFill>
              <w14:schemeClr w14:val="tx1"/>
            </w14:solidFill>
          </w14:textFill>
        </w:rPr>
        <w:t>24～图4.</w:t>
      </w:r>
      <w:r>
        <w:rPr>
          <w:color w:val="000000" w:themeColor="text1"/>
          <w:lang w:val="en-US"/>
          <w14:textFill>
            <w14:solidFill>
              <w14:schemeClr w14:val="tx1"/>
            </w14:solidFill>
          </w14:textFill>
        </w:rPr>
        <w:t>1-</w:t>
      </w:r>
      <w:r>
        <w:rPr>
          <w:rFonts w:hint="eastAsia"/>
          <w:color w:val="000000" w:themeColor="text1"/>
          <w:lang w:val="en-US"/>
          <w14:textFill>
            <w14:solidFill>
              <w14:schemeClr w14:val="tx1"/>
            </w14:solidFill>
          </w14:textFill>
        </w:rPr>
        <w:t>27所示。</w:t>
      </w:r>
    </w:p>
    <w:p>
      <w:pPr>
        <w:pStyle w:val="684"/>
        <w:ind w:firstLine="437"/>
        <w:rPr>
          <w:color w:val="000000" w:themeColor="text1"/>
          <w:lang w:val="en-US"/>
          <w14:textFill>
            <w14:solidFill>
              <w14:schemeClr w14:val="tx1"/>
            </w14:solidFill>
          </w14:textFill>
        </w:rPr>
      </w:pPr>
      <w:r>
        <w:rPr>
          <w:rFonts w:hint="eastAsia"/>
          <w:color w:val="000000" w:themeColor="text1"/>
          <w:lang w:val="en-US"/>
          <w14:textFill>
            <w14:solidFill>
              <w14:schemeClr w14:val="tx1"/>
            </w14:solidFill>
          </w14:textFill>
        </w:rPr>
        <w:t>由图4.</w:t>
      </w:r>
      <w:r>
        <w:rPr>
          <w:color w:val="000000" w:themeColor="text1"/>
          <w:lang w:val="en-US"/>
          <w14:textFill>
            <w14:solidFill>
              <w14:schemeClr w14:val="tx1"/>
            </w14:solidFill>
          </w14:textFill>
        </w:rPr>
        <w:t>1-</w:t>
      </w:r>
      <w:r>
        <w:rPr>
          <w:rFonts w:hint="eastAsia"/>
          <w:color w:val="000000" w:themeColor="text1"/>
          <w:lang w:val="en-US"/>
          <w14:textFill>
            <w14:solidFill>
              <w14:schemeClr w14:val="tx1"/>
            </w14:solidFill>
          </w14:textFill>
        </w:rPr>
        <w:t>24可见，工程前后涨急时刻的流速变化范围在</w:t>
      </w:r>
      <w:r>
        <w:rPr>
          <w:color w:val="000000" w:themeColor="text1"/>
          <w:lang w:val="en-US"/>
          <w14:textFill>
            <w14:solidFill>
              <w14:schemeClr w14:val="tx1"/>
            </w14:solidFill>
          </w14:textFill>
        </w:rPr>
        <w:t>-0.30～0.08m/s</w:t>
      </w:r>
      <w:r>
        <w:rPr>
          <w:rFonts w:hint="eastAsia"/>
          <w:color w:val="000000" w:themeColor="text1"/>
          <w:lang w:val="en-US"/>
          <w14:textFill>
            <w14:solidFill>
              <w14:schemeClr w14:val="tx1"/>
            </w14:solidFill>
          </w14:textFill>
        </w:rPr>
        <w:t>之间，流速变化的区域集中在疏浚和炸礁区域及其毗连海域。疏浚和炸礁区域及其西侧因局部挖深，海流通量减少，流速有普遍减小的趋势，其中，北侧疏浚和炸礁减小的幅度基本在</w:t>
      </w:r>
      <w:r>
        <w:rPr>
          <w:color w:val="000000" w:themeColor="text1"/>
          <w:lang w:val="en-US"/>
          <w14:textFill>
            <w14:solidFill>
              <w14:schemeClr w14:val="tx1"/>
            </w14:solidFill>
          </w14:textFill>
        </w:rPr>
        <w:t>-0.15 m/s</w:t>
      </w:r>
      <w:r>
        <w:rPr>
          <w:rFonts w:hint="eastAsia"/>
          <w:color w:val="000000" w:themeColor="text1"/>
          <w:lang w:val="en-US"/>
          <w14:textFill>
            <w14:solidFill>
              <w14:schemeClr w14:val="tx1"/>
            </w14:solidFill>
          </w14:textFill>
        </w:rPr>
        <w:t>～</w:t>
      </w:r>
      <w:r>
        <w:rPr>
          <w:color w:val="000000" w:themeColor="text1"/>
          <w:lang w:val="en-US"/>
          <w14:textFill>
            <w14:solidFill>
              <w14:schemeClr w14:val="tx1"/>
            </w14:solidFill>
          </w14:textFill>
        </w:rPr>
        <w:t>-0.30 m/s</w:t>
      </w:r>
      <w:r>
        <w:rPr>
          <w:rFonts w:hint="eastAsia"/>
          <w:color w:val="000000" w:themeColor="text1"/>
          <w:lang w:val="en-US"/>
          <w14:textFill>
            <w14:solidFill>
              <w14:schemeClr w14:val="tx1"/>
            </w14:solidFill>
          </w14:textFill>
        </w:rPr>
        <w:t>之间，南侧疏浚和炸礁区域流速减小的幅度在</w:t>
      </w:r>
      <w:r>
        <w:rPr>
          <w:color w:val="000000" w:themeColor="text1"/>
          <w:lang w:val="en-US"/>
          <w14:textFill>
            <w14:solidFill>
              <w14:schemeClr w14:val="tx1"/>
            </w14:solidFill>
          </w14:textFill>
        </w:rPr>
        <w:t>-0.05m/s</w:t>
      </w:r>
      <w:r>
        <w:rPr>
          <w:rFonts w:hint="eastAsia"/>
          <w:color w:val="000000" w:themeColor="text1"/>
          <w:lang w:val="en-US"/>
          <w14:textFill>
            <w14:solidFill>
              <w14:schemeClr w14:val="tx1"/>
            </w14:solidFill>
          </w14:textFill>
        </w:rPr>
        <w:t>左右；疏浚和炸礁区域南、北侧边缘局部海域的流速有增加的趋势，最大增加幅度不超过</w:t>
      </w:r>
      <w:r>
        <w:rPr>
          <w:color w:val="000000" w:themeColor="text1"/>
          <w:lang w:val="en-US"/>
          <w14:textFill>
            <w14:solidFill>
              <w14:schemeClr w14:val="tx1"/>
            </w14:solidFill>
          </w14:textFill>
        </w:rPr>
        <w:t>0.08m/s</w:t>
      </w:r>
      <w:r>
        <w:rPr>
          <w:rFonts w:hint="eastAsia"/>
          <w:color w:val="000000" w:themeColor="text1"/>
          <w:lang w:val="en-US"/>
          <w14:textFill>
            <w14:solidFill>
              <w14:schemeClr w14:val="tx1"/>
            </w14:solidFill>
          </w14:textFill>
        </w:rPr>
        <w:t>，主要与疏浚、炸礁后地形的急剧变深有关，但涉及的范围较小。从图中可以看出，离工程</w:t>
      </w:r>
      <w:r>
        <w:rPr>
          <w:color w:val="000000" w:themeColor="text1"/>
          <w:lang w:val="en-US"/>
          <w14:textFill>
            <w14:solidFill>
              <w14:schemeClr w14:val="tx1"/>
            </w14:solidFill>
          </w14:textFill>
        </w:rPr>
        <w:t>0.7km</w:t>
      </w:r>
      <w:r>
        <w:rPr>
          <w:rFonts w:hint="eastAsia"/>
          <w:color w:val="000000" w:themeColor="text1"/>
          <w:lang w:val="en-US"/>
          <w14:textFill>
            <w14:solidFill>
              <w14:schemeClr w14:val="tx1"/>
            </w14:solidFill>
          </w14:textFill>
        </w:rPr>
        <w:t>处的流速减小幅度小于</w:t>
      </w:r>
      <w:r>
        <w:rPr>
          <w:color w:val="000000" w:themeColor="text1"/>
          <w:lang w:val="en-US"/>
          <w14:textFill>
            <w14:solidFill>
              <w14:schemeClr w14:val="tx1"/>
            </w14:solidFill>
          </w14:textFill>
        </w:rPr>
        <w:t>0.01m/s</w:t>
      </w:r>
      <w:r>
        <w:rPr>
          <w:rFonts w:hint="eastAsia"/>
          <w:color w:val="000000" w:themeColor="text1"/>
          <w:lang w:val="en-US"/>
          <w14:textFill>
            <w14:solidFill>
              <w14:schemeClr w14:val="tx1"/>
            </w14:solidFill>
          </w14:textFill>
        </w:rPr>
        <w:t>。总体上，流速变化主要在疏浚、炸礁区域及其西侧范围内，南、北侧变化涉及的区域较小。流向变化方面，从图4.</w:t>
      </w:r>
      <w:r>
        <w:rPr>
          <w:color w:val="000000" w:themeColor="text1"/>
          <w:lang w:val="en-US"/>
          <w14:textFill>
            <w14:solidFill>
              <w14:schemeClr w14:val="tx1"/>
            </w14:solidFill>
          </w14:textFill>
        </w:rPr>
        <w:t>1-2</w:t>
      </w:r>
      <w:r>
        <w:rPr>
          <w:rFonts w:hint="eastAsia"/>
          <w:color w:val="000000" w:themeColor="text1"/>
          <w:lang w:val="en-US"/>
          <w14:textFill>
            <w14:solidFill>
              <w14:schemeClr w14:val="tx1"/>
            </w14:solidFill>
          </w14:textFill>
        </w:rPr>
        <w:t>6可以看出，绝大部分疏浚和炸礁区域流向变化不明显，北侧疏浚与炸礁区变化幅度最大不超过</w:t>
      </w:r>
      <w:r>
        <w:rPr>
          <w:color w:val="000000" w:themeColor="text1"/>
          <w:lang w:val="en-US"/>
          <w14:textFill>
            <w14:solidFill>
              <w14:schemeClr w14:val="tx1"/>
            </w14:solidFill>
          </w14:textFill>
        </w:rPr>
        <w:t>5</w:t>
      </w:r>
      <w:r>
        <w:rPr>
          <w:rFonts w:hint="eastAsia"/>
          <w:color w:val="000000" w:themeColor="text1"/>
          <w:lang w:val="en-US"/>
          <w14:textFill>
            <w14:solidFill>
              <w14:schemeClr w14:val="tx1"/>
            </w14:solidFill>
          </w14:textFill>
        </w:rPr>
        <w:t>°，南侧疏浚与炸礁区变化幅度最大不超过</w:t>
      </w:r>
      <w:r>
        <w:rPr>
          <w:color w:val="000000" w:themeColor="text1"/>
          <w:lang w:val="en-US"/>
          <w14:textFill>
            <w14:solidFill>
              <w14:schemeClr w14:val="tx1"/>
            </w14:solidFill>
          </w14:textFill>
        </w:rPr>
        <w:t>15</w:t>
      </w:r>
      <w:r>
        <w:rPr>
          <w:rFonts w:hint="eastAsia"/>
          <w:color w:val="000000" w:themeColor="text1"/>
          <w:lang w:val="en-US"/>
          <w14:textFill>
            <w14:solidFill>
              <w14:schemeClr w14:val="tx1"/>
            </w14:solidFill>
          </w14:textFill>
        </w:rPr>
        <w:t>°；南侧工程与岸线交接处的流速变化较为明显，变化幅度在</w:t>
      </w:r>
      <w:r>
        <w:rPr>
          <w:color w:val="000000" w:themeColor="text1"/>
          <w:lang w:val="en-US"/>
          <w14:textFill>
            <w14:solidFill>
              <w14:schemeClr w14:val="tx1"/>
            </w14:solidFill>
          </w14:textFill>
        </w:rPr>
        <w:t>60</w:t>
      </w:r>
      <w:r>
        <w:rPr>
          <w:rFonts w:hint="eastAsia"/>
          <w:color w:val="000000" w:themeColor="text1"/>
          <w:lang w:val="en-US"/>
          <w14:textFill>
            <w14:solidFill>
              <w14:schemeClr w14:val="tx1"/>
            </w14:solidFill>
          </w14:textFill>
        </w:rPr>
        <w:t>°左右，但涉及的范围很小。总体上，涨急流向变化涉及的海域主要在项目周边</w:t>
      </w:r>
      <w:r>
        <w:rPr>
          <w:color w:val="000000" w:themeColor="text1"/>
          <w:lang w:val="en-US"/>
          <w14:textFill>
            <w14:solidFill>
              <w14:schemeClr w14:val="tx1"/>
            </w14:solidFill>
          </w14:textFill>
        </w:rPr>
        <w:t>0.9km</w:t>
      </w:r>
      <w:r>
        <w:rPr>
          <w:rFonts w:hint="eastAsia"/>
          <w:color w:val="000000" w:themeColor="text1"/>
          <w:lang w:val="en-US"/>
          <w14:textFill>
            <w14:solidFill>
              <w14:schemeClr w14:val="tx1"/>
            </w14:solidFill>
          </w14:textFill>
        </w:rPr>
        <w:t>的范围内，其他区域的流向不发生变化。</w:t>
      </w:r>
    </w:p>
    <w:p>
      <w:pPr>
        <w:pStyle w:val="684"/>
        <w:ind w:firstLine="437"/>
        <w:rPr>
          <w:color w:val="000000" w:themeColor="text1"/>
          <w:lang w:val="en-US"/>
          <w14:textFill>
            <w14:solidFill>
              <w14:schemeClr w14:val="tx1"/>
            </w14:solidFill>
          </w14:textFill>
        </w:rPr>
      </w:pPr>
      <w:r>
        <w:rPr>
          <w:rFonts w:hint="eastAsia"/>
          <w:color w:val="000000" w:themeColor="text1"/>
          <w:lang w:val="en-US"/>
          <w14:textFill>
            <w14:solidFill>
              <w14:schemeClr w14:val="tx1"/>
            </w14:solidFill>
          </w14:textFill>
        </w:rPr>
        <w:t>由图4.</w:t>
      </w:r>
      <w:r>
        <w:rPr>
          <w:color w:val="000000" w:themeColor="text1"/>
          <w:lang w:val="en-US"/>
          <w14:textFill>
            <w14:solidFill>
              <w14:schemeClr w14:val="tx1"/>
            </w14:solidFill>
          </w14:textFill>
        </w:rPr>
        <w:t>1-</w:t>
      </w:r>
      <w:r>
        <w:rPr>
          <w:rFonts w:hint="eastAsia"/>
          <w:color w:val="000000" w:themeColor="text1"/>
          <w:lang w:val="en-US"/>
          <w14:textFill>
            <w14:solidFill>
              <w14:schemeClr w14:val="tx1"/>
            </w14:solidFill>
          </w14:textFill>
        </w:rPr>
        <w:t>26可见，工程前后落急时刻的流速变化范围在</w:t>
      </w:r>
      <w:r>
        <w:rPr>
          <w:color w:val="000000" w:themeColor="text1"/>
          <w:lang w:val="en-US"/>
          <w14:textFill>
            <w14:solidFill>
              <w14:schemeClr w14:val="tx1"/>
            </w14:solidFill>
          </w14:textFill>
        </w:rPr>
        <w:t>-0.55～0.15m/s</w:t>
      </w:r>
      <w:r>
        <w:rPr>
          <w:rFonts w:hint="eastAsia"/>
          <w:color w:val="000000" w:themeColor="text1"/>
          <w:lang w:val="en-US"/>
          <w14:textFill>
            <w14:solidFill>
              <w14:schemeClr w14:val="tx1"/>
            </w14:solidFill>
          </w14:textFill>
        </w:rPr>
        <w:t>之间，流速变化的幅度较涨急时刻大，流速变化的区域亦集中在疏浚与炸礁区域及其西侧海域。类似地，疏浚与炸礁区域因局部挖深，海流通量减少，流速有普遍减小的趋势，其中，北侧疏浚与炸礁区流速减小的幅度基本在</w:t>
      </w:r>
      <w:r>
        <w:rPr>
          <w:color w:val="000000" w:themeColor="text1"/>
          <w:lang w:val="en-US"/>
          <w14:textFill>
            <w14:solidFill>
              <w14:schemeClr w14:val="tx1"/>
            </w14:solidFill>
          </w14:textFill>
        </w:rPr>
        <w:t>-0.50～-0.25m/s</w:t>
      </w:r>
      <w:r>
        <w:rPr>
          <w:rFonts w:hint="eastAsia"/>
          <w:color w:val="000000" w:themeColor="text1"/>
          <w:lang w:val="en-US"/>
          <w14:textFill>
            <w14:solidFill>
              <w14:schemeClr w14:val="tx1"/>
            </w14:solidFill>
          </w14:textFill>
        </w:rPr>
        <w:t>之间；南侧则在</w:t>
      </w:r>
      <w:r>
        <w:rPr>
          <w:color w:val="000000" w:themeColor="text1"/>
          <w:lang w:val="en-US"/>
          <w14:textFill>
            <w14:solidFill>
              <w14:schemeClr w14:val="tx1"/>
            </w14:solidFill>
          </w14:textFill>
        </w:rPr>
        <w:t>-0.08m/s</w:t>
      </w:r>
      <w:r>
        <w:rPr>
          <w:rFonts w:hint="eastAsia"/>
          <w:color w:val="000000" w:themeColor="text1"/>
          <w:lang w:val="en-US"/>
          <w14:textFill>
            <w14:solidFill>
              <w14:schemeClr w14:val="tx1"/>
            </w14:solidFill>
          </w14:textFill>
        </w:rPr>
        <w:t>左右；疏浚与炸礁区域西侧流速减小幅度为</w:t>
      </w:r>
      <w:r>
        <w:rPr>
          <w:color w:val="000000" w:themeColor="text1"/>
          <w:lang w:val="en-US"/>
          <w14:textFill>
            <w14:solidFill>
              <w14:schemeClr w14:val="tx1"/>
            </w14:solidFill>
          </w14:textFill>
        </w:rPr>
        <w:t>0.01m/s</w:t>
      </w:r>
      <w:r>
        <w:rPr>
          <w:rFonts w:hint="eastAsia"/>
          <w:color w:val="000000" w:themeColor="text1"/>
          <w:lang w:val="en-US"/>
          <w14:textFill>
            <w14:solidFill>
              <w14:schemeClr w14:val="tx1"/>
            </w14:solidFill>
          </w14:textFill>
        </w:rPr>
        <w:t>的包络线离工程的最远距离为</w:t>
      </w:r>
      <w:r>
        <w:rPr>
          <w:color w:val="000000" w:themeColor="text1"/>
          <w:lang w:val="en-US"/>
          <w14:textFill>
            <w14:solidFill>
              <w14:schemeClr w14:val="tx1"/>
            </w14:solidFill>
          </w14:textFill>
        </w:rPr>
        <w:t>0.8km</w:t>
      </w:r>
      <w:r>
        <w:rPr>
          <w:rFonts w:hint="eastAsia"/>
          <w:color w:val="000000" w:themeColor="text1"/>
          <w:lang w:val="en-US"/>
          <w14:textFill>
            <w14:solidFill>
              <w14:schemeClr w14:val="tx1"/>
            </w14:solidFill>
          </w14:textFill>
        </w:rPr>
        <w:t>；疏浚区域南、北侧边缘局部海域的流速有增加的趋势，最大增加幅度不超过</w:t>
      </w:r>
      <w:r>
        <w:rPr>
          <w:color w:val="000000" w:themeColor="text1"/>
          <w:lang w:val="en-US"/>
          <w14:textFill>
            <w14:solidFill>
              <w14:schemeClr w14:val="tx1"/>
            </w14:solidFill>
          </w14:textFill>
        </w:rPr>
        <w:t>0.15m/s</w:t>
      </w:r>
      <w:r>
        <w:rPr>
          <w:rFonts w:hint="eastAsia"/>
          <w:color w:val="000000" w:themeColor="text1"/>
          <w:lang w:val="en-US"/>
          <w14:textFill>
            <w14:solidFill>
              <w14:schemeClr w14:val="tx1"/>
            </w14:solidFill>
          </w14:textFill>
        </w:rPr>
        <w:t>，涉及的范围亦较小。总体上，离工程</w:t>
      </w:r>
      <w:r>
        <w:rPr>
          <w:color w:val="000000" w:themeColor="text1"/>
          <w:lang w:val="en-US"/>
          <w14:textFill>
            <w14:solidFill>
              <w14:schemeClr w14:val="tx1"/>
            </w14:solidFill>
          </w14:textFill>
        </w:rPr>
        <w:t>0.8km</w:t>
      </w:r>
      <w:r>
        <w:rPr>
          <w:rFonts w:hint="eastAsia"/>
          <w:color w:val="000000" w:themeColor="text1"/>
          <w:lang w:val="en-US"/>
          <w14:textFill>
            <w14:solidFill>
              <w14:schemeClr w14:val="tx1"/>
            </w14:solidFill>
          </w14:textFill>
        </w:rPr>
        <w:t>处的流速不发生变化，流速变化主要集中在疏浚区域及西侧毗邻范围内。流向变化方面，从图4.</w:t>
      </w:r>
      <w:r>
        <w:rPr>
          <w:color w:val="000000" w:themeColor="text1"/>
          <w:lang w:val="en-US"/>
          <w14:textFill>
            <w14:solidFill>
              <w14:schemeClr w14:val="tx1"/>
            </w14:solidFill>
          </w14:textFill>
        </w:rPr>
        <w:t>1-</w:t>
      </w:r>
      <w:r>
        <w:rPr>
          <w:rFonts w:hint="eastAsia"/>
          <w:color w:val="000000" w:themeColor="text1"/>
          <w:lang w:val="en-US"/>
          <w14:textFill>
            <w14:solidFill>
              <w14:schemeClr w14:val="tx1"/>
            </w14:solidFill>
          </w14:textFill>
        </w:rPr>
        <w:t>27可以看出，南部疏浚与炸礁区域接岸处的流向变化较为明显，流向变化幅度最大不超过</w:t>
      </w:r>
      <w:r>
        <w:rPr>
          <w:color w:val="000000" w:themeColor="text1"/>
          <w:lang w:val="en-US"/>
          <w14:textFill>
            <w14:solidFill>
              <w14:schemeClr w14:val="tx1"/>
            </w14:solidFill>
          </w14:textFill>
        </w:rPr>
        <w:t>100</w:t>
      </w:r>
      <w:r>
        <w:rPr>
          <w:rFonts w:hint="eastAsia"/>
          <w:color w:val="000000" w:themeColor="text1"/>
          <w:lang w:val="en-US"/>
          <w14:textFill>
            <w14:solidFill>
              <w14:schemeClr w14:val="tx1"/>
            </w14:solidFill>
          </w14:textFill>
        </w:rPr>
        <w:t>°，分布的区域很小；疏浚与炸礁区域的流向变化幅度实则较小，疏浚与炸礁区的流向变化在</w:t>
      </w:r>
      <w:r>
        <w:rPr>
          <w:color w:val="000000" w:themeColor="text1"/>
          <w:lang w:val="en-US"/>
          <w14:textFill>
            <w14:solidFill>
              <w14:schemeClr w14:val="tx1"/>
            </w14:solidFill>
          </w14:textFill>
        </w:rPr>
        <w:t>10</w:t>
      </w:r>
      <w:r>
        <w:rPr>
          <w:rFonts w:hint="eastAsia"/>
          <w:color w:val="000000" w:themeColor="text1"/>
          <w:lang w:val="en-US"/>
          <w14:textFill>
            <w14:solidFill>
              <w14:schemeClr w14:val="tx1"/>
            </w14:solidFill>
          </w14:textFill>
        </w:rPr>
        <w:t>°左右。总体上，落急流向变化涉及的海域主要在项目周边</w:t>
      </w:r>
      <w:r>
        <w:rPr>
          <w:color w:val="000000" w:themeColor="text1"/>
          <w:lang w:val="en-US"/>
          <w14:textFill>
            <w14:solidFill>
              <w14:schemeClr w14:val="tx1"/>
            </w14:solidFill>
          </w14:textFill>
        </w:rPr>
        <w:t>1.0km</w:t>
      </w:r>
      <w:r>
        <w:rPr>
          <w:rFonts w:hint="eastAsia"/>
          <w:color w:val="000000" w:themeColor="text1"/>
          <w:lang w:val="en-US"/>
          <w14:textFill>
            <w14:solidFill>
              <w14:schemeClr w14:val="tx1"/>
            </w14:solidFill>
          </w14:textFill>
        </w:rPr>
        <w:t>的范围内。</w:t>
      </w:r>
    </w:p>
    <w:p>
      <w:pPr>
        <w:pStyle w:val="684"/>
        <w:ind w:firstLine="437"/>
        <w:rPr>
          <w:color w:val="000000" w:themeColor="text1"/>
          <w:lang w:val="en-US"/>
          <w14:textFill>
            <w14:solidFill>
              <w14:schemeClr w14:val="tx1"/>
            </w14:solidFill>
          </w14:textFill>
        </w:rPr>
        <w:sectPr>
          <w:pgSz w:w="11907" w:h="16840"/>
          <w:pgMar w:top="1440" w:right="1514" w:bottom="1440" w:left="1797" w:header="992" w:footer="851" w:gutter="284"/>
          <w:pgNumType w:fmt="numberInDash"/>
          <w:cols w:space="425" w:num="1"/>
          <w:docGrid w:type="linesAndChars" w:linePitch="465" w:charSpace="-4355"/>
        </w:sectPr>
      </w:pPr>
      <w:r>
        <w:rPr>
          <w:rFonts w:hint="eastAsia"/>
          <w:color w:val="000000" w:themeColor="text1"/>
          <w:lang w:val="en-US"/>
          <w14:textFill>
            <w14:solidFill>
              <w14:schemeClr w14:val="tx1"/>
            </w14:solidFill>
          </w14:textFill>
        </w:rPr>
        <w:t>总体来说，由于疏浚、炸礁改变了水深地形，这些区域的流速和流向有一定变化。从工程前后特征时刻流速流向变化对比可以看出，项目建成后流速最大变化幅度不超过</w:t>
      </w:r>
      <w:r>
        <w:rPr>
          <w:color w:val="000000" w:themeColor="text1"/>
          <w:lang w:val="en-US"/>
          <w14:textFill>
            <w14:solidFill>
              <w14:schemeClr w14:val="tx1"/>
            </w14:solidFill>
          </w14:textFill>
        </w:rPr>
        <w:t>55cm/s</w:t>
      </w:r>
      <w:r>
        <w:rPr>
          <w:rFonts w:hint="eastAsia"/>
          <w:color w:val="000000" w:themeColor="text1"/>
          <w:lang w:val="en-US"/>
          <w14:textFill>
            <w14:solidFill>
              <w14:schemeClr w14:val="tx1"/>
            </w14:solidFill>
          </w14:textFill>
        </w:rPr>
        <w:t>，流向变化幅度最大不超过</w:t>
      </w:r>
      <w:r>
        <w:rPr>
          <w:color w:val="000000" w:themeColor="text1"/>
          <w:lang w:val="en-US"/>
          <w14:textFill>
            <w14:solidFill>
              <w14:schemeClr w14:val="tx1"/>
            </w14:solidFill>
          </w14:textFill>
        </w:rPr>
        <w:t>100</w:t>
      </w:r>
      <w:r>
        <w:rPr>
          <w:rFonts w:hint="eastAsia"/>
          <w:color w:val="000000" w:themeColor="text1"/>
          <w:lang w:val="en-US"/>
          <w14:textFill>
            <w14:solidFill>
              <w14:schemeClr w14:val="tx1"/>
            </w14:solidFill>
          </w14:textFill>
        </w:rPr>
        <w:t>°，其中，疏浚区域及其西侧海域流态变化较为明显。</w:t>
      </w:r>
    </w:p>
    <w:p>
      <w:pPr>
        <w:pStyle w:val="684"/>
        <w:ind w:firstLine="0" w:firstLineChars="0"/>
        <w:jc w:val="center"/>
        <w:rPr>
          <w:color w:val="000000" w:themeColor="text1"/>
          <w:lang w:val="en-US"/>
          <w14:textFill>
            <w14:solidFill>
              <w14:schemeClr w14:val="tx1"/>
            </w14:solidFill>
          </w14:textFill>
        </w:rPr>
      </w:pPr>
    </w:p>
    <w:p>
      <w:pPr>
        <w:pStyle w:val="553"/>
        <w:rPr>
          <w:color w:val="000000" w:themeColor="text1"/>
          <w14:textFill>
            <w14:solidFill>
              <w14:schemeClr w14:val="tx1"/>
            </w14:solidFill>
          </w14:textFill>
        </w:rPr>
      </w:pPr>
      <w:r>
        <w:rPr>
          <w:rFonts w:hint="eastAsia"/>
          <w:color w:val="000000" w:themeColor="text1"/>
          <w14:textFill>
            <w14:solidFill>
              <w14:schemeClr w14:val="tx1"/>
            </w14:solidFill>
          </w14:textFill>
        </w:rPr>
        <w:t>工程建设前后潮流流速变化（涨急）</w:t>
      </w:r>
    </w:p>
    <w:p>
      <w:pPr>
        <w:pStyle w:val="553"/>
        <w:numPr>
          <w:ilvl w:val="0"/>
          <w:numId w:val="0"/>
        </w:numPr>
        <w:rPr>
          <w:color w:val="000000" w:themeColor="text1"/>
          <w14:textFill>
            <w14:solidFill>
              <w14:schemeClr w14:val="tx1"/>
            </w14:solidFill>
          </w14:textFill>
        </w:rPr>
      </w:pPr>
    </w:p>
    <w:p>
      <w:pPr>
        <w:pStyle w:val="553"/>
        <w:rPr>
          <w:color w:val="000000" w:themeColor="text1"/>
          <w14:textFill>
            <w14:solidFill>
              <w14:schemeClr w14:val="tx1"/>
            </w14:solidFill>
          </w14:textFill>
        </w:rPr>
      </w:pPr>
      <w:r>
        <w:rPr>
          <w:rFonts w:hint="eastAsia"/>
          <w:color w:val="000000" w:themeColor="text1"/>
          <w14:textFill>
            <w14:solidFill>
              <w14:schemeClr w14:val="tx1"/>
            </w14:solidFill>
          </w14:textFill>
        </w:rPr>
        <w:t>工程建设前后潮流流速变化（落急）</w:t>
      </w:r>
    </w:p>
    <w:p>
      <w:pPr>
        <w:pStyle w:val="553"/>
        <w:numPr>
          <w:ilvl w:val="0"/>
          <w:numId w:val="0"/>
        </w:numPr>
        <w:rPr>
          <w:color w:val="000000" w:themeColor="text1"/>
          <w14:textFill>
            <w14:solidFill>
              <w14:schemeClr w14:val="tx1"/>
            </w14:solidFill>
          </w14:textFill>
        </w:rPr>
      </w:pPr>
    </w:p>
    <w:p>
      <w:pPr>
        <w:pStyle w:val="553"/>
        <w:rPr>
          <w:color w:val="000000" w:themeColor="text1"/>
          <w14:textFill>
            <w14:solidFill>
              <w14:schemeClr w14:val="tx1"/>
            </w14:solidFill>
          </w14:textFill>
        </w:rPr>
      </w:pPr>
      <w:r>
        <w:rPr>
          <w:color w:val="000000" w:themeColor="text1"/>
          <w14:textFill>
            <w14:solidFill>
              <w14:schemeClr w14:val="tx1"/>
            </w14:solidFill>
          </w14:textFill>
        </w:rPr>
        <w:t>工程建设前后潮流流向变化（涨急）</w:t>
      </w:r>
    </w:p>
    <w:p>
      <w:pPr>
        <w:pStyle w:val="1002"/>
        <w:rPr>
          <w:color w:val="000000" w:themeColor="text1"/>
          <w14:textFill>
            <w14:solidFill>
              <w14:schemeClr w14:val="tx1"/>
            </w14:solidFill>
          </w14:textFill>
        </w:rPr>
      </w:pPr>
    </w:p>
    <w:p>
      <w:pPr>
        <w:pStyle w:val="553"/>
        <w:rPr>
          <w:color w:val="000000" w:themeColor="text1"/>
          <w14:textFill>
            <w14:solidFill>
              <w14:schemeClr w14:val="tx1"/>
            </w14:solidFill>
          </w14:textFill>
        </w:rPr>
      </w:pPr>
      <w:r>
        <w:rPr>
          <w:color w:val="000000" w:themeColor="text1"/>
          <w14:textFill>
            <w14:solidFill>
              <w14:schemeClr w14:val="tx1"/>
            </w14:solidFill>
          </w14:textFill>
        </w:rPr>
        <w:t>工程建设前后潮流流向变化（落急）</w:t>
      </w:r>
    </w:p>
    <w:p>
      <w:pPr>
        <w:pStyle w:val="684"/>
        <w:ind w:firstLine="439"/>
        <w:rPr>
          <w:b/>
          <w:bCs/>
          <w:color w:val="000000" w:themeColor="text1"/>
          <w14:textFill>
            <w14:solidFill>
              <w14:schemeClr w14:val="tx1"/>
            </w14:solidFill>
          </w14:textFill>
        </w:rPr>
      </w:pPr>
      <w:r>
        <w:rPr>
          <w:rFonts w:hint="eastAsia"/>
          <w:b/>
          <w:bCs/>
          <w:color w:val="000000" w:themeColor="text1"/>
          <w14:textFill>
            <w14:solidFill>
              <w14:schemeClr w14:val="tx1"/>
            </w14:solidFill>
          </w14:textFill>
        </w:rPr>
        <w:t>5</w:t>
      </w:r>
      <w:r>
        <w:rPr>
          <w:b/>
          <w:bCs/>
          <w:color w:val="000000" w:themeColor="text1"/>
          <w14:textFill>
            <w14:solidFill>
              <w14:schemeClr w14:val="tx1"/>
            </w14:solidFill>
          </w14:textFill>
        </w:rPr>
        <w:t>、小结</w:t>
      </w:r>
    </w:p>
    <w:p>
      <w:pPr>
        <w:pStyle w:val="684"/>
        <w:ind w:firstLine="437"/>
        <w:rPr>
          <w:color w:val="000000" w:themeColor="text1"/>
          <w:lang w:val="en-US"/>
          <w14:textFill>
            <w14:solidFill>
              <w14:schemeClr w14:val="tx1"/>
            </w14:solidFill>
          </w14:textFill>
        </w:rPr>
      </w:pPr>
      <w:r>
        <w:rPr>
          <w:rFonts w:hint="eastAsia"/>
          <w:color w:val="000000" w:themeColor="text1"/>
          <w:lang w:val="en-US"/>
          <w14:textFill>
            <w14:solidFill>
              <w14:schemeClr w14:val="tx1"/>
            </w14:solidFill>
          </w14:textFill>
        </w:rPr>
        <w:t>本节采用</w:t>
      </w:r>
      <w:r>
        <w:rPr>
          <w:color w:val="000000" w:themeColor="text1"/>
          <w:lang w:val="en-US"/>
          <w14:textFill>
            <w14:solidFill>
              <w14:schemeClr w14:val="tx1"/>
            </w14:solidFill>
          </w14:textFill>
        </w:rPr>
        <w:t>FVCOM</w:t>
      </w:r>
      <w:r>
        <w:rPr>
          <w:rFonts w:hint="eastAsia"/>
          <w:color w:val="000000" w:themeColor="text1"/>
          <w:lang w:val="en-US"/>
          <w14:textFill>
            <w14:solidFill>
              <w14:schemeClr w14:val="tx1"/>
            </w14:solidFill>
          </w14:textFill>
        </w:rPr>
        <w:t>模型开展评价区域水动力场的计算模拟。模型采用三角形网格剖分计算域，分辨率最小为</w:t>
      </w:r>
      <w:r>
        <w:rPr>
          <w:color w:val="000000" w:themeColor="text1"/>
          <w:lang w:val="en-US"/>
          <w14:textFill>
            <w14:solidFill>
              <w14:schemeClr w14:val="tx1"/>
            </w14:solidFill>
          </w14:textFill>
        </w:rPr>
        <w:t>30m</w:t>
      </w:r>
      <w:r>
        <w:rPr>
          <w:rFonts w:hint="eastAsia"/>
          <w:color w:val="000000" w:themeColor="text1"/>
          <w:lang w:val="en-US"/>
          <w14:textFill>
            <w14:solidFill>
              <w14:schemeClr w14:val="tx1"/>
            </w14:solidFill>
          </w14:textFill>
        </w:rPr>
        <w:t>。计算域内共有</w:t>
      </w:r>
      <w:r>
        <w:rPr>
          <w:color w:val="000000" w:themeColor="text1"/>
          <w:lang w:val="en-US"/>
          <w14:textFill>
            <w14:solidFill>
              <w14:schemeClr w14:val="tx1"/>
            </w14:solidFill>
          </w14:textFill>
        </w:rPr>
        <w:t>15362</w:t>
      </w:r>
      <w:r>
        <w:rPr>
          <w:rFonts w:hint="eastAsia"/>
          <w:color w:val="000000" w:themeColor="text1"/>
          <w:lang w:val="en-US"/>
          <w14:textFill>
            <w14:solidFill>
              <w14:schemeClr w14:val="tx1"/>
            </w14:solidFill>
          </w14:textFill>
        </w:rPr>
        <w:t>个结点（</w:t>
      </w:r>
      <w:r>
        <w:rPr>
          <w:color w:val="000000" w:themeColor="text1"/>
          <w:lang w:val="en-US"/>
          <w14:textFill>
            <w14:solidFill>
              <w14:schemeClr w14:val="tx1"/>
            </w14:solidFill>
          </w14:textFill>
        </w:rPr>
        <w:t>node</w:t>
      </w:r>
      <w:r>
        <w:rPr>
          <w:rFonts w:hint="eastAsia"/>
          <w:color w:val="000000" w:themeColor="text1"/>
          <w:lang w:val="en-US"/>
          <w14:textFill>
            <w14:solidFill>
              <w14:schemeClr w14:val="tx1"/>
            </w14:solidFill>
          </w14:textFill>
        </w:rPr>
        <w:t>），</w:t>
      </w:r>
      <w:r>
        <w:rPr>
          <w:color w:val="000000" w:themeColor="text1"/>
          <w:lang w:val="en-US"/>
          <w14:textFill>
            <w14:solidFill>
              <w14:schemeClr w14:val="tx1"/>
            </w14:solidFill>
          </w14:textFill>
        </w:rPr>
        <w:t>28020</w:t>
      </w:r>
      <w:r>
        <w:rPr>
          <w:rFonts w:hint="eastAsia"/>
          <w:color w:val="000000" w:themeColor="text1"/>
          <w:lang w:val="en-US"/>
          <w14:textFill>
            <w14:solidFill>
              <w14:schemeClr w14:val="tx1"/>
            </w14:solidFill>
          </w14:textFill>
        </w:rPr>
        <w:t>个三角形单元（</w:t>
      </w:r>
      <w:r>
        <w:rPr>
          <w:color w:val="000000" w:themeColor="text1"/>
          <w:lang w:val="en-US"/>
          <w14:textFill>
            <w14:solidFill>
              <w14:schemeClr w14:val="tx1"/>
            </w14:solidFill>
          </w14:textFill>
        </w:rPr>
        <w:t>cell</w:t>
      </w:r>
      <w:r>
        <w:rPr>
          <w:rFonts w:hint="eastAsia"/>
          <w:color w:val="000000" w:themeColor="text1"/>
          <w:lang w:val="en-US"/>
          <w14:textFill>
            <w14:solidFill>
              <w14:schemeClr w14:val="tx1"/>
            </w14:solidFill>
          </w14:textFill>
        </w:rPr>
        <w:t>）。采用在钦州湾外设置的</w:t>
      </w:r>
      <w:r>
        <w:rPr>
          <w:color w:val="000000" w:themeColor="text1"/>
          <w:lang w:val="en-US"/>
          <w14:textFill>
            <w14:solidFill>
              <w14:schemeClr w14:val="tx1"/>
            </w14:solidFill>
          </w14:textFill>
        </w:rPr>
        <w:t>2</w:t>
      </w:r>
      <w:r>
        <w:rPr>
          <w:rFonts w:hint="eastAsia"/>
          <w:color w:val="000000" w:themeColor="text1"/>
          <w:lang w:val="en-US"/>
          <w14:textFill>
            <w14:solidFill>
              <w14:schemeClr w14:val="tx1"/>
            </w14:solidFill>
          </w14:textFill>
        </w:rPr>
        <w:t>个潮位站实测数据和</w:t>
      </w:r>
      <w:r>
        <w:rPr>
          <w:color w:val="000000" w:themeColor="text1"/>
          <w:lang w:val="en-US"/>
          <w14:textFill>
            <w14:solidFill>
              <w14:schemeClr w14:val="tx1"/>
            </w14:solidFill>
          </w14:textFill>
        </w:rPr>
        <w:t>6</w:t>
      </w:r>
      <w:r>
        <w:rPr>
          <w:rFonts w:hint="eastAsia"/>
          <w:color w:val="000000" w:themeColor="text1"/>
          <w:lang w:val="en-US"/>
          <w14:textFill>
            <w14:solidFill>
              <w14:schemeClr w14:val="tx1"/>
            </w14:solidFill>
          </w14:textFill>
        </w:rPr>
        <w:t>个潮流站实测数据进行验证，实测流速、流向与模拟流速、流向的整体一致性良好。</w:t>
      </w:r>
    </w:p>
    <w:p>
      <w:pPr>
        <w:pStyle w:val="684"/>
        <w:ind w:firstLine="437"/>
        <w:rPr>
          <w:color w:val="000000" w:themeColor="text1"/>
          <w:lang w:val="en-US"/>
          <w14:textFill>
            <w14:solidFill>
              <w14:schemeClr w14:val="tx1"/>
            </w14:solidFill>
          </w14:textFill>
        </w:rPr>
      </w:pPr>
      <w:r>
        <w:rPr>
          <w:rFonts w:hint="eastAsia"/>
          <w:color w:val="000000" w:themeColor="text1"/>
          <w:lang w:val="en-US"/>
          <w14:textFill>
            <w14:solidFill>
              <w14:schemeClr w14:val="tx1"/>
            </w14:solidFill>
          </w14:textFill>
        </w:rPr>
        <w:t>钦州湾潮汐汊道潮流运动形式以往复流为主，而钦州湾外侧海域则逐渐向旋转流过渡。涨急时，潮流从钦州湾外进入钦州湾内，落急时则相反。涨急时，流速最大的区域位于钦州湾潮汐汊道位置，尤其是龙门港镇东侧位置的流速最大，可达</w:t>
      </w:r>
      <w:r>
        <w:rPr>
          <w:color w:val="000000" w:themeColor="text1"/>
          <w:lang w:val="en-US"/>
          <w14:textFill>
            <w14:solidFill>
              <w14:schemeClr w14:val="tx1"/>
            </w14:solidFill>
          </w14:textFill>
        </w:rPr>
        <w:t>1.3m/s</w:t>
      </w:r>
      <w:r>
        <w:rPr>
          <w:rFonts w:hint="eastAsia"/>
          <w:color w:val="000000" w:themeColor="text1"/>
          <w:lang w:val="en-US"/>
          <w14:textFill>
            <w14:solidFill>
              <w14:schemeClr w14:val="tx1"/>
            </w14:solidFill>
          </w14:textFill>
        </w:rPr>
        <w:t>左右；湾外及钦州湾湾内的流速则较小，大部分区域在</w:t>
      </w:r>
      <w:r>
        <w:rPr>
          <w:color w:val="000000" w:themeColor="text1"/>
          <w:lang w:val="en-US"/>
          <w14:textFill>
            <w14:solidFill>
              <w14:schemeClr w14:val="tx1"/>
            </w14:solidFill>
          </w14:textFill>
        </w:rPr>
        <w:t>0.4m/s</w:t>
      </w:r>
      <w:r>
        <w:rPr>
          <w:rFonts w:hint="eastAsia"/>
          <w:color w:val="000000" w:themeColor="text1"/>
          <w:lang w:val="en-US"/>
          <w14:textFill>
            <w14:solidFill>
              <w14:schemeClr w14:val="tx1"/>
            </w14:solidFill>
          </w14:textFill>
        </w:rPr>
        <w:t>左右；本项目码头前沿区域的流速较大，在</w:t>
      </w:r>
      <w:r>
        <w:rPr>
          <w:color w:val="000000" w:themeColor="text1"/>
          <w:lang w:val="en-US"/>
          <w14:textFill>
            <w14:solidFill>
              <w14:schemeClr w14:val="tx1"/>
            </w14:solidFill>
          </w14:textFill>
        </w:rPr>
        <w:t>0.15</w:t>
      </w:r>
      <w:r>
        <w:rPr>
          <w:rFonts w:hint="eastAsia"/>
          <w:color w:val="000000" w:themeColor="text1"/>
          <w:lang w:val="en-US"/>
          <w14:textFill>
            <w14:solidFill>
              <w14:schemeClr w14:val="tx1"/>
            </w14:solidFill>
          </w14:textFill>
        </w:rPr>
        <w:t>～</w:t>
      </w:r>
      <w:r>
        <w:rPr>
          <w:color w:val="000000" w:themeColor="text1"/>
          <w:lang w:val="en-US"/>
          <w14:textFill>
            <w14:solidFill>
              <w14:schemeClr w14:val="tx1"/>
            </w14:solidFill>
          </w14:textFill>
        </w:rPr>
        <w:t>0.50m/s</w:t>
      </w:r>
      <w:r>
        <w:rPr>
          <w:rFonts w:hint="eastAsia"/>
          <w:color w:val="000000" w:themeColor="text1"/>
          <w:lang w:val="en-US"/>
          <w14:textFill>
            <w14:solidFill>
              <w14:schemeClr w14:val="tx1"/>
            </w14:solidFill>
          </w14:textFill>
        </w:rPr>
        <w:t>之间。落急时，流速最大区域的位置与涨急时相同，其中，龙门港镇东侧潮汐汊道流速最大可达</w:t>
      </w:r>
      <w:r>
        <w:rPr>
          <w:color w:val="000000" w:themeColor="text1"/>
          <w:lang w:val="en-US"/>
          <w14:textFill>
            <w14:solidFill>
              <w14:schemeClr w14:val="tx1"/>
            </w14:solidFill>
          </w14:textFill>
        </w:rPr>
        <w:t>1.7m/s</w:t>
      </w:r>
      <w:r>
        <w:rPr>
          <w:rFonts w:hint="eastAsia"/>
          <w:color w:val="000000" w:themeColor="text1"/>
          <w:lang w:val="en-US"/>
          <w14:textFill>
            <w14:solidFill>
              <w14:schemeClr w14:val="tx1"/>
            </w14:solidFill>
          </w14:textFill>
        </w:rPr>
        <w:t>左右，钦州港经发区西侧的潮汐汊道潮流流速最大可达</w:t>
      </w:r>
      <w:r>
        <w:rPr>
          <w:color w:val="000000" w:themeColor="text1"/>
          <w:lang w:val="en-US"/>
          <w14:textFill>
            <w14:solidFill>
              <w14:schemeClr w14:val="tx1"/>
            </w14:solidFill>
          </w14:textFill>
        </w:rPr>
        <w:t>1.65m/s</w:t>
      </w:r>
      <w:r>
        <w:rPr>
          <w:rFonts w:hint="eastAsia"/>
          <w:color w:val="000000" w:themeColor="text1"/>
          <w:lang w:val="en-US"/>
          <w14:textFill>
            <w14:solidFill>
              <w14:schemeClr w14:val="tx1"/>
            </w14:solidFill>
          </w14:textFill>
        </w:rPr>
        <w:t>；湾外及钦州湾湾内大部分区域流速在</w:t>
      </w:r>
      <w:r>
        <w:rPr>
          <w:color w:val="000000" w:themeColor="text1"/>
          <w:lang w:val="en-US"/>
          <w14:textFill>
            <w14:solidFill>
              <w14:schemeClr w14:val="tx1"/>
            </w14:solidFill>
          </w14:textFill>
        </w:rPr>
        <w:t>0.5m/s</w:t>
      </w:r>
      <w:r>
        <w:rPr>
          <w:rFonts w:hint="eastAsia"/>
          <w:color w:val="000000" w:themeColor="text1"/>
          <w:lang w:val="en-US"/>
          <w14:textFill>
            <w14:solidFill>
              <w14:schemeClr w14:val="tx1"/>
            </w14:solidFill>
          </w14:textFill>
        </w:rPr>
        <w:t>左右；除潮汐汊道的近岸区域流速大多小于</w:t>
      </w:r>
      <w:r>
        <w:rPr>
          <w:color w:val="000000" w:themeColor="text1"/>
          <w:lang w:val="en-US"/>
          <w14:textFill>
            <w14:solidFill>
              <w14:schemeClr w14:val="tx1"/>
            </w14:solidFill>
          </w14:textFill>
        </w:rPr>
        <w:t>0.1m/s</w:t>
      </w:r>
      <w:r>
        <w:rPr>
          <w:rFonts w:hint="eastAsia"/>
          <w:color w:val="000000" w:themeColor="text1"/>
          <w:lang w:val="en-US"/>
          <w14:textFill>
            <w14:solidFill>
              <w14:schemeClr w14:val="tx1"/>
            </w14:solidFill>
          </w14:textFill>
        </w:rPr>
        <w:t>；本项目码头位于湾口位置，前沿水域的流速在</w:t>
      </w:r>
      <w:r>
        <w:rPr>
          <w:color w:val="000000" w:themeColor="text1"/>
          <w:lang w:val="en-US"/>
          <w14:textFill>
            <w14:solidFill>
              <w14:schemeClr w14:val="tx1"/>
            </w14:solidFill>
          </w14:textFill>
        </w:rPr>
        <w:t>0.25</w:t>
      </w:r>
      <w:r>
        <w:rPr>
          <w:rFonts w:hint="eastAsia"/>
          <w:color w:val="000000" w:themeColor="text1"/>
          <w:lang w:val="en-US"/>
          <w14:textFill>
            <w14:solidFill>
              <w14:schemeClr w14:val="tx1"/>
            </w14:solidFill>
          </w14:textFill>
        </w:rPr>
        <w:t>～</w:t>
      </w:r>
      <w:r>
        <w:rPr>
          <w:color w:val="000000" w:themeColor="text1"/>
          <w:lang w:val="en-US"/>
          <w14:textFill>
            <w14:solidFill>
              <w14:schemeClr w14:val="tx1"/>
            </w14:solidFill>
          </w14:textFill>
        </w:rPr>
        <w:t>0.80m/s</w:t>
      </w:r>
      <w:r>
        <w:rPr>
          <w:rFonts w:hint="eastAsia"/>
          <w:color w:val="000000" w:themeColor="text1"/>
          <w:lang w:val="en-US"/>
          <w14:textFill>
            <w14:solidFill>
              <w14:schemeClr w14:val="tx1"/>
            </w14:solidFill>
          </w14:textFill>
        </w:rPr>
        <w:t>之间。</w:t>
      </w:r>
    </w:p>
    <w:p>
      <w:pPr>
        <w:pStyle w:val="684"/>
        <w:ind w:firstLine="437"/>
        <w:rPr>
          <w:color w:val="000000" w:themeColor="text1"/>
          <w14:textFill>
            <w14:solidFill>
              <w14:schemeClr w14:val="tx1"/>
            </w14:solidFill>
          </w14:textFill>
        </w:rPr>
      </w:pPr>
      <w:r>
        <w:rPr>
          <w:rFonts w:hint="eastAsia"/>
          <w:color w:val="000000" w:themeColor="text1"/>
          <w:lang w:val="en-US"/>
          <w14:textFill>
            <w14:solidFill>
              <w14:schemeClr w14:val="tx1"/>
            </w14:solidFill>
          </w14:textFill>
        </w:rPr>
        <w:t>对项目建设前后特征时刻</w:t>
      </w:r>
      <w:r>
        <w:rPr>
          <w:color w:val="000000" w:themeColor="text1"/>
          <w:lang w:val="en-US"/>
          <w14:textFill>
            <w14:solidFill>
              <w14:schemeClr w14:val="tx1"/>
            </w14:solidFill>
          </w14:textFill>
        </w:rPr>
        <w:t>（</w:t>
      </w:r>
      <w:r>
        <w:rPr>
          <w:rFonts w:hint="eastAsia"/>
          <w:color w:val="000000" w:themeColor="text1"/>
          <w:lang w:val="en-US"/>
          <w14:textFill>
            <w14:solidFill>
              <w14:schemeClr w14:val="tx1"/>
            </w14:solidFill>
          </w14:textFill>
        </w:rPr>
        <w:t>涨急和落急</w:t>
      </w:r>
      <w:r>
        <w:rPr>
          <w:color w:val="000000" w:themeColor="text1"/>
          <w:lang w:val="en-US"/>
          <w14:textFill>
            <w14:solidFill>
              <w14:schemeClr w14:val="tx1"/>
            </w14:solidFill>
          </w14:textFill>
        </w:rPr>
        <w:t>）</w:t>
      </w:r>
      <w:r>
        <w:rPr>
          <w:rFonts w:hint="eastAsia"/>
          <w:color w:val="000000" w:themeColor="text1"/>
          <w:lang w:val="en-US"/>
          <w14:textFill>
            <w14:solidFill>
              <w14:schemeClr w14:val="tx1"/>
            </w14:solidFill>
          </w14:textFill>
        </w:rPr>
        <w:t>流速变化对比发现：由于疏浚、炸礁改变了水深地形和岸形，这些区域的流速和流向有一定变化。项目建成后流速最大变化幅度不超过</w:t>
      </w:r>
      <w:r>
        <w:rPr>
          <w:color w:val="000000" w:themeColor="text1"/>
          <w:lang w:val="en-US"/>
          <w14:textFill>
            <w14:solidFill>
              <w14:schemeClr w14:val="tx1"/>
            </w14:solidFill>
          </w14:textFill>
        </w:rPr>
        <w:t>55cm/s</w:t>
      </w:r>
      <w:r>
        <w:rPr>
          <w:rFonts w:hint="eastAsia"/>
          <w:color w:val="000000" w:themeColor="text1"/>
          <w:lang w:val="en-US"/>
          <w14:textFill>
            <w14:solidFill>
              <w14:schemeClr w14:val="tx1"/>
            </w14:solidFill>
          </w14:textFill>
        </w:rPr>
        <w:t>，流向变化幅度最大不超过</w:t>
      </w:r>
      <w:r>
        <w:rPr>
          <w:color w:val="000000" w:themeColor="text1"/>
          <w:lang w:val="en-US"/>
          <w14:textFill>
            <w14:solidFill>
              <w14:schemeClr w14:val="tx1"/>
            </w14:solidFill>
          </w14:textFill>
        </w:rPr>
        <w:t>100</w:t>
      </w:r>
      <w:r>
        <w:rPr>
          <w:rFonts w:hint="eastAsia"/>
          <w:color w:val="000000" w:themeColor="text1"/>
          <w:lang w:val="en-US"/>
          <w14:textFill>
            <w14:solidFill>
              <w14:schemeClr w14:val="tx1"/>
            </w14:solidFill>
          </w14:textFill>
        </w:rPr>
        <w:t>°，其中，疏浚区域及其西侧海域流态变化较为明显</w:t>
      </w:r>
      <w:bookmarkStart w:id="201" w:name="_Hlk171177418"/>
      <w:r>
        <w:rPr>
          <w:rFonts w:hint="eastAsia"/>
          <w:color w:val="000000" w:themeColor="text1"/>
          <w:kern w:val="2"/>
          <w:lang w:val="en-US"/>
          <w14:textFill>
            <w14:solidFill>
              <w14:schemeClr w14:val="tx1"/>
            </w14:solidFill>
          </w14:textFill>
        </w:rPr>
        <w:t>。</w:t>
      </w:r>
      <w:bookmarkEnd w:id="201"/>
    </w:p>
    <w:bookmarkEnd w:id="199"/>
    <w:bookmarkEnd w:id="200"/>
    <w:p>
      <w:pPr>
        <w:pStyle w:val="6"/>
        <w:rPr>
          <w:color w:val="000000" w:themeColor="text1"/>
          <w14:textFill>
            <w14:solidFill>
              <w14:schemeClr w14:val="tx1"/>
            </w14:solidFill>
          </w14:textFill>
        </w:rPr>
      </w:pPr>
      <w:r>
        <w:rPr>
          <w:color w:val="000000" w:themeColor="text1"/>
          <w14:textFill>
            <w14:solidFill>
              <w14:schemeClr w14:val="tx1"/>
            </w14:solidFill>
          </w14:textFill>
        </w:rPr>
        <w:t>悬浮泥沙扩散对所在海域海水环境</w:t>
      </w:r>
    </w:p>
    <w:p>
      <w:pPr>
        <w:pStyle w:val="684"/>
        <w:ind w:firstLine="439"/>
        <w:rPr>
          <w:b/>
          <w:bCs/>
          <w:snapToGrid w:val="0"/>
          <w:color w:val="000000" w:themeColor="text1"/>
          <w14:textFill>
            <w14:solidFill>
              <w14:schemeClr w14:val="tx1"/>
            </w14:solidFill>
          </w14:textFill>
        </w:rPr>
      </w:pPr>
      <w:r>
        <w:rPr>
          <w:rFonts w:hint="eastAsia"/>
          <w:b/>
          <w:bCs/>
          <w:snapToGrid w:val="0"/>
          <w:color w:val="000000" w:themeColor="text1"/>
          <w14:textFill>
            <w14:solidFill>
              <w14:schemeClr w14:val="tx1"/>
            </w14:solidFill>
          </w14:textFill>
        </w:rPr>
        <w:t>1</w:t>
      </w:r>
      <w:r>
        <w:rPr>
          <w:b/>
          <w:bCs/>
          <w:snapToGrid w:val="0"/>
          <w:color w:val="000000" w:themeColor="text1"/>
          <w14:textFill>
            <w14:solidFill>
              <w14:schemeClr w14:val="tx1"/>
            </w14:solidFill>
          </w14:textFill>
        </w:rPr>
        <w:t>、悬沙数值模型</w:t>
      </w:r>
    </w:p>
    <w:p>
      <w:pPr>
        <w:pStyle w:val="684"/>
        <w:ind w:firstLine="437"/>
        <w:rPr>
          <w:color w:val="000000" w:themeColor="text1"/>
          <w14:textFill>
            <w14:solidFill>
              <w14:schemeClr w14:val="tx1"/>
            </w14:solidFill>
          </w14:textFill>
        </w:rPr>
      </w:pPr>
      <w:r>
        <w:rPr>
          <w:rFonts w:hint="eastAsia" w:asciiTheme="minorEastAsia" w:hAnsiTheme="minorEastAsia"/>
          <w:color w:val="000000" w:themeColor="text1"/>
          <w14:textFill>
            <w14:solidFill>
              <w14:schemeClr w14:val="tx1"/>
            </w14:solidFill>
          </w14:textFill>
        </w:rPr>
        <w:t>本项目溢流、</w:t>
      </w:r>
      <w:r>
        <w:rPr>
          <w:rFonts w:hint="eastAsia" w:asciiTheme="minorEastAsia" w:hAnsiTheme="minorEastAsia"/>
          <w:color w:val="000000" w:themeColor="text1"/>
          <w:u w:val="single"/>
          <w14:textFill>
            <w14:solidFill>
              <w14:schemeClr w14:val="tx1"/>
            </w14:solidFill>
          </w14:textFill>
        </w:rPr>
        <w:t>消浪护岸基槽开挖</w:t>
      </w:r>
      <w:r>
        <w:rPr>
          <w:rFonts w:hint="eastAsia" w:asciiTheme="minorEastAsia" w:hAnsiTheme="minorEastAsia"/>
          <w:color w:val="000000" w:themeColor="text1"/>
          <w14:textFill>
            <w14:solidFill>
              <w14:schemeClr w14:val="tx1"/>
            </w14:solidFill>
          </w14:textFill>
        </w:rPr>
        <w:t>、疏浚和炸礁过程中会造成海水中悬浮泥沙含量的增加，</w:t>
      </w:r>
      <w:r>
        <w:rPr>
          <w:color w:val="000000" w:themeColor="text1"/>
          <w14:textFill>
            <w14:solidFill>
              <w14:schemeClr w14:val="tx1"/>
            </w14:solidFill>
          </w14:textFill>
        </w:rPr>
        <w:t>对海水水质造成影响。悬浮泥沙将在海洋水动力的作用下扩散、输运和沉降，本节基于已建立的潮流模型，通过数值模拟的方法预测悬浮泥沙的扩散范围，并评价其对周围水环境的影响程度。</w:t>
      </w:r>
    </w:p>
    <w:p>
      <w:pPr>
        <w:pStyle w:val="684"/>
        <w:ind w:firstLine="437"/>
        <w:rPr>
          <w:color w:val="000000" w:themeColor="text1"/>
          <w14:textFill>
            <w14:solidFill>
              <w14:schemeClr w14:val="tx1"/>
            </w14:solidFill>
          </w14:textFill>
        </w:rPr>
      </w:pPr>
      <w:r>
        <w:rPr>
          <w:color w:val="000000" w:themeColor="text1"/>
          <w14:textFill>
            <w14:solidFill>
              <w14:schemeClr w14:val="tx1"/>
            </w14:solidFill>
          </w14:textFill>
        </w:rPr>
        <w:t>潮流是海域污染物进行稀释扩散的主要动力因素，在获得可靠的潮流场基础上，通过添加水质预测模块（平面二维非恒定的对流—扩散模型），进行水质预测计算。</w:t>
      </w:r>
    </w:p>
    <w:p>
      <w:pPr>
        <w:pStyle w:val="684"/>
        <w:ind w:firstLine="437"/>
        <w:rPr>
          <w:color w:val="000000" w:themeColor="text1"/>
          <w14:textFill>
            <w14:solidFill>
              <w14:schemeClr w14:val="tx1"/>
            </w14:solidFill>
          </w14:textFill>
        </w:rPr>
      </w:pPr>
      <w:r>
        <w:rPr>
          <w:color w:val="000000" w:themeColor="text1"/>
          <w14:textFill>
            <w14:solidFill>
              <w14:schemeClr w14:val="tx1"/>
            </w14:solidFill>
          </w14:textFill>
        </w:rPr>
        <w:t>（1）二维水质对流扩散控制方程：</w:t>
      </w:r>
    </w:p>
    <w:p>
      <w:pPr>
        <w:pStyle w:val="684"/>
        <w:ind w:firstLine="0" w:firstLineChars="0"/>
        <w:jc w:val="center"/>
        <w:rPr>
          <w:b/>
          <w:color w:val="000000" w:themeColor="text1"/>
          <w:sz w:val="21"/>
          <w:szCs w:val="21"/>
          <w14:textFill>
            <w14:solidFill>
              <w14:schemeClr w14:val="tx1"/>
            </w14:solidFill>
          </w14:textFill>
        </w:rPr>
      </w:pPr>
      <w:r>
        <w:rPr>
          <w:b/>
          <w:color w:val="000000" w:themeColor="text1"/>
          <w:sz w:val="21"/>
          <w:szCs w:val="21"/>
          <w:lang w:val="en-US"/>
          <w14:textFill>
            <w14:solidFill>
              <w14:schemeClr w14:val="tx1"/>
            </w14:solidFill>
          </w14:textFill>
        </w:rPr>
        <w:drawing>
          <wp:inline distT="0" distB="0" distL="0" distR="0">
            <wp:extent cx="4114800" cy="422910"/>
            <wp:effectExtent l="0" t="0" r="0" b="0"/>
            <wp:docPr id="3473" name="图片 3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3" name="图片 3473"/>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a:xfrm>
                      <a:off x="0" y="0"/>
                      <a:ext cx="4114800" cy="422910"/>
                    </a:xfrm>
                    <a:prstGeom prst="rect">
                      <a:avLst/>
                    </a:prstGeom>
                    <a:noFill/>
                    <a:ln>
                      <a:noFill/>
                    </a:ln>
                  </pic:spPr>
                </pic:pic>
              </a:graphicData>
            </a:graphic>
          </wp:inline>
        </w:drawing>
      </w:r>
    </w:p>
    <w:p>
      <w:pPr>
        <w:pStyle w:val="684"/>
        <w:ind w:firstLine="437"/>
        <w:rPr>
          <w:color w:val="000000" w:themeColor="text1"/>
          <w14:textFill>
            <w14:solidFill>
              <w14:schemeClr w14:val="tx1"/>
            </w14:solidFill>
          </w14:textFill>
        </w:rPr>
      </w:pPr>
      <w:r>
        <w:rPr>
          <w:color w:val="000000" w:themeColor="text1"/>
          <w14:textFill>
            <w14:solidFill>
              <w14:schemeClr w14:val="tx1"/>
            </w14:solidFill>
          </w14:textFill>
        </w:rPr>
        <w:t>式中，c为污染物浓度（kg/m</w:t>
      </w:r>
      <w:r>
        <w:rPr>
          <w:color w:val="000000" w:themeColor="text1"/>
          <w:vertAlign w:val="superscript"/>
          <w14:textFill>
            <w14:solidFill>
              <w14:schemeClr w14:val="tx1"/>
            </w14:solidFill>
          </w14:textFill>
        </w:rPr>
        <w:t>3</w:t>
      </w:r>
      <w:r>
        <w:rPr>
          <w:color w:val="000000" w:themeColor="text1"/>
          <w14:textFill>
            <w14:solidFill>
              <w14:schemeClr w14:val="tx1"/>
            </w14:solidFill>
          </w14:textFill>
        </w:rPr>
        <w:t>）；u、v分别为x、y向流速分量；Dx、Dy为x、y向分散系数；s为污染物排放源强，s=QSCs，式中</w:t>
      </w:r>
      <w:r>
        <w:rPr>
          <w:rFonts w:hint="eastAsia"/>
          <w:color w:val="000000" w:themeColor="text1"/>
          <w14:textFill>
            <w14:solidFill>
              <w14:schemeClr w14:val="tx1"/>
            </w14:solidFill>
          </w14:textFill>
        </w:rPr>
        <w:t>C</w:t>
      </w:r>
      <w:r>
        <w:rPr>
          <w:rFonts w:hint="eastAsia"/>
          <w:color w:val="000000" w:themeColor="text1"/>
          <w:vertAlign w:val="subscript"/>
          <w14:textFill>
            <w14:solidFill>
              <w14:schemeClr w14:val="tx1"/>
            </w14:solidFill>
          </w14:textFill>
        </w:rPr>
        <w:t>s</w:t>
      </w:r>
      <w:r>
        <w:rPr>
          <w:color w:val="000000" w:themeColor="text1"/>
          <w14:textFill>
            <w14:solidFill>
              <w14:schemeClr w14:val="tx1"/>
            </w14:solidFill>
          </w14:textFill>
        </w:rPr>
        <w:t>为</w:t>
      </w:r>
      <w:r>
        <w:rPr>
          <w:rFonts w:hint="eastAsia"/>
          <w:color w:val="000000" w:themeColor="text1"/>
          <w14:textFill>
            <w14:solidFill>
              <w14:schemeClr w14:val="tx1"/>
            </w14:solidFill>
          </w14:textFill>
        </w:rPr>
        <w:t>悬浮泥沙</w:t>
      </w:r>
      <w:r>
        <w:rPr>
          <w:color w:val="000000" w:themeColor="text1"/>
          <w14:textFill>
            <w14:solidFill>
              <w14:schemeClr w14:val="tx1"/>
            </w14:solidFill>
          </w14:textFill>
        </w:rPr>
        <w:t>浓度（kg/m</w:t>
      </w:r>
      <w:r>
        <w:rPr>
          <w:color w:val="000000" w:themeColor="text1"/>
          <w:vertAlign w:val="superscript"/>
          <w14:textFill>
            <w14:solidFill>
              <w14:schemeClr w14:val="tx1"/>
            </w14:solidFill>
          </w14:textFill>
        </w:rPr>
        <w:t>3</w:t>
      </w:r>
      <w:r>
        <w:rPr>
          <w:color w:val="000000" w:themeColor="text1"/>
          <w14:textFill>
            <w14:solidFill>
              <w14:schemeClr w14:val="tx1"/>
            </w14:solidFill>
          </w14:textFill>
        </w:rPr>
        <w:t>）、Q</w:t>
      </w:r>
      <w:r>
        <w:rPr>
          <w:color w:val="000000" w:themeColor="text1"/>
          <w:vertAlign w:val="subscript"/>
          <w14:textFill>
            <w14:solidFill>
              <w14:schemeClr w14:val="tx1"/>
            </w14:solidFill>
          </w14:textFill>
        </w:rPr>
        <w:t>S</w:t>
      </w:r>
      <w:r>
        <w:rPr>
          <w:color w:val="000000" w:themeColor="text1"/>
          <w14:textFill>
            <w14:solidFill>
              <w14:schemeClr w14:val="tx1"/>
            </w14:solidFill>
          </w14:textFill>
        </w:rPr>
        <w:t>为释放量</w:t>
      </w:r>
      <w:r>
        <w:rPr>
          <w:rFonts w:hint="eastAsia"/>
          <w:color w:val="000000" w:themeColor="text1"/>
          <w14:textFill>
            <w14:solidFill>
              <w14:schemeClr w14:val="tx1"/>
            </w14:solidFill>
          </w14:textFill>
        </w:rPr>
        <w:t>(m</w:t>
      </w:r>
      <w:r>
        <w:rPr>
          <w:rFonts w:hint="eastAsia"/>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/s)；</w:t>
      </w:r>
      <w:r>
        <w:rPr>
          <w:color w:val="000000" w:themeColor="text1"/>
          <w14:textFill>
            <w14:solidFill>
              <w14:schemeClr w14:val="tx1"/>
            </w14:solidFill>
          </w14:textFill>
        </w:rPr>
        <w:t xml:space="preserve"> F为衰减系数，</w:t>
      </w:r>
      <w:r>
        <w:rPr>
          <w:color w:val="000000" w:themeColor="text1"/>
          <w:lang w:val="en-US"/>
          <w14:textFill>
            <w14:solidFill>
              <w14:schemeClr w14:val="tx1"/>
            </w14:solidFill>
          </w14:textFill>
        </w:rPr>
        <w:drawing>
          <wp:inline distT="0" distB="0" distL="0" distR="0">
            <wp:extent cx="517525" cy="189865"/>
            <wp:effectExtent l="0" t="0" r="0" b="635"/>
            <wp:docPr id="3474" name="图片 3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4" name="图片 3474"/>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a:xfrm>
                      <a:off x="0" y="0"/>
                      <a:ext cx="517525" cy="189865"/>
                    </a:xfrm>
                    <a:prstGeom prst="rect">
                      <a:avLst/>
                    </a:prstGeom>
                    <a:noFill/>
                    <a:ln>
                      <a:noFill/>
                    </a:ln>
                  </pic:spPr>
                </pic:pic>
              </a:graphicData>
            </a:graphic>
          </wp:inline>
        </w:drawing>
      </w:r>
      <w:r>
        <w:rPr>
          <w:color w:val="000000" w:themeColor="text1"/>
          <w14:textFill>
            <w14:solidFill>
              <w14:schemeClr w14:val="tx1"/>
            </w14:solidFill>
          </w14:textFill>
        </w:rPr>
        <w:t>，p为沉降概率（无量纲），</w:t>
      </w:r>
      <w:r>
        <w:rPr>
          <w:color w:val="000000" w:themeColor="text1"/>
          <w:lang w:val="en-US"/>
          <w14:textFill>
            <w14:solidFill>
              <w14:schemeClr w14:val="tx1"/>
            </w14:solidFill>
          </w14:textFill>
        </w:rPr>
        <w:drawing>
          <wp:inline distT="0" distB="0" distL="0" distR="0">
            <wp:extent cx="155575" cy="137795"/>
            <wp:effectExtent l="0" t="0" r="0" b="0"/>
            <wp:docPr id="3475" name="图片 3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5" name="图片 3475"/>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a:xfrm>
                      <a:off x="0" y="0"/>
                      <a:ext cx="155575" cy="137795"/>
                    </a:xfrm>
                    <a:prstGeom prst="rect">
                      <a:avLst/>
                    </a:prstGeom>
                    <a:noFill/>
                    <a:ln>
                      <a:noFill/>
                    </a:ln>
                  </pic:spPr>
                </pic:pic>
              </a:graphicData>
            </a:graphic>
          </wp:inline>
        </w:drawing>
      </w:r>
      <w:r>
        <w:rPr>
          <w:color w:val="000000" w:themeColor="text1"/>
          <w14:textFill>
            <w14:solidFill>
              <w14:schemeClr w14:val="tx1"/>
            </w14:solidFill>
          </w14:textFill>
        </w:rPr>
        <w:t>为沉降速度（m/s）。</w:t>
      </w:r>
    </w:p>
    <w:p>
      <w:pPr>
        <w:pStyle w:val="684"/>
        <w:ind w:firstLine="437"/>
        <w:rPr>
          <w:color w:val="000000" w:themeColor="text1"/>
          <w14:textFill>
            <w14:solidFill>
              <w14:schemeClr w14:val="tx1"/>
            </w14:solidFill>
          </w14:textFill>
        </w:rPr>
      </w:pPr>
      <w:r>
        <w:rPr>
          <w:color w:val="000000" w:themeColor="text1"/>
          <w14:textFill>
            <w14:solidFill>
              <w14:schemeClr w14:val="tx1"/>
            </w14:solidFill>
          </w14:textFill>
        </w:rPr>
        <w:t>（2）边界条件</w:t>
      </w:r>
    </w:p>
    <w:p>
      <w:pPr>
        <w:pStyle w:val="684"/>
        <w:ind w:firstLine="437"/>
        <w:rPr>
          <w:color w:val="000000" w:themeColor="text1"/>
          <w14:textFill>
            <w14:solidFill>
              <w14:schemeClr w14:val="tx1"/>
            </w14:solidFill>
          </w14:textFill>
        </w:rPr>
      </w:pPr>
      <w:r>
        <w:rPr>
          <w:color w:val="000000" w:themeColor="text1"/>
          <w14:textFill>
            <w14:solidFill>
              <w14:schemeClr w14:val="tx1"/>
            </w14:solidFill>
          </w14:textFill>
        </w:rPr>
        <w:t>岸边界条件：浓度通量为零；</w:t>
      </w:r>
    </w:p>
    <w:p>
      <w:pPr>
        <w:pStyle w:val="684"/>
        <w:ind w:firstLine="437"/>
        <w:rPr>
          <w:color w:val="000000" w:themeColor="text1"/>
          <w14:textFill>
            <w14:solidFill>
              <w14:schemeClr w14:val="tx1"/>
            </w14:solidFill>
          </w14:textFill>
        </w:rPr>
      </w:pPr>
      <w:r>
        <w:rPr>
          <w:color w:val="000000" w:themeColor="text1"/>
          <w14:textFill>
            <w14:solidFill>
              <w14:schemeClr w14:val="tx1"/>
            </w14:solidFill>
          </w14:textFill>
        </w:rPr>
        <w:t>开边界条件：入流：</w:t>
      </w:r>
      <w:r>
        <w:rPr>
          <w:color w:val="000000" w:themeColor="text1"/>
          <w:lang w:val="en-US"/>
          <w14:textFill>
            <w14:solidFill>
              <w14:schemeClr w14:val="tx1"/>
            </w14:solidFill>
          </w14:textFill>
        </w:rPr>
        <w:drawing>
          <wp:inline distT="0" distB="0" distL="0" distR="0">
            <wp:extent cx="387985" cy="189865"/>
            <wp:effectExtent l="0" t="0" r="0" b="635"/>
            <wp:docPr id="3476" name="图片 3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6" name="图片 3476"/>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a:xfrm>
                      <a:off x="0" y="0"/>
                      <a:ext cx="387985" cy="189865"/>
                    </a:xfrm>
                    <a:prstGeom prst="rect">
                      <a:avLst/>
                    </a:prstGeom>
                    <a:noFill/>
                    <a:ln>
                      <a:noFill/>
                    </a:ln>
                  </pic:spPr>
                </pic:pic>
              </a:graphicData>
            </a:graphic>
          </wp:inline>
        </w:drawing>
      </w:r>
      <w:r>
        <w:rPr>
          <w:color w:val="000000" w:themeColor="text1"/>
          <w14:textFill>
            <w14:solidFill>
              <w14:schemeClr w14:val="tx1"/>
            </w14:solidFill>
          </w14:textFill>
        </w:rPr>
        <w:t>，式中</w:t>
      </w:r>
      <w:r>
        <w:rPr>
          <w:color w:val="000000" w:themeColor="text1"/>
          <w:lang w:val="en-US"/>
          <w14:textFill>
            <w14:solidFill>
              <w14:schemeClr w14:val="tx1"/>
            </w14:solidFill>
          </w14:textFill>
        </w:rPr>
        <w:drawing>
          <wp:inline distT="0" distB="0" distL="0" distR="0">
            <wp:extent cx="112395" cy="129540"/>
            <wp:effectExtent l="0" t="0" r="1905" b="3810"/>
            <wp:docPr id="224" name="图片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图片 224"/>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a:xfrm>
                      <a:off x="0" y="0"/>
                      <a:ext cx="112395" cy="129540"/>
                    </a:xfrm>
                    <a:prstGeom prst="rect">
                      <a:avLst/>
                    </a:prstGeom>
                    <a:noFill/>
                    <a:ln>
                      <a:noFill/>
                    </a:ln>
                  </pic:spPr>
                </pic:pic>
              </a:graphicData>
            </a:graphic>
          </wp:inline>
        </w:drawing>
      </w:r>
      <w:r>
        <w:rPr>
          <w:color w:val="000000" w:themeColor="text1"/>
          <w14:textFill>
            <w14:solidFill>
              <w14:schemeClr w14:val="tx1"/>
            </w14:solidFill>
          </w14:textFill>
        </w:rPr>
        <w:t>为水边界，c0为边界浓度，模型仅计算增量影响，取c0=0。</w:t>
      </w:r>
    </w:p>
    <w:p>
      <w:pPr>
        <w:pStyle w:val="684"/>
        <w:ind w:firstLine="437"/>
        <w:rPr>
          <w:color w:val="000000" w:themeColor="text1"/>
          <w14:textFill>
            <w14:solidFill>
              <w14:schemeClr w14:val="tx1"/>
            </w14:solidFill>
          </w14:textFill>
        </w:rPr>
      </w:pPr>
      <w:r>
        <w:rPr>
          <w:color w:val="000000" w:themeColor="text1"/>
          <w14:textFill>
            <w14:solidFill>
              <w14:schemeClr w14:val="tx1"/>
            </w14:solidFill>
          </w14:textFill>
        </w:rPr>
        <w:t>出流：</w:t>
      </w:r>
      <w:r>
        <w:rPr>
          <w:color w:val="000000" w:themeColor="text1"/>
          <w:lang w:val="en-US"/>
          <w14:textFill>
            <w14:solidFill>
              <w14:schemeClr w14:val="tx1"/>
            </w14:solidFill>
          </w14:textFill>
        </w:rPr>
        <w:drawing>
          <wp:inline distT="0" distB="0" distL="0" distR="0">
            <wp:extent cx="897255" cy="370840"/>
            <wp:effectExtent l="0" t="0" r="0" b="0"/>
            <wp:docPr id="225" name="图片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图片 225"/>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a:xfrm>
                      <a:off x="0" y="0"/>
                      <a:ext cx="897255" cy="370840"/>
                    </a:xfrm>
                    <a:prstGeom prst="rect">
                      <a:avLst/>
                    </a:prstGeom>
                    <a:noFill/>
                    <a:ln>
                      <a:noFill/>
                    </a:ln>
                  </pic:spPr>
                </pic:pic>
              </a:graphicData>
            </a:graphic>
          </wp:inline>
        </w:drawing>
      </w:r>
      <w:r>
        <w:rPr>
          <w:color w:val="000000" w:themeColor="text1"/>
          <w14:textFill>
            <w14:solidFill>
              <w14:schemeClr w14:val="tx1"/>
            </w14:solidFill>
          </w14:textFill>
        </w:rPr>
        <w:t>，式中</w:t>
      </w:r>
      <w:r>
        <w:rPr>
          <w:color w:val="000000" w:themeColor="text1"/>
          <w:lang w:val="en-US"/>
          <w14:textFill>
            <w14:solidFill>
              <w14:schemeClr w14:val="tx1"/>
            </w14:solidFill>
          </w14:textFill>
        </w:rPr>
        <w:drawing>
          <wp:inline distT="0" distB="0" distL="0" distR="0">
            <wp:extent cx="163830" cy="233045"/>
            <wp:effectExtent l="0" t="0" r="7620" b="0"/>
            <wp:docPr id="3477" name="图片 3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7" name="图片 3477"/>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a:xfrm>
                      <a:off x="0" y="0"/>
                      <a:ext cx="163830" cy="233045"/>
                    </a:xfrm>
                    <a:prstGeom prst="rect">
                      <a:avLst/>
                    </a:prstGeom>
                    <a:noFill/>
                    <a:ln>
                      <a:noFill/>
                    </a:ln>
                  </pic:spPr>
                </pic:pic>
              </a:graphicData>
            </a:graphic>
          </wp:inline>
        </w:drawing>
      </w:r>
      <w:r>
        <w:rPr>
          <w:color w:val="000000" w:themeColor="text1"/>
          <w14:textFill>
            <w14:solidFill>
              <w14:schemeClr w14:val="tx1"/>
            </w14:solidFill>
          </w14:textFill>
        </w:rPr>
        <w:t>边界法向流速，n为法向。</w:t>
      </w:r>
    </w:p>
    <w:p>
      <w:pPr>
        <w:pStyle w:val="684"/>
        <w:ind w:firstLine="437"/>
        <w:rPr>
          <w:color w:val="000000" w:themeColor="text1"/>
          <w14:textFill>
            <w14:solidFill>
              <w14:schemeClr w14:val="tx1"/>
            </w14:solidFill>
          </w14:textFill>
        </w:rPr>
      </w:pPr>
      <w:r>
        <w:rPr>
          <w:color w:val="000000" w:themeColor="text1"/>
          <w14:textFill>
            <w14:solidFill>
              <w14:schemeClr w14:val="tx1"/>
            </w14:solidFill>
          </w14:textFill>
        </w:rPr>
        <w:t>（3）初始条件</w:t>
      </w:r>
    </w:p>
    <w:p>
      <w:pPr>
        <w:pStyle w:val="684"/>
        <w:ind w:firstLine="437"/>
        <w:rPr>
          <w:color w:val="000000" w:themeColor="text1"/>
          <w14:textFill>
            <w14:solidFill>
              <w14:schemeClr w14:val="tx1"/>
            </w14:solidFill>
          </w14:textFill>
        </w:rPr>
      </w:pPr>
      <w:r>
        <w:rPr>
          <w:color w:val="000000" w:themeColor="text1"/>
          <w:lang w:val="en-US"/>
          <w14:textFill>
            <w14:solidFill>
              <w14:schemeClr w14:val="tx1"/>
            </w14:solidFill>
          </w14:textFill>
        </w:rPr>
        <w:drawing>
          <wp:inline distT="0" distB="0" distL="0" distR="0">
            <wp:extent cx="832485" cy="265430"/>
            <wp:effectExtent l="0" t="0" r="0" b="0"/>
            <wp:docPr id="3478" name="图片 3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8" name="图片 3478"/>
                    <pic:cNvPicPr>
                      <a:picLocks noChangeAspect="1"/>
                    </pic:cNvPicPr>
                  </pic:nvPicPr>
                  <pic:blipFill>
                    <a:blip r:embed="rId132"/>
                    <a:stretch>
                      <a:fillRect/>
                    </a:stretch>
                  </pic:blipFill>
                  <pic:spPr>
                    <a:xfrm>
                      <a:off x="0" y="0"/>
                      <a:ext cx="926378" cy="295878"/>
                    </a:xfrm>
                    <a:prstGeom prst="rect">
                      <a:avLst/>
                    </a:prstGeom>
                  </pic:spPr>
                </pic:pic>
              </a:graphicData>
            </a:graphic>
          </wp:inline>
        </w:drawing>
      </w:r>
      <w:r>
        <w:rPr>
          <w:color w:val="000000" w:themeColor="text1"/>
          <w14:textFill>
            <w14:solidFill>
              <w14:schemeClr w14:val="tx1"/>
            </w14:solidFill>
          </w14:textFill>
        </w:rPr>
        <w:t>。</w:t>
      </w:r>
    </w:p>
    <w:p>
      <w:pPr>
        <w:pStyle w:val="684"/>
        <w:ind w:firstLine="439"/>
        <w:rPr>
          <w:b/>
          <w:bCs/>
          <w:snapToGrid w:val="0"/>
          <w:color w:val="000000" w:themeColor="text1"/>
          <w14:textFill>
            <w14:solidFill>
              <w14:schemeClr w14:val="tx1"/>
            </w14:solidFill>
          </w14:textFill>
        </w:rPr>
      </w:pPr>
      <w:r>
        <w:rPr>
          <w:rFonts w:hint="eastAsia"/>
          <w:b/>
          <w:bCs/>
          <w:snapToGrid w:val="0"/>
          <w:color w:val="000000" w:themeColor="text1"/>
          <w14:textFill>
            <w14:solidFill>
              <w14:schemeClr w14:val="tx1"/>
            </w14:solidFill>
          </w14:textFill>
        </w:rPr>
        <w:t>2</w:t>
      </w:r>
      <w:r>
        <w:rPr>
          <w:b/>
          <w:bCs/>
          <w:snapToGrid w:val="0"/>
          <w:color w:val="000000" w:themeColor="text1"/>
          <w14:textFill>
            <w14:solidFill>
              <w14:schemeClr w14:val="tx1"/>
            </w14:solidFill>
          </w14:textFill>
        </w:rPr>
        <w:t>、参数选取和预测方案</w:t>
      </w:r>
    </w:p>
    <w:p>
      <w:pPr>
        <w:pStyle w:val="684"/>
        <w:ind w:firstLine="437"/>
        <w:rPr>
          <w:color w:val="000000" w:themeColor="text1"/>
          <w14:textFill>
            <w14:solidFill>
              <w14:schemeClr w14:val="tx1"/>
            </w14:solidFill>
          </w14:textFill>
        </w:rPr>
      </w:pPr>
      <w:r>
        <w:rPr>
          <w:color w:val="000000" w:themeColor="text1"/>
          <w14:textFill>
            <w14:solidFill>
              <w14:schemeClr w14:val="tx1"/>
            </w14:solidFill>
          </w14:textFill>
        </w:rPr>
        <w:t>根据现场采样资料分析，工程海域泥沙的中值粒径为0.03mm，其干容重计算采用刘家驹公式（</w:t>
      </w:r>
      <w:r>
        <w:rPr>
          <w:color w:val="000000" w:themeColor="text1"/>
          <w14:textFill>
            <w14:solidFill>
              <w14:schemeClr w14:val="tx1"/>
            </w14:solidFill>
          </w14:textFill>
        </w:rPr>
        <w:object>
          <v:shape id="_x0000_i1034" o:spt="75" type="#_x0000_t75" style="height:20.4pt;width:12.9pt;" o:ole="t" filled="f" o:preferrelative="t" stroked="f" coordsize="21600,21600">
            <v:path/>
            <v:fill on="f" focussize="0,0"/>
            <v:stroke on="f" joinstyle="miter"/>
            <v:imagedata r:id="rId134" o:title=""/>
            <o:lock v:ext="edit" aspectratio="t"/>
            <w10:wrap type="none"/>
            <w10:anchorlock/>
          </v:shape>
          <o:OLEObject Type="Embed" ProgID="Equation.DSMT4" ShapeID="_x0000_i1034" DrawAspect="Content" ObjectID="_1468075734" r:id="rId133">
            <o:LockedField>false</o:LockedField>
          </o:OLEObject>
        </w:object>
      </w:r>
      <w:r>
        <w:rPr>
          <w:color w:val="000000" w:themeColor="text1"/>
          <w14:textFill>
            <w14:solidFill>
              <w14:schemeClr w14:val="tx1"/>
            </w14:solidFill>
          </w14:textFill>
        </w:rPr>
        <w:t>=</w:t>
      </w:r>
      <w:r>
        <w:rPr>
          <w:color w:val="000000" w:themeColor="text1"/>
          <w14:textFill>
            <w14:solidFill>
              <w14:schemeClr w14:val="tx1"/>
            </w14:solidFill>
          </w14:textFill>
        </w:rPr>
        <w:object>
          <v:shape id="_x0000_i1035" o:spt="75" type="#_x0000_t75" style="height:20.4pt;width:59.1pt;" o:ole="t" filled="f" o:preferrelative="t" stroked="f" coordsize="21600,21600">
            <v:path/>
            <v:fill on="f" focussize="0,0"/>
            <v:stroke on="f" joinstyle="miter"/>
            <v:imagedata r:id="rId136" o:title=""/>
            <o:lock v:ext="edit" aspectratio="t"/>
            <w10:wrap type="none"/>
            <w10:anchorlock/>
          </v:shape>
          <o:OLEObject Type="Embed" ProgID="Equation.DSMT4" ShapeID="_x0000_i1035" DrawAspect="Content" ObjectID="_1468075735" r:id="rId135">
            <o:LockedField>false</o:LockedField>
          </o:OLEObject>
        </w:object>
      </w:r>
      <w:r>
        <w:rPr>
          <w:color w:val="000000" w:themeColor="text1"/>
          <w14:textFill>
            <w14:solidFill>
              <w14:schemeClr w14:val="tx1"/>
            </w14:solidFill>
          </w14:textFill>
        </w:rPr>
        <w:t>），</w:t>
      </w:r>
      <w:r>
        <w:rPr>
          <w:rFonts w:hint="eastAsia" w:hAnsi="宋体"/>
          <w:color w:val="000000" w:themeColor="text1"/>
          <w14:textFill>
            <w14:solidFill>
              <w14:schemeClr w14:val="tx1"/>
            </w14:solidFill>
          </w14:textFill>
        </w:rPr>
        <w:t>泥沙沉速根据有关试验泥沙沉速的取值，本次评价取为0.05cm/s，沉降概率取为0.67</w:t>
      </w:r>
      <w:r>
        <w:rPr>
          <w:color w:val="000000" w:themeColor="text1"/>
          <w14:textFill>
            <w14:solidFill>
              <w14:schemeClr w14:val="tx1"/>
            </w14:solidFill>
          </w14:textFill>
        </w:rPr>
        <w:t>。</w:t>
      </w:r>
    </w:p>
    <w:p>
      <w:pPr>
        <w:pStyle w:val="684"/>
        <w:ind w:firstLine="437"/>
        <w:rPr>
          <w:color w:val="000000" w:themeColor="text1"/>
          <w:lang w:val="en-US"/>
          <w14:textFill>
            <w14:solidFill>
              <w14:schemeClr w14:val="tx1"/>
            </w14:solidFill>
          </w14:textFill>
        </w:rPr>
      </w:pPr>
      <w:r>
        <w:rPr>
          <w:rFonts w:hint="eastAsia"/>
          <w:color w:val="000000" w:themeColor="text1"/>
          <w:lang w:val="en-US"/>
          <w14:textFill>
            <w14:solidFill>
              <w14:schemeClr w14:val="tx1"/>
            </w14:solidFill>
          </w14:textFill>
        </w:rPr>
        <w:t>（1）疏浚</w:t>
      </w:r>
    </w:p>
    <w:p>
      <w:pPr>
        <w:pStyle w:val="684"/>
        <w:ind w:firstLine="437"/>
        <w:rPr>
          <w:color w:val="000000" w:themeColor="text1"/>
          <w:lang w:val="en-US"/>
          <w14:textFill>
            <w14:solidFill>
              <w14:schemeClr w14:val="tx1"/>
            </w14:solidFill>
          </w14:textFill>
        </w:rPr>
      </w:pPr>
      <w:r>
        <w:rPr>
          <w:rFonts w:hint="eastAsia"/>
          <w:color w:val="000000" w:themeColor="text1"/>
          <w:lang w:val="en-US"/>
          <w14:textFill>
            <w14:solidFill>
              <w14:schemeClr w14:val="tx1"/>
            </w14:solidFill>
          </w14:textFill>
        </w:rPr>
        <w:t>本次疏浚工程疏浚砂采用</w:t>
      </w:r>
      <w:r>
        <w:rPr>
          <w:color w:val="000000" w:themeColor="text1"/>
          <w:lang w:val="en-US"/>
          <w14:textFill>
            <w14:solidFill>
              <w14:schemeClr w14:val="tx1"/>
            </w14:solidFill>
          </w14:textFill>
        </w:rPr>
        <w:t>13m</w:t>
      </w:r>
      <w:r>
        <w:rPr>
          <w:color w:val="000000" w:themeColor="text1"/>
          <w:vertAlign w:val="superscript"/>
          <w:lang w:val="en-US"/>
          <w14:textFill>
            <w14:solidFill>
              <w14:schemeClr w14:val="tx1"/>
            </w14:solidFill>
          </w14:textFill>
        </w:rPr>
        <w:t>3</w:t>
      </w:r>
      <w:r>
        <w:rPr>
          <w:color w:val="000000" w:themeColor="text1"/>
          <w:lang w:val="en-US"/>
          <w14:textFill>
            <w14:solidFill>
              <w14:schemeClr w14:val="tx1"/>
            </w14:solidFill>
          </w14:textFill>
        </w:rPr>
        <w:t>抓斗式挖泥船作业</w:t>
      </w:r>
      <w:r>
        <w:rPr>
          <w:rFonts w:hint="eastAsia"/>
          <w:color w:val="000000" w:themeColor="text1"/>
          <w:lang w:val="en-US"/>
          <w14:textFill>
            <w14:solidFill>
              <w14:schemeClr w14:val="tx1"/>
            </w14:solidFill>
          </w14:textFill>
        </w:rPr>
        <w:t>，疏浚土采用</w:t>
      </w:r>
      <w:r>
        <w:rPr>
          <w:color w:val="000000" w:themeColor="text1"/>
          <w14:textFill>
            <w14:solidFill>
              <w14:schemeClr w14:val="tx1"/>
            </w14:solidFill>
          </w14:textFill>
        </w:rPr>
        <w:t>1450m³/h</w:t>
      </w:r>
      <w:r>
        <w:rPr>
          <w:rFonts w:hint="eastAsia"/>
          <w:color w:val="000000" w:themeColor="text1"/>
          <w14:textFill>
            <w14:solidFill>
              <w14:schemeClr w14:val="tx1"/>
            </w14:solidFill>
          </w14:textFill>
        </w:rPr>
        <w:t>绞吸式挖泥船作业</w:t>
      </w:r>
      <w:r>
        <w:rPr>
          <w:color w:val="000000" w:themeColor="text1"/>
          <w:lang w:val="en-US"/>
          <w14:textFill>
            <w14:solidFill>
              <w14:schemeClr w14:val="tx1"/>
            </w14:solidFill>
          </w14:textFill>
        </w:rPr>
        <w:t>，其产生的污染物为悬浮物，主要在抓斗、</w:t>
      </w:r>
      <w:r>
        <w:rPr>
          <w:rFonts w:hint="eastAsia"/>
          <w:color w:val="000000" w:themeColor="text1"/>
          <w14:textFill>
            <w14:solidFill>
              <w14:schemeClr w14:val="tx1"/>
            </w14:solidFill>
          </w14:textFill>
        </w:rPr>
        <w:t>绞刀</w:t>
      </w:r>
      <w:r>
        <w:rPr>
          <w:color w:val="000000" w:themeColor="text1"/>
          <w:lang w:val="en-US"/>
          <w14:textFill>
            <w14:solidFill>
              <w14:schemeClr w14:val="tx1"/>
            </w14:solidFill>
          </w14:textFill>
        </w:rPr>
        <w:t>扰动底层和抓斗上升过程中的泥水溢流引起。</w:t>
      </w:r>
    </w:p>
    <w:p>
      <w:pPr>
        <w:pStyle w:val="684"/>
        <w:ind w:firstLine="437"/>
        <w:rPr>
          <w:color w:val="000000" w:themeColor="text1"/>
          <w:lang w:val="en-US"/>
          <w14:textFill>
            <w14:solidFill>
              <w14:schemeClr w14:val="tx1"/>
            </w14:solidFill>
          </w14:textFill>
        </w:rPr>
      </w:pPr>
      <w:r>
        <w:rPr>
          <w:rFonts w:hint="eastAsia"/>
          <w:color w:val="000000" w:themeColor="text1"/>
          <w:lang w:val="en-US"/>
          <w14:textFill>
            <w14:solidFill>
              <w14:schemeClr w14:val="tx1"/>
            </w14:solidFill>
          </w14:textFill>
        </w:rPr>
        <w:t>根据2.5.1节工程分析，抓斗式挖泥船疏浚产生的悬浮物源强约为12.59t/h（3.49 kg/s），</w:t>
      </w:r>
      <w:r>
        <w:rPr>
          <w:color w:val="000000" w:themeColor="text1"/>
          <w14:textFill>
            <w14:solidFill>
              <w14:schemeClr w14:val="tx1"/>
            </w14:solidFill>
          </w14:textFill>
        </w:rPr>
        <w:t>绞吸船</w:t>
      </w:r>
      <w:r>
        <w:rPr>
          <w:rFonts w:hint="eastAsia"/>
          <w:color w:val="000000" w:themeColor="text1"/>
          <w14:textFill>
            <w14:solidFill>
              <w14:schemeClr w14:val="tx1"/>
            </w14:solidFill>
          </w14:textFill>
        </w:rPr>
        <w:t>式</w:t>
      </w:r>
      <w:r>
        <w:rPr>
          <w:color w:val="000000" w:themeColor="text1"/>
          <w14:textFill>
            <w14:solidFill>
              <w14:schemeClr w14:val="tx1"/>
            </w14:solidFill>
          </w14:textFill>
        </w:rPr>
        <w:t>挖泥船产生的悬浮</w:t>
      </w:r>
      <w:r>
        <w:rPr>
          <w:rFonts w:hint="eastAsia"/>
          <w:color w:val="000000" w:themeColor="text1"/>
          <w14:textFill>
            <w14:solidFill>
              <w14:schemeClr w14:val="tx1"/>
            </w14:solidFill>
          </w14:textFill>
        </w:rPr>
        <w:t>物</w:t>
      </w:r>
      <w:r>
        <w:rPr>
          <w:color w:val="000000" w:themeColor="text1"/>
          <w14:textFill>
            <w14:solidFill>
              <w14:schemeClr w14:val="tx1"/>
            </w14:solidFill>
          </w14:textFill>
        </w:rPr>
        <w:t>源强</w:t>
      </w:r>
      <w:r>
        <w:rPr>
          <w:rFonts w:hint="eastAsia"/>
          <w:color w:val="000000" w:themeColor="text1"/>
          <w14:textFill>
            <w14:solidFill>
              <w14:schemeClr w14:val="tx1"/>
            </w14:solidFill>
          </w14:textFill>
        </w:rPr>
        <w:t>为26.65</w:t>
      </w:r>
      <w:r>
        <w:rPr>
          <w:color w:val="000000" w:themeColor="text1"/>
          <w14:textFill>
            <w14:solidFill>
              <w14:schemeClr w14:val="tx1"/>
            </w14:solidFill>
          </w14:textFill>
        </w:rPr>
        <w:t>t/h</w:t>
      </w:r>
      <w:r>
        <w:rPr>
          <w:rFonts w:hint="eastAsia"/>
          <w:color w:val="000000" w:themeColor="text1"/>
          <w14:textFill>
            <w14:solidFill>
              <w14:schemeClr w14:val="tx1"/>
            </w14:solidFill>
          </w14:textFill>
        </w:rPr>
        <w:t>（7.41</w:t>
      </w:r>
      <w:r>
        <w:rPr>
          <w:color w:val="000000" w:themeColor="text1"/>
          <w14:textFill>
            <w14:solidFill>
              <w14:schemeClr w14:val="tx1"/>
            </w14:solidFill>
          </w14:textFill>
        </w:rPr>
        <w:t>kg/s</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。本项目施工期两种挖泥船不同时使用，选取悬浮物源强最大值</w:t>
      </w:r>
      <w:r>
        <w:rPr>
          <w:rFonts w:hint="eastAsia"/>
          <w:color w:val="000000" w:themeColor="text1"/>
          <w:lang w:val="en-US"/>
          <w14:textFill>
            <w14:solidFill>
              <w14:schemeClr w14:val="tx1"/>
            </w14:solidFill>
          </w14:textFill>
        </w:rPr>
        <w:t>7.41 kg/s作为本次预测悬浮物源强。</w:t>
      </w:r>
    </w:p>
    <w:p>
      <w:pPr>
        <w:pStyle w:val="684"/>
        <w:ind w:firstLine="437"/>
        <w:rPr>
          <w:color w:val="000000" w:themeColor="text1"/>
          <w:lang w:val="en-US"/>
          <w14:textFill>
            <w14:solidFill>
              <w14:schemeClr w14:val="tx1"/>
            </w14:solidFill>
          </w14:textFill>
        </w:rPr>
      </w:pPr>
      <w:r>
        <w:rPr>
          <w:color w:val="000000" w:themeColor="text1"/>
          <w:lang w:val="en-US"/>
          <w14:textFill>
            <w14:solidFill>
              <w14:schemeClr w14:val="tx1"/>
            </w14:solidFill>
          </w14:textFill>
        </w:rPr>
        <w:t>（2）</w:t>
      </w:r>
      <w:r>
        <w:rPr>
          <w:rFonts w:hint="eastAsia"/>
          <w:color w:val="000000" w:themeColor="text1"/>
          <w:lang w:val="en-US"/>
          <w14:textFill>
            <w14:solidFill>
              <w14:schemeClr w14:val="tx1"/>
            </w14:solidFill>
          </w14:textFill>
        </w:rPr>
        <w:t>炸礁</w:t>
      </w:r>
      <w:r>
        <w:rPr>
          <w:color w:val="000000" w:themeColor="text1"/>
          <w:lang w:val="en-US"/>
          <w14:textFill>
            <w14:solidFill>
              <w14:schemeClr w14:val="tx1"/>
            </w14:solidFill>
          </w14:textFill>
        </w:rPr>
        <w:t>源强</w:t>
      </w:r>
    </w:p>
    <w:p>
      <w:pPr>
        <w:pStyle w:val="684"/>
        <w:ind w:firstLine="437"/>
        <w:rPr>
          <w:color w:val="000000" w:themeColor="text1"/>
          <w:lang w:bidi="en-US"/>
          <w14:textFill>
            <w14:solidFill>
              <w14:schemeClr w14:val="tx1"/>
            </w14:solidFill>
          </w14:textFill>
        </w:rPr>
      </w:pPr>
      <w:r>
        <w:rPr>
          <w:color w:val="000000" w:themeColor="text1"/>
          <w:lang w:bidi="en-US"/>
          <w14:textFill>
            <w14:solidFill>
              <w14:schemeClr w14:val="tx1"/>
            </w14:solidFill>
          </w14:textFill>
        </w:rPr>
        <w:t>炸礁工程SS 的产生量与水下工程施工的工程量、施工方式、施工强度、底质组成等有关。航道水域底质主要以粘土、砂及岩石为主：炸礁（石）采用100 型潜孔钻机炸礁船，以</w:t>
      </w:r>
      <w:r>
        <w:rPr>
          <w:rFonts w:hint="eastAsia"/>
          <w:color w:val="000000" w:themeColor="text1"/>
          <w:lang w:bidi="en-US"/>
          <w14:textFill>
            <w14:solidFill>
              <w14:schemeClr w14:val="tx1"/>
            </w14:solidFill>
          </w14:textFill>
        </w:rPr>
        <w:t>单孔</w:t>
      </w:r>
      <w:r>
        <w:rPr>
          <w:color w:val="000000" w:themeColor="text1"/>
          <w:lang w:bidi="en-US"/>
          <w14:textFill>
            <w14:solidFill>
              <w14:schemeClr w14:val="tx1"/>
            </w14:solidFill>
          </w14:textFill>
        </w:rPr>
        <w:t>炸礁量为</w:t>
      </w:r>
      <w:r>
        <w:rPr>
          <w:rFonts w:hint="eastAsia"/>
          <w:color w:val="000000" w:themeColor="text1"/>
          <w:lang w:bidi="en-US"/>
          <w14:textFill>
            <w14:solidFill>
              <w14:schemeClr w14:val="tx1"/>
            </w14:solidFill>
          </w14:textFill>
        </w:rPr>
        <w:t>250</w:t>
      </w:r>
      <w:r>
        <w:rPr>
          <w:color w:val="000000" w:themeColor="text1"/>
          <w:lang w:bidi="en-US"/>
          <w14:textFill>
            <w14:solidFill>
              <w14:schemeClr w14:val="tx1"/>
            </w14:solidFill>
          </w14:textFill>
        </w:rPr>
        <w:t>m</w:t>
      </w:r>
      <w:r>
        <w:rPr>
          <w:color w:val="000000" w:themeColor="text1"/>
          <w:vertAlign w:val="superscript"/>
          <w:lang w:bidi="en-US"/>
          <w14:textFill>
            <w14:solidFill>
              <w14:schemeClr w14:val="tx1"/>
            </w14:solidFill>
          </w14:textFill>
        </w:rPr>
        <w:t>3</w:t>
      </w:r>
      <w:r>
        <w:rPr>
          <w:color w:val="000000" w:themeColor="text1"/>
          <w:lang w:bidi="en-US"/>
          <w14:textFill>
            <w14:solidFill>
              <w14:schemeClr w14:val="tx1"/>
            </w14:solidFill>
          </w14:textFill>
        </w:rPr>
        <w:t>计，水下炸礁SS 瞬时源强为</w:t>
      </w:r>
      <w:r>
        <w:rPr>
          <w:rFonts w:hint="eastAsia"/>
          <w:color w:val="000000" w:themeColor="text1"/>
          <w:lang w:bidi="en-US"/>
          <w14:textFill>
            <w14:solidFill>
              <w14:schemeClr w14:val="tx1"/>
            </w14:solidFill>
          </w14:textFill>
        </w:rPr>
        <w:t>12.5</w:t>
      </w:r>
      <w:r>
        <w:rPr>
          <w:rFonts w:hint="eastAsia"/>
          <w:color w:val="000000" w:themeColor="text1"/>
          <w14:textFill>
            <w14:solidFill>
              <w14:schemeClr w14:val="tx1"/>
            </w14:solidFill>
          </w14:textFill>
        </w:rPr>
        <w:t xml:space="preserve"> m</w:t>
      </w:r>
      <w:r>
        <w:rPr>
          <w:rFonts w:hint="eastAsia"/>
          <w:color w:val="000000" w:themeColor="text1"/>
          <w:vertAlign w:val="superscript"/>
          <w14:textFill>
            <w14:solidFill>
              <w14:schemeClr w14:val="tx1"/>
            </w14:solidFill>
          </w14:textFill>
        </w:rPr>
        <w:t>3</w:t>
      </w:r>
      <w:r>
        <w:rPr>
          <w:color w:val="000000" w:themeColor="text1"/>
          <w:lang w:bidi="en-US"/>
          <w14:textFill>
            <w14:solidFill>
              <w14:schemeClr w14:val="tx1"/>
            </w14:solidFill>
          </w14:textFill>
        </w:rPr>
        <w:t>。</w:t>
      </w:r>
    </w:p>
    <w:p>
      <w:pPr>
        <w:pStyle w:val="684"/>
        <w:ind w:firstLine="437"/>
        <w:rPr>
          <w:color w:val="000000" w:themeColor="text1"/>
          <w:lang w:bidi="en-US"/>
          <w14:textFill>
            <w14:solidFill>
              <w14:schemeClr w14:val="tx1"/>
            </w14:solidFill>
          </w14:textFill>
        </w:rPr>
      </w:pPr>
      <w:r>
        <w:rPr>
          <w:rFonts w:hint="eastAsia"/>
          <w:color w:val="000000" w:themeColor="text1"/>
          <w:lang w:bidi="en-US"/>
          <w14:textFill>
            <w14:solidFill>
              <w14:schemeClr w14:val="tx1"/>
            </w14:solidFill>
          </w14:textFill>
        </w:rPr>
        <w:t>（3）溢流口源强</w:t>
      </w:r>
    </w:p>
    <w:p>
      <w:pPr>
        <w:pStyle w:val="684"/>
        <w:ind w:firstLine="437"/>
        <w:rPr>
          <w:color w:val="000000" w:themeColor="text1"/>
          <w:lang w:val="en-US" w:bidi="en-US"/>
          <w14:textFill>
            <w14:solidFill>
              <w14:schemeClr w14:val="tx1"/>
            </w14:solidFill>
          </w14:textFill>
        </w:rPr>
      </w:pPr>
      <w:r>
        <w:rPr>
          <w:rFonts w:hint="eastAsia"/>
          <w:color w:val="000000" w:themeColor="text1"/>
          <w:lang w:val="en-US" w:bidi="en-US"/>
          <w14:textFill>
            <w14:solidFill>
              <w14:schemeClr w14:val="tx1"/>
            </w14:solidFill>
          </w14:textFill>
        </w:rPr>
        <w:t>溢流口悬浮物源强取 0.06kg/s。</w:t>
      </w:r>
    </w:p>
    <w:p>
      <w:pPr>
        <w:ind w:firstLine="438" w:firstLineChars="200"/>
        <w:rPr>
          <w:b/>
          <w:color w:val="000000" w:themeColor="text1"/>
          <w:kern w:val="0"/>
          <w:u w:val="single"/>
          <w14:textFill>
            <w14:solidFill>
              <w14:schemeClr w14:val="tx1"/>
            </w14:solidFill>
          </w14:textFill>
        </w:rPr>
      </w:pPr>
      <w:r>
        <w:rPr>
          <w:rFonts w:hint="eastAsia"/>
          <w:b/>
          <w:color w:val="000000" w:themeColor="text1"/>
          <w:kern w:val="0"/>
          <w:u w:val="single"/>
          <w14:textFill>
            <w14:solidFill>
              <w14:schemeClr w14:val="tx1"/>
            </w14:solidFill>
          </w14:textFill>
        </w:rPr>
        <w:t>（4）消浪护岸基槽开挖</w:t>
      </w:r>
    </w:p>
    <w:p>
      <w:pPr>
        <w:pStyle w:val="684"/>
        <w:ind w:firstLine="437"/>
        <w:rPr>
          <w:color w:val="000000" w:themeColor="text1"/>
          <w:u w:val="single"/>
          <w:lang w:val="en-US" w:bidi="en-US"/>
          <w14:textFill>
            <w14:solidFill>
              <w14:schemeClr w14:val="tx1"/>
            </w14:solidFill>
          </w14:textFill>
        </w:rPr>
      </w:pPr>
      <w:r>
        <w:rPr>
          <w:rFonts w:hint="eastAsia"/>
          <w:color w:val="000000" w:themeColor="text1"/>
          <w:u w:val="single"/>
          <w14:textFill>
            <w14:solidFill>
              <w14:schemeClr w14:val="tx1"/>
            </w14:solidFill>
          </w14:textFill>
        </w:rPr>
        <w:t>消浪护岸基槽开挖悬浮物源强为7.41kg/s。</w:t>
      </w:r>
    </w:p>
    <w:p>
      <w:pPr>
        <w:pStyle w:val="452"/>
        <w:ind w:firstLine="437"/>
        <w:rPr>
          <w:color w:val="000000" w:themeColor="text1"/>
          <w14:textFill>
            <w14:solidFill>
              <w14:schemeClr w14:val="tx1"/>
            </w14:solidFill>
          </w14:textFill>
        </w:rPr>
      </w:pPr>
      <w:r>
        <w:rPr>
          <w:color w:val="000000" w:themeColor="text1"/>
          <w14:textFill>
            <w14:solidFill>
              <w14:schemeClr w14:val="tx1"/>
            </w14:solidFill>
          </w14:textFill>
        </w:rPr>
        <w:t>本项目施工期</w:t>
      </w:r>
      <w:r>
        <w:rPr>
          <w:rFonts w:hint="eastAsia"/>
          <w:color w:val="000000" w:themeColor="text1"/>
          <w14:textFill>
            <w14:solidFill>
              <w14:schemeClr w14:val="tx1"/>
            </w14:solidFill>
          </w14:textFill>
        </w:rPr>
        <w:t>疏浚区域、炸礁区域和溢流口位置</w:t>
      </w:r>
      <w:r>
        <w:rPr>
          <w:color w:val="000000" w:themeColor="text1"/>
          <w14:textFill>
            <w14:solidFill>
              <w14:schemeClr w14:val="tx1"/>
            </w14:solidFill>
          </w14:textFill>
        </w:rPr>
        <w:t>见图</w:t>
      </w:r>
      <w:r>
        <w:rPr>
          <w:rFonts w:hint="eastAsia"/>
          <w:color w:val="000000" w:themeColor="text1"/>
          <w14:textFill>
            <w14:solidFill>
              <w14:schemeClr w14:val="tx1"/>
            </w14:solidFill>
          </w14:textFill>
        </w:rPr>
        <w:t>4.1-28</w:t>
      </w:r>
      <w:r>
        <w:rPr>
          <w:color w:val="000000" w:themeColor="text1"/>
          <w14:textFill>
            <w14:solidFill>
              <w14:schemeClr w14:val="tx1"/>
            </w14:solidFill>
          </w14:textFill>
        </w:rPr>
        <w:t>。</w:t>
      </w:r>
    </w:p>
    <w:p>
      <w:pPr>
        <w:ind w:firstLine="438" w:firstLineChars="200"/>
        <w:rPr>
          <w:color w:val="000000" w:themeColor="text1"/>
          <w14:textFill>
            <w14:solidFill>
              <w14:schemeClr w14:val="tx1"/>
            </w14:solidFill>
          </w14:textFill>
        </w:rPr>
      </w:pPr>
      <w:r>
        <w:rPr>
          <w:rFonts w:hAnsi="宋体"/>
          <w:color w:val="000000" w:themeColor="text1"/>
          <w14:textFill>
            <w14:solidFill>
              <w14:schemeClr w14:val="tx1"/>
            </w14:solidFill>
          </w14:textFill>
        </w:rPr>
        <w:t>为得到悬浮泥沙可能影响的最大范围，</w:t>
      </w:r>
      <w:r>
        <w:rPr>
          <w:rFonts w:hint="eastAsia" w:hAnsi="宋体"/>
          <w:color w:val="000000" w:themeColor="text1"/>
          <w14:textFill>
            <w14:solidFill>
              <w14:schemeClr w14:val="tx1"/>
            </w14:solidFill>
          </w14:textFill>
        </w:rPr>
        <w:t>将疏浚区域概化为悬沙控制</w:t>
      </w:r>
      <w:r>
        <w:rPr>
          <w:rFonts w:hAnsi="宋体"/>
          <w:color w:val="000000" w:themeColor="text1"/>
          <w14:textFill>
            <w14:solidFill>
              <w14:schemeClr w14:val="tx1"/>
            </w14:solidFill>
          </w14:textFill>
        </w:rPr>
        <w:t>点，以各控制点的全潮时最大扩散范围为依据，判定出悬浮物扩散的最大外包络线。</w:t>
      </w:r>
      <w:r>
        <w:rPr>
          <w:rFonts w:hint="eastAsia"/>
          <w:color w:val="000000" w:themeColor="text1"/>
          <w14:textFill>
            <w14:solidFill>
              <w14:schemeClr w14:val="tx1"/>
            </w14:solidFill>
          </w14:textFill>
        </w:rPr>
        <w:t>各节点浓度增量指的是整个疏浚、炸礁、护岸基槽开挖和溢流口排水过程中该节点上的最高的瞬时浓度。浓度增量等值线是各点最高瞬时浓度的连线。</w:t>
      </w:r>
    </w:p>
    <w:p>
      <w:pPr>
        <w:pStyle w:val="684"/>
        <w:ind w:firstLine="0" w:firstLineChars="0"/>
        <w:jc w:val="center"/>
        <w:rPr>
          <w:color w:val="000000" w:themeColor="text1"/>
          <w14:textFill>
            <w14:solidFill>
              <w14:schemeClr w14:val="tx1"/>
            </w14:solidFill>
          </w14:textFill>
        </w:rPr>
      </w:pPr>
      <w:r>
        <w:rPr>
          <w:color w:val="000000" w:themeColor="text1"/>
          <w:lang w:val="en-US"/>
          <w14:textFill>
            <w14:solidFill>
              <w14:schemeClr w14:val="tx1"/>
            </w14:solidFill>
          </w14:textFill>
        </w:rPr>
        <mc:AlternateContent>
          <mc:Choice Requires="wps">
            <w:drawing>
              <wp:anchor distT="0" distB="0" distL="114300" distR="114300" simplePos="0" relativeHeight="251660288" behindDoc="0" locked="0" layoutInCell="1" allowOverlap="1">
                <wp:simplePos x="0" y="0"/>
                <wp:positionH relativeFrom="column">
                  <wp:posOffset>4384040</wp:posOffset>
                </wp:positionH>
                <wp:positionV relativeFrom="paragraph">
                  <wp:posOffset>1179195</wp:posOffset>
                </wp:positionV>
                <wp:extent cx="588010" cy="80645"/>
                <wp:effectExtent l="0" t="0" r="22225" b="15240"/>
                <wp:wrapNone/>
                <wp:docPr id="2067858407" name="矩形 1"/>
                <wp:cNvGraphicFramePr/>
                <a:graphic xmlns:a="http://schemas.openxmlformats.org/drawingml/2006/main">
                  <a:graphicData uri="http://schemas.microsoft.com/office/word/2010/wordprocessingShape">
                    <wps:wsp>
                      <wps:cNvSpPr/>
                      <wps:spPr>
                        <a:xfrm>
                          <a:off x="0" y="0"/>
                          <a:ext cx="587829" cy="80387"/>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矩形 1" o:spid="_x0000_s1026" o:spt="1" style="position:absolute;left:0pt;margin-left:345.2pt;margin-top:92.85pt;height:6.35pt;width:46.3pt;z-index:251660288;v-text-anchor:middle;mso-width-relative:page;mso-height-relative:page;" fillcolor="#FFFFFF [3212]" filled="t" stroked="t" coordsize="21600,21600" o:gfxdata="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">
                <v:fill on="t" focussize="0,0"/>
                <v:stroke weight="1pt" color="#FFFFFF [3212]" miterlimit="8" joinstyle="miter"/>
                <v:imagedata o:title=""/>
                <o:lock v:ext="edit" aspectratio="f"/>
              </v:rect>
            </w:pict>
          </mc:Fallback>
        </mc:AlternateContent>
      </w:r>
    </w:p>
    <w:p>
      <w:pPr>
        <w:pStyle w:val="553"/>
        <w:rPr>
          <w:color w:val="000000" w:themeColor="text1"/>
          <w14:textFill>
            <w14:solidFill>
              <w14:schemeClr w14:val="tx1"/>
            </w14:solidFill>
          </w14:textFill>
        </w:rPr>
      </w:pPr>
      <w:r>
        <w:rPr>
          <w:color w:val="000000" w:themeColor="text1"/>
          <w14:textFill>
            <w14:solidFill>
              <w14:schemeClr w14:val="tx1"/>
            </w14:solidFill>
          </w14:textFill>
        </w:rPr>
        <w:t>疏浚区域、炸礁区域</w:t>
      </w:r>
      <w:r>
        <w:rPr>
          <w:rFonts w:hint="eastAsia"/>
          <w:color w:val="000000" w:themeColor="text1"/>
          <w14:textFill>
            <w14:solidFill>
              <w14:schemeClr w14:val="tx1"/>
            </w14:solidFill>
          </w14:textFill>
        </w:rPr>
        <w:t>、溢流口、基槽开挖区域</w:t>
      </w:r>
      <w:r>
        <w:rPr>
          <w:color w:val="000000" w:themeColor="text1"/>
          <w14:textFill>
            <w14:solidFill>
              <w14:schemeClr w14:val="tx1"/>
            </w14:solidFill>
          </w14:textFill>
        </w:rPr>
        <w:t>示意图</w:t>
      </w:r>
    </w:p>
    <w:p>
      <w:pPr>
        <w:pStyle w:val="684"/>
        <w:ind w:firstLine="439"/>
        <w:rPr>
          <w:b/>
          <w:bCs/>
          <w:snapToGrid w:val="0"/>
          <w:color w:val="000000" w:themeColor="text1"/>
          <w14:textFill>
            <w14:solidFill>
              <w14:schemeClr w14:val="tx1"/>
            </w14:solidFill>
          </w14:textFill>
        </w:rPr>
      </w:pPr>
      <w:r>
        <w:rPr>
          <w:rFonts w:hint="eastAsia"/>
          <w:b/>
          <w:bCs/>
          <w:snapToGrid w:val="0"/>
          <w:color w:val="000000" w:themeColor="text1"/>
          <w14:textFill>
            <w14:solidFill>
              <w14:schemeClr w14:val="tx1"/>
            </w14:solidFill>
          </w14:textFill>
        </w:rPr>
        <w:t>3</w:t>
      </w:r>
      <w:r>
        <w:rPr>
          <w:b/>
          <w:bCs/>
          <w:snapToGrid w:val="0"/>
          <w:color w:val="000000" w:themeColor="text1"/>
          <w14:textFill>
            <w14:solidFill>
              <w14:schemeClr w14:val="tx1"/>
            </w14:solidFill>
          </w14:textFill>
        </w:rPr>
        <w:t>、悬浮物影响范围预测与分析</w:t>
      </w:r>
    </w:p>
    <w:p>
      <w:pPr>
        <w:pStyle w:val="684"/>
        <w:ind w:firstLine="437"/>
        <w:rPr>
          <w:bCs/>
          <w:color w:val="000000" w:themeColor="text1"/>
          <w:lang w:val="en-US"/>
          <w14:textFill>
            <w14:solidFill>
              <w14:schemeClr w14:val="tx1"/>
            </w14:solidFill>
          </w14:textFill>
        </w:rPr>
      </w:pPr>
      <w:r>
        <w:rPr>
          <w:bCs/>
          <w:color w:val="000000" w:themeColor="text1"/>
          <w:lang w:val="en-US"/>
          <w14:textFill>
            <w14:solidFill>
              <w14:schemeClr w14:val="tx1"/>
            </w14:solidFill>
          </w14:textFill>
        </w:rPr>
        <w:t>自本项目施工作业的初始时刻起，源点附近由于沉降、掺混过程所形成的悬浮泥沙混浊云团，在海流作用下扩散迁移形成“污染区”。由于不停作业，云团核心浓度（中心含沙量）随着时间的推移而不断升高，云团面积不断扩大。在初始阶段，这一过程演变很快，但经过一定时间后，浓度随时间的变化变缓，指某一时间不再升高，即达到所谓“平衡态”。它表征了各种因素（源强、自净能力）对环境水质的影响程度。潮混合使核心浓度达到平衡态的时间，决定于水域的地形特征和流场的强弱以及流态。通常，水域小，流场强，达到平衡态的时间就短。</w:t>
      </w:r>
    </w:p>
    <w:p>
      <w:pPr>
        <w:pStyle w:val="684"/>
        <w:ind w:firstLine="437"/>
        <w:rPr>
          <w:color w:val="000000" w:themeColor="text1"/>
          <w:lang w:val="en-US"/>
          <w14:textFill>
            <w14:solidFill>
              <w14:schemeClr w14:val="tx1"/>
            </w14:solidFill>
          </w14:textFill>
        </w:rPr>
      </w:pPr>
      <w:r>
        <w:rPr>
          <w:color w:val="000000" w:themeColor="text1"/>
          <w:lang w:val="en-US"/>
          <w14:textFill>
            <w14:solidFill>
              <w14:schemeClr w14:val="tx1"/>
            </w14:solidFill>
          </w14:textFill>
        </w:rPr>
        <w:t>本项目</w:t>
      </w:r>
      <w:r>
        <w:rPr>
          <w:rFonts w:hint="eastAsia"/>
          <w:color w:val="000000" w:themeColor="text1"/>
          <w:lang w:val="en-US"/>
          <w14:textFill>
            <w14:solidFill>
              <w14:schemeClr w14:val="tx1"/>
            </w14:solidFill>
          </w14:textFill>
        </w:rPr>
        <w:t>疏浚</w:t>
      </w:r>
      <w:r>
        <w:rPr>
          <w:color w:val="000000" w:themeColor="text1"/>
          <w:lang w:val="en-US"/>
          <w14:textFill>
            <w14:solidFill>
              <w14:schemeClr w14:val="tx1"/>
            </w14:solidFill>
          </w14:textFill>
        </w:rPr>
        <w:t>时悬浮泥沙的最大影响包络线见图</w:t>
      </w:r>
      <w:r>
        <w:rPr>
          <w:rFonts w:hint="eastAsia"/>
          <w:color w:val="000000" w:themeColor="text1"/>
          <w:lang w:val="en-US"/>
          <w14:textFill>
            <w14:solidFill>
              <w14:schemeClr w14:val="tx1"/>
            </w14:solidFill>
          </w14:textFill>
        </w:rPr>
        <w:t>4.1-29</w:t>
      </w:r>
      <w:r>
        <w:rPr>
          <w:color w:val="000000" w:themeColor="text1"/>
          <w:lang w:val="en-US"/>
          <w14:textFill>
            <w14:solidFill>
              <w14:schemeClr w14:val="tx1"/>
            </w14:solidFill>
          </w14:textFill>
        </w:rPr>
        <w:t>，从图中可以看出，悬沙的包络线呈N</w:t>
      </w:r>
      <w:r>
        <w:rPr>
          <w:rFonts w:hint="eastAsia"/>
          <w:color w:val="000000" w:themeColor="text1"/>
          <w:lang w:val="en-US"/>
          <w14:textFill>
            <w14:solidFill>
              <w14:schemeClr w14:val="tx1"/>
            </w14:solidFill>
          </w14:textFill>
        </w:rPr>
        <w:t>W</w:t>
      </w:r>
      <w:r>
        <w:rPr>
          <w:color w:val="000000" w:themeColor="text1"/>
          <w:lang w:val="en-US"/>
          <w14:textFill>
            <w14:solidFill>
              <w14:schemeClr w14:val="tx1"/>
            </w14:solidFill>
          </w14:textFill>
        </w:rPr>
        <w:t>-S</w:t>
      </w:r>
      <w:r>
        <w:rPr>
          <w:rFonts w:hint="eastAsia"/>
          <w:color w:val="000000" w:themeColor="text1"/>
          <w:lang w:val="en-US"/>
          <w14:textFill>
            <w14:solidFill>
              <w14:schemeClr w14:val="tx1"/>
            </w14:solidFill>
          </w14:textFill>
        </w:rPr>
        <w:t>E</w:t>
      </w:r>
      <w:r>
        <w:rPr>
          <w:color w:val="000000" w:themeColor="text1"/>
          <w:lang w:val="en-US"/>
          <w14:textFill>
            <w14:solidFill>
              <w14:schemeClr w14:val="tx1"/>
            </w14:solidFill>
          </w14:textFill>
        </w:rPr>
        <w:t>的带状分布，与涨落潮流态一致。</w:t>
      </w:r>
      <w:r>
        <w:rPr>
          <w:rFonts w:hint="eastAsia"/>
          <w:color w:val="000000" w:themeColor="text1"/>
          <w:lang w:val="en-US"/>
          <w14:textFill>
            <w14:solidFill>
              <w14:schemeClr w14:val="tx1"/>
            </w14:solidFill>
          </w14:textFill>
        </w:rPr>
        <w:t>疏浚</w:t>
      </w:r>
      <w:r>
        <w:rPr>
          <w:color w:val="000000" w:themeColor="text1"/>
          <w:lang w:val="en-US"/>
          <w14:textFill>
            <w14:solidFill>
              <w14:schemeClr w14:val="tx1"/>
            </w14:solidFill>
          </w14:textFill>
        </w:rPr>
        <w:t>时，10mg/L包络线S</w:t>
      </w:r>
      <w:r>
        <w:rPr>
          <w:rFonts w:hint="eastAsia"/>
          <w:color w:val="000000" w:themeColor="text1"/>
          <w:lang w:val="en-US"/>
          <w14:textFill>
            <w14:solidFill>
              <w14:schemeClr w14:val="tx1"/>
            </w14:solidFill>
          </w14:textFill>
        </w:rPr>
        <w:t>E</w:t>
      </w:r>
      <w:r>
        <w:rPr>
          <w:color w:val="000000" w:themeColor="text1"/>
          <w:lang w:val="en-US"/>
          <w14:textFill>
            <w14:solidFill>
              <w14:schemeClr w14:val="tx1"/>
            </w14:solidFill>
          </w14:textFill>
        </w:rPr>
        <w:t>方向的最大输移距离(以</w:t>
      </w:r>
      <w:r>
        <w:rPr>
          <w:rFonts w:hint="eastAsia"/>
          <w:color w:val="000000" w:themeColor="text1"/>
          <w:lang w:val="en-US"/>
          <w14:textFill>
            <w14:solidFill>
              <w14:schemeClr w14:val="tx1"/>
            </w14:solidFill>
          </w14:textFill>
        </w:rPr>
        <w:t>疏浚</w:t>
      </w:r>
      <w:r>
        <w:rPr>
          <w:color w:val="000000" w:themeColor="text1"/>
          <w:lang w:val="en-US"/>
          <w14:textFill>
            <w14:solidFill>
              <w14:schemeClr w14:val="tx1"/>
            </w14:solidFill>
          </w14:textFill>
        </w:rPr>
        <w:t>外缘线起算，下同)不超过</w:t>
      </w:r>
      <w:r>
        <w:rPr>
          <w:rFonts w:hint="eastAsia"/>
          <w:color w:val="000000" w:themeColor="text1"/>
          <w:lang w:val="en-US"/>
          <w14:textFill>
            <w14:solidFill>
              <w14:schemeClr w14:val="tx1"/>
            </w14:solidFill>
          </w14:textFill>
        </w:rPr>
        <w:t>2.3k</w:t>
      </w:r>
      <w:r>
        <w:rPr>
          <w:color w:val="000000" w:themeColor="text1"/>
          <w:lang w:val="en-US"/>
          <w14:textFill>
            <w14:solidFill>
              <w14:schemeClr w14:val="tx1"/>
            </w14:solidFill>
          </w14:textFill>
        </w:rPr>
        <w:t>m，N</w:t>
      </w:r>
      <w:r>
        <w:rPr>
          <w:rFonts w:hint="eastAsia"/>
          <w:color w:val="000000" w:themeColor="text1"/>
          <w:lang w:val="en-US"/>
          <w14:textFill>
            <w14:solidFill>
              <w14:schemeClr w14:val="tx1"/>
            </w14:solidFill>
          </w14:textFill>
        </w:rPr>
        <w:t>W</w:t>
      </w:r>
      <w:r>
        <w:rPr>
          <w:color w:val="000000" w:themeColor="text1"/>
          <w:lang w:val="en-US"/>
          <w14:textFill>
            <w14:solidFill>
              <w14:schemeClr w14:val="tx1"/>
            </w14:solidFill>
          </w14:textFill>
        </w:rPr>
        <w:t>方向的最大输移距离不超过</w:t>
      </w:r>
      <w:r>
        <w:rPr>
          <w:rFonts w:hint="eastAsia"/>
          <w:color w:val="000000" w:themeColor="text1"/>
          <w:lang w:val="en-US"/>
          <w14:textFill>
            <w14:solidFill>
              <w14:schemeClr w14:val="tx1"/>
            </w14:solidFill>
          </w14:textFill>
        </w:rPr>
        <w:t>2.0</w:t>
      </w:r>
      <w:r>
        <w:rPr>
          <w:color w:val="000000" w:themeColor="text1"/>
          <w:lang w:val="en-US"/>
          <w14:textFill>
            <w14:solidFill>
              <w14:schemeClr w14:val="tx1"/>
            </w14:solidFill>
          </w14:textFill>
        </w:rPr>
        <w:t>km</w:t>
      </w:r>
      <w:r>
        <w:rPr>
          <w:rFonts w:hint="eastAsia"/>
          <w:color w:val="000000" w:themeColor="text1"/>
          <w:lang w:val="en-US"/>
          <w14:textFill>
            <w14:solidFill>
              <w14:schemeClr w14:val="tx1"/>
            </w14:solidFill>
          </w14:textFill>
        </w:rPr>
        <w:t>；</w:t>
      </w:r>
      <w:r>
        <w:rPr>
          <w:color w:val="000000" w:themeColor="text1"/>
          <w:lang w:val="en-US"/>
          <w14:textFill>
            <w14:solidFill>
              <w14:schemeClr w14:val="tx1"/>
            </w14:solidFill>
          </w14:textFill>
        </w:rPr>
        <w:t>1</w:t>
      </w:r>
      <w:r>
        <w:rPr>
          <w:rFonts w:hint="eastAsia"/>
          <w:color w:val="000000" w:themeColor="text1"/>
          <w:lang w:val="en-US"/>
          <w14:textFill>
            <w14:solidFill>
              <w14:schemeClr w14:val="tx1"/>
            </w14:solidFill>
          </w14:textFill>
        </w:rPr>
        <w:t>0</w:t>
      </w:r>
      <w:r>
        <w:rPr>
          <w:color w:val="000000" w:themeColor="text1"/>
          <w:lang w:val="en-US"/>
          <w14:textFill>
            <w14:solidFill>
              <w14:schemeClr w14:val="tx1"/>
            </w14:solidFill>
          </w14:textFill>
        </w:rPr>
        <w:t>0mg/L包络线N</w:t>
      </w:r>
      <w:r>
        <w:rPr>
          <w:rFonts w:hint="eastAsia"/>
          <w:color w:val="000000" w:themeColor="text1"/>
          <w:lang w:val="en-US"/>
          <w14:textFill>
            <w14:solidFill>
              <w14:schemeClr w14:val="tx1"/>
            </w14:solidFill>
          </w14:textFill>
        </w:rPr>
        <w:t>W</w:t>
      </w:r>
      <w:r>
        <w:rPr>
          <w:color w:val="000000" w:themeColor="text1"/>
          <w:lang w:val="en-US"/>
          <w14:textFill>
            <w14:solidFill>
              <w14:schemeClr w14:val="tx1"/>
            </w14:solidFill>
          </w14:textFill>
        </w:rPr>
        <w:t>方向的最大输移距离不超过0.</w:t>
      </w:r>
      <w:r>
        <w:rPr>
          <w:rFonts w:hint="eastAsia"/>
          <w:color w:val="000000" w:themeColor="text1"/>
          <w:lang w:val="en-US"/>
          <w14:textFill>
            <w14:solidFill>
              <w14:schemeClr w14:val="tx1"/>
            </w14:solidFill>
          </w14:textFill>
        </w:rPr>
        <w:t>2</w:t>
      </w:r>
      <w:r>
        <w:rPr>
          <w:color w:val="000000" w:themeColor="text1"/>
          <w:lang w:val="en-US"/>
          <w14:textFill>
            <w14:solidFill>
              <w14:schemeClr w14:val="tx1"/>
            </w14:solidFill>
          </w14:textFill>
        </w:rPr>
        <w:t>km，S</w:t>
      </w:r>
      <w:r>
        <w:rPr>
          <w:rFonts w:hint="eastAsia"/>
          <w:color w:val="000000" w:themeColor="text1"/>
          <w:lang w:val="en-US"/>
          <w14:textFill>
            <w14:solidFill>
              <w14:schemeClr w14:val="tx1"/>
            </w14:solidFill>
          </w14:textFill>
        </w:rPr>
        <w:t>E</w:t>
      </w:r>
      <w:r>
        <w:rPr>
          <w:color w:val="000000" w:themeColor="text1"/>
          <w:lang w:val="en-US"/>
          <w14:textFill>
            <w14:solidFill>
              <w14:schemeClr w14:val="tx1"/>
            </w14:solidFill>
          </w14:textFill>
        </w:rPr>
        <w:t>方向的最大输移距离不超过</w:t>
      </w:r>
      <w:r>
        <w:rPr>
          <w:rFonts w:hint="eastAsia"/>
          <w:color w:val="000000" w:themeColor="text1"/>
          <w:lang w:val="en-US"/>
          <w14:textFill>
            <w14:solidFill>
              <w14:schemeClr w14:val="tx1"/>
            </w14:solidFill>
          </w14:textFill>
        </w:rPr>
        <w:t>0.25k</w:t>
      </w:r>
      <w:r>
        <w:rPr>
          <w:color w:val="000000" w:themeColor="text1"/>
          <w:lang w:val="en-US"/>
          <w14:textFill>
            <w14:solidFill>
              <w14:schemeClr w14:val="tx1"/>
            </w14:solidFill>
          </w14:textFill>
        </w:rPr>
        <w:t>m</w:t>
      </w:r>
      <w:r>
        <w:rPr>
          <w:rFonts w:hint="eastAsia"/>
          <w:color w:val="000000" w:themeColor="text1"/>
          <w:lang w:val="en-US"/>
          <w14:textFill>
            <w14:solidFill>
              <w14:schemeClr w14:val="tx1"/>
            </w14:solidFill>
          </w14:textFill>
        </w:rPr>
        <w:t>；</w:t>
      </w:r>
      <w:r>
        <w:rPr>
          <w:color w:val="000000" w:themeColor="text1"/>
          <w:lang w:val="en-US"/>
          <w14:textFill>
            <w14:solidFill>
              <w14:schemeClr w14:val="tx1"/>
            </w14:solidFill>
          </w14:textFill>
        </w:rPr>
        <w:t>150mg/L包络线N</w:t>
      </w:r>
      <w:r>
        <w:rPr>
          <w:rFonts w:hint="eastAsia"/>
          <w:color w:val="000000" w:themeColor="text1"/>
          <w:lang w:val="en-US"/>
          <w14:textFill>
            <w14:solidFill>
              <w14:schemeClr w14:val="tx1"/>
            </w14:solidFill>
          </w14:textFill>
        </w:rPr>
        <w:t>W</w:t>
      </w:r>
      <w:r>
        <w:rPr>
          <w:color w:val="000000" w:themeColor="text1"/>
          <w:lang w:val="en-US"/>
          <w14:textFill>
            <w14:solidFill>
              <w14:schemeClr w14:val="tx1"/>
            </w14:solidFill>
          </w14:textFill>
        </w:rPr>
        <w:t>方向的最大输移距离不超过0.</w:t>
      </w:r>
      <w:r>
        <w:rPr>
          <w:rFonts w:hint="eastAsia"/>
          <w:color w:val="000000" w:themeColor="text1"/>
          <w:lang w:val="en-US"/>
          <w14:textFill>
            <w14:solidFill>
              <w14:schemeClr w14:val="tx1"/>
            </w14:solidFill>
          </w14:textFill>
        </w:rPr>
        <w:t>12</w:t>
      </w:r>
      <w:r>
        <w:rPr>
          <w:color w:val="000000" w:themeColor="text1"/>
          <w:lang w:val="en-US"/>
          <w14:textFill>
            <w14:solidFill>
              <w14:schemeClr w14:val="tx1"/>
            </w14:solidFill>
          </w14:textFill>
        </w:rPr>
        <w:t>km，S</w:t>
      </w:r>
      <w:r>
        <w:rPr>
          <w:rFonts w:hint="eastAsia"/>
          <w:color w:val="000000" w:themeColor="text1"/>
          <w:lang w:val="en-US"/>
          <w14:textFill>
            <w14:solidFill>
              <w14:schemeClr w14:val="tx1"/>
            </w14:solidFill>
          </w14:textFill>
        </w:rPr>
        <w:t>E</w:t>
      </w:r>
      <w:r>
        <w:rPr>
          <w:color w:val="000000" w:themeColor="text1"/>
          <w:lang w:val="en-US"/>
          <w14:textFill>
            <w14:solidFill>
              <w14:schemeClr w14:val="tx1"/>
            </w14:solidFill>
          </w14:textFill>
        </w:rPr>
        <w:t>方向的最大输移距离不超过</w:t>
      </w:r>
      <w:r>
        <w:rPr>
          <w:rFonts w:hint="eastAsia"/>
          <w:color w:val="000000" w:themeColor="text1"/>
          <w:lang w:val="en-US"/>
          <w14:textFill>
            <w14:solidFill>
              <w14:schemeClr w14:val="tx1"/>
            </w14:solidFill>
          </w14:textFill>
        </w:rPr>
        <w:t>80</w:t>
      </w:r>
      <w:r>
        <w:rPr>
          <w:color w:val="000000" w:themeColor="text1"/>
          <w:lang w:val="en-US"/>
          <w14:textFill>
            <w14:solidFill>
              <w14:schemeClr w14:val="tx1"/>
            </w14:solidFill>
          </w14:textFill>
        </w:rPr>
        <w:t>m</w:t>
      </w:r>
      <w:r>
        <w:rPr>
          <w:rFonts w:hint="eastAsia"/>
          <w:color w:val="000000" w:themeColor="text1"/>
          <w:lang w:val="en-US"/>
          <w14:textFill>
            <w14:solidFill>
              <w14:schemeClr w14:val="tx1"/>
            </w14:solidFill>
          </w14:textFill>
        </w:rPr>
        <w:t>。</w:t>
      </w:r>
      <w:r>
        <w:rPr>
          <w:color w:val="000000" w:themeColor="text1"/>
          <w:lang w:val="en-US"/>
          <w14:textFill>
            <w14:solidFill>
              <w14:schemeClr w14:val="tx1"/>
            </w14:solidFill>
          </w14:textFill>
        </w:rPr>
        <w:t>超20mg/L悬沙增量的面积为</w:t>
      </w:r>
      <w:r>
        <w:rPr>
          <w:rFonts w:hint="eastAsia"/>
          <w:color w:val="000000" w:themeColor="text1"/>
          <w:lang w:val="en-US"/>
          <w14:textFill>
            <w14:solidFill>
              <w14:schemeClr w14:val="tx1"/>
            </w14:solidFill>
          </w14:textFill>
        </w:rPr>
        <w:t>2.64</w:t>
      </w:r>
      <w:r>
        <w:rPr>
          <w:color w:val="000000" w:themeColor="text1"/>
          <w:lang w:val="en-US"/>
          <w14:textFill>
            <w14:solidFill>
              <w14:schemeClr w14:val="tx1"/>
            </w14:solidFill>
          </w14:textFill>
        </w:rPr>
        <w:t>km</w:t>
      </w:r>
      <w:r>
        <w:rPr>
          <w:color w:val="000000" w:themeColor="text1"/>
          <w:vertAlign w:val="superscript"/>
          <w:lang w:val="en-US"/>
          <w14:textFill>
            <w14:solidFill>
              <w14:schemeClr w14:val="tx1"/>
            </w14:solidFill>
          </w14:textFill>
        </w:rPr>
        <w:t>2</w:t>
      </w:r>
      <w:r>
        <w:rPr>
          <w:color w:val="000000" w:themeColor="text1"/>
          <w:lang w:val="en-US"/>
          <w14:textFill>
            <w14:solidFill>
              <w14:schemeClr w14:val="tx1"/>
            </w14:solidFill>
          </w14:textFill>
        </w:rPr>
        <w:t>；超50mg/L悬沙增量的面积为</w:t>
      </w:r>
      <w:r>
        <w:rPr>
          <w:rFonts w:hint="eastAsia"/>
          <w:color w:val="000000" w:themeColor="text1"/>
          <w:lang w:val="en-US"/>
          <w14:textFill>
            <w14:solidFill>
              <w14:schemeClr w14:val="tx1"/>
            </w14:solidFill>
          </w14:textFill>
        </w:rPr>
        <w:t>1.51</w:t>
      </w:r>
      <w:r>
        <w:rPr>
          <w:color w:val="000000" w:themeColor="text1"/>
          <w:lang w:val="en-US"/>
          <w14:textFill>
            <w14:solidFill>
              <w14:schemeClr w14:val="tx1"/>
            </w14:solidFill>
          </w14:textFill>
        </w:rPr>
        <w:t>km</w:t>
      </w:r>
      <w:r>
        <w:rPr>
          <w:color w:val="000000" w:themeColor="text1"/>
          <w:vertAlign w:val="superscript"/>
          <w:lang w:val="en-US"/>
          <w14:textFill>
            <w14:solidFill>
              <w14:schemeClr w14:val="tx1"/>
            </w14:solidFill>
          </w14:textFill>
        </w:rPr>
        <w:t>2</w:t>
      </w:r>
      <w:r>
        <w:rPr>
          <w:rFonts w:hint="eastAsia"/>
          <w:color w:val="000000" w:themeColor="text1"/>
          <w:lang w:val="en-US"/>
          <w14:textFill>
            <w14:solidFill>
              <w14:schemeClr w14:val="tx1"/>
            </w14:solidFill>
          </w14:textFill>
        </w:rPr>
        <w:t>。</w:t>
      </w:r>
    </w:p>
    <w:p>
      <w:pPr>
        <w:pStyle w:val="684"/>
        <w:ind w:firstLine="437"/>
        <w:rPr>
          <w:color w:val="000000" w:themeColor="text1"/>
          <w:lang w:val="en-US"/>
          <w14:textFill>
            <w14:solidFill>
              <w14:schemeClr w14:val="tx1"/>
            </w14:solidFill>
          </w14:textFill>
        </w:rPr>
      </w:pPr>
      <w:r>
        <w:rPr>
          <w:color w:val="000000" w:themeColor="text1"/>
          <w:lang w:val="en-US"/>
          <w14:textFill>
            <w14:solidFill>
              <w14:schemeClr w14:val="tx1"/>
            </w14:solidFill>
          </w14:textFill>
        </w:rPr>
        <w:t>本项目</w:t>
      </w:r>
      <w:r>
        <w:rPr>
          <w:rFonts w:hint="eastAsia"/>
          <w:color w:val="000000" w:themeColor="text1"/>
          <w:lang w:val="en-US"/>
          <w14:textFill>
            <w14:solidFill>
              <w14:schemeClr w14:val="tx1"/>
            </w14:solidFill>
          </w14:textFill>
        </w:rPr>
        <w:t>炸礁</w:t>
      </w:r>
      <w:r>
        <w:rPr>
          <w:color w:val="000000" w:themeColor="text1"/>
          <w:lang w:val="en-US"/>
          <w14:textFill>
            <w14:solidFill>
              <w14:schemeClr w14:val="tx1"/>
            </w14:solidFill>
          </w14:textFill>
        </w:rPr>
        <w:t>时悬浮泥沙的最大影响包络线见图</w:t>
      </w:r>
      <w:r>
        <w:rPr>
          <w:rFonts w:hint="eastAsia"/>
          <w:color w:val="000000" w:themeColor="text1"/>
          <w:lang w:val="en-US"/>
          <w14:textFill>
            <w14:solidFill>
              <w14:schemeClr w14:val="tx1"/>
            </w14:solidFill>
          </w14:textFill>
        </w:rPr>
        <w:t>4.1</w:t>
      </w:r>
      <w:r>
        <w:rPr>
          <w:color w:val="000000" w:themeColor="text1"/>
          <w:lang w:val="en-US"/>
          <w14:textFill>
            <w14:solidFill>
              <w14:schemeClr w14:val="tx1"/>
            </w14:solidFill>
          </w14:textFill>
        </w:rPr>
        <w:t>-</w:t>
      </w:r>
      <w:r>
        <w:rPr>
          <w:rFonts w:hint="eastAsia"/>
          <w:color w:val="000000" w:themeColor="text1"/>
          <w:lang w:val="en-US"/>
          <w14:textFill>
            <w14:solidFill>
              <w14:schemeClr w14:val="tx1"/>
            </w14:solidFill>
          </w14:textFill>
        </w:rPr>
        <w:t>30</w:t>
      </w:r>
      <w:r>
        <w:rPr>
          <w:color w:val="000000" w:themeColor="text1"/>
          <w:lang w:val="en-US"/>
          <w14:textFill>
            <w14:solidFill>
              <w14:schemeClr w14:val="tx1"/>
            </w14:solidFill>
          </w14:textFill>
        </w:rPr>
        <w:t>，从图中可以看出，悬沙的包络线呈N</w:t>
      </w:r>
      <w:r>
        <w:rPr>
          <w:rFonts w:hint="eastAsia"/>
          <w:color w:val="000000" w:themeColor="text1"/>
          <w:lang w:val="en-US"/>
          <w14:textFill>
            <w14:solidFill>
              <w14:schemeClr w14:val="tx1"/>
            </w14:solidFill>
          </w14:textFill>
        </w:rPr>
        <w:t>W</w:t>
      </w:r>
      <w:r>
        <w:rPr>
          <w:color w:val="000000" w:themeColor="text1"/>
          <w:lang w:val="en-US"/>
          <w14:textFill>
            <w14:solidFill>
              <w14:schemeClr w14:val="tx1"/>
            </w14:solidFill>
          </w14:textFill>
        </w:rPr>
        <w:t>-S</w:t>
      </w:r>
      <w:r>
        <w:rPr>
          <w:rFonts w:hint="eastAsia"/>
          <w:color w:val="000000" w:themeColor="text1"/>
          <w:lang w:val="en-US"/>
          <w14:textFill>
            <w14:solidFill>
              <w14:schemeClr w14:val="tx1"/>
            </w14:solidFill>
          </w14:textFill>
        </w:rPr>
        <w:t>E</w:t>
      </w:r>
      <w:r>
        <w:rPr>
          <w:color w:val="000000" w:themeColor="text1"/>
          <w:lang w:val="en-US"/>
          <w14:textFill>
            <w14:solidFill>
              <w14:schemeClr w14:val="tx1"/>
            </w14:solidFill>
          </w14:textFill>
        </w:rPr>
        <w:t>的带状分布，与涨落潮流态一致。10mg/L包络线S</w:t>
      </w:r>
      <w:r>
        <w:rPr>
          <w:rFonts w:hint="eastAsia"/>
          <w:color w:val="000000" w:themeColor="text1"/>
          <w:lang w:val="en-US"/>
          <w14:textFill>
            <w14:solidFill>
              <w14:schemeClr w14:val="tx1"/>
            </w14:solidFill>
          </w14:textFill>
        </w:rPr>
        <w:t>E</w:t>
      </w:r>
      <w:r>
        <w:rPr>
          <w:color w:val="000000" w:themeColor="text1"/>
          <w:lang w:val="en-US"/>
          <w14:textFill>
            <w14:solidFill>
              <w14:schemeClr w14:val="tx1"/>
            </w14:solidFill>
          </w14:textFill>
        </w:rPr>
        <w:t>方向的最大输移距离(以</w:t>
      </w:r>
      <w:r>
        <w:rPr>
          <w:rFonts w:hint="eastAsia"/>
          <w:color w:val="000000" w:themeColor="text1"/>
          <w:lang w:val="en-US"/>
          <w14:textFill>
            <w14:solidFill>
              <w14:schemeClr w14:val="tx1"/>
            </w14:solidFill>
          </w14:textFill>
        </w:rPr>
        <w:t>炸礁区域</w:t>
      </w:r>
      <w:r>
        <w:rPr>
          <w:color w:val="000000" w:themeColor="text1"/>
          <w:lang w:val="en-US"/>
          <w14:textFill>
            <w14:solidFill>
              <w14:schemeClr w14:val="tx1"/>
            </w14:solidFill>
          </w14:textFill>
        </w:rPr>
        <w:t>外缘线起算，下同)不超过</w:t>
      </w:r>
      <w:r>
        <w:rPr>
          <w:rFonts w:hint="eastAsia"/>
          <w:color w:val="000000" w:themeColor="text1"/>
          <w:lang w:val="en-US"/>
          <w14:textFill>
            <w14:solidFill>
              <w14:schemeClr w14:val="tx1"/>
            </w14:solidFill>
          </w14:textFill>
        </w:rPr>
        <w:t>0.3k</w:t>
      </w:r>
      <w:r>
        <w:rPr>
          <w:color w:val="000000" w:themeColor="text1"/>
          <w:lang w:val="en-US"/>
          <w14:textFill>
            <w14:solidFill>
              <w14:schemeClr w14:val="tx1"/>
            </w14:solidFill>
          </w14:textFill>
        </w:rPr>
        <w:t>m，N</w:t>
      </w:r>
      <w:r>
        <w:rPr>
          <w:rFonts w:hint="eastAsia"/>
          <w:color w:val="000000" w:themeColor="text1"/>
          <w:lang w:val="en-US"/>
          <w14:textFill>
            <w14:solidFill>
              <w14:schemeClr w14:val="tx1"/>
            </w14:solidFill>
          </w14:textFill>
        </w:rPr>
        <w:t>W</w:t>
      </w:r>
      <w:r>
        <w:rPr>
          <w:color w:val="000000" w:themeColor="text1"/>
          <w:lang w:val="en-US"/>
          <w14:textFill>
            <w14:solidFill>
              <w14:schemeClr w14:val="tx1"/>
            </w14:solidFill>
          </w14:textFill>
        </w:rPr>
        <w:t>方向的最大输移距离不超过</w:t>
      </w:r>
      <w:r>
        <w:rPr>
          <w:rFonts w:hint="eastAsia"/>
          <w:color w:val="000000" w:themeColor="text1"/>
          <w:lang w:val="en-US"/>
          <w14:textFill>
            <w14:solidFill>
              <w14:schemeClr w14:val="tx1"/>
            </w14:solidFill>
          </w14:textFill>
        </w:rPr>
        <w:t>1.2</w:t>
      </w:r>
      <w:r>
        <w:rPr>
          <w:color w:val="000000" w:themeColor="text1"/>
          <w:lang w:val="en-US"/>
          <w14:textFill>
            <w14:solidFill>
              <w14:schemeClr w14:val="tx1"/>
            </w14:solidFill>
          </w14:textFill>
        </w:rPr>
        <w:t>km</w:t>
      </w:r>
      <w:r>
        <w:rPr>
          <w:rFonts w:hint="eastAsia"/>
          <w:color w:val="000000" w:themeColor="text1"/>
          <w:lang w:val="en-US"/>
          <w14:textFill>
            <w14:solidFill>
              <w14:schemeClr w14:val="tx1"/>
            </w14:solidFill>
          </w14:textFill>
        </w:rPr>
        <w:t>；</w:t>
      </w:r>
      <w:r>
        <w:rPr>
          <w:color w:val="000000" w:themeColor="text1"/>
          <w:lang w:val="en-US"/>
          <w14:textFill>
            <w14:solidFill>
              <w14:schemeClr w14:val="tx1"/>
            </w14:solidFill>
          </w14:textFill>
        </w:rPr>
        <w:t>1</w:t>
      </w:r>
      <w:r>
        <w:rPr>
          <w:rFonts w:hint="eastAsia"/>
          <w:color w:val="000000" w:themeColor="text1"/>
          <w:lang w:val="en-US"/>
          <w14:textFill>
            <w14:solidFill>
              <w14:schemeClr w14:val="tx1"/>
            </w14:solidFill>
          </w14:textFill>
        </w:rPr>
        <w:t>0</w:t>
      </w:r>
      <w:r>
        <w:rPr>
          <w:color w:val="000000" w:themeColor="text1"/>
          <w:lang w:val="en-US"/>
          <w14:textFill>
            <w14:solidFill>
              <w14:schemeClr w14:val="tx1"/>
            </w14:solidFill>
          </w14:textFill>
        </w:rPr>
        <w:t>0mg/L包络线N</w:t>
      </w:r>
      <w:r>
        <w:rPr>
          <w:rFonts w:hint="eastAsia"/>
          <w:color w:val="000000" w:themeColor="text1"/>
          <w:lang w:val="en-US"/>
          <w14:textFill>
            <w14:solidFill>
              <w14:schemeClr w14:val="tx1"/>
            </w14:solidFill>
          </w14:textFill>
        </w:rPr>
        <w:t>W</w:t>
      </w:r>
      <w:r>
        <w:rPr>
          <w:color w:val="000000" w:themeColor="text1"/>
          <w:lang w:val="en-US"/>
          <w14:textFill>
            <w14:solidFill>
              <w14:schemeClr w14:val="tx1"/>
            </w14:solidFill>
          </w14:textFill>
        </w:rPr>
        <w:t>方向的最大输移距离不超过</w:t>
      </w:r>
      <w:r>
        <w:rPr>
          <w:rFonts w:hint="eastAsia"/>
          <w:color w:val="000000" w:themeColor="text1"/>
          <w:lang w:val="en-US"/>
          <w14:textFill>
            <w14:solidFill>
              <w14:schemeClr w14:val="tx1"/>
            </w14:solidFill>
          </w14:textFill>
        </w:rPr>
        <w:t>80</w:t>
      </w:r>
      <w:r>
        <w:rPr>
          <w:color w:val="000000" w:themeColor="text1"/>
          <w:lang w:val="en-US"/>
          <w14:textFill>
            <w14:solidFill>
              <w14:schemeClr w14:val="tx1"/>
            </w14:solidFill>
          </w14:textFill>
        </w:rPr>
        <w:t>m，S</w:t>
      </w:r>
      <w:r>
        <w:rPr>
          <w:rFonts w:hint="eastAsia"/>
          <w:color w:val="000000" w:themeColor="text1"/>
          <w:lang w:val="en-US"/>
          <w14:textFill>
            <w14:solidFill>
              <w14:schemeClr w14:val="tx1"/>
            </w14:solidFill>
          </w14:textFill>
        </w:rPr>
        <w:t>E</w:t>
      </w:r>
      <w:r>
        <w:rPr>
          <w:color w:val="000000" w:themeColor="text1"/>
          <w:lang w:val="en-US"/>
          <w14:textFill>
            <w14:solidFill>
              <w14:schemeClr w14:val="tx1"/>
            </w14:solidFill>
          </w14:textFill>
        </w:rPr>
        <w:t>方向的最大输移距离不超过</w:t>
      </w:r>
      <w:r>
        <w:rPr>
          <w:rFonts w:hint="eastAsia"/>
          <w:color w:val="000000" w:themeColor="text1"/>
          <w:lang w:val="en-US"/>
          <w14:textFill>
            <w14:solidFill>
              <w14:schemeClr w14:val="tx1"/>
            </w14:solidFill>
          </w14:textFill>
        </w:rPr>
        <w:t>50</w:t>
      </w:r>
      <w:r>
        <w:rPr>
          <w:color w:val="000000" w:themeColor="text1"/>
          <w:lang w:val="en-US"/>
          <w14:textFill>
            <w14:solidFill>
              <w14:schemeClr w14:val="tx1"/>
            </w14:solidFill>
          </w14:textFill>
        </w:rPr>
        <w:t>m</w:t>
      </w:r>
      <w:r>
        <w:rPr>
          <w:rFonts w:hint="eastAsia"/>
          <w:color w:val="000000" w:themeColor="text1"/>
          <w:lang w:val="en-US"/>
          <w14:textFill>
            <w14:solidFill>
              <w14:schemeClr w14:val="tx1"/>
            </w14:solidFill>
          </w14:textFill>
        </w:rPr>
        <w:t>；</w:t>
      </w:r>
      <w:r>
        <w:rPr>
          <w:color w:val="000000" w:themeColor="text1"/>
          <w:lang w:val="en-US"/>
          <w14:textFill>
            <w14:solidFill>
              <w14:schemeClr w14:val="tx1"/>
            </w14:solidFill>
          </w14:textFill>
        </w:rPr>
        <w:t>150mg/L包络线N</w:t>
      </w:r>
      <w:r>
        <w:rPr>
          <w:rFonts w:hint="eastAsia"/>
          <w:color w:val="000000" w:themeColor="text1"/>
          <w:lang w:val="en-US"/>
          <w14:textFill>
            <w14:solidFill>
              <w14:schemeClr w14:val="tx1"/>
            </w14:solidFill>
          </w14:textFill>
        </w:rPr>
        <w:t>W</w:t>
      </w:r>
      <w:r>
        <w:rPr>
          <w:color w:val="000000" w:themeColor="text1"/>
          <w:lang w:val="en-US"/>
          <w14:textFill>
            <w14:solidFill>
              <w14:schemeClr w14:val="tx1"/>
            </w14:solidFill>
          </w14:textFill>
        </w:rPr>
        <w:t>方向的最大输移距离不超过</w:t>
      </w:r>
      <w:r>
        <w:rPr>
          <w:rFonts w:hint="eastAsia"/>
          <w:color w:val="000000" w:themeColor="text1"/>
          <w:lang w:val="en-US"/>
          <w14:textFill>
            <w14:solidFill>
              <w14:schemeClr w14:val="tx1"/>
            </w14:solidFill>
          </w14:textFill>
        </w:rPr>
        <w:t>50</w:t>
      </w:r>
      <w:r>
        <w:rPr>
          <w:color w:val="000000" w:themeColor="text1"/>
          <w:lang w:val="en-US"/>
          <w14:textFill>
            <w14:solidFill>
              <w14:schemeClr w14:val="tx1"/>
            </w14:solidFill>
          </w14:textFill>
        </w:rPr>
        <w:t>m，S</w:t>
      </w:r>
      <w:r>
        <w:rPr>
          <w:rFonts w:hint="eastAsia"/>
          <w:color w:val="000000" w:themeColor="text1"/>
          <w:lang w:val="en-US"/>
          <w14:textFill>
            <w14:solidFill>
              <w14:schemeClr w14:val="tx1"/>
            </w14:solidFill>
          </w14:textFill>
        </w:rPr>
        <w:t>E</w:t>
      </w:r>
      <w:r>
        <w:rPr>
          <w:color w:val="000000" w:themeColor="text1"/>
          <w:lang w:val="en-US"/>
          <w14:textFill>
            <w14:solidFill>
              <w14:schemeClr w14:val="tx1"/>
            </w14:solidFill>
          </w14:textFill>
        </w:rPr>
        <w:t>方向的最大输移距离不超过</w:t>
      </w:r>
      <w:r>
        <w:rPr>
          <w:rFonts w:hint="eastAsia"/>
          <w:color w:val="000000" w:themeColor="text1"/>
          <w:lang w:val="en-US"/>
          <w14:textFill>
            <w14:solidFill>
              <w14:schemeClr w14:val="tx1"/>
            </w14:solidFill>
          </w14:textFill>
        </w:rPr>
        <w:t>30</w:t>
      </w:r>
      <w:r>
        <w:rPr>
          <w:color w:val="000000" w:themeColor="text1"/>
          <w:lang w:val="en-US"/>
          <w14:textFill>
            <w14:solidFill>
              <w14:schemeClr w14:val="tx1"/>
            </w14:solidFill>
          </w14:textFill>
        </w:rPr>
        <w:t>m</w:t>
      </w:r>
      <w:r>
        <w:rPr>
          <w:rFonts w:hint="eastAsia"/>
          <w:color w:val="000000" w:themeColor="text1"/>
          <w:lang w:val="en-US"/>
          <w14:textFill>
            <w14:solidFill>
              <w14:schemeClr w14:val="tx1"/>
            </w14:solidFill>
          </w14:textFill>
        </w:rPr>
        <w:t>。</w:t>
      </w:r>
      <w:r>
        <w:rPr>
          <w:color w:val="000000" w:themeColor="text1"/>
          <w:lang w:val="en-US"/>
          <w14:textFill>
            <w14:solidFill>
              <w14:schemeClr w14:val="tx1"/>
            </w14:solidFill>
          </w14:textFill>
        </w:rPr>
        <w:t>超20mg/L悬沙增量的面积为</w:t>
      </w:r>
      <w:r>
        <w:rPr>
          <w:rFonts w:hint="eastAsia"/>
          <w:color w:val="000000" w:themeColor="text1"/>
          <w:lang w:val="en-US"/>
          <w14:textFill>
            <w14:solidFill>
              <w14:schemeClr w14:val="tx1"/>
            </w14:solidFill>
          </w14:textFill>
        </w:rPr>
        <w:t>0.67</w:t>
      </w:r>
      <w:r>
        <w:rPr>
          <w:color w:val="000000" w:themeColor="text1"/>
          <w:lang w:val="en-US"/>
          <w14:textFill>
            <w14:solidFill>
              <w14:schemeClr w14:val="tx1"/>
            </w14:solidFill>
          </w14:textFill>
        </w:rPr>
        <w:t>km</w:t>
      </w:r>
      <w:r>
        <w:rPr>
          <w:color w:val="000000" w:themeColor="text1"/>
          <w:vertAlign w:val="superscript"/>
          <w:lang w:val="en-US"/>
          <w14:textFill>
            <w14:solidFill>
              <w14:schemeClr w14:val="tx1"/>
            </w14:solidFill>
          </w14:textFill>
        </w:rPr>
        <w:t>2</w:t>
      </w:r>
      <w:r>
        <w:rPr>
          <w:color w:val="000000" w:themeColor="text1"/>
          <w:lang w:val="en-US"/>
          <w14:textFill>
            <w14:solidFill>
              <w14:schemeClr w14:val="tx1"/>
            </w14:solidFill>
          </w14:textFill>
        </w:rPr>
        <w:t>；超50mg/L悬沙增量的面积为</w:t>
      </w:r>
      <w:r>
        <w:rPr>
          <w:rFonts w:hint="eastAsia"/>
          <w:color w:val="000000" w:themeColor="text1"/>
          <w:lang w:val="en-US"/>
          <w14:textFill>
            <w14:solidFill>
              <w14:schemeClr w14:val="tx1"/>
            </w14:solidFill>
          </w14:textFill>
        </w:rPr>
        <w:t>0.34</w:t>
      </w:r>
      <w:r>
        <w:rPr>
          <w:color w:val="000000" w:themeColor="text1"/>
          <w:lang w:val="en-US"/>
          <w14:textFill>
            <w14:solidFill>
              <w14:schemeClr w14:val="tx1"/>
            </w14:solidFill>
          </w14:textFill>
        </w:rPr>
        <w:t>km</w:t>
      </w:r>
      <w:r>
        <w:rPr>
          <w:color w:val="000000" w:themeColor="text1"/>
          <w:vertAlign w:val="superscript"/>
          <w:lang w:val="en-US"/>
          <w14:textFill>
            <w14:solidFill>
              <w14:schemeClr w14:val="tx1"/>
            </w14:solidFill>
          </w14:textFill>
        </w:rPr>
        <w:t>2</w:t>
      </w:r>
      <w:r>
        <w:rPr>
          <w:rFonts w:hint="eastAsia"/>
          <w:color w:val="000000" w:themeColor="text1"/>
          <w:lang w:val="en-US"/>
          <w14:textFill>
            <w14:solidFill>
              <w14:schemeClr w14:val="tx1"/>
            </w14:solidFill>
          </w14:textFill>
        </w:rPr>
        <w:t>。</w:t>
      </w:r>
    </w:p>
    <w:p>
      <w:pPr>
        <w:pStyle w:val="684"/>
        <w:ind w:firstLine="437"/>
        <w:rPr>
          <w:color w:val="000000" w:themeColor="text1"/>
          <w:lang w:val="en-US"/>
          <w14:textFill>
            <w14:solidFill>
              <w14:schemeClr w14:val="tx1"/>
            </w14:solidFill>
          </w14:textFill>
        </w:rPr>
      </w:pPr>
      <w:r>
        <w:rPr>
          <w:color w:val="000000" w:themeColor="text1"/>
          <w14:textFill>
            <w14:solidFill>
              <w14:schemeClr w14:val="tx1"/>
            </w14:solidFill>
          </w14:textFill>
        </w:rPr>
        <w:t>溢流</w:t>
      </w:r>
      <w:r>
        <w:rPr>
          <w:rFonts w:hint="eastAsia"/>
          <w:color w:val="000000" w:themeColor="text1"/>
          <w:lang w:val="en-US"/>
          <w14:textFill>
            <w14:solidFill>
              <w14:schemeClr w14:val="tx1"/>
            </w14:solidFill>
          </w14:textFill>
        </w:rPr>
        <w:t>悬浮泥沙的最大影响包络线见图4.1-31，从图中可以看出，悬沙的包络线顺岸分布。10mg/L包络线顺岸向的最大输移距离（以溢流点起算，下同）不超过0.2km；100mg/L、150mg/L包络线基本分布在排水口附近80m内。超20mg/L悬沙增量的面积为0.02km</w:t>
      </w:r>
      <w:r>
        <w:rPr>
          <w:rFonts w:hint="eastAsia"/>
          <w:color w:val="000000" w:themeColor="text1"/>
          <w:vertAlign w:val="superscript"/>
          <w:lang w:val="en-US"/>
          <w14:textFill>
            <w14:solidFill>
              <w14:schemeClr w14:val="tx1"/>
            </w14:solidFill>
          </w14:textFill>
        </w:rPr>
        <w:t>2</w:t>
      </w:r>
      <w:r>
        <w:rPr>
          <w:rFonts w:hint="eastAsia"/>
          <w:color w:val="000000" w:themeColor="text1"/>
          <w:lang w:val="en-US"/>
          <w14:textFill>
            <w14:solidFill>
              <w14:schemeClr w14:val="tx1"/>
            </w14:solidFill>
          </w14:textFill>
        </w:rPr>
        <w:t>；超50mg/L悬沙增量的面积为0.01km</w:t>
      </w:r>
      <w:r>
        <w:rPr>
          <w:rFonts w:hint="eastAsia"/>
          <w:color w:val="000000" w:themeColor="text1"/>
          <w:vertAlign w:val="superscript"/>
          <w:lang w:val="en-US"/>
          <w14:textFill>
            <w14:solidFill>
              <w14:schemeClr w14:val="tx1"/>
            </w14:solidFill>
          </w14:textFill>
        </w:rPr>
        <w:t>2</w:t>
      </w:r>
      <w:r>
        <w:rPr>
          <w:rFonts w:hint="eastAsia"/>
          <w:color w:val="000000" w:themeColor="text1"/>
          <w:lang w:val="en-US"/>
          <w14:textFill>
            <w14:solidFill>
              <w14:schemeClr w14:val="tx1"/>
            </w14:solidFill>
          </w14:textFill>
        </w:rPr>
        <w:t>。</w:t>
      </w:r>
    </w:p>
    <w:p>
      <w:pPr>
        <w:pStyle w:val="684"/>
        <w:ind w:firstLine="437"/>
        <w:rPr>
          <w:color w:val="000000" w:themeColor="text1"/>
          <w:u w:val="single"/>
          <w:lang w:val="en-US"/>
          <w14:textFill>
            <w14:solidFill>
              <w14:schemeClr w14:val="tx1"/>
            </w14:solidFill>
          </w14:textFill>
        </w:rPr>
      </w:pPr>
      <w:r>
        <w:rPr>
          <w:rFonts w:hint="eastAsia"/>
          <w:color w:val="000000" w:themeColor="text1"/>
          <w:u w:val="single"/>
          <w:lang w:val="en-US"/>
          <w14:textFill>
            <w14:solidFill>
              <w14:schemeClr w14:val="tx1"/>
            </w14:solidFill>
          </w14:textFill>
        </w:rPr>
        <w:t>消浪护岸基槽开挖时悬浮泥沙的最大影响包络线见图4.1-32，从图中可以看出，悬沙的包络线偏南向带状分布。10mg/L包络线偏S向的最大输移距离(以基槽开挖点起算，下同)不超过1.35km；100mg/L包络线偏S向的最大输移距离不超过240m；150mg/L包络线偏S向的最大输移距离不超过180m。超20mg/L悬沙增量的面积为0.43km</w:t>
      </w:r>
      <w:r>
        <w:rPr>
          <w:rFonts w:hint="eastAsia"/>
          <w:color w:val="000000" w:themeColor="text1"/>
          <w:u w:val="single"/>
          <w:vertAlign w:val="superscript"/>
          <w:lang w:val="en-US"/>
          <w14:textFill>
            <w14:solidFill>
              <w14:schemeClr w14:val="tx1"/>
            </w14:solidFill>
          </w14:textFill>
        </w:rPr>
        <w:t>2</w:t>
      </w:r>
      <w:r>
        <w:rPr>
          <w:rFonts w:hint="eastAsia"/>
          <w:color w:val="000000" w:themeColor="text1"/>
          <w:u w:val="single"/>
          <w:lang w:val="en-US"/>
          <w14:textFill>
            <w14:solidFill>
              <w14:schemeClr w14:val="tx1"/>
            </w14:solidFill>
          </w14:textFill>
        </w:rPr>
        <w:t>；超50mg/L悬沙增量的面积为0.18km</w:t>
      </w:r>
      <w:r>
        <w:rPr>
          <w:rFonts w:hint="eastAsia"/>
          <w:color w:val="000000" w:themeColor="text1"/>
          <w:u w:val="single"/>
          <w:vertAlign w:val="superscript"/>
          <w:lang w:val="en-US"/>
          <w14:textFill>
            <w14:solidFill>
              <w14:schemeClr w14:val="tx1"/>
            </w14:solidFill>
          </w14:textFill>
        </w:rPr>
        <w:t>2</w:t>
      </w:r>
      <w:r>
        <w:rPr>
          <w:rFonts w:hint="eastAsia"/>
          <w:color w:val="000000" w:themeColor="text1"/>
          <w:u w:val="single"/>
          <w:lang w:val="en-US"/>
          <w14:textFill>
            <w14:solidFill>
              <w14:schemeClr w14:val="tx1"/>
            </w14:solidFill>
          </w14:textFill>
        </w:rPr>
        <w:t>。</w:t>
      </w:r>
    </w:p>
    <w:p>
      <w:pPr>
        <w:pStyle w:val="684"/>
        <w:ind w:firstLine="437"/>
        <w:rPr>
          <w:color w:val="000000" w:themeColor="text1"/>
          <w:lang w:val="en-US"/>
          <w14:textFill>
            <w14:solidFill>
              <w14:schemeClr w14:val="tx1"/>
            </w14:solidFill>
          </w14:textFill>
        </w:rPr>
      </w:pPr>
      <w:r>
        <w:rPr>
          <w:rFonts w:hint="eastAsia"/>
          <w:color w:val="000000" w:themeColor="text1"/>
          <w:lang w:val="en-US"/>
          <w14:textFill>
            <w14:solidFill>
              <w14:schemeClr w14:val="tx1"/>
            </w14:solidFill>
          </w14:textFill>
        </w:rPr>
        <w:t>本项目施工</w:t>
      </w:r>
      <w:r>
        <w:rPr>
          <w:color w:val="000000" w:themeColor="text1"/>
          <w:lang w:val="en-US"/>
          <w14:textFill>
            <w14:solidFill>
              <w14:schemeClr w14:val="tx1"/>
            </w14:solidFill>
          </w14:textFill>
        </w:rPr>
        <w:t>过程悬浮泥沙最大影响</w:t>
      </w:r>
      <w:r>
        <w:rPr>
          <w:rFonts w:hint="eastAsia"/>
          <w:color w:val="000000" w:themeColor="text1"/>
          <w:lang w:val="en-US"/>
          <w14:textFill>
            <w14:solidFill>
              <w14:schemeClr w14:val="tx1"/>
            </w14:solidFill>
          </w14:textFill>
        </w:rPr>
        <w:t>范围见</w:t>
      </w:r>
      <w:r>
        <w:rPr>
          <w:color w:val="000000" w:themeColor="text1"/>
          <w:lang w:val="en-US"/>
          <w14:textFill>
            <w14:solidFill>
              <w14:schemeClr w14:val="tx1"/>
            </w14:solidFill>
          </w14:textFill>
        </w:rPr>
        <w:t>表</w:t>
      </w:r>
      <w:r>
        <w:rPr>
          <w:rFonts w:hint="eastAsia"/>
          <w:color w:val="000000" w:themeColor="text1"/>
          <w:lang w:val="en-US"/>
          <w14:textFill>
            <w14:solidFill>
              <w14:schemeClr w14:val="tx1"/>
            </w14:solidFill>
          </w14:textFill>
        </w:rPr>
        <w:t>4.1</w:t>
      </w:r>
      <w:r>
        <w:rPr>
          <w:color w:val="000000" w:themeColor="text1"/>
          <w:lang w:val="en-US"/>
          <w14:textFill>
            <w14:solidFill>
              <w14:schemeClr w14:val="tx1"/>
            </w14:solidFill>
          </w14:textFill>
        </w:rPr>
        <w:t>-1所示，最大影响范围见图</w:t>
      </w:r>
      <w:r>
        <w:rPr>
          <w:rFonts w:hint="eastAsia"/>
          <w:color w:val="000000" w:themeColor="text1"/>
          <w:lang w:val="en-US"/>
          <w14:textFill>
            <w14:solidFill>
              <w14:schemeClr w14:val="tx1"/>
            </w14:solidFill>
          </w14:textFill>
        </w:rPr>
        <w:t>4.1-31</w:t>
      </w:r>
      <w:r>
        <w:rPr>
          <w:color w:val="000000" w:themeColor="text1"/>
          <w:lang w:val="en-US"/>
          <w14:textFill>
            <w14:solidFill>
              <w14:schemeClr w14:val="tx1"/>
            </w14:solidFill>
          </w14:textFill>
        </w:rPr>
        <w:t>。</w:t>
      </w:r>
      <w:r>
        <w:rPr>
          <w:rFonts w:hint="eastAsia"/>
          <w:color w:val="000000" w:themeColor="text1"/>
          <w:lang w:val="en-US"/>
          <w14:textFill>
            <w14:solidFill>
              <w14:schemeClr w14:val="tx1"/>
            </w14:solidFill>
          </w14:textFill>
        </w:rPr>
        <w:t>其中，施工期悬浮沙</w:t>
      </w:r>
      <w:r>
        <w:rPr>
          <w:color w:val="000000" w:themeColor="text1"/>
          <w:lang w:val="en-US"/>
          <w14:textFill>
            <w14:solidFill>
              <w14:schemeClr w14:val="tx1"/>
            </w14:solidFill>
          </w14:textFill>
        </w:rPr>
        <w:t>最大浓度增量为</w:t>
      </w:r>
      <w:r>
        <w:rPr>
          <w:rFonts w:hint="eastAsia"/>
          <w:color w:val="000000" w:themeColor="text1"/>
          <w:lang w:val="en-US"/>
          <w14:textFill>
            <w14:solidFill>
              <w14:schemeClr w14:val="tx1"/>
            </w14:solidFill>
          </w14:textFill>
        </w:rPr>
        <w:t>1536.65</w:t>
      </w:r>
      <w:r>
        <w:rPr>
          <w:color w:val="000000" w:themeColor="text1"/>
          <w:lang w:val="en-US"/>
          <w14:textFill>
            <w14:solidFill>
              <w14:schemeClr w14:val="tx1"/>
            </w14:solidFill>
          </w14:textFill>
        </w:rPr>
        <w:t>mg/L，超一、二类水域面积为</w:t>
      </w:r>
      <w:r>
        <w:rPr>
          <w:rFonts w:hint="eastAsia"/>
          <w:color w:val="000000" w:themeColor="text1"/>
          <w:lang w:val="en-US"/>
          <w14:textFill>
            <w14:solidFill>
              <w14:schemeClr w14:val="tx1"/>
            </w14:solidFill>
          </w14:textFill>
        </w:rPr>
        <w:t>4.30</w:t>
      </w:r>
      <w:r>
        <w:rPr>
          <w:color w:val="000000" w:themeColor="text1"/>
          <w:lang w:val="en-US"/>
          <w14:textFill>
            <w14:solidFill>
              <w14:schemeClr w14:val="tx1"/>
            </w14:solidFill>
          </w14:textFill>
        </w:rPr>
        <w:t>km</w:t>
      </w:r>
      <w:r>
        <w:rPr>
          <w:color w:val="000000" w:themeColor="text1"/>
          <w:vertAlign w:val="superscript"/>
          <w:lang w:val="en-US"/>
          <w14:textFill>
            <w14:solidFill>
              <w14:schemeClr w14:val="tx1"/>
            </w14:solidFill>
          </w14:textFill>
        </w:rPr>
        <w:t>2</w:t>
      </w:r>
      <w:r>
        <w:rPr>
          <w:color w:val="000000" w:themeColor="text1"/>
          <w:lang w:val="en-US"/>
          <w14:textFill>
            <w14:solidFill>
              <w14:schemeClr w14:val="tx1"/>
            </w14:solidFill>
          </w14:textFill>
        </w:rPr>
        <w:t>，超三、四类水域面积分别为</w:t>
      </w:r>
      <w:r>
        <w:rPr>
          <w:rFonts w:hint="eastAsia"/>
          <w:color w:val="000000" w:themeColor="text1"/>
          <w:lang w:val="en-US"/>
          <w14:textFill>
            <w14:solidFill>
              <w14:schemeClr w14:val="tx1"/>
            </w14:solidFill>
          </w14:textFill>
        </w:rPr>
        <w:t>0.52</w:t>
      </w:r>
      <w:r>
        <w:rPr>
          <w:color w:val="000000" w:themeColor="text1"/>
          <w:lang w:val="en-US"/>
          <w14:textFill>
            <w14:solidFill>
              <w14:schemeClr w14:val="tx1"/>
            </w14:solidFill>
          </w14:textFill>
        </w:rPr>
        <w:t>km</w:t>
      </w:r>
      <w:r>
        <w:rPr>
          <w:color w:val="000000" w:themeColor="text1"/>
          <w:vertAlign w:val="superscript"/>
          <w:lang w:val="en-US"/>
          <w14:textFill>
            <w14:solidFill>
              <w14:schemeClr w14:val="tx1"/>
            </w14:solidFill>
          </w14:textFill>
        </w:rPr>
        <w:t>2</w:t>
      </w:r>
      <w:r>
        <w:rPr>
          <w:color w:val="000000" w:themeColor="text1"/>
          <w:lang w:val="en-US"/>
          <w14:textFill>
            <w14:solidFill>
              <w14:schemeClr w14:val="tx1"/>
            </w14:solidFill>
          </w14:textFill>
        </w:rPr>
        <w:t>、</w:t>
      </w:r>
      <w:r>
        <w:rPr>
          <w:rFonts w:hint="eastAsia"/>
          <w:color w:val="000000" w:themeColor="text1"/>
          <w:lang w:val="en-US"/>
          <w14:textFill>
            <w14:solidFill>
              <w14:schemeClr w14:val="tx1"/>
            </w14:solidFill>
          </w14:textFill>
        </w:rPr>
        <w:t>0.28</w:t>
      </w:r>
      <w:r>
        <w:rPr>
          <w:color w:val="000000" w:themeColor="text1"/>
          <w:lang w:val="en-US"/>
          <w14:textFill>
            <w14:solidFill>
              <w14:schemeClr w14:val="tx1"/>
            </w14:solidFill>
          </w14:textFill>
        </w:rPr>
        <w:t>km</w:t>
      </w:r>
      <w:r>
        <w:rPr>
          <w:color w:val="000000" w:themeColor="text1"/>
          <w:vertAlign w:val="superscript"/>
          <w:lang w:val="en-US"/>
          <w14:textFill>
            <w14:solidFill>
              <w14:schemeClr w14:val="tx1"/>
            </w14:solidFill>
          </w14:textFill>
        </w:rPr>
        <w:t>2</w:t>
      </w:r>
      <w:r>
        <w:rPr>
          <w:color w:val="000000" w:themeColor="text1"/>
          <w:lang w:val="en-US"/>
          <w14:textFill>
            <w14:solidFill>
              <w14:schemeClr w14:val="tx1"/>
            </w14:solidFill>
          </w14:textFill>
        </w:rPr>
        <w:t>；超20mg/L悬沙增量的面积为</w:t>
      </w:r>
      <w:r>
        <w:rPr>
          <w:rFonts w:hint="eastAsia"/>
          <w:color w:val="000000" w:themeColor="text1"/>
          <w:lang w:val="en-US"/>
          <w14:textFill>
            <w14:solidFill>
              <w14:schemeClr w14:val="tx1"/>
            </w14:solidFill>
          </w14:textFill>
        </w:rPr>
        <w:t>2.64</w:t>
      </w:r>
      <w:r>
        <w:rPr>
          <w:color w:val="000000" w:themeColor="text1"/>
          <w:lang w:val="en-US"/>
          <w14:textFill>
            <w14:solidFill>
              <w14:schemeClr w14:val="tx1"/>
            </w14:solidFill>
          </w14:textFill>
        </w:rPr>
        <w:t>km</w:t>
      </w:r>
      <w:r>
        <w:rPr>
          <w:color w:val="000000" w:themeColor="text1"/>
          <w:vertAlign w:val="superscript"/>
          <w:lang w:val="en-US"/>
          <w14:textFill>
            <w14:solidFill>
              <w14:schemeClr w14:val="tx1"/>
            </w14:solidFill>
          </w14:textFill>
        </w:rPr>
        <w:t>2</w:t>
      </w:r>
      <w:r>
        <w:rPr>
          <w:color w:val="000000" w:themeColor="text1"/>
          <w:lang w:val="en-US"/>
          <w14:textFill>
            <w14:solidFill>
              <w14:schemeClr w14:val="tx1"/>
            </w14:solidFill>
          </w14:textFill>
        </w:rPr>
        <w:t>；超50mg/L悬沙增量的面积为</w:t>
      </w:r>
      <w:r>
        <w:rPr>
          <w:rFonts w:hint="eastAsia"/>
          <w:color w:val="000000" w:themeColor="text1"/>
          <w:lang w:val="en-US"/>
          <w14:textFill>
            <w14:solidFill>
              <w14:schemeClr w14:val="tx1"/>
            </w14:solidFill>
          </w14:textFill>
        </w:rPr>
        <w:t>1.51</w:t>
      </w:r>
      <w:r>
        <w:rPr>
          <w:color w:val="000000" w:themeColor="text1"/>
          <w:lang w:val="en-US"/>
          <w14:textFill>
            <w14:solidFill>
              <w14:schemeClr w14:val="tx1"/>
            </w14:solidFill>
          </w14:textFill>
        </w:rPr>
        <w:t>km</w:t>
      </w:r>
      <w:r>
        <w:rPr>
          <w:color w:val="000000" w:themeColor="text1"/>
          <w:vertAlign w:val="superscript"/>
          <w:lang w:val="en-US"/>
          <w14:textFill>
            <w14:solidFill>
              <w14:schemeClr w14:val="tx1"/>
            </w14:solidFill>
          </w14:textFill>
        </w:rPr>
        <w:t>2</w:t>
      </w:r>
      <w:r>
        <w:rPr>
          <w:rFonts w:hint="eastAsia"/>
          <w:color w:val="000000" w:themeColor="text1"/>
          <w:lang w:val="en-US"/>
          <w14:textFill>
            <w14:solidFill>
              <w14:schemeClr w14:val="tx1"/>
            </w14:solidFill>
          </w14:textFill>
        </w:rPr>
        <w:t>。</w:t>
      </w:r>
    </w:p>
    <w:p>
      <w:pPr>
        <w:pStyle w:val="384"/>
        <w:ind w:left="0" w:firstLine="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施工期悬浮物最高浓度增量及超标面积</w:t>
      </w:r>
    </w:p>
    <w:tbl>
      <w:tblPr>
        <w:tblStyle w:val="88"/>
        <w:tblW w:w="8528" w:type="dxa"/>
        <w:jc w:val="center"/>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905"/>
        <w:gridCol w:w="1561"/>
        <w:gridCol w:w="2124"/>
        <w:gridCol w:w="1469"/>
        <w:gridCol w:w="1469"/>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680" w:hRule="exact"/>
          <w:tblHeader/>
          <w:jc w:val="center"/>
        </w:trPr>
        <w:tc>
          <w:tcPr>
            <w:tcW w:w="1905" w:type="dxa"/>
            <w:vAlign w:val="center"/>
          </w:tcPr>
          <w:p>
            <w:pPr>
              <w:pStyle w:val="2001"/>
            </w:pPr>
            <w:r>
              <w:t>施工环节</w:t>
            </w:r>
          </w:p>
        </w:tc>
        <w:tc>
          <w:tcPr>
            <w:tcW w:w="1561" w:type="dxa"/>
            <w:vAlign w:val="center"/>
          </w:tcPr>
          <w:p>
            <w:pPr>
              <w:pStyle w:val="2001"/>
            </w:pPr>
            <w:r>
              <w:t>最高浓度</w:t>
            </w:r>
          </w:p>
          <w:p>
            <w:pPr>
              <w:pStyle w:val="2001"/>
            </w:pPr>
            <w:r>
              <w:t>增量（mg/L）</w:t>
            </w:r>
          </w:p>
        </w:tc>
        <w:tc>
          <w:tcPr>
            <w:tcW w:w="2124" w:type="dxa"/>
            <w:vAlign w:val="center"/>
          </w:tcPr>
          <w:p>
            <w:pPr>
              <w:pStyle w:val="2001"/>
            </w:pPr>
            <w:r>
              <w:t>超一、二类水域</w:t>
            </w:r>
          </w:p>
          <w:p>
            <w:pPr>
              <w:pStyle w:val="2001"/>
            </w:pPr>
            <w:r>
              <w:t>面积（km</w:t>
            </w:r>
            <w:r>
              <w:rPr>
                <w:vertAlign w:val="superscript"/>
              </w:rPr>
              <w:t>2</w:t>
            </w:r>
            <w:r>
              <w:t>）</w:t>
            </w:r>
          </w:p>
        </w:tc>
        <w:tc>
          <w:tcPr>
            <w:tcW w:w="1469" w:type="dxa"/>
            <w:vAlign w:val="center"/>
          </w:tcPr>
          <w:p>
            <w:pPr>
              <w:pStyle w:val="2001"/>
            </w:pPr>
            <w:r>
              <w:t>超三类水域</w:t>
            </w:r>
          </w:p>
          <w:p>
            <w:pPr>
              <w:pStyle w:val="2001"/>
            </w:pPr>
            <w:r>
              <w:t>面积（km</w:t>
            </w:r>
            <w:r>
              <w:rPr>
                <w:vertAlign w:val="superscript"/>
              </w:rPr>
              <w:t>2</w:t>
            </w:r>
            <w:r>
              <w:t>）</w:t>
            </w:r>
          </w:p>
        </w:tc>
        <w:tc>
          <w:tcPr>
            <w:tcW w:w="1469" w:type="dxa"/>
            <w:vAlign w:val="center"/>
          </w:tcPr>
          <w:p>
            <w:pPr>
              <w:pStyle w:val="2001"/>
            </w:pPr>
            <w:r>
              <w:t>超四类水域</w:t>
            </w:r>
          </w:p>
          <w:p>
            <w:pPr>
              <w:pStyle w:val="2001"/>
            </w:pPr>
            <w:r>
              <w:t>面积（km</w:t>
            </w:r>
            <w:r>
              <w:rPr>
                <w:vertAlign w:val="superscript"/>
              </w:rPr>
              <w:t>2</w:t>
            </w:r>
            <w: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397" w:hRule="exact"/>
          <w:jc w:val="center"/>
        </w:trPr>
        <w:tc>
          <w:tcPr>
            <w:tcW w:w="1905" w:type="dxa"/>
            <w:vAlign w:val="center"/>
          </w:tcPr>
          <w:p>
            <w:pPr>
              <w:pStyle w:val="2001"/>
            </w:pPr>
            <w:r>
              <w:t>疏浚</w:t>
            </w:r>
          </w:p>
        </w:tc>
        <w:tc>
          <w:tcPr>
            <w:tcW w:w="1561" w:type="dxa"/>
            <w:vAlign w:val="center"/>
          </w:tcPr>
          <w:p>
            <w:pPr>
              <w:pStyle w:val="2001"/>
            </w:pPr>
            <w:r>
              <w:rPr>
                <w:rFonts w:hint="eastAsia"/>
              </w:rPr>
              <w:t>352.63</w:t>
            </w:r>
          </w:p>
        </w:tc>
        <w:tc>
          <w:tcPr>
            <w:tcW w:w="2124" w:type="dxa"/>
            <w:vAlign w:val="center"/>
          </w:tcPr>
          <w:p>
            <w:pPr>
              <w:pStyle w:val="2001"/>
            </w:pPr>
            <w:r>
              <w:rPr>
                <w:rFonts w:hint="eastAsia"/>
              </w:rPr>
              <w:t>4.30</w:t>
            </w:r>
          </w:p>
        </w:tc>
        <w:tc>
          <w:tcPr>
            <w:tcW w:w="1469" w:type="dxa"/>
            <w:vAlign w:val="center"/>
          </w:tcPr>
          <w:p>
            <w:pPr>
              <w:jc w:val="center"/>
              <w:rPr>
                <w:rFonts w:eastAsiaTheme="minorEastAsia"/>
                <w:color w:val="000000" w:themeColor="text1"/>
                <w:sz w:val="21"/>
                <w:szCs w:val="21"/>
                <w14:textFill>
                  <w14:solidFill>
                    <w14:schemeClr w14:val="tx1"/>
                  </w14:solidFill>
                </w14:textFill>
              </w:rPr>
            </w:pPr>
            <w:r>
              <w:rPr>
                <w:rFonts w:hint="eastAsia" w:eastAsiaTheme="minorEastAsia"/>
                <w:color w:val="000000" w:themeColor="text1"/>
                <w:sz w:val="21"/>
                <w:szCs w:val="21"/>
                <w14:textFill>
                  <w14:solidFill>
                    <w14:schemeClr w14:val="tx1"/>
                  </w14:solidFill>
                </w14:textFill>
              </w:rPr>
              <w:t>0.52</w:t>
            </w:r>
          </w:p>
        </w:tc>
        <w:tc>
          <w:tcPr>
            <w:tcW w:w="1469" w:type="dxa"/>
            <w:vAlign w:val="center"/>
          </w:tcPr>
          <w:p>
            <w:pPr>
              <w:pStyle w:val="2001"/>
            </w:pPr>
            <w:r>
              <w:rPr>
                <w:rFonts w:hint="eastAsia"/>
              </w:rPr>
              <w:t>0.28</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397" w:hRule="exact"/>
          <w:jc w:val="center"/>
        </w:trPr>
        <w:tc>
          <w:tcPr>
            <w:tcW w:w="1905" w:type="dxa"/>
            <w:vAlign w:val="center"/>
          </w:tcPr>
          <w:p>
            <w:pPr>
              <w:pStyle w:val="2001"/>
            </w:pPr>
            <w:r>
              <w:t>炸礁</w:t>
            </w:r>
          </w:p>
        </w:tc>
        <w:tc>
          <w:tcPr>
            <w:tcW w:w="1561" w:type="dxa"/>
            <w:vAlign w:val="center"/>
          </w:tcPr>
          <w:p>
            <w:pPr>
              <w:pStyle w:val="2001"/>
            </w:pPr>
            <w:r>
              <w:rPr>
                <w:rFonts w:hint="eastAsia"/>
              </w:rPr>
              <w:t>1536.65</w:t>
            </w:r>
          </w:p>
        </w:tc>
        <w:tc>
          <w:tcPr>
            <w:tcW w:w="2124" w:type="dxa"/>
            <w:vAlign w:val="center"/>
          </w:tcPr>
          <w:p>
            <w:pPr>
              <w:pStyle w:val="2001"/>
            </w:pPr>
            <w:r>
              <w:rPr>
                <w:rFonts w:hint="eastAsia"/>
              </w:rPr>
              <w:t>1.07</w:t>
            </w:r>
          </w:p>
        </w:tc>
        <w:tc>
          <w:tcPr>
            <w:tcW w:w="1469" w:type="dxa"/>
            <w:vAlign w:val="center"/>
          </w:tcPr>
          <w:p>
            <w:pPr>
              <w:jc w:val="center"/>
              <w:rPr>
                <w:rFonts w:eastAsiaTheme="minorEastAsia"/>
                <w:color w:val="000000" w:themeColor="text1"/>
                <w:sz w:val="21"/>
                <w:szCs w:val="21"/>
                <w14:textFill>
                  <w14:solidFill>
                    <w14:schemeClr w14:val="tx1"/>
                  </w14:solidFill>
                </w14:textFill>
              </w:rPr>
            </w:pPr>
            <w:r>
              <w:rPr>
                <w:rFonts w:hint="eastAsia" w:eastAsiaTheme="minorEastAsia"/>
                <w:color w:val="000000" w:themeColor="text1"/>
                <w:sz w:val="21"/>
                <w:szCs w:val="21"/>
                <w14:textFill>
                  <w14:solidFill>
                    <w14:schemeClr w14:val="tx1"/>
                  </w14:solidFill>
                </w14:textFill>
              </w:rPr>
              <w:t>0</w:t>
            </w:r>
            <w:r>
              <w:rPr>
                <w:rFonts w:eastAsiaTheme="minorEastAsia"/>
                <w:color w:val="000000" w:themeColor="text1"/>
                <w:sz w:val="21"/>
                <w:szCs w:val="21"/>
                <w14:textFill>
                  <w14:solidFill>
                    <w14:schemeClr w14:val="tx1"/>
                  </w14:solidFill>
                </w14:textFill>
              </w:rPr>
              <w:t>.</w:t>
            </w:r>
            <w:r>
              <w:rPr>
                <w:rFonts w:hint="eastAsia" w:eastAsiaTheme="minorEastAsia"/>
                <w:color w:val="000000" w:themeColor="text1"/>
                <w:sz w:val="21"/>
                <w:szCs w:val="21"/>
                <w14:textFill>
                  <w14:solidFill>
                    <w14:schemeClr w14:val="tx1"/>
                  </w14:solidFill>
                </w14:textFill>
              </w:rPr>
              <w:t>17</w:t>
            </w:r>
          </w:p>
        </w:tc>
        <w:tc>
          <w:tcPr>
            <w:tcW w:w="1469" w:type="dxa"/>
            <w:vAlign w:val="center"/>
          </w:tcPr>
          <w:p>
            <w:pPr>
              <w:pStyle w:val="2001"/>
            </w:pPr>
            <w:r>
              <w:rPr>
                <w:rFonts w:hint="eastAsia"/>
              </w:rPr>
              <w:t>0</w:t>
            </w:r>
            <w:r>
              <w:t>.</w:t>
            </w:r>
            <w:r>
              <w:rPr>
                <w:rFonts w:hint="eastAsia"/>
              </w:rPr>
              <w:t>10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397" w:hRule="exact"/>
          <w:jc w:val="center"/>
        </w:trPr>
        <w:tc>
          <w:tcPr>
            <w:tcW w:w="1905" w:type="dxa"/>
            <w:vAlign w:val="center"/>
          </w:tcPr>
          <w:p>
            <w:pPr>
              <w:pStyle w:val="2001"/>
            </w:pPr>
            <w:r>
              <w:rPr>
                <w:rFonts w:hint="eastAsia"/>
              </w:rPr>
              <w:t>溢流口</w:t>
            </w:r>
          </w:p>
        </w:tc>
        <w:tc>
          <w:tcPr>
            <w:tcW w:w="1561" w:type="dxa"/>
            <w:vAlign w:val="center"/>
          </w:tcPr>
          <w:p>
            <w:pPr>
              <w:pStyle w:val="2001"/>
            </w:pPr>
            <w:r>
              <w:rPr>
                <w:rFonts w:hint="eastAsia"/>
              </w:rPr>
              <w:t>148.9</w:t>
            </w:r>
          </w:p>
        </w:tc>
        <w:tc>
          <w:tcPr>
            <w:tcW w:w="2124" w:type="dxa"/>
            <w:vAlign w:val="center"/>
          </w:tcPr>
          <w:p>
            <w:pPr>
              <w:pStyle w:val="2001"/>
            </w:pPr>
            <w:r>
              <w:rPr>
                <w:rFonts w:hint="eastAsia"/>
              </w:rPr>
              <w:t>0.02</w:t>
            </w:r>
          </w:p>
        </w:tc>
        <w:tc>
          <w:tcPr>
            <w:tcW w:w="1469" w:type="dxa"/>
            <w:vAlign w:val="center"/>
          </w:tcPr>
          <w:p>
            <w:pPr>
              <w:jc w:val="center"/>
              <w:rPr>
                <w:rFonts w:eastAsiaTheme="minorEastAsia"/>
                <w:color w:val="000000" w:themeColor="text1"/>
                <w:sz w:val="21"/>
                <w:szCs w:val="21"/>
                <w14:textFill>
                  <w14:solidFill>
                    <w14:schemeClr w14:val="tx1"/>
                  </w14:solidFill>
                </w14:textFill>
              </w:rPr>
            </w:pPr>
            <w:r>
              <w:rPr>
                <w:rFonts w:hint="eastAsia" w:eastAsiaTheme="minorEastAsia"/>
                <w:color w:val="000000" w:themeColor="text1"/>
                <w:sz w:val="21"/>
                <w:szCs w:val="21"/>
                <w14:textFill>
                  <w14:solidFill>
                    <w14:schemeClr w14:val="tx1"/>
                  </w14:solidFill>
                </w14:textFill>
              </w:rPr>
              <w:t>0.003</w:t>
            </w:r>
          </w:p>
        </w:tc>
        <w:tc>
          <w:tcPr>
            <w:tcW w:w="1469" w:type="dxa"/>
            <w:vAlign w:val="center"/>
          </w:tcPr>
          <w:p>
            <w:pPr>
              <w:pStyle w:val="2001"/>
            </w:pPr>
            <w:r>
              <w:rPr>
                <w:rFonts w:hint="eastAsia"/>
              </w:rPr>
              <w:t>0.001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397" w:hRule="exact"/>
          <w:jc w:val="center"/>
        </w:trPr>
        <w:tc>
          <w:tcPr>
            <w:tcW w:w="1905" w:type="dxa"/>
            <w:vAlign w:val="center"/>
          </w:tcPr>
          <w:p>
            <w:pPr>
              <w:pStyle w:val="2001"/>
            </w:pPr>
            <w:r>
              <w:rPr>
                <w:rFonts w:hint="eastAsia"/>
              </w:rPr>
              <w:t>消浪护岸</w:t>
            </w:r>
            <w:r>
              <w:t>基槽开挖</w:t>
            </w:r>
          </w:p>
        </w:tc>
        <w:tc>
          <w:tcPr>
            <w:tcW w:w="1561" w:type="dxa"/>
            <w:vAlign w:val="center"/>
          </w:tcPr>
          <w:p>
            <w:pPr>
              <w:jc w:val="center"/>
              <w:rPr>
                <w:rFonts w:eastAsiaTheme="minorEastAsia"/>
                <w:color w:val="000000" w:themeColor="text1"/>
                <w:sz w:val="21"/>
                <w:szCs w:val="21"/>
                <w14:textFill>
                  <w14:solidFill>
                    <w14:schemeClr w14:val="tx1"/>
                  </w14:solidFill>
                </w14:textFill>
              </w:rPr>
            </w:pPr>
            <w:r>
              <w:rPr>
                <w:rFonts w:hint="eastAsia" w:eastAsiaTheme="minorEastAsia"/>
                <w:color w:val="000000" w:themeColor="text1"/>
                <w:sz w:val="21"/>
                <w:szCs w:val="21"/>
                <w14:textFill>
                  <w14:solidFill>
                    <w14:schemeClr w14:val="tx1"/>
                  </w14:solidFill>
                </w14:textFill>
              </w:rPr>
              <w:t>415.26</w:t>
            </w:r>
          </w:p>
        </w:tc>
        <w:tc>
          <w:tcPr>
            <w:tcW w:w="2124" w:type="dxa"/>
            <w:vAlign w:val="center"/>
          </w:tcPr>
          <w:p>
            <w:pPr>
              <w:jc w:val="center"/>
              <w:rPr>
                <w:rFonts w:eastAsiaTheme="minorEastAsia"/>
                <w:color w:val="000000" w:themeColor="text1"/>
                <w:sz w:val="21"/>
                <w:szCs w:val="21"/>
                <w14:textFill>
                  <w14:solidFill>
                    <w14:schemeClr w14:val="tx1"/>
                  </w14:solidFill>
                </w14:textFill>
              </w:rPr>
            </w:pPr>
            <w:r>
              <w:rPr>
                <w:rFonts w:hint="eastAsia" w:eastAsiaTheme="minorEastAsia"/>
                <w:color w:val="000000" w:themeColor="text1"/>
                <w:sz w:val="21"/>
                <w:szCs w:val="21"/>
                <w14:textFill>
                  <w14:solidFill>
                    <w14:schemeClr w14:val="tx1"/>
                  </w14:solidFill>
                </w14:textFill>
              </w:rPr>
              <w:t>0.62</w:t>
            </w:r>
          </w:p>
        </w:tc>
        <w:tc>
          <w:tcPr>
            <w:tcW w:w="1469" w:type="dxa"/>
            <w:vAlign w:val="center"/>
          </w:tcPr>
          <w:p>
            <w:pPr>
              <w:jc w:val="center"/>
              <w:rPr>
                <w:rFonts w:eastAsiaTheme="minorEastAsia"/>
                <w:color w:val="000000" w:themeColor="text1"/>
                <w:sz w:val="21"/>
                <w:szCs w:val="21"/>
                <w14:textFill>
                  <w14:solidFill>
                    <w14:schemeClr w14:val="tx1"/>
                  </w14:solidFill>
                </w14:textFill>
              </w:rPr>
            </w:pPr>
            <w:r>
              <w:rPr>
                <w:rFonts w:hint="eastAsia" w:eastAsiaTheme="minorEastAsia"/>
                <w:color w:val="000000" w:themeColor="text1"/>
                <w:sz w:val="21"/>
                <w:szCs w:val="21"/>
                <w14:textFill>
                  <w14:solidFill>
                    <w14:schemeClr w14:val="tx1"/>
                  </w14:solidFill>
                </w14:textFill>
              </w:rPr>
              <w:t>0.10</w:t>
            </w:r>
          </w:p>
        </w:tc>
        <w:tc>
          <w:tcPr>
            <w:tcW w:w="1469" w:type="dxa"/>
            <w:vAlign w:val="center"/>
          </w:tcPr>
          <w:p>
            <w:pPr>
              <w:jc w:val="center"/>
              <w:rPr>
                <w:rFonts w:eastAsiaTheme="minorEastAsia"/>
                <w:color w:val="000000" w:themeColor="text1"/>
                <w:sz w:val="21"/>
                <w:szCs w:val="21"/>
                <w14:textFill>
                  <w14:solidFill>
                    <w14:schemeClr w14:val="tx1"/>
                  </w14:solidFill>
                </w14:textFill>
              </w:rPr>
            </w:pPr>
            <w:r>
              <w:rPr>
                <w:rFonts w:hint="eastAsia" w:eastAsiaTheme="minorEastAsia"/>
                <w:color w:val="000000" w:themeColor="text1"/>
                <w:sz w:val="21"/>
                <w:szCs w:val="21"/>
                <w14:textFill>
                  <w14:solidFill>
                    <w14:schemeClr w14:val="tx1"/>
                  </w14:solidFill>
                </w14:textFill>
              </w:rPr>
              <w:t>0.06</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397" w:hRule="exact"/>
          <w:jc w:val="center"/>
        </w:trPr>
        <w:tc>
          <w:tcPr>
            <w:tcW w:w="1905" w:type="dxa"/>
            <w:vAlign w:val="center"/>
          </w:tcPr>
          <w:p>
            <w:pPr>
              <w:pStyle w:val="2001"/>
            </w:pPr>
            <w:r>
              <w:t>综合最大包络线</w:t>
            </w:r>
          </w:p>
        </w:tc>
        <w:tc>
          <w:tcPr>
            <w:tcW w:w="1561" w:type="dxa"/>
            <w:vAlign w:val="center"/>
          </w:tcPr>
          <w:p>
            <w:pPr>
              <w:pStyle w:val="2001"/>
            </w:pPr>
            <w:r>
              <w:rPr>
                <w:rFonts w:hint="eastAsia"/>
              </w:rPr>
              <w:t>1536.65</w:t>
            </w:r>
          </w:p>
        </w:tc>
        <w:tc>
          <w:tcPr>
            <w:tcW w:w="2124" w:type="dxa"/>
            <w:vAlign w:val="center"/>
          </w:tcPr>
          <w:p>
            <w:pPr>
              <w:pStyle w:val="2001"/>
            </w:pPr>
            <w:r>
              <w:rPr>
                <w:rFonts w:hint="eastAsia"/>
              </w:rPr>
              <w:t>4.30</w:t>
            </w:r>
          </w:p>
        </w:tc>
        <w:tc>
          <w:tcPr>
            <w:tcW w:w="1469" w:type="dxa"/>
            <w:vAlign w:val="center"/>
          </w:tcPr>
          <w:p>
            <w:pPr>
              <w:jc w:val="center"/>
              <w:rPr>
                <w:rFonts w:eastAsiaTheme="minorEastAsia"/>
                <w:color w:val="000000" w:themeColor="text1"/>
                <w:sz w:val="21"/>
                <w:szCs w:val="21"/>
                <w14:textFill>
                  <w14:solidFill>
                    <w14:schemeClr w14:val="tx1"/>
                  </w14:solidFill>
                </w14:textFill>
              </w:rPr>
            </w:pPr>
            <w:r>
              <w:rPr>
                <w:rFonts w:hint="eastAsia" w:eastAsiaTheme="minorEastAsia"/>
                <w:color w:val="000000" w:themeColor="text1"/>
                <w:sz w:val="21"/>
                <w:szCs w:val="21"/>
                <w14:textFill>
                  <w14:solidFill>
                    <w14:schemeClr w14:val="tx1"/>
                  </w14:solidFill>
                </w14:textFill>
              </w:rPr>
              <w:t>0.52</w:t>
            </w:r>
          </w:p>
        </w:tc>
        <w:tc>
          <w:tcPr>
            <w:tcW w:w="1469" w:type="dxa"/>
            <w:vAlign w:val="center"/>
          </w:tcPr>
          <w:p>
            <w:pPr>
              <w:pStyle w:val="2001"/>
            </w:pPr>
            <w:r>
              <w:rPr>
                <w:rFonts w:hint="eastAsia"/>
              </w:rPr>
              <w:t>0.28</w:t>
            </w:r>
          </w:p>
        </w:tc>
      </w:tr>
    </w:tbl>
    <w:p>
      <w:pPr>
        <w:pStyle w:val="684"/>
        <w:ind w:firstLine="439"/>
        <w:rPr>
          <w:b/>
          <w:bCs/>
          <w:snapToGrid w:val="0"/>
          <w:color w:val="000000" w:themeColor="text1"/>
          <w14:textFill>
            <w14:solidFill>
              <w14:schemeClr w14:val="tx1"/>
            </w14:solidFill>
          </w14:textFill>
        </w:rPr>
      </w:pPr>
      <w:r>
        <w:rPr>
          <w:rFonts w:hint="eastAsia"/>
          <w:b/>
          <w:bCs/>
          <w:snapToGrid w:val="0"/>
          <w:color w:val="000000" w:themeColor="text1"/>
          <w14:textFill>
            <w14:solidFill>
              <w14:schemeClr w14:val="tx1"/>
            </w14:solidFill>
          </w14:textFill>
        </w:rPr>
        <w:t>4</w:t>
      </w:r>
      <w:r>
        <w:rPr>
          <w:b/>
          <w:bCs/>
          <w:snapToGrid w:val="0"/>
          <w:color w:val="000000" w:themeColor="text1"/>
          <w14:textFill>
            <w14:solidFill>
              <w14:schemeClr w14:val="tx1"/>
            </w14:solidFill>
          </w14:textFill>
        </w:rPr>
        <w:t>、影响分析</w:t>
      </w:r>
    </w:p>
    <w:p>
      <w:pPr>
        <w:pStyle w:val="684"/>
        <w:ind w:firstLine="437"/>
        <w:rPr>
          <w:bCs/>
          <w:color w:val="000000" w:themeColor="text1"/>
          <w:lang w:val="en-US"/>
          <w14:textFill>
            <w14:solidFill>
              <w14:schemeClr w14:val="tx1"/>
            </w14:solidFill>
          </w14:textFill>
        </w:rPr>
      </w:pPr>
      <w:r>
        <w:rPr>
          <w:bCs/>
          <w:color w:val="000000" w:themeColor="text1"/>
          <w:lang w:val="en-US"/>
          <w14:textFill>
            <w14:solidFill>
              <w14:schemeClr w14:val="tx1"/>
            </w14:solidFill>
          </w14:textFill>
        </w:rPr>
        <w:t>本项目</w:t>
      </w:r>
      <w:r>
        <w:rPr>
          <w:rFonts w:hint="eastAsia"/>
          <w:bCs/>
          <w:color w:val="000000" w:themeColor="text1"/>
          <w:lang w:val="en-US"/>
          <w14:textFill>
            <w14:solidFill>
              <w14:schemeClr w14:val="tx1"/>
            </w14:solidFill>
          </w14:textFill>
        </w:rPr>
        <w:t>疏浚和炸礁区域</w:t>
      </w:r>
      <w:r>
        <w:rPr>
          <w:bCs/>
          <w:color w:val="000000" w:themeColor="text1"/>
          <w:lang w:val="en-US"/>
          <w14:textFill>
            <w14:solidFill>
              <w14:schemeClr w14:val="tx1"/>
            </w14:solidFill>
          </w14:textFill>
        </w:rPr>
        <w:t>所处海域水动力条件较好，悬沙扩散较快；</w:t>
      </w:r>
      <w:r>
        <w:rPr>
          <w:rFonts w:hint="eastAsia"/>
          <w:bCs/>
          <w:color w:val="000000" w:themeColor="text1"/>
          <w:lang w:val="en-US"/>
          <w14:textFill>
            <w14:solidFill>
              <w14:schemeClr w14:val="tx1"/>
            </w14:solidFill>
          </w14:textFill>
        </w:rPr>
        <w:t>溢流口</w:t>
      </w:r>
      <w:r>
        <w:rPr>
          <w:bCs/>
          <w:color w:val="000000" w:themeColor="text1"/>
          <w:lang w:val="en-US"/>
          <w14:textFill>
            <w14:solidFill>
              <w14:schemeClr w14:val="tx1"/>
            </w14:solidFill>
          </w14:textFill>
        </w:rPr>
        <w:t>位置虽在近岸，但源强小，悬沙扩散影响范围不大。施工期，本项目产生的悬浮泥沙扩散范围主要沿N</w:t>
      </w:r>
      <w:r>
        <w:rPr>
          <w:rFonts w:hint="eastAsia"/>
          <w:bCs/>
          <w:color w:val="000000" w:themeColor="text1"/>
          <w:lang w:val="en-US"/>
          <w14:textFill>
            <w14:solidFill>
              <w14:schemeClr w14:val="tx1"/>
            </w14:solidFill>
          </w14:textFill>
        </w:rPr>
        <w:t>W</w:t>
      </w:r>
      <w:r>
        <w:rPr>
          <w:bCs/>
          <w:color w:val="000000" w:themeColor="text1"/>
          <w:lang w:val="en-US"/>
          <w14:textFill>
            <w14:solidFill>
              <w14:schemeClr w14:val="tx1"/>
            </w14:solidFill>
          </w14:textFill>
        </w:rPr>
        <w:t>-S</w:t>
      </w:r>
      <w:r>
        <w:rPr>
          <w:rFonts w:hint="eastAsia"/>
          <w:bCs/>
          <w:color w:val="000000" w:themeColor="text1"/>
          <w:lang w:val="en-US"/>
          <w14:textFill>
            <w14:solidFill>
              <w14:schemeClr w14:val="tx1"/>
            </w14:solidFill>
          </w14:textFill>
        </w:rPr>
        <w:t>E</w:t>
      </w:r>
      <w:r>
        <w:rPr>
          <w:bCs/>
          <w:color w:val="000000" w:themeColor="text1"/>
          <w:lang w:val="en-US"/>
          <w14:textFill>
            <w14:solidFill>
              <w14:schemeClr w14:val="tx1"/>
            </w14:solidFill>
          </w14:textFill>
        </w:rPr>
        <w:t>轴线分布，与潮流主流向相关。</w:t>
      </w:r>
      <w:r>
        <w:rPr>
          <w:rFonts w:hint="eastAsia"/>
          <w:bCs/>
          <w:color w:val="000000" w:themeColor="text1"/>
          <w:lang w:val="en-US"/>
          <w14:textFill>
            <w14:solidFill>
              <w14:schemeClr w14:val="tx1"/>
            </w14:solidFill>
          </w14:textFill>
        </w:rPr>
        <w:t>悬沙主要分布在工程区域2.3</w:t>
      </w:r>
      <w:r>
        <w:rPr>
          <w:bCs/>
          <w:color w:val="000000" w:themeColor="text1"/>
          <w:lang w:val="en-US"/>
          <w14:textFill>
            <w14:solidFill>
              <w14:schemeClr w14:val="tx1"/>
            </w14:solidFill>
          </w14:textFill>
        </w:rPr>
        <w:t>km</w:t>
      </w:r>
      <w:r>
        <w:rPr>
          <w:rFonts w:hint="eastAsia"/>
          <w:bCs/>
          <w:color w:val="000000" w:themeColor="text1"/>
          <w:lang w:val="en-US"/>
          <w14:textFill>
            <w14:solidFill>
              <w14:schemeClr w14:val="tx1"/>
            </w14:solidFill>
          </w14:textFill>
        </w:rPr>
        <w:t>范围内，</w:t>
      </w:r>
      <w:r>
        <w:rPr>
          <w:bCs/>
          <w:color w:val="000000" w:themeColor="text1"/>
          <w:lang w:val="en-US"/>
          <w14:textFill>
            <w14:solidFill>
              <w14:schemeClr w14:val="tx1"/>
            </w14:solidFill>
          </w14:textFill>
        </w:rPr>
        <w:t>10mg/L包络线与</w:t>
      </w:r>
      <w:r>
        <w:rPr>
          <w:rFonts w:hint="eastAsia"/>
          <w:bCs/>
          <w:color w:val="000000" w:themeColor="text1"/>
          <w:lang w:val="en-US"/>
          <w14:textFill>
            <w14:solidFill>
              <w14:schemeClr w14:val="tx1"/>
            </w14:solidFill>
          </w14:textFill>
        </w:rPr>
        <w:t>钦州港青菜头南浅海滩涂养殖区的最近距离为2.8km。</w:t>
      </w:r>
    </w:p>
    <w:p>
      <w:pPr>
        <w:pStyle w:val="684"/>
        <w:ind w:firstLine="437"/>
        <w:rPr>
          <w:color w:val="000000" w:themeColor="text1"/>
          <w14:textFill>
            <w14:solidFill>
              <w14:schemeClr w14:val="tx1"/>
            </w14:solidFill>
          </w14:textFill>
        </w:rPr>
      </w:pPr>
      <w:r>
        <w:rPr>
          <w:color w:val="000000" w:themeColor="text1"/>
          <w:lang w:val="en-US"/>
          <w14:textFill>
            <w14:solidFill>
              <w14:schemeClr w14:val="tx1"/>
            </w14:solidFill>
          </w14:textFill>
        </w:rPr>
        <w:t>综上，本项目施工期悬沙对距离工程区域</w:t>
      </w:r>
      <w:r>
        <w:rPr>
          <w:rFonts w:hint="eastAsia"/>
          <w:color w:val="000000" w:themeColor="text1"/>
          <w:lang w:val="en-US"/>
          <w14:textFill>
            <w14:solidFill>
              <w14:schemeClr w14:val="tx1"/>
            </w14:solidFill>
          </w14:textFill>
        </w:rPr>
        <w:t>2.3km范围内的水域水质产生影响，</w:t>
      </w:r>
      <w:r>
        <w:rPr>
          <w:color w:val="000000" w:themeColor="text1"/>
          <w:lang w:val="en-US"/>
          <w14:textFill>
            <w14:solidFill>
              <w14:schemeClr w14:val="tx1"/>
            </w14:solidFill>
          </w14:textFill>
        </w:rPr>
        <w:t>不会</w:t>
      </w:r>
      <w:r>
        <w:rPr>
          <w:rFonts w:hint="eastAsia"/>
          <w:color w:val="000000" w:themeColor="text1"/>
          <w:lang w:val="en-US"/>
          <w14:textFill>
            <w14:solidFill>
              <w14:schemeClr w14:val="tx1"/>
            </w14:solidFill>
          </w14:textFill>
        </w:rPr>
        <w:t>对评价区域内的敏感目标造成明显影响。施工前应征得水行政主管部门的同意</w:t>
      </w:r>
      <w:r>
        <w:rPr>
          <w:color w:val="000000" w:themeColor="text1"/>
          <w:lang w:val="en-US"/>
          <w14:textFill>
            <w14:solidFill>
              <w14:schemeClr w14:val="tx1"/>
            </w14:solidFill>
          </w14:textFill>
        </w:rPr>
        <w:t>，同时，应开展悬沙跟踪监测，发现悬沙浓度异常，应立即停止施工，对施工造成的海洋生态损失应当给予一定的赔偿。</w:t>
      </w:r>
    </w:p>
    <w:p>
      <w:pPr>
        <w:pStyle w:val="684"/>
        <w:ind w:firstLine="0" w:firstLineChars="0"/>
        <w:jc w:val="center"/>
        <w:rPr>
          <w:color w:val="000000" w:themeColor="text1"/>
          <w14:textFill>
            <w14:solidFill>
              <w14:schemeClr w14:val="tx1"/>
            </w14:solidFill>
          </w14:textFill>
        </w:rPr>
      </w:pPr>
      <w:r>
        <w:rPr>
          <w:color w:val="000000" w:themeColor="text1"/>
          <w:lang w:val="en-US"/>
          <w14:textFill>
            <w14:solidFill>
              <w14:schemeClr w14:val="tx1"/>
            </w14:solidFill>
          </w14:textFill>
        </w:rPr>
        <mc:AlternateContent>
          <mc:Choice Requires="wps">
            <w:drawing>
              <wp:anchor distT="0" distB="0" distL="114300" distR="114300" simplePos="0" relativeHeight="251661312" behindDoc="0" locked="0" layoutInCell="1" allowOverlap="1">
                <wp:simplePos x="0" y="0"/>
                <wp:positionH relativeFrom="column">
                  <wp:posOffset>4341495</wp:posOffset>
                </wp:positionH>
                <wp:positionV relativeFrom="paragraph">
                  <wp:posOffset>1176020</wp:posOffset>
                </wp:positionV>
                <wp:extent cx="588010" cy="80645"/>
                <wp:effectExtent l="0" t="0" r="22225" b="15240"/>
                <wp:wrapNone/>
                <wp:docPr id="990883274" name="矩形 1"/>
                <wp:cNvGraphicFramePr/>
                <a:graphic xmlns:a="http://schemas.openxmlformats.org/drawingml/2006/main">
                  <a:graphicData uri="http://schemas.microsoft.com/office/word/2010/wordprocessingShape">
                    <wps:wsp>
                      <wps:cNvSpPr/>
                      <wps:spPr>
                        <a:xfrm>
                          <a:off x="0" y="0"/>
                          <a:ext cx="587829" cy="80387"/>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矩形 1" o:spid="_x0000_s1026" o:spt="1" style="position:absolute;left:0pt;margin-left:341.85pt;margin-top:92.6pt;height:6.35pt;width:46.3pt;z-index:251661312;v-text-anchor:middle;mso-width-relative:page;mso-height-relative:page;" fillcolor="#FFFFFF [3212]" filled="t" stroked="t" coordsize="21600,21600" o:gfxdata="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">
                <v:fill on="t" focussize="0,0"/>
                <v:stroke weight="1pt" color="#FFFFFF [3212]" miterlimit="8" joinstyle="miter"/>
                <v:imagedata o:title=""/>
                <o:lock v:ext="edit" aspectratio="f"/>
              </v:rect>
            </w:pict>
          </mc:Fallback>
        </mc:AlternateContent>
      </w:r>
    </w:p>
    <w:p>
      <w:pPr>
        <w:pStyle w:val="553"/>
        <w:rPr>
          <w:color w:val="000000" w:themeColor="text1"/>
          <w14:textFill>
            <w14:solidFill>
              <w14:schemeClr w14:val="tx1"/>
            </w14:solidFill>
          </w14:textFill>
        </w:rPr>
      </w:pPr>
      <w:r>
        <w:rPr>
          <w:color w:val="000000" w:themeColor="text1"/>
          <w14:textFill>
            <w14:solidFill>
              <w14:schemeClr w14:val="tx1"/>
            </w14:solidFill>
          </w14:textFill>
        </w:rPr>
        <w:t>本项目疏浚悬浮泥沙增量最大影响包络范围</w:t>
      </w:r>
    </w:p>
    <w:p>
      <w:pPr>
        <w:jc w:val="center"/>
        <w:rPr>
          <w:rFonts w:eastAsia="黑体"/>
          <w:bCs/>
          <w:color w:val="000000" w:themeColor="text1"/>
          <w14:textFill>
            <w14:solidFill>
              <w14:schemeClr w14:val="tx1"/>
            </w14:solidFill>
          </w14:textFill>
        </w:rPr>
      </w:pPr>
      <w:r>
        <w:rPr>
          <w:color w:val="000000" w:themeColor="text1"/>
          <w14:textFill>
            <w14:solidFill>
              <w14:schemeClr w14:val="tx1"/>
            </w14:solidFill>
          </w14:textFill>
        </w:rPr>
        <mc:AlternateContent>
          <mc:Choice Requires="wps">
            <w:drawing>
              <wp:anchor distT="0" distB="0" distL="114300" distR="114300" simplePos="0" relativeHeight="251662336" behindDoc="0" locked="0" layoutInCell="1" allowOverlap="1">
                <wp:simplePos x="0" y="0"/>
                <wp:positionH relativeFrom="column">
                  <wp:posOffset>4586605</wp:posOffset>
                </wp:positionH>
                <wp:positionV relativeFrom="paragraph">
                  <wp:posOffset>1303020</wp:posOffset>
                </wp:positionV>
                <wp:extent cx="588010" cy="80645"/>
                <wp:effectExtent l="0" t="0" r="22225" b="15240"/>
                <wp:wrapNone/>
                <wp:docPr id="1689428491" name="矩形 1"/>
                <wp:cNvGraphicFramePr/>
                <a:graphic xmlns:a="http://schemas.openxmlformats.org/drawingml/2006/main">
                  <a:graphicData uri="http://schemas.microsoft.com/office/word/2010/wordprocessingShape">
                    <wps:wsp>
                      <wps:cNvSpPr/>
                      <wps:spPr>
                        <a:xfrm>
                          <a:off x="0" y="0"/>
                          <a:ext cx="587829" cy="80387"/>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矩形 1" o:spid="_x0000_s1026" o:spt="1" style="position:absolute;left:0pt;margin-left:361.15pt;margin-top:102.6pt;height:6.35pt;width:46.3pt;z-index:251662336;v-text-anchor:middle;mso-width-relative:page;mso-height-relative:page;" fillcolor="#FFFFFF [3212]" filled="t" stroked="t" coordsize="21600,21600" o:gfxdata="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">
                <v:fill on="t" focussize="0,0"/>
                <v:stroke weight="1pt" color="#FFFFFF [3212]" miterlimit="8" joinstyle="miter"/>
                <v:imagedata o:title=""/>
                <o:lock v:ext="edit" aspectratio="f"/>
              </v:rect>
            </w:pict>
          </mc:Fallback>
        </mc:AlternateContent>
      </w:r>
    </w:p>
    <w:p>
      <w:pPr>
        <w:pStyle w:val="553"/>
        <w:rPr>
          <w:color w:val="000000" w:themeColor="text1"/>
          <w14:textFill>
            <w14:solidFill>
              <w14:schemeClr w14:val="tx1"/>
            </w14:solidFill>
          </w14:textFill>
        </w:rPr>
      </w:pPr>
      <w:r>
        <w:rPr>
          <w:color w:val="000000" w:themeColor="text1"/>
          <w14:textFill>
            <w14:solidFill>
              <w14:schemeClr w14:val="tx1"/>
            </w14:solidFill>
          </w14:textFill>
        </w:rPr>
        <w:t>本项目炸礁悬浮泥沙增量最大影响包络范围</w:t>
      </w:r>
    </w:p>
    <w:p>
      <w:pPr>
        <w:pStyle w:val="553"/>
        <w:numPr>
          <w:ilvl w:val="0"/>
          <w:numId w:val="0"/>
        </w:numPr>
        <w:rPr>
          <w:color w:val="000000" w:themeColor="text1"/>
          <w14:textFill>
            <w14:solidFill>
              <w14:schemeClr w14:val="tx1"/>
            </w14:solidFill>
          </w14:textFill>
        </w:rPr>
      </w:pPr>
    </w:p>
    <w:p>
      <w:pPr>
        <w:pStyle w:val="553"/>
        <w:rPr>
          <w:color w:val="000000" w:themeColor="text1"/>
          <w14:textFill>
            <w14:solidFill>
              <w14:schemeClr w14:val="tx1"/>
            </w14:solidFill>
          </w14:textFill>
        </w:rPr>
      </w:pPr>
      <w:r>
        <w:rPr>
          <w:color w:val="000000" w:themeColor="text1"/>
          <w14:textFill>
            <w14:solidFill>
              <w14:schemeClr w14:val="tx1"/>
            </w14:solidFill>
          </w14:textFill>
        </w:rPr>
        <w:t>本项目</w:t>
      </w:r>
      <w:r>
        <w:rPr>
          <w:rFonts w:hint="eastAsia"/>
          <w:color w:val="000000" w:themeColor="text1"/>
          <w14:textFill>
            <w14:solidFill>
              <w14:schemeClr w14:val="tx1"/>
            </w14:solidFill>
          </w14:textFill>
        </w:rPr>
        <w:t>溢流口</w:t>
      </w:r>
      <w:r>
        <w:rPr>
          <w:color w:val="000000" w:themeColor="text1"/>
          <w14:textFill>
            <w14:solidFill>
              <w14:schemeClr w14:val="tx1"/>
            </w14:solidFill>
          </w14:textFill>
        </w:rPr>
        <w:t>悬浮泥沙增大最大影响包络范围</w:t>
      </w:r>
    </w:p>
    <w:p>
      <w:pPr>
        <w:pStyle w:val="553"/>
        <w:numPr>
          <w:ilvl w:val="0"/>
          <w:numId w:val="0"/>
        </w:numPr>
        <w:rPr>
          <w:color w:val="000000" w:themeColor="text1"/>
          <w14:textFill>
            <w14:solidFill>
              <w14:schemeClr w14:val="tx1"/>
            </w14:solidFill>
          </w14:textFill>
        </w:rPr>
      </w:pPr>
    </w:p>
    <w:p>
      <w:pPr>
        <w:pStyle w:val="553"/>
        <w:rPr>
          <w:color w:val="000000" w:themeColor="text1"/>
          <w14:textFill>
            <w14:solidFill>
              <w14:schemeClr w14:val="tx1"/>
            </w14:solidFill>
          </w14:textFill>
        </w:rPr>
      </w:pPr>
      <w:r>
        <w:rPr>
          <w:color w:val="000000" w:themeColor="text1"/>
          <w14:textFill>
            <w14:solidFill>
              <w14:schemeClr w14:val="tx1"/>
            </w14:solidFill>
          </w14:textFill>
        </w:rPr>
        <w:t>本项目基槽开挖悬浮泥沙增量最大影响包络范围</w:t>
      </w:r>
    </w:p>
    <w:p>
      <w:pPr>
        <w:pStyle w:val="2010"/>
        <w:ind w:firstLine="0"/>
        <w:jc w:val="center"/>
        <w:rPr>
          <w:rFonts w:eastAsia="黑体"/>
          <w:bCs/>
          <w:color w:val="000000" w:themeColor="text1"/>
          <w:szCs w:val="21"/>
          <w14:textFill>
            <w14:solidFill>
              <w14:schemeClr w14:val="tx1"/>
            </w14:solidFill>
          </w14:textFill>
        </w:rPr>
      </w:pPr>
      <w:r>
        <w:rPr>
          <w:color w:val="000000" w:themeColor="text1"/>
          <w14:textFill>
            <w14:solidFill>
              <w14:schemeClr w14:val="tx1"/>
            </w14:solidFill>
          </w14:textFill>
        </w:rPr>
        <mc:AlternateContent>
          <mc:Choice Requires="wps">
            <w:drawing>
              <wp:anchor distT="0" distB="0" distL="114300" distR="114300" simplePos="0" relativeHeight="251663360" behindDoc="0" locked="0" layoutInCell="1" allowOverlap="1">
                <wp:simplePos x="0" y="0"/>
                <wp:positionH relativeFrom="column">
                  <wp:posOffset>4498975</wp:posOffset>
                </wp:positionH>
                <wp:positionV relativeFrom="paragraph">
                  <wp:posOffset>1303020</wp:posOffset>
                </wp:positionV>
                <wp:extent cx="588010" cy="80645"/>
                <wp:effectExtent l="0" t="0" r="22225" b="15240"/>
                <wp:wrapNone/>
                <wp:docPr id="1290357591" name="矩形 1"/>
                <wp:cNvGraphicFramePr/>
                <a:graphic xmlns:a="http://schemas.openxmlformats.org/drawingml/2006/main">
                  <a:graphicData uri="http://schemas.microsoft.com/office/word/2010/wordprocessingShape">
                    <wps:wsp>
                      <wps:cNvSpPr/>
                      <wps:spPr>
                        <a:xfrm>
                          <a:off x="0" y="0"/>
                          <a:ext cx="587829" cy="80387"/>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矩形 1" o:spid="_x0000_s1026" o:spt="1" style="position:absolute;left:0pt;margin-left:354.25pt;margin-top:102.6pt;height:6.35pt;width:46.3pt;z-index:251663360;v-text-anchor:middle;mso-width-relative:page;mso-height-relative:page;" fillcolor="#FFFFFF [3212]" filled="t" stroked="t" coordsize="21600,21600" o:gfxdata="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">
                <v:fill on="t" focussize="0,0"/>
                <v:stroke weight="1pt" color="#FFFFFF [3212]" miterlimit="8" joinstyle="miter"/>
                <v:imagedata o:title=""/>
                <o:lock v:ext="edit" aspectratio="f"/>
              </v:rect>
            </w:pict>
          </mc:Fallback>
        </mc:AlternateContent>
      </w:r>
    </w:p>
    <w:p>
      <w:pPr>
        <w:pStyle w:val="553"/>
        <w:rPr>
          <w:color w:val="000000" w:themeColor="text1"/>
          <w14:textFill>
            <w14:solidFill>
              <w14:schemeClr w14:val="tx1"/>
            </w14:solidFill>
          </w14:textFill>
        </w:rPr>
      </w:pPr>
      <w:r>
        <w:rPr>
          <w:color w:val="000000" w:themeColor="text1"/>
          <w14:textFill>
            <w14:solidFill>
              <w14:schemeClr w14:val="tx1"/>
            </w14:solidFill>
          </w14:textFill>
        </w:rPr>
        <w:t>本项目悬浮泥沙增量最大影响包络范围</w:t>
      </w:r>
    </w:p>
    <w:p>
      <w:pPr>
        <w:pStyle w:val="6"/>
        <w:rPr>
          <w:color w:val="000000" w:themeColor="text1"/>
          <w14:textFill>
            <w14:solidFill>
              <w14:schemeClr w14:val="tx1"/>
            </w14:solidFill>
          </w14:textFill>
        </w:rPr>
      </w:pPr>
      <w:r>
        <w:rPr>
          <w:color w:val="000000" w:themeColor="text1"/>
          <w14:textFill>
            <w14:solidFill>
              <w14:schemeClr w14:val="tx1"/>
            </w14:solidFill>
          </w14:textFill>
        </w:rPr>
        <w:t>地形地貌与冲淤环境影响预测分析</w:t>
      </w:r>
    </w:p>
    <w:p>
      <w:pPr>
        <w:pStyle w:val="684"/>
        <w:ind w:firstLine="439"/>
        <w:rPr>
          <w:b/>
          <w:bCs/>
          <w:color w:val="000000" w:themeColor="text1"/>
          <w14:textFill>
            <w14:solidFill>
              <w14:schemeClr w14:val="tx1"/>
            </w14:solidFill>
          </w14:textFill>
        </w:rPr>
      </w:pPr>
      <w:r>
        <w:rPr>
          <w:rFonts w:hint="eastAsia"/>
          <w:b/>
          <w:bCs/>
          <w:color w:val="000000" w:themeColor="text1"/>
          <w14:textFill>
            <w14:solidFill>
              <w14:schemeClr w14:val="tx1"/>
            </w14:solidFill>
          </w14:textFill>
        </w:rPr>
        <w:t>1</w:t>
      </w:r>
      <w:r>
        <w:rPr>
          <w:b/>
          <w:bCs/>
          <w:color w:val="000000" w:themeColor="text1"/>
          <w14:textFill>
            <w14:solidFill>
              <w14:schemeClr w14:val="tx1"/>
            </w14:solidFill>
          </w14:textFill>
        </w:rPr>
        <w:t>、地形地貌冲於预测模式</w:t>
      </w:r>
    </w:p>
    <w:p>
      <w:pPr>
        <w:pStyle w:val="207"/>
        <w:ind w:firstLine="437"/>
        <w:rPr>
          <w:rFonts w:ascii="Times New Roman" w:hAnsi="Times New Roman" w:cs="Times New Roman"/>
          <w:b w:val="0"/>
          <w:bCs w:val="0"/>
          <w:color w:val="000000" w:themeColor="text1"/>
          <w:sz w:val="24"/>
          <w:szCs w:val="24"/>
          <w14:textFill>
            <w14:solidFill>
              <w14:schemeClr w14:val="tx1"/>
            </w14:solidFill>
          </w14:textFill>
        </w:rPr>
      </w:pPr>
      <w:r>
        <w:rPr>
          <w:rFonts w:ascii="Times New Roman" w:hAnsi="Times New Roman" w:cs="Times New Roman"/>
          <w:b w:val="0"/>
          <w:bCs w:val="0"/>
          <w:color w:val="000000" w:themeColor="text1"/>
          <w:sz w:val="24"/>
          <w:szCs w:val="24"/>
          <w14:textFill>
            <w14:solidFill>
              <w14:schemeClr w14:val="tx1"/>
            </w14:solidFill>
          </w14:textFill>
        </w:rPr>
        <w:t>床面冲淤变化方程：</w:t>
      </w:r>
    </w:p>
    <w:p>
      <w:pPr>
        <w:pStyle w:val="207"/>
        <w:ind w:firstLine="199" w:firstLineChars="91"/>
        <w:jc w:val="center"/>
        <w:rPr>
          <w:rFonts w:ascii="Times New Roman" w:hAnsi="Times New Roman" w:cs="Times New Roman"/>
          <w:b w:val="0"/>
          <w:bCs w:val="0"/>
          <w:color w:val="000000" w:themeColor="text1"/>
          <w:sz w:val="24"/>
          <w:szCs w:val="24"/>
          <w14:textFill>
            <w14:solidFill>
              <w14:schemeClr w14:val="tx1"/>
            </w14:solidFill>
          </w14:textFill>
        </w:rPr>
      </w:pPr>
      <w:r>
        <w:rPr>
          <w:rFonts w:ascii="Times New Roman" w:hAnsi="Times New Roman" w:cs="Times New Roman"/>
          <w:b w:val="0"/>
          <w:bCs w:val="0"/>
          <w:color w:val="000000" w:themeColor="text1"/>
          <w:position w:val="-28"/>
          <w:sz w:val="24"/>
          <w:szCs w:val="24"/>
          <w14:textFill>
            <w14:solidFill>
              <w14:schemeClr w14:val="tx1"/>
            </w14:solidFill>
          </w14:textFill>
        </w:rPr>
        <w:object>
          <v:shape id="_x0000_i1036" o:spt="75" type="#_x0000_t75" style="height:35.3pt;width:129.75pt;" o:ole="t" filled="f" o:preferrelative="t" stroked="f" coordsize="21600,21600">
            <v:path/>
            <v:fill on="f" focussize="0,0"/>
            <v:stroke on="f" joinstyle="miter"/>
            <v:imagedata r:id="rId138" o:title=""/>
            <o:lock v:ext="edit" aspectratio="t"/>
            <w10:wrap type="none"/>
            <w10:anchorlock/>
          </v:shape>
          <o:OLEObject Type="Embed" ProgID="Equation.3" ShapeID="_x0000_i1036" DrawAspect="Content" ObjectID="_1468075736" r:id="rId137">
            <o:LockedField>false</o:LockedField>
          </o:OLEObject>
        </w:object>
      </w:r>
    </w:p>
    <w:p>
      <w:pPr>
        <w:pStyle w:val="207"/>
        <w:ind w:firstLine="437"/>
        <w:rPr>
          <w:rFonts w:ascii="Times New Roman" w:hAnsi="Times New Roman" w:cs="Times New Roman"/>
          <w:b w:val="0"/>
          <w:bCs w:val="0"/>
          <w:color w:val="000000" w:themeColor="text1"/>
          <w:sz w:val="24"/>
          <w:szCs w:val="24"/>
          <w14:textFill>
            <w14:solidFill>
              <w14:schemeClr w14:val="tx1"/>
            </w14:solidFill>
          </w14:textFill>
        </w:rPr>
      </w:pPr>
      <w:r>
        <w:rPr>
          <w:rFonts w:ascii="Times New Roman" w:hAnsi="Times New Roman" w:cs="Times New Roman"/>
          <w:b w:val="0"/>
          <w:bCs w:val="0"/>
          <w:color w:val="000000" w:themeColor="text1"/>
          <w:sz w:val="24"/>
          <w:szCs w:val="24"/>
          <w14:textFill>
            <w14:solidFill>
              <w14:schemeClr w14:val="tx1"/>
            </w14:solidFill>
          </w14:textFill>
        </w:rPr>
        <w:t>式中：</w:t>
      </w:r>
    </w:p>
    <w:p>
      <w:pPr>
        <w:pStyle w:val="207"/>
        <w:ind w:firstLine="437"/>
        <w:rPr>
          <w:rFonts w:ascii="Times New Roman" w:hAnsi="Times New Roman" w:cs="Times New Roman"/>
          <w:b w:val="0"/>
          <w:bCs w:val="0"/>
          <w:color w:val="000000" w:themeColor="text1"/>
          <w:sz w:val="24"/>
          <w:szCs w:val="24"/>
          <w14:textFill>
            <w14:solidFill>
              <w14:schemeClr w14:val="tx1"/>
            </w14:solidFill>
          </w14:textFill>
        </w:rPr>
      </w:pPr>
      <w:r>
        <w:rPr>
          <w:rFonts w:ascii="Times New Roman" w:hAnsi="Times New Roman" w:cs="Times New Roman"/>
          <w:b w:val="0"/>
          <w:bCs w:val="0"/>
          <w:color w:val="000000" w:themeColor="text1"/>
          <w:position w:val="-6"/>
          <w:sz w:val="24"/>
          <w:szCs w:val="24"/>
          <w14:textFill>
            <w14:solidFill>
              <w14:schemeClr w14:val="tx1"/>
            </w14:solidFill>
          </w14:textFill>
        </w:rPr>
        <w:object>
          <v:shape id="_x0000_i1037" o:spt="75" type="#_x0000_t75" style="height:12.9pt;width:20.4pt;" o:ole="t" filled="f" o:preferrelative="t" stroked="f" coordsize="21600,21600">
            <v:path/>
            <v:fill on="f" focussize="0,0"/>
            <v:stroke on="f" joinstyle="miter"/>
            <v:imagedata r:id="rId140" o:title=""/>
            <o:lock v:ext="edit" aspectratio="t"/>
            <w10:wrap type="none"/>
            <w10:anchorlock/>
          </v:shape>
          <o:OLEObject Type="Embed" ProgID="Equation.3" ShapeID="_x0000_i1037" DrawAspect="Content" ObjectID="_1468075737" r:id="rId139">
            <o:LockedField>false</o:LockedField>
          </o:OLEObject>
        </w:object>
      </w:r>
      <w:r>
        <w:rPr>
          <w:rFonts w:ascii="Times New Roman" w:hAnsi="Times New Roman" w:cs="Times New Roman"/>
          <w:b w:val="0"/>
          <w:bCs w:val="0"/>
          <w:color w:val="000000" w:themeColor="text1"/>
          <w:sz w:val="24"/>
          <w:szCs w:val="24"/>
          <w14:textFill>
            <w14:solidFill>
              <w14:schemeClr w14:val="tx1"/>
            </w14:solidFill>
          </w14:textFill>
        </w:rPr>
        <w:t>——冲淤厚度（m）；</w:t>
      </w:r>
    </w:p>
    <w:p>
      <w:pPr>
        <w:pStyle w:val="207"/>
        <w:ind w:firstLine="437"/>
        <w:rPr>
          <w:rFonts w:ascii="Times New Roman" w:hAnsi="Times New Roman" w:cs="Times New Roman"/>
          <w:b w:val="0"/>
          <w:bCs w:val="0"/>
          <w:color w:val="000000" w:themeColor="text1"/>
          <w:sz w:val="24"/>
          <w:szCs w:val="24"/>
          <w14:textFill>
            <w14:solidFill>
              <w14:schemeClr w14:val="tx1"/>
            </w14:solidFill>
          </w14:textFill>
        </w:rPr>
      </w:pPr>
      <w:r>
        <w:rPr>
          <w:rFonts w:ascii="Times New Roman" w:hAnsi="Times New Roman" w:cs="Times New Roman"/>
          <w:b w:val="0"/>
          <w:bCs w:val="0"/>
          <w:color w:val="000000" w:themeColor="text1"/>
          <w:position w:val="-12"/>
          <w:sz w:val="24"/>
          <w:szCs w:val="24"/>
          <w14:textFill>
            <w14:solidFill>
              <w14:schemeClr w14:val="tx1"/>
            </w14:solidFill>
          </w14:textFill>
        </w:rPr>
        <w:object>
          <v:shape id="_x0000_i1038" o:spt="75" type="#_x0000_t75" style="height:20.4pt;width:12.9pt;" o:ole="t" filled="f" o:preferrelative="t" stroked="f" coordsize="21600,21600">
            <v:path/>
            <v:fill on="f" focussize="0,0"/>
            <v:stroke on="f" joinstyle="miter"/>
            <v:imagedata r:id="rId142" o:title=""/>
            <o:lock v:ext="edit" aspectratio="t"/>
            <w10:wrap type="none"/>
            <w10:anchorlock/>
          </v:shape>
          <o:OLEObject Type="Embed" ProgID="Equation.3" ShapeID="_x0000_i1038" DrawAspect="Content" ObjectID="_1468075738" r:id="rId141">
            <o:LockedField>false</o:LockedField>
          </o:OLEObject>
        </w:object>
      </w:r>
      <w:r>
        <w:rPr>
          <w:rFonts w:ascii="Times New Roman" w:hAnsi="Times New Roman" w:cs="Times New Roman"/>
          <w:b w:val="0"/>
          <w:bCs w:val="0"/>
          <w:color w:val="000000" w:themeColor="text1"/>
          <w:sz w:val="24"/>
          <w:szCs w:val="24"/>
          <w14:textFill>
            <w14:solidFill>
              <w14:schemeClr w14:val="tx1"/>
            </w14:solidFill>
          </w14:textFill>
        </w:rPr>
        <w:t>——</w:t>
      </w:r>
      <w:r>
        <w:rPr>
          <w:rFonts w:ascii="Times New Roman" w:hAnsi="Times New Roman" w:cs="Times New Roman"/>
          <w:b w:val="0"/>
          <w:bCs w:val="0"/>
          <w:color w:val="000000" w:themeColor="text1"/>
          <w:position w:val="-6"/>
          <w:sz w:val="24"/>
          <w:szCs w:val="24"/>
          <w14:textFill>
            <w14:solidFill>
              <w14:schemeClr w14:val="tx1"/>
            </w14:solidFill>
          </w14:textFill>
        </w:rPr>
        <w:object>
          <v:shape id="_x0000_i1039" o:spt="75" type="#_x0000_t75" style="height:12.9pt;width:6.8pt;" o:ole="t" filled="f" o:preferrelative="t" stroked="f" coordsize="21600,21600">
            <v:path/>
            <v:fill on="f" focussize="0,0"/>
            <v:stroke on="f" joinstyle="miter"/>
            <v:imagedata r:id="rId144" o:title=""/>
            <o:lock v:ext="edit" aspectratio="t"/>
            <w10:wrap type="none"/>
            <w10:anchorlock/>
          </v:shape>
          <o:OLEObject Type="Embed" ProgID="Equation.3" ShapeID="_x0000_i1039" DrawAspect="Content" ObjectID="_1468075739" r:id="rId143">
            <o:LockedField>false</o:LockedField>
          </o:OLEObject>
        </w:object>
      </w:r>
      <w:r>
        <w:rPr>
          <w:rFonts w:ascii="Times New Roman" w:hAnsi="Times New Roman" w:cs="Times New Roman"/>
          <w:b w:val="0"/>
          <w:bCs w:val="0"/>
          <w:color w:val="000000" w:themeColor="text1"/>
          <w:sz w:val="24"/>
          <w:szCs w:val="24"/>
          <w14:textFill>
            <w14:solidFill>
              <w14:schemeClr w14:val="tx1"/>
            </w14:solidFill>
          </w14:textFill>
        </w:rPr>
        <w:t>向底沙单宽输沙率（kg/（m</w:t>
      </w:r>
      <w:r>
        <w:rPr>
          <w:rFonts w:ascii="Times New Roman" w:hAnsi="Times New Roman" w:cs="Times New Roman"/>
          <w:b w:val="0"/>
          <w:bCs w:val="0"/>
          <w:color w:val="000000" w:themeColor="text1"/>
          <w:sz w:val="24"/>
          <w:szCs w:val="24"/>
          <w:vertAlign w:val="superscript"/>
          <w14:textFill>
            <w14:solidFill>
              <w14:schemeClr w14:val="tx1"/>
            </w14:solidFill>
          </w14:textFill>
        </w:rPr>
        <w:t>2</w:t>
      </w:r>
      <w:r>
        <w:rPr>
          <w:rFonts w:ascii="Times New Roman" w:hAnsi="Times New Roman" w:cs="Times New Roman"/>
          <w:b w:val="0"/>
          <w:bCs w:val="0"/>
          <w:color w:val="000000" w:themeColor="text1"/>
          <w:sz w:val="24"/>
          <w:szCs w:val="24"/>
          <w14:textFill>
            <w14:solidFill>
              <w14:schemeClr w14:val="tx1"/>
            </w14:solidFill>
          </w14:textFill>
        </w:rPr>
        <w:t>·s））；</w:t>
      </w:r>
    </w:p>
    <w:p>
      <w:pPr>
        <w:pStyle w:val="207"/>
        <w:ind w:firstLine="423" w:firstLineChars="193"/>
        <w:rPr>
          <w:rFonts w:ascii="Times New Roman" w:hAnsi="Times New Roman" w:cs="Times New Roman"/>
          <w:b w:val="0"/>
          <w:bCs w:val="0"/>
          <w:color w:val="000000" w:themeColor="text1"/>
          <w:sz w:val="24"/>
          <w:szCs w:val="24"/>
          <w14:textFill>
            <w14:solidFill>
              <w14:schemeClr w14:val="tx1"/>
            </w14:solidFill>
          </w14:textFill>
        </w:rPr>
      </w:pPr>
      <w:r>
        <w:rPr>
          <w:rFonts w:ascii="Times New Roman" w:hAnsi="Times New Roman" w:cs="Times New Roman"/>
          <w:b w:val="0"/>
          <w:bCs w:val="0"/>
          <w:color w:val="000000" w:themeColor="text1"/>
          <w:position w:val="-14"/>
          <w:sz w:val="24"/>
          <w:szCs w:val="24"/>
          <w14:textFill>
            <w14:solidFill>
              <w14:schemeClr w14:val="tx1"/>
            </w14:solidFill>
          </w14:textFill>
        </w:rPr>
        <w:object>
          <v:shape id="_x0000_i1040" o:spt="75" type="#_x0000_t75" style="height:20.4pt;width:12.9pt;" o:ole="t" filled="f" o:preferrelative="t" stroked="f" coordsize="21600,21600">
            <v:path/>
            <v:fill on="f" focussize="0,0"/>
            <v:stroke on="f" joinstyle="miter"/>
            <v:imagedata r:id="rId146" o:title=""/>
            <o:lock v:ext="edit" aspectratio="t"/>
            <w10:wrap type="none"/>
            <w10:anchorlock/>
          </v:shape>
          <o:OLEObject Type="Embed" ProgID="Equation.3" ShapeID="_x0000_i1040" DrawAspect="Content" ObjectID="_1468075740" r:id="rId145">
            <o:LockedField>false</o:LockedField>
          </o:OLEObject>
        </w:object>
      </w:r>
      <w:r>
        <w:rPr>
          <w:rFonts w:ascii="Times New Roman" w:hAnsi="Times New Roman" w:cs="Times New Roman"/>
          <w:b w:val="0"/>
          <w:bCs w:val="0"/>
          <w:color w:val="000000" w:themeColor="text1"/>
          <w:sz w:val="24"/>
          <w:szCs w:val="24"/>
          <w14:textFill>
            <w14:solidFill>
              <w14:schemeClr w14:val="tx1"/>
            </w14:solidFill>
          </w14:textFill>
        </w:rPr>
        <w:t>——</w:t>
      </w:r>
      <w:r>
        <w:rPr>
          <w:rFonts w:ascii="Times New Roman" w:hAnsi="Times New Roman" w:cs="Times New Roman"/>
          <w:b w:val="0"/>
          <w:bCs w:val="0"/>
          <w:color w:val="000000" w:themeColor="text1"/>
          <w:position w:val="-10"/>
          <w:sz w:val="24"/>
          <w:szCs w:val="24"/>
          <w14:textFill>
            <w14:solidFill>
              <w14:schemeClr w14:val="tx1"/>
            </w14:solidFill>
          </w14:textFill>
        </w:rPr>
        <w:object>
          <v:shape id="_x0000_i1041" o:spt="75" type="#_x0000_t75" style="height:12.9pt;width:12.9pt;" o:ole="t" filled="f" o:preferrelative="t" stroked="f" coordsize="21600,21600">
            <v:path/>
            <v:fill on="f" focussize="0,0"/>
            <v:stroke on="f" joinstyle="miter"/>
            <v:imagedata r:id="rId148" o:title=""/>
            <o:lock v:ext="edit" aspectratio="t"/>
            <w10:wrap type="none"/>
            <w10:anchorlock/>
          </v:shape>
          <o:OLEObject Type="Embed" ProgID="Equation.3" ShapeID="_x0000_i1041" DrawAspect="Content" ObjectID="_1468075741" r:id="rId147">
            <o:LockedField>false</o:LockedField>
          </o:OLEObject>
        </w:object>
      </w:r>
      <w:r>
        <w:rPr>
          <w:rFonts w:ascii="Times New Roman" w:hAnsi="Times New Roman" w:cs="Times New Roman"/>
          <w:b w:val="0"/>
          <w:bCs w:val="0"/>
          <w:color w:val="000000" w:themeColor="text1"/>
          <w:sz w:val="24"/>
          <w:szCs w:val="24"/>
          <w14:textFill>
            <w14:solidFill>
              <w14:schemeClr w14:val="tx1"/>
            </w14:solidFill>
          </w14:textFill>
        </w:rPr>
        <w:t>向底沙单宽输沙率（kg/（m</w:t>
      </w:r>
      <w:r>
        <w:rPr>
          <w:rFonts w:ascii="Times New Roman" w:hAnsi="Times New Roman" w:cs="Times New Roman"/>
          <w:b w:val="0"/>
          <w:bCs w:val="0"/>
          <w:color w:val="000000" w:themeColor="text1"/>
          <w:sz w:val="24"/>
          <w:szCs w:val="24"/>
          <w:vertAlign w:val="superscript"/>
          <w14:textFill>
            <w14:solidFill>
              <w14:schemeClr w14:val="tx1"/>
            </w14:solidFill>
          </w14:textFill>
        </w:rPr>
        <w:t>2</w:t>
      </w:r>
      <w:r>
        <w:rPr>
          <w:rFonts w:ascii="Times New Roman" w:hAnsi="Times New Roman" w:cs="Times New Roman"/>
          <w:b w:val="0"/>
          <w:bCs w:val="0"/>
          <w:color w:val="000000" w:themeColor="text1"/>
          <w:sz w:val="24"/>
          <w:szCs w:val="24"/>
          <w14:textFill>
            <w14:solidFill>
              <w14:schemeClr w14:val="tx1"/>
            </w14:solidFill>
          </w14:textFill>
        </w:rPr>
        <w:t>·s））；</w:t>
      </w:r>
    </w:p>
    <w:p>
      <w:pPr>
        <w:pStyle w:val="207"/>
        <w:ind w:firstLine="437"/>
        <w:rPr>
          <w:rFonts w:ascii="Times New Roman" w:hAnsi="Times New Roman" w:cs="Times New Roman"/>
          <w:b w:val="0"/>
          <w:bCs w:val="0"/>
          <w:color w:val="000000" w:themeColor="text1"/>
          <w:sz w:val="24"/>
          <w:szCs w:val="24"/>
          <w14:textFill>
            <w14:solidFill>
              <w14:schemeClr w14:val="tx1"/>
            </w14:solidFill>
          </w14:textFill>
        </w:rPr>
      </w:pPr>
      <w:r>
        <w:rPr>
          <w:rFonts w:ascii="Times New Roman" w:hAnsi="Times New Roman" w:cs="Times New Roman"/>
          <w:b w:val="0"/>
          <w:bCs w:val="0"/>
          <w:color w:val="000000" w:themeColor="text1"/>
          <w:sz w:val="24"/>
          <w:szCs w:val="24"/>
          <w14:textFill>
            <w14:solidFill>
              <w14:schemeClr w14:val="tx1"/>
            </w14:solidFill>
          </w14:textFill>
        </w:rPr>
        <w:object>
          <v:shape id="_x0000_i1042" o:spt="75" type="#_x0000_t75" style="height:20.4pt;width:12.9pt;" o:ole="t" filled="f" o:preferrelative="t" stroked="f" coordsize="21600,21600">
            <v:path/>
            <v:fill on="f" focussize="0,0"/>
            <v:stroke on="f" joinstyle="miter"/>
            <v:imagedata r:id="rId150" o:title=""/>
            <o:lock v:ext="edit" aspectratio="t"/>
            <w10:wrap type="none"/>
            <w10:anchorlock/>
          </v:shape>
          <o:OLEObject Type="Embed" ProgID="Equation.3" ShapeID="_x0000_i1042" DrawAspect="Content" ObjectID="_1468075742" r:id="rId149">
            <o:LockedField>false</o:LockedField>
          </o:OLEObject>
        </w:object>
      </w:r>
      <w:r>
        <w:rPr>
          <w:rFonts w:ascii="Times New Roman" w:hAnsi="Times New Roman" w:cs="Times New Roman"/>
          <w:b w:val="0"/>
          <w:bCs w:val="0"/>
          <w:color w:val="000000" w:themeColor="text1"/>
          <w:sz w:val="24"/>
          <w:szCs w:val="24"/>
          <w14:textFill>
            <w14:solidFill>
              <w14:schemeClr w14:val="tx1"/>
            </w14:solidFill>
          </w14:textFill>
        </w:rPr>
        <w:t>——底沙干容重（kg/m</w:t>
      </w:r>
      <w:r>
        <w:rPr>
          <w:rFonts w:ascii="Times New Roman" w:hAnsi="Times New Roman" w:cs="Times New Roman"/>
          <w:b w:val="0"/>
          <w:bCs w:val="0"/>
          <w:color w:val="000000" w:themeColor="text1"/>
          <w:sz w:val="24"/>
          <w:szCs w:val="24"/>
          <w:vertAlign w:val="superscript"/>
          <w14:textFill>
            <w14:solidFill>
              <w14:schemeClr w14:val="tx1"/>
            </w14:solidFill>
          </w14:textFill>
        </w:rPr>
        <w:t>3</w:t>
      </w:r>
      <w:r>
        <w:rPr>
          <w:rFonts w:ascii="Times New Roman" w:hAnsi="Times New Roman" w:cs="Times New Roman"/>
          <w:b w:val="0"/>
          <w:bCs w:val="0"/>
          <w:color w:val="000000" w:themeColor="text1"/>
          <w:sz w:val="24"/>
          <w:szCs w:val="24"/>
          <w14:textFill>
            <w14:solidFill>
              <w14:schemeClr w14:val="tx1"/>
            </w14:solidFill>
          </w14:textFill>
        </w:rPr>
        <w:t>）；</w:t>
      </w:r>
    </w:p>
    <w:p>
      <w:pPr>
        <w:pStyle w:val="207"/>
        <w:ind w:firstLine="437"/>
        <w:rPr>
          <w:rFonts w:ascii="Times New Roman" w:hAnsi="Times New Roman" w:cs="Times New Roman"/>
          <w:b w:val="0"/>
          <w:bCs w:val="0"/>
          <w:color w:val="000000" w:themeColor="text1"/>
          <w:sz w:val="24"/>
          <w:szCs w:val="24"/>
          <w14:textFill>
            <w14:solidFill>
              <w14:schemeClr w14:val="tx1"/>
            </w14:solidFill>
          </w14:textFill>
        </w:rPr>
      </w:pPr>
      <w:r>
        <w:rPr>
          <w:rFonts w:ascii="Times New Roman" w:hAnsi="Times New Roman" w:cs="Times New Roman"/>
          <w:b w:val="0"/>
          <w:bCs w:val="0"/>
          <w:i/>
          <w:color w:val="000000" w:themeColor="text1"/>
          <w:sz w:val="24"/>
          <w:szCs w:val="24"/>
          <w14:textFill>
            <w14:solidFill>
              <w14:schemeClr w14:val="tx1"/>
            </w14:solidFill>
          </w14:textFill>
        </w:rPr>
        <w:t>F</w:t>
      </w:r>
      <w:r>
        <w:rPr>
          <w:rFonts w:ascii="Times New Roman" w:hAnsi="Times New Roman" w:cs="Times New Roman"/>
          <w:b w:val="0"/>
          <w:bCs w:val="0"/>
          <w:i/>
          <w:color w:val="000000" w:themeColor="text1"/>
          <w:sz w:val="24"/>
          <w:szCs w:val="24"/>
          <w:vertAlign w:val="subscript"/>
          <w14:textFill>
            <w14:solidFill>
              <w14:schemeClr w14:val="tx1"/>
            </w14:solidFill>
          </w14:textFill>
        </w:rPr>
        <w:t>s</w:t>
      </w:r>
      <w:r>
        <w:rPr>
          <w:rFonts w:ascii="Times New Roman" w:hAnsi="Times New Roman" w:cs="Times New Roman"/>
          <w:b w:val="0"/>
          <w:bCs w:val="0"/>
          <w:color w:val="000000" w:themeColor="text1"/>
          <w:sz w:val="24"/>
          <w:szCs w:val="24"/>
          <w14:textFill>
            <w14:solidFill>
              <w14:schemeClr w14:val="tx1"/>
            </w14:solidFill>
          </w14:textFill>
        </w:rPr>
        <w:t>——源汇函数[kg/( m</w:t>
      </w:r>
      <w:r>
        <w:rPr>
          <w:rFonts w:ascii="Times New Roman" w:hAnsi="Times New Roman" w:cs="Times New Roman"/>
          <w:b w:val="0"/>
          <w:bCs w:val="0"/>
          <w:color w:val="000000" w:themeColor="text1"/>
          <w:sz w:val="24"/>
          <w:szCs w:val="24"/>
          <w:vertAlign w:val="superscript"/>
          <w14:textFill>
            <w14:solidFill>
              <w14:schemeClr w14:val="tx1"/>
            </w14:solidFill>
          </w14:textFill>
        </w:rPr>
        <w:t>2</w:t>
      </w:r>
      <w:r>
        <w:rPr>
          <w:rFonts w:ascii="Times New Roman" w:hAnsi="Times New Roman" w:cs="Times New Roman"/>
          <w:b w:val="0"/>
          <w:bCs w:val="0"/>
          <w:color w:val="000000" w:themeColor="text1"/>
          <w:sz w:val="24"/>
          <w:szCs w:val="24"/>
          <w14:textFill>
            <w14:solidFill>
              <w14:schemeClr w14:val="tx1"/>
            </w14:solidFill>
          </w14:textFill>
        </w:rPr>
        <w:t>·s)]。</w:t>
      </w:r>
    </w:p>
    <w:p>
      <w:pPr>
        <w:pStyle w:val="207"/>
        <w:ind w:firstLine="437"/>
        <w:rPr>
          <w:rFonts w:ascii="Times New Roman" w:hAnsi="Times New Roman" w:cs="Times New Roman"/>
          <w:b w:val="0"/>
          <w:bCs w:val="0"/>
          <w:color w:val="000000" w:themeColor="text1"/>
          <w:sz w:val="24"/>
          <w:szCs w:val="24"/>
          <w14:textFill>
            <w14:solidFill>
              <w14:schemeClr w14:val="tx1"/>
            </w14:solidFill>
          </w14:textFill>
        </w:rPr>
      </w:pPr>
      <w:r>
        <w:rPr>
          <w:rFonts w:ascii="Times New Roman" w:hAnsi="Times New Roman" w:cs="Times New Roman"/>
          <w:b w:val="0"/>
          <w:bCs w:val="0"/>
          <w:color w:val="000000" w:themeColor="text1"/>
          <w:sz w:val="24"/>
          <w:szCs w:val="24"/>
          <w14:textFill>
            <w14:solidFill>
              <w14:schemeClr w14:val="tx1"/>
            </w14:solidFill>
          </w14:textFill>
        </w:rPr>
        <w:t>泥沙数学模型需确定的主要有床面切应力、颗粒沉速、淤积物干容重及冲淤项相关参数等，详述如下：</w:t>
      </w:r>
    </w:p>
    <w:p>
      <w:pPr>
        <w:pStyle w:val="207"/>
        <w:ind w:firstLine="437"/>
        <w:rPr>
          <w:rFonts w:ascii="Times New Roman" w:hAnsi="Times New Roman" w:cs="Times New Roman"/>
          <w:b w:val="0"/>
          <w:bCs w:val="0"/>
          <w:color w:val="000000" w:themeColor="text1"/>
          <w:sz w:val="24"/>
          <w:szCs w:val="24"/>
          <w14:textFill>
            <w14:solidFill>
              <w14:schemeClr w14:val="tx1"/>
            </w14:solidFill>
          </w14:textFill>
        </w:rPr>
      </w:pPr>
      <w:r>
        <w:rPr>
          <w:rFonts w:hint="eastAsia"/>
          <w:b w:val="0"/>
          <w:bCs w:val="0"/>
          <w:color w:val="000000" w:themeColor="text1"/>
          <w:sz w:val="24"/>
          <w:szCs w:val="24"/>
          <w14:textFill>
            <w14:solidFill>
              <w14:schemeClr w14:val="tx1"/>
            </w14:solidFill>
          </w14:textFill>
        </w:rPr>
        <w:t>①</w:t>
      </w:r>
      <w:r>
        <w:rPr>
          <w:rFonts w:ascii="Times New Roman" w:hAnsi="Times New Roman" w:cs="Times New Roman"/>
          <w:b w:val="0"/>
          <w:bCs w:val="0"/>
          <w:color w:val="000000" w:themeColor="text1"/>
          <w:sz w:val="24"/>
          <w:szCs w:val="24"/>
          <w14:textFill>
            <w14:solidFill>
              <w14:schemeClr w14:val="tx1"/>
            </w14:solidFill>
          </w14:textFill>
        </w:rPr>
        <w:t>床面切应力</w:t>
      </w:r>
    </w:p>
    <w:p>
      <w:pPr>
        <w:pStyle w:val="207"/>
        <w:ind w:firstLine="437"/>
        <w:rPr>
          <w:rFonts w:ascii="Times New Roman" w:hAnsi="Times New Roman" w:cs="Times New Roman"/>
          <w:b w:val="0"/>
          <w:bCs w:val="0"/>
          <w:color w:val="000000" w:themeColor="text1"/>
          <w:sz w:val="24"/>
          <w:szCs w:val="24"/>
          <w14:textFill>
            <w14:solidFill>
              <w14:schemeClr w14:val="tx1"/>
            </w14:solidFill>
          </w14:textFill>
        </w:rPr>
      </w:pPr>
      <w:r>
        <w:rPr>
          <w:rFonts w:ascii="Times New Roman" w:hAnsi="Times New Roman" w:cs="Times New Roman"/>
          <w:b w:val="0"/>
          <w:bCs w:val="0"/>
          <w:color w:val="000000" w:themeColor="text1"/>
          <w:sz w:val="24"/>
          <w:szCs w:val="24"/>
          <w14:textFill>
            <w14:solidFill>
              <w14:schemeClr w14:val="tx1"/>
            </w14:solidFill>
          </w14:textFill>
        </w:rPr>
        <w:t>波浪潮流联合作用下的床面切应力使用下式计算：</w:t>
      </w:r>
    </w:p>
    <w:p>
      <w:pPr>
        <w:pStyle w:val="207"/>
        <w:ind w:firstLine="557"/>
        <w:jc w:val="center"/>
        <w:rPr>
          <w:rFonts w:ascii="Times New Roman" w:hAnsi="Times New Roman" w:cs="Times New Roman"/>
          <w:b w:val="0"/>
          <w:bCs w:val="0"/>
          <w:color w:val="000000" w:themeColor="text1"/>
          <w:sz w:val="24"/>
          <w:szCs w:val="24"/>
          <w14:textFill>
            <w14:solidFill>
              <w14:schemeClr w14:val="tx1"/>
            </w14:solidFill>
          </w14:textFill>
        </w:rPr>
      </w:pPr>
      <w:r>
        <w:rPr>
          <w:rFonts w:ascii="Times New Roman" w:hAnsi="Times New Roman" w:cs="Times New Roman"/>
          <w:b w:val="0"/>
          <w:bCs w:val="0"/>
          <w:color w:val="000000" w:themeColor="text1"/>
          <w:position w:val="-24"/>
          <w:sz w:val="30"/>
          <w:szCs w:val="30"/>
          <w14:textFill>
            <w14:solidFill>
              <w14:schemeClr w14:val="tx1"/>
            </w14:solidFill>
          </w14:textFill>
        </w:rPr>
        <w:object>
          <v:shape id="_x0000_i1043" o:spt="75" type="#_x0000_t75" style="height:36.7pt;width:194.25pt;" o:ole="t" filled="f" o:preferrelative="t" stroked="f" coordsize="21600,21600">
            <v:path/>
            <v:fill on="f" focussize="0,0"/>
            <v:stroke on="f" joinstyle="miter"/>
            <v:imagedata r:id="rId152" o:title=""/>
            <o:lock v:ext="edit" aspectratio="t"/>
            <w10:wrap type="none"/>
            <w10:anchorlock/>
          </v:shape>
          <o:OLEObject Type="Embed" ProgID="Equation.DSMT4" ShapeID="_x0000_i1043" DrawAspect="Content" ObjectID="_1468075743" r:id="rId151">
            <o:LockedField>false</o:LockedField>
          </o:OLEObject>
        </w:object>
      </w:r>
    </w:p>
    <w:p>
      <w:pPr>
        <w:pStyle w:val="207"/>
        <w:ind w:firstLine="437"/>
        <w:rPr>
          <w:rFonts w:ascii="Times New Roman" w:hAnsi="Times New Roman" w:cs="Times New Roman"/>
          <w:b w:val="0"/>
          <w:bCs w:val="0"/>
          <w:color w:val="000000" w:themeColor="text1"/>
          <w:sz w:val="24"/>
          <w:szCs w:val="24"/>
          <w14:textFill>
            <w14:solidFill>
              <w14:schemeClr w14:val="tx1"/>
            </w14:solidFill>
          </w14:textFill>
        </w:rPr>
      </w:pPr>
      <w:r>
        <w:rPr>
          <w:rFonts w:ascii="Times New Roman" w:hAnsi="Times New Roman" w:cs="Times New Roman"/>
          <w:b w:val="0"/>
          <w:bCs w:val="0"/>
          <w:color w:val="000000" w:themeColor="text1"/>
          <w:sz w:val="24"/>
          <w:szCs w:val="24"/>
          <w14:textFill>
            <w14:solidFill>
              <w14:schemeClr w14:val="tx1"/>
            </w14:solidFill>
          </w14:textFill>
        </w:rPr>
        <w:t>式中：</w:t>
      </w:r>
      <w:r>
        <w:rPr>
          <w:rFonts w:ascii="Times New Roman" w:hAnsi="Times New Roman" w:cs="Times New Roman"/>
          <w:b w:val="0"/>
          <w:bCs w:val="0"/>
          <w:i/>
          <w:color w:val="000000" w:themeColor="text1"/>
          <w:sz w:val="24"/>
          <w:szCs w:val="24"/>
          <w14:textFill>
            <w14:solidFill>
              <w14:schemeClr w14:val="tx1"/>
            </w14:solidFill>
          </w14:textFill>
        </w:rPr>
        <w:t>ρ</w:t>
      </w:r>
      <w:r>
        <w:rPr>
          <w:rFonts w:ascii="Times New Roman" w:hAnsi="Times New Roman" w:cs="Times New Roman"/>
          <w:b w:val="0"/>
          <w:bCs w:val="0"/>
          <w:i/>
          <w:color w:val="000000" w:themeColor="text1"/>
          <w:sz w:val="24"/>
          <w:szCs w:val="24"/>
          <w:vertAlign w:val="subscript"/>
          <w14:textFill>
            <w14:solidFill>
              <w14:schemeClr w14:val="tx1"/>
            </w14:solidFill>
          </w14:textFill>
        </w:rPr>
        <w:t>w</w:t>
      </w:r>
      <w:r>
        <w:rPr>
          <w:rFonts w:ascii="Times New Roman" w:hAnsi="Times New Roman" w:cs="Times New Roman"/>
          <w:b w:val="0"/>
          <w:bCs w:val="0"/>
          <w:color w:val="000000" w:themeColor="text1"/>
          <w:sz w:val="24"/>
          <w:szCs w:val="24"/>
          <w14:textFill>
            <w14:solidFill>
              <w14:schemeClr w14:val="tx1"/>
            </w14:solidFill>
          </w14:textFill>
        </w:rPr>
        <w:t>为水体密度，</w:t>
      </w:r>
      <w:r>
        <w:rPr>
          <w:rFonts w:ascii="Times New Roman" w:hAnsi="Times New Roman" w:cs="Times New Roman"/>
          <w:b w:val="0"/>
          <w:bCs w:val="0"/>
          <w:i/>
          <w:color w:val="000000" w:themeColor="text1"/>
          <w:sz w:val="24"/>
          <w:szCs w:val="24"/>
          <w14:textFill>
            <w14:solidFill>
              <w14:schemeClr w14:val="tx1"/>
            </w14:solidFill>
          </w14:textFill>
        </w:rPr>
        <w:t>U</w:t>
      </w:r>
      <w:r>
        <w:rPr>
          <w:rFonts w:ascii="Times New Roman" w:hAnsi="Times New Roman" w:cs="Times New Roman"/>
          <w:b w:val="0"/>
          <w:bCs w:val="0"/>
          <w:i/>
          <w:color w:val="000000" w:themeColor="text1"/>
          <w:sz w:val="24"/>
          <w:szCs w:val="24"/>
          <w:vertAlign w:val="subscript"/>
          <w14:textFill>
            <w14:solidFill>
              <w14:schemeClr w14:val="tx1"/>
            </w14:solidFill>
          </w14:textFill>
        </w:rPr>
        <w:t>b</w:t>
      </w:r>
      <w:r>
        <w:rPr>
          <w:rFonts w:ascii="Times New Roman" w:hAnsi="Times New Roman" w:cs="Times New Roman"/>
          <w:b w:val="0"/>
          <w:bCs w:val="0"/>
          <w:color w:val="000000" w:themeColor="text1"/>
          <w:sz w:val="24"/>
          <w:szCs w:val="24"/>
          <w14:textFill>
            <w14:solidFill>
              <w14:schemeClr w14:val="tx1"/>
            </w14:solidFill>
          </w14:textFill>
        </w:rPr>
        <w:t>为波浪水质点在床底的水平轨道速度；</w:t>
      </w:r>
      <w:r>
        <w:rPr>
          <w:rFonts w:ascii="Times New Roman" w:hAnsi="Times New Roman" w:cs="Times New Roman"/>
          <w:b w:val="0"/>
          <w:bCs w:val="0"/>
          <w:i/>
          <w:color w:val="000000" w:themeColor="text1"/>
          <w:sz w:val="24"/>
          <w:szCs w:val="24"/>
          <w14:textFill>
            <w14:solidFill>
              <w14:schemeClr w14:val="tx1"/>
            </w14:solidFill>
          </w14:textFill>
        </w:rPr>
        <w:t>U</w:t>
      </w:r>
      <w:r>
        <w:rPr>
          <w:rFonts w:ascii="Times New Roman" w:hAnsi="Times New Roman" w:cs="Times New Roman"/>
          <w:b w:val="0"/>
          <w:bCs w:val="0"/>
          <w:i/>
          <w:color w:val="000000" w:themeColor="text1"/>
          <w:sz w:val="24"/>
          <w:szCs w:val="24"/>
          <w:vertAlign w:val="subscript"/>
          <w14:textFill>
            <w14:solidFill>
              <w14:schemeClr w14:val="tx1"/>
            </w14:solidFill>
          </w14:textFill>
        </w:rPr>
        <w:t>δ</w:t>
      </w:r>
      <w:r>
        <w:rPr>
          <w:rFonts w:ascii="Times New Roman" w:hAnsi="Times New Roman" w:cs="Times New Roman"/>
          <w:b w:val="0"/>
          <w:bCs w:val="0"/>
          <w:color w:val="000000" w:themeColor="text1"/>
          <w:sz w:val="24"/>
          <w:szCs w:val="24"/>
          <w14:textFill>
            <w14:solidFill>
              <w14:schemeClr w14:val="tx1"/>
            </w14:solidFill>
          </w14:textFill>
        </w:rPr>
        <w:t>为波浪边界层顶部的流速；</w:t>
      </w:r>
      <w:r>
        <w:rPr>
          <w:rFonts w:ascii="Times New Roman" w:hAnsi="Times New Roman" w:cs="Times New Roman"/>
          <w:b w:val="0"/>
          <w:bCs w:val="0"/>
          <w:i/>
          <w:color w:val="000000" w:themeColor="text1"/>
          <w:sz w:val="24"/>
          <w:szCs w:val="24"/>
          <w14:textFill>
            <w14:solidFill>
              <w14:schemeClr w14:val="tx1"/>
            </w14:solidFill>
          </w14:textFill>
        </w:rPr>
        <w:t xml:space="preserve">β </w:t>
      </w:r>
      <w:r>
        <w:rPr>
          <w:rFonts w:ascii="Times New Roman" w:hAnsi="Times New Roman" w:cs="Times New Roman"/>
          <w:b w:val="0"/>
          <w:bCs w:val="0"/>
          <w:color w:val="000000" w:themeColor="text1"/>
          <w:sz w:val="24"/>
          <w:szCs w:val="24"/>
          <w14:textFill>
            <w14:solidFill>
              <w14:schemeClr w14:val="tx1"/>
            </w14:solidFill>
          </w14:textFill>
        </w:rPr>
        <w:t>为流向与波向的夹角；</w:t>
      </w:r>
      <w:r>
        <w:rPr>
          <w:rFonts w:ascii="Times New Roman" w:hAnsi="Times New Roman" w:cs="Times New Roman"/>
          <w:b w:val="0"/>
          <w:bCs w:val="0"/>
          <w:i/>
          <w:color w:val="000000" w:themeColor="text1"/>
          <w:sz w:val="24"/>
          <w:szCs w:val="24"/>
          <w14:textFill>
            <w14:solidFill>
              <w14:schemeClr w14:val="tx1"/>
            </w14:solidFill>
          </w14:textFill>
        </w:rPr>
        <w:t>f</w:t>
      </w:r>
      <w:r>
        <w:rPr>
          <w:rFonts w:ascii="Times New Roman" w:hAnsi="Times New Roman" w:cs="Times New Roman"/>
          <w:b w:val="0"/>
          <w:bCs w:val="0"/>
          <w:i/>
          <w:color w:val="000000" w:themeColor="text1"/>
          <w:sz w:val="24"/>
          <w:szCs w:val="24"/>
          <w:vertAlign w:val="subscript"/>
          <w14:textFill>
            <w14:solidFill>
              <w14:schemeClr w14:val="tx1"/>
            </w14:solidFill>
          </w14:textFill>
        </w:rPr>
        <w:t>w</w:t>
      </w:r>
      <w:r>
        <w:rPr>
          <w:rFonts w:ascii="Times New Roman" w:hAnsi="Times New Roman" w:cs="Times New Roman"/>
          <w:b w:val="0"/>
          <w:bCs w:val="0"/>
          <w:color w:val="000000" w:themeColor="text1"/>
          <w:sz w:val="24"/>
          <w:szCs w:val="24"/>
          <w14:textFill>
            <w14:solidFill>
              <w14:schemeClr w14:val="tx1"/>
            </w14:solidFill>
          </w14:textFill>
        </w:rPr>
        <w:t>为波浪底摩阻系数，按下式估算：</w:t>
      </w:r>
    </w:p>
    <w:p>
      <w:pPr>
        <w:pStyle w:val="207"/>
        <w:ind w:firstLine="517"/>
        <w:jc w:val="center"/>
        <w:rPr>
          <w:rFonts w:ascii="Times New Roman" w:hAnsi="Times New Roman" w:cs="Times New Roman"/>
          <w:b w:val="0"/>
          <w:bCs w:val="0"/>
          <w:color w:val="000000" w:themeColor="text1"/>
          <w:sz w:val="24"/>
          <w:szCs w:val="24"/>
          <w14:textFill>
            <w14:solidFill>
              <w14:schemeClr w14:val="tx1"/>
            </w14:solidFill>
          </w14:textFill>
        </w:rPr>
      </w:pPr>
      <w:r>
        <w:rPr>
          <w:rFonts w:ascii="Times New Roman" w:hAnsi="Times New Roman" w:cs="Times New Roman"/>
          <w:b w:val="0"/>
          <w:bCs w:val="0"/>
          <w:color w:val="000000" w:themeColor="text1"/>
          <w:position w:val="-38"/>
          <w:szCs w:val="24"/>
          <w14:textFill>
            <w14:solidFill>
              <w14:schemeClr w14:val="tx1"/>
            </w14:solidFill>
          </w14:textFill>
        </w:rPr>
        <w:object>
          <v:shape id="_x0000_i1044" o:spt="75" type="#_x0000_t75" style="height:42.1pt;width:164.4pt;" o:ole="t" filled="f" o:preferrelative="t" stroked="f" coordsize="21600,21600">
            <v:path/>
            <v:fill on="f" focussize="0,0"/>
            <v:stroke on="f" joinstyle="miter"/>
            <v:imagedata r:id="rId154" o:title=""/>
            <o:lock v:ext="edit" aspectratio="t"/>
            <w10:wrap type="none"/>
            <w10:anchorlock/>
          </v:shape>
          <o:OLEObject Type="Embed" ProgID="Equation.DSMT4" ShapeID="_x0000_i1044" DrawAspect="Content" ObjectID="_1468075744" r:id="rId153">
            <o:LockedField>false</o:LockedField>
          </o:OLEObject>
        </w:object>
      </w:r>
    </w:p>
    <w:p>
      <w:pPr>
        <w:pStyle w:val="207"/>
        <w:ind w:firstLine="437"/>
        <w:rPr>
          <w:rFonts w:ascii="Times New Roman" w:hAnsi="Times New Roman" w:cs="Times New Roman"/>
          <w:b w:val="0"/>
          <w:bCs w:val="0"/>
          <w:color w:val="000000" w:themeColor="text1"/>
          <w:sz w:val="24"/>
          <w:szCs w:val="24"/>
          <w14:textFill>
            <w14:solidFill>
              <w14:schemeClr w14:val="tx1"/>
            </w14:solidFill>
          </w14:textFill>
        </w:rPr>
      </w:pPr>
      <w:r>
        <w:rPr>
          <w:rFonts w:ascii="Times New Roman" w:hAnsi="Times New Roman" w:cs="Times New Roman"/>
          <w:b w:val="0"/>
          <w:bCs w:val="0"/>
          <w:color w:val="000000" w:themeColor="text1"/>
          <w:sz w:val="24"/>
          <w:szCs w:val="24"/>
          <w14:textFill>
            <w14:solidFill>
              <w14:schemeClr w14:val="tx1"/>
            </w14:solidFill>
          </w14:textFill>
        </w:rPr>
        <w:t>式中，</w:t>
      </w:r>
      <w:r>
        <w:rPr>
          <w:rFonts w:ascii="Times New Roman" w:hAnsi="Times New Roman" w:cs="Times New Roman"/>
          <w:b w:val="0"/>
          <w:bCs w:val="0"/>
          <w:i/>
          <w:color w:val="000000" w:themeColor="text1"/>
          <w:sz w:val="24"/>
          <w:szCs w:val="24"/>
          <w14:textFill>
            <w14:solidFill>
              <w14:schemeClr w14:val="tx1"/>
            </w14:solidFill>
          </w14:textFill>
        </w:rPr>
        <w:t xml:space="preserve">a </w:t>
      </w:r>
      <w:r>
        <w:rPr>
          <w:rFonts w:ascii="Times New Roman" w:hAnsi="Times New Roman" w:cs="Times New Roman"/>
          <w:b w:val="0"/>
          <w:bCs w:val="0"/>
          <w:color w:val="000000" w:themeColor="text1"/>
          <w:sz w:val="24"/>
          <w:szCs w:val="24"/>
          <w14:textFill>
            <w14:solidFill>
              <w14:schemeClr w14:val="tx1"/>
            </w14:solidFill>
          </w14:textFill>
        </w:rPr>
        <w:t>为波浪水质点在床底的平均振幅；</w:t>
      </w:r>
      <w:r>
        <w:rPr>
          <w:rFonts w:ascii="Times New Roman" w:hAnsi="Times New Roman" w:cs="Times New Roman"/>
          <w:b w:val="0"/>
          <w:bCs w:val="0"/>
          <w:i/>
          <w:color w:val="000000" w:themeColor="text1"/>
          <w:sz w:val="24"/>
          <w:szCs w:val="24"/>
          <w14:textFill>
            <w14:solidFill>
              <w14:schemeClr w14:val="tx1"/>
            </w14:solidFill>
          </w14:textFill>
        </w:rPr>
        <w:t>k</w:t>
      </w:r>
      <w:r>
        <w:rPr>
          <w:rFonts w:ascii="Times New Roman" w:hAnsi="Times New Roman" w:cs="Times New Roman"/>
          <w:b w:val="0"/>
          <w:bCs w:val="0"/>
          <w:i/>
          <w:color w:val="000000" w:themeColor="text1"/>
          <w:sz w:val="24"/>
          <w:szCs w:val="24"/>
          <w:vertAlign w:val="subscript"/>
          <w14:textFill>
            <w14:solidFill>
              <w14:schemeClr w14:val="tx1"/>
            </w14:solidFill>
          </w14:textFill>
        </w:rPr>
        <w:t>b</w:t>
      </w:r>
      <w:r>
        <w:rPr>
          <w:rFonts w:ascii="Times New Roman" w:hAnsi="Times New Roman" w:cs="Times New Roman"/>
          <w:b w:val="0"/>
          <w:bCs w:val="0"/>
          <w:color w:val="000000" w:themeColor="text1"/>
          <w:sz w:val="24"/>
          <w:szCs w:val="24"/>
          <w14:textFill>
            <w14:solidFill>
              <w14:schemeClr w14:val="tx1"/>
            </w14:solidFill>
          </w14:textFill>
        </w:rPr>
        <w:t>为粗糙高度。</w:t>
      </w:r>
    </w:p>
    <w:p>
      <w:pPr>
        <w:pStyle w:val="207"/>
        <w:ind w:firstLine="437"/>
        <w:rPr>
          <w:rFonts w:ascii="Times New Roman" w:hAnsi="Times New Roman" w:cs="Times New Roman"/>
          <w:b w:val="0"/>
          <w:bCs w:val="0"/>
          <w:color w:val="000000" w:themeColor="text1"/>
          <w:sz w:val="24"/>
          <w:szCs w:val="24"/>
          <w14:textFill>
            <w14:solidFill>
              <w14:schemeClr w14:val="tx1"/>
            </w14:solidFill>
          </w14:textFill>
        </w:rPr>
      </w:pPr>
      <w:r>
        <w:rPr>
          <w:rFonts w:hint="eastAsia"/>
          <w:b w:val="0"/>
          <w:bCs w:val="0"/>
          <w:color w:val="000000" w:themeColor="text1"/>
          <w:sz w:val="24"/>
          <w:szCs w:val="24"/>
          <w14:textFill>
            <w14:solidFill>
              <w14:schemeClr w14:val="tx1"/>
            </w14:solidFill>
          </w14:textFill>
        </w:rPr>
        <w:t>②</w:t>
      </w:r>
      <w:r>
        <w:rPr>
          <w:rFonts w:ascii="Times New Roman" w:hAnsi="Times New Roman" w:cs="Times New Roman"/>
          <w:b w:val="0"/>
          <w:bCs w:val="0"/>
          <w:color w:val="000000" w:themeColor="text1"/>
          <w:sz w:val="24"/>
          <w:szCs w:val="24"/>
          <w14:textFill>
            <w14:solidFill>
              <w14:schemeClr w14:val="tx1"/>
            </w14:solidFill>
          </w14:textFill>
        </w:rPr>
        <w:t>泥沙颗粒沉速：</w:t>
      </w:r>
    </w:p>
    <w:p>
      <w:pPr>
        <w:autoSpaceDE w:val="0"/>
        <w:autoSpaceDN w:val="0"/>
        <w:ind w:firstLine="438" w:firstLineChars="200"/>
        <w:jc w:val="left"/>
        <w:rPr>
          <w:color w:val="000000" w:themeColor="text1"/>
          <w:kern w:val="0"/>
          <w14:textFill>
            <w14:solidFill>
              <w14:schemeClr w14:val="tx1"/>
            </w14:solidFill>
          </w14:textFill>
        </w:rPr>
      </w:pPr>
      <w:r>
        <w:rPr>
          <w:color w:val="000000" w:themeColor="text1"/>
          <w:kern w:val="0"/>
          <w14:textFill>
            <w14:solidFill>
              <w14:schemeClr w14:val="tx1"/>
            </w14:solidFill>
          </w14:textFill>
        </w:rPr>
        <w:t>海水中细颗粒泥沙的沉降速度决定于其絮凝当量的大小。试验表明，当量粒径一般约为0.015</w:t>
      </w:r>
      <w:r>
        <w:rPr>
          <w:rFonts w:ascii="Cambria Math" w:hAnsi="Cambria Math" w:cs="Cambria Math"/>
          <w:color w:val="000000" w:themeColor="text1"/>
          <w:kern w:val="0"/>
          <w14:textFill>
            <w14:solidFill>
              <w14:schemeClr w14:val="tx1"/>
            </w14:solidFill>
          </w14:textFill>
        </w:rPr>
        <w:t>∼</w:t>
      </w:r>
      <w:r>
        <w:rPr>
          <w:color w:val="000000" w:themeColor="text1"/>
          <w:kern w:val="0"/>
          <w14:textFill>
            <w14:solidFill>
              <w14:schemeClr w14:val="tx1"/>
            </w14:solidFill>
          </w14:textFill>
        </w:rPr>
        <w:t>0.03</w:t>
      </w:r>
      <w:r>
        <w:rPr>
          <w:i/>
          <w:color w:val="000000" w:themeColor="text1"/>
          <w:kern w:val="0"/>
          <w14:textFill>
            <w14:solidFill>
              <w14:schemeClr w14:val="tx1"/>
            </w14:solidFill>
          </w14:textFill>
        </w:rPr>
        <w:t>mm</w:t>
      </w:r>
      <w:r>
        <w:rPr>
          <w:color w:val="000000" w:themeColor="text1"/>
          <w:kern w:val="0"/>
          <w14:textFill>
            <w14:solidFill>
              <w14:schemeClr w14:val="tx1"/>
            </w14:solidFill>
          </w14:textFill>
        </w:rPr>
        <w:t>，其相应沉降速度为0.01</w:t>
      </w:r>
      <w:r>
        <w:rPr>
          <w:rFonts w:ascii="Cambria Math" w:hAnsi="Cambria Math" w:cs="Cambria Math"/>
          <w:color w:val="000000" w:themeColor="text1"/>
          <w:kern w:val="0"/>
          <w14:textFill>
            <w14:solidFill>
              <w14:schemeClr w14:val="tx1"/>
            </w14:solidFill>
          </w14:textFill>
        </w:rPr>
        <w:t>∼</w:t>
      </w:r>
      <w:r>
        <w:rPr>
          <w:color w:val="000000" w:themeColor="text1"/>
          <w:kern w:val="0"/>
          <w14:textFill>
            <w14:solidFill>
              <w14:schemeClr w14:val="tx1"/>
            </w14:solidFill>
          </w14:textFill>
        </w:rPr>
        <w:t>0.06</w:t>
      </w:r>
      <w:r>
        <w:rPr>
          <w:i/>
          <w:color w:val="000000" w:themeColor="text1"/>
          <w14:textFill>
            <w14:solidFill>
              <w14:schemeClr w14:val="tx1"/>
            </w14:solidFill>
          </w14:textFill>
        </w:rPr>
        <w:t xml:space="preserve"> </w:t>
      </w:r>
      <w:r>
        <w:rPr>
          <w:i/>
          <w:color w:val="000000" w:themeColor="text1"/>
          <w:kern w:val="0"/>
          <w14:textFill>
            <w14:solidFill>
              <w14:schemeClr w14:val="tx1"/>
            </w14:solidFill>
          </w14:textFill>
        </w:rPr>
        <w:t>mm</w:t>
      </w:r>
      <w:r>
        <w:rPr>
          <w:color w:val="000000" w:themeColor="text1"/>
          <w:kern w:val="0"/>
          <w14:textFill>
            <w14:solidFill>
              <w14:schemeClr w14:val="tx1"/>
            </w14:solidFill>
          </w14:textFill>
        </w:rPr>
        <w:t>，本文取其0.06cm/s。</w:t>
      </w:r>
    </w:p>
    <w:p>
      <w:pPr>
        <w:autoSpaceDE w:val="0"/>
        <w:autoSpaceDN w:val="0"/>
        <w:ind w:firstLine="438" w:firstLineChars="200"/>
        <w:jc w:val="left"/>
        <w:rPr>
          <w:color w:val="000000" w:themeColor="text1"/>
          <w:kern w:val="0"/>
          <w14:textFill>
            <w14:solidFill>
              <w14:schemeClr w14:val="tx1"/>
            </w14:solidFill>
          </w14:textFill>
        </w:rPr>
      </w:pPr>
      <w:r>
        <w:rPr>
          <w:rFonts w:hint="eastAsia" w:ascii="宋体" w:hAnsi="宋体" w:cs="宋体"/>
          <w:color w:val="000000" w:themeColor="text1"/>
          <w:kern w:val="0"/>
          <w14:textFill>
            <w14:solidFill>
              <w14:schemeClr w14:val="tx1"/>
            </w14:solidFill>
          </w14:textFill>
        </w:rPr>
        <w:t>③</w:t>
      </w:r>
      <w:r>
        <w:rPr>
          <w:color w:val="000000" w:themeColor="text1"/>
          <w:kern w:val="0"/>
          <w14:textFill>
            <w14:solidFill>
              <w14:schemeClr w14:val="tx1"/>
            </w14:solidFill>
          </w14:textFill>
        </w:rPr>
        <w:t>淤积物干容重</w:t>
      </w:r>
    </w:p>
    <w:p>
      <w:pPr>
        <w:autoSpaceDE w:val="0"/>
        <w:autoSpaceDN w:val="0"/>
        <w:ind w:firstLine="438" w:firstLineChars="200"/>
        <w:jc w:val="left"/>
        <w:rPr>
          <w:color w:val="000000" w:themeColor="text1"/>
          <w:kern w:val="0"/>
          <w14:textFill>
            <w14:solidFill>
              <w14:schemeClr w14:val="tx1"/>
            </w14:solidFill>
          </w14:textFill>
        </w:rPr>
      </w:pPr>
      <w:r>
        <w:rPr>
          <w:color w:val="000000" w:themeColor="text1"/>
          <w:kern w:val="0"/>
          <w14:textFill>
            <w14:solidFill>
              <w14:schemeClr w14:val="tx1"/>
            </w14:solidFill>
          </w14:textFill>
        </w:rPr>
        <w:t>按照我国《海港水文规范》推荐算法，淤积物的干容重可按下式计算</w:t>
      </w:r>
      <w:r>
        <w:rPr>
          <w:i/>
          <w:color w:val="000000" w:themeColor="text1"/>
          <w:kern w:val="0"/>
          <w14:textFill>
            <w14:solidFill>
              <w14:schemeClr w14:val="tx1"/>
            </w14:solidFill>
          </w14:textFill>
        </w:rPr>
        <w:t>r</w:t>
      </w:r>
      <w:r>
        <w:rPr>
          <w:color w:val="000000" w:themeColor="text1"/>
          <w:kern w:val="0"/>
          <w:vertAlign w:val="subscript"/>
          <w14:textFill>
            <w14:solidFill>
              <w14:schemeClr w14:val="tx1"/>
            </w14:solidFill>
          </w14:textFill>
        </w:rPr>
        <w:t xml:space="preserve">0 </w:t>
      </w:r>
      <w:r>
        <w:rPr>
          <w:color w:val="000000" w:themeColor="text1"/>
          <w:kern w:val="0"/>
          <w14:textFill>
            <w14:solidFill>
              <w14:schemeClr w14:val="tx1"/>
            </w14:solidFill>
          </w14:textFill>
        </w:rPr>
        <w:t>= 1750</w:t>
      </w:r>
      <w:r>
        <w:rPr>
          <w:i/>
          <w:color w:val="000000" w:themeColor="text1"/>
          <w:kern w:val="0"/>
          <w14:textFill>
            <w14:solidFill>
              <w14:schemeClr w14:val="tx1"/>
            </w14:solidFill>
          </w14:textFill>
        </w:rPr>
        <w:t>D</w:t>
      </w:r>
      <w:r>
        <w:rPr>
          <w:i/>
          <w:color w:val="000000" w:themeColor="text1"/>
          <w:kern w:val="0"/>
          <w:vertAlign w:val="subscript"/>
          <w14:textFill>
            <w14:solidFill>
              <w14:schemeClr w14:val="tx1"/>
            </w14:solidFill>
          </w14:textFill>
        </w:rPr>
        <w:t>50</w:t>
      </w:r>
      <w:r>
        <w:rPr>
          <w:color w:val="000000" w:themeColor="text1"/>
          <w:kern w:val="0"/>
          <w:vertAlign w:val="superscript"/>
          <w14:textFill>
            <w14:solidFill>
              <w14:schemeClr w14:val="tx1"/>
            </w14:solidFill>
          </w14:textFill>
        </w:rPr>
        <w:t>0.183</w:t>
      </w:r>
      <w:r>
        <w:rPr>
          <w:rFonts w:hint="eastAsia"/>
          <w:color w:val="000000" w:themeColor="text1"/>
          <w:kern w:val="0"/>
          <w:vertAlign w:val="superscript"/>
          <w14:textFill>
            <w14:solidFill>
              <w14:schemeClr w14:val="tx1"/>
            </w14:solidFill>
          </w14:textFill>
        </w:rPr>
        <w:t>，</w:t>
      </w:r>
      <w:r>
        <w:rPr>
          <w:color w:val="000000" w:themeColor="text1"/>
          <w:kern w:val="0"/>
          <w14:textFill>
            <w14:solidFill>
              <w14:schemeClr w14:val="tx1"/>
            </w14:solidFill>
          </w14:textFill>
        </w:rPr>
        <w:t>其中</w:t>
      </w:r>
      <w:r>
        <w:rPr>
          <w:i/>
          <w:color w:val="000000" w:themeColor="text1"/>
          <w:kern w:val="0"/>
          <w14:textFill>
            <w14:solidFill>
              <w14:schemeClr w14:val="tx1"/>
            </w14:solidFill>
          </w14:textFill>
        </w:rPr>
        <w:t>D</w:t>
      </w:r>
      <w:r>
        <w:rPr>
          <w:i/>
          <w:color w:val="000000" w:themeColor="text1"/>
          <w:kern w:val="0"/>
          <w:vertAlign w:val="subscript"/>
          <w14:textFill>
            <w14:solidFill>
              <w14:schemeClr w14:val="tx1"/>
            </w14:solidFill>
          </w14:textFill>
        </w:rPr>
        <w:t>50</w:t>
      </w:r>
      <w:r>
        <w:rPr>
          <w:color w:val="000000" w:themeColor="text1"/>
          <w:kern w:val="0"/>
          <w14:textFill>
            <w14:solidFill>
              <w14:schemeClr w14:val="tx1"/>
            </w14:solidFill>
          </w14:textFill>
        </w:rPr>
        <w:t>为悬沙中值粒径。根据计算淤积物干容重取为810 kg/m</w:t>
      </w:r>
      <w:r>
        <w:rPr>
          <w:color w:val="000000" w:themeColor="text1"/>
          <w:kern w:val="0"/>
          <w:vertAlign w:val="superscript"/>
          <w14:textFill>
            <w14:solidFill>
              <w14:schemeClr w14:val="tx1"/>
            </w14:solidFill>
          </w14:textFill>
        </w:rPr>
        <w:t>3</w:t>
      </w:r>
      <w:r>
        <w:rPr>
          <w:color w:val="000000" w:themeColor="text1"/>
          <w:kern w:val="0"/>
          <w14:textFill>
            <w14:solidFill>
              <w14:schemeClr w14:val="tx1"/>
            </w14:solidFill>
          </w14:textFill>
        </w:rPr>
        <w:t>。</w:t>
      </w:r>
    </w:p>
    <w:p>
      <w:pPr>
        <w:autoSpaceDE w:val="0"/>
        <w:autoSpaceDN w:val="0"/>
        <w:ind w:firstLine="438" w:firstLineChars="200"/>
        <w:jc w:val="left"/>
        <w:rPr>
          <w:color w:val="000000" w:themeColor="text1"/>
          <w:kern w:val="0"/>
          <w14:textFill>
            <w14:solidFill>
              <w14:schemeClr w14:val="tx1"/>
            </w14:solidFill>
          </w14:textFill>
        </w:rPr>
      </w:pPr>
      <w:r>
        <w:rPr>
          <w:rFonts w:hint="eastAsia" w:ascii="宋体" w:hAnsi="宋体" w:cs="宋体"/>
          <w:color w:val="000000" w:themeColor="text1"/>
          <w:kern w:val="0"/>
          <w14:textFill>
            <w14:solidFill>
              <w14:schemeClr w14:val="tx1"/>
            </w14:solidFill>
          </w14:textFill>
        </w:rPr>
        <w:t>④</w:t>
      </w:r>
      <w:r>
        <w:rPr>
          <w:color w:val="000000" w:themeColor="text1"/>
          <w:kern w:val="0"/>
          <w14:textFill>
            <w14:solidFill>
              <w14:schemeClr w14:val="tx1"/>
            </w14:solidFill>
          </w14:textFill>
        </w:rPr>
        <w:t>淤积模型</w:t>
      </w:r>
    </w:p>
    <w:p>
      <w:pPr>
        <w:autoSpaceDE w:val="0"/>
        <w:autoSpaceDN w:val="0"/>
        <w:ind w:firstLine="438" w:firstLineChars="200"/>
        <w:jc w:val="left"/>
        <w:rPr>
          <w:color w:val="000000" w:themeColor="text1"/>
          <w:kern w:val="0"/>
          <w14:textFill>
            <w14:solidFill>
              <w14:schemeClr w14:val="tx1"/>
            </w14:solidFill>
          </w14:textFill>
        </w:rPr>
      </w:pPr>
      <w:r>
        <w:rPr>
          <w:color w:val="000000" w:themeColor="text1"/>
          <w:kern w:val="0"/>
          <w14:textFill>
            <w14:solidFill>
              <w14:schemeClr w14:val="tx1"/>
            </w14:solidFill>
          </w14:textFill>
        </w:rPr>
        <w:t>淤积是泥沙从悬沙变为底床沉积物的转换过程。淤积在床面切应力</w:t>
      </w:r>
      <w:r>
        <w:rPr>
          <w:i/>
          <w:color w:val="000000" w:themeColor="text1"/>
          <w:kern w:val="0"/>
          <w14:textFill>
            <w14:solidFill>
              <w14:schemeClr w14:val="tx1"/>
            </w14:solidFill>
          </w14:textFill>
        </w:rPr>
        <w:t>τ</w:t>
      </w:r>
      <w:r>
        <w:rPr>
          <w:i/>
          <w:color w:val="000000" w:themeColor="text1"/>
          <w:kern w:val="0"/>
          <w:vertAlign w:val="subscript"/>
          <w14:textFill>
            <w14:solidFill>
              <w14:schemeClr w14:val="tx1"/>
            </w14:solidFill>
          </w14:textFill>
        </w:rPr>
        <w:t>b</w:t>
      </w:r>
      <w:r>
        <w:rPr>
          <w:color w:val="000000" w:themeColor="text1"/>
          <w:kern w:val="0"/>
          <w14:textFill>
            <w14:solidFill>
              <w14:schemeClr w14:val="tx1"/>
            </w14:solidFill>
          </w14:textFill>
        </w:rPr>
        <w:t>小于泥沙临界淤积切应力</w:t>
      </w:r>
      <w:r>
        <w:rPr>
          <w:i/>
          <w:color w:val="000000" w:themeColor="text1"/>
          <w:kern w:val="0"/>
          <w14:textFill>
            <w14:solidFill>
              <w14:schemeClr w14:val="tx1"/>
            </w14:solidFill>
          </w14:textFill>
        </w:rPr>
        <w:t>τ</w:t>
      </w:r>
      <w:r>
        <w:rPr>
          <w:i/>
          <w:color w:val="000000" w:themeColor="text1"/>
          <w:kern w:val="0"/>
          <w:vertAlign w:val="subscript"/>
          <w14:textFill>
            <w14:solidFill>
              <w14:schemeClr w14:val="tx1"/>
            </w14:solidFill>
          </w14:textFill>
        </w:rPr>
        <w:t>cd</w:t>
      </w:r>
      <w:r>
        <w:rPr>
          <w:color w:val="000000" w:themeColor="text1"/>
          <w:kern w:val="0"/>
          <w14:textFill>
            <w14:solidFill>
              <w14:schemeClr w14:val="tx1"/>
            </w14:solidFill>
          </w14:textFill>
        </w:rPr>
        <w:t>时发生，泥沙临界淤积切应力</w:t>
      </w:r>
      <w:r>
        <w:rPr>
          <w:i/>
          <w:color w:val="000000" w:themeColor="text1"/>
          <w:kern w:val="0"/>
          <w14:textFill>
            <w14:solidFill>
              <w14:schemeClr w14:val="tx1"/>
            </w14:solidFill>
          </w14:textFill>
        </w:rPr>
        <w:t>τ</w:t>
      </w:r>
      <w:r>
        <w:rPr>
          <w:i/>
          <w:color w:val="000000" w:themeColor="text1"/>
          <w:kern w:val="0"/>
          <w:vertAlign w:val="subscript"/>
          <w14:textFill>
            <w14:solidFill>
              <w14:schemeClr w14:val="tx1"/>
            </w14:solidFill>
          </w14:textFill>
        </w:rPr>
        <w:t>cd</w:t>
      </w:r>
      <w:r>
        <w:rPr>
          <w:color w:val="000000" w:themeColor="text1"/>
          <w:kern w:val="0"/>
          <w14:textFill>
            <w14:solidFill>
              <w14:schemeClr w14:val="tx1"/>
            </w14:solidFill>
          </w14:textFill>
        </w:rPr>
        <w:t>经率定取值0.05 N/m</w:t>
      </w:r>
      <w:r>
        <w:rPr>
          <w:color w:val="000000" w:themeColor="text1"/>
          <w:kern w:val="0"/>
          <w:vertAlign w:val="superscript"/>
          <w14:textFill>
            <w14:solidFill>
              <w14:schemeClr w14:val="tx1"/>
            </w14:solidFill>
          </w14:textFill>
        </w:rPr>
        <w:t>2</w:t>
      </w:r>
      <w:r>
        <w:rPr>
          <w:color w:val="000000" w:themeColor="text1"/>
          <w:kern w:val="0"/>
          <w14:textFill>
            <w14:solidFill>
              <w14:schemeClr w14:val="tx1"/>
            </w14:solidFill>
          </w14:textFill>
        </w:rPr>
        <w:t>。淤积率由泥沙与水流相互作用的随机模型表示：</w:t>
      </w:r>
    </w:p>
    <w:p>
      <w:pPr>
        <w:autoSpaceDE w:val="0"/>
        <w:autoSpaceDN w:val="0"/>
        <w:ind w:firstLine="438" w:firstLineChars="200"/>
        <w:jc w:val="center"/>
        <w:rPr>
          <w:color w:val="000000" w:themeColor="text1"/>
          <w:kern w:val="0"/>
          <w14:textFill>
            <w14:solidFill>
              <w14:schemeClr w14:val="tx1"/>
            </w14:solidFill>
          </w14:textFill>
        </w:rPr>
      </w:pPr>
      <w:r>
        <w:rPr>
          <w:color w:val="000000" w:themeColor="text1"/>
          <w:kern w:val="0"/>
          <w:position w:val="-12"/>
          <w14:textFill>
            <w14:solidFill>
              <w14:schemeClr w14:val="tx1"/>
            </w14:solidFill>
          </w14:textFill>
        </w:rPr>
        <w:object>
          <v:shape id="_x0000_i1045" o:spt="75" type="#_x0000_t75" style="height:20.4pt;width:65.2pt;" o:ole="t" filled="f" o:preferrelative="t" stroked="f" coordsize="21600,21600">
            <v:path/>
            <v:fill on="f" focussize="0,0"/>
            <v:stroke on="f" joinstyle="miter"/>
            <v:imagedata r:id="rId156" o:title=""/>
            <o:lock v:ext="edit" aspectratio="t"/>
            <w10:wrap type="none"/>
            <w10:anchorlock/>
          </v:shape>
          <o:OLEObject Type="Embed" ProgID="Equation.DSMT4" ShapeID="_x0000_i1045" DrawAspect="Content" ObjectID="_1468075745" r:id="rId155">
            <o:LockedField>false</o:LockedField>
          </o:OLEObject>
        </w:object>
      </w:r>
    </w:p>
    <w:p>
      <w:pPr>
        <w:autoSpaceDE w:val="0"/>
        <w:autoSpaceDN w:val="0"/>
        <w:ind w:firstLine="504"/>
        <w:jc w:val="left"/>
        <w:rPr>
          <w:color w:val="000000" w:themeColor="text1"/>
          <w:kern w:val="0"/>
          <w14:textFill>
            <w14:solidFill>
              <w14:schemeClr w14:val="tx1"/>
            </w14:solidFill>
          </w14:textFill>
        </w:rPr>
      </w:pPr>
      <w:r>
        <w:rPr>
          <w:color w:val="000000" w:themeColor="text1"/>
          <w:kern w:val="0"/>
          <w14:textFill>
            <w14:solidFill>
              <w14:schemeClr w14:val="tx1"/>
            </w14:solidFill>
          </w14:textFill>
        </w:rPr>
        <w:t>式中：</w:t>
      </w:r>
      <w:r>
        <w:rPr>
          <w:i/>
          <w:color w:val="000000" w:themeColor="text1"/>
          <w:kern w:val="0"/>
          <w14:textFill>
            <w14:solidFill>
              <w14:schemeClr w14:val="tx1"/>
            </w14:solidFill>
          </w14:textFill>
        </w:rPr>
        <w:t>W</w:t>
      </w:r>
      <w:r>
        <w:rPr>
          <w:i/>
          <w:color w:val="000000" w:themeColor="text1"/>
          <w:kern w:val="0"/>
          <w:vertAlign w:val="subscript"/>
          <w14:textFill>
            <w14:solidFill>
              <w14:schemeClr w14:val="tx1"/>
            </w14:solidFill>
          </w14:textFill>
        </w:rPr>
        <w:t>s</w:t>
      </w:r>
      <w:r>
        <w:rPr>
          <w:color w:val="000000" w:themeColor="text1"/>
          <w:kern w:val="0"/>
          <w14:textFill>
            <w14:solidFill>
              <w14:schemeClr w14:val="tx1"/>
            </w14:solidFill>
          </w14:textFill>
        </w:rPr>
        <w:t>为泥沙颗粒沉速；</w:t>
      </w:r>
      <w:r>
        <w:rPr>
          <w:i/>
          <w:color w:val="000000" w:themeColor="text1"/>
          <w:kern w:val="0"/>
          <w14:textFill>
            <w14:solidFill>
              <w14:schemeClr w14:val="tx1"/>
            </w14:solidFill>
          </w14:textFill>
        </w:rPr>
        <w:t>c</w:t>
      </w:r>
      <w:r>
        <w:rPr>
          <w:i/>
          <w:color w:val="000000" w:themeColor="text1"/>
          <w:kern w:val="0"/>
          <w:vertAlign w:val="subscript"/>
          <w14:textFill>
            <w14:solidFill>
              <w14:schemeClr w14:val="tx1"/>
            </w14:solidFill>
          </w14:textFill>
        </w:rPr>
        <w:t>b</w:t>
      </w:r>
      <w:r>
        <w:rPr>
          <w:color w:val="000000" w:themeColor="text1"/>
          <w:kern w:val="0"/>
          <w14:textFill>
            <w14:solidFill>
              <w14:schemeClr w14:val="tx1"/>
            </w14:solidFill>
          </w14:textFill>
        </w:rPr>
        <w:t>是近底层的悬沙含量；</w:t>
      </w:r>
      <w:r>
        <w:rPr>
          <w:i/>
          <w:color w:val="000000" w:themeColor="text1"/>
          <w:kern w:val="0"/>
          <w14:textFill>
            <w14:solidFill>
              <w14:schemeClr w14:val="tx1"/>
            </w14:solidFill>
          </w14:textFill>
        </w:rPr>
        <w:t>p</w:t>
      </w:r>
      <w:r>
        <w:rPr>
          <w:i/>
          <w:color w:val="000000" w:themeColor="text1"/>
          <w:kern w:val="0"/>
          <w:vertAlign w:val="subscript"/>
          <w14:textFill>
            <w14:solidFill>
              <w14:schemeClr w14:val="tx1"/>
            </w14:solidFill>
          </w14:textFill>
        </w:rPr>
        <w:t>D</w:t>
      </w:r>
      <w:r>
        <w:rPr>
          <w:i/>
          <w:color w:val="000000" w:themeColor="text1"/>
          <w:kern w:val="0"/>
          <w14:textFill>
            <w14:solidFill>
              <w14:schemeClr w14:val="tx1"/>
            </w14:solidFill>
          </w14:textFill>
        </w:rPr>
        <w:t xml:space="preserve"> </w:t>
      </w:r>
      <w:r>
        <w:rPr>
          <w:color w:val="000000" w:themeColor="text1"/>
          <w:kern w:val="0"/>
          <w14:textFill>
            <w14:solidFill>
              <w14:schemeClr w14:val="tx1"/>
            </w14:solidFill>
          </w14:textFill>
        </w:rPr>
        <w:t>是淤积概率的表达式，</w:t>
      </w:r>
      <w:r>
        <w:rPr>
          <w:color w:val="000000" w:themeColor="text1"/>
          <w:kern w:val="0"/>
          <w:position w:val="-14"/>
          <w14:textFill>
            <w14:solidFill>
              <w14:schemeClr w14:val="tx1"/>
            </w14:solidFill>
          </w14:textFill>
        </w:rPr>
        <w:object>
          <v:shape id="_x0000_i1046" o:spt="75" type="#_x0000_t75" style="height:20.4pt;width:149.45pt;" o:ole="t" filled="f" o:preferrelative="t" stroked="f" coordsize="21600,21600">
            <v:path/>
            <v:fill on="f" focussize="0,0"/>
            <v:stroke on="f" joinstyle="miter"/>
            <v:imagedata r:id="rId158" o:title=""/>
            <o:lock v:ext="edit" aspectratio="t"/>
            <w10:wrap type="none"/>
            <w10:anchorlock/>
          </v:shape>
          <o:OLEObject Type="Embed" ProgID="Equation.DSMT4" ShapeID="_x0000_i1046" DrawAspect="Content" ObjectID="_1468075746" r:id="rId157">
            <o:LockedField>false</o:LockedField>
          </o:OLEObject>
        </w:object>
      </w:r>
      <w:r>
        <w:rPr>
          <w:color w:val="000000" w:themeColor="text1"/>
          <w:kern w:val="0"/>
          <w14:textFill>
            <w14:solidFill>
              <w14:schemeClr w14:val="tx1"/>
            </w14:solidFill>
          </w14:textFill>
        </w:rPr>
        <w:t>。</w:t>
      </w:r>
    </w:p>
    <w:p>
      <w:pPr>
        <w:autoSpaceDE w:val="0"/>
        <w:autoSpaceDN w:val="0"/>
        <w:ind w:firstLine="438" w:firstLineChars="200"/>
        <w:jc w:val="left"/>
        <w:rPr>
          <w:color w:val="000000" w:themeColor="text1"/>
          <w:kern w:val="0"/>
          <w14:textFill>
            <w14:solidFill>
              <w14:schemeClr w14:val="tx1"/>
            </w14:solidFill>
          </w14:textFill>
        </w:rPr>
      </w:pPr>
      <w:r>
        <w:rPr>
          <w:color w:val="000000" w:themeColor="text1"/>
          <w:kern w:val="0"/>
          <w14:textFill>
            <w14:solidFill>
              <w14:schemeClr w14:val="tx1"/>
            </w14:solidFill>
          </w14:textFill>
        </w:rPr>
        <w:t>近底层的泥沙浓度</w:t>
      </w:r>
      <w:r>
        <w:rPr>
          <w:i/>
          <w:color w:val="000000" w:themeColor="text1"/>
          <w:kern w:val="0"/>
          <w14:textFill>
            <w14:solidFill>
              <w14:schemeClr w14:val="tx1"/>
            </w14:solidFill>
          </w14:textFill>
        </w:rPr>
        <w:t>c</w:t>
      </w:r>
      <w:r>
        <w:rPr>
          <w:i/>
          <w:color w:val="000000" w:themeColor="text1"/>
          <w:kern w:val="0"/>
          <w:vertAlign w:val="subscript"/>
          <w14:textFill>
            <w14:solidFill>
              <w14:schemeClr w14:val="tx1"/>
            </w14:solidFill>
          </w14:textFill>
        </w:rPr>
        <w:t>b</w:t>
      </w:r>
      <w:r>
        <w:rPr>
          <w:i/>
          <w:color w:val="000000" w:themeColor="text1"/>
          <w:kern w:val="0"/>
          <w14:textFill>
            <w14:solidFill>
              <w14:schemeClr w14:val="tx1"/>
            </w14:solidFill>
          </w14:textFill>
        </w:rPr>
        <w:t xml:space="preserve"> </w:t>
      </w:r>
      <w:r>
        <w:rPr>
          <w:color w:val="000000" w:themeColor="text1"/>
          <w:kern w:val="0"/>
          <w14:textFill>
            <w14:solidFill>
              <w14:schemeClr w14:val="tx1"/>
            </w14:solidFill>
          </w14:textFill>
        </w:rPr>
        <w:t>可使用佩克莱特数</w:t>
      </w:r>
      <w:r>
        <w:rPr>
          <w:i/>
          <w:color w:val="000000" w:themeColor="text1"/>
          <w:kern w:val="0"/>
          <w14:textFill>
            <w14:solidFill>
              <w14:schemeClr w14:val="tx1"/>
            </w14:solidFill>
          </w14:textFill>
        </w:rPr>
        <w:t>P</w:t>
      </w:r>
      <w:r>
        <w:rPr>
          <w:i/>
          <w:color w:val="000000" w:themeColor="text1"/>
          <w:kern w:val="0"/>
          <w:vertAlign w:val="subscript"/>
          <w14:textFill>
            <w14:solidFill>
              <w14:schemeClr w14:val="tx1"/>
            </w14:solidFill>
          </w14:textFill>
        </w:rPr>
        <w:t>e</w:t>
      </w:r>
      <w:r>
        <w:rPr>
          <w:color w:val="000000" w:themeColor="text1"/>
          <w:kern w:val="0"/>
          <w:vertAlign w:val="subscript"/>
          <w14:textFill>
            <w14:solidFill>
              <w14:schemeClr w14:val="tx1"/>
            </w14:solidFill>
          </w14:textFill>
        </w:rPr>
        <w:t xml:space="preserve"> </w:t>
      </w:r>
      <w:r>
        <w:rPr>
          <w:color w:val="000000" w:themeColor="text1"/>
          <w:kern w:val="0"/>
          <w14:textFill>
            <w14:solidFill>
              <w14:schemeClr w14:val="tx1"/>
            </w14:solidFill>
          </w14:textFill>
        </w:rPr>
        <w:t>和垂线平均悬沙含量计算得出：</w:t>
      </w:r>
    </w:p>
    <w:p>
      <w:pPr>
        <w:autoSpaceDE w:val="0"/>
        <w:autoSpaceDN w:val="0"/>
        <w:ind w:firstLine="504"/>
        <w:jc w:val="center"/>
        <w:rPr>
          <w:color w:val="000000" w:themeColor="text1"/>
          <w:kern w:val="0"/>
          <w14:textFill>
            <w14:solidFill>
              <w14:schemeClr w14:val="tx1"/>
            </w14:solidFill>
          </w14:textFill>
        </w:rPr>
      </w:pPr>
      <w:r>
        <w:rPr>
          <w:color w:val="000000" w:themeColor="text1"/>
          <w:kern w:val="0"/>
          <w:position w:val="-30"/>
          <w14:textFill>
            <w14:solidFill>
              <w14:schemeClr w14:val="tx1"/>
            </w14:solidFill>
          </w14:textFill>
        </w:rPr>
        <w:object>
          <v:shape id="_x0000_i1047" o:spt="75" type="#_x0000_t75" style="height:36.7pt;width:136.55pt;" o:ole="t" filled="f" o:preferrelative="t" stroked="f" coordsize="21600,21600">
            <v:path/>
            <v:fill on="f" focussize="0,0"/>
            <v:stroke on="f" joinstyle="miter"/>
            <v:imagedata r:id="rId160" o:title=""/>
            <o:lock v:ext="edit" aspectratio="t"/>
            <w10:wrap type="none"/>
            <w10:anchorlock/>
          </v:shape>
          <o:OLEObject Type="Embed" ProgID="Equation.DSMT4" ShapeID="_x0000_i1047" DrawAspect="Content" ObjectID="_1468075747" r:id="rId159">
            <o:LockedField>false</o:LockedField>
          </o:OLEObject>
        </w:object>
      </w:r>
    </w:p>
    <w:p>
      <w:pPr>
        <w:autoSpaceDE w:val="0"/>
        <w:autoSpaceDN w:val="0"/>
        <w:ind w:firstLine="504"/>
        <w:jc w:val="left"/>
        <w:rPr>
          <w:color w:val="000000" w:themeColor="text1"/>
          <w:kern w:val="0"/>
          <w14:textFill>
            <w14:solidFill>
              <w14:schemeClr w14:val="tx1"/>
            </w14:solidFill>
          </w14:textFill>
        </w:rPr>
      </w:pPr>
      <w:r>
        <w:rPr>
          <w:color w:val="000000" w:themeColor="text1"/>
          <w:kern w:val="0"/>
          <w14:textFill>
            <w14:solidFill>
              <w14:schemeClr w14:val="tx1"/>
            </w14:solidFill>
          </w14:textFill>
        </w:rPr>
        <w:t xml:space="preserve">式中： </w:t>
      </w:r>
      <w:r>
        <w:rPr>
          <w:i/>
          <w:color w:val="000000" w:themeColor="text1"/>
          <w:kern w:val="0"/>
          <w14:textFill>
            <w14:solidFill>
              <w14:schemeClr w14:val="tx1"/>
            </w14:solidFill>
          </w14:textFill>
        </w:rPr>
        <w:t>P</w:t>
      </w:r>
      <w:r>
        <w:rPr>
          <w:i/>
          <w:color w:val="000000" w:themeColor="text1"/>
          <w:kern w:val="0"/>
          <w:vertAlign w:val="subscript"/>
          <w14:textFill>
            <w14:solidFill>
              <w14:schemeClr w14:val="tx1"/>
            </w14:solidFill>
          </w14:textFill>
        </w:rPr>
        <w:t>e</w:t>
      </w:r>
      <w:r>
        <w:rPr>
          <w:color w:val="000000" w:themeColor="text1"/>
          <w:kern w:val="0"/>
          <w14:textFill>
            <w14:solidFill>
              <w14:schemeClr w14:val="tx1"/>
            </w14:solidFill>
          </w14:textFill>
        </w:rPr>
        <w:t>是佩克莱特数，定义为</w:t>
      </w:r>
      <w:r>
        <w:rPr>
          <w:color w:val="000000" w:themeColor="text1"/>
          <w:kern w:val="0"/>
          <w:position w:val="-14"/>
          <w14:textFill>
            <w14:solidFill>
              <w14:schemeClr w14:val="tx1"/>
            </w14:solidFill>
          </w14:textFill>
        </w:rPr>
        <w:object>
          <v:shape id="_x0000_i1048" o:spt="75" type="#_x0000_t75" style="height:20.4pt;width:72pt;" o:ole="t" filled="f" o:preferrelative="t" stroked="f" coordsize="21600,21600">
            <v:path/>
            <v:fill on="f" focussize="0,0"/>
            <v:stroke on="f" joinstyle="miter"/>
            <v:imagedata r:id="rId162" o:title=""/>
            <o:lock v:ext="edit" aspectratio="t"/>
            <w10:wrap type="none"/>
            <w10:anchorlock/>
          </v:shape>
          <o:OLEObject Type="Embed" ProgID="Equation.DSMT4" ShapeID="_x0000_i1048" DrawAspect="Content" ObjectID="_1468075748" r:id="rId161">
            <o:LockedField>false</o:LockedField>
          </o:OLEObject>
        </w:object>
      </w:r>
      <w:r>
        <w:rPr>
          <w:color w:val="000000" w:themeColor="text1"/>
          <w:kern w:val="0"/>
          <w14:textFill>
            <w14:solidFill>
              <w14:schemeClr w14:val="tx1"/>
            </w14:solidFill>
          </w14:textFill>
        </w:rPr>
        <w:t>，其中</w:t>
      </w:r>
      <w:r>
        <w:rPr>
          <w:i/>
          <w:color w:val="000000" w:themeColor="text1"/>
          <w:kern w:val="0"/>
          <w14:textFill>
            <w14:solidFill>
              <w14:schemeClr w14:val="tx1"/>
            </w14:solidFill>
          </w14:textFill>
        </w:rPr>
        <w:t>U</w:t>
      </w:r>
      <w:r>
        <w:rPr>
          <w:i/>
          <w:color w:val="000000" w:themeColor="text1"/>
          <w:kern w:val="0"/>
          <w:vertAlign w:val="subscript"/>
          <w14:textFill>
            <w14:solidFill>
              <w14:schemeClr w14:val="tx1"/>
            </w14:solidFill>
          </w14:textFill>
        </w:rPr>
        <w:t>f</w:t>
      </w:r>
      <w:r>
        <w:rPr>
          <w:color w:val="000000" w:themeColor="text1"/>
          <w:kern w:val="0"/>
          <w14:textFill>
            <w14:solidFill>
              <w14:schemeClr w14:val="tx1"/>
            </w14:solidFill>
          </w14:textFill>
        </w:rPr>
        <w:t>是摩阻流速，</w:t>
      </w:r>
      <w:r>
        <w:rPr>
          <w:i/>
          <w:color w:val="000000" w:themeColor="text1"/>
          <w:kern w:val="0"/>
          <w14:textFill>
            <w14:solidFill>
              <w14:schemeClr w14:val="tx1"/>
            </w14:solidFill>
          </w14:textFill>
        </w:rPr>
        <w:t>k</w:t>
      </w:r>
      <w:r>
        <w:rPr>
          <w:color w:val="000000" w:themeColor="text1"/>
          <w:kern w:val="0"/>
          <w14:textFill>
            <w14:solidFill>
              <w14:schemeClr w14:val="tx1"/>
            </w14:solidFill>
          </w14:textFill>
        </w:rPr>
        <w:t>是冯卡门常数，一般取为0.4。</w:t>
      </w:r>
    </w:p>
    <w:p>
      <w:pPr>
        <w:autoSpaceDE w:val="0"/>
        <w:autoSpaceDN w:val="0"/>
        <w:ind w:firstLine="438" w:firstLineChars="200"/>
        <w:jc w:val="left"/>
        <w:rPr>
          <w:color w:val="000000" w:themeColor="text1"/>
          <w:kern w:val="0"/>
          <w14:textFill>
            <w14:solidFill>
              <w14:schemeClr w14:val="tx1"/>
            </w14:solidFill>
          </w14:textFill>
        </w:rPr>
      </w:pPr>
      <w:r>
        <w:rPr>
          <w:rFonts w:hint="eastAsia" w:ascii="宋体" w:hAnsi="宋体" w:cs="宋体"/>
          <w:color w:val="000000" w:themeColor="text1"/>
          <w:kern w:val="0"/>
          <w14:textFill>
            <w14:solidFill>
              <w14:schemeClr w14:val="tx1"/>
            </w14:solidFill>
          </w14:textFill>
        </w:rPr>
        <w:t>⑤</w:t>
      </w:r>
      <w:r>
        <w:rPr>
          <w:color w:val="000000" w:themeColor="text1"/>
          <w:kern w:val="0"/>
          <w14:textFill>
            <w14:solidFill>
              <w14:schemeClr w14:val="tx1"/>
            </w14:solidFill>
          </w14:textFill>
        </w:rPr>
        <w:t>冲刷模型</w:t>
      </w:r>
    </w:p>
    <w:p>
      <w:pPr>
        <w:autoSpaceDE w:val="0"/>
        <w:autoSpaceDN w:val="0"/>
        <w:ind w:firstLine="438" w:firstLineChars="200"/>
        <w:jc w:val="left"/>
        <w:rPr>
          <w:color w:val="000000" w:themeColor="text1"/>
          <w:kern w:val="0"/>
          <w14:textFill>
            <w14:solidFill>
              <w14:schemeClr w14:val="tx1"/>
            </w14:solidFill>
          </w14:textFill>
        </w:rPr>
      </w:pPr>
      <w:r>
        <w:rPr>
          <w:color w:val="000000" w:themeColor="text1"/>
          <w:kern w:val="0"/>
          <w14:textFill>
            <w14:solidFill>
              <w14:schemeClr w14:val="tx1"/>
            </w14:solidFill>
          </w14:textFill>
        </w:rPr>
        <w:t>冲刷是从泥沙从底床向水体的转移过程，当床面切应力</w:t>
      </w:r>
      <w:r>
        <w:rPr>
          <w:i/>
          <w:color w:val="000000" w:themeColor="text1"/>
          <w:kern w:val="0"/>
          <w14:textFill>
            <w14:solidFill>
              <w14:schemeClr w14:val="tx1"/>
            </w14:solidFill>
          </w14:textFill>
        </w:rPr>
        <w:t>τ</w:t>
      </w:r>
      <w:r>
        <w:rPr>
          <w:i/>
          <w:color w:val="000000" w:themeColor="text1"/>
          <w:kern w:val="0"/>
          <w:vertAlign w:val="subscript"/>
          <w14:textFill>
            <w14:solidFill>
              <w14:schemeClr w14:val="tx1"/>
            </w14:solidFill>
          </w14:textFill>
        </w:rPr>
        <w:t>b</w:t>
      </w:r>
      <w:r>
        <w:rPr>
          <w:color w:val="000000" w:themeColor="text1"/>
          <w:kern w:val="0"/>
          <w14:textFill>
            <w14:solidFill>
              <w14:schemeClr w14:val="tx1"/>
            </w14:solidFill>
          </w14:textFill>
        </w:rPr>
        <w:t>大于临界冲刷切应力</w:t>
      </w:r>
      <w:r>
        <w:rPr>
          <w:i/>
          <w:color w:val="000000" w:themeColor="text1"/>
          <w:kern w:val="0"/>
          <w14:textFill>
            <w14:solidFill>
              <w14:schemeClr w14:val="tx1"/>
            </w14:solidFill>
          </w14:textFill>
        </w:rPr>
        <w:t>τ</w:t>
      </w:r>
      <w:r>
        <w:rPr>
          <w:i/>
          <w:color w:val="000000" w:themeColor="text1"/>
          <w:kern w:val="0"/>
          <w:vertAlign w:val="subscript"/>
          <w14:textFill>
            <w14:solidFill>
              <w14:schemeClr w14:val="tx1"/>
            </w14:solidFill>
          </w14:textFill>
        </w:rPr>
        <w:t>ce</w:t>
      </w:r>
      <w:r>
        <w:rPr>
          <w:color w:val="000000" w:themeColor="text1"/>
          <w:kern w:val="0"/>
          <w14:textFill>
            <w14:solidFill>
              <w14:schemeClr w14:val="tx1"/>
            </w14:solidFill>
          </w14:textFill>
        </w:rPr>
        <w:t>时就会发生，临界冲刷切应力</w:t>
      </w:r>
      <w:r>
        <w:rPr>
          <w:i/>
          <w:color w:val="000000" w:themeColor="text1"/>
          <w:kern w:val="0"/>
          <w14:textFill>
            <w14:solidFill>
              <w14:schemeClr w14:val="tx1"/>
            </w14:solidFill>
          </w14:textFill>
        </w:rPr>
        <w:t>τ</w:t>
      </w:r>
      <w:r>
        <w:rPr>
          <w:i/>
          <w:color w:val="000000" w:themeColor="text1"/>
          <w:kern w:val="0"/>
          <w:vertAlign w:val="subscript"/>
          <w14:textFill>
            <w14:solidFill>
              <w14:schemeClr w14:val="tx1"/>
            </w14:solidFill>
          </w14:textFill>
        </w:rPr>
        <w:t>ce</w:t>
      </w:r>
      <w:r>
        <w:rPr>
          <w:color w:val="000000" w:themeColor="text1"/>
          <w:kern w:val="0"/>
          <w14:textFill>
            <w14:solidFill>
              <w14:schemeClr w14:val="tx1"/>
            </w14:solidFill>
          </w14:textFill>
        </w:rPr>
        <w:t>经率定取值0.1～0.3N/m</w:t>
      </w:r>
      <w:r>
        <w:rPr>
          <w:color w:val="000000" w:themeColor="text1"/>
          <w:kern w:val="0"/>
          <w:vertAlign w:val="superscript"/>
          <w14:textFill>
            <w14:solidFill>
              <w14:schemeClr w14:val="tx1"/>
            </w14:solidFill>
          </w14:textFill>
        </w:rPr>
        <w:t>2</w:t>
      </w:r>
      <w:r>
        <w:rPr>
          <w:color w:val="000000" w:themeColor="text1"/>
          <w:kern w:val="0"/>
          <w14:textFill>
            <w14:solidFill>
              <w14:schemeClr w14:val="tx1"/>
            </w14:solidFill>
          </w14:textFill>
        </w:rPr>
        <w:t>。可用以下方式表示侵蚀率：</w:t>
      </w:r>
    </w:p>
    <w:p>
      <w:pPr>
        <w:ind w:firstLine="504"/>
        <w:jc w:val="center"/>
        <w:rPr>
          <w:color w:val="000000" w:themeColor="text1"/>
          <w:kern w:val="0"/>
          <w14:textFill>
            <w14:solidFill>
              <w14:schemeClr w14:val="tx1"/>
            </w14:solidFill>
          </w14:textFill>
        </w:rPr>
      </w:pPr>
      <w:r>
        <w:rPr>
          <w:color w:val="000000" w:themeColor="text1"/>
          <w:kern w:val="0"/>
          <w:position w:val="-12"/>
          <w14:textFill>
            <w14:solidFill>
              <w14:schemeClr w14:val="tx1"/>
            </w14:solidFill>
          </w14:textFill>
        </w:rPr>
        <w:object>
          <v:shape id="_x0000_i1049" o:spt="75" type="#_x0000_t75" style="height:20.4pt;width:72pt;" o:ole="t" filled="f" o:preferrelative="t" stroked="f" coordsize="21600,21600">
            <v:path/>
            <v:fill on="f" focussize="0,0"/>
            <v:stroke on="f" joinstyle="miter"/>
            <v:imagedata r:id="rId164" o:title=""/>
            <o:lock v:ext="edit" aspectratio="t"/>
            <w10:wrap type="none"/>
            <w10:anchorlock/>
          </v:shape>
          <o:OLEObject Type="Embed" ProgID="Equation.DSMT4" ShapeID="_x0000_i1049" DrawAspect="Content" ObjectID="_1468075749" r:id="rId163">
            <o:LockedField>false</o:LockedField>
          </o:OLEObject>
        </w:object>
      </w:r>
    </w:p>
    <w:p>
      <w:pPr>
        <w:autoSpaceDE w:val="0"/>
        <w:autoSpaceDN w:val="0"/>
        <w:ind w:firstLine="438" w:firstLineChars="200"/>
        <w:jc w:val="left"/>
        <w:rPr>
          <w:color w:val="000000" w:themeColor="text1"/>
          <w:kern w:val="0"/>
          <w14:textFill>
            <w14:solidFill>
              <w14:schemeClr w14:val="tx1"/>
            </w14:solidFill>
          </w14:textFill>
        </w:rPr>
      </w:pPr>
      <w:r>
        <w:rPr>
          <w:color w:val="000000" w:themeColor="text1"/>
          <w:kern w:val="0"/>
          <w14:textFill>
            <w14:solidFill>
              <w14:schemeClr w14:val="tx1"/>
            </w14:solidFill>
          </w14:textFill>
        </w:rPr>
        <w:t>式中：</w:t>
      </w:r>
      <w:r>
        <w:rPr>
          <w:i/>
          <w:color w:val="000000" w:themeColor="text1"/>
          <w:kern w:val="0"/>
          <w14:textFill>
            <w14:solidFill>
              <w14:schemeClr w14:val="tx1"/>
            </w14:solidFill>
          </w14:textFill>
        </w:rPr>
        <w:t>E</w:t>
      </w:r>
      <w:r>
        <w:rPr>
          <w:i/>
          <w:color w:val="000000" w:themeColor="text1"/>
          <w:kern w:val="0"/>
          <w:vertAlign w:val="subscript"/>
          <w14:textFill>
            <w14:solidFill>
              <w14:schemeClr w14:val="tx1"/>
            </w14:solidFill>
          </w14:textFill>
        </w:rPr>
        <w:t>0</w:t>
      </w:r>
      <w:r>
        <w:rPr>
          <w:color w:val="000000" w:themeColor="text1"/>
          <w:kern w:val="0"/>
          <w14:textFill>
            <w14:solidFill>
              <w14:schemeClr w14:val="tx1"/>
            </w14:solidFill>
          </w14:textFill>
        </w:rPr>
        <w:t>为冲刷系数；</w:t>
      </w:r>
      <w:r>
        <w:rPr>
          <w:i/>
          <w:color w:val="000000" w:themeColor="text1"/>
          <w:kern w:val="0"/>
          <w14:textFill>
            <w14:solidFill>
              <w14:schemeClr w14:val="tx1"/>
            </w14:solidFill>
          </w14:textFill>
        </w:rPr>
        <w:t>E</w:t>
      </w:r>
      <w:r>
        <w:rPr>
          <w:i/>
          <w:color w:val="000000" w:themeColor="text1"/>
          <w:kern w:val="0"/>
          <w:vertAlign w:val="subscript"/>
          <w14:textFill>
            <w14:solidFill>
              <w14:schemeClr w14:val="tx1"/>
            </w14:solidFill>
          </w14:textFill>
        </w:rPr>
        <w:t>m</w:t>
      </w:r>
      <w:r>
        <w:rPr>
          <w:color w:val="000000" w:themeColor="text1"/>
          <w:kern w:val="0"/>
          <w14:textFill>
            <w14:solidFill>
              <w14:schemeClr w14:val="tx1"/>
            </w14:solidFill>
          </w14:textFill>
        </w:rPr>
        <w:t>为冲刷指数；</w:t>
      </w:r>
      <w:r>
        <w:rPr>
          <w:i/>
          <w:color w:val="000000" w:themeColor="text1"/>
          <w:kern w:val="0"/>
          <w14:textFill>
            <w14:solidFill>
              <w14:schemeClr w14:val="tx1"/>
            </w14:solidFill>
          </w14:textFill>
        </w:rPr>
        <w:t>p</w:t>
      </w:r>
      <w:r>
        <w:rPr>
          <w:i/>
          <w:color w:val="000000" w:themeColor="text1"/>
          <w:kern w:val="0"/>
          <w:vertAlign w:val="subscript"/>
          <w14:textFill>
            <w14:solidFill>
              <w14:schemeClr w14:val="tx1"/>
            </w14:solidFill>
          </w14:textFill>
        </w:rPr>
        <w:t>E</w:t>
      </w:r>
      <w:r>
        <w:rPr>
          <w:i/>
          <w:color w:val="000000" w:themeColor="text1"/>
          <w:kern w:val="0"/>
          <w14:textFill>
            <w14:solidFill>
              <w14:schemeClr w14:val="tx1"/>
            </w14:solidFill>
          </w14:textFill>
        </w:rPr>
        <w:t xml:space="preserve"> </w:t>
      </w:r>
      <w:r>
        <w:rPr>
          <w:color w:val="000000" w:themeColor="text1"/>
          <w:kern w:val="0"/>
          <w14:textFill>
            <w14:solidFill>
              <w14:schemeClr w14:val="tx1"/>
            </w14:solidFill>
          </w14:textFill>
        </w:rPr>
        <w:t>为侵蚀概率，</w:t>
      </w:r>
      <w:r>
        <w:rPr>
          <w:i/>
          <w:color w:val="000000" w:themeColor="text1"/>
          <w:kern w:val="0"/>
          <w14:textFill>
            <w14:solidFill>
              <w14:schemeClr w14:val="tx1"/>
            </w14:solidFill>
          </w14:textFill>
        </w:rPr>
        <w:t>p</w:t>
      </w:r>
      <w:r>
        <w:rPr>
          <w:i/>
          <w:color w:val="000000" w:themeColor="text1"/>
          <w:kern w:val="0"/>
          <w:vertAlign w:val="subscript"/>
          <w14:textFill>
            <w14:solidFill>
              <w14:schemeClr w14:val="tx1"/>
            </w14:solidFill>
          </w14:textFill>
        </w:rPr>
        <w:t>E</w:t>
      </w:r>
      <w:r>
        <w:rPr>
          <w:color w:val="000000" w:themeColor="text1"/>
          <w:kern w:val="0"/>
          <w14:textFill>
            <w14:solidFill>
              <w14:schemeClr w14:val="tx1"/>
            </w14:solidFill>
          </w14:textFill>
        </w:rPr>
        <w:t>可以用下式表示：</w:t>
      </w:r>
    </w:p>
    <w:p>
      <w:pPr>
        <w:pStyle w:val="207"/>
        <w:spacing w:line="360" w:lineRule="auto"/>
        <w:ind w:firstLine="439"/>
        <w:jc w:val="center"/>
        <w:rPr>
          <w:rFonts w:ascii="Times New Roman" w:hAnsi="Times New Roman" w:cs="Times New Roman"/>
          <w:color w:val="000000" w:themeColor="text1"/>
          <w:position w:val="-12"/>
          <w:sz w:val="24"/>
          <w14:textFill>
            <w14:solidFill>
              <w14:schemeClr w14:val="tx1"/>
            </w14:solidFill>
          </w14:textFill>
        </w:rPr>
      </w:pPr>
      <w:r>
        <w:rPr>
          <w:rFonts w:ascii="Times New Roman" w:hAnsi="Times New Roman" w:cs="Times New Roman"/>
          <w:color w:val="000000" w:themeColor="text1"/>
          <w:position w:val="-12"/>
          <w:sz w:val="24"/>
          <w14:textFill>
            <w14:solidFill>
              <w14:schemeClr w14:val="tx1"/>
            </w14:solidFill>
          </w14:textFill>
        </w:rPr>
        <w:object>
          <v:shape id="_x0000_i1050" o:spt="75" type="#_x0000_t75" style="height:20.4pt;width:135.85pt;" o:ole="t" filled="f" o:preferrelative="t" stroked="f" coordsize="21600,21600">
            <v:path/>
            <v:fill on="f" focussize="0,0"/>
            <v:stroke on="f" joinstyle="miter"/>
            <v:imagedata r:id="rId166" o:title=""/>
            <o:lock v:ext="edit" aspectratio="t"/>
            <w10:wrap type="none"/>
            <w10:anchorlock/>
          </v:shape>
          <o:OLEObject Type="Embed" ProgID="Equation.DSMT4" ShapeID="_x0000_i1050" DrawAspect="Content" ObjectID="_1468075750" r:id="rId165">
            <o:LockedField>false</o:LockedField>
          </o:OLEObject>
        </w:object>
      </w:r>
    </w:p>
    <w:p>
      <w:pPr>
        <w:pStyle w:val="684"/>
        <w:ind w:firstLine="437"/>
        <w:rPr>
          <w:color w:val="000000" w:themeColor="text1"/>
          <w14:textFill>
            <w14:solidFill>
              <w14:schemeClr w14:val="tx1"/>
            </w14:solidFill>
          </w14:textFill>
        </w:rPr>
      </w:pPr>
      <w:r>
        <w:rPr>
          <w:rFonts w:hint="eastAsia"/>
          <w:color w:val="000000" w:themeColor="text1"/>
          <w14:textFill>
            <w14:solidFill>
              <w14:schemeClr w14:val="tx1"/>
            </w14:solidFill>
          </w14:textFill>
        </w:rPr>
        <w:t>冲淤变化模拟以底沙为主，模拟时长为1年，模拟过程中未考虑波浪和潮流的耦合作用。</w:t>
      </w:r>
    </w:p>
    <w:p>
      <w:pPr>
        <w:pStyle w:val="684"/>
        <w:ind w:firstLine="439"/>
        <w:rPr>
          <w:b/>
          <w:bCs/>
          <w:color w:val="000000" w:themeColor="text1"/>
          <w14:textFill>
            <w14:solidFill>
              <w14:schemeClr w14:val="tx1"/>
            </w14:solidFill>
          </w14:textFill>
        </w:rPr>
      </w:pPr>
      <w:r>
        <w:rPr>
          <w:rFonts w:hint="eastAsia"/>
          <w:b/>
          <w:bCs/>
          <w:color w:val="000000" w:themeColor="text1"/>
          <w14:textFill>
            <w14:solidFill>
              <w14:schemeClr w14:val="tx1"/>
            </w14:solidFill>
          </w14:textFill>
        </w:rPr>
        <w:t>2</w:t>
      </w:r>
      <w:r>
        <w:rPr>
          <w:b/>
          <w:bCs/>
          <w:color w:val="000000" w:themeColor="text1"/>
          <w14:textFill>
            <w14:solidFill>
              <w14:schemeClr w14:val="tx1"/>
            </w14:solidFill>
          </w14:textFill>
        </w:rPr>
        <w:t>、预测结果</w:t>
      </w:r>
    </w:p>
    <w:p>
      <w:pPr>
        <w:pStyle w:val="684"/>
        <w:ind w:firstLine="437"/>
        <w:rPr>
          <w:color w:val="000000" w:themeColor="text1"/>
          <w:lang w:val="en-US"/>
          <w14:textFill>
            <w14:solidFill>
              <w14:schemeClr w14:val="tx1"/>
            </w14:solidFill>
          </w14:textFill>
        </w:rPr>
      </w:pPr>
      <w:r>
        <w:rPr>
          <w:rFonts w:hint="eastAsia"/>
          <w:color w:val="000000" w:themeColor="text1"/>
          <w:lang w:val="en-US"/>
          <w14:textFill>
            <w14:solidFill>
              <w14:schemeClr w14:val="tx1"/>
            </w14:solidFill>
          </w14:textFill>
        </w:rPr>
        <w:t>疏浚后年冲淤变化见图4.1-33。从图中可以看出，项目周边人工岸线较多，海岸侵蚀泥沙来源少，周边泥沙来源主要为波浪掀沙，受三墩港防波堤的阻隔作用，项目东侧河流输沙基本不会影响项目所在海域的泥沙冲淤平衡。总体上，本项目建成后对周边海域地形地貌冲淤环境的影响是较小的。疏浚完成后，疏浚与炸礁区域及其西侧呈现淤积态势，最大淤积强度为42cm/a，疏浚与炸礁区域南、北两侧小范围内呈现冲刷态势，最大冲刷强度不超过10cm/a。</w:t>
      </w:r>
    </w:p>
    <w:p>
      <w:pPr>
        <w:pStyle w:val="684"/>
        <w:ind w:firstLine="437"/>
        <w:rPr>
          <w:color w:val="000000" w:themeColor="text1"/>
          <w14:textFill>
            <w14:solidFill>
              <w14:schemeClr w14:val="tx1"/>
            </w14:solidFill>
          </w14:textFill>
        </w:rPr>
      </w:pPr>
      <w:r>
        <w:rPr>
          <w:rFonts w:hint="eastAsia"/>
          <w:color w:val="000000" w:themeColor="text1"/>
          <w:lang w:val="en-US"/>
          <w14:textFill>
            <w14:solidFill>
              <w14:schemeClr w14:val="tx1"/>
            </w14:solidFill>
          </w14:textFill>
        </w:rPr>
        <w:t>总而言之，疏浚后，疏浚与炸礁区域呈现回淤趋势，最大回淤强度不超过42</w:t>
      </w:r>
      <w:r>
        <w:rPr>
          <w:color w:val="000000" w:themeColor="text1"/>
          <w:lang w:val="en-US"/>
          <w14:textFill>
            <w14:solidFill>
              <w14:schemeClr w14:val="tx1"/>
            </w14:solidFill>
          </w14:textFill>
        </w:rPr>
        <w:t>cm/a</w:t>
      </w:r>
      <w:r>
        <w:rPr>
          <w:rFonts w:hint="eastAsia"/>
          <w:color w:val="000000" w:themeColor="text1"/>
          <w:lang w:val="en-US"/>
          <w14:textFill>
            <w14:solidFill>
              <w14:schemeClr w14:val="tx1"/>
            </w14:solidFill>
          </w14:textFill>
        </w:rPr>
        <w:t>。</w:t>
      </w:r>
    </w:p>
    <w:p>
      <w:pPr>
        <w:pStyle w:val="684"/>
        <w:ind w:firstLine="0" w:firstLineChars="0"/>
        <w:rPr>
          <w:color w:val="000000" w:themeColor="text1"/>
          <w14:textFill>
            <w14:solidFill>
              <w14:schemeClr w14:val="tx1"/>
            </w14:solidFill>
          </w14:textFill>
        </w:rPr>
      </w:pPr>
    </w:p>
    <w:p>
      <w:pPr>
        <w:pStyle w:val="553"/>
        <w:rPr>
          <w:color w:val="000000" w:themeColor="text1"/>
          <w14:textFill>
            <w14:solidFill>
              <w14:schemeClr w14:val="tx1"/>
            </w14:solidFill>
          </w14:textFill>
        </w:rPr>
      </w:pPr>
      <w:r>
        <w:rPr>
          <w:color w:val="000000" w:themeColor="text1"/>
          <w14:textFill>
            <w14:solidFill>
              <w14:schemeClr w14:val="tx1"/>
            </w14:solidFill>
          </w14:textFill>
        </w:rPr>
        <w:t>工程前后年淤积厚度变化图</w:t>
      </w:r>
    </w:p>
    <w:p>
      <w:pPr>
        <w:pStyle w:val="1856"/>
        <w:ind w:firstLine="437"/>
        <w:rPr>
          <w:color w:val="000000" w:themeColor="text1"/>
          <w14:textFill>
            <w14:solidFill>
              <w14:schemeClr w14:val="tx1"/>
            </w14:solidFill>
          </w14:textFill>
        </w:rPr>
      </w:pPr>
      <w:r>
        <w:rPr>
          <w:rFonts w:hint="eastAsia"/>
          <w:color w:val="000000" w:themeColor="text1"/>
          <w14:textFill>
            <w14:solidFill>
              <w14:schemeClr w14:val="tx1"/>
            </w14:solidFill>
          </w14:textFill>
        </w:rPr>
        <w:t>根据南京水利科学研究院编制的《钦州湾港口总体规划潮流数学模型研究和泥沙回淤分析》报告成果，钦州湾东航道的悬沙年回淤强度介于0~0.407m，底沙年回淤强度介于0.102～0.32m，年回淤量约224万方；最大骤淤强度不大于0.55m/d。另，根据对钦州港东航道扩建工程泥沙研究预测成果，大榄坪南作业区航道段，初期淤积量较大，泥沙回淤强度介于0.10~0.50m/a，平均淤强约0.35m/a，长期稳定后，航道两侧边坡基本稳定，主要为悬沙引起淤积，泥沙回淤强度均不超过0.12m/a。</w:t>
      </w:r>
    </w:p>
    <w:p>
      <w:pPr>
        <w:pStyle w:val="6"/>
        <w:rPr>
          <w:color w:val="000000" w:themeColor="text1"/>
          <w14:textFill>
            <w14:solidFill>
              <w14:schemeClr w14:val="tx1"/>
            </w14:solidFill>
          </w14:textFill>
        </w:rPr>
      </w:pPr>
      <w:r>
        <w:rPr>
          <w:rFonts w:hint="eastAsia"/>
          <w:color w:val="000000" w:themeColor="text1"/>
          <w14:textFill>
            <w14:solidFill>
              <w14:schemeClr w14:val="tx1"/>
            </w14:solidFill>
          </w14:textFill>
        </w:rPr>
        <w:t>海洋沉积物影响预测分析</w:t>
      </w:r>
    </w:p>
    <w:p>
      <w:pPr>
        <w:pStyle w:val="1856"/>
        <w:ind w:firstLine="437"/>
        <w:rPr>
          <w:color w:val="000000" w:themeColor="text1"/>
          <w:lang w:val="en-US"/>
          <w14:textFill>
            <w14:solidFill>
              <w14:schemeClr w14:val="tx1"/>
            </w14:solidFill>
          </w14:textFill>
        </w:rPr>
      </w:pPr>
      <w:r>
        <w:rPr>
          <w:rFonts w:hint="eastAsia"/>
          <w:color w:val="000000" w:themeColor="text1"/>
          <w14:textFill>
            <w14:solidFill>
              <w14:schemeClr w14:val="tx1"/>
            </w14:solidFill>
          </w14:textFill>
        </w:rPr>
        <w:t>根据工程所在区域海洋沉积物监测，本项目填海及疏浚区域海洋沉积物现状良好，沉积物监测因子均能满足《海洋沉积物质量》（GB18668-2002）中的相应标准。根据上述海洋水文动力、地形地貌及悬浮泥沙扩散分析，本项目施工期流速变化主要在疏浚、炸礁区域及其西侧范围内，南、北侧变化涉及的区域较小，涨急流向变化涉及的海域主要在项目周边0.9km的范围内，</w:t>
      </w:r>
      <w:r>
        <w:rPr>
          <w:rFonts w:hint="eastAsia"/>
          <w:color w:val="000000" w:themeColor="text1"/>
          <w:lang w:val="en-US"/>
          <w14:textFill>
            <w14:solidFill>
              <w14:schemeClr w14:val="tx1"/>
            </w14:solidFill>
          </w14:textFill>
        </w:rPr>
        <w:t>落急流向变化涉及的海域主要在项目周边</w:t>
      </w:r>
      <w:r>
        <w:rPr>
          <w:color w:val="000000" w:themeColor="text1"/>
          <w:lang w:val="en-US"/>
          <w14:textFill>
            <w14:solidFill>
              <w14:schemeClr w14:val="tx1"/>
            </w14:solidFill>
          </w14:textFill>
        </w:rPr>
        <w:t>1.0km</w:t>
      </w:r>
      <w:r>
        <w:rPr>
          <w:rFonts w:hint="eastAsia"/>
          <w:color w:val="000000" w:themeColor="text1"/>
          <w:lang w:val="en-US"/>
          <w14:textFill>
            <w14:solidFill>
              <w14:schemeClr w14:val="tx1"/>
            </w14:solidFill>
          </w14:textFill>
        </w:rPr>
        <w:t>的范围内，施工期疏浚、炸礁产生的悬沙主要分布在工程区域2.0km范围内，海洋沉积物与悬沙扩散基本一致，其中重金属元素中密度最小的铬相对其他元素扩散更快，但其扩散范围主要集中在疏浚、炸礁工程区周边，对其他海域及海洋环境敏感区基本无影响。</w:t>
      </w:r>
    </w:p>
    <w:p>
      <w:pPr>
        <w:pStyle w:val="6"/>
        <w:rPr>
          <w:color w:val="000000" w:themeColor="text1"/>
          <w14:textFill>
            <w14:solidFill>
              <w14:schemeClr w14:val="tx1"/>
            </w14:solidFill>
          </w14:textFill>
        </w:rPr>
      </w:pPr>
      <w:r>
        <w:rPr>
          <w:color w:val="000000" w:themeColor="text1"/>
          <w14:textFill>
            <w14:solidFill>
              <w14:schemeClr w14:val="tx1"/>
            </w14:solidFill>
          </w14:textFill>
        </w:rPr>
        <w:t>施工船舶污水</w:t>
      </w:r>
    </w:p>
    <w:p>
      <w:pPr>
        <w:pStyle w:val="283"/>
        <w:rPr>
          <w:color w:val="000000" w:themeColor="text1"/>
          <w14:textFill>
            <w14:solidFill>
              <w14:schemeClr w14:val="tx1"/>
            </w14:solidFill>
          </w14:textFill>
        </w:rPr>
      </w:pPr>
      <w:r>
        <w:rPr>
          <w:color w:val="000000" w:themeColor="text1"/>
          <w14:textFill>
            <w14:solidFill>
              <w14:schemeClr w14:val="tx1"/>
            </w14:solidFill>
          </w14:textFill>
        </w:rPr>
        <w:t>本项目主要污废水来源为船舶整治施工中施工船舶机舱油污水和施工人员生活污水。经估算，施工期共产生船舶生活污水</w:t>
      </w:r>
      <w:r>
        <w:rPr>
          <w:rFonts w:hint="eastAsia"/>
          <w:color w:val="000000" w:themeColor="text1"/>
          <w14:textFill>
            <w14:solidFill>
              <w14:schemeClr w14:val="tx1"/>
            </w14:solidFill>
          </w14:textFill>
        </w:rPr>
        <w:t>700</w:t>
      </w:r>
      <w:r>
        <w:rPr>
          <w:color w:val="000000" w:themeColor="text1"/>
          <w14:textFill>
            <w14:solidFill>
              <w14:schemeClr w14:val="tx1"/>
            </w14:solidFill>
          </w14:textFill>
        </w:rPr>
        <w:t>t，油污水</w:t>
      </w:r>
      <w:r>
        <w:rPr>
          <w:rFonts w:hint="eastAsia"/>
          <w:color w:val="000000" w:themeColor="text1"/>
          <w14:textFill>
            <w14:solidFill>
              <w14:schemeClr w14:val="tx1"/>
            </w14:solidFill>
          </w14:textFill>
        </w:rPr>
        <w:t>504</w:t>
      </w:r>
      <w:r>
        <w:rPr>
          <w:color w:val="000000" w:themeColor="text1"/>
          <w14:textFill>
            <w14:solidFill>
              <w14:schemeClr w14:val="tx1"/>
            </w14:solidFill>
          </w14:textFill>
        </w:rPr>
        <w:t>t。施工期</w:t>
      </w:r>
      <w:r>
        <w:rPr>
          <w:rFonts w:hint="eastAsia"/>
          <w:color w:val="000000" w:themeColor="text1"/>
          <w14:textFill>
            <w14:solidFill>
              <w14:schemeClr w14:val="tx1"/>
            </w14:solidFill>
          </w14:textFill>
        </w:rPr>
        <w:t>船舶污水</w:t>
      </w:r>
      <w:r>
        <w:rPr>
          <w:color w:val="000000" w:themeColor="text1"/>
          <w14:textFill>
            <w14:solidFill>
              <w14:schemeClr w14:val="tx1"/>
            </w14:solidFill>
          </w14:textFill>
        </w:rPr>
        <w:t>由有处理资质的单位统一接收处理。不外排，不会对海域水环境造成影响。</w:t>
      </w:r>
    </w:p>
    <w:p>
      <w:pPr>
        <w:pStyle w:val="6"/>
        <w:rPr>
          <w:color w:val="000000" w:themeColor="text1"/>
          <w14:textFill>
            <w14:solidFill>
              <w14:schemeClr w14:val="tx1"/>
            </w14:solidFill>
          </w14:textFill>
        </w:rPr>
      </w:pPr>
      <w:r>
        <w:rPr>
          <w:rFonts w:hint="eastAsia"/>
          <w:color w:val="000000" w:themeColor="text1"/>
          <w14:textFill>
            <w14:solidFill>
              <w14:schemeClr w14:val="tx1"/>
            </w14:solidFill>
          </w14:textFill>
        </w:rPr>
        <w:t>施工爆破对混合区排放口</w:t>
      </w:r>
    </w:p>
    <w:p>
      <w:pPr>
        <w:pStyle w:val="283"/>
        <w:rPr>
          <w:color w:val="000000" w:themeColor="text1"/>
          <w14:textFill>
            <w14:solidFill>
              <w14:schemeClr w14:val="tx1"/>
            </w14:solidFill>
          </w14:textFill>
        </w:rPr>
      </w:pPr>
      <w:r>
        <w:rPr>
          <w:rFonts w:hint="eastAsia"/>
          <w:color w:val="000000" w:themeColor="text1"/>
          <w14:textFill>
            <w14:solidFill>
              <w14:schemeClr w14:val="tx1"/>
            </w14:solidFill>
          </w14:textFill>
        </w:rPr>
        <w:t>根据本项目设计资料及工程分析，本项目爆破安全距离为40m，金桂浆纸业有限公司排污口及钦州市大榄坪污水处理厂排污口距离本项目炸礁区域最近距离分别为287m、556m，已位于本项目炸礁安全距离外；且根据企业排污管布置资料，排污管布置深度约6~7m，项目炸礁对排污管及排放口扰动影响较小。</w:t>
      </w:r>
    </w:p>
    <w:p>
      <w:pPr>
        <w:pStyle w:val="6"/>
        <w:rPr>
          <w:color w:val="000000" w:themeColor="text1"/>
          <w14:textFill>
            <w14:solidFill>
              <w14:schemeClr w14:val="tx1"/>
            </w14:solidFill>
          </w14:textFill>
        </w:rPr>
      </w:pPr>
      <w:r>
        <w:rPr>
          <w:color w:val="000000" w:themeColor="text1"/>
          <w14:textFill>
            <w14:solidFill>
              <w14:schemeClr w14:val="tx1"/>
            </w14:solidFill>
          </w14:textFill>
        </w:rPr>
        <w:t>陆域施工水环境影响分析</w:t>
      </w:r>
    </w:p>
    <w:p>
      <w:pPr>
        <w:pStyle w:val="283"/>
        <w:rPr>
          <w:color w:val="000000" w:themeColor="text1"/>
          <w14:textFill>
            <w14:solidFill>
              <w14:schemeClr w14:val="tx1"/>
            </w14:solidFill>
          </w14:textFill>
        </w:rPr>
      </w:pPr>
      <w:r>
        <w:rPr>
          <w:rFonts w:hint="eastAsia"/>
          <w:color w:val="000000" w:themeColor="text1"/>
          <w14:textFill>
            <w14:solidFill>
              <w14:schemeClr w14:val="tx1"/>
            </w14:solidFill>
          </w14:textFill>
        </w:rPr>
        <w:t>1、陆域施工生产废水</w:t>
      </w:r>
    </w:p>
    <w:p>
      <w:pPr>
        <w:pStyle w:val="283"/>
        <w:rPr>
          <w:color w:val="000000" w:themeColor="text1"/>
          <w14:textFill>
            <w14:solidFill>
              <w14:schemeClr w14:val="tx1"/>
            </w14:solidFill>
          </w14:textFill>
        </w:rPr>
      </w:pPr>
      <w:r>
        <w:rPr>
          <w:rFonts w:hint="eastAsia"/>
          <w:color w:val="000000" w:themeColor="text1"/>
          <w14:textFill>
            <w14:solidFill>
              <w14:schemeClr w14:val="tx1"/>
            </w14:solidFill>
          </w14:textFill>
        </w:rPr>
        <w:t>本项目</w:t>
      </w:r>
      <w:r>
        <w:rPr>
          <w:color w:val="000000" w:themeColor="text1"/>
          <w14:textFill>
            <w14:solidFill>
              <w14:schemeClr w14:val="tx1"/>
            </w14:solidFill>
          </w14:textFill>
        </w:rPr>
        <w:t>陆域施工主要包括</w:t>
      </w:r>
      <w:r>
        <w:rPr>
          <w:rFonts w:hint="eastAsia"/>
          <w:color w:val="000000" w:themeColor="text1"/>
          <w14:textFill>
            <w14:solidFill>
              <w14:schemeClr w14:val="tx1"/>
            </w14:solidFill>
          </w14:textFill>
        </w:rPr>
        <w:t>地基处理、</w:t>
      </w:r>
      <w:r>
        <w:rPr>
          <w:color w:val="000000" w:themeColor="text1"/>
          <w14:textFill>
            <w14:solidFill>
              <w14:schemeClr w14:val="tx1"/>
            </w14:solidFill>
          </w14:textFill>
        </w:rPr>
        <w:t>路面硬化及堆场形成。</w:t>
      </w:r>
      <w:r>
        <w:rPr>
          <w:rFonts w:hint="eastAsia"/>
          <w:color w:val="000000" w:themeColor="text1"/>
          <w14:textFill>
            <w14:solidFill>
              <w14:schemeClr w14:val="tx1"/>
            </w14:solidFill>
          </w14:textFill>
        </w:rPr>
        <w:t>工程</w:t>
      </w:r>
      <w:r>
        <w:rPr>
          <w:color w:val="000000" w:themeColor="text1"/>
          <w14:textFill>
            <w14:solidFill>
              <w14:schemeClr w14:val="tx1"/>
            </w14:solidFill>
          </w14:textFill>
        </w:rPr>
        <w:t>陆域施工过程中生产废水主要为</w:t>
      </w:r>
      <w:r>
        <w:rPr>
          <w:rFonts w:hint="eastAsia"/>
          <w:color w:val="000000" w:themeColor="text1"/>
          <w14:textFill>
            <w14:solidFill>
              <w14:schemeClr w14:val="tx1"/>
            </w14:solidFill>
          </w14:textFill>
        </w:rPr>
        <w:t>少量</w:t>
      </w:r>
      <w:r>
        <w:rPr>
          <w:color w:val="000000" w:themeColor="text1"/>
          <w14:textFill>
            <w14:solidFill>
              <w14:schemeClr w14:val="tx1"/>
            </w14:solidFill>
          </w14:textFill>
        </w:rPr>
        <w:t>地面冲洗废水</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施工废水</w:t>
      </w:r>
      <w:r>
        <w:rPr>
          <w:rFonts w:hint="eastAsia"/>
          <w:color w:val="000000" w:themeColor="text1"/>
          <w14:textFill>
            <w14:solidFill>
              <w14:schemeClr w14:val="tx1"/>
            </w14:solidFill>
          </w14:textFill>
        </w:rPr>
        <w:t>可在</w:t>
      </w:r>
      <w:r>
        <w:rPr>
          <w:color w:val="000000" w:themeColor="text1"/>
          <w14:textFill>
            <w14:solidFill>
              <w14:schemeClr w14:val="tx1"/>
            </w14:solidFill>
          </w14:textFill>
        </w:rPr>
        <w:t>施工场地内自然蒸发干化，不外排，不会对海域水环境造成影响。</w:t>
      </w:r>
    </w:p>
    <w:p>
      <w:pPr>
        <w:pStyle w:val="283"/>
        <w:rPr>
          <w:color w:val="000000" w:themeColor="text1"/>
          <w14:textFill>
            <w14:solidFill>
              <w14:schemeClr w14:val="tx1"/>
            </w14:solidFill>
          </w14:textFill>
        </w:rPr>
      </w:pPr>
      <w:r>
        <w:rPr>
          <w:rFonts w:hint="eastAsia"/>
          <w:color w:val="000000" w:themeColor="text1"/>
          <w14:textFill>
            <w14:solidFill>
              <w14:schemeClr w14:val="tx1"/>
            </w14:solidFill>
          </w14:textFill>
        </w:rPr>
        <w:t>2、施工人员生活污水</w:t>
      </w:r>
    </w:p>
    <w:p>
      <w:pPr>
        <w:pStyle w:val="283"/>
        <w:rPr>
          <w:snapToGrid w:val="0"/>
          <w:color w:val="000000" w:themeColor="text1"/>
          <w14:textFill>
            <w14:solidFill>
              <w14:schemeClr w14:val="tx1"/>
            </w14:solidFill>
          </w14:textFill>
        </w:rPr>
      </w:pPr>
      <w:r>
        <w:rPr>
          <w:color w:val="000000" w:themeColor="text1"/>
          <w14:textFill>
            <w14:solidFill>
              <w14:schemeClr w14:val="tx1"/>
            </w14:solidFill>
          </w14:textFill>
        </w:rPr>
        <w:t>陆域工程施工高峰期施工人员按</w:t>
      </w:r>
      <w:r>
        <w:rPr>
          <w:rFonts w:hint="eastAsia"/>
          <w:color w:val="000000" w:themeColor="text1"/>
          <w14:textFill>
            <w14:solidFill>
              <w14:schemeClr w14:val="tx1"/>
            </w14:solidFill>
          </w14:textFill>
        </w:rPr>
        <w:t>10</w:t>
      </w:r>
      <w:r>
        <w:rPr>
          <w:color w:val="000000" w:themeColor="text1"/>
          <w14:textFill>
            <w14:solidFill>
              <w14:schemeClr w14:val="tx1"/>
            </w14:solidFill>
          </w14:textFill>
        </w:rPr>
        <w:t>人考虑，根据工程分析，施工期生活污水产生量约</w:t>
      </w:r>
      <w:r>
        <w:rPr>
          <w:rFonts w:hint="eastAsia"/>
          <w:color w:val="000000" w:themeColor="text1"/>
          <w14:textFill>
            <w14:solidFill>
              <w14:schemeClr w14:val="tx1"/>
            </w14:solidFill>
          </w14:textFill>
        </w:rPr>
        <w:t>1</w:t>
      </w:r>
      <w:r>
        <w:rPr>
          <w:color w:val="000000" w:themeColor="text1"/>
          <w14:textFill>
            <w14:solidFill>
              <w14:schemeClr w14:val="tx1"/>
            </w14:solidFill>
          </w14:textFill>
        </w:rPr>
        <w:t>m</w:t>
      </w:r>
      <w:r>
        <w:rPr>
          <w:color w:val="000000" w:themeColor="text1"/>
          <w:vertAlign w:val="superscript"/>
          <w14:textFill>
            <w14:solidFill>
              <w14:schemeClr w14:val="tx1"/>
            </w14:solidFill>
          </w14:textFill>
        </w:rPr>
        <w:t>3</w:t>
      </w:r>
      <w:r>
        <w:rPr>
          <w:color w:val="000000" w:themeColor="text1"/>
          <w14:textFill>
            <w14:solidFill>
              <w14:schemeClr w14:val="tx1"/>
            </w14:solidFill>
          </w14:textFill>
        </w:rPr>
        <w:t>/d，</w:t>
      </w:r>
      <w:r>
        <w:rPr>
          <w:rFonts w:hint="eastAsia"/>
          <w:color w:val="000000" w:themeColor="text1"/>
          <w14:textFill>
            <w14:solidFill>
              <w14:schemeClr w14:val="tx1"/>
            </w14:solidFill>
          </w14:textFill>
        </w:rPr>
        <w:t>施工期</w:t>
      </w:r>
      <w:r>
        <w:rPr>
          <w:color w:val="000000" w:themeColor="text1"/>
          <w14:textFill>
            <w14:solidFill>
              <w14:schemeClr w14:val="tx1"/>
            </w14:solidFill>
          </w14:textFill>
        </w:rPr>
        <w:t>生活污水产生量合计</w:t>
      </w:r>
      <w:r>
        <w:rPr>
          <w:rFonts w:hint="eastAsia"/>
          <w:color w:val="000000" w:themeColor="text1"/>
          <w14:textFill>
            <w14:solidFill>
              <w14:schemeClr w14:val="tx1"/>
            </w14:solidFill>
          </w14:textFill>
        </w:rPr>
        <w:t>840</w:t>
      </w:r>
      <w:r>
        <w:rPr>
          <w:color w:val="000000" w:themeColor="text1"/>
          <w14:textFill>
            <w14:solidFill>
              <w14:schemeClr w14:val="tx1"/>
            </w14:solidFill>
          </w14:textFill>
        </w:rPr>
        <w:t>m</w:t>
      </w:r>
      <w:r>
        <w:rPr>
          <w:color w:val="000000" w:themeColor="text1"/>
          <w:vertAlign w:val="superscript"/>
          <w14:textFill>
            <w14:solidFill>
              <w14:schemeClr w14:val="tx1"/>
            </w14:solidFill>
          </w14:textFill>
        </w:rPr>
        <w:t>3</w:t>
      </w:r>
      <w:r>
        <w:rPr>
          <w:color w:val="000000" w:themeColor="text1"/>
          <w14:textFill>
            <w14:solidFill>
              <w14:schemeClr w14:val="tx1"/>
            </w14:solidFill>
          </w14:textFill>
        </w:rPr>
        <w:t>。本项目施工期</w:t>
      </w:r>
      <w:r>
        <w:rPr>
          <w:rFonts w:hint="eastAsia"/>
          <w:color w:val="000000" w:themeColor="text1"/>
          <w14:textFill>
            <w14:solidFill>
              <w14:schemeClr w14:val="tx1"/>
            </w14:solidFill>
          </w14:textFill>
        </w:rPr>
        <w:t>，施工人员生活污水依托9号10号泊位现有厕所等，通过泵吸至7号8号泊位生活污水处理站，经预处理</w:t>
      </w:r>
      <w:r>
        <w:rPr>
          <w:rFonts w:hint="eastAsia"/>
          <w:snapToGrid w:val="0"/>
          <w:color w:val="000000" w:themeColor="text1"/>
          <w14:textFill>
            <w14:solidFill>
              <w14:schemeClr w14:val="tx1"/>
            </w14:solidFill>
          </w14:textFill>
        </w:rPr>
        <w:t>达到《污水排入城镇下水道水质标准》（GB/T31962-2015）B级标准后进入大榄坪污水处理厂</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不外排</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不会对海域水环境造成影响</w:t>
      </w:r>
      <w:r>
        <w:rPr>
          <w:snapToGrid w:val="0"/>
          <w:color w:val="000000" w:themeColor="text1"/>
          <w14:textFill>
            <w14:solidFill>
              <w14:schemeClr w14:val="tx1"/>
            </w14:solidFill>
          </w14:textFill>
        </w:rPr>
        <w:t>。</w:t>
      </w:r>
    </w:p>
    <w:p>
      <w:pPr>
        <w:pStyle w:val="5"/>
        <w:rPr>
          <w:color w:val="000000" w:themeColor="text1"/>
          <w14:textFill>
            <w14:solidFill>
              <w14:schemeClr w14:val="tx1"/>
            </w14:solidFill>
          </w14:textFill>
        </w:rPr>
      </w:pPr>
      <w:r>
        <w:rPr>
          <w:rFonts w:hint="eastAsia"/>
          <w:color w:val="000000" w:themeColor="text1"/>
          <w14:textFill>
            <w14:solidFill>
              <w14:schemeClr w14:val="tx1"/>
            </w14:solidFill>
          </w14:textFill>
        </w:rPr>
        <w:t>运营期</w:t>
      </w:r>
      <w:r>
        <w:rPr>
          <w:color w:val="000000" w:themeColor="text1"/>
          <w14:textFill>
            <w14:solidFill>
              <w14:schemeClr w14:val="tx1"/>
            </w14:solidFill>
          </w14:textFill>
        </w:rPr>
        <w:t>水环境影响</w:t>
      </w:r>
    </w:p>
    <w:p>
      <w:pPr>
        <w:pStyle w:val="283"/>
        <w:rPr>
          <w:snapToGrid w:val="0"/>
          <w:color w:val="000000" w:themeColor="text1"/>
          <w14:textFill>
            <w14:solidFill>
              <w14:schemeClr w14:val="tx1"/>
            </w14:solidFill>
          </w14:textFill>
        </w:rPr>
      </w:pPr>
      <w:r>
        <w:rPr>
          <w:rFonts w:hint="eastAsia"/>
          <w:snapToGrid w:val="0"/>
          <w:color w:val="000000" w:themeColor="text1"/>
          <w14:textFill>
            <w14:solidFill>
              <w14:schemeClr w14:val="tx1"/>
            </w14:solidFill>
          </w14:textFill>
        </w:rPr>
        <w:t>本项目运营时仅提供集装箱的存放和转运业务，无开箱业务，无洗箱作业工艺，因此无洗箱废水产生。水环境污染源主要为到港船舶污水、陆域生活污水等。</w:t>
      </w:r>
    </w:p>
    <w:p>
      <w:pPr>
        <w:pStyle w:val="6"/>
        <w:rPr>
          <w:color w:val="000000" w:themeColor="text1"/>
          <w14:textFill>
            <w14:solidFill>
              <w14:schemeClr w14:val="tx1"/>
            </w14:solidFill>
          </w14:textFill>
        </w:rPr>
      </w:pPr>
      <w:r>
        <w:rPr>
          <w:color w:val="000000" w:themeColor="text1"/>
          <w14:textFill>
            <w14:solidFill>
              <w14:schemeClr w14:val="tx1"/>
            </w14:solidFill>
          </w14:textFill>
        </w:rPr>
        <w:t>船舶污水</w:t>
      </w:r>
    </w:p>
    <w:p>
      <w:pPr>
        <w:pStyle w:val="1075"/>
        <w:ind w:firstLine="439"/>
        <w:rPr>
          <w:b/>
          <w:color w:val="000000" w:themeColor="text1"/>
          <w14:textFill>
            <w14:solidFill>
              <w14:schemeClr w14:val="tx1"/>
            </w14:solidFill>
          </w14:textFill>
        </w:rPr>
      </w:pPr>
      <w:r>
        <w:rPr>
          <w:rFonts w:hint="eastAsia"/>
          <w:b/>
          <w:color w:val="000000" w:themeColor="text1"/>
          <w14:textFill>
            <w14:solidFill>
              <w14:schemeClr w14:val="tx1"/>
            </w14:solidFill>
          </w14:textFill>
        </w:rPr>
        <w:t>1、</w:t>
      </w:r>
      <w:r>
        <w:rPr>
          <w:b/>
          <w:color w:val="000000" w:themeColor="text1"/>
          <w14:textFill>
            <w14:solidFill>
              <w14:schemeClr w14:val="tx1"/>
            </w14:solidFill>
          </w14:textFill>
        </w:rPr>
        <w:t>到港船舶生活污水</w:t>
      </w:r>
    </w:p>
    <w:p>
      <w:pPr>
        <w:pStyle w:val="283"/>
        <w:rPr>
          <w:color w:val="000000" w:themeColor="text1"/>
          <w14:textFill>
            <w14:solidFill>
              <w14:schemeClr w14:val="tx1"/>
            </w14:solidFill>
          </w14:textFill>
        </w:rPr>
      </w:pPr>
      <w:r>
        <w:rPr>
          <w:color w:val="000000" w:themeColor="text1"/>
          <w14:textFill>
            <w14:solidFill>
              <w14:schemeClr w14:val="tx1"/>
            </w14:solidFill>
          </w14:textFill>
        </w:rPr>
        <w:t>经工程分析，根据设计船型、来港艘次、实际靠泊时间和船员数，船舶生活污水的生量约为4.5</w:t>
      </w:r>
      <w:r>
        <w:rPr>
          <w:rFonts w:hint="eastAsia"/>
          <w:color w:val="000000" w:themeColor="text1"/>
          <w14:textFill>
            <w14:solidFill>
              <w14:schemeClr w14:val="tx1"/>
            </w14:solidFill>
          </w14:textFill>
        </w:rPr>
        <w:t xml:space="preserve"> </w:t>
      </w:r>
      <w:r>
        <w:rPr>
          <w:color w:val="000000" w:themeColor="text1"/>
          <w14:textFill>
            <w14:solidFill>
              <w14:schemeClr w14:val="tx1"/>
            </w14:solidFill>
          </w14:textFill>
        </w:rPr>
        <w:t>m</w:t>
      </w:r>
      <w:r>
        <w:rPr>
          <w:color w:val="000000" w:themeColor="text1"/>
          <w:vertAlign w:val="superscript"/>
          <w14:textFill>
            <w14:solidFill>
              <w14:schemeClr w14:val="tx1"/>
            </w14:solidFill>
          </w14:textFill>
        </w:rPr>
        <w:t>3</w:t>
      </w:r>
      <w:r>
        <w:rPr>
          <w:color w:val="000000" w:themeColor="text1"/>
          <w14:textFill>
            <w14:solidFill>
              <w14:schemeClr w14:val="tx1"/>
            </w14:solidFill>
          </w14:textFill>
        </w:rPr>
        <w:t>/d，合计</w:t>
      </w:r>
      <w:r>
        <w:rPr>
          <w:rFonts w:hint="eastAsia"/>
          <w:color w:val="000000" w:themeColor="text1"/>
          <w14:textFill>
            <w14:solidFill>
              <w14:schemeClr w14:val="tx1"/>
            </w14:solidFill>
          </w14:textFill>
        </w:rPr>
        <w:t xml:space="preserve">1485 </w:t>
      </w:r>
      <w:r>
        <w:rPr>
          <w:color w:val="000000" w:themeColor="text1"/>
          <w14:textFill>
            <w14:solidFill>
              <w14:schemeClr w14:val="tx1"/>
            </w14:solidFill>
          </w14:textFill>
        </w:rPr>
        <w:t>m</w:t>
      </w:r>
      <w:r>
        <w:rPr>
          <w:color w:val="000000" w:themeColor="text1"/>
          <w:vertAlign w:val="superscript"/>
          <w14:textFill>
            <w14:solidFill>
              <w14:schemeClr w14:val="tx1"/>
            </w14:solidFill>
          </w14:textFill>
        </w:rPr>
        <w:t>3</w:t>
      </w:r>
      <w:r>
        <w:rPr>
          <w:color w:val="000000" w:themeColor="text1"/>
          <w14:textFill>
            <w14:solidFill>
              <w14:schemeClr w14:val="tx1"/>
            </w14:solidFill>
          </w14:textFill>
        </w:rPr>
        <w:t>/a。</w:t>
      </w:r>
    </w:p>
    <w:p>
      <w:pPr>
        <w:pStyle w:val="283"/>
        <w:rPr>
          <w:color w:val="000000" w:themeColor="text1"/>
          <w14:textFill>
            <w14:solidFill>
              <w14:schemeClr w14:val="tx1"/>
            </w14:solidFill>
          </w14:textFill>
        </w:rPr>
      </w:pPr>
      <w:r>
        <w:rPr>
          <w:rFonts w:hint="eastAsia"/>
          <w:color w:val="000000" w:themeColor="text1"/>
          <w14:textFill>
            <w14:solidFill>
              <w14:schemeClr w14:val="tx1"/>
            </w14:solidFill>
          </w14:textFill>
        </w:rPr>
        <w:t>2、</w:t>
      </w:r>
      <w:r>
        <w:rPr>
          <w:color w:val="000000" w:themeColor="text1"/>
          <w14:textFill>
            <w14:solidFill>
              <w14:schemeClr w14:val="tx1"/>
            </w14:solidFill>
          </w14:textFill>
        </w:rPr>
        <w:t>船舶污水接收处置方式分析</w:t>
      </w:r>
    </w:p>
    <w:p>
      <w:pPr>
        <w:pStyle w:val="283"/>
        <w:rPr>
          <w:color w:val="000000" w:themeColor="text1"/>
          <w14:textFill>
            <w14:solidFill>
              <w14:schemeClr w14:val="tx1"/>
            </w14:solidFill>
          </w14:textFill>
        </w:rPr>
      </w:pPr>
      <w:r>
        <w:rPr>
          <w:color w:val="000000" w:themeColor="text1"/>
          <w14:textFill>
            <w14:solidFill>
              <w14:schemeClr w14:val="tx1"/>
            </w14:solidFill>
          </w14:textFill>
        </w:rPr>
        <w:t>根据《MARPOL73/78 防污公约》附则Ⅳ“防止船舶生活污水污染规则”规定，船舶应当配有经海事管理机构认可的生活污水处理装置，且须保证生活污水处理设施的正常运转，达到排放标准后在航行中并且在4海里以外排放。各缔约国政府应保证在港口或装卸站设置到港船舶需要的生活污水接收设备，而不致造成船舶的不当延误。《MARPOL73/78 防污公约》附则Ⅰ—“防止油污规则”要求船舶应配备机舱油污水处理系统，确保在公海排放机舱污水时其含油量不超过15ppm。</w:t>
      </w:r>
    </w:p>
    <w:p>
      <w:pPr>
        <w:pStyle w:val="283"/>
        <w:rPr>
          <w:color w:val="000000" w:themeColor="text1"/>
          <w14:textFill>
            <w14:solidFill>
              <w14:schemeClr w14:val="tx1"/>
            </w14:solidFill>
          </w14:textFill>
        </w:rPr>
      </w:pPr>
      <w:r>
        <w:rPr>
          <w:color w:val="000000" w:themeColor="text1"/>
          <w14:textFill>
            <w14:solidFill>
              <w14:schemeClr w14:val="tx1"/>
            </w14:solidFill>
          </w14:textFill>
        </w:rPr>
        <w:t>根据《防治船舶污染海洋环境管理条例》，船舶在中华人民共和国管辖海域向海洋排放的船舶垃圾、生活污水、含油污水、含有毒有害物质污水、废气等污染物以及压载水，应当符合法律、行政法规、中华人民共和国缔结或者参加的国际条约以及相关标准的要求。船舶应当将不符合上述规定的排放要求的污染物排入港口接收设施或者由船舶污染物接收单位接收。</w:t>
      </w:r>
    </w:p>
    <w:p>
      <w:pPr>
        <w:pStyle w:val="283"/>
        <w:rPr>
          <w:color w:val="000000" w:themeColor="text1"/>
          <w14:textFill>
            <w14:solidFill>
              <w14:schemeClr w14:val="tx1"/>
            </w14:solidFill>
          </w14:textFill>
        </w:rPr>
      </w:pPr>
      <w:r>
        <w:rPr>
          <w:rFonts w:hint="eastAsia"/>
          <w:color w:val="000000" w:themeColor="text1"/>
          <w14:textFill>
            <w14:solidFill>
              <w14:schemeClr w14:val="tx1"/>
            </w14:solidFill>
          </w14:textFill>
        </w:rPr>
        <w:t>本项目运营期到港</w:t>
      </w:r>
      <w:r>
        <w:rPr>
          <w:color w:val="000000" w:themeColor="text1"/>
          <w14:textFill>
            <w14:solidFill>
              <w14:schemeClr w14:val="tx1"/>
            </w14:solidFill>
          </w14:textFill>
        </w:rPr>
        <w:t>船舶生活污水</w:t>
      </w:r>
      <w:r>
        <w:rPr>
          <w:rFonts w:hint="eastAsia"/>
          <w:color w:val="000000" w:themeColor="text1"/>
          <w14:textFill>
            <w14:solidFill>
              <w14:schemeClr w14:val="tx1"/>
            </w14:solidFill>
          </w14:textFill>
        </w:rPr>
        <w:t>由</w:t>
      </w:r>
      <w:r>
        <w:rPr>
          <w:color w:val="000000" w:themeColor="text1"/>
          <w14:textFill>
            <w14:solidFill>
              <w14:schemeClr w14:val="tx1"/>
            </w14:solidFill>
          </w14:textFill>
        </w:rPr>
        <w:t>有资质的单位接收，在落实好以上措施后，到港船舶污染物对环境的影响不大。</w:t>
      </w:r>
    </w:p>
    <w:p>
      <w:pPr>
        <w:pStyle w:val="283"/>
        <w:rPr>
          <w:color w:val="000000" w:themeColor="text1"/>
          <w14:textFill>
            <w14:solidFill>
              <w14:schemeClr w14:val="tx1"/>
            </w14:solidFill>
          </w14:textFill>
        </w:rPr>
      </w:pPr>
      <w:r>
        <w:rPr>
          <w:rFonts w:hint="eastAsia"/>
          <w:color w:val="000000" w:themeColor="text1"/>
          <w14:textFill>
            <w14:solidFill>
              <w14:schemeClr w14:val="tx1"/>
            </w14:solidFill>
          </w14:textFill>
        </w:rPr>
        <w:t>3、船舶压载水</w:t>
      </w:r>
    </w:p>
    <w:p>
      <w:pPr>
        <w:pStyle w:val="283"/>
        <w:rPr>
          <w:color w:val="000000" w:themeColor="text1"/>
          <w14:textFill>
            <w14:solidFill>
              <w14:schemeClr w14:val="tx1"/>
            </w14:solidFill>
          </w14:textFill>
        </w:rPr>
      </w:pPr>
      <w:r>
        <w:rPr>
          <w:color w:val="000000" w:themeColor="text1"/>
          <w14:textFill>
            <w14:solidFill>
              <w14:schemeClr w14:val="tx1"/>
            </w14:solidFill>
          </w14:textFill>
        </w:rPr>
        <w:t>由本工程设计船型，外籍船舶一次压载水最大产生量约为</w:t>
      </w:r>
      <w:r>
        <w:rPr>
          <w:rFonts w:hint="eastAsia"/>
          <w:color w:val="000000" w:themeColor="text1"/>
          <w14:textFill>
            <w14:solidFill>
              <w14:schemeClr w14:val="tx1"/>
            </w14:solidFill>
          </w14:textFill>
        </w:rPr>
        <w:t>2.00</w:t>
      </w:r>
      <w:r>
        <w:rPr>
          <w:color w:val="000000" w:themeColor="text1"/>
          <w14:textFill>
            <w14:solidFill>
              <w14:schemeClr w14:val="tx1"/>
            </w14:solidFill>
          </w14:textFill>
        </w:rPr>
        <w:t>万t（按满载吨位10%计），压载泵流量可达400m</w:t>
      </w:r>
      <w:r>
        <w:rPr>
          <w:color w:val="000000" w:themeColor="text1"/>
          <w:vertAlign w:val="superscript"/>
          <w14:textFill>
            <w14:solidFill>
              <w14:schemeClr w14:val="tx1"/>
            </w14:solidFill>
          </w14:textFill>
        </w:rPr>
        <w:t>3</w:t>
      </w:r>
      <w:r>
        <w:rPr>
          <w:color w:val="000000" w:themeColor="text1"/>
          <w14:textFill>
            <w14:solidFill>
              <w14:schemeClr w14:val="tx1"/>
            </w14:solidFill>
          </w14:textFill>
        </w:rPr>
        <w:t>/h。目前钦州市船舶压载水都是按照《MARPOL73/78 防污公约》要求，进行深海置换，禁止在内海排放。</w:t>
      </w:r>
    </w:p>
    <w:p>
      <w:pPr>
        <w:pStyle w:val="6"/>
        <w:rPr>
          <w:color w:val="000000" w:themeColor="text1"/>
          <w14:textFill>
            <w14:solidFill>
              <w14:schemeClr w14:val="tx1"/>
            </w14:solidFill>
          </w14:textFill>
        </w:rPr>
      </w:pPr>
      <w:r>
        <w:rPr>
          <w:color w:val="000000" w:themeColor="text1"/>
          <w14:textFill>
            <w14:solidFill>
              <w14:schemeClr w14:val="tx1"/>
            </w14:solidFill>
          </w14:textFill>
        </w:rPr>
        <w:t>港区生活污水</w:t>
      </w:r>
    </w:p>
    <w:p>
      <w:pPr>
        <w:pStyle w:val="283"/>
        <w:rPr>
          <w:color w:val="000000" w:themeColor="text1"/>
          <w14:textFill>
            <w14:solidFill>
              <w14:schemeClr w14:val="tx1"/>
            </w14:solidFill>
          </w14:textFill>
        </w:rPr>
      </w:pPr>
      <w:r>
        <w:rPr>
          <w:rFonts w:hint="eastAsia"/>
          <w:color w:val="000000" w:themeColor="text1"/>
          <w14:textFill>
            <w14:solidFill>
              <w14:schemeClr w14:val="tx1"/>
            </w14:solidFill>
          </w14:textFill>
        </w:rPr>
        <w:t>本次扩建</w:t>
      </w:r>
      <w:r>
        <w:rPr>
          <w:color w:val="000000" w:themeColor="text1"/>
          <w14:textFill>
            <w14:solidFill>
              <w14:schemeClr w14:val="tx1"/>
            </w14:solidFill>
          </w14:textFill>
        </w:rPr>
        <w:t>后</w:t>
      </w:r>
      <w:r>
        <w:rPr>
          <w:rFonts w:hint="eastAsia"/>
          <w:color w:val="000000" w:themeColor="text1"/>
          <w14:textFill>
            <w14:solidFill>
              <w14:schemeClr w14:val="tx1"/>
            </w14:solidFill>
          </w14:textFill>
        </w:rPr>
        <w:t>新增</w:t>
      </w:r>
      <w:r>
        <w:rPr>
          <w:color w:val="000000" w:themeColor="text1"/>
          <w14:textFill>
            <w14:solidFill>
              <w14:schemeClr w14:val="tx1"/>
            </w14:solidFill>
          </w14:textFill>
        </w:rPr>
        <w:t>码头劳动定员</w:t>
      </w:r>
      <w:r>
        <w:rPr>
          <w:rFonts w:hint="eastAsia"/>
          <w:color w:val="000000" w:themeColor="text1"/>
          <w14:textFill>
            <w14:solidFill>
              <w14:schemeClr w14:val="tx1"/>
            </w14:solidFill>
          </w14:textFill>
        </w:rPr>
        <w:t>41人</w:t>
      </w:r>
      <w:r>
        <w:rPr>
          <w:color w:val="000000" w:themeColor="text1"/>
          <w14:textFill>
            <w14:solidFill>
              <w14:schemeClr w14:val="tx1"/>
            </w14:solidFill>
          </w14:textFill>
        </w:rPr>
        <w:t>，港区新增生活污水</w:t>
      </w:r>
      <w:r>
        <w:rPr>
          <w:rFonts w:hint="eastAsia"/>
          <w:color w:val="000000" w:themeColor="text1"/>
          <w14:textFill>
            <w14:solidFill>
              <w14:schemeClr w14:val="tx1"/>
            </w14:solidFill>
          </w14:textFill>
        </w:rPr>
        <w:t>排放</w:t>
      </w:r>
      <w:r>
        <w:rPr>
          <w:color w:val="000000" w:themeColor="text1"/>
          <w14:textFill>
            <w14:solidFill>
              <w14:schemeClr w14:val="tx1"/>
            </w14:solidFill>
          </w14:textFill>
        </w:rPr>
        <w:t>量为</w:t>
      </w:r>
      <w:r>
        <w:rPr>
          <w:rFonts w:hint="eastAsia"/>
          <w:color w:val="000000" w:themeColor="text1"/>
          <w14:textFill>
            <w14:solidFill>
              <w14:schemeClr w14:val="tx1"/>
            </w14:solidFill>
          </w14:textFill>
        </w:rPr>
        <w:t>432.3</w:t>
      </w:r>
      <w:r>
        <w:rPr>
          <w:color w:val="000000" w:themeColor="text1"/>
          <w14:textFill>
            <w14:solidFill>
              <w14:schemeClr w14:val="tx1"/>
            </w14:solidFill>
          </w14:textFill>
        </w:rPr>
        <w:t>t/a。污水中主要污染因子为COD、BOD</w:t>
      </w:r>
      <w:r>
        <w:rPr>
          <w:color w:val="000000" w:themeColor="text1"/>
          <w:vertAlign w:val="subscript"/>
          <w14:textFill>
            <w14:solidFill>
              <w14:schemeClr w14:val="tx1"/>
            </w14:solidFill>
          </w14:textFill>
        </w:rPr>
        <w:t>5</w:t>
      </w:r>
      <w:r>
        <w:rPr>
          <w:color w:val="000000" w:themeColor="text1"/>
          <w14:textFill>
            <w14:solidFill>
              <w14:schemeClr w14:val="tx1"/>
            </w14:solidFill>
          </w14:textFill>
        </w:rPr>
        <w:t>和NH</w:t>
      </w:r>
      <w:r>
        <w:rPr>
          <w:color w:val="000000" w:themeColor="text1"/>
          <w:vertAlign w:val="subscript"/>
          <w14:textFill>
            <w14:solidFill>
              <w14:schemeClr w14:val="tx1"/>
            </w14:solidFill>
          </w14:textFill>
        </w:rPr>
        <w:t>3</w:t>
      </w:r>
      <w:r>
        <w:rPr>
          <w:color w:val="000000" w:themeColor="text1"/>
          <w14:textFill>
            <w14:solidFill>
              <w14:schemeClr w14:val="tx1"/>
            </w14:solidFill>
          </w14:textFill>
        </w:rPr>
        <w:t>-N，其浓度分别达到</w:t>
      </w:r>
      <w:r>
        <w:rPr>
          <w:rFonts w:hint="eastAsia"/>
          <w:color w:val="000000" w:themeColor="text1"/>
          <w14:textFill>
            <w14:solidFill>
              <w14:schemeClr w14:val="tx1"/>
            </w14:solidFill>
          </w14:textFill>
        </w:rPr>
        <w:t>500</w:t>
      </w:r>
      <w:r>
        <w:rPr>
          <w:color w:val="000000" w:themeColor="text1"/>
          <w14:textFill>
            <w14:solidFill>
              <w14:schemeClr w14:val="tx1"/>
            </w14:solidFill>
          </w14:textFill>
        </w:rPr>
        <w:t>mg/L、</w:t>
      </w:r>
      <w:r>
        <w:rPr>
          <w:rFonts w:hint="eastAsia"/>
          <w:color w:val="000000" w:themeColor="text1"/>
          <w14:textFill>
            <w14:solidFill>
              <w14:schemeClr w14:val="tx1"/>
            </w14:solidFill>
          </w14:textFill>
        </w:rPr>
        <w:t>350</w:t>
      </w:r>
      <w:r>
        <w:rPr>
          <w:color w:val="000000" w:themeColor="text1"/>
          <w14:textFill>
            <w14:solidFill>
              <w14:schemeClr w14:val="tx1"/>
            </w14:solidFill>
          </w14:textFill>
        </w:rPr>
        <w:t>mg/L和</w:t>
      </w:r>
      <w:r>
        <w:rPr>
          <w:rFonts w:hint="eastAsia"/>
          <w:color w:val="000000" w:themeColor="text1"/>
          <w14:textFill>
            <w14:solidFill>
              <w14:schemeClr w14:val="tx1"/>
            </w14:solidFill>
          </w14:textFill>
        </w:rPr>
        <w:t>45</w:t>
      </w:r>
      <w:r>
        <w:rPr>
          <w:color w:val="000000" w:themeColor="text1"/>
          <w14:textFill>
            <w14:solidFill>
              <w14:schemeClr w14:val="tx1"/>
            </w14:solidFill>
          </w14:textFill>
        </w:rPr>
        <w:t>mg/L，计算得COD、BOD</w:t>
      </w:r>
      <w:r>
        <w:rPr>
          <w:color w:val="000000" w:themeColor="text1"/>
          <w:vertAlign w:val="subscript"/>
          <w14:textFill>
            <w14:solidFill>
              <w14:schemeClr w14:val="tx1"/>
            </w14:solidFill>
          </w14:textFill>
        </w:rPr>
        <w:t>5</w:t>
      </w:r>
      <w:r>
        <w:rPr>
          <w:color w:val="000000" w:themeColor="text1"/>
          <w14:textFill>
            <w14:solidFill>
              <w14:schemeClr w14:val="tx1"/>
            </w14:solidFill>
          </w14:textFill>
        </w:rPr>
        <w:t>和NH</w:t>
      </w:r>
      <w:r>
        <w:rPr>
          <w:color w:val="000000" w:themeColor="text1"/>
          <w:vertAlign w:val="subscript"/>
          <w14:textFill>
            <w14:solidFill>
              <w14:schemeClr w14:val="tx1"/>
            </w14:solidFill>
          </w14:textFill>
        </w:rPr>
        <w:t>3</w:t>
      </w:r>
      <w:r>
        <w:rPr>
          <w:color w:val="000000" w:themeColor="text1"/>
          <w14:textFill>
            <w14:solidFill>
              <w14:schemeClr w14:val="tx1"/>
            </w14:solidFill>
          </w14:textFill>
        </w:rPr>
        <w:t>-N的产生量分别为</w:t>
      </w:r>
      <w:r>
        <w:rPr>
          <w:rFonts w:hint="eastAsia"/>
          <w:color w:val="000000" w:themeColor="text1"/>
          <w14:textFill>
            <w14:solidFill>
              <w14:schemeClr w14:val="tx1"/>
            </w14:solidFill>
          </w14:textFill>
        </w:rPr>
        <w:t>0.22t/a、0.14t/a、0.013t/a。港区生活污水经收集后泵送至</w:t>
      </w:r>
      <w:r>
        <w:rPr>
          <w:color w:val="000000" w:themeColor="text1"/>
          <w14:textFill>
            <w14:solidFill>
              <w14:schemeClr w14:val="tx1"/>
            </w14:solidFill>
          </w14:textFill>
        </w:rPr>
        <w:t>7</w:t>
      </w:r>
      <w:r>
        <w:rPr>
          <w:rFonts w:hint="eastAsia"/>
          <w:color w:val="000000" w:themeColor="text1"/>
          <w14:textFill>
            <w14:solidFill>
              <w14:schemeClr w14:val="tx1"/>
            </w14:solidFill>
          </w14:textFill>
        </w:rPr>
        <w:t>号</w:t>
      </w:r>
      <w:r>
        <w:rPr>
          <w:color w:val="000000" w:themeColor="text1"/>
          <w14:textFill>
            <w14:solidFill>
              <w14:schemeClr w14:val="tx1"/>
            </w14:solidFill>
          </w14:textFill>
        </w:rPr>
        <w:t>8</w:t>
      </w:r>
      <w:r>
        <w:rPr>
          <w:rFonts w:hint="eastAsia"/>
          <w:color w:val="000000" w:themeColor="text1"/>
          <w14:textFill>
            <w14:solidFill>
              <w14:schemeClr w14:val="tx1"/>
            </w14:solidFill>
          </w14:textFill>
        </w:rPr>
        <w:t>号泊位的生活污水处理站预处理后排入大榄坪污水处理厂。</w:t>
      </w:r>
    </w:p>
    <w:p>
      <w:pPr>
        <w:pStyle w:val="6"/>
        <w:rPr>
          <w:color w:val="000000" w:themeColor="text1"/>
          <w14:textFill>
            <w14:solidFill>
              <w14:schemeClr w14:val="tx1"/>
            </w14:solidFill>
          </w14:textFill>
        </w:rPr>
      </w:pPr>
      <w:r>
        <w:rPr>
          <w:rFonts w:hint="eastAsia"/>
          <w:color w:val="000000" w:themeColor="text1"/>
          <w14:textFill>
            <w14:solidFill>
              <w14:schemeClr w14:val="tx1"/>
            </w14:solidFill>
          </w14:textFill>
        </w:rPr>
        <w:t>污水治理设施依托可行性及处理效果监测</w:t>
      </w:r>
    </w:p>
    <w:p>
      <w:pPr>
        <w:pStyle w:val="283"/>
        <w:rPr>
          <w:color w:val="000000" w:themeColor="text1"/>
          <w14:textFill>
            <w14:solidFill>
              <w14:schemeClr w14:val="tx1"/>
            </w14:solidFill>
          </w14:textFill>
        </w:rPr>
      </w:pPr>
      <w:r>
        <w:rPr>
          <w:color w:val="000000" w:themeColor="text1"/>
          <w14:textFill>
            <w14:solidFill>
              <w14:schemeClr w14:val="tx1"/>
            </w14:solidFill>
          </w14:textFill>
        </w:rPr>
        <w:t>港区生活污水</w:t>
      </w:r>
      <w:r>
        <w:rPr>
          <w:rFonts w:hint="eastAsia"/>
          <w:color w:val="000000" w:themeColor="text1"/>
          <w14:textFill>
            <w14:solidFill>
              <w14:schemeClr w14:val="tx1"/>
            </w14:solidFill>
          </w14:textFill>
        </w:rPr>
        <w:t>通过7号8号泊位生活污水处理站预处理后进入市政污水管网，最终排入大榄坪污水处理厂。</w:t>
      </w:r>
      <w:r>
        <w:rPr>
          <w:color w:val="000000" w:themeColor="text1"/>
          <w14:textFill>
            <w14:solidFill>
              <w14:schemeClr w14:val="tx1"/>
            </w14:solidFill>
          </w14:textFill>
        </w:rPr>
        <w:t>7号8号泊位集装箱自动化改造工程已于2022年5月通过竣工环境保护验收，7号8号泊位后方的生活污水处理站和生产污水处理站已正常投入使用，处理设备运行良好。</w:t>
      </w:r>
    </w:p>
    <w:p>
      <w:pPr>
        <w:pStyle w:val="283"/>
        <w:rPr>
          <w:color w:val="000000" w:themeColor="text1"/>
          <w14:textFill>
            <w14:solidFill>
              <w14:schemeClr w14:val="tx1"/>
            </w14:solidFill>
          </w14:textFill>
        </w:rPr>
      </w:pPr>
      <w:r>
        <w:rPr>
          <w:color w:val="000000" w:themeColor="text1"/>
          <w14:textFill>
            <w14:solidFill>
              <w14:schemeClr w14:val="tx1"/>
            </w14:solidFill>
          </w14:textFill>
        </w:rPr>
        <w:t>生活污水处理站的污水处理采用厌氧＋缺氧生物处理法，最大处理能力为5.0t</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h。生活污水处理站的处理能力可容纳本项目运营期污水产生量。运营单位正在委托有监测资质的单位对生活污水处理站进行定期水质监测，确保设备正常运行。</w:t>
      </w:r>
    </w:p>
    <w:p>
      <w:pPr>
        <w:pStyle w:val="283"/>
        <w:rPr>
          <w:color w:val="000000" w:themeColor="text1"/>
          <w14:textFill>
            <w14:solidFill>
              <w14:schemeClr w14:val="tx1"/>
            </w14:solidFill>
          </w14:textFill>
        </w:rPr>
      </w:pPr>
      <w:r>
        <w:rPr>
          <w:rFonts w:hint="eastAsia"/>
          <w:color w:val="000000" w:themeColor="text1"/>
          <w14:textFill>
            <w14:solidFill>
              <w14:schemeClr w14:val="tx1"/>
            </w14:solidFill>
          </w14:textFill>
        </w:rPr>
        <w:t>根据2024年生活污水处理设施日常运行记录，</w:t>
      </w:r>
      <w:r>
        <w:rPr>
          <w:color w:val="000000" w:themeColor="text1"/>
          <w14:textFill>
            <w14:solidFill>
              <w14:schemeClr w14:val="tx1"/>
            </w14:solidFill>
          </w14:textFill>
        </w:rPr>
        <w:t>对本项目依托的7号8号泊位生活污水处理设施进行污染源达标监测，监测结果表明，7号8号泊位生活污水处理站运行良好，污水处理效率较高，出水水质能满足</w:t>
      </w:r>
      <w:r>
        <w:rPr>
          <w:rFonts w:hint="eastAsia"/>
          <w:color w:val="000000" w:themeColor="text1"/>
          <w14:textFill>
            <w14:solidFill>
              <w14:schemeClr w14:val="tx1"/>
            </w14:solidFill>
          </w14:textFill>
        </w:rPr>
        <w:t>《污水排入城镇下水道水质标准》（GB/T31962-2015）B级标准</w:t>
      </w:r>
      <w:r>
        <w:rPr>
          <w:color w:val="000000" w:themeColor="text1"/>
          <w14:textFill>
            <w14:solidFill>
              <w14:schemeClr w14:val="tx1"/>
            </w14:solidFill>
          </w14:textFill>
        </w:rPr>
        <w:t>要求，出水可排入市政污水管网。</w:t>
      </w:r>
      <w:r>
        <w:rPr>
          <w:rFonts w:hint="eastAsia"/>
          <w:color w:val="000000" w:themeColor="text1"/>
          <w14:textFill>
            <w14:solidFill>
              <w14:schemeClr w14:val="tx1"/>
            </w14:solidFill>
          </w14:textFill>
        </w:rPr>
        <w:t>因此，码头区域生活污水由污水处理站预处理后进入大榄坪污水处理厂具备可行性。</w:t>
      </w:r>
    </w:p>
    <w:p>
      <w:pPr>
        <w:pStyle w:val="5"/>
        <w:rPr>
          <w:color w:val="000000" w:themeColor="text1"/>
          <w14:textFill>
            <w14:solidFill>
              <w14:schemeClr w14:val="tx1"/>
            </w14:solidFill>
          </w14:textFill>
        </w:rPr>
      </w:pPr>
      <w:r>
        <w:rPr>
          <w:rFonts w:hint="eastAsia"/>
          <w:color w:val="000000" w:themeColor="text1"/>
          <w14:textFill>
            <w14:solidFill>
              <w14:schemeClr w14:val="tx1"/>
            </w14:solidFill>
          </w14:textFill>
        </w:rPr>
        <w:t>本次扩建对混合排污区排放口污染物排放影响预测</w:t>
      </w:r>
    </w:p>
    <w:p>
      <w:pPr>
        <w:pStyle w:val="6"/>
        <w:rPr>
          <w:color w:val="000000" w:themeColor="text1"/>
          <w14:textFill>
            <w14:solidFill>
              <w14:schemeClr w14:val="tx1"/>
            </w14:solidFill>
          </w14:textFill>
        </w:rPr>
      </w:pPr>
      <w:r>
        <w:rPr>
          <w:rFonts w:hint="eastAsia"/>
          <w:color w:val="000000" w:themeColor="text1"/>
          <w14:textFill>
            <w14:solidFill>
              <w14:schemeClr w14:val="tx1"/>
            </w14:solidFill>
          </w14:textFill>
        </w:rPr>
        <w:t>混合排污区排放口情况说明</w:t>
      </w:r>
    </w:p>
    <w:p>
      <w:pPr>
        <w:pStyle w:val="283"/>
        <w:rPr>
          <w:color w:val="000000" w:themeColor="text1"/>
          <w:u w:val="single"/>
          <w14:textFill>
            <w14:solidFill>
              <w14:schemeClr w14:val="tx1"/>
            </w14:solidFill>
          </w14:textFill>
        </w:rPr>
      </w:pPr>
      <w:r>
        <w:rPr>
          <w:rFonts w:hint="eastAsia"/>
          <w:color w:val="000000" w:themeColor="text1"/>
          <w:u w:val="single"/>
          <w14:textFill>
            <w14:solidFill>
              <w14:schemeClr w14:val="tx1"/>
            </w14:solidFill>
          </w14:textFill>
        </w:rPr>
        <w:t>根据3.3.7节排污口设置情况，大榄坪污水处理厂排污口坐标为108.656183445°E，21.658889267°N，金桂浆纸业排污口坐标为108.659370400°E，21.657898570°N，本次泊位扩建后距离大榄坪污水处理厂排污口约430m、距离金桂浆纸业排污口约240m。现有2处排污口距离陆地岸线较近，且排污口所在区域水动力扩散条件较差，根据《钦州市人民政府办公室关于印发钦州湾海域污染整治及排污控制目标方案的通知》（钦政办函〔201</w:t>
      </w:r>
      <w:r>
        <w:rPr>
          <w:color w:val="000000" w:themeColor="text1"/>
          <w:u w:val="single"/>
          <w14:textFill>
            <w14:solidFill>
              <w14:schemeClr w14:val="tx1"/>
            </w14:solidFill>
          </w14:textFill>
        </w:rPr>
        <w:t>7</w:t>
      </w:r>
      <w:r>
        <w:rPr>
          <w:rFonts w:hint="eastAsia"/>
          <w:color w:val="000000" w:themeColor="text1"/>
          <w:u w:val="single"/>
          <w14:textFill>
            <w14:solidFill>
              <w14:schemeClr w14:val="tx1"/>
            </w14:solidFill>
          </w14:textFill>
        </w:rPr>
        <w:t>〕1</w:t>
      </w:r>
      <w:r>
        <w:rPr>
          <w:color w:val="000000" w:themeColor="text1"/>
          <w:u w:val="single"/>
          <w14:textFill>
            <w14:solidFill>
              <w14:schemeClr w14:val="tx1"/>
            </w14:solidFill>
          </w14:textFill>
        </w:rPr>
        <w:t>7</w:t>
      </w:r>
      <w:r>
        <w:rPr>
          <w:rFonts w:hint="eastAsia"/>
          <w:color w:val="000000" w:themeColor="text1"/>
          <w:u w:val="single"/>
          <w14:textFill>
            <w14:solidFill>
              <w14:schemeClr w14:val="tx1"/>
            </w14:solidFill>
          </w14:textFill>
        </w:rPr>
        <w:t>号）（附件2</w:t>
      </w:r>
      <w:r>
        <w:rPr>
          <w:color w:val="000000" w:themeColor="text1"/>
          <w:u w:val="single"/>
          <w14:textFill>
            <w14:solidFill>
              <w14:schemeClr w14:val="tx1"/>
            </w14:solidFill>
          </w14:textFill>
        </w:rPr>
        <w:t>2</w:t>
      </w:r>
      <w:r>
        <w:rPr>
          <w:rFonts w:hint="eastAsia"/>
          <w:color w:val="000000" w:themeColor="text1"/>
          <w:u w:val="single"/>
          <w14:textFill>
            <w14:solidFill>
              <w14:schemeClr w14:val="tx1"/>
            </w14:solidFill>
          </w14:textFill>
        </w:rPr>
        <w:t>），至 2020 年，在三墩近期西侧突堤修建钦州湾外迁污水总排放口，并修建钦州湾污水外迁管道，将胜科污水处理厂、大榄坪污水处理厂及三墩循环经济示范岛污水处理厂尾水均引至外迁污水总排放口排放。中国（广西）自由贸易试验区钦州港大榄坪及三墩作业区深海排水管道工程由广西钦州临海建设投资有限公司落实，目前已完成陆域管道施工招标，并开工建设，并积极推进后续资金筹措和建设实施工程，预计2</w:t>
      </w:r>
      <w:r>
        <w:rPr>
          <w:color w:val="000000" w:themeColor="text1"/>
          <w:u w:val="single"/>
          <w14:textFill>
            <w14:solidFill>
              <w14:schemeClr w14:val="tx1"/>
            </w14:solidFill>
          </w14:textFill>
        </w:rPr>
        <w:t>026</w:t>
      </w:r>
      <w:r>
        <w:rPr>
          <w:rFonts w:hint="eastAsia"/>
          <w:color w:val="000000" w:themeColor="text1"/>
          <w:u w:val="single"/>
          <w14:textFill>
            <w14:solidFill>
              <w14:schemeClr w14:val="tx1"/>
            </w14:solidFill>
          </w14:textFill>
        </w:rPr>
        <w:t>年1</w:t>
      </w:r>
      <w:r>
        <w:rPr>
          <w:color w:val="000000" w:themeColor="text1"/>
          <w:u w:val="single"/>
          <w14:textFill>
            <w14:solidFill>
              <w14:schemeClr w14:val="tx1"/>
            </w14:solidFill>
          </w14:textFill>
        </w:rPr>
        <w:t>2</w:t>
      </w:r>
      <w:r>
        <w:rPr>
          <w:rFonts w:hint="eastAsia"/>
          <w:color w:val="000000" w:themeColor="text1"/>
          <w:u w:val="single"/>
          <w14:textFill>
            <w14:solidFill>
              <w14:schemeClr w14:val="tx1"/>
            </w14:solidFill>
          </w14:textFill>
        </w:rPr>
        <w:t>月整体投入使用（附件2</w:t>
      </w:r>
      <w:r>
        <w:rPr>
          <w:color w:val="000000" w:themeColor="text1"/>
          <w:u w:val="single"/>
          <w14:textFill>
            <w14:solidFill>
              <w14:schemeClr w14:val="tx1"/>
            </w14:solidFill>
          </w14:textFill>
        </w:rPr>
        <w:t>3</w:t>
      </w:r>
      <w:r>
        <w:rPr>
          <w:rFonts w:hint="eastAsia"/>
          <w:color w:val="000000" w:themeColor="text1"/>
          <w:u w:val="single"/>
          <w14:textFill>
            <w14:solidFill>
              <w14:schemeClr w14:val="tx1"/>
            </w14:solidFill>
          </w14:textFill>
        </w:rPr>
        <w:t>）。</w:t>
      </w:r>
    </w:p>
    <w:p>
      <w:pPr>
        <w:pStyle w:val="283"/>
        <w:rPr>
          <w:color w:val="000000" w:themeColor="text1"/>
          <w:u w:val="single"/>
          <w14:textFill>
            <w14:solidFill>
              <w14:schemeClr w14:val="tx1"/>
            </w14:solidFill>
          </w14:textFill>
        </w:rPr>
      </w:pPr>
      <w:r>
        <w:rPr>
          <w:rFonts w:hint="eastAsia"/>
          <w:color w:val="000000" w:themeColor="text1"/>
          <w:u w:val="single"/>
          <w14:textFill>
            <w14:solidFill>
              <w14:schemeClr w14:val="tx1"/>
            </w14:solidFill>
          </w14:textFill>
        </w:rPr>
        <w:t>在上述排污口外迁至三墩近西侧总排口前，为减少本项目扩建后对现有排污口污染物排放影响，根据建设单位意向，初步拟定2处入海排污口向南侧海域迁改选址方案，重新选址后排污口按照概化至108.655359830°E，21.653640850°N处排放，改迁后的排污口距离钦州港东航道约226m，距离本次扩建泊位边界约804m，改迁后的排污口仍位于钦州港大榄坪排污混合区内。</w:t>
      </w:r>
      <w:r>
        <w:rPr>
          <w:rFonts w:hint="eastAsia"/>
          <w:b/>
          <w:bCs w:val="0"/>
          <w:color w:val="000000" w:themeColor="text1"/>
          <w:u w:val="single"/>
          <w14:textFill>
            <w14:solidFill>
              <w14:schemeClr w14:val="tx1"/>
            </w14:solidFill>
          </w14:textFill>
        </w:rPr>
        <w:t>目前建设单位已初步开展排污口迁改方案咨询工作，并承诺在本项目设计阶段深化大榄坪污水处理厂、金桂浆纸业排污口临时迁改方案，并于项目建设同步实施，于2</w:t>
      </w:r>
      <w:r>
        <w:rPr>
          <w:b/>
          <w:bCs w:val="0"/>
          <w:color w:val="000000" w:themeColor="text1"/>
          <w:u w:val="single"/>
          <w14:textFill>
            <w14:solidFill>
              <w14:schemeClr w14:val="tx1"/>
            </w14:solidFill>
          </w14:textFill>
        </w:rPr>
        <w:t>025</w:t>
      </w:r>
      <w:r>
        <w:rPr>
          <w:rFonts w:hint="eastAsia"/>
          <w:b/>
          <w:bCs w:val="0"/>
          <w:color w:val="000000" w:themeColor="text1"/>
          <w:u w:val="single"/>
          <w14:textFill>
            <w14:solidFill>
              <w14:schemeClr w14:val="tx1"/>
            </w14:solidFill>
          </w14:textFill>
        </w:rPr>
        <w:t>年底完成排污口临时迁改工程</w:t>
      </w:r>
      <w:r>
        <w:rPr>
          <w:rFonts w:hint="eastAsia"/>
          <w:color w:val="000000" w:themeColor="text1"/>
          <w:u w:val="single"/>
          <w14:textFill>
            <w14:solidFill>
              <w14:schemeClr w14:val="tx1"/>
            </w14:solidFill>
          </w14:textFill>
        </w:rPr>
        <w:t>（附件2</w:t>
      </w:r>
      <w:r>
        <w:rPr>
          <w:color w:val="000000" w:themeColor="text1"/>
          <w:u w:val="single"/>
          <w14:textFill>
            <w14:solidFill>
              <w14:schemeClr w14:val="tx1"/>
            </w14:solidFill>
          </w14:textFill>
        </w:rPr>
        <w:t>4</w:t>
      </w:r>
      <w:r>
        <w:rPr>
          <w:rFonts w:hint="eastAsia"/>
          <w:color w:val="000000" w:themeColor="text1"/>
          <w:u w:val="single"/>
          <w14:textFill>
            <w14:solidFill>
              <w14:schemeClr w14:val="tx1"/>
            </w14:solidFill>
          </w14:textFill>
        </w:rPr>
        <w:t>）。</w:t>
      </w:r>
    </w:p>
    <w:p>
      <w:pPr>
        <w:pStyle w:val="283"/>
        <w:rPr>
          <w:color w:val="000000" w:themeColor="text1"/>
          <w:u w:val="single"/>
          <w14:textFill>
            <w14:solidFill>
              <w14:schemeClr w14:val="tx1"/>
            </w14:solidFill>
          </w14:textFill>
        </w:rPr>
      </w:pPr>
      <w:r>
        <w:rPr>
          <w:rFonts w:hint="eastAsia"/>
          <w:color w:val="000000" w:themeColor="text1"/>
          <w:u w:val="single"/>
          <w14:textFill>
            <w14:solidFill>
              <w14:schemeClr w14:val="tx1"/>
            </w14:solidFill>
          </w14:textFill>
        </w:rPr>
        <w:t>本次评价仅对排污口临时迁改提出初步方案，后续由建设单位委托专业技术单位编制详细技术方案，评价建议后续设计方案中，进一步确认排污口周边海域水质及排污口污染物排放情况，并满足《污水海洋处置工程污染控制标准》（G</w:t>
      </w:r>
      <w:r>
        <w:rPr>
          <w:color w:val="000000" w:themeColor="text1"/>
          <w:u w:val="single"/>
          <w14:textFill>
            <w14:solidFill>
              <w14:schemeClr w14:val="tx1"/>
            </w14:solidFill>
          </w14:textFill>
        </w:rPr>
        <w:t>B18486-2001</w:t>
      </w:r>
      <w:r>
        <w:rPr>
          <w:rFonts w:hint="eastAsia"/>
          <w:color w:val="000000" w:themeColor="text1"/>
          <w:u w:val="single"/>
          <w14:textFill>
            <w14:solidFill>
              <w14:schemeClr w14:val="tx1"/>
            </w14:solidFill>
          </w14:textFill>
        </w:rPr>
        <w:t>）中初始稀释度≥3</w:t>
      </w:r>
      <w:r>
        <w:rPr>
          <w:color w:val="000000" w:themeColor="text1"/>
          <w:u w:val="single"/>
          <w14:textFill>
            <w14:solidFill>
              <w14:schemeClr w14:val="tx1"/>
            </w14:solidFill>
          </w14:textFill>
        </w:rPr>
        <w:t>5%</w:t>
      </w:r>
      <w:r>
        <w:rPr>
          <w:rFonts w:hint="eastAsia"/>
          <w:color w:val="000000" w:themeColor="text1"/>
          <w:u w:val="single"/>
          <w14:textFill>
            <w14:solidFill>
              <w14:schemeClr w14:val="tx1"/>
            </w14:solidFill>
          </w14:textFill>
        </w:rPr>
        <w:t>的要求。</w:t>
      </w:r>
    </w:p>
    <w:tbl>
      <w:tblPr>
        <w:tblStyle w:val="89"/>
        <w:tblW w:w="852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52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8528" w:type="dxa"/>
            <w:tcBorders>
              <w:top w:val="nil"/>
              <w:left w:val="nil"/>
              <w:bottom w:val="nil"/>
              <w:right w:val="nil"/>
            </w:tcBorders>
          </w:tcPr>
          <w:p>
            <w:pPr>
              <w:pStyle w:val="283"/>
              <w:rPr>
                <w:color w:val="000000" w:themeColor="text1"/>
                <w14:textFill>
                  <w14:solidFill>
                    <w14:schemeClr w14:val="tx1"/>
                  </w14:solidFill>
                </w14:textFill>
              </w:rPr>
            </w:pPr>
          </w:p>
        </w:tc>
      </w:tr>
    </w:tbl>
    <w:p>
      <w:pPr>
        <w:pStyle w:val="553"/>
        <w:rPr>
          <w:color w:val="000000" w:themeColor="text1"/>
          <w14:textFill>
            <w14:solidFill>
              <w14:schemeClr w14:val="tx1"/>
            </w14:solidFill>
          </w14:textFill>
        </w:rPr>
      </w:pPr>
      <w:r>
        <w:rPr>
          <w:rFonts w:hint="eastAsia"/>
          <w:color w:val="000000" w:themeColor="text1"/>
          <w14:textFill>
            <w14:solidFill>
              <w14:schemeClr w14:val="tx1"/>
            </w14:solidFill>
          </w14:textFill>
        </w:rPr>
        <w:t>拟迁改2处入海排污口初步选址与本项目位置关系示意图</w:t>
      </w:r>
    </w:p>
    <w:p>
      <w:pPr>
        <w:pStyle w:val="6"/>
        <w:rPr>
          <w:color w:val="000000" w:themeColor="text1"/>
          <w14:textFill>
            <w14:solidFill>
              <w14:schemeClr w14:val="tx1"/>
            </w14:solidFill>
          </w14:textFill>
        </w:rPr>
      </w:pPr>
      <w:r>
        <w:rPr>
          <w:color w:val="000000" w:themeColor="text1"/>
          <w14:textFill>
            <w14:solidFill>
              <w14:schemeClr w14:val="tx1"/>
            </w14:solidFill>
          </w14:textFill>
        </w:rPr>
        <w:t>污染物扩散数学模型</w:t>
      </w:r>
    </w:p>
    <w:p>
      <w:pPr>
        <w:pStyle w:val="283"/>
        <w:rPr>
          <w:color w:val="000000" w:themeColor="text1"/>
          <w14:textFill>
            <w14:solidFill>
              <w14:schemeClr w14:val="tx1"/>
            </w14:solidFill>
          </w14:textFill>
        </w:rPr>
      </w:pPr>
      <w:r>
        <w:rPr>
          <w:rFonts w:hint="eastAsia"/>
          <w:color w:val="000000" w:themeColor="text1"/>
          <w14:textFill>
            <w14:solidFill>
              <w14:schemeClr w14:val="tx1"/>
            </w14:solidFill>
          </w14:textFill>
        </w:rPr>
        <w:t>本次评价基于F</w:t>
      </w:r>
      <w:r>
        <w:rPr>
          <w:color w:val="000000" w:themeColor="text1"/>
          <w14:textFill>
            <w14:solidFill>
              <w14:schemeClr w14:val="tx1"/>
            </w14:solidFill>
          </w14:textFill>
        </w:rPr>
        <w:t>VCOM水动力</w:t>
      </w:r>
      <w:r>
        <w:rPr>
          <w:rFonts w:hint="eastAsia"/>
          <w:color w:val="000000" w:themeColor="text1"/>
          <w14:textFill>
            <w14:solidFill>
              <w14:schemeClr w14:val="tx1"/>
            </w14:solidFill>
          </w14:textFill>
        </w:rPr>
        <w:t>模式</w:t>
      </w:r>
      <w:r>
        <w:rPr>
          <w:color w:val="000000" w:themeColor="text1"/>
          <w14:textFill>
            <w14:solidFill>
              <w14:schemeClr w14:val="tx1"/>
            </w14:solidFill>
          </w14:textFill>
        </w:rPr>
        <w:t>构建</w:t>
      </w:r>
      <w:r>
        <w:rPr>
          <w:rFonts w:hint="eastAsia"/>
          <w:color w:val="000000" w:themeColor="text1"/>
          <w14:textFill>
            <w14:solidFill>
              <w14:schemeClr w14:val="tx1"/>
            </w14:solidFill>
          </w14:textFill>
        </w:rPr>
        <w:t>了三维污染物对流扩散模型。</w:t>
      </w:r>
    </w:p>
    <w:p>
      <w:pPr>
        <w:pStyle w:val="283"/>
        <w:rPr>
          <w:color w:val="000000" w:themeColor="text1"/>
          <w14:textFill>
            <w14:solidFill>
              <w14:schemeClr w14:val="tx1"/>
            </w14:solidFill>
          </w14:textFill>
        </w:rPr>
      </w:pPr>
      <w:r>
        <w:rPr>
          <w:rFonts w:hint="eastAsia"/>
          <w:color w:val="000000" w:themeColor="text1"/>
          <w14:textFill>
            <w14:solidFill>
              <w14:schemeClr w14:val="tx1"/>
            </w14:solidFill>
          </w14:textFill>
        </w:rPr>
        <w:t>三维污染物输运方程：</w:t>
      </w:r>
    </w:p>
    <w:p>
      <w:pPr>
        <w:pStyle w:val="283"/>
        <w:rPr>
          <w:color w:val="000000" w:themeColor="text1"/>
          <w14:textFill>
            <w14:solidFill>
              <w14:schemeClr w14:val="tx1"/>
            </w14:solidFill>
          </w14:textFill>
        </w:rPr>
      </w:pPr>
      <m:oMathPara>
        <m:oMath>
          <m:f>
            <m:fPr>
              <m:ctrlPr>
                <w:rPr>
                  <w:rFonts w:ascii="Cambria Math" w:hAnsi="Cambria Math"/>
                  <w:color w:val="000000" w:themeColor="text1"/>
                  <w14:textFill>
                    <w14:solidFill>
                      <w14:schemeClr w14:val="tx1"/>
                    </w14:solidFill>
                  </w14:textFill>
                </w:rPr>
              </m:ctrlPr>
            </m:fPr>
            <m:num>
              <m:r>
                <w:rPr>
                  <w:rFonts w:ascii="Cambria Math" w:hAnsi="Cambria Math"/>
                  <w:color w:val="000000" w:themeColor="text1"/>
                  <w14:textFill>
                    <w14:solidFill>
                      <w14:schemeClr w14:val="tx1"/>
                    </w14:solidFill>
                  </w14:textFill>
                </w:rPr>
                <m:t>∂DP</m:t>
              </m:r>
              <m:ctrlPr>
                <w:rPr>
                  <w:rFonts w:ascii="Cambria Math" w:hAnsi="Cambria Math"/>
                  <w:color w:val="000000" w:themeColor="text1"/>
                  <w14:textFill>
                    <w14:solidFill>
                      <w14:schemeClr w14:val="tx1"/>
                    </w14:solidFill>
                  </w14:textFill>
                </w:rPr>
              </m:ctrlPr>
            </m:num>
            <m:den>
              <m:r>
                <w:rPr>
                  <w:rFonts w:ascii="Cambria Math" w:hAnsi="Cambria Math"/>
                  <w:color w:val="000000" w:themeColor="text1"/>
                  <w14:textFill>
                    <w14:solidFill>
                      <w14:schemeClr w14:val="tx1"/>
                    </w14:solidFill>
                  </w14:textFill>
                </w:rPr>
                <m:t>∂t</m:t>
              </m:r>
              <m:ctrlPr>
                <w:rPr>
                  <w:rFonts w:ascii="Cambria Math" w:hAnsi="Cambria Math"/>
                  <w:color w:val="000000" w:themeColor="text1"/>
                  <w14:textFill>
                    <w14:solidFill>
                      <w14:schemeClr w14:val="tx1"/>
                    </w14:solidFill>
                  </w14:textFill>
                </w:rPr>
              </m:ctrlPr>
            </m:den>
          </m:f>
          <m:r>
            <m:rPr>
              <m:sty m:val="p"/>
            </m:rPr>
            <w:rPr>
              <w:rFonts w:ascii="Cambria Math" w:hAnsi="Cambria Math"/>
              <w:color w:val="000000" w:themeColor="text1"/>
              <w14:textFill>
                <w14:solidFill>
                  <w14:schemeClr w14:val="tx1"/>
                </w14:solidFill>
              </w14:textFill>
            </w:rPr>
            <m:t>+</m:t>
          </m:r>
          <m:f>
            <m:fPr>
              <m:ctrlPr>
                <w:rPr>
                  <w:rFonts w:ascii="Cambria Math" w:hAnsi="Cambria Math"/>
                  <w:color w:val="000000" w:themeColor="text1"/>
                  <w14:textFill>
                    <w14:solidFill>
                      <w14:schemeClr w14:val="tx1"/>
                    </w14:solidFill>
                  </w14:textFill>
                </w:rPr>
              </m:ctrlPr>
            </m:fPr>
            <m:num>
              <m:r>
                <w:rPr>
                  <w:rFonts w:ascii="Cambria Math" w:hAnsi="Cambria Math"/>
                  <w:color w:val="000000" w:themeColor="text1"/>
                  <w14:textFill>
                    <w14:solidFill>
                      <w14:schemeClr w14:val="tx1"/>
                    </w14:solidFill>
                  </w14:textFill>
                </w:rPr>
                <m:t>∂DuP</m:t>
              </m:r>
              <m:ctrlPr>
                <w:rPr>
                  <w:rFonts w:ascii="Cambria Math" w:hAnsi="Cambria Math"/>
                  <w:color w:val="000000" w:themeColor="text1"/>
                  <w14:textFill>
                    <w14:solidFill>
                      <w14:schemeClr w14:val="tx1"/>
                    </w14:solidFill>
                  </w14:textFill>
                </w:rPr>
              </m:ctrlPr>
            </m:num>
            <m:den>
              <m:r>
                <w:rPr>
                  <w:rFonts w:ascii="Cambria Math" w:hAnsi="Cambria Math"/>
                  <w:color w:val="000000" w:themeColor="text1"/>
                  <w14:textFill>
                    <w14:solidFill>
                      <w14:schemeClr w14:val="tx1"/>
                    </w14:solidFill>
                  </w14:textFill>
                </w:rPr>
                <m:t>∂x</m:t>
              </m:r>
              <m:ctrlPr>
                <w:rPr>
                  <w:rFonts w:ascii="Cambria Math" w:hAnsi="Cambria Math"/>
                  <w:color w:val="000000" w:themeColor="text1"/>
                  <w14:textFill>
                    <w14:solidFill>
                      <w14:schemeClr w14:val="tx1"/>
                    </w14:solidFill>
                  </w14:textFill>
                </w:rPr>
              </m:ctrlPr>
            </m:den>
          </m:f>
          <m:r>
            <m:rPr>
              <m:sty m:val="p"/>
            </m:rPr>
            <w:rPr>
              <w:rFonts w:ascii="Cambria Math" w:hAnsi="Cambria Math"/>
              <w:color w:val="000000" w:themeColor="text1"/>
              <w14:textFill>
                <w14:solidFill>
                  <w14:schemeClr w14:val="tx1"/>
                </w14:solidFill>
              </w14:textFill>
            </w:rPr>
            <m:t>+</m:t>
          </m:r>
          <m:f>
            <m:fPr>
              <m:ctrlPr>
                <w:rPr>
                  <w:rFonts w:ascii="Cambria Math" w:hAnsi="Cambria Math"/>
                  <w:color w:val="000000" w:themeColor="text1"/>
                  <w14:textFill>
                    <w14:solidFill>
                      <w14:schemeClr w14:val="tx1"/>
                    </w14:solidFill>
                  </w14:textFill>
                </w:rPr>
              </m:ctrlPr>
            </m:fPr>
            <m:num>
              <m:r>
                <w:rPr>
                  <w:rFonts w:ascii="Cambria Math" w:hAnsi="Cambria Math"/>
                  <w:color w:val="000000" w:themeColor="text1"/>
                  <w14:textFill>
                    <w14:solidFill>
                      <w14:schemeClr w14:val="tx1"/>
                    </w14:solidFill>
                  </w14:textFill>
                </w:rPr>
                <m:t>∂DvP</m:t>
              </m:r>
              <m:ctrlPr>
                <w:rPr>
                  <w:rFonts w:ascii="Cambria Math" w:hAnsi="Cambria Math"/>
                  <w:color w:val="000000" w:themeColor="text1"/>
                  <w14:textFill>
                    <w14:solidFill>
                      <w14:schemeClr w14:val="tx1"/>
                    </w14:solidFill>
                  </w14:textFill>
                </w:rPr>
              </m:ctrlPr>
            </m:num>
            <m:den>
              <m:r>
                <w:rPr>
                  <w:rFonts w:ascii="Cambria Math" w:hAnsi="Cambria Math"/>
                  <w:color w:val="000000" w:themeColor="text1"/>
                  <w14:textFill>
                    <w14:solidFill>
                      <w14:schemeClr w14:val="tx1"/>
                    </w14:solidFill>
                  </w14:textFill>
                </w:rPr>
                <m:t>∂y</m:t>
              </m:r>
              <m:ctrlPr>
                <w:rPr>
                  <w:rFonts w:ascii="Cambria Math" w:hAnsi="Cambria Math"/>
                  <w:color w:val="000000" w:themeColor="text1"/>
                  <w14:textFill>
                    <w14:solidFill>
                      <w14:schemeClr w14:val="tx1"/>
                    </w14:solidFill>
                  </w14:textFill>
                </w:rPr>
              </m:ctrlPr>
            </m:den>
          </m:f>
          <m:r>
            <m:rPr>
              <m:sty m:val="p"/>
            </m:rPr>
            <w:rPr>
              <w:rFonts w:hint="eastAsia" w:ascii="Cambria Math" w:hAnsi="Cambria Math"/>
              <w:color w:val="000000" w:themeColor="text1"/>
              <w14:textFill>
                <w14:solidFill>
                  <w14:schemeClr w14:val="tx1"/>
                </w14:solidFill>
              </w14:textFill>
            </w:rPr>
            <m:t>+</m:t>
          </m:r>
          <m:f>
            <m:fPr>
              <m:ctrlPr>
                <w:rPr>
                  <w:rFonts w:ascii="Cambria Math" w:hAnsi="Cambria Math"/>
                  <w:color w:val="000000" w:themeColor="text1"/>
                  <w14:textFill>
                    <w14:solidFill>
                      <w14:schemeClr w14:val="tx1"/>
                    </w14:solidFill>
                  </w14:textFill>
                </w:rPr>
              </m:ctrlPr>
            </m:fPr>
            <m:num>
              <m:r>
                <w:rPr>
                  <w:rFonts w:ascii="Cambria Math" w:hAnsi="Cambria Math"/>
                  <w:color w:val="000000" w:themeColor="text1"/>
                  <w14:textFill>
                    <w14:solidFill>
                      <w14:schemeClr w14:val="tx1"/>
                    </w14:solidFill>
                  </w14:textFill>
                </w:rPr>
                <m:t>∂wP</m:t>
              </m:r>
              <m:ctrlPr>
                <w:rPr>
                  <w:rFonts w:ascii="Cambria Math" w:hAnsi="Cambria Math"/>
                  <w:color w:val="000000" w:themeColor="text1"/>
                  <w14:textFill>
                    <w14:solidFill>
                      <w14:schemeClr w14:val="tx1"/>
                    </w14:solidFill>
                  </w14:textFill>
                </w:rPr>
              </m:ctrlPr>
            </m:num>
            <m:den>
              <m:r>
                <w:rPr>
                  <w:rFonts w:ascii="Cambria Math" w:hAnsi="Cambria Math"/>
                  <w:color w:val="000000" w:themeColor="text1"/>
                  <w14:textFill>
                    <w14:solidFill>
                      <w14:schemeClr w14:val="tx1"/>
                    </w14:solidFill>
                  </w14:textFill>
                </w:rPr>
                <m:t>∂σ</m:t>
              </m:r>
              <m:ctrlPr>
                <w:rPr>
                  <w:rFonts w:ascii="Cambria Math" w:hAnsi="Cambria Math"/>
                  <w:color w:val="000000" w:themeColor="text1"/>
                  <w14:textFill>
                    <w14:solidFill>
                      <w14:schemeClr w14:val="tx1"/>
                    </w14:solidFill>
                  </w14:textFill>
                </w:rPr>
              </m:ctrlPr>
            </m:den>
          </m:f>
          <m:r>
            <m:rPr>
              <m:sty m:val="p"/>
            </m:rPr>
            <w:rPr>
              <w:rFonts w:ascii="Cambria Math" w:hAnsi="Cambria Math"/>
              <w:color w:val="000000" w:themeColor="text1"/>
              <w14:textFill>
                <w14:solidFill>
                  <w14:schemeClr w14:val="tx1"/>
                </w14:solidFill>
              </w14:textFill>
            </w:rPr>
            <m:t>=</m:t>
          </m:r>
          <m:f>
            <m:fPr>
              <m:ctrlPr>
                <w:rPr>
                  <w:rFonts w:ascii="Cambria Math" w:hAnsi="Cambria Math"/>
                  <w:color w:val="000000" w:themeColor="text1"/>
                  <w14:textFill>
                    <w14:solidFill>
                      <w14:schemeClr w14:val="tx1"/>
                    </w14:solidFill>
                  </w14:textFill>
                </w:rPr>
              </m:ctrlPr>
            </m:fPr>
            <m:num>
              <m:r>
                <m:rPr>
                  <m:sty m:val="p"/>
                </m:rPr>
                <w:rPr>
                  <w:rFonts w:ascii="Cambria Math" w:hAnsi="Cambria Math"/>
                  <w:color w:val="000000" w:themeColor="text1"/>
                  <w14:textFill>
                    <w14:solidFill>
                      <w14:schemeClr w14:val="tx1"/>
                    </w14:solidFill>
                  </w14:textFill>
                </w:rPr>
                <m:t>1</m:t>
              </m:r>
              <m:ctrlPr>
                <w:rPr>
                  <w:rFonts w:ascii="Cambria Math" w:hAnsi="Cambria Math"/>
                  <w:color w:val="000000" w:themeColor="text1"/>
                  <w14:textFill>
                    <w14:solidFill>
                      <w14:schemeClr w14:val="tx1"/>
                    </w14:solidFill>
                  </w14:textFill>
                </w:rPr>
              </m:ctrlPr>
            </m:num>
            <m:den>
              <m:r>
                <w:rPr>
                  <w:rFonts w:ascii="Cambria Math" w:hAnsi="Cambria Math"/>
                  <w:color w:val="000000" w:themeColor="text1"/>
                  <w14:textFill>
                    <w14:solidFill>
                      <w14:schemeClr w14:val="tx1"/>
                    </w14:solidFill>
                  </w14:textFill>
                </w:rPr>
                <m:t>D</m:t>
              </m:r>
              <m:ctrlPr>
                <w:rPr>
                  <w:rFonts w:ascii="Cambria Math" w:hAnsi="Cambria Math"/>
                  <w:color w:val="000000" w:themeColor="text1"/>
                  <w14:textFill>
                    <w14:solidFill>
                      <w14:schemeClr w14:val="tx1"/>
                    </w14:solidFill>
                  </w14:textFill>
                </w:rPr>
              </m:ctrlPr>
            </m:den>
          </m:f>
          <m:f>
            <m:fPr>
              <m:ctrlPr>
                <w:rPr>
                  <w:rFonts w:ascii="Cambria Math" w:hAnsi="Cambria Math"/>
                  <w:color w:val="000000" w:themeColor="text1"/>
                  <w14:textFill>
                    <w14:solidFill>
                      <w14:schemeClr w14:val="tx1"/>
                    </w14:solidFill>
                  </w14:textFill>
                </w:rPr>
              </m:ctrlPr>
            </m:fPr>
            <m:num>
              <m:r>
                <w:rPr>
                  <w:rFonts w:ascii="Cambria Math" w:hAnsi="Cambria Math"/>
                  <w:color w:val="000000" w:themeColor="text1"/>
                  <w14:textFill>
                    <w14:solidFill>
                      <w14:schemeClr w14:val="tx1"/>
                    </w14:solidFill>
                  </w14:textFill>
                </w:rPr>
                <m:t>∂</m:t>
              </m:r>
              <m:ctrlPr>
                <w:rPr>
                  <w:rFonts w:ascii="Cambria Math" w:hAnsi="Cambria Math"/>
                  <w:color w:val="000000" w:themeColor="text1"/>
                  <w14:textFill>
                    <w14:solidFill>
                      <w14:schemeClr w14:val="tx1"/>
                    </w14:solidFill>
                  </w14:textFill>
                </w:rPr>
              </m:ctrlPr>
            </m:num>
            <m:den>
              <m:r>
                <w:rPr>
                  <w:rFonts w:ascii="Cambria Math" w:hAnsi="Cambria Math"/>
                  <w:color w:val="000000" w:themeColor="text1"/>
                  <w14:textFill>
                    <w14:solidFill>
                      <w14:schemeClr w14:val="tx1"/>
                    </w14:solidFill>
                  </w14:textFill>
                </w:rPr>
                <m:t>∂</m:t>
              </m:r>
              <m:r>
                <w:rPr>
                  <w:rFonts w:hint="eastAsia" w:ascii="Cambria Math" w:hAnsi="Cambria Math"/>
                  <w:color w:val="000000" w:themeColor="text1"/>
                  <w14:textFill>
                    <w14:solidFill>
                      <w14:schemeClr w14:val="tx1"/>
                    </w14:solidFill>
                  </w14:textFill>
                </w:rPr>
                <m:t>σ</m:t>
              </m:r>
              <m:ctrlPr>
                <w:rPr>
                  <w:rFonts w:ascii="Cambria Math" w:hAnsi="Cambria Math"/>
                  <w:color w:val="000000" w:themeColor="text1"/>
                  <w14:textFill>
                    <w14:solidFill>
                      <w14:schemeClr w14:val="tx1"/>
                    </w14:solidFill>
                  </w14:textFill>
                </w:rPr>
              </m:ctrlPr>
            </m:den>
          </m:f>
          <m:d>
            <m:dPr>
              <m:ctrlPr>
                <w:rPr>
                  <w:rFonts w:ascii="Cambria Math" w:hAnsi="Cambria Math"/>
                  <w:color w:val="000000" w:themeColor="text1"/>
                  <w14:textFill>
                    <w14:solidFill>
                      <w14:schemeClr w14:val="tx1"/>
                    </w14:solidFill>
                  </w14:textFill>
                </w:rPr>
              </m:ctrlPr>
            </m:dPr>
            <m:e>
              <m:sSub>
                <m:sSubPr>
                  <m:ctrlPr>
                    <w:rPr>
                      <w:rFonts w:ascii="Cambria Math" w:hAnsi="Cambria Math"/>
                      <w:color w:val="000000" w:themeColor="text1"/>
                      <w14:textFill>
                        <w14:solidFill>
                          <w14:schemeClr w14:val="tx1"/>
                        </w14:solidFill>
                      </w14:textFill>
                    </w:rPr>
                  </m:ctrlPr>
                </m:sSubPr>
                <m:e>
                  <m:r>
                    <w:rPr>
                      <w:rFonts w:ascii="Cambria Math" w:hAnsi="Cambria Math"/>
                      <w:color w:val="000000" w:themeColor="text1"/>
                      <w14:textFill>
                        <w14:solidFill>
                          <w14:schemeClr w14:val="tx1"/>
                        </w14:solidFill>
                      </w14:textFill>
                    </w:rPr>
                    <m:t>K</m:t>
                  </m:r>
                  <m:ctrlPr>
                    <w:rPr>
                      <w:rFonts w:ascii="Cambria Math" w:hAnsi="Cambria Math"/>
                      <w:color w:val="000000" w:themeColor="text1"/>
                      <w14:textFill>
                        <w14:solidFill>
                          <w14:schemeClr w14:val="tx1"/>
                        </w14:solidFill>
                      </w14:textFill>
                    </w:rPr>
                  </m:ctrlPr>
                </m:e>
                <m:sub>
                  <m:r>
                    <w:rPr>
                      <w:rFonts w:ascii="Cambria Math" w:hAnsi="Cambria Math"/>
                      <w:color w:val="000000" w:themeColor="text1"/>
                      <w14:textFill>
                        <w14:solidFill>
                          <w14:schemeClr w14:val="tx1"/>
                        </w14:solidFill>
                      </w14:textFill>
                    </w:rPr>
                    <m:t>ℎ</m:t>
                  </m:r>
                  <m:ctrlPr>
                    <w:rPr>
                      <w:rFonts w:ascii="Cambria Math" w:hAnsi="Cambria Math"/>
                      <w:color w:val="000000" w:themeColor="text1"/>
                      <w14:textFill>
                        <w14:solidFill>
                          <w14:schemeClr w14:val="tx1"/>
                        </w14:solidFill>
                      </w14:textFill>
                    </w:rPr>
                  </m:ctrlPr>
                </m:sub>
              </m:sSub>
              <m:f>
                <m:fPr>
                  <m:ctrlPr>
                    <w:rPr>
                      <w:rFonts w:ascii="Cambria Math" w:hAnsi="Cambria Math"/>
                      <w:color w:val="000000" w:themeColor="text1"/>
                      <w14:textFill>
                        <w14:solidFill>
                          <w14:schemeClr w14:val="tx1"/>
                        </w14:solidFill>
                      </w14:textFill>
                    </w:rPr>
                  </m:ctrlPr>
                </m:fPr>
                <m:num>
                  <m:r>
                    <w:rPr>
                      <w:rFonts w:ascii="Cambria Math" w:hAnsi="Cambria Math"/>
                      <w:color w:val="000000" w:themeColor="text1"/>
                      <w14:textFill>
                        <w14:solidFill>
                          <w14:schemeClr w14:val="tx1"/>
                        </w14:solidFill>
                      </w14:textFill>
                    </w:rPr>
                    <m:t>∂P</m:t>
                  </m:r>
                  <m:ctrlPr>
                    <w:rPr>
                      <w:rFonts w:ascii="Cambria Math" w:hAnsi="Cambria Math"/>
                      <w:color w:val="000000" w:themeColor="text1"/>
                      <w14:textFill>
                        <w14:solidFill>
                          <w14:schemeClr w14:val="tx1"/>
                        </w14:solidFill>
                      </w14:textFill>
                    </w:rPr>
                  </m:ctrlPr>
                </m:num>
                <m:den>
                  <m:r>
                    <w:rPr>
                      <w:rFonts w:ascii="Cambria Math" w:hAnsi="Cambria Math"/>
                      <w:color w:val="000000" w:themeColor="text1"/>
                      <w14:textFill>
                        <w14:solidFill>
                          <w14:schemeClr w14:val="tx1"/>
                        </w14:solidFill>
                      </w14:textFill>
                    </w:rPr>
                    <m:t>∂</m:t>
                  </m:r>
                  <m:r>
                    <w:rPr>
                      <w:rFonts w:hint="eastAsia" w:ascii="Cambria Math" w:hAnsi="Cambria Math"/>
                      <w:color w:val="000000" w:themeColor="text1"/>
                      <w14:textFill>
                        <w14:solidFill>
                          <w14:schemeClr w14:val="tx1"/>
                        </w14:solidFill>
                      </w14:textFill>
                    </w:rPr>
                    <m:t>σ</m:t>
                  </m:r>
                  <m:ctrlPr>
                    <w:rPr>
                      <w:rFonts w:ascii="Cambria Math" w:hAnsi="Cambria Math"/>
                      <w:color w:val="000000" w:themeColor="text1"/>
                      <w14:textFill>
                        <w14:solidFill>
                          <w14:schemeClr w14:val="tx1"/>
                        </w14:solidFill>
                      </w14:textFill>
                    </w:rPr>
                  </m:ctrlPr>
                </m:den>
              </m:f>
              <m:ctrlPr>
                <w:rPr>
                  <w:rFonts w:ascii="Cambria Math" w:hAnsi="Cambria Math"/>
                  <w:color w:val="000000" w:themeColor="text1"/>
                  <w14:textFill>
                    <w14:solidFill>
                      <w14:schemeClr w14:val="tx1"/>
                    </w14:solidFill>
                  </w14:textFill>
                </w:rPr>
              </m:ctrlPr>
            </m:e>
          </m:d>
          <m:r>
            <m:rPr>
              <m:sty m:val="p"/>
            </m:rPr>
            <w:rPr>
              <w:rFonts w:ascii="Cambria Math" w:hAnsi="Cambria Math"/>
              <w:color w:val="000000" w:themeColor="text1"/>
              <w14:textFill>
                <w14:solidFill>
                  <w14:schemeClr w14:val="tx1"/>
                </w14:solidFill>
              </w14:textFill>
            </w:rPr>
            <m:t>+</m:t>
          </m:r>
          <m:r>
            <w:rPr>
              <w:rFonts w:ascii="Cambria Math" w:hAnsi="Cambria Math"/>
              <w:color w:val="000000" w:themeColor="text1"/>
              <w14:textFill>
                <w14:solidFill>
                  <w14:schemeClr w14:val="tx1"/>
                </w14:solidFill>
              </w14:textFill>
            </w:rPr>
            <m:t>D</m:t>
          </m:r>
          <m:sSub>
            <m:sSubPr>
              <m:ctrlPr>
                <w:rPr>
                  <w:rFonts w:ascii="Cambria Math" w:hAnsi="Cambria Math"/>
                  <w:color w:val="000000" w:themeColor="text1"/>
                  <w14:textFill>
                    <w14:solidFill>
                      <w14:schemeClr w14:val="tx1"/>
                    </w14:solidFill>
                  </w14:textFill>
                </w:rPr>
              </m:ctrlPr>
            </m:sSubPr>
            <m:e>
              <m:r>
                <w:rPr>
                  <w:rFonts w:ascii="Cambria Math" w:hAnsi="Cambria Math"/>
                  <w:color w:val="000000" w:themeColor="text1"/>
                  <w14:textFill>
                    <w14:solidFill>
                      <w14:schemeClr w14:val="tx1"/>
                    </w14:solidFill>
                  </w14:textFill>
                </w:rPr>
                <m:t>F</m:t>
              </m:r>
              <m:ctrlPr>
                <w:rPr>
                  <w:rFonts w:ascii="Cambria Math" w:hAnsi="Cambria Math"/>
                  <w:color w:val="000000" w:themeColor="text1"/>
                  <w14:textFill>
                    <w14:solidFill>
                      <w14:schemeClr w14:val="tx1"/>
                    </w14:solidFill>
                  </w14:textFill>
                </w:rPr>
              </m:ctrlPr>
            </m:e>
            <m:sub>
              <m:r>
                <w:rPr>
                  <w:rFonts w:ascii="Cambria Math" w:hAnsi="Cambria Math"/>
                  <w:color w:val="000000" w:themeColor="text1"/>
                  <w14:textFill>
                    <w14:solidFill>
                      <w14:schemeClr w14:val="tx1"/>
                    </w14:solidFill>
                  </w14:textFill>
                </w:rPr>
                <m:t>P</m:t>
              </m:r>
              <m:ctrlPr>
                <w:rPr>
                  <w:rFonts w:ascii="Cambria Math" w:hAnsi="Cambria Math"/>
                  <w:color w:val="000000" w:themeColor="text1"/>
                  <w14:textFill>
                    <w14:solidFill>
                      <w14:schemeClr w14:val="tx1"/>
                    </w14:solidFill>
                  </w14:textFill>
                </w:rPr>
              </m:ctrlPr>
            </m:sub>
          </m:sSub>
          <m:r>
            <m:rPr>
              <m:sty m:val="p"/>
            </m:rPr>
            <w:rPr>
              <w:rFonts w:hint="eastAsia" w:ascii="Cambria Math" w:hAnsi="Cambria Math"/>
              <w:color w:val="000000" w:themeColor="text1"/>
              <w14:textFill>
                <w14:solidFill>
                  <w14:schemeClr w14:val="tx1"/>
                </w14:solidFill>
              </w14:textFill>
            </w:rPr>
            <m:t>+</m:t>
          </m:r>
          <m:r>
            <w:rPr>
              <w:rFonts w:ascii="Cambria Math" w:hAnsi="Cambria Math"/>
              <w:color w:val="000000" w:themeColor="text1"/>
              <w14:textFill>
                <w14:solidFill>
                  <w14:schemeClr w14:val="tx1"/>
                </w14:solidFill>
              </w14:textFill>
            </w:rPr>
            <m:t>S</m:t>
          </m:r>
          <m:r>
            <m:rPr>
              <m:sty m:val="p"/>
            </m:rPr>
            <w:rPr>
              <w:rFonts w:ascii="Cambria Math" w:hAnsi="Cambria Math"/>
              <w:color w:val="000000" w:themeColor="text1"/>
              <w14:textFill>
                <w14:solidFill>
                  <w14:schemeClr w14:val="tx1"/>
                </w14:solidFill>
              </w14:textFill>
            </w:rPr>
            <m:t>+</m:t>
          </m:r>
          <m:r>
            <w:rPr>
              <w:rFonts w:hint="eastAsia" w:ascii="Cambria Math" w:hAnsi="Cambria Math"/>
              <w:color w:val="000000" w:themeColor="text1"/>
              <w14:textFill>
                <w14:solidFill>
                  <w14:schemeClr w14:val="tx1"/>
                </w14:solidFill>
              </w14:textFill>
            </w:rPr>
            <m:t>k</m:t>
          </m:r>
          <m:r>
            <w:rPr>
              <w:rFonts w:ascii="Cambria Math" w:hAnsi="Cambria Math"/>
              <w:color w:val="000000" w:themeColor="text1"/>
              <w14:textFill>
                <w14:solidFill>
                  <w14:schemeClr w14:val="tx1"/>
                </w14:solidFill>
              </w14:textFill>
            </w:rPr>
            <m:t>DP</m:t>
          </m:r>
        </m:oMath>
      </m:oMathPara>
    </w:p>
    <w:p>
      <w:pPr>
        <w:pStyle w:val="283"/>
        <w:rPr>
          <w:color w:val="000000" w:themeColor="text1"/>
          <w14:textFill>
            <w14:solidFill>
              <w14:schemeClr w14:val="tx1"/>
            </w14:solidFill>
          </w14:textFill>
        </w:rPr>
      </w:pPr>
      <w:r>
        <w:rPr>
          <w:rFonts w:hint="eastAsia"/>
          <w:color w:val="000000" w:themeColor="text1"/>
          <w14:textFill>
            <w14:solidFill>
              <w14:schemeClr w14:val="tx1"/>
            </w14:solidFill>
          </w14:textFill>
        </w:rPr>
        <w:t>式中：</w:t>
      </w:r>
      <w:r>
        <w:rPr>
          <w:i/>
          <w:iCs/>
          <w:color w:val="000000" w:themeColor="text1"/>
          <w14:textFill>
            <w14:solidFill>
              <w14:schemeClr w14:val="tx1"/>
            </w14:solidFill>
          </w14:textFill>
        </w:rPr>
        <w:t>P</w:t>
      </w:r>
      <w:r>
        <w:rPr>
          <w:rFonts w:hint="eastAsia"/>
          <w:color w:val="000000" w:themeColor="text1"/>
          <w14:textFill>
            <w14:solidFill>
              <w14:schemeClr w14:val="tx1"/>
            </w14:solidFill>
          </w14:textFill>
        </w:rPr>
        <w:t>为污染物浓度（</w:t>
      </w:r>
      <w:r>
        <w:rPr>
          <w:color w:val="000000" w:themeColor="text1"/>
          <w14:textFill>
            <w14:solidFill>
              <w14:schemeClr w14:val="tx1"/>
            </w14:solidFill>
          </w14:textFill>
        </w:rPr>
        <w:t>g/m</w:t>
      </w:r>
      <w:r>
        <w:rPr>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w:t>
      </w:r>
    </w:p>
    <w:p>
      <w:pPr>
        <w:pStyle w:val="283"/>
        <w:rPr>
          <w:color w:val="000000" w:themeColor="text1"/>
          <w14:textFill>
            <w14:solidFill>
              <w14:schemeClr w14:val="tx1"/>
            </w14:solidFill>
          </w14:textFill>
        </w:rPr>
      </w:pPr>
      <w:r>
        <w:rPr>
          <w:i/>
          <w:iCs/>
          <w:color w:val="000000" w:themeColor="text1"/>
          <w14:textFill>
            <w14:solidFill>
              <w14:schemeClr w14:val="tx1"/>
            </w14:solidFill>
          </w14:textFill>
        </w:rPr>
        <w:t>u</w:t>
      </w:r>
      <w:r>
        <w:rPr>
          <w:rFonts w:hint="eastAsia"/>
          <w:i/>
          <w:iCs/>
          <w:color w:val="000000" w:themeColor="text1"/>
          <w14:textFill>
            <w14:solidFill>
              <w14:schemeClr w14:val="tx1"/>
            </w14:solidFill>
          </w14:textFill>
        </w:rPr>
        <w:t>、</w:t>
      </w:r>
      <w:r>
        <w:rPr>
          <w:i/>
          <w:iCs/>
          <w:color w:val="000000" w:themeColor="text1"/>
          <w14:textFill>
            <w14:solidFill>
              <w14:schemeClr w14:val="tx1"/>
            </w14:solidFill>
          </w14:textFill>
        </w:rPr>
        <w:t>v</w:t>
      </w:r>
      <w:r>
        <w:rPr>
          <w:rFonts w:hint="eastAsia"/>
          <w:i/>
          <w:iCs/>
          <w:color w:val="000000" w:themeColor="text1"/>
          <w14:textFill>
            <w14:solidFill>
              <w14:schemeClr w14:val="tx1"/>
            </w14:solidFill>
          </w14:textFill>
        </w:rPr>
        <w:t>、w</w:t>
      </w:r>
      <w:r>
        <w:rPr>
          <w:rFonts w:hint="eastAsia"/>
          <w:color w:val="000000" w:themeColor="text1"/>
          <w14:textFill>
            <w14:solidFill>
              <w14:schemeClr w14:val="tx1"/>
            </w14:solidFill>
          </w14:textFill>
        </w:rPr>
        <w:t>分别为</w:t>
      </w:r>
      <w:r>
        <w:rPr>
          <w:i/>
          <w:iCs/>
          <w:color w:val="000000" w:themeColor="text1"/>
          <w14:textFill>
            <w14:solidFill>
              <w14:schemeClr w14:val="tx1"/>
            </w14:solidFill>
          </w14:textFill>
        </w:rPr>
        <w:t>x</w:t>
      </w:r>
      <w:r>
        <w:rPr>
          <w:rFonts w:hint="eastAsia"/>
          <w:i/>
          <w:iCs/>
          <w:color w:val="000000" w:themeColor="text1"/>
          <w14:textFill>
            <w14:solidFill>
              <w14:schemeClr w14:val="tx1"/>
            </w14:solidFill>
          </w14:textFill>
        </w:rPr>
        <w:t>、</w:t>
      </w:r>
      <w:r>
        <w:rPr>
          <w:i/>
          <w:iCs/>
          <w:color w:val="000000" w:themeColor="text1"/>
          <w14:textFill>
            <w14:solidFill>
              <w14:schemeClr w14:val="tx1"/>
            </w14:solidFill>
          </w14:textFill>
        </w:rPr>
        <w:t>y</w:t>
      </w:r>
      <w:r>
        <w:rPr>
          <w:rFonts w:hint="eastAsia"/>
          <w:i/>
          <w:iCs/>
          <w:color w:val="000000" w:themeColor="text1"/>
          <w14:textFill>
            <w14:solidFill>
              <w14:schemeClr w14:val="tx1"/>
            </w14:solidFill>
          </w14:textFill>
        </w:rPr>
        <w:t>、z</w:t>
      </w:r>
      <w:r>
        <w:rPr>
          <w:rFonts w:hint="eastAsia"/>
          <w:color w:val="000000" w:themeColor="text1"/>
          <w14:textFill>
            <w14:solidFill>
              <w14:schemeClr w14:val="tx1"/>
            </w14:solidFill>
          </w14:textFill>
        </w:rPr>
        <w:t>向流速分量，由水动力模型给出；</w:t>
      </w:r>
    </w:p>
    <w:p>
      <w:pPr>
        <w:pStyle w:val="283"/>
        <w:rPr>
          <w:color w:val="000000" w:themeColor="text1"/>
          <w14:textFill>
            <w14:solidFill>
              <w14:schemeClr w14:val="tx1"/>
            </w14:solidFill>
          </w14:textFill>
        </w:rPr>
      </w:pPr>
      <w:r>
        <w:rPr>
          <w:rFonts w:hint="eastAsia"/>
          <w:color w:val="000000" w:themeColor="text1"/>
          <w14:textFill>
            <w14:solidFill>
              <w14:schemeClr w14:val="tx1"/>
            </w14:solidFill>
          </w14:textFill>
        </w:rPr>
        <w:t xml:space="preserve"> </w:t>
      </w:r>
      <w:r>
        <w:rPr>
          <w:color w:val="000000" w:themeColor="text1"/>
          <w14:textFill>
            <w14:solidFill>
              <w14:schemeClr w14:val="tx1"/>
            </w14:solidFill>
          </w14:textFill>
        </w:rPr>
        <w:t xml:space="preserve">     </w:t>
      </w:r>
      <w:r>
        <w:rPr>
          <w:i/>
          <w:iCs/>
          <w:color w:val="000000" w:themeColor="text1"/>
          <w14:textFill>
            <w14:solidFill>
              <w14:schemeClr w14:val="tx1"/>
            </w14:solidFill>
          </w14:textFill>
        </w:rPr>
        <w:t>F</w:t>
      </w:r>
      <w:r>
        <w:rPr>
          <w:i/>
          <w:iCs/>
          <w:color w:val="000000" w:themeColor="text1"/>
          <w:vertAlign w:val="subscript"/>
          <w14:textFill>
            <w14:solidFill>
              <w14:schemeClr w14:val="tx1"/>
            </w14:solidFill>
          </w14:textFill>
        </w:rPr>
        <w:t>P</w:t>
      </w:r>
      <w:r>
        <w:rPr>
          <w:rFonts w:hint="eastAsia"/>
          <w:color w:val="000000" w:themeColor="text1"/>
          <w14:textFill>
            <w14:solidFill>
              <w14:schemeClr w14:val="tx1"/>
            </w14:solidFill>
          </w14:textFill>
        </w:rPr>
        <w:t>为水平扩散项，可由下式计算得出：</w:t>
      </w:r>
    </w:p>
    <w:p>
      <w:pPr>
        <w:pStyle w:val="283"/>
        <w:rPr>
          <w:color w:val="000000" w:themeColor="text1"/>
          <w14:textFill>
            <w14:solidFill>
              <w14:schemeClr w14:val="tx1"/>
            </w14:solidFill>
          </w14:textFill>
        </w:rPr>
      </w:pPr>
      <m:oMath>
        <m:sSub>
          <m:sSubPr>
            <m:ctrlPr>
              <w:rPr>
                <w:rFonts w:ascii="Cambria Math" w:hAnsi="Cambria Math"/>
                <w:color w:val="000000" w:themeColor="text1"/>
                <w14:textFill>
                  <w14:solidFill>
                    <w14:schemeClr w14:val="tx1"/>
                  </w14:solidFill>
                </w14:textFill>
              </w:rPr>
            </m:ctrlPr>
          </m:sSubPr>
          <m:e>
            <m:r>
              <w:rPr>
                <w:rFonts w:ascii="Cambria Math" w:hAnsi="Cambria Math"/>
                <w:color w:val="000000" w:themeColor="text1"/>
                <w14:textFill>
                  <w14:solidFill>
                    <w14:schemeClr w14:val="tx1"/>
                  </w14:solidFill>
                </w14:textFill>
              </w:rPr>
              <m:t>DF</m:t>
            </m:r>
            <m:ctrlPr>
              <w:rPr>
                <w:rFonts w:ascii="Cambria Math" w:hAnsi="Cambria Math"/>
                <w:color w:val="000000" w:themeColor="text1"/>
                <w14:textFill>
                  <w14:solidFill>
                    <w14:schemeClr w14:val="tx1"/>
                  </w14:solidFill>
                </w14:textFill>
              </w:rPr>
            </m:ctrlPr>
          </m:e>
          <m:sub>
            <m:r>
              <w:rPr>
                <w:rFonts w:ascii="Cambria Math" w:hAnsi="Cambria Math"/>
                <w:color w:val="000000" w:themeColor="text1"/>
                <w14:textFill>
                  <w14:solidFill>
                    <w14:schemeClr w14:val="tx1"/>
                  </w14:solidFill>
                </w14:textFill>
              </w:rPr>
              <m:t>p</m:t>
            </m:r>
            <m:ctrlPr>
              <w:rPr>
                <w:rFonts w:ascii="Cambria Math" w:hAnsi="Cambria Math"/>
                <w:color w:val="000000" w:themeColor="text1"/>
                <w14:textFill>
                  <w14:solidFill>
                    <w14:schemeClr w14:val="tx1"/>
                  </w14:solidFill>
                </w14:textFill>
              </w:rPr>
            </m:ctrlPr>
          </m:sub>
        </m:sSub>
        <m:r>
          <m:rPr>
            <m:sty m:val="p"/>
          </m:rPr>
          <w:rPr>
            <w:rFonts w:ascii="Cambria Math" w:hAnsi="Cambria Math"/>
            <w:color w:val="000000" w:themeColor="text1"/>
            <w14:textFill>
              <w14:solidFill>
                <w14:schemeClr w14:val="tx1"/>
              </w14:solidFill>
            </w14:textFill>
          </w:rPr>
          <m:t>=</m:t>
        </m:r>
        <m:f>
          <m:fPr>
            <m:ctrlPr>
              <w:rPr>
                <w:rFonts w:ascii="Cambria Math" w:hAnsi="Cambria Math"/>
                <w:color w:val="000000" w:themeColor="text1"/>
                <w14:textFill>
                  <w14:solidFill>
                    <w14:schemeClr w14:val="tx1"/>
                  </w14:solidFill>
                </w14:textFill>
              </w:rPr>
            </m:ctrlPr>
          </m:fPr>
          <m:num>
            <m:r>
              <m:rPr>
                <m:sty m:val="p"/>
              </m:rPr>
              <w:rPr>
                <w:rFonts w:ascii="Cambria Math" w:hAnsi="Cambria Math"/>
                <w:color w:val="000000" w:themeColor="text1"/>
                <w14:textFill>
                  <w14:solidFill>
                    <w14:schemeClr w14:val="tx1"/>
                  </w14:solidFill>
                </w14:textFill>
              </w:rPr>
              <m:t>1</m:t>
            </m:r>
            <m:ctrlPr>
              <w:rPr>
                <w:rFonts w:ascii="Cambria Math" w:hAnsi="Cambria Math"/>
                <w:color w:val="000000" w:themeColor="text1"/>
                <w14:textFill>
                  <w14:solidFill>
                    <w14:schemeClr w14:val="tx1"/>
                  </w14:solidFill>
                </w14:textFill>
              </w:rPr>
            </m:ctrlPr>
          </m:num>
          <m:den>
            <m:r>
              <w:rPr>
                <w:rFonts w:ascii="Cambria Math" w:hAnsi="Cambria Math"/>
                <w:color w:val="000000" w:themeColor="text1"/>
                <w14:textFill>
                  <w14:solidFill>
                    <w14:schemeClr w14:val="tx1"/>
                  </w14:solidFill>
                </w14:textFill>
              </w:rPr>
              <m:t>D</m:t>
            </m:r>
            <m:ctrlPr>
              <w:rPr>
                <w:rFonts w:ascii="Cambria Math" w:hAnsi="Cambria Math"/>
                <w:color w:val="000000" w:themeColor="text1"/>
                <w14:textFill>
                  <w14:solidFill>
                    <w14:schemeClr w14:val="tx1"/>
                  </w14:solidFill>
                </w14:textFill>
              </w:rPr>
            </m:ctrlPr>
          </m:den>
        </m:f>
        <m:f>
          <m:fPr>
            <m:ctrlPr>
              <w:rPr>
                <w:rFonts w:ascii="Cambria Math" w:hAnsi="Cambria Math"/>
                <w:color w:val="000000" w:themeColor="text1"/>
                <w14:textFill>
                  <w14:solidFill>
                    <w14:schemeClr w14:val="tx1"/>
                  </w14:solidFill>
                </w14:textFill>
              </w:rPr>
            </m:ctrlPr>
          </m:fPr>
          <m:num>
            <m:r>
              <w:rPr>
                <w:rFonts w:ascii="Cambria Math" w:hAnsi="Cambria Math"/>
                <w:color w:val="000000" w:themeColor="text1"/>
                <w14:textFill>
                  <w14:solidFill>
                    <w14:schemeClr w14:val="tx1"/>
                  </w14:solidFill>
                </w14:textFill>
              </w:rPr>
              <m:t>∂</m:t>
            </m:r>
            <m:ctrlPr>
              <w:rPr>
                <w:rFonts w:ascii="Cambria Math" w:hAnsi="Cambria Math"/>
                <w:color w:val="000000" w:themeColor="text1"/>
                <w14:textFill>
                  <w14:solidFill>
                    <w14:schemeClr w14:val="tx1"/>
                  </w14:solidFill>
                </w14:textFill>
              </w:rPr>
            </m:ctrlPr>
          </m:num>
          <m:den>
            <m:r>
              <w:rPr>
                <w:rFonts w:ascii="Cambria Math" w:hAnsi="Cambria Math"/>
                <w:color w:val="000000" w:themeColor="text1"/>
                <w14:textFill>
                  <w14:solidFill>
                    <w14:schemeClr w14:val="tx1"/>
                  </w14:solidFill>
                </w14:textFill>
              </w:rPr>
              <m:t>∂x</m:t>
            </m:r>
            <m:ctrlPr>
              <w:rPr>
                <w:rFonts w:ascii="Cambria Math" w:hAnsi="Cambria Math"/>
                <w:color w:val="000000" w:themeColor="text1"/>
                <w14:textFill>
                  <w14:solidFill>
                    <w14:schemeClr w14:val="tx1"/>
                  </w14:solidFill>
                </w14:textFill>
              </w:rPr>
            </m:ctrlPr>
          </m:den>
        </m:f>
        <m:d>
          <m:dPr>
            <m:ctrlPr>
              <w:rPr>
                <w:rFonts w:ascii="Cambria Math" w:hAnsi="Cambria Math"/>
                <w:color w:val="000000" w:themeColor="text1"/>
                <w14:textFill>
                  <w14:solidFill>
                    <w14:schemeClr w14:val="tx1"/>
                  </w14:solidFill>
                </w14:textFill>
              </w:rPr>
            </m:ctrlPr>
          </m:dPr>
          <m:e>
            <m:sSub>
              <m:sSubPr>
                <m:ctrlPr>
                  <w:rPr>
                    <w:rFonts w:ascii="Cambria Math" w:hAnsi="Cambria Math"/>
                    <w:color w:val="000000" w:themeColor="text1"/>
                    <w14:textFill>
                      <w14:solidFill>
                        <w14:schemeClr w14:val="tx1"/>
                      </w14:solidFill>
                    </w14:textFill>
                  </w:rPr>
                </m:ctrlPr>
              </m:sSubPr>
              <m:e>
                <m:r>
                  <w:rPr>
                    <w:rFonts w:ascii="Cambria Math" w:hAnsi="Cambria Math"/>
                    <w:color w:val="000000" w:themeColor="text1"/>
                    <w14:textFill>
                      <w14:solidFill>
                        <w14:schemeClr w14:val="tx1"/>
                      </w14:solidFill>
                    </w14:textFill>
                  </w:rPr>
                  <m:t>A</m:t>
                </m:r>
                <m:ctrlPr>
                  <w:rPr>
                    <w:rFonts w:ascii="Cambria Math" w:hAnsi="Cambria Math"/>
                    <w:color w:val="000000" w:themeColor="text1"/>
                    <w14:textFill>
                      <w14:solidFill>
                        <w14:schemeClr w14:val="tx1"/>
                      </w14:solidFill>
                    </w14:textFill>
                  </w:rPr>
                </m:ctrlPr>
              </m:e>
              <m:sub>
                <m:r>
                  <w:rPr>
                    <w:rFonts w:ascii="Cambria Math" w:hAnsi="Cambria Math"/>
                    <w:color w:val="000000" w:themeColor="text1"/>
                    <w14:textFill>
                      <w14:solidFill>
                        <w14:schemeClr w14:val="tx1"/>
                      </w14:solidFill>
                    </w14:textFill>
                  </w:rPr>
                  <m:t>m</m:t>
                </m:r>
                <m:ctrlPr>
                  <w:rPr>
                    <w:rFonts w:ascii="Cambria Math" w:hAnsi="Cambria Math"/>
                    <w:color w:val="000000" w:themeColor="text1"/>
                    <w14:textFill>
                      <w14:solidFill>
                        <w14:schemeClr w14:val="tx1"/>
                      </w14:solidFill>
                    </w14:textFill>
                  </w:rPr>
                </m:ctrlPr>
              </m:sub>
            </m:sSub>
            <m:f>
              <m:fPr>
                <m:ctrlPr>
                  <w:rPr>
                    <w:rFonts w:ascii="Cambria Math" w:hAnsi="Cambria Math"/>
                    <w:color w:val="000000" w:themeColor="text1"/>
                    <w14:textFill>
                      <w14:solidFill>
                        <w14:schemeClr w14:val="tx1"/>
                      </w14:solidFill>
                    </w14:textFill>
                  </w:rPr>
                </m:ctrlPr>
              </m:fPr>
              <m:num>
                <m:r>
                  <w:rPr>
                    <w:rFonts w:ascii="Cambria Math" w:hAnsi="Cambria Math"/>
                    <w:color w:val="000000" w:themeColor="text1"/>
                    <w14:textFill>
                      <w14:solidFill>
                        <w14:schemeClr w14:val="tx1"/>
                      </w14:solidFill>
                    </w14:textFill>
                  </w:rPr>
                  <m:t>∂P</m:t>
                </m:r>
                <m:ctrlPr>
                  <w:rPr>
                    <w:rFonts w:ascii="Cambria Math" w:hAnsi="Cambria Math"/>
                    <w:color w:val="000000" w:themeColor="text1"/>
                    <w14:textFill>
                      <w14:solidFill>
                        <w14:schemeClr w14:val="tx1"/>
                      </w14:solidFill>
                    </w14:textFill>
                  </w:rPr>
                </m:ctrlPr>
              </m:num>
              <m:den>
                <m:r>
                  <w:rPr>
                    <w:rFonts w:ascii="Cambria Math" w:hAnsi="Cambria Math"/>
                    <w:color w:val="000000" w:themeColor="text1"/>
                    <w14:textFill>
                      <w14:solidFill>
                        <w14:schemeClr w14:val="tx1"/>
                      </w14:solidFill>
                    </w14:textFill>
                  </w:rPr>
                  <m:t>∂x</m:t>
                </m:r>
                <m:ctrlPr>
                  <w:rPr>
                    <w:rFonts w:ascii="Cambria Math" w:hAnsi="Cambria Math"/>
                    <w:color w:val="000000" w:themeColor="text1"/>
                    <w14:textFill>
                      <w14:solidFill>
                        <w14:schemeClr w14:val="tx1"/>
                      </w14:solidFill>
                    </w14:textFill>
                  </w:rPr>
                </m:ctrlPr>
              </m:den>
            </m:f>
            <m:ctrlPr>
              <w:rPr>
                <w:rFonts w:ascii="Cambria Math" w:hAnsi="Cambria Math"/>
                <w:color w:val="000000" w:themeColor="text1"/>
                <w14:textFill>
                  <w14:solidFill>
                    <w14:schemeClr w14:val="tx1"/>
                  </w14:solidFill>
                </w14:textFill>
              </w:rPr>
            </m:ctrlPr>
          </m:e>
        </m:d>
        <m:r>
          <m:rPr>
            <m:sty m:val="p"/>
          </m:rPr>
          <w:rPr>
            <w:rFonts w:ascii="Cambria Math" w:hAnsi="Cambria Math"/>
            <w:color w:val="000000" w:themeColor="text1"/>
            <w14:textFill>
              <w14:solidFill>
                <w14:schemeClr w14:val="tx1"/>
              </w14:solidFill>
            </w14:textFill>
          </w:rPr>
          <m:t>+</m:t>
        </m:r>
        <m:f>
          <m:fPr>
            <m:ctrlPr>
              <w:rPr>
                <w:rFonts w:ascii="Cambria Math" w:hAnsi="Cambria Math"/>
                <w:color w:val="000000" w:themeColor="text1"/>
                <w14:textFill>
                  <w14:solidFill>
                    <w14:schemeClr w14:val="tx1"/>
                  </w14:solidFill>
                </w14:textFill>
              </w:rPr>
            </m:ctrlPr>
          </m:fPr>
          <m:num>
            <m:r>
              <m:rPr>
                <m:sty m:val="p"/>
              </m:rPr>
              <w:rPr>
                <w:rFonts w:ascii="Cambria Math" w:hAnsi="Cambria Math"/>
                <w:color w:val="000000" w:themeColor="text1"/>
                <w14:textFill>
                  <w14:solidFill>
                    <w14:schemeClr w14:val="tx1"/>
                  </w14:solidFill>
                </w14:textFill>
              </w:rPr>
              <m:t>1</m:t>
            </m:r>
            <m:ctrlPr>
              <w:rPr>
                <w:rFonts w:ascii="Cambria Math" w:hAnsi="Cambria Math"/>
                <w:color w:val="000000" w:themeColor="text1"/>
                <w14:textFill>
                  <w14:solidFill>
                    <w14:schemeClr w14:val="tx1"/>
                  </w14:solidFill>
                </w14:textFill>
              </w:rPr>
            </m:ctrlPr>
          </m:num>
          <m:den>
            <m:r>
              <w:rPr>
                <w:rFonts w:ascii="Cambria Math" w:hAnsi="Cambria Math"/>
                <w:color w:val="000000" w:themeColor="text1"/>
                <w14:textFill>
                  <w14:solidFill>
                    <w14:schemeClr w14:val="tx1"/>
                  </w14:solidFill>
                </w14:textFill>
              </w:rPr>
              <m:t>D</m:t>
            </m:r>
            <m:ctrlPr>
              <w:rPr>
                <w:rFonts w:ascii="Cambria Math" w:hAnsi="Cambria Math"/>
                <w:color w:val="000000" w:themeColor="text1"/>
                <w14:textFill>
                  <w14:solidFill>
                    <w14:schemeClr w14:val="tx1"/>
                  </w14:solidFill>
                </w14:textFill>
              </w:rPr>
            </m:ctrlPr>
          </m:den>
        </m:f>
        <m:f>
          <m:fPr>
            <m:ctrlPr>
              <w:rPr>
                <w:rFonts w:ascii="Cambria Math" w:hAnsi="Cambria Math"/>
                <w:color w:val="000000" w:themeColor="text1"/>
                <w14:textFill>
                  <w14:solidFill>
                    <w14:schemeClr w14:val="tx1"/>
                  </w14:solidFill>
                </w14:textFill>
              </w:rPr>
            </m:ctrlPr>
          </m:fPr>
          <m:num>
            <m:r>
              <w:rPr>
                <w:rFonts w:ascii="Cambria Math" w:hAnsi="Cambria Math"/>
                <w:color w:val="000000" w:themeColor="text1"/>
                <w14:textFill>
                  <w14:solidFill>
                    <w14:schemeClr w14:val="tx1"/>
                  </w14:solidFill>
                </w14:textFill>
              </w:rPr>
              <m:t>∂</m:t>
            </m:r>
            <m:ctrlPr>
              <w:rPr>
                <w:rFonts w:ascii="Cambria Math" w:hAnsi="Cambria Math"/>
                <w:color w:val="000000" w:themeColor="text1"/>
                <w14:textFill>
                  <w14:solidFill>
                    <w14:schemeClr w14:val="tx1"/>
                  </w14:solidFill>
                </w14:textFill>
              </w:rPr>
            </m:ctrlPr>
          </m:num>
          <m:den>
            <m:r>
              <w:rPr>
                <w:rFonts w:ascii="Cambria Math" w:hAnsi="Cambria Math"/>
                <w:color w:val="000000" w:themeColor="text1"/>
                <w14:textFill>
                  <w14:solidFill>
                    <w14:schemeClr w14:val="tx1"/>
                  </w14:solidFill>
                </w14:textFill>
              </w:rPr>
              <m:t>∂y</m:t>
            </m:r>
            <m:ctrlPr>
              <w:rPr>
                <w:rFonts w:ascii="Cambria Math" w:hAnsi="Cambria Math"/>
                <w:color w:val="000000" w:themeColor="text1"/>
                <w14:textFill>
                  <w14:solidFill>
                    <w14:schemeClr w14:val="tx1"/>
                  </w14:solidFill>
                </w14:textFill>
              </w:rPr>
            </m:ctrlPr>
          </m:den>
        </m:f>
        <m:r>
          <m:rPr>
            <m:sty m:val="p"/>
          </m:rPr>
          <w:rPr>
            <w:rFonts w:ascii="Cambria Math" w:hAnsi="Cambria Math"/>
            <w:color w:val="000000" w:themeColor="text1"/>
            <w14:textFill>
              <w14:solidFill>
                <w14:schemeClr w14:val="tx1"/>
              </w14:solidFill>
            </w14:textFill>
          </w:rPr>
          <m:t>(</m:t>
        </m:r>
        <m:sSub>
          <m:sSubPr>
            <m:ctrlPr>
              <w:rPr>
                <w:rFonts w:ascii="Cambria Math" w:hAnsi="Cambria Math"/>
                <w:color w:val="000000" w:themeColor="text1"/>
                <w14:textFill>
                  <w14:solidFill>
                    <w14:schemeClr w14:val="tx1"/>
                  </w14:solidFill>
                </w14:textFill>
              </w:rPr>
            </m:ctrlPr>
          </m:sSubPr>
          <m:e>
            <m:r>
              <w:rPr>
                <w:rFonts w:ascii="Cambria Math" w:hAnsi="Cambria Math"/>
                <w:color w:val="000000" w:themeColor="text1"/>
                <w14:textFill>
                  <w14:solidFill>
                    <w14:schemeClr w14:val="tx1"/>
                  </w14:solidFill>
                </w14:textFill>
              </w:rPr>
              <m:t>A</m:t>
            </m:r>
            <m:ctrlPr>
              <w:rPr>
                <w:rFonts w:ascii="Cambria Math" w:hAnsi="Cambria Math"/>
                <w:color w:val="000000" w:themeColor="text1"/>
                <w14:textFill>
                  <w14:solidFill>
                    <w14:schemeClr w14:val="tx1"/>
                  </w14:solidFill>
                </w14:textFill>
              </w:rPr>
            </m:ctrlPr>
          </m:e>
          <m:sub>
            <m:r>
              <w:rPr>
                <w:rFonts w:ascii="Cambria Math" w:hAnsi="Cambria Math"/>
                <w:color w:val="000000" w:themeColor="text1"/>
                <w14:textFill>
                  <w14:solidFill>
                    <w14:schemeClr w14:val="tx1"/>
                  </w14:solidFill>
                </w14:textFill>
              </w:rPr>
              <m:t>m</m:t>
            </m:r>
            <m:ctrlPr>
              <w:rPr>
                <w:rFonts w:ascii="Cambria Math" w:hAnsi="Cambria Math"/>
                <w:color w:val="000000" w:themeColor="text1"/>
                <w14:textFill>
                  <w14:solidFill>
                    <w14:schemeClr w14:val="tx1"/>
                  </w14:solidFill>
                </w14:textFill>
              </w:rPr>
            </m:ctrlPr>
          </m:sub>
        </m:sSub>
        <m:f>
          <m:fPr>
            <m:ctrlPr>
              <w:rPr>
                <w:rFonts w:ascii="Cambria Math" w:hAnsi="Cambria Math"/>
                <w:color w:val="000000" w:themeColor="text1"/>
                <w14:textFill>
                  <w14:solidFill>
                    <w14:schemeClr w14:val="tx1"/>
                  </w14:solidFill>
                </w14:textFill>
              </w:rPr>
            </m:ctrlPr>
          </m:fPr>
          <m:num>
            <m:r>
              <w:rPr>
                <w:rFonts w:ascii="Cambria Math" w:hAnsi="Cambria Math"/>
                <w:color w:val="000000" w:themeColor="text1"/>
                <w14:textFill>
                  <w14:solidFill>
                    <w14:schemeClr w14:val="tx1"/>
                  </w14:solidFill>
                </w14:textFill>
              </w:rPr>
              <m:t>∂P</m:t>
            </m:r>
            <m:ctrlPr>
              <w:rPr>
                <w:rFonts w:ascii="Cambria Math" w:hAnsi="Cambria Math"/>
                <w:color w:val="000000" w:themeColor="text1"/>
                <w14:textFill>
                  <w14:solidFill>
                    <w14:schemeClr w14:val="tx1"/>
                  </w14:solidFill>
                </w14:textFill>
              </w:rPr>
            </m:ctrlPr>
          </m:num>
          <m:den>
            <m:r>
              <w:rPr>
                <w:rFonts w:ascii="Cambria Math" w:hAnsi="Cambria Math"/>
                <w:color w:val="000000" w:themeColor="text1"/>
                <w14:textFill>
                  <w14:solidFill>
                    <w14:schemeClr w14:val="tx1"/>
                  </w14:solidFill>
                </w14:textFill>
              </w:rPr>
              <m:t>∂y</m:t>
            </m:r>
            <m:ctrlPr>
              <w:rPr>
                <w:rFonts w:ascii="Cambria Math" w:hAnsi="Cambria Math"/>
                <w:color w:val="000000" w:themeColor="text1"/>
                <w14:textFill>
                  <w14:solidFill>
                    <w14:schemeClr w14:val="tx1"/>
                  </w14:solidFill>
                </w14:textFill>
              </w:rPr>
            </m:ctrlPr>
          </m:den>
        </m:f>
        <m:r>
          <m:rPr>
            <m:sty m:val="p"/>
          </m:rPr>
          <w:rPr>
            <w:rFonts w:ascii="Cambria Math" w:hAnsi="Cambria Math"/>
            <w:color w:val="000000" w:themeColor="text1"/>
            <w14:textFill>
              <w14:solidFill>
                <w14:schemeClr w14:val="tx1"/>
              </w14:solidFill>
            </w14:textFill>
          </w:rPr>
          <m:t>)</m:t>
        </m:r>
      </m:oMath>
      <w:r>
        <w:rPr>
          <w:rFonts w:hint="eastAsia"/>
          <w:color w:val="000000" w:themeColor="text1"/>
          <w14:textFill>
            <w14:solidFill>
              <w14:schemeClr w14:val="tx1"/>
            </w14:solidFill>
          </w14:textFill>
        </w:rPr>
        <w:t>其中，</w:t>
      </w:r>
      <w:r>
        <w:rPr>
          <w:color w:val="000000" w:themeColor="text1"/>
          <w14:textFill>
            <w14:solidFill>
              <w14:schemeClr w14:val="tx1"/>
            </w14:solidFill>
          </w14:textFill>
        </w:rPr>
        <w:t>A</w:t>
      </w:r>
      <w:r>
        <w:rPr>
          <w:color w:val="000000" w:themeColor="text1"/>
          <w:vertAlign w:val="subscript"/>
          <w14:textFill>
            <w14:solidFill>
              <w14:schemeClr w14:val="tx1"/>
            </w14:solidFill>
          </w14:textFill>
        </w:rPr>
        <w:t>m</w:t>
      </w:r>
      <w:r>
        <w:rPr>
          <w:rFonts w:hint="eastAsia"/>
          <w:color w:val="000000" w:themeColor="text1"/>
          <w14:textFill>
            <w14:solidFill>
              <w14:schemeClr w14:val="tx1"/>
            </w14:solidFill>
          </w14:textFill>
        </w:rPr>
        <w:t>为水平扩散系数；</w:t>
      </w:r>
    </w:p>
    <w:p>
      <w:pPr>
        <w:pStyle w:val="283"/>
        <w:rPr>
          <w:color w:val="000000" w:themeColor="text1"/>
          <w14:textFill>
            <w14:solidFill>
              <w14:schemeClr w14:val="tx1"/>
            </w14:solidFill>
          </w14:textFill>
        </w:rPr>
      </w:pPr>
      <w:r>
        <w:rPr>
          <w:i/>
          <w:iCs/>
          <w:color w:val="000000" w:themeColor="text1"/>
          <w14:textFill>
            <w14:solidFill>
              <w14:schemeClr w14:val="tx1"/>
            </w14:solidFill>
          </w14:textFill>
        </w:rPr>
        <w:t>S</w:t>
      </w:r>
      <w:r>
        <w:rPr>
          <w:rFonts w:hint="eastAsia"/>
          <w:color w:val="000000" w:themeColor="text1"/>
          <w14:textFill>
            <w14:solidFill>
              <w14:schemeClr w14:val="tx1"/>
            </w14:solidFill>
          </w14:textFill>
        </w:rPr>
        <w:t>为污染物排放源强，</w:t>
      </w:r>
      <w:r>
        <w:rPr>
          <w:i/>
          <w:iCs/>
          <w:color w:val="000000" w:themeColor="text1"/>
          <w14:textFill>
            <w14:solidFill>
              <w14:schemeClr w14:val="tx1"/>
            </w14:solidFill>
          </w14:textFill>
        </w:rPr>
        <w:t>S</w:t>
      </w:r>
      <w:r>
        <w:rPr>
          <w:color w:val="000000" w:themeColor="text1"/>
          <w14:textFill>
            <w14:solidFill>
              <w14:schemeClr w14:val="tx1"/>
            </w14:solidFill>
          </w14:textFill>
        </w:rPr>
        <w:t>=</w:t>
      </w:r>
      <w:r>
        <w:rPr>
          <w:i/>
          <w:iCs/>
          <w:color w:val="000000" w:themeColor="text1"/>
          <w14:textFill>
            <w14:solidFill>
              <w14:schemeClr w14:val="tx1"/>
            </w14:solidFill>
          </w14:textFill>
        </w:rPr>
        <w:t>Q</w:t>
      </w:r>
      <w:r>
        <w:rPr>
          <w:i/>
          <w:iCs/>
          <w:color w:val="000000" w:themeColor="text1"/>
          <w:vertAlign w:val="subscript"/>
          <w14:textFill>
            <w14:solidFill>
              <w14:schemeClr w14:val="tx1"/>
            </w14:solidFill>
          </w14:textFill>
        </w:rPr>
        <w:t>S</w:t>
      </w:r>
      <w:r>
        <w:rPr>
          <w:i/>
          <w:iCs/>
          <w:color w:val="000000" w:themeColor="text1"/>
          <w14:textFill>
            <w14:solidFill>
              <w14:schemeClr w14:val="tx1"/>
            </w14:solidFill>
          </w14:textFill>
        </w:rPr>
        <w:t>·C</w:t>
      </w:r>
      <w:r>
        <w:rPr>
          <w:i/>
          <w:iCs/>
          <w:color w:val="000000" w:themeColor="text1"/>
          <w:vertAlign w:val="subscript"/>
          <w14:textFill>
            <w14:solidFill>
              <w14:schemeClr w14:val="tx1"/>
            </w14:solidFill>
          </w14:textFill>
        </w:rPr>
        <w:t>s</w:t>
      </w:r>
      <w:r>
        <w:rPr>
          <w:rFonts w:hint="eastAsia"/>
          <w:color w:val="000000" w:themeColor="text1"/>
          <w14:textFill>
            <w14:solidFill>
              <w14:schemeClr w14:val="tx1"/>
            </w14:solidFill>
          </w14:textFill>
        </w:rPr>
        <w:t>，式中</w:t>
      </w:r>
      <w:r>
        <w:rPr>
          <w:i/>
          <w:iCs/>
          <w:color w:val="000000" w:themeColor="text1"/>
          <w14:textFill>
            <w14:solidFill>
              <w14:schemeClr w14:val="tx1"/>
            </w14:solidFill>
          </w14:textFill>
        </w:rPr>
        <w:t>Q</w:t>
      </w:r>
      <w:r>
        <w:rPr>
          <w:i/>
          <w:iCs/>
          <w:color w:val="000000" w:themeColor="text1"/>
          <w:vertAlign w:val="subscript"/>
          <w14:textFill>
            <w14:solidFill>
              <w14:schemeClr w14:val="tx1"/>
            </w14:solidFill>
          </w14:textFill>
        </w:rPr>
        <w:t>S</w:t>
      </w:r>
      <w:r>
        <w:rPr>
          <w:rFonts w:hint="eastAsia"/>
          <w:color w:val="000000" w:themeColor="text1"/>
          <w14:textFill>
            <w14:solidFill>
              <w14:schemeClr w14:val="tx1"/>
            </w14:solidFill>
          </w14:textFill>
        </w:rPr>
        <w:t>为单位时间内点源排放量（</w:t>
      </w:r>
      <w:r>
        <w:rPr>
          <w:color w:val="000000" w:themeColor="text1"/>
          <w14:textFill>
            <w14:solidFill>
              <w14:schemeClr w14:val="tx1"/>
            </w14:solidFill>
          </w14:textFill>
        </w:rPr>
        <w:t>m</w:t>
      </w:r>
      <w:r>
        <w:rPr>
          <w:color w:val="000000" w:themeColor="text1"/>
          <w:vertAlign w:val="superscript"/>
          <w14:textFill>
            <w14:solidFill>
              <w14:schemeClr w14:val="tx1"/>
            </w14:solidFill>
          </w14:textFill>
        </w:rPr>
        <w:t>3</w:t>
      </w:r>
      <w:r>
        <w:rPr>
          <w:color w:val="000000" w:themeColor="text1"/>
          <w14:textFill>
            <w14:solidFill>
              <w14:schemeClr w14:val="tx1"/>
            </w14:solidFill>
          </w14:textFill>
        </w:rPr>
        <w:t>/s</w:t>
      </w:r>
      <w:r>
        <w:rPr>
          <w:rFonts w:hint="eastAsia"/>
          <w:color w:val="000000" w:themeColor="text1"/>
          <w14:textFill>
            <w14:solidFill>
              <w14:schemeClr w14:val="tx1"/>
            </w14:solidFill>
          </w14:textFill>
        </w:rPr>
        <w:t>），</w:t>
      </w:r>
      <w:r>
        <w:rPr>
          <w:i/>
          <w:iCs/>
          <w:color w:val="000000" w:themeColor="text1"/>
          <w14:textFill>
            <w14:solidFill>
              <w14:schemeClr w14:val="tx1"/>
            </w14:solidFill>
          </w14:textFill>
        </w:rPr>
        <w:t>C</w:t>
      </w:r>
      <w:r>
        <w:rPr>
          <w:i/>
          <w:iCs/>
          <w:color w:val="000000" w:themeColor="text1"/>
          <w:vertAlign w:val="subscript"/>
          <w14:textFill>
            <w14:solidFill>
              <w14:schemeClr w14:val="tx1"/>
            </w14:solidFill>
          </w14:textFill>
        </w:rPr>
        <w:t>s</w:t>
      </w:r>
      <w:r>
        <w:rPr>
          <w:rFonts w:hint="eastAsia"/>
          <w:color w:val="000000" w:themeColor="text1"/>
          <w14:textFill>
            <w14:solidFill>
              <w14:schemeClr w14:val="tx1"/>
            </w14:solidFill>
          </w14:textFill>
        </w:rPr>
        <w:t>为污染物排放浓度（</w:t>
      </w:r>
      <w:r>
        <w:rPr>
          <w:color w:val="000000" w:themeColor="text1"/>
          <w14:textFill>
            <w14:solidFill>
              <w14:schemeClr w14:val="tx1"/>
            </w14:solidFill>
          </w14:textFill>
        </w:rPr>
        <w:t>g/m</w:t>
      </w:r>
      <w:r>
        <w:rPr>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w:t>
      </w:r>
    </w:p>
    <w:p>
      <w:pPr>
        <w:pStyle w:val="283"/>
        <w:rPr>
          <w:color w:val="000000" w:themeColor="text1"/>
          <w14:textFill>
            <w14:solidFill>
              <w14:schemeClr w14:val="tx1"/>
            </w14:solidFill>
          </w14:textFill>
        </w:rPr>
      </w:pPr>
      <w:r>
        <w:rPr>
          <w:color w:val="000000" w:themeColor="text1"/>
          <w14:textFill>
            <w14:solidFill>
              <w14:schemeClr w14:val="tx1"/>
            </w14:solidFill>
          </w14:textFill>
        </w:rPr>
        <w:t>k</w:t>
      </w:r>
      <w:r>
        <w:rPr>
          <w:rFonts w:hint="eastAsia"/>
          <w:color w:val="000000" w:themeColor="text1"/>
          <w14:textFill>
            <w14:solidFill>
              <w14:schemeClr w14:val="tx1"/>
            </w14:solidFill>
          </w14:textFill>
        </w:rPr>
        <w:t>为衰减系数（</w:t>
      </w:r>
      <w:r>
        <w:rPr>
          <w:color w:val="000000" w:themeColor="text1"/>
          <w14:textFill>
            <w14:solidFill>
              <w14:schemeClr w14:val="tx1"/>
            </w14:solidFill>
          </w14:textFill>
        </w:rPr>
        <w:t>1/s</w:t>
      </w:r>
      <w:r>
        <w:rPr>
          <w:rFonts w:hint="eastAsia"/>
          <w:color w:val="000000" w:themeColor="text1"/>
          <w14:textFill>
            <w14:solidFill>
              <w14:schemeClr w14:val="tx1"/>
            </w14:solidFill>
          </w14:textFill>
        </w:rPr>
        <w:t>），本次模拟所有污染物的</w:t>
      </w:r>
      <w:r>
        <w:rPr>
          <w:color w:val="000000" w:themeColor="text1"/>
          <w14:textFill>
            <w14:solidFill>
              <w14:schemeClr w14:val="tx1"/>
            </w14:solidFill>
          </w14:textFill>
        </w:rPr>
        <w:t>k</w:t>
      </w:r>
      <w:r>
        <w:rPr>
          <w:rFonts w:hint="eastAsia"/>
          <w:color w:val="000000" w:themeColor="text1"/>
          <w14:textFill>
            <w14:solidFill>
              <w14:schemeClr w14:val="tx1"/>
            </w14:solidFill>
          </w14:textFill>
        </w:rPr>
        <w:t>取0.0，也即将其作为保守物质。</w:t>
      </w:r>
    </w:p>
    <w:p>
      <w:pPr>
        <w:pStyle w:val="283"/>
        <w:rPr>
          <w:color w:val="000000" w:themeColor="text1"/>
          <w14:textFill>
            <w14:solidFill>
              <w14:schemeClr w14:val="tx1"/>
            </w14:solidFill>
          </w14:textFill>
        </w:rPr>
      </w:pPr>
      <w:r>
        <w:rPr>
          <w:rFonts w:hint="eastAsia"/>
          <w:color w:val="000000" w:themeColor="text1"/>
          <w14:textFill>
            <w14:solidFill>
              <w14:schemeClr w14:val="tx1"/>
            </w14:solidFill>
          </w14:textFill>
        </w:rPr>
        <w:t>闭边界：</w:t>
      </w:r>
      <w:r>
        <w:rPr>
          <w:color w:val="000000" w:themeColor="text1"/>
          <w14:textFill>
            <w14:solidFill>
              <w14:schemeClr w14:val="tx1"/>
            </w14:solidFill>
          </w14:textFill>
        </w:rPr>
        <w:object>
          <v:shape id="_x0000_i1051" o:spt="75" type="#_x0000_t75" style="height:28.55pt;width:47.55pt;" o:ole="t" filled="f" o:preferrelative="t" stroked="f" coordsize="21600,21600">
            <v:path/>
            <v:fill on="f" focussize="0,0"/>
            <v:stroke on="f" joinstyle="miter"/>
            <v:imagedata r:id="rId168" o:title=""/>
            <o:lock v:ext="edit" aspectratio="t"/>
            <w10:wrap type="none"/>
            <w10:anchorlock/>
          </v:shape>
          <o:OLEObject Type="Embed" ProgID="Equation.3" ShapeID="_x0000_i1051" DrawAspect="Content" ObjectID="_1468075751" r:id="rId167">
            <o:LockedField>false</o:LockedField>
          </o:OLEObject>
        </w:object>
      </w:r>
    </w:p>
    <w:p>
      <w:pPr>
        <w:pStyle w:val="283"/>
        <w:rPr>
          <w:color w:val="000000" w:themeColor="text1"/>
          <w14:textFill>
            <w14:solidFill>
              <w14:schemeClr w14:val="tx1"/>
            </w14:solidFill>
          </w14:textFill>
        </w:rPr>
      </w:pPr>
      <w:r>
        <w:rPr>
          <w:rFonts w:hint="eastAsia"/>
          <w:color w:val="000000" w:themeColor="text1"/>
          <w14:textFill>
            <w14:solidFill>
              <w14:schemeClr w14:val="tx1"/>
            </w14:solidFill>
          </w14:textFill>
        </w:rPr>
        <w:t>开边界：</w:t>
      </w:r>
    </w:p>
    <w:p>
      <w:pPr>
        <w:pStyle w:val="283"/>
        <w:rPr>
          <w:color w:val="000000" w:themeColor="text1"/>
          <w14:textFill>
            <w14:solidFill>
              <w14:schemeClr w14:val="tx1"/>
            </w14:solidFill>
          </w14:textFill>
        </w:rPr>
      </w:pPr>
      <w:r>
        <w:rPr>
          <w:i/>
          <w:iCs/>
          <w:color w:val="000000" w:themeColor="text1"/>
          <w14:textFill>
            <w14:solidFill>
              <w14:schemeClr w14:val="tx1"/>
            </w14:solidFill>
          </w14:textFill>
        </w:rPr>
        <w:t xml:space="preserve">P=P′ </w:t>
      </w:r>
      <w:r>
        <w:rPr>
          <w:color w:val="000000" w:themeColor="text1"/>
          <w14:textFill>
            <w14:solidFill>
              <w14:schemeClr w14:val="tx1"/>
            </w14:solidFill>
          </w14:textFill>
        </w:rPr>
        <w:t xml:space="preserve">         </w:t>
      </w:r>
      <w:r>
        <w:rPr>
          <w:rFonts w:hint="eastAsia"/>
          <w:color w:val="000000" w:themeColor="text1"/>
          <w14:textFill>
            <w14:solidFill>
              <w14:schemeClr w14:val="tx1"/>
            </w14:solidFill>
          </w14:textFill>
        </w:rPr>
        <w:t>入流段</w:t>
      </w:r>
    </w:p>
    <w:p>
      <w:pPr>
        <w:pStyle w:val="283"/>
        <w:rPr>
          <w:color w:val="000000" w:themeColor="text1"/>
          <w14:textFill>
            <w14:solidFill>
              <w14:schemeClr w14:val="tx1"/>
            </w14:solidFill>
          </w14:textFill>
        </w:rPr>
      </w:pPr>
      <w:r>
        <w:rPr>
          <w:color w:val="000000" w:themeColor="text1"/>
          <w14:textFill>
            <w14:solidFill>
              <w14:schemeClr w14:val="tx1"/>
            </w14:solidFill>
          </w14:textFill>
        </w:rPr>
        <w:object>
          <v:shape id="_x0000_i1052" o:spt="75" type="#_x0000_t75" style="height:33.3pt;width:80.85pt;" o:ole="t" filled="f" o:preferrelative="t" stroked="f" coordsize="21600,21600">
            <v:path/>
            <v:fill on="f" focussize="0,0"/>
            <v:stroke on="f" joinstyle="miter"/>
            <v:imagedata r:id="rId170" o:title=""/>
            <o:lock v:ext="edit" aspectratio="t"/>
            <w10:wrap type="none"/>
            <w10:anchorlock/>
          </v:shape>
          <o:OLEObject Type="Embed" ProgID="Equation.3" ShapeID="_x0000_i1052" DrawAspect="Content" ObjectID="_1468075752" r:id="rId169">
            <o:LockedField>false</o:LockedField>
          </o:OLEObject>
        </w:object>
      </w:r>
      <w:r>
        <w:rPr>
          <w:color w:val="000000" w:themeColor="text1"/>
          <w14:textFill>
            <w14:solidFill>
              <w14:schemeClr w14:val="tx1"/>
            </w14:solidFill>
          </w14:textFill>
        </w:rPr>
        <w:t xml:space="preserve"> </w:t>
      </w:r>
      <w:r>
        <w:rPr>
          <w:rFonts w:hint="eastAsia"/>
          <w:color w:val="000000" w:themeColor="text1"/>
          <w14:textFill>
            <w14:solidFill>
              <w14:schemeClr w14:val="tx1"/>
            </w14:solidFill>
          </w14:textFill>
        </w:rPr>
        <w:t>出流段</w:t>
      </w:r>
    </w:p>
    <w:p>
      <w:pPr>
        <w:pStyle w:val="283"/>
        <w:rPr>
          <w:color w:val="000000" w:themeColor="text1"/>
          <w14:textFill>
            <w14:solidFill>
              <w14:schemeClr w14:val="tx1"/>
            </w14:solidFill>
          </w14:textFill>
        </w:rPr>
      </w:pPr>
      <w:r>
        <w:rPr>
          <w:rFonts w:hint="eastAsia"/>
          <w:color w:val="000000" w:themeColor="text1"/>
          <w14:textFill>
            <w14:solidFill>
              <w14:schemeClr w14:val="tx1"/>
            </w14:solidFill>
          </w14:textFill>
        </w:rPr>
        <w:t>上述方程与4.1.1节F</w:t>
      </w:r>
      <w:r>
        <w:rPr>
          <w:color w:val="000000" w:themeColor="text1"/>
          <w14:textFill>
            <w14:solidFill>
              <w14:schemeClr w14:val="tx1"/>
            </w14:solidFill>
          </w14:textFill>
        </w:rPr>
        <w:t>VCOM</w:t>
      </w:r>
      <w:r>
        <w:rPr>
          <w:rFonts w:hint="eastAsia"/>
          <w:color w:val="000000" w:themeColor="text1"/>
          <w14:textFill>
            <w14:solidFill>
              <w14:schemeClr w14:val="tx1"/>
            </w14:solidFill>
          </w14:textFill>
        </w:rPr>
        <w:t>水动力基本方程组一并构成污染物扩散的基本方程组，其数值方法、计算网格、边界条件均与潮流数值模拟中的相关设置保持相同。</w:t>
      </w:r>
    </w:p>
    <w:p>
      <w:pPr>
        <w:pStyle w:val="6"/>
        <w:rPr>
          <w:color w:val="000000" w:themeColor="text1"/>
          <w14:textFill>
            <w14:solidFill>
              <w14:schemeClr w14:val="tx1"/>
            </w14:solidFill>
          </w14:textFill>
        </w:rPr>
      </w:pPr>
      <w:r>
        <w:rPr>
          <w:color w:val="000000" w:themeColor="text1"/>
          <w14:textFill>
            <w14:solidFill>
              <w14:schemeClr w14:val="tx1"/>
            </w14:solidFill>
          </w14:textFill>
        </w:rPr>
        <w:t>污染物预测模拟参数</w:t>
      </w:r>
    </w:p>
    <w:p>
      <w:pPr>
        <w:tabs>
          <w:tab w:val="left" w:pos="7488"/>
        </w:tabs>
        <w:snapToGrid w:val="0"/>
        <w:spacing w:line="348" w:lineRule="auto"/>
        <w:ind w:left="465"/>
        <w:outlineLvl w:val="4"/>
        <w:rPr>
          <w:b/>
          <w:bCs/>
          <w:color w:val="000000" w:themeColor="text1"/>
          <w14:textFill>
            <w14:solidFill>
              <w14:schemeClr w14:val="tx1"/>
            </w14:solidFill>
          </w14:textFill>
        </w:rPr>
      </w:pPr>
      <w:r>
        <w:rPr>
          <w:b/>
          <w:bCs/>
          <w:color w:val="000000" w:themeColor="text1"/>
          <w14:textFill>
            <w14:solidFill>
              <w14:schemeClr w14:val="tx1"/>
            </w14:solidFill>
          </w14:textFill>
        </w:rPr>
        <w:t>一、预测因子及本底值</w:t>
      </w:r>
    </w:p>
    <w:p>
      <w:pPr>
        <w:pStyle w:val="283"/>
        <w:rPr>
          <w:color w:val="000000" w:themeColor="text1"/>
          <w:u w:val="single"/>
          <w14:textFill>
            <w14:solidFill>
              <w14:schemeClr w14:val="tx1"/>
            </w14:solidFill>
          </w14:textFill>
        </w:rPr>
      </w:pPr>
      <w:r>
        <w:rPr>
          <w:rFonts w:hint="eastAsia"/>
          <w:color w:val="000000" w:themeColor="text1"/>
          <w:u w:val="single"/>
          <w14:textFill>
            <w14:solidFill>
              <w14:schemeClr w14:val="tx1"/>
            </w14:solidFill>
          </w14:textFill>
        </w:rPr>
        <w:t>根据生态环境部海水水质监测信息公开系统近三年来公布的监测数据，本次预测主要根据现状海水水质情况的环境容余浓度和排污口排放主要污染控制因子考虑，分别选取COD、总磷、总氮、悬浮物作为本次预测因子（其中COD、总磷、总氮分别折算为COD</w:t>
      </w:r>
      <w:r>
        <w:rPr>
          <w:rFonts w:hint="eastAsia"/>
          <w:color w:val="000000" w:themeColor="text1"/>
          <w:u w:val="single"/>
          <w:vertAlign w:val="subscript"/>
          <w14:textFill>
            <w14:solidFill>
              <w14:schemeClr w14:val="tx1"/>
            </w14:solidFill>
          </w14:textFill>
        </w:rPr>
        <w:t>Mn</w:t>
      </w:r>
      <w:r>
        <w:rPr>
          <w:rFonts w:hint="eastAsia"/>
          <w:color w:val="000000" w:themeColor="text1"/>
          <w:u w:val="single"/>
          <w14:textFill>
            <w14:solidFill>
              <w14:schemeClr w14:val="tx1"/>
            </w14:solidFill>
          </w14:textFill>
        </w:rPr>
        <w:t>、活性磷酸盐、无机氮）。</w:t>
      </w:r>
    </w:p>
    <w:p>
      <w:pPr>
        <w:pStyle w:val="283"/>
        <w:rPr>
          <w:color w:val="000000" w:themeColor="text1"/>
          <w:u w:val="single"/>
          <w14:textFill>
            <w14:solidFill>
              <w14:schemeClr w14:val="tx1"/>
            </w14:solidFill>
          </w14:textFill>
        </w:rPr>
      </w:pPr>
      <w:r>
        <w:rPr>
          <w:rFonts w:hint="eastAsia"/>
          <w:color w:val="000000" w:themeColor="text1"/>
          <w:u w:val="single"/>
          <w14:textFill>
            <w14:solidFill>
              <w14:schemeClr w14:val="tx1"/>
            </w14:solidFill>
          </w14:textFill>
        </w:rPr>
        <w:t>根据海水监测信息公开表，考虑区域海水水质的季节变化存在较大的波动性，在排污口分析中采用2022年~202</w:t>
      </w:r>
      <w:r>
        <w:rPr>
          <w:color w:val="000000" w:themeColor="text1"/>
          <w:u w:val="single"/>
          <w14:textFill>
            <w14:solidFill>
              <w14:schemeClr w14:val="tx1"/>
            </w14:solidFill>
          </w14:textFill>
        </w:rPr>
        <w:t>4</w:t>
      </w:r>
      <w:r>
        <w:rPr>
          <w:rFonts w:hint="eastAsia"/>
          <w:color w:val="000000" w:themeColor="text1"/>
          <w:u w:val="single"/>
          <w14:textFill>
            <w14:solidFill>
              <w14:schemeClr w14:val="tx1"/>
            </w14:solidFill>
          </w14:textFill>
        </w:rPr>
        <w:t>年各期公布的监测数据的最大值作为预测背景值。站位选择海水信息公开监测中距离本项目排放口最近的GXN14002站位，该站位位于本项目及本次预测排污口南侧约3.9km。</w:t>
      </w:r>
    </w:p>
    <w:p>
      <w:pPr>
        <w:pStyle w:val="384"/>
        <w:ind w:left="0" w:firstLine="0"/>
        <w:jc w:val="right"/>
        <w:rPr>
          <w:rFonts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 xml:space="preserve">预测背景值                    </w:t>
      </w:r>
      <w:r>
        <w:rPr>
          <w:rFonts w:hint="eastAsia" w:cs="Times New Roman"/>
          <w:b w:val="0"/>
          <w:color w:val="000000" w:themeColor="text1"/>
          <w14:textFill>
            <w14:solidFill>
              <w14:schemeClr w14:val="tx1"/>
            </w14:solidFill>
          </w14:textFill>
        </w:rPr>
        <w:t>单位：mg/L</w:t>
      </w:r>
    </w:p>
    <w:tbl>
      <w:tblPr>
        <w:tblStyle w:val="88"/>
        <w:tblW w:w="8528" w:type="dxa"/>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1681"/>
        <w:gridCol w:w="1742"/>
        <w:gridCol w:w="1754"/>
        <w:gridCol w:w="1725"/>
        <w:gridCol w:w="1626"/>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c>
          <w:tcPr>
            <w:tcW w:w="1681" w:type="dxa"/>
            <w:tcBorders>
              <w:top w:val="single" w:color="auto" w:sz="12" w:space="0"/>
              <w:bottom w:val="single" w:color="auto" w:sz="6" w:space="0"/>
              <w:tl2br w:val="single" w:color="auto" w:sz="4" w:space="0"/>
            </w:tcBorders>
            <w:shd w:val="clear" w:color="auto" w:fill="auto"/>
            <w:vAlign w:val="center"/>
          </w:tcPr>
          <w:p>
            <w:pPr>
              <w:pStyle w:val="2001"/>
              <w:jc w:val="right"/>
              <w:rPr>
                <w:u w:val="single"/>
              </w:rPr>
            </w:pPr>
            <w:r>
              <w:rPr>
                <w:u w:val="single"/>
              </w:rPr>
              <w:t>污染因子</w:t>
            </w:r>
          </w:p>
          <w:p>
            <w:pPr>
              <w:pStyle w:val="2001"/>
              <w:jc w:val="left"/>
              <w:rPr>
                <w:u w:val="single"/>
              </w:rPr>
            </w:pPr>
            <w:r>
              <w:rPr>
                <w:u w:val="single"/>
              </w:rPr>
              <w:t>监测时间</w:t>
            </w:r>
          </w:p>
        </w:tc>
        <w:tc>
          <w:tcPr>
            <w:tcW w:w="1742" w:type="dxa"/>
            <w:shd w:val="clear" w:color="auto" w:fill="auto"/>
            <w:vAlign w:val="center"/>
          </w:tcPr>
          <w:p>
            <w:pPr>
              <w:pStyle w:val="2001"/>
              <w:rPr>
                <w:u w:val="single"/>
              </w:rPr>
            </w:pPr>
            <w:r>
              <w:rPr>
                <w:u w:val="single"/>
              </w:rPr>
              <w:t>COD</w:t>
            </w:r>
          </w:p>
        </w:tc>
        <w:tc>
          <w:tcPr>
            <w:tcW w:w="1754" w:type="dxa"/>
            <w:shd w:val="clear" w:color="auto" w:fill="auto"/>
            <w:vAlign w:val="center"/>
          </w:tcPr>
          <w:p>
            <w:pPr>
              <w:pStyle w:val="2001"/>
              <w:rPr>
                <w:u w:val="single"/>
              </w:rPr>
            </w:pPr>
            <w:r>
              <w:rPr>
                <w:u w:val="single"/>
              </w:rPr>
              <w:t>活性磷酸盐</w:t>
            </w:r>
          </w:p>
        </w:tc>
        <w:tc>
          <w:tcPr>
            <w:tcW w:w="1725" w:type="dxa"/>
            <w:shd w:val="clear" w:color="auto" w:fill="auto"/>
            <w:vAlign w:val="center"/>
          </w:tcPr>
          <w:p>
            <w:pPr>
              <w:pStyle w:val="2001"/>
              <w:rPr>
                <w:u w:val="single"/>
              </w:rPr>
            </w:pPr>
            <w:r>
              <w:rPr>
                <w:u w:val="single"/>
              </w:rPr>
              <w:t>无机氮</w:t>
            </w:r>
          </w:p>
        </w:tc>
        <w:tc>
          <w:tcPr>
            <w:tcW w:w="1626" w:type="dxa"/>
            <w:vAlign w:val="center"/>
          </w:tcPr>
          <w:p>
            <w:pPr>
              <w:pStyle w:val="2001"/>
              <w:rPr>
                <w:u w:val="single"/>
              </w:rPr>
            </w:pPr>
            <w:r>
              <w:rPr>
                <w:rFonts w:hint="eastAsia"/>
                <w:u w:val="single"/>
              </w:rPr>
              <w:t>SS</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c>
          <w:tcPr>
            <w:tcW w:w="1681" w:type="dxa"/>
            <w:shd w:val="clear" w:color="auto" w:fill="auto"/>
            <w:vAlign w:val="center"/>
          </w:tcPr>
          <w:p>
            <w:pPr>
              <w:pStyle w:val="2001"/>
              <w:rPr>
                <w:u w:val="single"/>
              </w:rPr>
            </w:pPr>
            <w:r>
              <w:rPr>
                <w:u w:val="single"/>
              </w:rPr>
              <w:t>背景值</w:t>
            </w:r>
          </w:p>
        </w:tc>
        <w:tc>
          <w:tcPr>
            <w:tcW w:w="1742" w:type="dxa"/>
            <w:shd w:val="clear" w:color="auto" w:fill="auto"/>
            <w:vAlign w:val="center"/>
          </w:tcPr>
          <w:p>
            <w:pPr>
              <w:pStyle w:val="2001"/>
              <w:rPr>
                <w:u w:val="single"/>
              </w:rPr>
            </w:pPr>
            <w:r>
              <w:rPr>
                <w:u w:val="single"/>
              </w:rPr>
              <w:t>1.67</w:t>
            </w:r>
          </w:p>
        </w:tc>
        <w:tc>
          <w:tcPr>
            <w:tcW w:w="1754" w:type="dxa"/>
            <w:shd w:val="clear" w:color="auto" w:fill="auto"/>
            <w:vAlign w:val="center"/>
          </w:tcPr>
          <w:p>
            <w:pPr>
              <w:pStyle w:val="2001"/>
              <w:rPr>
                <w:u w:val="single"/>
              </w:rPr>
            </w:pPr>
            <w:r>
              <w:rPr>
                <w:rFonts w:hint="eastAsia"/>
                <w:u w:val="single"/>
              </w:rPr>
              <w:t>0.0</w:t>
            </w:r>
            <w:r>
              <w:rPr>
                <w:u w:val="single"/>
              </w:rPr>
              <w:t>28</w:t>
            </w:r>
          </w:p>
        </w:tc>
        <w:tc>
          <w:tcPr>
            <w:tcW w:w="1725" w:type="dxa"/>
            <w:shd w:val="clear" w:color="auto" w:fill="auto"/>
            <w:vAlign w:val="center"/>
          </w:tcPr>
          <w:p>
            <w:pPr>
              <w:pStyle w:val="2001"/>
              <w:rPr>
                <w:u w:val="single"/>
              </w:rPr>
            </w:pPr>
            <w:r>
              <w:rPr>
                <w:u w:val="single"/>
              </w:rPr>
              <w:t>0.294</w:t>
            </w:r>
          </w:p>
        </w:tc>
        <w:tc>
          <w:tcPr>
            <w:tcW w:w="1626" w:type="dxa"/>
          </w:tcPr>
          <w:p>
            <w:pPr>
              <w:pStyle w:val="2001"/>
              <w:rPr>
                <w:u w:val="single"/>
              </w:rPr>
            </w:pPr>
            <w:r>
              <w:rPr>
                <w:rFonts w:hint="eastAsia"/>
                <w:u w:val="single"/>
              </w:rPr>
              <w:t>-</w:t>
            </w:r>
          </w:p>
        </w:tc>
      </w:tr>
    </w:tbl>
    <w:p>
      <w:pPr>
        <w:tabs>
          <w:tab w:val="left" w:pos="7488"/>
        </w:tabs>
        <w:snapToGrid w:val="0"/>
        <w:spacing w:line="348" w:lineRule="auto"/>
        <w:ind w:left="465"/>
        <w:outlineLvl w:val="4"/>
        <w:rPr>
          <w:b/>
          <w:bCs/>
          <w:color w:val="000000" w:themeColor="text1"/>
          <w14:textFill>
            <w14:solidFill>
              <w14:schemeClr w14:val="tx1"/>
            </w14:solidFill>
          </w14:textFill>
        </w:rPr>
      </w:pPr>
      <w:r>
        <w:rPr>
          <w:rFonts w:hint="eastAsia"/>
          <w:b/>
          <w:bCs/>
          <w:color w:val="000000" w:themeColor="text1"/>
          <w14:textFill>
            <w14:solidFill>
              <w14:schemeClr w14:val="tx1"/>
            </w14:solidFill>
          </w14:textFill>
        </w:rPr>
        <w:t>二</w:t>
      </w:r>
      <w:r>
        <w:rPr>
          <w:b/>
          <w:bCs/>
          <w:color w:val="000000" w:themeColor="text1"/>
          <w14:textFill>
            <w14:solidFill>
              <w14:schemeClr w14:val="tx1"/>
            </w14:solidFill>
          </w14:textFill>
        </w:rPr>
        <w:t>、排污口污染物排放源强</w:t>
      </w:r>
    </w:p>
    <w:p>
      <w:pPr>
        <w:pStyle w:val="283"/>
        <w:rPr>
          <w:color w:val="000000" w:themeColor="text1"/>
          <w:u w:val="single"/>
          <w14:textFill>
            <w14:solidFill>
              <w14:schemeClr w14:val="tx1"/>
            </w14:solidFill>
          </w14:textFill>
        </w:rPr>
      </w:pPr>
      <w:r>
        <w:rPr>
          <w:rFonts w:hint="eastAsia"/>
          <w:color w:val="000000" w:themeColor="text1"/>
          <w:u w:val="single"/>
          <w14:textFill>
            <w14:solidFill>
              <w14:schemeClr w14:val="tx1"/>
            </w14:solidFill>
          </w14:textFill>
        </w:rPr>
        <w:t>根据广西金桂浆纸业有限公司、钦州大榄坪污水处理厂2023年、2022年排污单位在钦州市生态环境局系统填报的自行监测情况，结合表3.3-62，规划接入广西金桂浆纸业有限公司排污口的新增排放量为0.0075m</w:t>
      </w:r>
      <w:r>
        <w:rPr>
          <w:rFonts w:hint="eastAsia"/>
          <w:color w:val="000000" w:themeColor="text1"/>
          <w:u w:val="single"/>
          <w:vertAlign w:val="superscript"/>
          <w14:textFill>
            <w14:solidFill>
              <w14:schemeClr w14:val="tx1"/>
            </w14:solidFill>
          </w14:textFill>
        </w:rPr>
        <w:t>3</w:t>
      </w:r>
      <w:r>
        <w:rPr>
          <w:rFonts w:hint="eastAsia"/>
          <w:color w:val="000000" w:themeColor="text1"/>
          <w:u w:val="single"/>
          <w14:textFill>
            <w14:solidFill>
              <w14:schemeClr w14:val="tx1"/>
            </w14:solidFill>
          </w14:textFill>
        </w:rPr>
        <w:t>/s，规划接入大榄坪污水处理厂排污口的新增排放量为</w:t>
      </w:r>
      <w:r>
        <w:rPr>
          <w:color w:val="000000" w:themeColor="text1"/>
          <w:u w:val="single"/>
          <w14:textFill>
            <w14:solidFill>
              <w14:schemeClr w14:val="tx1"/>
            </w14:solidFill>
          </w14:textFill>
        </w:rPr>
        <w:t>0.0553</w:t>
      </w:r>
      <w:r>
        <w:rPr>
          <w:rFonts w:hint="eastAsia"/>
          <w:color w:val="000000" w:themeColor="text1"/>
          <w:u w:val="single"/>
          <w14:textFill>
            <w14:solidFill>
              <w14:schemeClr w14:val="tx1"/>
            </w14:solidFill>
          </w14:textFill>
        </w:rPr>
        <w:t>m</w:t>
      </w:r>
      <w:r>
        <w:rPr>
          <w:rFonts w:hint="eastAsia"/>
          <w:color w:val="000000" w:themeColor="text1"/>
          <w:u w:val="single"/>
          <w:vertAlign w:val="superscript"/>
          <w14:textFill>
            <w14:solidFill>
              <w14:schemeClr w14:val="tx1"/>
            </w14:solidFill>
          </w14:textFill>
        </w:rPr>
        <w:t>3</w:t>
      </w:r>
      <w:r>
        <w:rPr>
          <w:rFonts w:hint="eastAsia"/>
          <w:color w:val="000000" w:themeColor="text1"/>
          <w:u w:val="single"/>
          <w14:textFill>
            <w14:solidFill>
              <w14:schemeClr w14:val="tx1"/>
            </w14:solidFill>
          </w14:textFill>
        </w:rPr>
        <w:t>/s；本次预测按照现有实际排放浓度平均值与规划接入两处排污口污染物允许排放浓度的混合浓度作为源强进行预测。</w:t>
      </w:r>
    </w:p>
    <w:p>
      <w:pPr>
        <w:pStyle w:val="283"/>
        <w:rPr>
          <w:color w:val="000000" w:themeColor="text1"/>
          <w:lang w:bidi="zh-CN"/>
          <w14:textFill>
            <w14:solidFill>
              <w14:schemeClr w14:val="tx1"/>
            </w14:solidFill>
          </w14:textFill>
        </w:rPr>
      </w:pPr>
      <w:r>
        <w:rPr>
          <w:rFonts w:hint="eastAsia"/>
          <w:color w:val="000000" w:themeColor="text1"/>
          <w:u w:val="single"/>
          <w14:textFill>
            <w14:solidFill>
              <w14:schemeClr w14:val="tx1"/>
            </w14:solidFill>
          </w14:textFill>
        </w:rPr>
        <w:t>由于污染物排放给出的污染物因子与海水水质污染因子存在差异性，本次预测根据实际情况和相关文献对污染物因子进行转化。其中污染物排放源强估算时以COD</w:t>
      </w:r>
      <w:r>
        <w:rPr>
          <w:rFonts w:hint="eastAsia"/>
          <w:color w:val="000000" w:themeColor="text1"/>
          <w:u w:val="single"/>
          <w:vertAlign w:val="subscript"/>
          <w14:textFill>
            <w14:solidFill>
              <w14:schemeClr w14:val="tx1"/>
            </w14:solidFill>
          </w14:textFill>
        </w:rPr>
        <w:t>Cr</w:t>
      </w:r>
      <w:r>
        <w:rPr>
          <w:rFonts w:hint="eastAsia"/>
          <w:color w:val="000000" w:themeColor="text1"/>
          <w:u w:val="single"/>
          <w14:textFill>
            <w14:solidFill>
              <w14:schemeClr w14:val="tx1"/>
            </w14:solidFill>
          </w14:textFill>
        </w:rPr>
        <w:t>计算，而海水水质以高锰酸盐指数（COD</w:t>
      </w:r>
      <w:r>
        <w:rPr>
          <w:rFonts w:hint="eastAsia"/>
          <w:color w:val="000000" w:themeColor="text1"/>
          <w:u w:val="single"/>
          <w:vertAlign w:val="subscript"/>
          <w14:textFill>
            <w14:solidFill>
              <w14:schemeClr w14:val="tx1"/>
            </w14:solidFill>
          </w14:textFill>
        </w:rPr>
        <w:t>Mn</w:t>
      </w:r>
      <w:r>
        <w:rPr>
          <w:rFonts w:hint="eastAsia"/>
          <w:color w:val="000000" w:themeColor="text1"/>
          <w:u w:val="single"/>
          <w14:textFill>
            <w14:solidFill>
              <w14:schemeClr w14:val="tx1"/>
            </w14:solidFill>
          </w14:textFill>
        </w:rPr>
        <w:t>）计，根据文献《污染物在海洋中的迁移转化及其在海湾环境容量研究中的应用》，COD</w:t>
      </w:r>
      <w:r>
        <w:rPr>
          <w:rFonts w:hint="eastAsia"/>
          <w:color w:val="000000" w:themeColor="text1"/>
          <w:u w:val="single"/>
          <w:vertAlign w:val="subscript"/>
          <w14:textFill>
            <w14:solidFill>
              <w14:schemeClr w14:val="tx1"/>
            </w14:solidFill>
          </w14:textFill>
        </w:rPr>
        <w:t>Cr</w:t>
      </w:r>
      <w:r>
        <w:rPr>
          <w:rFonts w:hint="eastAsia"/>
          <w:color w:val="000000" w:themeColor="text1"/>
          <w:u w:val="single"/>
          <w14:textFill>
            <w14:solidFill>
              <w14:schemeClr w14:val="tx1"/>
            </w14:solidFill>
          </w14:textFill>
        </w:rPr>
        <w:t>：COD</w:t>
      </w:r>
      <w:r>
        <w:rPr>
          <w:rFonts w:hint="eastAsia"/>
          <w:color w:val="000000" w:themeColor="text1"/>
          <w:u w:val="single"/>
          <w:vertAlign w:val="subscript"/>
          <w14:textFill>
            <w14:solidFill>
              <w14:schemeClr w14:val="tx1"/>
            </w14:solidFill>
          </w14:textFill>
        </w:rPr>
        <w:t>Mn</w:t>
      </w:r>
      <w:r>
        <w:rPr>
          <w:rFonts w:hint="eastAsia"/>
          <w:color w:val="000000" w:themeColor="text1"/>
          <w:u w:val="single"/>
          <w14:textFill>
            <w14:solidFill>
              <w14:schemeClr w14:val="tx1"/>
            </w14:solidFill>
          </w14:textFill>
        </w:rPr>
        <w:t>取2.5:1；总磷和</w:t>
      </w:r>
      <w:r>
        <w:rPr>
          <w:color w:val="000000" w:themeColor="text1"/>
          <w:u w:val="single"/>
          <w14:textFill>
            <w14:solidFill>
              <w14:schemeClr w14:val="tx1"/>
            </w14:solidFill>
          </w14:textFill>
        </w:rPr>
        <w:t>活性磷酸盐</w:t>
      </w:r>
      <w:r>
        <w:rPr>
          <w:rFonts w:hint="eastAsia"/>
          <w:color w:val="000000" w:themeColor="text1"/>
          <w:u w:val="single"/>
          <w14:textFill>
            <w14:solidFill>
              <w14:schemeClr w14:val="tx1"/>
            </w14:solidFill>
          </w14:textFill>
        </w:rPr>
        <w:t>折算系数参考《钦州港三墩二期扩区对海洋环境容量影响数学模型研究》（2017年），以2015年入海通量值作为依据，取</w:t>
      </w:r>
      <w:r>
        <w:rPr>
          <w:rFonts w:hint="eastAsia"/>
          <w:color w:val="000000" w:themeColor="text1"/>
          <w:u w:val="single"/>
          <w:lang w:eastAsia="zh-CN"/>
          <w14:textFill>
            <w14:solidFill>
              <w14:schemeClr w14:val="tx1"/>
            </w14:solidFill>
          </w14:textFill>
        </w:rPr>
        <w:t>生态环境局</w:t>
      </w:r>
      <w:r>
        <w:rPr>
          <w:rFonts w:hint="eastAsia"/>
          <w:color w:val="000000" w:themeColor="text1"/>
          <w:u w:val="single"/>
          <w14:textFill>
            <w14:solidFill>
              <w14:schemeClr w14:val="tx1"/>
            </w14:solidFill>
          </w14:textFill>
        </w:rPr>
        <w:t>提供的近三年所有排污废水中的比值及海域水质监测值的平均比值0.444进行转换；总氮则按全部转化为无机氮计算。</w:t>
      </w:r>
    </w:p>
    <w:p>
      <w:pPr>
        <w:pStyle w:val="283"/>
        <w:rPr>
          <w:color w:val="000000" w:themeColor="text1"/>
          <w14:textFill>
            <w14:solidFill>
              <w14:schemeClr w14:val="tx1"/>
            </w14:solidFill>
          </w14:textFill>
        </w:rPr>
      </w:pPr>
      <w:r>
        <w:rPr>
          <w:rFonts w:hint="eastAsia"/>
          <w:color w:val="000000" w:themeColor="text1"/>
          <w14:textFill>
            <w14:solidFill>
              <w14:schemeClr w14:val="tx1"/>
            </w14:solidFill>
          </w14:textFill>
        </w:rPr>
        <w:t>浓度源强见下表4.1-3、表4.1-4。</w:t>
      </w:r>
    </w:p>
    <w:p>
      <w:pPr>
        <w:pStyle w:val="384"/>
        <w:ind w:left="0" w:firstLine="0"/>
        <w:rPr>
          <w:rFonts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广西金桂浆纸业污染物排放浓度及预测源强</w:t>
      </w:r>
    </w:p>
    <w:p>
      <w:pPr>
        <w:pStyle w:val="384"/>
        <w:ind w:left="0" w:firstLine="0"/>
        <w:rPr>
          <w:rFonts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大榄坪污水处理厂污染物排放浓度及预测源强</w:t>
      </w:r>
    </w:p>
    <w:p>
      <w:pPr>
        <w:tabs>
          <w:tab w:val="left" w:pos="7488"/>
        </w:tabs>
        <w:snapToGrid w:val="0"/>
        <w:spacing w:line="348" w:lineRule="auto"/>
        <w:ind w:left="465"/>
        <w:outlineLvl w:val="4"/>
        <w:rPr>
          <w:b/>
          <w:bCs/>
          <w:color w:val="000000" w:themeColor="text1"/>
          <w14:textFill>
            <w14:solidFill>
              <w14:schemeClr w14:val="tx1"/>
            </w14:solidFill>
          </w14:textFill>
        </w:rPr>
      </w:pPr>
      <w:r>
        <w:rPr>
          <w:rFonts w:hint="eastAsia"/>
          <w:b/>
          <w:bCs/>
          <w:color w:val="000000" w:themeColor="text1"/>
          <w14:textFill>
            <w14:solidFill>
              <w14:schemeClr w14:val="tx1"/>
            </w14:solidFill>
          </w14:textFill>
        </w:rPr>
        <w:t>三、模拟时间</w:t>
      </w:r>
    </w:p>
    <w:p>
      <w:pPr>
        <w:pStyle w:val="283"/>
        <w:rPr>
          <w:color w:val="000000" w:themeColor="text1"/>
          <w14:textFill>
            <w14:solidFill>
              <w14:schemeClr w14:val="tx1"/>
            </w14:solidFill>
          </w14:textFill>
        </w:rPr>
      </w:pPr>
      <w:r>
        <w:rPr>
          <w:rFonts w:hint="eastAsia"/>
          <w:color w:val="000000" w:themeColor="text1"/>
          <w14:textFill>
            <w14:solidFill>
              <w14:schemeClr w14:val="tx1"/>
            </w14:solidFill>
          </w14:textFill>
        </w:rPr>
        <w:t>相关研究表明，经排污口排放的废水污染因子（保守物质）在海水中浓度并不随时间的增加而增加，而是在一定时间的水体交换作用下趋于稳定，确定正常状态下污染物的模拟时间为一年。</w:t>
      </w:r>
    </w:p>
    <w:p>
      <w:pPr>
        <w:tabs>
          <w:tab w:val="left" w:pos="7488"/>
        </w:tabs>
        <w:snapToGrid w:val="0"/>
        <w:spacing w:line="348" w:lineRule="auto"/>
        <w:ind w:left="465"/>
        <w:outlineLvl w:val="4"/>
        <w:rPr>
          <w:b/>
          <w:bCs/>
          <w:color w:val="000000" w:themeColor="text1"/>
          <w14:textFill>
            <w14:solidFill>
              <w14:schemeClr w14:val="tx1"/>
            </w14:solidFill>
          </w14:textFill>
        </w:rPr>
      </w:pPr>
      <w:r>
        <w:rPr>
          <w:rFonts w:hint="eastAsia"/>
          <w:b/>
          <w:bCs/>
          <w:color w:val="000000" w:themeColor="text1"/>
          <w14:textFill>
            <w14:solidFill>
              <w14:schemeClr w14:val="tx1"/>
            </w14:solidFill>
          </w14:textFill>
        </w:rPr>
        <w:t>四、预测情景汇总</w:t>
      </w:r>
    </w:p>
    <w:p>
      <w:pPr>
        <w:pStyle w:val="384"/>
        <w:ind w:left="0" w:firstLine="0"/>
        <w:rPr>
          <w:rFonts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排污口预测情景汇总表</w:t>
      </w:r>
    </w:p>
    <w:tbl>
      <w:tblPr>
        <w:tblStyle w:val="88"/>
        <w:tblW w:w="8342" w:type="dxa"/>
        <w:jc w:val="center"/>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462"/>
        <w:gridCol w:w="2708"/>
        <w:gridCol w:w="2226"/>
        <w:gridCol w:w="784"/>
        <w:gridCol w:w="569"/>
        <w:gridCol w:w="1593"/>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227" w:hRule="atLeast"/>
          <w:jc w:val="center"/>
        </w:trPr>
        <w:tc>
          <w:tcPr>
            <w:tcW w:w="462" w:type="dxa"/>
            <w:tcMar>
              <w:left w:w="0" w:type="dxa"/>
              <w:right w:w="0" w:type="dxa"/>
            </w:tcMar>
            <w:vAlign w:val="center"/>
          </w:tcPr>
          <w:p>
            <w:pPr>
              <w:spacing w:line="280" w:lineRule="exact"/>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序号</w:t>
            </w:r>
          </w:p>
        </w:tc>
        <w:tc>
          <w:tcPr>
            <w:tcW w:w="2708" w:type="dxa"/>
            <w:shd w:val="clear" w:color="auto" w:fill="auto"/>
            <w:tcMar>
              <w:left w:w="0" w:type="dxa"/>
              <w:right w:w="0" w:type="dxa"/>
            </w:tcMar>
            <w:vAlign w:val="center"/>
          </w:tcPr>
          <w:p>
            <w:pPr>
              <w:spacing w:line="280" w:lineRule="exact"/>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预测</w:t>
            </w:r>
            <w:r>
              <w:rPr>
                <w:rFonts w:hint="eastAsia"/>
                <w:color w:val="000000" w:themeColor="text1"/>
                <w:sz w:val="21"/>
                <w:szCs w:val="21"/>
                <w14:textFill>
                  <w14:solidFill>
                    <w14:schemeClr w14:val="tx1"/>
                  </w14:solidFill>
                </w14:textFill>
              </w:rPr>
              <w:t>情景</w:t>
            </w:r>
          </w:p>
        </w:tc>
        <w:tc>
          <w:tcPr>
            <w:tcW w:w="2226" w:type="dxa"/>
            <w:tcMar>
              <w:left w:w="0" w:type="dxa"/>
              <w:right w:w="0" w:type="dxa"/>
            </w:tcMar>
            <w:vAlign w:val="center"/>
          </w:tcPr>
          <w:p>
            <w:pPr>
              <w:spacing w:line="280" w:lineRule="exact"/>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源强说明</w:t>
            </w:r>
          </w:p>
        </w:tc>
        <w:tc>
          <w:tcPr>
            <w:tcW w:w="784" w:type="dxa"/>
            <w:shd w:val="clear" w:color="auto" w:fill="auto"/>
            <w:tcMar>
              <w:left w:w="0" w:type="dxa"/>
              <w:right w:w="0" w:type="dxa"/>
            </w:tcMar>
            <w:vAlign w:val="center"/>
          </w:tcPr>
          <w:p>
            <w:pPr>
              <w:spacing w:line="280" w:lineRule="exact"/>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岸形</w:t>
            </w:r>
          </w:p>
          <w:p>
            <w:pPr>
              <w:spacing w:line="280" w:lineRule="exact"/>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设置</w:t>
            </w:r>
          </w:p>
        </w:tc>
        <w:tc>
          <w:tcPr>
            <w:tcW w:w="569" w:type="dxa"/>
            <w:tcMar>
              <w:left w:w="0" w:type="dxa"/>
              <w:right w:w="0" w:type="dxa"/>
            </w:tcMar>
            <w:vAlign w:val="center"/>
          </w:tcPr>
          <w:p>
            <w:pPr>
              <w:spacing w:line="280" w:lineRule="exact"/>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模拟时间</w:t>
            </w:r>
          </w:p>
        </w:tc>
        <w:tc>
          <w:tcPr>
            <w:tcW w:w="1593" w:type="dxa"/>
            <w:shd w:val="clear" w:color="auto" w:fill="auto"/>
            <w:tcMar>
              <w:left w:w="0" w:type="dxa"/>
              <w:right w:w="0" w:type="dxa"/>
            </w:tcMar>
            <w:vAlign w:val="center"/>
          </w:tcPr>
          <w:p>
            <w:pPr>
              <w:spacing w:line="280" w:lineRule="exact"/>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预测</w:t>
            </w:r>
            <w:r>
              <w:rPr>
                <w:color w:val="000000" w:themeColor="text1"/>
                <w:sz w:val="21"/>
                <w:szCs w:val="21"/>
                <w14:textFill>
                  <w14:solidFill>
                    <w14:schemeClr w14:val="tx1"/>
                  </w14:solidFill>
                </w14:textFill>
              </w:rPr>
              <w:t>因子</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227" w:hRule="atLeast"/>
          <w:jc w:val="center"/>
        </w:trPr>
        <w:tc>
          <w:tcPr>
            <w:tcW w:w="462" w:type="dxa"/>
            <w:tcMar>
              <w:left w:w="0" w:type="dxa"/>
              <w:right w:w="0" w:type="dxa"/>
            </w:tcMar>
            <w:vAlign w:val="center"/>
          </w:tcPr>
          <w:p>
            <w:pPr>
              <w:spacing w:line="280" w:lineRule="exact"/>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1</w:t>
            </w:r>
          </w:p>
        </w:tc>
        <w:tc>
          <w:tcPr>
            <w:tcW w:w="2708" w:type="dxa"/>
            <w:shd w:val="clear" w:color="auto" w:fill="auto"/>
            <w:tcMar>
              <w:left w:w="0" w:type="dxa"/>
              <w:right w:w="0" w:type="dxa"/>
            </w:tcMar>
            <w:vAlign w:val="center"/>
          </w:tcPr>
          <w:p>
            <w:pPr>
              <w:spacing w:line="280" w:lineRule="exact"/>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9号10号泊位扩建后，广西金桂浆纸业有限公司排污口、大榄坪污水处理厂排污口现有位置</w:t>
            </w:r>
          </w:p>
        </w:tc>
        <w:tc>
          <w:tcPr>
            <w:tcW w:w="2226" w:type="dxa"/>
            <w:tcMar>
              <w:left w:w="0" w:type="dxa"/>
              <w:right w:w="0" w:type="dxa"/>
            </w:tcMar>
            <w:vAlign w:val="center"/>
          </w:tcPr>
          <w:p>
            <w:pPr>
              <w:spacing w:line="280" w:lineRule="exact"/>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两处排污口按照现状及规划排入污水总量排放，污染物排放浓度按表4.1</w:t>
            </w:r>
            <w:r>
              <w:rPr>
                <w:color w:val="000000" w:themeColor="text1"/>
                <w:sz w:val="21"/>
                <w:szCs w:val="21"/>
                <w14:textFill>
                  <w14:solidFill>
                    <w14:schemeClr w14:val="tx1"/>
                  </w14:solidFill>
                </w14:textFill>
              </w:rPr>
              <w:t>-3</w:t>
            </w:r>
          </w:p>
        </w:tc>
        <w:tc>
          <w:tcPr>
            <w:tcW w:w="784" w:type="dxa"/>
            <w:shd w:val="clear" w:color="auto" w:fill="auto"/>
            <w:tcMar>
              <w:left w:w="0" w:type="dxa"/>
              <w:right w:w="0" w:type="dxa"/>
            </w:tcMar>
            <w:vAlign w:val="center"/>
          </w:tcPr>
          <w:p>
            <w:pPr>
              <w:spacing w:line="280" w:lineRule="exact"/>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与扩建后岸线一致</w:t>
            </w:r>
          </w:p>
        </w:tc>
        <w:tc>
          <w:tcPr>
            <w:tcW w:w="569" w:type="dxa"/>
            <w:tcMar>
              <w:left w:w="0" w:type="dxa"/>
              <w:right w:w="0" w:type="dxa"/>
            </w:tcMar>
            <w:vAlign w:val="center"/>
          </w:tcPr>
          <w:p>
            <w:pPr>
              <w:spacing w:line="280" w:lineRule="exact"/>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一年</w:t>
            </w:r>
          </w:p>
        </w:tc>
        <w:tc>
          <w:tcPr>
            <w:tcW w:w="1593" w:type="dxa"/>
            <w:shd w:val="clear" w:color="auto" w:fill="auto"/>
            <w:tcMar>
              <w:left w:w="0" w:type="dxa"/>
              <w:right w:w="0" w:type="dxa"/>
            </w:tcMar>
            <w:vAlign w:val="center"/>
          </w:tcPr>
          <w:p>
            <w:pPr>
              <w:spacing w:line="280" w:lineRule="exact"/>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COD</w:t>
            </w:r>
            <w:r>
              <w:rPr>
                <w:color w:val="000000" w:themeColor="text1"/>
                <w:sz w:val="21"/>
                <w:szCs w:val="21"/>
                <w:vertAlign w:val="subscript"/>
                <w14:textFill>
                  <w14:solidFill>
                    <w14:schemeClr w14:val="tx1"/>
                  </w14:solidFill>
                </w14:textFill>
              </w:rPr>
              <w:t>Mn</w:t>
            </w:r>
            <w:r>
              <w:rPr>
                <w:rFonts w:hint="eastAsia"/>
                <w:color w:val="000000" w:themeColor="text1"/>
                <w:sz w:val="21"/>
                <w:szCs w:val="21"/>
                <w14:textFill>
                  <w14:solidFill>
                    <w14:schemeClr w14:val="tx1"/>
                  </w14:solidFill>
                </w14:textFill>
              </w:rPr>
              <w:t>、活性磷酸盐、无机氮、SS</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227" w:hRule="atLeast"/>
          <w:jc w:val="center"/>
        </w:trPr>
        <w:tc>
          <w:tcPr>
            <w:tcW w:w="462" w:type="dxa"/>
            <w:tcMar>
              <w:left w:w="0" w:type="dxa"/>
              <w:right w:w="0" w:type="dxa"/>
            </w:tcMar>
            <w:vAlign w:val="center"/>
          </w:tcPr>
          <w:p>
            <w:pPr>
              <w:spacing w:line="280" w:lineRule="exact"/>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2</w:t>
            </w:r>
          </w:p>
        </w:tc>
        <w:tc>
          <w:tcPr>
            <w:tcW w:w="2708" w:type="dxa"/>
            <w:shd w:val="clear" w:color="auto" w:fill="auto"/>
            <w:tcMar>
              <w:left w:w="0" w:type="dxa"/>
              <w:right w:w="0" w:type="dxa"/>
            </w:tcMar>
            <w:vAlign w:val="center"/>
          </w:tcPr>
          <w:p>
            <w:pPr>
              <w:spacing w:line="280" w:lineRule="exact"/>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9号10号泊位扩建后，广西金桂浆纸业有限公司排污口、大榄坪污水处理厂排污口拟迁改位置</w:t>
            </w:r>
          </w:p>
        </w:tc>
        <w:tc>
          <w:tcPr>
            <w:tcW w:w="2226" w:type="dxa"/>
            <w:tcMar>
              <w:left w:w="0" w:type="dxa"/>
              <w:right w:w="0" w:type="dxa"/>
            </w:tcMar>
            <w:vAlign w:val="center"/>
          </w:tcPr>
          <w:p>
            <w:pPr>
              <w:spacing w:line="280" w:lineRule="exact"/>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两处排污口按照现状及规划排入污水总量排放，污染物排放浓度按表4.1</w:t>
            </w:r>
            <w:r>
              <w:rPr>
                <w:color w:val="000000" w:themeColor="text1"/>
                <w:sz w:val="21"/>
                <w:szCs w:val="21"/>
                <w14:textFill>
                  <w14:solidFill>
                    <w14:schemeClr w14:val="tx1"/>
                  </w14:solidFill>
                </w14:textFill>
              </w:rPr>
              <w:t>-3</w:t>
            </w:r>
          </w:p>
        </w:tc>
        <w:tc>
          <w:tcPr>
            <w:tcW w:w="784" w:type="dxa"/>
            <w:shd w:val="clear" w:color="auto" w:fill="auto"/>
            <w:tcMar>
              <w:left w:w="0" w:type="dxa"/>
              <w:right w:w="0" w:type="dxa"/>
            </w:tcMar>
            <w:vAlign w:val="center"/>
          </w:tcPr>
          <w:p>
            <w:pPr>
              <w:spacing w:line="280" w:lineRule="exact"/>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与扩建后岸线一致</w:t>
            </w:r>
          </w:p>
        </w:tc>
        <w:tc>
          <w:tcPr>
            <w:tcW w:w="569" w:type="dxa"/>
            <w:tcMar>
              <w:left w:w="0" w:type="dxa"/>
              <w:right w:w="0" w:type="dxa"/>
            </w:tcMar>
            <w:vAlign w:val="center"/>
          </w:tcPr>
          <w:p>
            <w:pPr>
              <w:spacing w:line="280" w:lineRule="exact"/>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一年</w:t>
            </w:r>
          </w:p>
        </w:tc>
        <w:tc>
          <w:tcPr>
            <w:tcW w:w="1593" w:type="dxa"/>
            <w:shd w:val="clear" w:color="auto" w:fill="auto"/>
            <w:tcMar>
              <w:left w:w="0" w:type="dxa"/>
              <w:right w:w="0" w:type="dxa"/>
            </w:tcMar>
            <w:vAlign w:val="center"/>
          </w:tcPr>
          <w:p>
            <w:pPr>
              <w:spacing w:line="280" w:lineRule="exact"/>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COD</w:t>
            </w:r>
            <w:r>
              <w:rPr>
                <w:color w:val="000000" w:themeColor="text1"/>
                <w:sz w:val="21"/>
                <w:szCs w:val="21"/>
                <w:vertAlign w:val="subscript"/>
                <w14:textFill>
                  <w14:solidFill>
                    <w14:schemeClr w14:val="tx1"/>
                  </w14:solidFill>
                </w14:textFill>
              </w:rPr>
              <w:t>Mn</w:t>
            </w:r>
            <w:r>
              <w:rPr>
                <w:rFonts w:hint="eastAsia"/>
                <w:color w:val="000000" w:themeColor="text1"/>
                <w:sz w:val="21"/>
                <w:szCs w:val="21"/>
                <w14:textFill>
                  <w14:solidFill>
                    <w14:schemeClr w14:val="tx1"/>
                  </w14:solidFill>
                </w14:textFill>
              </w:rPr>
              <w:t>、活性磷酸盐、无机氮、SS</w:t>
            </w:r>
          </w:p>
        </w:tc>
      </w:tr>
    </w:tbl>
    <w:p>
      <w:pPr>
        <w:pStyle w:val="6"/>
        <w:rPr>
          <w:color w:val="000000" w:themeColor="text1"/>
          <w14:textFill>
            <w14:solidFill>
              <w14:schemeClr w14:val="tx1"/>
            </w14:solidFill>
          </w14:textFill>
        </w:rPr>
      </w:pPr>
      <w:r>
        <w:rPr>
          <w:color w:val="000000" w:themeColor="text1"/>
          <w14:textFill>
            <w14:solidFill>
              <w14:schemeClr w14:val="tx1"/>
            </w14:solidFill>
          </w14:textFill>
        </w:rPr>
        <w:t>现有排污口污染物模拟预测结果</w:t>
      </w:r>
    </w:p>
    <w:p>
      <w:pPr>
        <w:pStyle w:val="283"/>
        <w:rPr>
          <w:color w:val="000000" w:themeColor="text1"/>
          <w14:textFill>
            <w14:solidFill>
              <w14:schemeClr w14:val="tx1"/>
            </w14:solidFill>
          </w14:textFill>
        </w:rPr>
      </w:pPr>
      <w:r>
        <w:rPr>
          <w:color w:val="000000" w:themeColor="text1"/>
          <w14:textFill>
            <w14:solidFill>
              <w14:schemeClr w14:val="tx1"/>
            </w14:solidFill>
          </w14:textFill>
        </w:rPr>
        <w:t>排污口位于现有位置，COD</w:t>
      </w:r>
      <w:r>
        <w:rPr>
          <w:rFonts w:hint="eastAsia"/>
          <w:color w:val="000000" w:themeColor="text1"/>
          <w:vertAlign w:val="subscript"/>
          <w14:textFill>
            <w14:solidFill>
              <w14:schemeClr w14:val="tx1"/>
            </w14:solidFill>
          </w14:textFill>
        </w:rPr>
        <w:t>Mn</w:t>
      </w:r>
      <w:r>
        <w:rPr>
          <w:color w:val="000000" w:themeColor="text1"/>
          <w14:textFill>
            <w14:solidFill>
              <w14:schemeClr w14:val="tx1"/>
            </w14:solidFill>
          </w14:textFill>
        </w:rPr>
        <w:t>、无机氮、活性磷酸盐、</w:t>
      </w:r>
      <w:r>
        <w:rPr>
          <w:rFonts w:hint="eastAsia"/>
          <w:color w:val="000000" w:themeColor="text1"/>
          <w14:textFill>
            <w14:solidFill>
              <w14:schemeClr w14:val="tx1"/>
            </w14:solidFill>
          </w14:textFill>
        </w:rPr>
        <w:t>SS</w:t>
      </w:r>
      <w:r>
        <w:rPr>
          <w:color w:val="000000" w:themeColor="text1"/>
          <w14:textFill>
            <w14:solidFill>
              <w14:schemeClr w14:val="tx1"/>
            </w14:solidFill>
          </w14:textFill>
        </w:rPr>
        <w:t>在海域中的最大浓度分布分别见图</w:t>
      </w:r>
      <w:r>
        <w:rPr>
          <w:rFonts w:hint="eastAsia"/>
          <w:color w:val="000000" w:themeColor="text1"/>
          <w14:textFill>
            <w14:solidFill>
              <w14:schemeClr w14:val="tx1"/>
            </w14:solidFill>
          </w14:textFill>
        </w:rPr>
        <w:t>4.1</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35</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4.1-38。</w:t>
      </w:r>
    </w:p>
    <w:p>
      <w:pPr>
        <w:ind w:firstLine="504"/>
        <w:rPr>
          <w:color w:val="000000" w:themeColor="text1"/>
          <w14:textFill>
            <w14:solidFill>
              <w14:schemeClr w14:val="tx1"/>
            </w14:solidFill>
          </w14:textFill>
        </w:rPr>
      </w:pPr>
      <w:r>
        <w:rPr>
          <w:rFonts w:hint="eastAsia"/>
          <w:bCs/>
          <w:color w:val="000000" w:themeColor="text1"/>
          <w14:textFill>
            <w14:solidFill>
              <w14:schemeClr w14:val="tx1"/>
            </w14:solidFill>
          </w14:textFill>
        </w:rPr>
        <w:t>叠加本底值1.</w:t>
      </w:r>
      <w:r>
        <w:rPr>
          <w:bCs/>
          <w:color w:val="000000" w:themeColor="text1"/>
          <w14:textFill>
            <w14:solidFill>
              <w14:schemeClr w14:val="tx1"/>
            </w14:solidFill>
          </w14:textFill>
        </w:rPr>
        <w:t>67</w:t>
      </w:r>
      <w:r>
        <w:rPr>
          <w:rFonts w:hint="eastAsia"/>
          <w:bCs/>
          <w:color w:val="000000" w:themeColor="text1"/>
          <w14:textFill>
            <w14:solidFill>
              <w14:schemeClr w14:val="tx1"/>
            </w14:solidFill>
          </w14:textFill>
        </w:rPr>
        <w:t>mg/L后，</w:t>
      </w:r>
      <w:r>
        <w:rPr>
          <w:rFonts w:hint="eastAsia"/>
          <w:color w:val="000000" w:themeColor="text1"/>
          <w14:textFill>
            <w14:solidFill>
              <w14:schemeClr w14:val="tx1"/>
            </w14:solidFill>
          </w14:textFill>
        </w:rPr>
        <w:t>COD</w:t>
      </w:r>
      <w:r>
        <w:rPr>
          <w:rFonts w:hint="eastAsia"/>
          <w:color w:val="000000" w:themeColor="text1"/>
          <w:vertAlign w:val="subscript"/>
          <w14:textFill>
            <w14:solidFill>
              <w14:schemeClr w14:val="tx1"/>
            </w14:solidFill>
          </w14:textFill>
        </w:rPr>
        <w:t>Mn</w:t>
      </w:r>
      <w:r>
        <w:rPr>
          <w:rFonts w:hint="eastAsia" w:ascii="宋体" w:hAnsi="宋体"/>
          <w:color w:val="000000" w:themeColor="text1"/>
          <w14:textFill>
            <w14:solidFill>
              <w14:schemeClr w14:val="tx1"/>
            </w14:solidFill>
          </w14:textFill>
        </w:rPr>
        <w:t>在海域中的最大浓度为</w:t>
      </w:r>
      <w:r>
        <w:rPr>
          <w:rFonts w:hint="eastAsia"/>
          <w:color w:val="000000" w:themeColor="text1"/>
          <w14:textFill>
            <w14:solidFill>
              <w14:schemeClr w14:val="tx1"/>
            </w14:solidFill>
          </w14:textFill>
        </w:rPr>
        <w:t>11.</w:t>
      </w:r>
      <w:r>
        <w:rPr>
          <w:color w:val="000000" w:themeColor="text1"/>
          <w14:textFill>
            <w14:solidFill>
              <w14:schemeClr w14:val="tx1"/>
            </w14:solidFill>
          </w14:textFill>
        </w:rPr>
        <w:t>56</w:t>
      </w:r>
      <w:r>
        <w:rPr>
          <w:rFonts w:hint="eastAsia"/>
          <w:color w:val="000000" w:themeColor="text1"/>
          <w14:textFill>
            <w14:solidFill>
              <w14:schemeClr w14:val="tx1"/>
            </w14:solidFill>
          </w14:textFill>
        </w:rPr>
        <w:t>mg/L</w:t>
      </w:r>
      <w:r>
        <w:rPr>
          <w:rFonts w:hint="eastAsia" w:ascii="宋体" w:hAnsi="宋体"/>
          <w:color w:val="000000" w:themeColor="text1"/>
          <w14:textFill>
            <w14:solidFill>
              <w14:schemeClr w14:val="tx1"/>
            </w14:solidFill>
          </w14:textFill>
        </w:rPr>
        <w:t>；</w:t>
      </w:r>
      <w:r>
        <w:rPr>
          <w:rFonts w:hint="eastAsia"/>
          <w:color w:val="000000" w:themeColor="text1"/>
          <w14:textFill>
            <w14:solidFill>
              <w14:schemeClr w14:val="tx1"/>
            </w14:solidFill>
          </w14:textFill>
        </w:rPr>
        <w:t>2mg/L</w:t>
      </w:r>
      <w:r>
        <w:rPr>
          <w:rFonts w:hint="eastAsia" w:ascii="宋体" w:hAnsi="宋体"/>
          <w:color w:val="000000" w:themeColor="text1"/>
          <w14:textFill>
            <w14:solidFill>
              <w14:schemeClr w14:val="tx1"/>
            </w14:solidFill>
          </w14:textFill>
        </w:rPr>
        <w:t>包络线与排污口的最远范围为</w:t>
      </w:r>
      <w:r>
        <w:rPr>
          <w:rFonts w:hint="eastAsia"/>
          <w:color w:val="000000" w:themeColor="text1"/>
          <w14:textFill>
            <w14:solidFill>
              <w14:schemeClr w14:val="tx1"/>
            </w14:solidFill>
          </w14:textFill>
        </w:rPr>
        <w:t>2.</w:t>
      </w:r>
      <w:r>
        <w:rPr>
          <w:color w:val="000000" w:themeColor="text1"/>
          <w14:textFill>
            <w14:solidFill>
              <w14:schemeClr w14:val="tx1"/>
            </w14:solidFill>
          </w14:textFill>
        </w:rPr>
        <w:t>4</w:t>
      </w:r>
      <w:r>
        <w:rPr>
          <w:rFonts w:hint="eastAsia"/>
          <w:color w:val="000000" w:themeColor="text1"/>
          <w14:textFill>
            <w14:solidFill>
              <w14:schemeClr w14:val="tx1"/>
            </w14:solidFill>
          </w14:textFill>
        </w:rPr>
        <w:t>km</w:t>
      </w:r>
      <w:r>
        <w:rPr>
          <w:rFonts w:hint="eastAsia" w:ascii="宋体" w:hAnsi="宋体"/>
          <w:color w:val="000000" w:themeColor="text1"/>
          <w14:textFill>
            <w14:solidFill>
              <w14:schemeClr w14:val="tx1"/>
            </w14:solidFill>
          </w14:textFill>
        </w:rPr>
        <w:t>。</w:t>
      </w:r>
      <w:r>
        <w:rPr>
          <w:rFonts w:hint="eastAsia"/>
          <w:color w:val="000000" w:themeColor="text1"/>
          <w14:textFill>
            <w14:solidFill>
              <w14:schemeClr w14:val="tx1"/>
            </w14:solidFill>
          </w14:textFill>
        </w:rPr>
        <w:t>COD</w:t>
      </w:r>
      <w:r>
        <w:rPr>
          <w:rFonts w:hint="eastAsia"/>
          <w:color w:val="000000" w:themeColor="text1"/>
          <w:vertAlign w:val="subscript"/>
          <w14:textFill>
            <w14:solidFill>
              <w14:schemeClr w14:val="tx1"/>
            </w14:solidFill>
          </w14:textFill>
        </w:rPr>
        <w:t>Mn</w:t>
      </w:r>
      <w:r>
        <w:rPr>
          <w:rFonts w:hint="eastAsia" w:ascii="宋体" w:hAnsi="宋体"/>
          <w:color w:val="000000" w:themeColor="text1"/>
          <w14:textFill>
            <w14:solidFill>
              <w14:schemeClr w14:val="tx1"/>
            </w14:solidFill>
          </w14:textFill>
        </w:rPr>
        <w:t>在钦州港青菜头南浅海滩涂养殖区、二类区、三类区内均未超过相应的水质标准。</w:t>
      </w:r>
    </w:p>
    <w:p>
      <w:pPr>
        <w:ind w:firstLine="504"/>
        <w:rPr>
          <w:color w:val="000000" w:themeColor="text1"/>
          <w14:textFill>
            <w14:solidFill>
              <w14:schemeClr w14:val="tx1"/>
            </w14:solidFill>
          </w14:textFill>
        </w:rPr>
      </w:pPr>
      <w:r>
        <w:rPr>
          <w:rFonts w:hint="eastAsia"/>
          <w:bCs/>
          <w:color w:val="000000" w:themeColor="text1"/>
          <w14:textFill>
            <w14:solidFill>
              <w14:schemeClr w14:val="tx1"/>
            </w14:solidFill>
          </w14:textFill>
        </w:rPr>
        <w:t>叠加本底值</w:t>
      </w:r>
      <w:r>
        <w:rPr>
          <w:bCs/>
          <w:color w:val="000000" w:themeColor="text1"/>
          <w14:textFill>
            <w14:solidFill>
              <w14:schemeClr w14:val="tx1"/>
            </w14:solidFill>
          </w14:textFill>
        </w:rPr>
        <w:t>0.294</w:t>
      </w:r>
      <w:r>
        <w:rPr>
          <w:rFonts w:hint="eastAsia"/>
          <w:bCs/>
          <w:color w:val="000000" w:themeColor="text1"/>
          <w14:textFill>
            <w14:solidFill>
              <w14:schemeClr w14:val="tx1"/>
            </w14:solidFill>
          </w14:textFill>
        </w:rPr>
        <w:t>mg/L后，</w:t>
      </w:r>
      <w:r>
        <w:rPr>
          <w:rFonts w:hint="eastAsia" w:ascii="宋体" w:hAnsi="宋体"/>
          <w:color w:val="000000" w:themeColor="text1"/>
          <w14:textFill>
            <w14:solidFill>
              <w14:schemeClr w14:val="tx1"/>
            </w14:solidFill>
          </w14:textFill>
        </w:rPr>
        <w:t>无机氮在海域中的最大浓度为</w:t>
      </w:r>
      <w:r>
        <w:rPr>
          <w:rFonts w:hint="eastAsia"/>
          <w:color w:val="000000" w:themeColor="text1"/>
          <w14:textFill>
            <w14:solidFill>
              <w14:schemeClr w14:val="tx1"/>
            </w14:solidFill>
          </w14:textFill>
        </w:rPr>
        <w:t>1.</w:t>
      </w:r>
      <w:r>
        <w:rPr>
          <w:color w:val="000000" w:themeColor="text1"/>
          <w14:textFill>
            <w14:solidFill>
              <w14:schemeClr w14:val="tx1"/>
            </w14:solidFill>
          </w14:textFill>
        </w:rPr>
        <w:t>323</w:t>
      </w:r>
      <w:r>
        <w:rPr>
          <w:rFonts w:hint="eastAsia"/>
          <w:color w:val="000000" w:themeColor="text1"/>
          <w14:textFill>
            <w14:solidFill>
              <w14:schemeClr w14:val="tx1"/>
            </w14:solidFill>
          </w14:textFill>
        </w:rPr>
        <w:t>mg/L</w:t>
      </w:r>
      <w:r>
        <w:rPr>
          <w:rFonts w:hint="eastAsia" w:ascii="宋体" w:hAnsi="宋体"/>
          <w:color w:val="000000" w:themeColor="text1"/>
          <w14:textFill>
            <w14:solidFill>
              <w14:schemeClr w14:val="tx1"/>
            </w14:solidFill>
          </w14:textFill>
        </w:rPr>
        <w:t>。由于本底值已超一类水质，故成图范围均超一类；</w:t>
      </w:r>
      <w:r>
        <w:rPr>
          <w:rFonts w:hint="eastAsia"/>
          <w:color w:val="000000" w:themeColor="text1"/>
          <w14:textFill>
            <w14:solidFill>
              <w14:schemeClr w14:val="tx1"/>
            </w14:solidFill>
          </w14:textFill>
        </w:rPr>
        <w:t>0.3mg/L</w:t>
      </w:r>
      <w:r>
        <w:rPr>
          <w:rFonts w:hint="eastAsia" w:ascii="宋体" w:hAnsi="宋体"/>
          <w:color w:val="000000" w:themeColor="text1"/>
          <w14:textFill>
            <w14:solidFill>
              <w14:schemeClr w14:val="tx1"/>
            </w14:solidFill>
          </w14:textFill>
        </w:rPr>
        <w:t>包络线与排污口的最远范围为</w:t>
      </w:r>
      <w:r>
        <w:rPr>
          <w:rFonts w:hint="eastAsia"/>
          <w:color w:val="000000" w:themeColor="text1"/>
          <w14:textFill>
            <w14:solidFill>
              <w14:schemeClr w14:val="tx1"/>
            </w14:solidFill>
          </w14:textFill>
        </w:rPr>
        <w:t>9.</w:t>
      </w:r>
      <w:r>
        <w:rPr>
          <w:color w:val="000000" w:themeColor="text1"/>
          <w14:textFill>
            <w14:solidFill>
              <w14:schemeClr w14:val="tx1"/>
            </w14:solidFill>
          </w14:textFill>
        </w:rPr>
        <w:t>7</w:t>
      </w:r>
      <w:r>
        <w:rPr>
          <w:rFonts w:hint="eastAsia"/>
          <w:color w:val="000000" w:themeColor="text1"/>
          <w14:textFill>
            <w14:solidFill>
              <w14:schemeClr w14:val="tx1"/>
            </w14:solidFill>
          </w14:textFill>
        </w:rPr>
        <w:t>km</w:t>
      </w:r>
      <w:r>
        <w:rPr>
          <w:rFonts w:hint="eastAsia" w:ascii="宋体" w:hAnsi="宋体"/>
          <w:color w:val="000000" w:themeColor="text1"/>
          <w14:textFill>
            <w14:solidFill>
              <w14:schemeClr w14:val="tx1"/>
            </w14:solidFill>
          </w14:textFill>
        </w:rPr>
        <w:t>；</w:t>
      </w:r>
      <w:r>
        <w:rPr>
          <w:rFonts w:hint="eastAsia"/>
          <w:color w:val="000000" w:themeColor="text1"/>
          <w14:textFill>
            <w14:solidFill>
              <w14:schemeClr w14:val="tx1"/>
            </w14:solidFill>
          </w14:textFill>
        </w:rPr>
        <w:t>0.4mg/L</w:t>
      </w:r>
      <w:r>
        <w:rPr>
          <w:rFonts w:hint="eastAsia" w:ascii="宋体" w:hAnsi="宋体"/>
          <w:color w:val="000000" w:themeColor="text1"/>
          <w14:textFill>
            <w14:solidFill>
              <w14:schemeClr w14:val="tx1"/>
            </w14:solidFill>
          </w14:textFill>
        </w:rPr>
        <w:t>包络线位于混合区、三类区和四类区内，超三类水质标准面积为</w:t>
      </w:r>
      <w:r>
        <w:rPr>
          <w:rFonts w:hint="eastAsia"/>
          <w:color w:val="000000" w:themeColor="text1"/>
          <w14:textFill>
            <w14:solidFill>
              <w14:schemeClr w14:val="tx1"/>
            </w14:solidFill>
          </w14:textFill>
        </w:rPr>
        <w:t>0.1</w:t>
      </w:r>
      <w:r>
        <w:rPr>
          <w:color w:val="000000" w:themeColor="text1"/>
          <w14:textFill>
            <w14:solidFill>
              <w14:schemeClr w14:val="tx1"/>
            </w14:solidFill>
          </w14:textFill>
        </w:rPr>
        <w:t>3</w:t>
      </w:r>
      <w:r>
        <w:rPr>
          <w:rFonts w:hint="eastAsia"/>
          <w:color w:val="000000" w:themeColor="text1"/>
          <w14:textFill>
            <w14:solidFill>
              <w14:schemeClr w14:val="tx1"/>
            </w14:solidFill>
          </w14:textFill>
        </w:rPr>
        <w:t>km</w:t>
      </w:r>
      <w:r>
        <w:rPr>
          <w:rFonts w:hint="eastAsia"/>
          <w:color w:val="000000" w:themeColor="text1"/>
          <w:vertAlign w:val="superscript"/>
          <w14:textFill>
            <w14:solidFill>
              <w14:schemeClr w14:val="tx1"/>
            </w14:solidFill>
          </w14:textFill>
        </w:rPr>
        <w:t>2</w:t>
      </w:r>
      <w:r>
        <w:rPr>
          <w:rFonts w:hint="eastAsia" w:ascii="宋体" w:hAnsi="宋体"/>
          <w:color w:val="000000" w:themeColor="text1"/>
          <w14:textFill>
            <w14:solidFill>
              <w14:schemeClr w14:val="tx1"/>
            </w14:solidFill>
          </w14:textFill>
        </w:rPr>
        <w:t>；</w:t>
      </w:r>
      <w:r>
        <w:rPr>
          <w:rFonts w:hint="eastAsia"/>
          <w:color w:val="000000" w:themeColor="text1"/>
          <w14:textFill>
            <w14:solidFill>
              <w14:schemeClr w14:val="tx1"/>
            </w14:solidFill>
          </w14:textFill>
        </w:rPr>
        <w:t xml:space="preserve"> 0.5mg/L</w:t>
      </w:r>
      <w:r>
        <w:rPr>
          <w:rFonts w:hint="eastAsia" w:ascii="宋体" w:hAnsi="宋体"/>
          <w:color w:val="000000" w:themeColor="text1"/>
          <w14:textFill>
            <w14:solidFill>
              <w14:schemeClr w14:val="tx1"/>
            </w14:solidFill>
          </w14:textFill>
        </w:rPr>
        <w:t>包络线主要位于混合区范围内，超四类水质面积很小，仅为</w:t>
      </w:r>
      <w:r>
        <w:rPr>
          <w:rFonts w:hint="eastAsia"/>
          <w:color w:val="000000" w:themeColor="text1"/>
          <w14:textFill>
            <w14:solidFill>
              <w14:schemeClr w14:val="tx1"/>
            </w14:solidFill>
          </w14:textFill>
        </w:rPr>
        <w:t>0.</w:t>
      </w:r>
      <w:r>
        <w:rPr>
          <w:color w:val="000000" w:themeColor="text1"/>
          <w14:textFill>
            <w14:solidFill>
              <w14:schemeClr w14:val="tx1"/>
            </w14:solidFill>
          </w14:textFill>
        </w:rPr>
        <w:t>71</w:t>
      </w:r>
      <w:r>
        <w:rPr>
          <w:rFonts w:hint="eastAsia" w:ascii="宋体" w:hAnsi="宋体"/>
          <w:color w:val="000000" w:themeColor="text1"/>
          <w14:textFill>
            <w14:solidFill>
              <w14:schemeClr w14:val="tx1"/>
            </w14:solidFill>
          </w14:textFill>
        </w:rPr>
        <w:t>公顷。无机氮在钦州港青菜头南浅海滩涂养殖区、二类区内均未超过相应的水质标准。</w:t>
      </w:r>
    </w:p>
    <w:p>
      <w:pPr>
        <w:ind w:firstLine="504"/>
        <w:rPr>
          <w:color w:val="000000" w:themeColor="text1"/>
          <w14:textFill>
            <w14:solidFill>
              <w14:schemeClr w14:val="tx1"/>
            </w14:solidFill>
          </w14:textFill>
        </w:rPr>
      </w:pPr>
      <w:r>
        <w:rPr>
          <w:rFonts w:hint="eastAsia"/>
          <w:bCs/>
          <w:color w:val="000000" w:themeColor="text1"/>
          <w14:textFill>
            <w14:solidFill>
              <w14:schemeClr w14:val="tx1"/>
            </w14:solidFill>
          </w14:textFill>
        </w:rPr>
        <w:t>叠加本底值0.0</w:t>
      </w:r>
      <w:r>
        <w:rPr>
          <w:bCs/>
          <w:color w:val="000000" w:themeColor="text1"/>
          <w14:textFill>
            <w14:solidFill>
              <w14:schemeClr w14:val="tx1"/>
            </w14:solidFill>
          </w14:textFill>
        </w:rPr>
        <w:t>28</w:t>
      </w:r>
      <w:r>
        <w:rPr>
          <w:rFonts w:hint="eastAsia"/>
          <w:bCs/>
          <w:color w:val="000000" w:themeColor="text1"/>
          <w14:textFill>
            <w14:solidFill>
              <w14:schemeClr w14:val="tx1"/>
            </w14:solidFill>
          </w14:textFill>
        </w:rPr>
        <w:t>mg/L后，</w:t>
      </w:r>
      <w:r>
        <w:rPr>
          <w:rFonts w:hint="eastAsia" w:ascii="宋体" w:hAnsi="宋体"/>
          <w:color w:val="000000" w:themeColor="text1"/>
          <w14:textFill>
            <w14:solidFill>
              <w14:schemeClr w14:val="tx1"/>
            </w14:solidFill>
          </w14:textFill>
        </w:rPr>
        <w:t>活性磷酸盐在海域中的最大浓度为</w:t>
      </w:r>
      <w:r>
        <w:rPr>
          <w:rFonts w:hint="eastAsia"/>
          <w:color w:val="000000" w:themeColor="text1"/>
          <w14:textFill>
            <w14:solidFill>
              <w14:schemeClr w14:val="tx1"/>
            </w14:solidFill>
          </w14:textFill>
        </w:rPr>
        <w:t>0.0</w:t>
      </w:r>
      <w:r>
        <w:rPr>
          <w:color w:val="000000" w:themeColor="text1"/>
          <w14:textFill>
            <w14:solidFill>
              <w14:schemeClr w14:val="tx1"/>
            </w14:solidFill>
          </w14:textFill>
        </w:rPr>
        <w:t>61</w:t>
      </w:r>
      <w:r>
        <w:rPr>
          <w:rFonts w:hint="eastAsia"/>
          <w:color w:val="000000" w:themeColor="text1"/>
          <w14:textFill>
            <w14:solidFill>
              <w14:schemeClr w14:val="tx1"/>
            </w14:solidFill>
          </w14:textFill>
        </w:rPr>
        <w:t>mg/L</w:t>
      </w:r>
      <w:r>
        <w:rPr>
          <w:rFonts w:hint="eastAsia" w:ascii="宋体" w:hAnsi="宋体"/>
          <w:color w:val="000000" w:themeColor="text1"/>
          <w14:textFill>
            <w14:solidFill>
              <w14:schemeClr w14:val="tx1"/>
            </w14:solidFill>
          </w14:textFill>
        </w:rPr>
        <w:t>；</w:t>
      </w:r>
      <w:r>
        <w:rPr>
          <w:rFonts w:hint="eastAsia"/>
          <w:color w:val="000000" w:themeColor="text1"/>
          <w14:textFill>
            <w14:solidFill>
              <w14:schemeClr w14:val="tx1"/>
            </w14:solidFill>
          </w14:textFill>
        </w:rPr>
        <w:t>0.03mg/L</w:t>
      </w:r>
      <w:r>
        <w:rPr>
          <w:rFonts w:hint="eastAsia" w:ascii="宋体" w:hAnsi="宋体"/>
          <w:color w:val="000000" w:themeColor="text1"/>
          <w14:textFill>
            <w14:solidFill>
              <w14:schemeClr w14:val="tx1"/>
            </w14:solidFill>
          </w14:textFill>
        </w:rPr>
        <w:t>包络线与排污口的最远距离为</w:t>
      </w:r>
      <w:r>
        <w:rPr>
          <w:color w:val="000000" w:themeColor="text1"/>
          <w14:textFill>
            <w14:solidFill>
              <w14:schemeClr w14:val="tx1"/>
            </w14:solidFill>
          </w14:textFill>
        </w:rPr>
        <w:t>3.0</w:t>
      </w:r>
      <w:r>
        <w:rPr>
          <w:rFonts w:hint="eastAsia"/>
          <w:color w:val="000000" w:themeColor="text1"/>
          <w14:textFill>
            <w14:solidFill>
              <w14:schemeClr w14:val="tx1"/>
            </w14:solidFill>
          </w14:textFill>
        </w:rPr>
        <w:t>km</w:t>
      </w:r>
      <w:r>
        <w:rPr>
          <w:rFonts w:hint="eastAsia" w:ascii="宋体" w:hAnsi="宋体"/>
          <w:color w:val="000000" w:themeColor="text1"/>
          <w14:textFill>
            <w14:solidFill>
              <w14:schemeClr w14:val="tx1"/>
            </w14:solidFill>
          </w14:textFill>
        </w:rPr>
        <w:t>，位于混合区、三类区和四类区内，无超标水质出现；</w:t>
      </w:r>
      <w:r>
        <w:rPr>
          <w:rFonts w:hint="eastAsia"/>
          <w:color w:val="000000" w:themeColor="text1"/>
          <w14:textFill>
            <w14:solidFill>
              <w14:schemeClr w14:val="tx1"/>
            </w14:solidFill>
          </w14:textFill>
        </w:rPr>
        <w:t>0.045mg/L</w:t>
      </w:r>
      <w:r>
        <w:rPr>
          <w:rFonts w:hint="eastAsia" w:ascii="宋体" w:hAnsi="宋体"/>
          <w:color w:val="000000" w:themeColor="text1"/>
          <w14:textFill>
            <w14:solidFill>
              <w14:schemeClr w14:val="tx1"/>
            </w14:solidFill>
          </w14:textFill>
        </w:rPr>
        <w:t>包络线位于混合区内。活性磷酸盐在钦州港青菜头南浅海滩涂养殖区、二类区、三类区内均未超过相应的水质标准。</w:t>
      </w:r>
    </w:p>
    <w:p>
      <w:pPr>
        <w:pStyle w:val="283"/>
        <w:rPr>
          <w:color w:val="000000" w:themeColor="text1"/>
          <w14:textFill>
            <w14:solidFill>
              <w14:schemeClr w14:val="tx1"/>
            </w14:solidFill>
          </w14:textFill>
        </w:rPr>
      </w:pPr>
      <w:r>
        <w:rPr>
          <w:rFonts w:hint="eastAsia"/>
          <w:color w:val="000000" w:themeColor="text1"/>
          <w14:textFill>
            <w14:solidFill>
              <w14:schemeClr w14:val="tx1"/>
            </w14:solidFill>
          </w14:textFill>
        </w:rPr>
        <w:t>SS在海域中的的最大浓度为17.2</w:t>
      </w:r>
      <w:r>
        <w:rPr>
          <w:color w:val="000000" w:themeColor="text1"/>
          <w14:textFill>
            <w14:solidFill>
              <w14:schemeClr w14:val="tx1"/>
            </w14:solidFill>
          </w14:textFill>
        </w:rPr>
        <w:t>8</w:t>
      </w:r>
      <w:r>
        <w:rPr>
          <w:rFonts w:hint="eastAsia"/>
          <w:color w:val="000000" w:themeColor="text1"/>
          <w14:textFill>
            <w14:solidFill>
              <w14:schemeClr w14:val="tx1"/>
            </w14:solidFill>
          </w14:textFill>
        </w:rPr>
        <w:t>mg/L。10mg/L包络线分布在排污口周围为30m的范围内。SS在钦州港青菜头南浅海滩涂养殖区、二类区、三类区内均未超过相应的水质标准。</w:t>
      </w:r>
    </w:p>
    <w:tbl>
      <w:tblPr>
        <w:tblStyle w:val="89"/>
        <w:tblW w:w="852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52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8528" w:type="dxa"/>
            <w:tcBorders>
              <w:top w:val="nil"/>
              <w:left w:val="nil"/>
              <w:bottom w:val="nil"/>
              <w:right w:val="nil"/>
            </w:tcBorders>
            <w:vAlign w:val="center"/>
          </w:tcPr>
          <w:p>
            <w:pPr>
              <w:pStyle w:val="283"/>
              <w:rPr>
                <w:color w:val="000000" w:themeColor="text1"/>
                <w14:textFill>
                  <w14:solidFill>
                    <w14:schemeClr w14:val="tx1"/>
                  </w14:solidFill>
                </w14:textFill>
              </w:rPr>
            </w:pPr>
          </w:p>
          <w:p>
            <w:pPr>
              <w:pStyle w:val="553"/>
              <w:rPr>
                <w:color w:val="000000" w:themeColor="text1"/>
                <w14:textFill>
                  <w14:solidFill>
                    <w14:schemeClr w14:val="tx1"/>
                  </w14:solidFill>
                </w14:textFill>
              </w:rPr>
            </w:pPr>
            <w:r>
              <w:rPr>
                <w:rFonts w:hint="eastAsia"/>
                <w:color w:val="000000" w:themeColor="text1"/>
                <w14:textFill>
                  <w14:solidFill>
                    <w14:schemeClr w14:val="tx1"/>
                  </w14:solidFill>
                </w14:textFill>
              </w:rPr>
              <w:t>COD</w:t>
            </w:r>
            <w:r>
              <w:rPr>
                <w:rFonts w:hint="eastAsia"/>
                <w:color w:val="000000" w:themeColor="text1"/>
                <w:vertAlign w:val="subscript"/>
                <w14:textFill>
                  <w14:solidFill>
                    <w14:schemeClr w14:val="tx1"/>
                  </w14:solidFill>
                </w14:textFill>
              </w:rPr>
              <w:t>Mn</w:t>
            </w:r>
            <w:r>
              <w:rPr>
                <w:rFonts w:hint="eastAsia"/>
                <w:color w:val="000000" w:themeColor="text1"/>
                <w14:textFill>
                  <w14:solidFill>
                    <w14:schemeClr w14:val="tx1"/>
                  </w14:solidFill>
                </w14:textFill>
              </w:rPr>
              <w:t>浓度分布（叠加本底值）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8528" w:type="dxa"/>
            <w:tcBorders>
              <w:top w:val="nil"/>
              <w:left w:val="nil"/>
              <w:bottom w:val="nil"/>
              <w:right w:val="nil"/>
            </w:tcBorders>
            <w:vAlign w:val="center"/>
          </w:tcPr>
          <w:p>
            <w:pPr>
              <w:pStyle w:val="283"/>
              <w:rPr>
                <w:color w:val="000000" w:themeColor="text1"/>
                <w14:textFill>
                  <w14:solidFill>
                    <w14:schemeClr w14:val="tx1"/>
                  </w14:solidFill>
                </w14:textFill>
              </w:rPr>
            </w:pPr>
          </w:p>
          <w:p>
            <w:pPr>
              <w:pStyle w:val="553"/>
              <w:rPr>
                <w:color w:val="000000" w:themeColor="text1"/>
                <w14:textFill>
                  <w14:solidFill>
                    <w14:schemeClr w14:val="tx1"/>
                  </w14:solidFill>
                </w14:textFill>
              </w:rPr>
            </w:pPr>
            <w:r>
              <w:rPr>
                <w:rFonts w:hint="eastAsia"/>
                <w:color w:val="000000" w:themeColor="text1"/>
                <w14:textFill>
                  <w14:solidFill>
                    <w14:schemeClr w14:val="tx1"/>
                  </w14:solidFill>
                </w14:textFill>
              </w:rPr>
              <w:t>无机氮浓度分布(叠加本底值)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8528" w:type="dxa"/>
            <w:tcBorders>
              <w:top w:val="nil"/>
              <w:left w:val="nil"/>
              <w:bottom w:val="nil"/>
              <w:right w:val="nil"/>
            </w:tcBorders>
            <w:vAlign w:val="center"/>
          </w:tcPr>
          <w:p>
            <w:pPr>
              <w:pStyle w:val="283"/>
              <w:rPr>
                <w:color w:val="000000" w:themeColor="text1"/>
                <w14:textFill>
                  <w14:solidFill>
                    <w14:schemeClr w14:val="tx1"/>
                  </w14:solidFill>
                </w14:textFill>
              </w:rPr>
            </w:pPr>
          </w:p>
          <w:p>
            <w:pPr>
              <w:pStyle w:val="553"/>
              <w:rPr>
                <w:color w:val="000000" w:themeColor="text1"/>
                <w14:textFill>
                  <w14:solidFill>
                    <w14:schemeClr w14:val="tx1"/>
                  </w14:solidFill>
                </w14:textFill>
              </w:rPr>
            </w:pPr>
            <w:r>
              <w:rPr>
                <w:color w:val="000000" w:themeColor="text1"/>
                <w14:textFill>
                  <w14:solidFill>
                    <w14:schemeClr w14:val="tx1"/>
                  </w14:solidFill>
                </w14:textFill>
              </w:rPr>
              <w:t>活性磷酸盐浓度分布（叠加本底值）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8528" w:type="dxa"/>
            <w:tcBorders>
              <w:top w:val="nil"/>
              <w:left w:val="nil"/>
              <w:bottom w:val="nil"/>
              <w:right w:val="nil"/>
            </w:tcBorders>
            <w:vAlign w:val="center"/>
          </w:tcPr>
          <w:p>
            <w:pPr>
              <w:pStyle w:val="283"/>
              <w:rPr>
                <w:color w:val="000000" w:themeColor="text1"/>
                <w14:textFill>
                  <w14:solidFill>
                    <w14:schemeClr w14:val="tx1"/>
                  </w14:solidFill>
                </w14:textFill>
              </w:rPr>
            </w:pPr>
          </w:p>
          <w:p>
            <w:pPr>
              <w:pStyle w:val="553"/>
              <w:rPr>
                <w:color w:val="000000" w:themeColor="text1"/>
                <w14:textFill>
                  <w14:solidFill>
                    <w14:schemeClr w14:val="tx1"/>
                  </w14:solidFill>
                </w14:textFill>
              </w:rPr>
            </w:pPr>
            <w:r>
              <w:rPr>
                <w:rFonts w:hint="eastAsia"/>
                <w:color w:val="000000" w:themeColor="text1"/>
                <w14:textFill>
                  <w14:solidFill>
                    <w14:schemeClr w14:val="tx1"/>
                  </w14:solidFill>
                </w14:textFill>
              </w:rPr>
              <w:t>悬浮沙浓度分布（叠加本底值）</w:t>
            </w:r>
          </w:p>
        </w:tc>
      </w:tr>
    </w:tbl>
    <w:p>
      <w:pPr>
        <w:pStyle w:val="283"/>
        <w:rPr>
          <w:color w:val="000000" w:themeColor="text1"/>
          <w14:textFill>
            <w14:solidFill>
              <w14:schemeClr w14:val="tx1"/>
            </w14:solidFill>
          </w14:textFill>
        </w:rPr>
      </w:pPr>
      <w:r>
        <w:rPr>
          <w:color w:val="000000" w:themeColor="text1"/>
          <w14:textFill>
            <w14:solidFill>
              <w14:schemeClr w14:val="tx1"/>
            </w14:solidFill>
          </w14:textFill>
        </w:rPr>
        <w:t>综上，通过预测，本项目建成后，</w:t>
      </w:r>
      <w:r>
        <w:rPr>
          <w:rFonts w:hint="eastAsia"/>
          <w:color w:val="000000" w:themeColor="text1"/>
          <w14:textFill>
            <w14:solidFill>
              <w14:schemeClr w14:val="tx1"/>
            </w14:solidFill>
          </w14:textFill>
        </w:rPr>
        <w:t>广西金桂浆纸业和大榄坪污水处理厂排放的污水在评价区域内的二类区、四类区中均未出现超标现象，无机氮在三类区内有超标现象，超标范围为0.1</w:t>
      </w:r>
      <w:r>
        <w:rPr>
          <w:color w:val="000000" w:themeColor="text1"/>
          <w14:textFill>
            <w14:solidFill>
              <w14:schemeClr w14:val="tx1"/>
            </w14:solidFill>
          </w14:textFill>
        </w:rPr>
        <w:t>3</w:t>
      </w:r>
      <w:r>
        <w:rPr>
          <w:rFonts w:hint="eastAsia"/>
          <w:color w:val="000000" w:themeColor="text1"/>
          <w14:textFill>
            <w14:solidFill>
              <w14:schemeClr w14:val="tx1"/>
            </w14:solidFill>
          </w14:textFill>
        </w:rPr>
        <w:t>km</w:t>
      </w:r>
      <w:r>
        <w:rPr>
          <w:rFonts w:hint="eastAsia"/>
          <w:color w:val="000000" w:themeColor="text1"/>
          <w:vertAlign w:val="superscript"/>
          <w14:textFill>
            <w14:solidFill>
              <w14:schemeClr w14:val="tx1"/>
            </w14:solidFill>
          </w14:textFill>
        </w:rPr>
        <w:t>2</w:t>
      </w:r>
      <w:r>
        <w:rPr>
          <w:rFonts w:hint="eastAsia"/>
          <w:color w:val="000000" w:themeColor="text1"/>
          <w14:textFill>
            <w14:solidFill>
              <w14:schemeClr w14:val="tx1"/>
            </w14:solidFill>
          </w14:textFill>
        </w:rPr>
        <w:t>。本项目围填海工程可能造成广西金桂浆纸业和大榄坪污水处理厂排污口所在海域局部水质超标情况，需密切关注工程区及周边水质变化情况。</w:t>
      </w:r>
    </w:p>
    <w:p>
      <w:pPr>
        <w:pStyle w:val="283"/>
        <w:rPr>
          <w:color w:val="000000" w:themeColor="text1"/>
          <w14:textFill>
            <w14:solidFill>
              <w14:schemeClr w14:val="tx1"/>
            </w14:solidFill>
          </w14:textFill>
        </w:rPr>
      </w:pPr>
      <w:r>
        <w:rPr>
          <w:rFonts w:hint="eastAsia"/>
          <w:color w:val="000000" w:themeColor="text1"/>
          <w14:textFill>
            <w14:solidFill>
              <w14:schemeClr w14:val="tx1"/>
            </w14:solidFill>
          </w14:textFill>
        </w:rPr>
        <w:t>本项目涉及的混合排污区受区域发展围填海影响和码头规划建设布局，混合排污区的水动力条件已发生明显变化，排污区原宽阔的水面由于大榄坪南作业区的发展已受到挤占，港区的规划实施已占用了原划定排污区的大部分区域，因此，排污口污染物消解能力在现状地形及水动力情况下较划定时期已有所退化，相关部门应加快推进排污口外迁工作。考虑大榄坪及三墩作业区深海排水管道工程预计2026年12月整体投入使用，而本项目依托的围填海要求在2</w:t>
      </w:r>
      <w:r>
        <w:rPr>
          <w:color w:val="000000" w:themeColor="text1"/>
          <w14:textFill>
            <w14:solidFill>
              <w14:schemeClr w14:val="tx1"/>
            </w14:solidFill>
          </w14:textFill>
        </w:rPr>
        <w:t>025</w:t>
      </w:r>
      <w:r>
        <w:rPr>
          <w:rFonts w:hint="eastAsia"/>
          <w:color w:val="000000" w:themeColor="text1"/>
          <w14:textFill>
            <w14:solidFill>
              <w14:schemeClr w14:val="tx1"/>
            </w14:solidFill>
          </w14:textFill>
        </w:rPr>
        <w:t>年底完成实施，本项目建设单位已承诺在本项目设计阶段深化大榄坪污水处理厂、金桂浆纸业排污口临时迁改方案，并于项目建设同步实施，于2025年底完成排污口临时迁改工程（附件24），临时外迁的排放口仍位于现状排口所在的排污区内，仅向南侧海域水动力条件更优化海域迁改。</w:t>
      </w:r>
    </w:p>
    <w:p>
      <w:pPr>
        <w:pStyle w:val="6"/>
        <w:rPr>
          <w:color w:val="000000" w:themeColor="text1"/>
          <w14:textFill>
            <w14:solidFill>
              <w14:schemeClr w14:val="tx1"/>
            </w14:solidFill>
          </w14:textFill>
        </w:rPr>
      </w:pPr>
      <w:r>
        <w:rPr>
          <w:color w:val="000000" w:themeColor="text1"/>
          <w14:textFill>
            <w14:solidFill>
              <w14:schemeClr w14:val="tx1"/>
            </w14:solidFill>
          </w14:textFill>
        </w:rPr>
        <w:t>拟迁改排污口污染物模拟预测结果</w:t>
      </w:r>
    </w:p>
    <w:p>
      <w:pPr>
        <w:pStyle w:val="283"/>
        <w:rPr>
          <w:color w:val="000000" w:themeColor="text1"/>
          <w14:textFill>
            <w14:solidFill>
              <w14:schemeClr w14:val="tx1"/>
            </w14:solidFill>
          </w14:textFill>
        </w:rPr>
      </w:pPr>
      <w:r>
        <w:rPr>
          <w:rFonts w:hint="eastAsia"/>
          <w:color w:val="000000" w:themeColor="text1"/>
          <w14:textFill>
            <w14:solidFill>
              <w14:schemeClr w14:val="tx1"/>
            </w14:solidFill>
          </w14:textFill>
        </w:rPr>
        <w:t>临时迁改后</w:t>
      </w:r>
      <w:r>
        <w:rPr>
          <w:color w:val="000000" w:themeColor="text1"/>
          <w14:textFill>
            <w14:solidFill>
              <w14:schemeClr w14:val="tx1"/>
            </w14:solidFill>
          </w14:textFill>
        </w:rPr>
        <w:t>COD</w:t>
      </w:r>
      <w:r>
        <w:rPr>
          <w:rFonts w:hint="eastAsia"/>
          <w:color w:val="000000" w:themeColor="text1"/>
          <w:vertAlign w:val="subscript"/>
          <w14:textFill>
            <w14:solidFill>
              <w14:schemeClr w14:val="tx1"/>
            </w14:solidFill>
          </w14:textFill>
        </w:rPr>
        <w:t>Mn</w:t>
      </w:r>
      <w:r>
        <w:rPr>
          <w:color w:val="000000" w:themeColor="text1"/>
          <w14:textFill>
            <w14:solidFill>
              <w14:schemeClr w14:val="tx1"/>
            </w14:solidFill>
          </w14:textFill>
        </w:rPr>
        <w:t>、无机氮、活性磷酸盐、</w:t>
      </w:r>
      <w:r>
        <w:rPr>
          <w:rFonts w:hint="eastAsia"/>
          <w:color w:val="000000" w:themeColor="text1"/>
          <w14:textFill>
            <w14:solidFill>
              <w14:schemeClr w14:val="tx1"/>
            </w14:solidFill>
          </w14:textFill>
        </w:rPr>
        <w:t>SS</w:t>
      </w:r>
      <w:r>
        <w:rPr>
          <w:color w:val="000000" w:themeColor="text1"/>
          <w14:textFill>
            <w14:solidFill>
              <w14:schemeClr w14:val="tx1"/>
            </w14:solidFill>
          </w14:textFill>
        </w:rPr>
        <w:t>在海域中的最大浓度分布分别见图</w:t>
      </w:r>
      <w:r>
        <w:rPr>
          <w:rFonts w:hint="eastAsia"/>
          <w:color w:val="000000" w:themeColor="text1"/>
          <w14:textFill>
            <w14:solidFill>
              <w14:schemeClr w14:val="tx1"/>
            </w14:solidFill>
          </w14:textFill>
        </w:rPr>
        <w:t>4.1</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34</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4.1-37。</w:t>
      </w:r>
    </w:p>
    <w:p>
      <w:pPr>
        <w:pStyle w:val="283"/>
        <w:rPr>
          <w:color w:val="000000" w:themeColor="text1"/>
          <w14:textFill>
            <w14:solidFill>
              <w14:schemeClr w14:val="tx1"/>
            </w14:solidFill>
          </w14:textFill>
        </w:rPr>
      </w:pPr>
      <w:r>
        <w:rPr>
          <w:rFonts w:hint="eastAsia"/>
          <w:color w:val="000000" w:themeColor="text1"/>
          <w14:textFill>
            <w14:solidFill>
              <w14:schemeClr w14:val="tx1"/>
            </w14:solidFill>
          </w14:textFill>
        </w:rPr>
        <w:t>叠加本底值1.67mg/L后，CODMn在海域中的最大浓度为2.92mg/L；2mg/L包络线与排污口的最远范围为0.2km。CODMn在钦州港青菜头南浅海滩涂养殖区、二类区、三类区内均未超过相应的水质标准。</w:t>
      </w:r>
    </w:p>
    <w:p>
      <w:pPr>
        <w:pStyle w:val="283"/>
        <w:rPr>
          <w:color w:val="000000" w:themeColor="text1"/>
          <w14:textFill>
            <w14:solidFill>
              <w14:schemeClr w14:val="tx1"/>
            </w14:solidFill>
          </w14:textFill>
        </w:rPr>
      </w:pPr>
      <w:r>
        <w:rPr>
          <w:rFonts w:hint="eastAsia"/>
          <w:color w:val="000000" w:themeColor="text1"/>
          <w14:textFill>
            <w14:solidFill>
              <w14:schemeClr w14:val="tx1"/>
            </w14:solidFill>
          </w14:textFill>
        </w:rPr>
        <w:t>叠加本底值0.294mg/L后，无机氮在海域中的最大浓度为0.53mg/L。由于本底值已超一类水质，故成图范围均超一类；0.3mg/L包络线与排污口的最远范围为4.8km，可至保税港区北侧，但已较原排放口缩减近一半；0.4mg/L、0.5mg/L包络线位于混合区，主要位于排污口70m范围内。无机氮在所有水质功能区以及敏感目标内均未出现超标现象。</w:t>
      </w:r>
    </w:p>
    <w:p>
      <w:pPr>
        <w:pStyle w:val="283"/>
        <w:rPr>
          <w:color w:val="000000" w:themeColor="text1"/>
          <w14:textFill>
            <w14:solidFill>
              <w14:schemeClr w14:val="tx1"/>
            </w14:solidFill>
          </w14:textFill>
        </w:rPr>
      </w:pPr>
      <w:r>
        <w:rPr>
          <w:rFonts w:hint="eastAsia"/>
          <w:color w:val="000000" w:themeColor="text1"/>
          <w14:textFill>
            <w14:solidFill>
              <w14:schemeClr w14:val="tx1"/>
            </w14:solidFill>
          </w14:textFill>
        </w:rPr>
        <w:t>叠加本底值0.028mg/L后，活性磷酸盐在海域中的最大浓度为0.034mg/L，无超四类水质；0.03mg/L包络线与排污口的最远距离为0.15km，位于混合区，无超标现象。活性磷酸盐在钦州港青菜头南浅海滩涂养殖区及周边邻近水质功能区内均未超过相应的水质标准。</w:t>
      </w:r>
    </w:p>
    <w:p>
      <w:pPr>
        <w:pStyle w:val="283"/>
        <w:rPr>
          <w:color w:val="000000" w:themeColor="text1"/>
          <w14:textFill>
            <w14:solidFill>
              <w14:schemeClr w14:val="tx1"/>
            </w14:solidFill>
          </w14:textFill>
        </w:rPr>
      </w:pPr>
      <w:r>
        <w:rPr>
          <w:rFonts w:hint="eastAsia"/>
          <w:color w:val="000000" w:themeColor="text1"/>
          <w14:textFill>
            <w14:solidFill>
              <w14:schemeClr w14:val="tx1"/>
            </w14:solidFill>
          </w14:textFill>
        </w:rPr>
        <w:t>SS在海域中的的最大浓度为2.27mg/L。SS在钦州港青菜头南浅海滩涂养殖区、二类区、三类区、四类区内均未超过相应的水质标准。</w:t>
      </w:r>
    </w:p>
    <w:tbl>
      <w:tblPr>
        <w:tblStyle w:val="89"/>
        <w:tblW w:w="852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52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8528" w:type="dxa"/>
            <w:tcBorders>
              <w:top w:val="nil"/>
              <w:left w:val="nil"/>
              <w:bottom w:val="nil"/>
              <w:right w:val="nil"/>
            </w:tcBorders>
            <w:vAlign w:val="center"/>
          </w:tcPr>
          <w:p>
            <w:pPr>
              <w:pStyle w:val="3127"/>
              <w:spacing w:beforeLines="0" w:afterLines="0" w:line="240" w:lineRule="auto"/>
              <w:ind w:firstLine="0" w:firstLineChars="0"/>
              <w:rPr>
                <w:color w:val="000000" w:themeColor="text1"/>
                <w14:textFill>
                  <w14:solidFill>
                    <w14:schemeClr w14:val="tx1"/>
                  </w14:solidFill>
                </w14:textFill>
              </w:rPr>
            </w:pPr>
          </w:p>
          <w:p>
            <w:pPr>
              <w:pStyle w:val="553"/>
              <w:rPr>
                <w:color w:val="000000" w:themeColor="text1"/>
                <w14:textFill>
                  <w14:solidFill>
                    <w14:schemeClr w14:val="tx1"/>
                  </w14:solidFill>
                </w14:textFill>
              </w:rPr>
            </w:pPr>
            <w:r>
              <w:rPr>
                <w:rFonts w:hint="eastAsia"/>
                <w:color w:val="000000" w:themeColor="text1"/>
                <w14:textFill>
                  <w14:solidFill>
                    <w14:schemeClr w14:val="tx1"/>
                  </w14:solidFill>
                </w14:textFill>
              </w:rPr>
              <w:t>COD</w:t>
            </w:r>
            <w:r>
              <w:rPr>
                <w:rFonts w:hint="eastAsia"/>
                <w:color w:val="000000" w:themeColor="text1"/>
                <w:vertAlign w:val="subscript"/>
                <w14:textFill>
                  <w14:solidFill>
                    <w14:schemeClr w14:val="tx1"/>
                  </w14:solidFill>
                </w14:textFill>
              </w:rPr>
              <w:t>Mn</w:t>
            </w:r>
            <w:r>
              <w:rPr>
                <w:rFonts w:hint="eastAsia"/>
                <w:color w:val="000000" w:themeColor="text1"/>
                <w14:textFill>
                  <w14:solidFill>
                    <w14:schemeClr w14:val="tx1"/>
                  </w14:solidFill>
                </w14:textFill>
              </w:rPr>
              <w:t>浓度分布（叠加本底值）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8528" w:type="dxa"/>
            <w:tcBorders>
              <w:top w:val="nil"/>
              <w:left w:val="nil"/>
              <w:bottom w:val="nil"/>
              <w:right w:val="nil"/>
            </w:tcBorders>
            <w:vAlign w:val="center"/>
          </w:tcPr>
          <w:p>
            <w:pPr>
              <w:pStyle w:val="283"/>
              <w:ind w:firstLine="0" w:firstLineChars="0"/>
              <w:rPr>
                <w:color w:val="000000" w:themeColor="text1"/>
                <w14:textFill>
                  <w14:solidFill>
                    <w14:schemeClr w14:val="tx1"/>
                  </w14:solidFill>
                </w14:textFill>
              </w:rPr>
            </w:pPr>
          </w:p>
          <w:p>
            <w:pPr>
              <w:pStyle w:val="553"/>
              <w:rPr>
                <w:color w:val="000000" w:themeColor="text1"/>
                <w14:textFill>
                  <w14:solidFill>
                    <w14:schemeClr w14:val="tx1"/>
                  </w14:solidFill>
                </w14:textFill>
              </w:rPr>
            </w:pPr>
            <w:r>
              <w:rPr>
                <w:rFonts w:hint="eastAsia"/>
                <w:color w:val="000000" w:themeColor="text1"/>
                <w14:textFill>
                  <w14:solidFill>
                    <w14:schemeClr w14:val="tx1"/>
                  </w14:solidFill>
                </w14:textFill>
              </w:rPr>
              <w:t>无机氮浓度分布(叠加本底值)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8528" w:type="dxa"/>
            <w:tcBorders>
              <w:top w:val="nil"/>
              <w:left w:val="nil"/>
              <w:bottom w:val="nil"/>
              <w:right w:val="nil"/>
            </w:tcBorders>
            <w:vAlign w:val="center"/>
          </w:tcPr>
          <w:p>
            <w:pPr>
              <w:pStyle w:val="283"/>
              <w:ind w:firstLine="0" w:firstLineChars="0"/>
              <w:rPr>
                <w:color w:val="000000" w:themeColor="text1"/>
                <w14:textFill>
                  <w14:solidFill>
                    <w14:schemeClr w14:val="tx1"/>
                  </w14:solidFill>
                </w14:textFill>
              </w:rPr>
            </w:pPr>
          </w:p>
          <w:p>
            <w:pPr>
              <w:pStyle w:val="553"/>
              <w:rPr>
                <w:color w:val="000000" w:themeColor="text1"/>
                <w14:textFill>
                  <w14:solidFill>
                    <w14:schemeClr w14:val="tx1"/>
                  </w14:solidFill>
                </w14:textFill>
              </w:rPr>
            </w:pPr>
            <w:r>
              <w:rPr>
                <w:color w:val="000000" w:themeColor="text1"/>
                <w14:textFill>
                  <w14:solidFill>
                    <w14:schemeClr w14:val="tx1"/>
                  </w14:solidFill>
                </w14:textFill>
              </w:rPr>
              <w:t>活性磷酸盐浓度分布（叠加本底值）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8528" w:type="dxa"/>
            <w:tcBorders>
              <w:top w:val="nil"/>
              <w:left w:val="nil"/>
              <w:bottom w:val="nil"/>
              <w:right w:val="nil"/>
            </w:tcBorders>
            <w:vAlign w:val="center"/>
          </w:tcPr>
          <w:p>
            <w:pPr>
              <w:pStyle w:val="3127"/>
              <w:spacing w:before="232" w:after="232"/>
              <w:ind w:firstLine="0" w:firstLineChars="0"/>
              <w:rPr>
                <w:color w:val="000000" w:themeColor="text1"/>
                <w14:textFill>
                  <w14:solidFill>
                    <w14:schemeClr w14:val="tx1"/>
                  </w14:solidFill>
                </w14:textFill>
              </w:rPr>
            </w:pPr>
          </w:p>
          <w:p>
            <w:pPr>
              <w:pStyle w:val="553"/>
              <w:rPr>
                <w:color w:val="000000" w:themeColor="text1"/>
                <w14:textFill>
                  <w14:solidFill>
                    <w14:schemeClr w14:val="tx1"/>
                  </w14:solidFill>
                </w14:textFill>
              </w:rPr>
            </w:pPr>
            <w:r>
              <w:rPr>
                <w:rFonts w:hint="eastAsia"/>
                <w:color w:val="000000" w:themeColor="text1"/>
                <w14:textFill>
                  <w14:solidFill>
                    <w14:schemeClr w14:val="tx1"/>
                  </w14:solidFill>
                </w14:textFill>
              </w:rPr>
              <w:t>悬浮沙浓度分布（叠加本底值）</w:t>
            </w:r>
          </w:p>
        </w:tc>
      </w:tr>
    </w:tbl>
    <w:p>
      <w:pPr>
        <w:pStyle w:val="283"/>
        <w:rPr>
          <w:color w:val="000000" w:themeColor="text1"/>
          <w14:textFill>
            <w14:solidFill>
              <w14:schemeClr w14:val="tx1"/>
            </w14:solidFill>
          </w14:textFill>
        </w:rPr>
      </w:pPr>
      <w:r>
        <w:rPr>
          <w:color w:val="000000" w:themeColor="text1"/>
          <w14:textFill>
            <w14:solidFill>
              <w14:schemeClr w14:val="tx1"/>
            </w14:solidFill>
          </w14:textFill>
        </w:rPr>
        <w:t>综上，由于</w:t>
      </w:r>
      <w:r>
        <w:rPr>
          <w:rFonts w:hint="eastAsia"/>
          <w:color w:val="000000" w:themeColor="text1"/>
          <w14:textFill>
            <w14:solidFill>
              <w14:schemeClr w14:val="tx1"/>
            </w14:solidFill>
          </w14:textFill>
        </w:rPr>
        <w:t>拟迁</w:t>
      </w:r>
      <w:r>
        <w:rPr>
          <w:color w:val="000000" w:themeColor="text1"/>
          <w14:textFill>
            <w14:solidFill>
              <w14:schemeClr w14:val="tx1"/>
            </w14:solidFill>
          </w14:textFill>
        </w:rPr>
        <w:t>改的排污口所处海域水动力条件较好，迁改后水环境容量增加，排污口排放尾水得到更好的输移和扩散</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通过预测，</w:t>
      </w:r>
      <w:r>
        <w:rPr>
          <w:rFonts w:hint="eastAsia"/>
          <w:color w:val="000000" w:themeColor="text1"/>
          <w14:textFill>
            <w14:solidFill>
              <w14:schemeClr w14:val="tx1"/>
            </w14:solidFill>
          </w14:textFill>
        </w:rPr>
        <w:t>COD、无机氮、活性磷酸盐以及SS在拟迁改的排放口邻近的所有水质功能区以及敏感目标内均未出现超标现象，相比于原排放口，水质改善明显，有利于大榄坪港区港口发展。</w:t>
      </w:r>
    </w:p>
    <w:p>
      <w:pPr>
        <w:pStyle w:val="283"/>
        <w:rPr>
          <w:color w:val="000000" w:themeColor="text1"/>
          <w14:textFill>
            <w14:solidFill>
              <w14:schemeClr w14:val="tx1"/>
            </w14:solidFill>
          </w14:textFill>
        </w:rPr>
      </w:pPr>
      <w:r>
        <w:rPr>
          <w:color w:val="000000" w:themeColor="text1"/>
          <w14:textFill>
            <w14:solidFill>
              <w14:schemeClr w14:val="tx1"/>
            </w14:solidFill>
          </w14:textFill>
        </w:rPr>
        <w:t>本项目污染物预测模型本底值及污染物排放量已按照实际情况收集，但污染物在海水中的扩散受</w:t>
      </w:r>
      <w:r>
        <w:rPr>
          <w:rFonts w:hint="eastAsia"/>
          <w:color w:val="000000" w:themeColor="text1"/>
          <w14:textFill>
            <w14:solidFill>
              <w14:schemeClr w14:val="tx1"/>
            </w14:solidFill>
          </w14:textFill>
        </w:rPr>
        <w:t>洋流、风向、海洋活动等多种因素影响，本次评价预测仅供后续设计选址参考，排污口临时迁改方案已建设单位委托的专业机构编制的专项设计为准。</w:t>
      </w:r>
    </w:p>
    <w:p>
      <w:pPr>
        <w:pStyle w:val="283"/>
        <w:rPr>
          <w:color w:val="000000" w:themeColor="text1"/>
          <w:u w:val="single"/>
          <w14:textFill>
            <w14:solidFill>
              <w14:schemeClr w14:val="tx1"/>
            </w14:solidFill>
          </w14:textFill>
        </w:rPr>
      </w:pPr>
      <w:r>
        <w:rPr>
          <w:rFonts w:hint="eastAsia"/>
          <w:color w:val="000000" w:themeColor="text1"/>
          <w:u w:val="single"/>
          <w14:textFill>
            <w14:solidFill>
              <w14:schemeClr w14:val="tx1"/>
            </w14:solidFill>
          </w14:textFill>
        </w:rPr>
        <w:t>本评价预测的临时排放口主要考虑近两年污染物实际排放量以及近期拟纳入两处排放口的排污量，尚未达到两处排口已批复的许可排放量，且均有较大的差距。因此临时迁改排口仅能满足近期排污工况需求，建设单位应督促相关部门及单位，尽快落实三墩深海排放管道的建设及投产，加快大榄坪区域污水深海排放进度，避免临时排口长期使用；建议排污口临时迁改专项设计阶段进一步提出临时排口海域水环境容量，便于有关部门作为后续审批排污项目的依据。</w:t>
      </w:r>
    </w:p>
    <w:bookmarkEnd w:id="198"/>
    <w:p>
      <w:pPr>
        <w:pStyle w:val="4"/>
        <w:rPr>
          <w:color w:val="000000" w:themeColor="text1"/>
          <w14:textFill>
            <w14:solidFill>
              <w14:schemeClr w14:val="tx1"/>
            </w14:solidFill>
          </w14:textFill>
        </w:rPr>
      </w:pPr>
      <w:bookmarkStart w:id="202" w:name="_Toc317003541"/>
      <w:bookmarkStart w:id="203" w:name="_Toc170918610"/>
      <w:bookmarkStart w:id="204" w:name="_Toc317003261"/>
      <w:r>
        <w:rPr>
          <w:color w:val="000000" w:themeColor="text1"/>
          <w14:textFill>
            <w14:solidFill>
              <w14:schemeClr w14:val="tx1"/>
            </w14:solidFill>
          </w14:textFill>
        </w:rPr>
        <w:t>对生态系统影响与评价</w:t>
      </w:r>
      <w:bookmarkEnd w:id="202"/>
      <w:bookmarkEnd w:id="203"/>
      <w:bookmarkEnd w:id="204"/>
    </w:p>
    <w:p>
      <w:pPr>
        <w:pStyle w:val="5"/>
        <w:rPr>
          <w:color w:val="000000" w:themeColor="text1"/>
          <w14:textFill>
            <w14:solidFill>
              <w14:schemeClr w14:val="tx1"/>
            </w14:solidFill>
          </w14:textFill>
        </w:rPr>
      </w:pPr>
      <w:r>
        <w:rPr>
          <w:color w:val="000000" w:themeColor="text1"/>
          <w14:textFill>
            <w14:solidFill>
              <w14:schemeClr w14:val="tx1"/>
            </w14:solidFill>
          </w14:textFill>
        </w:rPr>
        <w:t>对生态敏感保护目标的影响</w:t>
      </w:r>
    </w:p>
    <w:p>
      <w:pPr>
        <w:pStyle w:val="1075"/>
        <w:ind w:firstLine="437"/>
        <w:rPr>
          <w:color w:val="000000" w:themeColor="text1"/>
          <w14:textFill>
            <w14:solidFill>
              <w14:schemeClr w14:val="tx1"/>
            </w14:solidFill>
          </w14:textFill>
        </w:rPr>
      </w:pPr>
      <w:r>
        <w:rPr>
          <w:color w:val="000000" w:themeColor="text1"/>
          <w14:textFill>
            <w14:solidFill>
              <w14:schemeClr w14:val="tx1"/>
            </w14:solidFill>
          </w14:textFill>
        </w:rPr>
        <w:t>本项目周边的生态环境敏感目标主要包括</w:t>
      </w:r>
      <w:r>
        <w:rPr>
          <w:rFonts w:hint="eastAsia"/>
          <w:color w:val="000000" w:themeColor="text1"/>
          <w14:textFill>
            <w14:solidFill>
              <w14:schemeClr w14:val="tx1"/>
            </w14:solidFill>
          </w14:textFill>
        </w:rPr>
        <w:t>金鼓江红树林集中区、鹿耳环江红树林集中分布区、钦州市鹿耳环重要滩涂及浅海水域红线区、北部湾水源涵养生态保护红线区、钦州市月亮湾海岸防护极重要区、三娘湾生态保护区、鹿耳环海游憩用海区、钦州港青菜头南浅海滩涂养殖区、鹿耳环江大灶沿岸池塘养殖区及钦州市七十二泾海岛群旅游度假区、中华白海豚分布区</w:t>
      </w:r>
      <w:r>
        <w:rPr>
          <w:color w:val="000000" w:themeColor="text1"/>
          <w14:textFill>
            <w14:solidFill>
              <w14:schemeClr w14:val="tx1"/>
            </w14:solidFill>
          </w14:textFill>
        </w:rPr>
        <w:t>等。除与钦州港青菜头南浅海滩涂养殖区距离较近</w:t>
      </w:r>
      <w:r>
        <w:rPr>
          <w:color w:val="000000" w:themeColor="text1"/>
          <w:u w:val="single"/>
          <w14:textFill>
            <w14:solidFill>
              <w14:schemeClr w14:val="tx1"/>
            </w14:solidFill>
          </w14:textFill>
        </w:rPr>
        <w:t>（约4.0km）</w:t>
      </w:r>
      <w:r>
        <w:rPr>
          <w:color w:val="000000" w:themeColor="text1"/>
          <w14:textFill>
            <w14:solidFill>
              <w14:schemeClr w14:val="tx1"/>
            </w14:solidFill>
          </w14:textFill>
        </w:rPr>
        <w:t>外，与其他生态敏感区的距离均较远</w:t>
      </w:r>
      <w:r>
        <w:rPr>
          <w:color w:val="000000" w:themeColor="text1"/>
          <w:u w:val="single"/>
          <w14:textFill>
            <w14:solidFill>
              <w14:schemeClr w14:val="tx1"/>
            </w14:solidFill>
          </w14:textFill>
        </w:rPr>
        <w:t>（</w:t>
      </w:r>
      <w:r>
        <w:rPr>
          <w:rFonts w:hint="eastAsia"/>
          <w:color w:val="000000" w:themeColor="text1"/>
          <w:u w:val="single"/>
          <w14:textFill>
            <w14:solidFill>
              <w14:schemeClr w14:val="tx1"/>
            </w14:solidFill>
          </w14:textFill>
        </w:rPr>
        <w:t>4.</w:t>
      </w:r>
      <w:r>
        <w:rPr>
          <w:color w:val="000000" w:themeColor="text1"/>
          <w:u w:val="single"/>
          <w14:textFill>
            <w14:solidFill>
              <w14:schemeClr w14:val="tx1"/>
            </w14:solidFill>
          </w14:textFill>
        </w:rPr>
        <w:t>2～25.0km）</w:t>
      </w:r>
      <w:r>
        <w:rPr>
          <w:color w:val="000000" w:themeColor="text1"/>
          <w14:textFill>
            <w14:solidFill>
              <w14:schemeClr w14:val="tx1"/>
            </w14:solidFill>
          </w14:textFill>
        </w:rPr>
        <w:t>。</w:t>
      </w:r>
    </w:p>
    <w:p>
      <w:pPr>
        <w:pStyle w:val="6"/>
        <w:rPr>
          <w:color w:val="000000" w:themeColor="text1"/>
          <w14:textFill>
            <w14:solidFill>
              <w14:schemeClr w14:val="tx1"/>
            </w14:solidFill>
          </w14:textFill>
        </w:rPr>
      </w:pPr>
      <w:r>
        <w:rPr>
          <w:color w:val="000000" w:themeColor="text1"/>
          <w14:textFill>
            <w14:solidFill>
              <w14:schemeClr w14:val="tx1"/>
            </w14:solidFill>
          </w14:textFill>
        </w:rPr>
        <w:t>对</w:t>
      </w:r>
      <w:r>
        <w:rPr>
          <w:rFonts w:hint="eastAsia"/>
          <w:color w:val="000000" w:themeColor="text1"/>
          <w14:textFill>
            <w14:solidFill>
              <w14:schemeClr w14:val="tx1"/>
            </w14:solidFill>
          </w14:textFill>
        </w:rPr>
        <w:t>钦州港青菜头南浅海滩涂养殖区</w:t>
      </w:r>
      <w:r>
        <w:rPr>
          <w:color w:val="000000" w:themeColor="text1"/>
          <w14:textFill>
            <w14:solidFill>
              <w14:schemeClr w14:val="tx1"/>
            </w14:solidFill>
          </w14:textFill>
        </w:rPr>
        <w:t>的影响分析</w:t>
      </w:r>
    </w:p>
    <w:p>
      <w:pPr>
        <w:pStyle w:val="1075"/>
        <w:ind w:firstLine="437"/>
        <w:rPr>
          <w:color w:val="000000" w:themeColor="text1"/>
          <w14:textFill>
            <w14:solidFill>
              <w14:schemeClr w14:val="tx1"/>
            </w14:solidFill>
          </w14:textFill>
        </w:rPr>
      </w:pPr>
      <w:r>
        <w:rPr>
          <w:rFonts w:hint="eastAsia"/>
          <w:color w:val="000000" w:themeColor="text1"/>
          <w14:textFill>
            <w14:solidFill>
              <w14:schemeClr w14:val="tx1"/>
            </w14:solidFill>
          </w14:textFill>
        </w:rPr>
        <w:t>本项目位于大榄坪至三墩港口航运区内，邻近钦州港青菜头南浅海滩涂养殖区。钦州港青菜头南浅海滩涂养殖区的管理要求主要是严格限制改变海域自然属性；按照养殖容量控制养殖规模和养殖密度，发展健康、生态养殖方式；禁渔期间，禁止底拖网渔船和拖虾渔船及捕捞二长棘鲷幼鱼和幼虾为主的其他作业渔船进入生产；禁止影响航道安全的养殖活动。在上述区域南侧边界向北5～12km范围内不得进行鱼排、鱼栅、人工渔礁、围海等活动。</w:t>
      </w:r>
    </w:p>
    <w:p>
      <w:pPr>
        <w:pStyle w:val="1075"/>
        <w:ind w:firstLine="437"/>
        <w:rPr>
          <w:color w:val="000000" w:themeColor="text1"/>
          <w14:textFill>
            <w14:solidFill>
              <w14:schemeClr w14:val="tx1"/>
            </w14:solidFill>
          </w14:textFill>
        </w:rPr>
      </w:pPr>
      <w:r>
        <w:rPr>
          <w:rFonts w:hint="eastAsia"/>
          <w:color w:val="000000" w:themeColor="text1"/>
          <w14:textFill>
            <w14:solidFill>
              <w14:schemeClr w14:val="tx1"/>
            </w14:solidFill>
          </w14:textFill>
        </w:rPr>
        <w:t>施工过程中会产生一定的悬浮泥沙，由悬浮物扩散模拟计算结果一级炸礁施工影响计算结果可知，悬沙主要分布在工程区域1.96km范围内，悬沙以</w:t>
      </w:r>
      <w:r>
        <w:rPr>
          <w:color w:val="000000" w:themeColor="text1"/>
          <w14:textFill>
            <w14:solidFill>
              <w14:schemeClr w14:val="tx1"/>
            </w14:solidFill>
          </w14:textFill>
        </w:rPr>
        <w:t>N</w:t>
      </w:r>
      <w:r>
        <w:rPr>
          <w:rFonts w:hint="eastAsia"/>
          <w:color w:val="000000" w:themeColor="text1"/>
          <w14:textFill>
            <w14:solidFill>
              <w14:schemeClr w14:val="tx1"/>
            </w14:solidFill>
          </w14:textFill>
        </w:rPr>
        <w:t>W</w:t>
      </w:r>
      <w:r>
        <w:rPr>
          <w:color w:val="000000" w:themeColor="text1"/>
          <w14:textFill>
            <w14:solidFill>
              <w14:schemeClr w14:val="tx1"/>
            </w14:solidFill>
          </w14:textFill>
        </w:rPr>
        <w:t>-S</w:t>
      </w:r>
      <w:r>
        <w:rPr>
          <w:rFonts w:hint="eastAsia"/>
          <w:color w:val="000000" w:themeColor="text1"/>
          <w14:textFill>
            <w14:solidFill>
              <w14:schemeClr w14:val="tx1"/>
            </w14:solidFill>
          </w14:textFill>
        </w:rPr>
        <w:t>E向扩散为主，但悬浮物浓度增加引起的水质超标属于短期、可恢复性质，</w:t>
      </w:r>
      <w:r>
        <w:rPr>
          <w:color w:val="000000" w:themeColor="text1"/>
          <w14:textFill>
            <w14:solidFill>
              <w14:schemeClr w14:val="tx1"/>
            </w14:solidFill>
          </w14:textFill>
        </w:rPr>
        <w:t>施工期与运营期产生的污水与固废均严格按北部湾港船舶污染物接收处置方案进行管理，不向海域内排放，</w:t>
      </w:r>
      <w:r>
        <w:rPr>
          <w:rFonts w:hint="eastAsia"/>
          <w:color w:val="000000" w:themeColor="text1"/>
          <w14:textFill>
            <w14:solidFill>
              <w14:schemeClr w14:val="tx1"/>
            </w14:solidFill>
          </w14:textFill>
        </w:rPr>
        <w:t>不会对农渔业及养殖区产生长期的、不可恢复性的不良影响。</w:t>
      </w:r>
    </w:p>
    <w:p>
      <w:pPr>
        <w:pStyle w:val="6"/>
        <w:rPr>
          <w:color w:val="000000" w:themeColor="text1"/>
          <w14:textFill>
            <w14:solidFill>
              <w14:schemeClr w14:val="tx1"/>
            </w14:solidFill>
          </w14:textFill>
        </w:rPr>
      </w:pPr>
      <w:r>
        <w:rPr>
          <w:color w:val="000000" w:themeColor="text1"/>
          <w14:textFill>
            <w14:solidFill>
              <w14:schemeClr w14:val="tx1"/>
            </w14:solidFill>
          </w14:textFill>
        </w:rPr>
        <w:t>对其他敏感目标影响分析</w:t>
      </w:r>
    </w:p>
    <w:p>
      <w:pPr>
        <w:pStyle w:val="1075"/>
        <w:ind w:firstLine="437"/>
        <w:rPr>
          <w:color w:val="000000" w:themeColor="text1"/>
          <w14:textFill>
            <w14:solidFill>
              <w14:schemeClr w14:val="tx1"/>
            </w14:solidFill>
          </w14:textFill>
        </w:rPr>
      </w:pPr>
      <w:r>
        <w:rPr>
          <w:color w:val="000000" w:themeColor="text1"/>
          <w14:textFill>
            <w14:solidFill>
              <w14:schemeClr w14:val="tx1"/>
            </w14:solidFill>
          </w14:textFill>
        </w:rPr>
        <w:t>评价范围内的其他敏感目标还包括</w:t>
      </w:r>
      <w:r>
        <w:rPr>
          <w:rFonts w:hint="eastAsia"/>
          <w:color w:val="000000" w:themeColor="text1"/>
          <w14:textFill>
            <w14:solidFill>
              <w14:schemeClr w14:val="tx1"/>
            </w14:solidFill>
          </w14:textFill>
        </w:rPr>
        <w:t>金鼓江、鹿耳环江红树林集中分布区</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《钦州市国土空间总体规划（2021—2035年）》中的生态保护红线、三娘湾生态保护区、鹿耳环游憩用海区、鹿耳环江大灶沿岸池塘养殖区及</w:t>
      </w:r>
      <w:r>
        <w:rPr>
          <w:color w:val="000000" w:themeColor="text1"/>
          <w14:textFill>
            <w14:solidFill>
              <w14:schemeClr w14:val="tx1"/>
            </w14:solidFill>
          </w14:textFill>
        </w:rPr>
        <w:t>钦州市养殖水域滩涂规划中划定的养殖区等。</w:t>
      </w:r>
    </w:p>
    <w:p>
      <w:pPr>
        <w:pStyle w:val="1075"/>
        <w:ind w:firstLine="437"/>
        <w:rPr>
          <w:color w:val="000000" w:themeColor="text1"/>
          <w14:textFill>
            <w14:solidFill>
              <w14:schemeClr w14:val="tx1"/>
            </w14:solidFill>
          </w14:textFill>
        </w:rPr>
      </w:pPr>
      <w:r>
        <w:rPr>
          <w:color w:val="000000" w:themeColor="text1"/>
          <w14:textFill>
            <w14:solidFill>
              <w14:schemeClr w14:val="tx1"/>
            </w14:solidFill>
          </w14:textFill>
        </w:rPr>
        <w:t>由悬浮物扩散模拟计算结果以及炸礁施工影响计算结果可知，本工程施工作业产生的悬浮物增量扩散范围以及炸礁的影响范围均位于施工海域附近，</w:t>
      </w:r>
      <w:r>
        <w:rPr>
          <w:color w:val="000000" w:themeColor="text1"/>
          <w:u w:val="single"/>
          <w14:textFill>
            <w14:solidFill>
              <w14:schemeClr w14:val="tx1"/>
            </w14:solidFill>
          </w14:textFill>
        </w:rPr>
        <w:t>距离</w:t>
      </w:r>
      <w:r>
        <w:rPr>
          <w:rFonts w:hint="eastAsia"/>
          <w:color w:val="000000" w:themeColor="text1"/>
          <w:u w:val="single"/>
          <w14:textFill>
            <w14:solidFill>
              <w14:schemeClr w14:val="tx1"/>
            </w14:solidFill>
          </w14:textFill>
        </w:rPr>
        <w:t>红树林集中分布区</w:t>
      </w:r>
      <w:r>
        <w:rPr>
          <w:color w:val="000000" w:themeColor="text1"/>
          <w:u w:val="single"/>
          <w14:textFill>
            <w14:solidFill>
              <w14:schemeClr w14:val="tx1"/>
            </w14:solidFill>
          </w14:textFill>
        </w:rPr>
        <w:t>最近约</w:t>
      </w:r>
      <w:r>
        <w:rPr>
          <w:rFonts w:hint="eastAsia"/>
          <w:color w:val="000000" w:themeColor="text1"/>
          <w:u w:val="single"/>
          <w14:textFill>
            <w14:solidFill>
              <w14:schemeClr w14:val="tx1"/>
            </w14:solidFill>
          </w14:textFill>
        </w:rPr>
        <w:t>6.3</w:t>
      </w:r>
      <w:r>
        <w:rPr>
          <w:color w:val="000000" w:themeColor="text1"/>
          <w:u w:val="single"/>
          <w14:textFill>
            <w14:solidFill>
              <w14:schemeClr w14:val="tx1"/>
            </w14:solidFill>
          </w14:textFill>
        </w:rPr>
        <w:t>km，距离海洋生态保护红线区最近约</w:t>
      </w:r>
      <w:r>
        <w:rPr>
          <w:rFonts w:hint="eastAsia"/>
          <w:color w:val="000000" w:themeColor="text1"/>
          <w:u w:val="single"/>
          <w14:textFill>
            <w14:solidFill>
              <w14:schemeClr w14:val="tx1"/>
            </w14:solidFill>
          </w14:textFill>
        </w:rPr>
        <w:t>5.3</w:t>
      </w:r>
      <w:r>
        <w:rPr>
          <w:color w:val="000000" w:themeColor="text1"/>
          <w:u w:val="single"/>
          <w14:textFill>
            <w14:solidFill>
              <w14:schemeClr w14:val="tx1"/>
            </w14:solidFill>
          </w14:textFill>
        </w:rPr>
        <w:t>km，距离</w:t>
      </w:r>
      <w:r>
        <w:rPr>
          <w:rFonts w:hint="eastAsia"/>
          <w:color w:val="000000" w:themeColor="text1"/>
          <w:u w:val="single"/>
          <w14:textFill>
            <w14:solidFill>
              <w14:schemeClr w14:val="tx1"/>
            </w14:solidFill>
          </w14:textFill>
        </w:rPr>
        <w:t>海洋保护</w:t>
      </w:r>
      <w:r>
        <w:rPr>
          <w:color w:val="000000" w:themeColor="text1"/>
          <w:u w:val="single"/>
          <w14:textFill>
            <w14:solidFill>
              <w14:schemeClr w14:val="tx1"/>
            </w14:solidFill>
          </w14:textFill>
        </w:rPr>
        <w:t>区最近距离约5.8</w:t>
      </w:r>
      <w:r>
        <w:rPr>
          <w:rFonts w:hint="eastAsia"/>
          <w:color w:val="000000" w:themeColor="text1"/>
          <w:u w:val="single"/>
          <w14:textFill>
            <w14:solidFill>
              <w14:schemeClr w14:val="tx1"/>
            </w14:solidFill>
          </w14:textFill>
        </w:rPr>
        <w:t>km，距离养殖区最近约</w:t>
      </w:r>
      <w:r>
        <w:rPr>
          <w:color w:val="000000" w:themeColor="text1"/>
          <w:u w:val="single"/>
          <w14:textFill>
            <w14:solidFill>
              <w14:schemeClr w14:val="tx1"/>
            </w14:solidFill>
          </w14:textFill>
        </w:rPr>
        <w:t>4.0</w:t>
      </w:r>
      <w:r>
        <w:rPr>
          <w:rFonts w:hint="eastAsia"/>
          <w:color w:val="000000" w:themeColor="text1"/>
          <w:u w:val="single"/>
          <w14:textFill>
            <w14:solidFill>
              <w14:schemeClr w14:val="tx1"/>
            </w14:solidFill>
          </w14:textFill>
        </w:rPr>
        <w:t>km，距离钦州市七十二泾海岛群旅游度假区约10.66km，</w:t>
      </w:r>
      <w:r>
        <w:rPr>
          <w:rFonts w:hint="eastAsia"/>
          <w:color w:val="000000" w:themeColor="text1"/>
          <w14:textFill>
            <w14:solidFill>
              <w14:schemeClr w14:val="tx1"/>
            </w14:solidFill>
          </w14:textFill>
        </w:rPr>
        <w:t>工程建设位置与上述敏感保护目标</w:t>
      </w:r>
      <w:r>
        <w:rPr>
          <w:color w:val="000000" w:themeColor="text1"/>
          <w14:textFill>
            <w14:solidFill>
              <w14:schemeClr w14:val="tx1"/>
            </w14:solidFill>
          </w14:textFill>
        </w:rPr>
        <w:t>距离均较远，在落实了各项环保措施后，不会对周边敏感目标造成明显影响。</w:t>
      </w:r>
    </w:p>
    <w:p>
      <w:pPr>
        <w:pStyle w:val="1075"/>
        <w:ind w:firstLine="437"/>
        <w:rPr>
          <w:color w:val="000000" w:themeColor="text1"/>
          <w14:textFill>
            <w14:solidFill>
              <w14:schemeClr w14:val="tx1"/>
            </w14:solidFill>
          </w14:textFill>
        </w:rPr>
      </w:pPr>
      <w:r>
        <w:rPr>
          <w:color w:val="000000" w:themeColor="text1"/>
          <w14:textFill>
            <w14:solidFill>
              <w14:schemeClr w14:val="tx1"/>
            </w14:solidFill>
          </w14:textFill>
        </w:rPr>
        <w:t>根据数值模拟结果，项目的建设对周边海域潮流场的影响主要集中在项目周边较近范围内，对地形地貌冲淤环境的影响主要集中在项目周边海域范围内，对保护区所处海域水动力环境、水质环境影响不大。施工期与运营期产生的污水与固废均严格按照北部湾港船舶污染物接收处置方案，不向海域内排放，不会明显影响保护区的生态环境。</w:t>
      </w:r>
    </w:p>
    <w:p>
      <w:pPr>
        <w:pStyle w:val="1075"/>
        <w:ind w:firstLine="437"/>
        <w:rPr>
          <w:color w:val="000000" w:themeColor="text1"/>
          <w14:textFill>
            <w14:solidFill>
              <w14:schemeClr w14:val="tx1"/>
            </w14:solidFill>
          </w14:textFill>
        </w:rPr>
      </w:pPr>
      <w:r>
        <w:rPr>
          <w:color w:val="000000" w:themeColor="text1"/>
          <w14:textFill>
            <w14:solidFill>
              <w14:schemeClr w14:val="tx1"/>
            </w14:solidFill>
          </w14:textFill>
        </w:rPr>
        <w:t>项目对其他敏感目标的影响主要是施工期和运营期船舶碰撞溢油事故，建设期及运营期必须严格落实各项风险事故防范应急措施，尽可能降低事故发生概率，一旦发生事故，要做到及时响应，避免油膜扩散进入海洋保护目标所在海域内。</w:t>
      </w:r>
    </w:p>
    <w:p>
      <w:pPr>
        <w:pStyle w:val="1075"/>
        <w:ind w:firstLine="437"/>
        <w:rPr>
          <w:color w:val="000000" w:themeColor="text1"/>
          <w14:textFill>
            <w14:solidFill>
              <w14:schemeClr w14:val="tx1"/>
            </w14:solidFill>
          </w14:textFill>
        </w:rPr>
      </w:pPr>
      <w:r>
        <w:rPr>
          <w:color w:val="000000" w:themeColor="text1"/>
          <w14:textFill>
            <w14:solidFill>
              <w14:schemeClr w14:val="tx1"/>
            </w14:solidFill>
          </w14:textFill>
        </w:rPr>
        <w:t>综上，在正常施工及运营的情况下，项目建设及运营对</w:t>
      </w:r>
      <w:r>
        <w:rPr>
          <w:rFonts w:hint="eastAsia"/>
          <w:color w:val="000000" w:themeColor="text1"/>
          <w14:textFill>
            <w14:solidFill>
              <w14:schemeClr w14:val="tx1"/>
            </w14:solidFill>
          </w14:textFill>
        </w:rPr>
        <w:t>红树林集中</w:t>
      </w:r>
      <w:r>
        <w:rPr>
          <w:color w:val="000000" w:themeColor="text1"/>
          <w14:textFill>
            <w14:solidFill>
              <w14:schemeClr w14:val="tx1"/>
            </w14:solidFill>
          </w14:textFill>
        </w:rPr>
        <w:t>分布区、海洋保护区、生态保护红线海域及</w:t>
      </w:r>
      <w:r>
        <w:rPr>
          <w:rFonts w:hint="eastAsia"/>
          <w:color w:val="000000" w:themeColor="text1"/>
          <w14:textFill>
            <w14:solidFill>
              <w14:schemeClr w14:val="tx1"/>
            </w14:solidFill>
          </w14:textFill>
        </w:rPr>
        <w:t>七十二泾海岛群旅游度假区</w:t>
      </w:r>
      <w:r>
        <w:rPr>
          <w:color w:val="000000" w:themeColor="text1"/>
          <w14:textFill>
            <w14:solidFill>
              <w14:schemeClr w14:val="tx1"/>
            </w14:solidFill>
          </w14:textFill>
        </w:rPr>
        <w:t>影响很小。</w:t>
      </w:r>
    </w:p>
    <w:p>
      <w:pPr>
        <w:pStyle w:val="5"/>
        <w:rPr>
          <w:color w:val="000000" w:themeColor="text1"/>
          <w14:textFill>
            <w14:solidFill>
              <w14:schemeClr w14:val="tx1"/>
            </w14:solidFill>
          </w14:textFill>
        </w:rPr>
      </w:pPr>
      <w:r>
        <w:rPr>
          <w:color w:val="000000" w:themeColor="text1"/>
          <w14:textFill>
            <w14:solidFill>
              <w14:schemeClr w14:val="tx1"/>
            </w14:solidFill>
          </w14:textFill>
        </w:rPr>
        <w:t>施工期生态影响</w:t>
      </w:r>
    </w:p>
    <w:p>
      <w:pPr>
        <w:pStyle w:val="283"/>
        <w:rPr>
          <w:color w:val="000000" w:themeColor="text1"/>
          <w14:textFill>
            <w14:solidFill>
              <w14:schemeClr w14:val="tx1"/>
            </w14:solidFill>
          </w14:textFill>
        </w:rPr>
      </w:pPr>
      <w:r>
        <w:rPr>
          <w:rFonts w:hint="eastAsia"/>
          <w:color w:val="000000" w:themeColor="text1"/>
          <w14:textFill>
            <w14:solidFill>
              <w14:schemeClr w14:val="tx1"/>
            </w14:solidFill>
          </w14:textFill>
        </w:rPr>
        <w:t>施工期</w:t>
      </w:r>
      <w:r>
        <w:rPr>
          <w:color w:val="000000" w:themeColor="text1"/>
          <w14:textFill>
            <w14:solidFill>
              <w14:schemeClr w14:val="tx1"/>
            </w14:solidFill>
          </w14:textFill>
        </w:rPr>
        <w:t>对海洋生态大的影响主要表现在：码头水工结构永久占用生物栖息环境；港池疏浚搅动海底，破坏底栖生物生境；港池疏浚、炸礁爆破使悬浮物增加，浑浊的海水对区域范围内水生生物的正常活动造成一定影响；炸礁冲击波对游泳动物等海洋生物资源造成损失等。</w:t>
      </w:r>
    </w:p>
    <w:p>
      <w:pPr>
        <w:pStyle w:val="6"/>
        <w:rPr>
          <w:color w:val="000000" w:themeColor="text1"/>
          <w14:textFill>
            <w14:solidFill>
              <w14:schemeClr w14:val="tx1"/>
            </w14:solidFill>
          </w14:textFill>
        </w:rPr>
      </w:pPr>
      <w:r>
        <w:rPr>
          <w:color w:val="000000" w:themeColor="text1"/>
          <w14:textFill>
            <w14:solidFill>
              <w14:schemeClr w14:val="tx1"/>
            </w14:solidFill>
          </w14:textFill>
        </w:rPr>
        <w:t>疏浚工程对生物的影响分析</w:t>
      </w:r>
    </w:p>
    <w:p>
      <w:pPr>
        <w:pStyle w:val="7"/>
      </w:pPr>
      <w:r>
        <w:rPr>
          <w:rFonts w:hint="eastAsia"/>
        </w:rPr>
        <w:t>1</w:t>
      </w:r>
      <w:r>
        <w:t>、底栖生物的影响分析</w:t>
      </w:r>
    </w:p>
    <w:p>
      <w:pPr>
        <w:pStyle w:val="283"/>
        <w:rPr>
          <w:color w:val="000000" w:themeColor="text1"/>
          <w14:textFill>
            <w14:solidFill>
              <w14:schemeClr w14:val="tx1"/>
            </w14:solidFill>
          </w14:textFill>
        </w:rPr>
      </w:pPr>
      <w:r>
        <w:rPr>
          <w:color w:val="000000" w:themeColor="text1"/>
          <w14:textFill>
            <w14:solidFill>
              <w14:schemeClr w14:val="tx1"/>
            </w14:solidFill>
          </w14:textFill>
        </w:rPr>
        <w:t>工程施工会对海域内的底栖生物产生一定的影响，按其影响性质分为直接、间接影响，直接影响指水域疏浚施工过程中，由于其施工行为占用海域，从而破坏了底栖生物的生境，直接导致底栖生物死亡；间接影响指上述施工行为引起的悬浮物增加并在一定区域内扩散，悬浮物扩散区的底栖生物变化情况。具体影响分析如下：</w:t>
      </w:r>
    </w:p>
    <w:p>
      <w:pPr>
        <w:pStyle w:val="283"/>
        <w:rPr>
          <w:color w:val="000000" w:themeColor="text1"/>
          <w14:textFill>
            <w14:solidFill>
              <w14:schemeClr w14:val="tx1"/>
            </w14:solidFill>
          </w14:textFill>
        </w:rPr>
      </w:pPr>
      <w:r>
        <w:rPr>
          <w:color w:val="000000" w:themeColor="text1"/>
          <w14:textFill>
            <w14:solidFill>
              <w14:schemeClr w14:val="tx1"/>
            </w14:solidFill>
          </w14:textFill>
        </w:rPr>
        <w:t>由于项目疏浚、炸礁等过程导致悬浮物含量增高，从而影响到底栖生物的生存环境。当悬浮物覆盖厚度超过2cm时，还会对底栖生物造成致命性损害。悬浮物的沉积，可能引起贝类动物的外套腔和水管受到堵塞而致死。悬浮物的沉积主要影响项目区附近海域的底栖群落，施工结束后一段时间内，受影响的底栖生物群落会逐渐被新的群落所替代。水域疏浚将改变项目区域内海洋生物原有的栖息环境，尤其对底栖生物的影响是最大的。本项目占用海域内的底质环境完全破坏。除少量活动能力较强的底栖种类能够逃往他处存活外，大部分底栖生物被掩埋、覆盖而死亡。</w:t>
      </w:r>
    </w:p>
    <w:p>
      <w:pPr>
        <w:pStyle w:val="7"/>
      </w:pPr>
      <w:r>
        <w:rPr>
          <w:rFonts w:hint="eastAsia"/>
        </w:rPr>
        <w:t>2</w:t>
      </w:r>
      <w:r>
        <w:t>、对浮游生物的影响分析</w:t>
      </w:r>
    </w:p>
    <w:p>
      <w:pPr>
        <w:pStyle w:val="283"/>
        <w:rPr>
          <w:color w:val="000000" w:themeColor="text1"/>
          <w14:textFill>
            <w14:solidFill>
              <w14:schemeClr w14:val="tx1"/>
            </w14:solidFill>
          </w14:textFill>
        </w:rPr>
      </w:pPr>
      <w:r>
        <w:rPr>
          <w:color w:val="000000" w:themeColor="text1"/>
          <w14:textFill>
            <w14:solidFill>
              <w14:schemeClr w14:val="tx1"/>
            </w14:solidFill>
          </w14:textFill>
        </w:rPr>
        <w:t>悬浮泥沙对浮游生物的影响主要为施工过程中产生的悬浮泥沙将导致水体的</w:t>
      </w:r>
      <w:r>
        <w:rPr>
          <w:rFonts w:hint="eastAsia"/>
          <w:color w:val="000000" w:themeColor="text1"/>
          <w14:textFill>
            <w14:solidFill>
              <w14:schemeClr w14:val="tx1"/>
            </w14:solidFill>
          </w14:textFill>
        </w:rPr>
        <w:t>浑浊度</w:t>
      </w:r>
      <w:r>
        <w:rPr>
          <w:color w:val="000000" w:themeColor="text1"/>
          <w14:textFill>
            <w14:solidFill>
              <w14:schemeClr w14:val="tx1"/>
            </w14:solidFill>
          </w14:textFill>
        </w:rPr>
        <w:t>增大，透明度降低，不利于浮游植物的繁殖生长。此外还表现在对浮游动物的生长率、摄食率的影响等。长江口航道疏浚悬浮泥沙对水生生物毒性效应的试验结果表明：当悬浮泥沙浓度达到 9mg/L 时，将影响浮游动物的存活率和浮游植物光合作用。嵊泗洋山深水港环评工作中，东海水产所曾做过疏浚泥沙对海洋生态系统的影响实验，实验结果表明虽然疏浚泥沙对海洋生态系统无显著影响，但却会引起浮游动植物生物量有所下降。研究结果表明海水中的悬沙浓度的增加对浮游植物的生长有明显的抑制作用。施工期间对浮游动物的相对损失率l～3月约5％，在4月份浮游动物旺发期可达20％以上，其他月份大约在8-13％之间，各月平均损失率为12％。本项目施工期间产生的悬浮泥沙使周围海水中悬浮物浓度增大，透明度降低，引起浮游植物的光合作用的减少，同样会对浮游植物会产生一定的影响和破坏作用。但由于悬浮沙排放的时间相对较短，随着施工作业结束，停止悬浮沙的排放，其影响将会逐渐减轻。</w:t>
      </w:r>
    </w:p>
    <w:p>
      <w:pPr>
        <w:pStyle w:val="7"/>
      </w:pPr>
      <w:r>
        <w:rPr>
          <w:rFonts w:hint="eastAsia"/>
        </w:rPr>
        <w:t>3</w:t>
      </w:r>
      <w:r>
        <w:t>、对游泳生物的影响</w:t>
      </w:r>
    </w:p>
    <w:p>
      <w:pPr>
        <w:pStyle w:val="283"/>
        <w:rPr>
          <w:color w:val="000000" w:themeColor="text1"/>
          <w14:textFill>
            <w14:solidFill>
              <w14:schemeClr w14:val="tx1"/>
            </w14:solidFill>
          </w14:textFill>
        </w:rPr>
      </w:pPr>
      <w:r>
        <w:rPr>
          <w:color w:val="000000" w:themeColor="text1"/>
          <w14:textFill>
            <w14:solidFill>
              <w14:schemeClr w14:val="tx1"/>
            </w14:solidFill>
          </w14:textFill>
        </w:rPr>
        <w:t>悬浮物含量增高，对游泳生物的分布也有一定影响。游泳生物是海洋生物中的一大类群，海洋鱼类是其典型代表，它们往往具有发达的运动器官和很强的运动能力，从而具有回避污染的效应。室内生态实验表明，悬浮物含量为300mg/L水平，而且每天做短时间的搅拌，鱼类仅能存活3～4周，悬浮物含量在200mg/L以下水平的短期影响，鱼类不会直接致死。工程不会产生的悬浮物含量高浓度区，不会</w:t>
      </w:r>
      <w:r>
        <w:rPr>
          <w:rFonts w:hint="eastAsia"/>
          <w:color w:val="000000" w:themeColor="text1"/>
          <w14:textFill>
            <w14:solidFill>
              <w14:schemeClr w14:val="tx1"/>
            </w14:solidFill>
          </w14:textFill>
        </w:rPr>
        <w:t>造成</w:t>
      </w:r>
      <w:r>
        <w:rPr>
          <w:color w:val="000000" w:themeColor="text1"/>
          <w14:textFill>
            <w14:solidFill>
              <w14:schemeClr w14:val="tx1"/>
            </w14:solidFill>
          </w14:textFill>
        </w:rPr>
        <w:t>体鱼类死亡，且鱼、虾、蟹等游泳能力较强的海洋生物将主动逃避，游泳生物的回避效应使得该海域的生物量有所下降，从而影响使该区域内的生物群落的种类组成和数量分布。至于经济鱼类等，由于移动性较强，更不至于造成明显影响。随着施工的结束，游泳生物的种类和数量会逐渐得到恢复。因此，施工期间产生的悬浮物不会对游泳生物造成较大的影响。</w:t>
      </w:r>
    </w:p>
    <w:p>
      <w:pPr>
        <w:pStyle w:val="7"/>
      </w:pPr>
      <w:r>
        <w:rPr>
          <w:rFonts w:hint="eastAsia"/>
        </w:rPr>
        <w:t>4</w:t>
      </w:r>
      <w:r>
        <w:t>、对渔业资源影响分析</w:t>
      </w:r>
    </w:p>
    <w:p>
      <w:pPr>
        <w:pStyle w:val="283"/>
        <w:rPr>
          <w:color w:val="000000" w:themeColor="text1"/>
          <w14:textFill>
            <w14:solidFill>
              <w14:schemeClr w14:val="tx1"/>
            </w14:solidFill>
          </w14:textFill>
        </w:rPr>
      </w:pPr>
      <w:r>
        <w:rPr>
          <w:color w:val="000000" w:themeColor="text1"/>
          <w14:textFill>
            <w14:solidFill>
              <w14:schemeClr w14:val="tx1"/>
            </w14:solidFill>
          </w14:textFill>
        </w:rPr>
        <w:t>施工过程对渔业资源的影响主要包括两个方面：一是悬浮物对渔业资源的影响；二是炸礁产生冲击波对渔业资源的影响。</w:t>
      </w:r>
    </w:p>
    <w:p>
      <w:pPr>
        <w:pStyle w:val="283"/>
        <w:rPr>
          <w:color w:val="000000" w:themeColor="text1"/>
          <w14:textFill>
            <w14:solidFill>
              <w14:schemeClr w14:val="tx1"/>
            </w14:solidFill>
          </w14:textFill>
        </w:rPr>
      </w:pPr>
      <w:r>
        <w:rPr>
          <w:color w:val="000000" w:themeColor="text1"/>
          <w14:textFill>
            <w14:solidFill>
              <w14:schemeClr w14:val="tx1"/>
            </w14:solidFill>
          </w14:textFill>
        </w:rPr>
        <w:t>悬浮物对鱼类的影响主要表现为直接杀死鱼类个体；降低其生长率及其对疾病的抵抗力；干扰其产卵、降低孵化率和仔鱼成活率；改变其洄游习性；降低其饵料生物的密度；降低其捕食效率等。对鱼卵的影响原理是水中含有过量的悬浮固体，细微的固体颗粒会粘附在鱼卵的表面，妨碍鱼卵的呼吸与水体之间的氧和二氧化碳的交换，过高的悬浮物浓度会降低鱼类的繁殖速率。</w:t>
      </w:r>
    </w:p>
    <w:p>
      <w:pPr>
        <w:pStyle w:val="283"/>
        <w:rPr>
          <w:color w:val="000000" w:themeColor="text1"/>
          <w14:textFill>
            <w14:solidFill>
              <w14:schemeClr w14:val="tx1"/>
            </w14:solidFill>
          </w14:textFill>
        </w:rPr>
      </w:pPr>
      <w:r>
        <w:rPr>
          <w:color w:val="000000" w:themeColor="text1"/>
          <w14:textFill>
            <w14:solidFill>
              <w14:schemeClr w14:val="tx1"/>
            </w14:solidFill>
          </w14:textFill>
        </w:rPr>
        <w:t>国外学者曾做过大量实验研究悬浮物对成鱼的影响。Biosson等人研究鱼类在混浊水域表现出的回避反应，结果表明，当水体悬浮物浓度达到70mg/L时，鱼类在5min内迅速表现出回避反应。如果水中悬浮固体物质含量过高，容易使鱼类的鳃耙腺积聚泥沙，损害鳃部的滤水呼吸功能，甚至窒息死亡。实验数据表明，当SS高达80000mg/L时，鱼类最多只能忍耐一天；在6000mg/L的含量水平，最多只能忍耐一周；在300mg/L含量水平，而且每天</w:t>
      </w:r>
      <w:r>
        <w:rPr>
          <w:rFonts w:hint="eastAsia"/>
          <w:color w:val="000000" w:themeColor="text1"/>
          <w14:textFill>
            <w14:solidFill>
              <w14:schemeClr w14:val="tx1"/>
            </w14:solidFill>
          </w14:textFill>
        </w:rPr>
        <w:t>做</w:t>
      </w:r>
      <w:r>
        <w:rPr>
          <w:color w:val="000000" w:themeColor="text1"/>
          <w14:textFill>
            <w14:solidFill>
              <w14:schemeClr w14:val="tx1"/>
            </w14:solidFill>
          </w14:textFill>
        </w:rPr>
        <w:t>短时间搅拌，使沉淀淤泥泛起至SS浓度达到2300mg/L，则鱼类仅能存活3～4周。一般说来，受到200mg/L以下含量水平的短期影响，鱼类不会直接死亡。覃晓平综合国内外有关文献报道，提出悬浮物对不同海洋种类的致死浓度和明显影响浓度，见表4.</w:t>
      </w:r>
      <w:r>
        <w:rPr>
          <w:rFonts w:hint="eastAsia"/>
          <w:color w:val="000000" w:themeColor="text1"/>
          <w14:textFill>
            <w14:solidFill>
              <w14:schemeClr w14:val="tx1"/>
            </w14:solidFill>
          </w14:textFill>
        </w:rPr>
        <w:t>2</w:t>
      </w:r>
      <w:r>
        <w:rPr>
          <w:color w:val="000000" w:themeColor="text1"/>
          <w14:textFill>
            <w14:solidFill>
              <w14:schemeClr w14:val="tx1"/>
            </w14:solidFill>
          </w14:textFill>
        </w:rPr>
        <w:t>-1。</w:t>
      </w:r>
    </w:p>
    <w:p>
      <w:pPr>
        <w:pStyle w:val="384"/>
        <w:ind w:left="0" w:firstLine="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施工活动对渔业资源直接、间接影响判定表</w:t>
      </w:r>
    </w:p>
    <w:tbl>
      <w:tblPr>
        <w:tblStyle w:val="88"/>
        <w:tblW w:w="8528" w:type="dxa"/>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827"/>
        <w:gridCol w:w="1728"/>
        <w:gridCol w:w="2562"/>
        <w:gridCol w:w="1373"/>
        <w:gridCol w:w="2038"/>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285" w:hRule="atLeast"/>
        </w:trPr>
        <w:tc>
          <w:tcPr>
            <w:tcW w:w="827" w:type="dxa"/>
            <w:vMerge w:val="restart"/>
            <w:noWrap/>
            <w:vAlign w:val="center"/>
          </w:tcPr>
          <w:p>
            <w:pPr>
              <w:widowControl/>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种类</w:t>
            </w:r>
          </w:p>
        </w:tc>
        <w:tc>
          <w:tcPr>
            <w:tcW w:w="4290" w:type="dxa"/>
            <w:gridSpan w:val="2"/>
            <w:noWrap/>
            <w:vAlign w:val="center"/>
          </w:tcPr>
          <w:p>
            <w:pPr>
              <w:widowControl/>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成体（mg/L）</w:t>
            </w:r>
          </w:p>
        </w:tc>
        <w:tc>
          <w:tcPr>
            <w:tcW w:w="3411" w:type="dxa"/>
            <w:gridSpan w:val="2"/>
            <w:noWrap/>
            <w:vAlign w:val="center"/>
          </w:tcPr>
          <w:p>
            <w:pPr>
              <w:widowControl/>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幼体（mg/L）</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285" w:hRule="atLeast"/>
        </w:trPr>
        <w:tc>
          <w:tcPr>
            <w:tcW w:w="827" w:type="dxa"/>
            <w:vMerge w:val="continue"/>
            <w:vAlign w:val="center"/>
          </w:tcPr>
          <w:p>
            <w:pPr>
              <w:widowControl/>
              <w:jc w:val="center"/>
              <w:rPr>
                <w:color w:val="000000" w:themeColor="text1"/>
                <w:kern w:val="0"/>
                <w:sz w:val="21"/>
                <w:szCs w:val="21"/>
                <w14:textFill>
                  <w14:solidFill>
                    <w14:schemeClr w14:val="tx1"/>
                  </w14:solidFill>
                </w14:textFill>
              </w:rPr>
            </w:pPr>
          </w:p>
        </w:tc>
        <w:tc>
          <w:tcPr>
            <w:tcW w:w="1728" w:type="dxa"/>
            <w:noWrap/>
            <w:vAlign w:val="center"/>
          </w:tcPr>
          <w:p>
            <w:pPr>
              <w:widowControl/>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致死浓度</w:t>
            </w:r>
          </w:p>
        </w:tc>
        <w:tc>
          <w:tcPr>
            <w:tcW w:w="2562" w:type="dxa"/>
            <w:noWrap/>
            <w:vAlign w:val="center"/>
          </w:tcPr>
          <w:p>
            <w:pPr>
              <w:widowControl/>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明显影响浓度</w:t>
            </w:r>
          </w:p>
        </w:tc>
        <w:tc>
          <w:tcPr>
            <w:tcW w:w="1373" w:type="dxa"/>
            <w:noWrap/>
            <w:vAlign w:val="center"/>
          </w:tcPr>
          <w:p>
            <w:pPr>
              <w:widowControl/>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致死浓度</w:t>
            </w:r>
          </w:p>
        </w:tc>
        <w:tc>
          <w:tcPr>
            <w:tcW w:w="2038" w:type="dxa"/>
            <w:noWrap/>
            <w:vAlign w:val="center"/>
          </w:tcPr>
          <w:p>
            <w:pPr>
              <w:widowControl/>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明显影响浓度</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285" w:hRule="atLeast"/>
        </w:trPr>
        <w:tc>
          <w:tcPr>
            <w:tcW w:w="827" w:type="dxa"/>
            <w:noWrap/>
            <w:vAlign w:val="center"/>
          </w:tcPr>
          <w:p>
            <w:pPr>
              <w:widowControl/>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鱼类</w:t>
            </w:r>
          </w:p>
        </w:tc>
        <w:tc>
          <w:tcPr>
            <w:tcW w:w="1728" w:type="dxa"/>
            <w:noWrap/>
            <w:vAlign w:val="center"/>
          </w:tcPr>
          <w:p>
            <w:pPr>
              <w:widowControl/>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52000</w:t>
            </w:r>
          </w:p>
        </w:tc>
        <w:tc>
          <w:tcPr>
            <w:tcW w:w="2562" w:type="dxa"/>
            <w:noWrap/>
            <w:vAlign w:val="center"/>
          </w:tcPr>
          <w:p>
            <w:pPr>
              <w:widowControl/>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500</w:t>
            </w:r>
          </w:p>
        </w:tc>
        <w:tc>
          <w:tcPr>
            <w:tcW w:w="1373" w:type="dxa"/>
            <w:noWrap/>
            <w:vAlign w:val="center"/>
          </w:tcPr>
          <w:p>
            <w:pPr>
              <w:widowControl/>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250</w:t>
            </w:r>
          </w:p>
        </w:tc>
        <w:tc>
          <w:tcPr>
            <w:tcW w:w="2038" w:type="dxa"/>
            <w:noWrap/>
            <w:vAlign w:val="center"/>
          </w:tcPr>
          <w:p>
            <w:pPr>
              <w:widowControl/>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125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285" w:hRule="atLeast"/>
        </w:trPr>
        <w:tc>
          <w:tcPr>
            <w:tcW w:w="827" w:type="dxa"/>
            <w:noWrap/>
            <w:vAlign w:val="center"/>
          </w:tcPr>
          <w:p>
            <w:pPr>
              <w:widowControl/>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虾类</w:t>
            </w:r>
          </w:p>
        </w:tc>
        <w:tc>
          <w:tcPr>
            <w:tcW w:w="1728" w:type="dxa"/>
            <w:noWrap/>
            <w:vAlign w:val="center"/>
          </w:tcPr>
          <w:p>
            <w:pPr>
              <w:widowControl/>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8000</w:t>
            </w:r>
          </w:p>
        </w:tc>
        <w:tc>
          <w:tcPr>
            <w:tcW w:w="2562" w:type="dxa"/>
            <w:noWrap/>
            <w:vAlign w:val="center"/>
          </w:tcPr>
          <w:p>
            <w:pPr>
              <w:widowControl/>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500</w:t>
            </w:r>
          </w:p>
        </w:tc>
        <w:tc>
          <w:tcPr>
            <w:tcW w:w="1373" w:type="dxa"/>
            <w:noWrap/>
            <w:vAlign w:val="center"/>
          </w:tcPr>
          <w:p>
            <w:pPr>
              <w:widowControl/>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400</w:t>
            </w:r>
          </w:p>
        </w:tc>
        <w:tc>
          <w:tcPr>
            <w:tcW w:w="2038" w:type="dxa"/>
            <w:noWrap/>
            <w:vAlign w:val="center"/>
          </w:tcPr>
          <w:p>
            <w:pPr>
              <w:widowControl/>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125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285" w:hRule="atLeast"/>
        </w:trPr>
        <w:tc>
          <w:tcPr>
            <w:tcW w:w="827" w:type="dxa"/>
            <w:noWrap/>
            <w:vAlign w:val="center"/>
          </w:tcPr>
          <w:p>
            <w:pPr>
              <w:widowControl/>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蟹类</w:t>
            </w:r>
          </w:p>
        </w:tc>
        <w:tc>
          <w:tcPr>
            <w:tcW w:w="1728" w:type="dxa"/>
            <w:noWrap/>
            <w:vAlign w:val="center"/>
          </w:tcPr>
          <w:p>
            <w:pPr>
              <w:widowControl/>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9000</w:t>
            </w:r>
          </w:p>
        </w:tc>
        <w:tc>
          <w:tcPr>
            <w:tcW w:w="2562" w:type="dxa"/>
            <w:noWrap/>
            <w:vAlign w:val="center"/>
          </w:tcPr>
          <w:p>
            <w:pPr>
              <w:widowControl/>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4300</w:t>
            </w:r>
          </w:p>
        </w:tc>
        <w:tc>
          <w:tcPr>
            <w:tcW w:w="1373" w:type="dxa"/>
            <w:noWrap/>
            <w:vAlign w:val="center"/>
          </w:tcPr>
          <w:p>
            <w:pPr>
              <w:widowControl/>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700</w:t>
            </w:r>
          </w:p>
        </w:tc>
        <w:tc>
          <w:tcPr>
            <w:tcW w:w="2038" w:type="dxa"/>
            <w:noWrap/>
            <w:vAlign w:val="center"/>
          </w:tcPr>
          <w:p>
            <w:pPr>
              <w:widowControl/>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125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285" w:hRule="atLeast"/>
        </w:trPr>
        <w:tc>
          <w:tcPr>
            <w:tcW w:w="827" w:type="dxa"/>
            <w:noWrap/>
            <w:vAlign w:val="center"/>
          </w:tcPr>
          <w:p>
            <w:pPr>
              <w:widowControl/>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贝类</w:t>
            </w:r>
          </w:p>
        </w:tc>
        <w:tc>
          <w:tcPr>
            <w:tcW w:w="1728" w:type="dxa"/>
            <w:noWrap/>
            <w:vAlign w:val="center"/>
          </w:tcPr>
          <w:p>
            <w:pPr>
              <w:widowControl/>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700</w:t>
            </w:r>
          </w:p>
        </w:tc>
        <w:tc>
          <w:tcPr>
            <w:tcW w:w="2562" w:type="dxa"/>
            <w:noWrap/>
            <w:vAlign w:val="center"/>
          </w:tcPr>
          <w:p>
            <w:pPr>
              <w:widowControl/>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500</w:t>
            </w:r>
          </w:p>
        </w:tc>
        <w:tc>
          <w:tcPr>
            <w:tcW w:w="1373" w:type="dxa"/>
            <w:noWrap/>
            <w:vAlign w:val="center"/>
          </w:tcPr>
          <w:p>
            <w:pPr>
              <w:widowControl/>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250</w:t>
            </w:r>
          </w:p>
        </w:tc>
        <w:tc>
          <w:tcPr>
            <w:tcW w:w="2038" w:type="dxa"/>
            <w:noWrap/>
            <w:vAlign w:val="center"/>
          </w:tcPr>
          <w:p>
            <w:pPr>
              <w:widowControl/>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125</w:t>
            </w:r>
          </w:p>
        </w:tc>
      </w:tr>
    </w:tbl>
    <w:p>
      <w:pPr>
        <w:pStyle w:val="283"/>
        <w:rPr>
          <w:color w:val="000000" w:themeColor="text1"/>
          <w14:textFill>
            <w14:solidFill>
              <w14:schemeClr w14:val="tx1"/>
            </w14:solidFill>
          </w14:textFill>
        </w:rPr>
      </w:pPr>
      <w:r>
        <w:rPr>
          <w:color w:val="000000" w:themeColor="text1"/>
          <w14:textFill>
            <w14:solidFill>
              <w14:schemeClr w14:val="tx1"/>
            </w14:solidFill>
          </w14:textFill>
        </w:rPr>
        <w:t>该表所列数据主要针对原水质较清、悬浮物含量较低水域在受到大量悬浮物影响时的情况，海洋生物致死浓度和受影响浓度指标。贝类对悬浮泥沙的影响最为敏感，当悬浮物浓度达到700mg/L即达到贝类的致死浓度。</w:t>
      </w:r>
    </w:p>
    <w:p>
      <w:pPr>
        <w:pStyle w:val="283"/>
        <w:rPr>
          <w:color w:val="000000" w:themeColor="text1"/>
          <w14:textFill>
            <w14:solidFill>
              <w14:schemeClr w14:val="tx1"/>
            </w14:solidFill>
          </w14:textFill>
        </w:rPr>
      </w:pPr>
      <w:r>
        <w:rPr>
          <w:color w:val="000000" w:themeColor="text1"/>
          <w14:textFill>
            <w14:solidFill>
              <w14:schemeClr w14:val="tx1"/>
            </w14:solidFill>
          </w14:textFill>
        </w:rPr>
        <w:t>此外，悬浮泥沙对渔业的影响主要还体现在对浮游动物与浮游植物食物供应所受到的影响上。浮游植物和浮游动物是海洋生物的初级和次级生产力，海水中悬浮物浓度过高，对浮游植物和浮游动物的生长产生不利影响。从食物链的角度对鱼类和虾类的存活与生长产生明显的抑制作用，对渔业资源带来一定影响。悬浮泥沙对渔业的影响不是永久性的，而是可逆的，会随着施工结束而逐渐恢复。</w:t>
      </w:r>
    </w:p>
    <w:p>
      <w:pPr>
        <w:pStyle w:val="283"/>
        <w:rPr>
          <w:color w:val="000000" w:themeColor="text1"/>
          <w14:textFill>
            <w14:solidFill>
              <w14:schemeClr w14:val="tx1"/>
            </w14:solidFill>
          </w14:textFill>
        </w:rPr>
      </w:pPr>
      <w:r>
        <w:rPr>
          <w:color w:val="000000" w:themeColor="text1"/>
          <w14:textFill>
            <w14:solidFill>
              <w14:schemeClr w14:val="tx1"/>
            </w14:solidFill>
          </w14:textFill>
        </w:rPr>
        <w:t>根据施工期悬浮物扩散模拟预测结果，本次疏浚引起的悬浮物增量均小于成体的明显影响浓度，对幼体的影响稍大，但都局限在水域疏浚区域内，项目的建设对区域渔业资源的影响比较小。</w:t>
      </w:r>
    </w:p>
    <w:p>
      <w:pPr>
        <w:pStyle w:val="6"/>
        <w:rPr>
          <w:color w:val="000000" w:themeColor="text1"/>
          <w14:textFill>
            <w14:solidFill>
              <w14:schemeClr w14:val="tx1"/>
            </w14:solidFill>
          </w14:textFill>
        </w:rPr>
      </w:pPr>
      <w:r>
        <w:rPr>
          <w:color w:val="000000" w:themeColor="text1"/>
          <w14:textFill>
            <w14:solidFill>
              <w14:schemeClr w14:val="tx1"/>
            </w14:solidFill>
          </w14:textFill>
        </w:rPr>
        <w:t>爆破炸礁环境影响分析</w:t>
      </w:r>
    </w:p>
    <w:p>
      <w:pPr>
        <w:pStyle w:val="283"/>
        <w:rPr>
          <w:color w:val="000000" w:themeColor="text1"/>
          <w14:textFill>
            <w14:solidFill>
              <w14:schemeClr w14:val="tx1"/>
            </w14:solidFill>
          </w14:textFill>
        </w:rPr>
      </w:pPr>
      <w:r>
        <w:rPr>
          <w:color w:val="000000" w:themeColor="text1"/>
          <w14:textFill>
            <w14:solidFill>
              <w14:schemeClr w14:val="tx1"/>
            </w14:solidFill>
          </w14:textFill>
        </w:rPr>
        <w:t>本项目炸礁采用水下钻孔爆破，采用</w:t>
      </w:r>
      <w:r>
        <w:rPr>
          <w:rFonts w:hint="eastAsia"/>
          <w:color w:val="000000" w:themeColor="text1"/>
          <w14:textFill>
            <w14:solidFill>
              <w14:schemeClr w14:val="tx1"/>
            </w14:solidFill>
          </w14:textFill>
        </w:rPr>
        <w:t>双套管钻进方法进行作业，即先下外套管至覆盖层顶以保护钻孔，再把带钻头的内套管钻至覆盖层底，然后用钻具钻孔至要求深度。钻完一孔后立即将钻孔冲洗干净并用堵眼管塞住，防止泥砂进入孔内。全部的孔钻完后，先拔起堵眼管，冲洗钻孔，再把在船上预制好的炸药筒逐个送入孔内，钻孔顶部留40～60厘米用砂堵塞，然后拔起内、外套管，从套管底端取出导线，把各孔导线联成爆破网路并与主导线连接，船舶撤离危险区后通电起爆。</w:t>
      </w:r>
    </w:p>
    <w:p>
      <w:pPr>
        <w:pStyle w:val="283"/>
        <w:rPr>
          <w:color w:val="000000" w:themeColor="text1"/>
          <w14:textFill>
            <w14:solidFill>
              <w14:schemeClr w14:val="tx1"/>
            </w14:solidFill>
          </w14:textFill>
        </w:rPr>
      </w:pPr>
      <w:r>
        <w:rPr>
          <w:color w:val="000000" w:themeColor="text1"/>
          <w14:textFill>
            <w14:solidFill>
              <w14:schemeClr w14:val="tx1"/>
            </w14:solidFill>
          </w14:textFill>
        </w:rPr>
        <w:t>水下爆破的危害作用主要来自三个方面：地震波作用、水中冲击波作用和爆破飞石。与陆地爆破相比，水下工程爆破不仅施工难度大，而且其产生的冲击波在水体中具有冲 量大、衰减慢的特点，会对水生生物、近岸及水中建构筑物、船舶、水下作业人员的安全形成较大的威胁。</w:t>
      </w:r>
    </w:p>
    <w:p>
      <w:pPr>
        <w:pStyle w:val="283"/>
        <w:rPr>
          <w:color w:val="000000" w:themeColor="text1"/>
          <w14:textFill>
            <w14:solidFill>
              <w14:schemeClr w14:val="tx1"/>
            </w14:solidFill>
          </w14:textFill>
        </w:rPr>
      </w:pPr>
      <w:r>
        <w:rPr>
          <w:rFonts w:hint="eastAsia"/>
          <w:color w:val="000000" w:themeColor="text1"/>
          <w14:textFill>
            <w14:solidFill>
              <w14:schemeClr w14:val="tx1"/>
            </w14:solidFill>
          </w14:textFill>
        </w:rPr>
        <w:t>1、</w:t>
      </w:r>
      <w:r>
        <w:rPr>
          <w:color w:val="000000" w:themeColor="text1"/>
          <w14:textFill>
            <w14:solidFill>
              <w14:schemeClr w14:val="tx1"/>
            </w14:solidFill>
          </w14:textFill>
        </w:rPr>
        <w:t>水下爆破地震波影响分析</w:t>
      </w:r>
    </w:p>
    <w:p>
      <w:pPr>
        <w:pStyle w:val="283"/>
        <w:rPr>
          <w:color w:val="000000" w:themeColor="text1"/>
          <w14:textFill>
            <w14:solidFill>
              <w14:schemeClr w14:val="tx1"/>
            </w14:solidFill>
          </w14:textFill>
        </w:rPr>
      </w:pPr>
      <w:r>
        <w:rPr>
          <w:color w:val="000000" w:themeColor="text1"/>
          <w14:textFill>
            <w14:solidFill>
              <w14:schemeClr w14:val="tx1"/>
            </w14:solidFill>
          </w14:textFill>
        </w:rPr>
        <w:t>根据《爆破安全规程》（GB6722-201</w:t>
      </w:r>
      <w:r>
        <w:rPr>
          <w:rFonts w:hint="eastAsia"/>
          <w:color w:val="000000" w:themeColor="text1"/>
          <w14:textFill>
            <w14:solidFill>
              <w14:schemeClr w14:val="tx1"/>
            </w14:solidFill>
          </w14:textFill>
        </w:rPr>
        <w:t>4</w:t>
      </w:r>
      <w:r>
        <w:rPr>
          <w:color w:val="000000" w:themeColor="text1"/>
          <w14:textFill>
            <w14:solidFill>
              <w14:schemeClr w14:val="tx1"/>
            </w14:solidFill>
          </w14:textFill>
        </w:rPr>
        <w:t>），爆破</w:t>
      </w:r>
      <w:r>
        <w:rPr>
          <w:rFonts w:hint="eastAsia"/>
          <w:color w:val="000000" w:themeColor="text1"/>
          <w14:textFill>
            <w14:solidFill>
              <w14:schemeClr w14:val="tx1"/>
            </w14:solidFill>
          </w14:textFill>
        </w:rPr>
        <w:t>振动</w:t>
      </w:r>
      <w:r>
        <w:rPr>
          <w:color w:val="000000" w:themeColor="text1"/>
          <w14:textFill>
            <w14:solidFill>
              <w14:schemeClr w14:val="tx1"/>
            </w14:solidFill>
          </w14:textFill>
        </w:rPr>
        <w:t>安全允许距离可按下式计算：</w:t>
      </w:r>
    </w:p>
    <w:p>
      <w:pPr>
        <w:pStyle w:val="283"/>
        <w:rPr>
          <w:color w:val="000000" w:themeColor="text1"/>
          <w14:textFill>
            <w14:solidFill>
              <w14:schemeClr w14:val="tx1"/>
            </w14:solidFill>
          </w14:textFill>
        </w:rPr>
      </w:pPr>
      <m:oMathPara>
        <m:oMath>
          <m:r>
            <w:rPr>
              <w:rFonts w:ascii="Cambria Math" w:hAnsi="Cambria Math"/>
              <w:color w:val="000000" w:themeColor="text1"/>
              <w14:textFill>
                <w14:solidFill>
                  <w14:schemeClr w14:val="tx1"/>
                </w14:solidFill>
              </w14:textFill>
            </w:rPr>
            <m:t>R</m:t>
          </m:r>
          <m:r>
            <m:rPr>
              <m:sty m:val="p"/>
            </m:rPr>
            <w:rPr>
              <w:rFonts w:ascii="Cambria Math" w:hAnsi="Cambria Math"/>
              <w:color w:val="000000" w:themeColor="text1"/>
              <w14:textFill>
                <w14:solidFill>
                  <w14:schemeClr w14:val="tx1"/>
                </w14:solidFill>
              </w14:textFill>
            </w:rPr>
            <m:t>=</m:t>
          </m:r>
          <m:sSup>
            <m:sSupPr>
              <m:ctrlPr>
                <w:rPr>
                  <w:rFonts w:ascii="Cambria Math" w:hAnsi="Cambria Math"/>
                  <w:color w:val="000000" w:themeColor="text1"/>
                  <w14:textFill>
                    <w14:solidFill>
                      <w14:schemeClr w14:val="tx1"/>
                    </w14:solidFill>
                  </w14:textFill>
                </w:rPr>
              </m:ctrlPr>
            </m:sSupPr>
            <m:e>
              <m:d>
                <m:dPr>
                  <m:begChr m:val="（"/>
                  <m:endChr m:val="）"/>
                  <m:ctrlPr>
                    <w:rPr>
                      <w:rFonts w:ascii="Cambria Math" w:hAnsi="Cambria Math"/>
                      <w:color w:val="000000" w:themeColor="text1"/>
                      <w14:textFill>
                        <w14:solidFill>
                          <w14:schemeClr w14:val="tx1"/>
                        </w14:solidFill>
                      </w14:textFill>
                    </w:rPr>
                  </m:ctrlPr>
                </m:dPr>
                <m:e>
                  <m:f>
                    <m:fPr>
                      <m:ctrlPr>
                        <w:rPr>
                          <w:rFonts w:ascii="Cambria Math" w:hAnsi="Cambria Math"/>
                          <w:color w:val="000000" w:themeColor="text1"/>
                          <w14:textFill>
                            <w14:solidFill>
                              <w14:schemeClr w14:val="tx1"/>
                            </w14:solidFill>
                          </w14:textFill>
                        </w:rPr>
                      </m:ctrlPr>
                    </m:fPr>
                    <m:num>
                      <m:r>
                        <w:rPr>
                          <w:rFonts w:ascii="Cambria Math" w:hAnsi="Cambria Math"/>
                          <w:color w:val="000000" w:themeColor="text1"/>
                          <w14:textFill>
                            <w14:solidFill>
                              <w14:schemeClr w14:val="tx1"/>
                            </w14:solidFill>
                          </w14:textFill>
                        </w:rPr>
                        <m:t>K</m:t>
                      </m:r>
                      <m:ctrlPr>
                        <w:rPr>
                          <w:rFonts w:ascii="Cambria Math" w:hAnsi="Cambria Math"/>
                          <w:color w:val="000000" w:themeColor="text1"/>
                          <w14:textFill>
                            <w14:solidFill>
                              <w14:schemeClr w14:val="tx1"/>
                            </w14:solidFill>
                          </w14:textFill>
                        </w:rPr>
                      </m:ctrlPr>
                    </m:num>
                    <m:den>
                      <m:r>
                        <w:rPr>
                          <w:rFonts w:ascii="Cambria Math" w:hAnsi="Cambria Math"/>
                          <w:color w:val="000000" w:themeColor="text1"/>
                          <w14:textFill>
                            <w14:solidFill>
                              <w14:schemeClr w14:val="tx1"/>
                            </w14:solidFill>
                          </w14:textFill>
                        </w:rPr>
                        <m:t>V</m:t>
                      </m:r>
                      <m:ctrlPr>
                        <w:rPr>
                          <w:rFonts w:ascii="Cambria Math" w:hAnsi="Cambria Math"/>
                          <w:color w:val="000000" w:themeColor="text1"/>
                          <w14:textFill>
                            <w14:solidFill>
                              <w14:schemeClr w14:val="tx1"/>
                            </w14:solidFill>
                          </w14:textFill>
                        </w:rPr>
                      </m:ctrlPr>
                    </m:den>
                  </m:f>
                  <m:ctrlPr>
                    <w:rPr>
                      <w:rFonts w:ascii="Cambria Math" w:hAnsi="Cambria Math"/>
                      <w:color w:val="000000" w:themeColor="text1"/>
                      <w14:textFill>
                        <w14:solidFill>
                          <w14:schemeClr w14:val="tx1"/>
                        </w14:solidFill>
                      </w14:textFill>
                    </w:rPr>
                  </m:ctrlPr>
                </m:e>
              </m:d>
              <m:ctrlPr>
                <w:rPr>
                  <w:rFonts w:ascii="Cambria Math" w:hAnsi="Cambria Math"/>
                  <w:color w:val="000000" w:themeColor="text1"/>
                  <w14:textFill>
                    <w14:solidFill>
                      <w14:schemeClr w14:val="tx1"/>
                    </w14:solidFill>
                  </w14:textFill>
                </w:rPr>
              </m:ctrlPr>
            </m:e>
            <m:sup>
              <m:f>
                <m:fPr>
                  <m:ctrlPr>
                    <w:rPr>
                      <w:rFonts w:ascii="Cambria Math" w:hAnsi="Cambria Math"/>
                      <w:color w:val="000000" w:themeColor="text1"/>
                      <w14:textFill>
                        <w14:solidFill>
                          <w14:schemeClr w14:val="tx1"/>
                        </w14:solidFill>
                      </w14:textFill>
                    </w:rPr>
                  </m:ctrlPr>
                </m:fPr>
                <m:num>
                  <m:r>
                    <m:rPr>
                      <m:sty m:val="p"/>
                    </m:rPr>
                    <w:rPr>
                      <w:rFonts w:ascii="Cambria Math" w:hAnsi="Cambria Math"/>
                      <w:color w:val="000000" w:themeColor="text1"/>
                      <w14:textFill>
                        <w14:solidFill>
                          <w14:schemeClr w14:val="tx1"/>
                        </w14:solidFill>
                      </w14:textFill>
                    </w:rPr>
                    <m:t>1</m:t>
                  </m:r>
                  <m:ctrlPr>
                    <w:rPr>
                      <w:rFonts w:ascii="Cambria Math" w:hAnsi="Cambria Math"/>
                      <w:color w:val="000000" w:themeColor="text1"/>
                      <w14:textFill>
                        <w14:solidFill>
                          <w14:schemeClr w14:val="tx1"/>
                        </w14:solidFill>
                      </w14:textFill>
                    </w:rPr>
                  </m:ctrlPr>
                </m:num>
                <m:den>
                  <m:r>
                    <w:rPr>
                      <w:rFonts w:ascii="Cambria Math" w:hAnsi="Cambria Math"/>
                      <w:color w:val="000000" w:themeColor="text1"/>
                      <w14:textFill>
                        <w14:solidFill>
                          <w14:schemeClr w14:val="tx1"/>
                        </w14:solidFill>
                      </w14:textFill>
                    </w:rPr>
                    <m:t>α</m:t>
                  </m:r>
                  <m:ctrlPr>
                    <w:rPr>
                      <w:rFonts w:ascii="Cambria Math" w:hAnsi="Cambria Math"/>
                      <w:color w:val="000000" w:themeColor="text1"/>
                      <w14:textFill>
                        <w14:solidFill>
                          <w14:schemeClr w14:val="tx1"/>
                        </w14:solidFill>
                      </w14:textFill>
                    </w:rPr>
                  </m:ctrlPr>
                </m:den>
              </m:f>
              <m:ctrlPr>
                <w:rPr>
                  <w:rFonts w:ascii="Cambria Math" w:hAnsi="Cambria Math"/>
                  <w:color w:val="000000" w:themeColor="text1"/>
                  <w14:textFill>
                    <w14:solidFill>
                      <w14:schemeClr w14:val="tx1"/>
                    </w14:solidFill>
                  </w14:textFill>
                </w:rPr>
              </m:ctrlPr>
            </m:sup>
          </m:sSup>
          <m:sSup>
            <m:sSupPr>
              <m:ctrlPr>
                <w:rPr>
                  <w:rFonts w:ascii="Cambria Math" w:hAnsi="Cambria Math"/>
                  <w:color w:val="000000" w:themeColor="text1"/>
                  <w14:textFill>
                    <w14:solidFill>
                      <w14:schemeClr w14:val="tx1"/>
                    </w14:solidFill>
                  </w14:textFill>
                </w:rPr>
              </m:ctrlPr>
            </m:sSupPr>
            <m:e>
              <m:r>
                <w:rPr>
                  <w:rFonts w:ascii="Cambria Math" w:hAnsi="Cambria Math"/>
                  <w:color w:val="000000" w:themeColor="text1"/>
                  <w14:textFill>
                    <w14:solidFill>
                      <w14:schemeClr w14:val="tx1"/>
                    </w14:solidFill>
                  </w14:textFill>
                </w:rPr>
                <m:t>Q</m:t>
              </m:r>
              <m:ctrlPr>
                <w:rPr>
                  <w:rFonts w:ascii="Cambria Math" w:hAnsi="Cambria Math"/>
                  <w:color w:val="000000" w:themeColor="text1"/>
                  <w14:textFill>
                    <w14:solidFill>
                      <w14:schemeClr w14:val="tx1"/>
                    </w14:solidFill>
                  </w14:textFill>
                </w:rPr>
              </m:ctrlPr>
            </m:e>
            <m:sup>
              <m:f>
                <m:fPr>
                  <m:ctrlPr>
                    <w:rPr>
                      <w:rFonts w:ascii="Cambria Math" w:hAnsi="Cambria Math"/>
                      <w:i/>
                      <w:color w:val="000000" w:themeColor="text1"/>
                      <w14:textFill>
                        <w14:solidFill>
                          <w14:schemeClr w14:val="tx1"/>
                        </w14:solidFill>
                      </w14:textFill>
                    </w:rPr>
                  </m:ctrlPr>
                </m:fPr>
                <m:num>
                  <m:r>
                    <w:rPr>
                      <w:rFonts w:ascii="Cambria Math" w:hAnsi="Cambria Math"/>
                      <w:color w:val="000000" w:themeColor="text1"/>
                      <w14:textFill>
                        <w14:solidFill>
                          <w14:schemeClr w14:val="tx1"/>
                        </w14:solidFill>
                      </w14:textFill>
                    </w:rPr>
                    <m:t>1</m:t>
                  </m:r>
                  <m:ctrlPr>
                    <w:rPr>
                      <w:rFonts w:ascii="Cambria Math" w:hAnsi="Cambria Math"/>
                      <w:i/>
                      <w:color w:val="000000" w:themeColor="text1"/>
                      <w14:textFill>
                        <w14:solidFill>
                          <w14:schemeClr w14:val="tx1"/>
                        </w14:solidFill>
                      </w14:textFill>
                    </w:rPr>
                  </m:ctrlPr>
                </m:num>
                <m:den>
                  <m:r>
                    <w:rPr>
                      <w:rFonts w:ascii="Cambria Math" w:hAnsi="Cambria Math"/>
                      <w:color w:val="000000" w:themeColor="text1"/>
                      <w14:textFill>
                        <w14:solidFill>
                          <w14:schemeClr w14:val="tx1"/>
                        </w14:solidFill>
                      </w14:textFill>
                    </w:rPr>
                    <m:t>3</m:t>
                  </m:r>
                  <m:ctrlPr>
                    <w:rPr>
                      <w:rFonts w:ascii="Cambria Math" w:hAnsi="Cambria Math"/>
                      <w:i/>
                      <w:color w:val="000000" w:themeColor="text1"/>
                      <w14:textFill>
                        <w14:solidFill>
                          <w14:schemeClr w14:val="tx1"/>
                        </w14:solidFill>
                      </w14:textFill>
                    </w:rPr>
                  </m:ctrlPr>
                </m:den>
              </m:f>
              <m:ctrlPr>
                <w:rPr>
                  <w:rFonts w:ascii="Cambria Math" w:hAnsi="Cambria Math"/>
                  <w:color w:val="000000" w:themeColor="text1"/>
                  <w14:textFill>
                    <w14:solidFill>
                      <w14:schemeClr w14:val="tx1"/>
                    </w14:solidFill>
                  </w14:textFill>
                </w:rPr>
              </m:ctrlPr>
            </m:sup>
          </m:sSup>
        </m:oMath>
      </m:oMathPara>
    </w:p>
    <w:p>
      <w:pPr>
        <w:pStyle w:val="283"/>
        <w:rPr>
          <w:color w:val="000000" w:themeColor="text1"/>
          <w14:textFill>
            <w14:solidFill>
              <w14:schemeClr w14:val="tx1"/>
            </w14:solidFill>
          </w14:textFill>
        </w:rPr>
      </w:pPr>
      <w:r>
        <w:rPr>
          <w:color w:val="000000" w:themeColor="text1"/>
          <w14:textFill>
            <w14:solidFill>
              <w14:schemeClr w14:val="tx1"/>
            </w14:solidFill>
          </w14:textFill>
        </w:rPr>
        <w:t>式中：</w:t>
      </w:r>
    </w:p>
    <w:p>
      <w:pPr>
        <w:pStyle w:val="283"/>
        <w:rPr>
          <w:color w:val="000000" w:themeColor="text1"/>
          <w14:textFill>
            <w14:solidFill>
              <w14:schemeClr w14:val="tx1"/>
            </w14:solidFill>
          </w14:textFill>
        </w:rPr>
      </w:pPr>
      <w:r>
        <w:rPr>
          <w:color w:val="000000" w:themeColor="text1"/>
          <w14:textFill>
            <w14:solidFill>
              <w14:schemeClr w14:val="tx1"/>
            </w14:solidFill>
          </w14:textFill>
        </w:rPr>
        <w:t>R─</w:t>
      </w:r>
      <w:r>
        <w:rPr>
          <w:rFonts w:hint="eastAsia"/>
          <w:color w:val="000000" w:themeColor="text1"/>
          <w14:textFill>
            <w14:solidFill>
              <w14:schemeClr w14:val="tx1"/>
            </w14:solidFill>
          </w14:textFill>
        </w:rPr>
        <w:t>爆破振动</w:t>
      </w:r>
      <w:r>
        <w:rPr>
          <w:color w:val="000000" w:themeColor="text1"/>
          <w14:textFill>
            <w14:solidFill>
              <w14:schemeClr w14:val="tx1"/>
            </w14:solidFill>
          </w14:textFill>
        </w:rPr>
        <w:t xml:space="preserve">安全允许距离，m； </w:t>
      </w:r>
    </w:p>
    <w:p>
      <w:pPr>
        <w:pStyle w:val="283"/>
        <w:rPr>
          <w:color w:val="000000" w:themeColor="text1"/>
          <w14:textFill>
            <w14:solidFill>
              <w14:schemeClr w14:val="tx1"/>
            </w14:solidFill>
          </w14:textFill>
        </w:rPr>
      </w:pPr>
      <w:r>
        <w:rPr>
          <w:color w:val="000000" w:themeColor="text1"/>
          <w14:textFill>
            <w14:solidFill>
              <w14:schemeClr w14:val="tx1"/>
            </w14:solidFill>
          </w14:textFill>
        </w:rPr>
        <w:t>Q─炸药量kg，齐发爆破</w:t>
      </w:r>
      <w:r>
        <w:rPr>
          <w:rFonts w:hint="eastAsia"/>
          <w:color w:val="000000" w:themeColor="text1"/>
          <w14:textFill>
            <w14:solidFill>
              <w14:schemeClr w14:val="tx1"/>
            </w14:solidFill>
          </w14:textFill>
        </w:rPr>
        <w:t>为</w:t>
      </w:r>
      <w:r>
        <w:rPr>
          <w:color w:val="000000" w:themeColor="text1"/>
          <w14:textFill>
            <w14:solidFill>
              <w14:schemeClr w14:val="tx1"/>
            </w14:solidFill>
          </w14:textFill>
        </w:rPr>
        <w:t>总药量</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延时爆破为最大单段药量；</w:t>
      </w:r>
    </w:p>
    <w:p>
      <w:pPr>
        <w:pStyle w:val="283"/>
        <w:rPr>
          <w:color w:val="000000" w:themeColor="text1"/>
          <w14:textFill>
            <w14:solidFill>
              <w14:schemeClr w14:val="tx1"/>
            </w14:solidFill>
          </w14:textFill>
        </w:rPr>
      </w:pPr>
      <w:r>
        <w:rPr>
          <w:color w:val="000000" w:themeColor="text1"/>
          <w14:textFill>
            <w14:solidFill>
              <w14:schemeClr w14:val="tx1"/>
            </w14:solidFill>
          </w14:textFill>
        </w:rPr>
        <w:t>V─</w:t>
      </w:r>
      <w:r>
        <w:rPr>
          <w:rFonts w:hint="eastAsia"/>
          <w:color w:val="000000" w:themeColor="text1"/>
          <w14:textFill>
            <w14:solidFill>
              <w14:schemeClr w14:val="tx1"/>
            </w14:solidFill>
          </w14:textFill>
        </w:rPr>
        <w:t>保护对象</w:t>
      </w:r>
      <w:r>
        <w:rPr>
          <w:color w:val="000000" w:themeColor="text1"/>
          <w14:textFill>
            <w14:solidFill>
              <w14:schemeClr w14:val="tx1"/>
            </w14:solidFill>
          </w14:textFill>
        </w:rPr>
        <w:t xml:space="preserve">所在地安全允许质点振速，cm/s； </w:t>
      </w:r>
    </w:p>
    <w:p>
      <w:pPr>
        <w:pStyle w:val="283"/>
        <w:rPr>
          <w:color w:val="000000" w:themeColor="text1"/>
          <w14:textFill>
            <w14:solidFill>
              <w14:schemeClr w14:val="tx1"/>
            </w14:solidFill>
          </w14:textFill>
        </w:rPr>
      </w:pPr>
      <w:r>
        <w:rPr>
          <w:color w:val="000000" w:themeColor="text1"/>
          <w14:textFill>
            <w14:solidFill>
              <w14:schemeClr w14:val="tx1"/>
            </w14:solidFill>
          </w14:textFill>
        </w:rPr>
        <w:t>K</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 xml:space="preserve">α─与爆破点地形、地质等条件有关的系数和衰减指数，按水域的地质结构，取K＝100，α＝1.4。 </w:t>
      </w:r>
    </w:p>
    <w:p>
      <w:pPr>
        <w:pStyle w:val="283"/>
        <w:rPr>
          <w:color w:val="000000" w:themeColor="text1"/>
          <w14:textFill>
            <w14:solidFill>
              <w14:schemeClr w14:val="tx1"/>
            </w14:solidFill>
          </w14:textFill>
        </w:rPr>
      </w:pPr>
      <w:r>
        <w:rPr>
          <w:color w:val="000000" w:themeColor="text1"/>
          <w14:textFill>
            <w14:solidFill>
              <w14:schemeClr w14:val="tx1"/>
            </w14:solidFill>
          </w14:textFill>
        </w:rPr>
        <w:t>施工时采用炸礁船水下钻孔爆破，一排孔为一个起爆段，药量一般为100kg至250kg，本项目按照单次最大装药量250kg进行爆破</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本项目为水下爆破，根据《爆破安全规程》（GB6722-201</w:t>
      </w:r>
      <w:r>
        <w:rPr>
          <w:rFonts w:hint="eastAsia"/>
          <w:color w:val="000000" w:themeColor="text1"/>
          <w14:textFill>
            <w14:solidFill>
              <w14:schemeClr w14:val="tx1"/>
            </w14:solidFill>
          </w14:textFill>
        </w:rPr>
        <w:t>4</w:t>
      </w:r>
      <w:r>
        <w:rPr>
          <w:color w:val="000000" w:themeColor="text1"/>
          <w14:textFill>
            <w14:solidFill>
              <w14:schemeClr w14:val="tx1"/>
            </w14:solidFill>
          </w14:textFill>
        </w:rPr>
        <w:t>）表</w:t>
      </w:r>
      <w:r>
        <w:rPr>
          <w:rFonts w:hint="eastAsia"/>
          <w:color w:val="000000" w:themeColor="text1"/>
          <w14:textFill>
            <w14:solidFill>
              <w14:schemeClr w14:val="tx1"/>
            </w14:solidFill>
          </w14:textFill>
        </w:rPr>
        <w:t>2，</w:t>
      </w:r>
      <w:r>
        <w:rPr>
          <w:color w:val="000000" w:themeColor="text1"/>
          <w14:textFill>
            <w14:solidFill>
              <w14:schemeClr w14:val="tx1"/>
            </w14:solidFill>
          </w14:textFill>
        </w:rPr>
        <w:t>取频率</w:t>
      </w:r>
      <w:r>
        <w:rPr>
          <w:rFonts w:hint="eastAsia"/>
          <w:i/>
          <w:color w:val="000000" w:themeColor="text1"/>
          <w14:textFill>
            <w14:solidFill>
              <w14:schemeClr w14:val="tx1"/>
            </w14:solidFill>
          </w14:textFill>
        </w:rPr>
        <w:t>f</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50Hz对应的安全允许质点振动速度</w:t>
      </w:r>
      <w:r>
        <w:rPr>
          <w:rFonts w:hint="eastAsia"/>
          <w:i/>
          <w:color w:val="000000" w:themeColor="text1"/>
          <w14:textFill>
            <w14:solidFill>
              <w14:schemeClr w14:val="tx1"/>
            </w14:solidFill>
          </w14:textFill>
        </w:rPr>
        <w:t>V</w:t>
      </w:r>
      <w:r>
        <w:rPr>
          <w:color w:val="000000" w:themeColor="text1"/>
          <w14:textFill>
            <w14:solidFill>
              <w14:schemeClr w14:val="tx1"/>
            </w14:solidFill>
          </w14:textFill>
        </w:rPr>
        <w:t>。将有关参数代入上式，得不同药量下的安全距离R如表4.</w:t>
      </w:r>
      <w:r>
        <w:rPr>
          <w:rFonts w:hint="eastAsia"/>
          <w:color w:val="000000" w:themeColor="text1"/>
          <w14:textFill>
            <w14:solidFill>
              <w14:schemeClr w14:val="tx1"/>
            </w14:solidFill>
          </w14:textFill>
        </w:rPr>
        <w:t>2</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2</w:t>
      </w:r>
      <w:r>
        <w:rPr>
          <w:color w:val="000000" w:themeColor="text1"/>
          <w14:textFill>
            <w14:solidFill>
              <w14:schemeClr w14:val="tx1"/>
            </w14:solidFill>
          </w14:textFill>
        </w:rPr>
        <w:t>所示。</w:t>
      </w:r>
    </w:p>
    <w:p>
      <w:pPr>
        <w:pStyle w:val="384"/>
        <w:ind w:left="0" w:firstLine="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不同药量下的安全距离</w:t>
      </w:r>
    </w:p>
    <w:tbl>
      <w:tblPr>
        <w:tblStyle w:val="88"/>
        <w:tblW w:w="8528" w:type="dxa"/>
        <w:tblInd w:w="0" w:type="dxa"/>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Layout w:type="fixed"/>
        <w:tblCellMar>
          <w:top w:w="0" w:type="dxa"/>
          <w:left w:w="108" w:type="dxa"/>
          <w:bottom w:w="0" w:type="dxa"/>
          <w:right w:w="108" w:type="dxa"/>
        </w:tblCellMar>
      </w:tblPr>
      <w:tblGrid>
        <w:gridCol w:w="2179"/>
        <w:gridCol w:w="997"/>
        <w:gridCol w:w="779"/>
        <w:gridCol w:w="779"/>
        <w:gridCol w:w="779"/>
        <w:gridCol w:w="779"/>
        <w:gridCol w:w="779"/>
        <w:gridCol w:w="779"/>
        <w:gridCol w:w="678"/>
      </w:tblGrid>
      <w:tr>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Layout w:type="fixed"/>
          <w:tblCellMar>
            <w:top w:w="0" w:type="dxa"/>
            <w:left w:w="108" w:type="dxa"/>
            <w:bottom w:w="0" w:type="dxa"/>
            <w:right w:w="108" w:type="dxa"/>
          </w:tblCellMar>
        </w:tblPrEx>
        <w:trPr>
          <w:trHeight w:val="315" w:hRule="atLeast"/>
          <w:tblHeader/>
        </w:trPr>
        <w:tc>
          <w:tcPr>
            <w:tcW w:w="2179" w:type="dxa"/>
            <w:vMerge w:val="restart"/>
            <w:vAlign w:val="center"/>
          </w:tcPr>
          <w:p>
            <w:pPr>
              <w:widowControl/>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建筑物性质</w:t>
            </w:r>
          </w:p>
        </w:tc>
        <w:tc>
          <w:tcPr>
            <w:tcW w:w="997" w:type="dxa"/>
            <w:vMerge w:val="restart"/>
            <w:vAlign w:val="center"/>
          </w:tcPr>
          <w:p>
            <w:pPr>
              <w:widowControl/>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V（cm/s）</w:t>
            </w:r>
          </w:p>
        </w:tc>
        <w:tc>
          <w:tcPr>
            <w:tcW w:w="5352" w:type="dxa"/>
            <w:gridSpan w:val="7"/>
            <w:vAlign w:val="center"/>
          </w:tcPr>
          <w:p>
            <w:pPr>
              <w:widowControl/>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R（m）</w:t>
            </w:r>
          </w:p>
        </w:tc>
      </w:tr>
      <w:tr>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Layout w:type="fixed"/>
          <w:tblCellMar>
            <w:top w:w="0" w:type="dxa"/>
            <w:left w:w="108" w:type="dxa"/>
            <w:bottom w:w="0" w:type="dxa"/>
            <w:right w:w="108" w:type="dxa"/>
          </w:tblCellMar>
        </w:tblPrEx>
        <w:trPr>
          <w:trHeight w:val="300" w:hRule="atLeast"/>
          <w:tblHeader/>
        </w:trPr>
        <w:tc>
          <w:tcPr>
            <w:tcW w:w="2179" w:type="dxa"/>
            <w:vMerge w:val="continue"/>
            <w:vAlign w:val="center"/>
          </w:tcPr>
          <w:p>
            <w:pPr>
              <w:widowControl/>
              <w:jc w:val="center"/>
              <w:rPr>
                <w:color w:val="000000" w:themeColor="text1"/>
                <w:kern w:val="0"/>
                <w:sz w:val="21"/>
                <w:szCs w:val="21"/>
                <w14:textFill>
                  <w14:solidFill>
                    <w14:schemeClr w14:val="tx1"/>
                  </w14:solidFill>
                </w14:textFill>
              </w:rPr>
            </w:pPr>
          </w:p>
        </w:tc>
        <w:tc>
          <w:tcPr>
            <w:tcW w:w="997" w:type="dxa"/>
            <w:vMerge w:val="continue"/>
            <w:vAlign w:val="center"/>
          </w:tcPr>
          <w:p>
            <w:pPr>
              <w:widowControl/>
              <w:jc w:val="center"/>
              <w:rPr>
                <w:color w:val="000000" w:themeColor="text1"/>
                <w:kern w:val="0"/>
                <w:sz w:val="21"/>
                <w:szCs w:val="21"/>
                <w14:textFill>
                  <w14:solidFill>
                    <w14:schemeClr w14:val="tx1"/>
                  </w14:solidFill>
                </w14:textFill>
              </w:rPr>
            </w:pPr>
          </w:p>
        </w:tc>
        <w:tc>
          <w:tcPr>
            <w:tcW w:w="779" w:type="dxa"/>
            <w:vAlign w:val="center"/>
          </w:tcPr>
          <w:p>
            <w:pPr>
              <w:widowControl/>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Q=500</w:t>
            </w:r>
          </w:p>
        </w:tc>
        <w:tc>
          <w:tcPr>
            <w:tcW w:w="779" w:type="dxa"/>
            <w:vAlign w:val="center"/>
          </w:tcPr>
          <w:p>
            <w:pPr>
              <w:widowControl/>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Q=400</w:t>
            </w:r>
          </w:p>
        </w:tc>
        <w:tc>
          <w:tcPr>
            <w:tcW w:w="779" w:type="dxa"/>
            <w:vAlign w:val="center"/>
          </w:tcPr>
          <w:p>
            <w:pPr>
              <w:widowControl/>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Q=300</w:t>
            </w:r>
          </w:p>
        </w:tc>
        <w:tc>
          <w:tcPr>
            <w:tcW w:w="779" w:type="dxa"/>
            <w:vAlign w:val="center"/>
          </w:tcPr>
          <w:p>
            <w:pPr>
              <w:widowControl/>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Q=250</w:t>
            </w:r>
          </w:p>
        </w:tc>
        <w:tc>
          <w:tcPr>
            <w:tcW w:w="779" w:type="dxa"/>
            <w:vAlign w:val="center"/>
          </w:tcPr>
          <w:p>
            <w:pPr>
              <w:widowControl/>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Q=200</w:t>
            </w:r>
          </w:p>
        </w:tc>
        <w:tc>
          <w:tcPr>
            <w:tcW w:w="779" w:type="dxa"/>
            <w:vAlign w:val="center"/>
          </w:tcPr>
          <w:p>
            <w:pPr>
              <w:widowControl/>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Q=100</w:t>
            </w:r>
          </w:p>
        </w:tc>
        <w:tc>
          <w:tcPr>
            <w:tcW w:w="678" w:type="dxa"/>
            <w:vAlign w:val="center"/>
          </w:tcPr>
          <w:p>
            <w:pPr>
              <w:widowControl/>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Q=50</w:t>
            </w:r>
          </w:p>
        </w:tc>
      </w:tr>
      <w:tr>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Layout w:type="fixed"/>
          <w:tblCellMar>
            <w:top w:w="0" w:type="dxa"/>
            <w:left w:w="108" w:type="dxa"/>
            <w:bottom w:w="0" w:type="dxa"/>
            <w:right w:w="108" w:type="dxa"/>
          </w:tblCellMar>
        </w:tblPrEx>
        <w:trPr>
          <w:trHeight w:val="300" w:hRule="atLeast"/>
        </w:trPr>
        <w:tc>
          <w:tcPr>
            <w:tcW w:w="2179" w:type="dxa"/>
            <w:vAlign w:val="center"/>
          </w:tcPr>
          <w:p>
            <w:pPr>
              <w:widowControl/>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土窑洞、毛石房屋、土坯房</w:t>
            </w:r>
          </w:p>
        </w:tc>
        <w:tc>
          <w:tcPr>
            <w:tcW w:w="997" w:type="dxa"/>
            <w:vAlign w:val="center"/>
          </w:tcPr>
          <w:p>
            <w:pPr>
              <w:widowControl/>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w:t>
            </w:r>
          </w:p>
        </w:tc>
        <w:tc>
          <w:tcPr>
            <w:tcW w:w="779" w:type="dxa"/>
            <w:vAlign w:val="center"/>
          </w:tcPr>
          <w:p>
            <w:pPr>
              <w:widowControl/>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214</w:t>
            </w:r>
          </w:p>
        </w:tc>
        <w:tc>
          <w:tcPr>
            <w:tcW w:w="779" w:type="dxa"/>
            <w:vAlign w:val="center"/>
          </w:tcPr>
          <w:p>
            <w:pPr>
              <w:widowControl/>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199</w:t>
            </w:r>
          </w:p>
        </w:tc>
        <w:tc>
          <w:tcPr>
            <w:tcW w:w="779" w:type="dxa"/>
            <w:vAlign w:val="center"/>
          </w:tcPr>
          <w:p>
            <w:pPr>
              <w:widowControl/>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180</w:t>
            </w:r>
          </w:p>
        </w:tc>
        <w:tc>
          <w:tcPr>
            <w:tcW w:w="779" w:type="dxa"/>
            <w:vAlign w:val="center"/>
          </w:tcPr>
          <w:p>
            <w:pPr>
              <w:widowControl/>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 xml:space="preserve">175 </w:t>
            </w:r>
          </w:p>
        </w:tc>
        <w:tc>
          <w:tcPr>
            <w:tcW w:w="779" w:type="dxa"/>
            <w:vAlign w:val="center"/>
          </w:tcPr>
          <w:p>
            <w:pPr>
              <w:widowControl/>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158</w:t>
            </w:r>
          </w:p>
        </w:tc>
        <w:tc>
          <w:tcPr>
            <w:tcW w:w="779" w:type="dxa"/>
            <w:vAlign w:val="center"/>
          </w:tcPr>
          <w:p>
            <w:pPr>
              <w:widowControl/>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125</w:t>
            </w:r>
          </w:p>
        </w:tc>
        <w:tc>
          <w:tcPr>
            <w:tcW w:w="678" w:type="dxa"/>
            <w:vAlign w:val="center"/>
          </w:tcPr>
          <w:p>
            <w:pPr>
              <w:widowControl/>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99</w:t>
            </w:r>
          </w:p>
        </w:tc>
      </w:tr>
      <w:tr>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Layout w:type="fixed"/>
          <w:tblCellMar>
            <w:top w:w="0" w:type="dxa"/>
            <w:left w:w="108" w:type="dxa"/>
            <w:bottom w:w="0" w:type="dxa"/>
            <w:right w:w="108" w:type="dxa"/>
          </w:tblCellMar>
        </w:tblPrEx>
        <w:trPr>
          <w:trHeight w:val="300" w:hRule="atLeast"/>
        </w:trPr>
        <w:tc>
          <w:tcPr>
            <w:tcW w:w="2179" w:type="dxa"/>
            <w:vAlign w:val="center"/>
          </w:tcPr>
          <w:p>
            <w:pPr>
              <w:widowControl/>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一般</w:t>
            </w:r>
            <w:r>
              <w:rPr>
                <w:rFonts w:hint="eastAsia"/>
                <w:color w:val="000000" w:themeColor="text1"/>
                <w:kern w:val="0"/>
                <w:sz w:val="21"/>
                <w:szCs w:val="21"/>
                <w14:textFill>
                  <w14:solidFill>
                    <w14:schemeClr w14:val="tx1"/>
                  </w14:solidFill>
                </w14:textFill>
              </w:rPr>
              <w:t>民用建筑</w:t>
            </w:r>
          </w:p>
        </w:tc>
        <w:tc>
          <w:tcPr>
            <w:tcW w:w="997" w:type="dxa"/>
            <w:vAlign w:val="center"/>
          </w:tcPr>
          <w:p>
            <w:pPr>
              <w:widowControl/>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w:t>
            </w:r>
            <w:r>
              <w:rPr>
                <w:rFonts w:hint="eastAsia"/>
                <w:color w:val="000000" w:themeColor="text1"/>
                <w:kern w:val="0"/>
                <w:sz w:val="21"/>
                <w:szCs w:val="21"/>
                <w14:textFill>
                  <w14:solidFill>
                    <w14:schemeClr w14:val="tx1"/>
                  </w14:solidFill>
                </w14:textFill>
              </w:rPr>
              <w:t>.5</w:t>
            </w:r>
          </w:p>
        </w:tc>
        <w:tc>
          <w:tcPr>
            <w:tcW w:w="779" w:type="dxa"/>
            <w:vAlign w:val="bottom"/>
          </w:tcPr>
          <w:p>
            <w:pPr>
              <w:widowControl/>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 xml:space="preserve">164 </w:t>
            </w:r>
          </w:p>
        </w:tc>
        <w:tc>
          <w:tcPr>
            <w:tcW w:w="779" w:type="dxa"/>
            <w:vAlign w:val="bottom"/>
          </w:tcPr>
          <w:p>
            <w:pPr>
              <w:widowControl/>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 xml:space="preserve">151 </w:t>
            </w:r>
          </w:p>
        </w:tc>
        <w:tc>
          <w:tcPr>
            <w:tcW w:w="779" w:type="dxa"/>
            <w:vAlign w:val="bottom"/>
          </w:tcPr>
          <w:p>
            <w:pPr>
              <w:widowControl/>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 xml:space="preserve">136 </w:t>
            </w:r>
          </w:p>
        </w:tc>
        <w:tc>
          <w:tcPr>
            <w:tcW w:w="779" w:type="dxa"/>
            <w:vAlign w:val="bottom"/>
          </w:tcPr>
          <w:p>
            <w:pPr>
              <w:widowControl/>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 xml:space="preserve">133 </w:t>
            </w:r>
          </w:p>
        </w:tc>
        <w:tc>
          <w:tcPr>
            <w:tcW w:w="779" w:type="dxa"/>
            <w:vAlign w:val="bottom"/>
          </w:tcPr>
          <w:p>
            <w:pPr>
              <w:widowControl/>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 xml:space="preserve">120 </w:t>
            </w:r>
          </w:p>
        </w:tc>
        <w:tc>
          <w:tcPr>
            <w:tcW w:w="779" w:type="dxa"/>
            <w:vAlign w:val="bottom"/>
          </w:tcPr>
          <w:p>
            <w:pPr>
              <w:widowControl/>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 xml:space="preserve">95 </w:t>
            </w:r>
          </w:p>
        </w:tc>
        <w:tc>
          <w:tcPr>
            <w:tcW w:w="678" w:type="dxa"/>
            <w:vAlign w:val="bottom"/>
          </w:tcPr>
          <w:p>
            <w:pPr>
              <w:widowControl/>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 xml:space="preserve">75 </w:t>
            </w:r>
          </w:p>
        </w:tc>
      </w:tr>
      <w:tr>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Layout w:type="fixed"/>
          <w:tblCellMar>
            <w:top w:w="0" w:type="dxa"/>
            <w:left w:w="108" w:type="dxa"/>
            <w:bottom w:w="0" w:type="dxa"/>
            <w:right w:w="108" w:type="dxa"/>
          </w:tblCellMar>
        </w:tblPrEx>
        <w:trPr>
          <w:trHeight w:val="525" w:hRule="atLeast"/>
        </w:trPr>
        <w:tc>
          <w:tcPr>
            <w:tcW w:w="2179" w:type="dxa"/>
            <w:vAlign w:val="center"/>
          </w:tcPr>
          <w:p>
            <w:pPr>
              <w:widowControl/>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工业和</w:t>
            </w:r>
            <w:r>
              <w:rPr>
                <w:color w:val="000000" w:themeColor="text1"/>
                <w:kern w:val="0"/>
                <w:sz w:val="21"/>
                <w:szCs w:val="21"/>
                <w14:textFill>
                  <w14:solidFill>
                    <w14:schemeClr w14:val="tx1"/>
                  </w14:solidFill>
                </w14:textFill>
              </w:rPr>
              <w:t>商业建筑物</w:t>
            </w:r>
          </w:p>
        </w:tc>
        <w:tc>
          <w:tcPr>
            <w:tcW w:w="997" w:type="dxa"/>
            <w:vAlign w:val="center"/>
          </w:tcPr>
          <w:p>
            <w:pPr>
              <w:widowControl/>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5</w:t>
            </w:r>
          </w:p>
        </w:tc>
        <w:tc>
          <w:tcPr>
            <w:tcW w:w="779" w:type="dxa"/>
            <w:vAlign w:val="center"/>
          </w:tcPr>
          <w:p>
            <w:pPr>
              <w:widowControl/>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68</w:t>
            </w:r>
          </w:p>
        </w:tc>
        <w:tc>
          <w:tcPr>
            <w:tcW w:w="779" w:type="dxa"/>
            <w:vAlign w:val="center"/>
          </w:tcPr>
          <w:p>
            <w:pPr>
              <w:widowControl/>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63</w:t>
            </w:r>
          </w:p>
        </w:tc>
        <w:tc>
          <w:tcPr>
            <w:tcW w:w="779" w:type="dxa"/>
            <w:vAlign w:val="center"/>
          </w:tcPr>
          <w:p>
            <w:pPr>
              <w:widowControl/>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57</w:t>
            </w:r>
          </w:p>
        </w:tc>
        <w:tc>
          <w:tcPr>
            <w:tcW w:w="779" w:type="dxa"/>
            <w:vAlign w:val="center"/>
          </w:tcPr>
          <w:p>
            <w:pPr>
              <w:widowControl/>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 xml:space="preserve">55 </w:t>
            </w:r>
          </w:p>
        </w:tc>
        <w:tc>
          <w:tcPr>
            <w:tcW w:w="779" w:type="dxa"/>
            <w:vAlign w:val="center"/>
          </w:tcPr>
          <w:p>
            <w:pPr>
              <w:widowControl/>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50</w:t>
            </w:r>
          </w:p>
        </w:tc>
        <w:tc>
          <w:tcPr>
            <w:tcW w:w="779" w:type="dxa"/>
            <w:vAlign w:val="center"/>
          </w:tcPr>
          <w:p>
            <w:pPr>
              <w:widowControl/>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40</w:t>
            </w:r>
          </w:p>
        </w:tc>
        <w:tc>
          <w:tcPr>
            <w:tcW w:w="678" w:type="dxa"/>
            <w:vAlign w:val="center"/>
          </w:tcPr>
          <w:p>
            <w:pPr>
              <w:widowControl/>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31</w:t>
            </w:r>
          </w:p>
        </w:tc>
      </w:tr>
      <w:tr>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Layout w:type="fixed"/>
          <w:tblCellMar>
            <w:top w:w="0" w:type="dxa"/>
            <w:left w:w="108" w:type="dxa"/>
            <w:bottom w:w="0" w:type="dxa"/>
            <w:right w:w="108" w:type="dxa"/>
          </w:tblCellMar>
        </w:tblPrEx>
        <w:trPr>
          <w:trHeight w:val="300" w:hRule="atLeast"/>
        </w:trPr>
        <w:tc>
          <w:tcPr>
            <w:tcW w:w="2179" w:type="dxa"/>
            <w:vAlign w:val="center"/>
          </w:tcPr>
          <w:p>
            <w:pPr>
              <w:widowControl/>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水工隧洞</w:t>
            </w:r>
          </w:p>
        </w:tc>
        <w:tc>
          <w:tcPr>
            <w:tcW w:w="997" w:type="dxa"/>
            <w:vAlign w:val="center"/>
          </w:tcPr>
          <w:p>
            <w:pPr>
              <w:widowControl/>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10</w:t>
            </w:r>
          </w:p>
        </w:tc>
        <w:tc>
          <w:tcPr>
            <w:tcW w:w="779" w:type="dxa"/>
            <w:vAlign w:val="bottom"/>
          </w:tcPr>
          <w:p>
            <w:pPr>
              <w:widowControl/>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 xml:space="preserve">61 </w:t>
            </w:r>
          </w:p>
        </w:tc>
        <w:tc>
          <w:tcPr>
            <w:tcW w:w="779" w:type="dxa"/>
            <w:vAlign w:val="bottom"/>
          </w:tcPr>
          <w:p>
            <w:pPr>
              <w:widowControl/>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 xml:space="preserve">56 </w:t>
            </w:r>
          </w:p>
        </w:tc>
        <w:tc>
          <w:tcPr>
            <w:tcW w:w="779" w:type="dxa"/>
            <w:vAlign w:val="bottom"/>
          </w:tcPr>
          <w:p>
            <w:pPr>
              <w:widowControl/>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 xml:space="preserve">51 </w:t>
            </w:r>
          </w:p>
        </w:tc>
        <w:tc>
          <w:tcPr>
            <w:tcW w:w="779" w:type="dxa"/>
            <w:vAlign w:val="bottom"/>
          </w:tcPr>
          <w:p>
            <w:pPr>
              <w:widowControl/>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 xml:space="preserve">50 </w:t>
            </w:r>
          </w:p>
        </w:tc>
        <w:tc>
          <w:tcPr>
            <w:tcW w:w="779" w:type="dxa"/>
            <w:vAlign w:val="bottom"/>
          </w:tcPr>
          <w:p>
            <w:pPr>
              <w:widowControl/>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 xml:space="preserve">45 </w:t>
            </w:r>
          </w:p>
        </w:tc>
        <w:tc>
          <w:tcPr>
            <w:tcW w:w="779" w:type="dxa"/>
            <w:vAlign w:val="bottom"/>
          </w:tcPr>
          <w:p>
            <w:pPr>
              <w:widowControl/>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 xml:space="preserve">35 </w:t>
            </w:r>
          </w:p>
        </w:tc>
        <w:tc>
          <w:tcPr>
            <w:tcW w:w="678" w:type="dxa"/>
            <w:vAlign w:val="bottom"/>
          </w:tcPr>
          <w:p>
            <w:pPr>
              <w:widowControl/>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 xml:space="preserve">28 </w:t>
            </w:r>
          </w:p>
        </w:tc>
      </w:tr>
    </w:tbl>
    <w:p>
      <w:pPr>
        <w:pStyle w:val="283"/>
        <w:rPr>
          <w:color w:val="000000" w:themeColor="text1"/>
          <w14:textFill>
            <w14:solidFill>
              <w14:schemeClr w14:val="tx1"/>
            </w14:solidFill>
          </w14:textFill>
        </w:rPr>
      </w:pPr>
      <w:r>
        <w:rPr>
          <w:color w:val="000000" w:themeColor="text1"/>
          <w14:textFill>
            <w14:solidFill>
              <w14:schemeClr w14:val="tx1"/>
            </w14:solidFill>
          </w14:textFill>
        </w:rPr>
        <w:t>根据不同药量下的安全距离，采用内插法计算出250kg药量下的安全距离。按照计算结果，项目为水域疏浚工程，邻近3km内无村庄，因此炸礁引起的地基震动对周边居民的住宅不会造成影响；距离炸礁区域现状最近的泊位工程为位于</w:t>
      </w:r>
      <w:r>
        <w:rPr>
          <w:rFonts w:hint="eastAsia"/>
          <w:color w:val="000000" w:themeColor="text1"/>
          <w14:textFill>
            <w14:solidFill>
              <w14:schemeClr w14:val="tx1"/>
            </w14:solidFill>
          </w14:textFill>
        </w:rPr>
        <w:t>西北侧</w:t>
      </w:r>
      <w:r>
        <w:rPr>
          <w:color w:val="000000" w:themeColor="text1"/>
          <w14:textFill>
            <w14:solidFill>
              <w14:schemeClr w14:val="tx1"/>
            </w14:solidFill>
          </w14:textFill>
        </w:rPr>
        <w:t>的大榄坪</w:t>
      </w:r>
      <w:r>
        <w:rPr>
          <w:rFonts w:hint="eastAsia"/>
          <w:color w:val="000000" w:themeColor="text1"/>
          <w14:textFill>
            <w14:solidFill>
              <w14:schemeClr w14:val="tx1"/>
            </w14:solidFill>
          </w14:textFill>
        </w:rPr>
        <w:t>南作业区9号10号泊位，</w:t>
      </w:r>
      <w:r>
        <w:rPr>
          <w:color w:val="000000" w:themeColor="text1"/>
          <w14:textFill>
            <w14:solidFill>
              <w14:schemeClr w14:val="tx1"/>
            </w14:solidFill>
          </w14:textFill>
        </w:rPr>
        <w:t>该码头为重力式抗震码头，按工业建筑物性质控制，炸礁位置与现有码头距离约</w:t>
      </w:r>
      <w:r>
        <w:rPr>
          <w:rFonts w:hint="eastAsia"/>
          <w:color w:val="000000" w:themeColor="text1"/>
          <w14:textFill>
            <w14:solidFill>
              <w14:schemeClr w14:val="tx1"/>
            </w14:solidFill>
          </w14:textFill>
        </w:rPr>
        <w:t>60</w:t>
      </w:r>
      <w:r>
        <w:rPr>
          <w:color w:val="000000" w:themeColor="text1"/>
          <w14:textFill>
            <w14:solidFill>
              <w14:schemeClr w14:val="tx1"/>
            </w14:solidFill>
          </w14:textFill>
        </w:rPr>
        <w:t>m，大于安全距离</w:t>
      </w:r>
      <w:r>
        <w:rPr>
          <w:rFonts w:hint="eastAsia"/>
          <w:color w:val="000000" w:themeColor="text1"/>
          <w14:textFill>
            <w14:solidFill>
              <w14:schemeClr w14:val="tx1"/>
            </w14:solidFill>
          </w14:textFill>
        </w:rPr>
        <w:t>50m，</w:t>
      </w:r>
      <w:r>
        <w:rPr>
          <w:color w:val="000000" w:themeColor="text1"/>
          <w14:textFill>
            <w14:solidFill>
              <w14:schemeClr w14:val="tx1"/>
            </w14:solidFill>
          </w14:textFill>
        </w:rPr>
        <w:t>水下爆破对其码头结构不会造成不利影响。</w:t>
      </w:r>
    </w:p>
    <w:p>
      <w:pPr>
        <w:pStyle w:val="283"/>
        <w:rPr>
          <w:color w:val="000000" w:themeColor="text1"/>
          <w14:textFill>
            <w14:solidFill>
              <w14:schemeClr w14:val="tx1"/>
            </w14:solidFill>
          </w14:textFill>
        </w:rPr>
      </w:pPr>
      <w:r>
        <w:rPr>
          <w:rFonts w:hint="eastAsia"/>
          <w:color w:val="000000" w:themeColor="text1"/>
          <w14:textFill>
            <w14:solidFill>
              <w14:schemeClr w14:val="tx1"/>
            </w14:solidFill>
          </w14:textFill>
        </w:rPr>
        <w:t>2、</w:t>
      </w:r>
      <w:r>
        <w:rPr>
          <w:color w:val="000000" w:themeColor="text1"/>
          <w14:textFill>
            <w14:solidFill>
              <w14:schemeClr w14:val="tx1"/>
            </w14:solidFill>
          </w14:textFill>
        </w:rPr>
        <w:t>爆破飞石对周边环境的影响</w:t>
      </w:r>
    </w:p>
    <w:p>
      <w:pPr>
        <w:pStyle w:val="283"/>
        <w:rPr>
          <w:color w:val="000000" w:themeColor="text1"/>
          <w14:textFill>
            <w14:solidFill>
              <w14:schemeClr w14:val="tx1"/>
            </w14:solidFill>
          </w14:textFill>
        </w:rPr>
      </w:pPr>
      <w:r>
        <w:rPr>
          <w:color w:val="000000" w:themeColor="text1"/>
          <w14:textFill>
            <w14:solidFill>
              <w14:schemeClr w14:val="tx1"/>
            </w14:solidFill>
          </w14:textFill>
        </w:rPr>
        <w:t>据有关试验表明，水深大于6m的水下工程爆破，无需考虑飞石的影响；水深3～6m有飞石，但飞石随着水柱升起，又随着水柱落回，不会飞散；但水浅时，水下爆破产生的飞石和陆上爆破无大差异，有人观察到，水深1m 时，爆破后40cm×50cm的石块飞达200 m，高15m的台地上。</w:t>
      </w:r>
    </w:p>
    <w:p>
      <w:pPr>
        <w:pStyle w:val="283"/>
        <w:rPr>
          <w:color w:val="000000" w:themeColor="text1"/>
          <w14:textFill>
            <w14:solidFill>
              <w14:schemeClr w14:val="tx1"/>
            </w14:solidFill>
          </w14:textFill>
        </w:rPr>
      </w:pPr>
      <w:r>
        <w:rPr>
          <w:color w:val="000000" w:themeColor="text1"/>
          <w14:textFill>
            <w14:solidFill>
              <w14:schemeClr w14:val="tx1"/>
            </w14:solidFill>
          </w14:textFill>
        </w:rPr>
        <w:t>本工程炸礁水域现状水深约-</w:t>
      </w:r>
      <w:r>
        <w:rPr>
          <w:rFonts w:hint="eastAsia"/>
          <w:color w:val="000000" w:themeColor="text1"/>
          <w14:textFill>
            <w14:solidFill>
              <w14:schemeClr w14:val="tx1"/>
            </w14:solidFill>
          </w14:textFill>
        </w:rPr>
        <w:t>7.8</w:t>
      </w:r>
      <w:r>
        <w:rPr>
          <w:color w:val="000000" w:themeColor="text1"/>
          <w14:textFill>
            <w14:solidFill>
              <w14:schemeClr w14:val="tx1"/>
            </w14:solidFill>
          </w14:textFill>
        </w:rPr>
        <w:t>m</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11.4</w:t>
      </w:r>
      <w:r>
        <w:rPr>
          <w:color w:val="000000" w:themeColor="text1"/>
          <w14:textFill>
            <w14:solidFill>
              <w14:schemeClr w14:val="tx1"/>
            </w14:solidFill>
          </w14:textFill>
        </w:rPr>
        <w:t>m，实施爆破的</w:t>
      </w:r>
      <w:r>
        <w:rPr>
          <w:rFonts w:hint="eastAsia"/>
          <w:color w:val="000000" w:themeColor="text1"/>
          <w14:textFill>
            <w14:solidFill>
              <w14:schemeClr w14:val="tx1"/>
            </w14:solidFill>
          </w14:textFill>
        </w:rPr>
        <w:t>人员</w:t>
      </w:r>
      <w:r>
        <w:rPr>
          <w:color w:val="000000" w:themeColor="text1"/>
          <w14:textFill>
            <w14:solidFill>
              <w14:schemeClr w14:val="tx1"/>
            </w14:solidFill>
          </w14:textFill>
        </w:rPr>
        <w:t>按照安全规范操作，爆破飞石对周边环境影响较小。</w:t>
      </w:r>
    </w:p>
    <w:p>
      <w:pPr>
        <w:pStyle w:val="283"/>
        <w:rPr>
          <w:color w:val="000000" w:themeColor="text1"/>
          <w14:textFill>
            <w14:solidFill>
              <w14:schemeClr w14:val="tx1"/>
            </w14:solidFill>
          </w14:textFill>
        </w:rPr>
      </w:pPr>
      <w:r>
        <w:rPr>
          <w:rFonts w:hint="eastAsia"/>
          <w:color w:val="000000" w:themeColor="text1"/>
          <w14:textFill>
            <w14:solidFill>
              <w14:schemeClr w14:val="tx1"/>
            </w14:solidFill>
          </w14:textFill>
        </w:rPr>
        <w:t>3、</w:t>
      </w:r>
      <w:r>
        <w:rPr>
          <w:color w:val="000000" w:themeColor="text1"/>
          <w14:textFill>
            <w14:solidFill>
              <w14:schemeClr w14:val="tx1"/>
            </w14:solidFill>
          </w14:textFill>
        </w:rPr>
        <w:t>冲击波对周围海洋生物的影响</w:t>
      </w:r>
    </w:p>
    <w:p>
      <w:pPr>
        <w:pStyle w:val="283"/>
        <w:rPr>
          <w:color w:val="000000" w:themeColor="text1"/>
          <w14:textFill>
            <w14:solidFill>
              <w14:schemeClr w14:val="tx1"/>
            </w14:solidFill>
          </w14:textFill>
        </w:rPr>
      </w:pPr>
      <w:r>
        <w:rPr>
          <w:color w:val="000000" w:themeColor="text1"/>
          <w14:textFill>
            <w14:solidFill>
              <w14:schemeClr w14:val="tx1"/>
            </w14:solidFill>
          </w14:textFill>
        </w:rPr>
        <w:t>水下爆破过程大体分为3个阶段，即炸药的爆轰、冲击波的形成和传播、气泡的振荡和上浮。在距爆炸点一定的距离以外，爆炸的主要作用特征为冲击波，而且由于摩擦力和粘滞力的影响，冲击波逐渐钝化，最后衰变为声波，声波在水中存在传播损失，其强度随传播距离的增大而逐渐减弱，渔业生物则受声波的影响，会产生一定的生物致死效应。</w:t>
      </w:r>
    </w:p>
    <w:p>
      <w:pPr>
        <w:pStyle w:val="283"/>
        <w:rPr>
          <w:color w:val="000000" w:themeColor="text1"/>
          <w14:textFill>
            <w14:solidFill>
              <w14:schemeClr w14:val="tx1"/>
            </w14:solidFill>
          </w14:textFill>
        </w:rPr>
      </w:pPr>
      <w:r>
        <w:rPr>
          <w:color w:val="000000" w:themeColor="text1"/>
          <w14:textFill>
            <w14:solidFill>
              <w14:schemeClr w14:val="tx1"/>
            </w14:solidFill>
          </w14:textFill>
        </w:rPr>
        <w:t>黄海水产研究所曾于1982年和1983年在山东胶州湾和莱州湾进行水下爆破对鱼类和底栖生物影响的试验，结果表明使用3kgTNT炸药和井深30m的条件下，离爆破点60m以内的海洋生物均受到不同程度的伤害；1998年4月湄州湾火电厂水下爆破作业时，离爆破点600～700m处的网箱养殖鱼类发生连续的、不同程度的死亡；东海水产研究所2003年11月在杭州湾大洋山附近进行的爆破对渔业资源影响的试验，使用250kgML-1型岩石乳化炸药的延迟爆破试验，结果表明：爆破对受试生物的影响随距离爆破点的距离的加大而逐渐减小，300m各生物致死率在20%左右，500m各生物致死率为</w:t>
      </w:r>
      <w:r>
        <w:rPr>
          <w:rFonts w:hint="eastAsia"/>
          <w:color w:val="000000" w:themeColor="text1"/>
          <w14:textFill>
            <w14:solidFill>
              <w14:schemeClr w14:val="tx1"/>
            </w14:solidFill>
          </w14:textFill>
        </w:rPr>
        <w:t>5%～10%</w:t>
      </w:r>
      <w:r>
        <w:rPr>
          <w:color w:val="000000" w:themeColor="text1"/>
          <w14:textFill>
            <w14:solidFill>
              <w14:schemeClr w14:val="tx1"/>
            </w14:solidFill>
          </w14:textFill>
        </w:rPr>
        <w:t>，500m外爆破对受试生物影响较小。交通部天津水运工程科学研究所在洋山港航道水下炸礁对渔业资源影响研究中发现：水下爆破对海洋生物100%致死率半径为距离爆破中心100m，50%致死率为距离爆破中心160m；距离爆破中心 500m外，对生物的影响很小。</w:t>
      </w:r>
    </w:p>
    <w:p>
      <w:pPr>
        <w:pStyle w:val="283"/>
        <w:rPr>
          <w:color w:val="000000" w:themeColor="text1"/>
          <w14:textFill>
            <w14:solidFill>
              <w14:schemeClr w14:val="tx1"/>
            </w14:solidFill>
          </w14:textFill>
        </w:rPr>
      </w:pPr>
      <w:r>
        <w:rPr>
          <w:color w:val="000000" w:themeColor="text1"/>
          <w14:textFill>
            <w14:solidFill>
              <w14:schemeClr w14:val="tx1"/>
            </w14:solidFill>
          </w14:textFill>
        </w:rPr>
        <w:t>根据水下爆破方式、一次起爆药量、爆破条件、地质和地形条件、水域以及边界条件，通过冲击波峰值压力与致死率计算，分析、评估水下爆破对渔业资源的影响。冲击波峰值压力按下式计算：</w:t>
      </w:r>
    </w:p>
    <w:p>
      <w:pPr>
        <w:pStyle w:val="283"/>
        <w:rPr>
          <w:color w:val="000000" w:themeColor="text1"/>
          <w14:textFill>
            <w14:solidFill>
              <w14:schemeClr w14:val="tx1"/>
            </w14:solidFill>
          </w14:textFill>
        </w:rPr>
      </w:pPr>
      <m:oMathPara>
        <m:oMath>
          <m:sSub>
            <m:sSubPr>
              <m:ctrlPr>
                <w:rPr>
                  <w:rFonts w:ascii="Cambria Math" w:hAnsi="Cambria Math"/>
                  <w:color w:val="000000" w:themeColor="text1"/>
                  <w14:textFill>
                    <w14:solidFill>
                      <w14:schemeClr w14:val="tx1"/>
                    </w14:solidFill>
                  </w14:textFill>
                </w:rPr>
              </m:ctrlPr>
            </m:sSubPr>
            <m:e>
              <m:r>
                <w:rPr>
                  <w:rFonts w:ascii="Cambria Math" w:hAnsi="Cambria Math"/>
                  <w:color w:val="000000" w:themeColor="text1"/>
                  <w14:textFill>
                    <w14:solidFill>
                      <w14:schemeClr w14:val="tx1"/>
                    </w14:solidFill>
                  </w14:textFill>
                </w:rPr>
                <m:t>W</m:t>
              </m:r>
              <m:ctrlPr>
                <w:rPr>
                  <w:rFonts w:ascii="Cambria Math" w:hAnsi="Cambria Math"/>
                  <w:color w:val="000000" w:themeColor="text1"/>
                  <w14:textFill>
                    <w14:solidFill>
                      <w14:schemeClr w14:val="tx1"/>
                    </w14:solidFill>
                  </w14:textFill>
                </w:rPr>
              </m:ctrlPr>
            </m:e>
            <m:sub>
              <m:r>
                <w:rPr>
                  <w:rFonts w:ascii="Cambria Math" w:hAnsi="Cambria Math"/>
                  <w:color w:val="000000" w:themeColor="text1"/>
                  <w14:textFill>
                    <w14:solidFill>
                      <w14:schemeClr w14:val="tx1"/>
                    </w14:solidFill>
                  </w14:textFill>
                </w:rPr>
                <m:t>i</m:t>
              </m:r>
              <m:ctrlPr>
                <w:rPr>
                  <w:rFonts w:ascii="Cambria Math" w:hAnsi="Cambria Math"/>
                  <w:color w:val="000000" w:themeColor="text1"/>
                  <w14:textFill>
                    <w14:solidFill>
                      <w14:schemeClr w14:val="tx1"/>
                    </w14:solidFill>
                  </w14:textFill>
                </w:rPr>
              </m:ctrlPr>
            </m:sub>
          </m:sSub>
          <m:r>
            <m:rPr>
              <m:sty m:val="p"/>
            </m:rPr>
            <w:rPr>
              <w:rFonts w:ascii="Cambria Math" w:hAnsi="Cambria Math"/>
              <w:color w:val="000000" w:themeColor="text1"/>
              <w14:textFill>
                <w14:solidFill>
                  <w14:schemeClr w14:val="tx1"/>
                </w14:solidFill>
              </w14:textFill>
            </w:rPr>
            <m:t>=287.3</m:t>
          </m:r>
          <m:sSup>
            <m:sSupPr>
              <m:ctrlPr>
                <w:rPr>
                  <w:rFonts w:ascii="Cambria Math" w:hAnsi="Cambria Math"/>
                  <w:color w:val="000000" w:themeColor="text1"/>
                  <w14:textFill>
                    <w14:solidFill>
                      <w14:schemeClr w14:val="tx1"/>
                    </w14:solidFill>
                  </w14:textFill>
                </w:rPr>
              </m:ctrlPr>
            </m:sSupPr>
            <m:e>
              <m:d>
                <m:dPr>
                  <m:ctrlPr>
                    <w:rPr>
                      <w:rFonts w:ascii="Cambria Math" w:hAnsi="Cambria Math"/>
                      <w:color w:val="000000" w:themeColor="text1"/>
                      <w14:textFill>
                        <w14:solidFill>
                          <w14:schemeClr w14:val="tx1"/>
                        </w14:solidFill>
                      </w14:textFill>
                    </w:rPr>
                  </m:ctrlPr>
                </m:dPr>
                <m:e>
                  <m:f>
                    <m:fPr>
                      <m:ctrlPr>
                        <w:rPr>
                          <w:rFonts w:ascii="Cambria Math" w:hAnsi="Cambria Math"/>
                          <w:color w:val="000000" w:themeColor="text1"/>
                          <w14:textFill>
                            <w14:solidFill>
                              <w14:schemeClr w14:val="tx1"/>
                            </w14:solidFill>
                          </w14:textFill>
                        </w:rPr>
                      </m:ctrlPr>
                    </m:fPr>
                    <m:num>
                      <m:sSup>
                        <m:sSupPr>
                          <m:ctrlPr>
                            <w:rPr>
                              <w:rFonts w:ascii="Cambria Math" w:hAnsi="Cambria Math"/>
                              <w:color w:val="000000" w:themeColor="text1"/>
                              <w14:textFill>
                                <w14:solidFill>
                                  <w14:schemeClr w14:val="tx1"/>
                                </w14:solidFill>
                              </w14:textFill>
                            </w:rPr>
                          </m:ctrlPr>
                        </m:sSupPr>
                        <m:e>
                          <m:r>
                            <w:rPr>
                              <w:rFonts w:ascii="Cambria Math" w:hAnsi="Cambria Math"/>
                              <w:color w:val="000000" w:themeColor="text1"/>
                              <w14:textFill>
                                <w14:solidFill>
                                  <w14:schemeClr w14:val="tx1"/>
                                </w14:solidFill>
                              </w14:textFill>
                            </w:rPr>
                            <m:t>Q</m:t>
                          </m:r>
                          <m:ctrlPr>
                            <w:rPr>
                              <w:rFonts w:ascii="Cambria Math" w:hAnsi="Cambria Math"/>
                              <w:color w:val="000000" w:themeColor="text1"/>
                              <w14:textFill>
                                <w14:solidFill>
                                  <w14:schemeClr w14:val="tx1"/>
                                </w14:solidFill>
                              </w14:textFill>
                            </w:rPr>
                          </m:ctrlPr>
                        </m:e>
                        <m:sup>
                          <m:f>
                            <m:fPr>
                              <m:ctrlPr>
                                <w:rPr>
                                  <w:rFonts w:ascii="Cambria Math" w:hAnsi="Cambria Math"/>
                                  <w:color w:val="000000" w:themeColor="text1"/>
                                  <w14:textFill>
                                    <w14:solidFill>
                                      <w14:schemeClr w14:val="tx1"/>
                                    </w14:solidFill>
                                  </w14:textFill>
                                </w:rPr>
                              </m:ctrlPr>
                            </m:fPr>
                            <m:num>
                              <m:r>
                                <m:rPr>
                                  <m:sty m:val="p"/>
                                </m:rPr>
                                <w:rPr>
                                  <w:rFonts w:ascii="Cambria Math" w:hAnsi="Cambria Math"/>
                                  <w:color w:val="000000" w:themeColor="text1"/>
                                  <w14:textFill>
                                    <w14:solidFill>
                                      <w14:schemeClr w14:val="tx1"/>
                                    </w14:solidFill>
                                  </w14:textFill>
                                </w:rPr>
                                <m:t>1</m:t>
                              </m:r>
                              <m:ctrlPr>
                                <w:rPr>
                                  <w:rFonts w:ascii="Cambria Math" w:hAnsi="Cambria Math"/>
                                  <w:color w:val="000000" w:themeColor="text1"/>
                                  <w14:textFill>
                                    <w14:solidFill>
                                      <w14:schemeClr w14:val="tx1"/>
                                    </w14:solidFill>
                                  </w14:textFill>
                                </w:rPr>
                              </m:ctrlPr>
                            </m:num>
                            <m:den>
                              <m:r>
                                <m:rPr>
                                  <m:sty m:val="p"/>
                                </m:rPr>
                                <w:rPr>
                                  <w:rFonts w:ascii="Cambria Math" w:hAnsi="Cambria Math"/>
                                  <w:color w:val="000000" w:themeColor="text1"/>
                                  <w14:textFill>
                                    <w14:solidFill>
                                      <w14:schemeClr w14:val="tx1"/>
                                    </w14:solidFill>
                                  </w14:textFill>
                                </w:rPr>
                                <m:t>3</m:t>
                              </m:r>
                              <m:ctrlPr>
                                <w:rPr>
                                  <w:rFonts w:ascii="Cambria Math" w:hAnsi="Cambria Math"/>
                                  <w:color w:val="000000" w:themeColor="text1"/>
                                  <w14:textFill>
                                    <w14:solidFill>
                                      <w14:schemeClr w14:val="tx1"/>
                                    </w14:solidFill>
                                  </w14:textFill>
                                </w:rPr>
                              </m:ctrlPr>
                            </m:den>
                          </m:f>
                          <m:ctrlPr>
                            <w:rPr>
                              <w:rFonts w:ascii="Cambria Math" w:hAnsi="Cambria Math"/>
                              <w:color w:val="000000" w:themeColor="text1"/>
                              <w14:textFill>
                                <w14:solidFill>
                                  <w14:schemeClr w14:val="tx1"/>
                                </w14:solidFill>
                              </w14:textFill>
                            </w:rPr>
                          </m:ctrlPr>
                        </m:sup>
                      </m:sSup>
                      <m:ctrlPr>
                        <w:rPr>
                          <w:rFonts w:ascii="Cambria Math" w:hAnsi="Cambria Math"/>
                          <w:color w:val="000000" w:themeColor="text1"/>
                          <w14:textFill>
                            <w14:solidFill>
                              <w14:schemeClr w14:val="tx1"/>
                            </w14:solidFill>
                          </w14:textFill>
                        </w:rPr>
                      </m:ctrlPr>
                    </m:num>
                    <m:den>
                      <m:r>
                        <w:rPr>
                          <w:rFonts w:ascii="Cambria Math" w:hAnsi="Cambria Math"/>
                          <w:color w:val="000000" w:themeColor="text1"/>
                          <w14:textFill>
                            <w14:solidFill>
                              <w14:schemeClr w14:val="tx1"/>
                            </w14:solidFill>
                          </w14:textFill>
                        </w:rPr>
                        <m:t>R</m:t>
                      </m:r>
                      <m:ctrlPr>
                        <w:rPr>
                          <w:rFonts w:ascii="Cambria Math" w:hAnsi="Cambria Math"/>
                          <w:color w:val="000000" w:themeColor="text1"/>
                          <w14:textFill>
                            <w14:solidFill>
                              <w14:schemeClr w14:val="tx1"/>
                            </w14:solidFill>
                          </w14:textFill>
                        </w:rPr>
                      </m:ctrlPr>
                    </m:den>
                  </m:f>
                  <m:ctrlPr>
                    <w:rPr>
                      <w:rFonts w:ascii="Cambria Math" w:hAnsi="Cambria Math"/>
                      <w:color w:val="000000" w:themeColor="text1"/>
                      <w14:textFill>
                        <w14:solidFill>
                          <w14:schemeClr w14:val="tx1"/>
                        </w14:solidFill>
                      </w14:textFill>
                    </w:rPr>
                  </m:ctrlPr>
                </m:e>
              </m:d>
              <m:ctrlPr>
                <w:rPr>
                  <w:rFonts w:ascii="Cambria Math" w:hAnsi="Cambria Math"/>
                  <w:color w:val="000000" w:themeColor="text1"/>
                  <w14:textFill>
                    <w14:solidFill>
                      <w14:schemeClr w14:val="tx1"/>
                    </w14:solidFill>
                  </w14:textFill>
                </w:rPr>
              </m:ctrlPr>
            </m:e>
            <m:sup>
              <m:r>
                <m:rPr>
                  <m:sty m:val="p"/>
                </m:rPr>
                <w:rPr>
                  <w:rFonts w:ascii="Cambria Math" w:hAnsi="Cambria Math"/>
                  <w:color w:val="000000" w:themeColor="text1"/>
                  <w14:textFill>
                    <w14:solidFill>
                      <w14:schemeClr w14:val="tx1"/>
                    </w14:solidFill>
                  </w14:textFill>
                </w:rPr>
                <m:t>1.33</m:t>
              </m:r>
              <m:ctrlPr>
                <w:rPr>
                  <w:rFonts w:ascii="Cambria Math" w:hAnsi="Cambria Math"/>
                  <w:color w:val="000000" w:themeColor="text1"/>
                  <w14:textFill>
                    <w14:solidFill>
                      <w14:schemeClr w14:val="tx1"/>
                    </w14:solidFill>
                  </w14:textFill>
                </w:rPr>
              </m:ctrlPr>
            </m:sup>
          </m:sSup>
        </m:oMath>
      </m:oMathPara>
    </w:p>
    <w:p>
      <w:pPr>
        <w:pStyle w:val="283"/>
        <w:rPr>
          <w:color w:val="000000" w:themeColor="text1"/>
          <w14:textFill>
            <w14:solidFill>
              <w14:schemeClr w14:val="tx1"/>
            </w14:solidFill>
          </w14:textFill>
        </w:rPr>
      </w:pPr>
      <w:r>
        <w:rPr>
          <w:color w:val="000000" w:themeColor="text1"/>
          <w14:textFill>
            <w14:solidFill>
              <w14:schemeClr w14:val="tx1"/>
            </w14:solidFill>
          </w14:textFill>
        </w:rPr>
        <w:t>式中：</w:t>
      </w:r>
    </w:p>
    <w:p>
      <w:pPr>
        <w:pStyle w:val="283"/>
        <w:rPr>
          <w:color w:val="000000" w:themeColor="text1"/>
          <w14:textFill>
            <w14:solidFill>
              <w14:schemeClr w14:val="tx1"/>
            </w14:solidFill>
          </w14:textFill>
        </w:rPr>
      </w:pPr>
      <w:r>
        <w:rPr>
          <w:i/>
          <w:color w:val="000000" w:themeColor="text1"/>
          <w14:textFill>
            <w14:solidFill>
              <w14:schemeClr w14:val="tx1"/>
            </w14:solidFill>
          </w14:textFill>
        </w:rPr>
        <w:t>W</w:t>
      </w:r>
      <w:r>
        <w:rPr>
          <w:color w:val="000000" w:themeColor="text1"/>
          <w:vertAlign w:val="subscript"/>
          <w14:textFill>
            <w14:solidFill>
              <w14:schemeClr w14:val="tx1"/>
            </w14:solidFill>
          </w14:textFill>
        </w:rPr>
        <w:t xml:space="preserve">i </w:t>
      </w:r>
      <w:r>
        <w:rPr>
          <w:color w:val="000000" w:themeColor="text1"/>
          <w14:textFill>
            <w14:solidFill>
              <w14:schemeClr w14:val="tx1"/>
            </w14:solidFill>
          </w14:textFill>
        </w:rPr>
        <w:t>——冲击波峰值压力，单位为千克每平方厘米（kg/cm</w:t>
      </w:r>
      <w:r>
        <w:rPr>
          <w:color w:val="000000" w:themeColor="text1"/>
          <w:vertAlign w:val="superscript"/>
          <w14:textFill>
            <w14:solidFill>
              <w14:schemeClr w14:val="tx1"/>
            </w14:solidFill>
          </w14:textFill>
        </w:rPr>
        <w:t>2</w:t>
      </w:r>
      <w:r>
        <w:rPr>
          <w:color w:val="000000" w:themeColor="text1"/>
          <w14:textFill>
            <w14:solidFill>
              <w14:schemeClr w14:val="tx1"/>
            </w14:solidFill>
          </w14:textFill>
        </w:rPr>
        <w:t>） ；</w:t>
      </w:r>
    </w:p>
    <w:p>
      <w:pPr>
        <w:pStyle w:val="283"/>
        <w:rPr>
          <w:color w:val="000000" w:themeColor="text1"/>
          <w14:textFill>
            <w14:solidFill>
              <w14:schemeClr w14:val="tx1"/>
            </w14:solidFill>
          </w14:textFill>
        </w:rPr>
      </w:pPr>
      <w:r>
        <w:rPr>
          <w:i/>
          <w:color w:val="000000" w:themeColor="text1"/>
          <w14:textFill>
            <w14:solidFill>
              <w14:schemeClr w14:val="tx1"/>
            </w14:solidFill>
          </w14:textFill>
        </w:rPr>
        <w:t>Q</w:t>
      </w:r>
      <w:r>
        <w:rPr>
          <w:color w:val="000000" w:themeColor="text1"/>
          <w14:textFill>
            <w14:solidFill>
              <w14:schemeClr w14:val="tx1"/>
            </w14:solidFill>
          </w14:textFill>
        </w:rPr>
        <w:t xml:space="preserve"> ——一次起爆药量，单位为千克（kg）（</w:t>
      </w:r>
      <w:r>
        <w:rPr>
          <w:i/>
          <w:color w:val="000000" w:themeColor="text1"/>
          <w14:textFill>
            <w14:solidFill>
              <w14:schemeClr w14:val="tx1"/>
            </w14:solidFill>
          </w14:textFill>
        </w:rPr>
        <w:t>Q</w:t>
      </w:r>
      <w:r>
        <w:rPr>
          <w:color w:val="000000" w:themeColor="text1"/>
          <w14:textFill>
            <w14:solidFill>
              <w14:schemeClr w14:val="tx1"/>
            </w14:solidFill>
          </w14:textFill>
        </w:rPr>
        <w:t>&lt;250kg）；</w:t>
      </w:r>
    </w:p>
    <w:p>
      <w:pPr>
        <w:pStyle w:val="283"/>
        <w:rPr>
          <w:color w:val="000000" w:themeColor="text1"/>
          <w14:textFill>
            <w14:solidFill>
              <w14:schemeClr w14:val="tx1"/>
            </w14:solidFill>
          </w14:textFill>
        </w:rPr>
      </w:pPr>
      <w:r>
        <w:rPr>
          <w:i/>
          <w:color w:val="000000" w:themeColor="text1"/>
          <w14:textFill>
            <w14:solidFill>
              <w14:schemeClr w14:val="tx1"/>
            </w14:solidFill>
          </w14:textFill>
        </w:rPr>
        <w:t>R</w:t>
      </w:r>
      <w:r>
        <w:rPr>
          <w:color w:val="000000" w:themeColor="text1"/>
          <w14:textFill>
            <w14:solidFill>
              <w14:schemeClr w14:val="tx1"/>
            </w14:solidFill>
          </w14:textFill>
        </w:rPr>
        <w:t xml:space="preserve"> ——爆破点距测点距离，单位为米（m），（</w:t>
      </w:r>
      <w:r>
        <w:rPr>
          <w:i/>
          <w:color w:val="000000" w:themeColor="text1"/>
          <w14:textFill>
            <w14:solidFill>
              <w14:schemeClr w14:val="tx1"/>
            </w14:solidFill>
          </w14:textFill>
        </w:rPr>
        <w:t>R</w:t>
      </w:r>
      <w:r>
        <w:rPr>
          <w:color w:val="000000" w:themeColor="text1"/>
          <w14:textFill>
            <w14:solidFill>
              <w14:schemeClr w14:val="tx1"/>
            </w14:solidFill>
          </w14:textFill>
        </w:rPr>
        <w:t xml:space="preserve"> &lt;700m）；</w:t>
      </w:r>
    </w:p>
    <w:p>
      <w:pPr>
        <w:pStyle w:val="283"/>
        <w:rPr>
          <w:color w:val="000000" w:themeColor="text1"/>
          <w14:textFill>
            <w14:solidFill>
              <w14:schemeClr w14:val="tx1"/>
            </w14:solidFill>
          </w14:textFill>
        </w:rPr>
      </w:pPr>
      <w:r>
        <w:rPr>
          <w:color w:val="000000" w:themeColor="text1"/>
          <w14:textFill>
            <w14:solidFill>
              <w14:schemeClr w14:val="tx1"/>
            </w14:solidFill>
          </w14:textFill>
        </w:rPr>
        <w:t>在此，参照《建设项目对海洋生物资源影响评价技术规程》（SC/T9110-2007）中附录B的规定，根据冲击波峰值压力值推算渔业生物致死率，结果见表4.</w:t>
      </w:r>
      <w:r>
        <w:rPr>
          <w:rFonts w:hint="eastAsia"/>
          <w:color w:val="000000" w:themeColor="text1"/>
          <w14:textFill>
            <w14:solidFill>
              <w14:schemeClr w14:val="tx1"/>
            </w14:solidFill>
          </w14:textFill>
        </w:rPr>
        <w:t>2</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3</w:t>
      </w:r>
      <w:r>
        <w:rPr>
          <w:color w:val="000000" w:themeColor="text1"/>
          <w14:textFill>
            <w14:solidFill>
              <w14:schemeClr w14:val="tx1"/>
            </w14:solidFill>
          </w14:textFill>
        </w:rPr>
        <w:t>。</w:t>
      </w:r>
    </w:p>
    <w:p>
      <w:pPr>
        <w:pStyle w:val="283"/>
        <w:rPr>
          <w:color w:val="000000" w:themeColor="text1"/>
          <w14:textFill>
            <w14:solidFill>
              <w14:schemeClr w14:val="tx1"/>
            </w14:solidFill>
          </w14:textFill>
        </w:rPr>
      </w:pPr>
    </w:p>
    <w:p>
      <w:pPr>
        <w:pStyle w:val="384"/>
        <w:ind w:left="0" w:firstLine="0"/>
        <w:rPr>
          <w:color w:val="000000" w:themeColor="text1"/>
          <w14:textFill>
            <w14:solidFill>
              <w14:schemeClr w14:val="tx1"/>
            </w14:solidFill>
          </w14:textFill>
        </w:rPr>
      </w:pPr>
      <w:r>
        <w:rPr>
          <w:color w:val="000000" w:themeColor="text1"/>
          <w14:textFill>
            <w14:solidFill>
              <w14:schemeClr w14:val="tx1"/>
            </w14:solidFill>
          </w14:textFill>
        </w:rPr>
        <w:t>冲击波峰值压力与渔业生物致死率的关系</w:t>
      </w:r>
    </w:p>
    <w:tbl>
      <w:tblPr>
        <w:tblStyle w:val="88"/>
        <w:tblW w:w="8528" w:type="dxa"/>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461"/>
        <w:gridCol w:w="1376"/>
        <w:gridCol w:w="1411"/>
        <w:gridCol w:w="1411"/>
        <w:gridCol w:w="1434"/>
        <w:gridCol w:w="1435"/>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c>
          <w:tcPr>
            <w:tcW w:w="2837" w:type="dxa"/>
            <w:gridSpan w:val="2"/>
            <w:vAlign w:val="center"/>
          </w:tcPr>
          <w:p>
            <w:pPr>
              <w:widowControl/>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距</w:t>
            </w:r>
            <w:r>
              <w:rPr>
                <w:color w:val="000000" w:themeColor="text1"/>
                <w:kern w:val="0"/>
                <w:sz w:val="21"/>
                <w:szCs w:val="21"/>
                <w14:textFill>
                  <w14:solidFill>
                    <w14:schemeClr w14:val="tx1"/>
                  </w14:solidFill>
                </w14:textFill>
              </w:rPr>
              <w:t>爆破点距离（m）</w:t>
            </w:r>
          </w:p>
        </w:tc>
        <w:tc>
          <w:tcPr>
            <w:tcW w:w="1411" w:type="dxa"/>
            <w:vAlign w:val="center"/>
          </w:tcPr>
          <w:p>
            <w:pPr>
              <w:widowControl/>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100</w:t>
            </w:r>
          </w:p>
        </w:tc>
        <w:tc>
          <w:tcPr>
            <w:tcW w:w="1411" w:type="dxa"/>
            <w:vAlign w:val="center"/>
          </w:tcPr>
          <w:p>
            <w:pPr>
              <w:widowControl/>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300</w:t>
            </w:r>
          </w:p>
        </w:tc>
        <w:tc>
          <w:tcPr>
            <w:tcW w:w="1434" w:type="dxa"/>
            <w:vAlign w:val="center"/>
          </w:tcPr>
          <w:p>
            <w:pPr>
              <w:widowControl/>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500</w:t>
            </w:r>
          </w:p>
        </w:tc>
        <w:tc>
          <w:tcPr>
            <w:tcW w:w="1435" w:type="dxa"/>
            <w:vAlign w:val="center"/>
          </w:tcPr>
          <w:p>
            <w:pPr>
              <w:widowControl/>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700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c>
          <w:tcPr>
            <w:tcW w:w="2837" w:type="dxa"/>
            <w:gridSpan w:val="2"/>
            <w:vAlign w:val="center"/>
          </w:tcPr>
          <w:p>
            <w:pPr>
              <w:widowControl/>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冲击波峰值压力（kg/cm</w:t>
            </w:r>
            <w:r>
              <w:rPr>
                <w:color w:val="000000" w:themeColor="text1"/>
                <w:kern w:val="0"/>
                <w:sz w:val="21"/>
                <w:szCs w:val="21"/>
                <w:vertAlign w:val="superscript"/>
                <w14:textFill>
                  <w14:solidFill>
                    <w14:schemeClr w14:val="tx1"/>
                  </w14:solidFill>
                </w14:textFill>
              </w:rPr>
              <w:t>2</w:t>
            </w:r>
            <w:r>
              <w:rPr>
                <w:color w:val="000000" w:themeColor="text1"/>
                <w:kern w:val="0"/>
                <w:sz w:val="21"/>
                <w:szCs w:val="21"/>
                <w14:textFill>
                  <w14:solidFill>
                    <w14:schemeClr w14:val="tx1"/>
                  </w14:solidFill>
                </w14:textFill>
              </w:rPr>
              <w:t>）</w:t>
            </w:r>
          </w:p>
        </w:tc>
        <w:tc>
          <w:tcPr>
            <w:tcW w:w="1411" w:type="dxa"/>
            <w:vAlign w:val="center"/>
          </w:tcPr>
          <w:p>
            <w:pPr>
              <w:widowControl/>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7.27</w:t>
            </w:r>
          </w:p>
        </w:tc>
        <w:tc>
          <w:tcPr>
            <w:tcW w:w="1411" w:type="dxa"/>
            <w:vAlign w:val="center"/>
          </w:tcPr>
          <w:p>
            <w:pPr>
              <w:widowControl/>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1.69</w:t>
            </w:r>
          </w:p>
        </w:tc>
        <w:tc>
          <w:tcPr>
            <w:tcW w:w="1434" w:type="dxa"/>
            <w:vAlign w:val="center"/>
          </w:tcPr>
          <w:p>
            <w:pPr>
              <w:widowControl/>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0.745</w:t>
            </w:r>
          </w:p>
        </w:tc>
        <w:tc>
          <w:tcPr>
            <w:tcW w:w="1435" w:type="dxa"/>
            <w:vAlign w:val="center"/>
          </w:tcPr>
          <w:p>
            <w:pPr>
              <w:widowControl/>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0.577</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c>
          <w:tcPr>
            <w:tcW w:w="1461" w:type="dxa"/>
            <w:vMerge w:val="restart"/>
            <w:vAlign w:val="center"/>
          </w:tcPr>
          <w:p>
            <w:pPr>
              <w:widowControl/>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致死率（%）</w:t>
            </w:r>
          </w:p>
        </w:tc>
        <w:tc>
          <w:tcPr>
            <w:tcW w:w="1376" w:type="dxa"/>
            <w:vAlign w:val="center"/>
          </w:tcPr>
          <w:p>
            <w:pPr>
              <w:widowControl/>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鱼类</w:t>
            </w:r>
          </w:p>
        </w:tc>
        <w:tc>
          <w:tcPr>
            <w:tcW w:w="1411" w:type="dxa"/>
            <w:vAlign w:val="center"/>
          </w:tcPr>
          <w:p>
            <w:pPr>
              <w:widowControl/>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100</w:t>
            </w:r>
          </w:p>
        </w:tc>
        <w:tc>
          <w:tcPr>
            <w:tcW w:w="1411" w:type="dxa"/>
            <w:vAlign w:val="center"/>
          </w:tcPr>
          <w:p>
            <w:pPr>
              <w:widowControl/>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20</w:t>
            </w:r>
          </w:p>
        </w:tc>
        <w:tc>
          <w:tcPr>
            <w:tcW w:w="1434" w:type="dxa"/>
            <w:vAlign w:val="center"/>
          </w:tcPr>
          <w:p>
            <w:pPr>
              <w:widowControl/>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10</w:t>
            </w:r>
          </w:p>
        </w:tc>
        <w:tc>
          <w:tcPr>
            <w:tcW w:w="1435" w:type="dxa"/>
            <w:vAlign w:val="center"/>
          </w:tcPr>
          <w:p>
            <w:pPr>
              <w:widowControl/>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c>
          <w:tcPr>
            <w:tcW w:w="1461" w:type="dxa"/>
            <w:vMerge w:val="continue"/>
            <w:vAlign w:val="center"/>
          </w:tcPr>
          <w:p>
            <w:pPr>
              <w:widowControl/>
              <w:jc w:val="center"/>
              <w:rPr>
                <w:color w:val="000000" w:themeColor="text1"/>
                <w:kern w:val="0"/>
                <w:sz w:val="21"/>
                <w:szCs w:val="21"/>
                <w14:textFill>
                  <w14:solidFill>
                    <w14:schemeClr w14:val="tx1"/>
                  </w14:solidFill>
                </w14:textFill>
              </w:rPr>
            </w:pPr>
          </w:p>
        </w:tc>
        <w:tc>
          <w:tcPr>
            <w:tcW w:w="1376" w:type="dxa"/>
            <w:vAlign w:val="center"/>
          </w:tcPr>
          <w:p>
            <w:pPr>
              <w:widowControl/>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石首鱼类</w:t>
            </w:r>
          </w:p>
        </w:tc>
        <w:tc>
          <w:tcPr>
            <w:tcW w:w="1411" w:type="dxa"/>
            <w:vAlign w:val="center"/>
          </w:tcPr>
          <w:p>
            <w:pPr>
              <w:widowControl/>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100</w:t>
            </w:r>
          </w:p>
        </w:tc>
        <w:tc>
          <w:tcPr>
            <w:tcW w:w="1411" w:type="dxa"/>
            <w:vAlign w:val="center"/>
          </w:tcPr>
          <w:p>
            <w:pPr>
              <w:widowControl/>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100</w:t>
            </w:r>
          </w:p>
        </w:tc>
        <w:tc>
          <w:tcPr>
            <w:tcW w:w="1434" w:type="dxa"/>
            <w:vAlign w:val="center"/>
          </w:tcPr>
          <w:p>
            <w:pPr>
              <w:widowControl/>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50</w:t>
            </w:r>
          </w:p>
        </w:tc>
        <w:tc>
          <w:tcPr>
            <w:tcW w:w="1435" w:type="dxa"/>
            <w:vAlign w:val="center"/>
          </w:tcPr>
          <w:p>
            <w:pPr>
              <w:widowControl/>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c>
          <w:tcPr>
            <w:tcW w:w="1461" w:type="dxa"/>
            <w:vMerge w:val="continue"/>
            <w:vAlign w:val="center"/>
          </w:tcPr>
          <w:p>
            <w:pPr>
              <w:widowControl/>
              <w:jc w:val="center"/>
              <w:rPr>
                <w:color w:val="000000" w:themeColor="text1"/>
                <w:kern w:val="0"/>
                <w:sz w:val="21"/>
                <w:szCs w:val="21"/>
                <w14:textFill>
                  <w14:solidFill>
                    <w14:schemeClr w14:val="tx1"/>
                  </w14:solidFill>
                </w14:textFill>
              </w:rPr>
            </w:pPr>
          </w:p>
        </w:tc>
        <w:tc>
          <w:tcPr>
            <w:tcW w:w="1376" w:type="dxa"/>
            <w:vAlign w:val="center"/>
          </w:tcPr>
          <w:p>
            <w:pPr>
              <w:widowControl/>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虾类</w:t>
            </w:r>
          </w:p>
        </w:tc>
        <w:tc>
          <w:tcPr>
            <w:tcW w:w="1411" w:type="dxa"/>
            <w:vAlign w:val="center"/>
          </w:tcPr>
          <w:p>
            <w:pPr>
              <w:widowControl/>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100</w:t>
            </w:r>
          </w:p>
        </w:tc>
        <w:tc>
          <w:tcPr>
            <w:tcW w:w="1411" w:type="dxa"/>
            <w:vAlign w:val="center"/>
          </w:tcPr>
          <w:p>
            <w:pPr>
              <w:widowControl/>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20</w:t>
            </w:r>
          </w:p>
        </w:tc>
        <w:tc>
          <w:tcPr>
            <w:tcW w:w="1434" w:type="dxa"/>
            <w:vAlign w:val="center"/>
          </w:tcPr>
          <w:p>
            <w:pPr>
              <w:widowControl/>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6.6</w:t>
            </w:r>
          </w:p>
        </w:tc>
        <w:tc>
          <w:tcPr>
            <w:tcW w:w="1435" w:type="dxa"/>
            <w:vAlign w:val="center"/>
          </w:tcPr>
          <w:p>
            <w:pPr>
              <w:widowControl/>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0</w:t>
            </w:r>
          </w:p>
        </w:tc>
      </w:tr>
    </w:tbl>
    <w:p>
      <w:pPr>
        <w:pStyle w:val="283"/>
        <w:rPr>
          <w:color w:val="000000" w:themeColor="text1"/>
          <w14:textFill>
            <w14:solidFill>
              <w14:schemeClr w14:val="tx1"/>
            </w14:solidFill>
          </w14:textFill>
        </w:rPr>
      </w:pPr>
      <w:r>
        <w:rPr>
          <w:color w:val="000000" w:themeColor="text1"/>
          <w14:textFill>
            <w14:solidFill>
              <w14:schemeClr w14:val="tx1"/>
            </w14:solidFill>
          </w14:textFill>
        </w:rPr>
        <w:t>由上表可知</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爆破影响范围位于炸礁区域附近。根据区域海洋生态现状调查，</w:t>
      </w:r>
      <w:r>
        <w:rPr>
          <w:rFonts w:hint="eastAsia"/>
          <w:color w:val="000000" w:themeColor="text1"/>
          <w14:textFill>
            <w14:solidFill>
              <w14:schemeClr w14:val="tx1"/>
            </w14:solidFill>
          </w14:textFill>
        </w:rPr>
        <w:t>工程所在海域整体鱼卵、仔鱼密度均较小，综上，本项目爆破产生的冲击波影响主要集中在700m范围内，由于工程所在海域渔业生物密度较小，因此项目冲击波产生的生态影响极小。</w:t>
      </w:r>
    </w:p>
    <w:p>
      <w:pPr>
        <w:pStyle w:val="283"/>
        <w:rPr>
          <w:color w:val="000000" w:themeColor="text1"/>
          <w14:textFill>
            <w14:solidFill>
              <w14:schemeClr w14:val="tx1"/>
            </w14:solidFill>
          </w14:textFill>
        </w:rPr>
      </w:pPr>
      <w:r>
        <w:rPr>
          <w:color w:val="000000" w:themeColor="text1"/>
          <w14:textFill>
            <w14:solidFill>
              <w14:schemeClr w14:val="tx1"/>
            </w14:solidFill>
          </w14:textFill>
        </w:rPr>
        <w:t>综合考虑，为减轻水下爆破对渔业资源的影响，建议将</w:t>
      </w:r>
      <w:r>
        <w:rPr>
          <w:snapToGrid w:val="0"/>
          <w:color w:val="000000" w:themeColor="text1"/>
          <w14:textFill>
            <w14:solidFill>
              <w14:schemeClr w14:val="tx1"/>
            </w14:solidFill>
          </w14:textFill>
        </w:rPr>
        <w:t>一次最大爆炸药量控制在</w:t>
      </w:r>
      <w:r>
        <w:rPr>
          <w:color w:val="000000" w:themeColor="text1"/>
          <w14:textFill>
            <w14:solidFill>
              <w14:schemeClr w14:val="tx1"/>
            </w14:solidFill>
          </w14:textFill>
        </w:rPr>
        <w:t>100kg以下，采用分层爆破、微差爆破技术，控制爆破对鱼类影响的范围。并在大爆前先采取放小炮措施，让鱼群远离爆破区域。爆破工程应避开鱼类繁殖季节，建议施工单位采用快硬、高强、微膨胀的材料或直接用成型的炮孔塞堵塞炮孔等措施，减少钻孔工作量，加快施工进度，严格将爆破施工控制在</w:t>
      </w:r>
      <w:r>
        <w:rPr>
          <w:snapToGrid w:val="0"/>
          <w:color w:val="000000" w:themeColor="text1"/>
          <w14:textFill>
            <w14:solidFill>
              <w14:schemeClr w14:val="tx1"/>
            </w14:solidFill>
          </w14:textFill>
        </w:rPr>
        <w:t>枯水期11～3月完成，减少爆破对鱼类影响持续的时间。</w:t>
      </w:r>
    </w:p>
    <w:p>
      <w:pPr>
        <w:pStyle w:val="283"/>
        <w:rPr>
          <w:color w:val="000000" w:themeColor="text1"/>
          <w14:textFill>
            <w14:solidFill>
              <w14:schemeClr w14:val="tx1"/>
            </w14:solidFill>
          </w14:textFill>
        </w:rPr>
      </w:pPr>
      <w:r>
        <w:rPr>
          <w:rFonts w:hint="eastAsia"/>
          <w:color w:val="000000" w:themeColor="text1"/>
          <w14:textFill>
            <w14:solidFill>
              <w14:schemeClr w14:val="tx1"/>
            </w14:solidFill>
          </w14:textFill>
        </w:rPr>
        <w:t>4、</w:t>
      </w:r>
      <w:r>
        <w:rPr>
          <w:color w:val="000000" w:themeColor="text1"/>
          <w14:textFill>
            <w14:solidFill>
              <w14:schemeClr w14:val="tx1"/>
            </w14:solidFill>
          </w14:textFill>
        </w:rPr>
        <w:t>炸礁噪声对海洋生物的影响</w:t>
      </w:r>
    </w:p>
    <w:p>
      <w:pPr>
        <w:pStyle w:val="283"/>
        <w:rPr>
          <w:color w:val="000000" w:themeColor="text1"/>
          <w14:textFill>
            <w14:solidFill>
              <w14:schemeClr w14:val="tx1"/>
            </w14:solidFill>
          </w14:textFill>
        </w:rPr>
      </w:pPr>
      <w:r>
        <w:rPr>
          <w:color w:val="000000" w:themeColor="text1"/>
          <w14:textFill>
            <w14:solidFill>
              <w14:schemeClr w14:val="tx1"/>
            </w14:solidFill>
          </w14:textFill>
        </w:rPr>
        <w:t>炸礁产生的水下噪声也会对周边海洋生物产生一定影响</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噪声会惊扰或影响部分仔稚鱼和游泳动物的索饵和栖息活动，工程周边海域鱼卵及仔鱼密度极小，区域鱼卵平均密度</w:t>
      </w:r>
      <w:r>
        <w:rPr>
          <w:rFonts w:hint="eastAsia"/>
          <w:color w:val="000000" w:themeColor="text1"/>
          <w14:textFill>
            <w14:solidFill>
              <w14:schemeClr w14:val="tx1"/>
            </w14:solidFill>
          </w14:textFill>
        </w:rPr>
        <w:t>0.113</w:t>
      </w:r>
      <w:r>
        <w:rPr>
          <w:color w:val="000000" w:themeColor="text1"/>
          <w:lang w:bidi="en-US"/>
          <w14:textFill>
            <w14:solidFill>
              <w14:schemeClr w14:val="tx1"/>
            </w14:solidFill>
          </w14:textFill>
        </w:rPr>
        <w:t>粒/m</w:t>
      </w:r>
      <w:r>
        <w:rPr>
          <w:color w:val="000000" w:themeColor="text1"/>
          <w:vertAlign w:val="superscript"/>
          <w:lang w:bidi="en-US"/>
          <w14:textFill>
            <w14:solidFill>
              <w14:schemeClr w14:val="tx1"/>
            </w14:solidFill>
          </w14:textFill>
        </w:rPr>
        <w:t>3</w:t>
      </w:r>
      <w:r>
        <w:rPr>
          <w:color w:val="000000" w:themeColor="text1"/>
          <w:lang w:bidi="en-US"/>
          <w14:textFill>
            <w14:solidFill>
              <w14:schemeClr w14:val="tx1"/>
            </w14:solidFill>
          </w14:textFill>
        </w:rPr>
        <w:t>、仔鱼平均密度</w:t>
      </w:r>
      <w:r>
        <w:rPr>
          <w:rFonts w:hint="eastAsia"/>
          <w:color w:val="000000" w:themeColor="text1"/>
          <w:lang w:bidi="en-US"/>
          <w14:textFill>
            <w14:solidFill>
              <w14:schemeClr w14:val="tx1"/>
            </w14:solidFill>
          </w14:textFill>
        </w:rPr>
        <w:t>0.181</w:t>
      </w:r>
      <w:r>
        <w:rPr>
          <w:color w:val="000000" w:themeColor="text1"/>
          <w:lang w:bidi="en-US"/>
          <w14:textFill>
            <w14:solidFill>
              <w14:schemeClr w14:val="tx1"/>
            </w14:solidFill>
          </w14:textFill>
        </w:rPr>
        <w:t>尾/m</w:t>
      </w:r>
      <w:r>
        <w:rPr>
          <w:color w:val="000000" w:themeColor="text1"/>
          <w:vertAlign w:val="superscript"/>
          <w:lang w:bidi="en-US"/>
          <w14:textFill>
            <w14:solidFill>
              <w14:schemeClr w14:val="tx1"/>
            </w14:solidFill>
          </w14:textFill>
        </w:rPr>
        <w:t>3</w:t>
      </w:r>
      <w:r>
        <w:rPr>
          <w:color w:val="000000" w:themeColor="text1"/>
          <w:lang w:bidi="en-US"/>
          <w14:textFill>
            <w14:solidFill>
              <w14:schemeClr w14:val="tx1"/>
            </w14:solidFill>
          </w14:textFill>
        </w:rPr>
        <w:t>，本项目炸礁受影响的仔稚鱼密度小、数量稀疏，且</w:t>
      </w:r>
      <w:r>
        <w:rPr>
          <w:color w:val="000000" w:themeColor="text1"/>
          <w14:textFill>
            <w14:solidFill>
              <w14:schemeClr w14:val="tx1"/>
            </w14:solidFill>
          </w14:textFill>
        </w:rPr>
        <w:t>绝大部分可能受到影响的鱼类可以回避</w:t>
      </w:r>
      <w:r>
        <w:rPr>
          <w:rFonts w:hint="eastAsia"/>
          <w:color w:val="000000" w:themeColor="text1"/>
          <w14:textFill>
            <w14:solidFill>
              <w14:schemeClr w14:val="tx1"/>
            </w14:solidFill>
          </w14:textFill>
        </w:rPr>
        <w:t>。</w:t>
      </w:r>
    </w:p>
    <w:p>
      <w:pPr>
        <w:pStyle w:val="283"/>
        <w:rPr>
          <w:color w:val="000000" w:themeColor="text1"/>
          <w14:textFill>
            <w14:solidFill>
              <w14:schemeClr w14:val="tx1"/>
            </w14:solidFill>
          </w14:textFill>
        </w:rPr>
      </w:pPr>
      <w:r>
        <w:rPr>
          <w:rFonts w:hint="eastAsia"/>
          <w:color w:val="000000" w:themeColor="text1"/>
          <w14:textFill>
            <w14:solidFill>
              <w14:schemeClr w14:val="tx1"/>
            </w14:solidFill>
          </w14:textFill>
        </w:rPr>
        <w:t>工程所在海域游泳动物11月调查的优势种为</w:t>
      </w:r>
      <w:r>
        <w:rPr>
          <w:color w:val="000000" w:themeColor="text1"/>
          <w:lang w:bidi="en-US"/>
          <w14:textFill>
            <w14:solidFill>
              <w14:schemeClr w14:val="tx1"/>
            </w14:solidFill>
          </w14:textFill>
        </w:rPr>
        <w:t>斑鰶、黄鳍棘鲷、多鳞鱚和大头银姑鱼</w:t>
      </w:r>
      <w:r>
        <w:rPr>
          <w:rFonts w:hint="eastAsia"/>
          <w:color w:val="000000" w:themeColor="text1"/>
          <w:lang w:bidi="en-US"/>
          <w14:textFill>
            <w14:solidFill>
              <w14:schemeClr w14:val="tx1"/>
            </w14:solidFill>
          </w14:textFill>
        </w:rPr>
        <w:t>，4月调查的优势种为周氏新对虾、光掌蟳和褐菖鮋，根据上述游泳动物栖息地及习性调查，</w:t>
      </w:r>
      <w:r>
        <w:rPr>
          <w:color w:val="000000" w:themeColor="text1"/>
          <w:lang w:bidi="en-US"/>
          <w14:textFill>
            <w14:solidFill>
              <w14:schemeClr w14:val="tx1"/>
            </w14:solidFill>
          </w14:textFill>
        </w:rPr>
        <w:t>斑鰶、黄鳍棘鲷主要栖息在</w:t>
      </w:r>
      <w:r>
        <w:rPr>
          <w:rFonts w:hint="eastAsia"/>
          <w:color w:val="000000" w:themeColor="text1"/>
          <w:lang w:bidi="en-US"/>
          <w14:textFill>
            <w14:solidFill>
              <w14:schemeClr w14:val="tx1"/>
            </w14:solidFill>
          </w14:textFill>
        </w:rPr>
        <w:t>沿海港湾及近岸海域，</w:t>
      </w:r>
      <w:r>
        <w:rPr>
          <w:color w:val="000000" w:themeColor="text1"/>
          <w:lang w:bidi="en-US"/>
          <w14:textFill>
            <w14:solidFill>
              <w14:schemeClr w14:val="tx1"/>
            </w14:solidFill>
          </w14:textFill>
        </w:rPr>
        <w:t>多鳞鱚、大头银姑鱼、周氏新对虾、</w:t>
      </w:r>
      <w:r>
        <w:rPr>
          <w:rFonts w:hint="eastAsia"/>
          <w:color w:val="000000" w:themeColor="text1"/>
          <w:lang w:bidi="en-US"/>
          <w14:textFill>
            <w14:solidFill>
              <w14:schemeClr w14:val="tx1"/>
            </w14:solidFill>
          </w14:textFill>
        </w:rPr>
        <w:t>光掌蟳多栖息于深水的沙底海域，褐菖鮋常栖息于岩礁和海藻丛中，尤以海底洞穴、空隙珊瑚礁、卵石和海藻带居多。综上，本项目炸礁区域均为近岸海域，炸礁影响的游泳动物主要为</w:t>
      </w:r>
      <w:r>
        <w:rPr>
          <w:color w:val="000000" w:themeColor="text1"/>
          <w:lang w:bidi="en-US"/>
          <w14:textFill>
            <w14:solidFill>
              <w14:schemeClr w14:val="tx1"/>
            </w14:solidFill>
          </w14:textFill>
        </w:rPr>
        <w:t>斑鰶、黄鳍棘鲷等近岸海域栖息的物种，此类物种</w:t>
      </w:r>
      <w:r>
        <w:rPr>
          <w:rFonts w:hint="eastAsia"/>
          <w:color w:val="000000" w:themeColor="text1"/>
          <w:lang w:bidi="en-US"/>
          <w14:textFill>
            <w14:solidFill>
              <w14:schemeClr w14:val="tx1"/>
            </w14:solidFill>
          </w14:textFill>
        </w:rPr>
        <w:t>多已具有人工繁育技术，物种更新能力较强，且</w:t>
      </w:r>
      <w:r>
        <w:rPr>
          <w:color w:val="000000" w:themeColor="text1"/>
          <w14:textFill>
            <w14:solidFill>
              <w14:schemeClr w14:val="tx1"/>
            </w14:solidFill>
          </w14:textFill>
        </w:rPr>
        <w:t xml:space="preserve">项目炸礁前采取声驱法驱赶周边游泳动物，可减免炸礁噪声对周边海洋生物的影响。另外，水下噪音随距离呈现反平方规律衰减，随着水深的增加下降较快，对周边海洋生物影响较小，且随着施工结束，影响消失。 </w:t>
      </w:r>
    </w:p>
    <w:p>
      <w:pPr>
        <w:pStyle w:val="5"/>
        <w:rPr>
          <w:color w:val="000000" w:themeColor="text1"/>
          <w14:textFill>
            <w14:solidFill>
              <w14:schemeClr w14:val="tx1"/>
            </w14:solidFill>
          </w14:textFill>
        </w:rPr>
      </w:pPr>
      <w:r>
        <w:rPr>
          <w:color w:val="000000" w:themeColor="text1"/>
          <w14:textFill>
            <w14:solidFill>
              <w14:schemeClr w14:val="tx1"/>
            </w14:solidFill>
          </w14:textFill>
        </w:rPr>
        <w:t>生态损失补偿计算</w:t>
      </w:r>
    </w:p>
    <w:p>
      <w:pPr>
        <w:pStyle w:val="6"/>
        <w:rPr>
          <w:color w:val="000000" w:themeColor="text1"/>
          <w14:textFill>
            <w14:solidFill>
              <w14:schemeClr w14:val="tx1"/>
            </w14:solidFill>
          </w14:textFill>
        </w:rPr>
      </w:pPr>
      <w:r>
        <w:rPr>
          <w:rFonts w:hint="eastAsia"/>
          <w:color w:val="000000" w:themeColor="text1"/>
          <w14:textFill>
            <w14:solidFill>
              <w14:schemeClr w14:val="tx1"/>
            </w14:solidFill>
          </w14:textFill>
        </w:rPr>
        <w:t>生态损失评估方法</w:t>
      </w:r>
    </w:p>
    <w:p>
      <w:pPr>
        <w:pStyle w:val="283"/>
        <w:rPr>
          <w:color w:val="000000" w:themeColor="text1"/>
          <w14:textFill>
            <w14:solidFill>
              <w14:schemeClr w14:val="tx1"/>
            </w14:solidFill>
          </w14:textFill>
        </w:rPr>
      </w:pPr>
      <w:r>
        <w:rPr>
          <w:rFonts w:hint="eastAsia"/>
          <w:color w:val="000000" w:themeColor="text1"/>
          <w14:textFill>
            <w14:solidFill>
              <w14:schemeClr w14:val="tx1"/>
            </w14:solidFill>
          </w14:textFill>
        </w:rPr>
        <w:t>海洋工程</w:t>
      </w:r>
      <w:r>
        <w:rPr>
          <w:color w:val="000000" w:themeColor="text1"/>
          <w14:textFill>
            <w14:solidFill>
              <w14:schemeClr w14:val="tx1"/>
            </w14:solidFill>
          </w14:textFill>
        </w:rPr>
        <w:t>项目对海洋生物资源的损害主要表现在以下两方面：一是</w:t>
      </w:r>
      <w:r>
        <w:rPr>
          <w:rFonts w:hint="eastAsia"/>
          <w:color w:val="000000" w:themeColor="text1"/>
          <w14:textFill>
            <w14:solidFill>
              <w14:schemeClr w14:val="tx1"/>
            </w14:solidFill>
          </w14:textFill>
        </w:rPr>
        <w:t>永久性水工结构</w:t>
      </w:r>
      <w:r>
        <w:rPr>
          <w:color w:val="000000" w:themeColor="text1"/>
          <w14:textFill>
            <w14:solidFill>
              <w14:schemeClr w14:val="tx1"/>
            </w14:solidFill>
          </w14:textFill>
        </w:rPr>
        <w:t>使得原有海域属性变为陆地，侵占了海洋生物资源的栖息环境，属于永久性损害；二是施工期间产生的疏浚区域占用及悬浮泥沙扩散，为短时间排放，短期内将较快恢复本底值。</w:t>
      </w:r>
    </w:p>
    <w:p>
      <w:pPr>
        <w:pStyle w:val="283"/>
        <w:rPr>
          <w:color w:val="000000" w:themeColor="text1"/>
          <w14:textFill>
            <w14:solidFill>
              <w14:schemeClr w14:val="tx1"/>
            </w14:solidFill>
          </w14:textFill>
        </w:rPr>
      </w:pPr>
      <w:r>
        <w:rPr>
          <w:color w:val="000000" w:themeColor="text1"/>
          <w14:textFill>
            <w14:solidFill>
              <w14:schemeClr w14:val="tx1"/>
            </w14:solidFill>
          </w14:textFill>
        </w:rPr>
        <w:t>本项目工程产生的生态损失主要包括：</w:t>
      </w:r>
      <w:r>
        <w:rPr>
          <w:rFonts w:hint="eastAsia" w:ascii="宋体" w:hAnsi="宋体"/>
          <w:color w:val="000000" w:themeColor="text1"/>
          <w14:textFill>
            <w14:solidFill>
              <w14:schemeClr w14:val="tx1"/>
            </w14:solidFill>
          </w14:textFill>
        </w:rPr>
        <w:t>①</w:t>
      </w:r>
      <w:r>
        <w:rPr>
          <w:color w:val="000000" w:themeColor="text1"/>
          <w14:textFill>
            <w14:solidFill>
              <w14:schemeClr w14:val="tx1"/>
            </w14:solidFill>
          </w14:textFill>
        </w:rPr>
        <w:t>水工结构</w:t>
      </w:r>
      <w:r>
        <w:rPr>
          <w:rFonts w:hint="eastAsia"/>
          <w:color w:val="000000" w:themeColor="text1"/>
          <w14:textFill>
            <w14:solidFill>
              <w14:schemeClr w14:val="tx1"/>
            </w14:solidFill>
          </w14:textFill>
        </w:rPr>
        <w:t>永久</w:t>
      </w:r>
      <w:r>
        <w:rPr>
          <w:color w:val="000000" w:themeColor="text1"/>
          <w14:textFill>
            <w14:solidFill>
              <w14:schemeClr w14:val="tx1"/>
            </w14:solidFill>
          </w14:textFill>
        </w:rPr>
        <w:t>占用水域产生的生态损失；</w:t>
      </w:r>
      <w:r>
        <w:rPr>
          <w:rFonts w:hint="eastAsia" w:ascii="宋体" w:hAnsi="宋体"/>
          <w:color w:val="000000" w:themeColor="text1"/>
          <w14:textFill>
            <w14:solidFill>
              <w14:schemeClr w14:val="tx1"/>
            </w14:solidFill>
          </w14:textFill>
        </w:rPr>
        <w:t>②</w:t>
      </w:r>
      <w:r>
        <w:rPr>
          <w:color w:val="000000" w:themeColor="text1"/>
          <w14:textFill>
            <w14:solidFill>
              <w14:schemeClr w14:val="tx1"/>
            </w14:solidFill>
          </w14:textFill>
        </w:rPr>
        <w:t>水域疏浚开挖产生的生态损失；</w:t>
      </w:r>
      <w:r>
        <w:rPr>
          <w:rFonts w:hint="eastAsia" w:ascii="宋体" w:hAnsi="宋体"/>
          <w:color w:val="000000" w:themeColor="text1"/>
          <w14:textFill>
            <w14:solidFill>
              <w14:schemeClr w14:val="tx1"/>
            </w14:solidFill>
          </w14:textFill>
        </w:rPr>
        <w:t>③</w:t>
      </w:r>
      <w:r>
        <w:rPr>
          <w:color w:val="000000" w:themeColor="text1"/>
          <w14:textFill>
            <w14:solidFill>
              <w14:schemeClr w14:val="tx1"/>
            </w14:solidFill>
          </w14:textFill>
        </w:rPr>
        <w:t>施工悬浮泥沙产生的生态损失；</w:t>
      </w:r>
      <w:r>
        <w:rPr>
          <w:rFonts w:hint="eastAsia" w:ascii="宋体" w:hAnsi="宋体"/>
          <w:color w:val="000000" w:themeColor="text1"/>
          <w14:textFill>
            <w14:solidFill>
              <w14:schemeClr w14:val="tx1"/>
            </w14:solidFill>
          </w14:textFill>
        </w:rPr>
        <w:t>④爆破对生物资源的损害</w:t>
      </w:r>
      <w:r>
        <w:rPr>
          <w:color w:val="000000" w:themeColor="text1"/>
          <w14:textFill>
            <w14:solidFill>
              <w14:schemeClr w14:val="tx1"/>
            </w14:solidFill>
          </w14:textFill>
        </w:rPr>
        <w:t>。</w:t>
      </w:r>
    </w:p>
    <w:p>
      <w:pPr>
        <w:pStyle w:val="283"/>
        <w:rPr>
          <w:color w:val="000000" w:themeColor="text1"/>
          <w:lang w:bidi="en-US"/>
          <w14:textFill>
            <w14:solidFill>
              <w14:schemeClr w14:val="tx1"/>
            </w14:solidFill>
          </w14:textFill>
        </w:rPr>
      </w:pPr>
      <w:r>
        <w:rPr>
          <w:rFonts w:hint="eastAsia"/>
          <w:color w:val="000000" w:themeColor="text1"/>
          <w:lang w:bidi="en-US"/>
          <w14:textFill>
            <w14:solidFill>
              <w14:schemeClr w14:val="tx1"/>
            </w14:solidFill>
          </w14:textFill>
        </w:rPr>
        <w:t>1、</w:t>
      </w:r>
      <w:r>
        <w:rPr>
          <w:color w:val="000000" w:themeColor="text1"/>
          <w:lang w:bidi="en-US"/>
          <w14:textFill>
            <w14:solidFill>
              <w14:schemeClr w14:val="tx1"/>
            </w14:solidFill>
          </w14:textFill>
        </w:rPr>
        <w:t>占用渔业水域的海洋生物资源量损害评估</w:t>
      </w:r>
    </w:p>
    <w:p>
      <w:pPr>
        <w:pStyle w:val="283"/>
        <w:rPr>
          <w:color w:val="000000" w:themeColor="text1"/>
          <w:lang w:bidi="en-US"/>
          <w14:textFill>
            <w14:solidFill>
              <w14:schemeClr w14:val="tx1"/>
            </w14:solidFill>
          </w14:textFill>
        </w:rPr>
      </w:pPr>
      <w:r>
        <w:rPr>
          <w:color w:val="000000" w:themeColor="text1"/>
          <w:lang w:bidi="en-US"/>
          <w14:textFill>
            <w14:solidFill>
              <w14:schemeClr w14:val="tx1"/>
            </w14:solidFill>
          </w14:textFill>
        </w:rPr>
        <w:t>因工程建设需要，占用渔业水域，使渔业水域功能被破坏或海洋生物资源栖息地丧失，各种类生物资源损害量评估计算公式为：</w:t>
      </w:r>
    </w:p>
    <w:p>
      <w:pPr>
        <w:pStyle w:val="283"/>
        <w:rPr>
          <w:color w:val="000000" w:themeColor="text1"/>
          <w:lang w:bidi="en-US"/>
          <w14:textFill>
            <w14:solidFill>
              <w14:schemeClr w14:val="tx1"/>
            </w14:solidFill>
          </w14:textFill>
        </w:rPr>
      </w:pPr>
      <m:oMathPara>
        <m:oMath>
          <m:sSub>
            <m:sSubPr>
              <m:ctrlPr>
                <w:rPr>
                  <w:rFonts w:ascii="Cambria Math" w:hAnsi="Cambria Math"/>
                  <w:color w:val="000000" w:themeColor="text1"/>
                  <w:lang w:bidi="en-US"/>
                  <w14:textFill>
                    <w14:solidFill>
                      <w14:schemeClr w14:val="tx1"/>
                    </w14:solidFill>
                  </w14:textFill>
                </w:rPr>
              </m:ctrlPr>
            </m:sSubPr>
            <m:e>
              <m:r>
                <w:rPr>
                  <w:rFonts w:ascii="Cambria Math" w:hAnsi="Cambria Math"/>
                  <w:color w:val="000000" w:themeColor="text1"/>
                  <w:lang w:bidi="en-US"/>
                  <w14:textFill>
                    <w14:solidFill>
                      <w14:schemeClr w14:val="tx1"/>
                    </w14:solidFill>
                  </w14:textFill>
                </w:rPr>
                <m:t>W</m:t>
              </m:r>
              <m:ctrlPr>
                <w:rPr>
                  <w:rFonts w:ascii="Cambria Math" w:hAnsi="Cambria Math"/>
                  <w:color w:val="000000" w:themeColor="text1"/>
                  <w:lang w:bidi="en-US"/>
                  <w14:textFill>
                    <w14:solidFill>
                      <w14:schemeClr w14:val="tx1"/>
                    </w14:solidFill>
                  </w14:textFill>
                </w:rPr>
              </m:ctrlPr>
            </m:e>
            <m:sub>
              <m:r>
                <w:rPr>
                  <w:rFonts w:ascii="Cambria Math" w:hAnsi="Cambria Math"/>
                  <w:color w:val="000000" w:themeColor="text1"/>
                  <w:lang w:bidi="en-US"/>
                  <w14:textFill>
                    <w14:solidFill>
                      <w14:schemeClr w14:val="tx1"/>
                    </w14:solidFill>
                  </w14:textFill>
                </w:rPr>
                <m:t>i</m:t>
              </m:r>
              <m:ctrlPr>
                <w:rPr>
                  <w:rFonts w:ascii="Cambria Math" w:hAnsi="Cambria Math"/>
                  <w:color w:val="000000" w:themeColor="text1"/>
                  <w:lang w:bidi="en-US"/>
                  <w14:textFill>
                    <w14:solidFill>
                      <w14:schemeClr w14:val="tx1"/>
                    </w14:solidFill>
                  </w14:textFill>
                </w:rPr>
              </m:ctrlPr>
            </m:sub>
          </m:sSub>
          <m:r>
            <m:rPr>
              <m:sty m:val="p"/>
            </m:rPr>
            <w:rPr>
              <w:rFonts w:ascii="Cambria Math" w:hAnsi="Cambria Math"/>
              <w:color w:val="000000" w:themeColor="text1"/>
              <w:lang w:bidi="en-US"/>
              <w14:textFill>
                <w14:solidFill>
                  <w14:schemeClr w14:val="tx1"/>
                </w14:solidFill>
              </w14:textFill>
            </w:rPr>
            <m:t>=</m:t>
          </m:r>
          <m:sSub>
            <m:sSubPr>
              <m:ctrlPr>
                <w:rPr>
                  <w:rFonts w:ascii="Cambria Math" w:hAnsi="Cambria Math"/>
                  <w:color w:val="000000" w:themeColor="text1"/>
                  <w:lang w:bidi="en-US"/>
                  <w14:textFill>
                    <w14:solidFill>
                      <w14:schemeClr w14:val="tx1"/>
                    </w14:solidFill>
                  </w14:textFill>
                </w:rPr>
              </m:ctrlPr>
            </m:sSubPr>
            <m:e>
              <m:r>
                <w:rPr>
                  <w:rFonts w:ascii="Cambria Math" w:hAnsi="Cambria Math"/>
                  <w:color w:val="000000" w:themeColor="text1"/>
                  <w:lang w:bidi="en-US"/>
                  <w14:textFill>
                    <w14:solidFill>
                      <w14:schemeClr w14:val="tx1"/>
                    </w14:solidFill>
                  </w14:textFill>
                </w:rPr>
                <m:t>D</m:t>
              </m:r>
              <m:ctrlPr>
                <w:rPr>
                  <w:rFonts w:ascii="Cambria Math" w:hAnsi="Cambria Math"/>
                  <w:color w:val="000000" w:themeColor="text1"/>
                  <w:lang w:bidi="en-US"/>
                  <w14:textFill>
                    <w14:solidFill>
                      <w14:schemeClr w14:val="tx1"/>
                    </w14:solidFill>
                  </w14:textFill>
                </w:rPr>
              </m:ctrlPr>
            </m:e>
            <m:sub>
              <m:r>
                <w:rPr>
                  <w:rFonts w:ascii="Cambria Math" w:hAnsi="Cambria Math"/>
                  <w:color w:val="000000" w:themeColor="text1"/>
                  <w:lang w:bidi="en-US"/>
                  <w14:textFill>
                    <w14:solidFill>
                      <w14:schemeClr w14:val="tx1"/>
                    </w14:solidFill>
                  </w14:textFill>
                </w:rPr>
                <m:t>i</m:t>
              </m:r>
              <m:ctrlPr>
                <w:rPr>
                  <w:rFonts w:ascii="Cambria Math" w:hAnsi="Cambria Math"/>
                  <w:color w:val="000000" w:themeColor="text1"/>
                  <w:lang w:bidi="en-US"/>
                  <w14:textFill>
                    <w14:solidFill>
                      <w14:schemeClr w14:val="tx1"/>
                    </w14:solidFill>
                  </w14:textFill>
                </w:rPr>
              </m:ctrlPr>
            </m:sub>
          </m:sSub>
          <m:r>
            <m:rPr>
              <m:sty m:val="p"/>
            </m:rPr>
            <w:rPr>
              <w:rFonts w:ascii="Cambria Math" w:hAnsi="Cambria Math"/>
              <w:color w:val="000000" w:themeColor="text1"/>
              <w:lang w:bidi="en-US"/>
              <w14:textFill>
                <w14:solidFill>
                  <w14:schemeClr w14:val="tx1"/>
                </w14:solidFill>
              </w14:textFill>
            </w:rPr>
            <m:t>×</m:t>
          </m:r>
          <m:sSub>
            <m:sSubPr>
              <m:ctrlPr>
                <w:rPr>
                  <w:rFonts w:ascii="Cambria Math" w:hAnsi="Cambria Math"/>
                  <w:color w:val="000000" w:themeColor="text1"/>
                  <w:lang w:bidi="en-US"/>
                  <w14:textFill>
                    <w14:solidFill>
                      <w14:schemeClr w14:val="tx1"/>
                    </w14:solidFill>
                  </w14:textFill>
                </w:rPr>
              </m:ctrlPr>
            </m:sSubPr>
            <m:e>
              <m:r>
                <w:rPr>
                  <w:rFonts w:ascii="Cambria Math" w:hAnsi="Cambria Math"/>
                  <w:color w:val="000000" w:themeColor="text1"/>
                  <w:lang w:bidi="en-US"/>
                  <w14:textFill>
                    <w14:solidFill>
                      <w14:schemeClr w14:val="tx1"/>
                    </w14:solidFill>
                  </w14:textFill>
                </w:rPr>
                <m:t>S</m:t>
              </m:r>
              <m:ctrlPr>
                <w:rPr>
                  <w:rFonts w:ascii="Cambria Math" w:hAnsi="Cambria Math"/>
                  <w:color w:val="000000" w:themeColor="text1"/>
                  <w:lang w:bidi="en-US"/>
                  <w14:textFill>
                    <w14:solidFill>
                      <w14:schemeClr w14:val="tx1"/>
                    </w14:solidFill>
                  </w14:textFill>
                </w:rPr>
              </m:ctrlPr>
            </m:e>
            <m:sub>
              <m:r>
                <w:rPr>
                  <w:rFonts w:ascii="Cambria Math" w:hAnsi="Cambria Math"/>
                  <w:color w:val="000000" w:themeColor="text1"/>
                  <w:lang w:bidi="en-US"/>
                  <w14:textFill>
                    <w14:solidFill>
                      <w14:schemeClr w14:val="tx1"/>
                    </w14:solidFill>
                  </w14:textFill>
                </w:rPr>
                <m:t>i</m:t>
              </m:r>
              <m:ctrlPr>
                <w:rPr>
                  <w:rFonts w:ascii="Cambria Math" w:hAnsi="Cambria Math"/>
                  <w:color w:val="000000" w:themeColor="text1"/>
                  <w:lang w:bidi="en-US"/>
                  <w14:textFill>
                    <w14:solidFill>
                      <w14:schemeClr w14:val="tx1"/>
                    </w14:solidFill>
                  </w14:textFill>
                </w:rPr>
              </m:ctrlPr>
            </m:sub>
          </m:sSub>
        </m:oMath>
      </m:oMathPara>
    </w:p>
    <w:p>
      <w:pPr>
        <w:pStyle w:val="283"/>
        <w:rPr>
          <w:color w:val="000000" w:themeColor="text1"/>
          <w:lang w:bidi="en-US"/>
          <w14:textFill>
            <w14:solidFill>
              <w14:schemeClr w14:val="tx1"/>
            </w14:solidFill>
          </w14:textFill>
        </w:rPr>
      </w:pPr>
      <w:r>
        <w:rPr>
          <w:color w:val="000000" w:themeColor="text1"/>
          <w:lang w:bidi="en-US"/>
          <w14:textFill>
            <w14:solidFill>
              <w14:schemeClr w14:val="tx1"/>
            </w14:solidFill>
          </w14:textFill>
        </w:rPr>
        <w:t>式中：</w:t>
      </w:r>
    </w:p>
    <w:p>
      <w:pPr>
        <w:pStyle w:val="283"/>
        <w:rPr>
          <w:color w:val="000000" w:themeColor="text1"/>
          <w:lang w:bidi="en-US"/>
          <w14:textFill>
            <w14:solidFill>
              <w14:schemeClr w14:val="tx1"/>
            </w14:solidFill>
          </w14:textFill>
        </w:rPr>
      </w:pPr>
      <w:r>
        <w:rPr>
          <w:i/>
          <w:color w:val="000000" w:themeColor="text1"/>
          <w:lang w:bidi="en-US"/>
          <w14:textFill>
            <w14:solidFill>
              <w14:schemeClr w14:val="tx1"/>
            </w14:solidFill>
          </w14:textFill>
        </w:rPr>
        <w:t>W</w:t>
      </w:r>
      <w:r>
        <w:rPr>
          <w:i/>
          <w:color w:val="000000" w:themeColor="text1"/>
          <w:vertAlign w:val="subscript"/>
          <w:lang w:bidi="en-US"/>
          <w14:textFill>
            <w14:solidFill>
              <w14:schemeClr w14:val="tx1"/>
            </w14:solidFill>
          </w14:textFill>
        </w:rPr>
        <w:t>i</w:t>
      </w:r>
      <w:r>
        <w:rPr>
          <w:color w:val="000000" w:themeColor="text1"/>
          <w:lang w:bidi="en-US"/>
          <w14:textFill>
            <w14:solidFill>
              <w14:schemeClr w14:val="tx1"/>
            </w14:solidFill>
          </w14:textFill>
        </w:rPr>
        <w:t>--第</w:t>
      </w:r>
      <w:r>
        <w:rPr>
          <w:i/>
          <w:color w:val="000000" w:themeColor="text1"/>
          <w:lang w:bidi="en-US"/>
          <w14:textFill>
            <w14:solidFill>
              <w14:schemeClr w14:val="tx1"/>
            </w14:solidFill>
          </w14:textFill>
        </w:rPr>
        <w:t>i</w:t>
      </w:r>
      <w:r>
        <w:rPr>
          <w:color w:val="000000" w:themeColor="text1"/>
          <w:lang w:bidi="en-US"/>
          <w14:textFill>
            <w14:solidFill>
              <w14:schemeClr w14:val="tx1"/>
            </w14:solidFill>
          </w14:textFill>
        </w:rPr>
        <w:t>种生物资源受损量，单位为尾、个、kg；</w:t>
      </w:r>
    </w:p>
    <w:p>
      <w:pPr>
        <w:pStyle w:val="283"/>
        <w:rPr>
          <w:color w:val="000000" w:themeColor="text1"/>
          <w:lang w:bidi="en-US"/>
          <w14:textFill>
            <w14:solidFill>
              <w14:schemeClr w14:val="tx1"/>
            </w14:solidFill>
          </w14:textFill>
        </w:rPr>
      </w:pPr>
      <w:r>
        <w:rPr>
          <w:i/>
          <w:color w:val="000000" w:themeColor="text1"/>
          <w:lang w:bidi="en-US"/>
          <w14:textFill>
            <w14:solidFill>
              <w14:schemeClr w14:val="tx1"/>
            </w14:solidFill>
          </w14:textFill>
        </w:rPr>
        <w:t>D</w:t>
      </w:r>
      <w:r>
        <w:rPr>
          <w:i/>
          <w:color w:val="000000" w:themeColor="text1"/>
          <w:vertAlign w:val="subscript"/>
          <w:lang w:bidi="en-US"/>
          <w14:textFill>
            <w14:solidFill>
              <w14:schemeClr w14:val="tx1"/>
            </w14:solidFill>
          </w14:textFill>
        </w:rPr>
        <w:t>i</w:t>
      </w:r>
      <w:r>
        <w:rPr>
          <w:color w:val="000000" w:themeColor="text1"/>
          <w:lang w:bidi="en-US"/>
          <w14:textFill>
            <w14:solidFill>
              <w14:schemeClr w14:val="tx1"/>
            </w14:solidFill>
          </w14:textFill>
        </w:rPr>
        <w:t>--评估区域内第</w:t>
      </w:r>
      <w:r>
        <w:rPr>
          <w:i/>
          <w:color w:val="000000" w:themeColor="text1"/>
          <w:lang w:bidi="en-US"/>
          <w14:textFill>
            <w14:solidFill>
              <w14:schemeClr w14:val="tx1"/>
            </w14:solidFill>
          </w14:textFill>
        </w:rPr>
        <w:t>i</w:t>
      </w:r>
      <w:r>
        <w:rPr>
          <w:color w:val="000000" w:themeColor="text1"/>
          <w:lang w:bidi="en-US"/>
          <w14:textFill>
            <w14:solidFill>
              <w14:schemeClr w14:val="tx1"/>
            </w14:solidFill>
          </w14:textFill>
        </w:rPr>
        <w:t>种类生物资源密度，单位为尾（个）/km</w:t>
      </w:r>
      <w:r>
        <w:rPr>
          <w:color w:val="000000" w:themeColor="text1"/>
          <w:vertAlign w:val="superscript"/>
          <w:lang w:bidi="en-US"/>
          <w14:textFill>
            <w14:solidFill>
              <w14:schemeClr w14:val="tx1"/>
            </w14:solidFill>
          </w14:textFill>
        </w:rPr>
        <w:t>2</w:t>
      </w:r>
      <w:r>
        <w:rPr>
          <w:color w:val="000000" w:themeColor="text1"/>
          <w:lang w:bidi="en-US"/>
          <w14:textFill>
            <w14:solidFill>
              <w14:schemeClr w14:val="tx1"/>
            </w14:solidFill>
          </w14:textFill>
        </w:rPr>
        <w:t>、尾（个）/km</w:t>
      </w:r>
      <w:r>
        <w:rPr>
          <w:color w:val="000000" w:themeColor="text1"/>
          <w:vertAlign w:val="superscript"/>
          <w:lang w:bidi="en-US"/>
          <w14:textFill>
            <w14:solidFill>
              <w14:schemeClr w14:val="tx1"/>
            </w14:solidFill>
          </w14:textFill>
        </w:rPr>
        <w:t>3</w:t>
      </w:r>
      <w:r>
        <w:rPr>
          <w:color w:val="000000" w:themeColor="text1"/>
          <w:lang w:bidi="en-US"/>
          <w14:textFill>
            <w14:solidFill>
              <w14:schemeClr w14:val="tx1"/>
            </w14:solidFill>
          </w14:textFill>
        </w:rPr>
        <w:t>、kg/km</w:t>
      </w:r>
      <w:r>
        <w:rPr>
          <w:color w:val="000000" w:themeColor="text1"/>
          <w:vertAlign w:val="superscript"/>
          <w:lang w:bidi="en-US"/>
          <w14:textFill>
            <w14:solidFill>
              <w14:schemeClr w14:val="tx1"/>
            </w14:solidFill>
          </w14:textFill>
        </w:rPr>
        <w:t>2</w:t>
      </w:r>
      <w:r>
        <w:rPr>
          <w:color w:val="000000" w:themeColor="text1"/>
          <w:lang w:bidi="en-US"/>
          <w14:textFill>
            <w14:solidFill>
              <w14:schemeClr w14:val="tx1"/>
            </w14:solidFill>
          </w14:textFill>
        </w:rPr>
        <w:t>；</w:t>
      </w:r>
    </w:p>
    <w:p>
      <w:pPr>
        <w:pStyle w:val="283"/>
        <w:rPr>
          <w:color w:val="000000" w:themeColor="text1"/>
          <w:lang w:val="pt-BR"/>
          <w14:textFill>
            <w14:solidFill>
              <w14:schemeClr w14:val="tx1"/>
            </w14:solidFill>
          </w14:textFill>
        </w:rPr>
      </w:pPr>
      <w:r>
        <w:rPr>
          <w:i/>
          <w:color w:val="000000" w:themeColor="text1"/>
          <w:lang w:val="pt-BR"/>
          <w14:textFill>
            <w14:solidFill>
              <w14:schemeClr w14:val="tx1"/>
            </w14:solidFill>
          </w14:textFill>
        </w:rPr>
        <w:t>S</w:t>
      </w:r>
      <w:r>
        <w:rPr>
          <w:i/>
          <w:color w:val="000000" w:themeColor="text1"/>
          <w:vertAlign w:val="subscript"/>
          <w:lang w:val="pt-BR"/>
          <w14:textFill>
            <w14:solidFill>
              <w14:schemeClr w14:val="tx1"/>
            </w14:solidFill>
          </w14:textFill>
        </w:rPr>
        <w:t>i</w:t>
      </w:r>
      <w:r>
        <w:rPr>
          <w:color w:val="000000" w:themeColor="text1"/>
          <w:lang w:val="pt-BR"/>
          <w14:textFill>
            <w14:solidFill>
              <w14:schemeClr w14:val="tx1"/>
            </w14:solidFill>
          </w14:textFill>
        </w:rPr>
        <w:t>--</w:t>
      </w:r>
      <w:r>
        <w:rPr>
          <w:color w:val="000000" w:themeColor="text1"/>
          <w:lang w:bidi="en-US"/>
          <w14:textFill>
            <w14:solidFill>
              <w14:schemeClr w14:val="tx1"/>
            </w14:solidFill>
          </w14:textFill>
        </w:rPr>
        <w:t>第</w:t>
      </w:r>
      <w:r>
        <w:rPr>
          <w:i/>
          <w:color w:val="000000" w:themeColor="text1"/>
          <w:lang w:val="pt-BR"/>
          <w14:textFill>
            <w14:solidFill>
              <w14:schemeClr w14:val="tx1"/>
            </w14:solidFill>
          </w14:textFill>
        </w:rPr>
        <w:t>i</w:t>
      </w:r>
      <w:r>
        <w:rPr>
          <w:color w:val="000000" w:themeColor="text1"/>
          <w:lang w:bidi="en-US"/>
          <w14:textFill>
            <w14:solidFill>
              <w14:schemeClr w14:val="tx1"/>
            </w14:solidFill>
          </w14:textFill>
        </w:rPr>
        <w:t>种类生物占用的渔业水域面积或体积，单位为km</w:t>
      </w:r>
      <w:r>
        <w:rPr>
          <w:color w:val="000000" w:themeColor="text1"/>
          <w:vertAlign w:val="superscript"/>
          <w:lang w:bidi="en-US"/>
          <w14:textFill>
            <w14:solidFill>
              <w14:schemeClr w14:val="tx1"/>
            </w14:solidFill>
          </w14:textFill>
        </w:rPr>
        <w:t>2</w:t>
      </w:r>
      <w:r>
        <w:rPr>
          <w:color w:val="000000" w:themeColor="text1"/>
          <w:lang w:bidi="en-US"/>
          <w14:textFill>
            <w14:solidFill>
              <w14:schemeClr w14:val="tx1"/>
            </w14:solidFill>
          </w14:textFill>
        </w:rPr>
        <w:t>、km</w:t>
      </w:r>
      <w:r>
        <w:rPr>
          <w:color w:val="000000" w:themeColor="text1"/>
          <w:vertAlign w:val="superscript"/>
          <w:lang w:bidi="en-US"/>
          <w14:textFill>
            <w14:solidFill>
              <w14:schemeClr w14:val="tx1"/>
            </w14:solidFill>
          </w14:textFill>
        </w:rPr>
        <w:t>3</w:t>
      </w:r>
      <w:r>
        <w:rPr>
          <w:color w:val="000000" w:themeColor="text1"/>
          <w:lang w:val="pt-BR"/>
          <w14:textFill>
            <w14:solidFill>
              <w14:schemeClr w14:val="tx1"/>
            </w14:solidFill>
          </w14:textFill>
        </w:rPr>
        <w:t>。</w:t>
      </w:r>
    </w:p>
    <w:p>
      <w:pPr>
        <w:pStyle w:val="283"/>
        <w:rPr>
          <w:color w:val="000000" w:themeColor="text1"/>
          <w:lang w:bidi="en-US"/>
          <w14:textFill>
            <w14:solidFill>
              <w14:schemeClr w14:val="tx1"/>
            </w14:solidFill>
          </w14:textFill>
        </w:rPr>
      </w:pPr>
      <w:r>
        <w:rPr>
          <w:rFonts w:hint="eastAsia"/>
          <w:color w:val="000000" w:themeColor="text1"/>
          <w:lang w:val="pt-BR"/>
          <w14:textFill>
            <w14:solidFill>
              <w14:schemeClr w14:val="tx1"/>
            </w14:solidFill>
          </w14:textFill>
        </w:rPr>
        <w:t>2、</w:t>
      </w:r>
      <w:r>
        <w:rPr>
          <w:color w:val="000000" w:themeColor="text1"/>
          <w:lang w:bidi="en-US"/>
          <w14:textFill>
            <w14:solidFill>
              <w14:schemeClr w14:val="tx1"/>
            </w14:solidFill>
          </w14:textFill>
        </w:rPr>
        <w:t>污染物扩散范围内的海洋生物资源损害评估</w:t>
      </w:r>
    </w:p>
    <w:p>
      <w:pPr>
        <w:pStyle w:val="283"/>
        <w:rPr>
          <w:color w:val="000000" w:themeColor="text1"/>
          <w:lang w:bidi="en-US"/>
          <w14:textFill>
            <w14:solidFill>
              <w14:schemeClr w14:val="tx1"/>
            </w14:solidFill>
          </w14:textFill>
        </w:rPr>
      </w:pPr>
      <w:r>
        <w:rPr>
          <w:color w:val="000000" w:themeColor="text1"/>
          <w:lang w:bidi="en-US"/>
          <w14:textFill>
            <w14:solidFill>
              <w14:schemeClr w14:val="tx1"/>
            </w14:solidFill>
          </w14:textFill>
        </w:rPr>
        <w:t>一次性损害：污染物浓度增量区域存在时间少于15d（不含15d）。</w:t>
      </w:r>
    </w:p>
    <w:p>
      <w:pPr>
        <w:pStyle w:val="283"/>
        <w:rPr>
          <w:color w:val="000000" w:themeColor="text1"/>
          <w:lang w:bidi="en-US"/>
          <w14:textFill>
            <w14:solidFill>
              <w14:schemeClr w14:val="tx1"/>
            </w14:solidFill>
          </w14:textFill>
        </w:rPr>
      </w:pPr>
      <w:r>
        <w:rPr>
          <w:color w:val="000000" w:themeColor="text1"/>
          <w:lang w:bidi="en-US"/>
          <w14:textFill>
            <w14:solidFill>
              <w14:schemeClr w14:val="tx1"/>
            </w14:solidFill>
          </w14:textFill>
        </w:rPr>
        <w:t>一次性平均受损量评估计算公式：</w:t>
      </w:r>
    </w:p>
    <w:p>
      <w:pPr>
        <w:pStyle w:val="283"/>
        <w:rPr>
          <w:color w:val="000000" w:themeColor="text1"/>
          <w:lang w:bidi="en-US"/>
          <w14:textFill>
            <w14:solidFill>
              <w14:schemeClr w14:val="tx1"/>
            </w14:solidFill>
          </w14:textFill>
        </w:rPr>
      </w:pPr>
      <m:oMathPara>
        <m:oMath>
          <m:sSub>
            <m:sSubPr>
              <m:ctrlPr>
                <w:rPr>
                  <w:rFonts w:ascii="Cambria Math" w:hAnsi="Cambria Math"/>
                  <w:color w:val="000000" w:themeColor="text1"/>
                  <w:lang w:bidi="en-US"/>
                  <w14:textFill>
                    <w14:solidFill>
                      <w14:schemeClr w14:val="tx1"/>
                    </w14:solidFill>
                  </w14:textFill>
                </w:rPr>
              </m:ctrlPr>
            </m:sSubPr>
            <m:e>
              <m:r>
                <w:rPr>
                  <w:rFonts w:ascii="Cambria Math" w:hAnsi="Cambria Math"/>
                  <w:color w:val="000000" w:themeColor="text1"/>
                  <w:lang w:bidi="en-US"/>
                  <w14:textFill>
                    <w14:solidFill>
                      <w14:schemeClr w14:val="tx1"/>
                    </w14:solidFill>
                  </w14:textFill>
                </w:rPr>
                <m:t>W</m:t>
              </m:r>
              <m:ctrlPr>
                <w:rPr>
                  <w:rFonts w:ascii="Cambria Math" w:hAnsi="Cambria Math"/>
                  <w:color w:val="000000" w:themeColor="text1"/>
                  <w:lang w:bidi="en-US"/>
                  <w14:textFill>
                    <w14:solidFill>
                      <w14:schemeClr w14:val="tx1"/>
                    </w14:solidFill>
                  </w14:textFill>
                </w:rPr>
              </m:ctrlPr>
            </m:e>
            <m:sub>
              <m:r>
                <w:rPr>
                  <w:rFonts w:ascii="Cambria Math" w:hAnsi="Cambria Math"/>
                  <w:color w:val="000000" w:themeColor="text1"/>
                  <w:lang w:bidi="en-US"/>
                  <w14:textFill>
                    <w14:solidFill>
                      <w14:schemeClr w14:val="tx1"/>
                    </w14:solidFill>
                  </w14:textFill>
                </w:rPr>
                <m:t>i</m:t>
              </m:r>
              <m:ctrlPr>
                <w:rPr>
                  <w:rFonts w:ascii="Cambria Math" w:hAnsi="Cambria Math"/>
                  <w:color w:val="000000" w:themeColor="text1"/>
                  <w:lang w:bidi="en-US"/>
                  <w14:textFill>
                    <w14:solidFill>
                      <w14:schemeClr w14:val="tx1"/>
                    </w14:solidFill>
                  </w14:textFill>
                </w:rPr>
              </m:ctrlPr>
            </m:sub>
          </m:sSub>
          <m:r>
            <m:rPr>
              <m:sty m:val="p"/>
            </m:rPr>
            <w:rPr>
              <w:rFonts w:ascii="Cambria Math" w:hAnsi="Cambria Math"/>
              <w:color w:val="000000" w:themeColor="text1"/>
              <w:lang w:bidi="en-US"/>
              <w14:textFill>
                <w14:solidFill>
                  <w14:schemeClr w14:val="tx1"/>
                </w14:solidFill>
              </w14:textFill>
            </w:rPr>
            <m:t>=</m:t>
          </m:r>
          <m:nary>
            <m:naryPr>
              <m:chr m:val="∑"/>
              <m:limLoc m:val="undOvr"/>
              <m:ctrlPr>
                <w:rPr>
                  <w:rFonts w:ascii="Cambria Math" w:hAnsi="Cambria Math"/>
                  <w:color w:val="000000" w:themeColor="text1"/>
                  <w:lang w:bidi="en-US"/>
                  <w14:textFill>
                    <w14:solidFill>
                      <w14:schemeClr w14:val="tx1"/>
                    </w14:solidFill>
                  </w14:textFill>
                </w:rPr>
              </m:ctrlPr>
            </m:naryPr>
            <m:sub>
              <m:r>
                <w:rPr>
                  <w:rFonts w:ascii="Cambria Math" w:hAnsi="Cambria Math"/>
                  <w:color w:val="000000" w:themeColor="text1"/>
                  <w:lang w:bidi="en-US"/>
                  <w14:textFill>
                    <w14:solidFill>
                      <w14:schemeClr w14:val="tx1"/>
                    </w14:solidFill>
                  </w14:textFill>
                </w:rPr>
                <m:t>j</m:t>
              </m:r>
              <m:r>
                <m:rPr>
                  <m:sty m:val="p"/>
                </m:rPr>
                <w:rPr>
                  <w:rFonts w:ascii="Cambria Math" w:hAnsi="Cambria Math"/>
                  <w:color w:val="000000" w:themeColor="text1"/>
                  <w:lang w:bidi="en-US"/>
                  <w14:textFill>
                    <w14:solidFill>
                      <w14:schemeClr w14:val="tx1"/>
                    </w14:solidFill>
                  </w14:textFill>
                </w:rPr>
                <m:t>=1</m:t>
              </m:r>
              <m:ctrlPr>
                <w:rPr>
                  <w:rFonts w:ascii="Cambria Math" w:hAnsi="Cambria Math"/>
                  <w:color w:val="000000" w:themeColor="text1"/>
                  <w:lang w:bidi="en-US"/>
                  <w14:textFill>
                    <w14:solidFill>
                      <w14:schemeClr w14:val="tx1"/>
                    </w14:solidFill>
                  </w14:textFill>
                </w:rPr>
              </m:ctrlPr>
            </m:sub>
            <m:sup>
              <m:r>
                <w:rPr>
                  <w:rFonts w:ascii="Cambria Math" w:hAnsi="Cambria Math"/>
                  <w:color w:val="000000" w:themeColor="text1"/>
                  <w:lang w:bidi="en-US"/>
                  <w14:textFill>
                    <w14:solidFill>
                      <w14:schemeClr w14:val="tx1"/>
                    </w14:solidFill>
                  </w14:textFill>
                </w:rPr>
                <m:t>n</m:t>
              </m:r>
              <m:ctrlPr>
                <w:rPr>
                  <w:rFonts w:ascii="Cambria Math" w:hAnsi="Cambria Math"/>
                  <w:color w:val="000000" w:themeColor="text1"/>
                  <w:lang w:bidi="en-US"/>
                  <w14:textFill>
                    <w14:solidFill>
                      <w14:schemeClr w14:val="tx1"/>
                    </w14:solidFill>
                  </w14:textFill>
                </w:rPr>
              </m:ctrlPr>
            </m:sup>
            <m:e>
              <m:sSub>
                <m:sSubPr>
                  <m:ctrlPr>
                    <w:rPr>
                      <w:rFonts w:ascii="Cambria Math" w:hAnsi="Cambria Math"/>
                      <w:color w:val="000000" w:themeColor="text1"/>
                      <w:lang w:bidi="en-US"/>
                      <w14:textFill>
                        <w14:solidFill>
                          <w14:schemeClr w14:val="tx1"/>
                        </w14:solidFill>
                      </w14:textFill>
                    </w:rPr>
                  </m:ctrlPr>
                </m:sSubPr>
                <m:e>
                  <m:r>
                    <w:rPr>
                      <w:rFonts w:ascii="Cambria Math" w:hAnsi="Cambria Math"/>
                      <w:color w:val="000000" w:themeColor="text1"/>
                      <w:lang w:bidi="en-US"/>
                      <w14:textFill>
                        <w14:solidFill>
                          <w14:schemeClr w14:val="tx1"/>
                        </w14:solidFill>
                      </w14:textFill>
                    </w:rPr>
                    <m:t>D</m:t>
                  </m:r>
                  <m:ctrlPr>
                    <w:rPr>
                      <w:rFonts w:ascii="Cambria Math" w:hAnsi="Cambria Math"/>
                      <w:color w:val="000000" w:themeColor="text1"/>
                      <w:lang w:bidi="en-US"/>
                      <w14:textFill>
                        <w14:solidFill>
                          <w14:schemeClr w14:val="tx1"/>
                        </w14:solidFill>
                      </w14:textFill>
                    </w:rPr>
                  </m:ctrlPr>
                </m:e>
                <m:sub>
                  <m:r>
                    <w:rPr>
                      <w:rFonts w:ascii="Cambria Math" w:hAnsi="Cambria Math"/>
                      <w:color w:val="000000" w:themeColor="text1"/>
                      <w:lang w:bidi="en-US"/>
                      <w14:textFill>
                        <w14:solidFill>
                          <w14:schemeClr w14:val="tx1"/>
                        </w14:solidFill>
                      </w14:textFill>
                    </w:rPr>
                    <m:t>ij</m:t>
                  </m:r>
                  <m:ctrlPr>
                    <w:rPr>
                      <w:rFonts w:ascii="Cambria Math" w:hAnsi="Cambria Math"/>
                      <w:color w:val="000000" w:themeColor="text1"/>
                      <w:lang w:bidi="en-US"/>
                      <w14:textFill>
                        <w14:solidFill>
                          <w14:schemeClr w14:val="tx1"/>
                        </w14:solidFill>
                      </w14:textFill>
                    </w:rPr>
                  </m:ctrlPr>
                </m:sub>
              </m:sSub>
              <m:ctrlPr>
                <w:rPr>
                  <w:rFonts w:ascii="Cambria Math" w:hAnsi="Cambria Math"/>
                  <w:color w:val="000000" w:themeColor="text1"/>
                  <w:lang w:bidi="en-US"/>
                  <w14:textFill>
                    <w14:solidFill>
                      <w14:schemeClr w14:val="tx1"/>
                    </w14:solidFill>
                  </w14:textFill>
                </w:rPr>
              </m:ctrlPr>
            </m:e>
          </m:nary>
          <m:r>
            <m:rPr>
              <m:sty m:val="p"/>
            </m:rPr>
            <w:rPr>
              <w:rFonts w:ascii="Cambria Math" w:hAnsi="Cambria Math"/>
              <w:color w:val="000000" w:themeColor="text1"/>
              <w:lang w:bidi="en-US"/>
              <w14:textFill>
                <w14:solidFill>
                  <w14:schemeClr w14:val="tx1"/>
                </w14:solidFill>
              </w14:textFill>
            </w:rPr>
            <m:t>×</m:t>
          </m:r>
          <m:sSub>
            <m:sSubPr>
              <m:ctrlPr>
                <w:rPr>
                  <w:rFonts w:ascii="Cambria Math" w:hAnsi="Cambria Math"/>
                  <w:color w:val="000000" w:themeColor="text1"/>
                  <w:lang w:bidi="en-US"/>
                  <w14:textFill>
                    <w14:solidFill>
                      <w14:schemeClr w14:val="tx1"/>
                    </w14:solidFill>
                  </w14:textFill>
                </w:rPr>
              </m:ctrlPr>
            </m:sSubPr>
            <m:e>
              <m:r>
                <w:rPr>
                  <w:rFonts w:ascii="Cambria Math" w:hAnsi="Cambria Math"/>
                  <w:color w:val="000000" w:themeColor="text1"/>
                  <w:lang w:bidi="en-US"/>
                  <w14:textFill>
                    <w14:solidFill>
                      <w14:schemeClr w14:val="tx1"/>
                    </w14:solidFill>
                  </w14:textFill>
                </w:rPr>
                <m:t>S</m:t>
              </m:r>
              <m:ctrlPr>
                <w:rPr>
                  <w:rFonts w:ascii="Cambria Math" w:hAnsi="Cambria Math"/>
                  <w:color w:val="000000" w:themeColor="text1"/>
                  <w:lang w:bidi="en-US"/>
                  <w14:textFill>
                    <w14:solidFill>
                      <w14:schemeClr w14:val="tx1"/>
                    </w14:solidFill>
                  </w14:textFill>
                </w:rPr>
              </m:ctrlPr>
            </m:e>
            <m:sub>
              <m:r>
                <w:rPr>
                  <w:rFonts w:ascii="Cambria Math" w:hAnsi="Cambria Math"/>
                  <w:color w:val="000000" w:themeColor="text1"/>
                  <w:lang w:bidi="en-US"/>
                  <w14:textFill>
                    <w14:solidFill>
                      <w14:schemeClr w14:val="tx1"/>
                    </w14:solidFill>
                  </w14:textFill>
                </w:rPr>
                <m:t>i</m:t>
              </m:r>
              <m:ctrlPr>
                <w:rPr>
                  <w:rFonts w:ascii="Cambria Math" w:hAnsi="Cambria Math"/>
                  <w:color w:val="000000" w:themeColor="text1"/>
                  <w:lang w:bidi="en-US"/>
                  <w14:textFill>
                    <w14:solidFill>
                      <w14:schemeClr w14:val="tx1"/>
                    </w14:solidFill>
                  </w14:textFill>
                </w:rPr>
              </m:ctrlPr>
            </m:sub>
          </m:sSub>
          <m:r>
            <m:rPr>
              <m:sty m:val="p"/>
            </m:rPr>
            <w:rPr>
              <w:rFonts w:ascii="Cambria Math" w:hAnsi="Cambria Math"/>
              <w:color w:val="000000" w:themeColor="text1"/>
              <w:lang w:bidi="en-US"/>
              <w14:textFill>
                <w14:solidFill>
                  <w14:schemeClr w14:val="tx1"/>
                </w14:solidFill>
              </w14:textFill>
            </w:rPr>
            <m:t>×</m:t>
          </m:r>
          <m:sSub>
            <m:sSubPr>
              <m:ctrlPr>
                <w:rPr>
                  <w:rFonts w:ascii="Cambria Math" w:hAnsi="Cambria Math"/>
                  <w:color w:val="000000" w:themeColor="text1"/>
                  <w:lang w:bidi="en-US"/>
                  <w14:textFill>
                    <w14:solidFill>
                      <w14:schemeClr w14:val="tx1"/>
                    </w14:solidFill>
                  </w14:textFill>
                </w:rPr>
              </m:ctrlPr>
            </m:sSubPr>
            <m:e>
              <m:r>
                <w:rPr>
                  <w:rFonts w:ascii="Cambria Math" w:hAnsi="Cambria Math"/>
                  <w:color w:val="000000" w:themeColor="text1"/>
                  <w:lang w:bidi="en-US"/>
                  <w14:textFill>
                    <w14:solidFill>
                      <w14:schemeClr w14:val="tx1"/>
                    </w14:solidFill>
                  </w14:textFill>
                </w:rPr>
                <m:t>K</m:t>
              </m:r>
              <m:ctrlPr>
                <w:rPr>
                  <w:rFonts w:ascii="Cambria Math" w:hAnsi="Cambria Math"/>
                  <w:color w:val="000000" w:themeColor="text1"/>
                  <w:lang w:bidi="en-US"/>
                  <w14:textFill>
                    <w14:solidFill>
                      <w14:schemeClr w14:val="tx1"/>
                    </w14:solidFill>
                  </w14:textFill>
                </w:rPr>
              </m:ctrlPr>
            </m:e>
            <m:sub>
              <m:r>
                <w:rPr>
                  <w:rFonts w:ascii="Cambria Math" w:hAnsi="Cambria Math"/>
                  <w:color w:val="000000" w:themeColor="text1"/>
                  <w:lang w:bidi="en-US"/>
                  <w14:textFill>
                    <w14:solidFill>
                      <w14:schemeClr w14:val="tx1"/>
                    </w14:solidFill>
                  </w14:textFill>
                </w:rPr>
                <m:t>ij</m:t>
              </m:r>
              <m:ctrlPr>
                <w:rPr>
                  <w:rFonts w:ascii="Cambria Math" w:hAnsi="Cambria Math"/>
                  <w:color w:val="000000" w:themeColor="text1"/>
                  <w:lang w:bidi="en-US"/>
                  <w14:textFill>
                    <w14:solidFill>
                      <w14:schemeClr w14:val="tx1"/>
                    </w14:solidFill>
                  </w14:textFill>
                </w:rPr>
              </m:ctrlPr>
            </m:sub>
          </m:sSub>
        </m:oMath>
      </m:oMathPara>
    </w:p>
    <w:p>
      <w:pPr>
        <w:pStyle w:val="283"/>
        <w:rPr>
          <w:color w:val="000000" w:themeColor="text1"/>
          <w:lang w:bidi="en-US"/>
          <w14:textFill>
            <w14:solidFill>
              <w14:schemeClr w14:val="tx1"/>
            </w14:solidFill>
          </w14:textFill>
        </w:rPr>
      </w:pPr>
      <w:r>
        <w:rPr>
          <w:color w:val="000000" w:themeColor="text1"/>
          <w:lang w:bidi="en-US"/>
          <w14:textFill>
            <w14:solidFill>
              <w14:schemeClr w14:val="tx1"/>
            </w14:solidFill>
          </w14:textFill>
        </w:rPr>
        <w:t>式中：</w:t>
      </w:r>
    </w:p>
    <w:p>
      <w:pPr>
        <w:pStyle w:val="283"/>
        <w:rPr>
          <w:color w:val="000000" w:themeColor="text1"/>
          <w:lang w:bidi="en-US"/>
          <w14:textFill>
            <w14:solidFill>
              <w14:schemeClr w14:val="tx1"/>
            </w14:solidFill>
          </w14:textFill>
        </w:rPr>
      </w:pPr>
      <w:r>
        <w:rPr>
          <w:i/>
          <w:color w:val="000000" w:themeColor="text1"/>
          <w:lang w:bidi="en-US"/>
          <w14:textFill>
            <w14:solidFill>
              <w14:schemeClr w14:val="tx1"/>
            </w14:solidFill>
          </w14:textFill>
        </w:rPr>
        <w:t>W</w:t>
      </w:r>
      <w:r>
        <w:rPr>
          <w:i/>
          <w:color w:val="000000" w:themeColor="text1"/>
          <w:vertAlign w:val="subscript"/>
          <w:lang w:bidi="en-US"/>
          <w14:textFill>
            <w14:solidFill>
              <w14:schemeClr w14:val="tx1"/>
            </w14:solidFill>
          </w14:textFill>
        </w:rPr>
        <w:t>i</w:t>
      </w:r>
      <w:r>
        <w:rPr>
          <w:color w:val="000000" w:themeColor="text1"/>
          <w:lang w:bidi="en-US"/>
          <w14:textFill>
            <w14:solidFill>
              <w14:schemeClr w14:val="tx1"/>
            </w14:solidFill>
          </w14:textFill>
        </w:rPr>
        <w:t>--第i种类生物资源一次性平均损失量，单位为尾、个、kg；</w:t>
      </w:r>
    </w:p>
    <w:p>
      <w:pPr>
        <w:pStyle w:val="283"/>
        <w:rPr>
          <w:color w:val="000000" w:themeColor="text1"/>
          <w:lang w:bidi="en-US"/>
          <w14:textFill>
            <w14:solidFill>
              <w14:schemeClr w14:val="tx1"/>
            </w14:solidFill>
          </w14:textFill>
        </w:rPr>
      </w:pPr>
      <w:r>
        <w:rPr>
          <w:i/>
          <w:color w:val="000000" w:themeColor="text1"/>
          <w:lang w:bidi="en-US"/>
          <w14:textFill>
            <w14:solidFill>
              <w14:schemeClr w14:val="tx1"/>
            </w14:solidFill>
          </w14:textFill>
        </w:rPr>
        <w:t>D</w:t>
      </w:r>
      <w:r>
        <w:rPr>
          <w:i/>
          <w:color w:val="000000" w:themeColor="text1"/>
          <w:vertAlign w:val="subscript"/>
          <w:lang w:bidi="en-US"/>
          <w14:textFill>
            <w14:solidFill>
              <w14:schemeClr w14:val="tx1"/>
            </w14:solidFill>
          </w14:textFill>
        </w:rPr>
        <w:t>ij</w:t>
      </w:r>
      <w:r>
        <w:rPr>
          <w:color w:val="000000" w:themeColor="text1"/>
          <w:lang w:bidi="en-US"/>
          <w14:textFill>
            <w14:solidFill>
              <w14:schemeClr w14:val="tx1"/>
            </w14:solidFill>
          </w14:textFill>
        </w:rPr>
        <w:t>-</w:t>
      </w:r>
      <w:r>
        <w:rPr>
          <w:rFonts w:hint="eastAsia"/>
          <w:color w:val="000000" w:themeColor="text1"/>
          <w:lang w:bidi="en-US"/>
          <w14:textFill>
            <w14:solidFill>
              <w14:schemeClr w14:val="tx1"/>
            </w14:solidFill>
          </w14:textFill>
        </w:rPr>
        <w:t>－</w:t>
      </w:r>
      <w:r>
        <w:rPr>
          <w:color w:val="000000" w:themeColor="text1"/>
          <w:lang w:bidi="en-US"/>
          <w14:textFill>
            <w14:solidFill>
              <w14:schemeClr w14:val="tx1"/>
            </w14:solidFill>
          </w14:textFill>
        </w:rPr>
        <w:t>某一污染物第j类浓度增量区第i种类生物资源密度，单位为尾/km</w:t>
      </w:r>
      <w:r>
        <w:rPr>
          <w:color w:val="000000" w:themeColor="text1"/>
          <w:vertAlign w:val="superscript"/>
          <w:lang w:bidi="en-US"/>
          <w14:textFill>
            <w14:solidFill>
              <w14:schemeClr w14:val="tx1"/>
            </w14:solidFill>
          </w14:textFill>
        </w:rPr>
        <w:t>2</w:t>
      </w:r>
      <w:r>
        <w:rPr>
          <w:color w:val="000000" w:themeColor="text1"/>
          <w:lang w:bidi="en-US"/>
          <w14:textFill>
            <w14:solidFill>
              <w14:schemeClr w14:val="tx1"/>
            </w14:solidFill>
          </w14:textFill>
        </w:rPr>
        <w:t>、个/km</w:t>
      </w:r>
      <w:r>
        <w:rPr>
          <w:color w:val="000000" w:themeColor="text1"/>
          <w:vertAlign w:val="superscript"/>
          <w:lang w:bidi="en-US"/>
          <w14:textFill>
            <w14:solidFill>
              <w14:schemeClr w14:val="tx1"/>
            </w14:solidFill>
          </w14:textFill>
        </w:rPr>
        <w:t>2</w:t>
      </w:r>
      <w:r>
        <w:rPr>
          <w:color w:val="000000" w:themeColor="text1"/>
          <w:lang w:bidi="en-US"/>
          <w14:textFill>
            <w14:solidFill>
              <w14:schemeClr w14:val="tx1"/>
            </w14:solidFill>
          </w14:textFill>
        </w:rPr>
        <w:t>、kg/km</w:t>
      </w:r>
      <w:r>
        <w:rPr>
          <w:color w:val="000000" w:themeColor="text1"/>
          <w:vertAlign w:val="superscript"/>
          <w:lang w:bidi="en-US"/>
          <w14:textFill>
            <w14:solidFill>
              <w14:schemeClr w14:val="tx1"/>
            </w14:solidFill>
          </w14:textFill>
        </w:rPr>
        <w:t>2</w:t>
      </w:r>
      <w:r>
        <w:rPr>
          <w:color w:val="000000" w:themeColor="text1"/>
          <w:lang w:bidi="en-US"/>
          <w14:textFill>
            <w14:solidFill>
              <w14:schemeClr w14:val="tx1"/>
            </w14:solidFill>
          </w14:textFill>
        </w:rPr>
        <w:t>；</w:t>
      </w:r>
    </w:p>
    <w:p>
      <w:pPr>
        <w:pStyle w:val="283"/>
        <w:rPr>
          <w:color w:val="000000" w:themeColor="text1"/>
          <w:lang w:bidi="en-US"/>
          <w14:textFill>
            <w14:solidFill>
              <w14:schemeClr w14:val="tx1"/>
            </w14:solidFill>
          </w14:textFill>
        </w:rPr>
      </w:pPr>
      <w:r>
        <w:rPr>
          <w:i/>
          <w:color w:val="000000" w:themeColor="text1"/>
          <w:lang w:bidi="en-US"/>
          <w14:textFill>
            <w14:solidFill>
              <w14:schemeClr w14:val="tx1"/>
            </w14:solidFill>
          </w14:textFill>
        </w:rPr>
        <w:t>S</w:t>
      </w:r>
      <w:r>
        <w:rPr>
          <w:i/>
          <w:color w:val="000000" w:themeColor="text1"/>
          <w:vertAlign w:val="subscript"/>
          <w:lang w:bidi="en-US"/>
          <w14:textFill>
            <w14:solidFill>
              <w14:schemeClr w14:val="tx1"/>
            </w14:solidFill>
          </w14:textFill>
        </w:rPr>
        <w:t>j</w:t>
      </w:r>
      <w:r>
        <w:rPr>
          <w:color w:val="000000" w:themeColor="text1"/>
          <w:lang w:bidi="en-US"/>
          <w14:textFill>
            <w14:solidFill>
              <w14:schemeClr w14:val="tx1"/>
            </w14:solidFill>
          </w14:textFill>
        </w:rPr>
        <w:t>-</w:t>
      </w:r>
      <w:r>
        <w:rPr>
          <w:rFonts w:hint="eastAsia"/>
          <w:color w:val="000000" w:themeColor="text1"/>
          <w:lang w:bidi="en-US"/>
          <w14:textFill>
            <w14:solidFill>
              <w14:schemeClr w14:val="tx1"/>
            </w14:solidFill>
          </w14:textFill>
        </w:rPr>
        <w:t>－</w:t>
      </w:r>
      <w:r>
        <w:rPr>
          <w:color w:val="000000" w:themeColor="text1"/>
          <w:lang w:bidi="en-US"/>
          <w14:textFill>
            <w14:solidFill>
              <w14:schemeClr w14:val="tx1"/>
            </w14:solidFill>
          </w14:textFill>
        </w:rPr>
        <w:t>某一污染物第j类浓度增量区面积，单位为km</w:t>
      </w:r>
      <w:r>
        <w:rPr>
          <w:color w:val="000000" w:themeColor="text1"/>
          <w:vertAlign w:val="superscript"/>
          <w:lang w:bidi="en-US"/>
          <w14:textFill>
            <w14:solidFill>
              <w14:schemeClr w14:val="tx1"/>
            </w14:solidFill>
          </w14:textFill>
        </w:rPr>
        <w:t>2</w:t>
      </w:r>
      <w:r>
        <w:rPr>
          <w:color w:val="000000" w:themeColor="text1"/>
          <w:lang w:bidi="en-US"/>
          <w14:textFill>
            <w14:solidFill>
              <w14:schemeClr w14:val="tx1"/>
            </w14:solidFill>
          </w14:textFill>
        </w:rPr>
        <w:t>；</w:t>
      </w:r>
    </w:p>
    <w:p>
      <w:pPr>
        <w:pStyle w:val="283"/>
        <w:rPr>
          <w:color w:val="000000" w:themeColor="text1"/>
          <w:lang w:bidi="en-US"/>
          <w14:textFill>
            <w14:solidFill>
              <w14:schemeClr w14:val="tx1"/>
            </w14:solidFill>
          </w14:textFill>
        </w:rPr>
      </w:pPr>
      <w:r>
        <w:rPr>
          <w:i/>
          <w:color w:val="000000" w:themeColor="text1"/>
          <w:lang w:bidi="en-US"/>
          <w14:textFill>
            <w14:solidFill>
              <w14:schemeClr w14:val="tx1"/>
            </w14:solidFill>
          </w14:textFill>
        </w:rPr>
        <w:t>K</w:t>
      </w:r>
      <w:r>
        <w:rPr>
          <w:i/>
          <w:color w:val="000000" w:themeColor="text1"/>
          <w:vertAlign w:val="subscript"/>
          <w:lang w:bidi="en-US"/>
          <w14:textFill>
            <w14:solidFill>
              <w14:schemeClr w14:val="tx1"/>
            </w14:solidFill>
          </w14:textFill>
        </w:rPr>
        <w:t>ij</w:t>
      </w:r>
      <w:r>
        <w:rPr>
          <w:color w:val="000000" w:themeColor="text1"/>
          <w:lang w:bidi="en-US"/>
          <w14:textFill>
            <w14:solidFill>
              <w14:schemeClr w14:val="tx1"/>
            </w14:solidFill>
          </w14:textFill>
        </w:rPr>
        <w:t>--某一污染物第j类浓度增量区第i种类生物资源损失率（％），生物资源损失率取值参见表4.</w:t>
      </w:r>
      <w:r>
        <w:rPr>
          <w:rFonts w:hint="eastAsia"/>
          <w:color w:val="000000" w:themeColor="text1"/>
          <w:lang w:bidi="en-US"/>
          <w14:textFill>
            <w14:solidFill>
              <w14:schemeClr w14:val="tx1"/>
            </w14:solidFill>
          </w14:textFill>
        </w:rPr>
        <w:t>2</w:t>
      </w:r>
      <w:r>
        <w:rPr>
          <w:color w:val="000000" w:themeColor="text1"/>
          <w:lang w:bidi="en-US"/>
          <w14:textFill>
            <w14:solidFill>
              <w14:schemeClr w14:val="tx1"/>
            </w14:solidFill>
          </w14:textFill>
        </w:rPr>
        <w:t>-</w:t>
      </w:r>
      <w:r>
        <w:rPr>
          <w:rFonts w:hint="eastAsia"/>
          <w:color w:val="000000" w:themeColor="text1"/>
          <w:lang w:bidi="en-US"/>
          <w14:textFill>
            <w14:solidFill>
              <w14:schemeClr w14:val="tx1"/>
            </w14:solidFill>
          </w14:textFill>
        </w:rPr>
        <w:t>4</w:t>
      </w:r>
      <w:r>
        <w:rPr>
          <w:color w:val="000000" w:themeColor="text1"/>
          <w:lang w:bidi="en-US"/>
          <w14:textFill>
            <w14:solidFill>
              <w14:schemeClr w14:val="tx1"/>
            </w14:solidFill>
          </w14:textFill>
        </w:rPr>
        <w:t>。</w:t>
      </w:r>
    </w:p>
    <w:p>
      <w:pPr>
        <w:pStyle w:val="283"/>
        <w:rPr>
          <w:color w:val="000000" w:themeColor="text1"/>
          <w:lang w:bidi="en-US"/>
          <w14:textFill>
            <w14:solidFill>
              <w14:schemeClr w14:val="tx1"/>
            </w14:solidFill>
          </w14:textFill>
        </w:rPr>
      </w:pPr>
      <w:r>
        <w:rPr>
          <w:color w:val="000000" w:themeColor="text1"/>
          <w:lang w:bidi="en-US"/>
          <w14:textFill>
            <w14:solidFill>
              <w14:schemeClr w14:val="tx1"/>
            </w14:solidFill>
          </w14:textFill>
        </w:rPr>
        <w:t>n-</w:t>
      </w:r>
      <w:r>
        <w:rPr>
          <w:rFonts w:hint="eastAsia"/>
          <w:color w:val="000000" w:themeColor="text1"/>
          <w:lang w:bidi="en-US"/>
          <w14:textFill>
            <w14:solidFill>
              <w14:schemeClr w14:val="tx1"/>
            </w14:solidFill>
          </w14:textFill>
        </w:rPr>
        <w:t>－</w:t>
      </w:r>
      <w:r>
        <w:rPr>
          <w:color w:val="000000" w:themeColor="text1"/>
          <w:lang w:bidi="en-US"/>
          <w14:textFill>
            <w14:solidFill>
              <w14:schemeClr w14:val="tx1"/>
            </w14:solidFill>
          </w14:textFill>
        </w:rPr>
        <w:t>某一污染物浓度增量分区总数。</w:t>
      </w:r>
    </w:p>
    <w:p>
      <w:pPr>
        <w:pStyle w:val="384"/>
        <w:ind w:left="0" w:firstLine="503"/>
        <w:rPr>
          <w:rFonts w:cs="Times New Roman"/>
          <w:color w:val="000000" w:themeColor="text1"/>
          <w:lang w:bidi="en-US"/>
          <w14:textFill>
            <w14:solidFill>
              <w14:schemeClr w14:val="tx1"/>
            </w14:solidFill>
          </w14:textFill>
        </w:rPr>
      </w:pPr>
      <w:r>
        <w:rPr>
          <w:rFonts w:cs="Times New Roman"/>
          <w:color w:val="000000" w:themeColor="text1"/>
          <w:lang w:bidi="en-US"/>
          <w14:textFill>
            <w14:solidFill>
              <w14:schemeClr w14:val="tx1"/>
            </w14:solidFill>
          </w14:textFill>
        </w:rPr>
        <w:t>污染物对各类生物损失率</w:t>
      </w:r>
    </w:p>
    <w:tbl>
      <w:tblPr>
        <w:tblStyle w:val="88"/>
        <w:tblW w:w="8528" w:type="dxa"/>
        <w:jc w:val="center"/>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2174"/>
        <w:gridCol w:w="1898"/>
        <w:gridCol w:w="1486"/>
        <w:gridCol w:w="1486"/>
        <w:gridCol w:w="1484"/>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blHeader/>
          <w:jc w:val="center"/>
        </w:trPr>
        <w:tc>
          <w:tcPr>
            <w:tcW w:w="2174" w:type="dxa"/>
            <w:vMerge w:val="restart"/>
            <w:vAlign w:val="center"/>
          </w:tcPr>
          <w:p>
            <w:pPr>
              <w:pStyle w:val="2001"/>
              <w:rPr>
                <w:lang w:bidi="en-US"/>
              </w:rPr>
            </w:pPr>
            <w:r>
              <w:rPr>
                <w:lang w:bidi="en-US"/>
              </w:rPr>
              <w:t>污染物i的超标倍数（B</w:t>
            </w:r>
            <w:r>
              <w:rPr>
                <w:vertAlign w:val="subscript"/>
                <w:lang w:bidi="en-US"/>
              </w:rPr>
              <w:t>i</w:t>
            </w:r>
            <w:r>
              <w:rPr>
                <w:lang w:bidi="en-US"/>
              </w:rPr>
              <w:t>）</w:t>
            </w:r>
          </w:p>
        </w:tc>
        <w:tc>
          <w:tcPr>
            <w:tcW w:w="6354" w:type="dxa"/>
            <w:gridSpan w:val="4"/>
            <w:vAlign w:val="center"/>
          </w:tcPr>
          <w:p>
            <w:pPr>
              <w:pStyle w:val="2001"/>
              <w:rPr>
                <w:lang w:bidi="en-US"/>
              </w:rPr>
            </w:pPr>
            <w:r>
              <w:rPr>
                <w:lang w:bidi="en-US"/>
              </w:rPr>
              <w:t>各类生物损失率（%）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174" w:type="dxa"/>
            <w:vMerge w:val="continue"/>
            <w:vAlign w:val="center"/>
          </w:tcPr>
          <w:p>
            <w:pPr>
              <w:pStyle w:val="2001"/>
              <w:rPr>
                <w:lang w:bidi="en-US"/>
              </w:rPr>
            </w:pPr>
          </w:p>
        </w:tc>
        <w:tc>
          <w:tcPr>
            <w:tcW w:w="1898" w:type="dxa"/>
            <w:vAlign w:val="center"/>
          </w:tcPr>
          <w:p>
            <w:pPr>
              <w:pStyle w:val="2001"/>
              <w:rPr>
                <w:lang w:bidi="en-US"/>
              </w:rPr>
            </w:pPr>
            <w:r>
              <w:rPr>
                <w:lang w:bidi="en-US"/>
              </w:rPr>
              <w:t>鱼卵和仔稚鱼</w:t>
            </w:r>
          </w:p>
        </w:tc>
        <w:tc>
          <w:tcPr>
            <w:tcW w:w="1486" w:type="dxa"/>
            <w:vAlign w:val="center"/>
          </w:tcPr>
          <w:p>
            <w:pPr>
              <w:pStyle w:val="2001"/>
              <w:rPr>
                <w:lang w:bidi="en-US"/>
              </w:rPr>
            </w:pPr>
            <w:r>
              <w:rPr>
                <w:lang w:bidi="en-US"/>
              </w:rPr>
              <w:t>成体</w:t>
            </w:r>
          </w:p>
        </w:tc>
        <w:tc>
          <w:tcPr>
            <w:tcW w:w="1486" w:type="dxa"/>
            <w:vAlign w:val="center"/>
          </w:tcPr>
          <w:p>
            <w:pPr>
              <w:pStyle w:val="2001"/>
              <w:rPr>
                <w:lang w:bidi="en-US"/>
              </w:rPr>
            </w:pPr>
            <w:r>
              <w:rPr>
                <w:lang w:bidi="en-US"/>
              </w:rPr>
              <w:t>浮游动物</w:t>
            </w:r>
          </w:p>
        </w:tc>
        <w:tc>
          <w:tcPr>
            <w:tcW w:w="1484" w:type="dxa"/>
            <w:vAlign w:val="center"/>
          </w:tcPr>
          <w:p>
            <w:pPr>
              <w:pStyle w:val="2001"/>
              <w:rPr>
                <w:lang w:bidi="en-US"/>
              </w:rPr>
            </w:pPr>
            <w:r>
              <w:rPr>
                <w:lang w:bidi="en-US"/>
              </w:rPr>
              <w:t>浮游植物</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174" w:type="dxa"/>
            <w:vAlign w:val="center"/>
          </w:tcPr>
          <w:p>
            <w:pPr>
              <w:pStyle w:val="2001"/>
              <w:rPr>
                <w:lang w:bidi="en-US"/>
              </w:rPr>
            </w:pPr>
            <w:r>
              <w:rPr>
                <w:lang w:bidi="en-US"/>
              </w:rPr>
              <w:t>B</w:t>
            </w:r>
            <w:r>
              <w:rPr>
                <w:vertAlign w:val="subscript"/>
                <w:lang w:bidi="en-US"/>
              </w:rPr>
              <w:t>i</w:t>
            </w:r>
            <w:r>
              <w:rPr>
                <w:lang w:bidi="en-US"/>
              </w:rPr>
              <w:t>≤1倍</w:t>
            </w:r>
          </w:p>
        </w:tc>
        <w:tc>
          <w:tcPr>
            <w:tcW w:w="1898" w:type="dxa"/>
            <w:vAlign w:val="center"/>
          </w:tcPr>
          <w:p>
            <w:pPr>
              <w:pStyle w:val="2001"/>
              <w:rPr>
                <w:lang w:bidi="en-US"/>
              </w:rPr>
            </w:pPr>
            <w:r>
              <w:rPr>
                <w:lang w:bidi="en-US"/>
              </w:rPr>
              <w:t>5</w:t>
            </w:r>
          </w:p>
        </w:tc>
        <w:tc>
          <w:tcPr>
            <w:tcW w:w="1486" w:type="dxa"/>
            <w:vAlign w:val="center"/>
          </w:tcPr>
          <w:p>
            <w:pPr>
              <w:pStyle w:val="2001"/>
              <w:rPr>
                <w:lang w:bidi="en-US"/>
              </w:rPr>
            </w:pPr>
            <w:r>
              <w:rPr>
                <w:lang w:bidi="en-US"/>
              </w:rPr>
              <w:t>＜1</w:t>
            </w:r>
          </w:p>
        </w:tc>
        <w:tc>
          <w:tcPr>
            <w:tcW w:w="1486" w:type="dxa"/>
            <w:vAlign w:val="center"/>
          </w:tcPr>
          <w:p>
            <w:pPr>
              <w:pStyle w:val="2001"/>
              <w:rPr>
                <w:lang w:bidi="en-US"/>
              </w:rPr>
            </w:pPr>
            <w:r>
              <w:rPr>
                <w:lang w:bidi="en-US"/>
              </w:rPr>
              <w:t>5</w:t>
            </w:r>
          </w:p>
        </w:tc>
        <w:tc>
          <w:tcPr>
            <w:tcW w:w="1484" w:type="dxa"/>
            <w:vAlign w:val="center"/>
          </w:tcPr>
          <w:p>
            <w:pPr>
              <w:pStyle w:val="2001"/>
              <w:rPr>
                <w:lang w:bidi="en-US"/>
              </w:rPr>
            </w:pPr>
            <w:r>
              <w:rPr>
                <w:lang w:bidi="en-US"/>
              </w:rPr>
              <w:t>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174" w:type="dxa"/>
            <w:vAlign w:val="center"/>
          </w:tcPr>
          <w:p>
            <w:pPr>
              <w:pStyle w:val="2001"/>
              <w:rPr>
                <w:lang w:bidi="en-US"/>
              </w:rPr>
            </w:pPr>
            <w:r>
              <w:rPr>
                <w:lang w:bidi="en-US"/>
              </w:rPr>
              <w:t>1＜B</w:t>
            </w:r>
            <w:r>
              <w:rPr>
                <w:vertAlign w:val="subscript"/>
                <w:lang w:bidi="en-US"/>
              </w:rPr>
              <w:t>i</w:t>
            </w:r>
            <w:r>
              <w:rPr>
                <w:lang w:bidi="en-US"/>
              </w:rPr>
              <w:t>≤4倍</w:t>
            </w:r>
          </w:p>
        </w:tc>
        <w:tc>
          <w:tcPr>
            <w:tcW w:w="1898" w:type="dxa"/>
            <w:vAlign w:val="center"/>
          </w:tcPr>
          <w:p>
            <w:pPr>
              <w:pStyle w:val="2001"/>
              <w:rPr>
                <w:lang w:bidi="en-US"/>
              </w:rPr>
            </w:pPr>
            <w:r>
              <w:rPr>
                <w:lang w:bidi="en-US"/>
              </w:rPr>
              <w:t>5～30</w:t>
            </w:r>
          </w:p>
        </w:tc>
        <w:tc>
          <w:tcPr>
            <w:tcW w:w="1486" w:type="dxa"/>
            <w:vAlign w:val="center"/>
          </w:tcPr>
          <w:p>
            <w:pPr>
              <w:pStyle w:val="2001"/>
              <w:rPr>
                <w:lang w:bidi="en-US"/>
              </w:rPr>
            </w:pPr>
            <w:r>
              <w:rPr>
                <w:lang w:bidi="en-US"/>
              </w:rPr>
              <w:t>1～10</w:t>
            </w:r>
          </w:p>
        </w:tc>
        <w:tc>
          <w:tcPr>
            <w:tcW w:w="1486" w:type="dxa"/>
            <w:vAlign w:val="center"/>
          </w:tcPr>
          <w:p>
            <w:pPr>
              <w:pStyle w:val="2001"/>
              <w:rPr>
                <w:lang w:bidi="en-US"/>
              </w:rPr>
            </w:pPr>
            <w:r>
              <w:rPr>
                <w:lang w:bidi="en-US"/>
              </w:rPr>
              <w:t>10～30</w:t>
            </w:r>
          </w:p>
        </w:tc>
        <w:tc>
          <w:tcPr>
            <w:tcW w:w="1484" w:type="dxa"/>
            <w:vAlign w:val="center"/>
          </w:tcPr>
          <w:p>
            <w:pPr>
              <w:pStyle w:val="2001"/>
              <w:rPr>
                <w:lang w:bidi="en-US"/>
              </w:rPr>
            </w:pPr>
            <w:r>
              <w:rPr>
                <w:lang w:bidi="en-US"/>
              </w:rPr>
              <w:t>10～30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174" w:type="dxa"/>
            <w:vAlign w:val="center"/>
          </w:tcPr>
          <w:p>
            <w:pPr>
              <w:pStyle w:val="2001"/>
              <w:rPr>
                <w:lang w:bidi="en-US"/>
              </w:rPr>
            </w:pPr>
            <w:r>
              <w:rPr>
                <w:lang w:bidi="en-US"/>
              </w:rPr>
              <w:t>4＜B</w:t>
            </w:r>
            <w:r>
              <w:rPr>
                <w:vertAlign w:val="subscript"/>
                <w:lang w:bidi="en-US"/>
              </w:rPr>
              <w:t>i</w:t>
            </w:r>
            <w:r>
              <w:rPr>
                <w:lang w:bidi="en-US"/>
              </w:rPr>
              <w:t>≤9倍</w:t>
            </w:r>
          </w:p>
        </w:tc>
        <w:tc>
          <w:tcPr>
            <w:tcW w:w="1898" w:type="dxa"/>
            <w:vAlign w:val="center"/>
          </w:tcPr>
          <w:p>
            <w:pPr>
              <w:pStyle w:val="2001"/>
              <w:rPr>
                <w:lang w:bidi="en-US"/>
              </w:rPr>
            </w:pPr>
            <w:r>
              <w:rPr>
                <w:lang w:bidi="en-US"/>
              </w:rPr>
              <w:t>30～50</w:t>
            </w:r>
          </w:p>
        </w:tc>
        <w:tc>
          <w:tcPr>
            <w:tcW w:w="1486" w:type="dxa"/>
            <w:vAlign w:val="center"/>
          </w:tcPr>
          <w:p>
            <w:pPr>
              <w:pStyle w:val="2001"/>
              <w:rPr>
                <w:lang w:bidi="en-US"/>
              </w:rPr>
            </w:pPr>
            <w:r>
              <w:rPr>
                <w:lang w:bidi="en-US"/>
              </w:rPr>
              <w:t>10～20</w:t>
            </w:r>
          </w:p>
        </w:tc>
        <w:tc>
          <w:tcPr>
            <w:tcW w:w="1486" w:type="dxa"/>
            <w:vAlign w:val="center"/>
          </w:tcPr>
          <w:p>
            <w:pPr>
              <w:pStyle w:val="2001"/>
              <w:rPr>
                <w:lang w:bidi="en-US"/>
              </w:rPr>
            </w:pPr>
            <w:r>
              <w:rPr>
                <w:lang w:bidi="en-US"/>
              </w:rPr>
              <w:t>30～50</w:t>
            </w:r>
          </w:p>
        </w:tc>
        <w:tc>
          <w:tcPr>
            <w:tcW w:w="1484" w:type="dxa"/>
            <w:vAlign w:val="center"/>
          </w:tcPr>
          <w:p>
            <w:pPr>
              <w:pStyle w:val="2001"/>
              <w:rPr>
                <w:lang w:bidi="en-US"/>
              </w:rPr>
            </w:pPr>
            <w:r>
              <w:rPr>
                <w:lang w:bidi="en-US"/>
              </w:rPr>
              <w:t>30～50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174" w:type="dxa"/>
            <w:vAlign w:val="center"/>
          </w:tcPr>
          <w:p>
            <w:pPr>
              <w:pStyle w:val="2001"/>
              <w:rPr>
                <w:lang w:bidi="en-US"/>
              </w:rPr>
            </w:pPr>
            <w:r>
              <w:rPr>
                <w:lang w:bidi="en-US"/>
              </w:rPr>
              <w:t>B</w:t>
            </w:r>
            <w:r>
              <w:rPr>
                <w:vertAlign w:val="subscript"/>
                <w:lang w:bidi="en-US"/>
              </w:rPr>
              <w:t>i</w:t>
            </w:r>
            <w:r>
              <w:rPr>
                <w:lang w:bidi="en-US"/>
              </w:rPr>
              <w:t>≥9倍</w:t>
            </w:r>
          </w:p>
        </w:tc>
        <w:tc>
          <w:tcPr>
            <w:tcW w:w="1898" w:type="dxa"/>
            <w:vAlign w:val="center"/>
          </w:tcPr>
          <w:p>
            <w:pPr>
              <w:pStyle w:val="2001"/>
              <w:rPr>
                <w:lang w:bidi="en-US"/>
              </w:rPr>
            </w:pPr>
            <w:r>
              <w:rPr>
                <w:lang w:bidi="en-US"/>
              </w:rPr>
              <w:t>≥50</w:t>
            </w:r>
          </w:p>
        </w:tc>
        <w:tc>
          <w:tcPr>
            <w:tcW w:w="1486" w:type="dxa"/>
            <w:vAlign w:val="center"/>
          </w:tcPr>
          <w:p>
            <w:pPr>
              <w:pStyle w:val="2001"/>
              <w:rPr>
                <w:lang w:bidi="en-US"/>
              </w:rPr>
            </w:pPr>
            <w:r>
              <w:rPr>
                <w:lang w:bidi="en-US"/>
              </w:rPr>
              <w:t>≥20</w:t>
            </w:r>
          </w:p>
        </w:tc>
        <w:tc>
          <w:tcPr>
            <w:tcW w:w="1486" w:type="dxa"/>
            <w:vAlign w:val="center"/>
          </w:tcPr>
          <w:p>
            <w:pPr>
              <w:pStyle w:val="2001"/>
              <w:rPr>
                <w:lang w:bidi="en-US"/>
              </w:rPr>
            </w:pPr>
            <w:r>
              <w:rPr>
                <w:lang w:bidi="en-US"/>
              </w:rPr>
              <w:t>≥50</w:t>
            </w:r>
          </w:p>
        </w:tc>
        <w:tc>
          <w:tcPr>
            <w:tcW w:w="1484" w:type="dxa"/>
            <w:vAlign w:val="center"/>
          </w:tcPr>
          <w:p>
            <w:pPr>
              <w:pStyle w:val="2001"/>
              <w:rPr>
                <w:lang w:bidi="en-US"/>
              </w:rPr>
            </w:pPr>
            <w:r>
              <w:rPr>
                <w:lang w:bidi="en-US"/>
              </w:rPr>
              <w:t>≥50</w:t>
            </w:r>
          </w:p>
        </w:tc>
      </w:tr>
    </w:tbl>
    <w:p>
      <w:pPr>
        <w:pStyle w:val="283"/>
        <w:rPr>
          <w:color w:val="000000" w:themeColor="text1"/>
          <w:lang w:bidi="en-US"/>
          <w14:textFill>
            <w14:solidFill>
              <w14:schemeClr w14:val="tx1"/>
            </w14:solidFill>
          </w14:textFill>
        </w:rPr>
      </w:pPr>
      <w:r>
        <w:rPr>
          <w:rFonts w:hint="eastAsia"/>
          <w:color w:val="000000" w:themeColor="text1"/>
          <w:lang w:bidi="en-US"/>
          <w14:textFill>
            <w14:solidFill>
              <w14:schemeClr w14:val="tx1"/>
            </w14:solidFill>
          </w14:textFill>
        </w:rPr>
        <w:t>3、</w:t>
      </w:r>
      <w:r>
        <w:rPr>
          <w:color w:val="000000" w:themeColor="text1"/>
          <w:lang w:bidi="en-US"/>
          <w14:textFill>
            <w14:solidFill>
              <w14:schemeClr w14:val="tx1"/>
            </w14:solidFill>
          </w14:textFill>
        </w:rPr>
        <w:t>生物资源损害赔偿和补偿</w:t>
      </w:r>
    </w:p>
    <w:p>
      <w:pPr>
        <w:pStyle w:val="283"/>
        <w:rPr>
          <w:color w:val="000000" w:themeColor="text1"/>
          <w:lang w:bidi="en-US"/>
          <w14:textFill>
            <w14:solidFill>
              <w14:schemeClr w14:val="tx1"/>
            </w14:solidFill>
          </w14:textFill>
        </w:rPr>
      </w:pPr>
      <w:r>
        <w:rPr>
          <w:rFonts w:hint="eastAsia" w:ascii="宋体" w:hAnsi="宋体" w:cs="宋体"/>
          <w:color w:val="000000" w:themeColor="text1"/>
          <w:lang w:bidi="en-US"/>
          <w14:textFill>
            <w14:solidFill>
              <w14:schemeClr w14:val="tx1"/>
            </w14:solidFill>
          </w14:textFill>
        </w:rPr>
        <w:t>①</w:t>
      </w:r>
      <w:r>
        <w:rPr>
          <w:color w:val="000000" w:themeColor="text1"/>
          <w:lang w:bidi="en-US"/>
          <w14:textFill>
            <w14:solidFill>
              <w14:schemeClr w14:val="tx1"/>
            </w14:solidFill>
          </w14:textFill>
        </w:rPr>
        <w:t>鱼卵、仔稚鱼经济价值，计算公式：</w:t>
      </w:r>
    </w:p>
    <w:p>
      <w:pPr>
        <w:pStyle w:val="283"/>
        <w:rPr>
          <w:color w:val="000000" w:themeColor="text1"/>
          <w:lang w:bidi="en-US"/>
          <w14:textFill>
            <w14:solidFill>
              <w14:schemeClr w14:val="tx1"/>
            </w14:solidFill>
          </w14:textFill>
        </w:rPr>
      </w:pPr>
      <w:r>
        <w:rPr>
          <w:i/>
          <w:color w:val="000000" w:themeColor="text1"/>
          <w:lang w:bidi="en-US"/>
          <w14:textFill>
            <w14:solidFill>
              <w14:schemeClr w14:val="tx1"/>
            </w14:solidFill>
          </w14:textFill>
        </w:rPr>
        <w:t>M</w:t>
      </w:r>
      <w:r>
        <w:rPr>
          <w:color w:val="000000" w:themeColor="text1"/>
          <w:lang w:bidi="en-US"/>
          <w14:textFill>
            <w14:solidFill>
              <w14:schemeClr w14:val="tx1"/>
            </w14:solidFill>
          </w14:textFill>
        </w:rPr>
        <w:t xml:space="preserve"> = </w:t>
      </w:r>
      <w:r>
        <w:rPr>
          <w:i/>
          <w:color w:val="000000" w:themeColor="text1"/>
          <w:lang w:bidi="en-US"/>
          <w14:textFill>
            <w14:solidFill>
              <w14:schemeClr w14:val="tx1"/>
            </w14:solidFill>
          </w14:textFill>
        </w:rPr>
        <w:t>W</w:t>
      </w:r>
      <w:r>
        <w:rPr>
          <w:color w:val="000000" w:themeColor="text1"/>
          <w:lang w:bidi="en-US"/>
          <w14:textFill>
            <w14:solidFill>
              <w14:schemeClr w14:val="tx1"/>
            </w14:solidFill>
          </w14:textFill>
        </w:rPr>
        <w:t xml:space="preserve"> × </w:t>
      </w:r>
      <w:r>
        <w:rPr>
          <w:i/>
          <w:color w:val="000000" w:themeColor="text1"/>
          <w:lang w:bidi="en-US"/>
          <w14:textFill>
            <w14:solidFill>
              <w14:schemeClr w14:val="tx1"/>
            </w14:solidFill>
          </w14:textFill>
        </w:rPr>
        <w:t xml:space="preserve">P </w:t>
      </w:r>
      <w:r>
        <w:rPr>
          <w:color w:val="000000" w:themeColor="text1"/>
          <w:lang w:bidi="en-US"/>
          <w14:textFill>
            <w14:solidFill>
              <w14:schemeClr w14:val="tx1"/>
            </w14:solidFill>
          </w14:textFill>
        </w:rPr>
        <w:t xml:space="preserve">× </w:t>
      </w:r>
      <w:r>
        <w:rPr>
          <w:i/>
          <w:color w:val="000000" w:themeColor="text1"/>
          <w:lang w:bidi="en-US"/>
          <w14:textFill>
            <w14:solidFill>
              <w14:schemeClr w14:val="tx1"/>
            </w14:solidFill>
          </w14:textFill>
        </w:rPr>
        <w:t>E</w:t>
      </w:r>
    </w:p>
    <w:p>
      <w:pPr>
        <w:pStyle w:val="283"/>
        <w:rPr>
          <w:color w:val="000000" w:themeColor="text1"/>
          <w:lang w:bidi="en-US"/>
          <w14:textFill>
            <w14:solidFill>
              <w14:schemeClr w14:val="tx1"/>
            </w14:solidFill>
          </w14:textFill>
        </w:rPr>
      </w:pPr>
      <w:r>
        <w:rPr>
          <w:color w:val="000000" w:themeColor="text1"/>
          <w:lang w:bidi="en-US"/>
          <w14:textFill>
            <w14:solidFill>
              <w14:schemeClr w14:val="tx1"/>
            </w14:solidFill>
          </w14:textFill>
        </w:rPr>
        <w:t>式中：</w:t>
      </w:r>
    </w:p>
    <w:p>
      <w:pPr>
        <w:pStyle w:val="283"/>
        <w:rPr>
          <w:color w:val="000000" w:themeColor="text1"/>
          <w:lang w:bidi="en-US"/>
          <w14:textFill>
            <w14:solidFill>
              <w14:schemeClr w14:val="tx1"/>
            </w14:solidFill>
          </w14:textFill>
        </w:rPr>
      </w:pPr>
      <w:r>
        <w:rPr>
          <w:i/>
          <w:color w:val="000000" w:themeColor="text1"/>
          <w:lang w:bidi="en-US"/>
          <w14:textFill>
            <w14:solidFill>
              <w14:schemeClr w14:val="tx1"/>
            </w14:solidFill>
          </w14:textFill>
        </w:rPr>
        <w:t>M</w:t>
      </w:r>
      <w:r>
        <w:rPr>
          <w:color w:val="000000" w:themeColor="text1"/>
          <w:lang w:bidi="en-US"/>
          <w14:textFill>
            <w14:solidFill>
              <w14:schemeClr w14:val="tx1"/>
            </w14:solidFill>
          </w14:textFill>
        </w:rPr>
        <w:t>——鱼卵和仔稚鱼经济损失金额，单位：元；</w:t>
      </w:r>
    </w:p>
    <w:p>
      <w:pPr>
        <w:pStyle w:val="283"/>
        <w:rPr>
          <w:color w:val="000000" w:themeColor="text1"/>
          <w:lang w:bidi="en-US"/>
          <w14:textFill>
            <w14:solidFill>
              <w14:schemeClr w14:val="tx1"/>
            </w14:solidFill>
          </w14:textFill>
        </w:rPr>
      </w:pPr>
      <w:r>
        <w:rPr>
          <w:i/>
          <w:color w:val="000000" w:themeColor="text1"/>
          <w:lang w:bidi="en-US"/>
          <w14:textFill>
            <w14:solidFill>
              <w14:schemeClr w14:val="tx1"/>
            </w14:solidFill>
          </w14:textFill>
        </w:rPr>
        <w:t>W</w:t>
      </w:r>
      <w:r>
        <w:rPr>
          <w:color w:val="000000" w:themeColor="text1"/>
          <w:lang w:bidi="en-US"/>
          <w14:textFill>
            <w14:solidFill>
              <w14:schemeClr w14:val="tx1"/>
            </w14:solidFill>
          </w14:textFill>
        </w:rPr>
        <w:t>——鱼卵和仔稚鱼损失量，单位为个、尾；</w:t>
      </w:r>
    </w:p>
    <w:p>
      <w:pPr>
        <w:pStyle w:val="283"/>
        <w:rPr>
          <w:color w:val="000000" w:themeColor="text1"/>
          <w:lang w:bidi="en-US"/>
          <w14:textFill>
            <w14:solidFill>
              <w14:schemeClr w14:val="tx1"/>
            </w14:solidFill>
          </w14:textFill>
        </w:rPr>
      </w:pPr>
      <w:r>
        <w:rPr>
          <w:i/>
          <w:color w:val="000000" w:themeColor="text1"/>
          <w:lang w:bidi="en-US"/>
          <w14:textFill>
            <w14:solidFill>
              <w14:schemeClr w14:val="tx1"/>
            </w14:solidFill>
          </w14:textFill>
        </w:rPr>
        <w:t>P</w:t>
      </w:r>
      <w:r>
        <w:rPr>
          <w:color w:val="000000" w:themeColor="text1"/>
          <w:lang w:bidi="en-US"/>
          <w14:textFill>
            <w14:solidFill>
              <w14:schemeClr w14:val="tx1"/>
            </w14:solidFill>
          </w14:textFill>
        </w:rPr>
        <w:t>——鱼卵和仔稚鱼折算为鱼苗的换算比例，鱼卵生长到商品鱼苗按1%成活率计算，仔稚鱼生长到商品鱼苗按5%成活率计算，单位：%；</w:t>
      </w:r>
    </w:p>
    <w:p>
      <w:pPr>
        <w:pStyle w:val="283"/>
        <w:rPr>
          <w:color w:val="000000" w:themeColor="text1"/>
          <w:lang w:bidi="en-US"/>
          <w14:textFill>
            <w14:solidFill>
              <w14:schemeClr w14:val="tx1"/>
            </w14:solidFill>
          </w14:textFill>
        </w:rPr>
      </w:pPr>
      <w:r>
        <w:rPr>
          <w:i/>
          <w:color w:val="000000" w:themeColor="text1"/>
          <w:lang w:bidi="en-US"/>
          <w14:textFill>
            <w14:solidFill>
              <w14:schemeClr w14:val="tx1"/>
            </w14:solidFill>
          </w14:textFill>
        </w:rPr>
        <w:t>E</w:t>
      </w:r>
      <w:r>
        <w:rPr>
          <w:color w:val="000000" w:themeColor="text1"/>
          <w:lang w:bidi="en-US"/>
          <w14:textFill>
            <w14:solidFill>
              <w14:schemeClr w14:val="tx1"/>
            </w14:solidFill>
          </w14:textFill>
        </w:rPr>
        <w:t>——鱼苗的商品价格，按当地主要鱼类苗种的平均价格计算，单位：元/尾。本报告以1.5元/尾计。</w:t>
      </w:r>
    </w:p>
    <w:p>
      <w:pPr>
        <w:pStyle w:val="283"/>
        <w:rPr>
          <w:color w:val="000000" w:themeColor="text1"/>
          <w:lang w:bidi="en-US"/>
          <w14:textFill>
            <w14:solidFill>
              <w14:schemeClr w14:val="tx1"/>
            </w14:solidFill>
          </w14:textFill>
        </w:rPr>
      </w:pPr>
      <w:r>
        <w:rPr>
          <w:rFonts w:hint="eastAsia" w:ascii="宋体" w:hAnsi="宋体" w:cs="宋体"/>
          <w:color w:val="000000" w:themeColor="text1"/>
          <w:lang w:bidi="en-US"/>
          <w14:textFill>
            <w14:solidFill>
              <w14:schemeClr w14:val="tx1"/>
            </w14:solidFill>
          </w14:textFill>
        </w:rPr>
        <w:t>②</w:t>
      </w:r>
      <w:r>
        <w:rPr>
          <w:color w:val="000000" w:themeColor="text1"/>
          <w:lang w:bidi="en-US"/>
          <w14:textFill>
            <w14:solidFill>
              <w14:schemeClr w14:val="tx1"/>
            </w14:solidFill>
          </w14:textFill>
        </w:rPr>
        <w:t>潮间带生物、底栖生物的经济价值，计算公式：</w:t>
      </w:r>
    </w:p>
    <w:p>
      <w:pPr>
        <w:pStyle w:val="283"/>
        <w:rPr>
          <w:color w:val="000000" w:themeColor="text1"/>
          <w:lang w:bidi="en-US"/>
          <w14:textFill>
            <w14:solidFill>
              <w14:schemeClr w14:val="tx1"/>
            </w14:solidFill>
          </w14:textFill>
        </w:rPr>
      </w:pPr>
      <w:r>
        <w:rPr>
          <w:i/>
          <w:color w:val="000000" w:themeColor="text1"/>
          <w:lang w:bidi="en-US"/>
          <w14:textFill>
            <w14:solidFill>
              <w14:schemeClr w14:val="tx1"/>
            </w14:solidFill>
          </w14:textFill>
        </w:rPr>
        <w:t>M</w:t>
      </w:r>
      <w:r>
        <w:rPr>
          <w:color w:val="000000" w:themeColor="text1"/>
          <w:lang w:bidi="en-US"/>
          <w14:textFill>
            <w14:solidFill>
              <w14:schemeClr w14:val="tx1"/>
            </w14:solidFill>
          </w14:textFill>
        </w:rPr>
        <w:t xml:space="preserve"> = </w:t>
      </w:r>
      <w:r>
        <w:rPr>
          <w:i/>
          <w:color w:val="000000" w:themeColor="text1"/>
          <w:lang w:bidi="en-US"/>
          <w14:textFill>
            <w14:solidFill>
              <w14:schemeClr w14:val="tx1"/>
            </w14:solidFill>
          </w14:textFill>
        </w:rPr>
        <w:t>W</w:t>
      </w:r>
      <w:r>
        <w:rPr>
          <w:color w:val="000000" w:themeColor="text1"/>
          <w:lang w:bidi="en-US"/>
          <w14:textFill>
            <w14:solidFill>
              <w14:schemeClr w14:val="tx1"/>
            </w14:solidFill>
          </w14:textFill>
        </w:rPr>
        <w:t xml:space="preserve"> × </w:t>
      </w:r>
      <w:r>
        <w:rPr>
          <w:i/>
          <w:color w:val="000000" w:themeColor="text1"/>
          <w:lang w:bidi="en-US"/>
          <w14:textFill>
            <w14:solidFill>
              <w14:schemeClr w14:val="tx1"/>
            </w14:solidFill>
          </w14:textFill>
        </w:rPr>
        <w:t>E</w:t>
      </w:r>
    </w:p>
    <w:p>
      <w:pPr>
        <w:pStyle w:val="283"/>
        <w:rPr>
          <w:color w:val="000000" w:themeColor="text1"/>
          <w:lang w:bidi="en-US"/>
          <w14:textFill>
            <w14:solidFill>
              <w14:schemeClr w14:val="tx1"/>
            </w14:solidFill>
          </w14:textFill>
        </w:rPr>
      </w:pPr>
      <w:r>
        <w:rPr>
          <w:color w:val="000000" w:themeColor="text1"/>
          <w:lang w:bidi="en-US"/>
          <w14:textFill>
            <w14:solidFill>
              <w14:schemeClr w14:val="tx1"/>
            </w14:solidFill>
          </w14:textFill>
        </w:rPr>
        <w:t>式中：</w:t>
      </w:r>
    </w:p>
    <w:p>
      <w:pPr>
        <w:pStyle w:val="283"/>
        <w:rPr>
          <w:color w:val="000000" w:themeColor="text1"/>
          <w:lang w:bidi="en-US"/>
          <w14:textFill>
            <w14:solidFill>
              <w14:schemeClr w14:val="tx1"/>
            </w14:solidFill>
          </w14:textFill>
        </w:rPr>
      </w:pPr>
      <w:r>
        <w:rPr>
          <w:i/>
          <w:color w:val="000000" w:themeColor="text1"/>
          <w:lang w:bidi="en-US"/>
          <w14:textFill>
            <w14:solidFill>
              <w14:schemeClr w14:val="tx1"/>
            </w14:solidFill>
          </w14:textFill>
        </w:rPr>
        <w:t>M-</w:t>
      </w:r>
      <w:r>
        <w:rPr>
          <w:rFonts w:hint="eastAsia"/>
          <w:i/>
          <w:color w:val="000000" w:themeColor="text1"/>
          <w:lang w:bidi="en-US"/>
          <w14:textFill>
            <w14:solidFill>
              <w14:schemeClr w14:val="tx1"/>
            </w14:solidFill>
          </w14:textFill>
        </w:rPr>
        <w:t>－</w:t>
      </w:r>
      <w:r>
        <w:rPr>
          <w:color w:val="000000" w:themeColor="text1"/>
          <w:lang w:bidi="en-US"/>
          <w14:textFill>
            <w14:solidFill>
              <w14:schemeClr w14:val="tx1"/>
            </w14:solidFill>
          </w14:textFill>
        </w:rPr>
        <w:t>经济损失额，单位：元；</w:t>
      </w:r>
    </w:p>
    <w:p>
      <w:pPr>
        <w:pStyle w:val="283"/>
        <w:rPr>
          <w:color w:val="000000" w:themeColor="text1"/>
          <w:lang w:bidi="en-US"/>
          <w14:textFill>
            <w14:solidFill>
              <w14:schemeClr w14:val="tx1"/>
            </w14:solidFill>
          </w14:textFill>
        </w:rPr>
      </w:pPr>
      <w:r>
        <w:rPr>
          <w:i/>
          <w:color w:val="000000" w:themeColor="text1"/>
          <w:lang w:bidi="en-US"/>
          <w14:textFill>
            <w14:solidFill>
              <w14:schemeClr w14:val="tx1"/>
            </w14:solidFill>
          </w14:textFill>
        </w:rPr>
        <w:t>W-</w:t>
      </w:r>
      <w:r>
        <w:rPr>
          <w:rFonts w:hint="eastAsia"/>
          <w:i/>
          <w:color w:val="000000" w:themeColor="text1"/>
          <w:lang w:bidi="en-US"/>
          <w14:textFill>
            <w14:solidFill>
              <w14:schemeClr w14:val="tx1"/>
            </w14:solidFill>
          </w14:textFill>
        </w:rPr>
        <w:t>－</w:t>
      </w:r>
      <w:r>
        <w:rPr>
          <w:color w:val="000000" w:themeColor="text1"/>
          <w:lang w:bidi="en-US"/>
          <w14:textFill>
            <w14:solidFill>
              <w14:schemeClr w14:val="tx1"/>
            </w14:solidFill>
          </w14:textFill>
        </w:rPr>
        <w:t>生物资源损失量，单位：kg；</w:t>
      </w:r>
    </w:p>
    <w:p>
      <w:pPr>
        <w:pStyle w:val="283"/>
        <w:rPr>
          <w:color w:val="000000" w:themeColor="text1"/>
          <w:lang w:bidi="en-US"/>
          <w14:textFill>
            <w14:solidFill>
              <w14:schemeClr w14:val="tx1"/>
            </w14:solidFill>
          </w14:textFill>
        </w:rPr>
      </w:pPr>
      <w:r>
        <w:rPr>
          <w:i/>
          <w:color w:val="000000" w:themeColor="text1"/>
          <w:lang w:bidi="en-US"/>
          <w14:textFill>
            <w14:solidFill>
              <w14:schemeClr w14:val="tx1"/>
            </w14:solidFill>
          </w14:textFill>
        </w:rPr>
        <w:t>E-</w:t>
      </w:r>
      <w:r>
        <w:rPr>
          <w:rFonts w:hint="eastAsia"/>
          <w:i/>
          <w:color w:val="000000" w:themeColor="text1"/>
          <w:lang w:bidi="en-US"/>
          <w14:textFill>
            <w14:solidFill>
              <w14:schemeClr w14:val="tx1"/>
            </w14:solidFill>
          </w14:textFill>
        </w:rPr>
        <w:t>－</w:t>
      </w:r>
      <w:r>
        <w:rPr>
          <w:color w:val="000000" w:themeColor="text1"/>
          <w:lang w:bidi="en-US"/>
          <w14:textFill>
            <w14:solidFill>
              <w14:schemeClr w14:val="tx1"/>
            </w14:solidFill>
          </w14:textFill>
        </w:rPr>
        <w:t>生物资源的价格，按主要经济种类当地当年的市场平均价或按海洋捕捞产值与产量均值的比值计算，单位：元/kg。根据《202</w:t>
      </w:r>
      <w:r>
        <w:rPr>
          <w:rFonts w:hint="eastAsia"/>
          <w:color w:val="000000" w:themeColor="text1"/>
          <w:lang w:bidi="en-US"/>
          <w14:textFill>
            <w14:solidFill>
              <w14:schemeClr w14:val="tx1"/>
            </w14:solidFill>
          </w14:textFill>
        </w:rPr>
        <w:t>3</w:t>
      </w:r>
      <w:r>
        <w:rPr>
          <w:color w:val="000000" w:themeColor="text1"/>
          <w:lang w:bidi="en-US"/>
          <w14:textFill>
            <w14:solidFill>
              <w14:schemeClr w14:val="tx1"/>
            </w14:solidFill>
          </w14:textFill>
        </w:rPr>
        <w:t>年中国渔业统计年鉴》统计的202</w:t>
      </w:r>
      <w:r>
        <w:rPr>
          <w:rFonts w:hint="eastAsia"/>
          <w:color w:val="000000" w:themeColor="text1"/>
          <w:lang w:bidi="en-US"/>
          <w14:textFill>
            <w14:solidFill>
              <w14:schemeClr w14:val="tx1"/>
            </w14:solidFill>
          </w14:textFill>
        </w:rPr>
        <w:t>3</w:t>
      </w:r>
      <w:r>
        <w:rPr>
          <w:color w:val="000000" w:themeColor="text1"/>
          <w:lang w:bidi="en-US"/>
          <w14:textFill>
            <w14:solidFill>
              <w14:schemeClr w14:val="tx1"/>
            </w14:solidFill>
          </w14:textFill>
        </w:rPr>
        <w:t>年广西壮族自治区海洋捕捞产值为</w:t>
      </w:r>
      <w:r>
        <w:rPr>
          <w:rFonts w:hint="eastAsia"/>
          <w:color w:val="000000" w:themeColor="text1"/>
          <w:lang w:bidi="en-US"/>
          <w14:textFill>
            <w14:solidFill>
              <w14:schemeClr w14:val="tx1"/>
            </w14:solidFill>
          </w14:textFill>
        </w:rPr>
        <w:t>898037.68</w:t>
      </w:r>
      <w:r>
        <w:rPr>
          <w:color w:val="000000" w:themeColor="text1"/>
          <w:lang w:bidi="en-US"/>
          <w14:textFill>
            <w14:solidFill>
              <w14:schemeClr w14:val="tx1"/>
            </w14:solidFill>
          </w14:textFill>
        </w:rPr>
        <w:t>万元，产量为</w:t>
      </w:r>
      <w:r>
        <w:rPr>
          <w:rFonts w:hint="eastAsia"/>
          <w:color w:val="000000" w:themeColor="text1"/>
          <w:lang w:bidi="en-US"/>
          <w14:textFill>
            <w14:solidFill>
              <w14:schemeClr w14:val="tx1"/>
            </w14:solidFill>
          </w14:textFill>
        </w:rPr>
        <w:t>476405</w:t>
      </w:r>
      <w:r>
        <w:rPr>
          <w:color w:val="000000" w:themeColor="text1"/>
          <w:lang w:bidi="en-US"/>
          <w14:textFill>
            <w14:solidFill>
              <w14:schemeClr w14:val="tx1"/>
            </w14:solidFill>
          </w14:textFill>
        </w:rPr>
        <w:t>吨，则海洋捕捞产值与产量比值为</w:t>
      </w:r>
      <w:r>
        <w:rPr>
          <w:rFonts w:hint="eastAsia"/>
          <w:color w:val="000000" w:themeColor="text1"/>
          <w:lang w:bidi="en-US"/>
          <w14:textFill>
            <w14:solidFill>
              <w14:schemeClr w14:val="tx1"/>
            </w14:solidFill>
          </w14:textFill>
        </w:rPr>
        <w:t>1.88</w:t>
      </w:r>
      <w:r>
        <w:rPr>
          <w:color w:val="000000" w:themeColor="text1"/>
          <w:lang w:bidi="en-US"/>
          <w14:textFill>
            <w14:solidFill>
              <w14:schemeClr w14:val="tx1"/>
            </w14:solidFill>
          </w14:textFill>
        </w:rPr>
        <w:t>万元/吨，鱼苗采用当地当年市场价约0.6元/尾的价格。</w:t>
      </w:r>
    </w:p>
    <w:p>
      <w:pPr>
        <w:pStyle w:val="283"/>
        <w:rPr>
          <w:color w:val="000000" w:themeColor="text1"/>
          <w:lang w:bidi="en-US"/>
          <w14:textFill>
            <w14:solidFill>
              <w14:schemeClr w14:val="tx1"/>
            </w14:solidFill>
          </w14:textFill>
        </w:rPr>
      </w:pPr>
      <w:r>
        <w:rPr>
          <w:rFonts w:hint="eastAsia"/>
          <w:color w:val="000000" w:themeColor="text1"/>
          <w:lang w:val="pt-BR"/>
          <w14:textFill>
            <w14:solidFill>
              <w14:schemeClr w14:val="tx1"/>
            </w14:solidFill>
          </w14:textFill>
        </w:rPr>
        <w:t>4、</w:t>
      </w:r>
      <w:r>
        <w:rPr>
          <w:color w:val="000000" w:themeColor="text1"/>
          <w:lang w:bidi="en-US"/>
          <w14:textFill>
            <w14:solidFill>
              <w14:schemeClr w14:val="tx1"/>
            </w14:solidFill>
          </w14:textFill>
        </w:rPr>
        <w:t>生物资源损害赔偿和补偿年限的确定</w:t>
      </w:r>
    </w:p>
    <w:p>
      <w:pPr>
        <w:pStyle w:val="283"/>
        <w:rPr>
          <w:color w:val="000000" w:themeColor="text1"/>
          <w:lang w:bidi="en-US"/>
          <w14:textFill>
            <w14:solidFill>
              <w14:schemeClr w14:val="tx1"/>
            </w14:solidFill>
          </w14:textFill>
        </w:rPr>
      </w:pPr>
      <w:r>
        <w:rPr>
          <w:rFonts w:hint="eastAsia" w:ascii="宋体" w:hAnsi="宋体" w:cs="宋体"/>
          <w:color w:val="000000" w:themeColor="text1"/>
          <w:lang w:bidi="en-US"/>
          <w14:textFill>
            <w14:solidFill>
              <w14:schemeClr w14:val="tx1"/>
            </w14:solidFill>
          </w14:textFill>
        </w:rPr>
        <w:t>①</w:t>
      </w:r>
      <w:r>
        <w:rPr>
          <w:color w:val="000000" w:themeColor="text1"/>
          <w:lang w:bidi="en-US"/>
          <w14:textFill>
            <w14:solidFill>
              <w14:schemeClr w14:val="tx1"/>
            </w14:solidFill>
          </w14:textFill>
        </w:rPr>
        <w:t>各类工程施工对水域生态系统造成不可逆影响的，其生物资源损害的补偿年限均按不低于20年计算。</w:t>
      </w:r>
    </w:p>
    <w:p>
      <w:pPr>
        <w:pStyle w:val="283"/>
        <w:rPr>
          <w:color w:val="000000" w:themeColor="text1"/>
          <w:lang w:bidi="en-US"/>
          <w14:textFill>
            <w14:solidFill>
              <w14:schemeClr w14:val="tx1"/>
            </w14:solidFill>
          </w14:textFill>
        </w:rPr>
      </w:pPr>
      <w:r>
        <w:rPr>
          <w:rFonts w:hint="eastAsia" w:ascii="宋体" w:hAnsi="宋体" w:cs="宋体"/>
          <w:color w:val="000000" w:themeColor="text1"/>
          <w:lang w:bidi="en-US"/>
          <w14:textFill>
            <w14:solidFill>
              <w14:schemeClr w14:val="tx1"/>
            </w14:solidFill>
          </w14:textFill>
        </w:rPr>
        <w:t>②</w:t>
      </w:r>
      <w:r>
        <w:rPr>
          <w:color w:val="000000" w:themeColor="text1"/>
          <w:lang w:bidi="en-US"/>
          <w14:textFill>
            <w14:solidFill>
              <w14:schemeClr w14:val="tx1"/>
            </w14:solidFill>
          </w14:textFill>
        </w:rPr>
        <w:t>占用渔业水域的生物资源损害补偿，占用年限低于3年的，按3年补偿；占用年限3</w:t>
      </w:r>
      <w:r>
        <w:rPr>
          <w:rFonts w:hint="eastAsia"/>
          <w:color w:val="000000" w:themeColor="text1"/>
          <w:lang w:bidi="en-US"/>
          <w14:textFill>
            <w14:solidFill>
              <w14:schemeClr w14:val="tx1"/>
            </w14:solidFill>
          </w14:textFill>
        </w:rPr>
        <w:t>—</w:t>
      </w:r>
      <w:r>
        <w:rPr>
          <w:color w:val="000000" w:themeColor="text1"/>
          <w:lang w:bidi="en-US"/>
          <w14:textFill>
            <w14:solidFill>
              <w14:schemeClr w14:val="tx1"/>
            </w14:solidFill>
          </w14:textFill>
        </w:rPr>
        <w:t>20年的，按实际占用年限补偿；占用20年以上的，按不低于20年补偿。</w:t>
      </w:r>
    </w:p>
    <w:p>
      <w:pPr>
        <w:pStyle w:val="283"/>
        <w:rPr>
          <w:color w:val="000000" w:themeColor="text1"/>
          <w:lang w:bidi="en-US"/>
          <w14:textFill>
            <w14:solidFill>
              <w14:schemeClr w14:val="tx1"/>
            </w14:solidFill>
          </w14:textFill>
        </w:rPr>
      </w:pPr>
      <w:r>
        <w:rPr>
          <w:rFonts w:hint="eastAsia" w:ascii="宋体" w:hAnsi="宋体" w:cs="宋体"/>
          <w:color w:val="000000" w:themeColor="text1"/>
          <w:lang w:bidi="en-US"/>
          <w14:textFill>
            <w14:solidFill>
              <w14:schemeClr w14:val="tx1"/>
            </w14:solidFill>
          </w14:textFill>
        </w:rPr>
        <w:t>③</w:t>
      </w:r>
      <w:r>
        <w:rPr>
          <w:color w:val="000000" w:themeColor="text1"/>
          <w:lang w:bidi="en-US"/>
          <w14:textFill>
            <w14:solidFill>
              <w14:schemeClr w14:val="tx1"/>
            </w14:solidFill>
          </w14:textFill>
        </w:rPr>
        <w:t>一次性生物资源的损害补偿为一次性损害额的3倍；</w:t>
      </w:r>
    </w:p>
    <w:p>
      <w:pPr>
        <w:pStyle w:val="283"/>
        <w:rPr>
          <w:color w:val="000000" w:themeColor="text1"/>
          <w:lang w:bidi="en-US"/>
          <w14:textFill>
            <w14:solidFill>
              <w14:schemeClr w14:val="tx1"/>
            </w14:solidFill>
          </w14:textFill>
        </w:rPr>
      </w:pPr>
      <w:r>
        <w:rPr>
          <w:rFonts w:hint="eastAsia" w:ascii="宋体" w:hAnsi="宋体" w:cs="宋体"/>
          <w:color w:val="000000" w:themeColor="text1"/>
          <w:lang w:bidi="en-US"/>
          <w14:textFill>
            <w14:solidFill>
              <w14:schemeClr w14:val="tx1"/>
            </w14:solidFill>
          </w14:textFill>
        </w:rPr>
        <w:t>④</w:t>
      </w:r>
      <w:r>
        <w:rPr>
          <w:color w:val="000000" w:themeColor="text1"/>
          <w:lang w:bidi="en-US"/>
          <w14:textFill>
            <w14:solidFill>
              <w14:schemeClr w14:val="tx1"/>
            </w14:solidFill>
          </w14:textFill>
        </w:rPr>
        <w:t>持续性生物资源损害的补偿分3种情形，实际影响年限低于3年的，按3年补偿；实际影响年限为3</w:t>
      </w:r>
      <w:r>
        <w:rPr>
          <w:rFonts w:hint="eastAsia"/>
          <w:color w:val="000000" w:themeColor="text1"/>
          <w:lang w:bidi="en-US"/>
          <w14:textFill>
            <w14:solidFill>
              <w14:schemeClr w14:val="tx1"/>
            </w14:solidFill>
          </w14:textFill>
        </w:rPr>
        <w:t>—</w:t>
      </w:r>
      <w:r>
        <w:rPr>
          <w:color w:val="000000" w:themeColor="text1"/>
          <w:lang w:bidi="en-US"/>
          <w14:textFill>
            <w14:solidFill>
              <w14:schemeClr w14:val="tx1"/>
            </w14:solidFill>
          </w14:textFill>
        </w:rPr>
        <w:t>20年的，按实际影响年限补偿；影响持续时间20年以上的，补偿计算时间不应低于20年。</w:t>
      </w:r>
    </w:p>
    <w:p>
      <w:pPr>
        <w:pStyle w:val="283"/>
        <w:rPr>
          <w:color w:val="000000" w:themeColor="text1"/>
          <w:lang w:bidi="en-US"/>
          <w14:textFill>
            <w14:solidFill>
              <w14:schemeClr w14:val="tx1"/>
            </w14:solidFill>
          </w14:textFill>
        </w:rPr>
      </w:pPr>
      <w:r>
        <w:rPr>
          <w:rFonts w:hint="eastAsia"/>
          <w:color w:val="000000" w:themeColor="text1"/>
          <w:lang w:bidi="en-US"/>
          <w14:textFill>
            <w14:solidFill>
              <w14:schemeClr w14:val="tx1"/>
            </w14:solidFill>
          </w14:textFill>
        </w:rPr>
        <w:t>5、本项目</w:t>
      </w:r>
      <w:r>
        <w:rPr>
          <w:color w:val="000000" w:themeColor="text1"/>
          <w:lang w:bidi="en-US"/>
          <w14:textFill>
            <w14:solidFill>
              <w14:schemeClr w14:val="tx1"/>
            </w14:solidFill>
          </w14:textFill>
        </w:rPr>
        <w:t>工程海域生物资源</w:t>
      </w:r>
      <w:r>
        <w:rPr>
          <w:rFonts w:hint="eastAsia"/>
          <w:color w:val="000000" w:themeColor="text1"/>
          <w:lang w:bidi="en-US"/>
          <w14:textFill>
            <w14:solidFill>
              <w14:schemeClr w14:val="tx1"/>
            </w14:solidFill>
          </w14:textFill>
        </w:rPr>
        <w:t>密度</w:t>
      </w:r>
    </w:p>
    <w:p>
      <w:pPr>
        <w:pStyle w:val="283"/>
        <w:rPr>
          <w:color w:val="000000" w:themeColor="text1"/>
          <w14:textFill>
            <w14:solidFill>
              <w14:schemeClr w14:val="tx1"/>
            </w14:solidFill>
          </w14:textFill>
        </w:rPr>
      </w:pPr>
      <w:r>
        <w:rPr>
          <w:rFonts w:hint="eastAsia"/>
          <w:color w:val="000000" w:themeColor="text1"/>
          <w14:textFill>
            <w14:solidFill>
              <w14:schemeClr w14:val="tx1"/>
            </w14:solidFill>
          </w14:textFill>
        </w:rPr>
        <w:t>根据第3章海洋生态现状调查，本项目工程所在海域周边均为港口、航道区，本评价生态损失补偿按照海洋生态现状调查中工程周边海域港口、航道区的生物资源密度进行核算，海洋生态现状调查点位、时段及海洋生物资源密度见表4.2-5。</w:t>
      </w:r>
    </w:p>
    <w:p>
      <w:pPr>
        <w:pStyle w:val="384"/>
        <w:ind w:left="0" w:firstLine="503"/>
        <w:rPr>
          <w:rFonts w:cs="Times New Roman"/>
          <w:color w:val="000000" w:themeColor="text1"/>
          <w:lang w:bidi="en-US"/>
          <w14:textFill>
            <w14:solidFill>
              <w14:schemeClr w14:val="tx1"/>
            </w14:solidFill>
          </w14:textFill>
        </w:rPr>
      </w:pPr>
      <w:r>
        <w:rPr>
          <w:rFonts w:cs="Times New Roman"/>
          <w:color w:val="000000" w:themeColor="text1"/>
          <w:lang w:bidi="en-US"/>
          <w14:textFill>
            <w14:solidFill>
              <w14:schemeClr w14:val="tx1"/>
            </w14:solidFill>
          </w14:textFill>
        </w:rPr>
        <w:t>项目所在海域海洋生物资源密度概况</w:t>
      </w:r>
    </w:p>
    <w:tbl>
      <w:tblPr>
        <w:tblStyle w:val="88"/>
        <w:tblW w:w="8528" w:type="dxa"/>
        <w:jc w:val="center"/>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225"/>
        <w:gridCol w:w="1910"/>
        <w:gridCol w:w="1230"/>
        <w:gridCol w:w="1642"/>
        <w:gridCol w:w="1530"/>
        <w:gridCol w:w="991"/>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285" w:hRule="atLeast"/>
          <w:tblHeader/>
          <w:jc w:val="center"/>
        </w:trPr>
        <w:tc>
          <w:tcPr>
            <w:tcW w:w="1225" w:type="dxa"/>
            <w:vAlign w:val="center"/>
          </w:tcPr>
          <w:p>
            <w:pPr>
              <w:pStyle w:val="2001"/>
              <w:rPr>
                <w:lang w:bidi="en-US"/>
              </w:rPr>
            </w:pPr>
            <w:r>
              <w:rPr>
                <w:lang w:bidi="en-US"/>
              </w:rPr>
              <w:t>种类</w:t>
            </w:r>
          </w:p>
        </w:tc>
        <w:tc>
          <w:tcPr>
            <w:tcW w:w="1910" w:type="dxa"/>
            <w:vAlign w:val="center"/>
          </w:tcPr>
          <w:p>
            <w:pPr>
              <w:pStyle w:val="2001"/>
              <w:rPr>
                <w:lang w:bidi="en-US"/>
              </w:rPr>
            </w:pPr>
            <w:r>
              <w:rPr>
                <w:lang w:bidi="en-US"/>
              </w:rPr>
              <w:t>密度或生物量</w:t>
            </w:r>
          </w:p>
          <w:p>
            <w:pPr>
              <w:pStyle w:val="2001"/>
              <w:rPr>
                <w:lang w:bidi="en-US"/>
              </w:rPr>
            </w:pPr>
            <w:r>
              <w:rPr>
                <w:lang w:bidi="en-US"/>
              </w:rPr>
              <w:t>（单位）</w:t>
            </w:r>
          </w:p>
        </w:tc>
        <w:tc>
          <w:tcPr>
            <w:tcW w:w="1230" w:type="dxa"/>
            <w:vAlign w:val="center"/>
          </w:tcPr>
          <w:p>
            <w:pPr>
              <w:pStyle w:val="2001"/>
              <w:rPr>
                <w:lang w:bidi="en-US"/>
              </w:rPr>
            </w:pPr>
            <w:r>
              <w:rPr>
                <w:lang w:bidi="en-US"/>
              </w:rPr>
              <w:t>监测站位</w:t>
            </w:r>
          </w:p>
        </w:tc>
        <w:tc>
          <w:tcPr>
            <w:tcW w:w="1642" w:type="dxa"/>
            <w:vAlign w:val="center"/>
          </w:tcPr>
          <w:p>
            <w:pPr>
              <w:pStyle w:val="2001"/>
              <w:rPr>
                <w:lang w:bidi="en-US"/>
              </w:rPr>
            </w:pPr>
            <w:r>
              <w:rPr>
                <w:lang w:bidi="en-US"/>
              </w:rPr>
              <w:t>监测时段</w:t>
            </w:r>
          </w:p>
        </w:tc>
        <w:tc>
          <w:tcPr>
            <w:tcW w:w="1530" w:type="dxa"/>
            <w:vAlign w:val="center"/>
          </w:tcPr>
          <w:p>
            <w:pPr>
              <w:pStyle w:val="2001"/>
              <w:rPr>
                <w:lang w:bidi="en-US"/>
              </w:rPr>
            </w:pPr>
            <w:r>
              <w:rPr>
                <w:lang w:bidi="en-US"/>
              </w:rPr>
              <w:t>生物量</w:t>
            </w:r>
            <w:r>
              <w:rPr>
                <w:rFonts w:hint="eastAsia"/>
                <w:lang w:bidi="en-US"/>
              </w:rPr>
              <w:t>/密度</w:t>
            </w:r>
          </w:p>
        </w:tc>
        <w:tc>
          <w:tcPr>
            <w:tcW w:w="991" w:type="dxa"/>
            <w:vAlign w:val="center"/>
          </w:tcPr>
          <w:p>
            <w:pPr>
              <w:pStyle w:val="2001"/>
              <w:rPr>
                <w:lang w:bidi="en-US"/>
              </w:rPr>
            </w:pPr>
            <w:r>
              <w:rPr>
                <w:lang w:bidi="en-US"/>
              </w:rPr>
              <w:t>平均值</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349" w:hRule="atLeast"/>
          <w:jc w:val="center"/>
        </w:trPr>
        <w:tc>
          <w:tcPr>
            <w:tcW w:w="1225" w:type="dxa"/>
            <w:vMerge w:val="restart"/>
            <w:vAlign w:val="center"/>
          </w:tcPr>
          <w:p>
            <w:pPr>
              <w:pStyle w:val="2001"/>
              <w:rPr>
                <w:lang w:bidi="en-US"/>
              </w:rPr>
            </w:pPr>
            <w:r>
              <w:rPr>
                <w:lang w:bidi="en-US"/>
              </w:rPr>
              <w:t>底栖生物</w:t>
            </w:r>
          </w:p>
        </w:tc>
        <w:tc>
          <w:tcPr>
            <w:tcW w:w="1910" w:type="dxa"/>
            <w:vMerge w:val="restart"/>
            <w:vAlign w:val="center"/>
          </w:tcPr>
          <w:p>
            <w:pPr>
              <w:pStyle w:val="2001"/>
              <w:rPr>
                <w:lang w:bidi="en-US"/>
              </w:rPr>
            </w:pPr>
            <w:r>
              <w:rPr>
                <w:lang w:bidi="en-US"/>
              </w:rPr>
              <w:t>生物量（g/m</w:t>
            </w:r>
            <w:r>
              <w:rPr>
                <w:vertAlign w:val="superscript"/>
                <w:lang w:bidi="en-US"/>
              </w:rPr>
              <w:t>2</w:t>
            </w:r>
            <w:r>
              <w:rPr>
                <w:lang w:bidi="en-US"/>
              </w:rPr>
              <w:t>）</w:t>
            </w:r>
          </w:p>
        </w:tc>
        <w:tc>
          <w:tcPr>
            <w:tcW w:w="1230" w:type="dxa"/>
            <w:vAlign w:val="center"/>
          </w:tcPr>
          <w:p>
            <w:pPr>
              <w:pStyle w:val="2001"/>
              <w:rPr>
                <w:lang w:bidi="en-US"/>
              </w:rPr>
            </w:pPr>
            <w:r>
              <w:rPr>
                <w:rFonts w:hint="eastAsia"/>
                <w:lang w:bidi="en-US"/>
              </w:rPr>
              <w:t>3</w:t>
            </w:r>
          </w:p>
        </w:tc>
        <w:tc>
          <w:tcPr>
            <w:tcW w:w="1642" w:type="dxa"/>
            <w:vMerge w:val="restart"/>
            <w:vAlign w:val="center"/>
          </w:tcPr>
          <w:p>
            <w:pPr>
              <w:pStyle w:val="2001"/>
              <w:rPr>
                <w:lang w:bidi="en-US"/>
              </w:rPr>
            </w:pPr>
            <w:r>
              <w:rPr>
                <w:lang w:bidi="en-US"/>
              </w:rPr>
              <w:t>2021年11月</w:t>
            </w:r>
          </w:p>
        </w:tc>
        <w:tc>
          <w:tcPr>
            <w:tcW w:w="1530" w:type="dxa"/>
            <w:vAlign w:val="center"/>
          </w:tcPr>
          <w:p>
            <w:pPr>
              <w:pStyle w:val="2001"/>
              <w:rPr>
                <w:lang w:bidi="en-US"/>
              </w:rPr>
            </w:pPr>
            <w:r>
              <w:t>——</w:t>
            </w:r>
          </w:p>
        </w:tc>
        <w:tc>
          <w:tcPr>
            <w:tcW w:w="991" w:type="dxa"/>
            <w:vMerge w:val="restart"/>
            <w:vAlign w:val="center"/>
          </w:tcPr>
          <w:p>
            <w:pPr>
              <w:pStyle w:val="2001"/>
              <w:rPr>
                <w:lang w:bidi="en-US"/>
              </w:rPr>
            </w:pPr>
            <w:r>
              <w:rPr>
                <w:rFonts w:hint="eastAsia"/>
                <w:lang w:bidi="en-US"/>
              </w:rPr>
              <w:t>102.15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349" w:hRule="atLeast"/>
          <w:jc w:val="center"/>
        </w:trPr>
        <w:tc>
          <w:tcPr>
            <w:tcW w:w="1225" w:type="dxa"/>
            <w:vMerge w:val="continue"/>
            <w:vAlign w:val="center"/>
          </w:tcPr>
          <w:p>
            <w:pPr>
              <w:pStyle w:val="2001"/>
              <w:rPr>
                <w:lang w:bidi="en-US"/>
              </w:rPr>
            </w:pPr>
          </w:p>
        </w:tc>
        <w:tc>
          <w:tcPr>
            <w:tcW w:w="1910" w:type="dxa"/>
            <w:vMerge w:val="continue"/>
            <w:vAlign w:val="center"/>
          </w:tcPr>
          <w:p>
            <w:pPr>
              <w:pStyle w:val="2001"/>
              <w:rPr>
                <w:lang w:bidi="en-US"/>
              </w:rPr>
            </w:pPr>
          </w:p>
        </w:tc>
        <w:tc>
          <w:tcPr>
            <w:tcW w:w="1230" w:type="dxa"/>
            <w:vAlign w:val="center"/>
          </w:tcPr>
          <w:p>
            <w:pPr>
              <w:pStyle w:val="2001"/>
              <w:rPr>
                <w:lang w:bidi="en-US"/>
              </w:rPr>
            </w:pPr>
            <w:r>
              <w:rPr>
                <w:rFonts w:hint="eastAsia"/>
                <w:lang w:bidi="en-US"/>
              </w:rPr>
              <w:t>11</w:t>
            </w:r>
          </w:p>
        </w:tc>
        <w:tc>
          <w:tcPr>
            <w:tcW w:w="1642" w:type="dxa"/>
            <w:vMerge w:val="continue"/>
            <w:vAlign w:val="center"/>
          </w:tcPr>
          <w:p>
            <w:pPr>
              <w:pStyle w:val="2001"/>
              <w:rPr>
                <w:lang w:bidi="en-US"/>
              </w:rPr>
            </w:pPr>
          </w:p>
        </w:tc>
        <w:tc>
          <w:tcPr>
            <w:tcW w:w="1530" w:type="dxa"/>
            <w:vAlign w:val="center"/>
          </w:tcPr>
          <w:p>
            <w:pPr>
              <w:pStyle w:val="2001"/>
              <w:rPr>
                <w:lang w:bidi="en-US"/>
              </w:rPr>
            </w:pPr>
            <w:r>
              <w:rPr>
                <w:lang w:bidi="en-US"/>
              </w:rPr>
              <w:t>0.81</w:t>
            </w:r>
          </w:p>
        </w:tc>
        <w:tc>
          <w:tcPr>
            <w:tcW w:w="991" w:type="dxa"/>
            <w:vMerge w:val="continue"/>
            <w:vAlign w:val="center"/>
          </w:tcPr>
          <w:p>
            <w:pPr>
              <w:pStyle w:val="2001"/>
              <w:rPr>
                <w:lang w:bidi="en-US"/>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349" w:hRule="atLeast"/>
          <w:jc w:val="center"/>
        </w:trPr>
        <w:tc>
          <w:tcPr>
            <w:tcW w:w="1225" w:type="dxa"/>
            <w:vMerge w:val="continue"/>
            <w:vAlign w:val="center"/>
          </w:tcPr>
          <w:p>
            <w:pPr>
              <w:pStyle w:val="2001"/>
              <w:rPr>
                <w:lang w:bidi="en-US"/>
              </w:rPr>
            </w:pPr>
          </w:p>
        </w:tc>
        <w:tc>
          <w:tcPr>
            <w:tcW w:w="1910" w:type="dxa"/>
            <w:vMerge w:val="continue"/>
            <w:vAlign w:val="center"/>
          </w:tcPr>
          <w:p>
            <w:pPr>
              <w:pStyle w:val="2001"/>
              <w:rPr>
                <w:lang w:bidi="en-US"/>
              </w:rPr>
            </w:pPr>
          </w:p>
        </w:tc>
        <w:tc>
          <w:tcPr>
            <w:tcW w:w="1230" w:type="dxa"/>
            <w:vAlign w:val="center"/>
          </w:tcPr>
          <w:p>
            <w:pPr>
              <w:pStyle w:val="2001"/>
              <w:rPr>
                <w:lang w:bidi="en-US"/>
              </w:rPr>
            </w:pPr>
            <w:r>
              <w:rPr>
                <w:rFonts w:hint="eastAsia"/>
                <w:lang w:bidi="en-US"/>
              </w:rPr>
              <w:t>13</w:t>
            </w:r>
          </w:p>
        </w:tc>
        <w:tc>
          <w:tcPr>
            <w:tcW w:w="1642" w:type="dxa"/>
            <w:vMerge w:val="continue"/>
            <w:vAlign w:val="center"/>
          </w:tcPr>
          <w:p>
            <w:pPr>
              <w:pStyle w:val="2001"/>
              <w:rPr>
                <w:lang w:bidi="en-US"/>
              </w:rPr>
            </w:pPr>
          </w:p>
        </w:tc>
        <w:tc>
          <w:tcPr>
            <w:tcW w:w="1530" w:type="dxa"/>
            <w:vAlign w:val="center"/>
          </w:tcPr>
          <w:p>
            <w:pPr>
              <w:pStyle w:val="2001"/>
              <w:rPr>
                <w:lang w:bidi="en-US"/>
              </w:rPr>
            </w:pPr>
            <w:r>
              <w:rPr>
                <w:lang w:bidi="en-US"/>
              </w:rPr>
              <w:t>14.96</w:t>
            </w:r>
          </w:p>
        </w:tc>
        <w:tc>
          <w:tcPr>
            <w:tcW w:w="991" w:type="dxa"/>
            <w:vMerge w:val="continue"/>
            <w:vAlign w:val="center"/>
          </w:tcPr>
          <w:p>
            <w:pPr>
              <w:pStyle w:val="2001"/>
              <w:rPr>
                <w:lang w:bidi="en-US"/>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349" w:hRule="atLeast"/>
          <w:jc w:val="center"/>
        </w:trPr>
        <w:tc>
          <w:tcPr>
            <w:tcW w:w="1225" w:type="dxa"/>
            <w:vMerge w:val="continue"/>
            <w:vAlign w:val="center"/>
          </w:tcPr>
          <w:p>
            <w:pPr>
              <w:pStyle w:val="2001"/>
              <w:rPr>
                <w:lang w:bidi="en-US"/>
              </w:rPr>
            </w:pPr>
          </w:p>
        </w:tc>
        <w:tc>
          <w:tcPr>
            <w:tcW w:w="1910" w:type="dxa"/>
            <w:vMerge w:val="continue"/>
            <w:vAlign w:val="center"/>
          </w:tcPr>
          <w:p>
            <w:pPr>
              <w:pStyle w:val="2001"/>
              <w:rPr>
                <w:lang w:bidi="en-US"/>
              </w:rPr>
            </w:pPr>
          </w:p>
        </w:tc>
        <w:tc>
          <w:tcPr>
            <w:tcW w:w="1230" w:type="dxa"/>
            <w:vAlign w:val="center"/>
          </w:tcPr>
          <w:p>
            <w:pPr>
              <w:pStyle w:val="2001"/>
              <w:rPr>
                <w:lang w:bidi="en-US"/>
              </w:rPr>
            </w:pPr>
            <w:r>
              <w:rPr>
                <w:rFonts w:hint="eastAsia"/>
                <w:lang w:bidi="en-US"/>
              </w:rPr>
              <w:t>10</w:t>
            </w:r>
          </w:p>
        </w:tc>
        <w:tc>
          <w:tcPr>
            <w:tcW w:w="1642" w:type="dxa"/>
            <w:vMerge w:val="restart"/>
            <w:vAlign w:val="center"/>
          </w:tcPr>
          <w:p>
            <w:pPr>
              <w:pStyle w:val="2001"/>
              <w:rPr>
                <w:lang w:bidi="en-US"/>
              </w:rPr>
            </w:pPr>
            <w:r>
              <w:rPr>
                <w:rFonts w:hint="eastAsia"/>
                <w:lang w:bidi="en-US"/>
              </w:rPr>
              <w:t>2022年4月</w:t>
            </w:r>
          </w:p>
        </w:tc>
        <w:tc>
          <w:tcPr>
            <w:tcW w:w="1530" w:type="dxa"/>
            <w:vAlign w:val="center"/>
          </w:tcPr>
          <w:p>
            <w:pPr>
              <w:pStyle w:val="2001"/>
              <w:rPr>
                <w:lang w:bidi="en-US"/>
              </w:rPr>
            </w:pPr>
            <w:r>
              <w:t>4.15</w:t>
            </w:r>
          </w:p>
        </w:tc>
        <w:tc>
          <w:tcPr>
            <w:tcW w:w="991" w:type="dxa"/>
            <w:vMerge w:val="continue"/>
            <w:vAlign w:val="center"/>
          </w:tcPr>
          <w:p>
            <w:pPr>
              <w:pStyle w:val="2001"/>
              <w:rPr>
                <w:lang w:bidi="en-US"/>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349" w:hRule="atLeast"/>
          <w:jc w:val="center"/>
        </w:trPr>
        <w:tc>
          <w:tcPr>
            <w:tcW w:w="1225" w:type="dxa"/>
            <w:vMerge w:val="continue"/>
            <w:vAlign w:val="center"/>
          </w:tcPr>
          <w:p>
            <w:pPr>
              <w:pStyle w:val="2001"/>
              <w:rPr>
                <w:lang w:bidi="en-US"/>
              </w:rPr>
            </w:pPr>
          </w:p>
        </w:tc>
        <w:tc>
          <w:tcPr>
            <w:tcW w:w="1910" w:type="dxa"/>
            <w:vMerge w:val="continue"/>
            <w:vAlign w:val="center"/>
          </w:tcPr>
          <w:p>
            <w:pPr>
              <w:pStyle w:val="2001"/>
              <w:rPr>
                <w:lang w:bidi="en-US"/>
              </w:rPr>
            </w:pPr>
          </w:p>
        </w:tc>
        <w:tc>
          <w:tcPr>
            <w:tcW w:w="1230" w:type="dxa"/>
            <w:vAlign w:val="center"/>
          </w:tcPr>
          <w:p>
            <w:pPr>
              <w:pStyle w:val="2001"/>
              <w:rPr>
                <w:lang w:bidi="en-US"/>
              </w:rPr>
            </w:pPr>
            <w:r>
              <w:rPr>
                <w:rFonts w:hint="eastAsia"/>
                <w:lang w:bidi="en-US"/>
              </w:rPr>
              <w:t>12</w:t>
            </w:r>
          </w:p>
        </w:tc>
        <w:tc>
          <w:tcPr>
            <w:tcW w:w="1642" w:type="dxa"/>
            <w:vMerge w:val="continue"/>
            <w:vAlign w:val="center"/>
          </w:tcPr>
          <w:p>
            <w:pPr>
              <w:pStyle w:val="2001"/>
              <w:rPr>
                <w:lang w:bidi="en-US"/>
              </w:rPr>
            </w:pPr>
          </w:p>
        </w:tc>
        <w:tc>
          <w:tcPr>
            <w:tcW w:w="1530" w:type="dxa"/>
            <w:vAlign w:val="center"/>
          </w:tcPr>
          <w:p>
            <w:pPr>
              <w:pStyle w:val="2001"/>
              <w:rPr>
                <w:lang w:bidi="en-US"/>
              </w:rPr>
            </w:pPr>
            <w:r>
              <w:t>0.81</w:t>
            </w:r>
          </w:p>
        </w:tc>
        <w:tc>
          <w:tcPr>
            <w:tcW w:w="991" w:type="dxa"/>
            <w:vMerge w:val="continue"/>
            <w:vAlign w:val="center"/>
          </w:tcPr>
          <w:p>
            <w:pPr>
              <w:pStyle w:val="2001"/>
              <w:rPr>
                <w:lang w:bidi="en-US"/>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349" w:hRule="atLeast"/>
          <w:jc w:val="center"/>
        </w:trPr>
        <w:tc>
          <w:tcPr>
            <w:tcW w:w="1225" w:type="dxa"/>
            <w:vMerge w:val="continue"/>
            <w:vAlign w:val="center"/>
          </w:tcPr>
          <w:p>
            <w:pPr>
              <w:pStyle w:val="2001"/>
              <w:rPr>
                <w:lang w:bidi="en-US"/>
              </w:rPr>
            </w:pPr>
          </w:p>
        </w:tc>
        <w:tc>
          <w:tcPr>
            <w:tcW w:w="1910" w:type="dxa"/>
            <w:vMerge w:val="continue"/>
            <w:vAlign w:val="center"/>
          </w:tcPr>
          <w:p>
            <w:pPr>
              <w:pStyle w:val="2001"/>
              <w:rPr>
                <w:lang w:bidi="en-US"/>
              </w:rPr>
            </w:pPr>
          </w:p>
        </w:tc>
        <w:tc>
          <w:tcPr>
            <w:tcW w:w="1230" w:type="dxa"/>
            <w:vAlign w:val="center"/>
          </w:tcPr>
          <w:p>
            <w:pPr>
              <w:pStyle w:val="2001"/>
              <w:rPr>
                <w:lang w:bidi="en-US"/>
              </w:rPr>
            </w:pPr>
            <w:r>
              <w:rPr>
                <w:rFonts w:hint="eastAsia"/>
                <w:lang w:bidi="en-US"/>
              </w:rPr>
              <w:t>17</w:t>
            </w:r>
          </w:p>
        </w:tc>
        <w:tc>
          <w:tcPr>
            <w:tcW w:w="1642" w:type="dxa"/>
            <w:vMerge w:val="continue"/>
            <w:vAlign w:val="center"/>
          </w:tcPr>
          <w:p>
            <w:pPr>
              <w:pStyle w:val="2001"/>
              <w:rPr>
                <w:lang w:bidi="en-US"/>
              </w:rPr>
            </w:pPr>
          </w:p>
        </w:tc>
        <w:tc>
          <w:tcPr>
            <w:tcW w:w="1530" w:type="dxa"/>
            <w:vAlign w:val="center"/>
          </w:tcPr>
          <w:p>
            <w:pPr>
              <w:pStyle w:val="2001"/>
              <w:rPr>
                <w:lang w:bidi="en-US"/>
              </w:rPr>
            </w:pPr>
            <w:r>
              <w:t>——</w:t>
            </w:r>
          </w:p>
        </w:tc>
        <w:tc>
          <w:tcPr>
            <w:tcW w:w="991" w:type="dxa"/>
            <w:vMerge w:val="continue"/>
            <w:vAlign w:val="center"/>
          </w:tcPr>
          <w:p>
            <w:pPr>
              <w:pStyle w:val="2001"/>
              <w:rPr>
                <w:lang w:bidi="en-US"/>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283" w:hRule="atLeast"/>
          <w:jc w:val="center"/>
        </w:trPr>
        <w:tc>
          <w:tcPr>
            <w:tcW w:w="1225" w:type="dxa"/>
            <w:vMerge w:val="restart"/>
            <w:vAlign w:val="center"/>
          </w:tcPr>
          <w:p>
            <w:pPr>
              <w:pStyle w:val="2001"/>
              <w:rPr>
                <w:lang w:bidi="en-US"/>
              </w:rPr>
            </w:pPr>
            <w:r>
              <w:rPr>
                <w:lang w:bidi="en-US"/>
              </w:rPr>
              <w:t>鱼卵</w:t>
            </w:r>
          </w:p>
        </w:tc>
        <w:tc>
          <w:tcPr>
            <w:tcW w:w="1910" w:type="dxa"/>
            <w:vMerge w:val="restart"/>
            <w:vAlign w:val="center"/>
          </w:tcPr>
          <w:p>
            <w:pPr>
              <w:pStyle w:val="2001"/>
              <w:rPr>
                <w:lang w:bidi="en-US"/>
              </w:rPr>
            </w:pPr>
            <w:r>
              <w:rPr>
                <w:lang w:bidi="en-US"/>
              </w:rPr>
              <w:t>密度（粒/m</w:t>
            </w:r>
            <w:r>
              <w:rPr>
                <w:vertAlign w:val="superscript"/>
                <w:lang w:bidi="en-US"/>
              </w:rPr>
              <w:t>3</w:t>
            </w:r>
            <w:r>
              <w:rPr>
                <w:lang w:bidi="en-US"/>
              </w:rPr>
              <w:t>）</w:t>
            </w:r>
          </w:p>
        </w:tc>
        <w:tc>
          <w:tcPr>
            <w:tcW w:w="1230" w:type="dxa"/>
            <w:vAlign w:val="center"/>
          </w:tcPr>
          <w:p>
            <w:pPr>
              <w:pStyle w:val="2001"/>
              <w:rPr>
                <w:lang w:bidi="en-US"/>
              </w:rPr>
            </w:pPr>
            <w:r>
              <w:rPr>
                <w:rFonts w:hint="eastAsia"/>
                <w:lang w:bidi="en-US"/>
              </w:rPr>
              <w:t>3</w:t>
            </w:r>
          </w:p>
        </w:tc>
        <w:tc>
          <w:tcPr>
            <w:tcW w:w="1642" w:type="dxa"/>
            <w:vMerge w:val="restart"/>
            <w:vAlign w:val="center"/>
          </w:tcPr>
          <w:p>
            <w:pPr>
              <w:pStyle w:val="2001"/>
              <w:rPr>
                <w:lang w:bidi="en-US"/>
              </w:rPr>
            </w:pPr>
            <w:r>
              <w:rPr>
                <w:lang w:bidi="en-US"/>
              </w:rPr>
              <w:t>2021年11月</w:t>
            </w:r>
          </w:p>
        </w:tc>
        <w:tc>
          <w:tcPr>
            <w:tcW w:w="1530" w:type="dxa"/>
            <w:vAlign w:val="center"/>
          </w:tcPr>
          <w:p>
            <w:pPr>
              <w:pStyle w:val="2001"/>
              <w:rPr>
                <w:lang w:bidi="en-US"/>
              </w:rPr>
            </w:pPr>
            <w:r>
              <w:rPr>
                <w:lang w:bidi="en-US"/>
              </w:rPr>
              <w:t>0.68</w:t>
            </w:r>
          </w:p>
        </w:tc>
        <w:tc>
          <w:tcPr>
            <w:tcW w:w="991" w:type="dxa"/>
            <w:vMerge w:val="restart"/>
            <w:vAlign w:val="center"/>
          </w:tcPr>
          <w:p>
            <w:pPr>
              <w:pStyle w:val="2001"/>
              <w:rPr>
                <w:lang w:bidi="en-US"/>
              </w:rPr>
            </w:pPr>
            <w:r>
              <w:rPr>
                <w:rFonts w:hint="eastAsia"/>
                <w:lang w:bidi="en-US"/>
              </w:rPr>
              <w:t>0.113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283" w:hRule="atLeast"/>
          <w:jc w:val="center"/>
        </w:trPr>
        <w:tc>
          <w:tcPr>
            <w:tcW w:w="1225" w:type="dxa"/>
            <w:vMerge w:val="continue"/>
            <w:vAlign w:val="center"/>
          </w:tcPr>
          <w:p>
            <w:pPr>
              <w:pStyle w:val="2001"/>
              <w:rPr>
                <w:lang w:bidi="en-US"/>
              </w:rPr>
            </w:pPr>
          </w:p>
        </w:tc>
        <w:tc>
          <w:tcPr>
            <w:tcW w:w="1910" w:type="dxa"/>
            <w:vMerge w:val="continue"/>
            <w:vAlign w:val="center"/>
          </w:tcPr>
          <w:p>
            <w:pPr>
              <w:pStyle w:val="2001"/>
              <w:rPr>
                <w:lang w:bidi="en-US"/>
              </w:rPr>
            </w:pPr>
          </w:p>
        </w:tc>
        <w:tc>
          <w:tcPr>
            <w:tcW w:w="1230" w:type="dxa"/>
            <w:vAlign w:val="center"/>
          </w:tcPr>
          <w:p>
            <w:pPr>
              <w:pStyle w:val="2001"/>
              <w:rPr>
                <w:lang w:bidi="en-US"/>
              </w:rPr>
            </w:pPr>
            <w:r>
              <w:rPr>
                <w:rFonts w:hint="eastAsia"/>
                <w:lang w:bidi="en-US"/>
              </w:rPr>
              <w:t>11</w:t>
            </w:r>
          </w:p>
        </w:tc>
        <w:tc>
          <w:tcPr>
            <w:tcW w:w="1642" w:type="dxa"/>
            <w:vMerge w:val="continue"/>
            <w:vAlign w:val="center"/>
          </w:tcPr>
          <w:p>
            <w:pPr>
              <w:pStyle w:val="2001"/>
              <w:rPr>
                <w:lang w:bidi="en-US"/>
              </w:rPr>
            </w:pPr>
          </w:p>
        </w:tc>
        <w:tc>
          <w:tcPr>
            <w:tcW w:w="1530" w:type="dxa"/>
            <w:vAlign w:val="center"/>
          </w:tcPr>
          <w:p>
            <w:pPr>
              <w:pStyle w:val="2001"/>
              <w:rPr>
                <w:lang w:bidi="en-US"/>
              </w:rPr>
            </w:pPr>
            <w:r>
              <w:rPr>
                <w:rFonts w:hint="eastAsia"/>
                <w:lang w:bidi="en-US"/>
              </w:rPr>
              <w:t>0</w:t>
            </w:r>
          </w:p>
        </w:tc>
        <w:tc>
          <w:tcPr>
            <w:tcW w:w="991" w:type="dxa"/>
            <w:vMerge w:val="continue"/>
            <w:vAlign w:val="center"/>
          </w:tcPr>
          <w:p>
            <w:pPr>
              <w:pStyle w:val="2001"/>
              <w:rPr>
                <w:lang w:bidi="en-US"/>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283" w:hRule="atLeast"/>
          <w:jc w:val="center"/>
        </w:trPr>
        <w:tc>
          <w:tcPr>
            <w:tcW w:w="1225" w:type="dxa"/>
            <w:vMerge w:val="continue"/>
            <w:vAlign w:val="center"/>
          </w:tcPr>
          <w:p>
            <w:pPr>
              <w:pStyle w:val="2001"/>
              <w:rPr>
                <w:lang w:bidi="en-US"/>
              </w:rPr>
            </w:pPr>
          </w:p>
        </w:tc>
        <w:tc>
          <w:tcPr>
            <w:tcW w:w="1910" w:type="dxa"/>
            <w:vMerge w:val="continue"/>
            <w:vAlign w:val="center"/>
          </w:tcPr>
          <w:p>
            <w:pPr>
              <w:pStyle w:val="2001"/>
              <w:rPr>
                <w:lang w:bidi="en-US"/>
              </w:rPr>
            </w:pPr>
          </w:p>
        </w:tc>
        <w:tc>
          <w:tcPr>
            <w:tcW w:w="1230" w:type="dxa"/>
            <w:vAlign w:val="center"/>
          </w:tcPr>
          <w:p>
            <w:pPr>
              <w:pStyle w:val="2001"/>
              <w:rPr>
                <w:lang w:bidi="en-US"/>
              </w:rPr>
            </w:pPr>
            <w:r>
              <w:rPr>
                <w:rFonts w:hint="eastAsia"/>
                <w:lang w:bidi="en-US"/>
              </w:rPr>
              <w:t>13</w:t>
            </w:r>
          </w:p>
        </w:tc>
        <w:tc>
          <w:tcPr>
            <w:tcW w:w="1642" w:type="dxa"/>
            <w:vMerge w:val="continue"/>
            <w:vAlign w:val="center"/>
          </w:tcPr>
          <w:p>
            <w:pPr>
              <w:pStyle w:val="2001"/>
              <w:rPr>
                <w:lang w:bidi="en-US"/>
              </w:rPr>
            </w:pPr>
          </w:p>
        </w:tc>
        <w:tc>
          <w:tcPr>
            <w:tcW w:w="1530" w:type="dxa"/>
            <w:vAlign w:val="center"/>
          </w:tcPr>
          <w:p>
            <w:pPr>
              <w:pStyle w:val="2001"/>
              <w:rPr>
                <w:lang w:bidi="en-US"/>
              </w:rPr>
            </w:pPr>
            <w:r>
              <w:rPr>
                <w:rFonts w:hint="eastAsia"/>
                <w:lang w:bidi="en-US"/>
              </w:rPr>
              <w:t>0</w:t>
            </w:r>
          </w:p>
        </w:tc>
        <w:tc>
          <w:tcPr>
            <w:tcW w:w="991" w:type="dxa"/>
            <w:vMerge w:val="continue"/>
            <w:vAlign w:val="center"/>
          </w:tcPr>
          <w:p>
            <w:pPr>
              <w:pStyle w:val="2001"/>
              <w:rPr>
                <w:lang w:bidi="en-US"/>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283" w:hRule="atLeast"/>
          <w:jc w:val="center"/>
        </w:trPr>
        <w:tc>
          <w:tcPr>
            <w:tcW w:w="1225" w:type="dxa"/>
            <w:vMerge w:val="continue"/>
            <w:vAlign w:val="center"/>
          </w:tcPr>
          <w:p>
            <w:pPr>
              <w:pStyle w:val="2001"/>
              <w:rPr>
                <w:lang w:bidi="en-US"/>
              </w:rPr>
            </w:pPr>
          </w:p>
        </w:tc>
        <w:tc>
          <w:tcPr>
            <w:tcW w:w="1910" w:type="dxa"/>
            <w:vMerge w:val="continue"/>
            <w:vAlign w:val="center"/>
          </w:tcPr>
          <w:p>
            <w:pPr>
              <w:pStyle w:val="2001"/>
              <w:rPr>
                <w:lang w:bidi="en-US"/>
              </w:rPr>
            </w:pPr>
          </w:p>
        </w:tc>
        <w:tc>
          <w:tcPr>
            <w:tcW w:w="1230" w:type="dxa"/>
            <w:vAlign w:val="center"/>
          </w:tcPr>
          <w:p>
            <w:pPr>
              <w:pStyle w:val="2001"/>
              <w:rPr>
                <w:lang w:bidi="en-US"/>
              </w:rPr>
            </w:pPr>
            <w:r>
              <w:rPr>
                <w:rFonts w:hint="eastAsia"/>
                <w:lang w:bidi="en-US"/>
              </w:rPr>
              <w:t>10</w:t>
            </w:r>
          </w:p>
        </w:tc>
        <w:tc>
          <w:tcPr>
            <w:tcW w:w="1642" w:type="dxa"/>
            <w:vMerge w:val="restart"/>
            <w:vAlign w:val="center"/>
          </w:tcPr>
          <w:p>
            <w:pPr>
              <w:pStyle w:val="2001"/>
              <w:rPr>
                <w:lang w:bidi="en-US"/>
              </w:rPr>
            </w:pPr>
            <w:r>
              <w:rPr>
                <w:rFonts w:hint="eastAsia"/>
                <w:lang w:bidi="en-US"/>
              </w:rPr>
              <w:t>2022年4月</w:t>
            </w:r>
          </w:p>
        </w:tc>
        <w:tc>
          <w:tcPr>
            <w:tcW w:w="1530" w:type="dxa"/>
            <w:vAlign w:val="center"/>
          </w:tcPr>
          <w:p>
            <w:pPr>
              <w:pStyle w:val="2001"/>
              <w:rPr>
                <w:lang w:bidi="en-US"/>
              </w:rPr>
            </w:pPr>
            <w:r>
              <w:rPr>
                <w:rFonts w:hint="eastAsia"/>
                <w:lang w:bidi="en-US"/>
              </w:rPr>
              <w:t>0</w:t>
            </w:r>
          </w:p>
        </w:tc>
        <w:tc>
          <w:tcPr>
            <w:tcW w:w="991" w:type="dxa"/>
            <w:vMerge w:val="continue"/>
            <w:vAlign w:val="center"/>
          </w:tcPr>
          <w:p>
            <w:pPr>
              <w:pStyle w:val="2001"/>
              <w:rPr>
                <w:lang w:bidi="en-US"/>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283" w:hRule="atLeast"/>
          <w:jc w:val="center"/>
        </w:trPr>
        <w:tc>
          <w:tcPr>
            <w:tcW w:w="1225" w:type="dxa"/>
            <w:vMerge w:val="continue"/>
            <w:vAlign w:val="center"/>
          </w:tcPr>
          <w:p>
            <w:pPr>
              <w:pStyle w:val="2001"/>
              <w:rPr>
                <w:lang w:bidi="en-US"/>
              </w:rPr>
            </w:pPr>
          </w:p>
        </w:tc>
        <w:tc>
          <w:tcPr>
            <w:tcW w:w="1910" w:type="dxa"/>
            <w:vMerge w:val="continue"/>
            <w:vAlign w:val="center"/>
          </w:tcPr>
          <w:p>
            <w:pPr>
              <w:pStyle w:val="2001"/>
              <w:rPr>
                <w:lang w:bidi="en-US"/>
              </w:rPr>
            </w:pPr>
          </w:p>
        </w:tc>
        <w:tc>
          <w:tcPr>
            <w:tcW w:w="1230" w:type="dxa"/>
            <w:vAlign w:val="center"/>
          </w:tcPr>
          <w:p>
            <w:pPr>
              <w:pStyle w:val="2001"/>
              <w:rPr>
                <w:lang w:bidi="en-US"/>
              </w:rPr>
            </w:pPr>
            <w:r>
              <w:rPr>
                <w:rFonts w:hint="eastAsia"/>
                <w:lang w:bidi="en-US"/>
              </w:rPr>
              <w:t>12</w:t>
            </w:r>
          </w:p>
        </w:tc>
        <w:tc>
          <w:tcPr>
            <w:tcW w:w="1642" w:type="dxa"/>
            <w:vMerge w:val="continue"/>
            <w:vAlign w:val="center"/>
          </w:tcPr>
          <w:p>
            <w:pPr>
              <w:pStyle w:val="2001"/>
              <w:rPr>
                <w:lang w:bidi="en-US"/>
              </w:rPr>
            </w:pPr>
          </w:p>
        </w:tc>
        <w:tc>
          <w:tcPr>
            <w:tcW w:w="1530" w:type="dxa"/>
            <w:vAlign w:val="center"/>
          </w:tcPr>
          <w:p>
            <w:pPr>
              <w:pStyle w:val="2001"/>
              <w:rPr>
                <w:lang w:bidi="en-US"/>
              </w:rPr>
            </w:pPr>
            <w:r>
              <w:rPr>
                <w:rFonts w:hint="eastAsia"/>
                <w:lang w:bidi="en-US"/>
              </w:rPr>
              <w:t>0</w:t>
            </w:r>
          </w:p>
        </w:tc>
        <w:tc>
          <w:tcPr>
            <w:tcW w:w="991" w:type="dxa"/>
            <w:vMerge w:val="continue"/>
            <w:vAlign w:val="center"/>
          </w:tcPr>
          <w:p>
            <w:pPr>
              <w:pStyle w:val="2001"/>
              <w:rPr>
                <w:lang w:bidi="en-US"/>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283" w:hRule="atLeast"/>
          <w:jc w:val="center"/>
        </w:trPr>
        <w:tc>
          <w:tcPr>
            <w:tcW w:w="1225" w:type="dxa"/>
            <w:vMerge w:val="continue"/>
            <w:vAlign w:val="center"/>
          </w:tcPr>
          <w:p>
            <w:pPr>
              <w:pStyle w:val="2001"/>
              <w:rPr>
                <w:lang w:bidi="en-US"/>
              </w:rPr>
            </w:pPr>
          </w:p>
        </w:tc>
        <w:tc>
          <w:tcPr>
            <w:tcW w:w="1910" w:type="dxa"/>
            <w:vMerge w:val="continue"/>
            <w:vAlign w:val="center"/>
          </w:tcPr>
          <w:p>
            <w:pPr>
              <w:pStyle w:val="2001"/>
              <w:rPr>
                <w:lang w:bidi="en-US"/>
              </w:rPr>
            </w:pPr>
          </w:p>
        </w:tc>
        <w:tc>
          <w:tcPr>
            <w:tcW w:w="1230" w:type="dxa"/>
            <w:vAlign w:val="center"/>
          </w:tcPr>
          <w:p>
            <w:pPr>
              <w:pStyle w:val="2001"/>
              <w:rPr>
                <w:lang w:bidi="en-US"/>
              </w:rPr>
            </w:pPr>
            <w:r>
              <w:rPr>
                <w:rFonts w:hint="eastAsia"/>
                <w:lang w:bidi="en-US"/>
              </w:rPr>
              <w:t>17</w:t>
            </w:r>
          </w:p>
        </w:tc>
        <w:tc>
          <w:tcPr>
            <w:tcW w:w="1642" w:type="dxa"/>
            <w:vMerge w:val="continue"/>
            <w:vAlign w:val="center"/>
          </w:tcPr>
          <w:p>
            <w:pPr>
              <w:pStyle w:val="2001"/>
              <w:rPr>
                <w:lang w:bidi="en-US"/>
              </w:rPr>
            </w:pPr>
          </w:p>
        </w:tc>
        <w:tc>
          <w:tcPr>
            <w:tcW w:w="1530" w:type="dxa"/>
            <w:vAlign w:val="center"/>
          </w:tcPr>
          <w:p>
            <w:pPr>
              <w:pStyle w:val="2001"/>
              <w:rPr>
                <w:lang w:bidi="en-US"/>
              </w:rPr>
            </w:pPr>
            <w:r>
              <w:rPr>
                <w:rFonts w:hint="eastAsia"/>
                <w:lang w:bidi="en-US"/>
              </w:rPr>
              <w:t>0</w:t>
            </w:r>
          </w:p>
        </w:tc>
        <w:tc>
          <w:tcPr>
            <w:tcW w:w="991" w:type="dxa"/>
            <w:vMerge w:val="continue"/>
            <w:vAlign w:val="center"/>
          </w:tcPr>
          <w:p>
            <w:pPr>
              <w:pStyle w:val="2001"/>
              <w:rPr>
                <w:lang w:bidi="en-US"/>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273" w:hRule="atLeast"/>
          <w:jc w:val="center"/>
        </w:trPr>
        <w:tc>
          <w:tcPr>
            <w:tcW w:w="1225" w:type="dxa"/>
            <w:vMerge w:val="restart"/>
            <w:vAlign w:val="center"/>
          </w:tcPr>
          <w:p>
            <w:pPr>
              <w:pStyle w:val="2001"/>
              <w:rPr>
                <w:lang w:bidi="en-US"/>
              </w:rPr>
            </w:pPr>
            <w:r>
              <w:rPr>
                <w:lang w:bidi="en-US"/>
              </w:rPr>
              <w:t>仔鱼</w:t>
            </w:r>
          </w:p>
        </w:tc>
        <w:tc>
          <w:tcPr>
            <w:tcW w:w="1910" w:type="dxa"/>
            <w:vMerge w:val="restart"/>
            <w:vAlign w:val="center"/>
          </w:tcPr>
          <w:p>
            <w:pPr>
              <w:pStyle w:val="2001"/>
              <w:rPr>
                <w:lang w:bidi="en-US"/>
              </w:rPr>
            </w:pPr>
            <w:r>
              <w:rPr>
                <w:lang w:bidi="en-US"/>
              </w:rPr>
              <w:t>密度（尾/m</w:t>
            </w:r>
            <w:r>
              <w:rPr>
                <w:vertAlign w:val="superscript"/>
                <w:lang w:bidi="en-US"/>
              </w:rPr>
              <w:t>3</w:t>
            </w:r>
            <w:r>
              <w:rPr>
                <w:lang w:bidi="en-US"/>
              </w:rPr>
              <w:t>）</w:t>
            </w:r>
          </w:p>
        </w:tc>
        <w:tc>
          <w:tcPr>
            <w:tcW w:w="1230" w:type="dxa"/>
            <w:vAlign w:val="center"/>
          </w:tcPr>
          <w:p>
            <w:pPr>
              <w:pStyle w:val="2001"/>
              <w:rPr>
                <w:lang w:bidi="en-US"/>
              </w:rPr>
            </w:pPr>
            <w:r>
              <w:rPr>
                <w:rFonts w:hint="eastAsia"/>
                <w:lang w:bidi="en-US"/>
              </w:rPr>
              <w:t>3</w:t>
            </w:r>
          </w:p>
        </w:tc>
        <w:tc>
          <w:tcPr>
            <w:tcW w:w="1642" w:type="dxa"/>
            <w:vMerge w:val="restart"/>
            <w:vAlign w:val="center"/>
          </w:tcPr>
          <w:p>
            <w:pPr>
              <w:pStyle w:val="2001"/>
              <w:rPr>
                <w:lang w:bidi="en-US"/>
              </w:rPr>
            </w:pPr>
            <w:r>
              <w:rPr>
                <w:lang w:bidi="en-US"/>
              </w:rPr>
              <w:t>2021年11月</w:t>
            </w:r>
          </w:p>
        </w:tc>
        <w:tc>
          <w:tcPr>
            <w:tcW w:w="1530" w:type="dxa"/>
            <w:vAlign w:val="center"/>
          </w:tcPr>
          <w:p>
            <w:pPr>
              <w:pStyle w:val="2001"/>
              <w:rPr>
                <w:lang w:bidi="en-US"/>
              </w:rPr>
            </w:pPr>
            <w:r>
              <w:rPr>
                <w:rFonts w:hint="eastAsia"/>
                <w:lang w:bidi="en-US"/>
              </w:rPr>
              <w:t>0</w:t>
            </w:r>
          </w:p>
        </w:tc>
        <w:tc>
          <w:tcPr>
            <w:tcW w:w="991" w:type="dxa"/>
            <w:vMerge w:val="restart"/>
            <w:vAlign w:val="center"/>
          </w:tcPr>
          <w:p>
            <w:pPr>
              <w:pStyle w:val="2001"/>
              <w:rPr>
                <w:lang w:bidi="en-US"/>
              </w:rPr>
            </w:pPr>
            <w:r>
              <w:rPr>
                <w:rFonts w:hint="eastAsia"/>
                <w:lang w:bidi="en-US"/>
              </w:rPr>
              <w:t>0.181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273" w:hRule="atLeast"/>
          <w:jc w:val="center"/>
        </w:trPr>
        <w:tc>
          <w:tcPr>
            <w:tcW w:w="1225" w:type="dxa"/>
            <w:vMerge w:val="continue"/>
            <w:vAlign w:val="center"/>
          </w:tcPr>
          <w:p>
            <w:pPr>
              <w:pStyle w:val="2001"/>
              <w:rPr>
                <w:lang w:bidi="en-US"/>
              </w:rPr>
            </w:pPr>
          </w:p>
        </w:tc>
        <w:tc>
          <w:tcPr>
            <w:tcW w:w="1910" w:type="dxa"/>
            <w:vMerge w:val="continue"/>
            <w:vAlign w:val="center"/>
          </w:tcPr>
          <w:p>
            <w:pPr>
              <w:pStyle w:val="2001"/>
              <w:rPr>
                <w:lang w:bidi="en-US"/>
              </w:rPr>
            </w:pPr>
          </w:p>
        </w:tc>
        <w:tc>
          <w:tcPr>
            <w:tcW w:w="1230" w:type="dxa"/>
            <w:vAlign w:val="center"/>
          </w:tcPr>
          <w:p>
            <w:pPr>
              <w:pStyle w:val="2001"/>
              <w:rPr>
                <w:lang w:bidi="en-US"/>
              </w:rPr>
            </w:pPr>
            <w:r>
              <w:rPr>
                <w:rFonts w:hint="eastAsia"/>
                <w:lang w:bidi="en-US"/>
              </w:rPr>
              <w:t>11</w:t>
            </w:r>
          </w:p>
        </w:tc>
        <w:tc>
          <w:tcPr>
            <w:tcW w:w="1642" w:type="dxa"/>
            <w:vMerge w:val="continue"/>
            <w:vAlign w:val="center"/>
          </w:tcPr>
          <w:p>
            <w:pPr>
              <w:pStyle w:val="2001"/>
              <w:rPr>
                <w:lang w:bidi="en-US"/>
              </w:rPr>
            </w:pPr>
          </w:p>
        </w:tc>
        <w:tc>
          <w:tcPr>
            <w:tcW w:w="1530" w:type="dxa"/>
            <w:vAlign w:val="center"/>
          </w:tcPr>
          <w:p>
            <w:pPr>
              <w:pStyle w:val="2001"/>
              <w:rPr>
                <w:lang w:bidi="en-US"/>
              </w:rPr>
            </w:pPr>
            <w:r>
              <w:rPr>
                <w:rFonts w:hint="eastAsia"/>
                <w:lang w:bidi="en-US"/>
              </w:rPr>
              <w:t>0</w:t>
            </w:r>
          </w:p>
        </w:tc>
        <w:tc>
          <w:tcPr>
            <w:tcW w:w="991" w:type="dxa"/>
            <w:vMerge w:val="continue"/>
            <w:vAlign w:val="center"/>
          </w:tcPr>
          <w:p>
            <w:pPr>
              <w:pStyle w:val="2001"/>
              <w:rPr>
                <w:lang w:bidi="en-US"/>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273" w:hRule="atLeast"/>
          <w:jc w:val="center"/>
        </w:trPr>
        <w:tc>
          <w:tcPr>
            <w:tcW w:w="1225" w:type="dxa"/>
            <w:vMerge w:val="continue"/>
            <w:vAlign w:val="center"/>
          </w:tcPr>
          <w:p>
            <w:pPr>
              <w:pStyle w:val="2001"/>
              <w:rPr>
                <w:lang w:bidi="en-US"/>
              </w:rPr>
            </w:pPr>
          </w:p>
        </w:tc>
        <w:tc>
          <w:tcPr>
            <w:tcW w:w="1910" w:type="dxa"/>
            <w:vMerge w:val="continue"/>
            <w:vAlign w:val="center"/>
          </w:tcPr>
          <w:p>
            <w:pPr>
              <w:pStyle w:val="2001"/>
              <w:rPr>
                <w:lang w:bidi="en-US"/>
              </w:rPr>
            </w:pPr>
          </w:p>
        </w:tc>
        <w:tc>
          <w:tcPr>
            <w:tcW w:w="1230" w:type="dxa"/>
            <w:vAlign w:val="center"/>
          </w:tcPr>
          <w:p>
            <w:pPr>
              <w:pStyle w:val="2001"/>
              <w:rPr>
                <w:lang w:bidi="en-US"/>
              </w:rPr>
            </w:pPr>
            <w:r>
              <w:rPr>
                <w:rFonts w:hint="eastAsia"/>
                <w:lang w:bidi="en-US"/>
              </w:rPr>
              <w:t>13</w:t>
            </w:r>
          </w:p>
        </w:tc>
        <w:tc>
          <w:tcPr>
            <w:tcW w:w="1642" w:type="dxa"/>
            <w:vMerge w:val="continue"/>
            <w:vAlign w:val="center"/>
          </w:tcPr>
          <w:p>
            <w:pPr>
              <w:pStyle w:val="2001"/>
              <w:rPr>
                <w:lang w:bidi="en-US"/>
              </w:rPr>
            </w:pPr>
          </w:p>
        </w:tc>
        <w:tc>
          <w:tcPr>
            <w:tcW w:w="1530" w:type="dxa"/>
            <w:vAlign w:val="center"/>
          </w:tcPr>
          <w:p>
            <w:pPr>
              <w:pStyle w:val="2001"/>
              <w:rPr>
                <w:lang w:bidi="en-US"/>
              </w:rPr>
            </w:pPr>
            <w:r>
              <w:rPr>
                <w:rFonts w:hint="eastAsia"/>
                <w:lang w:bidi="en-US"/>
              </w:rPr>
              <w:t>0</w:t>
            </w:r>
          </w:p>
        </w:tc>
        <w:tc>
          <w:tcPr>
            <w:tcW w:w="991" w:type="dxa"/>
            <w:vMerge w:val="continue"/>
            <w:vAlign w:val="center"/>
          </w:tcPr>
          <w:p>
            <w:pPr>
              <w:pStyle w:val="2001"/>
              <w:rPr>
                <w:lang w:bidi="en-US"/>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273" w:hRule="atLeast"/>
          <w:jc w:val="center"/>
        </w:trPr>
        <w:tc>
          <w:tcPr>
            <w:tcW w:w="1225" w:type="dxa"/>
            <w:vMerge w:val="continue"/>
            <w:vAlign w:val="center"/>
          </w:tcPr>
          <w:p>
            <w:pPr>
              <w:pStyle w:val="2001"/>
              <w:rPr>
                <w:lang w:bidi="en-US"/>
              </w:rPr>
            </w:pPr>
          </w:p>
        </w:tc>
        <w:tc>
          <w:tcPr>
            <w:tcW w:w="1910" w:type="dxa"/>
            <w:vMerge w:val="continue"/>
            <w:vAlign w:val="center"/>
          </w:tcPr>
          <w:p>
            <w:pPr>
              <w:pStyle w:val="2001"/>
              <w:rPr>
                <w:lang w:bidi="en-US"/>
              </w:rPr>
            </w:pPr>
          </w:p>
        </w:tc>
        <w:tc>
          <w:tcPr>
            <w:tcW w:w="1230" w:type="dxa"/>
            <w:vAlign w:val="center"/>
          </w:tcPr>
          <w:p>
            <w:pPr>
              <w:pStyle w:val="2001"/>
              <w:rPr>
                <w:lang w:bidi="en-US"/>
              </w:rPr>
            </w:pPr>
            <w:r>
              <w:rPr>
                <w:rFonts w:hint="eastAsia"/>
                <w:lang w:bidi="en-US"/>
              </w:rPr>
              <w:t>10</w:t>
            </w:r>
          </w:p>
        </w:tc>
        <w:tc>
          <w:tcPr>
            <w:tcW w:w="1642" w:type="dxa"/>
            <w:vMerge w:val="restart"/>
            <w:vAlign w:val="center"/>
          </w:tcPr>
          <w:p>
            <w:pPr>
              <w:pStyle w:val="2001"/>
              <w:rPr>
                <w:lang w:bidi="en-US"/>
              </w:rPr>
            </w:pPr>
            <w:r>
              <w:rPr>
                <w:rFonts w:hint="eastAsia"/>
                <w:lang w:bidi="en-US"/>
              </w:rPr>
              <w:t>2022年4月</w:t>
            </w:r>
          </w:p>
        </w:tc>
        <w:tc>
          <w:tcPr>
            <w:tcW w:w="1530" w:type="dxa"/>
            <w:vAlign w:val="center"/>
          </w:tcPr>
          <w:p>
            <w:pPr>
              <w:pStyle w:val="2001"/>
              <w:rPr>
                <w:lang w:bidi="en-US"/>
              </w:rPr>
            </w:pPr>
            <w:r>
              <w:rPr>
                <w:rFonts w:hint="eastAsia"/>
                <w:lang w:bidi="en-US"/>
              </w:rPr>
              <w:t>1.09</w:t>
            </w:r>
          </w:p>
        </w:tc>
        <w:tc>
          <w:tcPr>
            <w:tcW w:w="991" w:type="dxa"/>
            <w:vMerge w:val="continue"/>
            <w:vAlign w:val="center"/>
          </w:tcPr>
          <w:p>
            <w:pPr>
              <w:pStyle w:val="2001"/>
              <w:rPr>
                <w:lang w:bidi="en-US"/>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273" w:hRule="atLeast"/>
          <w:jc w:val="center"/>
        </w:trPr>
        <w:tc>
          <w:tcPr>
            <w:tcW w:w="1225" w:type="dxa"/>
            <w:vMerge w:val="continue"/>
            <w:vAlign w:val="center"/>
          </w:tcPr>
          <w:p>
            <w:pPr>
              <w:pStyle w:val="2001"/>
              <w:rPr>
                <w:lang w:bidi="en-US"/>
              </w:rPr>
            </w:pPr>
          </w:p>
        </w:tc>
        <w:tc>
          <w:tcPr>
            <w:tcW w:w="1910" w:type="dxa"/>
            <w:vMerge w:val="continue"/>
            <w:vAlign w:val="center"/>
          </w:tcPr>
          <w:p>
            <w:pPr>
              <w:pStyle w:val="2001"/>
              <w:rPr>
                <w:lang w:bidi="en-US"/>
              </w:rPr>
            </w:pPr>
          </w:p>
        </w:tc>
        <w:tc>
          <w:tcPr>
            <w:tcW w:w="1230" w:type="dxa"/>
            <w:vAlign w:val="center"/>
          </w:tcPr>
          <w:p>
            <w:pPr>
              <w:pStyle w:val="2001"/>
              <w:rPr>
                <w:lang w:bidi="en-US"/>
              </w:rPr>
            </w:pPr>
            <w:r>
              <w:rPr>
                <w:rFonts w:hint="eastAsia"/>
                <w:lang w:bidi="en-US"/>
              </w:rPr>
              <w:t>12</w:t>
            </w:r>
          </w:p>
        </w:tc>
        <w:tc>
          <w:tcPr>
            <w:tcW w:w="1642" w:type="dxa"/>
            <w:vMerge w:val="continue"/>
            <w:vAlign w:val="center"/>
          </w:tcPr>
          <w:p>
            <w:pPr>
              <w:pStyle w:val="2001"/>
              <w:rPr>
                <w:lang w:bidi="en-US"/>
              </w:rPr>
            </w:pPr>
          </w:p>
        </w:tc>
        <w:tc>
          <w:tcPr>
            <w:tcW w:w="1530" w:type="dxa"/>
            <w:vAlign w:val="center"/>
          </w:tcPr>
          <w:p>
            <w:pPr>
              <w:pStyle w:val="2001"/>
              <w:rPr>
                <w:lang w:bidi="en-US"/>
              </w:rPr>
            </w:pPr>
            <w:r>
              <w:rPr>
                <w:rFonts w:hint="eastAsia"/>
                <w:lang w:bidi="en-US"/>
              </w:rPr>
              <w:t>0</w:t>
            </w:r>
          </w:p>
        </w:tc>
        <w:tc>
          <w:tcPr>
            <w:tcW w:w="991" w:type="dxa"/>
            <w:vMerge w:val="continue"/>
            <w:vAlign w:val="center"/>
          </w:tcPr>
          <w:p>
            <w:pPr>
              <w:pStyle w:val="2001"/>
              <w:rPr>
                <w:lang w:bidi="en-US"/>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273" w:hRule="atLeast"/>
          <w:jc w:val="center"/>
        </w:trPr>
        <w:tc>
          <w:tcPr>
            <w:tcW w:w="1225" w:type="dxa"/>
            <w:vMerge w:val="continue"/>
            <w:vAlign w:val="center"/>
          </w:tcPr>
          <w:p>
            <w:pPr>
              <w:pStyle w:val="2001"/>
              <w:rPr>
                <w:lang w:bidi="en-US"/>
              </w:rPr>
            </w:pPr>
          </w:p>
        </w:tc>
        <w:tc>
          <w:tcPr>
            <w:tcW w:w="1910" w:type="dxa"/>
            <w:vMerge w:val="continue"/>
            <w:vAlign w:val="center"/>
          </w:tcPr>
          <w:p>
            <w:pPr>
              <w:pStyle w:val="2001"/>
              <w:rPr>
                <w:lang w:bidi="en-US"/>
              </w:rPr>
            </w:pPr>
          </w:p>
        </w:tc>
        <w:tc>
          <w:tcPr>
            <w:tcW w:w="1230" w:type="dxa"/>
            <w:vAlign w:val="center"/>
          </w:tcPr>
          <w:p>
            <w:pPr>
              <w:pStyle w:val="2001"/>
              <w:rPr>
                <w:lang w:bidi="en-US"/>
              </w:rPr>
            </w:pPr>
            <w:r>
              <w:rPr>
                <w:rFonts w:hint="eastAsia"/>
                <w:lang w:bidi="en-US"/>
              </w:rPr>
              <w:t>17</w:t>
            </w:r>
          </w:p>
        </w:tc>
        <w:tc>
          <w:tcPr>
            <w:tcW w:w="1642" w:type="dxa"/>
            <w:vMerge w:val="continue"/>
            <w:vAlign w:val="center"/>
          </w:tcPr>
          <w:p>
            <w:pPr>
              <w:pStyle w:val="2001"/>
              <w:rPr>
                <w:lang w:bidi="en-US"/>
              </w:rPr>
            </w:pPr>
          </w:p>
        </w:tc>
        <w:tc>
          <w:tcPr>
            <w:tcW w:w="1530" w:type="dxa"/>
            <w:vAlign w:val="center"/>
          </w:tcPr>
          <w:p>
            <w:pPr>
              <w:pStyle w:val="2001"/>
              <w:rPr>
                <w:lang w:bidi="en-US"/>
              </w:rPr>
            </w:pPr>
            <w:r>
              <w:rPr>
                <w:rFonts w:hint="eastAsia"/>
                <w:lang w:bidi="en-US"/>
              </w:rPr>
              <w:t>0</w:t>
            </w:r>
          </w:p>
        </w:tc>
        <w:tc>
          <w:tcPr>
            <w:tcW w:w="991" w:type="dxa"/>
            <w:vMerge w:val="continue"/>
            <w:vAlign w:val="center"/>
          </w:tcPr>
          <w:p>
            <w:pPr>
              <w:pStyle w:val="2001"/>
              <w:rPr>
                <w:lang w:bidi="en-US"/>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135" w:hRule="atLeast"/>
          <w:jc w:val="center"/>
        </w:trPr>
        <w:tc>
          <w:tcPr>
            <w:tcW w:w="1225" w:type="dxa"/>
            <w:vMerge w:val="restart"/>
            <w:vAlign w:val="center"/>
          </w:tcPr>
          <w:p>
            <w:pPr>
              <w:pStyle w:val="2001"/>
              <w:rPr>
                <w:lang w:bidi="en-US"/>
              </w:rPr>
            </w:pPr>
            <w:r>
              <w:rPr>
                <w:lang w:bidi="en-US"/>
              </w:rPr>
              <w:t>游泳</w:t>
            </w:r>
            <w:r>
              <w:rPr>
                <w:rFonts w:hint="eastAsia"/>
                <w:lang w:bidi="en-US"/>
              </w:rPr>
              <w:t>生</w:t>
            </w:r>
            <w:r>
              <w:rPr>
                <w:lang w:bidi="en-US"/>
              </w:rPr>
              <w:t>物</w:t>
            </w:r>
          </w:p>
        </w:tc>
        <w:tc>
          <w:tcPr>
            <w:tcW w:w="1910" w:type="dxa"/>
            <w:vMerge w:val="restart"/>
            <w:vAlign w:val="center"/>
          </w:tcPr>
          <w:p>
            <w:pPr>
              <w:pStyle w:val="2001"/>
              <w:rPr>
                <w:lang w:bidi="en-US"/>
              </w:rPr>
            </w:pPr>
            <w:r>
              <w:rPr>
                <w:lang w:bidi="en-US"/>
              </w:rPr>
              <w:t>密度（t/km</w:t>
            </w:r>
            <w:r>
              <w:rPr>
                <w:vertAlign w:val="superscript"/>
                <w:lang w:bidi="en-US"/>
              </w:rPr>
              <w:t>2</w:t>
            </w:r>
            <w:r>
              <w:rPr>
                <w:lang w:bidi="en-US"/>
              </w:rPr>
              <w:t>）</w:t>
            </w:r>
          </w:p>
        </w:tc>
        <w:tc>
          <w:tcPr>
            <w:tcW w:w="1230" w:type="dxa"/>
            <w:vAlign w:val="center"/>
          </w:tcPr>
          <w:p>
            <w:pPr>
              <w:pStyle w:val="2001"/>
              <w:rPr>
                <w:lang w:bidi="en-US"/>
              </w:rPr>
            </w:pPr>
            <w:r>
              <w:rPr>
                <w:rFonts w:hint="eastAsia"/>
                <w:lang w:bidi="en-US"/>
              </w:rPr>
              <w:t>Y1</w:t>
            </w:r>
          </w:p>
        </w:tc>
        <w:tc>
          <w:tcPr>
            <w:tcW w:w="1642" w:type="dxa"/>
            <w:vMerge w:val="restart"/>
            <w:vAlign w:val="center"/>
          </w:tcPr>
          <w:p>
            <w:pPr>
              <w:pStyle w:val="2001"/>
              <w:rPr>
                <w:lang w:bidi="en-US"/>
              </w:rPr>
            </w:pPr>
            <w:r>
              <w:rPr>
                <w:lang w:bidi="en-US"/>
              </w:rPr>
              <w:t>2021年11月</w:t>
            </w:r>
          </w:p>
        </w:tc>
        <w:tc>
          <w:tcPr>
            <w:tcW w:w="1530" w:type="dxa"/>
            <w:vAlign w:val="center"/>
          </w:tcPr>
          <w:p>
            <w:pPr>
              <w:pStyle w:val="2001"/>
              <w:rPr>
                <w:lang w:bidi="en-US"/>
              </w:rPr>
            </w:pPr>
            <w:r>
              <w:rPr>
                <w:rFonts w:hint="eastAsia"/>
                <w:lang w:bidi="en-US"/>
              </w:rPr>
              <w:t>0.195</w:t>
            </w:r>
          </w:p>
        </w:tc>
        <w:tc>
          <w:tcPr>
            <w:tcW w:w="991" w:type="dxa"/>
            <w:vMerge w:val="restart"/>
            <w:vAlign w:val="center"/>
          </w:tcPr>
          <w:p>
            <w:pPr>
              <w:pStyle w:val="2001"/>
              <w:rPr>
                <w:lang w:bidi="en-US"/>
              </w:rPr>
            </w:pPr>
            <w:r>
              <w:rPr>
                <w:rFonts w:hint="eastAsia"/>
                <w:lang w:bidi="en-US"/>
              </w:rPr>
              <w:t>0.132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135" w:hRule="atLeast"/>
          <w:jc w:val="center"/>
        </w:trPr>
        <w:tc>
          <w:tcPr>
            <w:tcW w:w="1225" w:type="dxa"/>
            <w:vMerge w:val="continue"/>
            <w:vAlign w:val="center"/>
          </w:tcPr>
          <w:p>
            <w:pPr>
              <w:pStyle w:val="2001"/>
              <w:rPr>
                <w:lang w:bidi="en-US"/>
              </w:rPr>
            </w:pPr>
          </w:p>
        </w:tc>
        <w:tc>
          <w:tcPr>
            <w:tcW w:w="1910" w:type="dxa"/>
            <w:vMerge w:val="continue"/>
            <w:vAlign w:val="center"/>
          </w:tcPr>
          <w:p>
            <w:pPr>
              <w:pStyle w:val="2001"/>
              <w:rPr>
                <w:lang w:bidi="en-US"/>
              </w:rPr>
            </w:pPr>
          </w:p>
        </w:tc>
        <w:tc>
          <w:tcPr>
            <w:tcW w:w="1230" w:type="dxa"/>
            <w:vAlign w:val="center"/>
          </w:tcPr>
          <w:p>
            <w:pPr>
              <w:pStyle w:val="2001"/>
              <w:rPr>
                <w:lang w:bidi="en-US"/>
              </w:rPr>
            </w:pPr>
            <w:r>
              <w:rPr>
                <w:rFonts w:hint="eastAsia"/>
                <w:lang w:bidi="en-US"/>
              </w:rPr>
              <w:t>Y4</w:t>
            </w:r>
          </w:p>
        </w:tc>
        <w:tc>
          <w:tcPr>
            <w:tcW w:w="1642" w:type="dxa"/>
            <w:vMerge w:val="continue"/>
            <w:vAlign w:val="center"/>
          </w:tcPr>
          <w:p>
            <w:pPr>
              <w:pStyle w:val="2001"/>
              <w:rPr>
                <w:lang w:bidi="en-US"/>
              </w:rPr>
            </w:pPr>
          </w:p>
        </w:tc>
        <w:tc>
          <w:tcPr>
            <w:tcW w:w="1530" w:type="dxa"/>
            <w:vAlign w:val="center"/>
          </w:tcPr>
          <w:p>
            <w:pPr>
              <w:pStyle w:val="2001"/>
              <w:rPr>
                <w:lang w:bidi="en-US"/>
              </w:rPr>
            </w:pPr>
            <w:r>
              <w:rPr>
                <w:rFonts w:hint="eastAsia"/>
                <w:lang w:bidi="en-US"/>
              </w:rPr>
              <w:t>0.160</w:t>
            </w:r>
          </w:p>
        </w:tc>
        <w:tc>
          <w:tcPr>
            <w:tcW w:w="991" w:type="dxa"/>
            <w:vMerge w:val="continue"/>
            <w:vAlign w:val="center"/>
          </w:tcPr>
          <w:p>
            <w:pPr>
              <w:pStyle w:val="2001"/>
              <w:rPr>
                <w:lang w:bidi="en-US"/>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135" w:hRule="atLeast"/>
          <w:jc w:val="center"/>
        </w:trPr>
        <w:tc>
          <w:tcPr>
            <w:tcW w:w="1225" w:type="dxa"/>
            <w:vMerge w:val="continue"/>
            <w:vAlign w:val="center"/>
          </w:tcPr>
          <w:p>
            <w:pPr>
              <w:pStyle w:val="2001"/>
              <w:rPr>
                <w:lang w:bidi="en-US"/>
              </w:rPr>
            </w:pPr>
          </w:p>
        </w:tc>
        <w:tc>
          <w:tcPr>
            <w:tcW w:w="1910" w:type="dxa"/>
            <w:vMerge w:val="continue"/>
            <w:vAlign w:val="center"/>
          </w:tcPr>
          <w:p>
            <w:pPr>
              <w:pStyle w:val="2001"/>
              <w:rPr>
                <w:lang w:bidi="en-US"/>
              </w:rPr>
            </w:pPr>
          </w:p>
        </w:tc>
        <w:tc>
          <w:tcPr>
            <w:tcW w:w="1230" w:type="dxa"/>
            <w:vAlign w:val="center"/>
          </w:tcPr>
          <w:p>
            <w:pPr>
              <w:pStyle w:val="2001"/>
              <w:rPr>
                <w:lang w:bidi="en-US"/>
              </w:rPr>
            </w:pPr>
            <w:r>
              <w:rPr>
                <w:rFonts w:hint="eastAsia"/>
                <w:lang w:bidi="en-US"/>
              </w:rPr>
              <w:t>Y5</w:t>
            </w:r>
          </w:p>
        </w:tc>
        <w:tc>
          <w:tcPr>
            <w:tcW w:w="1642" w:type="dxa"/>
            <w:vMerge w:val="continue"/>
            <w:vAlign w:val="center"/>
          </w:tcPr>
          <w:p>
            <w:pPr>
              <w:pStyle w:val="2001"/>
              <w:rPr>
                <w:lang w:bidi="en-US"/>
              </w:rPr>
            </w:pPr>
          </w:p>
        </w:tc>
        <w:tc>
          <w:tcPr>
            <w:tcW w:w="1530" w:type="dxa"/>
            <w:vAlign w:val="center"/>
          </w:tcPr>
          <w:p>
            <w:pPr>
              <w:pStyle w:val="2001"/>
              <w:rPr>
                <w:lang w:bidi="en-US"/>
              </w:rPr>
            </w:pPr>
            <w:r>
              <w:rPr>
                <w:rFonts w:hint="eastAsia"/>
                <w:lang w:bidi="en-US"/>
              </w:rPr>
              <w:t>0.113</w:t>
            </w:r>
          </w:p>
        </w:tc>
        <w:tc>
          <w:tcPr>
            <w:tcW w:w="991" w:type="dxa"/>
            <w:vMerge w:val="continue"/>
            <w:vAlign w:val="center"/>
          </w:tcPr>
          <w:p>
            <w:pPr>
              <w:pStyle w:val="2001"/>
              <w:rPr>
                <w:lang w:bidi="en-US"/>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135" w:hRule="atLeast"/>
          <w:jc w:val="center"/>
        </w:trPr>
        <w:tc>
          <w:tcPr>
            <w:tcW w:w="1225" w:type="dxa"/>
            <w:vMerge w:val="continue"/>
            <w:vAlign w:val="center"/>
          </w:tcPr>
          <w:p>
            <w:pPr>
              <w:pStyle w:val="2001"/>
              <w:rPr>
                <w:lang w:bidi="en-US"/>
              </w:rPr>
            </w:pPr>
          </w:p>
        </w:tc>
        <w:tc>
          <w:tcPr>
            <w:tcW w:w="1910" w:type="dxa"/>
            <w:vMerge w:val="continue"/>
            <w:vAlign w:val="center"/>
          </w:tcPr>
          <w:p>
            <w:pPr>
              <w:pStyle w:val="2001"/>
              <w:rPr>
                <w:lang w:bidi="en-US"/>
              </w:rPr>
            </w:pPr>
          </w:p>
        </w:tc>
        <w:tc>
          <w:tcPr>
            <w:tcW w:w="1230" w:type="dxa"/>
            <w:vAlign w:val="center"/>
          </w:tcPr>
          <w:p>
            <w:pPr>
              <w:pStyle w:val="2001"/>
              <w:rPr>
                <w:lang w:bidi="en-US"/>
              </w:rPr>
            </w:pPr>
            <w:r>
              <w:rPr>
                <w:rFonts w:hint="eastAsia"/>
                <w:lang w:bidi="en-US"/>
              </w:rPr>
              <w:t>Y6</w:t>
            </w:r>
          </w:p>
        </w:tc>
        <w:tc>
          <w:tcPr>
            <w:tcW w:w="1642" w:type="dxa"/>
            <w:vMerge w:val="continue"/>
            <w:vAlign w:val="center"/>
          </w:tcPr>
          <w:p>
            <w:pPr>
              <w:pStyle w:val="2001"/>
              <w:rPr>
                <w:lang w:bidi="en-US"/>
              </w:rPr>
            </w:pPr>
          </w:p>
        </w:tc>
        <w:tc>
          <w:tcPr>
            <w:tcW w:w="1530" w:type="dxa"/>
            <w:vAlign w:val="center"/>
          </w:tcPr>
          <w:p>
            <w:pPr>
              <w:pStyle w:val="2001"/>
              <w:rPr>
                <w:lang w:bidi="en-US"/>
              </w:rPr>
            </w:pPr>
            <w:r>
              <w:rPr>
                <w:rFonts w:hint="eastAsia"/>
                <w:lang w:bidi="en-US"/>
              </w:rPr>
              <w:t>0.099</w:t>
            </w:r>
          </w:p>
        </w:tc>
        <w:tc>
          <w:tcPr>
            <w:tcW w:w="991" w:type="dxa"/>
            <w:vMerge w:val="continue"/>
            <w:vAlign w:val="center"/>
          </w:tcPr>
          <w:p>
            <w:pPr>
              <w:pStyle w:val="2001"/>
              <w:rPr>
                <w:lang w:bidi="en-US"/>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135" w:hRule="atLeast"/>
          <w:jc w:val="center"/>
        </w:trPr>
        <w:tc>
          <w:tcPr>
            <w:tcW w:w="1225" w:type="dxa"/>
            <w:vMerge w:val="continue"/>
            <w:vAlign w:val="center"/>
          </w:tcPr>
          <w:p>
            <w:pPr>
              <w:pStyle w:val="2001"/>
              <w:rPr>
                <w:lang w:bidi="en-US"/>
              </w:rPr>
            </w:pPr>
          </w:p>
        </w:tc>
        <w:tc>
          <w:tcPr>
            <w:tcW w:w="1910" w:type="dxa"/>
            <w:vMerge w:val="continue"/>
            <w:vAlign w:val="center"/>
          </w:tcPr>
          <w:p>
            <w:pPr>
              <w:pStyle w:val="2001"/>
              <w:rPr>
                <w:lang w:bidi="en-US"/>
              </w:rPr>
            </w:pPr>
          </w:p>
        </w:tc>
        <w:tc>
          <w:tcPr>
            <w:tcW w:w="1230" w:type="dxa"/>
            <w:vAlign w:val="center"/>
          </w:tcPr>
          <w:p>
            <w:pPr>
              <w:pStyle w:val="2001"/>
              <w:rPr>
                <w:lang w:bidi="en-US"/>
              </w:rPr>
            </w:pPr>
            <w:r>
              <w:rPr>
                <w:rFonts w:hint="eastAsia"/>
                <w:lang w:bidi="en-US"/>
              </w:rPr>
              <w:t>Y7</w:t>
            </w:r>
          </w:p>
        </w:tc>
        <w:tc>
          <w:tcPr>
            <w:tcW w:w="1642" w:type="dxa"/>
            <w:vMerge w:val="continue"/>
            <w:vAlign w:val="center"/>
          </w:tcPr>
          <w:p>
            <w:pPr>
              <w:pStyle w:val="2001"/>
              <w:rPr>
                <w:lang w:bidi="en-US"/>
              </w:rPr>
            </w:pPr>
          </w:p>
        </w:tc>
        <w:tc>
          <w:tcPr>
            <w:tcW w:w="1530" w:type="dxa"/>
            <w:vAlign w:val="center"/>
          </w:tcPr>
          <w:p>
            <w:pPr>
              <w:pStyle w:val="2001"/>
              <w:rPr>
                <w:lang w:bidi="en-US"/>
              </w:rPr>
            </w:pPr>
            <w:r>
              <w:rPr>
                <w:rFonts w:hint="eastAsia"/>
                <w:lang w:bidi="en-US"/>
              </w:rPr>
              <w:t>0.058</w:t>
            </w:r>
          </w:p>
        </w:tc>
        <w:tc>
          <w:tcPr>
            <w:tcW w:w="991" w:type="dxa"/>
            <w:vMerge w:val="continue"/>
            <w:vAlign w:val="center"/>
          </w:tcPr>
          <w:p>
            <w:pPr>
              <w:pStyle w:val="2001"/>
              <w:rPr>
                <w:lang w:bidi="en-US"/>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135" w:hRule="atLeast"/>
          <w:jc w:val="center"/>
        </w:trPr>
        <w:tc>
          <w:tcPr>
            <w:tcW w:w="1225" w:type="dxa"/>
            <w:vMerge w:val="continue"/>
            <w:vAlign w:val="center"/>
          </w:tcPr>
          <w:p>
            <w:pPr>
              <w:pStyle w:val="2001"/>
              <w:rPr>
                <w:lang w:bidi="en-US"/>
              </w:rPr>
            </w:pPr>
          </w:p>
        </w:tc>
        <w:tc>
          <w:tcPr>
            <w:tcW w:w="1910" w:type="dxa"/>
            <w:vMerge w:val="continue"/>
            <w:vAlign w:val="center"/>
          </w:tcPr>
          <w:p>
            <w:pPr>
              <w:pStyle w:val="2001"/>
              <w:rPr>
                <w:lang w:bidi="en-US"/>
              </w:rPr>
            </w:pPr>
          </w:p>
        </w:tc>
        <w:tc>
          <w:tcPr>
            <w:tcW w:w="1230" w:type="dxa"/>
            <w:vAlign w:val="center"/>
          </w:tcPr>
          <w:p>
            <w:pPr>
              <w:pStyle w:val="2001"/>
              <w:rPr>
                <w:lang w:bidi="en-US"/>
              </w:rPr>
            </w:pPr>
            <w:r>
              <w:rPr>
                <w:rFonts w:hint="eastAsia"/>
                <w:lang w:bidi="en-US"/>
              </w:rPr>
              <w:t>Y1</w:t>
            </w:r>
          </w:p>
        </w:tc>
        <w:tc>
          <w:tcPr>
            <w:tcW w:w="1642" w:type="dxa"/>
            <w:vMerge w:val="restart"/>
            <w:vAlign w:val="center"/>
          </w:tcPr>
          <w:p>
            <w:pPr>
              <w:pStyle w:val="2001"/>
              <w:rPr>
                <w:lang w:bidi="en-US"/>
              </w:rPr>
            </w:pPr>
            <w:r>
              <w:rPr>
                <w:rFonts w:hint="eastAsia"/>
                <w:lang w:bidi="en-US"/>
              </w:rPr>
              <w:t>2022年4月</w:t>
            </w:r>
          </w:p>
        </w:tc>
        <w:tc>
          <w:tcPr>
            <w:tcW w:w="1530" w:type="dxa"/>
            <w:vAlign w:val="center"/>
          </w:tcPr>
          <w:p>
            <w:pPr>
              <w:pStyle w:val="2001"/>
              <w:rPr>
                <w:lang w:bidi="en-US"/>
              </w:rPr>
            </w:pPr>
            <w:r>
              <w:rPr>
                <w:rFonts w:hint="eastAsia"/>
                <w:lang w:bidi="en-US"/>
              </w:rPr>
              <w:t>0.142</w:t>
            </w:r>
          </w:p>
        </w:tc>
        <w:tc>
          <w:tcPr>
            <w:tcW w:w="991" w:type="dxa"/>
            <w:vMerge w:val="continue"/>
            <w:vAlign w:val="center"/>
          </w:tcPr>
          <w:p>
            <w:pPr>
              <w:pStyle w:val="2001"/>
              <w:rPr>
                <w:lang w:bidi="en-US"/>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135" w:hRule="atLeast"/>
          <w:jc w:val="center"/>
        </w:trPr>
        <w:tc>
          <w:tcPr>
            <w:tcW w:w="1225" w:type="dxa"/>
            <w:vMerge w:val="continue"/>
            <w:vAlign w:val="center"/>
          </w:tcPr>
          <w:p>
            <w:pPr>
              <w:pStyle w:val="2001"/>
              <w:rPr>
                <w:lang w:bidi="en-US"/>
              </w:rPr>
            </w:pPr>
          </w:p>
        </w:tc>
        <w:tc>
          <w:tcPr>
            <w:tcW w:w="1910" w:type="dxa"/>
            <w:vMerge w:val="continue"/>
            <w:vAlign w:val="center"/>
          </w:tcPr>
          <w:p>
            <w:pPr>
              <w:pStyle w:val="2001"/>
              <w:rPr>
                <w:lang w:bidi="en-US"/>
              </w:rPr>
            </w:pPr>
          </w:p>
        </w:tc>
        <w:tc>
          <w:tcPr>
            <w:tcW w:w="1230" w:type="dxa"/>
            <w:vAlign w:val="center"/>
          </w:tcPr>
          <w:p>
            <w:pPr>
              <w:pStyle w:val="2001"/>
              <w:rPr>
                <w:lang w:bidi="en-US"/>
              </w:rPr>
            </w:pPr>
            <w:r>
              <w:rPr>
                <w:rFonts w:hint="eastAsia"/>
                <w:lang w:bidi="en-US"/>
              </w:rPr>
              <w:t>Y4</w:t>
            </w:r>
          </w:p>
        </w:tc>
        <w:tc>
          <w:tcPr>
            <w:tcW w:w="1642" w:type="dxa"/>
            <w:vMerge w:val="continue"/>
            <w:vAlign w:val="center"/>
          </w:tcPr>
          <w:p>
            <w:pPr>
              <w:pStyle w:val="2001"/>
              <w:rPr>
                <w:lang w:bidi="en-US"/>
              </w:rPr>
            </w:pPr>
          </w:p>
        </w:tc>
        <w:tc>
          <w:tcPr>
            <w:tcW w:w="1530" w:type="dxa"/>
            <w:vAlign w:val="center"/>
          </w:tcPr>
          <w:p>
            <w:pPr>
              <w:pStyle w:val="2001"/>
              <w:rPr>
                <w:lang w:bidi="en-US"/>
              </w:rPr>
            </w:pPr>
            <w:r>
              <w:rPr>
                <w:rFonts w:hint="eastAsia"/>
                <w:lang w:bidi="en-US"/>
              </w:rPr>
              <w:t>0.224</w:t>
            </w:r>
          </w:p>
        </w:tc>
        <w:tc>
          <w:tcPr>
            <w:tcW w:w="991" w:type="dxa"/>
            <w:vMerge w:val="continue"/>
            <w:vAlign w:val="center"/>
          </w:tcPr>
          <w:p>
            <w:pPr>
              <w:pStyle w:val="2001"/>
              <w:rPr>
                <w:lang w:bidi="en-US"/>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135" w:hRule="atLeast"/>
          <w:jc w:val="center"/>
        </w:trPr>
        <w:tc>
          <w:tcPr>
            <w:tcW w:w="1225" w:type="dxa"/>
            <w:vMerge w:val="continue"/>
            <w:vAlign w:val="center"/>
          </w:tcPr>
          <w:p>
            <w:pPr>
              <w:pStyle w:val="2001"/>
              <w:rPr>
                <w:lang w:bidi="en-US"/>
              </w:rPr>
            </w:pPr>
          </w:p>
        </w:tc>
        <w:tc>
          <w:tcPr>
            <w:tcW w:w="1910" w:type="dxa"/>
            <w:vMerge w:val="continue"/>
            <w:vAlign w:val="center"/>
          </w:tcPr>
          <w:p>
            <w:pPr>
              <w:pStyle w:val="2001"/>
              <w:rPr>
                <w:lang w:bidi="en-US"/>
              </w:rPr>
            </w:pPr>
          </w:p>
        </w:tc>
        <w:tc>
          <w:tcPr>
            <w:tcW w:w="1230" w:type="dxa"/>
            <w:vAlign w:val="center"/>
          </w:tcPr>
          <w:p>
            <w:pPr>
              <w:pStyle w:val="2001"/>
              <w:rPr>
                <w:lang w:bidi="en-US"/>
              </w:rPr>
            </w:pPr>
            <w:r>
              <w:rPr>
                <w:rFonts w:hint="eastAsia"/>
                <w:lang w:bidi="en-US"/>
              </w:rPr>
              <w:t>Y5</w:t>
            </w:r>
          </w:p>
        </w:tc>
        <w:tc>
          <w:tcPr>
            <w:tcW w:w="1642" w:type="dxa"/>
            <w:vMerge w:val="continue"/>
            <w:vAlign w:val="center"/>
          </w:tcPr>
          <w:p>
            <w:pPr>
              <w:pStyle w:val="2001"/>
              <w:rPr>
                <w:lang w:bidi="en-US"/>
              </w:rPr>
            </w:pPr>
          </w:p>
        </w:tc>
        <w:tc>
          <w:tcPr>
            <w:tcW w:w="1530" w:type="dxa"/>
            <w:vAlign w:val="center"/>
          </w:tcPr>
          <w:p>
            <w:pPr>
              <w:pStyle w:val="2001"/>
              <w:rPr>
                <w:lang w:bidi="en-US"/>
              </w:rPr>
            </w:pPr>
            <w:r>
              <w:rPr>
                <w:rFonts w:hint="eastAsia"/>
                <w:lang w:bidi="en-US"/>
              </w:rPr>
              <w:t>0.096</w:t>
            </w:r>
          </w:p>
        </w:tc>
        <w:tc>
          <w:tcPr>
            <w:tcW w:w="991" w:type="dxa"/>
            <w:vMerge w:val="continue"/>
            <w:vAlign w:val="center"/>
          </w:tcPr>
          <w:p>
            <w:pPr>
              <w:pStyle w:val="2001"/>
              <w:rPr>
                <w:lang w:bidi="en-US"/>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135" w:hRule="atLeast"/>
          <w:jc w:val="center"/>
        </w:trPr>
        <w:tc>
          <w:tcPr>
            <w:tcW w:w="1225" w:type="dxa"/>
            <w:vMerge w:val="continue"/>
            <w:vAlign w:val="center"/>
          </w:tcPr>
          <w:p>
            <w:pPr>
              <w:pStyle w:val="2001"/>
              <w:rPr>
                <w:lang w:bidi="en-US"/>
              </w:rPr>
            </w:pPr>
          </w:p>
        </w:tc>
        <w:tc>
          <w:tcPr>
            <w:tcW w:w="1910" w:type="dxa"/>
            <w:vMerge w:val="continue"/>
            <w:vAlign w:val="center"/>
          </w:tcPr>
          <w:p>
            <w:pPr>
              <w:pStyle w:val="2001"/>
              <w:rPr>
                <w:lang w:bidi="en-US"/>
              </w:rPr>
            </w:pPr>
          </w:p>
        </w:tc>
        <w:tc>
          <w:tcPr>
            <w:tcW w:w="1230" w:type="dxa"/>
            <w:vAlign w:val="center"/>
          </w:tcPr>
          <w:p>
            <w:pPr>
              <w:pStyle w:val="2001"/>
              <w:rPr>
                <w:lang w:bidi="en-US"/>
              </w:rPr>
            </w:pPr>
            <w:r>
              <w:rPr>
                <w:rFonts w:hint="eastAsia"/>
                <w:lang w:bidi="en-US"/>
              </w:rPr>
              <w:t>Y6</w:t>
            </w:r>
          </w:p>
        </w:tc>
        <w:tc>
          <w:tcPr>
            <w:tcW w:w="1642" w:type="dxa"/>
            <w:vMerge w:val="continue"/>
            <w:vAlign w:val="center"/>
          </w:tcPr>
          <w:p>
            <w:pPr>
              <w:pStyle w:val="2001"/>
              <w:rPr>
                <w:lang w:bidi="en-US"/>
              </w:rPr>
            </w:pPr>
          </w:p>
        </w:tc>
        <w:tc>
          <w:tcPr>
            <w:tcW w:w="1530" w:type="dxa"/>
            <w:vAlign w:val="center"/>
          </w:tcPr>
          <w:p>
            <w:pPr>
              <w:pStyle w:val="2001"/>
              <w:rPr>
                <w:lang w:bidi="en-US"/>
              </w:rPr>
            </w:pPr>
            <w:r>
              <w:rPr>
                <w:rFonts w:hint="eastAsia"/>
                <w:lang w:bidi="en-US"/>
              </w:rPr>
              <w:t>0.118</w:t>
            </w:r>
          </w:p>
        </w:tc>
        <w:tc>
          <w:tcPr>
            <w:tcW w:w="991" w:type="dxa"/>
            <w:vMerge w:val="continue"/>
            <w:vAlign w:val="center"/>
          </w:tcPr>
          <w:p>
            <w:pPr>
              <w:pStyle w:val="2001"/>
              <w:rPr>
                <w:lang w:bidi="en-US"/>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135" w:hRule="atLeast"/>
          <w:jc w:val="center"/>
        </w:trPr>
        <w:tc>
          <w:tcPr>
            <w:tcW w:w="1225" w:type="dxa"/>
            <w:vMerge w:val="continue"/>
            <w:vAlign w:val="center"/>
          </w:tcPr>
          <w:p>
            <w:pPr>
              <w:pStyle w:val="2001"/>
              <w:rPr>
                <w:lang w:bidi="en-US"/>
              </w:rPr>
            </w:pPr>
          </w:p>
        </w:tc>
        <w:tc>
          <w:tcPr>
            <w:tcW w:w="1910" w:type="dxa"/>
            <w:vMerge w:val="continue"/>
            <w:vAlign w:val="center"/>
          </w:tcPr>
          <w:p>
            <w:pPr>
              <w:pStyle w:val="2001"/>
              <w:rPr>
                <w:lang w:bidi="en-US"/>
              </w:rPr>
            </w:pPr>
          </w:p>
        </w:tc>
        <w:tc>
          <w:tcPr>
            <w:tcW w:w="1230" w:type="dxa"/>
            <w:vAlign w:val="center"/>
          </w:tcPr>
          <w:p>
            <w:pPr>
              <w:pStyle w:val="2001"/>
              <w:rPr>
                <w:lang w:bidi="en-US"/>
              </w:rPr>
            </w:pPr>
            <w:r>
              <w:rPr>
                <w:rFonts w:hint="eastAsia"/>
                <w:lang w:bidi="en-US"/>
              </w:rPr>
              <w:t>Y7</w:t>
            </w:r>
          </w:p>
        </w:tc>
        <w:tc>
          <w:tcPr>
            <w:tcW w:w="1642" w:type="dxa"/>
            <w:vMerge w:val="continue"/>
            <w:vAlign w:val="center"/>
          </w:tcPr>
          <w:p>
            <w:pPr>
              <w:pStyle w:val="2001"/>
              <w:rPr>
                <w:lang w:bidi="en-US"/>
              </w:rPr>
            </w:pPr>
          </w:p>
        </w:tc>
        <w:tc>
          <w:tcPr>
            <w:tcW w:w="1530" w:type="dxa"/>
            <w:vAlign w:val="center"/>
          </w:tcPr>
          <w:p>
            <w:pPr>
              <w:pStyle w:val="2001"/>
              <w:rPr>
                <w:lang w:bidi="en-US"/>
              </w:rPr>
            </w:pPr>
            <w:r>
              <w:rPr>
                <w:rFonts w:hint="eastAsia"/>
                <w:lang w:bidi="en-US"/>
              </w:rPr>
              <w:t>0.119</w:t>
            </w:r>
          </w:p>
        </w:tc>
        <w:tc>
          <w:tcPr>
            <w:tcW w:w="991" w:type="dxa"/>
            <w:vMerge w:val="continue"/>
            <w:vAlign w:val="center"/>
          </w:tcPr>
          <w:p>
            <w:pPr>
              <w:pStyle w:val="2001"/>
              <w:rPr>
                <w:lang w:bidi="en-US"/>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267" w:hRule="atLeast"/>
          <w:jc w:val="center"/>
        </w:trPr>
        <w:tc>
          <w:tcPr>
            <w:tcW w:w="1225" w:type="dxa"/>
            <w:vMerge w:val="restart"/>
            <w:vAlign w:val="center"/>
          </w:tcPr>
          <w:p>
            <w:pPr>
              <w:pStyle w:val="2001"/>
              <w:rPr>
                <w:lang w:bidi="en-US"/>
              </w:rPr>
            </w:pPr>
            <w:r>
              <w:rPr>
                <w:lang w:bidi="en-US"/>
              </w:rPr>
              <w:t>浮游动物</w:t>
            </w:r>
          </w:p>
        </w:tc>
        <w:tc>
          <w:tcPr>
            <w:tcW w:w="1910" w:type="dxa"/>
            <w:vMerge w:val="restart"/>
            <w:vAlign w:val="center"/>
          </w:tcPr>
          <w:p>
            <w:pPr>
              <w:pStyle w:val="2001"/>
              <w:rPr>
                <w:lang w:bidi="en-US"/>
              </w:rPr>
            </w:pPr>
            <w:r>
              <w:rPr>
                <w:lang w:bidi="en-US"/>
              </w:rPr>
              <w:t>密度（mg/m</w:t>
            </w:r>
            <w:r>
              <w:rPr>
                <w:vertAlign w:val="superscript"/>
                <w:lang w:bidi="en-US"/>
              </w:rPr>
              <w:t>3</w:t>
            </w:r>
            <w:r>
              <w:rPr>
                <w:lang w:bidi="en-US"/>
              </w:rPr>
              <w:t>）</w:t>
            </w:r>
          </w:p>
        </w:tc>
        <w:tc>
          <w:tcPr>
            <w:tcW w:w="1230" w:type="dxa"/>
            <w:vAlign w:val="center"/>
          </w:tcPr>
          <w:p>
            <w:pPr>
              <w:pStyle w:val="2001"/>
              <w:rPr>
                <w:lang w:bidi="en-US"/>
              </w:rPr>
            </w:pPr>
            <w:r>
              <w:rPr>
                <w:rFonts w:hint="eastAsia"/>
                <w:lang w:bidi="en-US"/>
              </w:rPr>
              <w:t>3</w:t>
            </w:r>
          </w:p>
        </w:tc>
        <w:tc>
          <w:tcPr>
            <w:tcW w:w="1642" w:type="dxa"/>
            <w:vMerge w:val="restart"/>
            <w:vAlign w:val="center"/>
          </w:tcPr>
          <w:p>
            <w:pPr>
              <w:pStyle w:val="2001"/>
              <w:rPr>
                <w:lang w:bidi="en-US"/>
              </w:rPr>
            </w:pPr>
            <w:r>
              <w:rPr>
                <w:lang w:bidi="en-US"/>
              </w:rPr>
              <w:t>2021年11月</w:t>
            </w:r>
          </w:p>
        </w:tc>
        <w:tc>
          <w:tcPr>
            <w:tcW w:w="1530" w:type="dxa"/>
            <w:vAlign w:val="center"/>
          </w:tcPr>
          <w:p>
            <w:pPr>
              <w:pStyle w:val="2001"/>
              <w:rPr>
                <w:lang w:bidi="en-US"/>
              </w:rPr>
            </w:pPr>
            <w:r>
              <w:rPr>
                <w:rFonts w:hint="eastAsia"/>
                <w:lang w:bidi="en-US"/>
              </w:rPr>
              <w:t>824</w:t>
            </w:r>
          </w:p>
        </w:tc>
        <w:tc>
          <w:tcPr>
            <w:tcW w:w="991" w:type="dxa"/>
            <w:vMerge w:val="restart"/>
            <w:vAlign w:val="center"/>
          </w:tcPr>
          <w:p>
            <w:pPr>
              <w:pStyle w:val="2001"/>
              <w:rPr>
                <w:lang w:bidi="en-US"/>
              </w:rPr>
            </w:pPr>
            <w:r>
              <w:rPr>
                <w:rFonts w:hint="eastAsia"/>
                <w:lang w:bidi="en-US"/>
              </w:rPr>
              <w:t>509.5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267" w:hRule="atLeast"/>
          <w:jc w:val="center"/>
        </w:trPr>
        <w:tc>
          <w:tcPr>
            <w:tcW w:w="1225" w:type="dxa"/>
            <w:vMerge w:val="continue"/>
            <w:vAlign w:val="center"/>
          </w:tcPr>
          <w:p>
            <w:pPr>
              <w:pStyle w:val="2001"/>
              <w:rPr>
                <w:lang w:bidi="en-US"/>
              </w:rPr>
            </w:pPr>
          </w:p>
        </w:tc>
        <w:tc>
          <w:tcPr>
            <w:tcW w:w="1910" w:type="dxa"/>
            <w:vMerge w:val="continue"/>
            <w:vAlign w:val="center"/>
          </w:tcPr>
          <w:p>
            <w:pPr>
              <w:pStyle w:val="2001"/>
              <w:rPr>
                <w:lang w:bidi="en-US"/>
              </w:rPr>
            </w:pPr>
          </w:p>
        </w:tc>
        <w:tc>
          <w:tcPr>
            <w:tcW w:w="1230" w:type="dxa"/>
            <w:vAlign w:val="center"/>
          </w:tcPr>
          <w:p>
            <w:pPr>
              <w:pStyle w:val="2001"/>
              <w:rPr>
                <w:lang w:bidi="en-US"/>
              </w:rPr>
            </w:pPr>
            <w:r>
              <w:rPr>
                <w:rFonts w:hint="eastAsia"/>
                <w:lang w:bidi="en-US"/>
              </w:rPr>
              <w:t>11</w:t>
            </w:r>
          </w:p>
        </w:tc>
        <w:tc>
          <w:tcPr>
            <w:tcW w:w="1642" w:type="dxa"/>
            <w:vMerge w:val="continue"/>
            <w:vAlign w:val="center"/>
          </w:tcPr>
          <w:p>
            <w:pPr>
              <w:pStyle w:val="2001"/>
              <w:rPr>
                <w:lang w:bidi="en-US"/>
              </w:rPr>
            </w:pPr>
          </w:p>
        </w:tc>
        <w:tc>
          <w:tcPr>
            <w:tcW w:w="1530" w:type="dxa"/>
            <w:vAlign w:val="center"/>
          </w:tcPr>
          <w:p>
            <w:pPr>
              <w:pStyle w:val="2001"/>
              <w:rPr>
                <w:lang w:bidi="en-US"/>
              </w:rPr>
            </w:pPr>
            <w:r>
              <w:rPr>
                <w:rFonts w:hint="eastAsia"/>
                <w:lang w:bidi="en-US"/>
              </w:rPr>
              <w:t>263</w:t>
            </w:r>
          </w:p>
        </w:tc>
        <w:tc>
          <w:tcPr>
            <w:tcW w:w="991" w:type="dxa"/>
            <w:vMerge w:val="continue"/>
            <w:vAlign w:val="center"/>
          </w:tcPr>
          <w:p>
            <w:pPr>
              <w:pStyle w:val="2001"/>
              <w:rPr>
                <w:lang w:bidi="en-US"/>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267" w:hRule="atLeast"/>
          <w:jc w:val="center"/>
        </w:trPr>
        <w:tc>
          <w:tcPr>
            <w:tcW w:w="1225" w:type="dxa"/>
            <w:vMerge w:val="continue"/>
            <w:vAlign w:val="center"/>
          </w:tcPr>
          <w:p>
            <w:pPr>
              <w:pStyle w:val="2001"/>
              <w:rPr>
                <w:lang w:bidi="en-US"/>
              </w:rPr>
            </w:pPr>
          </w:p>
        </w:tc>
        <w:tc>
          <w:tcPr>
            <w:tcW w:w="1910" w:type="dxa"/>
            <w:vMerge w:val="continue"/>
            <w:vAlign w:val="center"/>
          </w:tcPr>
          <w:p>
            <w:pPr>
              <w:pStyle w:val="2001"/>
              <w:rPr>
                <w:lang w:bidi="en-US"/>
              </w:rPr>
            </w:pPr>
          </w:p>
        </w:tc>
        <w:tc>
          <w:tcPr>
            <w:tcW w:w="1230" w:type="dxa"/>
            <w:vAlign w:val="center"/>
          </w:tcPr>
          <w:p>
            <w:pPr>
              <w:pStyle w:val="2001"/>
              <w:rPr>
                <w:lang w:bidi="en-US"/>
              </w:rPr>
            </w:pPr>
            <w:r>
              <w:rPr>
                <w:rFonts w:hint="eastAsia"/>
                <w:lang w:bidi="en-US"/>
              </w:rPr>
              <w:t>13</w:t>
            </w:r>
          </w:p>
        </w:tc>
        <w:tc>
          <w:tcPr>
            <w:tcW w:w="1642" w:type="dxa"/>
            <w:vMerge w:val="continue"/>
            <w:vAlign w:val="center"/>
          </w:tcPr>
          <w:p>
            <w:pPr>
              <w:pStyle w:val="2001"/>
              <w:rPr>
                <w:lang w:bidi="en-US"/>
              </w:rPr>
            </w:pPr>
          </w:p>
        </w:tc>
        <w:tc>
          <w:tcPr>
            <w:tcW w:w="1530" w:type="dxa"/>
            <w:vAlign w:val="center"/>
          </w:tcPr>
          <w:p>
            <w:pPr>
              <w:pStyle w:val="2001"/>
              <w:rPr>
                <w:lang w:bidi="en-US"/>
              </w:rPr>
            </w:pPr>
            <w:r>
              <w:rPr>
                <w:rFonts w:hint="eastAsia"/>
                <w:lang w:bidi="en-US"/>
              </w:rPr>
              <w:t>1172</w:t>
            </w:r>
          </w:p>
        </w:tc>
        <w:tc>
          <w:tcPr>
            <w:tcW w:w="991" w:type="dxa"/>
            <w:vMerge w:val="continue"/>
            <w:vAlign w:val="center"/>
          </w:tcPr>
          <w:p>
            <w:pPr>
              <w:pStyle w:val="2001"/>
              <w:rPr>
                <w:lang w:bidi="en-US"/>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267" w:hRule="atLeast"/>
          <w:jc w:val="center"/>
        </w:trPr>
        <w:tc>
          <w:tcPr>
            <w:tcW w:w="1225" w:type="dxa"/>
            <w:vMerge w:val="continue"/>
            <w:vAlign w:val="center"/>
          </w:tcPr>
          <w:p>
            <w:pPr>
              <w:pStyle w:val="2001"/>
              <w:rPr>
                <w:lang w:bidi="en-US"/>
              </w:rPr>
            </w:pPr>
          </w:p>
        </w:tc>
        <w:tc>
          <w:tcPr>
            <w:tcW w:w="1910" w:type="dxa"/>
            <w:vMerge w:val="continue"/>
            <w:vAlign w:val="center"/>
          </w:tcPr>
          <w:p>
            <w:pPr>
              <w:pStyle w:val="2001"/>
              <w:rPr>
                <w:lang w:bidi="en-US"/>
              </w:rPr>
            </w:pPr>
          </w:p>
        </w:tc>
        <w:tc>
          <w:tcPr>
            <w:tcW w:w="1230" w:type="dxa"/>
            <w:vAlign w:val="center"/>
          </w:tcPr>
          <w:p>
            <w:pPr>
              <w:pStyle w:val="2001"/>
              <w:rPr>
                <w:lang w:bidi="en-US"/>
              </w:rPr>
            </w:pPr>
            <w:r>
              <w:rPr>
                <w:rFonts w:hint="eastAsia"/>
                <w:lang w:bidi="en-US"/>
              </w:rPr>
              <w:t>10</w:t>
            </w:r>
          </w:p>
        </w:tc>
        <w:tc>
          <w:tcPr>
            <w:tcW w:w="1642" w:type="dxa"/>
            <w:vMerge w:val="restart"/>
            <w:vAlign w:val="center"/>
          </w:tcPr>
          <w:p>
            <w:pPr>
              <w:pStyle w:val="2001"/>
              <w:rPr>
                <w:lang w:bidi="en-US"/>
              </w:rPr>
            </w:pPr>
            <w:r>
              <w:rPr>
                <w:rFonts w:hint="eastAsia"/>
                <w:lang w:bidi="en-US"/>
              </w:rPr>
              <w:t>2022年4月</w:t>
            </w:r>
          </w:p>
        </w:tc>
        <w:tc>
          <w:tcPr>
            <w:tcW w:w="1530" w:type="dxa"/>
            <w:vAlign w:val="center"/>
          </w:tcPr>
          <w:p>
            <w:pPr>
              <w:pStyle w:val="1856"/>
              <w:snapToGrid w:val="0"/>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167</w:t>
            </w:r>
          </w:p>
        </w:tc>
        <w:tc>
          <w:tcPr>
            <w:tcW w:w="991" w:type="dxa"/>
            <w:vMerge w:val="continue"/>
            <w:vAlign w:val="center"/>
          </w:tcPr>
          <w:p>
            <w:pPr>
              <w:pStyle w:val="2001"/>
              <w:rPr>
                <w:lang w:bidi="en-US"/>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267" w:hRule="atLeast"/>
          <w:jc w:val="center"/>
        </w:trPr>
        <w:tc>
          <w:tcPr>
            <w:tcW w:w="1225" w:type="dxa"/>
            <w:vMerge w:val="continue"/>
            <w:vAlign w:val="center"/>
          </w:tcPr>
          <w:p>
            <w:pPr>
              <w:pStyle w:val="2001"/>
              <w:rPr>
                <w:lang w:bidi="en-US"/>
              </w:rPr>
            </w:pPr>
          </w:p>
        </w:tc>
        <w:tc>
          <w:tcPr>
            <w:tcW w:w="1910" w:type="dxa"/>
            <w:vMerge w:val="continue"/>
            <w:vAlign w:val="center"/>
          </w:tcPr>
          <w:p>
            <w:pPr>
              <w:pStyle w:val="2001"/>
              <w:rPr>
                <w:lang w:bidi="en-US"/>
              </w:rPr>
            </w:pPr>
          </w:p>
        </w:tc>
        <w:tc>
          <w:tcPr>
            <w:tcW w:w="1230" w:type="dxa"/>
            <w:vAlign w:val="center"/>
          </w:tcPr>
          <w:p>
            <w:pPr>
              <w:pStyle w:val="2001"/>
              <w:rPr>
                <w:lang w:bidi="en-US"/>
              </w:rPr>
            </w:pPr>
            <w:r>
              <w:rPr>
                <w:rFonts w:hint="eastAsia"/>
                <w:lang w:bidi="en-US"/>
              </w:rPr>
              <w:t>12</w:t>
            </w:r>
          </w:p>
        </w:tc>
        <w:tc>
          <w:tcPr>
            <w:tcW w:w="1642" w:type="dxa"/>
            <w:vMerge w:val="continue"/>
            <w:vAlign w:val="center"/>
          </w:tcPr>
          <w:p>
            <w:pPr>
              <w:pStyle w:val="2001"/>
              <w:rPr>
                <w:lang w:bidi="en-US"/>
              </w:rPr>
            </w:pPr>
          </w:p>
        </w:tc>
        <w:tc>
          <w:tcPr>
            <w:tcW w:w="1530" w:type="dxa"/>
            <w:vAlign w:val="center"/>
          </w:tcPr>
          <w:p>
            <w:pPr>
              <w:pStyle w:val="1856"/>
              <w:snapToGrid w:val="0"/>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246</w:t>
            </w:r>
          </w:p>
        </w:tc>
        <w:tc>
          <w:tcPr>
            <w:tcW w:w="991" w:type="dxa"/>
            <w:vMerge w:val="continue"/>
            <w:vAlign w:val="center"/>
          </w:tcPr>
          <w:p>
            <w:pPr>
              <w:pStyle w:val="2001"/>
              <w:rPr>
                <w:lang w:bidi="en-US"/>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267" w:hRule="atLeast"/>
          <w:jc w:val="center"/>
        </w:trPr>
        <w:tc>
          <w:tcPr>
            <w:tcW w:w="1225" w:type="dxa"/>
            <w:vMerge w:val="continue"/>
            <w:vAlign w:val="center"/>
          </w:tcPr>
          <w:p>
            <w:pPr>
              <w:pStyle w:val="2001"/>
              <w:rPr>
                <w:lang w:bidi="en-US"/>
              </w:rPr>
            </w:pPr>
          </w:p>
        </w:tc>
        <w:tc>
          <w:tcPr>
            <w:tcW w:w="1910" w:type="dxa"/>
            <w:vMerge w:val="continue"/>
            <w:vAlign w:val="center"/>
          </w:tcPr>
          <w:p>
            <w:pPr>
              <w:pStyle w:val="2001"/>
              <w:rPr>
                <w:lang w:bidi="en-US"/>
              </w:rPr>
            </w:pPr>
          </w:p>
        </w:tc>
        <w:tc>
          <w:tcPr>
            <w:tcW w:w="1230" w:type="dxa"/>
            <w:vAlign w:val="center"/>
          </w:tcPr>
          <w:p>
            <w:pPr>
              <w:pStyle w:val="2001"/>
              <w:rPr>
                <w:lang w:bidi="en-US"/>
              </w:rPr>
            </w:pPr>
            <w:r>
              <w:rPr>
                <w:rFonts w:hint="eastAsia"/>
                <w:lang w:bidi="en-US"/>
              </w:rPr>
              <w:t>17</w:t>
            </w:r>
          </w:p>
        </w:tc>
        <w:tc>
          <w:tcPr>
            <w:tcW w:w="1642" w:type="dxa"/>
            <w:vMerge w:val="continue"/>
            <w:vAlign w:val="center"/>
          </w:tcPr>
          <w:p>
            <w:pPr>
              <w:pStyle w:val="2001"/>
              <w:rPr>
                <w:lang w:bidi="en-US"/>
              </w:rPr>
            </w:pPr>
          </w:p>
        </w:tc>
        <w:tc>
          <w:tcPr>
            <w:tcW w:w="1530" w:type="dxa"/>
            <w:vAlign w:val="center"/>
          </w:tcPr>
          <w:p>
            <w:pPr>
              <w:pStyle w:val="2001"/>
              <w:rPr>
                <w:lang w:bidi="en-US"/>
              </w:rPr>
            </w:pPr>
            <w:r>
              <w:t>385</w:t>
            </w:r>
          </w:p>
        </w:tc>
        <w:tc>
          <w:tcPr>
            <w:tcW w:w="991" w:type="dxa"/>
            <w:vMerge w:val="continue"/>
            <w:vAlign w:val="center"/>
          </w:tcPr>
          <w:p>
            <w:pPr>
              <w:pStyle w:val="2001"/>
              <w:rPr>
                <w:lang w:bidi="en-US"/>
              </w:rPr>
            </w:pPr>
          </w:p>
        </w:tc>
      </w:tr>
    </w:tbl>
    <w:p>
      <w:pPr>
        <w:pStyle w:val="6"/>
        <w:rPr>
          <w:color w:val="000000" w:themeColor="text1"/>
          <w14:textFill>
            <w14:solidFill>
              <w14:schemeClr w14:val="tx1"/>
            </w14:solidFill>
          </w14:textFill>
        </w:rPr>
      </w:pPr>
      <w:r>
        <w:rPr>
          <w:rFonts w:hint="eastAsia"/>
          <w:color w:val="000000" w:themeColor="text1"/>
          <w14:textFill>
            <w14:solidFill>
              <w14:schemeClr w14:val="tx1"/>
            </w14:solidFill>
          </w14:textFill>
        </w:rPr>
        <w:t>码头前沿沉箱永久占用对海洋生物资源损害评估</w:t>
      </w:r>
    </w:p>
    <w:p>
      <w:pPr>
        <w:pStyle w:val="283"/>
        <w:rPr>
          <w:color w:val="000000" w:themeColor="text1"/>
          <w14:textFill>
            <w14:solidFill>
              <w14:schemeClr w14:val="tx1"/>
            </w14:solidFill>
          </w14:textFill>
        </w:rPr>
      </w:pPr>
      <w:r>
        <w:rPr>
          <w:color w:val="000000" w:themeColor="text1"/>
          <w14:textFill>
            <w14:solidFill>
              <w14:schemeClr w14:val="tx1"/>
            </w14:solidFill>
          </w14:textFill>
        </w:rPr>
        <w:t>码头结构选用</w:t>
      </w:r>
      <w:r>
        <w:rPr>
          <w:rFonts w:hint="eastAsia"/>
          <w:color w:val="000000" w:themeColor="text1"/>
          <w14:textFill>
            <w14:solidFill>
              <w14:schemeClr w14:val="tx1"/>
            </w14:solidFill>
          </w14:textFill>
        </w:rPr>
        <w:t>重力式</w:t>
      </w:r>
      <w:r>
        <w:rPr>
          <w:color w:val="000000" w:themeColor="text1"/>
          <w14:textFill>
            <w14:solidFill>
              <w14:schemeClr w14:val="tx1"/>
            </w14:solidFill>
          </w14:textFill>
        </w:rPr>
        <w:t>方沉箱结构</w:t>
      </w:r>
      <w:r>
        <w:rPr>
          <w:rFonts w:hint="eastAsia"/>
          <w:color w:val="000000" w:themeColor="text1"/>
          <w14:textFill>
            <w14:solidFill>
              <w14:schemeClr w14:val="tx1"/>
            </w14:solidFill>
          </w14:textFill>
        </w:rPr>
        <w:t>，9号10号泊位扩建工程水工结构</w:t>
      </w:r>
      <w:r>
        <w:rPr>
          <w:color w:val="000000" w:themeColor="text1"/>
          <w14:textFill>
            <w14:solidFill>
              <w14:schemeClr w14:val="tx1"/>
            </w14:solidFill>
          </w14:textFill>
        </w:rPr>
        <w:t>共设</w:t>
      </w:r>
      <w:r>
        <w:rPr>
          <w:rFonts w:hint="eastAsia"/>
          <w:color w:val="000000" w:themeColor="text1"/>
          <w14:textFill>
            <w14:solidFill>
              <w14:schemeClr w14:val="tx1"/>
            </w14:solidFill>
          </w14:textFill>
        </w:rPr>
        <w:t>18</w:t>
      </w:r>
      <w:r>
        <w:rPr>
          <w:color w:val="000000" w:themeColor="text1"/>
          <w14:textFill>
            <w14:solidFill>
              <w14:schemeClr w14:val="tx1"/>
            </w14:solidFill>
          </w14:textFill>
        </w:rPr>
        <w:t>个沉箱，其中码头设置方沉箱</w:t>
      </w:r>
      <w:r>
        <w:rPr>
          <w:rFonts w:hint="eastAsia"/>
          <w:color w:val="000000" w:themeColor="text1"/>
          <w14:textFill>
            <w14:solidFill>
              <w14:schemeClr w14:val="tx1"/>
            </w14:solidFill>
          </w14:textFill>
        </w:rPr>
        <w:t>7个、消浪护岸设置方沉箱11个，码头前沿线沉箱永久占用海域面积为5227.04</w:t>
      </w:r>
      <w:r>
        <w:rPr>
          <w:color w:val="000000" w:themeColor="text1"/>
          <w14:textFill>
            <w14:solidFill>
              <w14:schemeClr w14:val="tx1"/>
            </w14:solidFill>
          </w14:textFill>
        </w:rPr>
        <w:t>m</w:t>
      </w:r>
      <w:r>
        <w:rPr>
          <w:color w:val="000000" w:themeColor="text1"/>
          <w:vertAlign w:val="superscript"/>
          <w14:textFill>
            <w14:solidFill>
              <w14:schemeClr w14:val="tx1"/>
            </w14:solidFill>
          </w14:textFill>
        </w:rPr>
        <w:t>2</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损失量为</w:t>
      </w:r>
      <w:r>
        <w:rPr>
          <w:rFonts w:hint="eastAsia"/>
          <w:color w:val="000000" w:themeColor="text1"/>
          <w14:textFill>
            <w14:solidFill>
              <w14:schemeClr w14:val="tx1"/>
            </w14:solidFill>
          </w14:textFill>
        </w:rPr>
        <w:t>0.53</w:t>
      </w:r>
      <w:r>
        <w:rPr>
          <w:color w:val="000000" w:themeColor="text1"/>
          <w14:textFill>
            <w14:solidFill>
              <w14:schemeClr w14:val="tx1"/>
            </w14:solidFill>
          </w14:textFill>
        </w:rPr>
        <w:t>t，按1.</w:t>
      </w:r>
      <w:r>
        <w:rPr>
          <w:rFonts w:hint="eastAsia"/>
          <w:color w:val="000000" w:themeColor="text1"/>
          <w14:textFill>
            <w14:solidFill>
              <w14:schemeClr w14:val="tx1"/>
            </w14:solidFill>
          </w14:textFill>
        </w:rPr>
        <w:t>88</w:t>
      </w:r>
      <w:r>
        <w:rPr>
          <w:color w:val="000000" w:themeColor="text1"/>
          <w14:textFill>
            <w14:solidFill>
              <w14:schemeClr w14:val="tx1"/>
            </w14:solidFill>
          </w14:textFill>
        </w:rPr>
        <w:t>万元/t计，因此本项目建设对大型底栖生物资源造成的损失经济价值约</w:t>
      </w:r>
      <w:r>
        <w:rPr>
          <w:rFonts w:hint="eastAsia"/>
          <w:color w:val="000000" w:themeColor="text1"/>
          <w14:textFill>
            <w14:solidFill>
              <w14:schemeClr w14:val="tx1"/>
            </w14:solidFill>
          </w14:textFill>
        </w:rPr>
        <w:t>0.99</w:t>
      </w:r>
      <w:r>
        <w:rPr>
          <w:color w:val="000000" w:themeColor="text1"/>
          <w14:textFill>
            <w14:solidFill>
              <w14:schemeClr w14:val="tx1"/>
            </w14:solidFill>
          </w14:textFill>
        </w:rPr>
        <w:t>万元，所需经济补偿（按20年计）费用约</w:t>
      </w:r>
      <w:r>
        <w:rPr>
          <w:rFonts w:hint="eastAsia"/>
          <w:color w:val="000000" w:themeColor="text1"/>
          <w14:textFill>
            <w14:solidFill>
              <w14:schemeClr w14:val="tx1"/>
            </w14:solidFill>
          </w14:textFill>
        </w:rPr>
        <w:t>19.8</w:t>
      </w:r>
      <w:r>
        <w:rPr>
          <w:color w:val="000000" w:themeColor="text1"/>
          <w14:textFill>
            <w14:solidFill>
              <w14:schemeClr w14:val="tx1"/>
            </w14:solidFill>
          </w14:textFill>
        </w:rPr>
        <w:t>万元</w:t>
      </w:r>
      <w:r>
        <w:rPr>
          <w:rFonts w:hint="eastAsia"/>
          <w:color w:val="000000" w:themeColor="text1"/>
          <w14:textFill>
            <w14:solidFill>
              <w14:schemeClr w14:val="tx1"/>
            </w14:solidFill>
          </w14:textFill>
        </w:rPr>
        <w:t>，码头</w:t>
      </w:r>
      <w:r>
        <w:rPr>
          <w:color w:val="000000" w:themeColor="text1"/>
          <w14:textFill>
            <w14:solidFill>
              <w14:schemeClr w14:val="tx1"/>
            </w14:solidFill>
          </w14:textFill>
        </w:rPr>
        <w:t>沉箱</w:t>
      </w:r>
      <w:r>
        <w:rPr>
          <w:rFonts w:hint="eastAsia"/>
          <w:color w:val="000000" w:themeColor="text1"/>
          <w14:textFill>
            <w14:solidFill>
              <w14:schemeClr w14:val="tx1"/>
            </w14:solidFill>
          </w14:textFill>
        </w:rPr>
        <w:t>生物量损失见下表4</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2</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6。</w:t>
      </w:r>
    </w:p>
    <w:p>
      <w:pPr>
        <w:pStyle w:val="384"/>
        <w:ind w:left="0" w:firstLine="503"/>
        <w:rPr>
          <w:rFonts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码头</w:t>
      </w:r>
      <w:r>
        <w:rPr>
          <w:rFonts w:cs="Times New Roman"/>
          <w:color w:val="000000" w:themeColor="text1"/>
          <w14:textFill>
            <w14:solidFill>
              <w14:schemeClr w14:val="tx1"/>
            </w14:solidFill>
          </w14:textFill>
        </w:rPr>
        <w:t>沉箱</w:t>
      </w:r>
      <w:r>
        <w:rPr>
          <w:rFonts w:hint="eastAsia" w:cs="Times New Roman"/>
          <w:color w:val="000000" w:themeColor="text1"/>
          <w14:textFill>
            <w14:solidFill>
              <w14:schemeClr w14:val="tx1"/>
            </w14:solidFill>
          </w14:textFill>
        </w:rPr>
        <w:t>永久占用海域生物资源损失量</w:t>
      </w:r>
    </w:p>
    <w:tbl>
      <w:tblPr>
        <w:tblStyle w:val="89"/>
        <w:tblW w:w="8528" w:type="dxa"/>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705"/>
        <w:gridCol w:w="1705"/>
        <w:gridCol w:w="1706"/>
        <w:gridCol w:w="1706"/>
        <w:gridCol w:w="1706"/>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c>
          <w:tcPr>
            <w:tcW w:w="1705" w:type="dxa"/>
            <w:vAlign w:val="center"/>
          </w:tcPr>
          <w:p>
            <w:pPr>
              <w:pStyle w:val="2001"/>
            </w:pPr>
            <w:r>
              <w:rPr>
                <w:rFonts w:hint="eastAsia"/>
              </w:rPr>
              <w:t>生物类型</w:t>
            </w:r>
          </w:p>
        </w:tc>
        <w:tc>
          <w:tcPr>
            <w:tcW w:w="1705" w:type="dxa"/>
            <w:vAlign w:val="center"/>
          </w:tcPr>
          <w:p>
            <w:pPr>
              <w:pStyle w:val="2001"/>
            </w:pPr>
            <w:r>
              <w:rPr>
                <w:rFonts w:hint="eastAsia"/>
              </w:rPr>
              <w:t>单位密度</w:t>
            </w:r>
          </w:p>
        </w:tc>
        <w:tc>
          <w:tcPr>
            <w:tcW w:w="1706" w:type="dxa"/>
            <w:vAlign w:val="center"/>
          </w:tcPr>
          <w:p>
            <w:pPr>
              <w:pStyle w:val="2001"/>
            </w:pPr>
            <w:r>
              <w:rPr>
                <w:rFonts w:hint="eastAsia"/>
              </w:rPr>
              <w:t>影响面积</w:t>
            </w:r>
          </w:p>
        </w:tc>
        <w:tc>
          <w:tcPr>
            <w:tcW w:w="1706" w:type="dxa"/>
            <w:vAlign w:val="center"/>
          </w:tcPr>
          <w:p>
            <w:pPr>
              <w:pStyle w:val="2001"/>
            </w:pPr>
            <w:r>
              <w:rPr>
                <w:rFonts w:hint="eastAsia"/>
              </w:rPr>
              <w:t>直接损失量</w:t>
            </w:r>
          </w:p>
        </w:tc>
        <w:tc>
          <w:tcPr>
            <w:tcW w:w="1706" w:type="dxa"/>
            <w:vAlign w:val="center"/>
          </w:tcPr>
          <w:p>
            <w:pPr>
              <w:pStyle w:val="2001"/>
            </w:pPr>
            <w:r>
              <w:t>经济补偿</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c>
          <w:tcPr>
            <w:tcW w:w="1705" w:type="dxa"/>
            <w:vAlign w:val="center"/>
          </w:tcPr>
          <w:p>
            <w:pPr>
              <w:pStyle w:val="2001"/>
            </w:pPr>
            <w:r>
              <w:t>底栖生物</w:t>
            </w:r>
          </w:p>
        </w:tc>
        <w:tc>
          <w:tcPr>
            <w:tcW w:w="1705" w:type="dxa"/>
            <w:vAlign w:val="center"/>
          </w:tcPr>
          <w:p>
            <w:pPr>
              <w:pStyle w:val="2001"/>
            </w:pPr>
            <w:r>
              <w:rPr>
                <w:rFonts w:hint="eastAsia"/>
              </w:rPr>
              <w:t>102.15</w:t>
            </w:r>
            <w:r>
              <w:t>g/m</w:t>
            </w:r>
            <w:r>
              <w:rPr>
                <w:vertAlign w:val="superscript"/>
              </w:rPr>
              <w:t>2</w:t>
            </w:r>
          </w:p>
        </w:tc>
        <w:tc>
          <w:tcPr>
            <w:tcW w:w="1706" w:type="dxa"/>
            <w:vAlign w:val="center"/>
          </w:tcPr>
          <w:p>
            <w:pPr>
              <w:pStyle w:val="2001"/>
            </w:pPr>
            <w:r>
              <w:rPr>
                <w:rFonts w:hint="eastAsia"/>
              </w:rPr>
              <w:t>5227.04</w:t>
            </w:r>
            <w:r>
              <w:t>m</w:t>
            </w:r>
            <w:r>
              <w:rPr>
                <w:vertAlign w:val="superscript"/>
              </w:rPr>
              <w:t>2</w:t>
            </w:r>
          </w:p>
        </w:tc>
        <w:tc>
          <w:tcPr>
            <w:tcW w:w="1706" w:type="dxa"/>
            <w:vAlign w:val="center"/>
          </w:tcPr>
          <w:p>
            <w:pPr>
              <w:pStyle w:val="2001"/>
            </w:pPr>
            <w:r>
              <w:rPr>
                <w:rFonts w:hint="eastAsia"/>
              </w:rPr>
              <w:t>0.53t</w:t>
            </w:r>
          </w:p>
        </w:tc>
        <w:tc>
          <w:tcPr>
            <w:tcW w:w="1706" w:type="dxa"/>
            <w:vAlign w:val="center"/>
          </w:tcPr>
          <w:p>
            <w:pPr>
              <w:pStyle w:val="2001"/>
            </w:pPr>
            <w:r>
              <w:rPr>
                <w:rFonts w:hint="eastAsia"/>
              </w:rPr>
              <w:t>19.8万元</w:t>
            </w:r>
          </w:p>
        </w:tc>
      </w:tr>
    </w:tbl>
    <w:p>
      <w:pPr>
        <w:pStyle w:val="6"/>
        <w:rPr>
          <w:color w:val="000000" w:themeColor="text1"/>
          <w14:textFill>
            <w14:solidFill>
              <w14:schemeClr w14:val="tx1"/>
            </w14:solidFill>
          </w14:textFill>
        </w:rPr>
      </w:pPr>
      <w:r>
        <w:rPr>
          <w:rFonts w:hint="eastAsia"/>
          <w:color w:val="000000" w:themeColor="text1"/>
          <w14:textFill>
            <w14:solidFill>
              <w14:schemeClr w14:val="tx1"/>
            </w14:solidFill>
          </w14:textFill>
        </w:rPr>
        <w:t>水域疏浚开挖对底栖生物的损害评估</w:t>
      </w:r>
    </w:p>
    <w:p>
      <w:pPr>
        <w:pStyle w:val="7"/>
      </w:pPr>
      <w:r>
        <w:t>项目开挖疏浚海域主要为底栖生物栖息区域。根据前述调查结果，该海域大型底栖生物平均生</w:t>
      </w:r>
      <w:r>
        <w:rPr>
          <w:rFonts w:hint="eastAsia"/>
        </w:rPr>
        <w:t>物量为</w:t>
      </w:r>
      <w:r>
        <w:t>102.15g/m</w:t>
      </w:r>
      <w:r>
        <w:rPr>
          <w:vertAlign w:val="superscript"/>
        </w:rPr>
        <w:t>2</w:t>
      </w:r>
      <w:r>
        <w:t>。本项目疏浚总面积约</w:t>
      </w:r>
      <w:r>
        <w:rPr>
          <w:rFonts w:hint="eastAsia"/>
        </w:rPr>
        <w:t>248700</w:t>
      </w:r>
      <w:r>
        <w:t>m</w:t>
      </w:r>
      <w:r>
        <w:rPr>
          <w:vertAlign w:val="superscript"/>
        </w:rPr>
        <w:t>2</w:t>
      </w:r>
      <w:r>
        <w:t>，其中有</w:t>
      </w:r>
      <w:r>
        <w:rPr>
          <w:rFonts w:hint="eastAsia"/>
        </w:rPr>
        <w:t>22295</w:t>
      </w:r>
      <w:r>
        <w:t xml:space="preserve"> m</w:t>
      </w:r>
      <w:r>
        <w:rPr>
          <w:vertAlign w:val="superscript"/>
        </w:rPr>
        <w:t>2</w:t>
      </w:r>
      <w:r>
        <w:t>为钦州港东航道宗海范围，水域疏浚开挖补偿计入钦州港东航道扩建工程项目补偿金额，本项目施工补偿疏浚区域总面积</w:t>
      </w:r>
      <w:r>
        <w:rPr>
          <w:rFonts w:hint="eastAsia"/>
        </w:rPr>
        <w:t>226405</w:t>
      </w:r>
      <w:r>
        <w:t xml:space="preserve"> m</w:t>
      </w:r>
      <w:r>
        <w:rPr>
          <w:vertAlign w:val="superscript"/>
        </w:rPr>
        <w:t>2</w:t>
      </w:r>
      <w:r>
        <w:t>。考虑掩埋后一次性全部损失，损失量为</w:t>
      </w:r>
      <w:r>
        <w:rPr>
          <w:rFonts w:hint="eastAsia"/>
        </w:rPr>
        <w:t>23.12</w:t>
      </w:r>
      <w:r>
        <w:t>t，按1.</w:t>
      </w:r>
      <w:r>
        <w:rPr>
          <w:rFonts w:hint="eastAsia"/>
        </w:rPr>
        <w:t>88</w:t>
      </w:r>
      <w:r>
        <w:t>万元/t计，因此本项目建设对大型底栖生物资源造成的损失经济价值约</w:t>
      </w:r>
      <w:r>
        <w:rPr>
          <w:rFonts w:hint="eastAsia"/>
        </w:rPr>
        <w:t>43.46</w:t>
      </w:r>
      <w:r>
        <w:t>万元，所需经济补偿（按3年计）费用约</w:t>
      </w:r>
      <w:r>
        <w:rPr>
          <w:rFonts w:hint="eastAsia"/>
        </w:rPr>
        <w:t>130.38</w:t>
      </w:r>
      <w:r>
        <w:t>万元。</w:t>
      </w:r>
    </w:p>
    <w:p>
      <w:pPr>
        <w:pStyle w:val="6"/>
        <w:rPr>
          <w:color w:val="000000" w:themeColor="text1"/>
          <w14:textFill>
            <w14:solidFill>
              <w14:schemeClr w14:val="tx1"/>
            </w14:solidFill>
          </w14:textFill>
        </w:rPr>
      </w:pPr>
      <w:r>
        <w:rPr>
          <w:rFonts w:hint="eastAsia"/>
          <w:color w:val="000000" w:themeColor="text1"/>
          <w14:textFill>
            <w14:solidFill>
              <w14:schemeClr w14:val="tx1"/>
            </w14:solidFill>
          </w14:textFill>
        </w:rPr>
        <w:t>悬浮物扩散</w:t>
      </w:r>
      <w:r>
        <w:rPr>
          <w:color w:val="000000" w:themeColor="text1"/>
          <w14:textFill>
            <w14:solidFill>
              <w14:schemeClr w14:val="tx1"/>
            </w14:solidFill>
          </w14:textFill>
        </w:rPr>
        <w:t>对海洋生物资源损害评估</w:t>
      </w:r>
    </w:p>
    <w:p>
      <w:pPr>
        <w:pStyle w:val="283"/>
        <w:rPr>
          <w:color w:val="000000" w:themeColor="text1"/>
          <w:lang w:bidi="en-US"/>
          <w14:textFill>
            <w14:solidFill>
              <w14:schemeClr w14:val="tx1"/>
            </w14:solidFill>
          </w14:textFill>
        </w:rPr>
      </w:pPr>
      <w:r>
        <w:rPr>
          <w:color w:val="000000" w:themeColor="text1"/>
          <w:lang w:bidi="en-US"/>
          <w14:textFill>
            <w14:solidFill>
              <w14:schemeClr w14:val="tx1"/>
            </w14:solidFill>
          </w14:textFill>
        </w:rPr>
        <w:t>污染物扩散范围内的海洋生物资源损害评估采用</w:t>
      </w:r>
      <w:r>
        <w:rPr>
          <w:color w:val="000000" w:themeColor="text1"/>
          <w14:textFill>
            <w14:solidFill>
              <w14:schemeClr w14:val="tx1"/>
            </w14:solidFill>
          </w14:textFill>
        </w:rPr>
        <w:t>《建设项目对海洋生物资源影响评价技术规程》（SC/T9110-2007）中，</w:t>
      </w:r>
      <w:r>
        <w:rPr>
          <w:color w:val="000000" w:themeColor="text1"/>
          <w:lang w:bidi="en-US"/>
          <w14:textFill>
            <w14:solidFill>
              <w14:schemeClr w14:val="tx1"/>
            </w14:solidFill>
          </w14:textFill>
        </w:rPr>
        <w:t>一次性损害进行核算。</w:t>
      </w:r>
    </w:p>
    <w:p>
      <w:pPr>
        <w:pStyle w:val="283"/>
        <w:rPr>
          <w:color w:val="000000" w:themeColor="text1"/>
          <w14:textFill>
            <w14:solidFill>
              <w14:schemeClr w14:val="tx1"/>
            </w14:solidFill>
          </w14:textFill>
        </w:rPr>
      </w:pPr>
      <w:r>
        <w:rPr>
          <w:color w:val="000000" w:themeColor="text1"/>
          <w14:textFill>
            <w14:solidFill>
              <w14:schemeClr w14:val="tx1"/>
            </w14:solidFill>
          </w14:textFill>
        </w:rPr>
        <w:t>根据前述项目施工期悬浮物浓度增量包络面积及扩散距离预测结果。施工过程中悬浮泥沙增量超标倍数、超标面积和在各区内类生物损失率如表4.</w:t>
      </w:r>
      <w:r>
        <w:rPr>
          <w:rFonts w:hint="eastAsia"/>
          <w:color w:val="000000" w:themeColor="text1"/>
          <w14:textFill>
            <w14:solidFill>
              <w14:schemeClr w14:val="tx1"/>
            </w14:solidFill>
          </w14:textFill>
        </w:rPr>
        <w:t>2</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7</w:t>
      </w:r>
      <w:r>
        <w:rPr>
          <w:color w:val="000000" w:themeColor="text1"/>
          <w14:textFill>
            <w14:solidFill>
              <w14:schemeClr w14:val="tx1"/>
            </w14:solidFill>
          </w14:textFill>
        </w:rPr>
        <w:t>所示。</w:t>
      </w:r>
    </w:p>
    <w:p>
      <w:pPr>
        <w:pStyle w:val="384"/>
        <w:ind w:left="0" w:firstLine="503"/>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施工期悬浮物对各类生物损失率</w:t>
      </w:r>
    </w:p>
    <w:tbl>
      <w:tblPr>
        <w:tblStyle w:val="88"/>
        <w:tblW w:w="8528" w:type="dxa"/>
        <w:jc w:val="center"/>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672"/>
        <w:gridCol w:w="1237"/>
        <w:gridCol w:w="752"/>
        <w:gridCol w:w="1605"/>
        <w:gridCol w:w="1472"/>
        <w:gridCol w:w="667"/>
        <w:gridCol w:w="1071"/>
        <w:gridCol w:w="1052"/>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235" w:hRule="atLeast"/>
          <w:tblHeader/>
          <w:jc w:val="center"/>
        </w:trPr>
        <w:tc>
          <w:tcPr>
            <w:tcW w:w="672" w:type="dxa"/>
            <w:vMerge w:val="restart"/>
            <w:vAlign w:val="center"/>
          </w:tcPr>
          <w:p>
            <w:pPr>
              <w:pStyle w:val="1856"/>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分区</w:t>
            </w:r>
          </w:p>
        </w:tc>
        <w:tc>
          <w:tcPr>
            <w:tcW w:w="1237" w:type="dxa"/>
            <w:vMerge w:val="restart"/>
            <w:vAlign w:val="center"/>
          </w:tcPr>
          <w:p>
            <w:pPr>
              <w:pStyle w:val="1856"/>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浓度增量</w:t>
            </w:r>
          </w:p>
        </w:tc>
        <w:tc>
          <w:tcPr>
            <w:tcW w:w="752" w:type="dxa"/>
            <w:vMerge w:val="restart"/>
            <w:vAlign w:val="center"/>
          </w:tcPr>
          <w:p>
            <w:pPr>
              <w:pStyle w:val="1856"/>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面积km</w:t>
            </w:r>
            <w:r>
              <w:rPr>
                <w:color w:val="000000" w:themeColor="text1"/>
                <w:sz w:val="21"/>
                <w:szCs w:val="21"/>
                <w:vertAlign w:val="superscript"/>
                <w14:textFill>
                  <w14:solidFill>
                    <w14:schemeClr w14:val="tx1"/>
                  </w14:solidFill>
                </w14:textFill>
              </w:rPr>
              <w:t>2</w:t>
            </w:r>
          </w:p>
        </w:tc>
        <w:tc>
          <w:tcPr>
            <w:tcW w:w="1605" w:type="dxa"/>
            <w:vMerge w:val="restart"/>
            <w:vAlign w:val="center"/>
          </w:tcPr>
          <w:p>
            <w:pPr>
              <w:pStyle w:val="1856"/>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污染物超标倍数（B</w:t>
            </w:r>
            <w:r>
              <w:rPr>
                <w:color w:val="000000" w:themeColor="text1"/>
                <w:sz w:val="21"/>
                <w:szCs w:val="21"/>
                <w:vertAlign w:val="subscript"/>
                <w14:textFill>
                  <w14:solidFill>
                    <w14:schemeClr w14:val="tx1"/>
                  </w14:solidFill>
                </w14:textFill>
              </w:rPr>
              <w:t>i</w:t>
            </w:r>
            <w:r>
              <w:rPr>
                <w:color w:val="000000" w:themeColor="text1"/>
                <w:sz w:val="21"/>
                <w:szCs w:val="21"/>
                <w14:textFill>
                  <w14:solidFill>
                    <w14:schemeClr w14:val="tx1"/>
                  </w14:solidFill>
                </w14:textFill>
              </w:rPr>
              <w:t>）</w:t>
            </w:r>
          </w:p>
        </w:tc>
        <w:tc>
          <w:tcPr>
            <w:tcW w:w="4262" w:type="dxa"/>
            <w:gridSpan w:val="4"/>
            <w:vAlign w:val="center"/>
          </w:tcPr>
          <w:p>
            <w:pPr>
              <w:pStyle w:val="1856"/>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各类生物损失率（%）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62" w:hRule="atLeast"/>
          <w:tblHeader/>
          <w:jc w:val="center"/>
        </w:trPr>
        <w:tc>
          <w:tcPr>
            <w:tcW w:w="672" w:type="dxa"/>
            <w:vMerge w:val="continue"/>
            <w:vAlign w:val="center"/>
          </w:tcPr>
          <w:p>
            <w:pPr>
              <w:pStyle w:val="1856"/>
              <w:ind w:firstLine="0" w:firstLineChars="0"/>
              <w:jc w:val="center"/>
              <w:rPr>
                <w:color w:val="000000" w:themeColor="text1"/>
                <w:sz w:val="21"/>
                <w:szCs w:val="21"/>
                <w14:textFill>
                  <w14:solidFill>
                    <w14:schemeClr w14:val="tx1"/>
                  </w14:solidFill>
                </w14:textFill>
              </w:rPr>
            </w:pPr>
          </w:p>
        </w:tc>
        <w:tc>
          <w:tcPr>
            <w:tcW w:w="1237" w:type="dxa"/>
            <w:vMerge w:val="continue"/>
            <w:vAlign w:val="center"/>
          </w:tcPr>
          <w:p>
            <w:pPr>
              <w:pStyle w:val="1856"/>
              <w:ind w:firstLine="0" w:firstLineChars="0"/>
              <w:jc w:val="center"/>
              <w:rPr>
                <w:color w:val="000000" w:themeColor="text1"/>
                <w:sz w:val="21"/>
                <w:szCs w:val="21"/>
                <w14:textFill>
                  <w14:solidFill>
                    <w14:schemeClr w14:val="tx1"/>
                  </w14:solidFill>
                </w14:textFill>
              </w:rPr>
            </w:pPr>
          </w:p>
        </w:tc>
        <w:tc>
          <w:tcPr>
            <w:tcW w:w="752" w:type="dxa"/>
            <w:vMerge w:val="continue"/>
            <w:vAlign w:val="center"/>
          </w:tcPr>
          <w:p>
            <w:pPr>
              <w:pStyle w:val="1856"/>
              <w:ind w:firstLine="0" w:firstLineChars="0"/>
              <w:jc w:val="center"/>
              <w:rPr>
                <w:color w:val="000000" w:themeColor="text1"/>
                <w:sz w:val="21"/>
                <w:szCs w:val="21"/>
                <w14:textFill>
                  <w14:solidFill>
                    <w14:schemeClr w14:val="tx1"/>
                  </w14:solidFill>
                </w14:textFill>
              </w:rPr>
            </w:pPr>
          </w:p>
        </w:tc>
        <w:tc>
          <w:tcPr>
            <w:tcW w:w="1605" w:type="dxa"/>
            <w:vMerge w:val="continue"/>
            <w:vAlign w:val="center"/>
          </w:tcPr>
          <w:p>
            <w:pPr>
              <w:pStyle w:val="1856"/>
              <w:ind w:firstLine="0" w:firstLineChars="0"/>
              <w:jc w:val="center"/>
              <w:rPr>
                <w:color w:val="000000" w:themeColor="text1"/>
                <w:sz w:val="21"/>
                <w:szCs w:val="21"/>
                <w14:textFill>
                  <w14:solidFill>
                    <w14:schemeClr w14:val="tx1"/>
                  </w14:solidFill>
                </w14:textFill>
              </w:rPr>
            </w:pPr>
          </w:p>
        </w:tc>
        <w:tc>
          <w:tcPr>
            <w:tcW w:w="1472" w:type="dxa"/>
            <w:vAlign w:val="center"/>
          </w:tcPr>
          <w:p>
            <w:pPr>
              <w:pStyle w:val="1856"/>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鱼卵和仔稚鱼</w:t>
            </w:r>
          </w:p>
        </w:tc>
        <w:tc>
          <w:tcPr>
            <w:tcW w:w="667" w:type="dxa"/>
            <w:vAlign w:val="center"/>
          </w:tcPr>
          <w:p>
            <w:pPr>
              <w:pStyle w:val="1856"/>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成体</w:t>
            </w:r>
          </w:p>
        </w:tc>
        <w:tc>
          <w:tcPr>
            <w:tcW w:w="1071" w:type="dxa"/>
            <w:vAlign w:val="center"/>
          </w:tcPr>
          <w:p>
            <w:pPr>
              <w:pStyle w:val="1856"/>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浮游动物</w:t>
            </w:r>
          </w:p>
        </w:tc>
        <w:tc>
          <w:tcPr>
            <w:tcW w:w="1052" w:type="dxa"/>
            <w:vAlign w:val="center"/>
          </w:tcPr>
          <w:p>
            <w:pPr>
              <w:pStyle w:val="1856"/>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浮游植物</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672" w:type="dxa"/>
            <w:vAlign w:val="center"/>
          </w:tcPr>
          <w:p>
            <w:pPr>
              <w:pStyle w:val="1856"/>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I区</w:t>
            </w:r>
          </w:p>
        </w:tc>
        <w:tc>
          <w:tcPr>
            <w:tcW w:w="1237" w:type="dxa"/>
            <w:vAlign w:val="center"/>
          </w:tcPr>
          <w:p>
            <w:pPr>
              <w:pStyle w:val="1856"/>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≤20mg/L</w:t>
            </w:r>
          </w:p>
        </w:tc>
        <w:tc>
          <w:tcPr>
            <w:tcW w:w="752" w:type="dxa"/>
            <w:vAlign w:val="center"/>
          </w:tcPr>
          <w:p>
            <w:pPr>
              <w:pStyle w:val="1856"/>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2.05</w:t>
            </w:r>
          </w:p>
        </w:tc>
        <w:tc>
          <w:tcPr>
            <w:tcW w:w="1605" w:type="dxa"/>
            <w:vAlign w:val="center"/>
          </w:tcPr>
          <w:p>
            <w:pPr>
              <w:pStyle w:val="1856"/>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B</w:t>
            </w:r>
            <w:r>
              <w:rPr>
                <w:color w:val="000000" w:themeColor="text1"/>
                <w:sz w:val="21"/>
                <w:szCs w:val="21"/>
                <w:vertAlign w:val="subscript"/>
                <w14:textFill>
                  <w14:solidFill>
                    <w14:schemeClr w14:val="tx1"/>
                  </w14:solidFill>
                </w14:textFill>
              </w:rPr>
              <w:t>i</w:t>
            </w:r>
            <w:r>
              <w:rPr>
                <w:color w:val="000000" w:themeColor="text1"/>
                <w:sz w:val="21"/>
                <w:szCs w:val="21"/>
                <w14:textFill>
                  <w14:solidFill>
                    <w14:schemeClr w14:val="tx1"/>
                  </w14:solidFill>
                </w14:textFill>
              </w:rPr>
              <w:t>≤1倍</w:t>
            </w:r>
          </w:p>
        </w:tc>
        <w:tc>
          <w:tcPr>
            <w:tcW w:w="1472" w:type="dxa"/>
            <w:vAlign w:val="center"/>
          </w:tcPr>
          <w:p>
            <w:pPr>
              <w:pStyle w:val="1856"/>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5</w:t>
            </w:r>
          </w:p>
        </w:tc>
        <w:tc>
          <w:tcPr>
            <w:tcW w:w="667" w:type="dxa"/>
            <w:vAlign w:val="center"/>
          </w:tcPr>
          <w:p>
            <w:pPr>
              <w:pStyle w:val="1856"/>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w:t>
            </w:r>
          </w:p>
        </w:tc>
        <w:tc>
          <w:tcPr>
            <w:tcW w:w="1071" w:type="dxa"/>
            <w:vAlign w:val="center"/>
          </w:tcPr>
          <w:p>
            <w:pPr>
              <w:pStyle w:val="1856"/>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5</w:t>
            </w:r>
          </w:p>
        </w:tc>
        <w:tc>
          <w:tcPr>
            <w:tcW w:w="1052" w:type="dxa"/>
            <w:vAlign w:val="center"/>
          </w:tcPr>
          <w:p>
            <w:pPr>
              <w:pStyle w:val="1856"/>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672" w:type="dxa"/>
            <w:vAlign w:val="center"/>
          </w:tcPr>
          <w:p>
            <w:pPr>
              <w:pStyle w:val="1856"/>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II区</w:t>
            </w:r>
          </w:p>
        </w:tc>
        <w:tc>
          <w:tcPr>
            <w:tcW w:w="1237" w:type="dxa"/>
            <w:vAlign w:val="center"/>
          </w:tcPr>
          <w:p>
            <w:pPr>
              <w:pStyle w:val="1856"/>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20～50mg/L</w:t>
            </w:r>
          </w:p>
        </w:tc>
        <w:tc>
          <w:tcPr>
            <w:tcW w:w="752" w:type="dxa"/>
            <w:vAlign w:val="center"/>
          </w:tcPr>
          <w:p>
            <w:pPr>
              <w:pStyle w:val="1856"/>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1.15</w:t>
            </w:r>
          </w:p>
        </w:tc>
        <w:tc>
          <w:tcPr>
            <w:tcW w:w="1605" w:type="dxa"/>
            <w:vAlign w:val="center"/>
          </w:tcPr>
          <w:p>
            <w:pPr>
              <w:pStyle w:val="1856"/>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1&lt;B</w:t>
            </w:r>
            <w:r>
              <w:rPr>
                <w:color w:val="000000" w:themeColor="text1"/>
                <w:sz w:val="21"/>
                <w:szCs w:val="21"/>
                <w:vertAlign w:val="subscript"/>
                <w14:textFill>
                  <w14:solidFill>
                    <w14:schemeClr w14:val="tx1"/>
                  </w14:solidFill>
                </w14:textFill>
              </w:rPr>
              <w:t>i</w:t>
            </w:r>
            <w:r>
              <w:rPr>
                <w:color w:val="000000" w:themeColor="text1"/>
                <w:sz w:val="21"/>
                <w:szCs w:val="21"/>
                <w14:textFill>
                  <w14:solidFill>
                    <w14:schemeClr w14:val="tx1"/>
                  </w14:solidFill>
                </w14:textFill>
              </w:rPr>
              <w:t>≤4倍</w:t>
            </w:r>
          </w:p>
        </w:tc>
        <w:tc>
          <w:tcPr>
            <w:tcW w:w="1472" w:type="dxa"/>
            <w:vAlign w:val="center"/>
          </w:tcPr>
          <w:p>
            <w:pPr>
              <w:pStyle w:val="1856"/>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20</w:t>
            </w:r>
          </w:p>
        </w:tc>
        <w:tc>
          <w:tcPr>
            <w:tcW w:w="667" w:type="dxa"/>
            <w:vAlign w:val="center"/>
          </w:tcPr>
          <w:p>
            <w:pPr>
              <w:pStyle w:val="1856"/>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5</w:t>
            </w:r>
          </w:p>
        </w:tc>
        <w:tc>
          <w:tcPr>
            <w:tcW w:w="1071" w:type="dxa"/>
            <w:vAlign w:val="center"/>
          </w:tcPr>
          <w:p>
            <w:pPr>
              <w:pStyle w:val="1856"/>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20</w:t>
            </w:r>
          </w:p>
        </w:tc>
        <w:tc>
          <w:tcPr>
            <w:tcW w:w="1052" w:type="dxa"/>
            <w:vAlign w:val="center"/>
          </w:tcPr>
          <w:p>
            <w:pPr>
              <w:pStyle w:val="1856"/>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20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672" w:type="dxa"/>
            <w:vAlign w:val="center"/>
          </w:tcPr>
          <w:p>
            <w:pPr>
              <w:pStyle w:val="1856"/>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III区</w:t>
            </w:r>
          </w:p>
        </w:tc>
        <w:tc>
          <w:tcPr>
            <w:tcW w:w="1237" w:type="dxa"/>
            <w:vAlign w:val="center"/>
          </w:tcPr>
          <w:p>
            <w:pPr>
              <w:pStyle w:val="1856"/>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50～100mg/L</w:t>
            </w:r>
          </w:p>
        </w:tc>
        <w:tc>
          <w:tcPr>
            <w:tcW w:w="752" w:type="dxa"/>
            <w:vAlign w:val="center"/>
          </w:tcPr>
          <w:p>
            <w:pPr>
              <w:pStyle w:val="1856"/>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0.99</w:t>
            </w:r>
          </w:p>
        </w:tc>
        <w:tc>
          <w:tcPr>
            <w:tcW w:w="1605" w:type="dxa"/>
            <w:vAlign w:val="center"/>
          </w:tcPr>
          <w:p>
            <w:pPr>
              <w:pStyle w:val="1856"/>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4&lt;B</w:t>
            </w:r>
            <w:r>
              <w:rPr>
                <w:color w:val="000000" w:themeColor="text1"/>
                <w:sz w:val="21"/>
                <w:szCs w:val="21"/>
                <w:vertAlign w:val="subscript"/>
                <w14:textFill>
                  <w14:solidFill>
                    <w14:schemeClr w14:val="tx1"/>
                  </w14:solidFill>
                </w14:textFill>
              </w:rPr>
              <w:t>i</w:t>
            </w:r>
            <w:r>
              <w:rPr>
                <w:color w:val="000000" w:themeColor="text1"/>
                <w:sz w:val="21"/>
                <w:szCs w:val="21"/>
                <w14:textFill>
                  <w14:solidFill>
                    <w14:schemeClr w14:val="tx1"/>
                  </w14:solidFill>
                </w14:textFill>
              </w:rPr>
              <w:t>≤9倍</w:t>
            </w:r>
          </w:p>
        </w:tc>
        <w:tc>
          <w:tcPr>
            <w:tcW w:w="1472" w:type="dxa"/>
            <w:vAlign w:val="center"/>
          </w:tcPr>
          <w:p>
            <w:pPr>
              <w:pStyle w:val="1856"/>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40</w:t>
            </w:r>
          </w:p>
        </w:tc>
        <w:tc>
          <w:tcPr>
            <w:tcW w:w="667" w:type="dxa"/>
            <w:vAlign w:val="center"/>
          </w:tcPr>
          <w:p>
            <w:pPr>
              <w:pStyle w:val="1856"/>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15</w:t>
            </w:r>
          </w:p>
        </w:tc>
        <w:tc>
          <w:tcPr>
            <w:tcW w:w="1071" w:type="dxa"/>
            <w:vAlign w:val="center"/>
          </w:tcPr>
          <w:p>
            <w:pPr>
              <w:pStyle w:val="1856"/>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40</w:t>
            </w:r>
          </w:p>
        </w:tc>
        <w:tc>
          <w:tcPr>
            <w:tcW w:w="1052" w:type="dxa"/>
            <w:vAlign w:val="center"/>
          </w:tcPr>
          <w:p>
            <w:pPr>
              <w:pStyle w:val="1856"/>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40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70" w:hRule="atLeast"/>
          <w:jc w:val="center"/>
        </w:trPr>
        <w:tc>
          <w:tcPr>
            <w:tcW w:w="672" w:type="dxa"/>
            <w:vAlign w:val="center"/>
          </w:tcPr>
          <w:p>
            <w:pPr>
              <w:pStyle w:val="1856"/>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IV区</w:t>
            </w:r>
          </w:p>
        </w:tc>
        <w:tc>
          <w:tcPr>
            <w:tcW w:w="1237" w:type="dxa"/>
            <w:vAlign w:val="center"/>
          </w:tcPr>
          <w:p>
            <w:pPr>
              <w:pStyle w:val="1856"/>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≥100mg/L</w:t>
            </w:r>
          </w:p>
        </w:tc>
        <w:tc>
          <w:tcPr>
            <w:tcW w:w="752" w:type="dxa"/>
            <w:vAlign w:val="center"/>
          </w:tcPr>
          <w:p>
            <w:pPr>
              <w:pStyle w:val="1856"/>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0.52</w:t>
            </w:r>
          </w:p>
        </w:tc>
        <w:tc>
          <w:tcPr>
            <w:tcW w:w="1605" w:type="dxa"/>
            <w:vAlign w:val="center"/>
          </w:tcPr>
          <w:p>
            <w:pPr>
              <w:pStyle w:val="1856"/>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B</w:t>
            </w:r>
            <w:r>
              <w:rPr>
                <w:color w:val="000000" w:themeColor="text1"/>
                <w:sz w:val="21"/>
                <w:szCs w:val="21"/>
                <w:vertAlign w:val="subscript"/>
                <w14:textFill>
                  <w14:solidFill>
                    <w14:schemeClr w14:val="tx1"/>
                  </w14:solidFill>
                </w14:textFill>
              </w:rPr>
              <w:t>i</w:t>
            </w:r>
            <w:r>
              <w:rPr>
                <w:color w:val="000000" w:themeColor="text1"/>
                <w:sz w:val="21"/>
                <w:szCs w:val="21"/>
                <w14:textFill>
                  <w14:solidFill>
                    <w14:schemeClr w14:val="tx1"/>
                  </w14:solidFill>
                </w14:textFill>
              </w:rPr>
              <w:t>≥9倍</w:t>
            </w:r>
          </w:p>
        </w:tc>
        <w:tc>
          <w:tcPr>
            <w:tcW w:w="1472" w:type="dxa"/>
            <w:vAlign w:val="center"/>
          </w:tcPr>
          <w:p>
            <w:pPr>
              <w:pStyle w:val="1856"/>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50</w:t>
            </w:r>
          </w:p>
        </w:tc>
        <w:tc>
          <w:tcPr>
            <w:tcW w:w="667" w:type="dxa"/>
            <w:vAlign w:val="center"/>
          </w:tcPr>
          <w:p>
            <w:pPr>
              <w:pStyle w:val="1856"/>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50</w:t>
            </w:r>
          </w:p>
        </w:tc>
        <w:tc>
          <w:tcPr>
            <w:tcW w:w="1071" w:type="dxa"/>
            <w:vAlign w:val="center"/>
          </w:tcPr>
          <w:p>
            <w:pPr>
              <w:pStyle w:val="1856"/>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50</w:t>
            </w:r>
          </w:p>
        </w:tc>
        <w:tc>
          <w:tcPr>
            <w:tcW w:w="1052" w:type="dxa"/>
            <w:vAlign w:val="center"/>
          </w:tcPr>
          <w:p>
            <w:pPr>
              <w:pStyle w:val="1856"/>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50</w:t>
            </w:r>
          </w:p>
        </w:tc>
      </w:tr>
    </w:tbl>
    <w:p>
      <w:pPr>
        <w:pStyle w:val="283"/>
        <w:rPr>
          <w:color w:val="000000" w:themeColor="text1"/>
          <w14:textFill>
            <w14:solidFill>
              <w14:schemeClr w14:val="tx1"/>
            </w14:solidFill>
          </w14:textFill>
        </w:rPr>
      </w:pPr>
      <w:r>
        <w:rPr>
          <w:color w:val="000000" w:themeColor="text1"/>
          <w14:textFill>
            <w14:solidFill>
              <w14:schemeClr w14:val="tx1"/>
            </w14:solidFill>
          </w14:textFill>
        </w:rPr>
        <w:t>施工期悬浮物扩散对各类生物的损失量计算结果见表4.</w:t>
      </w:r>
      <w:r>
        <w:rPr>
          <w:rFonts w:hint="eastAsia"/>
          <w:color w:val="000000" w:themeColor="text1"/>
          <w14:textFill>
            <w14:solidFill>
              <w14:schemeClr w14:val="tx1"/>
            </w14:solidFill>
          </w14:textFill>
        </w:rPr>
        <w:t>2</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8</w:t>
      </w:r>
      <w:r>
        <w:rPr>
          <w:color w:val="000000" w:themeColor="text1"/>
          <w14:textFill>
            <w14:solidFill>
              <w14:schemeClr w14:val="tx1"/>
            </w14:solidFill>
          </w14:textFill>
        </w:rPr>
        <w:t>～表4.2-</w:t>
      </w:r>
      <w:r>
        <w:rPr>
          <w:rFonts w:hint="eastAsia"/>
          <w:color w:val="000000" w:themeColor="text1"/>
          <w14:textFill>
            <w14:solidFill>
              <w14:schemeClr w14:val="tx1"/>
            </w14:solidFill>
          </w14:textFill>
        </w:rPr>
        <w:t>12</w:t>
      </w:r>
      <w:r>
        <w:rPr>
          <w:color w:val="000000" w:themeColor="text1"/>
          <w14:textFill>
            <w14:solidFill>
              <w14:schemeClr w14:val="tx1"/>
            </w14:solidFill>
          </w14:textFill>
        </w:rPr>
        <w:t>。</w:t>
      </w:r>
    </w:p>
    <w:p>
      <w:pPr>
        <w:pStyle w:val="283"/>
        <w:rPr>
          <w:color w:val="000000" w:themeColor="text1"/>
          <w14:textFill>
            <w14:solidFill>
              <w14:schemeClr w14:val="tx1"/>
            </w14:solidFill>
          </w14:textFill>
        </w:rPr>
      </w:pPr>
    </w:p>
    <w:p>
      <w:pPr>
        <w:pStyle w:val="384"/>
        <w:ind w:left="0" w:firstLine="503"/>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悬浮物扩散区域鱼卵损失量估算</w:t>
      </w:r>
    </w:p>
    <w:tbl>
      <w:tblPr>
        <w:tblStyle w:val="88"/>
        <w:tblW w:w="8528" w:type="dxa"/>
        <w:jc w:val="center"/>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081"/>
        <w:gridCol w:w="1339"/>
        <w:gridCol w:w="1371"/>
        <w:gridCol w:w="1358"/>
        <w:gridCol w:w="1371"/>
        <w:gridCol w:w="2008"/>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blHeader/>
          <w:jc w:val="center"/>
        </w:trPr>
        <w:tc>
          <w:tcPr>
            <w:tcW w:w="1081" w:type="dxa"/>
            <w:tcBorders>
              <w:top w:val="single" w:color="auto" w:sz="12" w:space="0"/>
              <w:left w:val="single" w:color="auto" w:sz="12" w:space="0"/>
              <w:bottom w:val="single" w:color="auto" w:sz="4" w:space="0"/>
              <w:right w:val="single" w:color="auto" w:sz="4" w:space="0"/>
            </w:tcBorders>
            <w:vAlign w:val="center"/>
          </w:tcPr>
          <w:p>
            <w:pPr>
              <w:pStyle w:val="1856"/>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生物</w:t>
            </w:r>
          </w:p>
          <w:p>
            <w:pPr>
              <w:pStyle w:val="1856"/>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类型</w:t>
            </w:r>
          </w:p>
        </w:tc>
        <w:tc>
          <w:tcPr>
            <w:tcW w:w="1339" w:type="dxa"/>
            <w:tcBorders>
              <w:top w:val="single" w:color="auto" w:sz="12" w:space="0"/>
              <w:left w:val="single" w:color="auto" w:sz="4" w:space="0"/>
              <w:bottom w:val="single" w:color="auto" w:sz="4" w:space="0"/>
              <w:right w:val="single" w:color="auto" w:sz="4" w:space="0"/>
            </w:tcBorders>
            <w:vAlign w:val="center"/>
          </w:tcPr>
          <w:p>
            <w:pPr>
              <w:pStyle w:val="1856"/>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单位密度</w:t>
            </w:r>
            <w:r>
              <w:rPr>
                <w:i/>
                <w:color w:val="000000" w:themeColor="text1"/>
                <w:sz w:val="21"/>
                <w:szCs w:val="21"/>
                <w14:textFill>
                  <w14:solidFill>
                    <w14:schemeClr w14:val="tx1"/>
                  </w14:solidFill>
                </w14:textFill>
              </w:rPr>
              <w:t>D</w:t>
            </w:r>
            <w:r>
              <w:rPr>
                <w:color w:val="000000" w:themeColor="text1"/>
                <w:sz w:val="21"/>
                <w:szCs w:val="21"/>
                <w:vertAlign w:val="subscript"/>
                <w14:textFill>
                  <w14:solidFill>
                    <w14:schemeClr w14:val="tx1"/>
                  </w14:solidFill>
                </w14:textFill>
              </w:rPr>
              <w:t>ij</w:t>
            </w:r>
          </w:p>
        </w:tc>
        <w:tc>
          <w:tcPr>
            <w:tcW w:w="1371" w:type="dxa"/>
            <w:tcBorders>
              <w:top w:val="single" w:color="auto" w:sz="12" w:space="0"/>
              <w:left w:val="single" w:color="auto" w:sz="4" w:space="0"/>
              <w:bottom w:val="single" w:color="auto" w:sz="4" w:space="0"/>
              <w:right w:val="single" w:color="auto" w:sz="4" w:space="0"/>
            </w:tcBorders>
            <w:vAlign w:val="center"/>
          </w:tcPr>
          <w:p>
            <w:pPr>
              <w:pStyle w:val="1856"/>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影响面积</w:t>
            </w:r>
            <w:r>
              <w:rPr>
                <w:i/>
                <w:color w:val="000000" w:themeColor="text1"/>
                <w:sz w:val="21"/>
                <w:szCs w:val="21"/>
                <w14:textFill>
                  <w14:solidFill>
                    <w14:schemeClr w14:val="tx1"/>
                  </w14:solidFill>
                </w14:textFill>
              </w:rPr>
              <w:t>S</w:t>
            </w:r>
            <w:r>
              <w:rPr>
                <w:color w:val="000000" w:themeColor="text1"/>
                <w:sz w:val="21"/>
                <w:szCs w:val="21"/>
                <w:vertAlign w:val="subscript"/>
                <w14:textFill>
                  <w14:solidFill>
                    <w14:schemeClr w14:val="tx1"/>
                  </w14:solidFill>
                </w14:textFill>
              </w:rPr>
              <w:t>i</w:t>
            </w:r>
          </w:p>
          <w:p>
            <w:pPr>
              <w:pStyle w:val="1856"/>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w:t>
            </w:r>
            <w:r>
              <w:rPr>
                <w:color w:val="000000" w:themeColor="text1"/>
                <w:sz w:val="21"/>
                <w:szCs w:val="21"/>
                <w14:textFill>
                  <w14:solidFill>
                    <w14:schemeClr w14:val="tx1"/>
                  </w14:solidFill>
                </w14:textFill>
              </w:rPr>
              <w:t>km</w:t>
            </w:r>
            <w:r>
              <w:rPr>
                <w:color w:val="000000" w:themeColor="text1"/>
                <w:sz w:val="21"/>
                <w:szCs w:val="21"/>
                <w:vertAlign w:val="superscript"/>
                <w14:textFill>
                  <w14:solidFill>
                    <w14:schemeClr w14:val="tx1"/>
                  </w14:solidFill>
                </w14:textFill>
              </w:rPr>
              <w:t>2</w:t>
            </w:r>
            <w:r>
              <w:rPr>
                <w:rFonts w:hint="eastAsia"/>
                <w:color w:val="000000" w:themeColor="text1"/>
                <w:sz w:val="21"/>
                <w:szCs w:val="21"/>
                <w14:textFill>
                  <w14:solidFill>
                    <w14:schemeClr w14:val="tx1"/>
                  </w14:solidFill>
                </w14:textFill>
              </w:rPr>
              <w:t>）</w:t>
            </w:r>
          </w:p>
        </w:tc>
        <w:tc>
          <w:tcPr>
            <w:tcW w:w="1358" w:type="dxa"/>
            <w:tcBorders>
              <w:top w:val="single" w:color="auto" w:sz="12" w:space="0"/>
              <w:left w:val="single" w:color="auto" w:sz="4" w:space="0"/>
              <w:bottom w:val="single" w:color="auto" w:sz="4" w:space="0"/>
              <w:right w:val="single" w:color="auto" w:sz="4" w:space="0"/>
            </w:tcBorders>
            <w:vAlign w:val="center"/>
          </w:tcPr>
          <w:p>
            <w:pPr>
              <w:pStyle w:val="1856"/>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水深</w:t>
            </w:r>
            <w:r>
              <w:rPr>
                <w:i/>
                <w:color w:val="000000" w:themeColor="text1"/>
                <w:sz w:val="21"/>
                <w:szCs w:val="21"/>
                <w14:textFill>
                  <w14:solidFill>
                    <w14:schemeClr w14:val="tx1"/>
                  </w14:solidFill>
                </w14:textFill>
              </w:rPr>
              <w:t>H</w:t>
            </w:r>
          </w:p>
          <w:p>
            <w:pPr>
              <w:pStyle w:val="1856"/>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w:t>
            </w:r>
            <w:r>
              <w:rPr>
                <w:color w:val="000000" w:themeColor="text1"/>
                <w:sz w:val="21"/>
                <w:szCs w:val="21"/>
                <w14:textFill>
                  <w14:solidFill>
                    <w14:schemeClr w14:val="tx1"/>
                  </w14:solidFill>
                </w14:textFill>
              </w:rPr>
              <w:t>m</w:t>
            </w:r>
            <w:r>
              <w:rPr>
                <w:rFonts w:hint="eastAsia"/>
                <w:color w:val="000000" w:themeColor="text1"/>
                <w:sz w:val="21"/>
                <w:szCs w:val="21"/>
                <w14:textFill>
                  <w14:solidFill>
                    <w14:schemeClr w14:val="tx1"/>
                  </w14:solidFill>
                </w14:textFill>
              </w:rPr>
              <w:t>）</w:t>
            </w:r>
          </w:p>
        </w:tc>
        <w:tc>
          <w:tcPr>
            <w:tcW w:w="1371" w:type="dxa"/>
            <w:tcBorders>
              <w:top w:val="single" w:color="auto" w:sz="12" w:space="0"/>
              <w:left w:val="single" w:color="auto" w:sz="4" w:space="0"/>
              <w:bottom w:val="single" w:color="auto" w:sz="4" w:space="0"/>
              <w:right w:val="single" w:color="auto" w:sz="4" w:space="0"/>
            </w:tcBorders>
            <w:vAlign w:val="center"/>
          </w:tcPr>
          <w:p>
            <w:pPr>
              <w:pStyle w:val="1856"/>
              <w:ind w:firstLine="0" w:firstLineChars="0"/>
              <w:jc w:val="center"/>
              <w:rPr>
                <w:color w:val="000000" w:themeColor="text1"/>
                <w:sz w:val="21"/>
                <w:szCs w:val="21"/>
                <w14:textFill>
                  <w14:solidFill>
                    <w14:schemeClr w14:val="tx1"/>
                  </w14:solidFill>
                </w14:textFill>
              </w:rPr>
            </w:pPr>
            <w:r>
              <w:rPr>
                <w:i/>
                <w:color w:val="000000" w:themeColor="text1"/>
                <w:sz w:val="21"/>
                <w:szCs w:val="21"/>
                <w14:textFill>
                  <w14:solidFill>
                    <w14:schemeClr w14:val="tx1"/>
                  </w14:solidFill>
                </w14:textFill>
              </w:rPr>
              <w:t>K</w:t>
            </w:r>
            <w:r>
              <w:rPr>
                <w:i/>
                <w:color w:val="000000" w:themeColor="text1"/>
                <w:sz w:val="21"/>
                <w:szCs w:val="21"/>
                <w:vertAlign w:val="subscript"/>
                <w14:textFill>
                  <w14:solidFill>
                    <w14:schemeClr w14:val="tx1"/>
                  </w14:solidFill>
                </w14:textFill>
              </w:rPr>
              <w:t>ij</w:t>
            </w:r>
            <w:r>
              <w:rPr>
                <w:rFonts w:hint="eastAsia"/>
                <w:color w:val="000000" w:themeColor="text1"/>
                <w:sz w:val="21"/>
                <w:szCs w:val="21"/>
                <w14:textFill>
                  <w14:solidFill>
                    <w14:schemeClr w14:val="tx1"/>
                  </w14:solidFill>
                </w14:textFill>
              </w:rPr>
              <w:t>损失率</w:t>
            </w:r>
          </w:p>
          <w:p>
            <w:pPr>
              <w:pStyle w:val="1856"/>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w:t>
            </w:r>
            <w:r>
              <w:rPr>
                <w:color w:val="000000" w:themeColor="text1"/>
                <w:sz w:val="21"/>
                <w:szCs w:val="21"/>
                <w14:textFill>
                  <w14:solidFill>
                    <w14:schemeClr w14:val="tx1"/>
                  </w14:solidFill>
                </w14:textFill>
              </w:rPr>
              <w:t>%</w:t>
            </w:r>
            <w:r>
              <w:rPr>
                <w:rFonts w:hint="eastAsia"/>
                <w:color w:val="000000" w:themeColor="text1"/>
                <w:sz w:val="21"/>
                <w:szCs w:val="21"/>
                <w14:textFill>
                  <w14:solidFill>
                    <w14:schemeClr w14:val="tx1"/>
                  </w14:solidFill>
                </w14:textFill>
              </w:rPr>
              <w:t>）</w:t>
            </w:r>
          </w:p>
        </w:tc>
        <w:tc>
          <w:tcPr>
            <w:tcW w:w="2008" w:type="dxa"/>
            <w:tcBorders>
              <w:top w:val="single" w:color="auto" w:sz="12" w:space="0"/>
              <w:left w:val="single" w:color="auto" w:sz="4" w:space="0"/>
              <w:bottom w:val="single" w:color="auto" w:sz="4" w:space="0"/>
              <w:right w:val="single" w:color="auto" w:sz="12" w:space="0"/>
            </w:tcBorders>
            <w:vAlign w:val="center"/>
          </w:tcPr>
          <w:p>
            <w:pPr>
              <w:pStyle w:val="1856"/>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直接损失量（</w:t>
            </w:r>
            <w:r>
              <w:rPr>
                <w:color w:val="000000" w:themeColor="text1"/>
                <w:sz w:val="21"/>
                <w:szCs w:val="21"/>
                <w14:textFill>
                  <w14:solidFill>
                    <w14:schemeClr w14:val="tx1"/>
                  </w14:solidFill>
                </w14:textFill>
              </w:rPr>
              <w:t>×10</w:t>
            </w:r>
            <w:r>
              <w:rPr>
                <w:color w:val="000000" w:themeColor="text1"/>
                <w:sz w:val="21"/>
                <w:szCs w:val="21"/>
                <w:vertAlign w:val="superscript"/>
                <w14:textFill>
                  <w14:solidFill>
                    <w14:schemeClr w14:val="tx1"/>
                  </w14:solidFill>
                </w14:textFill>
              </w:rPr>
              <w:t>6</w:t>
            </w:r>
            <w:r>
              <w:rPr>
                <w:rFonts w:hint="eastAsia"/>
                <w:color w:val="000000" w:themeColor="text1"/>
                <w:sz w:val="21"/>
                <w:szCs w:val="21"/>
                <w14:textFill>
                  <w14:solidFill>
                    <w14:schemeClr w14:val="tx1"/>
                  </w14:solidFill>
                </w14:textFill>
              </w:rPr>
              <w:t>粒）</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081" w:type="dxa"/>
            <w:vMerge w:val="restart"/>
            <w:tcBorders>
              <w:top w:val="single" w:color="auto" w:sz="4" w:space="0"/>
              <w:left w:val="single" w:color="auto" w:sz="12" w:space="0"/>
              <w:bottom w:val="single" w:color="auto" w:sz="4" w:space="0"/>
              <w:right w:val="single" w:color="auto" w:sz="4" w:space="0"/>
            </w:tcBorders>
            <w:noWrap/>
            <w:vAlign w:val="center"/>
          </w:tcPr>
          <w:p>
            <w:pPr>
              <w:pStyle w:val="1856"/>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鱼卵</w:t>
            </w:r>
          </w:p>
        </w:tc>
        <w:tc>
          <w:tcPr>
            <w:tcW w:w="1339" w:type="dxa"/>
            <w:vMerge w:val="restart"/>
            <w:tcBorders>
              <w:top w:val="single" w:color="auto" w:sz="4" w:space="0"/>
              <w:left w:val="single" w:color="auto" w:sz="4" w:space="0"/>
              <w:bottom w:val="single" w:color="auto" w:sz="4" w:space="0"/>
              <w:right w:val="single" w:color="auto" w:sz="4" w:space="0"/>
            </w:tcBorders>
            <w:noWrap/>
            <w:vAlign w:val="center"/>
          </w:tcPr>
          <w:p>
            <w:pPr>
              <w:pStyle w:val="1856"/>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0.113粒</w:t>
            </w:r>
            <w:r>
              <w:rPr>
                <w:color w:val="000000" w:themeColor="text1"/>
                <w:sz w:val="21"/>
                <w:szCs w:val="21"/>
                <w14:textFill>
                  <w14:solidFill>
                    <w14:schemeClr w14:val="tx1"/>
                  </w14:solidFill>
                </w14:textFill>
              </w:rPr>
              <w:t>/m</w:t>
            </w:r>
            <w:r>
              <w:rPr>
                <w:color w:val="000000" w:themeColor="text1"/>
                <w:sz w:val="21"/>
                <w:szCs w:val="21"/>
                <w:vertAlign w:val="superscript"/>
                <w14:textFill>
                  <w14:solidFill>
                    <w14:schemeClr w14:val="tx1"/>
                  </w14:solidFill>
                </w14:textFill>
              </w:rPr>
              <w:t>3</w:t>
            </w:r>
          </w:p>
        </w:tc>
        <w:tc>
          <w:tcPr>
            <w:tcW w:w="1371" w:type="dxa"/>
            <w:tcBorders>
              <w:top w:val="single" w:color="auto" w:sz="4" w:space="0"/>
              <w:left w:val="single" w:color="auto" w:sz="4" w:space="0"/>
              <w:bottom w:val="single" w:color="auto" w:sz="4" w:space="0"/>
              <w:right w:val="single" w:color="auto" w:sz="4" w:space="0"/>
            </w:tcBorders>
            <w:vAlign w:val="center"/>
          </w:tcPr>
          <w:p>
            <w:pPr>
              <w:pStyle w:val="1856"/>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2.05</w:t>
            </w:r>
          </w:p>
        </w:tc>
        <w:tc>
          <w:tcPr>
            <w:tcW w:w="1358" w:type="dxa"/>
            <w:tcBorders>
              <w:top w:val="single" w:color="auto" w:sz="4" w:space="0"/>
              <w:left w:val="single" w:color="auto" w:sz="4" w:space="0"/>
              <w:bottom w:val="single" w:color="auto" w:sz="4" w:space="0"/>
              <w:right w:val="single" w:color="auto" w:sz="4" w:space="0"/>
            </w:tcBorders>
            <w:vAlign w:val="center"/>
          </w:tcPr>
          <w:p>
            <w:pPr>
              <w:pStyle w:val="1856"/>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15</w:t>
            </w:r>
          </w:p>
        </w:tc>
        <w:tc>
          <w:tcPr>
            <w:tcW w:w="1371" w:type="dxa"/>
            <w:tcBorders>
              <w:top w:val="single" w:color="auto" w:sz="4" w:space="0"/>
              <w:left w:val="single" w:color="auto" w:sz="4" w:space="0"/>
              <w:bottom w:val="single" w:color="auto" w:sz="4" w:space="0"/>
              <w:right w:val="single" w:color="auto" w:sz="4" w:space="0"/>
            </w:tcBorders>
            <w:vAlign w:val="center"/>
          </w:tcPr>
          <w:p>
            <w:pPr>
              <w:pStyle w:val="1856"/>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5</w:t>
            </w:r>
          </w:p>
        </w:tc>
        <w:tc>
          <w:tcPr>
            <w:tcW w:w="2008" w:type="dxa"/>
            <w:tcBorders>
              <w:top w:val="single" w:color="auto" w:sz="4" w:space="0"/>
              <w:left w:val="single" w:color="auto" w:sz="4" w:space="0"/>
              <w:bottom w:val="single" w:color="auto" w:sz="4" w:space="0"/>
              <w:right w:val="single" w:color="auto" w:sz="12" w:space="0"/>
            </w:tcBorders>
            <w:vAlign w:val="bottom"/>
          </w:tcPr>
          <w:p>
            <w:pPr>
              <w:pStyle w:val="1856"/>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0.17</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081" w:type="dxa"/>
            <w:vMerge w:val="continue"/>
            <w:tcBorders>
              <w:top w:val="single" w:color="auto" w:sz="4" w:space="0"/>
              <w:left w:val="single" w:color="auto" w:sz="12" w:space="0"/>
              <w:bottom w:val="single" w:color="auto" w:sz="4" w:space="0"/>
              <w:right w:val="single" w:color="auto" w:sz="4" w:space="0"/>
            </w:tcBorders>
            <w:vAlign w:val="center"/>
          </w:tcPr>
          <w:p>
            <w:pPr>
              <w:pStyle w:val="1856"/>
              <w:ind w:firstLine="0" w:firstLineChars="0"/>
              <w:jc w:val="center"/>
              <w:rPr>
                <w:color w:val="000000" w:themeColor="text1"/>
                <w:sz w:val="21"/>
                <w:szCs w:val="21"/>
                <w14:textFill>
                  <w14:solidFill>
                    <w14:schemeClr w14:val="tx1"/>
                  </w14:solidFill>
                </w14:textFill>
              </w:rPr>
            </w:pPr>
          </w:p>
        </w:tc>
        <w:tc>
          <w:tcPr>
            <w:tcW w:w="1339" w:type="dxa"/>
            <w:vMerge w:val="continue"/>
            <w:tcBorders>
              <w:top w:val="single" w:color="auto" w:sz="4" w:space="0"/>
              <w:left w:val="single" w:color="auto" w:sz="4" w:space="0"/>
              <w:bottom w:val="single" w:color="auto" w:sz="4" w:space="0"/>
              <w:right w:val="single" w:color="auto" w:sz="4" w:space="0"/>
            </w:tcBorders>
            <w:vAlign w:val="center"/>
          </w:tcPr>
          <w:p>
            <w:pPr>
              <w:pStyle w:val="1856"/>
              <w:ind w:firstLine="0" w:firstLineChars="0"/>
              <w:jc w:val="center"/>
              <w:rPr>
                <w:color w:val="000000" w:themeColor="text1"/>
                <w:sz w:val="21"/>
                <w:szCs w:val="21"/>
                <w14:textFill>
                  <w14:solidFill>
                    <w14:schemeClr w14:val="tx1"/>
                  </w14:solidFill>
                </w14:textFill>
              </w:rPr>
            </w:pPr>
          </w:p>
        </w:tc>
        <w:tc>
          <w:tcPr>
            <w:tcW w:w="1371" w:type="dxa"/>
            <w:tcBorders>
              <w:top w:val="single" w:color="auto" w:sz="4" w:space="0"/>
              <w:left w:val="single" w:color="auto" w:sz="4" w:space="0"/>
              <w:bottom w:val="single" w:color="auto" w:sz="4" w:space="0"/>
              <w:right w:val="single" w:color="auto" w:sz="4" w:space="0"/>
            </w:tcBorders>
            <w:vAlign w:val="center"/>
          </w:tcPr>
          <w:p>
            <w:pPr>
              <w:pStyle w:val="1856"/>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1.15</w:t>
            </w:r>
          </w:p>
        </w:tc>
        <w:tc>
          <w:tcPr>
            <w:tcW w:w="1358" w:type="dxa"/>
            <w:tcBorders>
              <w:top w:val="single" w:color="auto" w:sz="4" w:space="0"/>
              <w:left w:val="single" w:color="auto" w:sz="4" w:space="0"/>
              <w:bottom w:val="single" w:color="auto" w:sz="4" w:space="0"/>
              <w:right w:val="single" w:color="auto" w:sz="4" w:space="0"/>
            </w:tcBorders>
          </w:tcPr>
          <w:p>
            <w:pPr>
              <w:pStyle w:val="1856"/>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15</w:t>
            </w:r>
          </w:p>
        </w:tc>
        <w:tc>
          <w:tcPr>
            <w:tcW w:w="1371" w:type="dxa"/>
            <w:tcBorders>
              <w:top w:val="single" w:color="auto" w:sz="4" w:space="0"/>
              <w:left w:val="single" w:color="auto" w:sz="4" w:space="0"/>
              <w:bottom w:val="single" w:color="auto" w:sz="4" w:space="0"/>
              <w:right w:val="single" w:color="auto" w:sz="4" w:space="0"/>
            </w:tcBorders>
            <w:vAlign w:val="center"/>
          </w:tcPr>
          <w:p>
            <w:pPr>
              <w:pStyle w:val="1856"/>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20</w:t>
            </w:r>
          </w:p>
        </w:tc>
        <w:tc>
          <w:tcPr>
            <w:tcW w:w="2008" w:type="dxa"/>
            <w:tcBorders>
              <w:top w:val="single" w:color="auto" w:sz="4" w:space="0"/>
              <w:left w:val="single" w:color="auto" w:sz="4" w:space="0"/>
              <w:bottom w:val="single" w:color="auto" w:sz="4" w:space="0"/>
              <w:right w:val="single" w:color="auto" w:sz="12" w:space="0"/>
            </w:tcBorders>
            <w:vAlign w:val="bottom"/>
          </w:tcPr>
          <w:p>
            <w:pPr>
              <w:pStyle w:val="1856"/>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0.39</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081" w:type="dxa"/>
            <w:vMerge w:val="continue"/>
            <w:tcBorders>
              <w:top w:val="single" w:color="auto" w:sz="4" w:space="0"/>
              <w:left w:val="single" w:color="auto" w:sz="12" w:space="0"/>
              <w:bottom w:val="single" w:color="auto" w:sz="4" w:space="0"/>
              <w:right w:val="single" w:color="auto" w:sz="4" w:space="0"/>
            </w:tcBorders>
            <w:vAlign w:val="center"/>
          </w:tcPr>
          <w:p>
            <w:pPr>
              <w:pStyle w:val="1856"/>
              <w:ind w:firstLine="0" w:firstLineChars="0"/>
              <w:jc w:val="center"/>
              <w:rPr>
                <w:color w:val="000000" w:themeColor="text1"/>
                <w:sz w:val="21"/>
                <w:szCs w:val="21"/>
                <w14:textFill>
                  <w14:solidFill>
                    <w14:schemeClr w14:val="tx1"/>
                  </w14:solidFill>
                </w14:textFill>
              </w:rPr>
            </w:pPr>
          </w:p>
        </w:tc>
        <w:tc>
          <w:tcPr>
            <w:tcW w:w="1339" w:type="dxa"/>
            <w:vMerge w:val="continue"/>
            <w:tcBorders>
              <w:top w:val="single" w:color="auto" w:sz="4" w:space="0"/>
              <w:left w:val="single" w:color="auto" w:sz="4" w:space="0"/>
              <w:bottom w:val="single" w:color="auto" w:sz="4" w:space="0"/>
              <w:right w:val="single" w:color="auto" w:sz="4" w:space="0"/>
            </w:tcBorders>
            <w:vAlign w:val="center"/>
          </w:tcPr>
          <w:p>
            <w:pPr>
              <w:pStyle w:val="1856"/>
              <w:ind w:firstLine="0" w:firstLineChars="0"/>
              <w:jc w:val="center"/>
              <w:rPr>
                <w:color w:val="000000" w:themeColor="text1"/>
                <w:sz w:val="21"/>
                <w:szCs w:val="21"/>
                <w14:textFill>
                  <w14:solidFill>
                    <w14:schemeClr w14:val="tx1"/>
                  </w14:solidFill>
                </w14:textFill>
              </w:rPr>
            </w:pPr>
          </w:p>
        </w:tc>
        <w:tc>
          <w:tcPr>
            <w:tcW w:w="1371" w:type="dxa"/>
            <w:tcBorders>
              <w:top w:val="single" w:color="auto" w:sz="4" w:space="0"/>
              <w:left w:val="single" w:color="auto" w:sz="4" w:space="0"/>
              <w:bottom w:val="single" w:color="auto" w:sz="4" w:space="0"/>
              <w:right w:val="single" w:color="auto" w:sz="4" w:space="0"/>
            </w:tcBorders>
            <w:vAlign w:val="center"/>
          </w:tcPr>
          <w:p>
            <w:pPr>
              <w:pStyle w:val="1856"/>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0.99</w:t>
            </w:r>
          </w:p>
        </w:tc>
        <w:tc>
          <w:tcPr>
            <w:tcW w:w="1358" w:type="dxa"/>
            <w:tcBorders>
              <w:top w:val="single" w:color="auto" w:sz="4" w:space="0"/>
              <w:left w:val="single" w:color="auto" w:sz="4" w:space="0"/>
              <w:bottom w:val="single" w:color="auto" w:sz="4" w:space="0"/>
              <w:right w:val="single" w:color="auto" w:sz="4" w:space="0"/>
            </w:tcBorders>
          </w:tcPr>
          <w:p>
            <w:pPr>
              <w:pStyle w:val="1856"/>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15</w:t>
            </w:r>
          </w:p>
        </w:tc>
        <w:tc>
          <w:tcPr>
            <w:tcW w:w="1371" w:type="dxa"/>
            <w:tcBorders>
              <w:top w:val="single" w:color="auto" w:sz="4" w:space="0"/>
              <w:left w:val="single" w:color="auto" w:sz="4" w:space="0"/>
              <w:bottom w:val="single" w:color="auto" w:sz="4" w:space="0"/>
              <w:right w:val="single" w:color="auto" w:sz="4" w:space="0"/>
            </w:tcBorders>
            <w:vAlign w:val="center"/>
          </w:tcPr>
          <w:p>
            <w:pPr>
              <w:pStyle w:val="1856"/>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40</w:t>
            </w:r>
          </w:p>
        </w:tc>
        <w:tc>
          <w:tcPr>
            <w:tcW w:w="2008" w:type="dxa"/>
            <w:tcBorders>
              <w:top w:val="single" w:color="auto" w:sz="4" w:space="0"/>
              <w:left w:val="single" w:color="auto" w:sz="4" w:space="0"/>
              <w:bottom w:val="single" w:color="auto" w:sz="4" w:space="0"/>
              <w:right w:val="single" w:color="auto" w:sz="12" w:space="0"/>
            </w:tcBorders>
            <w:vAlign w:val="bottom"/>
          </w:tcPr>
          <w:p>
            <w:pPr>
              <w:pStyle w:val="1856"/>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0.67</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081" w:type="dxa"/>
            <w:vMerge w:val="continue"/>
            <w:tcBorders>
              <w:top w:val="single" w:color="auto" w:sz="4" w:space="0"/>
              <w:left w:val="single" w:color="auto" w:sz="12" w:space="0"/>
              <w:bottom w:val="single" w:color="auto" w:sz="4" w:space="0"/>
              <w:right w:val="single" w:color="auto" w:sz="4" w:space="0"/>
            </w:tcBorders>
            <w:vAlign w:val="center"/>
          </w:tcPr>
          <w:p>
            <w:pPr>
              <w:pStyle w:val="1856"/>
              <w:ind w:firstLine="0" w:firstLineChars="0"/>
              <w:jc w:val="center"/>
              <w:rPr>
                <w:color w:val="000000" w:themeColor="text1"/>
                <w:sz w:val="21"/>
                <w:szCs w:val="21"/>
                <w14:textFill>
                  <w14:solidFill>
                    <w14:schemeClr w14:val="tx1"/>
                  </w14:solidFill>
                </w14:textFill>
              </w:rPr>
            </w:pPr>
          </w:p>
        </w:tc>
        <w:tc>
          <w:tcPr>
            <w:tcW w:w="1339" w:type="dxa"/>
            <w:vMerge w:val="continue"/>
            <w:tcBorders>
              <w:top w:val="single" w:color="auto" w:sz="4" w:space="0"/>
              <w:left w:val="single" w:color="auto" w:sz="4" w:space="0"/>
              <w:bottom w:val="single" w:color="auto" w:sz="4" w:space="0"/>
              <w:right w:val="single" w:color="auto" w:sz="4" w:space="0"/>
            </w:tcBorders>
            <w:vAlign w:val="center"/>
          </w:tcPr>
          <w:p>
            <w:pPr>
              <w:pStyle w:val="1856"/>
              <w:ind w:firstLine="0" w:firstLineChars="0"/>
              <w:jc w:val="center"/>
              <w:rPr>
                <w:color w:val="000000" w:themeColor="text1"/>
                <w:sz w:val="21"/>
                <w:szCs w:val="21"/>
                <w14:textFill>
                  <w14:solidFill>
                    <w14:schemeClr w14:val="tx1"/>
                  </w14:solidFill>
                </w14:textFill>
              </w:rPr>
            </w:pPr>
          </w:p>
        </w:tc>
        <w:tc>
          <w:tcPr>
            <w:tcW w:w="1371" w:type="dxa"/>
            <w:tcBorders>
              <w:top w:val="single" w:color="auto" w:sz="4" w:space="0"/>
              <w:left w:val="single" w:color="auto" w:sz="4" w:space="0"/>
              <w:bottom w:val="single" w:color="auto" w:sz="4" w:space="0"/>
              <w:right w:val="single" w:color="auto" w:sz="4" w:space="0"/>
            </w:tcBorders>
            <w:vAlign w:val="center"/>
          </w:tcPr>
          <w:p>
            <w:pPr>
              <w:pStyle w:val="1856"/>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0.52</w:t>
            </w:r>
          </w:p>
        </w:tc>
        <w:tc>
          <w:tcPr>
            <w:tcW w:w="1358" w:type="dxa"/>
            <w:tcBorders>
              <w:top w:val="single" w:color="auto" w:sz="4" w:space="0"/>
              <w:left w:val="single" w:color="auto" w:sz="4" w:space="0"/>
              <w:bottom w:val="single" w:color="auto" w:sz="4" w:space="0"/>
              <w:right w:val="single" w:color="auto" w:sz="4" w:space="0"/>
            </w:tcBorders>
          </w:tcPr>
          <w:p>
            <w:pPr>
              <w:pStyle w:val="1856"/>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15</w:t>
            </w:r>
          </w:p>
        </w:tc>
        <w:tc>
          <w:tcPr>
            <w:tcW w:w="1371" w:type="dxa"/>
            <w:tcBorders>
              <w:top w:val="single" w:color="auto" w:sz="4" w:space="0"/>
              <w:left w:val="single" w:color="auto" w:sz="4" w:space="0"/>
              <w:bottom w:val="single" w:color="auto" w:sz="4" w:space="0"/>
              <w:right w:val="single" w:color="auto" w:sz="4" w:space="0"/>
            </w:tcBorders>
            <w:vAlign w:val="center"/>
          </w:tcPr>
          <w:p>
            <w:pPr>
              <w:pStyle w:val="1856"/>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50</w:t>
            </w:r>
          </w:p>
        </w:tc>
        <w:tc>
          <w:tcPr>
            <w:tcW w:w="2008" w:type="dxa"/>
            <w:tcBorders>
              <w:top w:val="single" w:color="auto" w:sz="4" w:space="0"/>
              <w:left w:val="single" w:color="auto" w:sz="4" w:space="0"/>
              <w:bottom w:val="single" w:color="auto" w:sz="4" w:space="0"/>
              <w:right w:val="single" w:color="auto" w:sz="12" w:space="0"/>
            </w:tcBorders>
            <w:vAlign w:val="bottom"/>
          </w:tcPr>
          <w:p>
            <w:pPr>
              <w:pStyle w:val="1856"/>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0.44</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081" w:type="dxa"/>
            <w:tcBorders>
              <w:top w:val="single" w:color="auto" w:sz="4" w:space="0"/>
              <w:left w:val="single" w:color="auto" w:sz="12" w:space="0"/>
              <w:bottom w:val="single" w:color="auto" w:sz="12" w:space="0"/>
              <w:right w:val="single" w:color="auto" w:sz="4" w:space="0"/>
            </w:tcBorders>
            <w:vAlign w:val="center"/>
          </w:tcPr>
          <w:p>
            <w:pPr>
              <w:pStyle w:val="1856"/>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小计</w:t>
            </w:r>
          </w:p>
        </w:tc>
        <w:tc>
          <w:tcPr>
            <w:tcW w:w="5439" w:type="dxa"/>
            <w:gridSpan w:val="4"/>
            <w:tcBorders>
              <w:top w:val="single" w:color="auto" w:sz="4" w:space="0"/>
              <w:left w:val="single" w:color="auto" w:sz="4" w:space="0"/>
              <w:bottom w:val="single" w:color="auto" w:sz="12" w:space="0"/>
              <w:right w:val="single" w:color="auto" w:sz="4" w:space="0"/>
            </w:tcBorders>
            <w:vAlign w:val="center"/>
          </w:tcPr>
          <w:p>
            <w:pPr>
              <w:pStyle w:val="1856"/>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w:t>
            </w:r>
          </w:p>
        </w:tc>
        <w:tc>
          <w:tcPr>
            <w:tcW w:w="2008" w:type="dxa"/>
            <w:tcBorders>
              <w:top w:val="single" w:color="auto" w:sz="4" w:space="0"/>
              <w:left w:val="single" w:color="auto" w:sz="4" w:space="0"/>
              <w:bottom w:val="single" w:color="auto" w:sz="12" w:space="0"/>
              <w:right w:val="single" w:color="auto" w:sz="12" w:space="0"/>
            </w:tcBorders>
            <w:vAlign w:val="center"/>
          </w:tcPr>
          <w:p>
            <w:pPr>
              <w:pStyle w:val="1856"/>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1.68</w:t>
            </w:r>
          </w:p>
        </w:tc>
      </w:tr>
    </w:tbl>
    <w:p>
      <w:pPr>
        <w:pStyle w:val="384"/>
        <w:ind w:left="0" w:firstLine="503"/>
        <w:rPr>
          <w:rFonts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悬浮物扩散区域仔鱼损失量估算</w:t>
      </w:r>
    </w:p>
    <w:tbl>
      <w:tblPr>
        <w:tblStyle w:val="88"/>
        <w:tblW w:w="8528" w:type="dxa"/>
        <w:jc w:val="center"/>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321"/>
        <w:gridCol w:w="1603"/>
        <w:gridCol w:w="1697"/>
        <w:gridCol w:w="1196"/>
        <w:gridCol w:w="1196"/>
        <w:gridCol w:w="1515"/>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321" w:type="dxa"/>
            <w:tcBorders>
              <w:top w:val="single" w:color="auto" w:sz="12" w:space="0"/>
              <w:left w:val="single" w:color="auto" w:sz="12" w:space="0"/>
              <w:bottom w:val="single" w:color="auto" w:sz="4" w:space="0"/>
              <w:right w:val="single" w:color="auto" w:sz="4" w:space="0"/>
            </w:tcBorders>
            <w:noWrap/>
            <w:vAlign w:val="center"/>
          </w:tcPr>
          <w:p>
            <w:pPr>
              <w:autoSpaceDE w:val="0"/>
              <w:autoSpaceDN w:val="0"/>
              <w:adjustRightInd w:val="0"/>
              <w:snapToGrid w:val="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生物类型</w:t>
            </w:r>
          </w:p>
        </w:tc>
        <w:tc>
          <w:tcPr>
            <w:tcW w:w="1603" w:type="dxa"/>
            <w:tcBorders>
              <w:top w:val="single" w:color="auto" w:sz="12" w:space="0"/>
              <w:left w:val="single" w:color="auto" w:sz="4" w:space="0"/>
              <w:bottom w:val="single" w:color="auto" w:sz="4" w:space="0"/>
              <w:right w:val="single" w:color="auto" w:sz="4" w:space="0"/>
            </w:tcBorders>
            <w:noWrap/>
            <w:vAlign w:val="center"/>
          </w:tcPr>
          <w:p>
            <w:pPr>
              <w:autoSpaceDE w:val="0"/>
              <w:autoSpaceDN w:val="0"/>
              <w:adjustRightInd w:val="0"/>
              <w:snapToGrid w:val="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单位密度</w:t>
            </w:r>
            <w:r>
              <w:rPr>
                <w:i/>
                <w:color w:val="000000" w:themeColor="text1"/>
                <w:kern w:val="0"/>
                <w:sz w:val="21"/>
                <w:szCs w:val="21"/>
                <w14:textFill>
                  <w14:solidFill>
                    <w14:schemeClr w14:val="tx1"/>
                  </w14:solidFill>
                </w14:textFill>
              </w:rPr>
              <w:t>D</w:t>
            </w:r>
            <w:r>
              <w:rPr>
                <w:i/>
                <w:color w:val="000000" w:themeColor="text1"/>
                <w:kern w:val="0"/>
                <w:sz w:val="21"/>
                <w:szCs w:val="21"/>
                <w:vertAlign w:val="subscript"/>
                <w14:textFill>
                  <w14:solidFill>
                    <w14:schemeClr w14:val="tx1"/>
                  </w14:solidFill>
                </w14:textFill>
              </w:rPr>
              <w:t>ij</w:t>
            </w:r>
          </w:p>
        </w:tc>
        <w:tc>
          <w:tcPr>
            <w:tcW w:w="1697" w:type="dxa"/>
            <w:tcBorders>
              <w:top w:val="single" w:color="auto" w:sz="12" w:space="0"/>
              <w:left w:val="single" w:color="auto" w:sz="4" w:space="0"/>
              <w:bottom w:val="single" w:color="auto" w:sz="4" w:space="0"/>
              <w:right w:val="single" w:color="auto" w:sz="4" w:space="0"/>
            </w:tcBorders>
            <w:vAlign w:val="center"/>
          </w:tcPr>
          <w:p>
            <w:pPr>
              <w:widowControl/>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影响面积</w:t>
            </w:r>
            <w:r>
              <w:rPr>
                <w:i/>
                <w:color w:val="000000" w:themeColor="text1"/>
                <w:kern w:val="0"/>
                <w:sz w:val="21"/>
                <w:szCs w:val="21"/>
                <w14:textFill>
                  <w14:solidFill>
                    <w14:schemeClr w14:val="tx1"/>
                  </w14:solidFill>
                </w14:textFill>
              </w:rPr>
              <w:t>S</w:t>
            </w:r>
            <w:r>
              <w:rPr>
                <w:i/>
                <w:color w:val="000000" w:themeColor="text1"/>
                <w:kern w:val="0"/>
                <w:sz w:val="21"/>
                <w:szCs w:val="21"/>
                <w:vertAlign w:val="subscript"/>
                <w14:textFill>
                  <w14:solidFill>
                    <w14:schemeClr w14:val="tx1"/>
                  </w14:solidFill>
                </w14:textFill>
              </w:rPr>
              <w:t>i</w:t>
            </w:r>
          </w:p>
          <w:p>
            <w:pPr>
              <w:autoSpaceDE w:val="0"/>
              <w:autoSpaceDN w:val="0"/>
              <w:adjustRightInd w:val="0"/>
              <w:snapToGrid w:val="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w:t>
            </w:r>
            <w:r>
              <w:rPr>
                <w:color w:val="000000" w:themeColor="text1"/>
                <w:kern w:val="0"/>
                <w:sz w:val="21"/>
                <w:szCs w:val="21"/>
                <w14:textFill>
                  <w14:solidFill>
                    <w14:schemeClr w14:val="tx1"/>
                  </w14:solidFill>
                </w14:textFill>
              </w:rPr>
              <w:t>km</w:t>
            </w:r>
            <w:r>
              <w:rPr>
                <w:color w:val="000000" w:themeColor="text1"/>
                <w:kern w:val="0"/>
                <w:sz w:val="21"/>
                <w:szCs w:val="21"/>
                <w:vertAlign w:val="superscript"/>
                <w14:textFill>
                  <w14:solidFill>
                    <w14:schemeClr w14:val="tx1"/>
                  </w14:solidFill>
                </w14:textFill>
              </w:rPr>
              <w:t>2</w:t>
            </w:r>
            <w:r>
              <w:rPr>
                <w:rFonts w:hint="eastAsia"/>
                <w:color w:val="000000" w:themeColor="text1"/>
                <w:kern w:val="0"/>
                <w:sz w:val="21"/>
                <w:szCs w:val="21"/>
                <w14:textFill>
                  <w14:solidFill>
                    <w14:schemeClr w14:val="tx1"/>
                  </w14:solidFill>
                </w14:textFill>
              </w:rPr>
              <w:t>）</w:t>
            </w:r>
          </w:p>
        </w:tc>
        <w:tc>
          <w:tcPr>
            <w:tcW w:w="1196" w:type="dxa"/>
            <w:tcBorders>
              <w:top w:val="single" w:color="auto" w:sz="12" w:space="0"/>
              <w:left w:val="single" w:color="auto" w:sz="4" w:space="0"/>
              <w:bottom w:val="single" w:color="auto" w:sz="4" w:space="0"/>
              <w:right w:val="single" w:color="auto" w:sz="4" w:space="0"/>
            </w:tcBorders>
            <w:vAlign w:val="center"/>
          </w:tcPr>
          <w:p>
            <w:pPr>
              <w:widowControl/>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水深</w:t>
            </w:r>
            <w:r>
              <w:rPr>
                <w:color w:val="000000" w:themeColor="text1"/>
                <w:kern w:val="0"/>
                <w:sz w:val="21"/>
                <w:szCs w:val="21"/>
                <w14:textFill>
                  <w14:solidFill>
                    <w14:schemeClr w14:val="tx1"/>
                  </w14:solidFill>
                </w14:textFill>
              </w:rPr>
              <w:t>H</w:t>
            </w:r>
          </w:p>
          <w:p>
            <w:pPr>
              <w:autoSpaceDE w:val="0"/>
              <w:autoSpaceDN w:val="0"/>
              <w:adjustRightInd w:val="0"/>
              <w:snapToGrid w:val="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w:t>
            </w:r>
            <w:r>
              <w:rPr>
                <w:color w:val="000000" w:themeColor="text1"/>
                <w:kern w:val="0"/>
                <w:sz w:val="21"/>
                <w:szCs w:val="21"/>
                <w14:textFill>
                  <w14:solidFill>
                    <w14:schemeClr w14:val="tx1"/>
                  </w14:solidFill>
                </w14:textFill>
              </w:rPr>
              <w:t>m</w:t>
            </w:r>
            <w:r>
              <w:rPr>
                <w:rFonts w:hint="eastAsia"/>
                <w:color w:val="000000" w:themeColor="text1"/>
                <w:kern w:val="0"/>
                <w:sz w:val="21"/>
                <w:szCs w:val="21"/>
                <w14:textFill>
                  <w14:solidFill>
                    <w14:schemeClr w14:val="tx1"/>
                  </w14:solidFill>
                </w14:textFill>
              </w:rPr>
              <w:t>）</w:t>
            </w:r>
          </w:p>
        </w:tc>
        <w:tc>
          <w:tcPr>
            <w:tcW w:w="1196" w:type="dxa"/>
            <w:tcBorders>
              <w:top w:val="single" w:color="auto" w:sz="12" w:space="0"/>
              <w:left w:val="single" w:color="auto" w:sz="4" w:space="0"/>
              <w:bottom w:val="single" w:color="auto" w:sz="4" w:space="0"/>
              <w:right w:val="single" w:color="auto" w:sz="4" w:space="0"/>
            </w:tcBorders>
            <w:vAlign w:val="center"/>
          </w:tcPr>
          <w:p>
            <w:pPr>
              <w:widowControl/>
              <w:jc w:val="center"/>
              <w:rPr>
                <w:color w:val="000000" w:themeColor="text1"/>
                <w:kern w:val="0"/>
                <w:sz w:val="21"/>
                <w:szCs w:val="21"/>
                <w14:textFill>
                  <w14:solidFill>
                    <w14:schemeClr w14:val="tx1"/>
                  </w14:solidFill>
                </w14:textFill>
              </w:rPr>
            </w:pPr>
            <w:r>
              <w:rPr>
                <w:i/>
                <w:color w:val="000000" w:themeColor="text1"/>
                <w:kern w:val="0"/>
                <w:sz w:val="21"/>
                <w:szCs w:val="21"/>
                <w14:textFill>
                  <w14:solidFill>
                    <w14:schemeClr w14:val="tx1"/>
                  </w14:solidFill>
                </w14:textFill>
              </w:rPr>
              <w:t>K</w:t>
            </w:r>
            <w:r>
              <w:rPr>
                <w:i/>
                <w:color w:val="000000" w:themeColor="text1"/>
                <w:kern w:val="0"/>
                <w:sz w:val="21"/>
                <w:szCs w:val="21"/>
                <w:vertAlign w:val="subscript"/>
                <w14:textFill>
                  <w14:solidFill>
                    <w14:schemeClr w14:val="tx1"/>
                  </w14:solidFill>
                </w14:textFill>
              </w:rPr>
              <w:t>ij</w:t>
            </w:r>
            <w:r>
              <w:rPr>
                <w:rFonts w:hint="eastAsia"/>
                <w:color w:val="000000" w:themeColor="text1"/>
                <w:kern w:val="0"/>
                <w:sz w:val="21"/>
                <w:szCs w:val="21"/>
                <w14:textFill>
                  <w14:solidFill>
                    <w14:schemeClr w14:val="tx1"/>
                  </w14:solidFill>
                </w14:textFill>
              </w:rPr>
              <w:t>损失率</w:t>
            </w:r>
          </w:p>
          <w:p>
            <w:pPr>
              <w:autoSpaceDE w:val="0"/>
              <w:autoSpaceDN w:val="0"/>
              <w:adjustRightInd w:val="0"/>
              <w:snapToGrid w:val="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w:t>
            </w:r>
            <w:r>
              <w:rPr>
                <w:color w:val="000000" w:themeColor="text1"/>
                <w:kern w:val="0"/>
                <w:sz w:val="21"/>
                <w:szCs w:val="21"/>
                <w14:textFill>
                  <w14:solidFill>
                    <w14:schemeClr w14:val="tx1"/>
                  </w14:solidFill>
                </w14:textFill>
              </w:rPr>
              <w:t>%</w:t>
            </w:r>
            <w:r>
              <w:rPr>
                <w:rFonts w:hint="eastAsia"/>
                <w:color w:val="000000" w:themeColor="text1"/>
                <w:kern w:val="0"/>
                <w:sz w:val="21"/>
                <w:szCs w:val="21"/>
                <w14:textFill>
                  <w14:solidFill>
                    <w14:schemeClr w14:val="tx1"/>
                  </w14:solidFill>
                </w14:textFill>
              </w:rPr>
              <w:t>）</w:t>
            </w:r>
          </w:p>
        </w:tc>
        <w:tc>
          <w:tcPr>
            <w:tcW w:w="1515" w:type="dxa"/>
            <w:tcBorders>
              <w:top w:val="single" w:color="auto" w:sz="12" w:space="0"/>
              <w:left w:val="single" w:color="auto" w:sz="4" w:space="0"/>
              <w:bottom w:val="single" w:color="auto" w:sz="4" w:space="0"/>
              <w:right w:val="single" w:color="auto" w:sz="12" w:space="0"/>
            </w:tcBorders>
            <w:vAlign w:val="center"/>
          </w:tcPr>
          <w:p>
            <w:pPr>
              <w:autoSpaceDE w:val="0"/>
              <w:autoSpaceDN w:val="0"/>
              <w:adjustRightInd w:val="0"/>
              <w:snapToGrid w:val="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直接损失量</w:t>
            </w:r>
          </w:p>
          <w:p>
            <w:pPr>
              <w:autoSpaceDE w:val="0"/>
              <w:autoSpaceDN w:val="0"/>
              <w:adjustRightInd w:val="0"/>
              <w:snapToGrid w:val="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w:t>
            </w:r>
            <w:r>
              <w:rPr>
                <w:color w:val="000000" w:themeColor="text1"/>
                <w:kern w:val="0"/>
                <w:sz w:val="21"/>
                <w:szCs w:val="21"/>
                <w14:textFill>
                  <w14:solidFill>
                    <w14:schemeClr w14:val="tx1"/>
                  </w14:solidFill>
                </w14:textFill>
              </w:rPr>
              <w:t>×10</w:t>
            </w:r>
            <w:r>
              <w:rPr>
                <w:color w:val="000000" w:themeColor="text1"/>
                <w:kern w:val="0"/>
                <w:sz w:val="21"/>
                <w:szCs w:val="21"/>
                <w:vertAlign w:val="superscript"/>
                <w14:textFill>
                  <w14:solidFill>
                    <w14:schemeClr w14:val="tx1"/>
                  </w14:solidFill>
                </w14:textFill>
              </w:rPr>
              <w:t>6</w:t>
            </w:r>
            <w:r>
              <w:rPr>
                <w:rFonts w:hint="eastAsia"/>
                <w:color w:val="000000" w:themeColor="text1"/>
                <w:kern w:val="0"/>
                <w:sz w:val="21"/>
                <w:szCs w:val="21"/>
                <w14:textFill>
                  <w14:solidFill>
                    <w14:schemeClr w14:val="tx1"/>
                  </w14:solidFill>
                </w14:textFill>
              </w:rPr>
              <w:t>尾）</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321" w:type="dxa"/>
            <w:vMerge w:val="restart"/>
            <w:tcBorders>
              <w:top w:val="single" w:color="auto" w:sz="4" w:space="0"/>
              <w:left w:val="single" w:color="auto" w:sz="12" w:space="0"/>
              <w:bottom w:val="single" w:color="auto" w:sz="4" w:space="0"/>
              <w:right w:val="single" w:color="auto" w:sz="4" w:space="0"/>
            </w:tcBorders>
            <w:noWrap/>
            <w:vAlign w:val="center"/>
          </w:tcPr>
          <w:p>
            <w:pPr>
              <w:autoSpaceDE w:val="0"/>
              <w:autoSpaceDN w:val="0"/>
              <w:adjustRightInd w:val="0"/>
              <w:snapToGrid w:val="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仔鱼</w:t>
            </w:r>
          </w:p>
        </w:tc>
        <w:tc>
          <w:tcPr>
            <w:tcW w:w="1603" w:type="dxa"/>
            <w:vMerge w:val="restart"/>
            <w:tcBorders>
              <w:top w:val="single" w:color="auto" w:sz="4" w:space="0"/>
              <w:left w:val="single" w:color="auto" w:sz="4" w:space="0"/>
              <w:bottom w:val="single" w:color="auto" w:sz="4" w:space="0"/>
              <w:right w:val="single" w:color="auto" w:sz="4" w:space="0"/>
            </w:tcBorders>
            <w:noWrap/>
            <w:vAlign w:val="center"/>
          </w:tcPr>
          <w:p>
            <w:pPr>
              <w:autoSpaceDE w:val="0"/>
              <w:autoSpaceDN w:val="0"/>
              <w:adjustRightInd w:val="0"/>
              <w:snapToGrid w:val="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0.181尾</w:t>
            </w:r>
            <w:r>
              <w:rPr>
                <w:color w:val="000000" w:themeColor="text1"/>
                <w:kern w:val="0"/>
                <w:sz w:val="21"/>
                <w:szCs w:val="21"/>
                <w14:textFill>
                  <w14:solidFill>
                    <w14:schemeClr w14:val="tx1"/>
                  </w14:solidFill>
                </w14:textFill>
              </w:rPr>
              <w:t>/m</w:t>
            </w:r>
            <w:r>
              <w:rPr>
                <w:color w:val="000000" w:themeColor="text1"/>
                <w:kern w:val="0"/>
                <w:sz w:val="21"/>
                <w:szCs w:val="21"/>
                <w:vertAlign w:val="superscript"/>
                <w14:textFill>
                  <w14:solidFill>
                    <w14:schemeClr w14:val="tx1"/>
                  </w14:solidFill>
                </w14:textFill>
              </w:rPr>
              <w:t>3</w:t>
            </w:r>
          </w:p>
        </w:tc>
        <w:tc>
          <w:tcPr>
            <w:tcW w:w="1697" w:type="dxa"/>
            <w:tcBorders>
              <w:top w:val="single" w:color="auto" w:sz="4" w:space="0"/>
              <w:left w:val="single" w:color="auto" w:sz="4" w:space="0"/>
              <w:bottom w:val="single" w:color="auto" w:sz="4" w:space="0"/>
              <w:right w:val="single" w:color="auto" w:sz="4" w:space="0"/>
            </w:tcBorders>
            <w:vAlign w:val="center"/>
          </w:tcPr>
          <w:p>
            <w:pPr>
              <w:pStyle w:val="1856"/>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2.05</w:t>
            </w:r>
          </w:p>
        </w:tc>
        <w:tc>
          <w:tcPr>
            <w:tcW w:w="1196" w:type="dxa"/>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snapToGrid w:val="0"/>
              <w:jc w:val="center"/>
              <w:rPr>
                <w:color w:val="000000" w:themeColor="text1"/>
                <w:kern w:val="0"/>
                <w:sz w:val="21"/>
                <w:szCs w:val="21"/>
                <w14:textFill>
                  <w14:solidFill>
                    <w14:schemeClr w14:val="tx1"/>
                  </w14:solidFill>
                </w14:textFill>
              </w:rPr>
            </w:pPr>
            <w:r>
              <w:rPr>
                <w:color w:val="000000" w:themeColor="text1"/>
                <w:kern w:val="0"/>
                <w:szCs w:val="20"/>
                <w14:textFill>
                  <w14:solidFill>
                    <w14:schemeClr w14:val="tx1"/>
                  </w14:solidFill>
                </w14:textFill>
              </w:rPr>
              <w:t>15</w:t>
            </w:r>
          </w:p>
        </w:tc>
        <w:tc>
          <w:tcPr>
            <w:tcW w:w="1196" w:type="dxa"/>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snapToGrid w:val="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5</w:t>
            </w:r>
          </w:p>
        </w:tc>
        <w:tc>
          <w:tcPr>
            <w:tcW w:w="1515" w:type="dxa"/>
            <w:tcBorders>
              <w:top w:val="single" w:color="auto" w:sz="4" w:space="0"/>
              <w:left w:val="single" w:color="auto" w:sz="4" w:space="0"/>
              <w:bottom w:val="single" w:color="auto" w:sz="4" w:space="0"/>
              <w:right w:val="single" w:color="auto" w:sz="12" w:space="0"/>
            </w:tcBorders>
            <w:vAlign w:val="bottom"/>
          </w:tcPr>
          <w:p>
            <w:pPr>
              <w:pStyle w:val="1856"/>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0.28</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59" w:hRule="atLeast"/>
          <w:jc w:val="center"/>
        </w:trPr>
        <w:tc>
          <w:tcPr>
            <w:tcW w:w="1321" w:type="dxa"/>
            <w:vMerge w:val="continue"/>
            <w:tcBorders>
              <w:top w:val="single" w:color="auto" w:sz="4" w:space="0"/>
              <w:left w:val="single" w:color="auto" w:sz="12" w:space="0"/>
              <w:bottom w:val="single" w:color="auto" w:sz="4" w:space="0"/>
              <w:right w:val="single" w:color="auto" w:sz="4" w:space="0"/>
            </w:tcBorders>
            <w:vAlign w:val="center"/>
          </w:tcPr>
          <w:p>
            <w:pPr>
              <w:widowControl/>
              <w:jc w:val="left"/>
              <w:rPr>
                <w:color w:val="000000" w:themeColor="text1"/>
                <w:kern w:val="0"/>
                <w:sz w:val="21"/>
                <w:szCs w:val="21"/>
                <w14:textFill>
                  <w14:solidFill>
                    <w14:schemeClr w14:val="tx1"/>
                  </w14:solidFill>
                </w14:textFill>
              </w:rPr>
            </w:pPr>
          </w:p>
        </w:tc>
        <w:tc>
          <w:tcPr>
            <w:tcW w:w="1603" w:type="dxa"/>
            <w:vMerge w:val="continue"/>
            <w:tcBorders>
              <w:top w:val="single" w:color="auto" w:sz="4" w:space="0"/>
              <w:left w:val="single" w:color="auto" w:sz="4" w:space="0"/>
              <w:bottom w:val="single" w:color="auto" w:sz="4" w:space="0"/>
              <w:right w:val="single" w:color="auto" w:sz="4" w:space="0"/>
            </w:tcBorders>
            <w:vAlign w:val="center"/>
          </w:tcPr>
          <w:p>
            <w:pPr>
              <w:widowControl/>
              <w:jc w:val="left"/>
              <w:rPr>
                <w:color w:val="000000" w:themeColor="text1"/>
                <w:kern w:val="0"/>
                <w:sz w:val="21"/>
                <w:szCs w:val="21"/>
                <w14:textFill>
                  <w14:solidFill>
                    <w14:schemeClr w14:val="tx1"/>
                  </w14:solidFill>
                </w14:textFill>
              </w:rPr>
            </w:pPr>
          </w:p>
        </w:tc>
        <w:tc>
          <w:tcPr>
            <w:tcW w:w="1697" w:type="dxa"/>
            <w:tcBorders>
              <w:top w:val="single" w:color="auto" w:sz="4" w:space="0"/>
              <w:left w:val="single" w:color="auto" w:sz="4" w:space="0"/>
              <w:bottom w:val="single" w:color="auto" w:sz="4" w:space="0"/>
              <w:right w:val="single" w:color="auto" w:sz="4" w:space="0"/>
            </w:tcBorders>
            <w:vAlign w:val="center"/>
          </w:tcPr>
          <w:p>
            <w:pPr>
              <w:pStyle w:val="1856"/>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1.15</w:t>
            </w:r>
          </w:p>
        </w:tc>
        <w:tc>
          <w:tcPr>
            <w:tcW w:w="1196" w:type="dxa"/>
            <w:tcBorders>
              <w:top w:val="single" w:color="auto" w:sz="4" w:space="0"/>
              <w:left w:val="single" w:color="auto" w:sz="4" w:space="0"/>
              <w:bottom w:val="single" w:color="auto" w:sz="4" w:space="0"/>
              <w:right w:val="single" w:color="auto" w:sz="4" w:space="0"/>
            </w:tcBorders>
          </w:tcPr>
          <w:p>
            <w:pPr>
              <w:autoSpaceDE w:val="0"/>
              <w:autoSpaceDN w:val="0"/>
              <w:adjustRightInd w:val="0"/>
              <w:snapToGrid w:val="0"/>
              <w:jc w:val="center"/>
              <w:rPr>
                <w:color w:val="000000" w:themeColor="text1"/>
                <w:kern w:val="0"/>
                <w:sz w:val="21"/>
                <w:szCs w:val="21"/>
                <w14:textFill>
                  <w14:solidFill>
                    <w14:schemeClr w14:val="tx1"/>
                  </w14:solidFill>
                </w14:textFill>
              </w:rPr>
            </w:pPr>
            <w:r>
              <w:rPr>
                <w:color w:val="000000" w:themeColor="text1"/>
                <w:kern w:val="0"/>
                <w:szCs w:val="20"/>
                <w14:textFill>
                  <w14:solidFill>
                    <w14:schemeClr w14:val="tx1"/>
                  </w14:solidFill>
                </w14:textFill>
              </w:rPr>
              <w:t>15</w:t>
            </w:r>
          </w:p>
        </w:tc>
        <w:tc>
          <w:tcPr>
            <w:tcW w:w="1196" w:type="dxa"/>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snapToGrid w:val="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20</w:t>
            </w:r>
          </w:p>
        </w:tc>
        <w:tc>
          <w:tcPr>
            <w:tcW w:w="1515" w:type="dxa"/>
            <w:tcBorders>
              <w:top w:val="single" w:color="auto" w:sz="4" w:space="0"/>
              <w:left w:val="single" w:color="auto" w:sz="4" w:space="0"/>
              <w:bottom w:val="single" w:color="auto" w:sz="4" w:space="0"/>
              <w:right w:val="single" w:color="auto" w:sz="12" w:space="0"/>
            </w:tcBorders>
            <w:vAlign w:val="bottom"/>
          </w:tcPr>
          <w:p>
            <w:pPr>
              <w:pStyle w:val="1856"/>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0.62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59" w:hRule="atLeast"/>
          <w:jc w:val="center"/>
        </w:trPr>
        <w:tc>
          <w:tcPr>
            <w:tcW w:w="1321" w:type="dxa"/>
            <w:vMerge w:val="continue"/>
            <w:tcBorders>
              <w:top w:val="single" w:color="auto" w:sz="4" w:space="0"/>
              <w:left w:val="single" w:color="auto" w:sz="12" w:space="0"/>
              <w:bottom w:val="single" w:color="auto" w:sz="4" w:space="0"/>
              <w:right w:val="single" w:color="auto" w:sz="4" w:space="0"/>
            </w:tcBorders>
            <w:vAlign w:val="center"/>
          </w:tcPr>
          <w:p>
            <w:pPr>
              <w:widowControl/>
              <w:jc w:val="left"/>
              <w:rPr>
                <w:color w:val="000000" w:themeColor="text1"/>
                <w:kern w:val="0"/>
                <w:sz w:val="21"/>
                <w:szCs w:val="21"/>
                <w14:textFill>
                  <w14:solidFill>
                    <w14:schemeClr w14:val="tx1"/>
                  </w14:solidFill>
                </w14:textFill>
              </w:rPr>
            </w:pPr>
          </w:p>
        </w:tc>
        <w:tc>
          <w:tcPr>
            <w:tcW w:w="1603" w:type="dxa"/>
            <w:vMerge w:val="continue"/>
            <w:tcBorders>
              <w:top w:val="single" w:color="auto" w:sz="4" w:space="0"/>
              <w:left w:val="single" w:color="auto" w:sz="4" w:space="0"/>
              <w:bottom w:val="single" w:color="auto" w:sz="4" w:space="0"/>
              <w:right w:val="single" w:color="auto" w:sz="4" w:space="0"/>
            </w:tcBorders>
            <w:vAlign w:val="center"/>
          </w:tcPr>
          <w:p>
            <w:pPr>
              <w:widowControl/>
              <w:jc w:val="left"/>
              <w:rPr>
                <w:color w:val="000000" w:themeColor="text1"/>
                <w:kern w:val="0"/>
                <w:sz w:val="21"/>
                <w:szCs w:val="21"/>
                <w14:textFill>
                  <w14:solidFill>
                    <w14:schemeClr w14:val="tx1"/>
                  </w14:solidFill>
                </w14:textFill>
              </w:rPr>
            </w:pPr>
          </w:p>
        </w:tc>
        <w:tc>
          <w:tcPr>
            <w:tcW w:w="1697" w:type="dxa"/>
            <w:tcBorders>
              <w:top w:val="single" w:color="auto" w:sz="4" w:space="0"/>
              <w:left w:val="single" w:color="auto" w:sz="4" w:space="0"/>
              <w:bottom w:val="single" w:color="auto" w:sz="4" w:space="0"/>
              <w:right w:val="single" w:color="auto" w:sz="4" w:space="0"/>
            </w:tcBorders>
            <w:vAlign w:val="center"/>
          </w:tcPr>
          <w:p>
            <w:pPr>
              <w:pStyle w:val="1856"/>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0.99</w:t>
            </w:r>
          </w:p>
        </w:tc>
        <w:tc>
          <w:tcPr>
            <w:tcW w:w="1196" w:type="dxa"/>
            <w:tcBorders>
              <w:top w:val="single" w:color="auto" w:sz="4" w:space="0"/>
              <w:left w:val="single" w:color="auto" w:sz="4" w:space="0"/>
              <w:bottom w:val="single" w:color="auto" w:sz="4" w:space="0"/>
              <w:right w:val="single" w:color="auto" w:sz="4" w:space="0"/>
            </w:tcBorders>
          </w:tcPr>
          <w:p>
            <w:pPr>
              <w:autoSpaceDE w:val="0"/>
              <w:autoSpaceDN w:val="0"/>
              <w:adjustRightInd w:val="0"/>
              <w:snapToGrid w:val="0"/>
              <w:jc w:val="center"/>
              <w:rPr>
                <w:color w:val="000000" w:themeColor="text1"/>
                <w:kern w:val="0"/>
                <w:sz w:val="21"/>
                <w:szCs w:val="21"/>
                <w14:textFill>
                  <w14:solidFill>
                    <w14:schemeClr w14:val="tx1"/>
                  </w14:solidFill>
                </w14:textFill>
              </w:rPr>
            </w:pPr>
            <w:r>
              <w:rPr>
                <w:color w:val="000000" w:themeColor="text1"/>
                <w:kern w:val="0"/>
                <w:szCs w:val="20"/>
                <w14:textFill>
                  <w14:solidFill>
                    <w14:schemeClr w14:val="tx1"/>
                  </w14:solidFill>
                </w14:textFill>
              </w:rPr>
              <w:t>15</w:t>
            </w:r>
          </w:p>
        </w:tc>
        <w:tc>
          <w:tcPr>
            <w:tcW w:w="1196" w:type="dxa"/>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snapToGrid w:val="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40</w:t>
            </w:r>
          </w:p>
        </w:tc>
        <w:tc>
          <w:tcPr>
            <w:tcW w:w="1515" w:type="dxa"/>
            <w:tcBorders>
              <w:top w:val="single" w:color="auto" w:sz="4" w:space="0"/>
              <w:left w:val="single" w:color="auto" w:sz="4" w:space="0"/>
              <w:bottom w:val="single" w:color="auto" w:sz="4" w:space="0"/>
              <w:right w:val="single" w:color="auto" w:sz="12" w:space="0"/>
            </w:tcBorders>
            <w:vAlign w:val="bottom"/>
          </w:tcPr>
          <w:p>
            <w:pPr>
              <w:pStyle w:val="1856"/>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1.08</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59" w:hRule="atLeast"/>
          <w:jc w:val="center"/>
        </w:trPr>
        <w:tc>
          <w:tcPr>
            <w:tcW w:w="1321" w:type="dxa"/>
            <w:vMerge w:val="continue"/>
            <w:tcBorders>
              <w:top w:val="single" w:color="auto" w:sz="4" w:space="0"/>
              <w:left w:val="single" w:color="auto" w:sz="12" w:space="0"/>
              <w:bottom w:val="single" w:color="auto" w:sz="4" w:space="0"/>
              <w:right w:val="single" w:color="auto" w:sz="4" w:space="0"/>
            </w:tcBorders>
            <w:vAlign w:val="center"/>
          </w:tcPr>
          <w:p>
            <w:pPr>
              <w:widowControl/>
              <w:jc w:val="left"/>
              <w:rPr>
                <w:color w:val="000000" w:themeColor="text1"/>
                <w:kern w:val="0"/>
                <w:sz w:val="21"/>
                <w:szCs w:val="21"/>
                <w14:textFill>
                  <w14:solidFill>
                    <w14:schemeClr w14:val="tx1"/>
                  </w14:solidFill>
                </w14:textFill>
              </w:rPr>
            </w:pPr>
          </w:p>
        </w:tc>
        <w:tc>
          <w:tcPr>
            <w:tcW w:w="1603" w:type="dxa"/>
            <w:vMerge w:val="continue"/>
            <w:tcBorders>
              <w:top w:val="single" w:color="auto" w:sz="4" w:space="0"/>
              <w:left w:val="single" w:color="auto" w:sz="4" w:space="0"/>
              <w:bottom w:val="single" w:color="auto" w:sz="4" w:space="0"/>
              <w:right w:val="single" w:color="auto" w:sz="4" w:space="0"/>
            </w:tcBorders>
            <w:vAlign w:val="center"/>
          </w:tcPr>
          <w:p>
            <w:pPr>
              <w:widowControl/>
              <w:jc w:val="left"/>
              <w:rPr>
                <w:color w:val="000000" w:themeColor="text1"/>
                <w:kern w:val="0"/>
                <w:sz w:val="21"/>
                <w:szCs w:val="21"/>
                <w14:textFill>
                  <w14:solidFill>
                    <w14:schemeClr w14:val="tx1"/>
                  </w14:solidFill>
                </w14:textFill>
              </w:rPr>
            </w:pPr>
          </w:p>
        </w:tc>
        <w:tc>
          <w:tcPr>
            <w:tcW w:w="1697" w:type="dxa"/>
            <w:tcBorders>
              <w:top w:val="single" w:color="auto" w:sz="4" w:space="0"/>
              <w:left w:val="single" w:color="auto" w:sz="4" w:space="0"/>
              <w:bottom w:val="single" w:color="auto" w:sz="4" w:space="0"/>
              <w:right w:val="single" w:color="auto" w:sz="4" w:space="0"/>
            </w:tcBorders>
            <w:vAlign w:val="center"/>
          </w:tcPr>
          <w:p>
            <w:pPr>
              <w:pStyle w:val="1856"/>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0.52</w:t>
            </w:r>
          </w:p>
        </w:tc>
        <w:tc>
          <w:tcPr>
            <w:tcW w:w="1196" w:type="dxa"/>
            <w:tcBorders>
              <w:top w:val="single" w:color="auto" w:sz="4" w:space="0"/>
              <w:left w:val="single" w:color="auto" w:sz="4" w:space="0"/>
              <w:bottom w:val="single" w:color="auto" w:sz="4" w:space="0"/>
              <w:right w:val="single" w:color="auto" w:sz="4" w:space="0"/>
            </w:tcBorders>
          </w:tcPr>
          <w:p>
            <w:pPr>
              <w:autoSpaceDE w:val="0"/>
              <w:autoSpaceDN w:val="0"/>
              <w:adjustRightInd w:val="0"/>
              <w:snapToGrid w:val="0"/>
              <w:jc w:val="center"/>
              <w:rPr>
                <w:color w:val="000000" w:themeColor="text1"/>
                <w:kern w:val="0"/>
                <w:sz w:val="21"/>
                <w:szCs w:val="21"/>
                <w14:textFill>
                  <w14:solidFill>
                    <w14:schemeClr w14:val="tx1"/>
                  </w14:solidFill>
                </w14:textFill>
              </w:rPr>
            </w:pPr>
            <w:r>
              <w:rPr>
                <w:color w:val="000000" w:themeColor="text1"/>
                <w:kern w:val="0"/>
                <w:szCs w:val="20"/>
                <w14:textFill>
                  <w14:solidFill>
                    <w14:schemeClr w14:val="tx1"/>
                  </w14:solidFill>
                </w14:textFill>
              </w:rPr>
              <w:t>15</w:t>
            </w:r>
          </w:p>
        </w:tc>
        <w:tc>
          <w:tcPr>
            <w:tcW w:w="1196" w:type="dxa"/>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snapToGrid w:val="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50</w:t>
            </w:r>
          </w:p>
        </w:tc>
        <w:tc>
          <w:tcPr>
            <w:tcW w:w="1515" w:type="dxa"/>
            <w:tcBorders>
              <w:top w:val="single" w:color="auto" w:sz="4" w:space="0"/>
              <w:left w:val="single" w:color="auto" w:sz="4" w:space="0"/>
              <w:bottom w:val="single" w:color="auto" w:sz="4" w:space="0"/>
              <w:right w:val="single" w:color="auto" w:sz="12" w:space="0"/>
            </w:tcBorders>
            <w:vAlign w:val="bottom"/>
          </w:tcPr>
          <w:p>
            <w:pPr>
              <w:pStyle w:val="1856"/>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0.71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321" w:type="dxa"/>
            <w:tcBorders>
              <w:top w:val="single" w:color="auto" w:sz="4" w:space="0"/>
              <w:left w:val="single" w:color="auto" w:sz="12" w:space="0"/>
              <w:bottom w:val="single" w:color="auto" w:sz="12" w:space="0"/>
              <w:right w:val="single" w:color="auto" w:sz="4" w:space="0"/>
            </w:tcBorders>
            <w:vAlign w:val="center"/>
          </w:tcPr>
          <w:p>
            <w:pPr>
              <w:autoSpaceDE w:val="0"/>
              <w:autoSpaceDN w:val="0"/>
              <w:adjustRightInd w:val="0"/>
              <w:snapToGrid w:val="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小计</w:t>
            </w:r>
          </w:p>
        </w:tc>
        <w:tc>
          <w:tcPr>
            <w:tcW w:w="5692" w:type="dxa"/>
            <w:gridSpan w:val="4"/>
            <w:tcBorders>
              <w:top w:val="single" w:color="auto" w:sz="4" w:space="0"/>
              <w:left w:val="single" w:color="auto" w:sz="4" w:space="0"/>
              <w:bottom w:val="single" w:color="auto" w:sz="12" w:space="0"/>
              <w:right w:val="single" w:color="auto" w:sz="4" w:space="0"/>
            </w:tcBorders>
            <w:vAlign w:val="center"/>
          </w:tcPr>
          <w:p>
            <w:pPr>
              <w:autoSpaceDE w:val="0"/>
              <w:autoSpaceDN w:val="0"/>
              <w:adjustRightInd w:val="0"/>
              <w:snapToGrid w:val="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w:t>
            </w:r>
          </w:p>
        </w:tc>
        <w:tc>
          <w:tcPr>
            <w:tcW w:w="1515" w:type="dxa"/>
            <w:tcBorders>
              <w:top w:val="single" w:color="auto" w:sz="4" w:space="0"/>
              <w:left w:val="single" w:color="auto" w:sz="4" w:space="0"/>
              <w:bottom w:val="single" w:color="auto" w:sz="12" w:space="0"/>
              <w:right w:val="single" w:color="auto" w:sz="12" w:space="0"/>
            </w:tcBorders>
            <w:vAlign w:val="center"/>
          </w:tcPr>
          <w:p>
            <w:pPr>
              <w:pStyle w:val="1856"/>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2.68</w:t>
            </w:r>
          </w:p>
        </w:tc>
      </w:tr>
    </w:tbl>
    <w:p>
      <w:pPr>
        <w:pStyle w:val="384"/>
        <w:ind w:left="0" w:firstLine="503"/>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悬浮物扩散区域游泳生物损失量估算</w:t>
      </w:r>
    </w:p>
    <w:tbl>
      <w:tblPr>
        <w:tblStyle w:val="88"/>
        <w:tblW w:w="8528" w:type="dxa"/>
        <w:jc w:val="center"/>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124"/>
        <w:gridCol w:w="1803"/>
        <w:gridCol w:w="1472"/>
        <w:gridCol w:w="1470"/>
        <w:gridCol w:w="1006"/>
        <w:gridCol w:w="1653"/>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blHeader/>
          <w:jc w:val="center"/>
        </w:trPr>
        <w:tc>
          <w:tcPr>
            <w:tcW w:w="1124" w:type="dxa"/>
            <w:vAlign w:val="center"/>
          </w:tcPr>
          <w:p>
            <w:pPr>
              <w:pStyle w:val="2001"/>
            </w:pPr>
            <w:r>
              <w:t>生物</w:t>
            </w:r>
          </w:p>
          <w:p>
            <w:pPr>
              <w:pStyle w:val="2001"/>
            </w:pPr>
            <w:r>
              <w:t>类型</w:t>
            </w:r>
          </w:p>
        </w:tc>
        <w:tc>
          <w:tcPr>
            <w:tcW w:w="1803" w:type="dxa"/>
            <w:vAlign w:val="center"/>
          </w:tcPr>
          <w:p>
            <w:pPr>
              <w:autoSpaceDE w:val="0"/>
              <w:autoSpaceDN w:val="0"/>
              <w:adjustRightInd w:val="0"/>
              <w:snapToGrid w:val="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单位密度</w:t>
            </w:r>
            <w:r>
              <w:rPr>
                <w:i/>
                <w:color w:val="000000" w:themeColor="text1"/>
                <w:kern w:val="0"/>
                <w:sz w:val="21"/>
                <w:szCs w:val="21"/>
                <w14:textFill>
                  <w14:solidFill>
                    <w14:schemeClr w14:val="tx1"/>
                  </w14:solidFill>
                </w14:textFill>
              </w:rPr>
              <w:t>D</w:t>
            </w:r>
            <w:r>
              <w:rPr>
                <w:i/>
                <w:color w:val="000000" w:themeColor="text1"/>
                <w:kern w:val="0"/>
                <w:sz w:val="21"/>
                <w:szCs w:val="21"/>
                <w:vertAlign w:val="subscript"/>
                <w14:textFill>
                  <w14:solidFill>
                    <w14:schemeClr w14:val="tx1"/>
                  </w14:solidFill>
                </w14:textFill>
              </w:rPr>
              <w:t>ij</w:t>
            </w:r>
          </w:p>
        </w:tc>
        <w:tc>
          <w:tcPr>
            <w:tcW w:w="1472" w:type="dxa"/>
            <w:vAlign w:val="center"/>
          </w:tcPr>
          <w:p>
            <w:pPr>
              <w:autoSpaceDE w:val="0"/>
              <w:autoSpaceDN w:val="0"/>
              <w:adjustRightInd w:val="0"/>
              <w:snapToGrid w:val="0"/>
              <w:jc w:val="center"/>
              <w:rPr>
                <w:color w:val="000000" w:themeColor="text1"/>
                <w:kern w:val="0"/>
                <w:sz w:val="21"/>
                <w:szCs w:val="21"/>
                <w:vertAlign w:val="subscript"/>
                <w14:textFill>
                  <w14:solidFill>
                    <w14:schemeClr w14:val="tx1"/>
                  </w14:solidFill>
                </w14:textFill>
              </w:rPr>
            </w:pPr>
            <w:r>
              <w:rPr>
                <w:color w:val="000000" w:themeColor="text1"/>
                <w:kern w:val="0"/>
                <w:sz w:val="21"/>
                <w:szCs w:val="21"/>
                <w14:textFill>
                  <w14:solidFill>
                    <w14:schemeClr w14:val="tx1"/>
                  </w14:solidFill>
                </w14:textFill>
              </w:rPr>
              <w:t>影响面积</w:t>
            </w:r>
            <w:r>
              <w:rPr>
                <w:i/>
                <w:color w:val="000000" w:themeColor="text1"/>
                <w:kern w:val="0"/>
                <w:sz w:val="21"/>
                <w:szCs w:val="21"/>
                <w14:textFill>
                  <w14:solidFill>
                    <w14:schemeClr w14:val="tx1"/>
                  </w14:solidFill>
                </w14:textFill>
              </w:rPr>
              <w:t>S</w:t>
            </w:r>
            <w:r>
              <w:rPr>
                <w:i/>
                <w:color w:val="000000" w:themeColor="text1"/>
                <w:kern w:val="0"/>
                <w:sz w:val="21"/>
                <w:szCs w:val="21"/>
                <w:vertAlign w:val="subscript"/>
                <w14:textFill>
                  <w14:solidFill>
                    <w14:schemeClr w14:val="tx1"/>
                  </w14:solidFill>
                </w14:textFill>
              </w:rPr>
              <w:t>i</w:t>
            </w:r>
          </w:p>
          <w:p>
            <w:pPr>
              <w:autoSpaceDE w:val="0"/>
              <w:autoSpaceDN w:val="0"/>
              <w:adjustRightInd w:val="0"/>
              <w:snapToGrid w:val="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（km</w:t>
            </w:r>
            <w:r>
              <w:rPr>
                <w:color w:val="000000" w:themeColor="text1"/>
                <w:kern w:val="0"/>
                <w:sz w:val="21"/>
                <w:szCs w:val="21"/>
                <w:vertAlign w:val="superscript"/>
                <w14:textFill>
                  <w14:solidFill>
                    <w14:schemeClr w14:val="tx1"/>
                  </w14:solidFill>
                </w14:textFill>
              </w:rPr>
              <w:t>2</w:t>
            </w:r>
            <w:r>
              <w:rPr>
                <w:color w:val="000000" w:themeColor="text1"/>
                <w:kern w:val="0"/>
                <w:sz w:val="21"/>
                <w:szCs w:val="21"/>
                <w14:textFill>
                  <w14:solidFill>
                    <w14:schemeClr w14:val="tx1"/>
                  </w14:solidFill>
                </w14:textFill>
              </w:rPr>
              <w:t>）</w:t>
            </w:r>
          </w:p>
        </w:tc>
        <w:tc>
          <w:tcPr>
            <w:tcW w:w="1470" w:type="dxa"/>
            <w:vAlign w:val="center"/>
          </w:tcPr>
          <w:p>
            <w:pPr>
              <w:autoSpaceDE w:val="0"/>
              <w:autoSpaceDN w:val="0"/>
              <w:adjustRightInd w:val="0"/>
              <w:snapToGrid w:val="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水深H</w:t>
            </w:r>
          </w:p>
          <w:p>
            <w:pPr>
              <w:autoSpaceDE w:val="0"/>
              <w:autoSpaceDN w:val="0"/>
              <w:adjustRightInd w:val="0"/>
              <w:snapToGrid w:val="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（m）</w:t>
            </w:r>
          </w:p>
        </w:tc>
        <w:tc>
          <w:tcPr>
            <w:tcW w:w="1006" w:type="dxa"/>
            <w:vAlign w:val="center"/>
          </w:tcPr>
          <w:p>
            <w:pPr>
              <w:autoSpaceDE w:val="0"/>
              <w:autoSpaceDN w:val="0"/>
              <w:adjustRightInd w:val="0"/>
              <w:snapToGrid w:val="0"/>
              <w:jc w:val="center"/>
              <w:rPr>
                <w:color w:val="000000" w:themeColor="text1"/>
                <w:kern w:val="0"/>
                <w:sz w:val="21"/>
                <w:szCs w:val="21"/>
                <w14:textFill>
                  <w14:solidFill>
                    <w14:schemeClr w14:val="tx1"/>
                  </w14:solidFill>
                </w14:textFill>
              </w:rPr>
            </w:pPr>
            <w:r>
              <w:rPr>
                <w:i/>
                <w:color w:val="000000" w:themeColor="text1"/>
                <w:kern w:val="0"/>
                <w:sz w:val="21"/>
                <w:szCs w:val="21"/>
                <w14:textFill>
                  <w14:solidFill>
                    <w14:schemeClr w14:val="tx1"/>
                  </w14:solidFill>
                </w14:textFill>
              </w:rPr>
              <w:t>K</w:t>
            </w:r>
            <w:r>
              <w:rPr>
                <w:i/>
                <w:color w:val="000000" w:themeColor="text1"/>
                <w:kern w:val="0"/>
                <w:sz w:val="21"/>
                <w:szCs w:val="21"/>
                <w:vertAlign w:val="subscript"/>
                <w14:textFill>
                  <w14:solidFill>
                    <w14:schemeClr w14:val="tx1"/>
                  </w14:solidFill>
                </w14:textFill>
              </w:rPr>
              <w:t>ij</w:t>
            </w:r>
            <w:r>
              <w:rPr>
                <w:color w:val="000000" w:themeColor="text1"/>
                <w:kern w:val="0"/>
                <w:sz w:val="21"/>
                <w:szCs w:val="21"/>
                <w14:textFill>
                  <w14:solidFill>
                    <w14:schemeClr w14:val="tx1"/>
                  </w14:solidFill>
                </w14:textFill>
              </w:rPr>
              <w:t>损失率</w:t>
            </w:r>
          </w:p>
          <w:p>
            <w:pPr>
              <w:autoSpaceDE w:val="0"/>
              <w:autoSpaceDN w:val="0"/>
              <w:adjustRightInd w:val="0"/>
              <w:snapToGrid w:val="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w:t>
            </w:r>
          </w:p>
        </w:tc>
        <w:tc>
          <w:tcPr>
            <w:tcW w:w="1653" w:type="dxa"/>
            <w:vAlign w:val="center"/>
          </w:tcPr>
          <w:p>
            <w:pPr>
              <w:autoSpaceDE w:val="0"/>
              <w:autoSpaceDN w:val="0"/>
              <w:adjustRightInd w:val="0"/>
              <w:snapToGrid w:val="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直接损失量</w:t>
            </w:r>
          </w:p>
          <w:p>
            <w:pPr>
              <w:autoSpaceDE w:val="0"/>
              <w:autoSpaceDN w:val="0"/>
              <w:adjustRightInd w:val="0"/>
              <w:snapToGrid w:val="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124" w:type="dxa"/>
            <w:vMerge w:val="restart"/>
            <w:vAlign w:val="center"/>
          </w:tcPr>
          <w:p>
            <w:pPr>
              <w:pStyle w:val="2001"/>
            </w:pPr>
            <w:r>
              <w:t>游泳</w:t>
            </w:r>
          </w:p>
          <w:p>
            <w:pPr>
              <w:pStyle w:val="2001"/>
            </w:pPr>
            <w:r>
              <w:t>生物</w:t>
            </w:r>
          </w:p>
        </w:tc>
        <w:tc>
          <w:tcPr>
            <w:tcW w:w="1803" w:type="dxa"/>
            <w:vMerge w:val="restart"/>
            <w:vAlign w:val="center"/>
          </w:tcPr>
          <w:p>
            <w:pPr>
              <w:autoSpaceDE w:val="0"/>
              <w:autoSpaceDN w:val="0"/>
              <w:adjustRightInd w:val="0"/>
              <w:snapToGrid w:val="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0.132</w:t>
            </w:r>
            <w:r>
              <w:rPr>
                <w:color w:val="000000" w:themeColor="text1"/>
                <w:kern w:val="0"/>
                <w:sz w:val="21"/>
                <w:szCs w:val="21"/>
                <w14:textFill>
                  <w14:solidFill>
                    <w14:schemeClr w14:val="tx1"/>
                  </w14:solidFill>
                </w14:textFill>
              </w:rPr>
              <w:t>t/km</w:t>
            </w:r>
            <w:r>
              <w:rPr>
                <w:color w:val="000000" w:themeColor="text1"/>
                <w:kern w:val="0"/>
                <w:sz w:val="21"/>
                <w:szCs w:val="21"/>
                <w:vertAlign w:val="superscript"/>
                <w14:textFill>
                  <w14:solidFill>
                    <w14:schemeClr w14:val="tx1"/>
                  </w14:solidFill>
                </w14:textFill>
              </w:rPr>
              <w:t>2</w:t>
            </w:r>
          </w:p>
        </w:tc>
        <w:tc>
          <w:tcPr>
            <w:tcW w:w="1472" w:type="dxa"/>
            <w:vAlign w:val="center"/>
          </w:tcPr>
          <w:p>
            <w:pPr>
              <w:pStyle w:val="1856"/>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2.05</w:t>
            </w:r>
          </w:p>
        </w:tc>
        <w:tc>
          <w:tcPr>
            <w:tcW w:w="1470" w:type="dxa"/>
            <w:vAlign w:val="center"/>
          </w:tcPr>
          <w:p>
            <w:pPr>
              <w:autoSpaceDE w:val="0"/>
              <w:autoSpaceDN w:val="0"/>
              <w:adjustRightInd w:val="0"/>
              <w:snapToGrid w:val="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w:t>
            </w:r>
          </w:p>
        </w:tc>
        <w:tc>
          <w:tcPr>
            <w:tcW w:w="1006" w:type="dxa"/>
            <w:vAlign w:val="center"/>
          </w:tcPr>
          <w:p>
            <w:pPr>
              <w:autoSpaceDE w:val="0"/>
              <w:autoSpaceDN w:val="0"/>
              <w:adjustRightInd w:val="0"/>
              <w:snapToGrid w:val="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w:t>
            </w:r>
          </w:p>
        </w:tc>
        <w:tc>
          <w:tcPr>
            <w:tcW w:w="1653" w:type="dxa"/>
            <w:vAlign w:val="bottom"/>
          </w:tcPr>
          <w:p>
            <w:pPr>
              <w:pStyle w:val="1856"/>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0.0027</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124" w:type="dxa"/>
            <w:vMerge w:val="continue"/>
            <w:vAlign w:val="center"/>
          </w:tcPr>
          <w:p>
            <w:pPr>
              <w:pStyle w:val="2001"/>
            </w:pPr>
          </w:p>
        </w:tc>
        <w:tc>
          <w:tcPr>
            <w:tcW w:w="1803" w:type="dxa"/>
            <w:vMerge w:val="continue"/>
            <w:vAlign w:val="center"/>
          </w:tcPr>
          <w:p>
            <w:pPr>
              <w:autoSpaceDE w:val="0"/>
              <w:autoSpaceDN w:val="0"/>
              <w:adjustRightInd w:val="0"/>
              <w:snapToGrid w:val="0"/>
              <w:jc w:val="center"/>
              <w:rPr>
                <w:color w:val="000000" w:themeColor="text1"/>
                <w:kern w:val="0"/>
                <w:sz w:val="21"/>
                <w:szCs w:val="21"/>
                <w14:textFill>
                  <w14:solidFill>
                    <w14:schemeClr w14:val="tx1"/>
                  </w14:solidFill>
                </w14:textFill>
              </w:rPr>
            </w:pPr>
          </w:p>
        </w:tc>
        <w:tc>
          <w:tcPr>
            <w:tcW w:w="1472" w:type="dxa"/>
            <w:vAlign w:val="center"/>
          </w:tcPr>
          <w:p>
            <w:pPr>
              <w:pStyle w:val="1856"/>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1.15</w:t>
            </w:r>
          </w:p>
        </w:tc>
        <w:tc>
          <w:tcPr>
            <w:tcW w:w="1470" w:type="dxa"/>
            <w:vAlign w:val="center"/>
          </w:tcPr>
          <w:p>
            <w:pPr>
              <w:autoSpaceDE w:val="0"/>
              <w:autoSpaceDN w:val="0"/>
              <w:adjustRightInd w:val="0"/>
              <w:snapToGrid w:val="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w:t>
            </w:r>
          </w:p>
        </w:tc>
        <w:tc>
          <w:tcPr>
            <w:tcW w:w="1006" w:type="dxa"/>
            <w:vAlign w:val="center"/>
          </w:tcPr>
          <w:p>
            <w:pPr>
              <w:autoSpaceDE w:val="0"/>
              <w:autoSpaceDN w:val="0"/>
              <w:adjustRightInd w:val="0"/>
              <w:snapToGrid w:val="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5</w:t>
            </w:r>
          </w:p>
        </w:tc>
        <w:tc>
          <w:tcPr>
            <w:tcW w:w="1653" w:type="dxa"/>
            <w:vAlign w:val="bottom"/>
          </w:tcPr>
          <w:p>
            <w:pPr>
              <w:pStyle w:val="1856"/>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0.0076</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124" w:type="dxa"/>
            <w:vMerge w:val="continue"/>
            <w:vAlign w:val="center"/>
          </w:tcPr>
          <w:p>
            <w:pPr>
              <w:pStyle w:val="2001"/>
            </w:pPr>
          </w:p>
        </w:tc>
        <w:tc>
          <w:tcPr>
            <w:tcW w:w="1803" w:type="dxa"/>
            <w:vMerge w:val="continue"/>
            <w:vAlign w:val="center"/>
          </w:tcPr>
          <w:p>
            <w:pPr>
              <w:autoSpaceDE w:val="0"/>
              <w:autoSpaceDN w:val="0"/>
              <w:adjustRightInd w:val="0"/>
              <w:snapToGrid w:val="0"/>
              <w:jc w:val="center"/>
              <w:rPr>
                <w:color w:val="000000" w:themeColor="text1"/>
                <w:kern w:val="0"/>
                <w:sz w:val="21"/>
                <w:szCs w:val="21"/>
                <w14:textFill>
                  <w14:solidFill>
                    <w14:schemeClr w14:val="tx1"/>
                  </w14:solidFill>
                </w14:textFill>
              </w:rPr>
            </w:pPr>
          </w:p>
        </w:tc>
        <w:tc>
          <w:tcPr>
            <w:tcW w:w="1472" w:type="dxa"/>
            <w:vAlign w:val="center"/>
          </w:tcPr>
          <w:p>
            <w:pPr>
              <w:pStyle w:val="1856"/>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0.99</w:t>
            </w:r>
          </w:p>
        </w:tc>
        <w:tc>
          <w:tcPr>
            <w:tcW w:w="1470" w:type="dxa"/>
            <w:vAlign w:val="center"/>
          </w:tcPr>
          <w:p>
            <w:pPr>
              <w:autoSpaceDE w:val="0"/>
              <w:autoSpaceDN w:val="0"/>
              <w:adjustRightInd w:val="0"/>
              <w:snapToGrid w:val="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w:t>
            </w:r>
          </w:p>
        </w:tc>
        <w:tc>
          <w:tcPr>
            <w:tcW w:w="1006" w:type="dxa"/>
            <w:vAlign w:val="center"/>
          </w:tcPr>
          <w:p>
            <w:pPr>
              <w:autoSpaceDE w:val="0"/>
              <w:autoSpaceDN w:val="0"/>
              <w:adjustRightInd w:val="0"/>
              <w:snapToGrid w:val="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15</w:t>
            </w:r>
          </w:p>
        </w:tc>
        <w:tc>
          <w:tcPr>
            <w:tcW w:w="1653" w:type="dxa"/>
            <w:vAlign w:val="bottom"/>
          </w:tcPr>
          <w:p>
            <w:pPr>
              <w:pStyle w:val="1856"/>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0.0196</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124" w:type="dxa"/>
            <w:vMerge w:val="continue"/>
            <w:vAlign w:val="center"/>
          </w:tcPr>
          <w:p>
            <w:pPr>
              <w:pStyle w:val="2001"/>
            </w:pPr>
          </w:p>
        </w:tc>
        <w:tc>
          <w:tcPr>
            <w:tcW w:w="1803" w:type="dxa"/>
            <w:vMerge w:val="continue"/>
            <w:vAlign w:val="center"/>
          </w:tcPr>
          <w:p>
            <w:pPr>
              <w:autoSpaceDE w:val="0"/>
              <w:autoSpaceDN w:val="0"/>
              <w:adjustRightInd w:val="0"/>
              <w:snapToGrid w:val="0"/>
              <w:jc w:val="center"/>
              <w:rPr>
                <w:color w:val="000000" w:themeColor="text1"/>
                <w:kern w:val="0"/>
                <w:sz w:val="21"/>
                <w:szCs w:val="21"/>
                <w14:textFill>
                  <w14:solidFill>
                    <w14:schemeClr w14:val="tx1"/>
                  </w14:solidFill>
                </w14:textFill>
              </w:rPr>
            </w:pPr>
          </w:p>
        </w:tc>
        <w:tc>
          <w:tcPr>
            <w:tcW w:w="1472" w:type="dxa"/>
            <w:vAlign w:val="center"/>
          </w:tcPr>
          <w:p>
            <w:pPr>
              <w:pStyle w:val="1856"/>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0.52</w:t>
            </w:r>
          </w:p>
        </w:tc>
        <w:tc>
          <w:tcPr>
            <w:tcW w:w="1470" w:type="dxa"/>
            <w:vAlign w:val="center"/>
          </w:tcPr>
          <w:p>
            <w:pPr>
              <w:autoSpaceDE w:val="0"/>
              <w:autoSpaceDN w:val="0"/>
              <w:adjustRightInd w:val="0"/>
              <w:snapToGrid w:val="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w:t>
            </w:r>
          </w:p>
        </w:tc>
        <w:tc>
          <w:tcPr>
            <w:tcW w:w="1006" w:type="dxa"/>
            <w:vAlign w:val="center"/>
          </w:tcPr>
          <w:p>
            <w:pPr>
              <w:autoSpaceDE w:val="0"/>
              <w:autoSpaceDN w:val="0"/>
              <w:adjustRightInd w:val="0"/>
              <w:snapToGrid w:val="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20</w:t>
            </w:r>
          </w:p>
        </w:tc>
        <w:tc>
          <w:tcPr>
            <w:tcW w:w="1653" w:type="dxa"/>
            <w:vAlign w:val="bottom"/>
          </w:tcPr>
          <w:p>
            <w:pPr>
              <w:pStyle w:val="1856"/>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0.0137</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124" w:type="dxa"/>
            <w:vAlign w:val="center"/>
          </w:tcPr>
          <w:p>
            <w:pPr>
              <w:pStyle w:val="2001"/>
            </w:pPr>
            <w:r>
              <w:t>小计</w:t>
            </w:r>
          </w:p>
        </w:tc>
        <w:tc>
          <w:tcPr>
            <w:tcW w:w="4745" w:type="dxa"/>
            <w:gridSpan w:val="3"/>
            <w:vAlign w:val="center"/>
          </w:tcPr>
          <w:p>
            <w:pPr>
              <w:autoSpaceDE w:val="0"/>
              <w:autoSpaceDN w:val="0"/>
              <w:adjustRightInd w:val="0"/>
              <w:snapToGrid w:val="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w:t>
            </w:r>
          </w:p>
        </w:tc>
        <w:tc>
          <w:tcPr>
            <w:tcW w:w="1006" w:type="dxa"/>
            <w:vAlign w:val="center"/>
          </w:tcPr>
          <w:p>
            <w:pPr>
              <w:autoSpaceDE w:val="0"/>
              <w:autoSpaceDN w:val="0"/>
              <w:adjustRightInd w:val="0"/>
              <w:snapToGrid w:val="0"/>
              <w:jc w:val="center"/>
              <w:rPr>
                <w:color w:val="000000" w:themeColor="text1"/>
                <w:kern w:val="0"/>
                <w:sz w:val="21"/>
                <w:szCs w:val="21"/>
                <w14:textFill>
                  <w14:solidFill>
                    <w14:schemeClr w14:val="tx1"/>
                  </w14:solidFill>
                </w14:textFill>
              </w:rPr>
            </w:pPr>
          </w:p>
        </w:tc>
        <w:tc>
          <w:tcPr>
            <w:tcW w:w="1653" w:type="dxa"/>
            <w:vAlign w:val="center"/>
          </w:tcPr>
          <w:p>
            <w:pPr>
              <w:pStyle w:val="1856"/>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0.0436</w:t>
            </w:r>
          </w:p>
        </w:tc>
      </w:tr>
    </w:tbl>
    <w:p>
      <w:pPr>
        <w:pStyle w:val="384"/>
        <w:ind w:left="0" w:firstLine="503"/>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 xml:space="preserve"> 悬浮物扩散区域</w:t>
      </w:r>
      <w:r>
        <w:rPr>
          <w:rFonts w:hint="eastAsia" w:cs="Times New Roman"/>
          <w:color w:val="000000" w:themeColor="text1"/>
          <w14:textFill>
            <w14:solidFill>
              <w14:schemeClr w14:val="tx1"/>
            </w14:solidFill>
          </w14:textFill>
        </w:rPr>
        <w:t>浮游动物</w:t>
      </w:r>
      <w:r>
        <w:rPr>
          <w:rFonts w:cs="Times New Roman"/>
          <w:color w:val="000000" w:themeColor="text1"/>
          <w14:textFill>
            <w14:solidFill>
              <w14:schemeClr w14:val="tx1"/>
            </w14:solidFill>
          </w14:textFill>
        </w:rPr>
        <w:t>资源损失量估算</w:t>
      </w:r>
    </w:p>
    <w:tbl>
      <w:tblPr>
        <w:tblStyle w:val="88"/>
        <w:tblW w:w="8528" w:type="dxa"/>
        <w:jc w:val="center"/>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104"/>
        <w:gridCol w:w="1774"/>
        <w:gridCol w:w="1448"/>
        <w:gridCol w:w="1445"/>
        <w:gridCol w:w="1133"/>
        <w:gridCol w:w="1624"/>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blHeader/>
          <w:jc w:val="center"/>
        </w:trPr>
        <w:tc>
          <w:tcPr>
            <w:tcW w:w="1104" w:type="dxa"/>
            <w:vAlign w:val="center"/>
          </w:tcPr>
          <w:p>
            <w:pPr>
              <w:pStyle w:val="2001"/>
            </w:pPr>
            <w:r>
              <w:t>生物类型</w:t>
            </w:r>
          </w:p>
        </w:tc>
        <w:tc>
          <w:tcPr>
            <w:tcW w:w="1774" w:type="dxa"/>
            <w:vAlign w:val="center"/>
          </w:tcPr>
          <w:p>
            <w:pPr>
              <w:autoSpaceDE w:val="0"/>
              <w:autoSpaceDN w:val="0"/>
              <w:adjustRightInd w:val="0"/>
              <w:snapToGrid w:val="0"/>
              <w:jc w:val="center"/>
              <w:rPr>
                <w:color w:val="000000" w:themeColor="text1"/>
                <w:kern w:val="0"/>
                <w:sz w:val="21"/>
                <w:szCs w:val="21"/>
                <w:u w:val="single"/>
                <w14:textFill>
                  <w14:solidFill>
                    <w14:schemeClr w14:val="tx1"/>
                  </w14:solidFill>
                </w14:textFill>
              </w:rPr>
            </w:pPr>
            <w:r>
              <w:rPr>
                <w:color w:val="000000" w:themeColor="text1"/>
                <w:kern w:val="0"/>
                <w:sz w:val="21"/>
                <w:szCs w:val="21"/>
                <w:u w:val="single"/>
                <w14:textFill>
                  <w14:solidFill>
                    <w14:schemeClr w14:val="tx1"/>
                  </w14:solidFill>
                </w14:textFill>
              </w:rPr>
              <w:t>单位密度</w:t>
            </w:r>
            <w:r>
              <w:rPr>
                <w:i/>
                <w:color w:val="000000" w:themeColor="text1"/>
                <w:kern w:val="0"/>
                <w:sz w:val="21"/>
                <w:szCs w:val="21"/>
                <w:u w:val="single"/>
                <w14:textFill>
                  <w14:solidFill>
                    <w14:schemeClr w14:val="tx1"/>
                  </w14:solidFill>
                </w14:textFill>
              </w:rPr>
              <w:t>D</w:t>
            </w:r>
            <w:r>
              <w:rPr>
                <w:i/>
                <w:color w:val="000000" w:themeColor="text1"/>
                <w:kern w:val="0"/>
                <w:sz w:val="21"/>
                <w:szCs w:val="21"/>
                <w:u w:val="single"/>
                <w:vertAlign w:val="subscript"/>
                <w14:textFill>
                  <w14:solidFill>
                    <w14:schemeClr w14:val="tx1"/>
                  </w14:solidFill>
                </w14:textFill>
              </w:rPr>
              <w:t>ij</w:t>
            </w:r>
          </w:p>
        </w:tc>
        <w:tc>
          <w:tcPr>
            <w:tcW w:w="1448" w:type="dxa"/>
            <w:vAlign w:val="center"/>
          </w:tcPr>
          <w:p>
            <w:pPr>
              <w:autoSpaceDE w:val="0"/>
              <w:autoSpaceDN w:val="0"/>
              <w:adjustRightInd w:val="0"/>
              <w:snapToGrid w:val="0"/>
              <w:jc w:val="center"/>
              <w:rPr>
                <w:color w:val="000000" w:themeColor="text1"/>
                <w:kern w:val="0"/>
                <w:sz w:val="21"/>
                <w:szCs w:val="21"/>
                <w:u w:val="single"/>
                <w:vertAlign w:val="subscript"/>
                <w14:textFill>
                  <w14:solidFill>
                    <w14:schemeClr w14:val="tx1"/>
                  </w14:solidFill>
                </w14:textFill>
              </w:rPr>
            </w:pPr>
            <w:r>
              <w:rPr>
                <w:color w:val="000000" w:themeColor="text1"/>
                <w:kern w:val="0"/>
                <w:sz w:val="21"/>
                <w:szCs w:val="21"/>
                <w:u w:val="single"/>
                <w14:textFill>
                  <w14:solidFill>
                    <w14:schemeClr w14:val="tx1"/>
                  </w14:solidFill>
                </w14:textFill>
              </w:rPr>
              <w:t>影响面积</w:t>
            </w:r>
            <w:r>
              <w:rPr>
                <w:i/>
                <w:color w:val="000000" w:themeColor="text1"/>
                <w:kern w:val="0"/>
                <w:sz w:val="21"/>
                <w:szCs w:val="21"/>
                <w:u w:val="single"/>
                <w14:textFill>
                  <w14:solidFill>
                    <w14:schemeClr w14:val="tx1"/>
                  </w14:solidFill>
                </w14:textFill>
              </w:rPr>
              <w:t>S</w:t>
            </w:r>
            <w:r>
              <w:rPr>
                <w:i/>
                <w:color w:val="000000" w:themeColor="text1"/>
                <w:kern w:val="0"/>
                <w:sz w:val="21"/>
                <w:szCs w:val="21"/>
                <w:u w:val="single"/>
                <w:vertAlign w:val="subscript"/>
                <w14:textFill>
                  <w14:solidFill>
                    <w14:schemeClr w14:val="tx1"/>
                  </w14:solidFill>
                </w14:textFill>
              </w:rPr>
              <w:t>i</w:t>
            </w:r>
          </w:p>
          <w:p>
            <w:pPr>
              <w:autoSpaceDE w:val="0"/>
              <w:autoSpaceDN w:val="0"/>
              <w:adjustRightInd w:val="0"/>
              <w:snapToGrid w:val="0"/>
              <w:jc w:val="center"/>
              <w:rPr>
                <w:color w:val="000000" w:themeColor="text1"/>
                <w:kern w:val="0"/>
                <w:sz w:val="21"/>
                <w:szCs w:val="21"/>
                <w:u w:val="single"/>
                <w14:textFill>
                  <w14:solidFill>
                    <w14:schemeClr w14:val="tx1"/>
                  </w14:solidFill>
                </w14:textFill>
              </w:rPr>
            </w:pPr>
            <w:r>
              <w:rPr>
                <w:color w:val="000000" w:themeColor="text1"/>
                <w:kern w:val="0"/>
                <w:sz w:val="21"/>
                <w:szCs w:val="21"/>
                <w:u w:val="single"/>
                <w14:textFill>
                  <w14:solidFill>
                    <w14:schemeClr w14:val="tx1"/>
                  </w14:solidFill>
                </w14:textFill>
              </w:rPr>
              <w:t>（km</w:t>
            </w:r>
            <w:r>
              <w:rPr>
                <w:color w:val="000000" w:themeColor="text1"/>
                <w:kern w:val="0"/>
                <w:sz w:val="21"/>
                <w:szCs w:val="21"/>
                <w:u w:val="single"/>
                <w:vertAlign w:val="superscript"/>
                <w14:textFill>
                  <w14:solidFill>
                    <w14:schemeClr w14:val="tx1"/>
                  </w14:solidFill>
                </w14:textFill>
              </w:rPr>
              <w:t>2</w:t>
            </w:r>
            <w:r>
              <w:rPr>
                <w:color w:val="000000" w:themeColor="text1"/>
                <w:kern w:val="0"/>
                <w:sz w:val="21"/>
                <w:szCs w:val="21"/>
                <w:u w:val="single"/>
                <w14:textFill>
                  <w14:solidFill>
                    <w14:schemeClr w14:val="tx1"/>
                  </w14:solidFill>
                </w14:textFill>
              </w:rPr>
              <w:t>）</w:t>
            </w:r>
          </w:p>
        </w:tc>
        <w:tc>
          <w:tcPr>
            <w:tcW w:w="1445" w:type="dxa"/>
            <w:vAlign w:val="center"/>
          </w:tcPr>
          <w:p>
            <w:pPr>
              <w:autoSpaceDE w:val="0"/>
              <w:autoSpaceDN w:val="0"/>
              <w:adjustRightInd w:val="0"/>
              <w:snapToGrid w:val="0"/>
              <w:jc w:val="center"/>
              <w:rPr>
                <w:color w:val="000000" w:themeColor="text1"/>
                <w:kern w:val="0"/>
                <w:sz w:val="21"/>
                <w:szCs w:val="21"/>
                <w:u w:val="single"/>
                <w14:textFill>
                  <w14:solidFill>
                    <w14:schemeClr w14:val="tx1"/>
                  </w14:solidFill>
                </w14:textFill>
              </w:rPr>
            </w:pPr>
            <w:r>
              <w:rPr>
                <w:color w:val="000000" w:themeColor="text1"/>
                <w:kern w:val="0"/>
                <w:sz w:val="21"/>
                <w:szCs w:val="21"/>
                <w:u w:val="single"/>
                <w14:textFill>
                  <w14:solidFill>
                    <w14:schemeClr w14:val="tx1"/>
                  </w14:solidFill>
                </w14:textFill>
              </w:rPr>
              <w:t>水深H</w:t>
            </w:r>
          </w:p>
          <w:p>
            <w:pPr>
              <w:autoSpaceDE w:val="0"/>
              <w:autoSpaceDN w:val="0"/>
              <w:adjustRightInd w:val="0"/>
              <w:snapToGrid w:val="0"/>
              <w:jc w:val="center"/>
              <w:rPr>
                <w:color w:val="000000" w:themeColor="text1"/>
                <w:kern w:val="0"/>
                <w:sz w:val="21"/>
                <w:szCs w:val="21"/>
                <w:u w:val="single"/>
                <w14:textFill>
                  <w14:solidFill>
                    <w14:schemeClr w14:val="tx1"/>
                  </w14:solidFill>
                </w14:textFill>
              </w:rPr>
            </w:pPr>
            <w:r>
              <w:rPr>
                <w:color w:val="000000" w:themeColor="text1"/>
                <w:kern w:val="0"/>
                <w:sz w:val="21"/>
                <w:szCs w:val="21"/>
                <w:u w:val="single"/>
                <w14:textFill>
                  <w14:solidFill>
                    <w14:schemeClr w14:val="tx1"/>
                  </w14:solidFill>
                </w14:textFill>
              </w:rPr>
              <w:t>（m）</w:t>
            </w:r>
          </w:p>
        </w:tc>
        <w:tc>
          <w:tcPr>
            <w:tcW w:w="1133" w:type="dxa"/>
            <w:vAlign w:val="center"/>
          </w:tcPr>
          <w:p>
            <w:pPr>
              <w:autoSpaceDE w:val="0"/>
              <w:autoSpaceDN w:val="0"/>
              <w:adjustRightInd w:val="0"/>
              <w:snapToGrid w:val="0"/>
              <w:jc w:val="center"/>
              <w:rPr>
                <w:color w:val="000000" w:themeColor="text1"/>
                <w:kern w:val="0"/>
                <w:sz w:val="21"/>
                <w:szCs w:val="21"/>
                <w:u w:val="single"/>
                <w14:textFill>
                  <w14:solidFill>
                    <w14:schemeClr w14:val="tx1"/>
                  </w14:solidFill>
                </w14:textFill>
              </w:rPr>
            </w:pPr>
            <w:r>
              <w:rPr>
                <w:i/>
                <w:color w:val="000000" w:themeColor="text1"/>
                <w:kern w:val="0"/>
                <w:sz w:val="21"/>
                <w:szCs w:val="21"/>
                <w:u w:val="single"/>
                <w14:textFill>
                  <w14:solidFill>
                    <w14:schemeClr w14:val="tx1"/>
                  </w14:solidFill>
                </w14:textFill>
              </w:rPr>
              <w:t>K</w:t>
            </w:r>
            <w:r>
              <w:rPr>
                <w:i/>
                <w:color w:val="000000" w:themeColor="text1"/>
                <w:kern w:val="0"/>
                <w:sz w:val="21"/>
                <w:szCs w:val="21"/>
                <w:u w:val="single"/>
                <w:vertAlign w:val="subscript"/>
                <w14:textFill>
                  <w14:solidFill>
                    <w14:schemeClr w14:val="tx1"/>
                  </w14:solidFill>
                </w14:textFill>
              </w:rPr>
              <w:t>ij</w:t>
            </w:r>
            <w:r>
              <w:rPr>
                <w:color w:val="000000" w:themeColor="text1"/>
                <w:kern w:val="0"/>
                <w:sz w:val="21"/>
                <w:szCs w:val="21"/>
                <w:u w:val="single"/>
                <w14:textFill>
                  <w14:solidFill>
                    <w14:schemeClr w14:val="tx1"/>
                  </w14:solidFill>
                </w14:textFill>
              </w:rPr>
              <w:t>损失率</w:t>
            </w:r>
          </w:p>
          <w:p>
            <w:pPr>
              <w:autoSpaceDE w:val="0"/>
              <w:autoSpaceDN w:val="0"/>
              <w:adjustRightInd w:val="0"/>
              <w:snapToGrid w:val="0"/>
              <w:jc w:val="center"/>
              <w:rPr>
                <w:color w:val="000000" w:themeColor="text1"/>
                <w:kern w:val="0"/>
                <w:sz w:val="21"/>
                <w:szCs w:val="21"/>
                <w:u w:val="single"/>
                <w14:textFill>
                  <w14:solidFill>
                    <w14:schemeClr w14:val="tx1"/>
                  </w14:solidFill>
                </w14:textFill>
              </w:rPr>
            </w:pPr>
            <w:r>
              <w:rPr>
                <w:color w:val="000000" w:themeColor="text1"/>
                <w:kern w:val="0"/>
                <w:sz w:val="21"/>
                <w:szCs w:val="21"/>
                <w:u w:val="single"/>
                <w14:textFill>
                  <w14:solidFill>
                    <w14:schemeClr w14:val="tx1"/>
                  </w14:solidFill>
                </w14:textFill>
              </w:rPr>
              <w:t>（%）</w:t>
            </w:r>
          </w:p>
        </w:tc>
        <w:tc>
          <w:tcPr>
            <w:tcW w:w="1624" w:type="dxa"/>
            <w:vAlign w:val="center"/>
          </w:tcPr>
          <w:p>
            <w:pPr>
              <w:autoSpaceDE w:val="0"/>
              <w:autoSpaceDN w:val="0"/>
              <w:adjustRightInd w:val="0"/>
              <w:snapToGrid w:val="0"/>
              <w:jc w:val="center"/>
              <w:rPr>
                <w:color w:val="000000" w:themeColor="text1"/>
                <w:kern w:val="0"/>
                <w:sz w:val="21"/>
                <w:szCs w:val="21"/>
                <w:u w:val="single"/>
                <w14:textFill>
                  <w14:solidFill>
                    <w14:schemeClr w14:val="tx1"/>
                  </w14:solidFill>
                </w14:textFill>
              </w:rPr>
            </w:pPr>
            <w:r>
              <w:rPr>
                <w:color w:val="000000" w:themeColor="text1"/>
                <w:kern w:val="0"/>
                <w:sz w:val="21"/>
                <w:szCs w:val="21"/>
                <w:u w:val="single"/>
                <w14:textFill>
                  <w14:solidFill>
                    <w14:schemeClr w14:val="tx1"/>
                  </w14:solidFill>
                </w14:textFill>
              </w:rPr>
              <w:t>直接损失量</w:t>
            </w:r>
          </w:p>
          <w:p>
            <w:pPr>
              <w:autoSpaceDE w:val="0"/>
              <w:autoSpaceDN w:val="0"/>
              <w:adjustRightInd w:val="0"/>
              <w:snapToGrid w:val="0"/>
              <w:jc w:val="center"/>
              <w:rPr>
                <w:color w:val="000000" w:themeColor="text1"/>
                <w:kern w:val="0"/>
                <w:sz w:val="21"/>
                <w:szCs w:val="21"/>
                <w:u w:val="single"/>
                <w14:textFill>
                  <w14:solidFill>
                    <w14:schemeClr w14:val="tx1"/>
                  </w14:solidFill>
                </w14:textFill>
              </w:rPr>
            </w:pPr>
            <w:r>
              <w:rPr>
                <w:color w:val="000000" w:themeColor="text1"/>
                <w:kern w:val="0"/>
                <w:sz w:val="21"/>
                <w:szCs w:val="21"/>
                <w:u w:val="single"/>
                <w14:textFill>
                  <w14:solidFill>
                    <w14:schemeClr w14:val="tx1"/>
                  </w14:solidFill>
                </w14:textFill>
              </w:rPr>
              <w:t>（t）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104" w:type="dxa"/>
            <w:vMerge w:val="restart"/>
            <w:vAlign w:val="center"/>
          </w:tcPr>
          <w:p>
            <w:pPr>
              <w:pStyle w:val="2001"/>
            </w:pPr>
            <w:r>
              <w:t>浮游动物</w:t>
            </w:r>
          </w:p>
        </w:tc>
        <w:tc>
          <w:tcPr>
            <w:tcW w:w="1774" w:type="dxa"/>
            <w:vMerge w:val="restart"/>
            <w:vAlign w:val="center"/>
          </w:tcPr>
          <w:p>
            <w:pPr>
              <w:autoSpaceDE w:val="0"/>
              <w:autoSpaceDN w:val="0"/>
              <w:adjustRightInd w:val="0"/>
              <w:snapToGrid w:val="0"/>
              <w:jc w:val="center"/>
              <w:rPr>
                <w:color w:val="000000" w:themeColor="text1"/>
                <w:kern w:val="0"/>
                <w:sz w:val="21"/>
                <w:szCs w:val="21"/>
                <w:u w:val="single"/>
                <w14:textFill>
                  <w14:solidFill>
                    <w14:schemeClr w14:val="tx1"/>
                  </w14:solidFill>
                </w14:textFill>
              </w:rPr>
            </w:pPr>
            <w:r>
              <w:rPr>
                <w:color w:val="000000" w:themeColor="text1"/>
                <w:kern w:val="0"/>
                <w:sz w:val="21"/>
                <w:szCs w:val="21"/>
                <w:u w:val="single"/>
                <w14:textFill>
                  <w14:solidFill>
                    <w14:schemeClr w14:val="tx1"/>
                  </w14:solidFill>
                </w14:textFill>
              </w:rPr>
              <w:t>0.510g/m</w:t>
            </w:r>
            <w:r>
              <w:rPr>
                <w:color w:val="000000" w:themeColor="text1"/>
                <w:kern w:val="0"/>
                <w:sz w:val="21"/>
                <w:szCs w:val="21"/>
                <w:u w:val="single"/>
                <w:vertAlign w:val="superscript"/>
                <w14:textFill>
                  <w14:solidFill>
                    <w14:schemeClr w14:val="tx1"/>
                  </w14:solidFill>
                </w14:textFill>
              </w:rPr>
              <w:t>3</w:t>
            </w:r>
          </w:p>
        </w:tc>
        <w:tc>
          <w:tcPr>
            <w:tcW w:w="1448" w:type="dxa"/>
            <w:vAlign w:val="center"/>
          </w:tcPr>
          <w:p>
            <w:pPr>
              <w:pStyle w:val="1856"/>
              <w:ind w:firstLine="0" w:firstLineChars="0"/>
              <w:jc w:val="center"/>
              <w:rPr>
                <w:color w:val="000000" w:themeColor="text1"/>
                <w:sz w:val="21"/>
                <w:szCs w:val="21"/>
                <w:u w:val="single"/>
                <w14:textFill>
                  <w14:solidFill>
                    <w14:schemeClr w14:val="tx1"/>
                  </w14:solidFill>
                </w14:textFill>
              </w:rPr>
            </w:pPr>
            <w:r>
              <w:rPr>
                <w:rFonts w:hint="eastAsia"/>
                <w:color w:val="000000" w:themeColor="text1"/>
                <w:sz w:val="21"/>
                <w:szCs w:val="21"/>
                <w:u w:val="single"/>
                <w14:textFill>
                  <w14:solidFill>
                    <w14:schemeClr w14:val="tx1"/>
                  </w14:solidFill>
                </w14:textFill>
              </w:rPr>
              <w:t>2.05</w:t>
            </w:r>
          </w:p>
        </w:tc>
        <w:tc>
          <w:tcPr>
            <w:tcW w:w="1445" w:type="dxa"/>
            <w:vAlign w:val="center"/>
          </w:tcPr>
          <w:p>
            <w:pPr>
              <w:autoSpaceDE w:val="0"/>
              <w:autoSpaceDN w:val="0"/>
              <w:adjustRightInd w:val="0"/>
              <w:snapToGrid w:val="0"/>
              <w:jc w:val="center"/>
              <w:rPr>
                <w:color w:val="000000" w:themeColor="text1"/>
                <w:kern w:val="0"/>
                <w:sz w:val="21"/>
                <w:szCs w:val="21"/>
                <w:u w:val="single"/>
                <w14:textFill>
                  <w14:solidFill>
                    <w14:schemeClr w14:val="tx1"/>
                  </w14:solidFill>
                </w14:textFill>
              </w:rPr>
            </w:pPr>
            <w:r>
              <w:rPr>
                <w:rFonts w:hint="eastAsia"/>
                <w:color w:val="000000" w:themeColor="text1"/>
                <w:kern w:val="0"/>
                <w:sz w:val="21"/>
                <w:szCs w:val="21"/>
                <w:u w:val="single"/>
                <w14:textFill>
                  <w14:solidFill>
                    <w14:schemeClr w14:val="tx1"/>
                  </w14:solidFill>
                </w14:textFill>
              </w:rPr>
              <w:t>15</w:t>
            </w:r>
          </w:p>
        </w:tc>
        <w:tc>
          <w:tcPr>
            <w:tcW w:w="1133" w:type="dxa"/>
            <w:vAlign w:val="center"/>
          </w:tcPr>
          <w:p>
            <w:pPr>
              <w:autoSpaceDE w:val="0"/>
              <w:autoSpaceDN w:val="0"/>
              <w:adjustRightInd w:val="0"/>
              <w:snapToGrid w:val="0"/>
              <w:jc w:val="center"/>
              <w:rPr>
                <w:color w:val="000000" w:themeColor="text1"/>
                <w:kern w:val="0"/>
                <w:sz w:val="21"/>
                <w:szCs w:val="21"/>
                <w:u w:val="single"/>
                <w14:textFill>
                  <w14:solidFill>
                    <w14:schemeClr w14:val="tx1"/>
                  </w14:solidFill>
                </w14:textFill>
              </w:rPr>
            </w:pPr>
            <w:r>
              <w:rPr>
                <w:color w:val="000000" w:themeColor="text1"/>
                <w:kern w:val="0"/>
                <w:sz w:val="21"/>
                <w:szCs w:val="21"/>
                <w:u w:val="single"/>
                <w14:textFill>
                  <w14:solidFill>
                    <w14:schemeClr w14:val="tx1"/>
                  </w14:solidFill>
                </w14:textFill>
              </w:rPr>
              <w:t>5</w:t>
            </w:r>
          </w:p>
        </w:tc>
        <w:tc>
          <w:tcPr>
            <w:tcW w:w="1624" w:type="dxa"/>
            <w:vAlign w:val="bottom"/>
          </w:tcPr>
          <w:p>
            <w:pPr>
              <w:autoSpaceDE w:val="0"/>
              <w:autoSpaceDN w:val="0"/>
              <w:adjustRightInd w:val="0"/>
              <w:snapToGrid w:val="0"/>
              <w:jc w:val="center"/>
              <w:rPr>
                <w:color w:val="000000" w:themeColor="text1"/>
                <w:kern w:val="0"/>
                <w:sz w:val="21"/>
                <w:szCs w:val="21"/>
                <w:u w:val="single"/>
                <w14:textFill>
                  <w14:solidFill>
                    <w14:schemeClr w14:val="tx1"/>
                  </w14:solidFill>
                </w14:textFill>
              </w:rPr>
            </w:pPr>
            <w:r>
              <w:rPr>
                <w:rFonts w:hint="eastAsia"/>
                <w:color w:val="000000" w:themeColor="text1"/>
                <w:kern w:val="0"/>
                <w:sz w:val="21"/>
                <w:szCs w:val="21"/>
                <w:u w:val="single"/>
                <w14:textFill>
                  <w14:solidFill>
                    <w14:schemeClr w14:val="tx1"/>
                  </w14:solidFill>
                </w14:textFill>
              </w:rPr>
              <w:t>0.0008</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104" w:type="dxa"/>
            <w:vMerge w:val="continue"/>
            <w:vAlign w:val="center"/>
          </w:tcPr>
          <w:p>
            <w:pPr>
              <w:pStyle w:val="2001"/>
            </w:pPr>
          </w:p>
        </w:tc>
        <w:tc>
          <w:tcPr>
            <w:tcW w:w="1774" w:type="dxa"/>
            <w:vMerge w:val="continue"/>
            <w:vAlign w:val="center"/>
          </w:tcPr>
          <w:p>
            <w:pPr>
              <w:autoSpaceDE w:val="0"/>
              <w:autoSpaceDN w:val="0"/>
              <w:adjustRightInd w:val="0"/>
              <w:snapToGrid w:val="0"/>
              <w:jc w:val="center"/>
              <w:rPr>
                <w:color w:val="000000" w:themeColor="text1"/>
                <w:kern w:val="0"/>
                <w:sz w:val="21"/>
                <w:szCs w:val="21"/>
                <w:u w:val="single"/>
                <w14:textFill>
                  <w14:solidFill>
                    <w14:schemeClr w14:val="tx1"/>
                  </w14:solidFill>
                </w14:textFill>
              </w:rPr>
            </w:pPr>
          </w:p>
        </w:tc>
        <w:tc>
          <w:tcPr>
            <w:tcW w:w="1448" w:type="dxa"/>
            <w:vAlign w:val="center"/>
          </w:tcPr>
          <w:p>
            <w:pPr>
              <w:pStyle w:val="1856"/>
              <w:ind w:firstLine="0" w:firstLineChars="0"/>
              <w:jc w:val="center"/>
              <w:rPr>
                <w:color w:val="000000" w:themeColor="text1"/>
                <w:sz w:val="21"/>
                <w:szCs w:val="21"/>
                <w:u w:val="single"/>
                <w14:textFill>
                  <w14:solidFill>
                    <w14:schemeClr w14:val="tx1"/>
                  </w14:solidFill>
                </w14:textFill>
              </w:rPr>
            </w:pPr>
            <w:r>
              <w:rPr>
                <w:rFonts w:hint="eastAsia"/>
                <w:color w:val="000000" w:themeColor="text1"/>
                <w:sz w:val="21"/>
                <w:szCs w:val="21"/>
                <w:u w:val="single"/>
                <w14:textFill>
                  <w14:solidFill>
                    <w14:schemeClr w14:val="tx1"/>
                  </w14:solidFill>
                </w14:textFill>
              </w:rPr>
              <w:t>1.15</w:t>
            </w:r>
          </w:p>
        </w:tc>
        <w:tc>
          <w:tcPr>
            <w:tcW w:w="1445" w:type="dxa"/>
          </w:tcPr>
          <w:p>
            <w:pPr>
              <w:autoSpaceDE w:val="0"/>
              <w:autoSpaceDN w:val="0"/>
              <w:adjustRightInd w:val="0"/>
              <w:snapToGrid w:val="0"/>
              <w:jc w:val="center"/>
              <w:rPr>
                <w:color w:val="000000" w:themeColor="text1"/>
                <w:kern w:val="0"/>
                <w:sz w:val="21"/>
                <w:szCs w:val="21"/>
                <w:u w:val="single"/>
                <w14:textFill>
                  <w14:solidFill>
                    <w14:schemeClr w14:val="tx1"/>
                  </w14:solidFill>
                </w14:textFill>
              </w:rPr>
            </w:pPr>
            <w:r>
              <w:rPr>
                <w:rFonts w:hint="eastAsia"/>
                <w:color w:val="000000" w:themeColor="text1"/>
                <w:kern w:val="0"/>
                <w:sz w:val="21"/>
                <w:szCs w:val="21"/>
                <w:u w:val="single"/>
                <w14:textFill>
                  <w14:solidFill>
                    <w14:schemeClr w14:val="tx1"/>
                  </w14:solidFill>
                </w14:textFill>
              </w:rPr>
              <w:t>15</w:t>
            </w:r>
          </w:p>
        </w:tc>
        <w:tc>
          <w:tcPr>
            <w:tcW w:w="1133" w:type="dxa"/>
            <w:vAlign w:val="center"/>
          </w:tcPr>
          <w:p>
            <w:pPr>
              <w:autoSpaceDE w:val="0"/>
              <w:autoSpaceDN w:val="0"/>
              <w:adjustRightInd w:val="0"/>
              <w:snapToGrid w:val="0"/>
              <w:jc w:val="center"/>
              <w:rPr>
                <w:color w:val="000000" w:themeColor="text1"/>
                <w:kern w:val="0"/>
                <w:sz w:val="21"/>
                <w:szCs w:val="21"/>
                <w:u w:val="single"/>
                <w14:textFill>
                  <w14:solidFill>
                    <w14:schemeClr w14:val="tx1"/>
                  </w14:solidFill>
                </w14:textFill>
              </w:rPr>
            </w:pPr>
            <w:r>
              <w:rPr>
                <w:color w:val="000000" w:themeColor="text1"/>
                <w:kern w:val="0"/>
                <w:sz w:val="21"/>
                <w:szCs w:val="21"/>
                <w:u w:val="single"/>
                <w14:textFill>
                  <w14:solidFill>
                    <w14:schemeClr w14:val="tx1"/>
                  </w14:solidFill>
                </w14:textFill>
              </w:rPr>
              <w:t>20</w:t>
            </w:r>
          </w:p>
        </w:tc>
        <w:tc>
          <w:tcPr>
            <w:tcW w:w="1624" w:type="dxa"/>
            <w:vAlign w:val="bottom"/>
          </w:tcPr>
          <w:p>
            <w:pPr>
              <w:autoSpaceDE w:val="0"/>
              <w:autoSpaceDN w:val="0"/>
              <w:adjustRightInd w:val="0"/>
              <w:snapToGrid w:val="0"/>
              <w:jc w:val="center"/>
              <w:rPr>
                <w:color w:val="000000" w:themeColor="text1"/>
                <w:kern w:val="0"/>
                <w:sz w:val="21"/>
                <w:szCs w:val="21"/>
                <w:u w:val="single"/>
                <w14:textFill>
                  <w14:solidFill>
                    <w14:schemeClr w14:val="tx1"/>
                  </w14:solidFill>
                </w14:textFill>
              </w:rPr>
            </w:pPr>
            <w:r>
              <w:rPr>
                <w:rFonts w:hint="eastAsia"/>
                <w:color w:val="000000" w:themeColor="text1"/>
                <w:kern w:val="0"/>
                <w:sz w:val="21"/>
                <w:szCs w:val="21"/>
                <w:u w:val="single"/>
                <w14:textFill>
                  <w14:solidFill>
                    <w14:schemeClr w14:val="tx1"/>
                  </w14:solidFill>
                </w14:textFill>
              </w:rPr>
              <w:t>0.0018</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104" w:type="dxa"/>
            <w:vMerge w:val="continue"/>
            <w:vAlign w:val="center"/>
          </w:tcPr>
          <w:p>
            <w:pPr>
              <w:pStyle w:val="2001"/>
            </w:pPr>
          </w:p>
        </w:tc>
        <w:tc>
          <w:tcPr>
            <w:tcW w:w="1774" w:type="dxa"/>
            <w:vMerge w:val="continue"/>
            <w:vAlign w:val="center"/>
          </w:tcPr>
          <w:p>
            <w:pPr>
              <w:autoSpaceDE w:val="0"/>
              <w:autoSpaceDN w:val="0"/>
              <w:adjustRightInd w:val="0"/>
              <w:snapToGrid w:val="0"/>
              <w:jc w:val="center"/>
              <w:rPr>
                <w:color w:val="000000" w:themeColor="text1"/>
                <w:kern w:val="0"/>
                <w:sz w:val="21"/>
                <w:szCs w:val="21"/>
                <w:u w:val="single"/>
                <w14:textFill>
                  <w14:solidFill>
                    <w14:schemeClr w14:val="tx1"/>
                  </w14:solidFill>
                </w14:textFill>
              </w:rPr>
            </w:pPr>
          </w:p>
        </w:tc>
        <w:tc>
          <w:tcPr>
            <w:tcW w:w="1448" w:type="dxa"/>
            <w:vAlign w:val="center"/>
          </w:tcPr>
          <w:p>
            <w:pPr>
              <w:pStyle w:val="1856"/>
              <w:ind w:firstLine="0" w:firstLineChars="0"/>
              <w:jc w:val="center"/>
              <w:rPr>
                <w:color w:val="000000" w:themeColor="text1"/>
                <w:sz w:val="21"/>
                <w:szCs w:val="21"/>
                <w:u w:val="single"/>
                <w14:textFill>
                  <w14:solidFill>
                    <w14:schemeClr w14:val="tx1"/>
                  </w14:solidFill>
                </w14:textFill>
              </w:rPr>
            </w:pPr>
            <w:r>
              <w:rPr>
                <w:rFonts w:hint="eastAsia"/>
                <w:color w:val="000000" w:themeColor="text1"/>
                <w:sz w:val="21"/>
                <w:szCs w:val="21"/>
                <w:u w:val="single"/>
                <w14:textFill>
                  <w14:solidFill>
                    <w14:schemeClr w14:val="tx1"/>
                  </w14:solidFill>
                </w14:textFill>
              </w:rPr>
              <w:t>0.99</w:t>
            </w:r>
          </w:p>
        </w:tc>
        <w:tc>
          <w:tcPr>
            <w:tcW w:w="1445" w:type="dxa"/>
          </w:tcPr>
          <w:p>
            <w:pPr>
              <w:autoSpaceDE w:val="0"/>
              <w:autoSpaceDN w:val="0"/>
              <w:adjustRightInd w:val="0"/>
              <w:snapToGrid w:val="0"/>
              <w:jc w:val="center"/>
              <w:rPr>
                <w:color w:val="000000" w:themeColor="text1"/>
                <w:kern w:val="0"/>
                <w:sz w:val="21"/>
                <w:szCs w:val="21"/>
                <w:u w:val="single"/>
                <w14:textFill>
                  <w14:solidFill>
                    <w14:schemeClr w14:val="tx1"/>
                  </w14:solidFill>
                </w14:textFill>
              </w:rPr>
            </w:pPr>
            <w:r>
              <w:rPr>
                <w:rFonts w:hint="eastAsia"/>
                <w:color w:val="000000" w:themeColor="text1"/>
                <w:kern w:val="0"/>
                <w:sz w:val="21"/>
                <w:szCs w:val="21"/>
                <w:u w:val="single"/>
                <w14:textFill>
                  <w14:solidFill>
                    <w14:schemeClr w14:val="tx1"/>
                  </w14:solidFill>
                </w14:textFill>
              </w:rPr>
              <w:t>15</w:t>
            </w:r>
          </w:p>
        </w:tc>
        <w:tc>
          <w:tcPr>
            <w:tcW w:w="1133" w:type="dxa"/>
            <w:vAlign w:val="center"/>
          </w:tcPr>
          <w:p>
            <w:pPr>
              <w:autoSpaceDE w:val="0"/>
              <w:autoSpaceDN w:val="0"/>
              <w:adjustRightInd w:val="0"/>
              <w:snapToGrid w:val="0"/>
              <w:jc w:val="center"/>
              <w:rPr>
                <w:color w:val="000000" w:themeColor="text1"/>
                <w:kern w:val="0"/>
                <w:sz w:val="21"/>
                <w:szCs w:val="21"/>
                <w:u w:val="single"/>
                <w14:textFill>
                  <w14:solidFill>
                    <w14:schemeClr w14:val="tx1"/>
                  </w14:solidFill>
                </w14:textFill>
              </w:rPr>
            </w:pPr>
            <w:r>
              <w:rPr>
                <w:color w:val="000000" w:themeColor="text1"/>
                <w:kern w:val="0"/>
                <w:sz w:val="21"/>
                <w:szCs w:val="21"/>
                <w:u w:val="single"/>
                <w14:textFill>
                  <w14:solidFill>
                    <w14:schemeClr w14:val="tx1"/>
                  </w14:solidFill>
                </w14:textFill>
              </w:rPr>
              <w:t>40</w:t>
            </w:r>
          </w:p>
        </w:tc>
        <w:tc>
          <w:tcPr>
            <w:tcW w:w="1624" w:type="dxa"/>
            <w:vAlign w:val="bottom"/>
          </w:tcPr>
          <w:p>
            <w:pPr>
              <w:autoSpaceDE w:val="0"/>
              <w:autoSpaceDN w:val="0"/>
              <w:adjustRightInd w:val="0"/>
              <w:snapToGrid w:val="0"/>
              <w:jc w:val="center"/>
              <w:rPr>
                <w:color w:val="000000" w:themeColor="text1"/>
                <w:kern w:val="0"/>
                <w:sz w:val="21"/>
                <w:szCs w:val="21"/>
                <w:u w:val="single"/>
                <w14:textFill>
                  <w14:solidFill>
                    <w14:schemeClr w14:val="tx1"/>
                  </w14:solidFill>
                </w14:textFill>
              </w:rPr>
            </w:pPr>
            <w:r>
              <w:rPr>
                <w:rFonts w:hint="eastAsia"/>
                <w:color w:val="000000" w:themeColor="text1"/>
                <w:kern w:val="0"/>
                <w:sz w:val="21"/>
                <w:szCs w:val="21"/>
                <w:u w:val="single"/>
                <w14:textFill>
                  <w14:solidFill>
                    <w14:schemeClr w14:val="tx1"/>
                  </w14:solidFill>
                </w14:textFill>
              </w:rPr>
              <w:t>0.0030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104" w:type="dxa"/>
            <w:vMerge w:val="continue"/>
            <w:vAlign w:val="center"/>
          </w:tcPr>
          <w:p>
            <w:pPr>
              <w:pStyle w:val="2001"/>
            </w:pPr>
          </w:p>
        </w:tc>
        <w:tc>
          <w:tcPr>
            <w:tcW w:w="1774" w:type="dxa"/>
            <w:vMerge w:val="continue"/>
            <w:vAlign w:val="center"/>
          </w:tcPr>
          <w:p>
            <w:pPr>
              <w:autoSpaceDE w:val="0"/>
              <w:autoSpaceDN w:val="0"/>
              <w:adjustRightInd w:val="0"/>
              <w:snapToGrid w:val="0"/>
              <w:jc w:val="center"/>
              <w:rPr>
                <w:color w:val="000000" w:themeColor="text1"/>
                <w:kern w:val="0"/>
                <w:sz w:val="21"/>
                <w:szCs w:val="21"/>
                <w:u w:val="single"/>
                <w14:textFill>
                  <w14:solidFill>
                    <w14:schemeClr w14:val="tx1"/>
                  </w14:solidFill>
                </w14:textFill>
              </w:rPr>
            </w:pPr>
          </w:p>
        </w:tc>
        <w:tc>
          <w:tcPr>
            <w:tcW w:w="1448" w:type="dxa"/>
            <w:vAlign w:val="center"/>
          </w:tcPr>
          <w:p>
            <w:pPr>
              <w:pStyle w:val="1856"/>
              <w:ind w:firstLine="0" w:firstLineChars="0"/>
              <w:jc w:val="center"/>
              <w:rPr>
                <w:color w:val="000000" w:themeColor="text1"/>
                <w:sz w:val="21"/>
                <w:szCs w:val="21"/>
                <w:u w:val="single"/>
                <w14:textFill>
                  <w14:solidFill>
                    <w14:schemeClr w14:val="tx1"/>
                  </w14:solidFill>
                </w14:textFill>
              </w:rPr>
            </w:pPr>
            <w:r>
              <w:rPr>
                <w:rFonts w:hint="eastAsia"/>
                <w:color w:val="000000" w:themeColor="text1"/>
                <w:sz w:val="21"/>
                <w:szCs w:val="21"/>
                <w:u w:val="single"/>
                <w14:textFill>
                  <w14:solidFill>
                    <w14:schemeClr w14:val="tx1"/>
                  </w14:solidFill>
                </w14:textFill>
              </w:rPr>
              <w:t>0.52</w:t>
            </w:r>
          </w:p>
        </w:tc>
        <w:tc>
          <w:tcPr>
            <w:tcW w:w="1445" w:type="dxa"/>
          </w:tcPr>
          <w:p>
            <w:pPr>
              <w:autoSpaceDE w:val="0"/>
              <w:autoSpaceDN w:val="0"/>
              <w:adjustRightInd w:val="0"/>
              <w:snapToGrid w:val="0"/>
              <w:jc w:val="center"/>
              <w:rPr>
                <w:color w:val="000000" w:themeColor="text1"/>
                <w:kern w:val="0"/>
                <w:sz w:val="21"/>
                <w:szCs w:val="21"/>
                <w:u w:val="single"/>
                <w14:textFill>
                  <w14:solidFill>
                    <w14:schemeClr w14:val="tx1"/>
                  </w14:solidFill>
                </w14:textFill>
              </w:rPr>
            </w:pPr>
            <w:r>
              <w:rPr>
                <w:rFonts w:hint="eastAsia"/>
                <w:color w:val="000000" w:themeColor="text1"/>
                <w:kern w:val="0"/>
                <w:sz w:val="21"/>
                <w:szCs w:val="21"/>
                <w:u w:val="single"/>
                <w14:textFill>
                  <w14:solidFill>
                    <w14:schemeClr w14:val="tx1"/>
                  </w14:solidFill>
                </w14:textFill>
              </w:rPr>
              <w:t>15</w:t>
            </w:r>
          </w:p>
        </w:tc>
        <w:tc>
          <w:tcPr>
            <w:tcW w:w="1133" w:type="dxa"/>
            <w:vAlign w:val="center"/>
          </w:tcPr>
          <w:p>
            <w:pPr>
              <w:autoSpaceDE w:val="0"/>
              <w:autoSpaceDN w:val="0"/>
              <w:adjustRightInd w:val="0"/>
              <w:snapToGrid w:val="0"/>
              <w:jc w:val="center"/>
              <w:rPr>
                <w:color w:val="000000" w:themeColor="text1"/>
                <w:kern w:val="0"/>
                <w:sz w:val="21"/>
                <w:szCs w:val="21"/>
                <w:u w:val="single"/>
                <w14:textFill>
                  <w14:solidFill>
                    <w14:schemeClr w14:val="tx1"/>
                  </w14:solidFill>
                </w14:textFill>
              </w:rPr>
            </w:pPr>
            <w:r>
              <w:rPr>
                <w:color w:val="000000" w:themeColor="text1"/>
                <w:kern w:val="0"/>
                <w:sz w:val="21"/>
                <w:szCs w:val="21"/>
                <w:u w:val="single"/>
                <w14:textFill>
                  <w14:solidFill>
                    <w14:schemeClr w14:val="tx1"/>
                  </w14:solidFill>
                </w14:textFill>
              </w:rPr>
              <w:t>50</w:t>
            </w:r>
          </w:p>
        </w:tc>
        <w:tc>
          <w:tcPr>
            <w:tcW w:w="1624" w:type="dxa"/>
            <w:vAlign w:val="bottom"/>
          </w:tcPr>
          <w:p>
            <w:pPr>
              <w:autoSpaceDE w:val="0"/>
              <w:autoSpaceDN w:val="0"/>
              <w:adjustRightInd w:val="0"/>
              <w:snapToGrid w:val="0"/>
              <w:jc w:val="center"/>
              <w:rPr>
                <w:color w:val="000000" w:themeColor="text1"/>
                <w:kern w:val="0"/>
                <w:sz w:val="21"/>
                <w:szCs w:val="21"/>
                <w:u w:val="single"/>
                <w14:textFill>
                  <w14:solidFill>
                    <w14:schemeClr w14:val="tx1"/>
                  </w14:solidFill>
                </w14:textFill>
              </w:rPr>
            </w:pPr>
            <w:r>
              <w:rPr>
                <w:rFonts w:hint="eastAsia"/>
                <w:color w:val="000000" w:themeColor="text1"/>
                <w:kern w:val="0"/>
                <w:sz w:val="21"/>
                <w:szCs w:val="21"/>
                <w:u w:val="single"/>
                <w14:textFill>
                  <w14:solidFill>
                    <w14:schemeClr w14:val="tx1"/>
                  </w14:solidFill>
                </w14:textFill>
              </w:rPr>
              <w:t>0.0020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104" w:type="dxa"/>
            <w:vAlign w:val="center"/>
          </w:tcPr>
          <w:p>
            <w:pPr>
              <w:pStyle w:val="2001"/>
            </w:pPr>
            <w:r>
              <w:t>小计</w:t>
            </w:r>
          </w:p>
        </w:tc>
        <w:tc>
          <w:tcPr>
            <w:tcW w:w="5800" w:type="dxa"/>
            <w:gridSpan w:val="4"/>
            <w:vAlign w:val="center"/>
          </w:tcPr>
          <w:p>
            <w:pPr>
              <w:autoSpaceDE w:val="0"/>
              <w:autoSpaceDN w:val="0"/>
              <w:adjustRightInd w:val="0"/>
              <w:snapToGrid w:val="0"/>
              <w:jc w:val="center"/>
              <w:rPr>
                <w:color w:val="000000" w:themeColor="text1"/>
                <w:kern w:val="0"/>
                <w:sz w:val="21"/>
                <w:szCs w:val="21"/>
                <w:u w:val="single"/>
                <w14:textFill>
                  <w14:solidFill>
                    <w14:schemeClr w14:val="tx1"/>
                  </w14:solidFill>
                </w14:textFill>
              </w:rPr>
            </w:pPr>
            <w:r>
              <w:rPr>
                <w:color w:val="000000" w:themeColor="text1"/>
                <w:kern w:val="0"/>
                <w:sz w:val="21"/>
                <w:szCs w:val="21"/>
                <w:u w:val="single"/>
                <w14:textFill>
                  <w14:solidFill>
                    <w14:schemeClr w14:val="tx1"/>
                  </w14:solidFill>
                </w14:textFill>
              </w:rPr>
              <w:t>/</w:t>
            </w:r>
          </w:p>
        </w:tc>
        <w:tc>
          <w:tcPr>
            <w:tcW w:w="1624" w:type="dxa"/>
            <w:vAlign w:val="center"/>
          </w:tcPr>
          <w:p>
            <w:pPr>
              <w:autoSpaceDE w:val="0"/>
              <w:autoSpaceDN w:val="0"/>
              <w:adjustRightInd w:val="0"/>
              <w:snapToGrid w:val="0"/>
              <w:jc w:val="center"/>
              <w:rPr>
                <w:color w:val="000000" w:themeColor="text1"/>
                <w:kern w:val="0"/>
                <w:sz w:val="21"/>
                <w:szCs w:val="21"/>
                <w:u w:val="single"/>
                <w14:textFill>
                  <w14:solidFill>
                    <w14:schemeClr w14:val="tx1"/>
                  </w14:solidFill>
                </w14:textFill>
              </w:rPr>
            </w:pPr>
            <w:r>
              <w:rPr>
                <w:color w:val="000000" w:themeColor="text1"/>
                <w:kern w:val="0"/>
                <w:sz w:val="21"/>
                <w:szCs w:val="21"/>
                <w:u w:val="single"/>
                <w14:textFill>
                  <w14:solidFill>
                    <w14:schemeClr w14:val="tx1"/>
                  </w14:solidFill>
                </w14:textFill>
              </w:rPr>
              <w:t>0.0076</w:t>
            </w:r>
          </w:p>
        </w:tc>
      </w:tr>
    </w:tbl>
    <w:p>
      <w:pPr>
        <w:pStyle w:val="283"/>
        <w:rPr>
          <w:color w:val="000000" w:themeColor="text1"/>
          <w14:textFill>
            <w14:solidFill>
              <w14:schemeClr w14:val="tx1"/>
            </w14:solidFill>
          </w14:textFill>
        </w:rPr>
      </w:pPr>
      <w:r>
        <w:rPr>
          <w:color w:val="000000" w:themeColor="text1"/>
          <w14:textFill>
            <w14:solidFill>
              <w14:schemeClr w14:val="tx1"/>
            </w14:solidFill>
          </w14:textFill>
        </w:rPr>
        <w:t>3</w:t>
      </w:r>
      <w:r>
        <w:rPr>
          <w:rFonts w:hint="eastAsia"/>
          <w:color w:val="000000" w:themeColor="text1"/>
          <w14:textFill>
            <w14:solidFill>
              <w14:schemeClr w14:val="tx1"/>
            </w14:solidFill>
          </w14:textFill>
        </w:rPr>
        <w:t>、悬浮物</w:t>
      </w:r>
      <w:r>
        <w:rPr>
          <w:color w:val="000000" w:themeColor="text1"/>
          <w14:textFill>
            <w14:solidFill>
              <w14:schemeClr w14:val="tx1"/>
            </w14:solidFill>
          </w14:textFill>
        </w:rPr>
        <w:t>扩散生物损害及经济损失汇总</w:t>
      </w:r>
    </w:p>
    <w:p>
      <w:pPr>
        <w:pStyle w:val="384"/>
        <w:ind w:left="0" w:firstLine="503"/>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悬浮物扩散生态补偿金额估算</w:t>
      </w:r>
    </w:p>
    <w:tbl>
      <w:tblPr>
        <w:tblStyle w:val="88"/>
        <w:tblW w:w="8528" w:type="dxa"/>
        <w:jc w:val="center"/>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448"/>
        <w:gridCol w:w="1250"/>
        <w:gridCol w:w="1250"/>
        <w:gridCol w:w="1324"/>
        <w:gridCol w:w="1177"/>
        <w:gridCol w:w="752"/>
        <w:gridCol w:w="1327"/>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blHeader/>
          <w:jc w:val="center"/>
        </w:trPr>
        <w:tc>
          <w:tcPr>
            <w:tcW w:w="1448" w:type="dxa"/>
            <w:vAlign w:val="center"/>
          </w:tcPr>
          <w:p>
            <w:pPr>
              <w:autoSpaceDE w:val="0"/>
              <w:autoSpaceDN w:val="0"/>
              <w:adjustRightInd w:val="0"/>
              <w:snapToGrid w:val="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工程类型</w:t>
            </w:r>
          </w:p>
        </w:tc>
        <w:tc>
          <w:tcPr>
            <w:tcW w:w="1250" w:type="dxa"/>
            <w:vAlign w:val="center"/>
          </w:tcPr>
          <w:p>
            <w:pPr>
              <w:autoSpaceDE w:val="0"/>
              <w:autoSpaceDN w:val="0"/>
              <w:adjustRightInd w:val="0"/>
              <w:snapToGrid w:val="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受损海洋</w:t>
            </w:r>
          </w:p>
          <w:p>
            <w:pPr>
              <w:autoSpaceDE w:val="0"/>
              <w:autoSpaceDN w:val="0"/>
              <w:adjustRightInd w:val="0"/>
              <w:snapToGrid w:val="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生物</w:t>
            </w:r>
          </w:p>
        </w:tc>
        <w:tc>
          <w:tcPr>
            <w:tcW w:w="1250" w:type="dxa"/>
            <w:vAlign w:val="center"/>
          </w:tcPr>
          <w:p>
            <w:pPr>
              <w:autoSpaceDE w:val="0"/>
              <w:autoSpaceDN w:val="0"/>
              <w:adjustRightInd w:val="0"/>
              <w:snapToGrid w:val="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损失量</w:t>
            </w:r>
          </w:p>
        </w:tc>
        <w:tc>
          <w:tcPr>
            <w:tcW w:w="1324" w:type="dxa"/>
            <w:vAlign w:val="center"/>
          </w:tcPr>
          <w:p>
            <w:pPr>
              <w:autoSpaceDE w:val="0"/>
              <w:autoSpaceDN w:val="0"/>
              <w:adjustRightInd w:val="0"/>
              <w:snapToGrid w:val="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单价（万元/t或万尾）</w:t>
            </w:r>
          </w:p>
        </w:tc>
        <w:tc>
          <w:tcPr>
            <w:tcW w:w="1177" w:type="dxa"/>
            <w:vAlign w:val="center"/>
          </w:tcPr>
          <w:p>
            <w:pPr>
              <w:autoSpaceDE w:val="0"/>
              <w:autoSpaceDN w:val="0"/>
              <w:adjustRightInd w:val="0"/>
              <w:snapToGrid w:val="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损失价值（万元）</w:t>
            </w:r>
          </w:p>
        </w:tc>
        <w:tc>
          <w:tcPr>
            <w:tcW w:w="752" w:type="dxa"/>
            <w:vAlign w:val="center"/>
          </w:tcPr>
          <w:p>
            <w:pPr>
              <w:autoSpaceDE w:val="0"/>
              <w:autoSpaceDN w:val="0"/>
              <w:adjustRightInd w:val="0"/>
              <w:snapToGrid w:val="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补偿年限</w:t>
            </w:r>
          </w:p>
        </w:tc>
        <w:tc>
          <w:tcPr>
            <w:tcW w:w="1327" w:type="dxa"/>
            <w:vAlign w:val="center"/>
          </w:tcPr>
          <w:p>
            <w:pPr>
              <w:autoSpaceDE w:val="0"/>
              <w:autoSpaceDN w:val="0"/>
              <w:adjustRightInd w:val="0"/>
              <w:snapToGrid w:val="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补偿金额（万元）</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448" w:type="dxa"/>
            <w:vMerge w:val="restart"/>
            <w:vAlign w:val="center"/>
          </w:tcPr>
          <w:p>
            <w:pPr>
              <w:autoSpaceDE w:val="0"/>
              <w:autoSpaceDN w:val="0"/>
              <w:adjustRightInd w:val="0"/>
              <w:snapToGrid w:val="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悬浮物</w:t>
            </w:r>
            <w:r>
              <w:rPr>
                <w:color w:val="000000" w:themeColor="text1"/>
                <w:kern w:val="0"/>
                <w:sz w:val="21"/>
                <w:szCs w:val="21"/>
                <w14:textFill>
                  <w14:solidFill>
                    <w14:schemeClr w14:val="tx1"/>
                  </w14:solidFill>
                </w14:textFill>
              </w:rPr>
              <w:t>扩散</w:t>
            </w:r>
          </w:p>
        </w:tc>
        <w:tc>
          <w:tcPr>
            <w:tcW w:w="1250" w:type="dxa"/>
            <w:vAlign w:val="center"/>
          </w:tcPr>
          <w:p>
            <w:pPr>
              <w:autoSpaceDE w:val="0"/>
              <w:autoSpaceDN w:val="0"/>
              <w:adjustRightInd w:val="0"/>
              <w:snapToGrid w:val="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浮游动物</w:t>
            </w:r>
          </w:p>
        </w:tc>
        <w:tc>
          <w:tcPr>
            <w:tcW w:w="1250" w:type="dxa"/>
            <w:vAlign w:val="center"/>
          </w:tcPr>
          <w:p>
            <w:pPr>
              <w:autoSpaceDE w:val="0"/>
              <w:autoSpaceDN w:val="0"/>
              <w:adjustRightInd w:val="0"/>
              <w:snapToGrid w:val="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0.0076</w:t>
            </w:r>
          </w:p>
        </w:tc>
        <w:tc>
          <w:tcPr>
            <w:tcW w:w="1324" w:type="dxa"/>
            <w:vAlign w:val="center"/>
          </w:tcPr>
          <w:p>
            <w:pPr>
              <w:autoSpaceDE w:val="0"/>
              <w:autoSpaceDN w:val="0"/>
              <w:adjustRightInd w:val="0"/>
              <w:snapToGrid w:val="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1.88</w:t>
            </w:r>
          </w:p>
        </w:tc>
        <w:tc>
          <w:tcPr>
            <w:tcW w:w="1177" w:type="dxa"/>
            <w:shd w:val="clear" w:color="auto" w:fill="auto"/>
            <w:vAlign w:val="center"/>
          </w:tcPr>
          <w:p>
            <w:pPr>
              <w:autoSpaceDE w:val="0"/>
              <w:autoSpaceDN w:val="0"/>
              <w:adjustRightInd w:val="0"/>
              <w:snapToGrid w:val="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0.02</w:t>
            </w:r>
          </w:p>
        </w:tc>
        <w:tc>
          <w:tcPr>
            <w:tcW w:w="752" w:type="dxa"/>
            <w:vAlign w:val="center"/>
          </w:tcPr>
          <w:p>
            <w:pPr>
              <w:autoSpaceDE w:val="0"/>
              <w:autoSpaceDN w:val="0"/>
              <w:adjustRightInd w:val="0"/>
              <w:snapToGrid w:val="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3</w:t>
            </w:r>
          </w:p>
        </w:tc>
        <w:tc>
          <w:tcPr>
            <w:tcW w:w="1327" w:type="dxa"/>
            <w:shd w:val="clear" w:color="auto" w:fill="auto"/>
            <w:vAlign w:val="center"/>
          </w:tcPr>
          <w:p>
            <w:pPr>
              <w:autoSpaceDE w:val="0"/>
              <w:autoSpaceDN w:val="0"/>
              <w:adjustRightInd w:val="0"/>
              <w:snapToGrid w:val="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0.06</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448" w:type="dxa"/>
            <w:vMerge w:val="continue"/>
            <w:vAlign w:val="center"/>
          </w:tcPr>
          <w:p>
            <w:pPr>
              <w:autoSpaceDE w:val="0"/>
              <w:autoSpaceDN w:val="0"/>
              <w:adjustRightInd w:val="0"/>
              <w:snapToGrid w:val="0"/>
              <w:jc w:val="center"/>
              <w:rPr>
                <w:color w:val="000000" w:themeColor="text1"/>
                <w:kern w:val="0"/>
                <w:sz w:val="21"/>
                <w:szCs w:val="21"/>
                <w14:textFill>
                  <w14:solidFill>
                    <w14:schemeClr w14:val="tx1"/>
                  </w14:solidFill>
                </w14:textFill>
              </w:rPr>
            </w:pPr>
          </w:p>
        </w:tc>
        <w:tc>
          <w:tcPr>
            <w:tcW w:w="1250" w:type="dxa"/>
            <w:vAlign w:val="center"/>
          </w:tcPr>
          <w:p>
            <w:pPr>
              <w:autoSpaceDE w:val="0"/>
              <w:autoSpaceDN w:val="0"/>
              <w:adjustRightInd w:val="0"/>
              <w:snapToGrid w:val="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游泳生物</w:t>
            </w:r>
          </w:p>
        </w:tc>
        <w:tc>
          <w:tcPr>
            <w:tcW w:w="1250" w:type="dxa"/>
            <w:vAlign w:val="center"/>
          </w:tcPr>
          <w:p>
            <w:pPr>
              <w:autoSpaceDE w:val="0"/>
              <w:autoSpaceDN w:val="0"/>
              <w:adjustRightInd w:val="0"/>
              <w:snapToGrid w:val="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0.0436</w:t>
            </w:r>
          </w:p>
        </w:tc>
        <w:tc>
          <w:tcPr>
            <w:tcW w:w="1324" w:type="dxa"/>
            <w:vAlign w:val="center"/>
          </w:tcPr>
          <w:p>
            <w:pPr>
              <w:autoSpaceDE w:val="0"/>
              <w:autoSpaceDN w:val="0"/>
              <w:adjustRightInd w:val="0"/>
              <w:snapToGrid w:val="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1.88</w:t>
            </w:r>
          </w:p>
        </w:tc>
        <w:tc>
          <w:tcPr>
            <w:tcW w:w="1177" w:type="dxa"/>
            <w:shd w:val="clear" w:color="auto" w:fill="auto"/>
            <w:vAlign w:val="center"/>
          </w:tcPr>
          <w:p>
            <w:pPr>
              <w:autoSpaceDE w:val="0"/>
              <w:autoSpaceDN w:val="0"/>
              <w:adjustRightInd w:val="0"/>
              <w:snapToGrid w:val="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0.08</w:t>
            </w:r>
          </w:p>
        </w:tc>
        <w:tc>
          <w:tcPr>
            <w:tcW w:w="752" w:type="dxa"/>
            <w:vAlign w:val="center"/>
          </w:tcPr>
          <w:p>
            <w:pPr>
              <w:autoSpaceDE w:val="0"/>
              <w:autoSpaceDN w:val="0"/>
              <w:adjustRightInd w:val="0"/>
              <w:snapToGrid w:val="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3</w:t>
            </w:r>
          </w:p>
        </w:tc>
        <w:tc>
          <w:tcPr>
            <w:tcW w:w="1327" w:type="dxa"/>
            <w:shd w:val="clear" w:color="auto" w:fill="auto"/>
            <w:vAlign w:val="center"/>
          </w:tcPr>
          <w:p>
            <w:pPr>
              <w:autoSpaceDE w:val="0"/>
              <w:autoSpaceDN w:val="0"/>
              <w:adjustRightInd w:val="0"/>
              <w:snapToGrid w:val="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0.25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448" w:type="dxa"/>
            <w:vMerge w:val="continue"/>
            <w:vAlign w:val="center"/>
          </w:tcPr>
          <w:p>
            <w:pPr>
              <w:autoSpaceDE w:val="0"/>
              <w:autoSpaceDN w:val="0"/>
              <w:adjustRightInd w:val="0"/>
              <w:snapToGrid w:val="0"/>
              <w:jc w:val="center"/>
              <w:rPr>
                <w:color w:val="000000" w:themeColor="text1"/>
                <w:kern w:val="0"/>
                <w:sz w:val="21"/>
                <w:szCs w:val="21"/>
                <w14:textFill>
                  <w14:solidFill>
                    <w14:schemeClr w14:val="tx1"/>
                  </w14:solidFill>
                </w14:textFill>
              </w:rPr>
            </w:pPr>
          </w:p>
        </w:tc>
        <w:tc>
          <w:tcPr>
            <w:tcW w:w="1250" w:type="dxa"/>
            <w:vAlign w:val="center"/>
          </w:tcPr>
          <w:p>
            <w:pPr>
              <w:autoSpaceDE w:val="0"/>
              <w:autoSpaceDN w:val="0"/>
              <w:adjustRightInd w:val="0"/>
              <w:snapToGrid w:val="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仔鱼</w:t>
            </w:r>
          </w:p>
        </w:tc>
        <w:tc>
          <w:tcPr>
            <w:tcW w:w="1250" w:type="dxa"/>
            <w:vAlign w:val="center"/>
          </w:tcPr>
          <w:p>
            <w:pPr>
              <w:autoSpaceDE w:val="0"/>
              <w:autoSpaceDN w:val="0"/>
              <w:adjustRightInd w:val="0"/>
              <w:snapToGrid w:val="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2.68</w:t>
            </w:r>
          </w:p>
        </w:tc>
        <w:tc>
          <w:tcPr>
            <w:tcW w:w="1324" w:type="dxa"/>
            <w:vAlign w:val="center"/>
          </w:tcPr>
          <w:p>
            <w:pPr>
              <w:autoSpaceDE w:val="0"/>
              <w:autoSpaceDN w:val="0"/>
              <w:adjustRightInd w:val="0"/>
              <w:snapToGrid w:val="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0.60</w:t>
            </w:r>
          </w:p>
        </w:tc>
        <w:tc>
          <w:tcPr>
            <w:tcW w:w="1177" w:type="dxa"/>
            <w:shd w:val="clear" w:color="auto" w:fill="auto"/>
            <w:vAlign w:val="center"/>
          </w:tcPr>
          <w:p>
            <w:pPr>
              <w:autoSpaceDE w:val="0"/>
              <w:autoSpaceDN w:val="0"/>
              <w:adjustRightInd w:val="0"/>
              <w:snapToGrid w:val="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1.61</w:t>
            </w:r>
          </w:p>
        </w:tc>
        <w:tc>
          <w:tcPr>
            <w:tcW w:w="752" w:type="dxa"/>
            <w:vAlign w:val="center"/>
          </w:tcPr>
          <w:p>
            <w:pPr>
              <w:autoSpaceDE w:val="0"/>
              <w:autoSpaceDN w:val="0"/>
              <w:adjustRightInd w:val="0"/>
              <w:snapToGrid w:val="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3</w:t>
            </w:r>
          </w:p>
        </w:tc>
        <w:tc>
          <w:tcPr>
            <w:tcW w:w="1327" w:type="dxa"/>
            <w:shd w:val="clear" w:color="auto" w:fill="auto"/>
            <w:vAlign w:val="center"/>
          </w:tcPr>
          <w:p>
            <w:pPr>
              <w:autoSpaceDE w:val="0"/>
              <w:autoSpaceDN w:val="0"/>
              <w:adjustRightInd w:val="0"/>
              <w:snapToGrid w:val="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4.82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448" w:type="dxa"/>
            <w:vMerge w:val="continue"/>
            <w:vAlign w:val="center"/>
          </w:tcPr>
          <w:p>
            <w:pPr>
              <w:autoSpaceDE w:val="0"/>
              <w:autoSpaceDN w:val="0"/>
              <w:adjustRightInd w:val="0"/>
              <w:snapToGrid w:val="0"/>
              <w:jc w:val="center"/>
              <w:rPr>
                <w:color w:val="000000" w:themeColor="text1"/>
                <w:kern w:val="0"/>
                <w:sz w:val="21"/>
                <w:szCs w:val="21"/>
                <w14:textFill>
                  <w14:solidFill>
                    <w14:schemeClr w14:val="tx1"/>
                  </w14:solidFill>
                </w14:textFill>
              </w:rPr>
            </w:pPr>
          </w:p>
        </w:tc>
        <w:tc>
          <w:tcPr>
            <w:tcW w:w="1250" w:type="dxa"/>
            <w:vAlign w:val="center"/>
          </w:tcPr>
          <w:p>
            <w:pPr>
              <w:autoSpaceDE w:val="0"/>
              <w:autoSpaceDN w:val="0"/>
              <w:adjustRightInd w:val="0"/>
              <w:snapToGrid w:val="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鱼卵</w:t>
            </w:r>
          </w:p>
        </w:tc>
        <w:tc>
          <w:tcPr>
            <w:tcW w:w="1250" w:type="dxa"/>
            <w:vAlign w:val="center"/>
          </w:tcPr>
          <w:p>
            <w:pPr>
              <w:autoSpaceDE w:val="0"/>
              <w:autoSpaceDN w:val="0"/>
              <w:adjustRightInd w:val="0"/>
              <w:snapToGrid w:val="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1.68</w:t>
            </w:r>
          </w:p>
        </w:tc>
        <w:tc>
          <w:tcPr>
            <w:tcW w:w="1324" w:type="dxa"/>
            <w:vAlign w:val="center"/>
          </w:tcPr>
          <w:p>
            <w:pPr>
              <w:autoSpaceDE w:val="0"/>
              <w:autoSpaceDN w:val="0"/>
              <w:adjustRightInd w:val="0"/>
              <w:snapToGrid w:val="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0.60</w:t>
            </w:r>
          </w:p>
        </w:tc>
        <w:tc>
          <w:tcPr>
            <w:tcW w:w="1177" w:type="dxa"/>
            <w:shd w:val="clear" w:color="auto" w:fill="auto"/>
            <w:vAlign w:val="center"/>
          </w:tcPr>
          <w:p>
            <w:pPr>
              <w:autoSpaceDE w:val="0"/>
              <w:autoSpaceDN w:val="0"/>
              <w:adjustRightInd w:val="0"/>
              <w:snapToGrid w:val="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1.01</w:t>
            </w:r>
          </w:p>
        </w:tc>
        <w:tc>
          <w:tcPr>
            <w:tcW w:w="752" w:type="dxa"/>
            <w:vAlign w:val="center"/>
          </w:tcPr>
          <w:p>
            <w:pPr>
              <w:autoSpaceDE w:val="0"/>
              <w:autoSpaceDN w:val="0"/>
              <w:adjustRightInd w:val="0"/>
              <w:snapToGrid w:val="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3</w:t>
            </w:r>
          </w:p>
        </w:tc>
        <w:tc>
          <w:tcPr>
            <w:tcW w:w="1327" w:type="dxa"/>
            <w:shd w:val="clear" w:color="auto" w:fill="auto"/>
            <w:vAlign w:val="center"/>
          </w:tcPr>
          <w:p>
            <w:pPr>
              <w:autoSpaceDE w:val="0"/>
              <w:autoSpaceDN w:val="0"/>
              <w:adjustRightInd w:val="0"/>
              <w:snapToGrid w:val="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3.02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7201" w:type="dxa"/>
            <w:gridSpan w:val="6"/>
            <w:vAlign w:val="center"/>
          </w:tcPr>
          <w:p>
            <w:pPr>
              <w:autoSpaceDE w:val="0"/>
              <w:autoSpaceDN w:val="0"/>
              <w:adjustRightInd w:val="0"/>
              <w:snapToGrid w:val="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合计</w:t>
            </w:r>
          </w:p>
        </w:tc>
        <w:tc>
          <w:tcPr>
            <w:tcW w:w="1327" w:type="dxa"/>
            <w:vAlign w:val="center"/>
          </w:tcPr>
          <w:p>
            <w:pPr>
              <w:autoSpaceDE w:val="0"/>
              <w:autoSpaceDN w:val="0"/>
              <w:adjustRightInd w:val="0"/>
              <w:snapToGrid w:val="0"/>
              <w:jc w:val="center"/>
              <w:rPr>
                <w:color w:val="000000" w:themeColor="text1"/>
                <w:kern w:val="0"/>
                <w:sz w:val="21"/>
                <w:szCs w:val="21"/>
                <w:u w:val="single"/>
                <w14:textFill>
                  <w14:solidFill>
                    <w14:schemeClr w14:val="tx1"/>
                  </w14:solidFill>
                </w14:textFill>
              </w:rPr>
            </w:pPr>
            <w:r>
              <w:rPr>
                <w:rFonts w:hint="eastAsia"/>
                <w:color w:val="000000" w:themeColor="text1"/>
                <w:kern w:val="0"/>
                <w:sz w:val="21"/>
                <w:szCs w:val="21"/>
                <w:u w:val="single"/>
                <w14:textFill>
                  <w14:solidFill>
                    <w14:schemeClr w14:val="tx1"/>
                  </w14:solidFill>
                </w14:textFill>
              </w:rPr>
              <w:t>8</w:t>
            </w:r>
            <w:r>
              <w:rPr>
                <w:color w:val="000000" w:themeColor="text1"/>
                <w:kern w:val="0"/>
                <w:sz w:val="21"/>
                <w:szCs w:val="21"/>
                <w:u w:val="single"/>
                <w14:textFill>
                  <w14:solidFill>
                    <w14:schemeClr w14:val="tx1"/>
                  </w14:solidFill>
                </w14:textFill>
              </w:rPr>
              <w:t>.15</w:t>
            </w:r>
          </w:p>
        </w:tc>
      </w:tr>
    </w:tbl>
    <w:p>
      <w:pPr>
        <w:pStyle w:val="6"/>
        <w:rPr>
          <w:color w:val="000000" w:themeColor="text1"/>
          <w14:textFill>
            <w14:solidFill>
              <w14:schemeClr w14:val="tx1"/>
            </w14:solidFill>
          </w14:textFill>
        </w:rPr>
      </w:pPr>
      <w:r>
        <w:rPr>
          <w:color w:val="000000" w:themeColor="text1"/>
          <w14:textFill>
            <w14:solidFill>
              <w14:schemeClr w14:val="tx1"/>
            </w14:solidFill>
          </w14:textFill>
        </w:rPr>
        <w:t>爆破对生物资源的损害评估</w:t>
      </w:r>
    </w:p>
    <w:p>
      <w:pPr>
        <w:pStyle w:val="1075"/>
        <w:ind w:firstLine="439"/>
        <w:rPr>
          <w:b/>
          <w:color w:val="000000" w:themeColor="text1"/>
          <w14:textFill>
            <w14:solidFill>
              <w14:schemeClr w14:val="tx1"/>
            </w14:solidFill>
          </w14:textFill>
        </w:rPr>
      </w:pPr>
      <w:r>
        <w:rPr>
          <w:rFonts w:hint="eastAsia"/>
          <w:b/>
          <w:color w:val="000000" w:themeColor="text1"/>
          <w14:textFill>
            <w14:solidFill>
              <w14:schemeClr w14:val="tx1"/>
            </w14:solidFill>
          </w14:textFill>
        </w:rPr>
        <w:t>1、</w:t>
      </w:r>
      <w:r>
        <w:rPr>
          <w:b/>
          <w:color w:val="000000" w:themeColor="text1"/>
          <w14:textFill>
            <w14:solidFill>
              <w14:schemeClr w14:val="tx1"/>
            </w14:solidFill>
          </w14:textFill>
        </w:rPr>
        <w:t>评估方法</w:t>
      </w:r>
    </w:p>
    <w:p>
      <w:pPr>
        <w:pStyle w:val="1075"/>
        <w:ind w:firstLine="437"/>
        <w:rPr>
          <w:color w:val="000000" w:themeColor="text1"/>
          <w14:textFill>
            <w14:solidFill>
              <w14:schemeClr w14:val="tx1"/>
            </w14:solidFill>
          </w14:textFill>
        </w:rPr>
      </w:pPr>
      <w:r>
        <w:rPr>
          <w:color w:val="000000" w:themeColor="text1"/>
          <w14:textFill>
            <w14:solidFill>
              <w14:schemeClr w14:val="tx1"/>
            </w14:solidFill>
          </w14:textFill>
        </w:rPr>
        <w:t>根据施工期生态影响分析，本项目炸礁产生的影响集中在爆破区周边</w:t>
      </w:r>
      <w:r>
        <w:rPr>
          <w:rFonts w:hint="eastAsia"/>
          <w:color w:val="000000" w:themeColor="text1"/>
          <w14:textFill>
            <w14:solidFill>
              <w14:schemeClr w14:val="tx1"/>
            </w14:solidFill>
          </w14:textFill>
        </w:rPr>
        <w:t>700m范围内，</w:t>
      </w:r>
      <w:r>
        <w:rPr>
          <w:color w:val="000000" w:themeColor="text1"/>
          <w14:textFill>
            <w14:solidFill>
              <w14:schemeClr w14:val="tx1"/>
            </w14:solidFill>
          </w14:textFill>
        </w:rPr>
        <w:t>根据《建设项目对海洋生物资源影响评价技术规程》（SC/T9110-2007），水下爆破对生物资源的损害评估按下式进行计算：</w:t>
      </w:r>
    </w:p>
    <w:p>
      <w:pPr>
        <w:pStyle w:val="1075"/>
        <w:ind w:firstLine="437"/>
        <w:rPr>
          <w:color w:val="000000" w:themeColor="text1"/>
          <w14:textFill>
            <w14:solidFill>
              <w14:schemeClr w14:val="tx1"/>
            </w14:solidFill>
          </w14:textFill>
        </w:rPr>
      </w:pPr>
      <m:oMathPara>
        <m:oMath>
          <m:sSub>
            <m:sSubPr>
              <m:ctrlPr>
                <w:rPr>
                  <w:rFonts w:ascii="Cambria Math" w:hAnsi="Cambria Math"/>
                  <w:color w:val="000000" w:themeColor="text1"/>
                  <w14:textFill>
                    <w14:solidFill>
                      <w14:schemeClr w14:val="tx1"/>
                    </w14:solidFill>
                  </w14:textFill>
                </w:rPr>
              </m:ctrlPr>
            </m:sSubPr>
            <m:e>
              <m:r>
                <m:rPr>
                  <m:sty m:val="bi"/>
                </m:rPr>
                <w:rPr>
                  <w:rFonts w:ascii="Cambria Math" w:hAnsi="Cambria Math"/>
                  <w:color w:val="000000" w:themeColor="text1"/>
                  <w14:textFill>
                    <w14:solidFill>
                      <w14:schemeClr w14:val="tx1"/>
                    </w14:solidFill>
                  </w14:textFill>
                </w:rPr>
                <m:t>W</m:t>
              </m:r>
              <m:ctrlPr>
                <w:rPr>
                  <w:rFonts w:ascii="Cambria Math" w:hAnsi="Cambria Math"/>
                  <w:color w:val="000000" w:themeColor="text1"/>
                  <w14:textFill>
                    <w14:solidFill>
                      <w14:schemeClr w14:val="tx1"/>
                    </w14:solidFill>
                  </w14:textFill>
                </w:rPr>
              </m:ctrlPr>
            </m:e>
            <m:sub>
              <m:r>
                <m:rPr>
                  <m:sty m:val="bi"/>
                </m:rPr>
                <w:rPr>
                  <w:rFonts w:ascii="Cambria Math" w:hAnsi="Cambria Math"/>
                  <w:color w:val="000000" w:themeColor="text1"/>
                  <w14:textFill>
                    <w14:solidFill>
                      <w14:schemeClr w14:val="tx1"/>
                    </w14:solidFill>
                  </w14:textFill>
                </w:rPr>
                <m:t>i</m:t>
              </m:r>
              <m:ctrlPr>
                <w:rPr>
                  <w:rFonts w:ascii="Cambria Math" w:hAnsi="Cambria Math"/>
                  <w:color w:val="000000" w:themeColor="text1"/>
                  <w14:textFill>
                    <w14:solidFill>
                      <w14:schemeClr w14:val="tx1"/>
                    </w14:solidFill>
                  </w14:textFill>
                </w:rPr>
              </m:ctrlPr>
            </m:sub>
          </m:sSub>
          <m:r>
            <m:rPr>
              <m:sty m:val="p"/>
            </m:rPr>
            <w:rPr>
              <w:rFonts w:ascii="Cambria Math" w:hAnsi="Cambria Math"/>
              <w:color w:val="000000" w:themeColor="text1"/>
              <w14:textFill>
                <w14:solidFill>
                  <w14:schemeClr w14:val="tx1"/>
                </w14:solidFill>
              </w14:textFill>
            </w:rPr>
            <m:t>=</m:t>
          </m:r>
          <m:nary>
            <m:naryPr>
              <m:chr m:val="∑"/>
              <m:limLoc m:val="undOvr"/>
              <m:ctrlPr>
                <w:rPr>
                  <w:rFonts w:ascii="Cambria Math" w:hAnsi="Cambria Math"/>
                  <w:color w:val="000000" w:themeColor="text1"/>
                  <w14:textFill>
                    <w14:solidFill>
                      <w14:schemeClr w14:val="tx1"/>
                    </w14:solidFill>
                  </w14:textFill>
                </w:rPr>
              </m:ctrlPr>
            </m:naryPr>
            <m:sub>
              <m:r>
                <m:rPr>
                  <m:sty m:val="bi"/>
                </m:rPr>
                <w:rPr>
                  <w:rFonts w:ascii="Cambria Math" w:hAnsi="Cambria Math"/>
                  <w:color w:val="000000" w:themeColor="text1"/>
                  <w14:textFill>
                    <w14:solidFill>
                      <w14:schemeClr w14:val="tx1"/>
                    </w14:solidFill>
                  </w14:textFill>
                </w:rPr>
                <m:t>j</m:t>
              </m:r>
              <m:r>
                <m:rPr>
                  <m:sty m:val="p"/>
                </m:rPr>
                <w:rPr>
                  <w:rFonts w:ascii="Cambria Math" w:hAnsi="Cambria Math"/>
                  <w:color w:val="000000" w:themeColor="text1"/>
                  <w14:textFill>
                    <w14:solidFill>
                      <w14:schemeClr w14:val="tx1"/>
                    </w14:solidFill>
                  </w14:textFill>
                </w:rPr>
                <m:t>=</m:t>
              </m:r>
              <m:r>
                <m:rPr>
                  <m:sty m:val="b"/>
                </m:rPr>
                <w:rPr>
                  <w:rFonts w:ascii="Cambria Math" w:hAnsi="Cambria Math"/>
                  <w:color w:val="000000" w:themeColor="text1"/>
                  <w14:textFill>
                    <w14:solidFill>
                      <w14:schemeClr w14:val="tx1"/>
                    </w14:solidFill>
                  </w14:textFill>
                </w:rPr>
                <m:t>1</m:t>
              </m:r>
              <m:ctrlPr>
                <w:rPr>
                  <w:rFonts w:ascii="Cambria Math" w:hAnsi="Cambria Math"/>
                  <w:color w:val="000000" w:themeColor="text1"/>
                  <w14:textFill>
                    <w14:solidFill>
                      <w14:schemeClr w14:val="tx1"/>
                    </w14:solidFill>
                  </w14:textFill>
                </w:rPr>
              </m:ctrlPr>
            </m:sub>
            <m:sup>
              <m:r>
                <m:rPr>
                  <m:sty m:val="bi"/>
                </m:rPr>
                <w:rPr>
                  <w:rFonts w:ascii="Cambria Math" w:hAnsi="Cambria Math"/>
                  <w:color w:val="000000" w:themeColor="text1"/>
                  <w14:textFill>
                    <w14:solidFill>
                      <w14:schemeClr w14:val="tx1"/>
                    </w14:solidFill>
                  </w14:textFill>
                </w:rPr>
                <m:t>n</m:t>
              </m:r>
              <m:ctrlPr>
                <w:rPr>
                  <w:rFonts w:ascii="Cambria Math" w:hAnsi="Cambria Math"/>
                  <w:color w:val="000000" w:themeColor="text1"/>
                  <w14:textFill>
                    <w14:solidFill>
                      <w14:schemeClr w14:val="tx1"/>
                    </w14:solidFill>
                  </w14:textFill>
                </w:rPr>
              </m:ctrlPr>
            </m:sup>
            <m:e>
              <m:sSub>
                <m:sSubPr>
                  <m:ctrlPr>
                    <w:rPr>
                      <w:rFonts w:ascii="Cambria Math" w:hAnsi="Cambria Math"/>
                      <w:color w:val="000000" w:themeColor="text1"/>
                      <w14:textFill>
                        <w14:solidFill>
                          <w14:schemeClr w14:val="tx1"/>
                        </w14:solidFill>
                      </w14:textFill>
                    </w:rPr>
                  </m:ctrlPr>
                </m:sSubPr>
                <m:e>
                  <m:r>
                    <m:rPr>
                      <m:sty m:val="bi"/>
                    </m:rPr>
                    <w:rPr>
                      <w:rFonts w:ascii="Cambria Math" w:hAnsi="Cambria Math"/>
                      <w:color w:val="000000" w:themeColor="text1"/>
                      <w14:textFill>
                        <w14:solidFill>
                          <w14:schemeClr w14:val="tx1"/>
                        </w14:solidFill>
                      </w14:textFill>
                    </w:rPr>
                    <m:t>D</m:t>
                  </m:r>
                  <m:ctrlPr>
                    <w:rPr>
                      <w:rFonts w:ascii="Cambria Math" w:hAnsi="Cambria Math"/>
                      <w:color w:val="000000" w:themeColor="text1"/>
                      <w14:textFill>
                        <w14:solidFill>
                          <w14:schemeClr w14:val="tx1"/>
                        </w14:solidFill>
                      </w14:textFill>
                    </w:rPr>
                  </m:ctrlPr>
                </m:e>
                <m:sub>
                  <m:r>
                    <m:rPr>
                      <m:sty m:val="bi"/>
                    </m:rPr>
                    <w:rPr>
                      <w:rFonts w:ascii="Cambria Math" w:hAnsi="Cambria Math"/>
                      <w:color w:val="000000" w:themeColor="text1"/>
                      <w14:textFill>
                        <w14:solidFill>
                          <w14:schemeClr w14:val="tx1"/>
                        </w14:solidFill>
                      </w14:textFill>
                    </w:rPr>
                    <m:t>ij</m:t>
                  </m:r>
                  <m:ctrlPr>
                    <w:rPr>
                      <w:rFonts w:ascii="Cambria Math" w:hAnsi="Cambria Math"/>
                      <w:color w:val="000000" w:themeColor="text1"/>
                      <w14:textFill>
                        <w14:solidFill>
                          <w14:schemeClr w14:val="tx1"/>
                        </w14:solidFill>
                      </w14:textFill>
                    </w:rPr>
                  </m:ctrlPr>
                </m:sub>
              </m:sSub>
              <m:r>
                <m:rPr>
                  <m:sty m:val="p"/>
                </m:rPr>
                <w:rPr>
                  <w:rFonts w:ascii="Cambria Math" w:hAnsi="Cambria Math"/>
                  <w:color w:val="000000" w:themeColor="text1"/>
                  <w14:textFill>
                    <w14:solidFill>
                      <w14:schemeClr w14:val="tx1"/>
                    </w14:solidFill>
                  </w14:textFill>
                </w:rPr>
                <m:t>×</m:t>
              </m:r>
              <m:sSub>
                <m:sSubPr>
                  <m:ctrlPr>
                    <w:rPr>
                      <w:rFonts w:ascii="Cambria Math" w:hAnsi="Cambria Math"/>
                      <w:color w:val="000000" w:themeColor="text1"/>
                      <w14:textFill>
                        <w14:solidFill>
                          <w14:schemeClr w14:val="tx1"/>
                        </w14:solidFill>
                      </w14:textFill>
                    </w:rPr>
                  </m:ctrlPr>
                </m:sSubPr>
                <m:e>
                  <m:r>
                    <m:rPr>
                      <m:sty m:val="bi"/>
                    </m:rPr>
                    <w:rPr>
                      <w:rFonts w:ascii="Cambria Math" w:hAnsi="Cambria Math"/>
                      <w:color w:val="000000" w:themeColor="text1"/>
                      <w14:textFill>
                        <w14:solidFill>
                          <w14:schemeClr w14:val="tx1"/>
                        </w14:solidFill>
                      </w14:textFill>
                    </w:rPr>
                    <m:t>S</m:t>
                  </m:r>
                  <m:ctrlPr>
                    <w:rPr>
                      <w:rFonts w:ascii="Cambria Math" w:hAnsi="Cambria Math"/>
                      <w:color w:val="000000" w:themeColor="text1"/>
                      <w14:textFill>
                        <w14:solidFill>
                          <w14:schemeClr w14:val="tx1"/>
                        </w14:solidFill>
                      </w14:textFill>
                    </w:rPr>
                  </m:ctrlPr>
                </m:e>
                <m:sub>
                  <m:r>
                    <m:rPr>
                      <m:sty m:val="bi"/>
                    </m:rPr>
                    <w:rPr>
                      <w:rFonts w:ascii="Cambria Math" w:hAnsi="Cambria Math"/>
                      <w:color w:val="000000" w:themeColor="text1"/>
                      <w14:textFill>
                        <w14:solidFill>
                          <w14:schemeClr w14:val="tx1"/>
                        </w14:solidFill>
                      </w14:textFill>
                    </w:rPr>
                    <m:t>j</m:t>
                  </m:r>
                  <m:ctrlPr>
                    <w:rPr>
                      <w:rFonts w:ascii="Cambria Math" w:hAnsi="Cambria Math"/>
                      <w:color w:val="000000" w:themeColor="text1"/>
                      <w14:textFill>
                        <w14:solidFill>
                          <w14:schemeClr w14:val="tx1"/>
                        </w14:solidFill>
                      </w14:textFill>
                    </w:rPr>
                  </m:ctrlPr>
                </m:sub>
              </m:sSub>
              <m:r>
                <m:rPr>
                  <m:sty m:val="p"/>
                </m:rPr>
                <w:rPr>
                  <w:rFonts w:ascii="Cambria Math" w:hAnsi="Cambria Math"/>
                  <w:color w:val="000000" w:themeColor="text1"/>
                  <w14:textFill>
                    <w14:solidFill>
                      <w14:schemeClr w14:val="tx1"/>
                    </w14:solidFill>
                  </w14:textFill>
                </w:rPr>
                <m:t>×</m:t>
              </m:r>
              <m:sSub>
                <m:sSubPr>
                  <m:ctrlPr>
                    <w:rPr>
                      <w:rFonts w:ascii="Cambria Math" w:hAnsi="Cambria Math"/>
                      <w:color w:val="000000" w:themeColor="text1"/>
                      <w14:textFill>
                        <w14:solidFill>
                          <w14:schemeClr w14:val="tx1"/>
                        </w14:solidFill>
                      </w14:textFill>
                    </w:rPr>
                  </m:ctrlPr>
                </m:sSubPr>
                <m:e>
                  <m:r>
                    <m:rPr>
                      <m:sty m:val="bi"/>
                    </m:rPr>
                    <w:rPr>
                      <w:rFonts w:ascii="Cambria Math" w:hAnsi="Cambria Math"/>
                      <w:color w:val="000000" w:themeColor="text1"/>
                      <w14:textFill>
                        <w14:solidFill>
                          <w14:schemeClr w14:val="tx1"/>
                        </w14:solidFill>
                      </w14:textFill>
                    </w:rPr>
                    <m:t>K</m:t>
                  </m:r>
                  <m:ctrlPr>
                    <w:rPr>
                      <w:rFonts w:ascii="Cambria Math" w:hAnsi="Cambria Math"/>
                      <w:color w:val="000000" w:themeColor="text1"/>
                      <w14:textFill>
                        <w14:solidFill>
                          <w14:schemeClr w14:val="tx1"/>
                        </w14:solidFill>
                      </w14:textFill>
                    </w:rPr>
                  </m:ctrlPr>
                </m:e>
                <m:sub>
                  <m:r>
                    <m:rPr>
                      <m:sty m:val="bi"/>
                    </m:rPr>
                    <w:rPr>
                      <w:rFonts w:ascii="Cambria Math" w:hAnsi="Cambria Math"/>
                      <w:color w:val="000000" w:themeColor="text1"/>
                      <w14:textFill>
                        <w14:solidFill>
                          <w14:schemeClr w14:val="tx1"/>
                        </w14:solidFill>
                      </w14:textFill>
                    </w:rPr>
                    <m:t>ij</m:t>
                  </m:r>
                  <m:ctrlPr>
                    <w:rPr>
                      <w:rFonts w:ascii="Cambria Math" w:hAnsi="Cambria Math"/>
                      <w:color w:val="000000" w:themeColor="text1"/>
                      <w14:textFill>
                        <w14:solidFill>
                          <w14:schemeClr w14:val="tx1"/>
                        </w14:solidFill>
                      </w14:textFill>
                    </w:rPr>
                  </m:ctrlPr>
                </m:sub>
              </m:sSub>
              <m:r>
                <m:rPr>
                  <m:sty m:val="p"/>
                </m:rPr>
                <w:rPr>
                  <w:rFonts w:ascii="Cambria Math" w:hAnsi="Cambria Math"/>
                  <w:color w:val="000000" w:themeColor="text1"/>
                  <w14:textFill>
                    <w14:solidFill>
                      <w14:schemeClr w14:val="tx1"/>
                    </w14:solidFill>
                  </w14:textFill>
                </w:rPr>
                <m:t>×</m:t>
              </m:r>
              <m:r>
                <m:rPr>
                  <m:sty m:val="bi"/>
                </m:rPr>
                <w:rPr>
                  <w:rFonts w:ascii="Cambria Math" w:hAnsi="Cambria Math"/>
                  <w:color w:val="000000" w:themeColor="text1"/>
                  <w14:textFill>
                    <w14:solidFill>
                      <w14:schemeClr w14:val="tx1"/>
                    </w14:solidFill>
                  </w14:textFill>
                </w:rPr>
                <m:t>T</m:t>
              </m:r>
              <m:r>
                <m:rPr>
                  <m:sty m:val="p"/>
                </m:rPr>
                <w:rPr>
                  <w:rFonts w:ascii="Cambria Math" w:hAnsi="Cambria Math"/>
                  <w:color w:val="000000" w:themeColor="text1"/>
                  <w14:textFill>
                    <w14:solidFill>
                      <w14:schemeClr w14:val="tx1"/>
                    </w14:solidFill>
                  </w14:textFill>
                </w:rPr>
                <m:t>×</m:t>
              </m:r>
              <m:r>
                <m:rPr>
                  <m:sty m:val="bi"/>
                </m:rPr>
                <w:rPr>
                  <w:rFonts w:ascii="Cambria Math" w:hAnsi="Cambria Math"/>
                  <w:color w:val="000000" w:themeColor="text1"/>
                  <w14:textFill>
                    <w14:solidFill>
                      <w14:schemeClr w14:val="tx1"/>
                    </w14:solidFill>
                  </w14:textFill>
                </w:rPr>
                <m:t>N</m:t>
              </m:r>
              <m:ctrlPr>
                <w:rPr>
                  <w:rFonts w:ascii="Cambria Math" w:hAnsi="Cambria Math"/>
                  <w:color w:val="000000" w:themeColor="text1"/>
                  <w14:textFill>
                    <w14:solidFill>
                      <w14:schemeClr w14:val="tx1"/>
                    </w14:solidFill>
                  </w14:textFill>
                </w:rPr>
              </m:ctrlPr>
            </m:e>
          </m:nary>
        </m:oMath>
      </m:oMathPara>
    </w:p>
    <w:p>
      <w:pPr>
        <w:pStyle w:val="3452"/>
        <w:spacing w:line="240" w:lineRule="auto"/>
        <w:ind w:firstLine="437"/>
        <w:rPr>
          <w:color w:val="000000" w:themeColor="text1"/>
          <w14:textFill>
            <w14:solidFill>
              <w14:schemeClr w14:val="tx1"/>
            </w14:solidFill>
          </w14:textFill>
        </w:rPr>
      </w:pPr>
      <w:r>
        <w:rPr>
          <w:color w:val="000000" w:themeColor="text1"/>
          <w14:textFill>
            <w14:solidFill>
              <w14:schemeClr w14:val="tx1"/>
            </w14:solidFill>
          </w14:textFill>
        </w:rPr>
        <w:t>式中：</w:t>
      </w:r>
    </w:p>
    <w:p>
      <w:pPr>
        <w:pStyle w:val="3452"/>
        <w:spacing w:line="240" w:lineRule="auto"/>
        <w:ind w:firstLine="437"/>
        <w:rPr>
          <w:color w:val="000000" w:themeColor="text1"/>
          <w14:textFill>
            <w14:solidFill>
              <w14:schemeClr w14:val="tx1"/>
            </w14:solidFill>
          </w14:textFill>
        </w:rPr>
      </w:pPr>
      <w:r>
        <w:rPr>
          <w:i/>
          <w:color w:val="000000" w:themeColor="text1"/>
          <w14:textFill>
            <w14:solidFill>
              <w14:schemeClr w14:val="tx1"/>
            </w14:solidFill>
          </w14:textFill>
        </w:rPr>
        <w:t>W</w:t>
      </w:r>
      <w:r>
        <w:rPr>
          <w:i/>
          <w:color w:val="000000" w:themeColor="text1"/>
          <w:vertAlign w:val="subscript"/>
          <w14:textFill>
            <w14:solidFill>
              <w14:schemeClr w14:val="tx1"/>
            </w14:solidFill>
          </w14:textFill>
        </w:rPr>
        <w:t>i</w:t>
      </w:r>
      <w:r>
        <w:rPr>
          <w:color w:val="000000" w:themeColor="text1"/>
          <w14:textFill>
            <w14:solidFill>
              <w14:schemeClr w14:val="tx1"/>
            </w14:solidFill>
          </w14:textFill>
        </w:rPr>
        <w:t xml:space="preserve">—第 </w:t>
      </w:r>
      <w:r>
        <w:rPr>
          <w:i/>
          <w:color w:val="000000" w:themeColor="text1"/>
          <w14:textFill>
            <w14:solidFill>
              <w14:schemeClr w14:val="tx1"/>
            </w14:solidFill>
          </w14:textFill>
        </w:rPr>
        <w:t>i</w:t>
      </w:r>
      <w:r>
        <w:rPr>
          <w:color w:val="000000" w:themeColor="text1"/>
          <w14:textFill>
            <w14:solidFill>
              <w14:schemeClr w14:val="tx1"/>
            </w14:solidFill>
          </w14:textFill>
        </w:rPr>
        <w:t xml:space="preserve"> 种类生物资源累计损失量；</w:t>
      </w:r>
    </w:p>
    <w:p>
      <w:pPr>
        <w:pStyle w:val="3452"/>
        <w:spacing w:line="240" w:lineRule="auto"/>
        <w:ind w:firstLine="437"/>
        <w:rPr>
          <w:color w:val="000000" w:themeColor="text1"/>
          <w14:textFill>
            <w14:solidFill>
              <w14:schemeClr w14:val="tx1"/>
            </w14:solidFill>
          </w14:textFill>
        </w:rPr>
      </w:pPr>
      <w:r>
        <w:rPr>
          <w:i/>
          <w:color w:val="000000" w:themeColor="text1"/>
          <w14:textFill>
            <w14:solidFill>
              <w14:schemeClr w14:val="tx1"/>
            </w14:solidFill>
          </w14:textFill>
        </w:rPr>
        <w:t>D</w:t>
      </w:r>
      <w:r>
        <w:rPr>
          <w:i/>
          <w:color w:val="000000" w:themeColor="text1"/>
          <w:vertAlign w:val="subscript"/>
          <w14:textFill>
            <w14:solidFill>
              <w14:schemeClr w14:val="tx1"/>
            </w14:solidFill>
          </w14:textFill>
        </w:rPr>
        <w:t xml:space="preserve">ij </w:t>
      </w:r>
      <w:r>
        <w:rPr>
          <w:color w:val="000000" w:themeColor="text1"/>
          <w14:textFill>
            <w14:solidFill>
              <w14:schemeClr w14:val="tx1"/>
            </w14:solidFill>
          </w14:textFill>
        </w:rPr>
        <w:t>—第</w:t>
      </w:r>
      <w:r>
        <w:rPr>
          <w:i/>
          <w:color w:val="000000" w:themeColor="text1"/>
          <w14:textFill>
            <w14:solidFill>
              <w14:schemeClr w14:val="tx1"/>
            </w14:solidFill>
          </w14:textFill>
        </w:rPr>
        <w:t xml:space="preserve"> j</w:t>
      </w:r>
      <w:r>
        <w:rPr>
          <w:color w:val="000000" w:themeColor="text1"/>
          <w14:textFill>
            <w14:solidFill>
              <w14:schemeClr w14:val="tx1"/>
            </w14:solidFill>
          </w14:textFill>
        </w:rPr>
        <w:t xml:space="preserve"> 类影响区中第 </w:t>
      </w:r>
      <w:r>
        <w:rPr>
          <w:i/>
          <w:color w:val="000000" w:themeColor="text1"/>
          <w14:textFill>
            <w14:solidFill>
              <w14:schemeClr w14:val="tx1"/>
            </w14:solidFill>
          </w14:textFill>
        </w:rPr>
        <w:t>i</w:t>
      </w:r>
      <w:r>
        <w:rPr>
          <w:color w:val="000000" w:themeColor="text1"/>
          <w14:textFill>
            <w14:solidFill>
              <w14:schemeClr w14:val="tx1"/>
            </w14:solidFill>
          </w14:textFill>
        </w:rPr>
        <w:t xml:space="preserve"> 类生物的资源密度；</w:t>
      </w:r>
    </w:p>
    <w:p>
      <w:pPr>
        <w:pStyle w:val="3452"/>
        <w:spacing w:line="240" w:lineRule="auto"/>
        <w:ind w:firstLine="437"/>
        <w:rPr>
          <w:color w:val="000000" w:themeColor="text1"/>
          <w14:textFill>
            <w14:solidFill>
              <w14:schemeClr w14:val="tx1"/>
            </w14:solidFill>
          </w14:textFill>
        </w:rPr>
      </w:pPr>
      <w:r>
        <w:rPr>
          <w:i/>
          <w:color w:val="000000" w:themeColor="text1"/>
          <w14:textFill>
            <w14:solidFill>
              <w14:schemeClr w14:val="tx1"/>
            </w14:solidFill>
          </w14:textFill>
        </w:rPr>
        <w:t>S</w:t>
      </w:r>
      <w:r>
        <w:rPr>
          <w:rFonts w:hint="eastAsia"/>
          <w:i/>
          <w:color w:val="000000" w:themeColor="text1"/>
          <w:vertAlign w:val="subscript"/>
          <w14:textFill>
            <w14:solidFill>
              <w14:schemeClr w14:val="tx1"/>
            </w14:solidFill>
          </w14:textFill>
        </w:rPr>
        <w:t>j</w:t>
      </w:r>
      <w:r>
        <w:rPr>
          <w:color w:val="000000" w:themeColor="text1"/>
          <w14:textFill>
            <w14:solidFill>
              <w14:schemeClr w14:val="tx1"/>
            </w14:solidFill>
          </w14:textFill>
        </w:rPr>
        <w:t>—第</w:t>
      </w:r>
      <w:r>
        <w:rPr>
          <w:i/>
          <w:color w:val="000000" w:themeColor="text1"/>
          <w14:textFill>
            <w14:solidFill>
              <w14:schemeClr w14:val="tx1"/>
            </w14:solidFill>
          </w14:textFill>
        </w:rPr>
        <w:t xml:space="preserve"> j</w:t>
      </w:r>
      <w:r>
        <w:rPr>
          <w:color w:val="000000" w:themeColor="text1"/>
          <w14:textFill>
            <w14:solidFill>
              <w14:schemeClr w14:val="tx1"/>
            </w14:solidFill>
          </w14:textFill>
        </w:rPr>
        <w:t xml:space="preserve"> 类影响区面积，最大范围为炸礁区域周边</w:t>
      </w:r>
      <w:r>
        <w:rPr>
          <w:rFonts w:hint="eastAsia"/>
          <w:color w:val="000000" w:themeColor="text1"/>
          <w14:textFill>
            <w14:solidFill>
              <w14:schemeClr w14:val="tx1"/>
            </w14:solidFill>
          </w14:textFill>
        </w:rPr>
        <w:t>700m</w:t>
      </w:r>
      <w:r>
        <w:rPr>
          <w:color w:val="000000" w:themeColor="text1"/>
          <w14:textFill>
            <w14:solidFill>
              <w14:schemeClr w14:val="tx1"/>
            </w14:solidFill>
          </w14:textFill>
        </w:rPr>
        <w:t>；</w:t>
      </w:r>
    </w:p>
    <w:p>
      <w:pPr>
        <w:pStyle w:val="3452"/>
        <w:spacing w:line="240" w:lineRule="auto"/>
        <w:ind w:firstLine="437"/>
        <w:rPr>
          <w:color w:val="000000" w:themeColor="text1"/>
          <w14:textFill>
            <w14:solidFill>
              <w14:schemeClr w14:val="tx1"/>
            </w14:solidFill>
          </w14:textFill>
        </w:rPr>
      </w:pPr>
      <w:r>
        <w:rPr>
          <w:i/>
          <w:color w:val="000000" w:themeColor="text1"/>
          <w14:textFill>
            <w14:solidFill>
              <w14:schemeClr w14:val="tx1"/>
            </w14:solidFill>
          </w14:textFill>
        </w:rPr>
        <w:t>K</w:t>
      </w:r>
      <w:r>
        <w:rPr>
          <w:i/>
          <w:color w:val="000000" w:themeColor="text1"/>
          <w:vertAlign w:val="subscript"/>
          <w14:textFill>
            <w14:solidFill>
              <w14:schemeClr w14:val="tx1"/>
            </w14:solidFill>
          </w14:textFill>
        </w:rPr>
        <w:t>ij</w:t>
      </w:r>
      <w:r>
        <w:rPr>
          <w:color w:val="000000" w:themeColor="text1"/>
          <w14:textFill>
            <w14:solidFill>
              <w14:schemeClr w14:val="tx1"/>
            </w14:solidFill>
          </w14:textFill>
        </w:rPr>
        <w:t xml:space="preserve">—第 </w:t>
      </w:r>
      <w:r>
        <w:rPr>
          <w:i/>
          <w:color w:val="000000" w:themeColor="text1"/>
          <w14:textFill>
            <w14:solidFill>
              <w14:schemeClr w14:val="tx1"/>
            </w14:solidFill>
          </w14:textFill>
        </w:rPr>
        <w:t>j</w:t>
      </w:r>
      <w:r>
        <w:rPr>
          <w:color w:val="000000" w:themeColor="text1"/>
          <w14:textFill>
            <w14:solidFill>
              <w14:schemeClr w14:val="tx1"/>
            </w14:solidFill>
          </w14:textFill>
        </w:rPr>
        <w:t xml:space="preserve"> 类影响区第</w:t>
      </w:r>
      <w:r>
        <w:rPr>
          <w:i/>
          <w:color w:val="000000" w:themeColor="text1"/>
          <w14:textFill>
            <w14:solidFill>
              <w14:schemeClr w14:val="tx1"/>
            </w14:solidFill>
          </w14:textFill>
        </w:rPr>
        <w:t xml:space="preserve"> i</w:t>
      </w:r>
      <w:r>
        <w:rPr>
          <w:color w:val="000000" w:themeColor="text1"/>
          <w14:textFill>
            <w14:solidFill>
              <w14:schemeClr w14:val="tx1"/>
            </w14:solidFill>
          </w14:textFill>
        </w:rPr>
        <w:t xml:space="preserve"> 种类生物致死率；</w:t>
      </w:r>
    </w:p>
    <w:p>
      <w:pPr>
        <w:pStyle w:val="3452"/>
        <w:spacing w:line="240" w:lineRule="auto"/>
        <w:ind w:firstLine="437"/>
        <w:rPr>
          <w:color w:val="000000" w:themeColor="text1"/>
          <w14:textFill>
            <w14:solidFill>
              <w14:schemeClr w14:val="tx1"/>
            </w14:solidFill>
          </w14:textFill>
        </w:rPr>
      </w:pPr>
      <w:r>
        <w:rPr>
          <w:i/>
          <w:color w:val="000000" w:themeColor="text1"/>
          <w14:textFill>
            <w14:solidFill>
              <w14:schemeClr w14:val="tx1"/>
            </w14:solidFill>
          </w14:textFill>
        </w:rPr>
        <w:t>T</w:t>
      </w:r>
      <w:r>
        <w:rPr>
          <w:color w:val="000000" w:themeColor="text1"/>
          <w14:textFill>
            <w14:solidFill>
              <w14:schemeClr w14:val="tx1"/>
            </w14:solidFill>
          </w14:textFill>
        </w:rPr>
        <w:t>—第</w:t>
      </w:r>
      <w:r>
        <w:rPr>
          <w:i/>
          <w:color w:val="000000" w:themeColor="text1"/>
          <w14:textFill>
            <w14:solidFill>
              <w14:schemeClr w14:val="tx1"/>
            </w14:solidFill>
          </w14:textFill>
        </w:rPr>
        <w:t>j</w:t>
      </w:r>
      <w:r>
        <w:rPr>
          <w:color w:val="000000" w:themeColor="text1"/>
          <w14:textFill>
            <w14:solidFill>
              <w14:schemeClr w14:val="tx1"/>
            </w14:solidFill>
          </w14:textFill>
        </w:rPr>
        <w:t>类影响区的爆破影响周期数（15d为一周期）；</w:t>
      </w:r>
    </w:p>
    <w:p>
      <w:pPr>
        <w:pStyle w:val="3452"/>
        <w:spacing w:line="240" w:lineRule="auto"/>
        <w:ind w:firstLine="437"/>
        <w:rPr>
          <w:color w:val="000000" w:themeColor="text1"/>
          <w14:textFill>
            <w14:solidFill>
              <w14:schemeClr w14:val="tx1"/>
            </w14:solidFill>
          </w14:textFill>
        </w:rPr>
      </w:pPr>
      <w:r>
        <w:rPr>
          <w:i/>
          <w:color w:val="000000" w:themeColor="text1"/>
          <w14:textFill>
            <w14:solidFill>
              <w14:schemeClr w14:val="tx1"/>
            </w14:solidFill>
          </w14:textFill>
        </w:rPr>
        <w:t>N</w:t>
      </w:r>
      <w:r>
        <w:rPr>
          <w:color w:val="000000" w:themeColor="text1"/>
          <w14:textFill>
            <w14:solidFill>
              <w14:schemeClr w14:val="tx1"/>
            </w14:solidFill>
          </w14:textFill>
        </w:rPr>
        <w:t>—15d为一个周期内爆破次数累积系数，爆破1次，取1.0，每增加一次增加0.2；</w:t>
      </w:r>
    </w:p>
    <w:p>
      <w:pPr>
        <w:pStyle w:val="3452"/>
        <w:spacing w:line="240" w:lineRule="auto"/>
        <w:ind w:firstLine="437"/>
        <w:rPr>
          <w:color w:val="000000" w:themeColor="text1"/>
          <w14:textFill>
            <w14:solidFill>
              <w14:schemeClr w14:val="tx1"/>
            </w14:solidFill>
          </w14:textFill>
        </w:rPr>
      </w:pPr>
      <w:r>
        <w:rPr>
          <w:i/>
          <w:color w:val="000000" w:themeColor="text1"/>
          <w14:textFill>
            <w14:solidFill>
              <w14:schemeClr w14:val="tx1"/>
            </w14:solidFill>
          </w14:textFill>
        </w:rPr>
        <w:t>n</w:t>
      </w:r>
      <w:r>
        <w:rPr>
          <w:color w:val="000000" w:themeColor="text1"/>
          <w14:textFill>
            <w14:solidFill>
              <w14:schemeClr w14:val="tx1"/>
            </w14:solidFill>
          </w14:textFill>
        </w:rPr>
        <w:t>—冲击波峰值压力值分区总数。</w:t>
      </w:r>
    </w:p>
    <w:p>
      <w:pPr>
        <w:pStyle w:val="3452"/>
        <w:spacing w:line="240" w:lineRule="auto"/>
        <w:ind w:firstLine="439"/>
        <w:rPr>
          <w:b/>
          <w:color w:val="000000" w:themeColor="text1"/>
          <w14:textFill>
            <w14:solidFill>
              <w14:schemeClr w14:val="tx1"/>
            </w14:solidFill>
          </w14:textFill>
        </w:rPr>
      </w:pPr>
      <w:r>
        <w:rPr>
          <w:b/>
          <w:color w:val="000000" w:themeColor="text1"/>
          <w14:textFill>
            <w14:solidFill>
              <w14:schemeClr w14:val="tx1"/>
            </w14:solidFill>
          </w14:textFill>
        </w:rPr>
        <w:t>2</w:t>
      </w:r>
      <w:r>
        <w:rPr>
          <w:rFonts w:hint="eastAsia" w:ascii="宋体" w:hAnsi="宋体" w:cs="宋体"/>
          <w:b/>
          <w:color w:val="000000" w:themeColor="text1"/>
          <w14:textFill>
            <w14:solidFill>
              <w14:schemeClr w14:val="tx1"/>
            </w14:solidFill>
          </w14:textFill>
        </w:rPr>
        <w:t>、</w:t>
      </w:r>
      <w:r>
        <w:rPr>
          <w:b/>
          <w:color w:val="000000" w:themeColor="text1"/>
          <w14:textFill>
            <w14:solidFill>
              <w14:schemeClr w14:val="tx1"/>
            </w14:solidFill>
          </w14:textFill>
        </w:rPr>
        <w:t>损失量计算</w:t>
      </w:r>
    </w:p>
    <w:p>
      <w:pPr>
        <w:pStyle w:val="3452"/>
        <w:spacing w:line="240" w:lineRule="auto"/>
        <w:ind w:firstLine="437"/>
        <w:rPr>
          <w:color w:val="000000" w:themeColor="text1"/>
          <w14:textFill>
            <w14:solidFill>
              <w14:schemeClr w14:val="tx1"/>
            </w14:solidFill>
          </w14:textFill>
        </w:rPr>
      </w:pPr>
      <w:r>
        <w:rPr>
          <w:color w:val="000000" w:themeColor="text1"/>
          <w14:textFill>
            <w14:solidFill>
              <w14:schemeClr w14:val="tx1"/>
            </w14:solidFill>
          </w14:textFill>
        </w:rPr>
        <w:t>爆破施工的危害程度随使用炸药的类型、炸药量、爆破作业方式、环境条件等的变化而不同。</w:t>
      </w:r>
    </w:p>
    <w:p>
      <w:pPr>
        <w:pStyle w:val="3452"/>
        <w:spacing w:line="240" w:lineRule="auto"/>
        <w:ind w:firstLine="437"/>
        <w:rPr>
          <w:color w:val="000000" w:themeColor="text1"/>
          <w:kern w:val="0"/>
          <w14:textFill>
            <w14:solidFill>
              <w14:schemeClr w14:val="tx1"/>
            </w14:solidFill>
          </w14:textFill>
        </w:rPr>
      </w:pPr>
      <w:r>
        <w:rPr>
          <w:color w:val="000000" w:themeColor="text1"/>
          <w:kern w:val="0"/>
          <w14:textFill>
            <w14:solidFill>
              <w14:schemeClr w14:val="tx1"/>
            </w14:solidFill>
          </w14:textFill>
        </w:rPr>
        <w:t>水下爆破（炸礁）引起的海洋生物鱼类和虾类的损失量估算结果及经济损失见表4.3-1</w:t>
      </w:r>
      <w:r>
        <w:rPr>
          <w:rFonts w:hint="eastAsia"/>
          <w:color w:val="000000" w:themeColor="text1"/>
          <w:kern w:val="0"/>
          <w14:textFill>
            <w14:solidFill>
              <w14:schemeClr w14:val="tx1"/>
            </w14:solidFill>
          </w14:textFill>
        </w:rPr>
        <w:t>3</w:t>
      </w:r>
      <w:r>
        <w:rPr>
          <w:color w:val="000000" w:themeColor="text1"/>
          <w:kern w:val="0"/>
          <w14:textFill>
            <w14:solidFill>
              <w14:schemeClr w14:val="tx1"/>
            </w14:solidFill>
          </w14:textFill>
        </w:rPr>
        <w:t>。</w:t>
      </w:r>
    </w:p>
    <w:p>
      <w:pPr>
        <w:pStyle w:val="3452"/>
        <w:spacing w:line="240" w:lineRule="auto"/>
        <w:ind w:firstLine="437"/>
        <w:rPr>
          <w:color w:val="000000" w:themeColor="text1"/>
          <w14:textFill>
            <w14:solidFill>
              <w14:schemeClr w14:val="tx1"/>
            </w14:solidFill>
          </w14:textFill>
        </w:rPr>
      </w:pPr>
      <w:r>
        <w:rPr>
          <w:color w:val="000000" w:themeColor="text1"/>
          <w14:textFill>
            <w14:solidFill>
              <w14:schemeClr w14:val="tx1"/>
            </w14:solidFill>
          </w14:textFill>
        </w:rPr>
        <w:t>爆破主要对鱼类、仔鱼和鱼卵造成损害。各项计算参数如下：</w:t>
      </w:r>
    </w:p>
    <w:p>
      <w:pPr>
        <w:pStyle w:val="3452"/>
        <w:spacing w:line="240" w:lineRule="auto"/>
        <w:ind w:firstLine="437"/>
        <w:rPr>
          <w:color w:val="000000" w:themeColor="text1"/>
          <w14:textFill>
            <w14:solidFill>
              <w14:schemeClr w14:val="tx1"/>
            </w14:solidFill>
          </w14:textFill>
        </w:rPr>
      </w:pPr>
      <w:r>
        <w:rPr>
          <w:i/>
          <w:iCs/>
          <w:color w:val="000000" w:themeColor="text1"/>
          <w:szCs w:val="24"/>
          <w14:textFill>
            <w14:solidFill>
              <w14:schemeClr w14:val="tx1"/>
            </w14:solidFill>
          </w14:textFill>
        </w:rPr>
        <w:t>D</w:t>
      </w:r>
      <w:r>
        <w:rPr>
          <w:i/>
          <w:iCs/>
          <w:color w:val="000000" w:themeColor="text1"/>
          <w:szCs w:val="24"/>
          <w:vertAlign w:val="subscript"/>
          <w14:textFill>
            <w14:solidFill>
              <w14:schemeClr w14:val="tx1"/>
            </w14:solidFill>
          </w14:textFill>
        </w:rPr>
        <w:t>ij</w:t>
      </w:r>
      <w:r>
        <w:rPr>
          <w:color w:val="000000" w:themeColor="text1"/>
          <w:szCs w:val="24"/>
          <w14:textFill>
            <w14:solidFill>
              <w14:schemeClr w14:val="tx1"/>
            </w14:solidFill>
          </w14:textFill>
        </w:rPr>
        <w:t>：</w:t>
      </w:r>
      <w:r>
        <w:rPr>
          <w:color w:val="000000" w:themeColor="text1"/>
          <w14:textFill>
            <w14:solidFill>
              <w14:schemeClr w14:val="tx1"/>
            </w14:solidFill>
          </w14:textFill>
        </w:rPr>
        <w:t>根据调查结果，评价区域内游泳动物平均资源密度为</w:t>
      </w:r>
      <w:r>
        <w:rPr>
          <w:rFonts w:hint="eastAsia"/>
          <w:color w:val="000000" w:themeColor="text1"/>
          <w14:textFill>
            <w14:solidFill>
              <w14:schemeClr w14:val="tx1"/>
            </w14:solidFill>
          </w14:textFill>
        </w:rPr>
        <w:t>132</w:t>
      </w:r>
      <w:r>
        <w:rPr>
          <w:color w:val="000000" w:themeColor="text1"/>
          <w14:textFill>
            <w14:solidFill>
              <w14:schemeClr w14:val="tx1"/>
            </w14:solidFill>
          </w14:textFill>
        </w:rPr>
        <w:t>kg/km</w:t>
      </w:r>
      <w:r>
        <w:rPr>
          <w:color w:val="000000" w:themeColor="text1"/>
          <w:vertAlign w:val="superscript"/>
          <w14:textFill>
            <w14:solidFill>
              <w14:schemeClr w14:val="tx1"/>
            </w14:solidFill>
          </w14:textFill>
        </w:rPr>
        <w:t>2</w:t>
      </w:r>
      <w:r>
        <w:rPr>
          <w:color w:val="000000" w:themeColor="text1"/>
          <w14:textFill>
            <w14:solidFill>
              <w14:schemeClr w14:val="tx1"/>
            </w14:solidFill>
          </w14:textFill>
        </w:rPr>
        <w:t>；鱼卵的平均密度0.</w:t>
      </w:r>
      <w:r>
        <w:rPr>
          <w:rFonts w:hint="eastAsia"/>
          <w:color w:val="000000" w:themeColor="text1"/>
          <w14:textFill>
            <w14:solidFill>
              <w14:schemeClr w14:val="tx1"/>
            </w14:solidFill>
          </w14:textFill>
        </w:rPr>
        <w:t>113</w:t>
      </w:r>
      <w:r>
        <w:rPr>
          <w:color w:val="000000" w:themeColor="text1"/>
          <w14:textFill>
            <w14:solidFill>
              <w14:schemeClr w14:val="tx1"/>
            </w14:solidFill>
          </w14:textFill>
        </w:rPr>
        <w:t>粒/m</w:t>
      </w:r>
      <w:r>
        <w:rPr>
          <w:color w:val="000000" w:themeColor="text1"/>
          <w:vertAlign w:val="superscript"/>
          <w14:textFill>
            <w14:solidFill>
              <w14:schemeClr w14:val="tx1"/>
            </w14:solidFill>
          </w14:textFill>
        </w:rPr>
        <w:t>3</w:t>
      </w:r>
      <w:r>
        <w:rPr>
          <w:color w:val="000000" w:themeColor="text1"/>
          <w14:textFill>
            <w14:solidFill>
              <w14:schemeClr w14:val="tx1"/>
            </w14:solidFill>
          </w14:textFill>
        </w:rPr>
        <w:t>，仔鱼的平均密度为</w:t>
      </w:r>
      <w:r>
        <w:rPr>
          <w:rFonts w:hint="eastAsia"/>
          <w:color w:val="000000" w:themeColor="text1"/>
          <w14:textFill>
            <w14:solidFill>
              <w14:schemeClr w14:val="tx1"/>
            </w14:solidFill>
          </w14:textFill>
        </w:rPr>
        <w:t>0.181</w:t>
      </w:r>
      <w:r>
        <w:rPr>
          <w:color w:val="000000" w:themeColor="text1"/>
          <w14:textFill>
            <w14:solidFill>
              <w14:schemeClr w14:val="tx1"/>
            </w14:solidFill>
          </w14:textFill>
        </w:rPr>
        <w:t>尾/m</w:t>
      </w:r>
      <w:r>
        <w:rPr>
          <w:color w:val="000000" w:themeColor="text1"/>
          <w:vertAlign w:val="superscript"/>
          <w14:textFill>
            <w14:solidFill>
              <w14:schemeClr w14:val="tx1"/>
            </w14:solidFill>
          </w14:textFill>
        </w:rPr>
        <w:t>3</w:t>
      </w:r>
      <w:r>
        <w:rPr>
          <w:color w:val="000000" w:themeColor="text1"/>
          <w14:textFill>
            <w14:solidFill>
              <w14:schemeClr w14:val="tx1"/>
            </w14:solidFill>
          </w14:textFill>
        </w:rPr>
        <w:t>，水深以10m计，则评价区域内鱼卵的平均密度为</w:t>
      </w:r>
      <w:r>
        <w:rPr>
          <w:rFonts w:hint="eastAsia"/>
          <w:color w:val="000000" w:themeColor="text1"/>
          <w14:textFill>
            <w14:solidFill>
              <w14:schemeClr w14:val="tx1"/>
            </w14:solidFill>
          </w14:textFill>
        </w:rPr>
        <w:t>1.13</w:t>
      </w:r>
      <w:r>
        <w:rPr>
          <w:color w:val="000000" w:themeColor="text1"/>
          <w14:textFill>
            <w14:solidFill>
              <w14:schemeClr w14:val="tx1"/>
            </w14:solidFill>
          </w14:textFill>
        </w:rPr>
        <w:t>万枚/km</w:t>
      </w:r>
      <w:r>
        <w:rPr>
          <w:color w:val="000000" w:themeColor="text1"/>
          <w:vertAlign w:val="superscript"/>
          <w14:textFill>
            <w14:solidFill>
              <w14:schemeClr w14:val="tx1"/>
            </w14:solidFill>
          </w14:textFill>
        </w:rPr>
        <w:t>2</w:t>
      </w:r>
      <w:r>
        <w:rPr>
          <w:color w:val="000000" w:themeColor="text1"/>
          <w14:textFill>
            <w14:solidFill>
              <w14:schemeClr w14:val="tx1"/>
            </w14:solidFill>
          </w14:textFill>
        </w:rPr>
        <w:t>，仔鱼的平均密度为</w:t>
      </w:r>
      <w:r>
        <w:rPr>
          <w:rFonts w:hint="eastAsia"/>
          <w:color w:val="000000" w:themeColor="text1"/>
          <w14:textFill>
            <w14:solidFill>
              <w14:schemeClr w14:val="tx1"/>
            </w14:solidFill>
          </w14:textFill>
        </w:rPr>
        <w:t>1.81</w:t>
      </w:r>
      <w:r>
        <w:rPr>
          <w:color w:val="000000" w:themeColor="text1"/>
          <w14:textFill>
            <w14:solidFill>
              <w14:schemeClr w14:val="tx1"/>
            </w14:solidFill>
          </w14:textFill>
        </w:rPr>
        <w:t>万尾/km</w:t>
      </w:r>
      <w:r>
        <w:rPr>
          <w:color w:val="000000" w:themeColor="text1"/>
          <w:vertAlign w:val="superscript"/>
          <w14:textFill>
            <w14:solidFill>
              <w14:schemeClr w14:val="tx1"/>
            </w14:solidFill>
          </w14:textFill>
        </w:rPr>
        <w:t>2</w:t>
      </w:r>
      <w:r>
        <w:rPr>
          <w:color w:val="000000" w:themeColor="text1"/>
          <w14:textFill>
            <w14:solidFill>
              <w14:schemeClr w14:val="tx1"/>
            </w14:solidFill>
          </w14:textFill>
        </w:rPr>
        <w:t>。</w:t>
      </w:r>
    </w:p>
    <w:p>
      <w:pPr>
        <w:pStyle w:val="3452"/>
        <w:spacing w:line="240" w:lineRule="auto"/>
        <w:ind w:firstLine="437"/>
        <w:rPr>
          <w:color w:val="000000" w:themeColor="text1"/>
          <w14:textFill>
            <w14:solidFill>
              <w14:schemeClr w14:val="tx1"/>
            </w14:solidFill>
          </w14:textFill>
        </w:rPr>
      </w:pPr>
      <w:r>
        <w:rPr>
          <w:i/>
          <w:iCs/>
          <w:color w:val="000000" w:themeColor="text1"/>
          <w:szCs w:val="24"/>
          <w14:textFill>
            <w14:solidFill>
              <w14:schemeClr w14:val="tx1"/>
            </w14:solidFill>
          </w14:textFill>
        </w:rPr>
        <w:t>S</w:t>
      </w:r>
      <w:r>
        <w:rPr>
          <w:i/>
          <w:iCs/>
          <w:color w:val="000000" w:themeColor="text1"/>
          <w:szCs w:val="24"/>
          <w:vertAlign w:val="subscript"/>
          <w14:textFill>
            <w14:solidFill>
              <w14:schemeClr w14:val="tx1"/>
            </w14:solidFill>
          </w14:textFill>
        </w:rPr>
        <w:t>j</w:t>
      </w:r>
      <w:r>
        <w:rPr>
          <w:color w:val="000000" w:themeColor="text1"/>
          <w:szCs w:val="24"/>
          <w14:textFill>
            <w14:solidFill>
              <w14:schemeClr w14:val="tx1"/>
            </w14:solidFill>
          </w14:textFill>
        </w:rPr>
        <w:t>：</w:t>
      </w:r>
      <w:r>
        <w:rPr>
          <w:color w:val="000000" w:themeColor="text1"/>
          <w14:textFill>
            <w14:solidFill>
              <w14:schemeClr w14:val="tx1"/>
            </w14:solidFill>
          </w14:textFill>
        </w:rPr>
        <w:t>根据本项目的爆破方案，爆破区内面积为</w:t>
      </w:r>
      <w:r>
        <w:rPr>
          <w:rFonts w:hint="eastAsia"/>
          <w:color w:val="000000" w:themeColor="text1"/>
          <w14:textFill>
            <w14:solidFill>
              <w14:schemeClr w14:val="tx1"/>
            </w14:solidFill>
          </w14:textFill>
        </w:rPr>
        <w:t>7.86</w:t>
      </w:r>
      <w:r>
        <w:rPr>
          <w:color w:val="000000" w:themeColor="text1"/>
          <w14:textFill>
            <w14:solidFill>
              <w14:schemeClr w14:val="tx1"/>
            </w14:solidFill>
          </w14:textFill>
        </w:rPr>
        <w:t>hm</w:t>
      </w:r>
      <w:r>
        <w:rPr>
          <w:color w:val="000000" w:themeColor="text1"/>
          <w:vertAlign w:val="superscript"/>
          <w14:textFill>
            <w14:solidFill>
              <w14:schemeClr w14:val="tx1"/>
            </w14:solidFill>
          </w14:textFill>
        </w:rPr>
        <w:t>2</w:t>
      </w:r>
      <w:r>
        <w:rPr>
          <w:color w:val="000000" w:themeColor="text1"/>
          <w14:textFill>
            <w14:solidFill>
              <w14:schemeClr w14:val="tx1"/>
            </w14:solidFill>
          </w14:textFill>
        </w:rPr>
        <w:t>，面积爆破区外0m～100m范围面积约为</w:t>
      </w:r>
      <w:r>
        <w:rPr>
          <w:rFonts w:hint="eastAsia"/>
          <w:color w:val="000000" w:themeColor="text1"/>
          <w14:textFill>
            <w14:solidFill>
              <w14:schemeClr w14:val="tx1"/>
            </w14:solidFill>
          </w14:textFill>
        </w:rPr>
        <w:t>27.12</w:t>
      </w:r>
      <w:r>
        <w:rPr>
          <w:color w:val="000000" w:themeColor="text1"/>
          <w14:textFill>
            <w14:solidFill>
              <w14:schemeClr w14:val="tx1"/>
            </w14:solidFill>
          </w14:textFill>
        </w:rPr>
        <w:t>hm</w:t>
      </w:r>
      <w:r>
        <w:rPr>
          <w:color w:val="000000" w:themeColor="text1"/>
          <w:vertAlign w:val="superscript"/>
          <w14:textFill>
            <w14:solidFill>
              <w14:schemeClr w14:val="tx1"/>
            </w14:solidFill>
          </w14:textFill>
        </w:rPr>
        <w:t>2</w:t>
      </w:r>
      <w:r>
        <w:rPr>
          <w:color w:val="000000" w:themeColor="text1"/>
          <w14:textFill>
            <w14:solidFill>
              <w14:schemeClr w14:val="tx1"/>
            </w14:solidFill>
          </w14:textFill>
        </w:rPr>
        <w:t>，爆破区外100m～300m范围面积为</w:t>
      </w:r>
      <w:r>
        <w:rPr>
          <w:rFonts w:hint="eastAsia"/>
          <w:color w:val="000000" w:themeColor="text1"/>
          <w14:textFill>
            <w14:solidFill>
              <w14:schemeClr w14:val="tx1"/>
            </w14:solidFill>
          </w14:textFill>
        </w:rPr>
        <w:t>73.98</w:t>
      </w:r>
      <w:r>
        <w:rPr>
          <w:color w:val="000000" w:themeColor="text1"/>
          <w14:textFill>
            <w14:solidFill>
              <w14:schemeClr w14:val="tx1"/>
            </w14:solidFill>
          </w14:textFill>
        </w:rPr>
        <w:t>hm</w:t>
      </w:r>
      <w:r>
        <w:rPr>
          <w:color w:val="000000" w:themeColor="text1"/>
          <w:vertAlign w:val="superscript"/>
          <w14:textFill>
            <w14:solidFill>
              <w14:schemeClr w14:val="tx1"/>
            </w14:solidFill>
          </w14:textFill>
        </w:rPr>
        <w:t>2</w:t>
      </w:r>
      <w:r>
        <w:rPr>
          <w:color w:val="000000" w:themeColor="text1"/>
          <w14:textFill>
            <w14:solidFill>
              <w14:schemeClr w14:val="tx1"/>
            </w14:solidFill>
          </w14:textFill>
        </w:rPr>
        <w:t>，爆破区外300m～500m范围内面积为</w:t>
      </w:r>
      <w:r>
        <w:rPr>
          <w:rFonts w:hint="eastAsia"/>
          <w:color w:val="000000" w:themeColor="text1"/>
          <w14:textFill>
            <w14:solidFill>
              <w14:schemeClr w14:val="tx1"/>
            </w14:solidFill>
          </w14:textFill>
        </w:rPr>
        <w:t>87.66</w:t>
      </w:r>
      <w:r>
        <w:rPr>
          <w:color w:val="000000" w:themeColor="text1"/>
          <w14:textFill>
            <w14:solidFill>
              <w14:schemeClr w14:val="tx1"/>
            </w14:solidFill>
          </w14:textFill>
        </w:rPr>
        <w:t>hm</w:t>
      </w:r>
      <w:r>
        <w:rPr>
          <w:color w:val="000000" w:themeColor="text1"/>
          <w:vertAlign w:val="superscript"/>
          <w14:textFill>
            <w14:solidFill>
              <w14:schemeClr w14:val="tx1"/>
            </w14:solidFill>
          </w14:textFill>
        </w:rPr>
        <w:t>2</w:t>
      </w:r>
      <w:r>
        <w:rPr>
          <w:color w:val="000000" w:themeColor="text1"/>
          <w14:textFill>
            <w14:solidFill>
              <w14:schemeClr w14:val="tx1"/>
            </w14:solidFill>
          </w14:textFill>
        </w:rPr>
        <w:t>，爆破区外500m～700m范围内面积为</w:t>
      </w:r>
      <w:r>
        <w:rPr>
          <w:rFonts w:hint="eastAsia"/>
          <w:color w:val="000000" w:themeColor="text1"/>
          <w14:textFill>
            <w14:solidFill>
              <w14:schemeClr w14:val="tx1"/>
            </w14:solidFill>
          </w14:textFill>
        </w:rPr>
        <w:t>97.24</w:t>
      </w:r>
      <w:r>
        <w:rPr>
          <w:color w:val="000000" w:themeColor="text1"/>
          <w14:textFill>
            <w14:solidFill>
              <w14:schemeClr w14:val="tx1"/>
            </w14:solidFill>
          </w14:textFill>
        </w:rPr>
        <w:t>hm</w:t>
      </w:r>
      <w:r>
        <w:rPr>
          <w:color w:val="000000" w:themeColor="text1"/>
          <w:vertAlign w:val="superscript"/>
          <w14:textFill>
            <w14:solidFill>
              <w14:schemeClr w14:val="tx1"/>
            </w14:solidFill>
          </w14:textFill>
        </w:rPr>
        <w:t>2</w:t>
      </w:r>
      <w:r>
        <w:rPr>
          <w:color w:val="000000" w:themeColor="text1"/>
          <w14:textFill>
            <w14:solidFill>
              <w14:schemeClr w14:val="tx1"/>
            </w14:solidFill>
          </w14:textFill>
        </w:rPr>
        <w:t>。具体见下图。</w:t>
      </w:r>
    </w:p>
    <w:p>
      <w:pPr>
        <w:pStyle w:val="3452"/>
        <w:ind w:firstLine="0" w:firstLineChars="0"/>
        <w:jc w:val="center"/>
        <w:rPr>
          <w:color w:val="000000" w:themeColor="text1"/>
          <w:kern w:val="0"/>
          <w14:textFill>
            <w14:solidFill>
              <w14:schemeClr w14:val="tx1"/>
            </w14:solidFill>
          </w14:textFill>
        </w:rPr>
      </w:pPr>
      <w:r>
        <w:rPr>
          <w:color w:val="000000" w:themeColor="text1"/>
          <w:kern w:val="0"/>
          <w:lang w:bidi="ar-SA"/>
          <w14:textFill>
            <w14:solidFill>
              <w14:schemeClr w14:val="tx1"/>
            </w14:solidFill>
          </w14:textFill>
        </w:rPr>
        <w:drawing>
          <wp:inline distT="0" distB="0" distL="0" distR="0">
            <wp:extent cx="5248275" cy="3400425"/>
            <wp:effectExtent l="0" t="0" r="9525" b="9525"/>
            <wp:docPr id="37675" name="图片 37675" descr="炸礁区域示意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675" name="图片 37675" descr="炸礁区域示意图"/>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a:xfrm>
                      <a:off x="0" y="0"/>
                      <a:ext cx="5248275" cy="3400425"/>
                    </a:xfrm>
                    <a:prstGeom prst="rect">
                      <a:avLst/>
                    </a:prstGeom>
                    <a:noFill/>
                    <a:ln>
                      <a:noFill/>
                    </a:ln>
                  </pic:spPr>
                </pic:pic>
              </a:graphicData>
            </a:graphic>
          </wp:inline>
        </w:drawing>
      </w:r>
    </w:p>
    <w:p>
      <w:pPr>
        <w:pStyle w:val="553"/>
        <w:rPr>
          <w:color w:val="000000" w:themeColor="text1"/>
          <w14:textFill>
            <w14:solidFill>
              <w14:schemeClr w14:val="tx1"/>
            </w14:solidFill>
          </w14:textFill>
        </w:rPr>
      </w:pPr>
      <w:r>
        <w:rPr>
          <w:color w:val="000000" w:themeColor="text1"/>
          <w14:textFill>
            <w14:solidFill>
              <w14:schemeClr w14:val="tx1"/>
            </w14:solidFill>
          </w14:textFill>
        </w:rPr>
        <w:t>水下爆破对渔业资源的影响范围</w:t>
      </w:r>
    </w:p>
    <w:p>
      <w:pPr>
        <w:pStyle w:val="3452"/>
        <w:spacing w:line="240" w:lineRule="auto"/>
        <w:ind w:firstLine="437"/>
        <w:rPr>
          <w:color w:val="000000" w:themeColor="text1"/>
          <w14:textFill>
            <w14:solidFill>
              <w14:schemeClr w14:val="tx1"/>
            </w14:solidFill>
          </w14:textFill>
        </w:rPr>
      </w:pPr>
      <w:r>
        <w:rPr>
          <w:i/>
          <w:iCs/>
          <w:color w:val="000000" w:themeColor="text1"/>
          <w14:textFill>
            <w14:solidFill>
              <w14:schemeClr w14:val="tx1"/>
            </w14:solidFill>
          </w14:textFill>
        </w:rPr>
        <w:t>K</w:t>
      </w:r>
      <w:r>
        <w:rPr>
          <w:i/>
          <w:iCs/>
          <w:color w:val="000000" w:themeColor="text1"/>
          <w:vertAlign w:val="subscript"/>
          <w14:textFill>
            <w14:solidFill>
              <w14:schemeClr w14:val="tx1"/>
            </w14:solidFill>
          </w14:textFill>
        </w:rPr>
        <w:t>ij</w:t>
      </w:r>
      <w:r>
        <w:rPr>
          <w:color w:val="000000" w:themeColor="text1"/>
          <w14:textFill>
            <w14:solidFill>
              <w14:schemeClr w14:val="tx1"/>
            </w14:solidFill>
          </w14:textFill>
        </w:rPr>
        <w:t>：根据《建设项目对海洋生物资源影响评价技术规程》（SC/T 9110-2007）附录C 水下爆破冲击波峰值压力和渔业生物致死率计算方法，本工程按照单次最大装药量250kg计，距爆破中心100m范围内致死率100%，距爆破中心300m范围内为20%，距离500m处为10%，距离700m处为3%。</w:t>
      </w:r>
    </w:p>
    <w:p>
      <w:pPr>
        <w:pStyle w:val="3452"/>
        <w:spacing w:line="240" w:lineRule="auto"/>
        <w:ind w:firstLine="437"/>
        <w:rPr>
          <w:color w:val="000000" w:themeColor="text1"/>
          <w14:textFill>
            <w14:solidFill>
              <w14:schemeClr w14:val="tx1"/>
            </w14:solidFill>
          </w14:textFill>
        </w:rPr>
      </w:pPr>
      <w:r>
        <w:rPr>
          <w:color w:val="000000" w:themeColor="text1"/>
          <w14:textFill>
            <w14:solidFill>
              <w14:schemeClr w14:val="tx1"/>
            </w14:solidFill>
          </w14:textFill>
        </w:rPr>
        <w:t>T：本项目钻爆施工期为</w:t>
      </w:r>
      <w:r>
        <w:rPr>
          <w:rFonts w:hint="eastAsia"/>
          <w:color w:val="000000" w:themeColor="text1"/>
          <w14:textFill>
            <w14:solidFill>
              <w14:schemeClr w14:val="tx1"/>
            </w14:solidFill>
          </w14:textFill>
        </w:rPr>
        <w:t>60</w:t>
      </w:r>
      <w:r>
        <w:rPr>
          <w:color w:val="000000" w:themeColor="text1"/>
          <w14:textFill>
            <w14:solidFill>
              <w14:schemeClr w14:val="tx1"/>
            </w14:solidFill>
          </w14:textFill>
        </w:rPr>
        <w:t>d，则爆破影响周期数为</w:t>
      </w:r>
      <w:r>
        <w:rPr>
          <w:rFonts w:hint="eastAsia"/>
          <w:color w:val="000000" w:themeColor="text1"/>
          <w14:textFill>
            <w14:solidFill>
              <w14:schemeClr w14:val="tx1"/>
            </w14:solidFill>
          </w14:textFill>
        </w:rPr>
        <w:t>4</w:t>
      </w:r>
      <w:r>
        <w:rPr>
          <w:color w:val="000000" w:themeColor="text1"/>
          <w14:textFill>
            <w14:solidFill>
              <w14:schemeClr w14:val="tx1"/>
            </w14:solidFill>
          </w14:textFill>
        </w:rPr>
        <w:t>。</w:t>
      </w:r>
    </w:p>
    <w:p>
      <w:pPr>
        <w:pStyle w:val="3452"/>
        <w:spacing w:line="240" w:lineRule="auto"/>
        <w:ind w:firstLine="437"/>
        <w:rPr>
          <w:color w:val="000000" w:themeColor="text1"/>
          <w14:textFill>
            <w14:solidFill>
              <w14:schemeClr w14:val="tx1"/>
            </w14:solidFill>
          </w14:textFill>
        </w:rPr>
      </w:pPr>
      <w:r>
        <w:rPr>
          <w:color w:val="000000" w:themeColor="text1"/>
          <w14:textFill>
            <w14:solidFill>
              <w14:schemeClr w14:val="tx1"/>
            </w14:solidFill>
          </w14:textFill>
        </w:rPr>
        <w:t>N：施工期爆破次数约为</w:t>
      </w:r>
      <w:r>
        <w:rPr>
          <w:rFonts w:hint="eastAsia"/>
          <w:color w:val="000000" w:themeColor="text1"/>
          <w14:textFill>
            <w14:solidFill>
              <w14:schemeClr w14:val="tx1"/>
            </w14:solidFill>
          </w14:textFill>
        </w:rPr>
        <w:t>160</w:t>
      </w:r>
      <w:r>
        <w:rPr>
          <w:color w:val="000000" w:themeColor="text1"/>
          <w14:textFill>
            <w14:solidFill>
              <w14:schemeClr w14:val="tx1"/>
            </w14:solidFill>
          </w14:textFill>
        </w:rPr>
        <w:t>次，则每个周期爆破</w:t>
      </w:r>
      <w:r>
        <w:rPr>
          <w:rFonts w:hint="eastAsia"/>
          <w:color w:val="000000" w:themeColor="text1"/>
          <w14:textFill>
            <w14:solidFill>
              <w14:schemeClr w14:val="tx1"/>
            </w14:solidFill>
          </w14:textFill>
        </w:rPr>
        <w:t>40</w:t>
      </w:r>
      <w:r>
        <w:rPr>
          <w:color w:val="000000" w:themeColor="text1"/>
          <w14:textFill>
            <w14:solidFill>
              <w14:schemeClr w14:val="tx1"/>
            </w14:solidFill>
          </w14:textFill>
        </w:rPr>
        <w:t>次，则爆破次数累计系数为</w:t>
      </w:r>
      <w:r>
        <w:rPr>
          <w:rFonts w:hint="eastAsia"/>
          <w:color w:val="000000" w:themeColor="text1"/>
          <w14:textFill>
            <w14:solidFill>
              <w14:schemeClr w14:val="tx1"/>
            </w14:solidFill>
          </w14:textFill>
        </w:rPr>
        <w:t>8.8</w:t>
      </w:r>
      <w:r>
        <w:rPr>
          <w:color w:val="000000" w:themeColor="text1"/>
          <w14:textFill>
            <w14:solidFill>
              <w14:schemeClr w14:val="tx1"/>
            </w14:solidFill>
          </w14:textFill>
        </w:rPr>
        <w:t>。</w:t>
      </w:r>
    </w:p>
    <w:p>
      <w:pPr>
        <w:pStyle w:val="3452"/>
        <w:spacing w:line="240" w:lineRule="auto"/>
        <w:ind w:firstLine="437"/>
        <w:rPr>
          <w:color w:val="000000" w:themeColor="text1"/>
          <w:kern w:val="0"/>
          <w14:textFill>
            <w14:solidFill>
              <w14:schemeClr w14:val="tx1"/>
            </w14:solidFill>
          </w14:textFill>
        </w:rPr>
      </w:pPr>
      <w:r>
        <w:rPr>
          <w:color w:val="000000" w:themeColor="text1"/>
          <w:kern w:val="0"/>
          <w14:textFill>
            <w14:solidFill>
              <w14:schemeClr w14:val="tx1"/>
            </w14:solidFill>
          </w14:textFill>
        </w:rPr>
        <w:t>n：冲击波峰值压力值分区总数n为1。</w:t>
      </w:r>
    </w:p>
    <w:p>
      <w:pPr>
        <w:pStyle w:val="384"/>
        <w:ind w:left="0" w:firstLine="0"/>
        <w:rPr>
          <w:color w:val="000000" w:themeColor="text1"/>
          <w14:textFill>
            <w14:solidFill>
              <w14:schemeClr w14:val="tx1"/>
            </w14:solidFill>
          </w14:textFill>
        </w:rPr>
      </w:pPr>
      <w:r>
        <w:rPr>
          <w:color w:val="000000" w:themeColor="text1"/>
          <w14:textFill>
            <w14:solidFill>
              <w14:schemeClr w14:val="tx1"/>
            </w14:solidFill>
          </w14:textFill>
        </w:rPr>
        <w:t>水下爆破（炸礁）造成渔业资源损失表</w:t>
      </w:r>
    </w:p>
    <w:tbl>
      <w:tblPr>
        <w:tblStyle w:val="88"/>
        <w:tblW w:w="8528" w:type="dxa"/>
        <w:jc w:val="center"/>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747"/>
        <w:gridCol w:w="1259"/>
        <w:gridCol w:w="1487"/>
        <w:gridCol w:w="1454"/>
        <w:gridCol w:w="1577"/>
        <w:gridCol w:w="955"/>
        <w:gridCol w:w="1049"/>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642" w:hRule="atLeast"/>
          <w:tblHeader/>
          <w:jc w:val="center"/>
        </w:trPr>
        <w:tc>
          <w:tcPr>
            <w:tcW w:w="747" w:type="dxa"/>
            <w:vAlign w:val="center"/>
          </w:tcPr>
          <w:p>
            <w:pPr>
              <w:pStyle w:val="2001"/>
            </w:pPr>
            <w:r>
              <w:t>资源类别</w:t>
            </w:r>
          </w:p>
        </w:tc>
        <w:tc>
          <w:tcPr>
            <w:tcW w:w="1259" w:type="dxa"/>
            <w:vAlign w:val="center"/>
          </w:tcPr>
          <w:p>
            <w:pPr>
              <w:pStyle w:val="2001"/>
            </w:pPr>
            <w:r>
              <w:t>资源密度</w:t>
            </w:r>
          </w:p>
          <w:p>
            <w:pPr>
              <w:pStyle w:val="2001"/>
            </w:pPr>
            <w:r>
              <w:t>D</w:t>
            </w:r>
            <w:r>
              <w:rPr>
                <w:vertAlign w:val="subscript"/>
              </w:rPr>
              <w:t>i</w:t>
            </w:r>
          </w:p>
        </w:tc>
        <w:tc>
          <w:tcPr>
            <w:tcW w:w="1487" w:type="dxa"/>
            <w:vAlign w:val="center"/>
          </w:tcPr>
          <w:p>
            <w:pPr>
              <w:pStyle w:val="2001"/>
            </w:pPr>
            <w:r>
              <w:t>影响面积</w:t>
            </w:r>
            <w:r>
              <w:rPr>
                <w:rFonts w:hint="eastAsia"/>
              </w:rPr>
              <w:t>S</w:t>
            </w:r>
            <w:r>
              <w:rPr>
                <w:rFonts w:hint="eastAsia"/>
                <w:vertAlign w:val="subscript"/>
              </w:rPr>
              <w:t>j</w:t>
            </w:r>
            <w:r>
              <w:t>（km</w:t>
            </w:r>
            <w:r>
              <w:rPr>
                <w:vertAlign w:val="superscript"/>
              </w:rPr>
              <w:t>2</w:t>
            </w:r>
            <w:r>
              <w:t>）</w:t>
            </w:r>
          </w:p>
        </w:tc>
        <w:tc>
          <w:tcPr>
            <w:tcW w:w="1454" w:type="dxa"/>
            <w:vAlign w:val="center"/>
          </w:tcPr>
          <w:p>
            <w:pPr>
              <w:pStyle w:val="2001"/>
            </w:pPr>
            <w:r>
              <w:t>T（爆破影响周期数）</w:t>
            </w:r>
          </w:p>
        </w:tc>
        <w:tc>
          <w:tcPr>
            <w:tcW w:w="1577" w:type="dxa"/>
            <w:vAlign w:val="center"/>
          </w:tcPr>
          <w:p>
            <w:pPr>
              <w:pStyle w:val="2001"/>
            </w:pPr>
            <w:r>
              <w:t>N（爆破次数累计系数）</w:t>
            </w:r>
          </w:p>
        </w:tc>
        <w:tc>
          <w:tcPr>
            <w:tcW w:w="955" w:type="dxa"/>
            <w:vAlign w:val="center"/>
          </w:tcPr>
          <w:p>
            <w:pPr>
              <w:pStyle w:val="2001"/>
            </w:pPr>
            <w:r>
              <w:t>损失率（%）</w:t>
            </w:r>
          </w:p>
        </w:tc>
        <w:tc>
          <w:tcPr>
            <w:tcW w:w="1049" w:type="dxa"/>
            <w:vAlign w:val="center"/>
          </w:tcPr>
          <w:p>
            <w:pPr>
              <w:pStyle w:val="2001"/>
            </w:pPr>
            <w:r>
              <w:t>Wi损失量</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193" w:hRule="atLeast"/>
          <w:jc w:val="center"/>
        </w:trPr>
        <w:tc>
          <w:tcPr>
            <w:tcW w:w="747" w:type="dxa"/>
            <w:vMerge w:val="restart"/>
            <w:vAlign w:val="center"/>
          </w:tcPr>
          <w:p>
            <w:pPr>
              <w:pStyle w:val="2001"/>
            </w:pPr>
            <w:r>
              <w:t>游泳生物</w:t>
            </w:r>
          </w:p>
        </w:tc>
        <w:tc>
          <w:tcPr>
            <w:tcW w:w="1259" w:type="dxa"/>
            <w:vMerge w:val="restart"/>
            <w:vAlign w:val="center"/>
          </w:tcPr>
          <w:p>
            <w:pPr>
              <w:pStyle w:val="2001"/>
            </w:pPr>
            <w:r>
              <w:t>0.13</w:t>
            </w:r>
            <w:r>
              <w:rPr>
                <w:rFonts w:hint="eastAsia"/>
              </w:rPr>
              <w:t>2</w:t>
            </w:r>
            <w:r>
              <w:t>t/km</w:t>
            </w:r>
            <w:r>
              <w:rPr>
                <w:vertAlign w:val="superscript"/>
              </w:rPr>
              <w:t>2</w:t>
            </w:r>
          </w:p>
        </w:tc>
        <w:tc>
          <w:tcPr>
            <w:tcW w:w="1487" w:type="dxa"/>
            <w:vAlign w:val="center"/>
          </w:tcPr>
          <w:p>
            <w:pPr>
              <w:autoSpaceDE w:val="0"/>
              <w:autoSpaceDN w:val="0"/>
              <w:adjustRightInd w:val="0"/>
              <w:snapToGrid w:val="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0.2712</w:t>
            </w:r>
          </w:p>
        </w:tc>
        <w:tc>
          <w:tcPr>
            <w:tcW w:w="1454" w:type="dxa"/>
            <w:vAlign w:val="center"/>
          </w:tcPr>
          <w:p>
            <w:pPr>
              <w:autoSpaceDE w:val="0"/>
              <w:autoSpaceDN w:val="0"/>
              <w:adjustRightInd w:val="0"/>
              <w:snapToGrid w:val="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4</w:t>
            </w:r>
          </w:p>
        </w:tc>
        <w:tc>
          <w:tcPr>
            <w:tcW w:w="1577" w:type="dxa"/>
            <w:vAlign w:val="center"/>
          </w:tcPr>
          <w:p>
            <w:pPr>
              <w:autoSpaceDE w:val="0"/>
              <w:autoSpaceDN w:val="0"/>
              <w:adjustRightInd w:val="0"/>
              <w:snapToGrid w:val="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8.8</w:t>
            </w:r>
          </w:p>
        </w:tc>
        <w:tc>
          <w:tcPr>
            <w:tcW w:w="955" w:type="dxa"/>
            <w:vAlign w:val="center"/>
          </w:tcPr>
          <w:p>
            <w:pPr>
              <w:autoSpaceDE w:val="0"/>
              <w:autoSpaceDN w:val="0"/>
              <w:adjustRightInd w:val="0"/>
              <w:snapToGrid w:val="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100</w:t>
            </w:r>
          </w:p>
        </w:tc>
        <w:tc>
          <w:tcPr>
            <w:tcW w:w="1049" w:type="dxa"/>
            <w:vAlign w:val="bottom"/>
          </w:tcPr>
          <w:p>
            <w:pPr>
              <w:autoSpaceDE w:val="0"/>
              <w:autoSpaceDN w:val="0"/>
              <w:adjustRightInd w:val="0"/>
              <w:snapToGrid w:val="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1.25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217" w:hRule="atLeast"/>
          <w:jc w:val="center"/>
        </w:trPr>
        <w:tc>
          <w:tcPr>
            <w:tcW w:w="747" w:type="dxa"/>
            <w:vMerge w:val="continue"/>
            <w:vAlign w:val="center"/>
          </w:tcPr>
          <w:p>
            <w:pPr>
              <w:pStyle w:val="2001"/>
            </w:pPr>
          </w:p>
        </w:tc>
        <w:tc>
          <w:tcPr>
            <w:tcW w:w="1259" w:type="dxa"/>
            <w:vMerge w:val="continue"/>
            <w:vAlign w:val="center"/>
          </w:tcPr>
          <w:p>
            <w:pPr>
              <w:pStyle w:val="2001"/>
            </w:pPr>
          </w:p>
        </w:tc>
        <w:tc>
          <w:tcPr>
            <w:tcW w:w="1487" w:type="dxa"/>
            <w:vAlign w:val="center"/>
          </w:tcPr>
          <w:p>
            <w:pPr>
              <w:autoSpaceDE w:val="0"/>
              <w:autoSpaceDN w:val="0"/>
              <w:adjustRightInd w:val="0"/>
              <w:snapToGrid w:val="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0.7398</w:t>
            </w:r>
          </w:p>
        </w:tc>
        <w:tc>
          <w:tcPr>
            <w:tcW w:w="1454" w:type="dxa"/>
            <w:vAlign w:val="center"/>
          </w:tcPr>
          <w:p>
            <w:pPr>
              <w:autoSpaceDE w:val="0"/>
              <w:autoSpaceDN w:val="0"/>
              <w:adjustRightInd w:val="0"/>
              <w:snapToGrid w:val="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4</w:t>
            </w:r>
          </w:p>
        </w:tc>
        <w:tc>
          <w:tcPr>
            <w:tcW w:w="1577" w:type="dxa"/>
            <w:vAlign w:val="center"/>
          </w:tcPr>
          <w:p>
            <w:pPr>
              <w:autoSpaceDE w:val="0"/>
              <w:autoSpaceDN w:val="0"/>
              <w:adjustRightInd w:val="0"/>
              <w:snapToGrid w:val="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8.8</w:t>
            </w:r>
          </w:p>
        </w:tc>
        <w:tc>
          <w:tcPr>
            <w:tcW w:w="955" w:type="dxa"/>
            <w:vAlign w:val="center"/>
          </w:tcPr>
          <w:p>
            <w:pPr>
              <w:autoSpaceDE w:val="0"/>
              <w:autoSpaceDN w:val="0"/>
              <w:adjustRightInd w:val="0"/>
              <w:snapToGrid w:val="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20</w:t>
            </w:r>
          </w:p>
        </w:tc>
        <w:tc>
          <w:tcPr>
            <w:tcW w:w="1049" w:type="dxa"/>
            <w:vAlign w:val="bottom"/>
          </w:tcPr>
          <w:p>
            <w:pPr>
              <w:autoSpaceDE w:val="0"/>
              <w:autoSpaceDN w:val="0"/>
              <w:adjustRightInd w:val="0"/>
              <w:snapToGrid w:val="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0.68</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175" w:hRule="atLeast"/>
          <w:jc w:val="center"/>
        </w:trPr>
        <w:tc>
          <w:tcPr>
            <w:tcW w:w="747" w:type="dxa"/>
            <w:vMerge w:val="continue"/>
            <w:vAlign w:val="center"/>
          </w:tcPr>
          <w:p>
            <w:pPr>
              <w:pStyle w:val="2001"/>
            </w:pPr>
          </w:p>
        </w:tc>
        <w:tc>
          <w:tcPr>
            <w:tcW w:w="1259" w:type="dxa"/>
            <w:vMerge w:val="continue"/>
            <w:vAlign w:val="center"/>
          </w:tcPr>
          <w:p>
            <w:pPr>
              <w:pStyle w:val="2001"/>
            </w:pPr>
          </w:p>
        </w:tc>
        <w:tc>
          <w:tcPr>
            <w:tcW w:w="1487" w:type="dxa"/>
            <w:vAlign w:val="center"/>
          </w:tcPr>
          <w:p>
            <w:pPr>
              <w:autoSpaceDE w:val="0"/>
              <w:autoSpaceDN w:val="0"/>
              <w:adjustRightInd w:val="0"/>
              <w:snapToGrid w:val="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0.8766</w:t>
            </w:r>
          </w:p>
        </w:tc>
        <w:tc>
          <w:tcPr>
            <w:tcW w:w="1454" w:type="dxa"/>
            <w:vAlign w:val="center"/>
          </w:tcPr>
          <w:p>
            <w:pPr>
              <w:autoSpaceDE w:val="0"/>
              <w:autoSpaceDN w:val="0"/>
              <w:adjustRightInd w:val="0"/>
              <w:snapToGrid w:val="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4</w:t>
            </w:r>
          </w:p>
        </w:tc>
        <w:tc>
          <w:tcPr>
            <w:tcW w:w="1577" w:type="dxa"/>
            <w:vAlign w:val="center"/>
          </w:tcPr>
          <w:p>
            <w:pPr>
              <w:autoSpaceDE w:val="0"/>
              <w:autoSpaceDN w:val="0"/>
              <w:adjustRightInd w:val="0"/>
              <w:snapToGrid w:val="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8.8</w:t>
            </w:r>
          </w:p>
        </w:tc>
        <w:tc>
          <w:tcPr>
            <w:tcW w:w="955" w:type="dxa"/>
            <w:vAlign w:val="center"/>
          </w:tcPr>
          <w:p>
            <w:pPr>
              <w:autoSpaceDE w:val="0"/>
              <w:autoSpaceDN w:val="0"/>
              <w:adjustRightInd w:val="0"/>
              <w:snapToGrid w:val="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10</w:t>
            </w:r>
          </w:p>
        </w:tc>
        <w:tc>
          <w:tcPr>
            <w:tcW w:w="1049" w:type="dxa"/>
            <w:vAlign w:val="bottom"/>
          </w:tcPr>
          <w:p>
            <w:pPr>
              <w:autoSpaceDE w:val="0"/>
              <w:autoSpaceDN w:val="0"/>
              <w:adjustRightInd w:val="0"/>
              <w:snapToGrid w:val="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0.41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175" w:hRule="atLeast"/>
          <w:jc w:val="center"/>
        </w:trPr>
        <w:tc>
          <w:tcPr>
            <w:tcW w:w="747" w:type="dxa"/>
            <w:vMerge w:val="continue"/>
            <w:vAlign w:val="center"/>
          </w:tcPr>
          <w:p>
            <w:pPr>
              <w:pStyle w:val="2001"/>
            </w:pPr>
          </w:p>
        </w:tc>
        <w:tc>
          <w:tcPr>
            <w:tcW w:w="1259" w:type="dxa"/>
            <w:vMerge w:val="continue"/>
            <w:vAlign w:val="center"/>
          </w:tcPr>
          <w:p>
            <w:pPr>
              <w:pStyle w:val="2001"/>
            </w:pPr>
          </w:p>
        </w:tc>
        <w:tc>
          <w:tcPr>
            <w:tcW w:w="1487" w:type="dxa"/>
            <w:vAlign w:val="center"/>
          </w:tcPr>
          <w:p>
            <w:pPr>
              <w:autoSpaceDE w:val="0"/>
              <w:autoSpaceDN w:val="0"/>
              <w:adjustRightInd w:val="0"/>
              <w:snapToGrid w:val="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0.9724</w:t>
            </w:r>
          </w:p>
        </w:tc>
        <w:tc>
          <w:tcPr>
            <w:tcW w:w="1454" w:type="dxa"/>
            <w:vAlign w:val="center"/>
          </w:tcPr>
          <w:p>
            <w:pPr>
              <w:autoSpaceDE w:val="0"/>
              <w:autoSpaceDN w:val="0"/>
              <w:adjustRightInd w:val="0"/>
              <w:snapToGrid w:val="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4</w:t>
            </w:r>
          </w:p>
        </w:tc>
        <w:tc>
          <w:tcPr>
            <w:tcW w:w="1577" w:type="dxa"/>
            <w:vAlign w:val="center"/>
          </w:tcPr>
          <w:p>
            <w:pPr>
              <w:autoSpaceDE w:val="0"/>
              <w:autoSpaceDN w:val="0"/>
              <w:adjustRightInd w:val="0"/>
              <w:snapToGrid w:val="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8.8</w:t>
            </w:r>
          </w:p>
        </w:tc>
        <w:tc>
          <w:tcPr>
            <w:tcW w:w="955" w:type="dxa"/>
            <w:vAlign w:val="center"/>
          </w:tcPr>
          <w:p>
            <w:pPr>
              <w:autoSpaceDE w:val="0"/>
              <w:autoSpaceDN w:val="0"/>
              <w:adjustRightInd w:val="0"/>
              <w:snapToGrid w:val="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3</w:t>
            </w:r>
          </w:p>
        </w:tc>
        <w:tc>
          <w:tcPr>
            <w:tcW w:w="1049" w:type="dxa"/>
            <w:vAlign w:val="bottom"/>
          </w:tcPr>
          <w:p>
            <w:pPr>
              <w:autoSpaceDE w:val="0"/>
              <w:autoSpaceDN w:val="0"/>
              <w:adjustRightInd w:val="0"/>
              <w:snapToGrid w:val="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0.13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58" w:hRule="atLeast"/>
          <w:jc w:val="center"/>
        </w:trPr>
        <w:tc>
          <w:tcPr>
            <w:tcW w:w="747" w:type="dxa"/>
            <w:vMerge w:val="continue"/>
            <w:vAlign w:val="center"/>
          </w:tcPr>
          <w:p>
            <w:pPr>
              <w:pStyle w:val="2001"/>
            </w:pPr>
          </w:p>
        </w:tc>
        <w:tc>
          <w:tcPr>
            <w:tcW w:w="6732" w:type="dxa"/>
            <w:gridSpan w:val="5"/>
            <w:vAlign w:val="center"/>
          </w:tcPr>
          <w:p>
            <w:pPr>
              <w:pStyle w:val="2001"/>
            </w:pPr>
            <w:r>
              <w:t>小计</w:t>
            </w:r>
          </w:p>
        </w:tc>
        <w:tc>
          <w:tcPr>
            <w:tcW w:w="1049" w:type="dxa"/>
            <w:vAlign w:val="center"/>
          </w:tcPr>
          <w:p>
            <w:pPr>
              <w:pStyle w:val="2001"/>
            </w:pPr>
            <w:r>
              <w:rPr>
                <w:rFonts w:hint="eastAsia"/>
              </w:rPr>
              <w:t xml:space="preserve">2.47 </w:t>
            </w:r>
            <w:r>
              <w:t>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175" w:hRule="atLeast"/>
          <w:jc w:val="center"/>
        </w:trPr>
        <w:tc>
          <w:tcPr>
            <w:tcW w:w="747" w:type="dxa"/>
            <w:vMerge w:val="restart"/>
            <w:vAlign w:val="center"/>
          </w:tcPr>
          <w:p>
            <w:pPr>
              <w:pStyle w:val="2001"/>
            </w:pPr>
            <w:r>
              <w:t>鱼卵</w:t>
            </w:r>
          </w:p>
        </w:tc>
        <w:tc>
          <w:tcPr>
            <w:tcW w:w="1259" w:type="dxa"/>
            <w:vMerge w:val="restart"/>
            <w:vAlign w:val="center"/>
          </w:tcPr>
          <w:p>
            <w:pPr>
              <w:pStyle w:val="2001"/>
            </w:pPr>
            <w:r>
              <w:rPr>
                <w:rFonts w:hint="eastAsia"/>
              </w:rPr>
              <w:t>1.13</w:t>
            </w:r>
            <w:r>
              <w:t>万粒/km</w:t>
            </w:r>
            <w:r>
              <w:rPr>
                <w:vertAlign w:val="superscript"/>
              </w:rPr>
              <w:t>2</w:t>
            </w:r>
          </w:p>
        </w:tc>
        <w:tc>
          <w:tcPr>
            <w:tcW w:w="1487" w:type="dxa"/>
            <w:vAlign w:val="center"/>
          </w:tcPr>
          <w:p>
            <w:pPr>
              <w:autoSpaceDE w:val="0"/>
              <w:autoSpaceDN w:val="0"/>
              <w:adjustRightInd w:val="0"/>
              <w:snapToGrid w:val="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0.2712</w:t>
            </w:r>
          </w:p>
        </w:tc>
        <w:tc>
          <w:tcPr>
            <w:tcW w:w="1454" w:type="dxa"/>
            <w:vAlign w:val="center"/>
          </w:tcPr>
          <w:p>
            <w:pPr>
              <w:autoSpaceDE w:val="0"/>
              <w:autoSpaceDN w:val="0"/>
              <w:adjustRightInd w:val="0"/>
              <w:snapToGrid w:val="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4</w:t>
            </w:r>
          </w:p>
        </w:tc>
        <w:tc>
          <w:tcPr>
            <w:tcW w:w="1577" w:type="dxa"/>
            <w:vAlign w:val="center"/>
          </w:tcPr>
          <w:p>
            <w:pPr>
              <w:autoSpaceDE w:val="0"/>
              <w:autoSpaceDN w:val="0"/>
              <w:adjustRightInd w:val="0"/>
              <w:snapToGrid w:val="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8.8</w:t>
            </w:r>
          </w:p>
        </w:tc>
        <w:tc>
          <w:tcPr>
            <w:tcW w:w="955" w:type="dxa"/>
            <w:vAlign w:val="center"/>
          </w:tcPr>
          <w:p>
            <w:pPr>
              <w:pStyle w:val="2001"/>
            </w:pPr>
            <w:r>
              <w:t>100</w:t>
            </w:r>
          </w:p>
        </w:tc>
        <w:tc>
          <w:tcPr>
            <w:tcW w:w="1049" w:type="dxa"/>
            <w:vAlign w:val="bottom"/>
          </w:tcPr>
          <w:p>
            <w:pPr>
              <w:pStyle w:val="2001"/>
            </w:pPr>
            <w:r>
              <w:rPr>
                <w:rFonts w:hint="eastAsia"/>
              </w:rPr>
              <w:t>10.79</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126" w:hRule="atLeast"/>
          <w:jc w:val="center"/>
        </w:trPr>
        <w:tc>
          <w:tcPr>
            <w:tcW w:w="747" w:type="dxa"/>
            <w:vMerge w:val="continue"/>
            <w:vAlign w:val="center"/>
          </w:tcPr>
          <w:p>
            <w:pPr>
              <w:pStyle w:val="2001"/>
            </w:pPr>
          </w:p>
        </w:tc>
        <w:tc>
          <w:tcPr>
            <w:tcW w:w="1259" w:type="dxa"/>
            <w:vMerge w:val="continue"/>
            <w:vAlign w:val="center"/>
          </w:tcPr>
          <w:p>
            <w:pPr>
              <w:pStyle w:val="2001"/>
            </w:pPr>
          </w:p>
        </w:tc>
        <w:tc>
          <w:tcPr>
            <w:tcW w:w="1487" w:type="dxa"/>
            <w:vAlign w:val="center"/>
          </w:tcPr>
          <w:p>
            <w:pPr>
              <w:autoSpaceDE w:val="0"/>
              <w:autoSpaceDN w:val="0"/>
              <w:adjustRightInd w:val="0"/>
              <w:snapToGrid w:val="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0.7398</w:t>
            </w:r>
          </w:p>
        </w:tc>
        <w:tc>
          <w:tcPr>
            <w:tcW w:w="1454" w:type="dxa"/>
            <w:vAlign w:val="center"/>
          </w:tcPr>
          <w:p>
            <w:pPr>
              <w:autoSpaceDE w:val="0"/>
              <w:autoSpaceDN w:val="0"/>
              <w:adjustRightInd w:val="0"/>
              <w:snapToGrid w:val="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4</w:t>
            </w:r>
          </w:p>
        </w:tc>
        <w:tc>
          <w:tcPr>
            <w:tcW w:w="1577" w:type="dxa"/>
            <w:vAlign w:val="center"/>
          </w:tcPr>
          <w:p>
            <w:pPr>
              <w:autoSpaceDE w:val="0"/>
              <w:autoSpaceDN w:val="0"/>
              <w:adjustRightInd w:val="0"/>
              <w:snapToGrid w:val="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8.8</w:t>
            </w:r>
          </w:p>
        </w:tc>
        <w:tc>
          <w:tcPr>
            <w:tcW w:w="955" w:type="dxa"/>
            <w:vAlign w:val="center"/>
          </w:tcPr>
          <w:p>
            <w:pPr>
              <w:pStyle w:val="2001"/>
            </w:pPr>
            <w:r>
              <w:t>20</w:t>
            </w:r>
          </w:p>
        </w:tc>
        <w:tc>
          <w:tcPr>
            <w:tcW w:w="1049" w:type="dxa"/>
            <w:vAlign w:val="bottom"/>
          </w:tcPr>
          <w:p>
            <w:pPr>
              <w:pStyle w:val="2001"/>
            </w:pPr>
            <w:r>
              <w:rPr>
                <w:rFonts w:hint="eastAsia"/>
              </w:rPr>
              <w:t>5.89</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134" w:hRule="atLeast"/>
          <w:jc w:val="center"/>
        </w:trPr>
        <w:tc>
          <w:tcPr>
            <w:tcW w:w="747" w:type="dxa"/>
            <w:vMerge w:val="continue"/>
            <w:vAlign w:val="center"/>
          </w:tcPr>
          <w:p>
            <w:pPr>
              <w:pStyle w:val="2001"/>
            </w:pPr>
          </w:p>
        </w:tc>
        <w:tc>
          <w:tcPr>
            <w:tcW w:w="1259" w:type="dxa"/>
            <w:vMerge w:val="continue"/>
            <w:vAlign w:val="center"/>
          </w:tcPr>
          <w:p>
            <w:pPr>
              <w:pStyle w:val="2001"/>
            </w:pPr>
          </w:p>
        </w:tc>
        <w:tc>
          <w:tcPr>
            <w:tcW w:w="1487" w:type="dxa"/>
            <w:vAlign w:val="center"/>
          </w:tcPr>
          <w:p>
            <w:pPr>
              <w:autoSpaceDE w:val="0"/>
              <w:autoSpaceDN w:val="0"/>
              <w:adjustRightInd w:val="0"/>
              <w:snapToGrid w:val="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0.8766</w:t>
            </w:r>
          </w:p>
        </w:tc>
        <w:tc>
          <w:tcPr>
            <w:tcW w:w="1454" w:type="dxa"/>
            <w:vAlign w:val="center"/>
          </w:tcPr>
          <w:p>
            <w:pPr>
              <w:autoSpaceDE w:val="0"/>
              <w:autoSpaceDN w:val="0"/>
              <w:adjustRightInd w:val="0"/>
              <w:snapToGrid w:val="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4</w:t>
            </w:r>
          </w:p>
        </w:tc>
        <w:tc>
          <w:tcPr>
            <w:tcW w:w="1577" w:type="dxa"/>
            <w:vAlign w:val="center"/>
          </w:tcPr>
          <w:p>
            <w:pPr>
              <w:autoSpaceDE w:val="0"/>
              <w:autoSpaceDN w:val="0"/>
              <w:adjustRightInd w:val="0"/>
              <w:snapToGrid w:val="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8.8</w:t>
            </w:r>
          </w:p>
        </w:tc>
        <w:tc>
          <w:tcPr>
            <w:tcW w:w="955" w:type="dxa"/>
            <w:vAlign w:val="center"/>
          </w:tcPr>
          <w:p>
            <w:pPr>
              <w:pStyle w:val="2001"/>
            </w:pPr>
            <w:r>
              <w:t>10</w:t>
            </w:r>
          </w:p>
        </w:tc>
        <w:tc>
          <w:tcPr>
            <w:tcW w:w="1049" w:type="dxa"/>
            <w:vAlign w:val="bottom"/>
          </w:tcPr>
          <w:p>
            <w:pPr>
              <w:pStyle w:val="2001"/>
            </w:pPr>
            <w:r>
              <w:rPr>
                <w:rFonts w:hint="eastAsia"/>
              </w:rPr>
              <w:t>3.49</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134" w:hRule="atLeast"/>
          <w:jc w:val="center"/>
        </w:trPr>
        <w:tc>
          <w:tcPr>
            <w:tcW w:w="747" w:type="dxa"/>
            <w:vMerge w:val="continue"/>
            <w:vAlign w:val="center"/>
          </w:tcPr>
          <w:p>
            <w:pPr>
              <w:pStyle w:val="2001"/>
            </w:pPr>
          </w:p>
        </w:tc>
        <w:tc>
          <w:tcPr>
            <w:tcW w:w="1259" w:type="dxa"/>
            <w:vMerge w:val="continue"/>
            <w:vAlign w:val="center"/>
          </w:tcPr>
          <w:p>
            <w:pPr>
              <w:pStyle w:val="2001"/>
            </w:pPr>
          </w:p>
        </w:tc>
        <w:tc>
          <w:tcPr>
            <w:tcW w:w="1487" w:type="dxa"/>
            <w:vAlign w:val="center"/>
          </w:tcPr>
          <w:p>
            <w:pPr>
              <w:autoSpaceDE w:val="0"/>
              <w:autoSpaceDN w:val="0"/>
              <w:adjustRightInd w:val="0"/>
              <w:snapToGrid w:val="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0.9724</w:t>
            </w:r>
          </w:p>
        </w:tc>
        <w:tc>
          <w:tcPr>
            <w:tcW w:w="1454" w:type="dxa"/>
            <w:vAlign w:val="center"/>
          </w:tcPr>
          <w:p>
            <w:pPr>
              <w:autoSpaceDE w:val="0"/>
              <w:autoSpaceDN w:val="0"/>
              <w:adjustRightInd w:val="0"/>
              <w:snapToGrid w:val="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4</w:t>
            </w:r>
          </w:p>
        </w:tc>
        <w:tc>
          <w:tcPr>
            <w:tcW w:w="1577" w:type="dxa"/>
            <w:vAlign w:val="center"/>
          </w:tcPr>
          <w:p>
            <w:pPr>
              <w:autoSpaceDE w:val="0"/>
              <w:autoSpaceDN w:val="0"/>
              <w:adjustRightInd w:val="0"/>
              <w:snapToGrid w:val="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8.8</w:t>
            </w:r>
          </w:p>
        </w:tc>
        <w:tc>
          <w:tcPr>
            <w:tcW w:w="955" w:type="dxa"/>
            <w:vAlign w:val="center"/>
          </w:tcPr>
          <w:p>
            <w:pPr>
              <w:pStyle w:val="2001"/>
            </w:pPr>
            <w:r>
              <w:rPr>
                <w:rFonts w:hint="eastAsia"/>
              </w:rPr>
              <w:t>3</w:t>
            </w:r>
          </w:p>
        </w:tc>
        <w:tc>
          <w:tcPr>
            <w:tcW w:w="1049" w:type="dxa"/>
            <w:vAlign w:val="bottom"/>
          </w:tcPr>
          <w:p>
            <w:pPr>
              <w:pStyle w:val="2001"/>
            </w:pPr>
            <w:r>
              <w:rPr>
                <w:rFonts w:hint="eastAsia"/>
              </w:rPr>
              <w:t>1.16</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158" w:hRule="atLeast"/>
          <w:jc w:val="center"/>
        </w:trPr>
        <w:tc>
          <w:tcPr>
            <w:tcW w:w="747" w:type="dxa"/>
            <w:vMerge w:val="continue"/>
            <w:vAlign w:val="center"/>
          </w:tcPr>
          <w:p>
            <w:pPr>
              <w:pStyle w:val="2001"/>
            </w:pPr>
          </w:p>
        </w:tc>
        <w:tc>
          <w:tcPr>
            <w:tcW w:w="6732" w:type="dxa"/>
            <w:gridSpan w:val="5"/>
            <w:vAlign w:val="center"/>
          </w:tcPr>
          <w:p>
            <w:pPr>
              <w:pStyle w:val="2001"/>
            </w:pPr>
            <w:r>
              <w:t>小计</w:t>
            </w:r>
          </w:p>
        </w:tc>
        <w:tc>
          <w:tcPr>
            <w:tcW w:w="1049" w:type="dxa"/>
            <w:vAlign w:val="center"/>
          </w:tcPr>
          <w:p>
            <w:pPr>
              <w:pStyle w:val="2001"/>
            </w:pPr>
            <w:r>
              <w:rPr>
                <w:rFonts w:hint="eastAsia"/>
              </w:rPr>
              <w:t>21.32</w:t>
            </w:r>
            <w:r>
              <w:t>万粒</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183" w:hRule="atLeast"/>
          <w:jc w:val="center"/>
        </w:trPr>
        <w:tc>
          <w:tcPr>
            <w:tcW w:w="747" w:type="dxa"/>
            <w:vMerge w:val="restart"/>
            <w:vAlign w:val="center"/>
          </w:tcPr>
          <w:p>
            <w:pPr>
              <w:pStyle w:val="2001"/>
            </w:pPr>
            <w:r>
              <w:t>仔鱼</w:t>
            </w:r>
          </w:p>
        </w:tc>
        <w:tc>
          <w:tcPr>
            <w:tcW w:w="1259" w:type="dxa"/>
            <w:vMerge w:val="restart"/>
            <w:vAlign w:val="center"/>
          </w:tcPr>
          <w:p>
            <w:pPr>
              <w:pStyle w:val="2001"/>
            </w:pPr>
            <w:r>
              <w:rPr>
                <w:rFonts w:hint="eastAsia"/>
              </w:rPr>
              <w:t>1.81</w:t>
            </w:r>
            <w:r>
              <w:t>万尾/km</w:t>
            </w:r>
            <w:r>
              <w:rPr>
                <w:vertAlign w:val="superscript"/>
              </w:rPr>
              <w:t>2</w:t>
            </w:r>
          </w:p>
        </w:tc>
        <w:tc>
          <w:tcPr>
            <w:tcW w:w="1487" w:type="dxa"/>
            <w:vAlign w:val="center"/>
          </w:tcPr>
          <w:p>
            <w:pPr>
              <w:autoSpaceDE w:val="0"/>
              <w:autoSpaceDN w:val="0"/>
              <w:adjustRightInd w:val="0"/>
              <w:snapToGrid w:val="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0.2712</w:t>
            </w:r>
          </w:p>
        </w:tc>
        <w:tc>
          <w:tcPr>
            <w:tcW w:w="1454" w:type="dxa"/>
            <w:vAlign w:val="center"/>
          </w:tcPr>
          <w:p>
            <w:pPr>
              <w:autoSpaceDE w:val="0"/>
              <w:autoSpaceDN w:val="0"/>
              <w:adjustRightInd w:val="0"/>
              <w:snapToGrid w:val="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4</w:t>
            </w:r>
          </w:p>
        </w:tc>
        <w:tc>
          <w:tcPr>
            <w:tcW w:w="1577" w:type="dxa"/>
            <w:vAlign w:val="center"/>
          </w:tcPr>
          <w:p>
            <w:pPr>
              <w:autoSpaceDE w:val="0"/>
              <w:autoSpaceDN w:val="0"/>
              <w:adjustRightInd w:val="0"/>
              <w:snapToGrid w:val="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8.8</w:t>
            </w:r>
          </w:p>
        </w:tc>
        <w:tc>
          <w:tcPr>
            <w:tcW w:w="955" w:type="dxa"/>
            <w:vAlign w:val="center"/>
          </w:tcPr>
          <w:p>
            <w:pPr>
              <w:pStyle w:val="2001"/>
            </w:pPr>
            <w:r>
              <w:t>100</w:t>
            </w:r>
          </w:p>
        </w:tc>
        <w:tc>
          <w:tcPr>
            <w:tcW w:w="1049" w:type="dxa"/>
            <w:vAlign w:val="bottom"/>
          </w:tcPr>
          <w:p>
            <w:pPr>
              <w:pStyle w:val="2001"/>
            </w:pPr>
            <w:r>
              <w:rPr>
                <w:rFonts w:hint="eastAsia"/>
              </w:rPr>
              <w:t>17.28</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158" w:hRule="atLeast"/>
          <w:jc w:val="center"/>
        </w:trPr>
        <w:tc>
          <w:tcPr>
            <w:tcW w:w="747" w:type="dxa"/>
            <w:vMerge w:val="continue"/>
            <w:vAlign w:val="center"/>
          </w:tcPr>
          <w:p>
            <w:pPr>
              <w:pStyle w:val="2001"/>
            </w:pPr>
          </w:p>
        </w:tc>
        <w:tc>
          <w:tcPr>
            <w:tcW w:w="1259" w:type="dxa"/>
            <w:vMerge w:val="continue"/>
            <w:vAlign w:val="center"/>
          </w:tcPr>
          <w:p>
            <w:pPr>
              <w:pStyle w:val="2001"/>
            </w:pPr>
          </w:p>
        </w:tc>
        <w:tc>
          <w:tcPr>
            <w:tcW w:w="1487" w:type="dxa"/>
            <w:vAlign w:val="center"/>
          </w:tcPr>
          <w:p>
            <w:pPr>
              <w:autoSpaceDE w:val="0"/>
              <w:autoSpaceDN w:val="0"/>
              <w:adjustRightInd w:val="0"/>
              <w:snapToGrid w:val="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0.7398</w:t>
            </w:r>
          </w:p>
        </w:tc>
        <w:tc>
          <w:tcPr>
            <w:tcW w:w="1454" w:type="dxa"/>
            <w:vAlign w:val="center"/>
          </w:tcPr>
          <w:p>
            <w:pPr>
              <w:autoSpaceDE w:val="0"/>
              <w:autoSpaceDN w:val="0"/>
              <w:adjustRightInd w:val="0"/>
              <w:snapToGrid w:val="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4</w:t>
            </w:r>
          </w:p>
        </w:tc>
        <w:tc>
          <w:tcPr>
            <w:tcW w:w="1577" w:type="dxa"/>
            <w:vAlign w:val="center"/>
          </w:tcPr>
          <w:p>
            <w:pPr>
              <w:autoSpaceDE w:val="0"/>
              <w:autoSpaceDN w:val="0"/>
              <w:adjustRightInd w:val="0"/>
              <w:snapToGrid w:val="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8.8</w:t>
            </w:r>
          </w:p>
        </w:tc>
        <w:tc>
          <w:tcPr>
            <w:tcW w:w="955" w:type="dxa"/>
            <w:vAlign w:val="center"/>
          </w:tcPr>
          <w:p>
            <w:pPr>
              <w:pStyle w:val="2001"/>
            </w:pPr>
            <w:r>
              <w:t>20</w:t>
            </w:r>
          </w:p>
        </w:tc>
        <w:tc>
          <w:tcPr>
            <w:tcW w:w="1049" w:type="dxa"/>
            <w:vAlign w:val="bottom"/>
          </w:tcPr>
          <w:p>
            <w:pPr>
              <w:pStyle w:val="2001"/>
            </w:pPr>
            <w:r>
              <w:rPr>
                <w:rFonts w:hint="eastAsia"/>
              </w:rPr>
              <w:t>9.43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142" w:hRule="atLeast"/>
          <w:jc w:val="center"/>
        </w:trPr>
        <w:tc>
          <w:tcPr>
            <w:tcW w:w="747" w:type="dxa"/>
            <w:vMerge w:val="continue"/>
            <w:vAlign w:val="center"/>
          </w:tcPr>
          <w:p>
            <w:pPr>
              <w:pStyle w:val="2001"/>
            </w:pPr>
          </w:p>
        </w:tc>
        <w:tc>
          <w:tcPr>
            <w:tcW w:w="1259" w:type="dxa"/>
            <w:vMerge w:val="continue"/>
            <w:vAlign w:val="center"/>
          </w:tcPr>
          <w:p>
            <w:pPr>
              <w:pStyle w:val="2001"/>
            </w:pPr>
          </w:p>
        </w:tc>
        <w:tc>
          <w:tcPr>
            <w:tcW w:w="1487" w:type="dxa"/>
            <w:vAlign w:val="center"/>
          </w:tcPr>
          <w:p>
            <w:pPr>
              <w:autoSpaceDE w:val="0"/>
              <w:autoSpaceDN w:val="0"/>
              <w:adjustRightInd w:val="0"/>
              <w:snapToGrid w:val="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0.8766</w:t>
            </w:r>
          </w:p>
        </w:tc>
        <w:tc>
          <w:tcPr>
            <w:tcW w:w="1454" w:type="dxa"/>
            <w:vAlign w:val="center"/>
          </w:tcPr>
          <w:p>
            <w:pPr>
              <w:autoSpaceDE w:val="0"/>
              <w:autoSpaceDN w:val="0"/>
              <w:adjustRightInd w:val="0"/>
              <w:snapToGrid w:val="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4</w:t>
            </w:r>
          </w:p>
        </w:tc>
        <w:tc>
          <w:tcPr>
            <w:tcW w:w="1577" w:type="dxa"/>
            <w:vAlign w:val="center"/>
          </w:tcPr>
          <w:p>
            <w:pPr>
              <w:autoSpaceDE w:val="0"/>
              <w:autoSpaceDN w:val="0"/>
              <w:adjustRightInd w:val="0"/>
              <w:snapToGrid w:val="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8.8</w:t>
            </w:r>
          </w:p>
        </w:tc>
        <w:tc>
          <w:tcPr>
            <w:tcW w:w="955" w:type="dxa"/>
            <w:vAlign w:val="center"/>
          </w:tcPr>
          <w:p>
            <w:pPr>
              <w:pStyle w:val="2001"/>
            </w:pPr>
            <w:r>
              <w:t>10</w:t>
            </w:r>
          </w:p>
        </w:tc>
        <w:tc>
          <w:tcPr>
            <w:tcW w:w="1049" w:type="dxa"/>
            <w:vAlign w:val="bottom"/>
          </w:tcPr>
          <w:p>
            <w:pPr>
              <w:pStyle w:val="2001"/>
            </w:pPr>
            <w:r>
              <w:rPr>
                <w:rFonts w:hint="eastAsia"/>
              </w:rPr>
              <w:t>5.58</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142" w:hRule="atLeast"/>
          <w:jc w:val="center"/>
        </w:trPr>
        <w:tc>
          <w:tcPr>
            <w:tcW w:w="747" w:type="dxa"/>
            <w:vMerge w:val="continue"/>
            <w:vAlign w:val="center"/>
          </w:tcPr>
          <w:p>
            <w:pPr>
              <w:pStyle w:val="2001"/>
            </w:pPr>
          </w:p>
        </w:tc>
        <w:tc>
          <w:tcPr>
            <w:tcW w:w="1259" w:type="dxa"/>
            <w:vMerge w:val="continue"/>
            <w:vAlign w:val="center"/>
          </w:tcPr>
          <w:p>
            <w:pPr>
              <w:pStyle w:val="2001"/>
            </w:pPr>
          </w:p>
        </w:tc>
        <w:tc>
          <w:tcPr>
            <w:tcW w:w="1487" w:type="dxa"/>
            <w:vAlign w:val="center"/>
          </w:tcPr>
          <w:p>
            <w:pPr>
              <w:autoSpaceDE w:val="0"/>
              <w:autoSpaceDN w:val="0"/>
              <w:adjustRightInd w:val="0"/>
              <w:snapToGrid w:val="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0.9724</w:t>
            </w:r>
          </w:p>
        </w:tc>
        <w:tc>
          <w:tcPr>
            <w:tcW w:w="1454" w:type="dxa"/>
            <w:vAlign w:val="center"/>
          </w:tcPr>
          <w:p>
            <w:pPr>
              <w:autoSpaceDE w:val="0"/>
              <w:autoSpaceDN w:val="0"/>
              <w:adjustRightInd w:val="0"/>
              <w:snapToGrid w:val="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4</w:t>
            </w:r>
          </w:p>
        </w:tc>
        <w:tc>
          <w:tcPr>
            <w:tcW w:w="1577" w:type="dxa"/>
            <w:vAlign w:val="center"/>
          </w:tcPr>
          <w:p>
            <w:pPr>
              <w:autoSpaceDE w:val="0"/>
              <w:autoSpaceDN w:val="0"/>
              <w:adjustRightInd w:val="0"/>
              <w:snapToGrid w:val="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8.8</w:t>
            </w:r>
          </w:p>
        </w:tc>
        <w:tc>
          <w:tcPr>
            <w:tcW w:w="955" w:type="dxa"/>
            <w:vAlign w:val="center"/>
          </w:tcPr>
          <w:p>
            <w:pPr>
              <w:pStyle w:val="2001"/>
            </w:pPr>
            <w:r>
              <w:rPr>
                <w:rFonts w:hint="eastAsia"/>
              </w:rPr>
              <w:t>3</w:t>
            </w:r>
          </w:p>
        </w:tc>
        <w:tc>
          <w:tcPr>
            <w:tcW w:w="1049" w:type="dxa"/>
            <w:vAlign w:val="bottom"/>
          </w:tcPr>
          <w:p>
            <w:pPr>
              <w:pStyle w:val="2001"/>
            </w:pPr>
            <w:r>
              <w:rPr>
                <w:rFonts w:hint="eastAsia"/>
              </w:rPr>
              <w:t>1.86</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150" w:hRule="atLeast"/>
          <w:jc w:val="center"/>
        </w:trPr>
        <w:tc>
          <w:tcPr>
            <w:tcW w:w="747" w:type="dxa"/>
            <w:vMerge w:val="continue"/>
            <w:vAlign w:val="center"/>
          </w:tcPr>
          <w:p>
            <w:pPr>
              <w:pStyle w:val="2001"/>
            </w:pPr>
          </w:p>
        </w:tc>
        <w:tc>
          <w:tcPr>
            <w:tcW w:w="6732" w:type="dxa"/>
            <w:gridSpan w:val="5"/>
            <w:vAlign w:val="center"/>
          </w:tcPr>
          <w:p>
            <w:pPr>
              <w:pStyle w:val="2001"/>
            </w:pPr>
            <w:r>
              <w:t>小计</w:t>
            </w:r>
          </w:p>
        </w:tc>
        <w:tc>
          <w:tcPr>
            <w:tcW w:w="1049" w:type="dxa"/>
            <w:vAlign w:val="center"/>
          </w:tcPr>
          <w:p>
            <w:pPr>
              <w:pStyle w:val="2001"/>
            </w:pPr>
            <w:r>
              <w:rPr>
                <w:rFonts w:hint="eastAsia"/>
              </w:rPr>
              <w:t>34.15</w:t>
            </w:r>
            <w:r>
              <w:t>万尾</w:t>
            </w:r>
          </w:p>
        </w:tc>
      </w:tr>
    </w:tbl>
    <w:p>
      <w:pPr>
        <w:pStyle w:val="1075"/>
        <w:ind w:firstLine="439"/>
        <w:rPr>
          <w:b/>
          <w:color w:val="000000" w:themeColor="text1"/>
          <w14:textFill>
            <w14:solidFill>
              <w14:schemeClr w14:val="tx1"/>
            </w14:solidFill>
          </w14:textFill>
        </w:rPr>
      </w:pPr>
      <w:r>
        <w:rPr>
          <w:rFonts w:hint="eastAsia"/>
          <w:b/>
          <w:color w:val="000000" w:themeColor="text1"/>
          <w14:textFill>
            <w14:solidFill>
              <w14:schemeClr w14:val="tx1"/>
            </w14:solidFill>
          </w14:textFill>
        </w:rPr>
        <w:t>3、</w:t>
      </w:r>
      <w:r>
        <w:rPr>
          <w:b/>
          <w:color w:val="000000" w:themeColor="text1"/>
          <w14:textFill>
            <w14:solidFill>
              <w14:schemeClr w14:val="tx1"/>
            </w14:solidFill>
          </w14:textFill>
        </w:rPr>
        <w:t>项目建设造成海洋生物资源量损害及经济损失汇总</w:t>
      </w:r>
    </w:p>
    <w:p>
      <w:pPr>
        <w:ind w:firstLine="504"/>
        <w:rPr>
          <w:color w:val="000000" w:themeColor="text1"/>
          <w14:textFill>
            <w14:solidFill>
              <w14:schemeClr w14:val="tx1"/>
            </w14:solidFill>
          </w14:textFill>
        </w:rPr>
      </w:pPr>
      <w:r>
        <w:rPr>
          <w:color w:val="000000" w:themeColor="text1"/>
          <w14:textFill>
            <w14:solidFill>
              <w14:schemeClr w14:val="tx1"/>
            </w14:solidFill>
          </w14:textFill>
        </w:rPr>
        <w:t>项目炸礁爆破海洋生物补偿总金额为</w:t>
      </w:r>
      <w:r>
        <w:rPr>
          <w:rFonts w:hint="eastAsia"/>
          <w:color w:val="000000" w:themeColor="text1"/>
          <w14:textFill>
            <w14:solidFill>
              <w14:schemeClr w14:val="tx1"/>
            </w14:solidFill>
          </w14:textFill>
        </w:rPr>
        <w:t>16.46万元，</w:t>
      </w:r>
      <w:r>
        <w:rPr>
          <w:color w:val="000000" w:themeColor="text1"/>
          <w14:textFill>
            <w14:solidFill>
              <w14:schemeClr w14:val="tx1"/>
            </w14:solidFill>
          </w14:textFill>
        </w:rPr>
        <w:t>海洋生物资源量损失及经济损失汇总见表4.</w:t>
      </w:r>
      <w:r>
        <w:rPr>
          <w:rFonts w:hint="eastAsia"/>
          <w:color w:val="000000" w:themeColor="text1"/>
          <w14:textFill>
            <w14:solidFill>
              <w14:schemeClr w14:val="tx1"/>
            </w14:solidFill>
          </w14:textFill>
        </w:rPr>
        <w:t>2</w:t>
      </w:r>
      <w:r>
        <w:rPr>
          <w:color w:val="000000" w:themeColor="text1"/>
          <w14:textFill>
            <w14:solidFill>
              <w14:schemeClr w14:val="tx1"/>
            </w14:solidFill>
          </w14:textFill>
        </w:rPr>
        <w:t>-1</w:t>
      </w:r>
      <w:r>
        <w:rPr>
          <w:rFonts w:hint="eastAsia"/>
          <w:color w:val="000000" w:themeColor="text1"/>
          <w14:textFill>
            <w14:solidFill>
              <w14:schemeClr w14:val="tx1"/>
            </w14:solidFill>
          </w14:textFill>
        </w:rPr>
        <w:t>4</w:t>
      </w:r>
      <w:r>
        <w:rPr>
          <w:color w:val="000000" w:themeColor="text1"/>
          <w14:textFill>
            <w14:solidFill>
              <w14:schemeClr w14:val="tx1"/>
            </w14:solidFill>
          </w14:textFill>
        </w:rPr>
        <w:t>。</w:t>
      </w:r>
    </w:p>
    <w:p>
      <w:pPr>
        <w:pStyle w:val="384"/>
        <w:ind w:left="0" w:firstLine="0"/>
        <w:rPr>
          <w:color w:val="000000" w:themeColor="text1"/>
          <w14:textFill>
            <w14:solidFill>
              <w14:schemeClr w14:val="tx1"/>
            </w14:solidFill>
          </w14:textFill>
        </w:rPr>
      </w:pPr>
      <w:r>
        <w:rPr>
          <w:color w:val="000000" w:themeColor="text1"/>
          <w14:textFill>
            <w14:solidFill>
              <w14:schemeClr w14:val="tx1"/>
            </w14:solidFill>
          </w14:textFill>
        </w:rPr>
        <w:t>生态补偿金额估算</w:t>
      </w:r>
    </w:p>
    <w:tbl>
      <w:tblPr>
        <w:tblStyle w:val="88"/>
        <w:tblW w:w="8528" w:type="dxa"/>
        <w:jc w:val="center"/>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999"/>
        <w:gridCol w:w="1148"/>
        <w:gridCol w:w="1269"/>
        <w:gridCol w:w="1146"/>
        <w:gridCol w:w="1018"/>
        <w:gridCol w:w="652"/>
        <w:gridCol w:w="1148"/>
        <w:gridCol w:w="1148"/>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999" w:type="dxa"/>
            <w:vAlign w:val="center"/>
          </w:tcPr>
          <w:p>
            <w:pPr>
              <w:autoSpaceDE w:val="0"/>
              <w:autoSpaceDN w:val="0"/>
              <w:adjustRightInd w:val="0"/>
              <w:snapToGrid w:val="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工程类型</w:t>
            </w:r>
          </w:p>
        </w:tc>
        <w:tc>
          <w:tcPr>
            <w:tcW w:w="1148" w:type="dxa"/>
            <w:vAlign w:val="center"/>
          </w:tcPr>
          <w:p>
            <w:pPr>
              <w:autoSpaceDE w:val="0"/>
              <w:autoSpaceDN w:val="0"/>
              <w:adjustRightInd w:val="0"/>
              <w:snapToGrid w:val="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受损海洋</w:t>
            </w:r>
          </w:p>
          <w:p>
            <w:pPr>
              <w:autoSpaceDE w:val="0"/>
              <w:autoSpaceDN w:val="0"/>
              <w:adjustRightInd w:val="0"/>
              <w:snapToGrid w:val="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生物</w:t>
            </w:r>
          </w:p>
        </w:tc>
        <w:tc>
          <w:tcPr>
            <w:tcW w:w="1269" w:type="dxa"/>
            <w:vAlign w:val="center"/>
          </w:tcPr>
          <w:p>
            <w:pPr>
              <w:autoSpaceDE w:val="0"/>
              <w:autoSpaceDN w:val="0"/>
              <w:adjustRightInd w:val="0"/>
              <w:snapToGrid w:val="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损失量</w:t>
            </w:r>
          </w:p>
        </w:tc>
        <w:tc>
          <w:tcPr>
            <w:tcW w:w="1146" w:type="dxa"/>
            <w:vAlign w:val="center"/>
          </w:tcPr>
          <w:p>
            <w:pPr>
              <w:autoSpaceDE w:val="0"/>
              <w:autoSpaceDN w:val="0"/>
              <w:adjustRightInd w:val="0"/>
              <w:snapToGrid w:val="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单价（万元/t）</w:t>
            </w:r>
          </w:p>
        </w:tc>
        <w:tc>
          <w:tcPr>
            <w:tcW w:w="1018" w:type="dxa"/>
            <w:vAlign w:val="center"/>
          </w:tcPr>
          <w:p>
            <w:pPr>
              <w:autoSpaceDE w:val="0"/>
              <w:autoSpaceDN w:val="0"/>
              <w:adjustRightInd w:val="0"/>
              <w:snapToGrid w:val="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损失价值（万元）</w:t>
            </w:r>
          </w:p>
        </w:tc>
        <w:tc>
          <w:tcPr>
            <w:tcW w:w="652" w:type="dxa"/>
            <w:vAlign w:val="center"/>
          </w:tcPr>
          <w:p>
            <w:pPr>
              <w:autoSpaceDE w:val="0"/>
              <w:autoSpaceDN w:val="0"/>
              <w:adjustRightInd w:val="0"/>
              <w:snapToGrid w:val="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补偿年限</w:t>
            </w:r>
          </w:p>
        </w:tc>
        <w:tc>
          <w:tcPr>
            <w:tcW w:w="1148" w:type="dxa"/>
            <w:vAlign w:val="center"/>
          </w:tcPr>
          <w:p>
            <w:pPr>
              <w:autoSpaceDE w:val="0"/>
              <w:autoSpaceDN w:val="0"/>
              <w:adjustRightInd w:val="0"/>
              <w:snapToGrid w:val="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补偿金额（万元）</w:t>
            </w:r>
          </w:p>
        </w:tc>
        <w:tc>
          <w:tcPr>
            <w:tcW w:w="1148" w:type="dxa"/>
            <w:vAlign w:val="center"/>
          </w:tcPr>
          <w:p>
            <w:pPr>
              <w:autoSpaceDE w:val="0"/>
              <w:autoSpaceDN w:val="0"/>
              <w:adjustRightInd w:val="0"/>
              <w:snapToGrid w:val="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备注</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999" w:type="dxa"/>
            <w:vMerge w:val="restart"/>
            <w:vAlign w:val="center"/>
          </w:tcPr>
          <w:p>
            <w:pPr>
              <w:autoSpaceDE w:val="0"/>
              <w:autoSpaceDN w:val="0"/>
              <w:adjustRightInd w:val="0"/>
              <w:snapToGrid w:val="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炸礁</w:t>
            </w:r>
          </w:p>
        </w:tc>
        <w:tc>
          <w:tcPr>
            <w:tcW w:w="1148" w:type="dxa"/>
            <w:vAlign w:val="center"/>
          </w:tcPr>
          <w:p>
            <w:pPr>
              <w:autoSpaceDE w:val="0"/>
              <w:autoSpaceDN w:val="0"/>
              <w:adjustRightInd w:val="0"/>
              <w:snapToGrid w:val="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游泳生物</w:t>
            </w:r>
          </w:p>
        </w:tc>
        <w:tc>
          <w:tcPr>
            <w:tcW w:w="1269" w:type="dxa"/>
            <w:vAlign w:val="center"/>
          </w:tcPr>
          <w:p>
            <w:pPr>
              <w:autoSpaceDE w:val="0"/>
              <w:autoSpaceDN w:val="0"/>
              <w:adjustRightInd w:val="0"/>
              <w:snapToGrid w:val="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2.47t</w:t>
            </w:r>
          </w:p>
        </w:tc>
        <w:tc>
          <w:tcPr>
            <w:tcW w:w="1146" w:type="dxa"/>
            <w:vAlign w:val="center"/>
          </w:tcPr>
          <w:p>
            <w:pPr>
              <w:autoSpaceDE w:val="0"/>
              <w:autoSpaceDN w:val="0"/>
              <w:adjustRightInd w:val="0"/>
              <w:snapToGrid w:val="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1.88</w:t>
            </w:r>
          </w:p>
        </w:tc>
        <w:tc>
          <w:tcPr>
            <w:tcW w:w="1018" w:type="dxa"/>
            <w:vAlign w:val="center"/>
          </w:tcPr>
          <w:p>
            <w:pPr>
              <w:autoSpaceDE w:val="0"/>
              <w:autoSpaceDN w:val="0"/>
              <w:adjustRightInd w:val="0"/>
              <w:snapToGrid w:val="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4.64</w:t>
            </w:r>
          </w:p>
        </w:tc>
        <w:tc>
          <w:tcPr>
            <w:tcW w:w="652" w:type="dxa"/>
            <w:vAlign w:val="center"/>
          </w:tcPr>
          <w:p>
            <w:pPr>
              <w:autoSpaceDE w:val="0"/>
              <w:autoSpaceDN w:val="0"/>
              <w:adjustRightInd w:val="0"/>
              <w:snapToGrid w:val="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3</w:t>
            </w:r>
          </w:p>
        </w:tc>
        <w:tc>
          <w:tcPr>
            <w:tcW w:w="1148" w:type="dxa"/>
            <w:vAlign w:val="center"/>
          </w:tcPr>
          <w:p>
            <w:pPr>
              <w:autoSpaceDE w:val="0"/>
              <w:autoSpaceDN w:val="0"/>
              <w:adjustRightInd w:val="0"/>
              <w:snapToGrid w:val="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13.92</w:t>
            </w:r>
          </w:p>
        </w:tc>
        <w:tc>
          <w:tcPr>
            <w:tcW w:w="1148" w:type="dxa"/>
          </w:tcPr>
          <w:p>
            <w:pPr>
              <w:autoSpaceDE w:val="0"/>
              <w:autoSpaceDN w:val="0"/>
              <w:adjustRightInd w:val="0"/>
              <w:snapToGrid w:val="0"/>
              <w:jc w:val="center"/>
              <w:rPr>
                <w:color w:val="000000" w:themeColor="text1"/>
                <w:kern w:val="0"/>
                <w:sz w:val="21"/>
                <w:szCs w:val="21"/>
                <w14:textFill>
                  <w14:solidFill>
                    <w14:schemeClr w14:val="tx1"/>
                  </w14:solidFill>
                </w14:textFill>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999" w:type="dxa"/>
            <w:vMerge w:val="continue"/>
            <w:vAlign w:val="center"/>
          </w:tcPr>
          <w:p>
            <w:pPr>
              <w:autoSpaceDE w:val="0"/>
              <w:autoSpaceDN w:val="0"/>
              <w:adjustRightInd w:val="0"/>
              <w:snapToGrid w:val="0"/>
              <w:jc w:val="center"/>
              <w:rPr>
                <w:color w:val="000000" w:themeColor="text1"/>
                <w:kern w:val="0"/>
                <w:sz w:val="21"/>
                <w:szCs w:val="21"/>
                <w14:textFill>
                  <w14:solidFill>
                    <w14:schemeClr w14:val="tx1"/>
                  </w14:solidFill>
                </w14:textFill>
              </w:rPr>
            </w:pPr>
          </w:p>
        </w:tc>
        <w:tc>
          <w:tcPr>
            <w:tcW w:w="1148" w:type="dxa"/>
            <w:vAlign w:val="center"/>
          </w:tcPr>
          <w:p>
            <w:pPr>
              <w:autoSpaceDE w:val="0"/>
              <w:autoSpaceDN w:val="0"/>
              <w:adjustRightInd w:val="0"/>
              <w:snapToGrid w:val="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鱼卵</w:t>
            </w:r>
          </w:p>
        </w:tc>
        <w:tc>
          <w:tcPr>
            <w:tcW w:w="1269" w:type="dxa"/>
            <w:vAlign w:val="center"/>
          </w:tcPr>
          <w:p>
            <w:pPr>
              <w:autoSpaceDE w:val="0"/>
              <w:autoSpaceDN w:val="0"/>
              <w:adjustRightInd w:val="0"/>
              <w:snapToGrid w:val="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21.32</w:t>
            </w:r>
            <w:r>
              <w:rPr>
                <w:color w:val="000000" w:themeColor="text1"/>
                <w14:textFill>
                  <w14:solidFill>
                    <w14:schemeClr w14:val="tx1"/>
                  </w14:solidFill>
                </w14:textFill>
              </w:rPr>
              <w:t>万粒</w:t>
            </w:r>
          </w:p>
        </w:tc>
        <w:tc>
          <w:tcPr>
            <w:tcW w:w="1146" w:type="dxa"/>
            <w:vAlign w:val="center"/>
          </w:tcPr>
          <w:p>
            <w:pPr>
              <w:autoSpaceDE w:val="0"/>
              <w:autoSpaceDN w:val="0"/>
              <w:adjustRightInd w:val="0"/>
              <w:snapToGrid w:val="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0.60</w:t>
            </w:r>
          </w:p>
        </w:tc>
        <w:tc>
          <w:tcPr>
            <w:tcW w:w="1018" w:type="dxa"/>
            <w:vAlign w:val="center"/>
          </w:tcPr>
          <w:p>
            <w:pPr>
              <w:autoSpaceDE w:val="0"/>
              <w:autoSpaceDN w:val="0"/>
              <w:adjustRightInd w:val="0"/>
              <w:snapToGrid w:val="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12.79</w:t>
            </w:r>
          </w:p>
        </w:tc>
        <w:tc>
          <w:tcPr>
            <w:tcW w:w="652" w:type="dxa"/>
            <w:vAlign w:val="center"/>
          </w:tcPr>
          <w:p>
            <w:pPr>
              <w:autoSpaceDE w:val="0"/>
              <w:autoSpaceDN w:val="0"/>
              <w:adjustRightInd w:val="0"/>
              <w:snapToGrid w:val="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3</w:t>
            </w:r>
          </w:p>
        </w:tc>
        <w:tc>
          <w:tcPr>
            <w:tcW w:w="1148" w:type="dxa"/>
            <w:vAlign w:val="center"/>
          </w:tcPr>
          <w:p>
            <w:pPr>
              <w:autoSpaceDE w:val="0"/>
              <w:autoSpaceDN w:val="0"/>
              <w:adjustRightInd w:val="0"/>
              <w:snapToGrid w:val="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1.92</w:t>
            </w:r>
          </w:p>
        </w:tc>
        <w:tc>
          <w:tcPr>
            <w:tcW w:w="1148" w:type="dxa"/>
            <w:vAlign w:val="center"/>
          </w:tcPr>
          <w:p>
            <w:pPr>
              <w:pStyle w:val="2001"/>
            </w:pPr>
            <w:r>
              <w:t>按5%计</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999" w:type="dxa"/>
            <w:vMerge w:val="continue"/>
            <w:vAlign w:val="center"/>
          </w:tcPr>
          <w:p>
            <w:pPr>
              <w:autoSpaceDE w:val="0"/>
              <w:autoSpaceDN w:val="0"/>
              <w:adjustRightInd w:val="0"/>
              <w:snapToGrid w:val="0"/>
              <w:jc w:val="center"/>
              <w:rPr>
                <w:color w:val="000000" w:themeColor="text1"/>
                <w:kern w:val="0"/>
                <w:sz w:val="21"/>
                <w:szCs w:val="21"/>
                <w14:textFill>
                  <w14:solidFill>
                    <w14:schemeClr w14:val="tx1"/>
                  </w14:solidFill>
                </w14:textFill>
              </w:rPr>
            </w:pPr>
          </w:p>
        </w:tc>
        <w:tc>
          <w:tcPr>
            <w:tcW w:w="1148" w:type="dxa"/>
            <w:vAlign w:val="center"/>
          </w:tcPr>
          <w:p>
            <w:pPr>
              <w:autoSpaceDE w:val="0"/>
              <w:autoSpaceDN w:val="0"/>
              <w:adjustRightInd w:val="0"/>
              <w:snapToGrid w:val="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仔鱼</w:t>
            </w:r>
          </w:p>
        </w:tc>
        <w:tc>
          <w:tcPr>
            <w:tcW w:w="1269" w:type="dxa"/>
            <w:vAlign w:val="center"/>
          </w:tcPr>
          <w:p>
            <w:pPr>
              <w:autoSpaceDE w:val="0"/>
              <w:autoSpaceDN w:val="0"/>
              <w:adjustRightInd w:val="0"/>
              <w:snapToGrid w:val="0"/>
              <w:jc w:val="center"/>
              <w:rPr>
                <w:color w:val="000000" w:themeColor="text1"/>
                <w:kern w:val="0"/>
                <w:sz w:val="21"/>
                <w:szCs w:val="21"/>
                <w14:textFill>
                  <w14:solidFill>
                    <w14:schemeClr w14:val="tx1"/>
                  </w14:solidFill>
                </w14:textFill>
              </w:rPr>
            </w:pPr>
            <w:r>
              <w:rPr>
                <w:rFonts w:hint="eastAsia"/>
                <w:color w:val="000000" w:themeColor="text1"/>
                <w14:textFill>
                  <w14:solidFill>
                    <w14:schemeClr w14:val="tx1"/>
                  </w14:solidFill>
                </w14:textFill>
              </w:rPr>
              <w:t>34.15</w:t>
            </w:r>
            <w:r>
              <w:rPr>
                <w:color w:val="000000" w:themeColor="text1"/>
                <w14:textFill>
                  <w14:solidFill>
                    <w14:schemeClr w14:val="tx1"/>
                  </w14:solidFill>
                </w14:textFill>
              </w:rPr>
              <w:t>万尾</w:t>
            </w:r>
          </w:p>
        </w:tc>
        <w:tc>
          <w:tcPr>
            <w:tcW w:w="1146" w:type="dxa"/>
            <w:vAlign w:val="center"/>
          </w:tcPr>
          <w:p>
            <w:pPr>
              <w:autoSpaceDE w:val="0"/>
              <w:autoSpaceDN w:val="0"/>
              <w:adjustRightInd w:val="0"/>
              <w:snapToGrid w:val="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0.60</w:t>
            </w:r>
          </w:p>
        </w:tc>
        <w:tc>
          <w:tcPr>
            <w:tcW w:w="1018" w:type="dxa"/>
            <w:vAlign w:val="center"/>
          </w:tcPr>
          <w:p>
            <w:pPr>
              <w:autoSpaceDE w:val="0"/>
              <w:autoSpaceDN w:val="0"/>
              <w:adjustRightInd w:val="0"/>
              <w:snapToGrid w:val="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20.49</w:t>
            </w:r>
          </w:p>
        </w:tc>
        <w:tc>
          <w:tcPr>
            <w:tcW w:w="652" w:type="dxa"/>
            <w:vAlign w:val="center"/>
          </w:tcPr>
          <w:p>
            <w:pPr>
              <w:autoSpaceDE w:val="0"/>
              <w:autoSpaceDN w:val="0"/>
              <w:adjustRightInd w:val="0"/>
              <w:snapToGrid w:val="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3</w:t>
            </w:r>
          </w:p>
        </w:tc>
        <w:tc>
          <w:tcPr>
            <w:tcW w:w="1148" w:type="dxa"/>
            <w:vAlign w:val="center"/>
          </w:tcPr>
          <w:p>
            <w:pPr>
              <w:autoSpaceDE w:val="0"/>
              <w:autoSpaceDN w:val="0"/>
              <w:adjustRightInd w:val="0"/>
              <w:snapToGrid w:val="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0.62</w:t>
            </w:r>
          </w:p>
        </w:tc>
        <w:tc>
          <w:tcPr>
            <w:tcW w:w="1148" w:type="dxa"/>
            <w:vAlign w:val="center"/>
          </w:tcPr>
          <w:p>
            <w:pPr>
              <w:pStyle w:val="2001"/>
            </w:pPr>
            <w:r>
              <w:t>按1%计</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6232" w:type="dxa"/>
            <w:gridSpan w:val="6"/>
            <w:vAlign w:val="center"/>
          </w:tcPr>
          <w:p>
            <w:pPr>
              <w:autoSpaceDE w:val="0"/>
              <w:autoSpaceDN w:val="0"/>
              <w:adjustRightInd w:val="0"/>
              <w:snapToGrid w:val="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合计</w:t>
            </w:r>
          </w:p>
        </w:tc>
        <w:tc>
          <w:tcPr>
            <w:tcW w:w="1148" w:type="dxa"/>
            <w:vAlign w:val="center"/>
          </w:tcPr>
          <w:p>
            <w:pPr>
              <w:autoSpaceDE w:val="0"/>
              <w:autoSpaceDN w:val="0"/>
              <w:adjustRightInd w:val="0"/>
              <w:snapToGrid w:val="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16.46</w:t>
            </w:r>
          </w:p>
        </w:tc>
        <w:tc>
          <w:tcPr>
            <w:tcW w:w="1148" w:type="dxa"/>
          </w:tcPr>
          <w:p>
            <w:pPr>
              <w:autoSpaceDE w:val="0"/>
              <w:autoSpaceDN w:val="0"/>
              <w:adjustRightInd w:val="0"/>
              <w:snapToGrid w:val="0"/>
              <w:jc w:val="center"/>
              <w:rPr>
                <w:color w:val="000000" w:themeColor="text1"/>
                <w:kern w:val="0"/>
                <w:sz w:val="21"/>
                <w:szCs w:val="21"/>
                <w14:textFill>
                  <w14:solidFill>
                    <w14:schemeClr w14:val="tx1"/>
                  </w14:solidFill>
                </w14:textFill>
              </w:rPr>
            </w:pPr>
          </w:p>
        </w:tc>
      </w:tr>
    </w:tbl>
    <w:p>
      <w:pPr>
        <w:pStyle w:val="3452"/>
        <w:spacing w:line="240" w:lineRule="auto"/>
        <w:ind w:firstLine="379"/>
        <w:rPr>
          <w:b/>
          <w:bCs/>
          <w:color w:val="000000" w:themeColor="text1"/>
          <w:sz w:val="21"/>
          <w:szCs w:val="20"/>
          <w14:textFill>
            <w14:solidFill>
              <w14:schemeClr w14:val="tx1"/>
            </w14:solidFill>
          </w14:textFill>
        </w:rPr>
      </w:pPr>
      <w:r>
        <w:rPr>
          <w:b/>
          <w:bCs/>
          <w:color w:val="000000" w:themeColor="text1"/>
          <w:sz w:val="21"/>
          <w:szCs w:val="20"/>
          <w14:textFill>
            <w14:solidFill>
              <w14:schemeClr w14:val="tx1"/>
            </w14:solidFill>
          </w14:textFill>
        </w:rPr>
        <w:t>注：补偿金额扣除炸礁影响部分重复计算的仔鱼和鱼卵资源量损失</w:t>
      </w:r>
    </w:p>
    <w:p>
      <w:pPr>
        <w:pStyle w:val="283"/>
        <w:rPr>
          <w:color w:val="000000" w:themeColor="text1"/>
          <w14:textFill>
            <w14:solidFill>
              <w14:schemeClr w14:val="tx1"/>
            </w14:solidFill>
          </w14:textFill>
        </w:rPr>
      </w:pPr>
      <w:r>
        <w:rPr>
          <w:color w:val="000000" w:themeColor="text1"/>
          <w14:textFill>
            <w14:solidFill>
              <w14:schemeClr w14:val="tx1"/>
            </w14:solidFill>
          </w14:textFill>
        </w:rPr>
        <w:t>施工期产生的生态环境影响主要为悬浮泥沙骤增对底栖生物、游泳生物等生物的影响；随着施工期结束，生态影响可逐渐恢复，结合增殖放流等生态恢复措施，工程施工期造成的生态影响是可控的。</w:t>
      </w:r>
    </w:p>
    <w:p>
      <w:pPr>
        <w:pStyle w:val="6"/>
        <w:rPr>
          <w:color w:val="000000" w:themeColor="text1"/>
          <w14:textFill>
            <w14:solidFill>
              <w14:schemeClr w14:val="tx1"/>
            </w14:solidFill>
          </w14:textFill>
        </w:rPr>
      </w:pPr>
      <w:r>
        <w:rPr>
          <w:rFonts w:hint="eastAsia"/>
          <w:color w:val="000000" w:themeColor="text1"/>
          <w14:textFill>
            <w14:solidFill>
              <w14:schemeClr w14:val="tx1"/>
            </w14:solidFill>
          </w14:textFill>
        </w:rPr>
        <w:t>本次建设合计生态损失补偿</w:t>
      </w:r>
    </w:p>
    <w:p>
      <w:pPr>
        <w:pStyle w:val="3452"/>
        <w:spacing w:line="240" w:lineRule="auto"/>
        <w:ind w:firstLine="437"/>
        <w:rPr>
          <w:color w:val="000000" w:themeColor="text1"/>
          <w14:textFill>
            <w14:solidFill>
              <w14:schemeClr w14:val="tx1"/>
            </w14:solidFill>
          </w14:textFill>
        </w:rPr>
      </w:pPr>
      <w:r>
        <w:rPr>
          <w:color w:val="000000" w:themeColor="text1"/>
          <w14:textFill>
            <w14:solidFill>
              <w14:schemeClr w14:val="tx1"/>
            </w14:solidFill>
          </w14:textFill>
        </w:rPr>
        <w:t>综上分析，</w:t>
      </w:r>
      <w:r>
        <w:rPr>
          <w:rFonts w:hint="eastAsia"/>
          <w:color w:val="000000" w:themeColor="text1"/>
          <w14:textFill>
            <w14:solidFill>
              <w14:schemeClr w14:val="tx1"/>
            </w14:solidFill>
          </w14:textFill>
        </w:rPr>
        <w:t>本次</w:t>
      </w:r>
      <w:r>
        <w:rPr>
          <w:color w:val="000000" w:themeColor="text1"/>
          <w14:textFill>
            <w14:solidFill>
              <w14:schemeClr w14:val="tx1"/>
            </w14:solidFill>
          </w14:textFill>
        </w:rPr>
        <w:t>项目建设</w:t>
      </w:r>
      <w:r>
        <w:rPr>
          <w:rFonts w:hint="eastAsia"/>
          <w:color w:val="000000" w:themeColor="text1"/>
          <w14:textFill>
            <w14:solidFill>
              <w14:schemeClr w14:val="tx1"/>
            </w14:solidFill>
          </w14:textFill>
        </w:rPr>
        <w:t>包含的</w:t>
      </w:r>
      <w:r>
        <w:rPr>
          <w:rFonts w:hint="eastAsia" w:ascii="宋体" w:hAnsi="宋体"/>
          <w:color w:val="000000" w:themeColor="text1"/>
          <w14:textFill>
            <w14:solidFill>
              <w14:schemeClr w14:val="tx1"/>
            </w14:solidFill>
          </w14:textFill>
        </w:rPr>
        <w:t>①</w:t>
      </w:r>
      <w:r>
        <w:rPr>
          <w:color w:val="000000" w:themeColor="text1"/>
          <w14:textFill>
            <w14:solidFill>
              <w14:schemeClr w14:val="tx1"/>
            </w14:solidFill>
          </w14:textFill>
        </w:rPr>
        <w:t>水工结构</w:t>
      </w:r>
      <w:r>
        <w:rPr>
          <w:rFonts w:hint="eastAsia"/>
          <w:color w:val="000000" w:themeColor="text1"/>
          <w14:textFill>
            <w14:solidFill>
              <w14:schemeClr w14:val="tx1"/>
            </w14:solidFill>
          </w14:textFill>
        </w:rPr>
        <w:t>永久</w:t>
      </w:r>
      <w:r>
        <w:rPr>
          <w:color w:val="000000" w:themeColor="text1"/>
          <w14:textFill>
            <w14:solidFill>
              <w14:schemeClr w14:val="tx1"/>
            </w14:solidFill>
          </w14:textFill>
        </w:rPr>
        <w:t>占用产生的生态损失；</w:t>
      </w:r>
      <w:r>
        <w:rPr>
          <w:rFonts w:hint="eastAsia" w:ascii="宋体" w:hAnsi="宋体"/>
          <w:color w:val="000000" w:themeColor="text1"/>
          <w14:textFill>
            <w14:solidFill>
              <w14:schemeClr w14:val="tx1"/>
            </w14:solidFill>
          </w14:textFill>
        </w:rPr>
        <w:t>②</w:t>
      </w:r>
      <w:r>
        <w:rPr>
          <w:color w:val="000000" w:themeColor="text1"/>
          <w14:textFill>
            <w14:solidFill>
              <w14:schemeClr w14:val="tx1"/>
            </w14:solidFill>
          </w14:textFill>
        </w:rPr>
        <w:t>水域疏浚开挖产生的生态损失；</w:t>
      </w:r>
      <w:r>
        <w:rPr>
          <w:rFonts w:hint="eastAsia" w:ascii="宋体" w:hAnsi="宋体"/>
          <w:color w:val="000000" w:themeColor="text1"/>
          <w14:textFill>
            <w14:solidFill>
              <w14:schemeClr w14:val="tx1"/>
            </w14:solidFill>
          </w14:textFill>
        </w:rPr>
        <w:t>③</w:t>
      </w:r>
      <w:r>
        <w:rPr>
          <w:color w:val="000000" w:themeColor="text1"/>
          <w14:textFill>
            <w14:solidFill>
              <w14:schemeClr w14:val="tx1"/>
            </w14:solidFill>
          </w14:textFill>
        </w:rPr>
        <w:t>施工悬浮泥沙产生的生态损失；</w:t>
      </w:r>
      <w:r>
        <w:rPr>
          <w:rFonts w:hint="eastAsia" w:ascii="宋体" w:hAnsi="宋体"/>
          <w:color w:val="000000" w:themeColor="text1"/>
          <w14:textFill>
            <w14:solidFill>
              <w14:schemeClr w14:val="tx1"/>
            </w14:solidFill>
          </w14:textFill>
        </w:rPr>
        <w:t>④爆破对生物资源的损害</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造成海洋生物资源量损失及经济损失为</w:t>
      </w:r>
      <w:r>
        <w:rPr>
          <w:color w:val="000000" w:themeColor="text1"/>
          <w:u w:val="single"/>
          <w14:textFill>
            <w14:solidFill>
              <w14:schemeClr w14:val="tx1"/>
            </w14:solidFill>
          </w14:textFill>
        </w:rPr>
        <w:t>174.79万元（详见表</w:t>
      </w:r>
      <w:r>
        <w:rPr>
          <w:rFonts w:hint="eastAsia"/>
          <w:color w:val="000000" w:themeColor="text1"/>
          <w:u w:val="single"/>
          <w14:textFill>
            <w14:solidFill>
              <w14:schemeClr w14:val="tx1"/>
            </w14:solidFill>
          </w14:textFill>
        </w:rPr>
        <w:t>4.2-15</w:t>
      </w:r>
      <w:r>
        <w:rPr>
          <w:color w:val="000000" w:themeColor="text1"/>
          <w:u w:val="single"/>
          <w14:textFill>
            <w14:solidFill>
              <w14:schemeClr w14:val="tx1"/>
            </w14:solidFill>
          </w14:textFill>
        </w:rPr>
        <w:t>）</w:t>
      </w:r>
      <w:r>
        <w:rPr>
          <w:rFonts w:hint="eastAsia"/>
          <w:color w:val="000000" w:themeColor="text1"/>
          <w14:textFill>
            <w14:solidFill>
              <w14:schemeClr w14:val="tx1"/>
            </w14:solidFill>
          </w14:textFill>
        </w:rPr>
        <w:t>。</w:t>
      </w:r>
    </w:p>
    <w:p>
      <w:pPr>
        <w:pStyle w:val="384"/>
        <w:ind w:left="0" w:firstLine="0"/>
        <w:rPr>
          <w:color w:val="000000" w:themeColor="text1"/>
          <w14:textFill>
            <w14:solidFill>
              <w14:schemeClr w14:val="tx1"/>
            </w14:solidFill>
          </w14:textFill>
        </w:rPr>
      </w:pPr>
      <w:r>
        <w:rPr>
          <w:rFonts w:hint="eastAsia"/>
          <w:color w:val="000000" w:themeColor="text1"/>
          <w14:textFill>
            <w14:solidFill>
              <w14:schemeClr w14:val="tx1"/>
            </w14:solidFill>
          </w14:textFill>
        </w:rPr>
        <w:t>本次建设生态损失补偿表</w:t>
      </w:r>
    </w:p>
    <w:tbl>
      <w:tblPr>
        <w:tblStyle w:val="88"/>
        <w:tblW w:w="8528" w:type="dxa"/>
        <w:jc w:val="center"/>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448"/>
        <w:gridCol w:w="1250"/>
        <w:gridCol w:w="1250"/>
        <w:gridCol w:w="1324"/>
        <w:gridCol w:w="1177"/>
        <w:gridCol w:w="752"/>
        <w:gridCol w:w="1327"/>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blHeader/>
          <w:jc w:val="center"/>
        </w:trPr>
        <w:tc>
          <w:tcPr>
            <w:tcW w:w="1448" w:type="dxa"/>
            <w:vAlign w:val="center"/>
          </w:tcPr>
          <w:p>
            <w:pPr>
              <w:autoSpaceDE w:val="0"/>
              <w:autoSpaceDN w:val="0"/>
              <w:adjustRightInd w:val="0"/>
              <w:snapToGrid w:val="0"/>
              <w:jc w:val="center"/>
              <w:rPr>
                <w:b/>
                <w:color w:val="000000" w:themeColor="text1"/>
                <w:kern w:val="0"/>
                <w:sz w:val="21"/>
                <w:szCs w:val="21"/>
                <w14:textFill>
                  <w14:solidFill>
                    <w14:schemeClr w14:val="tx1"/>
                  </w14:solidFill>
                </w14:textFill>
              </w:rPr>
            </w:pPr>
            <w:r>
              <w:rPr>
                <w:b/>
                <w:color w:val="000000" w:themeColor="text1"/>
                <w:kern w:val="0"/>
                <w:sz w:val="21"/>
                <w:szCs w:val="21"/>
                <w14:textFill>
                  <w14:solidFill>
                    <w14:schemeClr w14:val="tx1"/>
                  </w14:solidFill>
                </w14:textFill>
              </w:rPr>
              <w:t>工程类型</w:t>
            </w:r>
          </w:p>
        </w:tc>
        <w:tc>
          <w:tcPr>
            <w:tcW w:w="1250" w:type="dxa"/>
            <w:vAlign w:val="center"/>
          </w:tcPr>
          <w:p>
            <w:pPr>
              <w:autoSpaceDE w:val="0"/>
              <w:autoSpaceDN w:val="0"/>
              <w:adjustRightInd w:val="0"/>
              <w:snapToGrid w:val="0"/>
              <w:jc w:val="center"/>
              <w:rPr>
                <w:b/>
                <w:color w:val="000000" w:themeColor="text1"/>
                <w:kern w:val="0"/>
                <w:sz w:val="21"/>
                <w:szCs w:val="21"/>
                <w14:textFill>
                  <w14:solidFill>
                    <w14:schemeClr w14:val="tx1"/>
                  </w14:solidFill>
                </w14:textFill>
              </w:rPr>
            </w:pPr>
            <w:r>
              <w:rPr>
                <w:b/>
                <w:color w:val="000000" w:themeColor="text1"/>
                <w:kern w:val="0"/>
                <w:sz w:val="21"/>
                <w:szCs w:val="21"/>
                <w14:textFill>
                  <w14:solidFill>
                    <w14:schemeClr w14:val="tx1"/>
                  </w14:solidFill>
                </w14:textFill>
              </w:rPr>
              <w:t>受损海洋</w:t>
            </w:r>
          </w:p>
          <w:p>
            <w:pPr>
              <w:autoSpaceDE w:val="0"/>
              <w:autoSpaceDN w:val="0"/>
              <w:adjustRightInd w:val="0"/>
              <w:snapToGrid w:val="0"/>
              <w:jc w:val="center"/>
              <w:rPr>
                <w:b/>
                <w:color w:val="000000" w:themeColor="text1"/>
                <w:kern w:val="0"/>
                <w:sz w:val="21"/>
                <w:szCs w:val="21"/>
                <w14:textFill>
                  <w14:solidFill>
                    <w14:schemeClr w14:val="tx1"/>
                  </w14:solidFill>
                </w14:textFill>
              </w:rPr>
            </w:pPr>
            <w:r>
              <w:rPr>
                <w:b/>
                <w:color w:val="000000" w:themeColor="text1"/>
                <w:kern w:val="0"/>
                <w:sz w:val="21"/>
                <w:szCs w:val="21"/>
                <w14:textFill>
                  <w14:solidFill>
                    <w14:schemeClr w14:val="tx1"/>
                  </w14:solidFill>
                </w14:textFill>
              </w:rPr>
              <w:t>生物</w:t>
            </w:r>
          </w:p>
        </w:tc>
        <w:tc>
          <w:tcPr>
            <w:tcW w:w="1250" w:type="dxa"/>
            <w:vAlign w:val="center"/>
          </w:tcPr>
          <w:p>
            <w:pPr>
              <w:autoSpaceDE w:val="0"/>
              <w:autoSpaceDN w:val="0"/>
              <w:adjustRightInd w:val="0"/>
              <w:snapToGrid w:val="0"/>
              <w:jc w:val="center"/>
              <w:rPr>
                <w:b/>
                <w:color w:val="000000" w:themeColor="text1"/>
                <w:kern w:val="0"/>
                <w:sz w:val="21"/>
                <w:szCs w:val="21"/>
                <w14:textFill>
                  <w14:solidFill>
                    <w14:schemeClr w14:val="tx1"/>
                  </w14:solidFill>
                </w14:textFill>
              </w:rPr>
            </w:pPr>
            <w:r>
              <w:rPr>
                <w:b/>
                <w:color w:val="000000" w:themeColor="text1"/>
                <w:kern w:val="0"/>
                <w:sz w:val="21"/>
                <w:szCs w:val="21"/>
                <w14:textFill>
                  <w14:solidFill>
                    <w14:schemeClr w14:val="tx1"/>
                  </w14:solidFill>
                </w14:textFill>
              </w:rPr>
              <w:t>损失量</w:t>
            </w:r>
            <w:r>
              <w:rPr>
                <w:rFonts w:hint="eastAsia"/>
                <w:b/>
                <w:color w:val="000000" w:themeColor="text1"/>
                <w:kern w:val="0"/>
                <w:sz w:val="21"/>
                <w:szCs w:val="21"/>
                <w14:textFill>
                  <w14:solidFill>
                    <w14:schemeClr w14:val="tx1"/>
                  </w14:solidFill>
                </w14:textFill>
              </w:rPr>
              <w:t>t</w:t>
            </w:r>
          </w:p>
        </w:tc>
        <w:tc>
          <w:tcPr>
            <w:tcW w:w="1324" w:type="dxa"/>
            <w:vAlign w:val="center"/>
          </w:tcPr>
          <w:p>
            <w:pPr>
              <w:autoSpaceDE w:val="0"/>
              <w:autoSpaceDN w:val="0"/>
              <w:adjustRightInd w:val="0"/>
              <w:snapToGrid w:val="0"/>
              <w:jc w:val="center"/>
              <w:rPr>
                <w:b/>
                <w:color w:val="000000" w:themeColor="text1"/>
                <w:kern w:val="0"/>
                <w:sz w:val="21"/>
                <w:szCs w:val="21"/>
                <w14:textFill>
                  <w14:solidFill>
                    <w14:schemeClr w14:val="tx1"/>
                  </w14:solidFill>
                </w14:textFill>
              </w:rPr>
            </w:pPr>
            <w:r>
              <w:rPr>
                <w:b/>
                <w:color w:val="000000" w:themeColor="text1"/>
                <w:kern w:val="0"/>
                <w:sz w:val="21"/>
                <w:szCs w:val="21"/>
                <w14:textFill>
                  <w14:solidFill>
                    <w14:schemeClr w14:val="tx1"/>
                  </w14:solidFill>
                </w14:textFill>
              </w:rPr>
              <w:t>单价（万元/t或万尾）</w:t>
            </w:r>
          </w:p>
        </w:tc>
        <w:tc>
          <w:tcPr>
            <w:tcW w:w="1177" w:type="dxa"/>
            <w:vAlign w:val="center"/>
          </w:tcPr>
          <w:p>
            <w:pPr>
              <w:autoSpaceDE w:val="0"/>
              <w:autoSpaceDN w:val="0"/>
              <w:adjustRightInd w:val="0"/>
              <w:snapToGrid w:val="0"/>
              <w:jc w:val="center"/>
              <w:rPr>
                <w:b/>
                <w:color w:val="000000" w:themeColor="text1"/>
                <w:kern w:val="0"/>
                <w:sz w:val="21"/>
                <w:szCs w:val="21"/>
                <w14:textFill>
                  <w14:solidFill>
                    <w14:schemeClr w14:val="tx1"/>
                  </w14:solidFill>
                </w14:textFill>
              </w:rPr>
            </w:pPr>
            <w:r>
              <w:rPr>
                <w:b/>
                <w:color w:val="000000" w:themeColor="text1"/>
                <w:kern w:val="0"/>
                <w:sz w:val="21"/>
                <w:szCs w:val="21"/>
                <w14:textFill>
                  <w14:solidFill>
                    <w14:schemeClr w14:val="tx1"/>
                  </w14:solidFill>
                </w14:textFill>
              </w:rPr>
              <w:t>损失价值（万元）</w:t>
            </w:r>
          </w:p>
        </w:tc>
        <w:tc>
          <w:tcPr>
            <w:tcW w:w="752" w:type="dxa"/>
            <w:vAlign w:val="center"/>
          </w:tcPr>
          <w:p>
            <w:pPr>
              <w:autoSpaceDE w:val="0"/>
              <w:autoSpaceDN w:val="0"/>
              <w:adjustRightInd w:val="0"/>
              <w:snapToGrid w:val="0"/>
              <w:jc w:val="center"/>
              <w:rPr>
                <w:b/>
                <w:color w:val="000000" w:themeColor="text1"/>
                <w:kern w:val="0"/>
                <w:sz w:val="21"/>
                <w:szCs w:val="21"/>
                <w14:textFill>
                  <w14:solidFill>
                    <w14:schemeClr w14:val="tx1"/>
                  </w14:solidFill>
                </w14:textFill>
              </w:rPr>
            </w:pPr>
            <w:r>
              <w:rPr>
                <w:b/>
                <w:color w:val="000000" w:themeColor="text1"/>
                <w:kern w:val="0"/>
                <w:sz w:val="21"/>
                <w:szCs w:val="21"/>
                <w14:textFill>
                  <w14:solidFill>
                    <w14:schemeClr w14:val="tx1"/>
                  </w14:solidFill>
                </w14:textFill>
              </w:rPr>
              <w:t>补偿年限</w:t>
            </w:r>
          </w:p>
        </w:tc>
        <w:tc>
          <w:tcPr>
            <w:tcW w:w="1327" w:type="dxa"/>
            <w:vAlign w:val="center"/>
          </w:tcPr>
          <w:p>
            <w:pPr>
              <w:autoSpaceDE w:val="0"/>
              <w:autoSpaceDN w:val="0"/>
              <w:adjustRightInd w:val="0"/>
              <w:snapToGrid w:val="0"/>
              <w:jc w:val="center"/>
              <w:rPr>
                <w:b/>
                <w:color w:val="000000" w:themeColor="text1"/>
                <w:kern w:val="0"/>
                <w:sz w:val="21"/>
                <w:szCs w:val="21"/>
                <w14:textFill>
                  <w14:solidFill>
                    <w14:schemeClr w14:val="tx1"/>
                  </w14:solidFill>
                </w14:textFill>
              </w:rPr>
            </w:pPr>
            <w:r>
              <w:rPr>
                <w:b/>
                <w:color w:val="000000" w:themeColor="text1"/>
                <w:kern w:val="0"/>
                <w:sz w:val="21"/>
                <w:szCs w:val="21"/>
                <w14:textFill>
                  <w14:solidFill>
                    <w14:schemeClr w14:val="tx1"/>
                  </w14:solidFill>
                </w14:textFill>
              </w:rPr>
              <w:t>补偿金额</w:t>
            </w:r>
          </w:p>
          <w:p>
            <w:pPr>
              <w:autoSpaceDE w:val="0"/>
              <w:autoSpaceDN w:val="0"/>
              <w:adjustRightInd w:val="0"/>
              <w:snapToGrid w:val="0"/>
              <w:jc w:val="center"/>
              <w:rPr>
                <w:b/>
                <w:color w:val="000000" w:themeColor="text1"/>
                <w:kern w:val="0"/>
                <w:sz w:val="21"/>
                <w:szCs w:val="21"/>
                <w14:textFill>
                  <w14:solidFill>
                    <w14:schemeClr w14:val="tx1"/>
                  </w14:solidFill>
                </w14:textFill>
              </w:rPr>
            </w:pPr>
            <w:r>
              <w:rPr>
                <w:b/>
                <w:color w:val="000000" w:themeColor="text1"/>
                <w:kern w:val="0"/>
                <w:sz w:val="21"/>
                <w:szCs w:val="21"/>
                <w14:textFill>
                  <w14:solidFill>
                    <w14:schemeClr w14:val="tx1"/>
                  </w14:solidFill>
                </w14:textFill>
              </w:rPr>
              <w:t>（万元）</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448" w:type="dxa"/>
            <w:vAlign w:val="center"/>
          </w:tcPr>
          <w:p>
            <w:pPr>
              <w:autoSpaceDE w:val="0"/>
              <w:autoSpaceDN w:val="0"/>
              <w:adjustRightInd w:val="0"/>
              <w:snapToGrid w:val="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码头沉箱</w:t>
            </w:r>
            <w:r>
              <w:rPr>
                <w:color w:val="000000" w:themeColor="text1"/>
                <w:kern w:val="0"/>
                <w:sz w:val="21"/>
                <w:szCs w:val="21"/>
                <w14:textFill>
                  <w14:solidFill>
                    <w14:schemeClr w14:val="tx1"/>
                  </w14:solidFill>
                </w14:textFill>
              </w:rPr>
              <w:t>永久占用</w:t>
            </w:r>
          </w:p>
        </w:tc>
        <w:tc>
          <w:tcPr>
            <w:tcW w:w="1250" w:type="dxa"/>
            <w:vAlign w:val="center"/>
          </w:tcPr>
          <w:p>
            <w:pPr>
              <w:autoSpaceDE w:val="0"/>
              <w:autoSpaceDN w:val="0"/>
              <w:adjustRightInd w:val="0"/>
              <w:snapToGrid w:val="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底栖生物</w:t>
            </w:r>
          </w:p>
        </w:tc>
        <w:tc>
          <w:tcPr>
            <w:tcW w:w="1250" w:type="dxa"/>
            <w:vAlign w:val="center"/>
          </w:tcPr>
          <w:p>
            <w:pPr>
              <w:autoSpaceDE w:val="0"/>
              <w:autoSpaceDN w:val="0"/>
              <w:adjustRightInd w:val="0"/>
              <w:snapToGrid w:val="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0.53</w:t>
            </w:r>
          </w:p>
        </w:tc>
        <w:tc>
          <w:tcPr>
            <w:tcW w:w="1324" w:type="dxa"/>
            <w:vAlign w:val="center"/>
          </w:tcPr>
          <w:p>
            <w:pPr>
              <w:autoSpaceDE w:val="0"/>
              <w:autoSpaceDN w:val="0"/>
              <w:adjustRightInd w:val="0"/>
              <w:snapToGrid w:val="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1.88</w:t>
            </w:r>
          </w:p>
        </w:tc>
        <w:tc>
          <w:tcPr>
            <w:tcW w:w="1177" w:type="dxa"/>
            <w:vAlign w:val="center"/>
          </w:tcPr>
          <w:p>
            <w:pPr>
              <w:autoSpaceDE w:val="0"/>
              <w:autoSpaceDN w:val="0"/>
              <w:adjustRightInd w:val="0"/>
              <w:snapToGrid w:val="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0.99</w:t>
            </w:r>
          </w:p>
        </w:tc>
        <w:tc>
          <w:tcPr>
            <w:tcW w:w="752" w:type="dxa"/>
            <w:vAlign w:val="center"/>
          </w:tcPr>
          <w:p>
            <w:pPr>
              <w:autoSpaceDE w:val="0"/>
              <w:autoSpaceDN w:val="0"/>
              <w:adjustRightInd w:val="0"/>
              <w:snapToGrid w:val="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2</w:t>
            </w:r>
            <w:r>
              <w:rPr>
                <w:color w:val="000000" w:themeColor="text1"/>
                <w:kern w:val="0"/>
                <w:sz w:val="21"/>
                <w:szCs w:val="21"/>
                <w14:textFill>
                  <w14:solidFill>
                    <w14:schemeClr w14:val="tx1"/>
                  </w14:solidFill>
                </w14:textFill>
              </w:rPr>
              <w:t>0</w:t>
            </w:r>
          </w:p>
        </w:tc>
        <w:tc>
          <w:tcPr>
            <w:tcW w:w="1327" w:type="dxa"/>
            <w:vAlign w:val="center"/>
          </w:tcPr>
          <w:p>
            <w:pPr>
              <w:autoSpaceDE w:val="0"/>
              <w:autoSpaceDN w:val="0"/>
              <w:adjustRightInd w:val="0"/>
              <w:snapToGrid w:val="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19.8</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448" w:type="dxa"/>
            <w:vAlign w:val="center"/>
          </w:tcPr>
          <w:p>
            <w:pPr>
              <w:autoSpaceDE w:val="0"/>
              <w:autoSpaceDN w:val="0"/>
              <w:adjustRightInd w:val="0"/>
              <w:snapToGrid w:val="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疏浚工程</w:t>
            </w:r>
          </w:p>
        </w:tc>
        <w:tc>
          <w:tcPr>
            <w:tcW w:w="1250" w:type="dxa"/>
            <w:vAlign w:val="center"/>
          </w:tcPr>
          <w:p>
            <w:pPr>
              <w:autoSpaceDE w:val="0"/>
              <w:autoSpaceDN w:val="0"/>
              <w:adjustRightInd w:val="0"/>
              <w:snapToGrid w:val="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底栖生物</w:t>
            </w:r>
          </w:p>
        </w:tc>
        <w:tc>
          <w:tcPr>
            <w:tcW w:w="1250" w:type="dxa"/>
            <w:vAlign w:val="center"/>
          </w:tcPr>
          <w:p>
            <w:pPr>
              <w:autoSpaceDE w:val="0"/>
              <w:autoSpaceDN w:val="0"/>
              <w:adjustRightInd w:val="0"/>
              <w:snapToGrid w:val="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23.12</w:t>
            </w:r>
          </w:p>
        </w:tc>
        <w:tc>
          <w:tcPr>
            <w:tcW w:w="1324" w:type="dxa"/>
            <w:vAlign w:val="center"/>
          </w:tcPr>
          <w:p>
            <w:pPr>
              <w:autoSpaceDE w:val="0"/>
              <w:autoSpaceDN w:val="0"/>
              <w:adjustRightInd w:val="0"/>
              <w:snapToGrid w:val="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1.88</w:t>
            </w:r>
          </w:p>
        </w:tc>
        <w:tc>
          <w:tcPr>
            <w:tcW w:w="1177" w:type="dxa"/>
            <w:vAlign w:val="center"/>
          </w:tcPr>
          <w:p>
            <w:pPr>
              <w:autoSpaceDE w:val="0"/>
              <w:autoSpaceDN w:val="0"/>
              <w:adjustRightInd w:val="0"/>
              <w:snapToGrid w:val="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43.46</w:t>
            </w:r>
          </w:p>
        </w:tc>
        <w:tc>
          <w:tcPr>
            <w:tcW w:w="752" w:type="dxa"/>
            <w:vAlign w:val="center"/>
          </w:tcPr>
          <w:p>
            <w:pPr>
              <w:autoSpaceDE w:val="0"/>
              <w:autoSpaceDN w:val="0"/>
              <w:adjustRightInd w:val="0"/>
              <w:snapToGrid w:val="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3</w:t>
            </w:r>
          </w:p>
        </w:tc>
        <w:tc>
          <w:tcPr>
            <w:tcW w:w="1327" w:type="dxa"/>
            <w:vAlign w:val="center"/>
          </w:tcPr>
          <w:p>
            <w:pPr>
              <w:autoSpaceDE w:val="0"/>
              <w:autoSpaceDN w:val="0"/>
              <w:adjustRightInd w:val="0"/>
              <w:snapToGrid w:val="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130.38</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448" w:type="dxa"/>
            <w:vMerge w:val="restart"/>
            <w:vAlign w:val="center"/>
          </w:tcPr>
          <w:p>
            <w:pPr>
              <w:autoSpaceDE w:val="0"/>
              <w:autoSpaceDN w:val="0"/>
              <w:adjustRightInd w:val="0"/>
              <w:snapToGrid w:val="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悬浮物</w:t>
            </w:r>
            <w:r>
              <w:rPr>
                <w:color w:val="000000" w:themeColor="text1"/>
                <w:kern w:val="0"/>
                <w:sz w:val="21"/>
                <w:szCs w:val="21"/>
                <w14:textFill>
                  <w14:solidFill>
                    <w14:schemeClr w14:val="tx1"/>
                  </w14:solidFill>
                </w14:textFill>
              </w:rPr>
              <w:t>扩散</w:t>
            </w:r>
          </w:p>
        </w:tc>
        <w:tc>
          <w:tcPr>
            <w:tcW w:w="1250" w:type="dxa"/>
            <w:vAlign w:val="center"/>
          </w:tcPr>
          <w:p>
            <w:pPr>
              <w:autoSpaceDE w:val="0"/>
              <w:autoSpaceDN w:val="0"/>
              <w:adjustRightInd w:val="0"/>
              <w:snapToGrid w:val="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浮游动物</w:t>
            </w:r>
          </w:p>
        </w:tc>
        <w:tc>
          <w:tcPr>
            <w:tcW w:w="1250" w:type="dxa"/>
            <w:vAlign w:val="center"/>
          </w:tcPr>
          <w:p>
            <w:pPr>
              <w:autoSpaceDE w:val="0"/>
              <w:autoSpaceDN w:val="0"/>
              <w:adjustRightInd w:val="0"/>
              <w:snapToGrid w:val="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0.0076</w:t>
            </w:r>
          </w:p>
        </w:tc>
        <w:tc>
          <w:tcPr>
            <w:tcW w:w="1324" w:type="dxa"/>
            <w:vAlign w:val="center"/>
          </w:tcPr>
          <w:p>
            <w:pPr>
              <w:autoSpaceDE w:val="0"/>
              <w:autoSpaceDN w:val="0"/>
              <w:adjustRightInd w:val="0"/>
              <w:snapToGrid w:val="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1.88</w:t>
            </w:r>
          </w:p>
        </w:tc>
        <w:tc>
          <w:tcPr>
            <w:tcW w:w="1177" w:type="dxa"/>
            <w:shd w:val="clear" w:color="auto" w:fill="auto"/>
            <w:vAlign w:val="center"/>
          </w:tcPr>
          <w:p>
            <w:pPr>
              <w:autoSpaceDE w:val="0"/>
              <w:autoSpaceDN w:val="0"/>
              <w:adjustRightInd w:val="0"/>
              <w:snapToGrid w:val="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0.02</w:t>
            </w:r>
          </w:p>
        </w:tc>
        <w:tc>
          <w:tcPr>
            <w:tcW w:w="752" w:type="dxa"/>
            <w:vAlign w:val="center"/>
          </w:tcPr>
          <w:p>
            <w:pPr>
              <w:autoSpaceDE w:val="0"/>
              <w:autoSpaceDN w:val="0"/>
              <w:adjustRightInd w:val="0"/>
              <w:snapToGrid w:val="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3</w:t>
            </w:r>
          </w:p>
        </w:tc>
        <w:tc>
          <w:tcPr>
            <w:tcW w:w="1327" w:type="dxa"/>
            <w:shd w:val="clear" w:color="auto" w:fill="auto"/>
            <w:vAlign w:val="center"/>
          </w:tcPr>
          <w:p>
            <w:pPr>
              <w:autoSpaceDE w:val="0"/>
              <w:autoSpaceDN w:val="0"/>
              <w:adjustRightInd w:val="0"/>
              <w:snapToGrid w:val="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0.06</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448" w:type="dxa"/>
            <w:vMerge w:val="continue"/>
            <w:vAlign w:val="center"/>
          </w:tcPr>
          <w:p>
            <w:pPr>
              <w:autoSpaceDE w:val="0"/>
              <w:autoSpaceDN w:val="0"/>
              <w:adjustRightInd w:val="0"/>
              <w:snapToGrid w:val="0"/>
              <w:jc w:val="center"/>
              <w:rPr>
                <w:color w:val="000000" w:themeColor="text1"/>
                <w:kern w:val="0"/>
                <w:sz w:val="21"/>
                <w:szCs w:val="21"/>
                <w14:textFill>
                  <w14:solidFill>
                    <w14:schemeClr w14:val="tx1"/>
                  </w14:solidFill>
                </w14:textFill>
              </w:rPr>
            </w:pPr>
          </w:p>
        </w:tc>
        <w:tc>
          <w:tcPr>
            <w:tcW w:w="1250" w:type="dxa"/>
            <w:vAlign w:val="center"/>
          </w:tcPr>
          <w:p>
            <w:pPr>
              <w:autoSpaceDE w:val="0"/>
              <w:autoSpaceDN w:val="0"/>
              <w:adjustRightInd w:val="0"/>
              <w:snapToGrid w:val="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游泳生物</w:t>
            </w:r>
          </w:p>
        </w:tc>
        <w:tc>
          <w:tcPr>
            <w:tcW w:w="1250" w:type="dxa"/>
            <w:vAlign w:val="center"/>
          </w:tcPr>
          <w:p>
            <w:pPr>
              <w:autoSpaceDE w:val="0"/>
              <w:autoSpaceDN w:val="0"/>
              <w:adjustRightInd w:val="0"/>
              <w:snapToGrid w:val="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0.0436</w:t>
            </w:r>
          </w:p>
        </w:tc>
        <w:tc>
          <w:tcPr>
            <w:tcW w:w="1324" w:type="dxa"/>
            <w:vAlign w:val="center"/>
          </w:tcPr>
          <w:p>
            <w:pPr>
              <w:autoSpaceDE w:val="0"/>
              <w:autoSpaceDN w:val="0"/>
              <w:adjustRightInd w:val="0"/>
              <w:snapToGrid w:val="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1.88</w:t>
            </w:r>
          </w:p>
        </w:tc>
        <w:tc>
          <w:tcPr>
            <w:tcW w:w="1177" w:type="dxa"/>
            <w:shd w:val="clear" w:color="auto" w:fill="auto"/>
            <w:vAlign w:val="center"/>
          </w:tcPr>
          <w:p>
            <w:pPr>
              <w:autoSpaceDE w:val="0"/>
              <w:autoSpaceDN w:val="0"/>
              <w:adjustRightInd w:val="0"/>
              <w:snapToGrid w:val="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0.08</w:t>
            </w:r>
          </w:p>
        </w:tc>
        <w:tc>
          <w:tcPr>
            <w:tcW w:w="752" w:type="dxa"/>
            <w:vAlign w:val="center"/>
          </w:tcPr>
          <w:p>
            <w:pPr>
              <w:autoSpaceDE w:val="0"/>
              <w:autoSpaceDN w:val="0"/>
              <w:adjustRightInd w:val="0"/>
              <w:snapToGrid w:val="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3</w:t>
            </w:r>
          </w:p>
        </w:tc>
        <w:tc>
          <w:tcPr>
            <w:tcW w:w="1327" w:type="dxa"/>
            <w:shd w:val="clear" w:color="auto" w:fill="auto"/>
            <w:vAlign w:val="center"/>
          </w:tcPr>
          <w:p>
            <w:pPr>
              <w:autoSpaceDE w:val="0"/>
              <w:autoSpaceDN w:val="0"/>
              <w:adjustRightInd w:val="0"/>
              <w:snapToGrid w:val="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0.25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448" w:type="dxa"/>
            <w:vMerge w:val="continue"/>
            <w:vAlign w:val="center"/>
          </w:tcPr>
          <w:p>
            <w:pPr>
              <w:autoSpaceDE w:val="0"/>
              <w:autoSpaceDN w:val="0"/>
              <w:adjustRightInd w:val="0"/>
              <w:snapToGrid w:val="0"/>
              <w:jc w:val="center"/>
              <w:rPr>
                <w:color w:val="000000" w:themeColor="text1"/>
                <w:kern w:val="0"/>
                <w:sz w:val="21"/>
                <w:szCs w:val="21"/>
                <w14:textFill>
                  <w14:solidFill>
                    <w14:schemeClr w14:val="tx1"/>
                  </w14:solidFill>
                </w14:textFill>
              </w:rPr>
            </w:pPr>
          </w:p>
        </w:tc>
        <w:tc>
          <w:tcPr>
            <w:tcW w:w="1250" w:type="dxa"/>
            <w:vAlign w:val="center"/>
          </w:tcPr>
          <w:p>
            <w:pPr>
              <w:autoSpaceDE w:val="0"/>
              <w:autoSpaceDN w:val="0"/>
              <w:adjustRightInd w:val="0"/>
              <w:snapToGrid w:val="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仔鱼</w:t>
            </w:r>
          </w:p>
        </w:tc>
        <w:tc>
          <w:tcPr>
            <w:tcW w:w="1250" w:type="dxa"/>
            <w:vAlign w:val="center"/>
          </w:tcPr>
          <w:p>
            <w:pPr>
              <w:autoSpaceDE w:val="0"/>
              <w:autoSpaceDN w:val="0"/>
              <w:adjustRightInd w:val="0"/>
              <w:snapToGrid w:val="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2.68</w:t>
            </w:r>
          </w:p>
        </w:tc>
        <w:tc>
          <w:tcPr>
            <w:tcW w:w="1324" w:type="dxa"/>
            <w:vAlign w:val="center"/>
          </w:tcPr>
          <w:p>
            <w:pPr>
              <w:autoSpaceDE w:val="0"/>
              <w:autoSpaceDN w:val="0"/>
              <w:adjustRightInd w:val="0"/>
              <w:snapToGrid w:val="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0.60</w:t>
            </w:r>
          </w:p>
        </w:tc>
        <w:tc>
          <w:tcPr>
            <w:tcW w:w="1177" w:type="dxa"/>
            <w:shd w:val="clear" w:color="auto" w:fill="auto"/>
            <w:vAlign w:val="center"/>
          </w:tcPr>
          <w:p>
            <w:pPr>
              <w:autoSpaceDE w:val="0"/>
              <w:autoSpaceDN w:val="0"/>
              <w:adjustRightInd w:val="0"/>
              <w:snapToGrid w:val="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1.61</w:t>
            </w:r>
          </w:p>
        </w:tc>
        <w:tc>
          <w:tcPr>
            <w:tcW w:w="752" w:type="dxa"/>
            <w:vAlign w:val="center"/>
          </w:tcPr>
          <w:p>
            <w:pPr>
              <w:autoSpaceDE w:val="0"/>
              <w:autoSpaceDN w:val="0"/>
              <w:adjustRightInd w:val="0"/>
              <w:snapToGrid w:val="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3</w:t>
            </w:r>
          </w:p>
        </w:tc>
        <w:tc>
          <w:tcPr>
            <w:tcW w:w="1327" w:type="dxa"/>
            <w:shd w:val="clear" w:color="auto" w:fill="auto"/>
            <w:vAlign w:val="center"/>
          </w:tcPr>
          <w:p>
            <w:pPr>
              <w:autoSpaceDE w:val="0"/>
              <w:autoSpaceDN w:val="0"/>
              <w:adjustRightInd w:val="0"/>
              <w:snapToGrid w:val="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4.82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448" w:type="dxa"/>
            <w:vMerge w:val="continue"/>
            <w:vAlign w:val="center"/>
          </w:tcPr>
          <w:p>
            <w:pPr>
              <w:autoSpaceDE w:val="0"/>
              <w:autoSpaceDN w:val="0"/>
              <w:adjustRightInd w:val="0"/>
              <w:snapToGrid w:val="0"/>
              <w:jc w:val="center"/>
              <w:rPr>
                <w:color w:val="000000" w:themeColor="text1"/>
                <w:kern w:val="0"/>
                <w:sz w:val="21"/>
                <w:szCs w:val="21"/>
                <w14:textFill>
                  <w14:solidFill>
                    <w14:schemeClr w14:val="tx1"/>
                  </w14:solidFill>
                </w14:textFill>
              </w:rPr>
            </w:pPr>
          </w:p>
        </w:tc>
        <w:tc>
          <w:tcPr>
            <w:tcW w:w="1250" w:type="dxa"/>
            <w:vAlign w:val="center"/>
          </w:tcPr>
          <w:p>
            <w:pPr>
              <w:autoSpaceDE w:val="0"/>
              <w:autoSpaceDN w:val="0"/>
              <w:adjustRightInd w:val="0"/>
              <w:snapToGrid w:val="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鱼卵</w:t>
            </w:r>
          </w:p>
        </w:tc>
        <w:tc>
          <w:tcPr>
            <w:tcW w:w="1250" w:type="dxa"/>
            <w:vAlign w:val="center"/>
          </w:tcPr>
          <w:p>
            <w:pPr>
              <w:autoSpaceDE w:val="0"/>
              <w:autoSpaceDN w:val="0"/>
              <w:adjustRightInd w:val="0"/>
              <w:snapToGrid w:val="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1.68</w:t>
            </w:r>
          </w:p>
        </w:tc>
        <w:tc>
          <w:tcPr>
            <w:tcW w:w="1324" w:type="dxa"/>
            <w:vAlign w:val="center"/>
          </w:tcPr>
          <w:p>
            <w:pPr>
              <w:autoSpaceDE w:val="0"/>
              <w:autoSpaceDN w:val="0"/>
              <w:adjustRightInd w:val="0"/>
              <w:snapToGrid w:val="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0.60</w:t>
            </w:r>
          </w:p>
        </w:tc>
        <w:tc>
          <w:tcPr>
            <w:tcW w:w="1177" w:type="dxa"/>
            <w:shd w:val="clear" w:color="auto" w:fill="auto"/>
            <w:vAlign w:val="center"/>
          </w:tcPr>
          <w:p>
            <w:pPr>
              <w:autoSpaceDE w:val="0"/>
              <w:autoSpaceDN w:val="0"/>
              <w:adjustRightInd w:val="0"/>
              <w:snapToGrid w:val="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1.01</w:t>
            </w:r>
          </w:p>
        </w:tc>
        <w:tc>
          <w:tcPr>
            <w:tcW w:w="752" w:type="dxa"/>
            <w:vAlign w:val="center"/>
          </w:tcPr>
          <w:p>
            <w:pPr>
              <w:autoSpaceDE w:val="0"/>
              <w:autoSpaceDN w:val="0"/>
              <w:adjustRightInd w:val="0"/>
              <w:snapToGrid w:val="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3</w:t>
            </w:r>
          </w:p>
        </w:tc>
        <w:tc>
          <w:tcPr>
            <w:tcW w:w="1327" w:type="dxa"/>
            <w:shd w:val="clear" w:color="auto" w:fill="auto"/>
            <w:vAlign w:val="center"/>
          </w:tcPr>
          <w:p>
            <w:pPr>
              <w:autoSpaceDE w:val="0"/>
              <w:autoSpaceDN w:val="0"/>
              <w:adjustRightInd w:val="0"/>
              <w:snapToGrid w:val="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3.02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448" w:type="dxa"/>
            <w:vMerge w:val="restart"/>
            <w:vAlign w:val="center"/>
          </w:tcPr>
          <w:p>
            <w:pPr>
              <w:autoSpaceDE w:val="0"/>
              <w:autoSpaceDN w:val="0"/>
              <w:adjustRightInd w:val="0"/>
              <w:snapToGrid w:val="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爆破</w:t>
            </w:r>
          </w:p>
        </w:tc>
        <w:tc>
          <w:tcPr>
            <w:tcW w:w="1250" w:type="dxa"/>
            <w:vAlign w:val="center"/>
          </w:tcPr>
          <w:p>
            <w:pPr>
              <w:autoSpaceDE w:val="0"/>
              <w:autoSpaceDN w:val="0"/>
              <w:adjustRightInd w:val="0"/>
              <w:snapToGrid w:val="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游泳生物</w:t>
            </w:r>
          </w:p>
        </w:tc>
        <w:tc>
          <w:tcPr>
            <w:tcW w:w="1250" w:type="dxa"/>
            <w:vAlign w:val="center"/>
          </w:tcPr>
          <w:p>
            <w:pPr>
              <w:autoSpaceDE w:val="0"/>
              <w:autoSpaceDN w:val="0"/>
              <w:adjustRightInd w:val="0"/>
              <w:snapToGrid w:val="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2.47</w:t>
            </w:r>
          </w:p>
        </w:tc>
        <w:tc>
          <w:tcPr>
            <w:tcW w:w="1324" w:type="dxa"/>
            <w:vAlign w:val="center"/>
          </w:tcPr>
          <w:p>
            <w:pPr>
              <w:autoSpaceDE w:val="0"/>
              <w:autoSpaceDN w:val="0"/>
              <w:adjustRightInd w:val="0"/>
              <w:snapToGrid w:val="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1.88</w:t>
            </w:r>
          </w:p>
        </w:tc>
        <w:tc>
          <w:tcPr>
            <w:tcW w:w="1177" w:type="dxa"/>
            <w:shd w:val="clear" w:color="auto" w:fill="auto"/>
            <w:vAlign w:val="center"/>
          </w:tcPr>
          <w:p>
            <w:pPr>
              <w:autoSpaceDE w:val="0"/>
              <w:autoSpaceDN w:val="0"/>
              <w:adjustRightInd w:val="0"/>
              <w:snapToGrid w:val="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4.64</w:t>
            </w:r>
          </w:p>
        </w:tc>
        <w:tc>
          <w:tcPr>
            <w:tcW w:w="752" w:type="dxa"/>
            <w:vAlign w:val="center"/>
          </w:tcPr>
          <w:p>
            <w:pPr>
              <w:autoSpaceDE w:val="0"/>
              <w:autoSpaceDN w:val="0"/>
              <w:adjustRightInd w:val="0"/>
              <w:snapToGrid w:val="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3</w:t>
            </w:r>
          </w:p>
        </w:tc>
        <w:tc>
          <w:tcPr>
            <w:tcW w:w="1327" w:type="dxa"/>
            <w:shd w:val="clear" w:color="auto" w:fill="auto"/>
            <w:vAlign w:val="center"/>
          </w:tcPr>
          <w:p>
            <w:pPr>
              <w:autoSpaceDE w:val="0"/>
              <w:autoSpaceDN w:val="0"/>
              <w:adjustRightInd w:val="0"/>
              <w:snapToGrid w:val="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13.92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448" w:type="dxa"/>
            <w:vMerge w:val="continue"/>
            <w:vAlign w:val="center"/>
          </w:tcPr>
          <w:p>
            <w:pPr>
              <w:autoSpaceDE w:val="0"/>
              <w:autoSpaceDN w:val="0"/>
              <w:adjustRightInd w:val="0"/>
              <w:snapToGrid w:val="0"/>
              <w:jc w:val="center"/>
              <w:rPr>
                <w:color w:val="000000" w:themeColor="text1"/>
                <w:kern w:val="0"/>
                <w:sz w:val="21"/>
                <w:szCs w:val="21"/>
                <w14:textFill>
                  <w14:solidFill>
                    <w14:schemeClr w14:val="tx1"/>
                  </w14:solidFill>
                </w14:textFill>
              </w:rPr>
            </w:pPr>
          </w:p>
        </w:tc>
        <w:tc>
          <w:tcPr>
            <w:tcW w:w="1250" w:type="dxa"/>
            <w:vAlign w:val="center"/>
          </w:tcPr>
          <w:p>
            <w:pPr>
              <w:autoSpaceDE w:val="0"/>
              <w:autoSpaceDN w:val="0"/>
              <w:adjustRightInd w:val="0"/>
              <w:snapToGrid w:val="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鱼卵</w:t>
            </w:r>
          </w:p>
        </w:tc>
        <w:tc>
          <w:tcPr>
            <w:tcW w:w="1250" w:type="dxa"/>
            <w:vAlign w:val="center"/>
          </w:tcPr>
          <w:p>
            <w:pPr>
              <w:autoSpaceDE w:val="0"/>
              <w:autoSpaceDN w:val="0"/>
              <w:adjustRightInd w:val="0"/>
              <w:snapToGrid w:val="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21.32</w:t>
            </w:r>
            <w:r>
              <w:rPr>
                <w:color w:val="000000" w:themeColor="text1"/>
                <w14:textFill>
                  <w14:solidFill>
                    <w14:schemeClr w14:val="tx1"/>
                  </w14:solidFill>
                </w14:textFill>
              </w:rPr>
              <w:t>万粒</w:t>
            </w:r>
          </w:p>
        </w:tc>
        <w:tc>
          <w:tcPr>
            <w:tcW w:w="1324" w:type="dxa"/>
            <w:vAlign w:val="center"/>
          </w:tcPr>
          <w:p>
            <w:pPr>
              <w:autoSpaceDE w:val="0"/>
              <w:autoSpaceDN w:val="0"/>
              <w:adjustRightInd w:val="0"/>
              <w:snapToGrid w:val="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0.60</w:t>
            </w:r>
          </w:p>
        </w:tc>
        <w:tc>
          <w:tcPr>
            <w:tcW w:w="1177" w:type="dxa"/>
            <w:shd w:val="clear" w:color="auto" w:fill="auto"/>
            <w:vAlign w:val="center"/>
          </w:tcPr>
          <w:p>
            <w:pPr>
              <w:autoSpaceDE w:val="0"/>
              <w:autoSpaceDN w:val="0"/>
              <w:adjustRightInd w:val="0"/>
              <w:snapToGrid w:val="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12.79</w:t>
            </w:r>
          </w:p>
        </w:tc>
        <w:tc>
          <w:tcPr>
            <w:tcW w:w="752" w:type="dxa"/>
            <w:vAlign w:val="center"/>
          </w:tcPr>
          <w:p>
            <w:pPr>
              <w:autoSpaceDE w:val="0"/>
              <w:autoSpaceDN w:val="0"/>
              <w:adjustRightInd w:val="0"/>
              <w:snapToGrid w:val="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3</w:t>
            </w:r>
          </w:p>
        </w:tc>
        <w:tc>
          <w:tcPr>
            <w:tcW w:w="1327" w:type="dxa"/>
            <w:shd w:val="clear" w:color="auto" w:fill="auto"/>
            <w:vAlign w:val="center"/>
          </w:tcPr>
          <w:p>
            <w:pPr>
              <w:autoSpaceDE w:val="0"/>
              <w:autoSpaceDN w:val="0"/>
              <w:adjustRightInd w:val="0"/>
              <w:snapToGrid w:val="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1.92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448" w:type="dxa"/>
            <w:vMerge w:val="continue"/>
            <w:vAlign w:val="center"/>
          </w:tcPr>
          <w:p>
            <w:pPr>
              <w:autoSpaceDE w:val="0"/>
              <w:autoSpaceDN w:val="0"/>
              <w:adjustRightInd w:val="0"/>
              <w:snapToGrid w:val="0"/>
              <w:jc w:val="center"/>
              <w:rPr>
                <w:color w:val="000000" w:themeColor="text1"/>
                <w:kern w:val="0"/>
                <w:sz w:val="21"/>
                <w:szCs w:val="21"/>
                <w14:textFill>
                  <w14:solidFill>
                    <w14:schemeClr w14:val="tx1"/>
                  </w14:solidFill>
                </w14:textFill>
              </w:rPr>
            </w:pPr>
          </w:p>
        </w:tc>
        <w:tc>
          <w:tcPr>
            <w:tcW w:w="1250" w:type="dxa"/>
            <w:vAlign w:val="center"/>
          </w:tcPr>
          <w:p>
            <w:pPr>
              <w:autoSpaceDE w:val="0"/>
              <w:autoSpaceDN w:val="0"/>
              <w:adjustRightInd w:val="0"/>
              <w:snapToGrid w:val="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仔鱼</w:t>
            </w:r>
          </w:p>
        </w:tc>
        <w:tc>
          <w:tcPr>
            <w:tcW w:w="1250" w:type="dxa"/>
            <w:vAlign w:val="center"/>
          </w:tcPr>
          <w:p>
            <w:pPr>
              <w:autoSpaceDE w:val="0"/>
              <w:autoSpaceDN w:val="0"/>
              <w:adjustRightInd w:val="0"/>
              <w:snapToGrid w:val="0"/>
              <w:jc w:val="center"/>
              <w:rPr>
                <w:color w:val="000000" w:themeColor="text1"/>
                <w:kern w:val="0"/>
                <w:sz w:val="21"/>
                <w:szCs w:val="21"/>
                <w14:textFill>
                  <w14:solidFill>
                    <w14:schemeClr w14:val="tx1"/>
                  </w14:solidFill>
                </w14:textFill>
              </w:rPr>
            </w:pPr>
            <w:r>
              <w:rPr>
                <w:rFonts w:hint="eastAsia"/>
                <w:color w:val="000000" w:themeColor="text1"/>
                <w14:textFill>
                  <w14:solidFill>
                    <w14:schemeClr w14:val="tx1"/>
                  </w14:solidFill>
                </w14:textFill>
              </w:rPr>
              <w:t>34.15</w:t>
            </w:r>
            <w:r>
              <w:rPr>
                <w:color w:val="000000" w:themeColor="text1"/>
                <w14:textFill>
                  <w14:solidFill>
                    <w14:schemeClr w14:val="tx1"/>
                  </w14:solidFill>
                </w14:textFill>
              </w:rPr>
              <w:t>万尾</w:t>
            </w:r>
          </w:p>
        </w:tc>
        <w:tc>
          <w:tcPr>
            <w:tcW w:w="1324" w:type="dxa"/>
            <w:vAlign w:val="center"/>
          </w:tcPr>
          <w:p>
            <w:pPr>
              <w:autoSpaceDE w:val="0"/>
              <w:autoSpaceDN w:val="0"/>
              <w:adjustRightInd w:val="0"/>
              <w:snapToGrid w:val="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0.60</w:t>
            </w:r>
          </w:p>
        </w:tc>
        <w:tc>
          <w:tcPr>
            <w:tcW w:w="1177" w:type="dxa"/>
            <w:shd w:val="clear" w:color="auto" w:fill="auto"/>
            <w:vAlign w:val="center"/>
          </w:tcPr>
          <w:p>
            <w:pPr>
              <w:autoSpaceDE w:val="0"/>
              <w:autoSpaceDN w:val="0"/>
              <w:adjustRightInd w:val="0"/>
              <w:snapToGrid w:val="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20.49</w:t>
            </w:r>
          </w:p>
        </w:tc>
        <w:tc>
          <w:tcPr>
            <w:tcW w:w="752" w:type="dxa"/>
            <w:vAlign w:val="center"/>
          </w:tcPr>
          <w:p>
            <w:pPr>
              <w:autoSpaceDE w:val="0"/>
              <w:autoSpaceDN w:val="0"/>
              <w:adjustRightInd w:val="0"/>
              <w:snapToGrid w:val="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3</w:t>
            </w:r>
          </w:p>
        </w:tc>
        <w:tc>
          <w:tcPr>
            <w:tcW w:w="1327" w:type="dxa"/>
            <w:shd w:val="clear" w:color="auto" w:fill="auto"/>
            <w:vAlign w:val="center"/>
          </w:tcPr>
          <w:p>
            <w:pPr>
              <w:autoSpaceDE w:val="0"/>
              <w:autoSpaceDN w:val="0"/>
              <w:adjustRightInd w:val="0"/>
              <w:snapToGrid w:val="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0.62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7201" w:type="dxa"/>
            <w:gridSpan w:val="6"/>
            <w:vAlign w:val="center"/>
          </w:tcPr>
          <w:p>
            <w:pPr>
              <w:autoSpaceDE w:val="0"/>
              <w:autoSpaceDN w:val="0"/>
              <w:adjustRightInd w:val="0"/>
              <w:snapToGrid w:val="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合计</w:t>
            </w:r>
          </w:p>
        </w:tc>
        <w:tc>
          <w:tcPr>
            <w:tcW w:w="1327" w:type="dxa"/>
            <w:vAlign w:val="center"/>
          </w:tcPr>
          <w:p>
            <w:pPr>
              <w:autoSpaceDE w:val="0"/>
              <w:autoSpaceDN w:val="0"/>
              <w:adjustRightInd w:val="0"/>
              <w:snapToGrid w:val="0"/>
              <w:jc w:val="center"/>
              <w:rPr>
                <w:color w:val="000000" w:themeColor="text1"/>
                <w:kern w:val="0"/>
                <w:sz w:val="21"/>
                <w:szCs w:val="21"/>
                <w:u w:val="single"/>
                <w14:textFill>
                  <w14:solidFill>
                    <w14:schemeClr w14:val="tx1"/>
                  </w14:solidFill>
                </w14:textFill>
              </w:rPr>
            </w:pPr>
            <w:r>
              <w:rPr>
                <w:rFonts w:hint="eastAsia"/>
                <w:color w:val="000000" w:themeColor="text1"/>
                <w:kern w:val="0"/>
                <w:sz w:val="21"/>
                <w:szCs w:val="21"/>
                <w:u w:val="single"/>
                <w14:textFill>
                  <w14:solidFill>
                    <w14:schemeClr w14:val="tx1"/>
                  </w14:solidFill>
                </w14:textFill>
              </w:rPr>
              <w:t>1</w:t>
            </w:r>
            <w:r>
              <w:rPr>
                <w:color w:val="000000" w:themeColor="text1"/>
                <w:kern w:val="0"/>
                <w:sz w:val="21"/>
                <w:szCs w:val="21"/>
                <w:u w:val="single"/>
                <w14:textFill>
                  <w14:solidFill>
                    <w14:schemeClr w14:val="tx1"/>
                  </w14:solidFill>
                </w14:textFill>
              </w:rPr>
              <w:t>74.79</w:t>
            </w:r>
          </w:p>
        </w:tc>
      </w:tr>
    </w:tbl>
    <w:p>
      <w:pPr>
        <w:pStyle w:val="5"/>
        <w:rPr>
          <w:color w:val="000000" w:themeColor="text1"/>
          <w14:textFill>
            <w14:solidFill>
              <w14:schemeClr w14:val="tx1"/>
            </w14:solidFill>
          </w14:textFill>
        </w:rPr>
      </w:pPr>
      <w:r>
        <w:rPr>
          <w:color w:val="000000" w:themeColor="text1"/>
          <w14:textFill>
            <w14:solidFill>
              <w14:schemeClr w14:val="tx1"/>
            </w14:solidFill>
          </w14:textFill>
        </w:rPr>
        <w:t>运营期生态环境影响</w:t>
      </w:r>
    </w:p>
    <w:p>
      <w:pPr>
        <w:pStyle w:val="283"/>
        <w:rPr>
          <w:color w:val="000000" w:themeColor="text1"/>
          <w14:textFill>
            <w14:solidFill>
              <w14:schemeClr w14:val="tx1"/>
            </w14:solidFill>
          </w14:textFill>
        </w:rPr>
      </w:pPr>
      <w:r>
        <w:rPr>
          <w:color w:val="000000" w:themeColor="text1"/>
          <w14:textFill>
            <w14:solidFill>
              <w14:schemeClr w14:val="tx1"/>
            </w14:solidFill>
          </w14:textFill>
        </w:rPr>
        <w:t>本项目运营期不向海域</w:t>
      </w:r>
      <w:r>
        <w:rPr>
          <w:rFonts w:hint="eastAsia"/>
          <w:color w:val="000000" w:themeColor="text1"/>
          <w14:textFill>
            <w14:solidFill>
              <w14:schemeClr w14:val="tx1"/>
            </w14:solidFill>
          </w14:textFill>
        </w:rPr>
        <w:t>排放</w:t>
      </w:r>
      <w:r>
        <w:rPr>
          <w:color w:val="000000" w:themeColor="text1"/>
          <w14:textFill>
            <w14:solidFill>
              <w14:schemeClr w14:val="tx1"/>
            </w14:solidFill>
          </w14:textFill>
        </w:rPr>
        <w:t>废水等污染物，但码头作业、船舶运行密度增加将扰动水体、带来噪声污染，在一定程度上改变原有水生生境，使码头周边海域的水生生物种类和数量有所减少。港区域生境的改变、饵料生物数量的减少，都会对鱼类产生不利影响，并在客观上促成鱼类向其他水域迁移。从鱼类行为学上来看，鱼类具有主动逃逸不利环境的本能反应，港区运营期间，鱼类可以通过主动逃逸避开港区作业影响区域，基本上能消除港区作业对它们的不利影响。因此，从整个钦州湾海域来看，本项目在正常运营期间对水生生物的不利影响是局部的、较轻的，不会造成整个海域生物类群的改变，也不会对海域生物多样性造成不利影响。通过落实运营期废水治理措施，加强码头装卸作业、船舶进出港的环境管理措施，项目</w:t>
      </w:r>
      <w:r>
        <w:rPr>
          <w:rFonts w:hint="eastAsia"/>
          <w:color w:val="000000" w:themeColor="text1"/>
          <w14:textFill>
            <w14:solidFill>
              <w14:schemeClr w14:val="tx1"/>
            </w14:solidFill>
          </w14:textFill>
        </w:rPr>
        <w:t>运行</w:t>
      </w:r>
      <w:r>
        <w:rPr>
          <w:color w:val="000000" w:themeColor="text1"/>
          <w14:textFill>
            <w14:solidFill>
              <w14:schemeClr w14:val="tx1"/>
            </w14:solidFill>
          </w14:textFill>
        </w:rPr>
        <w:t>对评价范围内水生生物的影响将</w:t>
      </w:r>
      <w:r>
        <w:rPr>
          <w:rFonts w:hint="eastAsia"/>
          <w:color w:val="000000" w:themeColor="text1"/>
          <w:lang w:eastAsia="zh-CN"/>
          <w14:textFill>
            <w14:solidFill>
              <w14:schemeClr w14:val="tx1"/>
            </w14:solidFill>
          </w14:textFill>
        </w:rPr>
        <w:t>得到有效的</w:t>
      </w:r>
      <w:r>
        <w:rPr>
          <w:color w:val="000000" w:themeColor="text1"/>
          <w14:textFill>
            <w14:solidFill>
              <w14:schemeClr w14:val="tx1"/>
            </w14:solidFill>
          </w14:textFill>
        </w:rPr>
        <w:t>控制。随着项目运营，码头周边海域的生态系统将重新建立，生物量逐渐恢复，但水生生物的分布可能因生境的改变而有所改变。</w:t>
      </w:r>
    </w:p>
    <w:p>
      <w:pPr>
        <w:pStyle w:val="4"/>
        <w:rPr>
          <w:color w:val="000000" w:themeColor="text1"/>
          <w14:textFill>
            <w14:solidFill>
              <w14:schemeClr w14:val="tx1"/>
            </w14:solidFill>
          </w14:textFill>
        </w:rPr>
      </w:pPr>
      <w:bookmarkStart w:id="205" w:name="_Toc170918611"/>
      <w:bookmarkStart w:id="206" w:name="_Toc317003542"/>
      <w:bookmarkStart w:id="207" w:name="_Toc317003262"/>
      <w:r>
        <w:rPr>
          <w:color w:val="000000" w:themeColor="text1"/>
          <w14:textFill>
            <w14:solidFill>
              <w14:schemeClr w14:val="tx1"/>
            </w14:solidFill>
          </w14:textFill>
        </w:rPr>
        <w:t>大气环境影响分析</w:t>
      </w:r>
      <w:bookmarkEnd w:id="205"/>
      <w:bookmarkEnd w:id="206"/>
      <w:bookmarkEnd w:id="207"/>
    </w:p>
    <w:p>
      <w:pPr>
        <w:pStyle w:val="5"/>
        <w:rPr>
          <w:color w:val="000000" w:themeColor="text1"/>
          <w14:textFill>
            <w14:solidFill>
              <w14:schemeClr w14:val="tx1"/>
            </w14:solidFill>
          </w14:textFill>
        </w:rPr>
      </w:pPr>
      <w:r>
        <w:rPr>
          <w:color w:val="000000" w:themeColor="text1"/>
          <w14:textFill>
            <w14:solidFill>
              <w14:schemeClr w14:val="tx1"/>
            </w14:solidFill>
          </w14:textFill>
        </w:rPr>
        <w:t>施工期环境空气影响分析</w:t>
      </w:r>
    </w:p>
    <w:p>
      <w:pPr>
        <w:pStyle w:val="1075"/>
        <w:ind w:firstLine="437"/>
        <w:rPr>
          <w:color w:val="000000" w:themeColor="text1"/>
          <w14:textFill>
            <w14:solidFill>
              <w14:schemeClr w14:val="tx1"/>
            </w14:solidFill>
          </w14:textFill>
        </w:rPr>
      </w:pPr>
      <w:r>
        <w:rPr>
          <w:color w:val="000000" w:themeColor="text1"/>
          <w14:textFill>
            <w14:solidFill>
              <w14:schemeClr w14:val="tx1"/>
            </w14:solidFill>
          </w14:textFill>
        </w:rPr>
        <w:t>工程施工期对环境空气产生影响的作业环节有：材料运输和装卸、</w:t>
      </w:r>
      <w:r>
        <w:rPr>
          <w:rFonts w:hint="eastAsia"/>
          <w:color w:val="000000" w:themeColor="text1"/>
          <w14:textFill>
            <w14:solidFill>
              <w14:schemeClr w14:val="tx1"/>
            </w14:solidFill>
          </w14:textFill>
        </w:rPr>
        <w:t>施工车辆废气、施工船舶废气等产生的扬尘污染和机械作业废气</w:t>
      </w:r>
      <w:r>
        <w:rPr>
          <w:color w:val="000000" w:themeColor="text1"/>
          <w14:textFill>
            <w14:solidFill>
              <w14:schemeClr w14:val="tx1"/>
            </w14:solidFill>
          </w14:textFill>
        </w:rPr>
        <w:t>，排放的污染物有TSP、NO</w:t>
      </w:r>
      <w:r>
        <w:rPr>
          <w:color w:val="000000" w:themeColor="text1"/>
          <w:vertAlign w:val="subscript"/>
          <w14:textFill>
            <w14:solidFill>
              <w14:schemeClr w14:val="tx1"/>
            </w14:solidFill>
          </w14:textFill>
        </w:rPr>
        <w:t>x</w:t>
      </w:r>
      <w:r>
        <w:rPr>
          <w:color w:val="000000" w:themeColor="text1"/>
          <w14:textFill>
            <w14:solidFill>
              <w14:schemeClr w14:val="tx1"/>
            </w14:solidFill>
          </w14:textFill>
        </w:rPr>
        <w:t>、CO。</w:t>
      </w:r>
    </w:p>
    <w:p>
      <w:pPr>
        <w:pStyle w:val="1075"/>
        <w:ind w:firstLine="439"/>
        <w:rPr>
          <w:b/>
          <w:color w:val="000000" w:themeColor="text1"/>
          <w14:textFill>
            <w14:solidFill>
              <w14:schemeClr w14:val="tx1"/>
            </w14:solidFill>
          </w14:textFill>
        </w:rPr>
      </w:pPr>
      <w:r>
        <w:rPr>
          <w:b/>
          <w:color w:val="000000" w:themeColor="text1"/>
          <w14:textFill>
            <w14:solidFill>
              <w14:schemeClr w14:val="tx1"/>
            </w14:solidFill>
          </w14:textFill>
        </w:rPr>
        <w:t>1、扬尘污染分析</w:t>
      </w:r>
    </w:p>
    <w:p>
      <w:pPr>
        <w:pStyle w:val="283"/>
        <w:ind w:firstLine="429"/>
        <w:rPr>
          <w:color w:val="000000" w:themeColor="text1"/>
          <w14:textFill>
            <w14:solidFill>
              <w14:schemeClr w14:val="tx1"/>
            </w14:solidFill>
          </w14:textFill>
        </w:rPr>
      </w:pPr>
      <w:r>
        <w:rPr>
          <w:color w:val="000000" w:themeColor="text1"/>
          <w:spacing w:val="-2"/>
          <w14:textFill>
            <w14:solidFill>
              <w14:schemeClr w14:val="tx1"/>
            </w14:solidFill>
          </w14:textFill>
        </w:rPr>
        <w:t>工程产生扬尘污染主要来源于材料装卸等环节；本码头堆场衔接区、</w:t>
      </w:r>
      <w:r>
        <w:rPr>
          <w:rFonts w:hint="eastAsia"/>
          <w:color w:val="000000" w:themeColor="text1"/>
          <w:spacing w:val="-2"/>
          <w14:textFill>
            <w14:solidFill>
              <w14:schemeClr w14:val="tx1"/>
            </w14:solidFill>
          </w14:textFill>
        </w:rPr>
        <w:t>码头面</w:t>
      </w:r>
      <w:r>
        <w:rPr>
          <w:color w:val="000000" w:themeColor="text1"/>
          <w:spacing w:val="-2"/>
          <w14:textFill>
            <w14:solidFill>
              <w14:schemeClr w14:val="tx1"/>
            </w14:solidFill>
          </w14:textFill>
        </w:rPr>
        <w:t>形成等建筑工程数量不大，</w:t>
      </w:r>
      <w:r>
        <w:rPr>
          <w:color w:val="000000" w:themeColor="text1"/>
          <w14:textFill>
            <w14:solidFill>
              <w14:schemeClr w14:val="tx1"/>
            </w14:solidFill>
          </w14:textFill>
        </w:rPr>
        <w:t>混凝土用量少，采用外购商品混凝土、封闭运输到现场浇灌的方式；整个施工过程，土石方工程量不大，扬尘污染源强小。</w:t>
      </w:r>
    </w:p>
    <w:p>
      <w:pPr>
        <w:pStyle w:val="283"/>
        <w:rPr>
          <w:color w:val="000000" w:themeColor="text1"/>
          <w14:textFill>
            <w14:solidFill>
              <w14:schemeClr w14:val="tx1"/>
            </w14:solidFill>
          </w14:textFill>
        </w:rPr>
      </w:pPr>
      <w:r>
        <w:rPr>
          <w:color w:val="000000" w:themeColor="text1"/>
          <w14:textFill>
            <w14:solidFill>
              <w14:schemeClr w14:val="tx1"/>
            </w14:solidFill>
          </w14:textFill>
        </w:rPr>
        <w:t>根据国内港口工程施工现场监测资料，在正常风况下，施工活动将使施工现场TSP近地面浓度达到1.5～3.0mg/m</w:t>
      </w:r>
      <w:r>
        <w:rPr>
          <w:color w:val="000000" w:themeColor="text1"/>
          <w:vertAlign w:val="superscript"/>
          <w14:textFill>
            <w14:solidFill>
              <w14:schemeClr w14:val="tx1"/>
            </w14:solidFill>
          </w14:textFill>
        </w:rPr>
        <w:t>3</w:t>
      </w:r>
      <w:r>
        <w:rPr>
          <w:color w:val="000000" w:themeColor="text1"/>
          <w14:textFill>
            <w14:solidFill>
              <w14:schemeClr w14:val="tx1"/>
            </w14:solidFill>
          </w14:textFill>
        </w:rPr>
        <w:t>，距施工现场约200m外的TSP浓度符合《环境空气质量标准》（GB3095-1996）二级标准要求。</w:t>
      </w:r>
    </w:p>
    <w:p>
      <w:pPr>
        <w:pStyle w:val="1075"/>
        <w:ind w:firstLine="439"/>
        <w:rPr>
          <w:b/>
          <w:color w:val="000000" w:themeColor="text1"/>
          <w14:textFill>
            <w14:solidFill>
              <w14:schemeClr w14:val="tx1"/>
            </w14:solidFill>
          </w14:textFill>
        </w:rPr>
      </w:pPr>
      <w:r>
        <w:rPr>
          <w:b/>
          <w:color w:val="000000" w:themeColor="text1"/>
          <w14:textFill>
            <w14:solidFill>
              <w14:schemeClr w14:val="tx1"/>
            </w14:solidFill>
          </w14:textFill>
        </w:rPr>
        <w:t>2、作业机械废气污染分析</w:t>
      </w:r>
    </w:p>
    <w:p>
      <w:pPr>
        <w:pStyle w:val="283"/>
        <w:rPr>
          <w:color w:val="000000" w:themeColor="text1"/>
          <w14:textFill>
            <w14:solidFill>
              <w14:schemeClr w14:val="tx1"/>
            </w14:solidFill>
          </w14:textFill>
        </w:rPr>
      </w:pPr>
      <w:r>
        <w:rPr>
          <w:color w:val="000000" w:themeColor="text1"/>
          <w14:textFill>
            <w14:solidFill>
              <w14:schemeClr w14:val="tx1"/>
            </w14:solidFill>
          </w14:textFill>
        </w:rPr>
        <w:t>本项目施工机械以燃油机械为主，尾气排放中所含污染物主要有SO</w:t>
      </w:r>
      <w:r>
        <w:rPr>
          <w:color w:val="000000" w:themeColor="text1"/>
          <w:vertAlign w:val="subscript"/>
          <w14:textFill>
            <w14:solidFill>
              <w14:schemeClr w14:val="tx1"/>
            </w14:solidFill>
          </w14:textFill>
        </w:rPr>
        <w:t>2</w:t>
      </w:r>
      <w:r>
        <w:rPr>
          <w:color w:val="000000" w:themeColor="text1"/>
          <w14:textFill>
            <w14:solidFill>
              <w14:schemeClr w14:val="tx1"/>
            </w14:solidFill>
          </w14:textFill>
        </w:rPr>
        <w:t>、CO、NO</w:t>
      </w:r>
      <w:r>
        <w:rPr>
          <w:color w:val="000000" w:themeColor="text1"/>
          <w:vertAlign w:val="subscript"/>
          <w14:textFill>
            <w14:solidFill>
              <w14:schemeClr w14:val="tx1"/>
            </w14:solidFill>
          </w14:textFill>
        </w:rPr>
        <w:t>x</w:t>
      </w:r>
      <w:r>
        <w:rPr>
          <w:color w:val="000000" w:themeColor="text1"/>
          <w14:textFill>
            <w14:solidFill>
              <w14:schemeClr w14:val="tx1"/>
            </w14:solidFill>
          </w14:textFill>
        </w:rPr>
        <w:t xml:space="preserve"> 和烃类；由于施工机械多为大型机械，单车排放系数较大，但同时作业的机械数量少且分散，其污染程度相对较轻。</w:t>
      </w:r>
    </w:p>
    <w:p>
      <w:pPr>
        <w:pStyle w:val="283"/>
        <w:rPr>
          <w:color w:val="000000" w:themeColor="text1"/>
          <w:spacing w:val="4"/>
          <w14:textFill>
            <w14:solidFill>
              <w14:schemeClr w14:val="tx1"/>
            </w14:solidFill>
          </w14:textFill>
        </w:rPr>
      </w:pPr>
      <w:r>
        <w:rPr>
          <w:color w:val="000000" w:themeColor="text1"/>
          <w14:textFill>
            <w14:solidFill>
              <w14:schemeClr w14:val="tx1"/>
            </w14:solidFill>
          </w14:textFill>
        </w:rPr>
        <w:t>据已有项目施工现场监测结果，在距施工现场50m处NO</w:t>
      </w:r>
      <w:r>
        <w:rPr>
          <w:color w:val="000000" w:themeColor="text1"/>
          <w:vertAlign w:val="subscript"/>
          <w14:textFill>
            <w14:solidFill>
              <w14:schemeClr w14:val="tx1"/>
            </w14:solidFill>
          </w14:textFill>
        </w:rPr>
        <w:t>2</w:t>
      </w:r>
      <w:r>
        <w:rPr>
          <w:rFonts w:hint="eastAsia"/>
          <w:color w:val="000000" w:themeColor="text1"/>
          <w:vertAlign w:val="subscript"/>
          <w14:textFill>
            <w14:solidFill>
              <w14:schemeClr w14:val="tx1"/>
            </w14:solidFill>
          </w14:textFill>
        </w:rPr>
        <w:t xml:space="preserve"> </w:t>
      </w:r>
      <w:r>
        <w:rPr>
          <w:color w:val="000000" w:themeColor="text1"/>
          <w14:textFill>
            <w14:solidFill>
              <w14:schemeClr w14:val="tx1"/>
            </w14:solidFill>
          </w14:textFill>
        </w:rPr>
        <w:t>1小时平均浓度为0.13mg/m</w:t>
      </w:r>
      <w:r>
        <w:rPr>
          <w:color w:val="000000" w:themeColor="text1"/>
          <w:vertAlign w:val="superscript"/>
          <w14:textFill>
            <w14:solidFill>
              <w14:schemeClr w14:val="tx1"/>
            </w14:solidFill>
          </w14:textFill>
        </w:rPr>
        <w:t>3</w:t>
      </w:r>
      <w:r>
        <w:rPr>
          <w:color w:val="000000" w:themeColor="text1"/>
          <w14:textFill>
            <w14:solidFill>
              <w14:schemeClr w14:val="tx1"/>
            </w14:solidFill>
          </w14:textFill>
        </w:rPr>
        <w:t>；日平均浓度为0.062mg/m</w:t>
      </w:r>
      <w:r>
        <w:rPr>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能满足《环境空气质量标准》中二级标准要求。</w:t>
      </w:r>
    </w:p>
    <w:p>
      <w:pPr>
        <w:pStyle w:val="283"/>
        <w:rPr>
          <w:color w:val="000000" w:themeColor="text1"/>
          <w:spacing w:val="-2"/>
          <w14:textFill>
            <w14:solidFill>
              <w14:schemeClr w14:val="tx1"/>
            </w14:solidFill>
          </w14:textFill>
        </w:rPr>
      </w:pPr>
      <w:r>
        <w:rPr>
          <w:color w:val="000000" w:themeColor="text1"/>
          <w14:textFill>
            <w14:solidFill>
              <w14:schemeClr w14:val="tx1"/>
            </w14:solidFill>
          </w14:textFill>
        </w:rPr>
        <w:t xml:space="preserve">因此，本码头作业中，施工机械尾气排放可满足二级标准要求，对评价区空气环境不利影响有限。同时，不利影响是暂时的，随着机械停止作业，该类影响即消失。 </w:t>
      </w:r>
    </w:p>
    <w:p>
      <w:pPr>
        <w:pStyle w:val="5"/>
        <w:rPr>
          <w:color w:val="000000" w:themeColor="text1"/>
          <w14:textFill>
            <w14:solidFill>
              <w14:schemeClr w14:val="tx1"/>
            </w14:solidFill>
          </w14:textFill>
        </w:rPr>
      </w:pPr>
      <w:r>
        <w:rPr>
          <w:color w:val="000000" w:themeColor="text1"/>
          <w14:textFill>
            <w14:solidFill>
              <w14:schemeClr w14:val="tx1"/>
            </w14:solidFill>
          </w14:textFill>
        </w:rPr>
        <w:t>运营期环境空气影响</w:t>
      </w:r>
      <w:r>
        <w:rPr>
          <w:rFonts w:hint="eastAsia"/>
          <w:color w:val="000000" w:themeColor="text1"/>
          <w14:textFill>
            <w14:solidFill>
              <w14:schemeClr w14:val="tx1"/>
            </w14:solidFill>
          </w14:textFill>
        </w:rPr>
        <w:t>分析</w:t>
      </w:r>
    </w:p>
    <w:p>
      <w:pPr>
        <w:pStyle w:val="283"/>
        <w:rPr>
          <w:color w:val="000000" w:themeColor="text1"/>
          <w14:textFill>
            <w14:solidFill>
              <w14:schemeClr w14:val="tx1"/>
            </w14:solidFill>
          </w14:textFill>
        </w:rPr>
      </w:pPr>
      <w:r>
        <w:rPr>
          <w:rFonts w:hint="eastAsia"/>
          <w:color w:val="000000" w:themeColor="text1"/>
          <w14:textFill>
            <w14:solidFill>
              <w14:schemeClr w14:val="tx1"/>
            </w14:solidFill>
          </w14:textFill>
        </w:rPr>
        <w:t>本项目</w:t>
      </w:r>
      <w:r>
        <w:rPr>
          <w:color w:val="000000" w:themeColor="text1"/>
          <w14:textFill>
            <w14:solidFill>
              <w14:schemeClr w14:val="tx1"/>
            </w14:solidFill>
          </w14:textFill>
        </w:rPr>
        <w:t>为自动化集装箱码头</w:t>
      </w:r>
      <w:r>
        <w:rPr>
          <w:rFonts w:hint="eastAsia"/>
          <w:color w:val="000000" w:themeColor="text1"/>
          <w14:textFill>
            <w14:solidFill>
              <w14:schemeClr w14:val="tx1"/>
            </w14:solidFill>
          </w14:textFill>
        </w:rPr>
        <w:t>，集装箱装卸作业采用龙门吊、IGV充电小车均为电能作业，无装卸废气产生；码头后方堆场为集装箱堆场，堆场静态起尘量极少；码头设置船舶岸电设施，船舶进港靠泊使用岸电设备，该过程不会产生船舶废气；项目运营期主要大气污染物为道路扬尘和进出港运输车辆尾气产生的废气，均为无组织废气。</w:t>
      </w:r>
    </w:p>
    <w:p>
      <w:pPr>
        <w:pStyle w:val="283"/>
        <w:rPr>
          <w:color w:val="000000" w:themeColor="text1"/>
          <w14:textFill>
            <w14:solidFill>
              <w14:schemeClr w14:val="tx1"/>
            </w14:solidFill>
          </w14:textFill>
        </w:rPr>
      </w:pPr>
      <w:r>
        <w:rPr>
          <w:rFonts w:hint="eastAsia"/>
          <w:color w:val="000000" w:themeColor="text1"/>
          <w14:textFill>
            <w14:solidFill>
              <w14:schemeClr w14:val="tx1"/>
            </w14:solidFill>
          </w14:textFill>
        </w:rPr>
        <w:t>1、道路扬尘及车辆尾气影响</w:t>
      </w:r>
    </w:p>
    <w:p>
      <w:pPr>
        <w:pStyle w:val="283"/>
        <w:rPr>
          <w:color w:val="000000" w:themeColor="text1"/>
          <w14:textFill>
            <w14:solidFill>
              <w14:schemeClr w14:val="tx1"/>
            </w14:solidFill>
          </w14:textFill>
        </w:rPr>
      </w:pPr>
      <w:r>
        <w:rPr>
          <w:rFonts w:hint="eastAsia"/>
          <w:color w:val="000000" w:themeColor="text1"/>
          <w14:textFill>
            <w14:solidFill>
              <w14:schemeClr w14:val="tx1"/>
            </w14:solidFill>
          </w14:textFill>
        </w:rPr>
        <w:t>根据工程分析，进出港运输车辆港内铺装道路起尘TSP、PM</w:t>
      </w:r>
      <w:r>
        <w:rPr>
          <w:rFonts w:hint="eastAsia"/>
          <w:color w:val="000000" w:themeColor="text1"/>
          <w:vertAlign w:val="subscript"/>
          <w14:textFill>
            <w14:solidFill>
              <w14:schemeClr w14:val="tx1"/>
            </w14:solidFill>
          </w14:textFill>
        </w:rPr>
        <w:t>10</w:t>
      </w:r>
      <w:r>
        <w:rPr>
          <w:rFonts w:hint="eastAsia"/>
          <w:color w:val="000000" w:themeColor="text1"/>
          <w14:textFill>
            <w14:solidFill>
              <w14:schemeClr w14:val="tx1"/>
            </w14:solidFill>
          </w14:textFill>
        </w:rPr>
        <w:t>、PM</w:t>
      </w:r>
      <w:r>
        <w:rPr>
          <w:rFonts w:hint="eastAsia"/>
          <w:color w:val="000000" w:themeColor="text1"/>
          <w:vertAlign w:val="subscript"/>
          <w14:textFill>
            <w14:solidFill>
              <w14:schemeClr w14:val="tx1"/>
            </w14:solidFill>
          </w14:textFill>
        </w:rPr>
        <w:t>2.5</w:t>
      </w:r>
      <w:r>
        <w:rPr>
          <w:rFonts w:hint="eastAsia"/>
          <w:color w:val="000000" w:themeColor="text1"/>
          <w14:textFill>
            <w14:solidFill>
              <w14:schemeClr w14:val="tx1"/>
            </w14:solidFill>
          </w14:textFill>
        </w:rPr>
        <w:t>分别为0.092t/a、0.023</w:t>
      </w:r>
      <w:r>
        <w:rPr>
          <w:color w:val="000000" w:themeColor="text1"/>
          <w14:textFill>
            <w14:solidFill>
              <w14:schemeClr w14:val="tx1"/>
            </w14:solidFill>
          </w14:textFill>
        </w:rPr>
        <w:t>t</w:t>
      </w:r>
      <w:r>
        <w:rPr>
          <w:rFonts w:hint="eastAsia"/>
          <w:color w:val="000000" w:themeColor="text1"/>
          <w14:textFill>
            <w14:solidFill>
              <w14:schemeClr w14:val="tx1"/>
            </w14:solidFill>
          </w14:textFill>
        </w:rPr>
        <w:t>/a、0.006</w:t>
      </w:r>
      <w:r>
        <w:rPr>
          <w:color w:val="000000" w:themeColor="text1"/>
          <w14:textFill>
            <w14:solidFill>
              <w14:schemeClr w14:val="tx1"/>
            </w14:solidFill>
          </w14:textFill>
        </w:rPr>
        <w:t>t</w:t>
      </w:r>
      <w:r>
        <w:rPr>
          <w:rFonts w:hint="eastAsia"/>
          <w:color w:val="000000" w:themeColor="text1"/>
          <w14:textFill>
            <w14:solidFill>
              <w14:schemeClr w14:val="tx1"/>
            </w14:solidFill>
          </w14:textFill>
        </w:rPr>
        <w:t>/a。港内运输集卡汽车尾气污染物SO</w:t>
      </w:r>
      <w:r>
        <w:rPr>
          <w:rFonts w:hint="eastAsia"/>
          <w:color w:val="000000" w:themeColor="text1"/>
          <w:vertAlign w:val="subscript"/>
          <w14:textFill>
            <w14:solidFill>
              <w14:schemeClr w14:val="tx1"/>
            </w14:solidFill>
          </w14:textFill>
        </w:rPr>
        <w:t>2</w:t>
      </w:r>
      <w:r>
        <w:rPr>
          <w:rFonts w:hint="eastAsia"/>
          <w:color w:val="000000" w:themeColor="text1"/>
          <w14:textFill>
            <w14:solidFill>
              <w14:schemeClr w14:val="tx1"/>
            </w14:solidFill>
          </w14:textFill>
        </w:rPr>
        <w:t>、CO、NO</w:t>
      </w:r>
      <w:r>
        <w:rPr>
          <w:rFonts w:hint="eastAsia"/>
          <w:color w:val="000000" w:themeColor="text1"/>
          <w:vertAlign w:val="subscript"/>
          <w14:textFill>
            <w14:solidFill>
              <w14:schemeClr w14:val="tx1"/>
            </w14:solidFill>
          </w14:textFill>
        </w:rPr>
        <w:t>x</w:t>
      </w:r>
      <w:r>
        <w:rPr>
          <w:rFonts w:hint="eastAsia"/>
          <w:color w:val="000000" w:themeColor="text1"/>
          <w14:textFill>
            <w14:solidFill>
              <w14:schemeClr w14:val="tx1"/>
            </w14:solidFill>
          </w14:textFill>
        </w:rPr>
        <w:t>，在车辆运行时速按20km/h</w:t>
      </w:r>
      <w:r>
        <w:rPr>
          <w:color w:val="000000" w:themeColor="text1"/>
          <w14:textFill>
            <w14:solidFill>
              <w14:schemeClr w14:val="tx1"/>
            </w14:solidFill>
          </w14:textFill>
        </w:rPr>
        <w:t>工况下排放的废气中污染物对外界环境的影响</w:t>
      </w:r>
      <w:r>
        <w:rPr>
          <w:rFonts w:hint="eastAsia"/>
          <w:color w:val="000000" w:themeColor="text1"/>
          <w14:textFill>
            <w14:solidFill>
              <w14:schemeClr w14:val="tx1"/>
            </w14:solidFill>
          </w14:textFill>
        </w:rPr>
        <w:t>小。</w:t>
      </w:r>
    </w:p>
    <w:p>
      <w:pPr>
        <w:pStyle w:val="283"/>
        <w:rPr>
          <w:color w:val="000000" w:themeColor="text1"/>
          <w14:textFill>
            <w14:solidFill>
              <w14:schemeClr w14:val="tx1"/>
            </w14:solidFill>
          </w14:textFill>
        </w:rPr>
      </w:pPr>
      <w:r>
        <w:rPr>
          <w:rFonts w:hint="eastAsia"/>
          <w:color w:val="000000" w:themeColor="text1"/>
          <w14:textFill>
            <w14:solidFill>
              <w14:schemeClr w14:val="tx1"/>
            </w14:solidFill>
          </w14:textFill>
        </w:rPr>
        <w:t>项目为9号10号泊位扩建工程，较现有码头，扩建22号堆场装卸工艺不变，新增2台双小车岸桥，扩建工程新增1条集装箱堆场，配备2台双悬臂轨道吊，水平运输新增14台IGV小车，均采用电能，环境空气影响较现状9号10号泊位工程基本不变。</w:t>
      </w:r>
    </w:p>
    <w:p>
      <w:pPr>
        <w:pStyle w:val="283"/>
        <w:rPr>
          <w:color w:val="000000" w:themeColor="text1"/>
          <w14:textFill>
            <w14:solidFill>
              <w14:schemeClr w14:val="tx1"/>
            </w14:solidFill>
          </w14:textFill>
        </w:rPr>
      </w:pPr>
      <w:r>
        <w:rPr>
          <w:rFonts w:hint="eastAsia"/>
          <w:color w:val="000000" w:themeColor="text1"/>
          <w14:textFill>
            <w14:solidFill>
              <w14:schemeClr w14:val="tx1"/>
            </w14:solidFill>
          </w14:textFill>
        </w:rPr>
        <w:t>根据《钦州港大榄坪港区大榄坪南作业区9号10号泊位工程竣工环境保护验收调查报告》，项目竣工环保验收期间委托广西交通环境监测中心站对9号10号泊位厂界及环境敏感点进行监测，</w:t>
      </w:r>
      <w:r>
        <w:rPr>
          <w:color w:val="000000" w:themeColor="text1"/>
          <w14:textFill>
            <w14:solidFill>
              <w14:schemeClr w14:val="tx1"/>
            </w14:solidFill>
          </w14:textFill>
        </w:rPr>
        <w:t>厂界各监测因子的24小时监测值评价指数均小于1，满足《大气污染物综合排放标准》（GB16297-1996）无组织排放限值要求；调查范围内敏感点各监测因子的24小时监测值评价指数均小于1，满足《环境空气质量标准》（GB3095-2012）中二级标准。</w:t>
      </w:r>
    </w:p>
    <w:p>
      <w:pPr>
        <w:pStyle w:val="283"/>
        <w:rPr>
          <w:color w:val="000000" w:themeColor="text1"/>
          <w14:textFill>
            <w14:solidFill>
              <w14:schemeClr w14:val="tx1"/>
            </w14:solidFill>
          </w14:textFill>
        </w:rPr>
      </w:pPr>
      <w:r>
        <w:rPr>
          <w:rFonts w:hint="eastAsia"/>
          <w:color w:val="000000" w:themeColor="text1"/>
          <w14:textFill>
            <w14:solidFill>
              <w14:schemeClr w14:val="tx1"/>
            </w14:solidFill>
          </w14:textFill>
        </w:rPr>
        <w:t>综上，项目道路扬尘和运输车辆尾气均能达到</w:t>
      </w:r>
      <w:r>
        <w:rPr>
          <w:color w:val="000000" w:themeColor="text1"/>
          <w14:textFill>
            <w14:solidFill>
              <w14:schemeClr w14:val="tx1"/>
            </w14:solidFill>
          </w14:textFill>
        </w:rPr>
        <w:t>《大气污染物综合排放标准》（GB20426-2006）排放限值要求，对周边环境影响不大。</w:t>
      </w:r>
    </w:p>
    <w:p>
      <w:pPr>
        <w:pStyle w:val="283"/>
        <w:rPr>
          <w:color w:val="000000" w:themeColor="text1"/>
          <w14:textFill>
            <w14:solidFill>
              <w14:schemeClr w14:val="tx1"/>
            </w14:solidFill>
          </w14:textFill>
        </w:rPr>
      </w:pPr>
      <w:r>
        <w:rPr>
          <w:rFonts w:hint="eastAsia"/>
          <w:color w:val="000000" w:themeColor="text1"/>
          <w14:textFill>
            <w14:solidFill>
              <w14:schemeClr w14:val="tx1"/>
            </w14:solidFill>
          </w14:textFill>
        </w:rPr>
        <w:t>2、</w:t>
      </w:r>
      <w:r>
        <w:rPr>
          <w:color w:val="000000" w:themeColor="text1"/>
          <w14:textFill>
            <w14:solidFill>
              <w14:schemeClr w14:val="tx1"/>
            </w14:solidFill>
          </w14:textFill>
        </w:rPr>
        <w:t>船舶废气</w:t>
      </w:r>
    </w:p>
    <w:p>
      <w:pPr>
        <w:pStyle w:val="283"/>
        <w:rPr>
          <w:color w:val="000000" w:themeColor="text1"/>
          <w14:textFill>
            <w14:solidFill>
              <w14:schemeClr w14:val="tx1"/>
            </w14:solidFill>
          </w14:textFill>
        </w:rPr>
      </w:pPr>
      <w:r>
        <w:rPr>
          <w:color w:val="000000" w:themeColor="text1"/>
          <w14:textFill>
            <w14:solidFill>
              <w14:schemeClr w14:val="tx1"/>
            </w14:solidFill>
          </w14:textFill>
        </w:rPr>
        <w:t>根据国家交通部发布的《船舶大气污染物排放控制区实施方案》，钦州港海域属于排放控制区范围，方案要求在排放控制区内的航行、停泊、作业的船舶燃油含硫量及船舶大气污染物中氮氧化物排放限值均提出要求，停靠船舶应使用岸电替代燃油。</w:t>
      </w:r>
    </w:p>
    <w:p>
      <w:pPr>
        <w:pStyle w:val="283"/>
        <w:rPr>
          <w:color w:val="000000" w:themeColor="text1"/>
          <w14:textFill>
            <w14:solidFill>
              <w14:schemeClr w14:val="tx1"/>
            </w14:solidFill>
          </w14:textFill>
        </w:rPr>
      </w:pPr>
      <w:r>
        <w:rPr>
          <w:color w:val="000000" w:themeColor="text1"/>
          <w14:textFill>
            <w14:solidFill>
              <w14:schemeClr w14:val="tx1"/>
            </w14:solidFill>
          </w14:textFill>
        </w:rPr>
        <w:t>本项目设置岸电接入设施，停靠船舶可使用岸电替代燃油，停靠时无船舶大气污染物排放。</w:t>
      </w:r>
    </w:p>
    <w:bookmarkEnd w:id="189"/>
    <w:bookmarkEnd w:id="190"/>
    <w:bookmarkEnd w:id="191"/>
    <w:bookmarkEnd w:id="192"/>
    <w:p>
      <w:pPr>
        <w:pStyle w:val="4"/>
        <w:rPr>
          <w:color w:val="000000" w:themeColor="text1"/>
          <w14:textFill>
            <w14:solidFill>
              <w14:schemeClr w14:val="tx1"/>
            </w14:solidFill>
          </w14:textFill>
        </w:rPr>
      </w:pPr>
      <w:bookmarkStart w:id="208" w:name="_Toc247517483"/>
      <w:bookmarkStart w:id="209" w:name="_Toc232154500"/>
      <w:bookmarkStart w:id="210" w:name="_Toc247517325"/>
      <w:bookmarkStart w:id="211" w:name="_Toc247517556"/>
      <w:bookmarkStart w:id="212" w:name="_Toc317003543"/>
      <w:bookmarkStart w:id="213" w:name="_Toc170918612"/>
      <w:bookmarkStart w:id="214" w:name="_Toc317003263"/>
      <w:r>
        <w:rPr>
          <w:color w:val="000000" w:themeColor="text1"/>
          <w14:textFill>
            <w14:solidFill>
              <w14:schemeClr w14:val="tx1"/>
            </w14:solidFill>
          </w14:textFill>
        </w:rPr>
        <w:t>声环境影响预测与分析</w:t>
      </w:r>
      <w:bookmarkEnd w:id="208"/>
      <w:bookmarkEnd w:id="209"/>
      <w:bookmarkEnd w:id="210"/>
      <w:bookmarkEnd w:id="211"/>
      <w:bookmarkEnd w:id="212"/>
      <w:bookmarkEnd w:id="213"/>
      <w:bookmarkEnd w:id="214"/>
    </w:p>
    <w:p>
      <w:pPr>
        <w:pStyle w:val="5"/>
        <w:rPr>
          <w:color w:val="000000" w:themeColor="text1"/>
          <w14:textFill>
            <w14:solidFill>
              <w14:schemeClr w14:val="tx1"/>
            </w14:solidFill>
          </w14:textFill>
        </w:rPr>
      </w:pPr>
      <w:bookmarkStart w:id="215" w:name="_Toc232154501"/>
      <w:bookmarkStart w:id="216" w:name="_Toc247517326"/>
      <w:r>
        <w:rPr>
          <w:color w:val="000000" w:themeColor="text1"/>
          <w14:textFill>
            <w14:solidFill>
              <w14:schemeClr w14:val="tx1"/>
            </w14:solidFill>
          </w14:textFill>
        </w:rPr>
        <w:t>施工期声环境影响预测评价</w:t>
      </w:r>
      <w:bookmarkEnd w:id="215"/>
      <w:bookmarkEnd w:id="216"/>
    </w:p>
    <w:p>
      <w:pPr>
        <w:pStyle w:val="1075"/>
        <w:ind w:firstLine="439"/>
        <w:rPr>
          <w:b/>
          <w:color w:val="000000" w:themeColor="text1"/>
          <w14:textFill>
            <w14:solidFill>
              <w14:schemeClr w14:val="tx1"/>
            </w14:solidFill>
          </w14:textFill>
        </w:rPr>
      </w:pPr>
      <w:bookmarkStart w:id="217" w:name="_Toc232154502"/>
      <w:bookmarkStart w:id="218" w:name="_Toc232338166"/>
      <w:bookmarkStart w:id="219" w:name="_Toc232336672"/>
      <w:bookmarkStart w:id="220" w:name="_Toc232337904"/>
      <w:r>
        <w:rPr>
          <w:b/>
          <w:color w:val="000000" w:themeColor="text1"/>
          <w14:textFill>
            <w14:solidFill>
              <w14:schemeClr w14:val="tx1"/>
            </w14:solidFill>
          </w14:textFill>
        </w:rPr>
        <w:t>1、炸礁噪声</w:t>
      </w:r>
    </w:p>
    <w:p>
      <w:pPr>
        <w:pStyle w:val="1075"/>
        <w:ind w:firstLine="437"/>
        <w:rPr>
          <w:color w:val="000000" w:themeColor="text1"/>
          <w14:textFill>
            <w14:solidFill>
              <w14:schemeClr w14:val="tx1"/>
            </w14:solidFill>
          </w14:textFill>
        </w:rPr>
      </w:pPr>
      <w:r>
        <w:rPr>
          <w:color w:val="000000" w:themeColor="text1"/>
          <w14:textFill>
            <w14:solidFill>
              <w14:schemeClr w14:val="tx1"/>
            </w14:solidFill>
          </w14:textFill>
        </w:rPr>
        <w:t>炸礁噪声属于瞬时噪声，根据</w:t>
      </w:r>
      <w:r>
        <w:rPr>
          <w:color w:val="000000" w:themeColor="text1"/>
          <w:u w:val="single"/>
          <w14:textFill>
            <w14:solidFill>
              <w14:schemeClr w14:val="tx1"/>
            </w14:solidFill>
          </w14:textFill>
        </w:rPr>
        <w:t>《爆破安全规程》（GB6722-201</w:t>
      </w:r>
      <w:r>
        <w:rPr>
          <w:rFonts w:hint="eastAsia"/>
          <w:color w:val="000000" w:themeColor="text1"/>
          <w:u w:val="single"/>
          <w14:textFill>
            <w14:solidFill>
              <w14:schemeClr w14:val="tx1"/>
            </w14:solidFill>
          </w14:textFill>
        </w:rPr>
        <w:t>4</w:t>
      </w:r>
      <w:r>
        <w:rPr>
          <w:color w:val="000000" w:themeColor="text1"/>
          <w:u w:val="single"/>
          <w14:textFill>
            <w14:solidFill>
              <w14:schemeClr w14:val="tx1"/>
            </w14:solidFill>
          </w14:textFill>
        </w:rPr>
        <w:t>）</w:t>
      </w:r>
      <w:r>
        <w:rPr>
          <w:color w:val="000000" w:themeColor="text1"/>
          <w14:textFill>
            <w14:solidFill>
              <w14:schemeClr w14:val="tx1"/>
            </w14:solidFill>
          </w14:textFill>
        </w:rPr>
        <w:t>，爆破超压对非爆炸作业人员产生不良感觉时对应的爆破噪声声级为120dB（A）。水下炸礁噪声源随着不同的岩层厚度，水下作业深度的变化有着较大的差别，一般均小于80dB（A）。水域两侧都为开阔的水域，</w:t>
      </w:r>
      <w:r>
        <w:rPr>
          <w:rFonts w:hint="eastAsia"/>
          <w:color w:val="000000" w:themeColor="text1"/>
          <w14:textFill>
            <w14:solidFill>
              <w14:schemeClr w14:val="tx1"/>
            </w14:solidFill>
          </w14:textFill>
        </w:rPr>
        <w:t>没</w:t>
      </w:r>
      <w:r>
        <w:rPr>
          <w:color w:val="000000" w:themeColor="text1"/>
          <w14:textFill>
            <w14:solidFill>
              <w14:schemeClr w14:val="tx1"/>
            </w14:solidFill>
          </w14:textFill>
        </w:rPr>
        <w:t>有敏感点目标分布，炸礁区与港区陆域距离较远，不会对陆域声环境产生污染影响。而且随着施工的结束，施工噪声的污染也随之消失。</w:t>
      </w:r>
    </w:p>
    <w:p>
      <w:pPr>
        <w:pStyle w:val="1075"/>
        <w:ind w:firstLine="439"/>
        <w:rPr>
          <w:b/>
          <w:color w:val="000000" w:themeColor="text1"/>
          <w14:textFill>
            <w14:solidFill>
              <w14:schemeClr w14:val="tx1"/>
            </w14:solidFill>
          </w14:textFill>
        </w:rPr>
      </w:pPr>
      <w:r>
        <w:rPr>
          <w:b/>
          <w:color w:val="000000" w:themeColor="text1"/>
          <w14:textFill>
            <w14:solidFill>
              <w14:schemeClr w14:val="tx1"/>
            </w14:solidFill>
          </w14:textFill>
        </w:rPr>
        <w:t>2、施工机械噪声影响预测</w:t>
      </w:r>
      <w:bookmarkEnd w:id="217"/>
      <w:bookmarkEnd w:id="218"/>
      <w:bookmarkEnd w:id="219"/>
      <w:bookmarkEnd w:id="220"/>
    </w:p>
    <w:p>
      <w:pPr>
        <w:pStyle w:val="1075"/>
        <w:ind w:firstLine="437"/>
        <w:rPr>
          <w:color w:val="000000" w:themeColor="text1"/>
          <w14:textFill>
            <w14:solidFill>
              <w14:schemeClr w14:val="tx1"/>
            </w14:solidFill>
          </w14:textFill>
        </w:rPr>
      </w:pPr>
      <w:r>
        <w:rPr>
          <w:color w:val="000000" w:themeColor="text1"/>
          <w14:textFill>
            <w14:solidFill>
              <w14:schemeClr w14:val="tx1"/>
            </w14:solidFill>
          </w14:textFill>
        </w:rPr>
        <w:t>施工期间各施工机械噪声可近似作为点声源处理，根据点声源噪声传播衰减模式，可估算施工期间离噪声声源不同距离处的噪声值，从而可就施工噪声对敏感点的影响作出分析评价。预测模式如下：</w:t>
      </w:r>
    </w:p>
    <w:p>
      <w:pPr>
        <w:pStyle w:val="283"/>
        <w:rPr>
          <w:color w:val="000000" w:themeColor="text1"/>
          <w14:textFill>
            <w14:solidFill>
              <w14:schemeClr w14:val="tx1"/>
            </w14:solidFill>
          </w14:textFill>
        </w:rPr>
      </w:pPr>
      <w:r>
        <w:rPr>
          <w:color w:val="000000" w:themeColor="text1"/>
          <w14:textFill>
            <w14:solidFill>
              <w14:schemeClr w14:val="tx1"/>
            </w14:solidFill>
          </w14:textFill>
        </w:rPr>
        <w:object>
          <v:shape id="_x0000_i1053" o:spt="75" type="#_x0000_t75" style="height:35.3pt;width:123.6pt;" o:ole="t" filled="f" o:preferrelative="t" stroked="f" coordsize="21600,21600">
            <v:path/>
            <v:fill on="f" focussize="0,0"/>
            <v:stroke on="f" joinstyle="miter"/>
            <v:imagedata r:id="rId173" o:title=""/>
            <o:lock v:ext="edit" aspectratio="t"/>
            <w10:wrap type="none"/>
            <w10:anchorlock/>
          </v:shape>
          <o:OLEObject Type="Embed" ProgID="Equation.3" ShapeID="_x0000_i1053" DrawAspect="Content" ObjectID="_1468075753" r:id="rId172">
            <o:LockedField>false</o:LockedField>
          </o:OLEObject>
        </w:object>
      </w:r>
    </w:p>
    <w:p>
      <w:pPr>
        <w:pStyle w:val="283"/>
        <w:rPr>
          <w:color w:val="000000" w:themeColor="text1"/>
          <w14:textFill>
            <w14:solidFill>
              <w14:schemeClr w14:val="tx1"/>
            </w14:solidFill>
          </w14:textFill>
        </w:rPr>
      </w:pPr>
      <w:r>
        <w:rPr>
          <w:color w:val="000000" w:themeColor="text1"/>
          <w14:textFill>
            <w14:solidFill>
              <w14:schemeClr w14:val="tx1"/>
            </w14:solidFill>
          </w14:textFill>
        </w:rPr>
        <w:t>式中：</w:t>
      </w:r>
      <w:r>
        <w:rPr>
          <w:i/>
          <w:color w:val="000000" w:themeColor="text1"/>
          <w14:textFill>
            <w14:solidFill>
              <w14:schemeClr w14:val="tx1"/>
            </w14:solidFill>
          </w14:textFill>
        </w:rPr>
        <w:t>r</w:t>
      </w:r>
      <w:r>
        <w:rPr>
          <w:color w:val="000000" w:themeColor="text1"/>
          <w:vertAlign w:val="subscript"/>
          <w14:textFill>
            <w14:solidFill>
              <w14:schemeClr w14:val="tx1"/>
            </w14:solidFill>
          </w14:textFill>
        </w:rPr>
        <w:t>1</w:t>
      </w:r>
      <w:r>
        <w:rPr>
          <w:color w:val="000000" w:themeColor="text1"/>
          <w14:textFill>
            <w14:solidFill>
              <w14:schemeClr w14:val="tx1"/>
            </w14:solidFill>
          </w14:textFill>
        </w:rPr>
        <w:t>、</w:t>
      </w:r>
      <w:r>
        <w:rPr>
          <w:i/>
          <w:color w:val="000000" w:themeColor="text1"/>
          <w14:textFill>
            <w14:solidFill>
              <w14:schemeClr w14:val="tx1"/>
            </w14:solidFill>
          </w14:textFill>
        </w:rPr>
        <w:t>r</w:t>
      </w:r>
      <w:r>
        <w:rPr>
          <w:color w:val="000000" w:themeColor="text1"/>
          <w:vertAlign w:val="subscript"/>
          <w14:textFill>
            <w14:solidFill>
              <w14:schemeClr w14:val="tx1"/>
            </w14:solidFill>
          </w14:textFill>
        </w:rPr>
        <w:t>2</w:t>
      </w:r>
      <w:r>
        <w:rPr>
          <w:color w:val="000000" w:themeColor="text1"/>
          <w14:textFill>
            <w14:solidFill>
              <w14:schemeClr w14:val="tx1"/>
            </w14:solidFill>
          </w14:textFill>
        </w:rPr>
        <w:t>——距声源的距离，m；</w:t>
      </w:r>
    </w:p>
    <w:p>
      <w:pPr>
        <w:pStyle w:val="283"/>
        <w:rPr>
          <w:color w:val="000000" w:themeColor="text1"/>
          <w14:textFill>
            <w14:solidFill>
              <w14:schemeClr w14:val="tx1"/>
            </w14:solidFill>
          </w14:textFill>
        </w:rPr>
      </w:pPr>
      <w:r>
        <w:rPr>
          <w:i/>
          <w:color w:val="000000" w:themeColor="text1"/>
          <w14:textFill>
            <w14:solidFill>
              <w14:schemeClr w14:val="tx1"/>
            </w14:solidFill>
          </w14:textFill>
        </w:rPr>
        <w:t>L</w:t>
      </w:r>
      <w:r>
        <w:rPr>
          <w:color w:val="000000" w:themeColor="text1"/>
          <w:vertAlign w:val="subscript"/>
          <w14:textFill>
            <w14:solidFill>
              <w14:schemeClr w14:val="tx1"/>
            </w14:solidFill>
          </w14:textFill>
        </w:rPr>
        <w:t>1</w:t>
      </w:r>
      <w:r>
        <w:rPr>
          <w:color w:val="000000" w:themeColor="text1"/>
          <w14:textFill>
            <w14:solidFill>
              <w14:schemeClr w14:val="tx1"/>
            </w14:solidFill>
          </w14:textFill>
        </w:rPr>
        <w:t>、</w:t>
      </w:r>
      <w:r>
        <w:rPr>
          <w:i/>
          <w:color w:val="000000" w:themeColor="text1"/>
          <w14:textFill>
            <w14:solidFill>
              <w14:schemeClr w14:val="tx1"/>
            </w14:solidFill>
          </w14:textFill>
        </w:rPr>
        <w:t>L</w:t>
      </w:r>
      <w:r>
        <w:rPr>
          <w:color w:val="000000" w:themeColor="text1"/>
          <w:vertAlign w:val="subscript"/>
          <w14:textFill>
            <w14:solidFill>
              <w14:schemeClr w14:val="tx1"/>
            </w14:solidFill>
          </w14:textFill>
        </w:rPr>
        <w:t>2</w:t>
      </w:r>
      <w:r>
        <w:rPr>
          <w:color w:val="000000" w:themeColor="text1"/>
          <w14:textFill>
            <w14:solidFill>
              <w14:schemeClr w14:val="tx1"/>
            </w14:solidFill>
          </w14:textFill>
        </w:rPr>
        <w:t>——</w:t>
      </w:r>
      <w:r>
        <w:rPr>
          <w:i/>
          <w:color w:val="000000" w:themeColor="text1"/>
          <w14:textFill>
            <w14:solidFill>
              <w14:schemeClr w14:val="tx1"/>
            </w14:solidFill>
          </w14:textFill>
        </w:rPr>
        <w:t>L</w:t>
      </w:r>
      <w:r>
        <w:rPr>
          <w:color w:val="000000" w:themeColor="text1"/>
          <w:vertAlign w:val="subscript"/>
          <w14:textFill>
            <w14:solidFill>
              <w14:schemeClr w14:val="tx1"/>
            </w14:solidFill>
          </w14:textFill>
        </w:rPr>
        <w:t>1</w:t>
      </w:r>
      <w:r>
        <w:rPr>
          <w:color w:val="000000" w:themeColor="text1"/>
          <w14:textFill>
            <w14:solidFill>
              <w14:schemeClr w14:val="tx1"/>
            </w14:solidFill>
          </w14:textFill>
        </w:rPr>
        <w:t>、</w:t>
      </w:r>
      <w:r>
        <w:rPr>
          <w:i/>
          <w:color w:val="000000" w:themeColor="text1"/>
          <w14:textFill>
            <w14:solidFill>
              <w14:schemeClr w14:val="tx1"/>
            </w14:solidFill>
          </w14:textFill>
        </w:rPr>
        <w:t>L</w:t>
      </w:r>
      <w:r>
        <w:rPr>
          <w:color w:val="000000" w:themeColor="text1"/>
          <w:vertAlign w:val="subscript"/>
          <w14:textFill>
            <w14:solidFill>
              <w14:schemeClr w14:val="tx1"/>
            </w14:solidFill>
          </w14:textFill>
        </w:rPr>
        <w:t>2</w:t>
      </w:r>
      <w:r>
        <w:rPr>
          <w:color w:val="000000" w:themeColor="text1"/>
          <w14:textFill>
            <w14:solidFill>
              <w14:schemeClr w14:val="tx1"/>
            </w14:solidFill>
          </w14:textFill>
        </w:rPr>
        <w:t>处的噪声值，dB（A）</w:t>
      </w:r>
    </w:p>
    <w:p>
      <w:pPr>
        <w:pStyle w:val="283"/>
        <w:rPr>
          <w:color w:val="000000" w:themeColor="text1"/>
          <w14:textFill>
            <w14:solidFill>
              <w14:schemeClr w14:val="tx1"/>
            </w14:solidFill>
          </w14:textFill>
        </w:rPr>
      </w:pPr>
      <w:r>
        <w:rPr>
          <w:rFonts w:hint="eastAsia" w:ascii="宋体" w:hAnsi="宋体" w:cs="宋体"/>
          <w:i/>
          <w:color w:val="000000" w:themeColor="text1"/>
          <w14:textFill>
            <w14:solidFill>
              <w14:schemeClr w14:val="tx1"/>
            </w14:solidFill>
          </w14:textFill>
        </w:rPr>
        <w:t>△</w:t>
      </w:r>
      <w:r>
        <w:rPr>
          <w:i/>
          <w:color w:val="000000" w:themeColor="text1"/>
          <w14:textFill>
            <w14:solidFill>
              <w14:schemeClr w14:val="tx1"/>
            </w14:solidFill>
          </w14:textFill>
        </w:rPr>
        <w:t>L</w:t>
      </w:r>
      <w:r>
        <w:rPr>
          <w:color w:val="000000" w:themeColor="text1"/>
          <w14:textFill>
            <w14:solidFill>
              <w14:schemeClr w14:val="tx1"/>
            </w14:solidFill>
          </w14:textFill>
        </w:rPr>
        <w:t>——房屋、树木等对噪声影响值，dB（A）。</w:t>
      </w:r>
    </w:p>
    <w:p>
      <w:pPr>
        <w:pStyle w:val="1075"/>
        <w:ind w:firstLine="437"/>
        <w:rPr>
          <w:color w:val="000000" w:themeColor="text1"/>
          <w:u w:val="single"/>
          <w14:textFill>
            <w14:solidFill>
              <w14:schemeClr w14:val="tx1"/>
            </w14:solidFill>
          </w14:textFill>
        </w:rPr>
      </w:pPr>
      <w:r>
        <w:rPr>
          <w:color w:val="000000" w:themeColor="text1"/>
          <w14:textFill>
            <w14:solidFill>
              <w14:schemeClr w14:val="tx1"/>
            </w14:solidFill>
          </w14:textFill>
        </w:rPr>
        <w:t>根据工程分析章节和类比调查得到的参考声级，</w:t>
      </w:r>
      <w:r>
        <w:rPr>
          <w:rFonts w:hint="eastAsia"/>
          <w:color w:val="000000" w:themeColor="text1"/>
          <w14:textFill>
            <w14:solidFill>
              <w14:schemeClr w14:val="tx1"/>
            </w14:solidFill>
          </w14:textFill>
        </w:rPr>
        <w:t>距施工机械不同距离处的噪声值预测结果</w:t>
      </w:r>
      <w:r>
        <w:rPr>
          <w:color w:val="000000" w:themeColor="text1"/>
          <w14:textFill>
            <w14:solidFill>
              <w14:schemeClr w14:val="tx1"/>
            </w14:solidFill>
          </w14:textFill>
        </w:rPr>
        <w:t>，见表4.</w:t>
      </w:r>
      <w:r>
        <w:rPr>
          <w:rFonts w:hint="eastAsia"/>
          <w:color w:val="000000" w:themeColor="text1"/>
          <w14:textFill>
            <w14:solidFill>
              <w14:schemeClr w14:val="tx1"/>
            </w14:solidFill>
          </w14:textFill>
        </w:rPr>
        <w:t>4</w:t>
      </w:r>
      <w:r>
        <w:rPr>
          <w:color w:val="000000" w:themeColor="text1"/>
          <w14:textFill>
            <w14:solidFill>
              <w14:schemeClr w14:val="tx1"/>
            </w14:solidFill>
          </w14:textFill>
        </w:rPr>
        <w:t>-1。根据表4.</w:t>
      </w:r>
      <w:r>
        <w:rPr>
          <w:rFonts w:hint="eastAsia"/>
          <w:color w:val="000000" w:themeColor="text1"/>
          <w14:textFill>
            <w14:solidFill>
              <w14:schemeClr w14:val="tx1"/>
            </w14:solidFill>
          </w14:textFill>
        </w:rPr>
        <w:t>4</w:t>
      </w:r>
      <w:r>
        <w:rPr>
          <w:color w:val="000000" w:themeColor="text1"/>
          <w14:textFill>
            <w14:solidFill>
              <w14:schemeClr w14:val="tx1"/>
            </w14:solidFill>
          </w14:textFill>
        </w:rPr>
        <w:t>-1预测结果，单机施工机械噪声值昼间辐射到大于</w:t>
      </w:r>
      <w:r>
        <w:rPr>
          <w:rFonts w:hint="eastAsia"/>
          <w:color w:val="000000" w:themeColor="text1"/>
          <w14:textFill>
            <w14:solidFill>
              <w14:schemeClr w14:val="tx1"/>
            </w14:solidFill>
          </w14:textFill>
        </w:rPr>
        <w:t>50</w:t>
      </w:r>
      <w:r>
        <w:rPr>
          <w:color w:val="000000" w:themeColor="text1"/>
          <w14:textFill>
            <w14:solidFill>
              <w14:schemeClr w14:val="tx1"/>
            </w14:solidFill>
          </w14:textFill>
        </w:rPr>
        <w:t>m距离时，施工噪声预测值可满足</w:t>
      </w:r>
      <w:bookmarkStart w:id="221" w:name="_Hlk69890313"/>
      <w:r>
        <w:rPr>
          <w:snapToGrid w:val="0"/>
          <w:color w:val="000000" w:themeColor="text1"/>
          <w14:textFill>
            <w14:solidFill>
              <w14:schemeClr w14:val="tx1"/>
            </w14:solidFill>
          </w14:textFill>
        </w:rPr>
        <w:t>《建筑施工场界环境噪声排放标准》</w:t>
      </w:r>
      <w:bookmarkEnd w:id="221"/>
      <w:r>
        <w:rPr>
          <w:snapToGrid w:val="0"/>
          <w:color w:val="000000" w:themeColor="text1"/>
          <w14:textFill>
            <w14:solidFill>
              <w14:schemeClr w14:val="tx1"/>
            </w14:solidFill>
          </w14:textFill>
        </w:rPr>
        <w:t>（GB12523-2011）</w:t>
      </w:r>
      <w:r>
        <w:rPr>
          <w:color w:val="000000" w:themeColor="text1"/>
          <w14:textFill>
            <w14:solidFill>
              <w14:schemeClr w14:val="tx1"/>
            </w14:solidFill>
          </w14:textFill>
        </w:rPr>
        <w:t>标准要求，施工机械叠加噪声值昼间辐射到大于</w:t>
      </w:r>
      <w:r>
        <w:rPr>
          <w:rFonts w:hint="eastAsia"/>
          <w:color w:val="000000" w:themeColor="text1"/>
          <w14:textFill>
            <w14:solidFill>
              <w14:schemeClr w14:val="tx1"/>
            </w14:solidFill>
          </w14:textFill>
        </w:rPr>
        <w:t>105m处达标</w:t>
      </w:r>
      <w:r>
        <w:rPr>
          <w:color w:val="000000" w:themeColor="text1"/>
          <w14:textFill>
            <w14:solidFill>
              <w14:schemeClr w14:val="tx1"/>
            </w14:solidFill>
          </w14:textFill>
        </w:rPr>
        <w:t>；对于夜间作业，单机施工机械噪声值</w:t>
      </w:r>
      <w:r>
        <w:rPr>
          <w:rFonts w:hint="eastAsia"/>
          <w:color w:val="000000" w:themeColor="text1"/>
          <w14:textFill>
            <w14:solidFill>
              <w14:schemeClr w14:val="tx1"/>
            </w14:solidFill>
          </w14:textFill>
        </w:rPr>
        <w:t>夜间</w:t>
      </w:r>
      <w:r>
        <w:rPr>
          <w:color w:val="000000" w:themeColor="text1"/>
          <w14:textFill>
            <w14:solidFill>
              <w14:schemeClr w14:val="tx1"/>
            </w14:solidFill>
          </w14:textFill>
        </w:rPr>
        <w:t>辐射到大于</w:t>
      </w:r>
      <w:r>
        <w:rPr>
          <w:rFonts w:hint="eastAsia"/>
          <w:color w:val="000000" w:themeColor="text1"/>
          <w14:textFill>
            <w14:solidFill>
              <w14:schemeClr w14:val="tx1"/>
            </w14:solidFill>
          </w14:textFill>
        </w:rPr>
        <w:t>280</w:t>
      </w:r>
      <w:r>
        <w:rPr>
          <w:color w:val="000000" w:themeColor="text1"/>
          <w14:textFill>
            <w14:solidFill>
              <w14:schemeClr w14:val="tx1"/>
            </w14:solidFill>
          </w14:textFill>
        </w:rPr>
        <w:t>m距离时，施工噪声预测值可满足</w:t>
      </w:r>
      <w:r>
        <w:rPr>
          <w:snapToGrid w:val="0"/>
          <w:color w:val="000000" w:themeColor="text1"/>
          <w14:textFill>
            <w14:solidFill>
              <w14:schemeClr w14:val="tx1"/>
            </w14:solidFill>
          </w14:textFill>
        </w:rPr>
        <w:t>《建筑施工场界环境噪声排放标准》（GB12523-2011）</w:t>
      </w:r>
      <w:r>
        <w:rPr>
          <w:color w:val="000000" w:themeColor="text1"/>
          <w14:textFill>
            <w14:solidFill>
              <w14:schemeClr w14:val="tx1"/>
            </w14:solidFill>
          </w14:textFill>
        </w:rPr>
        <w:t>标准要求，施工机械叠加噪声值</w:t>
      </w:r>
      <w:r>
        <w:rPr>
          <w:rFonts w:hint="eastAsia"/>
          <w:color w:val="000000" w:themeColor="text1"/>
          <w14:textFill>
            <w14:solidFill>
              <w14:schemeClr w14:val="tx1"/>
            </w14:solidFill>
          </w14:textFill>
        </w:rPr>
        <w:t>夜间超标</w:t>
      </w:r>
      <w:r>
        <w:rPr>
          <w:color w:val="000000" w:themeColor="text1"/>
          <w14:textFill>
            <w14:solidFill>
              <w14:schemeClr w14:val="tx1"/>
            </w14:solidFill>
          </w14:textFill>
        </w:rPr>
        <w:t>。</w:t>
      </w:r>
    </w:p>
    <w:p>
      <w:pPr>
        <w:pStyle w:val="384"/>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主要施工机械噪声级随距离衰减预测</w:t>
      </w:r>
      <w:r>
        <w:rPr>
          <w:rFonts w:hint="eastAsia" w:cs="Times New Roman"/>
          <w:color w:val="000000" w:themeColor="text1"/>
          <w14:textFill>
            <w14:solidFill>
              <w14:schemeClr w14:val="tx1"/>
            </w14:solidFill>
          </w14:textFill>
        </w:rPr>
        <w:t xml:space="preserve">  </w:t>
      </w:r>
      <w:r>
        <w:rPr>
          <w:rFonts w:hint="eastAsia" w:cs="Times New Roman"/>
          <w:b w:val="0"/>
          <w:color w:val="000000" w:themeColor="text1"/>
          <w14:textFill>
            <w14:solidFill>
              <w14:schemeClr w14:val="tx1"/>
            </w14:solidFill>
          </w14:textFill>
        </w:rPr>
        <w:t>单位：</w:t>
      </w:r>
      <w:r>
        <w:rPr>
          <w:rFonts w:cs="Times New Roman"/>
          <w:b w:val="0"/>
          <w:color w:val="000000" w:themeColor="text1"/>
          <w14:textFill>
            <w14:solidFill>
              <w14:schemeClr w14:val="tx1"/>
            </w14:solidFill>
          </w14:textFill>
        </w:rPr>
        <w:t>dB（A）</w:t>
      </w:r>
    </w:p>
    <w:tbl>
      <w:tblPr>
        <w:tblStyle w:val="89"/>
        <w:tblW w:w="8528" w:type="dxa"/>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1197"/>
        <w:gridCol w:w="1366"/>
        <w:gridCol w:w="1437"/>
        <w:gridCol w:w="566"/>
        <w:gridCol w:w="566"/>
        <w:gridCol w:w="566"/>
        <w:gridCol w:w="566"/>
        <w:gridCol w:w="566"/>
        <w:gridCol w:w="566"/>
        <w:gridCol w:w="566"/>
        <w:gridCol w:w="566"/>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blHeader/>
        </w:trPr>
        <w:tc>
          <w:tcPr>
            <w:tcW w:w="1197" w:type="dxa"/>
          </w:tcPr>
          <w:p>
            <w:pPr>
              <w:spacing w:line="240" w:lineRule="exact"/>
              <w:jc w:val="center"/>
              <w:rPr>
                <w:b/>
                <w:color w:val="000000" w:themeColor="text1"/>
                <w:sz w:val="21"/>
                <w:szCs w:val="21"/>
                <w14:textFill>
                  <w14:solidFill>
                    <w14:schemeClr w14:val="tx1"/>
                  </w14:solidFill>
                </w14:textFill>
              </w:rPr>
            </w:pPr>
            <w:r>
              <w:rPr>
                <w:b/>
                <w:color w:val="000000" w:themeColor="text1"/>
                <w:sz w:val="21"/>
                <w:szCs w:val="21"/>
                <w14:textFill>
                  <w14:solidFill>
                    <w14:schemeClr w14:val="tx1"/>
                  </w14:solidFill>
                </w14:textFill>
              </w:rPr>
              <w:t>机械类型</w:t>
            </w:r>
          </w:p>
        </w:tc>
        <w:tc>
          <w:tcPr>
            <w:tcW w:w="1366" w:type="dxa"/>
          </w:tcPr>
          <w:p>
            <w:pPr>
              <w:spacing w:line="240" w:lineRule="exact"/>
              <w:jc w:val="center"/>
              <w:rPr>
                <w:b/>
                <w:color w:val="000000" w:themeColor="text1"/>
                <w:sz w:val="21"/>
                <w:szCs w:val="21"/>
                <w14:textFill>
                  <w14:solidFill>
                    <w14:schemeClr w14:val="tx1"/>
                  </w14:solidFill>
                </w14:textFill>
              </w:rPr>
            </w:pPr>
            <w:r>
              <w:rPr>
                <w:b/>
                <w:color w:val="000000" w:themeColor="text1"/>
                <w:sz w:val="21"/>
                <w:szCs w:val="21"/>
                <w14:textFill>
                  <w14:solidFill>
                    <w14:schemeClr w14:val="tx1"/>
                  </w14:solidFill>
                </w14:textFill>
              </w:rPr>
              <w:t>测点距离（m）</w:t>
            </w:r>
          </w:p>
        </w:tc>
        <w:tc>
          <w:tcPr>
            <w:tcW w:w="1437" w:type="dxa"/>
          </w:tcPr>
          <w:p>
            <w:pPr>
              <w:spacing w:line="240" w:lineRule="exact"/>
              <w:jc w:val="center"/>
              <w:rPr>
                <w:b/>
                <w:color w:val="000000" w:themeColor="text1"/>
                <w:sz w:val="21"/>
                <w:szCs w:val="21"/>
                <w14:textFill>
                  <w14:solidFill>
                    <w14:schemeClr w14:val="tx1"/>
                  </w14:solidFill>
                </w14:textFill>
              </w:rPr>
            </w:pPr>
            <w:r>
              <w:rPr>
                <w:b/>
                <w:color w:val="000000" w:themeColor="text1"/>
                <w:sz w:val="21"/>
                <w:szCs w:val="21"/>
                <w14:textFill>
                  <w14:solidFill>
                    <w14:schemeClr w14:val="tx1"/>
                  </w14:solidFill>
                </w14:textFill>
              </w:rPr>
              <w:t>最大声级（dB）</w:t>
            </w:r>
          </w:p>
        </w:tc>
        <w:tc>
          <w:tcPr>
            <w:tcW w:w="566" w:type="dxa"/>
          </w:tcPr>
          <w:p>
            <w:pPr>
              <w:spacing w:line="240" w:lineRule="exact"/>
              <w:jc w:val="center"/>
              <w:rPr>
                <w:b/>
                <w:color w:val="000000" w:themeColor="text1"/>
                <w:sz w:val="21"/>
                <w:szCs w:val="21"/>
                <w14:textFill>
                  <w14:solidFill>
                    <w14:schemeClr w14:val="tx1"/>
                  </w14:solidFill>
                </w14:textFill>
              </w:rPr>
            </w:pPr>
            <w:r>
              <w:rPr>
                <w:rFonts w:hint="eastAsia"/>
                <w:b/>
                <w:color w:val="000000" w:themeColor="text1"/>
                <w:sz w:val="21"/>
                <w:szCs w:val="21"/>
                <w14:textFill>
                  <w14:solidFill>
                    <w14:schemeClr w14:val="tx1"/>
                  </w14:solidFill>
                </w14:textFill>
              </w:rPr>
              <w:t>10</w:t>
            </w:r>
          </w:p>
        </w:tc>
        <w:tc>
          <w:tcPr>
            <w:tcW w:w="566" w:type="dxa"/>
          </w:tcPr>
          <w:p>
            <w:pPr>
              <w:spacing w:line="240" w:lineRule="exact"/>
              <w:jc w:val="center"/>
              <w:rPr>
                <w:b/>
                <w:color w:val="000000" w:themeColor="text1"/>
                <w:sz w:val="21"/>
                <w:szCs w:val="21"/>
                <w14:textFill>
                  <w14:solidFill>
                    <w14:schemeClr w14:val="tx1"/>
                  </w14:solidFill>
                </w14:textFill>
              </w:rPr>
            </w:pPr>
            <w:r>
              <w:rPr>
                <w:rFonts w:hint="eastAsia"/>
                <w:b/>
                <w:color w:val="000000" w:themeColor="text1"/>
                <w:sz w:val="21"/>
                <w:szCs w:val="21"/>
                <w14:textFill>
                  <w14:solidFill>
                    <w14:schemeClr w14:val="tx1"/>
                  </w14:solidFill>
                </w14:textFill>
              </w:rPr>
              <w:t>20</w:t>
            </w:r>
          </w:p>
        </w:tc>
        <w:tc>
          <w:tcPr>
            <w:tcW w:w="566" w:type="dxa"/>
          </w:tcPr>
          <w:p>
            <w:pPr>
              <w:spacing w:line="240" w:lineRule="exact"/>
              <w:jc w:val="center"/>
              <w:rPr>
                <w:b/>
                <w:color w:val="000000" w:themeColor="text1"/>
                <w:sz w:val="21"/>
                <w:szCs w:val="21"/>
                <w14:textFill>
                  <w14:solidFill>
                    <w14:schemeClr w14:val="tx1"/>
                  </w14:solidFill>
                </w14:textFill>
              </w:rPr>
            </w:pPr>
            <w:r>
              <w:rPr>
                <w:rFonts w:hint="eastAsia"/>
                <w:b/>
                <w:color w:val="000000" w:themeColor="text1"/>
                <w:sz w:val="21"/>
                <w:szCs w:val="21"/>
                <w14:textFill>
                  <w14:solidFill>
                    <w14:schemeClr w14:val="tx1"/>
                  </w14:solidFill>
                </w14:textFill>
              </w:rPr>
              <w:t>50</w:t>
            </w:r>
          </w:p>
        </w:tc>
        <w:tc>
          <w:tcPr>
            <w:tcW w:w="566" w:type="dxa"/>
          </w:tcPr>
          <w:p>
            <w:pPr>
              <w:spacing w:line="240" w:lineRule="exact"/>
              <w:jc w:val="center"/>
              <w:rPr>
                <w:b/>
                <w:color w:val="000000" w:themeColor="text1"/>
                <w:sz w:val="21"/>
                <w:szCs w:val="21"/>
                <w14:textFill>
                  <w14:solidFill>
                    <w14:schemeClr w14:val="tx1"/>
                  </w14:solidFill>
                </w14:textFill>
              </w:rPr>
            </w:pPr>
            <w:r>
              <w:rPr>
                <w:rFonts w:hint="eastAsia"/>
                <w:b/>
                <w:color w:val="000000" w:themeColor="text1"/>
                <w:sz w:val="21"/>
                <w:szCs w:val="21"/>
                <w14:textFill>
                  <w14:solidFill>
                    <w14:schemeClr w14:val="tx1"/>
                  </w14:solidFill>
                </w14:textFill>
              </w:rPr>
              <w:t>80</w:t>
            </w:r>
          </w:p>
        </w:tc>
        <w:tc>
          <w:tcPr>
            <w:tcW w:w="566" w:type="dxa"/>
            <w:vAlign w:val="center"/>
          </w:tcPr>
          <w:p>
            <w:pPr>
              <w:spacing w:line="240" w:lineRule="exact"/>
              <w:jc w:val="center"/>
              <w:rPr>
                <w:b/>
                <w:color w:val="000000" w:themeColor="text1"/>
                <w:sz w:val="21"/>
                <w:szCs w:val="21"/>
                <w14:textFill>
                  <w14:solidFill>
                    <w14:schemeClr w14:val="tx1"/>
                  </w14:solidFill>
                </w14:textFill>
              </w:rPr>
            </w:pPr>
            <w:r>
              <w:rPr>
                <w:rFonts w:hint="eastAsia"/>
                <w:b/>
                <w:color w:val="000000" w:themeColor="text1"/>
                <w:sz w:val="21"/>
                <w:szCs w:val="21"/>
                <w14:textFill>
                  <w14:solidFill>
                    <w14:schemeClr w14:val="tx1"/>
                  </w14:solidFill>
                </w14:textFill>
              </w:rPr>
              <w:t>100</w:t>
            </w:r>
          </w:p>
        </w:tc>
        <w:tc>
          <w:tcPr>
            <w:tcW w:w="566" w:type="dxa"/>
            <w:vAlign w:val="center"/>
          </w:tcPr>
          <w:p>
            <w:pPr>
              <w:spacing w:line="240" w:lineRule="exact"/>
              <w:jc w:val="center"/>
              <w:rPr>
                <w:b/>
                <w:color w:val="000000" w:themeColor="text1"/>
                <w:sz w:val="21"/>
                <w:szCs w:val="21"/>
                <w14:textFill>
                  <w14:solidFill>
                    <w14:schemeClr w14:val="tx1"/>
                  </w14:solidFill>
                </w14:textFill>
              </w:rPr>
            </w:pPr>
            <w:r>
              <w:rPr>
                <w:rFonts w:hint="eastAsia"/>
                <w:b/>
                <w:color w:val="000000" w:themeColor="text1"/>
                <w:sz w:val="21"/>
                <w:szCs w:val="21"/>
                <w14:textFill>
                  <w14:solidFill>
                    <w14:schemeClr w14:val="tx1"/>
                  </w14:solidFill>
                </w14:textFill>
              </w:rPr>
              <w:t>150</w:t>
            </w:r>
          </w:p>
        </w:tc>
        <w:tc>
          <w:tcPr>
            <w:tcW w:w="566" w:type="dxa"/>
            <w:vAlign w:val="center"/>
          </w:tcPr>
          <w:p>
            <w:pPr>
              <w:spacing w:line="240" w:lineRule="exact"/>
              <w:jc w:val="center"/>
              <w:rPr>
                <w:b/>
                <w:color w:val="000000" w:themeColor="text1"/>
                <w:sz w:val="21"/>
                <w:szCs w:val="21"/>
                <w14:textFill>
                  <w14:solidFill>
                    <w14:schemeClr w14:val="tx1"/>
                  </w14:solidFill>
                </w14:textFill>
              </w:rPr>
            </w:pPr>
            <w:r>
              <w:rPr>
                <w:rFonts w:hint="eastAsia"/>
                <w:b/>
                <w:color w:val="000000" w:themeColor="text1"/>
                <w:sz w:val="21"/>
                <w:szCs w:val="21"/>
                <w14:textFill>
                  <w14:solidFill>
                    <w14:schemeClr w14:val="tx1"/>
                  </w14:solidFill>
                </w14:textFill>
              </w:rPr>
              <w:t>200</w:t>
            </w:r>
          </w:p>
        </w:tc>
        <w:tc>
          <w:tcPr>
            <w:tcW w:w="566" w:type="dxa"/>
          </w:tcPr>
          <w:p>
            <w:pPr>
              <w:spacing w:line="240" w:lineRule="exact"/>
              <w:jc w:val="center"/>
              <w:rPr>
                <w:b/>
                <w:color w:val="000000" w:themeColor="text1"/>
                <w:sz w:val="21"/>
                <w:szCs w:val="21"/>
                <w14:textFill>
                  <w14:solidFill>
                    <w14:schemeClr w14:val="tx1"/>
                  </w14:solidFill>
                </w14:textFill>
              </w:rPr>
            </w:pPr>
            <w:r>
              <w:rPr>
                <w:rFonts w:hint="eastAsia"/>
                <w:b/>
                <w:color w:val="000000" w:themeColor="text1"/>
                <w:sz w:val="21"/>
                <w:szCs w:val="21"/>
                <w14:textFill>
                  <w14:solidFill>
                    <w14:schemeClr w14:val="tx1"/>
                  </w14:solidFill>
                </w14:textFill>
              </w:rPr>
              <w:t>360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c>
          <w:tcPr>
            <w:tcW w:w="1197" w:type="dxa"/>
            <w:vAlign w:val="center"/>
          </w:tcPr>
          <w:p>
            <w:pPr>
              <w:spacing w:line="240" w:lineRule="exact"/>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轮式</w:t>
            </w:r>
            <w:r>
              <w:rPr>
                <w:color w:val="000000" w:themeColor="text1"/>
                <w:sz w:val="21"/>
                <w:szCs w:val="21"/>
                <w14:textFill>
                  <w14:solidFill>
                    <w14:schemeClr w14:val="tx1"/>
                  </w14:solidFill>
                </w14:textFill>
              </w:rPr>
              <w:t>装载机</w:t>
            </w:r>
          </w:p>
        </w:tc>
        <w:tc>
          <w:tcPr>
            <w:tcW w:w="1366" w:type="dxa"/>
          </w:tcPr>
          <w:p>
            <w:pPr>
              <w:spacing w:line="240" w:lineRule="exact"/>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5</w:t>
            </w:r>
          </w:p>
        </w:tc>
        <w:tc>
          <w:tcPr>
            <w:tcW w:w="1437" w:type="dxa"/>
            <w:vAlign w:val="center"/>
          </w:tcPr>
          <w:p>
            <w:pPr>
              <w:spacing w:line="240" w:lineRule="exact"/>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95</w:t>
            </w:r>
          </w:p>
        </w:tc>
        <w:tc>
          <w:tcPr>
            <w:tcW w:w="566" w:type="dxa"/>
            <w:vAlign w:val="bottom"/>
          </w:tcPr>
          <w:p>
            <w:pPr>
              <w:spacing w:line="240" w:lineRule="exact"/>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 xml:space="preserve">67.9 </w:t>
            </w:r>
          </w:p>
        </w:tc>
        <w:tc>
          <w:tcPr>
            <w:tcW w:w="566" w:type="dxa"/>
            <w:vAlign w:val="bottom"/>
          </w:tcPr>
          <w:p>
            <w:pPr>
              <w:spacing w:line="240" w:lineRule="exact"/>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 xml:space="preserve">61.9 </w:t>
            </w:r>
          </w:p>
        </w:tc>
        <w:tc>
          <w:tcPr>
            <w:tcW w:w="566" w:type="dxa"/>
            <w:vAlign w:val="bottom"/>
          </w:tcPr>
          <w:p>
            <w:pPr>
              <w:spacing w:line="240" w:lineRule="exact"/>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 xml:space="preserve">53.9 </w:t>
            </w:r>
          </w:p>
        </w:tc>
        <w:tc>
          <w:tcPr>
            <w:tcW w:w="566" w:type="dxa"/>
            <w:vAlign w:val="bottom"/>
          </w:tcPr>
          <w:p>
            <w:pPr>
              <w:spacing w:line="240" w:lineRule="exact"/>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 xml:space="preserve">49.8 </w:t>
            </w:r>
          </w:p>
        </w:tc>
        <w:tc>
          <w:tcPr>
            <w:tcW w:w="566" w:type="dxa"/>
            <w:vAlign w:val="bottom"/>
          </w:tcPr>
          <w:p>
            <w:pPr>
              <w:spacing w:line="240" w:lineRule="exact"/>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 xml:space="preserve">47.9 </w:t>
            </w:r>
          </w:p>
        </w:tc>
        <w:tc>
          <w:tcPr>
            <w:tcW w:w="566" w:type="dxa"/>
            <w:vAlign w:val="bottom"/>
          </w:tcPr>
          <w:p>
            <w:pPr>
              <w:spacing w:line="240" w:lineRule="exact"/>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 xml:space="preserve">44.4 </w:t>
            </w:r>
          </w:p>
        </w:tc>
        <w:tc>
          <w:tcPr>
            <w:tcW w:w="566" w:type="dxa"/>
            <w:vAlign w:val="bottom"/>
          </w:tcPr>
          <w:p>
            <w:pPr>
              <w:spacing w:line="240" w:lineRule="exact"/>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 xml:space="preserve">41.9 </w:t>
            </w:r>
          </w:p>
        </w:tc>
        <w:tc>
          <w:tcPr>
            <w:tcW w:w="566" w:type="dxa"/>
            <w:vAlign w:val="bottom"/>
          </w:tcPr>
          <w:p>
            <w:pPr>
              <w:spacing w:line="240" w:lineRule="exact"/>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 xml:space="preserve">36.8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c>
          <w:tcPr>
            <w:tcW w:w="1197" w:type="dxa"/>
            <w:vAlign w:val="center"/>
          </w:tcPr>
          <w:p>
            <w:pPr>
              <w:spacing w:line="240" w:lineRule="exact"/>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液压挖掘机</w:t>
            </w:r>
          </w:p>
        </w:tc>
        <w:tc>
          <w:tcPr>
            <w:tcW w:w="1366" w:type="dxa"/>
          </w:tcPr>
          <w:p>
            <w:pPr>
              <w:spacing w:line="240" w:lineRule="exact"/>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5</w:t>
            </w:r>
          </w:p>
        </w:tc>
        <w:tc>
          <w:tcPr>
            <w:tcW w:w="1437" w:type="dxa"/>
            <w:vAlign w:val="center"/>
          </w:tcPr>
          <w:p>
            <w:pPr>
              <w:spacing w:line="240" w:lineRule="exact"/>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90</w:t>
            </w:r>
          </w:p>
        </w:tc>
        <w:tc>
          <w:tcPr>
            <w:tcW w:w="566" w:type="dxa"/>
            <w:vAlign w:val="bottom"/>
          </w:tcPr>
          <w:p>
            <w:pPr>
              <w:spacing w:line="240" w:lineRule="exact"/>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 xml:space="preserve">67.9 </w:t>
            </w:r>
          </w:p>
        </w:tc>
        <w:tc>
          <w:tcPr>
            <w:tcW w:w="566" w:type="dxa"/>
            <w:vAlign w:val="bottom"/>
          </w:tcPr>
          <w:p>
            <w:pPr>
              <w:spacing w:line="240" w:lineRule="exact"/>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 xml:space="preserve">61.9 </w:t>
            </w:r>
          </w:p>
        </w:tc>
        <w:tc>
          <w:tcPr>
            <w:tcW w:w="566" w:type="dxa"/>
            <w:vAlign w:val="bottom"/>
          </w:tcPr>
          <w:p>
            <w:pPr>
              <w:spacing w:line="240" w:lineRule="exact"/>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 xml:space="preserve">53.9 </w:t>
            </w:r>
          </w:p>
        </w:tc>
        <w:tc>
          <w:tcPr>
            <w:tcW w:w="566" w:type="dxa"/>
            <w:vAlign w:val="bottom"/>
          </w:tcPr>
          <w:p>
            <w:pPr>
              <w:spacing w:line="240" w:lineRule="exact"/>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 xml:space="preserve">49.8 </w:t>
            </w:r>
          </w:p>
        </w:tc>
        <w:tc>
          <w:tcPr>
            <w:tcW w:w="566" w:type="dxa"/>
            <w:vAlign w:val="bottom"/>
          </w:tcPr>
          <w:p>
            <w:pPr>
              <w:spacing w:line="240" w:lineRule="exact"/>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 xml:space="preserve">47.9 </w:t>
            </w:r>
          </w:p>
        </w:tc>
        <w:tc>
          <w:tcPr>
            <w:tcW w:w="566" w:type="dxa"/>
            <w:vAlign w:val="bottom"/>
          </w:tcPr>
          <w:p>
            <w:pPr>
              <w:spacing w:line="240" w:lineRule="exact"/>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 xml:space="preserve">44.4 </w:t>
            </w:r>
          </w:p>
        </w:tc>
        <w:tc>
          <w:tcPr>
            <w:tcW w:w="566" w:type="dxa"/>
            <w:vAlign w:val="bottom"/>
          </w:tcPr>
          <w:p>
            <w:pPr>
              <w:spacing w:line="240" w:lineRule="exact"/>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 xml:space="preserve">41.9 </w:t>
            </w:r>
          </w:p>
        </w:tc>
        <w:tc>
          <w:tcPr>
            <w:tcW w:w="566" w:type="dxa"/>
            <w:vAlign w:val="bottom"/>
          </w:tcPr>
          <w:p>
            <w:pPr>
              <w:spacing w:line="240" w:lineRule="exact"/>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 xml:space="preserve">36.8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c>
          <w:tcPr>
            <w:tcW w:w="1197" w:type="dxa"/>
            <w:vAlign w:val="center"/>
          </w:tcPr>
          <w:p>
            <w:pPr>
              <w:spacing w:line="240" w:lineRule="exact"/>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履带</w:t>
            </w:r>
            <w:r>
              <w:rPr>
                <w:color w:val="000000" w:themeColor="text1"/>
                <w:sz w:val="21"/>
                <w:szCs w:val="21"/>
                <w14:textFill>
                  <w14:solidFill>
                    <w14:schemeClr w14:val="tx1"/>
                  </w14:solidFill>
                </w14:textFill>
              </w:rPr>
              <w:t>吊</w:t>
            </w:r>
          </w:p>
        </w:tc>
        <w:tc>
          <w:tcPr>
            <w:tcW w:w="1366" w:type="dxa"/>
          </w:tcPr>
          <w:p>
            <w:pPr>
              <w:spacing w:line="240" w:lineRule="exact"/>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8</w:t>
            </w:r>
          </w:p>
        </w:tc>
        <w:tc>
          <w:tcPr>
            <w:tcW w:w="1437" w:type="dxa"/>
            <w:vAlign w:val="center"/>
          </w:tcPr>
          <w:p>
            <w:pPr>
              <w:spacing w:line="240" w:lineRule="exact"/>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76</w:t>
            </w:r>
          </w:p>
        </w:tc>
        <w:tc>
          <w:tcPr>
            <w:tcW w:w="566" w:type="dxa"/>
            <w:vAlign w:val="bottom"/>
          </w:tcPr>
          <w:p>
            <w:pPr>
              <w:spacing w:line="240" w:lineRule="exact"/>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 xml:space="preserve">70.0 </w:t>
            </w:r>
          </w:p>
        </w:tc>
        <w:tc>
          <w:tcPr>
            <w:tcW w:w="566" w:type="dxa"/>
            <w:vAlign w:val="bottom"/>
          </w:tcPr>
          <w:p>
            <w:pPr>
              <w:spacing w:line="240" w:lineRule="exact"/>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 xml:space="preserve">63.9 </w:t>
            </w:r>
          </w:p>
        </w:tc>
        <w:tc>
          <w:tcPr>
            <w:tcW w:w="566" w:type="dxa"/>
            <w:vAlign w:val="bottom"/>
          </w:tcPr>
          <w:p>
            <w:pPr>
              <w:spacing w:line="240" w:lineRule="exact"/>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 xml:space="preserve">56.0 </w:t>
            </w:r>
          </w:p>
        </w:tc>
        <w:tc>
          <w:tcPr>
            <w:tcW w:w="566" w:type="dxa"/>
            <w:vAlign w:val="bottom"/>
          </w:tcPr>
          <w:p>
            <w:pPr>
              <w:spacing w:line="240" w:lineRule="exact"/>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 xml:space="preserve">51.9 </w:t>
            </w:r>
          </w:p>
        </w:tc>
        <w:tc>
          <w:tcPr>
            <w:tcW w:w="566" w:type="dxa"/>
            <w:vAlign w:val="bottom"/>
          </w:tcPr>
          <w:p>
            <w:pPr>
              <w:spacing w:line="240" w:lineRule="exact"/>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 xml:space="preserve">50.0 </w:t>
            </w:r>
          </w:p>
        </w:tc>
        <w:tc>
          <w:tcPr>
            <w:tcW w:w="566" w:type="dxa"/>
            <w:vAlign w:val="bottom"/>
          </w:tcPr>
          <w:p>
            <w:pPr>
              <w:spacing w:line="240" w:lineRule="exact"/>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 xml:space="preserve">46.4 </w:t>
            </w:r>
          </w:p>
        </w:tc>
        <w:tc>
          <w:tcPr>
            <w:tcW w:w="566" w:type="dxa"/>
            <w:vAlign w:val="bottom"/>
          </w:tcPr>
          <w:p>
            <w:pPr>
              <w:spacing w:line="240" w:lineRule="exact"/>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 xml:space="preserve">43.9 </w:t>
            </w:r>
          </w:p>
        </w:tc>
        <w:tc>
          <w:tcPr>
            <w:tcW w:w="566" w:type="dxa"/>
            <w:vAlign w:val="bottom"/>
          </w:tcPr>
          <w:p>
            <w:pPr>
              <w:spacing w:line="240" w:lineRule="exact"/>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 xml:space="preserve">38.8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c>
          <w:tcPr>
            <w:tcW w:w="1197" w:type="dxa"/>
            <w:vAlign w:val="center"/>
          </w:tcPr>
          <w:p>
            <w:pPr>
              <w:spacing w:line="240" w:lineRule="exact"/>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皮带机</w:t>
            </w:r>
          </w:p>
        </w:tc>
        <w:tc>
          <w:tcPr>
            <w:tcW w:w="1366" w:type="dxa"/>
          </w:tcPr>
          <w:p>
            <w:pPr>
              <w:spacing w:line="240" w:lineRule="exact"/>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3</w:t>
            </w:r>
          </w:p>
        </w:tc>
        <w:tc>
          <w:tcPr>
            <w:tcW w:w="1437" w:type="dxa"/>
            <w:vAlign w:val="center"/>
          </w:tcPr>
          <w:p>
            <w:pPr>
              <w:spacing w:line="240" w:lineRule="exact"/>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91</w:t>
            </w:r>
          </w:p>
        </w:tc>
        <w:tc>
          <w:tcPr>
            <w:tcW w:w="566" w:type="dxa"/>
            <w:vAlign w:val="bottom"/>
          </w:tcPr>
          <w:p>
            <w:pPr>
              <w:spacing w:line="240" w:lineRule="exact"/>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 xml:space="preserve">57.7 </w:t>
            </w:r>
          </w:p>
        </w:tc>
        <w:tc>
          <w:tcPr>
            <w:tcW w:w="566" w:type="dxa"/>
            <w:vAlign w:val="bottom"/>
          </w:tcPr>
          <w:p>
            <w:pPr>
              <w:spacing w:line="240" w:lineRule="exact"/>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 xml:space="preserve">51.7 </w:t>
            </w:r>
          </w:p>
        </w:tc>
        <w:tc>
          <w:tcPr>
            <w:tcW w:w="566" w:type="dxa"/>
            <w:vAlign w:val="bottom"/>
          </w:tcPr>
          <w:p>
            <w:pPr>
              <w:spacing w:line="240" w:lineRule="exact"/>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 xml:space="preserve">43.8 </w:t>
            </w:r>
          </w:p>
        </w:tc>
        <w:tc>
          <w:tcPr>
            <w:tcW w:w="566" w:type="dxa"/>
            <w:vAlign w:val="bottom"/>
          </w:tcPr>
          <w:p>
            <w:pPr>
              <w:spacing w:line="240" w:lineRule="exact"/>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 xml:space="preserve">39.7 </w:t>
            </w:r>
          </w:p>
        </w:tc>
        <w:tc>
          <w:tcPr>
            <w:tcW w:w="566" w:type="dxa"/>
            <w:vAlign w:val="bottom"/>
          </w:tcPr>
          <w:p>
            <w:pPr>
              <w:spacing w:line="240" w:lineRule="exact"/>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 xml:space="preserve">37.7 </w:t>
            </w:r>
          </w:p>
        </w:tc>
        <w:tc>
          <w:tcPr>
            <w:tcW w:w="566" w:type="dxa"/>
            <w:vAlign w:val="bottom"/>
          </w:tcPr>
          <w:p>
            <w:pPr>
              <w:spacing w:line="240" w:lineRule="exact"/>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 xml:space="preserve">34.2 </w:t>
            </w:r>
          </w:p>
        </w:tc>
        <w:tc>
          <w:tcPr>
            <w:tcW w:w="566" w:type="dxa"/>
            <w:vAlign w:val="bottom"/>
          </w:tcPr>
          <w:p>
            <w:pPr>
              <w:spacing w:line="240" w:lineRule="exact"/>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 xml:space="preserve">31.7 </w:t>
            </w:r>
          </w:p>
        </w:tc>
        <w:tc>
          <w:tcPr>
            <w:tcW w:w="566" w:type="dxa"/>
            <w:vAlign w:val="bottom"/>
          </w:tcPr>
          <w:p>
            <w:pPr>
              <w:spacing w:line="240" w:lineRule="exact"/>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 xml:space="preserve">26.6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c>
          <w:tcPr>
            <w:tcW w:w="1197" w:type="dxa"/>
            <w:vAlign w:val="center"/>
          </w:tcPr>
          <w:p>
            <w:pPr>
              <w:spacing w:line="240" w:lineRule="exact"/>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自卸卡车</w:t>
            </w:r>
          </w:p>
        </w:tc>
        <w:tc>
          <w:tcPr>
            <w:tcW w:w="1366" w:type="dxa"/>
          </w:tcPr>
          <w:p>
            <w:pPr>
              <w:spacing w:line="240" w:lineRule="exact"/>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2</w:t>
            </w:r>
          </w:p>
        </w:tc>
        <w:tc>
          <w:tcPr>
            <w:tcW w:w="1437" w:type="dxa"/>
            <w:vAlign w:val="center"/>
          </w:tcPr>
          <w:p>
            <w:pPr>
              <w:spacing w:line="240" w:lineRule="exact"/>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88</w:t>
            </w:r>
          </w:p>
        </w:tc>
        <w:tc>
          <w:tcPr>
            <w:tcW w:w="566" w:type="dxa"/>
            <w:vAlign w:val="bottom"/>
          </w:tcPr>
          <w:p>
            <w:pPr>
              <w:spacing w:line="240" w:lineRule="exact"/>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 xml:space="preserve">58.5 </w:t>
            </w:r>
          </w:p>
        </w:tc>
        <w:tc>
          <w:tcPr>
            <w:tcW w:w="566" w:type="dxa"/>
            <w:vAlign w:val="bottom"/>
          </w:tcPr>
          <w:p>
            <w:pPr>
              <w:spacing w:line="240" w:lineRule="exact"/>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 xml:space="preserve">52.5 </w:t>
            </w:r>
          </w:p>
        </w:tc>
        <w:tc>
          <w:tcPr>
            <w:tcW w:w="566" w:type="dxa"/>
            <w:vAlign w:val="bottom"/>
          </w:tcPr>
          <w:p>
            <w:pPr>
              <w:spacing w:line="240" w:lineRule="exact"/>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 xml:space="preserve">44.5 </w:t>
            </w:r>
          </w:p>
        </w:tc>
        <w:tc>
          <w:tcPr>
            <w:tcW w:w="566" w:type="dxa"/>
            <w:vAlign w:val="bottom"/>
          </w:tcPr>
          <w:p>
            <w:pPr>
              <w:spacing w:line="240" w:lineRule="exact"/>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 xml:space="preserve">40.5 </w:t>
            </w:r>
          </w:p>
        </w:tc>
        <w:tc>
          <w:tcPr>
            <w:tcW w:w="566" w:type="dxa"/>
            <w:vAlign w:val="bottom"/>
          </w:tcPr>
          <w:p>
            <w:pPr>
              <w:spacing w:line="240" w:lineRule="exact"/>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 xml:space="preserve">38.5 </w:t>
            </w:r>
          </w:p>
        </w:tc>
        <w:tc>
          <w:tcPr>
            <w:tcW w:w="566" w:type="dxa"/>
            <w:vAlign w:val="bottom"/>
          </w:tcPr>
          <w:p>
            <w:pPr>
              <w:spacing w:line="240" w:lineRule="exact"/>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 xml:space="preserve">35.0 </w:t>
            </w:r>
          </w:p>
        </w:tc>
        <w:tc>
          <w:tcPr>
            <w:tcW w:w="566" w:type="dxa"/>
            <w:vAlign w:val="bottom"/>
          </w:tcPr>
          <w:p>
            <w:pPr>
              <w:spacing w:line="240" w:lineRule="exact"/>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 xml:space="preserve">32.5 </w:t>
            </w:r>
          </w:p>
        </w:tc>
        <w:tc>
          <w:tcPr>
            <w:tcW w:w="566" w:type="dxa"/>
            <w:vAlign w:val="bottom"/>
          </w:tcPr>
          <w:p>
            <w:pPr>
              <w:spacing w:line="240" w:lineRule="exact"/>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 xml:space="preserve">27.4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c>
          <w:tcPr>
            <w:tcW w:w="1197" w:type="dxa"/>
            <w:vAlign w:val="center"/>
          </w:tcPr>
          <w:p>
            <w:pPr>
              <w:spacing w:line="240" w:lineRule="exact"/>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混凝土</w:t>
            </w:r>
          </w:p>
          <w:p>
            <w:pPr>
              <w:spacing w:line="240" w:lineRule="exact"/>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搅拌机</w:t>
            </w:r>
          </w:p>
        </w:tc>
        <w:tc>
          <w:tcPr>
            <w:tcW w:w="1366" w:type="dxa"/>
            <w:vAlign w:val="center"/>
          </w:tcPr>
          <w:p>
            <w:pPr>
              <w:spacing w:line="240" w:lineRule="exact"/>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5</w:t>
            </w:r>
          </w:p>
        </w:tc>
        <w:tc>
          <w:tcPr>
            <w:tcW w:w="1437" w:type="dxa"/>
            <w:vAlign w:val="center"/>
          </w:tcPr>
          <w:p>
            <w:pPr>
              <w:spacing w:line="240" w:lineRule="exact"/>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90</w:t>
            </w:r>
          </w:p>
        </w:tc>
        <w:tc>
          <w:tcPr>
            <w:tcW w:w="566" w:type="dxa"/>
            <w:vAlign w:val="center"/>
          </w:tcPr>
          <w:p>
            <w:pPr>
              <w:spacing w:line="240" w:lineRule="exact"/>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84.0</w:t>
            </w:r>
          </w:p>
        </w:tc>
        <w:tc>
          <w:tcPr>
            <w:tcW w:w="566" w:type="dxa"/>
            <w:vAlign w:val="center"/>
          </w:tcPr>
          <w:p>
            <w:pPr>
              <w:spacing w:line="240" w:lineRule="exact"/>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78.0</w:t>
            </w:r>
          </w:p>
        </w:tc>
        <w:tc>
          <w:tcPr>
            <w:tcW w:w="566" w:type="dxa"/>
            <w:vAlign w:val="center"/>
          </w:tcPr>
          <w:p>
            <w:pPr>
              <w:spacing w:line="240" w:lineRule="exact"/>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70.0</w:t>
            </w:r>
          </w:p>
        </w:tc>
        <w:tc>
          <w:tcPr>
            <w:tcW w:w="566" w:type="dxa"/>
            <w:vAlign w:val="center"/>
          </w:tcPr>
          <w:p>
            <w:pPr>
              <w:spacing w:line="240" w:lineRule="exact"/>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65.9</w:t>
            </w:r>
          </w:p>
        </w:tc>
        <w:tc>
          <w:tcPr>
            <w:tcW w:w="566" w:type="dxa"/>
            <w:vAlign w:val="center"/>
          </w:tcPr>
          <w:p>
            <w:pPr>
              <w:spacing w:line="240" w:lineRule="exact"/>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64.0</w:t>
            </w:r>
          </w:p>
        </w:tc>
        <w:tc>
          <w:tcPr>
            <w:tcW w:w="566" w:type="dxa"/>
            <w:vAlign w:val="center"/>
          </w:tcPr>
          <w:p>
            <w:pPr>
              <w:spacing w:line="240" w:lineRule="exact"/>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60.5</w:t>
            </w:r>
          </w:p>
        </w:tc>
        <w:tc>
          <w:tcPr>
            <w:tcW w:w="566" w:type="dxa"/>
            <w:vAlign w:val="center"/>
          </w:tcPr>
          <w:p>
            <w:pPr>
              <w:spacing w:line="240" w:lineRule="exact"/>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58.0</w:t>
            </w:r>
          </w:p>
        </w:tc>
        <w:tc>
          <w:tcPr>
            <w:tcW w:w="566" w:type="dxa"/>
            <w:vAlign w:val="center"/>
          </w:tcPr>
          <w:p>
            <w:pPr>
              <w:spacing w:line="240" w:lineRule="exact"/>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52.9</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c>
          <w:tcPr>
            <w:tcW w:w="1197" w:type="dxa"/>
            <w:vAlign w:val="center"/>
          </w:tcPr>
          <w:p>
            <w:pPr>
              <w:spacing w:line="240" w:lineRule="exact"/>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打桩机</w:t>
            </w:r>
          </w:p>
        </w:tc>
        <w:tc>
          <w:tcPr>
            <w:tcW w:w="1366" w:type="dxa"/>
            <w:vAlign w:val="center"/>
          </w:tcPr>
          <w:p>
            <w:pPr>
              <w:spacing w:line="240" w:lineRule="exact"/>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5</w:t>
            </w:r>
          </w:p>
        </w:tc>
        <w:tc>
          <w:tcPr>
            <w:tcW w:w="1437" w:type="dxa"/>
            <w:vAlign w:val="center"/>
          </w:tcPr>
          <w:p>
            <w:pPr>
              <w:spacing w:line="240" w:lineRule="exact"/>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110</w:t>
            </w:r>
          </w:p>
        </w:tc>
        <w:tc>
          <w:tcPr>
            <w:tcW w:w="566" w:type="dxa"/>
            <w:vAlign w:val="bottom"/>
          </w:tcPr>
          <w:p>
            <w:pPr>
              <w:spacing w:line="240" w:lineRule="exact"/>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 xml:space="preserve">84.0 </w:t>
            </w:r>
          </w:p>
        </w:tc>
        <w:tc>
          <w:tcPr>
            <w:tcW w:w="566" w:type="dxa"/>
            <w:vAlign w:val="bottom"/>
          </w:tcPr>
          <w:p>
            <w:pPr>
              <w:spacing w:line="240" w:lineRule="exact"/>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 xml:space="preserve">78.0 </w:t>
            </w:r>
          </w:p>
        </w:tc>
        <w:tc>
          <w:tcPr>
            <w:tcW w:w="566" w:type="dxa"/>
            <w:vAlign w:val="bottom"/>
          </w:tcPr>
          <w:p>
            <w:pPr>
              <w:spacing w:line="240" w:lineRule="exact"/>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 xml:space="preserve">70.0 </w:t>
            </w:r>
          </w:p>
        </w:tc>
        <w:tc>
          <w:tcPr>
            <w:tcW w:w="566" w:type="dxa"/>
            <w:vAlign w:val="bottom"/>
          </w:tcPr>
          <w:p>
            <w:pPr>
              <w:spacing w:line="240" w:lineRule="exact"/>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 xml:space="preserve">65.9 </w:t>
            </w:r>
          </w:p>
        </w:tc>
        <w:tc>
          <w:tcPr>
            <w:tcW w:w="566" w:type="dxa"/>
            <w:vAlign w:val="bottom"/>
          </w:tcPr>
          <w:p>
            <w:pPr>
              <w:spacing w:line="240" w:lineRule="exact"/>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 xml:space="preserve">64.0 </w:t>
            </w:r>
          </w:p>
        </w:tc>
        <w:tc>
          <w:tcPr>
            <w:tcW w:w="566" w:type="dxa"/>
            <w:vAlign w:val="bottom"/>
          </w:tcPr>
          <w:p>
            <w:pPr>
              <w:spacing w:line="240" w:lineRule="exact"/>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 xml:space="preserve">60.5 </w:t>
            </w:r>
          </w:p>
        </w:tc>
        <w:tc>
          <w:tcPr>
            <w:tcW w:w="566" w:type="dxa"/>
            <w:vAlign w:val="bottom"/>
          </w:tcPr>
          <w:p>
            <w:pPr>
              <w:spacing w:line="240" w:lineRule="exact"/>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 xml:space="preserve">58.0 </w:t>
            </w:r>
          </w:p>
        </w:tc>
        <w:tc>
          <w:tcPr>
            <w:tcW w:w="566" w:type="dxa"/>
            <w:vAlign w:val="bottom"/>
          </w:tcPr>
          <w:p>
            <w:pPr>
              <w:spacing w:line="240" w:lineRule="exact"/>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 xml:space="preserve">52.9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c>
          <w:tcPr>
            <w:tcW w:w="1197" w:type="dxa"/>
            <w:vAlign w:val="center"/>
          </w:tcPr>
          <w:p>
            <w:pPr>
              <w:spacing w:line="240" w:lineRule="exact"/>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施工船舶</w:t>
            </w:r>
          </w:p>
        </w:tc>
        <w:tc>
          <w:tcPr>
            <w:tcW w:w="1366" w:type="dxa"/>
            <w:vAlign w:val="center"/>
          </w:tcPr>
          <w:p>
            <w:pPr>
              <w:spacing w:line="240" w:lineRule="exact"/>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20</w:t>
            </w:r>
          </w:p>
        </w:tc>
        <w:tc>
          <w:tcPr>
            <w:tcW w:w="1437" w:type="dxa"/>
            <w:vAlign w:val="center"/>
          </w:tcPr>
          <w:p>
            <w:pPr>
              <w:spacing w:line="240" w:lineRule="exact"/>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65</w:t>
            </w:r>
          </w:p>
        </w:tc>
        <w:tc>
          <w:tcPr>
            <w:tcW w:w="566" w:type="dxa"/>
            <w:vAlign w:val="bottom"/>
          </w:tcPr>
          <w:p>
            <w:pPr>
              <w:spacing w:line="240" w:lineRule="exact"/>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 xml:space="preserve">81.0 </w:t>
            </w:r>
          </w:p>
        </w:tc>
        <w:tc>
          <w:tcPr>
            <w:tcW w:w="566" w:type="dxa"/>
            <w:vAlign w:val="bottom"/>
          </w:tcPr>
          <w:p>
            <w:pPr>
              <w:spacing w:line="240" w:lineRule="exact"/>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 xml:space="preserve">75.0 </w:t>
            </w:r>
          </w:p>
        </w:tc>
        <w:tc>
          <w:tcPr>
            <w:tcW w:w="566" w:type="dxa"/>
            <w:vAlign w:val="bottom"/>
          </w:tcPr>
          <w:p>
            <w:pPr>
              <w:spacing w:line="240" w:lineRule="exact"/>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 xml:space="preserve">67.0 </w:t>
            </w:r>
          </w:p>
        </w:tc>
        <w:tc>
          <w:tcPr>
            <w:tcW w:w="566" w:type="dxa"/>
            <w:vAlign w:val="bottom"/>
          </w:tcPr>
          <w:p>
            <w:pPr>
              <w:spacing w:line="240" w:lineRule="exact"/>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 xml:space="preserve">63.0 </w:t>
            </w:r>
          </w:p>
        </w:tc>
        <w:tc>
          <w:tcPr>
            <w:tcW w:w="566" w:type="dxa"/>
            <w:vAlign w:val="bottom"/>
          </w:tcPr>
          <w:p>
            <w:pPr>
              <w:spacing w:line="240" w:lineRule="exact"/>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 xml:space="preserve">61.0 </w:t>
            </w:r>
          </w:p>
        </w:tc>
        <w:tc>
          <w:tcPr>
            <w:tcW w:w="566" w:type="dxa"/>
            <w:vAlign w:val="bottom"/>
          </w:tcPr>
          <w:p>
            <w:pPr>
              <w:spacing w:line="240" w:lineRule="exact"/>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 xml:space="preserve">57.5 </w:t>
            </w:r>
          </w:p>
        </w:tc>
        <w:tc>
          <w:tcPr>
            <w:tcW w:w="566" w:type="dxa"/>
            <w:vAlign w:val="bottom"/>
          </w:tcPr>
          <w:p>
            <w:pPr>
              <w:spacing w:line="240" w:lineRule="exact"/>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 xml:space="preserve">55.0 </w:t>
            </w:r>
          </w:p>
        </w:tc>
        <w:tc>
          <w:tcPr>
            <w:tcW w:w="566" w:type="dxa"/>
            <w:vAlign w:val="bottom"/>
          </w:tcPr>
          <w:p>
            <w:pPr>
              <w:spacing w:line="240" w:lineRule="exact"/>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 xml:space="preserve">49.9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c>
          <w:tcPr>
            <w:tcW w:w="1197" w:type="dxa"/>
            <w:vAlign w:val="center"/>
          </w:tcPr>
          <w:p>
            <w:pPr>
              <w:spacing w:line="240" w:lineRule="exact"/>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叠加</w:t>
            </w:r>
          </w:p>
        </w:tc>
        <w:tc>
          <w:tcPr>
            <w:tcW w:w="1366" w:type="dxa"/>
            <w:vAlign w:val="center"/>
          </w:tcPr>
          <w:p>
            <w:pPr>
              <w:spacing w:line="240" w:lineRule="exact"/>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w:t>
            </w:r>
          </w:p>
        </w:tc>
        <w:tc>
          <w:tcPr>
            <w:tcW w:w="1437" w:type="dxa"/>
            <w:vAlign w:val="center"/>
          </w:tcPr>
          <w:p>
            <w:pPr>
              <w:spacing w:line="240" w:lineRule="exact"/>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w:t>
            </w:r>
          </w:p>
        </w:tc>
        <w:tc>
          <w:tcPr>
            <w:tcW w:w="566" w:type="dxa"/>
            <w:vAlign w:val="center"/>
          </w:tcPr>
          <w:p>
            <w:pPr>
              <w:spacing w:line="240" w:lineRule="exact"/>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88.1</w:t>
            </w:r>
          </w:p>
        </w:tc>
        <w:tc>
          <w:tcPr>
            <w:tcW w:w="566" w:type="dxa"/>
            <w:vAlign w:val="center"/>
          </w:tcPr>
          <w:p>
            <w:pPr>
              <w:spacing w:line="240" w:lineRule="exact"/>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82.1</w:t>
            </w:r>
          </w:p>
        </w:tc>
        <w:tc>
          <w:tcPr>
            <w:tcW w:w="566" w:type="dxa"/>
            <w:vAlign w:val="center"/>
          </w:tcPr>
          <w:p>
            <w:pPr>
              <w:spacing w:line="240" w:lineRule="exact"/>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74.1</w:t>
            </w:r>
          </w:p>
        </w:tc>
        <w:tc>
          <w:tcPr>
            <w:tcW w:w="566" w:type="dxa"/>
            <w:vAlign w:val="center"/>
          </w:tcPr>
          <w:p>
            <w:pPr>
              <w:spacing w:line="240" w:lineRule="exact"/>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70.4</w:t>
            </w:r>
          </w:p>
        </w:tc>
        <w:tc>
          <w:tcPr>
            <w:tcW w:w="566" w:type="dxa"/>
            <w:vAlign w:val="center"/>
          </w:tcPr>
          <w:p>
            <w:pPr>
              <w:spacing w:line="240" w:lineRule="exact"/>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68.1</w:t>
            </w:r>
          </w:p>
        </w:tc>
        <w:tc>
          <w:tcPr>
            <w:tcW w:w="566" w:type="dxa"/>
            <w:vAlign w:val="center"/>
          </w:tcPr>
          <w:p>
            <w:pPr>
              <w:spacing w:line="240" w:lineRule="exact"/>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64.6</w:t>
            </w:r>
          </w:p>
        </w:tc>
        <w:tc>
          <w:tcPr>
            <w:tcW w:w="566" w:type="dxa"/>
            <w:vAlign w:val="center"/>
          </w:tcPr>
          <w:p>
            <w:pPr>
              <w:spacing w:line="240" w:lineRule="exact"/>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62.1</w:t>
            </w:r>
          </w:p>
        </w:tc>
        <w:tc>
          <w:tcPr>
            <w:tcW w:w="566" w:type="dxa"/>
          </w:tcPr>
          <w:p>
            <w:pPr>
              <w:spacing w:line="240" w:lineRule="exact"/>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57.0</w:t>
            </w:r>
          </w:p>
        </w:tc>
      </w:tr>
    </w:tbl>
    <w:p>
      <w:pPr>
        <w:pStyle w:val="1075"/>
        <w:ind w:firstLine="439"/>
        <w:rPr>
          <w:color w:val="000000" w:themeColor="text1"/>
          <w14:textFill>
            <w14:solidFill>
              <w14:schemeClr w14:val="tx1"/>
            </w14:solidFill>
          </w14:textFill>
        </w:rPr>
      </w:pPr>
      <w:r>
        <w:rPr>
          <w:rFonts w:hint="eastAsia"/>
          <w:b/>
          <w:color w:val="000000" w:themeColor="text1"/>
          <w14:textFill>
            <w14:solidFill>
              <w14:schemeClr w14:val="tx1"/>
            </w14:solidFill>
          </w14:textFill>
        </w:rPr>
        <w:t>3、施工机械噪声影响分析</w:t>
      </w:r>
    </w:p>
    <w:p>
      <w:pPr>
        <w:pStyle w:val="1075"/>
        <w:ind w:firstLine="437"/>
        <w:rPr>
          <w:color w:val="000000" w:themeColor="text1"/>
          <w14:textFill>
            <w14:solidFill>
              <w14:schemeClr w14:val="tx1"/>
            </w14:solidFill>
          </w14:textFill>
        </w:rPr>
      </w:pPr>
      <w:r>
        <w:rPr>
          <w:color w:val="000000" w:themeColor="text1"/>
          <w14:textFill>
            <w14:solidFill>
              <w14:schemeClr w14:val="tx1"/>
            </w14:solidFill>
          </w14:textFill>
        </w:rPr>
        <w:t>项目评价范围内无声环境敏感</w:t>
      </w:r>
      <w:r>
        <w:rPr>
          <w:rFonts w:hint="eastAsia"/>
          <w:color w:val="000000" w:themeColor="text1"/>
          <w14:textFill>
            <w14:solidFill>
              <w14:schemeClr w14:val="tx1"/>
            </w14:solidFill>
          </w14:textFill>
        </w:rPr>
        <w:t>保护目标</w:t>
      </w:r>
      <w:r>
        <w:rPr>
          <w:color w:val="000000" w:themeColor="text1"/>
          <w14:textFill>
            <w14:solidFill>
              <w14:schemeClr w14:val="tx1"/>
            </w14:solidFill>
          </w14:textFill>
        </w:rPr>
        <w:t>。施工噪声对周边环境的影响属短时影响，随施工活动结束消失。</w:t>
      </w:r>
    </w:p>
    <w:p>
      <w:pPr>
        <w:pStyle w:val="5"/>
        <w:rPr>
          <w:color w:val="000000" w:themeColor="text1"/>
          <w14:textFill>
            <w14:solidFill>
              <w14:schemeClr w14:val="tx1"/>
            </w14:solidFill>
          </w14:textFill>
        </w:rPr>
      </w:pPr>
      <w:r>
        <w:rPr>
          <w:color w:val="000000" w:themeColor="text1"/>
          <w14:textFill>
            <w14:solidFill>
              <w14:schemeClr w14:val="tx1"/>
            </w14:solidFill>
          </w14:textFill>
        </w:rPr>
        <w:t>运营期声环境影响预测评价</w:t>
      </w:r>
    </w:p>
    <w:p>
      <w:pPr>
        <w:pStyle w:val="1075"/>
        <w:ind w:firstLine="439"/>
        <w:rPr>
          <w:b/>
          <w:color w:val="000000" w:themeColor="text1"/>
          <w14:textFill>
            <w14:solidFill>
              <w14:schemeClr w14:val="tx1"/>
            </w14:solidFill>
          </w14:textFill>
        </w:rPr>
      </w:pPr>
      <w:bookmarkStart w:id="222" w:name="_Toc232338170"/>
      <w:bookmarkStart w:id="223" w:name="_Toc232337908"/>
      <w:bookmarkStart w:id="224" w:name="_Toc232336676"/>
      <w:r>
        <w:rPr>
          <w:b/>
          <w:color w:val="000000" w:themeColor="text1"/>
          <w14:textFill>
            <w14:solidFill>
              <w14:schemeClr w14:val="tx1"/>
            </w14:solidFill>
          </w14:textFill>
        </w:rPr>
        <w:t>1、预测模式</w:t>
      </w:r>
    </w:p>
    <w:p>
      <w:pPr>
        <w:pStyle w:val="1075"/>
        <w:ind w:firstLine="437"/>
        <w:rPr>
          <w:color w:val="000000" w:themeColor="text1"/>
          <w14:textFill>
            <w14:solidFill>
              <w14:schemeClr w14:val="tx1"/>
            </w14:solidFill>
          </w14:textFill>
        </w:rPr>
      </w:pPr>
      <w:r>
        <w:rPr>
          <w:rFonts w:hint="eastAsia" w:ascii="宋体" w:hAnsi="宋体" w:cs="宋体"/>
          <w:color w:val="000000" w:themeColor="text1"/>
          <w14:textFill>
            <w14:solidFill>
              <w14:schemeClr w14:val="tx1"/>
            </w14:solidFill>
          </w14:textFill>
        </w:rPr>
        <w:t>①</w:t>
      </w:r>
      <w:r>
        <w:rPr>
          <w:color w:val="000000" w:themeColor="text1"/>
          <w14:textFill>
            <w14:solidFill>
              <w14:schemeClr w14:val="tx1"/>
            </w14:solidFill>
          </w14:textFill>
        </w:rPr>
        <w:t xml:space="preserve"> 单机噪声预测模式</w:t>
      </w:r>
    </w:p>
    <w:p>
      <w:pPr>
        <w:pStyle w:val="1075"/>
        <w:ind w:firstLine="437"/>
        <w:rPr>
          <w:color w:val="000000" w:themeColor="text1"/>
          <w14:textFill>
            <w14:solidFill>
              <w14:schemeClr w14:val="tx1"/>
            </w14:solidFill>
          </w14:textFill>
        </w:rPr>
      </w:pPr>
      <w:r>
        <w:rPr>
          <w:color w:val="000000" w:themeColor="text1"/>
          <w14:textFill>
            <w14:solidFill>
              <w14:schemeClr w14:val="tx1"/>
            </w14:solidFill>
          </w14:textFill>
        </w:rPr>
        <w:t>根据噪声源的特性，采用以下噪声影响计算模式：</w:t>
      </w:r>
    </w:p>
    <w:p>
      <w:pPr>
        <w:jc w:val="center"/>
        <w:rPr>
          <w:color w:val="000000" w:themeColor="text1"/>
          <w14:textFill>
            <w14:solidFill>
              <w14:schemeClr w14:val="tx1"/>
            </w14:solidFill>
          </w14:textFill>
        </w:rPr>
      </w:pPr>
      <w:r>
        <w:rPr>
          <w:color w:val="000000" w:themeColor="text1"/>
          <w14:textFill>
            <w14:solidFill>
              <w14:schemeClr w14:val="tx1"/>
            </w14:solidFill>
          </w14:textFill>
        </w:rPr>
        <w:object>
          <v:shape id="_x0000_i1054" o:spt="75" type="#_x0000_t75" style="height:29.9pt;width:114.1pt;" o:ole="t" filled="f" o:preferrelative="t" stroked="f" coordsize="21600,21600">
            <v:path/>
            <v:fill on="f" focussize="0,0"/>
            <v:stroke on="f" joinstyle="miter"/>
            <v:imagedata r:id="rId173" o:title=""/>
            <o:lock v:ext="edit" aspectratio="t"/>
            <w10:wrap type="none"/>
            <w10:anchorlock/>
          </v:shape>
          <o:OLEObject Type="Embed" ProgID="Equation.3" ShapeID="_x0000_i1054" DrawAspect="Content" ObjectID="_1468075754" r:id="rId174">
            <o:LockedField>false</o:LockedField>
          </o:OLEObject>
        </w:object>
      </w:r>
    </w:p>
    <w:p>
      <w:pPr>
        <w:pStyle w:val="1075"/>
        <w:ind w:firstLine="437"/>
        <w:rPr>
          <w:color w:val="000000" w:themeColor="text1"/>
          <w14:textFill>
            <w14:solidFill>
              <w14:schemeClr w14:val="tx1"/>
            </w14:solidFill>
          </w14:textFill>
        </w:rPr>
      </w:pPr>
      <w:r>
        <w:rPr>
          <w:color w:val="000000" w:themeColor="text1"/>
          <w14:textFill>
            <w14:solidFill>
              <w14:schemeClr w14:val="tx1"/>
            </w14:solidFill>
          </w14:textFill>
        </w:rPr>
        <w:t>式中：</w:t>
      </w:r>
      <w:r>
        <w:rPr>
          <w:i/>
          <w:color w:val="000000" w:themeColor="text1"/>
          <w14:textFill>
            <w14:solidFill>
              <w14:schemeClr w14:val="tx1"/>
            </w14:solidFill>
          </w14:textFill>
        </w:rPr>
        <w:t>L</w:t>
      </w:r>
      <w:r>
        <w:rPr>
          <w:color w:val="000000" w:themeColor="text1"/>
          <w:vertAlign w:val="subscript"/>
          <w14:textFill>
            <w14:solidFill>
              <w14:schemeClr w14:val="tx1"/>
            </w14:solidFill>
          </w14:textFill>
        </w:rPr>
        <w:t>i</w:t>
      </w:r>
      <w:r>
        <w:rPr>
          <w:color w:val="000000" w:themeColor="text1"/>
          <w14:textFill>
            <w14:solidFill>
              <w14:schemeClr w14:val="tx1"/>
            </w14:solidFill>
          </w14:textFill>
        </w:rPr>
        <w:t xml:space="preserve"> ——距声源r</w:t>
      </w:r>
      <w:r>
        <w:rPr>
          <w:color w:val="000000" w:themeColor="text1"/>
          <w:vertAlign w:val="subscript"/>
          <w14:textFill>
            <w14:solidFill>
              <w14:schemeClr w14:val="tx1"/>
            </w14:solidFill>
          </w14:textFill>
        </w:rPr>
        <w:t>i</w:t>
      </w:r>
      <w:r>
        <w:rPr>
          <w:color w:val="000000" w:themeColor="text1"/>
          <w14:textFill>
            <w14:solidFill>
              <w14:schemeClr w14:val="tx1"/>
            </w14:solidFill>
          </w14:textFill>
        </w:rPr>
        <w:t>处的声级[dB（A）]。</w:t>
      </w:r>
    </w:p>
    <w:p>
      <w:pPr>
        <w:pStyle w:val="1075"/>
        <w:ind w:firstLine="437"/>
        <w:rPr>
          <w:color w:val="000000" w:themeColor="text1"/>
          <w14:textFill>
            <w14:solidFill>
              <w14:schemeClr w14:val="tx1"/>
            </w14:solidFill>
          </w14:textFill>
        </w:rPr>
      </w:pPr>
      <w:r>
        <w:rPr>
          <w:i/>
          <w:color w:val="000000" w:themeColor="text1"/>
          <w14:textFill>
            <w14:solidFill>
              <w14:schemeClr w14:val="tx1"/>
            </w14:solidFill>
          </w14:textFill>
        </w:rPr>
        <w:t>L</w:t>
      </w:r>
      <w:r>
        <w:rPr>
          <w:color w:val="000000" w:themeColor="text1"/>
          <w:vertAlign w:val="subscript"/>
          <w14:textFill>
            <w14:solidFill>
              <w14:schemeClr w14:val="tx1"/>
            </w14:solidFill>
          </w14:textFill>
        </w:rPr>
        <w:t xml:space="preserve">0 </w:t>
      </w:r>
      <w:r>
        <w:rPr>
          <w:color w:val="000000" w:themeColor="text1"/>
          <w14:textFill>
            <w14:solidFill>
              <w14:schemeClr w14:val="tx1"/>
            </w14:solidFill>
          </w14:textFill>
        </w:rPr>
        <w:t>——距声源r</w:t>
      </w:r>
      <w:r>
        <w:rPr>
          <w:color w:val="000000" w:themeColor="text1"/>
          <w:vertAlign w:val="subscript"/>
          <w14:textFill>
            <w14:solidFill>
              <w14:schemeClr w14:val="tx1"/>
            </w14:solidFill>
          </w14:textFill>
        </w:rPr>
        <w:t>0</w:t>
      </w:r>
      <w:r>
        <w:rPr>
          <w:color w:val="000000" w:themeColor="text1"/>
          <w14:textFill>
            <w14:solidFill>
              <w14:schemeClr w14:val="tx1"/>
            </w14:solidFill>
          </w14:textFill>
        </w:rPr>
        <w:t>处的声级[dB（A）]。</w:t>
      </w:r>
    </w:p>
    <w:p>
      <w:pPr>
        <w:pStyle w:val="1075"/>
        <w:ind w:firstLine="437"/>
        <w:rPr>
          <w:color w:val="000000" w:themeColor="text1"/>
          <w14:textFill>
            <w14:solidFill>
              <w14:schemeClr w14:val="tx1"/>
            </w14:solidFill>
          </w14:textFill>
        </w:rPr>
      </w:pPr>
      <w:r>
        <w:rPr>
          <w:color w:val="000000" w:themeColor="text1"/>
          <w14:textFill>
            <w14:solidFill>
              <w14:schemeClr w14:val="tx1"/>
            </w14:solidFill>
          </w14:textFill>
        </w:rPr>
        <w:t>Δ</w:t>
      </w:r>
      <w:r>
        <w:rPr>
          <w:i/>
          <w:color w:val="000000" w:themeColor="text1"/>
          <w14:textFill>
            <w14:solidFill>
              <w14:schemeClr w14:val="tx1"/>
            </w14:solidFill>
          </w14:textFill>
        </w:rPr>
        <w:t>L</w:t>
      </w:r>
      <w:r>
        <w:rPr>
          <w:color w:val="000000" w:themeColor="text1"/>
          <w14:textFill>
            <w14:solidFill>
              <w14:schemeClr w14:val="tx1"/>
            </w14:solidFill>
          </w14:textFill>
        </w:rPr>
        <w:t>——其他因素引起的噪声衰减量，保守取0。</w:t>
      </w:r>
    </w:p>
    <w:p>
      <w:pPr>
        <w:pStyle w:val="1075"/>
        <w:ind w:firstLine="437"/>
        <w:rPr>
          <w:color w:val="000000" w:themeColor="text1"/>
          <w14:textFill>
            <w14:solidFill>
              <w14:schemeClr w14:val="tx1"/>
            </w14:solidFill>
          </w14:textFill>
        </w:rPr>
      </w:pPr>
      <w:r>
        <w:rPr>
          <w:color w:val="000000" w:themeColor="text1"/>
          <w14:textFill>
            <w14:solidFill>
              <w14:schemeClr w14:val="tx1"/>
            </w14:solidFill>
          </w14:textFill>
        </w:rPr>
        <w:t>工程运营期作业机械高噪声源为码头前沿各类装卸机械，主要有双小车岸桥、</w:t>
      </w:r>
      <w:r>
        <w:rPr>
          <w:rFonts w:hint="eastAsia"/>
          <w:color w:val="000000" w:themeColor="text1"/>
          <w14:textFill>
            <w14:solidFill>
              <w14:schemeClr w14:val="tx1"/>
            </w14:solidFill>
          </w14:textFill>
        </w:rPr>
        <w:t>门机</w:t>
      </w:r>
      <w:r>
        <w:rPr>
          <w:color w:val="000000" w:themeColor="text1"/>
          <w14:textFill>
            <w14:solidFill>
              <w14:schemeClr w14:val="tx1"/>
            </w14:solidFill>
          </w14:textFill>
        </w:rPr>
        <w:t>、牵引半挂车、龙门吊等，根据同类工程现场实测资料，确定本工程主要装卸作业机械噪声源强见表4.</w:t>
      </w:r>
      <w:r>
        <w:rPr>
          <w:rFonts w:hint="eastAsia"/>
          <w:color w:val="000000" w:themeColor="text1"/>
          <w14:textFill>
            <w14:solidFill>
              <w14:schemeClr w14:val="tx1"/>
            </w14:solidFill>
          </w14:textFill>
        </w:rPr>
        <w:t>4</w:t>
      </w:r>
      <w:r>
        <w:rPr>
          <w:color w:val="000000" w:themeColor="text1"/>
          <w14:textFill>
            <w14:solidFill>
              <w14:schemeClr w14:val="tx1"/>
            </w14:solidFill>
          </w14:textFill>
        </w:rPr>
        <w:t>-2。</w:t>
      </w:r>
    </w:p>
    <w:p>
      <w:pPr>
        <w:pStyle w:val="1075"/>
        <w:ind w:firstLine="437"/>
        <w:rPr>
          <w:color w:val="000000" w:themeColor="text1"/>
          <w14:textFill>
            <w14:solidFill>
              <w14:schemeClr w14:val="tx1"/>
            </w14:solidFill>
          </w14:textFill>
        </w:rPr>
      </w:pPr>
      <w:r>
        <w:rPr>
          <w:rFonts w:hint="eastAsia" w:ascii="宋体" w:hAnsi="宋体" w:cs="宋体"/>
          <w:color w:val="000000" w:themeColor="text1"/>
          <w14:textFill>
            <w14:solidFill>
              <w14:schemeClr w14:val="tx1"/>
            </w14:solidFill>
          </w14:textFill>
        </w:rPr>
        <w:t>②</w:t>
      </w:r>
      <w:r>
        <w:rPr>
          <w:color w:val="000000" w:themeColor="text1"/>
          <w14:textFill>
            <w14:solidFill>
              <w14:schemeClr w14:val="tx1"/>
            </w14:solidFill>
          </w14:textFill>
        </w:rPr>
        <w:t xml:space="preserve"> 各声源在预测点产生的合成声级采用以下计算模式：</w:t>
      </w:r>
    </w:p>
    <w:p>
      <w:pPr>
        <w:pStyle w:val="1075"/>
        <w:ind w:firstLine="437"/>
        <w:rPr>
          <w:color w:val="000000" w:themeColor="text1"/>
          <w14:textFill>
            <w14:solidFill>
              <w14:schemeClr w14:val="tx1"/>
            </w14:solidFill>
          </w14:textFill>
        </w:rPr>
      </w:pPr>
      <w:r>
        <w:rPr>
          <w:color w:val="000000" w:themeColor="text1"/>
          <w14:textFill>
            <w14:solidFill>
              <w14:schemeClr w14:val="tx1"/>
            </w14:solidFill>
          </w14:textFill>
        </w:rPr>
        <w:drawing>
          <wp:anchor distT="0" distB="0" distL="114300" distR="114300" simplePos="0" relativeHeight="251699200" behindDoc="0" locked="0" layoutInCell="1" allowOverlap="1">
            <wp:simplePos x="0" y="0"/>
            <wp:positionH relativeFrom="column">
              <wp:posOffset>2175510</wp:posOffset>
            </wp:positionH>
            <wp:positionV relativeFrom="paragraph">
              <wp:posOffset>26670</wp:posOffset>
            </wp:positionV>
            <wp:extent cx="1371600" cy="457200"/>
            <wp:effectExtent l="0" t="0" r="0" b="0"/>
            <wp:wrapNone/>
            <wp:docPr id="2608" name="图片 2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8" name="图片 2608"/>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a:xfrm>
                      <a:off x="0" y="0"/>
                      <a:ext cx="1371600" cy="457200"/>
                    </a:xfrm>
                    <a:prstGeom prst="rect">
                      <a:avLst/>
                    </a:prstGeom>
                    <a:noFill/>
                  </pic:spPr>
                </pic:pic>
              </a:graphicData>
            </a:graphic>
          </wp:anchor>
        </w:drawing>
      </w:r>
    </w:p>
    <w:p>
      <w:pPr>
        <w:pStyle w:val="1075"/>
        <w:ind w:firstLine="437"/>
        <w:rPr>
          <w:color w:val="000000" w:themeColor="text1"/>
          <w14:textFill>
            <w14:solidFill>
              <w14:schemeClr w14:val="tx1"/>
            </w14:solidFill>
          </w14:textFill>
        </w:rPr>
      </w:pPr>
    </w:p>
    <w:p>
      <w:pPr>
        <w:pStyle w:val="283"/>
        <w:rPr>
          <w:color w:val="000000" w:themeColor="text1"/>
          <w14:textFill>
            <w14:solidFill>
              <w14:schemeClr w14:val="tx1"/>
            </w14:solidFill>
          </w14:textFill>
        </w:rPr>
      </w:pPr>
      <w:r>
        <w:rPr>
          <w:rFonts w:hint="eastAsia" w:ascii="宋体" w:hAnsi="宋体" w:cs="宋体"/>
          <w:color w:val="000000" w:themeColor="text1"/>
          <w14:textFill>
            <w14:solidFill>
              <w14:schemeClr w14:val="tx1"/>
            </w14:solidFill>
          </w14:textFill>
        </w:rPr>
        <w:t>③</w:t>
      </w:r>
      <w:r>
        <w:rPr>
          <w:color w:val="000000" w:themeColor="text1"/>
          <w14:textFill>
            <w14:solidFill>
              <w14:schemeClr w14:val="tx1"/>
            </w14:solidFill>
          </w14:textFill>
        </w:rPr>
        <w:t xml:space="preserve"> 计算预测点昼间或夜间的环境噪声预测值（LAeq）预计算式为：</w:t>
      </w:r>
    </w:p>
    <w:p>
      <w:pPr>
        <w:pStyle w:val="283"/>
        <w:rPr>
          <w:snapToGrid w:val="0"/>
          <w:color w:val="000000" w:themeColor="text1"/>
          <w14:textFill>
            <w14:solidFill>
              <w14:schemeClr w14:val="tx1"/>
            </w14:solidFill>
          </w14:textFill>
        </w:rPr>
      </w:pPr>
      <w:r>
        <w:rPr>
          <w:snapToGrid w:val="0"/>
          <w:color w:val="000000" w:themeColor="text1"/>
          <w14:textFill>
            <w14:solidFill>
              <w14:schemeClr w14:val="tx1"/>
            </w14:solidFill>
          </w14:textFill>
        </w:rPr>
        <w:t>（L</w:t>
      </w:r>
      <w:r>
        <w:rPr>
          <w:snapToGrid w:val="0"/>
          <w:color w:val="000000" w:themeColor="text1"/>
          <w:vertAlign w:val="subscript"/>
          <w14:textFill>
            <w14:solidFill>
              <w14:schemeClr w14:val="tx1"/>
            </w14:solidFill>
          </w14:textFill>
        </w:rPr>
        <w:t>Aeq</w:t>
      </w:r>
      <w:r>
        <w:rPr>
          <w:snapToGrid w:val="0"/>
          <w:color w:val="000000" w:themeColor="text1"/>
          <w14:textFill>
            <w14:solidFill>
              <w14:schemeClr w14:val="tx1"/>
            </w14:solidFill>
          </w14:textFill>
        </w:rPr>
        <w:t>）</w:t>
      </w:r>
      <w:r>
        <w:rPr>
          <w:snapToGrid w:val="0"/>
          <w:color w:val="000000" w:themeColor="text1"/>
          <w:vertAlign w:val="subscript"/>
          <w14:textFill>
            <w14:solidFill>
              <w14:schemeClr w14:val="tx1"/>
            </w14:solidFill>
          </w14:textFill>
        </w:rPr>
        <w:t>预</w:t>
      </w:r>
      <w:r>
        <w:rPr>
          <w:snapToGrid w:val="0"/>
          <w:color w:val="000000" w:themeColor="text1"/>
          <w14:textFill>
            <w14:solidFill>
              <w14:schemeClr w14:val="tx1"/>
            </w14:solidFill>
          </w14:textFill>
        </w:rPr>
        <w:t>＝10lg[10</w:t>
      </w:r>
      <w:r>
        <w:rPr>
          <w:snapToGrid w:val="0"/>
          <w:color w:val="000000" w:themeColor="text1"/>
          <w:vertAlign w:val="superscript"/>
          <w14:textFill>
            <w14:solidFill>
              <w14:schemeClr w14:val="tx1"/>
            </w14:solidFill>
          </w14:textFill>
        </w:rPr>
        <w:t>0.1（LAeq）TP</w:t>
      </w:r>
      <w:r>
        <w:rPr>
          <w:snapToGrid w:val="0"/>
          <w:color w:val="000000" w:themeColor="text1"/>
          <w14:textFill>
            <w14:solidFill>
              <w14:schemeClr w14:val="tx1"/>
            </w14:solidFill>
          </w14:textFill>
        </w:rPr>
        <w:t>+10</w:t>
      </w:r>
      <w:r>
        <w:rPr>
          <w:snapToGrid w:val="0"/>
          <w:color w:val="000000" w:themeColor="text1"/>
          <w:vertAlign w:val="superscript"/>
          <w14:textFill>
            <w14:solidFill>
              <w14:schemeClr w14:val="tx1"/>
            </w14:solidFill>
          </w14:textFill>
        </w:rPr>
        <w:t>0.1（LAeq）背</w:t>
      </w:r>
      <w:r>
        <w:rPr>
          <w:snapToGrid w:val="0"/>
          <w:color w:val="000000" w:themeColor="text1"/>
          <w14:textFill>
            <w14:solidFill>
              <w14:schemeClr w14:val="tx1"/>
            </w14:solidFill>
          </w14:textFill>
        </w:rPr>
        <w:t>]</w:t>
      </w:r>
    </w:p>
    <w:p>
      <w:pPr>
        <w:pStyle w:val="283"/>
        <w:rPr>
          <w:color w:val="000000" w:themeColor="text1"/>
          <w14:textFill>
            <w14:solidFill>
              <w14:schemeClr w14:val="tx1"/>
            </w14:solidFill>
          </w14:textFill>
        </w:rPr>
      </w:pPr>
      <w:r>
        <w:rPr>
          <w:color w:val="000000" w:themeColor="text1"/>
          <w14:textFill>
            <w14:solidFill>
              <w14:schemeClr w14:val="tx1"/>
            </w14:solidFill>
          </w14:textFill>
        </w:rPr>
        <w:t>式中：</w:t>
      </w:r>
      <w:r>
        <w:rPr>
          <w:snapToGrid w:val="0"/>
          <w:color w:val="000000" w:themeColor="text1"/>
          <w14:textFill>
            <w14:solidFill>
              <w14:schemeClr w14:val="tx1"/>
            </w14:solidFill>
          </w14:textFill>
        </w:rPr>
        <w:t>（L</w:t>
      </w:r>
      <w:r>
        <w:rPr>
          <w:snapToGrid w:val="0"/>
          <w:color w:val="000000" w:themeColor="text1"/>
          <w:vertAlign w:val="subscript"/>
          <w14:textFill>
            <w14:solidFill>
              <w14:schemeClr w14:val="tx1"/>
            </w14:solidFill>
          </w14:textFill>
        </w:rPr>
        <w:t>Aeq</w:t>
      </w:r>
      <w:r>
        <w:rPr>
          <w:snapToGrid w:val="0"/>
          <w:color w:val="000000" w:themeColor="text1"/>
          <w14:textFill>
            <w14:solidFill>
              <w14:schemeClr w14:val="tx1"/>
            </w14:solidFill>
          </w14:textFill>
        </w:rPr>
        <w:t>）</w:t>
      </w:r>
      <w:r>
        <w:rPr>
          <w:snapToGrid w:val="0"/>
          <w:color w:val="000000" w:themeColor="text1"/>
          <w:vertAlign w:val="subscript"/>
          <w14:textFill>
            <w14:solidFill>
              <w14:schemeClr w14:val="tx1"/>
            </w14:solidFill>
          </w14:textFill>
        </w:rPr>
        <w:t>背</w:t>
      </w:r>
      <w:r>
        <w:rPr>
          <w:snapToGrid w:val="0"/>
          <w:color w:val="000000" w:themeColor="text1"/>
          <w14:textFill>
            <w14:solidFill>
              <w14:schemeClr w14:val="tx1"/>
            </w14:solidFill>
          </w14:textFill>
        </w:rPr>
        <w:t>——环境噪声现状值，</w:t>
      </w:r>
      <w:r>
        <w:rPr>
          <w:color w:val="000000" w:themeColor="text1"/>
          <w14:textFill>
            <w14:solidFill>
              <w14:schemeClr w14:val="tx1"/>
            </w14:solidFill>
          </w14:textFill>
        </w:rPr>
        <w:t>[dB（A）]。</w:t>
      </w:r>
    </w:p>
    <w:p>
      <w:pPr>
        <w:pStyle w:val="1075"/>
        <w:ind w:firstLine="439"/>
        <w:rPr>
          <w:b/>
          <w:color w:val="000000" w:themeColor="text1"/>
          <w14:textFill>
            <w14:solidFill>
              <w14:schemeClr w14:val="tx1"/>
            </w14:solidFill>
          </w14:textFill>
        </w:rPr>
      </w:pPr>
      <w:r>
        <w:rPr>
          <w:b/>
          <w:color w:val="000000" w:themeColor="text1"/>
          <w14:textFill>
            <w14:solidFill>
              <w14:schemeClr w14:val="tx1"/>
            </w14:solidFill>
          </w14:textFill>
        </w:rPr>
        <w:t>2、计算条件</w:t>
      </w:r>
    </w:p>
    <w:p>
      <w:pPr>
        <w:pStyle w:val="1075"/>
        <w:ind w:firstLine="437"/>
        <w:rPr>
          <w:color w:val="000000" w:themeColor="text1"/>
          <w14:textFill>
            <w14:solidFill>
              <w14:schemeClr w14:val="tx1"/>
            </w14:solidFill>
          </w14:textFill>
        </w:rPr>
      </w:pPr>
      <w:r>
        <w:rPr>
          <w:rFonts w:hint="eastAsia" w:ascii="宋体" w:hAnsi="宋体" w:cs="宋体"/>
          <w:color w:val="000000" w:themeColor="text1"/>
          <w14:textFill>
            <w14:solidFill>
              <w14:schemeClr w14:val="tx1"/>
            </w14:solidFill>
          </w14:textFill>
        </w:rPr>
        <w:t>①</w:t>
      </w:r>
      <w:r>
        <w:rPr>
          <w:color w:val="000000" w:themeColor="text1"/>
          <w14:textFill>
            <w14:solidFill>
              <w14:schemeClr w14:val="tx1"/>
            </w14:solidFill>
          </w14:textFill>
        </w:rPr>
        <w:t xml:space="preserve"> 预测点位</w:t>
      </w:r>
    </w:p>
    <w:p>
      <w:pPr>
        <w:pStyle w:val="1075"/>
        <w:ind w:firstLine="437"/>
        <w:rPr>
          <w:color w:val="000000" w:themeColor="text1"/>
          <w14:textFill>
            <w14:solidFill>
              <w14:schemeClr w14:val="tx1"/>
            </w14:solidFill>
          </w14:textFill>
        </w:rPr>
      </w:pPr>
      <w:r>
        <w:rPr>
          <w:color w:val="000000" w:themeColor="text1"/>
          <w14:textFill>
            <w14:solidFill>
              <w14:schemeClr w14:val="tx1"/>
            </w14:solidFill>
          </w14:textFill>
        </w:rPr>
        <w:t>本项目评价范围内无声环境敏感点，项目</w:t>
      </w:r>
      <w:r>
        <w:rPr>
          <w:rFonts w:hint="eastAsia"/>
          <w:color w:val="000000" w:themeColor="text1"/>
          <w14:textFill>
            <w14:solidFill>
              <w14:schemeClr w14:val="tx1"/>
            </w14:solidFill>
          </w14:textFill>
        </w:rPr>
        <w:t>西</w:t>
      </w:r>
      <w:r>
        <w:rPr>
          <w:color w:val="000000" w:themeColor="text1"/>
          <w14:textFill>
            <w14:solidFill>
              <w14:schemeClr w14:val="tx1"/>
            </w14:solidFill>
          </w14:textFill>
        </w:rPr>
        <w:t>侧为靠近航道一侧，选取北、东和南侧场界进行预测。</w:t>
      </w:r>
    </w:p>
    <w:p>
      <w:pPr>
        <w:pStyle w:val="1075"/>
        <w:ind w:firstLine="437"/>
        <w:rPr>
          <w:color w:val="000000" w:themeColor="text1"/>
          <w14:textFill>
            <w14:solidFill>
              <w14:schemeClr w14:val="tx1"/>
            </w14:solidFill>
          </w14:textFill>
        </w:rPr>
      </w:pP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 2 \* GB3 </w:instrText>
      </w:r>
      <w:r>
        <w:rPr>
          <w:color w:val="000000" w:themeColor="text1"/>
          <w14:textFill>
            <w14:solidFill>
              <w14:schemeClr w14:val="tx1"/>
            </w14:solidFill>
          </w14:textFill>
        </w:rPr>
        <w:fldChar w:fldCharType="separate"/>
      </w:r>
      <w:r>
        <w:rPr>
          <w:rFonts w:hint="eastAsia" w:ascii="宋体" w:hAnsi="宋体" w:cs="宋体"/>
          <w:color w:val="000000" w:themeColor="text1"/>
          <w14:textFill>
            <w14:solidFill>
              <w14:schemeClr w14:val="tx1"/>
            </w14:solidFill>
          </w14:textFill>
        </w:rPr>
        <w:t>②</w:t>
      </w:r>
      <w:r>
        <w:rPr>
          <w:color w:val="000000" w:themeColor="text1"/>
          <w14:textFill>
            <w14:solidFill>
              <w14:schemeClr w14:val="tx1"/>
            </w14:solidFill>
          </w14:textFill>
        </w:rPr>
        <w:fldChar w:fldCharType="end"/>
      </w:r>
      <w:r>
        <w:rPr>
          <w:color w:val="000000" w:themeColor="text1"/>
          <w14:textFill>
            <w14:solidFill>
              <w14:schemeClr w14:val="tx1"/>
            </w14:solidFill>
          </w14:textFill>
        </w:rPr>
        <w:t xml:space="preserve"> 预测计算作业机械数量取值</w:t>
      </w:r>
    </w:p>
    <w:p>
      <w:pPr>
        <w:pStyle w:val="1075"/>
        <w:ind w:firstLine="437"/>
        <w:rPr>
          <w:color w:val="000000" w:themeColor="text1"/>
          <w14:textFill>
            <w14:solidFill>
              <w14:schemeClr w14:val="tx1"/>
            </w14:solidFill>
          </w14:textFill>
        </w:rPr>
      </w:pPr>
      <w:r>
        <w:rPr>
          <w:color w:val="000000" w:themeColor="text1"/>
          <w14:textFill>
            <w14:solidFill>
              <w14:schemeClr w14:val="tx1"/>
            </w14:solidFill>
          </w14:textFill>
        </w:rPr>
        <w:t>码头作业存在间歇性和作业机械流动性等特点，根据港区总平面布置情况，为最大程度反映港区机械噪声带来的影响，结合泊位及装卸机械利用情况，选择2个</w:t>
      </w:r>
      <w:r>
        <w:rPr>
          <w:rFonts w:hint="eastAsia"/>
          <w:color w:val="000000" w:themeColor="text1"/>
          <w14:textFill>
            <w14:solidFill>
              <w14:schemeClr w14:val="tx1"/>
            </w14:solidFill>
          </w14:textFill>
        </w:rPr>
        <w:t>20</w:t>
      </w:r>
      <w:r>
        <w:rPr>
          <w:color w:val="000000" w:themeColor="text1"/>
          <w14:textFill>
            <w14:solidFill>
              <w14:schemeClr w14:val="tx1"/>
            </w14:solidFill>
          </w14:textFill>
        </w:rPr>
        <w:t>万吨级</w:t>
      </w:r>
      <w:r>
        <w:rPr>
          <w:rFonts w:hint="eastAsia"/>
          <w:color w:val="000000" w:themeColor="text1"/>
          <w14:textFill>
            <w14:solidFill>
              <w14:schemeClr w14:val="tx1"/>
            </w14:solidFill>
          </w14:textFill>
        </w:rPr>
        <w:t>集装箱</w:t>
      </w:r>
      <w:r>
        <w:rPr>
          <w:color w:val="000000" w:themeColor="text1"/>
          <w14:textFill>
            <w14:solidFill>
              <w14:schemeClr w14:val="tx1"/>
            </w14:solidFill>
          </w14:textFill>
        </w:rPr>
        <w:t>泊位、</w:t>
      </w:r>
      <w:r>
        <w:rPr>
          <w:rFonts w:hint="eastAsia"/>
          <w:color w:val="000000" w:themeColor="text1"/>
          <w14:textFill>
            <w14:solidFill>
              <w14:schemeClr w14:val="tx1"/>
            </w14:solidFill>
          </w14:textFill>
        </w:rPr>
        <w:t>集装箱</w:t>
      </w:r>
      <w:r>
        <w:rPr>
          <w:color w:val="000000" w:themeColor="text1"/>
          <w14:textFill>
            <w14:solidFill>
              <w14:schemeClr w14:val="tx1"/>
            </w14:solidFill>
          </w14:textFill>
        </w:rPr>
        <w:t>堆场同时作业的最不利工况预测。</w:t>
      </w:r>
    </w:p>
    <w:p>
      <w:pPr>
        <w:pStyle w:val="384"/>
        <w:ind w:left="0" w:firstLine="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主要噪声源强</w:t>
      </w:r>
    </w:p>
    <w:tbl>
      <w:tblPr>
        <w:tblStyle w:val="436"/>
        <w:tblW w:w="8528" w:type="dxa"/>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056"/>
        <w:gridCol w:w="1747"/>
        <w:gridCol w:w="1373"/>
        <w:gridCol w:w="1320"/>
        <w:gridCol w:w="1816"/>
        <w:gridCol w:w="1216"/>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blHeader/>
        </w:trPr>
        <w:tc>
          <w:tcPr>
            <w:tcW w:w="1056" w:type="dxa"/>
            <w:vAlign w:val="center"/>
          </w:tcPr>
          <w:p>
            <w:pPr>
              <w:pStyle w:val="1856"/>
              <w:snapToGrid w:val="0"/>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噪声源</w:t>
            </w:r>
          </w:p>
        </w:tc>
        <w:tc>
          <w:tcPr>
            <w:tcW w:w="1747" w:type="dxa"/>
            <w:vAlign w:val="center"/>
          </w:tcPr>
          <w:p>
            <w:pPr>
              <w:pStyle w:val="1856"/>
              <w:snapToGrid w:val="0"/>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机械设备</w:t>
            </w:r>
          </w:p>
        </w:tc>
        <w:tc>
          <w:tcPr>
            <w:tcW w:w="1373" w:type="dxa"/>
            <w:vAlign w:val="center"/>
          </w:tcPr>
          <w:p>
            <w:pPr>
              <w:pStyle w:val="1856"/>
              <w:snapToGrid w:val="0"/>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单机噪声源强dB（A）</w:t>
            </w:r>
          </w:p>
        </w:tc>
        <w:tc>
          <w:tcPr>
            <w:tcW w:w="1320" w:type="dxa"/>
            <w:vAlign w:val="center"/>
          </w:tcPr>
          <w:p>
            <w:pPr>
              <w:pStyle w:val="1856"/>
              <w:snapToGrid w:val="0"/>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机械数量/台</w:t>
            </w:r>
          </w:p>
        </w:tc>
        <w:tc>
          <w:tcPr>
            <w:tcW w:w="1816" w:type="dxa"/>
            <w:vAlign w:val="center"/>
          </w:tcPr>
          <w:p>
            <w:pPr>
              <w:pStyle w:val="1856"/>
              <w:snapToGrid w:val="0"/>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至厂界最近距离（</w:t>
            </w:r>
            <w:r>
              <w:rPr>
                <w:rFonts w:hint="eastAsia"/>
                <w:color w:val="000000" w:themeColor="text1"/>
                <w:sz w:val="21"/>
                <w:szCs w:val="21"/>
                <w14:textFill>
                  <w14:solidFill>
                    <w14:schemeClr w14:val="tx1"/>
                  </w14:solidFill>
                </w14:textFill>
              </w:rPr>
              <w:t>m</w:t>
            </w:r>
            <w:r>
              <w:rPr>
                <w:color w:val="000000" w:themeColor="text1"/>
                <w:sz w:val="21"/>
                <w:szCs w:val="21"/>
                <w14:textFill>
                  <w14:solidFill>
                    <w14:schemeClr w14:val="tx1"/>
                  </w14:solidFill>
                </w14:textFill>
              </w:rPr>
              <w:t>）</w:t>
            </w:r>
          </w:p>
        </w:tc>
        <w:tc>
          <w:tcPr>
            <w:tcW w:w="1216" w:type="dxa"/>
            <w:vAlign w:val="center"/>
          </w:tcPr>
          <w:p>
            <w:pPr>
              <w:pStyle w:val="1856"/>
              <w:snapToGrid w:val="0"/>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声源位置</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63" w:hRule="atLeast"/>
        </w:trPr>
        <w:tc>
          <w:tcPr>
            <w:tcW w:w="1056" w:type="dxa"/>
            <w:vMerge w:val="restart"/>
            <w:vAlign w:val="center"/>
          </w:tcPr>
          <w:p>
            <w:pPr>
              <w:pStyle w:val="1856"/>
              <w:snapToGrid w:val="0"/>
              <w:ind w:firstLine="0" w:firstLineChars="0"/>
              <w:jc w:val="center"/>
              <w:rPr>
                <w:color w:val="000000" w:themeColor="text1"/>
                <w:sz w:val="21"/>
                <w:szCs w:val="21"/>
                <w14:textFill>
                  <w14:solidFill>
                    <w14:schemeClr w14:val="tx1"/>
                  </w14:solidFill>
                </w14:textFill>
              </w:rPr>
            </w:pPr>
            <w:bookmarkStart w:id="225" w:name="_Hlk135663078"/>
            <w:r>
              <w:rPr>
                <w:color w:val="000000" w:themeColor="text1"/>
                <w:sz w:val="21"/>
                <w:szCs w:val="21"/>
                <w14:textFill>
                  <w14:solidFill>
                    <w14:schemeClr w14:val="tx1"/>
                  </w14:solidFill>
                </w14:textFill>
              </w:rPr>
              <w:t>泊位</w:t>
            </w:r>
          </w:p>
        </w:tc>
        <w:tc>
          <w:tcPr>
            <w:tcW w:w="1747" w:type="dxa"/>
            <w:vAlign w:val="center"/>
          </w:tcPr>
          <w:p>
            <w:pPr>
              <w:pStyle w:val="1856"/>
              <w:snapToGrid w:val="0"/>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集装箱装卸桥</w:t>
            </w:r>
          </w:p>
        </w:tc>
        <w:tc>
          <w:tcPr>
            <w:tcW w:w="1373" w:type="dxa"/>
            <w:vAlign w:val="center"/>
          </w:tcPr>
          <w:p>
            <w:pPr>
              <w:pStyle w:val="1856"/>
              <w:snapToGrid w:val="0"/>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103</w:t>
            </w:r>
          </w:p>
        </w:tc>
        <w:tc>
          <w:tcPr>
            <w:tcW w:w="1320" w:type="dxa"/>
            <w:vAlign w:val="center"/>
          </w:tcPr>
          <w:p>
            <w:pPr>
              <w:pStyle w:val="1856"/>
              <w:snapToGrid w:val="0"/>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5</w:t>
            </w:r>
          </w:p>
        </w:tc>
        <w:tc>
          <w:tcPr>
            <w:tcW w:w="1816" w:type="dxa"/>
            <w:vAlign w:val="center"/>
          </w:tcPr>
          <w:p>
            <w:pPr>
              <w:pStyle w:val="1856"/>
              <w:snapToGrid w:val="0"/>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N,200、E,660</w:t>
            </w:r>
          </w:p>
        </w:tc>
        <w:tc>
          <w:tcPr>
            <w:tcW w:w="1216" w:type="dxa"/>
            <w:vAlign w:val="center"/>
          </w:tcPr>
          <w:p>
            <w:pPr>
              <w:pStyle w:val="1856"/>
              <w:snapToGrid w:val="0"/>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码头前沿</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63" w:hRule="atLeast"/>
        </w:trPr>
        <w:tc>
          <w:tcPr>
            <w:tcW w:w="1056" w:type="dxa"/>
            <w:vMerge w:val="continue"/>
            <w:vAlign w:val="center"/>
          </w:tcPr>
          <w:p>
            <w:pPr>
              <w:pStyle w:val="1856"/>
              <w:snapToGrid w:val="0"/>
              <w:ind w:firstLine="0" w:firstLineChars="0"/>
              <w:jc w:val="center"/>
              <w:rPr>
                <w:color w:val="000000" w:themeColor="text1"/>
                <w:sz w:val="21"/>
                <w:szCs w:val="21"/>
                <w14:textFill>
                  <w14:solidFill>
                    <w14:schemeClr w14:val="tx1"/>
                  </w14:solidFill>
                </w14:textFill>
              </w:rPr>
            </w:pPr>
          </w:p>
        </w:tc>
        <w:tc>
          <w:tcPr>
            <w:tcW w:w="1747" w:type="dxa"/>
            <w:vAlign w:val="center"/>
          </w:tcPr>
          <w:p>
            <w:pPr>
              <w:pStyle w:val="1856"/>
              <w:snapToGrid w:val="0"/>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轨道吊</w:t>
            </w:r>
          </w:p>
        </w:tc>
        <w:tc>
          <w:tcPr>
            <w:tcW w:w="1373" w:type="dxa"/>
            <w:vAlign w:val="center"/>
          </w:tcPr>
          <w:p>
            <w:pPr>
              <w:pStyle w:val="1856"/>
              <w:snapToGrid w:val="0"/>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90</w:t>
            </w:r>
          </w:p>
        </w:tc>
        <w:tc>
          <w:tcPr>
            <w:tcW w:w="1320" w:type="dxa"/>
            <w:vAlign w:val="center"/>
          </w:tcPr>
          <w:p>
            <w:pPr>
              <w:pStyle w:val="1856"/>
              <w:snapToGrid w:val="0"/>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16</w:t>
            </w:r>
          </w:p>
        </w:tc>
        <w:tc>
          <w:tcPr>
            <w:tcW w:w="1816" w:type="dxa"/>
            <w:vAlign w:val="center"/>
          </w:tcPr>
          <w:p>
            <w:pPr>
              <w:pStyle w:val="1856"/>
              <w:snapToGrid w:val="0"/>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N,200、E,650</w:t>
            </w:r>
          </w:p>
        </w:tc>
        <w:tc>
          <w:tcPr>
            <w:tcW w:w="1216" w:type="dxa"/>
            <w:vAlign w:val="center"/>
          </w:tcPr>
          <w:p>
            <w:pPr>
              <w:pStyle w:val="1856"/>
              <w:snapToGrid w:val="0"/>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码头前沿</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c>
          <w:tcPr>
            <w:tcW w:w="1056" w:type="dxa"/>
            <w:vAlign w:val="center"/>
          </w:tcPr>
          <w:p>
            <w:pPr>
              <w:pStyle w:val="1856"/>
              <w:snapToGrid w:val="0"/>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堆场</w:t>
            </w:r>
          </w:p>
        </w:tc>
        <w:tc>
          <w:tcPr>
            <w:tcW w:w="1747" w:type="dxa"/>
            <w:vAlign w:val="center"/>
          </w:tcPr>
          <w:p>
            <w:pPr>
              <w:pStyle w:val="1856"/>
              <w:snapToGrid w:val="0"/>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IGV小车</w:t>
            </w:r>
          </w:p>
        </w:tc>
        <w:tc>
          <w:tcPr>
            <w:tcW w:w="1373" w:type="dxa"/>
            <w:vAlign w:val="center"/>
          </w:tcPr>
          <w:p>
            <w:pPr>
              <w:pStyle w:val="1856"/>
              <w:snapToGrid w:val="0"/>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70</w:t>
            </w:r>
          </w:p>
        </w:tc>
        <w:tc>
          <w:tcPr>
            <w:tcW w:w="1320" w:type="dxa"/>
            <w:vAlign w:val="center"/>
          </w:tcPr>
          <w:p>
            <w:pPr>
              <w:pStyle w:val="1856"/>
              <w:snapToGrid w:val="0"/>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5</w:t>
            </w:r>
          </w:p>
        </w:tc>
        <w:tc>
          <w:tcPr>
            <w:tcW w:w="1816" w:type="dxa"/>
            <w:vAlign w:val="center"/>
          </w:tcPr>
          <w:p>
            <w:pPr>
              <w:pStyle w:val="1856"/>
              <w:snapToGrid w:val="0"/>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N,150、E,220</w:t>
            </w:r>
          </w:p>
        </w:tc>
        <w:tc>
          <w:tcPr>
            <w:tcW w:w="1216" w:type="dxa"/>
            <w:vAlign w:val="center"/>
          </w:tcPr>
          <w:p>
            <w:pPr>
              <w:pStyle w:val="1856"/>
              <w:snapToGrid w:val="0"/>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堆场</w:t>
            </w:r>
          </w:p>
        </w:tc>
      </w:tr>
      <w:bookmarkEnd w:id="225"/>
    </w:tbl>
    <w:p>
      <w:pPr>
        <w:pStyle w:val="1075"/>
        <w:ind w:firstLine="439"/>
        <w:rPr>
          <w:b/>
          <w:color w:val="000000" w:themeColor="text1"/>
          <w14:textFill>
            <w14:solidFill>
              <w14:schemeClr w14:val="tx1"/>
            </w14:solidFill>
          </w14:textFill>
        </w:rPr>
      </w:pPr>
      <w:r>
        <w:rPr>
          <w:b/>
          <w:color w:val="000000" w:themeColor="text1"/>
          <w14:textFill>
            <w14:solidFill>
              <w14:schemeClr w14:val="tx1"/>
            </w14:solidFill>
          </w14:textFill>
        </w:rPr>
        <w:t>3、预测结果</w:t>
      </w:r>
    </w:p>
    <w:p>
      <w:pPr>
        <w:pStyle w:val="1075"/>
        <w:ind w:firstLine="437"/>
        <w:rPr>
          <w:color w:val="000000" w:themeColor="text1"/>
          <w14:textFill>
            <w14:solidFill>
              <w14:schemeClr w14:val="tx1"/>
            </w14:solidFill>
          </w14:textFill>
        </w:rPr>
      </w:pPr>
      <w:r>
        <w:rPr>
          <w:color w:val="000000" w:themeColor="text1"/>
          <w14:textFill>
            <w14:solidFill>
              <w14:schemeClr w14:val="tx1"/>
            </w14:solidFill>
          </w14:textFill>
        </w:rPr>
        <w:t>预测结果见表4.</w:t>
      </w:r>
      <w:r>
        <w:rPr>
          <w:rFonts w:hint="eastAsia"/>
          <w:color w:val="000000" w:themeColor="text1"/>
          <w14:textFill>
            <w14:solidFill>
              <w14:schemeClr w14:val="tx1"/>
            </w14:solidFill>
          </w14:textFill>
        </w:rPr>
        <w:t>4</w:t>
      </w:r>
      <w:r>
        <w:rPr>
          <w:color w:val="000000" w:themeColor="text1"/>
          <w14:textFill>
            <w14:solidFill>
              <w14:schemeClr w14:val="tx1"/>
            </w14:solidFill>
          </w14:textFill>
        </w:rPr>
        <w:t>-3。</w:t>
      </w:r>
    </w:p>
    <w:p>
      <w:pPr>
        <w:pStyle w:val="384"/>
        <w:ind w:left="0" w:firstLine="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噪声预测结果</w:t>
      </w:r>
    </w:p>
    <w:tbl>
      <w:tblPr>
        <w:tblStyle w:val="88"/>
        <w:tblW w:w="8528" w:type="dxa"/>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413"/>
        <w:gridCol w:w="1892"/>
        <w:gridCol w:w="1325"/>
        <w:gridCol w:w="1950"/>
        <w:gridCol w:w="1948"/>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c>
          <w:tcPr>
            <w:tcW w:w="1413" w:type="dxa"/>
            <w:vMerge w:val="restart"/>
            <w:shd w:val="clear" w:color="auto" w:fill="auto"/>
            <w:vAlign w:val="center"/>
          </w:tcPr>
          <w:p>
            <w:pPr>
              <w:pStyle w:val="1856"/>
              <w:snapToGrid w:val="0"/>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预测点</w:t>
            </w:r>
          </w:p>
        </w:tc>
        <w:tc>
          <w:tcPr>
            <w:tcW w:w="1892" w:type="dxa"/>
            <w:vMerge w:val="restart"/>
            <w:shd w:val="clear" w:color="auto" w:fill="auto"/>
            <w:vAlign w:val="center"/>
          </w:tcPr>
          <w:p>
            <w:pPr>
              <w:pStyle w:val="1856"/>
              <w:snapToGrid w:val="0"/>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贡献</w:t>
            </w:r>
            <w:r>
              <w:rPr>
                <w:color w:val="000000" w:themeColor="text1"/>
                <w:sz w:val="21"/>
                <w:szCs w:val="21"/>
                <w14:textFill>
                  <w14:solidFill>
                    <w14:schemeClr w14:val="tx1"/>
                  </w14:solidFill>
                </w14:textFill>
              </w:rPr>
              <w:t>值[dB（A）]</w:t>
            </w:r>
          </w:p>
        </w:tc>
        <w:tc>
          <w:tcPr>
            <w:tcW w:w="1325" w:type="dxa"/>
            <w:vMerge w:val="restart"/>
            <w:shd w:val="clear" w:color="auto" w:fill="auto"/>
            <w:vAlign w:val="center"/>
          </w:tcPr>
          <w:p>
            <w:pPr>
              <w:pStyle w:val="1856"/>
              <w:snapToGrid w:val="0"/>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评价标准</w:t>
            </w:r>
          </w:p>
        </w:tc>
        <w:tc>
          <w:tcPr>
            <w:tcW w:w="3898" w:type="dxa"/>
            <w:gridSpan w:val="2"/>
            <w:shd w:val="clear" w:color="auto" w:fill="auto"/>
            <w:vAlign w:val="center"/>
          </w:tcPr>
          <w:p>
            <w:pPr>
              <w:pStyle w:val="1856"/>
              <w:snapToGrid w:val="0"/>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超标情况[dB（A）]</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c>
          <w:tcPr>
            <w:tcW w:w="1413" w:type="dxa"/>
            <w:vMerge w:val="continue"/>
            <w:shd w:val="clear" w:color="auto" w:fill="auto"/>
            <w:vAlign w:val="center"/>
          </w:tcPr>
          <w:p>
            <w:pPr>
              <w:pStyle w:val="1856"/>
              <w:snapToGrid w:val="0"/>
              <w:ind w:firstLine="0" w:firstLineChars="0"/>
              <w:jc w:val="center"/>
              <w:rPr>
                <w:color w:val="000000" w:themeColor="text1"/>
                <w:sz w:val="21"/>
                <w:szCs w:val="21"/>
                <w14:textFill>
                  <w14:solidFill>
                    <w14:schemeClr w14:val="tx1"/>
                  </w14:solidFill>
                </w14:textFill>
              </w:rPr>
            </w:pPr>
          </w:p>
        </w:tc>
        <w:tc>
          <w:tcPr>
            <w:tcW w:w="1892" w:type="dxa"/>
            <w:vMerge w:val="continue"/>
            <w:shd w:val="clear" w:color="auto" w:fill="auto"/>
            <w:vAlign w:val="center"/>
          </w:tcPr>
          <w:p>
            <w:pPr>
              <w:pStyle w:val="1856"/>
              <w:snapToGrid w:val="0"/>
              <w:ind w:firstLine="0" w:firstLineChars="0"/>
              <w:jc w:val="center"/>
              <w:rPr>
                <w:color w:val="000000" w:themeColor="text1"/>
                <w:sz w:val="21"/>
                <w:szCs w:val="21"/>
                <w14:textFill>
                  <w14:solidFill>
                    <w14:schemeClr w14:val="tx1"/>
                  </w14:solidFill>
                </w14:textFill>
              </w:rPr>
            </w:pPr>
          </w:p>
        </w:tc>
        <w:tc>
          <w:tcPr>
            <w:tcW w:w="1325" w:type="dxa"/>
            <w:vMerge w:val="continue"/>
            <w:shd w:val="clear" w:color="auto" w:fill="auto"/>
            <w:vAlign w:val="center"/>
          </w:tcPr>
          <w:p>
            <w:pPr>
              <w:pStyle w:val="1856"/>
              <w:snapToGrid w:val="0"/>
              <w:ind w:firstLine="0" w:firstLineChars="0"/>
              <w:jc w:val="center"/>
              <w:rPr>
                <w:color w:val="000000" w:themeColor="text1"/>
                <w:sz w:val="21"/>
                <w:szCs w:val="21"/>
                <w14:textFill>
                  <w14:solidFill>
                    <w14:schemeClr w14:val="tx1"/>
                  </w14:solidFill>
                </w14:textFill>
              </w:rPr>
            </w:pPr>
          </w:p>
        </w:tc>
        <w:tc>
          <w:tcPr>
            <w:tcW w:w="1950" w:type="dxa"/>
            <w:shd w:val="clear" w:color="auto" w:fill="auto"/>
            <w:vAlign w:val="center"/>
          </w:tcPr>
          <w:p>
            <w:pPr>
              <w:pStyle w:val="1856"/>
              <w:snapToGrid w:val="0"/>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昼间</w:t>
            </w:r>
            <w:r>
              <w:rPr>
                <w:rFonts w:hint="eastAsia"/>
                <w:color w:val="000000" w:themeColor="text1"/>
                <w:sz w:val="21"/>
                <w:szCs w:val="21"/>
                <w14:textFill>
                  <w14:solidFill>
                    <w14:schemeClr w14:val="tx1"/>
                  </w14:solidFill>
                </w14:textFill>
              </w:rPr>
              <w:t>[70</w:t>
            </w:r>
            <w:r>
              <w:rPr>
                <w:color w:val="000000" w:themeColor="text1"/>
                <w:sz w:val="21"/>
                <w:szCs w:val="21"/>
                <w14:textFill>
                  <w14:solidFill>
                    <w14:schemeClr w14:val="tx1"/>
                  </w14:solidFill>
                </w14:textFill>
              </w:rPr>
              <w:t xml:space="preserve"> dB（A）</w:t>
            </w:r>
            <w:r>
              <w:rPr>
                <w:rFonts w:hint="eastAsia"/>
                <w:color w:val="000000" w:themeColor="text1"/>
                <w:sz w:val="21"/>
                <w:szCs w:val="21"/>
                <w14:textFill>
                  <w14:solidFill>
                    <w14:schemeClr w14:val="tx1"/>
                  </w14:solidFill>
                </w14:textFill>
              </w:rPr>
              <w:t>]</w:t>
            </w:r>
          </w:p>
        </w:tc>
        <w:tc>
          <w:tcPr>
            <w:tcW w:w="1948" w:type="dxa"/>
            <w:shd w:val="clear" w:color="auto" w:fill="auto"/>
            <w:vAlign w:val="center"/>
          </w:tcPr>
          <w:p>
            <w:pPr>
              <w:pStyle w:val="1856"/>
              <w:snapToGrid w:val="0"/>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夜间</w:t>
            </w:r>
            <w:r>
              <w:rPr>
                <w:rFonts w:hint="eastAsia"/>
                <w:color w:val="000000" w:themeColor="text1"/>
                <w:sz w:val="21"/>
                <w:szCs w:val="21"/>
                <w14:textFill>
                  <w14:solidFill>
                    <w14:schemeClr w14:val="tx1"/>
                  </w14:solidFill>
                </w14:textFill>
              </w:rPr>
              <w:t>[55</w:t>
            </w:r>
            <w:r>
              <w:rPr>
                <w:color w:val="000000" w:themeColor="text1"/>
                <w:sz w:val="21"/>
                <w:szCs w:val="21"/>
                <w14:textFill>
                  <w14:solidFill>
                    <w14:schemeClr w14:val="tx1"/>
                  </w14:solidFill>
                </w14:textFill>
              </w:rPr>
              <w:t xml:space="preserve"> dB（A）</w:t>
            </w:r>
            <w:r>
              <w:rPr>
                <w:rFonts w:hint="eastAsia"/>
                <w:color w:val="000000" w:themeColor="text1"/>
                <w:sz w:val="21"/>
                <w:szCs w:val="21"/>
                <w14:textFill>
                  <w14:solidFill>
                    <w14:schemeClr w14:val="tx1"/>
                  </w14:solidFill>
                </w14:textFill>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c>
          <w:tcPr>
            <w:tcW w:w="1413" w:type="dxa"/>
            <w:shd w:val="clear" w:color="auto" w:fill="auto"/>
            <w:vAlign w:val="center"/>
          </w:tcPr>
          <w:p>
            <w:pPr>
              <w:pStyle w:val="1856"/>
              <w:snapToGrid w:val="0"/>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北侧场界</w:t>
            </w:r>
          </w:p>
        </w:tc>
        <w:tc>
          <w:tcPr>
            <w:tcW w:w="1892" w:type="dxa"/>
            <w:shd w:val="clear" w:color="auto" w:fill="auto"/>
            <w:vAlign w:val="center"/>
          </w:tcPr>
          <w:p>
            <w:pPr>
              <w:pStyle w:val="1856"/>
              <w:snapToGrid w:val="0"/>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50.41</w:t>
            </w:r>
          </w:p>
        </w:tc>
        <w:tc>
          <w:tcPr>
            <w:tcW w:w="1325" w:type="dxa"/>
            <w:shd w:val="clear" w:color="auto" w:fill="auto"/>
            <w:vAlign w:val="center"/>
          </w:tcPr>
          <w:p>
            <w:pPr>
              <w:pStyle w:val="1856"/>
              <w:snapToGrid w:val="0"/>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3</w:t>
            </w:r>
          </w:p>
        </w:tc>
        <w:tc>
          <w:tcPr>
            <w:tcW w:w="1950" w:type="dxa"/>
            <w:shd w:val="clear" w:color="auto" w:fill="auto"/>
          </w:tcPr>
          <w:p>
            <w:pPr>
              <w:pStyle w:val="1856"/>
              <w:snapToGrid w:val="0"/>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达标</w:t>
            </w:r>
          </w:p>
        </w:tc>
        <w:tc>
          <w:tcPr>
            <w:tcW w:w="1948" w:type="dxa"/>
            <w:shd w:val="clear" w:color="auto" w:fill="auto"/>
          </w:tcPr>
          <w:p>
            <w:pPr>
              <w:pStyle w:val="1856"/>
              <w:snapToGrid w:val="0"/>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c>
          <w:tcPr>
            <w:tcW w:w="1413" w:type="dxa"/>
            <w:shd w:val="clear" w:color="auto" w:fill="auto"/>
            <w:vAlign w:val="center"/>
          </w:tcPr>
          <w:p>
            <w:pPr>
              <w:pStyle w:val="1856"/>
              <w:snapToGrid w:val="0"/>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东侧场界</w:t>
            </w:r>
          </w:p>
        </w:tc>
        <w:tc>
          <w:tcPr>
            <w:tcW w:w="1892" w:type="dxa"/>
            <w:shd w:val="clear" w:color="auto" w:fill="auto"/>
          </w:tcPr>
          <w:p>
            <w:pPr>
              <w:pStyle w:val="1856"/>
              <w:snapToGrid w:val="0"/>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36.41</w:t>
            </w:r>
          </w:p>
        </w:tc>
        <w:tc>
          <w:tcPr>
            <w:tcW w:w="1325" w:type="dxa"/>
            <w:shd w:val="clear" w:color="auto" w:fill="auto"/>
            <w:vAlign w:val="center"/>
          </w:tcPr>
          <w:p>
            <w:pPr>
              <w:pStyle w:val="1856"/>
              <w:snapToGrid w:val="0"/>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3</w:t>
            </w:r>
          </w:p>
        </w:tc>
        <w:tc>
          <w:tcPr>
            <w:tcW w:w="1950" w:type="dxa"/>
            <w:shd w:val="clear" w:color="auto" w:fill="auto"/>
          </w:tcPr>
          <w:p>
            <w:pPr>
              <w:pStyle w:val="1856"/>
              <w:snapToGrid w:val="0"/>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达标</w:t>
            </w:r>
          </w:p>
        </w:tc>
        <w:tc>
          <w:tcPr>
            <w:tcW w:w="1948" w:type="dxa"/>
            <w:shd w:val="clear" w:color="auto" w:fill="auto"/>
            <w:vAlign w:val="center"/>
          </w:tcPr>
          <w:p>
            <w:pPr>
              <w:pStyle w:val="1856"/>
              <w:snapToGrid w:val="0"/>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达标</w:t>
            </w:r>
          </w:p>
        </w:tc>
      </w:tr>
    </w:tbl>
    <w:p>
      <w:pPr>
        <w:pStyle w:val="173"/>
        <w:jc w:val="left"/>
        <w:rPr>
          <w:color w:val="000000" w:themeColor="text1"/>
          <w14:textFill>
            <w14:solidFill>
              <w14:schemeClr w14:val="tx1"/>
            </w14:solidFill>
          </w14:textFill>
        </w:rPr>
      </w:pPr>
      <w:r>
        <w:rPr>
          <w:color w:val="000000" w:themeColor="text1"/>
          <w14:textFill>
            <w14:solidFill>
              <w14:schemeClr w14:val="tx1"/>
            </w14:solidFill>
          </w14:textFill>
        </w:rPr>
        <w:t>注：</w:t>
      </w:r>
      <w:r>
        <w:rPr>
          <w:rFonts w:hint="eastAsia"/>
          <w:color w:val="000000" w:themeColor="text1"/>
          <w14:textFill>
            <w14:solidFill>
              <w14:schemeClr w14:val="tx1"/>
            </w14:solidFill>
          </w14:textFill>
        </w:rPr>
        <w:t>西</w:t>
      </w:r>
      <w:r>
        <w:rPr>
          <w:color w:val="000000" w:themeColor="text1"/>
          <w14:textFill>
            <w14:solidFill>
              <w14:schemeClr w14:val="tx1"/>
            </w14:solidFill>
          </w14:textFill>
        </w:rPr>
        <w:t>场界</w:t>
      </w:r>
      <w:r>
        <w:rPr>
          <w:rFonts w:hint="eastAsia"/>
          <w:color w:val="000000" w:themeColor="text1"/>
          <w14:textFill>
            <w14:solidFill>
              <w14:schemeClr w14:val="tx1"/>
            </w14:solidFill>
          </w14:textFill>
        </w:rPr>
        <w:t>、南厂界</w:t>
      </w:r>
      <w:r>
        <w:rPr>
          <w:color w:val="000000" w:themeColor="text1"/>
          <w14:textFill>
            <w14:solidFill>
              <w14:schemeClr w14:val="tx1"/>
            </w14:solidFill>
          </w14:textFill>
        </w:rPr>
        <w:t>为水域用地范围边界，根据《排污单位自行监测技术指南总纲》（HJ819-2017）：面临海洋、大江、大河的厂界原则上不布点，因此，本评价不预测</w:t>
      </w:r>
      <w:r>
        <w:rPr>
          <w:rFonts w:hint="eastAsia"/>
          <w:color w:val="000000" w:themeColor="text1"/>
          <w14:textFill>
            <w14:solidFill>
              <w14:schemeClr w14:val="tx1"/>
            </w14:solidFill>
          </w14:textFill>
        </w:rPr>
        <w:t>西侧场界</w:t>
      </w:r>
      <w:r>
        <w:rPr>
          <w:color w:val="000000" w:themeColor="text1"/>
          <w14:textFill>
            <w14:solidFill>
              <w14:schemeClr w14:val="tx1"/>
            </w14:solidFill>
          </w14:textFill>
        </w:rPr>
        <w:t>、南侧场界的噪声。</w:t>
      </w:r>
    </w:p>
    <w:tbl>
      <w:tblPr>
        <w:tblStyle w:val="89"/>
        <w:tblW w:w="852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52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8528" w:type="dxa"/>
            <w:tcBorders>
              <w:top w:val="nil"/>
              <w:left w:val="nil"/>
              <w:bottom w:val="nil"/>
              <w:right w:val="nil"/>
            </w:tcBorders>
            <w:vAlign w:val="center"/>
          </w:tcPr>
          <w:p>
            <w:pPr>
              <w:pStyle w:val="1075"/>
              <w:ind w:firstLine="437"/>
              <w:rPr>
                <w:color w:val="000000" w:themeColor="text1"/>
                <w14:textFill>
                  <w14:solidFill>
                    <w14:schemeClr w14:val="tx1"/>
                  </w14:solidFill>
                </w14:textFill>
              </w:rPr>
            </w:pPr>
            <w:r>
              <w:rPr>
                <w:color w:val="000000" w:themeColor="text1"/>
                <w14:textFill>
                  <w14:solidFill>
                    <w14:schemeClr w14:val="tx1"/>
                  </w14:solidFill>
                </w14:textFill>
              </w:rPr>
              <w:drawing>
                <wp:inline distT="0" distB="0" distL="0" distR="0">
                  <wp:extent cx="4486275" cy="3324225"/>
                  <wp:effectExtent l="0" t="0" r="9525" b="9525"/>
                  <wp:docPr id="37662" name="图片 37662" descr="等声级线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662" name="图片 37662" descr="等声级线图"/>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a:xfrm>
                            <a:off x="0" y="0"/>
                            <a:ext cx="4486275" cy="3324225"/>
                          </a:xfrm>
                          <a:prstGeom prst="rect">
                            <a:avLst/>
                          </a:prstGeom>
                          <a:noFill/>
                          <a:ln>
                            <a:noFill/>
                          </a:ln>
                        </pic:spPr>
                      </pic:pic>
                    </a:graphicData>
                  </a:graphic>
                </wp:inline>
              </w:drawing>
            </w:r>
          </w:p>
          <w:p>
            <w:pPr>
              <w:pStyle w:val="553"/>
              <w:rPr>
                <w:color w:val="000000" w:themeColor="text1"/>
                <w14:textFill>
                  <w14:solidFill>
                    <w14:schemeClr w14:val="tx1"/>
                  </w14:solidFill>
                </w14:textFill>
              </w:rPr>
            </w:pPr>
            <w:r>
              <w:rPr>
                <w:rFonts w:hint="eastAsia"/>
                <w:color w:val="000000" w:themeColor="text1"/>
                <w14:textFill>
                  <w14:solidFill>
                    <w14:schemeClr w14:val="tx1"/>
                  </w14:solidFill>
                </w14:textFill>
              </w:rPr>
              <w:t>项目营运期水平等声级线图</w:t>
            </w:r>
          </w:p>
        </w:tc>
      </w:tr>
    </w:tbl>
    <w:p>
      <w:pPr>
        <w:pStyle w:val="1075"/>
        <w:ind w:firstLine="437"/>
        <w:rPr>
          <w:color w:val="000000" w:themeColor="text1"/>
          <w14:textFill>
            <w14:solidFill>
              <w14:schemeClr w14:val="tx1"/>
            </w14:solidFill>
          </w14:textFill>
        </w:rPr>
      </w:pPr>
      <w:r>
        <w:rPr>
          <w:color w:val="000000" w:themeColor="text1"/>
          <w14:textFill>
            <w14:solidFill>
              <w14:schemeClr w14:val="tx1"/>
            </w14:solidFill>
          </w14:textFill>
        </w:rPr>
        <w:t>项目场界执行《工业企业厂界环境噪声排放标准》（GB12348-2008）中</w:t>
      </w:r>
      <w:r>
        <w:rPr>
          <w:rFonts w:hint="eastAsia"/>
          <w:color w:val="000000" w:themeColor="text1"/>
          <w14:textFill>
            <w14:solidFill>
              <w14:schemeClr w14:val="tx1"/>
            </w14:solidFill>
          </w14:textFill>
        </w:rPr>
        <w:t>3</w:t>
      </w:r>
      <w:r>
        <w:rPr>
          <w:color w:val="000000" w:themeColor="text1"/>
          <w14:textFill>
            <w14:solidFill>
              <w14:schemeClr w14:val="tx1"/>
            </w14:solidFill>
          </w14:textFill>
        </w:rPr>
        <w:t>类标准值。由表4.</w:t>
      </w:r>
      <w:r>
        <w:rPr>
          <w:rFonts w:hint="eastAsia"/>
          <w:color w:val="000000" w:themeColor="text1"/>
          <w14:textFill>
            <w14:solidFill>
              <w14:schemeClr w14:val="tx1"/>
            </w14:solidFill>
          </w14:textFill>
        </w:rPr>
        <w:t>4</w:t>
      </w:r>
      <w:r>
        <w:rPr>
          <w:color w:val="000000" w:themeColor="text1"/>
          <w14:textFill>
            <w14:solidFill>
              <w14:schemeClr w14:val="tx1"/>
            </w14:solidFill>
          </w14:textFill>
        </w:rPr>
        <w:t>-3，在考虑多台作业机械同时作业的不利条件下，项目各侧场界噪声贡献值均满足</w:t>
      </w:r>
      <w:r>
        <w:rPr>
          <w:rFonts w:hint="eastAsia"/>
          <w:color w:val="000000" w:themeColor="text1"/>
          <w14:textFill>
            <w14:solidFill>
              <w14:schemeClr w14:val="tx1"/>
            </w14:solidFill>
          </w14:textFill>
        </w:rPr>
        <w:t>相应</w:t>
      </w:r>
      <w:r>
        <w:rPr>
          <w:color w:val="000000" w:themeColor="text1"/>
          <w14:textFill>
            <w14:solidFill>
              <w14:schemeClr w14:val="tx1"/>
            </w14:solidFill>
          </w14:textFill>
        </w:rPr>
        <w:t>标准要求。可见，本项目评价范围内无声环境敏感点，项目的实施对周边声环境影响较小。</w:t>
      </w:r>
    </w:p>
    <w:bookmarkEnd w:id="222"/>
    <w:bookmarkEnd w:id="223"/>
    <w:bookmarkEnd w:id="224"/>
    <w:p>
      <w:pPr>
        <w:pStyle w:val="4"/>
        <w:rPr>
          <w:color w:val="000000" w:themeColor="text1"/>
          <w14:textFill>
            <w14:solidFill>
              <w14:schemeClr w14:val="tx1"/>
            </w14:solidFill>
          </w14:textFill>
        </w:rPr>
      </w:pPr>
      <w:bookmarkStart w:id="226" w:name="_Toc317003264"/>
      <w:bookmarkStart w:id="227" w:name="_Toc247517484"/>
      <w:bookmarkStart w:id="228" w:name="_Toc247517557"/>
      <w:bookmarkStart w:id="229" w:name="_Toc170918613"/>
      <w:bookmarkStart w:id="230" w:name="_Toc232154507"/>
      <w:bookmarkStart w:id="231" w:name="_Toc247517328"/>
      <w:bookmarkStart w:id="232" w:name="_Toc317003544"/>
      <w:r>
        <w:rPr>
          <w:color w:val="000000" w:themeColor="text1"/>
          <w14:textFill>
            <w14:solidFill>
              <w14:schemeClr w14:val="tx1"/>
            </w14:solidFill>
          </w14:textFill>
        </w:rPr>
        <w:t>固体废物环境影响分析</w:t>
      </w:r>
      <w:bookmarkEnd w:id="226"/>
      <w:bookmarkEnd w:id="227"/>
      <w:bookmarkEnd w:id="228"/>
      <w:bookmarkEnd w:id="229"/>
      <w:bookmarkEnd w:id="230"/>
      <w:bookmarkEnd w:id="231"/>
      <w:bookmarkEnd w:id="232"/>
    </w:p>
    <w:p>
      <w:pPr>
        <w:pStyle w:val="5"/>
        <w:rPr>
          <w:color w:val="000000" w:themeColor="text1"/>
          <w14:textFill>
            <w14:solidFill>
              <w14:schemeClr w14:val="tx1"/>
            </w14:solidFill>
          </w14:textFill>
        </w:rPr>
      </w:pPr>
      <w:bookmarkStart w:id="233" w:name="_Toc247517329"/>
      <w:bookmarkStart w:id="234" w:name="_Toc232154508"/>
      <w:r>
        <w:rPr>
          <w:color w:val="000000" w:themeColor="text1"/>
          <w14:textFill>
            <w14:solidFill>
              <w14:schemeClr w14:val="tx1"/>
            </w14:solidFill>
          </w14:textFill>
        </w:rPr>
        <w:t>施工期固体废物环境影响分析</w:t>
      </w:r>
      <w:bookmarkEnd w:id="233"/>
      <w:bookmarkEnd w:id="234"/>
    </w:p>
    <w:p>
      <w:pPr>
        <w:pStyle w:val="1075"/>
        <w:ind w:firstLine="437"/>
        <w:rPr>
          <w:color w:val="000000" w:themeColor="text1"/>
          <w14:textFill>
            <w14:solidFill>
              <w14:schemeClr w14:val="tx1"/>
            </w14:solidFill>
          </w14:textFill>
        </w:rPr>
      </w:pPr>
      <w:r>
        <w:rPr>
          <w:color w:val="000000" w:themeColor="text1"/>
          <w14:textFill>
            <w14:solidFill>
              <w14:schemeClr w14:val="tx1"/>
            </w14:solidFill>
          </w14:textFill>
        </w:rPr>
        <w:t>项目施工期固体废物主要来自</w:t>
      </w:r>
      <w:r>
        <w:rPr>
          <w:rFonts w:hint="eastAsia"/>
          <w:color w:val="000000" w:themeColor="text1"/>
          <w14:textFill>
            <w14:solidFill>
              <w14:schemeClr w14:val="tx1"/>
            </w14:solidFill>
          </w14:textFill>
        </w:rPr>
        <w:t>施工船舶</w:t>
      </w:r>
      <w:r>
        <w:rPr>
          <w:color w:val="000000" w:themeColor="text1"/>
          <w14:textFill>
            <w14:solidFill>
              <w14:schemeClr w14:val="tx1"/>
            </w14:solidFill>
          </w14:textFill>
        </w:rPr>
        <w:t>垃圾、陆域</w:t>
      </w:r>
      <w:r>
        <w:rPr>
          <w:rFonts w:hint="eastAsia"/>
          <w:color w:val="000000" w:themeColor="text1"/>
          <w14:textFill>
            <w14:solidFill>
              <w14:schemeClr w14:val="tx1"/>
            </w14:solidFill>
          </w14:textFill>
        </w:rPr>
        <w:t>生产</w:t>
      </w:r>
      <w:r>
        <w:rPr>
          <w:color w:val="000000" w:themeColor="text1"/>
          <w14:textFill>
            <w14:solidFill>
              <w14:schemeClr w14:val="tx1"/>
            </w14:solidFill>
          </w14:textFill>
        </w:rPr>
        <w:t>生活垃圾及疏浚土石。</w:t>
      </w:r>
    </w:p>
    <w:p>
      <w:pPr>
        <w:pStyle w:val="6"/>
        <w:rPr>
          <w:color w:val="000000" w:themeColor="text1"/>
          <w14:textFill>
            <w14:solidFill>
              <w14:schemeClr w14:val="tx1"/>
            </w14:solidFill>
          </w14:textFill>
        </w:rPr>
      </w:pPr>
      <w:r>
        <w:rPr>
          <w:rFonts w:hint="eastAsia"/>
          <w:color w:val="000000" w:themeColor="text1"/>
          <w14:textFill>
            <w14:solidFill>
              <w14:schemeClr w14:val="tx1"/>
            </w14:solidFill>
          </w14:textFill>
        </w:rPr>
        <w:t>疏浚土石</w:t>
      </w:r>
    </w:p>
    <w:p>
      <w:pPr>
        <w:pStyle w:val="1075"/>
        <w:ind w:firstLine="439"/>
        <w:rPr>
          <w:b/>
          <w:color w:val="000000" w:themeColor="text1"/>
          <w14:textFill>
            <w14:solidFill>
              <w14:schemeClr w14:val="tx1"/>
            </w14:solidFill>
          </w14:textFill>
        </w:rPr>
      </w:pPr>
      <w:r>
        <w:rPr>
          <w:rFonts w:hint="eastAsia"/>
          <w:b/>
          <w:color w:val="000000" w:themeColor="text1"/>
          <w14:textFill>
            <w14:solidFill>
              <w14:schemeClr w14:val="tx1"/>
            </w14:solidFill>
          </w14:textFill>
        </w:rPr>
        <w:t>1、疏浚土石产生量</w:t>
      </w:r>
    </w:p>
    <w:p>
      <w:pPr>
        <w:pStyle w:val="1075"/>
        <w:ind w:firstLine="437"/>
        <w:rPr>
          <w:color w:val="000000" w:themeColor="text1"/>
          <w14:textFill>
            <w14:solidFill>
              <w14:schemeClr w14:val="tx1"/>
            </w14:solidFill>
          </w14:textFill>
        </w:rPr>
      </w:pPr>
      <w:r>
        <w:rPr>
          <w:color w:val="000000" w:themeColor="text1"/>
          <w14:textFill>
            <w14:solidFill>
              <w14:schemeClr w14:val="tx1"/>
            </w14:solidFill>
          </w14:textFill>
        </w:rPr>
        <w:t>港池疏浚工程量</w:t>
      </w:r>
      <w:r>
        <w:rPr>
          <w:rFonts w:hint="eastAsia"/>
          <w:color w:val="000000" w:themeColor="text1"/>
          <w14:textFill>
            <w14:solidFill>
              <w14:schemeClr w14:val="tx1"/>
            </w14:solidFill>
          </w14:textFill>
        </w:rPr>
        <w:t>204.7</w:t>
      </w:r>
      <w:r>
        <w:rPr>
          <w:color w:val="000000" w:themeColor="text1"/>
          <w14:textFill>
            <w14:solidFill>
              <w14:schemeClr w14:val="tx1"/>
            </w14:solidFill>
          </w14:textFill>
        </w:rPr>
        <w:t>万m</w:t>
      </w:r>
      <w:r>
        <w:rPr>
          <w:color w:val="000000" w:themeColor="text1"/>
          <w:vertAlign w:val="superscript"/>
          <w14:textFill>
            <w14:solidFill>
              <w14:schemeClr w14:val="tx1"/>
            </w14:solidFill>
          </w14:textFill>
        </w:rPr>
        <w:t>3</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其中本项目利用约81.3万m</w:t>
      </w:r>
      <w:r>
        <w:rPr>
          <w:rFonts w:hint="eastAsia"/>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疏浚砂用于钦州保税港区昊鼎物流配送中心项目陆域形成；47.6万m</w:t>
      </w:r>
      <w:r>
        <w:rPr>
          <w:rFonts w:hint="eastAsia"/>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强风化岩和中风化岩炸礁碴石及75.8万m</w:t>
      </w:r>
      <w:r>
        <w:rPr>
          <w:rFonts w:hint="eastAsia"/>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疏浚土石由泥驳运至53km外的钦州港30万吨级进港航道疏浚工程疏浚物临时性海洋倾倒区B区抛卸，下一步施工单位应办理倾倒许可证并缴纳废弃物海洋倾倒费。</w:t>
      </w:r>
    </w:p>
    <w:p>
      <w:pPr>
        <w:pStyle w:val="1075"/>
        <w:ind w:firstLine="439"/>
        <w:rPr>
          <w:b/>
          <w:color w:val="000000" w:themeColor="text1"/>
          <w14:textFill>
            <w14:solidFill>
              <w14:schemeClr w14:val="tx1"/>
            </w14:solidFill>
          </w14:textFill>
        </w:rPr>
      </w:pPr>
      <w:r>
        <w:rPr>
          <w:rFonts w:hint="eastAsia"/>
          <w:b/>
          <w:color w:val="000000" w:themeColor="text1"/>
          <w14:textFill>
            <w14:solidFill>
              <w14:schemeClr w14:val="tx1"/>
            </w14:solidFill>
          </w14:textFill>
        </w:rPr>
        <w:t>2、疏浚物成分分析</w:t>
      </w:r>
    </w:p>
    <w:p>
      <w:pPr>
        <w:pStyle w:val="1075"/>
        <w:ind w:firstLine="437"/>
        <w:rPr>
          <w:color w:val="000000" w:themeColor="text1"/>
          <w14:textFill>
            <w14:solidFill>
              <w14:schemeClr w14:val="tx1"/>
            </w14:solidFill>
          </w14:textFill>
        </w:rPr>
      </w:pPr>
      <w:r>
        <w:rPr>
          <w:color w:val="000000" w:themeColor="text1"/>
          <w14:textFill>
            <w14:solidFill>
              <w14:schemeClr w14:val="tx1"/>
            </w14:solidFill>
          </w14:textFill>
        </w:rPr>
        <w:t>根据本项目疏浚、炸礁区域平面布置图，项目疏浚位置主要集中在码头前沿停泊水域及回旋水域，现有</w:t>
      </w:r>
      <w:r>
        <w:rPr>
          <w:rFonts w:hint="eastAsia"/>
          <w:color w:val="000000" w:themeColor="text1"/>
          <w14:textFill>
            <w14:solidFill>
              <w14:schemeClr w14:val="tx1"/>
            </w14:solidFill>
          </w14:textFill>
        </w:rPr>
        <w:t>9号10号泊位工程码头前沿停泊水域及回旋水域于2021年进行疏浚，疏浚期间建设单位广西钦州保税港区盛港码头有限公司委托生态环境部珠江流域南海海域生态环境监督管理局生态环境监测与科学研究中心编制《钦州港大榄坪港区大榄坪南作业区泊位水域疏浚一期工程疏浚物海洋倾倒检验评价报告》并出具检测报告（附件21），现有工程与本次扩建疏浚位置相邻，该项目疏浚物成分与本项目疏浚区域基本一致。</w:t>
      </w:r>
    </w:p>
    <w:p>
      <w:pPr>
        <w:pStyle w:val="1075"/>
        <w:ind w:firstLine="437"/>
        <w:rPr>
          <w:color w:val="000000" w:themeColor="text1"/>
          <w14:textFill>
            <w14:solidFill>
              <w14:schemeClr w14:val="tx1"/>
            </w14:solidFill>
          </w14:textFill>
        </w:rPr>
      </w:pPr>
      <w:r>
        <w:rPr>
          <w:rFonts w:hint="eastAsia"/>
          <w:color w:val="000000" w:themeColor="text1"/>
          <w14:textFill>
            <w14:solidFill>
              <w14:schemeClr w14:val="tx1"/>
            </w14:solidFill>
          </w14:textFill>
        </w:rPr>
        <w:t>疏浚物检测点位分布见图4.5-1。根据《钦州港大榄坪港区大榄坪南作业区泊位水域疏浚一期工程疏浚物海洋倾倒检验评价报告》，各检测点样品呈棕色或灰色，稍有腥臭味，各点化学测试结果见表4.5-1，粒度分析结果见表4.5-2。由检测结果可知，各点位疏浚物海洋倾倒分类均属于《海洋倾倒物质评价规范 疏浚物》（GB3</w:t>
      </w:r>
      <w:r>
        <w:rPr>
          <w:color w:val="000000" w:themeColor="text1"/>
          <w14:textFill>
            <w14:solidFill>
              <w14:schemeClr w14:val="tx1"/>
            </w14:solidFill>
          </w14:textFill>
        </w:rPr>
        <w:t>0980—2014</w:t>
      </w:r>
      <w:r>
        <w:rPr>
          <w:rFonts w:hint="eastAsia"/>
          <w:color w:val="000000" w:themeColor="text1"/>
          <w14:textFill>
            <w14:solidFill>
              <w14:schemeClr w14:val="tx1"/>
            </w14:solidFill>
          </w14:textFill>
        </w:rPr>
        <w:t>）中清洁疏浚物（Ⅰ类），可直接倾倒处置，符合倾倒相关标准和要求。</w:t>
      </w:r>
    </w:p>
    <w:tbl>
      <w:tblPr>
        <w:tblStyle w:val="89"/>
        <w:tblW w:w="852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52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8528" w:type="dxa"/>
            <w:tcBorders>
              <w:top w:val="nil"/>
              <w:left w:val="nil"/>
              <w:bottom w:val="nil"/>
              <w:right w:val="nil"/>
            </w:tcBorders>
            <w:vAlign w:val="center"/>
          </w:tcPr>
          <w:p>
            <w:pPr>
              <w:pStyle w:val="1075"/>
              <w:ind w:firstLine="0" w:firstLineChars="0"/>
              <w:jc w:val="center"/>
              <w:rPr>
                <w:color w:val="000000" w:themeColor="text1"/>
                <w:u w:val="single"/>
                <w14:textFill>
                  <w14:solidFill>
                    <w14:schemeClr w14:val="tx1"/>
                  </w14:solidFill>
                </w14:textFill>
              </w:rPr>
            </w:pPr>
          </w:p>
          <w:p>
            <w:pPr>
              <w:pStyle w:val="553"/>
              <w:ind w:left="0" w:firstLine="0"/>
              <w:rPr>
                <w:color w:val="000000" w:themeColor="text1"/>
                <w:u w:val="single"/>
                <w14:textFill>
                  <w14:solidFill>
                    <w14:schemeClr w14:val="tx1"/>
                  </w14:solidFill>
                </w14:textFill>
              </w:rPr>
            </w:pPr>
            <w:r>
              <w:rPr>
                <w:color w:val="000000" w:themeColor="text1"/>
                <w14:textFill>
                  <w14:solidFill>
                    <w14:schemeClr w14:val="tx1"/>
                  </w14:solidFill>
                </w14:textFill>
              </w:rPr>
              <w:t>疏浚物检测点位</w:t>
            </w:r>
          </w:p>
        </w:tc>
      </w:tr>
    </w:tbl>
    <w:p>
      <w:pPr>
        <w:rPr>
          <w:color w:val="000000" w:themeColor="text1"/>
          <w14:textFill>
            <w14:solidFill>
              <w14:schemeClr w14:val="tx1"/>
            </w14:solidFill>
          </w14:textFill>
        </w:rPr>
        <w:sectPr>
          <w:pgSz w:w="11907" w:h="16840"/>
          <w:pgMar w:top="1440" w:right="1514" w:bottom="1440" w:left="1797" w:header="992" w:footer="851" w:gutter="284"/>
          <w:pgNumType w:fmt="numberInDash"/>
          <w:cols w:space="425" w:num="1"/>
          <w:docGrid w:type="linesAndChars" w:linePitch="465" w:charSpace="-4355"/>
        </w:sectPr>
      </w:pPr>
    </w:p>
    <w:p>
      <w:pPr>
        <w:pStyle w:val="384"/>
        <w:ind w:left="0" w:firstLine="0"/>
        <w:rPr>
          <w:color w:val="000000" w:themeColor="text1"/>
          <w14:textFill>
            <w14:solidFill>
              <w14:schemeClr w14:val="tx1"/>
            </w14:solidFill>
          </w14:textFill>
        </w:rPr>
      </w:pPr>
      <w:r>
        <w:rPr>
          <w:color w:val="000000" w:themeColor="text1"/>
          <w14:textFill>
            <w14:solidFill>
              <w14:schemeClr w14:val="tx1"/>
            </w14:solidFill>
          </w14:textFill>
        </w:rPr>
        <w:t>疏浚物化学测试结果表</w:t>
      </w:r>
    </w:p>
    <w:p>
      <w:pPr>
        <w:rPr>
          <w:color w:val="000000" w:themeColor="text1"/>
          <w14:textFill>
            <w14:solidFill>
              <w14:schemeClr w14:val="tx1"/>
            </w14:solidFill>
          </w14:textFill>
        </w:rPr>
      </w:pPr>
    </w:p>
    <w:p>
      <w:pPr>
        <w:rPr>
          <w:color w:val="000000" w:themeColor="text1"/>
          <w14:textFill>
            <w14:solidFill>
              <w14:schemeClr w14:val="tx1"/>
            </w14:solidFill>
          </w14:textFill>
        </w:rPr>
        <w:sectPr>
          <w:pgSz w:w="16840" w:h="11907" w:orient="landscape"/>
          <w:pgMar w:top="1797" w:right="1440" w:bottom="1514" w:left="1440" w:header="992" w:footer="851" w:gutter="284"/>
          <w:pgNumType w:fmt="numberInDash"/>
          <w:cols w:space="425" w:num="1"/>
          <w:docGrid w:type="linesAndChars" w:linePitch="465" w:charSpace="-4355"/>
        </w:sectPr>
      </w:pPr>
    </w:p>
    <w:p>
      <w:pPr>
        <w:pStyle w:val="384"/>
        <w:ind w:left="0" w:firstLine="0"/>
        <w:rPr>
          <w:color w:val="000000" w:themeColor="text1"/>
          <w14:textFill>
            <w14:solidFill>
              <w14:schemeClr w14:val="tx1"/>
            </w14:solidFill>
          </w14:textFill>
        </w:rPr>
      </w:pPr>
      <w:r>
        <w:rPr>
          <w:rFonts w:hint="eastAsia"/>
          <w:color w:val="000000" w:themeColor="text1"/>
          <w14:textFill>
            <w14:solidFill>
              <w14:schemeClr w14:val="tx1"/>
            </w14:solidFill>
          </w14:textFill>
        </w:rPr>
        <w:t>疏浚物粒度分析结果表</w:t>
      </w:r>
    </w:p>
    <w:p>
      <w:pPr>
        <w:pStyle w:val="1075"/>
        <w:ind w:firstLine="439"/>
        <w:rPr>
          <w:b/>
          <w:color w:val="000000" w:themeColor="text1"/>
          <w14:textFill>
            <w14:solidFill>
              <w14:schemeClr w14:val="tx1"/>
            </w14:solidFill>
          </w14:textFill>
        </w:rPr>
      </w:pPr>
      <w:r>
        <w:rPr>
          <w:rFonts w:hint="eastAsia"/>
          <w:b/>
          <w:color w:val="000000" w:themeColor="text1"/>
          <w14:textFill>
            <w14:solidFill>
              <w14:schemeClr w14:val="tx1"/>
            </w14:solidFill>
          </w14:textFill>
        </w:rPr>
        <w:t>3、疏浚物倾倒去向</w:t>
      </w:r>
    </w:p>
    <w:p>
      <w:pPr>
        <w:pStyle w:val="1075"/>
        <w:ind w:firstLine="437"/>
        <w:rPr>
          <w:color w:val="000000" w:themeColor="text1"/>
          <w14:textFill>
            <w14:solidFill>
              <w14:schemeClr w14:val="tx1"/>
            </w14:solidFill>
          </w14:textFill>
        </w:rPr>
      </w:pPr>
      <w:r>
        <w:rPr>
          <w:rFonts w:hint="eastAsia"/>
          <w:color w:val="000000" w:themeColor="text1"/>
          <w14:textFill>
            <w14:solidFill>
              <w14:schemeClr w14:val="tx1"/>
            </w14:solidFill>
          </w14:textFill>
        </w:rPr>
        <w:t>钦州港30万吨级进港航道疏浚工程疏浚物临时性海洋倾倒区B区属于公共倾倒区，疏浚物外抛的相关环境影响不纳入本次评价范围。本项目为广西壮族自治区级重大项目，项目倾倒总量为123.4万m</w:t>
      </w:r>
      <w:r>
        <w:rPr>
          <w:rFonts w:hint="eastAsia"/>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，项目疏浚物倾倒应按照《中华人民共和国海洋倾废管理条例》及自治区海洋局相关要求办理倾倒证，严格按照倾倒证许可的倾倒废弃物类型及数量进行倾倒，禁止改变倾倒物类别及新增倾倒物数量。</w:t>
      </w:r>
    </w:p>
    <w:p>
      <w:pPr>
        <w:pStyle w:val="1075"/>
        <w:ind w:firstLine="439"/>
        <w:rPr>
          <w:b/>
          <w:color w:val="000000" w:themeColor="text1"/>
          <w14:textFill>
            <w14:solidFill>
              <w14:schemeClr w14:val="tx1"/>
            </w14:solidFill>
          </w14:textFill>
        </w:rPr>
      </w:pPr>
      <w:r>
        <w:rPr>
          <w:rFonts w:hint="eastAsia"/>
          <w:b/>
          <w:color w:val="000000" w:themeColor="text1"/>
          <w14:textFill>
            <w14:solidFill>
              <w14:schemeClr w14:val="tx1"/>
            </w14:solidFill>
          </w14:textFill>
        </w:rPr>
        <w:t>4、疏浚土石倾倒区可行性</w:t>
      </w:r>
    </w:p>
    <w:p>
      <w:pPr>
        <w:pStyle w:val="283"/>
        <w:rPr>
          <w:color w:val="000000" w:themeColor="text1"/>
          <w14:textFill>
            <w14:solidFill>
              <w14:schemeClr w14:val="tx1"/>
            </w14:solidFill>
          </w14:textFill>
        </w:rPr>
      </w:pPr>
      <w:r>
        <w:rPr>
          <w:color w:val="000000" w:themeColor="text1"/>
          <w14:textFill>
            <w14:solidFill>
              <w14:schemeClr w14:val="tx1"/>
            </w14:solidFill>
          </w14:textFill>
        </w:rPr>
        <w:t>工程疏浚物</w:t>
      </w:r>
      <w:r>
        <w:rPr>
          <w:rFonts w:hint="eastAsia"/>
          <w:color w:val="000000" w:themeColor="text1"/>
          <w14:textFill>
            <w14:solidFill>
              <w14:schemeClr w14:val="tx1"/>
            </w14:solidFill>
          </w14:textFill>
        </w:rPr>
        <w:t>123.4</w:t>
      </w:r>
      <w:r>
        <w:rPr>
          <w:color w:val="000000" w:themeColor="text1"/>
          <w14:textFill>
            <w14:solidFill>
              <w14:schemeClr w14:val="tx1"/>
            </w14:solidFill>
          </w14:textFill>
        </w:rPr>
        <w:t>万m</w:t>
      </w:r>
      <w:r>
        <w:rPr>
          <w:color w:val="000000" w:themeColor="text1"/>
          <w:vertAlign w:val="superscript"/>
          <w14:textFill>
            <w14:solidFill>
              <w14:schemeClr w14:val="tx1"/>
            </w14:solidFill>
          </w14:textFill>
        </w:rPr>
        <w:t>3</w:t>
      </w:r>
      <w:r>
        <w:rPr>
          <w:color w:val="000000" w:themeColor="text1"/>
          <w14:textFill>
            <w14:solidFill>
              <w14:schemeClr w14:val="tx1"/>
            </w14:solidFill>
          </w14:textFill>
        </w:rPr>
        <w:t>外抛至钦州港30万吨级进港航道疏浚工程疏浚物临时性海洋倾倒区</w:t>
      </w:r>
      <w:r>
        <w:rPr>
          <w:rFonts w:hint="eastAsia"/>
          <w:color w:val="000000" w:themeColor="text1"/>
          <w14:textFill>
            <w14:solidFill>
              <w14:schemeClr w14:val="tx1"/>
            </w14:solidFill>
          </w14:textFill>
        </w:rPr>
        <w:t>B</w:t>
      </w:r>
      <w:r>
        <w:rPr>
          <w:color w:val="000000" w:themeColor="text1"/>
          <w14:textFill>
            <w14:solidFill>
              <w14:schemeClr w14:val="tx1"/>
            </w14:solidFill>
          </w14:textFill>
        </w:rPr>
        <w:t>区</w:t>
      </w:r>
      <w:r>
        <w:rPr>
          <w:rFonts w:hint="eastAsia"/>
          <w:color w:val="000000" w:themeColor="text1"/>
          <w14:textFill>
            <w14:solidFill>
              <w14:schemeClr w14:val="tx1"/>
            </w14:solidFill>
          </w14:textFill>
        </w:rPr>
        <w:t>，倾倒区B区为2021年12月通过的《全国海洋倾倒区规划（2021—2025年）》中已批复的倾倒区。至2023年5月，倾倒区B区论证年倾倒容量为1500万m</w:t>
      </w:r>
      <w:r>
        <w:rPr>
          <w:rFonts w:hint="eastAsia"/>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，本项目为广西壮族自治区级重大项目，项目倾倒总量占该倾倒区年倾倒容量的8.22%。</w:t>
      </w:r>
    </w:p>
    <w:p>
      <w:pPr>
        <w:pStyle w:val="283"/>
        <w:rPr>
          <w:color w:val="000000" w:themeColor="text1"/>
          <w14:textFill>
            <w14:solidFill>
              <w14:schemeClr w14:val="tx1"/>
            </w14:solidFill>
          </w14:textFill>
        </w:rPr>
      </w:pPr>
      <w:r>
        <w:rPr>
          <w:rFonts w:hint="eastAsia"/>
          <w:color w:val="000000" w:themeColor="text1"/>
          <w14:textFill>
            <w14:solidFill>
              <w14:schemeClr w14:val="tx1"/>
            </w14:solidFill>
          </w14:textFill>
        </w:rPr>
        <w:t>根据疏浚物成分分析，本项目疏浚物均为清洁疏浚物（Ⅰ类），疏浚物中镉、汞、六六六、滴滴涕、多氯联苯总量不超过化学评价限值的下限，疏浚物中砷、铬、铜、铅、锌、有机碳、硫化物、油类，其中不多于两种的含量超过化学评价限值的下限，但不超过上限与下限的平均值，且其小于4μm的粒度组分含量不大于5%，小于63μm的粒度组分含量不大于20%，疏浚物由抓斗式挖泥船转运至泥驳后可直接抛卸至抛泥区，疏浚物抛卸至抛泥区环境可行。</w:t>
      </w:r>
    </w:p>
    <w:p>
      <w:pPr>
        <w:pStyle w:val="283"/>
        <w:rPr>
          <w:color w:val="000000" w:themeColor="text1"/>
          <w14:textFill>
            <w14:solidFill>
              <w14:schemeClr w14:val="tx1"/>
            </w14:solidFill>
          </w14:textFill>
        </w:rPr>
      </w:pPr>
      <w:r>
        <w:rPr>
          <w:rFonts w:hint="eastAsia"/>
          <w:color w:val="000000" w:themeColor="text1"/>
          <w14:textFill>
            <w14:solidFill>
              <w14:schemeClr w14:val="tx1"/>
            </w14:solidFill>
          </w14:textFill>
        </w:rPr>
        <w:t>按照环评提出的外抛时间要求施工，则疏浚物外抛具有环境经济可行性</w:t>
      </w:r>
      <w:r>
        <w:rPr>
          <w:color w:val="000000" w:themeColor="text1"/>
          <w14:textFill>
            <w14:solidFill>
              <w14:schemeClr w14:val="tx1"/>
            </w14:solidFill>
          </w14:textFill>
        </w:rPr>
        <w:t>。</w:t>
      </w:r>
    </w:p>
    <w:p>
      <w:pPr>
        <w:pStyle w:val="6"/>
        <w:rPr>
          <w:color w:val="000000" w:themeColor="text1"/>
          <w14:textFill>
            <w14:solidFill>
              <w14:schemeClr w14:val="tx1"/>
            </w14:solidFill>
          </w14:textFill>
        </w:rPr>
      </w:pPr>
      <w:r>
        <w:rPr>
          <w:rFonts w:hint="eastAsia"/>
          <w:color w:val="000000" w:themeColor="text1"/>
          <w14:textFill>
            <w14:solidFill>
              <w14:schemeClr w14:val="tx1"/>
            </w14:solidFill>
          </w14:textFill>
        </w:rPr>
        <w:t>施工船舶生活垃圾</w:t>
      </w:r>
    </w:p>
    <w:p>
      <w:pPr>
        <w:pStyle w:val="1075"/>
        <w:ind w:firstLine="437"/>
        <w:rPr>
          <w:color w:val="000000" w:themeColor="text1"/>
          <w14:textFill>
            <w14:solidFill>
              <w14:schemeClr w14:val="tx1"/>
            </w14:solidFill>
          </w14:textFill>
        </w:rPr>
      </w:pPr>
      <w:r>
        <w:rPr>
          <w:color w:val="000000" w:themeColor="text1"/>
          <w:u w:val="single"/>
          <w14:textFill>
            <w14:solidFill>
              <w14:schemeClr w14:val="tx1"/>
            </w14:solidFill>
          </w14:textFill>
        </w:rPr>
        <w:t>船舶生活垃圾施工期发生量约为17.0t</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施工船舶垃圾应做好日常的收集、分类与储存工作，严格按照船舶污染物监管“联单制度”进行管理，建立固体废物产生、外运、处置及最终去向的详细台账，并定期向当地环保部门报告。施工船舶垃圾委托船舶污染物接收单位接收处理，严禁将船舶垃圾倾倒入海污染水域</w:t>
      </w:r>
      <w:r>
        <w:rPr>
          <w:color w:val="000000" w:themeColor="text1"/>
          <w14:textFill>
            <w14:solidFill>
              <w14:schemeClr w14:val="tx1"/>
            </w14:solidFill>
          </w14:textFill>
        </w:rPr>
        <w:t>。</w:t>
      </w:r>
    </w:p>
    <w:p>
      <w:pPr>
        <w:pStyle w:val="1075"/>
        <w:ind w:firstLine="437"/>
        <w:rPr>
          <w:color w:val="000000" w:themeColor="text1"/>
          <w14:textFill>
            <w14:solidFill>
              <w14:schemeClr w14:val="tx1"/>
            </w14:solidFill>
          </w14:textFill>
        </w:rPr>
      </w:pPr>
      <w:r>
        <w:rPr>
          <w:rFonts w:hint="eastAsia"/>
          <w:color w:val="000000" w:themeColor="text1"/>
          <w14:textFill>
            <w14:solidFill>
              <w14:schemeClr w14:val="tx1"/>
            </w14:solidFill>
          </w14:textFill>
        </w:rPr>
        <w:t>本工程除水上施工外，还包括陆域工程，建筑材料均可得到有效利用，因此仅有少量的建筑垃圾产生。本项目周边临近村庄，不设置施工营地，施工期无生活垃圾。</w:t>
      </w:r>
      <w:r>
        <w:rPr>
          <w:color w:val="000000" w:themeColor="text1"/>
          <w14:textFill>
            <w14:solidFill>
              <w14:schemeClr w14:val="tx1"/>
            </w14:solidFill>
          </w14:textFill>
        </w:rPr>
        <w:t>在落实以上措施后，施工期</w:t>
      </w:r>
      <w:r>
        <w:rPr>
          <w:rFonts w:hint="eastAsia"/>
          <w:color w:val="000000" w:themeColor="text1"/>
          <w14:textFill>
            <w14:solidFill>
              <w14:schemeClr w14:val="tx1"/>
            </w14:solidFill>
          </w14:textFill>
        </w:rPr>
        <w:t>固体废物</w:t>
      </w:r>
      <w:r>
        <w:rPr>
          <w:color w:val="000000" w:themeColor="text1"/>
          <w14:textFill>
            <w14:solidFill>
              <w14:schemeClr w14:val="tx1"/>
            </w14:solidFill>
          </w14:textFill>
        </w:rPr>
        <w:t>对环境造成的不利影响很小。</w:t>
      </w:r>
    </w:p>
    <w:p>
      <w:pPr>
        <w:pStyle w:val="5"/>
        <w:rPr>
          <w:color w:val="000000" w:themeColor="text1"/>
          <w14:textFill>
            <w14:solidFill>
              <w14:schemeClr w14:val="tx1"/>
            </w14:solidFill>
          </w14:textFill>
        </w:rPr>
      </w:pPr>
      <w:r>
        <w:rPr>
          <w:color w:val="000000" w:themeColor="text1"/>
          <w14:textFill>
            <w14:solidFill>
              <w14:schemeClr w14:val="tx1"/>
            </w14:solidFill>
          </w14:textFill>
        </w:rPr>
        <w:t>运营期固体废物环境影响分析</w:t>
      </w:r>
    </w:p>
    <w:p>
      <w:pPr>
        <w:pStyle w:val="1075"/>
        <w:ind w:firstLine="439"/>
        <w:rPr>
          <w:b/>
          <w:color w:val="000000" w:themeColor="text1"/>
          <w14:textFill>
            <w14:solidFill>
              <w14:schemeClr w14:val="tx1"/>
            </w14:solidFill>
          </w14:textFill>
        </w:rPr>
      </w:pPr>
      <w:r>
        <w:rPr>
          <w:b/>
          <w:color w:val="000000" w:themeColor="text1"/>
          <w14:textFill>
            <w14:solidFill>
              <w14:schemeClr w14:val="tx1"/>
            </w14:solidFill>
          </w14:textFill>
        </w:rPr>
        <w:t>1、到港船舶生活垃圾</w:t>
      </w:r>
    </w:p>
    <w:p>
      <w:pPr>
        <w:pStyle w:val="1075"/>
        <w:ind w:firstLine="437"/>
        <w:rPr>
          <w:color w:val="000000" w:themeColor="text1"/>
          <w14:textFill>
            <w14:solidFill>
              <w14:schemeClr w14:val="tx1"/>
            </w14:solidFill>
          </w14:textFill>
        </w:rPr>
      </w:pPr>
      <w:r>
        <w:rPr>
          <w:rFonts w:hint="eastAsia"/>
          <w:color w:val="000000" w:themeColor="text1"/>
          <w14:textFill>
            <w14:solidFill>
              <w14:schemeClr w14:val="tx1"/>
            </w14:solidFill>
          </w14:textFill>
        </w:rPr>
        <w:t>本次</w:t>
      </w:r>
      <w:r>
        <w:rPr>
          <w:color w:val="000000" w:themeColor="text1"/>
          <w14:textFill>
            <w14:solidFill>
              <w14:schemeClr w14:val="tx1"/>
            </w14:solidFill>
          </w14:textFill>
        </w:rPr>
        <w:t>扩建设计到港船型提升为</w:t>
      </w:r>
      <w:r>
        <w:rPr>
          <w:rFonts w:hint="eastAsia"/>
          <w:color w:val="000000" w:themeColor="text1"/>
          <w14:textFill>
            <w14:solidFill>
              <w14:schemeClr w14:val="tx1"/>
            </w14:solidFill>
          </w14:textFill>
        </w:rPr>
        <w:t>20万吨级</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新增</w:t>
      </w:r>
      <w:r>
        <w:rPr>
          <w:color w:val="000000" w:themeColor="text1"/>
          <w14:textFill>
            <w14:solidFill>
              <w14:schemeClr w14:val="tx1"/>
            </w14:solidFill>
          </w14:textFill>
        </w:rPr>
        <w:t>到港船舶生活垃圾产生量约为</w:t>
      </w:r>
      <w:r>
        <w:rPr>
          <w:rFonts w:hint="eastAsia"/>
          <w:color w:val="000000" w:themeColor="text1"/>
          <w14:textFill>
            <w14:solidFill>
              <w14:schemeClr w14:val="tx1"/>
            </w14:solidFill>
          </w14:textFill>
        </w:rPr>
        <w:t xml:space="preserve">22.5 </w:t>
      </w:r>
      <w:r>
        <w:rPr>
          <w:color w:val="000000" w:themeColor="text1"/>
          <w14:textFill>
            <w14:solidFill>
              <w14:schemeClr w14:val="tx1"/>
            </w14:solidFill>
          </w14:textFill>
        </w:rPr>
        <w:t>kg/d，年产生量为</w:t>
      </w:r>
      <w:r>
        <w:rPr>
          <w:rFonts w:hint="eastAsia"/>
          <w:color w:val="000000" w:themeColor="text1"/>
          <w14:textFill>
            <w14:solidFill>
              <w14:schemeClr w14:val="tx1"/>
            </w14:solidFill>
          </w14:textFill>
        </w:rPr>
        <w:t>7.43</w:t>
      </w:r>
      <w:r>
        <w:rPr>
          <w:color w:val="000000" w:themeColor="text1"/>
          <w14:textFill>
            <w14:solidFill>
              <w14:schemeClr w14:val="tx1"/>
            </w14:solidFill>
          </w14:textFill>
        </w:rPr>
        <w:t>t/a。</w:t>
      </w:r>
      <w:r>
        <w:rPr>
          <w:rFonts w:hint="eastAsia"/>
          <w:color w:val="000000" w:themeColor="text1"/>
          <w14:textFill>
            <w14:solidFill>
              <w14:schemeClr w14:val="tx1"/>
            </w14:solidFill>
          </w14:textFill>
        </w:rPr>
        <w:t>到港</w:t>
      </w:r>
      <w:r>
        <w:rPr>
          <w:color w:val="000000" w:themeColor="text1"/>
          <w14:textFill>
            <w14:solidFill>
              <w14:schemeClr w14:val="tx1"/>
            </w14:solidFill>
          </w14:textFill>
        </w:rPr>
        <w:t>船舶生活垃圾处置方式不变，均</w:t>
      </w:r>
      <w:r>
        <w:rPr>
          <w:rFonts w:hint="eastAsia"/>
          <w:color w:val="000000" w:themeColor="text1"/>
          <w14:textFill>
            <w14:solidFill>
              <w14:schemeClr w14:val="tx1"/>
            </w14:solidFill>
          </w14:textFill>
        </w:rPr>
        <w:t>委托有资质的单位转运处置</w:t>
      </w:r>
      <w:r>
        <w:rPr>
          <w:color w:val="000000" w:themeColor="text1"/>
          <w14:textFill>
            <w14:solidFill>
              <w14:schemeClr w14:val="tx1"/>
            </w14:solidFill>
          </w14:textFill>
        </w:rPr>
        <w:t>。</w:t>
      </w:r>
    </w:p>
    <w:p>
      <w:pPr>
        <w:pStyle w:val="1075"/>
        <w:ind w:firstLine="439"/>
        <w:rPr>
          <w:b/>
          <w:color w:val="000000" w:themeColor="text1"/>
          <w14:textFill>
            <w14:solidFill>
              <w14:schemeClr w14:val="tx1"/>
            </w14:solidFill>
          </w14:textFill>
        </w:rPr>
      </w:pPr>
      <w:r>
        <w:rPr>
          <w:b/>
          <w:color w:val="000000" w:themeColor="text1"/>
          <w14:textFill>
            <w14:solidFill>
              <w14:schemeClr w14:val="tx1"/>
            </w14:solidFill>
          </w14:textFill>
        </w:rPr>
        <w:t>2、</w:t>
      </w:r>
      <w:r>
        <w:rPr>
          <w:rFonts w:hint="eastAsia"/>
          <w:b/>
          <w:color w:val="000000" w:themeColor="text1"/>
          <w14:textFill>
            <w14:solidFill>
              <w14:schemeClr w14:val="tx1"/>
            </w14:solidFill>
          </w14:textFill>
        </w:rPr>
        <w:t>陆域</w:t>
      </w:r>
      <w:r>
        <w:rPr>
          <w:b/>
          <w:color w:val="000000" w:themeColor="text1"/>
          <w14:textFill>
            <w14:solidFill>
              <w14:schemeClr w14:val="tx1"/>
            </w14:solidFill>
          </w14:textFill>
        </w:rPr>
        <w:t>固体废物</w:t>
      </w:r>
    </w:p>
    <w:p>
      <w:pPr>
        <w:pStyle w:val="1075"/>
        <w:ind w:firstLine="437"/>
        <w:rPr>
          <w:color w:val="000000" w:themeColor="text1"/>
          <w14:textFill>
            <w14:solidFill>
              <w14:schemeClr w14:val="tx1"/>
            </w14:solidFill>
          </w14:textFill>
        </w:rPr>
      </w:pPr>
      <w:r>
        <w:rPr>
          <w:color w:val="000000" w:themeColor="text1"/>
          <w14:textFill>
            <w14:solidFill>
              <w14:schemeClr w14:val="tx1"/>
            </w14:solidFill>
          </w14:textFill>
        </w:rPr>
        <w:t>本项目现有工程新增陆域生活垃圾</w:t>
      </w:r>
      <w:r>
        <w:rPr>
          <w:rFonts w:hint="eastAsia"/>
          <w:color w:val="000000" w:themeColor="text1"/>
          <w14:textFill>
            <w14:solidFill>
              <w14:schemeClr w14:val="tx1"/>
            </w14:solidFill>
          </w14:textFill>
        </w:rPr>
        <w:t>产生量为41kg/d，年产生量约13.53t/a，收集后生活垃圾集中堆放在7号8号泊位后方的垃圾中转站内，交由当地环卫部门处置</w:t>
      </w:r>
      <w:r>
        <w:rPr>
          <w:color w:val="000000" w:themeColor="text1"/>
          <w14:textFill>
            <w14:solidFill>
              <w14:schemeClr w14:val="tx1"/>
            </w14:solidFill>
          </w14:textFill>
        </w:rPr>
        <w:t>。</w:t>
      </w:r>
    </w:p>
    <w:p>
      <w:pPr>
        <w:pStyle w:val="283"/>
        <w:rPr>
          <w:color w:val="000000" w:themeColor="text1"/>
          <w14:textFill>
            <w14:solidFill>
              <w14:schemeClr w14:val="tx1"/>
            </w14:solidFill>
          </w14:textFill>
        </w:rPr>
      </w:pPr>
      <w:r>
        <w:rPr>
          <w:color w:val="000000" w:themeColor="text1"/>
          <w14:textFill>
            <w14:solidFill>
              <w14:schemeClr w14:val="tx1"/>
            </w14:solidFill>
          </w14:textFill>
        </w:rPr>
        <w:t>通过落实以上处置措施，项目运营期固体废物不会对港区周围环境造成不利影响。</w:t>
      </w:r>
    </w:p>
    <w:p>
      <w:pPr>
        <w:pStyle w:val="4"/>
        <w:rPr>
          <w:color w:val="000000" w:themeColor="text1"/>
          <w14:textFill>
            <w14:solidFill>
              <w14:schemeClr w14:val="tx1"/>
            </w14:solidFill>
          </w14:textFill>
        </w:rPr>
      </w:pPr>
      <w:bookmarkStart w:id="235" w:name="_Toc170918614"/>
      <w:r>
        <w:rPr>
          <w:color w:val="000000" w:themeColor="text1"/>
          <w14:textFill>
            <w14:solidFill>
              <w14:schemeClr w14:val="tx1"/>
            </w14:solidFill>
          </w14:textFill>
        </w:rPr>
        <w:t>环境风险评价</w:t>
      </w:r>
      <w:bookmarkEnd w:id="235"/>
    </w:p>
    <w:p>
      <w:pPr>
        <w:pStyle w:val="5"/>
        <w:rPr>
          <w:color w:val="000000" w:themeColor="text1"/>
          <w14:textFill>
            <w14:solidFill>
              <w14:schemeClr w14:val="tx1"/>
            </w14:solidFill>
          </w14:textFill>
        </w:rPr>
      </w:pPr>
      <w:r>
        <w:rPr>
          <w:color w:val="000000" w:themeColor="text1"/>
          <w14:textFill>
            <w14:solidFill>
              <w14:schemeClr w14:val="tx1"/>
            </w14:solidFill>
          </w14:textFill>
        </w:rPr>
        <w:t>风险调查</w:t>
      </w:r>
    </w:p>
    <w:p>
      <w:pPr>
        <w:pStyle w:val="1075"/>
        <w:ind w:firstLine="437"/>
        <w:rPr>
          <w:color w:val="000000" w:themeColor="text1"/>
          <w14:textFill>
            <w14:solidFill>
              <w14:schemeClr w14:val="tx1"/>
            </w14:solidFill>
          </w14:textFill>
        </w:rPr>
      </w:pPr>
      <w:r>
        <w:rPr>
          <w:color w:val="000000" w:themeColor="text1"/>
          <w14:textFill>
            <w14:solidFill>
              <w14:schemeClr w14:val="tx1"/>
            </w14:solidFill>
          </w14:textFill>
        </w:rPr>
        <w:t>本项目为</w:t>
      </w:r>
      <w:r>
        <w:rPr>
          <w:rFonts w:hint="eastAsia"/>
          <w:color w:val="000000" w:themeColor="text1"/>
          <w14:textFill>
            <w14:solidFill>
              <w14:schemeClr w14:val="tx1"/>
            </w14:solidFill>
          </w14:textFill>
        </w:rPr>
        <w:t>2</w:t>
      </w:r>
      <w:r>
        <w:rPr>
          <w:color w:val="000000" w:themeColor="text1"/>
          <w14:textFill>
            <w14:solidFill>
              <w14:schemeClr w14:val="tx1"/>
            </w14:solidFill>
          </w14:textFill>
        </w:rPr>
        <w:t>个</w:t>
      </w:r>
      <w:r>
        <w:rPr>
          <w:rFonts w:hint="eastAsia"/>
          <w:color w:val="000000" w:themeColor="text1"/>
          <w14:textFill>
            <w14:solidFill>
              <w14:schemeClr w14:val="tx1"/>
            </w14:solidFill>
          </w14:textFill>
        </w:rPr>
        <w:t>20万</w:t>
      </w:r>
      <w:r>
        <w:rPr>
          <w:color w:val="000000" w:themeColor="text1"/>
          <w14:textFill>
            <w14:solidFill>
              <w14:schemeClr w14:val="tx1"/>
            </w14:solidFill>
          </w14:textFill>
        </w:rPr>
        <w:t>吨级集装箱</w:t>
      </w:r>
      <w:r>
        <w:rPr>
          <w:color w:val="000000" w:themeColor="text1"/>
          <w:szCs w:val="28"/>
          <w14:textFill>
            <w14:solidFill>
              <w14:schemeClr w14:val="tx1"/>
            </w14:solidFill>
          </w14:textFill>
        </w:rPr>
        <w:t>泊位</w:t>
      </w:r>
      <w:r>
        <w:rPr>
          <w:color w:val="000000" w:themeColor="text1"/>
          <w14:textFill>
            <w14:solidFill>
              <w14:schemeClr w14:val="tx1"/>
            </w14:solidFill>
          </w14:textFill>
        </w:rPr>
        <w:t>工程，</w:t>
      </w:r>
      <w:r>
        <w:rPr>
          <w:rFonts w:hint="eastAsia"/>
          <w:color w:val="000000" w:themeColor="text1"/>
          <w14:textFill>
            <w14:solidFill>
              <w14:schemeClr w14:val="tx1"/>
            </w14:solidFill>
          </w14:textFill>
        </w:rPr>
        <w:t>包括普通重冷藏箱、空箱</w:t>
      </w:r>
      <w:r>
        <w:rPr>
          <w:color w:val="000000" w:themeColor="text1"/>
          <w14:textFill>
            <w14:solidFill>
              <w14:schemeClr w14:val="tx1"/>
            </w14:solidFill>
          </w14:textFill>
        </w:rPr>
        <w:t>，装卸货种不涉及油品及各类化学品的装卸及堆存，仅在通航过程中，来往的船舶航行使用燃料油品。项目涉及的主要风险物质为到港船舶携带的燃油（柴油）。</w:t>
      </w:r>
    </w:p>
    <w:p>
      <w:pPr>
        <w:pStyle w:val="1075"/>
        <w:ind w:firstLine="437"/>
        <w:rPr>
          <w:color w:val="000000" w:themeColor="text1"/>
          <w14:textFill>
            <w14:solidFill>
              <w14:schemeClr w14:val="tx1"/>
            </w14:solidFill>
          </w14:textFill>
        </w:rPr>
      </w:pPr>
      <w:r>
        <w:rPr>
          <w:color w:val="000000" w:themeColor="text1"/>
          <w14:textFill>
            <w14:solidFill>
              <w14:schemeClr w14:val="tx1"/>
            </w14:solidFill>
          </w14:textFill>
        </w:rPr>
        <w:t>项目运营期间可能发生较大环境风险事故为到港船舶因人为误操作或其他外界因素使船舶碰撞，导致船舶燃油泄漏，造成附近海域水质和生态环境破坏。</w:t>
      </w:r>
    </w:p>
    <w:p>
      <w:pPr>
        <w:pStyle w:val="5"/>
        <w:rPr>
          <w:color w:val="000000" w:themeColor="text1"/>
          <w14:textFill>
            <w14:solidFill>
              <w14:schemeClr w14:val="tx1"/>
            </w14:solidFill>
          </w14:textFill>
        </w:rPr>
      </w:pPr>
      <w:r>
        <w:rPr>
          <w:color w:val="000000" w:themeColor="text1"/>
          <w14:textFill>
            <w14:solidFill>
              <w14:schemeClr w14:val="tx1"/>
            </w14:solidFill>
          </w14:textFill>
        </w:rPr>
        <w:t>风险识别</w:t>
      </w:r>
    </w:p>
    <w:p>
      <w:pPr>
        <w:pStyle w:val="6"/>
        <w:rPr>
          <w:color w:val="000000" w:themeColor="text1"/>
          <w14:textFill>
            <w14:solidFill>
              <w14:schemeClr w14:val="tx1"/>
            </w14:solidFill>
          </w14:textFill>
        </w:rPr>
      </w:pPr>
      <w:r>
        <w:rPr>
          <w:rFonts w:hint="eastAsia"/>
          <w:color w:val="000000" w:themeColor="text1"/>
          <w14:textFill>
            <w14:solidFill>
              <w14:schemeClr w14:val="tx1"/>
            </w14:solidFill>
          </w14:textFill>
        </w:rPr>
        <w:t>风险</w:t>
      </w:r>
      <w:r>
        <w:rPr>
          <w:color w:val="000000" w:themeColor="text1"/>
          <w14:textFill>
            <w14:solidFill>
              <w14:schemeClr w14:val="tx1"/>
            </w14:solidFill>
          </w14:textFill>
        </w:rPr>
        <w:t>因子识别</w:t>
      </w:r>
    </w:p>
    <w:p>
      <w:pPr>
        <w:pStyle w:val="1075"/>
        <w:ind w:firstLine="437"/>
        <w:rPr>
          <w:color w:val="000000" w:themeColor="text1"/>
          <w14:textFill>
            <w14:solidFill>
              <w14:schemeClr w14:val="tx1"/>
            </w14:solidFill>
          </w14:textFill>
        </w:rPr>
      </w:pPr>
      <w:r>
        <w:rPr>
          <w:rFonts w:hint="eastAsia"/>
          <w:color w:val="000000" w:themeColor="text1"/>
          <w14:textFill>
            <w14:solidFill>
              <w14:schemeClr w14:val="tx1"/>
            </w14:solidFill>
          </w14:textFill>
        </w:rPr>
        <w:t>本项目经营集装箱中，包括普通重箱、冷藏箱、空箱，无危险品箱。仅在通航过程中，来往的船舶航行</w:t>
      </w:r>
      <w:r>
        <w:rPr>
          <w:color w:val="000000" w:themeColor="text1"/>
          <w14:textFill>
            <w14:solidFill>
              <w14:schemeClr w14:val="tx1"/>
            </w14:solidFill>
          </w14:textFill>
        </w:rPr>
        <w:t>携带的燃料油</w:t>
      </w:r>
      <w:r>
        <w:rPr>
          <w:rFonts w:hint="eastAsia"/>
          <w:color w:val="000000" w:themeColor="text1"/>
          <w14:textFill>
            <w14:solidFill>
              <w14:schemeClr w14:val="tx1"/>
            </w14:solidFill>
          </w14:textFill>
        </w:rPr>
        <w:t>。本报告选取的典型风险物质为</w:t>
      </w:r>
      <w:r>
        <w:rPr>
          <w:color w:val="000000" w:themeColor="text1"/>
          <w14:textFill>
            <w14:solidFill>
              <w14:schemeClr w14:val="tx1"/>
            </w14:solidFill>
          </w14:textFill>
        </w:rPr>
        <w:t>燃料油</w:t>
      </w:r>
      <w:r>
        <w:rPr>
          <w:rFonts w:hint="eastAsia"/>
          <w:color w:val="000000" w:themeColor="text1"/>
          <w14:textFill>
            <w14:solidFill>
              <w14:schemeClr w14:val="tx1"/>
            </w14:solidFill>
          </w14:textFill>
        </w:rPr>
        <w:t>，燃料油</w:t>
      </w:r>
      <w:r>
        <w:rPr>
          <w:color w:val="000000" w:themeColor="text1"/>
          <w14:textFill>
            <w14:solidFill>
              <w14:schemeClr w14:val="tx1"/>
            </w14:solidFill>
          </w14:textFill>
        </w:rPr>
        <w:t>的理化和毒理性质见下表4.</w:t>
      </w:r>
      <w:r>
        <w:rPr>
          <w:rFonts w:hint="eastAsia"/>
          <w:color w:val="000000" w:themeColor="text1"/>
          <w14:textFill>
            <w14:solidFill>
              <w14:schemeClr w14:val="tx1"/>
            </w14:solidFill>
          </w14:textFill>
        </w:rPr>
        <w:t>6</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1</w:t>
      </w:r>
      <w:r>
        <w:rPr>
          <w:color w:val="000000" w:themeColor="text1"/>
          <w14:textFill>
            <w14:solidFill>
              <w14:schemeClr w14:val="tx1"/>
            </w14:solidFill>
          </w14:textFill>
        </w:rPr>
        <w:t>，可以看出</w:t>
      </w:r>
      <w:r>
        <w:rPr>
          <w:rFonts w:hint="eastAsia"/>
          <w:color w:val="000000" w:themeColor="text1"/>
          <w14:textFill>
            <w14:solidFill>
              <w14:schemeClr w14:val="tx1"/>
            </w14:solidFill>
          </w14:textFill>
        </w:rPr>
        <w:t>燃料油</w:t>
      </w:r>
      <w:r>
        <w:rPr>
          <w:color w:val="000000" w:themeColor="text1"/>
          <w14:textFill>
            <w14:solidFill>
              <w14:schemeClr w14:val="tx1"/>
            </w14:solidFill>
          </w14:textFill>
        </w:rPr>
        <w:t>属于</w:t>
      </w:r>
      <w:r>
        <w:rPr>
          <w:rFonts w:hint="eastAsia"/>
          <w:color w:val="000000" w:themeColor="text1"/>
          <w14:textFill>
            <w14:solidFill>
              <w14:schemeClr w14:val="tx1"/>
            </w14:solidFill>
          </w14:textFill>
        </w:rPr>
        <w:t>易燃、</w:t>
      </w:r>
      <w:r>
        <w:rPr>
          <w:color w:val="000000" w:themeColor="text1"/>
          <w14:textFill>
            <w14:solidFill>
              <w14:schemeClr w14:val="tx1"/>
            </w14:solidFill>
          </w14:textFill>
        </w:rPr>
        <w:t>低毒类物质。</w:t>
      </w:r>
    </w:p>
    <w:p>
      <w:pPr>
        <w:pStyle w:val="384"/>
        <w:ind w:left="0" w:firstLine="0"/>
        <w:rPr>
          <w:rFonts w:cs="Times New Roman"/>
          <w:color w:val="000000" w:themeColor="text1"/>
          <w14:textFill>
            <w14:solidFill>
              <w14:schemeClr w14:val="tx1"/>
            </w14:solidFill>
          </w14:textFill>
        </w:rPr>
      </w:pPr>
      <w:bookmarkStart w:id="236" w:name="_Hlk103883911"/>
      <w:r>
        <w:rPr>
          <w:rFonts w:hint="eastAsia" w:cs="Times New Roman"/>
          <w:color w:val="000000" w:themeColor="text1"/>
          <w:szCs w:val="24"/>
          <w14:textFill>
            <w14:solidFill>
              <w14:schemeClr w14:val="tx1"/>
            </w14:solidFill>
          </w14:textFill>
        </w:rPr>
        <w:t>燃料油</w:t>
      </w:r>
      <w:r>
        <w:rPr>
          <w:rFonts w:cs="Times New Roman"/>
          <w:color w:val="000000" w:themeColor="text1"/>
          <w14:textFill>
            <w14:solidFill>
              <w14:schemeClr w14:val="tx1"/>
            </w14:solidFill>
          </w14:textFill>
        </w:rPr>
        <w:t>理化和毒理性质</w:t>
      </w:r>
    </w:p>
    <w:tbl>
      <w:tblPr>
        <w:tblStyle w:val="1530"/>
        <w:tblW w:w="8528" w:type="dxa"/>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974"/>
        <w:gridCol w:w="1305"/>
        <w:gridCol w:w="1165"/>
        <w:gridCol w:w="5084"/>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135" w:hRule="atLeast"/>
        </w:trPr>
        <w:tc>
          <w:tcPr>
            <w:tcW w:w="974" w:type="dxa"/>
            <w:vAlign w:val="center"/>
          </w:tcPr>
          <w:p>
            <w:pPr>
              <w:pStyle w:val="2001"/>
              <w:spacing w:line="240" w:lineRule="exact"/>
            </w:pPr>
            <w:r>
              <w:t>序号</w:t>
            </w:r>
          </w:p>
        </w:tc>
        <w:tc>
          <w:tcPr>
            <w:tcW w:w="2470" w:type="dxa"/>
            <w:gridSpan w:val="2"/>
            <w:vAlign w:val="center"/>
          </w:tcPr>
          <w:p>
            <w:pPr>
              <w:pStyle w:val="2001"/>
              <w:spacing w:line="240" w:lineRule="exact"/>
            </w:pPr>
            <w:r>
              <w:t>项目</w:t>
            </w:r>
          </w:p>
        </w:tc>
        <w:tc>
          <w:tcPr>
            <w:tcW w:w="5084" w:type="dxa"/>
            <w:vAlign w:val="center"/>
          </w:tcPr>
          <w:p>
            <w:pPr>
              <w:pStyle w:val="2001"/>
              <w:spacing w:line="240" w:lineRule="exact"/>
            </w:pPr>
            <w:r>
              <w:rPr>
                <w:rFonts w:hint="eastAsia"/>
              </w:rPr>
              <w:t>燃料油</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270" w:hRule="atLeast"/>
        </w:trPr>
        <w:tc>
          <w:tcPr>
            <w:tcW w:w="974" w:type="dxa"/>
            <w:vAlign w:val="center"/>
          </w:tcPr>
          <w:p>
            <w:pPr>
              <w:pStyle w:val="2001"/>
              <w:spacing w:line="240" w:lineRule="exact"/>
            </w:pPr>
            <w:r>
              <w:t>1</w:t>
            </w:r>
          </w:p>
        </w:tc>
        <w:tc>
          <w:tcPr>
            <w:tcW w:w="2470" w:type="dxa"/>
            <w:gridSpan w:val="2"/>
            <w:vAlign w:val="center"/>
          </w:tcPr>
          <w:p>
            <w:pPr>
              <w:pStyle w:val="2001"/>
              <w:spacing w:line="240" w:lineRule="exact"/>
            </w:pPr>
            <w:r>
              <w:t>闪点（℃）</w:t>
            </w:r>
          </w:p>
        </w:tc>
        <w:tc>
          <w:tcPr>
            <w:tcW w:w="5084" w:type="dxa"/>
            <w:vAlign w:val="center"/>
          </w:tcPr>
          <w:p>
            <w:pPr>
              <w:pStyle w:val="2001"/>
              <w:spacing w:line="240" w:lineRule="exact"/>
            </w:pPr>
            <w:r>
              <w:t>-50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270" w:hRule="atLeast"/>
        </w:trPr>
        <w:tc>
          <w:tcPr>
            <w:tcW w:w="974" w:type="dxa"/>
            <w:vAlign w:val="center"/>
          </w:tcPr>
          <w:p>
            <w:pPr>
              <w:pStyle w:val="2001"/>
              <w:spacing w:line="240" w:lineRule="exact"/>
            </w:pPr>
            <w:r>
              <w:t>2</w:t>
            </w:r>
          </w:p>
        </w:tc>
        <w:tc>
          <w:tcPr>
            <w:tcW w:w="2470" w:type="dxa"/>
            <w:gridSpan w:val="2"/>
            <w:vAlign w:val="center"/>
          </w:tcPr>
          <w:p>
            <w:pPr>
              <w:pStyle w:val="2001"/>
              <w:spacing w:line="240" w:lineRule="exact"/>
            </w:pPr>
            <w:r>
              <w:t>自燃点（℃）</w:t>
            </w:r>
          </w:p>
        </w:tc>
        <w:tc>
          <w:tcPr>
            <w:tcW w:w="5084" w:type="dxa"/>
            <w:vAlign w:val="center"/>
          </w:tcPr>
          <w:p>
            <w:pPr>
              <w:pStyle w:val="2001"/>
              <w:spacing w:line="240" w:lineRule="exact"/>
            </w:pPr>
            <w:r>
              <w:t>415～530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275" w:hRule="atLeast"/>
        </w:trPr>
        <w:tc>
          <w:tcPr>
            <w:tcW w:w="974" w:type="dxa"/>
            <w:vMerge w:val="restart"/>
            <w:vAlign w:val="center"/>
          </w:tcPr>
          <w:p>
            <w:pPr>
              <w:pStyle w:val="2001"/>
              <w:spacing w:line="240" w:lineRule="exact"/>
            </w:pPr>
            <w:r>
              <w:t>3</w:t>
            </w:r>
          </w:p>
        </w:tc>
        <w:tc>
          <w:tcPr>
            <w:tcW w:w="1305" w:type="dxa"/>
            <w:vMerge w:val="restart"/>
            <w:vAlign w:val="center"/>
          </w:tcPr>
          <w:p>
            <w:pPr>
              <w:pStyle w:val="2001"/>
              <w:spacing w:line="240" w:lineRule="exact"/>
            </w:pPr>
            <w:r>
              <w:t>爆炸极限（%）</w:t>
            </w:r>
          </w:p>
        </w:tc>
        <w:tc>
          <w:tcPr>
            <w:tcW w:w="1165" w:type="dxa"/>
            <w:vAlign w:val="center"/>
          </w:tcPr>
          <w:p>
            <w:pPr>
              <w:pStyle w:val="2001"/>
              <w:spacing w:line="240" w:lineRule="exact"/>
            </w:pPr>
            <w:r>
              <w:t>上限</w:t>
            </w:r>
          </w:p>
        </w:tc>
        <w:tc>
          <w:tcPr>
            <w:tcW w:w="5084" w:type="dxa"/>
            <w:vAlign w:val="center"/>
          </w:tcPr>
          <w:p>
            <w:pPr>
              <w:pStyle w:val="2001"/>
              <w:spacing w:line="240" w:lineRule="exact"/>
            </w:pPr>
            <w:r>
              <w:t>6</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270" w:hRule="atLeast"/>
        </w:trPr>
        <w:tc>
          <w:tcPr>
            <w:tcW w:w="974" w:type="dxa"/>
            <w:vMerge w:val="continue"/>
            <w:vAlign w:val="center"/>
          </w:tcPr>
          <w:p>
            <w:pPr>
              <w:pStyle w:val="2001"/>
              <w:spacing w:line="240" w:lineRule="exact"/>
            </w:pPr>
          </w:p>
        </w:tc>
        <w:tc>
          <w:tcPr>
            <w:tcW w:w="1305" w:type="dxa"/>
            <w:vMerge w:val="continue"/>
            <w:vAlign w:val="center"/>
          </w:tcPr>
          <w:p>
            <w:pPr>
              <w:pStyle w:val="2001"/>
              <w:spacing w:line="240" w:lineRule="exact"/>
            </w:pPr>
          </w:p>
        </w:tc>
        <w:tc>
          <w:tcPr>
            <w:tcW w:w="1165" w:type="dxa"/>
            <w:vAlign w:val="center"/>
          </w:tcPr>
          <w:p>
            <w:pPr>
              <w:pStyle w:val="2001"/>
              <w:spacing w:line="240" w:lineRule="exact"/>
            </w:pPr>
            <w:r>
              <w:t>下限</w:t>
            </w:r>
          </w:p>
        </w:tc>
        <w:tc>
          <w:tcPr>
            <w:tcW w:w="5084" w:type="dxa"/>
            <w:vAlign w:val="center"/>
          </w:tcPr>
          <w:p>
            <w:pPr>
              <w:pStyle w:val="2001"/>
              <w:spacing w:line="240" w:lineRule="exact"/>
            </w:pPr>
            <w:r>
              <w:t>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270" w:hRule="atLeast"/>
        </w:trPr>
        <w:tc>
          <w:tcPr>
            <w:tcW w:w="974" w:type="dxa"/>
            <w:vAlign w:val="center"/>
          </w:tcPr>
          <w:p>
            <w:pPr>
              <w:pStyle w:val="2001"/>
              <w:spacing w:line="240" w:lineRule="exact"/>
            </w:pPr>
            <w:r>
              <w:t>4</w:t>
            </w:r>
          </w:p>
        </w:tc>
        <w:tc>
          <w:tcPr>
            <w:tcW w:w="2470" w:type="dxa"/>
            <w:gridSpan w:val="2"/>
            <w:vAlign w:val="center"/>
          </w:tcPr>
          <w:p>
            <w:pPr>
              <w:pStyle w:val="2001"/>
              <w:spacing w:line="240" w:lineRule="exact"/>
            </w:pPr>
            <w:r>
              <w:t>火险分类</w:t>
            </w:r>
          </w:p>
        </w:tc>
        <w:tc>
          <w:tcPr>
            <w:tcW w:w="5084" w:type="dxa"/>
            <w:vAlign w:val="center"/>
          </w:tcPr>
          <w:p>
            <w:pPr>
              <w:pStyle w:val="2001"/>
              <w:spacing w:line="240" w:lineRule="exact"/>
            </w:pPr>
            <w:r>
              <w:t>甲B</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270" w:hRule="atLeast"/>
        </w:trPr>
        <w:tc>
          <w:tcPr>
            <w:tcW w:w="974" w:type="dxa"/>
            <w:vAlign w:val="center"/>
          </w:tcPr>
          <w:p>
            <w:pPr>
              <w:pStyle w:val="2001"/>
              <w:spacing w:line="240" w:lineRule="exact"/>
            </w:pPr>
            <w:r>
              <w:t>5</w:t>
            </w:r>
          </w:p>
        </w:tc>
        <w:tc>
          <w:tcPr>
            <w:tcW w:w="2470" w:type="dxa"/>
            <w:gridSpan w:val="2"/>
            <w:vAlign w:val="center"/>
          </w:tcPr>
          <w:p>
            <w:pPr>
              <w:pStyle w:val="2001"/>
              <w:spacing w:line="240" w:lineRule="exact"/>
            </w:pPr>
            <w:r>
              <w:t>毒性分类</w:t>
            </w:r>
          </w:p>
        </w:tc>
        <w:tc>
          <w:tcPr>
            <w:tcW w:w="5084" w:type="dxa"/>
            <w:vAlign w:val="center"/>
          </w:tcPr>
          <w:p>
            <w:pPr>
              <w:pStyle w:val="2001"/>
              <w:spacing w:line="240" w:lineRule="exact"/>
            </w:pPr>
            <w:r>
              <w:t>低毒</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270" w:hRule="atLeast"/>
        </w:trPr>
        <w:tc>
          <w:tcPr>
            <w:tcW w:w="974" w:type="dxa"/>
            <w:vAlign w:val="center"/>
          </w:tcPr>
          <w:p>
            <w:pPr>
              <w:pStyle w:val="2001"/>
              <w:spacing w:line="240" w:lineRule="exact"/>
            </w:pPr>
            <w:r>
              <w:t>6</w:t>
            </w:r>
          </w:p>
        </w:tc>
        <w:tc>
          <w:tcPr>
            <w:tcW w:w="2470" w:type="dxa"/>
            <w:gridSpan w:val="2"/>
            <w:vAlign w:val="center"/>
          </w:tcPr>
          <w:p>
            <w:pPr>
              <w:pStyle w:val="2001"/>
              <w:spacing w:line="240" w:lineRule="exact"/>
            </w:pPr>
            <w:r>
              <w:t>危险特性</w:t>
            </w:r>
          </w:p>
        </w:tc>
        <w:tc>
          <w:tcPr>
            <w:tcW w:w="5084" w:type="dxa"/>
            <w:vAlign w:val="center"/>
          </w:tcPr>
          <w:p>
            <w:pPr>
              <w:pStyle w:val="2001"/>
              <w:spacing w:line="240" w:lineRule="exact"/>
            </w:pPr>
            <w:r>
              <w:t>易燃</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499" w:hRule="atLeast"/>
        </w:trPr>
        <w:tc>
          <w:tcPr>
            <w:tcW w:w="974" w:type="dxa"/>
            <w:vAlign w:val="center"/>
          </w:tcPr>
          <w:p>
            <w:pPr>
              <w:pStyle w:val="2001"/>
              <w:spacing w:line="240" w:lineRule="exact"/>
            </w:pPr>
            <w:r>
              <w:t>7</w:t>
            </w:r>
          </w:p>
        </w:tc>
        <w:tc>
          <w:tcPr>
            <w:tcW w:w="2470" w:type="dxa"/>
            <w:gridSpan w:val="2"/>
            <w:vAlign w:val="center"/>
          </w:tcPr>
          <w:p>
            <w:pPr>
              <w:pStyle w:val="2001"/>
              <w:spacing w:line="240" w:lineRule="exact"/>
            </w:pPr>
            <w:r>
              <w:t>毒理性质</w:t>
            </w:r>
          </w:p>
        </w:tc>
        <w:tc>
          <w:tcPr>
            <w:tcW w:w="5084" w:type="dxa"/>
            <w:vAlign w:val="center"/>
          </w:tcPr>
          <w:p>
            <w:pPr>
              <w:pStyle w:val="2001"/>
              <w:spacing w:line="240" w:lineRule="exact"/>
            </w:pPr>
            <w:r>
              <w:t>LD50：67000 mg/kg（小鼠经口）， LC50：103000 mg/m</w:t>
            </w:r>
            <w:r>
              <w:rPr>
                <w:vertAlign w:val="superscript"/>
              </w:rPr>
              <w:t>3</w:t>
            </w:r>
            <w:r>
              <w:t>，2小时（小鼠吸入）</w:t>
            </w:r>
          </w:p>
        </w:tc>
      </w:tr>
      <w:bookmarkEnd w:id="236"/>
    </w:tbl>
    <w:p>
      <w:pPr>
        <w:pStyle w:val="6"/>
        <w:rPr>
          <w:color w:val="000000" w:themeColor="text1"/>
          <w14:textFill>
            <w14:solidFill>
              <w14:schemeClr w14:val="tx1"/>
            </w14:solidFill>
          </w14:textFill>
        </w:rPr>
      </w:pPr>
      <w:r>
        <w:rPr>
          <w:color w:val="000000" w:themeColor="text1"/>
          <w14:textFill>
            <w14:solidFill>
              <w14:schemeClr w14:val="tx1"/>
            </w14:solidFill>
          </w14:textFill>
        </w:rPr>
        <w:t>风险类型及潜在危险性识别</w:t>
      </w:r>
    </w:p>
    <w:p>
      <w:pPr>
        <w:pStyle w:val="1075"/>
        <w:ind w:firstLine="437"/>
        <w:rPr>
          <w:color w:val="000000" w:themeColor="text1"/>
          <w14:textFill>
            <w14:solidFill>
              <w14:schemeClr w14:val="tx1"/>
            </w14:solidFill>
          </w14:textFill>
        </w:rPr>
      </w:pPr>
      <w:r>
        <w:rPr>
          <w:color w:val="000000" w:themeColor="text1"/>
          <w14:textFill>
            <w14:solidFill>
              <w14:schemeClr w14:val="tx1"/>
            </w14:solidFill>
          </w14:textFill>
        </w:rPr>
        <w:t>根据前述工程分析结果，在类比同类项目事故风险的基础上，确定本工程风险类型为：到港船舶燃油泄漏，不考虑自然灾害如地震、台风、风暴潮等所引起的事故风险。本工程可能涉及的主要风险类型见表4.</w:t>
      </w:r>
      <w:r>
        <w:rPr>
          <w:rFonts w:hint="eastAsia"/>
          <w:color w:val="000000" w:themeColor="text1"/>
          <w14:textFill>
            <w14:solidFill>
              <w14:schemeClr w14:val="tx1"/>
            </w14:solidFill>
          </w14:textFill>
        </w:rPr>
        <w:t>6</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2</w:t>
      </w:r>
      <w:r>
        <w:rPr>
          <w:color w:val="000000" w:themeColor="text1"/>
          <w14:textFill>
            <w14:solidFill>
              <w14:schemeClr w14:val="tx1"/>
            </w14:solidFill>
          </w14:textFill>
        </w:rPr>
        <w:t>。</w:t>
      </w:r>
    </w:p>
    <w:p>
      <w:pPr>
        <w:pStyle w:val="384"/>
        <w:ind w:left="0" w:firstLine="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本工程各工艺环节主要风险类型及特征</w:t>
      </w:r>
    </w:p>
    <w:tbl>
      <w:tblPr>
        <w:tblStyle w:val="436"/>
        <w:tblW w:w="8528" w:type="dxa"/>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690"/>
        <w:gridCol w:w="3232"/>
        <w:gridCol w:w="3606"/>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c>
          <w:tcPr>
            <w:tcW w:w="1690" w:type="dxa"/>
            <w:vAlign w:val="center"/>
          </w:tcPr>
          <w:p>
            <w:pPr>
              <w:pStyle w:val="2001"/>
            </w:pPr>
            <w:r>
              <w:rPr>
                <w:w w:val="95"/>
              </w:rPr>
              <w:t>风险类型</w:t>
            </w:r>
          </w:p>
        </w:tc>
        <w:tc>
          <w:tcPr>
            <w:tcW w:w="3232" w:type="dxa"/>
            <w:vAlign w:val="center"/>
          </w:tcPr>
          <w:p>
            <w:pPr>
              <w:pStyle w:val="2001"/>
            </w:pPr>
            <w:r>
              <w:t>工艺环节</w:t>
            </w:r>
          </w:p>
        </w:tc>
        <w:tc>
          <w:tcPr>
            <w:tcW w:w="3606" w:type="dxa"/>
            <w:vAlign w:val="center"/>
          </w:tcPr>
          <w:p>
            <w:pPr>
              <w:pStyle w:val="2001"/>
            </w:pPr>
            <w:r>
              <w:t>事故危害</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c>
          <w:tcPr>
            <w:tcW w:w="1690" w:type="dxa"/>
            <w:vAlign w:val="center"/>
          </w:tcPr>
          <w:p>
            <w:pPr>
              <w:pStyle w:val="2001"/>
            </w:pPr>
            <w:r>
              <w:t>燃料油泄漏</w:t>
            </w:r>
          </w:p>
        </w:tc>
        <w:tc>
          <w:tcPr>
            <w:tcW w:w="3232" w:type="dxa"/>
            <w:vAlign w:val="center"/>
          </w:tcPr>
          <w:p>
            <w:pPr>
              <w:pStyle w:val="2001"/>
            </w:pPr>
            <w:r>
              <w:t>码头操作性溢油事故</w:t>
            </w:r>
          </w:p>
        </w:tc>
        <w:tc>
          <w:tcPr>
            <w:tcW w:w="3606" w:type="dxa"/>
            <w:vAlign w:val="center"/>
          </w:tcPr>
          <w:p>
            <w:pPr>
              <w:pStyle w:val="2001"/>
            </w:pPr>
            <w:r>
              <w:t>污染海域</w:t>
            </w:r>
          </w:p>
        </w:tc>
      </w:tr>
    </w:tbl>
    <w:p>
      <w:pPr>
        <w:pStyle w:val="1075"/>
        <w:ind w:firstLine="437"/>
        <w:rPr>
          <w:color w:val="000000" w:themeColor="text1"/>
          <w14:textFill>
            <w14:solidFill>
              <w14:schemeClr w14:val="tx1"/>
            </w14:solidFill>
          </w14:textFill>
        </w:rPr>
      </w:pPr>
      <w:r>
        <w:rPr>
          <w:color w:val="000000" w:themeColor="text1"/>
          <w14:textFill>
            <w14:solidFill>
              <w14:schemeClr w14:val="tx1"/>
            </w14:solidFill>
          </w14:textFill>
        </w:rPr>
        <w:t>造成泄漏事故的可能原因如下：</w:t>
      </w:r>
    </w:p>
    <w:p>
      <w:pPr>
        <w:pStyle w:val="1075"/>
        <w:ind w:firstLine="437"/>
        <w:rPr>
          <w:color w:val="000000" w:themeColor="text1"/>
          <w14:textFill>
            <w14:solidFill>
              <w14:schemeClr w14:val="tx1"/>
            </w14:solidFill>
          </w14:textFill>
        </w:rPr>
      </w:pPr>
      <w:r>
        <w:rPr>
          <w:color w:val="000000" w:themeColor="text1"/>
          <w14:textFill>
            <w14:solidFill>
              <w14:schemeClr w14:val="tx1"/>
            </w14:solidFill>
          </w14:textFill>
        </w:rPr>
        <w:t>（1）人的不安全行为</w:t>
      </w:r>
    </w:p>
    <w:p>
      <w:pPr>
        <w:pStyle w:val="1075"/>
        <w:ind w:firstLine="437"/>
        <w:rPr>
          <w:color w:val="000000" w:themeColor="text1"/>
          <w14:textFill>
            <w14:solidFill>
              <w14:schemeClr w14:val="tx1"/>
            </w14:solidFill>
          </w14:textFill>
        </w:rPr>
      </w:pPr>
      <w:r>
        <w:rPr>
          <w:rFonts w:hint="eastAsia" w:ascii="宋体" w:hAnsi="宋体" w:cs="宋体"/>
          <w:color w:val="000000" w:themeColor="text1"/>
          <w14:textFill>
            <w14:solidFill>
              <w14:schemeClr w14:val="tx1"/>
            </w14:solidFill>
          </w14:textFill>
        </w:rPr>
        <w:t>①</w:t>
      </w:r>
      <w:r>
        <w:rPr>
          <w:color w:val="000000" w:themeColor="text1"/>
          <w14:textFill>
            <w14:solidFill>
              <w14:schemeClr w14:val="tx1"/>
            </w14:solidFill>
          </w14:textFill>
        </w:rPr>
        <w:t>船、码头方之间通信联络及交流有误或衔接不当，导致油品泄漏。</w:t>
      </w:r>
    </w:p>
    <w:p>
      <w:pPr>
        <w:pStyle w:val="1075"/>
        <w:ind w:firstLine="437"/>
        <w:rPr>
          <w:color w:val="000000" w:themeColor="text1"/>
          <w14:textFill>
            <w14:solidFill>
              <w14:schemeClr w14:val="tx1"/>
            </w14:solidFill>
          </w14:textFill>
        </w:rPr>
      </w:pPr>
      <w:r>
        <w:rPr>
          <w:rFonts w:hint="eastAsia" w:ascii="宋体" w:hAnsi="宋体" w:cs="宋体"/>
          <w:color w:val="000000" w:themeColor="text1"/>
          <w14:textFill>
            <w14:solidFill>
              <w14:schemeClr w14:val="tx1"/>
            </w14:solidFill>
          </w14:textFill>
        </w:rPr>
        <w:t>②</w:t>
      </w:r>
      <w:r>
        <w:rPr>
          <w:color w:val="000000" w:themeColor="text1"/>
          <w14:textFill>
            <w14:solidFill>
              <w14:schemeClr w14:val="tx1"/>
            </w14:solidFill>
          </w14:textFill>
        </w:rPr>
        <w:t>管理不善、规章制度不健全。</w:t>
      </w:r>
    </w:p>
    <w:p>
      <w:pPr>
        <w:pStyle w:val="1075"/>
        <w:ind w:firstLine="437"/>
        <w:rPr>
          <w:color w:val="000000" w:themeColor="text1"/>
          <w14:textFill>
            <w14:solidFill>
              <w14:schemeClr w14:val="tx1"/>
            </w14:solidFill>
          </w14:textFill>
        </w:rPr>
      </w:pPr>
      <w:r>
        <w:rPr>
          <w:color w:val="000000" w:themeColor="text1"/>
          <w14:textFill>
            <w14:solidFill>
              <w14:schemeClr w14:val="tx1"/>
            </w14:solidFill>
          </w14:textFill>
        </w:rPr>
        <w:t>（2）船舶的质量缺陷或故障</w:t>
      </w:r>
    </w:p>
    <w:p>
      <w:pPr>
        <w:pStyle w:val="1075"/>
        <w:ind w:firstLine="437"/>
        <w:rPr>
          <w:color w:val="000000" w:themeColor="text1"/>
          <w14:textFill>
            <w14:solidFill>
              <w14:schemeClr w14:val="tx1"/>
            </w14:solidFill>
          </w14:textFill>
        </w:rPr>
      </w:pPr>
      <w:r>
        <w:rPr>
          <w:rFonts w:hint="eastAsia" w:ascii="宋体" w:hAnsi="宋体" w:cs="宋体"/>
          <w:color w:val="000000" w:themeColor="text1"/>
          <w14:textFill>
            <w14:solidFill>
              <w14:schemeClr w14:val="tx1"/>
            </w14:solidFill>
          </w14:textFill>
        </w:rPr>
        <w:t>①</w:t>
      </w:r>
      <w:r>
        <w:rPr>
          <w:color w:val="000000" w:themeColor="text1"/>
          <w14:textFill>
            <w14:solidFill>
              <w14:schemeClr w14:val="tx1"/>
            </w14:solidFill>
          </w14:textFill>
        </w:rPr>
        <w:t>到港船舶不符合安全要求：到港船舶不符合装载、运输方面的安全要求。</w:t>
      </w:r>
    </w:p>
    <w:p>
      <w:pPr>
        <w:pStyle w:val="1075"/>
        <w:ind w:firstLine="437"/>
        <w:rPr>
          <w:color w:val="000000" w:themeColor="text1"/>
          <w14:textFill>
            <w14:solidFill>
              <w14:schemeClr w14:val="tx1"/>
            </w14:solidFill>
          </w14:textFill>
        </w:rPr>
      </w:pPr>
      <w:r>
        <w:rPr>
          <w:rFonts w:hint="eastAsia" w:ascii="宋体" w:hAnsi="宋体" w:cs="宋体"/>
          <w:color w:val="000000" w:themeColor="text1"/>
          <w14:textFill>
            <w14:solidFill>
              <w14:schemeClr w14:val="tx1"/>
            </w14:solidFill>
          </w14:textFill>
        </w:rPr>
        <w:t>②</w:t>
      </w:r>
      <w:r>
        <w:rPr>
          <w:color w:val="000000" w:themeColor="text1"/>
          <w14:textFill>
            <w14:solidFill>
              <w14:schemeClr w14:val="tx1"/>
            </w14:solidFill>
          </w14:textFill>
        </w:rPr>
        <w:t>安全检测及保护装置失灵：船舶的检测、控制系统发生故障，导致误动作或控制失灵。</w:t>
      </w:r>
    </w:p>
    <w:p>
      <w:pPr>
        <w:pStyle w:val="1075"/>
        <w:ind w:firstLine="437"/>
        <w:rPr>
          <w:color w:val="000000" w:themeColor="text1"/>
          <w14:textFill>
            <w14:solidFill>
              <w14:schemeClr w14:val="tx1"/>
            </w14:solidFill>
          </w14:textFill>
        </w:rPr>
      </w:pPr>
      <w:r>
        <w:rPr>
          <w:color w:val="000000" w:themeColor="text1"/>
          <w14:textFill>
            <w14:solidFill>
              <w14:schemeClr w14:val="tx1"/>
            </w14:solidFill>
          </w14:textFill>
        </w:rPr>
        <w:t>（3）其他因素的不利影响</w:t>
      </w:r>
    </w:p>
    <w:p>
      <w:pPr>
        <w:pStyle w:val="1075"/>
        <w:ind w:firstLine="437"/>
        <w:rPr>
          <w:color w:val="000000" w:themeColor="text1"/>
          <w14:textFill>
            <w14:solidFill>
              <w14:schemeClr w14:val="tx1"/>
            </w14:solidFill>
          </w14:textFill>
        </w:rPr>
      </w:pPr>
      <w:r>
        <w:rPr>
          <w:color w:val="000000" w:themeColor="text1"/>
          <w14:textFill>
            <w14:solidFill>
              <w14:schemeClr w14:val="tx1"/>
            </w14:solidFill>
          </w14:textFill>
        </w:rPr>
        <w:t>船舶碰撞事故。船舶在靠、离码头过程中，因操作不当或因水文气象条件不良等原因，造成船舶与码头相撞，进而导致船舶燃油舱破损及泄漏事故。</w:t>
      </w:r>
    </w:p>
    <w:p>
      <w:pPr>
        <w:pStyle w:val="5"/>
        <w:rPr>
          <w:color w:val="000000" w:themeColor="text1"/>
          <w14:textFill>
            <w14:solidFill>
              <w14:schemeClr w14:val="tx1"/>
            </w14:solidFill>
          </w14:textFill>
        </w:rPr>
      </w:pPr>
      <w:r>
        <w:rPr>
          <w:color w:val="000000" w:themeColor="text1"/>
          <w14:textFill>
            <w14:solidFill>
              <w14:schemeClr w14:val="tx1"/>
            </w14:solidFill>
          </w14:textFill>
        </w:rPr>
        <w:t>风险事故情形分析</w:t>
      </w:r>
    </w:p>
    <w:p>
      <w:pPr>
        <w:pStyle w:val="6"/>
        <w:rPr>
          <w:color w:val="000000" w:themeColor="text1"/>
          <w:lang w:val="zh-CN"/>
          <w14:textFill>
            <w14:solidFill>
              <w14:schemeClr w14:val="tx1"/>
            </w14:solidFill>
          </w14:textFill>
        </w:rPr>
      </w:pPr>
      <w:r>
        <w:rPr>
          <w:rFonts w:hint="eastAsia"/>
          <w:color w:val="000000" w:themeColor="text1"/>
          <w:lang w:val="zh-CN"/>
          <w14:textFill>
            <w14:solidFill>
              <w14:schemeClr w14:val="tx1"/>
            </w14:solidFill>
          </w14:textFill>
        </w:rPr>
        <w:t>事故类型</w:t>
      </w:r>
    </w:p>
    <w:p>
      <w:pPr>
        <w:pStyle w:val="1075"/>
        <w:ind w:firstLine="437"/>
        <w:rPr>
          <w:color w:val="000000" w:themeColor="text1"/>
          <w:lang w:bidi="en-US"/>
          <w14:textFill>
            <w14:solidFill>
              <w14:schemeClr w14:val="tx1"/>
            </w14:solidFill>
          </w14:textFill>
        </w:rPr>
      </w:pPr>
      <w:r>
        <w:rPr>
          <w:rFonts w:hint="eastAsia"/>
          <w:color w:val="000000" w:themeColor="text1"/>
          <w:lang w:bidi="en-US"/>
          <w14:textFill>
            <w14:solidFill>
              <w14:schemeClr w14:val="tx1"/>
            </w14:solidFill>
          </w14:textFill>
        </w:rPr>
        <w:t>本工程可能存在的环境风险事故主要为运营期船舶燃料油泄漏及其引起的火灾爆炸事故。</w:t>
      </w:r>
    </w:p>
    <w:p>
      <w:pPr>
        <w:pStyle w:val="1075"/>
        <w:ind w:firstLine="437"/>
        <w:rPr>
          <w:color w:val="000000" w:themeColor="text1"/>
          <w:lang w:bidi="en-US"/>
          <w14:textFill>
            <w14:solidFill>
              <w14:schemeClr w14:val="tx1"/>
            </w14:solidFill>
          </w14:textFill>
        </w:rPr>
      </w:pPr>
      <w:r>
        <w:rPr>
          <w:rFonts w:hint="eastAsia"/>
          <w:color w:val="000000" w:themeColor="text1"/>
          <w:lang w:bidi="en-US"/>
          <w14:textFill>
            <w14:solidFill>
              <w14:schemeClr w14:val="tx1"/>
            </w14:solidFill>
          </w14:textFill>
        </w:rPr>
        <w:t>①水上溢油事故，燃料油一旦入海，对周边海域水质、生态环境造成不利影响。</w:t>
      </w:r>
    </w:p>
    <w:p>
      <w:pPr>
        <w:pStyle w:val="1075"/>
        <w:ind w:firstLine="437"/>
        <w:rPr>
          <w:color w:val="000000" w:themeColor="text1"/>
          <w:lang w:bidi="en-US"/>
          <w14:textFill>
            <w14:solidFill>
              <w14:schemeClr w14:val="tx1"/>
            </w14:solidFill>
          </w14:textFill>
        </w:rPr>
      </w:pPr>
      <w:r>
        <w:rPr>
          <w:rFonts w:hint="eastAsia"/>
          <w:color w:val="000000" w:themeColor="text1"/>
          <w:lang w:bidi="en-US"/>
          <w14:textFill>
            <w14:solidFill>
              <w14:schemeClr w14:val="tx1"/>
            </w14:solidFill>
          </w14:textFill>
        </w:rPr>
        <w:t>②火灾爆炸事故，火灾对人员的伤害主要来自燃烧爆炸的高温辐射和燃烧产物的烟气毒性；爆炸主要以冲击波的形式对人员、设备及环境造成伤害与破坏。火灾爆炸事故引发伴生</w:t>
      </w:r>
      <w:r>
        <w:rPr>
          <w:color w:val="000000" w:themeColor="text1"/>
          <w:lang w:bidi="en-US"/>
          <w14:textFill>
            <w14:solidFill>
              <w14:schemeClr w14:val="tx1"/>
            </w14:solidFill>
          </w14:textFill>
        </w:rPr>
        <w:t>/</w:t>
      </w:r>
      <w:r>
        <w:rPr>
          <w:rFonts w:hint="eastAsia"/>
          <w:color w:val="000000" w:themeColor="text1"/>
          <w:lang w:bidi="en-US"/>
          <w14:textFill>
            <w14:solidFill>
              <w14:schemeClr w14:val="tx1"/>
            </w14:solidFill>
          </w14:textFill>
        </w:rPr>
        <w:t>次生污染物排放，可能导致更大规模的泄漏等污染事故，并制约防污应急反应行动。</w:t>
      </w:r>
    </w:p>
    <w:p>
      <w:pPr>
        <w:pStyle w:val="6"/>
        <w:rPr>
          <w:color w:val="000000" w:themeColor="text1"/>
          <w:lang w:val="zh-CN"/>
          <w14:textFill>
            <w14:solidFill>
              <w14:schemeClr w14:val="tx1"/>
            </w14:solidFill>
          </w14:textFill>
        </w:rPr>
      </w:pPr>
      <w:r>
        <w:rPr>
          <w:color w:val="000000" w:themeColor="text1"/>
          <w:lang w:val="zh-CN"/>
          <w14:textFill>
            <w14:solidFill>
              <w14:schemeClr w14:val="tx1"/>
            </w14:solidFill>
          </w14:textFill>
        </w:rPr>
        <w:t>风险事故统计</w:t>
      </w:r>
    </w:p>
    <w:p>
      <w:pPr>
        <w:pStyle w:val="1075"/>
        <w:ind w:firstLine="437"/>
        <w:rPr>
          <w:color w:val="000000" w:themeColor="text1"/>
          <w:lang w:bidi="en-US"/>
          <w14:textFill>
            <w14:solidFill>
              <w14:schemeClr w14:val="tx1"/>
            </w14:solidFill>
          </w14:textFill>
        </w:rPr>
      </w:pPr>
      <w:r>
        <w:rPr>
          <w:color w:val="000000" w:themeColor="text1"/>
          <w:lang w:bidi="en-US"/>
          <w14:textFill>
            <w14:solidFill>
              <w14:schemeClr w14:val="tx1"/>
            </w14:solidFill>
          </w14:textFill>
        </w:rPr>
        <w:t>（1）国际溢油事故统计</w:t>
      </w:r>
    </w:p>
    <w:p>
      <w:pPr>
        <w:pStyle w:val="1075"/>
        <w:ind w:firstLine="437"/>
        <w:rPr>
          <w:color w:val="000000" w:themeColor="text1"/>
          <w:lang w:bidi="en-US"/>
          <w14:textFill>
            <w14:solidFill>
              <w14:schemeClr w14:val="tx1"/>
            </w14:solidFill>
          </w14:textFill>
        </w:rPr>
      </w:pPr>
      <w:r>
        <w:rPr>
          <w:color w:val="000000" w:themeColor="text1"/>
          <w:lang w:bidi="en-US"/>
          <w14:textFill>
            <w14:solidFill>
              <w14:schemeClr w14:val="tx1"/>
            </w14:solidFill>
          </w14:textFill>
        </w:rPr>
        <w:t>根据国际油轮船东防污联盟（ITPOF）对1974</w:t>
      </w:r>
      <w:r>
        <w:rPr>
          <w:rFonts w:hint="eastAsia"/>
          <w:color w:val="000000" w:themeColor="text1"/>
          <w:lang w:bidi="en-US"/>
          <w14:textFill>
            <w14:solidFill>
              <w14:schemeClr w14:val="tx1"/>
            </w14:solidFill>
          </w14:textFill>
        </w:rPr>
        <w:t>年至2020年发</w:t>
      </w:r>
      <w:r>
        <w:rPr>
          <w:color w:val="000000" w:themeColor="text1"/>
          <w:lang w:bidi="en-US"/>
          <w14:textFill>
            <w14:solidFill>
              <w14:schemeClr w14:val="tx1"/>
            </w14:solidFill>
          </w14:textFill>
        </w:rPr>
        <w:t>生的溢油事故统计数据（表4.</w:t>
      </w:r>
      <w:r>
        <w:rPr>
          <w:rFonts w:hint="eastAsia"/>
          <w:color w:val="000000" w:themeColor="text1"/>
          <w:lang w:bidi="en-US"/>
          <w14:textFill>
            <w14:solidFill>
              <w14:schemeClr w14:val="tx1"/>
            </w14:solidFill>
          </w14:textFill>
        </w:rPr>
        <w:t>6</w:t>
      </w:r>
      <w:r>
        <w:rPr>
          <w:color w:val="000000" w:themeColor="text1"/>
          <w:lang w:bidi="en-US"/>
          <w14:textFill>
            <w14:solidFill>
              <w14:schemeClr w14:val="tx1"/>
            </w14:solidFill>
          </w14:textFill>
        </w:rPr>
        <w:t>-</w:t>
      </w:r>
      <w:r>
        <w:rPr>
          <w:rFonts w:hint="eastAsia"/>
          <w:color w:val="000000" w:themeColor="text1"/>
          <w:lang w:bidi="en-US"/>
          <w14:textFill>
            <w14:solidFill>
              <w14:schemeClr w14:val="tx1"/>
            </w14:solidFill>
          </w14:textFill>
        </w:rPr>
        <w:t>3</w:t>
      </w:r>
      <w:r>
        <w:rPr>
          <w:color w:val="000000" w:themeColor="text1"/>
          <w:lang w:bidi="en-US"/>
          <w14:textFill>
            <w14:solidFill>
              <w14:schemeClr w14:val="tx1"/>
            </w14:solidFill>
          </w14:textFill>
        </w:rPr>
        <w:t>），发生事故超过10000起，绝大多数的事故（81%）属于&lt;7吨的小规模事故。统计中将7</w:t>
      </w:r>
      <w:r>
        <w:rPr>
          <w:rFonts w:hint="eastAsia"/>
          <w:color w:val="000000" w:themeColor="text1"/>
          <w:lang w:bidi="en-US"/>
          <w14:textFill>
            <w14:solidFill>
              <w14:schemeClr w14:val="tx1"/>
            </w14:solidFill>
          </w14:textFill>
        </w:rPr>
        <w:t>—</w:t>
      </w:r>
      <w:r>
        <w:rPr>
          <w:color w:val="000000" w:themeColor="text1"/>
          <w:lang w:bidi="en-US"/>
          <w14:textFill>
            <w14:solidFill>
              <w14:schemeClr w14:val="tx1"/>
            </w14:solidFill>
          </w14:textFill>
        </w:rPr>
        <w:t>700吨事故定义为中型事故，大于700吨事故定义为大型事故。根据对事故原因的分析，中小型事故的次数占所有事故的95%，其中40%和29%通常发生在港口和码头的货物装卸操作中；大约46%的中小型事故由设备故障和船体故障造成；碰撞和搁浅造成了2%的小型事故和47%的中型溢油事故。大型事故50%发生于开放水域的在航操作；59%的事故是由碰撞、搁浅造成，尤其是在港口、口岸区域。</w:t>
      </w:r>
    </w:p>
    <w:p>
      <w:pPr>
        <w:pStyle w:val="1075"/>
        <w:ind w:firstLine="437"/>
        <w:rPr>
          <w:color w:val="000000" w:themeColor="text1"/>
          <w:lang w:bidi="en-US"/>
          <w14:textFill>
            <w14:solidFill>
              <w14:schemeClr w14:val="tx1"/>
            </w14:solidFill>
          </w14:textFill>
        </w:rPr>
      </w:pPr>
      <w:r>
        <w:rPr>
          <w:color w:val="000000" w:themeColor="text1"/>
          <w:lang w:bidi="en-US"/>
          <w14:textFill>
            <w14:solidFill>
              <w14:schemeClr w14:val="tx1"/>
            </w14:solidFill>
          </w14:textFill>
        </w:rPr>
        <w:t>说明随着科技的发展，船舶溢油事故越来越少。</w:t>
      </w:r>
    </w:p>
    <w:p>
      <w:pPr>
        <w:pStyle w:val="384"/>
        <w:ind w:left="0" w:firstLine="0"/>
        <w:rPr>
          <w:rFonts w:cs="Times New Roman"/>
          <w:color w:val="000000" w:themeColor="text1"/>
          <w:lang w:bidi="en-US"/>
          <w14:textFill>
            <w14:solidFill>
              <w14:schemeClr w14:val="tx1"/>
            </w14:solidFill>
          </w14:textFill>
        </w:rPr>
      </w:pPr>
      <w:r>
        <w:rPr>
          <w:rFonts w:cs="Times New Roman"/>
          <w:color w:val="000000" w:themeColor="text1"/>
          <w:lang w:bidi="en-US"/>
          <w14:textFill>
            <w14:solidFill>
              <w14:schemeClr w14:val="tx1"/>
            </w14:solidFill>
          </w14:textFill>
        </w:rPr>
        <w:t>1974年</w:t>
      </w:r>
      <w:r>
        <w:rPr>
          <w:rFonts w:hint="eastAsia" w:cs="Times New Roman"/>
          <w:color w:val="000000" w:themeColor="text1"/>
          <w:lang w:bidi="en-US"/>
          <w14:textFill>
            <w14:solidFill>
              <w14:schemeClr w14:val="tx1"/>
            </w14:solidFill>
          </w14:textFill>
        </w:rPr>
        <w:t>至2020年</w:t>
      </w:r>
      <w:r>
        <w:rPr>
          <w:rFonts w:cs="Times New Roman"/>
          <w:color w:val="000000" w:themeColor="text1"/>
          <w:lang w:bidi="en-US"/>
          <w14:textFill>
            <w14:solidFill>
              <w14:schemeClr w14:val="tx1"/>
            </w14:solidFill>
          </w14:textFill>
        </w:rPr>
        <w:t>溢油事故成因统计结果</w:t>
      </w:r>
    </w:p>
    <w:tbl>
      <w:tblPr>
        <w:tblStyle w:val="88"/>
        <w:tblW w:w="8528" w:type="dxa"/>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818"/>
        <w:gridCol w:w="2026"/>
        <w:gridCol w:w="1421"/>
        <w:gridCol w:w="1421"/>
        <w:gridCol w:w="1421"/>
        <w:gridCol w:w="1421"/>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PrEx>
        <w:trPr>
          <w:tblHeader/>
        </w:trPr>
        <w:tc>
          <w:tcPr>
            <w:tcW w:w="2844" w:type="dxa"/>
            <w:gridSpan w:val="2"/>
            <w:shd w:val="clear" w:color="auto" w:fill="auto"/>
            <w:vAlign w:val="center"/>
          </w:tcPr>
          <w:p>
            <w:pPr>
              <w:pStyle w:val="2001"/>
            </w:pPr>
            <w:r>
              <w:t>溢油量</w:t>
            </w:r>
          </w:p>
        </w:tc>
        <w:tc>
          <w:tcPr>
            <w:tcW w:w="1421" w:type="dxa"/>
            <w:shd w:val="clear" w:color="auto" w:fill="auto"/>
            <w:vAlign w:val="center"/>
          </w:tcPr>
          <w:p>
            <w:pPr>
              <w:pStyle w:val="1856"/>
              <w:snapToGrid w:val="0"/>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&lt;7t</w:t>
            </w:r>
          </w:p>
        </w:tc>
        <w:tc>
          <w:tcPr>
            <w:tcW w:w="1421" w:type="dxa"/>
            <w:shd w:val="clear" w:color="auto" w:fill="auto"/>
            <w:vAlign w:val="center"/>
          </w:tcPr>
          <w:p>
            <w:pPr>
              <w:pStyle w:val="1856"/>
              <w:snapToGrid w:val="0"/>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7</w:t>
            </w:r>
            <w:r>
              <w:rPr>
                <w:rFonts w:hint="eastAsia"/>
                <w:color w:val="000000" w:themeColor="text1"/>
                <w:sz w:val="21"/>
                <w:szCs w:val="21"/>
                <w14:textFill>
                  <w14:solidFill>
                    <w14:schemeClr w14:val="tx1"/>
                  </w14:solidFill>
                </w14:textFill>
              </w:rPr>
              <w:t>—</w:t>
            </w:r>
            <w:r>
              <w:rPr>
                <w:color w:val="000000" w:themeColor="text1"/>
                <w:sz w:val="21"/>
                <w:szCs w:val="21"/>
                <w14:textFill>
                  <w14:solidFill>
                    <w14:schemeClr w14:val="tx1"/>
                  </w14:solidFill>
                </w14:textFill>
              </w:rPr>
              <w:t>700t</w:t>
            </w:r>
          </w:p>
        </w:tc>
        <w:tc>
          <w:tcPr>
            <w:tcW w:w="1421" w:type="dxa"/>
            <w:shd w:val="clear" w:color="auto" w:fill="auto"/>
            <w:vAlign w:val="center"/>
          </w:tcPr>
          <w:p>
            <w:pPr>
              <w:pStyle w:val="1856"/>
              <w:snapToGrid w:val="0"/>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&gt;700t</w:t>
            </w:r>
          </w:p>
        </w:tc>
        <w:tc>
          <w:tcPr>
            <w:tcW w:w="1421" w:type="dxa"/>
            <w:shd w:val="clear" w:color="auto" w:fill="auto"/>
            <w:vAlign w:val="center"/>
          </w:tcPr>
          <w:p>
            <w:pPr>
              <w:pStyle w:val="1856"/>
              <w:snapToGrid w:val="0"/>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小计</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c>
          <w:tcPr>
            <w:tcW w:w="818" w:type="dxa"/>
            <w:vMerge w:val="restart"/>
            <w:shd w:val="clear" w:color="auto" w:fill="auto"/>
            <w:vAlign w:val="center"/>
          </w:tcPr>
          <w:p>
            <w:pPr>
              <w:pStyle w:val="2001"/>
            </w:pPr>
            <w:r>
              <w:t>操作</w:t>
            </w:r>
          </w:p>
        </w:tc>
        <w:tc>
          <w:tcPr>
            <w:tcW w:w="2026" w:type="dxa"/>
            <w:shd w:val="clear" w:color="auto" w:fill="auto"/>
            <w:vAlign w:val="center"/>
          </w:tcPr>
          <w:p>
            <w:pPr>
              <w:pStyle w:val="2001"/>
            </w:pPr>
            <w:r>
              <w:t>抛锚</w:t>
            </w:r>
          </w:p>
        </w:tc>
        <w:tc>
          <w:tcPr>
            <w:tcW w:w="1421" w:type="dxa"/>
            <w:shd w:val="clear" w:color="auto" w:fill="auto"/>
            <w:vAlign w:val="center"/>
          </w:tcPr>
          <w:p>
            <w:pPr>
              <w:pStyle w:val="1856"/>
              <w:snapToGrid w:val="0"/>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w:t>
            </w:r>
          </w:p>
        </w:tc>
        <w:tc>
          <w:tcPr>
            <w:tcW w:w="1421" w:type="dxa"/>
            <w:shd w:val="clear" w:color="auto" w:fill="auto"/>
            <w:vAlign w:val="center"/>
          </w:tcPr>
          <w:p>
            <w:pPr>
              <w:pStyle w:val="1856"/>
              <w:snapToGrid w:val="0"/>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w:t>
            </w:r>
          </w:p>
        </w:tc>
        <w:tc>
          <w:tcPr>
            <w:tcW w:w="1421" w:type="dxa"/>
            <w:shd w:val="clear" w:color="auto" w:fill="auto"/>
            <w:vAlign w:val="center"/>
          </w:tcPr>
          <w:p>
            <w:pPr>
              <w:pStyle w:val="1856"/>
              <w:snapToGrid w:val="0"/>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25</w:t>
            </w:r>
          </w:p>
        </w:tc>
        <w:tc>
          <w:tcPr>
            <w:tcW w:w="1421" w:type="dxa"/>
            <w:shd w:val="clear" w:color="auto" w:fill="auto"/>
            <w:vAlign w:val="center"/>
          </w:tcPr>
          <w:p>
            <w:pPr>
              <w:pStyle w:val="1856"/>
              <w:snapToGrid w:val="0"/>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25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c>
          <w:tcPr>
            <w:tcW w:w="818" w:type="dxa"/>
            <w:vMerge w:val="continue"/>
            <w:shd w:val="clear" w:color="auto" w:fill="auto"/>
            <w:vAlign w:val="center"/>
          </w:tcPr>
          <w:p>
            <w:pPr>
              <w:pStyle w:val="2001"/>
            </w:pPr>
          </w:p>
        </w:tc>
        <w:tc>
          <w:tcPr>
            <w:tcW w:w="2026" w:type="dxa"/>
            <w:shd w:val="clear" w:color="auto" w:fill="auto"/>
            <w:vAlign w:val="center"/>
          </w:tcPr>
          <w:p>
            <w:pPr>
              <w:pStyle w:val="2001"/>
            </w:pPr>
            <w:r>
              <w:t>在航</w:t>
            </w:r>
          </w:p>
        </w:tc>
        <w:tc>
          <w:tcPr>
            <w:tcW w:w="1421" w:type="dxa"/>
            <w:shd w:val="clear" w:color="auto" w:fill="auto"/>
            <w:vAlign w:val="center"/>
          </w:tcPr>
          <w:p>
            <w:pPr>
              <w:pStyle w:val="1856"/>
              <w:snapToGrid w:val="0"/>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w:t>
            </w:r>
          </w:p>
        </w:tc>
        <w:tc>
          <w:tcPr>
            <w:tcW w:w="1421" w:type="dxa"/>
            <w:shd w:val="clear" w:color="auto" w:fill="auto"/>
            <w:vAlign w:val="center"/>
          </w:tcPr>
          <w:p>
            <w:pPr>
              <w:pStyle w:val="1856"/>
              <w:snapToGrid w:val="0"/>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w:t>
            </w:r>
          </w:p>
        </w:tc>
        <w:tc>
          <w:tcPr>
            <w:tcW w:w="1421" w:type="dxa"/>
            <w:shd w:val="clear" w:color="auto" w:fill="auto"/>
            <w:vAlign w:val="center"/>
          </w:tcPr>
          <w:p>
            <w:pPr>
              <w:pStyle w:val="1856"/>
              <w:snapToGrid w:val="0"/>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310</w:t>
            </w:r>
          </w:p>
        </w:tc>
        <w:tc>
          <w:tcPr>
            <w:tcW w:w="1421" w:type="dxa"/>
            <w:shd w:val="clear" w:color="auto" w:fill="auto"/>
            <w:vAlign w:val="center"/>
          </w:tcPr>
          <w:p>
            <w:pPr>
              <w:pStyle w:val="1856"/>
              <w:snapToGrid w:val="0"/>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310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c>
          <w:tcPr>
            <w:tcW w:w="818" w:type="dxa"/>
            <w:vMerge w:val="continue"/>
            <w:shd w:val="clear" w:color="auto" w:fill="auto"/>
            <w:vAlign w:val="center"/>
          </w:tcPr>
          <w:p>
            <w:pPr>
              <w:pStyle w:val="2001"/>
            </w:pPr>
          </w:p>
        </w:tc>
        <w:tc>
          <w:tcPr>
            <w:tcW w:w="2026" w:type="dxa"/>
            <w:shd w:val="clear" w:color="auto" w:fill="auto"/>
            <w:vAlign w:val="center"/>
          </w:tcPr>
          <w:p>
            <w:pPr>
              <w:pStyle w:val="2001"/>
            </w:pPr>
            <w:r>
              <w:t>装卸</w:t>
            </w:r>
          </w:p>
        </w:tc>
        <w:tc>
          <w:tcPr>
            <w:tcW w:w="1421" w:type="dxa"/>
            <w:shd w:val="clear" w:color="auto" w:fill="auto"/>
            <w:vAlign w:val="center"/>
          </w:tcPr>
          <w:p>
            <w:pPr>
              <w:pStyle w:val="1856"/>
              <w:snapToGrid w:val="0"/>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3170</w:t>
            </w:r>
          </w:p>
        </w:tc>
        <w:tc>
          <w:tcPr>
            <w:tcW w:w="1421" w:type="dxa"/>
            <w:shd w:val="clear" w:color="auto" w:fill="auto"/>
            <w:vAlign w:val="center"/>
          </w:tcPr>
          <w:p>
            <w:pPr>
              <w:pStyle w:val="1856"/>
              <w:snapToGrid w:val="0"/>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393</w:t>
            </w:r>
          </w:p>
        </w:tc>
        <w:tc>
          <w:tcPr>
            <w:tcW w:w="1421" w:type="dxa"/>
            <w:shd w:val="clear" w:color="auto" w:fill="auto"/>
            <w:vAlign w:val="center"/>
          </w:tcPr>
          <w:p>
            <w:pPr>
              <w:pStyle w:val="1856"/>
              <w:snapToGrid w:val="0"/>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42</w:t>
            </w:r>
          </w:p>
        </w:tc>
        <w:tc>
          <w:tcPr>
            <w:tcW w:w="1421" w:type="dxa"/>
            <w:shd w:val="clear" w:color="auto" w:fill="auto"/>
            <w:vAlign w:val="center"/>
          </w:tcPr>
          <w:p>
            <w:pPr>
              <w:pStyle w:val="1856"/>
              <w:snapToGrid w:val="0"/>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3605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c>
          <w:tcPr>
            <w:tcW w:w="818" w:type="dxa"/>
            <w:vMerge w:val="continue"/>
            <w:shd w:val="clear" w:color="auto" w:fill="auto"/>
            <w:vAlign w:val="center"/>
          </w:tcPr>
          <w:p>
            <w:pPr>
              <w:pStyle w:val="2001"/>
            </w:pPr>
          </w:p>
        </w:tc>
        <w:tc>
          <w:tcPr>
            <w:tcW w:w="2026" w:type="dxa"/>
            <w:shd w:val="clear" w:color="auto" w:fill="auto"/>
            <w:vAlign w:val="center"/>
          </w:tcPr>
          <w:p>
            <w:pPr>
              <w:pStyle w:val="2001"/>
            </w:pPr>
            <w:r>
              <w:t>载油</w:t>
            </w:r>
          </w:p>
        </w:tc>
        <w:tc>
          <w:tcPr>
            <w:tcW w:w="1421" w:type="dxa"/>
            <w:shd w:val="clear" w:color="auto" w:fill="auto"/>
            <w:vAlign w:val="center"/>
          </w:tcPr>
          <w:p>
            <w:pPr>
              <w:pStyle w:val="1856"/>
              <w:snapToGrid w:val="0"/>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574</w:t>
            </w:r>
          </w:p>
        </w:tc>
        <w:tc>
          <w:tcPr>
            <w:tcW w:w="1421" w:type="dxa"/>
            <w:shd w:val="clear" w:color="auto" w:fill="auto"/>
            <w:vAlign w:val="center"/>
          </w:tcPr>
          <w:p>
            <w:pPr>
              <w:pStyle w:val="1856"/>
              <w:snapToGrid w:val="0"/>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32</w:t>
            </w:r>
          </w:p>
        </w:tc>
        <w:tc>
          <w:tcPr>
            <w:tcW w:w="1421" w:type="dxa"/>
            <w:shd w:val="clear" w:color="auto" w:fill="auto"/>
            <w:vAlign w:val="center"/>
          </w:tcPr>
          <w:p>
            <w:pPr>
              <w:pStyle w:val="1856"/>
              <w:snapToGrid w:val="0"/>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w:t>
            </w:r>
          </w:p>
        </w:tc>
        <w:tc>
          <w:tcPr>
            <w:tcW w:w="1421" w:type="dxa"/>
            <w:shd w:val="clear" w:color="auto" w:fill="auto"/>
            <w:vAlign w:val="center"/>
          </w:tcPr>
          <w:p>
            <w:pPr>
              <w:pStyle w:val="1856"/>
              <w:snapToGrid w:val="0"/>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607</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c>
          <w:tcPr>
            <w:tcW w:w="818" w:type="dxa"/>
            <w:vMerge w:val="continue"/>
            <w:shd w:val="clear" w:color="auto" w:fill="auto"/>
            <w:vAlign w:val="center"/>
          </w:tcPr>
          <w:p>
            <w:pPr>
              <w:pStyle w:val="2001"/>
            </w:pPr>
          </w:p>
        </w:tc>
        <w:tc>
          <w:tcPr>
            <w:tcW w:w="2026" w:type="dxa"/>
            <w:shd w:val="clear" w:color="auto" w:fill="auto"/>
            <w:vAlign w:val="center"/>
          </w:tcPr>
          <w:p>
            <w:pPr>
              <w:pStyle w:val="2001"/>
            </w:pPr>
            <w:r>
              <w:t>其他作业/未知</w:t>
            </w:r>
          </w:p>
        </w:tc>
        <w:tc>
          <w:tcPr>
            <w:tcW w:w="1421" w:type="dxa"/>
            <w:shd w:val="clear" w:color="auto" w:fill="auto"/>
            <w:vAlign w:val="center"/>
          </w:tcPr>
          <w:p>
            <w:pPr>
              <w:pStyle w:val="1856"/>
              <w:snapToGrid w:val="0"/>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4130</w:t>
            </w:r>
          </w:p>
        </w:tc>
        <w:tc>
          <w:tcPr>
            <w:tcW w:w="1421" w:type="dxa"/>
            <w:shd w:val="clear" w:color="auto" w:fill="auto"/>
            <w:vAlign w:val="center"/>
          </w:tcPr>
          <w:p>
            <w:pPr>
              <w:pStyle w:val="1856"/>
              <w:snapToGrid w:val="0"/>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939</w:t>
            </w:r>
          </w:p>
        </w:tc>
        <w:tc>
          <w:tcPr>
            <w:tcW w:w="1421" w:type="dxa"/>
            <w:shd w:val="clear" w:color="auto" w:fill="auto"/>
            <w:vAlign w:val="center"/>
          </w:tcPr>
          <w:p>
            <w:pPr>
              <w:pStyle w:val="1856"/>
              <w:snapToGrid w:val="0"/>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81</w:t>
            </w:r>
          </w:p>
        </w:tc>
        <w:tc>
          <w:tcPr>
            <w:tcW w:w="1421" w:type="dxa"/>
            <w:shd w:val="clear" w:color="auto" w:fill="auto"/>
            <w:vAlign w:val="center"/>
          </w:tcPr>
          <w:p>
            <w:pPr>
              <w:pStyle w:val="1856"/>
              <w:snapToGrid w:val="0"/>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5150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c>
          <w:tcPr>
            <w:tcW w:w="818" w:type="dxa"/>
            <w:vMerge w:val="restart"/>
            <w:shd w:val="clear" w:color="auto" w:fill="auto"/>
            <w:vAlign w:val="center"/>
          </w:tcPr>
          <w:p>
            <w:pPr>
              <w:pStyle w:val="2001"/>
            </w:pPr>
            <w:r>
              <w:t>事故</w:t>
            </w:r>
          </w:p>
        </w:tc>
        <w:tc>
          <w:tcPr>
            <w:tcW w:w="2026" w:type="dxa"/>
            <w:shd w:val="clear" w:color="auto" w:fill="auto"/>
            <w:vAlign w:val="center"/>
          </w:tcPr>
          <w:p>
            <w:pPr>
              <w:pStyle w:val="2001"/>
            </w:pPr>
            <w:r>
              <w:t>碰撞</w:t>
            </w:r>
          </w:p>
        </w:tc>
        <w:tc>
          <w:tcPr>
            <w:tcW w:w="1421" w:type="dxa"/>
            <w:shd w:val="clear" w:color="auto" w:fill="auto"/>
            <w:vAlign w:val="center"/>
          </w:tcPr>
          <w:p>
            <w:pPr>
              <w:pStyle w:val="1856"/>
              <w:snapToGrid w:val="0"/>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188</w:t>
            </w:r>
          </w:p>
        </w:tc>
        <w:tc>
          <w:tcPr>
            <w:tcW w:w="1421" w:type="dxa"/>
            <w:shd w:val="clear" w:color="auto" w:fill="auto"/>
            <w:vAlign w:val="center"/>
          </w:tcPr>
          <w:p>
            <w:pPr>
              <w:pStyle w:val="1856"/>
              <w:snapToGrid w:val="0"/>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361</w:t>
            </w:r>
          </w:p>
        </w:tc>
        <w:tc>
          <w:tcPr>
            <w:tcW w:w="1421" w:type="dxa"/>
            <w:shd w:val="clear" w:color="auto" w:fill="auto"/>
            <w:vAlign w:val="center"/>
          </w:tcPr>
          <w:p>
            <w:pPr>
              <w:pStyle w:val="1856"/>
              <w:snapToGrid w:val="0"/>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136</w:t>
            </w:r>
          </w:p>
        </w:tc>
        <w:tc>
          <w:tcPr>
            <w:tcW w:w="1421" w:type="dxa"/>
            <w:shd w:val="clear" w:color="auto" w:fill="auto"/>
            <w:vAlign w:val="center"/>
          </w:tcPr>
          <w:p>
            <w:pPr>
              <w:pStyle w:val="1856"/>
              <w:snapToGrid w:val="0"/>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685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c>
          <w:tcPr>
            <w:tcW w:w="818" w:type="dxa"/>
            <w:vMerge w:val="continue"/>
            <w:shd w:val="clear" w:color="auto" w:fill="auto"/>
            <w:vAlign w:val="center"/>
          </w:tcPr>
          <w:p>
            <w:pPr>
              <w:pStyle w:val="2001"/>
            </w:pPr>
          </w:p>
        </w:tc>
        <w:tc>
          <w:tcPr>
            <w:tcW w:w="2026" w:type="dxa"/>
            <w:shd w:val="clear" w:color="auto" w:fill="auto"/>
            <w:vAlign w:val="center"/>
          </w:tcPr>
          <w:p>
            <w:pPr>
              <w:pStyle w:val="2001"/>
            </w:pPr>
            <w:r>
              <w:t>搁浅</w:t>
            </w:r>
          </w:p>
        </w:tc>
        <w:tc>
          <w:tcPr>
            <w:tcW w:w="1421" w:type="dxa"/>
            <w:shd w:val="clear" w:color="auto" w:fill="auto"/>
            <w:vAlign w:val="center"/>
          </w:tcPr>
          <w:p>
            <w:pPr>
              <w:pStyle w:val="1856"/>
              <w:snapToGrid w:val="0"/>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240</w:t>
            </w:r>
          </w:p>
        </w:tc>
        <w:tc>
          <w:tcPr>
            <w:tcW w:w="1421" w:type="dxa"/>
            <w:shd w:val="clear" w:color="auto" w:fill="auto"/>
            <w:vAlign w:val="center"/>
          </w:tcPr>
          <w:p>
            <w:pPr>
              <w:pStyle w:val="1856"/>
              <w:snapToGrid w:val="0"/>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270</w:t>
            </w:r>
          </w:p>
        </w:tc>
        <w:tc>
          <w:tcPr>
            <w:tcW w:w="1421" w:type="dxa"/>
            <w:shd w:val="clear" w:color="auto" w:fill="auto"/>
            <w:vAlign w:val="center"/>
          </w:tcPr>
          <w:p>
            <w:pPr>
              <w:pStyle w:val="1856"/>
              <w:snapToGrid w:val="0"/>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150</w:t>
            </w:r>
          </w:p>
        </w:tc>
        <w:tc>
          <w:tcPr>
            <w:tcW w:w="1421" w:type="dxa"/>
            <w:shd w:val="clear" w:color="auto" w:fill="auto"/>
            <w:vAlign w:val="center"/>
          </w:tcPr>
          <w:p>
            <w:pPr>
              <w:pStyle w:val="1856"/>
              <w:snapToGrid w:val="0"/>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660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c>
          <w:tcPr>
            <w:tcW w:w="818" w:type="dxa"/>
            <w:vMerge w:val="continue"/>
            <w:shd w:val="clear" w:color="auto" w:fill="auto"/>
            <w:vAlign w:val="center"/>
          </w:tcPr>
          <w:p>
            <w:pPr>
              <w:pStyle w:val="2001"/>
            </w:pPr>
          </w:p>
        </w:tc>
        <w:tc>
          <w:tcPr>
            <w:tcW w:w="2026" w:type="dxa"/>
            <w:shd w:val="clear" w:color="auto" w:fill="auto"/>
            <w:vAlign w:val="center"/>
          </w:tcPr>
          <w:p>
            <w:pPr>
              <w:pStyle w:val="2001"/>
            </w:pPr>
            <w:r>
              <w:t>船体受损</w:t>
            </w:r>
          </w:p>
        </w:tc>
        <w:tc>
          <w:tcPr>
            <w:tcW w:w="1421" w:type="dxa"/>
            <w:shd w:val="clear" w:color="auto" w:fill="auto"/>
            <w:vAlign w:val="center"/>
          </w:tcPr>
          <w:p>
            <w:pPr>
              <w:pStyle w:val="1856"/>
              <w:snapToGrid w:val="0"/>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577</w:t>
            </w:r>
          </w:p>
        </w:tc>
        <w:tc>
          <w:tcPr>
            <w:tcW w:w="1421" w:type="dxa"/>
            <w:shd w:val="clear" w:color="auto" w:fill="auto"/>
            <w:vAlign w:val="center"/>
          </w:tcPr>
          <w:p>
            <w:pPr>
              <w:pStyle w:val="1856"/>
              <w:snapToGrid w:val="0"/>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101</w:t>
            </w:r>
          </w:p>
        </w:tc>
        <w:tc>
          <w:tcPr>
            <w:tcW w:w="1421" w:type="dxa"/>
            <w:shd w:val="clear" w:color="auto" w:fill="auto"/>
            <w:vAlign w:val="center"/>
          </w:tcPr>
          <w:p>
            <w:pPr>
              <w:pStyle w:val="1856"/>
              <w:snapToGrid w:val="0"/>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60</w:t>
            </w:r>
          </w:p>
        </w:tc>
        <w:tc>
          <w:tcPr>
            <w:tcW w:w="1421" w:type="dxa"/>
            <w:shd w:val="clear" w:color="auto" w:fill="auto"/>
            <w:vAlign w:val="center"/>
          </w:tcPr>
          <w:p>
            <w:pPr>
              <w:pStyle w:val="1856"/>
              <w:snapToGrid w:val="0"/>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738</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c>
          <w:tcPr>
            <w:tcW w:w="818" w:type="dxa"/>
            <w:vMerge w:val="continue"/>
            <w:shd w:val="clear" w:color="auto" w:fill="auto"/>
            <w:vAlign w:val="center"/>
          </w:tcPr>
          <w:p>
            <w:pPr>
              <w:pStyle w:val="2001"/>
            </w:pPr>
          </w:p>
        </w:tc>
        <w:tc>
          <w:tcPr>
            <w:tcW w:w="2026" w:type="dxa"/>
            <w:shd w:val="clear" w:color="auto" w:fill="auto"/>
            <w:vAlign w:val="center"/>
          </w:tcPr>
          <w:p>
            <w:pPr>
              <w:pStyle w:val="2001"/>
            </w:pPr>
            <w:r>
              <w:t>设备故障</w:t>
            </w:r>
          </w:p>
        </w:tc>
        <w:tc>
          <w:tcPr>
            <w:tcW w:w="1421" w:type="dxa"/>
            <w:shd w:val="clear" w:color="auto" w:fill="auto"/>
            <w:vAlign w:val="center"/>
          </w:tcPr>
          <w:p>
            <w:pPr>
              <w:pStyle w:val="1856"/>
              <w:snapToGrid w:val="0"/>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1692</w:t>
            </w:r>
          </w:p>
        </w:tc>
        <w:tc>
          <w:tcPr>
            <w:tcW w:w="1421" w:type="dxa"/>
            <w:shd w:val="clear" w:color="auto" w:fill="auto"/>
            <w:vAlign w:val="center"/>
          </w:tcPr>
          <w:p>
            <w:pPr>
              <w:pStyle w:val="1856"/>
              <w:snapToGrid w:val="0"/>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207</w:t>
            </w:r>
          </w:p>
        </w:tc>
        <w:tc>
          <w:tcPr>
            <w:tcW w:w="1421" w:type="dxa"/>
            <w:shd w:val="clear" w:color="auto" w:fill="auto"/>
            <w:vAlign w:val="center"/>
          </w:tcPr>
          <w:p>
            <w:pPr>
              <w:pStyle w:val="1856"/>
              <w:snapToGrid w:val="0"/>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18</w:t>
            </w:r>
          </w:p>
        </w:tc>
        <w:tc>
          <w:tcPr>
            <w:tcW w:w="1421" w:type="dxa"/>
            <w:shd w:val="clear" w:color="auto" w:fill="auto"/>
            <w:vAlign w:val="center"/>
          </w:tcPr>
          <w:p>
            <w:pPr>
              <w:pStyle w:val="1856"/>
              <w:snapToGrid w:val="0"/>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1917</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151" w:hRule="atLeast"/>
        </w:trPr>
        <w:tc>
          <w:tcPr>
            <w:tcW w:w="818" w:type="dxa"/>
            <w:vMerge w:val="continue"/>
            <w:shd w:val="clear" w:color="auto" w:fill="auto"/>
            <w:vAlign w:val="center"/>
          </w:tcPr>
          <w:p>
            <w:pPr>
              <w:pStyle w:val="2001"/>
            </w:pPr>
          </w:p>
        </w:tc>
        <w:tc>
          <w:tcPr>
            <w:tcW w:w="2026" w:type="dxa"/>
            <w:shd w:val="clear" w:color="auto" w:fill="auto"/>
            <w:vAlign w:val="center"/>
          </w:tcPr>
          <w:p>
            <w:pPr>
              <w:pStyle w:val="2001"/>
            </w:pPr>
            <w:r>
              <w:t>火灾/爆炸</w:t>
            </w:r>
          </w:p>
        </w:tc>
        <w:tc>
          <w:tcPr>
            <w:tcW w:w="1421" w:type="dxa"/>
            <w:shd w:val="clear" w:color="auto" w:fill="auto"/>
            <w:vAlign w:val="center"/>
          </w:tcPr>
          <w:p>
            <w:pPr>
              <w:pStyle w:val="1856"/>
              <w:snapToGrid w:val="0"/>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174</w:t>
            </w:r>
          </w:p>
        </w:tc>
        <w:tc>
          <w:tcPr>
            <w:tcW w:w="1421" w:type="dxa"/>
            <w:shd w:val="clear" w:color="auto" w:fill="auto"/>
            <w:vAlign w:val="center"/>
          </w:tcPr>
          <w:p>
            <w:pPr>
              <w:pStyle w:val="1856"/>
              <w:snapToGrid w:val="0"/>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47</w:t>
            </w:r>
          </w:p>
        </w:tc>
        <w:tc>
          <w:tcPr>
            <w:tcW w:w="1421" w:type="dxa"/>
            <w:shd w:val="clear" w:color="auto" w:fill="auto"/>
            <w:vAlign w:val="center"/>
          </w:tcPr>
          <w:p>
            <w:pPr>
              <w:pStyle w:val="1856"/>
              <w:snapToGrid w:val="0"/>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52</w:t>
            </w:r>
          </w:p>
        </w:tc>
        <w:tc>
          <w:tcPr>
            <w:tcW w:w="1421" w:type="dxa"/>
            <w:shd w:val="clear" w:color="auto" w:fill="auto"/>
            <w:vAlign w:val="center"/>
          </w:tcPr>
          <w:p>
            <w:pPr>
              <w:pStyle w:val="1856"/>
              <w:snapToGrid w:val="0"/>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273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c>
          <w:tcPr>
            <w:tcW w:w="818" w:type="dxa"/>
            <w:vMerge w:val="continue"/>
            <w:shd w:val="clear" w:color="auto" w:fill="auto"/>
            <w:vAlign w:val="center"/>
          </w:tcPr>
          <w:p>
            <w:pPr>
              <w:pStyle w:val="2001"/>
            </w:pPr>
          </w:p>
        </w:tc>
        <w:tc>
          <w:tcPr>
            <w:tcW w:w="2026" w:type="dxa"/>
            <w:shd w:val="clear" w:color="auto" w:fill="auto"/>
            <w:vAlign w:val="center"/>
          </w:tcPr>
          <w:p>
            <w:pPr>
              <w:pStyle w:val="2001"/>
            </w:pPr>
            <w:r>
              <w:t>其他</w:t>
            </w:r>
          </w:p>
        </w:tc>
        <w:tc>
          <w:tcPr>
            <w:tcW w:w="1421" w:type="dxa"/>
            <w:shd w:val="clear" w:color="auto" w:fill="auto"/>
            <w:vAlign w:val="center"/>
          </w:tcPr>
          <w:p>
            <w:pPr>
              <w:pStyle w:val="1856"/>
              <w:snapToGrid w:val="0"/>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1815</w:t>
            </w:r>
          </w:p>
        </w:tc>
        <w:tc>
          <w:tcPr>
            <w:tcW w:w="1421" w:type="dxa"/>
            <w:shd w:val="clear" w:color="auto" w:fill="auto"/>
            <w:vAlign w:val="center"/>
          </w:tcPr>
          <w:p>
            <w:pPr>
              <w:pStyle w:val="1856"/>
              <w:snapToGrid w:val="0"/>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175</w:t>
            </w:r>
          </w:p>
        </w:tc>
        <w:tc>
          <w:tcPr>
            <w:tcW w:w="1421" w:type="dxa"/>
            <w:shd w:val="clear" w:color="auto" w:fill="auto"/>
            <w:vAlign w:val="center"/>
          </w:tcPr>
          <w:p>
            <w:pPr>
              <w:pStyle w:val="1856"/>
              <w:snapToGrid w:val="0"/>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30</w:t>
            </w:r>
          </w:p>
        </w:tc>
        <w:tc>
          <w:tcPr>
            <w:tcW w:w="1421" w:type="dxa"/>
            <w:shd w:val="clear" w:color="auto" w:fill="auto"/>
            <w:vAlign w:val="center"/>
          </w:tcPr>
          <w:p>
            <w:pPr>
              <w:pStyle w:val="1856"/>
              <w:snapToGrid w:val="0"/>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2020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c>
          <w:tcPr>
            <w:tcW w:w="818" w:type="dxa"/>
            <w:vMerge w:val="continue"/>
            <w:shd w:val="clear" w:color="auto" w:fill="auto"/>
            <w:vAlign w:val="center"/>
          </w:tcPr>
          <w:p>
            <w:pPr>
              <w:pStyle w:val="2001"/>
            </w:pPr>
          </w:p>
        </w:tc>
        <w:tc>
          <w:tcPr>
            <w:tcW w:w="2026" w:type="dxa"/>
            <w:shd w:val="clear" w:color="auto" w:fill="auto"/>
            <w:vAlign w:val="center"/>
          </w:tcPr>
          <w:p>
            <w:pPr>
              <w:pStyle w:val="2001"/>
            </w:pPr>
            <w:r>
              <w:t>未知</w:t>
            </w:r>
          </w:p>
        </w:tc>
        <w:tc>
          <w:tcPr>
            <w:tcW w:w="1421" w:type="dxa"/>
            <w:shd w:val="clear" w:color="auto" w:fill="auto"/>
            <w:vAlign w:val="center"/>
          </w:tcPr>
          <w:p>
            <w:pPr>
              <w:pStyle w:val="1856"/>
              <w:snapToGrid w:val="0"/>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3188</w:t>
            </w:r>
          </w:p>
        </w:tc>
        <w:tc>
          <w:tcPr>
            <w:tcW w:w="1421" w:type="dxa"/>
            <w:shd w:val="clear" w:color="auto" w:fill="auto"/>
            <w:vAlign w:val="center"/>
          </w:tcPr>
          <w:p>
            <w:pPr>
              <w:pStyle w:val="1856"/>
              <w:snapToGrid w:val="0"/>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203</w:t>
            </w:r>
          </w:p>
        </w:tc>
        <w:tc>
          <w:tcPr>
            <w:tcW w:w="1421" w:type="dxa"/>
            <w:shd w:val="clear" w:color="auto" w:fill="auto"/>
            <w:vAlign w:val="center"/>
          </w:tcPr>
          <w:p>
            <w:pPr>
              <w:pStyle w:val="1856"/>
              <w:snapToGrid w:val="0"/>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13</w:t>
            </w:r>
          </w:p>
        </w:tc>
        <w:tc>
          <w:tcPr>
            <w:tcW w:w="1421" w:type="dxa"/>
            <w:shd w:val="clear" w:color="auto" w:fill="auto"/>
            <w:vAlign w:val="center"/>
          </w:tcPr>
          <w:p>
            <w:pPr>
              <w:pStyle w:val="1856"/>
              <w:snapToGrid w:val="0"/>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3404</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c>
          <w:tcPr>
            <w:tcW w:w="2844" w:type="dxa"/>
            <w:gridSpan w:val="2"/>
            <w:shd w:val="clear" w:color="auto" w:fill="auto"/>
            <w:vAlign w:val="center"/>
          </w:tcPr>
          <w:p>
            <w:pPr>
              <w:pStyle w:val="2001"/>
            </w:pPr>
            <w:r>
              <w:t>总计</w:t>
            </w:r>
          </w:p>
        </w:tc>
        <w:tc>
          <w:tcPr>
            <w:tcW w:w="1421" w:type="dxa"/>
            <w:shd w:val="clear" w:color="auto" w:fill="auto"/>
            <w:vAlign w:val="center"/>
          </w:tcPr>
          <w:p>
            <w:pPr>
              <w:pStyle w:val="1856"/>
              <w:snapToGrid w:val="0"/>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15748</w:t>
            </w:r>
          </w:p>
        </w:tc>
        <w:tc>
          <w:tcPr>
            <w:tcW w:w="1421" w:type="dxa"/>
            <w:shd w:val="clear" w:color="auto" w:fill="auto"/>
            <w:vAlign w:val="center"/>
          </w:tcPr>
          <w:p>
            <w:pPr>
              <w:pStyle w:val="1856"/>
              <w:snapToGrid w:val="0"/>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2728</w:t>
            </w:r>
          </w:p>
        </w:tc>
        <w:tc>
          <w:tcPr>
            <w:tcW w:w="1421" w:type="dxa"/>
            <w:shd w:val="clear" w:color="auto" w:fill="auto"/>
            <w:vAlign w:val="center"/>
          </w:tcPr>
          <w:p>
            <w:pPr>
              <w:pStyle w:val="1856"/>
              <w:snapToGrid w:val="0"/>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583</w:t>
            </w:r>
          </w:p>
        </w:tc>
        <w:tc>
          <w:tcPr>
            <w:tcW w:w="1421" w:type="dxa"/>
            <w:shd w:val="clear" w:color="auto" w:fill="auto"/>
            <w:vAlign w:val="center"/>
          </w:tcPr>
          <w:p>
            <w:pPr>
              <w:pStyle w:val="1856"/>
              <w:snapToGrid w:val="0"/>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19059</w:t>
            </w:r>
          </w:p>
        </w:tc>
      </w:tr>
    </w:tbl>
    <w:p>
      <w:pPr>
        <w:pStyle w:val="684"/>
        <w:ind w:firstLine="437"/>
        <w:rPr>
          <w:color w:val="000000" w:themeColor="text1"/>
          <w:lang w:bidi="en-US"/>
          <w14:textFill>
            <w14:solidFill>
              <w14:schemeClr w14:val="tx1"/>
            </w14:solidFill>
          </w14:textFill>
        </w:rPr>
      </w:pPr>
      <w:r>
        <w:rPr>
          <w:color w:val="000000" w:themeColor="text1"/>
          <w:lang w:bidi="en-US"/>
          <w14:textFill>
            <w14:solidFill>
              <w14:schemeClr w14:val="tx1"/>
            </w14:solidFill>
          </w14:textFill>
        </w:rPr>
        <w:t>（2）国内港口船舶溢油事故统计</w:t>
      </w:r>
    </w:p>
    <w:p>
      <w:pPr>
        <w:pStyle w:val="1075"/>
        <w:ind w:firstLine="437"/>
        <w:rPr>
          <w:color w:val="000000" w:themeColor="text1"/>
          <w:lang w:bidi="en-US"/>
          <w14:textFill>
            <w14:solidFill>
              <w14:schemeClr w14:val="tx1"/>
            </w14:solidFill>
          </w14:textFill>
        </w:rPr>
      </w:pPr>
      <w:r>
        <w:rPr>
          <w:color w:val="000000" w:themeColor="text1"/>
          <w:lang w:bidi="en-US"/>
          <w14:textFill>
            <w14:solidFill>
              <w14:schemeClr w14:val="tx1"/>
            </w14:solidFill>
          </w14:textFill>
        </w:rPr>
        <w:t>据我国1997</w:t>
      </w:r>
      <w:r>
        <w:rPr>
          <w:rFonts w:hint="eastAsia"/>
          <w:color w:val="000000" w:themeColor="text1"/>
          <w:lang w:bidi="en-US"/>
          <w14:textFill>
            <w14:solidFill>
              <w14:schemeClr w14:val="tx1"/>
            </w14:solidFill>
          </w14:textFill>
        </w:rPr>
        <w:t>年至2018年</w:t>
      </w:r>
      <w:r>
        <w:rPr>
          <w:color w:val="000000" w:themeColor="text1"/>
          <w:lang w:bidi="en-US"/>
          <w14:textFill>
            <w14:solidFill>
              <w14:schemeClr w14:val="tx1"/>
            </w14:solidFill>
          </w14:textFill>
        </w:rPr>
        <w:t>统计资料（见表4.</w:t>
      </w:r>
      <w:r>
        <w:rPr>
          <w:rFonts w:hint="eastAsia"/>
          <w:color w:val="000000" w:themeColor="text1"/>
          <w:lang w:bidi="en-US"/>
          <w14:textFill>
            <w14:solidFill>
              <w14:schemeClr w14:val="tx1"/>
            </w14:solidFill>
          </w14:textFill>
        </w:rPr>
        <w:t>6</w:t>
      </w:r>
      <w:r>
        <w:rPr>
          <w:color w:val="000000" w:themeColor="text1"/>
          <w:lang w:bidi="en-US"/>
          <w14:textFill>
            <w14:solidFill>
              <w14:schemeClr w14:val="tx1"/>
            </w14:solidFill>
          </w14:textFill>
        </w:rPr>
        <w:t>-</w:t>
      </w:r>
      <w:r>
        <w:rPr>
          <w:rFonts w:hint="eastAsia"/>
          <w:color w:val="000000" w:themeColor="text1"/>
          <w:lang w:bidi="en-US"/>
          <w14:textFill>
            <w14:solidFill>
              <w14:schemeClr w14:val="tx1"/>
            </w14:solidFill>
          </w14:textFill>
        </w:rPr>
        <w:t>4</w:t>
      </w:r>
      <w:r>
        <w:rPr>
          <w:color w:val="000000" w:themeColor="text1"/>
          <w:lang w:bidi="en-US"/>
          <w14:textFill>
            <w14:solidFill>
              <w14:schemeClr w14:val="tx1"/>
            </w14:solidFill>
          </w14:textFill>
        </w:rPr>
        <w:t>和表4.</w:t>
      </w:r>
      <w:r>
        <w:rPr>
          <w:rFonts w:hint="eastAsia"/>
          <w:color w:val="000000" w:themeColor="text1"/>
          <w:lang w:bidi="en-US"/>
          <w14:textFill>
            <w14:solidFill>
              <w14:schemeClr w14:val="tx1"/>
            </w14:solidFill>
          </w14:textFill>
        </w:rPr>
        <w:t>6</w:t>
      </w:r>
      <w:r>
        <w:rPr>
          <w:color w:val="000000" w:themeColor="text1"/>
          <w:lang w:bidi="en-US"/>
          <w14:textFill>
            <w14:solidFill>
              <w14:schemeClr w14:val="tx1"/>
            </w14:solidFill>
          </w14:textFill>
        </w:rPr>
        <w:t>-</w:t>
      </w:r>
      <w:r>
        <w:rPr>
          <w:rFonts w:hint="eastAsia"/>
          <w:color w:val="000000" w:themeColor="text1"/>
          <w:lang w:bidi="en-US"/>
          <w14:textFill>
            <w14:solidFill>
              <w14:schemeClr w14:val="tx1"/>
            </w14:solidFill>
          </w14:textFill>
        </w:rPr>
        <w:t>5</w:t>
      </w:r>
      <w:r>
        <w:rPr>
          <w:color w:val="000000" w:themeColor="text1"/>
          <w:lang w:bidi="en-US"/>
          <w14:textFill>
            <w14:solidFill>
              <w14:schemeClr w14:val="tx1"/>
            </w14:solidFill>
          </w14:textFill>
        </w:rPr>
        <w:t>）期间，发生的452起溢油事故中，原因主要是油轮</w:t>
      </w:r>
      <w:r>
        <w:rPr>
          <w:rFonts w:hint="eastAsia"/>
          <w:color w:val="000000" w:themeColor="text1"/>
          <w:lang w:bidi="en-US"/>
          <w14:textFill>
            <w14:solidFill>
              <w14:schemeClr w14:val="tx1"/>
            </w14:solidFill>
          </w14:textFill>
        </w:rPr>
        <w:t>突遇</w:t>
      </w:r>
      <w:r>
        <w:rPr>
          <w:color w:val="000000" w:themeColor="text1"/>
          <w:lang w:bidi="en-US"/>
          <w14:textFill>
            <w14:solidFill>
              <w14:schemeClr w14:val="tx1"/>
            </w14:solidFill>
          </w14:textFill>
        </w:rPr>
        <w:t>恶劣天气，风大、流急、浪高，加之轮机失控，造成船舶触礁、碰撞、搁浅引起溢油污染事故，其中碰撞和搁浅造成的事故占总事故的55.3%，相应的溢油量占总溢油量的43.6%。其中，事故溢油规模在1吨以上溢油事故178起，其中操作性事故145起，占总溢油事故的82%；灾难性事故33起，占总溢油事故的18%。145起操作性事故的溢油量为648t，平均每起溢油量为4.7t，占总溢油量的8%；33起灾难性溢油量为7735t，平均每起溢油量为234t，占总溢油量的92%。178起溢油事故的溢油量总计8383t，总平均每起溢油量47吨。可见，操作性事故的溢油量平均5t左右，灾难性事故的溢油量平均250t左右。但统计是基于油船事故，其溢油量中绝大部分是油船本身所载油品泄漏所致，而其他船舶的燃料油泄漏要远小于该泄漏量。</w:t>
      </w:r>
    </w:p>
    <w:p>
      <w:pPr>
        <w:pStyle w:val="384"/>
        <w:ind w:left="0" w:firstLine="0"/>
        <w:rPr>
          <w:rFonts w:cs="Times New Roman"/>
          <w:color w:val="000000" w:themeColor="text1"/>
          <w:lang w:bidi="en-US"/>
          <w14:textFill>
            <w14:solidFill>
              <w14:schemeClr w14:val="tx1"/>
            </w14:solidFill>
          </w14:textFill>
        </w:rPr>
      </w:pPr>
      <w:r>
        <w:rPr>
          <w:rFonts w:cs="Times New Roman"/>
          <w:color w:val="000000" w:themeColor="text1"/>
          <w:lang w:bidi="en-US"/>
          <w14:textFill>
            <w14:solidFill>
              <w14:schemeClr w14:val="tx1"/>
            </w14:solidFill>
          </w14:textFill>
        </w:rPr>
        <w:t>1997年</w:t>
      </w:r>
      <w:r>
        <w:rPr>
          <w:rFonts w:hint="eastAsia" w:cs="Times New Roman"/>
          <w:color w:val="000000" w:themeColor="text1"/>
          <w:lang w:bidi="en-US"/>
          <w14:textFill>
            <w14:solidFill>
              <w14:schemeClr w14:val="tx1"/>
            </w14:solidFill>
          </w14:textFill>
        </w:rPr>
        <w:t>至2018年</w:t>
      </w:r>
      <w:r>
        <w:rPr>
          <w:rFonts w:cs="Times New Roman"/>
          <w:color w:val="000000" w:themeColor="text1"/>
          <w:lang w:bidi="en-US"/>
          <w14:textFill>
            <w14:solidFill>
              <w14:schemeClr w14:val="tx1"/>
            </w14:solidFill>
          </w14:textFill>
        </w:rPr>
        <w:t>我国港口船舶、码头溢油事故统计结果</w:t>
      </w:r>
    </w:p>
    <w:tbl>
      <w:tblPr>
        <w:tblStyle w:val="88"/>
        <w:tblW w:w="8528" w:type="dxa"/>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728"/>
        <w:gridCol w:w="728"/>
        <w:gridCol w:w="896"/>
        <w:gridCol w:w="873"/>
        <w:gridCol w:w="850"/>
        <w:gridCol w:w="711"/>
        <w:gridCol w:w="710"/>
        <w:gridCol w:w="706"/>
        <w:gridCol w:w="1080"/>
        <w:gridCol w:w="536"/>
        <w:gridCol w:w="710"/>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blHeader/>
        </w:trPr>
        <w:tc>
          <w:tcPr>
            <w:tcW w:w="728" w:type="dxa"/>
            <w:vMerge w:val="restart"/>
            <w:shd w:val="clear" w:color="auto" w:fill="auto"/>
            <w:vAlign w:val="center"/>
          </w:tcPr>
          <w:p>
            <w:pPr>
              <w:pStyle w:val="1856"/>
              <w:snapToGrid w:val="0"/>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事故原因</w:t>
            </w:r>
          </w:p>
        </w:tc>
        <w:tc>
          <w:tcPr>
            <w:tcW w:w="728" w:type="dxa"/>
            <w:vMerge w:val="restart"/>
            <w:shd w:val="clear" w:color="auto" w:fill="auto"/>
            <w:vAlign w:val="center"/>
          </w:tcPr>
          <w:p>
            <w:pPr>
              <w:pStyle w:val="1856"/>
              <w:snapToGrid w:val="0"/>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事故次数</w:t>
            </w:r>
          </w:p>
        </w:tc>
        <w:tc>
          <w:tcPr>
            <w:tcW w:w="896" w:type="dxa"/>
            <w:vMerge w:val="restart"/>
            <w:shd w:val="clear" w:color="auto" w:fill="auto"/>
            <w:vAlign w:val="center"/>
          </w:tcPr>
          <w:p>
            <w:pPr>
              <w:pStyle w:val="1856"/>
              <w:snapToGrid w:val="0"/>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占总数比例</w:t>
            </w:r>
          </w:p>
          <w:p>
            <w:pPr>
              <w:pStyle w:val="1856"/>
              <w:snapToGrid w:val="0"/>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w:t>
            </w:r>
          </w:p>
        </w:tc>
        <w:tc>
          <w:tcPr>
            <w:tcW w:w="873" w:type="dxa"/>
            <w:vMerge w:val="restart"/>
            <w:shd w:val="clear" w:color="auto" w:fill="auto"/>
            <w:vAlign w:val="center"/>
          </w:tcPr>
          <w:p>
            <w:pPr>
              <w:pStyle w:val="1856"/>
              <w:snapToGrid w:val="0"/>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溢油量</w:t>
            </w:r>
          </w:p>
          <w:p>
            <w:pPr>
              <w:pStyle w:val="1856"/>
              <w:snapToGrid w:val="0"/>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（吨）</w:t>
            </w:r>
          </w:p>
        </w:tc>
        <w:tc>
          <w:tcPr>
            <w:tcW w:w="850" w:type="dxa"/>
            <w:vMerge w:val="restart"/>
            <w:shd w:val="clear" w:color="auto" w:fill="auto"/>
            <w:vAlign w:val="center"/>
          </w:tcPr>
          <w:p>
            <w:pPr>
              <w:pStyle w:val="1856"/>
              <w:snapToGrid w:val="0"/>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溢油量比例</w:t>
            </w:r>
          </w:p>
          <w:p>
            <w:pPr>
              <w:pStyle w:val="1856"/>
              <w:snapToGrid w:val="0"/>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w:t>
            </w:r>
          </w:p>
        </w:tc>
        <w:tc>
          <w:tcPr>
            <w:tcW w:w="4453" w:type="dxa"/>
            <w:gridSpan w:val="6"/>
            <w:shd w:val="clear" w:color="auto" w:fill="auto"/>
            <w:vAlign w:val="center"/>
          </w:tcPr>
          <w:p>
            <w:pPr>
              <w:pStyle w:val="1856"/>
              <w:snapToGrid w:val="0"/>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溢油事故发生地区</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blHeader/>
        </w:trPr>
        <w:tc>
          <w:tcPr>
            <w:tcW w:w="728" w:type="dxa"/>
            <w:vMerge w:val="continue"/>
            <w:shd w:val="clear" w:color="auto" w:fill="auto"/>
            <w:vAlign w:val="center"/>
          </w:tcPr>
          <w:p>
            <w:pPr>
              <w:pStyle w:val="1856"/>
              <w:snapToGrid w:val="0"/>
              <w:ind w:firstLine="0" w:firstLineChars="0"/>
              <w:jc w:val="center"/>
              <w:rPr>
                <w:color w:val="000000" w:themeColor="text1"/>
                <w:sz w:val="21"/>
                <w:szCs w:val="21"/>
                <w14:textFill>
                  <w14:solidFill>
                    <w14:schemeClr w14:val="tx1"/>
                  </w14:solidFill>
                </w14:textFill>
              </w:rPr>
            </w:pPr>
          </w:p>
        </w:tc>
        <w:tc>
          <w:tcPr>
            <w:tcW w:w="728" w:type="dxa"/>
            <w:vMerge w:val="continue"/>
            <w:shd w:val="clear" w:color="auto" w:fill="auto"/>
            <w:vAlign w:val="center"/>
          </w:tcPr>
          <w:p>
            <w:pPr>
              <w:pStyle w:val="1856"/>
              <w:snapToGrid w:val="0"/>
              <w:ind w:firstLine="0" w:firstLineChars="0"/>
              <w:jc w:val="center"/>
              <w:rPr>
                <w:color w:val="000000" w:themeColor="text1"/>
                <w:sz w:val="21"/>
                <w:szCs w:val="21"/>
                <w14:textFill>
                  <w14:solidFill>
                    <w14:schemeClr w14:val="tx1"/>
                  </w14:solidFill>
                </w14:textFill>
              </w:rPr>
            </w:pPr>
          </w:p>
        </w:tc>
        <w:tc>
          <w:tcPr>
            <w:tcW w:w="896" w:type="dxa"/>
            <w:vMerge w:val="continue"/>
            <w:shd w:val="clear" w:color="auto" w:fill="auto"/>
            <w:vAlign w:val="center"/>
          </w:tcPr>
          <w:p>
            <w:pPr>
              <w:pStyle w:val="1856"/>
              <w:snapToGrid w:val="0"/>
              <w:ind w:firstLine="0" w:firstLineChars="0"/>
              <w:jc w:val="center"/>
              <w:rPr>
                <w:color w:val="000000" w:themeColor="text1"/>
                <w:sz w:val="21"/>
                <w:szCs w:val="21"/>
                <w14:textFill>
                  <w14:solidFill>
                    <w14:schemeClr w14:val="tx1"/>
                  </w14:solidFill>
                </w14:textFill>
              </w:rPr>
            </w:pPr>
          </w:p>
        </w:tc>
        <w:tc>
          <w:tcPr>
            <w:tcW w:w="873" w:type="dxa"/>
            <w:vMerge w:val="continue"/>
            <w:shd w:val="clear" w:color="auto" w:fill="auto"/>
            <w:vAlign w:val="center"/>
          </w:tcPr>
          <w:p>
            <w:pPr>
              <w:pStyle w:val="1856"/>
              <w:snapToGrid w:val="0"/>
              <w:ind w:firstLine="0" w:firstLineChars="0"/>
              <w:jc w:val="center"/>
              <w:rPr>
                <w:color w:val="000000" w:themeColor="text1"/>
                <w:sz w:val="21"/>
                <w:szCs w:val="21"/>
                <w14:textFill>
                  <w14:solidFill>
                    <w14:schemeClr w14:val="tx1"/>
                  </w14:solidFill>
                </w14:textFill>
              </w:rPr>
            </w:pPr>
          </w:p>
        </w:tc>
        <w:tc>
          <w:tcPr>
            <w:tcW w:w="850" w:type="dxa"/>
            <w:vMerge w:val="continue"/>
            <w:shd w:val="clear" w:color="auto" w:fill="auto"/>
            <w:vAlign w:val="center"/>
          </w:tcPr>
          <w:p>
            <w:pPr>
              <w:pStyle w:val="1856"/>
              <w:snapToGrid w:val="0"/>
              <w:ind w:firstLine="0" w:firstLineChars="0"/>
              <w:jc w:val="center"/>
              <w:rPr>
                <w:color w:val="000000" w:themeColor="text1"/>
                <w:sz w:val="21"/>
                <w:szCs w:val="21"/>
                <w14:textFill>
                  <w14:solidFill>
                    <w14:schemeClr w14:val="tx1"/>
                  </w14:solidFill>
                </w14:textFill>
              </w:rPr>
            </w:pPr>
          </w:p>
        </w:tc>
        <w:tc>
          <w:tcPr>
            <w:tcW w:w="711" w:type="dxa"/>
            <w:shd w:val="clear" w:color="auto" w:fill="auto"/>
            <w:vAlign w:val="center"/>
          </w:tcPr>
          <w:p>
            <w:pPr>
              <w:pStyle w:val="1856"/>
              <w:snapToGrid w:val="0"/>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码头</w:t>
            </w:r>
          </w:p>
        </w:tc>
        <w:tc>
          <w:tcPr>
            <w:tcW w:w="710" w:type="dxa"/>
            <w:shd w:val="clear" w:color="auto" w:fill="auto"/>
            <w:vAlign w:val="center"/>
          </w:tcPr>
          <w:p>
            <w:pPr>
              <w:pStyle w:val="1856"/>
              <w:snapToGrid w:val="0"/>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港湾</w:t>
            </w:r>
          </w:p>
        </w:tc>
        <w:tc>
          <w:tcPr>
            <w:tcW w:w="706" w:type="dxa"/>
            <w:shd w:val="clear" w:color="auto" w:fill="auto"/>
            <w:vAlign w:val="center"/>
          </w:tcPr>
          <w:p>
            <w:pPr>
              <w:pStyle w:val="1856"/>
              <w:snapToGrid w:val="0"/>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进港航道</w:t>
            </w:r>
          </w:p>
        </w:tc>
        <w:tc>
          <w:tcPr>
            <w:tcW w:w="1080" w:type="dxa"/>
            <w:shd w:val="clear" w:color="auto" w:fill="auto"/>
            <w:vAlign w:val="center"/>
          </w:tcPr>
          <w:p>
            <w:pPr>
              <w:pStyle w:val="1856"/>
              <w:snapToGrid w:val="0"/>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近岸 50 海里以内</w:t>
            </w:r>
          </w:p>
        </w:tc>
        <w:tc>
          <w:tcPr>
            <w:tcW w:w="536" w:type="dxa"/>
            <w:shd w:val="clear" w:color="auto" w:fill="auto"/>
            <w:vAlign w:val="center"/>
          </w:tcPr>
          <w:p>
            <w:pPr>
              <w:pStyle w:val="1856"/>
              <w:snapToGrid w:val="0"/>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外海</w:t>
            </w:r>
          </w:p>
        </w:tc>
        <w:tc>
          <w:tcPr>
            <w:tcW w:w="710" w:type="dxa"/>
            <w:shd w:val="clear" w:color="auto" w:fill="auto"/>
            <w:vAlign w:val="center"/>
          </w:tcPr>
          <w:p>
            <w:pPr>
              <w:pStyle w:val="1856"/>
              <w:snapToGrid w:val="0"/>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其他地区</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c>
          <w:tcPr>
            <w:tcW w:w="728" w:type="dxa"/>
            <w:shd w:val="clear" w:color="auto" w:fill="auto"/>
            <w:vAlign w:val="center"/>
          </w:tcPr>
          <w:p>
            <w:pPr>
              <w:pStyle w:val="1856"/>
              <w:snapToGrid w:val="0"/>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机械事故</w:t>
            </w:r>
          </w:p>
        </w:tc>
        <w:tc>
          <w:tcPr>
            <w:tcW w:w="728" w:type="dxa"/>
            <w:shd w:val="clear" w:color="auto" w:fill="auto"/>
            <w:vAlign w:val="center"/>
          </w:tcPr>
          <w:p>
            <w:pPr>
              <w:pStyle w:val="1856"/>
              <w:snapToGrid w:val="0"/>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11</w:t>
            </w:r>
          </w:p>
        </w:tc>
        <w:tc>
          <w:tcPr>
            <w:tcW w:w="896" w:type="dxa"/>
            <w:shd w:val="clear" w:color="auto" w:fill="auto"/>
            <w:vAlign w:val="center"/>
          </w:tcPr>
          <w:p>
            <w:pPr>
              <w:pStyle w:val="1856"/>
              <w:snapToGrid w:val="0"/>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2</w:t>
            </w:r>
          </w:p>
        </w:tc>
        <w:tc>
          <w:tcPr>
            <w:tcW w:w="873" w:type="dxa"/>
            <w:shd w:val="clear" w:color="auto" w:fill="auto"/>
            <w:vAlign w:val="center"/>
          </w:tcPr>
          <w:p>
            <w:pPr>
              <w:pStyle w:val="1856"/>
              <w:snapToGrid w:val="0"/>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30500</w:t>
            </w:r>
          </w:p>
        </w:tc>
        <w:tc>
          <w:tcPr>
            <w:tcW w:w="850" w:type="dxa"/>
            <w:shd w:val="clear" w:color="auto" w:fill="auto"/>
            <w:vAlign w:val="center"/>
          </w:tcPr>
          <w:p>
            <w:pPr>
              <w:pStyle w:val="1856"/>
              <w:snapToGrid w:val="0"/>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3</w:t>
            </w:r>
          </w:p>
        </w:tc>
        <w:tc>
          <w:tcPr>
            <w:tcW w:w="711" w:type="dxa"/>
            <w:shd w:val="clear" w:color="auto" w:fill="auto"/>
            <w:vAlign w:val="center"/>
          </w:tcPr>
          <w:p>
            <w:pPr>
              <w:pStyle w:val="1856"/>
              <w:snapToGrid w:val="0"/>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0</w:t>
            </w:r>
          </w:p>
        </w:tc>
        <w:tc>
          <w:tcPr>
            <w:tcW w:w="710" w:type="dxa"/>
            <w:shd w:val="clear" w:color="auto" w:fill="auto"/>
            <w:vAlign w:val="center"/>
          </w:tcPr>
          <w:p>
            <w:pPr>
              <w:pStyle w:val="1856"/>
              <w:snapToGrid w:val="0"/>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w:t>
            </w:r>
          </w:p>
        </w:tc>
        <w:tc>
          <w:tcPr>
            <w:tcW w:w="706" w:type="dxa"/>
            <w:shd w:val="clear" w:color="auto" w:fill="auto"/>
            <w:vAlign w:val="center"/>
          </w:tcPr>
          <w:p>
            <w:pPr>
              <w:pStyle w:val="1856"/>
              <w:snapToGrid w:val="0"/>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w:t>
            </w:r>
          </w:p>
        </w:tc>
        <w:tc>
          <w:tcPr>
            <w:tcW w:w="1080" w:type="dxa"/>
            <w:shd w:val="clear" w:color="auto" w:fill="auto"/>
            <w:vAlign w:val="center"/>
          </w:tcPr>
          <w:p>
            <w:pPr>
              <w:pStyle w:val="1856"/>
              <w:snapToGrid w:val="0"/>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5</w:t>
            </w:r>
          </w:p>
        </w:tc>
        <w:tc>
          <w:tcPr>
            <w:tcW w:w="536" w:type="dxa"/>
            <w:shd w:val="clear" w:color="auto" w:fill="auto"/>
            <w:vAlign w:val="center"/>
          </w:tcPr>
          <w:p>
            <w:pPr>
              <w:pStyle w:val="1856"/>
              <w:snapToGrid w:val="0"/>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3</w:t>
            </w:r>
          </w:p>
        </w:tc>
        <w:tc>
          <w:tcPr>
            <w:tcW w:w="710" w:type="dxa"/>
            <w:shd w:val="clear" w:color="auto" w:fill="auto"/>
            <w:vAlign w:val="center"/>
          </w:tcPr>
          <w:p>
            <w:pPr>
              <w:pStyle w:val="1856"/>
              <w:snapToGrid w:val="0"/>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c>
          <w:tcPr>
            <w:tcW w:w="728" w:type="dxa"/>
            <w:shd w:val="clear" w:color="auto" w:fill="auto"/>
            <w:vAlign w:val="center"/>
          </w:tcPr>
          <w:p>
            <w:pPr>
              <w:pStyle w:val="1856"/>
              <w:snapToGrid w:val="0"/>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碰撞</w:t>
            </w:r>
          </w:p>
        </w:tc>
        <w:tc>
          <w:tcPr>
            <w:tcW w:w="728" w:type="dxa"/>
            <w:shd w:val="clear" w:color="auto" w:fill="auto"/>
            <w:vAlign w:val="center"/>
          </w:tcPr>
          <w:p>
            <w:pPr>
              <w:pStyle w:val="1856"/>
              <w:snapToGrid w:val="0"/>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126</w:t>
            </w:r>
          </w:p>
        </w:tc>
        <w:tc>
          <w:tcPr>
            <w:tcW w:w="896" w:type="dxa"/>
            <w:shd w:val="clear" w:color="auto" w:fill="auto"/>
            <w:vAlign w:val="center"/>
          </w:tcPr>
          <w:p>
            <w:pPr>
              <w:pStyle w:val="1856"/>
              <w:snapToGrid w:val="0"/>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28</w:t>
            </w:r>
          </w:p>
        </w:tc>
        <w:tc>
          <w:tcPr>
            <w:tcW w:w="873" w:type="dxa"/>
            <w:shd w:val="clear" w:color="auto" w:fill="auto"/>
            <w:vAlign w:val="center"/>
          </w:tcPr>
          <w:p>
            <w:pPr>
              <w:pStyle w:val="1856"/>
              <w:snapToGrid w:val="0"/>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189000</w:t>
            </w:r>
          </w:p>
        </w:tc>
        <w:tc>
          <w:tcPr>
            <w:tcW w:w="850" w:type="dxa"/>
            <w:shd w:val="clear" w:color="auto" w:fill="auto"/>
            <w:vAlign w:val="center"/>
          </w:tcPr>
          <w:p>
            <w:pPr>
              <w:pStyle w:val="1856"/>
              <w:snapToGrid w:val="0"/>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19</w:t>
            </w:r>
          </w:p>
        </w:tc>
        <w:tc>
          <w:tcPr>
            <w:tcW w:w="711" w:type="dxa"/>
            <w:shd w:val="clear" w:color="auto" w:fill="auto"/>
            <w:vAlign w:val="center"/>
          </w:tcPr>
          <w:p>
            <w:pPr>
              <w:pStyle w:val="1856"/>
              <w:snapToGrid w:val="0"/>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5</w:t>
            </w:r>
          </w:p>
        </w:tc>
        <w:tc>
          <w:tcPr>
            <w:tcW w:w="710" w:type="dxa"/>
            <w:shd w:val="clear" w:color="auto" w:fill="auto"/>
            <w:vAlign w:val="center"/>
          </w:tcPr>
          <w:p>
            <w:pPr>
              <w:pStyle w:val="1856"/>
              <w:snapToGrid w:val="0"/>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41</w:t>
            </w:r>
          </w:p>
        </w:tc>
        <w:tc>
          <w:tcPr>
            <w:tcW w:w="706" w:type="dxa"/>
            <w:shd w:val="clear" w:color="auto" w:fill="auto"/>
            <w:vAlign w:val="center"/>
          </w:tcPr>
          <w:p>
            <w:pPr>
              <w:pStyle w:val="1856"/>
              <w:snapToGrid w:val="0"/>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25</w:t>
            </w:r>
          </w:p>
        </w:tc>
        <w:tc>
          <w:tcPr>
            <w:tcW w:w="1080" w:type="dxa"/>
            <w:shd w:val="clear" w:color="auto" w:fill="auto"/>
            <w:vAlign w:val="center"/>
          </w:tcPr>
          <w:p>
            <w:pPr>
              <w:pStyle w:val="1856"/>
              <w:snapToGrid w:val="0"/>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45</w:t>
            </w:r>
          </w:p>
        </w:tc>
        <w:tc>
          <w:tcPr>
            <w:tcW w:w="536" w:type="dxa"/>
            <w:shd w:val="clear" w:color="auto" w:fill="auto"/>
            <w:vAlign w:val="center"/>
          </w:tcPr>
          <w:p>
            <w:pPr>
              <w:pStyle w:val="1856"/>
              <w:snapToGrid w:val="0"/>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9</w:t>
            </w:r>
          </w:p>
        </w:tc>
        <w:tc>
          <w:tcPr>
            <w:tcW w:w="710" w:type="dxa"/>
            <w:shd w:val="clear" w:color="auto" w:fill="auto"/>
            <w:vAlign w:val="center"/>
          </w:tcPr>
          <w:p>
            <w:pPr>
              <w:pStyle w:val="1856"/>
              <w:snapToGrid w:val="0"/>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c>
          <w:tcPr>
            <w:tcW w:w="728" w:type="dxa"/>
            <w:shd w:val="clear" w:color="auto" w:fill="auto"/>
            <w:vAlign w:val="center"/>
          </w:tcPr>
          <w:p>
            <w:pPr>
              <w:pStyle w:val="1856"/>
              <w:snapToGrid w:val="0"/>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爆炸</w:t>
            </w:r>
          </w:p>
        </w:tc>
        <w:tc>
          <w:tcPr>
            <w:tcW w:w="728" w:type="dxa"/>
            <w:shd w:val="clear" w:color="auto" w:fill="auto"/>
            <w:vAlign w:val="center"/>
          </w:tcPr>
          <w:p>
            <w:pPr>
              <w:pStyle w:val="1856"/>
              <w:snapToGrid w:val="0"/>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31</w:t>
            </w:r>
          </w:p>
        </w:tc>
        <w:tc>
          <w:tcPr>
            <w:tcW w:w="896" w:type="dxa"/>
            <w:shd w:val="clear" w:color="auto" w:fill="auto"/>
            <w:vAlign w:val="center"/>
          </w:tcPr>
          <w:p>
            <w:pPr>
              <w:pStyle w:val="1856"/>
              <w:snapToGrid w:val="0"/>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7</w:t>
            </w:r>
          </w:p>
        </w:tc>
        <w:tc>
          <w:tcPr>
            <w:tcW w:w="873" w:type="dxa"/>
            <w:shd w:val="clear" w:color="auto" w:fill="auto"/>
            <w:vAlign w:val="center"/>
          </w:tcPr>
          <w:p>
            <w:pPr>
              <w:pStyle w:val="1856"/>
              <w:snapToGrid w:val="0"/>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97000</w:t>
            </w:r>
          </w:p>
        </w:tc>
        <w:tc>
          <w:tcPr>
            <w:tcW w:w="850" w:type="dxa"/>
            <w:shd w:val="clear" w:color="auto" w:fill="auto"/>
            <w:vAlign w:val="center"/>
          </w:tcPr>
          <w:p>
            <w:pPr>
              <w:pStyle w:val="1856"/>
              <w:snapToGrid w:val="0"/>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10</w:t>
            </w:r>
          </w:p>
        </w:tc>
        <w:tc>
          <w:tcPr>
            <w:tcW w:w="711" w:type="dxa"/>
            <w:shd w:val="clear" w:color="auto" w:fill="auto"/>
            <w:vAlign w:val="center"/>
          </w:tcPr>
          <w:p>
            <w:pPr>
              <w:pStyle w:val="1856"/>
              <w:snapToGrid w:val="0"/>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5</w:t>
            </w:r>
          </w:p>
        </w:tc>
        <w:tc>
          <w:tcPr>
            <w:tcW w:w="710" w:type="dxa"/>
            <w:shd w:val="clear" w:color="auto" w:fill="auto"/>
            <w:vAlign w:val="center"/>
          </w:tcPr>
          <w:p>
            <w:pPr>
              <w:pStyle w:val="1856"/>
              <w:snapToGrid w:val="0"/>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4</w:t>
            </w:r>
          </w:p>
        </w:tc>
        <w:tc>
          <w:tcPr>
            <w:tcW w:w="706" w:type="dxa"/>
            <w:shd w:val="clear" w:color="auto" w:fill="auto"/>
            <w:vAlign w:val="center"/>
          </w:tcPr>
          <w:p>
            <w:pPr>
              <w:pStyle w:val="1856"/>
              <w:snapToGrid w:val="0"/>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0</w:t>
            </w:r>
          </w:p>
        </w:tc>
        <w:tc>
          <w:tcPr>
            <w:tcW w:w="1080" w:type="dxa"/>
            <w:shd w:val="clear" w:color="auto" w:fill="auto"/>
            <w:vAlign w:val="center"/>
          </w:tcPr>
          <w:p>
            <w:pPr>
              <w:pStyle w:val="1856"/>
              <w:snapToGrid w:val="0"/>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6</w:t>
            </w:r>
          </w:p>
        </w:tc>
        <w:tc>
          <w:tcPr>
            <w:tcW w:w="536" w:type="dxa"/>
            <w:shd w:val="clear" w:color="auto" w:fill="auto"/>
            <w:vAlign w:val="center"/>
          </w:tcPr>
          <w:p>
            <w:pPr>
              <w:pStyle w:val="1856"/>
              <w:snapToGrid w:val="0"/>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15</w:t>
            </w:r>
          </w:p>
        </w:tc>
        <w:tc>
          <w:tcPr>
            <w:tcW w:w="710" w:type="dxa"/>
            <w:shd w:val="clear" w:color="auto" w:fill="auto"/>
            <w:vAlign w:val="center"/>
          </w:tcPr>
          <w:p>
            <w:pPr>
              <w:pStyle w:val="1856"/>
              <w:snapToGrid w:val="0"/>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c>
          <w:tcPr>
            <w:tcW w:w="728" w:type="dxa"/>
            <w:shd w:val="clear" w:color="auto" w:fill="auto"/>
            <w:vAlign w:val="center"/>
          </w:tcPr>
          <w:p>
            <w:pPr>
              <w:pStyle w:val="1856"/>
              <w:snapToGrid w:val="0"/>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失火</w:t>
            </w:r>
          </w:p>
        </w:tc>
        <w:tc>
          <w:tcPr>
            <w:tcW w:w="728" w:type="dxa"/>
            <w:shd w:val="clear" w:color="auto" w:fill="auto"/>
            <w:vAlign w:val="center"/>
          </w:tcPr>
          <w:p>
            <w:pPr>
              <w:pStyle w:val="1856"/>
              <w:snapToGrid w:val="0"/>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17</w:t>
            </w:r>
          </w:p>
        </w:tc>
        <w:tc>
          <w:tcPr>
            <w:tcW w:w="896" w:type="dxa"/>
            <w:shd w:val="clear" w:color="auto" w:fill="auto"/>
            <w:vAlign w:val="center"/>
          </w:tcPr>
          <w:p>
            <w:pPr>
              <w:pStyle w:val="1856"/>
              <w:snapToGrid w:val="0"/>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4</w:t>
            </w:r>
          </w:p>
        </w:tc>
        <w:tc>
          <w:tcPr>
            <w:tcW w:w="873" w:type="dxa"/>
            <w:shd w:val="clear" w:color="auto" w:fill="auto"/>
            <w:vAlign w:val="center"/>
          </w:tcPr>
          <w:p>
            <w:pPr>
              <w:pStyle w:val="1856"/>
              <w:snapToGrid w:val="0"/>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3000</w:t>
            </w:r>
          </w:p>
        </w:tc>
        <w:tc>
          <w:tcPr>
            <w:tcW w:w="850" w:type="dxa"/>
            <w:shd w:val="clear" w:color="auto" w:fill="auto"/>
            <w:vAlign w:val="center"/>
          </w:tcPr>
          <w:p>
            <w:pPr>
              <w:pStyle w:val="1856"/>
              <w:snapToGrid w:val="0"/>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0.5</w:t>
            </w:r>
          </w:p>
        </w:tc>
        <w:tc>
          <w:tcPr>
            <w:tcW w:w="711" w:type="dxa"/>
            <w:shd w:val="clear" w:color="auto" w:fill="auto"/>
            <w:vAlign w:val="center"/>
          </w:tcPr>
          <w:p>
            <w:pPr>
              <w:pStyle w:val="1856"/>
              <w:snapToGrid w:val="0"/>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10</w:t>
            </w:r>
          </w:p>
        </w:tc>
        <w:tc>
          <w:tcPr>
            <w:tcW w:w="710" w:type="dxa"/>
            <w:shd w:val="clear" w:color="auto" w:fill="auto"/>
            <w:vAlign w:val="center"/>
          </w:tcPr>
          <w:p>
            <w:pPr>
              <w:pStyle w:val="1856"/>
              <w:snapToGrid w:val="0"/>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2</w:t>
            </w:r>
          </w:p>
        </w:tc>
        <w:tc>
          <w:tcPr>
            <w:tcW w:w="706" w:type="dxa"/>
            <w:shd w:val="clear" w:color="auto" w:fill="auto"/>
            <w:vAlign w:val="center"/>
          </w:tcPr>
          <w:p>
            <w:pPr>
              <w:pStyle w:val="1856"/>
              <w:snapToGrid w:val="0"/>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0</w:t>
            </w:r>
          </w:p>
        </w:tc>
        <w:tc>
          <w:tcPr>
            <w:tcW w:w="1080" w:type="dxa"/>
            <w:shd w:val="clear" w:color="auto" w:fill="auto"/>
            <w:vAlign w:val="center"/>
          </w:tcPr>
          <w:p>
            <w:pPr>
              <w:pStyle w:val="1856"/>
              <w:snapToGrid w:val="0"/>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w:t>
            </w:r>
          </w:p>
        </w:tc>
        <w:tc>
          <w:tcPr>
            <w:tcW w:w="536" w:type="dxa"/>
            <w:shd w:val="clear" w:color="auto" w:fill="auto"/>
            <w:vAlign w:val="center"/>
          </w:tcPr>
          <w:p>
            <w:pPr>
              <w:pStyle w:val="1856"/>
              <w:snapToGrid w:val="0"/>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4</w:t>
            </w:r>
          </w:p>
        </w:tc>
        <w:tc>
          <w:tcPr>
            <w:tcW w:w="710" w:type="dxa"/>
            <w:shd w:val="clear" w:color="auto" w:fill="auto"/>
            <w:vAlign w:val="center"/>
          </w:tcPr>
          <w:p>
            <w:pPr>
              <w:pStyle w:val="1856"/>
              <w:snapToGrid w:val="0"/>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c>
          <w:tcPr>
            <w:tcW w:w="728" w:type="dxa"/>
            <w:shd w:val="clear" w:color="auto" w:fill="auto"/>
            <w:vAlign w:val="center"/>
          </w:tcPr>
          <w:p>
            <w:pPr>
              <w:pStyle w:val="1856"/>
              <w:snapToGrid w:val="0"/>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搁浅</w:t>
            </w:r>
          </w:p>
        </w:tc>
        <w:tc>
          <w:tcPr>
            <w:tcW w:w="728" w:type="dxa"/>
            <w:shd w:val="clear" w:color="auto" w:fill="auto"/>
            <w:vAlign w:val="center"/>
          </w:tcPr>
          <w:p>
            <w:pPr>
              <w:pStyle w:val="1856"/>
              <w:snapToGrid w:val="0"/>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123</w:t>
            </w:r>
          </w:p>
        </w:tc>
        <w:tc>
          <w:tcPr>
            <w:tcW w:w="896" w:type="dxa"/>
            <w:shd w:val="clear" w:color="auto" w:fill="auto"/>
            <w:vAlign w:val="center"/>
          </w:tcPr>
          <w:p>
            <w:pPr>
              <w:pStyle w:val="1856"/>
              <w:snapToGrid w:val="0"/>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27</w:t>
            </w:r>
          </w:p>
        </w:tc>
        <w:tc>
          <w:tcPr>
            <w:tcW w:w="873" w:type="dxa"/>
            <w:shd w:val="clear" w:color="auto" w:fill="auto"/>
            <w:vAlign w:val="center"/>
          </w:tcPr>
          <w:p>
            <w:pPr>
              <w:pStyle w:val="1856"/>
              <w:snapToGrid w:val="0"/>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235000</w:t>
            </w:r>
          </w:p>
        </w:tc>
        <w:tc>
          <w:tcPr>
            <w:tcW w:w="850" w:type="dxa"/>
            <w:shd w:val="clear" w:color="auto" w:fill="auto"/>
            <w:vAlign w:val="center"/>
          </w:tcPr>
          <w:p>
            <w:pPr>
              <w:pStyle w:val="1856"/>
              <w:snapToGrid w:val="0"/>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24</w:t>
            </w:r>
          </w:p>
        </w:tc>
        <w:tc>
          <w:tcPr>
            <w:tcW w:w="711" w:type="dxa"/>
            <w:shd w:val="clear" w:color="auto" w:fill="auto"/>
            <w:vAlign w:val="center"/>
          </w:tcPr>
          <w:p>
            <w:pPr>
              <w:pStyle w:val="1856"/>
              <w:snapToGrid w:val="0"/>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w:t>
            </w:r>
          </w:p>
        </w:tc>
        <w:tc>
          <w:tcPr>
            <w:tcW w:w="710" w:type="dxa"/>
            <w:shd w:val="clear" w:color="auto" w:fill="auto"/>
            <w:vAlign w:val="center"/>
          </w:tcPr>
          <w:p>
            <w:pPr>
              <w:pStyle w:val="1856"/>
              <w:snapToGrid w:val="0"/>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27</w:t>
            </w:r>
          </w:p>
        </w:tc>
        <w:tc>
          <w:tcPr>
            <w:tcW w:w="706" w:type="dxa"/>
            <w:shd w:val="clear" w:color="auto" w:fill="auto"/>
            <w:vAlign w:val="center"/>
          </w:tcPr>
          <w:p>
            <w:pPr>
              <w:pStyle w:val="1856"/>
              <w:snapToGrid w:val="0"/>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40</w:t>
            </w:r>
          </w:p>
        </w:tc>
        <w:tc>
          <w:tcPr>
            <w:tcW w:w="1080" w:type="dxa"/>
            <w:shd w:val="clear" w:color="auto" w:fill="auto"/>
            <w:vAlign w:val="center"/>
          </w:tcPr>
          <w:p>
            <w:pPr>
              <w:pStyle w:val="1856"/>
              <w:snapToGrid w:val="0"/>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53</w:t>
            </w:r>
          </w:p>
        </w:tc>
        <w:tc>
          <w:tcPr>
            <w:tcW w:w="536" w:type="dxa"/>
            <w:shd w:val="clear" w:color="auto" w:fill="auto"/>
            <w:vAlign w:val="center"/>
          </w:tcPr>
          <w:p>
            <w:pPr>
              <w:pStyle w:val="1856"/>
              <w:snapToGrid w:val="0"/>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0</w:t>
            </w:r>
          </w:p>
        </w:tc>
        <w:tc>
          <w:tcPr>
            <w:tcW w:w="710" w:type="dxa"/>
            <w:shd w:val="clear" w:color="auto" w:fill="auto"/>
            <w:vAlign w:val="center"/>
          </w:tcPr>
          <w:p>
            <w:pPr>
              <w:pStyle w:val="1856"/>
              <w:snapToGrid w:val="0"/>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c>
          <w:tcPr>
            <w:tcW w:w="728" w:type="dxa"/>
            <w:shd w:val="clear" w:color="auto" w:fill="auto"/>
            <w:vAlign w:val="center"/>
          </w:tcPr>
          <w:p>
            <w:pPr>
              <w:pStyle w:val="1856"/>
              <w:snapToGrid w:val="0"/>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撞击</w:t>
            </w:r>
          </w:p>
        </w:tc>
        <w:tc>
          <w:tcPr>
            <w:tcW w:w="728" w:type="dxa"/>
            <w:shd w:val="clear" w:color="auto" w:fill="auto"/>
            <w:vAlign w:val="center"/>
          </w:tcPr>
          <w:p>
            <w:pPr>
              <w:pStyle w:val="1856"/>
              <w:snapToGrid w:val="0"/>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46</w:t>
            </w:r>
          </w:p>
        </w:tc>
        <w:tc>
          <w:tcPr>
            <w:tcW w:w="896" w:type="dxa"/>
            <w:shd w:val="clear" w:color="auto" w:fill="auto"/>
            <w:vAlign w:val="center"/>
          </w:tcPr>
          <w:p>
            <w:pPr>
              <w:pStyle w:val="1856"/>
              <w:snapToGrid w:val="0"/>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10</w:t>
            </w:r>
          </w:p>
        </w:tc>
        <w:tc>
          <w:tcPr>
            <w:tcW w:w="873" w:type="dxa"/>
            <w:shd w:val="clear" w:color="auto" w:fill="auto"/>
            <w:vAlign w:val="center"/>
          </w:tcPr>
          <w:p>
            <w:pPr>
              <w:pStyle w:val="1856"/>
              <w:snapToGrid w:val="0"/>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14000</w:t>
            </w:r>
          </w:p>
        </w:tc>
        <w:tc>
          <w:tcPr>
            <w:tcW w:w="850" w:type="dxa"/>
            <w:shd w:val="clear" w:color="auto" w:fill="auto"/>
            <w:vAlign w:val="center"/>
          </w:tcPr>
          <w:p>
            <w:pPr>
              <w:pStyle w:val="1856"/>
              <w:snapToGrid w:val="0"/>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1.5</w:t>
            </w:r>
          </w:p>
        </w:tc>
        <w:tc>
          <w:tcPr>
            <w:tcW w:w="711" w:type="dxa"/>
            <w:shd w:val="clear" w:color="auto" w:fill="auto"/>
            <w:vAlign w:val="center"/>
          </w:tcPr>
          <w:p>
            <w:pPr>
              <w:pStyle w:val="1856"/>
              <w:snapToGrid w:val="0"/>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18</w:t>
            </w:r>
          </w:p>
        </w:tc>
        <w:tc>
          <w:tcPr>
            <w:tcW w:w="710" w:type="dxa"/>
            <w:shd w:val="clear" w:color="auto" w:fill="auto"/>
            <w:vAlign w:val="center"/>
          </w:tcPr>
          <w:p>
            <w:pPr>
              <w:pStyle w:val="1856"/>
              <w:snapToGrid w:val="0"/>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15</w:t>
            </w:r>
          </w:p>
        </w:tc>
        <w:tc>
          <w:tcPr>
            <w:tcW w:w="706" w:type="dxa"/>
            <w:shd w:val="clear" w:color="auto" w:fill="auto"/>
            <w:vAlign w:val="center"/>
          </w:tcPr>
          <w:p>
            <w:pPr>
              <w:pStyle w:val="1856"/>
              <w:snapToGrid w:val="0"/>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5</w:t>
            </w:r>
          </w:p>
        </w:tc>
        <w:tc>
          <w:tcPr>
            <w:tcW w:w="1080" w:type="dxa"/>
            <w:shd w:val="clear" w:color="auto" w:fill="auto"/>
            <w:vAlign w:val="center"/>
          </w:tcPr>
          <w:p>
            <w:pPr>
              <w:pStyle w:val="1856"/>
              <w:snapToGrid w:val="0"/>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5</w:t>
            </w:r>
          </w:p>
        </w:tc>
        <w:tc>
          <w:tcPr>
            <w:tcW w:w="536" w:type="dxa"/>
            <w:shd w:val="clear" w:color="auto" w:fill="auto"/>
            <w:vAlign w:val="center"/>
          </w:tcPr>
          <w:p>
            <w:pPr>
              <w:pStyle w:val="1856"/>
              <w:snapToGrid w:val="0"/>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2</w:t>
            </w:r>
          </w:p>
        </w:tc>
        <w:tc>
          <w:tcPr>
            <w:tcW w:w="710" w:type="dxa"/>
            <w:shd w:val="clear" w:color="auto" w:fill="auto"/>
            <w:vAlign w:val="center"/>
          </w:tcPr>
          <w:p>
            <w:pPr>
              <w:pStyle w:val="1856"/>
              <w:snapToGrid w:val="0"/>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c>
          <w:tcPr>
            <w:tcW w:w="728" w:type="dxa"/>
            <w:shd w:val="clear" w:color="auto" w:fill="auto"/>
            <w:vAlign w:val="center"/>
          </w:tcPr>
          <w:p>
            <w:pPr>
              <w:pStyle w:val="1856"/>
              <w:snapToGrid w:val="0"/>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结构破损</w:t>
            </w:r>
          </w:p>
        </w:tc>
        <w:tc>
          <w:tcPr>
            <w:tcW w:w="728" w:type="dxa"/>
            <w:shd w:val="clear" w:color="auto" w:fill="auto"/>
            <w:vAlign w:val="center"/>
          </w:tcPr>
          <w:p>
            <w:pPr>
              <w:pStyle w:val="1856"/>
              <w:snapToGrid w:val="0"/>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94</w:t>
            </w:r>
          </w:p>
        </w:tc>
        <w:tc>
          <w:tcPr>
            <w:tcW w:w="896" w:type="dxa"/>
            <w:shd w:val="clear" w:color="auto" w:fill="auto"/>
            <w:vAlign w:val="center"/>
          </w:tcPr>
          <w:p>
            <w:pPr>
              <w:pStyle w:val="1856"/>
              <w:snapToGrid w:val="0"/>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21</w:t>
            </w:r>
          </w:p>
        </w:tc>
        <w:tc>
          <w:tcPr>
            <w:tcW w:w="873" w:type="dxa"/>
            <w:shd w:val="clear" w:color="auto" w:fill="auto"/>
            <w:vAlign w:val="center"/>
          </w:tcPr>
          <w:p>
            <w:pPr>
              <w:pStyle w:val="1856"/>
              <w:snapToGrid w:val="0"/>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346000</w:t>
            </w:r>
          </w:p>
        </w:tc>
        <w:tc>
          <w:tcPr>
            <w:tcW w:w="850" w:type="dxa"/>
            <w:shd w:val="clear" w:color="auto" w:fill="auto"/>
            <w:vAlign w:val="center"/>
          </w:tcPr>
          <w:p>
            <w:pPr>
              <w:pStyle w:val="1856"/>
              <w:snapToGrid w:val="0"/>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36</w:t>
            </w:r>
          </w:p>
        </w:tc>
        <w:tc>
          <w:tcPr>
            <w:tcW w:w="711" w:type="dxa"/>
            <w:shd w:val="clear" w:color="auto" w:fill="auto"/>
            <w:vAlign w:val="center"/>
          </w:tcPr>
          <w:p>
            <w:pPr>
              <w:pStyle w:val="1856"/>
              <w:snapToGrid w:val="0"/>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8</w:t>
            </w:r>
          </w:p>
        </w:tc>
        <w:tc>
          <w:tcPr>
            <w:tcW w:w="710" w:type="dxa"/>
            <w:shd w:val="clear" w:color="auto" w:fill="auto"/>
            <w:vAlign w:val="center"/>
          </w:tcPr>
          <w:p>
            <w:pPr>
              <w:pStyle w:val="1856"/>
              <w:snapToGrid w:val="0"/>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9</w:t>
            </w:r>
          </w:p>
        </w:tc>
        <w:tc>
          <w:tcPr>
            <w:tcW w:w="706" w:type="dxa"/>
            <w:shd w:val="clear" w:color="auto" w:fill="auto"/>
            <w:vAlign w:val="center"/>
          </w:tcPr>
          <w:p>
            <w:pPr>
              <w:pStyle w:val="1856"/>
              <w:snapToGrid w:val="0"/>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4</w:t>
            </w:r>
          </w:p>
        </w:tc>
        <w:tc>
          <w:tcPr>
            <w:tcW w:w="1080" w:type="dxa"/>
            <w:shd w:val="clear" w:color="auto" w:fill="auto"/>
            <w:vAlign w:val="center"/>
          </w:tcPr>
          <w:p>
            <w:pPr>
              <w:pStyle w:val="1856"/>
              <w:snapToGrid w:val="0"/>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7</w:t>
            </w:r>
          </w:p>
        </w:tc>
        <w:tc>
          <w:tcPr>
            <w:tcW w:w="536" w:type="dxa"/>
            <w:shd w:val="clear" w:color="auto" w:fill="auto"/>
            <w:vAlign w:val="center"/>
          </w:tcPr>
          <w:p>
            <w:pPr>
              <w:pStyle w:val="1856"/>
              <w:snapToGrid w:val="0"/>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54</w:t>
            </w:r>
          </w:p>
        </w:tc>
        <w:tc>
          <w:tcPr>
            <w:tcW w:w="710" w:type="dxa"/>
            <w:shd w:val="clear" w:color="auto" w:fill="auto"/>
            <w:vAlign w:val="center"/>
          </w:tcPr>
          <w:p>
            <w:pPr>
              <w:pStyle w:val="1856"/>
              <w:snapToGrid w:val="0"/>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12</w:t>
            </w:r>
          </w:p>
        </w:tc>
      </w:tr>
    </w:tbl>
    <w:p>
      <w:pPr>
        <w:pStyle w:val="384"/>
        <w:adjustRightInd w:val="0"/>
        <w:ind w:left="0" w:firstLine="0"/>
        <w:rPr>
          <w:rFonts w:cs="Times New Roman"/>
          <w:color w:val="000000" w:themeColor="text1"/>
          <w:lang w:bidi="en-US"/>
          <w14:textFill>
            <w14:solidFill>
              <w14:schemeClr w14:val="tx1"/>
            </w14:solidFill>
          </w14:textFill>
        </w:rPr>
      </w:pPr>
      <w:r>
        <w:rPr>
          <w:rFonts w:cs="Times New Roman"/>
          <w:color w:val="000000" w:themeColor="text1"/>
          <w:lang w:bidi="en-US"/>
          <w14:textFill>
            <w14:solidFill>
              <w14:schemeClr w14:val="tx1"/>
            </w14:solidFill>
          </w14:textFill>
        </w:rPr>
        <w:t>1997年</w:t>
      </w:r>
      <w:r>
        <w:rPr>
          <w:rFonts w:hint="eastAsia" w:cs="Times New Roman"/>
          <w:color w:val="000000" w:themeColor="text1"/>
          <w:lang w:bidi="en-US"/>
          <w14:textFill>
            <w14:solidFill>
              <w14:schemeClr w14:val="tx1"/>
            </w14:solidFill>
          </w14:textFill>
        </w:rPr>
        <w:t>至2002年</w:t>
      </w:r>
      <w:r>
        <w:rPr>
          <w:rFonts w:cs="Times New Roman"/>
          <w:color w:val="000000" w:themeColor="text1"/>
          <w:lang w:bidi="en-US"/>
          <w14:textFill>
            <w14:solidFill>
              <w14:schemeClr w14:val="tx1"/>
            </w14:solidFill>
          </w14:textFill>
        </w:rPr>
        <w:t>我国港口船舶、码头溢油事故分类统计结果</w:t>
      </w:r>
    </w:p>
    <w:tbl>
      <w:tblPr>
        <w:tblStyle w:val="88"/>
        <w:tblW w:w="8528" w:type="dxa"/>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670"/>
        <w:gridCol w:w="1417"/>
        <w:gridCol w:w="1492"/>
        <w:gridCol w:w="1463"/>
        <w:gridCol w:w="1231"/>
        <w:gridCol w:w="1255"/>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blHeader/>
        </w:trPr>
        <w:tc>
          <w:tcPr>
            <w:tcW w:w="1670" w:type="dxa"/>
            <w:shd w:val="clear" w:color="auto" w:fill="auto"/>
            <w:vAlign w:val="center"/>
          </w:tcPr>
          <w:p>
            <w:pPr>
              <w:pStyle w:val="1856"/>
              <w:snapToGrid w:val="0"/>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溢油事故类别</w:t>
            </w:r>
          </w:p>
        </w:tc>
        <w:tc>
          <w:tcPr>
            <w:tcW w:w="1417" w:type="dxa"/>
            <w:shd w:val="clear" w:color="auto" w:fill="auto"/>
            <w:vAlign w:val="center"/>
          </w:tcPr>
          <w:p>
            <w:pPr>
              <w:pStyle w:val="1856"/>
              <w:snapToGrid w:val="0"/>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溢油次数</w:t>
            </w:r>
          </w:p>
        </w:tc>
        <w:tc>
          <w:tcPr>
            <w:tcW w:w="1492" w:type="dxa"/>
            <w:shd w:val="clear" w:color="auto" w:fill="auto"/>
            <w:vAlign w:val="center"/>
          </w:tcPr>
          <w:p>
            <w:pPr>
              <w:pStyle w:val="1856"/>
              <w:snapToGrid w:val="0"/>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占总次数（%）</w:t>
            </w:r>
          </w:p>
        </w:tc>
        <w:tc>
          <w:tcPr>
            <w:tcW w:w="1463" w:type="dxa"/>
            <w:shd w:val="clear" w:color="auto" w:fill="auto"/>
            <w:vAlign w:val="center"/>
          </w:tcPr>
          <w:p>
            <w:pPr>
              <w:pStyle w:val="1856"/>
              <w:snapToGrid w:val="0"/>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溢油量（吨）</w:t>
            </w:r>
          </w:p>
        </w:tc>
        <w:tc>
          <w:tcPr>
            <w:tcW w:w="1231" w:type="dxa"/>
            <w:shd w:val="clear" w:color="auto" w:fill="auto"/>
            <w:vAlign w:val="center"/>
          </w:tcPr>
          <w:p>
            <w:pPr>
              <w:pStyle w:val="1856"/>
              <w:snapToGrid w:val="0"/>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平均溢油量</w:t>
            </w:r>
          </w:p>
        </w:tc>
        <w:tc>
          <w:tcPr>
            <w:tcW w:w="1255" w:type="dxa"/>
            <w:shd w:val="clear" w:color="auto" w:fill="auto"/>
            <w:vAlign w:val="center"/>
          </w:tcPr>
          <w:p>
            <w:pPr>
              <w:pStyle w:val="1856"/>
              <w:snapToGrid w:val="0"/>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占总溢油量（%）</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c>
          <w:tcPr>
            <w:tcW w:w="1670" w:type="dxa"/>
            <w:shd w:val="clear" w:color="auto" w:fill="auto"/>
            <w:vAlign w:val="center"/>
          </w:tcPr>
          <w:p>
            <w:pPr>
              <w:pStyle w:val="1856"/>
              <w:snapToGrid w:val="0"/>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操作性事故</w:t>
            </w:r>
          </w:p>
        </w:tc>
        <w:tc>
          <w:tcPr>
            <w:tcW w:w="1417" w:type="dxa"/>
            <w:shd w:val="clear" w:color="auto" w:fill="auto"/>
            <w:vAlign w:val="center"/>
          </w:tcPr>
          <w:p>
            <w:pPr>
              <w:pStyle w:val="1856"/>
              <w:snapToGrid w:val="0"/>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145</w:t>
            </w:r>
          </w:p>
        </w:tc>
        <w:tc>
          <w:tcPr>
            <w:tcW w:w="1492" w:type="dxa"/>
            <w:shd w:val="clear" w:color="auto" w:fill="auto"/>
            <w:vAlign w:val="center"/>
          </w:tcPr>
          <w:p>
            <w:pPr>
              <w:pStyle w:val="1856"/>
              <w:snapToGrid w:val="0"/>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 xml:space="preserve">82.00 </w:t>
            </w:r>
          </w:p>
        </w:tc>
        <w:tc>
          <w:tcPr>
            <w:tcW w:w="1463" w:type="dxa"/>
            <w:shd w:val="clear" w:color="auto" w:fill="auto"/>
            <w:vAlign w:val="center"/>
          </w:tcPr>
          <w:p>
            <w:pPr>
              <w:pStyle w:val="1856"/>
              <w:snapToGrid w:val="0"/>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648</w:t>
            </w:r>
          </w:p>
        </w:tc>
        <w:tc>
          <w:tcPr>
            <w:tcW w:w="1231" w:type="dxa"/>
            <w:shd w:val="clear" w:color="auto" w:fill="auto"/>
            <w:vAlign w:val="center"/>
          </w:tcPr>
          <w:p>
            <w:pPr>
              <w:pStyle w:val="1856"/>
              <w:snapToGrid w:val="0"/>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4.7</w:t>
            </w:r>
          </w:p>
        </w:tc>
        <w:tc>
          <w:tcPr>
            <w:tcW w:w="1255" w:type="dxa"/>
            <w:shd w:val="clear" w:color="auto" w:fill="auto"/>
            <w:vAlign w:val="center"/>
          </w:tcPr>
          <w:p>
            <w:pPr>
              <w:pStyle w:val="1856"/>
              <w:snapToGrid w:val="0"/>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8</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c>
          <w:tcPr>
            <w:tcW w:w="1670" w:type="dxa"/>
            <w:shd w:val="clear" w:color="auto" w:fill="auto"/>
            <w:vAlign w:val="center"/>
          </w:tcPr>
          <w:p>
            <w:pPr>
              <w:pStyle w:val="1856"/>
              <w:snapToGrid w:val="0"/>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灾难性事故</w:t>
            </w:r>
          </w:p>
        </w:tc>
        <w:tc>
          <w:tcPr>
            <w:tcW w:w="1417" w:type="dxa"/>
            <w:shd w:val="clear" w:color="auto" w:fill="auto"/>
            <w:vAlign w:val="center"/>
          </w:tcPr>
          <w:p>
            <w:pPr>
              <w:pStyle w:val="1856"/>
              <w:snapToGrid w:val="0"/>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33</w:t>
            </w:r>
          </w:p>
        </w:tc>
        <w:tc>
          <w:tcPr>
            <w:tcW w:w="1492" w:type="dxa"/>
            <w:shd w:val="clear" w:color="auto" w:fill="auto"/>
            <w:vAlign w:val="center"/>
          </w:tcPr>
          <w:p>
            <w:pPr>
              <w:pStyle w:val="1856"/>
              <w:snapToGrid w:val="0"/>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 xml:space="preserve">18.00 </w:t>
            </w:r>
          </w:p>
        </w:tc>
        <w:tc>
          <w:tcPr>
            <w:tcW w:w="1463" w:type="dxa"/>
            <w:shd w:val="clear" w:color="auto" w:fill="auto"/>
            <w:vAlign w:val="center"/>
          </w:tcPr>
          <w:p>
            <w:pPr>
              <w:pStyle w:val="1856"/>
              <w:snapToGrid w:val="0"/>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7735</w:t>
            </w:r>
          </w:p>
        </w:tc>
        <w:tc>
          <w:tcPr>
            <w:tcW w:w="1231" w:type="dxa"/>
            <w:shd w:val="clear" w:color="auto" w:fill="auto"/>
            <w:vAlign w:val="center"/>
          </w:tcPr>
          <w:p>
            <w:pPr>
              <w:pStyle w:val="1856"/>
              <w:snapToGrid w:val="0"/>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234</w:t>
            </w:r>
          </w:p>
        </w:tc>
        <w:tc>
          <w:tcPr>
            <w:tcW w:w="1255" w:type="dxa"/>
            <w:shd w:val="clear" w:color="auto" w:fill="auto"/>
            <w:vAlign w:val="center"/>
          </w:tcPr>
          <w:p>
            <w:pPr>
              <w:pStyle w:val="1856"/>
              <w:snapToGrid w:val="0"/>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92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c>
          <w:tcPr>
            <w:tcW w:w="1670" w:type="dxa"/>
            <w:shd w:val="clear" w:color="auto" w:fill="auto"/>
            <w:vAlign w:val="center"/>
          </w:tcPr>
          <w:p>
            <w:pPr>
              <w:pStyle w:val="1856"/>
              <w:snapToGrid w:val="0"/>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总计</w:t>
            </w:r>
          </w:p>
        </w:tc>
        <w:tc>
          <w:tcPr>
            <w:tcW w:w="1417" w:type="dxa"/>
            <w:shd w:val="clear" w:color="auto" w:fill="auto"/>
            <w:vAlign w:val="center"/>
          </w:tcPr>
          <w:p>
            <w:pPr>
              <w:pStyle w:val="1856"/>
              <w:snapToGrid w:val="0"/>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178</w:t>
            </w:r>
          </w:p>
        </w:tc>
        <w:tc>
          <w:tcPr>
            <w:tcW w:w="1492" w:type="dxa"/>
            <w:shd w:val="clear" w:color="auto" w:fill="auto"/>
            <w:vAlign w:val="center"/>
          </w:tcPr>
          <w:p>
            <w:pPr>
              <w:pStyle w:val="1856"/>
              <w:snapToGrid w:val="0"/>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 xml:space="preserve">100.00 </w:t>
            </w:r>
          </w:p>
        </w:tc>
        <w:tc>
          <w:tcPr>
            <w:tcW w:w="1463" w:type="dxa"/>
            <w:shd w:val="clear" w:color="auto" w:fill="auto"/>
            <w:vAlign w:val="center"/>
          </w:tcPr>
          <w:p>
            <w:pPr>
              <w:pStyle w:val="1856"/>
              <w:snapToGrid w:val="0"/>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8383</w:t>
            </w:r>
          </w:p>
        </w:tc>
        <w:tc>
          <w:tcPr>
            <w:tcW w:w="1231" w:type="dxa"/>
            <w:shd w:val="clear" w:color="auto" w:fill="auto"/>
            <w:vAlign w:val="center"/>
          </w:tcPr>
          <w:p>
            <w:pPr>
              <w:pStyle w:val="1856"/>
              <w:snapToGrid w:val="0"/>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238.7</w:t>
            </w:r>
          </w:p>
        </w:tc>
        <w:tc>
          <w:tcPr>
            <w:tcW w:w="1255" w:type="dxa"/>
            <w:shd w:val="clear" w:color="auto" w:fill="auto"/>
            <w:vAlign w:val="center"/>
          </w:tcPr>
          <w:p>
            <w:pPr>
              <w:pStyle w:val="1856"/>
              <w:snapToGrid w:val="0"/>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100</w:t>
            </w:r>
          </w:p>
        </w:tc>
      </w:tr>
    </w:tbl>
    <w:p>
      <w:pPr>
        <w:pStyle w:val="1075"/>
        <w:ind w:firstLine="437"/>
        <w:rPr>
          <w:color w:val="000000" w:themeColor="text1"/>
          <w:lang w:bidi="en-US"/>
          <w14:textFill>
            <w14:solidFill>
              <w14:schemeClr w14:val="tx1"/>
            </w14:solidFill>
          </w14:textFill>
        </w:rPr>
      </w:pPr>
      <w:r>
        <w:rPr>
          <w:color w:val="000000" w:themeColor="text1"/>
          <w:lang w:bidi="en-US"/>
          <w14:textFill>
            <w14:solidFill>
              <w14:schemeClr w14:val="tx1"/>
            </w14:solidFill>
          </w14:textFill>
        </w:rPr>
        <w:t>（3）区域环境风险事故统计</w:t>
      </w:r>
    </w:p>
    <w:p>
      <w:pPr>
        <w:pStyle w:val="684"/>
        <w:ind w:firstLine="437"/>
        <w:rPr>
          <w:snapToGrid w:val="0"/>
          <w:color w:val="000000" w:themeColor="text1"/>
          <w:lang w:bidi="en-US"/>
          <w14:textFill>
            <w14:solidFill>
              <w14:schemeClr w14:val="tx1"/>
            </w14:solidFill>
          </w14:textFill>
        </w:rPr>
      </w:pPr>
      <w:r>
        <w:rPr>
          <w:rFonts w:hint="eastAsia"/>
          <w:snapToGrid w:val="0"/>
          <w:color w:val="000000" w:themeColor="text1"/>
          <w:lang w:bidi="en-US"/>
          <w14:textFill>
            <w14:solidFill>
              <w14:schemeClr w14:val="tx1"/>
            </w14:solidFill>
          </w14:textFill>
        </w:rPr>
        <w:t>根据广西海事局统计结果，2010年至2021年6月，广西沿海辖区共发生一般等级及以上水上交通事故64件。北海19件，防城港23件，钦州22件。64件事故中，一般等级事故35件，较大等级事故19件，重大等级事故10件。事故船舶类型中，普通货船53艘、工程船9艘、液货船2艘、渔船11艘、其他船舶8艘。经事故调查统计分析，造成事故的主要原因有：船舶航行中瞭望疏忽；船舶航行中未使用安全航速；两船在避让行动中，沟通不畅，避让不协调；船员在明火、封闭区间不按规定流程作业；船舶积载不当；内河船舶参与海上运输，不满足航行条件；商渔船碰撞中，渔船未按规定值守，保持正规瞭望；船舶日常维护保养不当；船员甲板作业不按规定穿着救生衣，人员意外落水造成事故损失扩大；未规定制定航次计划，冒险开航。</w:t>
      </w:r>
    </w:p>
    <w:p>
      <w:pPr>
        <w:pStyle w:val="384"/>
        <w:adjustRightInd w:val="0"/>
        <w:ind w:left="0" w:firstLine="0"/>
        <w:rPr>
          <w:rFonts w:cs="Times New Roman"/>
          <w:color w:val="000000" w:themeColor="text1"/>
          <w:lang w:bidi="en-US"/>
          <w14:textFill>
            <w14:solidFill>
              <w14:schemeClr w14:val="tx1"/>
            </w14:solidFill>
          </w14:textFill>
        </w:rPr>
      </w:pPr>
      <w:r>
        <w:rPr>
          <w:rFonts w:hint="eastAsia" w:cs="Times New Roman"/>
          <w:color w:val="000000" w:themeColor="text1"/>
          <w:lang w:bidi="en-US"/>
          <w14:textFill>
            <w14:solidFill>
              <w14:schemeClr w14:val="tx1"/>
            </w14:solidFill>
          </w14:textFill>
        </w:rPr>
        <w:t>2010～2021年广西沿海辖区水上交通事故一览表</w:t>
      </w:r>
    </w:p>
    <w:tbl>
      <w:tblPr>
        <w:tblStyle w:val="89"/>
        <w:tblW w:w="8528" w:type="dxa"/>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658"/>
        <w:gridCol w:w="658"/>
        <w:gridCol w:w="659"/>
        <w:gridCol w:w="659"/>
        <w:gridCol w:w="659"/>
        <w:gridCol w:w="1131"/>
        <w:gridCol w:w="659"/>
        <w:gridCol w:w="1498"/>
        <w:gridCol w:w="1288"/>
        <w:gridCol w:w="659"/>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c>
          <w:tcPr>
            <w:tcW w:w="658" w:type="dxa"/>
          </w:tcPr>
          <w:p>
            <w:pPr>
              <w:pStyle w:val="2001"/>
            </w:pPr>
            <w:r>
              <w:rPr>
                <w:rFonts w:hint="eastAsia"/>
              </w:rPr>
              <w:t>触礁</w:t>
            </w:r>
          </w:p>
        </w:tc>
        <w:tc>
          <w:tcPr>
            <w:tcW w:w="658" w:type="dxa"/>
          </w:tcPr>
          <w:p>
            <w:pPr>
              <w:pStyle w:val="2001"/>
            </w:pPr>
            <w:r>
              <w:rPr>
                <w:rFonts w:hint="eastAsia"/>
              </w:rPr>
              <w:t>触碰</w:t>
            </w:r>
          </w:p>
        </w:tc>
        <w:tc>
          <w:tcPr>
            <w:tcW w:w="659" w:type="dxa"/>
          </w:tcPr>
          <w:p>
            <w:pPr>
              <w:pStyle w:val="2001"/>
            </w:pPr>
            <w:r>
              <w:rPr>
                <w:rFonts w:hint="eastAsia"/>
              </w:rPr>
              <w:t>碰撞</w:t>
            </w:r>
          </w:p>
        </w:tc>
        <w:tc>
          <w:tcPr>
            <w:tcW w:w="659" w:type="dxa"/>
          </w:tcPr>
          <w:p>
            <w:pPr>
              <w:pStyle w:val="2001"/>
            </w:pPr>
            <w:r>
              <w:rPr>
                <w:rFonts w:hint="eastAsia"/>
              </w:rPr>
              <w:t>搁浅</w:t>
            </w:r>
          </w:p>
        </w:tc>
        <w:tc>
          <w:tcPr>
            <w:tcW w:w="659" w:type="dxa"/>
          </w:tcPr>
          <w:p>
            <w:pPr>
              <w:pStyle w:val="2001"/>
            </w:pPr>
            <w:r>
              <w:rPr>
                <w:rFonts w:hint="eastAsia"/>
              </w:rPr>
              <w:t>风灾</w:t>
            </w:r>
          </w:p>
        </w:tc>
        <w:tc>
          <w:tcPr>
            <w:tcW w:w="1131" w:type="dxa"/>
          </w:tcPr>
          <w:p>
            <w:pPr>
              <w:pStyle w:val="2001"/>
            </w:pPr>
            <w:r>
              <w:rPr>
                <w:rFonts w:hint="eastAsia"/>
              </w:rPr>
              <w:t>火灾/爆炸</w:t>
            </w:r>
          </w:p>
        </w:tc>
        <w:tc>
          <w:tcPr>
            <w:tcW w:w="659" w:type="dxa"/>
          </w:tcPr>
          <w:p>
            <w:pPr>
              <w:pStyle w:val="2001"/>
            </w:pPr>
            <w:r>
              <w:rPr>
                <w:rFonts w:hint="eastAsia"/>
              </w:rPr>
              <w:t>浪损</w:t>
            </w:r>
          </w:p>
        </w:tc>
        <w:tc>
          <w:tcPr>
            <w:tcW w:w="1498" w:type="dxa"/>
          </w:tcPr>
          <w:p>
            <w:pPr>
              <w:pStyle w:val="2001"/>
            </w:pPr>
            <w:r>
              <w:rPr>
                <w:rFonts w:hint="eastAsia"/>
              </w:rPr>
              <w:t>自沉（沉没）</w:t>
            </w:r>
          </w:p>
        </w:tc>
        <w:tc>
          <w:tcPr>
            <w:tcW w:w="1288" w:type="dxa"/>
          </w:tcPr>
          <w:p>
            <w:pPr>
              <w:pStyle w:val="2001"/>
            </w:pPr>
            <w:r>
              <w:rPr>
                <w:rFonts w:hint="eastAsia"/>
              </w:rPr>
              <w:t>操作性污染</w:t>
            </w:r>
          </w:p>
        </w:tc>
        <w:tc>
          <w:tcPr>
            <w:tcW w:w="659" w:type="dxa"/>
          </w:tcPr>
          <w:p>
            <w:pPr>
              <w:pStyle w:val="2001"/>
            </w:pPr>
            <w:r>
              <w:rPr>
                <w:rFonts w:hint="eastAsia"/>
              </w:rPr>
              <w:t>其他</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c>
          <w:tcPr>
            <w:tcW w:w="658" w:type="dxa"/>
          </w:tcPr>
          <w:p>
            <w:pPr>
              <w:pStyle w:val="2001"/>
            </w:pPr>
            <w:r>
              <w:rPr>
                <w:rFonts w:hint="eastAsia"/>
              </w:rPr>
              <w:t>1</w:t>
            </w:r>
          </w:p>
        </w:tc>
        <w:tc>
          <w:tcPr>
            <w:tcW w:w="658" w:type="dxa"/>
          </w:tcPr>
          <w:p>
            <w:pPr>
              <w:pStyle w:val="2001"/>
            </w:pPr>
            <w:r>
              <w:rPr>
                <w:rFonts w:hint="eastAsia"/>
              </w:rPr>
              <w:t>2</w:t>
            </w:r>
          </w:p>
        </w:tc>
        <w:tc>
          <w:tcPr>
            <w:tcW w:w="659" w:type="dxa"/>
          </w:tcPr>
          <w:p>
            <w:pPr>
              <w:pStyle w:val="2001"/>
            </w:pPr>
            <w:r>
              <w:rPr>
                <w:rFonts w:hint="eastAsia"/>
              </w:rPr>
              <w:t>19</w:t>
            </w:r>
          </w:p>
        </w:tc>
        <w:tc>
          <w:tcPr>
            <w:tcW w:w="659" w:type="dxa"/>
          </w:tcPr>
          <w:p>
            <w:pPr>
              <w:pStyle w:val="2001"/>
            </w:pPr>
            <w:r>
              <w:rPr>
                <w:rFonts w:hint="eastAsia"/>
              </w:rPr>
              <w:t>10</w:t>
            </w:r>
          </w:p>
        </w:tc>
        <w:tc>
          <w:tcPr>
            <w:tcW w:w="659" w:type="dxa"/>
          </w:tcPr>
          <w:p>
            <w:pPr>
              <w:pStyle w:val="2001"/>
            </w:pPr>
            <w:r>
              <w:rPr>
                <w:rFonts w:hint="eastAsia"/>
              </w:rPr>
              <w:t>2</w:t>
            </w:r>
          </w:p>
        </w:tc>
        <w:tc>
          <w:tcPr>
            <w:tcW w:w="1131" w:type="dxa"/>
          </w:tcPr>
          <w:p>
            <w:pPr>
              <w:pStyle w:val="2001"/>
            </w:pPr>
            <w:r>
              <w:rPr>
                <w:rFonts w:hint="eastAsia"/>
              </w:rPr>
              <w:t>2</w:t>
            </w:r>
          </w:p>
        </w:tc>
        <w:tc>
          <w:tcPr>
            <w:tcW w:w="659" w:type="dxa"/>
          </w:tcPr>
          <w:p>
            <w:pPr>
              <w:pStyle w:val="2001"/>
            </w:pPr>
            <w:r>
              <w:rPr>
                <w:rFonts w:hint="eastAsia"/>
              </w:rPr>
              <w:t>0</w:t>
            </w:r>
          </w:p>
        </w:tc>
        <w:tc>
          <w:tcPr>
            <w:tcW w:w="1498" w:type="dxa"/>
          </w:tcPr>
          <w:p>
            <w:pPr>
              <w:pStyle w:val="2001"/>
            </w:pPr>
            <w:r>
              <w:rPr>
                <w:rFonts w:hint="eastAsia"/>
              </w:rPr>
              <w:t>18</w:t>
            </w:r>
          </w:p>
        </w:tc>
        <w:tc>
          <w:tcPr>
            <w:tcW w:w="1288" w:type="dxa"/>
          </w:tcPr>
          <w:p>
            <w:pPr>
              <w:pStyle w:val="2001"/>
            </w:pPr>
            <w:r>
              <w:rPr>
                <w:rFonts w:hint="eastAsia"/>
              </w:rPr>
              <w:t>0</w:t>
            </w:r>
          </w:p>
        </w:tc>
        <w:tc>
          <w:tcPr>
            <w:tcW w:w="659" w:type="dxa"/>
          </w:tcPr>
          <w:p>
            <w:pPr>
              <w:pStyle w:val="2001"/>
            </w:pPr>
            <w:r>
              <w:rPr>
                <w:rFonts w:hint="eastAsia"/>
              </w:rPr>
              <w:t>10</w:t>
            </w:r>
          </w:p>
        </w:tc>
      </w:tr>
    </w:tbl>
    <w:p>
      <w:pPr>
        <w:pStyle w:val="684"/>
        <w:ind w:firstLine="437"/>
        <w:rPr>
          <w:color w:val="000000" w:themeColor="text1"/>
          <w14:textFill>
            <w14:solidFill>
              <w14:schemeClr w14:val="tx1"/>
            </w14:solidFill>
          </w14:textFill>
        </w:rPr>
      </w:pPr>
      <w:r>
        <w:rPr>
          <w:color w:val="000000" w:themeColor="text1"/>
          <w14:textFill>
            <w14:solidFill>
              <w14:schemeClr w14:val="tx1"/>
            </w14:solidFill>
          </w14:textFill>
        </w:rPr>
        <w:t>（4）船舶污染事故统计</w:t>
      </w:r>
    </w:p>
    <w:p>
      <w:pPr>
        <w:pStyle w:val="1075"/>
        <w:ind w:firstLine="437"/>
        <w:rPr>
          <w:color w:val="000000" w:themeColor="text1"/>
          <w14:textFill>
            <w14:solidFill>
              <w14:schemeClr w14:val="tx1"/>
            </w14:solidFill>
          </w14:textFill>
        </w:rPr>
      </w:pPr>
      <w:r>
        <w:rPr>
          <w:rFonts w:hint="eastAsia"/>
          <w:color w:val="000000" w:themeColor="text1"/>
          <w14:textFill>
            <w14:solidFill>
              <w14:schemeClr w14:val="tx1"/>
            </w14:solidFill>
          </w14:textFill>
        </w:rPr>
        <w:t>根据广西海事局2016～2020年船舶污染事故统计结果，共发生广西海域船舶污染事故2起，均位于防城港区，详细信息见下表。</w:t>
      </w:r>
    </w:p>
    <w:p>
      <w:pPr>
        <w:pStyle w:val="384"/>
        <w:adjustRightInd w:val="0"/>
        <w:ind w:left="0" w:firstLine="0"/>
        <w:rPr>
          <w:rFonts w:cs="Times New Roman"/>
          <w:color w:val="000000" w:themeColor="text1"/>
          <w:lang w:bidi="en-US"/>
          <w14:textFill>
            <w14:solidFill>
              <w14:schemeClr w14:val="tx1"/>
            </w14:solidFill>
          </w14:textFill>
        </w:rPr>
      </w:pPr>
      <w:r>
        <w:rPr>
          <w:rFonts w:hint="eastAsia" w:cs="Times New Roman"/>
          <w:color w:val="000000" w:themeColor="text1"/>
          <w:lang w:bidi="en-US"/>
          <w14:textFill>
            <w14:solidFill>
              <w14:schemeClr w14:val="tx1"/>
            </w14:solidFill>
          </w14:textFill>
        </w:rPr>
        <w:t>2016～2020年广西沿海辖区船舶污染事故一览表</w:t>
      </w:r>
    </w:p>
    <w:tbl>
      <w:tblPr>
        <w:tblStyle w:val="89"/>
        <w:tblW w:w="8528" w:type="dxa"/>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639"/>
        <w:gridCol w:w="1602"/>
        <w:gridCol w:w="1670"/>
        <w:gridCol w:w="1044"/>
        <w:gridCol w:w="1044"/>
        <w:gridCol w:w="843"/>
        <w:gridCol w:w="843"/>
        <w:gridCol w:w="843"/>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c>
          <w:tcPr>
            <w:tcW w:w="639" w:type="dxa"/>
            <w:vAlign w:val="center"/>
          </w:tcPr>
          <w:p>
            <w:pPr>
              <w:pStyle w:val="2001"/>
            </w:pPr>
            <w:r>
              <w:rPr>
                <w:rFonts w:hint="eastAsia"/>
              </w:rPr>
              <w:t>年份</w:t>
            </w:r>
          </w:p>
        </w:tc>
        <w:tc>
          <w:tcPr>
            <w:tcW w:w="1602" w:type="dxa"/>
            <w:vAlign w:val="center"/>
          </w:tcPr>
          <w:p>
            <w:pPr>
              <w:pStyle w:val="2001"/>
            </w:pPr>
            <w:r>
              <w:rPr>
                <w:rFonts w:hint="eastAsia"/>
              </w:rPr>
              <w:t>地点</w:t>
            </w:r>
          </w:p>
        </w:tc>
        <w:tc>
          <w:tcPr>
            <w:tcW w:w="1670" w:type="dxa"/>
            <w:vAlign w:val="center"/>
          </w:tcPr>
          <w:p>
            <w:pPr>
              <w:pStyle w:val="2001"/>
            </w:pPr>
            <w:r>
              <w:rPr>
                <w:rFonts w:hint="eastAsia"/>
              </w:rPr>
              <w:t>事故名称</w:t>
            </w:r>
          </w:p>
        </w:tc>
        <w:tc>
          <w:tcPr>
            <w:tcW w:w="1044" w:type="dxa"/>
            <w:vAlign w:val="center"/>
          </w:tcPr>
          <w:p>
            <w:pPr>
              <w:pStyle w:val="2001"/>
            </w:pPr>
            <w:r>
              <w:rPr>
                <w:rFonts w:hint="eastAsia"/>
              </w:rPr>
              <w:t>事故等级</w:t>
            </w:r>
          </w:p>
        </w:tc>
        <w:tc>
          <w:tcPr>
            <w:tcW w:w="1044" w:type="dxa"/>
            <w:vAlign w:val="center"/>
          </w:tcPr>
          <w:p>
            <w:pPr>
              <w:pStyle w:val="2001"/>
            </w:pPr>
            <w:r>
              <w:rPr>
                <w:rFonts w:hint="eastAsia"/>
              </w:rPr>
              <w:t>事故种类</w:t>
            </w:r>
          </w:p>
        </w:tc>
        <w:tc>
          <w:tcPr>
            <w:tcW w:w="843" w:type="dxa"/>
            <w:vAlign w:val="center"/>
          </w:tcPr>
          <w:p>
            <w:pPr>
              <w:pStyle w:val="2001"/>
            </w:pPr>
            <w:r>
              <w:rPr>
                <w:rFonts w:hint="eastAsia"/>
              </w:rPr>
              <w:t>污染物</w:t>
            </w:r>
          </w:p>
          <w:p>
            <w:pPr>
              <w:pStyle w:val="2001"/>
            </w:pPr>
            <w:r>
              <w:rPr>
                <w:rFonts w:hint="eastAsia"/>
              </w:rPr>
              <w:t>名称</w:t>
            </w:r>
          </w:p>
        </w:tc>
        <w:tc>
          <w:tcPr>
            <w:tcW w:w="843" w:type="dxa"/>
            <w:vAlign w:val="center"/>
          </w:tcPr>
          <w:p>
            <w:pPr>
              <w:pStyle w:val="2001"/>
            </w:pPr>
            <w:r>
              <w:rPr>
                <w:rFonts w:hint="eastAsia"/>
              </w:rPr>
              <w:t>污染物</w:t>
            </w:r>
          </w:p>
          <w:p>
            <w:pPr>
              <w:pStyle w:val="2001"/>
            </w:pPr>
            <w:r>
              <w:rPr>
                <w:rFonts w:hint="eastAsia"/>
              </w:rPr>
              <w:t>数量</w:t>
            </w:r>
          </w:p>
        </w:tc>
        <w:tc>
          <w:tcPr>
            <w:tcW w:w="843" w:type="dxa"/>
            <w:vAlign w:val="center"/>
          </w:tcPr>
          <w:p>
            <w:pPr>
              <w:pStyle w:val="2001"/>
            </w:pPr>
            <w:r>
              <w:rPr>
                <w:rFonts w:hint="eastAsia"/>
              </w:rPr>
              <w:t>种类</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c>
          <w:tcPr>
            <w:tcW w:w="639" w:type="dxa"/>
            <w:vAlign w:val="center"/>
          </w:tcPr>
          <w:p>
            <w:pPr>
              <w:pStyle w:val="2001"/>
            </w:pPr>
            <w:r>
              <w:rPr>
                <w:rFonts w:hint="eastAsia"/>
              </w:rPr>
              <w:t>2016</w:t>
            </w:r>
          </w:p>
        </w:tc>
        <w:tc>
          <w:tcPr>
            <w:tcW w:w="1602" w:type="dxa"/>
            <w:vAlign w:val="center"/>
          </w:tcPr>
          <w:p>
            <w:pPr>
              <w:pStyle w:val="2001"/>
            </w:pPr>
            <w:r>
              <w:rPr>
                <w:rFonts w:hint="eastAsia"/>
              </w:rPr>
              <w:t>江山双墩码头</w:t>
            </w:r>
          </w:p>
          <w:p>
            <w:pPr>
              <w:pStyle w:val="2001"/>
            </w:pPr>
            <w:r>
              <w:rPr>
                <w:rFonts w:hint="eastAsia"/>
              </w:rPr>
              <w:t>水域</w:t>
            </w:r>
          </w:p>
        </w:tc>
        <w:tc>
          <w:tcPr>
            <w:tcW w:w="1670" w:type="dxa"/>
            <w:vAlign w:val="center"/>
          </w:tcPr>
          <w:p>
            <w:pPr>
              <w:pStyle w:val="2001"/>
            </w:pPr>
            <w:r>
              <w:rPr>
                <w:rFonts w:hint="eastAsia"/>
              </w:rPr>
              <w:t>恒创12</w:t>
            </w:r>
          </w:p>
        </w:tc>
        <w:tc>
          <w:tcPr>
            <w:tcW w:w="1044" w:type="dxa"/>
            <w:vAlign w:val="center"/>
          </w:tcPr>
          <w:p>
            <w:pPr>
              <w:pStyle w:val="2001"/>
            </w:pPr>
            <w:r>
              <w:rPr>
                <w:rFonts w:hint="eastAsia"/>
              </w:rPr>
              <w:t>小事故</w:t>
            </w:r>
          </w:p>
        </w:tc>
        <w:tc>
          <w:tcPr>
            <w:tcW w:w="1044" w:type="dxa"/>
            <w:vAlign w:val="center"/>
          </w:tcPr>
          <w:p>
            <w:pPr>
              <w:pStyle w:val="2001"/>
            </w:pPr>
            <w:r>
              <w:rPr>
                <w:rFonts w:hint="eastAsia"/>
              </w:rPr>
              <w:t>操作失误</w:t>
            </w:r>
          </w:p>
        </w:tc>
        <w:tc>
          <w:tcPr>
            <w:tcW w:w="843" w:type="dxa"/>
            <w:vAlign w:val="center"/>
          </w:tcPr>
          <w:p>
            <w:pPr>
              <w:pStyle w:val="2001"/>
            </w:pPr>
            <w:r>
              <w:rPr>
                <w:rFonts w:hint="eastAsia"/>
              </w:rPr>
              <w:t>污油</w:t>
            </w:r>
          </w:p>
        </w:tc>
        <w:tc>
          <w:tcPr>
            <w:tcW w:w="843" w:type="dxa"/>
            <w:vAlign w:val="center"/>
          </w:tcPr>
          <w:p>
            <w:pPr>
              <w:pStyle w:val="2001"/>
            </w:pPr>
            <w:r>
              <w:t>0.05t</w:t>
            </w:r>
          </w:p>
        </w:tc>
        <w:tc>
          <w:tcPr>
            <w:tcW w:w="843" w:type="dxa"/>
            <w:vAlign w:val="center"/>
          </w:tcPr>
          <w:p>
            <w:pPr>
              <w:pStyle w:val="2001"/>
            </w:pPr>
            <w:r>
              <w:rPr>
                <w:rFonts w:hint="eastAsia"/>
              </w:rPr>
              <w:t>成品油</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c>
          <w:tcPr>
            <w:tcW w:w="639" w:type="dxa"/>
            <w:vAlign w:val="center"/>
          </w:tcPr>
          <w:p>
            <w:pPr>
              <w:pStyle w:val="2001"/>
            </w:pPr>
            <w:r>
              <w:rPr>
                <w:rFonts w:hint="eastAsia"/>
              </w:rPr>
              <w:t>2018</w:t>
            </w:r>
          </w:p>
        </w:tc>
        <w:tc>
          <w:tcPr>
            <w:tcW w:w="1602" w:type="dxa"/>
            <w:vAlign w:val="center"/>
          </w:tcPr>
          <w:p>
            <w:pPr>
              <w:pStyle w:val="2001"/>
            </w:pPr>
            <w:r>
              <w:rPr>
                <w:rFonts w:hint="eastAsia"/>
              </w:rPr>
              <w:t>防城港10#泊位</w:t>
            </w:r>
          </w:p>
        </w:tc>
        <w:tc>
          <w:tcPr>
            <w:tcW w:w="1670" w:type="dxa"/>
            <w:vAlign w:val="center"/>
          </w:tcPr>
          <w:p>
            <w:pPr>
              <w:pStyle w:val="2001"/>
            </w:pPr>
            <w:r>
              <w:t>THERESA DUA</w:t>
            </w:r>
          </w:p>
          <w:p>
            <w:pPr>
              <w:pStyle w:val="2001"/>
            </w:pPr>
            <w:r>
              <w:rPr>
                <w:rFonts w:hint="eastAsia"/>
              </w:rPr>
              <w:t>操作性污染</w:t>
            </w:r>
          </w:p>
        </w:tc>
        <w:tc>
          <w:tcPr>
            <w:tcW w:w="1044" w:type="dxa"/>
            <w:vAlign w:val="center"/>
          </w:tcPr>
          <w:p>
            <w:pPr>
              <w:pStyle w:val="2001"/>
            </w:pPr>
            <w:r>
              <w:rPr>
                <w:rFonts w:hint="eastAsia"/>
              </w:rPr>
              <w:t>小事故</w:t>
            </w:r>
          </w:p>
        </w:tc>
        <w:tc>
          <w:tcPr>
            <w:tcW w:w="1044" w:type="dxa"/>
            <w:vAlign w:val="center"/>
          </w:tcPr>
          <w:p>
            <w:pPr>
              <w:pStyle w:val="2001"/>
            </w:pPr>
            <w:r>
              <w:rPr>
                <w:rFonts w:hint="eastAsia"/>
              </w:rPr>
              <w:t>操作失误</w:t>
            </w:r>
          </w:p>
        </w:tc>
        <w:tc>
          <w:tcPr>
            <w:tcW w:w="843" w:type="dxa"/>
            <w:vAlign w:val="center"/>
          </w:tcPr>
          <w:p>
            <w:pPr>
              <w:pStyle w:val="2001"/>
            </w:pPr>
            <w:r>
              <w:rPr>
                <w:rFonts w:hint="eastAsia"/>
              </w:rPr>
              <w:t>污油</w:t>
            </w:r>
          </w:p>
        </w:tc>
        <w:tc>
          <w:tcPr>
            <w:tcW w:w="843" w:type="dxa"/>
            <w:vAlign w:val="center"/>
          </w:tcPr>
          <w:p>
            <w:pPr>
              <w:pStyle w:val="2001"/>
            </w:pPr>
            <w:r>
              <w:t>0.18t</w:t>
            </w:r>
          </w:p>
        </w:tc>
        <w:tc>
          <w:tcPr>
            <w:tcW w:w="843" w:type="dxa"/>
            <w:vAlign w:val="center"/>
          </w:tcPr>
          <w:p>
            <w:pPr>
              <w:pStyle w:val="2001"/>
            </w:pPr>
            <w:r>
              <w:rPr>
                <w:rFonts w:hint="eastAsia"/>
              </w:rPr>
              <w:t>成品油</w:t>
            </w:r>
          </w:p>
        </w:tc>
      </w:tr>
    </w:tbl>
    <w:p>
      <w:pPr>
        <w:pStyle w:val="1075"/>
        <w:ind w:firstLine="437"/>
        <w:rPr>
          <w:color w:val="000000" w:themeColor="text1"/>
          <w14:textFill>
            <w14:solidFill>
              <w14:schemeClr w14:val="tx1"/>
            </w14:solidFill>
          </w14:textFill>
        </w:rPr>
      </w:pPr>
      <w:r>
        <w:rPr>
          <w:color w:val="000000" w:themeColor="text1"/>
          <w14:textFill>
            <w14:solidFill>
              <w14:schemeClr w14:val="tx1"/>
            </w14:solidFill>
          </w14:textFill>
        </w:rPr>
        <w:t>钦州辖区船舶污染事故统计资料尚不完全，现有的统计资料中，仅2004年12月18日和2009年3月12日的污染事故对泄漏量有统计。2009年3月12日的事故概况如下：2009年3月12日，巴拿马籍“东方梦轮”（散货船）违规穿越航道，在能见度不良的情况下未使用安全航速，导致碰撞“粤阳江货0082轮”（干货船），造成0.5吨燃料油泄漏，沉船1艘，造成直接经济损失230余万元。</w:t>
      </w:r>
    </w:p>
    <w:p>
      <w:pPr>
        <w:pStyle w:val="6"/>
        <w:rPr>
          <w:color w:val="000000" w:themeColor="text1"/>
          <w14:textFill>
            <w14:solidFill>
              <w14:schemeClr w14:val="tx1"/>
            </w14:solidFill>
          </w14:textFill>
        </w:rPr>
      </w:pPr>
      <w:r>
        <w:rPr>
          <w:color w:val="000000" w:themeColor="text1"/>
          <w14:textFill>
            <w14:solidFill>
              <w14:schemeClr w14:val="tx1"/>
            </w14:solidFill>
          </w14:textFill>
        </w:rPr>
        <w:t>风险事故概率分析</w:t>
      </w:r>
    </w:p>
    <w:p>
      <w:pPr>
        <w:pStyle w:val="1075"/>
        <w:ind w:firstLine="437"/>
        <w:rPr>
          <w:color w:val="000000" w:themeColor="text1"/>
          <w14:textFill>
            <w14:solidFill>
              <w14:schemeClr w14:val="tx1"/>
            </w14:solidFill>
          </w14:textFill>
        </w:rPr>
      </w:pPr>
      <w:r>
        <w:rPr>
          <w:color w:val="000000" w:themeColor="text1"/>
          <w14:textFill>
            <w14:solidFill>
              <w14:schemeClr w14:val="tx1"/>
            </w14:solidFill>
          </w14:textFill>
        </w:rPr>
        <w:t>本评价采用钦州港船舶进出港艘次和船舶交通事故数据预测船舶风险事故概率。计算公式如下：</w:t>
      </w:r>
    </w:p>
    <w:p>
      <w:pPr>
        <w:pStyle w:val="1075"/>
        <w:ind w:firstLine="437"/>
        <w:rPr>
          <w:rFonts w:ascii="宋体" w:hAnsi="宋体"/>
          <w:color w:val="000000" w:themeColor="text1"/>
          <w14:textFill>
            <w14:solidFill>
              <w14:schemeClr w14:val="tx1"/>
            </w14:solidFill>
          </w14:textFill>
        </w:rPr>
      </w:pPr>
      <m:oMathPara>
        <m:oMath>
          <m:r>
            <w:rPr>
              <w:rFonts w:ascii="Cambria Math" w:hAnsi="Cambria Math"/>
              <w:color w:val="000000" w:themeColor="text1"/>
              <w14:textFill>
                <w14:solidFill>
                  <w14:schemeClr w14:val="tx1"/>
                </w14:solidFill>
              </w14:textFill>
            </w:rPr>
            <m:t>P=</m:t>
          </m:r>
          <m:f>
            <m:fPr>
              <m:ctrlPr>
                <w:rPr>
                  <w:rFonts w:ascii="Cambria Math" w:hAnsi="Cambria Math"/>
                  <w:color w:val="000000" w:themeColor="text1"/>
                  <w14:textFill>
                    <w14:solidFill>
                      <w14:schemeClr w14:val="tx1"/>
                    </w14:solidFill>
                  </w14:textFill>
                </w:rPr>
              </m:ctrlPr>
            </m:fPr>
            <m:num>
              <m:r>
                <w:rPr>
                  <w:rFonts w:ascii="Cambria Math" w:hAnsi="Cambria Math"/>
                  <w:color w:val="000000" w:themeColor="text1"/>
                  <w14:textFill>
                    <w14:solidFill>
                      <w14:schemeClr w14:val="tx1"/>
                    </w14:solidFill>
                  </w14:textFill>
                </w:rPr>
                <m:t>n</m:t>
              </m:r>
              <m:r>
                <m:rPr>
                  <m:sty m:val="p"/>
                </m:rPr>
                <w:rPr>
                  <w:rFonts w:ascii="Cambria Math" w:hAnsi="Cambria Math"/>
                  <w:color w:val="000000" w:themeColor="text1"/>
                  <w14:textFill>
                    <w14:solidFill>
                      <w14:schemeClr w14:val="tx1"/>
                    </w14:solidFill>
                  </w14:textFill>
                </w:rPr>
                <m:t>年船舶交通事故数</m:t>
              </m:r>
              <m:ctrlPr>
                <w:rPr>
                  <w:rFonts w:ascii="Cambria Math" w:hAnsi="Cambria Math"/>
                  <w:color w:val="000000" w:themeColor="text1"/>
                  <w14:textFill>
                    <w14:solidFill>
                      <w14:schemeClr w14:val="tx1"/>
                    </w14:solidFill>
                  </w14:textFill>
                </w:rPr>
              </m:ctrlPr>
            </m:num>
            <m:den>
              <m:r>
                <w:rPr>
                  <w:rFonts w:ascii="Cambria Math" w:hAnsi="Cambria Math"/>
                  <w:color w:val="000000" w:themeColor="text1"/>
                  <w14:textFill>
                    <w14:solidFill>
                      <w14:schemeClr w14:val="tx1"/>
                    </w14:solidFill>
                  </w14:textFill>
                </w:rPr>
                <m:t>n</m:t>
              </m:r>
              <m:r>
                <m:rPr>
                  <m:sty m:val="p"/>
                </m:rPr>
                <w:rPr>
                  <w:rFonts w:ascii="Cambria Math" w:hAnsi="Cambria Math"/>
                  <w:color w:val="000000" w:themeColor="text1"/>
                  <w14:textFill>
                    <w14:solidFill>
                      <w14:schemeClr w14:val="tx1"/>
                    </w14:solidFill>
                  </w14:textFill>
                </w:rPr>
                <m:t>年船舶进出港艘次</m:t>
              </m:r>
              <m:ctrlPr>
                <w:rPr>
                  <w:rFonts w:ascii="Cambria Math" w:hAnsi="Cambria Math"/>
                  <w:color w:val="000000" w:themeColor="text1"/>
                  <w14:textFill>
                    <w14:solidFill>
                      <w14:schemeClr w14:val="tx1"/>
                    </w14:solidFill>
                  </w14:textFill>
                </w:rPr>
              </m:ctrlPr>
            </m:den>
          </m:f>
          <m:r>
            <w:rPr>
              <w:rFonts w:ascii="Cambria Math" w:hAnsi="Cambria Math"/>
              <w:color w:val="000000" w:themeColor="text1"/>
              <w14:textFill>
                <w14:solidFill>
                  <w14:schemeClr w14:val="tx1"/>
                </w14:solidFill>
              </w14:textFill>
            </w:rPr>
            <m:t>×k×</m:t>
          </m:r>
          <m:r>
            <m:rPr>
              <m:sty m:val="p"/>
            </m:rPr>
            <w:rPr>
              <w:rFonts w:ascii="Cambria Math" w:hAnsi="Cambria Math"/>
              <w:color w:val="000000" w:themeColor="text1"/>
              <w14:textFill>
                <w14:solidFill>
                  <w14:schemeClr w14:val="tx1"/>
                </w14:solidFill>
              </w14:textFill>
            </w:rPr>
            <m:t>本工程船舶艘次数</m:t>
          </m:r>
        </m:oMath>
      </m:oMathPara>
    </w:p>
    <w:p>
      <w:pPr>
        <w:pStyle w:val="1075"/>
        <w:ind w:firstLine="437"/>
        <w:rPr>
          <w:color w:val="000000" w:themeColor="text1"/>
          <w14:textFill>
            <w14:solidFill>
              <w14:schemeClr w14:val="tx1"/>
            </w14:solidFill>
          </w14:textFill>
        </w:rPr>
      </w:pPr>
      <w:r>
        <w:rPr>
          <w:color w:val="000000" w:themeColor="text1"/>
          <w14:textFill>
            <w14:solidFill>
              <w14:schemeClr w14:val="tx1"/>
            </w14:solidFill>
          </w14:textFill>
        </w:rPr>
        <w:t>式中：</w:t>
      </w:r>
      <w:r>
        <w:rPr>
          <w:i/>
          <w:color w:val="000000" w:themeColor="text1"/>
          <w14:textFill>
            <w14:solidFill>
              <w14:schemeClr w14:val="tx1"/>
            </w14:solidFill>
          </w14:textFill>
        </w:rPr>
        <w:t>P</w:t>
      </w:r>
      <w:r>
        <w:rPr>
          <w:color w:val="000000" w:themeColor="text1"/>
          <w14:textFill>
            <w14:solidFill>
              <w14:schemeClr w14:val="tx1"/>
            </w14:solidFill>
          </w14:textFill>
        </w:rPr>
        <w:t>——污染事故概率；</w:t>
      </w:r>
    </w:p>
    <w:p>
      <w:pPr>
        <w:pStyle w:val="1075"/>
        <w:ind w:firstLine="437"/>
        <w:rPr>
          <w:color w:val="000000" w:themeColor="text1"/>
          <w14:textFill>
            <w14:solidFill>
              <w14:schemeClr w14:val="tx1"/>
            </w14:solidFill>
          </w14:textFill>
        </w:rPr>
      </w:pPr>
      <w:r>
        <w:rPr>
          <w:i/>
          <w:color w:val="000000" w:themeColor="text1"/>
          <w14:textFill>
            <w14:solidFill>
              <w14:schemeClr w14:val="tx1"/>
            </w14:solidFill>
          </w14:textFill>
        </w:rPr>
        <w:t>k</w:t>
      </w:r>
      <w:r>
        <w:rPr>
          <w:color w:val="000000" w:themeColor="text1"/>
          <w14:textFill>
            <w14:solidFill>
              <w14:schemeClr w14:val="tx1"/>
            </w14:solidFill>
          </w14:textFill>
        </w:rPr>
        <w:t>——为船舶发生事故后导致的污染事故的概率，取0.10。</w:t>
      </w:r>
    </w:p>
    <w:p>
      <w:pPr>
        <w:pStyle w:val="1075"/>
        <w:ind w:firstLine="437"/>
        <w:rPr>
          <w:color w:val="000000" w:themeColor="text1"/>
          <w14:textFill>
            <w14:solidFill>
              <w14:schemeClr w14:val="tx1"/>
            </w14:solidFill>
          </w14:textFill>
        </w:rPr>
      </w:pPr>
      <w:r>
        <w:rPr>
          <w:color w:val="000000" w:themeColor="text1"/>
          <w14:textFill>
            <w14:solidFill>
              <w14:schemeClr w14:val="tx1"/>
            </w14:solidFill>
          </w14:textFill>
        </w:rPr>
        <w:t>根据统计资料，2011～2018年，钦州港船舶进出港约170500艘次，同期发生船舶交通事故42起。本项目设计代表船型每年进出港船舶约</w:t>
      </w:r>
      <w:r>
        <w:rPr>
          <w:rFonts w:hint="eastAsia"/>
          <w:color w:val="000000" w:themeColor="text1"/>
          <w14:textFill>
            <w14:solidFill>
              <w14:schemeClr w14:val="tx1"/>
            </w14:solidFill>
          </w14:textFill>
        </w:rPr>
        <w:t>140</w:t>
      </w:r>
      <w:r>
        <w:rPr>
          <w:color w:val="000000" w:themeColor="text1"/>
          <w14:textFill>
            <w14:solidFill>
              <w14:schemeClr w14:val="tx1"/>
            </w14:solidFill>
          </w14:textFill>
        </w:rPr>
        <w:t>艘次。</w:t>
      </w:r>
    </w:p>
    <w:p>
      <w:pPr>
        <w:pStyle w:val="1075"/>
        <w:ind w:firstLine="437"/>
        <w:rPr>
          <w:color w:val="000000" w:themeColor="text1"/>
          <w14:textFill>
            <w14:solidFill>
              <w14:schemeClr w14:val="tx1"/>
            </w14:solidFill>
          </w14:textFill>
        </w:rPr>
      </w:pPr>
      <w:r>
        <w:rPr>
          <w:color w:val="000000" w:themeColor="text1"/>
          <w14:textFill>
            <w14:solidFill>
              <w14:schemeClr w14:val="tx1"/>
            </w14:solidFill>
          </w14:textFill>
        </w:rPr>
        <w:t>计算得船舶污染风险事故概率为0.00</w:t>
      </w:r>
      <w:r>
        <w:rPr>
          <w:rFonts w:hint="eastAsia"/>
          <w:color w:val="000000" w:themeColor="text1"/>
          <w14:textFill>
            <w14:solidFill>
              <w14:schemeClr w14:val="tx1"/>
            </w14:solidFill>
          </w14:textFill>
        </w:rPr>
        <w:t>344</w:t>
      </w:r>
      <w:r>
        <w:rPr>
          <w:color w:val="000000" w:themeColor="text1"/>
          <w14:textFill>
            <w14:solidFill>
              <w14:schemeClr w14:val="tx1"/>
            </w14:solidFill>
          </w14:textFill>
        </w:rPr>
        <w:t>次/年。</w:t>
      </w:r>
    </w:p>
    <w:p>
      <w:pPr>
        <w:pStyle w:val="6"/>
        <w:rPr>
          <w:color w:val="000000" w:themeColor="text1"/>
          <w14:textFill>
            <w14:solidFill>
              <w14:schemeClr w14:val="tx1"/>
            </w14:solidFill>
          </w14:textFill>
        </w:rPr>
      </w:pPr>
      <w:bookmarkStart w:id="237" w:name="_Hlk54189422"/>
      <w:r>
        <w:rPr>
          <w:color w:val="000000" w:themeColor="text1"/>
          <w14:textFill>
            <w14:solidFill>
              <w14:schemeClr w14:val="tx1"/>
            </w14:solidFill>
          </w14:textFill>
        </w:rPr>
        <w:t>源项确定</w:t>
      </w:r>
    </w:p>
    <w:p>
      <w:pPr>
        <w:pStyle w:val="1075"/>
        <w:ind w:firstLine="437"/>
        <w:rPr>
          <w:color w:val="000000" w:themeColor="text1"/>
          <w14:textFill>
            <w14:solidFill>
              <w14:schemeClr w14:val="tx1"/>
            </w14:solidFill>
          </w14:textFill>
        </w:rPr>
      </w:pPr>
      <w:r>
        <w:rPr>
          <w:color w:val="000000" w:themeColor="text1"/>
          <w14:textFill>
            <w14:solidFill>
              <w14:schemeClr w14:val="tx1"/>
            </w14:solidFill>
          </w14:textFill>
        </w:rPr>
        <w:t>根据《水上溢油环境风险评估技术导则》（JT-T1143-2017），新建水运工程建设项目的可能最大水上溢油事故溢油量，</w:t>
      </w:r>
      <w:bookmarkStart w:id="238" w:name="_Hlk103883830"/>
      <w:r>
        <w:rPr>
          <w:color w:val="000000" w:themeColor="text1"/>
          <w14:textFill>
            <w14:solidFill>
              <w14:schemeClr w14:val="tx1"/>
            </w14:solidFill>
          </w14:textFill>
        </w:rPr>
        <w:t>按照靠泊</w:t>
      </w:r>
      <w:r>
        <w:rPr>
          <w:rFonts w:hint="eastAsia"/>
          <w:color w:val="000000" w:themeColor="text1"/>
          <w14:textFill>
            <w14:solidFill>
              <w14:schemeClr w14:val="tx1"/>
            </w14:solidFill>
          </w14:textFill>
        </w:rPr>
        <w:t>单艘</w:t>
      </w:r>
      <w:r>
        <w:rPr>
          <w:color w:val="000000" w:themeColor="text1"/>
          <w14:textFill>
            <w14:solidFill>
              <w14:schemeClr w14:val="tx1"/>
            </w14:solidFill>
          </w14:textFill>
        </w:rPr>
        <w:t>设计代表船型的</w:t>
      </w:r>
      <w:r>
        <w:rPr>
          <w:rFonts w:hint="eastAsia"/>
          <w:color w:val="000000" w:themeColor="text1"/>
          <w14:textFill>
            <w14:solidFill>
              <w14:schemeClr w14:val="tx1"/>
            </w14:solidFill>
          </w14:textFill>
        </w:rPr>
        <w:t>单</w:t>
      </w:r>
      <w:r>
        <w:rPr>
          <w:color w:val="000000" w:themeColor="text1"/>
          <w14:textFill>
            <w14:solidFill>
              <w14:schemeClr w14:val="tx1"/>
            </w14:solidFill>
          </w14:textFill>
        </w:rPr>
        <w:t>个货油边舱或燃料油边舱的容积确定。本工程设计代表船型为</w:t>
      </w:r>
      <w:r>
        <w:rPr>
          <w:rFonts w:hint="eastAsia"/>
          <w:color w:val="000000" w:themeColor="text1"/>
          <w14:textFill>
            <w14:solidFill>
              <w14:schemeClr w14:val="tx1"/>
            </w14:solidFill>
          </w14:textFill>
        </w:rPr>
        <w:t>20万吨级集装箱</w:t>
      </w:r>
      <w:r>
        <w:rPr>
          <w:color w:val="000000" w:themeColor="text1"/>
          <w14:textFill>
            <w14:solidFill>
              <w14:schemeClr w14:val="tx1"/>
            </w14:solidFill>
          </w14:textFill>
        </w:rPr>
        <w:t>船</w:t>
      </w:r>
      <w:bookmarkEnd w:id="238"/>
      <w:r>
        <w:rPr>
          <w:rFonts w:hint="eastAsia"/>
          <w:color w:val="000000" w:themeColor="text1"/>
          <w14:textFill>
            <w14:solidFill>
              <w14:schemeClr w14:val="tx1"/>
            </w14:solidFill>
          </w14:textFill>
        </w:rPr>
        <w:t>。</w:t>
      </w:r>
    </w:p>
    <w:p>
      <w:pPr>
        <w:pStyle w:val="1075"/>
        <w:ind w:firstLine="437"/>
        <w:rPr>
          <w:color w:val="000000" w:themeColor="text1"/>
          <w14:textFill>
            <w14:solidFill>
              <w14:schemeClr w14:val="tx1"/>
            </w14:solidFill>
          </w14:textFill>
        </w:rPr>
      </w:pPr>
      <w:r>
        <w:rPr>
          <w:color w:val="000000" w:themeColor="text1"/>
          <w14:textFill>
            <w14:solidFill>
              <w14:schemeClr w14:val="tx1"/>
            </w14:solidFill>
          </w14:textFill>
        </w:rPr>
        <w:t>船用燃料油数量依据《水上溢油环境风险评估技术导则》（JTT1143-2017）附录C中</w:t>
      </w:r>
      <w:r>
        <w:rPr>
          <w:rFonts w:hint="eastAsia"/>
          <w:color w:val="000000" w:themeColor="text1"/>
          <w14:textFill>
            <w14:solidFill>
              <w14:schemeClr w14:val="tx1"/>
            </w14:solidFill>
          </w14:textFill>
        </w:rPr>
        <w:t>给定的集装箱船载重吨位最大为8万吨级，未规定本项目扩建后靠泊船舶20万吨级集装箱船燃油舱单舱燃油量，因此，参照表C.6中给定的25万吨级散货船单舱燃油量2040m</w:t>
      </w:r>
      <w:r>
        <w:rPr>
          <w:rFonts w:hint="eastAsia"/>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，且对照表C.6、表C.7可知同等吨级集装箱船单舱燃油量大于散货船，综上，本项目20万吨级集装箱船燃油量取2500m</w:t>
      </w:r>
      <w:r>
        <w:rPr>
          <w:rFonts w:hint="eastAsia"/>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w:t>
      </w:r>
    </w:p>
    <w:p>
      <w:pPr>
        <w:pStyle w:val="384"/>
        <w:ind w:left="0" w:firstLine="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本工程</w:t>
      </w:r>
      <w:bookmarkStart w:id="239" w:name="_Hlk103884623"/>
      <w:r>
        <w:rPr>
          <w:rFonts w:hint="eastAsia" w:cs="Times New Roman"/>
          <w:color w:val="000000" w:themeColor="text1"/>
          <w14:textFill>
            <w14:solidFill>
              <w14:schemeClr w14:val="tx1"/>
            </w14:solidFill>
          </w14:textFill>
        </w:rPr>
        <w:t>海损</w:t>
      </w:r>
      <w:r>
        <w:rPr>
          <w:rFonts w:cs="Times New Roman"/>
          <w:color w:val="000000" w:themeColor="text1"/>
          <w14:textFill>
            <w14:solidFill>
              <w14:schemeClr w14:val="tx1"/>
            </w14:solidFill>
          </w14:textFill>
        </w:rPr>
        <w:t>泄漏事故源项</w:t>
      </w:r>
      <w:bookmarkEnd w:id="239"/>
      <w:r>
        <w:rPr>
          <w:rFonts w:cs="Times New Roman"/>
          <w:color w:val="000000" w:themeColor="text1"/>
          <w14:textFill>
            <w14:solidFill>
              <w14:schemeClr w14:val="tx1"/>
            </w14:solidFill>
          </w14:textFill>
        </w:rPr>
        <w:t>一览表</w:t>
      </w:r>
    </w:p>
    <w:tbl>
      <w:tblPr>
        <w:tblStyle w:val="436"/>
        <w:tblW w:w="8528" w:type="dxa"/>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2132"/>
        <w:gridCol w:w="2130"/>
        <w:gridCol w:w="1782"/>
        <w:gridCol w:w="2484"/>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364" w:hRule="exact"/>
        </w:trPr>
        <w:tc>
          <w:tcPr>
            <w:tcW w:w="2132" w:type="dxa"/>
            <w:vAlign w:val="center"/>
          </w:tcPr>
          <w:p>
            <w:pPr>
              <w:pStyle w:val="2001"/>
              <w:rPr>
                <w:lang w:eastAsia="en-US"/>
              </w:rPr>
            </w:pPr>
            <w:bookmarkStart w:id="240" w:name="_Hlk103883863"/>
            <w:r>
              <w:rPr>
                <w:lang w:eastAsia="en-US"/>
              </w:rPr>
              <w:t>事故类型</w:t>
            </w:r>
          </w:p>
        </w:tc>
        <w:tc>
          <w:tcPr>
            <w:tcW w:w="2130" w:type="dxa"/>
            <w:vAlign w:val="center"/>
          </w:tcPr>
          <w:p>
            <w:pPr>
              <w:pStyle w:val="2001"/>
              <w:rPr>
                <w:lang w:eastAsia="en-US"/>
              </w:rPr>
            </w:pPr>
            <w:r>
              <w:rPr>
                <w:lang w:eastAsia="en-US"/>
              </w:rPr>
              <w:t>发生位置</w:t>
            </w:r>
          </w:p>
        </w:tc>
        <w:tc>
          <w:tcPr>
            <w:tcW w:w="1782" w:type="dxa"/>
            <w:vAlign w:val="center"/>
          </w:tcPr>
          <w:p>
            <w:pPr>
              <w:pStyle w:val="2001"/>
              <w:rPr>
                <w:lang w:eastAsia="en-US"/>
              </w:rPr>
            </w:pPr>
            <w:r>
              <w:rPr>
                <w:lang w:eastAsia="en-US"/>
              </w:rPr>
              <w:t>典型泄漏货种</w:t>
            </w:r>
          </w:p>
        </w:tc>
        <w:tc>
          <w:tcPr>
            <w:tcW w:w="2484" w:type="dxa"/>
            <w:vAlign w:val="center"/>
          </w:tcPr>
          <w:p>
            <w:pPr>
              <w:pStyle w:val="2001"/>
              <w:rPr>
                <w:lang w:eastAsia="en-US"/>
              </w:rPr>
            </w:pPr>
            <w:r>
              <w:rPr>
                <w:lang w:eastAsia="en-US"/>
              </w:rPr>
              <w:t>泄漏量（吨）</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354" w:hRule="exact"/>
        </w:trPr>
        <w:tc>
          <w:tcPr>
            <w:tcW w:w="2132" w:type="dxa"/>
            <w:vAlign w:val="center"/>
          </w:tcPr>
          <w:p>
            <w:pPr>
              <w:pStyle w:val="2001"/>
              <w:rPr>
                <w:lang w:eastAsia="en-US"/>
              </w:rPr>
            </w:pPr>
            <w:r>
              <w:rPr>
                <w:rFonts w:hint="eastAsia"/>
              </w:rPr>
              <w:t>海损</w:t>
            </w:r>
          </w:p>
        </w:tc>
        <w:tc>
          <w:tcPr>
            <w:tcW w:w="2130" w:type="dxa"/>
            <w:vAlign w:val="center"/>
          </w:tcPr>
          <w:p>
            <w:pPr>
              <w:pStyle w:val="2001"/>
              <w:rPr>
                <w:lang w:eastAsia="en-US"/>
              </w:rPr>
            </w:pPr>
            <w:r>
              <w:t>港池水域</w:t>
            </w:r>
          </w:p>
        </w:tc>
        <w:tc>
          <w:tcPr>
            <w:tcW w:w="1782" w:type="dxa"/>
            <w:vAlign w:val="center"/>
          </w:tcPr>
          <w:p>
            <w:pPr>
              <w:pStyle w:val="2001"/>
            </w:pPr>
            <w:r>
              <w:t>燃油</w:t>
            </w:r>
          </w:p>
        </w:tc>
        <w:tc>
          <w:tcPr>
            <w:tcW w:w="2484" w:type="dxa"/>
            <w:vAlign w:val="center"/>
          </w:tcPr>
          <w:p>
            <w:pPr>
              <w:pStyle w:val="2001"/>
            </w:pPr>
            <w:r>
              <w:rPr>
                <w:rFonts w:hint="eastAsia"/>
              </w:rPr>
              <w:t>2500</w:t>
            </w:r>
          </w:p>
        </w:tc>
      </w:tr>
      <w:bookmarkEnd w:id="237"/>
      <w:bookmarkEnd w:id="240"/>
    </w:tbl>
    <w:p>
      <w:pPr>
        <w:pStyle w:val="5"/>
        <w:rPr>
          <w:color w:val="000000" w:themeColor="text1"/>
          <w14:textFill>
            <w14:solidFill>
              <w14:schemeClr w14:val="tx1"/>
            </w14:solidFill>
          </w14:textFill>
        </w:rPr>
      </w:pPr>
      <w:r>
        <w:rPr>
          <w:color w:val="000000" w:themeColor="text1"/>
          <w14:textFill>
            <w14:solidFill>
              <w14:schemeClr w14:val="tx1"/>
            </w14:solidFill>
          </w14:textFill>
        </w:rPr>
        <w:t>溢油事故风险影响分析</w:t>
      </w:r>
    </w:p>
    <w:p>
      <w:pPr>
        <w:pStyle w:val="6"/>
        <w:rPr>
          <w:color w:val="000000" w:themeColor="text1"/>
          <w14:textFill>
            <w14:solidFill>
              <w14:schemeClr w14:val="tx1"/>
            </w14:solidFill>
          </w14:textFill>
        </w:rPr>
      </w:pPr>
      <w:bookmarkStart w:id="241" w:name="_Toc54201999"/>
      <w:r>
        <w:rPr>
          <w:color w:val="000000" w:themeColor="text1"/>
          <w14:textFill>
            <w14:solidFill>
              <w14:schemeClr w14:val="tx1"/>
            </w14:solidFill>
          </w14:textFill>
        </w:rPr>
        <w:t>溢油风险事故影响评估</w:t>
      </w:r>
      <w:bookmarkEnd w:id="241"/>
    </w:p>
    <w:p>
      <w:pPr>
        <w:pStyle w:val="1075"/>
        <w:ind w:firstLine="439"/>
        <w:rPr>
          <w:b/>
          <w:color w:val="000000" w:themeColor="text1"/>
          <w14:textFill>
            <w14:solidFill>
              <w14:schemeClr w14:val="tx1"/>
            </w14:solidFill>
          </w14:textFill>
        </w:rPr>
      </w:pPr>
      <w:bookmarkStart w:id="242" w:name="_Toc54202000"/>
      <w:bookmarkStart w:id="243" w:name="_Toc369854893"/>
      <w:r>
        <w:rPr>
          <w:b/>
          <w:color w:val="000000" w:themeColor="text1"/>
          <w14:textFill>
            <w14:solidFill>
              <w14:schemeClr w14:val="tx1"/>
            </w14:solidFill>
          </w14:textFill>
        </w:rPr>
        <w:t>一、溢油的物理与化学变化过程</w:t>
      </w:r>
      <w:bookmarkEnd w:id="242"/>
    </w:p>
    <w:bookmarkEnd w:id="243"/>
    <w:p>
      <w:pPr>
        <w:pStyle w:val="1075"/>
        <w:ind w:firstLine="437"/>
        <w:rPr>
          <w:color w:val="000000" w:themeColor="text1"/>
          <w14:textFill>
            <w14:solidFill>
              <w14:schemeClr w14:val="tx1"/>
            </w14:solidFill>
          </w14:textFill>
        </w:rPr>
      </w:pPr>
      <w:r>
        <w:rPr>
          <w:color w:val="000000" w:themeColor="text1"/>
          <w14:textFill>
            <w14:solidFill>
              <w14:schemeClr w14:val="tx1"/>
            </w14:solidFill>
          </w14:textFill>
        </w:rPr>
        <w:t>（1）对流与扩散原理</w:t>
      </w:r>
    </w:p>
    <w:p>
      <w:pPr>
        <w:pStyle w:val="1075"/>
        <w:ind w:firstLine="437"/>
        <w:rPr>
          <w:color w:val="000000" w:themeColor="text1"/>
          <w14:textFill>
            <w14:solidFill>
              <w14:schemeClr w14:val="tx1"/>
            </w14:solidFill>
          </w14:textFill>
        </w:rPr>
      </w:pPr>
      <w:r>
        <w:rPr>
          <w:color w:val="000000" w:themeColor="text1"/>
          <w14:textFill>
            <w14:solidFill>
              <w14:schemeClr w14:val="tx1"/>
            </w14:solidFill>
          </w14:textFill>
        </w:rPr>
        <w:t>溢油在水面上运动主要是通过对流与扩散进行的。对流主要受制于油膜上方的风与油膜下方的水流。溢油的扩展是重力、惯性力、摩擦力、粘性与表面张力之间的动力学平衡导致的现象。风对油膜的影响表现为风所产生的漂流。一般采用风漂流流速等于风速的3%。油膜的扩散（或扩宽）也是极为复杂的过程。对此Bonit（1992）与Fay（1969、1971）有详细的研究。但这些研究多局限于静止水面上的油膜，油膜的扩展分为3个阶段：惯性阶段、粘性阶段和表面张力阶段。</w:t>
      </w:r>
    </w:p>
    <w:p>
      <w:pPr>
        <w:pStyle w:val="1075"/>
        <w:ind w:firstLine="437"/>
        <w:rPr>
          <w:color w:val="000000" w:themeColor="text1"/>
          <w14:textFill>
            <w14:solidFill>
              <w14:schemeClr w14:val="tx1"/>
            </w14:solidFill>
          </w14:textFill>
        </w:rPr>
      </w:pPr>
      <w:r>
        <w:rPr>
          <w:color w:val="000000" w:themeColor="text1"/>
          <w14:textFill>
            <w14:solidFill>
              <w14:schemeClr w14:val="tx1"/>
            </w14:solidFill>
          </w14:textFill>
        </w:rPr>
        <w:t>（2）蒸发</w:t>
      </w:r>
    </w:p>
    <w:p>
      <w:pPr>
        <w:pStyle w:val="1075"/>
        <w:ind w:firstLine="437"/>
        <w:rPr>
          <w:color w:val="000000" w:themeColor="text1"/>
          <w14:textFill>
            <w14:solidFill>
              <w14:schemeClr w14:val="tx1"/>
            </w14:solidFill>
          </w14:textFill>
        </w:rPr>
      </w:pPr>
      <w:r>
        <w:rPr>
          <w:color w:val="000000" w:themeColor="text1"/>
          <w14:textFill>
            <w14:solidFill>
              <w14:schemeClr w14:val="tx1"/>
            </w14:solidFill>
          </w14:textFill>
        </w:rPr>
        <w:t>1/2～2/3的溢油在几小时与一天的时间内会蒸发掉。由于蒸发，油膜的物理与化学性质将产生重要的变化。由于蒸发依赖于多种因素。而且这些因素又在随时发生变化，要准确地计算蒸发率是困难的。进入海洋的溢油的蒸发速率与油的类型、风速、温度以及溢油面积等因素有关。现采用Mackay和Leinonen提出的模型，计算溢油的蒸发量。蒸发通量为：</w:t>
      </w:r>
    </w:p>
    <w:p>
      <w:pPr>
        <w:adjustRightInd w:val="0"/>
        <w:snapToGrid w:val="0"/>
        <w:spacing w:line="360" w:lineRule="auto"/>
        <w:ind w:firstLine="182" w:firstLineChars="83"/>
        <w:jc w:val="center"/>
        <w:rPr>
          <w:color w:val="000000" w:themeColor="text1"/>
          <w:szCs w:val="22"/>
          <w14:textFill>
            <w14:solidFill>
              <w14:schemeClr w14:val="tx1"/>
            </w14:solidFill>
          </w14:textFill>
        </w:rPr>
      </w:pPr>
      <w:r>
        <w:rPr>
          <w:color w:val="000000" w:themeColor="text1"/>
          <w:szCs w:val="22"/>
          <w14:textFill>
            <w14:solidFill>
              <w14:schemeClr w14:val="tx1"/>
            </w14:solidFill>
          </w14:textFill>
        </w:rPr>
        <w:drawing>
          <wp:inline distT="0" distB="0" distL="0" distR="0">
            <wp:extent cx="2293620" cy="251460"/>
            <wp:effectExtent l="0" t="0" r="0" b="0"/>
            <wp:docPr id="554"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4" name="图片 49"/>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a:xfrm>
                      <a:off x="0" y="0"/>
                      <a:ext cx="2293620" cy="251460"/>
                    </a:xfrm>
                    <a:prstGeom prst="rect">
                      <a:avLst/>
                    </a:prstGeom>
                    <a:noFill/>
                    <a:ln>
                      <a:noFill/>
                    </a:ln>
                  </pic:spPr>
                </pic:pic>
              </a:graphicData>
            </a:graphic>
          </wp:inline>
        </w:drawing>
      </w:r>
    </w:p>
    <w:p>
      <w:pPr>
        <w:pStyle w:val="1075"/>
        <w:ind w:firstLine="437"/>
        <w:rPr>
          <w:color w:val="000000" w:themeColor="text1"/>
          <w14:textFill>
            <w14:solidFill>
              <w14:schemeClr w14:val="tx1"/>
            </w14:solidFill>
          </w14:textFill>
        </w:rPr>
      </w:pPr>
      <w:r>
        <w:rPr>
          <w:color w:val="000000" w:themeColor="text1"/>
          <w14:textFill>
            <w14:solidFill>
              <w14:schemeClr w14:val="tx1"/>
            </w14:solidFill>
          </w14:textFill>
        </w:rPr>
        <w:t>式中：</w:t>
      </w:r>
      <w:r>
        <w:rPr>
          <w:color w:val="000000" w:themeColor="text1"/>
          <w14:textFill>
            <w14:solidFill>
              <w14:schemeClr w14:val="tx1"/>
            </w14:solidFill>
          </w14:textFill>
        </w:rPr>
        <w:drawing>
          <wp:inline distT="0" distB="0" distL="0" distR="0">
            <wp:extent cx="205740" cy="220980"/>
            <wp:effectExtent l="0" t="0" r="3810" b="7620"/>
            <wp:docPr id="555"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5" name="图片 48"/>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a:xfrm>
                      <a:off x="0" y="0"/>
                      <a:ext cx="205740" cy="220980"/>
                    </a:xfrm>
                    <a:prstGeom prst="rect">
                      <a:avLst/>
                    </a:prstGeom>
                    <a:noFill/>
                    <a:ln>
                      <a:noFill/>
                    </a:ln>
                  </pic:spPr>
                </pic:pic>
              </a:graphicData>
            </a:graphic>
          </wp:inline>
        </w:drawing>
      </w:r>
      <w:r>
        <w:rPr>
          <w:color w:val="000000" w:themeColor="text1"/>
          <w14:textFill>
            <w14:solidFill>
              <w14:schemeClr w14:val="tx1"/>
            </w14:solidFill>
          </w14:textFill>
        </w:rPr>
        <w:t>——蒸发油质量变化系数；</w:t>
      </w:r>
    </w:p>
    <w:p>
      <w:pPr>
        <w:pStyle w:val="1075"/>
        <w:ind w:firstLine="437"/>
        <w:rPr>
          <w:color w:val="000000" w:themeColor="text1"/>
          <w14:textFill>
            <w14:solidFill>
              <w14:schemeClr w14:val="tx1"/>
            </w14:solidFill>
          </w14:textFill>
        </w:rPr>
      </w:pPr>
      <w:r>
        <w:rPr>
          <w:color w:val="000000" w:themeColor="text1"/>
          <w14:textFill>
            <w14:solidFill>
              <w14:schemeClr w14:val="tx1"/>
            </w14:solidFill>
          </w14:textFill>
        </w:rPr>
        <w:drawing>
          <wp:inline distT="0" distB="0" distL="0" distR="0">
            <wp:extent cx="182880" cy="220980"/>
            <wp:effectExtent l="0" t="0" r="7620" b="7620"/>
            <wp:docPr id="556"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6" name="图片 47"/>
                    <pic:cNvPicPr>
                      <a:picLocks noChangeAspect="1" noChangeArrowheads="1"/>
                    </pic:cNvPicPr>
                  </pic:nvPicPr>
                  <pic:blipFill>
                    <a:blip r:embed="rId179" cstate="print">
                      <a:extLst>
                        <a:ext uri="{28A0092B-C50C-407E-A947-70E740481C1C}">
                          <a14:useLocalDpi xmlns:a14="http://schemas.microsoft.com/office/drawing/2010/main" val="0"/>
                        </a:ext>
                      </a:extLst>
                    </a:blip>
                    <a:srcRect/>
                    <a:stretch>
                      <a:fillRect/>
                    </a:stretch>
                  </pic:blipFill>
                  <pic:spPr>
                    <a:xfrm>
                      <a:off x="0" y="0"/>
                      <a:ext cx="182880" cy="220980"/>
                    </a:xfrm>
                    <a:prstGeom prst="rect">
                      <a:avLst/>
                    </a:prstGeom>
                    <a:noFill/>
                    <a:ln>
                      <a:noFill/>
                    </a:ln>
                  </pic:spPr>
                </pic:pic>
              </a:graphicData>
            </a:graphic>
          </wp:inline>
        </w:drawing>
      </w:r>
      <w:r>
        <w:rPr>
          <w:color w:val="000000" w:themeColor="text1"/>
          <w14:textFill>
            <w14:solidFill>
              <w14:schemeClr w14:val="tx1"/>
            </w14:solidFill>
          </w14:textFill>
        </w:rPr>
        <w:t>——溢油中第</w:t>
      </w:r>
      <w:r>
        <w:rPr>
          <w:color w:val="000000" w:themeColor="text1"/>
          <w14:textFill>
            <w14:solidFill>
              <w14:schemeClr w14:val="tx1"/>
            </w14:solidFill>
          </w14:textFill>
        </w:rPr>
        <w:drawing>
          <wp:inline distT="0" distB="0" distL="0" distR="0">
            <wp:extent cx="83820" cy="167640"/>
            <wp:effectExtent l="0" t="0" r="0" b="3810"/>
            <wp:docPr id="557"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7" name="图片 46"/>
                    <pic:cNvPicPr>
                      <a:picLocks noChangeAspect="1" noChangeArrowheads="1"/>
                    </pic:cNvPicPr>
                  </pic:nvPicPr>
                  <pic:blipFill>
                    <a:blip r:embed="rId180" cstate="print">
                      <a:extLst>
                        <a:ext uri="{28A0092B-C50C-407E-A947-70E740481C1C}">
                          <a14:useLocalDpi xmlns:a14="http://schemas.microsoft.com/office/drawing/2010/main" val="0"/>
                        </a:ext>
                      </a:extLst>
                    </a:blip>
                    <a:srcRect/>
                    <a:stretch>
                      <a:fillRect/>
                    </a:stretch>
                  </pic:blipFill>
                  <pic:spPr>
                    <a:xfrm>
                      <a:off x="0" y="0"/>
                      <a:ext cx="83820" cy="167640"/>
                    </a:xfrm>
                    <a:prstGeom prst="rect">
                      <a:avLst/>
                    </a:prstGeom>
                    <a:noFill/>
                    <a:ln>
                      <a:noFill/>
                    </a:ln>
                  </pic:spPr>
                </pic:pic>
              </a:graphicData>
            </a:graphic>
          </wp:inline>
        </w:drawing>
      </w:r>
      <w:r>
        <w:rPr>
          <w:color w:val="000000" w:themeColor="text1"/>
          <w14:textFill>
            <w14:solidFill>
              <w14:schemeClr w14:val="tx1"/>
            </w14:solidFill>
          </w14:textFill>
        </w:rPr>
        <w:t>种组分的浓度，mole/e；</w:t>
      </w:r>
    </w:p>
    <w:p>
      <w:pPr>
        <w:pStyle w:val="1075"/>
        <w:ind w:firstLine="437"/>
        <w:rPr>
          <w:color w:val="000000" w:themeColor="text1"/>
          <w14:textFill>
            <w14:solidFill>
              <w14:schemeClr w14:val="tx1"/>
            </w14:solidFill>
          </w14:textFill>
        </w:rPr>
      </w:pPr>
      <w:r>
        <w:rPr>
          <w:color w:val="000000" w:themeColor="text1"/>
          <w14:textFill>
            <w14:solidFill>
              <w14:schemeClr w14:val="tx1"/>
            </w14:solidFill>
          </w14:textFill>
        </w:rPr>
        <w:drawing>
          <wp:inline distT="0" distB="0" distL="0" distR="0">
            <wp:extent cx="152400" cy="220980"/>
            <wp:effectExtent l="0" t="0" r="0" b="7620"/>
            <wp:docPr id="558"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8" name="图片 45"/>
                    <pic:cNvPicPr>
                      <a:picLocks noChangeAspect="1" noChangeArrowheads="1"/>
                    </pic:cNvPicPr>
                  </pic:nvPicPr>
                  <pic:blipFill>
                    <a:blip r:embed="rId181" cstate="print">
                      <a:extLst>
                        <a:ext uri="{28A0092B-C50C-407E-A947-70E740481C1C}">
                          <a14:useLocalDpi xmlns:a14="http://schemas.microsoft.com/office/drawing/2010/main" val="0"/>
                        </a:ext>
                      </a:extLst>
                    </a:blip>
                    <a:srcRect/>
                    <a:stretch>
                      <a:fillRect/>
                    </a:stretch>
                  </pic:blipFill>
                  <pic:spPr>
                    <a:xfrm>
                      <a:off x="0" y="0"/>
                      <a:ext cx="152400" cy="220980"/>
                    </a:xfrm>
                    <a:prstGeom prst="rect">
                      <a:avLst/>
                    </a:prstGeom>
                    <a:noFill/>
                    <a:ln>
                      <a:noFill/>
                    </a:ln>
                  </pic:spPr>
                </pic:pic>
              </a:graphicData>
            </a:graphic>
          </wp:inline>
        </w:drawing>
      </w:r>
      <w:r>
        <w:rPr>
          <w:color w:val="000000" w:themeColor="text1"/>
          <w14:textFill>
            <w14:solidFill>
              <w14:schemeClr w14:val="tx1"/>
            </w14:solidFill>
          </w14:textFill>
        </w:rPr>
        <w:t>——一定温度下，第</w:t>
      </w:r>
      <w:r>
        <w:rPr>
          <w:color w:val="000000" w:themeColor="text1"/>
          <w14:textFill>
            <w14:solidFill>
              <w14:schemeClr w14:val="tx1"/>
            </w14:solidFill>
          </w14:textFill>
        </w:rPr>
        <w:drawing>
          <wp:inline distT="0" distB="0" distL="0" distR="0">
            <wp:extent cx="83820" cy="167640"/>
            <wp:effectExtent l="0" t="0" r="0" b="3810"/>
            <wp:docPr id="559"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9" name="图片 44"/>
                    <pic:cNvPicPr>
                      <a:picLocks noChangeAspect="1" noChangeArrowheads="1"/>
                    </pic:cNvPicPr>
                  </pic:nvPicPr>
                  <pic:blipFill>
                    <a:blip r:embed="rId180" cstate="print">
                      <a:extLst>
                        <a:ext uri="{28A0092B-C50C-407E-A947-70E740481C1C}">
                          <a14:useLocalDpi xmlns:a14="http://schemas.microsoft.com/office/drawing/2010/main" val="0"/>
                        </a:ext>
                      </a:extLst>
                    </a:blip>
                    <a:srcRect/>
                    <a:stretch>
                      <a:fillRect/>
                    </a:stretch>
                  </pic:blipFill>
                  <pic:spPr>
                    <a:xfrm>
                      <a:off x="0" y="0"/>
                      <a:ext cx="83820" cy="167640"/>
                    </a:xfrm>
                    <a:prstGeom prst="rect">
                      <a:avLst/>
                    </a:prstGeom>
                    <a:noFill/>
                    <a:ln>
                      <a:noFill/>
                    </a:ln>
                  </pic:spPr>
                </pic:pic>
              </a:graphicData>
            </a:graphic>
          </wp:inline>
        </w:drawing>
      </w:r>
      <w:r>
        <w:rPr>
          <w:color w:val="000000" w:themeColor="text1"/>
          <w14:textFill>
            <w14:solidFill>
              <w14:schemeClr w14:val="tx1"/>
            </w14:solidFill>
          </w14:textFill>
        </w:rPr>
        <w:t>种组分的蒸汽压力；</w:t>
      </w:r>
    </w:p>
    <w:p>
      <w:pPr>
        <w:pStyle w:val="1075"/>
        <w:ind w:firstLine="437"/>
        <w:rPr>
          <w:color w:val="000000" w:themeColor="text1"/>
          <w14:textFill>
            <w14:solidFill>
              <w14:schemeClr w14:val="tx1"/>
            </w14:solidFill>
          </w14:textFill>
        </w:rPr>
      </w:pPr>
      <w:r>
        <w:rPr>
          <w:color w:val="000000" w:themeColor="text1"/>
          <w14:textFill>
            <w14:solidFill>
              <w14:schemeClr w14:val="tx1"/>
            </w14:solidFill>
          </w14:textFill>
        </w:rPr>
        <w:drawing>
          <wp:inline distT="0" distB="0" distL="0" distR="0">
            <wp:extent cx="152400" cy="167640"/>
            <wp:effectExtent l="0" t="0" r="0" b="3810"/>
            <wp:docPr id="560"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0" name="图片 43"/>
                    <pic:cNvPicPr>
                      <a:picLocks noChangeAspect="1"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a:xfrm>
                      <a:off x="0" y="0"/>
                      <a:ext cx="152400" cy="167640"/>
                    </a:xfrm>
                    <a:prstGeom prst="rect">
                      <a:avLst/>
                    </a:prstGeom>
                    <a:noFill/>
                    <a:ln>
                      <a:noFill/>
                    </a:ln>
                  </pic:spPr>
                </pic:pic>
              </a:graphicData>
            </a:graphic>
          </wp:inline>
        </w:drawing>
      </w:r>
      <w:r>
        <w:rPr>
          <w:color w:val="000000" w:themeColor="text1"/>
          <w14:textFill>
            <w14:solidFill>
              <w14:schemeClr w14:val="tx1"/>
            </w14:solidFill>
          </w14:textFill>
        </w:rPr>
        <w:t>——普通气体常数；</w:t>
      </w:r>
    </w:p>
    <w:p>
      <w:pPr>
        <w:adjustRightInd w:val="0"/>
        <w:snapToGrid w:val="0"/>
        <w:spacing w:line="360" w:lineRule="auto"/>
        <w:ind w:firstLine="438" w:firstLineChars="200"/>
        <w:rPr>
          <w:color w:val="000000" w:themeColor="text1"/>
          <w:szCs w:val="22"/>
          <w14:textFill>
            <w14:solidFill>
              <w14:schemeClr w14:val="tx1"/>
            </w14:solidFill>
          </w14:textFill>
        </w:rPr>
      </w:pPr>
      <w:r>
        <w:rPr>
          <w:color w:val="000000" w:themeColor="text1"/>
          <w:szCs w:val="22"/>
          <w14:textFill>
            <w14:solidFill>
              <w14:schemeClr w14:val="tx1"/>
            </w14:solidFill>
          </w14:textFill>
        </w:rPr>
        <w:drawing>
          <wp:inline distT="0" distB="0" distL="0" distR="0">
            <wp:extent cx="144780" cy="167640"/>
            <wp:effectExtent l="0" t="0" r="7620" b="3810"/>
            <wp:docPr id="561"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1" name="图片 42"/>
                    <pic:cNvPicPr>
                      <a:picLocks noChangeAspect="1" noChangeArrowheads="1"/>
                    </pic:cNvPicPr>
                  </pic:nvPicPr>
                  <pic:blipFill>
                    <a:blip r:embed="rId183" cstate="print">
                      <a:extLst>
                        <a:ext uri="{28A0092B-C50C-407E-A947-70E740481C1C}">
                          <a14:useLocalDpi xmlns:a14="http://schemas.microsoft.com/office/drawing/2010/main" val="0"/>
                        </a:ext>
                      </a:extLst>
                    </a:blip>
                    <a:srcRect/>
                    <a:stretch>
                      <a:fillRect/>
                    </a:stretch>
                  </pic:blipFill>
                  <pic:spPr>
                    <a:xfrm>
                      <a:off x="0" y="0"/>
                      <a:ext cx="144780" cy="167640"/>
                    </a:xfrm>
                    <a:prstGeom prst="rect">
                      <a:avLst/>
                    </a:prstGeom>
                    <a:noFill/>
                    <a:ln>
                      <a:noFill/>
                    </a:ln>
                  </pic:spPr>
                </pic:pic>
              </a:graphicData>
            </a:graphic>
          </wp:inline>
        </w:drawing>
      </w:r>
      <w:r>
        <w:rPr>
          <w:color w:val="000000" w:themeColor="text1"/>
          <w:szCs w:val="22"/>
          <w14:textFill>
            <w14:solidFill>
              <w14:schemeClr w14:val="tx1"/>
            </w14:solidFill>
          </w14:textFill>
        </w:rPr>
        <w:t>——油面上的空气温度，°K。</w:t>
      </w:r>
    </w:p>
    <w:p>
      <w:pPr>
        <w:pStyle w:val="1075"/>
        <w:ind w:firstLine="437"/>
        <w:rPr>
          <w:color w:val="000000" w:themeColor="text1"/>
          <w14:textFill>
            <w14:solidFill>
              <w14:schemeClr w14:val="tx1"/>
            </w14:solidFill>
          </w14:textFill>
        </w:rPr>
      </w:pPr>
      <w:r>
        <w:rPr>
          <w:color w:val="000000" w:themeColor="text1"/>
          <w14:textFill>
            <w14:solidFill>
              <w14:schemeClr w14:val="tx1"/>
            </w14:solidFill>
          </w14:textFill>
        </w:rPr>
        <w:t>（3）溶解</w:t>
      </w:r>
    </w:p>
    <w:p>
      <w:pPr>
        <w:pStyle w:val="1075"/>
        <w:ind w:firstLine="437"/>
        <w:rPr>
          <w:color w:val="000000" w:themeColor="text1"/>
          <w14:textFill>
            <w14:solidFill>
              <w14:schemeClr w14:val="tx1"/>
            </w14:solidFill>
          </w14:textFill>
        </w:rPr>
      </w:pPr>
      <w:r>
        <w:rPr>
          <w:color w:val="000000" w:themeColor="text1"/>
          <w14:textFill>
            <w14:solidFill>
              <w14:schemeClr w14:val="tx1"/>
            </w14:solidFill>
          </w14:textFill>
        </w:rPr>
        <w:t>溶解于水的碳氢化合物对于水中生物系统存在着潜在毒性，但溢油的溶解不会达到百分之几的程度，所以从溢油量损失的观点看他们是无关紧要的。这说明在分析油膜的运动时可以不考虑溶解率。</w:t>
      </w:r>
    </w:p>
    <w:p>
      <w:pPr>
        <w:pStyle w:val="1075"/>
        <w:ind w:firstLine="437"/>
        <w:rPr>
          <w:color w:val="000000" w:themeColor="text1"/>
          <w14:textFill>
            <w14:solidFill>
              <w14:schemeClr w14:val="tx1"/>
            </w14:solidFill>
          </w14:textFill>
        </w:rPr>
      </w:pPr>
      <w:r>
        <w:rPr>
          <w:color w:val="000000" w:themeColor="text1"/>
          <w14:textFill>
            <w14:solidFill>
              <w14:schemeClr w14:val="tx1"/>
            </w14:solidFill>
          </w14:textFill>
        </w:rPr>
        <w:t>（4）垂直扩散或垂直运输</w:t>
      </w:r>
    </w:p>
    <w:p>
      <w:pPr>
        <w:pStyle w:val="1075"/>
        <w:ind w:firstLine="437"/>
        <w:rPr>
          <w:color w:val="000000" w:themeColor="text1"/>
          <w14:textFill>
            <w14:solidFill>
              <w14:schemeClr w14:val="tx1"/>
            </w14:solidFill>
          </w14:textFill>
        </w:rPr>
      </w:pPr>
      <w:r>
        <w:rPr>
          <w:color w:val="000000" w:themeColor="text1"/>
          <w14:textFill>
            <w14:solidFill>
              <w14:schemeClr w14:val="tx1"/>
            </w14:solidFill>
          </w14:textFill>
        </w:rPr>
        <w:t>垂向分散作用对油膜寿命的评估也是必不可少的。垂向分散率的大小主要取决海况，但也受到溢油相关参数的影响，比如溢油的厚度、溢油属性（密度、表面张力和粘度等）。乳化过程对溢油寿命造成的重大影响在于其所造成的溢油粘度的猛增以及含水率的增加导致的溢油厚度的增大。</w:t>
      </w:r>
    </w:p>
    <w:p>
      <w:pPr>
        <w:pStyle w:val="1075"/>
        <w:ind w:firstLine="437"/>
        <w:rPr>
          <w:color w:val="000000" w:themeColor="text1"/>
          <w14:textFill>
            <w14:solidFill>
              <w14:schemeClr w14:val="tx1"/>
            </w14:solidFill>
          </w14:textFill>
        </w:rPr>
      </w:pPr>
      <w:r>
        <w:rPr>
          <w:color w:val="000000" w:themeColor="text1"/>
          <w14:textFill>
            <w14:solidFill>
              <w14:schemeClr w14:val="tx1"/>
            </w14:solidFill>
          </w14:textFill>
        </w:rPr>
        <w:t>（5）乳化乳胶的形成</w:t>
      </w:r>
    </w:p>
    <w:p>
      <w:pPr>
        <w:pStyle w:val="1075"/>
        <w:ind w:firstLine="437"/>
        <w:rPr>
          <w:color w:val="000000" w:themeColor="text1"/>
          <w14:textFill>
            <w14:solidFill>
              <w14:schemeClr w14:val="tx1"/>
            </w14:solidFill>
          </w14:textFill>
        </w:rPr>
      </w:pPr>
      <w:r>
        <w:rPr>
          <w:color w:val="000000" w:themeColor="text1"/>
          <w14:textFill>
            <w14:solidFill>
              <w14:schemeClr w14:val="tx1"/>
            </w14:solidFill>
          </w14:textFill>
        </w:rPr>
        <w:t>重质原油具有较高的粘性，一般形成较稳定的乳胶状油，而沥青烯与高分子量蜡的存在乳胶的形成密切相关。溢油的含水率（乳化率）往往是采用何种溢油应急器材的重要依据。由于溢油的乳化作用，溢油的粘度会逐渐升高，甚至能高达130000～170000mm</w:t>
      </w:r>
      <w:r>
        <w:rPr>
          <w:color w:val="000000" w:themeColor="text1"/>
          <w:vertAlign w:val="superscript"/>
          <w14:textFill>
            <w14:solidFill>
              <w14:schemeClr w14:val="tx1"/>
            </w14:solidFill>
          </w14:textFill>
        </w:rPr>
        <w:t>2</w:t>
      </w:r>
      <w:r>
        <w:rPr>
          <w:color w:val="000000" w:themeColor="text1"/>
          <w14:textFill>
            <w14:solidFill>
              <w14:schemeClr w14:val="tx1"/>
            </w14:solidFill>
          </w14:textFill>
        </w:rPr>
        <w:t>/s，影响了溢油应急器材的性能。因此，溢油含水率的计算在溢油预测中尤为重要。由于水包油形成“巧克力冻”的机理尚不明确，本文仅计算油包水混合物中的含水率。含水率的计算，较为广泛使用的是Mackay et al.（1980）提出的计算公式：</w:t>
      </w:r>
    </w:p>
    <w:p>
      <w:pPr>
        <w:adjustRightInd w:val="0"/>
        <w:snapToGrid w:val="0"/>
        <w:spacing w:line="360" w:lineRule="auto"/>
        <w:ind w:firstLine="460" w:firstLineChars="210"/>
        <w:jc w:val="center"/>
        <w:rPr>
          <w:color w:val="000000" w:themeColor="text1"/>
          <w:szCs w:val="22"/>
          <w14:textFill>
            <w14:solidFill>
              <w14:schemeClr w14:val="tx1"/>
            </w14:solidFill>
          </w14:textFill>
        </w:rPr>
      </w:pPr>
      <w:r>
        <w:rPr>
          <w:color w:val="000000" w:themeColor="text1"/>
          <w:szCs w:val="22"/>
          <w14:textFill>
            <w14:solidFill>
              <w14:schemeClr w14:val="tx1"/>
            </w14:solidFill>
          </w14:textFill>
        </w:rPr>
        <w:drawing>
          <wp:inline distT="0" distB="0" distL="0" distR="0">
            <wp:extent cx="1889760" cy="441960"/>
            <wp:effectExtent l="0" t="0" r="0" b="0"/>
            <wp:docPr id="562"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2" name="图片 41"/>
                    <pic:cNvPicPr>
                      <a:picLocks noChangeAspect="1" noChangeArrowheads="1"/>
                    </pic:cNvPicPr>
                  </pic:nvPicPr>
                  <pic:blipFill>
                    <a:blip r:embed="rId184" cstate="print">
                      <a:extLst>
                        <a:ext uri="{28A0092B-C50C-407E-A947-70E740481C1C}">
                          <a14:useLocalDpi xmlns:a14="http://schemas.microsoft.com/office/drawing/2010/main" val="0"/>
                        </a:ext>
                      </a:extLst>
                    </a:blip>
                    <a:srcRect/>
                    <a:stretch>
                      <a:fillRect/>
                    </a:stretch>
                  </pic:blipFill>
                  <pic:spPr>
                    <a:xfrm>
                      <a:off x="0" y="0"/>
                      <a:ext cx="1889760" cy="441960"/>
                    </a:xfrm>
                    <a:prstGeom prst="rect">
                      <a:avLst/>
                    </a:prstGeom>
                    <a:noFill/>
                    <a:ln>
                      <a:noFill/>
                    </a:ln>
                  </pic:spPr>
                </pic:pic>
              </a:graphicData>
            </a:graphic>
          </wp:inline>
        </w:drawing>
      </w:r>
    </w:p>
    <w:p>
      <w:pPr>
        <w:pStyle w:val="1075"/>
        <w:ind w:firstLine="437"/>
        <w:rPr>
          <w:color w:val="000000" w:themeColor="text1"/>
          <w14:textFill>
            <w14:solidFill>
              <w14:schemeClr w14:val="tx1"/>
            </w14:solidFill>
          </w14:textFill>
        </w:rPr>
      </w:pPr>
      <w:r>
        <w:rPr>
          <w:color w:val="000000" w:themeColor="text1"/>
          <w14:textFill>
            <w14:solidFill>
              <w14:schemeClr w14:val="tx1"/>
            </w14:solidFill>
          </w14:textFill>
        </w:rPr>
        <w:t>式中：</w:t>
      </w:r>
      <w:r>
        <w:rPr>
          <w:color w:val="000000" w:themeColor="text1"/>
          <w14:textFill>
            <w14:solidFill>
              <w14:schemeClr w14:val="tx1"/>
            </w14:solidFill>
          </w14:textFill>
        </w:rPr>
        <w:drawing>
          <wp:inline distT="0" distB="0" distL="0" distR="0">
            <wp:extent cx="236220" cy="220980"/>
            <wp:effectExtent l="0" t="0" r="0" b="7620"/>
            <wp:docPr id="563"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3" name="图片 40"/>
                    <pic:cNvPicPr>
                      <a:picLocks noChangeAspect="1" noChangeArrowheads="1"/>
                    </pic:cNvPicPr>
                  </pic:nvPicPr>
                  <pic:blipFill>
                    <a:blip r:embed="rId185" cstate="print">
                      <a:extLst>
                        <a:ext uri="{28A0092B-C50C-407E-A947-70E740481C1C}">
                          <a14:useLocalDpi xmlns:a14="http://schemas.microsoft.com/office/drawing/2010/main" val="0"/>
                        </a:ext>
                      </a:extLst>
                    </a:blip>
                    <a:srcRect/>
                    <a:stretch>
                      <a:fillRect/>
                    </a:stretch>
                  </pic:blipFill>
                  <pic:spPr>
                    <a:xfrm>
                      <a:off x="0" y="0"/>
                      <a:ext cx="236220" cy="220980"/>
                    </a:xfrm>
                    <a:prstGeom prst="rect">
                      <a:avLst/>
                    </a:prstGeom>
                    <a:noFill/>
                    <a:ln>
                      <a:noFill/>
                    </a:ln>
                  </pic:spPr>
                </pic:pic>
              </a:graphicData>
            </a:graphic>
          </wp:inline>
        </w:drawing>
      </w:r>
      <w:r>
        <w:rPr>
          <w:color w:val="000000" w:themeColor="text1"/>
          <w14:textFill>
            <w14:solidFill>
              <w14:schemeClr w14:val="tx1"/>
            </w14:solidFill>
          </w14:textFill>
        </w:rPr>
        <w:t>——乳化液中水的体积分数；</w:t>
      </w:r>
    </w:p>
    <w:p>
      <w:pPr>
        <w:pStyle w:val="1075"/>
        <w:ind w:firstLine="437"/>
        <w:rPr>
          <w:color w:val="000000" w:themeColor="text1"/>
          <w14:textFill>
            <w14:solidFill>
              <w14:schemeClr w14:val="tx1"/>
            </w14:solidFill>
          </w14:textFill>
        </w:rPr>
      </w:pPr>
      <w:r>
        <w:rPr>
          <w:color w:val="000000" w:themeColor="text1"/>
          <w14:textFill>
            <w14:solidFill>
              <w14:schemeClr w14:val="tx1"/>
            </w14:solidFill>
          </w14:textFill>
        </w:rPr>
        <w:drawing>
          <wp:inline distT="0" distB="0" distL="0" distR="0">
            <wp:extent cx="220980" cy="220980"/>
            <wp:effectExtent l="0" t="0" r="7620" b="7620"/>
            <wp:docPr id="564"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4" name="图片 39"/>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a:xfrm>
                      <a:off x="0" y="0"/>
                      <a:ext cx="220980" cy="220980"/>
                    </a:xfrm>
                    <a:prstGeom prst="rect">
                      <a:avLst/>
                    </a:prstGeom>
                    <a:noFill/>
                    <a:ln>
                      <a:noFill/>
                    </a:ln>
                  </pic:spPr>
                </pic:pic>
              </a:graphicData>
            </a:graphic>
          </wp:inline>
        </w:drawing>
      </w:r>
      <w:r>
        <w:rPr>
          <w:color w:val="000000" w:themeColor="text1"/>
          <w14:textFill>
            <w14:solidFill>
              <w14:schemeClr w14:val="tx1"/>
            </w14:solidFill>
          </w14:textFill>
        </w:rPr>
        <w:t>——是一个经验常数，其取值在1.0e</w:t>
      </w:r>
      <w:r>
        <w:rPr>
          <w:color w:val="000000" w:themeColor="text1"/>
          <w:vertAlign w:val="superscript"/>
          <w14:textFill>
            <w14:solidFill>
              <w14:schemeClr w14:val="tx1"/>
            </w14:solidFill>
          </w14:textFill>
        </w:rPr>
        <w:t>-6</w:t>
      </w:r>
      <w:r>
        <w:rPr>
          <w:color w:val="000000" w:themeColor="text1"/>
          <w14:textFill>
            <w14:solidFill>
              <w14:schemeClr w14:val="tx1"/>
            </w14:solidFill>
          </w14:textFill>
        </w:rPr>
        <w:t>和2.0e</w:t>
      </w:r>
      <w:r>
        <w:rPr>
          <w:color w:val="000000" w:themeColor="text1"/>
          <w:vertAlign w:val="superscript"/>
          <w14:textFill>
            <w14:solidFill>
              <w14:schemeClr w14:val="tx1"/>
            </w14:solidFill>
          </w14:textFill>
        </w:rPr>
        <w:t>-6</w:t>
      </w:r>
      <w:r>
        <w:rPr>
          <w:color w:val="000000" w:themeColor="text1"/>
          <w14:textFill>
            <w14:solidFill>
              <w14:schemeClr w14:val="tx1"/>
            </w14:solidFill>
          </w14:textFill>
        </w:rPr>
        <w:t>之间，本文中取为1.6e</w:t>
      </w:r>
      <w:r>
        <w:rPr>
          <w:color w:val="000000" w:themeColor="text1"/>
          <w:vertAlign w:val="superscript"/>
          <w14:textFill>
            <w14:solidFill>
              <w14:schemeClr w14:val="tx1"/>
            </w14:solidFill>
          </w14:textFill>
        </w:rPr>
        <w:t>-6</w:t>
      </w:r>
      <w:r>
        <w:rPr>
          <w:color w:val="000000" w:themeColor="text1"/>
          <w14:textFill>
            <w14:solidFill>
              <w14:schemeClr w14:val="tx1"/>
            </w14:solidFill>
          </w14:textFill>
        </w:rPr>
        <w:t>（NOAA, 1994）；</w:t>
      </w:r>
    </w:p>
    <w:p>
      <w:pPr>
        <w:pStyle w:val="1075"/>
        <w:ind w:firstLine="437"/>
        <w:rPr>
          <w:color w:val="000000" w:themeColor="text1"/>
          <w14:textFill>
            <w14:solidFill>
              <w14:schemeClr w14:val="tx1"/>
            </w14:solidFill>
          </w14:textFill>
        </w:rPr>
      </w:pPr>
      <w:r>
        <w:rPr>
          <w:color w:val="000000" w:themeColor="text1"/>
          <w14:textFill>
            <w14:solidFill>
              <w14:schemeClr w14:val="tx1"/>
            </w14:solidFill>
          </w14:textFill>
        </w:rPr>
        <w:drawing>
          <wp:inline distT="0" distB="0" distL="0" distR="0">
            <wp:extent cx="175260" cy="175260"/>
            <wp:effectExtent l="0" t="0" r="0" b="0"/>
            <wp:docPr id="565"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5" name="图片 38"/>
                    <pic:cNvPicPr>
                      <a:picLocks noChangeAspect="1" noChangeArrowheads="1"/>
                    </pic:cNvPicPr>
                  </pic:nvPicPr>
                  <pic:blipFill>
                    <a:blip r:embed="rId187" cstate="print">
                      <a:extLst>
                        <a:ext uri="{28A0092B-C50C-407E-A947-70E740481C1C}">
                          <a14:useLocalDpi xmlns:a14="http://schemas.microsoft.com/office/drawing/2010/main" val="0"/>
                        </a:ext>
                      </a:extLst>
                    </a:blip>
                    <a:srcRect/>
                    <a:stretch>
                      <a:fillRect/>
                    </a:stretch>
                  </pic:blipFill>
                  <pic:spPr>
                    <a:xfrm>
                      <a:off x="0" y="0"/>
                      <a:ext cx="175260" cy="175260"/>
                    </a:xfrm>
                    <a:prstGeom prst="rect">
                      <a:avLst/>
                    </a:prstGeom>
                    <a:noFill/>
                    <a:ln>
                      <a:noFill/>
                    </a:ln>
                  </pic:spPr>
                </pic:pic>
              </a:graphicData>
            </a:graphic>
          </wp:inline>
        </w:drawing>
      </w:r>
      <w:r>
        <w:rPr>
          <w:color w:val="000000" w:themeColor="text1"/>
          <w14:textFill>
            <w14:solidFill>
              <w14:schemeClr w14:val="tx1"/>
            </w14:solidFill>
          </w14:textFill>
        </w:rPr>
        <w:t>——海表面10m以上的风速；</w:t>
      </w:r>
    </w:p>
    <w:p>
      <w:pPr>
        <w:pStyle w:val="1075"/>
        <w:ind w:firstLine="437"/>
        <w:rPr>
          <w:color w:val="000000" w:themeColor="text1"/>
          <w14:textFill>
            <w14:solidFill>
              <w14:schemeClr w14:val="tx1"/>
            </w14:solidFill>
          </w14:textFill>
        </w:rPr>
      </w:pPr>
      <w:r>
        <w:rPr>
          <w:color w:val="000000" w:themeColor="text1"/>
          <w14:textFill>
            <w14:solidFill>
              <w14:schemeClr w14:val="tx1"/>
            </w14:solidFill>
          </w14:textFill>
        </w:rPr>
        <w:drawing>
          <wp:inline distT="0" distB="0" distL="0" distR="0">
            <wp:extent cx="441960" cy="251460"/>
            <wp:effectExtent l="0" t="0" r="0" b="0"/>
            <wp:docPr id="566"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6" name="图片 37"/>
                    <pic:cNvPicPr>
                      <a:picLocks noChangeAspect="1" noChangeArrowheads="1"/>
                    </pic:cNvPicPr>
                  </pic:nvPicPr>
                  <pic:blipFill>
                    <a:blip r:embed="rId188" cstate="print">
                      <a:extLst>
                        <a:ext uri="{28A0092B-C50C-407E-A947-70E740481C1C}">
                          <a14:useLocalDpi xmlns:a14="http://schemas.microsoft.com/office/drawing/2010/main" val="0"/>
                        </a:ext>
                      </a:extLst>
                    </a:blip>
                    <a:srcRect/>
                    <a:stretch>
                      <a:fillRect/>
                    </a:stretch>
                  </pic:blipFill>
                  <pic:spPr>
                    <a:xfrm>
                      <a:off x="0" y="0"/>
                      <a:ext cx="441960" cy="251460"/>
                    </a:xfrm>
                    <a:prstGeom prst="rect">
                      <a:avLst/>
                    </a:prstGeom>
                    <a:noFill/>
                    <a:ln>
                      <a:noFill/>
                    </a:ln>
                  </pic:spPr>
                </pic:pic>
              </a:graphicData>
            </a:graphic>
          </wp:inline>
        </w:drawing>
      </w:r>
      <w:r>
        <w:rPr>
          <w:color w:val="000000" w:themeColor="text1"/>
          <w14:textFill>
            <w14:solidFill>
              <w14:schemeClr w14:val="tx1"/>
            </w14:solidFill>
          </w14:textFill>
        </w:rPr>
        <w:t>——该种油品最终能形成的最大含水率，其取值一般建立在实验室数据之上。</w:t>
      </w:r>
    </w:p>
    <w:p>
      <w:pPr>
        <w:pStyle w:val="1075"/>
        <w:ind w:firstLine="437"/>
        <w:rPr>
          <w:color w:val="000000" w:themeColor="text1"/>
          <w14:textFill>
            <w14:solidFill>
              <w14:schemeClr w14:val="tx1"/>
            </w14:solidFill>
          </w14:textFill>
        </w:rPr>
      </w:pPr>
      <w:r>
        <w:rPr>
          <w:color w:val="000000" w:themeColor="text1"/>
          <w14:textFill>
            <w14:solidFill>
              <w14:schemeClr w14:val="tx1"/>
            </w14:solidFill>
          </w14:textFill>
        </w:rPr>
        <w:t>（6）沉积</w:t>
      </w:r>
    </w:p>
    <w:p>
      <w:pPr>
        <w:pStyle w:val="1075"/>
        <w:ind w:firstLine="437"/>
        <w:rPr>
          <w:color w:val="000000" w:themeColor="text1"/>
          <w14:textFill>
            <w14:solidFill>
              <w14:schemeClr w14:val="tx1"/>
            </w14:solidFill>
          </w14:textFill>
        </w:rPr>
      </w:pPr>
      <w:r>
        <w:rPr>
          <w:color w:val="000000" w:themeColor="text1"/>
          <w14:textFill>
            <w14:solidFill>
              <w14:schemeClr w14:val="tx1"/>
            </w14:solidFill>
          </w14:textFill>
        </w:rPr>
        <w:t>各种形式的油都有可能被沉积物颗粒吸附沉于水底或粘结在岸边。在淤泥质沉积物中油的渗透是最小的，只有上层几厘米才会受到影响。</w:t>
      </w:r>
    </w:p>
    <w:p>
      <w:pPr>
        <w:pStyle w:val="1075"/>
        <w:ind w:firstLine="437"/>
        <w:rPr>
          <w:color w:val="000000" w:themeColor="text1"/>
          <w14:textFill>
            <w14:solidFill>
              <w14:schemeClr w14:val="tx1"/>
            </w14:solidFill>
          </w14:textFill>
        </w:rPr>
      </w:pPr>
      <w:r>
        <w:rPr>
          <w:color w:val="000000" w:themeColor="text1"/>
          <w14:textFill>
            <w14:solidFill>
              <w14:schemeClr w14:val="tx1"/>
            </w14:solidFill>
          </w14:textFill>
        </w:rPr>
        <w:t>总之，对流与扩散是影响溢油的最重要的过程，他们能改变油膜的位置；蒸发和其他的变化过程在溢油风险预报中亦应尽可能考虑，但是要全面地对溢油风险作出预测，目前还很困难，尤其是对于生态系统的影响需进行大量的现场实验与理论分析工作。本评价报告只是通过溢油的对流与扩散的数值模型给出溢油油膜分布的大致轮廓，从这些轮廓可以预测到溢油的最大危害可能出现在什么地方，以及它所能影响的海域范围，旨在为溢油应急决策提供技术参考。</w:t>
      </w:r>
    </w:p>
    <w:p>
      <w:pPr>
        <w:pStyle w:val="1075"/>
        <w:ind w:firstLine="439"/>
        <w:rPr>
          <w:b/>
          <w:color w:val="000000" w:themeColor="text1"/>
          <w14:textFill>
            <w14:solidFill>
              <w14:schemeClr w14:val="tx1"/>
            </w14:solidFill>
          </w14:textFill>
        </w:rPr>
      </w:pPr>
      <w:bookmarkStart w:id="244" w:name="_Toc54202001"/>
      <w:bookmarkStart w:id="245" w:name="_Toc369854894"/>
      <w:r>
        <w:rPr>
          <w:b/>
          <w:color w:val="000000" w:themeColor="text1"/>
          <w14:textFill>
            <w14:solidFill>
              <w14:schemeClr w14:val="tx1"/>
            </w14:solidFill>
          </w14:textFill>
        </w:rPr>
        <w:t>二、油膜轨迹预测</w:t>
      </w:r>
      <w:bookmarkEnd w:id="244"/>
    </w:p>
    <w:p>
      <w:pPr>
        <w:pStyle w:val="1075"/>
        <w:ind w:firstLine="437"/>
        <w:rPr>
          <w:color w:val="000000" w:themeColor="text1"/>
          <w14:textFill>
            <w14:solidFill>
              <w14:schemeClr w14:val="tx1"/>
            </w14:solidFill>
          </w14:textFill>
        </w:rPr>
      </w:pPr>
      <w:r>
        <w:rPr>
          <w:color w:val="000000" w:themeColor="text1"/>
          <w14:textFill>
            <w14:solidFill>
              <w14:schemeClr w14:val="tx1"/>
            </w14:solidFill>
          </w14:textFill>
        </w:rPr>
        <w:t>1、油膜轨迹预测</w:t>
      </w:r>
      <w:bookmarkEnd w:id="245"/>
    </w:p>
    <w:p>
      <w:pPr>
        <w:pStyle w:val="1075"/>
        <w:ind w:firstLine="437"/>
        <w:rPr>
          <w:color w:val="000000" w:themeColor="text1"/>
          <w14:textFill>
            <w14:solidFill>
              <w14:schemeClr w14:val="tx1"/>
            </w14:solidFill>
          </w14:textFill>
        </w:rPr>
      </w:pPr>
      <w:r>
        <w:rPr>
          <w:color w:val="000000" w:themeColor="text1"/>
          <w14:textFill>
            <w14:solidFill>
              <w14:schemeClr w14:val="tx1"/>
            </w14:solidFill>
          </w14:textFill>
        </w:rPr>
        <w:t>（1）泄漏油油膜中心点运移轨迹计算</w:t>
      </w:r>
    </w:p>
    <w:p>
      <w:pPr>
        <w:pStyle w:val="1075"/>
        <w:ind w:firstLine="437"/>
        <w:rPr>
          <w:color w:val="000000" w:themeColor="text1"/>
          <w14:textFill>
            <w14:solidFill>
              <w14:schemeClr w14:val="tx1"/>
            </w14:solidFill>
          </w14:textFill>
        </w:rPr>
      </w:pPr>
      <w:r>
        <w:rPr>
          <w:color w:val="000000" w:themeColor="text1"/>
          <w14:textFill>
            <w14:solidFill>
              <w14:schemeClr w14:val="tx1"/>
            </w14:solidFill>
          </w14:textFill>
        </w:rPr>
        <w:t>海流在风作用下，形成风生流。计算海流、风共生流采用Hoult经验公式，即：</w:t>
      </w:r>
    </w:p>
    <w:p>
      <w:pPr>
        <w:pStyle w:val="1075"/>
        <w:ind w:firstLine="437"/>
        <w:rPr>
          <w:color w:val="000000" w:themeColor="text1"/>
          <w14:textFill>
            <w14:solidFill>
              <w14:schemeClr w14:val="tx1"/>
            </w14:solidFill>
          </w14:textFill>
        </w:rPr>
      </w:pPr>
      <w:r>
        <w:rPr>
          <w:color w:val="000000" w:themeColor="text1"/>
          <w14:textFill>
            <w14:solidFill>
              <w14:schemeClr w14:val="tx1"/>
            </w14:solidFill>
          </w14:textFill>
        </w:rPr>
        <w:drawing>
          <wp:inline distT="0" distB="0" distL="0" distR="0">
            <wp:extent cx="1264920" cy="259080"/>
            <wp:effectExtent l="0" t="0" r="0" b="7620"/>
            <wp:docPr id="567"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7" name="图片 36"/>
                    <pic:cNvPicPr>
                      <a:picLocks noChangeAspect="1" noChangeArrowheads="1"/>
                    </pic:cNvPicPr>
                  </pic:nvPicPr>
                  <pic:blipFill>
                    <a:blip r:embed="rId189" cstate="print">
                      <a:extLst>
                        <a:ext uri="{28A0092B-C50C-407E-A947-70E740481C1C}">
                          <a14:useLocalDpi xmlns:a14="http://schemas.microsoft.com/office/drawing/2010/main" val="0"/>
                        </a:ext>
                      </a:extLst>
                    </a:blip>
                    <a:srcRect/>
                    <a:stretch>
                      <a:fillRect/>
                    </a:stretch>
                  </pic:blipFill>
                  <pic:spPr>
                    <a:xfrm>
                      <a:off x="0" y="0"/>
                      <a:ext cx="1264920" cy="259080"/>
                    </a:xfrm>
                    <a:prstGeom prst="rect">
                      <a:avLst/>
                    </a:prstGeom>
                    <a:noFill/>
                    <a:ln>
                      <a:noFill/>
                    </a:ln>
                  </pic:spPr>
                </pic:pic>
              </a:graphicData>
            </a:graphic>
          </wp:inline>
        </w:drawing>
      </w:r>
    </w:p>
    <w:p>
      <w:pPr>
        <w:pStyle w:val="1075"/>
        <w:ind w:firstLine="437"/>
        <w:rPr>
          <w:color w:val="000000" w:themeColor="text1"/>
          <w14:textFill>
            <w14:solidFill>
              <w14:schemeClr w14:val="tx1"/>
            </w14:solidFill>
          </w14:textFill>
        </w:rPr>
      </w:pPr>
      <w:r>
        <w:rPr>
          <w:color w:val="000000" w:themeColor="text1"/>
          <w14:textFill>
            <w14:solidFill>
              <w14:schemeClr w14:val="tx1"/>
            </w14:solidFill>
          </w14:textFill>
        </w:rPr>
        <w:t>式中：</w:t>
      </w:r>
      <w:r>
        <w:rPr>
          <w:color w:val="000000" w:themeColor="text1"/>
          <w14:textFill>
            <w14:solidFill>
              <w14:schemeClr w14:val="tx1"/>
            </w14:solidFill>
          </w14:textFill>
        </w:rPr>
        <w:drawing>
          <wp:inline distT="0" distB="0" distL="0" distR="0">
            <wp:extent cx="198120" cy="220980"/>
            <wp:effectExtent l="0" t="0" r="0" b="7620"/>
            <wp:docPr id="568"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8" name="图片 35"/>
                    <pic:cNvPicPr>
                      <a:picLocks noChangeAspect="1" noChangeArrowheads="1"/>
                    </pic:cNvPicPr>
                  </pic:nvPicPr>
                  <pic:blipFill>
                    <a:blip r:embed="rId190" cstate="print">
                      <a:extLst>
                        <a:ext uri="{28A0092B-C50C-407E-A947-70E740481C1C}">
                          <a14:useLocalDpi xmlns:a14="http://schemas.microsoft.com/office/drawing/2010/main" val="0"/>
                        </a:ext>
                      </a:extLst>
                    </a:blip>
                    <a:srcRect/>
                    <a:stretch>
                      <a:fillRect/>
                    </a:stretch>
                  </pic:blipFill>
                  <pic:spPr>
                    <a:xfrm>
                      <a:off x="0" y="0"/>
                      <a:ext cx="198120" cy="220980"/>
                    </a:xfrm>
                    <a:prstGeom prst="rect">
                      <a:avLst/>
                    </a:prstGeom>
                    <a:noFill/>
                    <a:ln>
                      <a:noFill/>
                    </a:ln>
                  </pic:spPr>
                </pic:pic>
              </a:graphicData>
            </a:graphic>
          </wp:inline>
        </w:drawing>
      </w:r>
      <w:r>
        <w:rPr>
          <w:color w:val="000000" w:themeColor="text1"/>
          <w14:textFill>
            <w14:solidFill>
              <w14:schemeClr w14:val="tx1"/>
            </w14:solidFill>
          </w14:textFill>
        </w:rPr>
        <w:t>——油膜扩散速度，</w:t>
      </w:r>
      <w:r>
        <w:rPr>
          <w:color w:val="000000" w:themeColor="text1"/>
          <w14:textFill>
            <w14:solidFill>
              <w14:schemeClr w14:val="tx1"/>
            </w14:solidFill>
          </w14:textFill>
        </w:rPr>
        <w:drawing>
          <wp:inline distT="0" distB="0" distL="0" distR="0">
            <wp:extent cx="198120" cy="220980"/>
            <wp:effectExtent l="0" t="0" r="0" b="7620"/>
            <wp:docPr id="569"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9" name="图片 34"/>
                    <pic:cNvPicPr>
                      <a:picLocks noChangeAspect="1" noChangeArrowheads="1"/>
                    </pic:cNvPicPr>
                  </pic:nvPicPr>
                  <pic:blipFill>
                    <a:blip r:embed="rId191" cstate="print">
                      <a:extLst>
                        <a:ext uri="{28A0092B-C50C-407E-A947-70E740481C1C}">
                          <a14:useLocalDpi xmlns:a14="http://schemas.microsoft.com/office/drawing/2010/main" val="0"/>
                        </a:ext>
                      </a:extLst>
                    </a:blip>
                    <a:srcRect/>
                    <a:stretch>
                      <a:fillRect/>
                    </a:stretch>
                  </pic:blipFill>
                  <pic:spPr>
                    <a:xfrm>
                      <a:off x="0" y="0"/>
                      <a:ext cx="198120" cy="220980"/>
                    </a:xfrm>
                    <a:prstGeom prst="rect">
                      <a:avLst/>
                    </a:prstGeom>
                    <a:noFill/>
                    <a:ln>
                      <a:noFill/>
                    </a:ln>
                  </pic:spPr>
                </pic:pic>
              </a:graphicData>
            </a:graphic>
          </wp:inline>
        </w:drawing>
      </w:r>
      <w:r>
        <w:rPr>
          <w:color w:val="000000" w:themeColor="text1"/>
          <w14:textFill>
            <w14:solidFill>
              <w14:schemeClr w14:val="tx1"/>
            </w14:solidFill>
          </w14:textFill>
        </w:rPr>
        <w:t>=0；</w:t>
      </w:r>
    </w:p>
    <w:p>
      <w:pPr>
        <w:pStyle w:val="1075"/>
        <w:ind w:firstLine="437"/>
        <w:rPr>
          <w:color w:val="000000" w:themeColor="text1"/>
          <w14:textFill>
            <w14:solidFill>
              <w14:schemeClr w14:val="tx1"/>
            </w14:solidFill>
          </w14:textFill>
        </w:rPr>
      </w:pPr>
      <w:r>
        <w:rPr>
          <w:color w:val="000000" w:themeColor="text1"/>
          <w14:textFill>
            <w14:solidFill>
              <w14:schemeClr w14:val="tx1"/>
            </w14:solidFill>
          </w14:textFill>
        </w:rPr>
        <w:drawing>
          <wp:inline distT="0" distB="0" distL="0" distR="0">
            <wp:extent cx="121920" cy="175260"/>
            <wp:effectExtent l="0" t="0" r="0" b="0"/>
            <wp:docPr id="570"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0" name="图片 33"/>
                    <pic:cNvPicPr>
                      <a:picLocks noChangeAspect="1" noChangeArrowheads="1"/>
                    </pic:cNvPicPr>
                  </pic:nvPicPr>
                  <pic:blipFill>
                    <a:blip r:embed="rId192" cstate="print">
                      <a:extLst>
                        <a:ext uri="{28A0092B-C50C-407E-A947-70E740481C1C}">
                          <a14:useLocalDpi xmlns:a14="http://schemas.microsoft.com/office/drawing/2010/main" val="0"/>
                        </a:ext>
                      </a:extLst>
                    </a:blip>
                    <a:srcRect/>
                    <a:stretch>
                      <a:fillRect/>
                    </a:stretch>
                  </pic:blipFill>
                  <pic:spPr>
                    <a:xfrm>
                      <a:off x="0" y="0"/>
                      <a:ext cx="121920" cy="175260"/>
                    </a:xfrm>
                    <a:prstGeom prst="rect">
                      <a:avLst/>
                    </a:prstGeom>
                    <a:noFill/>
                    <a:ln>
                      <a:noFill/>
                    </a:ln>
                  </pic:spPr>
                </pic:pic>
              </a:graphicData>
            </a:graphic>
          </wp:inline>
        </w:drawing>
      </w:r>
      <w:r>
        <w:rPr>
          <w:color w:val="000000" w:themeColor="text1"/>
          <w14:textFill>
            <w14:solidFill>
              <w14:schemeClr w14:val="tx1"/>
            </w14:solidFill>
          </w14:textFill>
        </w:rPr>
        <w:t>——风对油膜运动的作用系数，它主要取决于风、石油类、海水性质、水温等（取值介于0.01～0.03）；</w:t>
      </w:r>
    </w:p>
    <w:p>
      <w:pPr>
        <w:pStyle w:val="1075"/>
        <w:ind w:firstLine="437"/>
        <w:rPr>
          <w:color w:val="000000" w:themeColor="text1"/>
          <w14:textFill>
            <w14:solidFill>
              <w14:schemeClr w14:val="tx1"/>
            </w14:solidFill>
          </w14:textFill>
        </w:rPr>
      </w:pPr>
      <w:r>
        <w:rPr>
          <w:color w:val="000000" w:themeColor="text1"/>
          <w14:textFill>
            <w14:solidFill>
              <w14:schemeClr w14:val="tx1"/>
            </w14:solidFill>
          </w14:textFill>
        </w:rPr>
        <w:drawing>
          <wp:inline distT="0" distB="0" distL="0" distR="0">
            <wp:extent cx="289560" cy="259080"/>
            <wp:effectExtent l="0" t="0" r="0" b="7620"/>
            <wp:docPr id="571"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1" name="图片 32"/>
                    <pic:cNvPicPr>
                      <a:picLocks noChangeAspect="1" noChangeArrowheads="1"/>
                    </pic:cNvPicPr>
                  </pic:nvPicPr>
                  <pic:blipFill>
                    <a:blip r:embed="rId193" cstate="print">
                      <a:extLst>
                        <a:ext uri="{28A0092B-C50C-407E-A947-70E740481C1C}">
                          <a14:useLocalDpi xmlns:a14="http://schemas.microsoft.com/office/drawing/2010/main" val="0"/>
                        </a:ext>
                      </a:extLst>
                    </a:blip>
                    <a:srcRect/>
                    <a:stretch>
                      <a:fillRect/>
                    </a:stretch>
                  </pic:blipFill>
                  <pic:spPr>
                    <a:xfrm>
                      <a:off x="0" y="0"/>
                      <a:ext cx="289560" cy="259080"/>
                    </a:xfrm>
                    <a:prstGeom prst="rect">
                      <a:avLst/>
                    </a:prstGeom>
                    <a:noFill/>
                    <a:ln>
                      <a:noFill/>
                    </a:ln>
                  </pic:spPr>
                </pic:pic>
              </a:graphicData>
            </a:graphic>
          </wp:inline>
        </w:drawing>
      </w:r>
      <w:r>
        <w:rPr>
          <w:color w:val="000000" w:themeColor="text1"/>
          <w14:textFill>
            <w14:solidFill>
              <w14:schemeClr w14:val="tx1"/>
            </w14:solidFill>
          </w14:textFill>
        </w:rPr>
        <w:t>——水体的表面流速，它与垂线平均流速有一定的关系，主要取决于流速在垂向的分布，计算中取：</w:t>
      </w:r>
      <w:r>
        <w:rPr>
          <w:color w:val="000000" w:themeColor="text1"/>
          <w14:textFill>
            <w14:solidFill>
              <w14:schemeClr w14:val="tx1"/>
            </w14:solidFill>
          </w14:textFill>
        </w:rPr>
        <w:drawing>
          <wp:inline distT="0" distB="0" distL="0" distR="0">
            <wp:extent cx="238125" cy="213360"/>
            <wp:effectExtent l="0" t="0" r="9525" b="0"/>
            <wp:docPr id="572"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2" name="图片 31"/>
                    <pic:cNvPicPr>
                      <a:picLocks noChangeAspect="1" noChangeArrowheads="1"/>
                    </pic:cNvPicPr>
                  </pic:nvPicPr>
                  <pic:blipFill>
                    <a:blip r:embed="rId194" cstate="print">
                      <a:extLst>
                        <a:ext uri="{28A0092B-C50C-407E-A947-70E740481C1C}">
                          <a14:useLocalDpi xmlns:a14="http://schemas.microsoft.com/office/drawing/2010/main" val="0"/>
                        </a:ext>
                      </a:extLst>
                    </a:blip>
                    <a:srcRect/>
                    <a:stretch>
                      <a:fillRect/>
                    </a:stretch>
                  </pic:blipFill>
                  <pic:spPr>
                    <a:xfrm>
                      <a:off x="0" y="0"/>
                      <a:ext cx="240540" cy="215220"/>
                    </a:xfrm>
                    <a:prstGeom prst="rect">
                      <a:avLst/>
                    </a:prstGeom>
                    <a:noFill/>
                    <a:ln>
                      <a:noFill/>
                    </a:ln>
                  </pic:spPr>
                </pic:pic>
              </a:graphicData>
            </a:graphic>
          </wp:inline>
        </w:drawing>
      </w:r>
      <w:r>
        <w:rPr>
          <w:color w:val="000000" w:themeColor="text1"/>
          <w14:textFill>
            <w14:solidFill>
              <w14:schemeClr w14:val="tx1"/>
            </w14:solidFill>
          </w14:textFill>
        </w:rPr>
        <w:t>=（1.2～1.3）</w:t>
      </w:r>
      <w:r>
        <w:rPr>
          <w:color w:val="000000" w:themeColor="text1"/>
          <w14:textFill>
            <w14:solidFill>
              <w14:schemeClr w14:val="tx1"/>
            </w14:solidFill>
          </w14:textFill>
        </w:rPr>
        <w:drawing>
          <wp:inline distT="0" distB="0" distL="0" distR="0">
            <wp:extent cx="144780" cy="175260"/>
            <wp:effectExtent l="0" t="0" r="7620" b="0"/>
            <wp:docPr id="573"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3" name="图片 30"/>
                    <pic:cNvPicPr>
                      <a:picLocks noChangeAspect="1" noChangeArrowheads="1"/>
                    </pic:cNvPicPr>
                  </pic:nvPicPr>
                  <pic:blipFill>
                    <a:blip r:embed="rId195" cstate="print">
                      <a:extLst>
                        <a:ext uri="{28A0092B-C50C-407E-A947-70E740481C1C}">
                          <a14:useLocalDpi xmlns:a14="http://schemas.microsoft.com/office/drawing/2010/main" val="0"/>
                        </a:ext>
                      </a:extLst>
                    </a:blip>
                    <a:srcRect/>
                    <a:stretch>
                      <a:fillRect/>
                    </a:stretch>
                  </pic:blipFill>
                  <pic:spPr>
                    <a:xfrm>
                      <a:off x="0" y="0"/>
                      <a:ext cx="144780" cy="175260"/>
                    </a:xfrm>
                    <a:prstGeom prst="rect">
                      <a:avLst/>
                    </a:prstGeom>
                    <a:noFill/>
                    <a:ln>
                      <a:noFill/>
                    </a:ln>
                  </pic:spPr>
                </pic:pic>
              </a:graphicData>
            </a:graphic>
          </wp:inline>
        </w:drawing>
      </w:r>
      <w:r>
        <w:rPr>
          <w:color w:val="000000" w:themeColor="text1"/>
          <w14:textFill>
            <w14:solidFill>
              <w14:schemeClr w14:val="tx1"/>
            </w14:solidFill>
          </w14:textFill>
        </w:rPr>
        <w:t>垂线平均。</w:t>
      </w:r>
    </w:p>
    <w:p>
      <w:pPr>
        <w:pStyle w:val="1075"/>
        <w:ind w:firstLine="437"/>
        <w:rPr>
          <w:color w:val="000000" w:themeColor="text1"/>
          <w14:textFill>
            <w14:solidFill>
              <w14:schemeClr w14:val="tx1"/>
            </w14:solidFill>
          </w14:textFill>
        </w:rPr>
      </w:pPr>
      <w:r>
        <w:rPr>
          <w:color w:val="000000" w:themeColor="text1"/>
          <w14:textFill>
            <w14:solidFill>
              <w14:schemeClr w14:val="tx1"/>
            </w14:solidFill>
          </w14:textFill>
        </w:rPr>
        <w:t>在算得海流、风共生流场的基础上，再进行Lagrange无质量标记点运动轨迹追踪计算。Lagrange质点追踪计算是研究污染物排放后，长历时地随海流游荡的最终去向，它是分析排污效果优劣的重要手段之一，也可对生物的影响评价提供基本资料。</w:t>
      </w:r>
    </w:p>
    <w:p>
      <w:pPr>
        <w:pStyle w:val="1075"/>
        <w:ind w:firstLine="437"/>
        <w:rPr>
          <w:color w:val="000000" w:themeColor="text1"/>
          <w14:textFill>
            <w14:solidFill>
              <w14:schemeClr w14:val="tx1"/>
            </w14:solidFill>
          </w14:textFill>
        </w:rPr>
      </w:pPr>
      <w:r>
        <w:rPr>
          <w:color w:val="000000" w:themeColor="text1"/>
          <w14:textFill>
            <w14:solidFill>
              <w14:schemeClr w14:val="tx1"/>
            </w14:solidFill>
          </w14:textFill>
        </w:rPr>
        <w:t>Lagrange质点追踪计算可描述污染物质随水流在水域中运动的轨迹：</w:t>
      </w:r>
    </w:p>
    <w:p>
      <w:pPr>
        <w:pStyle w:val="1075"/>
        <w:ind w:firstLine="437"/>
        <w:rPr>
          <w:color w:val="000000" w:themeColor="text1"/>
          <w14:textFill>
            <w14:solidFill>
              <w14:schemeClr w14:val="tx1"/>
            </w14:solidFill>
          </w14:textFill>
        </w:rPr>
      </w:pPr>
      <w:r>
        <w:rPr>
          <w:color w:val="000000" w:themeColor="text1"/>
          <w14:textFill>
            <w14:solidFill>
              <w14:schemeClr w14:val="tx1"/>
            </w14:solidFill>
          </w14:textFill>
        </w:rPr>
        <w:drawing>
          <wp:inline distT="0" distB="0" distL="0" distR="0">
            <wp:extent cx="3276600" cy="396240"/>
            <wp:effectExtent l="0" t="0" r="0" b="3810"/>
            <wp:docPr id="128"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图片 29"/>
                    <pic:cNvPicPr>
                      <a:picLocks noChangeAspect="1" noChangeArrowheads="1"/>
                    </pic:cNvPicPr>
                  </pic:nvPicPr>
                  <pic:blipFill>
                    <a:blip r:embed="rId196" cstate="print">
                      <a:extLst>
                        <a:ext uri="{28A0092B-C50C-407E-A947-70E740481C1C}">
                          <a14:useLocalDpi xmlns:a14="http://schemas.microsoft.com/office/drawing/2010/main" val="0"/>
                        </a:ext>
                      </a:extLst>
                    </a:blip>
                    <a:srcRect/>
                    <a:stretch>
                      <a:fillRect/>
                    </a:stretch>
                  </pic:blipFill>
                  <pic:spPr>
                    <a:xfrm>
                      <a:off x="0" y="0"/>
                      <a:ext cx="3276600" cy="396240"/>
                    </a:xfrm>
                    <a:prstGeom prst="rect">
                      <a:avLst/>
                    </a:prstGeom>
                    <a:noFill/>
                    <a:ln>
                      <a:noFill/>
                    </a:ln>
                  </pic:spPr>
                </pic:pic>
              </a:graphicData>
            </a:graphic>
          </wp:inline>
        </w:drawing>
      </w:r>
    </w:p>
    <w:p>
      <w:pPr>
        <w:pStyle w:val="1075"/>
        <w:ind w:firstLine="437"/>
        <w:rPr>
          <w:color w:val="000000" w:themeColor="text1"/>
          <w14:textFill>
            <w14:solidFill>
              <w14:schemeClr w14:val="tx1"/>
            </w14:solidFill>
          </w14:textFill>
        </w:rPr>
      </w:pPr>
      <w:r>
        <w:rPr>
          <w:color w:val="000000" w:themeColor="text1"/>
          <w14:textFill>
            <w14:solidFill>
              <w14:schemeClr w14:val="tx1"/>
            </w14:solidFill>
          </w14:textFill>
        </w:rPr>
        <w:t>点位代表油膜中心位置，计算公式为：</w:t>
      </w:r>
    </w:p>
    <w:p>
      <w:pPr>
        <w:pStyle w:val="1075"/>
        <w:ind w:firstLine="437"/>
        <w:rPr>
          <w:color w:val="000000" w:themeColor="text1"/>
          <w14:textFill>
            <w14:solidFill>
              <w14:schemeClr w14:val="tx1"/>
            </w14:solidFill>
          </w14:textFill>
        </w:rPr>
      </w:pPr>
      <w:r>
        <w:rPr>
          <w:color w:val="000000" w:themeColor="text1"/>
          <w14:textFill>
            <w14:solidFill>
              <w14:schemeClr w14:val="tx1"/>
            </w14:solidFill>
          </w14:textFill>
        </w:rPr>
        <w:drawing>
          <wp:inline distT="0" distB="0" distL="0" distR="0">
            <wp:extent cx="4312920" cy="617220"/>
            <wp:effectExtent l="0" t="0" r="0" b="0"/>
            <wp:docPr id="129"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图片 27"/>
                    <pic:cNvPicPr>
                      <a:picLocks noChangeAspect="1" noChangeArrowheads="1"/>
                    </pic:cNvPicPr>
                  </pic:nvPicPr>
                  <pic:blipFill>
                    <a:blip r:embed="rId197" cstate="print">
                      <a:extLst>
                        <a:ext uri="{28A0092B-C50C-407E-A947-70E740481C1C}">
                          <a14:useLocalDpi xmlns:a14="http://schemas.microsoft.com/office/drawing/2010/main" val="0"/>
                        </a:ext>
                      </a:extLst>
                    </a:blip>
                    <a:srcRect/>
                    <a:stretch>
                      <a:fillRect/>
                    </a:stretch>
                  </pic:blipFill>
                  <pic:spPr>
                    <a:xfrm>
                      <a:off x="0" y="0"/>
                      <a:ext cx="4312920" cy="617220"/>
                    </a:xfrm>
                    <a:prstGeom prst="rect">
                      <a:avLst/>
                    </a:prstGeom>
                    <a:noFill/>
                    <a:ln>
                      <a:noFill/>
                    </a:ln>
                  </pic:spPr>
                </pic:pic>
              </a:graphicData>
            </a:graphic>
          </wp:inline>
        </w:drawing>
      </w:r>
    </w:p>
    <w:p>
      <w:pPr>
        <w:pStyle w:val="1075"/>
        <w:ind w:firstLine="437"/>
        <w:rPr>
          <w:color w:val="000000" w:themeColor="text1"/>
          <w14:textFill>
            <w14:solidFill>
              <w14:schemeClr w14:val="tx1"/>
            </w14:solidFill>
          </w14:textFill>
        </w:rPr>
      </w:pPr>
      <w:r>
        <w:rPr>
          <w:color w:val="000000" w:themeColor="text1"/>
          <w14:textFill>
            <w14:solidFill>
              <w14:schemeClr w14:val="tx1"/>
            </w14:solidFill>
          </w14:textFill>
        </w:rPr>
        <w:t>式中：</w:t>
      </w:r>
      <w:r>
        <w:rPr>
          <w:color w:val="000000" w:themeColor="text1"/>
          <w14:textFill>
            <w14:solidFill>
              <w14:schemeClr w14:val="tx1"/>
            </w14:solidFill>
          </w14:textFill>
        </w:rPr>
        <w:drawing>
          <wp:inline distT="0" distB="0" distL="0" distR="0">
            <wp:extent cx="609600" cy="220980"/>
            <wp:effectExtent l="0" t="0" r="0" b="7620"/>
            <wp:docPr id="130"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图片 26"/>
                    <pic:cNvPicPr>
                      <a:picLocks noChangeAspect="1" noChangeArrowheads="1"/>
                    </pic:cNvPicPr>
                  </pic:nvPicPr>
                  <pic:blipFill>
                    <a:blip r:embed="rId198" cstate="print">
                      <a:extLst>
                        <a:ext uri="{28A0092B-C50C-407E-A947-70E740481C1C}">
                          <a14:useLocalDpi xmlns:a14="http://schemas.microsoft.com/office/drawing/2010/main" val="0"/>
                        </a:ext>
                      </a:extLst>
                    </a:blip>
                    <a:srcRect/>
                    <a:stretch>
                      <a:fillRect/>
                    </a:stretch>
                  </pic:blipFill>
                  <pic:spPr>
                    <a:xfrm>
                      <a:off x="0" y="0"/>
                      <a:ext cx="609600" cy="220980"/>
                    </a:xfrm>
                    <a:prstGeom prst="rect">
                      <a:avLst/>
                    </a:prstGeom>
                    <a:noFill/>
                    <a:ln>
                      <a:noFill/>
                    </a:ln>
                  </pic:spPr>
                </pic:pic>
              </a:graphicData>
            </a:graphic>
          </wp:inline>
        </w:drawing>
      </w:r>
      <w:r>
        <w:rPr>
          <w:color w:val="000000" w:themeColor="text1"/>
          <w14:textFill>
            <w14:solidFill>
              <w14:schemeClr w14:val="tx1"/>
            </w14:solidFill>
          </w14:textFill>
        </w:rPr>
        <w:t>——欧拉流速，下脚标</w:t>
      </w:r>
      <w:r>
        <w:rPr>
          <w:color w:val="000000" w:themeColor="text1"/>
          <w14:textFill>
            <w14:solidFill>
              <w14:schemeClr w14:val="tx1"/>
            </w14:solidFill>
          </w14:textFill>
        </w:rPr>
        <w:drawing>
          <wp:inline distT="0" distB="0" distL="0" distR="0">
            <wp:extent cx="83820" cy="167640"/>
            <wp:effectExtent l="0" t="0" r="0" b="3810"/>
            <wp:docPr id="131"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图片 25"/>
                    <pic:cNvPicPr>
                      <a:picLocks noChangeAspect="1" noChangeArrowheads="1"/>
                    </pic:cNvPicPr>
                  </pic:nvPicPr>
                  <pic:blipFill>
                    <a:blip r:embed="rId199" cstate="print">
                      <a:extLst>
                        <a:ext uri="{28A0092B-C50C-407E-A947-70E740481C1C}">
                          <a14:useLocalDpi xmlns:a14="http://schemas.microsoft.com/office/drawing/2010/main" val="0"/>
                        </a:ext>
                      </a:extLst>
                    </a:blip>
                    <a:srcRect/>
                    <a:stretch>
                      <a:fillRect/>
                    </a:stretch>
                  </pic:blipFill>
                  <pic:spPr>
                    <a:xfrm>
                      <a:off x="0" y="0"/>
                      <a:ext cx="83820" cy="167640"/>
                    </a:xfrm>
                    <a:prstGeom prst="rect">
                      <a:avLst/>
                    </a:prstGeom>
                    <a:noFill/>
                    <a:ln>
                      <a:noFill/>
                    </a:ln>
                  </pic:spPr>
                </pic:pic>
              </a:graphicData>
            </a:graphic>
          </wp:inline>
        </w:drawing>
      </w:r>
      <w:r>
        <w:rPr>
          <w:color w:val="000000" w:themeColor="text1"/>
          <w14:textFill>
            <w14:solidFill>
              <w14:schemeClr w14:val="tx1"/>
            </w14:solidFill>
          </w14:textFill>
        </w:rPr>
        <w:t>为无质量标记点点号，其初始位置为</w:t>
      </w:r>
      <w:r>
        <w:rPr>
          <w:color w:val="000000" w:themeColor="text1"/>
          <w14:textFill>
            <w14:solidFill>
              <w14:schemeClr w14:val="tx1"/>
            </w14:solidFill>
          </w14:textFill>
        </w:rPr>
        <w:drawing>
          <wp:inline distT="0" distB="0" distL="0" distR="0">
            <wp:extent cx="464820" cy="220980"/>
            <wp:effectExtent l="0" t="0" r="0" b="7620"/>
            <wp:docPr id="132"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图片 24"/>
                    <pic:cNvPicPr>
                      <a:picLocks noChangeAspect="1" noChangeArrowheads="1"/>
                    </pic:cNvPicPr>
                  </pic:nvPicPr>
                  <pic:blipFill>
                    <a:blip r:embed="rId200" cstate="print">
                      <a:extLst>
                        <a:ext uri="{28A0092B-C50C-407E-A947-70E740481C1C}">
                          <a14:useLocalDpi xmlns:a14="http://schemas.microsoft.com/office/drawing/2010/main" val="0"/>
                        </a:ext>
                      </a:extLst>
                    </a:blip>
                    <a:srcRect/>
                    <a:stretch>
                      <a:fillRect/>
                    </a:stretch>
                  </pic:blipFill>
                  <pic:spPr>
                    <a:xfrm>
                      <a:off x="0" y="0"/>
                      <a:ext cx="464820" cy="220980"/>
                    </a:xfrm>
                    <a:prstGeom prst="rect">
                      <a:avLst/>
                    </a:prstGeom>
                    <a:noFill/>
                    <a:ln>
                      <a:noFill/>
                    </a:ln>
                  </pic:spPr>
                </pic:pic>
              </a:graphicData>
            </a:graphic>
          </wp:inline>
        </w:drawing>
      </w:r>
      <w:r>
        <w:rPr>
          <w:color w:val="000000" w:themeColor="text1"/>
          <w14:textFill>
            <w14:solidFill>
              <w14:schemeClr w14:val="tx1"/>
            </w14:solidFill>
          </w14:textFill>
        </w:rPr>
        <w:t>；</w:t>
      </w:r>
    </w:p>
    <w:p>
      <w:pPr>
        <w:pStyle w:val="1075"/>
        <w:ind w:firstLine="437"/>
        <w:rPr>
          <w:color w:val="000000" w:themeColor="text1"/>
          <w14:textFill>
            <w14:solidFill>
              <w14:schemeClr w14:val="tx1"/>
            </w14:solidFill>
          </w14:textFill>
        </w:rPr>
      </w:pPr>
      <w:r>
        <w:rPr>
          <w:color w:val="000000" w:themeColor="text1"/>
          <w14:textFill>
            <w14:solidFill>
              <w14:schemeClr w14:val="tx1"/>
            </w14:solidFill>
          </w14:textFill>
        </w:rPr>
        <w:drawing>
          <wp:inline distT="0" distB="0" distL="0" distR="0">
            <wp:extent cx="83820" cy="144780"/>
            <wp:effectExtent l="0" t="0" r="0" b="7620"/>
            <wp:docPr id="13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图片 23"/>
                    <pic:cNvPicPr>
                      <a:picLocks noChangeAspect="1" noChangeArrowheads="1"/>
                    </pic:cNvPicPr>
                  </pic:nvPicPr>
                  <pic:blipFill>
                    <a:blip r:embed="rId201" cstate="print">
                      <a:extLst>
                        <a:ext uri="{28A0092B-C50C-407E-A947-70E740481C1C}">
                          <a14:useLocalDpi xmlns:a14="http://schemas.microsoft.com/office/drawing/2010/main" val="0"/>
                        </a:ext>
                      </a:extLst>
                    </a:blip>
                    <a:srcRect/>
                    <a:stretch>
                      <a:fillRect/>
                    </a:stretch>
                  </pic:blipFill>
                  <pic:spPr>
                    <a:xfrm>
                      <a:off x="0" y="0"/>
                      <a:ext cx="83820" cy="144780"/>
                    </a:xfrm>
                    <a:prstGeom prst="rect">
                      <a:avLst/>
                    </a:prstGeom>
                    <a:noFill/>
                    <a:ln>
                      <a:noFill/>
                    </a:ln>
                  </pic:spPr>
                </pic:pic>
              </a:graphicData>
            </a:graphic>
          </wp:inline>
        </w:drawing>
      </w:r>
      <w:r>
        <w:rPr>
          <w:color w:val="000000" w:themeColor="text1"/>
          <w14:textFill>
            <w14:solidFill>
              <w14:schemeClr w14:val="tx1"/>
            </w14:solidFill>
          </w14:textFill>
        </w:rPr>
        <w:t>——时刻；</w:t>
      </w:r>
      <w:r>
        <w:rPr>
          <w:color w:val="000000" w:themeColor="text1"/>
          <w14:textFill>
            <w14:solidFill>
              <w14:schemeClr w14:val="tx1"/>
            </w14:solidFill>
          </w14:textFill>
        </w:rPr>
        <w:drawing>
          <wp:inline distT="0" distB="0" distL="0" distR="0">
            <wp:extent cx="175260" cy="175260"/>
            <wp:effectExtent l="0" t="0" r="0" b="0"/>
            <wp:docPr id="134"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图片 22"/>
                    <pic:cNvPicPr>
                      <a:picLocks noChangeAspect="1" noChangeArrowheads="1"/>
                    </pic:cNvPicPr>
                  </pic:nvPicPr>
                  <pic:blipFill>
                    <a:blip r:embed="rId202" cstate="print">
                      <a:extLst>
                        <a:ext uri="{28A0092B-C50C-407E-A947-70E740481C1C}">
                          <a14:useLocalDpi xmlns:a14="http://schemas.microsoft.com/office/drawing/2010/main" val="0"/>
                        </a:ext>
                      </a:extLst>
                    </a:blip>
                    <a:srcRect/>
                    <a:stretch>
                      <a:fillRect/>
                    </a:stretch>
                  </pic:blipFill>
                  <pic:spPr>
                    <a:xfrm>
                      <a:off x="0" y="0"/>
                      <a:ext cx="175260" cy="175260"/>
                    </a:xfrm>
                    <a:prstGeom prst="rect">
                      <a:avLst/>
                    </a:prstGeom>
                    <a:noFill/>
                    <a:ln>
                      <a:noFill/>
                    </a:ln>
                  </pic:spPr>
                </pic:pic>
              </a:graphicData>
            </a:graphic>
          </wp:inline>
        </w:drawing>
      </w:r>
      <w:r>
        <w:rPr>
          <w:color w:val="000000" w:themeColor="text1"/>
          <w14:textFill>
            <w14:solidFill>
              <w14:schemeClr w14:val="tx1"/>
            </w14:solidFill>
          </w14:textFill>
        </w:rPr>
        <w:t>——时步；</w:t>
      </w:r>
      <w:r>
        <w:rPr>
          <w:color w:val="000000" w:themeColor="text1"/>
          <w14:textFill>
            <w14:solidFill>
              <w14:schemeClr w14:val="tx1"/>
            </w14:solidFill>
          </w14:textFill>
        </w:rPr>
        <w:drawing>
          <wp:inline distT="0" distB="0" distL="0" distR="0">
            <wp:extent cx="144780" cy="175260"/>
            <wp:effectExtent l="0" t="0" r="7620" b="0"/>
            <wp:docPr id="135"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图片 21"/>
                    <pic:cNvPicPr>
                      <a:picLocks noChangeAspect="1" noChangeArrowheads="1"/>
                    </pic:cNvPicPr>
                  </pic:nvPicPr>
                  <pic:blipFill>
                    <a:blip r:embed="rId203" cstate="print">
                      <a:extLst>
                        <a:ext uri="{28A0092B-C50C-407E-A947-70E740481C1C}">
                          <a14:useLocalDpi xmlns:a14="http://schemas.microsoft.com/office/drawing/2010/main" val="0"/>
                        </a:ext>
                      </a:extLst>
                    </a:blip>
                    <a:srcRect/>
                    <a:stretch>
                      <a:fillRect/>
                    </a:stretch>
                  </pic:blipFill>
                  <pic:spPr>
                    <a:xfrm>
                      <a:off x="0" y="0"/>
                      <a:ext cx="144780" cy="175260"/>
                    </a:xfrm>
                    <a:prstGeom prst="rect">
                      <a:avLst/>
                    </a:prstGeom>
                    <a:noFill/>
                    <a:ln>
                      <a:noFill/>
                    </a:ln>
                  </pic:spPr>
                </pic:pic>
              </a:graphicData>
            </a:graphic>
          </wp:inline>
        </w:drawing>
      </w:r>
      <w:r>
        <w:rPr>
          <w:color w:val="000000" w:themeColor="text1"/>
          <w14:textFill>
            <w14:solidFill>
              <w14:schemeClr w14:val="tx1"/>
            </w14:solidFill>
          </w14:textFill>
        </w:rPr>
        <w:t>——梯度算子。</w:t>
      </w:r>
    </w:p>
    <w:p>
      <w:pPr>
        <w:pStyle w:val="1075"/>
        <w:ind w:firstLine="437"/>
        <w:rPr>
          <w:color w:val="000000" w:themeColor="text1"/>
          <w14:textFill>
            <w14:solidFill>
              <w14:schemeClr w14:val="tx1"/>
            </w14:solidFill>
          </w14:textFill>
        </w:rPr>
      </w:pPr>
      <w:r>
        <w:rPr>
          <w:color w:val="000000" w:themeColor="text1"/>
          <w14:textFill>
            <w14:solidFill>
              <w14:schemeClr w14:val="tx1"/>
            </w14:solidFill>
          </w14:textFill>
        </w:rPr>
        <w:t>利用三节点等参数三角元面积坐标，易于求得新点位的插值流速。最终可求得不同时刻溢油油膜中心位置。</w:t>
      </w:r>
    </w:p>
    <w:p>
      <w:pPr>
        <w:pStyle w:val="1075"/>
        <w:ind w:firstLine="437"/>
        <w:rPr>
          <w:color w:val="000000" w:themeColor="text1"/>
          <w14:textFill>
            <w14:solidFill>
              <w14:schemeClr w14:val="tx1"/>
            </w14:solidFill>
          </w14:textFill>
        </w:rPr>
      </w:pPr>
      <w:bookmarkStart w:id="246" w:name="_Toc151889962"/>
      <w:bookmarkStart w:id="247" w:name="_Toc151779501"/>
      <w:bookmarkStart w:id="248" w:name="_Toc151736104"/>
      <w:bookmarkStart w:id="249" w:name="_Toc151797953"/>
      <w:r>
        <w:rPr>
          <w:color w:val="000000" w:themeColor="text1"/>
          <w14:textFill>
            <w14:solidFill>
              <w14:schemeClr w14:val="tx1"/>
            </w14:solidFill>
          </w14:textFill>
        </w:rPr>
        <w:t>（2）油膜扩散直径和扩散面积的计算</w:t>
      </w:r>
      <w:bookmarkEnd w:id="246"/>
      <w:bookmarkEnd w:id="247"/>
      <w:bookmarkEnd w:id="248"/>
      <w:bookmarkEnd w:id="249"/>
    </w:p>
    <w:p>
      <w:pPr>
        <w:pStyle w:val="1075"/>
        <w:ind w:firstLine="437"/>
        <w:rPr>
          <w:color w:val="000000" w:themeColor="text1"/>
          <w14:textFill>
            <w14:solidFill>
              <w14:schemeClr w14:val="tx1"/>
            </w14:solidFill>
          </w14:textFill>
        </w:rPr>
      </w:pPr>
      <w:r>
        <w:rPr>
          <w:color w:val="000000" w:themeColor="text1"/>
          <w14:textFill>
            <w14:solidFill>
              <w14:schemeClr w14:val="tx1"/>
            </w14:solidFill>
          </w14:textFill>
        </w:rPr>
        <w:t>建设工程项目发生的燃料油泄漏事故，模拟石油类的泄漏过程，大体上可分为3个阶段，即：</w:t>
      </w:r>
    </w:p>
    <w:p>
      <w:pPr>
        <w:pStyle w:val="1075"/>
        <w:ind w:firstLine="437"/>
        <w:rPr>
          <w:color w:val="000000" w:themeColor="text1"/>
          <w14:textFill>
            <w14:solidFill>
              <w14:schemeClr w14:val="tx1"/>
            </w14:solidFill>
          </w14:textFill>
        </w:rPr>
      </w:pPr>
      <w:r>
        <w:rPr>
          <w:color w:val="000000" w:themeColor="text1"/>
          <w14:textFill>
            <w14:solidFill>
              <w14:schemeClr w14:val="tx1"/>
            </w14:solidFill>
          </w14:textFill>
        </w:rPr>
        <w:t>A.浮射流阶段；</w:t>
      </w:r>
    </w:p>
    <w:p>
      <w:pPr>
        <w:pStyle w:val="1075"/>
        <w:ind w:firstLine="437"/>
        <w:rPr>
          <w:color w:val="000000" w:themeColor="text1"/>
          <w14:textFill>
            <w14:solidFill>
              <w14:schemeClr w14:val="tx1"/>
            </w14:solidFill>
          </w14:textFill>
        </w:rPr>
      </w:pPr>
      <w:r>
        <w:rPr>
          <w:color w:val="000000" w:themeColor="text1"/>
          <w14:textFill>
            <w14:solidFill>
              <w14:schemeClr w14:val="tx1"/>
            </w14:solidFill>
          </w14:textFill>
        </w:rPr>
        <w:t>B.溢油控制阶段；</w:t>
      </w:r>
    </w:p>
    <w:p>
      <w:pPr>
        <w:pStyle w:val="1075"/>
        <w:ind w:firstLine="437"/>
        <w:rPr>
          <w:color w:val="000000" w:themeColor="text1"/>
          <w14:textFill>
            <w14:solidFill>
              <w14:schemeClr w14:val="tx1"/>
            </w14:solidFill>
          </w14:textFill>
        </w:rPr>
      </w:pPr>
      <w:r>
        <w:rPr>
          <w:color w:val="000000" w:themeColor="text1"/>
          <w14:textFill>
            <w14:solidFill>
              <w14:schemeClr w14:val="tx1"/>
            </w14:solidFill>
          </w14:textFill>
        </w:rPr>
        <w:t>C.溢油漂移、输运、扩散阶段。</w:t>
      </w:r>
    </w:p>
    <w:p>
      <w:pPr>
        <w:pStyle w:val="1075"/>
        <w:ind w:firstLine="437"/>
        <w:rPr>
          <w:color w:val="000000" w:themeColor="text1"/>
          <w14:textFill>
            <w14:solidFill>
              <w14:schemeClr w14:val="tx1"/>
            </w14:solidFill>
          </w14:textFill>
        </w:rPr>
      </w:pPr>
      <w:r>
        <w:rPr>
          <w:color w:val="000000" w:themeColor="text1"/>
          <w14:textFill>
            <w14:solidFill>
              <w14:schemeClr w14:val="tx1"/>
            </w14:solidFill>
          </w14:textFill>
        </w:rPr>
        <w:t>根据数学模型得出不同时刻溢油油膜中心位置后，再按P.C.Blokker提出的油膜扩散直径的经验计算公式，进一步预测油膜的扩散范围：</w:t>
      </w:r>
    </w:p>
    <w:p>
      <w:pPr>
        <w:adjustRightInd w:val="0"/>
        <w:snapToGrid w:val="0"/>
        <w:spacing w:line="360" w:lineRule="auto"/>
        <w:jc w:val="center"/>
        <w:rPr>
          <w:color w:val="000000" w:themeColor="text1"/>
          <w:szCs w:val="22"/>
          <w14:textFill>
            <w14:solidFill>
              <w14:schemeClr w14:val="tx1"/>
            </w14:solidFill>
          </w14:textFill>
        </w:rPr>
      </w:pPr>
      <w:r>
        <w:rPr>
          <w:color w:val="000000" w:themeColor="text1"/>
          <w:szCs w:val="22"/>
          <w14:textFill>
            <w14:solidFill>
              <w14:schemeClr w14:val="tx1"/>
            </w14:solidFill>
          </w14:textFill>
        </w:rPr>
        <w:drawing>
          <wp:inline distT="0" distB="0" distL="0" distR="0">
            <wp:extent cx="1988820" cy="434340"/>
            <wp:effectExtent l="0" t="0" r="0" b="3810"/>
            <wp:docPr id="136"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图片 20"/>
                    <pic:cNvPicPr>
                      <a:picLocks noChangeAspect="1" noChangeArrowheads="1"/>
                    </pic:cNvPicPr>
                  </pic:nvPicPr>
                  <pic:blipFill>
                    <a:blip r:embed="rId204" cstate="print">
                      <a:extLst>
                        <a:ext uri="{28A0092B-C50C-407E-A947-70E740481C1C}">
                          <a14:useLocalDpi xmlns:a14="http://schemas.microsoft.com/office/drawing/2010/main" val="0"/>
                        </a:ext>
                      </a:extLst>
                    </a:blip>
                    <a:srcRect/>
                    <a:stretch>
                      <a:fillRect/>
                    </a:stretch>
                  </pic:blipFill>
                  <pic:spPr>
                    <a:xfrm>
                      <a:off x="0" y="0"/>
                      <a:ext cx="1988820" cy="434340"/>
                    </a:xfrm>
                    <a:prstGeom prst="rect">
                      <a:avLst/>
                    </a:prstGeom>
                    <a:noFill/>
                    <a:ln>
                      <a:noFill/>
                    </a:ln>
                  </pic:spPr>
                </pic:pic>
              </a:graphicData>
            </a:graphic>
          </wp:inline>
        </w:drawing>
      </w:r>
    </w:p>
    <w:p>
      <w:pPr>
        <w:pStyle w:val="1075"/>
        <w:ind w:firstLine="437"/>
        <w:rPr>
          <w:color w:val="000000" w:themeColor="text1"/>
          <w14:textFill>
            <w14:solidFill>
              <w14:schemeClr w14:val="tx1"/>
            </w14:solidFill>
          </w14:textFill>
        </w:rPr>
      </w:pPr>
      <w:r>
        <w:rPr>
          <w:color w:val="000000" w:themeColor="text1"/>
          <w14:textFill>
            <w14:solidFill>
              <w14:schemeClr w14:val="tx1"/>
            </w14:solidFill>
          </w14:textFill>
        </w:rPr>
        <w:t>式中：</w:t>
      </w:r>
      <w:r>
        <w:rPr>
          <w:color w:val="000000" w:themeColor="text1"/>
          <w14:textFill>
            <w14:solidFill>
              <w14:schemeClr w14:val="tx1"/>
            </w14:solidFill>
          </w14:textFill>
        </w:rPr>
        <w:drawing>
          <wp:inline distT="0" distB="0" distL="0" distR="0">
            <wp:extent cx="83820" cy="144780"/>
            <wp:effectExtent l="0" t="0" r="0" b="7620"/>
            <wp:docPr id="137"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图片 19"/>
                    <pic:cNvPicPr>
                      <a:picLocks noChangeAspect="1" noChangeArrowheads="1"/>
                    </pic:cNvPicPr>
                  </pic:nvPicPr>
                  <pic:blipFill>
                    <a:blip r:embed="rId205" cstate="print">
                      <a:extLst>
                        <a:ext uri="{28A0092B-C50C-407E-A947-70E740481C1C}">
                          <a14:useLocalDpi xmlns:a14="http://schemas.microsoft.com/office/drawing/2010/main" val="0"/>
                        </a:ext>
                      </a:extLst>
                    </a:blip>
                    <a:srcRect/>
                    <a:stretch>
                      <a:fillRect/>
                    </a:stretch>
                  </pic:blipFill>
                  <pic:spPr>
                    <a:xfrm>
                      <a:off x="0" y="0"/>
                      <a:ext cx="83820" cy="144780"/>
                    </a:xfrm>
                    <a:prstGeom prst="rect">
                      <a:avLst/>
                    </a:prstGeom>
                    <a:noFill/>
                    <a:ln>
                      <a:noFill/>
                    </a:ln>
                  </pic:spPr>
                </pic:pic>
              </a:graphicData>
            </a:graphic>
          </wp:inline>
        </w:drawing>
      </w:r>
      <w:r>
        <w:rPr>
          <w:color w:val="000000" w:themeColor="text1"/>
          <w14:textFill>
            <w14:solidFill>
              <w14:schemeClr w14:val="tx1"/>
            </w14:solidFill>
          </w14:textFill>
        </w:rPr>
        <w:t>——时间，min；</w:t>
      </w:r>
    </w:p>
    <w:p>
      <w:pPr>
        <w:pStyle w:val="1075"/>
        <w:ind w:firstLine="437"/>
        <w:rPr>
          <w:color w:val="000000" w:themeColor="text1"/>
          <w14:textFill>
            <w14:solidFill>
              <w14:schemeClr w14:val="tx1"/>
            </w14:solidFill>
          </w14:textFill>
        </w:rPr>
      </w:pPr>
      <w:r>
        <w:rPr>
          <w:color w:val="000000" w:themeColor="text1"/>
          <w14:textFill>
            <w14:solidFill>
              <w14:schemeClr w14:val="tx1"/>
            </w14:solidFill>
          </w14:textFill>
        </w:rPr>
        <w:drawing>
          <wp:inline distT="0" distB="0" distL="0" distR="0">
            <wp:extent cx="403860" cy="220980"/>
            <wp:effectExtent l="0" t="0" r="0" b="7620"/>
            <wp:docPr id="13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图片 18"/>
                    <pic:cNvPicPr>
                      <a:picLocks noChangeAspect="1" noChangeArrowheads="1"/>
                    </pic:cNvPicPr>
                  </pic:nvPicPr>
                  <pic:blipFill>
                    <a:blip r:embed="rId206" cstate="print">
                      <a:extLst>
                        <a:ext uri="{28A0092B-C50C-407E-A947-70E740481C1C}">
                          <a14:useLocalDpi xmlns:a14="http://schemas.microsoft.com/office/drawing/2010/main" val="0"/>
                        </a:ext>
                      </a:extLst>
                    </a:blip>
                    <a:srcRect/>
                    <a:stretch>
                      <a:fillRect/>
                    </a:stretch>
                  </pic:blipFill>
                  <pic:spPr>
                    <a:xfrm>
                      <a:off x="0" y="0"/>
                      <a:ext cx="403860" cy="220980"/>
                    </a:xfrm>
                    <a:prstGeom prst="rect">
                      <a:avLst/>
                    </a:prstGeom>
                    <a:noFill/>
                    <a:ln>
                      <a:noFill/>
                    </a:ln>
                  </pic:spPr>
                </pic:pic>
              </a:graphicData>
            </a:graphic>
          </wp:inline>
        </w:drawing>
      </w:r>
      <w:r>
        <w:rPr>
          <w:color w:val="000000" w:themeColor="text1"/>
          <w14:textFill>
            <w14:solidFill>
              <w14:schemeClr w14:val="tx1"/>
            </w14:solidFill>
          </w14:textFill>
        </w:rPr>
        <w:t>——分别为油膜在</w:t>
      </w:r>
      <w:r>
        <w:rPr>
          <w:color w:val="000000" w:themeColor="text1"/>
          <w14:textFill>
            <w14:solidFill>
              <w14:schemeClr w14:val="tx1"/>
            </w14:solidFill>
          </w14:textFill>
        </w:rPr>
        <w:drawing>
          <wp:inline distT="0" distB="0" distL="0" distR="0">
            <wp:extent cx="83820" cy="144780"/>
            <wp:effectExtent l="0" t="0" r="0" b="7620"/>
            <wp:docPr id="139"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图片 17"/>
                    <pic:cNvPicPr>
                      <a:picLocks noChangeAspect="1" noChangeArrowheads="1"/>
                    </pic:cNvPicPr>
                  </pic:nvPicPr>
                  <pic:blipFill>
                    <a:blip r:embed="rId201" cstate="print">
                      <a:extLst>
                        <a:ext uri="{28A0092B-C50C-407E-A947-70E740481C1C}">
                          <a14:useLocalDpi xmlns:a14="http://schemas.microsoft.com/office/drawing/2010/main" val="0"/>
                        </a:ext>
                      </a:extLst>
                    </a:blip>
                    <a:srcRect/>
                    <a:stretch>
                      <a:fillRect/>
                    </a:stretch>
                  </pic:blipFill>
                  <pic:spPr>
                    <a:xfrm>
                      <a:off x="0" y="0"/>
                      <a:ext cx="83820" cy="144780"/>
                    </a:xfrm>
                    <a:prstGeom prst="rect">
                      <a:avLst/>
                    </a:prstGeom>
                    <a:noFill/>
                    <a:ln>
                      <a:noFill/>
                    </a:ln>
                  </pic:spPr>
                </pic:pic>
              </a:graphicData>
            </a:graphic>
          </wp:inline>
        </w:drawing>
      </w:r>
      <w:r>
        <w:rPr>
          <w:color w:val="000000" w:themeColor="text1"/>
          <w14:textFill>
            <w14:solidFill>
              <w14:schemeClr w14:val="tx1"/>
            </w14:solidFill>
          </w14:textFill>
        </w:rPr>
        <w:t>时刻扩散的直径和初始直径，m；</w:t>
      </w:r>
    </w:p>
    <w:p>
      <w:pPr>
        <w:pStyle w:val="1075"/>
        <w:ind w:firstLine="437"/>
        <w:rPr>
          <w:color w:val="000000" w:themeColor="text1"/>
          <w14:textFill>
            <w14:solidFill>
              <w14:schemeClr w14:val="tx1"/>
            </w14:solidFill>
          </w14:textFill>
        </w:rPr>
      </w:pPr>
      <w:r>
        <w:rPr>
          <w:color w:val="000000" w:themeColor="text1"/>
          <w14:textFill>
            <w14:solidFill>
              <w14:schemeClr w14:val="tx1"/>
            </w14:solidFill>
          </w14:textFill>
        </w:rPr>
        <w:drawing>
          <wp:inline distT="0" distB="0" distL="0" distR="0">
            <wp:extent cx="121920" cy="175260"/>
            <wp:effectExtent l="0" t="0" r="0" b="0"/>
            <wp:docPr id="140"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图片 16"/>
                    <pic:cNvPicPr>
                      <a:picLocks noChangeAspect="1" noChangeArrowheads="1"/>
                    </pic:cNvPicPr>
                  </pic:nvPicPr>
                  <pic:blipFill>
                    <a:blip r:embed="rId207" cstate="print">
                      <a:extLst>
                        <a:ext uri="{28A0092B-C50C-407E-A947-70E740481C1C}">
                          <a14:useLocalDpi xmlns:a14="http://schemas.microsoft.com/office/drawing/2010/main" val="0"/>
                        </a:ext>
                      </a:extLst>
                    </a:blip>
                    <a:srcRect/>
                    <a:stretch>
                      <a:fillRect/>
                    </a:stretch>
                  </pic:blipFill>
                  <pic:spPr>
                    <a:xfrm>
                      <a:off x="0" y="0"/>
                      <a:ext cx="121920" cy="175260"/>
                    </a:xfrm>
                    <a:prstGeom prst="rect">
                      <a:avLst/>
                    </a:prstGeom>
                    <a:noFill/>
                    <a:ln>
                      <a:noFill/>
                    </a:ln>
                  </pic:spPr>
                </pic:pic>
              </a:graphicData>
            </a:graphic>
          </wp:inline>
        </w:drawing>
      </w:r>
      <w:r>
        <w:rPr>
          <w:color w:val="000000" w:themeColor="text1"/>
          <w14:textFill>
            <w14:solidFill>
              <w14:schemeClr w14:val="tx1"/>
            </w14:solidFill>
          </w14:textFill>
        </w:rPr>
        <w:t>——系数；</w:t>
      </w:r>
    </w:p>
    <w:p>
      <w:pPr>
        <w:pStyle w:val="1075"/>
        <w:ind w:firstLine="437"/>
        <w:rPr>
          <w:color w:val="000000" w:themeColor="text1"/>
          <w14:textFill>
            <w14:solidFill>
              <w14:schemeClr w14:val="tx1"/>
            </w14:solidFill>
          </w14:textFill>
        </w:rPr>
      </w:pPr>
      <w:r>
        <w:rPr>
          <w:color w:val="000000" w:themeColor="text1"/>
          <w14:textFill>
            <w14:solidFill>
              <w14:schemeClr w14:val="tx1"/>
            </w14:solidFill>
          </w14:textFill>
        </w:rPr>
        <w:drawing>
          <wp:inline distT="0" distB="0" distL="0" distR="0">
            <wp:extent cx="381000" cy="220980"/>
            <wp:effectExtent l="0" t="0" r="0" b="7620"/>
            <wp:docPr id="141"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图片 15"/>
                    <pic:cNvPicPr>
                      <a:picLocks noChangeAspect="1" noChangeArrowheads="1"/>
                    </pic:cNvPicPr>
                  </pic:nvPicPr>
                  <pic:blipFill>
                    <a:blip r:embed="rId208" cstate="print">
                      <a:extLst>
                        <a:ext uri="{28A0092B-C50C-407E-A947-70E740481C1C}">
                          <a14:useLocalDpi xmlns:a14="http://schemas.microsoft.com/office/drawing/2010/main" val="0"/>
                        </a:ext>
                      </a:extLst>
                    </a:blip>
                    <a:srcRect/>
                    <a:stretch>
                      <a:fillRect/>
                    </a:stretch>
                  </pic:blipFill>
                  <pic:spPr>
                    <a:xfrm>
                      <a:off x="0" y="0"/>
                      <a:ext cx="381000" cy="220980"/>
                    </a:xfrm>
                    <a:prstGeom prst="rect">
                      <a:avLst/>
                    </a:prstGeom>
                    <a:noFill/>
                    <a:ln>
                      <a:noFill/>
                    </a:ln>
                  </pic:spPr>
                </pic:pic>
              </a:graphicData>
            </a:graphic>
          </wp:inline>
        </w:drawing>
      </w:r>
      <w:r>
        <w:rPr>
          <w:color w:val="000000" w:themeColor="text1"/>
          <w14:textFill>
            <w14:solidFill>
              <w14:schemeClr w14:val="tx1"/>
            </w14:solidFill>
          </w14:textFill>
        </w:rPr>
        <w:t>——分别为水和燃料油的比重；</w:t>
      </w:r>
    </w:p>
    <w:p>
      <w:pPr>
        <w:pStyle w:val="1075"/>
        <w:ind w:firstLine="437"/>
        <w:rPr>
          <w:color w:val="000000" w:themeColor="text1"/>
          <w14:textFill>
            <w14:solidFill>
              <w14:schemeClr w14:val="tx1"/>
            </w14:solidFill>
          </w14:textFill>
        </w:rPr>
      </w:pPr>
      <w:r>
        <w:rPr>
          <w:color w:val="000000" w:themeColor="text1"/>
          <w14:textFill>
            <w14:solidFill>
              <w14:schemeClr w14:val="tx1"/>
            </w14:solidFill>
          </w14:textFill>
        </w:rPr>
        <w:drawing>
          <wp:inline distT="0" distB="0" distL="0" distR="0">
            <wp:extent cx="175260" cy="220980"/>
            <wp:effectExtent l="0" t="0" r="0" b="7620"/>
            <wp:docPr id="142"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图片 14"/>
                    <pic:cNvPicPr>
                      <a:picLocks noChangeAspect="1" noChangeArrowheads="1"/>
                    </pic:cNvPicPr>
                  </pic:nvPicPr>
                  <pic:blipFill>
                    <a:blip r:embed="rId209" cstate="print">
                      <a:extLst>
                        <a:ext uri="{28A0092B-C50C-407E-A947-70E740481C1C}">
                          <a14:useLocalDpi xmlns:a14="http://schemas.microsoft.com/office/drawing/2010/main" val="0"/>
                        </a:ext>
                      </a:extLst>
                    </a:blip>
                    <a:srcRect/>
                    <a:stretch>
                      <a:fillRect/>
                    </a:stretch>
                  </pic:blipFill>
                  <pic:spPr>
                    <a:xfrm>
                      <a:off x="0" y="0"/>
                      <a:ext cx="175260" cy="220980"/>
                    </a:xfrm>
                    <a:prstGeom prst="rect">
                      <a:avLst/>
                    </a:prstGeom>
                    <a:noFill/>
                    <a:ln>
                      <a:noFill/>
                    </a:ln>
                  </pic:spPr>
                </pic:pic>
              </a:graphicData>
            </a:graphic>
          </wp:inline>
        </w:drawing>
      </w:r>
      <w:r>
        <w:rPr>
          <w:color w:val="000000" w:themeColor="text1"/>
          <w14:textFill>
            <w14:solidFill>
              <w14:schemeClr w14:val="tx1"/>
            </w14:solidFill>
          </w14:textFill>
        </w:rPr>
        <w:t>——计算泄漏燃料油量，m</w:t>
      </w:r>
      <w:r>
        <w:rPr>
          <w:color w:val="000000" w:themeColor="text1"/>
          <w:vertAlign w:val="superscript"/>
          <w14:textFill>
            <w14:solidFill>
              <w14:schemeClr w14:val="tx1"/>
            </w14:solidFill>
          </w14:textFill>
        </w:rPr>
        <w:t>3</w:t>
      </w:r>
      <w:r>
        <w:rPr>
          <w:color w:val="000000" w:themeColor="text1"/>
          <w14:textFill>
            <w14:solidFill>
              <w14:schemeClr w14:val="tx1"/>
            </w14:solidFill>
          </w14:textFill>
        </w:rPr>
        <w:t>。</w:t>
      </w:r>
    </w:p>
    <w:p>
      <w:pPr>
        <w:pStyle w:val="1075"/>
        <w:ind w:firstLine="437"/>
        <w:rPr>
          <w:color w:val="000000" w:themeColor="text1"/>
          <w14:textFill>
            <w14:solidFill>
              <w14:schemeClr w14:val="tx1"/>
            </w14:solidFill>
          </w14:textFill>
        </w:rPr>
      </w:pPr>
      <w:bookmarkStart w:id="250" w:name="_Toc369854895"/>
      <w:r>
        <w:rPr>
          <w:color w:val="000000" w:themeColor="text1"/>
          <w14:textFill>
            <w14:solidFill>
              <w14:schemeClr w14:val="tx1"/>
            </w14:solidFill>
          </w14:textFill>
        </w:rPr>
        <w:t>2、“油粒子”法</w:t>
      </w:r>
      <w:bookmarkEnd w:id="250"/>
    </w:p>
    <w:p>
      <w:pPr>
        <w:pStyle w:val="1075"/>
        <w:ind w:firstLine="437"/>
        <w:rPr>
          <w:color w:val="000000" w:themeColor="text1"/>
          <w14:textFill>
            <w14:solidFill>
              <w14:schemeClr w14:val="tx1"/>
            </w14:solidFill>
          </w14:textFill>
        </w:rPr>
      </w:pPr>
      <w:r>
        <w:rPr>
          <w:color w:val="000000" w:themeColor="text1"/>
          <w14:textFill>
            <w14:solidFill>
              <w14:schemeClr w14:val="tx1"/>
            </w14:solidFill>
          </w14:textFill>
        </w:rPr>
        <w:t>油粒子法，顾名思义就是将连续的溢油离散成许多粒子，对这些粒子在欧拉流场下进行追踪。在计算过程中，每个粒子将被赋予一定的属性，比如位置、粘度、密度、抵岸或者悬浮状态等，在模拟结束时，通过计算和分析油粒子的属性来获得对溢油事件的定量或者定性描述。“油粒子法”的提出，突破了以对流扩散为主的传统方法，并且避免在数值计算过程中的“数值振荡”，是溢油模式更新换代的转折点。</w:t>
      </w:r>
    </w:p>
    <w:p>
      <w:pPr>
        <w:pStyle w:val="1075"/>
        <w:ind w:firstLine="437"/>
        <w:rPr>
          <w:color w:val="000000" w:themeColor="text1"/>
          <w14:textFill>
            <w14:solidFill>
              <w14:schemeClr w14:val="tx1"/>
            </w14:solidFill>
          </w14:textFill>
        </w:rPr>
      </w:pPr>
      <w:r>
        <w:rPr>
          <w:color w:val="000000" w:themeColor="text1"/>
          <w14:textFill>
            <w14:solidFill>
              <w14:schemeClr w14:val="tx1"/>
            </w14:solidFill>
          </w14:textFill>
        </w:rPr>
        <w:t>计算中油粒子的数目对计算结果精度的影响是非常明显的。为了模拟湍动扩散效应，必须采用大量的油粒子以获得较为准确的结果。一般来说，精度随着粒子数目的平方根的变化而变化。</w:t>
      </w:r>
    </w:p>
    <w:p>
      <w:pPr>
        <w:pStyle w:val="1075"/>
        <w:ind w:firstLine="437"/>
        <w:rPr>
          <w:color w:val="000000" w:themeColor="text1"/>
          <w14:textFill>
            <w14:solidFill>
              <w14:schemeClr w14:val="tx1"/>
            </w14:solidFill>
          </w14:textFill>
        </w:rPr>
      </w:pPr>
      <w:r>
        <w:rPr>
          <w:color w:val="000000" w:themeColor="text1"/>
          <w14:textFill>
            <w14:solidFill>
              <w14:schemeClr w14:val="tx1"/>
            </w14:solidFill>
          </w14:textFill>
        </w:rPr>
        <w:t>油粒子的数目主要由以下几个因素决定：</w:t>
      </w:r>
    </w:p>
    <w:p>
      <w:pPr>
        <w:pStyle w:val="1075"/>
        <w:ind w:firstLine="437"/>
        <w:rPr>
          <w:color w:val="000000" w:themeColor="text1"/>
          <w14:textFill>
            <w14:solidFill>
              <w14:schemeClr w14:val="tx1"/>
            </w14:solidFill>
          </w14:textFill>
        </w:rPr>
      </w:pPr>
      <w:r>
        <w:rPr>
          <w:color w:val="000000" w:themeColor="text1"/>
          <w14:textFill>
            <w14:solidFill>
              <w14:schemeClr w14:val="tx1"/>
            </w14:solidFill>
          </w14:textFill>
        </w:rPr>
        <w:t>（1）模拟时间的长短；</w:t>
      </w:r>
    </w:p>
    <w:p>
      <w:pPr>
        <w:pStyle w:val="1075"/>
        <w:ind w:firstLine="437"/>
        <w:rPr>
          <w:color w:val="000000" w:themeColor="text1"/>
          <w14:textFill>
            <w14:solidFill>
              <w14:schemeClr w14:val="tx1"/>
            </w14:solidFill>
          </w14:textFill>
        </w:rPr>
      </w:pPr>
      <w:r>
        <w:rPr>
          <w:color w:val="000000" w:themeColor="text1"/>
          <w14:textFill>
            <w14:solidFill>
              <w14:schemeClr w14:val="tx1"/>
            </w14:solidFill>
          </w14:textFill>
        </w:rPr>
        <w:t>（2）粒子扩展尺度的期望值；</w:t>
      </w:r>
    </w:p>
    <w:p>
      <w:pPr>
        <w:pStyle w:val="1075"/>
        <w:ind w:firstLine="437"/>
        <w:rPr>
          <w:color w:val="000000" w:themeColor="text1"/>
          <w14:textFill>
            <w14:solidFill>
              <w14:schemeClr w14:val="tx1"/>
            </w14:solidFill>
          </w14:textFill>
        </w:rPr>
      </w:pPr>
      <w:r>
        <w:rPr>
          <w:color w:val="000000" w:themeColor="text1"/>
          <w14:textFill>
            <w14:solidFill>
              <w14:schemeClr w14:val="tx1"/>
            </w14:solidFill>
          </w14:textFill>
        </w:rPr>
        <w:t>（3）用于统计油粒子数的网格空间不长；</w:t>
      </w:r>
    </w:p>
    <w:p>
      <w:pPr>
        <w:pStyle w:val="1075"/>
        <w:ind w:firstLine="437"/>
        <w:rPr>
          <w:color w:val="000000" w:themeColor="text1"/>
          <w14:textFill>
            <w14:solidFill>
              <w14:schemeClr w14:val="tx1"/>
            </w14:solidFill>
          </w14:textFill>
        </w:rPr>
      </w:pPr>
      <w:r>
        <w:rPr>
          <w:color w:val="000000" w:themeColor="text1"/>
          <w14:textFill>
            <w14:solidFill>
              <w14:schemeClr w14:val="tx1"/>
            </w14:solidFill>
          </w14:textFill>
        </w:rPr>
        <w:t>（4）溢油量；</w:t>
      </w:r>
    </w:p>
    <w:p>
      <w:pPr>
        <w:pStyle w:val="1075"/>
        <w:ind w:firstLine="437"/>
        <w:rPr>
          <w:color w:val="000000" w:themeColor="text1"/>
          <w14:textFill>
            <w14:solidFill>
              <w14:schemeClr w14:val="tx1"/>
            </w14:solidFill>
          </w14:textFill>
        </w:rPr>
      </w:pPr>
      <w:r>
        <w:rPr>
          <w:color w:val="000000" w:themeColor="text1"/>
          <w14:textFill>
            <w14:solidFill>
              <w14:schemeClr w14:val="tx1"/>
            </w14:solidFill>
          </w14:textFill>
        </w:rPr>
        <w:t>（5）垂向分层情况；</w:t>
      </w:r>
    </w:p>
    <w:p>
      <w:pPr>
        <w:pStyle w:val="1075"/>
        <w:ind w:firstLine="437"/>
        <w:rPr>
          <w:color w:val="000000" w:themeColor="text1"/>
          <w14:textFill>
            <w14:solidFill>
              <w14:schemeClr w14:val="tx1"/>
            </w14:solidFill>
          </w14:textFill>
        </w:rPr>
      </w:pPr>
      <w:r>
        <w:rPr>
          <w:color w:val="000000" w:themeColor="text1"/>
          <w14:textFill>
            <w14:solidFill>
              <w14:schemeClr w14:val="tx1"/>
            </w14:solidFill>
          </w14:textFill>
        </w:rPr>
        <w:t>（6）计算域的最小水深。</w:t>
      </w:r>
    </w:p>
    <w:p>
      <w:pPr>
        <w:pStyle w:val="1075"/>
        <w:ind w:firstLine="437"/>
        <w:rPr>
          <w:color w:val="000000" w:themeColor="text1"/>
          <w14:textFill>
            <w14:solidFill>
              <w14:schemeClr w14:val="tx1"/>
            </w14:solidFill>
          </w14:textFill>
        </w:rPr>
      </w:pPr>
      <w:r>
        <w:rPr>
          <w:color w:val="000000" w:themeColor="text1"/>
          <w14:textFill>
            <w14:solidFill>
              <w14:schemeClr w14:val="tx1"/>
            </w14:solidFill>
          </w14:textFill>
        </w:rPr>
        <w:t>从更深的意义上来说，持续排放所采用的粒子数会比瞬时排放的多。</w:t>
      </w:r>
    </w:p>
    <w:p>
      <w:pPr>
        <w:pStyle w:val="1075"/>
        <w:ind w:firstLine="437"/>
        <w:rPr>
          <w:color w:val="000000" w:themeColor="text1"/>
          <w14:textFill>
            <w14:solidFill>
              <w14:schemeClr w14:val="tx1"/>
            </w14:solidFill>
          </w14:textFill>
        </w:rPr>
      </w:pPr>
      <w:r>
        <w:rPr>
          <w:color w:val="000000" w:themeColor="text1"/>
          <w14:textFill>
            <w14:solidFill>
              <w14:schemeClr w14:val="tx1"/>
            </w14:solidFill>
          </w14:textFill>
        </w:rPr>
        <w:t>模拟的精度一般采用最小浓度（厚度）来表示，该浓度（厚度）由单个粒子在一个计算网格单元表征。最小浓度为单个粒子的质量除以其所处的网格的体积，其计算式表示如下：</w:t>
      </w:r>
    </w:p>
    <w:p>
      <w:pPr>
        <w:adjustRightInd w:val="0"/>
        <w:snapToGrid w:val="0"/>
        <w:spacing w:line="360" w:lineRule="auto"/>
        <w:jc w:val="center"/>
        <w:rPr>
          <w:color w:val="000000" w:themeColor="text1"/>
          <w:szCs w:val="22"/>
          <w14:textFill>
            <w14:solidFill>
              <w14:schemeClr w14:val="tx1"/>
            </w14:solidFill>
          </w14:textFill>
        </w:rPr>
      </w:pPr>
      <w:r>
        <w:rPr>
          <w:color w:val="000000" w:themeColor="text1"/>
          <w:szCs w:val="22"/>
          <w14:textFill>
            <w14:solidFill>
              <w14:schemeClr w14:val="tx1"/>
            </w14:solidFill>
          </w14:textFill>
        </w:rPr>
        <w:drawing>
          <wp:inline distT="0" distB="0" distL="0" distR="0">
            <wp:extent cx="2324100" cy="464820"/>
            <wp:effectExtent l="0" t="0" r="0" b="0"/>
            <wp:docPr id="14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图片 13"/>
                    <pic:cNvPicPr>
                      <a:picLocks noChangeAspect="1" noChangeArrowheads="1"/>
                    </pic:cNvPicPr>
                  </pic:nvPicPr>
                  <pic:blipFill>
                    <a:blip r:embed="rId210" cstate="print">
                      <a:extLst>
                        <a:ext uri="{28A0092B-C50C-407E-A947-70E740481C1C}">
                          <a14:useLocalDpi xmlns:a14="http://schemas.microsoft.com/office/drawing/2010/main" val="0"/>
                        </a:ext>
                      </a:extLst>
                    </a:blip>
                    <a:srcRect/>
                    <a:stretch>
                      <a:fillRect/>
                    </a:stretch>
                  </pic:blipFill>
                  <pic:spPr>
                    <a:xfrm>
                      <a:off x="0" y="0"/>
                      <a:ext cx="2324100" cy="464820"/>
                    </a:xfrm>
                    <a:prstGeom prst="rect">
                      <a:avLst/>
                    </a:prstGeom>
                    <a:noFill/>
                    <a:ln>
                      <a:noFill/>
                    </a:ln>
                  </pic:spPr>
                </pic:pic>
              </a:graphicData>
            </a:graphic>
          </wp:inline>
        </w:drawing>
      </w:r>
    </w:p>
    <w:p>
      <w:pPr>
        <w:pStyle w:val="1075"/>
        <w:ind w:firstLine="437"/>
        <w:rPr>
          <w:color w:val="000000" w:themeColor="text1"/>
          <w14:textFill>
            <w14:solidFill>
              <w14:schemeClr w14:val="tx1"/>
            </w14:solidFill>
          </w14:textFill>
        </w:rPr>
      </w:pPr>
      <w:r>
        <w:rPr>
          <w:color w:val="000000" w:themeColor="text1"/>
          <w14:textFill>
            <w14:solidFill>
              <w14:schemeClr w14:val="tx1"/>
            </w14:solidFill>
          </w14:textFill>
        </w:rPr>
        <w:t>式中：</w:t>
      </w:r>
      <w:r>
        <w:rPr>
          <w:color w:val="000000" w:themeColor="text1"/>
          <w14:textFill>
            <w14:solidFill>
              <w14:schemeClr w14:val="tx1"/>
            </w14:solidFill>
          </w14:textFill>
        </w:rPr>
        <w:drawing>
          <wp:inline distT="0" distB="0" distL="0" distR="0">
            <wp:extent cx="297180" cy="220980"/>
            <wp:effectExtent l="0" t="0" r="7620" b="7620"/>
            <wp:docPr id="144"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图片 12"/>
                    <pic:cNvPicPr>
                      <a:picLocks noChangeAspect="1" noChangeArrowheads="1"/>
                    </pic:cNvPicPr>
                  </pic:nvPicPr>
                  <pic:blipFill>
                    <a:blip r:embed="rId211" cstate="print">
                      <a:extLst>
                        <a:ext uri="{28A0092B-C50C-407E-A947-70E740481C1C}">
                          <a14:useLocalDpi xmlns:a14="http://schemas.microsoft.com/office/drawing/2010/main" val="0"/>
                        </a:ext>
                      </a:extLst>
                    </a:blip>
                    <a:srcRect/>
                    <a:stretch>
                      <a:fillRect/>
                    </a:stretch>
                  </pic:blipFill>
                  <pic:spPr>
                    <a:xfrm>
                      <a:off x="0" y="0"/>
                      <a:ext cx="297180" cy="220980"/>
                    </a:xfrm>
                    <a:prstGeom prst="rect">
                      <a:avLst/>
                    </a:prstGeom>
                    <a:noFill/>
                    <a:ln>
                      <a:noFill/>
                    </a:ln>
                  </pic:spPr>
                </pic:pic>
              </a:graphicData>
            </a:graphic>
          </wp:inline>
        </w:drawing>
      </w:r>
      <w:r>
        <w:rPr>
          <w:color w:val="000000" w:themeColor="text1"/>
          <w14:textFill>
            <w14:solidFill>
              <w14:schemeClr w14:val="tx1"/>
            </w14:solidFill>
          </w14:textFill>
        </w:rPr>
        <w:t>——最小厚度；</w:t>
      </w:r>
    </w:p>
    <w:p>
      <w:pPr>
        <w:pStyle w:val="1075"/>
        <w:ind w:firstLine="437"/>
        <w:rPr>
          <w:color w:val="000000" w:themeColor="text1"/>
          <w14:textFill>
            <w14:solidFill>
              <w14:schemeClr w14:val="tx1"/>
            </w14:solidFill>
          </w14:textFill>
        </w:rPr>
      </w:pPr>
      <w:r>
        <w:rPr>
          <w:color w:val="000000" w:themeColor="text1"/>
          <w14:textFill>
            <w14:solidFill>
              <w14:schemeClr w14:val="tx1"/>
            </w14:solidFill>
          </w14:textFill>
        </w:rPr>
        <w:drawing>
          <wp:inline distT="0" distB="0" distL="0" distR="0">
            <wp:extent cx="449580" cy="243840"/>
            <wp:effectExtent l="0" t="0" r="7620" b="3810"/>
            <wp:docPr id="145"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图片 11"/>
                    <pic:cNvPicPr>
                      <a:picLocks noChangeAspect="1" noChangeArrowheads="1"/>
                    </pic:cNvPicPr>
                  </pic:nvPicPr>
                  <pic:blipFill>
                    <a:blip r:embed="rId212" cstate="print">
                      <a:extLst>
                        <a:ext uri="{28A0092B-C50C-407E-A947-70E740481C1C}">
                          <a14:useLocalDpi xmlns:a14="http://schemas.microsoft.com/office/drawing/2010/main" val="0"/>
                        </a:ext>
                      </a:extLst>
                    </a:blip>
                    <a:srcRect/>
                    <a:stretch>
                      <a:fillRect/>
                    </a:stretch>
                  </pic:blipFill>
                  <pic:spPr>
                    <a:xfrm>
                      <a:off x="0" y="0"/>
                      <a:ext cx="449580" cy="243840"/>
                    </a:xfrm>
                    <a:prstGeom prst="rect">
                      <a:avLst/>
                    </a:prstGeom>
                    <a:noFill/>
                    <a:ln>
                      <a:noFill/>
                    </a:ln>
                  </pic:spPr>
                </pic:pic>
              </a:graphicData>
            </a:graphic>
          </wp:inline>
        </w:drawing>
      </w:r>
      <w:r>
        <w:rPr>
          <w:color w:val="000000" w:themeColor="text1"/>
          <w14:textFill>
            <w14:solidFill>
              <w14:schemeClr w14:val="tx1"/>
            </w14:solidFill>
          </w14:textFill>
        </w:rPr>
        <w:t>——每个油粒子的体积；</w:t>
      </w:r>
    </w:p>
    <w:p>
      <w:pPr>
        <w:pStyle w:val="1075"/>
        <w:ind w:firstLine="437"/>
        <w:rPr>
          <w:color w:val="000000" w:themeColor="text1"/>
          <w14:textFill>
            <w14:solidFill>
              <w14:schemeClr w14:val="tx1"/>
            </w14:solidFill>
          </w14:textFill>
        </w:rPr>
      </w:pPr>
      <w:r>
        <w:rPr>
          <w:color w:val="000000" w:themeColor="text1"/>
          <w14:textFill>
            <w14:solidFill>
              <w14:schemeClr w14:val="tx1"/>
            </w14:solidFill>
          </w14:textFill>
        </w:rPr>
        <w:drawing>
          <wp:inline distT="0" distB="0" distL="0" distR="0">
            <wp:extent cx="274320" cy="220980"/>
            <wp:effectExtent l="0" t="0" r="0" b="7620"/>
            <wp:docPr id="146"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图片 10"/>
                    <pic:cNvPicPr>
                      <a:picLocks noChangeAspect="1" noChangeArrowheads="1"/>
                    </pic:cNvPicPr>
                  </pic:nvPicPr>
                  <pic:blipFill>
                    <a:blip r:embed="rId213" cstate="print">
                      <a:extLst>
                        <a:ext uri="{28A0092B-C50C-407E-A947-70E740481C1C}">
                          <a14:useLocalDpi xmlns:a14="http://schemas.microsoft.com/office/drawing/2010/main" val="0"/>
                        </a:ext>
                      </a:extLst>
                    </a:blip>
                    <a:srcRect/>
                    <a:stretch>
                      <a:fillRect/>
                    </a:stretch>
                  </pic:blipFill>
                  <pic:spPr>
                    <a:xfrm>
                      <a:off x="0" y="0"/>
                      <a:ext cx="274320" cy="220980"/>
                    </a:xfrm>
                    <a:prstGeom prst="rect">
                      <a:avLst/>
                    </a:prstGeom>
                    <a:noFill/>
                    <a:ln>
                      <a:noFill/>
                    </a:ln>
                  </pic:spPr>
                </pic:pic>
              </a:graphicData>
            </a:graphic>
          </wp:inline>
        </w:drawing>
      </w:r>
      <w:r>
        <w:rPr>
          <w:color w:val="000000" w:themeColor="text1"/>
          <w14:textFill>
            <w14:solidFill>
              <w14:schemeClr w14:val="tx1"/>
            </w14:solidFill>
          </w14:textFill>
        </w:rPr>
        <w:t>——网格单元的面积；</w:t>
      </w:r>
    </w:p>
    <w:p>
      <w:pPr>
        <w:pStyle w:val="1075"/>
        <w:ind w:firstLine="437"/>
        <w:rPr>
          <w:color w:val="000000" w:themeColor="text1"/>
          <w14:textFill>
            <w14:solidFill>
              <w14:schemeClr w14:val="tx1"/>
            </w14:solidFill>
          </w14:textFill>
        </w:rPr>
      </w:pPr>
      <w:r>
        <w:rPr>
          <w:color w:val="000000" w:themeColor="text1"/>
          <w14:textFill>
            <w14:solidFill>
              <w14:schemeClr w14:val="tx1"/>
            </w14:solidFill>
          </w14:textFill>
        </w:rPr>
        <w:drawing>
          <wp:inline distT="0" distB="0" distL="0" distR="0">
            <wp:extent cx="304800" cy="243840"/>
            <wp:effectExtent l="0" t="0" r="0" b="3810"/>
            <wp:docPr id="147"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图片 9"/>
                    <pic:cNvPicPr>
                      <a:picLocks noChangeAspect="1" noChangeArrowheads="1"/>
                    </pic:cNvPicPr>
                  </pic:nvPicPr>
                  <pic:blipFill>
                    <a:blip r:embed="rId214" cstate="print">
                      <a:extLst>
                        <a:ext uri="{28A0092B-C50C-407E-A947-70E740481C1C}">
                          <a14:useLocalDpi xmlns:a14="http://schemas.microsoft.com/office/drawing/2010/main" val="0"/>
                        </a:ext>
                      </a:extLst>
                    </a:blip>
                    <a:srcRect/>
                    <a:stretch>
                      <a:fillRect/>
                    </a:stretch>
                  </pic:blipFill>
                  <pic:spPr>
                    <a:xfrm>
                      <a:off x="0" y="0"/>
                      <a:ext cx="304800" cy="243840"/>
                    </a:xfrm>
                    <a:prstGeom prst="rect">
                      <a:avLst/>
                    </a:prstGeom>
                    <a:noFill/>
                    <a:ln>
                      <a:noFill/>
                    </a:ln>
                  </pic:spPr>
                </pic:pic>
              </a:graphicData>
            </a:graphic>
          </wp:inline>
        </w:drawing>
      </w:r>
      <w:r>
        <w:rPr>
          <w:color w:val="000000" w:themeColor="text1"/>
          <w14:textFill>
            <w14:solidFill>
              <w14:schemeClr w14:val="tx1"/>
            </w14:solidFill>
          </w14:textFill>
        </w:rPr>
        <w:t>——局部水层的厚度。</w:t>
      </w:r>
    </w:p>
    <w:p>
      <w:pPr>
        <w:pStyle w:val="1075"/>
        <w:ind w:firstLine="439"/>
        <w:rPr>
          <w:b/>
          <w:color w:val="000000" w:themeColor="text1"/>
          <w14:textFill>
            <w14:solidFill>
              <w14:schemeClr w14:val="tx1"/>
            </w14:solidFill>
          </w14:textFill>
        </w:rPr>
      </w:pPr>
      <w:bookmarkStart w:id="251" w:name="_Toc298266869"/>
      <w:bookmarkStart w:id="252" w:name="_Toc295659843"/>
      <w:bookmarkStart w:id="253" w:name="_Toc54202002"/>
      <w:bookmarkStart w:id="254" w:name="_Toc369854896"/>
      <w:r>
        <w:rPr>
          <w:b/>
          <w:color w:val="000000" w:themeColor="text1"/>
          <w14:textFill>
            <w14:solidFill>
              <w14:schemeClr w14:val="tx1"/>
            </w14:solidFill>
          </w14:textFill>
        </w:rPr>
        <w:t>三、溢油初始参数</w:t>
      </w:r>
      <w:bookmarkEnd w:id="251"/>
      <w:bookmarkEnd w:id="252"/>
      <w:r>
        <w:rPr>
          <w:b/>
          <w:color w:val="000000" w:themeColor="text1"/>
          <w14:textFill>
            <w14:solidFill>
              <w14:schemeClr w14:val="tx1"/>
            </w14:solidFill>
          </w14:textFill>
        </w:rPr>
        <w:t>设置与条件</w:t>
      </w:r>
      <w:bookmarkEnd w:id="253"/>
      <w:bookmarkEnd w:id="254"/>
    </w:p>
    <w:p>
      <w:pPr>
        <w:pStyle w:val="1075"/>
        <w:ind w:firstLine="437"/>
        <w:rPr>
          <w:color w:val="000000" w:themeColor="text1"/>
          <w14:textFill>
            <w14:solidFill>
              <w14:schemeClr w14:val="tx1"/>
            </w14:solidFill>
          </w14:textFill>
        </w:rPr>
      </w:pPr>
      <w:r>
        <w:rPr>
          <w:color w:val="000000" w:themeColor="text1"/>
          <w14:textFill>
            <w14:solidFill>
              <w14:schemeClr w14:val="tx1"/>
            </w14:solidFill>
          </w14:textFill>
        </w:rPr>
        <w:t>模型的初始参数设置包括动力参数、油品参数设置、溢油位置选取等。动力参数设置主要包括风应力系数及风偏向角的取值，其中，风应力系数的取值一般在2%～6%之间，而风偏向角的取值范围为10～40°。此外，风偏向角还应依赖于模拟海域的科氏力效应，鉴于本次计算海域纬度跨度较小，科氏力效应对风偏向角的影响可忽略不计，因此，在计算过程中，将风偏向角设为常数。</w:t>
      </w:r>
    </w:p>
    <w:p>
      <w:pPr>
        <w:pStyle w:val="1075"/>
        <w:ind w:firstLine="437"/>
        <w:rPr>
          <w:color w:val="000000" w:themeColor="text1"/>
          <w14:textFill>
            <w14:solidFill>
              <w14:schemeClr w14:val="tx1"/>
            </w14:solidFill>
          </w14:textFill>
        </w:rPr>
      </w:pPr>
      <w:r>
        <w:rPr>
          <w:color w:val="000000" w:themeColor="text1"/>
          <w14:textFill>
            <w14:solidFill>
              <w14:schemeClr w14:val="tx1"/>
            </w14:solidFill>
          </w14:textFill>
        </w:rPr>
        <w:t>油品参数设置主要确定油品的初始属性值，包括倾点、密度、粘度、API以及油品在蒸馏曲线中的蒸发百分比及其相应的组分沸点温度，这部分的资料主要参考ADIOS2中的油品数据库。</w:t>
      </w:r>
    </w:p>
    <w:p>
      <w:pPr>
        <w:pStyle w:val="1075"/>
        <w:ind w:firstLine="437"/>
        <w:rPr>
          <w:color w:val="000000" w:themeColor="text1"/>
          <w14:textFill>
            <w14:solidFill>
              <w14:schemeClr w14:val="tx1"/>
            </w14:solidFill>
          </w14:textFill>
        </w:rPr>
      </w:pPr>
      <w:r>
        <w:rPr>
          <w:color w:val="000000" w:themeColor="text1"/>
          <w14:textFill>
            <w14:solidFill>
              <w14:schemeClr w14:val="tx1"/>
            </w14:solidFill>
          </w14:textFill>
        </w:rPr>
        <w:t>通过潮流模型，预测出研究海域的潮流场，为溢油模拟预测提供水动力条件，选择高潮和低潮2个具有代表性的时刻作为溢油初始时间。</w:t>
      </w:r>
    </w:p>
    <w:p>
      <w:pPr>
        <w:pStyle w:val="1075"/>
        <w:ind w:firstLine="437"/>
        <w:rPr>
          <w:color w:val="000000" w:themeColor="text1"/>
          <w14:textFill>
            <w14:solidFill>
              <w14:schemeClr w14:val="tx1"/>
            </w14:solidFill>
          </w14:textFill>
        </w:rPr>
      </w:pPr>
      <w:r>
        <w:rPr>
          <w:color w:val="000000" w:themeColor="text1"/>
          <w14:textFill>
            <w14:solidFill>
              <w14:schemeClr w14:val="tx1"/>
            </w14:solidFill>
          </w14:textFill>
        </w:rPr>
        <w:t>（1）溢油事故位置</w:t>
      </w:r>
    </w:p>
    <w:p>
      <w:pPr>
        <w:pStyle w:val="1075"/>
        <w:ind w:firstLine="437"/>
        <w:rPr>
          <w:color w:val="000000" w:themeColor="text1"/>
          <w14:textFill>
            <w14:solidFill>
              <w14:schemeClr w14:val="tx1"/>
            </w14:solidFill>
          </w14:textFill>
        </w:rPr>
      </w:pPr>
      <w:r>
        <w:rPr>
          <w:color w:val="000000" w:themeColor="text1"/>
          <w14:textFill>
            <w14:solidFill>
              <w14:schemeClr w14:val="tx1"/>
            </w14:solidFill>
          </w14:textFill>
        </w:rPr>
        <w:t>根据前述源项分析章节，溢油事故发生的具体位置见图4.</w:t>
      </w:r>
      <w:r>
        <w:rPr>
          <w:rFonts w:hint="eastAsia"/>
          <w:color w:val="000000" w:themeColor="text1"/>
          <w14:textFill>
            <w14:solidFill>
              <w14:schemeClr w14:val="tx1"/>
            </w14:solidFill>
          </w14:textFill>
        </w:rPr>
        <w:t>6</w:t>
      </w:r>
      <w:r>
        <w:rPr>
          <w:color w:val="000000" w:themeColor="text1"/>
          <w14:textFill>
            <w14:solidFill>
              <w14:schemeClr w14:val="tx1"/>
            </w14:solidFill>
          </w14:textFill>
        </w:rPr>
        <w:t>-1。</w:t>
      </w:r>
    </w:p>
    <w:p>
      <w:pPr>
        <w:pStyle w:val="1075"/>
        <w:ind w:firstLine="437"/>
        <w:rPr>
          <w:color w:val="000000" w:themeColor="text1"/>
          <w14:textFill>
            <w14:solidFill>
              <w14:schemeClr w14:val="tx1"/>
            </w14:solidFill>
          </w14:textFill>
        </w:rPr>
      </w:pPr>
      <w:r>
        <w:rPr>
          <w:color w:val="000000" w:themeColor="text1"/>
          <w14:textFill>
            <w14:solidFill>
              <w14:schemeClr w14:val="tx1"/>
            </w14:solidFill>
          </w14:textFill>
        </w:rPr>
        <w:t>（2）溢油事故源强</w:t>
      </w:r>
    </w:p>
    <w:p>
      <w:pPr>
        <w:pStyle w:val="1075"/>
        <w:ind w:firstLine="437"/>
        <w:rPr>
          <w:color w:val="000000" w:themeColor="text1"/>
          <w14:textFill>
            <w14:solidFill>
              <w14:schemeClr w14:val="tx1"/>
            </w14:solidFill>
          </w14:textFill>
        </w:rPr>
      </w:pPr>
      <w:r>
        <w:rPr>
          <w:rFonts w:hint="eastAsia"/>
          <w:color w:val="000000" w:themeColor="text1"/>
          <w14:textFill>
            <w14:solidFill>
              <w14:schemeClr w14:val="tx1"/>
            </w14:solidFill>
          </w14:textFill>
        </w:rPr>
        <w:t>本工程可同时靠泊2艘设计代表船型为200000万吨级的集装箱船，船用单舱燃料油总量</w:t>
      </w:r>
      <w:r>
        <w:rPr>
          <w:rFonts w:hint="eastAsia" w:cs="Arial"/>
          <w:b/>
          <w:color w:val="000000" w:themeColor="text1"/>
          <w:szCs w:val="32"/>
          <w14:textFill>
            <w14:solidFill>
              <w14:schemeClr w14:val="tx1"/>
            </w14:solidFill>
          </w14:textFill>
        </w:rPr>
        <w:t>为</w:t>
      </w:r>
      <w:r>
        <w:rPr>
          <w:rFonts w:hint="eastAsia"/>
          <w:color w:val="000000" w:themeColor="text1"/>
          <w14:textFill>
            <w14:solidFill>
              <w14:schemeClr w14:val="tx1"/>
            </w14:solidFill>
          </w14:textFill>
        </w:rPr>
        <w:t>2500</w:t>
      </w:r>
      <w:r>
        <w:rPr>
          <w:rFonts w:cs="Arial"/>
          <w:b/>
          <w:color w:val="000000" w:themeColor="text1"/>
          <w:szCs w:val="32"/>
          <w14:textFill>
            <w14:solidFill>
              <w14:schemeClr w14:val="tx1"/>
            </w14:solidFill>
          </w14:textFill>
        </w:rPr>
        <w:t>t</w:t>
      </w:r>
      <w:r>
        <w:rPr>
          <w:rFonts w:hint="eastAsia" w:cs="Arial"/>
          <w:b/>
          <w:color w:val="000000" w:themeColor="text1"/>
          <w:szCs w:val="32"/>
          <w14:textFill>
            <w14:solidFill>
              <w14:schemeClr w14:val="tx1"/>
            </w14:solidFill>
          </w14:textFill>
        </w:rPr>
        <w:t>，</w:t>
      </w:r>
      <w:r>
        <w:rPr>
          <w:rFonts w:hint="eastAsia"/>
          <w:color w:val="000000" w:themeColor="text1"/>
          <w14:textFill>
            <w14:solidFill>
              <w14:schemeClr w14:val="tx1"/>
            </w14:solidFill>
          </w14:textFill>
        </w:rPr>
        <w:t>以此作为溢油事故发生时的源强。</w:t>
      </w:r>
      <w:r>
        <w:rPr>
          <w:color w:val="000000" w:themeColor="text1"/>
          <w14:textFill>
            <w14:solidFill>
              <w14:schemeClr w14:val="tx1"/>
            </w14:solidFill>
          </w14:textFill>
        </w:rPr>
        <w:t>各溢油事故发生点的源强见表</w:t>
      </w:r>
      <w:r>
        <w:rPr>
          <w:rFonts w:hint="eastAsia"/>
          <w:color w:val="000000" w:themeColor="text1"/>
          <w14:textFill>
            <w14:solidFill>
              <w14:schemeClr w14:val="tx1"/>
            </w14:solidFill>
          </w14:textFill>
        </w:rPr>
        <w:t>4.6-9</w:t>
      </w:r>
      <w:r>
        <w:rPr>
          <w:color w:val="000000" w:themeColor="text1"/>
          <w14:textFill>
            <w14:solidFill>
              <w14:schemeClr w14:val="tx1"/>
            </w14:solidFill>
          </w14:textFill>
        </w:rPr>
        <w:t>。</w:t>
      </w:r>
    </w:p>
    <w:p>
      <w:pPr>
        <w:pStyle w:val="1075"/>
        <w:ind w:firstLine="437"/>
        <w:rPr>
          <w:color w:val="000000" w:themeColor="text1"/>
          <w14:textFill>
            <w14:solidFill>
              <w14:schemeClr w14:val="tx1"/>
            </w14:solidFill>
          </w14:textFill>
        </w:rPr>
      </w:pPr>
      <w:r>
        <w:rPr>
          <w:color w:val="000000" w:themeColor="text1"/>
          <w14:textFill>
            <w14:solidFill>
              <w14:schemeClr w14:val="tx1"/>
            </w14:solidFill>
          </w14:textFill>
        </w:rPr>
        <w:t>（3）事故环境条件</w:t>
      </w:r>
    </w:p>
    <w:p>
      <w:pPr>
        <w:pStyle w:val="1075"/>
        <w:ind w:firstLine="437"/>
        <w:rPr>
          <w:color w:val="000000" w:themeColor="text1"/>
          <w14:textFill>
            <w14:solidFill>
              <w14:schemeClr w14:val="tx1"/>
            </w14:solidFill>
          </w14:textFill>
        </w:rPr>
      </w:pPr>
      <w:r>
        <w:rPr>
          <w:color w:val="000000" w:themeColor="text1"/>
          <w14:textFill>
            <w14:solidFill>
              <w14:schemeClr w14:val="tx1"/>
            </w14:solidFill>
          </w14:textFill>
        </w:rPr>
        <w:t>根据工程附近气象站的风场气象资料，对工程海域气象特征进行统计分析。</w:t>
      </w:r>
    </w:p>
    <w:p>
      <w:pPr>
        <w:pStyle w:val="1075"/>
        <w:ind w:firstLine="437"/>
        <w:rPr>
          <w:color w:val="000000" w:themeColor="text1"/>
          <w14:textFill>
            <w14:solidFill>
              <w14:schemeClr w14:val="tx1"/>
            </w14:solidFill>
          </w14:textFill>
        </w:rPr>
      </w:pPr>
      <w:r>
        <w:rPr>
          <w:color w:val="000000" w:themeColor="text1"/>
          <w14:textFill>
            <w14:solidFill>
              <w14:schemeClr w14:val="tx1"/>
            </w14:solidFill>
          </w14:textFill>
        </w:rPr>
        <w:t>按照</w:t>
      </w:r>
      <w:r>
        <w:rPr>
          <w:rFonts w:hint="eastAsia"/>
          <w:color w:val="000000" w:themeColor="text1"/>
          <w14:textFill>
            <w14:solidFill>
              <w14:schemeClr w14:val="tx1"/>
            </w14:solidFill>
          </w14:textFill>
        </w:rPr>
        <w:t>《水上溢油环境风险评估技术导则》（JT-T1143-2017）</w:t>
      </w:r>
      <w:r>
        <w:rPr>
          <w:color w:val="000000" w:themeColor="text1"/>
          <w14:textFill>
            <w14:solidFill>
              <w14:schemeClr w14:val="tx1"/>
            </w14:solidFill>
          </w14:textFill>
        </w:rPr>
        <w:t>要求，在对工程附近气象站的历史风场资料分析的基础上，选择S（</w:t>
      </w:r>
      <w:r>
        <w:rPr>
          <w:rFonts w:hint="eastAsia"/>
          <w:color w:val="000000" w:themeColor="text1"/>
          <w14:textFill>
            <w14:solidFill>
              <w14:schemeClr w14:val="tx1"/>
            </w14:solidFill>
          </w14:textFill>
        </w:rPr>
        <w:t>夏季</w:t>
      </w:r>
      <w:r>
        <w:rPr>
          <w:color w:val="000000" w:themeColor="text1"/>
          <w14:textFill>
            <w14:solidFill>
              <w14:schemeClr w14:val="tx1"/>
            </w14:solidFill>
          </w14:textFill>
        </w:rPr>
        <w:t>主频风）、N（</w:t>
      </w:r>
      <w:r>
        <w:rPr>
          <w:rFonts w:hint="eastAsia"/>
          <w:color w:val="000000" w:themeColor="text1"/>
          <w14:textFill>
            <w14:solidFill>
              <w14:schemeClr w14:val="tx1"/>
            </w14:solidFill>
          </w14:textFill>
        </w:rPr>
        <w:t>冬季</w:t>
      </w:r>
      <w:r>
        <w:rPr>
          <w:color w:val="000000" w:themeColor="text1"/>
          <w14:textFill>
            <w14:solidFill>
              <w14:schemeClr w14:val="tx1"/>
            </w14:solidFill>
          </w14:textFill>
        </w:rPr>
        <w:t>主频风）、SE（不利风）、NE（不利风）作为本次溢油事故模拟的特征风场，各溢油点对应的不利风向见表</w:t>
      </w:r>
      <w:r>
        <w:rPr>
          <w:rFonts w:hint="eastAsia"/>
          <w:color w:val="000000" w:themeColor="text1"/>
          <w14:textFill>
            <w14:solidFill>
              <w14:schemeClr w14:val="tx1"/>
            </w14:solidFill>
          </w14:textFill>
        </w:rPr>
        <w:t>4.6-9</w:t>
      </w:r>
      <w:r>
        <w:rPr>
          <w:color w:val="000000" w:themeColor="text1"/>
          <w14:textFill>
            <w14:solidFill>
              <w14:schemeClr w14:val="tx1"/>
            </w14:solidFill>
          </w14:textFill>
        </w:rPr>
        <w:t>。其中，主频风对应的风速以平均风速考量；不利风向的选择则以尽可能多</w:t>
      </w:r>
      <w:r>
        <w:rPr>
          <w:rFonts w:hint="eastAsia"/>
          <w:color w:val="000000" w:themeColor="text1"/>
          <w14:textFill>
            <w14:solidFill>
              <w14:schemeClr w14:val="tx1"/>
            </w14:solidFill>
          </w14:textFill>
        </w:rPr>
        <w:t>的</w:t>
      </w:r>
      <w:r>
        <w:rPr>
          <w:color w:val="000000" w:themeColor="text1"/>
          <w14:textFill>
            <w14:solidFill>
              <w14:schemeClr w14:val="tx1"/>
            </w14:solidFill>
          </w14:textFill>
        </w:rPr>
        <w:t>危害敏感目标为依据</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其风速值则选取该风向下的历史风速最大值。按照风潮组合情况共</w:t>
      </w:r>
      <w:r>
        <w:rPr>
          <w:rFonts w:hint="eastAsia"/>
          <w:color w:val="000000" w:themeColor="text1"/>
          <w14:textFill>
            <w14:solidFill>
              <w14:schemeClr w14:val="tx1"/>
            </w14:solidFill>
          </w14:textFill>
        </w:rPr>
        <w:t>8</w:t>
      </w:r>
      <w:r>
        <w:rPr>
          <w:color w:val="000000" w:themeColor="text1"/>
          <w14:textFill>
            <w14:solidFill>
              <w14:schemeClr w14:val="tx1"/>
            </w14:solidFill>
          </w14:textFill>
        </w:rPr>
        <w:t>种预测方案。此外，本海区年平均气温为23.0°C。</w:t>
      </w:r>
    </w:p>
    <w:p>
      <w:pPr>
        <w:adjustRightInd w:val="0"/>
        <w:snapToGrid w:val="0"/>
        <w:spacing w:line="360" w:lineRule="auto"/>
        <w:jc w:val="center"/>
        <w:rPr>
          <w:color w:val="000000" w:themeColor="text1"/>
          <w:szCs w:val="22"/>
          <w14:textFill>
            <w14:solidFill>
              <w14:schemeClr w14:val="tx1"/>
            </w14:solidFill>
          </w14:textFill>
        </w:rPr>
      </w:pPr>
    </w:p>
    <w:p>
      <w:pPr>
        <w:pStyle w:val="553"/>
        <w:rPr>
          <w:color w:val="000000" w:themeColor="text1"/>
          <w14:textFill>
            <w14:solidFill>
              <w14:schemeClr w14:val="tx1"/>
            </w14:solidFill>
          </w14:textFill>
        </w:rPr>
      </w:pPr>
      <w:r>
        <w:rPr>
          <w:color w:val="000000" w:themeColor="text1"/>
          <w14:textFill>
            <w14:solidFill>
              <w14:schemeClr w14:val="tx1"/>
            </w14:solidFill>
          </w14:textFill>
        </w:rPr>
        <w:t>溢油点和敏感目标分布</w:t>
      </w:r>
    </w:p>
    <w:p>
      <w:pPr>
        <w:pStyle w:val="384"/>
        <w:ind w:left="0" w:firstLine="0"/>
        <w:rPr>
          <w:rFonts w:cs="Times New Roman"/>
          <w:color w:val="000000" w:themeColor="text1"/>
          <w:szCs w:val="22"/>
          <w14:textFill>
            <w14:solidFill>
              <w14:schemeClr w14:val="tx1"/>
            </w14:solidFill>
          </w14:textFill>
        </w:rPr>
      </w:pPr>
      <w:r>
        <w:rPr>
          <w:rFonts w:cs="Times New Roman"/>
          <w:color w:val="000000" w:themeColor="text1"/>
          <w14:textFill>
            <w14:solidFill>
              <w14:schemeClr w14:val="tx1"/>
            </w14:solidFill>
          </w14:textFill>
        </w:rPr>
        <w:t>事故模拟情景及参数表</w:t>
      </w:r>
    </w:p>
    <w:tbl>
      <w:tblPr>
        <w:tblStyle w:val="88"/>
        <w:tblW w:w="8528" w:type="dxa"/>
        <w:jc w:val="center"/>
        <w:tblInd w:w="0" w:type="dxa"/>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
      <w:tblGrid>
        <w:gridCol w:w="731"/>
        <w:gridCol w:w="1503"/>
        <w:gridCol w:w="2968"/>
        <w:gridCol w:w="3326"/>
      </w:tblGrid>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blHeader/>
          <w:jc w:val="center"/>
        </w:trPr>
        <w:tc>
          <w:tcPr>
            <w:tcW w:w="8528" w:type="dxa"/>
            <w:gridSpan w:val="4"/>
            <w:tcBorders>
              <w:top w:val="single" w:color="000000" w:sz="12" w:space="0"/>
              <w:left w:val="single" w:color="000000" w:sz="12" w:space="0"/>
              <w:bottom w:val="single" w:color="auto" w:sz="6" w:space="0"/>
              <w:right w:val="single" w:color="000000" w:sz="12" w:space="0"/>
            </w:tcBorders>
            <w:shd w:val="clear" w:color="auto" w:fill="auto"/>
            <w:vAlign w:val="center"/>
          </w:tcPr>
          <w:p>
            <w:pPr>
              <w:pStyle w:val="2001"/>
            </w:pPr>
            <w:r>
              <w:t>燃料油泄漏</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cantSplit/>
          <w:jc w:val="center"/>
        </w:trPr>
        <w:tc>
          <w:tcPr>
            <w:tcW w:w="731" w:type="dxa"/>
            <w:vMerge w:val="restart"/>
            <w:tcBorders>
              <w:top w:val="single" w:color="auto" w:sz="6" w:space="0"/>
              <w:left w:val="single" w:color="000000" w:sz="12" w:space="0"/>
              <w:bottom w:val="single" w:color="auto" w:sz="6" w:space="0"/>
              <w:right w:val="single" w:color="auto" w:sz="6" w:space="0"/>
            </w:tcBorders>
            <w:vAlign w:val="center"/>
          </w:tcPr>
          <w:p>
            <w:pPr>
              <w:pStyle w:val="2001"/>
            </w:pPr>
            <w:r>
              <w:t>源强信息</w:t>
            </w:r>
          </w:p>
        </w:tc>
        <w:tc>
          <w:tcPr>
            <w:tcW w:w="1503" w:type="dxa"/>
            <w:tcBorders>
              <w:top w:val="single" w:color="auto" w:sz="6" w:space="0"/>
              <w:left w:val="single" w:color="auto" w:sz="6" w:space="0"/>
              <w:bottom w:val="single" w:color="auto" w:sz="6" w:space="0"/>
              <w:right w:val="single" w:color="auto" w:sz="6" w:space="0"/>
            </w:tcBorders>
            <w:vAlign w:val="center"/>
          </w:tcPr>
          <w:p>
            <w:pPr>
              <w:pStyle w:val="2001"/>
            </w:pPr>
            <w:r>
              <w:t>潮时</w:t>
            </w:r>
          </w:p>
        </w:tc>
        <w:tc>
          <w:tcPr>
            <w:tcW w:w="6294" w:type="dxa"/>
            <w:gridSpan w:val="2"/>
            <w:tcBorders>
              <w:top w:val="single" w:color="auto" w:sz="6" w:space="0"/>
              <w:left w:val="single" w:color="auto" w:sz="6" w:space="0"/>
              <w:bottom w:val="single" w:color="auto" w:sz="6" w:space="0"/>
              <w:right w:val="single" w:color="000000" w:sz="12" w:space="0"/>
            </w:tcBorders>
            <w:vAlign w:val="center"/>
          </w:tcPr>
          <w:p>
            <w:pPr>
              <w:pStyle w:val="2001"/>
            </w:pPr>
            <w:r>
              <w:rPr>
                <w:rFonts w:hint="eastAsia"/>
              </w:rPr>
              <w:t>高、低潮</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cantSplit/>
          <w:jc w:val="center"/>
        </w:trPr>
        <w:tc>
          <w:tcPr>
            <w:tcW w:w="731" w:type="dxa"/>
            <w:vMerge w:val="continue"/>
            <w:tcBorders>
              <w:top w:val="single" w:color="auto" w:sz="6" w:space="0"/>
              <w:left w:val="single" w:color="000000" w:sz="12" w:space="0"/>
              <w:bottom w:val="single" w:color="auto" w:sz="6" w:space="0"/>
              <w:right w:val="single" w:color="auto" w:sz="6" w:space="0"/>
            </w:tcBorders>
            <w:vAlign w:val="center"/>
          </w:tcPr>
          <w:p>
            <w:pPr>
              <w:pStyle w:val="2001"/>
            </w:pPr>
          </w:p>
        </w:tc>
        <w:tc>
          <w:tcPr>
            <w:tcW w:w="1503" w:type="dxa"/>
            <w:tcBorders>
              <w:top w:val="single" w:color="auto" w:sz="6" w:space="0"/>
              <w:left w:val="single" w:color="auto" w:sz="6" w:space="0"/>
              <w:bottom w:val="single" w:color="auto" w:sz="6" w:space="0"/>
              <w:right w:val="single" w:color="auto" w:sz="6" w:space="0"/>
            </w:tcBorders>
            <w:vAlign w:val="center"/>
          </w:tcPr>
          <w:p>
            <w:pPr>
              <w:pStyle w:val="2001"/>
            </w:pPr>
            <w:r>
              <w:t>泄漏量</w:t>
            </w:r>
          </w:p>
        </w:tc>
        <w:tc>
          <w:tcPr>
            <w:tcW w:w="6294" w:type="dxa"/>
            <w:gridSpan w:val="2"/>
            <w:tcBorders>
              <w:top w:val="single" w:color="auto" w:sz="6" w:space="0"/>
              <w:left w:val="single" w:color="auto" w:sz="6" w:space="0"/>
              <w:bottom w:val="single" w:color="auto" w:sz="6" w:space="0"/>
              <w:right w:val="single" w:color="000000" w:sz="12" w:space="0"/>
            </w:tcBorders>
            <w:vAlign w:val="center"/>
          </w:tcPr>
          <w:p>
            <w:pPr>
              <w:pStyle w:val="1856"/>
              <w:snapToGrid w:val="0"/>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2500</w:t>
            </w:r>
            <w:r>
              <w:rPr>
                <w:color w:val="000000" w:themeColor="text1"/>
                <w:sz w:val="21"/>
                <w:szCs w:val="21"/>
                <w14:textFill>
                  <w14:solidFill>
                    <w14:schemeClr w14:val="tx1"/>
                  </w14:solidFill>
                </w14:textFill>
              </w:rPr>
              <w:t>t</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cantSplit/>
          <w:jc w:val="center"/>
        </w:trPr>
        <w:tc>
          <w:tcPr>
            <w:tcW w:w="731" w:type="dxa"/>
            <w:vMerge w:val="continue"/>
            <w:tcBorders>
              <w:top w:val="single" w:color="auto" w:sz="6" w:space="0"/>
              <w:left w:val="single" w:color="000000" w:sz="12" w:space="0"/>
              <w:bottom w:val="single" w:color="auto" w:sz="6" w:space="0"/>
              <w:right w:val="single" w:color="auto" w:sz="6" w:space="0"/>
            </w:tcBorders>
            <w:vAlign w:val="center"/>
          </w:tcPr>
          <w:p>
            <w:pPr>
              <w:pStyle w:val="2001"/>
            </w:pPr>
          </w:p>
        </w:tc>
        <w:tc>
          <w:tcPr>
            <w:tcW w:w="1503" w:type="dxa"/>
            <w:tcBorders>
              <w:top w:val="single" w:color="auto" w:sz="6" w:space="0"/>
              <w:left w:val="single" w:color="auto" w:sz="6" w:space="0"/>
              <w:bottom w:val="single" w:color="auto" w:sz="6" w:space="0"/>
              <w:right w:val="single" w:color="auto" w:sz="6" w:space="0"/>
            </w:tcBorders>
            <w:vAlign w:val="center"/>
          </w:tcPr>
          <w:p>
            <w:pPr>
              <w:pStyle w:val="2001"/>
            </w:pPr>
            <w:r>
              <w:t>泄漏点</w:t>
            </w:r>
          </w:p>
        </w:tc>
        <w:tc>
          <w:tcPr>
            <w:tcW w:w="6294" w:type="dxa"/>
            <w:gridSpan w:val="2"/>
            <w:tcBorders>
              <w:top w:val="single" w:color="auto" w:sz="6" w:space="0"/>
              <w:left w:val="single" w:color="auto" w:sz="6" w:space="0"/>
              <w:bottom w:val="single" w:color="auto" w:sz="6" w:space="0"/>
              <w:right w:val="single" w:color="000000" w:sz="12" w:space="0"/>
            </w:tcBorders>
            <w:vAlign w:val="center"/>
          </w:tcPr>
          <w:p>
            <w:pPr>
              <w:pStyle w:val="1856"/>
              <w:snapToGrid w:val="0"/>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码头</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cantSplit/>
          <w:jc w:val="center"/>
        </w:trPr>
        <w:tc>
          <w:tcPr>
            <w:tcW w:w="731" w:type="dxa"/>
            <w:vMerge w:val="restart"/>
            <w:tcBorders>
              <w:top w:val="single" w:color="auto" w:sz="6" w:space="0"/>
              <w:left w:val="single" w:color="000000" w:sz="12" w:space="0"/>
              <w:bottom w:val="single" w:color="auto" w:sz="6" w:space="0"/>
              <w:right w:val="single" w:color="auto" w:sz="6" w:space="0"/>
            </w:tcBorders>
            <w:vAlign w:val="center"/>
          </w:tcPr>
          <w:p>
            <w:pPr>
              <w:pStyle w:val="2001"/>
            </w:pPr>
            <w:r>
              <w:t>气象</w:t>
            </w:r>
          </w:p>
          <w:p>
            <w:pPr>
              <w:pStyle w:val="2001"/>
            </w:pPr>
            <w:r>
              <w:t>海况</w:t>
            </w:r>
          </w:p>
          <w:p>
            <w:pPr>
              <w:pStyle w:val="2001"/>
            </w:pPr>
            <w:r>
              <w:t>条件</w:t>
            </w:r>
          </w:p>
        </w:tc>
        <w:tc>
          <w:tcPr>
            <w:tcW w:w="1503" w:type="dxa"/>
            <w:tcBorders>
              <w:top w:val="single" w:color="auto" w:sz="6" w:space="0"/>
              <w:left w:val="single" w:color="auto" w:sz="6" w:space="0"/>
              <w:bottom w:val="single" w:color="auto" w:sz="6" w:space="0"/>
              <w:right w:val="single" w:color="auto" w:sz="6" w:space="0"/>
            </w:tcBorders>
            <w:vAlign w:val="center"/>
          </w:tcPr>
          <w:p>
            <w:pPr>
              <w:pStyle w:val="2001"/>
            </w:pPr>
            <w:r>
              <w:t>不利风向</w:t>
            </w:r>
          </w:p>
        </w:tc>
        <w:tc>
          <w:tcPr>
            <w:tcW w:w="2968" w:type="dxa"/>
            <w:tcBorders>
              <w:top w:val="single" w:color="auto" w:sz="6" w:space="0"/>
              <w:left w:val="single" w:color="auto" w:sz="6" w:space="0"/>
              <w:bottom w:val="single" w:color="auto" w:sz="6" w:space="0"/>
              <w:right w:val="single" w:color="auto" w:sz="6" w:space="0"/>
            </w:tcBorders>
            <w:vAlign w:val="center"/>
          </w:tcPr>
          <w:p>
            <w:pPr>
              <w:pStyle w:val="1856"/>
              <w:snapToGrid w:val="0"/>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NE</w:t>
            </w:r>
            <w:r>
              <w:rPr>
                <w:rFonts w:hint="eastAsia"/>
                <w:color w:val="000000" w:themeColor="text1"/>
                <w:sz w:val="21"/>
                <w:szCs w:val="21"/>
                <w14:textFill>
                  <w14:solidFill>
                    <w14:schemeClr w14:val="tx1"/>
                  </w14:solidFill>
                </w14:textFill>
              </w:rPr>
              <w:t>（不利风向</w:t>
            </w:r>
            <w:r>
              <w:rPr>
                <w:color w:val="000000" w:themeColor="text1"/>
                <w:sz w:val="21"/>
                <w:szCs w:val="21"/>
                <w14:textFill>
                  <w14:solidFill>
                    <w14:schemeClr w14:val="tx1"/>
                  </w14:solidFill>
                </w14:textFill>
              </w:rPr>
              <w:t>）</w:t>
            </w:r>
          </w:p>
        </w:tc>
        <w:tc>
          <w:tcPr>
            <w:tcW w:w="3326" w:type="dxa"/>
            <w:tcBorders>
              <w:top w:val="single" w:color="auto" w:sz="6" w:space="0"/>
              <w:left w:val="single" w:color="auto" w:sz="6" w:space="0"/>
              <w:bottom w:val="single" w:color="auto" w:sz="6" w:space="0"/>
              <w:right w:val="single" w:color="000000" w:sz="12" w:space="0"/>
            </w:tcBorders>
            <w:vAlign w:val="center"/>
          </w:tcPr>
          <w:p>
            <w:pPr>
              <w:pStyle w:val="1856"/>
              <w:snapToGrid w:val="0"/>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SE</w:t>
            </w:r>
            <w:r>
              <w:rPr>
                <w:rFonts w:hint="eastAsia"/>
                <w:color w:val="000000" w:themeColor="text1"/>
                <w:sz w:val="21"/>
                <w:szCs w:val="21"/>
                <w14:textFill>
                  <w14:solidFill>
                    <w14:schemeClr w14:val="tx1"/>
                  </w14:solidFill>
                </w14:textFill>
              </w:rPr>
              <w:t>（不利风向</w:t>
            </w:r>
            <w:r>
              <w:rPr>
                <w:color w:val="000000" w:themeColor="text1"/>
                <w:sz w:val="21"/>
                <w:szCs w:val="21"/>
                <w14:textFill>
                  <w14:solidFill>
                    <w14:schemeClr w14:val="tx1"/>
                  </w14:solidFill>
                </w14:textFill>
              </w:rPr>
              <w:t>）</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cantSplit/>
          <w:jc w:val="center"/>
        </w:trPr>
        <w:tc>
          <w:tcPr>
            <w:tcW w:w="731" w:type="dxa"/>
            <w:vMerge w:val="continue"/>
            <w:tcBorders>
              <w:top w:val="single" w:color="auto" w:sz="6" w:space="0"/>
              <w:left w:val="single" w:color="000000" w:sz="12" w:space="0"/>
              <w:bottom w:val="single" w:color="auto" w:sz="6" w:space="0"/>
              <w:right w:val="single" w:color="auto" w:sz="6" w:space="0"/>
            </w:tcBorders>
            <w:vAlign w:val="center"/>
          </w:tcPr>
          <w:p>
            <w:pPr>
              <w:pStyle w:val="2001"/>
            </w:pPr>
          </w:p>
        </w:tc>
        <w:tc>
          <w:tcPr>
            <w:tcW w:w="1503" w:type="dxa"/>
            <w:tcBorders>
              <w:top w:val="single" w:color="auto" w:sz="6" w:space="0"/>
              <w:left w:val="single" w:color="auto" w:sz="6" w:space="0"/>
              <w:bottom w:val="single" w:color="auto" w:sz="6" w:space="0"/>
              <w:right w:val="single" w:color="auto" w:sz="6" w:space="0"/>
            </w:tcBorders>
            <w:vAlign w:val="center"/>
          </w:tcPr>
          <w:p>
            <w:pPr>
              <w:pStyle w:val="2001"/>
            </w:pPr>
            <w:r>
              <w:t>风速</w:t>
            </w:r>
          </w:p>
        </w:tc>
        <w:tc>
          <w:tcPr>
            <w:tcW w:w="2968" w:type="dxa"/>
            <w:tcBorders>
              <w:top w:val="single" w:color="auto" w:sz="6" w:space="0"/>
              <w:left w:val="single" w:color="auto" w:sz="6" w:space="0"/>
              <w:bottom w:val="single" w:color="auto" w:sz="6" w:space="0"/>
              <w:right w:val="single" w:color="auto" w:sz="6" w:space="0"/>
            </w:tcBorders>
            <w:vAlign w:val="center"/>
          </w:tcPr>
          <w:p>
            <w:pPr>
              <w:pStyle w:val="1856"/>
              <w:snapToGrid w:val="0"/>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10.8m/s</w:t>
            </w:r>
          </w:p>
        </w:tc>
        <w:tc>
          <w:tcPr>
            <w:tcW w:w="3326" w:type="dxa"/>
            <w:tcBorders>
              <w:top w:val="single" w:color="auto" w:sz="6" w:space="0"/>
              <w:left w:val="single" w:color="auto" w:sz="6" w:space="0"/>
              <w:bottom w:val="single" w:color="auto" w:sz="6" w:space="0"/>
              <w:right w:val="single" w:color="000000" w:sz="12" w:space="0"/>
            </w:tcBorders>
            <w:vAlign w:val="center"/>
          </w:tcPr>
          <w:p>
            <w:pPr>
              <w:pStyle w:val="1856"/>
              <w:snapToGrid w:val="0"/>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10.8m/s</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cantSplit/>
          <w:jc w:val="center"/>
        </w:trPr>
        <w:tc>
          <w:tcPr>
            <w:tcW w:w="731" w:type="dxa"/>
            <w:vMerge w:val="continue"/>
            <w:tcBorders>
              <w:top w:val="single" w:color="auto" w:sz="6" w:space="0"/>
              <w:left w:val="single" w:color="000000" w:sz="12" w:space="0"/>
              <w:bottom w:val="single" w:color="auto" w:sz="6" w:space="0"/>
              <w:right w:val="single" w:color="auto" w:sz="6" w:space="0"/>
            </w:tcBorders>
            <w:vAlign w:val="center"/>
          </w:tcPr>
          <w:p>
            <w:pPr>
              <w:pStyle w:val="2001"/>
            </w:pPr>
          </w:p>
        </w:tc>
        <w:tc>
          <w:tcPr>
            <w:tcW w:w="1503" w:type="dxa"/>
            <w:tcBorders>
              <w:top w:val="single" w:color="auto" w:sz="6" w:space="0"/>
              <w:left w:val="single" w:color="auto" w:sz="6" w:space="0"/>
              <w:bottom w:val="single" w:color="auto" w:sz="6" w:space="0"/>
              <w:right w:val="single" w:color="auto" w:sz="6" w:space="0"/>
            </w:tcBorders>
            <w:vAlign w:val="center"/>
          </w:tcPr>
          <w:p>
            <w:pPr>
              <w:pStyle w:val="2001"/>
            </w:pPr>
            <w:r>
              <w:t>定常风向</w:t>
            </w:r>
          </w:p>
        </w:tc>
        <w:tc>
          <w:tcPr>
            <w:tcW w:w="2968" w:type="dxa"/>
            <w:tcBorders>
              <w:top w:val="single" w:color="auto" w:sz="6" w:space="0"/>
              <w:left w:val="single" w:color="auto" w:sz="6" w:space="0"/>
              <w:bottom w:val="single" w:color="auto" w:sz="6" w:space="0"/>
              <w:right w:val="single" w:color="auto" w:sz="6" w:space="0"/>
            </w:tcBorders>
            <w:vAlign w:val="center"/>
          </w:tcPr>
          <w:p>
            <w:pPr>
              <w:pStyle w:val="1856"/>
              <w:snapToGrid w:val="0"/>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S（夏季主频风）</w:t>
            </w:r>
          </w:p>
        </w:tc>
        <w:tc>
          <w:tcPr>
            <w:tcW w:w="3326" w:type="dxa"/>
            <w:tcBorders>
              <w:top w:val="single" w:color="auto" w:sz="6" w:space="0"/>
              <w:left w:val="single" w:color="auto" w:sz="6" w:space="0"/>
              <w:bottom w:val="single" w:color="auto" w:sz="6" w:space="0"/>
              <w:right w:val="single" w:color="000000" w:sz="12" w:space="0"/>
            </w:tcBorders>
            <w:vAlign w:val="center"/>
          </w:tcPr>
          <w:p>
            <w:pPr>
              <w:pStyle w:val="1856"/>
              <w:snapToGrid w:val="0"/>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N（冬季主频风）</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cantSplit/>
          <w:jc w:val="center"/>
        </w:trPr>
        <w:tc>
          <w:tcPr>
            <w:tcW w:w="731" w:type="dxa"/>
            <w:vMerge w:val="continue"/>
            <w:tcBorders>
              <w:top w:val="single" w:color="auto" w:sz="6" w:space="0"/>
              <w:left w:val="single" w:color="000000" w:sz="12" w:space="0"/>
              <w:bottom w:val="single" w:color="auto" w:sz="6" w:space="0"/>
              <w:right w:val="single" w:color="auto" w:sz="6" w:space="0"/>
            </w:tcBorders>
            <w:vAlign w:val="center"/>
          </w:tcPr>
          <w:p>
            <w:pPr>
              <w:pStyle w:val="2001"/>
            </w:pPr>
          </w:p>
        </w:tc>
        <w:tc>
          <w:tcPr>
            <w:tcW w:w="1503" w:type="dxa"/>
            <w:tcBorders>
              <w:top w:val="single" w:color="auto" w:sz="6" w:space="0"/>
              <w:left w:val="single" w:color="auto" w:sz="6" w:space="0"/>
              <w:bottom w:val="single" w:color="auto" w:sz="6" w:space="0"/>
              <w:right w:val="single" w:color="auto" w:sz="6" w:space="0"/>
            </w:tcBorders>
            <w:vAlign w:val="center"/>
          </w:tcPr>
          <w:p>
            <w:pPr>
              <w:pStyle w:val="2001"/>
            </w:pPr>
            <w:r>
              <w:t>风速</w:t>
            </w:r>
          </w:p>
        </w:tc>
        <w:tc>
          <w:tcPr>
            <w:tcW w:w="2968" w:type="dxa"/>
            <w:tcBorders>
              <w:top w:val="single" w:color="auto" w:sz="6" w:space="0"/>
              <w:left w:val="single" w:color="auto" w:sz="6" w:space="0"/>
              <w:bottom w:val="single" w:color="auto" w:sz="6" w:space="0"/>
              <w:right w:val="single" w:color="auto" w:sz="6" w:space="0"/>
            </w:tcBorders>
            <w:vAlign w:val="center"/>
          </w:tcPr>
          <w:p>
            <w:pPr>
              <w:pStyle w:val="1856"/>
              <w:snapToGrid w:val="0"/>
              <w:ind w:firstLine="0" w:firstLineChars="0"/>
              <w:jc w:val="center"/>
              <w:rPr>
                <w:color w:val="000000" w:themeColor="text1"/>
                <w:sz w:val="21"/>
                <w:szCs w:val="21"/>
                <w14:textFill>
                  <w14:solidFill>
                    <w14:schemeClr w14:val="tx1"/>
                  </w14:solidFill>
                </w14:textFill>
              </w:rPr>
            </w:pPr>
            <w:r>
              <w:rPr>
                <w:color w:val="000000" w:themeColor="text1"/>
                <w:kern w:val="2"/>
                <w:sz w:val="21"/>
                <w:szCs w:val="21"/>
                <w:lang w:val="en-US"/>
                <w14:textFill>
                  <w14:solidFill>
                    <w14:schemeClr w14:val="tx1"/>
                  </w14:solidFill>
                </w14:textFill>
              </w:rPr>
              <w:t>3.3m/s</w:t>
            </w:r>
          </w:p>
        </w:tc>
        <w:tc>
          <w:tcPr>
            <w:tcW w:w="3326" w:type="dxa"/>
            <w:tcBorders>
              <w:top w:val="single" w:color="auto" w:sz="6" w:space="0"/>
              <w:left w:val="single" w:color="auto" w:sz="6" w:space="0"/>
              <w:bottom w:val="single" w:color="auto" w:sz="6" w:space="0"/>
              <w:right w:val="single" w:color="000000" w:sz="12" w:space="0"/>
            </w:tcBorders>
            <w:vAlign w:val="center"/>
          </w:tcPr>
          <w:p>
            <w:pPr>
              <w:pStyle w:val="1856"/>
              <w:snapToGrid w:val="0"/>
              <w:ind w:firstLine="0" w:firstLineChars="0"/>
              <w:jc w:val="center"/>
              <w:rPr>
                <w:color w:val="000000" w:themeColor="text1"/>
                <w:sz w:val="21"/>
                <w:szCs w:val="21"/>
                <w14:textFill>
                  <w14:solidFill>
                    <w14:schemeClr w14:val="tx1"/>
                  </w14:solidFill>
                </w14:textFill>
              </w:rPr>
            </w:pPr>
            <w:r>
              <w:rPr>
                <w:color w:val="000000" w:themeColor="text1"/>
                <w:kern w:val="2"/>
                <w:sz w:val="21"/>
                <w:szCs w:val="21"/>
                <w:lang w:val="en-US"/>
                <w14:textFill>
                  <w14:solidFill>
                    <w14:schemeClr w14:val="tx1"/>
                  </w14:solidFill>
                </w14:textFill>
              </w:rPr>
              <w:t>3.2m/s</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cantSplit/>
          <w:jc w:val="center"/>
        </w:trPr>
        <w:tc>
          <w:tcPr>
            <w:tcW w:w="731" w:type="dxa"/>
            <w:vMerge w:val="continue"/>
            <w:tcBorders>
              <w:top w:val="single" w:color="auto" w:sz="6" w:space="0"/>
              <w:left w:val="single" w:color="000000" w:sz="12" w:space="0"/>
              <w:bottom w:val="single" w:color="auto" w:sz="6" w:space="0"/>
              <w:right w:val="single" w:color="auto" w:sz="6" w:space="0"/>
            </w:tcBorders>
            <w:vAlign w:val="center"/>
          </w:tcPr>
          <w:p>
            <w:pPr>
              <w:pStyle w:val="2001"/>
            </w:pPr>
          </w:p>
        </w:tc>
        <w:tc>
          <w:tcPr>
            <w:tcW w:w="1503" w:type="dxa"/>
            <w:tcBorders>
              <w:top w:val="single" w:color="auto" w:sz="6" w:space="0"/>
              <w:left w:val="single" w:color="auto" w:sz="6" w:space="0"/>
              <w:bottom w:val="single" w:color="auto" w:sz="6" w:space="0"/>
              <w:right w:val="single" w:color="auto" w:sz="6" w:space="0"/>
            </w:tcBorders>
            <w:vAlign w:val="center"/>
          </w:tcPr>
          <w:p>
            <w:pPr>
              <w:pStyle w:val="2001"/>
            </w:pPr>
            <w:r>
              <w:t>平均温度</w:t>
            </w:r>
          </w:p>
        </w:tc>
        <w:tc>
          <w:tcPr>
            <w:tcW w:w="6294" w:type="dxa"/>
            <w:gridSpan w:val="2"/>
            <w:tcBorders>
              <w:top w:val="single" w:color="auto" w:sz="6" w:space="0"/>
              <w:left w:val="single" w:color="auto" w:sz="6" w:space="0"/>
              <w:bottom w:val="single" w:color="auto" w:sz="6" w:space="0"/>
              <w:right w:val="single" w:color="000000" w:sz="12" w:space="0"/>
            </w:tcBorders>
            <w:vAlign w:val="center"/>
          </w:tcPr>
          <w:p>
            <w:pPr>
              <w:pStyle w:val="1856"/>
              <w:snapToGrid w:val="0"/>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23.0℃</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cantSplit/>
          <w:jc w:val="center"/>
        </w:trPr>
        <w:tc>
          <w:tcPr>
            <w:tcW w:w="731" w:type="dxa"/>
            <w:vMerge w:val="restart"/>
            <w:tcBorders>
              <w:top w:val="single" w:color="auto" w:sz="6" w:space="0"/>
              <w:left w:val="single" w:color="000000" w:sz="12" w:space="0"/>
              <w:bottom w:val="single" w:color="auto" w:sz="6" w:space="0"/>
              <w:right w:val="single" w:color="auto" w:sz="6" w:space="0"/>
            </w:tcBorders>
            <w:vAlign w:val="center"/>
          </w:tcPr>
          <w:p>
            <w:pPr>
              <w:pStyle w:val="2001"/>
            </w:pPr>
            <w:bookmarkStart w:id="255" w:name="_Hlk103884518"/>
            <w:r>
              <w:t>油品</w:t>
            </w:r>
          </w:p>
          <w:p>
            <w:pPr>
              <w:pStyle w:val="2001"/>
            </w:pPr>
            <w:r>
              <w:t>属性</w:t>
            </w:r>
          </w:p>
          <w:p>
            <w:pPr>
              <w:pStyle w:val="2001"/>
            </w:pPr>
            <w:r>
              <w:t>参数</w:t>
            </w:r>
          </w:p>
        </w:tc>
        <w:tc>
          <w:tcPr>
            <w:tcW w:w="1503" w:type="dxa"/>
            <w:tcBorders>
              <w:top w:val="single" w:color="auto" w:sz="6" w:space="0"/>
              <w:left w:val="single" w:color="auto" w:sz="6" w:space="0"/>
              <w:bottom w:val="single" w:color="auto" w:sz="6" w:space="0"/>
              <w:right w:val="single" w:color="auto" w:sz="6" w:space="0"/>
            </w:tcBorders>
            <w:vAlign w:val="center"/>
          </w:tcPr>
          <w:p>
            <w:pPr>
              <w:pStyle w:val="2001"/>
            </w:pPr>
            <w:r>
              <w:t>密度</w:t>
            </w:r>
          </w:p>
        </w:tc>
        <w:tc>
          <w:tcPr>
            <w:tcW w:w="6294" w:type="dxa"/>
            <w:gridSpan w:val="2"/>
            <w:tcBorders>
              <w:top w:val="single" w:color="auto" w:sz="6" w:space="0"/>
              <w:left w:val="single" w:color="auto" w:sz="6" w:space="0"/>
              <w:bottom w:val="single" w:color="auto" w:sz="6" w:space="0"/>
              <w:right w:val="single" w:color="000000" w:sz="12" w:space="0"/>
            </w:tcBorders>
            <w:vAlign w:val="center"/>
          </w:tcPr>
          <w:p>
            <w:pPr>
              <w:pStyle w:val="1856"/>
              <w:snapToGrid w:val="0"/>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 xml:space="preserve">850 </w:t>
            </w:r>
            <w:r>
              <w:rPr>
                <w:color w:val="000000" w:themeColor="text1"/>
                <w:sz w:val="21"/>
                <w:szCs w:val="21"/>
                <w14:textFill>
                  <w14:solidFill>
                    <w14:schemeClr w14:val="tx1"/>
                  </w14:solidFill>
                </w14:textFill>
              </w:rPr>
              <w:t>kg/m</w:t>
            </w:r>
            <w:r>
              <w:rPr>
                <w:color w:val="000000" w:themeColor="text1"/>
                <w:sz w:val="21"/>
                <w:szCs w:val="21"/>
                <w:vertAlign w:val="superscript"/>
                <w14:textFill>
                  <w14:solidFill>
                    <w14:schemeClr w14:val="tx1"/>
                  </w14:solidFill>
                </w14:textFill>
              </w:rPr>
              <w:t>3</w:t>
            </w:r>
            <w:r>
              <w:rPr>
                <w:color w:val="000000" w:themeColor="text1"/>
                <w:sz w:val="21"/>
                <w:szCs w:val="21"/>
                <w14:textFill>
                  <w14:solidFill>
                    <w14:schemeClr w14:val="tx1"/>
                  </w14:solidFill>
                </w14:textFill>
              </w:rPr>
              <w:t>（20°C）</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cantSplit/>
          <w:jc w:val="center"/>
        </w:trPr>
        <w:tc>
          <w:tcPr>
            <w:tcW w:w="731" w:type="dxa"/>
            <w:vMerge w:val="continue"/>
            <w:tcBorders>
              <w:top w:val="single" w:color="auto" w:sz="6" w:space="0"/>
              <w:left w:val="single" w:color="000000" w:sz="12" w:space="0"/>
              <w:bottom w:val="single" w:color="auto" w:sz="6" w:space="0"/>
              <w:right w:val="single" w:color="auto" w:sz="6" w:space="0"/>
            </w:tcBorders>
            <w:vAlign w:val="center"/>
          </w:tcPr>
          <w:p>
            <w:pPr>
              <w:pStyle w:val="2001"/>
            </w:pPr>
          </w:p>
        </w:tc>
        <w:tc>
          <w:tcPr>
            <w:tcW w:w="1503" w:type="dxa"/>
            <w:tcBorders>
              <w:top w:val="single" w:color="auto" w:sz="6" w:space="0"/>
              <w:left w:val="single" w:color="auto" w:sz="6" w:space="0"/>
              <w:bottom w:val="single" w:color="auto" w:sz="6" w:space="0"/>
              <w:right w:val="single" w:color="auto" w:sz="6" w:space="0"/>
            </w:tcBorders>
            <w:vAlign w:val="center"/>
          </w:tcPr>
          <w:p>
            <w:pPr>
              <w:pStyle w:val="2001"/>
            </w:pPr>
            <w:r>
              <w:t>API</w:t>
            </w:r>
          </w:p>
        </w:tc>
        <w:tc>
          <w:tcPr>
            <w:tcW w:w="6294" w:type="dxa"/>
            <w:gridSpan w:val="2"/>
            <w:tcBorders>
              <w:top w:val="single" w:color="auto" w:sz="6" w:space="0"/>
              <w:left w:val="single" w:color="auto" w:sz="6" w:space="0"/>
              <w:bottom w:val="single" w:color="auto" w:sz="6" w:space="0"/>
              <w:right w:val="single" w:color="000000" w:sz="12" w:space="0"/>
            </w:tcBorders>
            <w:vAlign w:val="center"/>
          </w:tcPr>
          <w:p>
            <w:pPr>
              <w:pStyle w:val="1856"/>
              <w:snapToGrid w:val="0"/>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24.5</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cantSplit/>
          <w:jc w:val="center"/>
        </w:trPr>
        <w:tc>
          <w:tcPr>
            <w:tcW w:w="731" w:type="dxa"/>
            <w:vMerge w:val="continue"/>
            <w:tcBorders>
              <w:top w:val="single" w:color="auto" w:sz="6" w:space="0"/>
              <w:left w:val="single" w:color="000000" w:sz="12" w:space="0"/>
              <w:bottom w:val="single" w:color="auto" w:sz="6" w:space="0"/>
              <w:right w:val="single" w:color="auto" w:sz="6" w:space="0"/>
            </w:tcBorders>
            <w:vAlign w:val="center"/>
          </w:tcPr>
          <w:p>
            <w:pPr>
              <w:pStyle w:val="2001"/>
            </w:pPr>
          </w:p>
        </w:tc>
        <w:tc>
          <w:tcPr>
            <w:tcW w:w="1503" w:type="dxa"/>
            <w:tcBorders>
              <w:top w:val="single" w:color="auto" w:sz="6" w:space="0"/>
              <w:left w:val="single" w:color="auto" w:sz="6" w:space="0"/>
              <w:bottom w:val="single" w:color="auto" w:sz="6" w:space="0"/>
              <w:right w:val="single" w:color="auto" w:sz="6" w:space="0"/>
            </w:tcBorders>
            <w:vAlign w:val="center"/>
          </w:tcPr>
          <w:p>
            <w:pPr>
              <w:pStyle w:val="2001"/>
            </w:pPr>
            <w:r>
              <w:t>运动粘度</w:t>
            </w:r>
          </w:p>
        </w:tc>
        <w:tc>
          <w:tcPr>
            <w:tcW w:w="6294" w:type="dxa"/>
            <w:gridSpan w:val="2"/>
            <w:tcBorders>
              <w:top w:val="single" w:color="auto" w:sz="6" w:space="0"/>
              <w:left w:val="single" w:color="auto" w:sz="6" w:space="0"/>
              <w:bottom w:val="single" w:color="auto" w:sz="6" w:space="0"/>
              <w:right w:val="single" w:color="000000" w:sz="12" w:space="0"/>
            </w:tcBorders>
            <w:vAlign w:val="center"/>
          </w:tcPr>
          <w:p>
            <w:pPr>
              <w:pStyle w:val="1856"/>
              <w:snapToGrid w:val="0"/>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130mm</w:t>
            </w:r>
            <w:r>
              <w:rPr>
                <w:color w:val="000000" w:themeColor="text1"/>
                <w:sz w:val="21"/>
                <w:szCs w:val="21"/>
                <w:vertAlign w:val="superscript"/>
                <w14:textFill>
                  <w14:solidFill>
                    <w14:schemeClr w14:val="tx1"/>
                  </w14:solidFill>
                </w14:textFill>
              </w:rPr>
              <w:t>2</w:t>
            </w:r>
            <w:r>
              <w:rPr>
                <w:color w:val="000000" w:themeColor="text1"/>
                <w:sz w:val="21"/>
                <w:szCs w:val="21"/>
                <w14:textFill>
                  <w14:solidFill>
                    <w14:schemeClr w14:val="tx1"/>
                  </w14:solidFill>
                </w14:textFill>
              </w:rPr>
              <w:t>/s</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cantSplit/>
          <w:jc w:val="center"/>
        </w:trPr>
        <w:tc>
          <w:tcPr>
            <w:tcW w:w="731" w:type="dxa"/>
            <w:vMerge w:val="continue"/>
            <w:tcBorders>
              <w:top w:val="single" w:color="auto" w:sz="6" w:space="0"/>
              <w:left w:val="single" w:color="000000" w:sz="12" w:space="0"/>
              <w:bottom w:val="single" w:color="auto" w:sz="6" w:space="0"/>
              <w:right w:val="single" w:color="auto" w:sz="6" w:space="0"/>
            </w:tcBorders>
            <w:vAlign w:val="center"/>
          </w:tcPr>
          <w:p>
            <w:pPr>
              <w:pStyle w:val="2001"/>
            </w:pPr>
          </w:p>
        </w:tc>
        <w:tc>
          <w:tcPr>
            <w:tcW w:w="1503" w:type="dxa"/>
            <w:tcBorders>
              <w:top w:val="single" w:color="auto" w:sz="6" w:space="0"/>
              <w:left w:val="single" w:color="auto" w:sz="6" w:space="0"/>
              <w:bottom w:val="single" w:color="auto" w:sz="6" w:space="0"/>
              <w:right w:val="single" w:color="auto" w:sz="6" w:space="0"/>
            </w:tcBorders>
            <w:vAlign w:val="center"/>
          </w:tcPr>
          <w:p>
            <w:pPr>
              <w:pStyle w:val="2001"/>
            </w:pPr>
            <w:r>
              <w:t>相对温度</w:t>
            </w:r>
          </w:p>
        </w:tc>
        <w:tc>
          <w:tcPr>
            <w:tcW w:w="6294" w:type="dxa"/>
            <w:gridSpan w:val="2"/>
            <w:tcBorders>
              <w:top w:val="single" w:color="auto" w:sz="6" w:space="0"/>
              <w:left w:val="single" w:color="auto" w:sz="6" w:space="0"/>
              <w:bottom w:val="single" w:color="auto" w:sz="6" w:space="0"/>
              <w:right w:val="single" w:color="000000" w:sz="12" w:space="0"/>
            </w:tcBorders>
            <w:vAlign w:val="center"/>
          </w:tcPr>
          <w:p>
            <w:pPr>
              <w:pStyle w:val="1856"/>
              <w:snapToGrid w:val="0"/>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38℃</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cantSplit/>
          <w:jc w:val="center"/>
        </w:trPr>
        <w:tc>
          <w:tcPr>
            <w:tcW w:w="731" w:type="dxa"/>
            <w:vMerge w:val="continue"/>
            <w:tcBorders>
              <w:top w:val="single" w:color="auto" w:sz="6" w:space="0"/>
              <w:left w:val="single" w:color="000000" w:sz="12" w:space="0"/>
              <w:bottom w:val="single" w:color="auto" w:sz="6" w:space="0"/>
              <w:right w:val="single" w:color="auto" w:sz="6" w:space="0"/>
            </w:tcBorders>
            <w:vAlign w:val="center"/>
          </w:tcPr>
          <w:p>
            <w:pPr>
              <w:pStyle w:val="2001"/>
            </w:pPr>
          </w:p>
        </w:tc>
        <w:tc>
          <w:tcPr>
            <w:tcW w:w="1503" w:type="dxa"/>
            <w:tcBorders>
              <w:top w:val="single" w:color="auto" w:sz="6" w:space="0"/>
              <w:left w:val="single" w:color="auto" w:sz="6" w:space="0"/>
              <w:bottom w:val="single" w:color="auto" w:sz="6" w:space="0"/>
              <w:right w:val="single" w:color="auto" w:sz="6" w:space="0"/>
            </w:tcBorders>
            <w:vAlign w:val="center"/>
          </w:tcPr>
          <w:p>
            <w:pPr>
              <w:pStyle w:val="2001"/>
            </w:pPr>
            <w:r>
              <w:t>倾点</w:t>
            </w:r>
          </w:p>
        </w:tc>
        <w:tc>
          <w:tcPr>
            <w:tcW w:w="6294" w:type="dxa"/>
            <w:gridSpan w:val="2"/>
            <w:tcBorders>
              <w:top w:val="single" w:color="auto" w:sz="6" w:space="0"/>
              <w:left w:val="single" w:color="auto" w:sz="6" w:space="0"/>
              <w:bottom w:val="single" w:color="auto" w:sz="6" w:space="0"/>
              <w:right w:val="single" w:color="000000" w:sz="12" w:space="0"/>
            </w:tcBorders>
            <w:vAlign w:val="center"/>
          </w:tcPr>
          <w:p>
            <w:pPr>
              <w:pStyle w:val="1856"/>
              <w:snapToGrid w:val="0"/>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7.0℃</w:t>
            </w:r>
          </w:p>
        </w:tc>
      </w:tr>
      <w:bookmarkEnd w:id="255"/>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cantSplit/>
          <w:jc w:val="center"/>
        </w:trPr>
        <w:tc>
          <w:tcPr>
            <w:tcW w:w="731" w:type="dxa"/>
            <w:vMerge w:val="restart"/>
            <w:tcBorders>
              <w:top w:val="single" w:color="auto" w:sz="6" w:space="0"/>
              <w:left w:val="single" w:color="000000" w:sz="12" w:space="0"/>
              <w:bottom w:val="single" w:color="auto" w:sz="6" w:space="0"/>
              <w:right w:val="single" w:color="auto" w:sz="6" w:space="0"/>
            </w:tcBorders>
            <w:vAlign w:val="center"/>
          </w:tcPr>
          <w:p>
            <w:pPr>
              <w:pStyle w:val="2001"/>
            </w:pPr>
            <w:r>
              <w:t>过程</w:t>
            </w:r>
          </w:p>
          <w:p>
            <w:pPr>
              <w:pStyle w:val="2001"/>
              <w:rPr>
                <w:sz w:val="28"/>
                <w:lang w:val="zh-CN"/>
              </w:rPr>
            </w:pPr>
            <w:r>
              <w:t>参数</w:t>
            </w:r>
          </w:p>
        </w:tc>
        <w:tc>
          <w:tcPr>
            <w:tcW w:w="1503" w:type="dxa"/>
            <w:tcBorders>
              <w:top w:val="single" w:color="auto" w:sz="6" w:space="0"/>
              <w:left w:val="single" w:color="auto" w:sz="6" w:space="0"/>
              <w:bottom w:val="single" w:color="auto" w:sz="6" w:space="0"/>
              <w:right w:val="single" w:color="auto" w:sz="6" w:space="0"/>
            </w:tcBorders>
            <w:vAlign w:val="center"/>
          </w:tcPr>
          <w:p>
            <w:pPr>
              <w:pStyle w:val="2001"/>
              <w:rPr>
                <w:lang w:val="zh-CN"/>
              </w:rPr>
            </w:pPr>
            <w:r>
              <w:t>风偏向角</w:t>
            </w:r>
          </w:p>
        </w:tc>
        <w:tc>
          <w:tcPr>
            <w:tcW w:w="6294" w:type="dxa"/>
            <w:gridSpan w:val="2"/>
            <w:tcBorders>
              <w:top w:val="single" w:color="auto" w:sz="6" w:space="0"/>
              <w:left w:val="single" w:color="auto" w:sz="6" w:space="0"/>
              <w:bottom w:val="single" w:color="auto" w:sz="6" w:space="0"/>
              <w:right w:val="single" w:color="000000" w:sz="12" w:space="0"/>
            </w:tcBorders>
            <w:vAlign w:val="center"/>
          </w:tcPr>
          <w:p>
            <w:pPr>
              <w:pStyle w:val="1856"/>
              <w:snapToGrid w:val="0"/>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10°</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cantSplit/>
          <w:jc w:val="center"/>
        </w:trPr>
        <w:tc>
          <w:tcPr>
            <w:tcW w:w="731" w:type="dxa"/>
            <w:vMerge w:val="continue"/>
            <w:tcBorders>
              <w:top w:val="single" w:color="auto" w:sz="6" w:space="0"/>
              <w:left w:val="single" w:color="000000" w:sz="12" w:space="0"/>
              <w:bottom w:val="single" w:color="000000" w:sz="12" w:space="0"/>
              <w:right w:val="single" w:color="auto" w:sz="6" w:space="0"/>
            </w:tcBorders>
            <w:vAlign w:val="center"/>
          </w:tcPr>
          <w:p>
            <w:pPr>
              <w:pStyle w:val="2001"/>
              <w:rPr>
                <w:lang w:val="zh-CN"/>
              </w:rPr>
            </w:pPr>
          </w:p>
        </w:tc>
        <w:tc>
          <w:tcPr>
            <w:tcW w:w="1503" w:type="dxa"/>
            <w:tcBorders>
              <w:top w:val="single" w:color="auto" w:sz="6" w:space="0"/>
              <w:left w:val="single" w:color="auto" w:sz="6" w:space="0"/>
              <w:bottom w:val="single" w:color="000000" w:sz="12" w:space="0"/>
              <w:right w:val="single" w:color="auto" w:sz="6" w:space="0"/>
            </w:tcBorders>
            <w:vAlign w:val="center"/>
          </w:tcPr>
          <w:p>
            <w:pPr>
              <w:pStyle w:val="2001"/>
            </w:pPr>
            <w:r>
              <w:t>风应力系数</w:t>
            </w:r>
          </w:p>
        </w:tc>
        <w:tc>
          <w:tcPr>
            <w:tcW w:w="6294" w:type="dxa"/>
            <w:gridSpan w:val="2"/>
            <w:tcBorders>
              <w:top w:val="single" w:color="auto" w:sz="6" w:space="0"/>
              <w:left w:val="single" w:color="auto" w:sz="6" w:space="0"/>
              <w:bottom w:val="single" w:color="000000" w:sz="12" w:space="0"/>
              <w:right w:val="single" w:color="000000" w:sz="12" w:space="0"/>
            </w:tcBorders>
            <w:vAlign w:val="center"/>
          </w:tcPr>
          <w:p>
            <w:pPr>
              <w:pStyle w:val="1856"/>
              <w:snapToGrid w:val="0"/>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0.03</w:t>
            </w:r>
          </w:p>
        </w:tc>
      </w:tr>
    </w:tbl>
    <w:p>
      <w:pPr>
        <w:pStyle w:val="1075"/>
        <w:ind w:firstLine="437"/>
        <w:rPr>
          <w:color w:val="000000" w:themeColor="text1"/>
          <w14:textFill>
            <w14:solidFill>
              <w14:schemeClr w14:val="tx1"/>
            </w14:solidFill>
          </w14:textFill>
        </w:rPr>
      </w:pPr>
      <w:r>
        <w:rPr>
          <w:color w:val="000000" w:themeColor="text1"/>
          <w14:textFill>
            <w14:solidFill>
              <w14:schemeClr w14:val="tx1"/>
            </w14:solidFill>
          </w14:textFill>
        </w:rPr>
        <w:t>海上溢油的运动及变化受其物理、化学和生物等过程的影响，而这些过程又与油类的性质、海洋水动力环境及海洋气象环境等密切相关。溢油事故发生后，溢油应急部门将会迅速采取应急措施，从保守角度考虑以及为溢油应急部门的溢油应急提供技术依据，本报告预测了不同工况条件下发生的溢油事件在72h内溢油的时空分布变化情况。</w:t>
      </w:r>
    </w:p>
    <w:p>
      <w:pPr>
        <w:pStyle w:val="1075"/>
        <w:ind w:firstLine="439"/>
        <w:rPr>
          <w:b/>
          <w:color w:val="000000" w:themeColor="text1"/>
          <w14:textFill>
            <w14:solidFill>
              <w14:schemeClr w14:val="tx1"/>
            </w14:solidFill>
          </w14:textFill>
        </w:rPr>
      </w:pPr>
      <w:r>
        <w:rPr>
          <w:b/>
          <w:color w:val="000000" w:themeColor="text1"/>
          <w14:textFill>
            <w14:solidFill>
              <w14:schemeClr w14:val="tx1"/>
            </w14:solidFill>
          </w14:textFill>
        </w:rPr>
        <w:t>四、溢油事故预测与分析</w:t>
      </w:r>
    </w:p>
    <w:p>
      <w:pPr>
        <w:pStyle w:val="1075"/>
        <w:ind w:firstLine="437"/>
        <w:rPr>
          <w:color w:val="000000" w:themeColor="text1"/>
          <w14:textFill>
            <w14:solidFill>
              <w14:schemeClr w14:val="tx1"/>
            </w14:solidFill>
          </w14:textFill>
        </w:rPr>
      </w:pPr>
      <w:r>
        <w:rPr>
          <w:color w:val="000000" w:themeColor="text1"/>
          <w14:textFill>
            <w14:solidFill>
              <w14:schemeClr w14:val="tx1"/>
            </w14:solidFill>
          </w14:textFill>
        </w:rPr>
        <w:t>（1）溢油事故预测结果与分析</w:t>
      </w:r>
    </w:p>
    <w:p>
      <w:pPr>
        <w:pStyle w:val="1075"/>
        <w:ind w:firstLine="437"/>
        <w:rPr>
          <w:color w:val="000000" w:themeColor="text1"/>
          <w14:textFill>
            <w14:solidFill>
              <w14:schemeClr w14:val="tx1"/>
            </w14:solidFill>
          </w14:textFill>
        </w:rPr>
      </w:pPr>
      <w:r>
        <w:rPr>
          <w:rFonts w:hint="eastAsia" w:ascii="宋体" w:hAnsi="宋体" w:cs="宋体"/>
          <w:color w:val="000000" w:themeColor="text1"/>
          <w14:textFill>
            <w14:solidFill>
              <w14:schemeClr w14:val="tx1"/>
            </w14:solidFill>
          </w14:textFill>
        </w:rPr>
        <w:t>①</w:t>
      </w:r>
      <w:r>
        <w:rPr>
          <w:rFonts w:hint="eastAsia"/>
          <w:color w:val="000000" w:themeColor="text1"/>
          <w14:textFill>
            <w14:solidFill>
              <w14:schemeClr w14:val="tx1"/>
            </w14:solidFill>
          </w14:textFill>
        </w:rPr>
        <w:t>高潮时</w:t>
      </w:r>
      <w:r>
        <w:rPr>
          <w:color w:val="000000" w:themeColor="text1"/>
          <w14:textFill>
            <w14:solidFill>
              <w14:schemeClr w14:val="tx1"/>
            </w14:solidFill>
          </w14:textFill>
        </w:rPr>
        <w:t>溢油</w:t>
      </w:r>
    </w:p>
    <w:p>
      <w:pPr>
        <w:pStyle w:val="1075"/>
        <w:ind w:firstLine="437"/>
        <w:rPr>
          <w:color w:val="000000" w:themeColor="text1"/>
          <w14:textFill>
            <w14:solidFill>
              <w14:schemeClr w14:val="tx1"/>
            </w14:solidFill>
          </w14:textFill>
        </w:rPr>
      </w:pPr>
      <w:r>
        <w:rPr>
          <w:color w:val="000000" w:themeColor="text1"/>
          <w14:textFill>
            <w14:solidFill>
              <w14:schemeClr w14:val="tx1"/>
            </w14:solidFill>
          </w14:textFill>
        </w:rPr>
        <w:t>A.</w:t>
      </w:r>
      <w:r>
        <w:rPr>
          <w:rFonts w:hint="eastAsia"/>
          <w:color w:val="000000" w:themeColor="text1"/>
          <w14:textFill>
            <w14:solidFill>
              <w14:schemeClr w14:val="tx1"/>
            </w14:solidFill>
          </w14:textFill>
        </w:rPr>
        <w:t>高潮时</w:t>
      </w:r>
      <w:r>
        <w:rPr>
          <w:color w:val="000000" w:themeColor="text1"/>
          <w14:textFill>
            <w14:solidFill>
              <w14:schemeClr w14:val="tx1"/>
            </w14:solidFill>
          </w14:textFill>
        </w:rPr>
        <w:t xml:space="preserve">S风向下溢油 </w:t>
      </w:r>
    </w:p>
    <w:p>
      <w:pPr>
        <w:pStyle w:val="1075"/>
        <w:ind w:firstLine="437"/>
        <w:rPr>
          <w:color w:val="000000" w:themeColor="text1"/>
          <w14:textFill>
            <w14:solidFill>
              <w14:schemeClr w14:val="tx1"/>
            </w14:solidFill>
          </w14:textFill>
        </w:rPr>
      </w:pPr>
      <w:r>
        <w:rPr>
          <w:color w:val="000000" w:themeColor="text1"/>
          <w14:textFill>
            <w14:solidFill>
              <w14:schemeClr w14:val="tx1"/>
            </w14:solidFill>
          </w14:textFill>
        </w:rPr>
        <w:t>如图4.</w:t>
      </w:r>
      <w:r>
        <w:rPr>
          <w:rFonts w:hint="eastAsia"/>
          <w:color w:val="000000" w:themeColor="text1"/>
          <w14:textFill>
            <w14:solidFill>
              <w14:schemeClr w14:val="tx1"/>
            </w14:solidFill>
          </w14:textFill>
        </w:rPr>
        <w:t>6</w:t>
      </w:r>
      <w:r>
        <w:rPr>
          <w:color w:val="000000" w:themeColor="text1"/>
          <w14:textFill>
            <w14:solidFill>
              <w14:schemeClr w14:val="tx1"/>
            </w14:solidFill>
          </w14:textFill>
        </w:rPr>
        <w:t>-2所示，</w:t>
      </w:r>
      <w:r>
        <w:rPr>
          <w:rFonts w:hint="eastAsia"/>
          <w:color w:val="000000" w:themeColor="text1"/>
          <w14:textFill>
            <w14:solidFill>
              <w14:schemeClr w14:val="tx1"/>
            </w14:solidFill>
          </w14:textFill>
        </w:rPr>
        <w:t>溢油发生后，溢油在落潮潮流和S风的共同作用下主要南向移动，主体部分溢油在1小时内即可抵岸；其他部分溢油可继续运动，但基本在钦州港保税港区东南侧沿岸海域运动，污染岸线长度约为12.4km，约9</w:t>
      </w:r>
      <w:r>
        <w:rPr>
          <w:rFonts w:hint="eastAsia"/>
          <w:color w:val="000000" w:themeColor="text1"/>
          <w:lang w:eastAsia="zh-CN"/>
          <w14:textFill>
            <w14:solidFill>
              <w14:schemeClr w14:val="tx1"/>
            </w14:solidFill>
          </w14:textFill>
        </w:rPr>
        <w:t>小时</w:t>
      </w:r>
      <w:r>
        <w:rPr>
          <w:rFonts w:hint="eastAsia"/>
          <w:color w:val="000000" w:themeColor="text1"/>
          <w14:textFill>
            <w14:solidFill>
              <w14:schemeClr w14:val="tx1"/>
            </w14:solidFill>
          </w14:textFill>
        </w:rPr>
        <w:t>到达钦州国投电厂取水口；15小时左右至金鼓江红树林分布区。</w:t>
      </w:r>
    </w:p>
    <w:p>
      <w:pPr>
        <w:pStyle w:val="1075"/>
        <w:ind w:firstLine="437"/>
        <w:rPr>
          <w:color w:val="000000" w:themeColor="text1"/>
          <w14:textFill>
            <w14:solidFill>
              <w14:schemeClr w14:val="tx1"/>
            </w14:solidFill>
          </w14:textFill>
        </w:rPr>
      </w:pPr>
      <w:r>
        <w:rPr>
          <w:color w:val="000000" w:themeColor="text1"/>
          <w14:textFill>
            <w14:solidFill>
              <w14:schemeClr w14:val="tx1"/>
            </w14:solidFill>
          </w14:textFill>
        </w:rPr>
        <w:t>B.高潮时N风向下溢油</w:t>
      </w:r>
    </w:p>
    <w:p>
      <w:pPr>
        <w:pStyle w:val="1075"/>
        <w:ind w:firstLine="437"/>
        <w:rPr>
          <w:color w:val="000000" w:themeColor="text1"/>
          <w14:textFill>
            <w14:solidFill>
              <w14:schemeClr w14:val="tx1"/>
            </w14:solidFill>
          </w14:textFill>
        </w:rPr>
      </w:pPr>
      <w:r>
        <w:rPr>
          <w:color w:val="000000" w:themeColor="text1"/>
          <w14:textFill>
            <w14:solidFill>
              <w14:schemeClr w14:val="tx1"/>
            </w14:solidFill>
          </w14:textFill>
        </w:rPr>
        <w:t>如图4.7-3所示，</w:t>
      </w:r>
      <w:r>
        <w:rPr>
          <w:rFonts w:hint="eastAsia"/>
          <w:color w:val="000000" w:themeColor="text1"/>
          <w14:textFill>
            <w14:solidFill>
              <w14:schemeClr w14:val="tx1"/>
            </w14:solidFill>
          </w14:textFill>
        </w:rPr>
        <w:t>码头发生溢油事故后，在N风和流的共同作用下，溢油蜿蜒曲折地南向运动。2.5小时溢油可到达钦州湾外湾渔业用海区，随后在该区东侧边界运动；约6</w:t>
      </w:r>
      <w:r>
        <w:rPr>
          <w:rFonts w:hint="eastAsia"/>
          <w:color w:val="000000" w:themeColor="text1"/>
          <w:lang w:eastAsia="zh-CN"/>
          <w14:textFill>
            <w14:solidFill>
              <w14:schemeClr w14:val="tx1"/>
            </w14:solidFill>
          </w14:textFill>
        </w:rPr>
        <w:t>小时</w:t>
      </w:r>
      <w:r>
        <w:rPr>
          <w:rFonts w:hint="eastAsia"/>
          <w:color w:val="000000" w:themeColor="text1"/>
          <w14:textFill>
            <w14:solidFill>
              <w14:schemeClr w14:val="tx1"/>
            </w14:solidFill>
          </w14:textFill>
        </w:rPr>
        <w:t>，溢油可进入钦州湾渔业用海区，并在该区运动近43小时后逸出；约27</w:t>
      </w:r>
      <w:r>
        <w:rPr>
          <w:rFonts w:hint="eastAsia"/>
          <w:color w:val="000000" w:themeColor="text1"/>
          <w:lang w:eastAsia="zh-CN"/>
          <w14:textFill>
            <w14:solidFill>
              <w14:schemeClr w14:val="tx1"/>
            </w14:solidFill>
          </w14:textFill>
        </w:rPr>
        <w:t>小时</w:t>
      </w:r>
      <w:r>
        <w:rPr>
          <w:rFonts w:hint="eastAsia"/>
          <w:color w:val="000000" w:themeColor="text1"/>
          <w14:textFill>
            <w14:solidFill>
              <w14:schemeClr w14:val="tx1"/>
            </w14:solidFill>
          </w14:textFill>
        </w:rPr>
        <w:t>，溢油可进入北部湾二长棘绸长毛对虾国家级种质资源保护区(实验区)。从溢油轨迹和扫海面积来看，该工况下，溢油污染的海域面积较大，并主要对钦州湾外的渔业区和种质资源保护区造成污染。</w:t>
      </w:r>
    </w:p>
    <w:p>
      <w:pPr>
        <w:pStyle w:val="1075"/>
        <w:ind w:firstLine="437"/>
        <w:rPr>
          <w:color w:val="000000" w:themeColor="text1"/>
          <w:u w:val="single"/>
          <w14:textFill>
            <w14:solidFill>
              <w14:schemeClr w14:val="tx1"/>
            </w14:solidFill>
          </w14:textFill>
        </w:rPr>
      </w:pPr>
      <w:r>
        <w:rPr>
          <w:color w:val="000000" w:themeColor="text1"/>
          <w14:textFill>
            <w14:solidFill>
              <w14:schemeClr w14:val="tx1"/>
            </w14:solidFill>
          </w14:textFill>
        </w:rPr>
        <w:t>C. 高潮时NE</w:t>
      </w:r>
      <w:r>
        <w:rPr>
          <w:rFonts w:hint="eastAsia"/>
          <w:color w:val="000000" w:themeColor="text1"/>
          <w14:textFill>
            <w14:solidFill>
              <w14:schemeClr w14:val="tx1"/>
            </w14:solidFill>
          </w14:textFill>
        </w:rPr>
        <w:t>风向下</w:t>
      </w:r>
      <w:r>
        <w:rPr>
          <w:color w:val="000000" w:themeColor="text1"/>
          <w14:textFill>
            <w14:solidFill>
              <w14:schemeClr w14:val="tx1"/>
            </w14:solidFill>
          </w14:textFill>
        </w:rPr>
        <w:t>溢油</w:t>
      </w:r>
    </w:p>
    <w:p>
      <w:pPr>
        <w:pStyle w:val="1075"/>
        <w:ind w:firstLine="437"/>
        <w:rPr>
          <w:color w:val="000000" w:themeColor="text1"/>
          <w14:textFill>
            <w14:solidFill>
              <w14:schemeClr w14:val="tx1"/>
            </w14:solidFill>
          </w14:textFill>
        </w:rPr>
      </w:pPr>
      <w:r>
        <w:rPr>
          <w:rFonts w:hint="eastAsia"/>
          <w:color w:val="000000" w:themeColor="text1"/>
          <w14:textFill>
            <w14:solidFill>
              <w14:schemeClr w14:val="tx1"/>
            </w14:solidFill>
          </w14:textFill>
        </w:rPr>
        <w:t>在强风的拖曳力下，溢油向西南方向运动，约1小时可抵达钦州湾外湾渔业用海区；</w:t>
      </w:r>
      <w:r>
        <w:rPr>
          <w:color w:val="000000" w:themeColor="text1"/>
          <w14:textFill>
            <w14:solidFill>
              <w14:schemeClr w14:val="tx1"/>
            </w14:solidFill>
          </w14:textFill>
        </w:rPr>
        <w:t>3</w:t>
      </w:r>
      <w:r>
        <w:rPr>
          <w:rFonts w:hint="eastAsia"/>
          <w:color w:val="000000" w:themeColor="text1"/>
          <w:lang w:eastAsia="zh-CN"/>
          <w14:textFill>
            <w14:solidFill>
              <w14:schemeClr w14:val="tx1"/>
            </w14:solidFill>
          </w14:textFill>
        </w:rPr>
        <w:t>小时</w:t>
      </w:r>
      <w:r>
        <w:rPr>
          <w:rFonts w:hint="eastAsia"/>
          <w:color w:val="000000" w:themeColor="text1"/>
          <w14:textFill>
            <w14:solidFill>
              <w14:schemeClr w14:val="tx1"/>
            </w14:solidFill>
          </w14:textFill>
        </w:rPr>
        <w:t>，溢油可进入钦州港青菜头南浅海滩涂养殖区，污染该区面积近2.03</w:t>
      </w:r>
      <w:r>
        <w:rPr>
          <w:color w:val="000000" w:themeColor="text1"/>
          <w14:textFill>
            <w14:solidFill>
              <w14:schemeClr w14:val="tx1"/>
            </w14:solidFill>
          </w14:textFill>
        </w:rPr>
        <w:t>km</w:t>
      </w:r>
      <w:r>
        <w:rPr>
          <w:color w:val="000000" w:themeColor="text1"/>
          <w:vertAlign w:val="superscript"/>
          <w14:textFill>
            <w14:solidFill>
              <w14:schemeClr w14:val="tx1"/>
            </w14:solidFill>
          </w14:textFill>
        </w:rPr>
        <w:t>2</w:t>
      </w:r>
      <w:r>
        <w:rPr>
          <w:rFonts w:hint="eastAsia"/>
          <w:color w:val="000000" w:themeColor="text1"/>
          <w14:textFill>
            <w14:solidFill>
              <w14:schemeClr w14:val="tx1"/>
            </w14:solidFill>
          </w14:textFill>
        </w:rPr>
        <w:t>；8小时后，溢油进入企沙半岛南部农渔业区；31</w:t>
      </w:r>
      <w:r>
        <w:rPr>
          <w:rFonts w:hint="eastAsia"/>
          <w:color w:val="000000" w:themeColor="text1"/>
          <w:lang w:eastAsia="zh-CN"/>
          <w14:textFill>
            <w14:solidFill>
              <w14:schemeClr w14:val="tx1"/>
            </w14:solidFill>
          </w14:textFill>
        </w:rPr>
        <w:t>小时</w:t>
      </w:r>
      <w:r>
        <w:rPr>
          <w:rFonts w:hint="eastAsia"/>
          <w:color w:val="000000" w:themeColor="text1"/>
          <w14:textFill>
            <w14:solidFill>
              <w14:schemeClr w14:val="tx1"/>
            </w14:solidFill>
          </w14:textFill>
        </w:rPr>
        <w:t>，溢油逸出西部计算域。</w:t>
      </w:r>
    </w:p>
    <w:p>
      <w:pPr>
        <w:ind w:firstLine="504"/>
        <w:rPr>
          <w:color w:val="000000" w:themeColor="text1"/>
          <w14:textFill>
            <w14:solidFill>
              <w14:schemeClr w14:val="tx1"/>
            </w14:solidFill>
          </w14:textFill>
        </w:rPr>
      </w:pPr>
      <w:r>
        <w:rPr>
          <w:color w:val="000000" w:themeColor="text1"/>
          <w14:textFill>
            <w14:solidFill>
              <w14:schemeClr w14:val="tx1"/>
            </w14:solidFill>
          </w14:textFill>
        </w:rPr>
        <w:t xml:space="preserve">D. </w:t>
      </w:r>
      <w:r>
        <w:rPr>
          <w:rFonts w:hint="eastAsia"/>
          <w:color w:val="000000" w:themeColor="text1"/>
          <w14:textFill>
            <w14:solidFill>
              <w14:schemeClr w14:val="tx1"/>
            </w14:solidFill>
          </w14:textFill>
        </w:rPr>
        <w:t>高潮时</w:t>
      </w:r>
      <w:r>
        <w:rPr>
          <w:color w:val="000000" w:themeColor="text1"/>
          <w14:textFill>
            <w14:solidFill>
              <w14:schemeClr w14:val="tx1"/>
            </w14:solidFill>
          </w14:textFill>
        </w:rPr>
        <w:t>SE</w:t>
      </w:r>
      <w:r>
        <w:rPr>
          <w:rFonts w:hint="eastAsia"/>
          <w:color w:val="000000" w:themeColor="text1"/>
          <w14:textFill>
            <w14:solidFill>
              <w14:schemeClr w14:val="tx1"/>
            </w14:solidFill>
          </w14:textFill>
        </w:rPr>
        <w:t>风向下</w:t>
      </w:r>
      <w:r>
        <w:rPr>
          <w:color w:val="000000" w:themeColor="text1"/>
          <w14:textFill>
            <w14:solidFill>
              <w14:schemeClr w14:val="tx1"/>
            </w14:solidFill>
          </w14:textFill>
        </w:rPr>
        <w:t>溢油</w:t>
      </w:r>
    </w:p>
    <w:p>
      <w:pPr>
        <w:pStyle w:val="1075"/>
        <w:ind w:firstLine="437"/>
        <w:rPr>
          <w:color w:val="000000" w:themeColor="text1"/>
          <w14:textFill>
            <w14:solidFill>
              <w14:schemeClr w14:val="tx1"/>
            </w14:solidFill>
          </w14:textFill>
        </w:rPr>
      </w:pPr>
      <w:r>
        <w:rPr>
          <w:rFonts w:hint="eastAsia"/>
          <w:color w:val="000000" w:themeColor="text1"/>
          <w14:textFill>
            <w14:solidFill>
              <w14:schemeClr w14:val="tx1"/>
            </w14:solidFill>
          </w14:textFill>
        </w:rPr>
        <w:t>本项目码头发生溢油事故后，油膜在风和潮流的共同作用下向西南方向顺岸运动，约6小时溢油抵达钦州湾外湾渔业用海区；约8小时，溢油进入钦州港青菜头南浅海滩涂养殖区；50小时后抵达钦州国投电厂取水口；56小时后溢油发生转向朝茅尾海方向运动；61小时后抵达防城港红沙农渔业区、防城港核电厂取水口；约68小时后抵达茅尾海渔业用海区、七十二泾生态控制区及七十二泾海岛群旅欧度假区；69</w:t>
      </w:r>
      <w:r>
        <w:rPr>
          <w:rFonts w:hint="eastAsia"/>
          <w:color w:val="000000" w:themeColor="text1"/>
          <w:lang w:eastAsia="zh-CN"/>
          <w14:textFill>
            <w14:solidFill>
              <w14:schemeClr w14:val="tx1"/>
            </w14:solidFill>
          </w14:textFill>
        </w:rPr>
        <w:t>小时</w:t>
      </w:r>
      <w:r>
        <w:rPr>
          <w:rFonts w:hint="eastAsia"/>
          <w:color w:val="000000" w:themeColor="text1"/>
          <w14:textFill>
            <w14:solidFill>
              <w14:schemeClr w14:val="tx1"/>
            </w14:solidFill>
          </w14:textFill>
        </w:rPr>
        <w:t>进入茅尾海南部浅海滩涂养殖区以及茅尾海国家级海洋公园。该工况下溢油污染物的敏感目标众多，因此需要引起注意，特别是在溢油后24小时内迅速采取溢油应急措施，可减少溢油对茅尾海以及潮汐通道处的敏感目标的污染。</w:t>
      </w:r>
    </w:p>
    <w:p>
      <w:pPr>
        <w:pStyle w:val="1075"/>
        <w:ind w:firstLine="437"/>
        <w:rPr>
          <w:color w:val="000000" w:themeColor="text1"/>
          <w14:textFill>
            <w14:solidFill>
              <w14:schemeClr w14:val="tx1"/>
            </w14:solidFill>
          </w14:textFill>
        </w:rPr>
      </w:pPr>
      <w:r>
        <w:rPr>
          <w:rFonts w:hint="eastAsia" w:ascii="宋体" w:hAnsi="宋体" w:cs="宋体"/>
          <w:color w:val="000000" w:themeColor="text1"/>
          <w14:textFill>
            <w14:solidFill>
              <w14:schemeClr w14:val="tx1"/>
            </w14:solidFill>
          </w14:textFill>
        </w:rPr>
        <w:t>②</w:t>
      </w:r>
      <w:r>
        <w:rPr>
          <w:rFonts w:hint="eastAsia"/>
          <w:color w:val="000000" w:themeColor="text1"/>
          <w14:textFill>
            <w14:solidFill>
              <w14:schemeClr w14:val="tx1"/>
            </w14:solidFill>
          </w14:textFill>
        </w:rPr>
        <w:t>低潮时</w:t>
      </w:r>
      <w:r>
        <w:rPr>
          <w:color w:val="000000" w:themeColor="text1"/>
          <w14:textFill>
            <w14:solidFill>
              <w14:schemeClr w14:val="tx1"/>
            </w14:solidFill>
          </w14:textFill>
        </w:rPr>
        <w:t>溢油</w:t>
      </w:r>
    </w:p>
    <w:p>
      <w:pPr>
        <w:pStyle w:val="1075"/>
        <w:ind w:firstLine="437"/>
        <w:rPr>
          <w:color w:val="000000" w:themeColor="text1"/>
          <w14:textFill>
            <w14:solidFill>
              <w14:schemeClr w14:val="tx1"/>
            </w14:solidFill>
          </w14:textFill>
        </w:rPr>
      </w:pPr>
      <w:r>
        <w:rPr>
          <w:color w:val="000000" w:themeColor="text1"/>
          <w14:textFill>
            <w14:solidFill>
              <w14:schemeClr w14:val="tx1"/>
            </w14:solidFill>
          </w14:textFill>
        </w:rPr>
        <w:t>A.</w:t>
      </w:r>
      <w:r>
        <w:rPr>
          <w:rFonts w:hint="eastAsia"/>
          <w:color w:val="000000" w:themeColor="text1"/>
          <w14:textFill>
            <w14:solidFill>
              <w14:schemeClr w14:val="tx1"/>
            </w14:solidFill>
          </w14:textFill>
        </w:rPr>
        <w:t>低潮时</w:t>
      </w:r>
      <w:r>
        <w:rPr>
          <w:color w:val="000000" w:themeColor="text1"/>
          <w14:textFill>
            <w14:solidFill>
              <w14:schemeClr w14:val="tx1"/>
            </w14:solidFill>
          </w14:textFill>
        </w:rPr>
        <w:t xml:space="preserve">S风向下溢油 </w:t>
      </w:r>
    </w:p>
    <w:p>
      <w:pPr>
        <w:pStyle w:val="1075"/>
        <w:ind w:firstLine="437"/>
        <w:rPr>
          <w:color w:val="000000" w:themeColor="text1"/>
          <w14:textFill>
            <w14:solidFill>
              <w14:schemeClr w14:val="tx1"/>
            </w14:solidFill>
          </w14:textFill>
        </w:rPr>
      </w:pPr>
      <w:r>
        <w:rPr>
          <w:color w:val="000000" w:themeColor="text1"/>
          <w14:textFill>
            <w14:solidFill>
              <w14:schemeClr w14:val="tx1"/>
            </w14:solidFill>
          </w14:textFill>
        </w:rPr>
        <w:t>如图4.7-6所示，</w:t>
      </w:r>
      <w:r>
        <w:rPr>
          <w:rFonts w:hint="eastAsia"/>
          <w:color w:val="000000" w:themeColor="text1"/>
          <w14:textFill>
            <w14:solidFill>
              <w14:schemeClr w14:val="tx1"/>
            </w14:solidFill>
          </w14:textFill>
        </w:rPr>
        <w:t>溢油发生后，溢油在涨潮潮流和S风的共同作用下，主体部分溢油在1</w:t>
      </w:r>
      <w:r>
        <w:rPr>
          <w:rFonts w:hint="eastAsia"/>
          <w:color w:val="000000" w:themeColor="text1"/>
          <w:lang w:eastAsia="zh-CN"/>
          <w14:textFill>
            <w14:solidFill>
              <w14:schemeClr w14:val="tx1"/>
            </w14:solidFill>
          </w14:textFill>
        </w:rPr>
        <w:t>小时</w:t>
      </w:r>
      <w:r>
        <w:rPr>
          <w:rFonts w:hint="eastAsia"/>
          <w:color w:val="000000" w:themeColor="text1"/>
          <w14:textFill>
            <w14:solidFill>
              <w14:schemeClr w14:val="tx1"/>
            </w14:solidFill>
          </w14:textFill>
        </w:rPr>
        <w:t>可抵岸，其他溢油顺保税港区东岸移动；约8</w:t>
      </w:r>
      <w:r>
        <w:rPr>
          <w:rFonts w:hint="eastAsia"/>
          <w:color w:val="000000" w:themeColor="text1"/>
          <w:lang w:eastAsia="zh-CN"/>
          <w14:textFill>
            <w14:solidFill>
              <w14:schemeClr w14:val="tx1"/>
            </w14:solidFill>
          </w14:textFill>
        </w:rPr>
        <w:t>小时</w:t>
      </w:r>
      <w:r>
        <w:rPr>
          <w:rFonts w:hint="eastAsia"/>
          <w:color w:val="000000" w:themeColor="text1"/>
          <w14:textFill>
            <w14:solidFill>
              <w14:schemeClr w14:val="tx1"/>
            </w14:solidFill>
          </w14:textFill>
        </w:rPr>
        <w:t>，溢油可在风的长周期作用下进入金鼓江，到达钦州国投电厂取水口；15小时左右，溢油可抵达金鼓江红树林分布区，对该敏感造成一定的重污染。该工况下溢油主要对保税港区西南岸和金鼓江沿岸的岸线造成一定污染，污染长度在36.9km左右。</w:t>
      </w:r>
    </w:p>
    <w:p>
      <w:pPr>
        <w:pStyle w:val="1075"/>
        <w:ind w:firstLine="437"/>
        <w:rPr>
          <w:color w:val="000000" w:themeColor="text1"/>
          <w14:textFill>
            <w14:solidFill>
              <w14:schemeClr w14:val="tx1"/>
            </w14:solidFill>
          </w14:textFill>
        </w:rPr>
      </w:pPr>
      <w:r>
        <w:rPr>
          <w:color w:val="000000" w:themeColor="text1"/>
          <w14:textFill>
            <w14:solidFill>
              <w14:schemeClr w14:val="tx1"/>
            </w14:solidFill>
          </w14:textFill>
        </w:rPr>
        <w:t xml:space="preserve">B. </w:t>
      </w:r>
      <w:r>
        <w:rPr>
          <w:rFonts w:hint="eastAsia"/>
          <w:color w:val="000000" w:themeColor="text1"/>
          <w14:textFill>
            <w14:solidFill>
              <w14:schemeClr w14:val="tx1"/>
            </w14:solidFill>
          </w14:textFill>
        </w:rPr>
        <w:t>低潮时</w:t>
      </w:r>
      <w:r>
        <w:rPr>
          <w:color w:val="000000" w:themeColor="text1"/>
          <w14:textFill>
            <w14:solidFill>
              <w14:schemeClr w14:val="tx1"/>
            </w14:solidFill>
          </w14:textFill>
        </w:rPr>
        <w:t>N风向下溢油</w:t>
      </w:r>
    </w:p>
    <w:p>
      <w:pPr>
        <w:pStyle w:val="1075"/>
        <w:ind w:firstLine="437"/>
        <w:rPr>
          <w:color w:val="000000" w:themeColor="text1"/>
          <w14:textFill>
            <w14:solidFill>
              <w14:schemeClr w14:val="tx1"/>
            </w14:solidFill>
          </w14:textFill>
        </w:rPr>
      </w:pPr>
      <w:r>
        <w:rPr>
          <w:color w:val="000000" w:themeColor="text1"/>
          <w14:textFill>
            <w14:solidFill>
              <w14:schemeClr w14:val="tx1"/>
            </w14:solidFill>
          </w14:textFill>
        </w:rPr>
        <w:t>如图4.7-7所示，</w:t>
      </w:r>
      <w:r>
        <w:rPr>
          <w:rFonts w:hint="eastAsia"/>
          <w:color w:val="000000" w:themeColor="text1"/>
          <w14:textFill>
            <w14:solidFill>
              <w14:schemeClr w14:val="tx1"/>
            </w14:solidFill>
          </w14:textFill>
        </w:rPr>
        <w:t>码头发生溢油事故后，在N风和涨潮潮流的共同作用下，溢油先向钦州湾内运动，6小时后转向，随后蜿蜒曲折地南向运动。5小时溢油可到达钦州湾外湾渔业用海区；9</w:t>
      </w:r>
      <w:r>
        <w:rPr>
          <w:rFonts w:hint="eastAsia"/>
          <w:color w:val="000000" w:themeColor="text1"/>
          <w:lang w:eastAsia="zh-CN"/>
          <w14:textFill>
            <w14:solidFill>
              <w14:schemeClr w14:val="tx1"/>
            </w14:solidFill>
          </w14:textFill>
        </w:rPr>
        <w:t>小时</w:t>
      </w:r>
      <w:r>
        <w:rPr>
          <w:rFonts w:hint="eastAsia"/>
          <w:color w:val="000000" w:themeColor="text1"/>
          <w14:textFill>
            <w14:solidFill>
              <w14:schemeClr w14:val="tx1"/>
            </w14:solidFill>
          </w14:textFill>
        </w:rPr>
        <w:t>，溢油可进入钦州港青菜头南浅海滩涂养殖区，污染该区近90%的范围；10</w:t>
      </w:r>
      <w:r>
        <w:rPr>
          <w:rFonts w:hint="eastAsia"/>
          <w:color w:val="000000" w:themeColor="text1"/>
          <w:lang w:eastAsia="zh-CN"/>
          <w14:textFill>
            <w14:solidFill>
              <w14:schemeClr w14:val="tx1"/>
            </w14:solidFill>
          </w14:textFill>
        </w:rPr>
        <w:t>小时</w:t>
      </w:r>
      <w:r>
        <w:rPr>
          <w:rFonts w:hint="eastAsia"/>
          <w:color w:val="000000" w:themeColor="text1"/>
          <w14:textFill>
            <w14:solidFill>
              <w14:schemeClr w14:val="tx1"/>
            </w14:solidFill>
          </w14:textFill>
        </w:rPr>
        <w:t>到达防城港核电厂取水口；约42</w:t>
      </w:r>
      <w:r>
        <w:rPr>
          <w:rFonts w:hint="eastAsia"/>
          <w:color w:val="000000" w:themeColor="text1"/>
          <w:lang w:eastAsia="zh-CN"/>
          <w14:textFill>
            <w14:solidFill>
              <w14:schemeClr w14:val="tx1"/>
            </w14:solidFill>
          </w14:textFill>
        </w:rPr>
        <w:t>小时</w:t>
      </w:r>
      <w:r>
        <w:rPr>
          <w:rFonts w:hint="eastAsia"/>
          <w:color w:val="000000" w:themeColor="text1"/>
          <w14:textFill>
            <w14:solidFill>
              <w14:schemeClr w14:val="tx1"/>
            </w14:solidFill>
          </w14:textFill>
        </w:rPr>
        <w:t>，溢油可进入企沙半岛南部农渔业区；约36</w:t>
      </w:r>
      <w:r>
        <w:rPr>
          <w:rFonts w:hint="eastAsia"/>
          <w:color w:val="000000" w:themeColor="text1"/>
          <w:lang w:eastAsia="zh-CN"/>
          <w14:textFill>
            <w14:solidFill>
              <w14:schemeClr w14:val="tx1"/>
            </w14:solidFill>
          </w14:textFill>
        </w:rPr>
        <w:t>小时</w:t>
      </w:r>
      <w:r>
        <w:rPr>
          <w:rFonts w:hint="eastAsia"/>
          <w:color w:val="000000" w:themeColor="text1"/>
          <w14:textFill>
            <w14:solidFill>
              <w14:schemeClr w14:val="tx1"/>
            </w14:solidFill>
          </w14:textFill>
        </w:rPr>
        <w:t>，溢油抵达北部湾二长棘绸长毛对虾国家级种质资源保护区（实验区）。从溢油轨迹和扫海面积来看，该工况下，溢油污染的海域面积较大，主要对钦州湾外的渔业区、种质资源保护区造成污染。</w:t>
      </w:r>
    </w:p>
    <w:p>
      <w:pPr>
        <w:pStyle w:val="1075"/>
        <w:ind w:firstLine="437"/>
        <w:rPr>
          <w:color w:val="000000" w:themeColor="text1"/>
          <w14:textFill>
            <w14:solidFill>
              <w14:schemeClr w14:val="tx1"/>
            </w14:solidFill>
          </w14:textFill>
        </w:rPr>
      </w:pPr>
      <w:r>
        <w:rPr>
          <w:color w:val="000000" w:themeColor="text1"/>
          <w14:textFill>
            <w14:solidFill>
              <w14:schemeClr w14:val="tx1"/>
            </w14:solidFill>
          </w14:textFill>
        </w:rPr>
        <w:t xml:space="preserve">C. </w:t>
      </w:r>
      <w:r>
        <w:rPr>
          <w:rFonts w:hint="eastAsia"/>
          <w:color w:val="000000" w:themeColor="text1"/>
          <w14:textFill>
            <w14:solidFill>
              <w14:schemeClr w14:val="tx1"/>
            </w14:solidFill>
          </w14:textFill>
        </w:rPr>
        <w:t>低潮时NE风向下溢油</w:t>
      </w:r>
    </w:p>
    <w:p>
      <w:pPr>
        <w:pStyle w:val="1075"/>
        <w:ind w:firstLine="437"/>
        <w:rPr>
          <w:color w:val="000000" w:themeColor="text1"/>
          <w14:textFill>
            <w14:solidFill>
              <w14:schemeClr w14:val="tx1"/>
            </w14:solidFill>
          </w14:textFill>
        </w:rPr>
      </w:pPr>
      <w:r>
        <w:rPr>
          <w:rFonts w:hint="eastAsia"/>
          <w:color w:val="000000" w:themeColor="text1"/>
          <w14:textFill>
            <w14:solidFill>
              <w14:schemeClr w14:val="tx1"/>
            </w14:solidFill>
          </w14:textFill>
        </w:rPr>
        <w:t>在强风的拖曳力和潮流的共同作用下，溢油向湾潭村方向飘移，2小时抵达钦州湾外湾渔业用海区的北部区域；4</w:t>
      </w:r>
      <w:r>
        <w:rPr>
          <w:rFonts w:hint="eastAsia"/>
          <w:color w:val="000000" w:themeColor="text1"/>
          <w:lang w:eastAsia="zh-CN"/>
          <w14:textFill>
            <w14:solidFill>
              <w14:schemeClr w14:val="tx1"/>
            </w14:solidFill>
          </w14:textFill>
        </w:rPr>
        <w:t>小时</w:t>
      </w:r>
      <w:r>
        <w:rPr>
          <w:rFonts w:hint="eastAsia"/>
          <w:color w:val="000000" w:themeColor="text1"/>
          <w14:textFill>
            <w14:solidFill>
              <w14:schemeClr w14:val="tx1"/>
            </w14:solidFill>
          </w14:textFill>
        </w:rPr>
        <w:t>，溢油可进入湾潭镇东部潮汐汊道处的蚝排养殖区；5小时左右，溢油可进入防城港红沙农渔业区及防城港核电厂取水口；6</w:t>
      </w:r>
      <w:r>
        <w:rPr>
          <w:rFonts w:hint="eastAsia"/>
          <w:color w:val="000000" w:themeColor="text1"/>
          <w:lang w:eastAsia="zh-CN"/>
          <w14:textFill>
            <w14:solidFill>
              <w14:schemeClr w14:val="tx1"/>
            </w14:solidFill>
          </w14:textFill>
        </w:rPr>
        <w:t>小时</w:t>
      </w:r>
      <w:r>
        <w:rPr>
          <w:rFonts w:hint="eastAsia"/>
          <w:color w:val="000000" w:themeColor="text1"/>
          <w14:textFill>
            <w14:solidFill>
              <w14:schemeClr w14:val="tx1"/>
            </w14:solidFill>
          </w14:textFill>
        </w:rPr>
        <w:t>，溢油抵达湾潭村东部沿岸，污染岸线的长度约为3.2km。</w:t>
      </w:r>
    </w:p>
    <w:p>
      <w:pPr>
        <w:pStyle w:val="1075"/>
        <w:ind w:firstLine="437"/>
        <w:rPr>
          <w:color w:val="000000" w:themeColor="text1"/>
          <w14:textFill>
            <w14:solidFill>
              <w14:schemeClr w14:val="tx1"/>
            </w14:solidFill>
          </w14:textFill>
        </w:rPr>
      </w:pPr>
      <w:r>
        <w:rPr>
          <w:color w:val="000000" w:themeColor="text1"/>
          <w14:textFill>
            <w14:solidFill>
              <w14:schemeClr w14:val="tx1"/>
            </w14:solidFill>
          </w14:textFill>
        </w:rPr>
        <w:t xml:space="preserve">D. </w:t>
      </w:r>
      <w:r>
        <w:rPr>
          <w:rFonts w:hint="eastAsia"/>
          <w:color w:val="000000" w:themeColor="text1"/>
          <w14:textFill>
            <w14:solidFill>
              <w14:schemeClr w14:val="tx1"/>
            </w14:solidFill>
          </w14:textFill>
        </w:rPr>
        <w:t>低潮时</w:t>
      </w:r>
      <w:r>
        <w:rPr>
          <w:color w:val="000000" w:themeColor="text1"/>
          <w14:textFill>
            <w14:solidFill>
              <w14:schemeClr w14:val="tx1"/>
            </w14:solidFill>
          </w14:textFill>
        </w:rPr>
        <w:t>SE</w:t>
      </w:r>
      <w:r>
        <w:rPr>
          <w:rFonts w:hint="eastAsia"/>
          <w:color w:val="000000" w:themeColor="text1"/>
          <w14:textFill>
            <w14:solidFill>
              <w14:schemeClr w14:val="tx1"/>
            </w14:solidFill>
          </w14:textFill>
        </w:rPr>
        <w:t>风向下溢油</w:t>
      </w:r>
    </w:p>
    <w:p>
      <w:pPr>
        <w:pStyle w:val="1075"/>
        <w:ind w:firstLine="437"/>
        <w:rPr>
          <w:color w:val="000000" w:themeColor="text1"/>
          <w14:textFill>
            <w14:solidFill>
              <w14:schemeClr w14:val="tx1"/>
            </w14:solidFill>
          </w14:textFill>
        </w:rPr>
      </w:pPr>
      <w:r>
        <w:rPr>
          <w:rFonts w:hint="eastAsia"/>
          <w:color w:val="000000" w:themeColor="text1"/>
          <w14:textFill>
            <w14:solidFill>
              <w14:schemeClr w14:val="tx1"/>
            </w14:solidFill>
          </w14:textFill>
        </w:rPr>
        <w:t>码头发生溢油事故后，油膜在SE强风的主导作用下径直向钦州湾内漂移，约4小时，主体部分溢油可抵达钦州港经发区南部海岸，同时到达钦州国投电厂取水口；部分溢油可继续朝茅尾海方向运动，对茅尾海南部浅海滩涂养殖区以及茅尾海西侧海域的敏感目标造成污染。</w:t>
      </w:r>
    </w:p>
    <w:p>
      <w:pPr>
        <w:pStyle w:val="1075"/>
        <w:ind w:firstLine="437"/>
        <w:rPr>
          <w:color w:val="000000" w:themeColor="text1"/>
          <w14:textFill>
            <w14:solidFill>
              <w14:schemeClr w14:val="tx1"/>
            </w14:solidFill>
          </w14:textFill>
        </w:rPr>
      </w:pPr>
      <w:r>
        <w:rPr>
          <w:color w:val="000000" w:themeColor="text1"/>
          <w14:textFill>
            <w14:solidFill>
              <w14:schemeClr w14:val="tx1"/>
            </w14:solidFill>
          </w14:textFill>
        </w:rPr>
        <w:t>（2）溢油路径和扫海面积</w:t>
      </w:r>
    </w:p>
    <w:p>
      <w:pPr>
        <w:pStyle w:val="1075"/>
        <w:ind w:firstLine="437"/>
        <w:rPr>
          <w:color w:val="000000" w:themeColor="text1"/>
          <w14:textFill>
            <w14:solidFill>
              <w14:schemeClr w14:val="tx1"/>
            </w14:solidFill>
          </w14:textFill>
        </w:rPr>
      </w:pPr>
      <w:r>
        <w:rPr>
          <w:color w:val="000000" w:themeColor="text1"/>
          <w14:textFill>
            <w14:solidFill>
              <w14:schemeClr w14:val="tx1"/>
            </w14:solidFill>
          </w14:textFill>
        </w:rPr>
        <w:t>海上溢油在运动的同时还进行着蒸发、溶解、乳化、沉降以及浮油和海岸线的相互作用等过程，溢油的总量、组成、性质均发生着变化。其中蒸发是溢油质量传输过程的主要部分，特别是轻质原油或成品油如汽油、柴油等。蒸发与油膜的性质、扩散面积有关，也跟风速、海况、海</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气温差以及太阳辐射强度有关，结合溢油性质、风况以及溢油的扩展面积计算溢油的残油量。</w:t>
      </w:r>
    </w:p>
    <w:p>
      <w:pPr>
        <w:pStyle w:val="1075"/>
        <w:ind w:firstLine="437"/>
        <w:rPr>
          <w:color w:val="000000" w:themeColor="text1"/>
          <w14:textFill>
            <w14:solidFill>
              <w14:schemeClr w14:val="tx1"/>
            </w14:solidFill>
          </w14:textFill>
        </w:rPr>
      </w:pPr>
      <w:r>
        <w:rPr>
          <w:color w:val="000000" w:themeColor="text1"/>
          <w14:textFill>
            <w14:solidFill>
              <w14:schemeClr w14:val="tx1"/>
            </w14:solidFill>
          </w14:textFill>
        </w:rPr>
        <w:t>不同事故情境下溢油残油量、油膜厚度扫海面积变化见表4.</w:t>
      </w:r>
      <w:r>
        <w:rPr>
          <w:rFonts w:hint="eastAsia"/>
          <w:color w:val="000000" w:themeColor="text1"/>
          <w14:textFill>
            <w14:solidFill>
              <w14:schemeClr w14:val="tx1"/>
            </w14:solidFill>
          </w14:textFill>
        </w:rPr>
        <w:t>6</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10至</w:t>
      </w:r>
      <w:r>
        <w:rPr>
          <w:color w:val="000000" w:themeColor="text1"/>
          <w14:textFill>
            <w14:solidFill>
              <w14:schemeClr w14:val="tx1"/>
            </w14:solidFill>
          </w14:textFill>
        </w:rPr>
        <w:t>4.</w:t>
      </w:r>
      <w:r>
        <w:rPr>
          <w:rFonts w:hint="eastAsia"/>
          <w:color w:val="000000" w:themeColor="text1"/>
          <w14:textFill>
            <w14:solidFill>
              <w14:schemeClr w14:val="tx1"/>
            </w14:solidFill>
          </w14:textFill>
        </w:rPr>
        <w:t>6</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11</w:t>
      </w:r>
      <w:r>
        <w:rPr>
          <w:color w:val="000000" w:themeColor="text1"/>
          <w14:textFill>
            <w14:solidFill>
              <w14:schemeClr w14:val="tx1"/>
            </w14:solidFill>
          </w14:textFill>
        </w:rPr>
        <w:t>。</w:t>
      </w:r>
    </w:p>
    <w:p>
      <w:pPr>
        <w:pStyle w:val="1075"/>
        <w:ind w:firstLine="437"/>
        <w:rPr>
          <w:color w:val="000000" w:themeColor="text1"/>
          <w14:textFill>
            <w14:solidFill>
              <w14:schemeClr w14:val="tx1"/>
            </w14:solidFill>
          </w14:textFill>
        </w:rPr>
      </w:pPr>
      <w:r>
        <w:rPr>
          <w:color w:val="000000" w:themeColor="text1"/>
          <w14:textFill>
            <w14:solidFill>
              <w14:schemeClr w14:val="tx1"/>
            </w14:solidFill>
          </w14:textFill>
        </w:rPr>
        <w:t>本次模拟将溢油的非动力过程与溢油的动力过程紧密联系，如蒸发和溶解模型就需要任何时刻油膜的面积，而面积的计算就是根据动力过程计算所得的粒子位置通过一定的算法计算得来，此外，密度、粘度的变化也是溢油计算中不可忽略的过程。</w:t>
      </w:r>
    </w:p>
    <w:p>
      <w:pPr>
        <w:pStyle w:val="1075"/>
        <w:ind w:firstLine="437"/>
        <w:rPr>
          <w:color w:val="000000" w:themeColor="text1"/>
          <w14:textFill>
            <w14:solidFill>
              <w14:schemeClr w14:val="tx1"/>
            </w14:solidFill>
          </w14:textFill>
        </w:rPr>
      </w:pPr>
      <w:r>
        <w:rPr>
          <w:color w:val="000000" w:themeColor="text1"/>
          <w14:textFill>
            <w14:solidFill>
              <w14:schemeClr w14:val="tx1"/>
            </w14:solidFill>
          </w14:textFill>
        </w:rPr>
        <w:t>本次溢油预测的燃油为炼油，因此蒸发</w:t>
      </w:r>
      <w:r>
        <w:rPr>
          <w:rFonts w:hint="eastAsia"/>
          <w:color w:val="000000" w:themeColor="text1"/>
          <w14:textFill>
            <w14:solidFill>
              <w14:schemeClr w14:val="tx1"/>
            </w14:solidFill>
          </w14:textFill>
        </w:rPr>
        <w:t>是</w:t>
      </w:r>
      <w:r>
        <w:rPr>
          <w:color w:val="000000" w:themeColor="text1"/>
          <w14:textFill>
            <w14:solidFill>
              <w14:schemeClr w14:val="tx1"/>
            </w14:solidFill>
          </w14:textFill>
        </w:rPr>
        <w:t>溢油损失的关键过程。但是随着时间的增长，单位时间内的蒸发损失量也随之减少，这可能由溢油中可蒸发损失组分减</w:t>
      </w:r>
      <w:r>
        <w:rPr>
          <w:rFonts w:hint="eastAsia"/>
          <w:color w:val="000000" w:themeColor="text1"/>
          <w14:textFill>
            <w14:solidFill>
              <w14:schemeClr w14:val="tx1"/>
            </w14:solidFill>
          </w14:textFill>
        </w:rPr>
        <w:t>少</w:t>
      </w:r>
      <w:r>
        <w:rPr>
          <w:color w:val="000000" w:themeColor="text1"/>
          <w14:textFill>
            <w14:solidFill>
              <w14:schemeClr w14:val="tx1"/>
            </w14:solidFill>
          </w14:textFill>
        </w:rPr>
        <w:t>造成的。从</w:t>
      </w:r>
      <w:r>
        <w:rPr>
          <w:rFonts w:hint="eastAsia"/>
          <w:color w:val="000000" w:themeColor="text1"/>
          <w14:textFill>
            <w14:solidFill>
              <w14:schemeClr w14:val="tx1"/>
            </w14:solidFill>
          </w14:textFill>
        </w:rPr>
        <w:t>码头</w:t>
      </w:r>
      <w:r>
        <w:rPr>
          <w:color w:val="000000" w:themeColor="text1"/>
          <w14:textFill>
            <w14:solidFill>
              <w14:schemeClr w14:val="tx1"/>
            </w14:solidFill>
          </w14:textFill>
        </w:rPr>
        <w:t>发生的溢油在各种工况下的</w:t>
      </w:r>
      <w:r>
        <w:rPr>
          <w:rFonts w:hint="eastAsia"/>
          <w:color w:val="000000" w:themeColor="text1"/>
          <w14:textFill>
            <w14:solidFill>
              <w14:schemeClr w14:val="tx1"/>
            </w14:solidFill>
          </w14:textFill>
        </w:rPr>
        <w:t>溢油</w:t>
      </w:r>
      <w:r>
        <w:rPr>
          <w:color w:val="000000" w:themeColor="text1"/>
          <w14:textFill>
            <w14:solidFill>
              <w14:schemeClr w14:val="tx1"/>
            </w14:solidFill>
          </w14:textFill>
        </w:rPr>
        <w:t>残余量对比中可以看出，在相同海水温度下，溢油在海面上的衰减最敏感的因素是风速，风速增加则物质转移系数增大，溢油的蒸发量也随之加大。其次，影响蒸发的另一主要因素为单位时间内的瞬时扩展面积。</w:t>
      </w:r>
    </w:p>
    <w:p>
      <w:pPr>
        <w:pStyle w:val="1075"/>
        <w:ind w:firstLine="437"/>
        <w:rPr>
          <w:color w:val="000000" w:themeColor="text1"/>
          <w14:textFill>
            <w14:solidFill>
              <w14:schemeClr w14:val="tx1"/>
            </w14:solidFill>
          </w14:textFill>
        </w:rPr>
      </w:pPr>
      <w:r>
        <w:rPr>
          <w:color w:val="000000" w:themeColor="text1"/>
          <w14:textFill>
            <w14:solidFill>
              <w14:schemeClr w14:val="tx1"/>
            </w14:solidFill>
          </w14:textFill>
        </w:rPr>
        <w:t>在本模式中考虑了另一风化过程——溶解过程，其是在一定能量的搅动下，溢油中的一些石油烃组分进入海水中的过程。溶解量和速率取决于石油的组成和物理性质、油膜扩展度、水温和水的湍流度以及油的乳化程度等。在影响溶解的环境因素中，风速和海况显得尤为重要。但溶解量较蒸发量小得多，通常仅是蒸发量的百分之几。溶解是溢油发生后活动最短的过程，明显有效时间主要在一小时左右。其后相对蒸发而言是可以忽略的。</w:t>
      </w:r>
    </w:p>
    <w:p>
      <w:pPr>
        <w:pStyle w:val="1075"/>
        <w:ind w:firstLine="437"/>
        <w:rPr>
          <w:color w:val="000000" w:themeColor="text1"/>
          <w14:textFill>
            <w14:solidFill>
              <w14:schemeClr w14:val="tx1"/>
            </w14:solidFill>
          </w14:textFill>
        </w:rPr>
      </w:pPr>
      <w:r>
        <w:rPr>
          <w:color w:val="000000" w:themeColor="text1"/>
          <w14:textFill>
            <w14:solidFill>
              <w14:schemeClr w14:val="tx1"/>
            </w14:solidFill>
          </w14:textFill>
        </w:rPr>
        <w:t>此外，综合表中的数据还可以看出，溢油的扫海面积除了受海况影响之外（例如风和流的夹角等），还与起始溢油量有关。</w:t>
      </w:r>
    </w:p>
    <w:p>
      <w:pPr>
        <w:pStyle w:val="1075"/>
        <w:ind w:firstLine="437"/>
        <w:rPr>
          <w:color w:val="000000" w:themeColor="text1"/>
          <w14:textFill>
            <w14:solidFill>
              <w14:schemeClr w14:val="tx1"/>
            </w14:solidFill>
          </w14:textFill>
        </w:rPr>
      </w:pPr>
      <w:r>
        <w:rPr>
          <w:color w:val="000000" w:themeColor="text1"/>
          <w14:textFill>
            <w14:solidFill>
              <w14:schemeClr w14:val="tx1"/>
            </w14:solidFill>
          </w14:textFill>
        </w:rPr>
        <w:t>大部分工况下的溢油事故的油膜厚度随时间的减小而减小，主要由于油膜扩散面积的增加以及油量减少所致；小部分油膜厚度可能会有先减小后增加的现象，可能的原因为抵岸使得局部油膜重叠，扩展面积减小。</w:t>
      </w:r>
    </w:p>
    <w:p>
      <w:pPr>
        <w:pStyle w:val="1075"/>
        <w:ind w:firstLine="437"/>
        <w:rPr>
          <w:color w:val="000000" w:themeColor="text1"/>
          <w14:textFill>
            <w14:solidFill>
              <w14:schemeClr w14:val="tx1"/>
            </w14:solidFill>
          </w14:textFill>
        </w:rPr>
      </w:pPr>
    </w:p>
    <w:p>
      <w:pPr>
        <w:pStyle w:val="1075"/>
        <w:ind w:firstLine="437"/>
        <w:rPr>
          <w:color w:val="000000" w:themeColor="text1"/>
          <w14:textFill>
            <w14:solidFill>
              <w14:schemeClr w14:val="tx1"/>
            </w14:solidFill>
          </w14:textFill>
        </w:rPr>
        <w:sectPr>
          <w:pgSz w:w="11907" w:h="16840"/>
          <w:pgMar w:top="1440" w:right="1514" w:bottom="1440" w:left="1797" w:header="992" w:footer="851" w:gutter="284"/>
          <w:pgNumType w:fmt="numberInDash"/>
          <w:cols w:space="425" w:num="1"/>
          <w:docGrid w:type="linesAndChars" w:linePitch="465" w:charSpace="-4355"/>
        </w:sectPr>
      </w:pPr>
    </w:p>
    <w:p>
      <w:pPr>
        <w:pStyle w:val="384"/>
        <w:ind w:left="0" w:firstLine="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码头溢油残油量和扫海面积随时间的变化（</w:t>
      </w:r>
      <w:r>
        <w:rPr>
          <w:rFonts w:hint="eastAsia" w:cs="Times New Roman"/>
          <w:color w:val="000000" w:themeColor="text1"/>
          <w14:textFill>
            <w14:solidFill>
              <w14:schemeClr w14:val="tx1"/>
            </w14:solidFill>
          </w14:textFill>
        </w:rPr>
        <w:t>高潮时</w:t>
      </w:r>
      <w:r>
        <w:rPr>
          <w:rFonts w:cs="Times New Roman"/>
          <w:color w:val="000000" w:themeColor="text1"/>
          <w14:textFill>
            <w14:solidFill>
              <w14:schemeClr w14:val="tx1"/>
            </w14:solidFill>
          </w14:textFill>
        </w:rPr>
        <w:t>）</w:t>
      </w:r>
    </w:p>
    <w:tbl>
      <w:tblPr>
        <w:tblStyle w:val="88"/>
        <w:tblW w:w="14174"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91"/>
        <w:gridCol w:w="578"/>
        <w:gridCol w:w="1267"/>
        <w:gridCol w:w="952"/>
        <w:gridCol w:w="1049"/>
        <w:gridCol w:w="1242"/>
        <w:gridCol w:w="935"/>
        <w:gridCol w:w="1089"/>
        <w:gridCol w:w="1193"/>
        <w:gridCol w:w="1080"/>
        <w:gridCol w:w="1080"/>
        <w:gridCol w:w="1171"/>
        <w:gridCol w:w="1012"/>
        <w:gridCol w:w="103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83" w:hRule="atLeast"/>
          <w:jc w:val="center"/>
        </w:trPr>
        <w:tc>
          <w:tcPr>
            <w:tcW w:w="1069" w:type="dxa"/>
            <w:gridSpan w:val="2"/>
            <w:vMerge w:val="restart"/>
            <w:tcBorders>
              <w:top w:val="single" w:color="auto" w:sz="12" w:space="0"/>
              <w:left w:val="single" w:color="auto" w:sz="12" w:space="0"/>
              <w:bottom w:val="single" w:color="auto" w:sz="6" w:space="0"/>
              <w:right w:val="single" w:color="auto" w:sz="6" w:space="0"/>
            </w:tcBorders>
            <w:vAlign w:val="center"/>
          </w:tcPr>
          <w:p>
            <w:pPr>
              <w:widowControl/>
              <w:adjustRightInd w:val="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时间(h)</w:t>
            </w:r>
          </w:p>
        </w:tc>
        <w:tc>
          <w:tcPr>
            <w:tcW w:w="3268" w:type="dxa"/>
            <w:gridSpan w:val="3"/>
            <w:tcBorders>
              <w:top w:val="single" w:color="auto" w:sz="12" w:space="0"/>
              <w:left w:val="single" w:color="auto" w:sz="6" w:space="0"/>
              <w:bottom w:val="single" w:color="auto" w:sz="6" w:space="0"/>
              <w:right w:val="single" w:color="auto" w:sz="6" w:space="0"/>
            </w:tcBorders>
            <w:vAlign w:val="center"/>
          </w:tcPr>
          <w:p>
            <w:pPr>
              <w:widowControl/>
              <w:adjustRightInd w:val="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S（</w:t>
            </w:r>
            <w:r>
              <w:rPr>
                <w:rFonts w:hint="eastAsia"/>
                <w:color w:val="000000" w:themeColor="text1"/>
                <w:kern w:val="0"/>
                <w:sz w:val="21"/>
                <w:szCs w:val="21"/>
                <w14:textFill>
                  <w14:solidFill>
                    <w14:schemeClr w14:val="tx1"/>
                  </w14:solidFill>
                </w14:textFill>
              </w:rPr>
              <w:t>夏季</w:t>
            </w:r>
            <w:r>
              <w:rPr>
                <w:color w:val="000000" w:themeColor="text1"/>
                <w:kern w:val="0"/>
                <w:sz w:val="21"/>
                <w:szCs w:val="21"/>
                <w14:textFill>
                  <w14:solidFill>
                    <w14:schemeClr w14:val="tx1"/>
                  </w14:solidFill>
                </w14:textFill>
              </w:rPr>
              <w:t>主频风）</w:t>
            </w:r>
          </w:p>
        </w:tc>
        <w:tc>
          <w:tcPr>
            <w:tcW w:w="3266" w:type="dxa"/>
            <w:gridSpan w:val="3"/>
            <w:tcBorders>
              <w:top w:val="single" w:color="auto" w:sz="12" w:space="0"/>
              <w:left w:val="single" w:color="auto" w:sz="6" w:space="0"/>
              <w:bottom w:val="single" w:color="auto" w:sz="6" w:space="0"/>
              <w:right w:val="single" w:color="auto" w:sz="6" w:space="0"/>
            </w:tcBorders>
            <w:vAlign w:val="center"/>
          </w:tcPr>
          <w:p>
            <w:pPr>
              <w:widowControl/>
              <w:adjustRightInd w:val="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N（</w:t>
            </w:r>
            <w:r>
              <w:rPr>
                <w:rFonts w:hint="eastAsia"/>
                <w:color w:val="000000" w:themeColor="text1"/>
                <w:kern w:val="0"/>
                <w:sz w:val="21"/>
                <w:szCs w:val="21"/>
                <w14:textFill>
                  <w14:solidFill>
                    <w14:schemeClr w14:val="tx1"/>
                  </w14:solidFill>
                </w14:textFill>
              </w:rPr>
              <w:t>冬季</w:t>
            </w:r>
            <w:r>
              <w:rPr>
                <w:color w:val="000000" w:themeColor="text1"/>
                <w:kern w:val="0"/>
                <w:sz w:val="21"/>
                <w:szCs w:val="21"/>
                <w14:textFill>
                  <w14:solidFill>
                    <w14:schemeClr w14:val="tx1"/>
                  </w14:solidFill>
                </w14:textFill>
              </w:rPr>
              <w:t>主频风）</w:t>
            </w:r>
          </w:p>
        </w:tc>
        <w:tc>
          <w:tcPr>
            <w:tcW w:w="3353" w:type="dxa"/>
            <w:gridSpan w:val="3"/>
            <w:tcBorders>
              <w:top w:val="single" w:color="auto" w:sz="12" w:space="0"/>
              <w:left w:val="single" w:color="auto" w:sz="6" w:space="0"/>
              <w:bottom w:val="single" w:color="auto" w:sz="6" w:space="0"/>
              <w:right w:val="single" w:color="auto" w:sz="6" w:space="0"/>
            </w:tcBorders>
            <w:vAlign w:val="center"/>
          </w:tcPr>
          <w:p>
            <w:pPr>
              <w:widowControl/>
              <w:adjustRightInd w:val="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NE（不利风向）</w:t>
            </w:r>
          </w:p>
        </w:tc>
        <w:tc>
          <w:tcPr>
            <w:tcW w:w="3218" w:type="dxa"/>
            <w:gridSpan w:val="3"/>
            <w:tcBorders>
              <w:top w:val="single" w:color="auto" w:sz="12" w:space="0"/>
              <w:left w:val="single" w:color="auto" w:sz="6" w:space="0"/>
              <w:bottom w:val="single" w:color="auto" w:sz="6" w:space="0"/>
              <w:right w:val="single" w:color="auto" w:sz="12" w:space="0"/>
            </w:tcBorders>
          </w:tcPr>
          <w:p>
            <w:pPr>
              <w:widowControl/>
              <w:adjustRightInd w:val="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SE（不利风向）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83" w:hRule="atLeast"/>
          <w:jc w:val="center"/>
        </w:trPr>
        <w:tc>
          <w:tcPr>
            <w:tcW w:w="1069" w:type="dxa"/>
            <w:gridSpan w:val="2"/>
            <w:vMerge w:val="continue"/>
            <w:tcBorders>
              <w:top w:val="single" w:color="auto" w:sz="6" w:space="0"/>
              <w:left w:val="single" w:color="auto" w:sz="12" w:space="0"/>
              <w:bottom w:val="single" w:color="auto" w:sz="6" w:space="0"/>
              <w:right w:val="single" w:color="auto" w:sz="6" w:space="0"/>
            </w:tcBorders>
            <w:vAlign w:val="center"/>
          </w:tcPr>
          <w:p>
            <w:pPr>
              <w:widowControl/>
              <w:adjustRightInd w:val="0"/>
              <w:jc w:val="center"/>
              <w:rPr>
                <w:color w:val="000000" w:themeColor="text1"/>
                <w:kern w:val="0"/>
                <w:sz w:val="21"/>
                <w:szCs w:val="21"/>
                <w14:textFill>
                  <w14:solidFill>
                    <w14:schemeClr w14:val="tx1"/>
                  </w14:solidFill>
                </w14:textFill>
              </w:rPr>
            </w:pPr>
          </w:p>
        </w:tc>
        <w:tc>
          <w:tcPr>
            <w:tcW w:w="1267" w:type="dxa"/>
            <w:tcBorders>
              <w:top w:val="single" w:color="auto" w:sz="6" w:space="0"/>
              <w:left w:val="single" w:color="auto" w:sz="6" w:space="0"/>
              <w:bottom w:val="single" w:color="auto" w:sz="6" w:space="0"/>
              <w:right w:val="single" w:color="auto" w:sz="6" w:space="0"/>
            </w:tcBorders>
            <w:vAlign w:val="center"/>
          </w:tcPr>
          <w:p>
            <w:pPr>
              <w:widowControl/>
              <w:adjustRightInd w:val="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残油量(T)</w:t>
            </w:r>
          </w:p>
        </w:tc>
        <w:tc>
          <w:tcPr>
            <w:tcW w:w="952" w:type="dxa"/>
            <w:tcBorders>
              <w:top w:val="single" w:color="auto" w:sz="6" w:space="0"/>
              <w:left w:val="single" w:color="auto" w:sz="6" w:space="0"/>
              <w:bottom w:val="single" w:color="auto" w:sz="6" w:space="0"/>
              <w:right w:val="single" w:color="auto" w:sz="6" w:space="0"/>
            </w:tcBorders>
            <w:vAlign w:val="center"/>
          </w:tcPr>
          <w:p>
            <w:pPr>
              <w:widowControl/>
              <w:adjustRightInd w:val="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扫海面积(km</w:t>
            </w:r>
            <w:r>
              <w:rPr>
                <w:color w:val="000000" w:themeColor="text1"/>
                <w:kern w:val="0"/>
                <w:sz w:val="21"/>
                <w:szCs w:val="21"/>
                <w:vertAlign w:val="superscript"/>
                <w14:textFill>
                  <w14:solidFill>
                    <w14:schemeClr w14:val="tx1"/>
                  </w14:solidFill>
                </w14:textFill>
              </w:rPr>
              <w:t>2</w:t>
            </w:r>
            <w:r>
              <w:rPr>
                <w:color w:val="000000" w:themeColor="text1"/>
                <w:kern w:val="0"/>
                <w:sz w:val="21"/>
                <w:szCs w:val="21"/>
                <w14:textFill>
                  <w14:solidFill>
                    <w14:schemeClr w14:val="tx1"/>
                  </w14:solidFill>
                </w14:textFill>
              </w:rPr>
              <w:t>)</w:t>
            </w:r>
          </w:p>
        </w:tc>
        <w:tc>
          <w:tcPr>
            <w:tcW w:w="1049" w:type="dxa"/>
            <w:tcBorders>
              <w:top w:val="single" w:color="auto" w:sz="6" w:space="0"/>
              <w:left w:val="single" w:color="auto" w:sz="6" w:space="0"/>
              <w:bottom w:val="single" w:color="auto" w:sz="6" w:space="0"/>
              <w:right w:val="single" w:color="auto" w:sz="6" w:space="0"/>
            </w:tcBorders>
            <w:vAlign w:val="center"/>
          </w:tcPr>
          <w:p>
            <w:pPr>
              <w:widowControl/>
              <w:adjustRightInd w:val="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油膜厚度(um)</w:t>
            </w:r>
          </w:p>
        </w:tc>
        <w:tc>
          <w:tcPr>
            <w:tcW w:w="1242" w:type="dxa"/>
            <w:tcBorders>
              <w:top w:val="single" w:color="auto" w:sz="6" w:space="0"/>
              <w:left w:val="single" w:color="auto" w:sz="6" w:space="0"/>
              <w:bottom w:val="single" w:color="auto" w:sz="6" w:space="0"/>
              <w:right w:val="single" w:color="auto" w:sz="6" w:space="0"/>
            </w:tcBorders>
            <w:vAlign w:val="center"/>
          </w:tcPr>
          <w:p>
            <w:pPr>
              <w:widowControl/>
              <w:adjustRightInd w:val="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残油量(T)</w:t>
            </w:r>
          </w:p>
        </w:tc>
        <w:tc>
          <w:tcPr>
            <w:tcW w:w="935" w:type="dxa"/>
            <w:tcBorders>
              <w:top w:val="single" w:color="auto" w:sz="6" w:space="0"/>
              <w:left w:val="single" w:color="auto" w:sz="6" w:space="0"/>
              <w:bottom w:val="single" w:color="auto" w:sz="6" w:space="0"/>
              <w:right w:val="single" w:color="auto" w:sz="6" w:space="0"/>
            </w:tcBorders>
            <w:vAlign w:val="center"/>
          </w:tcPr>
          <w:p>
            <w:pPr>
              <w:widowControl/>
              <w:adjustRightInd w:val="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扫海面积(km</w:t>
            </w:r>
            <w:r>
              <w:rPr>
                <w:color w:val="000000" w:themeColor="text1"/>
                <w:kern w:val="0"/>
                <w:sz w:val="21"/>
                <w:szCs w:val="21"/>
                <w:vertAlign w:val="superscript"/>
                <w14:textFill>
                  <w14:solidFill>
                    <w14:schemeClr w14:val="tx1"/>
                  </w14:solidFill>
                </w14:textFill>
              </w:rPr>
              <w:t>2</w:t>
            </w:r>
            <w:r>
              <w:rPr>
                <w:color w:val="000000" w:themeColor="text1"/>
                <w:kern w:val="0"/>
                <w:sz w:val="21"/>
                <w:szCs w:val="21"/>
                <w14:textFill>
                  <w14:solidFill>
                    <w14:schemeClr w14:val="tx1"/>
                  </w14:solidFill>
                </w14:textFill>
              </w:rPr>
              <w:t>)</w:t>
            </w:r>
          </w:p>
        </w:tc>
        <w:tc>
          <w:tcPr>
            <w:tcW w:w="1089" w:type="dxa"/>
            <w:tcBorders>
              <w:top w:val="single" w:color="auto" w:sz="6" w:space="0"/>
              <w:left w:val="single" w:color="auto" w:sz="6" w:space="0"/>
              <w:bottom w:val="single" w:color="auto" w:sz="6" w:space="0"/>
              <w:right w:val="single" w:color="auto" w:sz="6" w:space="0"/>
            </w:tcBorders>
            <w:vAlign w:val="center"/>
          </w:tcPr>
          <w:p>
            <w:pPr>
              <w:widowControl/>
              <w:adjustRightInd w:val="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油膜厚度</w:t>
            </w:r>
          </w:p>
          <w:p>
            <w:pPr>
              <w:widowControl/>
              <w:adjustRightInd w:val="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(um)</w:t>
            </w:r>
          </w:p>
        </w:tc>
        <w:tc>
          <w:tcPr>
            <w:tcW w:w="1193" w:type="dxa"/>
            <w:tcBorders>
              <w:top w:val="single" w:color="auto" w:sz="6" w:space="0"/>
              <w:left w:val="single" w:color="auto" w:sz="6" w:space="0"/>
              <w:bottom w:val="single" w:color="auto" w:sz="6" w:space="0"/>
              <w:right w:val="single" w:color="auto" w:sz="6" w:space="0"/>
            </w:tcBorders>
            <w:vAlign w:val="center"/>
          </w:tcPr>
          <w:p>
            <w:pPr>
              <w:widowControl/>
              <w:adjustRightInd w:val="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残油量(T)</w:t>
            </w:r>
          </w:p>
        </w:tc>
        <w:tc>
          <w:tcPr>
            <w:tcW w:w="1080" w:type="dxa"/>
            <w:tcBorders>
              <w:top w:val="single" w:color="auto" w:sz="6" w:space="0"/>
              <w:left w:val="single" w:color="auto" w:sz="6" w:space="0"/>
              <w:bottom w:val="single" w:color="auto" w:sz="6" w:space="0"/>
              <w:right w:val="single" w:color="auto" w:sz="6" w:space="0"/>
            </w:tcBorders>
            <w:vAlign w:val="center"/>
          </w:tcPr>
          <w:p>
            <w:pPr>
              <w:widowControl/>
              <w:adjustRightInd w:val="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扫海面积(km</w:t>
            </w:r>
            <w:r>
              <w:rPr>
                <w:color w:val="000000" w:themeColor="text1"/>
                <w:kern w:val="0"/>
                <w:sz w:val="21"/>
                <w:szCs w:val="21"/>
                <w:vertAlign w:val="superscript"/>
                <w14:textFill>
                  <w14:solidFill>
                    <w14:schemeClr w14:val="tx1"/>
                  </w14:solidFill>
                </w14:textFill>
              </w:rPr>
              <w:t>2</w:t>
            </w:r>
            <w:r>
              <w:rPr>
                <w:color w:val="000000" w:themeColor="text1"/>
                <w:kern w:val="0"/>
                <w:sz w:val="21"/>
                <w:szCs w:val="21"/>
                <w14:textFill>
                  <w14:solidFill>
                    <w14:schemeClr w14:val="tx1"/>
                  </w14:solidFill>
                </w14:textFill>
              </w:rPr>
              <w:t>)</w:t>
            </w:r>
          </w:p>
        </w:tc>
        <w:tc>
          <w:tcPr>
            <w:tcW w:w="1080" w:type="dxa"/>
            <w:tcBorders>
              <w:top w:val="single" w:color="auto" w:sz="6" w:space="0"/>
              <w:left w:val="single" w:color="auto" w:sz="6" w:space="0"/>
              <w:bottom w:val="single" w:color="auto" w:sz="6" w:space="0"/>
              <w:right w:val="single" w:color="auto" w:sz="6" w:space="0"/>
            </w:tcBorders>
            <w:vAlign w:val="center"/>
          </w:tcPr>
          <w:p>
            <w:pPr>
              <w:widowControl/>
              <w:adjustRightInd w:val="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油膜厚度</w:t>
            </w:r>
          </w:p>
          <w:p>
            <w:pPr>
              <w:widowControl/>
              <w:adjustRightInd w:val="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(um)</w:t>
            </w:r>
          </w:p>
        </w:tc>
        <w:tc>
          <w:tcPr>
            <w:tcW w:w="1171" w:type="dxa"/>
            <w:tcBorders>
              <w:top w:val="single" w:color="auto" w:sz="6" w:space="0"/>
              <w:left w:val="single" w:color="auto" w:sz="6" w:space="0"/>
              <w:bottom w:val="single" w:color="auto" w:sz="6" w:space="0"/>
              <w:right w:val="single" w:color="auto" w:sz="6" w:space="0"/>
            </w:tcBorders>
            <w:vAlign w:val="center"/>
          </w:tcPr>
          <w:p>
            <w:pPr>
              <w:widowControl/>
              <w:adjustRightInd w:val="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残油量(T)</w:t>
            </w:r>
          </w:p>
        </w:tc>
        <w:tc>
          <w:tcPr>
            <w:tcW w:w="1012" w:type="dxa"/>
            <w:tcBorders>
              <w:top w:val="single" w:color="auto" w:sz="6" w:space="0"/>
              <w:left w:val="single" w:color="auto" w:sz="6" w:space="0"/>
              <w:bottom w:val="single" w:color="auto" w:sz="6" w:space="0"/>
              <w:right w:val="single" w:color="auto" w:sz="6" w:space="0"/>
            </w:tcBorders>
            <w:vAlign w:val="center"/>
          </w:tcPr>
          <w:p>
            <w:pPr>
              <w:widowControl/>
              <w:adjustRightInd w:val="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扫海面积(km</w:t>
            </w:r>
            <w:r>
              <w:rPr>
                <w:color w:val="000000" w:themeColor="text1"/>
                <w:kern w:val="0"/>
                <w:sz w:val="21"/>
                <w:szCs w:val="21"/>
                <w:vertAlign w:val="superscript"/>
                <w14:textFill>
                  <w14:solidFill>
                    <w14:schemeClr w14:val="tx1"/>
                  </w14:solidFill>
                </w14:textFill>
              </w:rPr>
              <w:t>2</w:t>
            </w:r>
            <w:r>
              <w:rPr>
                <w:color w:val="000000" w:themeColor="text1"/>
                <w:kern w:val="0"/>
                <w:sz w:val="21"/>
                <w:szCs w:val="21"/>
                <w14:textFill>
                  <w14:solidFill>
                    <w14:schemeClr w14:val="tx1"/>
                  </w14:solidFill>
                </w14:textFill>
              </w:rPr>
              <w:t>)</w:t>
            </w:r>
          </w:p>
        </w:tc>
        <w:tc>
          <w:tcPr>
            <w:tcW w:w="1035" w:type="dxa"/>
            <w:tcBorders>
              <w:top w:val="single" w:color="auto" w:sz="6" w:space="0"/>
              <w:left w:val="single" w:color="auto" w:sz="6" w:space="0"/>
              <w:bottom w:val="single" w:color="auto" w:sz="6" w:space="0"/>
              <w:right w:val="single" w:color="auto" w:sz="12" w:space="0"/>
            </w:tcBorders>
            <w:vAlign w:val="center"/>
          </w:tcPr>
          <w:p>
            <w:pPr>
              <w:widowControl/>
              <w:adjustRightInd w:val="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油膜厚度(um)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27" w:hRule="exact"/>
          <w:jc w:val="center"/>
        </w:trPr>
        <w:tc>
          <w:tcPr>
            <w:tcW w:w="491" w:type="dxa"/>
            <w:vMerge w:val="restart"/>
            <w:tcBorders>
              <w:top w:val="single" w:color="auto" w:sz="6" w:space="0"/>
              <w:left w:val="single" w:color="auto" w:sz="12" w:space="0"/>
              <w:bottom w:val="single" w:color="auto" w:sz="6" w:space="0"/>
              <w:right w:val="single" w:color="auto" w:sz="6" w:space="0"/>
            </w:tcBorders>
            <w:vAlign w:val="center"/>
          </w:tcPr>
          <w:p>
            <w:pPr>
              <w:adjustRightInd w:val="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高潮时</w:t>
            </w:r>
          </w:p>
        </w:tc>
        <w:tc>
          <w:tcPr>
            <w:tcW w:w="578" w:type="dxa"/>
            <w:tcBorders>
              <w:top w:val="single" w:color="auto" w:sz="6" w:space="0"/>
              <w:left w:val="single" w:color="auto" w:sz="6" w:space="0"/>
              <w:bottom w:val="single" w:color="auto" w:sz="6" w:space="0"/>
              <w:right w:val="single" w:color="auto" w:sz="6" w:space="0"/>
            </w:tcBorders>
            <w:vAlign w:val="center"/>
          </w:tcPr>
          <w:p>
            <w:pPr>
              <w:adjustRightInd w:val="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0</w:t>
            </w:r>
          </w:p>
        </w:tc>
        <w:tc>
          <w:tcPr>
            <w:tcW w:w="1267" w:type="dxa"/>
            <w:tcBorders>
              <w:top w:val="single" w:color="auto" w:sz="6" w:space="0"/>
              <w:left w:val="single" w:color="auto" w:sz="6" w:space="0"/>
              <w:bottom w:val="single" w:color="auto" w:sz="6" w:space="0"/>
              <w:right w:val="single" w:color="auto" w:sz="6" w:space="0"/>
            </w:tcBorders>
            <w:vAlign w:val="bottom"/>
          </w:tcPr>
          <w:p>
            <w:pPr>
              <w:adjustRightInd w:val="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 xml:space="preserve">2500 </w:t>
            </w:r>
          </w:p>
        </w:tc>
        <w:tc>
          <w:tcPr>
            <w:tcW w:w="952" w:type="dxa"/>
            <w:tcBorders>
              <w:top w:val="single" w:color="auto" w:sz="6" w:space="0"/>
              <w:left w:val="single" w:color="auto" w:sz="6" w:space="0"/>
              <w:bottom w:val="single" w:color="auto" w:sz="6" w:space="0"/>
              <w:right w:val="single" w:color="auto" w:sz="6" w:space="0"/>
            </w:tcBorders>
            <w:vAlign w:val="center"/>
          </w:tcPr>
          <w:p>
            <w:pPr>
              <w:adjustRightInd w:val="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0</w:t>
            </w:r>
          </w:p>
        </w:tc>
        <w:tc>
          <w:tcPr>
            <w:tcW w:w="1049" w:type="dxa"/>
            <w:tcBorders>
              <w:top w:val="single" w:color="auto" w:sz="6" w:space="0"/>
              <w:left w:val="single" w:color="auto" w:sz="6" w:space="0"/>
              <w:bottom w:val="single" w:color="auto" w:sz="6" w:space="0"/>
              <w:right w:val="single" w:color="auto" w:sz="6" w:space="0"/>
            </w:tcBorders>
            <w:vAlign w:val="bottom"/>
          </w:tcPr>
          <w:p>
            <w:pPr>
              <w:adjustRightInd w:val="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 xml:space="preserve">0 </w:t>
            </w:r>
          </w:p>
        </w:tc>
        <w:tc>
          <w:tcPr>
            <w:tcW w:w="1242" w:type="dxa"/>
            <w:tcBorders>
              <w:top w:val="single" w:color="auto" w:sz="6" w:space="0"/>
              <w:left w:val="single" w:color="auto" w:sz="6" w:space="0"/>
              <w:bottom w:val="single" w:color="auto" w:sz="6" w:space="0"/>
              <w:right w:val="single" w:color="auto" w:sz="6" w:space="0"/>
            </w:tcBorders>
            <w:vAlign w:val="bottom"/>
          </w:tcPr>
          <w:p>
            <w:pPr>
              <w:adjustRightInd w:val="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 xml:space="preserve">2500 </w:t>
            </w:r>
          </w:p>
        </w:tc>
        <w:tc>
          <w:tcPr>
            <w:tcW w:w="935" w:type="dxa"/>
            <w:tcBorders>
              <w:top w:val="single" w:color="auto" w:sz="6" w:space="0"/>
              <w:left w:val="single" w:color="auto" w:sz="6" w:space="0"/>
              <w:bottom w:val="single" w:color="auto" w:sz="6" w:space="0"/>
              <w:right w:val="single" w:color="auto" w:sz="6" w:space="0"/>
            </w:tcBorders>
            <w:vAlign w:val="center"/>
          </w:tcPr>
          <w:p>
            <w:pPr>
              <w:adjustRightInd w:val="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0</w:t>
            </w:r>
          </w:p>
        </w:tc>
        <w:tc>
          <w:tcPr>
            <w:tcW w:w="1089" w:type="dxa"/>
            <w:tcBorders>
              <w:top w:val="single" w:color="auto" w:sz="6" w:space="0"/>
              <w:left w:val="single" w:color="auto" w:sz="6" w:space="0"/>
              <w:bottom w:val="single" w:color="auto" w:sz="6" w:space="0"/>
              <w:right w:val="single" w:color="auto" w:sz="6" w:space="0"/>
            </w:tcBorders>
            <w:vAlign w:val="bottom"/>
          </w:tcPr>
          <w:p>
            <w:pPr>
              <w:adjustRightInd w:val="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 xml:space="preserve">0 </w:t>
            </w:r>
          </w:p>
        </w:tc>
        <w:tc>
          <w:tcPr>
            <w:tcW w:w="1193" w:type="dxa"/>
            <w:tcBorders>
              <w:top w:val="single" w:color="auto" w:sz="6" w:space="0"/>
              <w:left w:val="single" w:color="auto" w:sz="6" w:space="0"/>
              <w:bottom w:val="single" w:color="auto" w:sz="6" w:space="0"/>
              <w:right w:val="single" w:color="auto" w:sz="6" w:space="0"/>
            </w:tcBorders>
            <w:vAlign w:val="bottom"/>
          </w:tcPr>
          <w:p>
            <w:pPr>
              <w:adjustRightInd w:val="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 xml:space="preserve">2500 </w:t>
            </w:r>
          </w:p>
        </w:tc>
        <w:tc>
          <w:tcPr>
            <w:tcW w:w="1080" w:type="dxa"/>
            <w:tcBorders>
              <w:top w:val="single" w:color="auto" w:sz="6" w:space="0"/>
              <w:left w:val="single" w:color="auto" w:sz="6" w:space="0"/>
              <w:bottom w:val="single" w:color="auto" w:sz="6" w:space="0"/>
              <w:right w:val="single" w:color="auto" w:sz="6" w:space="0"/>
            </w:tcBorders>
            <w:vAlign w:val="center"/>
          </w:tcPr>
          <w:p>
            <w:pPr>
              <w:adjustRightInd w:val="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0</w:t>
            </w:r>
          </w:p>
        </w:tc>
        <w:tc>
          <w:tcPr>
            <w:tcW w:w="1080" w:type="dxa"/>
            <w:tcBorders>
              <w:top w:val="single" w:color="auto" w:sz="6" w:space="0"/>
              <w:left w:val="single" w:color="auto" w:sz="6" w:space="0"/>
              <w:bottom w:val="single" w:color="auto" w:sz="6" w:space="0"/>
              <w:right w:val="single" w:color="auto" w:sz="6" w:space="0"/>
            </w:tcBorders>
            <w:vAlign w:val="bottom"/>
          </w:tcPr>
          <w:p>
            <w:pPr>
              <w:adjustRightInd w:val="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 xml:space="preserve">0 </w:t>
            </w:r>
          </w:p>
        </w:tc>
        <w:tc>
          <w:tcPr>
            <w:tcW w:w="1171" w:type="dxa"/>
            <w:tcBorders>
              <w:top w:val="single" w:color="auto" w:sz="6" w:space="0"/>
              <w:left w:val="single" w:color="auto" w:sz="6" w:space="0"/>
              <w:bottom w:val="single" w:color="auto" w:sz="6" w:space="0"/>
              <w:right w:val="single" w:color="auto" w:sz="6" w:space="0"/>
            </w:tcBorders>
            <w:vAlign w:val="bottom"/>
          </w:tcPr>
          <w:p>
            <w:pPr>
              <w:adjustRightInd w:val="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 xml:space="preserve">2500 </w:t>
            </w:r>
          </w:p>
        </w:tc>
        <w:tc>
          <w:tcPr>
            <w:tcW w:w="1012" w:type="dxa"/>
            <w:tcBorders>
              <w:top w:val="single" w:color="auto" w:sz="6" w:space="0"/>
              <w:left w:val="single" w:color="auto" w:sz="6" w:space="0"/>
              <w:bottom w:val="single" w:color="auto" w:sz="6" w:space="0"/>
              <w:right w:val="single" w:color="auto" w:sz="6" w:space="0"/>
            </w:tcBorders>
            <w:vAlign w:val="center"/>
          </w:tcPr>
          <w:p>
            <w:pPr>
              <w:adjustRightInd w:val="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0</w:t>
            </w:r>
          </w:p>
        </w:tc>
        <w:tc>
          <w:tcPr>
            <w:tcW w:w="1035" w:type="dxa"/>
            <w:tcBorders>
              <w:top w:val="single" w:color="auto" w:sz="6" w:space="0"/>
              <w:left w:val="single" w:color="auto" w:sz="6" w:space="0"/>
              <w:bottom w:val="single" w:color="auto" w:sz="6" w:space="0"/>
              <w:right w:val="single" w:color="auto" w:sz="12" w:space="0"/>
            </w:tcBorders>
            <w:vAlign w:val="bottom"/>
          </w:tcPr>
          <w:p>
            <w:pPr>
              <w:adjustRightInd w:val="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 xml:space="preserve">0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27" w:hRule="exact"/>
          <w:jc w:val="center"/>
        </w:trPr>
        <w:tc>
          <w:tcPr>
            <w:tcW w:w="491" w:type="dxa"/>
            <w:vMerge w:val="continue"/>
            <w:tcBorders>
              <w:top w:val="single" w:color="auto" w:sz="6" w:space="0"/>
              <w:left w:val="single" w:color="auto" w:sz="12" w:space="0"/>
              <w:bottom w:val="single" w:color="auto" w:sz="6" w:space="0"/>
              <w:right w:val="single" w:color="auto" w:sz="6" w:space="0"/>
            </w:tcBorders>
            <w:vAlign w:val="center"/>
          </w:tcPr>
          <w:p>
            <w:pPr>
              <w:widowControl/>
              <w:adjustRightInd w:val="0"/>
              <w:jc w:val="center"/>
              <w:rPr>
                <w:color w:val="000000" w:themeColor="text1"/>
                <w:sz w:val="21"/>
                <w:szCs w:val="21"/>
                <w14:textFill>
                  <w14:solidFill>
                    <w14:schemeClr w14:val="tx1"/>
                  </w14:solidFill>
                </w14:textFill>
              </w:rPr>
            </w:pPr>
          </w:p>
        </w:tc>
        <w:tc>
          <w:tcPr>
            <w:tcW w:w="578" w:type="dxa"/>
            <w:tcBorders>
              <w:top w:val="single" w:color="auto" w:sz="6" w:space="0"/>
              <w:left w:val="single" w:color="auto" w:sz="6" w:space="0"/>
              <w:bottom w:val="single" w:color="auto" w:sz="6" w:space="0"/>
              <w:right w:val="single" w:color="auto" w:sz="6" w:space="0"/>
            </w:tcBorders>
            <w:vAlign w:val="center"/>
          </w:tcPr>
          <w:p>
            <w:pPr>
              <w:adjustRightInd w:val="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w:t>
            </w:r>
          </w:p>
        </w:tc>
        <w:tc>
          <w:tcPr>
            <w:tcW w:w="1267" w:type="dxa"/>
            <w:tcBorders>
              <w:top w:val="single" w:color="auto" w:sz="6" w:space="0"/>
              <w:left w:val="single" w:color="auto" w:sz="6" w:space="0"/>
              <w:bottom w:val="single" w:color="auto" w:sz="6" w:space="0"/>
              <w:right w:val="single" w:color="auto" w:sz="6" w:space="0"/>
            </w:tcBorders>
            <w:vAlign w:val="bottom"/>
          </w:tcPr>
          <w:p>
            <w:pPr>
              <w:adjustRightInd w:val="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 xml:space="preserve">2092.31 </w:t>
            </w:r>
          </w:p>
        </w:tc>
        <w:tc>
          <w:tcPr>
            <w:tcW w:w="952" w:type="dxa"/>
            <w:tcBorders>
              <w:top w:val="single" w:color="auto" w:sz="6" w:space="0"/>
              <w:left w:val="single" w:color="auto" w:sz="6" w:space="0"/>
              <w:bottom w:val="single" w:color="auto" w:sz="6" w:space="0"/>
              <w:right w:val="single" w:color="auto" w:sz="6" w:space="0"/>
            </w:tcBorders>
            <w:vAlign w:val="center"/>
          </w:tcPr>
          <w:p>
            <w:pPr>
              <w:adjustRightInd w:val="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0.48</w:t>
            </w:r>
          </w:p>
        </w:tc>
        <w:tc>
          <w:tcPr>
            <w:tcW w:w="1049" w:type="dxa"/>
            <w:tcBorders>
              <w:top w:val="single" w:color="auto" w:sz="6" w:space="0"/>
              <w:left w:val="single" w:color="auto" w:sz="6" w:space="0"/>
              <w:bottom w:val="single" w:color="auto" w:sz="6" w:space="0"/>
              <w:right w:val="single" w:color="auto" w:sz="6" w:space="0"/>
            </w:tcBorders>
            <w:vAlign w:val="bottom"/>
          </w:tcPr>
          <w:p>
            <w:pPr>
              <w:adjustRightInd w:val="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 xml:space="preserve">9741.69 </w:t>
            </w:r>
          </w:p>
        </w:tc>
        <w:tc>
          <w:tcPr>
            <w:tcW w:w="1242" w:type="dxa"/>
            <w:tcBorders>
              <w:top w:val="single" w:color="auto" w:sz="6" w:space="0"/>
              <w:left w:val="single" w:color="auto" w:sz="6" w:space="0"/>
              <w:bottom w:val="single" w:color="auto" w:sz="6" w:space="0"/>
              <w:right w:val="single" w:color="auto" w:sz="6" w:space="0"/>
            </w:tcBorders>
            <w:vAlign w:val="bottom"/>
          </w:tcPr>
          <w:p>
            <w:pPr>
              <w:adjustRightInd w:val="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 xml:space="preserve">2092.23 </w:t>
            </w:r>
          </w:p>
        </w:tc>
        <w:tc>
          <w:tcPr>
            <w:tcW w:w="935" w:type="dxa"/>
            <w:tcBorders>
              <w:top w:val="single" w:color="auto" w:sz="6" w:space="0"/>
              <w:left w:val="single" w:color="auto" w:sz="6" w:space="0"/>
              <w:bottom w:val="single" w:color="auto" w:sz="6" w:space="0"/>
              <w:right w:val="single" w:color="auto" w:sz="6" w:space="0"/>
            </w:tcBorders>
            <w:vAlign w:val="center"/>
          </w:tcPr>
          <w:p>
            <w:pPr>
              <w:adjustRightInd w:val="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0.56</w:t>
            </w:r>
          </w:p>
        </w:tc>
        <w:tc>
          <w:tcPr>
            <w:tcW w:w="1089" w:type="dxa"/>
            <w:tcBorders>
              <w:top w:val="single" w:color="auto" w:sz="6" w:space="0"/>
              <w:left w:val="single" w:color="auto" w:sz="6" w:space="0"/>
              <w:bottom w:val="single" w:color="auto" w:sz="6" w:space="0"/>
              <w:right w:val="single" w:color="auto" w:sz="6" w:space="0"/>
            </w:tcBorders>
            <w:vAlign w:val="bottom"/>
          </w:tcPr>
          <w:p>
            <w:pPr>
              <w:adjustRightInd w:val="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 xml:space="preserve">8715.91 </w:t>
            </w:r>
          </w:p>
        </w:tc>
        <w:tc>
          <w:tcPr>
            <w:tcW w:w="1193" w:type="dxa"/>
            <w:tcBorders>
              <w:top w:val="single" w:color="auto" w:sz="6" w:space="0"/>
              <w:left w:val="single" w:color="auto" w:sz="6" w:space="0"/>
              <w:bottom w:val="single" w:color="auto" w:sz="6" w:space="0"/>
              <w:right w:val="single" w:color="auto" w:sz="6" w:space="0"/>
            </w:tcBorders>
            <w:vAlign w:val="bottom"/>
          </w:tcPr>
          <w:p>
            <w:pPr>
              <w:adjustRightInd w:val="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 xml:space="preserve">1999.77 </w:t>
            </w:r>
          </w:p>
        </w:tc>
        <w:tc>
          <w:tcPr>
            <w:tcW w:w="1080" w:type="dxa"/>
            <w:tcBorders>
              <w:top w:val="single" w:color="auto" w:sz="6" w:space="0"/>
              <w:left w:val="single" w:color="auto" w:sz="6" w:space="0"/>
              <w:bottom w:val="single" w:color="auto" w:sz="6" w:space="0"/>
              <w:right w:val="single" w:color="auto" w:sz="6" w:space="0"/>
            </w:tcBorders>
            <w:vAlign w:val="center"/>
          </w:tcPr>
          <w:p>
            <w:pPr>
              <w:adjustRightInd w:val="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0.63</w:t>
            </w:r>
          </w:p>
        </w:tc>
        <w:tc>
          <w:tcPr>
            <w:tcW w:w="1080" w:type="dxa"/>
            <w:tcBorders>
              <w:top w:val="single" w:color="auto" w:sz="6" w:space="0"/>
              <w:left w:val="single" w:color="auto" w:sz="6" w:space="0"/>
              <w:bottom w:val="single" w:color="auto" w:sz="6" w:space="0"/>
              <w:right w:val="single" w:color="auto" w:sz="6" w:space="0"/>
            </w:tcBorders>
            <w:vAlign w:val="bottom"/>
          </w:tcPr>
          <w:p>
            <w:pPr>
              <w:adjustRightInd w:val="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 xml:space="preserve">8008.99 </w:t>
            </w:r>
          </w:p>
        </w:tc>
        <w:tc>
          <w:tcPr>
            <w:tcW w:w="1171" w:type="dxa"/>
            <w:tcBorders>
              <w:top w:val="single" w:color="auto" w:sz="6" w:space="0"/>
              <w:left w:val="single" w:color="auto" w:sz="6" w:space="0"/>
              <w:bottom w:val="single" w:color="auto" w:sz="6" w:space="0"/>
              <w:right w:val="single" w:color="auto" w:sz="6" w:space="0"/>
            </w:tcBorders>
            <w:vAlign w:val="bottom"/>
          </w:tcPr>
          <w:p>
            <w:pPr>
              <w:adjustRightInd w:val="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 xml:space="preserve">2001.44 </w:t>
            </w:r>
          </w:p>
        </w:tc>
        <w:tc>
          <w:tcPr>
            <w:tcW w:w="1012" w:type="dxa"/>
            <w:tcBorders>
              <w:top w:val="single" w:color="auto" w:sz="6" w:space="0"/>
              <w:left w:val="single" w:color="auto" w:sz="6" w:space="0"/>
              <w:bottom w:val="single" w:color="auto" w:sz="6" w:space="0"/>
              <w:right w:val="single" w:color="auto" w:sz="6" w:space="0"/>
            </w:tcBorders>
          </w:tcPr>
          <w:p>
            <w:pPr>
              <w:adjustRightInd w:val="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0.56</w:t>
            </w:r>
          </w:p>
        </w:tc>
        <w:tc>
          <w:tcPr>
            <w:tcW w:w="1035" w:type="dxa"/>
            <w:tcBorders>
              <w:top w:val="single" w:color="auto" w:sz="6" w:space="0"/>
              <w:left w:val="single" w:color="auto" w:sz="6" w:space="0"/>
              <w:bottom w:val="single" w:color="auto" w:sz="6" w:space="0"/>
              <w:right w:val="single" w:color="auto" w:sz="12" w:space="0"/>
            </w:tcBorders>
            <w:vAlign w:val="bottom"/>
          </w:tcPr>
          <w:p>
            <w:pPr>
              <w:adjustRightInd w:val="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 xml:space="preserve">8297.71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27" w:hRule="exact"/>
          <w:jc w:val="center"/>
        </w:trPr>
        <w:tc>
          <w:tcPr>
            <w:tcW w:w="491" w:type="dxa"/>
            <w:vMerge w:val="continue"/>
            <w:tcBorders>
              <w:top w:val="single" w:color="auto" w:sz="6" w:space="0"/>
              <w:left w:val="single" w:color="auto" w:sz="12" w:space="0"/>
              <w:bottom w:val="single" w:color="auto" w:sz="6" w:space="0"/>
              <w:right w:val="single" w:color="auto" w:sz="6" w:space="0"/>
            </w:tcBorders>
            <w:vAlign w:val="center"/>
          </w:tcPr>
          <w:p>
            <w:pPr>
              <w:widowControl/>
              <w:adjustRightInd w:val="0"/>
              <w:jc w:val="center"/>
              <w:rPr>
                <w:color w:val="000000" w:themeColor="text1"/>
                <w:sz w:val="21"/>
                <w:szCs w:val="21"/>
                <w14:textFill>
                  <w14:solidFill>
                    <w14:schemeClr w14:val="tx1"/>
                  </w14:solidFill>
                </w14:textFill>
              </w:rPr>
            </w:pPr>
          </w:p>
        </w:tc>
        <w:tc>
          <w:tcPr>
            <w:tcW w:w="578" w:type="dxa"/>
            <w:tcBorders>
              <w:top w:val="single" w:color="auto" w:sz="6" w:space="0"/>
              <w:left w:val="single" w:color="auto" w:sz="6" w:space="0"/>
              <w:bottom w:val="single" w:color="auto" w:sz="6" w:space="0"/>
              <w:right w:val="single" w:color="auto" w:sz="6" w:space="0"/>
            </w:tcBorders>
            <w:vAlign w:val="bottom"/>
          </w:tcPr>
          <w:p>
            <w:pPr>
              <w:adjustRightInd w:val="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3</w:t>
            </w:r>
          </w:p>
        </w:tc>
        <w:tc>
          <w:tcPr>
            <w:tcW w:w="1267" w:type="dxa"/>
            <w:tcBorders>
              <w:top w:val="single" w:color="auto" w:sz="6" w:space="0"/>
              <w:left w:val="single" w:color="auto" w:sz="6" w:space="0"/>
              <w:bottom w:val="single" w:color="auto" w:sz="6" w:space="0"/>
              <w:right w:val="single" w:color="auto" w:sz="6" w:space="0"/>
            </w:tcBorders>
          </w:tcPr>
          <w:p>
            <w:pPr>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w:t>
            </w:r>
          </w:p>
        </w:tc>
        <w:tc>
          <w:tcPr>
            <w:tcW w:w="952" w:type="dxa"/>
            <w:tcBorders>
              <w:top w:val="single" w:color="auto" w:sz="6" w:space="0"/>
              <w:left w:val="single" w:color="auto" w:sz="6" w:space="0"/>
              <w:bottom w:val="single" w:color="auto" w:sz="6" w:space="0"/>
              <w:right w:val="single" w:color="auto" w:sz="6" w:space="0"/>
            </w:tcBorders>
          </w:tcPr>
          <w:p>
            <w:pPr>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w:t>
            </w:r>
          </w:p>
        </w:tc>
        <w:tc>
          <w:tcPr>
            <w:tcW w:w="1049" w:type="dxa"/>
            <w:tcBorders>
              <w:top w:val="single" w:color="auto" w:sz="6" w:space="0"/>
              <w:left w:val="single" w:color="auto" w:sz="6" w:space="0"/>
              <w:bottom w:val="single" w:color="auto" w:sz="6" w:space="0"/>
              <w:right w:val="single" w:color="auto" w:sz="6" w:space="0"/>
            </w:tcBorders>
          </w:tcPr>
          <w:p>
            <w:pPr>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w:t>
            </w:r>
          </w:p>
        </w:tc>
        <w:tc>
          <w:tcPr>
            <w:tcW w:w="1242" w:type="dxa"/>
            <w:tcBorders>
              <w:top w:val="single" w:color="auto" w:sz="6" w:space="0"/>
              <w:left w:val="single" w:color="auto" w:sz="6" w:space="0"/>
              <w:bottom w:val="single" w:color="auto" w:sz="6" w:space="0"/>
              <w:right w:val="single" w:color="auto" w:sz="6" w:space="0"/>
            </w:tcBorders>
            <w:vAlign w:val="bottom"/>
          </w:tcPr>
          <w:p>
            <w:pPr>
              <w:adjustRightInd w:val="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 xml:space="preserve">1345.92 </w:t>
            </w:r>
          </w:p>
        </w:tc>
        <w:tc>
          <w:tcPr>
            <w:tcW w:w="935" w:type="dxa"/>
            <w:tcBorders>
              <w:top w:val="single" w:color="auto" w:sz="6" w:space="0"/>
              <w:left w:val="single" w:color="auto" w:sz="6" w:space="0"/>
              <w:bottom w:val="single" w:color="auto" w:sz="6" w:space="0"/>
              <w:right w:val="single" w:color="auto" w:sz="6" w:space="0"/>
            </w:tcBorders>
            <w:vAlign w:val="center"/>
          </w:tcPr>
          <w:p>
            <w:pPr>
              <w:adjustRightInd w:val="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8.83</w:t>
            </w:r>
          </w:p>
        </w:tc>
        <w:tc>
          <w:tcPr>
            <w:tcW w:w="1089" w:type="dxa"/>
            <w:tcBorders>
              <w:top w:val="single" w:color="auto" w:sz="6" w:space="0"/>
              <w:left w:val="single" w:color="auto" w:sz="6" w:space="0"/>
              <w:bottom w:val="single" w:color="auto" w:sz="6" w:space="0"/>
              <w:right w:val="single" w:color="auto" w:sz="6" w:space="0"/>
            </w:tcBorders>
            <w:vAlign w:val="bottom"/>
          </w:tcPr>
          <w:p>
            <w:pPr>
              <w:adjustRightInd w:val="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 xml:space="preserve">774.15 </w:t>
            </w:r>
          </w:p>
        </w:tc>
        <w:tc>
          <w:tcPr>
            <w:tcW w:w="1193" w:type="dxa"/>
            <w:tcBorders>
              <w:top w:val="single" w:color="auto" w:sz="6" w:space="0"/>
              <w:left w:val="single" w:color="auto" w:sz="6" w:space="0"/>
              <w:bottom w:val="single" w:color="auto" w:sz="6" w:space="0"/>
              <w:right w:val="single" w:color="auto" w:sz="6" w:space="0"/>
            </w:tcBorders>
            <w:vAlign w:val="bottom"/>
          </w:tcPr>
          <w:p>
            <w:pPr>
              <w:adjustRightInd w:val="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 xml:space="preserve">1214.78 </w:t>
            </w:r>
          </w:p>
        </w:tc>
        <w:tc>
          <w:tcPr>
            <w:tcW w:w="1080" w:type="dxa"/>
            <w:tcBorders>
              <w:top w:val="single" w:color="auto" w:sz="6" w:space="0"/>
              <w:left w:val="single" w:color="auto" w:sz="6" w:space="0"/>
              <w:bottom w:val="single" w:color="auto" w:sz="6" w:space="0"/>
              <w:right w:val="single" w:color="auto" w:sz="6" w:space="0"/>
            </w:tcBorders>
            <w:vAlign w:val="center"/>
          </w:tcPr>
          <w:p>
            <w:pPr>
              <w:adjustRightInd w:val="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12.56</w:t>
            </w:r>
          </w:p>
        </w:tc>
        <w:tc>
          <w:tcPr>
            <w:tcW w:w="1080" w:type="dxa"/>
            <w:tcBorders>
              <w:top w:val="single" w:color="auto" w:sz="6" w:space="0"/>
              <w:left w:val="single" w:color="auto" w:sz="6" w:space="0"/>
              <w:bottom w:val="single" w:color="auto" w:sz="6" w:space="0"/>
              <w:right w:val="single" w:color="auto" w:sz="6" w:space="0"/>
            </w:tcBorders>
            <w:vAlign w:val="bottom"/>
          </w:tcPr>
          <w:p>
            <w:pPr>
              <w:adjustRightInd w:val="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 xml:space="preserve">698.71 </w:t>
            </w:r>
          </w:p>
        </w:tc>
        <w:tc>
          <w:tcPr>
            <w:tcW w:w="1171" w:type="dxa"/>
            <w:tcBorders>
              <w:top w:val="single" w:color="auto" w:sz="6" w:space="0"/>
              <w:left w:val="single" w:color="auto" w:sz="6" w:space="0"/>
              <w:bottom w:val="single" w:color="auto" w:sz="6" w:space="0"/>
              <w:right w:val="single" w:color="auto" w:sz="6" w:space="0"/>
            </w:tcBorders>
            <w:vAlign w:val="bottom"/>
          </w:tcPr>
          <w:p>
            <w:pPr>
              <w:adjustRightInd w:val="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 xml:space="preserve">1255.67 </w:t>
            </w:r>
          </w:p>
        </w:tc>
        <w:tc>
          <w:tcPr>
            <w:tcW w:w="1012" w:type="dxa"/>
            <w:tcBorders>
              <w:top w:val="single" w:color="auto" w:sz="6" w:space="0"/>
              <w:left w:val="single" w:color="auto" w:sz="6" w:space="0"/>
              <w:bottom w:val="single" w:color="auto" w:sz="6" w:space="0"/>
              <w:right w:val="single" w:color="auto" w:sz="6" w:space="0"/>
            </w:tcBorders>
          </w:tcPr>
          <w:p>
            <w:pPr>
              <w:adjustRightInd w:val="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3.14</w:t>
            </w:r>
          </w:p>
        </w:tc>
        <w:tc>
          <w:tcPr>
            <w:tcW w:w="1035" w:type="dxa"/>
            <w:tcBorders>
              <w:top w:val="single" w:color="auto" w:sz="6" w:space="0"/>
              <w:left w:val="single" w:color="auto" w:sz="6" w:space="0"/>
              <w:bottom w:val="single" w:color="auto" w:sz="6" w:space="0"/>
              <w:right w:val="single" w:color="auto" w:sz="12" w:space="0"/>
            </w:tcBorders>
            <w:vAlign w:val="bottom"/>
          </w:tcPr>
          <w:p>
            <w:pPr>
              <w:adjustRightInd w:val="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 xml:space="preserve">1123.48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27" w:hRule="exact"/>
          <w:jc w:val="center"/>
        </w:trPr>
        <w:tc>
          <w:tcPr>
            <w:tcW w:w="491" w:type="dxa"/>
            <w:vMerge w:val="continue"/>
            <w:tcBorders>
              <w:top w:val="single" w:color="auto" w:sz="6" w:space="0"/>
              <w:left w:val="single" w:color="auto" w:sz="12" w:space="0"/>
              <w:bottom w:val="single" w:color="auto" w:sz="6" w:space="0"/>
              <w:right w:val="single" w:color="auto" w:sz="6" w:space="0"/>
            </w:tcBorders>
            <w:vAlign w:val="center"/>
          </w:tcPr>
          <w:p>
            <w:pPr>
              <w:widowControl/>
              <w:adjustRightInd w:val="0"/>
              <w:jc w:val="center"/>
              <w:rPr>
                <w:color w:val="000000" w:themeColor="text1"/>
                <w:sz w:val="21"/>
                <w:szCs w:val="21"/>
                <w14:textFill>
                  <w14:solidFill>
                    <w14:schemeClr w14:val="tx1"/>
                  </w14:solidFill>
                </w14:textFill>
              </w:rPr>
            </w:pPr>
          </w:p>
        </w:tc>
        <w:tc>
          <w:tcPr>
            <w:tcW w:w="578" w:type="dxa"/>
            <w:tcBorders>
              <w:top w:val="single" w:color="auto" w:sz="6" w:space="0"/>
              <w:left w:val="single" w:color="auto" w:sz="6" w:space="0"/>
              <w:bottom w:val="single" w:color="auto" w:sz="6" w:space="0"/>
              <w:right w:val="single" w:color="auto" w:sz="6" w:space="0"/>
            </w:tcBorders>
            <w:vAlign w:val="bottom"/>
          </w:tcPr>
          <w:p>
            <w:pPr>
              <w:adjustRightInd w:val="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6</w:t>
            </w:r>
          </w:p>
        </w:tc>
        <w:tc>
          <w:tcPr>
            <w:tcW w:w="1267" w:type="dxa"/>
            <w:tcBorders>
              <w:top w:val="single" w:color="auto" w:sz="6" w:space="0"/>
              <w:left w:val="single" w:color="auto" w:sz="6" w:space="0"/>
              <w:bottom w:val="single" w:color="auto" w:sz="6" w:space="0"/>
              <w:right w:val="single" w:color="auto" w:sz="6" w:space="0"/>
            </w:tcBorders>
          </w:tcPr>
          <w:p>
            <w:pPr>
              <w:jc w:val="center"/>
              <w:rPr>
                <w:color w:val="000000" w:themeColor="text1"/>
                <w14:textFill>
                  <w14:solidFill>
                    <w14:schemeClr w14:val="tx1"/>
                  </w14:solidFill>
                </w14:textFill>
              </w:rPr>
            </w:pPr>
            <w:r>
              <w:rPr>
                <w:color w:val="000000" w:themeColor="text1"/>
                <w:sz w:val="21"/>
                <w:szCs w:val="21"/>
                <w14:textFill>
                  <w14:solidFill>
                    <w14:schemeClr w14:val="tx1"/>
                  </w14:solidFill>
                </w14:textFill>
              </w:rPr>
              <w:t>——</w:t>
            </w:r>
          </w:p>
        </w:tc>
        <w:tc>
          <w:tcPr>
            <w:tcW w:w="952" w:type="dxa"/>
            <w:tcBorders>
              <w:top w:val="single" w:color="auto" w:sz="6" w:space="0"/>
              <w:left w:val="single" w:color="auto" w:sz="6" w:space="0"/>
              <w:bottom w:val="single" w:color="auto" w:sz="6" w:space="0"/>
              <w:right w:val="single" w:color="auto" w:sz="6" w:space="0"/>
            </w:tcBorders>
          </w:tcPr>
          <w:p>
            <w:pPr>
              <w:jc w:val="center"/>
              <w:rPr>
                <w:color w:val="000000" w:themeColor="text1"/>
                <w14:textFill>
                  <w14:solidFill>
                    <w14:schemeClr w14:val="tx1"/>
                  </w14:solidFill>
                </w14:textFill>
              </w:rPr>
            </w:pPr>
            <w:r>
              <w:rPr>
                <w:color w:val="000000" w:themeColor="text1"/>
                <w:sz w:val="21"/>
                <w:szCs w:val="21"/>
                <w14:textFill>
                  <w14:solidFill>
                    <w14:schemeClr w14:val="tx1"/>
                  </w14:solidFill>
                </w14:textFill>
              </w:rPr>
              <w:t>——</w:t>
            </w:r>
          </w:p>
        </w:tc>
        <w:tc>
          <w:tcPr>
            <w:tcW w:w="1049" w:type="dxa"/>
            <w:tcBorders>
              <w:top w:val="single" w:color="auto" w:sz="6" w:space="0"/>
              <w:left w:val="single" w:color="auto" w:sz="6" w:space="0"/>
              <w:bottom w:val="single" w:color="auto" w:sz="6" w:space="0"/>
              <w:right w:val="single" w:color="auto" w:sz="6" w:space="0"/>
            </w:tcBorders>
          </w:tcPr>
          <w:p>
            <w:pPr>
              <w:jc w:val="center"/>
              <w:rPr>
                <w:color w:val="000000" w:themeColor="text1"/>
                <w14:textFill>
                  <w14:solidFill>
                    <w14:schemeClr w14:val="tx1"/>
                  </w14:solidFill>
                </w14:textFill>
              </w:rPr>
            </w:pPr>
            <w:r>
              <w:rPr>
                <w:color w:val="000000" w:themeColor="text1"/>
                <w:sz w:val="21"/>
                <w:szCs w:val="21"/>
                <w14:textFill>
                  <w14:solidFill>
                    <w14:schemeClr w14:val="tx1"/>
                  </w14:solidFill>
                </w14:textFill>
              </w:rPr>
              <w:t>——</w:t>
            </w:r>
          </w:p>
        </w:tc>
        <w:tc>
          <w:tcPr>
            <w:tcW w:w="1242" w:type="dxa"/>
            <w:tcBorders>
              <w:top w:val="single" w:color="auto" w:sz="6" w:space="0"/>
              <w:left w:val="single" w:color="auto" w:sz="6" w:space="0"/>
              <w:bottom w:val="single" w:color="auto" w:sz="6" w:space="0"/>
              <w:right w:val="single" w:color="auto" w:sz="6" w:space="0"/>
            </w:tcBorders>
            <w:vAlign w:val="bottom"/>
          </w:tcPr>
          <w:p>
            <w:pPr>
              <w:adjustRightInd w:val="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 xml:space="preserve">1155.65 </w:t>
            </w:r>
          </w:p>
        </w:tc>
        <w:tc>
          <w:tcPr>
            <w:tcW w:w="935" w:type="dxa"/>
            <w:tcBorders>
              <w:top w:val="single" w:color="auto" w:sz="6" w:space="0"/>
              <w:left w:val="single" w:color="auto" w:sz="6" w:space="0"/>
              <w:bottom w:val="single" w:color="auto" w:sz="6" w:space="0"/>
              <w:right w:val="single" w:color="auto" w:sz="6" w:space="0"/>
            </w:tcBorders>
            <w:vAlign w:val="center"/>
          </w:tcPr>
          <w:p>
            <w:pPr>
              <w:adjustRightInd w:val="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30.69</w:t>
            </w:r>
          </w:p>
        </w:tc>
        <w:tc>
          <w:tcPr>
            <w:tcW w:w="1089" w:type="dxa"/>
            <w:tcBorders>
              <w:top w:val="single" w:color="auto" w:sz="6" w:space="0"/>
              <w:left w:val="single" w:color="auto" w:sz="6" w:space="0"/>
              <w:bottom w:val="single" w:color="auto" w:sz="6" w:space="0"/>
              <w:right w:val="single" w:color="auto" w:sz="6" w:space="0"/>
            </w:tcBorders>
            <w:vAlign w:val="bottom"/>
          </w:tcPr>
          <w:p>
            <w:pPr>
              <w:adjustRightInd w:val="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 xml:space="preserve">306.79 </w:t>
            </w:r>
          </w:p>
        </w:tc>
        <w:tc>
          <w:tcPr>
            <w:tcW w:w="1193" w:type="dxa"/>
            <w:tcBorders>
              <w:top w:val="single" w:color="auto" w:sz="6" w:space="0"/>
              <w:left w:val="single" w:color="auto" w:sz="6" w:space="0"/>
              <w:bottom w:val="single" w:color="auto" w:sz="6" w:space="0"/>
              <w:right w:val="single" w:color="auto" w:sz="6" w:space="0"/>
            </w:tcBorders>
            <w:vAlign w:val="bottom"/>
          </w:tcPr>
          <w:p>
            <w:pPr>
              <w:adjustRightInd w:val="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 xml:space="preserve">1051.12 </w:t>
            </w:r>
          </w:p>
        </w:tc>
        <w:tc>
          <w:tcPr>
            <w:tcW w:w="1080" w:type="dxa"/>
            <w:tcBorders>
              <w:top w:val="single" w:color="auto" w:sz="6" w:space="0"/>
              <w:left w:val="single" w:color="auto" w:sz="6" w:space="0"/>
              <w:bottom w:val="single" w:color="auto" w:sz="6" w:space="0"/>
              <w:right w:val="single" w:color="auto" w:sz="6" w:space="0"/>
            </w:tcBorders>
            <w:vAlign w:val="center"/>
          </w:tcPr>
          <w:p>
            <w:pPr>
              <w:adjustRightInd w:val="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37.34</w:t>
            </w:r>
          </w:p>
        </w:tc>
        <w:tc>
          <w:tcPr>
            <w:tcW w:w="1080" w:type="dxa"/>
            <w:tcBorders>
              <w:top w:val="single" w:color="auto" w:sz="6" w:space="0"/>
              <w:left w:val="single" w:color="auto" w:sz="6" w:space="0"/>
              <w:bottom w:val="single" w:color="auto" w:sz="6" w:space="0"/>
              <w:right w:val="single" w:color="auto" w:sz="6" w:space="0"/>
            </w:tcBorders>
            <w:vAlign w:val="bottom"/>
          </w:tcPr>
          <w:p>
            <w:pPr>
              <w:adjustRightInd w:val="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 xml:space="preserve">352.67 </w:t>
            </w:r>
          </w:p>
        </w:tc>
        <w:tc>
          <w:tcPr>
            <w:tcW w:w="1171" w:type="dxa"/>
            <w:tcBorders>
              <w:top w:val="single" w:color="auto" w:sz="6" w:space="0"/>
              <w:left w:val="single" w:color="auto" w:sz="6" w:space="0"/>
              <w:bottom w:val="single" w:color="auto" w:sz="6" w:space="0"/>
              <w:right w:val="single" w:color="auto" w:sz="6" w:space="0"/>
            </w:tcBorders>
            <w:vAlign w:val="bottom"/>
          </w:tcPr>
          <w:p>
            <w:pPr>
              <w:adjustRightInd w:val="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 xml:space="preserve">1045.58 </w:t>
            </w:r>
          </w:p>
        </w:tc>
        <w:tc>
          <w:tcPr>
            <w:tcW w:w="1012" w:type="dxa"/>
            <w:tcBorders>
              <w:top w:val="single" w:color="auto" w:sz="6" w:space="0"/>
              <w:left w:val="single" w:color="auto" w:sz="6" w:space="0"/>
              <w:bottom w:val="single" w:color="auto" w:sz="6" w:space="0"/>
              <w:right w:val="single" w:color="auto" w:sz="6" w:space="0"/>
            </w:tcBorders>
          </w:tcPr>
          <w:p>
            <w:pPr>
              <w:adjustRightInd w:val="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15.39</w:t>
            </w:r>
          </w:p>
        </w:tc>
        <w:tc>
          <w:tcPr>
            <w:tcW w:w="1035" w:type="dxa"/>
            <w:tcBorders>
              <w:top w:val="single" w:color="auto" w:sz="6" w:space="0"/>
              <w:left w:val="single" w:color="auto" w:sz="6" w:space="0"/>
              <w:bottom w:val="single" w:color="auto" w:sz="6" w:space="0"/>
              <w:right w:val="single" w:color="auto" w:sz="12" w:space="0"/>
            </w:tcBorders>
            <w:vAlign w:val="bottom"/>
          </w:tcPr>
          <w:p>
            <w:pPr>
              <w:adjustRightInd w:val="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 xml:space="preserve">245.23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27" w:hRule="exact"/>
          <w:jc w:val="center"/>
        </w:trPr>
        <w:tc>
          <w:tcPr>
            <w:tcW w:w="491" w:type="dxa"/>
            <w:vMerge w:val="continue"/>
            <w:tcBorders>
              <w:top w:val="single" w:color="auto" w:sz="6" w:space="0"/>
              <w:left w:val="single" w:color="auto" w:sz="12" w:space="0"/>
              <w:bottom w:val="single" w:color="auto" w:sz="6" w:space="0"/>
              <w:right w:val="single" w:color="auto" w:sz="6" w:space="0"/>
            </w:tcBorders>
            <w:vAlign w:val="center"/>
          </w:tcPr>
          <w:p>
            <w:pPr>
              <w:widowControl/>
              <w:adjustRightInd w:val="0"/>
              <w:jc w:val="center"/>
              <w:rPr>
                <w:color w:val="000000" w:themeColor="text1"/>
                <w:sz w:val="21"/>
                <w:szCs w:val="21"/>
                <w14:textFill>
                  <w14:solidFill>
                    <w14:schemeClr w14:val="tx1"/>
                  </w14:solidFill>
                </w14:textFill>
              </w:rPr>
            </w:pPr>
          </w:p>
        </w:tc>
        <w:tc>
          <w:tcPr>
            <w:tcW w:w="578" w:type="dxa"/>
            <w:tcBorders>
              <w:top w:val="single" w:color="auto" w:sz="6" w:space="0"/>
              <w:left w:val="single" w:color="auto" w:sz="6" w:space="0"/>
              <w:bottom w:val="single" w:color="auto" w:sz="6" w:space="0"/>
              <w:right w:val="single" w:color="auto" w:sz="6" w:space="0"/>
            </w:tcBorders>
            <w:vAlign w:val="bottom"/>
          </w:tcPr>
          <w:p>
            <w:pPr>
              <w:adjustRightInd w:val="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9</w:t>
            </w:r>
          </w:p>
        </w:tc>
        <w:tc>
          <w:tcPr>
            <w:tcW w:w="1267" w:type="dxa"/>
            <w:tcBorders>
              <w:top w:val="single" w:color="auto" w:sz="6" w:space="0"/>
              <w:left w:val="single" w:color="auto" w:sz="6" w:space="0"/>
              <w:bottom w:val="single" w:color="auto" w:sz="6" w:space="0"/>
              <w:right w:val="single" w:color="auto" w:sz="6" w:space="0"/>
            </w:tcBorders>
          </w:tcPr>
          <w:p>
            <w:pPr>
              <w:jc w:val="center"/>
              <w:rPr>
                <w:color w:val="000000" w:themeColor="text1"/>
                <w14:textFill>
                  <w14:solidFill>
                    <w14:schemeClr w14:val="tx1"/>
                  </w14:solidFill>
                </w14:textFill>
              </w:rPr>
            </w:pPr>
            <w:r>
              <w:rPr>
                <w:color w:val="000000" w:themeColor="text1"/>
                <w:sz w:val="21"/>
                <w:szCs w:val="21"/>
                <w14:textFill>
                  <w14:solidFill>
                    <w14:schemeClr w14:val="tx1"/>
                  </w14:solidFill>
                </w14:textFill>
              </w:rPr>
              <w:t>——</w:t>
            </w:r>
          </w:p>
        </w:tc>
        <w:tc>
          <w:tcPr>
            <w:tcW w:w="952" w:type="dxa"/>
            <w:tcBorders>
              <w:top w:val="single" w:color="auto" w:sz="6" w:space="0"/>
              <w:left w:val="single" w:color="auto" w:sz="6" w:space="0"/>
              <w:bottom w:val="single" w:color="auto" w:sz="6" w:space="0"/>
              <w:right w:val="single" w:color="auto" w:sz="6" w:space="0"/>
            </w:tcBorders>
          </w:tcPr>
          <w:p>
            <w:pPr>
              <w:jc w:val="center"/>
              <w:rPr>
                <w:color w:val="000000" w:themeColor="text1"/>
                <w14:textFill>
                  <w14:solidFill>
                    <w14:schemeClr w14:val="tx1"/>
                  </w14:solidFill>
                </w14:textFill>
              </w:rPr>
            </w:pPr>
            <w:r>
              <w:rPr>
                <w:color w:val="000000" w:themeColor="text1"/>
                <w:sz w:val="21"/>
                <w:szCs w:val="21"/>
                <w14:textFill>
                  <w14:solidFill>
                    <w14:schemeClr w14:val="tx1"/>
                  </w14:solidFill>
                </w14:textFill>
              </w:rPr>
              <w:t>——</w:t>
            </w:r>
          </w:p>
        </w:tc>
        <w:tc>
          <w:tcPr>
            <w:tcW w:w="1049" w:type="dxa"/>
            <w:tcBorders>
              <w:top w:val="single" w:color="auto" w:sz="6" w:space="0"/>
              <w:left w:val="single" w:color="auto" w:sz="6" w:space="0"/>
              <w:bottom w:val="single" w:color="auto" w:sz="6" w:space="0"/>
              <w:right w:val="single" w:color="auto" w:sz="6" w:space="0"/>
            </w:tcBorders>
          </w:tcPr>
          <w:p>
            <w:pPr>
              <w:jc w:val="center"/>
              <w:rPr>
                <w:color w:val="000000" w:themeColor="text1"/>
                <w14:textFill>
                  <w14:solidFill>
                    <w14:schemeClr w14:val="tx1"/>
                  </w14:solidFill>
                </w14:textFill>
              </w:rPr>
            </w:pPr>
            <w:r>
              <w:rPr>
                <w:color w:val="000000" w:themeColor="text1"/>
                <w:sz w:val="21"/>
                <w:szCs w:val="21"/>
                <w14:textFill>
                  <w14:solidFill>
                    <w14:schemeClr w14:val="tx1"/>
                  </w14:solidFill>
                </w14:textFill>
              </w:rPr>
              <w:t>——</w:t>
            </w:r>
          </w:p>
        </w:tc>
        <w:tc>
          <w:tcPr>
            <w:tcW w:w="1242" w:type="dxa"/>
            <w:tcBorders>
              <w:top w:val="single" w:color="auto" w:sz="6" w:space="0"/>
              <w:left w:val="single" w:color="auto" w:sz="6" w:space="0"/>
              <w:bottom w:val="single" w:color="auto" w:sz="6" w:space="0"/>
              <w:right w:val="single" w:color="auto" w:sz="6" w:space="0"/>
            </w:tcBorders>
            <w:vAlign w:val="bottom"/>
          </w:tcPr>
          <w:p>
            <w:pPr>
              <w:adjustRightInd w:val="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 xml:space="preserve">1054.67 </w:t>
            </w:r>
          </w:p>
        </w:tc>
        <w:tc>
          <w:tcPr>
            <w:tcW w:w="935" w:type="dxa"/>
            <w:tcBorders>
              <w:top w:val="single" w:color="auto" w:sz="6" w:space="0"/>
              <w:left w:val="single" w:color="auto" w:sz="6" w:space="0"/>
              <w:bottom w:val="single" w:color="auto" w:sz="6" w:space="0"/>
              <w:right w:val="single" w:color="auto" w:sz="6" w:space="0"/>
            </w:tcBorders>
            <w:vAlign w:val="center"/>
          </w:tcPr>
          <w:p>
            <w:pPr>
              <w:adjustRightInd w:val="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43.13</w:t>
            </w:r>
          </w:p>
        </w:tc>
        <w:tc>
          <w:tcPr>
            <w:tcW w:w="1089" w:type="dxa"/>
            <w:tcBorders>
              <w:top w:val="single" w:color="auto" w:sz="6" w:space="0"/>
              <w:left w:val="single" w:color="auto" w:sz="6" w:space="0"/>
              <w:bottom w:val="single" w:color="auto" w:sz="6" w:space="0"/>
              <w:right w:val="single" w:color="auto" w:sz="6" w:space="0"/>
            </w:tcBorders>
            <w:vAlign w:val="bottom"/>
          </w:tcPr>
          <w:p>
            <w:pPr>
              <w:adjustRightInd w:val="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 xml:space="preserve">238.11 </w:t>
            </w:r>
          </w:p>
        </w:tc>
        <w:tc>
          <w:tcPr>
            <w:tcW w:w="1193" w:type="dxa"/>
            <w:tcBorders>
              <w:top w:val="single" w:color="auto" w:sz="6" w:space="0"/>
              <w:left w:val="single" w:color="auto" w:sz="6" w:space="0"/>
              <w:bottom w:val="single" w:color="auto" w:sz="6" w:space="0"/>
              <w:right w:val="single" w:color="auto" w:sz="6" w:space="0"/>
            </w:tcBorders>
            <w:vAlign w:val="bottom"/>
          </w:tcPr>
          <w:p>
            <w:pPr>
              <w:adjustRightInd w:val="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 xml:space="preserve">959.07 </w:t>
            </w:r>
          </w:p>
        </w:tc>
        <w:tc>
          <w:tcPr>
            <w:tcW w:w="1080" w:type="dxa"/>
            <w:tcBorders>
              <w:top w:val="single" w:color="auto" w:sz="6" w:space="0"/>
              <w:left w:val="single" w:color="auto" w:sz="6" w:space="0"/>
              <w:bottom w:val="single" w:color="auto" w:sz="6" w:space="0"/>
              <w:right w:val="single" w:color="auto" w:sz="6" w:space="0"/>
            </w:tcBorders>
            <w:vAlign w:val="center"/>
          </w:tcPr>
          <w:p>
            <w:pPr>
              <w:adjustRightInd w:val="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53.32</w:t>
            </w:r>
          </w:p>
        </w:tc>
        <w:tc>
          <w:tcPr>
            <w:tcW w:w="1080" w:type="dxa"/>
            <w:tcBorders>
              <w:top w:val="single" w:color="auto" w:sz="6" w:space="0"/>
              <w:left w:val="single" w:color="auto" w:sz="6" w:space="0"/>
              <w:bottom w:val="single" w:color="auto" w:sz="6" w:space="0"/>
              <w:right w:val="single" w:color="auto" w:sz="6" w:space="0"/>
            </w:tcBorders>
            <w:vAlign w:val="bottom"/>
          </w:tcPr>
          <w:p>
            <w:pPr>
              <w:adjustRightInd w:val="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 xml:space="preserve">279.14 </w:t>
            </w:r>
          </w:p>
        </w:tc>
        <w:tc>
          <w:tcPr>
            <w:tcW w:w="1171" w:type="dxa"/>
            <w:tcBorders>
              <w:top w:val="single" w:color="auto" w:sz="6" w:space="0"/>
              <w:left w:val="single" w:color="auto" w:sz="6" w:space="0"/>
              <w:bottom w:val="single" w:color="auto" w:sz="6" w:space="0"/>
              <w:right w:val="single" w:color="auto" w:sz="6" w:space="0"/>
            </w:tcBorders>
            <w:vAlign w:val="bottom"/>
          </w:tcPr>
          <w:p>
            <w:pPr>
              <w:adjustRightInd w:val="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 xml:space="preserve">914.07 </w:t>
            </w:r>
          </w:p>
        </w:tc>
        <w:tc>
          <w:tcPr>
            <w:tcW w:w="1012" w:type="dxa"/>
            <w:tcBorders>
              <w:top w:val="single" w:color="auto" w:sz="6" w:space="0"/>
              <w:left w:val="single" w:color="auto" w:sz="6" w:space="0"/>
              <w:bottom w:val="single" w:color="auto" w:sz="6" w:space="0"/>
              <w:right w:val="single" w:color="auto" w:sz="6" w:space="0"/>
            </w:tcBorders>
          </w:tcPr>
          <w:p>
            <w:pPr>
              <w:adjustRightInd w:val="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24.20</w:t>
            </w:r>
          </w:p>
        </w:tc>
        <w:tc>
          <w:tcPr>
            <w:tcW w:w="1035" w:type="dxa"/>
            <w:tcBorders>
              <w:top w:val="single" w:color="auto" w:sz="6" w:space="0"/>
              <w:left w:val="single" w:color="auto" w:sz="6" w:space="0"/>
              <w:bottom w:val="single" w:color="auto" w:sz="6" w:space="0"/>
              <w:right w:val="single" w:color="auto" w:sz="12" w:space="0"/>
            </w:tcBorders>
            <w:vAlign w:val="bottom"/>
          </w:tcPr>
          <w:p>
            <w:pPr>
              <w:adjustRightInd w:val="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 xml:space="preserve">155.50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27" w:hRule="exact"/>
          <w:jc w:val="center"/>
        </w:trPr>
        <w:tc>
          <w:tcPr>
            <w:tcW w:w="491" w:type="dxa"/>
            <w:vMerge w:val="continue"/>
            <w:tcBorders>
              <w:top w:val="single" w:color="auto" w:sz="6" w:space="0"/>
              <w:left w:val="single" w:color="auto" w:sz="12" w:space="0"/>
              <w:bottom w:val="single" w:color="auto" w:sz="6" w:space="0"/>
              <w:right w:val="single" w:color="auto" w:sz="6" w:space="0"/>
            </w:tcBorders>
            <w:vAlign w:val="center"/>
          </w:tcPr>
          <w:p>
            <w:pPr>
              <w:widowControl/>
              <w:adjustRightInd w:val="0"/>
              <w:jc w:val="center"/>
              <w:rPr>
                <w:color w:val="000000" w:themeColor="text1"/>
                <w:sz w:val="21"/>
                <w:szCs w:val="21"/>
                <w14:textFill>
                  <w14:solidFill>
                    <w14:schemeClr w14:val="tx1"/>
                  </w14:solidFill>
                </w14:textFill>
              </w:rPr>
            </w:pPr>
          </w:p>
        </w:tc>
        <w:tc>
          <w:tcPr>
            <w:tcW w:w="578" w:type="dxa"/>
            <w:tcBorders>
              <w:top w:val="single" w:color="auto" w:sz="6" w:space="0"/>
              <w:left w:val="single" w:color="auto" w:sz="6" w:space="0"/>
              <w:bottom w:val="single" w:color="auto" w:sz="6" w:space="0"/>
              <w:right w:val="single" w:color="auto" w:sz="6" w:space="0"/>
            </w:tcBorders>
            <w:vAlign w:val="bottom"/>
          </w:tcPr>
          <w:p>
            <w:pPr>
              <w:adjustRightInd w:val="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12</w:t>
            </w:r>
          </w:p>
        </w:tc>
        <w:tc>
          <w:tcPr>
            <w:tcW w:w="1267" w:type="dxa"/>
            <w:tcBorders>
              <w:top w:val="single" w:color="auto" w:sz="6" w:space="0"/>
              <w:left w:val="single" w:color="auto" w:sz="6" w:space="0"/>
              <w:bottom w:val="single" w:color="auto" w:sz="6" w:space="0"/>
              <w:right w:val="single" w:color="auto" w:sz="6" w:space="0"/>
            </w:tcBorders>
          </w:tcPr>
          <w:p>
            <w:pPr>
              <w:jc w:val="center"/>
              <w:rPr>
                <w:color w:val="000000" w:themeColor="text1"/>
                <w14:textFill>
                  <w14:solidFill>
                    <w14:schemeClr w14:val="tx1"/>
                  </w14:solidFill>
                </w14:textFill>
              </w:rPr>
            </w:pPr>
            <w:r>
              <w:rPr>
                <w:color w:val="000000" w:themeColor="text1"/>
                <w:sz w:val="21"/>
                <w:szCs w:val="21"/>
                <w14:textFill>
                  <w14:solidFill>
                    <w14:schemeClr w14:val="tx1"/>
                  </w14:solidFill>
                </w14:textFill>
              </w:rPr>
              <w:t>——</w:t>
            </w:r>
          </w:p>
        </w:tc>
        <w:tc>
          <w:tcPr>
            <w:tcW w:w="952" w:type="dxa"/>
            <w:tcBorders>
              <w:top w:val="single" w:color="auto" w:sz="6" w:space="0"/>
              <w:left w:val="single" w:color="auto" w:sz="6" w:space="0"/>
              <w:bottom w:val="single" w:color="auto" w:sz="6" w:space="0"/>
              <w:right w:val="single" w:color="auto" w:sz="6" w:space="0"/>
            </w:tcBorders>
          </w:tcPr>
          <w:p>
            <w:pPr>
              <w:jc w:val="center"/>
              <w:rPr>
                <w:color w:val="000000" w:themeColor="text1"/>
                <w14:textFill>
                  <w14:solidFill>
                    <w14:schemeClr w14:val="tx1"/>
                  </w14:solidFill>
                </w14:textFill>
              </w:rPr>
            </w:pPr>
            <w:r>
              <w:rPr>
                <w:color w:val="000000" w:themeColor="text1"/>
                <w:sz w:val="21"/>
                <w:szCs w:val="21"/>
                <w14:textFill>
                  <w14:solidFill>
                    <w14:schemeClr w14:val="tx1"/>
                  </w14:solidFill>
                </w14:textFill>
              </w:rPr>
              <w:t>——</w:t>
            </w:r>
          </w:p>
        </w:tc>
        <w:tc>
          <w:tcPr>
            <w:tcW w:w="1049" w:type="dxa"/>
            <w:tcBorders>
              <w:top w:val="single" w:color="auto" w:sz="6" w:space="0"/>
              <w:left w:val="single" w:color="auto" w:sz="6" w:space="0"/>
              <w:bottom w:val="single" w:color="auto" w:sz="6" w:space="0"/>
              <w:right w:val="single" w:color="auto" w:sz="6" w:space="0"/>
            </w:tcBorders>
          </w:tcPr>
          <w:p>
            <w:pPr>
              <w:jc w:val="center"/>
              <w:rPr>
                <w:color w:val="000000" w:themeColor="text1"/>
                <w14:textFill>
                  <w14:solidFill>
                    <w14:schemeClr w14:val="tx1"/>
                  </w14:solidFill>
                </w14:textFill>
              </w:rPr>
            </w:pPr>
            <w:r>
              <w:rPr>
                <w:color w:val="000000" w:themeColor="text1"/>
                <w:sz w:val="21"/>
                <w:szCs w:val="21"/>
                <w14:textFill>
                  <w14:solidFill>
                    <w14:schemeClr w14:val="tx1"/>
                  </w14:solidFill>
                </w14:textFill>
              </w:rPr>
              <w:t>——</w:t>
            </w:r>
          </w:p>
        </w:tc>
        <w:tc>
          <w:tcPr>
            <w:tcW w:w="1242" w:type="dxa"/>
            <w:tcBorders>
              <w:top w:val="single" w:color="auto" w:sz="6" w:space="0"/>
              <w:left w:val="single" w:color="auto" w:sz="6" w:space="0"/>
              <w:bottom w:val="single" w:color="auto" w:sz="6" w:space="0"/>
              <w:right w:val="single" w:color="auto" w:sz="6" w:space="0"/>
            </w:tcBorders>
            <w:vAlign w:val="bottom"/>
          </w:tcPr>
          <w:p>
            <w:pPr>
              <w:adjustRightInd w:val="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 xml:space="preserve">985.67 </w:t>
            </w:r>
          </w:p>
        </w:tc>
        <w:tc>
          <w:tcPr>
            <w:tcW w:w="935" w:type="dxa"/>
            <w:tcBorders>
              <w:top w:val="single" w:color="auto" w:sz="6" w:space="0"/>
              <w:left w:val="single" w:color="auto" w:sz="6" w:space="0"/>
              <w:bottom w:val="single" w:color="auto" w:sz="6" w:space="0"/>
              <w:right w:val="single" w:color="auto" w:sz="6" w:space="0"/>
            </w:tcBorders>
            <w:vAlign w:val="center"/>
          </w:tcPr>
          <w:p>
            <w:pPr>
              <w:adjustRightInd w:val="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48.29</w:t>
            </w:r>
          </w:p>
        </w:tc>
        <w:tc>
          <w:tcPr>
            <w:tcW w:w="1089" w:type="dxa"/>
            <w:tcBorders>
              <w:top w:val="single" w:color="auto" w:sz="6" w:space="0"/>
              <w:left w:val="single" w:color="auto" w:sz="6" w:space="0"/>
              <w:bottom w:val="single" w:color="auto" w:sz="6" w:space="0"/>
              <w:right w:val="single" w:color="auto" w:sz="6" w:space="0"/>
            </w:tcBorders>
            <w:vAlign w:val="bottom"/>
          </w:tcPr>
          <w:p>
            <w:pPr>
              <w:adjustRightInd w:val="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 xml:space="preserve">168.87 </w:t>
            </w:r>
          </w:p>
        </w:tc>
        <w:tc>
          <w:tcPr>
            <w:tcW w:w="1193" w:type="dxa"/>
            <w:tcBorders>
              <w:top w:val="single" w:color="auto" w:sz="6" w:space="0"/>
              <w:left w:val="single" w:color="auto" w:sz="6" w:space="0"/>
              <w:bottom w:val="single" w:color="auto" w:sz="6" w:space="0"/>
              <w:right w:val="single" w:color="auto" w:sz="6" w:space="0"/>
            </w:tcBorders>
            <w:vAlign w:val="bottom"/>
          </w:tcPr>
          <w:p>
            <w:pPr>
              <w:adjustRightInd w:val="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 xml:space="preserve">888.79 </w:t>
            </w:r>
          </w:p>
        </w:tc>
        <w:tc>
          <w:tcPr>
            <w:tcW w:w="1080" w:type="dxa"/>
            <w:tcBorders>
              <w:top w:val="single" w:color="auto" w:sz="6" w:space="0"/>
              <w:left w:val="single" w:color="auto" w:sz="6" w:space="0"/>
              <w:bottom w:val="single" w:color="auto" w:sz="6" w:space="0"/>
              <w:right w:val="single" w:color="auto" w:sz="6" w:space="0"/>
            </w:tcBorders>
            <w:vAlign w:val="center"/>
          </w:tcPr>
          <w:p>
            <w:pPr>
              <w:adjustRightInd w:val="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61.59</w:t>
            </w:r>
          </w:p>
        </w:tc>
        <w:tc>
          <w:tcPr>
            <w:tcW w:w="1080" w:type="dxa"/>
            <w:tcBorders>
              <w:top w:val="single" w:color="auto" w:sz="6" w:space="0"/>
              <w:left w:val="single" w:color="auto" w:sz="6" w:space="0"/>
              <w:bottom w:val="single" w:color="auto" w:sz="6" w:space="0"/>
              <w:right w:val="single" w:color="auto" w:sz="6" w:space="0"/>
            </w:tcBorders>
            <w:vAlign w:val="bottom"/>
          </w:tcPr>
          <w:p>
            <w:pPr>
              <w:adjustRightInd w:val="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 xml:space="preserve">185.09 </w:t>
            </w:r>
          </w:p>
        </w:tc>
        <w:tc>
          <w:tcPr>
            <w:tcW w:w="1171" w:type="dxa"/>
            <w:tcBorders>
              <w:top w:val="single" w:color="auto" w:sz="6" w:space="0"/>
              <w:left w:val="single" w:color="auto" w:sz="6" w:space="0"/>
              <w:bottom w:val="single" w:color="auto" w:sz="6" w:space="0"/>
              <w:right w:val="single" w:color="auto" w:sz="6" w:space="0"/>
            </w:tcBorders>
            <w:vAlign w:val="bottom"/>
          </w:tcPr>
          <w:p>
            <w:pPr>
              <w:adjustRightInd w:val="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 xml:space="preserve">838.01 </w:t>
            </w:r>
          </w:p>
        </w:tc>
        <w:tc>
          <w:tcPr>
            <w:tcW w:w="1012" w:type="dxa"/>
            <w:tcBorders>
              <w:top w:val="single" w:color="auto" w:sz="6" w:space="0"/>
              <w:left w:val="single" w:color="auto" w:sz="6" w:space="0"/>
              <w:bottom w:val="single" w:color="auto" w:sz="6" w:space="0"/>
              <w:right w:val="single" w:color="auto" w:sz="6" w:space="0"/>
            </w:tcBorders>
          </w:tcPr>
          <w:p>
            <w:pPr>
              <w:adjustRightInd w:val="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59.77</w:t>
            </w:r>
          </w:p>
        </w:tc>
        <w:tc>
          <w:tcPr>
            <w:tcW w:w="1035" w:type="dxa"/>
            <w:tcBorders>
              <w:top w:val="single" w:color="auto" w:sz="6" w:space="0"/>
              <w:left w:val="single" w:color="auto" w:sz="6" w:space="0"/>
              <w:bottom w:val="single" w:color="auto" w:sz="6" w:space="0"/>
              <w:right w:val="single" w:color="auto" w:sz="12" w:space="0"/>
            </w:tcBorders>
            <w:vAlign w:val="bottom"/>
          </w:tcPr>
          <w:p>
            <w:pPr>
              <w:adjustRightInd w:val="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 xml:space="preserve">134.96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27" w:hRule="exact"/>
          <w:jc w:val="center"/>
        </w:trPr>
        <w:tc>
          <w:tcPr>
            <w:tcW w:w="491" w:type="dxa"/>
            <w:vMerge w:val="continue"/>
            <w:tcBorders>
              <w:top w:val="single" w:color="auto" w:sz="6" w:space="0"/>
              <w:left w:val="single" w:color="auto" w:sz="12" w:space="0"/>
              <w:bottom w:val="single" w:color="auto" w:sz="6" w:space="0"/>
              <w:right w:val="single" w:color="auto" w:sz="6" w:space="0"/>
            </w:tcBorders>
            <w:vAlign w:val="center"/>
          </w:tcPr>
          <w:p>
            <w:pPr>
              <w:widowControl/>
              <w:adjustRightInd w:val="0"/>
              <w:jc w:val="center"/>
              <w:rPr>
                <w:color w:val="000000" w:themeColor="text1"/>
                <w:sz w:val="21"/>
                <w:szCs w:val="21"/>
                <w14:textFill>
                  <w14:solidFill>
                    <w14:schemeClr w14:val="tx1"/>
                  </w14:solidFill>
                </w14:textFill>
              </w:rPr>
            </w:pPr>
          </w:p>
        </w:tc>
        <w:tc>
          <w:tcPr>
            <w:tcW w:w="578" w:type="dxa"/>
            <w:tcBorders>
              <w:top w:val="single" w:color="auto" w:sz="6" w:space="0"/>
              <w:left w:val="single" w:color="auto" w:sz="6" w:space="0"/>
              <w:bottom w:val="single" w:color="auto" w:sz="6" w:space="0"/>
              <w:right w:val="single" w:color="auto" w:sz="6" w:space="0"/>
            </w:tcBorders>
            <w:vAlign w:val="bottom"/>
          </w:tcPr>
          <w:p>
            <w:pPr>
              <w:adjustRightInd w:val="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15</w:t>
            </w:r>
          </w:p>
        </w:tc>
        <w:tc>
          <w:tcPr>
            <w:tcW w:w="1267" w:type="dxa"/>
            <w:tcBorders>
              <w:top w:val="single" w:color="auto" w:sz="6" w:space="0"/>
              <w:left w:val="single" w:color="auto" w:sz="6" w:space="0"/>
              <w:bottom w:val="single" w:color="auto" w:sz="6" w:space="0"/>
              <w:right w:val="single" w:color="auto" w:sz="6" w:space="0"/>
            </w:tcBorders>
          </w:tcPr>
          <w:p>
            <w:pPr>
              <w:jc w:val="center"/>
              <w:rPr>
                <w:color w:val="000000" w:themeColor="text1"/>
                <w14:textFill>
                  <w14:solidFill>
                    <w14:schemeClr w14:val="tx1"/>
                  </w14:solidFill>
                </w14:textFill>
              </w:rPr>
            </w:pPr>
            <w:r>
              <w:rPr>
                <w:color w:val="000000" w:themeColor="text1"/>
                <w:sz w:val="21"/>
                <w:szCs w:val="21"/>
                <w14:textFill>
                  <w14:solidFill>
                    <w14:schemeClr w14:val="tx1"/>
                  </w14:solidFill>
                </w14:textFill>
              </w:rPr>
              <w:t>——</w:t>
            </w:r>
          </w:p>
        </w:tc>
        <w:tc>
          <w:tcPr>
            <w:tcW w:w="952" w:type="dxa"/>
            <w:tcBorders>
              <w:top w:val="single" w:color="auto" w:sz="6" w:space="0"/>
              <w:left w:val="single" w:color="auto" w:sz="6" w:space="0"/>
              <w:bottom w:val="single" w:color="auto" w:sz="6" w:space="0"/>
              <w:right w:val="single" w:color="auto" w:sz="6" w:space="0"/>
            </w:tcBorders>
          </w:tcPr>
          <w:p>
            <w:pPr>
              <w:jc w:val="center"/>
              <w:rPr>
                <w:color w:val="000000" w:themeColor="text1"/>
                <w14:textFill>
                  <w14:solidFill>
                    <w14:schemeClr w14:val="tx1"/>
                  </w14:solidFill>
                </w14:textFill>
              </w:rPr>
            </w:pPr>
            <w:r>
              <w:rPr>
                <w:color w:val="000000" w:themeColor="text1"/>
                <w:sz w:val="21"/>
                <w:szCs w:val="21"/>
                <w14:textFill>
                  <w14:solidFill>
                    <w14:schemeClr w14:val="tx1"/>
                  </w14:solidFill>
                </w14:textFill>
              </w:rPr>
              <w:t>——</w:t>
            </w:r>
          </w:p>
        </w:tc>
        <w:tc>
          <w:tcPr>
            <w:tcW w:w="1049" w:type="dxa"/>
            <w:tcBorders>
              <w:top w:val="single" w:color="auto" w:sz="6" w:space="0"/>
              <w:left w:val="single" w:color="auto" w:sz="6" w:space="0"/>
              <w:bottom w:val="single" w:color="auto" w:sz="6" w:space="0"/>
              <w:right w:val="single" w:color="auto" w:sz="6" w:space="0"/>
            </w:tcBorders>
          </w:tcPr>
          <w:p>
            <w:pPr>
              <w:jc w:val="center"/>
              <w:rPr>
                <w:color w:val="000000" w:themeColor="text1"/>
                <w14:textFill>
                  <w14:solidFill>
                    <w14:schemeClr w14:val="tx1"/>
                  </w14:solidFill>
                </w14:textFill>
              </w:rPr>
            </w:pPr>
            <w:r>
              <w:rPr>
                <w:color w:val="000000" w:themeColor="text1"/>
                <w:sz w:val="21"/>
                <w:szCs w:val="21"/>
                <w14:textFill>
                  <w14:solidFill>
                    <w14:schemeClr w14:val="tx1"/>
                  </w14:solidFill>
                </w14:textFill>
              </w:rPr>
              <w:t>——</w:t>
            </w:r>
          </w:p>
        </w:tc>
        <w:tc>
          <w:tcPr>
            <w:tcW w:w="1242" w:type="dxa"/>
            <w:tcBorders>
              <w:top w:val="single" w:color="auto" w:sz="6" w:space="0"/>
              <w:left w:val="single" w:color="auto" w:sz="6" w:space="0"/>
              <w:bottom w:val="single" w:color="auto" w:sz="6" w:space="0"/>
              <w:right w:val="single" w:color="auto" w:sz="6" w:space="0"/>
            </w:tcBorders>
            <w:vAlign w:val="bottom"/>
          </w:tcPr>
          <w:p>
            <w:pPr>
              <w:adjustRightInd w:val="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 xml:space="preserve">930.70 </w:t>
            </w:r>
          </w:p>
        </w:tc>
        <w:tc>
          <w:tcPr>
            <w:tcW w:w="935" w:type="dxa"/>
            <w:tcBorders>
              <w:top w:val="single" w:color="auto" w:sz="6" w:space="0"/>
              <w:left w:val="single" w:color="auto" w:sz="6" w:space="0"/>
              <w:bottom w:val="single" w:color="auto" w:sz="6" w:space="0"/>
              <w:right w:val="single" w:color="auto" w:sz="6" w:space="0"/>
            </w:tcBorders>
            <w:vAlign w:val="center"/>
          </w:tcPr>
          <w:p>
            <w:pPr>
              <w:adjustRightInd w:val="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55.68</w:t>
            </w:r>
          </w:p>
        </w:tc>
        <w:tc>
          <w:tcPr>
            <w:tcW w:w="1089" w:type="dxa"/>
            <w:tcBorders>
              <w:top w:val="single" w:color="auto" w:sz="6" w:space="0"/>
              <w:left w:val="single" w:color="auto" w:sz="6" w:space="0"/>
              <w:bottom w:val="single" w:color="auto" w:sz="6" w:space="0"/>
              <w:right w:val="single" w:color="auto" w:sz="6" w:space="0"/>
            </w:tcBorders>
            <w:vAlign w:val="bottom"/>
          </w:tcPr>
          <w:p>
            <w:pPr>
              <w:adjustRightInd w:val="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 xml:space="preserve">149.89 </w:t>
            </w:r>
          </w:p>
        </w:tc>
        <w:tc>
          <w:tcPr>
            <w:tcW w:w="1193" w:type="dxa"/>
            <w:tcBorders>
              <w:top w:val="single" w:color="auto" w:sz="6" w:space="0"/>
              <w:left w:val="single" w:color="auto" w:sz="6" w:space="0"/>
              <w:bottom w:val="single" w:color="auto" w:sz="6" w:space="0"/>
              <w:right w:val="single" w:color="auto" w:sz="6" w:space="0"/>
            </w:tcBorders>
            <w:vAlign w:val="bottom"/>
          </w:tcPr>
          <w:p>
            <w:pPr>
              <w:adjustRightInd w:val="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 xml:space="preserve">832.46 </w:t>
            </w:r>
          </w:p>
        </w:tc>
        <w:tc>
          <w:tcPr>
            <w:tcW w:w="1080" w:type="dxa"/>
            <w:tcBorders>
              <w:top w:val="single" w:color="auto" w:sz="6" w:space="0"/>
              <w:left w:val="single" w:color="auto" w:sz="6" w:space="0"/>
              <w:bottom w:val="single" w:color="auto" w:sz="6" w:space="0"/>
              <w:right w:val="single" w:color="auto" w:sz="6" w:space="0"/>
            </w:tcBorders>
            <w:vAlign w:val="center"/>
          </w:tcPr>
          <w:p>
            <w:pPr>
              <w:adjustRightInd w:val="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74.42</w:t>
            </w:r>
          </w:p>
        </w:tc>
        <w:tc>
          <w:tcPr>
            <w:tcW w:w="1080" w:type="dxa"/>
            <w:tcBorders>
              <w:top w:val="single" w:color="auto" w:sz="6" w:space="0"/>
              <w:left w:val="single" w:color="auto" w:sz="6" w:space="0"/>
              <w:bottom w:val="single" w:color="auto" w:sz="6" w:space="0"/>
              <w:right w:val="single" w:color="auto" w:sz="6" w:space="0"/>
            </w:tcBorders>
            <w:vAlign w:val="bottom"/>
          </w:tcPr>
          <w:p>
            <w:pPr>
              <w:adjustRightInd w:val="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 xml:space="preserve">148.96 </w:t>
            </w:r>
          </w:p>
        </w:tc>
        <w:tc>
          <w:tcPr>
            <w:tcW w:w="1171" w:type="dxa"/>
            <w:tcBorders>
              <w:top w:val="single" w:color="auto" w:sz="6" w:space="0"/>
              <w:left w:val="single" w:color="auto" w:sz="6" w:space="0"/>
              <w:bottom w:val="single" w:color="auto" w:sz="6" w:space="0"/>
              <w:right w:val="single" w:color="auto" w:sz="6" w:space="0"/>
            </w:tcBorders>
            <w:vAlign w:val="bottom"/>
          </w:tcPr>
          <w:p>
            <w:pPr>
              <w:adjustRightInd w:val="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 xml:space="preserve">794.58 </w:t>
            </w:r>
          </w:p>
        </w:tc>
        <w:tc>
          <w:tcPr>
            <w:tcW w:w="1012" w:type="dxa"/>
            <w:tcBorders>
              <w:top w:val="single" w:color="auto" w:sz="6" w:space="0"/>
              <w:left w:val="single" w:color="auto" w:sz="6" w:space="0"/>
              <w:bottom w:val="single" w:color="auto" w:sz="6" w:space="0"/>
              <w:right w:val="single" w:color="auto" w:sz="6" w:space="0"/>
            </w:tcBorders>
          </w:tcPr>
          <w:p>
            <w:pPr>
              <w:adjustRightInd w:val="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77.66</w:t>
            </w:r>
          </w:p>
        </w:tc>
        <w:tc>
          <w:tcPr>
            <w:tcW w:w="1035" w:type="dxa"/>
            <w:tcBorders>
              <w:top w:val="single" w:color="auto" w:sz="6" w:space="0"/>
              <w:left w:val="single" w:color="auto" w:sz="6" w:space="0"/>
              <w:bottom w:val="single" w:color="auto" w:sz="6" w:space="0"/>
              <w:right w:val="single" w:color="auto" w:sz="12" w:space="0"/>
            </w:tcBorders>
            <w:vAlign w:val="bottom"/>
          </w:tcPr>
          <w:p>
            <w:pPr>
              <w:adjustRightInd w:val="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 xml:space="preserve">151.14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27" w:hRule="exact"/>
          <w:jc w:val="center"/>
        </w:trPr>
        <w:tc>
          <w:tcPr>
            <w:tcW w:w="491" w:type="dxa"/>
            <w:vMerge w:val="continue"/>
            <w:tcBorders>
              <w:top w:val="single" w:color="auto" w:sz="6" w:space="0"/>
              <w:left w:val="single" w:color="auto" w:sz="12" w:space="0"/>
              <w:bottom w:val="single" w:color="auto" w:sz="6" w:space="0"/>
              <w:right w:val="single" w:color="auto" w:sz="6" w:space="0"/>
            </w:tcBorders>
            <w:vAlign w:val="center"/>
          </w:tcPr>
          <w:p>
            <w:pPr>
              <w:widowControl/>
              <w:adjustRightInd w:val="0"/>
              <w:jc w:val="center"/>
              <w:rPr>
                <w:color w:val="000000" w:themeColor="text1"/>
                <w:sz w:val="21"/>
                <w:szCs w:val="21"/>
                <w14:textFill>
                  <w14:solidFill>
                    <w14:schemeClr w14:val="tx1"/>
                  </w14:solidFill>
                </w14:textFill>
              </w:rPr>
            </w:pPr>
          </w:p>
        </w:tc>
        <w:tc>
          <w:tcPr>
            <w:tcW w:w="578" w:type="dxa"/>
            <w:tcBorders>
              <w:top w:val="single" w:color="auto" w:sz="6" w:space="0"/>
              <w:left w:val="single" w:color="auto" w:sz="6" w:space="0"/>
              <w:bottom w:val="single" w:color="auto" w:sz="6" w:space="0"/>
              <w:right w:val="single" w:color="auto" w:sz="6" w:space="0"/>
            </w:tcBorders>
            <w:vAlign w:val="bottom"/>
          </w:tcPr>
          <w:p>
            <w:pPr>
              <w:adjustRightInd w:val="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18</w:t>
            </w:r>
          </w:p>
        </w:tc>
        <w:tc>
          <w:tcPr>
            <w:tcW w:w="1267" w:type="dxa"/>
            <w:tcBorders>
              <w:top w:val="single" w:color="auto" w:sz="6" w:space="0"/>
              <w:left w:val="single" w:color="auto" w:sz="6" w:space="0"/>
              <w:bottom w:val="single" w:color="auto" w:sz="6" w:space="0"/>
              <w:right w:val="single" w:color="auto" w:sz="6" w:space="0"/>
            </w:tcBorders>
          </w:tcPr>
          <w:p>
            <w:pPr>
              <w:jc w:val="center"/>
              <w:rPr>
                <w:color w:val="000000" w:themeColor="text1"/>
                <w14:textFill>
                  <w14:solidFill>
                    <w14:schemeClr w14:val="tx1"/>
                  </w14:solidFill>
                </w14:textFill>
              </w:rPr>
            </w:pPr>
            <w:r>
              <w:rPr>
                <w:color w:val="000000" w:themeColor="text1"/>
                <w:sz w:val="21"/>
                <w:szCs w:val="21"/>
                <w14:textFill>
                  <w14:solidFill>
                    <w14:schemeClr w14:val="tx1"/>
                  </w14:solidFill>
                </w14:textFill>
              </w:rPr>
              <w:t>——</w:t>
            </w:r>
          </w:p>
        </w:tc>
        <w:tc>
          <w:tcPr>
            <w:tcW w:w="952" w:type="dxa"/>
            <w:tcBorders>
              <w:top w:val="single" w:color="auto" w:sz="6" w:space="0"/>
              <w:left w:val="single" w:color="auto" w:sz="6" w:space="0"/>
              <w:bottom w:val="single" w:color="auto" w:sz="6" w:space="0"/>
              <w:right w:val="single" w:color="auto" w:sz="6" w:space="0"/>
            </w:tcBorders>
          </w:tcPr>
          <w:p>
            <w:pPr>
              <w:jc w:val="center"/>
              <w:rPr>
                <w:color w:val="000000" w:themeColor="text1"/>
                <w14:textFill>
                  <w14:solidFill>
                    <w14:schemeClr w14:val="tx1"/>
                  </w14:solidFill>
                </w14:textFill>
              </w:rPr>
            </w:pPr>
            <w:r>
              <w:rPr>
                <w:color w:val="000000" w:themeColor="text1"/>
                <w:sz w:val="21"/>
                <w:szCs w:val="21"/>
                <w14:textFill>
                  <w14:solidFill>
                    <w14:schemeClr w14:val="tx1"/>
                  </w14:solidFill>
                </w14:textFill>
              </w:rPr>
              <w:t>——</w:t>
            </w:r>
          </w:p>
        </w:tc>
        <w:tc>
          <w:tcPr>
            <w:tcW w:w="1049" w:type="dxa"/>
            <w:tcBorders>
              <w:top w:val="single" w:color="auto" w:sz="6" w:space="0"/>
              <w:left w:val="single" w:color="auto" w:sz="6" w:space="0"/>
              <w:bottom w:val="single" w:color="auto" w:sz="6" w:space="0"/>
              <w:right w:val="single" w:color="auto" w:sz="6" w:space="0"/>
            </w:tcBorders>
          </w:tcPr>
          <w:p>
            <w:pPr>
              <w:jc w:val="center"/>
              <w:rPr>
                <w:color w:val="000000" w:themeColor="text1"/>
                <w14:textFill>
                  <w14:solidFill>
                    <w14:schemeClr w14:val="tx1"/>
                  </w14:solidFill>
                </w14:textFill>
              </w:rPr>
            </w:pPr>
            <w:r>
              <w:rPr>
                <w:color w:val="000000" w:themeColor="text1"/>
                <w:sz w:val="21"/>
                <w:szCs w:val="21"/>
                <w14:textFill>
                  <w14:solidFill>
                    <w14:schemeClr w14:val="tx1"/>
                  </w14:solidFill>
                </w14:textFill>
              </w:rPr>
              <w:t>——</w:t>
            </w:r>
          </w:p>
        </w:tc>
        <w:tc>
          <w:tcPr>
            <w:tcW w:w="1242" w:type="dxa"/>
            <w:tcBorders>
              <w:top w:val="single" w:color="auto" w:sz="6" w:space="0"/>
              <w:left w:val="single" w:color="auto" w:sz="6" w:space="0"/>
              <w:bottom w:val="single" w:color="auto" w:sz="6" w:space="0"/>
              <w:right w:val="single" w:color="auto" w:sz="6" w:space="0"/>
            </w:tcBorders>
            <w:vAlign w:val="bottom"/>
          </w:tcPr>
          <w:p>
            <w:pPr>
              <w:adjustRightInd w:val="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 xml:space="preserve">889.40 </w:t>
            </w:r>
          </w:p>
        </w:tc>
        <w:tc>
          <w:tcPr>
            <w:tcW w:w="935" w:type="dxa"/>
            <w:tcBorders>
              <w:top w:val="single" w:color="auto" w:sz="6" w:space="0"/>
              <w:left w:val="single" w:color="auto" w:sz="6" w:space="0"/>
              <w:bottom w:val="single" w:color="auto" w:sz="6" w:space="0"/>
              <w:right w:val="single" w:color="auto" w:sz="6" w:space="0"/>
            </w:tcBorders>
            <w:vAlign w:val="center"/>
          </w:tcPr>
          <w:p>
            <w:pPr>
              <w:adjustRightInd w:val="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60.69</w:t>
            </w:r>
          </w:p>
        </w:tc>
        <w:tc>
          <w:tcPr>
            <w:tcW w:w="1089" w:type="dxa"/>
            <w:tcBorders>
              <w:top w:val="single" w:color="auto" w:sz="6" w:space="0"/>
              <w:left w:val="single" w:color="auto" w:sz="6" w:space="0"/>
              <w:bottom w:val="single" w:color="auto" w:sz="6" w:space="0"/>
              <w:right w:val="single" w:color="auto" w:sz="6" w:space="0"/>
            </w:tcBorders>
            <w:vAlign w:val="bottom"/>
          </w:tcPr>
          <w:p>
            <w:pPr>
              <w:adjustRightInd w:val="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 xml:space="preserve">126.39 </w:t>
            </w:r>
          </w:p>
        </w:tc>
        <w:tc>
          <w:tcPr>
            <w:tcW w:w="1193" w:type="dxa"/>
            <w:tcBorders>
              <w:top w:val="single" w:color="auto" w:sz="6" w:space="0"/>
              <w:left w:val="single" w:color="auto" w:sz="6" w:space="0"/>
              <w:bottom w:val="single" w:color="auto" w:sz="6" w:space="0"/>
              <w:right w:val="single" w:color="auto" w:sz="6" w:space="0"/>
            </w:tcBorders>
            <w:vAlign w:val="bottom"/>
          </w:tcPr>
          <w:p>
            <w:pPr>
              <w:adjustRightInd w:val="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 xml:space="preserve">786.28 </w:t>
            </w:r>
          </w:p>
        </w:tc>
        <w:tc>
          <w:tcPr>
            <w:tcW w:w="1080" w:type="dxa"/>
            <w:tcBorders>
              <w:top w:val="single" w:color="auto" w:sz="6" w:space="0"/>
              <w:left w:val="single" w:color="auto" w:sz="6" w:space="0"/>
              <w:bottom w:val="single" w:color="auto" w:sz="6" w:space="0"/>
              <w:right w:val="single" w:color="auto" w:sz="6" w:space="0"/>
            </w:tcBorders>
            <w:vAlign w:val="center"/>
          </w:tcPr>
          <w:p>
            <w:pPr>
              <w:adjustRightInd w:val="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89.65</w:t>
            </w:r>
          </w:p>
        </w:tc>
        <w:tc>
          <w:tcPr>
            <w:tcW w:w="1080" w:type="dxa"/>
            <w:tcBorders>
              <w:top w:val="single" w:color="auto" w:sz="6" w:space="0"/>
              <w:left w:val="single" w:color="auto" w:sz="6" w:space="0"/>
              <w:bottom w:val="single" w:color="auto" w:sz="6" w:space="0"/>
              <w:right w:val="single" w:color="auto" w:sz="6" w:space="0"/>
            </w:tcBorders>
            <w:vAlign w:val="bottom"/>
          </w:tcPr>
          <w:p>
            <w:pPr>
              <w:adjustRightInd w:val="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 xml:space="preserve">123.34 </w:t>
            </w:r>
          </w:p>
        </w:tc>
        <w:tc>
          <w:tcPr>
            <w:tcW w:w="1171" w:type="dxa"/>
            <w:tcBorders>
              <w:top w:val="single" w:color="auto" w:sz="6" w:space="0"/>
              <w:left w:val="single" w:color="auto" w:sz="6" w:space="0"/>
              <w:bottom w:val="single" w:color="auto" w:sz="6" w:space="0"/>
              <w:right w:val="single" w:color="auto" w:sz="6" w:space="0"/>
            </w:tcBorders>
            <w:vAlign w:val="bottom"/>
          </w:tcPr>
          <w:p>
            <w:pPr>
              <w:adjustRightInd w:val="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 xml:space="preserve">762.26 </w:t>
            </w:r>
          </w:p>
        </w:tc>
        <w:tc>
          <w:tcPr>
            <w:tcW w:w="1012" w:type="dxa"/>
            <w:tcBorders>
              <w:top w:val="single" w:color="auto" w:sz="6" w:space="0"/>
              <w:left w:val="single" w:color="auto" w:sz="6" w:space="0"/>
              <w:bottom w:val="single" w:color="auto" w:sz="6" w:space="0"/>
              <w:right w:val="single" w:color="auto" w:sz="6" w:space="0"/>
            </w:tcBorders>
          </w:tcPr>
          <w:p>
            <w:pPr>
              <w:adjustRightInd w:val="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85.05</w:t>
            </w:r>
          </w:p>
        </w:tc>
        <w:tc>
          <w:tcPr>
            <w:tcW w:w="1035" w:type="dxa"/>
            <w:tcBorders>
              <w:top w:val="single" w:color="auto" w:sz="6" w:space="0"/>
              <w:left w:val="single" w:color="auto" w:sz="6" w:space="0"/>
              <w:bottom w:val="single" w:color="auto" w:sz="6" w:space="0"/>
              <w:right w:val="single" w:color="auto" w:sz="12" w:space="0"/>
            </w:tcBorders>
            <w:vAlign w:val="bottom"/>
          </w:tcPr>
          <w:p>
            <w:pPr>
              <w:adjustRightInd w:val="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 xml:space="preserve">129.67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27" w:hRule="exact"/>
          <w:jc w:val="center"/>
        </w:trPr>
        <w:tc>
          <w:tcPr>
            <w:tcW w:w="491" w:type="dxa"/>
            <w:vMerge w:val="continue"/>
            <w:tcBorders>
              <w:top w:val="single" w:color="auto" w:sz="6" w:space="0"/>
              <w:left w:val="single" w:color="auto" w:sz="12" w:space="0"/>
              <w:bottom w:val="single" w:color="auto" w:sz="6" w:space="0"/>
              <w:right w:val="single" w:color="auto" w:sz="6" w:space="0"/>
            </w:tcBorders>
            <w:vAlign w:val="center"/>
          </w:tcPr>
          <w:p>
            <w:pPr>
              <w:widowControl/>
              <w:adjustRightInd w:val="0"/>
              <w:jc w:val="center"/>
              <w:rPr>
                <w:color w:val="000000" w:themeColor="text1"/>
                <w:sz w:val="21"/>
                <w:szCs w:val="21"/>
                <w14:textFill>
                  <w14:solidFill>
                    <w14:schemeClr w14:val="tx1"/>
                  </w14:solidFill>
                </w14:textFill>
              </w:rPr>
            </w:pPr>
          </w:p>
        </w:tc>
        <w:tc>
          <w:tcPr>
            <w:tcW w:w="578" w:type="dxa"/>
            <w:tcBorders>
              <w:top w:val="single" w:color="auto" w:sz="6" w:space="0"/>
              <w:left w:val="single" w:color="auto" w:sz="6" w:space="0"/>
              <w:bottom w:val="single" w:color="auto" w:sz="6" w:space="0"/>
              <w:right w:val="single" w:color="auto" w:sz="6" w:space="0"/>
            </w:tcBorders>
            <w:vAlign w:val="bottom"/>
          </w:tcPr>
          <w:p>
            <w:pPr>
              <w:adjustRightInd w:val="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21</w:t>
            </w:r>
          </w:p>
        </w:tc>
        <w:tc>
          <w:tcPr>
            <w:tcW w:w="1267" w:type="dxa"/>
            <w:tcBorders>
              <w:top w:val="single" w:color="auto" w:sz="6" w:space="0"/>
              <w:left w:val="single" w:color="auto" w:sz="6" w:space="0"/>
              <w:bottom w:val="single" w:color="auto" w:sz="6" w:space="0"/>
              <w:right w:val="single" w:color="auto" w:sz="6" w:space="0"/>
            </w:tcBorders>
          </w:tcPr>
          <w:p>
            <w:pPr>
              <w:jc w:val="center"/>
              <w:rPr>
                <w:color w:val="000000" w:themeColor="text1"/>
                <w14:textFill>
                  <w14:solidFill>
                    <w14:schemeClr w14:val="tx1"/>
                  </w14:solidFill>
                </w14:textFill>
              </w:rPr>
            </w:pPr>
            <w:r>
              <w:rPr>
                <w:color w:val="000000" w:themeColor="text1"/>
                <w:sz w:val="21"/>
                <w:szCs w:val="21"/>
                <w14:textFill>
                  <w14:solidFill>
                    <w14:schemeClr w14:val="tx1"/>
                  </w14:solidFill>
                </w14:textFill>
              </w:rPr>
              <w:t>——</w:t>
            </w:r>
          </w:p>
        </w:tc>
        <w:tc>
          <w:tcPr>
            <w:tcW w:w="952" w:type="dxa"/>
            <w:tcBorders>
              <w:top w:val="single" w:color="auto" w:sz="6" w:space="0"/>
              <w:left w:val="single" w:color="auto" w:sz="6" w:space="0"/>
              <w:bottom w:val="single" w:color="auto" w:sz="6" w:space="0"/>
              <w:right w:val="single" w:color="auto" w:sz="6" w:space="0"/>
            </w:tcBorders>
          </w:tcPr>
          <w:p>
            <w:pPr>
              <w:jc w:val="center"/>
              <w:rPr>
                <w:color w:val="000000" w:themeColor="text1"/>
                <w14:textFill>
                  <w14:solidFill>
                    <w14:schemeClr w14:val="tx1"/>
                  </w14:solidFill>
                </w14:textFill>
              </w:rPr>
            </w:pPr>
            <w:r>
              <w:rPr>
                <w:color w:val="000000" w:themeColor="text1"/>
                <w:sz w:val="21"/>
                <w:szCs w:val="21"/>
                <w14:textFill>
                  <w14:solidFill>
                    <w14:schemeClr w14:val="tx1"/>
                  </w14:solidFill>
                </w14:textFill>
              </w:rPr>
              <w:t>——</w:t>
            </w:r>
          </w:p>
        </w:tc>
        <w:tc>
          <w:tcPr>
            <w:tcW w:w="1049" w:type="dxa"/>
            <w:tcBorders>
              <w:top w:val="single" w:color="auto" w:sz="6" w:space="0"/>
              <w:left w:val="single" w:color="auto" w:sz="6" w:space="0"/>
              <w:bottom w:val="single" w:color="auto" w:sz="6" w:space="0"/>
              <w:right w:val="single" w:color="auto" w:sz="6" w:space="0"/>
            </w:tcBorders>
          </w:tcPr>
          <w:p>
            <w:pPr>
              <w:jc w:val="center"/>
              <w:rPr>
                <w:color w:val="000000" w:themeColor="text1"/>
                <w14:textFill>
                  <w14:solidFill>
                    <w14:schemeClr w14:val="tx1"/>
                  </w14:solidFill>
                </w14:textFill>
              </w:rPr>
            </w:pPr>
            <w:r>
              <w:rPr>
                <w:color w:val="000000" w:themeColor="text1"/>
                <w:sz w:val="21"/>
                <w:szCs w:val="21"/>
                <w14:textFill>
                  <w14:solidFill>
                    <w14:schemeClr w14:val="tx1"/>
                  </w14:solidFill>
                </w14:textFill>
              </w:rPr>
              <w:t>——</w:t>
            </w:r>
          </w:p>
        </w:tc>
        <w:tc>
          <w:tcPr>
            <w:tcW w:w="1242" w:type="dxa"/>
            <w:tcBorders>
              <w:top w:val="single" w:color="auto" w:sz="6" w:space="0"/>
              <w:left w:val="single" w:color="auto" w:sz="6" w:space="0"/>
              <w:bottom w:val="single" w:color="auto" w:sz="6" w:space="0"/>
              <w:right w:val="single" w:color="auto" w:sz="6" w:space="0"/>
            </w:tcBorders>
            <w:vAlign w:val="bottom"/>
          </w:tcPr>
          <w:p>
            <w:pPr>
              <w:adjustRightInd w:val="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 xml:space="preserve">854.46 </w:t>
            </w:r>
          </w:p>
        </w:tc>
        <w:tc>
          <w:tcPr>
            <w:tcW w:w="935" w:type="dxa"/>
            <w:tcBorders>
              <w:top w:val="single" w:color="auto" w:sz="6" w:space="0"/>
              <w:left w:val="single" w:color="auto" w:sz="6" w:space="0"/>
              <w:bottom w:val="single" w:color="auto" w:sz="6" w:space="0"/>
              <w:right w:val="single" w:color="auto" w:sz="6" w:space="0"/>
            </w:tcBorders>
            <w:vAlign w:val="center"/>
          </w:tcPr>
          <w:p>
            <w:pPr>
              <w:adjustRightInd w:val="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69.46</w:t>
            </w:r>
          </w:p>
        </w:tc>
        <w:tc>
          <w:tcPr>
            <w:tcW w:w="1089" w:type="dxa"/>
            <w:tcBorders>
              <w:top w:val="single" w:color="auto" w:sz="6" w:space="0"/>
              <w:left w:val="single" w:color="auto" w:sz="6" w:space="0"/>
              <w:bottom w:val="single" w:color="auto" w:sz="6" w:space="0"/>
              <w:right w:val="single" w:color="auto" w:sz="6" w:space="0"/>
            </w:tcBorders>
            <w:vAlign w:val="bottom"/>
          </w:tcPr>
          <w:p>
            <w:pPr>
              <w:adjustRightInd w:val="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 xml:space="preserve">111.57 </w:t>
            </w:r>
          </w:p>
        </w:tc>
        <w:tc>
          <w:tcPr>
            <w:tcW w:w="1193" w:type="dxa"/>
            <w:tcBorders>
              <w:top w:val="single" w:color="auto" w:sz="6" w:space="0"/>
              <w:left w:val="single" w:color="auto" w:sz="6" w:space="0"/>
              <w:bottom w:val="single" w:color="auto" w:sz="6" w:space="0"/>
              <w:right w:val="single" w:color="auto" w:sz="6" w:space="0"/>
            </w:tcBorders>
            <w:vAlign w:val="bottom"/>
          </w:tcPr>
          <w:p>
            <w:pPr>
              <w:adjustRightInd w:val="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 xml:space="preserve">746.58 </w:t>
            </w:r>
          </w:p>
        </w:tc>
        <w:tc>
          <w:tcPr>
            <w:tcW w:w="1080" w:type="dxa"/>
            <w:tcBorders>
              <w:top w:val="single" w:color="auto" w:sz="6" w:space="0"/>
              <w:left w:val="single" w:color="auto" w:sz="6" w:space="0"/>
              <w:bottom w:val="single" w:color="auto" w:sz="6" w:space="0"/>
              <w:right w:val="single" w:color="auto" w:sz="6" w:space="0"/>
            </w:tcBorders>
            <w:vAlign w:val="center"/>
          </w:tcPr>
          <w:p>
            <w:pPr>
              <w:adjustRightInd w:val="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96.37</w:t>
            </w:r>
          </w:p>
        </w:tc>
        <w:tc>
          <w:tcPr>
            <w:tcW w:w="1080" w:type="dxa"/>
            <w:tcBorders>
              <w:top w:val="single" w:color="auto" w:sz="6" w:space="0"/>
              <w:left w:val="single" w:color="auto" w:sz="6" w:space="0"/>
              <w:bottom w:val="single" w:color="auto" w:sz="6" w:space="0"/>
              <w:right w:val="single" w:color="auto" w:sz="6" w:space="0"/>
            </w:tcBorders>
            <w:vAlign w:val="bottom"/>
          </w:tcPr>
          <w:p>
            <w:pPr>
              <w:adjustRightInd w:val="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 xml:space="preserve">99.09 </w:t>
            </w:r>
          </w:p>
        </w:tc>
        <w:tc>
          <w:tcPr>
            <w:tcW w:w="1171" w:type="dxa"/>
            <w:tcBorders>
              <w:top w:val="single" w:color="auto" w:sz="6" w:space="0"/>
              <w:left w:val="single" w:color="auto" w:sz="6" w:space="0"/>
              <w:bottom w:val="single" w:color="auto" w:sz="6" w:space="0"/>
              <w:right w:val="single" w:color="auto" w:sz="6" w:space="0"/>
            </w:tcBorders>
            <w:vAlign w:val="bottom"/>
          </w:tcPr>
          <w:p>
            <w:pPr>
              <w:adjustRightInd w:val="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 xml:space="preserve">725.54 </w:t>
            </w:r>
          </w:p>
        </w:tc>
        <w:tc>
          <w:tcPr>
            <w:tcW w:w="1012" w:type="dxa"/>
            <w:tcBorders>
              <w:top w:val="single" w:color="auto" w:sz="6" w:space="0"/>
              <w:left w:val="single" w:color="auto" w:sz="6" w:space="0"/>
              <w:bottom w:val="single" w:color="auto" w:sz="6" w:space="0"/>
              <w:right w:val="single" w:color="auto" w:sz="6" w:space="0"/>
            </w:tcBorders>
          </w:tcPr>
          <w:p>
            <w:pPr>
              <w:adjustRightInd w:val="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118.48</w:t>
            </w:r>
          </w:p>
        </w:tc>
        <w:tc>
          <w:tcPr>
            <w:tcW w:w="1035" w:type="dxa"/>
            <w:tcBorders>
              <w:top w:val="single" w:color="auto" w:sz="6" w:space="0"/>
              <w:left w:val="single" w:color="auto" w:sz="6" w:space="0"/>
              <w:bottom w:val="single" w:color="auto" w:sz="6" w:space="0"/>
              <w:right w:val="single" w:color="auto" w:sz="12" w:space="0"/>
            </w:tcBorders>
            <w:vAlign w:val="bottom"/>
          </w:tcPr>
          <w:p>
            <w:pPr>
              <w:adjustRightInd w:val="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 xml:space="preserve">77.21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27" w:hRule="exact"/>
          <w:jc w:val="center"/>
        </w:trPr>
        <w:tc>
          <w:tcPr>
            <w:tcW w:w="491" w:type="dxa"/>
            <w:vMerge w:val="continue"/>
            <w:tcBorders>
              <w:top w:val="single" w:color="auto" w:sz="6" w:space="0"/>
              <w:left w:val="single" w:color="auto" w:sz="12" w:space="0"/>
              <w:bottom w:val="single" w:color="auto" w:sz="6" w:space="0"/>
              <w:right w:val="single" w:color="auto" w:sz="6" w:space="0"/>
            </w:tcBorders>
            <w:vAlign w:val="center"/>
          </w:tcPr>
          <w:p>
            <w:pPr>
              <w:widowControl/>
              <w:adjustRightInd w:val="0"/>
              <w:jc w:val="center"/>
              <w:rPr>
                <w:color w:val="000000" w:themeColor="text1"/>
                <w:sz w:val="21"/>
                <w:szCs w:val="21"/>
                <w14:textFill>
                  <w14:solidFill>
                    <w14:schemeClr w14:val="tx1"/>
                  </w14:solidFill>
                </w14:textFill>
              </w:rPr>
            </w:pPr>
          </w:p>
        </w:tc>
        <w:tc>
          <w:tcPr>
            <w:tcW w:w="578" w:type="dxa"/>
            <w:tcBorders>
              <w:top w:val="single" w:color="auto" w:sz="6" w:space="0"/>
              <w:left w:val="single" w:color="auto" w:sz="6" w:space="0"/>
              <w:bottom w:val="single" w:color="auto" w:sz="6" w:space="0"/>
              <w:right w:val="single" w:color="auto" w:sz="6" w:space="0"/>
            </w:tcBorders>
            <w:vAlign w:val="bottom"/>
          </w:tcPr>
          <w:p>
            <w:pPr>
              <w:adjustRightInd w:val="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24</w:t>
            </w:r>
          </w:p>
        </w:tc>
        <w:tc>
          <w:tcPr>
            <w:tcW w:w="1267" w:type="dxa"/>
            <w:tcBorders>
              <w:top w:val="single" w:color="auto" w:sz="6" w:space="0"/>
              <w:left w:val="single" w:color="auto" w:sz="6" w:space="0"/>
              <w:bottom w:val="single" w:color="auto" w:sz="6" w:space="0"/>
              <w:right w:val="single" w:color="auto" w:sz="6" w:space="0"/>
            </w:tcBorders>
          </w:tcPr>
          <w:p>
            <w:pPr>
              <w:jc w:val="center"/>
              <w:rPr>
                <w:color w:val="000000" w:themeColor="text1"/>
                <w14:textFill>
                  <w14:solidFill>
                    <w14:schemeClr w14:val="tx1"/>
                  </w14:solidFill>
                </w14:textFill>
              </w:rPr>
            </w:pPr>
            <w:r>
              <w:rPr>
                <w:color w:val="000000" w:themeColor="text1"/>
                <w:sz w:val="21"/>
                <w:szCs w:val="21"/>
                <w14:textFill>
                  <w14:solidFill>
                    <w14:schemeClr w14:val="tx1"/>
                  </w14:solidFill>
                </w14:textFill>
              </w:rPr>
              <w:t>——</w:t>
            </w:r>
          </w:p>
        </w:tc>
        <w:tc>
          <w:tcPr>
            <w:tcW w:w="952" w:type="dxa"/>
            <w:tcBorders>
              <w:top w:val="single" w:color="auto" w:sz="6" w:space="0"/>
              <w:left w:val="single" w:color="auto" w:sz="6" w:space="0"/>
              <w:bottom w:val="single" w:color="auto" w:sz="6" w:space="0"/>
              <w:right w:val="single" w:color="auto" w:sz="6" w:space="0"/>
            </w:tcBorders>
          </w:tcPr>
          <w:p>
            <w:pPr>
              <w:jc w:val="center"/>
              <w:rPr>
                <w:color w:val="000000" w:themeColor="text1"/>
                <w14:textFill>
                  <w14:solidFill>
                    <w14:schemeClr w14:val="tx1"/>
                  </w14:solidFill>
                </w14:textFill>
              </w:rPr>
            </w:pPr>
            <w:r>
              <w:rPr>
                <w:color w:val="000000" w:themeColor="text1"/>
                <w:sz w:val="21"/>
                <w:szCs w:val="21"/>
                <w14:textFill>
                  <w14:solidFill>
                    <w14:schemeClr w14:val="tx1"/>
                  </w14:solidFill>
                </w14:textFill>
              </w:rPr>
              <w:t>——</w:t>
            </w:r>
          </w:p>
        </w:tc>
        <w:tc>
          <w:tcPr>
            <w:tcW w:w="1049" w:type="dxa"/>
            <w:tcBorders>
              <w:top w:val="single" w:color="auto" w:sz="6" w:space="0"/>
              <w:left w:val="single" w:color="auto" w:sz="6" w:space="0"/>
              <w:bottom w:val="single" w:color="auto" w:sz="6" w:space="0"/>
              <w:right w:val="single" w:color="auto" w:sz="6" w:space="0"/>
            </w:tcBorders>
          </w:tcPr>
          <w:p>
            <w:pPr>
              <w:jc w:val="center"/>
              <w:rPr>
                <w:color w:val="000000" w:themeColor="text1"/>
                <w14:textFill>
                  <w14:solidFill>
                    <w14:schemeClr w14:val="tx1"/>
                  </w14:solidFill>
                </w14:textFill>
              </w:rPr>
            </w:pPr>
            <w:r>
              <w:rPr>
                <w:color w:val="000000" w:themeColor="text1"/>
                <w:sz w:val="21"/>
                <w:szCs w:val="21"/>
                <w14:textFill>
                  <w14:solidFill>
                    <w14:schemeClr w14:val="tx1"/>
                  </w14:solidFill>
                </w14:textFill>
              </w:rPr>
              <w:t>——</w:t>
            </w:r>
          </w:p>
        </w:tc>
        <w:tc>
          <w:tcPr>
            <w:tcW w:w="1242" w:type="dxa"/>
            <w:tcBorders>
              <w:top w:val="single" w:color="auto" w:sz="6" w:space="0"/>
              <w:left w:val="single" w:color="auto" w:sz="6" w:space="0"/>
              <w:bottom w:val="single" w:color="auto" w:sz="6" w:space="0"/>
              <w:right w:val="single" w:color="auto" w:sz="6" w:space="0"/>
            </w:tcBorders>
            <w:vAlign w:val="bottom"/>
          </w:tcPr>
          <w:p>
            <w:pPr>
              <w:adjustRightInd w:val="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 xml:space="preserve">823.72 </w:t>
            </w:r>
          </w:p>
        </w:tc>
        <w:tc>
          <w:tcPr>
            <w:tcW w:w="935" w:type="dxa"/>
            <w:tcBorders>
              <w:top w:val="single" w:color="auto" w:sz="6" w:space="0"/>
              <w:left w:val="single" w:color="auto" w:sz="6" w:space="0"/>
              <w:bottom w:val="single" w:color="auto" w:sz="6" w:space="0"/>
              <w:right w:val="single" w:color="auto" w:sz="6" w:space="0"/>
            </w:tcBorders>
            <w:vAlign w:val="center"/>
          </w:tcPr>
          <w:p>
            <w:pPr>
              <w:adjustRightInd w:val="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80.36</w:t>
            </w:r>
          </w:p>
        </w:tc>
        <w:tc>
          <w:tcPr>
            <w:tcW w:w="1089" w:type="dxa"/>
            <w:tcBorders>
              <w:top w:val="single" w:color="auto" w:sz="6" w:space="0"/>
              <w:left w:val="single" w:color="auto" w:sz="6" w:space="0"/>
              <w:bottom w:val="single" w:color="auto" w:sz="6" w:space="0"/>
              <w:right w:val="single" w:color="auto" w:sz="6" w:space="0"/>
            </w:tcBorders>
            <w:vAlign w:val="bottom"/>
          </w:tcPr>
          <w:p>
            <w:pPr>
              <w:adjustRightInd w:val="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 xml:space="preserve">96.59 </w:t>
            </w:r>
          </w:p>
        </w:tc>
        <w:tc>
          <w:tcPr>
            <w:tcW w:w="1193" w:type="dxa"/>
            <w:tcBorders>
              <w:top w:val="single" w:color="auto" w:sz="6" w:space="0"/>
              <w:left w:val="single" w:color="auto" w:sz="6" w:space="0"/>
              <w:bottom w:val="single" w:color="auto" w:sz="6" w:space="0"/>
              <w:right w:val="single" w:color="auto" w:sz="6" w:space="0"/>
            </w:tcBorders>
            <w:vAlign w:val="bottom"/>
          </w:tcPr>
          <w:p>
            <w:pPr>
              <w:adjustRightInd w:val="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 xml:space="preserve">712.74 </w:t>
            </w:r>
          </w:p>
        </w:tc>
        <w:tc>
          <w:tcPr>
            <w:tcW w:w="1080" w:type="dxa"/>
            <w:tcBorders>
              <w:top w:val="single" w:color="auto" w:sz="6" w:space="0"/>
              <w:left w:val="single" w:color="auto" w:sz="6" w:space="0"/>
              <w:bottom w:val="single" w:color="auto" w:sz="6" w:space="0"/>
              <w:right w:val="single" w:color="auto" w:sz="6" w:space="0"/>
            </w:tcBorders>
            <w:vAlign w:val="center"/>
          </w:tcPr>
          <w:p>
            <w:pPr>
              <w:adjustRightInd w:val="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120.87</w:t>
            </w:r>
          </w:p>
        </w:tc>
        <w:tc>
          <w:tcPr>
            <w:tcW w:w="1080" w:type="dxa"/>
            <w:tcBorders>
              <w:top w:val="single" w:color="auto" w:sz="6" w:space="0"/>
              <w:left w:val="single" w:color="auto" w:sz="6" w:space="0"/>
              <w:bottom w:val="single" w:color="auto" w:sz="6" w:space="0"/>
              <w:right w:val="single" w:color="auto" w:sz="6" w:space="0"/>
            </w:tcBorders>
            <w:vAlign w:val="bottom"/>
          </w:tcPr>
          <w:p>
            <w:pPr>
              <w:adjustRightInd w:val="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 xml:space="preserve">86.52 </w:t>
            </w:r>
          </w:p>
        </w:tc>
        <w:tc>
          <w:tcPr>
            <w:tcW w:w="1171" w:type="dxa"/>
            <w:tcBorders>
              <w:top w:val="single" w:color="auto" w:sz="6" w:space="0"/>
              <w:left w:val="single" w:color="auto" w:sz="6" w:space="0"/>
              <w:bottom w:val="single" w:color="auto" w:sz="6" w:space="0"/>
              <w:right w:val="single" w:color="auto" w:sz="6" w:space="0"/>
            </w:tcBorders>
            <w:vAlign w:val="bottom"/>
          </w:tcPr>
          <w:p>
            <w:pPr>
              <w:adjustRightInd w:val="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 xml:space="preserve">690.10 </w:t>
            </w:r>
          </w:p>
        </w:tc>
        <w:tc>
          <w:tcPr>
            <w:tcW w:w="1012" w:type="dxa"/>
            <w:tcBorders>
              <w:top w:val="single" w:color="auto" w:sz="6" w:space="0"/>
              <w:left w:val="single" w:color="auto" w:sz="6" w:space="0"/>
              <w:bottom w:val="single" w:color="auto" w:sz="6" w:space="0"/>
              <w:right w:val="single" w:color="auto" w:sz="6" w:space="0"/>
            </w:tcBorders>
          </w:tcPr>
          <w:p>
            <w:pPr>
              <w:adjustRightInd w:val="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147.31</w:t>
            </w:r>
          </w:p>
        </w:tc>
        <w:tc>
          <w:tcPr>
            <w:tcW w:w="1035" w:type="dxa"/>
            <w:tcBorders>
              <w:top w:val="single" w:color="auto" w:sz="6" w:space="0"/>
              <w:left w:val="single" w:color="auto" w:sz="6" w:space="0"/>
              <w:bottom w:val="single" w:color="auto" w:sz="6" w:space="0"/>
              <w:right w:val="single" w:color="auto" w:sz="12" w:space="0"/>
            </w:tcBorders>
            <w:vAlign w:val="bottom"/>
          </w:tcPr>
          <w:p>
            <w:pPr>
              <w:adjustRightInd w:val="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 xml:space="preserve">70.64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27" w:hRule="exact"/>
          <w:jc w:val="center"/>
        </w:trPr>
        <w:tc>
          <w:tcPr>
            <w:tcW w:w="491" w:type="dxa"/>
            <w:vMerge w:val="continue"/>
            <w:tcBorders>
              <w:top w:val="single" w:color="auto" w:sz="6" w:space="0"/>
              <w:left w:val="single" w:color="auto" w:sz="12" w:space="0"/>
              <w:bottom w:val="single" w:color="auto" w:sz="6" w:space="0"/>
              <w:right w:val="single" w:color="auto" w:sz="6" w:space="0"/>
            </w:tcBorders>
            <w:vAlign w:val="center"/>
          </w:tcPr>
          <w:p>
            <w:pPr>
              <w:widowControl/>
              <w:adjustRightInd w:val="0"/>
              <w:jc w:val="center"/>
              <w:rPr>
                <w:color w:val="000000" w:themeColor="text1"/>
                <w:sz w:val="21"/>
                <w:szCs w:val="21"/>
                <w14:textFill>
                  <w14:solidFill>
                    <w14:schemeClr w14:val="tx1"/>
                  </w14:solidFill>
                </w14:textFill>
              </w:rPr>
            </w:pPr>
          </w:p>
        </w:tc>
        <w:tc>
          <w:tcPr>
            <w:tcW w:w="578" w:type="dxa"/>
            <w:tcBorders>
              <w:top w:val="single" w:color="auto" w:sz="6" w:space="0"/>
              <w:left w:val="single" w:color="auto" w:sz="6" w:space="0"/>
              <w:bottom w:val="single" w:color="auto" w:sz="6" w:space="0"/>
              <w:right w:val="single" w:color="auto" w:sz="6" w:space="0"/>
            </w:tcBorders>
            <w:vAlign w:val="bottom"/>
          </w:tcPr>
          <w:p>
            <w:pPr>
              <w:adjustRightInd w:val="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27</w:t>
            </w:r>
          </w:p>
        </w:tc>
        <w:tc>
          <w:tcPr>
            <w:tcW w:w="1267" w:type="dxa"/>
            <w:tcBorders>
              <w:top w:val="single" w:color="auto" w:sz="6" w:space="0"/>
              <w:left w:val="single" w:color="auto" w:sz="6" w:space="0"/>
              <w:bottom w:val="single" w:color="auto" w:sz="6" w:space="0"/>
              <w:right w:val="single" w:color="auto" w:sz="6" w:space="0"/>
            </w:tcBorders>
          </w:tcPr>
          <w:p>
            <w:pPr>
              <w:jc w:val="center"/>
              <w:rPr>
                <w:color w:val="000000" w:themeColor="text1"/>
                <w14:textFill>
                  <w14:solidFill>
                    <w14:schemeClr w14:val="tx1"/>
                  </w14:solidFill>
                </w14:textFill>
              </w:rPr>
            </w:pPr>
            <w:r>
              <w:rPr>
                <w:color w:val="000000" w:themeColor="text1"/>
                <w:sz w:val="21"/>
                <w:szCs w:val="21"/>
                <w14:textFill>
                  <w14:solidFill>
                    <w14:schemeClr w14:val="tx1"/>
                  </w14:solidFill>
                </w14:textFill>
              </w:rPr>
              <w:t>——</w:t>
            </w:r>
          </w:p>
        </w:tc>
        <w:tc>
          <w:tcPr>
            <w:tcW w:w="952" w:type="dxa"/>
            <w:tcBorders>
              <w:top w:val="single" w:color="auto" w:sz="6" w:space="0"/>
              <w:left w:val="single" w:color="auto" w:sz="6" w:space="0"/>
              <w:bottom w:val="single" w:color="auto" w:sz="6" w:space="0"/>
              <w:right w:val="single" w:color="auto" w:sz="6" w:space="0"/>
            </w:tcBorders>
          </w:tcPr>
          <w:p>
            <w:pPr>
              <w:jc w:val="center"/>
              <w:rPr>
                <w:color w:val="000000" w:themeColor="text1"/>
                <w14:textFill>
                  <w14:solidFill>
                    <w14:schemeClr w14:val="tx1"/>
                  </w14:solidFill>
                </w14:textFill>
              </w:rPr>
            </w:pPr>
            <w:r>
              <w:rPr>
                <w:color w:val="000000" w:themeColor="text1"/>
                <w:sz w:val="21"/>
                <w:szCs w:val="21"/>
                <w14:textFill>
                  <w14:solidFill>
                    <w14:schemeClr w14:val="tx1"/>
                  </w14:solidFill>
                </w14:textFill>
              </w:rPr>
              <w:t>——</w:t>
            </w:r>
          </w:p>
        </w:tc>
        <w:tc>
          <w:tcPr>
            <w:tcW w:w="1049" w:type="dxa"/>
            <w:tcBorders>
              <w:top w:val="single" w:color="auto" w:sz="6" w:space="0"/>
              <w:left w:val="single" w:color="auto" w:sz="6" w:space="0"/>
              <w:bottom w:val="single" w:color="auto" w:sz="6" w:space="0"/>
              <w:right w:val="single" w:color="auto" w:sz="6" w:space="0"/>
            </w:tcBorders>
          </w:tcPr>
          <w:p>
            <w:pPr>
              <w:jc w:val="center"/>
              <w:rPr>
                <w:color w:val="000000" w:themeColor="text1"/>
                <w14:textFill>
                  <w14:solidFill>
                    <w14:schemeClr w14:val="tx1"/>
                  </w14:solidFill>
                </w14:textFill>
              </w:rPr>
            </w:pPr>
            <w:r>
              <w:rPr>
                <w:color w:val="000000" w:themeColor="text1"/>
                <w:sz w:val="21"/>
                <w:szCs w:val="21"/>
                <w14:textFill>
                  <w14:solidFill>
                    <w14:schemeClr w14:val="tx1"/>
                  </w14:solidFill>
                </w14:textFill>
              </w:rPr>
              <w:t>——</w:t>
            </w:r>
          </w:p>
        </w:tc>
        <w:tc>
          <w:tcPr>
            <w:tcW w:w="1242" w:type="dxa"/>
            <w:tcBorders>
              <w:top w:val="single" w:color="auto" w:sz="6" w:space="0"/>
              <w:left w:val="single" w:color="auto" w:sz="6" w:space="0"/>
              <w:bottom w:val="single" w:color="auto" w:sz="6" w:space="0"/>
              <w:right w:val="single" w:color="auto" w:sz="6" w:space="0"/>
            </w:tcBorders>
            <w:vAlign w:val="bottom"/>
          </w:tcPr>
          <w:p>
            <w:pPr>
              <w:adjustRightInd w:val="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 xml:space="preserve">797.01 </w:t>
            </w:r>
          </w:p>
        </w:tc>
        <w:tc>
          <w:tcPr>
            <w:tcW w:w="935" w:type="dxa"/>
            <w:tcBorders>
              <w:top w:val="single" w:color="auto" w:sz="6" w:space="0"/>
              <w:left w:val="single" w:color="auto" w:sz="6" w:space="0"/>
              <w:bottom w:val="single" w:color="auto" w:sz="6" w:space="0"/>
              <w:right w:val="single" w:color="auto" w:sz="6" w:space="0"/>
            </w:tcBorders>
            <w:vAlign w:val="center"/>
          </w:tcPr>
          <w:p>
            <w:pPr>
              <w:adjustRightInd w:val="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96.04</w:t>
            </w:r>
          </w:p>
        </w:tc>
        <w:tc>
          <w:tcPr>
            <w:tcW w:w="1089" w:type="dxa"/>
            <w:tcBorders>
              <w:top w:val="single" w:color="auto" w:sz="6" w:space="0"/>
              <w:left w:val="single" w:color="auto" w:sz="6" w:space="0"/>
              <w:bottom w:val="single" w:color="auto" w:sz="6" w:space="0"/>
              <w:right w:val="single" w:color="auto" w:sz="6" w:space="0"/>
            </w:tcBorders>
            <w:vAlign w:val="bottom"/>
          </w:tcPr>
          <w:p>
            <w:pPr>
              <w:adjustRightInd w:val="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 xml:space="preserve">92.56 </w:t>
            </w:r>
          </w:p>
        </w:tc>
        <w:tc>
          <w:tcPr>
            <w:tcW w:w="1193" w:type="dxa"/>
            <w:tcBorders>
              <w:top w:val="single" w:color="auto" w:sz="6" w:space="0"/>
              <w:left w:val="single" w:color="auto" w:sz="6" w:space="0"/>
              <w:bottom w:val="single" w:color="auto" w:sz="6" w:space="0"/>
              <w:right w:val="single" w:color="auto" w:sz="6" w:space="0"/>
            </w:tcBorders>
            <w:vAlign w:val="bottom"/>
          </w:tcPr>
          <w:p>
            <w:pPr>
              <w:adjustRightInd w:val="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 xml:space="preserve">684.90 </w:t>
            </w:r>
          </w:p>
        </w:tc>
        <w:tc>
          <w:tcPr>
            <w:tcW w:w="1080" w:type="dxa"/>
            <w:tcBorders>
              <w:top w:val="single" w:color="auto" w:sz="6" w:space="0"/>
              <w:left w:val="single" w:color="auto" w:sz="6" w:space="0"/>
              <w:bottom w:val="single" w:color="auto" w:sz="6" w:space="0"/>
              <w:right w:val="single" w:color="auto" w:sz="6" w:space="0"/>
            </w:tcBorders>
            <w:vAlign w:val="center"/>
          </w:tcPr>
          <w:p>
            <w:pPr>
              <w:adjustRightInd w:val="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160.08</w:t>
            </w:r>
          </w:p>
        </w:tc>
        <w:tc>
          <w:tcPr>
            <w:tcW w:w="1080" w:type="dxa"/>
            <w:tcBorders>
              <w:top w:val="single" w:color="auto" w:sz="6" w:space="0"/>
              <w:left w:val="single" w:color="auto" w:sz="6" w:space="0"/>
              <w:bottom w:val="single" w:color="auto" w:sz="6" w:space="0"/>
              <w:right w:val="single" w:color="auto" w:sz="6" w:space="0"/>
            </w:tcBorders>
            <w:vAlign w:val="bottom"/>
          </w:tcPr>
          <w:p>
            <w:pPr>
              <w:adjustRightInd w:val="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 xml:space="preserve">83.99 </w:t>
            </w:r>
          </w:p>
        </w:tc>
        <w:tc>
          <w:tcPr>
            <w:tcW w:w="1171" w:type="dxa"/>
            <w:tcBorders>
              <w:top w:val="single" w:color="auto" w:sz="6" w:space="0"/>
              <w:left w:val="single" w:color="auto" w:sz="6" w:space="0"/>
              <w:bottom w:val="single" w:color="auto" w:sz="6" w:space="0"/>
              <w:right w:val="single" w:color="auto" w:sz="6" w:space="0"/>
            </w:tcBorders>
            <w:vAlign w:val="bottom"/>
          </w:tcPr>
          <w:p>
            <w:pPr>
              <w:adjustRightInd w:val="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 xml:space="preserve">664.64 </w:t>
            </w:r>
          </w:p>
        </w:tc>
        <w:tc>
          <w:tcPr>
            <w:tcW w:w="1012" w:type="dxa"/>
            <w:tcBorders>
              <w:top w:val="single" w:color="auto" w:sz="6" w:space="0"/>
              <w:left w:val="single" w:color="auto" w:sz="6" w:space="0"/>
              <w:bottom w:val="single" w:color="auto" w:sz="6" w:space="0"/>
              <w:right w:val="single" w:color="auto" w:sz="6" w:space="0"/>
            </w:tcBorders>
          </w:tcPr>
          <w:p>
            <w:pPr>
              <w:adjustRightInd w:val="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155.45</w:t>
            </w:r>
          </w:p>
        </w:tc>
        <w:tc>
          <w:tcPr>
            <w:tcW w:w="1035" w:type="dxa"/>
            <w:tcBorders>
              <w:top w:val="single" w:color="auto" w:sz="6" w:space="0"/>
              <w:left w:val="single" w:color="auto" w:sz="6" w:space="0"/>
              <w:bottom w:val="single" w:color="auto" w:sz="6" w:space="0"/>
              <w:right w:val="single" w:color="auto" w:sz="12" w:space="0"/>
            </w:tcBorders>
            <w:vAlign w:val="bottom"/>
          </w:tcPr>
          <w:p>
            <w:pPr>
              <w:adjustRightInd w:val="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 xml:space="preserve">95.57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27" w:hRule="exact"/>
          <w:jc w:val="center"/>
        </w:trPr>
        <w:tc>
          <w:tcPr>
            <w:tcW w:w="491" w:type="dxa"/>
            <w:vMerge w:val="continue"/>
            <w:tcBorders>
              <w:top w:val="single" w:color="auto" w:sz="6" w:space="0"/>
              <w:left w:val="single" w:color="auto" w:sz="12" w:space="0"/>
              <w:bottom w:val="single" w:color="auto" w:sz="6" w:space="0"/>
              <w:right w:val="single" w:color="auto" w:sz="6" w:space="0"/>
            </w:tcBorders>
            <w:vAlign w:val="center"/>
          </w:tcPr>
          <w:p>
            <w:pPr>
              <w:widowControl/>
              <w:adjustRightInd w:val="0"/>
              <w:jc w:val="center"/>
              <w:rPr>
                <w:color w:val="000000" w:themeColor="text1"/>
                <w:sz w:val="21"/>
                <w:szCs w:val="21"/>
                <w14:textFill>
                  <w14:solidFill>
                    <w14:schemeClr w14:val="tx1"/>
                  </w14:solidFill>
                </w14:textFill>
              </w:rPr>
            </w:pPr>
          </w:p>
        </w:tc>
        <w:tc>
          <w:tcPr>
            <w:tcW w:w="578" w:type="dxa"/>
            <w:tcBorders>
              <w:top w:val="single" w:color="auto" w:sz="6" w:space="0"/>
              <w:left w:val="single" w:color="auto" w:sz="6" w:space="0"/>
              <w:bottom w:val="single" w:color="auto" w:sz="6" w:space="0"/>
              <w:right w:val="single" w:color="auto" w:sz="6" w:space="0"/>
            </w:tcBorders>
            <w:vAlign w:val="bottom"/>
          </w:tcPr>
          <w:p>
            <w:pPr>
              <w:adjustRightInd w:val="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30</w:t>
            </w:r>
          </w:p>
        </w:tc>
        <w:tc>
          <w:tcPr>
            <w:tcW w:w="1267" w:type="dxa"/>
            <w:tcBorders>
              <w:top w:val="single" w:color="auto" w:sz="6" w:space="0"/>
              <w:left w:val="single" w:color="auto" w:sz="6" w:space="0"/>
              <w:bottom w:val="single" w:color="auto" w:sz="6" w:space="0"/>
              <w:right w:val="single" w:color="auto" w:sz="6" w:space="0"/>
            </w:tcBorders>
          </w:tcPr>
          <w:p>
            <w:pPr>
              <w:jc w:val="center"/>
              <w:rPr>
                <w:color w:val="000000" w:themeColor="text1"/>
                <w14:textFill>
                  <w14:solidFill>
                    <w14:schemeClr w14:val="tx1"/>
                  </w14:solidFill>
                </w14:textFill>
              </w:rPr>
            </w:pPr>
            <w:r>
              <w:rPr>
                <w:color w:val="000000" w:themeColor="text1"/>
                <w:sz w:val="21"/>
                <w:szCs w:val="21"/>
                <w14:textFill>
                  <w14:solidFill>
                    <w14:schemeClr w14:val="tx1"/>
                  </w14:solidFill>
                </w14:textFill>
              </w:rPr>
              <w:t>——</w:t>
            </w:r>
          </w:p>
        </w:tc>
        <w:tc>
          <w:tcPr>
            <w:tcW w:w="952" w:type="dxa"/>
            <w:tcBorders>
              <w:top w:val="single" w:color="auto" w:sz="6" w:space="0"/>
              <w:left w:val="single" w:color="auto" w:sz="6" w:space="0"/>
              <w:bottom w:val="single" w:color="auto" w:sz="6" w:space="0"/>
              <w:right w:val="single" w:color="auto" w:sz="6" w:space="0"/>
            </w:tcBorders>
          </w:tcPr>
          <w:p>
            <w:pPr>
              <w:jc w:val="center"/>
              <w:rPr>
                <w:color w:val="000000" w:themeColor="text1"/>
                <w14:textFill>
                  <w14:solidFill>
                    <w14:schemeClr w14:val="tx1"/>
                  </w14:solidFill>
                </w14:textFill>
              </w:rPr>
            </w:pPr>
            <w:r>
              <w:rPr>
                <w:color w:val="000000" w:themeColor="text1"/>
                <w:sz w:val="21"/>
                <w:szCs w:val="21"/>
                <w14:textFill>
                  <w14:solidFill>
                    <w14:schemeClr w14:val="tx1"/>
                  </w14:solidFill>
                </w14:textFill>
              </w:rPr>
              <w:t>——</w:t>
            </w:r>
          </w:p>
        </w:tc>
        <w:tc>
          <w:tcPr>
            <w:tcW w:w="1049" w:type="dxa"/>
            <w:tcBorders>
              <w:top w:val="single" w:color="auto" w:sz="6" w:space="0"/>
              <w:left w:val="single" w:color="auto" w:sz="6" w:space="0"/>
              <w:bottom w:val="single" w:color="auto" w:sz="6" w:space="0"/>
              <w:right w:val="single" w:color="auto" w:sz="6" w:space="0"/>
            </w:tcBorders>
          </w:tcPr>
          <w:p>
            <w:pPr>
              <w:jc w:val="center"/>
              <w:rPr>
                <w:color w:val="000000" w:themeColor="text1"/>
                <w14:textFill>
                  <w14:solidFill>
                    <w14:schemeClr w14:val="tx1"/>
                  </w14:solidFill>
                </w14:textFill>
              </w:rPr>
            </w:pPr>
            <w:r>
              <w:rPr>
                <w:color w:val="000000" w:themeColor="text1"/>
                <w:sz w:val="21"/>
                <w:szCs w:val="21"/>
                <w14:textFill>
                  <w14:solidFill>
                    <w14:schemeClr w14:val="tx1"/>
                  </w14:solidFill>
                </w14:textFill>
              </w:rPr>
              <w:t>——</w:t>
            </w:r>
          </w:p>
        </w:tc>
        <w:tc>
          <w:tcPr>
            <w:tcW w:w="1242" w:type="dxa"/>
            <w:tcBorders>
              <w:top w:val="single" w:color="auto" w:sz="6" w:space="0"/>
              <w:left w:val="single" w:color="auto" w:sz="6" w:space="0"/>
              <w:bottom w:val="single" w:color="auto" w:sz="6" w:space="0"/>
              <w:right w:val="single" w:color="auto" w:sz="6" w:space="0"/>
            </w:tcBorders>
            <w:vAlign w:val="bottom"/>
          </w:tcPr>
          <w:p>
            <w:pPr>
              <w:adjustRightInd w:val="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 xml:space="preserve">774.35 </w:t>
            </w:r>
          </w:p>
        </w:tc>
        <w:tc>
          <w:tcPr>
            <w:tcW w:w="935" w:type="dxa"/>
            <w:tcBorders>
              <w:top w:val="single" w:color="auto" w:sz="6" w:space="0"/>
              <w:left w:val="single" w:color="auto" w:sz="6" w:space="0"/>
              <w:bottom w:val="single" w:color="auto" w:sz="6" w:space="0"/>
              <w:right w:val="single" w:color="auto" w:sz="6" w:space="0"/>
            </w:tcBorders>
            <w:vAlign w:val="center"/>
          </w:tcPr>
          <w:p>
            <w:pPr>
              <w:adjustRightInd w:val="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128.54</w:t>
            </w:r>
          </w:p>
        </w:tc>
        <w:tc>
          <w:tcPr>
            <w:tcW w:w="1089" w:type="dxa"/>
            <w:tcBorders>
              <w:top w:val="single" w:color="auto" w:sz="6" w:space="0"/>
              <w:left w:val="single" w:color="auto" w:sz="6" w:space="0"/>
              <w:bottom w:val="single" w:color="auto" w:sz="6" w:space="0"/>
              <w:right w:val="single" w:color="auto" w:sz="6" w:space="0"/>
            </w:tcBorders>
            <w:vAlign w:val="bottom"/>
          </w:tcPr>
          <w:p>
            <w:pPr>
              <w:adjustRightInd w:val="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 xml:space="preserve">84.64 </w:t>
            </w:r>
          </w:p>
        </w:tc>
        <w:tc>
          <w:tcPr>
            <w:tcW w:w="1193" w:type="dxa"/>
            <w:tcBorders>
              <w:top w:val="single" w:color="auto" w:sz="6" w:space="0"/>
              <w:left w:val="single" w:color="auto" w:sz="6" w:space="0"/>
              <w:bottom w:val="single" w:color="auto" w:sz="6" w:space="0"/>
              <w:right w:val="single" w:color="auto" w:sz="6" w:space="0"/>
            </w:tcBorders>
            <w:vAlign w:val="bottom"/>
          </w:tcPr>
          <w:p>
            <w:pPr>
              <w:adjustRightInd w:val="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 xml:space="preserve">666.30 </w:t>
            </w:r>
          </w:p>
        </w:tc>
        <w:tc>
          <w:tcPr>
            <w:tcW w:w="1080" w:type="dxa"/>
            <w:tcBorders>
              <w:top w:val="single" w:color="auto" w:sz="6" w:space="0"/>
              <w:left w:val="single" w:color="auto" w:sz="6" w:space="0"/>
              <w:bottom w:val="single" w:color="auto" w:sz="6" w:space="0"/>
              <w:right w:val="single" w:color="auto" w:sz="6" w:space="0"/>
            </w:tcBorders>
            <w:vAlign w:val="center"/>
          </w:tcPr>
          <w:p>
            <w:pPr>
              <w:adjustRightInd w:val="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177.02</w:t>
            </w:r>
          </w:p>
        </w:tc>
        <w:tc>
          <w:tcPr>
            <w:tcW w:w="1080" w:type="dxa"/>
            <w:tcBorders>
              <w:top w:val="single" w:color="auto" w:sz="6" w:space="0"/>
              <w:left w:val="single" w:color="auto" w:sz="6" w:space="0"/>
              <w:bottom w:val="single" w:color="auto" w:sz="6" w:space="0"/>
              <w:right w:val="single" w:color="auto" w:sz="6" w:space="0"/>
            </w:tcBorders>
            <w:vAlign w:val="bottom"/>
          </w:tcPr>
          <w:p>
            <w:pPr>
              <w:adjustRightInd w:val="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 xml:space="preserve">349.91 </w:t>
            </w:r>
          </w:p>
        </w:tc>
        <w:tc>
          <w:tcPr>
            <w:tcW w:w="1171" w:type="dxa"/>
            <w:tcBorders>
              <w:top w:val="single" w:color="auto" w:sz="6" w:space="0"/>
              <w:left w:val="single" w:color="auto" w:sz="6" w:space="0"/>
              <w:bottom w:val="single" w:color="auto" w:sz="6" w:space="0"/>
              <w:right w:val="single" w:color="auto" w:sz="6" w:space="0"/>
            </w:tcBorders>
            <w:vAlign w:val="bottom"/>
          </w:tcPr>
          <w:p>
            <w:pPr>
              <w:adjustRightInd w:val="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 xml:space="preserve">650.97 </w:t>
            </w:r>
          </w:p>
        </w:tc>
        <w:tc>
          <w:tcPr>
            <w:tcW w:w="1012" w:type="dxa"/>
            <w:tcBorders>
              <w:top w:val="single" w:color="auto" w:sz="6" w:space="0"/>
              <w:left w:val="single" w:color="auto" w:sz="6" w:space="0"/>
              <w:bottom w:val="single" w:color="auto" w:sz="6" w:space="0"/>
              <w:right w:val="single" w:color="auto" w:sz="6" w:space="0"/>
            </w:tcBorders>
          </w:tcPr>
          <w:p>
            <w:pPr>
              <w:adjustRightInd w:val="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155.83</w:t>
            </w:r>
          </w:p>
        </w:tc>
        <w:tc>
          <w:tcPr>
            <w:tcW w:w="1035" w:type="dxa"/>
            <w:tcBorders>
              <w:top w:val="single" w:color="auto" w:sz="6" w:space="0"/>
              <w:left w:val="single" w:color="auto" w:sz="6" w:space="0"/>
              <w:bottom w:val="single" w:color="auto" w:sz="6" w:space="0"/>
              <w:right w:val="single" w:color="auto" w:sz="12" w:space="0"/>
            </w:tcBorders>
            <w:vAlign w:val="bottom"/>
          </w:tcPr>
          <w:p>
            <w:pPr>
              <w:adjustRightInd w:val="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 xml:space="preserve">151.21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27" w:hRule="exact"/>
          <w:jc w:val="center"/>
        </w:trPr>
        <w:tc>
          <w:tcPr>
            <w:tcW w:w="491" w:type="dxa"/>
            <w:vMerge w:val="continue"/>
            <w:tcBorders>
              <w:top w:val="single" w:color="auto" w:sz="6" w:space="0"/>
              <w:left w:val="single" w:color="auto" w:sz="12" w:space="0"/>
              <w:bottom w:val="single" w:color="auto" w:sz="6" w:space="0"/>
              <w:right w:val="single" w:color="auto" w:sz="6" w:space="0"/>
            </w:tcBorders>
            <w:vAlign w:val="center"/>
          </w:tcPr>
          <w:p>
            <w:pPr>
              <w:widowControl/>
              <w:adjustRightInd w:val="0"/>
              <w:jc w:val="center"/>
              <w:rPr>
                <w:color w:val="000000" w:themeColor="text1"/>
                <w:sz w:val="21"/>
                <w:szCs w:val="21"/>
                <w14:textFill>
                  <w14:solidFill>
                    <w14:schemeClr w14:val="tx1"/>
                  </w14:solidFill>
                </w14:textFill>
              </w:rPr>
            </w:pPr>
          </w:p>
        </w:tc>
        <w:tc>
          <w:tcPr>
            <w:tcW w:w="578" w:type="dxa"/>
            <w:tcBorders>
              <w:top w:val="single" w:color="auto" w:sz="6" w:space="0"/>
              <w:left w:val="single" w:color="auto" w:sz="6" w:space="0"/>
              <w:bottom w:val="single" w:color="auto" w:sz="6" w:space="0"/>
              <w:right w:val="single" w:color="auto" w:sz="6" w:space="0"/>
            </w:tcBorders>
            <w:vAlign w:val="bottom"/>
          </w:tcPr>
          <w:p>
            <w:pPr>
              <w:adjustRightInd w:val="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33</w:t>
            </w:r>
          </w:p>
        </w:tc>
        <w:tc>
          <w:tcPr>
            <w:tcW w:w="1267" w:type="dxa"/>
            <w:tcBorders>
              <w:top w:val="single" w:color="auto" w:sz="6" w:space="0"/>
              <w:left w:val="single" w:color="auto" w:sz="6" w:space="0"/>
              <w:bottom w:val="single" w:color="auto" w:sz="6" w:space="0"/>
              <w:right w:val="single" w:color="auto" w:sz="6" w:space="0"/>
            </w:tcBorders>
          </w:tcPr>
          <w:p>
            <w:pPr>
              <w:jc w:val="center"/>
              <w:rPr>
                <w:color w:val="000000" w:themeColor="text1"/>
                <w14:textFill>
                  <w14:solidFill>
                    <w14:schemeClr w14:val="tx1"/>
                  </w14:solidFill>
                </w14:textFill>
              </w:rPr>
            </w:pPr>
            <w:r>
              <w:rPr>
                <w:color w:val="000000" w:themeColor="text1"/>
                <w:sz w:val="21"/>
                <w:szCs w:val="21"/>
                <w14:textFill>
                  <w14:solidFill>
                    <w14:schemeClr w14:val="tx1"/>
                  </w14:solidFill>
                </w14:textFill>
              </w:rPr>
              <w:t>——</w:t>
            </w:r>
          </w:p>
        </w:tc>
        <w:tc>
          <w:tcPr>
            <w:tcW w:w="952" w:type="dxa"/>
            <w:tcBorders>
              <w:top w:val="single" w:color="auto" w:sz="6" w:space="0"/>
              <w:left w:val="single" w:color="auto" w:sz="6" w:space="0"/>
              <w:bottom w:val="single" w:color="auto" w:sz="6" w:space="0"/>
              <w:right w:val="single" w:color="auto" w:sz="6" w:space="0"/>
            </w:tcBorders>
          </w:tcPr>
          <w:p>
            <w:pPr>
              <w:jc w:val="center"/>
              <w:rPr>
                <w:color w:val="000000" w:themeColor="text1"/>
                <w14:textFill>
                  <w14:solidFill>
                    <w14:schemeClr w14:val="tx1"/>
                  </w14:solidFill>
                </w14:textFill>
              </w:rPr>
            </w:pPr>
            <w:r>
              <w:rPr>
                <w:color w:val="000000" w:themeColor="text1"/>
                <w:sz w:val="21"/>
                <w:szCs w:val="21"/>
                <w14:textFill>
                  <w14:solidFill>
                    <w14:schemeClr w14:val="tx1"/>
                  </w14:solidFill>
                </w14:textFill>
              </w:rPr>
              <w:t>——</w:t>
            </w:r>
          </w:p>
        </w:tc>
        <w:tc>
          <w:tcPr>
            <w:tcW w:w="1049" w:type="dxa"/>
            <w:tcBorders>
              <w:top w:val="single" w:color="auto" w:sz="6" w:space="0"/>
              <w:left w:val="single" w:color="auto" w:sz="6" w:space="0"/>
              <w:bottom w:val="single" w:color="auto" w:sz="6" w:space="0"/>
              <w:right w:val="single" w:color="auto" w:sz="6" w:space="0"/>
            </w:tcBorders>
          </w:tcPr>
          <w:p>
            <w:pPr>
              <w:jc w:val="center"/>
              <w:rPr>
                <w:color w:val="000000" w:themeColor="text1"/>
                <w14:textFill>
                  <w14:solidFill>
                    <w14:schemeClr w14:val="tx1"/>
                  </w14:solidFill>
                </w14:textFill>
              </w:rPr>
            </w:pPr>
            <w:r>
              <w:rPr>
                <w:color w:val="000000" w:themeColor="text1"/>
                <w:sz w:val="21"/>
                <w:szCs w:val="21"/>
                <w14:textFill>
                  <w14:solidFill>
                    <w14:schemeClr w14:val="tx1"/>
                  </w14:solidFill>
                </w14:textFill>
              </w:rPr>
              <w:t>——</w:t>
            </w:r>
          </w:p>
        </w:tc>
        <w:tc>
          <w:tcPr>
            <w:tcW w:w="1242" w:type="dxa"/>
            <w:tcBorders>
              <w:top w:val="single" w:color="auto" w:sz="6" w:space="0"/>
              <w:left w:val="single" w:color="auto" w:sz="6" w:space="0"/>
              <w:bottom w:val="single" w:color="auto" w:sz="6" w:space="0"/>
              <w:right w:val="single" w:color="auto" w:sz="6" w:space="0"/>
            </w:tcBorders>
            <w:vAlign w:val="bottom"/>
          </w:tcPr>
          <w:p>
            <w:pPr>
              <w:adjustRightInd w:val="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 xml:space="preserve">754.56 </w:t>
            </w:r>
          </w:p>
        </w:tc>
        <w:tc>
          <w:tcPr>
            <w:tcW w:w="935" w:type="dxa"/>
            <w:tcBorders>
              <w:top w:val="single" w:color="auto" w:sz="6" w:space="0"/>
              <w:left w:val="single" w:color="auto" w:sz="6" w:space="0"/>
              <w:bottom w:val="single" w:color="auto" w:sz="6" w:space="0"/>
              <w:right w:val="single" w:color="auto" w:sz="6" w:space="0"/>
            </w:tcBorders>
            <w:vAlign w:val="center"/>
          </w:tcPr>
          <w:p>
            <w:pPr>
              <w:adjustRightInd w:val="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146.94</w:t>
            </w:r>
          </w:p>
        </w:tc>
        <w:tc>
          <w:tcPr>
            <w:tcW w:w="1089" w:type="dxa"/>
            <w:tcBorders>
              <w:top w:val="single" w:color="auto" w:sz="6" w:space="0"/>
              <w:left w:val="single" w:color="auto" w:sz="6" w:space="0"/>
              <w:bottom w:val="single" w:color="auto" w:sz="6" w:space="0"/>
              <w:right w:val="single" w:color="auto" w:sz="6" w:space="0"/>
            </w:tcBorders>
            <w:vAlign w:val="bottom"/>
          </w:tcPr>
          <w:p>
            <w:pPr>
              <w:adjustRightInd w:val="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 xml:space="preserve">82.85 </w:t>
            </w:r>
          </w:p>
        </w:tc>
        <w:tc>
          <w:tcPr>
            <w:tcW w:w="1193" w:type="dxa"/>
            <w:tcBorders>
              <w:top w:val="single" w:color="auto" w:sz="6" w:space="0"/>
              <w:left w:val="single" w:color="auto" w:sz="6" w:space="0"/>
              <w:bottom w:val="single" w:color="auto" w:sz="6" w:space="0"/>
              <w:right w:val="single" w:color="auto" w:sz="6" w:space="0"/>
            </w:tcBorders>
          </w:tcPr>
          <w:p>
            <w:pPr>
              <w:jc w:val="center"/>
              <w:rPr>
                <w:color w:val="000000" w:themeColor="text1"/>
                <w14:textFill>
                  <w14:solidFill>
                    <w14:schemeClr w14:val="tx1"/>
                  </w14:solidFill>
                </w14:textFill>
              </w:rPr>
            </w:pPr>
            <w:r>
              <w:rPr>
                <w:color w:val="000000" w:themeColor="text1"/>
                <w:sz w:val="21"/>
                <w:szCs w:val="21"/>
                <w14:textFill>
                  <w14:solidFill>
                    <w14:schemeClr w14:val="tx1"/>
                  </w14:solidFill>
                </w14:textFill>
              </w:rPr>
              <w:t>——</w:t>
            </w:r>
          </w:p>
        </w:tc>
        <w:tc>
          <w:tcPr>
            <w:tcW w:w="1080" w:type="dxa"/>
            <w:tcBorders>
              <w:top w:val="single" w:color="auto" w:sz="6" w:space="0"/>
              <w:left w:val="single" w:color="auto" w:sz="6" w:space="0"/>
              <w:bottom w:val="single" w:color="auto" w:sz="6" w:space="0"/>
              <w:right w:val="single" w:color="auto" w:sz="6" w:space="0"/>
            </w:tcBorders>
          </w:tcPr>
          <w:p>
            <w:pPr>
              <w:jc w:val="center"/>
              <w:rPr>
                <w:color w:val="000000" w:themeColor="text1"/>
                <w14:textFill>
                  <w14:solidFill>
                    <w14:schemeClr w14:val="tx1"/>
                  </w14:solidFill>
                </w14:textFill>
              </w:rPr>
            </w:pPr>
            <w:r>
              <w:rPr>
                <w:color w:val="000000" w:themeColor="text1"/>
                <w:sz w:val="21"/>
                <w:szCs w:val="21"/>
                <w14:textFill>
                  <w14:solidFill>
                    <w14:schemeClr w14:val="tx1"/>
                  </w14:solidFill>
                </w14:textFill>
              </w:rPr>
              <w:t>——</w:t>
            </w:r>
          </w:p>
        </w:tc>
        <w:tc>
          <w:tcPr>
            <w:tcW w:w="1080" w:type="dxa"/>
            <w:tcBorders>
              <w:top w:val="single" w:color="auto" w:sz="6" w:space="0"/>
              <w:left w:val="single" w:color="auto" w:sz="6" w:space="0"/>
              <w:bottom w:val="single" w:color="auto" w:sz="6" w:space="0"/>
              <w:right w:val="single" w:color="auto" w:sz="6" w:space="0"/>
            </w:tcBorders>
          </w:tcPr>
          <w:p>
            <w:pPr>
              <w:jc w:val="center"/>
              <w:rPr>
                <w:color w:val="000000" w:themeColor="text1"/>
                <w14:textFill>
                  <w14:solidFill>
                    <w14:schemeClr w14:val="tx1"/>
                  </w14:solidFill>
                </w14:textFill>
              </w:rPr>
            </w:pPr>
            <w:r>
              <w:rPr>
                <w:color w:val="000000" w:themeColor="text1"/>
                <w:sz w:val="21"/>
                <w:szCs w:val="21"/>
                <w14:textFill>
                  <w14:solidFill>
                    <w14:schemeClr w14:val="tx1"/>
                  </w14:solidFill>
                </w14:textFill>
              </w:rPr>
              <w:t>——</w:t>
            </w:r>
          </w:p>
        </w:tc>
        <w:tc>
          <w:tcPr>
            <w:tcW w:w="1171" w:type="dxa"/>
            <w:tcBorders>
              <w:top w:val="single" w:color="auto" w:sz="6" w:space="0"/>
              <w:left w:val="single" w:color="auto" w:sz="6" w:space="0"/>
              <w:bottom w:val="single" w:color="auto" w:sz="6" w:space="0"/>
              <w:right w:val="single" w:color="auto" w:sz="6" w:space="0"/>
            </w:tcBorders>
            <w:vAlign w:val="bottom"/>
          </w:tcPr>
          <w:p>
            <w:pPr>
              <w:adjustRightInd w:val="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 xml:space="preserve">640.89 </w:t>
            </w:r>
          </w:p>
        </w:tc>
        <w:tc>
          <w:tcPr>
            <w:tcW w:w="1012" w:type="dxa"/>
            <w:tcBorders>
              <w:top w:val="single" w:color="auto" w:sz="6" w:space="0"/>
              <w:left w:val="single" w:color="auto" w:sz="6" w:space="0"/>
              <w:bottom w:val="single" w:color="auto" w:sz="6" w:space="0"/>
              <w:right w:val="single" w:color="auto" w:sz="6" w:space="0"/>
            </w:tcBorders>
          </w:tcPr>
          <w:p>
            <w:pPr>
              <w:adjustRightInd w:val="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155.83</w:t>
            </w:r>
          </w:p>
        </w:tc>
        <w:tc>
          <w:tcPr>
            <w:tcW w:w="1035" w:type="dxa"/>
            <w:tcBorders>
              <w:top w:val="single" w:color="auto" w:sz="6" w:space="0"/>
              <w:left w:val="single" w:color="auto" w:sz="6" w:space="0"/>
              <w:bottom w:val="single" w:color="auto" w:sz="6" w:space="0"/>
              <w:right w:val="single" w:color="auto" w:sz="12" w:space="0"/>
            </w:tcBorders>
            <w:vAlign w:val="bottom"/>
          </w:tcPr>
          <w:p>
            <w:pPr>
              <w:adjustRightInd w:val="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 xml:space="preserve">154.82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27" w:hRule="exact"/>
          <w:jc w:val="center"/>
        </w:trPr>
        <w:tc>
          <w:tcPr>
            <w:tcW w:w="491" w:type="dxa"/>
            <w:vMerge w:val="continue"/>
            <w:tcBorders>
              <w:top w:val="single" w:color="auto" w:sz="6" w:space="0"/>
              <w:left w:val="single" w:color="auto" w:sz="12" w:space="0"/>
              <w:bottom w:val="single" w:color="auto" w:sz="6" w:space="0"/>
              <w:right w:val="single" w:color="auto" w:sz="6" w:space="0"/>
            </w:tcBorders>
            <w:vAlign w:val="center"/>
          </w:tcPr>
          <w:p>
            <w:pPr>
              <w:widowControl/>
              <w:adjustRightInd w:val="0"/>
              <w:jc w:val="center"/>
              <w:rPr>
                <w:color w:val="000000" w:themeColor="text1"/>
                <w:sz w:val="21"/>
                <w:szCs w:val="21"/>
                <w14:textFill>
                  <w14:solidFill>
                    <w14:schemeClr w14:val="tx1"/>
                  </w14:solidFill>
                </w14:textFill>
              </w:rPr>
            </w:pPr>
          </w:p>
        </w:tc>
        <w:tc>
          <w:tcPr>
            <w:tcW w:w="578" w:type="dxa"/>
            <w:tcBorders>
              <w:top w:val="single" w:color="auto" w:sz="6" w:space="0"/>
              <w:left w:val="single" w:color="auto" w:sz="6" w:space="0"/>
              <w:bottom w:val="single" w:color="auto" w:sz="6" w:space="0"/>
              <w:right w:val="single" w:color="auto" w:sz="6" w:space="0"/>
            </w:tcBorders>
            <w:vAlign w:val="bottom"/>
          </w:tcPr>
          <w:p>
            <w:pPr>
              <w:adjustRightInd w:val="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36</w:t>
            </w:r>
          </w:p>
        </w:tc>
        <w:tc>
          <w:tcPr>
            <w:tcW w:w="1267" w:type="dxa"/>
            <w:tcBorders>
              <w:top w:val="single" w:color="auto" w:sz="6" w:space="0"/>
              <w:left w:val="single" w:color="auto" w:sz="6" w:space="0"/>
              <w:bottom w:val="single" w:color="auto" w:sz="6" w:space="0"/>
              <w:right w:val="single" w:color="auto" w:sz="6" w:space="0"/>
            </w:tcBorders>
          </w:tcPr>
          <w:p>
            <w:pPr>
              <w:jc w:val="center"/>
              <w:rPr>
                <w:color w:val="000000" w:themeColor="text1"/>
                <w14:textFill>
                  <w14:solidFill>
                    <w14:schemeClr w14:val="tx1"/>
                  </w14:solidFill>
                </w14:textFill>
              </w:rPr>
            </w:pPr>
            <w:r>
              <w:rPr>
                <w:color w:val="000000" w:themeColor="text1"/>
                <w:sz w:val="21"/>
                <w:szCs w:val="21"/>
                <w14:textFill>
                  <w14:solidFill>
                    <w14:schemeClr w14:val="tx1"/>
                  </w14:solidFill>
                </w14:textFill>
              </w:rPr>
              <w:t>——</w:t>
            </w:r>
          </w:p>
        </w:tc>
        <w:tc>
          <w:tcPr>
            <w:tcW w:w="952" w:type="dxa"/>
            <w:tcBorders>
              <w:top w:val="single" w:color="auto" w:sz="6" w:space="0"/>
              <w:left w:val="single" w:color="auto" w:sz="6" w:space="0"/>
              <w:bottom w:val="single" w:color="auto" w:sz="6" w:space="0"/>
              <w:right w:val="single" w:color="auto" w:sz="6" w:space="0"/>
            </w:tcBorders>
          </w:tcPr>
          <w:p>
            <w:pPr>
              <w:jc w:val="center"/>
              <w:rPr>
                <w:color w:val="000000" w:themeColor="text1"/>
                <w14:textFill>
                  <w14:solidFill>
                    <w14:schemeClr w14:val="tx1"/>
                  </w14:solidFill>
                </w14:textFill>
              </w:rPr>
            </w:pPr>
            <w:r>
              <w:rPr>
                <w:color w:val="000000" w:themeColor="text1"/>
                <w:sz w:val="21"/>
                <w:szCs w:val="21"/>
                <w14:textFill>
                  <w14:solidFill>
                    <w14:schemeClr w14:val="tx1"/>
                  </w14:solidFill>
                </w14:textFill>
              </w:rPr>
              <w:t>——</w:t>
            </w:r>
          </w:p>
        </w:tc>
        <w:tc>
          <w:tcPr>
            <w:tcW w:w="1049" w:type="dxa"/>
            <w:tcBorders>
              <w:top w:val="single" w:color="auto" w:sz="6" w:space="0"/>
              <w:left w:val="single" w:color="auto" w:sz="6" w:space="0"/>
              <w:bottom w:val="single" w:color="auto" w:sz="6" w:space="0"/>
              <w:right w:val="single" w:color="auto" w:sz="6" w:space="0"/>
            </w:tcBorders>
          </w:tcPr>
          <w:p>
            <w:pPr>
              <w:jc w:val="center"/>
              <w:rPr>
                <w:color w:val="000000" w:themeColor="text1"/>
                <w14:textFill>
                  <w14:solidFill>
                    <w14:schemeClr w14:val="tx1"/>
                  </w14:solidFill>
                </w14:textFill>
              </w:rPr>
            </w:pPr>
            <w:r>
              <w:rPr>
                <w:color w:val="000000" w:themeColor="text1"/>
                <w:sz w:val="21"/>
                <w:szCs w:val="21"/>
                <w14:textFill>
                  <w14:solidFill>
                    <w14:schemeClr w14:val="tx1"/>
                  </w14:solidFill>
                </w14:textFill>
              </w:rPr>
              <w:t>——</w:t>
            </w:r>
          </w:p>
        </w:tc>
        <w:tc>
          <w:tcPr>
            <w:tcW w:w="1242" w:type="dxa"/>
            <w:tcBorders>
              <w:top w:val="single" w:color="auto" w:sz="6" w:space="0"/>
              <w:left w:val="single" w:color="auto" w:sz="6" w:space="0"/>
              <w:bottom w:val="single" w:color="auto" w:sz="6" w:space="0"/>
              <w:right w:val="single" w:color="auto" w:sz="6" w:space="0"/>
            </w:tcBorders>
            <w:vAlign w:val="bottom"/>
          </w:tcPr>
          <w:p>
            <w:pPr>
              <w:adjustRightInd w:val="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 xml:space="preserve">736.42 </w:t>
            </w:r>
          </w:p>
        </w:tc>
        <w:tc>
          <w:tcPr>
            <w:tcW w:w="935" w:type="dxa"/>
            <w:tcBorders>
              <w:top w:val="single" w:color="auto" w:sz="6" w:space="0"/>
              <w:left w:val="single" w:color="auto" w:sz="6" w:space="0"/>
              <w:bottom w:val="single" w:color="auto" w:sz="6" w:space="0"/>
              <w:right w:val="single" w:color="auto" w:sz="6" w:space="0"/>
            </w:tcBorders>
            <w:vAlign w:val="center"/>
          </w:tcPr>
          <w:p>
            <w:pPr>
              <w:adjustRightInd w:val="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150.12</w:t>
            </w:r>
          </w:p>
        </w:tc>
        <w:tc>
          <w:tcPr>
            <w:tcW w:w="1089" w:type="dxa"/>
            <w:tcBorders>
              <w:top w:val="single" w:color="auto" w:sz="6" w:space="0"/>
              <w:left w:val="single" w:color="auto" w:sz="6" w:space="0"/>
              <w:bottom w:val="single" w:color="auto" w:sz="6" w:space="0"/>
              <w:right w:val="single" w:color="auto" w:sz="6" w:space="0"/>
            </w:tcBorders>
            <w:vAlign w:val="bottom"/>
          </w:tcPr>
          <w:p>
            <w:pPr>
              <w:adjustRightInd w:val="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 xml:space="preserve">75.70 </w:t>
            </w:r>
          </w:p>
        </w:tc>
        <w:tc>
          <w:tcPr>
            <w:tcW w:w="1193" w:type="dxa"/>
            <w:tcBorders>
              <w:top w:val="single" w:color="auto" w:sz="6" w:space="0"/>
              <w:left w:val="single" w:color="auto" w:sz="6" w:space="0"/>
              <w:bottom w:val="single" w:color="auto" w:sz="6" w:space="0"/>
              <w:right w:val="single" w:color="auto" w:sz="6" w:space="0"/>
            </w:tcBorders>
          </w:tcPr>
          <w:p>
            <w:pPr>
              <w:jc w:val="center"/>
              <w:rPr>
                <w:color w:val="000000" w:themeColor="text1"/>
                <w14:textFill>
                  <w14:solidFill>
                    <w14:schemeClr w14:val="tx1"/>
                  </w14:solidFill>
                </w14:textFill>
              </w:rPr>
            </w:pPr>
            <w:r>
              <w:rPr>
                <w:color w:val="000000" w:themeColor="text1"/>
                <w:sz w:val="21"/>
                <w:szCs w:val="21"/>
                <w14:textFill>
                  <w14:solidFill>
                    <w14:schemeClr w14:val="tx1"/>
                  </w14:solidFill>
                </w14:textFill>
              </w:rPr>
              <w:t>——</w:t>
            </w:r>
          </w:p>
        </w:tc>
        <w:tc>
          <w:tcPr>
            <w:tcW w:w="1080" w:type="dxa"/>
            <w:tcBorders>
              <w:top w:val="single" w:color="auto" w:sz="6" w:space="0"/>
              <w:left w:val="single" w:color="auto" w:sz="6" w:space="0"/>
              <w:bottom w:val="single" w:color="auto" w:sz="6" w:space="0"/>
              <w:right w:val="single" w:color="auto" w:sz="6" w:space="0"/>
            </w:tcBorders>
          </w:tcPr>
          <w:p>
            <w:pPr>
              <w:jc w:val="center"/>
              <w:rPr>
                <w:color w:val="000000" w:themeColor="text1"/>
                <w14:textFill>
                  <w14:solidFill>
                    <w14:schemeClr w14:val="tx1"/>
                  </w14:solidFill>
                </w14:textFill>
              </w:rPr>
            </w:pPr>
            <w:r>
              <w:rPr>
                <w:color w:val="000000" w:themeColor="text1"/>
                <w:sz w:val="21"/>
                <w:szCs w:val="21"/>
                <w14:textFill>
                  <w14:solidFill>
                    <w14:schemeClr w14:val="tx1"/>
                  </w14:solidFill>
                </w14:textFill>
              </w:rPr>
              <w:t>——</w:t>
            </w:r>
          </w:p>
        </w:tc>
        <w:tc>
          <w:tcPr>
            <w:tcW w:w="1080" w:type="dxa"/>
            <w:tcBorders>
              <w:top w:val="single" w:color="auto" w:sz="6" w:space="0"/>
              <w:left w:val="single" w:color="auto" w:sz="6" w:space="0"/>
              <w:bottom w:val="single" w:color="auto" w:sz="6" w:space="0"/>
              <w:right w:val="single" w:color="auto" w:sz="6" w:space="0"/>
            </w:tcBorders>
          </w:tcPr>
          <w:p>
            <w:pPr>
              <w:jc w:val="center"/>
              <w:rPr>
                <w:color w:val="000000" w:themeColor="text1"/>
                <w14:textFill>
                  <w14:solidFill>
                    <w14:schemeClr w14:val="tx1"/>
                  </w14:solidFill>
                </w14:textFill>
              </w:rPr>
            </w:pPr>
            <w:r>
              <w:rPr>
                <w:color w:val="000000" w:themeColor="text1"/>
                <w:sz w:val="21"/>
                <w:szCs w:val="21"/>
                <w14:textFill>
                  <w14:solidFill>
                    <w14:schemeClr w14:val="tx1"/>
                  </w14:solidFill>
                </w14:textFill>
              </w:rPr>
              <w:t>——</w:t>
            </w:r>
          </w:p>
        </w:tc>
        <w:tc>
          <w:tcPr>
            <w:tcW w:w="1171" w:type="dxa"/>
            <w:tcBorders>
              <w:top w:val="single" w:color="auto" w:sz="6" w:space="0"/>
              <w:left w:val="single" w:color="auto" w:sz="6" w:space="0"/>
              <w:bottom w:val="single" w:color="auto" w:sz="6" w:space="0"/>
              <w:right w:val="single" w:color="auto" w:sz="6" w:space="0"/>
            </w:tcBorders>
            <w:vAlign w:val="bottom"/>
          </w:tcPr>
          <w:p>
            <w:pPr>
              <w:adjustRightInd w:val="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 xml:space="preserve">631.21 </w:t>
            </w:r>
          </w:p>
        </w:tc>
        <w:tc>
          <w:tcPr>
            <w:tcW w:w="1012" w:type="dxa"/>
            <w:tcBorders>
              <w:top w:val="single" w:color="auto" w:sz="6" w:space="0"/>
              <w:left w:val="single" w:color="auto" w:sz="6" w:space="0"/>
              <w:bottom w:val="single" w:color="auto" w:sz="6" w:space="0"/>
              <w:right w:val="single" w:color="auto" w:sz="6" w:space="0"/>
            </w:tcBorders>
          </w:tcPr>
          <w:p>
            <w:pPr>
              <w:adjustRightInd w:val="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155.85</w:t>
            </w:r>
          </w:p>
        </w:tc>
        <w:tc>
          <w:tcPr>
            <w:tcW w:w="1035" w:type="dxa"/>
            <w:tcBorders>
              <w:top w:val="single" w:color="auto" w:sz="6" w:space="0"/>
              <w:left w:val="single" w:color="auto" w:sz="6" w:space="0"/>
              <w:bottom w:val="single" w:color="auto" w:sz="6" w:space="0"/>
              <w:right w:val="single" w:color="auto" w:sz="12" w:space="0"/>
            </w:tcBorders>
            <w:vAlign w:val="bottom"/>
          </w:tcPr>
          <w:p>
            <w:pPr>
              <w:adjustRightInd w:val="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 xml:space="preserve">145.22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27" w:hRule="exact"/>
          <w:jc w:val="center"/>
        </w:trPr>
        <w:tc>
          <w:tcPr>
            <w:tcW w:w="491" w:type="dxa"/>
            <w:vMerge w:val="continue"/>
            <w:tcBorders>
              <w:top w:val="single" w:color="auto" w:sz="6" w:space="0"/>
              <w:left w:val="single" w:color="auto" w:sz="12" w:space="0"/>
              <w:bottom w:val="single" w:color="auto" w:sz="6" w:space="0"/>
              <w:right w:val="single" w:color="auto" w:sz="6" w:space="0"/>
            </w:tcBorders>
            <w:vAlign w:val="center"/>
          </w:tcPr>
          <w:p>
            <w:pPr>
              <w:widowControl/>
              <w:adjustRightInd w:val="0"/>
              <w:jc w:val="center"/>
              <w:rPr>
                <w:color w:val="000000" w:themeColor="text1"/>
                <w:sz w:val="21"/>
                <w:szCs w:val="21"/>
                <w14:textFill>
                  <w14:solidFill>
                    <w14:schemeClr w14:val="tx1"/>
                  </w14:solidFill>
                </w14:textFill>
              </w:rPr>
            </w:pPr>
          </w:p>
        </w:tc>
        <w:tc>
          <w:tcPr>
            <w:tcW w:w="578" w:type="dxa"/>
            <w:tcBorders>
              <w:top w:val="single" w:color="auto" w:sz="6" w:space="0"/>
              <w:left w:val="single" w:color="auto" w:sz="6" w:space="0"/>
              <w:bottom w:val="single" w:color="auto" w:sz="6" w:space="0"/>
              <w:right w:val="single" w:color="auto" w:sz="6" w:space="0"/>
            </w:tcBorders>
            <w:vAlign w:val="bottom"/>
          </w:tcPr>
          <w:p>
            <w:pPr>
              <w:adjustRightInd w:val="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39</w:t>
            </w:r>
          </w:p>
        </w:tc>
        <w:tc>
          <w:tcPr>
            <w:tcW w:w="1267" w:type="dxa"/>
            <w:tcBorders>
              <w:top w:val="single" w:color="auto" w:sz="6" w:space="0"/>
              <w:left w:val="single" w:color="auto" w:sz="6" w:space="0"/>
              <w:bottom w:val="single" w:color="auto" w:sz="6" w:space="0"/>
              <w:right w:val="single" w:color="auto" w:sz="6" w:space="0"/>
            </w:tcBorders>
          </w:tcPr>
          <w:p>
            <w:pPr>
              <w:jc w:val="center"/>
              <w:rPr>
                <w:color w:val="000000" w:themeColor="text1"/>
                <w14:textFill>
                  <w14:solidFill>
                    <w14:schemeClr w14:val="tx1"/>
                  </w14:solidFill>
                </w14:textFill>
              </w:rPr>
            </w:pPr>
            <w:r>
              <w:rPr>
                <w:color w:val="000000" w:themeColor="text1"/>
                <w:sz w:val="21"/>
                <w:szCs w:val="21"/>
                <w14:textFill>
                  <w14:solidFill>
                    <w14:schemeClr w14:val="tx1"/>
                  </w14:solidFill>
                </w14:textFill>
              </w:rPr>
              <w:t>——</w:t>
            </w:r>
          </w:p>
        </w:tc>
        <w:tc>
          <w:tcPr>
            <w:tcW w:w="952" w:type="dxa"/>
            <w:tcBorders>
              <w:top w:val="single" w:color="auto" w:sz="6" w:space="0"/>
              <w:left w:val="single" w:color="auto" w:sz="6" w:space="0"/>
              <w:bottom w:val="single" w:color="auto" w:sz="6" w:space="0"/>
              <w:right w:val="single" w:color="auto" w:sz="6" w:space="0"/>
            </w:tcBorders>
          </w:tcPr>
          <w:p>
            <w:pPr>
              <w:jc w:val="center"/>
              <w:rPr>
                <w:color w:val="000000" w:themeColor="text1"/>
                <w14:textFill>
                  <w14:solidFill>
                    <w14:schemeClr w14:val="tx1"/>
                  </w14:solidFill>
                </w14:textFill>
              </w:rPr>
            </w:pPr>
            <w:r>
              <w:rPr>
                <w:color w:val="000000" w:themeColor="text1"/>
                <w:sz w:val="21"/>
                <w:szCs w:val="21"/>
                <w14:textFill>
                  <w14:solidFill>
                    <w14:schemeClr w14:val="tx1"/>
                  </w14:solidFill>
                </w14:textFill>
              </w:rPr>
              <w:t>——</w:t>
            </w:r>
          </w:p>
        </w:tc>
        <w:tc>
          <w:tcPr>
            <w:tcW w:w="1049" w:type="dxa"/>
            <w:tcBorders>
              <w:top w:val="single" w:color="auto" w:sz="6" w:space="0"/>
              <w:left w:val="single" w:color="auto" w:sz="6" w:space="0"/>
              <w:bottom w:val="single" w:color="auto" w:sz="6" w:space="0"/>
              <w:right w:val="single" w:color="auto" w:sz="6" w:space="0"/>
            </w:tcBorders>
          </w:tcPr>
          <w:p>
            <w:pPr>
              <w:jc w:val="center"/>
              <w:rPr>
                <w:color w:val="000000" w:themeColor="text1"/>
                <w14:textFill>
                  <w14:solidFill>
                    <w14:schemeClr w14:val="tx1"/>
                  </w14:solidFill>
                </w14:textFill>
              </w:rPr>
            </w:pPr>
            <w:r>
              <w:rPr>
                <w:color w:val="000000" w:themeColor="text1"/>
                <w:sz w:val="21"/>
                <w:szCs w:val="21"/>
                <w14:textFill>
                  <w14:solidFill>
                    <w14:schemeClr w14:val="tx1"/>
                  </w14:solidFill>
                </w14:textFill>
              </w:rPr>
              <w:t>——</w:t>
            </w:r>
          </w:p>
        </w:tc>
        <w:tc>
          <w:tcPr>
            <w:tcW w:w="1242" w:type="dxa"/>
            <w:tcBorders>
              <w:top w:val="single" w:color="auto" w:sz="6" w:space="0"/>
              <w:left w:val="single" w:color="auto" w:sz="6" w:space="0"/>
              <w:bottom w:val="single" w:color="auto" w:sz="6" w:space="0"/>
              <w:right w:val="single" w:color="auto" w:sz="6" w:space="0"/>
            </w:tcBorders>
            <w:vAlign w:val="bottom"/>
          </w:tcPr>
          <w:p>
            <w:pPr>
              <w:adjustRightInd w:val="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 xml:space="preserve">719.15 </w:t>
            </w:r>
          </w:p>
        </w:tc>
        <w:tc>
          <w:tcPr>
            <w:tcW w:w="935" w:type="dxa"/>
            <w:tcBorders>
              <w:top w:val="single" w:color="auto" w:sz="6" w:space="0"/>
              <w:left w:val="single" w:color="auto" w:sz="6" w:space="0"/>
              <w:bottom w:val="single" w:color="auto" w:sz="6" w:space="0"/>
              <w:right w:val="single" w:color="auto" w:sz="6" w:space="0"/>
            </w:tcBorders>
            <w:vAlign w:val="center"/>
          </w:tcPr>
          <w:p>
            <w:pPr>
              <w:adjustRightInd w:val="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151.34</w:t>
            </w:r>
          </w:p>
        </w:tc>
        <w:tc>
          <w:tcPr>
            <w:tcW w:w="1089" w:type="dxa"/>
            <w:tcBorders>
              <w:top w:val="single" w:color="auto" w:sz="6" w:space="0"/>
              <w:left w:val="single" w:color="auto" w:sz="6" w:space="0"/>
              <w:bottom w:val="single" w:color="auto" w:sz="6" w:space="0"/>
              <w:right w:val="single" w:color="auto" w:sz="6" w:space="0"/>
            </w:tcBorders>
            <w:vAlign w:val="bottom"/>
          </w:tcPr>
          <w:p>
            <w:pPr>
              <w:adjustRightInd w:val="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 xml:space="preserve">69.77 </w:t>
            </w:r>
          </w:p>
        </w:tc>
        <w:tc>
          <w:tcPr>
            <w:tcW w:w="1193" w:type="dxa"/>
            <w:tcBorders>
              <w:top w:val="single" w:color="auto" w:sz="6" w:space="0"/>
              <w:left w:val="single" w:color="auto" w:sz="6" w:space="0"/>
              <w:bottom w:val="single" w:color="auto" w:sz="6" w:space="0"/>
              <w:right w:val="single" w:color="auto" w:sz="6" w:space="0"/>
            </w:tcBorders>
          </w:tcPr>
          <w:p>
            <w:pPr>
              <w:jc w:val="center"/>
              <w:rPr>
                <w:color w:val="000000" w:themeColor="text1"/>
                <w14:textFill>
                  <w14:solidFill>
                    <w14:schemeClr w14:val="tx1"/>
                  </w14:solidFill>
                </w14:textFill>
              </w:rPr>
            </w:pPr>
            <w:r>
              <w:rPr>
                <w:color w:val="000000" w:themeColor="text1"/>
                <w:sz w:val="21"/>
                <w:szCs w:val="21"/>
                <w14:textFill>
                  <w14:solidFill>
                    <w14:schemeClr w14:val="tx1"/>
                  </w14:solidFill>
                </w14:textFill>
              </w:rPr>
              <w:t>——</w:t>
            </w:r>
          </w:p>
        </w:tc>
        <w:tc>
          <w:tcPr>
            <w:tcW w:w="1080" w:type="dxa"/>
            <w:tcBorders>
              <w:top w:val="single" w:color="auto" w:sz="6" w:space="0"/>
              <w:left w:val="single" w:color="auto" w:sz="6" w:space="0"/>
              <w:bottom w:val="single" w:color="auto" w:sz="6" w:space="0"/>
              <w:right w:val="single" w:color="auto" w:sz="6" w:space="0"/>
            </w:tcBorders>
          </w:tcPr>
          <w:p>
            <w:pPr>
              <w:jc w:val="center"/>
              <w:rPr>
                <w:color w:val="000000" w:themeColor="text1"/>
                <w14:textFill>
                  <w14:solidFill>
                    <w14:schemeClr w14:val="tx1"/>
                  </w14:solidFill>
                </w14:textFill>
              </w:rPr>
            </w:pPr>
            <w:r>
              <w:rPr>
                <w:color w:val="000000" w:themeColor="text1"/>
                <w:sz w:val="21"/>
                <w:szCs w:val="21"/>
                <w14:textFill>
                  <w14:solidFill>
                    <w14:schemeClr w14:val="tx1"/>
                  </w14:solidFill>
                </w14:textFill>
              </w:rPr>
              <w:t>——</w:t>
            </w:r>
          </w:p>
        </w:tc>
        <w:tc>
          <w:tcPr>
            <w:tcW w:w="1080" w:type="dxa"/>
            <w:tcBorders>
              <w:top w:val="single" w:color="auto" w:sz="6" w:space="0"/>
              <w:left w:val="single" w:color="auto" w:sz="6" w:space="0"/>
              <w:bottom w:val="single" w:color="auto" w:sz="6" w:space="0"/>
              <w:right w:val="single" w:color="auto" w:sz="6" w:space="0"/>
            </w:tcBorders>
          </w:tcPr>
          <w:p>
            <w:pPr>
              <w:jc w:val="center"/>
              <w:rPr>
                <w:color w:val="000000" w:themeColor="text1"/>
                <w14:textFill>
                  <w14:solidFill>
                    <w14:schemeClr w14:val="tx1"/>
                  </w14:solidFill>
                </w14:textFill>
              </w:rPr>
            </w:pPr>
            <w:r>
              <w:rPr>
                <w:color w:val="000000" w:themeColor="text1"/>
                <w:sz w:val="21"/>
                <w:szCs w:val="21"/>
                <w14:textFill>
                  <w14:solidFill>
                    <w14:schemeClr w14:val="tx1"/>
                  </w14:solidFill>
                </w14:textFill>
              </w:rPr>
              <w:t>——</w:t>
            </w:r>
          </w:p>
        </w:tc>
        <w:tc>
          <w:tcPr>
            <w:tcW w:w="1171" w:type="dxa"/>
            <w:tcBorders>
              <w:top w:val="single" w:color="auto" w:sz="6" w:space="0"/>
              <w:left w:val="single" w:color="auto" w:sz="6" w:space="0"/>
              <w:bottom w:val="single" w:color="auto" w:sz="6" w:space="0"/>
              <w:right w:val="single" w:color="auto" w:sz="6" w:space="0"/>
            </w:tcBorders>
            <w:vAlign w:val="bottom"/>
          </w:tcPr>
          <w:p>
            <w:pPr>
              <w:adjustRightInd w:val="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 xml:space="preserve">622.15 </w:t>
            </w:r>
          </w:p>
        </w:tc>
        <w:tc>
          <w:tcPr>
            <w:tcW w:w="1012" w:type="dxa"/>
            <w:tcBorders>
              <w:top w:val="single" w:color="auto" w:sz="6" w:space="0"/>
              <w:left w:val="single" w:color="auto" w:sz="6" w:space="0"/>
              <w:bottom w:val="single" w:color="auto" w:sz="6" w:space="0"/>
              <w:right w:val="single" w:color="auto" w:sz="6" w:space="0"/>
            </w:tcBorders>
          </w:tcPr>
          <w:p>
            <w:pPr>
              <w:adjustRightInd w:val="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155.85</w:t>
            </w:r>
          </w:p>
        </w:tc>
        <w:tc>
          <w:tcPr>
            <w:tcW w:w="1035" w:type="dxa"/>
            <w:tcBorders>
              <w:top w:val="single" w:color="auto" w:sz="6" w:space="0"/>
              <w:left w:val="single" w:color="auto" w:sz="6" w:space="0"/>
              <w:bottom w:val="single" w:color="auto" w:sz="6" w:space="0"/>
              <w:right w:val="single" w:color="auto" w:sz="12" w:space="0"/>
            </w:tcBorders>
            <w:vAlign w:val="bottom"/>
          </w:tcPr>
          <w:p>
            <w:pPr>
              <w:adjustRightInd w:val="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 xml:space="preserve">144.51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27" w:hRule="exact"/>
          <w:jc w:val="center"/>
        </w:trPr>
        <w:tc>
          <w:tcPr>
            <w:tcW w:w="491" w:type="dxa"/>
            <w:vMerge w:val="continue"/>
            <w:tcBorders>
              <w:top w:val="single" w:color="auto" w:sz="6" w:space="0"/>
              <w:left w:val="single" w:color="auto" w:sz="12" w:space="0"/>
              <w:bottom w:val="single" w:color="auto" w:sz="6" w:space="0"/>
              <w:right w:val="single" w:color="auto" w:sz="6" w:space="0"/>
            </w:tcBorders>
            <w:vAlign w:val="center"/>
          </w:tcPr>
          <w:p>
            <w:pPr>
              <w:widowControl/>
              <w:adjustRightInd w:val="0"/>
              <w:jc w:val="center"/>
              <w:rPr>
                <w:color w:val="000000" w:themeColor="text1"/>
                <w:sz w:val="21"/>
                <w:szCs w:val="21"/>
                <w14:textFill>
                  <w14:solidFill>
                    <w14:schemeClr w14:val="tx1"/>
                  </w14:solidFill>
                </w14:textFill>
              </w:rPr>
            </w:pPr>
          </w:p>
        </w:tc>
        <w:tc>
          <w:tcPr>
            <w:tcW w:w="578" w:type="dxa"/>
            <w:tcBorders>
              <w:top w:val="single" w:color="auto" w:sz="6" w:space="0"/>
              <w:left w:val="single" w:color="auto" w:sz="6" w:space="0"/>
              <w:bottom w:val="single" w:color="auto" w:sz="6" w:space="0"/>
              <w:right w:val="single" w:color="auto" w:sz="6" w:space="0"/>
            </w:tcBorders>
            <w:vAlign w:val="bottom"/>
          </w:tcPr>
          <w:p>
            <w:pPr>
              <w:adjustRightInd w:val="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42</w:t>
            </w:r>
          </w:p>
        </w:tc>
        <w:tc>
          <w:tcPr>
            <w:tcW w:w="1267" w:type="dxa"/>
            <w:tcBorders>
              <w:top w:val="single" w:color="auto" w:sz="6" w:space="0"/>
              <w:left w:val="single" w:color="auto" w:sz="6" w:space="0"/>
              <w:bottom w:val="single" w:color="auto" w:sz="6" w:space="0"/>
              <w:right w:val="single" w:color="auto" w:sz="6" w:space="0"/>
            </w:tcBorders>
          </w:tcPr>
          <w:p>
            <w:pPr>
              <w:jc w:val="center"/>
              <w:rPr>
                <w:color w:val="000000" w:themeColor="text1"/>
                <w14:textFill>
                  <w14:solidFill>
                    <w14:schemeClr w14:val="tx1"/>
                  </w14:solidFill>
                </w14:textFill>
              </w:rPr>
            </w:pPr>
            <w:r>
              <w:rPr>
                <w:color w:val="000000" w:themeColor="text1"/>
                <w:sz w:val="21"/>
                <w:szCs w:val="21"/>
                <w14:textFill>
                  <w14:solidFill>
                    <w14:schemeClr w14:val="tx1"/>
                  </w14:solidFill>
                </w14:textFill>
              </w:rPr>
              <w:t>——</w:t>
            </w:r>
          </w:p>
        </w:tc>
        <w:tc>
          <w:tcPr>
            <w:tcW w:w="952" w:type="dxa"/>
            <w:tcBorders>
              <w:top w:val="single" w:color="auto" w:sz="6" w:space="0"/>
              <w:left w:val="single" w:color="auto" w:sz="6" w:space="0"/>
              <w:bottom w:val="single" w:color="auto" w:sz="6" w:space="0"/>
              <w:right w:val="single" w:color="auto" w:sz="6" w:space="0"/>
            </w:tcBorders>
          </w:tcPr>
          <w:p>
            <w:pPr>
              <w:jc w:val="center"/>
              <w:rPr>
                <w:color w:val="000000" w:themeColor="text1"/>
                <w14:textFill>
                  <w14:solidFill>
                    <w14:schemeClr w14:val="tx1"/>
                  </w14:solidFill>
                </w14:textFill>
              </w:rPr>
            </w:pPr>
            <w:r>
              <w:rPr>
                <w:color w:val="000000" w:themeColor="text1"/>
                <w:sz w:val="21"/>
                <w:szCs w:val="21"/>
                <w14:textFill>
                  <w14:solidFill>
                    <w14:schemeClr w14:val="tx1"/>
                  </w14:solidFill>
                </w14:textFill>
              </w:rPr>
              <w:t>——</w:t>
            </w:r>
          </w:p>
        </w:tc>
        <w:tc>
          <w:tcPr>
            <w:tcW w:w="1049" w:type="dxa"/>
            <w:tcBorders>
              <w:top w:val="single" w:color="auto" w:sz="6" w:space="0"/>
              <w:left w:val="single" w:color="auto" w:sz="6" w:space="0"/>
              <w:bottom w:val="single" w:color="auto" w:sz="6" w:space="0"/>
              <w:right w:val="single" w:color="auto" w:sz="6" w:space="0"/>
            </w:tcBorders>
          </w:tcPr>
          <w:p>
            <w:pPr>
              <w:jc w:val="center"/>
              <w:rPr>
                <w:color w:val="000000" w:themeColor="text1"/>
                <w14:textFill>
                  <w14:solidFill>
                    <w14:schemeClr w14:val="tx1"/>
                  </w14:solidFill>
                </w14:textFill>
              </w:rPr>
            </w:pPr>
            <w:r>
              <w:rPr>
                <w:color w:val="000000" w:themeColor="text1"/>
                <w:sz w:val="21"/>
                <w:szCs w:val="21"/>
                <w14:textFill>
                  <w14:solidFill>
                    <w14:schemeClr w14:val="tx1"/>
                  </w14:solidFill>
                </w14:textFill>
              </w:rPr>
              <w:t>——</w:t>
            </w:r>
          </w:p>
        </w:tc>
        <w:tc>
          <w:tcPr>
            <w:tcW w:w="1242" w:type="dxa"/>
            <w:tcBorders>
              <w:top w:val="single" w:color="auto" w:sz="6" w:space="0"/>
              <w:left w:val="single" w:color="auto" w:sz="6" w:space="0"/>
              <w:bottom w:val="single" w:color="auto" w:sz="6" w:space="0"/>
              <w:right w:val="single" w:color="auto" w:sz="6" w:space="0"/>
            </w:tcBorders>
            <w:vAlign w:val="bottom"/>
          </w:tcPr>
          <w:p>
            <w:pPr>
              <w:adjustRightInd w:val="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 xml:space="preserve">703.37 </w:t>
            </w:r>
          </w:p>
        </w:tc>
        <w:tc>
          <w:tcPr>
            <w:tcW w:w="935" w:type="dxa"/>
            <w:tcBorders>
              <w:top w:val="single" w:color="auto" w:sz="6" w:space="0"/>
              <w:left w:val="single" w:color="auto" w:sz="6" w:space="0"/>
              <w:bottom w:val="single" w:color="auto" w:sz="6" w:space="0"/>
              <w:right w:val="single" w:color="auto" w:sz="6" w:space="0"/>
            </w:tcBorders>
            <w:vAlign w:val="center"/>
          </w:tcPr>
          <w:p>
            <w:pPr>
              <w:adjustRightInd w:val="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157.62</w:t>
            </w:r>
          </w:p>
        </w:tc>
        <w:tc>
          <w:tcPr>
            <w:tcW w:w="1089" w:type="dxa"/>
            <w:tcBorders>
              <w:top w:val="single" w:color="auto" w:sz="6" w:space="0"/>
              <w:left w:val="single" w:color="auto" w:sz="6" w:space="0"/>
              <w:bottom w:val="single" w:color="auto" w:sz="6" w:space="0"/>
              <w:right w:val="single" w:color="auto" w:sz="6" w:space="0"/>
            </w:tcBorders>
            <w:vAlign w:val="bottom"/>
          </w:tcPr>
          <w:p>
            <w:pPr>
              <w:adjustRightInd w:val="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 xml:space="preserve">65.10 </w:t>
            </w:r>
          </w:p>
        </w:tc>
        <w:tc>
          <w:tcPr>
            <w:tcW w:w="1193" w:type="dxa"/>
            <w:tcBorders>
              <w:top w:val="single" w:color="auto" w:sz="6" w:space="0"/>
              <w:left w:val="single" w:color="auto" w:sz="6" w:space="0"/>
              <w:bottom w:val="single" w:color="auto" w:sz="6" w:space="0"/>
              <w:right w:val="single" w:color="auto" w:sz="6" w:space="0"/>
            </w:tcBorders>
          </w:tcPr>
          <w:p>
            <w:pPr>
              <w:jc w:val="center"/>
              <w:rPr>
                <w:color w:val="000000" w:themeColor="text1"/>
                <w14:textFill>
                  <w14:solidFill>
                    <w14:schemeClr w14:val="tx1"/>
                  </w14:solidFill>
                </w14:textFill>
              </w:rPr>
            </w:pPr>
            <w:r>
              <w:rPr>
                <w:color w:val="000000" w:themeColor="text1"/>
                <w:sz w:val="21"/>
                <w:szCs w:val="21"/>
                <w14:textFill>
                  <w14:solidFill>
                    <w14:schemeClr w14:val="tx1"/>
                  </w14:solidFill>
                </w14:textFill>
              </w:rPr>
              <w:t>——</w:t>
            </w:r>
          </w:p>
        </w:tc>
        <w:tc>
          <w:tcPr>
            <w:tcW w:w="1080" w:type="dxa"/>
            <w:tcBorders>
              <w:top w:val="single" w:color="auto" w:sz="6" w:space="0"/>
              <w:left w:val="single" w:color="auto" w:sz="6" w:space="0"/>
              <w:bottom w:val="single" w:color="auto" w:sz="6" w:space="0"/>
              <w:right w:val="single" w:color="auto" w:sz="6" w:space="0"/>
            </w:tcBorders>
          </w:tcPr>
          <w:p>
            <w:pPr>
              <w:jc w:val="center"/>
              <w:rPr>
                <w:color w:val="000000" w:themeColor="text1"/>
                <w14:textFill>
                  <w14:solidFill>
                    <w14:schemeClr w14:val="tx1"/>
                  </w14:solidFill>
                </w14:textFill>
              </w:rPr>
            </w:pPr>
            <w:r>
              <w:rPr>
                <w:color w:val="000000" w:themeColor="text1"/>
                <w:sz w:val="21"/>
                <w:szCs w:val="21"/>
                <w14:textFill>
                  <w14:solidFill>
                    <w14:schemeClr w14:val="tx1"/>
                  </w14:solidFill>
                </w14:textFill>
              </w:rPr>
              <w:t>——</w:t>
            </w:r>
          </w:p>
        </w:tc>
        <w:tc>
          <w:tcPr>
            <w:tcW w:w="1080" w:type="dxa"/>
            <w:tcBorders>
              <w:top w:val="single" w:color="auto" w:sz="6" w:space="0"/>
              <w:left w:val="single" w:color="auto" w:sz="6" w:space="0"/>
              <w:bottom w:val="single" w:color="auto" w:sz="6" w:space="0"/>
              <w:right w:val="single" w:color="auto" w:sz="6" w:space="0"/>
            </w:tcBorders>
          </w:tcPr>
          <w:p>
            <w:pPr>
              <w:jc w:val="center"/>
              <w:rPr>
                <w:color w:val="000000" w:themeColor="text1"/>
                <w14:textFill>
                  <w14:solidFill>
                    <w14:schemeClr w14:val="tx1"/>
                  </w14:solidFill>
                </w14:textFill>
              </w:rPr>
            </w:pPr>
            <w:r>
              <w:rPr>
                <w:color w:val="000000" w:themeColor="text1"/>
                <w:sz w:val="21"/>
                <w:szCs w:val="21"/>
                <w14:textFill>
                  <w14:solidFill>
                    <w14:schemeClr w14:val="tx1"/>
                  </w14:solidFill>
                </w14:textFill>
              </w:rPr>
              <w:t>——</w:t>
            </w:r>
          </w:p>
        </w:tc>
        <w:tc>
          <w:tcPr>
            <w:tcW w:w="1171" w:type="dxa"/>
            <w:tcBorders>
              <w:top w:val="single" w:color="auto" w:sz="6" w:space="0"/>
              <w:left w:val="single" w:color="auto" w:sz="6" w:space="0"/>
              <w:bottom w:val="single" w:color="auto" w:sz="6" w:space="0"/>
              <w:right w:val="single" w:color="auto" w:sz="6" w:space="0"/>
            </w:tcBorders>
            <w:vAlign w:val="bottom"/>
          </w:tcPr>
          <w:p>
            <w:pPr>
              <w:adjustRightInd w:val="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 xml:space="preserve">613.92 </w:t>
            </w:r>
          </w:p>
        </w:tc>
        <w:tc>
          <w:tcPr>
            <w:tcW w:w="1012" w:type="dxa"/>
            <w:tcBorders>
              <w:top w:val="single" w:color="auto" w:sz="6" w:space="0"/>
              <w:left w:val="single" w:color="auto" w:sz="6" w:space="0"/>
              <w:bottom w:val="single" w:color="auto" w:sz="6" w:space="0"/>
              <w:right w:val="single" w:color="auto" w:sz="6" w:space="0"/>
            </w:tcBorders>
          </w:tcPr>
          <w:p>
            <w:pPr>
              <w:adjustRightInd w:val="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155.85</w:t>
            </w:r>
          </w:p>
        </w:tc>
        <w:tc>
          <w:tcPr>
            <w:tcW w:w="1035" w:type="dxa"/>
            <w:tcBorders>
              <w:top w:val="single" w:color="auto" w:sz="6" w:space="0"/>
              <w:left w:val="single" w:color="auto" w:sz="6" w:space="0"/>
              <w:bottom w:val="single" w:color="auto" w:sz="6" w:space="0"/>
              <w:right w:val="single" w:color="auto" w:sz="12" w:space="0"/>
            </w:tcBorders>
            <w:vAlign w:val="bottom"/>
          </w:tcPr>
          <w:p>
            <w:pPr>
              <w:adjustRightInd w:val="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 xml:space="preserve">138.60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27" w:hRule="exact"/>
          <w:jc w:val="center"/>
        </w:trPr>
        <w:tc>
          <w:tcPr>
            <w:tcW w:w="491" w:type="dxa"/>
            <w:vMerge w:val="continue"/>
            <w:tcBorders>
              <w:top w:val="single" w:color="auto" w:sz="6" w:space="0"/>
              <w:left w:val="single" w:color="auto" w:sz="12" w:space="0"/>
              <w:bottom w:val="single" w:color="auto" w:sz="6" w:space="0"/>
              <w:right w:val="single" w:color="auto" w:sz="6" w:space="0"/>
            </w:tcBorders>
            <w:vAlign w:val="center"/>
          </w:tcPr>
          <w:p>
            <w:pPr>
              <w:widowControl/>
              <w:adjustRightInd w:val="0"/>
              <w:jc w:val="center"/>
              <w:rPr>
                <w:color w:val="000000" w:themeColor="text1"/>
                <w:sz w:val="21"/>
                <w:szCs w:val="21"/>
                <w14:textFill>
                  <w14:solidFill>
                    <w14:schemeClr w14:val="tx1"/>
                  </w14:solidFill>
                </w14:textFill>
              </w:rPr>
            </w:pPr>
          </w:p>
        </w:tc>
        <w:tc>
          <w:tcPr>
            <w:tcW w:w="578" w:type="dxa"/>
            <w:tcBorders>
              <w:top w:val="single" w:color="auto" w:sz="6" w:space="0"/>
              <w:left w:val="single" w:color="auto" w:sz="6" w:space="0"/>
              <w:bottom w:val="single" w:color="auto" w:sz="6" w:space="0"/>
              <w:right w:val="single" w:color="auto" w:sz="6" w:space="0"/>
            </w:tcBorders>
            <w:vAlign w:val="bottom"/>
          </w:tcPr>
          <w:p>
            <w:pPr>
              <w:adjustRightInd w:val="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45</w:t>
            </w:r>
          </w:p>
        </w:tc>
        <w:tc>
          <w:tcPr>
            <w:tcW w:w="1267" w:type="dxa"/>
            <w:tcBorders>
              <w:top w:val="single" w:color="auto" w:sz="6" w:space="0"/>
              <w:left w:val="single" w:color="auto" w:sz="6" w:space="0"/>
              <w:bottom w:val="single" w:color="auto" w:sz="6" w:space="0"/>
              <w:right w:val="single" w:color="auto" w:sz="6" w:space="0"/>
            </w:tcBorders>
          </w:tcPr>
          <w:p>
            <w:pPr>
              <w:jc w:val="center"/>
              <w:rPr>
                <w:color w:val="000000" w:themeColor="text1"/>
                <w14:textFill>
                  <w14:solidFill>
                    <w14:schemeClr w14:val="tx1"/>
                  </w14:solidFill>
                </w14:textFill>
              </w:rPr>
            </w:pPr>
            <w:r>
              <w:rPr>
                <w:color w:val="000000" w:themeColor="text1"/>
                <w:sz w:val="21"/>
                <w:szCs w:val="21"/>
                <w14:textFill>
                  <w14:solidFill>
                    <w14:schemeClr w14:val="tx1"/>
                  </w14:solidFill>
                </w14:textFill>
              </w:rPr>
              <w:t>——</w:t>
            </w:r>
          </w:p>
        </w:tc>
        <w:tc>
          <w:tcPr>
            <w:tcW w:w="952" w:type="dxa"/>
            <w:tcBorders>
              <w:top w:val="single" w:color="auto" w:sz="6" w:space="0"/>
              <w:left w:val="single" w:color="auto" w:sz="6" w:space="0"/>
              <w:bottom w:val="single" w:color="auto" w:sz="6" w:space="0"/>
              <w:right w:val="single" w:color="auto" w:sz="6" w:space="0"/>
            </w:tcBorders>
          </w:tcPr>
          <w:p>
            <w:pPr>
              <w:jc w:val="center"/>
              <w:rPr>
                <w:color w:val="000000" w:themeColor="text1"/>
                <w14:textFill>
                  <w14:solidFill>
                    <w14:schemeClr w14:val="tx1"/>
                  </w14:solidFill>
                </w14:textFill>
              </w:rPr>
            </w:pPr>
            <w:r>
              <w:rPr>
                <w:color w:val="000000" w:themeColor="text1"/>
                <w:sz w:val="21"/>
                <w:szCs w:val="21"/>
                <w14:textFill>
                  <w14:solidFill>
                    <w14:schemeClr w14:val="tx1"/>
                  </w14:solidFill>
                </w14:textFill>
              </w:rPr>
              <w:t>——</w:t>
            </w:r>
          </w:p>
        </w:tc>
        <w:tc>
          <w:tcPr>
            <w:tcW w:w="1049" w:type="dxa"/>
            <w:tcBorders>
              <w:top w:val="single" w:color="auto" w:sz="6" w:space="0"/>
              <w:left w:val="single" w:color="auto" w:sz="6" w:space="0"/>
              <w:bottom w:val="single" w:color="auto" w:sz="6" w:space="0"/>
              <w:right w:val="single" w:color="auto" w:sz="6" w:space="0"/>
            </w:tcBorders>
          </w:tcPr>
          <w:p>
            <w:pPr>
              <w:jc w:val="center"/>
              <w:rPr>
                <w:color w:val="000000" w:themeColor="text1"/>
                <w14:textFill>
                  <w14:solidFill>
                    <w14:schemeClr w14:val="tx1"/>
                  </w14:solidFill>
                </w14:textFill>
              </w:rPr>
            </w:pPr>
            <w:r>
              <w:rPr>
                <w:color w:val="000000" w:themeColor="text1"/>
                <w:sz w:val="21"/>
                <w:szCs w:val="21"/>
                <w14:textFill>
                  <w14:solidFill>
                    <w14:schemeClr w14:val="tx1"/>
                  </w14:solidFill>
                </w14:textFill>
              </w:rPr>
              <w:t>——</w:t>
            </w:r>
          </w:p>
        </w:tc>
        <w:tc>
          <w:tcPr>
            <w:tcW w:w="1242" w:type="dxa"/>
            <w:tcBorders>
              <w:top w:val="single" w:color="auto" w:sz="6" w:space="0"/>
              <w:left w:val="single" w:color="auto" w:sz="6" w:space="0"/>
              <w:bottom w:val="single" w:color="auto" w:sz="6" w:space="0"/>
              <w:right w:val="single" w:color="auto" w:sz="6" w:space="0"/>
            </w:tcBorders>
            <w:vAlign w:val="bottom"/>
          </w:tcPr>
          <w:p>
            <w:pPr>
              <w:adjustRightInd w:val="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 xml:space="preserve">688.87 </w:t>
            </w:r>
          </w:p>
        </w:tc>
        <w:tc>
          <w:tcPr>
            <w:tcW w:w="935" w:type="dxa"/>
            <w:tcBorders>
              <w:top w:val="single" w:color="auto" w:sz="6" w:space="0"/>
              <w:left w:val="single" w:color="auto" w:sz="6" w:space="0"/>
              <w:bottom w:val="single" w:color="auto" w:sz="6" w:space="0"/>
              <w:right w:val="single" w:color="auto" w:sz="6" w:space="0"/>
            </w:tcBorders>
            <w:vAlign w:val="center"/>
          </w:tcPr>
          <w:p>
            <w:pPr>
              <w:adjustRightInd w:val="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165.95</w:t>
            </w:r>
          </w:p>
        </w:tc>
        <w:tc>
          <w:tcPr>
            <w:tcW w:w="1089" w:type="dxa"/>
            <w:tcBorders>
              <w:top w:val="single" w:color="auto" w:sz="6" w:space="0"/>
              <w:left w:val="single" w:color="auto" w:sz="6" w:space="0"/>
              <w:bottom w:val="single" w:color="auto" w:sz="6" w:space="0"/>
              <w:right w:val="single" w:color="auto" w:sz="6" w:space="0"/>
            </w:tcBorders>
            <w:vAlign w:val="bottom"/>
          </w:tcPr>
          <w:p>
            <w:pPr>
              <w:adjustRightInd w:val="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 xml:space="preserve">63.27 </w:t>
            </w:r>
          </w:p>
        </w:tc>
        <w:tc>
          <w:tcPr>
            <w:tcW w:w="1193" w:type="dxa"/>
            <w:tcBorders>
              <w:top w:val="single" w:color="auto" w:sz="6" w:space="0"/>
              <w:left w:val="single" w:color="auto" w:sz="6" w:space="0"/>
              <w:bottom w:val="single" w:color="auto" w:sz="6" w:space="0"/>
              <w:right w:val="single" w:color="auto" w:sz="6" w:space="0"/>
            </w:tcBorders>
          </w:tcPr>
          <w:p>
            <w:pPr>
              <w:jc w:val="center"/>
              <w:rPr>
                <w:color w:val="000000" w:themeColor="text1"/>
                <w14:textFill>
                  <w14:solidFill>
                    <w14:schemeClr w14:val="tx1"/>
                  </w14:solidFill>
                </w14:textFill>
              </w:rPr>
            </w:pPr>
            <w:r>
              <w:rPr>
                <w:color w:val="000000" w:themeColor="text1"/>
                <w:sz w:val="21"/>
                <w:szCs w:val="21"/>
                <w14:textFill>
                  <w14:solidFill>
                    <w14:schemeClr w14:val="tx1"/>
                  </w14:solidFill>
                </w14:textFill>
              </w:rPr>
              <w:t>——</w:t>
            </w:r>
          </w:p>
        </w:tc>
        <w:tc>
          <w:tcPr>
            <w:tcW w:w="1080" w:type="dxa"/>
            <w:tcBorders>
              <w:top w:val="single" w:color="auto" w:sz="6" w:space="0"/>
              <w:left w:val="single" w:color="auto" w:sz="6" w:space="0"/>
              <w:bottom w:val="single" w:color="auto" w:sz="6" w:space="0"/>
              <w:right w:val="single" w:color="auto" w:sz="6" w:space="0"/>
            </w:tcBorders>
          </w:tcPr>
          <w:p>
            <w:pPr>
              <w:jc w:val="center"/>
              <w:rPr>
                <w:color w:val="000000" w:themeColor="text1"/>
                <w14:textFill>
                  <w14:solidFill>
                    <w14:schemeClr w14:val="tx1"/>
                  </w14:solidFill>
                </w14:textFill>
              </w:rPr>
            </w:pPr>
            <w:r>
              <w:rPr>
                <w:color w:val="000000" w:themeColor="text1"/>
                <w:sz w:val="21"/>
                <w:szCs w:val="21"/>
                <w14:textFill>
                  <w14:solidFill>
                    <w14:schemeClr w14:val="tx1"/>
                  </w14:solidFill>
                </w14:textFill>
              </w:rPr>
              <w:t>——</w:t>
            </w:r>
          </w:p>
        </w:tc>
        <w:tc>
          <w:tcPr>
            <w:tcW w:w="1080" w:type="dxa"/>
            <w:tcBorders>
              <w:top w:val="single" w:color="auto" w:sz="6" w:space="0"/>
              <w:left w:val="single" w:color="auto" w:sz="6" w:space="0"/>
              <w:bottom w:val="single" w:color="auto" w:sz="6" w:space="0"/>
              <w:right w:val="single" w:color="auto" w:sz="6" w:space="0"/>
            </w:tcBorders>
          </w:tcPr>
          <w:p>
            <w:pPr>
              <w:jc w:val="center"/>
              <w:rPr>
                <w:color w:val="000000" w:themeColor="text1"/>
                <w14:textFill>
                  <w14:solidFill>
                    <w14:schemeClr w14:val="tx1"/>
                  </w14:solidFill>
                </w14:textFill>
              </w:rPr>
            </w:pPr>
            <w:r>
              <w:rPr>
                <w:color w:val="000000" w:themeColor="text1"/>
                <w:sz w:val="21"/>
                <w:szCs w:val="21"/>
                <w14:textFill>
                  <w14:solidFill>
                    <w14:schemeClr w14:val="tx1"/>
                  </w14:solidFill>
                </w14:textFill>
              </w:rPr>
              <w:t>——</w:t>
            </w:r>
          </w:p>
        </w:tc>
        <w:tc>
          <w:tcPr>
            <w:tcW w:w="1171" w:type="dxa"/>
            <w:tcBorders>
              <w:top w:val="single" w:color="auto" w:sz="6" w:space="0"/>
              <w:left w:val="single" w:color="auto" w:sz="6" w:space="0"/>
              <w:bottom w:val="single" w:color="auto" w:sz="6" w:space="0"/>
              <w:right w:val="single" w:color="auto" w:sz="6" w:space="0"/>
            </w:tcBorders>
            <w:vAlign w:val="bottom"/>
          </w:tcPr>
          <w:p>
            <w:pPr>
              <w:adjustRightInd w:val="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 xml:space="preserve">607.06 </w:t>
            </w:r>
          </w:p>
        </w:tc>
        <w:tc>
          <w:tcPr>
            <w:tcW w:w="1012" w:type="dxa"/>
            <w:tcBorders>
              <w:top w:val="single" w:color="auto" w:sz="6" w:space="0"/>
              <w:left w:val="single" w:color="auto" w:sz="6" w:space="0"/>
              <w:bottom w:val="single" w:color="auto" w:sz="6" w:space="0"/>
              <w:right w:val="single" w:color="auto" w:sz="6" w:space="0"/>
            </w:tcBorders>
          </w:tcPr>
          <w:p>
            <w:pPr>
              <w:adjustRightInd w:val="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156.19</w:t>
            </w:r>
          </w:p>
        </w:tc>
        <w:tc>
          <w:tcPr>
            <w:tcW w:w="1035" w:type="dxa"/>
            <w:tcBorders>
              <w:top w:val="single" w:color="auto" w:sz="6" w:space="0"/>
              <w:left w:val="single" w:color="auto" w:sz="6" w:space="0"/>
              <w:bottom w:val="single" w:color="auto" w:sz="6" w:space="0"/>
              <w:right w:val="single" w:color="auto" w:sz="12" w:space="0"/>
            </w:tcBorders>
            <w:vAlign w:val="bottom"/>
          </w:tcPr>
          <w:p>
            <w:pPr>
              <w:adjustRightInd w:val="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 xml:space="preserve">198.17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27" w:hRule="exact"/>
          <w:jc w:val="center"/>
        </w:trPr>
        <w:tc>
          <w:tcPr>
            <w:tcW w:w="491" w:type="dxa"/>
            <w:vMerge w:val="continue"/>
            <w:tcBorders>
              <w:top w:val="single" w:color="auto" w:sz="6" w:space="0"/>
              <w:left w:val="single" w:color="auto" w:sz="12" w:space="0"/>
              <w:bottom w:val="single" w:color="auto" w:sz="6" w:space="0"/>
              <w:right w:val="single" w:color="auto" w:sz="6" w:space="0"/>
            </w:tcBorders>
            <w:vAlign w:val="center"/>
          </w:tcPr>
          <w:p>
            <w:pPr>
              <w:widowControl/>
              <w:adjustRightInd w:val="0"/>
              <w:jc w:val="center"/>
              <w:rPr>
                <w:color w:val="000000" w:themeColor="text1"/>
                <w:sz w:val="21"/>
                <w:szCs w:val="21"/>
                <w14:textFill>
                  <w14:solidFill>
                    <w14:schemeClr w14:val="tx1"/>
                  </w14:solidFill>
                </w14:textFill>
              </w:rPr>
            </w:pPr>
          </w:p>
        </w:tc>
        <w:tc>
          <w:tcPr>
            <w:tcW w:w="578" w:type="dxa"/>
            <w:tcBorders>
              <w:top w:val="single" w:color="auto" w:sz="6" w:space="0"/>
              <w:left w:val="single" w:color="auto" w:sz="6" w:space="0"/>
              <w:bottom w:val="single" w:color="auto" w:sz="6" w:space="0"/>
              <w:right w:val="single" w:color="auto" w:sz="6" w:space="0"/>
            </w:tcBorders>
            <w:vAlign w:val="bottom"/>
          </w:tcPr>
          <w:p>
            <w:pPr>
              <w:adjustRightInd w:val="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48</w:t>
            </w:r>
          </w:p>
        </w:tc>
        <w:tc>
          <w:tcPr>
            <w:tcW w:w="1267" w:type="dxa"/>
            <w:tcBorders>
              <w:top w:val="single" w:color="auto" w:sz="6" w:space="0"/>
              <w:left w:val="single" w:color="auto" w:sz="6" w:space="0"/>
              <w:bottom w:val="single" w:color="auto" w:sz="6" w:space="0"/>
              <w:right w:val="single" w:color="auto" w:sz="6" w:space="0"/>
            </w:tcBorders>
          </w:tcPr>
          <w:p>
            <w:pPr>
              <w:jc w:val="center"/>
              <w:rPr>
                <w:color w:val="000000" w:themeColor="text1"/>
                <w14:textFill>
                  <w14:solidFill>
                    <w14:schemeClr w14:val="tx1"/>
                  </w14:solidFill>
                </w14:textFill>
              </w:rPr>
            </w:pPr>
            <w:r>
              <w:rPr>
                <w:color w:val="000000" w:themeColor="text1"/>
                <w:sz w:val="21"/>
                <w:szCs w:val="21"/>
                <w14:textFill>
                  <w14:solidFill>
                    <w14:schemeClr w14:val="tx1"/>
                  </w14:solidFill>
                </w14:textFill>
              </w:rPr>
              <w:t>——</w:t>
            </w:r>
          </w:p>
        </w:tc>
        <w:tc>
          <w:tcPr>
            <w:tcW w:w="952" w:type="dxa"/>
            <w:tcBorders>
              <w:top w:val="single" w:color="auto" w:sz="6" w:space="0"/>
              <w:left w:val="single" w:color="auto" w:sz="6" w:space="0"/>
              <w:bottom w:val="single" w:color="auto" w:sz="6" w:space="0"/>
              <w:right w:val="single" w:color="auto" w:sz="6" w:space="0"/>
            </w:tcBorders>
          </w:tcPr>
          <w:p>
            <w:pPr>
              <w:jc w:val="center"/>
              <w:rPr>
                <w:color w:val="000000" w:themeColor="text1"/>
                <w14:textFill>
                  <w14:solidFill>
                    <w14:schemeClr w14:val="tx1"/>
                  </w14:solidFill>
                </w14:textFill>
              </w:rPr>
            </w:pPr>
            <w:r>
              <w:rPr>
                <w:color w:val="000000" w:themeColor="text1"/>
                <w:sz w:val="21"/>
                <w:szCs w:val="21"/>
                <w14:textFill>
                  <w14:solidFill>
                    <w14:schemeClr w14:val="tx1"/>
                  </w14:solidFill>
                </w14:textFill>
              </w:rPr>
              <w:t>——</w:t>
            </w:r>
          </w:p>
        </w:tc>
        <w:tc>
          <w:tcPr>
            <w:tcW w:w="1049" w:type="dxa"/>
            <w:tcBorders>
              <w:top w:val="single" w:color="auto" w:sz="6" w:space="0"/>
              <w:left w:val="single" w:color="auto" w:sz="6" w:space="0"/>
              <w:bottom w:val="single" w:color="auto" w:sz="6" w:space="0"/>
              <w:right w:val="single" w:color="auto" w:sz="6" w:space="0"/>
            </w:tcBorders>
          </w:tcPr>
          <w:p>
            <w:pPr>
              <w:jc w:val="center"/>
              <w:rPr>
                <w:color w:val="000000" w:themeColor="text1"/>
                <w14:textFill>
                  <w14:solidFill>
                    <w14:schemeClr w14:val="tx1"/>
                  </w14:solidFill>
                </w14:textFill>
              </w:rPr>
            </w:pPr>
            <w:r>
              <w:rPr>
                <w:color w:val="000000" w:themeColor="text1"/>
                <w:sz w:val="21"/>
                <w:szCs w:val="21"/>
                <w14:textFill>
                  <w14:solidFill>
                    <w14:schemeClr w14:val="tx1"/>
                  </w14:solidFill>
                </w14:textFill>
              </w:rPr>
              <w:t>——</w:t>
            </w:r>
          </w:p>
        </w:tc>
        <w:tc>
          <w:tcPr>
            <w:tcW w:w="1242" w:type="dxa"/>
            <w:tcBorders>
              <w:top w:val="single" w:color="auto" w:sz="6" w:space="0"/>
              <w:left w:val="single" w:color="auto" w:sz="6" w:space="0"/>
              <w:bottom w:val="single" w:color="auto" w:sz="6" w:space="0"/>
              <w:right w:val="single" w:color="auto" w:sz="6" w:space="0"/>
            </w:tcBorders>
            <w:vAlign w:val="bottom"/>
          </w:tcPr>
          <w:p>
            <w:pPr>
              <w:adjustRightInd w:val="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 xml:space="preserve">675.66 </w:t>
            </w:r>
          </w:p>
        </w:tc>
        <w:tc>
          <w:tcPr>
            <w:tcW w:w="935" w:type="dxa"/>
            <w:tcBorders>
              <w:top w:val="single" w:color="auto" w:sz="6" w:space="0"/>
              <w:left w:val="single" w:color="auto" w:sz="6" w:space="0"/>
              <w:bottom w:val="single" w:color="auto" w:sz="6" w:space="0"/>
              <w:right w:val="single" w:color="auto" w:sz="6" w:space="0"/>
            </w:tcBorders>
            <w:vAlign w:val="center"/>
          </w:tcPr>
          <w:p>
            <w:pPr>
              <w:adjustRightInd w:val="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181.69</w:t>
            </w:r>
          </w:p>
        </w:tc>
        <w:tc>
          <w:tcPr>
            <w:tcW w:w="1089" w:type="dxa"/>
            <w:tcBorders>
              <w:top w:val="single" w:color="auto" w:sz="6" w:space="0"/>
              <w:left w:val="single" w:color="auto" w:sz="6" w:space="0"/>
              <w:bottom w:val="single" w:color="auto" w:sz="6" w:space="0"/>
              <w:right w:val="single" w:color="auto" w:sz="6" w:space="0"/>
            </w:tcBorders>
            <w:vAlign w:val="bottom"/>
          </w:tcPr>
          <w:p>
            <w:pPr>
              <w:adjustRightInd w:val="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 xml:space="preserve">60.01 </w:t>
            </w:r>
          </w:p>
        </w:tc>
        <w:tc>
          <w:tcPr>
            <w:tcW w:w="1193" w:type="dxa"/>
            <w:tcBorders>
              <w:top w:val="single" w:color="auto" w:sz="6" w:space="0"/>
              <w:left w:val="single" w:color="auto" w:sz="6" w:space="0"/>
              <w:bottom w:val="single" w:color="auto" w:sz="6" w:space="0"/>
              <w:right w:val="single" w:color="auto" w:sz="6" w:space="0"/>
            </w:tcBorders>
          </w:tcPr>
          <w:p>
            <w:pPr>
              <w:jc w:val="center"/>
              <w:rPr>
                <w:color w:val="000000" w:themeColor="text1"/>
                <w14:textFill>
                  <w14:solidFill>
                    <w14:schemeClr w14:val="tx1"/>
                  </w14:solidFill>
                </w14:textFill>
              </w:rPr>
            </w:pPr>
            <w:r>
              <w:rPr>
                <w:color w:val="000000" w:themeColor="text1"/>
                <w:sz w:val="21"/>
                <w:szCs w:val="21"/>
                <w14:textFill>
                  <w14:solidFill>
                    <w14:schemeClr w14:val="tx1"/>
                  </w14:solidFill>
                </w14:textFill>
              </w:rPr>
              <w:t>——</w:t>
            </w:r>
          </w:p>
        </w:tc>
        <w:tc>
          <w:tcPr>
            <w:tcW w:w="1080" w:type="dxa"/>
            <w:tcBorders>
              <w:top w:val="single" w:color="auto" w:sz="6" w:space="0"/>
              <w:left w:val="single" w:color="auto" w:sz="6" w:space="0"/>
              <w:bottom w:val="single" w:color="auto" w:sz="6" w:space="0"/>
              <w:right w:val="single" w:color="auto" w:sz="6" w:space="0"/>
            </w:tcBorders>
          </w:tcPr>
          <w:p>
            <w:pPr>
              <w:jc w:val="center"/>
              <w:rPr>
                <w:color w:val="000000" w:themeColor="text1"/>
                <w14:textFill>
                  <w14:solidFill>
                    <w14:schemeClr w14:val="tx1"/>
                  </w14:solidFill>
                </w14:textFill>
              </w:rPr>
            </w:pPr>
            <w:r>
              <w:rPr>
                <w:color w:val="000000" w:themeColor="text1"/>
                <w:sz w:val="21"/>
                <w:szCs w:val="21"/>
                <w14:textFill>
                  <w14:solidFill>
                    <w14:schemeClr w14:val="tx1"/>
                  </w14:solidFill>
                </w14:textFill>
              </w:rPr>
              <w:t>——</w:t>
            </w:r>
          </w:p>
        </w:tc>
        <w:tc>
          <w:tcPr>
            <w:tcW w:w="1080" w:type="dxa"/>
            <w:tcBorders>
              <w:top w:val="single" w:color="auto" w:sz="6" w:space="0"/>
              <w:left w:val="single" w:color="auto" w:sz="6" w:space="0"/>
              <w:bottom w:val="single" w:color="auto" w:sz="6" w:space="0"/>
              <w:right w:val="single" w:color="auto" w:sz="6" w:space="0"/>
            </w:tcBorders>
          </w:tcPr>
          <w:p>
            <w:pPr>
              <w:jc w:val="center"/>
              <w:rPr>
                <w:color w:val="000000" w:themeColor="text1"/>
                <w14:textFill>
                  <w14:solidFill>
                    <w14:schemeClr w14:val="tx1"/>
                  </w14:solidFill>
                </w14:textFill>
              </w:rPr>
            </w:pPr>
            <w:r>
              <w:rPr>
                <w:color w:val="000000" w:themeColor="text1"/>
                <w:sz w:val="21"/>
                <w:szCs w:val="21"/>
                <w14:textFill>
                  <w14:solidFill>
                    <w14:schemeClr w14:val="tx1"/>
                  </w14:solidFill>
                </w14:textFill>
              </w:rPr>
              <w:t>——</w:t>
            </w:r>
          </w:p>
        </w:tc>
        <w:tc>
          <w:tcPr>
            <w:tcW w:w="1171" w:type="dxa"/>
            <w:tcBorders>
              <w:top w:val="single" w:color="auto" w:sz="6" w:space="0"/>
              <w:left w:val="single" w:color="auto" w:sz="6" w:space="0"/>
              <w:bottom w:val="single" w:color="auto" w:sz="6" w:space="0"/>
              <w:right w:val="single" w:color="auto" w:sz="6" w:space="0"/>
            </w:tcBorders>
            <w:vAlign w:val="bottom"/>
          </w:tcPr>
          <w:p>
            <w:pPr>
              <w:adjustRightInd w:val="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 xml:space="preserve">601.02 </w:t>
            </w:r>
          </w:p>
        </w:tc>
        <w:tc>
          <w:tcPr>
            <w:tcW w:w="1012" w:type="dxa"/>
            <w:tcBorders>
              <w:top w:val="single" w:color="auto" w:sz="6" w:space="0"/>
              <w:left w:val="single" w:color="auto" w:sz="6" w:space="0"/>
              <w:bottom w:val="single" w:color="auto" w:sz="6" w:space="0"/>
              <w:right w:val="single" w:color="auto" w:sz="6" w:space="0"/>
            </w:tcBorders>
          </w:tcPr>
          <w:p>
            <w:pPr>
              <w:adjustRightInd w:val="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157.02</w:t>
            </w:r>
          </w:p>
        </w:tc>
        <w:tc>
          <w:tcPr>
            <w:tcW w:w="1035" w:type="dxa"/>
            <w:tcBorders>
              <w:top w:val="single" w:color="auto" w:sz="6" w:space="0"/>
              <w:left w:val="single" w:color="auto" w:sz="6" w:space="0"/>
              <w:bottom w:val="single" w:color="auto" w:sz="6" w:space="0"/>
              <w:right w:val="single" w:color="auto" w:sz="12" w:space="0"/>
            </w:tcBorders>
            <w:vAlign w:val="bottom"/>
          </w:tcPr>
          <w:p>
            <w:pPr>
              <w:adjustRightInd w:val="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 xml:space="preserve">163.13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27" w:hRule="exact"/>
          <w:jc w:val="center"/>
        </w:trPr>
        <w:tc>
          <w:tcPr>
            <w:tcW w:w="491" w:type="dxa"/>
            <w:vMerge w:val="continue"/>
            <w:tcBorders>
              <w:top w:val="single" w:color="auto" w:sz="6" w:space="0"/>
              <w:left w:val="single" w:color="auto" w:sz="12" w:space="0"/>
              <w:bottom w:val="single" w:color="auto" w:sz="6" w:space="0"/>
              <w:right w:val="single" w:color="auto" w:sz="6" w:space="0"/>
            </w:tcBorders>
            <w:vAlign w:val="center"/>
          </w:tcPr>
          <w:p>
            <w:pPr>
              <w:widowControl/>
              <w:adjustRightInd w:val="0"/>
              <w:jc w:val="center"/>
              <w:rPr>
                <w:color w:val="000000" w:themeColor="text1"/>
                <w:sz w:val="21"/>
                <w:szCs w:val="21"/>
                <w14:textFill>
                  <w14:solidFill>
                    <w14:schemeClr w14:val="tx1"/>
                  </w14:solidFill>
                </w14:textFill>
              </w:rPr>
            </w:pPr>
          </w:p>
        </w:tc>
        <w:tc>
          <w:tcPr>
            <w:tcW w:w="578" w:type="dxa"/>
            <w:tcBorders>
              <w:top w:val="single" w:color="auto" w:sz="6" w:space="0"/>
              <w:left w:val="single" w:color="auto" w:sz="6" w:space="0"/>
              <w:bottom w:val="single" w:color="auto" w:sz="6" w:space="0"/>
              <w:right w:val="single" w:color="auto" w:sz="6" w:space="0"/>
            </w:tcBorders>
            <w:vAlign w:val="bottom"/>
          </w:tcPr>
          <w:p>
            <w:pPr>
              <w:adjustRightInd w:val="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51</w:t>
            </w:r>
          </w:p>
        </w:tc>
        <w:tc>
          <w:tcPr>
            <w:tcW w:w="1267" w:type="dxa"/>
            <w:tcBorders>
              <w:top w:val="single" w:color="auto" w:sz="6" w:space="0"/>
              <w:left w:val="single" w:color="auto" w:sz="6" w:space="0"/>
              <w:bottom w:val="single" w:color="auto" w:sz="6" w:space="0"/>
              <w:right w:val="single" w:color="auto" w:sz="6" w:space="0"/>
            </w:tcBorders>
          </w:tcPr>
          <w:p>
            <w:pPr>
              <w:jc w:val="center"/>
              <w:rPr>
                <w:color w:val="000000" w:themeColor="text1"/>
                <w14:textFill>
                  <w14:solidFill>
                    <w14:schemeClr w14:val="tx1"/>
                  </w14:solidFill>
                </w14:textFill>
              </w:rPr>
            </w:pPr>
            <w:r>
              <w:rPr>
                <w:color w:val="000000" w:themeColor="text1"/>
                <w:sz w:val="21"/>
                <w:szCs w:val="21"/>
                <w14:textFill>
                  <w14:solidFill>
                    <w14:schemeClr w14:val="tx1"/>
                  </w14:solidFill>
                </w14:textFill>
              </w:rPr>
              <w:t>——</w:t>
            </w:r>
          </w:p>
        </w:tc>
        <w:tc>
          <w:tcPr>
            <w:tcW w:w="952" w:type="dxa"/>
            <w:tcBorders>
              <w:top w:val="single" w:color="auto" w:sz="6" w:space="0"/>
              <w:left w:val="single" w:color="auto" w:sz="6" w:space="0"/>
              <w:bottom w:val="single" w:color="auto" w:sz="6" w:space="0"/>
              <w:right w:val="single" w:color="auto" w:sz="6" w:space="0"/>
            </w:tcBorders>
          </w:tcPr>
          <w:p>
            <w:pPr>
              <w:jc w:val="center"/>
              <w:rPr>
                <w:color w:val="000000" w:themeColor="text1"/>
                <w14:textFill>
                  <w14:solidFill>
                    <w14:schemeClr w14:val="tx1"/>
                  </w14:solidFill>
                </w14:textFill>
              </w:rPr>
            </w:pPr>
            <w:r>
              <w:rPr>
                <w:color w:val="000000" w:themeColor="text1"/>
                <w:sz w:val="21"/>
                <w:szCs w:val="21"/>
                <w14:textFill>
                  <w14:solidFill>
                    <w14:schemeClr w14:val="tx1"/>
                  </w14:solidFill>
                </w14:textFill>
              </w:rPr>
              <w:t>——</w:t>
            </w:r>
          </w:p>
        </w:tc>
        <w:tc>
          <w:tcPr>
            <w:tcW w:w="1049" w:type="dxa"/>
            <w:tcBorders>
              <w:top w:val="single" w:color="auto" w:sz="6" w:space="0"/>
              <w:left w:val="single" w:color="auto" w:sz="6" w:space="0"/>
              <w:bottom w:val="single" w:color="auto" w:sz="6" w:space="0"/>
              <w:right w:val="single" w:color="auto" w:sz="6" w:space="0"/>
            </w:tcBorders>
          </w:tcPr>
          <w:p>
            <w:pPr>
              <w:jc w:val="center"/>
              <w:rPr>
                <w:color w:val="000000" w:themeColor="text1"/>
                <w14:textFill>
                  <w14:solidFill>
                    <w14:schemeClr w14:val="tx1"/>
                  </w14:solidFill>
                </w14:textFill>
              </w:rPr>
            </w:pPr>
            <w:r>
              <w:rPr>
                <w:color w:val="000000" w:themeColor="text1"/>
                <w:sz w:val="21"/>
                <w:szCs w:val="21"/>
                <w14:textFill>
                  <w14:solidFill>
                    <w14:schemeClr w14:val="tx1"/>
                  </w14:solidFill>
                </w14:textFill>
              </w:rPr>
              <w:t>——</w:t>
            </w:r>
          </w:p>
        </w:tc>
        <w:tc>
          <w:tcPr>
            <w:tcW w:w="1242" w:type="dxa"/>
            <w:tcBorders>
              <w:top w:val="single" w:color="auto" w:sz="6" w:space="0"/>
              <w:left w:val="single" w:color="auto" w:sz="6" w:space="0"/>
              <w:bottom w:val="single" w:color="auto" w:sz="6" w:space="0"/>
              <w:right w:val="single" w:color="auto" w:sz="6" w:space="0"/>
            </w:tcBorders>
            <w:vAlign w:val="bottom"/>
          </w:tcPr>
          <w:p>
            <w:pPr>
              <w:adjustRightInd w:val="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 xml:space="preserve">663.04 </w:t>
            </w:r>
          </w:p>
        </w:tc>
        <w:tc>
          <w:tcPr>
            <w:tcW w:w="935" w:type="dxa"/>
            <w:tcBorders>
              <w:top w:val="single" w:color="auto" w:sz="6" w:space="0"/>
              <w:left w:val="single" w:color="auto" w:sz="6" w:space="0"/>
              <w:bottom w:val="single" w:color="auto" w:sz="6" w:space="0"/>
              <w:right w:val="single" w:color="auto" w:sz="6" w:space="0"/>
            </w:tcBorders>
            <w:vAlign w:val="center"/>
          </w:tcPr>
          <w:p>
            <w:pPr>
              <w:adjustRightInd w:val="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208.91</w:t>
            </w:r>
          </w:p>
        </w:tc>
        <w:tc>
          <w:tcPr>
            <w:tcW w:w="1089" w:type="dxa"/>
            <w:tcBorders>
              <w:top w:val="single" w:color="auto" w:sz="6" w:space="0"/>
              <w:left w:val="single" w:color="auto" w:sz="6" w:space="0"/>
              <w:bottom w:val="single" w:color="auto" w:sz="6" w:space="0"/>
              <w:right w:val="single" w:color="auto" w:sz="6" w:space="0"/>
            </w:tcBorders>
            <w:vAlign w:val="bottom"/>
          </w:tcPr>
          <w:p>
            <w:pPr>
              <w:adjustRightInd w:val="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 xml:space="preserve">55.42 </w:t>
            </w:r>
          </w:p>
        </w:tc>
        <w:tc>
          <w:tcPr>
            <w:tcW w:w="1193" w:type="dxa"/>
            <w:tcBorders>
              <w:top w:val="single" w:color="auto" w:sz="6" w:space="0"/>
              <w:left w:val="single" w:color="auto" w:sz="6" w:space="0"/>
              <w:bottom w:val="single" w:color="auto" w:sz="6" w:space="0"/>
              <w:right w:val="single" w:color="auto" w:sz="6" w:space="0"/>
            </w:tcBorders>
          </w:tcPr>
          <w:p>
            <w:pPr>
              <w:jc w:val="center"/>
              <w:rPr>
                <w:color w:val="000000" w:themeColor="text1"/>
                <w14:textFill>
                  <w14:solidFill>
                    <w14:schemeClr w14:val="tx1"/>
                  </w14:solidFill>
                </w14:textFill>
              </w:rPr>
            </w:pPr>
            <w:r>
              <w:rPr>
                <w:color w:val="000000" w:themeColor="text1"/>
                <w:sz w:val="21"/>
                <w:szCs w:val="21"/>
                <w14:textFill>
                  <w14:solidFill>
                    <w14:schemeClr w14:val="tx1"/>
                  </w14:solidFill>
                </w14:textFill>
              </w:rPr>
              <w:t>——</w:t>
            </w:r>
          </w:p>
        </w:tc>
        <w:tc>
          <w:tcPr>
            <w:tcW w:w="1080" w:type="dxa"/>
            <w:tcBorders>
              <w:top w:val="single" w:color="auto" w:sz="6" w:space="0"/>
              <w:left w:val="single" w:color="auto" w:sz="6" w:space="0"/>
              <w:bottom w:val="single" w:color="auto" w:sz="6" w:space="0"/>
              <w:right w:val="single" w:color="auto" w:sz="6" w:space="0"/>
            </w:tcBorders>
          </w:tcPr>
          <w:p>
            <w:pPr>
              <w:jc w:val="center"/>
              <w:rPr>
                <w:color w:val="000000" w:themeColor="text1"/>
                <w14:textFill>
                  <w14:solidFill>
                    <w14:schemeClr w14:val="tx1"/>
                  </w14:solidFill>
                </w14:textFill>
              </w:rPr>
            </w:pPr>
            <w:r>
              <w:rPr>
                <w:color w:val="000000" w:themeColor="text1"/>
                <w:sz w:val="21"/>
                <w:szCs w:val="21"/>
                <w14:textFill>
                  <w14:solidFill>
                    <w14:schemeClr w14:val="tx1"/>
                  </w14:solidFill>
                </w14:textFill>
              </w:rPr>
              <w:t>——</w:t>
            </w:r>
          </w:p>
        </w:tc>
        <w:tc>
          <w:tcPr>
            <w:tcW w:w="1080" w:type="dxa"/>
            <w:tcBorders>
              <w:top w:val="single" w:color="auto" w:sz="6" w:space="0"/>
              <w:left w:val="single" w:color="auto" w:sz="6" w:space="0"/>
              <w:bottom w:val="single" w:color="auto" w:sz="6" w:space="0"/>
              <w:right w:val="single" w:color="auto" w:sz="6" w:space="0"/>
            </w:tcBorders>
          </w:tcPr>
          <w:p>
            <w:pPr>
              <w:jc w:val="center"/>
              <w:rPr>
                <w:color w:val="000000" w:themeColor="text1"/>
                <w14:textFill>
                  <w14:solidFill>
                    <w14:schemeClr w14:val="tx1"/>
                  </w14:solidFill>
                </w14:textFill>
              </w:rPr>
            </w:pPr>
            <w:r>
              <w:rPr>
                <w:color w:val="000000" w:themeColor="text1"/>
                <w:sz w:val="21"/>
                <w:szCs w:val="21"/>
                <w14:textFill>
                  <w14:solidFill>
                    <w14:schemeClr w14:val="tx1"/>
                  </w14:solidFill>
                </w14:textFill>
              </w:rPr>
              <w:t>——</w:t>
            </w:r>
          </w:p>
        </w:tc>
        <w:tc>
          <w:tcPr>
            <w:tcW w:w="1171" w:type="dxa"/>
            <w:tcBorders>
              <w:top w:val="single" w:color="auto" w:sz="6" w:space="0"/>
              <w:left w:val="single" w:color="auto" w:sz="6" w:space="0"/>
              <w:bottom w:val="single" w:color="auto" w:sz="6" w:space="0"/>
              <w:right w:val="single" w:color="auto" w:sz="6" w:space="0"/>
            </w:tcBorders>
            <w:vAlign w:val="bottom"/>
          </w:tcPr>
          <w:p>
            <w:pPr>
              <w:adjustRightInd w:val="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 xml:space="preserve">595.29 </w:t>
            </w:r>
          </w:p>
        </w:tc>
        <w:tc>
          <w:tcPr>
            <w:tcW w:w="1012" w:type="dxa"/>
            <w:tcBorders>
              <w:top w:val="single" w:color="auto" w:sz="6" w:space="0"/>
              <w:left w:val="single" w:color="auto" w:sz="6" w:space="0"/>
              <w:bottom w:val="single" w:color="auto" w:sz="6" w:space="0"/>
              <w:right w:val="single" w:color="auto" w:sz="6" w:space="0"/>
            </w:tcBorders>
          </w:tcPr>
          <w:p>
            <w:pPr>
              <w:adjustRightInd w:val="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157.46</w:t>
            </w:r>
          </w:p>
        </w:tc>
        <w:tc>
          <w:tcPr>
            <w:tcW w:w="1035" w:type="dxa"/>
            <w:tcBorders>
              <w:top w:val="single" w:color="auto" w:sz="6" w:space="0"/>
              <w:left w:val="single" w:color="auto" w:sz="6" w:space="0"/>
              <w:bottom w:val="single" w:color="auto" w:sz="6" w:space="0"/>
              <w:right w:val="single" w:color="auto" w:sz="12" w:space="0"/>
            </w:tcBorders>
            <w:vAlign w:val="bottom"/>
          </w:tcPr>
          <w:p>
            <w:pPr>
              <w:adjustRightInd w:val="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 xml:space="preserve">182.03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27" w:hRule="exact"/>
          <w:jc w:val="center"/>
        </w:trPr>
        <w:tc>
          <w:tcPr>
            <w:tcW w:w="491" w:type="dxa"/>
            <w:vMerge w:val="continue"/>
            <w:tcBorders>
              <w:top w:val="single" w:color="auto" w:sz="6" w:space="0"/>
              <w:left w:val="single" w:color="auto" w:sz="12" w:space="0"/>
              <w:bottom w:val="single" w:color="auto" w:sz="6" w:space="0"/>
              <w:right w:val="single" w:color="auto" w:sz="6" w:space="0"/>
            </w:tcBorders>
            <w:vAlign w:val="center"/>
          </w:tcPr>
          <w:p>
            <w:pPr>
              <w:widowControl/>
              <w:adjustRightInd w:val="0"/>
              <w:jc w:val="center"/>
              <w:rPr>
                <w:color w:val="000000" w:themeColor="text1"/>
                <w:sz w:val="21"/>
                <w:szCs w:val="21"/>
                <w14:textFill>
                  <w14:solidFill>
                    <w14:schemeClr w14:val="tx1"/>
                  </w14:solidFill>
                </w14:textFill>
              </w:rPr>
            </w:pPr>
          </w:p>
        </w:tc>
        <w:tc>
          <w:tcPr>
            <w:tcW w:w="578" w:type="dxa"/>
            <w:tcBorders>
              <w:top w:val="single" w:color="auto" w:sz="6" w:space="0"/>
              <w:left w:val="single" w:color="auto" w:sz="6" w:space="0"/>
              <w:bottom w:val="single" w:color="auto" w:sz="6" w:space="0"/>
              <w:right w:val="single" w:color="auto" w:sz="6" w:space="0"/>
            </w:tcBorders>
            <w:vAlign w:val="bottom"/>
          </w:tcPr>
          <w:p>
            <w:pPr>
              <w:adjustRightInd w:val="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54</w:t>
            </w:r>
          </w:p>
        </w:tc>
        <w:tc>
          <w:tcPr>
            <w:tcW w:w="1267" w:type="dxa"/>
            <w:tcBorders>
              <w:top w:val="single" w:color="auto" w:sz="6" w:space="0"/>
              <w:left w:val="single" w:color="auto" w:sz="6" w:space="0"/>
              <w:bottom w:val="single" w:color="auto" w:sz="6" w:space="0"/>
              <w:right w:val="single" w:color="auto" w:sz="6" w:space="0"/>
            </w:tcBorders>
          </w:tcPr>
          <w:p>
            <w:pPr>
              <w:jc w:val="center"/>
              <w:rPr>
                <w:color w:val="000000" w:themeColor="text1"/>
                <w14:textFill>
                  <w14:solidFill>
                    <w14:schemeClr w14:val="tx1"/>
                  </w14:solidFill>
                </w14:textFill>
              </w:rPr>
            </w:pPr>
            <w:r>
              <w:rPr>
                <w:color w:val="000000" w:themeColor="text1"/>
                <w:sz w:val="21"/>
                <w:szCs w:val="21"/>
                <w14:textFill>
                  <w14:solidFill>
                    <w14:schemeClr w14:val="tx1"/>
                  </w14:solidFill>
                </w14:textFill>
              </w:rPr>
              <w:t>——</w:t>
            </w:r>
          </w:p>
        </w:tc>
        <w:tc>
          <w:tcPr>
            <w:tcW w:w="952" w:type="dxa"/>
            <w:tcBorders>
              <w:top w:val="single" w:color="auto" w:sz="6" w:space="0"/>
              <w:left w:val="single" w:color="auto" w:sz="6" w:space="0"/>
              <w:bottom w:val="single" w:color="auto" w:sz="6" w:space="0"/>
              <w:right w:val="single" w:color="auto" w:sz="6" w:space="0"/>
            </w:tcBorders>
          </w:tcPr>
          <w:p>
            <w:pPr>
              <w:jc w:val="center"/>
              <w:rPr>
                <w:color w:val="000000" w:themeColor="text1"/>
                <w14:textFill>
                  <w14:solidFill>
                    <w14:schemeClr w14:val="tx1"/>
                  </w14:solidFill>
                </w14:textFill>
              </w:rPr>
            </w:pPr>
            <w:r>
              <w:rPr>
                <w:color w:val="000000" w:themeColor="text1"/>
                <w:sz w:val="21"/>
                <w:szCs w:val="21"/>
                <w14:textFill>
                  <w14:solidFill>
                    <w14:schemeClr w14:val="tx1"/>
                  </w14:solidFill>
                </w14:textFill>
              </w:rPr>
              <w:t>——</w:t>
            </w:r>
          </w:p>
        </w:tc>
        <w:tc>
          <w:tcPr>
            <w:tcW w:w="1049" w:type="dxa"/>
            <w:tcBorders>
              <w:top w:val="single" w:color="auto" w:sz="6" w:space="0"/>
              <w:left w:val="single" w:color="auto" w:sz="6" w:space="0"/>
              <w:bottom w:val="single" w:color="auto" w:sz="6" w:space="0"/>
              <w:right w:val="single" w:color="auto" w:sz="6" w:space="0"/>
            </w:tcBorders>
          </w:tcPr>
          <w:p>
            <w:pPr>
              <w:jc w:val="center"/>
              <w:rPr>
                <w:color w:val="000000" w:themeColor="text1"/>
                <w14:textFill>
                  <w14:solidFill>
                    <w14:schemeClr w14:val="tx1"/>
                  </w14:solidFill>
                </w14:textFill>
              </w:rPr>
            </w:pPr>
            <w:r>
              <w:rPr>
                <w:color w:val="000000" w:themeColor="text1"/>
                <w:sz w:val="21"/>
                <w:szCs w:val="21"/>
                <w14:textFill>
                  <w14:solidFill>
                    <w14:schemeClr w14:val="tx1"/>
                  </w14:solidFill>
                </w14:textFill>
              </w:rPr>
              <w:t>——</w:t>
            </w:r>
          </w:p>
        </w:tc>
        <w:tc>
          <w:tcPr>
            <w:tcW w:w="1242" w:type="dxa"/>
            <w:tcBorders>
              <w:top w:val="single" w:color="auto" w:sz="6" w:space="0"/>
              <w:left w:val="single" w:color="auto" w:sz="6" w:space="0"/>
              <w:bottom w:val="single" w:color="auto" w:sz="6" w:space="0"/>
              <w:right w:val="single" w:color="auto" w:sz="6" w:space="0"/>
            </w:tcBorders>
            <w:vAlign w:val="bottom"/>
          </w:tcPr>
          <w:p>
            <w:pPr>
              <w:adjustRightInd w:val="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 xml:space="preserve">650.49 </w:t>
            </w:r>
          </w:p>
        </w:tc>
        <w:tc>
          <w:tcPr>
            <w:tcW w:w="935" w:type="dxa"/>
            <w:tcBorders>
              <w:top w:val="single" w:color="auto" w:sz="6" w:space="0"/>
              <w:left w:val="single" w:color="auto" w:sz="6" w:space="0"/>
              <w:bottom w:val="single" w:color="auto" w:sz="6" w:space="0"/>
              <w:right w:val="single" w:color="auto" w:sz="6" w:space="0"/>
            </w:tcBorders>
            <w:vAlign w:val="center"/>
          </w:tcPr>
          <w:p>
            <w:pPr>
              <w:adjustRightInd w:val="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249.93</w:t>
            </w:r>
          </w:p>
        </w:tc>
        <w:tc>
          <w:tcPr>
            <w:tcW w:w="1089" w:type="dxa"/>
            <w:tcBorders>
              <w:top w:val="single" w:color="auto" w:sz="6" w:space="0"/>
              <w:left w:val="single" w:color="auto" w:sz="6" w:space="0"/>
              <w:bottom w:val="single" w:color="auto" w:sz="6" w:space="0"/>
              <w:right w:val="single" w:color="auto" w:sz="6" w:space="0"/>
            </w:tcBorders>
            <w:vAlign w:val="bottom"/>
          </w:tcPr>
          <w:p>
            <w:pPr>
              <w:adjustRightInd w:val="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 xml:space="preserve">49.57 </w:t>
            </w:r>
          </w:p>
        </w:tc>
        <w:tc>
          <w:tcPr>
            <w:tcW w:w="1193" w:type="dxa"/>
            <w:tcBorders>
              <w:top w:val="single" w:color="auto" w:sz="6" w:space="0"/>
              <w:left w:val="single" w:color="auto" w:sz="6" w:space="0"/>
              <w:bottom w:val="single" w:color="auto" w:sz="6" w:space="0"/>
              <w:right w:val="single" w:color="auto" w:sz="6" w:space="0"/>
            </w:tcBorders>
          </w:tcPr>
          <w:p>
            <w:pPr>
              <w:jc w:val="center"/>
              <w:rPr>
                <w:color w:val="000000" w:themeColor="text1"/>
                <w14:textFill>
                  <w14:solidFill>
                    <w14:schemeClr w14:val="tx1"/>
                  </w14:solidFill>
                </w14:textFill>
              </w:rPr>
            </w:pPr>
            <w:r>
              <w:rPr>
                <w:color w:val="000000" w:themeColor="text1"/>
                <w:sz w:val="21"/>
                <w:szCs w:val="21"/>
                <w14:textFill>
                  <w14:solidFill>
                    <w14:schemeClr w14:val="tx1"/>
                  </w14:solidFill>
                </w14:textFill>
              </w:rPr>
              <w:t>——</w:t>
            </w:r>
          </w:p>
        </w:tc>
        <w:tc>
          <w:tcPr>
            <w:tcW w:w="1080" w:type="dxa"/>
            <w:tcBorders>
              <w:top w:val="single" w:color="auto" w:sz="6" w:space="0"/>
              <w:left w:val="single" w:color="auto" w:sz="6" w:space="0"/>
              <w:bottom w:val="single" w:color="auto" w:sz="6" w:space="0"/>
              <w:right w:val="single" w:color="auto" w:sz="6" w:space="0"/>
            </w:tcBorders>
          </w:tcPr>
          <w:p>
            <w:pPr>
              <w:jc w:val="center"/>
              <w:rPr>
                <w:color w:val="000000" w:themeColor="text1"/>
                <w14:textFill>
                  <w14:solidFill>
                    <w14:schemeClr w14:val="tx1"/>
                  </w14:solidFill>
                </w14:textFill>
              </w:rPr>
            </w:pPr>
            <w:r>
              <w:rPr>
                <w:color w:val="000000" w:themeColor="text1"/>
                <w:sz w:val="21"/>
                <w:szCs w:val="21"/>
                <w14:textFill>
                  <w14:solidFill>
                    <w14:schemeClr w14:val="tx1"/>
                  </w14:solidFill>
                </w14:textFill>
              </w:rPr>
              <w:t>——</w:t>
            </w:r>
          </w:p>
        </w:tc>
        <w:tc>
          <w:tcPr>
            <w:tcW w:w="1080" w:type="dxa"/>
            <w:tcBorders>
              <w:top w:val="single" w:color="auto" w:sz="6" w:space="0"/>
              <w:left w:val="single" w:color="auto" w:sz="6" w:space="0"/>
              <w:bottom w:val="single" w:color="auto" w:sz="6" w:space="0"/>
              <w:right w:val="single" w:color="auto" w:sz="6" w:space="0"/>
            </w:tcBorders>
          </w:tcPr>
          <w:p>
            <w:pPr>
              <w:jc w:val="center"/>
              <w:rPr>
                <w:color w:val="000000" w:themeColor="text1"/>
                <w14:textFill>
                  <w14:solidFill>
                    <w14:schemeClr w14:val="tx1"/>
                  </w14:solidFill>
                </w14:textFill>
              </w:rPr>
            </w:pPr>
            <w:r>
              <w:rPr>
                <w:color w:val="000000" w:themeColor="text1"/>
                <w:sz w:val="21"/>
                <w:szCs w:val="21"/>
                <w14:textFill>
                  <w14:solidFill>
                    <w14:schemeClr w14:val="tx1"/>
                  </w14:solidFill>
                </w14:textFill>
              </w:rPr>
              <w:t>——</w:t>
            </w:r>
          </w:p>
        </w:tc>
        <w:tc>
          <w:tcPr>
            <w:tcW w:w="1171" w:type="dxa"/>
            <w:tcBorders>
              <w:top w:val="single" w:color="auto" w:sz="6" w:space="0"/>
              <w:left w:val="single" w:color="auto" w:sz="6" w:space="0"/>
              <w:bottom w:val="single" w:color="auto" w:sz="6" w:space="0"/>
              <w:right w:val="single" w:color="auto" w:sz="6" w:space="0"/>
            </w:tcBorders>
            <w:vAlign w:val="bottom"/>
          </w:tcPr>
          <w:p>
            <w:pPr>
              <w:adjustRightInd w:val="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 xml:space="preserve">590.51 </w:t>
            </w:r>
          </w:p>
        </w:tc>
        <w:tc>
          <w:tcPr>
            <w:tcW w:w="1012" w:type="dxa"/>
            <w:tcBorders>
              <w:top w:val="single" w:color="auto" w:sz="6" w:space="0"/>
              <w:left w:val="single" w:color="auto" w:sz="6" w:space="0"/>
              <w:bottom w:val="single" w:color="auto" w:sz="6" w:space="0"/>
              <w:right w:val="single" w:color="auto" w:sz="6" w:space="0"/>
            </w:tcBorders>
          </w:tcPr>
          <w:p>
            <w:pPr>
              <w:adjustRightInd w:val="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157.94</w:t>
            </w:r>
          </w:p>
        </w:tc>
        <w:tc>
          <w:tcPr>
            <w:tcW w:w="1035" w:type="dxa"/>
            <w:tcBorders>
              <w:top w:val="single" w:color="auto" w:sz="6" w:space="0"/>
              <w:left w:val="single" w:color="auto" w:sz="6" w:space="0"/>
              <w:bottom w:val="single" w:color="auto" w:sz="6" w:space="0"/>
              <w:right w:val="single" w:color="auto" w:sz="12" w:space="0"/>
            </w:tcBorders>
            <w:vAlign w:val="bottom"/>
          </w:tcPr>
          <w:p>
            <w:pPr>
              <w:adjustRightInd w:val="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 xml:space="preserve">230.08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27" w:hRule="exact"/>
          <w:jc w:val="center"/>
        </w:trPr>
        <w:tc>
          <w:tcPr>
            <w:tcW w:w="491" w:type="dxa"/>
            <w:vMerge w:val="continue"/>
            <w:tcBorders>
              <w:top w:val="single" w:color="auto" w:sz="6" w:space="0"/>
              <w:left w:val="single" w:color="auto" w:sz="12" w:space="0"/>
              <w:bottom w:val="single" w:color="auto" w:sz="6" w:space="0"/>
              <w:right w:val="single" w:color="auto" w:sz="6" w:space="0"/>
            </w:tcBorders>
            <w:vAlign w:val="center"/>
          </w:tcPr>
          <w:p>
            <w:pPr>
              <w:widowControl/>
              <w:adjustRightInd w:val="0"/>
              <w:jc w:val="center"/>
              <w:rPr>
                <w:color w:val="000000" w:themeColor="text1"/>
                <w:sz w:val="21"/>
                <w:szCs w:val="21"/>
                <w14:textFill>
                  <w14:solidFill>
                    <w14:schemeClr w14:val="tx1"/>
                  </w14:solidFill>
                </w14:textFill>
              </w:rPr>
            </w:pPr>
          </w:p>
        </w:tc>
        <w:tc>
          <w:tcPr>
            <w:tcW w:w="578" w:type="dxa"/>
            <w:tcBorders>
              <w:top w:val="single" w:color="auto" w:sz="6" w:space="0"/>
              <w:left w:val="single" w:color="auto" w:sz="6" w:space="0"/>
              <w:bottom w:val="single" w:color="auto" w:sz="6" w:space="0"/>
              <w:right w:val="single" w:color="auto" w:sz="6" w:space="0"/>
            </w:tcBorders>
            <w:vAlign w:val="bottom"/>
          </w:tcPr>
          <w:p>
            <w:pPr>
              <w:adjustRightInd w:val="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57</w:t>
            </w:r>
          </w:p>
        </w:tc>
        <w:tc>
          <w:tcPr>
            <w:tcW w:w="1267" w:type="dxa"/>
            <w:tcBorders>
              <w:top w:val="single" w:color="auto" w:sz="6" w:space="0"/>
              <w:left w:val="single" w:color="auto" w:sz="6" w:space="0"/>
              <w:bottom w:val="single" w:color="auto" w:sz="6" w:space="0"/>
              <w:right w:val="single" w:color="auto" w:sz="6" w:space="0"/>
            </w:tcBorders>
          </w:tcPr>
          <w:p>
            <w:pPr>
              <w:jc w:val="center"/>
              <w:rPr>
                <w:color w:val="000000" w:themeColor="text1"/>
                <w14:textFill>
                  <w14:solidFill>
                    <w14:schemeClr w14:val="tx1"/>
                  </w14:solidFill>
                </w14:textFill>
              </w:rPr>
            </w:pPr>
            <w:r>
              <w:rPr>
                <w:color w:val="000000" w:themeColor="text1"/>
                <w:sz w:val="21"/>
                <w:szCs w:val="21"/>
                <w14:textFill>
                  <w14:solidFill>
                    <w14:schemeClr w14:val="tx1"/>
                  </w14:solidFill>
                </w14:textFill>
              </w:rPr>
              <w:t>——</w:t>
            </w:r>
          </w:p>
        </w:tc>
        <w:tc>
          <w:tcPr>
            <w:tcW w:w="952" w:type="dxa"/>
            <w:tcBorders>
              <w:top w:val="single" w:color="auto" w:sz="6" w:space="0"/>
              <w:left w:val="single" w:color="auto" w:sz="6" w:space="0"/>
              <w:bottom w:val="single" w:color="auto" w:sz="6" w:space="0"/>
              <w:right w:val="single" w:color="auto" w:sz="6" w:space="0"/>
            </w:tcBorders>
          </w:tcPr>
          <w:p>
            <w:pPr>
              <w:jc w:val="center"/>
              <w:rPr>
                <w:color w:val="000000" w:themeColor="text1"/>
                <w14:textFill>
                  <w14:solidFill>
                    <w14:schemeClr w14:val="tx1"/>
                  </w14:solidFill>
                </w14:textFill>
              </w:rPr>
            </w:pPr>
            <w:r>
              <w:rPr>
                <w:color w:val="000000" w:themeColor="text1"/>
                <w:sz w:val="21"/>
                <w:szCs w:val="21"/>
                <w14:textFill>
                  <w14:solidFill>
                    <w14:schemeClr w14:val="tx1"/>
                  </w14:solidFill>
                </w14:textFill>
              </w:rPr>
              <w:t>——</w:t>
            </w:r>
          </w:p>
        </w:tc>
        <w:tc>
          <w:tcPr>
            <w:tcW w:w="1049" w:type="dxa"/>
            <w:tcBorders>
              <w:top w:val="single" w:color="auto" w:sz="6" w:space="0"/>
              <w:left w:val="single" w:color="auto" w:sz="6" w:space="0"/>
              <w:bottom w:val="single" w:color="auto" w:sz="6" w:space="0"/>
              <w:right w:val="single" w:color="auto" w:sz="6" w:space="0"/>
            </w:tcBorders>
          </w:tcPr>
          <w:p>
            <w:pPr>
              <w:jc w:val="center"/>
              <w:rPr>
                <w:color w:val="000000" w:themeColor="text1"/>
                <w14:textFill>
                  <w14:solidFill>
                    <w14:schemeClr w14:val="tx1"/>
                  </w14:solidFill>
                </w14:textFill>
              </w:rPr>
            </w:pPr>
            <w:r>
              <w:rPr>
                <w:color w:val="000000" w:themeColor="text1"/>
                <w:sz w:val="21"/>
                <w:szCs w:val="21"/>
                <w14:textFill>
                  <w14:solidFill>
                    <w14:schemeClr w14:val="tx1"/>
                  </w14:solidFill>
                </w14:textFill>
              </w:rPr>
              <w:t>——</w:t>
            </w:r>
          </w:p>
        </w:tc>
        <w:tc>
          <w:tcPr>
            <w:tcW w:w="1242" w:type="dxa"/>
            <w:tcBorders>
              <w:top w:val="single" w:color="auto" w:sz="6" w:space="0"/>
              <w:left w:val="single" w:color="auto" w:sz="6" w:space="0"/>
              <w:bottom w:val="single" w:color="auto" w:sz="6" w:space="0"/>
              <w:right w:val="single" w:color="auto" w:sz="6" w:space="0"/>
            </w:tcBorders>
            <w:vAlign w:val="bottom"/>
          </w:tcPr>
          <w:p>
            <w:pPr>
              <w:adjustRightInd w:val="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 xml:space="preserve">638.76 </w:t>
            </w:r>
          </w:p>
        </w:tc>
        <w:tc>
          <w:tcPr>
            <w:tcW w:w="935" w:type="dxa"/>
            <w:tcBorders>
              <w:top w:val="single" w:color="auto" w:sz="6" w:space="0"/>
              <w:left w:val="single" w:color="auto" w:sz="6" w:space="0"/>
              <w:bottom w:val="single" w:color="auto" w:sz="6" w:space="0"/>
              <w:right w:val="single" w:color="auto" w:sz="6" w:space="0"/>
            </w:tcBorders>
            <w:vAlign w:val="center"/>
          </w:tcPr>
          <w:p>
            <w:pPr>
              <w:adjustRightInd w:val="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273.25</w:t>
            </w:r>
          </w:p>
        </w:tc>
        <w:tc>
          <w:tcPr>
            <w:tcW w:w="1089" w:type="dxa"/>
            <w:tcBorders>
              <w:top w:val="single" w:color="auto" w:sz="6" w:space="0"/>
              <w:left w:val="single" w:color="auto" w:sz="6" w:space="0"/>
              <w:bottom w:val="single" w:color="auto" w:sz="6" w:space="0"/>
              <w:right w:val="single" w:color="auto" w:sz="6" w:space="0"/>
            </w:tcBorders>
            <w:vAlign w:val="bottom"/>
          </w:tcPr>
          <w:p>
            <w:pPr>
              <w:adjustRightInd w:val="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 xml:space="preserve">49.45 </w:t>
            </w:r>
          </w:p>
        </w:tc>
        <w:tc>
          <w:tcPr>
            <w:tcW w:w="1193" w:type="dxa"/>
            <w:tcBorders>
              <w:top w:val="single" w:color="auto" w:sz="6" w:space="0"/>
              <w:left w:val="single" w:color="auto" w:sz="6" w:space="0"/>
              <w:bottom w:val="single" w:color="auto" w:sz="6" w:space="0"/>
              <w:right w:val="single" w:color="auto" w:sz="6" w:space="0"/>
            </w:tcBorders>
          </w:tcPr>
          <w:p>
            <w:pPr>
              <w:jc w:val="center"/>
              <w:rPr>
                <w:color w:val="000000" w:themeColor="text1"/>
                <w14:textFill>
                  <w14:solidFill>
                    <w14:schemeClr w14:val="tx1"/>
                  </w14:solidFill>
                </w14:textFill>
              </w:rPr>
            </w:pPr>
            <w:r>
              <w:rPr>
                <w:color w:val="000000" w:themeColor="text1"/>
                <w:sz w:val="21"/>
                <w:szCs w:val="21"/>
                <w14:textFill>
                  <w14:solidFill>
                    <w14:schemeClr w14:val="tx1"/>
                  </w14:solidFill>
                </w14:textFill>
              </w:rPr>
              <w:t>——</w:t>
            </w:r>
          </w:p>
        </w:tc>
        <w:tc>
          <w:tcPr>
            <w:tcW w:w="1080" w:type="dxa"/>
            <w:tcBorders>
              <w:top w:val="single" w:color="auto" w:sz="6" w:space="0"/>
              <w:left w:val="single" w:color="auto" w:sz="6" w:space="0"/>
              <w:bottom w:val="single" w:color="auto" w:sz="6" w:space="0"/>
              <w:right w:val="single" w:color="auto" w:sz="6" w:space="0"/>
            </w:tcBorders>
          </w:tcPr>
          <w:p>
            <w:pPr>
              <w:jc w:val="center"/>
              <w:rPr>
                <w:color w:val="000000" w:themeColor="text1"/>
                <w14:textFill>
                  <w14:solidFill>
                    <w14:schemeClr w14:val="tx1"/>
                  </w14:solidFill>
                </w14:textFill>
              </w:rPr>
            </w:pPr>
            <w:r>
              <w:rPr>
                <w:color w:val="000000" w:themeColor="text1"/>
                <w:sz w:val="21"/>
                <w:szCs w:val="21"/>
                <w14:textFill>
                  <w14:solidFill>
                    <w14:schemeClr w14:val="tx1"/>
                  </w14:solidFill>
                </w14:textFill>
              </w:rPr>
              <w:t>——</w:t>
            </w:r>
          </w:p>
        </w:tc>
        <w:tc>
          <w:tcPr>
            <w:tcW w:w="1080" w:type="dxa"/>
            <w:tcBorders>
              <w:top w:val="single" w:color="auto" w:sz="6" w:space="0"/>
              <w:left w:val="single" w:color="auto" w:sz="6" w:space="0"/>
              <w:bottom w:val="single" w:color="auto" w:sz="6" w:space="0"/>
              <w:right w:val="single" w:color="auto" w:sz="6" w:space="0"/>
            </w:tcBorders>
          </w:tcPr>
          <w:p>
            <w:pPr>
              <w:jc w:val="center"/>
              <w:rPr>
                <w:color w:val="000000" w:themeColor="text1"/>
                <w14:textFill>
                  <w14:solidFill>
                    <w14:schemeClr w14:val="tx1"/>
                  </w14:solidFill>
                </w14:textFill>
              </w:rPr>
            </w:pPr>
            <w:r>
              <w:rPr>
                <w:color w:val="000000" w:themeColor="text1"/>
                <w:sz w:val="21"/>
                <w:szCs w:val="21"/>
                <w14:textFill>
                  <w14:solidFill>
                    <w14:schemeClr w14:val="tx1"/>
                  </w14:solidFill>
                </w14:textFill>
              </w:rPr>
              <w:t>——</w:t>
            </w:r>
          </w:p>
        </w:tc>
        <w:tc>
          <w:tcPr>
            <w:tcW w:w="1171" w:type="dxa"/>
            <w:tcBorders>
              <w:top w:val="single" w:color="auto" w:sz="6" w:space="0"/>
              <w:left w:val="single" w:color="auto" w:sz="6" w:space="0"/>
              <w:bottom w:val="single" w:color="auto" w:sz="6" w:space="0"/>
              <w:right w:val="single" w:color="auto" w:sz="6" w:space="0"/>
            </w:tcBorders>
            <w:vAlign w:val="bottom"/>
          </w:tcPr>
          <w:p>
            <w:pPr>
              <w:adjustRightInd w:val="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 xml:space="preserve">586.17 </w:t>
            </w:r>
          </w:p>
        </w:tc>
        <w:tc>
          <w:tcPr>
            <w:tcW w:w="1012" w:type="dxa"/>
            <w:tcBorders>
              <w:top w:val="single" w:color="auto" w:sz="6" w:space="0"/>
              <w:left w:val="single" w:color="auto" w:sz="6" w:space="0"/>
              <w:bottom w:val="single" w:color="auto" w:sz="6" w:space="0"/>
              <w:right w:val="single" w:color="auto" w:sz="6" w:space="0"/>
            </w:tcBorders>
          </w:tcPr>
          <w:p>
            <w:pPr>
              <w:adjustRightInd w:val="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158.08</w:t>
            </w:r>
          </w:p>
        </w:tc>
        <w:tc>
          <w:tcPr>
            <w:tcW w:w="1035" w:type="dxa"/>
            <w:tcBorders>
              <w:top w:val="single" w:color="auto" w:sz="6" w:space="0"/>
              <w:left w:val="single" w:color="auto" w:sz="6" w:space="0"/>
              <w:bottom w:val="single" w:color="auto" w:sz="6" w:space="0"/>
              <w:right w:val="single" w:color="auto" w:sz="12" w:space="0"/>
            </w:tcBorders>
            <w:vAlign w:val="bottom"/>
          </w:tcPr>
          <w:p>
            <w:pPr>
              <w:adjustRightInd w:val="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 xml:space="preserve">205.22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27" w:hRule="exact"/>
          <w:jc w:val="center"/>
        </w:trPr>
        <w:tc>
          <w:tcPr>
            <w:tcW w:w="491" w:type="dxa"/>
            <w:vMerge w:val="continue"/>
            <w:tcBorders>
              <w:top w:val="single" w:color="auto" w:sz="6" w:space="0"/>
              <w:left w:val="single" w:color="auto" w:sz="12" w:space="0"/>
              <w:bottom w:val="single" w:color="auto" w:sz="6" w:space="0"/>
              <w:right w:val="single" w:color="auto" w:sz="6" w:space="0"/>
            </w:tcBorders>
            <w:vAlign w:val="center"/>
          </w:tcPr>
          <w:p>
            <w:pPr>
              <w:widowControl/>
              <w:adjustRightInd w:val="0"/>
              <w:jc w:val="center"/>
              <w:rPr>
                <w:color w:val="000000" w:themeColor="text1"/>
                <w:sz w:val="21"/>
                <w:szCs w:val="21"/>
                <w14:textFill>
                  <w14:solidFill>
                    <w14:schemeClr w14:val="tx1"/>
                  </w14:solidFill>
                </w14:textFill>
              </w:rPr>
            </w:pPr>
          </w:p>
        </w:tc>
        <w:tc>
          <w:tcPr>
            <w:tcW w:w="578" w:type="dxa"/>
            <w:tcBorders>
              <w:top w:val="single" w:color="auto" w:sz="6" w:space="0"/>
              <w:left w:val="single" w:color="auto" w:sz="6" w:space="0"/>
              <w:bottom w:val="single" w:color="auto" w:sz="6" w:space="0"/>
              <w:right w:val="single" w:color="auto" w:sz="6" w:space="0"/>
            </w:tcBorders>
            <w:vAlign w:val="bottom"/>
          </w:tcPr>
          <w:p>
            <w:pPr>
              <w:adjustRightInd w:val="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60</w:t>
            </w:r>
          </w:p>
        </w:tc>
        <w:tc>
          <w:tcPr>
            <w:tcW w:w="1267" w:type="dxa"/>
            <w:tcBorders>
              <w:top w:val="single" w:color="auto" w:sz="6" w:space="0"/>
              <w:left w:val="single" w:color="auto" w:sz="6" w:space="0"/>
              <w:bottom w:val="single" w:color="auto" w:sz="6" w:space="0"/>
              <w:right w:val="single" w:color="auto" w:sz="6" w:space="0"/>
            </w:tcBorders>
          </w:tcPr>
          <w:p>
            <w:pPr>
              <w:jc w:val="center"/>
              <w:rPr>
                <w:color w:val="000000" w:themeColor="text1"/>
                <w14:textFill>
                  <w14:solidFill>
                    <w14:schemeClr w14:val="tx1"/>
                  </w14:solidFill>
                </w14:textFill>
              </w:rPr>
            </w:pPr>
            <w:r>
              <w:rPr>
                <w:color w:val="000000" w:themeColor="text1"/>
                <w:sz w:val="21"/>
                <w:szCs w:val="21"/>
                <w14:textFill>
                  <w14:solidFill>
                    <w14:schemeClr w14:val="tx1"/>
                  </w14:solidFill>
                </w14:textFill>
              </w:rPr>
              <w:t>——</w:t>
            </w:r>
          </w:p>
        </w:tc>
        <w:tc>
          <w:tcPr>
            <w:tcW w:w="952" w:type="dxa"/>
            <w:tcBorders>
              <w:top w:val="single" w:color="auto" w:sz="6" w:space="0"/>
              <w:left w:val="single" w:color="auto" w:sz="6" w:space="0"/>
              <w:bottom w:val="single" w:color="auto" w:sz="6" w:space="0"/>
              <w:right w:val="single" w:color="auto" w:sz="6" w:space="0"/>
            </w:tcBorders>
          </w:tcPr>
          <w:p>
            <w:pPr>
              <w:jc w:val="center"/>
              <w:rPr>
                <w:color w:val="000000" w:themeColor="text1"/>
                <w14:textFill>
                  <w14:solidFill>
                    <w14:schemeClr w14:val="tx1"/>
                  </w14:solidFill>
                </w14:textFill>
              </w:rPr>
            </w:pPr>
            <w:r>
              <w:rPr>
                <w:color w:val="000000" w:themeColor="text1"/>
                <w:sz w:val="21"/>
                <w:szCs w:val="21"/>
                <w14:textFill>
                  <w14:solidFill>
                    <w14:schemeClr w14:val="tx1"/>
                  </w14:solidFill>
                </w14:textFill>
              </w:rPr>
              <w:t>——</w:t>
            </w:r>
          </w:p>
        </w:tc>
        <w:tc>
          <w:tcPr>
            <w:tcW w:w="1049" w:type="dxa"/>
            <w:tcBorders>
              <w:top w:val="single" w:color="auto" w:sz="6" w:space="0"/>
              <w:left w:val="single" w:color="auto" w:sz="6" w:space="0"/>
              <w:bottom w:val="single" w:color="auto" w:sz="6" w:space="0"/>
              <w:right w:val="single" w:color="auto" w:sz="6" w:space="0"/>
            </w:tcBorders>
          </w:tcPr>
          <w:p>
            <w:pPr>
              <w:jc w:val="center"/>
              <w:rPr>
                <w:color w:val="000000" w:themeColor="text1"/>
                <w14:textFill>
                  <w14:solidFill>
                    <w14:schemeClr w14:val="tx1"/>
                  </w14:solidFill>
                </w14:textFill>
              </w:rPr>
            </w:pPr>
            <w:r>
              <w:rPr>
                <w:color w:val="000000" w:themeColor="text1"/>
                <w:sz w:val="21"/>
                <w:szCs w:val="21"/>
                <w14:textFill>
                  <w14:solidFill>
                    <w14:schemeClr w14:val="tx1"/>
                  </w14:solidFill>
                </w14:textFill>
              </w:rPr>
              <w:t>——</w:t>
            </w:r>
          </w:p>
        </w:tc>
        <w:tc>
          <w:tcPr>
            <w:tcW w:w="1242" w:type="dxa"/>
            <w:tcBorders>
              <w:top w:val="single" w:color="auto" w:sz="6" w:space="0"/>
              <w:left w:val="single" w:color="auto" w:sz="6" w:space="0"/>
              <w:bottom w:val="single" w:color="auto" w:sz="6" w:space="0"/>
              <w:right w:val="single" w:color="auto" w:sz="6" w:space="0"/>
            </w:tcBorders>
            <w:vAlign w:val="bottom"/>
          </w:tcPr>
          <w:p>
            <w:pPr>
              <w:adjustRightInd w:val="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 xml:space="preserve">627.81 </w:t>
            </w:r>
          </w:p>
        </w:tc>
        <w:tc>
          <w:tcPr>
            <w:tcW w:w="935" w:type="dxa"/>
            <w:tcBorders>
              <w:top w:val="single" w:color="auto" w:sz="6" w:space="0"/>
              <w:left w:val="single" w:color="auto" w:sz="6" w:space="0"/>
              <w:bottom w:val="single" w:color="auto" w:sz="6" w:space="0"/>
              <w:right w:val="single" w:color="auto" w:sz="6" w:space="0"/>
            </w:tcBorders>
            <w:vAlign w:val="center"/>
          </w:tcPr>
          <w:p>
            <w:pPr>
              <w:adjustRightInd w:val="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283.32</w:t>
            </w:r>
          </w:p>
        </w:tc>
        <w:tc>
          <w:tcPr>
            <w:tcW w:w="1089" w:type="dxa"/>
            <w:tcBorders>
              <w:top w:val="single" w:color="auto" w:sz="6" w:space="0"/>
              <w:left w:val="single" w:color="auto" w:sz="6" w:space="0"/>
              <w:bottom w:val="single" w:color="auto" w:sz="6" w:space="0"/>
              <w:right w:val="single" w:color="auto" w:sz="6" w:space="0"/>
            </w:tcBorders>
            <w:vAlign w:val="bottom"/>
          </w:tcPr>
          <w:p>
            <w:pPr>
              <w:adjustRightInd w:val="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 xml:space="preserve">47.69 </w:t>
            </w:r>
          </w:p>
        </w:tc>
        <w:tc>
          <w:tcPr>
            <w:tcW w:w="1193" w:type="dxa"/>
            <w:tcBorders>
              <w:top w:val="single" w:color="auto" w:sz="6" w:space="0"/>
              <w:left w:val="single" w:color="auto" w:sz="6" w:space="0"/>
              <w:bottom w:val="single" w:color="auto" w:sz="6" w:space="0"/>
              <w:right w:val="single" w:color="auto" w:sz="6" w:space="0"/>
            </w:tcBorders>
          </w:tcPr>
          <w:p>
            <w:pPr>
              <w:jc w:val="center"/>
              <w:rPr>
                <w:color w:val="000000" w:themeColor="text1"/>
                <w14:textFill>
                  <w14:solidFill>
                    <w14:schemeClr w14:val="tx1"/>
                  </w14:solidFill>
                </w14:textFill>
              </w:rPr>
            </w:pPr>
            <w:r>
              <w:rPr>
                <w:color w:val="000000" w:themeColor="text1"/>
                <w:sz w:val="21"/>
                <w:szCs w:val="21"/>
                <w14:textFill>
                  <w14:solidFill>
                    <w14:schemeClr w14:val="tx1"/>
                  </w14:solidFill>
                </w14:textFill>
              </w:rPr>
              <w:t>——</w:t>
            </w:r>
          </w:p>
        </w:tc>
        <w:tc>
          <w:tcPr>
            <w:tcW w:w="1080" w:type="dxa"/>
            <w:tcBorders>
              <w:top w:val="single" w:color="auto" w:sz="6" w:space="0"/>
              <w:left w:val="single" w:color="auto" w:sz="6" w:space="0"/>
              <w:bottom w:val="single" w:color="auto" w:sz="6" w:space="0"/>
              <w:right w:val="single" w:color="auto" w:sz="6" w:space="0"/>
            </w:tcBorders>
          </w:tcPr>
          <w:p>
            <w:pPr>
              <w:jc w:val="center"/>
              <w:rPr>
                <w:color w:val="000000" w:themeColor="text1"/>
                <w14:textFill>
                  <w14:solidFill>
                    <w14:schemeClr w14:val="tx1"/>
                  </w14:solidFill>
                </w14:textFill>
              </w:rPr>
            </w:pPr>
            <w:r>
              <w:rPr>
                <w:color w:val="000000" w:themeColor="text1"/>
                <w:sz w:val="21"/>
                <w:szCs w:val="21"/>
                <w14:textFill>
                  <w14:solidFill>
                    <w14:schemeClr w14:val="tx1"/>
                  </w14:solidFill>
                </w14:textFill>
              </w:rPr>
              <w:t>——</w:t>
            </w:r>
          </w:p>
        </w:tc>
        <w:tc>
          <w:tcPr>
            <w:tcW w:w="1080" w:type="dxa"/>
            <w:tcBorders>
              <w:top w:val="single" w:color="auto" w:sz="6" w:space="0"/>
              <w:left w:val="single" w:color="auto" w:sz="6" w:space="0"/>
              <w:bottom w:val="single" w:color="auto" w:sz="6" w:space="0"/>
              <w:right w:val="single" w:color="auto" w:sz="6" w:space="0"/>
            </w:tcBorders>
          </w:tcPr>
          <w:p>
            <w:pPr>
              <w:jc w:val="center"/>
              <w:rPr>
                <w:color w:val="000000" w:themeColor="text1"/>
                <w14:textFill>
                  <w14:solidFill>
                    <w14:schemeClr w14:val="tx1"/>
                  </w14:solidFill>
                </w14:textFill>
              </w:rPr>
            </w:pPr>
            <w:r>
              <w:rPr>
                <w:color w:val="000000" w:themeColor="text1"/>
                <w:sz w:val="21"/>
                <w:szCs w:val="21"/>
                <w14:textFill>
                  <w14:solidFill>
                    <w14:schemeClr w14:val="tx1"/>
                  </w14:solidFill>
                </w14:textFill>
              </w:rPr>
              <w:t>——</w:t>
            </w:r>
          </w:p>
        </w:tc>
        <w:tc>
          <w:tcPr>
            <w:tcW w:w="1171" w:type="dxa"/>
            <w:tcBorders>
              <w:top w:val="single" w:color="auto" w:sz="6" w:space="0"/>
              <w:left w:val="single" w:color="auto" w:sz="6" w:space="0"/>
              <w:bottom w:val="single" w:color="auto" w:sz="6" w:space="0"/>
              <w:right w:val="single" w:color="auto" w:sz="6" w:space="0"/>
            </w:tcBorders>
            <w:vAlign w:val="bottom"/>
          </w:tcPr>
          <w:p>
            <w:pPr>
              <w:adjustRightInd w:val="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 xml:space="preserve">582.05 </w:t>
            </w:r>
          </w:p>
        </w:tc>
        <w:tc>
          <w:tcPr>
            <w:tcW w:w="1012" w:type="dxa"/>
            <w:tcBorders>
              <w:top w:val="single" w:color="auto" w:sz="6" w:space="0"/>
              <w:left w:val="single" w:color="auto" w:sz="6" w:space="0"/>
              <w:bottom w:val="single" w:color="auto" w:sz="6" w:space="0"/>
              <w:right w:val="single" w:color="auto" w:sz="6" w:space="0"/>
            </w:tcBorders>
          </w:tcPr>
          <w:p>
            <w:pPr>
              <w:adjustRightInd w:val="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158.13</w:t>
            </w:r>
          </w:p>
        </w:tc>
        <w:tc>
          <w:tcPr>
            <w:tcW w:w="1035" w:type="dxa"/>
            <w:tcBorders>
              <w:top w:val="single" w:color="auto" w:sz="6" w:space="0"/>
              <w:left w:val="single" w:color="auto" w:sz="6" w:space="0"/>
              <w:bottom w:val="single" w:color="auto" w:sz="6" w:space="0"/>
              <w:right w:val="single" w:color="auto" w:sz="12" w:space="0"/>
            </w:tcBorders>
            <w:vAlign w:val="bottom"/>
          </w:tcPr>
          <w:p>
            <w:pPr>
              <w:adjustRightInd w:val="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 xml:space="preserve">209.86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27" w:hRule="exact"/>
          <w:jc w:val="center"/>
        </w:trPr>
        <w:tc>
          <w:tcPr>
            <w:tcW w:w="491" w:type="dxa"/>
            <w:vMerge w:val="continue"/>
            <w:tcBorders>
              <w:top w:val="single" w:color="auto" w:sz="6" w:space="0"/>
              <w:left w:val="single" w:color="auto" w:sz="12" w:space="0"/>
              <w:bottom w:val="single" w:color="auto" w:sz="6" w:space="0"/>
              <w:right w:val="single" w:color="auto" w:sz="6" w:space="0"/>
            </w:tcBorders>
            <w:vAlign w:val="center"/>
          </w:tcPr>
          <w:p>
            <w:pPr>
              <w:widowControl/>
              <w:adjustRightInd w:val="0"/>
              <w:jc w:val="center"/>
              <w:rPr>
                <w:color w:val="000000" w:themeColor="text1"/>
                <w:sz w:val="21"/>
                <w:szCs w:val="21"/>
                <w14:textFill>
                  <w14:solidFill>
                    <w14:schemeClr w14:val="tx1"/>
                  </w14:solidFill>
                </w14:textFill>
              </w:rPr>
            </w:pPr>
          </w:p>
        </w:tc>
        <w:tc>
          <w:tcPr>
            <w:tcW w:w="578" w:type="dxa"/>
            <w:tcBorders>
              <w:top w:val="single" w:color="auto" w:sz="6" w:space="0"/>
              <w:left w:val="single" w:color="auto" w:sz="6" w:space="0"/>
              <w:bottom w:val="single" w:color="auto" w:sz="6" w:space="0"/>
              <w:right w:val="single" w:color="auto" w:sz="6" w:space="0"/>
            </w:tcBorders>
            <w:vAlign w:val="bottom"/>
          </w:tcPr>
          <w:p>
            <w:pPr>
              <w:adjustRightInd w:val="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63</w:t>
            </w:r>
          </w:p>
        </w:tc>
        <w:tc>
          <w:tcPr>
            <w:tcW w:w="1267" w:type="dxa"/>
            <w:tcBorders>
              <w:top w:val="single" w:color="auto" w:sz="6" w:space="0"/>
              <w:left w:val="single" w:color="auto" w:sz="6" w:space="0"/>
              <w:bottom w:val="single" w:color="auto" w:sz="6" w:space="0"/>
              <w:right w:val="single" w:color="auto" w:sz="6" w:space="0"/>
            </w:tcBorders>
          </w:tcPr>
          <w:p>
            <w:pPr>
              <w:jc w:val="center"/>
              <w:rPr>
                <w:color w:val="000000" w:themeColor="text1"/>
                <w14:textFill>
                  <w14:solidFill>
                    <w14:schemeClr w14:val="tx1"/>
                  </w14:solidFill>
                </w14:textFill>
              </w:rPr>
            </w:pPr>
            <w:r>
              <w:rPr>
                <w:color w:val="000000" w:themeColor="text1"/>
                <w:sz w:val="21"/>
                <w:szCs w:val="21"/>
                <w14:textFill>
                  <w14:solidFill>
                    <w14:schemeClr w14:val="tx1"/>
                  </w14:solidFill>
                </w14:textFill>
              </w:rPr>
              <w:t>——</w:t>
            </w:r>
          </w:p>
        </w:tc>
        <w:tc>
          <w:tcPr>
            <w:tcW w:w="952" w:type="dxa"/>
            <w:tcBorders>
              <w:top w:val="single" w:color="auto" w:sz="6" w:space="0"/>
              <w:left w:val="single" w:color="auto" w:sz="6" w:space="0"/>
              <w:bottom w:val="single" w:color="auto" w:sz="6" w:space="0"/>
              <w:right w:val="single" w:color="auto" w:sz="6" w:space="0"/>
            </w:tcBorders>
          </w:tcPr>
          <w:p>
            <w:pPr>
              <w:jc w:val="center"/>
              <w:rPr>
                <w:color w:val="000000" w:themeColor="text1"/>
                <w14:textFill>
                  <w14:solidFill>
                    <w14:schemeClr w14:val="tx1"/>
                  </w14:solidFill>
                </w14:textFill>
              </w:rPr>
            </w:pPr>
            <w:r>
              <w:rPr>
                <w:color w:val="000000" w:themeColor="text1"/>
                <w:sz w:val="21"/>
                <w:szCs w:val="21"/>
                <w14:textFill>
                  <w14:solidFill>
                    <w14:schemeClr w14:val="tx1"/>
                  </w14:solidFill>
                </w14:textFill>
              </w:rPr>
              <w:t>——</w:t>
            </w:r>
          </w:p>
        </w:tc>
        <w:tc>
          <w:tcPr>
            <w:tcW w:w="1049" w:type="dxa"/>
            <w:tcBorders>
              <w:top w:val="single" w:color="auto" w:sz="6" w:space="0"/>
              <w:left w:val="single" w:color="auto" w:sz="6" w:space="0"/>
              <w:bottom w:val="single" w:color="auto" w:sz="6" w:space="0"/>
              <w:right w:val="single" w:color="auto" w:sz="6" w:space="0"/>
            </w:tcBorders>
          </w:tcPr>
          <w:p>
            <w:pPr>
              <w:jc w:val="center"/>
              <w:rPr>
                <w:color w:val="000000" w:themeColor="text1"/>
                <w14:textFill>
                  <w14:solidFill>
                    <w14:schemeClr w14:val="tx1"/>
                  </w14:solidFill>
                </w14:textFill>
              </w:rPr>
            </w:pPr>
            <w:r>
              <w:rPr>
                <w:color w:val="000000" w:themeColor="text1"/>
                <w:sz w:val="21"/>
                <w:szCs w:val="21"/>
                <w14:textFill>
                  <w14:solidFill>
                    <w14:schemeClr w14:val="tx1"/>
                  </w14:solidFill>
                </w14:textFill>
              </w:rPr>
              <w:t>——</w:t>
            </w:r>
          </w:p>
        </w:tc>
        <w:tc>
          <w:tcPr>
            <w:tcW w:w="1242" w:type="dxa"/>
            <w:tcBorders>
              <w:top w:val="single" w:color="auto" w:sz="6" w:space="0"/>
              <w:left w:val="single" w:color="auto" w:sz="6" w:space="0"/>
              <w:bottom w:val="single" w:color="auto" w:sz="6" w:space="0"/>
              <w:right w:val="single" w:color="auto" w:sz="6" w:space="0"/>
            </w:tcBorders>
            <w:vAlign w:val="bottom"/>
          </w:tcPr>
          <w:p>
            <w:pPr>
              <w:adjustRightInd w:val="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 xml:space="preserve">617.39 </w:t>
            </w:r>
          </w:p>
        </w:tc>
        <w:tc>
          <w:tcPr>
            <w:tcW w:w="935" w:type="dxa"/>
            <w:tcBorders>
              <w:top w:val="single" w:color="auto" w:sz="6" w:space="0"/>
              <w:left w:val="single" w:color="auto" w:sz="6" w:space="0"/>
              <w:bottom w:val="single" w:color="auto" w:sz="6" w:space="0"/>
              <w:right w:val="single" w:color="auto" w:sz="6" w:space="0"/>
            </w:tcBorders>
            <w:vAlign w:val="center"/>
          </w:tcPr>
          <w:p>
            <w:pPr>
              <w:adjustRightInd w:val="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285.63</w:t>
            </w:r>
          </w:p>
        </w:tc>
        <w:tc>
          <w:tcPr>
            <w:tcW w:w="1089" w:type="dxa"/>
            <w:tcBorders>
              <w:top w:val="single" w:color="auto" w:sz="6" w:space="0"/>
              <w:left w:val="single" w:color="auto" w:sz="6" w:space="0"/>
              <w:bottom w:val="single" w:color="auto" w:sz="6" w:space="0"/>
              <w:right w:val="single" w:color="auto" w:sz="6" w:space="0"/>
            </w:tcBorders>
            <w:vAlign w:val="bottom"/>
          </w:tcPr>
          <w:p>
            <w:pPr>
              <w:adjustRightInd w:val="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 xml:space="preserve">45.61 </w:t>
            </w:r>
          </w:p>
        </w:tc>
        <w:tc>
          <w:tcPr>
            <w:tcW w:w="1193" w:type="dxa"/>
            <w:tcBorders>
              <w:top w:val="single" w:color="auto" w:sz="6" w:space="0"/>
              <w:left w:val="single" w:color="auto" w:sz="6" w:space="0"/>
              <w:bottom w:val="single" w:color="auto" w:sz="6" w:space="0"/>
              <w:right w:val="single" w:color="auto" w:sz="6" w:space="0"/>
            </w:tcBorders>
          </w:tcPr>
          <w:p>
            <w:pPr>
              <w:jc w:val="center"/>
              <w:rPr>
                <w:color w:val="000000" w:themeColor="text1"/>
                <w14:textFill>
                  <w14:solidFill>
                    <w14:schemeClr w14:val="tx1"/>
                  </w14:solidFill>
                </w14:textFill>
              </w:rPr>
            </w:pPr>
            <w:r>
              <w:rPr>
                <w:color w:val="000000" w:themeColor="text1"/>
                <w:sz w:val="21"/>
                <w:szCs w:val="21"/>
                <w14:textFill>
                  <w14:solidFill>
                    <w14:schemeClr w14:val="tx1"/>
                  </w14:solidFill>
                </w14:textFill>
              </w:rPr>
              <w:t>——</w:t>
            </w:r>
          </w:p>
        </w:tc>
        <w:tc>
          <w:tcPr>
            <w:tcW w:w="1080" w:type="dxa"/>
            <w:tcBorders>
              <w:top w:val="single" w:color="auto" w:sz="6" w:space="0"/>
              <w:left w:val="single" w:color="auto" w:sz="6" w:space="0"/>
              <w:bottom w:val="single" w:color="auto" w:sz="6" w:space="0"/>
              <w:right w:val="single" w:color="auto" w:sz="6" w:space="0"/>
            </w:tcBorders>
          </w:tcPr>
          <w:p>
            <w:pPr>
              <w:jc w:val="center"/>
              <w:rPr>
                <w:color w:val="000000" w:themeColor="text1"/>
                <w14:textFill>
                  <w14:solidFill>
                    <w14:schemeClr w14:val="tx1"/>
                  </w14:solidFill>
                </w14:textFill>
              </w:rPr>
            </w:pPr>
            <w:r>
              <w:rPr>
                <w:color w:val="000000" w:themeColor="text1"/>
                <w:sz w:val="21"/>
                <w:szCs w:val="21"/>
                <w14:textFill>
                  <w14:solidFill>
                    <w14:schemeClr w14:val="tx1"/>
                  </w14:solidFill>
                </w14:textFill>
              </w:rPr>
              <w:t>——</w:t>
            </w:r>
          </w:p>
        </w:tc>
        <w:tc>
          <w:tcPr>
            <w:tcW w:w="1080" w:type="dxa"/>
            <w:tcBorders>
              <w:top w:val="single" w:color="auto" w:sz="6" w:space="0"/>
              <w:left w:val="single" w:color="auto" w:sz="6" w:space="0"/>
              <w:bottom w:val="single" w:color="auto" w:sz="6" w:space="0"/>
              <w:right w:val="single" w:color="auto" w:sz="6" w:space="0"/>
            </w:tcBorders>
          </w:tcPr>
          <w:p>
            <w:pPr>
              <w:jc w:val="center"/>
              <w:rPr>
                <w:color w:val="000000" w:themeColor="text1"/>
                <w14:textFill>
                  <w14:solidFill>
                    <w14:schemeClr w14:val="tx1"/>
                  </w14:solidFill>
                </w14:textFill>
              </w:rPr>
            </w:pPr>
            <w:r>
              <w:rPr>
                <w:color w:val="000000" w:themeColor="text1"/>
                <w:sz w:val="21"/>
                <w:szCs w:val="21"/>
                <w14:textFill>
                  <w14:solidFill>
                    <w14:schemeClr w14:val="tx1"/>
                  </w14:solidFill>
                </w14:textFill>
              </w:rPr>
              <w:t>——</w:t>
            </w:r>
          </w:p>
        </w:tc>
        <w:tc>
          <w:tcPr>
            <w:tcW w:w="1171" w:type="dxa"/>
            <w:tcBorders>
              <w:top w:val="single" w:color="auto" w:sz="6" w:space="0"/>
              <w:left w:val="single" w:color="auto" w:sz="6" w:space="0"/>
              <w:bottom w:val="single" w:color="auto" w:sz="6" w:space="0"/>
              <w:right w:val="single" w:color="auto" w:sz="6" w:space="0"/>
            </w:tcBorders>
            <w:vAlign w:val="bottom"/>
          </w:tcPr>
          <w:p>
            <w:pPr>
              <w:adjustRightInd w:val="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 xml:space="preserve">578.12 </w:t>
            </w:r>
          </w:p>
        </w:tc>
        <w:tc>
          <w:tcPr>
            <w:tcW w:w="1012" w:type="dxa"/>
            <w:tcBorders>
              <w:top w:val="single" w:color="auto" w:sz="6" w:space="0"/>
              <w:left w:val="single" w:color="auto" w:sz="6" w:space="0"/>
              <w:bottom w:val="single" w:color="auto" w:sz="6" w:space="0"/>
              <w:right w:val="single" w:color="auto" w:sz="6" w:space="0"/>
            </w:tcBorders>
          </w:tcPr>
          <w:p>
            <w:pPr>
              <w:adjustRightInd w:val="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158.19</w:t>
            </w:r>
          </w:p>
        </w:tc>
        <w:tc>
          <w:tcPr>
            <w:tcW w:w="1035" w:type="dxa"/>
            <w:tcBorders>
              <w:top w:val="single" w:color="auto" w:sz="6" w:space="0"/>
              <w:left w:val="single" w:color="auto" w:sz="6" w:space="0"/>
              <w:bottom w:val="single" w:color="auto" w:sz="6" w:space="0"/>
              <w:right w:val="single" w:color="auto" w:sz="12" w:space="0"/>
            </w:tcBorders>
            <w:vAlign w:val="bottom"/>
          </w:tcPr>
          <w:p>
            <w:pPr>
              <w:adjustRightInd w:val="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 xml:space="preserve">236.71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27" w:hRule="exact"/>
          <w:jc w:val="center"/>
        </w:trPr>
        <w:tc>
          <w:tcPr>
            <w:tcW w:w="491" w:type="dxa"/>
            <w:vMerge w:val="continue"/>
            <w:tcBorders>
              <w:top w:val="single" w:color="auto" w:sz="6" w:space="0"/>
              <w:left w:val="single" w:color="auto" w:sz="12" w:space="0"/>
              <w:bottom w:val="single" w:color="auto" w:sz="6" w:space="0"/>
              <w:right w:val="single" w:color="auto" w:sz="6" w:space="0"/>
            </w:tcBorders>
            <w:vAlign w:val="center"/>
          </w:tcPr>
          <w:p>
            <w:pPr>
              <w:widowControl/>
              <w:adjustRightInd w:val="0"/>
              <w:jc w:val="center"/>
              <w:rPr>
                <w:color w:val="000000" w:themeColor="text1"/>
                <w:sz w:val="21"/>
                <w:szCs w:val="21"/>
                <w14:textFill>
                  <w14:solidFill>
                    <w14:schemeClr w14:val="tx1"/>
                  </w14:solidFill>
                </w14:textFill>
              </w:rPr>
            </w:pPr>
          </w:p>
        </w:tc>
        <w:tc>
          <w:tcPr>
            <w:tcW w:w="578" w:type="dxa"/>
            <w:tcBorders>
              <w:top w:val="single" w:color="auto" w:sz="6" w:space="0"/>
              <w:left w:val="single" w:color="auto" w:sz="6" w:space="0"/>
              <w:bottom w:val="single" w:color="auto" w:sz="6" w:space="0"/>
              <w:right w:val="single" w:color="auto" w:sz="6" w:space="0"/>
            </w:tcBorders>
            <w:vAlign w:val="bottom"/>
          </w:tcPr>
          <w:p>
            <w:pPr>
              <w:adjustRightInd w:val="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66</w:t>
            </w:r>
          </w:p>
        </w:tc>
        <w:tc>
          <w:tcPr>
            <w:tcW w:w="1267" w:type="dxa"/>
            <w:tcBorders>
              <w:top w:val="single" w:color="auto" w:sz="6" w:space="0"/>
              <w:left w:val="single" w:color="auto" w:sz="6" w:space="0"/>
              <w:bottom w:val="single" w:color="auto" w:sz="6" w:space="0"/>
              <w:right w:val="single" w:color="auto" w:sz="6" w:space="0"/>
            </w:tcBorders>
          </w:tcPr>
          <w:p>
            <w:pPr>
              <w:jc w:val="center"/>
              <w:rPr>
                <w:color w:val="000000" w:themeColor="text1"/>
                <w14:textFill>
                  <w14:solidFill>
                    <w14:schemeClr w14:val="tx1"/>
                  </w14:solidFill>
                </w14:textFill>
              </w:rPr>
            </w:pPr>
            <w:r>
              <w:rPr>
                <w:color w:val="000000" w:themeColor="text1"/>
                <w:sz w:val="21"/>
                <w:szCs w:val="21"/>
                <w14:textFill>
                  <w14:solidFill>
                    <w14:schemeClr w14:val="tx1"/>
                  </w14:solidFill>
                </w14:textFill>
              </w:rPr>
              <w:t>——</w:t>
            </w:r>
          </w:p>
        </w:tc>
        <w:tc>
          <w:tcPr>
            <w:tcW w:w="952" w:type="dxa"/>
            <w:tcBorders>
              <w:top w:val="single" w:color="auto" w:sz="6" w:space="0"/>
              <w:left w:val="single" w:color="auto" w:sz="6" w:space="0"/>
              <w:bottom w:val="single" w:color="auto" w:sz="6" w:space="0"/>
              <w:right w:val="single" w:color="auto" w:sz="6" w:space="0"/>
            </w:tcBorders>
          </w:tcPr>
          <w:p>
            <w:pPr>
              <w:jc w:val="center"/>
              <w:rPr>
                <w:color w:val="000000" w:themeColor="text1"/>
                <w14:textFill>
                  <w14:solidFill>
                    <w14:schemeClr w14:val="tx1"/>
                  </w14:solidFill>
                </w14:textFill>
              </w:rPr>
            </w:pPr>
            <w:r>
              <w:rPr>
                <w:color w:val="000000" w:themeColor="text1"/>
                <w:sz w:val="21"/>
                <w:szCs w:val="21"/>
                <w14:textFill>
                  <w14:solidFill>
                    <w14:schemeClr w14:val="tx1"/>
                  </w14:solidFill>
                </w14:textFill>
              </w:rPr>
              <w:t>——</w:t>
            </w:r>
          </w:p>
        </w:tc>
        <w:tc>
          <w:tcPr>
            <w:tcW w:w="1049" w:type="dxa"/>
            <w:tcBorders>
              <w:top w:val="single" w:color="auto" w:sz="6" w:space="0"/>
              <w:left w:val="single" w:color="auto" w:sz="6" w:space="0"/>
              <w:bottom w:val="single" w:color="auto" w:sz="6" w:space="0"/>
              <w:right w:val="single" w:color="auto" w:sz="6" w:space="0"/>
            </w:tcBorders>
          </w:tcPr>
          <w:p>
            <w:pPr>
              <w:jc w:val="center"/>
              <w:rPr>
                <w:color w:val="000000" w:themeColor="text1"/>
                <w14:textFill>
                  <w14:solidFill>
                    <w14:schemeClr w14:val="tx1"/>
                  </w14:solidFill>
                </w14:textFill>
              </w:rPr>
            </w:pPr>
            <w:r>
              <w:rPr>
                <w:color w:val="000000" w:themeColor="text1"/>
                <w:sz w:val="21"/>
                <w:szCs w:val="21"/>
                <w14:textFill>
                  <w14:solidFill>
                    <w14:schemeClr w14:val="tx1"/>
                  </w14:solidFill>
                </w14:textFill>
              </w:rPr>
              <w:t>——</w:t>
            </w:r>
          </w:p>
        </w:tc>
        <w:tc>
          <w:tcPr>
            <w:tcW w:w="1242" w:type="dxa"/>
            <w:tcBorders>
              <w:top w:val="single" w:color="auto" w:sz="6" w:space="0"/>
              <w:left w:val="single" w:color="auto" w:sz="6" w:space="0"/>
              <w:bottom w:val="single" w:color="auto" w:sz="6" w:space="0"/>
              <w:right w:val="single" w:color="auto" w:sz="6" w:space="0"/>
            </w:tcBorders>
            <w:vAlign w:val="bottom"/>
          </w:tcPr>
          <w:p>
            <w:pPr>
              <w:adjustRightInd w:val="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 xml:space="preserve">607.53 </w:t>
            </w:r>
          </w:p>
        </w:tc>
        <w:tc>
          <w:tcPr>
            <w:tcW w:w="935" w:type="dxa"/>
            <w:tcBorders>
              <w:top w:val="single" w:color="auto" w:sz="6" w:space="0"/>
              <w:left w:val="single" w:color="auto" w:sz="6" w:space="0"/>
              <w:bottom w:val="single" w:color="auto" w:sz="6" w:space="0"/>
              <w:right w:val="single" w:color="auto" w:sz="6" w:space="0"/>
            </w:tcBorders>
            <w:vAlign w:val="center"/>
          </w:tcPr>
          <w:p>
            <w:pPr>
              <w:adjustRightInd w:val="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288.09</w:t>
            </w:r>
          </w:p>
        </w:tc>
        <w:tc>
          <w:tcPr>
            <w:tcW w:w="1089" w:type="dxa"/>
            <w:tcBorders>
              <w:top w:val="single" w:color="auto" w:sz="6" w:space="0"/>
              <w:left w:val="single" w:color="auto" w:sz="6" w:space="0"/>
              <w:bottom w:val="single" w:color="auto" w:sz="6" w:space="0"/>
              <w:right w:val="single" w:color="auto" w:sz="6" w:space="0"/>
            </w:tcBorders>
            <w:vAlign w:val="bottom"/>
          </w:tcPr>
          <w:p>
            <w:pPr>
              <w:adjustRightInd w:val="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 xml:space="preserve">43.94 </w:t>
            </w:r>
          </w:p>
        </w:tc>
        <w:tc>
          <w:tcPr>
            <w:tcW w:w="1193" w:type="dxa"/>
            <w:tcBorders>
              <w:top w:val="single" w:color="auto" w:sz="6" w:space="0"/>
              <w:left w:val="single" w:color="auto" w:sz="6" w:space="0"/>
              <w:bottom w:val="single" w:color="auto" w:sz="6" w:space="0"/>
              <w:right w:val="single" w:color="auto" w:sz="6" w:space="0"/>
            </w:tcBorders>
          </w:tcPr>
          <w:p>
            <w:pPr>
              <w:jc w:val="center"/>
              <w:rPr>
                <w:color w:val="000000" w:themeColor="text1"/>
                <w14:textFill>
                  <w14:solidFill>
                    <w14:schemeClr w14:val="tx1"/>
                  </w14:solidFill>
                </w14:textFill>
              </w:rPr>
            </w:pPr>
            <w:r>
              <w:rPr>
                <w:color w:val="000000" w:themeColor="text1"/>
                <w:sz w:val="21"/>
                <w:szCs w:val="21"/>
                <w14:textFill>
                  <w14:solidFill>
                    <w14:schemeClr w14:val="tx1"/>
                  </w14:solidFill>
                </w14:textFill>
              </w:rPr>
              <w:t>——</w:t>
            </w:r>
          </w:p>
        </w:tc>
        <w:tc>
          <w:tcPr>
            <w:tcW w:w="1080" w:type="dxa"/>
            <w:tcBorders>
              <w:top w:val="single" w:color="auto" w:sz="6" w:space="0"/>
              <w:left w:val="single" w:color="auto" w:sz="6" w:space="0"/>
              <w:bottom w:val="single" w:color="auto" w:sz="6" w:space="0"/>
              <w:right w:val="single" w:color="auto" w:sz="6" w:space="0"/>
            </w:tcBorders>
          </w:tcPr>
          <w:p>
            <w:pPr>
              <w:jc w:val="center"/>
              <w:rPr>
                <w:color w:val="000000" w:themeColor="text1"/>
                <w14:textFill>
                  <w14:solidFill>
                    <w14:schemeClr w14:val="tx1"/>
                  </w14:solidFill>
                </w14:textFill>
              </w:rPr>
            </w:pPr>
            <w:r>
              <w:rPr>
                <w:color w:val="000000" w:themeColor="text1"/>
                <w:sz w:val="21"/>
                <w:szCs w:val="21"/>
                <w14:textFill>
                  <w14:solidFill>
                    <w14:schemeClr w14:val="tx1"/>
                  </w14:solidFill>
                </w14:textFill>
              </w:rPr>
              <w:t>——</w:t>
            </w:r>
          </w:p>
        </w:tc>
        <w:tc>
          <w:tcPr>
            <w:tcW w:w="1080" w:type="dxa"/>
            <w:tcBorders>
              <w:top w:val="single" w:color="auto" w:sz="6" w:space="0"/>
              <w:left w:val="single" w:color="auto" w:sz="6" w:space="0"/>
              <w:bottom w:val="single" w:color="auto" w:sz="6" w:space="0"/>
              <w:right w:val="single" w:color="auto" w:sz="6" w:space="0"/>
            </w:tcBorders>
          </w:tcPr>
          <w:p>
            <w:pPr>
              <w:jc w:val="center"/>
              <w:rPr>
                <w:color w:val="000000" w:themeColor="text1"/>
                <w14:textFill>
                  <w14:solidFill>
                    <w14:schemeClr w14:val="tx1"/>
                  </w14:solidFill>
                </w14:textFill>
              </w:rPr>
            </w:pPr>
            <w:r>
              <w:rPr>
                <w:color w:val="000000" w:themeColor="text1"/>
                <w:sz w:val="21"/>
                <w:szCs w:val="21"/>
                <w14:textFill>
                  <w14:solidFill>
                    <w14:schemeClr w14:val="tx1"/>
                  </w14:solidFill>
                </w14:textFill>
              </w:rPr>
              <w:t>——</w:t>
            </w:r>
          </w:p>
        </w:tc>
        <w:tc>
          <w:tcPr>
            <w:tcW w:w="1171" w:type="dxa"/>
            <w:tcBorders>
              <w:top w:val="single" w:color="auto" w:sz="6" w:space="0"/>
              <w:left w:val="single" w:color="auto" w:sz="6" w:space="0"/>
              <w:bottom w:val="single" w:color="auto" w:sz="6" w:space="0"/>
              <w:right w:val="single" w:color="auto" w:sz="6" w:space="0"/>
            </w:tcBorders>
            <w:vAlign w:val="bottom"/>
          </w:tcPr>
          <w:p>
            <w:pPr>
              <w:adjustRightInd w:val="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 xml:space="preserve">574.54 </w:t>
            </w:r>
          </w:p>
        </w:tc>
        <w:tc>
          <w:tcPr>
            <w:tcW w:w="1012" w:type="dxa"/>
            <w:tcBorders>
              <w:top w:val="single" w:color="auto" w:sz="6" w:space="0"/>
              <w:left w:val="single" w:color="auto" w:sz="6" w:space="0"/>
              <w:bottom w:val="single" w:color="auto" w:sz="6" w:space="0"/>
              <w:right w:val="single" w:color="auto" w:sz="6" w:space="0"/>
            </w:tcBorders>
          </w:tcPr>
          <w:p>
            <w:pPr>
              <w:adjustRightInd w:val="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158.19</w:t>
            </w:r>
          </w:p>
        </w:tc>
        <w:tc>
          <w:tcPr>
            <w:tcW w:w="1035" w:type="dxa"/>
            <w:tcBorders>
              <w:top w:val="single" w:color="auto" w:sz="6" w:space="0"/>
              <w:left w:val="single" w:color="auto" w:sz="6" w:space="0"/>
              <w:bottom w:val="single" w:color="auto" w:sz="6" w:space="0"/>
              <w:right w:val="single" w:color="auto" w:sz="12" w:space="0"/>
            </w:tcBorders>
            <w:vAlign w:val="bottom"/>
          </w:tcPr>
          <w:p>
            <w:pPr>
              <w:adjustRightInd w:val="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 xml:space="preserve">227.53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27" w:hRule="exact"/>
          <w:jc w:val="center"/>
        </w:trPr>
        <w:tc>
          <w:tcPr>
            <w:tcW w:w="491" w:type="dxa"/>
            <w:vMerge w:val="continue"/>
            <w:tcBorders>
              <w:top w:val="single" w:color="auto" w:sz="6" w:space="0"/>
              <w:left w:val="single" w:color="auto" w:sz="12" w:space="0"/>
              <w:bottom w:val="single" w:color="auto" w:sz="6" w:space="0"/>
              <w:right w:val="single" w:color="auto" w:sz="6" w:space="0"/>
            </w:tcBorders>
            <w:vAlign w:val="center"/>
          </w:tcPr>
          <w:p>
            <w:pPr>
              <w:widowControl/>
              <w:adjustRightInd w:val="0"/>
              <w:jc w:val="center"/>
              <w:rPr>
                <w:color w:val="000000" w:themeColor="text1"/>
                <w:sz w:val="21"/>
                <w:szCs w:val="21"/>
                <w14:textFill>
                  <w14:solidFill>
                    <w14:schemeClr w14:val="tx1"/>
                  </w14:solidFill>
                </w14:textFill>
              </w:rPr>
            </w:pPr>
          </w:p>
        </w:tc>
        <w:tc>
          <w:tcPr>
            <w:tcW w:w="578" w:type="dxa"/>
            <w:tcBorders>
              <w:top w:val="single" w:color="auto" w:sz="6" w:space="0"/>
              <w:left w:val="single" w:color="auto" w:sz="6" w:space="0"/>
              <w:bottom w:val="single" w:color="auto" w:sz="6" w:space="0"/>
              <w:right w:val="single" w:color="auto" w:sz="6" w:space="0"/>
            </w:tcBorders>
            <w:vAlign w:val="bottom"/>
          </w:tcPr>
          <w:p>
            <w:pPr>
              <w:adjustRightInd w:val="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69</w:t>
            </w:r>
          </w:p>
        </w:tc>
        <w:tc>
          <w:tcPr>
            <w:tcW w:w="1267" w:type="dxa"/>
            <w:tcBorders>
              <w:top w:val="single" w:color="auto" w:sz="6" w:space="0"/>
              <w:left w:val="single" w:color="auto" w:sz="6" w:space="0"/>
              <w:bottom w:val="single" w:color="auto" w:sz="6" w:space="0"/>
              <w:right w:val="single" w:color="auto" w:sz="6" w:space="0"/>
            </w:tcBorders>
          </w:tcPr>
          <w:p>
            <w:pPr>
              <w:jc w:val="center"/>
              <w:rPr>
                <w:color w:val="000000" w:themeColor="text1"/>
                <w14:textFill>
                  <w14:solidFill>
                    <w14:schemeClr w14:val="tx1"/>
                  </w14:solidFill>
                </w14:textFill>
              </w:rPr>
            </w:pPr>
            <w:r>
              <w:rPr>
                <w:color w:val="000000" w:themeColor="text1"/>
                <w:sz w:val="21"/>
                <w:szCs w:val="21"/>
                <w14:textFill>
                  <w14:solidFill>
                    <w14:schemeClr w14:val="tx1"/>
                  </w14:solidFill>
                </w14:textFill>
              </w:rPr>
              <w:t>——</w:t>
            </w:r>
          </w:p>
        </w:tc>
        <w:tc>
          <w:tcPr>
            <w:tcW w:w="952" w:type="dxa"/>
            <w:tcBorders>
              <w:top w:val="single" w:color="auto" w:sz="6" w:space="0"/>
              <w:left w:val="single" w:color="auto" w:sz="6" w:space="0"/>
              <w:bottom w:val="single" w:color="auto" w:sz="6" w:space="0"/>
              <w:right w:val="single" w:color="auto" w:sz="6" w:space="0"/>
            </w:tcBorders>
          </w:tcPr>
          <w:p>
            <w:pPr>
              <w:jc w:val="center"/>
              <w:rPr>
                <w:color w:val="000000" w:themeColor="text1"/>
                <w14:textFill>
                  <w14:solidFill>
                    <w14:schemeClr w14:val="tx1"/>
                  </w14:solidFill>
                </w14:textFill>
              </w:rPr>
            </w:pPr>
            <w:r>
              <w:rPr>
                <w:color w:val="000000" w:themeColor="text1"/>
                <w:sz w:val="21"/>
                <w:szCs w:val="21"/>
                <w14:textFill>
                  <w14:solidFill>
                    <w14:schemeClr w14:val="tx1"/>
                  </w14:solidFill>
                </w14:textFill>
              </w:rPr>
              <w:t>——</w:t>
            </w:r>
          </w:p>
        </w:tc>
        <w:tc>
          <w:tcPr>
            <w:tcW w:w="1049" w:type="dxa"/>
            <w:tcBorders>
              <w:top w:val="single" w:color="auto" w:sz="6" w:space="0"/>
              <w:left w:val="single" w:color="auto" w:sz="6" w:space="0"/>
              <w:bottom w:val="single" w:color="auto" w:sz="6" w:space="0"/>
              <w:right w:val="single" w:color="auto" w:sz="6" w:space="0"/>
            </w:tcBorders>
          </w:tcPr>
          <w:p>
            <w:pPr>
              <w:jc w:val="center"/>
              <w:rPr>
                <w:color w:val="000000" w:themeColor="text1"/>
                <w14:textFill>
                  <w14:solidFill>
                    <w14:schemeClr w14:val="tx1"/>
                  </w14:solidFill>
                </w14:textFill>
              </w:rPr>
            </w:pPr>
            <w:r>
              <w:rPr>
                <w:color w:val="000000" w:themeColor="text1"/>
                <w:sz w:val="21"/>
                <w:szCs w:val="21"/>
                <w14:textFill>
                  <w14:solidFill>
                    <w14:schemeClr w14:val="tx1"/>
                  </w14:solidFill>
                </w14:textFill>
              </w:rPr>
              <w:t>——</w:t>
            </w:r>
          </w:p>
        </w:tc>
        <w:tc>
          <w:tcPr>
            <w:tcW w:w="1242" w:type="dxa"/>
            <w:tcBorders>
              <w:top w:val="single" w:color="auto" w:sz="6" w:space="0"/>
              <w:left w:val="single" w:color="auto" w:sz="6" w:space="0"/>
              <w:bottom w:val="single" w:color="auto" w:sz="6" w:space="0"/>
              <w:right w:val="single" w:color="auto" w:sz="6" w:space="0"/>
            </w:tcBorders>
            <w:vAlign w:val="bottom"/>
          </w:tcPr>
          <w:p>
            <w:pPr>
              <w:adjustRightInd w:val="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 xml:space="preserve">598.14 </w:t>
            </w:r>
          </w:p>
        </w:tc>
        <w:tc>
          <w:tcPr>
            <w:tcW w:w="935" w:type="dxa"/>
            <w:tcBorders>
              <w:top w:val="single" w:color="auto" w:sz="6" w:space="0"/>
              <w:left w:val="single" w:color="auto" w:sz="6" w:space="0"/>
              <w:bottom w:val="single" w:color="auto" w:sz="6" w:space="0"/>
              <w:right w:val="single" w:color="auto" w:sz="6" w:space="0"/>
            </w:tcBorders>
            <w:vAlign w:val="center"/>
          </w:tcPr>
          <w:p>
            <w:pPr>
              <w:adjustRightInd w:val="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290.37</w:t>
            </w:r>
          </w:p>
        </w:tc>
        <w:tc>
          <w:tcPr>
            <w:tcW w:w="1089" w:type="dxa"/>
            <w:tcBorders>
              <w:top w:val="single" w:color="auto" w:sz="6" w:space="0"/>
              <w:left w:val="single" w:color="auto" w:sz="6" w:space="0"/>
              <w:bottom w:val="single" w:color="auto" w:sz="6" w:space="0"/>
              <w:right w:val="single" w:color="auto" w:sz="6" w:space="0"/>
            </w:tcBorders>
            <w:vAlign w:val="bottom"/>
          </w:tcPr>
          <w:p>
            <w:pPr>
              <w:adjustRightInd w:val="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 xml:space="preserve">42.87 </w:t>
            </w:r>
          </w:p>
        </w:tc>
        <w:tc>
          <w:tcPr>
            <w:tcW w:w="1193" w:type="dxa"/>
            <w:tcBorders>
              <w:top w:val="single" w:color="auto" w:sz="6" w:space="0"/>
              <w:left w:val="single" w:color="auto" w:sz="6" w:space="0"/>
              <w:bottom w:val="single" w:color="auto" w:sz="6" w:space="0"/>
              <w:right w:val="single" w:color="auto" w:sz="6" w:space="0"/>
            </w:tcBorders>
          </w:tcPr>
          <w:p>
            <w:pPr>
              <w:jc w:val="center"/>
              <w:rPr>
                <w:color w:val="000000" w:themeColor="text1"/>
                <w14:textFill>
                  <w14:solidFill>
                    <w14:schemeClr w14:val="tx1"/>
                  </w14:solidFill>
                </w14:textFill>
              </w:rPr>
            </w:pPr>
            <w:r>
              <w:rPr>
                <w:color w:val="000000" w:themeColor="text1"/>
                <w:sz w:val="21"/>
                <w:szCs w:val="21"/>
                <w14:textFill>
                  <w14:solidFill>
                    <w14:schemeClr w14:val="tx1"/>
                  </w14:solidFill>
                </w14:textFill>
              </w:rPr>
              <w:t>——</w:t>
            </w:r>
          </w:p>
        </w:tc>
        <w:tc>
          <w:tcPr>
            <w:tcW w:w="1080" w:type="dxa"/>
            <w:tcBorders>
              <w:top w:val="single" w:color="auto" w:sz="6" w:space="0"/>
              <w:left w:val="single" w:color="auto" w:sz="6" w:space="0"/>
              <w:bottom w:val="single" w:color="auto" w:sz="6" w:space="0"/>
              <w:right w:val="single" w:color="auto" w:sz="6" w:space="0"/>
            </w:tcBorders>
          </w:tcPr>
          <w:p>
            <w:pPr>
              <w:jc w:val="center"/>
              <w:rPr>
                <w:color w:val="000000" w:themeColor="text1"/>
                <w14:textFill>
                  <w14:solidFill>
                    <w14:schemeClr w14:val="tx1"/>
                  </w14:solidFill>
                </w14:textFill>
              </w:rPr>
            </w:pPr>
            <w:r>
              <w:rPr>
                <w:color w:val="000000" w:themeColor="text1"/>
                <w:sz w:val="21"/>
                <w:szCs w:val="21"/>
                <w14:textFill>
                  <w14:solidFill>
                    <w14:schemeClr w14:val="tx1"/>
                  </w14:solidFill>
                </w14:textFill>
              </w:rPr>
              <w:t>——</w:t>
            </w:r>
          </w:p>
        </w:tc>
        <w:tc>
          <w:tcPr>
            <w:tcW w:w="1080" w:type="dxa"/>
            <w:tcBorders>
              <w:top w:val="single" w:color="auto" w:sz="6" w:space="0"/>
              <w:left w:val="single" w:color="auto" w:sz="6" w:space="0"/>
              <w:bottom w:val="single" w:color="auto" w:sz="6" w:space="0"/>
              <w:right w:val="single" w:color="auto" w:sz="6" w:space="0"/>
            </w:tcBorders>
          </w:tcPr>
          <w:p>
            <w:pPr>
              <w:jc w:val="center"/>
              <w:rPr>
                <w:color w:val="000000" w:themeColor="text1"/>
                <w14:textFill>
                  <w14:solidFill>
                    <w14:schemeClr w14:val="tx1"/>
                  </w14:solidFill>
                </w14:textFill>
              </w:rPr>
            </w:pPr>
            <w:r>
              <w:rPr>
                <w:color w:val="000000" w:themeColor="text1"/>
                <w:sz w:val="21"/>
                <w:szCs w:val="21"/>
                <w14:textFill>
                  <w14:solidFill>
                    <w14:schemeClr w14:val="tx1"/>
                  </w14:solidFill>
                </w14:textFill>
              </w:rPr>
              <w:t>——</w:t>
            </w:r>
          </w:p>
        </w:tc>
        <w:tc>
          <w:tcPr>
            <w:tcW w:w="1171" w:type="dxa"/>
            <w:tcBorders>
              <w:top w:val="single" w:color="auto" w:sz="6" w:space="0"/>
              <w:left w:val="single" w:color="auto" w:sz="6" w:space="0"/>
              <w:bottom w:val="single" w:color="auto" w:sz="6" w:space="0"/>
              <w:right w:val="single" w:color="auto" w:sz="6" w:space="0"/>
            </w:tcBorders>
            <w:vAlign w:val="bottom"/>
          </w:tcPr>
          <w:p>
            <w:pPr>
              <w:adjustRightInd w:val="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 xml:space="preserve">571.35 </w:t>
            </w:r>
          </w:p>
        </w:tc>
        <w:tc>
          <w:tcPr>
            <w:tcW w:w="1012" w:type="dxa"/>
            <w:tcBorders>
              <w:top w:val="single" w:color="auto" w:sz="6" w:space="0"/>
              <w:left w:val="single" w:color="auto" w:sz="6" w:space="0"/>
              <w:bottom w:val="single" w:color="auto" w:sz="6" w:space="0"/>
              <w:right w:val="single" w:color="auto" w:sz="6" w:space="0"/>
            </w:tcBorders>
          </w:tcPr>
          <w:p>
            <w:pPr>
              <w:adjustRightInd w:val="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158.41</w:t>
            </w:r>
          </w:p>
        </w:tc>
        <w:tc>
          <w:tcPr>
            <w:tcW w:w="1035" w:type="dxa"/>
            <w:tcBorders>
              <w:top w:val="single" w:color="auto" w:sz="6" w:space="0"/>
              <w:left w:val="single" w:color="auto" w:sz="6" w:space="0"/>
              <w:bottom w:val="single" w:color="auto" w:sz="6" w:space="0"/>
              <w:right w:val="single" w:color="auto" w:sz="12" w:space="0"/>
            </w:tcBorders>
            <w:vAlign w:val="bottom"/>
          </w:tcPr>
          <w:p>
            <w:pPr>
              <w:adjustRightInd w:val="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 xml:space="preserve">287.55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27" w:hRule="exact"/>
          <w:jc w:val="center"/>
        </w:trPr>
        <w:tc>
          <w:tcPr>
            <w:tcW w:w="491" w:type="dxa"/>
            <w:vMerge w:val="continue"/>
            <w:tcBorders>
              <w:top w:val="single" w:color="auto" w:sz="6" w:space="0"/>
              <w:left w:val="single" w:color="auto" w:sz="12" w:space="0"/>
              <w:bottom w:val="single" w:color="auto" w:sz="6" w:space="0"/>
              <w:right w:val="single" w:color="auto" w:sz="6" w:space="0"/>
            </w:tcBorders>
            <w:vAlign w:val="center"/>
          </w:tcPr>
          <w:p>
            <w:pPr>
              <w:widowControl/>
              <w:adjustRightInd w:val="0"/>
              <w:jc w:val="center"/>
              <w:rPr>
                <w:color w:val="000000" w:themeColor="text1"/>
                <w:sz w:val="21"/>
                <w:szCs w:val="21"/>
                <w14:textFill>
                  <w14:solidFill>
                    <w14:schemeClr w14:val="tx1"/>
                  </w14:solidFill>
                </w14:textFill>
              </w:rPr>
            </w:pPr>
          </w:p>
        </w:tc>
        <w:tc>
          <w:tcPr>
            <w:tcW w:w="578" w:type="dxa"/>
            <w:tcBorders>
              <w:top w:val="single" w:color="auto" w:sz="6" w:space="0"/>
              <w:left w:val="single" w:color="auto" w:sz="6" w:space="0"/>
              <w:bottom w:val="single" w:color="auto" w:sz="6" w:space="0"/>
              <w:right w:val="single" w:color="auto" w:sz="6" w:space="0"/>
            </w:tcBorders>
            <w:vAlign w:val="bottom"/>
          </w:tcPr>
          <w:p>
            <w:pPr>
              <w:adjustRightInd w:val="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72</w:t>
            </w:r>
          </w:p>
        </w:tc>
        <w:tc>
          <w:tcPr>
            <w:tcW w:w="1267" w:type="dxa"/>
            <w:tcBorders>
              <w:top w:val="single" w:color="auto" w:sz="6" w:space="0"/>
              <w:left w:val="single" w:color="auto" w:sz="6" w:space="0"/>
              <w:bottom w:val="single" w:color="auto" w:sz="6" w:space="0"/>
              <w:right w:val="single" w:color="auto" w:sz="6" w:space="0"/>
            </w:tcBorders>
          </w:tcPr>
          <w:p>
            <w:pPr>
              <w:jc w:val="center"/>
              <w:rPr>
                <w:color w:val="000000" w:themeColor="text1"/>
                <w14:textFill>
                  <w14:solidFill>
                    <w14:schemeClr w14:val="tx1"/>
                  </w14:solidFill>
                </w14:textFill>
              </w:rPr>
            </w:pPr>
            <w:r>
              <w:rPr>
                <w:color w:val="000000" w:themeColor="text1"/>
                <w:sz w:val="21"/>
                <w:szCs w:val="21"/>
                <w14:textFill>
                  <w14:solidFill>
                    <w14:schemeClr w14:val="tx1"/>
                  </w14:solidFill>
                </w14:textFill>
              </w:rPr>
              <w:t>——</w:t>
            </w:r>
          </w:p>
        </w:tc>
        <w:tc>
          <w:tcPr>
            <w:tcW w:w="952" w:type="dxa"/>
            <w:tcBorders>
              <w:top w:val="single" w:color="auto" w:sz="6" w:space="0"/>
              <w:left w:val="single" w:color="auto" w:sz="6" w:space="0"/>
              <w:bottom w:val="single" w:color="auto" w:sz="6" w:space="0"/>
              <w:right w:val="single" w:color="auto" w:sz="6" w:space="0"/>
            </w:tcBorders>
          </w:tcPr>
          <w:p>
            <w:pPr>
              <w:jc w:val="center"/>
              <w:rPr>
                <w:color w:val="000000" w:themeColor="text1"/>
                <w14:textFill>
                  <w14:solidFill>
                    <w14:schemeClr w14:val="tx1"/>
                  </w14:solidFill>
                </w14:textFill>
              </w:rPr>
            </w:pPr>
            <w:r>
              <w:rPr>
                <w:color w:val="000000" w:themeColor="text1"/>
                <w:sz w:val="21"/>
                <w:szCs w:val="21"/>
                <w14:textFill>
                  <w14:solidFill>
                    <w14:schemeClr w14:val="tx1"/>
                  </w14:solidFill>
                </w14:textFill>
              </w:rPr>
              <w:t>——</w:t>
            </w:r>
          </w:p>
        </w:tc>
        <w:tc>
          <w:tcPr>
            <w:tcW w:w="1049" w:type="dxa"/>
            <w:tcBorders>
              <w:top w:val="single" w:color="auto" w:sz="6" w:space="0"/>
              <w:left w:val="single" w:color="auto" w:sz="6" w:space="0"/>
              <w:bottom w:val="single" w:color="auto" w:sz="6" w:space="0"/>
              <w:right w:val="single" w:color="auto" w:sz="6" w:space="0"/>
            </w:tcBorders>
          </w:tcPr>
          <w:p>
            <w:pPr>
              <w:jc w:val="center"/>
              <w:rPr>
                <w:color w:val="000000" w:themeColor="text1"/>
                <w14:textFill>
                  <w14:solidFill>
                    <w14:schemeClr w14:val="tx1"/>
                  </w14:solidFill>
                </w14:textFill>
              </w:rPr>
            </w:pPr>
            <w:r>
              <w:rPr>
                <w:color w:val="000000" w:themeColor="text1"/>
                <w:sz w:val="21"/>
                <w:szCs w:val="21"/>
                <w14:textFill>
                  <w14:solidFill>
                    <w14:schemeClr w14:val="tx1"/>
                  </w14:solidFill>
                </w14:textFill>
              </w:rPr>
              <w:t>——</w:t>
            </w:r>
          </w:p>
        </w:tc>
        <w:tc>
          <w:tcPr>
            <w:tcW w:w="1242" w:type="dxa"/>
            <w:tcBorders>
              <w:top w:val="single" w:color="auto" w:sz="6" w:space="0"/>
              <w:left w:val="single" w:color="auto" w:sz="6" w:space="0"/>
              <w:bottom w:val="single" w:color="auto" w:sz="6" w:space="0"/>
              <w:right w:val="single" w:color="auto" w:sz="6" w:space="0"/>
            </w:tcBorders>
            <w:vAlign w:val="bottom"/>
          </w:tcPr>
          <w:p>
            <w:pPr>
              <w:adjustRightInd w:val="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 xml:space="preserve">589.26 </w:t>
            </w:r>
          </w:p>
        </w:tc>
        <w:tc>
          <w:tcPr>
            <w:tcW w:w="935" w:type="dxa"/>
            <w:tcBorders>
              <w:top w:val="single" w:color="auto" w:sz="6" w:space="0"/>
              <w:left w:val="single" w:color="auto" w:sz="6" w:space="0"/>
              <w:bottom w:val="single" w:color="auto" w:sz="6" w:space="0"/>
              <w:right w:val="single" w:color="auto" w:sz="6" w:space="0"/>
            </w:tcBorders>
            <w:vAlign w:val="center"/>
          </w:tcPr>
          <w:p>
            <w:pPr>
              <w:adjustRightInd w:val="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305.15</w:t>
            </w:r>
          </w:p>
        </w:tc>
        <w:tc>
          <w:tcPr>
            <w:tcW w:w="1089" w:type="dxa"/>
            <w:tcBorders>
              <w:top w:val="single" w:color="auto" w:sz="6" w:space="0"/>
              <w:left w:val="single" w:color="auto" w:sz="6" w:space="0"/>
              <w:bottom w:val="single" w:color="auto" w:sz="6" w:space="0"/>
              <w:right w:val="single" w:color="auto" w:sz="6" w:space="0"/>
            </w:tcBorders>
            <w:vAlign w:val="bottom"/>
          </w:tcPr>
          <w:p>
            <w:pPr>
              <w:adjustRightInd w:val="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 xml:space="preserve">40.32 </w:t>
            </w:r>
          </w:p>
        </w:tc>
        <w:tc>
          <w:tcPr>
            <w:tcW w:w="1193" w:type="dxa"/>
            <w:tcBorders>
              <w:top w:val="single" w:color="auto" w:sz="6" w:space="0"/>
              <w:left w:val="single" w:color="auto" w:sz="6" w:space="0"/>
              <w:bottom w:val="single" w:color="auto" w:sz="6" w:space="0"/>
              <w:right w:val="single" w:color="auto" w:sz="6" w:space="0"/>
            </w:tcBorders>
          </w:tcPr>
          <w:p>
            <w:pPr>
              <w:jc w:val="center"/>
              <w:rPr>
                <w:color w:val="000000" w:themeColor="text1"/>
                <w14:textFill>
                  <w14:solidFill>
                    <w14:schemeClr w14:val="tx1"/>
                  </w14:solidFill>
                </w14:textFill>
              </w:rPr>
            </w:pPr>
            <w:r>
              <w:rPr>
                <w:color w:val="000000" w:themeColor="text1"/>
                <w:sz w:val="21"/>
                <w:szCs w:val="21"/>
                <w14:textFill>
                  <w14:solidFill>
                    <w14:schemeClr w14:val="tx1"/>
                  </w14:solidFill>
                </w14:textFill>
              </w:rPr>
              <w:t>——</w:t>
            </w:r>
          </w:p>
        </w:tc>
        <w:tc>
          <w:tcPr>
            <w:tcW w:w="1080" w:type="dxa"/>
            <w:tcBorders>
              <w:top w:val="single" w:color="auto" w:sz="6" w:space="0"/>
              <w:left w:val="single" w:color="auto" w:sz="6" w:space="0"/>
              <w:bottom w:val="single" w:color="auto" w:sz="6" w:space="0"/>
              <w:right w:val="single" w:color="auto" w:sz="6" w:space="0"/>
            </w:tcBorders>
          </w:tcPr>
          <w:p>
            <w:pPr>
              <w:jc w:val="center"/>
              <w:rPr>
                <w:color w:val="000000" w:themeColor="text1"/>
                <w14:textFill>
                  <w14:solidFill>
                    <w14:schemeClr w14:val="tx1"/>
                  </w14:solidFill>
                </w14:textFill>
              </w:rPr>
            </w:pPr>
            <w:r>
              <w:rPr>
                <w:color w:val="000000" w:themeColor="text1"/>
                <w:sz w:val="21"/>
                <w:szCs w:val="21"/>
                <w14:textFill>
                  <w14:solidFill>
                    <w14:schemeClr w14:val="tx1"/>
                  </w14:solidFill>
                </w14:textFill>
              </w:rPr>
              <w:t>——</w:t>
            </w:r>
          </w:p>
        </w:tc>
        <w:tc>
          <w:tcPr>
            <w:tcW w:w="1080" w:type="dxa"/>
            <w:tcBorders>
              <w:top w:val="single" w:color="auto" w:sz="6" w:space="0"/>
              <w:left w:val="single" w:color="auto" w:sz="6" w:space="0"/>
              <w:bottom w:val="single" w:color="auto" w:sz="6" w:space="0"/>
              <w:right w:val="single" w:color="auto" w:sz="6" w:space="0"/>
            </w:tcBorders>
          </w:tcPr>
          <w:p>
            <w:pPr>
              <w:jc w:val="center"/>
              <w:rPr>
                <w:color w:val="000000" w:themeColor="text1"/>
                <w14:textFill>
                  <w14:solidFill>
                    <w14:schemeClr w14:val="tx1"/>
                  </w14:solidFill>
                </w14:textFill>
              </w:rPr>
            </w:pPr>
            <w:r>
              <w:rPr>
                <w:color w:val="000000" w:themeColor="text1"/>
                <w:sz w:val="21"/>
                <w:szCs w:val="21"/>
                <w14:textFill>
                  <w14:solidFill>
                    <w14:schemeClr w14:val="tx1"/>
                  </w14:solidFill>
                </w14:textFill>
              </w:rPr>
              <w:t>——</w:t>
            </w:r>
          </w:p>
        </w:tc>
        <w:tc>
          <w:tcPr>
            <w:tcW w:w="1171" w:type="dxa"/>
            <w:tcBorders>
              <w:top w:val="single" w:color="auto" w:sz="6" w:space="0"/>
              <w:left w:val="single" w:color="auto" w:sz="6" w:space="0"/>
              <w:bottom w:val="single" w:color="auto" w:sz="6" w:space="0"/>
              <w:right w:val="single" w:color="auto" w:sz="6" w:space="0"/>
            </w:tcBorders>
            <w:vAlign w:val="bottom"/>
          </w:tcPr>
          <w:p>
            <w:pPr>
              <w:adjustRightInd w:val="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 xml:space="preserve">568.14 </w:t>
            </w:r>
          </w:p>
        </w:tc>
        <w:tc>
          <w:tcPr>
            <w:tcW w:w="1012" w:type="dxa"/>
            <w:tcBorders>
              <w:top w:val="single" w:color="auto" w:sz="6" w:space="0"/>
              <w:left w:val="single" w:color="auto" w:sz="6" w:space="0"/>
              <w:bottom w:val="single" w:color="auto" w:sz="6" w:space="0"/>
              <w:right w:val="single" w:color="auto" w:sz="6" w:space="0"/>
            </w:tcBorders>
          </w:tcPr>
          <w:p>
            <w:pPr>
              <w:adjustRightInd w:val="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159.01</w:t>
            </w:r>
          </w:p>
        </w:tc>
        <w:tc>
          <w:tcPr>
            <w:tcW w:w="1035" w:type="dxa"/>
            <w:tcBorders>
              <w:top w:val="single" w:color="auto" w:sz="6" w:space="0"/>
              <w:left w:val="single" w:color="auto" w:sz="6" w:space="0"/>
              <w:bottom w:val="single" w:color="auto" w:sz="6" w:space="0"/>
              <w:right w:val="single" w:color="auto" w:sz="12" w:space="0"/>
            </w:tcBorders>
            <w:vAlign w:val="bottom"/>
          </w:tcPr>
          <w:p>
            <w:pPr>
              <w:adjustRightInd w:val="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 xml:space="preserve">224.99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55" w:hRule="exact"/>
          <w:jc w:val="center"/>
        </w:trPr>
        <w:tc>
          <w:tcPr>
            <w:tcW w:w="10956" w:type="dxa"/>
            <w:gridSpan w:val="11"/>
            <w:tcBorders>
              <w:top w:val="single" w:color="auto" w:sz="6" w:space="0"/>
              <w:left w:val="single" w:color="auto" w:sz="12" w:space="0"/>
              <w:bottom w:val="single" w:color="auto" w:sz="12" w:space="0"/>
              <w:right w:val="single" w:color="auto" w:sz="6" w:space="0"/>
            </w:tcBorders>
            <w:vAlign w:val="center"/>
          </w:tcPr>
          <w:p>
            <w:pPr>
              <w:adjustRightInd w:val="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备注：“——”表示该工况下该时刻主体油膜抵岸或</w:t>
            </w:r>
            <w:r>
              <w:rPr>
                <w:rFonts w:hint="eastAsia"/>
                <w:color w:val="000000" w:themeColor="text1"/>
                <w:sz w:val="21"/>
                <w:szCs w:val="21"/>
                <w14:textFill>
                  <w14:solidFill>
                    <w14:schemeClr w14:val="tx1"/>
                  </w14:solidFill>
                </w14:textFill>
              </w:rPr>
              <w:t>漂出</w:t>
            </w:r>
            <w:r>
              <w:rPr>
                <w:color w:val="000000" w:themeColor="text1"/>
                <w:sz w:val="21"/>
                <w:szCs w:val="21"/>
                <w14:textFill>
                  <w14:solidFill>
                    <w14:schemeClr w14:val="tx1"/>
                  </w14:solidFill>
                </w14:textFill>
              </w:rPr>
              <w:t>计算域，因此无值。</w:t>
            </w:r>
          </w:p>
        </w:tc>
        <w:tc>
          <w:tcPr>
            <w:tcW w:w="3218" w:type="dxa"/>
            <w:gridSpan w:val="3"/>
            <w:tcBorders>
              <w:top w:val="single" w:color="auto" w:sz="6" w:space="0"/>
              <w:left w:val="single" w:color="auto" w:sz="6" w:space="0"/>
              <w:bottom w:val="single" w:color="auto" w:sz="12" w:space="0"/>
              <w:right w:val="single" w:color="auto" w:sz="12" w:space="0"/>
            </w:tcBorders>
          </w:tcPr>
          <w:p>
            <w:pPr>
              <w:adjustRightInd w:val="0"/>
              <w:jc w:val="center"/>
              <w:rPr>
                <w:color w:val="000000" w:themeColor="text1"/>
                <w:sz w:val="21"/>
                <w:szCs w:val="21"/>
                <w14:textFill>
                  <w14:solidFill>
                    <w14:schemeClr w14:val="tx1"/>
                  </w14:solidFill>
                </w14:textFill>
              </w:rPr>
            </w:pPr>
          </w:p>
        </w:tc>
      </w:tr>
    </w:tbl>
    <w:p>
      <w:pPr>
        <w:pStyle w:val="384"/>
        <w:numPr>
          <w:ilvl w:val="0"/>
          <w:numId w:val="0"/>
        </w:numPr>
        <w:rPr>
          <w:rFonts w:cs="Times New Roman"/>
          <w:color w:val="000000" w:themeColor="text1"/>
          <w14:textFill>
            <w14:solidFill>
              <w14:schemeClr w14:val="tx1"/>
            </w14:solidFill>
          </w14:textFill>
        </w:rPr>
      </w:pPr>
    </w:p>
    <w:p>
      <w:pPr>
        <w:pStyle w:val="384"/>
        <w:ind w:left="0" w:firstLine="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码头溢油残油量和扫海面积随时间的变化（</w:t>
      </w:r>
      <w:r>
        <w:rPr>
          <w:rFonts w:hint="eastAsia" w:cs="Times New Roman"/>
          <w:color w:val="000000" w:themeColor="text1"/>
          <w14:textFill>
            <w14:solidFill>
              <w14:schemeClr w14:val="tx1"/>
            </w14:solidFill>
          </w14:textFill>
        </w:rPr>
        <w:t>低潮时</w:t>
      </w:r>
      <w:r>
        <w:rPr>
          <w:rFonts w:cs="Times New Roman"/>
          <w:color w:val="000000" w:themeColor="text1"/>
          <w14:textFill>
            <w14:solidFill>
              <w14:schemeClr w14:val="tx1"/>
            </w14:solidFill>
          </w14:textFill>
        </w:rPr>
        <w:t>）</w:t>
      </w:r>
    </w:p>
    <w:tbl>
      <w:tblPr>
        <w:tblStyle w:val="88"/>
        <w:tblW w:w="14174"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91"/>
        <w:gridCol w:w="578"/>
        <w:gridCol w:w="1267"/>
        <w:gridCol w:w="954"/>
        <w:gridCol w:w="1046"/>
        <w:gridCol w:w="1242"/>
        <w:gridCol w:w="935"/>
        <w:gridCol w:w="1089"/>
        <w:gridCol w:w="1319"/>
        <w:gridCol w:w="954"/>
        <w:gridCol w:w="1081"/>
        <w:gridCol w:w="1171"/>
        <w:gridCol w:w="1013"/>
        <w:gridCol w:w="103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83" w:hRule="atLeast"/>
          <w:jc w:val="center"/>
        </w:trPr>
        <w:tc>
          <w:tcPr>
            <w:tcW w:w="1069" w:type="dxa"/>
            <w:gridSpan w:val="2"/>
            <w:vMerge w:val="restart"/>
            <w:tcBorders>
              <w:top w:val="single" w:color="auto" w:sz="12" w:space="0"/>
              <w:left w:val="single" w:color="auto" w:sz="12" w:space="0"/>
              <w:bottom w:val="single" w:color="auto" w:sz="6" w:space="0"/>
              <w:right w:val="single" w:color="auto" w:sz="6" w:space="0"/>
            </w:tcBorders>
            <w:vAlign w:val="center"/>
          </w:tcPr>
          <w:p>
            <w:pPr>
              <w:widowControl/>
              <w:adjustRightInd w:val="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时间(h)</w:t>
            </w:r>
          </w:p>
        </w:tc>
        <w:tc>
          <w:tcPr>
            <w:tcW w:w="3267" w:type="dxa"/>
            <w:gridSpan w:val="3"/>
            <w:tcBorders>
              <w:top w:val="single" w:color="auto" w:sz="12" w:space="0"/>
              <w:left w:val="single" w:color="auto" w:sz="6" w:space="0"/>
              <w:bottom w:val="single" w:color="auto" w:sz="6" w:space="0"/>
              <w:right w:val="single" w:color="auto" w:sz="6" w:space="0"/>
            </w:tcBorders>
            <w:vAlign w:val="center"/>
          </w:tcPr>
          <w:p>
            <w:pPr>
              <w:widowControl/>
              <w:adjustRightInd w:val="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S（</w:t>
            </w:r>
            <w:r>
              <w:rPr>
                <w:rFonts w:hint="eastAsia"/>
                <w:color w:val="000000" w:themeColor="text1"/>
                <w:kern w:val="0"/>
                <w:sz w:val="21"/>
                <w:szCs w:val="21"/>
                <w14:textFill>
                  <w14:solidFill>
                    <w14:schemeClr w14:val="tx1"/>
                  </w14:solidFill>
                </w14:textFill>
              </w:rPr>
              <w:t>夏季</w:t>
            </w:r>
            <w:r>
              <w:rPr>
                <w:color w:val="000000" w:themeColor="text1"/>
                <w:kern w:val="0"/>
                <w:sz w:val="21"/>
                <w:szCs w:val="21"/>
                <w14:textFill>
                  <w14:solidFill>
                    <w14:schemeClr w14:val="tx1"/>
                  </w14:solidFill>
                </w14:textFill>
              </w:rPr>
              <w:t>主频风）</w:t>
            </w:r>
          </w:p>
        </w:tc>
        <w:tc>
          <w:tcPr>
            <w:tcW w:w="3266" w:type="dxa"/>
            <w:gridSpan w:val="3"/>
            <w:tcBorders>
              <w:top w:val="single" w:color="auto" w:sz="12" w:space="0"/>
              <w:left w:val="single" w:color="auto" w:sz="6" w:space="0"/>
              <w:bottom w:val="single" w:color="auto" w:sz="6" w:space="0"/>
              <w:right w:val="single" w:color="auto" w:sz="6" w:space="0"/>
            </w:tcBorders>
            <w:vAlign w:val="center"/>
          </w:tcPr>
          <w:p>
            <w:pPr>
              <w:widowControl/>
              <w:adjustRightInd w:val="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N（</w:t>
            </w:r>
            <w:r>
              <w:rPr>
                <w:rFonts w:hint="eastAsia"/>
                <w:color w:val="000000" w:themeColor="text1"/>
                <w:kern w:val="0"/>
                <w:sz w:val="21"/>
                <w:szCs w:val="21"/>
                <w14:textFill>
                  <w14:solidFill>
                    <w14:schemeClr w14:val="tx1"/>
                  </w14:solidFill>
                </w14:textFill>
              </w:rPr>
              <w:t>冬季</w:t>
            </w:r>
            <w:r>
              <w:rPr>
                <w:color w:val="000000" w:themeColor="text1"/>
                <w:kern w:val="0"/>
                <w:sz w:val="21"/>
                <w:szCs w:val="21"/>
                <w14:textFill>
                  <w14:solidFill>
                    <w14:schemeClr w14:val="tx1"/>
                  </w14:solidFill>
                </w14:textFill>
              </w:rPr>
              <w:t>主频风）</w:t>
            </w:r>
          </w:p>
        </w:tc>
        <w:tc>
          <w:tcPr>
            <w:tcW w:w="3354" w:type="dxa"/>
            <w:gridSpan w:val="3"/>
            <w:tcBorders>
              <w:top w:val="single" w:color="auto" w:sz="12" w:space="0"/>
              <w:left w:val="single" w:color="auto" w:sz="6" w:space="0"/>
              <w:bottom w:val="single" w:color="auto" w:sz="6" w:space="0"/>
              <w:right w:val="single" w:color="auto" w:sz="6" w:space="0"/>
            </w:tcBorders>
            <w:vAlign w:val="center"/>
          </w:tcPr>
          <w:p>
            <w:pPr>
              <w:widowControl/>
              <w:adjustRightInd w:val="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NE（不利风向）</w:t>
            </w:r>
          </w:p>
        </w:tc>
        <w:tc>
          <w:tcPr>
            <w:tcW w:w="3218" w:type="dxa"/>
            <w:gridSpan w:val="3"/>
            <w:tcBorders>
              <w:top w:val="single" w:color="auto" w:sz="12" w:space="0"/>
              <w:left w:val="single" w:color="auto" w:sz="6" w:space="0"/>
              <w:bottom w:val="single" w:color="auto" w:sz="6" w:space="0"/>
              <w:right w:val="single" w:color="auto" w:sz="12" w:space="0"/>
            </w:tcBorders>
          </w:tcPr>
          <w:p>
            <w:pPr>
              <w:widowControl/>
              <w:adjustRightInd w:val="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SE（不利风向）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83" w:hRule="atLeast"/>
          <w:jc w:val="center"/>
        </w:trPr>
        <w:tc>
          <w:tcPr>
            <w:tcW w:w="1069" w:type="dxa"/>
            <w:gridSpan w:val="2"/>
            <w:vMerge w:val="continue"/>
            <w:tcBorders>
              <w:top w:val="single" w:color="auto" w:sz="6" w:space="0"/>
              <w:left w:val="single" w:color="auto" w:sz="12" w:space="0"/>
              <w:bottom w:val="single" w:color="auto" w:sz="6" w:space="0"/>
              <w:right w:val="single" w:color="auto" w:sz="6" w:space="0"/>
            </w:tcBorders>
            <w:vAlign w:val="center"/>
          </w:tcPr>
          <w:p>
            <w:pPr>
              <w:widowControl/>
              <w:adjustRightInd w:val="0"/>
              <w:jc w:val="center"/>
              <w:rPr>
                <w:color w:val="000000" w:themeColor="text1"/>
                <w:kern w:val="0"/>
                <w:sz w:val="21"/>
                <w:szCs w:val="21"/>
                <w14:textFill>
                  <w14:solidFill>
                    <w14:schemeClr w14:val="tx1"/>
                  </w14:solidFill>
                </w14:textFill>
              </w:rPr>
            </w:pPr>
          </w:p>
        </w:tc>
        <w:tc>
          <w:tcPr>
            <w:tcW w:w="1267" w:type="dxa"/>
            <w:tcBorders>
              <w:top w:val="single" w:color="auto" w:sz="6" w:space="0"/>
              <w:left w:val="single" w:color="auto" w:sz="6" w:space="0"/>
              <w:bottom w:val="single" w:color="auto" w:sz="6" w:space="0"/>
              <w:right w:val="single" w:color="auto" w:sz="6" w:space="0"/>
            </w:tcBorders>
            <w:vAlign w:val="center"/>
          </w:tcPr>
          <w:p>
            <w:pPr>
              <w:adjustRightInd w:val="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残油量(T)</w:t>
            </w:r>
          </w:p>
        </w:tc>
        <w:tc>
          <w:tcPr>
            <w:tcW w:w="954" w:type="dxa"/>
            <w:tcBorders>
              <w:top w:val="single" w:color="auto" w:sz="6" w:space="0"/>
              <w:left w:val="single" w:color="auto" w:sz="6" w:space="0"/>
              <w:bottom w:val="single" w:color="auto" w:sz="6" w:space="0"/>
              <w:right w:val="single" w:color="auto" w:sz="6" w:space="0"/>
            </w:tcBorders>
            <w:vAlign w:val="center"/>
          </w:tcPr>
          <w:p>
            <w:pPr>
              <w:adjustRightInd w:val="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扫海面积(km</w:t>
            </w:r>
            <w:r>
              <w:rPr>
                <w:color w:val="000000" w:themeColor="text1"/>
                <w:kern w:val="0"/>
                <w:sz w:val="21"/>
                <w:szCs w:val="21"/>
                <w:vertAlign w:val="superscript"/>
                <w14:textFill>
                  <w14:solidFill>
                    <w14:schemeClr w14:val="tx1"/>
                  </w14:solidFill>
                </w14:textFill>
              </w:rPr>
              <w:t>2</w:t>
            </w:r>
            <w:r>
              <w:rPr>
                <w:color w:val="000000" w:themeColor="text1"/>
                <w:kern w:val="0"/>
                <w:sz w:val="21"/>
                <w:szCs w:val="21"/>
                <w14:textFill>
                  <w14:solidFill>
                    <w14:schemeClr w14:val="tx1"/>
                  </w14:solidFill>
                </w14:textFill>
              </w:rPr>
              <w:t>)</w:t>
            </w:r>
          </w:p>
        </w:tc>
        <w:tc>
          <w:tcPr>
            <w:tcW w:w="1046" w:type="dxa"/>
            <w:tcBorders>
              <w:top w:val="single" w:color="auto" w:sz="6" w:space="0"/>
              <w:left w:val="single" w:color="auto" w:sz="6" w:space="0"/>
              <w:bottom w:val="single" w:color="auto" w:sz="6" w:space="0"/>
              <w:right w:val="single" w:color="auto" w:sz="6" w:space="0"/>
            </w:tcBorders>
            <w:vAlign w:val="center"/>
          </w:tcPr>
          <w:p>
            <w:pPr>
              <w:adjustRightInd w:val="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油膜厚度(um)</w:t>
            </w:r>
          </w:p>
        </w:tc>
        <w:tc>
          <w:tcPr>
            <w:tcW w:w="1242" w:type="dxa"/>
            <w:tcBorders>
              <w:top w:val="single" w:color="auto" w:sz="6" w:space="0"/>
              <w:left w:val="single" w:color="auto" w:sz="6" w:space="0"/>
              <w:bottom w:val="single" w:color="auto" w:sz="6" w:space="0"/>
              <w:right w:val="single" w:color="auto" w:sz="6" w:space="0"/>
            </w:tcBorders>
            <w:vAlign w:val="center"/>
          </w:tcPr>
          <w:p>
            <w:pPr>
              <w:adjustRightInd w:val="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残油量(T)</w:t>
            </w:r>
          </w:p>
        </w:tc>
        <w:tc>
          <w:tcPr>
            <w:tcW w:w="935" w:type="dxa"/>
            <w:tcBorders>
              <w:top w:val="single" w:color="auto" w:sz="6" w:space="0"/>
              <w:left w:val="single" w:color="auto" w:sz="6" w:space="0"/>
              <w:bottom w:val="single" w:color="auto" w:sz="6" w:space="0"/>
              <w:right w:val="single" w:color="auto" w:sz="6" w:space="0"/>
            </w:tcBorders>
            <w:vAlign w:val="center"/>
          </w:tcPr>
          <w:p>
            <w:pPr>
              <w:adjustRightInd w:val="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扫海面积(km</w:t>
            </w:r>
            <w:r>
              <w:rPr>
                <w:color w:val="000000" w:themeColor="text1"/>
                <w:kern w:val="0"/>
                <w:sz w:val="21"/>
                <w:szCs w:val="21"/>
                <w:vertAlign w:val="superscript"/>
                <w14:textFill>
                  <w14:solidFill>
                    <w14:schemeClr w14:val="tx1"/>
                  </w14:solidFill>
                </w14:textFill>
              </w:rPr>
              <w:t>2</w:t>
            </w:r>
            <w:r>
              <w:rPr>
                <w:color w:val="000000" w:themeColor="text1"/>
                <w:kern w:val="0"/>
                <w:sz w:val="21"/>
                <w:szCs w:val="21"/>
                <w14:textFill>
                  <w14:solidFill>
                    <w14:schemeClr w14:val="tx1"/>
                  </w14:solidFill>
                </w14:textFill>
              </w:rPr>
              <w:t>)</w:t>
            </w:r>
          </w:p>
        </w:tc>
        <w:tc>
          <w:tcPr>
            <w:tcW w:w="1089" w:type="dxa"/>
            <w:tcBorders>
              <w:top w:val="single" w:color="auto" w:sz="6" w:space="0"/>
              <w:left w:val="single" w:color="auto" w:sz="6" w:space="0"/>
              <w:bottom w:val="single" w:color="auto" w:sz="6" w:space="0"/>
              <w:right w:val="single" w:color="auto" w:sz="6" w:space="0"/>
            </w:tcBorders>
            <w:vAlign w:val="center"/>
          </w:tcPr>
          <w:p>
            <w:pPr>
              <w:adjustRightInd w:val="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油膜厚度</w:t>
            </w:r>
          </w:p>
          <w:p>
            <w:pPr>
              <w:adjustRightInd w:val="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(um)</w:t>
            </w:r>
          </w:p>
        </w:tc>
        <w:tc>
          <w:tcPr>
            <w:tcW w:w="1319" w:type="dxa"/>
            <w:tcBorders>
              <w:top w:val="single" w:color="auto" w:sz="6" w:space="0"/>
              <w:left w:val="single" w:color="auto" w:sz="6" w:space="0"/>
              <w:bottom w:val="single" w:color="auto" w:sz="6" w:space="0"/>
              <w:right w:val="single" w:color="auto" w:sz="6" w:space="0"/>
            </w:tcBorders>
            <w:vAlign w:val="center"/>
          </w:tcPr>
          <w:p>
            <w:pPr>
              <w:adjustRightInd w:val="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残油量(T)</w:t>
            </w:r>
          </w:p>
        </w:tc>
        <w:tc>
          <w:tcPr>
            <w:tcW w:w="954" w:type="dxa"/>
            <w:tcBorders>
              <w:top w:val="single" w:color="auto" w:sz="6" w:space="0"/>
              <w:left w:val="single" w:color="auto" w:sz="6" w:space="0"/>
              <w:bottom w:val="single" w:color="auto" w:sz="6" w:space="0"/>
              <w:right w:val="single" w:color="auto" w:sz="6" w:space="0"/>
            </w:tcBorders>
            <w:vAlign w:val="center"/>
          </w:tcPr>
          <w:p>
            <w:pPr>
              <w:adjustRightInd w:val="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扫海面积(km</w:t>
            </w:r>
            <w:r>
              <w:rPr>
                <w:color w:val="000000" w:themeColor="text1"/>
                <w:kern w:val="0"/>
                <w:sz w:val="21"/>
                <w:szCs w:val="21"/>
                <w:vertAlign w:val="superscript"/>
                <w14:textFill>
                  <w14:solidFill>
                    <w14:schemeClr w14:val="tx1"/>
                  </w14:solidFill>
                </w14:textFill>
              </w:rPr>
              <w:t>2</w:t>
            </w:r>
            <w:r>
              <w:rPr>
                <w:color w:val="000000" w:themeColor="text1"/>
                <w:kern w:val="0"/>
                <w:sz w:val="21"/>
                <w:szCs w:val="21"/>
                <w14:textFill>
                  <w14:solidFill>
                    <w14:schemeClr w14:val="tx1"/>
                  </w14:solidFill>
                </w14:textFill>
              </w:rPr>
              <w:t>)</w:t>
            </w:r>
          </w:p>
        </w:tc>
        <w:tc>
          <w:tcPr>
            <w:tcW w:w="1081" w:type="dxa"/>
            <w:tcBorders>
              <w:top w:val="single" w:color="auto" w:sz="6" w:space="0"/>
              <w:left w:val="single" w:color="auto" w:sz="6" w:space="0"/>
              <w:bottom w:val="single" w:color="auto" w:sz="6" w:space="0"/>
              <w:right w:val="single" w:color="auto" w:sz="6" w:space="0"/>
            </w:tcBorders>
            <w:vAlign w:val="center"/>
          </w:tcPr>
          <w:p>
            <w:pPr>
              <w:adjustRightInd w:val="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油膜厚度</w:t>
            </w:r>
          </w:p>
          <w:p>
            <w:pPr>
              <w:adjustRightInd w:val="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(um)</w:t>
            </w:r>
          </w:p>
        </w:tc>
        <w:tc>
          <w:tcPr>
            <w:tcW w:w="1171" w:type="dxa"/>
            <w:tcBorders>
              <w:top w:val="single" w:color="auto" w:sz="6" w:space="0"/>
              <w:left w:val="single" w:color="auto" w:sz="6" w:space="0"/>
              <w:bottom w:val="single" w:color="auto" w:sz="6" w:space="0"/>
              <w:right w:val="single" w:color="auto" w:sz="6" w:space="0"/>
            </w:tcBorders>
            <w:vAlign w:val="center"/>
          </w:tcPr>
          <w:p>
            <w:pPr>
              <w:adjustRightInd w:val="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残油量(T)</w:t>
            </w:r>
          </w:p>
        </w:tc>
        <w:tc>
          <w:tcPr>
            <w:tcW w:w="1013" w:type="dxa"/>
            <w:tcBorders>
              <w:top w:val="single" w:color="auto" w:sz="6" w:space="0"/>
              <w:left w:val="single" w:color="auto" w:sz="6" w:space="0"/>
              <w:bottom w:val="single" w:color="auto" w:sz="6" w:space="0"/>
              <w:right w:val="single" w:color="auto" w:sz="6" w:space="0"/>
            </w:tcBorders>
            <w:vAlign w:val="center"/>
          </w:tcPr>
          <w:p>
            <w:pPr>
              <w:adjustRightInd w:val="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扫海面积(km</w:t>
            </w:r>
            <w:r>
              <w:rPr>
                <w:color w:val="000000" w:themeColor="text1"/>
                <w:kern w:val="0"/>
                <w:sz w:val="21"/>
                <w:szCs w:val="21"/>
                <w:vertAlign w:val="superscript"/>
                <w14:textFill>
                  <w14:solidFill>
                    <w14:schemeClr w14:val="tx1"/>
                  </w14:solidFill>
                </w14:textFill>
              </w:rPr>
              <w:t>2</w:t>
            </w:r>
            <w:r>
              <w:rPr>
                <w:color w:val="000000" w:themeColor="text1"/>
                <w:kern w:val="0"/>
                <w:sz w:val="21"/>
                <w:szCs w:val="21"/>
                <w14:textFill>
                  <w14:solidFill>
                    <w14:schemeClr w14:val="tx1"/>
                  </w14:solidFill>
                </w14:textFill>
              </w:rPr>
              <w:t>)</w:t>
            </w:r>
          </w:p>
        </w:tc>
        <w:tc>
          <w:tcPr>
            <w:tcW w:w="1034" w:type="dxa"/>
            <w:tcBorders>
              <w:top w:val="single" w:color="auto" w:sz="6" w:space="0"/>
              <w:left w:val="single" w:color="auto" w:sz="6" w:space="0"/>
              <w:bottom w:val="single" w:color="auto" w:sz="6" w:space="0"/>
              <w:right w:val="single" w:color="auto" w:sz="12" w:space="0"/>
            </w:tcBorders>
            <w:vAlign w:val="center"/>
          </w:tcPr>
          <w:p>
            <w:pPr>
              <w:adjustRightInd w:val="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油膜厚度(um)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27" w:hRule="exact"/>
          <w:jc w:val="center"/>
        </w:trPr>
        <w:tc>
          <w:tcPr>
            <w:tcW w:w="491" w:type="dxa"/>
            <w:vMerge w:val="restart"/>
            <w:tcBorders>
              <w:top w:val="single" w:color="auto" w:sz="6" w:space="0"/>
              <w:left w:val="single" w:color="auto" w:sz="12" w:space="0"/>
              <w:bottom w:val="single" w:color="auto" w:sz="6" w:space="0"/>
              <w:right w:val="single" w:color="auto" w:sz="6" w:space="0"/>
            </w:tcBorders>
            <w:vAlign w:val="center"/>
          </w:tcPr>
          <w:p>
            <w:pPr>
              <w:widowControl/>
              <w:adjustRightInd w:val="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高潮时</w:t>
            </w:r>
          </w:p>
        </w:tc>
        <w:tc>
          <w:tcPr>
            <w:tcW w:w="578" w:type="dxa"/>
            <w:tcBorders>
              <w:top w:val="single" w:color="auto" w:sz="6" w:space="0"/>
              <w:left w:val="single" w:color="auto" w:sz="6" w:space="0"/>
              <w:bottom w:val="single" w:color="auto" w:sz="6" w:space="0"/>
              <w:right w:val="single" w:color="auto" w:sz="6" w:space="0"/>
            </w:tcBorders>
            <w:vAlign w:val="center"/>
          </w:tcPr>
          <w:p>
            <w:pPr>
              <w:adjustRightInd w:val="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0</w:t>
            </w:r>
          </w:p>
        </w:tc>
        <w:tc>
          <w:tcPr>
            <w:tcW w:w="1267" w:type="dxa"/>
            <w:tcBorders>
              <w:top w:val="single" w:color="auto" w:sz="6" w:space="0"/>
              <w:left w:val="single" w:color="auto" w:sz="6" w:space="0"/>
              <w:bottom w:val="single" w:color="auto" w:sz="6" w:space="0"/>
              <w:right w:val="single" w:color="auto" w:sz="6" w:space="0"/>
            </w:tcBorders>
            <w:vAlign w:val="center"/>
          </w:tcPr>
          <w:p>
            <w:pPr>
              <w:adjustRightInd w:val="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2500</w:t>
            </w:r>
          </w:p>
        </w:tc>
        <w:tc>
          <w:tcPr>
            <w:tcW w:w="954" w:type="dxa"/>
            <w:tcBorders>
              <w:top w:val="single" w:color="auto" w:sz="6" w:space="0"/>
              <w:left w:val="single" w:color="auto" w:sz="6" w:space="0"/>
              <w:bottom w:val="single" w:color="auto" w:sz="6" w:space="0"/>
              <w:right w:val="single" w:color="auto" w:sz="6" w:space="0"/>
            </w:tcBorders>
            <w:vAlign w:val="center"/>
          </w:tcPr>
          <w:p>
            <w:pPr>
              <w:adjustRightInd w:val="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0</w:t>
            </w:r>
          </w:p>
        </w:tc>
        <w:tc>
          <w:tcPr>
            <w:tcW w:w="1046" w:type="dxa"/>
            <w:tcBorders>
              <w:top w:val="single" w:color="auto" w:sz="6" w:space="0"/>
              <w:left w:val="single" w:color="auto" w:sz="6" w:space="0"/>
              <w:bottom w:val="single" w:color="auto" w:sz="6" w:space="0"/>
              <w:right w:val="single" w:color="auto" w:sz="6" w:space="0"/>
            </w:tcBorders>
            <w:vAlign w:val="center"/>
          </w:tcPr>
          <w:p>
            <w:pPr>
              <w:adjustRightInd w:val="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0</w:t>
            </w:r>
          </w:p>
        </w:tc>
        <w:tc>
          <w:tcPr>
            <w:tcW w:w="1242" w:type="dxa"/>
            <w:tcBorders>
              <w:top w:val="single" w:color="auto" w:sz="6" w:space="0"/>
              <w:left w:val="single" w:color="auto" w:sz="6" w:space="0"/>
              <w:bottom w:val="single" w:color="auto" w:sz="6" w:space="0"/>
              <w:right w:val="single" w:color="auto" w:sz="6" w:space="0"/>
            </w:tcBorders>
            <w:vAlign w:val="center"/>
          </w:tcPr>
          <w:p>
            <w:pPr>
              <w:adjustRightInd w:val="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2500</w:t>
            </w:r>
          </w:p>
        </w:tc>
        <w:tc>
          <w:tcPr>
            <w:tcW w:w="935" w:type="dxa"/>
            <w:tcBorders>
              <w:top w:val="single" w:color="auto" w:sz="6" w:space="0"/>
              <w:left w:val="single" w:color="auto" w:sz="6" w:space="0"/>
              <w:bottom w:val="single" w:color="auto" w:sz="6" w:space="0"/>
              <w:right w:val="single" w:color="auto" w:sz="6" w:space="0"/>
            </w:tcBorders>
            <w:vAlign w:val="center"/>
          </w:tcPr>
          <w:p>
            <w:pPr>
              <w:adjustRightInd w:val="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0</w:t>
            </w:r>
          </w:p>
        </w:tc>
        <w:tc>
          <w:tcPr>
            <w:tcW w:w="1089" w:type="dxa"/>
            <w:tcBorders>
              <w:top w:val="single" w:color="auto" w:sz="6" w:space="0"/>
              <w:left w:val="single" w:color="auto" w:sz="6" w:space="0"/>
              <w:bottom w:val="single" w:color="auto" w:sz="6" w:space="0"/>
              <w:right w:val="single" w:color="auto" w:sz="6" w:space="0"/>
            </w:tcBorders>
            <w:vAlign w:val="center"/>
          </w:tcPr>
          <w:p>
            <w:pPr>
              <w:adjustRightInd w:val="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0</w:t>
            </w:r>
          </w:p>
        </w:tc>
        <w:tc>
          <w:tcPr>
            <w:tcW w:w="1319" w:type="dxa"/>
            <w:tcBorders>
              <w:top w:val="single" w:color="auto" w:sz="6" w:space="0"/>
              <w:left w:val="single" w:color="auto" w:sz="6" w:space="0"/>
              <w:bottom w:val="single" w:color="auto" w:sz="6" w:space="0"/>
              <w:right w:val="single" w:color="auto" w:sz="6" w:space="0"/>
            </w:tcBorders>
            <w:vAlign w:val="center"/>
          </w:tcPr>
          <w:p>
            <w:pPr>
              <w:adjustRightInd w:val="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2500</w:t>
            </w:r>
          </w:p>
        </w:tc>
        <w:tc>
          <w:tcPr>
            <w:tcW w:w="954" w:type="dxa"/>
            <w:tcBorders>
              <w:top w:val="single" w:color="auto" w:sz="6" w:space="0"/>
              <w:left w:val="single" w:color="auto" w:sz="6" w:space="0"/>
              <w:bottom w:val="single" w:color="auto" w:sz="6" w:space="0"/>
              <w:right w:val="single" w:color="auto" w:sz="6" w:space="0"/>
            </w:tcBorders>
            <w:vAlign w:val="center"/>
          </w:tcPr>
          <w:p>
            <w:pPr>
              <w:adjustRightInd w:val="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0</w:t>
            </w:r>
          </w:p>
        </w:tc>
        <w:tc>
          <w:tcPr>
            <w:tcW w:w="1081" w:type="dxa"/>
            <w:tcBorders>
              <w:top w:val="single" w:color="auto" w:sz="6" w:space="0"/>
              <w:left w:val="single" w:color="auto" w:sz="6" w:space="0"/>
              <w:bottom w:val="single" w:color="auto" w:sz="6" w:space="0"/>
              <w:right w:val="single" w:color="auto" w:sz="6" w:space="0"/>
            </w:tcBorders>
            <w:vAlign w:val="center"/>
          </w:tcPr>
          <w:p>
            <w:pPr>
              <w:adjustRightInd w:val="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0</w:t>
            </w:r>
          </w:p>
        </w:tc>
        <w:tc>
          <w:tcPr>
            <w:tcW w:w="1171" w:type="dxa"/>
            <w:tcBorders>
              <w:top w:val="single" w:color="auto" w:sz="6" w:space="0"/>
              <w:left w:val="single" w:color="auto" w:sz="6" w:space="0"/>
              <w:bottom w:val="single" w:color="auto" w:sz="6" w:space="0"/>
              <w:right w:val="single" w:color="auto" w:sz="6" w:space="0"/>
            </w:tcBorders>
            <w:vAlign w:val="center"/>
          </w:tcPr>
          <w:p>
            <w:pPr>
              <w:adjustRightInd w:val="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2500</w:t>
            </w:r>
          </w:p>
        </w:tc>
        <w:tc>
          <w:tcPr>
            <w:tcW w:w="1013" w:type="dxa"/>
            <w:tcBorders>
              <w:top w:val="single" w:color="auto" w:sz="6" w:space="0"/>
              <w:left w:val="single" w:color="auto" w:sz="6" w:space="0"/>
              <w:bottom w:val="single" w:color="auto" w:sz="6" w:space="0"/>
              <w:right w:val="single" w:color="auto" w:sz="6" w:space="0"/>
            </w:tcBorders>
            <w:vAlign w:val="center"/>
          </w:tcPr>
          <w:p>
            <w:pPr>
              <w:adjustRightInd w:val="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0</w:t>
            </w:r>
          </w:p>
        </w:tc>
        <w:tc>
          <w:tcPr>
            <w:tcW w:w="1034" w:type="dxa"/>
            <w:tcBorders>
              <w:top w:val="single" w:color="auto" w:sz="6" w:space="0"/>
              <w:left w:val="single" w:color="auto" w:sz="6" w:space="0"/>
              <w:bottom w:val="single" w:color="auto" w:sz="6" w:space="0"/>
              <w:right w:val="single" w:color="auto" w:sz="12" w:space="0"/>
            </w:tcBorders>
            <w:vAlign w:val="center"/>
          </w:tcPr>
          <w:p>
            <w:pPr>
              <w:adjustRightInd w:val="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27" w:hRule="exact"/>
          <w:jc w:val="center"/>
        </w:trPr>
        <w:tc>
          <w:tcPr>
            <w:tcW w:w="491" w:type="dxa"/>
            <w:vMerge w:val="continue"/>
            <w:tcBorders>
              <w:top w:val="single" w:color="auto" w:sz="6" w:space="0"/>
              <w:left w:val="single" w:color="auto" w:sz="12" w:space="0"/>
              <w:bottom w:val="single" w:color="auto" w:sz="6" w:space="0"/>
              <w:right w:val="single" w:color="auto" w:sz="6" w:space="0"/>
            </w:tcBorders>
            <w:vAlign w:val="center"/>
          </w:tcPr>
          <w:p>
            <w:pPr>
              <w:widowControl/>
              <w:adjustRightInd w:val="0"/>
              <w:jc w:val="center"/>
              <w:rPr>
                <w:color w:val="000000" w:themeColor="text1"/>
                <w:kern w:val="0"/>
                <w:sz w:val="21"/>
                <w:szCs w:val="21"/>
                <w14:textFill>
                  <w14:solidFill>
                    <w14:schemeClr w14:val="tx1"/>
                  </w14:solidFill>
                </w14:textFill>
              </w:rPr>
            </w:pPr>
          </w:p>
        </w:tc>
        <w:tc>
          <w:tcPr>
            <w:tcW w:w="578" w:type="dxa"/>
            <w:tcBorders>
              <w:top w:val="single" w:color="auto" w:sz="6" w:space="0"/>
              <w:left w:val="single" w:color="auto" w:sz="6" w:space="0"/>
              <w:bottom w:val="single" w:color="auto" w:sz="6" w:space="0"/>
              <w:right w:val="single" w:color="auto" w:sz="6" w:space="0"/>
            </w:tcBorders>
            <w:vAlign w:val="center"/>
          </w:tcPr>
          <w:p>
            <w:pPr>
              <w:adjustRightInd w:val="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w:t>
            </w:r>
          </w:p>
        </w:tc>
        <w:tc>
          <w:tcPr>
            <w:tcW w:w="1267" w:type="dxa"/>
            <w:tcBorders>
              <w:top w:val="single" w:color="auto" w:sz="6" w:space="0"/>
              <w:left w:val="single" w:color="auto" w:sz="6" w:space="0"/>
              <w:bottom w:val="single" w:color="auto" w:sz="6" w:space="0"/>
              <w:right w:val="single" w:color="auto" w:sz="6" w:space="0"/>
            </w:tcBorders>
            <w:vAlign w:val="center"/>
          </w:tcPr>
          <w:p>
            <w:pPr>
              <w:adjustRightInd w:val="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2098.84</w:t>
            </w:r>
          </w:p>
        </w:tc>
        <w:tc>
          <w:tcPr>
            <w:tcW w:w="954" w:type="dxa"/>
            <w:tcBorders>
              <w:top w:val="single" w:color="auto" w:sz="6" w:space="0"/>
              <w:left w:val="single" w:color="auto" w:sz="6" w:space="0"/>
              <w:bottom w:val="single" w:color="auto" w:sz="6" w:space="0"/>
              <w:right w:val="single" w:color="auto" w:sz="6" w:space="0"/>
            </w:tcBorders>
            <w:vAlign w:val="center"/>
          </w:tcPr>
          <w:p>
            <w:pPr>
              <w:widowControl/>
              <w:adjustRightInd w:val="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0.46</w:t>
            </w:r>
          </w:p>
        </w:tc>
        <w:tc>
          <w:tcPr>
            <w:tcW w:w="1046" w:type="dxa"/>
            <w:tcBorders>
              <w:top w:val="single" w:color="auto" w:sz="6" w:space="0"/>
              <w:left w:val="single" w:color="auto" w:sz="6" w:space="0"/>
              <w:bottom w:val="single" w:color="auto" w:sz="6" w:space="0"/>
              <w:right w:val="single" w:color="auto" w:sz="6" w:space="0"/>
            </w:tcBorders>
            <w:vAlign w:val="center"/>
          </w:tcPr>
          <w:p>
            <w:pPr>
              <w:adjustRightInd w:val="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11330.49</w:t>
            </w:r>
          </w:p>
        </w:tc>
        <w:tc>
          <w:tcPr>
            <w:tcW w:w="1242" w:type="dxa"/>
            <w:tcBorders>
              <w:top w:val="single" w:color="auto" w:sz="6" w:space="0"/>
              <w:left w:val="single" w:color="auto" w:sz="6" w:space="0"/>
              <w:bottom w:val="single" w:color="auto" w:sz="6" w:space="0"/>
              <w:right w:val="single" w:color="auto" w:sz="6" w:space="0"/>
            </w:tcBorders>
            <w:vAlign w:val="center"/>
          </w:tcPr>
          <w:p>
            <w:pPr>
              <w:adjustRightInd w:val="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2093.28</w:t>
            </w:r>
          </w:p>
        </w:tc>
        <w:tc>
          <w:tcPr>
            <w:tcW w:w="935" w:type="dxa"/>
            <w:tcBorders>
              <w:top w:val="single" w:color="auto" w:sz="6" w:space="0"/>
              <w:left w:val="single" w:color="auto" w:sz="6" w:space="0"/>
              <w:bottom w:val="single" w:color="auto" w:sz="6" w:space="0"/>
              <w:right w:val="single" w:color="auto" w:sz="6" w:space="0"/>
            </w:tcBorders>
            <w:vAlign w:val="center"/>
          </w:tcPr>
          <w:p>
            <w:pPr>
              <w:widowControl/>
              <w:adjustRightInd w:val="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0.52</w:t>
            </w:r>
          </w:p>
        </w:tc>
        <w:tc>
          <w:tcPr>
            <w:tcW w:w="1089" w:type="dxa"/>
            <w:tcBorders>
              <w:top w:val="single" w:color="auto" w:sz="6" w:space="0"/>
              <w:left w:val="single" w:color="auto" w:sz="6" w:space="0"/>
              <w:bottom w:val="single" w:color="auto" w:sz="6" w:space="0"/>
              <w:right w:val="single" w:color="auto" w:sz="6" w:space="0"/>
            </w:tcBorders>
            <w:vAlign w:val="center"/>
          </w:tcPr>
          <w:p>
            <w:pPr>
              <w:adjustRightInd w:val="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9378.88</w:t>
            </w:r>
          </w:p>
        </w:tc>
        <w:tc>
          <w:tcPr>
            <w:tcW w:w="1319" w:type="dxa"/>
            <w:tcBorders>
              <w:top w:val="single" w:color="auto" w:sz="6" w:space="0"/>
              <w:left w:val="single" w:color="auto" w:sz="6" w:space="0"/>
              <w:bottom w:val="single" w:color="auto" w:sz="6" w:space="0"/>
              <w:right w:val="single" w:color="auto" w:sz="6" w:space="0"/>
            </w:tcBorders>
            <w:vAlign w:val="center"/>
          </w:tcPr>
          <w:p>
            <w:pPr>
              <w:adjustRightInd w:val="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1993.28</w:t>
            </w:r>
          </w:p>
        </w:tc>
        <w:tc>
          <w:tcPr>
            <w:tcW w:w="954" w:type="dxa"/>
            <w:tcBorders>
              <w:top w:val="single" w:color="auto" w:sz="6" w:space="0"/>
              <w:left w:val="single" w:color="auto" w:sz="6" w:space="0"/>
              <w:bottom w:val="single" w:color="auto" w:sz="6" w:space="0"/>
              <w:right w:val="single" w:color="auto" w:sz="6" w:space="0"/>
            </w:tcBorders>
            <w:vAlign w:val="center"/>
          </w:tcPr>
          <w:p>
            <w:pPr>
              <w:widowControl/>
              <w:adjustRightInd w:val="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0.66</w:t>
            </w:r>
          </w:p>
        </w:tc>
        <w:tc>
          <w:tcPr>
            <w:tcW w:w="1081" w:type="dxa"/>
            <w:tcBorders>
              <w:top w:val="single" w:color="auto" w:sz="6" w:space="0"/>
              <w:left w:val="single" w:color="auto" w:sz="6" w:space="0"/>
              <w:bottom w:val="single" w:color="auto" w:sz="6" w:space="0"/>
              <w:right w:val="single" w:color="auto" w:sz="6" w:space="0"/>
            </w:tcBorders>
            <w:vAlign w:val="center"/>
          </w:tcPr>
          <w:p>
            <w:pPr>
              <w:adjustRightInd w:val="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7473.43</w:t>
            </w:r>
          </w:p>
        </w:tc>
        <w:tc>
          <w:tcPr>
            <w:tcW w:w="1171" w:type="dxa"/>
            <w:tcBorders>
              <w:top w:val="single" w:color="auto" w:sz="6" w:space="0"/>
              <w:left w:val="single" w:color="auto" w:sz="6" w:space="0"/>
              <w:bottom w:val="single" w:color="auto" w:sz="6" w:space="0"/>
              <w:right w:val="single" w:color="auto" w:sz="6" w:space="0"/>
            </w:tcBorders>
            <w:vAlign w:val="center"/>
          </w:tcPr>
          <w:p>
            <w:pPr>
              <w:adjustRightInd w:val="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2004.05</w:t>
            </w:r>
          </w:p>
        </w:tc>
        <w:tc>
          <w:tcPr>
            <w:tcW w:w="1013" w:type="dxa"/>
            <w:tcBorders>
              <w:top w:val="single" w:color="auto" w:sz="6" w:space="0"/>
              <w:left w:val="single" w:color="auto" w:sz="6" w:space="0"/>
              <w:bottom w:val="single" w:color="auto" w:sz="6" w:space="0"/>
              <w:right w:val="single" w:color="auto" w:sz="6" w:space="0"/>
            </w:tcBorders>
            <w:vAlign w:val="center"/>
          </w:tcPr>
          <w:p>
            <w:pPr>
              <w:adjustRightInd w:val="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0.56</w:t>
            </w:r>
          </w:p>
        </w:tc>
        <w:tc>
          <w:tcPr>
            <w:tcW w:w="1034" w:type="dxa"/>
            <w:tcBorders>
              <w:top w:val="single" w:color="auto" w:sz="6" w:space="0"/>
              <w:left w:val="single" w:color="auto" w:sz="6" w:space="0"/>
              <w:bottom w:val="single" w:color="auto" w:sz="6" w:space="0"/>
              <w:right w:val="single" w:color="auto" w:sz="12" w:space="0"/>
            </w:tcBorders>
            <w:vAlign w:val="center"/>
          </w:tcPr>
          <w:p>
            <w:pPr>
              <w:adjustRightInd w:val="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8458.11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27" w:hRule="exact"/>
          <w:jc w:val="center"/>
        </w:trPr>
        <w:tc>
          <w:tcPr>
            <w:tcW w:w="491" w:type="dxa"/>
            <w:vMerge w:val="continue"/>
            <w:tcBorders>
              <w:top w:val="single" w:color="auto" w:sz="6" w:space="0"/>
              <w:left w:val="single" w:color="auto" w:sz="12" w:space="0"/>
              <w:bottom w:val="single" w:color="auto" w:sz="6" w:space="0"/>
              <w:right w:val="single" w:color="auto" w:sz="6" w:space="0"/>
            </w:tcBorders>
            <w:vAlign w:val="center"/>
          </w:tcPr>
          <w:p>
            <w:pPr>
              <w:widowControl/>
              <w:adjustRightInd w:val="0"/>
              <w:jc w:val="center"/>
              <w:rPr>
                <w:color w:val="000000" w:themeColor="text1"/>
                <w:kern w:val="0"/>
                <w:sz w:val="21"/>
                <w:szCs w:val="21"/>
                <w14:textFill>
                  <w14:solidFill>
                    <w14:schemeClr w14:val="tx1"/>
                  </w14:solidFill>
                </w14:textFill>
              </w:rPr>
            </w:pPr>
          </w:p>
        </w:tc>
        <w:tc>
          <w:tcPr>
            <w:tcW w:w="578" w:type="dxa"/>
            <w:tcBorders>
              <w:top w:val="single" w:color="auto" w:sz="6" w:space="0"/>
              <w:left w:val="single" w:color="auto" w:sz="6" w:space="0"/>
              <w:bottom w:val="single" w:color="auto" w:sz="6" w:space="0"/>
              <w:right w:val="single" w:color="auto" w:sz="6" w:space="0"/>
            </w:tcBorders>
            <w:vAlign w:val="center"/>
          </w:tcPr>
          <w:p>
            <w:pPr>
              <w:adjustRightInd w:val="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3</w:t>
            </w:r>
          </w:p>
        </w:tc>
        <w:tc>
          <w:tcPr>
            <w:tcW w:w="1267" w:type="dxa"/>
            <w:tcBorders>
              <w:top w:val="single" w:color="auto" w:sz="6" w:space="0"/>
              <w:left w:val="single" w:color="auto" w:sz="6" w:space="0"/>
              <w:bottom w:val="single" w:color="auto" w:sz="6" w:space="0"/>
              <w:right w:val="single" w:color="auto" w:sz="6" w:space="0"/>
            </w:tcBorders>
            <w:vAlign w:val="center"/>
          </w:tcPr>
          <w:p>
            <w:pPr>
              <w:adjustRightInd w:val="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1436.52</w:t>
            </w:r>
          </w:p>
        </w:tc>
        <w:tc>
          <w:tcPr>
            <w:tcW w:w="954" w:type="dxa"/>
            <w:tcBorders>
              <w:top w:val="single" w:color="auto" w:sz="6" w:space="0"/>
              <w:left w:val="single" w:color="auto" w:sz="6" w:space="0"/>
              <w:bottom w:val="single" w:color="auto" w:sz="6" w:space="0"/>
              <w:right w:val="single" w:color="auto" w:sz="6" w:space="0"/>
            </w:tcBorders>
            <w:vAlign w:val="center"/>
          </w:tcPr>
          <w:p>
            <w:pPr>
              <w:widowControl/>
              <w:adjustRightInd w:val="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2.70</w:t>
            </w:r>
          </w:p>
        </w:tc>
        <w:tc>
          <w:tcPr>
            <w:tcW w:w="1046" w:type="dxa"/>
            <w:tcBorders>
              <w:top w:val="single" w:color="auto" w:sz="6" w:space="0"/>
              <w:left w:val="single" w:color="auto" w:sz="6" w:space="0"/>
              <w:bottom w:val="single" w:color="auto" w:sz="6" w:space="0"/>
              <w:right w:val="single" w:color="auto" w:sz="6" w:space="0"/>
            </w:tcBorders>
            <w:vAlign w:val="center"/>
          </w:tcPr>
          <w:p>
            <w:pPr>
              <w:adjustRightInd w:val="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1577.40</w:t>
            </w:r>
          </w:p>
        </w:tc>
        <w:tc>
          <w:tcPr>
            <w:tcW w:w="1242" w:type="dxa"/>
            <w:tcBorders>
              <w:top w:val="single" w:color="auto" w:sz="6" w:space="0"/>
              <w:left w:val="single" w:color="auto" w:sz="6" w:space="0"/>
              <w:bottom w:val="single" w:color="auto" w:sz="6" w:space="0"/>
              <w:right w:val="single" w:color="auto" w:sz="6" w:space="0"/>
            </w:tcBorders>
            <w:vAlign w:val="center"/>
          </w:tcPr>
          <w:p>
            <w:pPr>
              <w:adjustRightInd w:val="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1377.28</w:t>
            </w:r>
          </w:p>
        </w:tc>
        <w:tc>
          <w:tcPr>
            <w:tcW w:w="935" w:type="dxa"/>
            <w:tcBorders>
              <w:top w:val="single" w:color="auto" w:sz="6" w:space="0"/>
              <w:left w:val="single" w:color="auto" w:sz="6" w:space="0"/>
              <w:bottom w:val="single" w:color="auto" w:sz="6" w:space="0"/>
              <w:right w:val="single" w:color="auto" w:sz="6" w:space="0"/>
            </w:tcBorders>
            <w:vAlign w:val="center"/>
          </w:tcPr>
          <w:p>
            <w:pPr>
              <w:widowControl/>
              <w:adjustRightInd w:val="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4.24</w:t>
            </w:r>
          </w:p>
        </w:tc>
        <w:tc>
          <w:tcPr>
            <w:tcW w:w="1089" w:type="dxa"/>
            <w:tcBorders>
              <w:top w:val="single" w:color="auto" w:sz="6" w:space="0"/>
              <w:left w:val="single" w:color="auto" w:sz="6" w:space="0"/>
              <w:bottom w:val="single" w:color="auto" w:sz="6" w:space="0"/>
              <w:right w:val="single" w:color="auto" w:sz="6" w:space="0"/>
            </w:tcBorders>
            <w:vAlign w:val="center"/>
          </w:tcPr>
          <w:p>
            <w:pPr>
              <w:adjustRightInd w:val="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950.61</w:t>
            </w:r>
          </w:p>
        </w:tc>
        <w:tc>
          <w:tcPr>
            <w:tcW w:w="1319" w:type="dxa"/>
            <w:tcBorders>
              <w:top w:val="single" w:color="auto" w:sz="6" w:space="0"/>
              <w:left w:val="single" w:color="auto" w:sz="6" w:space="0"/>
              <w:bottom w:val="single" w:color="auto" w:sz="6" w:space="0"/>
              <w:right w:val="single" w:color="auto" w:sz="6" w:space="0"/>
            </w:tcBorders>
            <w:vAlign w:val="center"/>
          </w:tcPr>
          <w:p>
            <w:pPr>
              <w:adjustRightInd w:val="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1252.33</w:t>
            </w:r>
          </w:p>
        </w:tc>
        <w:tc>
          <w:tcPr>
            <w:tcW w:w="954" w:type="dxa"/>
            <w:tcBorders>
              <w:top w:val="single" w:color="auto" w:sz="6" w:space="0"/>
              <w:left w:val="single" w:color="auto" w:sz="6" w:space="0"/>
              <w:bottom w:val="single" w:color="auto" w:sz="6" w:space="0"/>
              <w:right w:val="single" w:color="auto" w:sz="6" w:space="0"/>
            </w:tcBorders>
            <w:vAlign w:val="center"/>
          </w:tcPr>
          <w:p>
            <w:pPr>
              <w:widowControl/>
              <w:adjustRightInd w:val="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6.48</w:t>
            </w:r>
          </w:p>
        </w:tc>
        <w:tc>
          <w:tcPr>
            <w:tcW w:w="1081" w:type="dxa"/>
            <w:tcBorders>
              <w:top w:val="single" w:color="auto" w:sz="6" w:space="0"/>
              <w:left w:val="single" w:color="auto" w:sz="6" w:space="0"/>
              <w:bottom w:val="single" w:color="auto" w:sz="6" w:space="0"/>
              <w:right w:val="single" w:color="auto" w:sz="6" w:space="0"/>
            </w:tcBorders>
            <w:vAlign w:val="center"/>
          </w:tcPr>
          <w:p>
            <w:pPr>
              <w:adjustRightInd w:val="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1375.14</w:t>
            </w:r>
          </w:p>
        </w:tc>
        <w:tc>
          <w:tcPr>
            <w:tcW w:w="1171" w:type="dxa"/>
            <w:tcBorders>
              <w:top w:val="single" w:color="auto" w:sz="6" w:space="0"/>
              <w:left w:val="single" w:color="auto" w:sz="6" w:space="0"/>
              <w:bottom w:val="single" w:color="auto" w:sz="6" w:space="0"/>
              <w:right w:val="single" w:color="auto" w:sz="6" w:space="0"/>
            </w:tcBorders>
            <w:vAlign w:val="center"/>
          </w:tcPr>
          <w:p>
            <w:pPr>
              <w:adjustRightInd w:val="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1253.28</w:t>
            </w:r>
          </w:p>
        </w:tc>
        <w:tc>
          <w:tcPr>
            <w:tcW w:w="1013" w:type="dxa"/>
            <w:tcBorders>
              <w:top w:val="single" w:color="auto" w:sz="6" w:space="0"/>
              <w:left w:val="single" w:color="auto" w:sz="6" w:space="0"/>
              <w:bottom w:val="single" w:color="auto" w:sz="6" w:space="0"/>
              <w:right w:val="single" w:color="auto" w:sz="6" w:space="0"/>
            </w:tcBorders>
            <w:vAlign w:val="center"/>
          </w:tcPr>
          <w:p>
            <w:pPr>
              <w:adjustRightInd w:val="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5.73</w:t>
            </w:r>
          </w:p>
        </w:tc>
        <w:tc>
          <w:tcPr>
            <w:tcW w:w="1034" w:type="dxa"/>
            <w:tcBorders>
              <w:top w:val="single" w:color="auto" w:sz="6" w:space="0"/>
              <w:left w:val="single" w:color="auto" w:sz="6" w:space="0"/>
              <w:bottom w:val="single" w:color="auto" w:sz="6" w:space="0"/>
              <w:right w:val="single" w:color="auto" w:sz="12" w:space="0"/>
            </w:tcBorders>
            <w:vAlign w:val="center"/>
          </w:tcPr>
          <w:p>
            <w:pPr>
              <w:adjustRightInd w:val="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1513.80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27" w:hRule="exact"/>
          <w:jc w:val="center"/>
        </w:trPr>
        <w:tc>
          <w:tcPr>
            <w:tcW w:w="491" w:type="dxa"/>
            <w:vMerge w:val="continue"/>
            <w:tcBorders>
              <w:top w:val="single" w:color="auto" w:sz="6" w:space="0"/>
              <w:left w:val="single" w:color="auto" w:sz="12" w:space="0"/>
              <w:bottom w:val="single" w:color="auto" w:sz="6" w:space="0"/>
              <w:right w:val="single" w:color="auto" w:sz="6" w:space="0"/>
            </w:tcBorders>
            <w:vAlign w:val="center"/>
          </w:tcPr>
          <w:p>
            <w:pPr>
              <w:widowControl/>
              <w:adjustRightInd w:val="0"/>
              <w:jc w:val="center"/>
              <w:rPr>
                <w:color w:val="000000" w:themeColor="text1"/>
                <w:kern w:val="0"/>
                <w:sz w:val="21"/>
                <w:szCs w:val="21"/>
                <w14:textFill>
                  <w14:solidFill>
                    <w14:schemeClr w14:val="tx1"/>
                  </w14:solidFill>
                </w14:textFill>
              </w:rPr>
            </w:pPr>
          </w:p>
        </w:tc>
        <w:tc>
          <w:tcPr>
            <w:tcW w:w="578" w:type="dxa"/>
            <w:tcBorders>
              <w:top w:val="single" w:color="auto" w:sz="6" w:space="0"/>
              <w:left w:val="single" w:color="auto" w:sz="6" w:space="0"/>
              <w:bottom w:val="single" w:color="auto" w:sz="6" w:space="0"/>
              <w:right w:val="single" w:color="auto" w:sz="6" w:space="0"/>
            </w:tcBorders>
            <w:vAlign w:val="center"/>
          </w:tcPr>
          <w:p>
            <w:pPr>
              <w:adjustRightInd w:val="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6</w:t>
            </w:r>
          </w:p>
        </w:tc>
        <w:tc>
          <w:tcPr>
            <w:tcW w:w="1267" w:type="dxa"/>
            <w:tcBorders>
              <w:top w:val="single" w:color="auto" w:sz="6" w:space="0"/>
              <w:left w:val="single" w:color="auto" w:sz="6" w:space="0"/>
              <w:bottom w:val="single" w:color="auto" w:sz="6" w:space="0"/>
              <w:right w:val="single" w:color="auto" w:sz="6" w:space="0"/>
            </w:tcBorders>
          </w:tcPr>
          <w:p>
            <w:pPr>
              <w:jc w:val="center"/>
              <w:rPr>
                <w:color w:val="000000" w:themeColor="text1"/>
                <w14:textFill>
                  <w14:solidFill>
                    <w14:schemeClr w14:val="tx1"/>
                  </w14:solidFill>
                </w14:textFill>
              </w:rPr>
            </w:pPr>
            <w:r>
              <w:rPr>
                <w:color w:val="000000" w:themeColor="text1"/>
                <w:sz w:val="21"/>
                <w:szCs w:val="21"/>
                <w14:textFill>
                  <w14:solidFill>
                    <w14:schemeClr w14:val="tx1"/>
                  </w14:solidFill>
                </w14:textFill>
              </w:rPr>
              <w:t>——</w:t>
            </w:r>
          </w:p>
        </w:tc>
        <w:tc>
          <w:tcPr>
            <w:tcW w:w="954" w:type="dxa"/>
            <w:tcBorders>
              <w:top w:val="single" w:color="auto" w:sz="6" w:space="0"/>
              <w:left w:val="single" w:color="auto" w:sz="6" w:space="0"/>
              <w:bottom w:val="single" w:color="auto" w:sz="6" w:space="0"/>
              <w:right w:val="single" w:color="auto" w:sz="6" w:space="0"/>
            </w:tcBorders>
          </w:tcPr>
          <w:p>
            <w:pPr>
              <w:jc w:val="center"/>
              <w:rPr>
                <w:color w:val="000000" w:themeColor="text1"/>
                <w14:textFill>
                  <w14:solidFill>
                    <w14:schemeClr w14:val="tx1"/>
                  </w14:solidFill>
                </w14:textFill>
              </w:rPr>
            </w:pPr>
            <w:r>
              <w:rPr>
                <w:color w:val="000000" w:themeColor="text1"/>
                <w:sz w:val="21"/>
                <w:szCs w:val="21"/>
                <w14:textFill>
                  <w14:solidFill>
                    <w14:schemeClr w14:val="tx1"/>
                  </w14:solidFill>
                </w14:textFill>
              </w:rPr>
              <w:t>——</w:t>
            </w:r>
          </w:p>
        </w:tc>
        <w:tc>
          <w:tcPr>
            <w:tcW w:w="1046" w:type="dxa"/>
            <w:tcBorders>
              <w:top w:val="single" w:color="auto" w:sz="6" w:space="0"/>
              <w:left w:val="single" w:color="auto" w:sz="6" w:space="0"/>
              <w:bottom w:val="single" w:color="auto" w:sz="6" w:space="0"/>
              <w:right w:val="single" w:color="auto" w:sz="6" w:space="0"/>
            </w:tcBorders>
          </w:tcPr>
          <w:p>
            <w:pPr>
              <w:jc w:val="center"/>
              <w:rPr>
                <w:color w:val="000000" w:themeColor="text1"/>
                <w14:textFill>
                  <w14:solidFill>
                    <w14:schemeClr w14:val="tx1"/>
                  </w14:solidFill>
                </w14:textFill>
              </w:rPr>
            </w:pPr>
            <w:r>
              <w:rPr>
                <w:color w:val="000000" w:themeColor="text1"/>
                <w:sz w:val="21"/>
                <w:szCs w:val="21"/>
                <w14:textFill>
                  <w14:solidFill>
                    <w14:schemeClr w14:val="tx1"/>
                  </w14:solidFill>
                </w14:textFill>
              </w:rPr>
              <w:t>——</w:t>
            </w:r>
          </w:p>
        </w:tc>
        <w:tc>
          <w:tcPr>
            <w:tcW w:w="1242" w:type="dxa"/>
            <w:tcBorders>
              <w:top w:val="single" w:color="auto" w:sz="6" w:space="0"/>
              <w:left w:val="single" w:color="auto" w:sz="6" w:space="0"/>
              <w:bottom w:val="single" w:color="auto" w:sz="6" w:space="0"/>
              <w:right w:val="single" w:color="auto" w:sz="6" w:space="0"/>
            </w:tcBorders>
            <w:vAlign w:val="center"/>
          </w:tcPr>
          <w:p>
            <w:pPr>
              <w:adjustRightInd w:val="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1206.64</w:t>
            </w:r>
          </w:p>
        </w:tc>
        <w:tc>
          <w:tcPr>
            <w:tcW w:w="935" w:type="dxa"/>
            <w:tcBorders>
              <w:top w:val="single" w:color="auto" w:sz="6" w:space="0"/>
              <w:left w:val="single" w:color="auto" w:sz="6" w:space="0"/>
              <w:bottom w:val="single" w:color="auto" w:sz="6" w:space="0"/>
              <w:right w:val="single" w:color="auto" w:sz="6" w:space="0"/>
            </w:tcBorders>
            <w:vAlign w:val="center"/>
          </w:tcPr>
          <w:p>
            <w:pPr>
              <w:widowControl/>
              <w:adjustRightInd w:val="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11.81</w:t>
            </w:r>
          </w:p>
        </w:tc>
        <w:tc>
          <w:tcPr>
            <w:tcW w:w="1089" w:type="dxa"/>
            <w:tcBorders>
              <w:top w:val="single" w:color="auto" w:sz="6" w:space="0"/>
              <w:left w:val="single" w:color="auto" w:sz="6" w:space="0"/>
              <w:bottom w:val="single" w:color="auto" w:sz="6" w:space="0"/>
              <w:right w:val="single" w:color="auto" w:sz="6" w:space="0"/>
            </w:tcBorders>
            <w:vAlign w:val="center"/>
          </w:tcPr>
          <w:p>
            <w:pPr>
              <w:adjustRightInd w:val="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416.42</w:t>
            </w:r>
          </w:p>
        </w:tc>
        <w:tc>
          <w:tcPr>
            <w:tcW w:w="1319" w:type="dxa"/>
            <w:tcBorders>
              <w:top w:val="single" w:color="auto" w:sz="6" w:space="0"/>
              <w:left w:val="single" w:color="auto" w:sz="6" w:space="0"/>
              <w:bottom w:val="single" w:color="auto" w:sz="6" w:space="0"/>
              <w:right w:val="single" w:color="auto" w:sz="6" w:space="0"/>
            </w:tcBorders>
            <w:vAlign w:val="center"/>
          </w:tcPr>
          <w:p>
            <w:pPr>
              <w:adjustRightInd w:val="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1122.53</w:t>
            </w:r>
          </w:p>
        </w:tc>
        <w:tc>
          <w:tcPr>
            <w:tcW w:w="954" w:type="dxa"/>
            <w:tcBorders>
              <w:top w:val="single" w:color="auto" w:sz="6" w:space="0"/>
              <w:left w:val="single" w:color="auto" w:sz="6" w:space="0"/>
              <w:bottom w:val="single" w:color="auto" w:sz="6" w:space="0"/>
              <w:right w:val="single" w:color="auto" w:sz="6" w:space="0"/>
            </w:tcBorders>
            <w:vAlign w:val="center"/>
          </w:tcPr>
          <w:p>
            <w:pPr>
              <w:widowControl/>
              <w:adjustRightInd w:val="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13.27</w:t>
            </w:r>
          </w:p>
        </w:tc>
        <w:tc>
          <w:tcPr>
            <w:tcW w:w="1081" w:type="dxa"/>
            <w:tcBorders>
              <w:top w:val="single" w:color="auto" w:sz="6" w:space="0"/>
              <w:left w:val="single" w:color="auto" w:sz="6" w:space="0"/>
              <w:bottom w:val="single" w:color="auto" w:sz="6" w:space="0"/>
              <w:right w:val="single" w:color="auto" w:sz="6" w:space="0"/>
            </w:tcBorders>
            <w:vAlign w:val="center"/>
          </w:tcPr>
          <w:p>
            <w:pPr>
              <w:adjustRightInd w:val="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1084.69</w:t>
            </w:r>
          </w:p>
        </w:tc>
        <w:tc>
          <w:tcPr>
            <w:tcW w:w="1171" w:type="dxa"/>
            <w:tcBorders>
              <w:top w:val="single" w:color="auto" w:sz="6" w:space="0"/>
              <w:left w:val="single" w:color="auto" w:sz="6" w:space="0"/>
              <w:bottom w:val="single" w:color="auto" w:sz="6" w:space="0"/>
              <w:right w:val="single" w:color="auto" w:sz="6" w:space="0"/>
            </w:tcBorders>
          </w:tcPr>
          <w:p>
            <w:pPr>
              <w:jc w:val="center"/>
              <w:rPr>
                <w:color w:val="000000" w:themeColor="text1"/>
                <w14:textFill>
                  <w14:solidFill>
                    <w14:schemeClr w14:val="tx1"/>
                  </w14:solidFill>
                </w14:textFill>
              </w:rPr>
            </w:pPr>
            <w:r>
              <w:rPr>
                <w:color w:val="000000" w:themeColor="text1"/>
                <w:sz w:val="21"/>
                <w:szCs w:val="21"/>
                <w14:textFill>
                  <w14:solidFill>
                    <w14:schemeClr w14:val="tx1"/>
                  </w14:solidFill>
                </w14:textFill>
              </w:rPr>
              <w:t>——</w:t>
            </w:r>
          </w:p>
        </w:tc>
        <w:tc>
          <w:tcPr>
            <w:tcW w:w="1013" w:type="dxa"/>
            <w:tcBorders>
              <w:top w:val="single" w:color="auto" w:sz="6" w:space="0"/>
              <w:left w:val="single" w:color="auto" w:sz="6" w:space="0"/>
              <w:bottom w:val="single" w:color="auto" w:sz="6" w:space="0"/>
              <w:right w:val="single" w:color="auto" w:sz="6" w:space="0"/>
            </w:tcBorders>
          </w:tcPr>
          <w:p>
            <w:pPr>
              <w:jc w:val="center"/>
              <w:rPr>
                <w:color w:val="000000" w:themeColor="text1"/>
                <w14:textFill>
                  <w14:solidFill>
                    <w14:schemeClr w14:val="tx1"/>
                  </w14:solidFill>
                </w14:textFill>
              </w:rPr>
            </w:pPr>
            <w:r>
              <w:rPr>
                <w:color w:val="000000" w:themeColor="text1"/>
                <w:sz w:val="21"/>
                <w:szCs w:val="21"/>
                <w14:textFill>
                  <w14:solidFill>
                    <w14:schemeClr w14:val="tx1"/>
                  </w14:solidFill>
                </w14:textFill>
              </w:rPr>
              <w:t>——</w:t>
            </w:r>
          </w:p>
        </w:tc>
        <w:tc>
          <w:tcPr>
            <w:tcW w:w="1034" w:type="dxa"/>
            <w:tcBorders>
              <w:top w:val="single" w:color="auto" w:sz="6" w:space="0"/>
              <w:left w:val="single" w:color="auto" w:sz="6" w:space="0"/>
              <w:bottom w:val="single" w:color="auto" w:sz="6" w:space="0"/>
              <w:right w:val="single" w:color="auto" w:sz="12" w:space="0"/>
            </w:tcBorders>
          </w:tcPr>
          <w:p>
            <w:pPr>
              <w:jc w:val="center"/>
              <w:rPr>
                <w:color w:val="000000" w:themeColor="text1"/>
                <w14:textFill>
                  <w14:solidFill>
                    <w14:schemeClr w14:val="tx1"/>
                  </w14:solidFill>
                </w14:textFill>
              </w:rPr>
            </w:pPr>
            <w:r>
              <w:rPr>
                <w:color w:val="000000" w:themeColor="text1"/>
                <w:sz w:val="21"/>
                <w:szCs w:val="21"/>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27" w:hRule="exact"/>
          <w:jc w:val="center"/>
        </w:trPr>
        <w:tc>
          <w:tcPr>
            <w:tcW w:w="491" w:type="dxa"/>
            <w:vMerge w:val="continue"/>
            <w:tcBorders>
              <w:top w:val="single" w:color="auto" w:sz="6" w:space="0"/>
              <w:left w:val="single" w:color="auto" w:sz="12" w:space="0"/>
              <w:bottom w:val="single" w:color="auto" w:sz="6" w:space="0"/>
              <w:right w:val="single" w:color="auto" w:sz="6" w:space="0"/>
            </w:tcBorders>
            <w:vAlign w:val="center"/>
          </w:tcPr>
          <w:p>
            <w:pPr>
              <w:widowControl/>
              <w:adjustRightInd w:val="0"/>
              <w:jc w:val="center"/>
              <w:rPr>
                <w:color w:val="000000" w:themeColor="text1"/>
                <w:kern w:val="0"/>
                <w:sz w:val="21"/>
                <w:szCs w:val="21"/>
                <w14:textFill>
                  <w14:solidFill>
                    <w14:schemeClr w14:val="tx1"/>
                  </w14:solidFill>
                </w14:textFill>
              </w:rPr>
            </w:pPr>
          </w:p>
        </w:tc>
        <w:tc>
          <w:tcPr>
            <w:tcW w:w="578" w:type="dxa"/>
            <w:tcBorders>
              <w:top w:val="single" w:color="auto" w:sz="6" w:space="0"/>
              <w:left w:val="single" w:color="auto" w:sz="6" w:space="0"/>
              <w:bottom w:val="single" w:color="auto" w:sz="6" w:space="0"/>
              <w:right w:val="single" w:color="auto" w:sz="6" w:space="0"/>
            </w:tcBorders>
            <w:vAlign w:val="center"/>
          </w:tcPr>
          <w:p>
            <w:pPr>
              <w:adjustRightInd w:val="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9</w:t>
            </w:r>
          </w:p>
        </w:tc>
        <w:tc>
          <w:tcPr>
            <w:tcW w:w="1267" w:type="dxa"/>
            <w:tcBorders>
              <w:top w:val="single" w:color="auto" w:sz="6" w:space="0"/>
              <w:left w:val="single" w:color="auto" w:sz="6" w:space="0"/>
              <w:bottom w:val="single" w:color="auto" w:sz="6" w:space="0"/>
              <w:right w:val="single" w:color="auto" w:sz="6" w:space="0"/>
            </w:tcBorders>
          </w:tcPr>
          <w:p>
            <w:pPr>
              <w:jc w:val="center"/>
              <w:rPr>
                <w:color w:val="000000" w:themeColor="text1"/>
                <w14:textFill>
                  <w14:solidFill>
                    <w14:schemeClr w14:val="tx1"/>
                  </w14:solidFill>
                </w14:textFill>
              </w:rPr>
            </w:pPr>
            <w:r>
              <w:rPr>
                <w:color w:val="000000" w:themeColor="text1"/>
                <w:sz w:val="21"/>
                <w:szCs w:val="21"/>
                <w14:textFill>
                  <w14:solidFill>
                    <w14:schemeClr w14:val="tx1"/>
                  </w14:solidFill>
                </w14:textFill>
              </w:rPr>
              <w:t>——</w:t>
            </w:r>
          </w:p>
        </w:tc>
        <w:tc>
          <w:tcPr>
            <w:tcW w:w="954" w:type="dxa"/>
            <w:tcBorders>
              <w:top w:val="single" w:color="auto" w:sz="6" w:space="0"/>
              <w:left w:val="single" w:color="auto" w:sz="6" w:space="0"/>
              <w:bottom w:val="single" w:color="auto" w:sz="6" w:space="0"/>
              <w:right w:val="single" w:color="auto" w:sz="6" w:space="0"/>
            </w:tcBorders>
          </w:tcPr>
          <w:p>
            <w:pPr>
              <w:jc w:val="center"/>
              <w:rPr>
                <w:color w:val="000000" w:themeColor="text1"/>
                <w14:textFill>
                  <w14:solidFill>
                    <w14:schemeClr w14:val="tx1"/>
                  </w14:solidFill>
                </w14:textFill>
              </w:rPr>
            </w:pPr>
            <w:r>
              <w:rPr>
                <w:color w:val="000000" w:themeColor="text1"/>
                <w:sz w:val="21"/>
                <w:szCs w:val="21"/>
                <w14:textFill>
                  <w14:solidFill>
                    <w14:schemeClr w14:val="tx1"/>
                  </w14:solidFill>
                </w14:textFill>
              </w:rPr>
              <w:t>——</w:t>
            </w:r>
          </w:p>
        </w:tc>
        <w:tc>
          <w:tcPr>
            <w:tcW w:w="1046" w:type="dxa"/>
            <w:tcBorders>
              <w:top w:val="single" w:color="auto" w:sz="6" w:space="0"/>
              <w:left w:val="single" w:color="auto" w:sz="6" w:space="0"/>
              <w:bottom w:val="single" w:color="auto" w:sz="6" w:space="0"/>
              <w:right w:val="single" w:color="auto" w:sz="6" w:space="0"/>
            </w:tcBorders>
          </w:tcPr>
          <w:p>
            <w:pPr>
              <w:jc w:val="center"/>
              <w:rPr>
                <w:color w:val="000000" w:themeColor="text1"/>
                <w14:textFill>
                  <w14:solidFill>
                    <w14:schemeClr w14:val="tx1"/>
                  </w14:solidFill>
                </w14:textFill>
              </w:rPr>
            </w:pPr>
            <w:r>
              <w:rPr>
                <w:color w:val="000000" w:themeColor="text1"/>
                <w:sz w:val="21"/>
                <w:szCs w:val="21"/>
                <w14:textFill>
                  <w14:solidFill>
                    <w14:schemeClr w14:val="tx1"/>
                  </w14:solidFill>
                </w14:textFill>
              </w:rPr>
              <w:t>——</w:t>
            </w:r>
          </w:p>
        </w:tc>
        <w:tc>
          <w:tcPr>
            <w:tcW w:w="1242" w:type="dxa"/>
            <w:tcBorders>
              <w:top w:val="single" w:color="auto" w:sz="6" w:space="0"/>
              <w:left w:val="single" w:color="auto" w:sz="6" w:space="0"/>
              <w:bottom w:val="single" w:color="auto" w:sz="6" w:space="0"/>
              <w:right w:val="single" w:color="auto" w:sz="6" w:space="0"/>
            </w:tcBorders>
            <w:vAlign w:val="center"/>
          </w:tcPr>
          <w:p>
            <w:pPr>
              <w:adjustRightInd w:val="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1074.09</w:t>
            </w:r>
          </w:p>
        </w:tc>
        <w:tc>
          <w:tcPr>
            <w:tcW w:w="935" w:type="dxa"/>
            <w:tcBorders>
              <w:top w:val="single" w:color="auto" w:sz="6" w:space="0"/>
              <w:left w:val="single" w:color="auto" w:sz="6" w:space="0"/>
              <w:bottom w:val="single" w:color="auto" w:sz="6" w:space="0"/>
              <w:right w:val="single" w:color="auto" w:sz="6" w:space="0"/>
            </w:tcBorders>
            <w:vAlign w:val="center"/>
          </w:tcPr>
          <w:p>
            <w:pPr>
              <w:widowControl/>
              <w:adjustRightInd w:val="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27.38</w:t>
            </w:r>
          </w:p>
        </w:tc>
        <w:tc>
          <w:tcPr>
            <w:tcW w:w="1089" w:type="dxa"/>
            <w:tcBorders>
              <w:top w:val="single" w:color="auto" w:sz="6" w:space="0"/>
              <w:left w:val="single" w:color="auto" w:sz="6" w:space="0"/>
              <w:bottom w:val="single" w:color="auto" w:sz="6" w:space="0"/>
              <w:right w:val="single" w:color="auto" w:sz="6" w:space="0"/>
            </w:tcBorders>
            <w:vAlign w:val="center"/>
          </w:tcPr>
          <w:p>
            <w:pPr>
              <w:adjustRightInd w:val="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178.94</w:t>
            </w:r>
          </w:p>
        </w:tc>
        <w:tc>
          <w:tcPr>
            <w:tcW w:w="1319" w:type="dxa"/>
            <w:tcBorders>
              <w:top w:val="single" w:color="auto" w:sz="6" w:space="0"/>
              <w:left w:val="single" w:color="auto" w:sz="6" w:space="0"/>
              <w:bottom w:val="single" w:color="auto" w:sz="6" w:space="0"/>
              <w:right w:val="single" w:color="auto" w:sz="6" w:space="0"/>
            </w:tcBorders>
          </w:tcPr>
          <w:p>
            <w:pPr>
              <w:jc w:val="center"/>
              <w:rPr>
                <w:color w:val="000000" w:themeColor="text1"/>
                <w14:textFill>
                  <w14:solidFill>
                    <w14:schemeClr w14:val="tx1"/>
                  </w14:solidFill>
                </w14:textFill>
              </w:rPr>
            </w:pPr>
            <w:r>
              <w:rPr>
                <w:color w:val="000000" w:themeColor="text1"/>
                <w:sz w:val="21"/>
                <w:szCs w:val="21"/>
                <w14:textFill>
                  <w14:solidFill>
                    <w14:schemeClr w14:val="tx1"/>
                  </w14:solidFill>
                </w14:textFill>
              </w:rPr>
              <w:t>——</w:t>
            </w:r>
          </w:p>
        </w:tc>
        <w:tc>
          <w:tcPr>
            <w:tcW w:w="954" w:type="dxa"/>
            <w:tcBorders>
              <w:top w:val="single" w:color="auto" w:sz="6" w:space="0"/>
              <w:left w:val="single" w:color="auto" w:sz="6" w:space="0"/>
              <w:bottom w:val="single" w:color="auto" w:sz="6" w:space="0"/>
              <w:right w:val="single" w:color="auto" w:sz="6" w:space="0"/>
            </w:tcBorders>
          </w:tcPr>
          <w:p>
            <w:pPr>
              <w:jc w:val="center"/>
              <w:rPr>
                <w:color w:val="000000" w:themeColor="text1"/>
                <w14:textFill>
                  <w14:solidFill>
                    <w14:schemeClr w14:val="tx1"/>
                  </w14:solidFill>
                </w14:textFill>
              </w:rPr>
            </w:pPr>
            <w:r>
              <w:rPr>
                <w:color w:val="000000" w:themeColor="text1"/>
                <w:sz w:val="21"/>
                <w:szCs w:val="21"/>
                <w14:textFill>
                  <w14:solidFill>
                    <w14:schemeClr w14:val="tx1"/>
                  </w14:solidFill>
                </w14:textFill>
              </w:rPr>
              <w:t>——</w:t>
            </w:r>
          </w:p>
        </w:tc>
        <w:tc>
          <w:tcPr>
            <w:tcW w:w="1081" w:type="dxa"/>
            <w:tcBorders>
              <w:top w:val="single" w:color="auto" w:sz="6" w:space="0"/>
              <w:left w:val="single" w:color="auto" w:sz="6" w:space="0"/>
              <w:bottom w:val="single" w:color="auto" w:sz="6" w:space="0"/>
              <w:right w:val="single" w:color="auto" w:sz="6" w:space="0"/>
            </w:tcBorders>
          </w:tcPr>
          <w:p>
            <w:pPr>
              <w:jc w:val="center"/>
              <w:rPr>
                <w:color w:val="000000" w:themeColor="text1"/>
                <w14:textFill>
                  <w14:solidFill>
                    <w14:schemeClr w14:val="tx1"/>
                  </w14:solidFill>
                </w14:textFill>
              </w:rPr>
            </w:pPr>
            <w:r>
              <w:rPr>
                <w:color w:val="000000" w:themeColor="text1"/>
                <w:sz w:val="21"/>
                <w:szCs w:val="21"/>
                <w14:textFill>
                  <w14:solidFill>
                    <w14:schemeClr w14:val="tx1"/>
                  </w14:solidFill>
                </w14:textFill>
              </w:rPr>
              <w:t>——</w:t>
            </w:r>
          </w:p>
        </w:tc>
        <w:tc>
          <w:tcPr>
            <w:tcW w:w="1171" w:type="dxa"/>
            <w:tcBorders>
              <w:top w:val="single" w:color="auto" w:sz="6" w:space="0"/>
              <w:left w:val="single" w:color="auto" w:sz="6" w:space="0"/>
              <w:bottom w:val="single" w:color="auto" w:sz="6" w:space="0"/>
              <w:right w:val="single" w:color="auto" w:sz="6" w:space="0"/>
            </w:tcBorders>
          </w:tcPr>
          <w:p>
            <w:pPr>
              <w:jc w:val="center"/>
              <w:rPr>
                <w:color w:val="000000" w:themeColor="text1"/>
                <w14:textFill>
                  <w14:solidFill>
                    <w14:schemeClr w14:val="tx1"/>
                  </w14:solidFill>
                </w14:textFill>
              </w:rPr>
            </w:pPr>
            <w:r>
              <w:rPr>
                <w:color w:val="000000" w:themeColor="text1"/>
                <w:sz w:val="21"/>
                <w:szCs w:val="21"/>
                <w14:textFill>
                  <w14:solidFill>
                    <w14:schemeClr w14:val="tx1"/>
                  </w14:solidFill>
                </w14:textFill>
              </w:rPr>
              <w:t>——</w:t>
            </w:r>
          </w:p>
        </w:tc>
        <w:tc>
          <w:tcPr>
            <w:tcW w:w="1013" w:type="dxa"/>
            <w:tcBorders>
              <w:top w:val="single" w:color="auto" w:sz="6" w:space="0"/>
              <w:left w:val="single" w:color="auto" w:sz="6" w:space="0"/>
              <w:bottom w:val="single" w:color="auto" w:sz="6" w:space="0"/>
              <w:right w:val="single" w:color="auto" w:sz="6" w:space="0"/>
            </w:tcBorders>
          </w:tcPr>
          <w:p>
            <w:pPr>
              <w:jc w:val="center"/>
              <w:rPr>
                <w:color w:val="000000" w:themeColor="text1"/>
                <w14:textFill>
                  <w14:solidFill>
                    <w14:schemeClr w14:val="tx1"/>
                  </w14:solidFill>
                </w14:textFill>
              </w:rPr>
            </w:pPr>
            <w:r>
              <w:rPr>
                <w:color w:val="000000" w:themeColor="text1"/>
                <w:sz w:val="21"/>
                <w:szCs w:val="21"/>
                <w14:textFill>
                  <w14:solidFill>
                    <w14:schemeClr w14:val="tx1"/>
                  </w14:solidFill>
                </w14:textFill>
              </w:rPr>
              <w:t>——</w:t>
            </w:r>
          </w:p>
        </w:tc>
        <w:tc>
          <w:tcPr>
            <w:tcW w:w="1034" w:type="dxa"/>
            <w:tcBorders>
              <w:top w:val="single" w:color="auto" w:sz="6" w:space="0"/>
              <w:left w:val="single" w:color="auto" w:sz="6" w:space="0"/>
              <w:bottom w:val="single" w:color="auto" w:sz="6" w:space="0"/>
              <w:right w:val="single" w:color="auto" w:sz="12" w:space="0"/>
            </w:tcBorders>
          </w:tcPr>
          <w:p>
            <w:pPr>
              <w:jc w:val="center"/>
              <w:rPr>
                <w:color w:val="000000" w:themeColor="text1"/>
                <w14:textFill>
                  <w14:solidFill>
                    <w14:schemeClr w14:val="tx1"/>
                  </w14:solidFill>
                </w14:textFill>
              </w:rPr>
            </w:pPr>
            <w:r>
              <w:rPr>
                <w:color w:val="000000" w:themeColor="text1"/>
                <w:sz w:val="21"/>
                <w:szCs w:val="21"/>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27" w:hRule="exact"/>
          <w:jc w:val="center"/>
        </w:trPr>
        <w:tc>
          <w:tcPr>
            <w:tcW w:w="491" w:type="dxa"/>
            <w:vMerge w:val="continue"/>
            <w:tcBorders>
              <w:top w:val="single" w:color="auto" w:sz="6" w:space="0"/>
              <w:left w:val="single" w:color="auto" w:sz="12" w:space="0"/>
              <w:bottom w:val="single" w:color="auto" w:sz="6" w:space="0"/>
              <w:right w:val="single" w:color="auto" w:sz="6" w:space="0"/>
            </w:tcBorders>
            <w:vAlign w:val="center"/>
          </w:tcPr>
          <w:p>
            <w:pPr>
              <w:widowControl/>
              <w:adjustRightInd w:val="0"/>
              <w:jc w:val="center"/>
              <w:rPr>
                <w:color w:val="000000" w:themeColor="text1"/>
                <w:kern w:val="0"/>
                <w:sz w:val="21"/>
                <w:szCs w:val="21"/>
                <w14:textFill>
                  <w14:solidFill>
                    <w14:schemeClr w14:val="tx1"/>
                  </w14:solidFill>
                </w14:textFill>
              </w:rPr>
            </w:pPr>
          </w:p>
        </w:tc>
        <w:tc>
          <w:tcPr>
            <w:tcW w:w="578" w:type="dxa"/>
            <w:tcBorders>
              <w:top w:val="single" w:color="auto" w:sz="6" w:space="0"/>
              <w:left w:val="single" w:color="auto" w:sz="6" w:space="0"/>
              <w:bottom w:val="single" w:color="auto" w:sz="6" w:space="0"/>
              <w:right w:val="single" w:color="auto" w:sz="6" w:space="0"/>
            </w:tcBorders>
            <w:vAlign w:val="center"/>
          </w:tcPr>
          <w:p>
            <w:pPr>
              <w:adjustRightInd w:val="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12</w:t>
            </w:r>
          </w:p>
        </w:tc>
        <w:tc>
          <w:tcPr>
            <w:tcW w:w="1267" w:type="dxa"/>
            <w:tcBorders>
              <w:top w:val="single" w:color="auto" w:sz="6" w:space="0"/>
              <w:left w:val="single" w:color="auto" w:sz="6" w:space="0"/>
              <w:bottom w:val="single" w:color="auto" w:sz="6" w:space="0"/>
              <w:right w:val="single" w:color="auto" w:sz="6" w:space="0"/>
            </w:tcBorders>
          </w:tcPr>
          <w:p>
            <w:pPr>
              <w:jc w:val="center"/>
              <w:rPr>
                <w:color w:val="000000" w:themeColor="text1"/>
                <w14:textFill>
                  <w14:solidFill>
                    <w14:schemeClr w14:val="tx1"/>
                  </w14:solidFill>
                </w14:textFill>
              </w:rPr>
            </w:pPr>
            <w:r>
              <w:rPr>
                <w:color w:val="000000" w:themeColor="text1"/>
                <w:sz w:val="21"/>
                <w:szCs w:val="21"/>
                <w14:textFill>
                  <w14:solidFill>
                    <w14:schemeClr w14:val="tx1"/>
                  </w14:solidFill>
                </w14:textFill>
              </w:rPr>
              <w:t>——</w:t>
            </w:r>
          </w:p>
        </w:tc>
        <w:tc>
          <w:tcPr>
            <w:tcW w:w="954" w:type="dxa"/>
            <w:tcBorders>
              <w:top w:val="single" w:color="auto" w:sz="6" w:space="0"/>
              <w:left w:val="single" w:color="auto" w:sz="6" w:space="0"/>
              <w:bottom w:val="single" w:color="auto" w:sz="6" w:space="0"/>
              <w:right w:val="single" w:color="auto" w:sz="6" w:space="0"/>
            </w:tcBorders>
          </w:tcPr>
          <w:p>
            <w:pPr>
              <w:jc w:val="center"/>
              <w:rPr>
                <w:color w:val="000000" w:themeColor="text1"/>
                <w14:textFill>
                  <w14:solidFill>
                    <w14:schemeClr w14:val="tx1"/>
                  </w14:solidFill>
                </w14:textFill>
              </w:rPr>
            </w:pPr>
            <w:r>
              <w:rPr>
                <w:color w:val="000000" w:themeColor="text1"/>
                <w:sz w:val="21"/>
                <w:szCs w:val="21"/>
                <w14:textFill>
                  <w14:solidFill>
                    <w14:schemeClr w14:val="tx1"/>
                  </w14:solidFill>
                </w14:textFill>
              </w:rPr>
              <w:t>——</w:t>
            </w:r>
          </w:p>
        </w:tc>
        <w:tc>
          <w:tcPr>
            <w:tcW w:w="1046" w:type="dxa"/>
            <w:tcBorders>
              <w:top w:val="single" w:color="auto" w:sz="6" w:space="0"/>
              <w:left w:val="single" w:color="auto" w:sz="6" w:space="0"/>
              <w:bottom w:val="single" w:color="auto" w:sz="6" w:space="0"/>
              <w:right w:val="single" w:color="auto" w:sz="6" w:space="0"/>
            </w:tcBorders>
          </w:tcPr>
          <w:p>
            <w:pPr>
              <w:jc w:val="center"/>
              <w:rPr>
                <w:color w:val="000000" w:themeColor="text1"/>
                <w14:textFill>
                  <w14:solidFill>
                    <w14:schemeClr w14:val="tx1"/>
                  </w14:solidFill>
                </w14:textFill>
              </w:rPr>
            </w:pPr>
            <w:r>
              <w:rPr>
                <w:color w:val="000000" w:themeColor="text1"/>
                <w:sz w:val="21"/>
                <w:szCs w:val="21"/>
                <w14:textFill>
                  <w14:solidFill>
                    <w14:schemeClr w14:val="tx1"/>
                  </w14:solidFill>
                </w14:textFill>
              </w:rPr>
              <w:t>——</w:t>
            </w:r>
          </w:p>
        </w:tc>
        <w:tc>
          <w:tcPr>
            <w:tcW w:w="1242" w:type="dxa"/>
            <w:tcBorders>
              <w:top w:val="single" w:color="auto" w:sz="6" w:space="0"/>
              <w:left w:val="single" w:color="auto" w:sz="6" w:space="0"/>
              <w:bottom w:val="single" w:color="auto" w:sz="6" w:space="0"/>
              <w:right w:val="single" w:color="auto" w:sz="6" w:space="0"/>
            </w:tcBorders>
            <w:vAlign w:val="center"/>
          </w:tcPr>
          <w:p>
            <w:pPr>
              <w:adjustRightInd w:val="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967.89</w:t>
            </w:r>
          </w:p>
        </w:tc>
        <w:tc>
          <w:tcPr>
            <w:tcW w:w="935" w:type="dxa"/>
            <w:tcBorders>
              <w:top w:val="single" w:color="auto" w:sz="6" w:space="0"/>
              <w:left w:val="single" w:color="auto" w:sz="6" w:space="0"/>
              <w:bottom w:val="single" w:color="auto" w:sz="6" w:space="0"/>
              <w:right w:val="single" w:color="auto" w:sz="6" w:space="0"/>
            </w:tcBorders>
            <w:vAlign w:val="center"/>
          </w:tcPr>
          <w:p>
            <w:pPr>
              <w:widowControl/>
              <w:adjustRightInd w:val="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81.37</w:t>
            </w:r>
          </w:p>
        </w:tc>
        <w:tc>
          <w:tcPr>
            <w:tcW w:w="1089" w:type="dxa"/>
            <w:tcBorders>
              <w:top w:val="single" w:color="auto" w:sz="6" w:space="0"/>
              <w:left w:val="single" w:color="auto" w:sz="6" w:space="0"/>
              <w:bottom w:val="single" w:color="auto" w:sz="6" w:space="0"/>
              <w:right w:val="single" w:color="auto" w:sz="6" w:space="0"/>
            </w:tcBorders>
            <w:vAlign w:val="center"/>
          </w:tcPr>
          <w:p>
            <w:pPr>
              <w:adjustRightInd w:val="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112.41</w:t>
            </w:r>
          </w:p>
        </w:tc>
        <w:tc>
          <w:tcPr>
            <w:tcW w:w="1319" w:type="dxa"/>
            <w:tcBorders>
              <w:top w:val="single" w:color="auto" w:sz="6" w:space="0"/>
              <w:left w:val="single" w:color="auto" w:sz="6" w:space="0"/>
              <w:bottom w:val="single" w:color="auto" w:sz="6" w:space="0"/>
              <w:right w:val="single" w:color="auto" w:sz="6" w:space="0"/>
            </w:tcBorders>
          </w:tcPr>
          <w:p>
            <w:pPr>
              <w:jc w:val="center"/>
              <w:rPr>
                <w:color w:val="000000" w:themeColor="text1"/>
                <w14:textFill>
                  <w14:solidFill>
                    <w14:schemeClr w14:val="tx1"/>
                  </w14:solidFill>
                </w14:textFill>
              </w:rPr>
            </w:pPr>
            <w:r>
              <w:rPr>
                <w:color w:val="000000" w:themeColor="text1"/>
                <w:sz w:val="21"/>
                <w:szCs w:val="21"/>
                <w14:textFill>
                  <w14:solidFill>
                    <w14:schemeClr w14:val="tx1"/>
                  </w14:solidFill>
                </w14:textFill>
              </w:rPr>
              <w:t>——</w:t>
            </w:r>
          </w:p>
        </w:tc>
        <w:tc>
          <w:tcPr>
            <w:tcW w:w="954" w:type="dxa"/>
            <w:tcBorders>
              <w:top w:val="single" w:color="auto" w:sz="6" w:space="0"/>
              <w:left w:val="single" w:color="auto" w:sz="6" w:space="0"/>
              <w:bottom w:val="single" w:color="auto" w:sz="6" w:space="0"/>
              <w:right w:val="single" w:color="auto" w:sz="6" w:space="0"/>
            </w:tcBorders>
          </w:tcPr>
          <w:p>
            <w:pPr>
              <w:jc w:val="center"/>
              <w:rPr>
                <w:color w:val="000000" w:themeColor="text1"/>
                <w14:textFill>
                  <w14:solidFill>
                    <w14:schemeClr w14:val="tx1"/>
                  </w14:solidFill>
                </w14:textFill>
              </w:rPr>
            </w:pPr>
            <w:r>
              <w:rPr>
                <w:color w:val="000000" w:themeColor="text1"/>
                <w:sz w:val="21"/>
                <w:szCs w:val="21"/>
                <w14:textFill>
                  <w14:solidFill>
                    <w14:schemeClr w14:val="tx1"/>
                  </w14:solidFill>
                </w14:textFill>
              </w:rPr>
              <w:t>——</w:t>
            </w:r>
          </w:p>
        </w:tc>
        <w:tc>
          <w:tcPr>
            <w:tcW w:w="1081" w:type="dxa"/>
            <w:tcBorders>
              <w:top w:val="single" w:color="auto" w:sz="6" w:space="0"/>
              <w:left w:val="single" w:color="auto" w:sz="6" w:space="0"/>
              <w:bottom w:val="single" w:color="auto" w:sz="6" w:space="0"/>
              <w:right w:val="single" w:color="auto" w:sz="6" w:space="0"/>
            </w:tcBorders>
          </w:tcPr>
          <w:p>
            <w:pPr>
              <w:jc w:val="center"/>
              <w:rPr>
                <w:color w:val="000000" w:themeColor="text1"/>
                <w14:textFill>
                  <w14:solidFill>
                    <w14:schemeClr w14:val="tx1"/>
                  </w14:solidFill>
                </w14:textFill>
              </w:rPr>
            </w:pPr>
            <w:r>
              <w:rPr>
                <w:color w:val="000000" w:themeColor="text1"/>
                <w:sz w:val="21"/>
                <w:szCs w:val="21"/>
                <w14:textFill>
                  <w14:solidFill>
                    <w14:schemeClr w14:val="tx1"/>
                  </w14:solidFill>
                </w14:textFill>
              </w:rPr>
              <w:t>——</w:t>
            </w:r>
          </w:p>
        </w:tc>
        <w:tc>
          <w:tcPr>
            <w:tcW w:w="1171" w:type="dxa"/>
            <w:tcBorders>
              <w:top w:val="single" w:color="auto" w:sz="6" w:space="0"/>
              <w:left w:val="single" w:color="auto" w:sz="6" w:space="0"/>
              <w:bottom w:val="single" w:color="auto" w:sz="6" w:space="0"/>
              <w:right w:val="single" w:color="auto" w:sz="6" w:space="0"/>
            </w:tcBorders>
          </w:tcPr>
          <w:p>
            <w:pPr>
              <w:jc w:val="center"/>
              <w:rPr>
                <w:color w:val="000000" w:themeColor="text1"/>
                <w14:textFill>
                  <w14:solidFill>
                    <w14:schemeClr w14:val="tx1"/>
                  </w14:solidFill>
                </w14:textFill>
              </w:rPr>
            </w:pPr>
            <w:r>
              <w:rPr>
                <w:color w:val="000000" w:themeColor="text1"/>
                <w:sz w:val="21"/>
                <w:szCs w:val="21"/>
                <w14:textFill>
                  <w14:solidFill>
                    <w14:schemeClr w14:val="tx1"/>
                  </w14:solidFill>
                </w14:textFill>
              </w:rPr>
              <w:t>——</w:t>
            </w:r>
          </w:p>
        </w:tc>
        <w:tc>
          <w:tcPr>
            <w:tcW w:w="1013" w:type="dxa"/>
            <w:tcBorders>
              <w:top w:val="single" w:color="auto" w:sz="6" w:space="0"/>
              <w:left w:val="single" w:color="auto" w:sz="6" w:space="0"/>
              <w:bottom w:val="single" w:color="auto" w:sz="6" w:space="0"/>
              <w:right w:val="single" w:color="auto" w:sz="6" w:space="0"/>
            </w:tcBorders>
          </w:tcPr>
          <w:p>
            <w:pPr>
              <w:jc w:val="center"/>
              <w:rPr>
                <w:color w:val="000000" w:themeColor="text1"/>
                <w14:textFill>
                  <w14:solidFill>
                    <w14:schemeClr w14:val="tx1"/>
                  </w14:solidFill>
                </w14:textFill>
              </w:rPr>
            </w:pPr>
            <w:r>
              <w:rPr>
                <w:color w:val="000000" w:themeColor="text1"/>
                <w:sz w:val="21"/>
                <w:szCs w:val="21"/>
                <w14:textFill>
                  <w14:solidFill>
                    <w14:schemeClr w14:val="tx1"/>
                  </w14:solidFill>
                </w14:textFill>
              </w:rPr>
              <w:t>——</w:t>
            </w:r>
          </w:p>
        </w:tc>
        <w:tc>
          <w:tcPr>
            <w:tcW w:w="1034" w:type="dxa"/>
            <w:tcBorders>
              <w:top w:val="single" w:color="auto" w:sz="6" w:space="0"/>
              <w:left w:val="single" w:color="auto" w:sz="6" w:space="0"/>
              <w:bottom w:val="single" w:color="auto" w:sz="6" w:space="0"/>
              <w:right w:val="single" w:color="auto" w:sz="12" w:space="0"/>
            </w:tcBorders>
          </w:tcPr>
          <w:p>
            <w:pPr>
              <w:jc w:val="center"/>
              <w:rPr>
                <w:color w:val="000000" w:themeColor="text1"/>
                <w14:textFill>
                  <w14:solidFill>
                    <w14:schemeClr w14:val="tx1"/>
                  </w14:solidFill>
                </w14:textFill>
              </w:rPr>
            </w:pPr>
            <w:r>
              <w:rPr>
                <w:color w:val="000000" w:themeColor="text1"/>
                <w:sz w:val="21"/>
                <w:szCs w:val="21"/>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27" w:hRule="exact"/>
          <w:jc w:val="center"/>
        </w:trPr>
        <w:tc>
          <w:tcPr>
            <w:tcW w:w="491" w:type="dxa"/>
            <w:vMerge w:val="continue"/>
            <w:tcBorders>
              <w:top w:val="single" w:color="auto" w:sz="6" w:space="0"/>
              <w:left w:val="single" w:color="auto" w:sz="12" w:space="0"/>
              <w:bottom w:val="single" w:color="auto" w:sz="6" w:space="0"/>
              <w:right w:val="single" w:color="auto" w:sz="6" w:space="0"/>
            </w:tcBorders>
            <w:vAlign w:val="center"/>
          </w:tcPr>
          <w:p>
            <w:pPr>
              <w:widowControl/>
              <w:adjustRightInd w:val="0"/>
              <w:jc w:val="center"/>
              <w:rPr>
                <w:color w:val="000000" w:themeColor="text1"/>
                <w:kern w:val="0"/>
                <w:sz w:val="21"/>
                <w:szCs w:val="21"/>
                <w14:textFill>
                  <w14:solidFill>
                    <w14:schemeClr w14:val="tx1"/>
                  </w14:solidFill>
                </w14:textFill>
              </w:rPr>
            </w:pPr>
          </w:p>
        </w:tc>
        <w:tc>
          <w:tcPr>
            <w:tcW w:w="578" w:type="dxa"/>
            <w:tcBorders>
              <w:top w:val="single" w:color="auto" w:sz="6" w:space="0"/>
              <w:left w:val="single" w:color="auto" w:sz="6" w:space="0"/>
              <w:bottom w:val="single" w:color="auto" w:sz="6" w:space="0"/>
              <w:right w:val="single" w:color="auto" w:sz="6" w:space="0"/>
            </w:tcBorders>
            <w:vAlign w:val="center"/>
          </w:tcPr>
          <w:p>
            <w:pPr>
              <w:adjustRightInd w:val="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15</w:t>
            </w:r>
          </w:p>
        </w:tc>
        <w:tc>
          <w:tcPr>
            <w:tcW w:w="1267" w:type="dxa"/>
            <w:tcBorders>
              <w:top w:val="single" w:color="auto" w:sz="6" w:space="0"/>
              <w:left w:val="single" w:color="auto" w:sz="6" w:space="0"/>
              <w:bottom w:val="single" w:color="auto" w:sz="6" w:space="0"/>
              <w:right w:val="single" w:color="auto" w:sz="6" w:space="0"/>
            </w:tcBorders>
          </w:tcPr>
          <w:p>
            <w:pPr>
              <w:jc w:val="center"/>
              <w:rPr>
                <w:color w:val="000000" w:themeColor="text1"/>
                <w14:textFill>
                  <w14:solidFill>
                    <w14:schemeClr w14:val="tx1"/>
                  </w14:solidFill>
                </w14:textFill>
              </w:rPr>
            </w:pPr>
            <w:r>
              <w:rPr>
                <w:color w:val="000000" w:themeColor="text1"/>
                <w:sz w:val="21"/>
                <w:szCs w:val="21"/>
                <w14:textFill>
                  <w14:solidFill>
                    <w14:schemeClr w14:val="tx1"/>
                  </w14:solidFill>
                </w14:textFill>
              </w:rPr>
              <w:t>——</w:t>
            </w:r>
          </w:p>
        </w:tc>
        <w:tc>
          <w:tcPr>
            <w:tcW w:w="954" w:type="dxa"/>
            <w:tcBorders>
              <w:top w:val="single" w:color="auto" w:sz="6" w:space="0"/>
              <w:left w:val="single" w:color="auto" w:sz="6" w:space="0"/>
              <w:bottom w:val="single" w:color="auto" w:sz="6" w:space="0"/>
              <w:right w:val="single" w:color="auto" w:sz="6" w:space="0"/>
            </w:tcBorders>
          </w:tcPr>
          <w:p>
            <w:pPr>
              <w:jc w:val="center"/>
              <w:rPr>
                <w:color w:val="000000" w:themeColor="text1"/>
                <w14:textFill>
                  <w14:solidFill>
                    <w14:schemeClr w14:val="tx1"/>
                  </w14:solidFill>
                </w14:textFill>
              </w:rPr>
            </w:pPr>
            <w:r>
              <w:rPr>
                <w:color w:val="000000" w:themeColor="text1"/>
                <w:sz w:val="21"/>
                <w:szCs w:val="21"/>
                <w14:textFill>
                  <w14:solidFill>
                    <w14:schemeClr w14:val="tx1"/>
                  </w14:solidFill>
                </w14:textFill>
              </w:rPr>
              <w:t>——</w:t>
            </w:r>
          </w:p>
        </w:tc>
        <w:tc>
          <w:tcPr>
            <w:tcW w:w="1046" w:type="dxa"/>
            <w:tcBorders>
              <w:top w:val="single" w:color="auto" w:sz="6" w:space="0"/>
              <w:left w:val="single" w:color="auto" w:sz="6" w:space="0"/>
              <w:bottom w:val="single" w:color="auto" w:sz="6" w:space="0"/>
              <w:right w:val="single" w:color="auto" w:sz="6" w:space="0"/>
            </w:tcBorders>
          </w:tcPr>
          <w:p>
            <w:pPr>
              <w:jc w:val="center"/>
              <w:rPr>
                <w:color w:val="000000" w:themeColor="text1"/>
                <w14:textFill>
                  <w14:solidFill>
                    <w14:schemeClr w14:val="tx1"/>
                  </w14:solidFill>
                </w14:textFill>
              </w:rPr>
            </w:pPr>
            <w:r>
              <w:rPr>
                <w:color w:val="000000" w:themeColor="text1"/>
                <w:sz w:val="21"/>
                <w:szCs w:val="21"/>
                <w14:textFill>
                  <w14:solidFill>
                    <w14:schemeClr w14:val="tx1"/>
                  </w14:solidFill>
                </w14:textFill>
              </w:rPr>
              <w:t>——</w:t>
            </w:r>
          </w:p>
        </w:tc>
        <w:tc>
          <w:tcPr>
            <w:tcW w:w="1242" w:type="dxa"/>
            <w:tcBorders>
              <w:top w:val="single" w:color="auto" w:sz="6" w:space="0"/>
              <w:left w:val="single" w:color="auto" w:sz="6" w:space="0"/>
              <w:bottom w:val="single" w:color="auto" w:sz="6" w:space="0"/>
              <w:right w:val="single" w:color="auto" w:sz="6" w:space="0"/>
            </w:tcBorders>
            <w:vAlign w:val="center"/>
          </w:tcPr>
          <w:p>
            <w:pPr>
              <w:adjustRightInd w:val="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896.81</w:t>
            </w:r>
          </w:p>
        </w:tc>
        <w:tc>
          <w:tcPr>
            <w:tcW w:w="935" w:type="dxa"/>
            <w:tcBorders>
              <w:top w:val="single" w:color="auto" w:sz="6" w:space="0"/>
              <w:left w:val="single" w:color="auto" w:sz="6" w:space="0"/>
              <w:bottom w:val="single" w:color="auto" w:sz="6" w:space="0"/>
              <w:right w:val="single" w:color="auto" w:sz="6" w:space="0"/>
            </w:tcBorders>
            <w:vAlign w:val="center"/>
          </w:tcPr>
          <w:p>
            <w:pPr>
              <w:widowControl/>
              <w:adjustRightInd w:val="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125.87</w:t>
            </w:r>
          </w:p>
        </w:tc>
        <w:tc>
          <w:tcPr>
            <w:tcW w:w="1089" w:type="dxa"/>
            <w:tcBorders>
              <w:top w:val="single" w:color="auto" w:sz="6" w:space="0"/>
              <w:left w:val="single" w:color="auto" w:sz="6" w:space="0"/>
              <w:bottom w:val="single" w:color="auto" w:sz="6" w:space="0"/>
              <w:right w:val="single" w:color="auto" w:sz="6" w:space="0"/>
            </w:tcBorders>
            <w:vAlign w:val="center"/>
          </w:tcPr>
          <w:p>
            <w:pPr>
              <w:adjustRightInd w:val="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80.53</w:t>
            </w:r>
          </w:p>
        </w:tc>
        <w:tc>
          <w:tcPr>
            <w:tcW w:w="1319" w:type="dxa"/>
            <w:tcBorders>
              <w:top w:val="single" w:color="auto" w:sz="6" w:space="0"/>
              <w:left w:val="single" w:color="auto" w:sz="6" w:space="0"/>
              <w:bottom w:val="single" w:color="auto" w:sz="6" w:space="0"/>
              <w:right w:val="single" w:color="auto" w:sz="6" w:space="0"/>
            </w:tcBorders>
          </w:tcPr>
          <w:p>
            <w:pPr>
              <w:jc w:val="center"/>
              <w:rPr>
                <w:color w:val="000000" w:themeColor="text1"/>
                <w14:textFill>
                  <w14:solidFill>
                    <w14:schemeClr w14:val="tx1"/>
                  </w14:solidFill>
                </w14:textFill>
              </w:rPr>
            </w:pPr>
            <w:r>
              <w:rPr>
                <w:color w:val="000000" w:themeColor="text1"/>
                <w:sz w:val="21"/>
                <w:szCs w:val="21"/>
                <w14:textFill>
                  <w14:solidFill>
                    <w14:schemeClr w14:val="tx1"/>
                  </w14:solidFill>
                </w14:textFill>
              </w:rPr>
              <w:t>——</w:t>
            </w:r>
          </w:p>
        </w:tc>
        <w:tc>
          <w:tcPr>
            <w:tcW w:w="954" w:type="dxa"/>
            <w:tcBorders>
              <w:top w:val="single" w:color="auto" w:sz="6" w:space="0"/>
              <w:left w:val="single" w:color="auto" w:sz="6" w:space="0"/>
              <w:bottom w:val="single" w:color="auto" w:sz="6" w:space="0"/>
              <w:right w:val="single" w:color="auto" w:sz="6" w:space="0"/>
            </w:tcBorders>
          </w:tcPr>
          <w:p>
            <w:pPr>
              <w:jc w:val="center"/>
              <w:rPr>
                <w:color w:val="000000" w:themeColor="text1"/>
                <w14:textFill>
                  <w14:solidFill>
                    <w14:schemeClr w14:val="tx1"/>
                  </w14:solidFill>
                </w14:textFill>
              </w:rPr>
            </w:pPr>
            <w:r>
              <w:rPr>
                <w:color w:val="000000" w:themeColor="text1"/>
                <w:sz w:val="21"/>
                <w:szCs w:val="21"/>
                <w14:textFill>
                  <w14:solidFill>
                    <w14:schemeClr w14:val="tx1"/>
                  </w14:solidFill>
                </w14:textFill>
              </w:rPr>
              <w:t>——</w:t>
            </w:r>
          </w:p>
        </w:tc>
        <w:tc>
          <w:tcPr>
            <w:tcW w:w="1081" w:type="dxa"/>
            <w:tcBorders>
              <w:top w:val="single" w:color="auto" w:sz="6" w:space="0"/>
              <w:left w:val="single" w:color="auto" w:sz="6" w:space="0"/>
              <w:bottom w:val="single" w:color="auto" w:sz="6" w:space="0"/>
              <w:right w:val="single" w:color="auto" w:sz="6" w:space="0"/>
            </w:tcBorders>
          </w:tcPr>
          <w:p>
            <w:pPr>
              <w:jc w:val="center"/>
              <w:rPr>
                <w:color w:val="000000" w:themeColor="text1"/>
                <w14:textFill>
                  <w14:solidFill>
                    <w14:schemeClr w14:val="tx1"/>
                  </w14:solidFill>
                </w14:textFill>
              </w:rPr>
            </w:pPr>
            <w:r>
              <w:rPr>
                <w:color w:val="000000" w:themeColor="text1"/>
                <w:sz w:val="21"/>
                <w:szCs w:val="21"/>
                <w14:textFill>
                  <w14:solidFill>
                    <w14:schemeClr w14:val="tx1"/>
                  </w14:solidFill>
                </w14:textFill>
              </w:rPr>
              <w:t>——</w:t>
            </w:r>
          </w:p>
        </w:tc>
        <w:tc>
          <w:tcPr>
            <w:tcW w:w="1171" w:type="dxa"/>
            <w:tcBorders>
              <w:top w:val="single" w:color="auto" w:sz="6" w:space="0"/>
              <w:left w:val="single" w:color="auto" w:sz="6" w:space="0"/>
              <w:bottom w:val="single" w:color="auto" w:sz="6" w:space="0"/>
              <w:right w:val="single" w:color="auto" w:sz="6" w:space="0"/>
            </w:tcBorders>
          </w:tcPr>
          <w:p>
            <w:pPr>
              <w:jc w:val="center"/>
              <w:rPr>
                <w:color w:val="000000" w:themeColor="text1"/>
                <w14:textFill>
                  <w14:solidFill>
                    <w14:schemeClr w14:val="tx1"/>
                  </w14:solidFill>
                </w14:textFill>
              </w:rPr>
            </w:pPr>
            <w:r>
              <w:rPr>
                <w:color w:val="000000" w:themeColor="text1"/>
                <w:sz w:val="21"/>
                <w:szCs w:val="21"/>
                <w14:textFill>
                  <w14:solidFill>
                    <w14:schemeClr w14:val="tx1"/>
                  </w14:solidFill>
                </w14:textFill>
              </w:rPr>
              <w:t>——</w:t>
            </w:r>
          </w:p>
        </w:tc>
        <w:tc>
          <w:tcPr>
            <w:tcW w:w="1013" w:type="dxa"/>
            <w:tcBorders>
              <w:top w:val="single" w:color="auto" w:sz="6" w:space="0"/>
              <w:left w:val="single" w:color="auto" w:sz="6" w:space="0"/>
              <w:bottom w:val="single" w:color="auto" w:sz="6" w:space="0"/>
              <w:right w:val="single" w:color="auto" w:sz="6" w:space="0"/>
            </w:tcBorders>
          </w:tcPr>
          <w:p>
            <w:pPr>
              <w:jc w:val="center"/>
              <w:rPr>
                <w:color w:val="000000" w:themeColor="text1"/>
                <w14:textFill>
                  <w14:solidFill>
                    <w14:schemeClr w14:val="tx1"/>
                  </w14:solidFill>
                </w14:textFill>
              </w:rPr>
            </w:pPr>
            <w:r>
              <w:rPr>
                <w:color w:val="000000" w:themeColor="text1"/>
                <w:sz w:val="21"/>
                <w:szCs w:val="21"/>
                <w14:textFill>
                  <w14:solidFill>
                    <w14:schemeClr w14:val="tx1"/>
                  </w14:solidFill>
                </w14:textFill>
              </w:rPr>
              <w:t>——</w:t>
            </w:r>
          </w:p>
        </w:tc>
        <w:tc>
          <w:tcPr>
            <w:tcW w:w="1034" w:type="dxa"/>
            <w:tcBorders>
              <w:top w:val="single" w:color="auto" w:sz="6" w:space="0"/>
              <w:left w:val="single" w:color="auto" w:sz="6" w:space="0"/>
              <w:bottom w:val="single" w:color="auto" w:sz="6" w:space="0"/>
              <w:right w:val="single" w:color="auto" w:sz="12" w:space="0"/>
            </w:tcBorders>
          </w:tcPr>
          <w:p>
            <w:pPr>
              <w:jc w:val="center"/>
              <w:rPr>
                <w:color w:val="000000" w:themeColor="text1"/>
                <w14:textFill>
                  <w14:solidFill>
                    <w14:schemeClr w14:val="tx1"/>
                  </w14:solidFill>
                </w14:textFill>
              </w:rPr>
            </w:pPr>
            <w:r>
              <w:rPr>
                <w:color w:val="000000" w:themeColor="text1"/>
                <w:sz w:val="21"/>
                <w:szCs w:val="21"/>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27" w:hRule="exact"/>
          <w:jc w:val="center"/>
        </w:trPr>
        <w:tc>
          <w:tcPr>
            <w:tcW w:w="491" w:type="dxa"/>
            <w:vMerge w:val="continue"/>
            <w:tcBorders>
              <w:top w:val="single" w:color="auto" w:sz="6" w:space="0"/>
              <w:left w:val="single" w:color="auto" w:sz="12" w:space="0"/>
              <w:bottom w:val="single" w:color="auto" w:sz="6" w:space="0"/>
              <w:right w:val="single" w:color="auto" w:sz="6" w:space="0"/>
            </w:tcBorders>
            <w:vAlign w:val="center"/>
          </w:tcPr>
          <w:p>
            <w:pPr>
              <w:widowControl/>
              <w:adjustRightInd w:val="0"/>
              <w:jc w:val="center"/>
              <w:rPr>
                <w:color w:val="000000" w:themeColor="text1"/>
                <w:kern w:val="0"/>
                <w:sz w:val="21"/>
                <w:szCs w:val="21"/>
                <w14:textFill>
                  <w14:solidFill>
                    <w14:schemeClr w14:val="tx1"/>
                  </w14:solidFill>
                </w14:textFill>
              </w:rPr>
            </w:pPr>
          </w:p>
        </w:tc>
        <w:tc>
          <w:tcPr>
            <w:tcW w:w="578" w:type="dxa"/>
            <w:tcBorders>
              <w:top w:val="single" w:color="auto" w:sz="6" w:space="0"/>
              <w:left w:val="single" w:color="auto" w:sz="6" w:space="0"/>
              <w:bottom w:val="single" w:color="auto" w:sz="6" w:space="0"/>
              <w:right w:val="single" w:color="auto" w:sz="6" w:space="0"/>
            </w:tcBorders>
            <w:vAlign w:val="center"/>
          </w:tcPr>
          <w:p>
            <w:pPr>
              <w:adjustRightInd w:val="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18</w:t>
            </w:r>
          </w:p>
        </w:tc>
        <w:tc>
          <w:tcPr>
            <w:tcW w:w="1267" w:type="dxa"/>
            <w:tcBorders>
              <w:top w:val="single" w:color="auto" w:sz="6" w:space="0"/>
              <w:left w:val="single" w:color="auto" w:sz="6" w:space="0"/>
              <w:bottom w:val="single" w:color="auto" w:sz="6" w:space="0"/>
              <w:right w:val="single" w:color="auto" w:sz="6" w:space="0"/>
            </w:tcBorders>
          </w:tcPr>
          <w:p>
            <w:pPr>
              <w:jc w:val="center"/>
              <w:rPr>
                <w:color w:val="000000" w:themeColor="text1"/>
                <w14:textFill>
                  <w14:solidFill>
                    <w14:schemeClr w14:val="tx1"/>
                  </w14:solidFill>
                </w14:textFill>
              </w:rPr>
            </w:pPr>
            <w:r>
              <w:rPr>
                <w:color w:val="000000" w:themeColor="text1"/>
                <w:sz w:val="21"/>
                <w:szCs w:val="21"/>
                <w14:textFill>
                  <w14:solidFill>
                    <w14:schemeClr w14:val="tx1"/>
                  </w14:solidFill>
                </w14:textFill>
              </w:rPr>
              <w:t>——</w:t>
            </w:r>
          </w:p>
        </w:tc>
        <w:tc>
          <w:tcPr>
            <w:tcW w:w="954" w:type="dxa"/>
            <w:tcBorders>
              <w:top w:val="single" w:color="auto" w:sz="6" w:space="0"/>
              <w:left w:val="single" w:color="auto" w:sz="6" w:space="0"/>
              <w:bottom w:val="single" w:color="auto" w:sz="6" w:space="0"/>
              <w:right w:val="single" w:color="auto" w:sz="6" w:space="0"/>
            </w:tcBorders>
          </w:tcPr>
          <w:p>
            <w:pPr>
              <w:jc w:val="center"/>
              <w:rPr>
                <w:color w:val="000000" w:themeColor="text1"/>
                <w14:textFill>
                  <w14:solidFill>
                    <w14:schemeClr w14:val="tx1"/>
                  </w14:solidFill>
                </w14:textFill>
              </w:rPr>
            </w:pPr>
            <w:r>
              <w:rPr>
                <w:color w:val="000000" w:themeColor="text1"/>
                <w:sz w:val="21"/>
                <w:szCs w:val="21"/>
                <w14:textFill>
                  <w14:solidFill>
                    <w14:schemeClr w14:val="tx1"/>
                  </w14:solidFill>
                </w14:textFill>
              </w:rPr>
              <w:t>——</w:t>
            </w:r>
          </w:p>
        </w:tc>
        <w:tc>
          <w:tcPr>
            <w:tcW w:w="1046" w:type="dxa"/>
            <w:tcBorders>
              <w:top w:val="single" w:color="auto" w:sz="6" w:space="0"/>
              <w:left w:val="single" w:color="auto" w:sz="6" w:space="0"/>
              <w:bottom w:val="single" w:color="auto" w:sz="6" w:space="0"/>
              <w:right w:val="single" w:color="auto" w:sz="6" w:space="0"/>
            </w:tcBorders>
          </w:tcPr>
          <w:p>
            <w:pPr>
              <w:jc w:val="center"/>
              <w:rPr>
                <w:color w:val="000000" w:themeColor="text1"/>
                <w14:textFill>
                  <w14:solidFill>
                    <w14:schemeClr w14:val="tx1"/>
                  </w14:solidFill>
                </w14:textFill>
              </w:rPr>
            </w:pPr>
            <w:r>
              <w:rPr>
                <w:color w:val="000000" w:themeColor="text1"/>
                <w:sz w:val="21"/>
                <w:szCs w:val="21"/>
                <w14:textFill>
                  <w14:solidFill>
                    <w14:schemeClr w14:val="tx1"/>
                  </w14:solidFill>
                </w14:textFill>
              </w:rPr>
              <w:t>——</w:t>
            </w:r>
          </w:p>
        </w:tc>
        <w:tc>
          <w:tcPr>
            <w:tcW w:w="1242" w:type="dxa"/>
            <w:tcBorders>
              <w:top w:val="single" w:color="auto" w:sz="6" w:space="0"/>
              <w:left w:val="single" w:color="auto" w:sz="6" w:space="0"/>
              <w:bottom w:val="single" w:color="auto" w:sz="6" w:space="0"/>
              <w:right w:val="single" w:color="auto" w:sz="6" w:space="0"/>
            </w:tcBorders>
            <w:vAlign w:val="center"/>
          </w:tcPr>
          <w:p>
            <w:pPr>
              <w:adjustRightInd w:val="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848.20</w:t>
            </w:r>
          </w:p>
        </w:tc>
        <w:tc>
          <w:tcPr>
            <w:tcW w:w="935" w:type="dxa"/>
            <w:tcBorders>
              <w:top w:val="single" w:color="auto" w:sz="6" w:space="0"/>
              <w:left w:val="single" w:color="auto" w:sz="6" w:space="0"/>
              <w:bottom w:val="single" w:color="auto" w:sz="6" w:space="0"/>
              <w:right w:val="single" w:color="auto" w:sz="6" w:space="0"/>
            </w:tcBorders>
            <w:vAlign w:val="center"/>
          </w:tcPr>
          <w:p>
            <w:pPr>
              <w:widowControl/>
              <w:adjustRightInd w:val="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131.02</w:t>
            </w:r>
          </w:p>
        </w:tc>
        <w:tc>
          <w:tcPr>
            <w:tcW w:w="1089" w:type="dxa"/>
            <w:tcBorders>
              <w:top w:val="single" w:color="auto" w:sz="6" w:space="0"/>
              <w:left w:val="single" w:color="auto" w:sz="6" w:space="0"/>
              <w:bottom w:val="single" w:color="auto" w:sz="6" w:space="0"/>
              <w:right w:val="single" w:color="auto" w:sz="6" w:space="0"/>
            </w:tcBorders>
            <w:vAlign w:val="center"/>
          </w:tcPr>
          <w:p>
            <w:pPr>
              <w:adjustRightInd w:val="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96.65</w:t>
            </w:r>
          </w:p>
        </w:tc>
        <w:tc>
          <w:tcPr>
            <w:tcW w:w="1319" w:type="dxa"/>
            <w:tcBorders>
              <w:top w:val="single" w:color="auto" w:sz="6" w:space="0"/>
              <w:left w:val="single" w:color="auto" w:sz="6" w:space="0"/>
              <w:bottom w:val="single" w:color="auto" w:sz="6" w:space="0"/>
              <w:right w:val="single" w:color="auto" w:sz="6" w:space="0"/>
            </w:tcBorders>
          </w:tcPr>
          <w:p>
            <w:pPr>
              <w:jc w:val="center"/>
              <w:rPr>
                <w:color w:val="000000" w:themeColor="text1"/>
                <w14:textFill>
                  <w14:solidFill>
                    <w14:schemeClr w14:val="tx1"/>
                  </w14:solidFill>
                </w14:textFill>
              </w:rPr>
            </w:pPr>
            <w:r>
              <w:rPr>
                <w:color w:val="000000" w:themeColor="text1"/>
                <w:sz w:val="21"/>
                <w:szCs w:val="21"/>
                <w14:textFill>
                  <w14:solidFill>
                    <w14:schemeClr w14:val="tx1"/>
                  </w14:solidFill>
                </w14:textFill>
              </w:rPr>
              <w:t>——</w:t>
            </w:r>
          </w:p>
        </w:tc>
        <w:tc>
          <w:tcPr>
            <w:tcW w:w="954" w:type="dxa"/>
            <w:tcBorders>
              <w:top w:val="single" w:color="auto" w:sz="6" w:space="0"/>
              <w:left w:val="single" w:color="auto" w:sz="6" w:space="0"/>
              <w:bottom w:val="single" w:color="auto" w:sz="6" w:space="0"/>
              <w:right w:val="single" w:color="auto" w:sz="6" w:space="0"/>
            </w:tcBorders>
          </w:tcPr>
          <w:p>
            <w:pPr>
              <w:jc w:val="center"/>
              <w:rPr>
                <w:color w:val="000000" w:themeColor="text1"/>
                <w14:textFill>
                  <w14:solidFill>
                    <w14:schemeClr w14:val="tx1"/>
                  </w14:solidFill>
                </w14:textFill>
              </w:rPr>
            </w:pPr>
            <w:r>
              <w:rPr>
                <w:color w:val="000000" w:themeColor="text1"/>
                <w:sz w:val="21"/>
                <w:szCs w:val="21"/>
                <w14:textFill>
                  <w14:solidFill>
                    <w14:schemeClr w14:val="tx1"/>
                  </w14:solidFill>
                </w14:textFill>
              </w:rPr>
              <w:t>——</w:t>
            </w:r>
          </w:p>
        </w:tc>
        <w:tc>
          <w:tcPr>
            <w:tcW w:w="1081" w:type="dxa"/>
            <w:tcBorders>
              <w:top w:val="single" w:color="auto" w:sz="6" w:space="0"/>
              <w:left w:val="single" w:color="auto" w:sz="6" w:space="0"/>
              <w:bottom w:val="single" w:color="auto" w:sz="6" w:space="0"/>
              <w:right w:val="single" w:color="auto" w:sz="6" w:space="0"/>
            </w:tcBorders>
          </w:tcPr>
          <w:p>
            <w:pPr>
              <w:jc w:val="center"/>
              <w:rPr>
                <w:color w:val="000000" w:themeColor="text1"/>
                <w14:textFill>
                  <w14:solidFill>
                    <w14:schemeClr w14:val="tx1"/>
                  </w14:solidFill>
                </w14:textFill>
              </w:rPr>
            </w:pPr>
            <w:r>
              <w:rPr>
                <w:color w:val="000000" w:themeColor="text1"/>
                <w:sz w:val="21"/>
                <w:szCs w:val="21"/>
                <w14:textFill>
                  <w14:solidFill>
                    <w14:schemeClr w14:val="tx1"/>
                  </w14:solidFill>
                </w14:textFill>
              </w:rPr>
              <w:t>——</w:t>
            </w:r>
          </w:p>
        </w:tc>
        <w:tc>
          <w:tcPr>
            <w:tcW w:w="1171" w:type="dxa"/>
            <w:tcBorders>
              <w:top w:val="single" w:color="auto" w:sz="6" w:space="0"/>
              <w:left w:val="single" w:color="auto" w:sz="6" w:space="0"/>
              <w:bottom w:val="single" w:color="auto" w:sz="6" w:space="0"/>
              <w:right w:val="single" w:color="auto" w:sz="6" w:space="0"/>
            </w:tcBorders>
          </w:tcPr>
          <w:p>
            <w:pPr>
              <w:jc w:val="center"/>
              <w:rPr>
                <w:color w:val="000000" w:themeColor="text1"/>
                <w14:textFill>
                  <w14:solidFill>
                    <w14:schemeClr w14:val="tx1"/>
                  </w14:solidFill>
                </w14:textFill>
              </w:rPr>
            </w:pPr>
            <w:r>
              <w:rPr>
                <w:color w:val="000000" w:themeColor="text1"/>
                <w:sz w:val="21"/>
                <w:szCs w:val="21"/>
                <w14:textFill>
                  <w14:solidFill>
                    <w14:schemeClr w14:val="tx1"/>
                  </w14:solidFill>
                </w14:textFill>
              </w:rPr>
              <w:t>——</w:t>
            </w:r>
          </w:p>
        </w:tc>
        <w:tc>
          <w:tcPr>
            <w:tcW w:w="1013" w:type="dxa"/>
            <w:tcBorders>
              <w:top w:val="single" w:color="auto" w:sz="6" w:space="0"/>
              <w:left w:val="single" w:color="auto" w:sz="6" w:space="0"/>
              <w:bottom w:val="single" w:color="auto" w:sz="6" w:space="0"/>
              <w:right w:val="single" w:color="auto" w:sz="6" w:space="0"/>
            </w:tcBorders>
          </w:tcPr>
          <w:p>
            <w:pPr>
              <w:jc w:val="center"/>
              <w:rPr>
                <w:color w:val="000000" w:themeColor="text1"/>
                <w14:textFill>
                  <w14:solidFill>
                    <w14:schemeClr w14:val="tx1"/>
                  </w14:solidFill>
                </w14:textFill>
              </w:rPr>
            </w:pPr>
            <w:r>
              <w:rPr>
                <w:color w:val="000000" w:themeColor="text1"/>
                <w:sz w:val="21"/>
                <w:szCs w:val="21"/>
                <w14:textFill>
                  <w14:solidFill>
                    <w14:schemeClr w14:val="tx1"/>
                  </w14:solidFill>
                </w14:textFill>
              </w:rPr>
              <w:t>——</w:t>
            </w:r>
          </w:p>
        </w:tc>
        <w:tc>
          <w:tcPr>
            <w:tcW w:w="1034" w:type="dxa"/>
            <w:tcBorders>
              <w:top w:val="single" w:color="auto" w:sz="6" w:space="0"/>
              <w:left w:val="single" w:color="auto" w:sz="6" w:space="0"/>
              <w:bottom w:val="single" w:color="auto" w:sz="6" w:space="0"/>
              <w:right w:val="single" w:color="auto" w:sz="12" w:space="0"/>
            </w:tcBorders>
          </w:tcPr>
          <w:p>
            <w:pPr>
              <w:jc w:val="center"/>
              <w:rPr>
                <w:color w:val="000000" w:themeColor="text1"/>
                <w14:textFill>
                  <w14:solidFill>
                    <w14:schemeClr w14:val="tx1"/>
                  </w14:solidFill>
                </w14:textFill>
              </w:rPr>
            </w:pPr>
            <w:r>
              <w:rPr>
                <w:color w:val="000000" w:themeColor="text1"/>
                <w:sz w:val="21"/>
                <w:szCs w:val="21"/>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27" w:hRule="exact"/>
          <w:jc w:val="center"/>
        </w:trPr>
        <w:tc>
          <w:tcPr>
            <w:tcW w:w="491" w:type="dxa"/>
            <w:vMerge w:val="continue"/>
            <w:tcBorders>
              <w:top w:val="single" w:color="auto" w:sz="6" w:space="0"/>
              <w:left w:val="single" w:color="auto" w:sz="12" w:space="0"/>
              <w:bottom w:val="single" w:color="auto" w:sz="6" w:space="0"/>
              <w:right w:val="single" w:color="auto" w:sz="6" w:space="0"/>
            </w:tcBorders>
            <w:vAlign w:val="center"/>
          </w:tcPr>
          <w:p>
            <w:pPr>
              <w:widowControl/>
              <w:adjustRightInd w:val="0"/>
              <w:jc w:val="center"/>
              <w:rPr>
                <w:color w:val="000000" w:themeColor="text1"/>
                <w:kern w:val="0"/>
                <w:sz w:val="21"/>
                <w:szCs w:val="21"/>
                <w14:textFill>
                  <w14:solidFill>
                    <w14:schemeClr w14:val="tx1"/>
                  </w14:solidFill>
                </w14:textFill>
              </w:rPr>
            </w:pPr>
          </w:p>
        </w:tc>
        <w:tc>
          <w:tcPr>
            <w:tcW w:w="578" w:type="dxa"/>
            <w:tcBorders>
              <w:top w:val="single" w:color="auto" w:sz="6" w:space="0"/>
              <w:left w:val="single" w:color="auto" w:sz="6" w:space="0"/>
              <w:bottom w:val="single" w:color="auto" w:sz="6" w:space="0"/>
              <w:right w:val="single" w:color="auto" w:sz="6" w:space="0"/>
            </w:tcBorders>
            <w:vAlign w:val="center"/>
          </w:tcPr>
          <w:p>
            <w:pPr>
              <w:adjustRightInd w:val="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21</w:t>
            </w:r>
          </w:p>
        </w:tc>
        <w:tc>
          <w:tcPr>
            <w:tcW w:w="1267" w:type="dxa"/>
            <w:tcBorders>
              <w:top w:val="single" w:color="auto" w:sz="6" w:space="0"/>
              <w:left w:val="single" w:color="auto" w:sz="6" w:space="0"/>
              <w:bottom w:val="single" w:color="auto" w:sz="6" w:space="0"/>
              <w:right w:val="single" w:color="auto" w:sz="6" w:space="0"/>
            </w:tcBorders>
          </w:tcPr>
          <w:p>
            <w:pPr>
              <w:jc w:val="center"/>
              <w:rPr>
                <w:color w:val="000000" w:themeColor="text1"/>
                <w14:textFill>
                  <w14:solidFill>
                    <w14:schemeClr w14:val="tx1"/>
                  </w14:solidFill>
                </w14:textFill>
              </w:rPr>
            </w:pPr>
            <w:r>
              <w:rPr>
                <w:color w:val="000000" w:themeColor="text1"/>
                <w:sz w:val="21"/>
                <w:szCs w:val="21"/>
                <w14:textFill>
                  <w14:solidFill>
                    <w14:schemeClr w14:val="tx1"/>
                  </w14:solidFill>
                </w14:textFill>
              </w:rPr>
              <w:t>——</w:t>
            </w:r>
          </w:p>
        </w:tc>
        <w:tc>
          <w:tcPr>
            <w:tcW w:w="954" w:type="dxa"/>
            <w:tcBorders>
              <w:top w:val="single" w:color="auto" w:sz="6" w:space="0"/>
              <w:left w:val="single" w:color="auto" w:sz="6" w:space="0"/>
              <w:bottom w:val="single" w:color="auto" w:sz="6" w:space="0"/>
              <w:right w:val="single" w:color="auto" w:sz="6" w:space="0"/>
            </w:tcBorders>
          </w:tcPr>
          <w:p>
            <w:pPr>
              <w:jc w:val="center"/>
              <w:rPr>
                <w:color w:val="000000" w:themeColor="text1"/>
                <w14:textFill>
                  <w14:solidFill>
                    <w14:schemeClr w14:val="tx1"/>
                  </w14:solidFill>
                </w14:textFill>
              </w:rPr>
            </w:pPr>
            <w:r>
              <w:rPr>
                <w:color w:val="000000" w:themeColor="text1"/>
                <w:sz w:val="21"/>
                <w:szCs w:val="21"/>
                <w14:textFill>
                  <w14:solidFill>
                    <w14:schemeClr w14:val="tx1"/>
                  </w14:solidFill>
                </w14:textFill>
              </w:rPr>
              <w:t>——</w:t>
            </w:r>
          </w:p>
        </w:tc>
        <w:tc>
          <w:tcPr>
            <w:tcW w:w="1046" w:type="dxa"/>
            <w:tcBorders>
              <w:top w:val="single" w:color="auto" w:sz="6" w:space="0"/>
              <w:left w:val="single" w:color="auto" w:sz="6" w:space="0"/>
              <w:bottom w:val="single" w:color="auto" w:sz="6" w:space="0"/>
              <w:right w:val="single" w:color="auto" w:sz="6" w:space="0"/>
            </w:tcBorders>
          </w:tcPr>
          <w:p>
            <w:pPr>
              <w:jc w:val="center"/>
              <w:rPr>
                <w:color w:val="000000" w:themeColor="text1"/>
                <w14:textFill>
                  <w14:solidFill>
                    <w14:schemeClr w14:val="tx1"/>
                  </w14:solidFill>
                </w14:textFill>
              </w:rPr>
            </w:pPr>
            <w:r>
              <w:rPr>
                <w:color w:val="000000" w:themeColor="text1"/>
                <w:sz w:val="21"/>
                <w:szCs w:val="21"/>
                <w14:textFill>
                  <w14:solidFill>
                    <w14:schemeClr w14:val="tx1"/>
                  </w14:solidFill>
                </w14:textFill>
              </w:rPr>
              <w:t>——</w:t>
            </w:r>
          </w:p>
        </w:tc>
        <w:tc>
          <w:tcPr>
            <w:tcW w:w="1242" w:type="dxa"/>
            <w:tcBorders>
              <w:top w:val="single" w:color="auto" w:sz="6" w:space="0"/>
              <w:left w:val="single" w:color="auto" w:sz="6" w:space="0"/>
              <w:bottom w:val="single" w:color="auto" w:sz="6" w:space="0"/>
              <w:right w:val="single" w:color="auto" w:sz="6" w:space="0"/>
            </w:tcBorders>
            <w:vAlign w:val="center"/>
          </w:tcPr>
          <w:p>
            <w:pPr>
              <w:adjustRightInd w:val="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815.25</w:t>
            </w:r>
          </w:p>
        </w:tc>
        <w:tc>
          <w:tcPr>
            <w:tcW w:w="935" w:type="dxa"/>
            <w:tcBorders>
              <w:top w:val="single" w:color="auto" w:sz="6" w:space="0"/>
              <w:left w:val="single" w:color="auto" w:sz="6" w:space="0"/>
              <w:bottom w:val="single" w:color="auto" w:sz="6" w:space="0"/>
              <w:right w:val="single" w:color="auto" w:sz="6" w:space="0"/>
            </w:tcBorders>
            <w:vAlign w:val="center"/>
          </w:tcPr>
          <w:p>
            <w:pPr>
              <w:widowControl/>
              <w:adjustRightInd w:val="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133.81</w:t>
            </w:r>
          </w:p>
        </w:tc>
        <w:tc>
          <w:tcPr>
            <w:tcW w:w="1089" w:type="dxa"/>
            <w:tcBorders>
              <w:top w:val="single" w:color="auto" w:sz="6" w:space="0"/>
              <w:left w:val="single" w:color="auto" w:sz="6" w:space="0"/>
              <w:bottom w:val="single" w:color="auto" w:sz="6" w:space="0"/>
              <w:right w:val="single" w:color="auto" w:sz="6" w:space="0"/>
            </w:tcBorders>
            <w:vAlign w:val="center"/>
          </w:tcPr>
          <w:p>
            <w:pPr>
              <w:adjustRightInd w:val="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87.14</w:t>
            </w:r>
          </w:p>
        </w:tc>
        <w:tc>
          <w:tcPr>
            <w:tcW w:w="1319" w:type="dxa"/>
            <w:tcBorders>
              <w:top w:val="single" w:color="auto" w:sz="6" w:space="0"/>
              <w:left w:val="single" w:color="auto" w:sz="6" w:space="0"/>
              <w:bottom w:val="single" w:color="auto" w:sz="6" w:space="0"/>
              <w:right w:val="single" w:color="auto" w:sz="6" w:space="0"/>
            </w:tcBorders>
          </w:tcPr>
          <w:p>
            <w:pPr>
              <w:jc w:val="center"/>
              <w:rPr>
                <w:color w:val="000000" w:themeColor="text1"/>
                <w14:textFill>
                  <w14:solidFill>
                    <w14:schemeClr w14:val="tx1"/>
                  </w14:solidFill>
                </w14:textFill>
              </w:rPr>
            </w:pPr>
            <w:r>
              <w:rPr>
                <w:color w:val="000000" w:themeColor="text1"/>
                <w:sz w:val="21"/>
                <w:szCs w:val="21"/>
                <w14:textFill>
                  <w14:solidFill>
                    <w14:schemeClr w14:val="tx1"/>
                  </w14:solidFill>
                </w14:textFill>
              </w:rPr>
              <w:t>——</w:t>
            </w:r>
          </w:p>
        </w:tc>
        <w:tc>
          <w:tcPr>
            <w:tcW w:w="954" w:type="dxa"/>
            <w:tcBorders>
              <w:top w:val="single" w:color="auto" w:sz="6" w:space="0"/>
              <w:left w:val="single" w:color="auto" w:sz="6" w:space="0"/>
              <w:bottom w:val="single" w:color="auto" w:sz="6" w:space="0"/>
              <w:right w:val="single" w:color="auto" w:sz="6" w:space="0"/>
            </w:tcBorders>
          </w:tcPr>
          <w:p>
            <w:pPr>
              <w:jc w:val="center"/>
              <w:rPr>
                <w:color w:val="000000" w:themeColor="text1"/>
                <w14:textFill>
                  <w14:solidFill>
                    <w14:schemeClr w14:val="tx1"/>
                  </w14:solidFill>
                </w14:textFill>
              </w:rPr>
            </w:pPr>
            <w:r>
              <w:rPr>
                <w:color w:val="000000" w:themeColor="text1"/>
                <w:sz w:val="21"/>
                <w:szCs w:val="21"/>
                <w14:textFill>
                  <w14:solidFill>
                    <w14:schemeClr w14:val="tx1"/>
                  </w14:solidFill>
                </w14:textFill>
              </w:rPr>
              <w:t>——</w:t>
            </w:r>
          </w:p>
        </w:tc>
        <w:tc>
          <w:tcPr>
            <w:tcW w:w="1081" w:type="dxa"/>
            <w:tcBorders>
              <w:top w:val="single" w:color="auto" w:sz="6" w:space="0"/>
              <w:left w:val="single" w:color="auto" w:sz="6" w:space="0"/>
              <w:bottom w:val="single" w:color="auto" w:sz="6" w:space="0"/>
              <w:right w:val="single" w:color="auto" w:sz="6" w:space="0"/>
            </w:tcBorders>
          </w:tcPr>
          <w:p>
            <w:pPr>
              <w:jc w:val="center"/>
              <w:rPr>
                <w:color w:val="000000" w:themeColor="text1"/>
                <w14:textFill>
                  <w14:solidFill>
                    <w14:schemeClr w14:val="tx1"/>
                  </w14:solidFill>
                </w14:textFill>
              </w:rPr>
            </w:pPr>
            <w:r>
              <w:rPr>
                <w:color w:val="000000" w:themeColor="text1"/>
                <w:sz w:val="21"/>
                <w:szCs w:val="21"/>
                <w14:textFill>
                  <w14:solidFill>
                    <w14:schemeClr w14:val="tx1"/>
                  </w14:solidFill>
                </w14:textFill>
              </w:rPr>
              <w:t>——</w:t>
            </w:r>
          </w:p>
        </w:tc>
        <w:tc>
          <w:tcPr>
            <w:tcW w:w="1171" w:type="dxa"/>
            <w:tcBorders>
              <w:top w:val="single" w:color="auto" w:sz="6" w:space="0"/>
              <w:left w:val="single" w:color="auto" w:sz="6" w:space="0"/>
              <w:bottom w:val="single" w:color="auto" w:sz="6" w:space="0"/>
              <w:right w:val="single" w:color="auto" w:sz="6" w:space="0"/>
            </w:tcBorders>
          </w:tcPr>
          <w:p>
            <w:pPr>
              <w:jc w:val="center"/>
              <w:rPr>
                <w:color w:val="000000" w:themeColor="text1"/>
                <w14:textFill>
                  <w14:solidFill>
                    <w14:schemeClr w14:val="tx1"/>
                  </w14:solidFill>
                </w14:textFill>
              </w:rPr>
            </w:pPr>
            <w:r>
              <w:rPr>
                <w:color w:val="000000" w:themeColor="text1"/>
                <w:sz w:val="21"/>
                <w:szCs w:val="21"/>
                <w14:textFill>
                  <w14:solidFill>
                    <w14:schemeClr w14:val="tx1"/>
                  </w14:solidFill>
                </w14:textFill>
              </w:rPr>
              <w:t>——</w:t>
            </w:r>
          </w:p>
        </w:tc>
        <w:tc>
          <w:tcPr>
            <w:tcW w:w="1013" w:type="dxa"/>
            <w:tcBorders>
              <w:top w:val="single" w:color="auto" w:sz="6" w:space="0"/>
              <w:left w:val="single" w:color="auto" w:sz="6" w:space="0"/>
              <w:bottom w:val="single" w:color="auto" w:sz="6" w:space="0"/>
              <w:right w:val="single" w:color="auto" w:sz="6" w:space="0"/>
            </w:tcBorders>
          </w:tcPr>
          <w:p>
            <w:pPr>
              <w:jc w:val="center"/>
              <w:rPr>
                <w:color w:val="000000" w:themeColor="text1"/>
                <w14:textFill>
                  <w14:solidFill>
                    <w14:schemeClr w14:val="tx1"/>
                  </w14:solidFill>
                </w14:textFill>
              </w:rPr>
            </w:pPr>
            <w:r>
              <w:rPr>
                <w:color w:val="000000" w:themeColor="text1"/>
                <w:sz w:val="21"/>
                <w:szCs w:val="21"/>
                <w14:textFill>
                  <w14:solidFill>
                    <w14:schemeClr w14:val="tx1"/>
                  </w14:solidFill>
                </w14:textFill>
              </w:rPr>
              <w:t>——</w:t>
            </w:r>
          </w:p>
        </w:tc>
        <w:tc>
          <w:tcPr>
            <w:tcW w:w="1034" w:type="dxa"/>
            <w:tcBorders>
              <w:top w:val="single" w:color="auto" w:sz="6" w:space="0"/>
              <w:left w:val="single" w:color="auto" w:sz="6" w:space="0"/>
              <w:bottom w:val="single" w:color="auto" w:sz="6" w:space="0"/>
              <w:right w:val="single" w:color="auto" w:sz="12" w:space="0"/>
            </w:tcBorders>
          </w:tcPr>
          <w:p>
            <w:pPr>
              <w:jc w:val="center"/>
              <w:rPr>
                <w:color w:val="000000" w:themeColor="text1"/>
                <w14:textFill>
                  <w14:solidFill>
                    <w14:schemeClr w14:val="tx1"/>
                  </w14:solidFill>
                </w14:textFill>
              </w:rPr>
            </w:pPr>
            <w:r>
              <w:rPr>
                <w:color w:val="000000" w:themeColor="text1"/>
                <w:sz w:val="21"/>
                <w:szCs w:val="21"/>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27" w:hRule="exact"/>
          <w:jc w:val="center"/>
        </w:trPr>
        <w:tc>
          <w:tcPr>
            <w:tcW w:w="491" w:type="dxa"/>
            <w:vMerge w:val="continue"/>
            <w:tcBorders>
              <w:top w:val="single" w:color="auto" w:sz="6" w:space="0"/>
              <w:left w:val="single" w:color="auto" w:sz="12" w:space="0"/>
              <w:bottom w:val="single" w:color="auto" w:sz="6" w:space="0"/>
              <w:right w:val="single" w:color="auto" w:sz="6" w:space="0"/>
            </w:tcBorders>
            <w:vAlign w:val="center"/>
          </w:tcPr>
          <w:p>
            <w:pPr>
              <w:widowControl/>
              <w:adjustRightInd w:val="0"/>
              <w:jc w:val="center"/>
              <w:rPr>
                <w:color w:val="000000" w:themeColor="text1"/>
                <w:kern w:val="0"/>
                <w:sz w:val="21"/>
                <w:szCs w:val="21"/>
                <w14:textFill>
                  <w14:solidFill>
                    <w14:schemeClr w14:val="tx1"/>
                  </w14:solidFill>
                </w14:textFill>
              </w:rPr>
            </w:pPr>
          </w:p>
        </w:tc>
        <w:tc>
          <w:tcPr>
            <w:tcW w:w="578" w:type="dxa"/>
            <w:tcBorders>
              <w:top w:val="single" w:color="auto" w:sz="6" w:space="0"/>
              <w:left w:val="single" w:color="auto" w:sz="6" w:space="0"/>
              <w:bottom w:val="single" w:color="auto" w:sz="6" w:space="0"/>
              <w:right w:val="single" w:color="auto" w:sz="6" w:space="0"/>
            </w:tcBorders>
            <w:vAlign w:val="center"/>
          </w:tcPr>
          <w:p>
            <w:pPr>
              <w:adjustRightInd w:val="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24</w:t>
            </w:r>
          </w:p>
        </w:tc>
        <w:tc>
          <w:tcPr>
            <w:tcW w:w="1267" w:type="dxa"/>
            <w:tcBorders>
              <w:top w:val="single" w:color="auto" w:sz="6" w:space="0"/>
              <w:left w:val="single" w:color="auto" w:sz="6" w:space="0"/>
              <w:bottom w:val="single" w:color="auto" w:sz="6" w:space="0"/>
              <w:right w:val="single" w:color="auto" w:sz="6" w:space="0"/>
            </w:tcBorders>
          </w:tcPr>
          <w:p>
            <w:pPr>
              <w:jc w:val="center"/>
              <w:rPr>
                <w:color w:val="000000" w:themeColor="text1"/>
                <w14:textFill>
                  <w14:solidFill>
                    <w14:schemeClr w14:val="tx1"/>
                  </w14:solidFill>
                </w14:textFill>
              </w:rPr>
            </w:pPr>
            <w:r>
              <w:rPr>
                <w:color w:val="000000" w:themeColor="text1"/>
                <w:sz w:val="21"/>
                <w:szCs w:val="21"/>
                <w14:textFill>
                  <w14:solidFill>
                    <w14:schemeClr w14:val="tx1"/>
                  </w14:solidFill>
                </w14:textFill>
              </w:rPr>
              <w:t>——</w:t>
            </w:r>
          </w:p>
        </w:tc>
        <w:tc>
          <w:tcPr>
            <w:tcW w:w="954" w:type="dxa"/>
            <w:tcBorders>
              <w:top w:val="single" w:color="auto" w:sz="6" w:space="0"/>
              <w:left w:val="single" w:color="auto" w:sz="6" w:space="0"/>
              <w:bottom w:val="single" w:color="auto" w:sz="6" w:space="0"/>
              <w:right w:val="single" w:color="auto" w:sz="6" w:space="0"/>
            </w:tcBorders>
          </w:tcPr>
          <w:p>
            <w:pPr>
              <w:jc w:val="center"/>
              <w:rPr>
                <w:color w:val="000000" w:themeColor="text1"/>
                <w14:textFill>
                  <w14:solidFill>
                    <w14:schemeClr w14:val="tx1"/>
                  </w14:solidFill>
                </w14:textFill>
              </w:rPr>
            </w:pPr>
            <w:r>
              <w:rPr>
                <w:color w:val="000000" w:themeColor="text1"/>
                <w:sz w:val="21"/>
                <w:szCs w:val="21"/>
                <w14:textFill>
                  <w14:solidFill>
                    <w14:schemeClr w14:val="tx1"/>
                  </w14:solidFill>
                </w14:textFill>
              </w:rPr>
              <w:t>——</w:t>
            </w:r>
          </w:p>
        </w:tc>
        <w:tc>
          <w:tcPr>
            <w:tcW w:w="1046" w:type="dxa"/>
            <w:tcBorders>
              <w:top w:val="single" w:color="auto" w:sz="6" w:space="0"/>
              <w:left w:val="single" w:color="auto" w:sz="6" w:space="0"/>
              <w:bottom w:val="single" w:color="auto" w:sz="6" w:space="0"/>
              <w:right w:val="single" w:color="auto" w:sz="6" w:space="0"/>
            </w:tcBorders>
          </w:tcPr>
          <w:p>
            <w:pPr>
              <w:jc w:val="center"/>
              <w:rPr>
                <w:color w:val="000000" w:themeColor="text1"/>
                <w14:textFill>
                  <w14:solidFill>
                    <w14:schemeClr w14:val="tx1"/>
                  </w14:solidFill>
                </w14:textFill>
              </w:rPr>
            </w:pPr>
            <w:r>
              <w:rPr>
                <w:color w:val="000000" w:themeColor="text1"/>
                <w:sz w:val="21"/>
                <w:szCs w:val="21"/>
                <w14:textFill>
                  <w14:solidFill>
                    <w14:schemeClr w14:val="tx1"/>
                  </w14:solidFill>
                </w14:textFill>
              </w:rPr>
              <w:t>——</w:t>
            </w:r>
          </w:p>
        </w:tc>
        <w:tc>
          <w:tcPr>
            <w:tcW w:w="1242" w:type="dxa"/>
            <w:tcBorders>
              <w:top w:val="single" w:color="auto" w:sz="6" w:space="0"/>
              <w:left w:val="single" w:color="auto" w:sz="6" w:space="0"/>
              <w:bottom w:val="single" w:color="auto" w:sz="6" w:space="0"/>
              <w:right w:val="single" w:color="auto" w:sz="6" w:space="0"/>
            </w:tcBorders>
            <w:vAlign w:val="center"/>
          </w:tcPr>
          <w:p>
            <w:pPr>
              <w:adjustRightInd w:val="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785.99</w:t>
            </w:r>
          </w:p>
        </w:tc>
        <w:tc>
          <w:tcPr>
            <w:tcW w:w="935" w:type="dxa"/>
            <w:tcBorders>
              <w:top w:val="single" w:color="auto" w:sz="6" w:space="0"/>
              <w:left w:val="single" w:color="auto" w:sz="6" w:space="0"/>
              <w:bottom w:val="single" w:color="auto" w:sz="6" w:space="0"/>
              <w:right w:val="single" w:color="auto" w:sz="6" w:space="0"/>
            </w:tcBorders>
            <w:vAlign w:val="center"/>
          </w:tcPr>
          <w:p>
            <w:pPr>
              <w:widowControl/>
              <w:adjustRightInd w:val="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138.33</w:t>
            </w:r>
          </w:p>
        </w:tc>
        <w:tc>
          <w:tcPr>
            <w:tcW w:w="1089" w:type="dxa"/>
            <w:tcBorders>
              <w:top w:val="single" w:color="auto" w:sz="6" w:space="0"/>
              <w:left w:val="single" w:color="auto" w:sz="6" w:space="0"/>
              <w:bottom w:val="single" w:color="auto" w:sz="6" w:space="0"/>
              <w:right w:val="single" w:color="auto" w:sz="6" w:space="0"/>
            </w:tcBorders>
            <w:vAlign w:val="center"/>
          </w:tcPr>
          <w:p>
            <w:pPr>
              <w:adjustRightInd w:val="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75.65</w:t>
            </w:r>
          </w:p>
        </w:tc>
        <w:tc>
          <w:tcPr>
            <w:tcW w:w="1319" w:type="dxa"/>
            <w:tcBorders>
              <w:top w:val="single" w:color="auto" w:sz="6" w:space="0"/>
              <w:left w:val="single" w:color="auto" w:sz="6" w:space="0"/>
              <w:bottom w:val="single" w:color="auto" w:sz="6" w:space="0"/>
              <w:right w:val="single" w:color="auto" w:sz="6" w:space="0"/>
            </w:tcBorders>
          </w:tcPr>
          <w:p>
            <w:pPr>
              <w:jc w:val="center"/>
              <w:rPr>
                <w:color w:val="000000" w:themeColor="text1"/>
                <w14:textFill>
                  <w14:solidFill>
                    <w14:schemeClr w14:val="tx1"/>
                  </w14:solidFill>
                </w14:textFill>
              </w:rPr>
            </w:pPr>
            <w:r>
              <w:rPr>
                <w:color w:val="000000" w:themeColor="text1"/>
                <w:sz w:val="21"/>
                <w:szCs w:val="21"/>
                <w14:textFill>
                  <w14:solidFill>
                    <w14:schemeClr w14:val="tx1"/>
                  </w14:solidFill>
                </w14:textFill>
              </w:rPr>
              <w:t>——</w:t>
            </w:r>
          </w:p>
        </w:tc>
        <w:tc>
          <w:tcPr>
            <w:tcW w:w="954" w:type="dxa"/>
            <w:tcBorders>
              <w:top w:val="single" w:color="auto" w:sz="6" w:space="0"/>
              <w:left w:val="single" w:color="auto" w:sz="6" w:space="0"/>
              <w:bottom w:val="single" w:color="auto" w:sz="6" w:space="0"/>
              <w:right w:val="single" w:color="auto" w:sz="6" w:space="0"/>
            </w:tcBorders>
          </w:tcPr>
          <w:p>
            <w:pPr>
              <w:jc w:val="center"/>
              <w:rPr>
                <w:color w:val="000000" w:themeColor="text1"/>
                <w14:textFill>
                  <w14:solidFill>
                    <w14:schemeClr w14:val="tx1"/>
                  </w14:solidFill>
                </w14:textFill>
              </w:rPr>
            </w:pPr>
            <w:r>
              <w:rPr>
                <w:color w:val="000000" w:themeColor="text1"/>
                <w:sz w:val="21"/>
                <w:szCs w:val="21"/>
                <w14:textFill>
                  <w14:solidFill>
                    <w14:schemeClr w14:val="tx1"/>
                  </w14:solidFill>
                </w14:textFill>
              </w:rPr>
              <w:t>——</w:t>
            </w:r>
          </w:p>
        </w:tc>
        <w:tc>
          <w:tcPr>
            <w:tcW w:w="1081" w:type="dxa"/>
            <w:tcBorders>
              <w:top w:val="single" w:color="auto" w:sz="6" w:space="0"/>
              <w:left w:val="single" w:color="auto" w:sz="6" w:space="0"/>
              <w:bottom w:val="single" w:color="auto" w:sz="6" w:space="0"/>
              <w:right w:val="single" w:color="auto" w:sz="6" w:space="0"/>
            </w:tcBorders>
          </w:tcPr>
          <w:p>
            <w:pPr>
              <w:jc w:val="center"/>
              <w:rPr>
                <w:color w:val="000000" w:themeColor="text1"/>
                <w14:textFill>
                  <w14:solidFill>
                    <w14:schemeClr w14:val="tx1"/>
                  </w14:solidFill>
                </w14:textFill>
              </w:rPr>
            </w:pPr>
            <w:r>
              <w:rPr>
                <w:color w:val="000000" w:themeColor="text1"/>
                <w:sz w:val="21"/>
                <w:szCs w:val="21"/>
                <w14:textFill>
                  <w14:solidFill>
                    <w14:schemeClr w14:val="tx1"/>
                  </w14:solidFill>
                </w14:textFill>
              </w:rPr>
              <w:t>——</w:t>
            </w:r>
          </w:p>
        </w:tc>
        <w:tc>
          <w:tcPr>
            <w:tcW w:w="1171" w:type="dxa"/>
            <w:tcBorders>
              <w:top w:val="single" w:color="auto" w:sz="6" w:space="0"/>
              <w:left w:val="single" w:color="auto" w:sz="6" w:space="0"/>
              <w:bottom w:val="single" w:color="auto" w:sz="6" w:space="0"/>
              <w:right w:val="single" w:color="auto" w:sz="6" w:space="0"/>
            </w:tcBorders>
          </w:tcPr>
          <w:p>
            <w:pPr>
              <w:jc w:val="center"/>
              <w:rPr>
                <w:color w:val="000000" w:themeColor="text1"/>
                <w14:textFill>
                  <w14:solidFill>
                    <w14:schemeClr w14:val="tx1"/>
                  </w14:solidFill>
                </w14:textFill>
              </w:rPr>
            </w:pPr>
            <w:r>
              <w:rPr>
                <w:color w:val="000000" w:themeColor="text1"/>
                <w:sz w:val="21"/>
                <w:szCs w:val="21"/>
                <w14:textFill>
                  <w14:solidFill>
                    <w14:schemeClr w14:val="tx1"/>
                  </w14:solidFill>
                </w14:textFill>
              </w:rPr>
              <w:t>——</w:t>
            </w:r>
          </w:p>
        </w:tc>
        <w:tc>
          <w:tcPr>
            <w:tcW w:w="1013" w:type="dxa"/>
            <w:tcBorders>
              <w:top w:val="single" w:color="auto" w:sz="6" w:space="0"/>
              <w:left w:val="single" w:color="auto" w:sz="6" w:space="0"/>
              <w:bottom w:val="single" w:color="auto" w:sz="6" w:space="0"/>
              <w:right w:val="single" w:color="auto" w:sz="6" w:space="0"/>
            </w:tcBorders>
          </w:tcPr>
          <w:p>
            <w:pPr>
              <w:jc w:val="center"/>
              <w:rPr>
                <w:color w:val="000000" w:themeColor="text1"/>
                <w14:textFill>
                  <w14:solidFill>
                    <w14:schemeClr w14:val="tx1"/>
                  </w14:solidFill>
                </w14:textFill>
              </w:rPr>
            </w:pPr>
            <w:r>
              <w:rPr>
                <w:color w:val="000000" w:themeColor="text1"/>
                <w:sz w:val="21"/>
                <w:szCs w:val="21"/>
                <w14:textFill>
                  <w14:solidFill>
                    <w14:schemeClr w14:val="tx1"/>
                  </w14:solidFill>
                </w14:textFill>
              </w:rPr>
              <w:t>——</w:t>
            </w:r>
          </w:p>
        </w:tc>
        <w:tc>
          <w:tcPr>
            <w:tcW w:w="1034" w:type="dxa"/>
            <w:tcBorders>
              <w:top w:val="single" w:color="auto" w:sz="6" w:space="0"/>
              <w:left w:val="single" w:color="auto" w:sz="6" w:space="0"/>
              <w:bottom w:val="single" w:color="auto" w:sz="6" w:space="0"/>
              <w:right w:val="single" w:color="auto" w:sz="12" w:space="0"/>
            </w:tcBorders>
          </w:tcPr>
          <w:p>
            <w:pPr>
              <w:jc w:val="center"/>
              <w:rPr>
                <w:color w:val="000000" w:themeColor="text1"/>
                <w14:textFill>
                  <w14:solidFill>
                    <w14:schemeClr w14:val="tx1"/>
                  </w14:solidFill>
                </w14:textFill>
              </w:rPr>
            </w:pPr>
            <w:r>
              <w:rPr>
                <w:color w:val="000000" w:themeColor="text1"/>
                <w:sz w:val="21"/>
                <w:szCs w:val="21"/>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27" w:hRule="exact"/>
          <w:jc w:val="center"/>
        </w:trPr>
        <w:tc>
          <w:tcPr>
            <w:tcW w:w="491" w:type="dxa"/>
            <w:vMerge w:val="continue"/>
            <w:tcBorders>
              <w:top w:val="single" w:color="auto" w:sz="6" w:space="0"/>
              <w:left w:val="single" w:color="auto" w:sz="12" w:space="0"/>
              <w:bottom w:val="single" w:color="auto" w:sz="6" w:space="0"/>
              <w:right w:val="single" w:color="auto" w:sz="6" w:space="0"/>
            </w:tcBorders>
            <w:vAlign w:val="center"/>
          </w:tcPr>
          <w:p>
            <w:pPr>
              <w:widowControl/>
              <w:adjustRightInd w:val="0"/>
              <w:jc w:val="center"/>
              <w:rPr>
                <w:color w:val="000000" w:themeColor="text1"/>
                <w:kern w:val="0"/>
                <w:sz w:val="21"/>
                <w:szCs w:val="21"/>
                <w14:textFill>
                  <w14:solidFill>
                    <w14:schemeClr w14:val="tx1"/>
                  </w14:solidFill>
                </w14:textFill>
              </w:rPr>
            </w:pPr>
          </w:p>
        </w:tc>
        <w:tc>
          <w:tcPr>
            <w:tcW w:w="578" w:type="dxa"/>
            <w:tcBorders>
              <w:top w:val="single" w:color="auto" w:sz="6" w:space="0"/>
              <w:left w:val="single" w:color="auto" w:sz="6" w:space="0"/>
              <w:bottom w:val="single" w:color="auto" w:sz="6" w:space="0"/>
              <w:right w:val="single" w:color="auto" w:sz="6" w:space="0"/>
            </w:tcBorders>
            <w:vAlign w:val="center"/>
          </w:tcPr>
          <w:p>
            <w:pPr>
              <w:adjustRightInd w:val="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27</w:t>
            </w:r>
          </w:p>
        </w:tc>
        <w:tc>
          <w:tcPr>
            <w:tcW w:w="1267" w:type="dxa"/>
            <w:tcBorders>
              <w:top w:val="single" w:color="auto" w:sz="6" w:space="0"/>
              <w:left w:val="single" w:color="auto" w:sz="6" w:space="0"/>
              <w:bottom w:val="single" w:color="auto" w:sz="6" w:space="0"/>
              <w:right w:val="single" w:color="auto" w:sz="6" w:space="0"/>
            </w:tcBorders>
          </w:tcPr>
          <w:p>
            <w:pPr>
              <w:jc w:val="center"/>
              <w:rPr>
                <w:color w:val="000000" w:themeColor="text1"/>
                <w14:textFill>
                  <w14:solidFill>
                    <w14:schemeClr w14:val="tx1"/>
                  </w14:solidFill>
                </w14:textFill>
              </w:rPr>
            </w:pPr>
            <w:r>
              <w:rPr>
                <w:color w:val="000000" w:themeColor="text1"/>
                <w:sz w:val="21"/>
                <w:szCs w:val="21"/>
                <w14:textFill>
                  <w14:solidFill>
                    <w14:schemeClr w14:val="tx1"/>
                  </w14:solidFill>
                </w14:textFill>
              </w:rPr>
              <w:t>——</w:t>
            </w:r>
          </w:p>
        </w:tc>
        <w:tc>
          <w:tcPr>
            <w:tcW w:w="954" w:type="dxa"/>
            <w:tcBorders>
              <w:top w:val="single" w:color="auto" w:sz="6" w:space="0"/>
              <w:left w:val="single" w:color="auto" w:sz="6" w:space="0"/>
              <w:bottom w:val="single" w:color="auto" w:sz="6" w:space="0"/>
              <w:right w:val="single" w:color="auto" w:sz="6" w:space="0"/>
            </w:tcBorders>
          </w:tcPr>
          <w:p>
            <w:pPr>
              <w:jc w:val="center"/>
              <w:rPr>
                <w:color w:val="000000" w:themeColor="text1"/>
                <w14:textFill>
                  <w14:solidFill>
                    <w14:schemeClr w14:val="tx1"/>
                  </w14:solidFill>
                </w14:textFill>
              </w:rPr>
            </w:pPr>
            <w:r>
              <w:rPr>
                <w:color w:val="000000" w:themeColor="text1"/>
                <w:sz w:val="21"/>
                <w:szCs w:val="21"/>
                <w14:textFill>
                  <w14:solidFill>
                    <w14:schemeClr w14:val="tx1"/>
                  </w14:solidFill>
                </w14:textFill>
              </w:rPr>
              <w:t>——</w:t>
            </w:r>
          </w:p>
        </w:tc>
        <w:tc>
          <w:tcPr>
            <w:tcW w:w="1046" w:type="dxa"/>
            <w:tcBorders>
              <w:top w:val="single" w:color="auto" w:sz="6" w:space="0"/>
              <w:left w:val="single" w:color="auto" w:sz="6" w:space="0"/>
              <w:bottom w:val="single" w:color="auto" w:sz="6" w:space="0"/>
              <w:right w:val="single" w:color="auto" w:sz="6" w:space="0"/>
            </w:tcBorders>
          </w:tcPr>
          <w:p>
            <w:pPr>
              <w:jc w:val="center"/>
              <w:rPr>
                <w:color w:val="000000" w:themeColor="text1"/>
                <w14:textFill>
                  <w14:solidFill>
                    <w14:schemeClr w14:val="tx1"/>
                  </w14:solidFill>
                </w14:textFill>
              </w:rPr>
            </w:pPr>
            <w:r>
              <w:rPr>
                <w:color w:val="000000" w:themeColor="text1"/>
                <w:sz w:val="21"/>
                <w:szCs w:val="21"/>
                <w14:textFill>
                  <w14:solidFill>
                    <w14:schemeClr w14:val="tx1"/>
                  </w14:solidFill>
                </w14:textFill>
              </w:rPr>
              <w:t>——</w:t>
            </w:r>
          </w:p>
        </w:tc>
        <w:tc>
          <w:tcPr>
            <w:tcW w:w="1242" w:type="dxa"/>
            <w:tcBorders>
              <w:top w:val="single" w:color="auto" w:sz="6" w:space="0"/>
              <w:left w:val="single" w:color="auto" w:sz="6" w:space="0"/>
              <w:bottom w:val="single" w:color="auto" w:sz="6" w:space="0"/>
              <w:right w:val="single" w:color="auto" w:sz="6" w:space="0"/>
            </w:tcBorders>
            <w:vAlign w:val="center"/>
          </w:tcPr>
          <w:p>
            <w:pPr>
              <w:adjustRightInd w:val="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761.30</w:t>
            </w:r>
          </w:p>
        </w:tc>
        <w:tc>
          <w:tcPr>
            <w:tcW w:w="935" w:type="dxa"/>
            <w:tcBorders>
              <w:top w:val="single" w:color="auto" w:sz="6" w:space="0"/>
              <w:left w:val="single" w:color="auto" w:sz="6" w:space="0"/>
              <w:bottom w:val="single" w:color="auto" w:sz="6" w:space="0"/>
              <w:right w:val="single" w:color="auto" w:sz="6" w:space="0"/>
            </w:tcBorders>
            <w:vAlign w:val="center"/>
          </w:tcPr>
          <w:p>
            <w:pPr>
              <w:widowControl/>
              <w:adjustRightInd w:val="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142.96</w:t>
            </w:r>
          </w:p>
        </w:tc>
        <w:tc>
          <w:tcPr>
            <w:tcW w:w="1089" w:type="dxa"/>
            <w:tcBorders>
              <w:top w:val="single" w:color="auto" w:sz="6" w:space="0"/>
              <w:left w:val="single" w:color="auto" w:sz="6" w:space="0"/>
              <w:bottom w:val="single" w:color="auto" w:sz="6" w:space="0"/>
              <w:right w:val="single" w:color="auto" w:sz="6" w:space="0"/>
            </w:tcBorders>
            <w:vAlign w:val="center"/>
          </w:tcPr>
          <w:p>
            <w:pPr>
              <w:adjustRightInd w:val="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72.69</w:t>
            </w:r>
          </w:p>
        </w:tc>
        <w:tc>
          <w:tcPr>
            <w:tcW w:w="1319" w:type="dxa"/>
            <w:tcBorders>
              <w:top w:val="single" w:color="auto" w:sz="6" w:space="0"/>
              <w:left w:val="single" w:color="auto" w:sz="6" w:space="0"/>
              <w:bottom w:val="single" w:color="auto" w:sz="6" w:space="0"/>
              <w:right w:val="single" w:color="auto" w:sz="6" w:space="0"/>
            </w:tcBorders>
          </w:tcPr>
          <w:p>
            <w:pPr>
              <w:jc w:val="center"/>
              <w:rPr>
                <w:color w:val="000000" w:themeColor="text1"/>
                <w14:textFill>
                  <w14:solidFill>
                    <w14:schemeClr w14:val="tx1"/>
                  </w14:solidFill>
                </w14:textFill>
              </w:rPr>
            </w:pPr>
            <w:r>
              <w:rPr>
                <w:color w:val="000000" w:themeColor="text1"/>
                <w:sz w:val="21"/>
                <w:szCs w:val="21"/>
                <w14:textFill>
                  <w14:solidFill>
                    <w14:schemeClr w14:val="tx1"/>
                  </w14:solidFill>
                </w14:textFill>
              </w:rPr>
              <w:t>——</w:t>
            </w:r>
          </w:p>
        </w:tc>
        <w:tc>
          <w:tcPr>
            <w:tcW w:w="954" w:type="dxa"/>
            <w:tcBorders>
              <w:top w:val="single" w:color="auto" w:sz="6" w:space="0"/>
              <w:left w:val="single" w:color="auto" w:sz="6" w:space="0"/>
              <w:bottom w:val="single" w:color="auto" w:sz="6" w:space="0"/>
              <w:right w:val="single" w:color="auto" w:sz="6" w:space="0"/>
            </w:tcBorders>
          </w:tcPr>
          <w:p>
            <w:pPr>
              <w:jc w:val="center"/>
              <w:rPr>
                <w:color w:val="000000" w:themeColor="text1"/>
                <w14:textFill>
                  <w14:solidFill>
                    <w14:schemeClr w14:val="tx1"/>
                  </w14:solidFill>
                </w14:textFill>
              </w:rPr>
            </w:pPr>
            <w:r>
              <w:rPr>
                <w:color w:val="000000" w:themeColor="text1"/>
                <w:sz w:val="21"/>
                <w:szCs w:val="21"/>
                <w14:textFill>
                  <w14:solidFill>
                    <w14:schemeClr w14:val="tx1"/>
                  </w14:solidFill>
                </w14:textFill>
              </w:rPr>
              <w:t>——</w:t>
            </w:r>
          </w:p>
        </w:tc>
        <w:tc>
          <w:tcPr>
            <w:tcW w:w="1081" w:type="dxa"/>
            <w:tcBorders>
              <w:top w:val="single" w:color="auto" w:sz="6" w:space="0"/>
              <w:left w:val="single" w:color="auto" w:sz="6" w:space="0"/>
              <w:bottom w:val="single" w:color="auto" w:sz="6" w:space="0"/>
              <w:right w:val="single" w:color="auto" w:sz="6" w:space="0"/>
            </w:tcBorders>
          </w:tcPr>
          <w:p>
            <w:pPr>
              <w:jc w:val="center"/>
              <w:rPr>
                <w:color w:val="000000" w:themeColor="text1"/>
                <w14:textFill>
                  <w14:solidFill>
                    <w14:schemeClr w14:val="tx1"/>
                  </w14:solidFill>
                </w14:textFill>
              </w:rPr>
            </w:pPr>
            <w:r>
              <w:rPr>
                <w:color w:val="000000" w:themeColor="text1"/>
                <w:sz w:val="21"/>
                <w:szCs w:val="21"/>
                <w14:textFill>
                  <w14:solidFill>
                    <w14:schemeClr w14:val="tx1"/>
                  </w14:solidFill>
                </w14:textFill>
              </w:rPr>
              <w:t>——</w:t>
            </w:r>
          </w:p>
        </w:tc>
        <w:tc>
          <w:tcPr>
            <w:tcW w:w="1171" w:type="dxa"/>
            <w:tcBorders>
              <w:top w:val="single" w:color="auto" w:sz="6" w:space="0"/>
              <w:left w:val="single" w:color="auto" w:sz="6" w:space="0"/>
              <w:bottom w:val="single" w:color="auto" w:sz="6" w:space="0"/>
              <w:right w:val="single" w:color="auto" w:sz="6" w:space="0"/>
            </w:tcBorders>
          </w:tcPr>
          <w:p>
            <w:pPr>
              <w:jc w:val="center"/>
              <w:rPr>
                <w:color w:val="000000" w:themeColor="text1"/>
                <w14:textFill>
                  <w14:solidFill>
                    <w14:schemeClr w14:val="tx1"/>
                  </w14:solidFill>
                </w14:textFill>
              </w:rPr>
            </w:pPr>
            <w:r>
              <w:rPr>
                <w:color w:val="000000" w:themeColor="text1"/>
                <w:sz w:val="21"/>
                <w:szCs w:val="21"/>
                <w14:textFill>
                  <w14:solidFill>
                    <w14:schemeClr w14:val="tx1"/>
                  </w14:solidFill>
                </w14:textFill>
              </w:rPr>
              <w:t>——</w:t>
            </w:r>
          </w:p>
        </w:tc>
        <w:tc>
          <w:tcPr>
            <w:tcW w:w="1013" w:type="dxa"/>
            <w:tcBorders>
              <w:top w:val="single" w:color="auto" w:sz="6" w:space="0"/>
              <w:left w:val="single" w:color="auto" w:sz="6" w:space="0"/>
              <w:bottom w:val="single" w:color="auto" w:sz="6" w:space="0"/>
              <w:right w:val="single" w:color="auto" w:sz="6" w:space="0"/>
            </w:tcBorders>
          </w:tcPr>
          <w:p>
            <w:pPr>
              <w:jc w:val="center"/>
              <w:rPr>
                <w:color w:val="000000" w:themeColor="text1"/>
                <w14:textFill>
                  <w14:solidFill>
                    <w14:schemeClr w14:val="tx1"/>
                  </w14:solidFill>
                </w14:textFill>
              </w:rPr>
            </w:pPr>
            <w:r>
              <w:rPr>
                <w:color w:val="000000" w:themeColor="text1"/>
                <w:sz w:val="21"/>
                <w:szCs w:val="21"/>
                <w14:textFill>
                  <w14:solidFill>
                    <w14:schemeClr w14:val="tx1"/>
                  </w14:solidFill>
                </w14:textFill>
              </w:rPr>
              <w:t>——</w:t>
            </w:r>
          </w:p>
        </w:tc>
        <w:tc>
          <w:tcPr>
            <w:tcW w:w="1034" w:type="dxa"/>
            <w:tcBorders>
              <w:top w:val="single" w:color="auto" w:sz="6" w:space="0"/>
              <w:left w:val="single" w:color="auto" w:sz="6" w:space="0"/>
              <w:bottom w:val="single" w:color="auto" w:sz="6" w:space="0"/>
              <w:right w:val="single" w:color="auto" w:sz="12" w:space="0"/>
            </w:tcBorders>
          </w:tcPr>
          <w:p>
            <w:pPr>
              <w:jc w:val="center"/>
              <w:rPr>
                <w:color w:val="000000" w:themeColor="text1"/>
                <w14:textFill>
                  <w14:solidFill>
                    <w14:schemeClr w14:val="tx1"/>
                  </w14:solidFill>
                </w14:textFill>
              </w:rPr>
            </w:pPr>
            <w:r>
              <w:rPr>
                <w:color w:val="000000" w:themeColor="text1"/>
                <w:sz w:val="21"/>
                <w:szCs w:val="21"/>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27" w:hRule="exact"/>
          <w:jc w:val="center"/>
        </w:trPr>
        <w:tc>
          <w:tcPr>
            <w:tcW w:w="491" w:type="dxa"/>
            <w:vMerge w:val="continue"/>
            <w:tcBorders>
              <w:top w:val="single" w:color="auto" w:sz="6" w:space="0"/>
              <w:left w:val="single" w:color="auto" w:sz="12" w:space="0"/>
              <w:bottom w:val="single" w:color="auto" w:sz="6" w:space="0"/>
              <w:right w:val="single" w:color="auto" w:sz="6" w:space="0"/>
            </w:tcBorders>
            <w:vAlign w:val="center"/>
          </w:tcPr>
          <w:p>
            <w:pPr>
              <w:widowControl/>
              <w:adjustRightInd w:val="0"/>
              <w:jc w:val="center"/>
              <w:rPr>
                <w:color w:val="000000" w:themeColor="text1"/>
                <w:kern w:val="0"/>
                <w:sz w:val="21"/>
                <w:szCs w:val="21"/>
                <w14:textFill>
                  <w14:solidFill>
                    <w14:schemeClr w14:val="tx1"/>
                  </w14:solidFill>
                </w14:textFill>
              </w:rPr>
            </w:pPr>
          </w:p>
        </w:tc>
        <w:tc>
          <w:tcPr>
            <w:tcW w:w="578" w:type="dxa"/>
            <w:tcBorders>
              <w:top w:val="single" w:color="auto" w:sz="6" w:space="0"/>
              <w:left w:val="single" w:color="auto" w:sz="6" w:space="0"/>
              <w:bottom w:val="single" w:color="auto" w:sz="6" w:space="0"/>
              <w:right w:val="single" w:color="auto" w:sz="6" w:space="0"/>
            </w:tcBorders>
            <w:vAlign w:val="center"/>
          </w:tcPr>
          <w:p>
            <w:pPr>
              <w:adjustRightInd w:val="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30</w:t>
            </w:r>
          </w:p>
        </w:tc>
        <w:tc>
          <w:tcPr>
            <w:tcW w:w="1267" w:type="dxa"/>
            <w:tcBorders>
              <w:top w:val="single" w:color="auto" w:sz="6" w:space="0"/>
              <w:left w:val="single" w:color="auto" w:sz="6" w:space="0"/>
              <w:bottom w:val="single" w:color="auto" w:sz="6" w:space="0"/>
              <w:right w:val="single" w:color="auto" w:sz="6" w:space="0"/>
            </w:tcBorders>
          </w:tcPr>
          <w:p>
            <w:pPr>
              <w:jc w:val="center"/>
              <w:rPr>
                <w:color w:val="000000" w:themeColor="text1"/>
                <w14:textFill>
                  <w14:solidFill>
                    <w14:schemeClr w14:val="tx1"/>
                  </w14:solidFill>
                </w14:textFill>
              </w:rPr>
            </w:pPr>
            <w:r>
              <w:rPr>
                <w:color w:val="000000" w:themeColor="text1"/>
                <w:sz w:val="21"/>
                <w:szCs w:val="21"/>
                <w14:textFill>
                  <w14:solidFill>
                    <w14:schemeClr w14:val="tx1"/>
                  </w14:solidFill>
                </w14:textFill>
              </w:rPr>
              <w:t>——</w:t>
            </w:r>
          </w:p>
        </w:tc>
        <w:tc>
          <w:tcPr>
            <w:tcW w:w="954" w:type="dxa"/>
            <w:tcBorders>
              <w:top w:val="single" w:color="auto" w:sz="6" w:space="0"/>
              <w:left w:val="single" w:color="auto" w:sz="6" w:space="0"/>
              <w:bottom w:val="single" w:color="auto" w:sz="6" w:space="0"/>
              <w:right w:val="single" w:color="auto" w:sz="6" w:space="0"/>
            </w:tcBorders>
          </w:tcPr>
          <w:p>
            <w:pPr>
              <w:jc w:val="center"/>
              <w:rPr>
                <w:color w:val="000000" w:themeColor="text1"/>
                <w14:textFill>
                  <w14:solidFill>
                    <w14:schemeClr w14:val="tx1"/>
                  </w14:solidFill>
                </w14:textFill>
              </w:rPr>
            </w:pPr>
            <w:r>
              <w:rPr>
                <w:color w:val="000000" w:themeColor="text1"/>
                <w:sz w:val="21"/>
                <w:szCs w:val="21"/>
                <w14:textFill>
                  <w14:solidFill>
                    <w14:schemeClr w14:val="tx1"/>
                  </w14:solidFill>
                </w14:textFill>
              </w:rPr>
              <w:t>——</w:t>
            </w:r>
          </w:p>
        </w:tc>
        <w:tc>
          <w:tcPr>
            <w:tcW w:w="1046" w:type="dxa"/>
            <w:tcBorders>
              <w:top w:val="single" w:color="auto" w:sz="6" w:space="0"/>
              <w:left w:val="single" w:color="auto" w:sz="6" w:space="0"/>
              <w:bottom w:val="single" w:color="auto" w:sz="6" w:space="0"/>
              <w:right w:val="single" w:color="auto" w:sz="6" w:space="0"/>
            </w:tcBorders>
          </w:tcPr>
          <w:p>
            <w:pPr>
              <w:jc w:val="center"/>
              <w:rPr>
                <w:color w:val="000000" w:themeColor="text1"/>
                <w14:textFill>
                  <w14:solidFill>
                    <w14:schemeClr w14:val="tx1"/>
                  </w14:solidFill>
                </w14:textFill>
              </w:rPr>
            </w:pPr>
            <w:r>
              <w:rPr>
                <w:color w:val="000000" w:themeColor="text1"/>
                <w:sz w:val="21"/>
                <w:szCs w:val="21"/>
                <w14:textFill>
                  <w14:solidFill>
                    <w14:schemeClr w14:val="tx1"/>
                  </w14:solidFill>
                </w14:textFill>
              </w:rPr>
              <w:t>——</w:t>
            </w:r>
          </w:p>
        </w:tc>
        <w:tc>
          <w:tcPr>
            <w:tcW w:w="1242" w:type="dxa"/>
            <w:tcBorders>
              <w:top w:val="single" w:color="auto" w:sz="6" w:space="0"/>
              <w:left w:val="single" w:color="auto" w:sz="6" w:space="0"/>
              <w:bottom w:val="single" w:color="auto" w:sz="6" w:space="0"/>
              <w:right w:val="single" w:color="auto" w:sz="6" w:space="0"/>
            </w:tcBorders>
            <w:vAlign w:val="center"/>
          </w:tcPr>
          <w:p>
            <w:pPr>
              <w:adjustRightInd w:val="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738.30</w:t>
            </w:r>
          </w:p>
        </w:tc>
        <w:tc>
          <w:tcPr>
            <w:tcW w:w="935" w:type="dxa"/>
            <w:tcBorders>
              <w:top w:val="single" w:color="auto" w:sz="6" w:space="0"/>
              <w:left w:val="single" w:color="auto" w:sz="6" w:space="0"/>
              <w:bottom w:val="single" w:color="auto" w:sz="6" w:space="0"/>
              <w:right w:val="single" w:color="auto" w:sz="6" w:space="0"/>
            </w:tcBorders>
            <w:vAlign w:val="center"/>
          </w:tcPr>
          <w:p>
            <w:pPr>
              <w:widowControl/>
              <w:adjustRightInd w:val="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154.03</w:t>
            </w:r>
          </w:p>
        </w:tc>
        <w:tc>
          <w:tcPr>
            <w:tcW w:w="1089" w:type="dxa"/>
            <w:tcBorders>
              <w:top w:val="single" w:color="auto" w:sz="6" w:space="0"/>
              <w:left w:val="single" w:color="auto" w:sz="6" w:space="0"/>
              <w:bottom w:val="single" w:color="auto" w:sz="6" w:space="0"/>
              <w:right w:val="single" w:color="auto" w:sz="6" w:space="0"/>
            </w:tcBorders>
            <w:vAlign w:val="center"/>
          </w:tcPr>
          <w:p>
            <w:pPr>
              <w:adjustRightInd w:val="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59.65</w:t>
            </w:r>
          </w:p>
        </w:tc>
        <w:tc>
          <w:tcPr>
            <w:tcW w:w="1319" w:type="dxa"/>
            <w:tcBorders>
              <w:top w:val="single" w:color="auto" w:sz="6" w:space="0"/>
              <w:left w:val="single" w:color="auto" w:sz="6" w:space="0"/>
              <w:bottom w:val="single" w:color="auto" w:sz="6" w:space="0"/>
              <w:right w:val="single" w:color="auto" w:sz="6" w:space="0"/>
            </w:tcBorders>
          </w:tcPr>
          <w:p>
            <w:pPr>
              <w:jc w:val="center"/>
              <w:rPr>
                <w:color w:val="000000" w:themeColor="text1"/>
                <w14:textFill>
                  <w14:solidFill>
                    <w14:schemeClr w14:val="tx1"/>
                  </w14:solidFill>
                </w14:textFill>
              </w:rPr>
            </w:pPr>
            <w:r>
              <w:rPr>
                <w:color w:val="000000" w:themeColor="text1"/>
                <w:sz w:val="21"/>
                <w:szCs w:val="21"/>
                <w14:textFill>
                  <w14:solidFill>
                    <w14:schemeClr w14:val="tx1"/>
                  </w14:solidFill>
                </w14:textFill>
              </w:rPr>
              <w:t>——</w:t>
            </w:r>
          </w:p>
        </w:tc>
        <w:tc>
          <w:tcPr>
            <w:tcW w:w="954" w:type="dxa"/>
            <w:tcBorders>
              <w:top w:val="single" w:color="auto" w:sz="6" w:space="0"/>
              <w:left w:val="single" w:color="auto" w:sz="6" w:space="0"/>
              <w:bottom w:val="single" w:color="auto" w:sz="6" w:space="0"/>
              <w:right w:val="single" w:color="auto" w:sz="6" w:space="0"/>
            </w:tcBorders>
          </w:tcPr>
          <w:p>
            <w:pPr>
              <w:jc w:val="center"/>
              <w:rPr>
                <w:color w:val="000000" w:themeColor="text1"/>
                <w14:textFill>
                  <w14:solidFill>
                    <w14:schemeClr w14:val="tx1"/>
                  </w14:solidFill>
                </w14:textFill>
              </w:rPr>
            </w:pPr>
            <w:r>
              <w:rPr>
                <w:color w:val="000000" w:themeColor="text1"/>
                <w:sz w:val="21"/>
                <w:szCs w:val="21"/>
                <w14:textFill>
                  <w14:solidFill>
                    <w14:schemeClr w14:val="tx1"/>
                  </w14:solidFill>
                </w14:textFill>
              </w:rPr>
              <w:t>——</w:t>
            </w:r>
          </w:p>
        </w:tc>
        <w:tc>
          <w:tcPr>
            <w:tcW w:w="1081" w:type="dxa"/>
            <w:tcBorders>
              <w:top w:val="single" w:color="auto" w:sz="6" w:space="0"/>
              <w:left w:val="single" w:color="auto" w:sz="6" w:space="0"/>
              <w:bottom w:val="single" w:color="auto" w:sz="6" w:space="0"/>
              <w:right w:val="single" w:color="auto" w:sz="6" w:space="0"/>
            </w:tcBorders>
          </w:tcPr>
          <w:p>
            <w:pPr>
              <w:jc w:val="center"/>
              <w:rPr>
                <w:color w:val="000000" w:themeColor="text1"/>
                <w14:textFill>
                  <w14:solidFill>
                    <w14:schemeClr w14:val="tx1"/>
                  </w14:solidFill>
                </w14:textFill>
              </w:rPr>
            </w:pPr>
            <w:r>
              <w:rPr>
                <w:color w:val="000000" w:themeColor="text1"/>
                <w:sz w:val="21"/>
                <w:szCs w:val="21"/>
                <w14:textFill>
                  <w14:solidFill>
                    <w14:schemeClr w14:val="tx1"/>
                  </w14:solidFill>
                </w14:textFill>
              </w:rPr>
              <w:t>——</w:t>
            </w:r>
          </w:p>
        </w:tc>
        <w:tc>
          <w:tcPr>
            <w:tcW w:w="1171" w:type="dxa"/>
            <w:tcBorders>
              <w:top w:val="single" w:color="auto" w:sz="6" w:space="0"/>
              <w:left w:val="single" w:color="auto" w:sz="6" w:space="0"/>
              <w:bottom w:val="single" w:color="auto" w:sz="6" w:space="0"/>
              <w:right w:val="single" w:color="auto" w:sz="6" w:space="0"/>
            </w:tcBorders>
          </w:tcPr>
          <w:p>
            <w:pPr>
              <w:jc w:val="center"/>
              <w:rPr>
                <w:color w:val="000000" w:themeColor="text1"/>
                <w14:textFill>
                  <w14:solidFill>
                    <w14:schemeClr w14:val="tx1"/>
                  </w14:solidFill>
                </w14:textFill>
              </w:rPr>
            </w:pPr>
            <w:r>
              <w:rPr>
                <w:color w:val="000000" w:themeColor="text1"/>
                <w:sz w:val="21"/>
                <w:szCs w:val="21"/>
                <w14:textFill>
                  <w14:solidFill>
                    <w14:schemeClr w14:val="tx1"/>
                  </w14:solidFill>
                </w14:textFill>
              </w:rPr>
              <w:t>——</w:t>
            </w:r>
          </w:p>
        </w:tc>
        <w:tc>
          <w:tcPr>
            <w:tcW w:w="1013" w:type="dxa"/>
            <w:tcBorders>
              <w:top w:val="single" w:color="auto" w:sz="6" w:space="0"/>
              <w:left w:val="single" w:color="auto" w:sz="6" w:space="0"/>
              <w:bottom w:val="single" w:color="auto" w:sz="6" w:space="0"/>
              <w:right w:val="single" w:color="auto" w:sz="6" w:space="0"/>
            </w:tcBorders>
          </w:tcPr>
          <w:p>
            <w:pPr>
              <w:jc w:val="center"/>
              <w:rPr>
                <w:color w:val="000000" w:themeColor="text1"/>
                <w14:textFill>
                  <w14:solidFill>
                    <w14:schemeClr w14:val="tx1"/>
                  </w14:solidFill>
                </w14:textFill>
              </w:rPr>
            </w:pPr>
            <w:r>
              <w:rPr>
                <w:color w:val="000000" w:themeColor="text1"/>
                <w:sz w:val="21"/>
                <w:szCs w:val="21"/>
                <w14:textFill>
                  <w14:solidFill>
                    <w14:schemeClr w14:val="tx1"/>
                  </w14:solidFill>
                </w14:textFill>
              </w:rPr>
              <w:t>——</w:t>
            </w:r>
          </w:p>
        </w:tc>
        <w:tc>
          <w:tcPr>
            <w:tcW w:w="1034" w:type="dxa"/>
            <w:tcBorders>
              <w:top w:val="single" w:color="auto" w:sz="6" w:space="0"/>
              <w:left w:val="single" w:color="auto" w:sz="6" w:space="0"/>
              <w:bottom w:val="single" w:color="auto" w:sz="6" w:space="0"/>
              <w:right w:val="single" w:color="auto" w:sz="12" w:space="0"/>
            </w:tcBorders>
          </w:tcPr>
          <w:p>
            <w:pPr>
              <w:jc w:val="center"/>
              <w:rPr>
                <w:color w:val="000000" w:themeColor="text1"/>
                <w14:textFill>
                  <w14:solidFill>
                    <w14:schemeClr w14:val="tx1"/>
                  </w14:solidFill>
                </w14:textFill>
              </w:rPr>
            </w:pPr>
            <w:r>
              <w:rPr>
                <w:color w:val="000000" w:themeColor="text1"/>
                <w:sz w:val="21"/>
                <w:szCs w:val="21"/>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27" w:hRule="exact"/>
          <w:jc w:val="center"/>
        </w:trPr>
        <w:tc>
          <w:tcPr>
            <w:tcW w:w="491" w:type="dxa"/>
            <w:vMerge w:val="continue"/>
            <w:tcBorders>
              <w:top w:val="single" w:color="auto" w:sz="6" w:space="0"/>
              <w:left w:val="single" w:color="auto" w:sz="12" w:space="0"/>
              <w:bottom w:val="single" w:color="auto" w:sz="6" w:space="0"/>
              <w:right w:val="single" w:color="auto" w:sz="6" w:space="0"/>
            </w:tcBorders>
            <w:vAlign w:val="center"/>
          </w:tcPr>
          <w:p>
            <w:pPr>
              <w:widowControl/>
              <w:adjustRightInd w:val="0"/>
              <w:jc w:val="center"/>
              <w:rPr>
                <w:color w:val="000000" w:themeColor="text1"/>
                <w:kern w:val="0"/>
                <w:sz w:val="21"/>
                <w:szCs w:val="21"/>
                <w14:textFill>
                  <w14:solidFill>
                    <w14:schemeClr w14:val="tx1"/>
                  </w14:solidFill>
                </w14:textFill>
              </w:rPr>
            </w:pPr>
          </w:p>
        </w:tc>
        <w:tc>
          <w:tcPr>
            <w:tcW w:w="578" w:type="dxa"/>
            <w:tcBorders>
              <w:top w:val="single" w:color="auto" w:sz="6" w:space="0"/>
              <w:left w:val="single" w:color="auto" w:sz="6" w:space="0"/>
              <w:bottom w:val="single" w:color="auto" w:sz="6" w:space="0"/>
              <w:right w:val="single" w:color="auto" w:sz="6" w:space="0"/>
            </w:tcBorders>
            <w:vAlign w:val="center"/>
          </w:tcPr>
          <w:p>
            <w:pPr>
              <w:adjustRightInd w:val="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33</w:t>
            </w:r>
          </w:p>
        </w:tc>
        <w:tc>
          <w:tcPr>
            <w:tcW w:w="1267" w:type="dxa"/>
            <w:tcBorders>
              <w:top w:val="single" w:color="auto" w:sz="6" w:space="0"/>
              <w:left w:val="single" w:color="auto" w:sz="6" w:space="0"/>
              <w:bottom w:val="single" w:color="auto" w:sz="6" w:space="0"/>
              <w:right w:val="single" w:color="auto" w:sz="6" w:space="0"/>
            </w:tcBorders>
          </w:tcPr>
          <w:p>
            <w:pPr>
              <w:jc w:val="center"/>
              <w:rPr>
                <w:color w:val="000000" w:themeColor="text1"/>
                <w14:textFill>
                  <w14:solidFill>
                    <w14:schemeClr w14:val="tx1"/>
                  </w14:solidFill>
                </w14:textFill>
              </w:rPr>
            </w:pPr>
            <w:r>
              <w:rPr>
                <w:color w:val="000000" w:themeColor="text1"/>
                <w:sz w:val="21"/>
                <w:szCs w:val="21"/>
                <w14:textFill>
                  <w14:solidFill>
                    <w14:schemeClr w14:val="tx1"/>
                  </w14:solidFill>
                </w14:textFill>
              </w:rPr>
              <w:t>——</w:t>
            </w:r>
          </w:p>
        </w:tc>
        <w:tc>
          <w:tcPr>
            <w:tcW w:w="954" w:type="dxa"/>
            <w:tcBorders>
              <w:top w:val="single" w:color="auto" w:sz="6" w:space="0"/>
              <w:left w:val="single" w:color="auto" w:sz="6" w:space="0"/>
              <w:bottom w:val="single" w:color="auto" w:sz="6" w:space="0"/>
              <w:right w:val="single" w:color="auto" w:sz="6" w:space="0"/>
            </w:tcBorders>
          </w:tcPr>
          <w:p>
            <w:pPr>
              <w:jc w:val="center"/>
              <w:rPr>
                <w:color w:val="000000" w:themeColor="text1"/>
                <w14:textFill>
                  <w14:solidFill>
                    <w14:schemeClr w14:val="tx1"/>
                  </w14:solidFill>
                </w14:textFill>
              </w:rPr>
            </w:pPr>
            <w:r>
              <w:rPr>
                <w:color w:val="000000" w:themeColor="text1"/>
                <w:sz w:val="21"/>
                <w:szCs w:val="21"/>
                <w14:textFill>
                  <w14:solidFill>
                    <w14:schemeClr w14:val="tx1"/>
                  </w14:solidFill>
                </w14:textFill>
              </w:rPr>
              <w:t>——</w:t>
            </w:r>
          </w:p>
        </w:tc>
        <w:tc>
          <w:tcPr>
            <w:tcW w:w="1046" w:type="dxa"/>
            <w:tcBorders>
              <w:top w:val="single" w:color="auto" w:sz="6" w:space="0"/>
              <w:left w:val="single" w:color="auto" w:sz="6" w:space="0"/>
              <w:bottom w:val="single" w:color="auto" w:sz="6" w:space="0"/>
              <w:right w:val="single" w:color="auto" w:sz="6" w:space="0"/>
            </w:tcBorders>
          </w:tcPr>
          <w:p>
            <w:pPr>
              <w:jc w:val="center"/>
              <w:rPr>
                <w:color w:val="000000" w:themeColor="text1"/>
                <w14:textFill>
                  <w14:solidFill>
                    <w14:schemeClr w14:val="tx1"/>
                  </w14:solidFill>
                </w14:textFill>
              </w:rPr>
            </w:pPr>
            <w:r>
              <w:rPr>
                <w:color w:val="000000" w:themeColor="text1"/>
                <w:sz w:val="21"/>
                <w:szCs w:val="21"/>
                <w14:textFill>
                  <w14:solidFill>
                    <w14:schemeClr w14:val="tx1"/>
                  </w14:solidFill>
                </w14:textFill>
              </w:rPr>
              <w:t>——</w:t>
            </w:r>
          </w:p>
        </w:tc>
        <w:tc>
          <w:tcPr>
            <w:tcW w:w="1242" w:type="dxa"/>
            <w:tcBorders>
              <w:top w:val="single" w:color="auto" w:sz="6" w:space="0"/>
              <w:left w:val="single" w:color="auto" w:sz="6" w:space="0"/>
              <w:bottom w:val="single" w:color="auto" w:sz="6" w:space="0"/>
              <w:right w:val="single" w:color="auto" w:sz="6" w:space="0"/>
            </w:tcBorders>
            <w:vAlign w:val="center"/>
          </w:tcPr>
          <w:p>
            <w:pPr>
              <w:adjustRightInd w:val="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716.23</w:t>
            </w:r>
          </w:p>
        </w:tc>
        <w:tc>
          <w:tcPr>
            <w:tcW w:w="935" w:type="dxa"/>
            <w:tcBorders>
              <w:top w:val="single" w:color="auto" w:sz="6" w:space="0"/>
              <w:left w:val="single" w:color="auto" w:sz="6" w:space="0"/>
              <w:bottom w:val="single" w:color="auto" w:sz="6" w:space="0"/>
              <w:right w:val="single" w:color="auto" w:sz="6" w:space="0"/>
            </w:tcBorders>
            <w:vAlign w:val="center"/>
          </w:tcPr>
          <w:p>
            <w:pPr>
              <w:widowControl/>
              <w:adjustRightInd w:val="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158.11</w:t>
            </w:r>
          </w:p>
        </w:tc>
        <w:tc>
          <w:tcPr>
            <w:tcW w:w="1089" w:type="dxa"/>
            <w:tcBorders>
              <w:top w:val="single" w:color="auto" w:sz="6" w:space="0"/>
              <w:left w:val="single" w:color="auto" w:sz="6" w:space="0"/>
              <w:bottom w:val="single" w:color="auto" w:sz="6" w:space="0"/>
              <w:right w:val="single" w:color="auto" w:sz="6" w:space="0"/>
            </w:tcBorders>
            <w:vAlign w:val="center"/>
          </w:tcPr>
          <w:p>
            <w:pPr>
              <w:adjustRightInd w:val="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54.58</w:t>
            </w:r>
          </w:p>
        </w:tc>
        <w:tc>
          <w:tcPr>
            <w:tcW w:w="1319" w:type="dxa"/>
            <w:tcBorders>
              <w:top w:val="single" w:color="auto" w:sz="6" w:space="0"/>
              <w:left w:val="single" w:color="auto" w:sz="6" w:space="0"/>
              <w:bottom w:val="single" w:color="auto" w:sz="6" w:space="0"/>
              <w:right w:val="single" w:color="auto" w:sz="6" w:space="0"/>
            </w:tcBorders>
          </w:tcPr>
          <w:p>
            <w:pPr>
              <w:jc w:val="center"/>
              <w:rPr>
                <w:color w:val="000000" w:themeColor="text1"/>
                <w14:textFill>
                  <w14:solidFill>
                    <w14:schemeClr w14:val="tx1"/>
                  </w14:solidFill>
                </w14:textFill>
              </w:rPr>
            </w:pPr>
            <w:r>
              <w:rPr>
                <w:color w:val="000000" w:themeColor="text1"/>
                <w:sz w:val="21"/>
                <w:szCs w:val="21"/>
                <w14:textFill>
                  <w14:solidFill>
                    <w14:schemeClr w14:val="tx1"/>
                  </w14:solidFill>
                </w14:textFill>
              </w:rPr>
              <w:t>——</w:t>
            </w:r>
          </w:p>
        </w:tc>
        <w:tc>
          <w:tcPr>
            <w:tcW w:w="954" w:type="dxa"/>
            <w:tcBorders>
              <w:top w:val="single" w:color="auto" w:sz="6" w:space="0"/>
              <w:left w:val="single" w:color="auto" w:sz="6" w:space="0"/>
              <w:bottom w:val="single" w:color="auto" w:sz="6" w:space="0"/>
              <w:right w:val="single" w:color="auto" w:sz="6" w:space="0"/>
            </w:tcBorders>
          </w:tcPr>
          <w:p>
            <w:pPr>
              <w:jc w:val="center"/>
              <w:rPr>
                <w:color w:val="000000" w:themeColor="text1"/>
                <w14:textFill>
                  <w14:solidFill>
                    <w14:schemeClr w14:val="tx1"/>
                  </w14:solidFill>
                </w14:textFill>
              </w:rPr>
            </w:pPr>
            <w:r>
              <w:rPr>
                <w:color w:val="000000" w:themeColor="text1"/>
                <w:sz w:val="21"/>
                <w:szCs w:val="21"/>
                <w14:textFill>
                  <w14:solidFill>
                    <w14:schemeClr w14:val="tx1"/>
                  </w14:solidFill>
                </w14:textFill>
              </w:rPr>
              <w:t>——</w:t>
            </w:r>
          </w:p>
        </w:tc>
        <w:tc>
          <w:tcPr>
            <w:tcW w:w="1081" w:type="dxa"/>
            <w:tcBorders>
              <w:top w:val="single" w:color="auto" w:sz="6" w:space="0"/>
              <w:left w:val="single" w:color="auto" w:sz="6" w:space="0"/>
              <w:bottom w:val="single" w:color="auto" w:sz="6" w:space="0"/>
              <w:right w:val="single" w:color="auto" w:sz="6" w:space="0"/>
            </w:tcBorders>
          </w:tcPr>
          <w:p>
            <w:pPr>
              <w:jc w:val="center"/>
              <w:rPr>
                <w:color w:val="000000" w:themeColor="text1"/>
                <w14:textFill>
                  <w14:solidFill>
                    <w14:schemeClr w14:val="tx1"/>
                  </w14:solidFill>
                </w14:textFill>
              </w:rPr>
            </w:pPr>
            <w:r>
              <w:rPr>
                <w:color w:val="000000" w:themeColor="text1"/>
                <w:sz w:val="21"/>
                <w:szCs w:val="21"/>
                <w14:textFill>
                  <w14:solidFill>
                    <w14:schemeClr w14:val="tx1"/>
                  </w14:solidFill>
                </w14:textFill>
              </w:rPr>
              <w:t>——</w:t>
            </w:r>
          </w:p>
        </w:tc>
        <w:tc>
          <w:tcPr>
            <w:tcW w:w="1171" w:type="dxa"/>
            <w:tcBorders>
              <w:top w:val="single" w:color="auto" w:sz="6" w:space="0"/>
              <w:left w:val="single" w:color="auto" w:sz="6" w:space="0"/>
              <w:bottom w:val="single" w:color="auto" w:sz="6" w:space="0"/>
              <w:right w:val="single" w:color="auto" w:sz="6" w:space="0"/>
            </w:tcBorders>
          </w:tcPr>
          <w:p>
            <w:pPr>
              <w:jc w:val="center"/>
              <w:rPr>
                <w:color w:val="000000" w:themeColor="text1"/>
                <w14:textFill>
                  <w14:solidFill>
                    <w14:schemeClr w14:val="tx1"/>
                  </w14:solidFill>
                </w14:textFill>
              </w:rPr>
            </w:pPr>
            <w:r>
              <w:rPr>
                <w:color w:val="000000" w:themeColor="text1"/>
                <w:sz w:val="21"/>
                <w:szCs w:val="21"/>
                <w14:textFill>
                  <w14:solidFill>
                    <w14:schemeClr w14:val="tx1"/>
                  </w14:solidFill>
                </w14:textFill>
              </w:rPr>
              <w:t>——</w:t>
            </w:r>
          </w:p>
        </w:tc>
        <w:tc>
          <w:tcPr>
            <w:tcW w:w="1013" w:type="dxa"/>
            <w:tcBorders>
              <w:top w:val="single" w:color="auto" w:sz="6" w:space="0"/>
              <w:left w:val="single" w:color="auto" w:sz="6" w:space="0"/>
              <w:bottom w:val="single" w:color="auto" w:sz="6" w:space="0"/>
              <w:right w:val="single" w:color="auto" w:sz="6" w:space="0"/>
            </w:tcBorders>
          </w:tcPr>
          <w:p>
            <w:pPr>
              <w:jc w:val="center"/>
              <w:rPr>
                <w:color w:val="000000" w:themeColor="text1"/>
                <w14:textFill>
                  <w14:solidFill>
                    <w14:schemeClr w14:val="tx1"/>
                  </w14:solidFill>
                </w14:textFill>
              </w:rPr>
            </w:pPr>
            <w:r>
              <w:rPr>
                <w:color w:val="000000" w:themeColor="text1"/>
                <w:sz w:val="21"/>
                <w:szCs w:val="21"/>
                <w14:textFill>
                  <w14:solidFill>
                    <w14:schemeClr w14:val="tx1"/>
                  </w14:solidFill>
                </w14:textFill>
              </w:rPr>
              <w:t>——</w:t>
            </w:r>
          </w:p>
        </w:tc>
        <w:tc>
          <w:tcPr>
            <w:tcW w:w="1034" w:type="dxa"/>
            <w:tcBorders>
              <w:top w:val="single" w:color="auto" w:sz="6" w:space="0"/>
              <w:left w:val="single" w:color="auto" w:sz="6" w:space="0"/>
              <w:bottom w:val="single" w:color="auto" w:sz="6" w:space="0"/>
              <w:right w:val="single" w:color="auto" w:sz="12" w:space="0"/>
            </w:tcBorders>
          </w:tcPr>
          <w:p>
            <w:pPr>
              <w:jc w:val="center"/>
              <w:rPr>
                <w:color w:val="000000" w:themeColor="text1"/>
                <w14:textFill>
                  <w14:solidFill>
                    <w14:schemeClr w14:val="tx1"/>
                  </w14:solidFill>
                </w14:textFill>
              </w:rPr>
            </w:pPr>
            <w:r>
              <w:rPr>
                <w:color w:val="000000" w:themeColor="text1"/>
                <w:sz w:val="21"/>
                <w:szCs w:val="21"/>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27" w:hRule="exact"/>
          <w:jc w:val="center"/>
        </w:trPr>
        <w:tc>
          <w:tcPr>
            <w:tcW w:w="491" w:type="dxa"/>
            <w:vMerge w:val="continue"/>
            <w:tcBorders>
              <w:top w:val="single" w:color="auto" w:sz="6" w:space="0"/>
              <w:left w:val="single" w:color="auto" w:sz="12" w:space="0"/>
              <w:bottom w:val="single" w:color="auto" w:sz="6" w:space="0"/>
              <w:right w:val="single" w:color="auto" w:sz="6" w:space="0"/>
            </w:tcBorders>
            <w:vAlign w:val="center"/>
          </w:tcPr>
          <w:p>
            <w:pPr>
              <w:widowControl/>
              <w:adjustRightInd w:val="0"/>
              <w:jc w:val="center"/>
              <w:rPr>
                <w:color w:val="000000" w:themeColor="text1"/>
                <w:kern w:val="0"/>
                <w:sz w:val="21"/>
                <w:szCs w:val="21"/>
                <w14:textFill>
                  <w14:solidFill>
                    <w14:schemeClr w14:val="tx1"/>
                  </w14:solidFill>
                </w14:textFill>
              </w:rPr>
            </w:pPr>
          </w:p>
        </w:tc>
        <w:tc>
          <w:tcPr>
            <w:tcW w:w="578" w:type="dxa"/>
            <w:tcBorders>
              <w:top w:val="single" w:color="auto" w:sz="6" w:space="0"/>
              <w:left w:val="single" w:color="auto" w:sz="6" w:space="0"/>
              <w:bottom w:val="single" w:color="auto" w:sz="6" w:space="0"/>
              <w:right w:val="single" w:color="auto" w:sz="6" w:space="0"/>
            </w:tcBorders>
            <w:vAlign w:val="center"/>
          </w:tcPr>
          <w:p>
            <w:pPr>
              <w:adjustRightInd w:val="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36</w:t>
            </w:r>
          </w:p>
        </w:tc>
        <w:tc>
          <w:tcPr>
            <w:tcW w:w="1267" w:type="dxa"/>
            <w:tcBorders>
              <w:top w:val="single" w:color="auto" w:sz="6" w:space="0"/>
              <w:left w:val="single" w:color="auto" w:sz="6" w:space="0"/>
              <w:bottom w:val="single" w:color="auto" w:sz="6" w:space="0"/>
              <w:right w:val="single" w:color="auto" w:sz="6" w:space="0"/>
            </w:tcBorders>
          </w:tcPr>
          <w:p>
            <w:pPr>
              <w:jc w:val="center"/>
              <w:rPr>
                <w:color w:val="000000" w:themeColor="text1"/>
                <w14:textFill>
                  <w14:solidFill>
                    <w14:schemeClr w14:val="tx1"/>
                  </w14:solidFill>
                </w14:textFill>
              </w:rPr>
            </w:pPr>
            <w:r>
              <w:rPr>
                <w:color w:val="000000" w:themeColor="text1"/>
                <w:sz w:val="21"/>
                <w:szCs w:val="21"/>
                <w14:textFill>
                  <w14:solidFill>
                    <w14:schemeClr w14:val="tx1"/>
                  </w14:solidFill>
                </w14:textFill>
              </w:rPr>
              <w:t>——</w:t>
            </w:r>
          </w:p>
        </w:tc>
        <w:tc>
          <w:tcPr>
            <w:tcW w:w="954" w:type="dxa"/>
            <w:tcBorders>
              <w:top w:val="single" w:color="auto" w:sz="6" w:space="0"/>
              <w:left w:val="single" w:color="auto" w:sz="6" w:space="0"/>
              <w:bottom w:val="single" w:color="auto" w:sz="6" w:space="0"/>
              <w:right w:val="single" w:color="auto" w:sz="6" w:space="0"/>
            </w:tcBorders>
          </w:tcPr>
          <w:p>
            <w:pPr>
              <w:jc w:val="center"/>
              <w:rPr>
                <w:color w:val="000000" w:themeColor="text1"/>
                <w14:textFill>
                  <w14:solidFill>
                    <w14:schemeClr w14:val="tx1"/>
                  </w14:solidFill>
                </w14:textFill>
              </w:rPr>
            </w:pPr>
            <w:r>
              <w:rPr>
                <w:color w:val="000000" w:themeColor="text1"/>
                <w:sz w:val="21"/>
                <w:szCs w:val="21"/>
                <w14:textFill>
                  <w14:solidFill>
                    <w14:schemeClr w14:val="tx1"/>
                  </w14:solidFill>
                </w14:textFill>
              </w:rPr>
              <w:t>——</w:t>
            </w:r>
          </w:p>
        </w:tc>
        <w:tc>
          <w:tcPr>
            <w:tcW w:w="1046" w:type="dxa"/>
            <w:tcBorders>
              <w:top w:val="single" w:color="auto" w:sz="6" w:space="0"/>
              <w:left w:val="single" w:color="auto" w:sz="6" w:space="0"/>
              <w:bottom w:val="single" w:color="auto" w:sz="6" w:space="0"/>
              <w:right w:val="single" w:color="auto" w:sz="6" w:space="0"/>
            </w:tcBorders>
          </w:tcPr>
          <w:p>
            <w:pPr>
              <w:jc w:val="center"/>
              <w:rPr>
                <w:color w:val="000000" w:themeColor="text1"/>
                <w14:textFill>
                  <w14:solidFill>
                    <w14:schemeClr w14:val="tx1"/>
                  </w14:solidFill>
                </w14:textFill>
              </w:rPr>
            </w:pPr>
            <w:r>
              <w:rPr>
                <w:color w:val="000000" w:themeColor="text1"/>
                <w:sz w:val="21"/>
                <w:szCs w:val="21"/>
                <w14:textFill>
                  <w14:solidFill>
                    <w14:schemeClr w14:val="tx1"/>
                  </w14:solidFill>
                </w14:textFill>
              </w:rPr>
              <w:t>——</w:t>
            </w:r>
          </w:p>
        </w:tc>
        <w:tc>
          <w:tcPr>
            <w:tcW w:w="1242" w:type="dxa"/>
            <w:tcBorders>
              <w:top w:val="single" w:color="auto" w:sz="6" w:space="0"/>
              <w:left w:val="single" w:color="auto" w:sz="6" w:space="0"/>
              <w:bottom w:val="single" w:color="auto" w:sz="6" w:space="0"/>
              <w:right w:val="single" w:color="auto" w:sz="6" w:space="0"/>
            </w:tcBorders>
            <w:vAlign w:val="center"/>
          </w:tcPr>
          <w:p>
            <w:pPr>
              <w:adjustRightInd w:val="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696.44</w:t>
            </w:r>
          </w:p>
        </w:tc>
        <w:tc>
          <w:tcPr>
            <w:tcW w:w="935" w:type="dxa"/>
            <w:tcBorders>
              <w:top w:val="single" w:color="auto" w:sz="6" w:space="0"/>
              <w:left w:val="single" w:color="auto" w:sz="6" w:space="0"/>
              <w:bottom w:val="single" w:color="auto" w:sz="6" w:space="0"/>
              <w:right w:val="single" w:color="auto" w:sz="6" w:space="0"/>
            </w:tcBorders>
            <w:vAlign w:val="center"/>
          </w:tcPr>
          <w:p>
            <w:pPr>
              <w:widowControl/>
              <w:adjustRightInd w:val="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215.66</w:t>
            </w:r>
          </w:p>
        </w:tc>
        <w:tc>
          <w:tcPr>
            <w:tcW w:w="1089" w:type="dxa"/>
            <w:tcBorders>
              <w:top w:val="single" w:color="auto" w:sz="6" w:space="0"/>
              <w:left w:val="single" w:color="auto" w:sz="6" w:space="0"/>
              <w:bottom w:val="single" w:color="auto" w:sz="6" w:space="0"/>
              <w:right w:val="single" w:color="auto" w:sz="6" w:space="0"/>
            </w:tcBorders>
            <w:vAlign w:val="center"/>
          </w:tcPr>
          <w:p>
            <w:pPr>
              <w:adjustRightInd w:val="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52.41</w:t>
            </w:r>
          </w:p>
        </w:tc>
        <w:tc>
          <w:tcPr>
            <w:tcW w:w="1319" w:type="dxa"/>
            <w:tcBorders>
              <w:top w:val="single" w:color="auto" w:sz="6" w:space="0"/>
              <w:left w:val="single" w:color="auto" w:sz="6" w:space="0"/>
              <w:bottom w:val="single" w:color="auto" w:sz="6" w:space="0"/>
              <w:right w:val="single" w:color="auto" w:sz="6" w:space="0"/>
            </w:tcBorders>
          </w:tcPr>
          <w:p>
            <w:pPr>
              <w:jc w:val="center"/>
              <w:rPr>
                <w:color w:val="000000" w:themeColor="text1"/>
                <w14:textFill>
                  <w14:solidFill>
                    <w14:schemeClr w14:val="tx1"/>
                  </w14:solidFill>
                </w14:textFill>
              </w:rPr>
            </w:pPr>
            <w:r>
              <w:rPr>
                <w:color w:val="000000" w:themeColor="text1"/>
                <w:sz w:val="21"/>
                <w:szCs w:val="21"/>
                <w14:textFill>
                  <w14:solidFill>
                    <w14:schemeClr w14:val="tx1"/>
                  </w14:solidFill>
                </w14:textFill>
              </w:rPr>
              <w:t>——</w:t>
            </w:r>
          </w:p>
        </w:tc>
        <w:tc>
          <w:tcPr>
            <w:tcW w:w="954" w:type="dxa"/>
            <w:tcBorders>
              <w:top w:val="single" w:color="auto" w:sz="6" w:space="0"/>
              <w:left w:val="single" w:color="auto" w:sz="6" w:space="0"/>
              <w:bottom w:val="single" w:color="auto" w:sz="6" w:space="0"/>
              <w:right w:val="single" w:color="auto" w:sz="6" w:space="0"/>
            </w:tcBorders>
          </w:tcPr>
          <w:p>
            <w:pPr>
              <w:jc w:val="center"/>
              <w:rPr>
                <w:color w:val="000000" w:themeColor="text1"/>
                <w14:textFill>
                  <w14:solidFill>
                    <w14:schemeClr w14:val="tx1"/>
                  </w14:solidFill>
                </w14:textFill>
              </w:rPr>
            </w:pPr>
            <w:r>
              <w:rPr>
                <w:color w:val="000000" w:themeColor="text1"/>
                <w:sz w:val="21"/>
                <w:szCs w:val="21"/>
                <w14:textFill>
                  <w14:solidFill>
                    <w14:schemeClr w14:val="tx1"/>
                  </w14:solidFill>
                </w14:textFill>
              </w:rPr>
              <w:t>——</w:t>
            </w:r>
          </w:p>
        </w:tc>
        <w:tc>
          <w:tcPr>
            <w:tcW w:w="1081" w:type="dxa"/>
            <w:tcBorders>
              <w:top w:val="single" w:color="auto" w:sz="6" w:space="0"/>
              <w:left w:val="single" w:color="auto" w:sz="6" w:space="0"/>
              <w:bottom w:val="single" w:color="auto" w:sz="6" w:space="0"/>
              <w:right w:val="single" w:color="auto" w:sz="6" w:space="0"/>
            </w:tcBorders>
          </w:tcPr>
          <w:p>
            <w:pPr>
              <w:jc w:val="center"/>
              <w:rPr>
                <w:color w:val="000000" w:themeColor="text1"/>
                <w14:textFill>
                  <w14:solidFill>
                    <w14:schemeClr w14:val="tx1"/>
                  </w14:solidFill>
                </w14:textFill>
              </w:rPr>
            </w:pPr>
            <w:r>
              <w:rPr>
                <w:color w:val="000000" w:themeColor="text1"/>
                <w:sz w:val="21"/>
                <w:szCs w:val="21"/>
                <w14:textFill>
                  <w14:solidFill>
                    <w14:schemeClr w14:val="tx1"/>
                  </w14:solidFill>
                </w14:textFill>
              </w:rPr>
              <w:t>——</w:t>
            </w:r>
          </w:p>
        </w:tc>
        <w:tc>
          <w:tcPr>
            <w:tcW w:w="1171" w:type="dxa"/>
            <w:tcBorders>
              <w:top w:val="single" w:color="auto" w:sz="6" w:space="0"/>
              <w:left w:val="single" w:color="auto" w:sz="6" w:space="0"/>
              <w:bottom w:val="single" w:color="auto" w:sz="6" w:space="0"/>
              <w:right w:val="single" w:color="auto" w:sz="6" w:space="0"/>
            </w:tcBorders>
          </w:tcPr>
          <w:p>
            <w:pPr>
              <w:jc w:val="center"/>
              <w:rPr>
                <w:color w:val="000000" w:themeColor="text1"/>
                <w14:textFill>
                  <w14:solidFill>
                    <w14:schemeClr w14:val="tx1"/>
                  </w14:solidFill>
                </w14:textFill>
              </w:rPr>
            </w:pPr>
            <w:r>
              <w:rPr>
                <w:color w:val="000000" w:themeColor="text1"/>
                <w:sz w:val="21"/>
                <w:szCs w:val="21"/>
                <w14:textFill>
                  <w14:solidFill>
                    <w14:schemeClr w14:val="tx1"/>
                  </w14:solidFill>
                </w14:textFill>
              </w:rPr>
              <w:t>——</w:t>
            </w:r>
          </w:p>
        </w:tc>
        <w:tc>
          <w:tcPr>
            <w:tcW w:w="1013" w:type="dxa"/>
            <w:tcBorders>
              <w:top w:val="single" w:color="auto" w:sz="6" w:space="0"/>
              <w:left w:val="single" w:color="auto" w:sz="6" w:space="0"/>
              <w:bottom w:val="single" w:color="auto" w:sz="6" w:space="0"/>
              <w:right w:val="single" w:color="auto" w:sz="6" w:space="0"/>
            </w:tcBorders>
          </w:tcPr>
          <w:p>
            <w:pPr>
              <w:jc w:val="center"/>
              <w:rPr>
                <w:color w:val="000000" w:themeColor="text1"/>
                <w14:textFill>
                  <w14:solidFill>
                    <w14:schemeClr w14:val="tx1"/>
                  </w14:solidFill>
                </w14:textFill>
              </w:rPr>
            </w:pPr>
            <w:r>
              <w:rPr>
                <w:color w:val="000000" w:themeColor="text1"/>
                <w:sz w:val="21"/>
                <w:szCs w:val="21"/>
                <w14:textFill>
                  <w14:solidFill>
                    <w14:schemeClr w14:val="tx1"/>
                  </w14:solidFill>
                </w14:textFill>
              </w:rPr>
              <w:t>——</w:t>
            </w:r>
          </w:p>
        </w:tc>
        <w:tc>
          <w:tcPr>
            <w:tcW w:w="1034" w:type="dxa"/>
            <w:tcBorders>
              <w:top w:val="single" w:color="auto" w:sz="6" w:space="0"/>
              <w:left w:val="single" w:color="auto" w:sz="6" w:space="0"/>
              <w:bottom w:val="single" w:color="auto" w:sz="6" w:space="0"/>
              <w:right w:val="single" w:color="auto" w:sz="12" w:space="0"/>
            </w:tcBorders>
          </w:tcPr>
          <w:p>
            <w:pPr>
              <w:jc w:val="center"/>
              <w:rPr>
                <w:color w:val="000000" w:themeColor="text1"/>
                <w14:textFill>
                  <w14:solidFill>
                    <w14:schemeClr w14:val="tx1"/>
                  </w14:solidFill>
                </w14:textFill>
              </w:rPr>
            </w:pPr>
            <w:r>
              <w:rPr>
                <w:color w:val="000000" w:themeColor="text1"/>
                <w:sz w:val="21"/>
                <w:szCs w:val="21"/>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27" w:hRule="exact"/>
          <w:jc w:val="center"/>
        </w:trPr>
        <w:tc>
          <w:tcPr>
            <w:tcW w:w="491" w:type="dxa"/>
            <w:vMerge w:val="continue"/>
            <w:tcBorders>
              <w:top w:val="single" w:color="auto" w:sz="6" w:space="0"/>
              <w:left w:val="single" w:color="auto" w:sz="12" w:space="0"/>
              <w:bottom w:val="single" w:color="auto" w:sz="6" w:space="0"/>
              <w:right w:val="single" w:color="auto" w:sz="6" w:space="0"/>
            </w:tcBorders>
            <w:vAlign w:val="center"/>
          </w:tcPr>
          <w:p>
            <w:pPr>
              <w:widowControl/>
              <w:adjustRightInd w:val="0"/>
              <w:jc w:val="center"/>
              <w:rPr>
                <w:color w:val="000000" w:themeColor="text1"/>
                <w:kern w:val="0"/>
                <w:sz w:val="21"/>
                <w:szCs w:val="21"/>
                <w14:textFill>
                  <w14:solidFill>
                    <w14:schemeClr w14:val="tx1"/>
                  </w14:solidFill>
                </w14:textFill>
              </w:rPr>
            </w:pPr>
          </w:p>
        </w:tc>
        <w:tc>
          <w:tcPr>
            <w:tcW w:w="578" w:type="dxa"/>
            <w:tcBorders>
              <w:top w:val="single" w:color="auto" w:sz="6" w:space="0"/>
              <w:left w:val="single" w:color="auto" w:sz="6" w:space="0"/>
              <w:bottom w:val="single" w:color="auto" w:sz="6" w:space="0"/>
              <w:right w:val="single" w:color="auto" w:sz="6" w:space="0"/>
            </w:tcBorders>
            <w:vAlign w:val="center"/>
          </w:tcPr>
          <w:p>
            <w:pPr>
              <w:adjustRightInd w:val="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39</w:t>
            </w:r>
          </w:p>
        </w:tc>
        <w:tc>
          <w:tcPr>
            <w:tcW w:w="1267" w:type="dxa"/>
            <w:tcBorders>
              <w:top w:val="single" w:color="auto" w:sz="6" w:space="0"/>
              <w:left w:val="single" w:color="auto" w:sz="6" w:space="0"/>
              <w:bottom w:val="single" w:color="auto" w:sz="6" w:space="0"/>
              <w:right w:val="single" w:color="auto" w:sz="6" w:space="0"/>
            </w:tcBorders>
          </w:tcPr>
          <w:p>
            <w:pPr>
              <w:jc w:val="center"/>
              <w:rPr>
                <w:color w:val="000000" w:themeColor="text1"/>
                <w14:textFill>
                  <w14:solidFill>
                    <w14:schemeClr w14:val="tx1"/>
                  </w14:solidFill>
                </w14:textFill>
              </w:rPr>
            </w:pPr>
            <w:r>
              <w:rPr>
                <w:color w:val="000000" w:themeColor="text1"/>
                <w:sz w:val="21"/>
                <w:szCs w:val="21"/>
                <w14:textFill>
                  <w14:solidFill>
                    <w14:schemeClr w14:val="tx1"/>
                  </w14:solidFill>
                </w14:textFill>
              </w:rPr>
              <w:t>——</w:t>
            </w:r>
          </w:p>
        </w:tc>
        <w:tc>
          <w:tcPr>
            <w:tcW w:w="954" w:type="dxa"/>
            <w:tcBorders>
              <w:top w:val="single" w:color="auto" w:sz="6" w:space="0"/>
              <w:left w:val="single" w:color="auto" w:sz="6" w:space="0"/>
              <w:bottom w:val="single" w:color="auto" w:sz="6" w:space="0"/>
              <w:right w:val="single" w:color="auto" w:sz="6" w:space="0"/>
            </w:tcBorders>
          </w:tcPr>
          <w:p>
            <w:pPr>
              <w:jc w:val="center"/>
              <w:rPr>
                <w:color w:val="000000" w:themeColor="text1"/>
                <w14:textFill>
                  <w14:solidFill>
                    <w14:schemeClr w14:val="tx1"/>
                  </w14:solidFill>
                </w14:textFill>
              </w:rPr>
            </w:pPr>
            <w:r>
              <w:rPr>
                <w:color w:val="000000" w:themeColor="text1"/>
                <w:sz w:val="21"/>
                <w:szCs w:val="21"/>
                <w14:textFill>
                  <w14:solidFill>
                    <w14:schemeClr w14:val="tx1"/>
                  </w14:solidFill>
                </w14:textFill>
              </w:rPr>
              <w:t>——</w:t>
            </w:r>
          </w:p>
        </w:tc>
        <w:tc>
          <w:tcPr>
            <w:tcW w:w="1046" w:type="dxa"/>
            <w:tcBorders>
              <w:top w:val="single" w:color="auto" w:sz="6" w:space="0"/>
              <w:left w:val="single" w:color="auto" w:sz="6" w:space="0"/>
              <w:bottom w:val="single" w:color="auto" w:sz="6" w:space="0"/>
              <w:right w:val="single" w:color="auto" w:sz="6" w:space="0"/>
            </w:tcBorders>
          </w:tcPr>
          <w:p>
            <w:pPr>
              <w:jc w:val="center"/>
              <w:rPr>
                <w:color w:val="000000" w:themeColor="text1"/>
                <w14:textFill>
                  <w14:solidFill>
                    <w14:schemeClr w14:val="tx1"/>
                  </w14:solidFill>
                </w14:textFill>
              </w:rPr>
            </w:pPr>
            <w:r>
              <w:rPr>
                <w:color w:val="000000" w:themeColor="text1"/>
                <w:sz w:val="21"/>
                <w:szCs w:val="21"/>
                <w14:textFill>
                  <w14:solidFill>
                    <w14:schemeClr w14:val="tx1"/>
                  </w14:solidFill>
                </w14:textFill>
              </w:rPr>
              <w:t>——</w:t>
            </w:r>
          </w:p>
        </w:tc>
        <w:tc>
          <w:tcPr>
            <w:tcW w:w="1242" w:type="dxa"/>
            <w:tcBorders>
              <w:top w:val="single" w:color="auto" w:sz="6" w:space="0"/>
              <w:left w:val="single" w:color="auto" w:sz="6" w:space="0"/>
              <w:bottom w:val="single" w:color="auto" w:sz="6" w:space="0"/>
              <w:right w:val="single" w:color="auto" w:sz="6" w:space="0"/>
            </w:tcBorders>
            <w:vAlign w:val="center"/>
          </w:tcPr>
          <w:p>
            <w:pPr>
              <w:adjustRightInd w:val="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679.62</w:t>
            </w:r>
          </w:p>
        </w:tc>
        <w:tc>
          <w:tcPr>
            <w:tcW w:w="935" w:type="dxa"/>
            <w:tcBorders>
              <w:top w:val="single" w:color="auto" w:sz="6" w:space="0"/>
              <w:left w:val="single" w:color="auto" w:sz="6" w:space="0"/>
              <w:bottom w:val="single" w:color="auto" w:sz="6" w:space="0"/>
              <w:right w:val="single" w:color="auto" w:sz="6" w:space="0"/>
            </w:tcBorders>
            <w:vAlign w:val="center"/>
          </w:tcPr>
          <w:p>
            <w:pPr>
              <w:widowControl/>
              <w:adjustRightInd w:val="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262.52</w:t>
            </w:r>
          </w:p>
        </w:tc>
        <w:tc>
          <w:tcPr>
            <w:tcW w:w="1089" w:type="dxa"/>
            <w:tcBorders>
              <w:top w:val="single" w:color="auto" w:sz="6" w:space="0"/>
              <w:left w:val="single" w:color="auto" w:sz="6" w:space="0"/>
              <w:bottom w:val="single" w:color="auto" w:sz="6" w:space="0"/>
              <w:right w:val="single" w:color="auto" w:sz="6" w:space="0"/>
            </w:tcBorders>
            <w:vAlign w:val="center"/>
          </w:tcPr>
          <w:p>
            <w:pPr>
              <w:adjustRightInd w:val="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51.63</w:t>
            </w:r>
          </w:p>
        </w:tc>
        <w:tc>
          <w:tcPr>
            <w:tcW w:w="1319" w:type="dxa"/>
            <w:tcBorders>
              <w:top w:val="single" w:color="auto" w:sz="6" w:space="0"/>
              <w:left w:val="single" w:color="auto" w:sz="6" w:space="0"/>
              <w:bottom w:val="single" w:color="auto" w:sz="6" w:space="0"/>
              <w:right w:val="single" w:color="auto" w:sz="6" w:space="0"/>
            </w:tcBorders>
          </w:tcPr>
          <w:p>
            <w:pPr>
              <w:jc w:val="center"/>
              <w:rPr>
                <w:color w:val="000000" w:themeColor="text1"/>
                <w14:textFill>
                  <w14:solidFill>
                    <w14:schemeClr w14:val="tx1"/>
                  </w14:solidFill>
                </w14:textFill>
              </w:rPr>
            </w:pPr>
            <w:r>
              <w:rPr>
                <w:color w:val="000000" w:themeColor="text1"/>
                <w:sz w:val="21"/>
                <w:szCs w:val="21"/>
                <w14:textFill>
                  <w14:solidFill>
                    <w14:schemeClr w14:val="tx1"/>
                  </w14:solidFill>
                </w14:textFill>
              </w:rPr>
              <w:t>——</w:t>
            </w:r>
          </w:p>
        </w:tc>
        <w:tc>
          <w:tcPr>
            <w:tcW w:w="954" w:type="dxa"/>
            <w:tcBorders>
              <w:top w:val="single" w:color="auto" w:sz="6" w:space="0"/>
              <w:left w:val="single" w:color="auto" w:sz="6" w:space="0"/>
              <w:bottom w:val="single" w:color="auto" w:sz="6" w:space="0"/>
              <w:right w:val="single" w:color="auto" w:sz="6" w:space="0"/>
            </w:tcBorders>
          </w:tcPr>
          <w:p>
            <w:pPr>
              <w:jc w:val="center"/>
              <w:rPr>
                <w:color w:val="000000" w:themeColor="text1"/>
                <w14:textFill>
                  <w14:solidFill>
                    <w14:schemeClr w14:val="tx1"/>
                  </w14:solidFill>
                </w14:textFill>
              </w:rPr>
            </w:pPr>
            <w:r>
              <w:rPr>
                <w:color w:val="000000" w:themeColor="text1"/>
                <w:sz w:val="21"/>
                <w:szCs w:val="21"/>
                <w14:textFill>
                  <w14:solidFill>
                    <w14:schemeClr w14:val="tx1"/>
                  </w14:solidFill>
                </w14:textFill>
              </w:rPr>
              <w:t>——</w:t>
            </w:r>
          </w:p>
        </w:tc>
        <w:tc>
          <w:tcPr>
            <w:tcW w:w="1081" w:type="dxa"/>
            <w:tcBorders>
              <w:top w:val="single" w:color="auto" w:sz="6" w:space="0"/>
              <w:left w:val="single" w:color="auto" w:sz="6" w:space="0"/>
              <w:bottom w:val="single" w:color="auto" w:sz="6" w:space="0"/>
              <w:right w:val="single" w:color="auto" w:sz="6" w:space="0"/>
            </w:tcBorders>
          </w:tcPr>
          <w:p>
            <w:pPr>
              <w:jc w:val="center"/>
              <w:rPr>
                <w:color w:val="000000" w:themeColor="text1"/>
                <w14:textFill>
                  <w14:solidFill>
                    <w14:schemeClr w14:val="tx1"/>
                  </w14:solidFill>
                </w14:textFill>
              </w:rPr>
            </w:pPr>
            <w:r>
              <w:rPr>
                <w:color w:val="000000" w:themeColor="text1"/>
                <w:sz w:val="21"/>
                <w:szCs w:val="21"/>
                <w14:textFill>
                  <w14:solidFill>
                    <w14:schemeClr w14:val="tx1"/>
                  </w14:solidFill>
                </w14:textFill>
              </w:rPr>
              <w:t>——</w:t>
            </w:r>
          </w:p>
        </w:tc>
        <w:tc>
          <w:tcPr>
            <w:tcW w:w="1171" w:type="dxa"/>
            <w:tcBorders>
              <w:top w:val="single" w:color="auto" w:sz="6" w:space="0"/>
              <w:left w:val="single" w:color="auto" w:sz="6" w:space="0"/>
              <w:bottom w:val="single" w:color="auto" w:sz="6" w:space="0"/>
              <w:right w:val="single" w:color="auto" w:sz="6" w:space="0"/>
            </w:tcBorders>
          </w:tcPr>
          <w:p>
            <w:pPr>
              <w:jc w:val="center"/>
              <w:rPr>
                <w:color w:val="000000" w:themeColor="text1"/>
                <w14:textFill>
                  <w14:solidFill>
                    <w14:schemeClr w14:val="tx1"/>
                  </w14:solidFill>
                </w14:textFill>
              </w:rPr>
            </w:pPr>
            <w:r>
              <w:rPr>
                <w:color w:val="000000" w:themeColor="text1"/>
                <w:sz w:val="21"/>
                <w:szCs w:val="21"/>
                <w14:textFill>
                  <w14:solidFill>
                    <w14:schemeClr w14:val="tx1"/>
                  </w14:solidFill>
                </w14:textFill>
              </w:rPr>
              <w:t>——</w:t>
            </w:r>
          </w:p>
        </w:tc>
        <w:tc>
          <w:tcPr>
            <w:tcW w:w="1013" w:type="dxa"/>
            <w:tcBorders>
              <w:top w:val="single" w:color="auto" w:sz="6" w:space="0"/>
              <w:left w:val="single" w:color="auto" w:sz="6" w:space="0"/>
              <w:bottom w:val="single" w:color="auto" w:sz="6" w:space="0"/>
              <w:right w:val="single" w:color="auto" w:sz="6" w:space="0"/>
            </w:tcBorders>
          </w:tcPr>
          <w:p>
            <w:pPr>
              <w:jc w:val="center"/>
              <w:rPr>
                <w:color w:val="000000" w:themeColor="text1"/>
                <w14:textFill>
                  <w14:solidFill>
                    <w14:schemeClr w14:val="tx1"/>
                  </w14:solidFill>
                </w14:textFill>
              </w:rPr>
            </w:pPr>
            <w:r>
              <w:rPr>
                <w:color w:val="000000" w:themeColor="text1"/>
                <w:sz w:val="21"/>
                <w:szCs w:val="21"/>
                <w14:textFill>
                  <w14:solidFill>
                    <w14:schemeClr w14:val="tx1"/>
                  </w14:solidFill>
                </w14:textFill>
              </w:rPr>
              <w:t>——</w:t>
            </w:r>
          </w:p>
        </w:tc>
        <w:tc>
          <w:tcPr>
            <w:tcW w:w="1034" w:type="dxa"/>
            <w:tcBorders>
              <w:top w:val="single" w:color="auto" w:sz="6" w:space="0"/>
              <w:left w:val="single" w:color="auto" w:sz="6" w:space="0"/>
              <w:bottom w:val="single" w:color="auto" w:sz="6" w:space="0"/>
              <w:right w:val="single" w:color="auto" w:sz="12" w:space="0"/>
            </w:tcBorders>
          </w:tcPr>
          <w:p>
            <w:pPr>
              <w:jc w:val="center"/>
              <w:rPr>
                <w:color w:val="000000" w:themeColor="text1"/>
                <w14:textFill>
                  <w14:solidFill>
                    <w14:schemeClr w14:val="tx1"/>
                  </w14:solidFill>
                </w14:textFill>
              </w:rPr>
            </w:pPr>
            <w:r>
              <w:rPr>
                <w:color w:val="000000" w:themeColor="text1"/>
                <w:sz w:val="21"/>
                <w:szCs w:val="21"/>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27" w:hRule="exact"/>
          <w:jc w:val="center"/>
        </w:trPr>
        <w:tc>
          <w:tcPr>
            <w:tcW w:w="491" w:type="dxa"/>
            <w:vMerge w:val="continue"/>
            <w:tcBorders>
              <w:top w:val="single" w:color="auto" w:sz="6" w:space="0"/>
              <w:left w:val="single" w:color="auto" w:sz="12" w:space="0"/>
              <w:bottom w:val="single" w:color="auto" w:sz="6" w:space="0"/>
              <w:right w:val="single" w:color="auto" w:sz="6" w:space="0"/>
            </w:tcBorders>
            <w:vAlign w:val="center"/>
          </w:tcPr>
          <w:p>
            <w:pPr>
              <w:widowControl/>
              <w:adjustRightInd w:val="0"/>
              <w:jc w:val="center"/>
              <w:rPr>
                <w:color w:val="000000" w:themeColor="text1"/>
                <w:kern w:val="0"/>
                <w:sz w:val="21"/>
                <w:szCs w:val="21"/>
                <w14:textFill>
                  <w14:solidFill>
                    <w14:schemeClr w14:val="tx1"/>
                  </w14:solidFill>
                </w14:textFill>
              </w:rPr>
            </w:pPr>
          </w:p>
        </w:tc>
        <w:tc>
          <w:tcPr>
            <w:tcW w:w="578" w:type="dxa"/>
            <w:tcBorders>
              <w:top w:val="single" w:color="auto" w:sz="6" w:space="0"/>
              <w:left w:val="single" w:color="auto" w:sz="6" w:space="0"/>
              <w:bottom w:val="single" w:color="auto" w:sz="6" w:space="0"/>
              <w:right w:val="single" w:color="auto" w:sz="6" w:space="0"/>
            </w:tcBorders>
            <w:vAlign w:val="center"/>
          </w:tcPr>
          <w:p>
            <w:pPr>
              <w:adjustRightInd w:val="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42</w:t>
            </w:r>
          </w:p>
        </w:tc>
        <w:tc>
          <w:tcPr>
            <w:tcW w:w="1267" w:type="dxa"/>
            <w:tcBorders>
              <w:top w:val="single" w:color="auto" w:sz="6" w:space="0"/>
              <w:left w:val="single" w:color="auto" w:sz="6" w:space="0"/>
              <w:bottom w:val="single" w:color="auto" w:sz="6" w:space="0"/>
              <w:right w:val="single" w:color="auto" w:sz="6" w:space="0"/>
            </w:tcBorders>
          </w:tcPr>
          <w:p>
            <w:pPr>
              <w:jc w:val="center"/>
              <w:rPr>
                <w:color w:val="000000" w:themeColor="text1"/>
                <w14:textFill>
                  <w14:solidFill>
                    <w14:schemeClr w14:val="tx1"/>
                  </w14:solidFill>
                </w14:textFill>
              </w:rPr>
            </w:pPr>
            <w:r>
              <w:rPr>
                <w:color w:val="000000" w:themeColor="text1"/>
                <w:sz w:val="21"/>
                <w:szCs w:val="21"/>
                <w14:textFill>
                  <w14:solidFill>
                    <w14:schemeClr w14:val="tx1"/>
                  </w14:solidFill>
                </w14:textFill>
              </w:rPr>
              <w:t>——</w:t>
            </w:r>
          </w:p>
        </w:tc>
        <w:tc>
          <w:tcPr>
            <w:tcW w:w="954" w:type="dxa"/>
            <w:tcBorders>
              <w:top w:val="single" w:color="auto" w:sz="6" w:space="0"/>
              <w:left w:val="single" w:color="auto" w:sz="6" w:space="0"/>
              <w:bottom w:val="single" w:color="auto" w:sz="6" w:space="0"/>
              <w:right w:val="single" w:color="auto" w:sz="6" w:space="0"/>
            </w:tcBorders>
          </w:tcPr>
          <w:p>
            <w:pPr>
              <w:jc w:val="center"/>
              <w:rPr>
                <w:color w:val="000000" w:themeColor="text1"/>
                <w14:textFill>
                  <w14:solidFill>
                    <w14:schemeClr w14:val="tx1"/>
                  </w14:solidFill>
                </w14:textFill>
              </w:rPr>
            </w:pPr>
            <w:r>
              <w:rPr>
                <w:color w:val="000000" w:themeColor="text1"/>
                <w:sz w:val="21"/>
                <w:szCs w:val="21"/>
                <w14:textFill>
                  <w14:solidFill>
                    <w14:schemeClr w14:val="tx1"/>
                  </w14:solidFill>
                </w14:textFill>
              </w:rPr>
              <w:t>——</w:t>
            </w:r>
          </w:p>
        </w:tc>
        <w:tc>
          <w:tcPr>
            <w:tcW w:w="1046" w:type="dxa"/>
            <w:tcBorders>
              <w:top w:val="single" w:color="auto" w:sz="6" w:space="0"/>
              <w:left w:val="single" w:color="auto" w:sz="6" w:space="0"/>
              <w:bottom w:val="single" w:color="auto" w:sz="6" w:space="0"/>
              <w:right w:val="single" w:color="auto" w:sz="6" w:space="0"/>
            </w:tcBorders>
          </w:tcPr>
          <w:p>
            <w:pPr>
              <w:jc w:val="center"/>
              <w:rPr>
                <w:color w:val="000000" w:themeColor="text1"/>
                <w14:textFill>
                  <w14:solidFill>
                    <w14:schemeClr w14:val="tx1"/>
                  </w14:solidFill>
                </w14:textFill>
              </w:rPr>
            </w:pPr>
            <w:r>
              <w:rPr>
                <w:color w:val="000000" w:themeColor="text1"/>
                <w:sz w:val="21"/>
                <w:szCs w:val="21"/>
                <w14:textFill>
                  <w14:solidFill>
                    <w14:schemeClr w14:val="tx1"/>
                  </w14:solidFill>
                </w14:textFill>
              </w:rPr>
              <w:t>——</w:t>
            </w:r>
          </w:p>
        </w:tc>
        <w:tc>
          <w:tcPr>
            <w:tcW w:w="1242" w:type="dxa"/>
            <w:tcBorders>
              <w:top w:val="single" w:color="auto" w:sz="6" w:space="0"/>
              <w:left w:val="single" w:color="auto" w:sz="6" w:space="0"/>
              <w:bottom w:val="single" w:color="auto" w:sz="6" w:space="0"/>
              <w:right w:val="single" w:color="auto" w:sz="6" w:space="0"/>
            </w:tcBorders>
            <w:vAlign w:val="center"/>
          </w:tcPr>
          <w:p>
            <w:pPr>
              <w:adjustRightInd w:val="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664.15</w:t>
            </w:r>
          </w:p>
        </w:tc>
        <w:tc>
          <w:tcPr>
            <w:tcW w:w="935" w:type="dxa"/>
            <w:tcBorders>
              <w:top w:val="single" w:color="auto" w:sz="6" w:space="0"/>
              <w:left w:val="single" w:color="auto" w:sz="6" w:space="0"/>
              <w:bottom w:val="single" w:color="auto" w:sz="6" w:space="0"/>
              <w:right w:val="single" w:color="auto" w:sz="6" w:space="0"/>
            </w:tcBorders>
            <w:vAlign w:val="center"/>
          </w:tcPr>
          <w:p>
            <w:pPr>
              <w:widowControl/>
              <w:adjustRightInd w:val="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273.11</w:t>
            </w:r>
          </w:p>
        </w:tc>
        <w:tc>
          <w:tcPr>
            <w:tcW w:w="1089" w:type="dxa"/>
            <w:tcBorders>
              <w:top w:val="single" w:color="auto" w:sz="6" w:space="0"/>
              <w:left w:val="single" w:color="auto" w:sz="6" w:space="0"/>
              <w:bottom w:val="single" w:color="auto" w:sz="6" w:space="0"/>
              <w:right w:val="single" w:color="auto" w:sz="6" w:space="0"/>
            </w:tcBorders>
            <w:vAlign w:val="center"/>
          </w:tcPr>
          <w:p>
            <w:pPr>
              <w:adjustRightInd w:val="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48.18</w:t>
            </w:r>
          </w:p>
        </w:tc>
        <w:tc>
          <w:tcPr>
            <w:tcW w:w="1319" w:type="dxa"/>
            <w:tcBorders>
              <w:top w:val="single" w:color="auto" w:sz="6" w:space="0"/>
              <w:left w:val="single" w:color="auto" w:sz="6" w:space="0"/>
              <w:bottom w:val="single" w:color="auto" w:sz="6" w:space="0"/>
              <w:right w:val="single" w:color="auto" w:sz="6" w:space="0"/>
            </w:tcBorders>
          </w:tcPr>
          <w:p>
            <w:pPr>
              <w:jc w:val="center"/>
              <w:rPr>
                <w:color w:val="000000" w:themeColor="text1"/>
                <w14:textFill>
                  <w14:solidFill>
                    <w14:schemeClr w14:val="tx1"/>
                  </w14:solidFill>
                </w14:textFill>
              </w:rPr>
            </w:pPr>
            <w:r>
              <w:rPr>
                <w:color w:val="000000" w:themeColor="text1"/>
                <w:sz w:val="21"/>
                <w:szCs w:val="21"/>
                <w14:textFill>
                  <w14:solidFill>
                    <w14:schemeClr w14:val="tx1"/>
                  </w14:solidFill>
                </w14:textFill>
              </w:rPr>
              <w:t>——</w:t>
            </w:r>
          </w:p>
        </w:tc>
        <w:tc>
          <w:tcPr>
            <w:tcW w:w="954" w:type="dxa"/>
            <w:tcBorders>
              <w:top w:val="single" w:color="auto" w:sz="6" w:space="0"/>
              <w:left w:val="single" w:color="auto" w:sz="6" w:space="0"/>
              <w:bottom w:val="single" w:color="auto" w:sz="6" w:space="0"/>
              <w:right w:val="single" w:color="auto" w:sz="6" w:space="0"/>
            </w:tcBorders>
          </w:tcPr>
          <w:p>
            <w:pPr>
              <w:jc w:val="center"/>
              <w:rPr>
                <w:color w:val="000000" w:themeColor="text1"/>
                <w14:textFill>
                  <w14:solidFill>
                    <w14:schemeClr w14:val="tx1"/>
                  </w14:solidFill>
                </w14:textFill>
              </w:rPr>
            </w:pPr>
            <w:r>
              <w:rPr>
                <w:color w:val="000000" w:themeColor="text1"/>
                <w:sz w:val="21"/>
                <w:szCs w:val="21"/>
                <w14:textFill>
                  <w14:solidFill>
                    <w14:schemeClr w14:val="tx1"/>
                  </w14:solidFill>
                </w14:textFill>
              </w:rPr>
              <w:t>——</w:t>
            </w:r>
          </w:p>
        </w:tc>
        <w:tc>
          <w:tcPr>
            <w:tcW w:w="1081" w:type="dxa"/>
            <w:tcBorders>
              <w:top w:val="single" w:color="auto" w:sz="6" w:space="0"/>
              <w:left w:val="single" w:color="auto" w:sz="6" w:space="0"/>
              <w:bottom w:val="single" w:color="auto" w:sz="6" w:space="0"/>
              <w:right w:val="single" w:color="auto" w:sz="6" w:space="0"/>
            </w:tcBorders>
          </w:tcPr>
          <w:p>
            <w:pPr>
              <w:jc w:val="center"/>
              <w:rPr>
                <w:color w:val="000000" w:themeColor="text1"/>
                <w14:textFill>
                  <w14:solidFill>
                    <w14:schemeClr w14:val="tx1"/>
                  </w14:solidFill>
                </w14:textFill>
              </w:rPr>
            </w:pPr>
            <w:r>
              <w:rPr>
                <w:color w:val="000000" w:themeColor="text1"/>
                <w:sz w:val="21"/>
                <w:szCs w:val="21"/>
                <w14:textFill>
                  <w14:solidFill>
                    <w14:schemeClr w14:val="tx1"/>
                  </w14:solidFill>
                </w14:textFill>
              </w:rPr>
              <w:t>——</w:t>
            </w:r>
          </w:p>
        </w:tc>
        <w:tc>
          <w:tcPr>
            <w:tcW w:w="1171" w:type="dxa"/>
            <w:tcBorders>
              <w:top w:val="single" w:color="auto" w:sz="6" w:space="0"/>
              <w:left w:val="single" w:color="auto" w:sz="6" w:space="0"/>
              <w:bottom w:val="single" w:color="auto" w:sz="6" w:space="0"/>
              <w:right w:val="single" w:color="auto" w:sz="6" w:space="0"/>
            </w:tcBorders>
          </w:tcPr>
          <w:p>
            <w:pPr>
              <w:jc w:val="center"/>
              <w:rPr>
                <w:color w:val="000000" w:themeColor="text1"/>
                <w14:textFill>
                  <w14:solidFill>
                    <w14:schemeClr w14:val="tx1"/>
                  </w14:solidFill>
                </w14:textFill>
              </w:rPr>
            </w:pPr>
            <w:r>
              <w:rPr>
                <w:color w:val="000000" w:themeColor="text1"/>
                <w:sz w:val="21"/>
                <w:szCs w:val="21"/>
                <w14:textFill>
                  <w14:solidFill>
                    <w14:schemeClr w14:val="tx1"/>
                  </w14:solidFill>
                </w14:textFill>
              </w:rPr>
              <w:t>——</w:t>
            </w:r>
          </w:p>
        </w:tc>
        <w:tc>
          <w:tcPr>
            <w:tcW w:w="1013" w:type="dxa"/>
            <w:tcBorders>
              <w:top w:val="single" w:color="auto" w:sz="6" w:space="0"/>
              <w:left w:val="single" w:color="auto" w:sz="6" w:space="0"/>
              <w:bottom w:val="single" w:color="auto" w:sz="6" w:space="0"/>
              <w:right w:val="single" w:color="auto" w:sz="6" w:space="0"/>
            </w:tcBorders>
          </w:tcPr>
          <w:p>
            <w:pPr>
              <w:jc w:val="center"/>
              <w:rPr>
                <w:color w:val="000000" w:themeColor="text1"/>
                <w14:textFill>
                  <w14:solidFill>
                    <w14:schemeClr w14:val="tx1"/>
                  </w14:solidFill>
                </w14:textFill>
              </w:rPr>
            </w:pPr>
            <w:r>
              <w:rPr>
                <w:color w:val="000000" w:themeColor="text1"/>
                <w:sz w:val="21"/>
                <w:szCs w:val="21"/>
                <w14:textFill>
                  <w14:solidFill>
                    <w14:schemeClr w14:val="tx1"/>
                  </w14:solidFill>
                </w14:textFill>
              </w:rPr>
              <w:t>——</w:t>
            </w:r>
          </w:p>
        </w:tc>
        <w:tc>
          <w:tcPr>
            <w:tcW w:w="1034" w:type="dxa"/>
            <w:tcBorders>
              <w:top w:val="single" w:color="auto" w:sz="6" w:space="0"/>
              <w:left w:val="single" w:color="auto" w:sz="6" w:space="0"/>
              <w:bottom w:val="single" w:color="auto" w:sz="6" w:space="0"/>
              <w:right w:val="single" w:color="auto" w:sz="12" w:space="0"/>
            </w:tcBorders>
          </w:tcPr>
          <w:p>
            <w:pPr>
              <w:jc w:val="center"/>
              <w:rPr>
                <w:color w:val="000000" w:themeColor="text1"/>
                <w14:textFill>
                  <w14:solidFill>
                    <w14:schemeClr w14:val="tx1"/>
                  </w14:solidFill>
                </w14:textFill>
              </w:rPr>
            </w:pPr>
            <w:r>
              <w:rPr>
                <w:color w:val="000000" w:themeColor="text1"/>
                <w:sz w:val="21"/>
                <w:szCs w:val="21"/>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27" w:hRule="exact"/>
          <w:jc w:val="center"/>
        </w:trPr>
        <w:tc>
          <w:tcPr>
            <w:tcW w:w="491" w:type="dxa"/>
            <w:vMerge w:val="continue"/>
            <w:tcBorders>
              <w:top w:val="single" w:color="auto" w:sz="6" w:space="0"/>
              <w:left w:val="single" w:color="auto" w:sz="12" w:space="0"/>
              <w:bottom w:val="single" w:color="auto" w:sz="6" w:space="0"/>
              <w:right w:val="single" w:color="auto" w:sz="6" w:space="0"/>
            </w:tcBorders>
            <w:vAlign w:val="center"/>
          </w:tcPr>
          <w:p>
            <w:pPr>
              <w:widowControl/>
              <w:adjustRightInd w:val="0"/>
              <w:jc w:val="center"/>
              <w:rPr>
                <w:color w:val="000000" w:themeColor="text1"/>
                <w:kern w:val="0"/>
                <w:sz w:val="21"/>
                <w:szCs w:val="21"/>
                <w14:textFill>
                  <w14:solidFill>
                    <w14:schemeClr w14:val="tx1"/>
                  </w14:solidFill>
                </w14:textFill>
              </w:rPr>
            </w:pPr>
          </w:p>
        </w:tc>
        <w:tc>
          <w:tcPr>
            <w:tcW w:w="578" w:type="dxa"/>
            <w:tcBorders>
              <w:top w:val="single" w:color="auto" w:sz="6" w:space="0"/>
              <w:left w:val="single" w:color="auto" w:sz="6" w:space="0"/>
              <w:bottom w:val="single" w:color="auto" w:sz="6" w:space="0"/>
              <w:right w:val="single" w:color="auto" w:sz="6" w:space="0"/>
            </w:tcBorders>
            <w:vAlign w:val="center"/>
          </w:tcPr>
          <w:p>
            <w:pPr>
              <w:adjustRightInd w:val="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45</w:t>
            </w:r>
          </w:p>
        </w:tc>
        <w:tc>
          <w:tcPr>
            <w:tcW w:w="1267" w:type="dxa"/>
            <w:tcBorders>
              <w:top w:val="single" w:color="auto" w:sz="6" w:space="0"/>
              <w:left w:val="single" w:color="auto" w:sz="6" w:space="0"/>
              <w:bottom w:val="single" w:color="auto" w:sz="6" w:space="0"/>
              <w:right w:val="single" w:color="auto" w:sz="6" w:space="0"/>
            </w:tcBorders>
          </w:tcPr>
          <w:p>
            <w:pPr>
              <w:jc w:val="center"/>
              <w:rPr>
                <w:color w:val="000000" w:themeColor="text1"/>
                <w14:textFill>
                  <w14:solidFill>
                    <w14:schemeClr w14:val="tx1"/>
                  </w14:solidFill>
                </w14:textFill>
              </w:rPr>
            </w:pPr>
            <w:r>
              <w:rPr>
                <w:color w:val="000000" w:themeColor="text1"/>
                <w:sz w:val="21"/>
                <w:szCs w:val="21"/>
                <w14:textFill>
                  <w14:solidFill>
                    <w14:schemeClr w14:val="tx1"/>
                  </w14:solidFill>
                </w14:textFill>
              </w:rPr>
              <w:t>——</w:t>
            </w:r>
          </w:p>
        </w:tc>
        <w:tc>
          <w:tcPr>
            <w:tcW w:w="954" w:type="dxa"/>
            <w:tcBorders>
              <w:top w:val="single" w:color="auto" w:sz="6" w:space="0"/>
              <w:left w:val="single" w:color="auto" w:sz="6" w:space="0"/>
              <w:bottom w:val="single" w:color="auto" w:sz="6" w:space="0"/>
              <w:right w:val="single" w:color="auto" w:sz="6" w:space="0"/>
            </w:tcBorders>
          </w:tcPr>
          <w:p>
            <w:pPr>
              <w:jc w:val="center"/>
              <w:rPr>
                <w:color w:val="000000" w:themeColor="text1"/>
                <w14:textFill>
                  <w14:solidFill>
                    <w14:schemeClr w14:val="tx1"/>
                  </w14:solidFill>
                </w14:textFill>
              </w:rPr>
            </w:pPr>
            <w:r>
              <w:rPr>
                <w:color w:val="000000" w:themeColor="text1"/>
                <w:sz w:val="21"/>
                <w:szCs w:val="21"/>
                <w14:textFill>
                  <w14:solidFill>
                    <w14:schemeClr w14:val="tx1"/>
                  </w14:solidFill>
                </w14:textFill>
              </w:rPr>
              <w:t>——</w:t>
            </w:r>
          </w:p>
        </w:tc>
        <w:tc>
          <w:tcPr>
            <w:tcW w:w="1046" w:type="dxa"/>
            <w:tcBorders>
              <w:top w:val="single" w:color="auto" w:sz="6" w:space="0"/>
              <w:left w:val="single" w:color="auto" w:sz="6" w:space="0"/>
              <w:bottom w:val="single" w:color="auto" w:sz="6" w:space="0"/>
              <w:right w:val="single" w:color="auto" w:sz="6" w:space="0"/>
            </w:tcBorders>
          </w:tcPr>
          <w:p>
            <w:pPr>
              <w:jc w:val="center"/>
              <w:rPr>
                <w:color w:val="000000" w:themeColor="text1"/>
                <w14:textFill>
                  <w14:solidFill>
                    <w14:schemeClr w14:val="tx1"/>
                  </w14:solidFill>
                </w14:textFill>
              </w:rPr>
            </w:pPr>
            <w:r>
              <w:rPr>
                <w:color w:val="000000" w:themeColor="text1"/>
                <w:sz w:val="21"/>
                <w:szCs w:val="21"/>
                <w14:textFill>
                  <w14:solidFill>
                    <w14:schemeClr w14:val="tx1"/>
                  </w14:solidFill>
                </w14:textFill>
              </w:rPr>
              <w:t>——</w:t>
            </w:r>
          </w:p>
        </w:tc>
        <w:tc>
          <w:tcPr>
            <w:tcW w:w="1242" w:type="dxa"/>
            <w:tcBorders>
              <w:top w:val="single" w:color="auto" w:sz="6" w:space="0"/>
              <w:left w:val="single" w:color="auto" w:sz="6" w:space="0"/>
              <w:bottom w:val="single" w:color="auto" w:sz="6" w:space="0"/>
              <w:right w:val="single" w:color="auto" w:sz="6" w:space="0"/>
            </w:tcBorders>
            <w:vAlign w:val="center"/>
          </w:tcPr>
          <w:p>
            <w:pPr>
              <w:adjustRightInd w:val="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649.24</w:t>
            </w:r>
          </w:p>
        </w:tc>
        <w:tc>
          <w:tcPr>
            <w:tcW w:w="935" w:type="dxa"/>
            <w:tcBorders>
              <w:top w:val="single" w:color="auto" w:sz="6" w:space="0"/>
              <w:left w:val="single" w:color="auto" w:sz="6" w:space="0"/>
              <w:bottom w:val="single" w:color="auto" w:sz="6" w:space="0"/>
              <w:right w:val="single" w:color="auto" w:sz="6" w:space="0"/>
            </w:tcBorders>
            <w:vAlign w:val="center"/>
          </w:tcPr>
          <w:p>
            <w:pPr>
              <w:widowControl/>
              <w:adjustRightInd w:val="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276.59</w:t>
            </w:r>
          </w:p>
        </w:tc>
        <w:tc>
          <w:tcPr>
            <w:tcW w:w="1089" w:type="dxa"/>
            <w:tcBorders>
              <w:top w:val="single" w:color="auto" w:sz="6" w:space="0"/>
              <w:left w:val="single" w:color="auto" w:sz="6" w:space="0"/>
              <w:bottom w:val="single" w:color="auto" w:sz="6" w:space="0"/>
              <w:right w:val="single" w:color="auto" w:sz="6" w:space="0"/>
            </w:tcBorders>
            <w:vAlign w:val="center"/>
          </w:tcPr>
          <w:p>
            <w:pPr>
              <w:adjustRightInd w:val="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42.39</w:t>
            </w:r>
          </w:p>
        </w:tc>
        <w:tc>
          <w:tcPr>
            <w:tcW w:w="1319" w:type="dxa"/>
            <w:tcBorders>
              <w:top w:val="single" w:color="auto" w:sz="6" w:space="0"/>
              <w:left w:val="single" w:color="auto" w:sz="6" w:space="0"/>
              <w:bottom w:val="single" w:color="auto" w:sz="6" w:space="0"/>
              <w:right w:val="single" w:color="auto" w:sz="6" w:space="0"/>
            </w:tcBorders>
          </w:tcPr>
          <w:p>
            <w:pPr>
              <w:jc w:val="center"/>
              <w:rPr>
                <w:color w:val="000000" w:themeColor="text1"/>
                <w14:textFill>
                  <w14:solidFill>
                    <w14:schemeClr w14:val="tx1"/>
                  </w14:solidFill>
                </w14:textFill>
              </w:rPr>
            </w:pPr>
            <w:r>
              <w:rPr>
                <w:color w:val="000000" w:themeColor="text1"/>
                <w:sz w:val="21"/>
                <w:szCs w:val="21"/>
                <w14:textFill>
                  <w14:solidFill>
                    <w14:schemeClr w14:val="tx1"/>
                  </w14:solidFill>
                </w14:textFill>
              </w:rPr>
              <w:t>——</w:t>
            </w:r>
          </w:p>
        </w:tc>
        <w:tc>
          <w:tcPr>
            <w:tcW w:w="954" w:type="dxa"/>
            <w:tcBorders>
              <w:top w:val="single" w:color="auto" w:sz="6" w:space="0"/>
              <w:left w:val="single" w:color="auto" w:sz="6" w:space="0"/>
              <w:bottom w:val="single" w:color="auto" w:sz="6" w:space="0"/>
              <w:right w:val="single" w:color="auto" w:sz="6" w:space="0"/>
            </w:tcBorders>
          </w:tcPr>
          <w:p>
            <w:pPr>
              <w:jc w:val="center"/>
              <w:rPr>
                <w:color w:val="000000" w:themeColor="text1"/>
                <w14:textFill>
                  <w14:solidFill>
                    <w14:schemeClr w14:val="tx1"/>
                  </w14:solidFill>
                </w14:textFill>
              </w:rPr>
            </w:pPr>
            <w:r>
              <w:rPr>
                <w:color w:val="000000" w:themeColor="text1"/>
                <w:sz w:val="21"/>
                <w:szCs w:val="21"/>
                <w14:textFill>
                  <w14:solidFill>
                    <w14:schemeClr w14:val="tx1"/>
                  </w14:solidFill>
                </w14:textFill>
              </w:rPr>
              <w:t>——</w:t>
            </w:r>
          </w:p>
        </w:tc>
        <w:tc>
          <w:tcPr>
            <w:tcW w:w="1081" w:type="dxa"/>
            <w:tcBorders>
              <w:top w:val="single" w:color="auto" w:sz="6" w:space="0"/>
              <w:left w:val="single" w:color="auto" w:sz="6" w:space="0"/>
              <w:bottom w:val="single" w:color="auto" w:sz="6" w:space="0"/>
              <w:right w:val="single" w:color="auto" w:sz="6" w:space="0"/>
            </w:tcBorders>
          </w:tcPr>
          <w:p>
            <w:pPr>
              <w:jc w:val="center"/>
              <w:rPr>
                <w:color w:val="000000" w:themeColor="text1"/>
                <w14:textFill>
                  <w14:solidFill>
                    <w14:schemeClr w14:val="tx1"/>
                  </w14:solidFill>
                </w14:textFill>
              </w:rPr>
            </w:pPr>
            <w:r>
              <w:rPr>
                <w:color w:val="000000" w:themeColor="text1"/>
                <w:sz w:val="21"/>
                <w:szCs w:val="21"/>
                <w14:textFill>
                  <w14:solidFill>
                    <w14:schemeClr w14:val="tx1"/>
                  </w14:solidFill>
                </w14:textFill>
              </w:rPr>
              <w:t>——</w:t>
            </w:r>
          </w:p>
        </w:tc>
        <w:tc>
          <w:tcPr>
            <w:tcW w:w="1171" w:type="dxa"/>
            <w:tcBorders>
              <w:top w:val="single" w:color="auto" w:sz="6" w:space="0"/>
              <w:left w:val="single" w:color="auto" w:sz="6" w:space="0"/>
              <w:bottom w:val="single" w:color="auto" w:sz="6" w:space="0"/>
              <w:right w:val="single" w:color="auto" w:sz="6" w:space="0"/>
            </w:tcBorders>
          </w:tcPr>
          <w:p>
            <w:pPr>
              <w:jc w:val="center"/>
              <w:rPr>
                <w:color w:val="000000" w:themeColor="text1"/>
                <w14:textFill>
                  <w14:solidFill>
                    <w14:schemeClr w14:val="tx1"/>
                  </w14:solidFill>
                </w14:textFill>
              </w:rPr>
            </w:pPr>
            <w:r>
              <w:rPr>
                <w:color w:val="000000" w:themeColor="text1"/>
                <w:sz w:val="21"/>
                <w:szCs w:val="21"/>
                <w14:textFill>
                  <w14:solidFill>
                    <w14:schemeClr w14:val="tx1"/>
                  </w14:solidFill>
                </w14:textFill>
              </w:rPr>
              <w:t>——</w:t>
            </w:r>
          </w:p>
        </w:tc>
        <w:tc>
          <w:tcPr>
            <w:tcW w:w="1013" w:type="dxa"/>
            <w:tcBorders>
              <w:top w:val="single" w:color="auto" w:sz="6" w:space="0"/>
              <w:left w:val="single" w:color="auto" w:sz="6" w:space="0"/>
              <w:bottom w:val="single" w:color="auto" w:sz="6" w:space="0"/>
              <w:right w:val="single" w:color="auto" w:sz="6" w:space="0"/>
            </w:tcBorders>
          </w:tcPr>
          <w:p>
            <w:pPr>
              <w:jc w:val="center"/>
              <w:rPr>
                <w:color w:val="000000" w:themeColor="text1"/>
                <w14:textFill>
                  <w14:solidFill>
                    <w14:schemeClr w14:val="tx1"/>
                  </w14:solidFill>
                </w14:textFill>
              </w:rPr>
            </w:pPr>
            <w:r>
              <w:rPr>
                <w:color w:val="000000" w:themeColor="text1"/>
                <w:sz w:val="21"/>
                <w:szCs w:val="21"/>
                <w14:textFill>
                  <w14:solidFill>
                    <w14:schemeClr w14:val="tx1"/>
                  </w14:solidFill>
                </w14:textFill>
              </w:rPr>
              <w:t>——</w:t>
            </w:r>
          </w:p>
        </w:tc>
        <w:tc>
          <w:tcPr>
            <w:tcW w:w="1034" w:type="dxa"/>
            <w:tcBorders>
              <w:top w:val="single" w:color="auto" w:sz="6" w:space="0"/>
              <w:left w:val="single" w:color="auto" w:sz="6" w:space="0"/>
              <w:bottom w:val="single" w:color="auto" w:sz="6" w:space="0"/>
              <w:right w:val="single" w:color="auto" w:sz="12" w:space="0"/>
            </w:tcBorders>
          </w:tcPr>
          <w:p>
            <w:pPr>
              <w:jc w:val="center"/>
              <w:rPr>
                <w:color w:val="000000" w:themeColor="text1"/>
                <w14:textFill>
                  <w14:solidFill>
                    <w14:schemeClr w14:val="tx1"/>
                  </w14:solidFill>
                </w14:textFill>
              </w:rPr>
            </w:pPr>
            <w:r>
              <w:rPr>
                <w:color w:val="000000" w:themeColor="text1"/>
                <w:sz w:val="21"/>
                <w:szCs w:val="21"/>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27" w:hRule="exact"/>
          <w:jc w:val="center"/>
        </w:trPr>
        <w:tc>
          <w:tcPr>
            <w:tcW w:w="491" w:type="dxa"/>
            <w:vMerge w:val="continue"/>
            <w:tcBorders>
              <w:top w:val="single" w:color="auto" w:sz="6" w:space="0"/>
              <w:left w:val="single" w:color="auto" w:sz="12" w:space="0"/>
              <w:bottom w:val="single" w:color="auto" w:sz="6" w:space="0"/>
              <w:right w:val="single" w:color="auto" w:sz="6" w:space="0"/>
            </w:tcBorders>
            <w:vAlign w:val="center"/>
          </w:tcPr>
          <w:p>
            <w:pPr>
              <w:widowControl/>
              <w:adjustRightInd w:val="0"/>
              <w:jc w:val="center"/>
              <w:rPr>
                <w:color w:val="000000" w:themeColor="text1"/>
                <w:kern w:val="0"/>
                <w:sz w:val="21"/>
                <w:szCs w:val="21"/>
                <w14:textFill>
                  <w14:solidFill>
                    <w14:schemeClr w14:val="tx1"/>
                  </w14:solidFill>
                </w14:textFill>
              </w:rPr>
            </w:pPr>
          </w:p>
        </w:tc>
        <w:tc>
          <w:tcPr>
            <w:tcW w:w="578" w:type="dxa"/>
            <w:tcBorders>
              <w:top w:val="single" w:color="auto" w:sz="6" w:space="0"/>
              <w:left w:val="single" w:color="auto" w:sz="6" w:space="0"/>
              <w:bottom w:val="single" w:color="auto" w:sz="6" w:space="0"/>
              <w:right w:val="single" w:color="auto" w:sz="6" w:space="0"/>
            </w:tcBorders>
            <w:vAlign w:val="center"/>
          </w:tcPr>
          <w:p>
            <w:pPr>
              <w:adjustRightInd w:val="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48</w:t>
            </w:r>
          </w:p>
        </w:tc>
        <w:tc>
          <w:tcPr>
            <w:tcW w:w="1267" w:type="dxa"/>
            <w:tcBorders>
              <w:top w:val="single" w:color="auto" w:sz="6" w:space="0"/>
              <w:left w:val="single" w:color="auto" w:sz="6" w:space="0"/>
              <w:bottom w:val="single" w:color="auto" w:sz="6" w:space="0"/>
              <w:right w:val="single" w:color="auto" w:sz="6" w:space="0"/>
            </w:tcBorders>
          </w:tcPr>
          <w:p>
            <w:pPr>
              <w:jc w:val="center"/>
              <w:rPr>
                <w:color w:val="000000" w:themeColor="text1"/>
                <w14:textFill>
                  <w14:solidFill>
                    <w14:schemeClr w14:val="tx1"/>
                  </w14:solidFill>
                </w14:textFill>
              </w:rPr>
            </w:pPr>
            <w:r>
              <w:rPr>
                <w:color w:val="000000" w:themeColor="text1"/>
                <w:sz w:val="21"/>
                <w:szCs w:val="21"/>
                <w14:textFill>
                  <w14:solidFill>
                    <w14:schemeClr w14:val="tx1"/>
                  </w14:solidFill>
                </w14:textFill>
              </w:rPr>
              <w:t>——</w:t>
            </w:r>
          </w:p>
        </w:tc>
        <w:tc>
          <w:tcPr>
            <w:tcW w:w="954" w:type="dxa"/>
            <w:tcBorders>
              <w:top w:val="single" w:color="auto" w:sz="6" w:space="0"/>
              <w:left w:val="single" w:color="auto" w:sz="6" w:space="0"/>
              <w:bottom w:val="single" w:color="auto" w:sz="6" w:space="0"/>
              <w:right w:val="single" w:color="auto" w:sz="6" w:space="0"/>
            </w:tcBorders>
          </w:tcPr>
          <w:p>
            <w:pPr>
              <w:jc w:val="center"/>
              <w:rPr>
                <w:color w:val="000000" w:themeColor="text1"/>
                <w14:textFill>
                  <w14:solidFill>
                    <w14:schemeClr w14:val="tx1"/>
                  </w14:solidFill>
                </w14:textFill>
              </w:rPr>
            </w:pPr>
            <w:r>
              <w:rPr>
                <w:color w:val="000000" w:themeColor="text1"/>
                <w:sz w:val="21"/>
                <w:szCs w:val="21"/>
                <w14:textFill>
                  <w14:solidFill>
                    <w14:schemeClr w14:val="tx1"/>
                  </w14:solidFill>
                </w14:textFill>
              </w:rPr>
              <w:t>——</w:t>
            </w:r>
          </w:p>
        </w:tc>
        <w:tc>
          <w:tcPr>
            <w:tcW w:w="1046" w:type="dxa"/>
            <w:tcBorders>
              <w:top w:val="single" w:color="auto" w:sz="6" w:space="0"/>
              <w:left w:val="single" w:color="auto" w:sz="6" w:space="0"/>
              <w:bottom w:val="single" w:color="auto" w:sz="6" w:space="0"/>
              <w:right w:val="single" w:color="auto" w:sz="6" w:space="0"/>
            </w:tcBorders>
          </w:tcPr>
          <w:p>
            <w:pPr>
              <w:jc w:val="center"/>
              <w:rPr>
                <w:color w:val="000000" w:themeColor="text1"/>
                <w14:textFill>
                  <w14:solidFill>
                    <w14:schemeClr w14:val="tx1"/>
                  </w14:solidFill>
                </w14:textFill>
              </w:rPr>
            </w:pPr>
            <w:r>
              <w:rPr>
                <w:color w:val="000000" w:themeColor="text1"/>
                <w:sz w:val="21"/>
                <w:szCs w:val="21"/>
                <w14:textFill>
                  <w14:solidFill>
                    <w14:schemeClr w14:val="tx1"/>
                  </w14:solidFill>
                </w14:textFill>
              </w:rPr>
              <w:t>——</w:t>
            </w:r>
          </w:p>
        </w:tc>
        <w:tc>
          <w:tcPr>
            <w:tcW w:w="1242" w:type="dxa"/>
            <w:tcBorders>
              <w:top w:val="single" w:color="auto" w:sz="6" w:space="0"/>
              <w:left w:val="single" w:color="auto" w:sz="6" w:space="0"/>
              <w:bottom w:val="single" w:color="auto" w:sz="6" w:space="0"/>
              <w:right w:val="single" w:color="auto" w:sz="6" w:space="0"/>
            </w:tcBorders>
            <w:vAlign w:val="center"/>
          </w:tcPr>
          <w:p>
            <w:pPr>
              <w:adjustRightInd w:val="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635.17</w:t>
            </w:r>
          </w:p>
        </w:tc>
        <w:tc>
          <w:tcPr>
            <w:tcW w:w="935" w:type="dxa"/>
            <w:tcBorders>
              <w:top w:val="single" w:color="auto" w:sz="6" w:space="0"/>
              <w:left w:val="single" w:color="auto" w:sz="6" w:space="0"/>
              <w:bottom w:val="single" w:color="auto" w:sz="6" w:space="0"/>
              <w:right w:val="single" w:color="auto" w:sz="6" w:space="0"/>
            </w:tcBorders>
            <w:vAlign w:val="center"/>
          </w:tcPr>
          <w:p>
            <w:pPr>
              <w:widowControl/>
              <w:adjustRightInd w:val="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284.69</w:t>
            </w:r>
          </w:p>
        </w:tc>
        <w:tc>
          <w:tcPr>
            <w:tcW w:w="1089" w:type="dxa"/>
            <w:tcBorders>
              <w:top w:val="single" w:color="auto" w:sz="6" w:space="0"/>
              <w:left w:val="single" w:color="auto" w:sz="6" w:space="0"/>
              <w:bottom w:val="single" w:color="auto" w:sz="6" w:space="0"/>
              <w:right w:val="single" w:color="auto" w:sz="6" w:space="0"/>
            </w:tcBorders>
            <w:vAlign w:val="center"/>
          </w:tcPr>
          <w:p>
            <w:pPr>
              <w:adjustRightInd w:val="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40.48</w:t>
            </w:r>
          </w:p>
        </w:tc>
        <w:tc>
          <w:tcPr>
            <w:tcW w:w="1319" w:type="dxa"/>
            <w:tcBorders>
              <w:top w:val="single" w:color="auto" w:sz="6" w:space="0"/>
              <w:left w:val="single" w:color="auto" w:sz="6" w:space="0"/>
              <w:bottom w:val="single" w:color="auto" w:sz="6" w:space="0"/>
              <w:right w:val="single" w:color="auto" w:sz="6" w:space="0"/>
            </w:tcBorders>
          </w:tcPr>
          <w:p>
            <w:pPr>
              <w:jc w:val="center"/>
              <w:rPr>
                <w:color w:val="000000" w:themeColor="text1"/>
                <w14:textFill>
                  <w14:solidFill>
                    <w14:schemeClr w14:val="tx1"/>
                  </w14:solidFill>
                </w14:textFill>
              </w:rPr>
            </w:pPr>
            <w:r>
              <w:rPr>
                <w:color w:val="000000" w:themeColor="text1"/>
                <w:sz w:val="21"/>
                <w:szCs w:val="21"/>
                <w14:textFill>
                  <w14:solidFill>
                    <w14:schemeClr w14:val="tx1"/>
                  </w14:solidFill>
                </w14:textFill>
              </w:rPr>
              <w:t>——</w:t>
            </w:r>
          </w:p>
        </w:tc>
        <w:tc>
          <w:tcPr>
            <w:tcW w:w="954" w:type="dxa"/>
            <w:tcBorders>
              <w:top w:val="single" w:color="auto" w:sz="6" w:space="0"/>
              <w:left w:val="single" w:color="auto" w:sz="6" w:space="0"/>
              <w:bottom w:val="single" w:color="auto" w:sz="6" w:space="0"/>
              <w:right w:val="single" w:color="auto" w:sz="6" w:space="0"/>
            </w:tcBorders>
          </w:tcPr>
          <w:p>
            <w:pPr>
              <w:jc w:val="center"/>
              <w:rPr>
                <w:color w:val="000000" w:themeColor="text1"/>
                <w14:textFill>
                  <w14:solidFill>
                    <w14:schemeClr w14:val="tx1"/>
                  </w14:solidFill>
                </w14:textFill>
              </w:rPr>
            </w:pPr>
            <w:r>
              <w:rPr>
                <w:color w:val="000000" w:themeColor="text1"/>
                <w:sz w:val="21"/>
                <w:szCs w:val="21"/>
                <w14:textFill>
                  <w14:solidFill>
                    <w14:schemeClr w14:val="tx1"/>
                  </w14:solidFill>
                </w14:textFill>
              </w:rPr>
              <w:t>——</w:t>
            </w:r>
          </w:p>
        </w:tc>
        <w:tc>
          <w:tcPr>
            <w:tcW w:w="1081" w:type="dxa"/>
            <w:tcBorders>
              <w:top w:val="single" w:color="auto" w:sz="6" w:space="0"/>
              <w:left w:val="single" w:color="auto" w:sz="6" w:space="0"/>
              <w:bottom w:val="single" w:color="auto" w:sz="6" w:space="0"/>
              <w:right w:val="single" w:color="auto" w:sz="6" w:space="0"/>
            </w:tcBorders>
          </w:tcPr>
          <w:p>
            <w:pPr>
              <w:jc w:val="center"/>
              <w:rPr>
                <w:color w:val="000000" w:themeColor="text1"/>
                <w14:textFill>
                  <w14:solidFill>
                    <w14:schemeClr w14:val="tx1"/>
                  </w14:solidFill>
                </w14:textFill>
              </w:rPr>
            </w:pPr>
            <w:r>
              <w:rPr>
                <w:color w:val="000000" w:themeColor="text1"/>
                <w:sz w:val="21"/>
                <w:szCs w:val="21"/>
                <w14:textFill>
                  <w14:solidFill>
                    <w14:schemeClr w14:val="tx1"/>
                  </w14:solidFill>
                </w14:textFill>
              </w:rPr>
              <w:t>——</w:t>
            </w:r>
          </w:p>
        </w:tc>
        <w:tc>
          <w:tcPr>
            <w:tcW w:w="1171" w:type="dxa"/>
            <w:tcBorders>
              <w:top w:val="single" w:color="auto" w:sz="6" w:space="0"/>
              <w:left w:val="single" w:color="auto" w:sz="6" w:space="0"/>
              <w:bottom w:val="single" w:color="auto" w:sz="6" w:space="0"/>
              <w:right w:val="single" w:color="auto" w:sz="6" w:space="0"/>
            </w:tcBorders>
          </w:tcPr>
          <w:p>
            <w:pPr>
              <w:jc w:val="center"/>
              <w:rPr>
                <w:color w:val="000000" w:themeColor="text1"/>
                <w14:textFill>
                  <w14:solidFill>
                    <w14:schemeClr w14:val="tx1"/>
                  </w14:solidFill>
                </w14:textFill>
              </w:rPr>
            </w:pPr>
            <w:r>
              <w:rPr>
                <w:color w:val="000000" w:themeColor="text1"/>
                <w:sz w:val="21"/>
                <w:szCs w:val="21"/>
                <w14:textFill>
                  <w14:solidFill>
                    <w14:schemeClr w14:val="tx1"/>
                  </w14:solidFill>
                </w14:textFill>
              </w:rPr>
              <w:t>——</w:t>
            </w:r>
          </w:p>
        </w:tc>
        <w:tc>
          <w:tcPr>
            <w:tcW w:w="1013" w:type="dxa"/>
            <w:tcBorders>
              <w:top w:val="single" w:color="auto" w:sz="6" w:space="0"/>
              <w:left w:val="single" w:color="auto" w:sz="6" w:space="0"/>
              <w:bottom w:val="single" w:color="auto" w:sz="6" w:space="0"/>
              <w:right w:val="single" w:color="auto" w:sz="6" w:space="0"/>
            </w:tcBorders>
          </w:tcPr>
          <w:p>
            <w:pPr>
              <w:jc w:val="center"/>
              <w:rPr>
                <w:color w:val="000000" w:themeColor="text1"/>
                <w14:textFill>
                  <w14:solidFill>
                    <w14:schemeClr w14:val="tx1"/>
                  </w14:solidFill>
                </w14:textFill>
              </w:rPr>
            </w:pPr>
            <w:r>
              <w:rPr>
                <w:color w:val="000000" w:themeColor="text1"/>
                <w:sz w:val="21"/>
                <w:szCs w:val="21"/>
                <w14:textFill>
                  <w14:solidFill>
                    <w14:schemeClr w14:val="tx1"/>
                  </w14:solidFill>
                </w14:textFill>
              </w:rPr>
              <w:t>——</w:t>
            </w:r>
          </w:p>
        </w:tc>
        <w:tc>
          <w:tcPr>
            <w:tcW w:w="1034" w:type="dxa"/>
            <w:tcBorders>
              <w:top w:val="single" w:color="auto" w:sz="6" w:space="0"/>
              <w:left w:val="single" w:color="auto" w:sz="6" w:space="0"/>
              <w:bottom w:val="single" w:color="auto" w:sz="6" w:space="0"/>
              <w:right w:val="single" w:color="auto" w:sz="12" w:space="0"/>
            </w:tcBorders>
          </w:tcPr>
          <w:p>
            <w:pPr>
              <w:jc w:val="center"/>
              <w:rPr>
                <w:color w:val="000000" w:themeColor="text1"/>
                <w14:textFill>
                  <w14:solidFill>
                    <w14:schemeClr w14:val="tx1"/>
                  </w14:solidFill>
                </w14:textFill>
              </w:rPr>
            </w:pPr>
            <w:r>
              <w:rPr>
                <w:color w:val="000000" w:themeColor="text1"/>
                <w:sz w:val="21"/>
                <w:szCs w:val="21"/>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27" w:hRule="exact"/>
          <w:jc w:val="center"/>
        </w:trPr>
        <w:tc>
          <w:tcPr>
            <w:tcW w:w="491" w:type="dxa"/>
            <w:vMerge w:val="continue"/>
            <w:tcBorders>
              <w:top w:val="single" w:color="auto" w:sz="6" w:space="0"/>
              <w:left w:val="single" w:color="auto" w:sz="12" w:space="0"/>
              <w:bottom w:val="single" w:color="auto" w:sz="6" w:space="0"/>
              <w:right w:val="single" w:color="auto" w:sz="6" w:space="0"/>
            </w:tcBorders>
            <w:vAlign w:val="center"/>
          </w:tcPr>
          <w:p>
            <w:pPr>
              <w:widowControl/>
              <w:adjustRightInd w:val="0"/>
              <w:jc w:val="center"/>
              <w:rPr>
                <w:color w:val="000000" w:themeColor="text1"/>
                <w:kern w:val="0"/>
                <w:sz w:val="21"/>
                <w:szCs w:val="21"/>
                <w14:textFill>
                  <w14:solidFill>
                    <w14:schemeClr w14:val="tx1"/>
                  </w14:solidFill>
                </w14:textFill>
              </w:rPr>
            </w:pPr>
          </w:p>
        </w:tc>
        <w:tc>
          <w:tcPr>
            <w:tcW w:w="578" w:type="dxa"/>
            <w:tcBorders>
              <w:top w:val="single" w:color="auto" w:sz="6" w:space="0"/>
              <w:left w:val="single" w:color="auto" w:sz="6" w:space="0"/>
              <w:bottom w:val="single" w:color="auto" w:sz="6" w:space="0"/>
              <w:right w:val="single" w:color="auto" w:sz="6" w:space="0"/>
            </w:tcBorders>
            <w:vAlign w:val="center"/>
          </w:tcPr>
          <w:p>
            <w:pPr>
              <w:adjustRightInd w:val="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51</w:t>
            </w:r>
          </w:p>
        </w:tc>
        <w:tc>
          <w:tcPr>
            <w:tcW w:w="1267" w:type="dxa"/>
            <w:tcBorders>
              <w:top w:val="single" w:color="auto" w:sz="6" w:space="0"/>
              <w:left w:val="single" w:color="auto" w:sz="6" w:space="0"/>
              <w:bottom w:val="single" w:color="auto" w:sz="6" w:space="0"/>
              <w:right w:val="single" w:color="auto" w:sz="6" w:space="0"/>
            </w:tcBorders>
          </w:tcPr>
          <w:p>
            <w:pPr>
              <w:jc w:val="center"/>
              <w:rPr>
                <w:color w:val="000000" w:themeColor="text1"/>
                <w14:textFill>
                  <w14:solidFill>
                    <w14:schemeClr w14:val="tx1"/>
                  </w14:solidFill>
                </w14:textFill>
              </w:rPr>
            </w:pPr>
            <w:r>
              <w:rPr>
                <w:color w:val="000000" w:themeColor="text1"/>
                <w:sz w:val="21"/>
                <w:szCs w:val="21"/>
                <w14:textFill>
                  <w14:solidFill>
                    <w14:schemeClr w14:val="tx1"/>
                  </w14:solidFill>
                </w14:textFill>
              </w:rPr>
              <w:t>——</w:t>
            </w:r>
          </w:p>
        </w:tc>
        <w:tc>
          <w:tcPr>
            <w:tcW w:w="954" w:type="dxa"/>
            <w:tcBorders>
              <w:top w:val="single" w:color="auto" w:sz="6" w:space="0"/>
              <w:left w:val="single" w:color="auto" w:sz="6" w:space="0"/>
              <w:bottom w:val="single" w:color="auto" w:sz="6" w:space="0"/>
              <w:right w:val="single" w:color="auto" w:sz="6" w:space="0"/>
            </w:tcBorders>
          </w:tcPr>
          <w:p>
            <w:pPr>
              <w:jc w:val="center"/>
              <w:rPr>
                <w:color w:val="000000" w:themeColor="text1"/>
                <w14:textFill>
                  <w14:solidFill>
                    <w14:schemeClr w14:val="tx1"/>
                  </w14:solidFill>
                </w14:textFill>
              </w:rPr>
            </w:pPr>
            <w:r>
              <w:rPr>
                <w:color w:val="000000" w:themeColor="text1"/>
                <w:sz w:val="21"/>
                <w:szCs w:val="21"/>
                <w14:textFill>
                  <w14:solidFill>
                    <w14:schemeClr w14:val="tx1"/>
                  </w14:solidFill>
                </w14:textFill>
              </w:rPr>
              <w:t>——</w:t>
            </w:r>
          </w:p>
        </w:tc>
        <w:tc>
          <w:tcPr>
            <w:tcW w:w="1046" w:type="dxa"/>
            <w:tcBorders>
              <w:top w:val="single" w:color="auto" w:sz="6" w:space="0"/>
              <w:left w:val="single" w:color="auto" w:sz="6" w:space="0"/>
              <w:bottom w:val="single" w:color="auto" w:sz="6" w:space="0"/>
              <w:right w:val="single" w:color="auto" w:sz="6" w:space="0"/>
            </w:tcBorders>
          </w:tcPr>
          <w:p>
            <w:pPr>
              <w:jc w:val="center"/>
              <w:rPr>
                <w:color w:val="000000" w:themeColor="text1"/>
                <w14:textFill>
                  <w14:solidFill>
                    <w14:schemeClr w14:val="tx1"/>
                  </w14:solidFill>
                </w14:textFill>
              </w:rPr>
            </w:pPr>
            <w:r>
              <w:rPr>
                <w:color w:val="000000" w:themeColor="text1"/>
                <w:sz w:val="21"/>
                <w:szCs w:val="21"/>
                <w14:textFill>
                  <w14:solidFill>
                    <w14:schemeClr w14:val="tx1"/>
                  </w14:solidFill>
                </w14:textFill>
              </w:rPr>
              <w:t>——</w:t>
            </w:r>
          </w:p>
        </w:tc>
        <w:tc>
          <w:tcPr>
            <w:tcW w:w="1242" w:type="dxa"/>
            <w:tcBorders>
              <w:top w:val="single" w:color="auto" w:sz="6" w:space="0"/>
              <w:left w:val="single" w:color="auto" w:sz="6" w:space="0"/>
              <w:bottom w:val="single" w:color="auto" w:sz="6" w:space="0"/>
              <w:right w:val="single" w:color="auto" w:sz="6" w:space="0"/>
            </w:tcBorders>
            <w:vAlign w:val="center"/>
          </w:tcPr>
          <w:p>
            <w:pPr>
              <w:adjustRightInd w:val="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622.02</w:t>
            </w:r>
          </w:p>
        </w:tc>
        <w:tc>
          <w:tcPr>
            <w:tcW w:w="935" w:type="dxa"/>
            <w:tcBorders>
              <w:top w:val="single" w:color="auto" w:sz="6" w:space="0"/>
              <w:left w:val="single" w:color="auto" w:sz="6" w:space="0"/>
              <w:bottom w:val="single" w:color="auto" w:sz="6" w:space="0"/>
              <w:right w:val="single" w:color="auto" w:sz="6" w:space="0"/>
            </w:tcBorders>
            <w:vAlign w:val="center"/>
          </w:tcPr>
          <w:p>
            <w:pPr>
              <w:widowControl/>
              <w:adjustRightInd w:val="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291.82</w:t>
            </w:r>
          </w:p>
        </w:tc>
        <w:tc>
          <w:tcPr>
            <w:tcW w:w="1089" w:type="dxa"/>
            <w:tcBorders>
              <w:top w:val="single" w:color="auto" w:sz="6" w:space="0"/>
              <w:left w:val="single" w:color="auto" w:sz="6" w:space="0"/>
              <w:bottom w:val="single" w:color="auto" w:sz="6" w:space="0"/>
              <w:right w:val="single" w:color="auto" w:sz="6" w:space="0"/>
            </w:tcBorders>
            <w:vAlign w:val="center"/>
          </w:tcPr>
          <w:p>
            <w:pPr>
              <w:adjustRightInd w:val="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39.03</w:t>
            </w:r>
          </w:p>
        </w:tc>
        <w:tc>
          <w:tcPr>
            <w:tcW w:w="1319" w:type="dxa"/>
            <w:tcBorders>
              <w:top w:val="single" w:color="auto" w:sz="6" w:space="0"/>
              <w:left w:val="single" w:color="auto" w:sz="6" w:space="0"/>
              <w:bottom w:val="single" w:color="auto" w:sz="6" w:space="0"/>
              <w:right w:val="single" w:color="auto" w:sz="6" w:space="0"/>
            </w:tcBorders>
          </w:tcPr>
          <w:p>
            <w:pPr>
              <w:jc w:val="center"/>
              <w:rPr>
                <w:color w:val="000000" w:themeColor="text1"/>
                <w14:textFill>
                  <w14:solidFill>
                    <w14:schemeClr w14:val="tx1"/>
                  </w14:solidFill>
                </w14:textFill>
              </w:rPr>
            </w:pPr>
            <w:r>
              <w:rPr>
                <w:color w:val="000000" w:themeColor="text1"/>
                <w:sz w:val="21"/>
                <w:szCs w:val="21"/>
                <w14:textFill>
                  <w14:solidFill>
                    <w14:schemeClr w14:val="tx1"/>
                  </w14:solidFill>
                </w14:textFill>
              </w:rPr>
              <w:t>——</w:t>
            </w:r>
          </w:p>
        </w:tc>
        <w:tc>
          <w:tcPr>
            <w:tcW w:w="954" w:type="dxa"/>
            <w:tcBorders>
              <w:top w:val="single" w:color="auto" w:sz="6" w:space="0"/>
              <w:left w:val="single" w:color="auto" w:sz="6" w:space="0"/>
              <w:bottom w:val="single" w:color="auto" w:sz="6" w:space="0"/>
              <w:right w:val="single" w:color="auto" w:sz="6" w:space="0"/>
            </w:tcBorders>
          </w:tcPr>
          <w:p>
            <w:pPr>
              <w:jc w:val="center"/>
              <w:rPr>
                <w:color w:val="000000" w:themeColor="text1"/>
                <w14:textFill>
                  <w14:solidFill>
                    <w14:schemeClr w14:val="tx1"/>
                  </w14:solidFill>
                </w14:textFill>
              </w:rPr>
            </w:pPr>
            <w:r>
              <w:rPr>
                <w:color w:val="000000" w:themeColor="text1"/>
                <w:sz w:val="21"/>
                <w:szCs w:val="21"/>
                <w14:textFill>
                  <w14:solidFill>
                    <w14:schemeClr w14:val="tx1"/>
                  </w14:solidFill>
                </w14:textFill>
              </w:rPr>
              <w:t>——</w:t>
            </w:r>
          </w:p>
        </w:tc>
        <w:tc>
          <w:tcPr>
            <w:tcW w:w="1081" w:type="dxa"/>
            <w:tcBorders>
              <w:top w:val="single" w:color="auto" w:sz="6" w:space="0"/>
              <w:left w:val="single" w:color="auto" w:sz="6" w:space="0"/>
              <w:bottom w:val="single" w:color="auto" w:sz="6" w:space="0"/>
              <w:right w:val="single" w:color="auto" w:sz="6" w:space="0"/>
            </w:tcBorders>
          </w:tcPr>
          <w:p>
            <w:pPr>
              <w:jc w:val="center"/>
              <w:rPr>
                <w:color w:val="000000" w:themeColor="text1"/>
                <w14:textFill>
                  <w14:solidFill>
                    <w14:schemeClr w14:val="tx1"/>
                  </w14:solidFill>
                </w14:textFill>
              </w:rPr>
            </w:pPr>
            <w:r>
              <w:rPr>
                <w:color w:val="000000" w:themeColor="text1"/>
                <w:sz w:val="21"/>
                <w:szCs w:val="21"/>
                <w14:textFill>
                  <w14:solidFill>
                    <w14:schemeClr w14:val="tx1"/>
                  </w14:solidFill>
                </w14:textFill>
              </w:rPr>
              <w:t>——</w:t>
            </w:r>
          </w:p>
        </w:tc>
        <w:tc>
          <w:tcPr>
            <w:tcW w:w="1171" w:type="dxa"/>
            <w:tcBorders>
              <w:top w:val="single" w:color="auto" w:sz="6" w:space="0"/>
              <w:left w:val="single" w:color="auto" w:sz="6" w:space="0"/>
              <w:bottom w:val="single" w:color="auto" w:sz="6" w:space="0"/>
              <w:right w:val="single" w:color="auto" w:sz="6" w:space="0"/>
            </w:tcBorders>
          </w:tcPr>
          <w:p>
            <w:pPr>
              <w:jc w:val="center"/>
              <w:rPr>
                <w:color w:val="000000" w:themeColor="text1"/>
                <w14:textFill>
                  <w14:solidFill>
                    <w14:schemeClr w14:val="tx1"/>
                  </w14:solidFill>
                </w14:textFill>
              </w:rPr>
            </w:pPr>
            <w:r>
              <w:rPr>
                <w:color w:val="000000" w:themeColor="text1"/>
                <w:sz w:val="21"/>
                <w:szCs w:val="21"/>
                <w14:textFill>
                  <w14:solidFill>
                    <w14:schemeClr w14:val="tx1"/>
                  </w14:solidFill>
                </w14:textFill>
              </w:rPr>
              <w:t>——</w:t>
            </w:r>
          </w:p>
        </w:tc>
        <w:tc>
          <w:tcPr>
            <w:tcW w:w="1013" w:type="dxa"/>
            <w:tcBorders>
              <w:top w:val="single" w:color="auto" w:sz="6" w:space="0"/>
              <w:left w:val="single" w:color="auto" w:sz="6" w:space="0"/>
              <w:bottom w:val="single" w:color="auto" w:sz="6" w:space="0"/>
              <w:right w:val="single" w:color="auto" w:sz="6" w:space="0"/>
            </w:tcBorders>
          </w:tcPr>
          <w:p>
            <w:pPr>
              <w:jc w:val="center"/>
              <w:rPr>
                <w:color w:val="000000" w:themeColor="text1"/>
                <w14:textFill>
                  <w14:solidFill>
                    <w14:schemeClr w14:val="tx1"/>
                  </w14:solidFill>
                </w14:textFill>
              </w:rPr>
            </w:pPr>
            <w:r>
              <w:rPr>
                <w:color w:val="000000" w:themeColor="text1"/>
                <w:sz w:val="21"/>
                <w:szCs w:val="21"/>
                <w14:textFill>
                  <w14:solidFill>
                    <w14:schemeClr w14:val="tx1"/>
                  </w14:solidFill>
                </w14:textFill>
              </w:rPr>
              <w:t>——</w:t>
            </w:r>
          </w:p>
        </w:tc>
        <w:tc>
          <w:tcPr>
            <w:tcW w:w="1034" w:type="dxa"/>
            <w:tcBorders>
              <w:top w:val="single" w:color="auto" w:sz="6" w:space="0"/>
              <w:left w:val="single" w:color="auto" w:sz="6" w:space="0"/>
              <w:bottom w:val="single" w:color="auto" w:sz="6" w:space="0"/>
              <w:right w:val="single" w:color="auto" w:sz="12" w:space="0"/>
            </w:tcBorders>
          </w:tcPr>
          <w:p>
            <w:pPr>
              <w:jc w:val="center"/>
              <w:rPr>
                <w:color w:val="000000" w:themeColor="text1"/>
                <w14:textFill>
                  <w14:solidFill>
                    <w14:schemeClr w14:val="tx1"/>
                  </w14:solidFill>
                </w14:textFill>
              </w:rPr>
            </w:pPr>
            <w:r>
              <w:rPr>
                <w:color w:val="000000" w:themeColor="text1"/>
                <w:sz w:val="21"/>
                <w:szCs w:val="21"/>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27" w:hRule="exact"/>
          <w:jc w:val="center"/>
        </w:trPr>
        <w:tc>
          <w:tcPr>
            <w:tcW w:w="491" w:type="dxa"/>
            <w:vMerge w:val="continue"/>
            <w:tcBorders>
              <w:top w:val="single" w:color="auto" w:sz="6" w:space="0"/>
              <w:left w:val="single" w:color="auto" w:sz="12" w:space="0"/>
              <w:bottom w:val="single" w:color="auto" w:sz="6" w:space="0"/>
              <w:right w:val="single" w:color="auto" w:sz="6" w:space="0"/>
            </w:tcBorders>
            <w:vAlign w:val="center"/>
          </w:tcPr>
          <w:p>
            <w:pPr>
              <w:widowControl/>
              <w:adjustRightInd w:val="0"/>
              <w:jc w:val="center"/>
              <w:rPr>
                <w:color w:val="000000" w:themeColor="text1"/>
                <w:kern w:val="0"/>
                <w:sz w:val="21"/>
                <w:szCs w:val="21"/>
                <w14:textFill>
                  <w14:solidFill>
                    <w14:schemeClr w14:val="tx1"/>
                  </w14:solidFill>
                </w14:textFill>
              </w:rPr>
            </w:pPr>
          </w:p>
        </w:tc>
        <w:tc>
          <w:tcPr>
            <w:tcW w:w="578" w:type="dxa"/>
            <w:tcBorders>
              <w:top w:val="single" w:color="auto" w:sz="6" w:space="0"/>
              <w:left w:val="single" w:color="auto" w:sz="6" w:space="0"/>
              <w:bottom w:val="single" w:color="auto" w:sz="6" w:space="0"/>
              <w:right w:val="single" w:color="auto" w:sz="6" w:space="0"/>
            </w:tcBorders>
            <w:vAlign w:val="center"/>
          </w:tcPr>
          <w:p>
            <w:pPr>
              <w:adjustRightInd w:val="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54</w:t>
            </w:r>
          </w:p>
        </w:tc>
        <w:tc>
          <w:tcPr>
            <w:tcW w:w="1267" w:type="dxa"/>
            <w:tcBorders>
              <w:top w:val="single" w:color="auto" w:sz="6" w:space="0"/>
              <w:left w:val="single" w:color="auto" w:sz="6" w:space="0"/>
              <w:bottom w:val="single" w:color="auto" w:sz="6" w:space="0"/>
              <w:right w:val="single" w:color="auto" w:sz="6" w:space="0"/>
            </w:tcBorders>
          </w:tcPr>
          <w:p>
            <w:pPr>
              <w:jc w:val="center"/>
              <w:rPr>
                <w:color w:val="000000" w:themeColor="text1"/>
                <w14:textFill>
                  <w14:solidFill>
                    <w14:schemeClr w14:val="tx1"/>
                  </w14:solidFill>
                </w14:textFill>
              </w:rPr>
            </w:pPr>
            <w:r>
              <w:rPr>
                <w:color w:val="000000" w:themeColor="text1"/>
                <w:sz w:val="21"/>
                <w:szCs w:val="21"/>
                <w14:textFill>
                  <w14:solidFill>
                    <w14:schemeClr w14:val="tx1"/>
                  </w14:solidFill>
                </w14:textFill>
              </w:rPr>
              <w:t>——</w:t>
            </w:r>
          </w:p>
        </w:tc>
        <w:tc>
          <w:tcPr>
            <w:tcW w:w="954" w:type="dxa"/>
            <w:tcBorders>
              <w:top w:val="single" w:color="auto" w:sz="6" w:space="0"/>
              <w:left w:val="single" w:color="auto" w:sz="6" w:space="0"/>
              <w:bottom w:val="single" w:color="auto" w:sz="6" w:space="0"/>
              <w:right w:val="single" w:color="auto" w:sz="6" w:space="0"/>
            </w:tcBorders>
          </w:tcPr>
          <w:p>
            <w:pPr>
              <w:jc w:val="center"/>
              <w:rPr>
                <w:color w:val="000000" w:themeColor="text1"/>
                <w14:textFill>
                  <w14:solidFill>
                    <w14:schemeClr w14:val="tx1"/>
                  </w14:solidFill>
                </w14:textFill>
              </w:rPr>
            </w:pPr>
            <w:r>
              <w:rPr>
                <w:color w:val="000000" w:themeColor="text1"/>
                <w:sz w:val="21"/>
                <w:szCs w:val="21"/>
                <w14:textFill>
                  <w14:solidFill>
                    <w14:schemeClr w14:val="tx1"/>
                  </w14:solidFill>
                </w14:textFill>
              </w:rPr>
              <w:t>——</w:t>
            </w:r>
          </w:p>
        </w:tc>
        <w:tc>
          <w:tcPr>
            <w:tcW w:w="1046" w:type="dxa"/>
            <w:tcBorders>
              <w:top w:val="single" w:color="auto" w:sz="6" w:space="0"/>
              <w:left w:val="single" w:color="auto" w:sz="6" w:space="0"/>
              <w:bottom w:val="single" w:color="auto" w:sz="6" w:space="0"/>
              <w:right w:val="single" w:color="auto" w:sz="6" w:space="0"/>
            </w:tcBorders>
          </w:tcPr>
          <w:p>
            <w:pPr>
              <w:jc w:val="center"/>
              <w:rPr>
                <w:color w:val="000000" w:themeColor="text1"/>
                <w14:textFill>
                  <w14:solidFill>
                    <w14:schemeClr w14:val="tx1"/>
                  </w14:solidFill>
                </w14:textFill>
              </w:rPr>
            </w:pPr>
            <w:r>
              <w:rPr>
                <w:color w:val="000000" w:themeColor="text1"/>
                <w:sz w:val="21"/>
                <w:szCs w:val="21"/>
                <w14:textFill>
                  <w14:solidFill>
                    <w14:schemeClr w14:val="tx1"/>
                  </w14:solidFill>
                </w14:textFill>
              </w:rPr>
              <w:t>——</w:t>
            </w:r>
          </w:p>
        </w:tc>
        <w:tc>
          <w:tcPr>
            <w:tcW w:w="1242" w:type="dxa"/>
            <w:tcBorders>
              <w:top w:val="single" w:color="auto" w:sz="6" w:space="0"/>
              <w:left w:val="single" w:color="auto" w:sz="6" w:space="0"/>
              <w:bottom w:val="single" w:color="auto" w:sz="6" w:space="0"/>
              <w:right w:val="single" w:color="auto" w:sz="6" w:space="0"/>
            </w:tcBorders>
            <w:vAlign w:val="center"/>
          </w:tcPr>
          <w:p>
            <w:pPr>
              <w:adjustRightInd w:val="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609.59</w:t>
            </w:r>
          </w:p>
        </w:tc>
        <w:tc>
          <w:tcPr>
            <w:tcW w:w="935" w:type="dxa"/>
            <w:tcBorders>
              <w:top w:val="single" w:color="auto" w:sz="6" w:space="0"/>
              <w:left w:val="single" w:color="auto" w:sz="6" w:space="0"/>
              <w:bottom w:val="single" w:color="auto" w:sz="6" w:space="0"/>
              <w:right w:val="single" w:color="auto" w:sz="6" w:space="0"/>
            </w:tcBorders>
            <w:vAlign w:val="center"/>
          </w:tcPr>
          <w:p>
            <w:pPr>
              <w:widowControl/>
              <w:adjustRightInd w:val="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300.04</w:t>
            </w:r>
          </w:p>
        </w:tc>
        <w:tc>
          <w:tcPr>
            <w:tcW w:w="1089" w:type="dxa"/>
            <w:tcBorders>
              <w:top w:val="single" w:color="auto" w:sz="6" w:space="0"/>
              <w:left w:val="single" w:color="auto" w:sz="6" w:space="0"/>
              <w:bottom w:val="single" w:color="auto" w:sz="6" w:space="0"/>
              <w:right w:val="single" w:color="auto" w:sz="6" w:space="0"/>
            </w:tcBorders>
            <w:vAlign w:val="center"/>
          </w:tcPr>
          <w:p>
            <w:pPr>
              <w:adjustRightInd w:val="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36.54</w:t>
            </w:r>
          </w:p>
        </w:tc>
        <w:tc>
          <w:tcPr>
            <w:tcW w:w="1319" w:type="dxa"/>
            <w:tcBorders>
              <w:top w:val="single" w:color="auto" w:sz="6" w:space="0"/>
              <w:left w:val="single" w:color="auto" w:sz="6" w:space="0"/>
              <w:bottom w:val="single" w:color="auto" w:sz="6" w:space="0"/>
              <w:right w:val="single" w:color="auto" w:sz="6" w:space="0"/>
            </w:tcBorders>
          </w:tcPr>
          <w:p>
            <w:pPr>
              <w:jc w:val="center"/>
              <w:rPr>
                <w:color w:val="000000" w:themeColor="text1"/>
                <w14:textFill>
                  <w14:solidFill>
                    <w14:schemeClr w14:val="tx1"/>
                  </w14:solidFill>
                </w14:textFill>
              </w:rPr>
            </w:pPr>
            <w:r>
              <w:rPr>
                <w:color w:val="000000" w:themeColor="text1"/>
                <w:sz w:val="21"/>
                <w:szCs w:val="21"/>
                <w14:textFill>
                  <w14:solidFill>
                    <w14:schemeClr w14:val="tx1"/>
                  </w14:solidFill>
                </w14:textFill>
              </w:rPr>
              <w:t>——</w:t>
            </w:r>
          </w:p>
        </w:tc>
        <w:tc>
          <w:tcPr>
            <w:tcW w:w="954" w:type="dxa"/>
            <w:tcBorders>
              <w:top w:val="single" w:color="auto" w:sz="6" w:space="0"/>
              <w:left w:val="single" w:color="auto" w:sz="6" w:space="0"/>
              <w:bottom w:val="single" w:color="auto" w:sz="6" w:space="0"/>
              <w:right w:val="single" w:color="auto" w:sz="6" w:space="0"/>
            </w:tcBorders>
          </w:tcPr>
          <w:p>
            <w:pPr>
              <w:jc w:val="center"/>
              <w:rPr>
                <w:color w:val="000000" w:themeColor="text1"/>
                <w14:textFill>
                  <w14:solidFill>
                    <w14:schemeClr w14:val="tx1"/>
                  </w14:solidFill>
                </w14:textFill>
              </w:rPr>
            </w:pPr>
            <w:r>
              <w:rPr>
                <w:color w:val="000000" w:themeColor="text1"/>
                <w:sz w:val="21"/>
                <w:szCs w:val="21"/>
                <w14:textFill>
                  <w14:solidFill>
                    <w14:schemeClr w14:val="tx1"/>
                  </w14:solidFill>
                </w14:textFill>
              </w:rPr>
              <w:t>——</w:t>
            </w:r>
          </w:p>
        </w:tc>
        <w:tc>
          <w:tcPr>
            <w:tcW w:w="1081" w:type="dxa"/>
            <w:tcBorders>
              <w:top w:val="single" w:color="auto" w:sz="6" w:space="0"/>
              <w:left w:val="single" w:color="auto" w:sz="6" w:space="0"/>
              <w:bottom w:val="single" w:color="auto" w:sz="6" w:space="0"/>
              <w:right w:val="single" w:color="auto" w:sz="6" w:space="0"/>
            </w:tcBorders>
          </w:tcPr>
          <w:p>
            <w:pPr>
              <w:jc w:val="center"/>
              <w:rPr>
                <w:color w:val="000000" w:themeColor="text1"/>
                <w14:textFill>
                  <w14:solidFill>
                    <w14:schemeClr w14:val="tx1"/>
                  </w14:solidFill>
                </w14:textFill>
              </w:rPr>
            </w:pPr>
            <w:r>
              <w:rPr>
                <w:color w:val="000000" w:themeColor="text1"/>
                <w:sz w:val="21"/>
                <w:szCs w:val="21"/>
                <w14:textFill>
                  <w14:solidFill>
                    <w14:schemeClr w14:val="tx1"/>
                  </w14:solidFill>
                </w14:textFill>
              </w:rPr>
              <w:t>——</w:t>
            </w:r>
          </w:p>
        </w:tc>
        <w:tc>
          <w:tcPr>
            <w:tcW w:w="1171" w:type="dxa"/>
            <w:tcBorders>
              <w:top w:val="single" w:color="auto" w:sz="6" w:space="0"/>
              <w:left w:val="single" w:color="auto" w:sz="6" w:space="0"/>
              <w:bottom w:val="single" w:color="auto" w:sz="6" w:space="0"/>
              <w:right w:val="single" w:color="auto" w:sz="6" w:space="0"/>
            </w:tcBorders>
          </w:tcPr>
          <w:p>
            <w:pPr>
              <w:jc w:val="center"/>
              <w:rPr>
                <w:color w:val="000000" w:themeColor="text1"/>
                <w14:textFill>
                  <w14:solidFill>
                    <w14:schemeClr w14:val="tx1"/>
                  </w14:solidFill>
                </w14:textFill>
              </w:rPr>
            </w:pPr>
            <w:r>
              <w:rPr>
                <w:color w:val="000000" w:themeColor="text1"/>
                <w:sz w:val="21"/>
                <w:szCs w:val="21"/>
                <w14:textFill>
                  <w14:solidFill>
                    <w14:schemeClr w14:val="tx1"/>
                  </w14:solidFill>
                </w14:textFill>
              </w:rPr>
              <w:t>——</w:t>
            </w:r>
          </w:p>
        </w:tc>
        <w:tc>
          <w:tcPr>
            <w:tcW w:w="1013" w:type="dxa"/>
            <w:tcBorders>
              <w:top w:val="single" w:color="auto" w:sz="6" w:space="0"/>
              <w:left w:val="single" w:color="auto" w:sz="6" w:space="0"/>
              <w:bottom w:val="single" w:color="auto" w:sz="6" w:space="0"/>
              <w:right w:val="single" w:color="auto" w:sz="6" w:space="0"/>
            </w:tcBorders>
          </w:tcPr>
          <w:p>
            <w:pPr>
              <w:jc w:val="center"/>
              <w:rPr>
                <w:color w:val="000000" w:themeColor="text1"/>
                <w14:textFill>
                  <w14:solidFill>
                    <w14:schemeClr w14:val="tx1"/>
                  </w14:solidFill>
                </w14:textFill>
              </w:rPr>
            </w:pPr>
            <w:r>
              <w:rPr>
                <w:color w:val="000000" w:themeColor="text1"/>
                <w:sz w:val="21"/>
                <w:szCs w:val="21"/>
                <w14:textFill>
                  <w14:solidFill>
                    <w14:schemeClr w14:val="tx1"/>
                  </w14:solidFill>
                </w14:textFill>
              </w:rPr>
              <w:t>——</w:t>
            </w:r>
          </w:p>
        </w:tc>
        <w:tc>
          <w:tcPr>
            <w:tcW w:w="1034" w:type="dxa"/>
            <w:tcBorders>
              <w:top w:val="single" w:color="auto" w:sz="6" w:space="0"/>
              <w:left w:val="single" w:color="auto" w:sz="6" w:space="0"/>
              <w:bottom w:val="single" w:color="auto" w:sz="6" w:space="0"/>
              <w:right w:val="single" w:color="auto" w:sz="12" w:space="0"/>
            </w:tcBorders>
          </w:tcPr>
          <w:p>
            <w:pPr>
              <w:jc w:val="center"/>
              <w:rPr>
                <w:color w:val="000000" w:themeColor="text1"/>
                <w14:textFill>
                  <w14:solidFill>
                    <w14:schemeClr w14:val="tx1"/>
                  </w14:solidFill>
                </w14:textFill>
              </w:rPr>
            </w:pPr>
            <w:r>
              <w:rPr>
                <w:color w:val="000000" w:themeColor="text1"/>
                <w:sz w:val="21"/>
                <w:szCs w:val="21"/>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27" w:hRule="exact"/>
          <w:jc w:val="center"/>
        </w:trPr>
        <w:tc>
          <w:tcPr>
            <w:tcW w:w="491" w:type="dxa"/>
            <w:vMerge w:val="continue"/>
            <w:tcBorders>
              <w:top w:val="single" w:color="auto" w:sz="6" w:space="0"/>
              <w:left w:val="single" w:color="auto" w:sz="12" w:space="0"/>
              <w:bottom w:val="single" w:color="auto" w:sz="6" w:space="0"/>
              <w:right w:val="single" w:color="auto" w:sz="6" w:space="0"/>
            </w:tcBorders>
            <w:vAlign w:val="center"/>
          </w:tcPr>
          <w:p>
            <w:pPr>
              <w:widowControl/>
              <w:adjustRightInd w:val="0"/>
              <w:jc w:val="center"/>
              <w:rPr>
                <w:color w:val="000000" w:themeColor="text1"/>
                <w:kern w:val="0"/>
                <w:sz w:val="21"/>
                <w:szCs w:val="21"/>
                <w14:textFill>
                  <w14:solidFill>
                    <w14:schemeClr w14:val="tx1"/>
                  </w14:solidFill>
                </w14:textFill>
              </w:rPr>
            </w:pPr>
          </w:p>
        </w:tc>
        <w:tc>
          <w:tcPr>
            <w:tcW w:w="578" w:type="dxa"/>
            <w:tcBorders>
              <w:top w:val="single" w:color="auto" w:sz="6" w:space="0"/>
              <w:left w:val="single" w:color="auto" w:sz="6" w:space="0"/>
              <w:bottom w:val="single" w:color="auto" w:sz="6" w:space="0"/>
              <w:right w:val="single" w:color="auto" w:sz="6" w:space="0"/>
            </w:tcBorders>
            <w:vAlign w:val="center"/>
          </w:tcPr>
          <w:p>
            <w:pPr>
              <w:adjustRightInd w:val="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57</w:t>
            </w:r>
          </w:p>
        </w:tc>
        <w:tc>
          <w:tcPr>
            <w:tcW w:w="1267" w:type="dxa"/>
            <w:tcBorders>
              <w:top w:val="single" w:color="auto" w:sz="6" w:space="0"/>
              <w:left w:val="single" w:color="auto" w:sz="6" w:space="0"/>
              <w:bottom w:val="single" w:color="auto" w:sz="6" w:space="0"/>
              <w:right w:val="single" w:color="auto" w:sz="6" w:space="0"/>
            </w:tcBorders>
          </w:tcPr>
          <w:p>
            <w:pPr>
              <w:jc w:val="center"/>
              <w:rPr>
                <w:color w:val="000000" w:themeColor="text1"/>
                <w14:textFill>
                  <w14:solidFill>
                    <w14:schemeClr w14:val="tx1"/>
                  </w14:solidFill>
                </w14:textFill>
              </w:rPr>
            </w:pPr>
            <w:r>
              <w:rPr>
                <w:color w:val="000000" w:themeColor="text1"/>
                <w:sz w:val="21"/>
                <w:szCs w:val="21"/>
                <w14:textFill>
                  <w14:solidFill>
                    <w14:schemeClr w14:val="tx1"/>
                  </w14:solidFill>
                </w14:textFill>
              </w:rPr>
              <w:t>——</w:t>
            </w:r>
          </w:p>
        </w:tc>
        <w:tc>
          <w:tcPr>
            <w:tcW w:w="954" w:type="dxa"/>
            <w:tcBorders>
              <w:top w:val="single" w:color="auto" w:sz="6" w:space="0"/>
              <w:left w:val="single" w:color="auto" w:sz="6" w:space="0"/>
              <w:bottom w:val="single" w:color="auto" w:sz="6" w:space="0"/>
              <w:right w:val="single" w:color="auto" w:sz="6" w:space="0"/>
            </w:tcBorders>
          </w:tcPr>
          <w:p>
            <w:pPr>
              <w:jc w:val="center"/>
              <w:rPr>
                <w:color w:val="000000" w:themeColor="text1"/>
                <w14:textFill>
                  <w14:solidFill>
                    <w14:schemeClr w14:val="tx1"/>
                  </w14:solidFill>
                </w14:textFill>
              </w:rPr>
            </w:pPr>
            <w:r>
              <w:rPr>
                <w:color w:val="000000" w:themeColor="text1"/>
                <w:sz w:val="21"/>
                <w:szCs w:val="21"/>
                <w14:textFill>
                  <w14:solidFill>
                    <w14:schemeClr w14:val="tx1"/>
                  </w14:solidFill>
                </w14:textFill>
              </w:rPr>
              <w:t>——</w:t>
            </w:r>
          </w:p>
        </w:tc>
        <w:tc>
          <w:tcPr>
            <w:tcW w:w="1046" w:type="dxa"/>
            <w:tcBorders>
              <w:top w:val="single" w:color="auto" w:sz="6" w:space="0"/>
              <w:left w:val="single" w:color="auto" w:sz="6" w:space="0"/>
              <w:bottom w:val="single" w:color="auto" w:sz="6" w:space="0"/>
              <w:right w:val="single" w:color="auto" w:sz="6" w:space="0"/>
            </w:tcBorders>
          </w:tcPr>
          <w:p>
            <w:pPr>
              <w:jc w:val="center"/>
              <w:rPr>
                <w:color w:val="000000" w:themeColor="text1"/>
                <w14:textFill>
                  <w14:solidFill>
                    <w14:schemeClr w14:val="tx1"/>
                  </w14:solidFill>
                </w14:textFill>
              </w:rPr>
            </w:pPr>
            <w:r>
              <w:rPr>
                <w:color w:val="000000" w:themeColor="text1"/>
                <w:sz w:val="21"/>
                <w:szCs w:val="21"/>
                <w14:textFill>
                  <w14:solidFill>
                    <w14:schemeClr w14:val="tx1"/>
                  </w14:solidFill>
                </w14:textFill>
              </w:rPr>
              <w:t>——</w:t>
            </w:r>
          </w:p>
        </w:tc>
        <w:tc>
          <w:tcPr>
            <w:tcW w:w="1242" w:type="dxa"/>
            <w:tcBorders>
              <w:top w:val="single" w:color="auto" w:sz="6" w:space="0"/>
              <w:left w:val="single" w:color="auto" w:sz="6" w:space="0"/>
              <w:bottom w:val="single" w:color="auto" w:sz="6" w:space="0"/>
              <w:right w:val="single" w:color="auto" w:sz="6" w:space="0"/>
            </w:tcBorders>
            <w:vAlign w:val="center"/>
          </w:tcPr>
          <w:p>
            <w:pPr>
              <w:adjustRightInd w:val="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597.84</w:t>
            </w:r>
          </w:p>
        </w:tc>
        <w:tc>
          <w:tcPr>
            <w:tcW w:w="935" w:type="dxa"/>
            <w:tcBorders>
              <w:top w:val="single" w:color="auto" w:sz="6" w:space="0"/>
              <w:left w:val="single" w:color="auto" w:sz="6" w:space="0"/>
              <w:bottom w:val="single" w:color="auto" w:sz="6" w:space="0"/>
              <w:right w:val="single" w:color="auto" w:sz="6" w:space="0"/>
            </w:tcBorders>
            <w:vAlign w:val="center"/>
          </w:tcPr>
          <w:p>
            <w:pPr>
              <w:widowControl/>
              <w:adjustRightInd w:val="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320.49</w:t>
            </w:r>
          </w:p>
        </w:tc>
        <w:tc>
          <w:tcPr>
            <w:tcW w:w="1089" w:type="dxa"/>
            <w:tcBorders>
              <w:top w:val="single" w:color="auto" w:sz="6" w:space="0"/>
              <w:left w:val="single" w:color="auto" w:sz="6" w:space="0"/>
              <w:bottom w:val="single" w:color="auto" w:sz="6" w:space="0"/>
              <w:right w:val="single" w:color="auto" w:sz="6" w:space="0"/>
            </w:tcBorders>
            <w:vAlign w:val="center"/>
          </w:tcPr>
          <w:p>
            <w:pPr>
              <w:adjustRightInd w:val="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34.71</w:t>
            </w:r>
          </w:p>
        </w:tc>
        <w:tc>
          <w:tcPr>
            <w:tcW w:w="1319" w:type="dxa"/>
            <w:tcBorders>
              <w:top w:val="single" w:color="auto" w:sz="6" w:space="0"/>
              <w:left w:val="single" w:color="auto" w:sz="6" w:space="0"/>
              <w:bottom w:val="single" w:color="auto" w:sz="6" w:space="0"/>
              <w:right w:val="single" w:color="auto" w:sz="6" w:space="0"/>
            </w:tcBorders>
          </w:tcPr>
          <w:p>
            <w:pPr>
              <w:jc w:val="center"/>
              <w:rPr>
                <w:color w:val="000000" w:themeColor="text1"/>
                <w14:textFill>
                  <w14:solidFill>
                    <w14:schemeClr w14:val="tx1"/>
                  </w14:solidFill>
                </w14:textFill>
              </w:rPr>
            </w:pPr>
            <w:r>
              <w:rPr>
                <w:color w:val="000000" w:themeColor="text1"/>
                <w:sz w:val="21"/>
                <w:szCs w:val="21"/>
                <w14:textFill>
                  <w14:solidFill>
                    <w14:schemeClr w14:val="tx1"/>
                  </w14:solidFill>
                </w14:textFill>
              </w:rPr>
              <w:t>——</w:t>
            </w:r>
          </w:p>
        </w:tc>
        <w:tc>
          <w:tcPr>
            <w:tcW w:w="954" w:type="dxa"/>
            <w:tcBorders>
              <w:top w:val="single" w:color="auto" w:sz="6" w:space="0"/>
              <w:left w:val="single" w:color="auto" w:sz="6" w:space="0"/>
              <w:bottom w:val="single" w:color="auto" w:sz="6" w:space="0"/>
              <w:right w:val="single" w:color="auto" w:sz="6" w:space="0"/>
            </w:tcBorders>
          </w:tcPr>
          <w:p>
            <w:pPr>
              <w:jc w:val="center"/>
              <w:rPr>
                <w:color w:val="000000" w:themeColor="text1"/>
                <w14:textFill>
                  <w14:solidFill>
                    <w14:schemeClr w14:val="tx1"/>
                  </w14:solidFill>
                </w14:textFill>
              </w:rPr>
            </w:pPr>
            <w:r>
              <w:rPr>
                <w:color w:val="000000" w:themeColor="text1"/>
                <w:sz w:val="21"/>
                <w:szCs w:val="21"/>
                <w14:textFill>
                  <w14:solidFill>
                    <w14:schemeClr w14:val="tx1"/>
                  </w14:solidFill>
                </w14:textFill>
              </w:rPr>
              <w:t>——</w:t>
            </w:r>
          </w:p>
        </w:tc>
        <w:tc>
          <w:tcPr>
            <w:tcW w:w="1081" w:type="dxa"/>
            <w:tcBorders>
              <w:top w:val="single" w:color="auto" w:sz="6" w:space="0"/>
              <w:left w:val="single" w:color="auto" w:sz="6" w:space="0"/>
              <w:bottom w:val="single" w:color="auto" w:sz="6" w:space="0"/>
              <w:right w:val="single" w:color="auto" w:sz="6" w:space="0"/>
            </w:tcBorders>
          </w:tcPr>
          <w:p>
            <w:pPr>
              <w:jc w:val="center"/>
              <w:rPr>
                <w:color w:val="000000" w:themeColor="text1"/>
                <w14:textFill>
                  <w14:solidFill>
                    <w14:schemeClr w14:val="tx1"/>
                  </w14:solidFill>
                </w14:textFill>
              </w:rPr>
            </w:pPr>
            <w:r>
              <w:rPr>
                <w:color w:val="000000" w:themeColor="text1"/>
                <w:sz w:val="21"/>
                <w:szCs w:val="21"/>
                <w14:textFill>
                  <w14:solidFill>
                    <w14:schemeClr w14:val="tx1"/>
                  </w14:solidFill>
                </w14:textFill>
              </w:rPr>
              <w:t>——</w:t>
            </w:r>
          </w:p>
        </w:tc>
        <w:tc>
          <w:tcPr>
            <w:tcW w:w="1171" w:type="dxa"/>
            <w:tcBorders>
              <w:top w:val="single" w:color="auto" w:sz="6" w:space="0"/>
              <w:left w:val="single" w:color="auto" w:sz="6" w:space="0"/>
              <w:bottom w:val="single" w:color="auto" w:sz="6" w:space="0"/>
              <w:right w:val="single" w:color="auto" w:sz="6" w:space="0"/>
            </w:tcBorders>
          </w:tcPr>
          <w:p>
            <w:pPr>
              <w:jc w:val="center"/>
              <w:rPr>
                <w:color w:val="000000" w:themeColor="text1"/>
                <w14:textFill>
                  <w14:solidFill>
                    <w14:schemeClr w14:val="tx1"/>
                  </w14:solidFill>
                </w14:textFill>
              </w:rPr>
            </w:pPr>
            <w:r>
              <w:rPr>
                <w:color w:val="000000" w:themeColor="text1"/>
                <w:sz w:val="21"/>
                <w:szCs w:val="21"/>
                <w14:textFill>
                  <w14:solidFill>
                    <w14:schemeClr w14:val="tx1"/>
                  </w14:solidFill>
                </w14:textFill>
              </w:rPr>
              <w:t>——</w:t>
            </w:r>
          </w:p>
        </w:tc>
        <w:tc>
          <w:tcPr>
            <w:tcW w:w="1013" w:type="dxa"/>
            <w:tcBorders>
              <w:top w:val="single" w:color="auto" w:sz="6" w:space="0"/>
              <w:left w:val="single" w:color="auto" w:sz="6" w:space="0"/>
              <w:bottom w:val="single" w:color="auto" w:sz="6" w:space="0"/>
              <w:right w:val="single" w:color="auto" w:sz="6" w:space="0"/>
            </w:tcBorders>
          </w:tcPr>
          <w:p>
            <w:pPr>
              <w:jc w:val="center"/>
              <w:rPr>
                <w:color w:val="000000" w:themeColor="text1"/>
                <w14:textFill>
                  <w14:solidFill>
                    <w14:schemeClr w14:val="tx1"/>
                  </w14:solidFill>
                </w14:textFill>
              </w:rPr>
            </w:pPr>
            <w:r>
              <w:rPr>
                <w:color w:val="000000" w:themeColor="text1"/>
                <w:sz w:val="21"/>
                <w:szCs w:val="21"/>
                <w14:textFill>
                  <w14:solidFill>
                    <w14:schemeClr w14:val="tx1"/>
                  </w14:solidFill>
                </w14:textFill>
              </w:rPr>
              <w:t>——</w:t>
            </w:r>
          </w:p>
        </w:tc>
        <w:tc>
          <w:tcPr>
            <w:tcW w:w="1034" w:type="dxa"/>
            <w:tcBorders>
              <w:top w:val="single" w:color="auto" w:sz="6" w:space="0"/>
              <w:left w:val="single" w:color="auto" w:sz="6" w:space="0"/>
              <w:bottom w:val="single" w:color="auto" w:sz="6" w:space="0"/>
              <w:right w:val="single" w:color="auto" w:sz="12" w:space="0"/>
            </w:tcBorders>
          </w:tcPr>
          <w:p>
            <w:pPr>
              <w:jc w:val="center"/>
              <w:rPr>
                <w:color w:val="000000" w:themeColor="text1"/>
                <w14:textFill>
                  <w14:solidFill>
                    <w14:schemeClr w14:val="tx1"/>
                  </w14:solidFill>
                </w14:textFill>
              </w:rPr>
            </w:pPr>
            <w:r>
              <w:rPr>
                <w:color w:val="000000" w:themeColor="text1"/>
                <w:sz w:val="21"/>
                <w:szCs w:val="21"/>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27" w:hRule="exact"/>
          <w:jc w:val="center"/>
        </w:trPr>
        <w:tc>
          <w:tcPr>
            <w:tcW w:w="491" w:type="dxa"/>
            <w:vMerge w:val="continue"/>
            <w:tcBorders>
              <w:top w:val="single" w:color="auto" w:sz="6" w:space="0"/>
              <w:left w:val="single" w:color="auto" w:sz="12" w:space="0"/>
              <w:bottom w:val="single" w:color="auto" w:sz="6" w:space="0"/>
              <w:right w:val="single" w:color="auto" w:sz="6" w:space="0"/>
            </w:tcBorders>
            <w:vAlign w:val="center"/>
          </w:tcPr>
          <w:p>
            <w:pPr>
              <w:widowControl/>
              <w:adjustRightInd w:val="0"/>
              <w:jc w:val="center"/>
              <w:rPr>
                <w:color w:val="000000" w:themeColor="text1"/>
                <w:kern w:val="0"/>
                <w:sz w:val="21"/>
                <w:szCs w:val="21"/>
                <w14:textFill>
                  <w14:solidFill>
                    <w14:schemeClr w14:val="tx1"/>
                  </w14:solidFill>
                </w14:textFill>
              </w:rPr>
            </w:pPr>
          </w:p>
        </w:tc>
        <w:tc>
          <w:tcPr>
            <w:tcW w:w="578" w:type="dxa"/>
            <w:tcBorders>
              <w:top w:val="single" w:color="auto" w:sz="6" w:space="0"/>
              <w:left w:val="single" w:color="auto" w:sz="6" w:space="0"/>
              <w:bottom w:val="single" w:color="auto" w:sz="6" w:space="0"/>
              <w:right w:val="single" w:color="auto" w:sz="6" w:space="0"/>
            </w:tcBorders>
            <w:vAlign w:val="center"/>
          </w:tcPr>
          <w:p>
            <w:pPr>
              <w:adjustRightInd w:val="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60</w:t>
            </w:r>
          </w:p>
        </w:tc>
        <w:tc>
          <w:tcPr>
            <w:tcW w:w="1267" w:type="dxa"/>
            <w:tcBorders>
              <w:top w:val="single" w:color="auto" w:sz="6" w:space="0"/>
              <w:left w:val="single" w:color="auto" w:sz="6" w:space="0"/>
              <w:bottom w:val="single" w:color="auto" w:sz="6" w:space="0"/>
              <w:right w:val="single" w:color="auto" w:sz="6" w:space="0"/>
            </w:tcBorders>
          </w:tcPr>
          <w:p>
            <w:pPr>
              <w:jc w:val="center"/>
              <w:rPr>
                <w:color w:val="000000" w:themeColor="text1"/>
                <w14:textFill>
                  <w14:solidFill>
                    <w14:schemeClr w14:val="tx1"/>
                  </w14:solidFill>
                </w14:textFill>
              </w:rPr>
            </w:pPr>
            <w:r>
              <w:rPr>
                <w:color w:val="000000" w:themeColor="text1"/>
                <w:sz w:val="21"/>
                <w:szCs w:val="21"/>
                <w14:textFill>
                  <w14:solidFill>
                    <w14:schemeClr w14:val="tx1"/>
                  </w14:solidFill>
                </w14:textFill>
              </w:rPr>
              <w:t>——</w:t>
            </w:r>
          </w:p>
        </w:tc>
        <w:tc>
          <w:tcPr>
            <w:tcW w:w="954" w:type="dxa"/>
            <w:tcBorders>
              <w:top w:val="single" w:color="auto" w:sz="6" w:space="0"/>
              <w:left w:val="single" w:color="auto" w:sz="6" w:space="0"/>
              <w:bottom w:val="single" w:color="auto" w:sz="6" w:space="0"/>
              <w:right w:val="single" w:color="auto" w:sz="6" w:space="0"/>
            </w:tcBorders>
          </w:tcPr>
          <w:p>
            <w:pPr>
              <w:jc w:val="center"/>
              <w:rPr>
                <w:color w:val="000000" w:themeColor="text1"/>
                <w14:textFill>
                  <w14:solidFill>
                    <w14:schemeClr w14:val="tx1"/>
                  </w14:solidFill>
                </w14:textFill>
              </w:rPr>
            </w:pPr>
            <w:r>
              <w:rPr>
                <w:color w:val="000000" w:themeColor="text1"/>
                <w:sz w:val="21"/>
                <w:szCs w:val="21"/>
                <w14:textFill>
                  <w14:solidFill>
                    <w14:schemeClr w14:val="tx1"/>
                  </w14:solidFill>
                </w14:textFill>
              </w:rPr>
              <w:t>——</w:t>
            </w:r>
          </w:p>
        </w:tc>
        <w:tc>
          <w:tcPr>
            <w:tcW w:w="1046" w:type="dxa"/>
            <w:tcBorders>
              <w:top w:val="single" w:color="auto" w:sz="6" w:space="0"/>
              <w:left w:val="single" w:color="auto" w:sz="6" w:space="0"/>
              <w:bottom w:val="single" w:color="auto" w:sz="6" w:space="0"/>
              <w:right w:val="single" w:color="auto" w:sz="6" w:space="0"/>
            </w:tcBorders>
          </w:tcPr>
          <w:p>
            <w:pPr>
              <w:jc w:val="center"/>
              <w:rPr>
                <w:color w:val="000000" w:themeColor="text1"/>
                <w14:textFill>
                  <w14:solidFill>
                    <w14:schemeClr w14:val="tx1"/>
                  </w14:solidFill>
                </w14:textFill>
              </w:rPr>
            </w:pPr>
            <w:r>
              <w:rPr>
                <w:color w:val="000000" w:themeColor="text1"/>
                <w:sz w:val="21"/>
                <w:szCs w:val="21"/>
                <w14:textFill>
                  <w14:solidFill>
                    <w14:schemeClr w14:val="tx1"/>
                  </w14:solidFill>
                </w14:textFill>
              </w:rPr>
              <w:t>——</w:t>
            </w:r>
          </w:p>
        </w:tc>
        <w:tc>
          <w:tcPr>
            <w:tcW w:w="1242" w:type="dxa"/>
            <w:tcBorders>
              <w:top w:val="single" w:color="auto" w:sz="6" w:space="0"/>
              <w:left w:val="single" w:color="auto" w:sz="6" w:space="0"/>
              <w:bottom w:val="single" w:color="auto" w:sz="6" w:space="0"/>
              <w:right w:val="single" w:color="auto" w:sz="6" w:space="0"/>
            </w:tcBorders>
            <w:vAlign w:val="center"/>
          </w:tcPr>
          <w:p>
            <w:pPr>
              <w:adjustRightInd w:val="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587.06</w:t>
            </w:r>
          </w:p>
        </w:tc>
        <w:tc>
          <w:tcPr>
            <w:tcW w:w="935" w:type="dxa"/>
            <w:tcBorders>
              <w:top w:val="single" w:color="auto" w:sz="6" w:space="0"/>
              <w:left w:val="single" w:color="auto" w:sz="6" w:space="0"/>
              <w:bottom w:val="single" w:color="auto" w:sz="6" w:space="0"/>
              <w:right w:val="single" w:color="auto" w:sz="6" w:space="0"/>
            </w:tcBorders>
            <w:vAlign w:val="center"/>
          </w:tcPr>
          <w:p>
            <w:pPr>
              <w:widowControl/>
              <w:adjustRightInd w:val="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379.98</w:t>
            </w:r>
          </w:p>
        </w:tc>
        <w:tc>
          <w:tcPr>
            <w:tcW w:w="1089" w:type="dxa"/>
            <w:tcBorders>
              <w:top w:val="single" w:color="auto" w:sz="6" w:space="0"/>
              <w:left w:val="single" w:color="auto" w:sz="6" w:space="0"/>
              <w:bottom w:val="single" w:color="auto" w:sz="6" w:space="0"/>
              <w:right w:val="single" w:color="auto" w:sz="6" w:space="0"/>
            </w:tcBorders>
            <w:vAlign w:val="center"/>
          </w:tcPr>
          <w:p>
            <w:pPr>
              <w:adjustRightInd w:val="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34.25</w:t>
            </w:r>
          </w:p>
        </w:tc>
        <w:tc>
          <w:tcPr>
            <w:tcW w:w="1319" w:type="dxa"/>
            <w:tcBorders>
              <w:top w:val="single" w:color="auto" w:sz="6" w:space="0"/>
              <w:left w:val="single" w:color="auto" w:sz="6" w:space="0"/>
              <w:bottom w:val="single" w:color="auto" w:sz="6" w:space="0"/>
              <w:right w:val="single" w:color="auto" w:sz="6" w:space="0"/>
            </w:tcBorders>
          </w:tcPr>
          <w:p>
            <w:pPr>
              <w:jc w:val="center"/>
              <w:rPr>
                <w:color w:val="000000" w:themeColor="text1"/>
                <w14:textFill>
                  <w14:solidFill>
                    <w14:schemeClr w14:val="tx1"/>
                  </w14:solidFill>
                </w14:textFill>
              </w:rPr>
            </w:pPr>
            <w:r>
              <w:rPr>
                <w:color w:val="000000" w:themeColor="text1"/>
                <w:sz w:val="21"/>
                <w:szCs w:val="21"/>
                <w14:textFill>
                  <w14:solidFill>
                    <w14:schemeClr w14:val="tx1"/>
                  </w14:solidFill>
                </w14:textFill>
              </w:rPr>
              <w:t>——</w:t>
            </w:r>
          </w:p>
        </w:tc>
        <w:tc>
          <w:tcPr>
            <w:tcW w:w="954" w:type="dxa"/>
            <w:tcBorders>
              <w:top w:val="single" w:color="auto" w:sz="6" w:space="0"/>
              <w:left w:val="single" w:color="auto" w:sz="6" w:space="0"/>
              <w:bottom w:val="single" w:color="auto" w:sz="6" w:space="0"/>
              <w:right w:val="single" w:color="auto" w:sz="6" w:space="0"/>
            </w:tcBorders>
          </w:tcPr>
          <w:p>
            <w:pPr>
              <w:jc w:val="center"/>
              <w:rPr>
                <w:color w:val="000000" w:themeColor="text1"/>
                <w14:textFill>
                  <w14:solidFill>
                    <w14:schemeClr w14:val="tx1"/>
                  </w14:solidFill>
                </w14:textFill>
              </w:rPr>
            </w:pPr>
            <w:r>
              <w:rPr>
                <w:color w:val="000000" w:themeColor="text1"/>
                <w:sz w:val="21"/>
                <w:szCs w:val="21"/>
                <w14:textFill>
                  <w14:solidFill>
                    <w14:schemeClr w14:val="tx1"/>
                  </w14:solidFill>
                </w14:textFill>
              </w:rPr>
              <w:t>——</w:t>
            </w:r>
          </w:p>
        </w:tc>
        <w:tc>
          <w:tcPr>
            <w:tcW w:w="1081" w:type="dxa"/>
            <w:tcBorders>
              <w:top w:val="single" w:color="auto" w:sz="6" w:space="0"/>
              <w:left w:val="single" w:color="auto" w:sz="6" w:space="0"/>
              <w:bottom w:val="single" w:color="auto" w:sz="6" w:space="0"/>
              <w:right w:val="single" w:color="auto" w:sz="6" w:space="0"/>
            </w:tcBorders>
          </w:tcPr>
          <w:p>
            <w:pPr>
              <w:jc w:val="center"/>
              <w:rPr>
                <w:color w:val="000000" w:themeColor="text1"/>
                <w14:textFill>
                  <w14:solidFill>
                    <w14:schemeClr w14:val="tx1"/>
                  </w14:solidFill>
                </w14:textFill>
              </w:rPr>
            </w:pPr>
            <w:r>
              <w:rPr>
                <w:color w:val="000000" w:themeColor="text1"/>
                <w:sz w:val="21"/>
                <w:szCs w:val="21"/>
                <w14:textFill>
                  <w14:solidFill>
                    <w14:schemeClr w14:val="tx1"/>
                  </w14:solidFill>
                </w14:textFill>
              </w:rPr>
              <w:t>——</w:t>
            </w:r>
          </w:p>
        </w:tc>
        <w:tc>
          <w:tcPr>
            <w:tcW w:w="1171" w:type="dxa"/>
            <w:tcBorders>
              <w:top w:val="single" w:color="auto" w:sz="6" w:space="0"/>
              <w:left w:val="single" w:color="auto" w:sz="6" w:space="0"/>
              <w:bottom w:val="single" w:color="auto" w:sz="6" w:space="0"/>
              <w:right w:val="single" w:color="auto" w:sz="6" w:space="0"/>
            </w:tcBorders>
          </w:tcPr>
          <w:p>
            <w:pPr>
              <w:jc w:val="center"/>
              <w:rPr>
                <w:color w:val="000000" w:themeColor="text1"/>
                <w14:textFill>
                  <w14:solidFill>
                    <w14:schemeClr w14:val="tx1"/>
                  </w14:solidFill>
                </w14:textFill>
              </w:rPr>
            </w:pPr>
            <w:r>
              <w:rPr>
                <w:color w:val="000000" w:themeColor="text1"/>
                <w:sz w:val="21"/>
                <w:szCs w:val="21"/>
                <w14:textFill>
                  <w14:solidFill>
                    <w14:schemeClr w14:val="tx1"/>
                  </w14:solidFill>
                </w14:textFill>
              </w:rPr>
              <w:t>——</w:t>
            </w:r>
          </w:p>
        </w:tc>
        <w:tc>
          <w:tcPr>
            <w:tcW w:w="1013" w:type="dxa"/>
            <w:tcBorders>
              <w:top w:val="single" w:color="auto" w:sz="6" w:space="0"/>
              <w:left w:val="single" w:color="auto" w:sz="6" w:space="0"/>
              <w:bottom w:val="single" w:color="auto" w:sz="6" w:space="0"/>
              <w:right w:val="single" w:color="auto" w:sz="6" w:space="0"/>
            </w:tcBorders>
          </w:tcPr>
          <w:p>
            <w:pPr>
              <w:jc w:val="center"/>
              <w:rPr>
                <w:color w:val="000000" w:themeColor="text1"/>
                <w14:textFill>
                  <w14:solidFill>
                    <w14:schemeClr w14:val="tx1"/>
                  </w14:solidFill>
                </w14:textFill>
              </w:rPr>
            </w:pPr>
            <w:r>
              <w:rPr>
                <w:color w:val="000000" w:themeColor="text1"/>
                <w:sz w:val="21"/>
                <w:szCs w:val="21"/>
                <w14:textFill>
                  <w14:solidFill>
                    <w14:schemeClr w14:val="tx1"/>
                  </w14:solidFill>
                </w14:textFill>
              </w:rPr>
              <w:t>——</w:t>
            </w:r>
          </w:p>
        </w:tc>
        <w:tc>
          <w:tcPr>
            <w:tcW w:w="1034" w:type="dxa"/>
            <w:tcBorders>
              <w:top w:val="single" w:color="auto" w:sz="6" w:space="0"/>
              <w:left w:val="single" w:color="auto" w:sz="6" w:space="0"/>
              <w:bottom w:val="single" w:color="auto" w:sz="6" w:space="0"/>
              <w:right w:val="single" w:color="auto" w:sz="12" w:space="0"/>
            </w:tcBorders>
          </w:tcPr>
          <w:p>
            <w:pPr>
              <w:jc w:val="center"/>
              <w:rPr>
                <w:color w:val="000000" w:themeColor="text1"/>
                <w14:textFill>
                  <w14:solidFill>
                    <w14:schemeClr w14:val="tx1"/>
                  </w14:solidFill>
                </w14:textFill>
              </w:rPr>
            </w:pPr>
            <w:r>
              <w:rPr>
                <w:color w:val="000000" w:themeColor="text1"/>
                <w:sz w:val="21"/>
                <w:szCs w:val="21"/>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27" w:hRule="exact"/>
          <w:jc w:val="center"/>
        </w:trPr>
        <w:tc>
          <w:tcPr>
            <w:tcW w:w="491" w:type="dxa"/>
            <w:vMerge w:val="continue"/>
            <w:tcBorders>
              <w:top w:val="single" w:color="auto" w:sz="6" w:space="0"/>
              <w:left w:val="single" w:color="auto" w:sz="12" w:space="0"/>
              <w:bottom w:val="single" w:color="auto" w:sz="6" w:space="0"/>
              <w:right w:val="single" w:color="auto" w:sz="6" w:space="0"/>
            </w:tcBorders>
            <w:vAlign w:val="center"/>
          </w:tcPr>
          <w:p>
            <w:pPr>
              <w:widowControl/>
              <w:adjustRightInd w:val="0"/>
              <w:jc w:val="center"/>
              <w:rPr>
                <w:color w:val="000000" w:themeColor="text1"/>
                <w:kern w:val="0"/>
                <w:sz w:val="21"/>
                <w:szCs w:val="21"/>
                <w14:textFill>
                  <w14:solidFill>
                    <w14:schemeClr w14:val="tx1"/>
                  </w14:solidFill>
                </w14:textFill>
              </w:rPr>
            </w:pPr>
          </w:p>
        </w:tc>
        <w:tc>
          <w:tcPr>
            <w:tcW w:w="578" w:type="dxa"/>
            <w:tcBorders>
              <w:top w:val="single" w:color="auto" w:sz="6" w:space="0"/>
              <w:left w:val="single" w:color="auto" w:sz="6" w:space="0"/>
              <w:bottom w:val="single" w:color="auto" w:sz="6" w:space="0"/>
              <w:right w:val="single" w:color="auto" w:sz="6" w:space="0"/>
            </w:tcBorders>
            <w:vAlign w:val="center"/>
          </w:tcPr>
          <w:p>
            <w:pPr>
              <w:adjustRightInd w:val="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63</w:t>
            </w:r>
          </w:p>
        </w:tc>
        <w:tc>
          <w:tcPr>
            <w:tcW w:w="1267" w:type="dxa"/>
            <w:tcBorders>
              <w:top w:val="single" w:color="auto" w:sz="6" w:space="0"/>
              <w:left w:val="single" w:color="auto" w:sz="6" w:space="0"/>
              <w:bottom w:val="single" w:color="auto" w:sz="6" w:space="0"/>
              <w:right w:val="single" w:color="auto" w:sz="6" w:space="0"/>
            </w:tcBorders>
          </w:tcPr>
          <w:p>
            <w:pPr>
              <w:jc w:val="center"/>
              <w:rPr>
                <w:color w:val="000000" w:themeColor="text1"/>
                <w14:textFill>
                  <w14:solidFill>
                    <w14:schemeClr w14:val="tx1"/>
                  </w14:solidFill>
                </w14:textFill>
              </w:rPr>
            </w:pPr>
            <w:r>
              <w:rPr>
                <w:color w:val="000000" w:themeColor="text1"/>
                <w:sz w:val="21"/>
                <w:szCs w:val="21"/>
                <w14:textFill>
                  <w14:solidFill>
                    <w14:schemeClr w14:val="tx1"/>
                  </w14:solidFill>
                </w14:textFill>
              </w:rPr>
              <w:t>——</w:t>
            </w:r>
          </w:p>
        </w:tc>
        <w:tc>
          <w:tcPr>
            <w:tcW w:w="954" w:type="dxa"/>
            <w:tcBorders>
              <w:top w:val="single" w:color="auto" w:sz="6" w:space="0"/>
              <w:left w:val="single" w:color="auto" w:sz="6" w:space="0"/>
              <w:bottom w:val="single" w:color="auto" w:sz="6" w:space="0"/>
              <w:right w:val="single" w:color="auto" w:sz="6" w:space="0"/>
            </w:tcBorders>
          </w:tcPr>
          <w:p>
            <w:pPr>
              <w:jc w:val="center"/>
              <w:rPr>
                <w:color w:val="000000" w:themeColor="text1"/>
                <w14:textFill>
                  <w14:solidFill>
                    <w14:schemeClr w14:val="tx1"/>
                  </w14:solidFill>
                </w14:textFill>
              </w:rPr>
            </w:pPr>
            <w:r>
              <w:rPr>
                <w:color w:val="000000" w:themeColor="text1"/>
                <w:sz w:val="21"/>
                <w:szCs w:val="21"/>
                <w14:textFill>
                  <w14:solidFill>
                    <w14:schemeClr w14:val="tx1"/>
                  </w14:solidFill>
                </w14:textFill>
              </w:rPr>
              <w:t>——</w:t>
            </w:r>
          </w:p>
        </w:tc>
        <w:tc>
          <w:tcPr>
            <w:tcW w:w="1046" w:type="dxa"/>
            <w:tcBorders>
              <w:top w:val="single" w:color="auto" w:sz="6" w:space="0"/>
              <w:left w:val="single" w:color="auto" w:sz="6" w:space="0"/>
              <w:bottom w:val="single" w:color="auto" w:sz="6" w:space="0"/>
              <w:right w:val="single" w:color="auto" w:sz="6" w:space="0"/>
            </w:tcBorders>
          </w:tcPr>
          <w:p>
            <w:pPr>
              <w:jc w:val="center"/>
              <w:rPr>
                <w:color w:val="000000" w:themeColor="text1"/>
                <w14:textFill>
                  <w14:solidFill>
                    <w14:schemeClr w14:val="tx1"/>
                  </w14:solidFill>
                </w14:textFill>
              </w:rPr>
            </w:pPr>
            <w:r>
              <w:rPr>
                <w:color w:val="000000" w:themeColor="text1"/>
                <w:sz w:val="21"/>
                <w:szCs w:val="21"/>
                <w14:textFill>
                  <w14:solidFill>
                    <w14:schemeClr w14:val="tx1"/>
                  </w14:solidFill>
                </w14:textFill>
              </w:rPr>
              <w:t>——</w:t>
            </w:r>
          </w:p>
        </w:tc>
        <w:tc>
          <w:tcPr>
            <w:tcW w:w="1242" w:type="dxa"/>
            <w:tcBorders>
              <w:top w:val="single" w:color="auto" w:sz="6" w:space="0"/>
              <w:left w:val="single" w:color="auto" w:sz="6" w:space="0"/>
              <w:bottom w:val="single" w:color="auto" w:sz="6" w:space="0"/>
              <w:right w:val="single" w:color="auto" w:sz="6" w:space="0"/>
            </w:tcBorders>
            <w:vAlign w:val="center"/>
          </w:tcPr>
          <w:p>
            <w:pPr>
              <w:adjustRightInd w:val="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577.08</w:t>
            </w:r>
          </w:p>
        </w:tc>
        <w:tc>
          <w:tcPr>
            <w:tcW w:w="935" w:type="dxa"/>
            <w:tcBorders>
              <w:top w:val="single" w:color="auto" w:sz="6" w:space="0"/>
              <w:left w:val="single" w:color="auto" w:sz="6" w:space="0"/>
              <w:bottom w:val="single" w:color="auto" w:sz="6" w:space="0"/>
              <w:right w:val="single" w:color="auto" w:sz="6" w:space="0"/>
            </w:tcBorders>
            <w:vAlign w:val="center"/>
          </w:tcPr>
          <w:p>
            <w:pPr>
              <w:widowControl/>
              <w:adjustRightInd w:val="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428.19</w:t>
            </w:r>
          </w:p>
        </w:tc>
        <w:tc>
          <w:tcPr>
            <w:tcW w:w="1089" w:type="dxa"/>
            <w:tcBorders>
              <w:top w:val="single" w:color="auto" w:sz="6" w:space="0"/>
              <w:left w:val="single" w:color="auto" w:sz="6" w:space="0"/>
              <w:bottom w:val="single" w:color="auto" w:sz="6" w:space="0"/>
              <w:right w:val="single" w:color="auto" w:sz="6" w:space="0"/>
            </w:tcBorders>
            <w:vAlign w:val="center"/>
          </w:tcPr>
          <w:p>
            <w:pPr>
              <w:adjustRightInd w:val="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34.42</w:t>
            </w:r>
          </w:p>
        </w:tc>
        <w:tc>
          <w:tcPr>
            <w:tcW w:w="1319" w:type="dxa"/>
            <w:tcBorders>
              <w:top w:val="single" w:color="auto" w:sz="6" w:space="0"/>
              <w:left w:val="single" w:color="auto" w:sz="6" w:space="0"/>
              <w:bottom w:val="single" w:color="auto" w:sz="6" w:space="0"/>
              <w:right w:val="single" w:color="auto" w:sz="6" w:space="0"/>
            </w:tcBorders>
          </w:tcPr>
          <w:p>
            <w:pPr>
              <w:jc w:val="center"/>
              <w:rPr>
                <w:color w:val="000000" w:themeColor="text1"/>
                <w14:textFill>
                  <w14:solidFill>
                    <w14:schemeClr w14:val="tx1"/>
                  </w14:solidFill>
                </w14:textFill>
              </w:rPr>
            </w:pPr>
            <w:r>
              <w:rPr>
                <w:color w:val="000000" w:themeColor="text1"/>
                <w:sz w:val="21"/>
                <w:szCs w:val="21"/>
                <w14:textFill>
                  <w14:solidFill>
                    <w14:schemeClr w14:val="tx1"/>
                  </w14:solidFill>
                </w14:textFill>
              </w:rPr>
              <w:t>——</w:t>
            </w:r>
          </w:p>
        </w:tc>
        <w:tc>
          <w:tcPr>
            <w:tcW w:w="954" w:type="dxa"/>
            <w:tcBorders>
              <w:top w:val="single" w:color="auto" w:sz="6" w:space="0"/>
              <w:left w:val="single" w:color="auto" w:sz="6" w:space="0"/>
              <w:bottom w:val="single" w:color="auto" w:sz="6" w:space="0"/>
              <w:right w:val="single" w:color="auto" w:sz="6" w:space="0"/>
            </w:tcBorders>
          </w:tcPr>
          <w:p>
            <w:pPr>
              <w:jc w:val="center"/>
              <w:rPr>
                <w:color w:val="000000" w:themeColor="text1"/>
                <w14:textFill>
                  <w14:solidFill>
                    <w14:schemeClr w14:val="tx1"/>
                  </w14:solidFill>
                </w14:textFill>
              </w:rPr>
            </w:pPr>
            <w:r>
              <w:rPr>
                <w:color w:val="000000" w:themeColor="text1"/>
                <w:sz w:val="21"/>
                <w:szCs w:val="21"/>
                <w14:textFill>
                  <w14:solidFill>
                    <w14:schemeClr w14:val="tx1"/>
                  </w14:solidFill>
                </w14:textFill>
              </w:rPr>
              <w:t>——</w:t>
            </w:r>
          </w:p>
        </w:tc>
        <w:tc>
          <w:tcPr>
            <w:tcW w:w="1081" w:type="dxa"/>
            <w:tcBorders>
              <w:top w:val="single" w:color="auto" w:sz="6" w:space="0"/>
              <w:left w:val="single" w:color="auto" w:sz="6" w:space="0"/>
              <w:bottom w:val="single" w:color="auto" w:sz="6" w:space="0"/>
              <w:right w:val="single" w:color="auto" w:sz="6" w:space="0"/>
            </w:tcBorders>
          </w:tcPr>
          <w:p>
            <w:pPr>
              <w:jc w:val="center"/>
              <w:rPr>
                <w:color w:val="000000" w:themeColor="text1"/>
                <w14:textFill>
                  <w14:solidFill>
                    <w14:schemeClr w14:val="tx1"/>
                  </w14:solidFill>
                </w14:textFill>
              </w:rPr>
            </w:pPr>
            <w:r>
              <w:rPr>
                <w:color w:val="000000" w:themeColor="text1"/>
                <w:sz w:val="21"/>
                <w:szCs w:val="21"/>
                <w14:textFill>
                  <w14:solidFill>
                    <w14:schemeClr w14:val="tx1"/>
                  </w14:solidFill>
                </w14:textFill>
              </w:rPr>
              <w:t>——</w:t>
            </w:r>
          </w:p>
        </w:tc>
        <w:tc>
          <w:tcPr>
            <w:tcW w:w="1171" w:type="dxa"/>
            <w:tcBorders>
              <w:top w:val="single" w:color="auto" w:sz="6" w:space="0"/>
              <w:left w:val="single" w:color="auto" w:sz="6" w:space="0"/>
              <w:bottom w:val="single" w:color="auto" w:sz="6" w:space="0"/>
              <w:right w:val="single" w:color="auto" w:sz="6" w:space="0"/>
            </w:tcBorders>
          </w:tcPr>
          <w:p>
            <w:pPr>
              <w:jc w:val="center"/>
              <w:rPr>
                <w:color w:val="000000" w:themeColor="text1"/>
                <w14:textFill>
                  <w14:solidFill>
                    <w14:schemeClr w14:val="tx1"/>
                  </w14:solidFill>
                </w14:textFill>
              </w:rPr>
            </w:pPr>
            <w:r>
              <w:rPr>
                <w:color w:val="000000" w:themeColor="text1"/>
                <w:sz w:val="21"/>
                <w:szCs w:val="21"/>
                <w14:textFill>
                  <w14:solidFill>
                    <w14:schemeClr w14:val="tx1"/>
                  </w14:solidFill>
                </w14:textFill>
              </w:rPr>
              <w:t>——</w:t>
            </w:r>
          </w:p>
        </w:tc>
        <w:tc>
          <w:tcPr>
            <w:tcW w:w="1013" w:type="dxa"/>
            <w:tcBorders>
              <w:top w:val="single" w:color="auto" w:sz="6" w:space="0"/>
              <w:left w:val="single" w:color="auto" w:sz="6" w:space="0"/>
              <w:bottom w:val="single" w:color="auto" w:sz="6" w:space="0"/>
              <w:right w:val="single" w:color="auto" w:sz="6" w:space="0"/>
            </w:tcBorders>
          </w:tcPr>
          <w:p>
            <w:pPr>
              <w:jc w:val="center"/>
              <w:rPr>
                <w:color w:val="000000" w:themeColor="text1"/>
                <w14:textFill>
                  <w14:solidFill>
                    <w14:schemeClr w14:val="tx1"/>
                  </w14:solidFill>
                </w14:textFill>
              </w:rPr>
            </w:pPr>
            <w:r>
              <w:rPr>
                <w:color w:val="000000" w:themeColor="text1"/>
                <w:sz w:val="21"/>
                <w:szCs w:val="21"/>
                <w14:textFill>
                  <w14:solidFill>
                    <w14:schemeClr w14:val="tx1"/>
                  </w14:solidFill>
                </w14:textFill>
              </w:rPr>
              <w:t>——</w:t>
            </w:r>
          </w:p>
        </w:tc>
        <w:tc>
          <w:tcPr>
            <w:tcW w:w="1034" w:type="dxa"/>
            <w:tcBorders>
              <w:top w:val="single" w:color="auto" w:sz="6" w:space="0"/>
              <w:left w:val="single" w:color="auto" w:sz="6" w:space="0"/>
              <w:bottom w:val="single" w:color="auto" w:sz="6" w:space="0"/>
              <w:right w:val="single" w:color="auto" w:sz="12" w:space="0"/>
            </w:tcBorders>
          </w:tcPr>
          <w:p>
            <w:pPr>
              <w:jc w:val="center"/>
              <w:rPr>
                <w:color w:val="000000" w:themeColor="text1"/>
                <w14:textFill>
                  <w14:solidFill>
                    <w14:schemeClr w14:val="tx1"/>
                  </w14:solidFill>
                </w14:textFill>
              </w:rPr>
            </w:pPr>
            <w:r>
              <w:rPr>
                <w:color w:val="000000" w:themeColor="text1"/>
                <w:sz w:val="21"/>
                <w:szCs w:val="21"/>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27" w:hRule="exact"/>
          <w:jc w:val="center"/>
        </w:trPr>
        <w:tc>
          <w:tcPr>
            <w:tcW w:w="491" w:type="dxa"/>
            <w:vMerge w:val="continue"/>
            <w:tcBorders>
              <w:top w:val="single" w:color="auto" w:sz="6" w:space="0"/>
              <w:left w:val="single" w:color="auto" w:sz="12" w:space="0"/>
              <w:bottom w:val="single" w:color="auto" w:sz="6" w:space="0"/>
              <w:right w:val="single" w:color="auto" w:sz="6" w:space="0"/>
            </w:tcBorders>
            <w:vAlign w:val="center"/>
          </w:tcPr>
          <w:p>
            <w:pPr>
              <w:widowControl/>
              <w:adjustRightInd w:val="0"/>
              <w:jc w:val="center"/>
              <w:rPr>
                <w:color w:val="000000" w:themeColor="text1"/>
                <w:kern w:val="0"/>
                <w:sz w:val="21"/>
                <w:szCs w:val="21"/>
                <w14:textFill>
                  <w14:solidFill>
                    <w14:schemeClr w14:val="tx1"/>
                  </w14:solidFill>
                </w14:textFill>
              </w:rPr>
            </w:pPr>
          </w:p>
        </w:tc>
        <w:tc>
          <w:tcPr>
            <w:tcW w:w="578" w:type="dxa"/>
            <w:tcBorders>
              <w:top w:val="single" w:color="auto" w:sz="6" w:space="0"/>
              <w:left w:val="single" w:color="auto" w:sz="6" w:space="0"/>
              <w:bottom w:val="single" w:color="auto" w:sz="6" w:space="0"/>
              <w:right w:val="single" w:color="auto" w:sz="6" w:space="0"/>
            </w:tcBorders>
            <w:vAlign w:val="center"/>
          </w:tcPr>
          <w:p>
            <w:pPr>
              <w:adjustRightInd w:val="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66</w:t>
            </w:r>
          </w:p>
        </w:tc>
        <w:tc>
          <w:tcPr>
            <w:tcW w:w="1267" w:type="dxa"/>
            <w:tcBorders>
              <w:top w:val="single" w:color="auto" w:sz="6" w:space="0"/>
              <w:left w:val="single" w:color="auto" w:sz="6" w:space="0"/>
              <w:bottom w:val="single" w:color="auto" w:sz="6" w:space="0"/>
              <w:right w:val="single" w:color="auto" w:sz="6" w:space="0"/>
            </w:tcBorders>
          </w:tcPr>
          <w:p>
            <w:pPr>
              <w:jc w:val="center"/>
              <w:rPr>
                <w:color w:val="000000" w:themeColor="text1"/>
                <w14:textFill>
                  <w14:solidFill>
                    <w14:schemeClr w14:val="tx1"/>
                  </w14:solidFill>
                </w14:textFill>
              </w:rPr>
            </w:pPr>
            <w:r>
              <w:rPr>
                <w:color w:val="000000" w:themeColor="text1"/>
                <w:sz w:val="21"/>
                <w:szCs w:val="21"/>
                <w14:textFill>
                  <w14:solidFill>
                    <w14:schemeClr w14:val="tx1"/>
                  </w14:solidFill>
                </w14:textFill>
              </w:rPr>
              <w:t>——</w:t>
            </w:r>
          </w:p>
        </w:tc>
        <w:tc>
          <w:tcPr>
            <w:tcW w:w="954" w:type="dxa"/>
            <w:tcBorders>
              <w:top w:val="single" w:color="auto" w:sz="6" w:space="0"/>
              <w:left w:val="single" w:color="auto" w:sz="6" w:space="0"/>
              <w:bottom w:val="single" w:color="auto" w:sz="6" w:space="0"/>
              <w:right w:val="single" w:color="auto" w:sz="6" w:space="0"/>
            </w:tcBorders>
          </w:tcPr>
          <w:p>
            <w:pPr>
              <w:jc w:val="center"/>
              <w:rPr>
                <w:color w:val="000000" w:themeColor="text1"/>
                <w14:textFill>
                  <w14:solidFill>
                    <w14:schemeClr w14:val="tx1"/>
                  </w14:solidFill>
                </w14:textFill>
              </w:rPr>
            </w:pPr>
            <w:r>
              <w:rPr>
                <w:color w:val="000000" w:themeColor="text1"/>
                <w:sz w:val="21"/>
                <w:szCs w:val="21"/>
                <w14:textFill>
                  <w14:solidFill>
                    <w14:schemeClr w14:val="tx1"/>
                  </w14:solidFill>
                </w14:textFill>
              </w:rPr>
              <w:t>——</w:t>
            </w:r>
          </w:p>
        </w:tc>
        <w:tc>
          <w:tcPr>
            <w:tcW w:w="1046" w:type="dxa"/>
            <w:tcBorders>
              <w:top w:val="single" w:color="auto" w:sz="6" w:space="0"/>
              <w:left w:val="single" w:color="auto" w:sz="6" w:space="0"/>
              <w:bottom w:val="single" w:color="auto" w:sz="6" w:space="0"/>
              <w:right w:val="single" w:color="auto" w:sz="6" w:space="0"/>
            </w:tcBorders>
          </w:tcPr>
          <w:p>
            <w:pPr>
              <w:jc w:val="center"/>
              <w:rPr>
                <w:color w:val="000000" w:themeColor="text1"/>
                <w14:textFill>
                  <w14:solidFill>
                    <w14:schemeClr w14:val="tx1"/>
                  </w14:solidFill>
                </w14:textFill>
              </w:rPr>
            </w:pPr>
            <w:r>
              <w:rPr>
                <w:color w:val="000000" w:themeColor="text1"/>
                <w:sz w:val="21"/>
                <w:szCs w:val="21"/>
                <w14:textFill>
                  <w14:solidFill>
                    <w14:schemeClr w14:val="tx1"/>
                  </w14:solidFill>
                </w14:textFill>
              </w:rPr>
              <w:t>——</w:t>
            </w:r>
          </w:p>
        </w:tc>
        <w:tc>
          <w:tcPr>
            <w:tcW w:w="1242" w:type="dxa"/>
            <w:tcBorders>
              <w:top w:val="single" w:color="auto" w:sz="6" w:space="0"/>
              <w:left w:val="single" w:color="auto" w:sz="6" w:space="0"/>
              <w:bottom w:val="single" w:color="auto" w:sz="6" w:space="0"/>
              <w:right w:val="single" w:color="auto" w:sz="6" w:space="0"/>
            </w:tcBorders>
            <w:vAlign w:val="center"/>
          </w:tcPr>
          <w:p>
            <w:pPr>
              <w:adjustRightInd w:val="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567.71</w:t>
            </w:r>
          </w:p>
        </w:tc>
        <w:tc>
          <w:tcPr>
            <w:tcW w:w="935" w:type="dxa"/>
            <w:tcBorders>
              <w:top w:val="single" w:color="auto" w:sz="6" w:space="0"/>
              <w:left w:val="single" w:color="auto" w:sz="6" w:space="0"/>
              <w:bottom w:val="single" w:color="auto" w:sz="6" w:space="0"/>
              <w:right w:val="single" w:color="auto" w:sz="6" w:space="0"/>
            </w:tcBorders>
            <w:vAlign w:val="center"/>
          </w:tcPr>
          <w:p>
            <w:pPr>
              <w:widowControl/>
              <w:adjustRightInd w:val="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447.19</w:t>
            </w:r>
          </w:p>
        </w:tc>
        <w:tc>
          <w:tcPr>
            <w:tcW w:w="1089" w:type="dxa"/>
            <w:tcBorders>
              <w:top w:val="single" w:color="auto" w:sz="6" w:space="0"/>
              <w:left w:val="single" w:color="auto" w:sz="6" w:space="0"/>
              <w:bottom w:val="single" w:color="auto" w:sz="6" w:space="0"/>
              <w:right w:val="single" w:color="auto" w:sz="6" w:space="0"/>
            </w:tcBorders>
            <w:vAlign w:val="center"/>
          </w:tcPr>
          <w:p>
            <w:pPr>
              <w:adjustRightInd w:val="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33.95</w:t>
            </w:r>
          </w:p>
        </w:tc>
        <w:tc>
          <w:tcPr>
            <w:tcW w:w="1319" w:type="dxa"/>
            <w:tcBorders>
              <w:top w:val="single" w:color="auto" w:sz="6" w:space="0"/>
              <w:left w:val="single" w:color="auto" w:sz="6" w:space="0"/>
              <w:bottom w:val="single" w:color="auto" w:sz="6" w:space="0"/>
              <w:right w:val="single" w:color="auto" w:sz="6" w:space="0"/>
            </w:tcBorders>
          </w:tcPr>
          <w:p>
            <w:pPr>
              <w:jc w:val="center"/>
              <w:rPr>
                <w:color w:val="000000" w:themeColor="text1"/>
                <w14:textFill>
                  <w14:solidFill>
                    <w14:schemeClr w14:val="tx1"/>
                  </w14:solidFill>
                </w14:textFill>
              </w:rPr>
            </w:pPr>
            <w:r>
              <w:rPr>
                <w:color w:val="000000" w:themeColor="text1"/>
                <w:sz w:val="21"/>
                <w:szCs w:val="21"/>
                <w14:textFill>
                  <w14:solidFill>
                    <w14:schemeClr w14:val="tx1"/>
                  </w14:solidFill>
                </w14:textFill>
              </w:rPr>
              <w:t>——</w:t>
            </w:r>
          </w:p>
        </w:tc>
        <w:tc>
          <w:tcPr>
            <w:tcW w:w="954" w:type="dxa"/>
            <w:tcBorders>
              <w:top w:val="single" w:color="auto" w:sz="6" w:space="0"/>
              <w:left w:val="single" w:color="auto" w:sz="6" w:space="0"/>
              <w:bottom w:val="single" w:color="auto" w:sz="6" w:space="0"/>
              <w:right w:val="single" w:color="auto" w:sz="6" w:space="0"/>
            </w:tcBorders>
          </w:tcPr>
          <w:p>
            <w:pPr>
              <w:jc w:val="center"/>
              <w:rPr>
                <w:color w:val="000000" w:themeColor="text1"/>
                <w14:textFill>
                  <w14:solidFill>
                    <w14:schemeClr w14:val="tx1"/>
                  </w14:solidFill>
                </w14:textFill>
              </w:rPr>
            </w:pPr>
            <w:r>
              <w:rPr>
                <w:color w:val="000000" w:themeColor="text1"/>
                <w:sz w:val="21"/>
                <w:szCs w:val="21"/>
                <w14:textFill>
                  <w14:solidFill>
                    <w14:schemeClr w14:val="tx1"/>
                  </w14:solidFill>
                </w14:textFill>
              </w:rPr>
              <w:t>——</w:t>
            </w:r>
          </w:p>
        </w:tc>
        <w:tc>
          <w:tcPr>
            <w:tcW w:w="1081" w:type="dxa"/>
            <w:tcBorders>
              <w:top w:val="single" w:color="auto" w:sz="6" w:space="0"/>
              <w:left w:val="single" w:color="auto" w:sz="6" w:space="0"/>
              <w:bottom w:val="single" w:color="auto" w:sz="6" w:space="0"/>
              <w:right w:val="single" w:color="auto" w:sz="6" w:space="0"/>
            </w:tcBorders>
          </w:tcPr>
          <w:p>
            <w:pPr>
              <w:jc w:val="center"/>
              <w:rPr>
                <w:color w:val="000000" w:themeColor="text1"/>
                <w14:textFill>
                  <w14:solidFill>
                    <w14:schemeClr w14:val="tx1"/>
                  </w14:solidFill>
                </w14:textFill>
              </w:rPr>
            </w:pPr>
            <w:r>
              <w:rPr>
                <w:color w:val="000000" w:themeColor="text1"/>
                <w:sz w:val="21"/>
                <w:szCs w:val="21"/>
                <w14:textFill>
                  <w14:solidFill>
                    <w14:schemeClr w14:val="tx1"/>
                  </w14:solidFill>
                </w14:textFill>
              </w:rPr>
              <w:t>——</w:t>
            </w:r>
          </w:p>
        </w:tc>
        <w:tc>
          <w:tcPr>
            <w:tcW w:w="1171" w:type="dxa"/>
            <w:tcBorders>
              <w:top w:val="single" w:color="auto" w:sz="6" w:space="0"/>
              <w:left w:val="single" w:color="auto" w:sz="6" w:space="0"/>
              <w:bottom w:val="single" w:color="auto" w:sz="6" w:space="0"/>
              <w:right w:val="single" w:color="auto" w:sz="6" w:space="0"/>
            </w:tcBorders>
          </w:tcPr>
          <w:p>
            <w:pPr>
              <w:jc w:val="center"/>
              <w:rPr>
                <w:color w:val="000000" w:themeColor="text1"/>
                <w14:textFill>
                  <w14:solidFill>
                    <w14:schemeClr w14:val="tx1"/>
                  </w14:solidFill>
                </w14:textFill>
              </w:rPr>
            </w:pPr>
            <w:r>
              <w:rPr>
                <w:color w:val="000000" w:themeColor="text1"/>
                <w:sz w:val="21"/>
                <w:szCs w:val="21"/>
                <w14:textFill>
                  <w14:solidFill>
                    <w14:schemeClr w14:val="tx1"/>
                  </w14:solidFill>
                </w14:textFill>
              </w:rPr>
              <w:t>——</w:t>
            </w:r>
          </w:p>
        </w:tc>
        <w:tc>
          <w:tcPr>
            <w:tcW w:w="1013" w:type="dxa"/>
            <w:tcBorders>
              <w:top w:val="single" w:color="auto" w:sz="6" w:space="0"/>
              <w:left w:val="single" w:color="auto" w:sz="6" w:space="0"/>
              <w:bottom w:val="single" w:color="auto" w:sz="6" w:space="0"/>
              <w:right w:val="single" w:color="auto" w:sz="6" w:space="0"/>
            </w:tcBorders>
          </w:tcPr>
          <w:p>
            <w:pPr>
              <w:jc w:val="center"/>
              <w:rPr>
                <w:color w:val="000000" w:themeColor="text1"/>
                <w14:textFill>
                  <w14:solidFill>
                    <w14:schemeClr w14:val="tx1"/>
                  </w14:solidFill>
                </w14:textFill>
              </w:rPr>
            </w:pPr>
            <w:r>
              <w:rPr>
                <w:color w:val="000000" w:themeColor="text1"/>
                <w:sz w:val="21"/>
                <w:szCs w:val="21"/>
                <w14:textFill>
                  <w14:solidFill>
                    <w14:schemeClr w14:val="tx1"/>
                  </w14:solidFill>
                </w14:textFill>
              </w:rPr>
              <w:t>——</w:t>
            </w:r>
          </w:p>
        </w:tc>
        <w:tc>
          <w:tcPr>
            <w:tcW w:w="1034" w:type="dxa"/>
            <w:tcBorders>
              <w:top w:val="single" w:color="auto" w:sz="6" w:space="0"/>
              <w:left w:val="single" w:color="auto" w:sz="6" w:space="0"/>
              <w:bottom w:val="single" w:color="auto" w:sz="6" w:space="0"/>
              <w:right w:val="single" w:color="auto" w:sz="12" w:space="0"/>
            </w:tcBorders>
          </w:tcPr>
          <w:p>
            <w:pPr>
              <w:jc w:val="center"/>
              <w:rPr>
                <w:color w:val="000000" w:themeColor="text1"/>
                <w14:textFill>
                  <w14:solidFill>
                    <w14:schemeClr w14:val="tx1"/>
                  </w14:solidFill>
                </w14:textFill>
              </w:rPr>
            </w:pPr>
            <w:r>
              <w:rPr>
                <w:color w:val="000000" w:themeColor="text1"/>
                <w:sz w:val="21"/>
                <w:szCs w:val="21"/>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27" w:hRule="exact"/>
          <w:jc w:val="center"/>
        </w:trPr>
        <w:tc>
          <w:tcPr>
            <w:tcW w:w="491" w:type="dxa"/>
            <w:vMerge w:val="continue"/>
            <w:tcBorders>
              <w:top w:val="single" w:color="auto" w:sz="6" w:space="0"/>
              <w:left w:val="single" w:color="auto" w:sz="12" w:space="0"/>
              <w:bottom w:val="single" w:color="auto" w:sz="6" w:space="0"/>
              <w:right w:val="single" w:color="auto" w:sz="6" w:space="0"/>
            </w:tcBorders>
            <w:vAlign w:val="center"/>
          </w:tcPr>
          <w:p>
            <w:pPr>
              <w:widowControl/>
              <w:adjustRightInd w:val="0"/>
              <w:jc w:val="center"/>
              <w:rPr>
                <w:color w:val="000000" w:themeColor="text1"/>
                <w:kern w:val="0"/>
                <w:sz w:val="21"/>
                <w:szCs w:val="21"/>
                <w14:textFill>
                  <w14:solidFill>
                    <w14:schemeClr w14:val="tx1"/>
                  </w14:solidFill>
                </w14:textFill>
              </w:rPr>
            </w:pPr>
          </w:p>
        </w:tc>
        <w:tc>
          <w:tcPr>
            <w:tcW w:w="578" w:type="dxa"/>
            <w:tcBorders>
              <w:top w:val="single" w:color="auto" w:sz="6" w:space="0"/>
              <w:left w:val="single" w:color="auto" w:sz="6" w:space="0"/>
              <w:bottom w:val="single" w:color="auto" w:sz="6" w:space="0"/>
              <w:right w:val="single" w:color="auto" w:sz="6" w:space="0"/>
            </w:tcBorders>
            <w:vAlign w:val="center"/>
          </w:tcPr>
          <w:p>
            <w:pPr>
              <w:adjustRightInd w:val="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69</w:t>
            </w:r>
          </w:p>
        </w:tc>
        <w:tc>
          <w:tcPr>
            <w:tcW w:w="1267" w:type="dxa"/>
            <w:tcBorders>
              <w:top w:val="single" w:color="auto" w:sz="6" w:space="0"/>
              <w:left w:val="single" w:color="auto" w:sz="6" w:space="0"/>
              <w:bottom w:val="single" w:color="auto" w:sz="6" w:space="0"/>
              <w:right w:val="single" w:color="auto" w:sz="6" w:space="0"/>
            </w:tcBorders>
          </w:tcPr>
          <w:p>
            <w:pPr>
              <w:jc w:val="center"/>
              <w:rPr>
                <w:color w:val="000000" w:themeColor="text1"/>
                <w14:textFill>
                  <w14:solidFill>
                    <w14:schemeClr w14:val="tx1"/>
                  </w14:solidFill>
                </w14:textFill>
              </w:rPr>
            </w:pPr>
            <w:r>
              <w:rPr>
                <w:color w:val="000000" w:themeColor="text1"/>
                <w:sz w:val="21"/>
                <w:szCs w:val="21"/>
                <w14:textFill>
                  <w14:solidFill>
                    <w14:schemeClr w14:val="tx1"/>
                  </w14:solidFill>
                </w14:textFill>
              </w:rPr>
              <w:t>——</w:t>
            </w:r>
          </w:p>
        </w:tc>
        <w:tc>
          <w:tcPr>
            <w:tcW w:w="954" w:type="dxa"/>
            <w:tcBorders>
              <w:top w:val="single" w:color="auto" w:sz="6" w:space="0"/>
              <w:left w:val="single" w:color="auto" w:sz="6" w:space="0"/>
              <w:bottom w:val="single" w:color="auto" w:sz="6" w:space="0"/>
              <w:right w:val="single" w:color="auto" w:sz="6" w:space="0"/>
            </w:tcBorders>
          </w:tcPr>
          <w:p>
            <w:pPr>
              <w:jc w:val="center"/>
              <w:rPr>
                <w:color w:val="000000" w:themeColor="text1"/>
                <w14:textFill>
                  <w14:solidFill>
                    <w14:schemeClr w14:val="tx1"/>
                  </w14:solidFill>
                </w14:textFill>
              </w:rPr>
            </w:pPr>
            <w:r>
              <w:rPr>
                <w:color w:val="000000" w:themeColor="text1"/>
                <w:sz w:val="21"/>
                <w:szCs w:val="21"/>
                <w14:textFill>
                  <w14:solidFill>
                    <w14:schemeClr w14:val="tx1"/>
                  </w14:solidFill>
                </w14:textFill>
              </w:rPr>
              <w:t>——</w:t>
            </w:r>
          </w:p>
        </w:tc>
        <w:tc>
          <w:tcPr>
            <w:tcW w:w="1046" w:type="dxa"/>
            <w:tcBorders>
              <w:top w:val="single" w:color="auto" w:sz="6" w:space="0"/>
              <w:left w:val="single" w:color="auto" w:sz="6" w:space="0"/>
              <w:bottom w:val="single" w:color="auto" w:sz="6" w:space="0"/>
              <w:right w:val="single" w:color="auto" w:sz="6" w:space="0"/>
            </w:tcBorders>
          </w:tcPr>
          <w:p>
            <w:pPr>
              <w:jc w:val="center"/>
              <w:rPr>
                <w:color w:val="000000" w:themeColor="text1"/>
                <w14:textFill>
                  <w14:solidFill>
                    <w14:schemeClr w14:val="tx1"/>
                  </w14:solidFill>
                </w14:textFill>
              </w:rPr>
            </w:pPr>
            <w:r>
              <w:rPr>
                <w:color w:val="000000" w:themeColor="text1"/>
                <w:sz w:val="21"/>
                <w:szCs w:val="21"/>
                <w14:textFill>
                  <w14:solidFill>
                    <w14:schemeClr w14:val="tx1"/>
                  </w14:solidFill>
                </w14:textFill>
              </w:rPr>
              <w:t>——</w:t>
            </w:r>
          </w:p>
        </w:tc>
        <w:tc>
          <w:tcPr>
            <w:tcW w:w="1242" w:type="dxa"/>
            <w:tcBorders>
              <w:top w:val="single" w:color="auto" w:sz="6" w:space="0"/>
              <w:left w:val="single" w:color="auto" w:sz="6" w:space="0"/>
              <w:bottom w:val="single" w:color="auto" w:sz="6" w:space="0"/>
              <w:right w:val="single" w:color="auto" w:sz="6" w:space="0"/>
            </w:tcBorders>
            <w:vAlign w:val="center"/>
          </w:tcPr>
          <w:p>
            <w:pPr>
              <w:adjustRightInd w:val="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558.82</w:t>
            </w:r>
          </w:p>
        </w:tc>
        <w:tc>
          <w:tcPr>
            <w:tcW w:w="935" w:type="dxa"/>
            <w:tcBorders>
              <w:top w:val="single" w:color="auto" w:sz="6" w:space="0"/>
              <w:left w:val="single" w:color="auto" w:sz="6" w:space="0"/>
              <w:bottom w:val="single" w:color="auto" w:sz="6" w:space="0"/>
              <w:right w:val="single" w:color="auto" w:sz="6" w:space="0"/>
            </w:tcBorders>
            <w:vAlign w:val="center"/>
          </w:tcPr>
          <w:p>
            <w:pPr>
              <w:widowControl/>
              <w:adjustRightInd w:val="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454.59</w:t>
            </w:r>
          </w:p>
        </w:tc>
        <w:tc>
          <w:tcPr>
            <w:tcW w:w="1089" w:type="dxa"/>
            <w:tcBorders>
              <w:top w:val="single" w:color="auto" w:sz="6" w:space="0"/>
              <w:left w:val="single" w:color="auto" w:sz="6" w:space="0"/>
              <w:bottom w:val="single" w:color="auto" w:sz="6" w:space="0"/>
              <w:right w:val="single" w:color="auto" w:sz="6" w:space="0"/>
            </w:tcBorders>
            <w:vAlign w:val="center"/>
          </w:tcPr>
          <w:p>
            <w:pPr>
              <w:adjustRightInd w:val="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31.91</w:t>
            </w:r>
          </w:p>
        </w:tc>
        <w:tc>
          <w:tcPr>
            <w:tcW w:w="1319" w:type="dxa"/>
            <w:tcBorders>
              <w:top w:val="single" w:color="auto" w:sz="6" w:space="0"/>
              <w:left w:val="single" w:color="auto" w:sz="6" w:space="0"/>
              <w:bottom w:val="single" w:color="auto" w:sz="6" w:space="0"/>
              <w:right w:val="single" w:color="auto" w:sz="6" w:space="0"/>
            </w:tcBorders>
          </w:tcPr>
          <w:p>
            <w:pPr>
              <w:jc w:val="center"/>
              <w:rPr>
                <w:color w:val="000000" w:themeColor="text1"/>
                <w14:textFill>
                  <w14:solidFill>
                    <w14:schemeClr w14:val="tx1"/>
                  </w14:solidFill>
                </w14:textFill>
              </w:rPr>
            </w:pPr>
            <w:r>
              <w:rPr>
                <w:color w:val="000000" w:themeColor="text1"/>
                <w:sz w:val="21"/>
                <w:szCs w:val="21"/>
                <w14:textFill>
                  <w14:solidFill>
                    <w14:schemeClr w14:val="tx1"/>
                  </w14:solidFill>
                </w14:textFill>
              </w:rPr>
              <w:t>——</w:t>
            </w:r>
          </w:p>
        </w:tc>
        <w:tc>
          <w:tcPr>
            <w:tcW w:w="954" w:type="dxa"/>
            <w:tcBorders>
              <w:top w:val="single" w:color="auto" w:sz="6" w:space="0"/>
              <w:left w:val="single" w:color="auto" w:sz="6" w:space="0"/>
              <w:bottom w:val="single" w:color="auto" w:sz="6" w:space="0"/>
              <w:right w:val="single" w:color="auto" w:sz="6" w:space="0"/>
            </w:tcBorders>
          </w:tcPr>
          <w:p>
            <w:pPr>
              <w:jc w:val="center"/>
              <w:rPr>
                <w:color w:val="000000" w:themeColor="text1"/>
                <w14:textFill>
                  <w14:solidFill>
                    <w14:schemeClr w14:val="tx1"/>
                  </w14:solidFill>
                </w14:textFill>
              </w:rPr>
            </w:pPr>
            <w:r>
              <w:rPr>
                <w:color w:val="000000" w:themeColor="text1"/>
                <w:sz w:val="21"/>
                <w:szCs w:val="21"/>
                <w14:textFill>
                  <w14:solidFill>
                    <w14:schemeClr w14:val="tx1"/>
                  </w14:solidFill>
                </w14:textFill>
              </w:rPr>
              <w:t>——</w:t>
            </w:r>
          </w:p>
        </w:tc>
        <w:tc>
          <w:tcPr>
            <w:tcW w:w="1081" w:type="dxa"/>
            <w:tcBorders>
              <w:top w:val="single" w:color="auto" w:sz="6" w:space="0"/>
              <w:left w:val="single" w:color="auto" w:sz="6" w:space="0"/>
              <w:bottom w:val="single" w:color="auto" w:sz="6" w:space="0"/>
              <w:right w:val="single" w:color="auto" w:sz="6" w:space="0"/>
            </w:tcBorders>
          </w:tcPr>
          <w:p>
            <w:pPr>
              <w:jc w:val="center"/>
              <w:rPr>
                <w:color w:val="000000" w:themeColor="text1"/>
                <w14:textFill>
                  <w14:solidFill>
                    <w14:schemeClr w14:val="tx1"/>
                  </w14:solidFill>
                </w14:textFill>
              </w:rPr>
            </w:pPr>
            <w:r>
              <w:rPr>
                <w:color w:val="000000" w:themeColor="text1"/>
                <w:sz w:val="21"/>
                <w:szCs w:val="21"/>
                <w14:textFill>
                  <w14:solidFill>
                    <w14:schemeClr w14:val="tx1"/>
                  </w14:solidFill>
                </w14:textFill>
              </w:rPr>
              <w:t>——</w:t>
            </w:r>
          </w:p>
        </w:tc>
        <w:tc>
          <w:tcPr>
            <w:tcW w:w="1171" w:type="dxa"/>
            <w:tcBorders>
              <w:top w:val="single" w:color="auto" w:sz="6" w:space="0"/>
              <w:left w:val="single" w:color="auto" w:sz="6" w:space="0"/>
              <w:bottom w:val="single" w:color="auto" w:sz="6" w:space="0"/>
              <w:right w:val="single" w:color="auto" w:sz="6" w:space="0"/>
            </w:tcBorders>
          </w:tcPr>
          <w:p>
            <w:pPr>
              <w:jc w:val="center"/>
              <w:rPr>
                <w:color w:val="000000" w:themeColor="text1"/>
                <w14:textFill>
                  <w14:solidFill>
                    <w14:schemeClr w14:val="tx1"/>
                  </w14:solidFill>
                </w14:textFill>
              </w:rPr>
            </w:pPr>
            <w:r>
              <w:rPr>
                <w:color w:val="000000" w:themeColor="text1"/>
                <w:sz w:val="21"/>
                <w:szCs w:val="21"/>
                <w14:textFill>
                  <w14:solidFill>
                    <w14:schemeClr w14:val="tx1"/>
                  </w14:solidFill>
                </w14:textFill>
              </w:rPr>
              <w:t>——</w:t>
            </w:r>
          </w:p>
        </w:tc>
        <w:tc>
          <w:tcPr>
            <w:tcW w:w="1013" w:type="dxa"/>
            <w:tcBorders>
              <w:top w:val="single" w:color="auto" w:sz="6" w:space="0"/>
              <w:left w:val="single" w:color="auto" w:sz="6" w:space="0"/>
              <w:bottom w:val="single" w:color="auto" w:sz="6" w:space="0"/>
              <w:right w:val="single" w:color="auto" w:sz="6" w:space="0"/>
            </w:tcBorders>
          </w:tcPr>
          <w:p>
            <w:pPr>
              <w:jc w:val="center"/>
              <w:rPr>
                <w:color w:val="000000" w:themeColor="text1"/>
                <w14:textFill>
                  <w14:solidFill>
                    <w14:schemeClr w14:val="tx1"/>
                  </w14:solidFill>
                </w14:textFill>
              </w:rPr>
            </w:pPr>
            <w:r>
              <w:rPr>
                <w:color w:val="000000" w:themeColor="text1"/>
                <w:sz w:val="21"/>
                <w:szCs w:val="21"/>
                <w14:textFill>
                  <w14:solidFill>
                    <w14:schemeClr w14:val="tx1"/>
                  </w14:solidFill>
                </w14:textFill>
              </w:rPr>
              <w:t>——</w:t>
            </w:r>
          </w:p>
        </w:tc>
        <w:tc>
          <w:tcPr>
            <w:tcW w:w="1034" w:type="dxa"/>
            <w:tcBorders>
              <w:top w:val="single" w:color="auto" w:sz="6" w:space="0"/>
              <w:left w:val="single" w:color="auto" w:sz="6" w:space="0"/>
              <w:bottom w:val="single" w:color="auto" w:sz="6" w:space="0"/>
              <w:right w:val="single" w:color="auto" w:sz="12" w:space="0"/>
            </w:tcBorders>
          </w:tcPr>
          <w:p>
            <w:pPr>
              <w:jc w:val="center"/>
              <w:rPr>
                <w:color w:val="000000" w:themeColor="text1"/>
                <w14:textFill>
                  <w14:solidFill>
                    <w14:schemeClr w14:val="tx1"/>
                  </w14:solidFill>
                </w14:textFill>
              </w:rPr>
            </w:pPr>
            <w:r>
              <w:rPr>
                <w:color w:val="000000" w:themeColor="text1"/>
                <w:sz w:val="21"/>
                <w:szCs w:val="21"/>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27" w:hRule="exact"/>
          <w:jc w:val="center"/>
        </w:trPr>
        <w:tc>
          <w:tcPr>
            <w:tcW w:w="491" w:type="dxa"/>
            <w:vMerge w:val="continue"/>
            <w:tcBorders>
              <w:top w:val="single" w:color="auto" w:sz="6" w:space="0"/>
              <w:left w:val="single" w:color="auto" w:sz="12" w:space="0"/>
              <w:bottom w:val="single" w:color="auto" w:sz="6" w:space="0"/>
              <w:right w:val="single" w:color="auto" w:sz="6" w:space="0"/>
            </w:tcBorders>
            <w:vAlign w:val="center"/>
          </w:tcPr>
          <w:p>
            <w:pPr>
              <w:widowControl/>
              <w:adjustRightInd w:val="0"/>
              <w:jc w:val="center"/>
              <w:rPr>
                <w:color w:val="000000" w:themeColor="text1"/>
                <w:kern w:val="0"/>
                <w:sz w:val="21"/>
                <w:szCs w:val="21"/>
                <w14:textFill>
                  <w14:solidFill>
                    <w14:schemeClr w14:val="tx1"/>
                  </w14:solidFill>
                </w14:textFill>
              </w:rPr>
            </w:pPr>
          </w:p>
        </w:tc>
        <w:tc>
          <w:tcPr>
            <w:tcW w:w="578" w:type="dxa"/>
            <w:tcBorders>
              <w:top w:val="single" w:color="auto" w:sz="6" w:space="0"/>
              <w:left w:val="single" w:color="auto" w:sz="6" w:space="0"/>
              <w:bottom w:val="single" w:color="auto" w:sz="6" w:space="0"/>
              <w:right w:val="single" w:color="auto" w:sz="6" w:space="0"/>
            </w:tcBorders>
            <w:vAlign w:val="center"/>
          </w:tcPr>
          <w:p>
            <w:pPr>
              <w:adjustRightInd w:val="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72</w:t>
            </w:r>
          </w:p>
        </w:tc>
        <w:tc>
          <w:tcPr>
            <w:tcW w:w="1267" w:type="dxa"/>
            <w:tcBorders>
              <w:top w:val="single" w:color="auto" w:sz="6" w:space="0"/>
              <w:left w:val="single" w:color="auto" w:sz="6" w:space="0"/>
              <w:bottom w:val="single" w:color="auto" w:sz="6" w:space="0"/>
              <w:right w:val="single" w:color="auto" w:sz="6" w:space="0"/>
            </w:tcBorders>
          </w:tcPr>
          <w:p>
            <w:pPr>
              <w:jc w:val="center"/>
              <w:rPr>
                <w:color w:val="000000" w:themeColor="text1"/>
                <w14:textFill>
                  <w14:solidFill>
                    <w14:schemeClr w14:val="tx1"/>
                  </w14:solidFill>
                </w14:textFill>
              </w:rPr>
            </w:pPr>
            <w:r>
              <w:rPr>
                <w:color w:val="000000" w:themeColor="text1"/>
                <w:sz w:val="21"/>
                <w:szCs w:val="21"/>
                <w14:textFill>
                  <w14:solidFill>
                    <w14:schemeClr w14:val="tx1"/>
                  </w14:solidFill>
                </w14:textFill>
              </w:rPr>
              <w:t>——</w:t>
            </w:r>
          </w:p>
        </w:tc>
        <w:tc>
          <w:tcPr>
            <w:tcW w:w="954" w:type="dxa"/>
            <w:tcBorders>
              <w:top w:val="single" w:color="auto" w:sz="6" w:space="0"/>
              <w:left w:val="single" w:color="auto" w:sz="6" w:space="0"/>
              <w:bottom w:val="single" w:color="auto" w:sz="6" w:space="0"/>
              <w:right w:val="single" w:color="auto" w:sz="6" w:space="0"/>
            </w:tcBorders>
          </w:tcPr>
          <w:p>
            <w:pPr>
              <w:jc w:val="center"/>
              <w:rPr>
                <w:color w:val="000000" w:themeColor="text1"/>
                <w14:textFill>
                  <w14:solidFill>
                    <w14:schemeClr w14:val="tx1"/>
                  </w14:solidFill>
                </w14:textFill>
              </w:rPr>
            </w:pPr>
            <w:r>
              <w:rPr>
                <w:color w:val="000000" w:themeColor="text1"/>
                <w:sz w:val="21"/>
                <w:szCs w:val="21"/>
                <w14:textFill>
                  <w14:solidFill>
                    <w14:schemeClr w14:val="tx1"/>
                  </w14:solidFill>
                </w14:textFill>
              </w:rPr>
              <w:t>——</w:t>
            </w:r>
          </w:p>
        </w:tc>
        <w:tc>
          <w:tcPr>
            <w:tcW w:w="1046" w:type="dxa"/>
            <w:tcBorders>
              <w:top w:val="single" w:color="auto" w:sz="6" w:space="0"/>
              <w:left w:val="single" w:color="auto" w:sz="6" w:space="0"/>
              <w:bottom w:val="single" w:color="auto" w:sz="6" w:space="0"/>
              <w:right w:val="single" w:color="auto" w:sz="6" w:space="0"/>
            </w:tcBorders>
          </w:tcPr>
          <w:p>
            <w:pPr>
              <w:jc w:val="center"/>
              <w:rPr>
                <w:color w:val="000000" w:themeColor="text1"/>
                <w14:textFill>
                  <w14:solidFill>
                    <w14:schemeClr w14:val="tx1"/>
                  </w14:solidFill>
                </w14:textFill>
              </w:rPr>
            </w:pPr>
            <w:r>
              <w:rPr>
                <w:color w:val="000000" w:themeColor="text1"/>
                <w:sz w:val="21"/>
                <w:szCs w:val="21"/>
                <w14:textFill>
                  <w14:solidFill>
                    <w14:schemeClr w14:val="tx1"/>
                  </w14:solidFill>
                </w14:textFill>
              </w:rPr>
              <w:t>——</w:t>
            </w:r>
          </w:p>
        </w:tc>
        <w:tc>
          <w:tcPr>
            <w:tcW w:w="1242" w:type="dxa"/>
            <w:tcBorders>
              <w:top w:val="single" w:color="auto" w:sz="6" w:space="0"/>
              <w:left w:val="single" w:color="auto" w:sz="6" w:space="0"/>
              <w:bottom w:val="single" w:color="auto" w:sz="6" w:space="0"/>
              <w:right w:val="single" w:color="auto" w:sz="6" w:space="0"/>
            </w:tcBorders>
            <w:vAlign w:val="center"/>
          </w:tcPr>
          <w:p>
            <w:pPr>
              <w:adjustRightInd w:val="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550.21</w:t>
            </w:r>
          </w:p>
        </w:tc>
        <w:tc>
          <w:tcPr>
            <w:tcW w:w="935" w:type="dxa"/>
            <w:tcBorders>
              <w:top w:val="single" w:color="auto" w:sz="6" w:space="0"/>
              <w:left w:val="single" w:color="auto" w:sz="6" w:space="0"/>
              <w:bottom w:val="single" w:color="auto" w:sz="6" w:space="0"/>
              <w:right w:val="single" w:color="auto" w:sz="6" w:space="0"/>
            </w:tcBorders>
            <w:vAlign w:val="center"/>
          </w:tcPr>
          <w:p>
            <w:pPr>
              <w:widowControl/>
              <w:adjustRightInd w:val="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461.76</w:t>
            </w:r>
          </w:p>
        </w:tc>
        <w:tc>
          <w:tcPr>
            <w:tcW w:w="1089" w:type="dxa"/>
            <w:tcBorders>
              <w:top w:val="single" w:color="auto" w:sz="6" w:space="0"/>
              <w:left w:val="single" w:color="auto" w:sz="6" w:space="0"/>
              <w:bottom w:val="single" w:color="auto" w:sz="6" w:space="0"/>
              <w:right w:val="single" w:color="auto" w:sz="6" w:space="0"/>
            </w:tcBorders>
            <w:vAlign w:val="center"/>
          </w:tcPr>
          <w:p>
            <w:pPr>
              <w:adjustRightInd w:val="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30.69</w:t>
            </w:r>
          </w:p>
        </w:tc>
        <w:tc>
          <w:tcPr>
            <w:tcW w:w="1319" w:type="dxa"/>
            <w:tcBorders>
              <w:top w:val="single" w:color="auto" w:sz="6" w:space="0"/>
              <w:left w:val="single" w:color="auto" w:sz="6" w:space="0"/>
              <w:bottom w:val="single" w:color="auto" w:sz="6" w:space="0"/>
              <w:right w:val="single" w:color="auto" w:sz="6" w:space="0"/>
            </w:tcBorders>
          </w:tcPr>
          <w:p>
            <w:pPr>
              <w:jc w:val="center"/>
              <w:rPr>
                <w:color w:val="000000" w:themeColor="text1"/>
                <w14:textFill>
                  <w14:solidFill>
                    <w14:schemeClr w14:val="tx1"/>
                  </w14:solidFill>
                </w14:textFill>
              </w:rPr>
            </w:pPr>
            <w:r>
              <w:rPr>
                <w:color w:val="000000" w:themeColor="text1"/>
                <w:sz w:val="21"/>
                <w:szCs w:val="21"/>
                <w14:textFill>
                  <w14:solidFill>
                    <w14:schemeClr w14:val="tx1"/>
                  </w14:solidFill>
                </w14:textFill>
              </w:rPr>
              <w:t>——</w:t>
            </w:r>
          </w:p>
        </w:tc>
        <w:tc>
          <w:tcPr>
            <w:tcW w:w="954" w:type="dxa"/>
            <w:tcBorders>
              <w:top w:val="single" w:color="auto" w:sz="6" w:space="0"/>
              <w:left w:val="single" w:color="auto" w:sz="6" w:space="0"/>
              <w:bottom w:val="single" w:color="auto" w:sz="6" w:space="0"/>
              <w:right w:val="single" w:color="auto" w:sz="6" w:space="0"/>
            </w:tcBorders>
          </w:tcPr>
          <w:p>
            <w:pPr>
              <w:jc w:val="center"/>
              <w:rPr>
                <w:color w:val="000000" w:themeColor="text1"/>
                <w14:textFill>
                  <w14:solidFill>
                    <w14:schemeClr w14:val="tx1"/>
                  </w14:solidFill>
                </w14:textFill>
              </w:rPr>
            </w:pPr>
            <w:r>
              <w:rPr>
                <w:color w:val="000000" w:themeColor="text1"/>
                <w:sz w:val="21"/>
                <w:szCs w:val="21"/>
                <w14:textFill>
                  <w14:solidFill>
                    <w14:schemeClr w14:val="tx1"/>
                  </w14:solidFill>
                </w14:textFill>
              </w:rPr>
              <w:t>——</w:t>
            </w:r>
          </w:p>
        </w:tc>
        <w:tc>
          <w:tcPr>
            <w:tcW w:w="1081" w:type="dxa"/>
            <w:tcBorders>
              <w:top w:val="single" w:color="auto" w:sz="6" w:space="0"/>
              <w:left w:val="single" w:color="auto" w:sz="6" w:space="0"/>
              <w:bottom w:val="single" w:color="auto" w:sz="6" w:space="0"/>
              <w:right w:val="single" w:color="auto" w:sz="6" w:space="0"/>
            </w:tcBorders>
          </w:tcPr>
          <w:p>
            <w:pPr>
              <w:jc w:val="center"/>
              <w:rPr>
                <w:color w:val="000000" w:themeColor="text1"/>
                <w14:textFill>
                  <w14:solidFill>
                    <w14:schemeClr w14:val="tx1"/>
                  </w14:solidFill>
                </w14:textFill>
              </w:rPr>
            </w:pPr>
            <w:r>
              <w:rPr>
                <w:color w:val="000000" w:themeColor="text1"/>
                <w:sz w:val="21"/>
                <w:szCs w:val="21"/>
                <w14:textFill>
                  <w14:solidFill>
                    <w14:schemeClr w14:val="tx1"/>
                  </w14:solidFill>
                </w14:textFill>
              </w:rPr>
              <w:t>——</w:t>
            </w:r>
          </w:p>
        </w:tc>
        <w:tc>
          <w:tcPr>
            <w:tcW w:w="1171" w:type="dxa"/>
            <w:tcBorders>
              <w:top w:val="single" w:color="auto" w:sz="6" w:space="0"/>
              <w:left w:val="single" w:color="auto" w:sz="6" w:space="0"/>
              <w:bottom w:val="single" w:color="auto" w:sz="6" w:space="0"/>
              <w:right w:val="single" w:color="auto" w:sz="6" w:space="0"/>
            </w:tcBorders>
          </w:tcPr>
          <w:p>
            <w:pPr>
              <w:jc w:val="center"/>
              <w:rPr>
                <w:color w:val="000000" w:themeColor="text1"/>
                <w14:textFill>
                  <w14:solidFill>
                    <w14:schemeClr w14:val="tx1"/>
                  </w14:solidFill>
                </w14:textFill>
              </w:rPr>
            </w:pPr>
            <w:r>
              <w:rPr>
                <w:color w:val="000000" w:themeColor="text1"/>
                <w:sz w:val="21"/>
                <w:szCs w:val="21"/>
                <w14:textFill>
                  <w14:solidFill>
                    <w14:schemeClr w14:val="tx1"/>
                  </w14:solidFill>
                </w14:textFill>
              </w:rPr>
              <w:t>——</w:t>
            </w:r>
          </w:p>
        </w:tc>
        <w:tc>
          <w:tcPr>
            <w:tcW w:w="1013" w:type="dxa"/>
            <w:tcBorders>
              <w:top w:val="single" w:color="auto" w:sz="6" w:space="0"/>
              <w:left w:val="single" w:color="auto" w:sz="6" w:space="0"/>
              <w:bottom w:val="single" w:color="auto" w:sz="6" w:space="0"/>
              <w:right w:val="single" w:color="auto" w:sz="6" w:space="0"/>
            </w:tcBorders>
          </w:tcPr>
          <w:p>
            <w:pPr>
              <w:jc w:val="center"/>
              <w:rPr>
                <w:color w:val="000000" w:themeColor="text1"/>
                <w14:textFill>
                  <w14:solidFill>
                    <w14:schemeClr w14:val="tx1"/>
                  </w14:solidFill>
                </w14:textFill>
              </w:rPr>
            </w:pPr>
            <w:r>
              <w:rPr>
                <w:color w:val="000000" w:themeColor="text1"/>
                <w:sz w:val="21"/>
                <w:szCs w:val="21"/>
                <w14:textFill>
                  <w14:solidFill>
                    <w14:schemeClr w14:val="tx1"/>
                  </w14:solidFill>
                </w14:textFill>
              </w:rPr>
              <w:t>——</w:t>
            </w:r>
          </w:p>
        </w:tc>
        <w:tc>
          <w:tcPr>
            <w:tcW w:w="1034" w:type="dxa"/>
            <w:tcBorders>
              <w:top w:val="single" w:color="auto" w:sz="6" w:space="0"/>
              <w:left w:val="single" w:color="auto" w:sz="6" w:space="0"/>
              <w:bottom w:val="single" w:color="auto" w:sz="6" w:space="0"/>
              <w:right w:val="single" w:color="auto" w:sz="12" w:space="0"/>
            </w:tcBorders>
          </w:tcPr>
          <w:p>
            <w:pPr>
              <w:jc w:val="center"/>
              <w:rPr>
                <w:color w:val="000000" w:themeColor="text1"/>
                <w14:textFill>
                  <w14:solidFill>
                    <w14:schemeClr w14:val="tx1"/>
                  </w14:solidFill>
                </w14:textFill>
              </w:rPr>
            </w:pPr>
            <w:r>
              <w:rPr>
                <w:color w:val="000000" w:themeColor="text1"/>
                <w:sz w:val="21"/>
                <w:szCs w:val="21"/>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55" w:hRule="exact"/>
          <w:jc w:val="center"/>
        </w:trPr>
        <w:tc>
          <w:tcPr>
            <w:tcW w:w="14174" w:type="dxa"/>
            <w:gridSpan w:val="14"/>
            <w:tcBorders>
              <w:top w:val="single" w:color="auto" w:sz="6" w:space="0"/>
              <w:left w:val="single" w:color="auto" w:sz="12" w:space="0"/>
              <w:bottom w:val="single" w:color="auto" w:sz="12" w:space="0"/>
              <w:right w:val="single" w:color="auto" w:sz="12" w:space="0"/>
            </w:tcBorders>
            <w:vAlign w:val="center"/>
          </w:tcPr>
          <w:p>
            <w:pPr>
              <w:widowControl/>
              <w:adjustRightInd w:val="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备注：“——”表示该工况下该时刻主体油膜抵岸或飘出计算域，因此无值。</w:t>
            </w:r>
          </w:p>
        </w:tc>
      </w:tr>
    </w:tbl>
    <w:p>
      <w:pPr>
        <w:pStyle w:val="384"/>
        <w:numPr>
          <w:ilvl w:val="0"/>
          <w:numId w:val="0"/>
        </w:numPr>
        <w:rPr>
          <w:rFonts w:cs="Times New Roman"/>
          <w:color w:val="000000" w:themeColor="text1"/>
          <w14:textFill>
            <w14:solidFill>
              <w14:schemeClr w14:val="tx1"/>
            </w14:solidFill>
          </w14:textFill>
        </w:rPr>
      </w:pPr>
    </w:p>
    <w:p>
      <w:pPr>
        <w:pStyle w:val="1075"/>
        <w:ind w:firstLine="480"/>
        <w:rPr>
          <w:color w:val="000000" w:themeColor="text1"/>
          <w14:textFill>
            <w14:solidFill>
              <w14:schemeClr w14:val="tx1"/>
            </w14:solidFill>
          </w14:textFill>
        </w:rPr>
        <w:sectPr>
          <w:pgSz w:w="16840" w:h="11907" w:orient="landscape"/>
          <w:pgMar w:top="1514" w:right="1440" w:bottom="1797" w:left="1440" w:header="992" w:footer="851" w:gutter="284"/>
          <w:pgNumType w:fmt="numberInDash"/>
          <w:cols w:space="425" w:num="1"/>
          <w:docGrid w:type="lines" w:linePitch="465" w:charSpace="-4355"/>
        </w:sectPr>
      </w:pPr>
    </w:p>
    <w:p>
      <w:pPr>
        <w:adjustRightInd w:val="0"/>
        <w:snapToGrid w:val="0"/>
        <w:spacing w:line="360" w:lineRule="auto"/>
        <w:jc w:val="center"/>
        <w:rPr>
          <w:rFonts w:eastAsia="黑体"/>
          <w:color w:val="000000" w:themeColor="text1"/>
          <w14:textFill>
            <w14:solidFill>
              <w14:schemeClr w14:val="tx1"/>
            </w14:solidFill>
          </w14:textFill>
        </w:rPr>
      </w:pPr>
    </w:p>
    <w:p>
      <w:pPr>
        <w:pStyle w:val="553"/>
        <w:rPr>
          <w:color w:val="000000" w:themeColor="text1"/>
          <w14:textFill>
            <w14:solidFill>
              <w14:schemeClr w14:val="tx1"/>
            </w14:solidFill>
          </w14:textFill>
        </w:rPr>
      </w:pPr>
      <w:r>
        <w:rPr>
          <w:color w:val="000000" w:themeColor="text1"/>
          <w14:textFill>
            <w14:solidFill>
              <w14:schemeClr w14:val="tx1"/>
            </w14:solidFill>
          </w14:textFill>
        </w:rPr>
        <w:t>码头S</w:t>
      </w:r>
      <w:r>
        <w:rPr>
          <w:rFonts w:hint="eastAsia"/>
          <w:color w:val="000000" w:themeColor="text1"/>
          <w14:textFill>
            <w14:solidFill>
              <w14:schemeClr w14:val="tx1"/>
            </w14:solidFill>
          </w14:textFill>
        </w:rPr>
        <w:t>高潮时</w:t>
      </w:r>
      <w:r>
        <w:rPr>
          <w:color w:val="000000" w:themeColor="text1"/>
          <w14:textFill>
            <w14:solidFill>
              <w14:schemeClr w14:val="tx1"/>
            </w14:solidFill>
          </w14:textFill>
        </w:rPr>
        <w:t>溢油轨迹</w:t>
      </w:r>
    </w:p>
    <w:p>
      <w:pPr>
        <w:adjustRightInd w:val="0"/>
        <w:snapToGrid w:val="0"/>
        <w:spacing w:line="360" w:lineRule="auto"/>
        <w:jc w:val="center"/>
        <w:rPr>
          <w:rFonts w:eastAsia="黑体"/>
          <w:color w:val="000000" w:themeColor="text1"/>
          <w14:textFill>
            <w14:solidFill>
              <w14:schemeClr w14:val="tx1"/>
            </w14:solidFill>
          </w14:textFill>
        </w:rPr>
      </w:pPr>
    </w:p>
    <w:p>
      <w:pPr>
        <w:pStyle w:val="553"/>
        <w:rPr>
          <w:color w:val="000000" w:themeColor="text1"/>
          <w14:textFill>
            <w14:solidFill>
              <w14:schemeClr w14:val="tx1"/>
            </w14:solidFill>
          </w14:textFill>
        </w:rPr>
      </w:pPr>
      <w:r>
        <w:rPr>
          <w:color w:val="000000" w:themeColor="text1"/>
          <w14:textFill>
            <w14:solidFill>
              <w14:schemeClr w14:val="tx1"/>
            </w14:solidFill>
          </w14:textFill>
        </w:rPr>
        <w:t>码头N</w:t>
      </w:r>
      <w:r>
        <w:rPr>
          <w:rFonts w:hint="eastAsia"/>
          <w:color w:val="000000" w:themeColor="text1"/>
          <w14:textFill>
            <w14:solidFill>
              <w14:schemeClr w14:val="tx1"/>
            </w14:solidFill>
          </w14:textFill>
        </w:rPr>
        <w:t>高潮时</w:t>
      </w:r>
      <w:r>
        <w:rPr>
          <w:color w:val="000000" w:themeColor="text1"/>
          <w14:textFill>
            <w14:solidFill>
              <w14:schemeClr w14:val="tx1"/>
            </w14:solidFill>
          </w14:textFill>
        </w:rPr>
        <w:t>溢油轨迹</w:t>
      </w:r>
    </w:p>
    <w:p>
      <w:pPr>
        <w:pStyle w:val="553"/>
        <w:numPr>
          <w:ilvl w:val="0"/>
          <w:numId w:val="0"/>
        </w:numPr>
        <w:rPr>
          <w:rFonts w:cs="Times New Roman"/>
          <w:color w:val="000000" w:themeColor="text1"/>
          <w14:textFill>
            <w14:solidFill>
              <w14:schemeClr w14:val="tx1"/>
            </w14:solidFill>
          </w14:textFill>
        </w:rPr>
      </w:pPr>
    </w:p>
    <w:p>
      <w:pPr>
        <w:pStyle w:val="553"/>
        <w:rPr>
          <w:color w:val="000000" w:themeColor="text1"/>
          <w14:textFill>
            <w14:solidFill>
              <w14:schemeClr w14:val="tx1"/>
            </w14:solidFill>
          </w14:textFill>
        </w:rPr>
      </w:pPr>
      <w:r>
        <w:rPr>
          <w:rFonts w:hint="eastAsia"/>
          <w:color w:val="000000" w:themeColor="text1"/>
          <w14:textFill>
            <w14:solidFill>
              <w14:schemeClr w14:val="tx1"/>
            </w14:solidFill>
          </w14:textFill>
        </w:rPr>
        <w:t>码头</w:t>
      </w:r>
      <w:r>
        <w:rPr>
          <w:color w:val="000000" w:themeColor="text1"/>
          <w14:textFill>
            <w14:solidFill>
              <w14:schemeClr w14:val="tx1"/>
            </w14:solidFill>
          </w14:textFill>
        </w:rPr>
        <w:t>NE（不利风向）高潮时航道溢油轨迹</w:t>
      </w:r>
    </w:p>
    <w:p>
      <w:pPr>
        <w:adjustRightInd w:val="0"/>
        <w:snapToGrid w:val="0"/>
        <w:spacing w:line="360" w:lineRule="auto"/>
        <w:jc w:val="center"/>
        <w:rPr>
          <w:rFonts w:eastAsia="黑体"/>
          <w:color w:val="000000" w:themeColor="text1"/>
          <w14:textFill>
            <w14:solidFill>
              <w14:schemeClr w14:val="tx1"/>
            </w14:solidFill>
          </w14:textFill>
        </w:rPr>
      </w:pPr>
    </w:p>
    <w:p>
      <w:pPr>
        <w:pStyle w:val="553"/>
        <w:rPr>
          <w:color w:val="000000" w:themeColor="text1"/>
          <w14:textFill>
            <w14:solidFill>
              <w14:schemeClr w14:val="tx1"/>
            </w14:solidFill>
          </w14:textFill>
        </w:rPr>
      </w:pPr>
      <w:r>
        <w:rPr>
          <w:color w:val="000000" w:themeColor="text1"/>
          <w14:textFill>
            <w14:solidFill>
              <w14:schemeClr w14:val="tx1"/>
            </w14:solidFill>
          </w14:textFill>
        </w:rPr>
        <w:t>码头</w:t>
      </w:r>
      <w:r>
        <w:rPr>
          <w:rFonts w:hint="eastAsia"/>
          <w:color w:val="000000" w:themeColor="text1"/>
          <w14:textFill>
            <w14:solidFill>
              <w14:schemeClr w14:val="tx1"/>
            </w14:solidFill>
          </w14:textFill>
        </w:rPr>
        <w:t>SE</w:t>
      </w:r>
      <w:r>
        <w:rPr>
          <w:color w:val="000000" w:themeColor="text1"/>
          <w14:textFill>
            <w14:solidFill>
              <w14:schemeClr w14:val="tx1"/>
            </w14:solidFill>
          </w14:textFill>
        </w:rPr>
        <w:t>（不利风向）</w:t>
      </w:r>
      <w:r>
        <w:rPr>
          <w:rFonts w:hint="eastAsia"/>
          <w:color w:val="000000" w:themeColor="text1"/>
          <w14:textFill>
            <w14:solidFill>
              <w14:schemeClr w14:val="tx1"/>
            </w14:solidFill>
          </w14:textFill>
        </w:rPr>
        <w:t>高潮时</w:t>
      </w:r>
      <w:r>
        <w:rPr>
          <w:color w:val="000000" w:themeColor="text1"/>
          <w14:textFill>
            <w14:solidFill>
              <w14:schemeClr w14:val="tx1"/>
            </w14:solidFill>
          </w14:textFill>
        </w:rPr>
        <w:t>溢油轨迹</w:t>
      </w:r>
    </w:p>
    <w:p>
      <w:pPr>
        <w:adjustRightInd w:val="0"/>
        <w:snapToGrid w:val="0"/>
        <w:spacing w:line="360" w:lineRule="auto"/>
        <w:jc w:val="center"/>
        <w:rPr>
          <w:rFonts w:eastAsia="黑体"/>
          <w:color w:val="000000" w:themeColor="text1"/>
          <w14:textFill>
            <w14:solidFill>
              <w14:schemeClr w14:val="tx1"/>
            </w14:solidFill>
          </w14:textFill>
        </w:rPr>
      </w:pPr>
    </w:p>
    <w:p>
      <w:pPr>
        <w:pStyle w:val="553"/>
        <w:rPr>
          <w:color w:val="000000" w:themeColor="text1"/>
          <w14:textFill>
            <w14:solidFill>
              <w14:schemeClr w14:val="tx1"/>
            </w14:solidFill>
          </w14:textFill>
        </w:rPr>
      </w:pPr>
      <w:r>
        <w:rPr>
          <w:color w:val="000000" w:themeColor="text1"/>
          <w14:textFill>
            <w14:solidFill>
              <w14:schemeClr w14:val="tx1"/>
            </w14:solidFill>
          </w14:textFill>
        </w:rPr>
        <w:t>码头S</w:t>
      </w:r>
      <w:r>
        <w:rPr>
          <w:rFonts w:hint="eastAsia"/>
          <w:color w:val="000000" w:themeColor="text1"/>
          <w14:textFill>
            <w14:solidFill>
              <w14:schemeClr w14:val="tx1"/>
            </w14:solidFill>
          </w14:textFill>
        </w:rPr>
        <w:t>低潮时</w:t>
      </w:r>
      <w:r>
        <w:rPr>
          <w:color w:val="000000" w:themeColor="text1"/>
          <w14:textFill>
            <w14:solidFill>
              <w14:schemeClr w14:val="tx1"/>
            </w14:solidFill>
          </w14:textFill>
        </w:rPr>
        <w:t>溢油轨迹</w:t>
      </w:r>
    </w:p>
    <w:p>
      <w:pPr>
        <w:pStyle w:val="553"/>
        <w:numPr>
          <w:ilvl w:val="0"/>
          <w:numId w:val="0"/>
        </w:numPr>
        <w:rPr>
          <w:rFonts w:eastAsia="黑体"/>
          <w:color w:val="000000" w:themeColor="text1"/>
          <w14:textFill>
            <w14:solidFill>
              <w14:schemeClr w14:val="tx1"/>
            </w14:solidFill>
          </w14:textFill>
        </w:rPr>
      </w:pPr>
    </w:p>
    <w:p>
      <w:pPr>
        <w:pStyle w:val="553"/>
        <w:rPr>
          <w:color w:val="000000" w:themeColor="text1"/>
          <w14:textFill>
            <w14:solidFill>
              <w14:schemeClr w14:val="tx1"/>
            </w14:solidFill>
          </w14:textFill>
        </w:rPr>
      </w:pPr>
      <w:r>
        <w:rPr>
          <w:color w:val="000000" w:themeColor="text1"/>
          <w14:textFill>
            <w14:solidFill>
              <w14:schemeClr w14:val="tx1"/>
            </w14:solidFill>
          </w14:textFill>
        </w:rPr>
        <w:t>码头N</w:t>
      </w:r>
      <w:r>
        <w:rPr>
          <w:rFonts w:hint="eastAsia"/>
          <w:color w:val="000000" w:themeColor="text1"/>
          <w14:textFill>
            <w14:solidFill>
              <w14:schemeClr w14:val="tx1"/>
            </w14:solidFill>
          </w14:textFill>
        </w:rPr>
        <w:t>低潮时</w:t>
      </w:r>
      <w:r>
        <w:rPr>
          <w:color w:val="000000" w:themeColor="text1"/>
          <w14:textFill>
            <w14:solidFill>
              <w14:schemeClr w14:val="tx1"/>
            </w14:solidFill>
          </w14:textFill>
        </w:rPr>
        <w:t>溢油轨迹</w:t>
      </w:r>
    </w:p>
    <w:p>
      <w:pPr>
        <w:adjustRightInd w:val="0"/>
        <w:snapToGrid w:val="0"/>
        <w:spacing w:line="360" w:lineRule="auto"/>
        <w:jc w:val="center"/>
        <w:rPr>
          <w:rFonts w:eastAsia="黑体"/>
          <w:color w:val="000000" w:themeColor="text1"/>
          <w14:textFill>
            <w14:solidFill>
              <w14:schemeClr w14:val="tx1"/>
            </w14:solidFill>
          </w14:textFill>
        </w:rPr>
      </w:pPr>
    </w:p>
    <w:p>
      <w:pPr>
        <w:pStyle w:val="553"/>
        <w:rPr>
          <w:color w:val="000000" w:themeColor="text1"/>
          <w14:textFill>
            <w14:solidFill>
              <w14:schemeClr w14:val="tx1"/>
            </w14:solidFill>
          </w14:textFill>
        </w:rPr>
      </w:pPr>
      <w:r>
        <w:rPr>
          <w:color w:val="000000" w:themeColor="text1"/>
          <w14:textFill>
            <w14:solidFill>
              <w14:schemeClr w14:val="tx1"/>
            </w14:solidFill>
          </w14:textFill>
        </w:rPr>
        <w:t>码头N</w:t>
      </w:r>
      <w:r>
        <w:rPr>
          <w:rFonts w:hint="eastAsia"/>
          <w:color w:val="000000" w:themeColor="text1"/>
          <w14:textFill>
            <w14:solidFill>
              <w14:schemeClr w14:val="tx1"/>
            </w14:solidFill>
          </w14:textFill>
        </w:rPr>
        <w:t>E</w:t>
      </w:r>
      <w:r>
        <w:rPr>
          <w:color w:val="000000" w:themeColor="text1"/>
          <w14:textFill>
            <w14:solidFill>
              <w14:schemeClr w14:val="tx1"/>
            </w14:solidFill>
          </w14:textFill>
        </w:rPr>
        <w:t>（不利风向）</w:t>
      </w:r>
      <w:r>
        <w:rPr>
          <w:rFonts w:hint="eastAsia"/>
          <w:color w:val="000000" w:themeColor="text1"/>
          <w14:textFill>
            <w14:solidFill>
              <w14:schemeClr w14:val="tx1"/>
            </w14:solidFill>
          </w14:textFill>
        </w:rPr>
        <w:t>低潮时</w:t>
      </w:r>
      <w:r>
        <w:rPr>
          <w:color w:val="000000" w:themeColor="text1"/>
          <w14:textFill>
            <w14:solidFill>
              <w14:schemeClr w14:val="tx1"/>
            </w14:solidFill>
          </w14:textFill>
        </w:rPr>
        <w:t>溢油轨迹</w:t>
      </w:r>
    </w:p>
    <w:p>
      <w:pPr>
        <w:adjustRightInd w:val="0"/>
        <w:snapToGrid w:val="0"/>
        <w:spacing w:line="360" w:lineRule="auto"/>
        <w:jc w:val="center"/>
        <w:rPr>
          <w:rFonts w:eastAsia="黑体"/>
          <w:color w:val="000000" w:themeColor="text1"/>
          <w14:textFill>
            <w14:solidFill>
              <w14:schemeClr w14:val="tx1"/>
            </w14:solidFill>
          </w14:textFill>
        </w:rPr>
      </w:pPr>
    </w:p>
    <w:p>
      <w:pPr>
        <w:pStyle w:val="553"/>
        <w:rPr>
          <w:color w:val="000000" w:themeColor="text1"/>
          <w14:textFill>
            <w14:solidFill>
              <w14:schemeClr w14:val="tx1"/>
            </w14:solidFill>
          </w14:textFill>
        </w:rPr>
      </w:pPr>
      <w:r>
        <w:rPr>
          <w:color w:val="000000" w:themeColor="text1"/>
          <w14:textFill>
            <w14:solidFill>
              <w14:schemeClr w14:val="tx1"/>
            </w14:solidFill>
          </w14:textFill>
        </w:rPr>
        <w:t>码头S</w:t>
      </w:r>
      <w:r>
        <w:rPr>
          <w:rFonts w:hint="eastAsia"/>
          <w:color w:val="000000" w:themeColor="text1"/>
          <w14:textFill>
            <w14:solidFill>
              <w14:schemeClr w14:val="tx1"/>
            </w14:solidFill>
          </w14:textFill>
        </w:rPr>
        <w:t>E</w:t>
      </w:r>
      <w:r>
        <w:rPr>
          <w:color w:val="000000" w:themeColor="text1"/>
          <w14:textFill>
            <w14:solidFill>
              <w14:schemeClr w14:val="tx1"/>
            </w14:solidFill>
          </w14:textFill>
        </w:rPr>
        <w:t>（不利风向）</w:t>
      </w:r>
      <w:r>
        <w:rPr>
          <w:rFonts w:hint="eastAsia"/>
          <w:color w:val="000000" w:themeColor="text1"/>
          <w14:textFill>
            <w14:solidFill>
              <w14:schemeClr w14:val="tx1"/>
            </w14:solidFill>
          </w14:textFill>
        </w:rPr>
        <w:t>低潮时</w:t>
      </w:r>
      <w:r>
        <w:rPr>
          <w:color w:val="000000" w:themeColor="text1"/>
          <w14:textFill>
            <w14:solidFill>
              <w14:schemeClr w14:val="tx1"/>
            </w14:solidFill>
          </w14:textFill>
        </w:rPr>
        <w:t>溢油轨迹</w:t>
      </w:r>
    </w:p>
    <w:p>
      <w:pPr>
        <w:pStyle w:val="6"/>
        <w:rPr>
          <w:color w:val="000000" w:themeColor="text1"/>
          <w14:textFill>
            <w14:solidFill>
              <w14:schemeClr w14:val="tx1"/>
            </w14:solidFill>
          </w14:textFill>
        </w:rPr>
      </w:pPr>
      <w:bookmarkStart w:id="256" w:name="_Toc54202004"/>
      <w:r>
        <w:rPr>
          <w:color w:val="000000" w:themeColor="text1"/>
          <w14:textFill>
            <w14:solidFill>
              <w14:schemeClr w14:val="tx1"/>
            </w14:solidFill>
          </w14:textFill>
        </w:rPr>
        <w:t>溢油事故环境影响后果分析</w:t>
      </w:r>
      <w:bookmarkEnd w:id="256"/>
    </w:p>
    <w:p>
      <w:pPr>
        <w:pStyle w:val="1075"/>
        <w:ind w:firstLine="437"/>
        <w:rPr>
          <w:color w:val="000000" w:themeColor="text1"/>
          <w14:textFill>
            <w14:solidFill>
              <w14:schemeClr w14:val="tx1"/>
            </w14:solidFill>
          </w14:textFill>
        </w:rPr>
      </w:pPr>
      <w:r>
        <w:rPr>
          <w:color w:val="000000" w:themeColor="text1"/>
          <w14:textFill>
            <w14:solidFill>
              <w14:schemeClr w14:val="tx1"/>
            </w14:solidFill>
          </w14:textFill>
        </w:rPr>
        <w:t>以溢油对水域环境（海面和水体）及岸线的污染作为油类的代表性环境风险，以海面油膜厚度、水体油品含量和着岸溢油量作为评价指标，采用《中国海上船舶溢油应急计划》研究中的影响评价指标判断影响程度（表</w:t>
      </w:r>
      <w:r>
        <w:rPr>
          <w:rFonts w:hint="eastAsia"/>
          <w:color w:val="000000" w:themeColor="text1"/>
          <w14:textFill>
            <w14:solidFill>
              <w14:schemeClr w14:val="tx1"/>
            </w14:solidFill>
          </w14:textFill>
        </w:rPr>
        <w:t>4.6-12</w:t>
      </w:r>
      <w:r>
        <w:rPr>
          <w:color w:val="000000" w:themeColor="text1"/>
          <w14:textFill>
            <w14:solidFill>
              <w14:schemeClr w14:val="tx1"/>
            </w14:solidFill>
          </w14:textFill>
        </w:rPr>
        <w:t>），进行环境风险定性、定量评价。</w:t>
      </w:r>
    </w:p>
    <w:p>
      <w:pPr>
        <w:pStyle w:val="384"/>
        <w:ind w:left="0" w:firstLine="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溢油归宿状态六级环境污染影响程度的评价指标</w:t>
      </w:r>
    </w:p>
    <w:tbl>
      <w:tblPr>
        <w:tblStyle w:val="88"/>
        <w:tblW w:w="8528" w:type="dxa"/>
        <w:jc w:val="center"/>
        <w:tblInd w:w="0" w:type="dxa"/>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
      <w:tblGrid>
        <w:gridCol w:w="756"/>
        <w:gridCol w:w="628"/>
        <w:gridCol w:w="993"/>
        <w:gridCol w:w="1417"/>
        <w:gridCol w:w="1335"/>
        <w:gridCol w:w="1291"/>
        <w:gridCol w:w="1056"/>
        <w:gridCol w:w="1052"/>
      </w:tblGrid>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cantSplit/>
          <w:trHeight w:val="410" w:hRule="atLeast"/>
          <w:jc w:val="center"/>
        </w:trPr>
        <w:tc>
          <w:tcPr>
            <w:tcW w:w="1384" w:type="dxa"/>
            <w:gridSpan w:val="2"/>
            <w:tcBorders>
              <w:top w:val="single" w:color="000000" w:sz="12" w:space="0"/>
              <w:left w:val="single" w:color="000000" w:sz="12" w:space="0"/>
              <w:bottom w:val="single" w:color="auto" w:sz="4" w:space="0"/>
              <w:right w:val="single" w:color="auto" w:sz="4" w:space="0"/>
              <w:tl2br w:val="single" w:color="000000" w:sz="6" w:space="0"/>
            </w:tcBorders>
            <w:shd w:val="clear" w:color="auto" w:fill="auto"/>
            <w:vAlign w:val="center"/>
          </w:tcPr>
          <w:p>
            <w:pPr>
              <w:pStyle w:val="1856"/>
              <w:snapToGrid w:val="0"/>
              <w:ind w:firstLine="0" w:firstLineChars="0"/>
              <w:jc w:val="right"/>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影响程度</w:t>
            </w:r>
          </w:p>
          <w:p>
            <w:pPr>
              <w:pStyle w:val="1856"/>
              <w:snapToGrid w:val="0"/>
              <w:ind w:firstLine="0" w:firstLineChars="0"/>
              <w:jc w:val="left"/>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归宿状态</w:t>
            </w:r>
          </w:p>
        </w:tc>
        <w:tc>
          <w:tcPr>
            <w:tcW w:w="993" w:type="dxa"/>
            <w:tcBorders>
              <w:top w:val="single" w:color="000000" w:sz="12" w:space="0"/>
              <w:left w:val="single" w:color="auto" w:sz="4" w:space="0"/>
              <w:bottom w:val="single" w:color="auto" w:sz="4" w:space="0"/>
              <w:right w:val="single" w:color="auto" w:sz="4" w:space="0"/>
            </w:tcBorders>
            <w:shd w:val="clear" w:color="auto" w:fill="auto"/>
            <w:vAlign w:val="center"/>
          </w:tcPr>
          <w:p>
            <w:pPr>
              <w:pStyle w:val="1856"/>
              <w:snapToGrid w:val="0"/>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极重污染</w:t>
            </w:r>
          </w:p>
        </w:tc>
        <w:tc>
          <w:tcPr>
            <w:tcW w:w="1417" w:type="dxa"/>
            <w:tcBorders>
              <w:top w:val="single" w:color="000000" w:sz="12" w:space="0"/>
              <w:left w:val="single" w:color="auto" w:sz="4" w:space="0"/>
              <w:bottom w:val="single" w:color="auto" w:sz="4" w:space="0"/>
              <w:right w:val="single" w:color="auto" w:sz="4" w:space="0"/>
            </w:tcBorders>
            <w:shd w:val="clear" w:color="auto" w:fill="auto"/>
            <w:vAlign w:val="center"/>
          </w:tcPr>
          <w:p>
            <w:pPr>
              <w:pStyle w:val="1856"/>
              <w:snapToGrid w:val="0"/>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严重污染</w:t>
            </w:r>
          </w:p>
        </w:tc>
        <w:tc>
          <w:tcPr>
            <w:tcW w:w="1335" w:type="dxa"/>
            <w:tcBorders>
              <w:top w:val="single" w:color="000000" w:sz="12" w:space="0"/>
              <w:left w:val="single" w:color="auto" w:sz="4" w:space="0"/>
              <w:bottom w:val="single" w:color="auto" w:sz="4" w:space="0"/>
              <w:right w:val="single" w:color="auto" w:sz="4" w:space="0"/>
            </w:tcBorders>
            <w:shd w:val="clear" w:color="auto" w:fill="auto"/>
            <w:vAlign w:val="center"/>
          </w:tcPr>
          <w:p>
            <w:pPr>
              <w:pStyle w:val="1856"/>
              <w:snapToGrid w:val="0"/>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中度污染</w:t>
            </w:r>
          </w:p>
        </w:tc>
        <w:tc>
          <w:tcPr>
            <w:tcW w:w="1291" w:type="dxa"/>
            <w:tcBorders>
              <w:top w:val="single" w:color="000000" w:sz="12" w:space="0"/>
              <w:left w:val="single" w:color="auto" w:sz="4" w:space="0"/>
              <w:bottom w:val="single" w:color="auto" w:sz="4" w:space="0"/>
              <w:right w:val="single" w:color="auto" w:sz="4" w:space="0"/>
            </w:tcBorders>
            <w:shd w:val="clear" w:color="auto" w:fill="auto"/>
            <w:vAlign w:val="center"/>
          </w:tcPr>
          <w:p>
            <w:pPr>
              <w:pStyle w:val="1856"/>
              <w:snapToGrid w:val="0"/>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轻度污染</w:t>
            </w:r>
          </w:p>
        </w:tc>
        <w:tc>
          <w:tcPr>
            <w:tcW w:w="1056" w:type="dxa"/>
            <w:tcBorders>
              <w:top w:val="single" w:color="000000" w:sz="12" w:space="0"/>
              <w:left w:val="single" w:color="auto" w:sz="4" w:space="0"/>
              <w:bottom w:val="single" w:color="auto" w:sz="4" w:space="0"/>
              <w:right w:val="single" w:color="auto" w:sz="4" w:space="0"/>
            </w:tcBorders>
            <w:shd w:val="clear" w:color="auto" w:fill="auto"/>
            <w:vAlign w:val="center"/>
          </w:tcPr>
          <w:p>
            <w:pPr>
              <w:pStyle w:val="1856"/>
              <w:snapToGrid w:val="0"/>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一般影响</w:t>
            </w:r>
          </w:p>
        </w:tc>
        <w:tc>
          <w:tcPr>
            <w:tcW w:w="1052" w:type="dxa"/>
            <w:tcBorders>
              <w:top w:val="single" w:color="000000" w:sz="12" w:space="0"/>
              <w:left w:val="single" w:color="auto" w:sz="4" w:space="0"/>
              <w:bottom w:val="single" w:color="auto" w:sz="4" w:space="0"/>
              <w:right w:val="single" w:color="000000" w:sz="12" w:space="0"/>
            </w:tcBorders>
            <w:shd w:val="clear" w:color="auto" w:fill="auto"/>
            <w:vAlign w:val="center"/>
          </w:tcPr>
          <w:p>
            <w:pPr>
              <w:pStyle w:val="1856"/>
              <w:snapToGrid w:val="0"/>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轻度影响</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cantSplit/>
          <w:jc w:val="center"/>
        </w:trPr>
        <w:tc>
          <w:tcPr>
            <w:tcW w:w="756" w:type="dxa"/>
            <w:vMerge w:val="restart"/>
            <w:tcBorders>
              <w:top w:val="single" w:color="auto" w:sz="4" w:space="0"/>
              <w:left w:val="single" w:color="000000" w:sz="12" w:space="0"/>
              <w:bottom w:val="single" w:color="auto" w:sz="4" w:space="0"/>
              <w:right w:val="single" w:color="auto" w:sz="4" w:space="0"/>
            </w:tcBorders>
            <w:shd w:val="clear" w:color="auto" w:fill="auto"/>
            <w:vAlign w:val="center"/>
          </w:tcPr>
          <w:p>
            <w:pPr>
              <w:pStyle w:val="1856"/>
              <w:snapToGrid w:val="0"/>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海面油膜厚度</w:t>
            </w:r>
          </w:p>
        </w:tc>
        <w:tc>
          <w:tcPr>
            <w:tcW w:w="628" w:type="dxa"/>
            <w:tcBorders>
              <w:top w:val="single" w:color="auto" w:sz="4" w:space="0"/>
              <w:left w:val="single" w:color="auto" w:sz="4" w:space="0"/>
              <w:bottom w:val="single" w:color="auto" w:sz="4" w:space="0"/>
              <w:right w:val="single" w:color="auto" w:sz="4" w:space="0"/>
            </w:tcBorders>
            <w:shd w:val="clear" w:color="auto" w:fill="auto"/>
            <w:vAlign w:val="center"/>
          </w:tcPr>
          <w:p>
            <w:pPr>
              <w:pStyle w:val="1856"/>
              <w:snapToGrid w:val="0"/>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sym w:font="Symbol" w:char="F06D"/>
            </w:r>
            <w:r>
              <w:rPr>
                <w:color w:val="000000" w:themeColor="text1"/>
                <w:sz w:val="21"/>
                <w:szCs w:val="21"/>
                <w14:textFill>
                  <w14:solidFill>
                    <w14:schemeClr w14:val="tx1"/>
                  </w14:solidFill>
                </w14:textFill>
              </w:rPr>
              <w:t>m</w:t>
            </w:r>
          </w:p>
        </w:tc>
        <w:tc>
          <w:tcPr>
            <w:tcW w:w="993" w:type="dxa"/>
            <w:tcBorders>
              <w:top w:val="single" w:color="auto" w:sz="4" w:space="0"/>
              <w:left w:val="single" w:color="auto" w:sz="4" w:space="0"/>
              <w:bottom w:val="single" w:color="auto" w:sz="4" w:space="0"/>
              <w:right w:val="single" w:color="auto" w:sz="4" w:space="0"/>
            </w:tcBorders>
            <w:shd w:val="clear" w:color="auto" w:fill="auto"/>
            <w:vAlign w:val="center"/>
          </w:tcPr>
          <w:p>
            <w:pPr>
              <w:pStyle w:val="1856"/>
              <w:snapToGrid w:val="0"/>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&gt;50</w:t>
            </w:r>
          </w:p>
        </w:tc>
        <w:tc>
          <w:tcPr>
            <w:tcW w:w="1417" w:type="dxa"/>
            <w:tcBorders>
              <w:top w:val="single" w:color="auto" w:sz="4" w:space="0"/>
              <w:left w:val="single" w:color="auto" w:sz="4" w:space="0"/>
              <w:bottom w:val="single" w:color="auto" w:sz="4" w:space="0"/>
              <w:right w:val="single" w:color="auto" w:sz="4" w:space="0"/>
            </w:tcBorders>
            <w:shd w:val="clear" w:color="auto" w:fill="auto"/>
            <w:vAlign w:val="center"/>
          </w:tcPr>
          <w:p>
            <w:pPr>
              <w:pStyle w:val="1856"/>
              <w:snapToGrid w:val="0"/>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25-50</w:t>
            </w:r>
          </w:p>
        </w:tc>
        <w:tc>
          <w:tcPr>
            <w:tcW w:w="1335" w:type="dxa"/>
            <w:tcBorders>
              <w:top w:val="single" w:color="auto" w:sz="4" w:space="0"/>
              <w:left w:val="single" w:color="auto" w:sz="4" w:space="0"/>
              <w:bottom w:val="single" w:color="auto" w:sz="4" w:space="0"/>
              <w:right w:val="single" w:color="auto" w:sz="4" w:space="0"/>
            </w:tcBorders>
            <w:shd w:val="clear" w:color="auto" w:fill="auto"/>
            <w:vAlign w:val="center"/>
          </w:tcPr>
          <w:p>
            <w:pPr>
              <w:pStyle w:val="1856"/>
              <w:snapToGrid w:val="0"/>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8-25</w:t>
            </w:r>
          </w:p>
        </w:tc>
        <w:tc>
          <w:tcPr>
            <w:tcW w:w="1291" w:type="dxa"/>
            <w:tcBorders>
              <w:top w:val="single" w:color="auto" w:sz="4" w:space="0"/>
              <w:left w:val="single" w:color="auto" w:sz="4" w:space="0"/>
              <w:bottom w:val="single" w:color="auto" w:sz="4" w:space="0"/>
              <w:right w:val="single" w:color="auto" w:sz="4" w:space="0"/>
            </w:tcBorders>
            <w:shd w:val="clear" w:color="auto" w:fill="auto"/>
            <w:vAlign w:val="center"/>
          </w:tcPr>
          <w:p>
            <w:pPr>
              <w:pStyle w:val="1856"/>
              <w:snapToGrid w:val="0"/>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4-8</w:t>
            </w:r>
          </w:p>
        </w:tc>
        <w:tc>
          <w:tcPr>
            <w:tcW w:w="1056" w:type="dxa"/>
            <w:tcBorders>
              <w:top w:val="single" w:color="auto" w:sz="4" w:space="0"/>
              <w:left w:val="single" w:color="auto" w:sz="4" w:space="0"/>
              <w:bottom w:val="single" w:color="auto" w:sz="4" w:space="0"/>
              <w:right w:val="single" w:color="auto" w:sz="4" w:space="0"/>
            </w:tcBorders>
            <w:shd w:val="clear" w:color="auto" w:fill="auto"/>
            <w:vAlign w:val="center"/>
          </w:tcPr>
          <w:p>
            <w:pPr>
              <w:pStyle w:val="1856"/>
              <w:snapToGrid w:val="0"/>
              <w:ind w:firstLine="0" w:firstLineChars="0"/>
              <w:jc w:val="center"/>
              <w:rPr>
                <w:color w:val="000000" w:themeColor="text1"/>
                <w:sz w:val="21"/>
                <w:szCs w:val="21"/>
                <w14:textFill>
                  <w14:solidFill>
                    <w14:schemeClr w14:val="tx1"/>
                  </w14:solidFill>
                </w14:textFill>
              </w:rPr>
            </w:pPr>
          </w:p>
        </w:tc>
        <w:tc>
          <w:tcPr>
            <w:tcW w:w="1052" w:type="dxa"/>
            <w:tcBorders>
              <w:top w:val="single" w:color="auto" w:sz="4" w:space="0"/>
              <w:left w:val="single" w:color="auto" w:sz="4" w:space="0"/>
              <w:bottom w:val="single" w:color="auto" w:sz="4" w:space="0"/>
              <w:right w:val="single" w:color="000000" w:sz="12" w:space="0"/>
            </w:tcBorders>
            <w:shd w:val="clear" w:color="auto" w:fill="auto"/>
            <w:vAlign w:val="center"/>
          </w:tcPr>
          <w:p>
            <w:pPr>
              <w:pStyle w:val="1856"/>
              <w:snapToGrid w:val="0"/>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1-2</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cantSplit/>
          <w:jc w:val="center"/>
        </w:trPr>
        <w:tc>
          <w:tcPr>
            <w:tcW w:w="756" w:type="dxa"/>
            <w:vMerge w:val="continue"/>
            <w:tcBorders>
              <w:top w:val="single" w:color="auto" w:sz="4" w:space="0"/>
              <w:left w:val="single" w:color="000000" w:sz="12" w:space="0"/>
              <w:bottom w:val="single" w:color="000000" w:sz="12" w:space="0"/>
              <w:right w:val="single" w:color="auto" w:sz="4" w:space="0"/>
            </w:tcBorders>
            <w:shd w:val="clear" w:color="auto" w:fill="auto"/>
            <w:vAlign w:val="center"/>
          </w:tcPr>
          <w:p>
            <w:pPr>
              <w:pStyle w:val="1856"/>
              <w:snapToGrid w:val="0"/>
              <w:ind w:firstLine="0" w:firstLineChars="0"/>
              <w:jc w:val="center"/>
              <w:rPr>
                <w:color w:val="000000" w:themeColor="text1"/>
                <w:sz w:val="21"/>
                <w:szCs w:val="21"/>
                <w14:textFill>
                  <w14:solidFill>
                    <w14:schemeClr w14:val="tx1"/>
                  </w14:solidFill>
                </w14:textFill>
              </w:rPr>
            </w:pPr>
          </w:p>
        </w:tc>
        <w:tc>
          <w:tcPr>
            <w:tcW w:w="628" w:type="dxa"/>
            <w:tcBorders>
              <w:top w:val="single" w:color="auto" w:sz="4" w:space="0"/>
              <w:left w:val="single" w:color="auto" w:sz="4" w:space="0"/>
              <w:bottom w:val="single" w:color="000000" w:sz="12" w:space="0"/>
              <w:right w:val="single" w:color="auto" w:sz="4" w:space="0"/>
            </w:tcBorders>
            <w:shd w:val="clear" w:color="auto" w:fill="auto"/>
            <w:vAlign w:val="center"/>
          </w:tcPr>
          <w:p>
            <w:pPr>
              <w:pStyle w:val="1856"/>
              <w:snapToGrid w:val="0"/>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颜色</w:t>
            </w:r>
          </w:p>
        </w:tc>
        <w:tc>
          <w:tcPr>
            <w:tcW w:w="993" w:type="dxa"/>
            <w:tcBorders>
              <w:top w:val="single" w:color="auto" w:sz="4" w:space="0"/>
              <w:left w:val="single" w:color="auto" w:sz="4" w:space="0"/>
              <w:bottom w:val="single" w:color="000000" w:sz="12" w:space="0"/>
              <w:right w:val="single" w:color="auto" w:sz="4" w:space="0"/>
            </w:tcBorders>
            <w:shd w:val="clear" w:color="auto" w:fill="auto"/>
            <w:vAlign w:val="center"/>
          </w:tcPr>
          <w:p>
            <w:pPr>
              <w:pStyle w:val="1856"/>
              <w:snapToGrid w:val="0"/>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深色</w:t>
            </w:r>
          </w:p>
        </w:tc>
        <w:tc>
          <w:tcPr>
            <w:tcW w:w="1417" w:type="dxa"/>
            <w:tcBorders>
              <w:top w:val="single" w:color="auto" w:sz="4" w:space="0"/>
              <w:left w:val="single" w:color="auto" w:sz="4" w:space="0"/>
              <w:bottom w:val="single" w:color="000000" w:sz="12" w:space="0"/>
              <w:right w:val="single" w:color="auto" w:sz="4" w:space="0"/>
            </w:tcBorders>
            <w:shd w:val="clear" w:color="auto" w:fill="auto"/>
            <w:vAlign w:val="center"/>
          </w:tcPr>
          <w:p>
            <w:pPr>
              <w:pStyle w:val="1856"/>
              <w:snapToGrid w:val="0"/>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暗色</w:t>
            </w:r>
            <w:r>
              <w:rPr>
                <w:rFonts w:hint="eastAsia"/>
                <w:color w:val="000000" w:themeColor="text1"/>
                <w:sz w:val="21"/>
                <w:szCs w:val="21"/>
                <w14:textFill>
                  <w14:solidFill>
                    <w14:schemeClr w14:val="tx1"/>
                  </w14:solidFill>
                </w14:textFill>
              </w:rPr>
              <w:t>－</w:t>
            </w:r>
            <w:r>
              <w:rPr>
                <w:color w:val="000000" w:themeColor="text1"/>
                <w:sz w:val="21"/>
                <w:szCs w:val="21"/>
                <w14:textFill>
                  <w14:solidFill>
                    <w14:schemeClr w14:val="tx1"/>
                  </w14:solidFill>
                </w14:textFill>
              </w:rPr>
              <w:t>较深色</w:t>
            </w:r>
          </w:p>
        </w:tc>
        <w:tc>
          <w:tcPr>
            <w:tcW w:w="1335" w:type="dxa"/>
            <w:tcBorders>
              <w:top w:val="single" w:color="auto" w:sz="4" w:space="0"/>
              <w:left w:val="single" w:color="auto" w:sz="4" w:space="0"/>
              <w:bottom w:val="single" w:color="000000" w:sz="12" w:space="0"/>
              <w:right w:val="single" w:color="auto" w:sz="4" w:space="0"/>
            </w:tcBorders>
            <w:shd w:val="clear" w:color="auto" w:fill="auto"/>
            <w:vAlign w:val="center"/>
          </w:tcPr>
          <w:p>
            <w:pPr>
              <w:pStyle w:val="1856"/>
              <w:snapToGrid w:val="0"/>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亮带</w:t>
            </w:r>
            <w:r>
              <w:rPr>
                <w:rFonts w:hint="eastAsia"/>
                <w:color w:val="000000" w:themeColor="text1"/>
                <w:sz w:val="21"/>
                <w:szCs w:val="21"/>
                <w14:textFill>
                  <w14:solidFill>
                    <w14:schemeClr w14:val="tx1"/>
                  </w14:solidFill>
                </w14:textFill>
              </w:rPr>
              <w:t>－</w:t>
            </w:r>
            <w:r>
              <w:rPr>
                <w:color w:val="000000" w:themeColor="text1"/>
                <w:sz w:val="21"/>
                <w:szCs w:val="21"/>
                <w14:textFill>
                  <w14:solidFill>
                    <w14:schemeClr w14:val="tx1"/>
                  </w14:solidFill>
                </w14:textFill>
              </w:rPr>
              <w:t>浅暗色</w:t>
            </w:r>
          </w:p>
        </w:tc>
        <w:tc>
          <w:tcPr>
            <w:tcW w:w="1291" w:type="dxa"/>
            <w:tcBorders>
              <w:top w:val="single" w:color="auto" w:sz="4" w:space="0"/>
              <w:left w:val="single" w:color="auto" w:sz="4" w:space="0"/>
              <w:bottom w:val="single" w:color="000000" w:sz="12" w:space="0"/>
              <w:right w:val="single" w:color="auto" w:sz="4" w:space="0"/>
            </w:tcBorders>
            <w:shd w:val="clear" w:color="auto" w:fill="auto"/>
            <w:vAlign w:val="center"/>
          </w:tcPr>
          <w:p>
            <w:pPr>
              <w:pStyle w:val="1856"/>
              <w:snapToGrid w:val="0"/>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能分辨轮廓</w:t>
            </w:r>
          </w:p>
        </w:tc>
        <w:tc>
          <w:tcPr>
            <w:tcW w:w="1056" w:type="dxa"/>
            <w:tcBorders>
              <w:top w:val="single" w:color="auto" w:sz="4" w:space="0"/>
              <w:left w:val="single" w:color="auto" w:sz="4" w:space="0"/>
              <w:bottom w:val="single" w:color="000000" w:sz="12" w:space="0"/>
              <w:right w:val="single" w:color="auto" w:sz="4" w:space="0"/>
            </w:tcBorders>
            <w:shd w:val="clear" w:color="auto" w:fill="auto"/>
            <w:vAlign w:val="center"/>
          </w:tcPr>
          <w:p>
            <w:pPr>
              <w:pStyle w:val="1856"/>
              <w:snapToGrid w:val="0"/>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银屏色</w:t>
            </w:r>
          </w:p>
        </w:tc>
        <w:tc>
          <w:tcPr>
            <w:tcW w:w="1052" w:type="dxa"/>
            <w:tcBorders>
              <w:top w:val="single" w:color="auto" w:sz="4" w:space="0"/>
              <w:left w:val="single" w:color="auto" w:sz="4" w:space="0"/>
              <w:bottom w:val="single" w:color="000000" w:sz="12" w:space="0"/>
              <w:right w:val="single" w:color="000000" w:sz="12" w:space="0"/>
            </w:tcBorders>
            <w:shd w:val="clear" w:color="auto" w:fill="auto"/>
            <w:vAlign w:val="center"/>
          </w:tcPr>
          <w:p>
            <w:pPr>
              <w:pStyle w:val="1856"/>
              <w:snapToGrid w:val="0"/>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难分辨</w:t>
            </w:r>
          </w:p>
        </w:tc>
      </w:tr>
    </w:tbl>
    <w:p>
      <w:pPr>
        <w:pStyle w:val="1075"/>
        <w:ind w:firstLine="437"/>
        <w:rPr>
          <w:color w:val="000000" w:themeColor="text1"/>
          <w14:textFill>
            <w14:solidFill>
              <w14:schemeClr w14:val="tx1"/>
            </w14:solidFill>
          </w14:textFill>
        </w:rPr>
      </w:pPr>
      <w:r>
        <w:rPr>
          <w:color w:val="000000" w:themeColor="text1"/>
          <w14:textFill>
            <w14:solidFill>
              <w14:schemeClr w14:val="tx1"/>
            </w14:solidFill>
          </w14:textFill>
        </w:rPr>
        <w:t>各预测方案下溢油事故对周围环境中敏感目标的危害程度如表</w:t>
      </w:r>
      <w:r>
        <w:rPr>
          <w:rFonts w:hint="eastAsia"/>
          <w:color w:val="000000" w:themeColor="text1"/>
          <w14:textFill>
            <w14:solidFill>
              <w14:schemeClr w14:val="tx1"/>
            </w14:solidFill>
          </w14:textFill>
        </w:rPr>
        <w:t>4.6-13</w:t>
      </w:r>
      <w:r>
        <w:rPr>
          <w:color w:val="000000" w:themeColor="text1"/>
          <w14:textFill>
            <w14:solidFill>
              <w14:schemeClr w14:val="tx1"/>
            </w14:solidFill>
          </w14:textFill>
        </w:rPr>
        <w:t>所示。</w:t>
      </w:r>
    </w:p>
    <w:p>
      <w:pPr>
        <w:pStyle w:val="1075"/>
        <w:ind w:firstLine="437"/>
        <w:rPr>
          <w:color w:val="000000" w:themeColor="text1"/>
          <w14:textFill>
            <w14:solidFill>
              <w14:schemeClr w14:val="tx1"/>
            </w14:solidFill>
          </w14:textFill>
        </w:rPr>
      </w:pPr>
      <w:r>
        <w:rPr>
          <w:color w:val="000000" w:themeColor="text1"/>
          <w14:textFill>
            <w14:solidFill>
              <w14:schemeClr w14:val="tx1"/>
            </w14:solidFill>
          </w14:textFill>
        </w:rPr>
        <w:t>海洋保护目标的具体位置分布如图</w:t>
      </w:r>
      <w:r>
        <w:rPr>
          <w:rFonts w:hint="eastAsia"/>
          <w:color w:val="000000" w:themeColor="text1"/>
          <w14:textFill>
            <w14:solidFill>
              <w14:schemeClr w14:val="tx1"/>
            </w14:solidFill>
          </w14:textFill>
        </w:rPr>
        <w:t>4.6-1</w:t>
      </w:r>
      <w:r>
        <w:rPr>
          <w:color w:val="000000" w:themeColor="text1"/>
          <w14:textFill>
            <w14:solidFill>
              <w14:schemeClr w14:val="tx1"/>
            </w14:solidFill>
          </w14:textFill>
        </w:rPr>
        <w:t>所示。本次溢油预测损害评估采用</w:t>
      </w:r>
      <w:r>
        <w:rPr>
          <w:rFonts w:hint="eastAsia"/>
          <w:color w:val="000000" w:themeColor="text1"/>
          <w14:textFill>
            <w14:solidFill>
              <w14:schemeClr w14:val="tx1"/>
            </w14:solidFill>
          </w14:textFill>
        </w:rPr>
        <w:t>4</w:t>
      </w:r>
      <w:r>
        <w:rPr>
          <w:color w:val="000000" w:themeColor="text1"/>
          <w14:textFill>
            <w14:solidFill>
              <w14:schemeClr w14:val="tx1"/>
            </w14:solidFill>
          </w14:textFill>
        </w:rPr>
        <w:t>种风向、</w:t>
      </w:r>
      <w:r>
        <w:rPr>
          <w:rFonts w:hint="eastAsia"/>
          <w:color w:val="000000" w:themeColor="text1"/>
          <w14:textFill>
            <w14:solidFill>
              <w14:schemeClr w14:val="tx1"/>
            </w14:solidFill>
          </w14:textFill>
        </w:rPr>
        <w:t>8</w:t>
      </w:r>
      <w:r>
        <w:rPr>
          <w:color w:val="000000" w:themeColor="text1"/>
          <w14:textFill>
            <w14:solidFill>
              <w14:schemeClr w14:val="tx1"/>
            </w14:solidFill>
          </w14:textFill>
        </w:rPr>
        <w:t>种工况计算溢油对敏感目标及评价范围内环境功能区中的养殖区、</w:t>
      </w:r>
      <w:r>
        <w:rPr>
          <w:rFonts w:hint="eastAsia"/>
          <w:color w:val="000000" w:themeColor="text1"/>
          <w14:textFill>
            <w14:solidFill>
              <w14:schemeClr w14:val="tx1"/>
            </w14:solidFill>
          </w14:textFill>
        </w:rPr>
        <w:t>旅游度假区</w:t>
      </w:r>
      <w:r>
        <w:rPr>
          <w:color w:val="000000" w:themeColor="text1"/>
          <w14:textFill>
            <w14:solidFill>
              <w14:schemeClr w14:val="tx1"/>
            </w14:solidFill>
          </w14:textFill>
        </w:rPr>
        <w:t>等区域的污染和危害。</w:t>
      </w:r>
    </w:p>
    <w:p>
      <w:pPr>
        <w:pStyle w:val="1075"/>
        <w:ind w:firstLine="437"/>
        <w:rPr>
          <w:color w:val="000000" w:themeColor="text1"/>
          <w14:textFill>
            <w14:solidFill>
              <w14:schemeClr w14:val="tx1"/>
            </w14:solidFill>
          </w14:textFill>
        </w:rPr>
      </w:pPr>
      <w:r>
        <w:rPr>
          <w:color w:val="000000" w:themeColor="text1"/>
          <w14:textFill>
            <w14:solidFill>
              <w14:schemeClr w14:val="tx1"/>
            </w14:solidFill>
          </w14:textFill>
        </w:rPr>
        <w:t>纵观表</w:t>
      </w:r>
      <w:r>
        <w:rPr>
          <w:rFonts w:hint="eastAsia"/>
          <w:color w:val="000000" w:themeColor="text1"/>
          <w14:textFill>
            <w14:solidFill>
              <w14:schemeClr w14:val="tx1"/>
            </w14:solidFill>
          </w14:textFill>
        </w:rPr>
        <w:t>4.6-13</w:t>
      </w:r>
      <w:r>
        <w:rPr>
          <w:color w:val="000000" w:themeColor="text1"/>
          <w14:textFill>
            <w14:solidFill>
              <w14:schemeClr w14:val="tx1"/>
            </w14:solidFill>
          </w14:textFill>
        </w:rPr>
        <w:t>所示的溢油事故影响统计结果：</w:t>
      </w:r>
      <w:r>
        <w:rPr>
          <w:rFonts w:hint="eastAsia"/>
          <w:color w:val="000000" w:themeColor="text1"/>
          <w14:textFill>
            <w14:solidFill>
              <w14:schemeClr w14:val="tx1"/>
            </w14:solidFill>
          </w14:textFill>
        </w:rPr>
        <w:t>（1）由于溢油点距离钦州湾外湾渔业用海区较近，溢油最快可在1小时内抵达该敏感目标，根据预测结果，溢油最快可分别在3小时、6小时、5小时、68小时、68小时、8小时、15小时、27小时内抵达钦州港青菜头南浅海滩涂养殖区、钦州湾渔业用海区、防城港红沙农渔业区、 茅尾海南部浅海滩涂养殖区、茅尾海渔业用海区、企沙半岛南部农渔业区、金鼓江红树林分布区、北部湾二长棘绸长毛对虾国家级种质资源保护区（实验区）；（2）由于溢油位置与钦州湾外湾渔业用海区近，溢油抵达时间短，抵达该敏感目标的绝大多数工况均对其造成极重污染，此外，由于溢油量大，溢油对钦州港青菜头南浅海滩涂养殖区、钦州湾渔业用海区、防城港红沙农渔业、 茅尾海南部浅海滩涂养殖区、茅尾海渔业用海区、企沙半岛南部农渔业区、金鼓江红树林分布区、北部湾二长棘绸长毛对虾国家级种质资源保护区（实验区）、七十二泾生态控制区、国家级海洋公园造成的最大危害程度均为极重污染；（3）由于溢油点与钦州湾外湾渔业用海区</w:t>
      </w:r>
      <w:r>
        <w:rPr>
          <w:color w:val="000000" w:themeColor="text1"/>
          <w14:textFill>
            <w14:solidFill>
              <w14:schemeClr w14:val="tx1"/>
            </w14:solidFill>
          </w14:textFill>
        </w:rPr>
        <w:t>和</w:t>
      </w:r>
      <w:r>
        <w:rPr>
          <w:rFonts w:hint="eastAsia"/>
          <w:color w:val="000000" w:themeColor="text1"/>
          <w14:textFill>
            <w14:solidFill>
              <w14:schemeClr w14:val="tx1"/>
            </w14:solidFill>
          </w14:textFill>
        </w:rPr>
        <w:t>钦州港青菜头南浅海滩涂养殖区最近，上述敏感目标受污染概率最高，为62.5%；北部湾二长棘绸长毛对虾国家级种质资源保护区（实验区）、钦州湾渔业用海区</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茅尾海渔业用海区</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国家级海洋公园、七十二泾生态控制区</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防城港红沙农渔业区、企沙半岛南部农渔业区的受污染概率均为25%，离溢油点较远、位置较为偏僻的金鼓江红树林分布区受污染概率为12.5%。</w:t>
      </w:r>
    </w:p>
    <w:p>
      <w:pPr>
        <w:pStyle w:val="1075"/>
        <w:ind w:firstLine="437"/>
        <w:rPr>
          <w:color w:val="000000" w:themeColor="text1"/>
          <w14:textFill>
            <w14:solidFill>
              <w14:schemeClr w14:val="tx1"/>
            </w14:solidFill>
          </w14:textFill>
        </w:rPr>
      </w:pPr>
      <w:r>
        <w:rPr>
          <w:rFonts w:hint="eastAsia"/>
          <w:color w:val="000000" w:themeColor="text1"/>
          <w14:textFill>
            <w14:solidFill>
              <w14:schemeClr w14:val="tx1"/>
            </w14:solidFill>
          </w14:textFill>
        </w:rPr>
        <w:t>综上，由于钦州湾内外广泛分布敏感目标和海洋保护目标，本项目码头溢油点与敏感目标相对较近，根据预测，发生溢油时，首要保护目标应为钦州湾外湾渔业用海区、钦州港青菜头南浅海滩涂养殖区。对于金鼓江红树林分布区，金鼓江岸附近已设置溢油应急库，一旦溢油，与金鼓江附近海域联动，可跨河布置应急围油栏，防止溢油进一步漂移至上游。此外，本项目溢油点为近岸，对岸线的污染不容忽视，建议适度扩大近岸收油机的配备比例，可有效快速地阻止溢油对岸线造成的污染。总之</w:t>
      </w:r>
      <w:r>
        <w:rPr>
          <w:color w:val="000000" w:themeColor="text1"/>
          <w14:textFill>
            <w14:solidFill>
              <w14:schemeClr w14:val="tx1"/>
            </w14:solidFill>
          </w14:textFill>
        </w:rPr>
        <w:t>，应当尽最大</w:t>
      </w:r>
      <w:r>
        <w:rPr>
          <w:rFonts w:hint="eastAsia"/>
          <w:color w:val="000000" w:themeColor="text1"/>
          <w14:textFill>
            <w14:solidFill>
              <w14:schemeClr w14:val="tx1"/>
            </w14:solidFill>
          </w14:textFill>
        </w:rPr>
        <w:t>可能</w:t>
      </w:r>
      <w:r>
        <w:rPr>
          <w:color w:val="000000" w:themeColor="text1"/>
          <w14:textFill>
            <w14:solidFill>
              <w14:schemeClr w14:val="tx1"/>
            </w14:solidFill>
          </w14:textFill>
        </w:rPr>
        <w:t>杜绝溢油事故发生。建议业主单位建立一套系统且快速的溢油应急机制，包括建立快速应急反应设备储备库、快速溢油应急反应预案，最大化地减少溢油对敏感目标的危害。</w:t>
      </w:r>
    </w:p>
    <w:p>
      <w:pPr>
        <w:pStyle w:val="384"/>
        <w:ind w:left="0" w:firstLine="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码头溢油事故环境影响统计</w:t>
      </w:r>
    </w:p>
    <w:tbl>
      <w:tblPr>
        <w:tblStyle w:val="88"/>
        <w:tblW w:w="8513"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51"/>
        <w:gridCol w:w="987"/>
        <w:gridCol w:w="2571"/>
        <w:gridCol w:w="1843"/>
        <w:gridCol w:w="1304"/>
        <w:gridCol w:w="95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24" w:hRule="atLeast"/>
          <w:tblHeader/>
          <w:jc w:val="center"/>
        </w:trPr>
        <w:tc>
          <w:tcPr>
            <w:tcW w:w="851" w:type="dxa"/>
            <w:tcBorders>
              <w:top w:val="single" w:color="auto" w:sz="12" w:space="0"/>
              <w:left w:val="single" w:color="auto" w:sz="12" w:space="0"/>
              <w:bottom w:val="single" w:color="auto" w:sz="4" w:space="0"/>
              <w:right w:val="single" w:color="auto" w:sz="4" w:space="0"/>
            </w:tcBorders>
            <w:vAlign w:val="center"/>
          </w:tcPr>
          <w:p>
            <w:pPr>
              <w:pStyle w:val="1621"/>
              <w:rPr>
                <w:rFonts w:ascii="Times New Roman" w:hAnsi="Times New Roman" w:cs="Times New Roman"/>
                <w:color w:val="000000" w:themeColor="text1"/>
                <w:spacing w:val="-4"/>
                <w14:textFill>
                  <w14:solidFill>
                    <w14:schemeClr w14:val="tx1"/>
                  </w14:solidFill>
                </w14:textFill>
              </w:rPr>
            </w:pPr>
            <w:r>
              <w:rPr>
                <w:rFonts w:ascii="Times New Roman" w:hAnsi="Times New Roman" w:cs="Times New Roman"/>
                <w:color w:val="000000" w:themeColor="text1"/>
                <w:spacing w:val="-4"/>
                <w14:textFill>
                  <w14:solidFill>
                    <w14:schemeClr w14:val="tx1"/>
                  </w14:solidFill>
                </w14:textFill>
              </w:rPr>
              <w:t>风向</w:t>
            </w:r>
          </w:p>
        </w:tc>
        <w:tc>
          <w:tcPr>
            <w:tcW w:w="987" w:type="dxa"/>
            <w:tcBorders>
              <w:top w:val="single" w:color="auto" w:sz="12" w:space="0"/>
              <w:left w:val="single" w:color="auto" w:sz="4" w:space="0"/>
              <w:bottom w:val="single" w:color="auto" w:sz="4" w:space="0"/>
              <w:right w:val="single" w:color="auto" w:sz="4" w:space="0"/>
            </w:tcBorders>
            <w:vAlign w:val="center"/>
          </w:tcPr>
          <w:p>
            <w:pPr>
              <w:pStyle w:val="1621"/>
              <w:rPr>
                <w:rFonts w:ascii="Times New Roman" w:hAnsi="Times New Roman" w:cs="Times New Roman"/>
                <w:color w:val="000000" w:themeColor="text1"/>
                <w:spacing w:val="-4"/>
                <w14:textFill>
                  <w14:solidFill>
                    <w14:schemeClr w14:val="tx1"/>
                  </w14:solidFill>
                </w14:textFill>
              </w:rPr>
            </w:pPr>
            <w:r>
              <w:rPr>
                <w:rFonts w:ascii="Times New Roman" w:hAnsi="Times New Roman" w:cs="Times New Roman"/>
                <w:color w:val="000000" w:themeColor="text1"/>
                <w:spacing w:val="-4"/>
                <w14:textFill>
                  <w14:solidFill>
                    <w14:schemeClr w14:val="tx1"/>
                  </w14:solidFill>
                </w14:textFill>
              </w:rPr>
              <w:t>溢油</w:t>
            </w:r>
          </w:p>
          <w:p>
            <w:pPr>
              <w:pStyle w:val="1621"/>
              <w:rPr>
                <w:rFonts w:ascii="Times New Roman" w:hAnsi="Times New Roman" w:cs="Times New Roman"/>
                <w:color w:val="000000" w:themeColor="text1"/>
                <w:spacing w:val="-4"/>
                <w14:textFill>
                  <w14:solidFill>
                    <w14:schemeClr w14:val="tx1"/>
                  </w14:solidFill>
                </w14:textFill>
              </w:rPr>
            </w:pPr>
            <w:r>
              <w:rPr>
                <w:rFonts w:ascii="Times New Roman" w:hAnsi="Times New Roman" w:cs="Times New Roman"/>
                <w:color w:val="000000" w:themeColor="text1"/>
                <w:spacing w:val="-4"/>
                <w14:textFill>
                  <w14:solidFill>
                    <w14:schemeClr w14:val="tx1"/>
                  </w14:solidFill>
                </w14:textFill>
              </w:rPr>
              <w:t>时刻</w:t>
            </w:r>
          </w:p>
        </w:tc>
        <w:tc>
          <w:tcPr>
            <w:tcW w:w="2571" w:type="dxa"/>
            <w:tcBorders>
              <w:top w:val="single" w:color="auto" w:sz="12" w:space="0"/>
              <w:left w:val="single" w:color="auto" w:sz="4" w:space="0"/>
              <w:bottom w:val="single" w:color="auto" w:sz="4" w:space="0"/>
              <w:right w:val="single" w:color="auto" w:sz="4" w:space="0"/>
            </w:tcBorders>
            <w:vAlign w:val="center"/>
          </w:tcPr>
          <w:p>
            <w:pPr>
              <w:pStyle w:val="1621"/>
              <w:rPr>
                <w:rFonts w:ascii="Times New Roman" w:hAnsi="Times New Roman" w:cs="Times New Roman"/>
                <w:color w:val="000000" w:themeColor="text1"/>
                <w:spacing w:val="-4"/>
                <w14:textFill>
                  <w14:solidFill>
                    <w14:schemeClr w14:val="tx1"/>
                  </w14:solidFill>
                </w14:textFill>
              </w:rPr>
            </w:pPr>
            <w:r>
              <w:rPr>
                <w:rFonts w:ascii="Times New Roman" w:hAnsi="Times New Roman" w:cs="Times New Roman"/>
                <w:color w:val="000000" w:themeColor="text1"/>
                <w:spacing w:val="-4"/>
                <w14:textFill>
                  <w14:solidFill>
                    <w14:schemeClr w14:val="tx1"/>
                  </w14:solidFill>
                </w14:textFill>
              </w:rPr>
              <w:t>抵达地点</w:t>
            </w:r>
          </w:p>
        </w:tc>
        <w:tc>
          <w:tcPr>
            <w:tcW w:w="1843" w:type="dxa"/>
            <w:tcBorders>
              <w:top w:val="single" w:color="auto" w:sz="12" w:space="0"/>
              <w:left w:val="single" w:color="auto" w:sz="4" w:space="0"/>
              <w:bottom w:val="single" w:color="auto" w:sz="4" w:space="0"/>
              <w:right w:val="single" w:color="auto" w:sz="4" w:space="0"/>
            </w:tcBorders>
            <w:vAlign w:val="center"/>
          </w:tcPr>
          <w:p>
            <w:pPr>
              <w:pStyle w:val="1621"/>
              <w:rPr>
                <w:rFonts w:ascii="Times New Roman" w:hAnsi="Times New Roman" w:cs="Times New Roman"/>
                <w:color w:val="000000" w:themeColor="text1"/>
                <w:spacing w:val="-4"/>
                <w14:textFill>
                  <w14:solidFill>
                    <w14:schemeClr w14:val="tx1"/>
                  </w14:solidFill>
                </w14:textFill>
              </w:rPr>
            </w:pPr>
            <w:r>
              <w:rPr>
                <w:rFonts w:ascii="Times New Roman" w:hAnsi="Times New Roman" w:cs="Times New Roman"/>
                <w:color w:val="000000" w:themeColor="text1"/>
                <w:spacing w:val="-4"/>
                <w14:textFill>
                  <w14:solidFill>
                    <w14:schemeClr w14:val="tx1"/>
                  </w14:solidFill>
                </w14:textFill>
              </w:rPr>
              <w:t>影响环境</w:t>
            </w:r>
          </w:p>
          <w:p>
            <w:pPr>
              <w:pStyle w:val="1621"/>
              <w:rPr>
                <w:rFonts w:ascii="Times New Roman" w:hAnsi="Times New Roman" w:cs="Times New Roman"/>
                <w:color w:val="000000" w:themeColor="text1"/>
                <w:spacing w:val="-4"/>
                <w14:textFill>
                  <w14:solidFill>
                    <w14:schemeClr w14:val="tx1"/>
                  </w14:solidFill>
                </w14:textFill>
              </w:rPr>
            </w:pPr>
            <w:r>
              <w:rPr>
                <w:rFonts w:ascii="Times New Roman" w:hAnsi="Times New Roman" w:cs="Times New Roman"/>
                <w:color w:val="000000" w:themeColor="text1"/>
                <w:spacing w:val="-4"/>
                <w14:textFill>
                  <w14:solidFill>
                    <w14:schemeClr w14:val="tx1"/>
                  </w14:solidFill>
                </w14:textFill>
              </w:rPr>
              <w:t>敏感区</w:t>
            </w:r>
          </w:p>
        </w:tc>
        <w:tc>
          <w:tcPr>
            <w:tcW w:w="1304" w:type="dxa"/>
            <w:tcBorders>
              <w:top w:val="single" w:color="auto" w:sz="12" w:space="0"/>
              <w:left w:val="single" w:color="auto" w:sz="4" w:space="0"/>
              <w:bottom w:val="single" w:color="auto" w:sz="4" w:space="0"/>
              <w:right w:val="single" w:color="auto" w:sz="4" w:space="0"/>
            </w:tcBorders>
          </w:tcPr>
          <w:p>
            <w:pPr>
              <w:pStyle w:val="1621"/>
              <w:rPr>
                <w:rFonts w:ascii="Times New Roman" w:hAnsi="Times New Roman" w:cs="Times New Roman"/>
                <w:color w:val="000000" w:themeColor="text1"/>
                <w:spacing w:val="-4"/>
                <w14:textFill>
                  <w14:solidFill>
                    <w14:schemeClr w14:val="tx1"/>
                  </w14:solidFill>
                </w14:textFill>
              </w:rPr>
            </w:pPr>
            <w:r>
              <w:rPr>
                <w:rFonts w:ascii="Times New Roman" w:hAnsi="Times New Roman" w:cs="Times New Roman"/>
                <w:color w:val="000000" w:themeColor="text1"/>
                <w:spacing w:val="-4"/>
                <w14:textFill>
                  <w14:solidFill>
                    <w14:schemeClr w14:val="tx1"/>
                  </w14:solidFill>
                </w14:textFill>
              </w:rPr>
              <w:t>抵达敏感目标后油膜厚度</w:t>
            </w:r>
            <w:r>
              <w:rPr>
                <w:rFonts w:hint="eastAsia" w:ascii="Times New Roman" w:hAnsi="Times New Roman" w:cs="Times New Roman"/>
                <w:color w:val="000000" w:themeColor="text1"/>
                <w:spacing w:val="-4"/>
                <w14:textFill>
                  <w14:solidFill>
                    <w14:schemeClr w14:val="tx1"/>
                  </w14:solidFill>
                </w14:textFill>
              </w:rPr>
              <w:t>（</w:t>
            </w:r>
            <w:r>
              <w:rPr>
                <w:rFonts w:ascii="Times New Roman" w:hAnsi="Times New Roman" w:cs="Times New Roman"/>
                <w:color w:val="000000" w:themeColor="text1"/>
                <w14:textFill>
                  <w14:solidFill>
                    <w14:schemeClr w14:val="tx1"/>
                  </w14:solidFill>
                </w14:textFill>
              </w:rPr>
              <w:sym w:font="Symbol" w:char="F06D"/>
            </w:r>
            <w:r>
              <w:rPr>
                <w:rFonts w:ascii="Times New Roman" w:hAnsi="Times New Roman" w:cs="Times New Roman"/>
                <w:color w:val="000000" w:themeColor="text1"/>
                <w14:textFill>
                  <w14:solidFill>
                    <w14:schemeClr w14:val="tx1"/>
                  </w14:solidFill>
                </w14:textFill>
              </w:rPr>
              <w:t>m</w:t>
            </w:r>
            <w:r>
              <w:rPr>
                <w:rFonts w:ascii="Times New Roman" w:hAnsi="Times New Roman" w:cs="Times New Roman"/>
                <w:color w:val="000000" w:themeColor="text1"/>
                <w:spacing w:val="-4"/>
                <w14:textFill>
                  <w14:solidFill>
                    <w14:schemeClr w14:val="tx1"/>
                  </w14:solidFill>
                </w14:textFill>
              </w:rPr>
              <w:t>)</w:t>
            </w:r>
          </w:p>
        </w:tc>
        <w:tc>
          <w:tcPr>
            <w:tcW w:w="957" w:type="dxa"/>
            <w:tcBorders>
              <w:top w:val="single" w:color="auto" w:sz="12" w:space="0"/>
              <w:left w:val="single" w:color="auto" w:sz="4" w:space="0"/>
              <w:bottom w:val="single" w:color="auto" w:sz="4" w:space="0"/>
              <w:right w:val="single" w:color="auto" w:sz="12" w:space="0"/>
            </w:tcBorders>
            <w:vAlign w:val="center"/>
          </w:tcPr>
          <w:p>
            <w:pPr>
              <w:pStyle w:val="1621"/>
              <w:rPr>
                <w:rFonts w:ascii="Times New Roman" w:hAnsi="Times New Roman" w:cs="Times New Roman"/>
                <w:color w:val="000000" w:themeColor="text1"/>
                <w:spacing w:val="-4"/>
                <w14:textFill>
                  <w14:solidFill>
                    <w14:schemeClr w14:val="tx1"/>
                  </w14:solidFill>
                </w14:textFill>
              </w:rPr>
            </w:pPr>
            <w:r>
              <w:rPr>
                <w:rFonts w:ascii="Times New Roman" w:hAnsi="Times New Roman" w:cs="Times New Roman"/>
                <w:color w:val="000000" w:themeColor="text1"/>
                <w:spacing w:val="-4"/>
                <w14:textFill>
                  <w14:solidFill>
                    <w14:schemeClr w14:val="tx1"/>
                  </w14:solidFill>
                </w14:textFill>
              </w:rPr>
              <w:t>危害</w:t>
            </w:r>
          </w:p>
          <w:p>
            <w:pPr>
              <w:pStyle w:val="1621"/>
              <w:rPr>
                <w:rFonts w:ascii="Times New Roman" w:hAnsi="Times New Roman" w:cs="Times New Roman"/>
                <w:color w:val="000000" w:themeColor="text1"/>
                <w:spacing w:val="-4"/>
                <w14:textFill>
                  <w14:solidFill>
                    <w14:schemeClr w14:val="tx1"/>
                  </w14:solidFill>
                </w14:textFill>
              </w:rPr>
            </w:pPr>
            <w:r>
              <w:rPr>
                <w:rFonts w:ascii="Times New Roman" w:hAnsi="Times New Roman" w:cs="Times New Roman"/>
                <w:color w:val="000000" w:themeColor="text1"/>
                <w:spacing w:val="-4"/>
                <w14:textFill>
                  <w14:solidFill>
                    <w14:schemeClr w14:val="tx1"/>
                  </w14:solidFill>
                </w14:textFill>
              </w:rPr>
              <w:t>程度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24" w:hRule="atLeast"/>
          <w:jc w:val="center"/>
        </w:trPr>
        <w:tc>
          <w:tcPr>
            <w:tcW w:w="851" w:type="dxa"/>
            <w:vMerge w:val="restart"/>
            <w:tcBorders>
              <w:top w:val="single" w:color="auto" w:sz="4" w:space="0"/>
              <w:left w:val="single" w:color="auto" w:sz="12" w:space="0"/>
              <w:bottom w:val="single" w:color="auto" w:sz="4" w:space="0"/>
              <w:right w:val="single" w:color="auto" w:sz="4" w:space="0"/>
            </w:tcBorders>
            <w:vAlign w:val="center"/>
          </w:tcPr>
          <w:p>
            <w:pPr>
              <w:pStyle w:val="1621"/>
              <w:rPr>
                <w:rFonts w:ascii="Times New Roman" w:hAnsi="Times New Roman" w:cs="Times New Roman"/>
                <w:color w:val="000000" w:themeColor="text1"/>
                <w:spacing w:val="-4"/>
                <w14:textFill>
                  <w14:solidFill>
                    <w14:schemeClr w14:val="tx1"/>
                  </w14:solidFill>
                </w14:textFill>
              </w:rPr>
            </w:pPr>
            <w:r>
              <w:rPr>
                <w:rFonts w:ascii="Times New Roman" w:hAnsi="Times New Roman" w:cs="Times New Roman"/>
                <w:color w:val="000000" w:themeColor="text1"/>
                <w:spacing w:val="-4"/>
                <w14:textFill>
                  <w14:solidFill>
                    <w14:schemeClr w14:val="tx1"/>
                  </w14:solidFill>
                </w14:textFill>
              </w:rPr>
              <w:t>S</w:t>
            </w:r>
          </w:p>
        </w:tc>
        <w:tc>
          <w:tcPr>
            <w:tcW w:w="987" w:type="dxa"/>
            <w:tcBorders>
              <w:top w:val="single" w:color="auto" w:sz="4" w:space="0"/>
              <w:left w:val="single" w:color="auto" w:sz="4" w:space="0"/>
              <w:bottom w:val="single" w:color="auto" w:sz="4" w:space="0"/>
              <w:right w:val="single" w:color="auto" w:sz="4" w:space="0"/>
            </w:tcBorders>
            <w:vAlign w:val="center"/>
          </w:tcPr>
          <w:p>
            <w:pPr>
              <w:pStyle w:val="1621"/>
              <w:rPr>
                <w:rFonts w:ascii="Times New Roman" w:hAnsi="Times New Roman" w:cs="Times New Roman"/>
                <w:color w:val="000000" w:themeColor="text1"/>
                <w:spacing w:val="-4"/>
                <w14:textFill>
                  <w14:solidFill>
                    <w14:schemeClr w14:val="tx1"/>
                  </w14:solidFill>
                </w14:textFill>
              </w:rPr>
            </w:pPr>
            <w:r>
              <w:rPr>
                <w:rFonts w:ascii="Times New Roman" w:hAnsi="Times New Roman" w:cs="Times New Roman"/>
                <w:color w:val="000000" w:themeColor="text1"/>
                <w:spacing w:val="-4"/>
                <w14:textFill>
                  <w14:solidFill>
                    <w14:schemeClr w14:val="tx1"/>
                  </w14:solidFill>
                </w14:textFill>
              </w:rPr>
              <w:t>高潮时</w:t>
            </w:r>
          </w:p>
        </w:tc>
        <w:tc>
          <w:tcPr>
            <w:tcW w:w="2571" w:type="dxa"/>
            <w:tcBorders>
              <w:top w:val="single" w:color="auto" w:sz="4" w:space="0"/>
              <w:left w:val="single" w:color="auto" w:sz="4" w:space="0"/>
              <w:bottom w:val="single" w:color="auto" w:sz="4" w:space="0"/>
              <w:right w:val="single" w:color="auto" w:sz="4" w:space="0"/>
            </w:tcBorders>
            <w:vAlign w:val="center"/>
          </w:tcPr>
          <w:p>
            <w:pPr>
              <w:pStyle w:val="1621"/>
              <w:rPr>
                <w:rFonts w:ascii="Times New Roman" w:hAnsi="Times New Roman" w:cs="Times New Roman"/>
                <w:color w:val="000000" w:themeColor="text1"/>
                <w:spacing w:val="-4"/>
                <w14:textFill>
                  <w14:solidFill>
                    <w14:schemeClr w14:val="tx1"/>
                  </w14:solidFill>
                </w14:textFill>
              </w:rPr>
            </w:pPr>
            <w:r>
              <w:rPr>
                <w:rFonts w:ascii="Times New Roman" w:hAnsi="Times New Roman" w:cs="Times New Roman"/>
                <w:color w:val="000000" w:themeColor="text1"/>
                <w14:textFill>
                  <w14:solidFill>
                    <w14:schemeClr w14:val="tx1"/>
                  </w14:solidFill>
                </w14:textFill>
              </w:rPr>
              <w:t>1小时内即可抵岸</w:t>
            </w:r>
          </w:p>
        </w:tc>
        <w:tc>
          <w:tcPr>
            <w:tcW w:w="1843" w:type="dxa"/>
            <w:tcBorders>
              <w:top w:val="single" w:color="auto" w:sz="4" w:space="0"/>
              <w:left w:val="single" w:color="auto" w:sz="4" w:space="0"/>
              <w:bottom w:val="single" w:color="auto" w:sz="4" w:space="0"/>
              <w:right w:val="single" w:color="auto" w:sz="4" w:space="0"/>
            </w:tcBorders>
            <w:vAlign w:val="center"/>
          </w:tcPr>
          <w:p>
            <w:pPr>
              <w:pStyle w:val="1621"/>
              <w:rPr>
                <w:rFonts w:ascii="Times New Roman" w:hAnsi="Times New Roman" w:cs="Times New Roman"/>
                <w:color w:val="000000" w:themeColor="text1"/>
                <w:spacing w:val="-4"/>
                <w14:textFill>
                  <w14:solidFill>
                    <w14:schemeClr w14:val="tx1"/>
                  </w14:solidFill>
                </w14:textFill>
              </w:rPr>
            </w:pPr>
            <w:r>
              <w:rPr>
                <w:rFonts w:ascii="Times New Roman" w:hAnsi="Times New Roman" w:cs="Times New Roman"/>
                <w:color w:val="000000" w:themeColor="text1"/>
                <w14:textFill>
                  <w14:solidFill>
                    <w14:schemeClr w14:val="tx1"/>
                  </w14:solidFill>
                </w14:textFill>
              </w:rPr>
              <w:t>-</w:t>
            </w:r>
          </w:p>
        </w:tc>
        <w:tc>
          <w:tcPr>
            <w:tcW w:w="1304" w:type="dxa"/>
            <w:tcBorders>
              <w:top w:val="single" w:color="auto" w:sz="4" w:space="0"/>
              <w:left w:val="single" w:color="auto" w:sz="4" w:space="0"/>
              <w:bottom w:val="single" w:color="auto" w:sz="4" w:space="0"/>
              <w:right w:val="single" w:color="auto" w:sz="4" w:space="0"/>
            </w:tcBorders>
            <w:vAlign w:val="center"/>
          </w:tcPr>
          <w:p>
            <w:pPr>
              <w:pStyle w:val="1621"/>
              <w:rPr>
                <w:rFonts w:ascii="Times New Roman" w:hAnsi="Times New Roman" w:cs="Times New Roman"/>
                <w:color w:val="000000" w:themeColor="text1"/>
                <w:spacing w:val="-4"/>
                <w14:textFill>
                  <w14:solidFill>
                    <w14:schemeClr w14:val="tx1"/>
                  </w14:solidFill>
                </w14:textFill>
              </w:rPr>
            </w:pPr>
            <w:r>
              <w:rPr>
                <w:rFonts w:ascii="Times New Roman" w:hAnsi="Times New Roman" w:cs="Times New Roman"/>
                <w:color w:val="000000" w:themeColor="text1"/>
                <w14:textFill>
                  <w14:solidFill>
                    <w14:schemeClr w14:val="tx1"/>
                  </w14:solidFill>
                </w14:textFill>
              </w:rPr>
              <w:t>-</w:t>
            </w:r>
          </w:p>
        </w:tc>
        <w:tc>
          <w:tcPr>
            <w:tcW w:w="957" w:type="dxa"/>
            <w:tcBorders>
              <w:top w:val="single" w:color="auto" w:sz="4" w:space="0"/>
              <w:left w:val="single" w:color="auto" w:sz="4" w:space="0"/>
              <w:bottom w:val="single" w:color="auto" w:sz="4" w:space="0"/>
              <w:right w:val="single" w:color="auto" w:sz="12" w:space="0"/>
            </w:tcBorders>
            <w:vAlign w:val="center"/>
          </w:tcPr>
          <w:p>
            <w:pPr>
              <w:pStyle w:val="1621"/>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spacing w:val="-4"/>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24" w:hRule="atLeast"/>
          <w:jc w:val="center"/>
        </w:trPr>
        <w:tc>
          <w:tcPr>
            <w:tcW w:w="851" w:type="dxa"/>
            <w:vMerge w:val="continue"/>
            <w:tcBorders>
              <w:top w:val="single" w:color="auto" w:sz="4" w:space="0"/>
              <w:left w:val="single" w:color="auto" w:sz="12" w:space="0"/>
              <w:bottom w:val="single" w:color="auto" w:sz="4" w:space="0"/>
              <w:right w:val="single" w:color="auto" w:sz="4" w:space="0"/>
            </w:tcBorders>
            <w:vAlign w:val="center"/>
          </w:tcPr>
          <w:p>
            <w:pPr>
              <w:pStyle w:val="1621"/>
              <w:rPr>
                <w:rFonts w:ascii="Times New Roman" w:hAnsi="Times New Roman" w:cs="Times New Roman"/>
                <w:color w:val="000000" w:themeColor="text1"/>
                <w:spacing w:val="-4"/>
                <w14:textFill>
                  <w14:solidFill>
                    <w14:schemeClr w14:val="tx1"/>
                  </w14:solidFill>
                </w14:textFill>
              </w:rPr>
            </w:pPr>
          </w:p>
        </w:tc>
        <w:tc>
          <w:tcPr>
            <w:tcW w:w="987" w:type="dxa"/>
            <w:tcBorders>
              <w:top w:val="single" w:color="auto" w:sz="4" w:space="0"/>
              <w:left w:val="single" w:color="auto" w:sz="4" w:space="0"/>
              <w:bottom w:val="single" w:color="auto" w:sz="4" w:space="0"/>
              <w:right w:val="single" w:color="auto" w:sz="4" w:space="0"/>
            </w:tcBorders>
            <w:vAlign w:val="center"/>
          </w:tcPr>
          <w:p>
            <w:pPr>
              <w:pStyle w:val="1621"/>
              <w:rPr>
                <w:rFonts w:ascii="Times New Roman" w:hAnsi="Times New Roman" w:cs="Times New Roman"/>
                <w:color w:val="000000" w:themeColor="text1"/>
                <w:spacing w:val="-4"/>
                <w14:textFill>
                  <w14:solidFill>
                    <w14:schemeClr w14:val="tx1"/>
                  </w14:solidFill>
                </w14:textFill>
              </w:rPr>
            </w:pPr>
            <w:r>
              <w:rPr>
                <w:rFonts w:ascii="Times New Roman" w:hAnsi="Times New Roman" w:cs="Times New Roman"/>
                <w:color w:val="000000" w:themeColor="text1"/>
                <w:spacing w:val="-4"/>
                <w14:textFill>
                  <w14:solidFill>
                    <w14:schemeClr w14:val="tx1"/>
                  </w14:solidFill>
                </w14:textFill>
              </w:rPr>
              <w:t>低潮时</w:t>
            </w:r>
          </w:p>
        </w:tc>
        <w:tc>
          <w:tcPr>
            <w:tcW w:w="2571" w:type="dxa"/>
            <w:tcBorders>
              <w:top w:val="single" w:color="auto" w:sz="4" w:space="0"/>
              <w:left w:val="single" w:color="auto" w:sz="4" w:space="0"/>
              <w:bottom w:val="single" w:color="auto" w:sz="4" w:space="0"/>
              <w:right w:val="single" w:color="auto" w:sz="4" w:space="0"/>
            </w:tcBorders>
            <w:vAlign w:val="center"/>
          </w:tcPr>
          <w:p>
            <w:pPr>
              <w:pStyle w:val="1621"/>
              <w:rPr>
                <w:rFonts w:ascii="Times New Roman" w:hAnsi="Times New Roman" w:cs="Times New Roman"/>
                <w:color w:val="000000" w:themeColor="text1"/>
                <w:spacing w:val="-4"/>
                <w14:textFill>
                  <w14:solidFill>
                    <w14:schemeClr w14:val="tx1"/>
                  </w14:solidFill>
                </w14:textFill>
              </w:rPr>
            </w:pPr>
            <w:r>
              <w:rPr>
                <w:rFonts w:ascii="Times New Roman" w:hAnsi="Times New Roman" w:cs="Times New Roman"/>
                <w:color w:val="000000" w:themeColor="text1"/>
                <w14:textFill>
                  <w14:solidFill>
                    <w14:schemeClr w14:val="tx1"/>
                  </w14:solidFill>
                </w14:textFill>
              </w:rPr>
              <w:t>主体部分溢油1小时</w:t>
            </w:r>
            <w:r>
              <w:rPr>
                <w:rFonts w:hint="eastAsia" w:ascii="Times New Roman" w:hAnsi="Times New Roman" w:cs="Times New Roman"/>
                <w:color w:val="000000" w:themeColor="text1"/>
                <w:lang w:eastAsia="zh-CN"/>
                <w14:textFill>
                  <w14:solidFill>
                    <w14:schemeClr w14:val="tx1"/>
                  </w14:solidFill>
                </w14:textFill>
              </w:rPr>
              <w:t>即可</w:t>
            </w:r>
            <w:r>
              <w:rPr>
                <w:rFonts w:ascii="Times New Roman" w:hAnsi="Times New Roman" w:cs="Times New Roman"/>
                <w:color w:val="000000" w:themeColor="text1"/>
                <w14:textFill>
                  <w14:solidFill>
                    <w14:schemeClr w14:val="tx1"/>
                  </w14:solidFill>
                </w14:textFill>
              </w:rPr>
              <w:t>抵岸；约9</w:t>
            </w:r>
            <w:r>
              <w:rPr>
                <w:rFonts w:hint="eastAsia" w:ascii="Times New Roman" w:hAnsi="Times New Roman" w:cs="Times New Roman"/>
                <w:color w:val="000000" w:themeColor="text1"/>
                <w:lang w:eastAsia="zh-CN"/>
                <w14:textFill>
                  <w14:solidFill>
                    <w14:schemeClr w14:val="tx1"/>
                  </w14:solidFill>
                </w14:textFill>
              </w:rPr>
              <w:t>小时</w:t>
            </w:r>
            <w:r>
              <w:rPr>
                <w:rFonts w:ascii="Times New Roman" w:hAnsi="Times New Roman" w:cs="Times New Roman"/>
                <w:color w:val="000000" w:themeColor="text1"/>
                <w14:textFill>
                  <w14:solidFill>
                    <w14:schemeClr w14:val="tx1"/>
                  </w14:solidFill>
                </w14:textFill>
              </w:rPr>
              <w:t>，至钦州国投电厂取水口；15小时左右至金鼓江红树林分布区</w:t>
            </w:r>
          </w:p>
        </w:tc>
        <w:tc>
          <w:tcPr>
            <w:tcW w:w="1843" w:type="dxa"/>
            <w:tcBorders>
              <w:top w:val="single" w:color="auto" w:sz="4" w:space="0"/>
              <w:left w:val="single" w:color="auto" w:sz="4" w:space="0"/>
              <w:bottom w:val="single" w:color="auto" w:sz="4" w:space="0"/>
              <w:right w:val="single" w:color="auto" w:sz="4" w:space="0"/>
            </w:tcBorders>
            <w:vAlign w:val="center"/>
          </w:tcPr>
          <w:p>
            <w:pPr>
              <w:pStyle w:val="1621"/>
              <w:rPr>
                <w:rFonts w:ascii="Times New Roman" w:hAnsi="Times New Roman" w:cs="Times New Roman"/>
                <w:color w:val="000000" w:themeColor="text1"/>
                <w:spacing w:val="-4"/>
                <w14:textFill>
                  <w14:solidFill>
                    <w14:schemeClr w14:val="tx1"/>
                  </w14:solidFill>
                </w14:textFill>
              </w:rPr>
            </w:pPr>
            <w:r>
              <w:rPr>
                <w:rFonts w:ascii="Times New Roman" w:hAnsi="Times New Roman" w:cs="Times New Roman"/>
                <w:color w:val="000000" w:themeColor="text1"/>
                <w14:textFill>
                  <w14:solidFill>
                    <w14:schemeClr w14:val="tx1"/>
                  </w14:solidFill>
                </w14:textFill>
              </w:rPr>
              <w:t>钦州国投电厂取水口/金鼓江红树林分布区</w:t>
            </w:r>
          </w:p>
        </w:tc>
        <w:tc>
          <w:tcPr>
            <w:tcW w:w="1304" w:type="dxa"/>
            <w:tcBorders>
              <w:top w:val="single" w:color="auto" w:sz="4" w:space="0"/>
              <w:left w:val="single" w:color="auto" w:sz="4" w:space="0"/>
              <w:bottom w:val="single" w:color="auto" w:sz="4" w:space="0"/>
              <w:right w:val="single" w:color="auto" w:sz="4" w:space="0"/>
            </w:tcBorders>
            <w:vAlign w:val="center"/>
          </w:tcPr>
          <w:p>
            <w:pPr>
              <w:pStyle w:val="1621"/>
              <w:rPr>
                <w:rFonts w:ascii="Times New Roman" w:hAnsi="Times New Roman" w:cs="Times New Roman"/>
                <w:color w:val="000000" w:themeColor="text1"/>
                <w:spacing w:val="-4"/>
                <w14:textFill>
                  <w14:solidFill>
                    <w14:schemeClr w14:val="tx1"/>
                  </w14:solidFill>
                </w14:textFill>
              </w:rPr>
            </w:pPr>
            <w:r>
              <w:rPr>
                <w:rFonts w:ascii="Times New Roman" w:hAnsi="Times New Roman" w:cs="Times New Roman"/>
                <w:color w:val="000000" w:themeColor="text1"/>
                <w14:textFill>
                  <w14:solidFill>
                    <w14:schemeClr w14:val="tx1"/>
                  </w14:solidFill>
                </w14:textFill>
              </w:rPr>
              <w:t>&gt;50/50</w:t>
            </w:r>
          </w:p>
        </w:tc>
        <w:tc>
          <w:tcPr>
            <w:tcW w:w="957" w:type="dxa"/>
            <w:tcBorders>
              <w:top w:val="single" w:color="auto" w:sz="4" w:space="0"/>
              <w:left w:val="single" w:color="auto" w:sz="4" w:space="0"/>
              <w:bottom w:val="single" w:color="auto" w:sz="4" w:space="0"/>
              <w:right w:val="single" w:color="auto" w:sz="12" w:space="0"/>
            </w:tcBorders>
            <w:vAlign w:val="center"/>
          </w:tcPr>
          <w:p>
            <w:pPr>
              <w:pStyle w:val="1621"/>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spacing w:val="-4"/>
                <w14:textFill>
                  <w14:solidFill>
                    <w14:schemeClr w14:val="tx1"/>
                  </w14:solidFill>
                </w14:textFill>
              </w:rPr>
              <w:t>极重污染/极重污染</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24" w:hRule="atLeast"/>
          <w:jc w:val="center"/>
        </w:trPr>
        <w:tc>
          <w:tcPr>
            <w:tcW w:w="851" w:type="dxa"/>
            <w:vMerge w:val="restart"/>
            <w:tcBorders>
              <w:top w:val="single" w:color="auto" w:sz="4" w:space="0"/>
              <w:left w:val="single" w:color="auto" w:sz="12" w:space="0"/>
              <w:bottom w:val="single" w:color="auto" w:sz="4" w:space="0"/>
              <w:right w:val="single" w:color="auto" w:sz="4" w:space="0"/>
            </w:tcBorders>
            <w:vAlign w:val="center"/>
          </w:tcPr>
          <w:p>
            <w:pPr>
              <w:pStyle w:val="1621"/>
              <w:rPr>
                <w:rFonts w:ascii="Times New Roman" w:hAnsi="Times New Roman" w:cs="Times New Roman"/>
                <w:color w:val="000000" w:themeColor="text1"/>
                <w:spacing w:val="-4"/>
                <w14:textFill>
                  <w14:solidFill>
                    <w14:schemeClr w14:val="tx1"/>
                  </w14:solidFill>
                </w14:textFill>
              </w:rPr>
            </w:pPr>
            <w:r>
              <w:rPr>
                <w:rFonts w:ascii="Times New Roman" w:hAnsi="Times New Roman" w:cs="Times New Roman"/>
                <w:color w:val="000000" w:themeColor="text1"/>
                <w:spacing w:val="-4"/>
                <w14:textFill>
                  <w14:solidFill>
                    <w14:schemeClr w14:val="tx1"/>
                  </w14:solidFill>
                </w14:textFill>
              </w:rPr>
              <w:t>N</w:t>
            </w:r>
          </w:p>
        </w:tc>
        <w:tc>
          <w:tcPr>
            <w:tcW w:w="987" w:type="dxa"/>
            <w:tcBorders>
              <w:top w:val="single" w:color="auto" w:sz="4" w:space="0"/>
              <w:left w:val="single" w:color="auto" w:sz="4" w:space="0"/>
              <w:bottom w:val="single" w:color="auto" w:sz="4" w:space="0"/>
              <w:right w:val="single" w:color="auto" w:sz="4" w:space="0"/>
            </w:tcBorders>
            <w:vAlign w:val="center"/>
          </w:tcPr>
          <w:p>
            <w:pPr>
              <w:pStyle w:val="1621"/>
              <w:rPr>
                <w:rFonts w:ascii="Times New Roman" w:hAnsi="Times New Roman" w:cs="Times New Roman"/>
                <w:color w:val="000000" w:themeColor="text1"/>
                <w:spacing w:val="-4"/>
                <w14:textFill>
                  <w14:solidFill>
                    <w14:schemeClr w14:val="tx1"/>
                  </w14:solidFill>
                </w14:textFill>
              </w:rPr>
            </w:pPr>
            <w:r>
              <w:rPr>
                <w:rFonts w:ascii="Times New Roman" w:hAnsi="Times New Roman" w:cs="Times New Roman"/>
                <w:color w:val="000000" w:themeColor="text1"/>
                <w:spacing w:val="-4"/>
                <w14:textFill>
                  <w14:solidFill>
                    <w14:schemeClr w14:val="tx1"/>
                  </w14:solidFill>
                </w14:textFill>
              </w:rPr>
              <w:t>高潮时</w:t>
            </w:r>
          </w:p>
        </w:tc>
        <w:tc>
          <w:tcPr>
            <w:tcW w:w="2571" w:type="dxa"/>
            <w:tcBorders>
              <w:top w:val="single" w:color="auto" w:sz="4" w:space="0"/>
              <w:left w:val="single" w:color="auto" w:sz="4" w:space="0"/>
              <w:bottom w:val="single" w:color="auto" w:sz="4" w:space="0"/>
              <w:right w:val="single" w:color="auto" w:sz="4" w:space="0"/>
            </w:tcBorders>
            <w:vAlign w:val="center"/>
          </w:tcPr>
          <w:p>
            <w:pPr>
              <w:pStyle w:val="1621"/>
              <w:rPr>
                <w:rFonts w:ascii="Times New Roman" w:hAnsi="Times New Roman" w:cs="Times New Roman"/>
                <w:color w:val="000000" w:themeColor="text1"/>
                <w:spacing w:val="-4"/>
                <w14:textFill>
                  <w14:solidFill>
                    <w14:schemeClr w14:val="tx1"/>
                  </w14:solidFill>
                </w14:textFill>
              </w:rPr>
            </w:pPr>
            <w:r>
              <w:rPr>
                <w:rFonts w:ascii="Times New Roman" w:hAnsi="Times New Roman" w:cs="Times New Roman"/>
                <w:color w:val="000000" w:themeColor="text1"/>
                <w14:textFill>
                  <w14:solidFill>
                    <w14:schemeClr w14:val="tx1"/>
                  </w14:solidFill>
                </w14:textFill>
              </w:rPr>
              <w:t>2.5小时至钦州湾外湾渔业用海区；约6</w:t>
            </w:r>
            <w:r>
              <w:rPr>
                <w:rFonts w:hint="eastAsia" w:ascii="Times New Roman" w:hAnsi="Times New Roman" w:cs="Times New Roman"/>
                <w:color w:val="000000" w:themeColor="text1"/>
                <w:lang w:eastAsia="zh-CN"/>
                <w14:textFill>
                  <w14:solidFill>
                    <w14:schemeClr w14:val="tx1"/>
                  </w14:solidFill>
                </w14:textFill>
              </w:rPr>
              <w:t>小时</w:t>
            </w:r>
            <w:r>
              <w:rPr>
                <w:rFonts w:ascii="Times New Roman" w:hAnsi="Times New Roman" w:cs="Times New Roman"/>
                <w:color w:val="000000" w:themeColor="text1"/>
                <w14:textFill>
                  <w14:solidFill>
                    <w14:schemeClr w14:val="tx1"/>
                  </w14:solidFill>
                </w14:textFill>
              </w:rPr>
              <w:t>，至钦州湾渔业用海区；27</w:t>
            </w:r>
            <w:r>
              <w:rPr>
                <w:rFonts w:hint="eastAsia" w:ascii="Times New Roman" w:hAnsi="Times New Roman" w:cs="Times New Roman"/>
                <w:color w:val="000000" w:themeColor="text1"/>
                <w:lang w:eastAsia="zh-CN"/>
                <w14:textFill>
                  <w14:solidFill>
                    <w14:schemeClr w14:val="tx1"/>
                  </w14:solidFill>
                </w14:textFill>
              </w:rPr>
              <w:t>小时</w:t>
            </w:r>
            <w:r>
              <w:rPr>
                <w:rFonts w:ascii="Times New Roman" w:hAnsi="Times New Roman" w:cs="Times New Roman"/>
                <w:color w:val="000000" w:themeColor="text1"/>
                <w14:textFill>
                  <w14:solidFill>
                    <w14:schemeClr w14:val="tx1"/>
                  </w14:solidFill>
                </w14:textFill>
              </w:rPr>
              <w:t>至北部湾二长棘绸长毛对虾国家级种质资源保护区</w:t>
            </w:r>
            <w:r>
              <w:rPr>
                <w:rFonts w:hint="eastAsia" w:ascii="Times New Roman" w:hAnsi="Times New Roman" w:cs="Times New Roman"/>
                <w:color w:val="000000" w:themeColor="text1"/>
                <w14:textFill>
                  <w14:solidFill>
                    <w14:schemeClr w14:val="tx1"/>
                  </w14:solidFill>
                </w14:textFill>
              </w:rPr>
              <w:t>（</w:t>
            </w:r>
            <w:r>
              <w:rPr>
                <w:rFonts w:ascii="Times New Roman" w:hAnsi="Times New Roman" w:cs="Times New Roman"/>
                <w:color w:val="000000" w:themeColor="text1"/>
                <w14:textFill>
                  <w14:solidFill>
                    <w14:schemeClr w14:val="tx1"/>
                  </w14:solidFill>
                </w14:textFill>
              </w:rPr>
              <w:t>实验区</w:t>
            </w:r>
            <w:r>
              <w:rPr>
                <w:rFonts w:hint="eastAsia" w:ascii="Times New Roman" w:hAnsi="Times New Roman" w:cs="Times New Roman"/>
                <w:color w:val="000000" w:themeColor="text1"/>
                <w14:textFill>
                  <w14:solidFill>
                    <w14:schemeClr w14:val="tx1"/>
                  </w14:solidFill>
                </w14:textFill>
              </w:rPr>
              <w:t>）</w:t>
            </w:r>
          </w:p>
        </w:tc>
        <w:tc>
          <w:tcPr>
            <w:tcW w:w="1843" w:type="dxa"/>
            <w:tcBorders>
              <w:top w:val="single" w:color="auto" w:sz="4" w:space="0"/>
              <w:left w:val="single" w:color="auto" w:sz="4" w:space="0"/>
              <w:bottom w:val="single" w:color="auto" w:sz="4" w:space="0"/>
              <w:right w:val="single" w:color="auto" w:sz="4" w:space="0"/>
            </w:tcBorders>
            <w:vAlign w:val="center"/>
          </w:tcPr>
          <w:p>
            <w:pPr>
              <w:pStyle w:val="1621"/>
              <w:rPr>
                <w:rFonts w:ascii="Times New Roman" w:hAnsi="Times New Roman" w:cs="Times New Roman"/>
                <w:color w:val="000000" w:themeColor="text1"/>
                <w:spacing w:val="-4"/>
                <w14:textFill>
                  <w14:solidFill>
                    <w14:schemeClr w14:val="tx1"/>
                  </w14:solidFill>
                </w14:textFill>
              </w:rPr>
            </w:pPr>
            <w:r>
              <w:rPr>
                <w:rFonts w:ascii="Times New Roman" w:hAnsi="Times New Roman" w:cs="Times New Roman"/>
                <w:color w:val="000000" w:themeColor="text1"/>
                <w14:textFill>
                  <w14:solidFill>
                    <w14:schemeClr w14:val="tx1"/>
                  </w14:solidFill>
                </w14:textFill>
              </w:rPr>
              <w:t>钦州湾外湾渔业用海区/钦州湾渔业用海区/北1部湾二长棘绸长毛对虾国家级种质资源保护区</w:t>
            </w:r>
            <w:r>
              <w:rPr>
                <w:rFonts w:hint="eastAsia" w:ascii="Times New Roman" w:hAnsi="Times New Roman" w:cs="Times New Roman"/>
                <w:color w:val="000000" w:themeColor="text1"/>
                <w14:textFill>
                  <w14:solidFill>
                    <w14:schemeClr w14:val="tx1"/>
                  </w14:solidFill>
                </w14:textFill>
              </w:rPr>
              <w:t>（</w:t>
            </w:r>
            <w:r>
              <w:rPr>
                <w:rFonts w:ascii="Times New Roman" w:hAnsi="Times New Roman" w:cs="Times New Roman"/>
                <w:color w:val="000000" w:themeColor="text1"/>
                <w14:textFill>
                  <w14:solidFill>
                    <w14:schemeClr w14:val="tx1"/>
                  </w14:solidFill>
                </w14:textFill>
              </w:rPr>
              <w:t>实验区</w:t>
            </w:r>
            <w:r>
              <w:rPr>
                <w:rFonts w:hint="eastAsia" w:ascii="Times New Roman" w:hAnsi="Times New Roman" w:cs="Times New Roman"/>
                <w:color w:val="000000" w:themeColor="text1"/>
                <w14:textFill>
                  <w14:solidFill>
                    <w14:schemeClr w14:val="tx1"/>
                  </w14:solidFill>
                </w14:textFill>
              </w:rPr>
              <w:t>）</w:t>
            </w:r>
          </w:p>
        </w:tc>
        <w:tc>
          <w:tcPr>
            <w:tcW w:w="1304" w:type="dxa"/>
            <w:tcBorders>
              <w:top w:val="single" w:color="auto" w:sz="4" w:space="0"/>
              <w:left w:val="single" w:color="auto" w:sz="4" w:space="0"/>
              <w:bottom w:val="single" w:color="auto" w:sz="4" w:space="0"/>
              <w:right w:val="single" w:color="auto" w:sz="4" w:space="0"/>
            </w:tcBorders>
            <w:vAlign w:val="center"/>
          </w:tcPr>
          <w:p>
            <w:pPr>
              <w:pStyle w:val="1621"/>
              <w:rPr>
                <w:rFonts w:ascii="Times New Roman" w:hAnsi="Times New Roman" w:cs="Times New Roman"/>
                <w:color w:val="000000" w:themeColor="text1"/>
                <w:spacing w:val="-4"/>
                <w14:textFill>
                  <w14:solidFill>
                    <w14:schemeClr w14:val="tx1"/>
                  </w14:solidFill>
                </w14:textFill>
              </w:rPr>
            </w:pPr>
            <w:r>
              <w:rPr>
                <w:rFonts w:ascii="Times New Roman" w:hAnsi="Times New Roman" w:cs="Times New Roman"/>
                <w:color w:val="000000" w:themeColor="text1"/>
                <w14:textFill>
                  <w14:solidFill>
                    <w14:schemeClr w14:val="tx1"/>
                  </w14:solidFill>
                </w14:textFill>
              </w:rPr>
              <w:t>&gt;50</w:t>
            </w:r>
            <w:r>
              <w:rPr>
                <w:rFonts w:hint="eastAsia" w:ascii="Times New Roman" w:hAnsi="Times New Roman" w:cs="Times New Roman"/>
                <w:color w:val="000000" w:themeColor="text1"/>
                <w14:textFill>
                  <w14:solidFill>
                    <w14:schemeClr w14:val="tx1"/>
                  </w14:solidFill>
                </w14:textFill>
              </w:rPr>
              <w:t>/</w:t>
            </w:r>
            <w:r>
              <w:rPr>
                <w:rFonts w:ascii="Times New Roman" w:hAnsi="Times New Roman" w:cs="Times New Roman"/>
                <w:color w:val="000000" w:themeColor="text1"/>
                <w14:textFill>
                  <w14:solidFill>
                    <w14:schemeClr w14:val="tx1"/>
                  </w14:solidFill>
                </w14:textFill>
              </w:rPr>
              <w:t>50</w:t>
            </w:r>
            <w:r>
              <w:rPr>
                <w:rFonts w:hint="eastAsia" w:ascii="Times New Roman" w:hAnsi="Times New Roman" w:cs="Times New Roman"/>
                <w:color w:val="000000" w:themeColor="text1"/>
                <w14:textFill>
                  <w14:solidFill>
                    <w14:schemeClr w14:val="tx1"/>
                  </w14:solidFill>
                </w14:textFill>
              </w:rPr>
              <w:t>/</w:t>
            </w:r>
            <w:r>
              <w:rPr>
                <w:rFonts w:ascii="Times New Roman" w:hAnsi="Times New Roman" w:cs="Times New Roman"/>
                <w:color w:val="000000" w:themeColor="text1"/>
                <w14:textFill>
                  <w14:solidFill>
                    <w14:schemeClr w14:val="tx1"/>
                  </w14:solidFill>
                </w14:textFill>
              </w:rPr>
              <w:t>50</w:t>
            </w:r>
          </w:p>
        </w:tc>
        <w:tc>
          <w:tcPr>
            <w:tcW w:w="957" w:type="dxa"/>
            <w:tcBorders>
              <w:top w:val="single" w:color="auto" w:sz="4" w:space="0"/>
              <w:left w:val="single" w:color="auto" w:sz="4" w:space="0"/>
              <w:bottom w:val="single" w:color="auto" w:sz="4" w:space="0"/>
              <w:right w:val="single" w:color="auto" w:sz="12" w:space="0"/>
            </w:tcBorders>
            <w:vAlign w:val="center"/>
          </w:tcPr>
          <w:p>
            <w:pPr>
              <w:pStyle w:val="1621"/>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spacing w:val="-4"/>
                <w14:textFill>
                  <w14:solidFill>
                    <w14:schemeClr w14:val="tx1"/>
                  </w14:solidFill>
                </w14:textFill>
              </w:rPr>
              <w:t>极重污染/极重污染/极重污染</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24" w:hRule="atLeast"/>
          <w:jc w:val="center"/>
        </w:trPr>
        <w:tc>
          <w:tcPr>
            <w:tcW w:w="851" w:type="dxa"/>
            <w:vMerge w:val="continue"/>
            <w:tcBorders>
              <w:top w:val="single" w:color="auto" w:sz="4" w:space="0"/>
              <w:left w:val="single" w:color="auto" w:sz="12" w:space="0"/>
              <w:bottom w:val="single" w:color="auto" w:sz="4" w:space="0"/>
              <w:right w:val="single" w:color="auto" w:sz="4" w:space="0"/>
            </w:tcBorders>
            <w:vAlign w:val="center"/>
          </w:tcPr>
          <w:p>
            <w:pPr>
              <w:pStyle w:val="1621"/>
              <w:rPr>
                <w:rFonts w:ascii="Times New Roman" w:hAnsi="Times New Roman" w:cs="Times New Roman"/>
                <w:color w:val="000000" w:themeColor="text1"/>
                <w:spacing w:val="-4"/>
                <w14:textFill>
                  <w14:solidFill>
                    <w14:schemeClr w14:val="tx1"/>
                  </w14:solidFill>
                </w14:textFill>
              </w:rPr>
            </w:pPr>
          </w:p>
        </w:tc>
        <w:tc>
          <w:tcPr>
            <w:tcW w:w="987" w:type="dxa"/>
            <w:tcBorders>
              <w:top w:val="single" w:color="auto" w:sz="4" w:space="0"/>
              <w:left w:val="single" w:color="auto" w:sz="4" w:space="0"/>
              <w:bottom w:val="single" w:color="auto" w:sz="4" w:space="0"/>
              <w:right w:val="single" w:color="auto" w:sz="4" w:space="0"/>
            </w:tcBorders>
            <w:vAlign w:val="center"/>
          </w:tcPr>
          <w:p>
            <w:pPr>
              <w:pStyle w:val="1621"/>
              <w:rPr>
                <w:rFonts w:ascii="Times New Roman" w:hAnsi="Times New Roman" w:cs="Times New Roman"/>
                <w:color w:val="000000" w:themeColor="text1"/>
                <w:spacing w:val="-4"/>
                <w14:textFill>
                  <w14:solidFill>
                    <w14:schemeClr w14:val="tx1"/>
                  </w14:solidFill>
                </w14:textFill>
              </w:rPr>
            </w:pPr>
            <w:r>
              <w:rPr>
                <w:rFonts w:ascii="Times New Roman" w:hAnsi="Times New Roman" w:cs="Times New Roman"/>
                <w:color w:val="000000" w:themeColor="text1"/>
                <w:spacing w:val="-4"/>
                <w14:textFill>
                  <w14:solidFill>
                    <w14:schemeClr w14:val="tx1"/>
                  </w14:solidFill>
                </w14:textFill>
              </w:rPr>
              <w:t>低潮时</w:t>
            </w:r>
          </w:p>
        </w:tc>
        <w:tc>
          <w:tcPr>
            <w:tcW w:w="2571" w:type="dxa"/>
            <w:tcBorders>
              <w:top w:val="single" w:color="auto" w:sz="4" w:space="0"/>
              <w:left w:val="single" w:color="auto" w:sz="4" w:space="0"/>
              <w:bottom w:val="single" w:color="auto" w:sz="4" w:space="0"/>
              <w:right w:val="single" w:color="auto" w:sz="4" w:space="0"/>
            </w:tcBorders>
            <w:vAlign w:val="center"/>
          </w:tcPr>
          <w:p>
            <w:pPr>
              <w:pStyle w:val="1621"/>
              <w:rPr>
                <w:rFonts w:ascii="Times New Roman" w:hAnsi="Times New Roman" w:cs="Times New Roman"/>
                <w:color w:val="000000" w:themeColor="text1"/>
                <w:spacing w:val="-4"/>
                <w14:textFill>
                  <w14:solidFill>
                    <w14:schemeClr w14:val="tx1"/>
                  </w14:solidFill>
                </w14:textFill>
              </w:rPr>
            </w:pPr>
            <w:r>
              <w:rPr>
                <w:rFonts w:ascii="Times New Roman" w:hAnsi="Times New Roman" w:cs="Times New Roman"/>
                <w:color w:val="000000" w:themeColor="text1"/>
                <w14:textFill>
                  <w14:solidFill>
                    <w14:schemeClr w14:val="tx1"/>
                  </w14:solidFill>
                </w14:textFill>
              </w:rPr>
              <w:t>5小时至钦州湾外湾渔业用海区；9</w:t>
            </w:r>
            <w:r>
              <w:rPr>
                <w:rFonts w:hint="eastAsia" w:ascii="Times New Roman" w:hAnsi="Times New Roman" w:cs="Times New Roman"/>
                <w:color w:val="000000" w:themeColor="text1"/>
                <w:lang w:eastAsia="zh-CN"/>
                <w14:textFill>
                  <w14:solidFill>
                    <w14:schemeClr w14:val="tx1"/>
                  </w14:solidFill>
                </w14:textFill>
              </w:rPr>
              <w:t>小时</w:t>
            </w:r>
            <w:r>
              <w:rPr>
                <w:rFonts w:ascii="Times New Roman" w:hAnsi="Times New Roman" w:cs="Times New Roman"/>
                <w:color w:val="000000" w:themeColor="text1"/>
                <w14:textFill>
                  <w14:solidFill>
                    <w14:schemeClr w14:val="tx1"/>
                  </w14:solidFill>
                </w14:textFill>
              </w:rPr>
              <w:t>至钦州港青菜头南浅海滩涂养殖区；10</w:t>
            </w:r>
            <w:r>
              <w:rPr>
                <w:rFonts w:hint="eastAsia" w:ascii="Times New Roman" w:hAnsi="Times New Roman" w:cs="Times New Roman"/>
                <w:color w:val="000000" w:themeColor="text1"/>
                <w:lang w:eastAsia="zh-CN"/>
                <w14:textFill>
                  <w14:solidFill>
                    <w14:schemeClr w14:val="tx1"/>
                  </w14:solidFill>
                </w14:textFill>
              </w:rPr>
              <w:t>小时</w:t>
            </w:r>
            <w:r>
              <w:rPr>
                <w:rFonts w:ascii="Times New Roman" w:hAnsi="Times New Roman" w:cs="Times New Roman"/>
                <w:color w:val="000000" w:themeColor="text1"/>
                <w14:textFill>
                  <w14:solidFill>
                    <w14:schemeClr w14:val="tx1"/>
                  </w14:solidFill>
                </w14:textFill>
              </w:rPr>
              <w:t>至防城港核电厂取水口；约42</w:t>
            </w:r>
            <w:r>
              <w:rPr>
                <w:rFonts w:hint="eastAsia" w:ascii="Times New Roman" w:hAnsi="Times New Roman" w:cs="Times New Roman"/>
                <w:color w:val="000000" w:themeColor="text1"/>
                <w:lang w:eastAsia="zh-CN"/>
                <w14:textFill>
                  <w14:solidFill>
                    <w14:schemeClr w14:val="tx1"/>
                  </w14:solidFill>
                </w14:textFill>
              </w:rPr>
              <w:t>小时</w:t>
            </w:r>
            <w:r>
              <w:rPr>
                <w:rFonts w:ascii="Times New Roman" w:hAnsi="Times New Roman" w:cs="Times New Roman"/>
                <w:color w:val="000000" w:themeColor="text1"/>
                <w14:textFill>
                  <w14:solidFill>
                    <w14:schemeClr w14:val="tx1"/>
                  </w14:solidFill>
                </w14:textFill>
              </w:rPr>
              <w:t>至企沙半岛南部农渔业区；约36</w:t>
            </w:r>
            <w:r>
              <w:rPr>
                <w:rFonts w:hint="eastAsia" w:ascii="Times New Roman" w:hAnsi="Times New Roman" w:cs="Times New Roman"/>
                <w:color w:val="000000" w:themeColor="text1"/>
                <w:lang w:eastAsia="zh-CN"/>
                <w14:textFill>
                  <w14:solidFill>
                    <w14:schemeClr w14:val="tx1"/>
                  </w14:solidFill>
                </w14:textFill>
              </w:rPr>
              <w:t>小时</w:t>
            </w:r>
            <w:r>
              <w:rPr>
                <w:rFonts w:ascii="Times New Roman" w:hAnsi="Times New Roman" w:cs="Times New Roman"/>
                <w:color w:val="000000" w:themeColor="text1"/>
                <w14:textFill>
                  <w14:solidFill>
                    <w14:schemeClr w14:val="tx1"/>
                  </w14:solidFill>
                </w14:textFill>
              </w:rPr>
              <w:t>抵达北部湾二长棘绸长毛对虾国家级种质资源保护区</w:t>
            </w:r>
            <w:r>
              <w:rPr>
                <w:rFonts w:hint="eastAsia" w:ascii="Times New Roman" w:hAnsi="Times New Roman" w:cs="Times New Roman"/>
                <w:color w:val="000000" w:themeColor="text1"/>
                <w14:textFill>
                  <w14:solidFill>
                    <w14:schemeClr w14:val="tx1"/>
                  </w14:solidFill>
                </w14:textFill>
              </w:rPr>
              <w:t>（</w:t>
            </w:r>
            <w:r>
              <w:rPr>
                <w:rFonts w:ascii="Times New Roman" w:hAnsi="Times New Roman" w:cs="Times New Roman"/>
                <w:color w:val="000000" w:themeColor="text1"/>
                <w14:textFill>
                  <w14:solidFill>
                    <w14:schemeClr w14:val="tx1"/>
                  </w14:solidFill>
                </w14:textFill>
              </w:rPr>
              <w:t>实验区</w:t>
            </w:r>
            <w:r>
              <w:rPr>
                <w:rFonts w:hint="eastAsia" w:ascii="Times New Roman" w:hAnsi="Times New Roman" w:cs="Times New Roman"/>
                <w:color w:val="000000" w:themeColor="text1"/>
                <w14:textFill>
                  <w14:solidFill>
                    <w14:schemeClr w14:val="tx1"/>
                  </w14:solidFill>
                </w14:textFill>
              </w:rPr>
              <w:t>）</w:t>
            </w:r>
          </w:p>
        </w:tc>
        <w:tc>
          <w:tcPr>
            <w:tcW w:w="1843" w:type="dxa"/>
            <w:tcBorders>
              <w:top w:val="single" w:color="auto" w:sz="4" w:space="0"/>
              <w:left w:val="single" w:color="auto" w:sz="4" w:space="0"/>
              <w:bottom w:val="single" w:color="auto" w:sz="4" w:space="0"/>
              <w:right w:val="single" w:color="auto" w:sz="4" w:space="0"/>
            </w:tcBorders>
            <w:vAlign w:val="center"/>
          </w:tcPr>
          <w:p>
            <w:pPr>
              <w:pStyle w:val="1621"/>
              <w:rPr>
                <w:rFonts w:ascii="Times New Roman" w:hAnsi="Times New Roman" w:cs="Times New Roman"/>
                <w:color w:val="000000" w:themeColor="text1"/>
                <w:spacing w:val="-4"/>
                <w14:textFill>
                  <w14:solidFill>
                    <w14:schemeClr w14:val="tx1"/>
                  </w14:solidFill>
                </w14:textFill>
              </w:rPr>
            </w:pPr>
            <w:r>
              <w:rPr>
                <w:rFonts w:ascii="Times New Roman" w:hAnsi="Times New Roman" w:cs="Times New Roman"/>
                <w:color w:val="000000" w:themeColor="text1"/>
                <w14:textFill>
                  <w14:solidFill>
                    <w14:schemeClr w14:val="tx1"/>
                  </w14:solidFill>
                </w14:textFill>
              </w:rPr>
              <w:t>钦州湾外湾渔业用海区/钦州港青菜头南浅海滩涂养殖区/防城港核电厂取水口/企沙半岛南部农渔业区/ 北部湾二长棘绸长毛对虾国家级种质资源保护区</w:t>
            </w:r>
            <w:r>
              <w:rPr>
                <w:rFonts w:hint="eastAsia" w:ascii="Times New Roman" w:hAnsi="Times New Roman" w:cs="Times New Roman"/>
                <w:color w:val="000000" w:themeColor="text1"/>
                <w14:textFill>
                  <w14:solidFill>
                    <w14:schemeClr w14:val="tx1"/>
                  </w14:solidFill>
                </w14:textFill>
              </w:rPr>
              <w:t>（</w:t>
            </w:r>
            <w:r>
              <w:rPr>
                <w:rFonts w:ascii="Times New Roman" w:hAnsi="Times New Roman" w:cs="Times New Roman"/>
                <w:color w:val="000000" w:themeColor="text1"/>
                <w14:textFill>
                  <w14:solidFill>
                    <w14:schemeClr w14:val="tx1"/>
                  </w14:solidFill>
                </w14:textFill>
              </w:rPr>
              <w:t>实验区</w:t>
            </w:r>
            <w:r>
              <w:rPr>
                <w:rFonts w:hint="eastAsia" w:ascii="Times New Roman" w:hAnsi="Times New Roman" w:cs="Times New Roman"/>
                <w:color w:val="000000" w:themeColor="text1"/>
                <w14:textFill>
                  <w14:solidFill>
                    <w14:schemeClr w14:val="tx1"/>
                  </w14:solidFill>
                </w14:textFill>
              </w:rPr>
              <w:t>）</w:t>
            </w:r>
          </w:p>
        </w:tc>
        <w:tc>
          <w:tcPr>
            <w:tcW w:w="1304" w:type="dxa"/>
            <w:tcBorders>
              <w:top w:val="single" w:color="auto" w:sz="4" w:space="0"/>
              <w:left w:val="single" w:color="auto" w:sz="4" w:space="0"/>
              <w:bottom w:val="single" w:color="auto" w:sz="4" w:space="0"/>
              <w:right w:val="single" w:color="auto" w:sz="4" w:space="0"/>
            </w:tcBorders>
            <w:vAlign w:val="center"/>
          </w:tcPr>
          <w:p>
            <w:pPr>
              <w:pStyle w:val="1621"/>
              <w:rPr>
                <w:rFonts w:ascii="Times New Roman" w:hAnsi="Times New Roman" w:cs="Times New Roman"/>
                <w:color w:val="000000" w:themeColor="text1"/>
                <w:spacing w:val="-4"/>
                <w14:textFill>
                  <w14:solidFill>
                    <w14:schemeClr w14:val="tx1"/>
                  </w14:solidFill>
                </w14:textFill>
              </w:rPr>
            </w:pPr>
            <w:r>
              <w:rPr>
                <w:rFonts w:ascii="Times New Roman" w:hAnsi="Times New Roman" w:cs="Times New Roman"/>
                <w:color w:val="000000" w:themeColor="text1"/>
                <w14:textFill>
                  <w14:solidFill>
                    <w14:schemeClr w14:val="tx1"/>
                  </w14:solidFill>
                </w14:textFill>
              </w:rPr>
              <w:t>&gt;50</w:t>
            </w:r>
            <w:r>
              <w:rPr>
                <w:rFonts w:hint="eastAsia" w:ascii="Times New Roman" w:hAnsi="Times New Roman" w:cs="Times New Roman"/>
                <w:color w:val="000000" w:themeColor="text1"/>
                <w14:textFill>
                  <w14:solidFill>
                    <w14:schemeClr w14:val="tx1"/>
                  </w14:solidFill>
                </w14:textFill>
              </w:rPr>
              <w:t>/</w:t>
            </w:r>
            <w:r>
              <w:rPr>
                <w:rFonts w:ascii="Times New Roman" w:hAnsi="Times New Roman" w:cs="Times New Roman"/>
                <w:color w:val="000000" w:themeColor="text1"/>
                <w14:textFill>
                  <w14:solidFill>
                    <w14:schemeClr w14:val="tx1"/>
                  </w14:solidFill>
                </w14:textFill>
              </w:rPr>
              <w:t>50</w:t>
            </w:r>
            <w:r>
              <w:rPr>
                <w:rFonts w:hint="eastAsia" w:ascii="Times New Roman" w:hAnsi="Times New Roman" w:cs="Times New Roman"/>
                <w:color w:val="000000" w:themeColor="text1"/>
                <w14:textFill>
                  <w14:solidFill>
                    <w14:schemeClr w14:val="tx1"/>
                  </w14:solidFill>
                </w14:textFill>
              </w:rPr>
              <w:t>/</w:t>
            </w:r>
            <w:r>
              <w:rPr>
                <w:rFonts w:ascii="Times New Roman" w:hAnsi="Times New Roman" w:cs="Times New Roman"/>
                <w:color w:val="000000" w:themeColor="text1"/>
                <w14:textFill>
                  <w14:solidFill>
                    <w14:schemeClr w14:val="tx1"/>
                  </w14:solidFill>
                </w14:textFill>
              </w:rPr>
              <w:t>50</w:t>
            </w:r>
            <w:r>
              <w:rPr>
                <w:rFonts w:hint="eastAsia" w:ascii="Times New Roman" w:hAnsi="Times New Roman" w:cs="Times New Roman"/>
                <w:color w:val="000000" w:themeColor="text1"/>
                <w14:textFill>
                  <w14:solidFill>
                    <w14:schemeClr w14:val="tx1"/>
                  </w14:solidFill>
                </w14:textFill>
              </w:rPr>
              <w:t>/</w:t>
            </w:r>
            <w:r>
              <w:rPr>
                <w:rFonts w:ascii="Times New Roman" w:hAnsi="Times New Roman" w:cs="Times New Roman"/>
                <w:color w:val="000000" w:themeColor="text1"/>
                <w14:textFill>
                  <w14:solidFill>
                    <w14:schemeClr w14:val="tx1"/>
                  </w14:solidFill>
                </w14:textFill>
              </w:rPr>
              <w:t>50</w:t>
            </w:r>
            <w:r>
              <w:rPr>
                <w:rFonts w:hint="eastAsia" w:ascii="Times New Roman" w:hAnsi="Times New Roman" w:cs="Times New Roman"/>
                <w:color w:val="000000" w:themeColor="text1"/>
                <w14:textFill>
                  <w14:solidFill>
                    <w14:schemeClr w14:val="tx1"/>
                  </w14:solidFill>
                </w14:textFill>
              </w:rPr>
              <w:t>/</w:t>
            </w:r>
            <w:r>
              <w:rPr>
                <w:rFonts w:ascii="Times New Roman" w:hAnsi="Times New Roman" w:cs="Times New Roman"/>
                <w:color w:val="000000" w:themeColor="text1"/>
                <w14:textFill>
                  <w14:solidFill>
                    <w14:schemeClr w14:val="tx1"/>
                  </w14:solidFill>
                </w14:textFill>
              </w:rPr>
              <w:t>50</w:t>
            </w:r>
          </w:p>
        </w:tc>
        <w:tc>
          <w:tcPr>
            <w:tcW w:w="957" w:type="dxa"/>
            <w:tcBorders>
              <w:top w:val="single" w:color="auto" w:sz="4" w:space="0"/>
              <w:left w:val="single" w:color="auto" w:sz="4" w:space="0"/>
              <w:bottom w:val="single" w:color="auto" w:sz="4" w:space="0"/>
              <w:right w:val="single" w:color="auto" w:sz="12" w:space="0"/>
            </w:tcBorders>
            <w:vAlign w:val="center"/>
          </w:tcPr>
          <w:p>
            <w:pPr>
              <w:pStyle w:val="1621"/>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spacing w:val="-4"/>
                <w14:textFill>
                  <w14:solidFill>
                    <w14:schemeClr w14:val="tx1"/>
                  </w14:solidFill>
                </w14:textFill>
              </w:rPr>
              <w:t>极重污染/极重污染/极重污染/极重污染/极重污染</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24" w:hRule="atLeast"/>
          <w:jc w:val="center"/>
        </w:trPr>
        <w:tc>
          <w:tcPr>
            <w:tcW w:w="851" w:type="dxa"/>
            <w:vMerge w:val="restart"/>
            <w:tcBorders>
              <w:top w:val="single" w:color="auto" w:sz="4" w:space="0"/>
              <w:left w:val="single" w:color="auto" w:sz="12" w:space="0"/>
              <w:bottom w:val="single" w:color="auto" w:sz="12" w:space="0"/>
              <w:right w:val="single" w:color="auto" w:sz="4" w:space="0"/>
            </w:tcBorders>
            <w:vAlign w:val="center"/>
          </w:tcPr>
          <w:p>
            <w:pPr>
              <w:pStyle w:val="1621"/>
              <w:rPr>
                <w:rFonts w:ascii="Times New Roman" w:hAnsi="Times New Roman" w:cs="Times New Roman"/>
                <w:color w:val="000000" w:themeColor="text1"/>
                <w:spacing w:val="-4"/>
                <w14:textFill>
                  <w14:solidFill>
                    <w14:schemeClr w14:val="tx1"/>
                  </w14:solidFill>
                </w14:textFill>
              </w:rPr>
            </w:pPr>
            <w:r>
              <w:rPr>
                <w:rFonts w:ascii="Times New Roman" w:hAnsi="Times New Roman" w:cs="Times New Roman"/>
                <w:color w:val="000000" w:themeColor="text1"/>
                <w:spacing w:val="-4"/>
                <w14:textFill>
                  <w14:solidFill>
                    <w14:schemeClr w14:val="tx1"/>
                  </w14:solidFill>
                </w14:textFill>
              </w:rPr>
              <w:t>NE</w:t>
            </w:r>
          </w:p>
        </w:tc>
        <w:tc>
          <w:tcPr>
            <w:tcW w:w="987" w:type="dxa"/>
            <w:tcBorders>
              <w:top w:val="single" w:color="auto" w:sz="4" w:space="0"/>
              <w:left w:val="single" w:color="auto" w:sz="4" w:space="0"/>
              <w:bottom w:val="single" w:color="auto" w:sz="4" w:space="0"/>
              <w:right w:val="single" w:color="auto" w:sz="4" w:space="0"/>
            </w:tcBorders>
            <w:vAlign w:val="center"/>
          </w:tcPr>
          <w:p>
            <w:pPr>
              <w:pStyle w:val="1621"/>
              <w:rPr>
                <w:rFonts w:ascii="Times New Roman" w:hAnsi="Times New Roman" w:cs="Times New Roman"/>
                <w:color w:val="000000" w:themeColor="text1"/>
                <w:spacing w:val="-4"/>
                <w14:textFill>
                  <w14:solidFill>
                    <w14:schemeClr w14:val="tx1"/>
                  </w14:solidFill>
                </w14:textFill>
              </w:rPr>
            </w:pPr>
            <w:r>
              <w:rPr>
                <w:rFonts w:ascii="Times New Roman" w:hAnsi="Times New Roman" w:cs="Times New Roman"/>
                <w:color w:val="000000" w:themeColor="text1"/>
                <w:spacing w:val="-4"/>
                <w14:textFill>
                  <w14:solidFill>
                    <w14:schemeClr w14:val="tx1"/>
                  </w14:solidFill>
                </w14:textFill>
              </w:rPr>
              <w:t>高潮时</w:t>
            </w:r>
          </w:p>
        </w:tc>
        <w:tc>
          <w:tcPr>
            <w:tcW w:w="2571" w:type="dxa"/>
            <w:tcBorders>
              <w:top w:val="single" w:color="auto" w:sz="4" w:space="0"/>
              <w:left w:val="single" w:color="auto" w:sz="4" w:space="0"/>
              <w:bottom w:val="single" w:color="auto" w:sz="4" w:space="0"/>
              <w:right w:val="single" w:color="auto" w:sz="4" w:space="0"/>
            </w:tcBorders>
            <w:vAlign w:val="center"/>
          </w:tcPr>
          <w:p>
            <w:pPr>
              <w:pStyle w:val="1621"/>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约1小时至钦州湾外湾渔业用海区；3</w:t>
            </w:r>
            <w:r>
              <w:rPr>
                <w:rFonts w:hint="eastAsia" w:ascii="Times New Roman" w:hAnsi="Times New Roman" w:cs="Times New Roman"/>
                <w:color w:val="000000" w:themeColor="text1"/>
                <w:lang w:eastAsia="zh-CN"/>
                <w14:textFill>
                  <w14:solidFill>
                    <w14:schemeClr w14:val="tx1"/>
                  </w14:solidFill>
                </w14:textFill>
              </w:rPr>
              <w:t>小时</w:t>
            </w:r>
            <w:r>
              <w:rPr>
                <w:rFonts w:ascii="Times New Roman" w:hAnsi="Times New Roman" w:cs="Times New Roman"/>
                <w:color w:val="000000" w:themeColor="text1"/>
                <w14:textFill>
                  <w14:solidFill>
                    <w14:schemeClr w14:val="tx1"/>
                  </w14:solidFill>
                </w14:textFill>
              </w:rPr>
              <w:t>至钦州港青菜头南浅海滩涂养殖区；8小时后至企沙半岛南部农渔业区</w:t>
            </w:r>
          </w:p>
        </w:tc>
        <w:tc>
          <w:tcPr>
            <w:tcW w:w="1843" w:type="dxa"/>
            <w:tcBorders>
              <w:top w:val="single" w:color="auto" w:sz="4" w:space="0"/>
              <w:left w:val="single" w:color="auto" w:sz="4" w:space="0"/>
              <w:bottom w:val="single" w:color="auto" w:sz="4" w:space="0"/>
              <w:right w:val="single" w:color="auto" w:sz="4" w:space="0"/>
            </w:tcBorders>
            <w:vAlign w:val="center"/>
          </w:tcPr>
          <w:p>
            <w:pPr>
              <w:pStyle w:val="1621"/>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钦州湾外湾渔业用海区/ 钦州港青菜头南浅海滩涂养殖区/企沙半岛南部农渔业区</w:t>
            </w:r>
          </w:p>
        </w:tc>
        <w:tc>
          <w:tcPr>
            <w:tcW w:w="1304" w:type="dxa"/>
            <w:tcBorders>
              <w:top w:val="single" w:color="auto" w:sz="4" w:space="0"/>
              <w:left w:val="single" w:color="auto" w:sz="4" w:space="0"/>
              <w:bottom w:val="single" w:color="auto" w:sz="4" w:space="0"/>
              <w:right w:val="single" w:color="auto" w:sz="4" w:space="0"/>
            </w:tcBorders>
            <w:vAlign w:val="center"/>
          </w:tcPr>
          <w:p>
            <w:pPr>
              <w:pStyle w:val="1621"/>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&gt;50</w:t>
            </w:r>
            <w:r>
              <w:rPr>
                <w:rFonts w:hint="eastAsia" w:ascii="Times New Roman" w:hAnsi="Times New Roman" w:cs="Times New Roman"/>
                <w:color w:val="000000" w:themeColor="text1"/>
                <w14:textFill>
                  <w14:solidFill>
                    <w14:schemeClr w14:val="tx1"/>
                  </w14:solidFill>
                </w14:textFill>
              </w:rPr>
              <w:t>/</w:t>
            </w:r>
            <w:r>
              <w:rPr>
                <w:rFonts w:ascii="Times New Roman" w:hAnsi="Times New Roman" w:cs="Times New Roman"/>
                <w:color w:val="000000" w:themeColor="text1"/>
                <w14:textFill>
                  <w14:solidFill>
                    <w14:schemeClr w14:val="tx1"/>
                  </w14:solidFill>
                </w14:textFill>
              </w:rPr>
              <w:t>50</w:t>
            </w:r>
            <w:r>
              <w:rPr>
                <w:rFonts w:hint="eastAsia" w:ascii="Times New Roman" w:hAnsi="Times New Roman" w:cs="Times New Roman"/>
                <w:color w:val="000000" w:themeColor="text1"/>
                <w14:textFill>
                  <w14:solidFill>
                    <w14:schemeClr w14:val="tx1"/>
                  </w14:solidFill>
                </w14:textFill>
              </w:rPr>
              <w:t>/</w:t>
            </w:r>
            <w:r>
              <w:rPr>
                <w:rFonts w:ascii="Times New Roman" w:hAnsi="Times New Roman" w:cs="Times New Roman"/>
                <w:color w:val="000000" w:themeColor="text1"/>
                <w14:textFill>
                  <w14:solidFill>
                    <w14:schemeClr w14:val="tx1"/>
                  </w14:solidFill>
                </w14:textFill>
              </w:rPr>
              <w:t>50</w:t>
            </w:r>
          </w:p>
        </w:tc>
        <w:tc>
          <w:tcPr>
            <w:tcW w:w="957" w:type="dxa"/>
            <w:tcBorders>
              <w:top w:val="single" w:color="auto" w:sz="4" w:space="0"/>
              <w:left w:val="single" w:color="auto" w:sz="4" w:space="0"/>
              <w:bottom w:val="single" w:color="auto" w:sz="4" w:space="0"/>
              <w:right w:val="single" w:color="auto" w:sz="12" w:space="0"/>
            </w:tcBorders>
            <w:vAlign w:val="center"/>
          </w:tcPr>
          <w:p>
            <w:pPr>
              <w:pStyle w:val="1621"/>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spacing w:val="-4"/>
                <w14:textFill>
                  <w14:solidFill>
                    <w14:schemeClr w14:val="tx1"/>
                  </w14:solidFill>
                </w14:textFill>
              </w:rPr>
              <w:t>极重污染/极重污染/极重污染</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24" w:hRule="atLeast"/>
          <w:jc w:val="center"/>
        </w:trPr>
        <w:tc>
          <w:tcPr>
            <w:tcW w:w="851" w:type="dxa"/>
            <w:vMerge w:val="continue"/>
            <w:tcBorders>
              <w:top w:val="single" w:color="auto" w:sz="4" w:space="0"/>
              <w:left w:val="single" w:color="auto" w:sz="12" w:space="0"/>
              <w:bottom w:val="single" w:color="auto" w:sz="4" w:space="0"/>
              <w:right w:val="single" w:color="auto" w:sz="4" w:space="0"/>
            </w:tcBorders>
            <w:vAlign w:val="center"/>
          </w:tcPr>
          <w:p>
            <w:pPr>
              <w:pStyle w:val="1621"/>
              <w:rPr>
                <w:rFonts w:ascii="Times New Roman" w:hAnsi="Times New Roman" w:cs="Times New Roman"/>
                <w:color w:val="000000" w:themeColor="text1"/>
                <w:spacing w:val="-4"/>
                <w14:textFill>
                  <w14:solidFill>
                    <w14:schemeClr w14:val="tx1"/>
                  </w14:solidFill>
                </w14:textFill>
              </w:rPr>
            </w:pPr>
          </w:p>
        </w:tc>
        <w:tc>
          <w:tcPr>
            <w:tcW w:w="987" w:type="dxa"/>
            <w:tcBorders>
              <w:top w:val="single" w:color="auto" w:sz="4" w:space="0"/>
              <w:left w:val="single" w:color="auto" w:sz="4" w:space="0"/>
              <w:bottom w:val="single" w:color="auto" w:sz="4" w:space="0"/>
              <w:right w:val="single" w:color="auto" w:sz="4" w:space="0"/>
            </w:tcBorders>
            <w:vAlign w:val="center"/>
          </w:tcPr>
          <w:p>
            <w:pPr>
              <w:pStyle w:val="1621"/>
              <w:rPr>
                <w:rFonts w:ascii="Times New Roman" w:hAnsi="Times New Roman" w:cs="Times New Roman"/>
                <w:color w:val="000000" w:themeColor="text1"/>
                <w:spacing w:val="-4"/>
                <w14:textFill>
                  <w14:solidFill>
                    <w14:schemeClr w14:val="tx1"/>
                  </w14:solidFill>
                </w14:textFill>
              </w:rPr>
            </w:pPr>
            <w:r>
              <w:rPr>
                <w:rFonts w:ascii="Times New Roman" w:hAnsi="Times New Roman" w:cs="Times New Roman"/>
                <w:color w:val="000000" w:themeColor="text1"/>
                <w:spacing w:val="-4"/>
                <w14:textFill>
                  <w14:solidFill>
                    <w14:schemeClr w14:val="tx1"/>
                  </w14:solidFill>
                </w14:textFill>
              </w:rPr>
              <w:t>低潮时</w:t>
            </w:r>
          </w:p>
        </w:tc>
        <w:tc>
          <w:tcPr>
            <w:tcW w:w="2571" w:type="dxa"/>
            <w:tcBorders>
              <w:top w:val="single" w:color="auto" w:sz="4" w:space="0"/>
              <w:left w:val="single" w:color="auto" w:sz="4" w:space="0"/>
              <w:bottom w:val="single" w:color="auto" w:sz="4" w:space="0"/>
              <w:right w:val="single" w:color="auto" w:sz="4" w:space="0"/>
            </w:tcBorders>
            <w:vAlign w:val="center"/>
          </w:tcPr>
          <w:p>
            <w:pPr>
              <w:pStyle w:val="1621"/>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2小时抵达钦州湾外湾渔业用海区的北部区域；4</w:t>
            </w:r>
            <w:r>
              <w:rPr>
                <w:rFonts w:hint="eastAsia" w:ascii="Times New Roman" w:hAnsi="Times New Roman" w:cs="Times New Roman"/>
                <w:color w:val="000000" w:themeColor="text1"/>
                <w:lang w:eastAsia="zh-CN"/>
                <w14:textFill>
                  <w14:solidFill>
                    <w14:schemeClr w14:val="tx1"/>
                  </w14:solidFill>
                </w14:textFill>
              </w:rPr>
              <w:t>小时</w:t>
            </w:r>
            <w:r>
              <w:rPr>
                <w:rFonts w:ascii="Times New Roman" w:hAnsi="Times New Roman" w:cs="Times New Roman"/>
                <w:color w:val="000000" w:themeColor="text1"/>
                <w14:textFill>
                  <w14:solidFill>
                    <w14:schemeClr w14:val="tx1"/>
                  </w14:solidFill>
                </w14:textFill>
              </w:rPr>
              <w:t>至钦州港青菜头南浅海滩涂养殖区；5小时左右至防城港红沙农渔业区、防城港核电厂取水口；6</w:t>
            </w:r>
            <w:r>
              <w:rPr>
                <w:rFonts w:hint="eastAsia" w:ascii="Times New Roman" w:hAnsi="Times New Roman" w:cs="Times New Roman"/>
                <w:color w:val="000000" w:themeColor="text1"/>
                <w:lang w:eastAsia="zh-CN"/>
                <w14:textFill>
                  <w14:solidFill>
                    <w14:schemeClr w14:val="tx1"/>
                  </w14:solidFill>
                </w14:textFill>
              </w:rPr>
              <w:t>小时</w:t>
            </w:r>
            <w:r>
              <w:rPr>
                <w:rFonts w:ascii="Times New Roman" w:hAnsi="Times New Roman" w:cs="Times New Roman"/>
                <w:color w:val="000000" w:themeColor="text1"/>
                <w14:textFill>
                  <w14:solidFill>
                    <w14:schemeClr w14:val="tx1"/>
                  </w14:solidFill>
                </w14:textFill>
              </w:rPr>
              <w:t>抵岸</w:t>
            </w:r>
          </w:p>
        </w:tc>
        <w:tc>
          <w:tcPr>
            <w:tcW w:w="1843" w:type="dxa"/>
            <w:tcBorders>
              <w:top w:val="single" w:color="auto" w:sz="4" w:space="0"/>
              <w:left w:val="single" w:color="auto" w:sz="4" w:space="0"/>
              <w:bottom w:val="single" w:color="auto" w:sz="4" w:space="0"/>
              <w:right w:val="single" w:color="auto" w:sz="4" w:space="0"/>
            </w:tcBorders>
            <w:vAlign w:val="center"/>
          </w:tcPr>
          <w:p>
            <w:pPr>
              <w:pStyle w:val="1621"/>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钦州湾外湾渔业用海区/ 钦州港青菜头南浅海滩涂养殖区/防城港红沙农渔业区/防城港核电厂取水口</w:t>
            </w:r>
          </w:p>
        </w:tc>
        <w:tc>
          <w:tcPr>
            <w:tcW w:w="1304" w:type="dxa"/>
            <w:tcBorders>
              <w:top w:val="single" w:color="auto" w:sz="4" w:space="0"/>
              <w:left w:val="single" w:color="auto" w:sz="4" w:space="0"/>
              <w:bottom w:val="single" w:color="auto" w:sz="4" w:space="0"/>
              <w:right w:val="single" w:color="auto" w:sz="4" w:space="0"/>
            </w:tcBorders>
            <w:vAlign w:val="center"/>
          </w:tcPr>
          <w:p>
            <w:pPr>
              <w:pStyle w:val="1621"/>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&gt;50</w:t>
            </w:r>
            <w:r>
              <w:rPr>
                <w:rFonts w:hint="eastAsia" w:ascii="Times New Roman" w:hAnsi="Times New Roman" w:cs="Times New Roman"/>
                <w:color w:val="000000" w:themeColor="text1"/>
                <w14:textFill>
                  <w14:solidFill>
                    <w14:schemeClr w14:val="tx1"/>
                  </w14:solidFill>
                </w14:textFill>
              </w:rPr>
              <w:t>/</w:t>
            </w:r>
            <w:r>
              <w:rPr>
                <w:rFonts w:ascii="Times New Roman" w:hAnsi="Times New Roman" w:cs="Times New Roman"/>
                <w:color w:val="000000" w:themeColor="text1"/>
                <w14:textFill>
                  <w14:solidFill>
                    <w14:schemeClr w14:val="tx1"/>
                  </w14:solidFill>
                </w14:textFill>
              </w:rPr>
              <w:t>50</w:t>
            </w:r>
            <w:r>
              <w:rPr>
                <w:rFonts w:hint="eastAsia" w:ascii="Times New Roman" w:hAnsi="Times New Roman" w:cs="Times New Roman"/>
                <w:color w:val="000000" w:themeColor="text1"/>
                <w14:textFill>
                  <w14:solidFill>
                    <w14:schemeClr w14:val="tx1"/>
                  </w14:solidFill>
                </w14:textFill>
              </w:rPr>
              <w:t>/</w:t>
            </w:r>
            <w:r>
              <w:rPr>
                <w:rFonts w:ascii="Times New Roman" w:hAnsi="Times New Roman" w:cs="Times New Roman"/>
                <w:color w:val="000000" w:themeColor="text1"/>
                <w14:textFill>
                  <w14:solidFill>
                    <w14:schemeClr w14:val="tx1"/>
                  </w14:solidFill>
                </w14:textFill>
              </w:rPr>
              <w:t>50</w:t>
            </w:r>
          </w:p>
        </w:tc>
        <w:tc>
          <w:tcPr>
            <w:tcW w:w="957" w:type="dxa"/>
            <w:tcBorders>
              <w:top w:val="single" w:color="auto" w:sz="4" w:space="0"/>
              <w:left w:val="single" w:color="auto" w:sz="4" w:space="0"/>
              <w:bottom w:val="single" w:color="auto" w:sz="4" w:space="0"/>
              <w:right w:val="single" w:color="auto" w:sz="12" w:space="0"/>
            </w:tcBorders>
            <w:vAlign w:val="center"/>
          </w:tcPr>
          <w:p>
            <w:pPr>
              <w:pStyle w:val="1621"/>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spacing w:val="-4"/>
                <w14:textFill>
                  <w14:solidFill>
                    <w14:schemeClr w14:val="tx1"/>
                  </w14:solidFill>
                </w14:textFill>
              </w:rPr>
              <w:t>极重污染/极重污染</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24" w:hRule="atLeast"/>
          <w:jc w:val="center"/>
        </w:trPr>
        <w:tc>
          <w:tcPr>
            <w:tcW w:w="851" w:type="dxa"/>
            <w:vMerge w:val="restart"/>
            <w:tcBorders>
              <w:top w:val="single" w:color="auto" w:sz="4" w:space="0"/>
              <w:left w:val="single" w:color="auto" w:sz="12" w:space="0"/>
              <w:right w:val="single" w:color="auto" w:sz="4" w:space="0"/>
            </w:tcBorders>
            <w:vAlign w:val="center"/>
          </w:tcPr>
          <w:p>
            <w:pPr>
              <w:pStyle w:val="1621"/>
              <w:rPr>
                <w:rFonts w:ascii="Times New Roman" w:hAnsi="Times New Roman" w:cs="Times New Roman"/>
                <w:color w:val="000000" w:themeColor="text1"/>
                <w:spacing w:val="-4"/>
                <w14:textFill>
                  <w14:solidFill>
                    <w14:schemeClr w14:val="tx1"/>
                  </w14:solidFill>
                </w14:textFill>
              </w:rPr>
            </w:pPr>
            <w:r>
              <w:rPr>
                <w:rFonts w:ascii="Times New Roman" w:hAnsi="Times New Roman" w:cs="Times New Roman"/>
                <w:color w:val="000000" w:themeColor="text1"/>
                <w:spacing w:val="-4"/>
                <w14:textFill>
                  <w14:solidFill>
                    <w14:schemeClr w14:val="tx1"/>
                  </w14:solidFill>
                </w14:textFill>
              </w:rPr>
              <w:t>SE</w:t>
            </w:r>
          </w:p>
        </w:tc>
        <w:tc>
          <w:tcPr>
            <w:tcW w:w="987" w:type="dxa"/>
            <w:tcBorders>
              <w:top w:val="single" w:color="auto" w:sz="4" w:space="0"/>
              <w:left w:val="single" w:color="auto" w:sz="4" w:space="0"/>
              <w:bottom w:val="single" w:color="auto" w:sz="4" w:space="0"/>
              <w:right w:val="single" w:color="auto" w:sz="4" w:space="0"/>
            </w:tcBorders>
            <w:vAlign w:val="center"/>
          </w:tcPr>
          <w:p>
            <w:pPr>
              <w:pStyle w:val="1621"/>
              <w:rPr>
                <w:rFonts w:ascii="Times New Roman" w:hAnsi="Times New Roman" w:cs="Times New Roman"/>
                <w:color w:val="000000" w:themeColor="text1"/>
                <w:spacing w:val="-4"/>
                <w14:textFill>
                  <w14:solidFill>
                    <w14:schemeClr w14:val="tx1"/>
                  </w14:solidFill>
                </w14:textFill>
              </w:rPr>
            </w:pPr>
            <w:r>
              <w:rPr>
                <w:rFonts w:ascii="Times New Roman" w:hAnsi="Times New Roman" w:cs="Times New Roman"/>
                <w:color w:val="000000" w:themeColor="text1"/>
                <w:spacing w:val="-4"/>
                <w14:textFill>
                  <w14:solidFill>
                    <w14:schemeClr w14:val="tx1"/>
                  </w14:solidFill>
                </w14:textFill>
              </w:rPr>
              <w:t>高潮时</w:t>
            </w:r>
          </w:p>
        </w:tc>
        <w:tc>
          <w:tcPr>
            <w:tcW w:w="2571" w:type="dxa"/>
            <w:tcBorders>
              <w:top w:val="single" w:color="auto" w:sz="4" w:space="0"/>
              <w:left w:val="single" w:color="auto" w:sz="4" w:space="0"/>
              <w:bottom w:val="single" w:color="auto" w:sz="4" w:space="0"/>
              <w:right w:val="single" w:color="auto" w:sz="4" w:space="0"/>
            </w:tcBorders>
            <w:vAlign w:val="center"/>
          </w:tcPr>
          <w:p>
            <w:pPr>
              <w:pStyle w:val="1621"/>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约6小时至钦州湾外湾渔业用海区；约8</w:t>
            </w:r>
            <w:r>
              <w:rPr>
                <w:rFonts w:hint="eastAsia" w:ascii="Times New Roman" w:hAnsi="Times New Roman" w:cs="Times New Roman"/>
                <w:color w:val="000000" w:themeColor="text1"/>
                <w:lang w:eastAsia="zh-CN"/>
                <w14:textFill>
                  <w14:solidFill>
                    <w14:schemeClr w14:val="tx1"/>
                  </w14:solidFill>
                </w14:textFill>
              </w:rPr>
              <w:t>小时</w:t>
            </w:r>
            <w:r>
              <w:rPr>
                <w:rFonts w:ascii="Times New Roman" w:hAnsi="Times New Roman" w:cs="Times New Roman"/>
                <w:color w:val="000000" w:themeColor="text1"/>
                <w14:textFill>
                  <w14:solidFill>
                    <w14:schemeClr w14:val="tx1"/>
                  </w14:solidFill>
                </w14:textFill>
              </w:rPr>
              <w:t>至钦州港青菜头南浅海滩涂养殖区；约50</w:t>
            </w:r>
            <w:r>
              <w:rPr>
                <w:rFonts w:hint="eastAsia" w:ascii="Times New Roman" w:hAnsi="Times New Roman" w:cs="Times New Roman"/>
                <w:color w:val="000000" w:themeColor="text1"/>
                <w:lang w:eastAsia="zh-CN"/>
                <w14:textFill>
                  <w14:solidFill>
                    <w14:schemeClr w14:val="tx1"/>
                  </w14:solidFill>
                </w14:textFill>
              </w:rPr>
              <w:t>小时</w:t>
            </w:r>
            <w:r>
              <w:rPr>
                <w:rFonts w:ascii="Times New Roman" w:hAnsi="Times New Roman" w:cs="Times New Roman"/>
                <w:color w:val="000000" w:themeColor="text1"/>
                <w14:textFill>
                  <w14:solidFill>
                    <w14:schemeClr w14:val="tx1"/>
                  </w14:solidFill>
                </w14:textFill>
              </w:rPr>
              <w:t>至钦州国投电厂取水口；61小时后抵达防城港红沙农渔业区；约68小时后抵达茅尾海渔业用海区、七十二泾生态控制区；69</w:t>
            </w:r>
            <w:r>
              <w:rPr>
                <w:rFonts w:hint="eastAsia" w:ascii="Times New Roman" w:hAnsi="Times New Roman" w:cs="Times New Roman"/>
                <w:color w:val="000000" w:themeColor="text1"/>
                <w:lang w:eastAsia="zh-CN"/>
                <w14:textFill>
                  <w14:solidFill>
                    <w14:schemeClr w14:val="tx1"/>
                  </w14:solidFill>
                </w14:textFill>
              </w:rPr>
              <w:t>小时</w:t>
            </w:r>
            <w:r>
              <w:rPr>
                <w:rFonts w:ascii="Times New Roman" w:hAnsi="Times New Roman" w:cs="Times New Roman"/>
                <w:color w:val="000000" w:themeColor="text1"/>
                <w14:textFill>
                  <w14:solidFill>
                    <w14:schemeClr w14:val="tx1"/>
                  </w14:solidFill>
                </w14:textFill>
              </w:rPr>
              <w:t>进入茅尾海南部浅海滩涂养殖区以及国家级海洋公园</w:t>
            </w:r>
          </w:p>
        </w:tc>
        <w:tc>
          <w:tcPr>
            <w:tcW w:w="1843" w:type="dxa"/>
            <w:tcBorders>
              <w:top w:val="single" w:color="auto" w:sz="4" w:space="0"/>
              <w:left w:val="single" w:color="auto" w:sz="4" w:space="0"/>
              <w:bottom w:val="single" w:color="auto" w:sz="4" w:space="0"/>
              <w:right w:val="single" w:color="auto" w:sz="4" w:space="0"/>
            </w:tcBorders>
            <w:vAlign w:val="center"/>
          </w:tcPr>
          <w:p>
            <w:pPr>
              <w:pStyle w:val="1621"/>
              <w:rPr>
                <w:rFonts w:ascii="Times New Roman" w:hAnsi="Times New Roman" w:cs="Times New Roman"/>
                <w:color w:val="000000" w:themeColor="text1"/>
                <w:spacing w:val="-4"/>
                <w14:textFill>
                  <w14:solidFill>
                    <w14:schemeClr w14:val="tx1"/>
                  </w14:solidFill>
                </w14:textFill>
              </w:rPr>
            </w:pPr>
            <w:r>
              <w:rPr>
                <w:rFonts w:ascii="Times New Roman" w:hAnsi="Times New Roman" w:cs="Times New Roman"/>
                <w:color w:val="000000" w:themeColor="text1"/>
                <w14:textFill>
                  <w14:solidFill>
                    <w14:schemeClr w14:val="tx1"/>
                  </w14:solidFill>
                </w14:textFill>
              </w:rPr>
              <w:t>钦州湾外湾渔业用海区/ 钦州港青菜头南浅海滩涂养殖区/钦州国投电厂取水口/防城港红沙农渔业区茅尾海渔业用海区/七十二泾生态控制区/茅尾海南部浅海滩涂养殖区/国家级海洋公园</w:t>
            </w:r>
          </w:p>
        </w:tc>
        <w:tc>
          <w:tcPr>
            <w:tcW w:w="1304" w:type="dxa"/>
            <w:tcBorders>
              <w:top w:val="single" w:color="auto" w:sz="4" w:space="0"/>
              <w:left w:val="single" w:color="auto" w:sz="4" w:space="0"/>
              <w:bottom w:val="single" w:color="auto" w:sz="4" w:space="0"/>
              <w:right w:val="single" w:color="auto" w:sz="4" w:space="0"/>
            </w:tcBorders>
            <w:vAlign w:val="center"/>
          </w:tcPr>
          <w:p>
            <w:pPr>
              <w:pStyle w:val="1621"/>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&gt;50</w:t>
            </w:r>
            <w:r>
              <w:rPr>
                <w:rFonts w:hint="eastAsia" w:ascii="Times New Roman" w:hAnsi="Times New Roman" w:cs="Times New Roman"/>
                <w:color w:val="000000" w:themeColor="text1"/>
                <w14:textFill>
                  <w14:solidFill>
                    <w14:schemeClr w14:val="tx1"/>
                  </w14:solidFill>
                </w14:textFill>
              </w:rPr>
              <w:t>/</w:t>
            </w:r>
            <w:r>
              <w:rPr>
                <w:rFonts w:ascii="Times New Roman" w:hAnsi="Times New Roman" w:cs="Times New Roman"/>
                <w:color w:val="000000" w:themeColor="text1"/>
                <w14:textFill>
                  <w14:solidFill>
                    <w14:schemeClr w14:val="tx1"/>
                  </w14:solidFill>
                </w14:textFill>
              </w:rPr>
              <w:t>50</w:t>
            </w:r>
            <w:r>
              <w:rPr>
                <w:rFonts w:hint="eastAsia" w:ascii="Times New Roman" w:hAnsi="Times New Roman" w:cs="Times New Roman"/>
                <w:color w:val="000000" w:themeColor="text1"/>
                <w14:textFill>
                  <w14:solidFill>
                    <w14:schemeClr w14:val="tx1"/>
                  </w14:solidFill>
                </w14:textFill>
              </w:rPr>
              <w:t>/</w:t>
            </w:r>
            <w:r>
              <w:rPr>
                <w:rFonts w:ascii="Times New Roman" w:hAnsi="Times New Roman" w:cs="Times New Roman"/>
                <w:color w:val="000000" w:themeColor="text1"/>
                <w14:textFill>
                  <w14:solidFill>
                    <w14:schemeClr w14:val="tx1"/>
                  </w14:solidFill>
                </w14:textFill>
              </w:rPr>
              <w:t>50</w:t>
            </w:r>
            <w:r>
              <w:rPr>
                <w:rFonts w:hint="eastAsia" w:ascii="Times New Roman" w:hAnsi="Times New Roman" w:cs="Times New Roman"/>
                <w:color w:val="000000" w:themeColor="text1"/>
                <w14:textFill>
                  <w14:solidFill>
                    <w14:schemeClr w14:val="tx1"/>
                  </w14:solidFill>
                </w14:textFill>
              </w:rPr>
              <w:t>/</w:t>
            </w:r>
            <w:r>
              <w:rPr>
                <w:rFonts w:ascii="Times New Roman" w:hAnsi="Times New Roman" w:cs="Times New Roman"/>
                <w:color w:val="000000" w:themeColor="text1"/>
                <w14:textFill>
                  <w14:solidFill>
                    <w14:schemeClr w14:val="tx1"/>
                  </w14:solidFill>
                </w14:textFill>
              </w:rPr>
              <w:t>50</w:t>
            </w:r>
            <w:r>
              <w:rPr>
                <w:rFonts w:hint="eastAsia" w:ascii="Times New Roman" w:hAnsi="Times New Roman" w:cs="Times New Roman"/>
                <w:color w:val="000000" w:themeColor="text1"/>
                <w14:textFill>
                  <w14:solidFill>
                    <w14:schemeClr w14:val="tx1"/>
                  </w14:solidFill>
                </w14:textFill>
              </w:rPr>
              <w:t>/</w:t>
            </w:r>
            <w:r>
              <w:rPr>
                <w:rFonts w:ascii="Times New Roman" w:hAnsi="Times New Roman" w:cs="Times New Roman"/>
                <w:color w:val="000000" w:themeColor="text1"/>
                <w14:textFill>
                  <w14:solidFill>
                    <w14:schemeClr w14:val="tx1"/>
                  </w14:solidFill>
                </w14:textFill>
              </w:rPr>
              <w:t>50</w:t>
            </w:r>
            <w:r>
              <w:rPr>
                <w:rFonts w:hint="eastAsia" w:ascii="Times New Roman" w:hAnsi="Times New Roman" w:cs="Times New Roman"/>
                <w:color w:val="000000" w:themeColor="text1"/>
                <w14:textFill>
                  <w14:solidFill>
                    <w14:schemeClr w14:val="tx1"/>
                  </w14:solidFill>
                </w14:textFill>
              </w:rPr>
              <w:t>/</w:t>
            </w:r>
            <w:r>
              <w:rPr>
                <w:rFonts w:ascii="Times New Roman" w:hAnsi="Times New Roman" w:cs="Times New Roman"/>
                <w:color w:val="000000" w:themeColor="text1"/>
                <w14:textFill>
                  <w14:solidFill>
                    <w14:schemeClr w14:val="tx1"/>
                  </w14:solidFill>
                </w14:textFill>
              </w:rPr>
              <w:t>50</w:t>
            </w:r>
            <w:r>
              <w:rPr>
                <w:rFonts w:hint="eastAsia" w:ascii="Times New Roman" w:hAnsi="Times New Roman" w:cs="Times New Roman"/>
                <w:color w:val="000000" w:themeColor="text1"/>
                <w14:textFill>
                  <w14:solidFill>
                    <w14:schemeClr w14:val="tx1"/>
                  </w14:solidFill>
                </w14:textFill>
              </w:rPr>
              <w:t>/</w:t>
            </w:r>
            <w:r>
              <w:rPr>
                <w:rFonts w:ascii="Times New Roman" w:hAnsi="Times New Roman" w:cs="Times New Roman"/>
                <w:color w:val="000000" w:themeColor="text1"/>
                <w14:textFill>
                  <w14:solidFill>
                    <w14:schemeClr w14:val="tx1"/>
                  </w14:solidFill>
                </w14:textFill>
              </w:rPr>
              <w:t>50/</w:t>
            </w:r>
          </w:p>
        </w:tc>
        <w:tc>
          <w:tcPr>
            <w:tcW w:w="957" w:type="dxa"/>
            <w:tcBorders>
              <w:top w:val="single" w:color="auto" w:sz="4" w:space="0"/>
              <w:left w:val="single" w:color="auto" w:sz="4" w:space="0"/>
              <w:bottom w:val="single" w:color="auto" w:sz="4" w:space="0"/>
              <w:right w:val="single" w:color="auto" w:sz="12" w:space="0"/>
            </w:tcBorders>
            <w:vAlign w:val="center"/>
          </w:tcPr>
          <w:p>
            <w:pPr>
              <w:pStyle w:val="1621"/>
              <w:rPr>
                <w:rFonts w:ascii="Times New Roman" w:hAnsi="Times New Roman" w:cs="Times New Roman"/>
                <w:color w:val="000000" w:themeColor="text1"/>
                <w:spacing w:val="-4"/>
                <w14:textFill>
                  <w14:solidFill>
                    <w14:schemeClr w14:val="tx1"/>
                  </w14:solidFill>
                </w14:textFill>
              </w:rPr>
            </w:pPr>
            <w:r>
              <w:rPr>
                <w:rFonts w:ascii="Times New Roman" w:hAnsi="Times New Roman" w:cs="Times New Roman"/>
                <w:color w:val="000000" w:themeColor="text1"/>
                <w:spacing w:val="-4"/>
                <w14:textFill>
                  <w14:solidFill>
                    <w14:schemeClr w14:val="tx1"/>
                  </w14:solidFill>
                </w14:textFill>
              </w:rPr>
              <w:t>极重污染/极重污染/极重污染/极重污染/极重污染/极重污染/极重污染</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24" w:hRule="atLeast"/>
          <w:jc w:val="center"/>
        </w:trPr>
        <w:tc>
          <w:tcPr>
            <w:tcW w:w="851" w:type="dxa"/>
            <w:vMerge w:val="continue"/>
            <w:tcBorders>
              <w:left w:val="single" w:color="auto" w:sz="12" w:space="0"/>
              <w:bottom w:val="single" w:color="auto" w:sz="12" w:space="0"/>
              <w:right w:val="single" w:color="auto" w:sz="4" w:space="0"/>
            </w:tcBorders>
            <w:vAlign w:val="center"/>
          </w:tcPr>
          <w:p>
            <w:pPr>
              <w:pStyle w:val="1621"/>
              <w:rPr>
                <w:rFonts w:ascii="Times New Roman" w:hAnsi="Times New Roman" w:cs="Times New Roman"/>
                <w:color w:val="000000" w:themeColor="text1"/>
                <w:spacing w:val="-4"/>
                <w14:textFill>
                  <w14:solidFill>
                    <w14:schemeClr w14:val="tx1"/>
                  </w14:solidFill>
                </w14:textFill>
              </w:rPr>
            </w:pPr>
          </w:p>
        </w:tc>
        <w:tc>
          <w:tcPr>
            <w:tcW w:w="987" w:type="dxa"/>
            <w:tcBorders>
              <w:top w:val="single" w:color="auto" w:sz="4" w:space="0"/>
              <w:left w:val="single" w:color="auto" w:sz="4" w:space="0"/>
              <w:bottom w:val="single" w:color="auto" w:sz="12" w:space="0"/>
              <w:right w:val="single" w:color="auto" w:sz="4" w:space="0"/>
            </w:tcBorders>
            <w:vAlign w:val="center"/>
          </w:tcPr>
          <w:p>
            <w:pPr>
              <w:pStyle w:val="1621"/>
              <w:rPr>
                <w:rFonts w:ascii="Times New Roman" w:hAnsi="Times New Roman" w:cs="Times New Roman"/>
                <w:color w:val="000000" w:themeColor="text1"/>
                <w:spacing w:val="-4"/>
                <w14:textFill>
                  <w14:solidFill>
                    <w14:schemeClr w14:val="tx1"/>
                  </w14:solidFill>
                </w14:textFill>
              </w:rPr>
            </w:pPr>
            <w:r>
              <w:rPr>
                <w:rFonts w:ascii="Times New Roman" w:hAnsi="Times New Roman" w:cs="Times New Roman"/>
                <w:color w:val="000000" w:themeColor="text1"/>
                <w:spacing w:val="-4"/>
                <w14:textFill>
                  <w14:solidFill>
                    <w14:schemeClr w14:val="tx1"/>
                  </w14:solidFill>
                </w14:textFill>
              </w:rPr>
              <w:t>低潮时</w:t>
            </w:r>
          </w:p>
        </w:tc>
        <w:tc>
          <w:tcPr>
            <w:tcW w:w="2571" w:type="dxa"/>
            <w:tcBorders>
              <w:top w:val="single" w:color="auto" w:sz="4" w:space="0"/>
              <w:left w:val="single" w:color="auto" w:sz="4" w:space="0"/>
              <w:bottom w:val="single" w:color="auto" w:sz="12" w:space="0"/>
              <w:right w:val="single" w:color="auto" w:sz="4" w:space="0"/>
            </w:tcBorders>
            <w:vAlign w:val="center"/>
          </w:tcPr>
          <w:p>
            <w:pPr>
              <w:pStyle w:val="1621"/>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部分溢油可继续朝茅尾海方向运动，对茅尾海南部浅海滩涂养殖区以及国家级海洋公园以及茅尾海西侧海域的敏感目标造成污染</w:t>
            </w:r>
          </w:p>
        </w:tc>
        <w:tc>
          <w:tcPr>
            <w:tcW w:w="1843" w:type="dxa"/>
            <w:tcBorders>
              <w:top w:val="single" w:color="auto" w:sz="4" w:space="0"/>
              <w:left w:val="single" w:color="auto" w:sz="4" w:space="0"/>
              <w:bottom w:val="single" w:color="auto" w:sz="12" w:space="0"/>
              <w:right w:val="single" w:color="auto" w:sz="4" w:space="0"/>
            </w:tcBorders>
            <w:vAlign w:val="center"/>
          </w:tcPr>
          <w:p>
            <w:pPr>
              <w:pStyle w:val="1621"/>
              <w:rPr>
                <w:rFonts w:ascii="Times New Roman" w:hAnsi="Times New Roman" w:cs="Times New Roman"/>
                <w:color w:val="000000" w:themeColor="text1"/>
                <w:spacing w:val="-4"/>
                <w14:textFill>
                  <w14:solidFill>
                    <w14:schemeClr w14:val="tx1"/>
                  </w14:solidFill>
                </w14:textFill>
              </w:rPr>
            </w:pPr>
            <w:r>
              <w:rPr>
                <w:rFonts w:ascii="Times New Roman" w:hAnsi="Times New Roman" w:cs="Times New Roman"/>
                <w:color w:val="000000" w:themeColor="text1"/>
                <w14:textFill>
                  <w14:solidFill>
                    <w14:schemeClr w14:val="tx1"/>
                  </w14:solidFill>
                </w14:textFill>
              </w:rPr>
              <w:t>钦州港青菜头南浅海滩涂养殖区/钦州国投电厂取水口/防城港红沙农渔业区/茅尾海渔业用海区/七十二泾生态控制区/茅尾海南部浅海滩涂养殖区/国家级海洋公园</w:t>
            </w:r>
          </w:p>
        </w:tc>
        <w:tc>
          <w:tcPr>
            <w:tcW w:w="1304" w:type="dxa"/>
            <w:tcBorders>
              <w:top w:val="single" w:color="auto" w:sz="4" w:space="0"/>
              <w:left w:val="single" w:color="auto" w:sz="4" w:space="0"/>
              <w:bottom w:val="single" w:color="auto" w:sz="12" w:space="0"/>
              <w:right w:val="single" w:color="auto" w:sz="4" w:space="0"/>
            </w:tcBorders>
            <w:vAlign w:val="center"/>
          </w:tcPr>
          <w:p>
            <w:pPr>
              <w:pStyle w:val="1621"/>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&gt;50</w:t>
            </w:r>
            <w:r>
              <w:rPr>
                <w:rFonts w:hint="eastAsia" w:ascii="Times New Roman" w:hAnsi="Times New Roman" w:cs="Times New Roman"/>
                <w:color w:val="000000" w:themeColor="text1"/>
                <w14:textFill>
                  <w14:solidFill>
                    <w14:schemeClr w14:val="tx1"/>
                  </w14:solidFill>
                </w14:textFill>
              </w:rPr>
              <w:t>/</w:t>
            </w:r>
            <w:r>
              <w:rPr>
                <w:rFonts w:ascii="Times New Roman" w:hAnsi="Times New Roman" w:cs="Times New Roman"/>
                <w:color w:val="000000" w:themeColor="text1"/>
                <w14:textFill>
                  <w14:solidFill>
                    <w14:schemeClr w14:val="tx1"/>
                  </w14:solidFill>
                </w14:textFill>
              </w:rPr>
              <w:t>50</w:t>
            </w:r>
            <w:r>
              <w:rPr>
                <w:rFonts w:hint="eastAsia" w:ascii="Times New Roman" w:hAnsi="Times New Roman" w:cs="Times New Roman"/>
                <w:color w:val="000000" w:themeColor="text1"/>
                <w14:textFill>
                  <w14:solidFill>
                    <w14:schemeClr w14:val="tx1"/>
                  </w14:solidFill>
                </w14:textFill>
              </w:rPr>
              <w:t>/</w:t>
            </w:r>
            <w:r>
              <w:rPr>
                <w:rFonts w:ascii="Times New Roman" w:hAnsi="Times New Roman" w:cs="Times New Roman"/>
                <w:color w:val="000000" w:themeColor="text1"/>
                <w14:textFill>
                  <w14:solidFill>
                    <w14:schemeClr w14:val="tx1"/>
                  </w14:solidFill>
                </w14:textFill>
              </w:rPr>
              <w:t>50</w:t>
            </w:r>
            <w:r>
              <w:rPr>
                <w:rFonts w:hint="eastAsia" w:ascii="Times New Roman" w:hAnsi="Times New Roman" w:cs="Times New Roman"/>
                <w:color w:val="000000" w:themeColor="text1"/>
                <w14:textFill>
                  <w14:solidFill>
                    <w14:schemeClr w14:val="tx1"/>
                  </w14:solidFill>
                </w14:textFill>
              </w:rPr>
              <w:t>/</w:t>
            </w:r>
            <w:r>
              <w:rPr>
                <w:rFonts w:ascii="Times New Roman" w:hAnsi="Times New Roman" w:cs="Times New Roman"/>
                <w:color w:val="000000" w:themeColor="text1"/>
                <w14:textFill>
                  <w14:solidFill>
                    <w14:schemeClr w14:val="tx1"/>
                  </w14:solidFill>
                </w14:textFill>
              </w:rPr>
              <w:t>50</w:t>
            </w:r>
            <w:r>
              <w:rPr>
                <w:rFonts w:hint="eastAsia" w:ascii="Times New Roman" w:hAnsi="Times New Roman" w:cs="Times New Roman"/>
                <w:color w:val="000000" w:themeColor="text1"/>
                <w14:textFill>
                  <w14:solidFill>
                    <w14:schemeClr w14:val="tx1"/>
                  </w14:solidFill>
                </w14:textFill>
              </w:rPr>
              <w:t>/</w:t>
            </w:r>
            <w:r>
              <w:rPr>
                <w:rFonts w:ascii="Times New Roman" w:hAnsi="Times New Roman" w:cs="Times New Roman"/>
                <w:color w:val="000000" w:themeColor="text1"/>
                <w14:textFill>
                  <w14:solidFill>
                    <w14:schemeClr w14:val="tx1"/>
                  </w14:solidFill>
                </w14:textFill>
              </w:rPr>
              <w:t>50</w:t>
            </w:r>
            <w:r>
              <w:rPr>
                <w:rFonts w:hint="eastAsia" w:ascii="Times New Roman" w:hAnsi="Times New Roman" w:cs="Times New Roman"/>
                <w:color w:val="000000" w:themeColor="text1"/>
                <w14:textFill>
                  <w14:solidFill>
                    <w14:schemeClr w14:val="tx1"/>
                  </w14:solidFill>
                </w14:textFill>
              </w:rPr>
              <w:t>/</w:t>
            </w:r>
            <w:r>
              <w:rPr>
                <w:rFonts w:ascii="Times New Roman" w:hAnsi="Times New Roman" w:cs="Times New Roman"/>
                <w:color w:val="000000" w:themeColor="text1"/>
                <w14:textFill>
                  <w14:solidFill>
                    <w14:schemeClr w14:val="tx1"/>
                  </w14:solidFill>
                </w14:textFill>
              </w:rPr>
              <w:t>50</w:t>
            </w:r>
            <w:r>
              <w:rPr>
                <w:rFonts w:hint="eastAsia" w:ascii="Times New Roman" w:hAnsi="Times New Roman" w:cs="Times New Roman"/>
                <w:color w:val="000000" w:themeColor="text1"/>
                <w14:textFill>
                  <w14:solidFill>
                    <w14:schemeClr w14:val="tx1"/>
                  </w14:solidFill>
                </w14:textFill>
              </w:rPr>
              <w:t>/</w:t>
            </w:r>
            <w:r>
              <w:rPr>
                <w:rFonts w:ascii="Times New Roman" w:hAnsi="Times New Roman" w:cs="Times New Roman"/>
                <w:color w:val="000000" w:themeColor="text1"/>
                <w14:textFill>
                  <w14:solidFill>
                    <w14:schemeClr w14:val="tx1"/>
                  </w14:solidFill>
                </w14:textFill>
              </w:rPr>
              <w:t>50/</w:t>
            </w:r>
          </w:p>
        </w:tc>
        <w:tc>
          <w:tcPr>
            <w:tcW w:w="957" w:type="dxa"/>
            <w:tcBorders>
              <w:top w:val="single" w:color="auto" w:sz="4" w:space="0"/>
              <w:left w:val="single" w:color="auto" w:sz="4" w:space="0"/>
              <w:bottom w:val="single" w:color="auto" w:sz="12" w:space="0"/>
              <w:right w:val="single" w:color="auto" w:sz="12" w:space="0"/>
            </w:tcBorders>
            <w:vAlign w:val="center"/>
          </w:tcPr>
          <w:p>
            <w:pPr>
              <w:pStyle w:val="1621"/>
              <w:rPr>
                <w:rFonts w:ascii="Times New Roman" w:hAnsi="Times New Roman" w:cs="Times New Roman"/>
                <w:color w:val="000000" w:themeColor="text1"/>
                <w:spacing w:val="-4"/>
                <w14:textFill>
                  <w14:solidFill>
                    <w14:schemeClr w14:val="tx1"/>
                  </w14:solidFill>
                </w14:textFill>
              </w:rPr>
            </w:pPr>
            <w:r>
              <w:rPr>
                <w:rFonts w:ascii="Times New Roman" w:hAnsi="Times New Roman" w:cs="Times New Roman"/>
                <w:color w:val="000000" w:themeColor="text1"/>
                <w:spacing w:val="-4"/>
                <w14:textFill>
                  <w14:solidFill>
                    <w14:schemeClr w14:val="tx1"/>
                  </w14:solidFill>
                </w14:textFill>
              </w:rPr>
              <w:t>极重污染/极重污染/极重污染/极重污染/极重污染/极重污染/极重污染</w:t>
            </w:r>
          </w:p>
        </w:tc>
      </w:tr>
    </w:tbl>
    <w:p>
      <w:pPr>
        <w:pStyle w:val="1075"/>
        <w:ind w:firstLine="437"/>
        <w:rPr>
          <w:color w:val="000000" w:themeColor="text1"/>
          <w14:textFill>
            <w14:solidFill>
              <w14:schemeClr w14:val="tx1"/>
            </w14:solidFill>
          </w14:textFill>
        </w:rPr>
      </w:pPr>
      <w:r>
        <w:rPr>
          <w:rFonts w:hint="eastAsia"/>
          <w:color w:val="000000" w:themeColor="text1"/>
          <w14:textFill>
            <w14:solidFill>
              <w14:schemeClr w14:val="tx1"/>
            </w14:solidFill>
          </w14:textFill>
        </w:rPr>
        <w:t>本项目风险评价范围内还分布有鹿耳环游憩用海区、三娘湾生态保护区、海洋生态红线等滨海保护目标。从选择的预测工况可以看出，受三墩港连接陆域的非透水性构筑物的阻隔作用，溢油不会抵达乌雷村沿岸的钦州市鹿耳环重要滩涂及浅海水域红线区、北部湾水源涵养生态保护红线区、三钦州市月亮湾海岸防护极重要区、三娘湾生态保护区、鹿耳环游憩用海区、鹿耳环江大灶沿岸池塘养殖区及中华白海豚分布区。</w:t>
      </w:r>
    </w:p>
    <w:p>
      <w:pPr>
        <w:pStyle w:val="6"/>
        <w:rPr>
          <w:color w:val="000000" w:themeColor="text1"/>
          <w14:textFill>
            <w14:solidFill>
              <w14:schemeClr w14:val="tx1"/>
            </w14:solidFill>
          </w14:textFill>
        </w:rPr>
      </w:pPr>
      <w:bookmarkStart w:id="257" w:name="_Toc54202005"/>
      <w:r>
        <w:rPr>
          <w:color w:val="000000" w:themeColor="text1"/>
          <w14:textFill>
            <w14:solidFill>
              <w14:schemeClr w14:val="tx1"/>
            </w14:solidFill>
          </w14:textFill>
        </w:rPr>
        <w:t>小结</w:t>
      </w:r>
      <w:bookmarkEnd w:id="257"/>
    </w:p>
    <w:p>
      <w:pPr>
        <w:pStyle w:val="1075"/>
        <w:ind w:firstLine="437"/>
        <w:rPr>
          <w:color w:val="000000" w:themeColor="text1"/>
          <w14:textFill>
            <w14:solidFill>
              <w14:schemeClr w14:val="tx1"/>
            </w14:solidFill>
          </w14:textFill>
        </w:rPr>
      </w:pPr>
      <w:r>
        <w:rPr>
          <w:color w:val="000000" w:themeColor="text1"/>
          <w14:textFill>
            <w14:solidFill>
              <w14:schemeClr w14:val="tx1"/>
            </w14:solidFill>
          </w14:textFill>
        </w:rPr>
        <w:t>本次溢油预测损害评估采用</w:t>
      </w:r>
      <w:r>
        <w:rPr>
          <w:rFonts w:hint="eastAsia"/>
          <w:color w:val="000000" w:themeColor="text1"/>
          <w14:textFill>
            <w14:solidFill>
              <w14:schemeClr w14:val="tx1"/>
            </w14:solidFill>
          </w14:textFill>
        </w:rPr>
        <w:t>4</w:t>
      </w:r>
      <w:r>
        <w:rPr>
          <w:color w:val="000000" w:themeColor="text1"/>
          <w14:textFill>
            <w14:solidFill>
              <w14:schemeClr w14:val="tx1"/>
            </w14:solidFill>
          </w14:textFill>
        </w:rPr>
        <w:t>种风向、</w:t>
      </w:r>
      <w:r>
        <w:rPr>
          <w:rFonts w:hint="eastAsia"/>
          <w:color w:val="000000" w:themeColor="text1"/>
          <w14:textFill>
            <w14:solidFill>
              <w14:schemeClr w14:val="tx1"/>
            </w14:solidFill>
          </w14:textFill>
        </w:rPr>
        <w:t>8</w:t>
      </w:r>
      <w:r>
        <w:rPr>
          <w:color w:val="000000" w:themeColor="text1"/>
          <w14:textFill>
            <w14:solidFill>
              <w14:schemeClr w14:val="tx1"/>
            </w14:solidFill>
          </w14:textFill>
        </w:rPr>
        <w:t>种工况计算溢油对敏感目标的污染和危害。</w:t>
      </w:r>
      <w:r>
        <w:rPr>
          <w:rFonts w:hint="eastAsia"/>
          <w:color w:val="000000" w:themeColor="text1"/>
          <w14:textFill>
            <w14:solidFill>
              <w14:schemeClr w14:val="tx1"/>
            </w14:solidFill>
          </w14:textFill>
        </w:rPr>
        <w:t>结果显示：溢油对钦州湾外湾渔业用海区和钦州港青菜头南浅海滩涂养殖区的危害最大；由于溢油量较大，溢油抵达的敏感目标均受到极重污染。首先，做好风险管理、加强人员安全意识，尽最大可能杜绝溢油事故的发生；其次，建议在一些重要区域（如红树林集中分布区附近等</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建立溢油应急设备库，尽量减少溢油对敏感目标的危害。</w:t>
      </w:r>
    </w:p>
    <w:p>
      <w:pPr>
        <w:pStyle w:val="5"/>
        <w:rPr>
          <w:color w:val="000000" w:themeColor="text1"/>
          <w14:textFill>
            <w14:solidFill>
              <w14:schemeClr w14:val="tx1"/>
            </w14:solidFill>
          </w14:textFill>
        </w:rPr>
      </w:pPr>
      <w:r>
        <w:rPr>
          <w:color w:val="000000" w:themeColor="text1"/>
          <w14:textFill>
            <w14:solidFill>
              <w14:schemeClr w14:val="tx1"/>
            </w14:solidFill>
          </w14:textFill>
        </w:rPr>
        <w:t>风险事故生态影响</w:t>
      </w:r>
    </w:p>
    <w:p>
      <w:pPr>
        <w:pStyle w:val="1075"/>
        <w:ind w:firstLine="437"/>
        <w:rPr>
          <w:color w:val="000000" w:themeColor="text1"/>
          <w14:textFill>
            <w14:solidFill>
              <w14:schemeClr w14:val="tx1"/>
            </w14:solidFill>
          </w14:textFill>
        </w:rPr>
      </w:pPr>
      <w:r>
        <w:rPr>
          <w:color w:val="000000" w:themeColor="text1"/>
          <w14:textFill>
            <w14:solidFill>
              <w14:schemeClr w14:val="tx1"/>
            </w14:solidFill>
          </w14:textFill>
        </w:rPr>
        <w:t xml:space="preserve">运营期对海洋生态影响主要是指船舶事故情况下的燃料油泄漏、污水非正常排放等的影响，如发生到港船舶风险事故导致燃料油等进入水体，将在短时间内导致局部水体水质受到严重污染。油类在水面形成油膜，将阻隔空气与水体的物质交换，易造成水体缺氧，还影响水生生物的光合作用，导致受污染海域内水生生物大量死亡。此外，油类进入水体后，能引起生物的积累作用，通过食物链产生生物放大作用，危及较高营养级水平的生物，例如造成鱼类、贝类的感官品质下降，若受污染物种被人类食用，还将危及人体健康。根据本评价中对事故风险的影响分析，可知项目在运营期间发生风险事故的概率极低，通过建立完善的风险防范措施和事故应急预案，一旦发生事故立即采取有效的处理措施，缩小事故影响范围，尽快恢复受污染海域的水质，可将风险事故影响降至最低。因此，项目营运风险事故对水生生物的影响是短时间的、局部的，且是可控的。 </w:t>
      </w:r>
    </w:p>
    <w:p>
      <w:pPr>
        <w:pStyle w:val="1075"/>
        <w:ind w:firstLine="439"/>
        <w:rPr>
          <w:b/>
          <w:color w:val="000000" w:themeColor="text1"/>
          <w14:textFill>
            <w14:solidFill>
              <w14:schemeClr w14:val="tx1"/>
            </w14:solidFill>
          </w14:textFill>
        </w:rPr>
      </w:pPr>
      <w:r>
        <w:rPr>
          <w:b/>
          <w:color w:val="000000" w:themeColor="text1"/>
          <w14:textFill>
            <w14:solidFill>
              <w14:schemeClr w14:val="tx1"/>
            </w14:solidFill>
          </w14:textFill>
        </w:rPr>
        <w:t>一、对浮游植物的影响</w:t>
      </w:r>
    </w:p>
    <w:p>
      <w:pPr>
        <w:pStyle w:val="1075"/>
        <w:ind w:firstLine="437"/>
        <w:rPr>
          <w:color w:val="000000" w:themeColor="text1"/>
          <w14:textFill>
            <w14:solidFill>
              <w14:schemeClr w14:val="tx1"/>
            </w14:solidFill>
          </w14:textFill>
        </w:rPr>
      </w:pPr>
      <w:r>
        <w:rPr>
          <w:color w:val="000000" w:themeColor="text1"/>
          <w14:textFill>
            <w14:solidFill>
              <w14:schemeClr w14:val="tx1"/>
            </w14:solidFill>
          </w14:textFill>
        </w:rPr>
        <w:t>实验证明石油类会破坏浮游植物细胞，损坏叶绿素及干扰气体交换，从而妨碍它们的光合作用。这种破坏作用程度取决于石油的类型，浓度及浮游植物的种类。根据国内外许多毒性实验结果表明，作为鱼、虾类饵料基础的浮游植物，对各类油类的耐受能力都很低。海洋浮游植物石油急性中毒致死浓度也为0.1～10mg/L，一般为1mg/L。对于更敏感的种类，油浓度低于0.1mg/ L时，也会妨碍细胞的分裂和生长的速率。另外，海面油膜对阳光的遮蔽作用影响着浮游植物的光合作用，也会使其腐败变质。浮游植物的变质以及细胞中进入碳氢化合物的藻类都会影响以浮游生物为食的海洋生物的生存。</w:t>
      </w:r>
    </w:p>
    <w:p>
      <w:pPr>
        <w:pStyle w:val="1075"/>
        <w:ind w:firstLine="439"/>
        <w:rPr>
          <w:b/>
          <w:color w:val="000000" w:themeColor="text1"/>
          <w14:textFill>
            <w14:solidFill>
              <w14:schemeClr w14:val="tx1"/>
            </w14:solidFill>
          </w14:textFill>
        </w:rPr>
      </w:pPr>
      <w:r>
        <w:rPr>
          <w:b/>
          <w:color w:val="000000" w:themeColor="text1"/>
          <w14:textFill>
            <w14:solidFill>
              <w14:schemeClr w14:val="tx1"/>
            </w14:solidFill>
          </w14:textFill>
        </w:rPr>
        <w:t>二、对浮游动物的影响</w:t>
      </w:r>
    </w:p>
    <w:p>
      <w:pPr>
        <w:pStyle w:val="1075"/>
        <w:ind w:firstLine="437"/>
        <w:rPr>
          <w:color w:val="000000" w:themeColor="text1"/>
          <w14:textFill>
            <w14:solidFill>
              <w14:schemeClr w14:val="tx1"/>
            </w14:solidFill>
          </w14:textFill>
        </w:rPr>
      </w:pPr>
      <w:r>
        <w:rPr>
          <w:color w:val="000000" w:themeColor="text1"/>
          <w14:textFill>
            <w14:solidFill>
              <w14:schemeClr w14:val="tx1"/>
            </w14:solidFill>
          </w14:textFill>
        </w:rPr>
        <w:t>浮游动物石油急性中毒致死浓度范围一般为0.1～15mg/L，Mironov等曾将黑海某些桡足类和技角类暴露于 0.1ppm的石油海水中，当天浮游动物全部死亡。当石油含量降至0.05ppm，小型拟哲水蚤Paracalanus sp.的半致死时间为4天，而胸刺镖蚤CentroPages、鸟缘尖头蚤和长腹剑水蚤Oithona的半致死天数依次为3天、2天和1天。另外，Mironov对不同浓度对桡足类幼体的影响实验表明，永久性（终生性）浮游动物幼体的敏感性大于阶段性（临时性）的底栖生物幼体，而它们各自的幼体的敏感性又大于成体。</w:t>
      </w:r>
    </w:p>
    <w:p>
      <w:pPr>
        <w:pStyle w:val="1075"/>
        <w:ind w:firstLine="439"/>
        <w:rPr>
          <w:b/>
          <w:color w:val="000000" w:themeColor="text1"/>
          <w14:textFill>
            <w14:solidFill>
              <w14:schemeClr w14:val="tx1"/>
            </w14:solidFill>
          </w14:textFill>
        </w:rPr>
      </w:pPr>
      <w:r>
        <w:rPr>
          <w:b/>
          <w:color w:val="000000" w:themeColor="text1"/>
          <w14:textFill>
            <w14:solidFill>
              <w14:schemeClr w14:val="tx1"/>
            </w14:solidFill>
          </w14:textFill>
        </w:rPr>
        <w:t>三、对底栖生物的影响</w:t>
      </w:r>
    </w:p>
    <w:p>
      <w:pPr>
        <w:pStyle w:val="1075"/>
        <w:ind w:firstLine="437"/>
        <w:rPr>
          <w:color w:val="000000" w:themeColor="text1"/>
          <w14:textFill>
            <w14:solidFill>
              <w14:schemeClr w14:val="tx1"/>
            </w14:solidFill>
          </w14:textFill>
        </w:rPr>
      </w:pPr>
      <w:r>
        <w:rPr>
          <w:color w:val="000000" w:themeColor="text1"/>
          <w14:textFill>
            <w14:solidFill>
              <w14:schemeClr w14:val="tx1"/>
            </w14:solidFill>
          </w14:textFill>
        </w:rPr>
        <w:t>底栖生物随种类的不同而产生对石油浓度适应的差异，多数底栖生物石油急性中毒致死浓度范围在 2.0～15mg/L，其幼体的致死浓度范围更小些。软体动物双壳类能吸收水中含量很低的石油，如：0.01ppm的石油则可能使牡蛎呈明显的油味，严重的油味可持续达半年之久．受石油污染的牡蛎会引起因纤毛鳃上皮细胞麻痹而破坏其摄食机制并进而死亡。象海胆、寄居蟹、海盘车等底栖生物的耐油污性很差，即使海水中石油含量只有0.01ppm，也可使其死亡。而千分之一浓度的乳化油即可使海胆在1小时内死亡。某些底栖甲壳类动物幼体（无节幼虫）当海水中石油浓度在0.1～0.01ppm时，对藤壶幼体和蟹幼体有明显的毒效。</w:t>
      </w:r>
    </w:p>
    <w:p>
      <w:pPr>
        <w:pStyle w:val="1075"/>
        <w:ind w:firstLine="439"/>
        <w:rPr>
          <w:b/>
          <w:bCs/>
          <w:color w:val="000000" w:themeColor="text1"/>
          <w14:textFill>
            <w14:solidFill>
              <w14:schemeClr w14:val="tx1"/>
            </w14:solidFill>
          </w14:textFill>
        </w:rPr>
      </w:pPr>
      <w:r>
        <w:rPr>
          <w:b/>
          <w:bCs/>
          <w:color w:val="000000" w:themeColor="text1"/>
          <w14:textFill>
            <w14:solidFill>
              <w14:schemeClr w14:val="tx1"/>
            </w14:solidFill>
          </w14:textFill>
        </w:rPr>
        <w:t>四、对渔业资源和水产养殖的影响</w:t>
      </w:r>
    </w:p>
    <w:p>
      <w:pPr>
        <w:pStyle w:val="1075"/>
        <w:ind w:firstLine="437"/>
        <w:rPr>
          <w:color w:val="000000" w:themeColor="text1"/>
          <w14:textFill>
            <w14:solidFill>
              <w14:schemeClr w14:val="tx1"/>
            </w14:solidFill>
          </w14:textFill>
        </w:rPr>
      </w:pPr>
      <w:r>
        <w:rPr>
          <w:color w:val="000000" w:themeColor="text1"/>
          <w14:textFill>
            <w14:solidFill>
              <w14:schemeClr w14:val="tx1"/>
            </w14:solidFill>
          </w14:textFill>
        </w:rPr>
        <w:t>根据本项目海洋环境保护目标及生态敏感区分布，评价范围内养殖区主要为</w:t>
      </w:r>
      <w:r>
        <w:rPr>
          <w:rFonts w:hint="eastAsia"/>
          <w:color w:val="000000" w:themeColor="text1"/>
          <w14:textFill>
            <w14:solidFill>
              <w14:schemeClr w14:val="tx1"/>
            </w14:solidFill>
          </w14:textFill>
        </w:rPr>
        <w:t>钦州港青菜头南浅海滩涂养殖区及鹿耳环江大灶沿岸池塘养殖区，其中钦州港青菜头南浅海滩涂养殖区位于本项目西侧约4.0km处，为浅海滩涂养殖，以贝类（大蚝）</w:t>
      </w:r>
      <w:r>
        <w:rPr>
          <w:color w:val="000000" w:themeColor="text1"/>
          <w14:textFill>
            <w14:solidFill>
              <w14:schemeClr w14:val="tx1"/>
            </w14:solidFill>
          </w14:textFill>
        </w:rPr>
        <w:t>浮筏养殖为主。贝类为滤食性动物，油品扩散至养殖区后，贝类会随海水将油类一同吸食，对贝类的生长造成危害。此外，相关研究表明，贝类在含油量为</w:t>
      </w:r>
      <w:r>
        <w:rPr>
          <w:rFonts w:hint="eastAsia"/>
          <w:color w:val="000000" w:themeColor="text1"/>
          <w14:textFill>
            <w14:solidFill>
              <w14:schemeClr w14:val="tx1"/>
            </w14:solidFill>
          </w14:textFill>
        </w:rPr>
        <w:t>0.01mg/L的海水中生活24h即可带有油味，对区域贝类养殖的食用质量也有较为严重的影响。</w:t>
      </w:r>
    </w:p>
    <w:p>
      <w:pPr>
        <w:pStyle w:val="1075"/>
        <w:ind w:firstLine="437"/>
        <w:rPr>
          <w:color w:val="000000" w:themeColor="text1"/>
          <w14:textFill>
            <w14:solidFill>
              <w14:schemeClr w14:val="tx1"/>
            </w14:solidFill>
          </w14:textFill>
        </w:rPr>
      </w:pPr>
      <w:r>
        <w:rPr>
          <w:color w:val="000000" w:themeColor="text1"/>
          <w14:textFill>
            <w14:solidFill>
              <w14:schemeClr w14:val="tx1"/>
            </w14:solidFill>
          </w14:textFill>
        </w:rPr>
        <w:t>鹿耳环江大灶沿岸池塘养殖区位于本项目东侧约</w:t>
      </w:r>
      <w:r>
        <w:rPr>
          <w:rFonts w:hint="eastAsia"/>
          <w:color w:val="000000" w:themeColor="text1"/>
          <w14:textFill>
            <w14:solidFill>
              <w14:schemeClr w14:val="tx1"/>
            </w14:solidFill>
          </w14:textFill>
        </w:rPr>
        <w:t>5.8km处，为海水池塘养殖区，以鲈鱼、石斑鱼、中华乌塘鳢、金鲳、罗非鱼等鱼类的海水池塘生态养殖为主，实行池塘健康养殖模式。</w:t>
      </w:r>
      <w:r>
        <w:rPr>
          <w:color w:val="000000" w:themeColor="text1"/>
          <w14:textFill>
            <w14:solidFill>
              <w14:schemeClr w14:val="tx1"/>
            </w14:solidFill>
          </w14:textFill>
        </w:rPr>
        <w:t>成鱼有着非常敏感的器官，因此，它们一旦嗅到油味，会很快地游离溢油水域。而幼鱼生活在近岸浅水域容易受到溢油污染。当毒性较大的油进入浅水湾时，不论是自然原因还是使用分散剂，都会对该水域的幼鱼造成多方面的危害。石油对成鱼的长期影响主要是鱼的饵料。溢油对渔民的危害，不但是渔业资源遭受污染危害带来的，因网具的污染所遭受的危害也是较大的。渔民所遭受的这种危害并不只限于渔场遭受油污染的情况，非渔区的溢油污染也同样会造成这种危害。养鱼场网箱里的鱼因不会逃离，受溢油污染后不能食用。近岸养殖的扇贝、海带等也是如此。另外，养殖网箱受油污染后很难清洁，只有更换才能彻底消除污染，费用较高。</w:t>
      </w:r>
    </w:p>
    <w:p>
      <w:pPr>
        <w:pStyle w:val="1075"/>
        <w:ind w:firstLine="437"/>
        <w:rPr>
          <w:color w:val="000000" w:themeColor="text1"/>
          <w14:textFill>
            <w14:solidFill>
              <w14:schemeClr w14:val="tx1"/>
            </w14:solidFill>
          </w14:textFill>
        </w:rPr>
      </w:pPr>
      <w:r>
        <w:rPr>
          <w:color w:val="000000" w:themeColor="text1"/>
          <w14:textFill>
            <w14:solidFill>
              <w14:schemeClr w14:val="tx1"/>
            </w14:solidFill>
          </w14:textFill>
        </w:rPr>
        <w:t>据渔业资源调查，周边海域存在多处渔业养殖区及多种经济鱼、虾类的产卵和索饵场，在冬、春季是经济鱼类的产卵期，影响可能会大些。</w:t>
      </w:r>
    </w:p>
    <w:p>
      <w:pPr>
        <w:pStyle w:val="5"/>
        <w:rPr>
          <w:color w:val="000000" w:themeColor="text1"/>
          <w14:textFill>
            <w14:solidFill>
              <w14:schemeClr w14:val="tx1"/>
            </w14:solidFill>
          </w14:textFill>
        </w:rPr>
      </w:pPr>
      <w:r>
        <w:rPr>
          <w:color w:val="000000" w:themeColor="text1"/>
          <w14:textFill>
            <w14:solidFill>
              <w14:schemeClr w14:val="tx1"/>
            </w14:solidFill>
          </w14:textFill>
        </w:rPr>
        <w:t>应急预案</w:t>
      </w:r>
    </w:p>
    <w:p>
      <w:pPr>
        <w:pStyle w:val="6"/>
        <w:rPr>
          <w:color w:val="000000" w:themeColor="text1"/>
          <w14:textFill>
            <w14:solidFill>
              <w14:schemeClr w14:val="tx1"/>
            </w14:solidFill>
          </w14:textFill>
        </w:rPr>
      </w:pPr>
      <w:r>
        <w:rPr>
          <w:color w:val="000000" w:themeColor="text1"/>
          <w14:textFill>
            <w14:solidFill>
              <w14:schemeClr w14:val="tx1"/>
            </w14:solidFill>
          </w14:textFill>
        </w:rPr>
        <w:t>应急预案的编制</w:t>
      </w:r>
      <w:r>
        <w:rPr>
          <w:rFonts w:hint="eastAsia"/>
          <w:color w:val="000000" w:themeColor="text1"/>
          <w14:textFill>
            <w14:solidFill>
              <w14:schemeClr w14:val="tx1"/>
            </w14:solidFill>
          </w14:textFill>
        </w:rPr>
        <w:t>.</w:t>
      </w:r>
    </w:p>
    <w:p>
      <w:pPr>
        <w:pStyle w:val="283"/>
        <w:rPr>
          <w:color w:val="000000" w:themeColor="text1"/>
          <w14:textFill>
            <w14:solidFill>
              <w14:schemeClr w14:val="tx1"/>
            </w14:solidFill>
          </w14:textFill>
        </w:rPr>
      </w:pPr>
      <w:r>
        <w:rPr>
          <w:rFonts w:hint="eastAsia"/>
          <w:color w:val="000000" w:themeColor="text1"/>
          <w14:textFill>
            <w14:solidFill>
              <w14:schemeClr w14:val="tx1"/>
            </w14:solidFill>
          </w14:textFill>
        </w:rPr>
        <w:t>现有码头均已由广西钦州保税港区宏港码头有限公司委托</w:t>
      </w:r>
      <w:r>
        <w:rPr>
          <w:color w:val="000000" w:themeColor="text1"/>
          <w14:textFill>
            <w14:solidFill>
              <w14:schemeClr w14:val="tx1"/>
            </w14:solidFill>
          </w14:textFill>
        </w:rPr>
        <w:t>广西钦州保税港区盛港码头有限公司运营管理，</w:t>
      </w:r>
      <w:r>
        <w:rPr>
          <w:rFonts w:hint="eastAsia"/>
          <w:color w:val="000000" w:themeColor="text1"/>
          <w14:textFill>
            <w14:solidFill>
              <w14:schemeClr w14:val="tx1"/>
            </w14:solidFill>
          </w14:textFill>
        </w:rPr>
        <w:t>现有码头运营单位已编制《</w:t>
      </w:r>
      <w:bookmarkStart w:id="258" w:name="_Hlk125885284"/>
      <w:r>
        <w:rPr>
          <w:color w:val="000000" w:themeColor="text1"/>
          <w14:textFill>
            <w14:solidFill>
              <w14:schemeClr w14:val="tx1"/>
            </w14:solidFill>
          </w14:textFill>
        </w:rPr>
        <w:t>广西钦州保税港区盛港码头有限公司突发环境事件应急预案</w:t>
      </w:r>
      <w:bookmarkEnd w:id="258"/>
      <w:r>
        <w:rPr>
          <w:rFonts w:hint="eastAsia"/>
          <w:color w:val="000000" w:themeColor="text1"/>
          <w14:textFill>
            <w14:solidFill>
              <w14:schemeClr w14:val="tx1"/>
            </w14:solidFill>
          </w14:textFill>
        </w:rPr>
        <w:t>（修订）》（2023年版），并在钦州市生态环境局备案。应急预案适用主体为</w:t>
      </w:r>
      <w:r>
        <w:rPr>
          <w:color w:val="000000" w:themeColor="text1"/>
          <w14:textFill>
            <w14:solidFill>
              <w14:schemeClr w14:val="tx1"/>
            </w14:solidFill>
          </w14:textFill>
        </w:rPr>
        <w:t>广西钦州保税港区盛港码头有限公司，适用工程范围为</w:t>
      </w:r>
      <w:r>
        <w:rPr>
          <w:rFonts w:hint="eastAsia"/>
          <w:color w:val="000000" w:themeColor="text1"/>
          <w14:textFill>
            <w14:solidFill>
              <w14:schemeClr w14:val="tx1"/>
            </w14:solidFill>
          </w14:textFill>
        </w:rPr>
        <w:t>钦州港大榄坪南作业区7号～10号泊位发生或可能的突发环境事件的应急处置，以及周边企业突发环境事件需要请求支援时的应急联动。本次项目扩建集装箱泊位作业货种、装卸工艺等均不变，码头运营单位与2023年版应急预案一致，可沿用现有码头公司突发环境事件的应急预案</w:t>
      </w:r>
      <w:r>
        <w:rPr>
          <w:color w:val="000000" w:themeColor="text1"/>
          <w14:textFill>
            <w14:solidFill>
              <w14:schemeClr w14:val="tx1"/>
            </w14:solidFill>
          </w14:textFill>
        </w:rPr>
        <w:t>。</w:t>
      </w:r>
    </w:p>
    <w:p>
      <w:pPr>
        <w:pStyle w:val="283"/>
        <w:rPr>
          <w:color w:val="000000" w:themeColor="text1"/>
          <w14:textFill>
            <w14:solidFill>
              <w14:schemeClr w14:val="tx1"/>
            </w14:solidFill>
          </w14:textFill>
        </w:rPr>
      </w:pPr>
      <w:r>
        <w:rPr>
          <w:color w:val="000000" w:themeColor="text1"/>
          <w14:textFill>
            <w14:solidFill>
              <w14:schemeClr w14:val="tx1"/>
            </w14:solidFill>
          </w14:textFill>
        </w:rPr>
        <w:t>现有码头应急预案已明确应急</w:t>
      </w:r>
      <w:r>
        <w:rPr>
          <w:rFonts w:hint="eastAsia"/>
          <w:color w:val="000000" w:themeColor="text1"/>
          <w14:textFill>
            <w14:solidFill>
              <w14:schemeClr w14:val="tx1"/>
            </w14:solidFill>
          </w14:textFill>
        </w:rPr>
        <w:t>救援组织</w:t>
      </w:r>
      <w:r>
        <w:rPr>
          <w:color w:val="000000" w:themeColor="text1"/>
          <w14:textFill>
            <w14:solidFill>
              <w14:schemeClr w14:val="tx1"/>
            </w14:solidFill>
          </w14:textFill>
        </w:rPr>
        <w:t>机构构成，广西钦州保税港区盛港码头有限公司应急救援组织机构包括：应急指挥部，下设应急办公室、各救援小组等机构。在办公楼设应急办公室，应急办公室作为日常机构，履行应急值守、信息汇总和综合协调职责，发挥运转枢纽作用</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应急指挥中心负责事故现场的救援指挥。</w:t>
      </w:r>
    </w:p>
    <w:tbl>
      <w:tblPr>
        <w:tblStyle w:val="89"/>
        <w:tblW w:w="831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31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064" w:hRule="atLeast"/>
        </w:trPr>
        <w:tc>
          <w:tcPr>
            <w:tcW w:w="8312" w:type="dxa"/>
            <w:tcBorders>
              <w:top w:val="nil"/>
              <w:left w:val="nil"/>
              <w:bottom w:val="nil"/>
              <w:right w:val="nil"/>
            </w:tcBorders>
            <w:vAlign w:val="center"/>
          </w:tcPr>
          <w:p>
            <w:pPr>
              <w:pStyle w:val="283"/>
              <w:rPr>
                <w:color w:val="000000" w:themeColor="text1"/>
                <w14:textFill>
                  <w14:solidFill>
                    <w14:schemeClr w14:val="tx1"/>
                  </w14:solidFill>
                </w14:textFill>
              </w:rPr>
            </w:pPr>
            <w:r>
              <w:rPr>
                <w:color w:val="000000" w:themeColor="text1"/>
                <w14:textFill>
                  <w14:solidFill>
                    <w14:schemeClr w14:val="tx1"/>
                  </w14:solidFill>
                </w14:textFill>
              </w:rPr>
              <w:drawing>
                <wp:inline distT="0" distB="0" distL="0" distR="0">
                  <wp:extent cx="4187190" cy="2603500"/>
                  <wp:effectExtent l="0" t="0" r="3810" b="6350"/>
                  <wp:docPr id="1375757850" name="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5757850" name="image4.jpeg"/>
                          <pic:cNvPicPr>
                            <a:picLocks noChangeAspect="1"/>
                          </pic:cNvPicPr>
                        </pic:nvPicPr>
                        <pic:blipFill>
                          <a:blip r:embed="rId215" cstate="print">
                            <a:extLst>
                              <a:ext uri="{28A0092B-C50C-407E-A947-70E740481C1C}">
                                <a14:useLocalDpi xmlns:a14="http://schemas.microsoft.com/office/drawing/2010/main" val="0"/>
                              </a:ext>
                            </a:extLst>
                          </a:blip>
                          <a:stretch>
                            <a:fillRect/>
                          </a:stretch>
                        </pic:blipFill>
                        <pic:spPr>
                          <a:xfrm>
                            <a:off x="0" y="0"/>
                            <a:ext cx="4187190" cy="2603500"/>
                          </a:xfrm>
                          <a:prstGeom prst="rect">
                            <a:avLst/>
                          </a:prstGeom>
                        </pic:spPr>
                      </pic:pic>
                    </a:graphicData>
                  </a:graphic>
                </wp:inline>
              </w:drawing>
            </w:r>
          </w:p>
          <w:p>
            <w:pPr>
              <w:pStyle w:val="553"/>
              <w:rPr>
                <w:color w:val="000000" w:themeColor="text1"/>
                <w14:textFill>
                  <w14:solidFill>
                    <w14:schemeClr w14:val="tx1"/>
                  </w14:solidFill>
                </w14:textFill>
              </w:rPr>
            </w:pPr>
            <w:r>
              <w:rPr>
                <w:color w:val="000000" w:themeColor="text1"/>
                <w14:textFill>
                  <w14:solidFill>
                    <w14:schemeClr w14:val="tx1"/>
                  </w14:solidFill>
                </w14:textFill>
              </w:rPr>
              <w:t>突发环境事件现场应急救援组织图</w:t>
            </w:r>
          </w:p>
        </w:tc>
      </w:tr>
    </w:tbl>
    <w:p>
      <w:pPr>
        <w:pStyle w:val="283"/>
        <w:rPr>
          <w:color w:val="000000" w:themeColor="text1"/>
          <w14:textFill>
            <w14:solidFill>
              <w14:schemeClr w14:val="tx1"/>
            </w14:solidFill>
          </w14:textFill>
        </w:rPr>
      </w:pPr>
      <w:r>
        <w:rPr>
          <w:rFonts w:hint="eastAsia"/>
          <w:color w:val="000000" w:themeColor="text1"/>
          <w14:textFill>
            <w14:solidFill>
              <w14:schemeClr w14:val="tx1"/>
            </w14:solidFill>
          </w14:textFill>
        </w:rPr>
        <w:t>根据企业内可能发生的环境污染事故的类型、严重程度和影响范围，调动相应的应急救援队伍，在应急救援指挥部的统一指挥下，快速、有序、有效地开展应急救援行动，以尽快处置事故，使事故的危害降到最低。应急救援组织机构及职责见4.6-12。</w:t>
      </w:r>
    </w:p>
    <w:p>
      <w:pPr>
        <w:pStyle w:val="283"/>
        <w:rPr>
          <w:color w:val="000000" w:themeColor="text1"/>
          <w14:textFill>
            <w14:solidFill>
              <w14:schemeClr w14:val="tx1"/>
            </w14:solidFill>
          </w14:textFill>
        </w:rPr>
        <w:sectPr>
          <w:pgSz w:w="11907" w:h="16840"/>
          <w:pgMar w:top="1440" w:right="1514" w:bottom="1440" w:left="1797" w:header="992" w:footer="851" w:gutter="284"/>
          <w:pgNumType w:fmt="numberInDash"/>
          <w:cols w:space="425" w:num="1"/>
          <w:docGrid w:type="linesAndChars" w:linePitch="465" w:charSpace="-4355"/>
        </w:sectPr>
      </w:pPr>
    </w:p>
    <w:p>
      <w:pPr>
        <w:pStyle w:val="384"/>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应急救援组织机构及职责</w:t>
      </w:r>
    </w:p>
    <w:tbl>
      <w:tblPr>
        <w:tblStyle w:val="1080"/>
        <w:tblW w:w="13990" w:type="dxa"/>
        <w:tblInd w:w="0" w:type="dxa"/>
        <w:tblBorders>
          <w:top w:val="single" w:color="404040" w:sz="12" w:space="0"/>
          <w:left w:val="single" w:color="404040" w:sz="12" w:space="0"/>
          <w:bottom w:val="single" w:color="404040" w:sz="12" w:space="0"/>
          <w:right w:val="single" w:color="404040" w:sz="12" w:space="0"/>
          <w:insideH w:val="single" w:color="404040" w:sz="12" w:space="0"/>
          <w:insideV w:val="single" w:color="404040" w:sz="12" w:space="0"/>
        </w:tblBorders>
        <w:tblLayout w:type="fixed"/>
        <w:tblCellMar>
          <w:top w:w="0" w:type="dxa"/>
          <w:left w:w="0" w:type="dxa"/>
          <w:bottom w:w="0" w:type="dxa"/>
          <w:right w:w="0" w:type="dxa"/>
        </w:tblCellMar>
      </w:tblPr>
      <w:tblGrid>
        <w:gridCol w:w="1244"/>
        <w:gridCol w:w="1772"/>
        <w:gridCol w:w="4253"/>
        <w:gridCol w:w="6721"/>
      </w:tblGrid>
      <w:tr>
        <w:tblPrEx>
          <w:tblBorders>
            <w:top w:val="single" w:color="404040" w:sz="12" w:space="0"/>
            <w:left w:val="single" w:color="404040" w:sz="12" w:space="0"/>
            <w:bottom w:val="single" w:color="404040" w:sz="12" w:space="0"/>
            <w:right w:val="single" w:color="404040" w:sz="12" w:space="0"/>
            <w:insideH w:val="single" w:color="404040" w:sz="12" w:space="0"/>
            <w:insideV w:val="single" w:color="404040" w:sz="12" w:space="0"/>
          </w:tblBorders>
          <w:tblLayout w:type="fixed"/>
          <w:tblCellMar>
            <w:top w:w="0" w:type="dxa"/>
            <w:left w:w="0" w:type="dxa"/>
            <w:bottom w:w="0" w:type="dxa"/>
            <w:right w:w="0" w:type="dxa"/>
          </w:tblCellMar>
        </w:tblPrEx>
        <w:trPr>
          <w:trHeight w:val="624" w:hRule="atLeast"/>
          <w:tblHeader/>
        </w:trPr>
        <w:tc>
          <w:tcPr>
            <w:tcW w:w="1244" w:type="dxa"/>
            <w:tcBorders>
              <w:top w:val="single" w:color="auto" w:sz="12" w:space="0"/>
              <w:left w:val="single" w:color="auto" w:sz="12" w:space="0"/>
              <w:bottom w:val="single" w:color="auto" w:sz="4" w:space="0"/>
              <w:right w:val="single" w:color="404040" w:sz="4" w:space="0"/>
            </w:tcBorders>
            <w:vAlign w:val="center"/>
          </w:tcPr>
          <w:p>
            <w:pPr>
              <w:widowControl/>
              <w:jc w:val="center"/>
              <w:rPr>
                <w:rFonts w:asciiTheme="minorHAnsi" w:hAnsiTheme="minorHAnsi" w:eastAsiaTheme="minorEastAsia" w:cstheme="minorBidi"/>
                <w:b/>
                <w:color w:val="000000" w:themeColor="text1"/>
                <w:kern w:val="0"/>
                <w:sz w:val="21"/>
                <w:szCs w:val="21"/>
                <w:lang w:eastAsia="en-US"/>
                <w14:textFill>
                  <w14:solidFill>
                    <w14:schemeClr w14:val="tx1"/>
                  </w14:solidFill>
                </w14:textFill>
              </w:rPr>
            </w:pPr>
            <w:r>
              <w:rPr>
                <w:rFonts w:asciiTheme="minorHAnsi" w:hAnsiTheme="minorHAnsi" w:eastAsiaTheme="minorEastAsia" w:cstheme="minorBidi"/>
                <w:b/>
                <w:color w:val="000000" w:themeColor="text1"/>
                <w:kern w:val="0"/>
                <w:sz w:val="21"/>
                <w:szCs w:val="21"/>
                <w:lang w:eastAsia="en-US"/>
                <w14:textFill>
                  <w14:solidFill>
                    <w14:schemeClr w14:val="tx1"/>
                  </w14:solidFill>
                </w14:textFill>
              </w:rPr>
              <w:t>应急救援组织机构</w:t>
            </w:r>
          </w:p>
        </w:tc>
        <w:tc>
          <w:tcPr>
            <w:tcW w:w="1772" w:type="dxa"/>
            <w:tcBorders>
              <w:top w:val="single" w:color="auto" w:sz="12" w:space="0"/>
              <w:left w:val="single" w:color="404040" w:sz="4" w:space="0"/>
              <w:bottom w:val="single" w:color="auto" w:sz="4" w:space="0"/>
              <w:right w:val="single" w:color="404040" w:sz="4" w:space="0"/>
            </w:tcBorders>
            <w:vAlign w:val="center"/>
          </w:tcPr>
          <w:p>
            <w:pPr>
              <w:widowControl/>
              <w:jc w:val="center"/>
              <w:rPr>
                <w:rFonts w:asciiTheme="minorHAnsi" w:hAnsiTheme="minorHAnsi" w:eastAsiaTheme="minorEastAsia" w:cstheme="minorBidi"/>
                <w:b/>
                <w:color w:val="000000" w:themeColor="text1"/>
                <w:kern w:val="0"/>
                <w:sz w:val="21"/>
                <w:szCs w:val="21"/>
                <w:lang w:eastAsia="en-US"/>
                <w14:textFill>
                  <w14:solidFill>
                    <w14:schemeClr w14:val="tx1"/>
                  </w14:solidFill>
                </w14:textFill>
              </w:rPr>
            </w:pPr>
            <w:r>
              <w:rPr>
                <w:rFonts w:asciiTheme="minorHAnsi" w:hAnsiTheme="minorHAnsi" w:eastAsiaTheme="minorEastAsia" w:cstheme="minorBidi"/>
                <w:b/>
                <w:color w:val="000000" w:themeColor="text1"/>
                <w:kern w:val="0"/>
                <w:sz w:val="21"/>
                <w:szCs w:val="21"/>
                <w:lang w:eastAsia="en-US"/>
                <w14:textFill>
                  <w14:solidFill>
                    <w14:schemeClr w14:val="tx1"/>
                  </w14:solidFill>
                </w14:textFill>
              </w:rPr>
              <w:t>日常职位</w:t>
            </w:r>
          </w:p>
        </w:tc>
        <w:tc>
          <w:tcPr>
            <w:tcW w:w="4253" w:type="dxa"/>
            <w:tcBorders>
              <w:top w:val="single" w:color="auto" w:sz="12" w:space="0"/>
              <w:left w:val="single" w:color="404040" w:sz="4" w:space="0"/>
              <w:bottom w:val="single" w:color="auto" w:sz="4" w:space="0"/>
              <w:right w:val="single" w:color="404040" w:sz="4" w:space="0"/>
            </w:tcBorders>
            <w:vAlign w:val="center"/>
          </w:tcPr>
          <w:p>
            <w:pPr>
              <w:widowControl/>
              <w:jc w:val="center"/>
              <w:rPr>
                <w:rFonts w:asciiTheme="minorHAnsi" w:hAnsiTheme="minorHAnsi" w:eastAsiaTheme="minorEastAsia" w:cstheme="minorBidi"/>
                <w:b/>
                <w:color w:val="000000" w:themeColor="text1"/>
                <w:kern w:val="0"/>
                <w:sz w:val="21"/>
                <w:szCs w:val="21"/>
                <w:lang w:eastAsia="en-US"/>
                <w14:textFill>
                  <w14:solidFill>
                    <w14:schemeClr w14:val="tx1"/>
                  </w14:solidFill>
                </w14:textFill>
              </w:rPr>
            </w:pPr>
            <w:r>
              <w:rPr>
                <w:rFonts w:asciiTheme="minorHAnsi" w:hAnsiTheme="minorHAnsi" w:eastAsiaTheme="minorEastAsia" w:cstheme="minorBidi"/>
                <w:b/>
                <w:color w:val="000000" w:themeColor="text1"/>
                <w:kern w:val="0"/>
                <w:sz w:val="21"/>
                <w:szCs w:val="21"/>
                <w:lang w:eastAsia="en-US"/>
                <w14:textFill>
                  <w14:solidFill>
                    <w14:schemeClr w14:val="tx1"/>
                  </w14:solidFill>
                </w14:textFill>
              </w:rPr>
              <w:t>日常职责</w:t>
            </w:r>
          </w:p>
        </w:tc>
        <w:tc>
          <w:tcPr>
            <w:tcW w:w="6721" w:type="dxa"/>
            <w:tcBorders>
              <w:top w:val="single" w:color="auto" w:sz="12" w:space="0"/>
              <w:left w:val="single" w:color="404040" w:sz="4" w:space="0"/>
              <w:bottom w:val="single" w:color="auto" w:sz="4" w:space="0"/>
              <w:right w:val="single" w:color="auto" w:sz="12" w:space="0"/>
            </w:tcBorders>
            <w:vAlign w:val="center"/>
          </w:tcPr>
          <w:p>
            <w:pPr>
              <w:widowControl/>
              <w:jc w:val="center"/>
              <w:rPr>
                <w:rFonts w:asciiTheme="minorHAnsi" w:hAnsiTheme="minorHAnsi" w:eastAsiaTheme="minorEastAsia" w:cstheme="minorBidi"/>
                <w:b/>
                <w:color w:val="000000" w:themeColor="text1"/>
                <w:kern w:val="0"/>
                <w:sz w:val="21"/>
                <w:szCs w:val="21"/>
                <w:lang w:eastAsia="en-US"/>
                <w14:textFill>
                  <w14:solidFill>
                    <w14:schemeClr w14:val="tx1"/>
                  </w14:solidFill>
                </w14:textFill>
              </w:rPr>
            </w:pPr>
            <w:r>
              <w:rPr>
                <w:rFonts w:asciiTheme="minorHAnsi" w:hAnsiTheme="minorHAnsi" w:eastAsiaTheme="minorEastAsia" w:cstheme="minorBidi"/>
                <w:b/>
                <w:color w:val="000000" w:themeColor="text1"/>
                <w:kern w:val="0"/>
                <w:sz w:val="21"/>
                <w:szCs w:val="21"/>
                <w:lang w:eastAsia="en-US"/>
                <w14:textFill>
                  <w14:solidFill>
                    <w14:schemeClr w14:val="tx1"/>
                  </w14:solidFill>
                </w14:textFill>
              </w:rPr>
              <w:t>应急职责</w:t>
            </w:r>
          </w:p>
        </w:tc>
      </w:tr>
      <w:tr>
        <w:tblPrEx>
          <w:tblBorders>
            <w:top w:val="single" w:color="404040" w:sz="12" w:space="0"/>
            <w:left w:val="single" w:color="404040" w:sz="12" w:space="0"/>
            <w:bottom w:val="single" w:color="404040" w:sz="12" w:space="0"/>
            <w:right w:val="single" w:color="404040" w:sz="12" w:space="0"/>
            <w:insideH w:val="single" w:color="404040" w:sz="12" w:space="0"/>
            <w:insideV w:val="single" w:color="404040" w:sz="12" w:space="0"/>
          </w:tblBorders>
          <w:tblLayout w:type="fixed"/>
          <w:tblCellMar>
            <w:top w:w="0" w:type="dxa"/>
            <w:left w:w="0" w:type="dxa"/>
            <w:bottom w:w="0" w:type="dxa"/>
            <w:right w:w="0" w:type="dxa"/>
          </w:tblCellMar>
        </w:tblPrEx>
        <w:trPr>
          <w:trHeight w:val="312" w:hRule="atLeast"/>
        </w:trPr>
        <w:tc>
          <w:tcPr>
            <w:tcW w:w="13990" w:type="dxa"/>
            <w:gridSpan w:val="4"/>
            <w:tcBorders>
              <w:top w:val="single" w:color="auto" w:sz="4" w:space="0"/>
              <w:left w:val="single" w:color="auto" w:sz="12" w:space="0"/>
              <w:bottom w:val="single" w:color="auto" w:sz="4" w:space="0"/>
              <w:right w:val="single" w:color="auto" w:sz="12" w:space="0"/>
            </w:tcBorders>
            <w:vAlign w:val="center"/>
          </w:tcPr>
          <w:p>
            <w:pPr>
              <w:widowControl/>
              <w:jc w:val="center"/>
              <w:rPr>
                <w:rFonts w:asciiTheme="minorHAnsi" w:hAnsiTheme="minorHAnsi" w:eastAsiaTheme="minorEastAsia" w:cstheme="minorBidi"/>
                <w:color w:val="000000" w:themeColor="text1"/>
                <w:kern w:val="0"/>
                <w:sz w:val="21"/>
                <w:szCs w:val="21"/>
                <w:lang w:eastAsia="en-US"/>
                <w14:textFill>
                  <w14:solidFill>
                    <w14:schemeClr w14:val="tx1"/>
                  </w14:solidFill>
                </w14:textFill>
              </w:rPr>
            </w:pPr>
            <w:r>
              <w:rPr>
                <w:rFonts w:asciiTheme="minorHAnsi" w:hAnsiTheme="minorHAnsi" w:eastAsiaTheme="minorEastAsia" w:cstheme="minorBidi"/>
                <w:color w:val="000000" w:themeColor="text1"/>
                <w:kern w:val="0"/>
                <w:sz w:val="21"/>
                <w:szCs w:val="21"/>
                <w:lang w:eastAsia="en-US"/>
                <w14:textFill>
                  <w14:solidFill>
                    <w14:schemeClr w14:val="tx1"/>
                  </w14:solidFill>
                </w14:textFill>
              </w:rPr>
              <w:t>应急指挥部</w:t>
            </w:r>
          </w:p>
        </w:tc>
      </w:tr>
      <w:tr>
        <w:tblPrEx>
          <w:tblBorders>
            <w:top w:val="single" w:color="404040" w:sz="12" w:space="0"/>
            <w:left w:val="single" w:color="404040" w:sz="12" w:space="0"/>
            <w:bottom w:val="single" w:color="404040" w:sz="12" w:space="0"/>
            <w:right w:val="single" w:color="404040" w:sz="12" w:space="0"/>
            <w:insideH w:val="single" w:color="404040" w:sz="12" w:space="0"/>
            <w:insideV w:val="single" w:color="404040" w:sz="12" w:space="0"/>
          </w:tblBorders>
          <w:tblLayout w:type="fixed"/>
          <w:tblCellMar>
            <w:top w:w="0" w:type="dxa"/>
            <w:left w:w="0" w:type="dxa"/>
            <w:bottom w:w="0" w:type="dxa"/>
            <w:right w:w="0" w:type="dxa"/>
          </w:tblCellMar>
        </w:tblPrEx>
        <w:trPr>
          <w:trHeight w:val="1949" w:hRule="atLeast"/>
        </w:trPr>
        <w:tc>
          <w:tcPr>
            <w:tcW w:w="1244" w:type="dxa"/>
            <w:tcBorders>
              <w:top w:val="single" w:color="auto" w:sz="4" w:space="0"/>
              <w:left w:val="single" w:color="auto" w:sz="12" w:space="0"/>
              <w:bottom w:val="single" w:color="404040" w:sz="4" w:space="0"/>
              <w:right w:val="single" w:color="404040" w:sz="4" w:space="0"/>
            </w:tcBorders>
            <w:vAlign w:val="center"/>
          </w:tcPr>
          <w:p>
            <w:pPr>
              <w:widowControl/>
              <w:jc w:val="center"/>
              <w:rPr>
                <w:rFonts w:asciiTheme="minorHAnsi" w:hAnsiTheme="minorHAnsi" w:eastAsiaTheme="minorEastAsia" w:cstheme="minorBidi"/>
                <w:color w:val="000000" w:themeColor="text1"/>
                <w:kern w:val="0"/>
                <w:sz w:val="21"/>
                <w:szCs w:val="21"/>
                <w:lang w:eastAsia="en-US"/>
                <w14:textFill>
                  <w14:solidFill>
                    <w14:schemeClr w14:val="tx1"/>
                  </w14:solidFill>
                </w14:textFill>
              </w:rPr>
            </w:pPr>
            <w:r>
              <w:rPr>
                <w:rFonts w:asciiTheme="minorHAnsi" w:hAnsiTheme="minorHAnsi" w:eastAsiaTheme="minorEastAsia" w:cstheme="minorBidi"/>
                <w:color w:val="000000" w:themeColor="text1"/>
                <w:kern w:val="0"/>
                <w:sz w:val="21"/>
                <w:szCs w:val="21"/>
                <w:lang w:eastAsia="en-US"/>
                <w14:textFill>
                  <w14:solidFill>
                    <w14:schemeClr w14:val="tx1"/>
                  </w14:solidFill>
                </w14:textFill>
              </w:rPr>
              <w:t>总指挥</w:t>
            </w:r>
          </w:p>
        </w:tc>
        <w:tc>
          <w:tcPr>
            <w:tcW w:w="1772" w:type="dxa"/>
            <w:tcBorders>
              <w:top w:val="single" w:color="auto" w:sz="4" w:space="0"/>
              <w:left w:val="single" w:color="404040" w:sz="4" w:space="0"/>
              <w:bottom w:val="single" w:color="404040" w:sz="4" w:space="0"/>
              <w:right w:val="single" w:color="404040" w:sz="4" w:space="0"/>
            </w:tcBorders>
            <w:vAlign w:val="center"/>
          </w:tcPr>
          <w:p>
            <w:pPr>
              <w:widowControl/>
              <w:jc w:val="center"/>
              <w:rPr>
                <w:rFonts w:asciiTheme="minorHAnsi" w:hAnsiTheme="minorHAnsi" w:eastAsiaTheme="minorEastAsia" w:cstheme="minorBidi"/>
                <w:color w:val="000000" w:themeColor="text1"/>
                <w:kern w:val="0"/>
                <w:sz w:val="21"/>
                <w:szCs w:val="21"/>
                <w:lang w:eastAsia="en-US"/>
                <w14:textFill>
                  <w14:solidFill>
                    <w14:schemeClr w14:val="tx1"/>
                  </w14:solidFill>
                </w14:textFill>
              </w:rPr>
            </w:pPr>
            <w:r>
              <w:rPr>
                <w:rFonts w:asciiTheme="minorHAnsi" w:hAnsiTheme="minorHAnsi" w:eastAsiaTheme="minorEastAsia" w:cstheme="minorBidi"/>
                <w:color w:val="000000" w:themeColor="text1"/>
                <w:kern w:val="0"/>
                <w:sz w:val="21"/>
                <w:szCs w:val="21"/>
                <w:lang w:eastAsia="en-US"/>
                <w14:textFill>
                  <w14:solidFill>
                    <w14:schemeClr w14:val="tx1"/>
                  </w14:solidFill>
                </w14:textFill>
              </w:rPr>
              <w:t>总经理</w:t>
            </w:r>
          </w:p>
        </w:tc>
        <w:tc>
          <w:tcPr>
            <w:tcW w:w="4253" w:type="dxa"/>
            <w:tcBorders>
              <w:top w:val="single" w:color="auto" w:sz="4" w:space="0"/>
              <w:left w:val="single" w:color="404040" w:sz="4" w:space="0"/>
              <w:bottom w:val="single" w:color="404040" w:sz="4" w:space="0"/>
              <w:right w:val="single" w:color="404040" w:sz="4" w:space="0"/>
            </w:tcBorders>
            <w:vAlign w:val="center"/>
          </w:tcPr>
          <w:p>
            <w:pPr>
              <w:widowControl/>
              <w:jc w:val="center"/>
              <w:rPr>
                <w:rFonts w:asciiTheme="minorHAnsi" w:hAnsiTheme="minorHAnsi" w:eastAsiaTheme="minorEastAsia" w:cstheme="minorBidi"/>
                <w:color w:val="000000" w:themeColor="text1"/>
                <w:kern w:val="0"/>
                <w:sz w:val="21"/>
                <w:szCs w:val="21"/>
                <w:lang w:eastAsia="zh-CN"/>
                <w14:textFill>
                  <w14:solidFill>
                    <w14:schemeClr w14:val="tx1"/>
                  </w14:solidFill>
                </w14:textFill>
              </w:rPr>
            </w:pPr>
            <w:r>
              <w:rPr>
                <w:rFonts w:asciiTheme="minorHAnsi" w:hAnsiTheme="minorHAnsi" w:eastAsiaTheme="minorEastAsia" w:cstheme="minorBidi"/>
                <w:color w:val="000000" w:themeColor="text1"/>
                <w:kern w:val="0"/>
                <w:sz w:val="21"/>
                <w:szCs w:val="21"/>
                <w:lang w:eastAsia="zh-CN"/>
                <w14:textFill>
                  <w14:solidFill>
                    <w14:schemeClr w14:val="tx1"/>
                  </w14:solidFill>
                </w14:textFill>
              </w:rPr>
              <w:t>（1）贯彻执行国家、当地政府、上级主管部门关于突发环境事件发生和应急救援的方针、政策及有关规定；</w:t>
            </w:r>
          </w:p>
          <w:p>
            <w:pPr>
              <w:widowControl/>
              <w:jc w:val="center"/>
              <w:rPr>
                <w:rFonts w:asciiTheme="minorHAnsi" w:hAnsiTheme="minorHAnsi" w:eastAsiaTheme="minorEastAsia" w:cstheme="minorBidi"/>
                <w:color w:val="000000" w:themeColor="text1"/>
                <w:kern w:val="0"/>
                <w:sz w:val="21"/>
                <w:szCs w:val="21"/>
                <w:lang w:eastAsia="zh-CN"/>
                <w14:textFill>
                  <w14:solidFill>
                    <w14:schemeClr w14:val="tx1"/>
                  </w14:solidFill>
                </w14:textFill>
              </w:rPr>
            </w:pPr>
            <w:r>
              <w:rPr>
                <w:rFonts w:asciiTheme="minorHAnsi" w:hAnsiTheme="minorHAnsi" w:eastAsiaTheme="minorEastAsia" w:cstheme="minorBidi"/>
                <w:color w:val="000000" w:themeColor="text1"/>
                <w:kern w:val="0"/>
                <w:sz w:val="21"/>
                <w:szCs w:val="21"/>
                <w:lang w:eastAsia="zh-CN"/>
                <w14:textFill>
                  <w14:solidFill>
                    <w14:schemeClr w14:val="tx1"/>
                  </w14:solidFill>
                </w14:textFill>
              </w:rPr>
              <w:t>（2）对突发环境事件应急预案的编制、修订内容进行审定、批准；</w:t>
            </w:r>
          </w:p>
          <w:p>
            <w:pPr>
              <w:widowControl/>
              <w:jc w:val="center"/>
              <w:rPr>
                <w:rFonts w:asciiTheme="minorHAnsi" w:hAnsiTheme="minorHAnsi" w:eastAsiaTheme="minorEastAsia" w:cstheme="minorBidi"/>
                <w:color w:val="000000" w:themeColor="text1"/>
                <w:kern w:val="0"/>
                <w:sz w:val="21"/>
                <w:szCs w:val="21"/>
                <w:lang w:eastAsia="zh-CN"/>
                <w14:textFill>
                  <w14:solidFill>
                    <w14:schemeClr w14:val="tx1"/>
                  </w14:solidFill>
                </w14:textFill>
              </w:rPr>
            </w:pPr>
            <w:r>
              <w:rPr>
                <w:rFonts w:asciiTheme="minorHAnsi" w:hAnsiTheme="minorHAnsi" w:eastAsiaTheme="minorEastAsia" w:cstheme="minorBidi"/>
                <w:color w:val="000000" w:themeColor="text1"/>
                <w:kern w:val="0"/>
                <w:sz w:val="21"/>
                <w:szCs w:val="21"/>
                <w:lang w:eastAsia="zh-CN"/>
                <w14:textFill>
                  <w14:solidFill>
                    <w14:schemeClr w14:val="tx1"/>
                  </w14:solidFill>
                </w14:textFill>
              </w:rPr>
              <w:t>（3）保障企业突发环境事件应急保障经费的投入。</w:t>
            </w:r>
          </w:p>
        </w:tc>
        <w:tc>
          <w:tcPr>
            <w:tcW w:w="6721" w:type="dxa"/>
            <w:tcBorders>
              <w:top w:val="single" w:color="auto" w:sz="4" w:space="0"/>
              <w:left w:val="single" w:color="404040" w:sz="4" w:space="0"/>
              <w:bottom w:val="single" w:color="404040" w:sz="4" w:space="0"/>
              <w:right w:val="single" w:color="auto" w:sz="12" w:space="0"/>
            </w:tcBorders>
            <w:vAlign w:val="center"/>
          </w:tcPr>
          <w:p>
            <w:pPr>
              <w:widowControl/>
              <w:jc w:val="center"/>
              <w:rPr>
                <w:rFonts w:asciiTheme="minorHAnsi" w:hAnsiTheme="minorHAnsi" w:eastAsiaTheme="minorEastAsia" w:cstheme="minorBidi"/>
                <w:color w:val="000000" w:themeColor="text1"/>
                <w:kern w:val="0"/>
                <w:sz w:val="21"/>
                <w:szCs w:val="21"/>
                <w:lang w:eastAsia="zh-CN"/>
                <w14:textFill>
                  <w14:solidFill>
                    <w14:schemeClr w14:val="tx1"/>
                  </w14:solidFill>
                </w14:textFill>
              </w:rPr>
            </w:pPr>
            <w:r>
              <w:rPr>
                <w:rFonts w:asciiTheme="minorHAnsi" w:hAnsiTheme="minorHAnsi" w:eastAsiaTheme="minorEastAsia" w:cstheme="minorBidi"/>
                <w:color w:val="000000" w:themeColor="text1"/>
                <w:kern w:val="0"/>
                <w:sz w:val="21"/>
                <w:szCs w:val="21"/>
                <w:lang w:eastAsia="zh-CN"/>
                <w14:textFill>
                  <w14:solidFill>
                    <w14:schemeClr w14:val="tx1"/>
                  </w14:solidFill>
                </w14:textFill>
              </w:rPr>
              <w:t>（1）接受政府的指令和调动；</w:t>
            </w:r>
          </w:p>
          <w:p>
            <w:pPr>
              <w:widowControl/>
              <w:jc w:val="center"/>
              <w:rPr>
                <w:rFonts w:asciiTheme="minorHAnsi" w:hAnsiTheme="minorHAnsi" w:eastAsiaTheme="minorEastAsia" w:cstheme="minorBidi"/>
                <w:color w:val="000000" w:themeColor="text1"/>
                <w:kern w:val="0"/>
                <w:sz w:val="21"/>
                <w:szCs w:val="21"/>
                <w:lang w:eastAsia="zh-CN"/>
                <w14:textFill>
                  <w14:solidFill>
                    <w14:schemeClr w14:val="tx1"/>
                  </w14:solidFill>
                </w14:textFill>
              </w:rPr>
            </w:pPr>
            <w:r>
              <w:rPr>
                <w:rFonts w:asciiTheme="minorHAnsi" w:hAnsiTheme="minorHAnsi" w:eastAsiaTheme="minorEastAsia" w:cstheme="minorBidi"/>
                <w:color w:val="000000" w:themeColor="text1"/>
                <w:kern w:val="0"/>
                <w:sz w:val="21"/>
                <w:szCs w:val="21"/>
                <w:lang w:eastAsia="zh-CN"/>
                <w14:textFill>
                  <w14:solidFill>
                    <w14:schemeClr w14:val="tx1"/>
                  </w14:solidFill>
                </w14:textFill>
              </w:rPr>
              <w:t>（2）决定应急预案的启动与终止；</w:t>
            </w:r>
          </w:p>
          <w:p>
            <w:pPr>
              <w:widowControl/>
              <w:jc w:val="center"/>
              <w:rPr>
                <w:rFonts w:asciiTheme="minorHAnsi" w:hAnsiTheme="minorHAnsi" w:eastAsiaTheme="minorEastAsia" w:cstheme="minorBidi"/>
                <w:color w:val="000000" w:themeColor="text1"/>
                <w:kern w:val="0"/>
                <w:sz w:val="21"/>
                <w:szCs w:val="21"/>
                <w:lang w:eastAsia="zh-CN"/>
                <w14:textFill>
                  <w14:solidFill>
                    <w14:schemeClr w14:val="tx1"/>
                  </w14:solidFill>
                </w14:textFill>
              </w:rPr>
            </w:pPr>
            <w:r>
              <w:rPr>
                <w:rFonts w:asciiTheme="minorHAnsi" w:hAnsiTheme="minorHAnsi" w:eastAsiaTheme="minorEastAsia" w:cstheme="minorBidi"/>
                <w:color w:val="000000" w:themeColor="text1"/>
                <w:kern w:val="0"/>
                <w:sz w:val="21"/>
                <w:szCs w:val="21"/>
                <w:lang w:eastAsia="zh-CN"/>
                <w14:textFill>
                  <w14:solidFill>
                    <w14:schemeClr w14:val="tx1"/>
                  </w14:solidFill>
                </w14:textFill>
              </w:rPr>
              <w:t>（3）审核突发环境事件的险情及应急处理进展等情况，确定预警和应急响应级别；</w:t>
            </w:r>
          </w:p>
          <w:p>
            <w:pPr>
              <w:widowControl/>
              <w:jc w:val="center"/>
              <w:rPr>
                <w:rFonts w:asciiTheme="minorHAnsi" w:hAnsiTheme="minorHAnsi" w:eastAsiaTheme="minorEastAsia" w:cstheme="minorBidi"/>
                <w:color w:val="000000" w:themeColor="text1"/>
                <w:kern w:val="0"/>
                <w:sz w:val="21"/>
                <w:szCs w:val="21"/>
                <w:lang w:eastAsia="zh-CN"/>
                <w14:textFill>
                  <w14:solidFill>
                    <w14:schemeClr w14:val="tx1"/>
                  </w14:solidFill>
                </w14:textFill>
              </w:rPr>
            </w:pPr>
            <w:r>
              <w:rPr>
                <w:rFonts w:asciiTheme="minorHAnsi" w:hAnsiTheme="minorHAnsi" w:eastAsiaTheme="minorEastAsia" w:cstheme="minorBidi"/>
                <w:color w:val="000000" w:themeColor="text1"/>
                <w:kern w:val="0"/>
                <w:sz w:val="21"/>
                <w:szCs w:val="21"/>
                <w:lang w:eastAsia="zh-CN"/>
                <w14:textFill>
                  <w14:solidFill>
                    <w14:schemeClr w14:val="tx1"/>
                  </w14:solidFill>
                </w14:textFill>
              </w:rPr>
              <w:t>（4）发生突发环境事故时，亲自或委托副总指挥赶赴现场进行指挥及组织现场应急处理；</w:t>
            </w:r>
          </w:p>
          <w:p>
            <w:pPr>
              <w:widowControl/>
              <w:jc w:val="center"/>
              <w:rPr>
                <w:rFonts w:asciiTheme="minorHAnsi" w:hAnsiTheme="minorHAnsi" w:eastAsiaTheme="minorEastAsia" w:cstheme="minorBidi"/>
                <w:color w:val="000000" w:themeColor="text1"/>
                <w:kern w:val="0"/>
                <w:sz w:val="21"/>
                <w:szCs w:val="21"/>
                <w:lang w:eastAsia="zh-CN"/>
                <w14:textFill>
                  <w14:solidFill>
                    <w14:schemeClr w14:val="tx1"/>
                  </w14:solidFill>
                </w14:textFill>
              </w:rPr>
            </w:pPr>
            <w:r>
              <w:rPr>
                <w:rFonts w:asciiTheme="minorHAnsi" w:hAnsiTheme="minorHAnsi" w:eastAsiaTheme="minorEastAsia" w:cstheme="minorBidi"/>
                <w:color w:val="000000" w:themeColor="text1"/>
                <w:kern w:val="0"/>
                <w:sz w:val="21"/>
                <w:szCs w:val="21"/>
                <w:lang w:eastAsia="zh-CN"/>
                <w14:textFill>
                  <w14:solidFill>
                    <w14:schemeClr w14:val="tx1"/>
                  </w14:solidFill>
                </w14:textFill>
              </w:rPr>
              <w:t>（5）发布应急处置命令；</w:t>
            </w:r>
          </w:p>
          <w:p>
            <w:pPr>
              <w:widowControl/>
              <w:jc w:val="center"/>
              <w:rPr>
                <w:rFonts w:asciiTheme="minorHAnsi" w:hAnsiTheme="minorHAnsi" w:eastAsiaTheme="minorEastAsia" w:cstheme="minorBidi"/>
                <w:color w:val="000000" w:themeColor="text1"/>
                <w:kern w:val="0"/>
                <w:sz w:val="21"/>
                <w:szCs w:val="21"/>
                <w:lang w:eastAsia="zh-CN"/>
                <w14:textFill>
                  <w14:solidFill>
                    <w14:schemeClr w14:val="tx1"/>
                  </w14:solidFill>
                </w14:textFill>
              </w:rPr>
            </w:pPr>
            <w:r>
              <w:rPr>
                <w:rFonts w:asciiTheme="minorHAnsi" w:hAnsiTheme="minorHAnsi" w:eastAsiaTheme="minorEastAsia" w:cstheme="minorBidi"/>
                <w:color w:val="000000" w:themeColor="text1"/>
                <w:kern w:val="0"/>
                <w:sz w:val="21"/>
                <w:szCs w:val="21"/>
                <w:lang w:eastAsia="zh-CN"/>
                <w14:textFill>
                  <w14:solidFill>
                    <w14:schemeClr w14:val="tx1"/>
                  </w14:solidFill>
                </w14:textFill>
              </w:rPr>
              <w:t>（6）如果事故级别升级到社会应急，负责及时向政府部门报告并提出协助请求。</w:t>
            </w:r>
          </w:p>
        </w:tc>
      </w:tr>
      <w:tr>
        <w:tblPrEx>
          <w:tblBorders>
            <w:top w:val="single" w:color="404040" w:sz="12" w:space="0"/>
            <w:left w:val="single" w:color="404040" w:sz="12" w:space="0"/>
            <w:bottom w:val="single" w:color="404040" w:sz="12" w:space="0"/>
            <w:right w:val="single" w:color="404040" w:sz="12" w:space="0"/>
            <w:insideH w:val="single" w:color="404040" w:sz="12" w:space="0"/>
            <w:insideV w:val="single" w:color="404040" w:sz="12" w:space="0"/>
          </w:tblBorders>
          <w:tblLayout w:type="fixed"/>
          <w:tblCellMar>
            <w:top w:w="0" w:type="dxa"/>
            <w:left w:w="0" w:type="dxa"/>
            <w:bottom w:w="0" w:type="dxa"/>
            <w:right w:w="0" w:type="dxa"/>
          </w:tblCellMar>
        </w:tblPrEx>
        <w:trPr>
          <w:trHeight w:val="1871" w:hRule="atLeast"/>
        </w:trPr>
        <w:tc>
          <w:tcPr>
            <w:tcW w:w="1244" w:type="dxa"/>
            <w:tcBorders>
              <w:top w:val="single" w:color="404040" w:sz="4" w:space="0"/>
              <w:left w:val="single" w:color="auto" w:sz="12" w:space="0"/>
              <w:bottom w:val="single" w:color="404040" w:sz="4" w:space="0"/>
              <w:right w:val="single" w:color="404040" w:sz="4" w:space="0"/>
            </w:tcBorders>
            <w:vAlign w:val="center"/>
          </w:tcPr>
          <w:p>
            <w:pPr>
              <w:widowControl/>
              <w:jc w:val="center"/>
              <w:rPr>
                <w:rFonts w:asciiTheme="minorHAnsi" w:hAnsiTheme="minorHAnsi" w:eastAsiaTheme="minorEastAsia" w:cstheme="minorBidi"/>
                <w:color w:val="000000" w:themeColor="text1"/>
                <w:kern w:val="0"/>
                <w:sz w:val="21"/>
                <w:szCs w:val="21"/>
                <w:lang w:eastAsia="en-US"/>
                <w14:textFill>
                  <w14:solidFill>
                    <w14:schemeClr w14:val="tx1"/>
                  </w14:solidFill>
                </w14:textFill>
              </w:rPr>
            </w:pPr>
            <w:r>
              <w:rPr>
                <w:rFonts w:asciiTheme="minorHAnsi" w:hAnsiTheme="minorHAnsi" w:eastAsiaTheme="minorEastAsia" w:cstheme="minorBidi"/>
                <w:color w:val="000000" w:themeColor="text1"/>
                <w:kern w:val="0"/>
                <w:sz w:val="21"/>
                <w:szCs w:val="21"/>
                <w:lang w:eastAsia="en-US"/>
                <w14:textFill>
                  <w14:solidFill>
                    <w14:schemeClr w14:val="tx1"/>
                  </w14:solidFill>
                </w14:textFill>
              </w:rPr>
              <w:t>副总指挥</w:t>
            </w:r>
          </w:p>
        </w:tc>
        <w:tc>
          <w:tcPr>
            <w:tcW w:w="1772" w:type="dxa"/>
            <w:tcBorders>
              <w:top w:val="single" w:color="404040" w:sz="4" w:space="0"/>
              <w:left w:val="single" w:color="404040" w:sz="4" w:space="0"/>
              <w:bottom w:val="single" w:color="404040" w:sz="4" w:space="0"/>
              <w:right w:val="single" w:color="404040" w:sz="4" w:space="0"/>
            </w:tcBorders>
            <w:vAlign w:val="center"/>
          </w:tcPr>
          <w:p>
            <w:pPr>
              <w:widowControl/>
              <w:jc w:val="center"/>
              <w:rPr>
                <w:rFonts w:asciiTheme="minorHAnsi" w:hAnsiTheme="minorHAnsi" w:eastAsiaTheme="minorEastAsia" w:cstheme="minorBidi"/>
                <w:color w:val="000000" w:themeColor="text1"/>
                <w:kern w:val="0"/>
                <w:sz w:val="21"/>
                <w:szCs w:val="21"/>
                <w:lang w:eastAsia="en-US"/>
                <w14:textFill>
                  <w14:solidFill>
                    <w14:schemeClr w14:val="tx1"/>
                  </w14:solidFill>
                </w14:textFill>
              </w:rPr>
            </w:pPr>
            <w:r>
              <w:rPr>
                <w:rFonts w:asciiTheme="minorHAnsi" w:hAnsiTheme="minorHAnsi" w:eastAsiaTheme="minorEastAsia" w:cstheme="minorBidi"/>
                <w:color w:val="000000" w:themeColor="text1"/>
                <w:kern w:val="0"/>
                <w:sz w:val="21"/>
                <w:szCs w:val="21"/>
                <w:lang w:eastAsia="en-US"/>
                <w14:textFill>
                  <w14:solidFill>
                    <w14:schemeClr w14:val="tx1"/>
                  </w14:solidFill>
                </w14:textFill>
              </w:rPr>
              <w:t>公司领导</w:t>
            </w:r>
          </w:p>
        </w:tc>
        <w:tc>
          <w:tcPr>
            <w:tcW w:w="4253" w:type="dxa"/>
            <w:tcBorders>
              <w:top w:val="single" w:color="404040" w:sz="4" w:space="0"/>
              <w:left w:val="single" w:color="404040" w:sz="4" w:space="0"/>
              <w:bottom w:val="single" w:color="404040" w:sz="4" w:space="0"/>
              <w:right w:val="single" w:color="404040" w:sz="4" w:space="0"/>
            </w:tcBorders>
            <w:vAlign w:val="center"/>
          </w:tcPr>
          <w:p>
            <w:pPr>
              <w:widowControl/>
              <w:jc w:val="center"/>
              <w:rPr>
                <w:rFonts w:asciiTheme="minorHAnsi" w:hAnsiTheme="minorHAnsi" w:eastAsiaTheme="minorEastAsia" w:cstheme="minorBidi"/>
                <w:color w:val="000000" w:themeColor="text1"/>
                <w:kern w:val="0"/>
                <w:sz w:val="21"/>
                <w:szCs w:val="21"/>
                <w:lang w:eastAsia="zh-CN"/>
                <w14:textFill>
                  <w14:solidFill>
                    <w14:schemeClr w14:val="tx1"/>
                  </w14:solidFill>
                </w14:textFill>
              </w:rPr>
            </w:pPr>
            <w:r>
              <w:rPr>
                <w:rFonts w:asciiTheme="minorHAnsi" w:hAnsiTheme="minorHAnsi" w:eastAsiaTheme="minorEastAsia" w:cstheme="minorBidi"/>
                <w:color w:val="000000" w:themeColor="text1"/>
                <w:kern w:val="0"/>
                <w:sz w:val="21"/>
                <w:szCs w:val="21"/>
                <w:lang w:eastAsia="zh-CN"/>
                <w14:textFill>
                  <w14:solidFill>
                    <w14:schemeClr w14:val="tx1"/>
                  </w14:solidFill>
                </w14:textFill>
              </w:rPr>
              <w:t>（1）组织、指导员工突发环境事件的应急培训工作， 协调指导应急救援队伍的管理和救援能力评估工作；</w:t>
            </w:r>
          </w:p>
          <w:p>
            <w:pPr>
              <w:widowControl/>
              <w:jc w:val="center"/>
              <w:rPr>
                <w:rFonts w:asciiTheme="minorHAnsi" w:hAnsiTheme="minorHAnsi" w:eastAsiaTheme="minorEastAsia" w:cstheme="minorBidi"/>
                <w:color w:val="000000" w:themeColor="text1"/>
                <w:kern w:val="0"/>
                <w:sz w:val="21"/>
                <w:szCs w:val="21"/>
                <w:lang w:eastAsia="zh-CN"/>
                <w14:textFill>
                  <w14:solidFill>
                    <w14:schemeClr w14:val="tx1"/>
                  </w14:solidFill>
                </w14:textFill>
              </w:rPr>
            </w:pPr>
            <w:r>
              <w:rPr>
                <w:rFonts w:asciiTheme="minorHAnsi" w:hAnsiTheme="minorHAnsi" w:eastAsiaTheme="minorEastAsia" w:cstheme="minorBidi"/>
                <w:color w:val="000000" w:themeColor="text1"/>
                <w:kern w:val="0"/>
                <w:sz w:val="21"/>
                <w:szCs w:val="21"/>
                <w:lang w:eastAsia="zh-CN"/>
                <w14:textFill>
                  <w14:solidFill>
                    <w14:schemeClr w14:val="tx1"/>
                  </w14:solidFill>
                </w14:textFill>
              </w:rPr>
              <w:t>（2）检查、督促做好突发环境事件的预防措施和应急救援的各项准备工作；</w:t>
            </w:r>
          </w:p>
          <w:p>
            <w:pPr>
              <w:widowControl/>
              <w:jc w:val="center"/>
              <w:rPr>
                <w:rFonts w:asciiTheme="minorHAnsi" w:hAnsiTheme="minorHAnsi" w:eastAsiaTheme="minorEastAsia" w:cstheme="minorBidi"/>
                <w:color w:val="000000" w:themeColor="text1"/>
                <w:kern w:val="0"/>
                <w:sz w:val="21"/>
                <w:szCs w:val="21"/>
                <w:lang w:eastAsia="zh-CN"/>
                <w14:textFill>
                  <w14:solidFill>
                    <w14:schemeClr w14:val="tx1"/>
                  </w14:solidFill>
                </w14:textFill>
              </w:rPr>
            </w:pPr>
            <w:r>
              <w:rPr>
                <w:rFonts w:asciiTheme="minorHAnsi" w:hAnsiTheme="minorHAnsi" w:eastAsiaTheme="minorEastAsia" w:cstheme="minorBidi"/>
                <w:color w:val="000000" w:themeColor="text1"/>
                <w:kern w:val="0"/>
                <w:sz w:val="21"/>
                <w:szCs w:val="21"/>
                <w:lang w:eastAsia="zh-CN"/>
                <w14:textFill>
                  <w14:solidFill>
                    <w14:schemeClr w14:val="tx1"/>
                  </w14:solidFill>
                </w14:textFill>
              </w:rPr>
              <w:t>（3）监督应急体系的建设和运转，审查应急救援工作报告。</w:t>
            </w:r>
          </w:p>
        </w:tc>
        <w:tc>
          <w:tcPr>
            <w:tcW w:w="6721" w:type="dxa"/>
            <w:tcBorders>
              <w:top w:val="single" w:color="404040" w:sz="4" w:space="0"/>
              <w:left w:val="single" w:color="404040" w:sz="4" w:space="0"/>
              <w:bottom w:val="single" w:color="404040" w:sz="4" w:space="0"/>
              <w:right w:val="single" w:color="auto" w:sz="12" w:space="0"/>
            </w:tcBorders>
            <w:vAlign w:val="center"/>
          </w:tcPr>
          <w:p>
            <w:pPr>
              <w:widowControl/>
              <w:jc w:val="center"/>
              <w:rPr>
                <w:rFonts w:asciiTheme="minorHAnsi" w:hAnsiTheme="minorHAnsi" w:eastAsiaTheme="minorEastAsia" w:cstheme="minorBidi"/>
                <w:color w:val="000000" w:themeColor="text1"/>
                <w:kern w:val="0"/>
                <w:sz w:val="21"/>
                <w:szCs w:val="21"/>
                <w:lang w:eastAsia="zh-CN"/>
                <w14:textFill>
                  <w14:solidFill>
                    <w14:schemeClr w14:val="tx1"/>
                  </w14:solidFill>
                </w14:textFill>
              </w:rPr>
            </w:pPr>
            <w:r>
              <w:rPr>
                <w:rFonts w:asciiTheme="minorHAnsi" w:hAnsiTheme="minorHAnsi" w:eastAsiaTheme="minorEastAsia" w:cstheme="minorBidi"/>
                <w:color w:val="000000" w:themeColor="text1"/>
                <w:kern w:val="0"/>
                <w:sz w:val="21"/>
                <w:szCs w:val="21"/>
                <w:lang w:eastAsia="zh-CN"/>
                <w14:textFill>
                  <w14:solidFill>
                    <w14:schemeClr w14:val="tx1"/>
                  </w14:solidFill>
                </w14:textFill>
              </w:rPr>
              <w:t>（1）协助总指挥组织和指挥应急任务；</w:t>
            </w:r>
          </w:p>
          <w:p>
            <w:pPr>
              <w:widowControl/>
              <w:jc w:val="center"/>
              <w:rPr>
                <w:rFonts w:asciiTheme="minorHAnsi" w:hAnsiTheme="minorHAnsi" w:eastAsiaTheme="minorEastAsia" w:cstheme="minorBidi"/>
                <w:color w:val="000000" w:themeColor="text1"/>
                <w:kern w:val="0"/>
                <w:sz w:val="21"/>
                <w:szCs w:val="21"/>
                <w:lang w:eastAsia="zh-CN"/>
                <w14:textFill>
                  <w14:solidFill>
                    <w14:schemeClr w14:val="tx1"/>
                  </w14:solidFill>
                </w14:textFill>
              </w:rPr>
            </w:pPr>
            <w:r>
              <w:rPr>
                <w:rFonts w:asciiTheme="minorHAnsi" w:hAnsiTheme="minorHAnsi" w:eastAsiaTheme="minorEastAsia" w:cstheme="minorBidi"/>
                <w:color w:val="000000" w:themeColor="text1"/>
                <w:kern w:val="0"/>
                <w:sz w:val="21"/>
                <w:szCs w:val="21"/>
                <w:lang w:eastAsia="zh-CN"/>
                <w14:textFill>
                  <w14:solidFill>
                    <w14:schemeClr w14:val="tx1"/>
                  </w14:solidFill>
                </w14:textFill>
              </w:rPr>
              <w:t>（2）事故现场应急的直接指挥和协调；</w:t>
            </w:r>
          </w:p>
          <w:p>
            <w:pPr>
              <w:widowControl/>
              <w:jc w:val="center"/>
              <w:rPr>
                <w:rFonts w:asciiTheme="minorHAnsi" w:hAnsiTheme="minorHAnsi" w:eastAsiaTheme="minorEastAsia" w:cstheme="minorBidi"/>
                <w:color w:val="000000" w:themeColor="text1"/>
                <w:kern w:val="0"/>
                <w:sz w:val="21"/>
                <w:szCs w:val="21"/>
                <w:lang w:eastAsia="zh-CN"/>
                <w14:textFill>
                  <w14:solidFill>
                    <w14:schemeClr w14:val="tx1"/>
                  </w14:solidFill>
                </w14:textFill>
              </w:rPr>
            </w:pPr>
            <w:r>
              <w:rPr>
                <w:rFonts w:asciiTheme="minorHAnsi" w:hAnsiTheme="minorHAnsi" w:eastAsiaTheme="minorEastAsia" w:cstheme="minorBidi"/>
                <w:color w:val="000000" w:themeColor="text1"/>
                <w:kern w:val="0"/>
                <w:sz w:val="21"/>
                <w:szCs w:val="21"/>
                <w:lang w:eastAsia="zh-CN"/>
                <w14:textFill>
                  <w14:solidFill>
                    <w14:schemeClr w14:val="tx1"/>
                  </w14:solidFill>
                </w14:textFill>
              </w:rPr>
              <w:t>（3）对应急行动提出建议；</w:t>
            </w:r>
          </w:p>
          <w:p>
            <w:pPr>
              <w:widowControl/>
              <w:jc w:val="center"/>
              <w:rPr>
                <w:rFonts w:asciiTheme="minorHAnsi" w:hAnsiTheme="minorHAnsi" w:eastAsiaTheme="minorEastAsia" w:cstheme="minorBidi"/>
                <w:color w:val="000000" w:themeColor="text1"/>
                <w:kern w:val="0"/>
                <w:sz w:val="21"/>
                <w:szCs w:val="21"/>
                <w:lang w:eastAsia="zh-CN"/>
                <w14:textFill>
                  <w14:solidFill>
                    <w14:schemeClr w14:val="tx1"/>
                  </w14:solidFill>
                </w14:textFill>
              </w:rPr>
            </w:pPr>
            <w:r>
              <w:rPr>
                <w:rFonts w:asciiTheme="minorHAnsi" w:hAnsiTheme="minorHAnsi" w:eastAsiaTheme="minorEastAsia" w:cstheme="minorBidi"/>
                <w:color w:val="000000" w:themeColor="text1"/>
                <w:kern w:val="0"/>
                <w:sz w:val="21"/>
                <w:szCs w:val="21"/>
                <w:lang w:eastAsia="zh-CN"/>
                <w14:textFill>
                  <w14:solidFill>
                    <w14:schemeClr w14:val="tx1"/>
                  </w14:solidFill>
                </w14:textFill>
              </w:rPr>
              <w:t>（4）负责企业人员的应急行动的顺利执行；</w:t>
            </w:r>
          </w:p>
          <w:p>
            <w:pPr>
              <w:widowControl/>
              <w:jc w:val="center"/>
              <w:rPr>
                <w:rFonts w:asciiTheme="minorHAnsi" w:hAnsiTheme="minorHAnsi" w:eastAsiaTheme="minorEastAsia" w:cstheme="minorBidi"/>
                <w:color w:val="000000" w:themeColor="text1"/>
                <w:kern w:val="0"/>
                <w:sz w:val="21"/>
                <w:szCs w:val="21"/>
                <w:lang w:eastAsia="zh-CN"/>
                <w14:textFill>
                  <w14:solidFill>
                    <w14:schemeClr w14:val="tx1"/>
                  </w14:solidFill>
                </w14:textFill>
              </w:rPr>
            </w:pPr>
            <w:r>
              <w:rPr>
                <w:rFonts w:asciiTheme="minorHAnsi" w:hAnsiTheme="minorHAnsi" w:eastAsiaTheme="minorEastAsia" w:cstheme="minorBidi"/>
                <w:color w:val="000000" w:themeColor="text1"/>
                <w:kern w:val="0"/>
                <w:sz w:val="21"/>
                <w:szCs w:val="21"/>
                <w:lang w:eastAsia="zh-CN"/>
                <w14:textFill>
                  <w14:solidFill>
                    <w14:schemeClr w14:val="tx1"/>
                  </w14:solidFill>
                </w14:textFill>
              </w:rPr>
              <w:t>（5）控制现场出现的紧急情况；</w:t>
            </w:r>
          </w:p>
          <w:p>
            <w:pPr>
              <w:widowControl/>
              <w:jc w:val="center"/>
              <w:rPr>
                <w:rFonts w:asciiTheme="minorHAnsi" w:hAnsiTheme="minorHAnsi" w:eastAsiaTheme="minorEastAsia" w:cstheme="minorBidi"/>
                <w:color w:val="000000" w:themeColor="text1"/>
                <w:kern w:val="0"/>
                <w:sz w:val="21"/>
                <w:szCs w:val="21"/>
                <w:lang w:eastAsia="zh-CN"/>
                <w14:textFill>
                  <w14:solidFill>
                    <w14:schemeClr w14:val="tx1"/>
                  </w14:solidFill>
                </w14:textFill>
              </w:rPr>
            </w:pPr>
            <w:r>
              <w:rPr>
                <w:rFonts w:asciiTheme="minorHAnsi" w:hAnsiTheme="minorHAnsi" w:eastAsiaTheme="minorEastAsia" w:cstheme="minorBidi"/>
                <w:color w:val="000000" w:themeColor="text1"/>
                <w:kern w:val="0"/>
                <w:sz w:val="21"/>
                <w:szCs w:val="21"/>
                <w:lang w:eastAsia="zh-CN"/>
                <w14:textFill>
                  <w14:solidFill>
                    <w14:schemeClr w14:val="tx1"/>
                  </w14:solidFill>
                </w14:textFill>
              </w:rPr>
              <w:t>（6）现场应急行动与场外人员操作指挥的协调。</w:t>
            </w:r>
          </w:p>
        </w:tc>
      </w:tr>
      <w:tr>
        <w:tblPrEx>
          <w:tblBorders>
            <w:top w:val="single" w:color="404040" w:sz="12" w:space="0"/>
            <w:left w:val="single" w:color="404040" w:sz="12" w:space="0"/>
            <w:bottom w:val="single" w:color="404040" w:sz="12" w:space="0"/>
            <w:right w:val="single" w:color="404040" w:sz="12" w:space="0"/>
            <w:insideH w:val="single" w:color="404040" w:sz="12" w:space="0"/>
            <w:insideV w:val="single" w:color="404040" w:sz="12" w:space="0"/>
          </w:tblBorders>
          <w:tblLayout w:type="fixed"/>
          <w:tblCellMar>
            <w:top w:w="0" w:type="dxa"/>
            <w:left w:w="0" w:type="dxa"/>
            <w:bottom w:w="0" w:type="dxa"/>
            <w:right w:w="0" w:type="dxa"/>
          </w:tblCellMar>
        </w:tblPrEx>
        <w:trPr>
          <w:trHeight w:val="1560" w:hRule="atLeast"/>
        </w:trPr>
        <w:tc>
          <w:tcPr>
            <w:tcW w:w="1244" w:type="dxa"/>
            <w:tcBorders>
              <w:top w:val="single" w:color="404040" w:sz="4" w:space="0"/>
              <w:left w:val="single" w:color="auto" w:sz="12" w:space="0"/>
              <w:bottom w:val="single" w:color="404040" w:sz="4" w:space="0"/>
              <w:right w:val="single" w:color="404040" w:sz="4" w:space="0"/>
            </w:tcBorders>
            <w:vAlign w:val="center"/>
          </w:tcPr>
          <w:p>
            <w:pPr>
              <w:widowControl/>
              <w:jc w:val="center"/>
              <w:rPr>
                <w:rFonts w:asciiTheme="minorHAnsi" w:hAnsiTheme="minorHAnsi" w:eastAsiaTheme="minorEastAsia" w:cstheme="minorBidi"/>
                <w:color w:val="000000" w:themeColor="text1"/>
                <w:kern w:val="0"/>
                <w:sz w:val="21"/>
                <w:szCs w:val="21"/>
                <w:lang w:eastAsia="en-US"/>
                <w14:textFill>
                  <w14:solidFill>
                    <w14:schemeClr w14:val="tx1"/>
                  </w14:solidFill>
                </w14:textFill>
              </w:rPr>
            </w:pPr>
            <w:r>
              <w:rPr>
                <w:rFonts w:asciiTheme="minorHAnsi" w:hAnsiTheme="minorHAnsi" w:eastAsiaTheme="minorEastAsia" w:cstheme="minorBidi"/>
                <w:color w:val="000000" w:themeColor="text1"/>
                <w:kern w:val="0"/>
                <w:sz w:val="21"/>
                <w:szCs w:val="21"/>
                <w:lang w:eastAsia="en-US"/>
                <w14:textFill>
                  <w14:solidFill>
                    <w14:schemeClr w14:val="tx1"/>
                  </w14:solidFill>
                </w14:textFill>
              </w:rPr>
              <w:t>应急办公室</w:t>
            </w:r>
          </w:p>
        </w:tc>
        <w:tc>
          <w:tcPr>
            <w:tcW w:w="1772" w:type="dxa"/>
            <w:tcBorders>
              <w:top w:val="single" w:color="404040" w:sz="4" w:space="0"/>
              <w:left w:val="single" w:color="404040" w:sz="4" w:space="0"/>
              <w:bottom w:val="single" w:color="404040" w:sz="4" w:space="0"/>
              <w:right w:val="single" w:color="404040" w:sz="4" w:space="0"/>
            </w:tcBorders>
            <w:vAlign w:val="center"/>
          </w:tcPr>
          <w:p>
            <w:pPr>
              <w:widowControl/>
              <w:jc w:val="center"/>
              <w:rPr>
                <w:rFonts w:asciiTheme="minorHAnsi" w:hAnsiTheme="minorHAnsi" w:eastAsiaTheme="minorEastAsia" w:cstheme="minorBidi"/>
                <w:color w:val="000000" w:themeColor="text1"/>
                <w:kern w:val="0"/>
                <w:sz w:val="21"/>
                <w:szCs w:val="21"/>
                <w:lang w:eastAsia="en-US"/>
                <w14:textFill>
                  <w14:solidFill>
                    <w14:schemeClr w14:val="tx1"/>
                  </w14:solidFill>
                </w14:textFill>
              </w:rPr>
            </w:pPr>
            <w:r>
              <w:rPr>
                <w:rFonts w:asciiTheme="minorHAnsi" w:hAnsiTheme="minorHAnsi" w:eastAsiaTheme="minorEastAsia" w:cstheme="minorBidi"/>
                <w:color w:val="000000" w:themeColor="text1"/>
                <w:kern w:val="0"/>
                <w:sz w:val="21"/>
                <w:szCs w:val="21"/>
                <w:lang w:eastAsia="en-US"/>
                <w14:textFill>
                  <w14:solidFill>
                    <w14:schemeClr w14:val="tx1"/>
                  </w14:solidFill>
                </w14:textFill>
              </w:rPr>
              <w:t>主任</w:t>
            </w:r>
          </w:p>
        </w:tc>
        <w:tc>
          <w:tcPr>
            <w:tcW w:w="4253" w:type="dxa"/>
            <w:tcBorders>
              <w:top w:val="single" w:color="404040" w:sz="4" w:space="0"/>
              <w:left w:val="single" w:color="404040" w:sz="4" w:space="0"/>
              <w:bottom w:val="single" w:color="404040" w:sz="4" w:space="0"/>
              <w:right w:val="single" w:color="404040" w:sz="4" w:space="0"/>
            </w:tcBorders>
            <w:vAlign w:val="center"/>
          </w:tcPr>
          <w:p>
            <w:pPr>
              <w:widowControl/>
              <w:jc w:val="center"/>
              <w:rPr>
                <w:rFonts w:asciiTheme="minorHAnsi" w:hAnsiTheme="minorHAnsi" w:eastAsiaTheme="minorEastAsia" w:cstheme="minorBidi"/>
                <w:color w:val="000000" w:themeColor="text1"/>
                <w:kern w:val="0"/>
                <w:sz w:val="21"/>
                <w:szCs w:val="21"/>
                <w:lang w:eastAsia="zh-CN"/>
                <w14:textFill>
                  <w14:solidFill>
                    <w14:schemeClr w14:val="tx1"/>
                  </w14:solidFill>
                </w14:textFill>
              </w:rPr>
            </w:pPr>
            <w:r>
              <w:rPr>
                <w:rFonts w:asciiTheme="minorHAnsi" w:hAnsiTheme="minorHAnsi" w:eastAsiaTheme="minorEastAsia" w:cstheme="minorBidi"/>
                <w:color w:val="000000" w:themeColor="text1"/>
                <w:kern w:val="0"/>
                <w:sz w:val="21"/>
                <w:szCs w:val="21"/>
                <w:lang w:eastAsia="zh-CN"/>
                <w14:textFill>
                  <w14:solidFill>
                    <w14:schemeClr w14:val="tx1"/>
                  </w14:solidFill>
                </w14:textFill>
              </w:rPr>
              <w:t>（1）负责组织应急预案制定、修订工作；</w:t>
            </w:r>
          </w:p>
          <w:p>
            <w:pPr>
              <w:widowControl/>
              <w:jc w:val="center"/>
              <w:rPr>
                <w:rFonts w:asciiTheme="minorHAnsi" w:hAnsiTheme="minorHAnsi" w:eastAsiaTheme="minorEastAsia" w:cstheme="minorBidi"/>
                <w:color w:val="000000" w:themeColor="text1"/>
                <w:kern w:val="0"/>
                <w:sz w:val="21"/>
                <w:szCs w:val="21"/>
                <w:lang w:eastAsia="zh-CN"/>
                <w14:textFill>
                  <w14:solidFill>
                    <w14:schemeClr w14:val="tx1"/>
                  </w14:solidFill>
                </w14:textFill>
              </w:rPr>
            </w:pPr>
            <w:r>
              <w:rPr>
                <w:rFonts w:asciiTheme="minorHAnsi" w:hAnsiTheme="minorHAnsi" w:eastAsiaTheme="minorEastAsia" w:cstheme="minorBidi"/>
                <w:color w:val="000000" w:themeColor="text1"/>
                <w:kern w:val="0"/>
                <w:sz w:val="21"/>
                <w:szCs w:val="21"/>
                <w:lang w:eastAsia="zh-CN"/>
                <w14:textFill>
                  <w14:solidFill>
                    <w14:schemeClr w14:val="tx1"/>
                  </w14:solidFill>
                </w14:textFill>
              </w:rPr>
              <w:t>（2）负责公司应急预案的日常管理工作；</w:t>
            </w:r>
          </w:p>
          <w:p>
            <w:pPr>
              <w:widowControl/>
              <w:jc w:val="center"/>
              <w:rPr>
                <w:rFonts w:asciiTheme="minorHAnsi" w:hAnsiTheme="minorHAnsi" w:eastAsiaTheme="minorEastAsia" w:cstheme="minorBidi"/>
                <w:color w:val="000000" w:themeColor="text1"/>
                <w:kern w:val="0"/>
                <w:sz w:val="21"/>
                <w:szCs w:val="21"/>
                <w:lang w:eastAsia="zh-CN"/>
                <w14:textFill>
                  <w14:solidFill>
                    <w14:schemeClr w14:val="tx1"/>
                  </w14:solidFill>
                </w14:textFill>
              </w:rPr>
            </w:pPr>
            <w:r>
              <w:rPr>
                <w:rFonts w:asciiTheme="minorHAnsi" w:hAnsiTheme="minorHAnsi" w:eastAsiaTheme="minorEastAsia" w:cstheme="minorBidi"/>
                <w:color w:val="000000" w:themeColor="text1"/>
                <w:kern w:val="0"/>
                <w:sz w:val="21"/>
                <w:szCs w:val="21"/>
                <w:lang w:eastAsia="zh-CN"/>
                <w14:textFill>
                  <w14:solidFill>
                    <w14:schemeClr w14:val="tx1"/>
                  </w14:solidFill>
                </w14:textFill>
              </w:rPr>
              <w:t>（3）负责日常的接警工作；</w:t>
            </w:r>
          </w:p>
          <w:p>
            <w:pPr>
              <w:widowControl/>
              <w:jc w:val="center"/>
              <w:rPr>
                <w:rFonts w:asciiTheme="minorHAnsi" w:hAnsiTheme="minorHAnsi" w:eastAsiaTheme="minorEastAsia" w:cstheme="minorBidi"/>
                <w:color w:val="000000" w:themeColor="text1"/>
                <w:kern w:val="0"/>
                <w:sz w:val="21"/>
                <w:szCs w:val="21"/>
                <w:lang w:eastAsia="zh-CN"/>
                <w14:textFill>
                  <w14:solidFill>
                    <w14:schemeClr w14:val="tx1"/>
                  </w14:solidFill>
                </w14:textFill>
              </w:rPr>
            </w:pPr>
            <w:r>
              <w:rPr>
                <w:rFonts w:asciiTheme="minorHAnsi" w:hAnsiTheme="minorHAnsi" w:eastAsiaTheme="minorEastAsia" w:cstheme="minorBidi"/>
                <w:color w:val="000000" w:themeColor="text1"/>
                <w:kern w:val="0"/>
                <w:sz w:val="21"/>
                <w:szCs w:val="21"/>
                <w:lang w:eastAsia="zh-CN"/>
                <w14:textFill>
                  <w14:solidFill>
                    <w14:schemeClr w14:val="tx1"/>
                  </w14:solidFill>
                </w14:textFill>
              </w:rPr>
              <w:t>（4）组织应急的培训、演练等工作。</w:t>
            </w:r>
          </w:p>
        </w:tc>
        <w:tc>
          <w:tcPr>
            <w:tcW w:w="6721" w:type="dxa"/>
            <w:tcBorders>
              <w:top w:val="single" w:color="404040" w:sz="4" w:space="0"/>
              <w:left w:val="single" w:color="404040" w:sz="4" w:space="0"/>
              <w:bottom w:val="single" w:color="404040" w:sz="4" w:space="0"/>
              <w:right w:val="single" w:color="auto" w:sz="12" w:space="0"/>
            </w:tcBorders>
            <w:vAlign w:val="center"/>
          </w:tcPr>
          <w:p>
            <w:pPr>
              <w:widowControl/>
              <w:jc w:val="center"/>
              <w:rPr>
                <w:rFonts w:asciiTheme="minorHAnsi" w:hAnsiTheme="minorHAnsi" w:eastAsiaTheme="minorEastAsia" w:cstheme="minorBidi"/>
                <w:color w:val="000000" w:themeColor="text1"/>
                <w:kern w:val="0"/>
                <w:sz w:val="21"/>
                <w:szCs w:val="21"/>
                <w:lang w:eastAsia="zh-CN"/>
                <w14:textFill>
                  <w14:solidFill>
                    <w14:schemeClr w14:val="tx1"/>
                  </w14:solidFill>
                </w14:textFill>
              </w:rPr>
            </w:pPr>
            <w:r>
              <w:rPr>
                <w:rFonts w:asciiTheme="minorHAnsi" w:hAnsiTheme="minorHAnsi" w:eastAsiaTheme="minorEastAsia" w:cstheme="minorBidi"/>
                <w:color w:val="000000" w:themeColor="text1"/>
                <w:kern w:val="0"/>
                <w:sz w:val="21"/>
                <w:szCs w:val="21"/>
                <w:lang w:eastAsia="zh-CN"/>
                <w14:textFill>
                  <w14:solidFill>
                    <w14:schemeClr w14:val="tx1"/>
                  </w14:solidFill>
                </w14:textFill>
              </w:rPr>
              <w:t>（1）上传下达指挥安排的应急任务；</w:t>
            </w:r>
          </w:p>
          <w:p>
            <w:pPr>
              <w:widowControl/>
              <w:jc w:val="center"/>
              <w:rPr>
                <w:rFonts w:asciiTheme="minorHAnsi" w:hAnsiTheme="minorHAnsi" w:eastAsiaTheme="minorEastAsia" w:cstheme="minorBidi"/>
                <w:color w:val="000000" w:themeColor="text1"/>
                <w:kern w:val="0"/>
                <w:sz w:val="21"/>
                <w:szCs w:val="21"/>
                <w:lang w:eastAsia="zh-CN"/>
                <w14:textFill>
                  <w14:solidFill>
                    <w14:schemeClr w14:val="tx1"/>
                  </w14:solidFill>
                </w14:textFill>
              </w:rPr>
            </w:pPr>
            <w:r>
              <w:rPr>
                <w:rFonts w:asciiTheme="minorHAnsi" w:hAnsiTheme="minorHAnsi" w:eastAsiaTheme="minorEastAsia" w:cstheme="minorBidi"/>
                <w:color w:val="000000" w:themeColor="text1"/>
                <w:kern w:val="0"/>
                <w:sz w:val="21"/>
                <w:szCs w:val="21"/>
                <w:lang w:eastAsia="zh-CN"/>
                <w14:textFill>
                  <w14:solidFill>
                    <w14:schemeClr w14:val="tx1"/>
                  </w14:solidFill>
                </w14:textFill>
              </w:rPr>
              <w:t>（2）负责人员配置、资源分配、应急队伍的调动；</w:t>
            </w:r>
          </w:p>
          <w:p>
            <w:pPr>
              <w:widowControl/>
              <w:jc w:val="center"/>
              <w:rPr>
                <w:rFonts w:asciiTheme="minorHAnsi" w:hAnsiTheme="minorHAnsi" w:eastAsiaTheme="minorEastAsia" w:cstheme="minorBidi"/>
                <w:color w:val="000000" w:themeColor="text1"/>
                <w:kern w:val="0"/>
                <w:sz w:val="21"/>
                <w:szCs w:val="21"/>
                <w:lang w:eastAsia="zh-CN"/>
                <w14:textFill>
                  <w14:solidFill>
                    <w14:schemeClr w14:val="tx1"/>
                  </w14:solidFill>
                </w14:textFill>
              </w:rPr>
            </w:pPr>
            <w:r>
              <w:rPr>
                <w:rFonts w:asciiTheme="minorHAnsi" w:hAnsiTheme="minorHAnsi" w:eastAsiaTheme="minorEastAsia" w:cstheme="minorBidi"/>
                <w:color w:val="000000" w:themeColor="text1"/>
                <w:kern w:val="0"/>
                <w:sz w:val="21"/>
                <w:szCs w:val="21"/>
                <w:lang w:eastAsia="zh-CN"/>
                <w14:textFill>
                  <w14:solidFill>
                    <w14:schemeClr w14:val="tx1"/>
                  </w14:solidFill>
                </w14:textFill>
              </w:rPr>
              <w:t>（3）事故信息的上报，并与相关的外部应急部门、组织和机构进行联络，及时通报应急信息；</w:t>
            </w:r>
          </w:p>
          <w:p>
            <w:pPr>
              <w:widowControl/>
              <w:jc w:val="center"/>
              <w:rPr>
                <w:rFonts w:asciiTheme="minorHAnsi" w:hAnsiTheme="minorHAnsi" w:eastAsiaTheme="minorEastAsia" w:cstheme="minorBidi"/>
                <w:color w:val="000000" w:themeColor="text1"/>
                <w:kern w:val="0"/>
                <w:sz w:val="21"/>
                <w:szCs w:val="21"/>
                <w:lang w:eastAsia="zh-CN"/>
                <w14:textFill>
                  <w14:solidFill>
                    <w14:schemeClr w14:val="tx1"/>
                  </w14:solidFill>
                </w14:textFill>
              </w:rPr>
            </w:pPr>
            <w:r>
              <w:rPr>
                <w:rFonts w:asciiTheme="minorHAnsi" w:hAnsiTheme="minorHAnsi" w:eastAsiaTheme="minorEastAsia" w:cstheme="minorBidi"/>
                <w:color w:val="000000" w:themeColor="text1"/>
                <w:kern w:val="0"/>
                <w:sz w:val="21"/>
                <w:szCs w:val="21"/>
                <w:lang w:eastAsia="zh-CN"/>
                <w14:textFill>
                  <w14:solidFill>
                    <w14:schemeClr w14:val="tx1"/>
                  </w14:solidFill>
                </w14:textFill>
              </w:rPr>
              <w:t>（4）负责保护事故发生后的相关数据。</w:t>
            </w:r>
          </w:p>
        </w:tc>
      </w:tr>
      <w:tr>
        <w:tblPrEx>
          <w:tblBorders>
            <w:top w:val="single" w:color="404040" w:sz="12" w:space="0"/>
            <w:left w:val="single" w:color="404040" w:sz="12" w:space="0"/>
            <w:bottom w:val="single" w:color="404040" w:sz="12" w:space="0"/>
            <w:right w:val="single" w:color="404040" w:sz="12" w:space="0"/>
            <w:insideH w:val="single" w:color="404040" w:sz="12" w:space="0"/>
            <w:insideV w:val="single" w:color="404040" w:sz="12" w:space="0"/>
          </w:tblBorders>
          <w:tblLayout w:type="fixed"/>
          <w:tblCellMar>
            <w:top w:w="0" w:type="dxa"/>
            <w:left w:w="0" w:type="dxa"/>
            <w:bottom w:w="0" w:type="dxa"/>
            <w:right w:w="0" w:type="dxa"/>
          </w:tblCellMar>
        </w:tblPrEx>
        <w:trPr>
          <w:trHeight w:val="312" w:hRule="atLeast"/>
        </w:trPr>
        <w:tc>
          <w:tcPr>
            <w:tcW w:w="13990" w:type="dxa"/>
            <w:gridSpan w:val="4"/>
            <w:tcBorders>
              <w:top w:val="single" w:color="404040" w:sz="4" w:space="0"/>
              <w:left w:val="single" w:color="auto" w:sz="12" w:space="0"/>
              <w:bottom w:val="single" w:color="404040" w:sz="4" w:space="0"/>
              <w:right w:val="single" w:color="auto" w:sz="12" w:space="0"/>
            </w:tcBorders>
            <w:vAlign w:val="center"/>
          </w:tcPr>
          <w:p>
            <w:pPr>
              <w:widowControl/>
              <w:jc w:val="center"/>
              <w:rPr>
                <w:rFonts w:asciiTheme="minorHAnsi" w:hAnsiTheme="minorHAnsi" w:eastAsiaTheme="minorEastAsia" w:cstheme="minorBidi"/>
                <w:color w:val="000000" w:themeColor="text1"/>
                <w:kern w:val="0"/>
                <w:sz w:val="21"/>
                <w:szCs w:val="21"/>
                <w:lang w:eastAsia="en-US"/>
                <w14:textFill>
                  <w14:solidFill>
                    <w14:schemeClr w14:val="tx1"/>
                  </w14:solidFill>
                </w14:textFill>
              </w:rPr>
            </w:pPr>
            <w:r>
              <w:rPr>
                <w:rFonts w:asciiTheme="minorHAnsi" w:hAnsiTheme="minorHAnsi" w:eastAsiaTheme="minorEastAsia" w:cstheme="minorBidi"/>
                <w:color w:val="000000" w:themeColor="text1"/>
                <w:kern w:val="0"/>
                <w:sz w:val="21"/>
                <w:szCs w:val="21"/>
                <w:lang w:eastAsia="en-US"/>
                <w14:textFill>
                  <w14:solidFill>
                    <w14:schemeClr w14:val="tx1"/>
                  </w14:solidFill>
                </w14:textFill>
              </w:rPr>
              <w:t>应急处置小组</w:t>
            </w:r>
          </w:p>
        </w:tc>
      </w:tr>
      <w:tr>
        <w:tblPrEx>
          <w:tblBorders>
            <w:top w:val="single" w:color="404040" w:sz="12" w:space="0"/>
            <w:left w:val="single" w:color="404040" w:sz="12" w:space="0"/>
            <w:bottom w:val="single" w:color="404040" w:sz="12" w:space="0"/>
            <w:right w:val="single" w:color="404040" w:sz="12" w:space="0"/>
            <w:insideH w:val="single" w:color="404040" w:sz="12" w:space="0"/>
            <w:insideV w:val="single" w:color="404040" w:sz="12" w:space="0"/>
          </w:tblBorders>
          <w:tblLayout w:type="fixed"/>
          <w:tblCellMar>
            <w:top w:w="0" w:type="dxa"/>
            <w:left w:w="0" w:type="dxa"/>
            <w:bottom w:w="0" w:type="dxa"/>
            <w:right w:w="0" w:type="dxa"/>
          </w:tblCellMar>
        </w:tblPrEx>
        <w:trPr>
          <w:trHeight w:val="309" w:hRule="atLeast"/>
        </w:trPr>
        <w:tc>
          <w:tcPr>
            <w:tcW w:w="1244" w:type="dxa"/>
            <w:tcBorders>
              <w:top w:val="single" w:color="404040" w:sz="4" w:space="0"/>
              <w:left w:val="single" w:color="auto" w:sz="12" w:space="0"/>
              <w:bottom w:val="single" w:color="404040" w:sz="4" w:space="0"/>
              <w:right w:val="single" w:color="404040" w:sz="4" w:space="0"/>
            </w:tcBorders>
            <w:vAlign w:val="center"/>
          </w:tcPr>
          <w:p>
            <w:pPr>
              <w:widowControl/>
              <w:jc w:val="center"/>
              <w:rPr>
                <w:rFonts w:asciiTheme="minorHAnsi" w:hAnsiTheme="minorHAnsi" w:eastAsiaTheme="minorEastAsia" w:cstheme="minorBidi"/>
                <w:color w:val="000000" w:themeColor="text1"/>
                <w:kern w:val="0"/>
                <w:sz w:val="21"/>
                <w:szCs w:val="21"/>
                <w:lang w:eastAsia="en-US"/>
                <w14:textFill>
                  <w14:solidFill>
                    <w14:schemeClr w14:val="tx1"/>
                  </w14:solidFill>
                </w14:textFill>
              </w:rPr>
            </w:pPr>
            <w:r>
              <w:rPr>
                <w:rFonts w:asciiTheme="minorHAnsi" w:hAnsiTheme="minorHAnsi" w:eastAsiaTheme="minorEastAsia" w:cstheme="minorBidi"/>
                <w:color w:val="000000" w:themeColor="text1"/>
                <w:kern w:val="0"/>
                <w:sz w:val="21"/>
                <w:szCs w:val="21"/>
                <w:lang w:eastAsia="en-US"/>
                <w14:textFill>
                  <w14:solidFill>
                    <w14:schemeClr w14:val="tx1"/>
                  </w14:solidFill>
                </w14:textFill>
              </w:rPr>
              <w:t>救援抢险组</w:t>
            </w:r>
          </w:p>
        </w:tc>
        <w:tc>
          <w:tcPr>
            <w:tcW w:w="1772" w:type="dxa"/>
            <w:tcBorders>
              <w:top w:val="single" w:color="404040" w:sz="4" w:space="0"/>
              <w:left w:val="single" w:color="404040" w:sz="4" w:space="0"/>
              <w:bottom w:val="single" w:color="404040" w:sz="4" w:space="0"/>
              <w:right w:val="single" w:color="404040" w:sz="4" w:space="0"/>
            </w:tcBorders>
            <w:vAlign w:val="center"/>
          </w:tcPr>
          <w:p>
            <w:pPr>
              <w:widowControl/>
              <w:jc w:val="center"/>
              <w:rPr>
                <w:rFonts w:asciiTheme="minorHAnsi" w:hAnsiTheme="minorHAnsi" w:eastAsiaTheme="minorEastAsia" w:cstheme="minorBidi"/>
                <w:color w:val="000000" w:themeColor="text1"/>
                <w:kern w:val="0"/>
                <w:sz w:val="21"/>
                <w:szCs w:val="21"/>
                <w:lang w:eastAsia="en-US"/>
                <w14:textFill>
                  <w14:solidFill>
                    <w14:schemeClr w14:val="tx1"/>
                  </w14:solidFill>
                </w14:textFill>
              </w:rPr>
            </w:pPr>
            <w:r>
              <w:rPr>
                <w:rFonts w:asciiTheme="minorHAnsi" w:hAnsiTheme="minorHAnsi" w:eastAsiaTheme="minorEastAsia" w:cstheme="minorBidi"/>
                <w:color w:val="000000" w:themeColor="text1"/>
                <w:kern w:val="0"/>
                <w:sz w:val="21"/>
                <w:szCs w:val="21"/>
                <w:lang w:eastAsia="en-US"/>
                <w14:textFill>
                  <w14:solidFill>
                    <w14:schemeClr w14:val="tx1"/>
                  </w14:solidFill>
                </w14:textFill>
              </w:rPr>
              <w:t>组长</w:t>
            </w:r>
          </w:p>
        </w:tc>
        <w:tc>
          <w:tcPr>
            <w:tcW w:w="4253" w:type="dxa"/>
            <w:tcBorders>
              <w:top w:val="single" w:color="404040" w:sz="4" w:space="0"/>
              <w:left w:val="single" w:color="404040" w:sz="4" w:space="0"/>
              <w:bottom w:val="single" w:color="404040" w:sz="4" w:space="0"/>
              <w:right w:val="single" w:color="404040" w:sz="4" w:space="0"/>
            </w:tcBorders>
            <w:vAlign w:val="center"/>
          </w:tcPr>
          <w:p>
            <w:pPr>
              <w:widowControl/>
              <w:jc w:val="center"/>
              <w:rPr>
                <w:rFonts w:asciiTheme="minorHAnsi" w:hAnsiTheme="minorHAnsi" w:eastAsiaTheme="minorEastAsia" w:cstheme="minorBidi"/>
                <w:color w:val="000000" w:themeColor="text1"/>
                <w:kern w:val="0"/>
                <w:sz w:val="21"/>
                <w:szCs w:val="21"/>
                <w:lang w:eastAsia="zh-CN"/>
                <w14:textFill>
                  <w14:solidFill>
                    <w14:schemeClr w14:val="tx1"/>
                  </w14:solidFill>
                </w14:textFill>
              </w:rPr>
            </w:pPr>
            <w:r>
              <w:rPr>
                <w:rFonts w:asciiTheme="minorHAnsi" w:hAnsiTheme="minorHAnsi" w:eastAsiaTheme="minorEastAsia" w:cstheme="minorBidi"/>
                <w:color w:val="000000" w:themeColor="text1"/>
                <w:kern w:val="0"/>
                <w:sz w:val="21"/>
                <w:szCs w:val="21"/>
                <w:lang w:eastAsia="zh-CN"/>
                <w14:textFill>
                  <w14:solidFill>
                    <w14:schemeClr w14:val="tx1"/>
                  </w14:solidFill>
                </w14:textFill>
              </w:rPr>
              <w:t>（1）熟悉疏散路线；管理好警戒疏散的物资；</w:t>
            </w:r>
          </w:p>
          <w:p>
            <w:pPr>
              <w:widowControl/>
              <w:jc w:val="center"/>
              <w:rPr>
                <w:rFonts w:asciiTheme="minorHAnsi" w:hAnsiTheme="minorHAnsi" w:eastAsiaTheme="minorEastAsia" w:cstheme="minorBidi"/>
                <w:color w:val="000000" w:themeColor="text1"/>
                <w:kern w:val="0"/>
                <w:sz w:val="21"/>
                <w:szCs w:val="21"/>
                <w:lang w:eastAsia="zh-CN"/>
                <w14:textFill>
                  <w14:solidFill>
                    <w14:schemeClr w14:val="tx1"/>
                  </w14:solidFill>
                </w14:textFill>
              </w:rPr>
            </w:pPr>
            <w:r>
              <w:rPr>
                <w:rFonts w:asciiTheme="minorHAnsi" w:hAnsiTheme="minorHAnsi" w:eastAsiaTheme="minorEastAsia" w:cstheme="minorBidi"/>
                <w:color w:val="000000" w:themeColor="text1"/>
                <w:kern w:val="0"/>
                <w:sz w:val="21"/>
                <w:szCs w:val="21"/>
                <w:lang w:eastAsia="zh-CN"/>
                <w14:textFill>
                  <w14:solidFill>
                    <w14:schemeClr w14:val="tx1"/>
                  </w14:solidFill>
                </w14:textFill>
              </w:rPr>
              <w:t>（2）负责用电设施、车辆的维护及保养等；</w:t>
            </w:r>
          </w:p>
          <w:p>
            <w:pPr>
              <w:widowControl/>
              <w:jc w:val="center"/>
              <w:rPr>
                <w:rFonts w:asciiTheme="minorHAnsi" w:hAnsiTheme="minorHAnsi" w:eastAsiaTheme="minorEastAsia" w:cstheme="minorBidi"/>
                <w:color w:val="000000" w:themeColor="text1"/>
                <w:kern w:val="0"/>
                <w:sz w:val="21"/>
                <w:szCs w:val="21"/>
                <w:lang w:eastAsia="zh-CN"/>
                <w14:textFill>
                  <w14:solidFill>
                    <w14:schemeClr w14:val="tx1"/>
                  </w14:solidFill>
                </w14:textFill>
              </w:rPr>
            </w:pPr>
            <w:r>
              <w:rPr>
                <w:rFonts w:asciiTheme="minorHAnsi" w:hAnsiTheme="minorHAnsi" w:eastAsiaTheme="minorEastAsia" w:cstheme="minorBidi"/>
                <w:color w:val="000000" w:themeColor="text1"/>
                <w:kern w:val="0"/>
                <w:sz w:val="21"/>
                <w:szCs w:val="21"/>
                <w:lang w:eastAsia="zh-CN"/>
                <w14:textFill>
                  <w14:solidFill>
                    <w14:schemeClr w14:val="tx1"/>
                  </w14:solidFill>
                </w14:textFill>
              </w:rPr>
              <w:t>（3）参与相关培训及演练，熟悉应急工作。</w:t>
            </w:r>
          </w:p>
        </w:tc>
        <w:tc>
          <w:tcPr>
            <w:tcW w:w="6721" w:type="dxa"/>
            <w:tcBorders>
              <w:top w:val="single" w:color="404040" w:sz="4" w:space="0"/>
              <w:left w:val="single" w:color="404040" w:sz="4" w:space="0"/>
              <w:bottom w:val="single" w:color="404040" w:sz="4" w:space="0"/>
              <w:right w:val="single" w:color="auto" w:sz="12" w:space="0"/>
            </w:tcBorders>
            <w:vAlign w:val="center"/>
          </w:tcPr>
          <w:p>
            <w:pPr>
              <w:widowControl/>
              <w:jc w:val="center"/>
              <w:rPr>
                <w:rFonts w:asciiTheme="minorHAnsi" w:hAnsiTheme="minorHAnsi" w:eastAsiaTheme="minorEastAsia" w:cstheme="minorBidi"/>
                <w:color w:val="000000" w:themeColor="text1"/>
                <w:kern w:val="0"/>
                <w:sz w:val="21"/>
                <w:szCs w:val="21"/>
                <w:lang w:eastAsia="zh-CN"/>
                <w14:textFill>
                  <w14:solidFill>
                    <w14:schemeClr w14:val="tx1"/>
                  </w14:solidFill>
                </w14:textFill>
              </w:rPr>
            </w:pPr>
            <w:r>
              <w:rPr>
                <w:rFonts w:asciiTheme="minorHAnsi" w:hAnsiTheme="minorHAnsi" w:eastAsiaTheme="minorEastAsia" w:cstheme="minorBidi"/>
                <w:color w:val="000000" w:themeColor="text1"/>
                <w:kern w:val="0"/>
                <w:sz w:val="21"/>
                <w:szCs w:val="21"/>
                <w:lang w:eastAsia="zh-CN"/>
                <w14:textFill>
                  <w14:solidFill>
                    <w14:schemeClr w14:val="tx1"/>
                  </w14:solidFill>
                </w14:textFill>
              </w:rPr>
              <w:t>（1）阻止非抢险救援人员进入事故现场；负责现场车辆疏导；</w:t>
            </w:r>
          </w:p>
          <w:p>
            <w:pPr>
              <w:widowControl/>
              <w:jc w:val="center"/>
              <w:rPr>
                <w:rFonts w:asciiTheme="minorHAnsi" w:hAnsiTheme="minorHAnsi" w:eastAsiaTheme="minorEastAsia" w:cstheme="minorBidi"/>
                <w:color w:val="000000" w:themeColor="text1"/>
                <w:kern w:val="0"/>
                <w:sz w:val="21"/>
                <w:szCs w:val="21"/>
                <w:lang w:eastAsia="zh-CN"/>
                <w14:textFill>
                  <w14:solidFill>
                    <w14:schemeClr w14:val="tx1"/>
                  </w14:solidFill>
                </w14:textFill>
              </w:rPr>
            </w:pPr>
            <w:r>
              <w:rPr>
                <w:rFonts w:asciiTheme="minorHAnsi" w:hAnsiTheme="minorHAnsi" w:eastAsiaTheme="minorEastAsia" w:cstheme="minorBidi"/>
                <w:color w:val="000000" w:themeColor="text1"/>
                <w:kern w:val="0"/>
                <w:sz w:val="21"/>
                <w:szCs w:val="21"/>
                <w:lang w:eastAsia="zh-CN"/>
                <w14:textFill>
                  <w14:solidFill>
                    <w14:schemeClr w14:val="tx1"/>
                  </w14:solidFill>
                </w14:textFill>
              </w:rPr>
              <w:t>（2）根据指挥部的指令及时疏散人员；</w:t>
            </w:r>
          </w:p>
          <w:p>
            <w:pPr>
              <w:widowControl/>
              <w:jc w:val="center"/>
              <w:rPr>
                <w:rFonts w:asciiTheme="minorHAnsi" w:hAnsiTheme="minorHAnsi" w:eastAsiaTheme="minorEastAsia" w:cstheme="minorBidi"/>
                <w:color w:val="000000" w:themeColor="text1"/>
                <w:kern w:val="0"/>
                <w:sz w:val="21"/>
                <w:szCs w:val="21"/>
                <w:lang w:eastAsia="zh-CN"/>
                <w14:textFill>
                  <w14:solidFill>
                    <w14:schemeClr w14:val="tx1"/>
                  </w14:solidFill>
                </w14:textFill>
              </w:rPr>
            </w:pPr>
            <w:r>
              <w:rPr>
                <w:rFonts w:asciiTheme="minorHAnsi" w:hAnsiTheme="minorHAnsi" w:eastAsiaTheme="minorEastAsia" w:cstheme="minorBidi"/>
                <w:color w:val="000000" w:themeColor="text1"/>
                <w:kern w:val="0"/>
                <w:sz w:val="21"/>
                <w:szCs w:val="21"/>
                <w:lang w:eastAsia="zh-CN"/>
                <w14:textFill>
                  <w14:solidFill>
                    <w14:schemeClr w14:val="tx1"/>
                  </w14:solidFill>
                </w14:textFill>
              </w:rPr>
              <w:t>（3）维持港区内治安秩序；</w:t>
            </w:r>
          </w:p>
          <w:p>
            <w:pPr>
              <w:widowControl/>
              <w:jc w:val="center"/>
              <w:rPr>
                <w:rFonts w:asciiTheme="minorHAnsi" w:hAnsiTheme="minorHAnsi" w:eastAsiaTheme="minorEastAsia" w:cstheme="minorBidi"/>
                <w:color w:val="000000" w:themeColor="text1"/>
                <w:kern w:val="0"/>
                <w:sz w:val="21"/>
                <w:szCs w:val="21"/>
                <w:lang w:eastAsia="zh-CN"/>
                <w14:textFill>
                  <w14:solidFill>
                    <w14:schemeClr w14:val="tx1"/>
                  </w14:solidFill>
                </w14:textFill>
              </w:rPr>
            </w:pPr>
            <w:r>
              <w:rPr>
                <w:rFonts w:asciiTheme="minorHAnsi" w:hAnsiTheme="minorHAnsi" w:eastAsiaTheme="minorEastAsia" w:cstheme="minorBidi"/>
                <w:color w:val="000000" w:themeColor="text1"/>
                <w:kern w:val="0"/>
                <w:sz w:val="21"/>
                <w:szCs w:val="21"/>
                <w:lang w:eastAsia="zh-CN"/>
                <w14:textFill>
                  <w14:solidFill>
                    <w14:schemeClr w14:val="tx1"/>
                  </w14:solidFill>
                </w14:textFill>
              </w:rPr>
              <w:t>（1）负责港区内事故现场隔离区域和疏散区域的警戒和交通管制；</w:t>
            </w:r>
          </w:p>
          <w:p>
            <w:pPr>
              <w:widowControl/>
              <w:jc w:val="center"/>
              <w:rPr>
                <w:rFonts w:asciiTheme="minorHAnsi" w:hAnsiTheme="minorHAnsi" w:eastAsiaTheme="minorEastAsia" w:cstheme="minorBidi"/>
                <w:color w:val="000000" w:themeColor="text1"/>
                <w:kern w:val="0"/>
                <w:sz w:val="21"/>
                <w:szCs w:val="21"/>
                <w:lang w:eastAsia="zh-CN"/>
                <w14:textFill>
                  <w14:solidFill>
                    <w14:schemeClr w14:val="tx1"/>
                  </w14:solidFill>
                </w14:textFill>
              </w:rPr>
            </w:pPr>
            <w:r>
              <w:rPr>
                <w:rFonts w:asciiTheme="minorHAnsi" w:hAnsiTheme="minorHAnsi" w:eastAsiaTheme="minorEastAsia" w:cstheme="minorBidi"/>
                <w:color w:val="000000" w:themeColor="text1"/>
                <w:kern w:val="0"/>
                <w:sz w:val="21"/>
                <w:szCs w:val="21"/>
                <w:lang w:eastAsia="zh-CN"/>
                <w14:textFill>
                  <w14:solidFill>
                    <w14:schemeClr w14:val="tx1"/>
                  </w14:solidFill>
                </w14:textFill>
              </w:rPr>
              <w:t>（2）确保各专业队与场内事故现场指挥部广播和通讯的畅通；</w:t>
            </w:r>
          </w:p>
          <w:p>
            <w:pPr>
              <w:widowControl/>
              <w:jc w:val="center"/>
              <w:rPr>
                <w:rFonts w:asciiTheme="minorHAnsi" w:hAnsiTheme="minorHAnsi" w:eastAsiaTheme="minorEastAsia" w:cstheme="minorBidi"/>
                <w:color w:val="000000" w:themeColor="text1"/>
                <w:kern w:val="0"/>
                <w:sz w:val="21"/>
                <w:szCs w:val="21"/>
                <w:lang w:eastAsia="zh-CN"/>
                <w14:textFill>
                  <w14:solidFill>
                    <w14:schemeClr w14:val="tx1"/>
                  </w14:solidFill>
                </w14:textFill>
              </w:rPr>
            </w:pPr>
            <w:r>
              <w:rPr>
                <w:rFonts w:asciiTheme="minorHAnsi" w:hAnsiTheme="minorHAnsi" w:eastAsiaTheme="minorEastAsia" w:cstheme="minorBidi"/>
                <w:color w:val="000000" w:themeColor="text1"/>
                <w:kern w:val="0"/>
                <w:sz w:val="21"/>
                <w:szCs w:val="21"/>
                <w:lang w:eastAsia="zh-CN"/>
                <w14:textFill>
                  <w14:solidFill>
                    <w14:schemeClr w14:val="tx1"/>
                  </w14:solidFill>
                </w14:textFill>
              </w:rPr>
              <w:t>（3）负责修复用电设施或敷设临时线路，保证事故用电，维修各种造成损害的其他急用设备设施；</w:t>
            </w:r>
          </w:p>
          <w:p>
            <w:pPr>
              <w:widowControl/>
              <w:jc w:val="center"/>
              <w:rPr>
                <w:rFonts w:asciiTheme="minorHAnsi" w:hAnsiTheme="minorHAnsi" w:eastAsiaTheme="minorEastAsia" w:cstheme="minorBidi"/>
                <w:color w:val="000000" w:themeColor="text1"/>
                <w:kern w:val="0"/>
                <w:sz w:val="21"/>
                <w:szCs w:val="21"/>
                <w:lang w:eastAsia="zh-CN"/>
                <w14:textFill>
                  <w14:solidFill>
                    <w14:schemeClr w14:val="tx1"/>
                  </w14:solidFill>
                </w14:textFill>
              </w:rPr>
            </w:pPr>
            <w:r>
              <w:rPr>
                <w:rFonts w:asciiTheme="minorHAnsi" w:hAnsiTheme="minorHAnsi" w:eastAsiaTheme="minorEastAsia" w:cstheme="minorBidi"/>
                <w:color w:val="000000" w:themeColor="text1"/>
                <w:kern w:val="0"/>
                <w:sz w:val="21"/>
                <w:szCs w:val="21"/>
                <w:lang w:eastAsia="zh-CN"/>
                <w14:textFill>
                  <w14:solidFill>
                    <w14:schemeClr w14:val="tx1"/>
                  </w14:solidFill>
                </w14:textFill>
              </w:rPr>
              <w:t>（4）按组长部命令，恢复供电或切断电源。</w:t>
            </w:r>
          </w:p>
        </w:tc>
      </w:tr>
      <w:tr>
        <w:tblPrEx>
          <w:tblBorders>
            <w:top w:val="single" w:color="404040" w:sz="12" w:space="0"/>
            <w:left w:val="single" w:color="404040" w:sz="12" w:space="0"/>
            <w:bottom w:val="single" w:color="404040" w:sz="12" w:space="0"/>
            <w:right w:val="single" w:color="404040" w:sz="12" w:space="0"/>
            <w:insideH w:val="single" w:color="404040" w:sz="12" w:space="0"/>
            <w:insideV w:val="single" w:color="404040" w:sz="12" w:space="0"/>
          </w:tblBorders>
          <w:tblLayout w:type="fixed"/>
          <w:tblCellMar>
            <w:top w:w="0" w:type="dxa"/>
            <w:left w:w="0" w:type="dxa"/>
            <w:bottom w:w="0" w:type="dxa"/>
            <w:right w:w="0" w:type="dxa"/>
          </w:tblCellMar>
        </w:tblPrEx>
        <w:trPr>
          <w:trHeight w:val="309" w:hRule="atLeast"/>
        </w:trPr>
        <w:tc>
          <w:tcPr>
            <w:tcW w:w="1244" w:type="dxa"/>
            <w:tcBorders>
              <w:top w:val="single" w:color="404040" w:sz="4" w:space="0"/>
              <w:left w:val="single" w:color="auto" w:sz="12" w:space="0"/>
              <w:bottom w:val="single" w:color="404040" w:sz="4" w:space="0"/>
              <w:right w:val="single" w:color="404040" w:sz="4" w:space="0"/>
            </w:tcBorders>
            <w:vAlign w:val="center"/>
          </w:tcPr>
          <w:p>
            <w:pPr>
              <w:widowControl/>
              <w:jc w:val="center"/>
              <w:rPr>
                <w:rFonts w:asciiTheme="minorHAnsi" w:hAnsiTheme="minorHAnsi" w:eastAsiaTheme="minorEastAsia" w:cstheme="minorBidi"/>
                <w:color w:val="000000" w:themeColor="text1"/>
                <w:kern w:val="0"/>
                <w:sz w:val="21"/>
                <w:szCs w:val="21"/>
                <w:lang w:eastAsia="en-US"/>
                <w14:textFill>
                  <w14:solidFill>
                    <w14:schemeClr w14:val="tx1"/>
                  </w14:solidFill>
                </w14:textFill>
              </w:rPr>
            </w:pPr>
            <w:r>
              <w:rPr>
                <w:rFonts w:asciiTheme="minorHAnsi" w:hAnsiTheme="minorHAnsi" w:eastAsiaTheme="minorEastAsia" w:cstheme="minorBidi"/>
                <w:color w:val="000000" w:themeColor="text1"/>
                <w:kern w:val="0"/>
                <w:sz w:val="21"/>
                <w:szCs w:val="21"/>
                <w:lang w:eastAsia="en-US"/>
                <w14:textFill>
                  <w14:solidFill>
                    <w14:schemeClr w14:val="tx1"/>
                  </w14:solidFill>
                </w14:textFill>
              </w:rPr>
              <w:t>后勤保障组</w:t>
            </w:r>
          </w:p>
        </w:tc>
        <w:tc>
          <w:tcPr>
            <w:tcW w:w="1772" w:type="dxa"/>
            <w:tcBorders>
              <w:top w:val="single" w:color="404040" w:sz="4" w:space="0"/>
              <w:left w:val="single" w:color="404040" w:sz="4" w:space="0"/>
              <w:bottom w:val="single" w:color="404040" w:sz="4" w:space="0"/>
              <w:right w:val="single" w:color="404040" w:sz="4" w:space="0"/>
            </w:tcBorders>
            <w:vAlign w:val="center"/>
          </w:tcPr>
          <w:p>
            <w:pPr>
              <w:widowControl/>
              <w:jc w:val="center"/>
              <w:rPr>
                <w:rFonts w:asciiTheme="minorHAnsi" w:hAnsiTheme="minorHAnsi" w:eastAsiaTheme="minorEastAsia" w:cstheme="minorBidi"/>
                <w:color w:val="000000" w:themeColor="text1"/>
                <w:kern w:val="0"/>
                <w:sz w:val="21"/>
                <w:szCs w:val="21"/>
                <w:lang w:eastAsia="en-US"/>
                <w14:textFill>
                  <w14:solidFill>
                    <w14:schemeClr w14:val="tx1"/>
                  </w14:solidFill>
                </w14:textFill>
              </w:rPr>
            </w:pPr>
            <w:r>
              <w:rPr>
                <w:rFonts w:asciiTheme="minorHAnsi" w:hAnsiTheme="minorHAnsi" w:eastAsiaTheme="minorEastAsia" w:cstheme="minorBidi"/>
                <w:color w:val="000000" w:themeColor="text1"/>
                <w:kern w:val="0"/>
                <w:sz w:val="21"/>
                <w:szCs w:val="21"/>
                <w:lang w:eastAsia="en-US"/>
                <w14:textFill>
                  <w14:solidFill>
                    <w14:schemeClr w14:val="tx1"/>
                  </w14:solidFill>
                </w14:textFill>
              </w:rPr>
              <w:t>组长</w:t>
            </w:r>
          </w:p>
        </w:tc>
        <w:tc>
          <w:tcPr>
            <w:tcW w:w="4253" w:type="dxa"/>
            <w:tcBorders>
              <w:top w:val="single" w:color="404040" w:sz="4" w:space="0"/>
              <w:left w:val="single" w:color="404040" w:sz="4" w:space="0"/>
              <w:bottom w:val="single" w:color="404040" w:sz="4" w:space="0"/>
              <w:right w:val="single" w:color="404040" w:sz="4" w:space="0"/>
            </w:tcBorders>
            <w:vAlign w:val="center"/>
          </w:tcPr>
          <w:p>
            <w:pPr>
              <w:widowControl/>
              <w:jc w:val="center"/>
              <w:rPr>
                <w:rFonts w:asciiTheme="minorHAnsi" w:hAnsiTheme="minorHAnsi" w:eastAsiaTheme="minorEastAsia" w:cstheme="minorBidi"/>
                <w:color w:val="000000" w:themeColor="text1"/>
                <w:kern w:val="0"/>
                <w:sz w:val="21"/>
                <w:szCs w:val="21"/>
                <w:lang w:eastAsia="zh-CN"/>
                <w14:textFill>
                  <w14:solidFill>
                    <w14:schemeClr w14:val="tx1"/>
                  </w14:solidFill>
                </w14:textFill>
              </w:rPr>
            </w:pPr>
            <w:r>
              <w:rPr>
                <w:rFonts w:asciiTheme="minorHAnsi" w:hAnsiTheme="minorHAnsi" w:eastAsiaTheme="minorEastAsia" w:cstheme="minorBidi"/>
                <w:color w:val="000000" w:themeColor="text1"/>
                <w:kern w:val="0"/>
                <w:sz w:val="21"/>
                <w:szCs w:val="21"/>
                <w:lang w:eastAsia="zh-CN"/>
                <w14:textFill>
                  <w14:solidFill>
                    <w14:schemeClr w14:val="tx1"/>
                  </w14:solidFill>
                </w14:textFill>
              </w:rPr>
              <w:t>（1）负责人员救护及救援行动所需物资的准备及维护等管理工作；</w:t>
            </w:r>
          </w:p>
          <w:p>
            <w:pPr>
              <w:widowControl/>
              <w:jc w:val="center"/>
              <w:rPr>
                <w:rFonts w:asciiTheme="minorHAnsi" w:hAnsiTheme="minorHAnsi" w:eastAsiaTheme="minorEastAsia" w:cstheme="minorBidi"/>
                <w:color w:val="000000" w:themeColor="text1"/>
                <w:kern w:val="0"/>
                <w:sz w:val="21"/>
                <w:szCs w:val="21"/>
                <w:lang w:eastAsia="zh-CN"/>
                <w14:textFill>
                  <w14:solidFill>
                    <w14:schemeClr w14:val="tx1"/>
                  </w14:solidFill>
                </w14:textFill>
              </w:rPr>
            </w:pPr>
            <w:r>
              <w:rPr>
                <w:rFonts w:asciiTheme="minorHAnsi" w:hAnsiTheme="minorHAnsi" w:eastAsiaTheme="minorEastAsia" w:cstheme="minorBidi"/>
                <w:color w:val="000000" w:themeColor="text1"/>
                <w:kern w:val="0"/>
                <w:sz w:val="21"/>
                <w:szCs w:val="21"/>
                <w:lang w:eastAsia="zh-CN"/>
                <w14:textFill>
                  <w14:solidFill>
                    <w14:schemeClr w14:val="tx1"/>
                  </w14:solidFill>
                </w14:textFill>
              </w:rPr>
              <w:t>（2）参与相关培训及演练，熟悉应急工作。</w:t>
            </w:r>
          </w:p>
        </w:tc>
        <w:tc>
          <w:tcPr>
            <w:tcW w:w="6721" w:type="dxa"/>
            <w:tcBorders>
              <w:top w:val="single" w:color="404040" w:sz="4" w:space="0"/>
              <w:left w:val="single" w:color="404040" w:sz="4" w:space="0"/>
              <w:bottom w:val="single" w:color="404040" w:sz="4" w:space="0"/>
              <w:right w:val="single" w:color="auto" w:sz="12" w:space="0"/>
            </w:tcBorders>
            <w:vAlign w:val="center"/>
          </w:tcPr>
          <w:p>
            <w:pPr>
              <w:widowControl/>
              <w:jc w:val="center"/>
              <w:rPr>
                <w:rFonts w:asciiTheme="minorHAnsi" w:hAnsiTheme="minorHAnsi" w:eastAsiaTheme="minorEastAsia" w:cstheme="minorBidi"/>
                <w:color w:val="000000" w:themeColor="text1"/>
                <w:kern w:val="0"/>
                <w:sz w:val="21"/>
                <w:szCs w:val="21"/>
                <w:lang w:eastAsia="zh-CN"/>
                <w14:textFill>
                  <w14:solidFill>
                    <w14:schemeClr w14:val="tx1"/>
                  </w14:solidFill>
                </w14:textFill>
              </w:rPr>
            </w:pPr>
            <w:r>
              <w:rPr>
                <w:rFonts w:asciiTheme="minorHAnsi" w:hAnsiTheme="minorHAnsi" w:eastAsiaTheme="minorEastAsia" w:cstheme="minorBidi"/>
                <w:color w:val="000000" w:themeColor="text1"/>
                <w:kern w:val="0"/>
                <w:sz w:val="21"/>
                <w:szCs w:val="21"/>
                <w:lang w:eastAsia="zh-CN"/>
                <w14:textFill>
                  <w14:solidFill>
                    <w14:schemeClr w14:val="tx1"/>
                  </w14:solidFill>
                </w14:textFill>
              </w:rPr>
              <w:t>（1）负责对伤员的救护、包扎、诊治和人工呼吸等现场急救；及保护、转送事故中的受伤人员；</w:t>
            </w:r>
          </w:p>
          <w:p>
            <w:pPr>
              <w:widowControl/>
              <w:jc w:val="center"/>
              <w:rPr>
                <w:rFonts w:asciiTheme="minorHAnsi" w:hAnsiTheme="minorHAnsi" w:eastAsiaTheme="minorEastAsia" w:cstheme="minorBidi"/>
                <w:color w:val="000000" w:themeColor="text1"/>
                <w:kern w:val="0"/>
                <w:sz w:val="21"/>
                <w:szCs w:val="21"/>
                <w:lang w:eastAsia="zh-CN"/>
                <w14:textFill>
                  <w14:solidFill>
                    <w14:schemeClr w14:val="tx1"/>
                  </w14:solidFill>
                </w14:textFill>
              </w:rPr>
            </w:pPr>
            <w:r>
              <w:rPr>
                <w:rFonts w:asciiTheme="minorHAnsi" w:hAnsiTheme="minorHAnsi" w:eastAsiaTheme="minorEastAsia" w:cstheme="minorBidi"/>
                <w:color w:val="000000" w:themeColor="text1"/>
                <w:kern w:val="0"/>
                <w:sz w:val="21"/>
                <w:szCs w:val="21"/>
                <w:lang w:eastAsia="zh-CN"/>
                <w14:textFill>
                  <w14:solidFill>
                    <w14:schemeClr w14:val="tx1"/>
                  </w14:solidFill>
                </w14:textFill>
              </w:rPr>
              <w:t>（2）负责车辆的安排和调配；</w:t>
            </w:r>
          </w:p>
          <w:p>
            <w:pPr>
              <w:widowControl/>
              <w:jc w:val="center"/>
              <w:rPr>
                <w:rFonts w:asciiTheme="minorHAnsi" w:hAnsiTheme="minorHAnsi" w:eastAsiaTheme="minorEastAsia" w:cstheme="minorBidi"/>
                <w:color w:val="000000" w:themeColor="text1"/>
                <w:kern w:val="0"/>
                <w:sz w:val="21"/>
                <w:szCs w:val="21"/>
                <w:lang w:eastAsia="zh-CN"/>
                <w14:textFill>
                  <w14:solidFill>
                    <w14:schemeClr w14:val="tx1"/>
                  </w14:solidFill>
                </w14:textFill>
              </w:rPr>
            </w:pPr>
            <w:r>
              <w:rPr>
                <w:rFonts w:asciiTheme="minorHAnsi" w:hAnsiTheme="minorHAnsi" w:eastAsiaTheme="minorEastAsia" w:cstheme="minorBidi"/>
                <w:color w:val="000000" w:themeColor="text1"/>
                <w:kern w:val="0"/>
                <w:sz w:val="21"/>
                <w:szCs w:val="21"/>
                <w:lang w:eastAsia="zh-CN"/>
                <w14:textFill>
                  <w14:solidFill>
                    <w14:schemeClr w14:val="tx1"/>
                  </w14:solidFill>
                </w14:textFill>
              </w:rPr>
              <w:t>（3）为救援行动提供物质保证（包括应急抢险器材、救援防护器材、监测器材和指挥通信器材等）；</w:t>
            </w:r>
          </w:p>
          <w:p>
            <w:pPr>
              <w:widowControl/>
              <w:jc w:val="center"/>
              <w:rPr>
                <w:rFonts w:asciiTheme="minorHAnsi" w:hAnsiTheme="minorHAnsi" w:eastAsiaTheme="minorEastAsia" w:cstheme="minorBidi"/>
                <w:color w:val="000000" w:themeColor="text1"/>
                <w:kern w:val="0"/>
                <w:sz w:val="21"/>
                <w:szCs w:val="21"/>
                <w:lang w:eastAsia="zh-CN"/>
                <w14:textFill>
                  <w14:solidFill>
                    <w14:schemeClr w14:val="tx1"/>
                  </w14:solidFill>
                </w14:textFill>
              </w:rPr>
            </w:pPr>
            <w:r>
              <w:rPr>
                <w:rFonts w:asciiTheme="minorHAnsi" w:hAnsiTheme="minorHAnsi" w:eastAsiaTheme="minorEastAsia" w:cstheme="minorBidi"/>
                <w:color w:val="000000" w:themeColor="text1"/>
                <w:kern w:val="0"/>
                <w:sz w:val="21"/>
                <w:szCs w:val="21"/>
                <w:lang w:eastAsia="zh-CN"/>
                <w14:textFill>
                  <w14:solidFill>
                    <w14:schemeClr w14:val="tx1"/>
                  </w14:solidFill>
                </w14:textFill>
              </w:rPr>
              <w:t>（1）负责应急时的后勤保障工作；</w:t>
            </w:r>
          </w:p>
        </w:tc>
      </w:tr>
      <w:tr>
        <w:tblPrEx>
          <w:tblBorders>
            <w:top w:val="single" w:color="404040" w:sz="12" w:space="0"/>
            <w:left w:val="single" w:color="404040" w:sz="12" w:space="0"/>
            <w:bottom w:val="single" w:color="404040" w:sz="12" w:space="0"/>
            <w:right w:val="single" w:color="404040" w:sz="12" w:space="0"/>
            <w:insideH w:val="single" w:color="404040" w:sz="12" w:space="0"/>
            <w:insideV w:val="single" w:color="404040" w:sz="12" w:space="0"/>
          </w:tblBorders>
          <w:tblLayout w:type="fixed"/>
          <w:tblCellMar>
            <w:top w:w="0" w:type="dxa"/>
            <w:left w:w="0" w:type="dxa"/>
            <w:bottom w:w="0" w:type="dxa"/>
            <w:right w:w="0" w:type="dxa"/>
          </w:tblCellMar>
        </w:tblPrEx>
        <w:trPr>
          <w:trHeight w:val="309" w:hRule="atLeast"/>
        </w:trPr>
        <w:tc>
          <w:tcPr>
            <w:tcW w:w="1244" w:type="dxa"/>
            <w:tcBorders>
              <w:top w:val="single" w:color="404040" w:sz="4" w:space="0"/>
              <w:left w:val="single" w:color="auto" w:sz="12" w:space="0"/>
              <w:bottom w:val="single" w:color="404040" w:sz="4" w:space="0"/>
              <w:right w:val="single" w:color="404040" w:sz="4" w:space="0"/>
            </w:tcBorders>
            <w:vAlign w:val="center"/>
          </w:tcPr>
          <w:p>
            <w:pPr>
              <w:widowControl/>
              <w:jc w:val="center"/>
              <w:rPr>
                <w:rFonts w:asciiTheme="minorHAnsi" w:hAnsiTheme="minorHAnsi" w:eastAsiaTheme="minorEastAsia" w:cstheme="minorBidi"/>
                <w:color w:val="000000" w:themeColor="text1"/>
                <w:kern w:val="0"/>
                <w:sz w:val="21"/>
                <w:szCs w:val="21"/>
                <w:lang w:eastAsia="en-US"/>
                <w14:textFill>
                  <w14:solidFill>
                    <w14:schemeClr w14:val="tx1"/>
                  </w14:solidFill>
                </w14:textFill>
              </w:rPr>
            </w:pPr>
            <w:r>
              <w:rPr>
                <w:rFonts w:asciiTheme="minorHAnsi" w:hAnsiTheme="minorHAnsi" w:eastAsiaTheme="minorEastAsia" w:cstheme="minorBidi"/>
                <w:color w:val="000000" w:themeColor="text1"/>
                <w:kern w:val="0"/>
                <w:sz w:val="21"/>
                <w:szCs w:val="21"/>
                <w:lang w:eastAsia="en-US"/>
                <w14:textFill>
                  <w14:solidFill>
                    <w14:schemeClr w14:val="tx1"/>
                  </w14:solidFill>
                </w14:textFill>
              </w:rPr>
              <w:t>应急监测组</w:t>
            </w:r>
          </w:p>
        </w:tc>
        <w:tc>
          <w:tcPr>
            <w:tcW w:w="1772" w:type="dxa"/>
            <w:tcBorders>
              <w:top w:val="single" w:color="404040" w:sz="4" w:space="0"/>
              <w:left w:val="single" w:color="404040" w:sz="4" w:space="0"/>
              <w:bottom w:val="single" w:color="404040" w:sz="4" w:space="0"/>
              <w:right w:val="single" w:color="404040" w:sz="4" w:space="0"/>
            </w:tcBorders>
            <w:vAlign w:val="center"/>
          </w:tcPr>
          <w:p>
            <w:pPr>
              <w:widowControl/>
              <w:jc w:val="center"/>
              <w:rPr>
                <w:rFonts w:asciiTheme="minorHAnsi" w:hAnsiTheme="minorHAnsi" w:eastAsiaTheme="minorEastAsia" w:cstheme="minorBidi"/>
                <w:color w:val="000000" w:themeColor="text1"/>
                <w:kern w:val="0"/>
                <w:sz w:val="21"/>
                <w:szCs w:val="21"/>
                <w:lang w:eastAsia="en-US"/>
                <w14:textFill>
                  <w14:solidFill>
                    <w14:schemeClr w14:val="tx1"/>
                  </w14:solidFill>
                </w14:textFill>
              </w:rPr>
            </w:pPr>
            <w:r>
              <w:rPr>
                <w:rFonts w:asciiTheme="minorHAnsi" w:hAnsiTheme="minorHAnsi" w:eastAsiaTheme="minorEastAsia" w:cstheme="minorBidi"/>
                <w:color w:val="000000" w:themeColor="text1"/>
                <w:kern w:val="0"/>
                <w:sz w:val="21"/>
                <w:szCs w:val="21"/>
                <w:lang w:eastAsia="en-US"/>
                <w14:textFill>
                  <w14:solidFill>
                    <w14:schemeClr w14:val="tx1"/>
                  </w14:solidFill>
                </w14:textFill>
              </w:rPr>
              <w:t>主任</w:t>
            </w:r>
          </w:p>
        </w:tc>
        <w:tc>
          <w:tcPr>
            <w:tcW w:w="4253" w:type="dxa"/>
            <w:tcBorders>
              <w:top w:val="single" w:color="404040" w:sz="4" w:space="0"/>
              <w:left w:val="single" w:color="404040" w:sz="4" w:space="0"/>
              <w:bottom w:val="single" w:color="404040" w:sz="4" w:space="0"/>
              <w:right w:val="single" w:color="404040" w:sz="4" w:space="0"/>
            </w:tcBorders>
            <w:vAlign w:val="center"/>
          </w:tcPr>
          <w:p>
            <w:pPr>
              <w:widowControl/>
              <w:jc w:val="center"/>
              <w:rPr>
                <w:rFonts w:asciiTheme="minorHAnsi" w:hAnsiTheme="minorHAnsi" w:eastAsiaTheme="minorEastAsia" w:cstheme="minorBidi"/>
                <w:color w:val="000000" w:themeColor="text1"/>
                <w:kern w:val="0"/>
                <w:sz w:val="21"/>
                <w:szCs w:val="21"/>
                <w:lang w:eastAsia="zh-CN"/>
                <w14:textFill>
                  <w14:solidFill>
                    <w14:schemeClr w14:val="tx1"/>
                  </w14:solidFill>
                </w14:textFill>
              </w:rPr>
            </w:pPr>
            <w:r>
              <w:rPr>
                <w:rFonts w:asciiTheme="minorHAnsi" w:hAnsiTheme="minorHAnsi" w:eastAsiaTheme="minorEastAsia" w:cstheme="minorBidi"/>
                <w:color w:val="000000" w:themeColor="text1"/>
                <w:kern w:val="0"/>
                <w:sz w:val="21"/>
                <w:szCs w:val="21"/>
                <w:lang w:eastAsia="zh-CN"/>
                <w14:textFill>
                  <w14:solidFill>
                    <w14:schemeClr w14:val="tx1"/>
                  </w14:solidFill>
                </w14:textFill>
              </w:rPr>
              <w:t>（1）负责日常大气和水体的监测；</w:t>
            </w:r>
          </w:p>
          <w:p>
            <w:pPr>
              <w:widowControl/>
              <w:jc w:val="center"/>
              <w:rPr>
                <w:rFonts w:asciiTheme="minorHAnsi" w:hAnsiTheme="minorHAnsi" w:eastAsiaTheme="minorEastAsia" w:cstheme="minorBidi"/>
                <w:color w:val="000000" w:themeColor="text1"/>
                <w:kern w:val="0"/>
                <w:sz w:val="21"/>
                <w:szCs w:val="21"/>
                <w:lang w:eastAsia="zh-CN"/>
                <w14:textFill>
                  <w14:solidFill>
                    <w14:schemeClr w14:val="tx1"/>
                  </w14:solidFill>
                </w14:textFill>
              </w:rPr>
            </w:pPr>
            <w:r>
              <w:rPr>
                <w:rFonts w:asciiTheme="minorHAnsi" w:hAnsiTheme="minorHAnsi" w:eastAsiaTheme="minorEastAsia" w:cstheme="minorBidi"/>
                <w:color w:val="000000" w:themeColor="text1"/>
                <w:kern w:val="0"/>
                <w:sz w:val="21"/>
                <w:szCs w:val="21"/>
                <w:lang w:eastAsia="zh-CN"/>
                <w14:textFill>
                  <w14:solidFill>
                    <w14:schemeClr w14:val="tx1"/>
                  </w14:solidFill>
                </w14:textFill>
              </w:rPr>
              <w:t>（2）负责移动式集装箱应急池、雨水阀门、消防泵等环境应急资源的管理等；</w:t>
            </w:r>
          </w:p>
          <w:p>
            <w:pPr>
              <w:widowControl/>
              <w:jc w:val="center"/>
              <w:rPr>
                <w:rFonts w:asciiTheme="minorHAnsi" w:hAnsiTheme="minorHAnsi" w:eastAsiaTheme="minorEastAsia" w:cstheme="minorBidi"/>
                <w:color w:val="000000" w:themeColor="text1"/>
                <w:kern w:val="0"/>
                <w:sz w:val="21"/>
                <w:szCs w:val="21"/>
                <w:lang w:eastAsia="zh-CN"/>
                <w14:textFill>
                  <w14:solidFill>
                    <w14:schemeClr w14:val="tx1"/>
                  </w14:solidFill>
                </w14:textFill>
              </w:rPr>
            </w:pPr>
            <w:r>
              <w:rPr>
                <w:rFonts w:asciiTheme="minorHAnsi" w:hAnsiTheme="minorHAnsi" w:eastAsiaTheme="minorEastAsia" w:cstheme="minorBidi"/>
                <w:color w:val="000000" w:themeColor="text1"/>
                <w:kern w:val="0"/>
                <w:sz w:val="21"/>
                <w:szCs w:val="21"/>
                <w:lang w:eastAsia="zh-CN"/>
                <w14:textFill>
                  <w14:solidFill>
                    <w14:schemeClr w14:val="tx1"/>
                  </w14:solidFill>
                </w14:textFill>
              </w:rPr>
              <w:t>（3）负责应急监测设备的维护及保养等；</w:t>
            </w:r>
          </w:p>
          <w:p>
            <w:pPr>
              <w:widowControl/>
              <w:jc w:val="center"/>
              <w:rPr>
                <w:rFonts w:asciiTheme="minorHAnsi" w:hAnsiTheme="minorHAnsi" w:eastAsiaTheme="minorEastAsia" w:cstheme="minorBidi"/>
                <w:color w:val="000000" w:themeColor="text1"/>
                <w:kern w:val="0"/>
                <w:sz w:val="21"/>
                <w:szCs w:val="21"/>
                <w:lang w:eastAsia="zh-CN"/>
                <w14:textFill>
                  <w14:solidFill>
                    <w14:schemeClr w14:val="tx1"/>
                  </w14:solidFill>
                </w14:textFill>
              </w:rPr>
            </w:pPr>
            <w:r>
              <w:rPr>
                <w:rFonts w:asciiTheme="minorHAnsi" w:hAnsiTheme="minorHAnsi" w:eastAsiaTheme="minorEastAsia" w:cstheme="minorBidi"/>
                <w:color w:val="000000" w:themeColor="text1"/>
                <w:kern w:val="0"/>
                <w:sz w:val="21"/>
                <w:szCs w:val="21"/>
                <w:lang w:eastAsia="zh-CN"/>
                <w14:textFill>
                  <w14:solidFill>
                    <w14:schemeClr w14:val="tx1"/>
                  </w14:solidFill>
                </w14:textFill>
              </w:rPr>
              <w:t>（4）参与相关培训及演练，熟悉应急工作，并负责制定其中的应急监测方案。</w:t>
            </w:r>
          </w:p>
        </w:tc>
        <w:tc>
          <w:tcPr>
            <w:tcW w:w="6721" w:type="dxa"/>
            <w:tcBorders>
              <w:top w:val="single" w:color="404040" w:sz="4" w:space="0"/>
              <w:left w:val="single" w:color="404040" w:sz="4" w:space="0"/>
              <w:bottom w:val="single" w:color="404040" w:sz="4" w:space="0"/>
              <w:right w:val="single" w:color="auto" w:sz="12" w:space="0"/>
            </w:tcBorders>
            <w:vAlign w:val="center"/>
          </w:tcPr>
          <w:p>
            <w:pPr>
              <w:widowControl/>
              <w:jc w:val="center"/>
              <w:rPr>
                <w:rFonts w:asciiTheme="minorHAnsi" w:hAnsiTheme="minorHAnsi" w:eastAsiaTheme="minorEastAsia" w:cstheme="minorBidi"/>
                <w:color w:val="000000" w:themeColor="text1"/>
                <w:kern w:val="0"/>
                <w:sz w:val="21"/>
                <w:szCs w:val="21"/>
                <w:lang w:eastAsia="zh-CN"/>
                <w14:textFill>
                  <w14:solidFill>
                    <w14:schemeClr w14:val="tx1"/>
                  </w14:solidFill>
                </w14:textFill>
              </w:rPr>
            </w:pPr>
            <w:r>
              <w:rPr>
                <w:rFonts w:asciiTheme="minorHAnsi" w:hAnsiTheme="minorHAnsi" w:eastAsiaTheme="minorEastAsia" w:cstheme="minorBidi"/>
                <w:color w:val="000000" w:themeColor="text1"/>
                <w:kern w:val="0"/>
                <w:sz w:val="21"/>
                <w:szCs w:val="21"/>
                <w:lang w:eastAsia="zh-CN"/>
                <w14:textFill>
                  <w14:solidFill>
                    <w14:schemeClr w14:val="tx1"/>
                  </w14:solidFill>
                </w14:textFill>
              </w:rPr>
              <w:t>（1）负责对事故状态下的大气、水体环境的监测提供依据与保障；</w:t>
            </w:r>
          </w:p>
          <w:p>
            <w:pPr>
              <w:widowControl/>
              <w:jc w:val="center"/>
              <w:rPr>
                <w:rFonts w:asciiTheme="minorHAnsi" w:hAnsiTheme="minorHAnsi" w:eastAsiaTheme="minorEastAsia" w:cstheme="minorBidi"/>
                <w:color w:val="000000" w:themeColor="text1"/>
                <w:kern w:val="0"/>
                <w:sz w:val="21"/>
                <w:szCs w:val="21"/>
                <w:lang w:eastAsia="zh-CN"/>
                <w14:textFill>
                  <w14:solidFill>
                    <w14:schemeClr w14:val="tx1"/>
                  </w14:solidFill>
                </w14:textFill>
              </w:rPr>
            </w:pPr>
            <w:r>
              <w:rPr>
                <w:rFonts w:asciiTheme="minorHAnsi" w:hAnsiTheme="minorHAnsi" w:eastAsiaTheme="minorEastAsia" w:cstheme="minorBidi"/>
                <w:color w:val="000000" w:themeColor="text1"/>
                <w:kern w:val="0"/>
                <w:sz w:val="21"/>
                <w:szCs w:val="21"/>
                <w:lang w:eastAsia="zh-CN"/>
                <w14:textFill>
                  <w14:solidFill>
                    <w14:schemeClr w14:val="tx1"/>
                  </w14:solidFill>
                </w14:textFill>
              </w:rPr>
              <w:t>（2）协助生态环境局或监测单位进行环境应急监测</w:t>
            </w:r>
          </w:p>
          <w:p>
            <w:pPr>
              <w:widowControl/>
              <w:jc w:val="center"/>
              <w:rPr>
                <w:rFonts w:asciiTheme="minorHAnsi" w:hAnsiTheme="minorHAnsi" w:eastAsiaTheme="minorEastAsia" w:cstheme="minorBidi"/>
                <w:color w:val="000000" w:themeColor="text1"/>
                <w:kern w:val="0"/>
                <w:sz w:val="21"/>
                <w:szCs w:val="21"/>
                <w:lang w:eastAsia="zh-CN"/>
                <w14:textFill>
                  <w14:solidFill>
                    <w14:schemeClr w14:val="tx1"/>
                  </w14:solidFill>
                </w14:textFill>
              </w:rPr>
            </w:pPr>
            <w:r>
              <w:rPr>
                <w:rFonts w:asciiTheme="minorHAnsi" w:hAnsiTheme="minorHAnsi" w:eastAsiaTheme="minorEastAsia" w:cstheme="minorBidi"/>
                <w:color w:val="000000" w:themeColor="text1"/>
                <w:kern w:val="0"/>
                <w:sz w:val="21"/>
                <w:szCs w:val="21"/>
                <w:lang w:eastAsia="zh-CN"/>
                <w14:textFill>
                  <w14:solidFill>
                    <w14:schemeClr w14:val="tx1"/>
                  </w14:solidFill>
                </w14:textFill>
              </w:rPr>
              <w:t>（3）负责对事故产生的污染物进行控制，避免或减少污染物对外环境造成污染；主要包括雨水排口、污水排口的截断，防止事故废水蔓延，同时包括将事故废水引入移动式集装箱应急池等应急工作；</w:t>
            </w:r>
          </w:p>
          <w:p>
            <w:pPr>
              <w:widowControl/>
              <w:jc w:val="center"/>
              <w:rPr>
                <w:rFonts w:asciiTheme="minorHAnsi" w:hAnsiTheme="minorHAnsi" w:eastAsiaTheme="minorEastAsia" w:cstheme="minorBidi"/>
                <w:color w:val="000000" w:themeColor="text1"/>
                <w:kern w:val="0"/>
                <w:sz w:val="21"/>
                <w:szCs w:val="21"/>
                <w:lang w:eastAsia="zh-CN"/>
                <w14:textFill>
                  <w14:solidFill>
                    <w14:schemeClr w14:val="tx1"/>
                  </w14:solidFill>
                </w14:textFill>
              </w:rPr>
            </w:pPr>
            <w:r>
              <w:rPr>
                <w:rFonts w:asciiTheme="minorHAnsi" w:hAnsiTheme="minorHAnsi" w:eastAsiaTheme="minorEastAsia" w:cstheme="minorBidi"/>
                <w:color w:val="000000" w:themeColor="text1"/>
                <w:kern w:val="0"/>
                <w:sz w:val="21"/>
                <w:szCs w:val="21"/>
                <w:lang w:eastAsia="zh-CN"/>
                <w14:textFill>
                  <w14:solidFill>
                    <w14:schemeClr w14:val="tx1"/>
                  </w14:solidFill>
                </w14:textFill>
              </w:rPr>
              <w:t>（4）负责对事故后产生的环境污染物进行相应处理。</w:t>
            </w:r>
          </w:p>
        </w:tc>
      </w:tr>
      <w:tr>
        <w:tblPrEx>
          <w:tblBorders>
            <w:top w:val="single" w:color="404040" w:sz="12" w:space="0"/>
            <w:left w:val="single" w:color="404040" w:sz="12" w:space="0"/>
            <w:bottom w:val="single" w:color="404040" w:sz="12" w:space="0"/>
            <w:right w:val="single" w:color="404040" w:sz="12" w:space="0"/>
            <w:insideH w:val="single" w:color="404040" w:sz="12" w:space="0"/>
            <w:insideV w:val="single" w:color="404040" w:sz="12" w:space="0"/>
          </w:tblBorders>
          <w:tblLayout w:type="fixed"/>
          <w:tblCellMar>
            <w:top w:w="0" w:type="dxa"/>
            <w:left w:w="0" w:type="dxa"/>
            <w:bottom w:w="0" w:type="dxa"/>
            <w:right w:w="0" w:type="dxa"/>
          </w:tblCellMar>
        </w:tblPrEx>
        <w:trPr>
          <w:trHeight w:val="309" w:hRule="atLeast"/>
        </w:trPr>
        <w:tc>
          <w:tcPr>
            <w:tcW w:w="1244" w:type="dxa"/>
            <w:tcBorders>
              <w:top w:val="single" w:color="404040" w:sz="4" w:space="0"/>
              <w:left w:val="single" w:color="auto" w:sz="12" w:space="0"/>
              <w:bottom w:val="single" w:color="404040" w:sz="4" w:space="0"/>
              <w:right w:val="single" w:color="404040" w:sz="4" w:space="0"/>
            </w:tcBorders>
            <w:vAlign w:val="center"/>
          </w:tcPr>
          <w:p>
            <w:pPr>
              <w:widowControl/>
              <w:jc w:val="center"/>
              <w:rPr>
                <w:rFonts w:asciiTheme="minorHAnsi" w:hAnsiTheme="minorHAnsi" w:eastAsiaTheme="minorEastAsia" w:cstheme="minorBidi"/>
                <w:color w:val="000000" w:themeColor="text1"/>
                <w:kern w:val="0"/>
                <w:sz w:val="21"/>
                <w:szCs w:val="21"/>
                <w:lang w:eastAsia="en-US"/>
                <w14:textFill>
                  <w14:solidFill>
                    <w14:schemeClr w14:val="tx1"/>
                  </w14:solidFill>
                </w14:textFill>
              </w:rPr>
            </w:pPr>
            <w:r>
              <w:rPr>
                <w:rFonts w:asciiTheme="minorHAnsi" w:hAnsiTheme="minorHAnsi" w:eastAsiaTheme="minorEastAsia" w:cstheme="minorBidi"/>
                <w:color w:val="000000" w:themeColor="text1"/>
                <w:kern w:val="0"/>
                <w:sz w:val="21"/>
                <w:szCs w:val="21"/>
                <w:lang w:eastAsia="en-US"/>
                <w14:textFill>
                  <w14:solidFill>
                    <w14:schemeClr w14:val="tx1"/>
                  </w14:solidFill>
                </w14:textFill>
              </w:rPr>
              <w:t>通讯联络组</w:t>
            </w:r>
          </w:p>
        </w:tc>
        <w:tc>
          <w:tcPr>
            <w:tcW w:w="1772" w:type="dxa"/>
            <w:tcBorders>
              <w:top w:val="single" w:color="404040" w:sz="4" w:space="0"/>
              <w:left w:val="single" w:color="404040" w:sz="4" w:space="0"/>
              <w:bottom w:val="single" w:color="404040" w:sz="4" w:space="0"/>
              <w:right w:val="single" w:color="404040" w:sz="4" w:space="0"/>
            </w:tcBorders>
            <w:vAlign w:val="center"/>
          </w:tcPr>
          <w:p>
            <w:pPr>
              <w:widowControl/>
              <w:jc w:val="center"/>
              <w:rPr>
                <w:rFonts w:asciiTheme="minorHAnsi" w:hAnsiTheme="minorHAnsi" w:eastAsiaTheme="minorEastAsia" w:cstheme="minorBidi"/>
                <w:color w:val="000000" w:themeColor="text1"/>
                <w:kern w:val="0"/>
                <w:sz w:val="21"/>
                <w:szCs w:val="21"/>
                <w:lang w:eastAsia="en-US"/>
                <w14:textFill>
                  <w14:solidFill>
                    <w14:schemeClr w14:val="tx1"/>
                  </w14:solidFill>
                </w14:textFill>
              </w:rPr>
            </w:pPr>
            <w:r>
              <w:rPr>
                <w:rFonts w:asciiTheme="minorHAnsi" w:hAnsiTheme="minorHAnsi" w:eastAsiaTheme="minorEastAsia" w:cstheme="minorBidi"/>
                <w:color w:val="000000" w:themeColor="text1"/>
                <w:kern w:val="0"/>
                <w:sz w:val="21"/>
                <w:szCs w:val="21"/>
                <w:lang w:eastAsia="en-US"/>
                <w14:textFill>
                  <w14:solidFill>
                    <w14:schemeClr w14:val="tx1"/>
                  </w14:solidFill>
                </w14:textFill>
              </w:rPr>
              <w:t>组长</w:t>
            </w:r>
          </w:p>
        </w:tc>
        <w:tc>
          <w:tcPr>
            <w:tcW w:w="4253" w:type="dxa"/>
            <w:tcBorders>
              <w:top w:val="single" w:color="404040" w:sz="4" w:space="0"/>
              <w:left w:val="single" w:color="404040" w:sz="4" w:space="0"/>
              <w:bottom w:val="single" w:color="404040" w:sz="4" w:space="0"/>
              <w:right w:val="single" w:color="404040" w:sz="4" w:space="0"/>
            </w:tcBorders>
            <w:vAlign w:val="center"/>
          </w:tcPr>
          <w:p>
            <w:pPr>
              <w:widowControl/>
              <w:jc w:val="center"/>
              <w:rPr>
                <w:rFonts w:asciiTheme="minorHAnsi" w:hAnsiTheme="minorHAnsi" w:eastAsiaTheme="minorEastAsia" w:cstheme="minorBidi"/>
                <w:color w:val="000000" w:themeColor="text1"/>
                <w:kern w:val="0"/>
                <w:sz w:val="21"/>
                <w:szCs w:val="21"/>
                <w:lang w:eastAsia="zh-CN"/>
                <w14:textFill>
                  <w14:solidFill>
                    <w14:schemeClr w14:val="tx1"/>
                  </w14:solidFill>
                </w14:textFill>
              </w:rPr>
            </w:pPr>
            <w:r>
              <w:rPr>
                <w:rFonts w:asciiTheme="minorHAnsi" w:hAnsiTheme="minorHAnsi" w:eastAsiaTheme="minorEastAsia" w:cstheme="minorBidi"/>
                <w:color w:val="000000" w:themeColor="text1"/>
                <w:kern w:val="0"/>
                <w:sz w:val="21"/>
                <w:szCs w:val="21"/>
                <w:lang w:eastAsia="zh-CN"/>
                <w14:textFill>
                  <w14:solidFill>
                    <w14:schemeClr w14:val="tx1"/>
                  </w14:solidFill>
                </w14:textFill>
              </w:rPr>
              <w:t>（1）日常更新公司通讯录，人员变更联系方式变更等；</w:t>
            </w:r>
          </w:p>
          <w:p>
            <w:pPr>
              <w:widowControl/>
              <w:jc w:val="center"/>
              <w:rPr>
                <w:rFonts w:asciiTheme="minorHAnsi" w:hAnsiTheme="minorHAnsi" w:eastAsiaTheme="minorEastAsia" w:cstheme="minorBidi"/>
                <w:color w:val="000000" w:themeColor="text1"/>
                <w:kern w:val="0"/>
                <w:sz w:val="21"/>
                <w:szCs w:val="21"/>
                <w:lang w:eastAsia="zh-CN"/>
                <w14:textFill>
                  <w14:solidFill>
                    <w14:schemeClr w14:val="tx1"/>
                  </w14:solidFill>
                </w14:textFill>
              </w:rPr>
            </w:pPr>
            <w:r>
              <w:rPr>
                <w:rFonts w:asciiTheme="minorHAnsi" w:hAnsiTheme="minorHAnsi" w:eastAsiaTheme="minorEastAsia" w:cstheme="minorBidi"/>
                <w:color w:val="000000" w:themeColor="text1"/>
                <w:kern w:val="0"/>
                <w:sz w:val="21"/>
                <w:szCs w:val="21"/>
                <w:lang w:eastAsia="zh-CN"/>
                <w14:textFill>
                  <w14:solidFill>
                    <w14:schemeClr w14:val="tx1"/>
                  </w14:solidFill>
                </w14:textFill>
              </w:rPr>
              <w:t>（2）日常更新对外联系电话、联系方式。</w:t>
            </w:r>
          </w:p>
        </w:tc>
        <w:tc>
          <w:tcPr>
            <w:tcW w:w="6721" w:type="dxa"/>
            <w:tcBorders>
              <w:top w:val="single" w:color="404040" w:sz="4" w:space="0"/>
              <w:left w:val="single" w:color="404040" w:sz="4" w:space="0"/>
              <w:bottom w:val="single" w:color="404040" w:sz="4" w:space="0"/>
              <w:right w:val="single" w:color="auto" w:sz="12" w:space="0"/>
            </w:tcBorders>
            <w:vAlign w:val="center"/>
          </w:tcPr>
          <w:p>
            <w:pPr>
              <w:widowControl/>
              <w:jc w:val="center"/>
              <w:rPr>
                <w:rFonts w:asciiTheme="minorHAnsi" w:hAnsiTheme="minorHAnsi" w:eastAsiaTheme="minorEastAsia" w:cstheme="minorBidi"/>
                <w:color w:val="000000" w:themeColor="text1"/>
                <w:kern w:val="0"/>
                <w:sz w:val="21"/>
                <w:szCs w:val="21"/>
                <w:lang w:eastAsia="zh-CN"/>
                <w14:textFill>
                  <w14:solidFill>
                    <w14:schemeClr w14:val="tx1"/>
                  </w14:solidFill>
                </w14:textFill>
              </w:rPr>
            </w:pPr>
            <w:r>
              <w:rPr>
                <w:rFonts w:asciiTheme="minorHAnsi" w:hAnsiTheme="minorHAnsi" w:eastAsiaTheme="minorEastAsia" w:cstheme="minorBidi"/>
                <w:color w:val="000000" w:themeColor="text1"/>
                <w:kern w:val="0"/>
                <w:sz w:val="21"/>
                <w:szCs w:val="21"/>
                <w:lang w:eastAsia="zh-CN"/>
                <w14:textFill>
                  <w14:solidFill>
                    <w14:schemeClr w14:val="tx1"/>
                  </w14:solidFill>
                </w14:textFill>
              </w:rPr>
              <w:t>（1）负责通信方式或线路及信息交流畅通。</w:t>
            </w:r>
          </w:p>
          <w:p>
            <w:pPr>
              <w:widowControl/>
              <w:jc w:val="center"/>
              <w:rPr>
                <w:rFonts w:asciiTheme="minorHAnsi" w:hAnsiTheme="minorHAnsi" w:eastAsiaTheme="minorEastAsia" w:cstheme="minorBidi"/>
                <w:color w:val="000000" w:themeColor="text1"/>
                <w:kern w:val="0"/>
                <w:sz w:val="21"/>
                <w:szCs w:val="21"/>
                <w:lang w:eastAsia="zh-CN"/>
                <w14:textFill>
                  <w14:solidFill>
                    <w14:schemeClr w14:val="tx1"/>
                  </w14:solidFill>
                </w14:textFill>
              </w:rPr>
            </w:pPr>
            <w:r>
              <w:rPr>
                <w:rFonts w:asciiTheme="minorHAnsi" w:hAnsiTheme="minorHAnsi" w:eastAsiaTheme="minorEastAsia" w:cstheme="minorBidi"/>
                <w:color w:val="000000" w:themeColor="text1"/>
                <w:kern w:val="0"/>
                <w:sz w:val="21"/>
                <w:szCs w:val="21"/>
                <w:lang w:eastAsia="zh-CN"/>
                <w14:textFill>
                  <w14:solidFill>
                    <w14:schemeClr w14:val="tx1"/>
                  </w14:solidFill>
                </w14:textFill>
              </w:rPr>
              <w:t>（2）负责保障事件现场与应急指挥部、上级应急指挥机构及外界的通讯联络；</w:t>
            </w:r>
          </w:p>
          <w:p>
            <w:pPr>
              <w:widowControl/>
              <w:jc w:val="center"/>
              <w:rPr>
                <w:rFonts w:asciiTheme="minorHAnsi" w:hAnsiTheme="minorHAnsi" w:eastAsiaTheme="minorEastAsia" w:cstheme="minorBidi"/>
                <w:color w:val="000000" w:themeColor="text1"/>
                <w:kern w:val="0"/>
                <w:sz w:val="21"/>
                <w:szCs w:val="21"/>
                <w:lang w:eastAsia="zh-CN"/>
                <w14:textFill>
                  <w14:solidFill>
                    <w14:schemeClr w14:val="tx1"/>
                  </w14:solidFill>
                </w14:textFill>
              </w:rPr>
            </w:pPr>
            <w:r>
              <w:rPr>
                <w:rFonts w:asciiTheme="minorHAnsi" w:hAnsiTheme="minorHAnsi" w:eastAsiaTheme="minorEastAsia" w:cstheme="minorBidi"/>
                <w:color w:val="000000" w:themeColor="text1"/>
                <w:kern w:val="0"/>
                <w:sz w:val="21"/>
                <w:szCs w:val="21"/>
                <w:lang w:eastAsia="zh-CN"/>
                <w14:textFill>
                  <w14:solidFill>
                    <w14:schemeClr w14:val="tx1"/>
                  </w14:solidFill>
                </w14:textFill>
              </w:rPr>
              <w:t>（3）保持通讯处于正常状态。</w:t>
            </w:r>
          </w:p>
        </w:tc>
      </w:tr>
      <w:tr>
        <w:tblPrEx>
          <w:tblBorders>
            <w:top w:val="single" w:color="404040" w:sz="12" w:space="0"/>
            <w:left w:val="single" w:color="404040" w:sz="12" w:space="0"/>
            <w:bottom w:val="single" w:color="404040" w:sz="12" w:space="0"/>
            <w:right w:val="single" w:color="404040" w:sz="12" w:space="0"/>
            <w:insideH w:val="single" w:color="404040" w:sz="12" w:space="0"/>
            <w:insideV w:val="single" w:color="404040" w:sz="12" w:space="0"/>
          </w:tblBorders>
          <w:tblLayout w:type="fixed"/>
          <w:tblCellMar>
            <w:top w:w="0" w:type="dxa"/>
            <w:left w:w="0" w:type="dxa"/>
            <w:bottom w:w="0" w:type="dxa"/>
            <w:right w:w="0" w:type="dxa"/>
          </w:tblCellMar>
        </w:tblPrEx>
        <w:trPr>
          <w:trHeight w:val="309" w:hRule="atLeast"/>
        </w:trPr>
        <w:tc>
          <w:tcPr>
            <w:tcW w:w="1244" w:type="dxa"/>
            <w:tcBorders>
              <w:top w:val="single" w:color="404040" w:sz="4" w:space="0"/>
              <w:left w:val="single" w:color="auto" w:sz="12" w:space="0"/>
              <w:bottom w:val="single" w:color="404040" w:sz="4" w:space="0"/>
              <w:right w:val="single" w:color="404040" w:sz="4" w:space="0"/>
            </w:tcBorders>
            <w:vAlign w:val="center"/>
          </w:tcPr>
          <w:p>
            <w:pPr>
              <w:widowControl/>
              <w:jc w:val="center"/>
              <w:rPr>
                <w:rFonts w:asciiTheme="minorHAnsi" w:hAnsiTheme="minorHAnsi" w:eastAsiaTheme="minorEastAsia" w:cstheme="minorBidi"/>
                <w:color w:val="000000" w:themeColor="text1"/>
                <w:kern w:val="0"/>
                <w:sz w:val="21"/>
                <w:szCs w:val="21"/>
                <w:lang w:eastAsia="en-US"/>
                <w14:textFill>
                  <w14:solidFill>
                    <w14:schemeClr w14:val="tx1"/>
                  </w14:solidFill>
                </w14:textFill>
              </w:rPr>
            </w:pPr>
            <w:r>
              <w:rPr>
                <w:rFonts w:asciiTheme="minorHAnsi" w:hAnsiTheme="minorHAnsi" w:eastAsiaTheme="minorEastAsia" w:cstheme="minorBidi"/>
                <w:color w:val="000000" w:themeColor="text1"/>
                <w:kern w:val="0"/>
                <w:sz w:val="21"/>
                <w:szCs w:val="21"/>
                <w:lang w:eastAsia="en-US"/>
                <w14:textFill>
                  <w14:solidFill>
                    <w14:schemeClr w14:val="tx1"/>
                  </w14:solidFill>
                </w14:textFill>
              </w:rPr>
              <w:t>善后处置组</w:t>
            </w:r>
          </w:p>
        </w:tc>
        <w:tc>
          <w:tcPr>
            <w:tcW w:w="1772" w:type="dxa"/>
            <w:tcBorders>
              <w:top w:val="single" w:color="404040" w:sz="4" w:space="0"/>
              <w:left w:val="single" w:color="404040" w:sz="4" w:space="0"/>
              <w:bottom w:val="single" w:color="404040" w:sz="4" w:space="0"/>
              <w:right w:val="single" w:color="404040" w:sz="4" w:space="0"/>
            </w:tcBorders>
            <w:vAlign w:val="center"/>
          </w:tcPr>
          <w:p>
            <w:pPr>
              <w:widowControl/>
              <w:jc w:val="center"/>
              <w:rPr>
                <w:rFonts w:asciiTheme="minorHAnsi" w:hAnsiTheme="minorHAnsi" w:eastAsiaTheme="minorEastAsia" w:cstheme="minorBidi"/>
                <w:color w:val="000000" w:themeColor="text1"/>
                <w:kern w:val="0"/>
                <w:sz w:val="21"/>
                <w:szCs w:val="21"/>
                <w:lang w:eastAsia="en-US"/>
                <w14:textFill>
                  <w14:solidFill>
                    <w14:schemeClr w14:val="tx1"/>
                  </w14:solidFill>
                </w14:textFill>
              </w:rPr>
            </w:pPr>
            <w:r>
              <w:rPr>
                <w:rFonts w:asciiTheme="minorHAnsi" w:hAnsiTheme="minorHAnsi" w:eastAsiaTheme="minorEastAsia" w:cstheme="minorBidi"/>
                <w:color w:val="000000" w:themeColor="text1"/>
                <w:kern w:val="0"/>
                <w:sz w:val="21"/>
                <w:szCs w:val="21"/>
                <w:lang w:eastAsia="en-US"/>
                <w14:textFill>
                  <w14:solidFill>
                    <w14:schemeClr w14:val="tx1"/>
                  </w14:solidFill>
                </w14:textFill>
              </w:rPr>
              <w:t>组长</w:t>
            </w:r>
          </w:p>
        </w:tc>
        <w:tc>
          <w:tcPr>
            <w:tcW w:w="4253" w:type="dxa"/>
            <w:tcBorders>
              <w:top w:val="single" w:color="404040" w:sz="4" w:space="0"/>
              <w:left w:val="single" w:color="404040" w:sz="4" w:space="0"/>
              <w:bottom w:val="single" w:color="404040" w:sz="4" w:space="0"/>
              <w:right w:val="single" w:color="404040" w:sz="4" w:space="0"/>
            </w:tcBorders>
            <w:vAlign w:val="center"/>
          </w:tcPr>
          <w:p>
            <w:pPr>
              <w:widowControl/>
              <w:jc w:val="center"/>
              <w:rPr>
                <w:rFonts w:asciiTheme="minorHAnsi" w:hAnsiTheme="minorHAnsi" w:eastAsiaTheme="minorEastAsia" w:cstheme="minorBidi"/>
                <w:color w:val="000000" w:themeColor="text1"/>
                <w:kern w:val="0"/>
                <w:sz w:val="21"/>
                <w:szCs w:val="21"/>
                <w:lang w:eastAsia="zh-CN"/>
                <w14:textFill>
                  <w14:solidFill>
                    <w14:schemeClr w14:val="tx1"/>
                  </w14:solidFill>
                </w14:textFill>
              </w:rPr>
            </w:pPr>
            <w:r>
              <w:rPr>
                <w:rFonts w:asciiTheme="minorHAnsi" w:hAnsiTheme="minorHAnsi" w:eastAsiaTheme="minorEastAsia" w:cstheme="minorBidi"/>
                <w:color w:val="000000" w:themeColor="text1"/>
                <w:kern w:val="0"/>
                <w:sz w:val="21"/>
                <w:szCs w:val="21"/>
                <w:lang w:eastAsia="zh-CN"/>
                <w14:textFill>
                  <w14:solidFill>
                    <w14:schemeClr w14:val="tx1"/>
                  </w14:solidFill>
                </w14:textFill>
              </w:rPr>
              <w:t>（1）负责善后处置工作，包括人员安置、补偿， 征用物资补偿，救援费用的支付，灾后重建，污染 物收集、清理与处理等事项；</w:t>
            </w:r>
          </w:p>
          <w:p>
            <w:pPr>
              <w:widowControl/>
              <w:jc w:val="center"/>
              <w:rPr>
                <w:rFonts w:asciiTheme="minorHAnsi" w:hAnsiTheme="minorHAnsi" w:eastAsiaTheme="minorEastAsia" w:cstheme="minorBidi"/>
                <w:color w:val="000000" w:themeColor="text1"/>
                <w:kern w:val="0"/>
                <w:sz w:val="21"/>
                <w:szCs w:val="21"/>
                <w:lang w:eastAsia="zh-CN"/>
                <w14:textFill>
                  <w14:solidFill>
                    <w14:schemeClr w14:val="tx1"/>
                  </w14:solidFill>
                </w14:textFill>
              </w:rPr>
            </w:pPr>
            <w:r>
              <w:rPr>
                <w:rFonts w:asciiTheme="minorHAnsi" w:hAnsiTheme="minorHAnsi" w:eastAsiaTheme="minorEastAsia" w:cstheme="minorBidi"/>
                <w:color w:val="000000" w:themeColor="text1"/>
                <w:kern w:val="0"/>
                <w:sz w:val="21"/>
                <w:szCs w:val="21"/>
                <w:lang w:eastAsia="zh-CN"/>
                <w14:textFill>
                  <w14:solidFill>
                    <w14:schemeClr w14:val="tx1"/>
                  </w14:solidFill>
                </w14:textFill>
              </w:rPr>
              <w:t>（2）尽快消除事故后果和影响，安抚受害和受影响人员，保证社会稳定，尽快恢复正常秩序。</w:t>
            </w:r>
          </w:p>
        </w:tc>
        <w:tc>
          <w:tcPr>
            <w:tcW w:w="6721" w:type="dxa"/>
            <w:tcBorders>
              <w:top w:val="single" w:color="404040" w:sz="4" w:space="0"/>
              <w:left w:val="single" w:color="404040" w:sz="4" w:space="0"/>
              <w:bottom w:val="single" w:color="404040" w:sz="4" w:space="0"/>
              <w:right w:val="single" w:color="auto" w:sz="12" w:space="0"/>
            </w:tcBorders>
            <w:vAlign w:val="center"/>
          </w:tcPr>
          <w:p>
            <w:pPr>
              <w:widowControl/>
              <w:jc w:val="center"/>
              <w:rPr>
                <w:rFonts w:asciiTheme="minorHAnsi" w:hAnsiTheme="minorHAnsi" w:eastAsiaTheme="minorEastAsia" w:cstheme="minorBidi"/>
                <w:color w:val="000000" w:themeColor="text1"/>
                <w:kern w:val="0"/>
                <w:sz w:val="21"/>
                <w:szCs w:val="21"/>
                <w:lang w:eastAsia="zh-CN"/>
                <w14:textFill>
                  <w14:solidFill>
                    <w14:schemeClr w14:val="tx1"/>
                  </w14:solidFill>
                </w14:textFill>
              </w:rPr>
            </w:pPr>
            <w:r>
              <w:rPr>
                <w:rFonts w:asciiTheme="minorHAnsi" w:hAnsiTheme="minorHAnsi" w:eastAsiaTheme="minorEastAsia" w:cstheme="minorBidi"/>
                <w:color w:val="000000" w:themeColor="text1"/>
                <w:kern w:val="0"/>
                <w:sz w:val="21"/>
                <w:szCs w:val="21"/>
                <w:lang w:eastAsia="zh-CN"/>
                <w14:textFill>
                  <w14:solidFill>
                    <w14:schemeClr w14:val="tx1"/>
                  </w14:solidFill>
                </w14:textFill>
              </w:rPr>
              <w:t>（1）在突发环境事件救援工作中的突出个人表彰和奖励；</w:t>
            </w:r>
          </w:p>
          <w:p>
            <w:pPr>
              <w:widowControl/>
              <w:jc w:val="center"/>
              <w:rPr>
                <w:rFonts w:asciiTheme="minorHAnsi" w:hAnsiTheme="minorHAnsi" w:eastAsiaTheme="minorEastAsia" w:cstheme="minorBidi"/>
                <w:color w:val="000000" w:themeColor="text1"/>
                <w:kern w:val="0"/>
                <w:sz w:val="21"/>
                <w:szCs w:val="21"/>
                <w:lang w:eastAsia="zh-CN"/>
                <w14:textFill>
                  <w14:solidFill>
                    <w14:schemeClr w14:val="tx1"/>
                  </w14:solidFill>
                </w14:textFill>
              </w:rPr>
            </w:pPr>
            <w:r>
              <w:rPr>
                <w:rFonts w:asciiTheme="minorHAnsi" w:hAnsiTheme="minorHAnsi" w:eastAsiaTheme="minorEastAsia" w:cstheme="minorBidi"/>
                <w:color w:val="000000" w:themeColor="text1"/>
                <w:kern w:val="0"/>
                <w:sz w:val="21"/>
                <w:szCs w:val="21"/>
                <w:lang w:eastAsia="zh-CN"/>
                <w14:textFill>
                  <w14:solidFill>
                    <w14:schemeClr w14:val="tx1"/>
                  </w14:solidFill>
                </w14:textFill>
              </w:rPr>
              <w:t>（2）造成突发环境事件的相关人员的追责和处罚；（3）在突发环境事件中致病、致残、死亡的人员，给予相应的补助和抚恤。对提供安置场所、应急物资的所有人给予适当补偿；</w:t>
            </w:r>
          </w:p>
          <w:p>
            <w:pPr>
              <w:widowControl/>
              <w:jc w:val="center"/>
              <w:rPr>
                <w:rFonts w:asciiTheme="minorHAnsi" w:hAnsiTheme="minorHAnsi" w:eastAsiaTheme="minorEastAsia" w:cstheme="minorBidi"/>
                <w:color w:val="000000" w:themeColor="text1"/>
                <w:kern w:val="0"/>
                <w:sz w:val="21"/>
                <w:szCs w:val="21"/>
                <w:lang w:eastAsia="zh-CN"/>
                <w14:textFill>
                  <w14:solidFill>
                    <w14:schemeClr w14:val="tx1"/>
                  </w14:solidFill>
                </w14:textFill>
              </w:rPr>
            </w:pPr>
            <w:r>
              <w:rPr>
                <w:rFonts w:asciiTheme="minorHAnsi" w:hAnsiTheme="minorHAnsi" w:eastAsiaTheme="minorEastAsia" w:cstheme="minorBidi"/>
                <w:color w:val="000000" w:themeColor="text1"/>
                <w:kern w:val="0"/>
                <w:sz w:val="21"/>
                <w:szCs w:val="21"/>
                <w:lang w:eastAsia="zh-CN"/>
                <w14:textFill>
                  <w14:solidFill>
                    <w14:schemeClr w14:val="tx1"/>
                  </w14:solidFill>
                </w14:textFill>
              </w:rPr>
              <w:t>（4）组织进行突发环境事件现场清理工作，使事发现场恢复到相对稳定、安全的基本状态，防止发生二次污染事故；</w:t>
            </w:r>
          </w:p>
          <w:p>
            <w:pPr>
              <w:widowControl/>
              <w:jc w:val="center"/>
              <w:rPr>
                <w:rFonts w:asciiTheme="minorHAnsi" w:hAnsiTheme="minorHAnsi" w:eastAsiaTheme="minorEastAsia" w:cstheme="minorBidi"/>
                <w:color w:val="000000" w:themeColor="text1"/>
                <w:kern w:val="0"/>
                <w:sz w:val="21"/>
                <w:szCs w:val="21"/>
                <w:lang w:eastAsia="zh-CN"/>
                <w14:textFill>
                  <w14:solidFill>
                    <w14:schemeClr w14:val="tx1"/>
                  </w14:solidFill>
                </w14:textFill>
              </w:rPr>
            </w:pPr>
            <w:r>
              <w:rPr>
                <w:rFonts w:asciiTheme="minorHAnsi" w:hAnsiTheme="minorHAnsi" w:eastAsiaTheme="minorEastAsia" w:cstheme="minorBidi"/>
                <w:color w:val="000000" w:themeColor="text1"/>
                <w:kern w:val="0"/>
                <w:sz w:val="21"/>
                <w:szCs w:val="21"/>
                <w:lang w:eastAsia="zh-CN"/>
                <w14:textFill>
                  <w14:solidFill>
                    <w14:schemeClr w14:val="tx1"/>
                  </w14:solidFill>
                </w14:textFill>
              </w:rPr>
              <w:t>（5）采取有效措施，确保受灾群众的正常生活。</w:t>
            </w:r>
          </w:p>
        </w:tc>
      </w:tr>
      <w:tr>
        <w:tblPrEx>
          <w:tblBorders>
            <w:top w:val="single" w:color="404040" w:sz="12" w:space="0"/>
            <w:left w:val="single" w:color="404040" w:sz="12" w:space="0"/>
            <w:bottom w:val="single" w:color="404040" w:sz="12" w:space="0"/>
            <w:right w:val="single" w:color="404040" w:sz="12" w:space="0"/>
            <w:insideH w:val="single" w:color="404040" w:sz="12" w:space="0"/>
            <w:insideV w:val="single" w:color="404040" w:sz="12" w:space="0"/>
          </w:tblBorders>
          <w:tblLayout w:type="fixed"/>
          <w:tblCellMar>
            <w:top w:w="0" w:type="dxa"/>
            <w:left w:w="0" w:type="dxa"/>
            <w:bottom w:w="0" w:type="dxa"/>
            <w:right w:w="0" w:type="dxa"/>
          </w:tblCellMar>
        </w:tblPrEx>
        <w:trPr>
          <w:trHeight w:val="309" w:hRule="atLeast"/>
        </w:trPr>
        <w:tc>
          <w:tcPr>
            <w:tcW w:w="1244" w:type="dxa"/>
            <w:tcBorders>
              <w:top w:val="single" w:color="404040" w:sz="4" w:space="0"/>
              <w:left w:val="single" w:color="auto" w:sz="12" w:space="0"/>
              <w:bottom w:val="single" w:color="auto" w:sz="12" w:space="0"/>
              <w:right w:val="single" w:color="404040" w:sz="4" w:space="0"/>
            </w:tcBorders>
            <w:vAlign w:val="center"/>
          </w:tcPr>
          <w:p>
            <w:pPr>
              <w:widowControl/>
              <w:jc w:val="center"/>
              <w:rPr>
                <w:rFonts w:asciiTheme="minorHAnsi" w:hAnsiTheme="minorHAnsi" w:eastAsiaTheme="minorEastAsia" w:cstheme="minorBidi"/>
                <w:color w:val="000000" w:themeColor="text1"/>
                <w:kern w:val="0"/>
                <w:sz w:val="21"/>
                <w:szCs w:val="21"/>
                <w:lang w:eastAsia="en-US"/>
                <w14:textFill>
                  <w14:solidFill>
                    <w14:schemeClr w14:val="tx1"/>
                  </w14:solidFill>
                </w14:textFill>
              </w:rPr>
            </w:pPr>
            <w:r>
              <w:rPr>
                <w:rFonts w:asciiTheme="minorHAnsi" w:hAnsiTheme="minorHAnsi" w:eastAsiaTheme="minorEastAsia" w:cstheme="minorBidi"/>
                <w:color w:val="000000" w:themeColor="text1"/>
                <w:kern w:val="0"/>
                <w:sz w:val="21"/>
                <w:szCs w:val="21"/>
                <w:lang w:eastAsia="en-US"/>
                <w14:textFill>
                  <w14:solidFill>
                    <w14:schemeClr w14:val="tx1"/>
                  </w14:solidFill>
                </w14:textFill>
              </w:rPr>
              <w:t>应急专家组</w:t>
            </w:r>
          </w:p>
        </w:tc>
        <w:tc>
          <w:tcPr>
            <w:tcW w:w="1772" w:type="dxa"/>
            <w:tcBorders>
              <w:top w:val="single" w:color="404040" w:sz="4" w:space="0"/>
              <w:left w:val="single" w:color="404040" w:sz="4" w:space="0"/>
              <w:bottom w:val="single" w:color="auto" w:sz="12" w:space="0"/>
              <w:right w:val="single" w:color="404040" w:sz="4" w:space="0"/>
            </w:tcBorders>
            <w:vAlign w:val="center"/>
          </w:tcPr>
          <w:p>
            <w:pPr>
              <w:widowControl/>
              <w:jc w:val="center"/>
              <w:rPr>
                <w:rFonts w:asciiTheme="minorHAnsi" w:hAnsiTheme="minorHAnsi" w:eastAsiaTheme="minorEastAsia" w:cstheme="minorBidi"/>
                <w:color w:val="000000" w:themeColor="text1"/>
                <w:kern w:val="0"/>
                <w:sz w:val="21"/>
                <w:szCs w:val="21"/>
                <w:lang w:eastAsia="zh-CN"/>
                <w14:textFill>
                  <w14:solidFill>
                    <w14:schemeClr w14:val="tx1"/>
                  </w14:solidFill>
                </w14:textFill>
              </w:rPr>
            </w:pPr>
            <w:r>
              <w:rPr>
                <w:rFonts w:asciiTheme="minorHAnsi" w:hAnsiTheme="minorHAnsi" w:eastAsiaTheme="minorEastAsia" w:cstheme="minorBidi"/>
                <w:color w:val="000000" w:themeColor="text1"/>
                <w:kern w:val="0"/>
                <w:sz w:val="21"/>
                <w:szCs w:val="21"/>
                <w:lang w:eastAsia="zh-CN"/>
                <w14:textFill>
                  <w14:solidFill>
                    <w14:schemeClr w14:val="tx1"/>
                  </w14:solidFill>
                </w14:textFill>
              </w:rPr>
              <w:t>为参谋机构，可由企业内部或外界应急管理、工程技术、安全生产、环境保护方面的专家组成</w:t>
            </w:r>
          </w:p>
        </w:tc>
        <w:tc>
          <w:tcPr>
            <w:tcW w:w="4253" w:type="dxa"/>
            <w:tcBorders>
              <w:top w:val="single" w:color="404040" w:sz="4" w:space="0"/>
              <w:left w:val="single" w:color="404040" w:sz="4" w:space="0"/>
              <w:bottom w:val="single" w:color="auto" w:sz="12" w:space="0"/>
              <w:right w:val="single" w:color="404040" w:sz="4" w:space="0"/>
            </w:tcBorders>
            <w:vAlign w:val="center"/>
          </w:tcPr>
          <w:p>
            <w:pPr>
              <w:widowControl/>
              <w:jc w:val="center"/>
              <w:rPr>
                <w:rFonts w:asciiTheme="minorHAnsi" w:hAnsiTheme="minorHAnsi" w:eastAsiaTheme="minorEastAsia" w:cstheme="minorBidi"/>
                <w:color w:val="000000" w:themeColor="text1"/>
                <w:kern w:val="0"/>
                <w:sz w:val="21"/>
                <w:szCs w:val="21"/>
                <w:lang w:eastAsia="zh-CN"/>
                <w14:textFill>
                  <w14:solidFill>
                    <w14:schemeClr w14:val="tx1"/>
                  </w14:solidFill>
                </w14:textFill>
              </w:rPr>
            </w:pPr>
            <w:r>
              <w:rPr>
                <w:rFonts w:asciiTheme="minorHAnsi" w:hAnsiTheme="minorHAnsi" w:eastAsiaTheme="minorEastAsia" w:cstheme="minorBidi"/>
                <w:color w:val="000000" w:themeColor="text1"/>
                <w:kern w:val="0"/>
                <w:sz w:val="21"/>
                <w:szCs w:val="21"/>
                <w:lang w:eastAsia="zh-CN"/>
                <w14:textFill>
                  <w14:solidFill>
                    <w14:schemeClr w14:val="tx1"/>
                  </w14:solidFill>
                </w14:textFill>
              </w:rPr>
              <w:t>指导企业进行日常的应急工作，包括培训、演练、隐患整改等。</w:t>
            </w:r>
          </w:p>
        </w:tc>
        <w:tc>
          <w:tcPr>
            <w:tcW w:w="6721" w:type="dxa"/>
            <w:tcBorders>
              <w:top w:val="single" w:color="404040" w:sz="4" w:space="0"/>
              <w:left w:val="single" w:color="404040" w:sz="4" w:space="0"/>
              <w:bottom w:val="single" w:color="auto" w:sz="12" w:space="0"/>
              <w:right w:val="single" w:color="auto" w:sz="12" w:space="0"/>
            </w:tcBorders>
            <w:vAlign w:val="center"/>
          </w:tcPr>
          <w:p>
            <w:pPr>
              <w:widowControl/>
              <w:jc w:val="center"/>
              <w:rPr>
                <w:rFonts w:asciiTheme="minorHAnsi" w:hAnsiTheme="minorHAnsi" w:eastAsiaTheme="minorEastAsia" w:cstheme="minorBidi"/>
                <w:color w:val="000000" w:themeColor="text1"/>
                <w:kern w:val="0"/>
                <w:sz w:val="21"/>
                <w:szCs w:val="21"/>
                <w:lang w:eastAsia="zh-CN"/>
                <w14:textFill>
                  <w14:solidFill>
                    <w14:schemeClr w14:val="tx1"/>
                  </w14:solidFill>
                </w14:textFill>
              </w:rPr>
            </w:pPr>
            <w:r>
              <w:rPr>
                <w:rFonts w:asciiTheme="minorHAnsi" w:hAnsiTheme="minorHAnsi" w:eastAsiaTheme="minorEastAsia" w:cstheme="minorBidi"/>
                <w:color w:val="000000" w:themeColor="text1"/>
                <w:kern w:val="0"/>
                <w:sz w:val="21"/>
                <w:szCs w:val="21"/>
                <w:lang w:eastAsia="zh-CN"/>
                <w14:textFill>
                  <w14:solidFill>
                    <w14:schemeClr w14:val="tx1"/>
                  </w14:solidFill>
                </w14:textFill>
              </w:rPr>
              <w:t>为现场应急处置行动提供技术支持。</w:t>
            </w:r>
          </w:p>
        </w:tc>
      </w:tr>
    </w:tbl>
    <w:p>
      <w:pPr>
        <w:pStyle w:val="283"/>
        <w:rPr>
          <w:color w:val="000000" w:themeColor="text1"/>
          <w14:textFill>
            <w14:solidFill>
              <w14:schemeClr w14:val="tx1"/>
            </w14:solidFill>
          </w14:textFill>
        </w:rPr>
        <w:sectPr>
          <w:pgSz w:w="16840" w:h="11907" w:orient="landscape"/>
          <w:pgMar w:top="1797" w:right="1440" w:bottom="1514" w:left="1440" w:header="992" w:footer="851" w:gutter="284"/>
          <w:pgNumType w:fmt="numberInDash"/>
          <w:cols w:space="425" w:num="1"/>
          <w:docGrid w:type="linesAndChars" w:linePitch="465" w:charSpace="-4355"/>
        </w:sectPr>
      </w:pPr>
    </w:p>
    <w:p>
      <w:pPr>
        <w:pStyle w:val="6"/>
        <w:rPr>
          <w:color w:val="000000" w:themeColor="text1"/>
          <w14:textFill>
            <w14:solidFill>
              <w14:schemeClr w14:val="tx1"/>
            </w14:solidFill>
          </w14:textFill>
        </w:rPr>
      </w:pPr>
      <w:r>
        <w:rPr>
          <w:color w:val="000000" w:themeColor="text1"/>
          <w14:textFill>
            <w14:solidFill>
              <w14:schemeClr w14:val="tx1"/>
            </w14:solidFill>
          </w14:textFill>
        </w:rPr>
        <w:t>应急设备</w:t>
      </w:r>
    </w:p>
    <w:p>
      <w:pPr>
        <w:pStyle w:val="283"/>
        <w:rPr>
          <w:color w:val="000000" w:themeColor="text1"/>
          <w14:textFill>
            <w14:solidFill>
              <w14:schemeClr w14:val="tx1"/>
            </w14:solidFill>
          </w14:textFill>
        </w:rPr>
      </w:pPr>
      <w:r>
        <w:rPr>
          <w:rFonts w:hint="eastAsia"/>
          <w:color w:val="000000" w:themeColor="text1"/>
          <w14:textFill>
            <w14:solidFill>
              <w14:schemeClr w14:val="tx1"/>
            </w14:solidFill>
          </w14:textFill>
        </w:rPr>
        <w:t>一、</w:t>
      </w:r>
      <w:r>
        <w:rPr>
          <w:color w:val="000000" w:themeColor="text1"/>
          <w14:textFill>
            <w14:solidFill>
              <w14:schemeClr w14:val="tx1"/>
            </w14:solidFill>
          </w14:textFill>
        </w:rPr>
        <w:t>企业自身应急设施配备</w:t>
      </w:r>
    </w:p>
    <w:p>
      <w:pPr>
        <w:pStyle w:val="283"/>
        <w:rPr>
          <w:color w:val="000000" w:themeColor="text1"/>
          <w14:textFill>
            <w14:solidFill>
              <w14:schemeClr w14:val="tx1"/>
            </w14:solidFill>
          </w14:textFill>
        </w:rPr>
      </w:pPr>
      <w:r>
        <w:rPr>
          <w:rFonts w:hint="eastAsia"/>
          <w:color w:val="000000" w:themeColor="text1"/>
          <w14:textFill>
            <w14:solidFill>
              <w14:schemeClr w14:val="tx1"/>
            </w14:solidFill>
          </w14:textFill>
        </w:rPr>
        <w:t>7号8号泊位与9号10号泊位为同一运营单位，泊位后方陆域水上污染事故应急设备库配备</w:t>
      </w:r>
      <w:r>
        <w:rPr>
          <w:color w:val="000000" w:themeColor="text1"/>
          <w14:textFill>
            <w14:solidFill>
              <w14:schemeClr w14:val="tx1"/>
            </w14:solidFill>
          </w14:textFill>
        </w:rPr>
        <w:t>环境风险应急物资和设备见表</w:t>
      </w:r>
      <w:r>
        <w:rPr>
          <w:rFonts w:hint="eastAsia"/>
          <w:color w:val="000000" w:themeColor="text1"/>
          <w14:textFill>
            <w14:solidFill>
              <w14:schemeClr w14:val="tx1"/>
            </w14:solidFill>
          </w14:textFill>
        </w:rPr>
        <w:t>2.1-4。本项目为自动化集装箱码头，不属于从事油类物质和类油类物质的码头，参照《港口码头水上污染事故应急防备能力要求》（JT/T 451-2017）中表4 海港其他码头水上溢油应急设施、设备、物资配备要求，20万吨级海港码头应配备的应急物资要求及本项目配备情况见表4.6-15。</w:t>
      </w:r>
    </w:p>
    <w:p>
      <w:pPr>
        <w:pStyle w:val="384"/>
        <w:ind w:left="0" w:firstLine="0"/>
        <w:rPr>
          <w:rFonts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海港其他码头水上溢油应急设施、设备、物资配备要求</w:t>
      </w:r>
    </w:p>
    <w:tbl>
      <w:tblPr>
        <w:tblStyle w:val="89"/>
        <w:tblW w:w="8528" w:type="dxa"/>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1383"/>
        <w:gridCol w:w="2410"/>
        <w:gridCol w:w="2695"/>
        <w:gridCol w:w="1276"/>
        <w:gridCol w:w="764"/>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c>
          <w:tcPr>
            <w:tcW w:w="3793" w:type="dxa"/>
            <w:gridSpan w:val="2"/>
            <w:vMerge w:val="restart"/>
            <w:vAlign w:val="center"/>
          </w:tcPr>
          <w:p>
            <w:pPr>
              <w:widowControl/>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设备名称</w:t>
            </w:r>
          </w:p>
        </w:tc>
        <w:tc>
          <w:tcPr>
            <w:tcW w:w="2695" w:type="dxa"/>
            <w:vAlign w:val="center"/>
          </w:tcPr>
          <w:p>
            <w:pPr>
              <w:widowControl/>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靠泊能力</w:t>
            </w:r>
          </w:p>
        </w:tc>
        <w:tc>
          <w:tcPr>
            <w:tcW w:w="1276" w:type="dxa"/>
            <w:vMerge w:val="restart"/>
            <w:vAlign w:val="center"/>
          </w:tcPr>
          <w:p>
            <w:pPr>
              <w:widowControl/>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本项目配备情况</w:t>
            </w:r>
          </w:p>
        </w:tc>
        <w:tc>
          <w:tcPr>
            <w:tcW w:w="764" w:type="dxa"/>
            <w:vMerge w:val="restart"/>
            <w:vAlign w:val="center"/>
          </w:tcPr>
          <w:p>
            <w:pPr>
              <w:widowControl/>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是否符合</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c>
          <w:tcPr>
            <w:tcW w:w="3793" w:type="dxa"/>
            <w:gridSpan w:val="2"/>
            <w:vMerge w:val="continue"/>
            <w:vAlign w:val="center"/>
          </w:tcPr>
          <w:p>
            <w:pPr>
              <w:widowControl/>
              <w:jc w:val="center"/>
              <w:rPr>
                <w:color w:val="000000" w:themeColor="text1"/>
                <w:kern w:val="0"/>
                <w:sz w:val="21"/>
                <w:szCs w:val="21"/>
                <w14:textFill>
                  <w14:solidFill>
                    <w14:schemeClr w14:val="tx1"/>
                  </w14:solidFill>
                </w14:textFill>
              </w:rPr>
            </w:pPr>
          </w:p>
        </w:tc>
        <w:tc>
          <w:tcPr>
            <w:tcW w:w="2695" w:type="dxa"/>
            <w:vAlign w:val="center"/>
          </w:tcPr>
          <w:p>
            <w:pPr>
              <w:widowControl/>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150000吨级～3000000吨级</w:t>
            </w:r>
          </w:p>
        </w:tc>
        <w:tc>
          <w:tcPr>
            <w:tcW w:w="1276" w:type="dxa"/>
            <w:vMerge w:val="continue"/>
            <w:vAlign w:val="center"/>
          </w:tcPr>
          <w:p>
            <w:pPr>
              <w:widowControl/>
              <w:jc w:val="center"/>
              <w:rPr>
                <w:color w:val="000000" w:themeColor="text1"/>
                <w:kern w:val="0"/>
                <w:sz w:val="21"/>
                <w:szCs w:val="21"/>
                <w14:textFill>
                  <w14:solidFill>
                    <w14:schemeClr w14:val="tx1"/>
                  </w14:solidFill>
                </w14:textFill>
              </w:rPr>
            </w:pPr>
          </w:p>
        </w:tc>
        <w:tc>
          <w:tcPr>
            <w:tcW w:w="764" w:type="dxa"/>
            <w:vMerge w:val="continue"/>
            <w:vAlign w:val="center"/>
          </w:tcPr>
          <w:p>
            <w:pPr>
              <w:widowControl/>
              <w:jc w:val="center"/>
              <w:rPr>
                <w:color w:val="000000" w:themeColor="text1"/>
                <w:kern w:val="0"/>
                <w:sz w:val="21"/>
                <w:szCs w:val="21"/>
                <w14:textFill>
                  <w14:solidFill>
                    <w14:schemeClr w14:val="tx1"/>
                  </w14:solidFill>
                </w14:textFill>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c>
          <w:tcPr>
            <w:tcW w:w="1383" w:type="dxa"/>
            <w:vAlign w:val="center"/>
          </w:tcPr>
          <w:p>
            <w:pPr>
              <w:widowControl/>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围油栏</w:t>
            </w:r>
          </w:p>
        </w:tc>
        <w:tc>
          <w:tcPr>
            <w:tcW w:w="2410" w:type="dxa"/>
            <w:vAlign w:val="center"/>
          </w:tcPr>
          <w:p>
            <w:pPr>
              <w:widowControl/>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应急型（m）</w:t>
            </w:r>
          </w:p>
        </w:tc>
        <w:tc>
          <w:tcPr>
            <w:tcW w:w="2695" w:type="dxa"/>
            <w:vAlign w:val="center"/>
          </w:tcPr>
          <w:p>
            <w:pPr>
              <w:widowControl/>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不低于最大设计船型设计船长的3倍</w:t>
            </w:r>
          </w:p>
        </w:tc>
        <w:tc>
          <w:tcPr>
            <w:tcW w:w="1276" w:type="dxa"/>
            <w:vAlign w:val="center"/>
          </w:tcPr>
          <w:p>
            <w:pPr>
              <w:widowControl/>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1500</w:t>
            </w:r>
          </w:p>
        </w:tc>
        <w:tc>
          <w:tcPr>
            <w:tcW w:w="764" w:type="dxa"/>
            <w:vAlign w:val="center"/>
          </w:tcPr>
          <w:p>
            <w:pPr>
              <w:widowControl/>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是</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c>
          <w:tcPr>
            <w:tcW w:w="1383" w:type="dxa"/>
            <w:vAlign w:val="center"/>
          </w:tcPr>
          <w:p>
            <w:pPr>
              <w:widowControl/>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收油机</w:t>
            </w:r>
          </w:p>
        </w:tc>
        <w:tc>
          <w:tcPr>
            <w:tcW w:w="2410" w:type="dxa"/>
            <w:vAlign w:val="center"/>
          </w:tcPr>
          <w:p>
            <w:pPr>
              <w:widowControl/>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总能力（m</w:t>
            </w:r>
            <w:r>
              <w:rPr>
                <w:rFonts w:hint="eastAsia"/>
                <w:color w:val="000000" w:themeColor="text1"/>
                <w:kern w:val="0"/>
                <w:sz w:val="21"/>
                <w:szCs w:val="21"/>
                <w:vertAlign w:val="superscript"/>
                <w14:textFill>
                  <w14:solidFill>
                    <w14:schemeClr w14:val="tx1"/>
                  </w14:solidFill>
                </w14:textFill>
              </w:rPr>
              <w:t>3</w:t>
            </w:r>
            <w:r>
              <w:rPr>
                <w:rFonts w:hint="eastAsia"/>
                <w:color w:val="000000" w:themeColor="text1"/>
                <w:kern w:val="0"/>
                <w:sz w:val="21"/>
                <w:szCs w:val="21"/>
                <w14:textFill>
                  <w14:solidFill>
                    <w14:schemeClr w14:val="tx1"/>
                  </w14:solidFill>
                </w14:textFill>
              </w:rPr>
              <w:t>/h）</w:t>
            </w:r>
          </w:p>
        </w:tc>
        <w:tc>
          <w:tcPr>
            <w:tcW w:w="2695" w:type="dxa"/>
            <w:vAlign w:val="center"/>
          </w:tcPr>
          <w:p>
            <w:pPr>
              <w:widowControl/>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12.5</w:t>
            </w:r>
          </w:p>
        </w:tc>
        <w:tc>
          <w:tcPr>
            <w:tcW w:w="1276" w:type="dxa"/>
            <w:vAlign w:val="center"/>
          </w:tcPr>
          <w:p>
            <w:pPr>
              <w:widowControl/>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18.6</w:t>
            </w:r>
          </w:p>
        </w:tc>
        <w:tc>
          <w:tcPr>
            <w:tcW w:w="764" w:type="dxa"/>
            <w:vAlign w:val="center"/>
          </w:tcPr>
          <w:p>
            <w:pPr>
              <w:widowControl/>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是</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c>
          <w:tcPr>
            <w:tcW w:w="1383" w:type="dxa"/>
            <w:vAlign w:val="center"/>
          </w:tcPr>
          <w:p>
            <w:pPr>
              <w:widowControl/>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油拖网</w:t>
            </w:r>
          </w:p>
        </w:tc>
        <w:tc>
          <w:tcPr>
            <w:tcW w:w="2410" w:type="dxa"/>
            <w:vAlign w:val="center"/>
          </w:tcPr>
          <w:p>
            <w:pPr>
              <w:widowControl/>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数量（套）</w:t>
            </w:r>
          </w:p>
        </w:tc>
        <w:tc>
          <w:tcPr>
            <w:tcW w:w="2695" w:type="dxa"/>
            <w:vAlign w:val="center"/>
          </w:tcPr>
          <w:p>
            <w:pPr>
              <w:widowControl/>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1</w:t>
            </w:r>
          </w:p>
        </w:tc>
        <w:tc>
          <w:tcPr>
            <w:tcW w:w="1276" w:type="dxa"/>
            <w:vAlign w:val="center"/>
          </w:tcPr>
          <w:p>
            <w:pPr>
              <w:widowControl/>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2</w:t>
            </w:r>
          </w:p>
        </w:tc>
        <w:tc>
          <w:tcPr>
            <w:tcW w:w="764" w:type="dxa"/>
            <w:vAlign w:val="center"/>
          </w:tcPr>
          <w:p>
            <w:pPr>
              <w:widowControl/>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是</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c>
          <w:tcPr>
            <w:tcW w:w="1383" w:type="dxa"/>
            <w:vAlign w:val="center"/>
          </w:tcPr>
          <w:p>
            <w:pPr>
              <w:widowControl/>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吸油材料</w:t>
            </w:r>
          </w:p>
        </w:tc>
        <w:tc>
          <w:tcPr>
            <w:tcW w:w="2410" w:type="dxa"/>
            <w:vAlign w:val="center"/>
          </w:tcPr>
          <w:p>
            <w:pPr>
              <w:widowControl/>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数量（t）</w:t>
            </w:r>
          </w:p>
        </w:tc>
        <w:tc>
          <w:tcPr>
            <w:tcW w:w="2695" w:type="dxa"/>
            <w:vAlign w:val="center"/>
          </w:tcPr>
          <w:p>
            <w:pPr>
              <w:widowControl/>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2</w:t>
            </w:r>
          </w:p>
        </w:tc>
        <w:tc>
          <w:tcPr>
            <w:tcW w:w="1276" w:type="dxa"/>
            <w:vAlign w:val="center"/>
          </w:tcPr>
          <w:p>
            <w:pPr>
              <w:widowControl/>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5.75</w:t>
            </w:r>
          </w:p>
        </w:tc>
        <w:tc>
          <w:tcPr>
            <w:tcW w:w="764" w:type="dxa"/>
            <w:vAlign w:val="center"/>
          </w:tcPr>
          <w:p>
            <w:pPr>
              <w:widowControl/>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是</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c>
          <w:tcPr>
            <w:tcW w:w="1383" w:type="dxa"/>
            <w:vAlign w:val="center"/>
          </w:tcPr>
          <w:p>
            <w:pPr>
              <w:widowControl/>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溢油分散剂</w:t>
            </w:r>
          </w:p>
        </w:tc>
        <w:tc>
          <w:tcPr>
            <w:tcW w:w="2410" w:type="dxa"/>
            <w:vAlign w:val="center"/>
          </w:tcPr>
          <w:p>
            <w:pPr>
              <w:widowControl/>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浓缩型溢油分散，数量（t）</w:t>
            </w:r>
          </w:p>
        </w:tc>
        <w:tc>
          <w:tcPr>
            <w:tcW w:w="2695" w:type="dxa"/>
            <w:vAlign w:val="center"/>
          </w:tcPr>
          <w:p>
            <w:pPr>
              <w:widowControl/>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1.5</w:t>
            </w:r>
          </w:p>
        </w:tc>
        <w:tc>
          <w:tcPr>
            <w:tcW w:w="1276" w:type="dxa"/>
            <w:vAlign w:val="center"/>
          </w:tcPr>
          <w:p>
            <w:pPr>
              <w:widowControl/>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1.71</w:t>
            </w:r>
          </w:p>
        </w:tc>
        <w:tc>
          <w:tcPr>
            <w:tcW w:w="764" w:type="dxa"/>
            <w:vAlign w:val="center"/>
          </w:tcPr>
          <w:p>
            <w:pPr>
              <w:widowControl/>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是</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c>
          <w:tcPr>
            <w:tcW w:w="1383" w:type="dxa"/>
            <w:vAlign w:val="center"/>
          </w:tcPr>
          <w:p>
            <w:pPr>
              <w:widowControl/>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溢油分散剂喷洒装置</w:t>
            </w:r>
          </w:p>
        </w:tc>
        <w:tc>
          <w:tcPr>
            <w:tcW w:w="2410" w:type="dxa"/>
            <w:vAlign w:val="center"/>
          </w:tcPr>
          <w:p>
            <w:pPr>
              <w:widowControl/>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数量（套）</w:t>
            </w:r>
          </w:p>
        </w:tc>
        <w:tc>
          <w:tcPr>
            <w:tcW w:w="2695" w:type="dxa"/>
            <w:vAlign w:val="center"/>
          </w:tcPr>
          <w:p>
            <w:pPr>
              <w:widowControl/>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1</w:t>
            </w:r>
          </w:p>
        </w:tc>
        <w:tc>
          <w:tcPr>
            <w:tcW w:w="1276" w:type="dxa"/>
            <w:vAlign w:val="center"/>
          </w:tcPr>
          <w:p>
            <w:pPr>
              <w:widowControl/>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3</w:t>
            </w:r>
          </w:p>
        </w:tc>
        <w:tc>
          <w:tcPr>
            <w:tcW w:w="764" w:type="dxa"/>
            <w:vAlign w:val="center"/>
          </w:tcPr>
          <w:p>
            <w:pPr>
              <w:widowControl/>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是</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c>
          <w:tcPr>
            <w:tcW w:w="1383" w:type="dxa"/>
            <w:vAlign w:val="center"/>
          </w:tcPr>
          <w:p>
            <w:pPr>
              <w:widowControl/>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储存装置</w:t>
            </w:r>
          </w:p>
        </w:tc>
        <w:tc>
          <w:tcPr>
            <w:tcW w:w="2410" w:type="dxa"/>
            <w:vAlign w:val="center"/>
          </w:tcPr>
          <w:p>
            <w:pPr>
              <w:widowControl/>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有效容积（m</w:t>
            </w:r>
            <w:r>
              <w:rPr>
                <w:rFonts w:hint="eastAsia"/>
                <w:color w:val="000000" w:themeColor="text1"/>
                <w:kern w:val="0"/>
                <w:sz w:val="21"/>
                <w:szCs w:val="21"/>
                <w:vertAlign w:val="superscript"/>
                <w14:textFill>
                  <w14:solidFill>
                    <w14:schemeClr w14:val="tx1"/>
                  </w14:solidFill>
                </w14:textFill>
              </w:rPr>
              <w:t>3</w:t>
            </w:r>
            <w:r>
              <w:rPr>
                <w:rFonts w:hint="eastAsia"/>
                <w:color w:val="000000" w:themeColor="text1"/>
                <w:kern w:val="0"/>
                <w:sz w:val="21"/>
                <w:szCs w:val="21"/>
                <w14:textFill>
                  <w14:solidFill>
                    <w14:schemeClr w14:val="tx1"/>
                  </w14:solidFill>
                </w14:textFill>
              </w:rPr>
              <w:t>）</w:t>
            </w:r>
          </w:p>
        </w:tc>
        <w:tc>
          <w:tcPr>
            <w:tcW w:w="2695" w:type="dxa"/>
            <w:vAlign w:val="center"/>
          </w:tcPr>
          <w:p>
            <w:pPr>
              <w:widowControl/>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12</w:t>
            </w:r>
          </w:p>
        </w:tc>
        <w:tc>
          <w:tcPr>
            <w:tcW w:w="1276" w:type="dxa"/>
            <w:vAlign w:val="center"/>
          </w:tcPr>
          <w:p>
            <w:pPr>
              <w:widowControl/>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67</w:t>
            </w:r>
          </w:p>
        </w:tc>
        <w:tc>
          <w:tcPr>
            <w:tcW w:w="764" w:type="dxa"/>
            <w:vAlign w:val="center"/>
          </w:tcPr>
          <w:p>
            <w:pPr>
              <w:widowControl/>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是</w:t>
            </w:r>
          </w:p>
        </w:tc>
      </w:tr>
    </w:tbl>
    <w:p>
      <w:pPr>
        <w:pStyle w:val="283"/>
        <w:rPr>
          <w:color w:val="000000" w:themeColor="text1"/>
          <w14:textFill>
            <w14:solidFill>
              <w14:schemeClr w14:val="tx1"/>
            </w14:solidFill>
          </w14:textFill>
        </w:rPr>
      </w:pPr>
      <w:r>
        <w:rPr>
          <w:rFonts w:hint="eastAsia"/>
          <w:color w:val="000000" w:themeColor="text1"/>
          <w14:textFill>
            <w14:solidFill>
              <w14:schemeClr w14:val="tx1"/>
            </w14:solidFill>
          </w14:textFill>
        </w:rPr>
        <w:t>由上表可知，已配备的应急物资符合20万吨级海港码头应急设施、设备、物资配备要求，本次评价不新增</w:t>
      </w:r>
      <w:r>
        <w:rPr>
          <w:color w:val="000000" w:themeColor="text1"/>
          <w14:textFill>
            <w14:solidFill>
              <w14:schemeClr w14:val="tx1"/>
            </w14:solidFill>
          </w14:textFill>
        </w:rPr>
        <w:t>应急物资</w:t>
      </w:r>
      <w:r>
        <w:rPr>
          <w:rFonts w:hint="eastAsia"/>
          <w:color w:val="000000" w:themeColor="text1"/>
          <w14:textFill>
            <w14:solidFill>
              <w14:schemeClr w14:val="tx1"/>
            </w14:solidFill>
          </w14:textFill>
        </w:rPr>
        <w:t>。</w:t>
      </w:r>
    </w:p>
    <w:p>
      <w:pPr>
        <w:pStyle w:val="283"/>
        <w:rPr>
          <w:color w:val="000000" w:themeColor="text1"/>
          <w14:textFill>
            <w14:solidFill>
              <w14:schemeClr w14:val="tx1"/>
            </w14:solidFill>
          </w14:textFill>
        </w:rPr>
      </w:pPr>
      <w:r>
        <w:rPr>
          <w:color w:val="000000" w:themeColor="text1"/>
          <w14:textFill>
            <w14:solidFill>
              <w14:schemeClr w14:val="tx1"/>
            </w14:solidFill>
          </w14:textFill>
        </w:rPr>
        <w:t>二、依托设备</w:t>
      </w:r>
    </w:p>
    <w:p>
      <w:pPr>
        <w:pStyle w:val="283"/>
        <w:rPr>
          <w:color w:val="000000" w:themeColor="text1"/>
          <w14:textFill>
            <w14:solidFill>
              <w14:schemeClr w14:val="tx1"/>
            </w14:solidFill>
          </w14:textFill>
        </w:rPr>
      </w:pPr>
      <w:r>
        <w:rPr>
          <w:rFonts w:hint="eastAsia"/>
          <w:color w:val="000000" w:themeColor="text1"/>
          <w14:textFill>
            <w14:solidFill>
              <w14:schemeClr w14:val="tx1"/>
            </w14:solidFill>
          </w14:textFill>
        </w:rPr>
        <w:t>本项目溢油应急力量还可依托周边现有应急设备，根据《北部湾港总体规划（2035年）</w:t>
      </w:r>
      <w:r>
        <w:rPr>
          <w:rFonts w:hint="eastAsia"/>
          <w:color w:val="000000" w:themeColor="text1"/>
          <w:lang w:eastAsia="zh-CN"/>
          <w14:textFill>
            <w14:solidFill>
              <w14:schemeClr w14:val="tx1"/>
            </w14:solidFill>
          </w14:textFill>
        </w:rPr>
        <w:t>》《</w:t>
      </w:r>
      <w:r>
        <w:rPr>
          <w:rFonts w:hint="eastAsia"/>
          <w:color w:val="000000" w:themeColor="text1"/>
          <w14:textFill>
            <w14:solidFill>
              <w14:schemeClr w14:val="tx1"/>
            </w14:solidFill>
          </w14:textFill>
        </w:rPr>
        <w:t>钦州港总体规划（2035年）》，项目所在海域周边应急资源分布如下：</w:t>
      </w:r>
    </w:p>
    <w:p>
      <w:pPr>
        <w:pStyle w:val="283"/>
        <w:rPr>
          <w:b/>
          <w:color w:val="000000" w:themeColor="text1"/>
          <w14:textFill>
            <w14:solidFill>
              <w14:schemeClr w14:val="tx1"/>
            </w14:solidFill>
          </w14:textFill>
        </w:rPr>
      </w:pPr>
      <w:r>
        <w:rPr>
          <w:rFonts w:hint="eastAsia"/>
          <w:color w:val="000000" w:themeColor="text1"/>
          <w14:textFill>
            <w14:solidFill>
              <w14:schemeClr w14:val="tx1"/>
            </w14:solidFill>
          </w14:textFill>
        </w:rPr>
        <w:t>①广西海事局应急资源</w:t>
      </w:r>
    </w:p>
    <w:p>
      <w:pPr>
        <w:pStyle w:val="283"/>
        <w:rPr>
          <w:color w:val="000000" w:themeColor="text1"/>
          <w14:textFill>
            <w14:solidFill>
              <w14:schemeClr w14:val="tx1"/>
            </w14:solidFill>
          </w14:textFill>
        </w:rPr>
      </w:pPr>
      <w:r>
        <w:rPr>
          <w:rFonts w:hint="eastAsia"/>
          <w:color w:val="000000" w:themeColor="text1"/>
          <w14:textFill>
            <w14:solidFill>
              <w14:schemeClr w14:val="tx1"/>
            </w14:solidFill>
          </w14:textFill>
        </w:rPr>
        <w:t>根据广西海事局统计资料，广西海事局辖区内现有溢油应急资源由海事局应急设备库、码头企业应急设备库和专业清污单位应急设备库组成，主要包括浮油回收船</w:t>
      </w:r>
      <w:r>
        <w:rPr>
          <w:color w:val="000000" w:themeColor="text1"/>
          <w14:textFill>
            <w14:solidFill>
              <w14:schemeClr w14:val="tx1"/>
            </w14:solidFill>
          </w14:textFill>
        </w:rPr>
        <w:t>12</w:t>
      </w:r>
      <w:r>
        <w:rPr>
          <w:rFonts w:hint="eastAsia"/>
          <w:color w:val="000000" w:themeColor="text1"/>
          <w14:textFill>
            <w14:solidFill>
              <w14:schemeClr w14:val="tx1"/>
            </w14:solidFill>
          </w14:textFill>
        </w:rPr>
        <w:t>艘，应急辅助船</w:t>
      </w:r>
      <w:r>
        <w:rPr>
          <w:color w:val="000000" w:themeColor="text1"/>
          <w14:textFill>
            <w14:solidFill>
              <w14:schemeClr w14:val="tx1"/>
            </w14:solidFill>
          </w14:textFill>
        </w:rPr>
        <w:t>56</w:t>
      </w:r>
      <w:r>
        <w:rPr>
          <w:rFonts w:hint="eastAsia"/>
          <w:color w:val="000000" w:themeColor="text1"/>
          <w14:textFill>
            <w14:solidFill>
              <w14:schemeClr w14:val="tx1"/>
            </w14:solidFill>
          </w14:textFill>
        </w:rPr>
        <w:t>艘，收油机</w:t>
      </w:r>
      <w:r>
        <w:rPr>
          <w:color w:val="000000" w:themeColor="text1"/>
          <w14:textFill>
            <w14:solidFill>
              <w14:schemeClr w14:val="tx1"/>
            </w14:solidFill>
          </w14:textFill>
        </w:rPr>
        <w:t>52</w:t>
      </w:r>
      <w:r>
        <w:rPr>
          <w:rFonts w:hint="eastAsia"/>
          <w:color w:val="000000" w:themeColor="text1"/>
          <w14:textFill>
            <w14:solidFill>
              <w14:schemeClr w14:val="tx1"/>
            </w14:solidFill>
          </w14:textFill>
        </w:rPr>
        <w:t>台，围油栏</w:t>
      </w:r>
      <w:r>
        <w:rPr>
          <w:color w:val="000000" w:themeColor="text1"/>
          <w14:textFill>
            <w14:solidFill>
              <w14:schemeClr w14:val="tx1"/>
            </w14:solidFill>
          </w14:textFill>
        </w:rPr>
        <w:t>59930m</w:t>
      </w:r>
      <w:r>
        <w:rPr>
          <w:rFonts w:hint="eastAsia"/>
          <w:color w:val="000000" w:themeColor="text1"/>
          <w14:textFill>
            <w14:solidFill>
              <w14:schemeClr w14:val="tx1"/>
            </w14:solidFill>
          </w14:textFill>
        </w:rPr>
        <w:t>，吸油拖栏</w:t>
      </w:r>
      <w:r>
        <w:rPr>
          <w:color w:val="000000" w:themeColor="text1"/>
          <w14:textFill>
            <w14:solidFill>
              <w14:schemeClr w14:val="tx1"/>
            </w14:solidFill>
          </w14:textFill>
        </w:rPr>
        <w:t>26968m</w:t>
      </w:r>
      <w:r>
        <w:rPr>
          <w:rFonts w:hint="eastAsia"/>
          <w:color w:val="000000" w:themeColor="text1"/>
          <w14:textFill>
            <w14:solidFill>
              <w14:schemeClr w14:val="tx1"/>
            </w14:solidFill>
          </w14:textFill>
        </w:rPr>
        <w:t>。详见下表4</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6</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16。</w:t>
      </w:r>
    </w:p>
    <w:p>
      <w:pPr>
        <w:pStyle w:val="283"/>
        <w:rPr>
          <w:color w:val="000000" w:themeColor="text1"/>
          <w14:textFill>
            <w14:solidFill>
              <w14:schemeClr w14:val="tx1"/>
            </w14:solidFill>
          </w14:textFill>
        </w:rPr>
      </w:pPr>
      <w:r>
        <w:rPr>
          <w:rFonts w:hint="eastAsia"/>
          <w:color w:val="000000" w:themeColor="text1"/>
          <w14:textFill>
            <w14:solidFill>
              <w14:schemeClr w14:val="tx1"/>
            </w14:solidFill>
          </w14:textFill>
        </w:rPr>
        <w:t>②钦州溢油应急设备库</w:t>
      </w:r>
    </w:p>
    <w:p>
      <w:pPr>
        <w:pStyle w:val="283"/>
        <w:rPr>
          <w:color w:val="000000" w:themeColor="text1"/>
          <w14:textFill>
            <w14:solidFill>
              <w14:schemeClr w14:val="tx1"/>
            </w14:solidFill>
          </w14:textFill>
        </w:rPr>
      </w:pPr>
      <w:r>
        <w:rPr>
          <w:rFonts w:hint="eastAsia"/>
          <w:color w:val="000000" w:themeColor="text1"/>
          <w14:textFill>
            <w14:solidFill>
              <w14:schemeClr w14:val="tx1"/>
            </w14:solidFill>
          </w14:textFill>
        </w:rPr>
        <w:t>钦州溢油应急设备库是由交通运输部投资建设的国家中型应急设备库，按照一次综合溢油清除控制能力</w:t>
      </w:r>
      <w:r>
        <w:rPr>
          <w:color w:val="000000" w:themeColor="text1"/>
          <w14:textFill>
            <w14:solidFill>
              <w14:schemeClr w14:val="tx1"/>
            </w14:solidFill>
          </w14:textFill>
        </w:rPr>
        <w:t>500</w:t>
      </w:r>
      <w:r>
        <w:rPr>
          <w:rFonts w:hint="eastAsia"/>
          <w:color w:val="000000" w:themeColor="text1"/>
          <w14:textFill>
            <w14:solidFill>
              <w14:schemeClr w14:val="tx1"/>
            </w14:solidFill>
          </w14:textFill>
        </w:rPr>
        <w:t>吨标准建设。</w:t>
      </w:r>
    </w:p>
    <w:p>
      <w:pPr>
        <w:pStyle w:val="283"/>
        <w:rPr>
          <w:color w:val="000000" w:themeColor="text1"/>
          <w14:textFill>
            <w14:solidFill>
              <w14:schemeClr w14:val="tx1"/>
            </w14:solidFill>
          </w14:textFill>
        </w:rPr>
      </w:pPr>
      <w:r>
        <w:rPr>
          <w:rFonts w:hint="eastAsia"/>
          <w:color w:val="000000" w:themeColor="text1"/>
          <w14:textFill>
            <w14:solidFill>
              <w14:schemeClr w14:val="tx1"/>
            </w14:solidFill>
          </w14:textFill>
        </w:rPr>
        <w:t>根据交通运输部《关于广西海事局钦州溢油应急设备库工程可行性研究报告的批复》（交规划发</w:t>
      </w:r>
      <w:r>
        <w:rPr>
          <w:rFonts w:hint="eastAsia"/>
          <w:color w:val="000000" w:themeColor="text1"/>
          <w:lang w:eastAsia="zh-CN"/>
          <w14:textFill>
            <w14:solidFill>
              <w14:schemeClr w14:val="tx1"/>
            </w14:solidFill>
          </w14:textFill>
        </w:rPr>
        <w:t>〔2009〕507号</w:t>
      </w:r>
      <w:r>
        <w:rPr>
          <w:rFonts w:hint="eastAsia"/>
          <w:color w:val="000000" w:themeColor="text1"/>
          <w14:textFill>
            <w14:solidFill>
              <w14:schemeClr w14:val="tx1"/>
            </w14:solidFill>
          </w14:textFill>
        </w:rPr>
        <w:t>），设备库建设面积</w:t>
      </w:r>
      <w:r>
        <w:rPr>
          <w:color w:val="000000" w:themeColor="text1"/>
          <w14:textFill>
            <w14:solidFill>
              <w14:schemeClr w14:val="tx1"/>
            </w14:solidFill>
          </w14:textFill>
        </w:rPr>
        <w:t>1000m</w:t>
      </w:r>
      <w:r>
        <w:rPr>
          <w:color w:val="000000" w:themeColor="text1"/>
          <w:vertAlign w:val="superscript"/>
          <w14:textFill>
            <w14:solidFill>
              <w14:schemeClr w14:val="tx1"/>
            </w14:solidFill>
          </w14:textFill>
        </w:rPr>
        <w:t>2</w:t>
      </w:r>
      <w:r>
        <w:rPr>
          <w:rFonts w:hint="eastAsia"/>
          <w:color w:val="000000" w:themeColor="text1"/>
          <w14:textFill>
            <w14:solidFill>
              <w14:schemeClr w14:val="tx1"/>
            </w14:solidFill>
          </w14:textFill>
        </w:rPr>
        <w:t>，设备操作训练场所</w:t>
      </w:r>
      <w:r>
        <w:rPr>
          <w:color w:val="000000" w:themeColor="text1"/>
          <w14:textFill>
            <w14:solidFill>
              <w14:schemeClr w14:val="tx1"/>
            </w14:solidFill>
          </w14:textFill>
        </w:rPr>
        <w:t>2592m</w:t>
      </w:r>
      <w:r>
        <w:rPr>
          <w:color w:val="000000" w:themeColor="text1"/>
          <w:vertAlign w:val="superscript"/>
          <w14:textFill>
            <w14:solidFill>
              <w14:schemeClr w14:val="tx1"/>
            </w14:solidFill>
          </w14:textFill>
        </w:rPr>
        <w:t>2</w:t>
      </w:r>
      <w:r>
        <w:rPr>
          <w:rFonts w:hint="eastAsia"/>
          <w:color w:val="000000" w:themeColor="text1"/>
          <w14:textFill>
            <w14:solidFill>
              <w14:schemeClr w14:val="tx1"/>
            </w14:solidFill>
          </w14:textFill>
        </w:rPr>
        <w:t>，配备应急卸载、围控、回收、储运等应急设备总投资</w:t>
      </w:r>
      <w:r>
        <w:rPr>
          <w:color w:val="000000" w:themeColor="text1"/>
          <w14:textFill>
            <w14:solidFill>
              <w14:schemeClr w14:val="tx1"/>
            </w14:solidFill>
          </w14:textFill>
        </w:rPr>
        <w:t>3300</w:t>
      </w:r>
      <w:r>
        <w:rPr>
          <w:rFonts w:hint="eastAsia"/>
          <w:color w:val="000000" w:themeColor="text1"/>
          <w14:textFill>
            <w14:solidFill>
              <w14:schemeClr w14:val="tx1"/>
            </w14:solidFill>
          </w14:textFill>
        </w:rPr>
        <w:t>万元。该设备库位于钦州海巡基地（钦州港金谷港区勒沟作业区），地理位置有利于应急出海作业，相关设备设施已完成采购。</w:t>
      </w:r>
    </w:p>
    <w:p>
      <w:pPr>
        <w:pStyle w:val="384"/>
        <w:ind w:left="0" w:firstLine="0"/>
        <w:rPr>
          <w:rFonts w:cs="Times New Roman"/>
          <w:color w:val="000000" w:themeColor="text1"/>
          <w14:textFill>
            <w14:solidFill>
              <w14:schemeClr w14:val="tx1"/>
            </w14:solidFill>
          </w14:textFill>
        </w:rPr>
      </w:pPr>
      <w:r>
        <w:rPr>
          <w:rFonts w:hint="eastAsia"/>
          <w:color w:val="000000" w:themeColor="text1"/>
          <w14:textFill>
            <w14:solidFill>
              <w14:schemeClr w14:val="tx1"/>
            </w14:solidFill>
          </w14:textFill>
        </w:rPr>
        <w:t>广西海事局钦州溢油应急设备库设备配备情况</w:t>
      </w:r>
    </w:p>
    <w:tbl>
      <w:tblPr>
        <w:tblStyle w:val="89"/>
        <w:tblW w:w="8528" w:type="dxa"/>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2132"/>
        <w:gridCol w:w="2132"/>
        <w:gridCol w:w="2132"/>
        <w:gridCol w:w="2132"/>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blHeader/>
        </w:trPr>
        <w:tc>
          <w:tcPr>
            <w:tcW w:w="4264" w:type="dxa"/>
            <w:gridSpan w:val="2"/>
          </w:tcPr>
          <w:p>
            <w:pPr>
              <w:widowControl/>
              <w:jc w:val="center"/>
              <w:rPr>
                <w:b/>
                <w:color w:val="000000" w:themeColor="text1"/>
                <w:kern w:val="0"/>
                <w:sz w:val="21"/>
                <w:szCs w:val="21"/>
                <w14:textFill>
                  <w14:solidFill>
                    <w14:schemeClr w14:val="tx1"/>
                  </w14:solidFill>
                </w14:textFill>
              </w:rPr>
            </w:pPr>
            <w:r>
              <w:rPr>
                <w:b/>
                <w:color w:val="000000" w:themeColor="text1"/>
                <w:kern w:val="0"/>
                <w:sz w:val="21"/>
                <w:szCs w:val="21"/>
                <w14:textFill>
                  <w14:solidFill>
                    <w14:schemeClr w14:val="tx1"/>
                  </w14:solidFill>
                </w14:textFill>
              </w:rPr>
              <w:t>应急设备名称</w:t>
            </w:r>
          </w:p>
        </w:tc>
        <w:tc>
          <w:tcPr>
            <w:tcW w:w="2132" w:type="dxa"/>
          </w:tcPr>
          <w:p>
            <w:pPr>
              <w:widowControl/>
              <w:jc w:val="center"/>
              <w:rPr>
                <w:b/>
                <w:color w:val="000000" w:themeColor="text1"/>
                <w:kern w:val="0"/>
                <w:sz w:val="21"/>
                <w:szCs w:val="21"/>
                <w14:textFill>
                  <w14:solidFill>
                    <w14:schemeClr w14:val="tx1"/>
                  </w14:solidFill>
                </w14:textFill>
              </w:rPr>
            </w:pPr>
            <w:r>
              <w:rPr>
                <w:b/>
                <w:color w:val="000000" w:themeColor="text1"/>
                <w:kern w:val="0"/>
                <w:sz w:val="21"/>
                <w:szCs w:val="21"/>
                <w14:textFill>
                  <w14:solidFill>
                    <w14:schemeClr w14:val="tx1"/>
                  </w14:solidFill>
                </w14:textFill>
              </w:rPr>
              <w:t>单位</w:t>
            </w:r>
          </w:p>
        </w:tc>
        <w:tc>
          <w:tcPr>
            <w:tcW w:w="2132" w:type="dxa"/>
          </w:tcPr>
          <w:p>
            <w:pPr>
              <w:widowControl/>
              <w:jc w:val="center"/>
              <w:rPr>
                <w:b/>
                <w:color w:val="000000" w:themeColor="text1"/>
                <w:kern w:val="0"/>
                <w:sz w:val="21"/>
                <w:szCs w:val="21"/>
                <w14:textFill>
                  <w14:solidFill>
                    <w14:schemeClr w14:val="tx1"/>
                  </w14:solidFill>
                </w14:textFill>
              </w:rPr>
            </w:pPr>
            <w:r>
              <w:rPr>
                <w:b/>
                <w:color w:val="000000" w:themeColor="text1"/>
                <w:kern w:val="0"/>
                <w:sz w:val="21"/>
                <w:szCs w:val="21"/>
                <w14:textFill>
                  <w14:solidFill>
                    <w14:schemeClr w14:val="tx1"/>
                  </w14:solidFill>
                </w14:textFill>
              </w:rPr>
              <w:t>数量</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c>
          <w:tcPr>
            <w:tcW w:w="8528" w:type="dxa"/>
            <w:gridSpan w:val="4"/>
          </w:tcPr>
          <w:p>
            <w:pPr>
              <w:widowControl/>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一、应急卸载设备</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c>
          <w:tcPr>
            <w:tcW w:w="2132" w:type="dxa"/>
          </w:tcPr>
          <w:p>
            <w:pPr>
              <w:widowControl/>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1.1</w:t>
            </w:r>
          </w:p>
        </w:tc>
        <w:tc>
          <w:tcPr>
            <w:tcW w:w="2132" w:type="dxa"/>
          </w:tcPr>
          <w:p>
            <w:pPr>
              <w:widowControl/>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大型防腐蚀离心泵</w:t>
            </w:r>
          </w:p>
        </w:tc>
        <w:tc>
          <w:tcPr>
            <w:tcW w:w="2132" w:type="dxa"/>
          </w:tcPr>
          <w:p>
            <w:pPr>
              <w:widowControl/>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套</w:t>
            </w:r>
          </w:p>
        </w:tc>
        <w:tc>
          <w:tcPr>
            <w:tcW w:w="2132" w:type="dxa"/>
          </w:tcPr>
          <w:p>
            <w:pPr>
              <w:widowControl/>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1</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c>
          <w:tcPr>
            <w:tcW w:w="2132" w:type="dxa"/>
          </w:tcPr>
          <w:p>
            <w:pPr>
              <w:widowControl/>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1.2</w:t>
            </w:r>
          </w:p>
        </w:tc>
        <w:tc>
          <w:tcPr>
            <w:tcW w:w="2132" w:type="dxa"/>
          </w:tcPr>
          <w:p>
            <w:pPr>
              <w:widowControl/>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大型螺杆卸载泵</w:t>
            </w:r>
          </w:p>
        </w:tc>
        <w:tc>
          <w:tcPr>
            <w:tcW w:w="2132" w:type="dxa"/>
          </w:tcPr>
          <w:p>
            <w:pPr>
              <w:widowControl/>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套</w:t>
            </w:r>
          </w:p>
        </w:tc>
        <w:tc>
          <w:tcPr>
            <w:tcW w:w="2132" w:type="dxa"/>
          </w:tcPr>
          <w:p>
            <w:pPr>
              <w:widowControl/>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1</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c>
          <w:tcPr>
            <w:tcW w:w="2132" w:type="dxa"/>
          </w:tcPr>
          <w:p>
            <w:pPr>
              <w:widowControl/>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1.3</w:t>
            </w:r>
          </w:p>
        </w:tc>
        <w:tc>
          <w:tcPr>
            <w:tcW w:w="2132" w:type="dxa"/>
          </w:tcPr>
          <w:p>
            <w:pPr>
              <w:widowControl/>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中型螺杆卸载泵</w:t>
            </w:r>
          </w:p>
        </w:tc>
        <w:tc>
          <w:tcPr>
            <w:tcW w:w="2132" w:type="dxa"/>
          </w:tcPr>
          <w:p>
            <w:pPr>
              <w:widowControl/>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套</w:t>
            </w:r>
          </w:p>
        </w:tc>
        <w:tc>
          <w:tcPr>
            <w:tcW w:w="2132" w:type="dxa"/>
          </w:tcPr>
          <w:p>
            <w:pPr>
              <w:widowControl/>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1</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c>
          <w:tcPr>
            <w:tcW w:w="2132" w:type="dxa"/>
          </w:tcPr>
          <w:p>
            <w:pPr>
              <w:widowControl/>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1.4</w:t>
            </w:r>
          </w:p>
        </w:tc>
        <w:tc>
          <w:tcPr>
            <w:tcW w:w="2132" w:type="dxa"/>
          </w:tcPr>
          <w:p>
            <w:pPr>
              <w:widowControl/>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小型螺杆卸载泵</w:t>
            </w:r>
          </w:p>
        </w:tc>
        <w:tc>
          <w:tcPr>
            <w:tcW w:w="2132" w:type="dxa"/>
          </w:tcPr>
          <w:p>
            <w:pPr>
              <w:widowControl/>
              <w:jc w:val="center"/>
              <w:rPr>
                <w:color w:val="000000" w:themeColor="text1"/>
                <w:kern w:val="0"/>
                <w:sz w:val="21"/>
                <w:szCs w:val="21"/>
                <w14:textFill>
                  <w14:solidFill>
                    <w14:schemeClr w14:val="tx1"/>
                  </w14:solidFill>
                </w14:textFill>
              </w:rPr>
            </w:pPr>
          </w:p>
        </w:tc>
        <w:tc>
          <w:tcPr>
            <w:tcW w:w="2132" w:type="dxa"/>
          </w:tcPr>
          <w:p>
            <w:pPr>
              <w:widowControl/>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1</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c>
          <w:tcPr>
            <w:tcW w:w="8528" w:type="dxa"/>
            <w:gridSpan w:val="4"/>
          </w:tcPr>
          <w:p>
            <w:pPr>
              <w:widowControl/>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二、溢油围控设备</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c>
          <w:tcPr>
            <w:tcW w:w="2132" w:type="dxa"/>
          </w:tcPr>
          <w:p>
            <w:pPr>
              <w:widowControl/>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2.1</w:t>
            </w:r>
          </w:p>
        </w:tc>
        <w:tc>
          <w:tcPr>
            <w:tcW w:w="2132" w:type="dxa"/>
          </w:tcPr>
          <w:p>
            <w:pPr>
              <w:widowControl/>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海洋型充气式围油栏</w:t>
            </w:r>
          </w:p>
        </w:tc>
        <w:tc>
          <w:tcPr>
            <w:tcW w:w="2132" w:type="dxa"/>
          </w:tcPr>
          <w:p>
            <w:pPr>
              <w:widowControl/>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m</w:t>
            </w:r>
          </w:p>
        </w:tc>
        <w:tc>
          <w:tcPr>
            <w:tcW w:w="2132" w:type="dxa"/>
          </w:tcPr>
          <w:p>
            <w:pPr>
              <w:widowControl/>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800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c>
          <w:tcPr>
            <w:tcW w:w="2132" w:type="dxa"/>
          </w:tcPr>
          <w:p>
            <w:pPr>
              <w:widowControl/>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2.2</w:t>
            </w:r>
          </w:p>
        </w:tc>
        <w:tc>
          <w:tcPr>
            <w:tcW w:w="2132" w:type="dxa"/>
          </w:tcPr>
          <w:p>
            <w:pPr>
              <w:widowControl/>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防火围油栏</w:t>
            </w:r>
          </w:p>
        </w:tc>
        <w:tc>
          <w:tcPr>
            <w:tcW w:w="2132" w:type="dxa"/>
          </w:tcPr>
          <w:p>
            <w:pPr>
              <w:widowControl/>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m</w:t>
            </w:r>
          </w:p>
        </w:tc>
        <w:tc>
          <w:tcPr>
            <w:tcW w:w="2132" w:type="dxa"/>
          </w:tcPr>
          <w:p>
            <w:pPr>
              <w:widowControl/>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500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c>
          <w:tcPr>
            <w:tcW w:w="8528" w:type="dxa"/>
            <w:gridSpan w:val="4"/>
          </w:tcPr>
          <w:p>
            <w:pPr>
              <w:widowControl/>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三、溢油回收设备</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c>
          <w:tcPr>
            <w:tcW w:w="2132" w:type="dxa"/>
          </w:tcPr>
          <w:p>
            <w:pPr>
              <w:widowControl/>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3.1</w:t>
            </w:r>
          </w:p>
        </w:tc>
        <w:tc>
          <w:tcPr>
            <w:tcW w:w="2132" w:type="dxa"/>
          </w:tcPr>
          <w:p>
            <w:pPr>
              <w:widowControl/>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大型收油机</w:t>
            </w:r>
          </w:p>
        </w:tc>
        <w:tc>
          <w:tcPr>
            <w:tcW w:w="2132" w:type="dxa"/>
          </w:tcPr>
          <w:p>
            <w:pPr>
              <w:widowControl/>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套</w:t>
            </w:r>
          </w:p>
        </w:tc>
        <w:tc>
          <w:tcPr>
            <w:tcW w:w="2132" w:type="dxa"/>
          </w:tcPr>
          <w:p>
            <w:pPr>
              <w:widowControl/>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1</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c>
          <w:tcPr>
            <w:tcW w:w="2132" w:type="dxa"/>
          </w:tcPr>
          <w:p>
            <w:pPr>
              <w:widowControl/>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3.2</w:t>
            </w:r>
          </w:p>
        </w:tc>
        <w:tc>
          <w:tcPr>
            <w:tcW w:w="2132" w:type="dxa"/>
          </w:tcPr>
          <w:p>
            <w:pPr>
              <w:widowControl/>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中型收油机</w:t>
            </w:r>
          </w:p>
        </w:tc>
        <w:tc>
          <w:tcPr>
            <w:tcW w:w="2132" w:type="dxa"/>
          </w:tcPr>
          <w:p>
            <w:pPr>
              <w:widowControl/>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套</w:t>
            </w:r>
          </w:p>
        </w:tc>
        <w:tc>
          <w:tcPr>
            <w:tcW w:w="2132" w:type="dxa"/>
          </w:tcPr>
          <w:p>
            <w:pPr>
              <w:widowControl/>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1</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c>
          <w:tcPr>
            <w:tcW w:w="2132" w:type="dxa"/>
          </w:tcPr>
          <w:p>
            <w:pPr>
              <w:widowControl/>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3.3</w:t>
            </w:r>
          </w:p>
        </w:tc>
        <w:tc>
          <w:tcPr>
            <w:tcW w:w="2132" w:type="dxa"/>
          </w:tcPr>
          <w:p>
            <w:pPr>
              <w:widowControl/>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小型收油机</w:t>
            </w:r>
          </w:p>
        </w:tc>
        <w:tc>
          <w:tcPr>
            <w:tcW w:w="2132" w:type="dxa"/>
          </w:tcPr>
          <w:p>
            <w:pPr>
              <w:widowControl/>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套</w:t>
            </w:r>
          </w:p>
        </w:tc>
        <w:tc>
          <w:tcPr>
            <w:tcW w:w="2132" w:type="dxa"/>
          </w:tcPr>
          <w:p>
            <w:pPr>
              <w:widowControl/>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1</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c>
          <w:tcPr>
            <w:tcW w:w="2132" w:type="dxa"/>
          </w:tcPr>
          <w:p>
            <w:pPr>
              <w:widowControl/>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3.4</w:t>
            </w:r>
          </w:p>
        </w:tc>
        <w:tc>
          <w:tcPr>
            <w:tcW w:w="2132" w:type="dxa"/>
          </w:tcPr>
          <w:p>
            <w:pPr>
              <w:widowControl/>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自航式收油机</w:t>
            </w:r>
          </w:p>
        </w:tc>
        <w:tc>
          <w:tcPr>
            <w:tcW w:w="2132" w:type="dxa"/>
          </w:tcPr>
          <w:p>
            <w:pPr>
              <w:widowControl/>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套</w:t>
            </w:r>
          </w:p>
        </w:tc>
        <w:tc>
          <w:tcPr>
            <w:tcW w:w="2132" w:type="dxa"/>
          </w:tcPr>
          <w:p>
            <w:pPr>
              <w:widowControl/>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1</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c>
          <w:tcPr>
            <w:tcW w:w="8528" w:type="dxa"/>
            <w:gridSpan w:val="4"/>
          </w:tcPr>
          <w:p>
            <w:pPr>
              <w:widowControl/>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四、油污储运设备</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c>
          <w:tcPr>
            <w:tcW w:w="2132" w:type="dxa"/>
          </w:tcPr>
          <w:p>
            <w:pPr>
              <w:widowControl/>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4.1</w:t>
            </w:r>
          </w:p>
        </w:tc>
        <w:tc>
          <w:tcPr>
            <w:tcW w:w="2132" w:type="dxa"/>
          </w:tcPr>
          <w:p>
            <w:pPr>
              <w:widowControl/>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轻便储油囊</w:t>
            </w:r>
          </w:p>
        </w:tc>
        <w:tc>
          <w:tcPr>
            <w:tcW w:w="2132" w:type="dxa"/>
          </w:tcPr>
          <w:p>
            <w:pPr>
              <w:widowControl/>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个</w:t>
            </w:r>
          </w:p>
        </w:tc>
        <w:tc>
          <w:tcPr>
            <w:tcW w:w="2132" w:type="dxa"/>
          </w:tcPr>
          <w:p>
            <w:pPr>
              <w:widowControl/>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2</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c>
          <w:tcPr>
            <w:tcW w:w="8528" w:type="dxa"/>
            <w:gridSpan w:val="4"/>
          </w:tcPr>
          <w:p>
            <w:pPr>
              <w:widowControl/>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五、溢油分散物质</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c>
          <w:tcPr>
            <w:tcW w:w="2132" w:type="dxa"/>
          </w:tcPr>
          <w:p>
            <w:pPr>
              <w:widowControl/>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5.1</w:t>
            </w:r>
          </w:p>
        </w:tc>
        <w:tc>
          <w:tcPr>
            <w:tcW w:w="2132" w:type="dxa"/>
          </w:tcPr>
          <w:p>
            <w:pPr>
              <w:widowControl/>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浓缩分散剂</w:t>
            </w:r>
          </w:p>
        </w:tc>
        <w:tc>
          <w:tcPr>
            <w:tcW w:w="2132" w:type="dxa"/>
          </w:tcPr>
          <w:p>
            <w:pPr>
              <w:widowControl/>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吨</w:t>
            </w:r>
          </w:p>
        </w:tc>
        <w:tc>
          <w:tcPr>
            <w:tcW w:w="2132" w:type="dxa"/>
          </w:tcPr>
          <w:p>
            <w:pPr>
              <w:widowControl/>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4</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c>
          <w:tcPr>
            <w:tcW w:w="2132" w:type="dxa"/>
          </w:tcPr>
          <w:p>
            <w:pPr>
              <w:widowControl/>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5.2</w:t>
            </w:r>
          </w:p>
        </w:tc>
        <w:tc>
          <w:tcPr>
            <w:tcW w:w="2132" w:type="dxa"/>
          </w:tcPr>
          <w:p>
            <w:pPr>
              <w:widowControl/>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船用喷洒装置</w:t>
            </w:r>
          </w:p>
        </w:tc>
        <w:tc>
          <w:tcPr>
            <w:tcW w:w="2132" w:type="dxa"/>
          </w:tcPr>
          <w:p>
            <w:pPr>
              <w:widowControl/>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套</w:t>
            </w:r>
          </w:p>
        </w:tc>
        <w:tc>
          <w:tcPr>
            <w:tcW w:w="2132" w:type="dxa"/>
          </w:tcPr>
          <w:p>
            <w:pPr>
              <w:widowControl/>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2</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c>
          <w:tcPr>
            <w:tcW w:w="8528" w:type="dxa"/>
            <w:gridSpan w:val="4"/>
          </w:tcPr>
          <w:p>
            <w:pPr>
              <w:widowControl/>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六、溢油吸附材料</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c>
          <w:tcPr>
            <w:tcW w:w="2132" w:type="dxa"/>
          </w:tcPr>
          <w:p>
            <w:pPr>
              <w:widowControl/>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6.1</w:t>
            </w:r>
          </w:p>
        </w:tc>
        <w:tc>
          <w:tcPr>
            <w:tcW w:w="2132" w:type="dxa"/>
          </w:tcPr>
          <w:p>
            <w:pPr>
              <w:widowControl/>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吸油钻</w:t>
            </w:r>
          </w:p>
        </w:tc>
        <w:tc>
          <w:tcPr>
            <w:tcW w:w="2132" w:type="dxa"/>
          </w:tcPr>
          <w:p>
            <w:pPr>
              <w:widowControl/>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吨</w:t>
            </w:r>
          </w:p>
        </w:tc>
        <w:tc>
          <w:tcPr>
            <w:tcW w:w="2132" w:type="dxa"/>
          </w:tcPr>
          <w:p>
            <w:pPr>
              <w:widowControl/>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5</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c>
          <w:tcPr>
            <w:tcW w:w="2132" w:type="dxa"/>
          </w:tcPr>
          <w:p>
            <w:pPr>
              <w:widowControl/>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6.2</w:t>
            </w:r>
          </w:p>
        </w:tc>
        <w:tc>
          <w:tcPr>
            <w:tcW w:w="2132" w:type="dxa"/>
          </w:tcPr>
          <w:p>
            <w:pPr>
              <w:widowControl/>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吸油拖栏</w:t>
            </w:r>
          </w:p>
        </w:tc>
        <w:tc>
          <w:tcPr>
            <w:tcW w:w="2132" w:type="dxa"/>
          </w:tcPr>
          <w:p>
            <w:pPr>
              <w:widowControl/>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套</w:t>
            </w:r>
          </w:p>
        </w:tc>
        <w:tc>
          <w:tcPr>
            <w:tcW w:w="2132" w:type="dxa"/>
          </w:tcPr>
          <w:p>
            <w:pPr>
              <w:widowControl/>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400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c>
          <w:tcPr>
            <w:tcW w:w="8528" w:type="dxa"/>
            <w:gridSpan w:val="4"/>
          </w:tcPr>
          <w:p>
            <w:pPr>
              <w:widowControl/>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七、配套设施</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c>
          <w:tcPr>
            <w:tcW w:w="2132" w:type="dxa"/>
          </w:tcPr>
          <w:p>
            <w:pPr>
              <w:widowControl/>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7.1</w:t>
            </w:r>
          </w:p>
        </w:tc>
        <w:tc>
          <w:tcPr>
            <w:tcW w:w="2132" w:type="dxa"/>
          </w:tcPr>
          <w:p>
            <w:pPr>
              <w:widowControl/>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高压热水清洗机</w:t>
            </w:r>
          </w:p>
        </w:tc>
        <w:tc>
          <w:tcPr>
            <w:tcW w:w="2132" w:type="dxa"/>
          </w:tcPr>
          <w:p>
            <w:pPr>
              <w:widowControl/>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台</w:t>
            </w:r>
          </w:p>
        </w:tc>
        <w:tc>
          <w:tcPr>
            <w:tcW w:w="2132" w:type="dxa"/>
          </w:tcPr>
          <w:p>
            <w:pPr>
              <w:widowControl/>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2</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c>
          <w:tcPr>
            <w:tcW w:w="2132" w:type="dxa"/>
          </w:tcPr>
          <w:p>
            <w:pPr>
              <w:widowControl/>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7.2</w:t>
            </w:r>
          </w:p>
        </w:tc>
        <w:tc>
          <w:tcPr>
            <w:tcW w:w="2132" w:type="dxa"/>
          </w:tcPr>
          <w:p>
            <w:pPr>
              <w:widowControl/>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防护用品1</w:t>
            </w:r>
          </w:p>
        </w:tc>
        <w:tc>
          <w:tcPr>
            <w:tcW w:w="2132" w:type="dxa"/>
          </w:tcPr>
          <w:p>
            <w:pPr>
              <w:widowControl/>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套</w:t>
            </w:r>
          </w:p>
        </w:tc>
        <w:tc>
          <w:tcPr>
            <w:tcW w:w="2132" w:type="dxa"/>
          </w:tcPr>
          <w:p>
            <w:pPr>
              <w:widowControl/>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20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c>
          <w:tcPr>
            <w:tcW w:w="2132" w:type="dxa"/>
          </w:tcPr>
          <w:p>
            <w:pPr>
              <w:widowControl/>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7.3</w:t>
            </w:r>
          </w:p>
        </w:tc>
        <w:tc>
          <w:tcPr>
            <w:tcW w:w="2132" w:type="dxa"/>
          </w:tcPr>
          <w:p>
            <w:pPr>
              <w:widowControl/>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防护用品2</w:t>
            </w:r>
          </w:p>
        </w:tc>
        <w:tc>
          <w:tcPr>
            <w:tcW w:w="2132" w:type="dxa"/>
          </w:tcPr>
          <w:p>
            <w:pPr>
              <w:widowControl/>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套</w:t>
            </w:r>
          </w:p>
        </w:tc>
        <w:tc>
          <w:tcPr>
            <w:tcW w:w="2132" w:type="dxa"/>
          </w:tcPr>
          <w:p>
            <w:pPr>
              <w:widowControl/>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15</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c>
          <w:tcPr>
            <w:tcW w:w="2132" w:type="dxa"/>
          </w:tcPr>
          <w:p>
            <w:pPr>
              <w:widowControl/>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74</w:t>
            </w:r>
          </w:p>
        </w:tc>
        <w:tc>
          <w:tcPr>
            <w:tcW w:w="2132" w:type="dxa"/>
          </w:tcPr>
          <w:p>
            <w:pPr>
              <w:widowControl/>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后勤保障用品</w:t>
            </w:r>
          </w:p>
        </w:tc>
        <w:tc>
          <w:tcPr>
            <w:tcW w:w="2132" w:type="dxa"/>
          </w:tcPr>
          <w:p>
            <w:pPr>
              <w:widowControl/>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套</w:t>
            </w:r>
          </w:p>
        </w:tc>
        <w:tc>
          <w:tcPr>
            <w:tcW w:w="2132" w:type="dxa"/>
          </w:tcPr>
          <w:p>
            <w:pPr>
              <w:widowControl/>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1</w:t>
            </w:r>
          </w:p>
        </w:tc>
      </w:tr>
    </w:tbl>
    <w:p>
      <w:pPr>
        <w:pStyle w:val="283"/>
        <w:rPr>
          <w:color w:val="000000" w:themeColor="text1"/>
          <w14:textFill>
            <w14:solidFill>
              <w14:schemeClr w14:val="tx1"/>
            </w14:solidFill>
          </w14:textFill>
        </w:rPr>
      </w:pPr>
      <w:r>
        <w:rPr>
          <w:rFonts w:hint="eastAsia"/>
          <w:color w:val="000000" w:themeColor="text1"/>
          <w14:textFill>
            <w14:solidFill>
              <w14:schemeClr w14:val="tx1"/>
            </w14:solidFill>
          </w14:textFill>
        </w:rPr>
        <w:t>③海巡</w:t>
      </w:r>
      <w:r>
        <w:rPr>
          <w:color w:val="000000" w:themeColor="text1"/>
          <w14:textFill>
            <w14:solidFill>
              <w14:schemeClr w14:val="tx1"/>
            </w14:solidFill>
          </w14:textFill>
        </w:rPr>
        <w:t xml:space="preserve">1002 </w:t>
      </w:r>
    </w:p>
    <w:p>
      <w:pPr>
        <w:pStyle w:val="283"/>
        <w:rPr>
          <w:color w:val="000000" w:themeColor="text1"/>
          <w14:textFill>
            <w14:solidFill>
              <w14:schemeClr w14:val="tx1"/>
            </w14:solidFill>
          </w14:textFill>
        </w:rPr>
      </w:pPr>
      <w:r>
        <w:rPr>
          <w:color w:val="000000" w:themeColor="text1"/>
          <w14:textFill>
            <w14:solidFill>
              <w14:schemeClr w14:val="tx1"/>
            </w14:solidFill>
          </w14:textFill>
        </w:rPr>
        <w:t>2012</w:t>
      </w:r>
      <w:r>
        <w:rPr>
          <w:rFonts w:hint="eastAsia"/>
          <w:color w:val="000000" w:themeColor="text1"/>
          <w14:textFill>
            <w14:solidFill>
              <w14:schemeClr w14:val="tx1"/>
            </w14:solidFill>
          </w14:textFill>
        </w:rPr>
        <w:t>年</w:t>
      </w:r>
      <w:r>
        <w:rPr>
          <w:color w:val="000000" w:themeColor="text1"/>
          <w14:textFill>
            <w14:solidFill>
              <w14:schemeClr w14:val="tx1"/>
            </w14:solidFill>
          </w14:textFill>
        </w:rPr>
        <w:t>4</w:t>
      </w:r>
      <w:r>
        <w:rPr>
          <w:rFonts w:hint="eastAsia"/>
          <w:color w:val="000000" w:themeColor="text1"/>
          <w14:textFill>
            <w14:solidFill>
              <w14:schemeClr w14:val="tx1"/>
            </w14:solidFill>
          </w14:textFill>
        </w:rPr>
        <w:t>月，交通运输部投资</w:t>
      </w:r>
      <w:r>
        <w:rPr>
          <w:color w:val="000000" w:themeColor="text1"/>
          <w14:textFill>
            <w14:solidFill>
              <w14:schemeClr w14:val="tx1"/>
            </w14:solidFill>
          </w14:textFill>
        </w:rPr>
        <w:t xml:space="preserve">6500 </w:t>
      </w:r>
      <w:r>
        <w:rPr>
          <w:rFonts w:hint="eastAsia"/>
          <w:color w:val="000000" w:themeColor="text1"/>
          <w14:textFill>
            <w14:solidFill>
              <w14:schemeClr w14:val="tx1"/>
            </w14:solidFill>
          </w14:textFill>
        </w:rPr>
        <w:t>万元建造的“海巡</w:t>
      </w:r>
      <w:r>
        <w:rPr>
          <w:color w:val="000000" w:themeColor="text1"/>
          <w14:textFill>
            <w14:solidFill>
              <w14:schemeClr w14:val="tx1"/>
            </w14:solidFill>
          </w14:textFill>
        </w:rPr>
        <w:t>1002</w:t>
      </w:r>
      <w:r>
        <w:rPr>
          <w:rFonts w:hint="eastAsia"/>
          <w:color w:val="000000" w:themeColor="text1"/>
          <w14:textFill>
            <w14:solidFill>
              <w14:schemeClr w14:val="tx1"/>
            </w14:solidFill>
          </w14:textFill>
        </w:rPr>
        <w:t>”在钦州应急反应基地列编。“海巡</w:t>
      </w:r>
      <w:r>
        <w:rPr>
          <w:color w:val="000000" w:themeColor="text1"/>
          <w14:textFill>
            <w14:solidFill>
              <w14:schemeClr w14:val="tx1"/>
            </w14:solidFill>
          </w14:textFill>
        </w:rPr>
        <w:t>1002</w:t>
      </w:r>
      <w:r>
        <w:rPr>
          <w:rFonts w:hint="eastAsia"/>
          <w:color w:val="000000" w:themeColor="text1"/>
          <w14:textFill>
            <w14:solidFill>
              <w14:schemeClr w14:val="tx1"/>
            </w14:solidFill>
          </w14:textFill>
        </w:rPr>
        <w:t>”主要用于广西沿海近岸海域船舶溢油事故的应急处置，包括溢油回收（回收舱舱容</w:t>
      </w:r>
      <w:r>
        <w:rPr>
          <w:color w:val="000000" w:themeColor="text1"/>
          <w14:textFill>
            <w14:solidFill>
              <w14:schemeClr w14:val="tx1"/>
            </w14:solidFill>
          </w14:textFill>
        </w:rPr>
        <w:t xml:space="preserve">639 </w:t>
      </w:r>
      <w:r>
        <w:rPr>
          <w:rFonts w:hint="eastAsia"/>
          <w:color w:val="000000" w:themeColor="text1"/>
          <w14:textFill>
            <w14:solidFill>
              <w14:schemeClr w14:val="tx1"/>
            </w14:solidFill>
          </w14:textFill>
        </w:rPr>
        <w:t>m</w:t>
      </w:r>
      <w:r>
        <w:rPr>
          <w:rFonts w:hint="eastAsia"/>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，回收能力</w:t>
      </w:r>
      <w:r>
        <w:rPr>
          <w:color w:val="000000" w:themeColor="text1"/>
          <w14:textFill>
            <w14:solidFill>
              <w14:schemeClr w14:val="tx1"/>
            </w14:solidFill>
          </w14:textFill>
        </w:rPr>
        <w:t xml:space="preserve">200 </w:t>
      </w:r>
      <w:r>
        <w:rPr>
          <w:rFonts w:hint="eastAsia"/>
          <w:color w:val="000000" w:themeColor="text1"/>
          <w14:textFill>
            <w14:solidFill>
              <w14:schemeClr w14:val="tx1"/>
            </w14:solidFill>
          </w14:textFill>
        </w:rPr>
        <w:t>m</w:t>
      </w:r>
      <w:r>
        <w:rPr>
          <w:rFonts w:hint="eastAsia"/>
          <w:color w:val="000000" w:themeColor="text1"/>
          <w:vertAlign w:val="superscript"/>
          <w14:textFill>
            <w14:solidFill>
              <w14:schemeClr w14:val="tx1"/>
            </w14:solidFill>
          </w14:textFill>
        </w:rPr>
        <w:t>3</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h）、临时储存、处理等，并兼顾溢油围控、消油剂喷洒、应急辅助卸载、溢油监视和重点污染源监护等功能。</w:t>
      </w:r>
    </w:p>
    <w:p>
      <w:pPr>
        <w:pStyle w:val="283"/>
        <w:rPr>
          <w:color w:val="000000" w:themeColor="text1"/>
          <w14:textFill>
            <w14:solidFill>
              <w14:schemeClr w14:val="tx1"/>
            </w14:solidFill>
          </w14:textFill>
        </w:rPr>
      </w:pPr>
      <w:r>
        <w:rPr>
          <w:rFonts w:hint="eastAsia"/>
          <w:color w:val="000000" w:themeColor="text1"/>
          <w14:textFill>
            <w14:solidFill>
              <w14:schemeClr w14:val="tx1"/>
            </w14:solidFill>
          </w14:textFill>
        </w:rPr>
        <w:t>钦州港辖区现有钦州市桂通船舶服务有限公司、广西鑫丰海洋科技环保有限公司</w:t>
      </w:r>
      <w:r>
        <w:rPr>
          <w:color w:val="000000" w:themeColor="text1"/>
          <w14:textFill>
            <w14:solidFill>
              <w14:schemeClr w14:val="tx1"/>
            </w14:solidFill>
          </w14:textFill>
        </w:rPr>
        <w:t>2</w:t>
      </w:r>
      <w:r>
        <w:rPr>
          <w:rFonts w:hint="eastAsia"/>
          <w:color w:val="000000" w:themeColor="text1"/>
          <w14:textFill>
            <w14:solidFill>
              <w14:schemeClr w14:val="tx1"/>
            </w14:solidFill>
          </w14:textFill>
        </w:rPr>
        <w:t>家一级和钦州市苏南船舶服务有限公司</w:t>
      </w:r>
      <w:r>
        <w:rPr>
          <w:color w:val="000000" w:themeColor="text1"/>
          <w14:textFill>
            <w14:solidFill>
              <w14:schemeClr w14:val="tx1"/>
            </w14:solidFill>
          </w14:textFill>
        </w:rPr>
        <w:t>1</w:t>
      </w:r>
      <w:r>
        <w:rPr>
          <w:rFonts w:hint="eastAsia"/>
          <w:color w:val="000000" w:themeColor="text1"/>
          <w14:textFill>
            <w14:solidFill>
              <w14:schemeClr w14:val="tx1"/>
            </w14:solidFill>
          </w14:textFill>
        </w:rPr>
        <w:t>家二级经广西海事局备案公布的船舶污染清除作业单位，其作业范围覆盖本项目码头。</w:t>
      </w:r>
    </w:p>
    <w:p>
      <w:pPr>
        <w:pStyle w:val="283"/>
        <w:rPr>
          <w:color w:val="000000" w:themeColor="text1"/>
          <w14:textFill>
            <w14:solidFill>
              <w14:schemeClr w14:val="tx1"/>
            </w14:solidFill>
          </w14:textFill>
        </w:rPr>
      </w:pPr>
      <w:r>
        <w:rPr>
          <w:rFonts w:hint="eastAsia"/>
          <w:color w:val="000000" w:themeColor="text1"/>
          <w14:textFill>
            <w14:solidFill>
              <w14:schemeClr w14:val="tx1"/>
            </w14:solidFill>
          </w14:textFill>
        </w:rPr>
        <w:t>三</w:t>
      </w:r>
      <w:r>
        <w:rPr>
          <w:color w:val="000000" w:themeColor="text1"/>
          <w14:textFill>
            <w14:solidFill>
              <w14:schemeClr w14:val="tx1"/>
            </w14:solidFill>
          </w14:textFill>
        </w:rPr>
        <w:t>、应急清除能力</w:t>
      </w:r>
    </w:p>
    <w:p>
      <w:pPr>
        <w:pStyle w:val="283"/>
        <w:rPr>
          <w:color w:val="000000" w:themeColor="text1"/>
          <w14:textFill>
            <w14:solidFill>
              <w14:schemeClr w14:val="tx1"/>
            </w14:solidFill>
          </w14:textFill>
        </w:rPr>
      </w:pPr>
      <w:r>
        <w:rPr>
          <w:rFonts w:hint="eastAsia" w:ascii="宋体" w:hAnsi="宋体"/>
          <w:color w:val="000000" w:themeColor="text1"/>
          <w14:textFill>
            <w14:solidFill>
              <w14:schemeClr w14:val="tx1"/>
            </w14:solidFill>
          </w14:textFill>
        </w:rPr>
        <w:t>①</w:t>
      </w:r>
      <w:r>
        <w:rPr>
          <w:rFonts w:hint="eastAsia"/>
          <w:color w:val="000000" w:themeColor="text1"/>
          <w14:textFill>
            <w14:solidFill>
              <w14:schemeClr w14:val="tx1"/>
            </w14:solidFill>
          </w14:textFill>
        </w:rPr>
        <w:t>溢油清除能力</w:t>
      </w:r>
    </w:p>
    <w:p>
      <w:pPr>
        <w:pStyle w:val="283"/>
        <w:rPr>
          <w:color w:val="000000" w:themeColor="text1"/>
          <w14:textFill>
            <w14:solidFill>
              <w14:schemeClr w14:val="tx1"/>
            </w14:solidFill>
          </w14:textFill>
        </w:rPr>
      </w:pPr>
      <w:r>
        <w:rPr>
          <w:rFonts w:hint="eastAsia"/>
          <w:color w:val="000000" w:themeColor="text1"/>
          <w14:textFill>
            <w14:solidFill>
              <w14:schemeClr w14:val="tx1"/>
            </w14:solidFill>
          </w14:textFill>
        </w:rPr>
        <w:t>钦州现有岸线溢油清除能力达到了5400吨，同时广西区域海域境内还拥有目前世界上最先进的溢油应急回收船——海特191轮。该船配置的收油技术在世界上首次采用，主要包括自动调节流道翼流板、轴流泵舷外排水、动态斜面（DIP）收油及真空泵抽油方式等最先进的回收溢油技术，可一次性回收中高粘度浮油640m</w:t>
      </w:r>
      <w:r>
        <w:rPr>
          <w:rFonts w:hint="eastAsia"/>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，收油效率每小时可达200m</w:t>
      </w:r>
      <w:r>
        <w:rPr>
          <w:rFonts w:hint="eastAsia"/>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。该船采用全方位溢油监视、跟踪、探测雷达系统，能搜索方圆数公里海面溢油；在首、尾甲板配备了大型起吊设备，能直接在船上吊装围油栏等围控设备。</w:t>
      </w:r>
    </w:p>
    <w:p>
      <w:pPr>
        <w:pStyle w:val="283"/>
        <w:rPr>
          <w:color w:val="000000" w:themeColor="text1"/>
          <w14:textFill>
            <w14:solidFill>
              <w14:schemeClr w14:val="tx1"/>
            </w14:solidFill>
          </w14:textFill>
        </w:rPr>
      </w:pPr>
      <w:r>
        <w:rPr>
          <w:rFonts w:hint="eastAsia" w:ascii="宋体" w:hAnsi="宋体"/>
          <w:color w:val="000000" w:themeColor="text1"/>
          <w14:textFill>
            <w14:solidFill>
              <w14:schemeClr w14:val="tx1"/>
            </w14:solidFill>
          </w14:textFill>
        </w:rPr>
        <w:t>②</w:t>
      </w:r>
      <w:r>
        <w:rPr>
          <w:rFonts w:hint="eastAsia"/>
          <w:color w:val="000000" w:themeColor="text1"/>
          <w14:textFill>
            <w14:solidFill>
              <w14:schemeClr w14:val="tx1"/>
            </w14:solidFill>
          </w14:textFill>
        </w:rPr>
        <w:t>溢油回收物陆上接收处置能力</w:t>
      </w:r>
    </w:p>
    <w:p>
      <w:pPr>
        <w:pStyle w:val="283"/>
        <w:rPr>
          <w:color w:val="000000" w:themeColor="text1"/>
          <w14:textFill>
            <w14:solidFill>
              <w14:schemeClr w14:val="tx1"/>
            </w14:solidFill>
          </w14:textFill>
        </w:rPr>
      </w:pPr>
      <w:r>
        <w:rPr>
          <w:rFonts w:hint="eastAsia"/>
          <w:color w:val="000000" w:themeColor="text1"/>
          <w14:textFill>
            <w14:solidFill>
              <w14:schemeClr w14:val="tx1"/>
            </w14:solidFill>
          </w14:textFill>
        </w:rPr>
        <w:t>目前，北部湾港船舶污染清除单位拥有临时贮存能力11847m</w:t>
      </w:r>
      <w:r>
        <w:rPr>
          <w:rFonts w:hint="eastAsia"/>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，钦州中石油10万t原油码头拥有应急贮存能力30000 m</w:t>
      </w:r>
      <w:r>
        <w:rPr>
          <w:rFonts w:hint="eastAsia"/>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，离港区不远的中石油钦州炼油厂和即将建成的钦州30万t原油码头应急贮存能力也有数万立方米，总体上可满足应急接收需求。</w:t>
      </w:r>
    </w:p>
    <w:p>
      <w:pPr>
        <w:pStyle w:val="283"/>
        <w:rPr>
          <w:color w:val="000000" w:themeColor="text1"/>
          <w14:textFill>
            <w14:solidFill>
              <w14:schemeClr w14:val="tx1"/>
            </w14:solidFill>
          </w14:textFill>
        </w:rPr>
      </w:pPr>
      <w:r>
        <w:rPr>
          <w:rFonts w:hint="eastAsia"/>
          <w:color w:val="000000" w:themeColor="text1"/>
          <w14:textFill>
            <w14:solidFill>
              <w14:schemeClr w14:val="tx1"/>
            </w14:solidFill>
          </w14:textFill>
        </w:rPr>
        <w:t>四、应急队伍</w:t>
      </w:r>
    </w:p>
    <w:p>
      <w:pPr>
        <w:pStyle w:val="283"/>
        <w:rPr>
          <w:color w:val="000000" w:themeColor="text1"/>
          <w14:textFill>
            <w14:solidFill>
              <w14:schemeClr w14:val="tx1"/>
            </w14:solidFill>
          </w14:textFill>
        </w:rPr>
      </w:pPr>
      <w:r>
        <w:rPr>
          <w:rFonts w:hint="eastAsia" w:ascii="宋体" w:hAnsi="宋体"/>
          <w:color w:val="000000" w:themeColor="text1"/>
          <w14:textFill>
            <w14:solidFill>
              <w14:schemeClr w14:val="tx1"/>
            </w14:solidFill>
          </w14:textFill>
        </w:rPr>
        <w:t>①</w:t>
      </w:r>
      <w:r>
        <w:rPr>
          <w:rFonts w:hint="eastAsia"/>
          <w:color w:val="000000" w:themeColor="text1"/>
          <w14:textFill>
            <w14:solidFill>
              <w14:schemeClr w14:val="tx1"/>
            </w14:solidFill>
          </w14:textFill>
        </w:rPr>
        <w:t>省级和市级溢油应急组织指挥队伍目前广西建有溢油应急处置专家库，共有专家47人；自治区及沿海地市海上搜救中心共有船舶污染应急高级指挥人员2人，现场指挥11人。</w:t>
      </w:r>
    </w:p>
    <w:p>
      <w:pPr>
        <w:pStyle w:val="283"/>
        <w:rPr>
          <w:color w:val="000000" w:themeColor="text1"/>
          <w14:textFill>
            <w14:solidFill>
              <w14:schemeClr w14:val="tx1"/>
            </w14:solidFill>
          </w14:textFill>
        </w:rPr>
      </w:pPr>
      <w:r>
        <w:rPr>
          <w:rFonts w:hint="eastAsia" w:ascii="宋体" w:hAnsi="宋体"/>
          <w:color w:val="000000" w:themeColor="text1"/>
          <w14:textFill>
            <w14:solidFill>
              <w14:schemeClr w14:val="tx1"/>
            </w14:solidFill>
          </w14:textFill>
        </w:rPr>
        <w:t>②</w:t>
      </w:r>
      <w:r>
        <w:rPr>
          <w:rFonts w:hint="eastAsia"/>
          <w:color w:val="000000" w:themeColor="text1"/>
          <w14:textFill>
            <w14:solidFill>
              <w14:schemeClr w14:val="tx1"/>
            </w14:solidFill>
          </w14:textFill>
        </w:rPr>
        <w:t>应急清除队伍</w:t>
      </w:r>
    </w:p>
    <w:p>
      <w:pPr>
        <w:pStyle w:val="283"/>
        <w:rPr>
          <w:color w:val="000000" w:themeColor="text1"/>
          <w14:textFill>
            <w14:solidFill>
              <w14:schemeClr w14:val="tx1"/>
            </w14:solidFill>
          </w14:textFill>
        </w:rPr>
      </w:pPr>
      <w:r>
        <w:rPr>
          <w:rFonts w:hint="eastAsia"/>
          <w:color w:val="000000" w:themeColor="text1"/>
          <w14:textFill>
            <w14:solidFill>
              <w14:schemeClr w14:val="tx1"/>
            </w14:solidFill>
          </w14:textFill>
        </w:rPr>
        <w:t>地方专业应急队伍来自广西 8 家船舶污染清除单位，现有专业应急人员237人；兼职应急队伍来自港口码头特别是油码头的员工。建议规划运营单位应建设溢油应急队伍，确保专业力量承担溢油应急设备物资保养、维护，以及应急处置工作。</w:t>
      </w:r>
    </w:p>
    <w:p>
      <w:pPr>
        <w:pStyle w:val="283"/>
        <w:rPr>
          <w:color w:val="000000" w:themeColor="text1"/>
          <w14:textFill>
            <w14:solidFill>
              <w14:schemeClr w14:val="tx1"/>
            </w14:solidFill>
          </w14:textFill>
        </w:rPr>
      </w:pPr>
      <w:r>
        <w:rPr>
          <w:rFonts w:hint="eastAsia" w:ascii="宋体" w:hAnsi="宋体"/>
          <w:color w:val="000000" w:themeColor="text1"/>
          <w14:textFill>
            <w14:solidFill>
              <w14:schemeClr w14:val="tx1"/>
            </w14:solidFill>
          </w14:textFill>
        </w:rPr>
        <w:t>③</w:t>
      </w:r>
      <w:r>
        <w:rPr>
          <w:rFonts w:hint="eastAsia"/>
          <w:color w:val="000000" w:themeColor="text1"/>
          <w14:textFill>
            <w14:solidFill>
              <w14:schemeClr w14:val="tx1"/>
            </w14:solidFill>
          </w14:textFill>
        </w:rPr>
        <w:t>应急演习</w:t>
      </w:r>
    </w:p>
    <w:p>
      <w:pPr>
        <w:pStyle w:val="283"/>
        <w:rPr>
          <w:color w:val="000000" w:themeColor="text1"/>
          <w14:textFill>
            <w14:solidFill>
              <w14:schemeClr w14:val="tx1"/>
            </w14:solidFill>
          </w14:textFill>
        </w:rPr>
      </w:pPr>
      <w:r>
        <w:rPr>
          <w:rFonts w:hint="eastAsia"/>
          <w:color w:val="000000" w:themeColor="text1"/>
          <w14:textFill>
            <w14:solidFill>
              <w14:schemeClr w14:val="tx1"/>
            </w14:solidFill>
          </w14:textFill>
        </w:rPr>
        <w:t>每年企业、码头组织开展溢油应急演练。</w:t>
      </w:r>
    </w:p>
    <w:p>
      <w:pPr>
        <w:pStyle w:val="283"/>
        <w:rPr>
          <w:color w:val="000000" w:themeColor="text1"/>
          <w14:textFill>
            <w14:solidFill>
              <w14:schemeClr w14:val="tx1"/>
            </w14:solidFill>
          </w14:textFill>
        </w:rPr>
      </w:pPr>
      <w:r>
        <w:rPr>
          <w:rFonts w:hint="eastAsia"/>
          <w:color w:val="000000" w:themeColor="text1"/>
          <w14:textFill>
            <w14:solidFill>
              <w14:schemeClr w14:val="tx1"/>
            </w14:solidFill>
          </w14:textFill>
        </w:rPr>
        <w:t>五、小结</w:t>
      </w:r>
    </w:p>
    <w:p>
      <w:pPr>
        <w:pStyle w:val="283"/>
        <w:rPr>
          <w:color w:val="000000" w:themeColor="text1"/>
          <w14:textFill>
            <w14:solidFill>
              <w14:schemeClr w14:val="tx1"/>
            </w14:solidFill>
          </w14:textFill>
        </w:rPr>
      </w:pPr>
      <w:r>
        <w:rPr>
          <w:rFonts w:hint="eastAsia"/>
          <w:color w:val="000000" w:themeColor="text1"/>
          <w14:textFill>
            <w14:solidFill>
              <w14:schemeClr w14:val="tx1"/>
            </w14:solidFill>
          </w14:textFill>
        </w:rPr>
        <w:t>综上所述，目前钦州已有溢油应急能力约为5400吨，预测最大水上溢油事故溢油量约为6800 t，目前溢油应急能力足以应对本项目事故单舱溢油最大量2500t。</w:t>
      </w:r>
    </w:p>
    <w:p>
      <w:pPr>
        <w:pStyle w:val="283"/>
        <w:rPr>
          <w:color w:val="000000" w:themeColor="text1"/>
          <w14:textFill>
            <w14:solidFill>
              <w14:schemeClr w14:val="tx1"/>
            </w14:solidFill>
          </w14:textFill>
        </w:rPr>
      </w:pPr>
      <w:r>
        <w:rPr>
          <w:rFonts w:hint="eastAsia"/>
          <w:color w:val="000000" w:themeColor="text1"/>
          <w14:textFill>
            <w14:solidFill>
              <w14:schemeClr w14:val="tx1"/>
            </w14:solidFill>
          </w14:textFill>
        </w:rPr>
        <w:t>溢油风险事故发生后，能否迅速而有效地做出应急反应，对于控制污染、减少污染损失起着关键性的作用。根据本次评价的相关分析，结合区域当前的应急现状，规划实施后，建议综合地方政府、海事机构和港口企业的力量，使本区域能对抗小型水上溢油事故。重点建设水面溢油的控制、清除功能，增加应急反应决策和指挥的手段；积极与周边港口部门协商，形成联防机制，减少资源浪费。</w:t>
      </w:r>
    </w:p>
    <w:p>
      <w:pPr>
        <w:pStyle w:val="283"/>
        <w:rPr>
          <w:color w:val="000000" w:themeColor="text1"/>
          <w14:textFill>
            <w14:solidFill>
              <w14:schemeClr w14:val="tx1"/>
            </w14:solidFill>
          </w14:textFill>
        </w:rPr>
        <w:sectPr>
          <w:pgSz w:w="11907" w:h="16840"/>
          <w:pgMar w:top="1440" w:right="1514" w:bottom="1440" w:left="1797" w:header="992" w:footer="851" w:gutter="284"/>
          <w:pgNumType w:fmt="numberInDash"/>
          <w:cols w:space="425" w:num="1"/>
          <w:docGrid w:type="linesAndChars" w:linePitch="465" w:charSpace="-4355"/>
        </w:sectPr>
      </w:pPr>
    </w:p>
    <w:p>
      <w:pPr>
        <w:pStyle w:val="384"/>
        <w:ind w:left="0" w:firstLine="0"/>
        <w:rPr>
          <w:rFonts w:cs="Times New Roman"/>
          <w:color w:val="000000" w:themeColor="text1"/>
          <w14:textFill>
            <w14:solidFill>
              <w14:schemeClr w14:val="tx1"/>
            </w14:solidFill>
          </w14:textFill>
        </w:rPr>
      </w:pPr>
      <w:bookmarkStart w:id="259" w:name="_Toc247517568"/>
      <w:bookmarkStart w:id="260" w:name="_Toc342725948"/>
      <w:bookmarkStart w:id="261" w:name="_Toc247517495"/>
      <w:bookmarkStart w:id="262" w:name="_Toc232154545"/>
      <w:bookmarkStart w:id="263" w:name="_Toc247517371"/>
      <w:r>
        <w:rPr>
          <w:rFonts w:hint="eastAsia" w:cs="Times New Roman"/>
          <w:color w:val="000000" w:themeColor="text1"/>
          <w14:textFill>
            <w14:solidFill>
              <w14:schemeClr w14:val="tx1"/>
            </w14:solidFill>
          </w14:textFill>
        </w:rPr>
        <w:t>广西船舶污染应急救援物资储备</w:t>
      </w:r>
    </w:p>
    <w:tbl>
      <w:tblPr>
        <w:tblStyle w:val="89"/>
        <w:tblW w:w="14176" w:type="dxa"/>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1216"/>
        <w:gridCol w:w="883"/>
        <w:gridCol w:w="789"/>
        <w:gridCol w:w="1147"/>
        <w:gridCol w:w="909"/>
        <w:gridCol w:w="909"/>
        <w:gridCol w:w="942"/>
        <w:gridCol w:w="1002"/>
        <w:gridCol w:w="909"/>
        <w:gridCol w:w="1087"/>
        <w:gridCol w:w="909"/>
        <w:gridCol w:w="625"/>
        <w:gridCol w:w="910"/>
        <w:gridCol w:w="1029"/>
        <w:gridCol w:w="910"/>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blHeader/>
        </w:trPr>
        <w:tc>
          <w:tcPr>
            <w:tcW w:w="1216" w:type="dxa"/>
            <w:vAlign w:val="center"/>
          </w:tcPr>
          <w:p>
            <w:pPr>
              <w:widowControl/>
              <w:jc w:val="center"/>
              <w:rPr>
                <w:b/>
                <w:color w:val="000000" w:themeColor="text1"/>
                <w:kern w:val="0"/>
                <w:sz w:val="18"/>
                <w:szCs w:val="18"/>
                <w14:textFill>
                  <w14:solidFill>
                    <w14:schemeClr w14:val="tx1"/>
                  </w14:solidFill>
                </w14:textFill>
              </w:rPr>
            </w:pPr>
            <w:r>
              <w:rPr>
                <w:b/>
                <w:color w:val="000000" w:themeColor="text1"/>
                <w:kern w:val="0"/>
                <w:sz w:val="18"/>
                <w:szCs w:val="18"/>
                <w14:textFill>
                  <w14:solidFill>
                    <w14:schemeClr w14:val="tx1"/>
                  </w14:solidFill>
                </w14:textFill>
              </w:rPr>
              <w:t>单位名称</w:t>
            </w:r>
          </w:p>
        </w:tc>
        <w:tc>
          <w:tcPr>
            <w:tcW w:w="883" w:type="dxa"/>
            <w:vAlign w:val="center"/>
          </w:tcPr>
          <w:p>
            <w:pPr>
              <w:widowControl/>
              <w:jc w:val="center"/>
              <w:rPr>
                <w:b/>
                <w:color w:val="000000" w:themeColor="text1"/>
                <w:kern w:val="0"/>
                <w:sz w:val="18"/>
                <w:szCs w:val="18"/>
                <w14:textFill>
                  <w14:solidFill>
                    <w14:schemeClr w14:val="tx1"/>
                  </w14:solidFill>
                </w14:textFill>
              </w:rPr>
            </w:pPr>
            <w:r>
              <w:rPr>
                <w:b/>
                <w:color w:val="000000" w:themeColor="text1"/>
                <w:kern w:val="0"/>
                <w:sz w:val="18"/>
                <w:szCs w:val="18"/>
                <w14:textFill>
                  <w14:solidFill>
                    <w14:schemeClr w14:val="tx1"/>
                  </w14:solidFill>
                </w14:textFill>
              </w:rPr>
              <w:t>围油栏</w:t>
            </w:r>
            <w:r>
              <w:rPr>
                <w:rFonts w:hint="eastAsia"/>
                <w:b/>
                <w:color w:val="000000" w:themeColor="text1"/>
                <w:kern w:val="0"/>
                <w:sz w:val="18"/>
                <w:szCs w:val="18"/>
                <w14:textFill>
                  <w14:solidFill>
                    <w14:schemeClr w14:val="tx1"/>
                  </w14:solidFill>
                </w14:textFill>
              </w:rPr>
              <w:t>（</w:t>
            </w:r>
            <w:r>
              <w:rPr>
                <w:b/>
                <w:color w:val="000000" w:themeColor="text1"/>
                <w:kern w:val="0"/>
                <w:sz w:val="18"/>
                <w:szCs w:val="18"/>
                <w14:textFill>
                  <w14:solidFill>
                    <w14:schemeClr w14:val="tx1"/>
                  </w14:solidFill>
                </w14:textFill>
              </w:rPr>
              <w:t>m</w:t>
            </w:r>
            <w:r>
              <w:rPr>
                <w:rFonts w:hint="eastAsia"/>
                <w:b/>
                <w:color w:val="000000" w:themeColor="text1"/>
                <w:kern w:val="0"/>
                <w:sz w:val="18"/>
                <w:szCs w:val="18"/>
                <w14:textFill>
                  <w14:solidFill>
                    <w14:schemeClr w14:val="tx1"/>
                  </w14:solidFill>
                </w14:textFill>
              </w:rPr>
              <w:t>）</w:t>
            </w:r>
          </w:p>
        </w:tc>
        <w:tc>
          <w:tcPr>
            <w:tcW w:w="789" w:type="dxa"/>
            <w:vAlign w:val="center"/>
          </w:tcPr>
          <w:p>
            <w:pPr>
              <w:widowControl/>
              <w:jc w:val="center"/>
              <w:rPr>
                <w:b/>
                <w:color w:val="000000" w:themeColor="text1"/>
                <w:kern w:val="0"/>
                <w:sz w:val="18"/>
                <w:szCs w:val="18"/>
                <w14:textFill>
                  <w14:solidFill>
                    <w14:schemeClr w14:val="tx1"/>
                  </w14:solidFill>
                </w14:textFill>
              </w:rPr>
            </w:pPr>
            <w:r>
              <w:rPr>
                <w:rFonts w:hint="eastAsia"/>
                <w:b/>
                <w:color w:val="000000" w:themeColor="text1"/>
                <w:kern w:val="0"/>
                <w:sz w:val="18"/>
                <w:szCs w:val="18"/>
                <w14:textFill>
                  <w14:solidFill>
                    <w14:schemeClr w14:val="tx1"/>
                  </w14:solidFill>
                </w14:textFill>
              </w:rPr>
              <w:t>消油剂</w:t>
            </w:r>
          </w:p>
          <w:p>
            <w:pPr>
              <w:widowControl/>
              <w:jc w:val="center"/>
              <w:rPr>
                <w:b/>
                <w:color w:val="000000" w:themeColor="text1"/>
                <w:kern w:val="0"/>
                <w:sz w:val="18"/>
                <w:szCs w:val="18"/>
                <w14:textFill>
                  <w14:solidFill>
                    <w14:schemeClr w14:val="tx1"/>
                  </w14:solidFill>
                </w14:textFill>
              </w:rPr>
            </w:pPr>
            <w:r>
              <w:rPr>
                <w:rFonts w:hint="eastAsia"/>
                <w:b/>
                <w:color w:val="000000" w:themeColor="text1"/>
                <w:kern w:val="0"/>
                <w:sz w:val="18"/>
                <w:szCs w:val="18"/>
                <w14:textFill>
                  <w14:solidFill>
                    <w14:schemeClr w14:val="tx1"/>
                  </w14:solidFill>
                </w14:textFill>
              </w:rPr>
              <w:t>（公斤）</w:t>
            </w:r>
          </w:p>
        </w:tc>
        <w:tc>
          <w:tcPr>
            <w:tcW w:w="1147" w:type="dxa"/>
            <w:vAlign w:val="center"/>
          </w:tcPr>
          <w:p>
            <w:pPr>
              <w:widowControl/>
              <w:jc w:val="center"/>
              <w:rPr>
                <w:b/>
                <w:color w:val="000000" w:themeColor="text1"/>
                <w:kern w:val="0"/>
                <w:sz w:val="18"/>
                <w:szCs w:val="18"/>
                <w14:textFill>
                  <w14:solidFill>
                    <w14:schemeClr w14:val="tx1"/>
                  </w14:solidFill>
                </w14:textFill>
              </w:rPr>
            </w:pPr>
            <w:r>
              <w:rPr>
                <w:rFonts w:hint="eastAsia"/>
                <w:b/>
                <w:color w:val="000000" w:themeColor="text1"/>
                <w:kern w:val="0"/>
                <w:sz w:val="18"/>
                <w:szCs w:val="18"/>
                <w14:textFill>
                  <w14:solidFill>
                    <w14:schemeClr w14:val="tx1"/>
                  </w14:solidFill>
                </w14:textFill>
              </w:rPr>
              <w:t>消油剂喷洒装置（台）</w:t>
            </w:r>
          </w:p>
        </w:tc>
        <w:tc>
          <w:tcPr>
            <w:tcW w:w="909" w:type="dxa"/>
            <w:vAlign w:val="center"/>
          </w:tcPr>
          <w:p>
            <w:pPr>
              <w:widowControl/>
              <w:jc w:val="center"/>
              <w:rPr>
                <w:b/>
                <w:color w:val="000000" w:themeColor="text1"/>
                <w:kern w:val="0"/>
                <w:sz w:val="18"/>
                <w:szCs w:val="18"/>
                <w14:textFill>
                  <w14:solidFill>
                    <w14:schemeClr w14:val="tx1"/>
                  </w14:solidFill>
                </w14:textFill>
              </w:rPr>
            </w:pPr>
            <w:r>
              <w:rPr>
                <w:rFonts w:hint="eastAsia"/>
                <w:b/>
                <w:color w:val="000000" w:themeColor="text1"/>
                <w:kern w:val="0"/>
                <w:sz w:val="18"/>
                <w:szCs w:val="18"/>
                <w14:textFill>
                  <w14:solidFill>
                    <w14:schemeClr w14:val="tx1"/>
                  </w14:solidFill>
                </w14:textFill>
              </w:rPr>
              <w:t>收油机（台）</w:t>
            </w:r>
          </w:p>
        </w:tc>
        <w:tc>
          <w:tcPr>
            <w:tcW w:w="909" w:type="dxa"/>
            <w:vAlign w:val="center"/>
          </w:tcPr>
          <w:p>
            <w:pPr>
              <w:widowControl/>
              <w:jc w:val="center"/>
              <w:rPr>
                <w:b/>
                <w:color w:val="000000" w:themeColor="text1"/>
                <w:kern w:val="0"/>
                <w:sz w:val="18"/>
                <w:szCs w:val="18"/>
                <w14:textFill>
                  <w14:solidFill>
                    <w14:schemeClr w14:val="tx1"/>
                  </w14:solidFill>
                </w14:textFill>
              </w:rPr>
            </w:pPr>
            <w:r>
              <w:rPr>
                <w:rFonts w:hint="eastAsia"/>
                <w:b/>
                <w:color w:val="000000" w:themeColor="text1"/>
                <w:kern w:val="0"/>
                <w:sz w:val="18"/>
                <w:szCs w:val="18"/>
                <w14:textFill>
                  <w14:solidFill>
                    <w14:schemeClr w14:val="tx1"/>
                  </w14:solidFill>
                </w14:textFill>
              </w:rPr>
              <w:t>吸油毡（吨）</w:t>
            </w:r>
          </w:p>
        </w:tc>
        <w:tc>
          <w:tcPr>
            <w:tcW w:w="942" w:type="dxa"/>
            <w:vAlign w:val="center"/>
          </w:tcPr>
          <w:p>
            <w:pPr>
              <w:widowControl/>
              <w:jc w:val="center"/>
              <w:rPr>
                <w:b/>
                <w:color w:val="000000" w:themeColor="text1"/>
                <w:kern w:val="0"/>
                <w:sz w:val="18"/>
                <w:szCs w:val="18"/>
                <w14:textFill>
                  <w14:solidFill>
                    <w14:schemeClr w14:val="tx1"/>
                  </w14:solidFill>
                </w14:textFill>
              </w:rPr>
            </w:pPr>
            <w:r>
              <w:rPr>
                <w:rFonts w:hint="eastAsia"/>
                <w:b/>
                <w:color w:val="000000" w:themeColor="text1"/>
                <w:kern w:val="0"/>
                <w:sz w:val="18"/>
                <w:szCs w:val="18"/>
                <w14:textFill>
                  <w14:solidFill>
                    <w14:schemeClr w14:val="tx1"/>
                  </w14:solidFill>
                </w14:textFill>
              </w:rPr>
              <w:t>吸油拖栏（m）</w:t>
            </w:r>
          </w:p>
        </w:tc>
        <w:tc>
          <w:tcPr>
            <w:tcW w:w="1002" w:type="dxa"/>
            <w:vAlign w:val="center"/>
          </w:tcPr>
          <w:p>
            <w:pPr>
              <w:widowControl/>
              <w:jc w:val="center"/>
              <w:rPr>
                <w:b/>
                <w:color w:val="000000" w:themeColor="text1"/>
                <w:kern w:val="0"/>
                <w:sz w:val="18"/>
                <w:szCs w:val="18"/>
                <w14:textFill>
                  <w14:solidFill>
                    <w14:schemeClr w14:val="tx1"/>
                  </w14:solidFill>
                </w14:textFill>
              </w:rPr>
            </w:pPr>
            <w:r>
              <w:rPr>
                <w:rFonts w:hint="eastAsia"/>
                <w:b/>
                <w:color w:val="000000" w:themeColor="text1"/>
                <w:kern w:val="0"/>
                <w:sz w:val="18"/>
                <w:szCs w:val="18"/>
                <w14:textFill>
                  <w14:solidFill>
                    <w14:schemeClr w14:val="tx1"/>
                  </w14:solidFill>
                </w14:textFill>
              </w:rPr>
              <w:t>储油罐（个）</w:t>
            </w:r>
          </w:p>
        </w:tc>
        <w:tc>
          <w:tcPr>
            <w:tcW w:w="909" w:type="dxa"/>
            <w:vAlign w:val="center"/>
          </w:tcPr>
          <w:p>
            <w:pPr>
              <w:widowControl/>
              <w:jc w:val="center"/>
              <w:rPr>
                <w:b/>
                <w:color w:val="000000" w:themeColor="text1"/>
                <w:kern w:val="0"/>
                <w:sz w:val="18"/>
                <w:szCs w:val="18"/>
                <w14:textFill>
                  <w14:solidFill>
                    <w14:schemeClr w14:val="tx1"/>
                  </w14:solidFill>
                </w14:textFill>
              </w:rPr>
            </w:pPr>
            <w:r>
              <w:rPr>
                <w:rFonts w:hint="eastAsia"/>
                <w:b/>
                <w:color w:val="000000" w:themeColor="text1"/>
                <w:kern w:val="0"/>
                <w:sz w:val="18"/>
                <w:szCs w:val="18"/>
                <w14:textFill>
                  <w14:solidFill>
                    <w14:schemeClr w14:val="tx1"/>
                  </w14:solidFill>
                </w14:textFill>
              </w:rPr>
              <w:t>储油囊（个）</w:t>
            </w:r>
          </w:p>
        </w:tc>
        <w:tc>
          <w:tcPr>
            <w:tcW w:w="1087" w:type="dxa"/>
            <w:vAlign w:val="center"/>
          </w:tcPr>
          <w:p>
            <w:pPr>
              <w:widowControl/>
              <w:jc w:val="center"/>
              <w:rPr>
                <w:b/>
                <w:color w:val="000000" w:themeColor="text1"/>
                <w:kern w:val="0"/>
                <w:sz w:val="18"/>
                <w:szCs w:val="18"/>
                <w14:textFill>
                  <w14:solidFill>
                    <w14:schemeClr w14:val="tx1"/>
                  </w14:solidFill>
                </w14:textFill>
              </w:rPr>
            </w:pPr>
            <w:r>
              <w:rPr>
                <w:rFonts w:hint="eastAsia"/>
                <w:b/>
                <w:color w:val="000000" w:themeColor="text1"/>
                <w:kern w:val="0"/>
                <w:sz w:val="18"/>
                <w:szCs w:val="18"/>
                <w14:textFill>
                  <w14:solidFill>
                    <w14:schemeClr w14:val="tx1"/>
                  </w14:solidFill>
                </w14:textFill>
              </w:rPr>
              <w:t>油水分离装置（台）</w:t>
            </w:r>
          </w:p>
        </w:tc>
        <w:tc>
          <w:tcPr>
            <w:tcW w:w="909" w:type="dxa"/>
            <w:vAlign w:val="center"/>
          </w:tcPr>
          <w:p>
            <w:pPr>
              <w:widowControl/>
              <w:jc w:val="center"/>
              <w:rPr>
                <w:b/>
                <w:color w:val="000000" w:themeColor="text1"/>
                <w:kern w:val="0"/>
                <w:sz w:val="18"/>
                <w:szCs w:val="18"/>
                <w14:textFill>
                  <w14:solidFill>
                    <w14:schemeClr w14:val="tx1"/>
                  </w14:solidFill>
                </w14:textFill>
              </w:rPr>
            </w:pPr>
            <w:r>
              <w:rPr>
                <w:rFonts w:hint="eastAsia"/>
                <w:b/>
                <w:color w:val="000000" w:themeColor="text1"/>
                <w:kern w:val="0"/>
                <w:sz w:val="18"/>
                <w:szCs w:val="18"/>
                <w14:textFill>
                  <w14:solidFill>
                    <w14:schemeClr w14:val="tx1"/>
                  </w14:solidFill>
                </w14:textFill>
              </w:rPr>
              <w:t>防爆泵（套）</w:t>
            </w:r>
          </w:p>
        </w:tc>
        <w:tc>
          <w:tcPr>
            <w:tcW w:w="625" w:type="dxa"/>
            <w:vAlign w:val="center"/>
          </w:tcPr>
          <w:p>
            <w:pPr>
              <w:widowControl/>
              <w:jc w:val="center"/>
              <w:rPr>
                <w:b/>
                <w:color w:val="000000" w:themeColor="text1"/>
                <w:kern w:val="0"/>
                <w:sz w:val="18"/>
                <w:szCs w:val="18"/>
                <w14:textFill>
                  <w14:solidFill>
                    <w14:schemeClr w14:val="tx1"/>
                  </w14:solidFill>
                </w14:textFill>
              </w:rPr>
            </w:pPr>
            <w:r>
              <w:rPr>
                <w:rFonts w:hint="eastAsia"/>
                <w:b/>
                <w:color w:val="000000" w:themeColor="text1"/>
                <w:kern w:val="0"/>
                <w:sz w:val="18"/>
                <w:szCs w:val="18"/>
                <w14:textFill>
                  <w14:solidFill>
                    <w14:schemeClr w14:val="tx1"/>
                  </w14:solidFill>
                </w14:textFill>
              </w:rPr>
              <w:t>高压清洗机</w:t>
            </w:r>
          </w:p>
        </w:tc>
        <w:tc>
          <w:tcPr>
            <w:tcW w:w="910" w:type="dxa"/>
            <w:vAlign w:val="center"/>
          </w:tcPr>
          <w:p>
            <w:pPr>
              <w:widowControl/>
              <w:jc w:val="center"/>
              <w:rPr>
                <w:b/>
                <w:color w:val="000000" w:themeColor="text1"/>
                <w:kern w:val="0"/>
                <w:sz w:val="18"/>
                <w:szCs w:val="18"/>
                <w14:textFill>
                  <w14:solidFill>
                    <w14:schemeClr w14:val="tx1"/>
                  </w14:solidFill>
                </w14:textFill>
              </w:rPr>
            </w:pPr>
            <w:r>
              <w:rPr>
                <w:rFonts w:hint="eastAsia"/>
                <w:b/>
                <w:color w:val="000000" w:themeColor="text1"/>
                <w:kern w:val="0"/>
                <w:sz w:val="18"/>
                <w:szCs w:val="18"/>
                <w14:textFill>
                  <w14:solidFill>
                    <w14:schemeClr w14:val="tx1"/>
                  </w14:solidFill>
                </w14:textFill>
              </w:rPr>
              <w:t>油罐车（辆）</w:t>
            </w:r>
          </w:p>
        </w:tc>
        <w:tc>
          <w:tcPr>
            <w:tcW w:w="1029" w:type="dxa"/>
            <w:vAlign w:val="center"/>
          </w:tcPr>
          <w:p>
            <w:pPr>
              <w:widowControl/>
              <w:jc w:val="center"/>
              <w:rPr>
                <w:b/>
                <w:color w:val="000000" w:themeColor="text1"/>
                <w:kern w:val="0"/>
                <w:sz w:val="18"/>
                <w:szCs w:val="18"/>
                <w14:textFill>
                  <w14:solidFill>
                    <w14:schemeClr w14:val="tx1"/>
                  </w14:solidFill>
                </w14:textFill>
              </w:rPr>
            </w:pPr>
            <w:r>
              <w:rPr>
                <w:rFonts w:hint="eastAsia"/>
                <w:b/>
                <w:color w:val="000000" w:themeColor="text1"/>
                <w:kern w:val="0"/>
                <w:sz w:val="18"/>
                <w:szCs w:val="18"/>
                <w14:textFill>
                  <w14:solidFill>
                    <w14:schemeClr w14:val="tx1"/>
                  </w14:solidFill>
                </w14:textFill>
              </w:rPr>
              <w:t>浮油回收船（艘）</w:t>
            </w:r>
          </w:p>
        </w:tc>
        <w:tc>
          <w:tcPr>
            <w:tcW w:w="910" w:type="dxa"/>
            <w:vAlign w:val="center"/>
          </w:tcPr>
          <w:p>
            <w:pPr>
              <w:widowControl/>
              <w:jc w:val="center"/>
              <w:rPr>
                <w:b/>
                <w:color w:val="000000" w:themeColor="text1"/>
                <w:kern w:val="0"/>
                <w:sz w:val="18"/>
                <w:szCs w:val="18"/>
                <w14:textFill>
                  <w14:solidFill>
                    <w14:schemeClr w14:val="tx1"/>
                  </w14:solidFill>
                </w14:textFill>
              </w:rPr>
            </w:pPr>
            <w:r>
              <w:rPr>
                <w:rFonts w:hint="eastAsia"/>
                <w:b/>
                <w:color w:val="000000" w:themeColor="text1"/>
                <w:kern w:val="0"/>
                <w:sz w:val="18"/>
                <w:szCs w:val="18"/>
                <w14:textFill>
                  <w14:solidFill>
                    <w14:schemeClr w14:val="tx1"/>
                  </w14:solidFill>
                </w14:textFill>
              </w:rPr>
              <w:t>辅助船（艘）</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c>
          <w:tcPr>
            <w:tcW w:w="1216" w:type="dxa"/>
            <w:vAlign w:val="center"/>
          </w:tcPr>
          <w:p>
            <w:pPr>
              <w:widowControl/>
              <w:jc w:val="center"/>
              <w:rPr>
                <w:color w:val="000000" w:themeColor="text1"/>
                <w:kern w:val="0"/>
                <w:sz w:val="18"/>
                <w:szCs w:val="18"/>
                <w14:textFill>
                  <w14:solidFill>
                    <w14:schemeClr w14:val="tx1"/>
                  </w14:solidFill>
                </w14:textFill>
              </w:rPr>
            </w:pPr>
            <w:r>
              <w:rPr>
                <w:color w:val="000000" w:themeColor="text1"/>
                <w:kern w:val="0"/>
                <w:sz w:val="18"/>
                <w:szCs w:val="18"/>
                <w14:textFill>
                  <w14:solidFill>
                    <w14:schemeClr w14:val="tx1"/>
                  </w14:solidFill>
                </w14:textFill>
              </w:rPr>
              <w:t>钦州市海事局</w:t>
            </w:r>
          </w:p>
        </w:tc>
        <w:tc>
          <w:tcPr>
            <w:tcW w:w="883" w:type="dxa"/>
            <w:vAlign w:val="center"/>
          </w:tcPr>
          <w:p>
            <w:pPr>
              <w:widowControl/>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2600</w:t>
            </w:r>
          </w:p>
        </w:tc>
        <w:tc>
          <w:tcPr>
            <w:tcW w:w="789" w:type="dxa"/>
            <w:vAlign w:val="center"/>
          </w:tcPr>
          <w:p>
            <w:pPr>
              <w:widowControl/>
              <w:jc w:val="center"/>
              <w:rPr>
                <w:color w:val="000000" w:themeColor="text1"/>
                <w:kern w:val="0"/>
                <w:sz w:val="18"/>
                <w:szCs w:val="18"/>
                <w14:textFill>
                  <w14:solidFill>
                    <w14:schemeClr w14:val="tx1"/>
                  </w14:solidFill>
                </w14:textFill>
              </w:rPr>
            </w:pPr>
          </w:p>
        </w:tc>
        <w:tc>
          <w:tcPr>
            <w:tcW w:w="1147" w:type="dxa"/>
            <w:vAlign w:val="center"/>
          </w:tcPr>
          <w:p>
            <w:pPr>
              <w:widowControl/>
              <w:jc w:val="center"/>
              <w:rPr>
                <w:color w:val="000000" w:themeColor="text1"/>
                <w:kern w:val="0"/>
                <w:sz w:val="18"/>
                <w:szCs w:val="18"/>
                <w14:textFill>
                  <w14:solidFill>
                    <w14:schemeClr w14:val="tx1"/>
                  </w14:solidFill>
                </w14:textFill>
              </w:rPr>
            </w:pPr>
          </w:p>
        </w:tc>
        <w:tc>
          <w:tcPr>
            <w:tcW w:w="909" w:type="dxa"/>
            <w:vAlign w:val="center"/>
          </w:tcPr>
          <w:p>
            <w:pPr>
              <w:widowControl/>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3</w:t>
            </w:r>
          </w:p>
        </w:tc>
        <w:tc>
          <w:tcPr>
            <w:tcW w:w="909" w:type="dxa"/>
            <w:vAlign w:val="center"/>
          </w:tcPr>
          <w:p>
            <w:pPr>
              <w:widowControl/>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19</w:t>
            </w:r>
          </w:p>
        </w:tc>
        <w:tc>
          <w:tcPr>
            <w:tcW w:w="942" w:type="dxa"/>
            <w:vAlign w:val="center"/>
          </w:tcPr>
          <w:p>
            <w:pPr>
              <w:widowControl/>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5600</w:t>
            </w:r>
          </w:p>
        </w:tc>
        <w:tc>
          <w:tcPr>
            <w:tcW w:w="1002" w:type="dxa"/>
            <w:vAlign w:val="center"/>
          </w:tcPr>
          <w:p>
            <w:pPr>
              <w:widowControl/>
              <w:jc w:val="center"/>
              <w:rPr>
                <w:color w:val="000000" w:themeColor="text1"/>
                <w:kern w:val="0"/>
                <w:sz w:val="18"/>
                <w:szCs w:val="18"/>
                <w14:textFill>
                  <w14:solidFill>
                    <w14:schemeClr w14:val="tx1"/>
                  </w14:solidFill>
                </w14:textFill>
              </w:rPr>
            </w:pPr>
          </w:p>
        </w:tc>
        <w:tc>
          <w:tcPr>
            <w:tcW w:w="909" w:type="dxa"/>
            <w:vAlign w:val="center"/>
          </w:tcPr>
          <w:p>
            <w:pPr>
              <w:widowControl/>
              <w:jc w:val="center"/>
              <w:rPr>
                <w:color w:val="000000" w:themeColor="text1"/>
                <w:kern w:val="0"/>
                <w:sz w:val="18"/>
                <w:szCs w:val="18"/>
                <w14:textFill>
                  <w14:solidFill>
                    <w14:schemeClr w14:val="tx1"/>
                  </w14:solidFill>
                </w14:textFill>
              </w:rPr>
            </w:pPr>
          </w:p>
        </w:tc>
        <w:tc>
          <w:tcPr>
            <w:tcW w:w="1087" w:type="dxa"/>
            <w:vAlign w:val="center"/>
          </w:tcPr>
          <w:p>
            <w:pPr>
              <w:widowControl/>
              <w:jc w:val="center"/>
              <w:rPr>
                <w:color w:val="000000" w:themeColor="text1"/>
                <w:kern w:val="0"/>
                <w:sz w:val="18"/>
                <w:szCs w:val="18"/>
                <w14:textFill>
                  <w14:solidFill>
                    <w14:schemeClr w14:val="tx1"/>
                  </w14:solidFill>
                </w14:textFill>
              </w:rPr>
            </w:pPr>
          </w:p>
        </w:tc>
        <w:tc>
          <w:tcPr>
            <w:tcW w:w="909" w:type="dxa"/>
            <w:vAlign w:val="center"/>
          </w:tcPr>
          <w:p>
            <w:pPr>
              <w:widowControl/>
              <w:jc w:val="center"/>
              <w:rPr>
                <w:color w:val="000000" w:themeColor="text1"/>
                <w:kern w:val="0"/>
                <w:sz w:val="18"/>
                <w:szCs w:val="18"/>
                <w14:textFill>
                  <w14:solidFill>
                    <w14:schemeClr w14:val="tx1"/>
                  </w14:solidFill>
                </w14:textFill>
              </w:rPr>
            </w:pPr>
          </w:p>
        </w:tc>
        <w:tc>
          <w:tcPr>
            <w:tcW w:w="625" w:type="dxa"/>
            <w:vAlign w:val="center"/>
          </w:tcPr>
          <w:p>
            <w:pPr>
              <w:widowControl/>
              <w:jc w:val="center"/>
              <w:rPr>
                <w:color w:val="000000" w:themeColor="text1"/>
                <w:kern w:val="0"/>
                <w:sz w:val="18"/>
                <w:szCs w:val="18"/>
                <w14:textFill>
                  <w14:solidFill>
                    <w14:schemeClr w14:val="tx1"/>
                  </w14:solidFill>
                </w14:textFill>
              </w:rPr>
            </w:pPr>
          </w:p>
        </w:tc>
        <w:tc>
          <w:tcPr>
            <w:tcW w:w="910" w:type="dxa"/>
            <w:vAlign w:val="center"/>
          </w:tcPr>
          <w:p>
            <w:pPr>
              <w:widowControl/>
              <w:jc w:val="center"/>
              <w:rPr>
                <w:color w:val="000000" w:themeColor="text1"/>
                <w:kern w:val="0"/>
                <w:sz w:val="18"/>
                <w:szCs w:val="18"/>
                <w14:textFill>
                  <w14:solidFill>
                    <w14:schemeClr w14:val="tx1"/>
                  </w14:solidFill>
                </w14:textFill>
              </w:rPr>
            </w:pPr>
          </w:p>
        </w:tc>
        <w:tc>
          <w:tcPr>
            <w:tcW w:w="1029" w:type="dxa"/>
            <w:vAlign w:val="center"/>
          </w:tcPr>
          <w:p>
            <w:pPr>
              <w:widowControl/>
              <w:jc w:val="center"/>
              <w:rPr>
                <w:color w:val="000000" w:themeColor="text1"/>
                <w:kern w:val="0"/>
                <w:sz w:val="18"/>
                <w:szCs w:val="18"/>
                <w14:textFill>
                  <w14:solidFill>
                    <w14:schemeClr w14:val="tx1"/>
                  </w14:solidFill>
                </w14:textFill>
              </w:rPr>
            </w:pPr>
          </w:p>
        </w:tc>
        <w:tc>
          <w:tcPr>
            <w:tcW w:w="910" w:type="dxa"/>
            <w:vAlign w:val="center"/>
          </w:tcPr>
          <w:p>
            <w:pPr>
              <w:widowControl/>
              <w:jc w:val="center"/>
              <w:rPr>
                <w:color w:val="000000" w:themeColor="text1"/>
                <w:kern w:val="0"/>
                <w:sz w:val="18"/>
                <w:szCs w:val="18"/>
                <w14:textFill>
                  <w14:solidFill>
                    <w14:schemeClr w14:val="tx1"/>
                  </w14:solidFill>
                </w14:textFill>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c>
          <w:tcPr>
            <w:tcW w:w="1216" w:type="dxa"/>
            <w:vAlign w:val="center"/>
          </w:tcPr>
          <w:p>
            <w:pPr>
              <w:widowControl/>
              <w:jc w:val="center"/>
              <w:rPr>
                <w:color w:val="000000" w:themeColor="text1"/>
                <w:kern w:val="0"/>
                <w:sz w:val="18"/>
                <w:szCs w:val="18"/>
                <w14:textFill>
                  <w14:solidFill>
                    <w14:schemeClr w14:val="tx1"/>
                  </w14:solidFill>
                </w14:textFill>
              </w:rPr>
            </w:pPr>
            <w:r>
              <w:rPr>
                <w:color w:val="000000" w:themeColor="text1"/>
                <w:kern w:val="0"/>
                <w:sz w:val="18"/>
                <w:szCs w:val="18"/>
                <w14:textFill>
                  <w14:solidFill>
                    <w14:schemeClr w14:val="tx1"/>
                  </w14:solidFill>
                </w14:textFill>
              </w:rPr>
              <w:t>北海海事局</w:t>
            </w:r>
          </w:p>
        </w:tc>
        <w:tc>
          <w:tcPr>
            <w:tcW w:w="883" w:type="dxa"/>
            <w:vAlign w:val="center"/>
          </w:tcPr>
          <w:p>
            <w:pPr>
              <w:widowControl/>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660</w:t>
            </w:r>
          </w:p>
        </w:tc>
        <w:tc>
          <w:tcPr>
            <w:tcW w:w="789" w:type="dxa"/>
            <w:vAlign w:val="center"/>
          </w:tcPr>
          <w:p>
            <w:pPr>
              <w:widowControl/>
              <w:jc w:val="center"/>
              <w:rPr>
                <w:color w:val="000000" w:themeColor="text1"/>
                <w:kern w:val="0"/>
                <w:sz w:val="18"/>
                <w:szCs w:val="18"/>
                <w14:textFill>
                  <w14:solidFill>
                    <w14:schemeClr w14:val="tx1"/>
                  </w14:solidFill>
                </w14:textFill>
              </w:rPr>
            </w:pPr>
          </w:p>
        </w:tc>
        <w:tc>
          <w:tcPr>
            <w:tcW w:w="1147" w:type="dxa"/>
            <w:vAlign w:val="center"/>
          </w:tcPr>
          <w:p>
            <w:pPr>
              <w:widowControl/>
              <w:jc w:val="center"/>
              <w:rPr>
                <w:color w:val="000000" w:themeColor="text1"/>
                <w:kern w:val="0"/>
                <w:sz w:val="18"/>
                <w:szCs w:val="18"/>
                <w14:textFill>
                  <w14:solidFill>
                    <w14:schemeClr w14:val="tx1"/>
                  </w14:solidFill>
                </w14:textFill>
              </w:rPr>
            </w:pPr>
          </w:p>
        </w:tc>
        <w:tc>
          <w:tcPr>
            <w:tcW w:w="909" w:type="dxa"/>
            <w:vAlign w:val="center"/>
          </w:tcPr>
          <w:p>
            <w:pPr>
              <w:widowControl/>
              <w:jc w:val="center"/>
              <w:rPr>
                <w:color w:val="000000" w:themeColor="text1"/>
                <w:kern w:val="0"/>
                <w:sz w:val="18"/>
                <w:szCs w:val="18"/>
                <w14:textFill>
                  <w14:solidFill>
                    <w14:schemeClr w14:val="tx1"/>
                  </w14:solidFill>
                </w14:textFill>
              </w:rPr>
            </w:pPr>
          </w:p>
        </w:tc>
        <w:tc>
          <w:tcPr>
            <w:tcW w:w="909" w:type="dxa"/>
            <w:vAlign w:val="center"/>
          </w:tcPr>
          <w:p>
            <w:pPr>
              <w:widowControl/>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4</w:t>
            </w:r>
          </w:p>
        </w:tc>
        <w:tc>
          <w:tcPr>
            <w:tcW w:w="942" w:type="dxa"/>
            <w:vAlign w:val="center"/>
          </w:tcPr>
          <w:p>
            <w:pPr>
              <w:widowControl/>
              <w:jc w:val="center"/>
              <w:rPr>
                <w:color w:val="000000" w:themeColor="text1"/>
                <w:kern w:val="0"/>
                <w:sz w:val="18"/>
                <w:szCs w:val="18"/>
                <w14:textFill>
                  <w14:solidFill>
                    <w14:schemeClr w14:val="tx1"/>
                  </w14:solidFill>
                </w14:textFill>
              </w:rPr>
            </w:pPr>
          </w:p>
        </w:tc>
        <w:tc>
          <w:tcPr>
            <w:tcW w:w="1002" w:type="dxa"/>
            <w:vAlign w:val="center"/>
          </w:tcPr>
          <w:p>
            <w:pPr>
              <w:widowControl/>
              <w:jc w:val="center"/>
              <w:rPr>
                <w:color w:val="000000" w:themeColor="text1"/>
                <w:kern w:val="0"/>
                <w:sz w:val="18"/>
                <w:szCs w:val="18"/>
                <w14:textFill>
                  <w14:solidFill>
                    <w14:schemeClr w14:val="tx1"/>
                  </w14:solidFill>
                </w14:textFill>
              </w:rPr>
            </w:pPr>
          </w:p>
        </w:tc>
        <w:tc>
          <w:tcPr>
            <w:tcW w:w="909" w:type="dxa"/>
            <w:vAlign w:val="center"/>
          </w:tcPr>
          <w:p>
            <w:pPr>
              <w:widowControl/>
              <w:jc w:val="center"/>
              <w:rPr>
                <w:color w:val="000000" w:themeColor="text1"/>
                <w:kern w:val="0"/>
                <w:sz w:val="18"/>
                <w:szCs w:val="18"/>
                <w14:textFill>
                  <w14:solidFill>
                    <w14:schemeClr w14:val="tx1"/>
                  </w14:solidFill>
                </w14:textFill>
              </w:rPr>
            </w:pPr>
          </w:p>
        </w:tc>
        <w:tc>
          <w:tcPr>
            <w:tcW w:w="1087" w:type="dxa"/>
            <w:vAlign w:val="center"/>
          </w:tcPr>
          <w:p>
            <w:pPr>
              <w:widowControl/>
              <w:jc w:val="center"/>
              <w:rPr>
                <w:color w:val="000000" w:themeColor="text1"/>
                <w:kern w:val="0"/>
                <w:sz w:val="18"/>
                <w:szCs w:val="18"/>
                <w14:textFill>
                  <w14:solidFill>
                    <w14:schemeClr w14:val="tx1"/>
                  </w14:solidFill>
                </w14:textFill>
              </w:rPr>
            </w:pPr>
          </w:p>
        </w:tc>
        <w:tc>
          <w:tcPr>
            <w:tcW w:w="909" w:type="dxa"/>
            <w:vAlign w:val="center"/>
          </w:tcPr>
          <w:p>
            <w:pPr>
              <w:widowControl/>
              <w:jc w:val="center"/>
              <w:rPr>
                <w:color w:val="000000" w:themeColor="text1"/>
                <w:kern w:val="0"/>
                <w:sz w:val="18"/>
                <w:szCs w:val="18"/>
                <w14:textFill>
                  <w14:solidFill>
                    <w14:schemeClr w14:val="tx1"/>
                  </w14:solidFill>
                </w14:textFill>
              </w:rPr>
            </w:pPr>
          </w:p>
        </w:tc>
        <w:tc>
          <w:tcPr>
            <w:tcW w:w="625" w:type="dxa"/>
            <w:vAlign w:val="center"/>
          </w:tcPr>
          <w:p>
            <w:pPr>
              <w:widowControl/>
              <w:jc w:val="center"/>
              <w:rPr>
                <w:color w:val="000000" w:themeColor="text1"/>
                <w:kern w:val="0"/>
                <w:sz w:val="18"/>
                <w:szCs w:val="18"/>
                <w14:textFill>
                  <w14:solidFill>
                    <w14:schemeClr w14:val="tx1"/>
                  </w14:solidFill>
                </w14:textFill>
              </w:rPr>
            </w:pPr>
          </w:p>
        </w:tc>
        <w:tc>
          <w:tcPr>
            <w:tcW w:w="910" w:type="dxa"/>
            <w:vAlign w:val="center"/>
          </w:tcPr>
          <w:p>
            <w:pPr>
              <w:widowControl/>
              <w:jc w:val="center"/>
              <w:rPr>
                <w:color w:val="000000" w:themeColor="text1"/>
                <w:kern w:val="0"/>
                <w:sz w:val="18"/>
                <w:szCs w:val="18"/>
                <w14:textFill>
                  <w14:solidFill>
                    <w14:schemeClr w14:val="tx1"/>
                  </w14:solidFill>
                </w14:textFill>
              </w:rPr>
            </w:pPr>
          </w:p>
        </w:tc>
        <w:tc>
          <w:tcPr>
            <w:tcW w:w="1029" w:type="dxa"/>
            <w:vAlign w:val="center"/>
          </w:tcPr>
          <w:p>
            <w:pPr>
              <w:widowControl/>
              <w:jc w:val="center"/>
              <w:rPr>
                <w:color w:val="000000" w:themeColor="text1"/>
                <w:kern w:val="0"/>
                <w:sz w:val="18"/>
                <w:szCs w:val="18"/>
                <w14:textFill>
                  <w14:solidFill>
                    <w14:schemeClr w14:val="tx1"/>
                  </w14:solidFill>
                </w14:textFill>
              </w:rPr>
            </w:pPr>
          </w:p>
        </w:tc>
        <w:tc>
          <w:tcPr>
            <w:tcW w:w="910" w:type="dxa"/>
            <w:vAlign w:val="center"/>
          </w:tcPr>
          <w:p>
            <w:pPr>
              <w:widowControl/>
              <w:jc w:val="center"/>
              <w:rPr>
                <w:color w:val="000000" w:themeColor="text1"/>
                <w:kern w:val="0"/>
                <w:sz w:val="18"/>
                <w:szCs w:val="18"/>
                <w14:textFill>
                  <w14:solidFill>
                    <w14:schemeClr w14:val="tx1"/>
                  </w14:solidFill>
                </w14:textFill>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c>
          <w:tcPr>
            <w:tcW w:w="1216" w:type="dxa"/>
            <w:vAlign w:val="center"/>
          </w:tcPr>
          <w:p>
            <w:pPr>
              <w:widowControl/>
              <w:jc w:val="center"/>
              <w:rPr>
                <w:color w:val="000000" w:themeColor="text1"/>
                <w:kern w:val="0"/>
                <w:sz w:val="18"/>
                <w:szCs w:val="18"/>
                <w14:textFill>
                  <w14:solidFill>
                    <w14:schemeClr w14:val="tx1"/>
                  </w14:solidFill>
                </w14:textFill>
              </w:rPr>
            </w:pPr>
            <w:r>
              <w:rPr>
                <w:color w:val="000000" w:themeColor="text1"/>
                <w:kern w:val="0"/>
                <w:sz w:val="18"/>
                <w:szCs w:val="18"/>
                <w14:textFill>
                  <w14:solidFill>
                    <w14:schemeClr w14:val="tx1"/>
                  </w14:solidFill>
                </w14:textFill>
              </w:rPr>
              <w:t>防城港海事局</w:t>
            </w:r>
          </w:p>
        </w:tc>
        <w:tc>
          <w:tcPr>
            <w:tcW w:w="883" w:type="dxa"/>
            <w:vAlign w:val="center"/>
          </w:tcPr>
          <w:p>
            <w:pPr>
              <w:widowControl/>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680</w:t>
            </w:r>
          </w:p>
        </w:tc>
        <w:tc>
          <w:tcPr>
            <w:tcW w:w="789" w:type="dxa"/>
            <w:vAlign w:val="center"/>
          </w:tcPr>
          <w:p>
            <w:pPr>
              <w:widowControl/>
              <w:jc w:val="center"/>
              <w:rPr>
                <w:color w:val="000000" w:themeColor="text1"/>
                <w:kern w:val="0"/>
                <w:sz w:val="18"/>
                <w:szCs w:val="18"/>
                <w14:textFill>
                  <w14:solidFill>
                    <w14:schemeClr w14:val="tx1"/>
                  </w14:solidFill>
                </w14:textFill>
              </w:rPr>
            </w:pPr>
          </w:p>
        </w:tc>
        <w:tc>
          <w:tcPr>
            <w:tcW w:w="1147" w:type="dxa"/>
            <w:vAlign w:val="center"/>
          </w:tcPr>
          <w:p>
            <w:pPr>
              <w:widowControl/>
              <w:jc w:val="center"/>
              <w:rPr>
                <w:color w:val="000000" w:themeColor="text1"/>
                <w:kern w:val="0"/>
                <w:sz w:val="18"/>
                <w:szCs w:val="18"/>
                <w14:textFill>
                  <w14:solidFill>
                    <w14:schemeClr w14:val="tx1"/>
                  </w14:solidFill>
                </w14:textFill>
              </w:rPr>
            </w:pPr>
          </w:p>
        </w:tc>
        <w:tc>
          <w:tcPr>
            <w:tcW w:w="909" w:type="dxa"/>
            <w:vAlign w:val="center"/>
          </w:tcPr>
          <w:p>
            <w:pPr>
              <w:widowControl/>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1</w:t>
            </w:r>
          </w:p>
        </w:tc>
        <w:tc>
          <w:tcPr>
            <w:tcW w:w="909" w:type="dxa"/>
            <w:vAlign w:val="center"/>
          </w:tcPr>
          <w:p>
            <w:pPr>
              <w:widowControl/>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4</w:t>
            </w:r>
          </w:p>
        </w:tc>
        <w:tc>
          <w:tcPr>
            <w:tcW w:w="942" w:type="dxa"/>
            <w:vAlign w:val="center"/>
          </w:tcPr>
          <w:p>
            <w:pPr>
              <w:widowControl/>
              <w:jc w:val="center"/>
              <w:rPr>
                <w:color w:val="000000" w:themeColor="text1"/>
                <w:kern w:val="0"/>
                <w:sz w:val="18"/>
                <w:szCs w:val="18"/>
                <w14:textFill>
                  <w14:solidFill>
                    <w14:schemeClr w14:val="tx1"/>
                  </w14:solidFill>
                </w14:textFill>
              </w:rPr>
            </w:pPr>
          </w:p>
        </w:tc>
        <w:tc>
          <w:tcPr>
            <w:tcW w:w="1002" w:type="dxa"/>
            <w:vAlign w:val="center"/>
          </w:tcPr>
          <w:p>
            <w:pPr>
              <w:widowControl/>
              <w:jc w:val="center"/>
              <w:rPr>
                <w:color w:val="000000" w:themeColor="text1"/>
                <w:kern w:val="0"/>
                <w:sz w:val="18"/>
                <w:szCs w:val="18"/>
                <w14:textFill>
                  <w14:solidFill>
                    <w14:schemeClr w14:val="tx1"/>
                  </w14:solidFill>
                </w14:textFill>
              </w:rPr>
            </w:pPr>
          </w:p>
        </w:tc>
        <w:tc>
          <w:tcPr>
            <w:tcW w:w="909" w:type="dxa"/>
            <w:vAlign w:val="center"/>
          </w:tcPr>
          <w:p>
            <w:pPr>
              <w:widowControl/>
              <w:jc w:val="center"/>
              <w:rPr>
                <w:color w:val="000000" w:themeColor="text1"/>
                <w:kern w:val="0"/>
                <w:sz w:val="18"/>
                <w:szCs w:val="18"/>
                <w14:textFill>
                  <w14:solidFill>
                    <w14:schemeClr w14:val="tx1"/>
                  </w14:solidFill>
                </w14:textFill>
              </w:rPr>
            </w:pPr>
          </w:p>
        </w:tc>
        <w:tc>
          <w:tcPr>
            <w:tcW w:w="1087" w:type="dxa"/>
            <w:vAlign w:val="center"/>
          </w:tcPr>
          <w:p>
            <w:pPr>
              <w:widowControl/>
              <w:jc w:val="center"/>
              <w:rPr>
                <w:color w:val="000000" w:themeColor="text1"/>
                <w:kern w:val="0"/>
                <w:sz w:val="18"/>
                <w:szCs w:val="18"/>
                <w14:textFill>
                  <w14:solidFill>
                    <w14:schemeClr w14:val="tx1"/>
                  </w14:solidFill>
                </w14:textFill>
              </w:rPr>
            </w:pPr>
          </w:p>
        </w:tc>
        <w:tc>
          <w:tcPr>
            <w:tcW w:w="909" w:type="dxa"/>
            <w:vAlign w:val="center"/>
          </w:tcPr>
          <w:p>
            <w:pPr>
              <w:widowControl/>
              <w:jc w:val="center"/>
              <w:rPr>
                <w:color w:val="000000" w:themeColor="text1"/>
                <w:kern w:val="0"/>
                <w:sz w:val="18"/>
                <w:szCs w:val="18"/>
                <w14:textFill>
                  <w14:solidFill>
                    <w14:schemeClr w14:val="tx1"/>
                  </w14:solidFill>
                </w14:textFill>
              </w:rPr>
            </w:pPr>
          </w:p>
        </w:tc>
        <w:tc>
          <w:tcPr>
            <w:tcW w:w="625" w:type="dxa"/>
            <w:vAlign w:val="center"/>
          </w:tcPr>
          <w:p>
            <w:pPr>
              <w:widowControl/>
              <w:jc w:val="center"/>
              <w:rPr>
                <w:color w:val="000000" w:themeColor="text1"/>
                <w:kern w:val="0"/>
                <w:sz w:val="18"/>
                <w:szCs w:val="18"/>
                <w14:textFill>
                  <w14:solidFill>
                    <w14:schemeClr w14:val="tx1"/>
                  </w14:solidFill>
                </w14:textFill>
              </w:rPr>
            </w:pPr>
          </w:p>
        </w:tc>
        <w:tc>
          <w:tcPr>
            <w:tcW w:w="910" w:type="dxa"/>
            <w:vAlign w:val="center"/>
          </w:tcPr>
          <w:p>
            <w:pPr>
              <w:widowControl/>
              <w:jc w:val="center"/>
              <w:rPr>
                <w:color w:val="000000" w:themeColor="text1"/>
                <w:kern w:val="0"/>
                <w:sz w:val="18"/>
                <w:szCs w:val="18"/>
                <w14:textFill>
                  <w14:solidFill>
                    <w14:schemeClr w14:val="tx1"/>
                  </w14:solidFill>
                </w14:textFill>
              </w:rPr>
            </w:pPr>
          </w:p>
        </w:tc>
        <w:tc>
          <w:tcPr>
            <w:tcW w:w="1029" w:type="dxa"/>
            <w:vAlign w:val="center"/>
          </w:tcPr>
          <w:p>
            <w:pPr>
              <w:widowControl/>
              <w:jc w:val="center"/>
              <w:rPr>
                <w:color w:val="000000" w:themeColor="text1"/>
                <w:kern w:val="0"/>
                <w:sz w:val="18"/>
                <w:szCs w:val="18"/>
                <w14:textFill>
                  <w14:solidFill>
                    <w14:schemeClr w14:val="tx1"/>
                  </w14:solidFill>
                </w14:textFill>
              </w:rPr>
            </w:pPr>
          </w:p>
        </w:tc>
        <w:tc>
          <w:tcPr>
            <w:tcW w:w="910" w:type="dxa"/>
            <w:vAlign w:val="center"/>
          </w:tcPr>
          <w:p>
            <w:pPr>
              <w:widowControl/>
              <w:jc w:val="center"/>
              <w:rPr>
                <w:color w:val="000000" w:themeColor="text1"/>
                <w:kern w:val="0"/>
                <w:sz w:val="18"/>
                <w:szCs w:val="18"/>
                <w14:textFill>
                  <w14:solidFill>
                    <w14:schemeClr w14:val="tx1"/>
                  </w14:solidFill>
                </w14:textFill>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c>
          <w:tcPr>
            <w:tcW w:w="1216" w:type="dxa"/>
            <w:shd w:val="clear" w:color="auto" w:fill="BEBEBE" w:themeFill="background1" w:themeFillShade="BF"/>
            <w:vAlign w:val="center"/>
          </w:tcPr>
          <w:p>
            <w:pPr>
              <w:widowControl/>
              <w:jc w:val="center"/>
              <w:rPr>
                <w:color w:val="000000" w:themeColor="text1"/>
                <w:kern w:val="0"/>
                <w:sz w:val="18"/>
                <w:szCs w:val="18"/>
                <w14:textFill>
                  <w14:solidFill>
                    <w14:schemeClr w14:val="tx1"/>
                  </w14:solidFill>
                </w14:textFill>
              </w:rPr>
            </w:pPr>
            <w:r>
              <w:rPr>
                <w:color w:val="000000" w:themeColor="text1"/>
                <w:kern w:val="0"/>
                <w:sz w:val="18"/>
                <w:szCs w:val="18"/>
                <w14:textFill>
                  <w14:solidFill>
                    <w14:schemeClr w14:val="tx1"/>
                  </w14:solidFill>
                </w14:textFill>
              </w:rPr>
              <w:t>海事小计</w:t>
            </w:r>
          </w:p>
        </w:tc>
        <w:tc>
          <w:tcPr>
            <w:tcW w:w="883" w:type="dxa"/>
            <w:shd w:val="clear" w:color="auto" w:fill="BEBEBE" w:themeFill="background1" w:themeFillShade="BF"/>
            <w:vAlign w:val="center"/>
          </w:tcPr>
          <w:p>
            <w:pPr>
              <w:widowControl/>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3940</w:t>
            </w:r>
          </w:p>
        </w:tc>
        <w:tc>
          <w:tcPr>
            <w:tcW w:w="789" w:type="dxa"/>
            <w:shd w:val="clear" w:color="auto" w:fill="BEBEBE" w:themeFill="background1" w:themeFillShade="BF"/>
            <w:vAlign w:val="center"/>
          </w:tcPr>
          <w:p>
            <w:pPr>
              <w:widowControl/>
              <w:jc w:val="center"/>
              <w:rPr>
                <w:color w:val="000000" w:themeColor="text1"/>
                <w:kern w:val="0"/>
                <w:sz w:val="18"/>
                <w:szCs w:val="18"/>
                <w14:textFill>
                  <w14:solidFill>
                    <w14:schemeClr w14:val="tx1"/>
                  </w14:solidFill>
                </w14:textFill>
              </w:rPr>
            </w:pPr>
          </w:p>
        </w:tc>
        <w:tc>
          <w:tcPr>
            <w:tcW w:w="1147" w:type="dxa"/>
            <w:shd w:val="clear" w:color="auto" w:fill="BEBEBE" w:themeFill="background1" w:themeFillShade="BF"/>
            <w:vAlign w:val="center"/>
          </w:tcPr>
          <w:p>
            <w:pPr>
              <w:widowControl/>
              <w:jc w:val="center"/>
              <w:rPr>
                <w:color w:val="000000" w:themeColor="text1"/>
                <w:kern w:val="0"/>
                <w:sz w:val="18"/>
                <w:szCs w:val="18"/>
                <w14:textFill>
                  <w14:solidFill>
                    <w14:schemeClr w14:val="tx1"/>
                  </w14:solidFill>
                </w14:textFill>
              </w:rPr>
            </w:pPr>
          </w:p>
        </w:tc>
        <w:tc>
          <w:tcPr>
            <w:tcW w:w="909" w:type="dxa"/>
            <w:shd w:val="clear" w:color="auto" w:fill="BEBEBE" w:themeFill="background1" w:themeFillShade="BF"/>
            <w:vAlign w:val="center"/>
          </w:tcPr>
          <w:p>
            <w:pPr>
              <w:widowControl/>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4</w:t>
            </w:r>
          </w:p>
        </w:tc>
        <w:tc>
          <w:tcPr>
            <w:tcW w:w="909" w:type="dxa"/>
            <w:shd w:val="clear" w:color="auto" w:fill="BEBEBE" w:themeFill="background1" w:themeFillShade="BF"/>
            <w:vAlign w:val="center"/>
          </w:tcPr>
          <w:p>
            <w:pPr>
              <w:widowControl/>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27</w:t>
            </w:r>
          </w:p>
        </w:tc>
        <w:tc>
          <w:tcPr>
            <w:tcW w:w="942" w:type="dxa"/>
            <w:shd w:val="clear" w:color="auto" w:fill="BEBEBE" w:themeFill="background1" w:themeFillShade="BF"/>
            <w:vAlign w:val="center"/>
          </w:tcPr>
          <w:p>
            <w:pPr>
              <w:widowControl/>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5600</w:t>
            </w:r>
          </w:p>
        </w:tc>
        <w:tc>
          <w:tcPr>
            <w:tcW w:w="1002" w:type="dxa"/>
            <w:shd w:val="clear" w:color="auto" w:fill="BEBEBE" w:themeFill="background1" w:themeFillShade="BF"/>
            <w:vAlign w:val="center"/>
          </w:tcPr>
          <w:p>
            <w:pPr>
              <w:widowControl/>
              <w:jc w:val="center"/>
              <w:rPr>
                <w:color w:val="000000" w:themeColor="text1"/>
                <w:kern w:val="0"/>
                <w:sz w:val="18"/>
                <w:szCs w:val="18"/>
                <w14:textFill>
                  <w14:solidFill>
                    <w14:schemeClr w14:val="tx1"/>
                  </w14:solidFill>
                </w14:textFill>
              </w:rPr>
            </w:pPr>
          </w:p>
        </w:tc>
        <w:tc>
          <w:tcPr>
            <w:tcW w:w="909" w:type="dxa"/>
            <w:shd w:val="clear" w:color="auto" w:fill="BEBEBE" w:themeFill="background1" w:themeFillShade="BF"/>
            <w:vAlign w:val="center"/>
          </w:tcPr>
          <w:p>
            <w:pPr>
              <w:widowControl/>
              <w:jc w:val="center"/>
              <w:rPr>
                <w:color w:val="000000" w:themeColor="text1"/>
                <w:kern w:val="0"/>
                <w:sz w:val="18"/>
                <w:szCs w:val="18"/>
                <w14:textFill>
                  <w14:solidFill>
                    <w14:schemeClr w14:val="tx1"/>
                  </w14:solidFill>
                </w14:textFill>
              </w:rPr>
            </w:pPr>
          </w:p>
        </w:tc>
        <w:tc>
          <w:tcPr>
            <w:tcW w:w="1087" w:type="dxa"/>
            <w:shd w:val="clear" w:color="auto" w:fill="BEBEBE" w:themeFill="background1" w:themeFillShade="BF"/>
            <w:vAlign w:val="center"/>
          </w:tcPr>
          <w:p>
            <w:pPr>
              <w:widowControl/>
              <w:jc w:val="center"/>
              <w:rPr>
                <w:color w:val="000000" w:themeColor="text1"/>
                <w:kern w:val="0"/>
                <w:sz w:val="18"/>
                <w:szCs w:val="18"/>
                <w14:textFill>
                  <w14:solidFill>
                    <w14:schemeClr w14:val="tx1"/>
                  </w14:solidFill>
                </w14:textFill>
              </w:rPr>
            </w:pPr>
          </w:p>
        </w:tc>
        <w:tc>
          <w:tcPr>
            <w:tcW w:w="909" w:type="dxa"/>
            <w:shd w:val="clear" w:color="auto" w:fill="BEBEBE" w:themeFill="background1" w:themeFillShade="BF"/>
            <w:vAlign w:val="center"/>
          </w:tcPr>
          <w:p>
            <w:pPr>
              <w:widowControl/>
              <w:jc w:val="center"/>
              <w:rPr>
                <w:color w:val="000000" w:themeColor="text1"/>
                <w:kern w:val="0"/>
                <w:sz w:val="18"/>
                <w:szCs w:val="18"/>
                <w14:textFill>
                  <w14:solidFill>
                    <w14:schemeClr w14:val="tx1"/>
                  </w14:solidFill>
                </w14:textFill>
              </w:rPr>
            </w:pPr>
          </w:p>
        </w:tc>
        <w:tc>
          <w:tcPr>
            <w:tcW w:w="625" w:type="dxa"/>
            <w:shd w:val="clear" w:color="auto" w:fill="BEBEBE" w:themeFill="background1" w:themeFillShade="BF"/>
            <w:vAlign w:val="center"/>
          </w:tcPr>
          <w:p>
            <w:pPr>
              <w:widowControl/>
              <w:jc w:val="center"/>
              <w:rPr>
                <w:color w:val="000000" w:themeColor="text1"/>
                <w:kern w:val="0"/>
                <w:sz w:val="18"/>
                <w:szCs w:val="18"/>
                <w14:textFill>
                  <w14:solidFill>
                    <w14:schemeClr w14:val="tx1"/>
                  </w14:solidFill>
                </w14:textFill>
              </w:rPr>
            </w:pPr>
          </w:p>
        </w:tc>
        <w:tc>
          <w:tcPr>
            <w:tcW w:w="910" w:type="dxa"/>
            <w:shd w:val="clear" w:color="auto" w:fill="BEBEBE" w:themeFill="background1" w:themeFillShade="BF"/>
            <w:vAlign w:val="center"/>
          </w:tcPr>
          <w:p>
            <w:pPr>
              <w:widowControl/>
              <w:jc w:val="center"/>
              <w:rPr>
                <w:color w:val="000000" w:themeColor="text1"/>
                <w:kern w:val="0"/>
                <w:sz w:val="18"/>
                <w:szCs w:val="18"/>
                <w14:textFill>
                  <w14:solidFill>
                    <w14:schemeClr w14:val="tx1"/>
                  </w14:solidFill>
                </w14:textFill>
              </w:rPr>
            </w:pPr>
          </w:p>
        </w:tc>
        <w:tc>
          <w:tcPr>
            <w:tcW w:w="1029" w:type="dxa"/>
            <w:shd w:val="clear" w:color="auto" w:fill="BEBEBE" w:themeFill="background1" w:themeFillShade="BF"/>
            <w:vAlign w:val="center"/>
          </w:tcPr>
          <w:p>
            <w:pPr>
              <w:widowControl/>
              <w:jc w:val="center"/>
              <w:rPr>
                <w:color w:val="000000" w:themeColor="text1"/>
                <w:kern w:val="0"/>
                <w:sz w:val="18"/>
                <w:szCs w:val="18"/>
                <w14:textFill>
                  <w14:solidFill>
                    <w14:schemeClr w14:val="tx1"/>
                  </w14:solidFill>
                </w14:textFill>
              </w:rPr>
            </w:pPr>
          </w:p>
        </w:tc>
        <w:tc>
          <w:tcPr>
            <w:tcW w:w="910" w:type="dxa"/>
            <w:shd w:val="clear" w:color="auto" w:fill="BEBEBE" w:themeFill="background1" w:themeFillShade="BF"/>
            <w:vAlign w:val="center"/>
          </w:tcPr>
          <w:p>
            <w:pPr>
              <w:widowControl/>
              <w:jc w:val="center"/>
              <w:rPr>
                <w:color w:val="000000" w:themeColor="text1"/>
                <w:kern w:val="0"/>
                <w:sz w:val="18"/>
                <w:szCs w:val="18"/>
                <w14:textFill>
                  <w14:solidFill>
                    <w14:schemeClr w14:val="tx1"/>
                  </w14:solidFill>
                </w14:textFill>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c>
          <w:tcPr>
            <w:tcW w:w="1216" w:type="dxa"/>
            <w:vAlign w:val="center"/>
          </w:tcPr>
          <w:p>
            <w:pPr>
              <w:widowControl/>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北海涠洲终端处理厂</w:t>
            </w:r>
          </w:p>
        </w:tc>
        <w:tc>
          <w:tcPr>
            <w:tcW w:w="883" w:type="dxa"/>
            <w:vAlign w:val="center"/>
          </w:tcPr>
          <w:p>
            <w:pPr>
              <w:widowControl/>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800</w:t>
            </w:r>
          </w:p>
        </w:tc>
        <w:tc>
          <w:tcPr>
            <w:tcW w:w="789" w:type="dxa"/>
            <w:vAlign w:val="center"/>
          </w:tcPr>
          <w:p>
            <w:pPr>
              <w:widowControl/>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10000</w:t>
            </w:r>
          </w:p>
        </w:tc>
        <w:tc>
          <w:tcPr>
            <w:tcW w:w="1147" w:type="dxa"/>
            <w:vAlign w:val="center"/>
          </w:tcPr>
          <w:p>
            <w:pPr>
              <w:widowControl/>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1</w:t>
            </w:r>
          </w:p>
        </w:tc>
        <w:tc>
          <w:tcPr>
            <w:tcW w:w="909" w:type="dxa"/>
            <w:vAlign w:val="center"/>
          </w:tcPr>
          <w:p>
            <w:pPr>
              <w:widowControl/>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2</w:t>
            </w:r>
          </w:p>
        </w:tc>
        <w:tc>
          <w:tcPr>
            <w:tcW w:w="909" w:type="dxa"/>
            <w:vAlign w:val="center"/>
          </w:tcPr>
          <w:p>
            <w:pPr>
              <w:widowControl/>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1</w:t>
            </w:r>
          </w:p>
        </w:tc>
        <w:tc>
          <w:tcPr>
            <w:tcW w:w="942" w:type="dxa"/>
            <w:vAlign w:val="center"/>
          </w:tcPr>
          <w:p>
            <w:pPr>
              <w:widowControl/>
              <w:jc w:val="center"/>
              <w:rPr>
                <w:color w:val="000000" w:themeColor="text1"/>
                <w:kern w:val="0"/>
                <w:sz w:val="18"/>
                <w:szCs w:val="18"/>
                <w14:textFill>
                  <w14:solidFill>
                    <w14:schemeClr w14:val="tx1"/>
                  </w14:solidFill>
                </w14:textFill>
              </w:rPr>
            </w:pPr>
          </w:p>
        </w:tc>
        <w:tc>
          <w:tcPr>
            <w:tcW w:w="1002" w:type="dxa"/>
            <w:vAlign w:val="center"/>
          </w:tcPr>
          <w:p>
            <w:pPr>
              <w:widowControl/>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4</w:t>
            </w:r>
          </w:p>
        </w:tc>
        <w:tc>
          <w:tcPr>
            <w:tcW w:w="909" w:type="dxa"/>
            <w:vAlign w:val="center"/>
          </w:tcPr>
          <w:p>
            <w:pPr>
              <w:widowControl/>
              <w:jc w:val="center"/>
              <w:rPr>
                <w:color w:val="000000" w:themeColor="text1"/>
                <w:kern w:val="0"/>
                <w:sz w:val="18"/>
                <w:szCs w:val="18"/>
                <w14:textFill>
                  <w14:solidFill>
                    <w14:schemeClr w14:val="tx1"/>
                  </w14:solidFill>
                </w14:textFill>
              </w:rPr>
            </w:pPr>
          </w:p>
        </w:tc>
        <w:tc>
          <w:tcPr>
            <w:tcW w:w="1087" w:type="dxa"/>
            <w:vAlign w:val="center"/>
          </w:tcPr>
          <w:p>
            <w:pPr>
              <w:widowControl/>
              <w:jc w:val="center"/>
              <w:rPr>
                <w:color w:val="000000" w:themeColor="text1"/>
                <w:kern w:val="0"/>
                <w:sz w:val="18"/>
                <w:szCs w:val="18"/>
                <w14:textFill>
                  <w14:solidFill>
                    <w14:schemeClr w14:val="tx1"/>
                  </w14:solidFill>
                </w14:textFill>
              </w:rPr>
            </w:pPr>
          </w:p>
        </w:tc>
        <w:tc>
          <w:tcPr>
            <w:tcW w:w="909" w:type="dxa"/>
            <w:vAlign w:val="center"/>
          </w:tcPr>
          <w:p>
            <w:pPr>
              <w:widowControl/>
              <w:jc w:val="center"/>
              <w:rPr>
                <w:color w:val="000000" w:themeColor="text1"/>
                <w:kern w:val="0"/>
                <w:sz w:val="18"/>
                <w:szCs w:val="18"/>
                <w14:textFill>
                  <w14:solidFill>
                    <w14:schemeClr w14:val="tx1"/>
                  </w14:solidFill>
                </w14:textFill>
              </w:rPr>
            </w:pPr>
          </w:p>
        </w:tc>
        <w:tc>
          <w:tcPr>
            <w:tcW w:w="625" w:type="dxa"/>
            <w:vAlign w:val="center"/>
          </w:tcPr>
          <w:p>
            <w:pPr>
              <w:widowControl/>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1</w:t>
            </w:r>
          </w:p>
        </w:tc>
        <w:tc>
          <w:tcPr>
            <w:tcW w:w="910" w:type="dxa"/>
            <w:vAlign w:val="center"/>
          </w:tcPr>
          <w:p>
            <w:pPr>
              <w:widowControl/>
              <w:jc w:val="center"/>
              <w:rPr>
                <w:color w:val="000000" w:themeColor="text1"/>
                <w:kern w:val="0"/>
                <w:sz w:val="18"/>
                <w:szCs w:val="18"/>
                <w14:textFill>
                  <w14:solidFill>
                    <w14:schemeClr w14:val="tx1"/>
                  </w14:solidFill>
                </w14:textFill>
              </w:rPr>
            </w:pPr>
          </w:p>
        </w:tc>
        <w:tc>
          <w:tcPr>
            <w:tcW w:w="1029" w:type="dxa"/>
            <w:vAlign w:val="center"/>
          </w:tcPr>
          <w:p>
            <w:pPr>
              <w:widowControl/>
              <w:jc w:val="center"/>
              <w:rPr>
                <w:color w:val="000000" w:themeColor="text1"/>
                <w:kern w:val="0"/>
                <w:sz w:val="18"/>
                <w:szCs w:val="18"/>
                <w14:textFill>
                  <w14:solidFill>
                    <w14:schemeClr w14:val="tx1"/>
                  </w14:solidFill>
                </w14:textFill>
              </w:rPr>
            </w:pPr>
          </w:p>
        </w:tc>
        <w:tc>
          <w:tcPr>
            <w:tcW w:w="910" w:type="dxa"/>
            <w:vAlign w:val="center"/>
          </w:tcPr>
          <w:p>
            <w:pPr>
              <w:widowControl/>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2</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c>
          <w:tcPr>
            <w:tcW w:w="1216" w:type="dxa"/>
            <w:vAlign w:val="center"/>
          </w:tcPr>
          <w:p>
            <w:pPr>
              <w:widowControl/>
              <w:jc w:val="center"/>
              <w:rPr>
                <w:color w:val="000000" w:themeColor="text1"/>
                <w:kern w:val="0"/>
                <w:sz w:val="18"/>
                <w:szCs w:val="18"/>
                <w14:textFill>
                  <w14:solidFill>
                    <w14:schemeClr w14:val="tx1"/>
                  </w14:solidFill>
                </w14:textFill>
              </w:rPr>
            </w:pPr>
            <w:r>
              <w:rPr>
                <w:color w:val="000000" w:themeColor="text1"/>
                <w:kern w:val="0"/>
                <w:sz w:val="18"/>
                <w:szCs w:val="18"/>
                <w14:textFill>
                  <w14:solidFill>
                    <w14:schemeClr w14:val="tx1"/>
                  </w14:solidFill>
                </w14:textFill>
              </w:rPr>
              <w:t>北海港务集团等</w:t>
            </w:r>
          </w:p>
        </w:tc>
        <w:tc>
          <w:tcPr>
            <w:tcW w:w="883" w:type="dxa"/>
            <w:vAlign w:val="center"/>
          </w:tcPr>
          <w:p>
            <w:pPr>
              <w:widowControl/>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960</w:t>
            </w:r>
          </w:p>
        </w:tc>
        <w:tc>
          <w:tcPr>
            <w:tcW w:w="789" w:type="dxa"/>
            <w:vAlign w:val="center"/>
          </w:tcPr>
          <w:p>
            <w:pPr>
              <w:widowControl/>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1000</w:t>
            </w:r>
          </w:p>
        </w:tc>
        <w:tc>
          <w:tcPr>
            <w:tcW w:w="1147" w:type="dxa"/>
            <w:vAlign w:val="center"/>
          </w:tcPr>
          <w:p>
            <w:pPr>
              <w:widowControl/>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1</w:t>
            </w:r>
          </w:p>
        </w:tc>
        <w:tc>
          <w:tcPr>
            <w:tcW w:w="909" w:type="dxa"/>
            <w:vAlign w:val="center"/>
          </w:tcPr>
          <w:p>
            <w:pPr>
              <w:widowControl/>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3</w:t>
            </w:r>
          </w:p>
        </w:tc>
        <w:tc>
          <w:tcPr>
            <w:tcW w:w="909" w:type="dxa"/>
            <w:vAlign w:val="center"/>
          </w:tcPr>
          <w:p>
            <w:pPr>
              <w:widowControl/>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1.2</w:t>
            </w:r>
          </w:p>
        </w:tc>
        <w:tc>
          <w:tcPr>
            <w:tcW w:w="942" w:type="dxa"/>
            <w:vAlign w:val="center"/>
          </w:tcPr>
          <w:p>
            <w:pPr>
              <w:widowControl/>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1000</w:t>
            </w:r>
          </w:p>
        </w:tc>
        <w:tc>
          <w:tcPr>
            <w:tcW w:w="1002" w:type="dxa"/>
            <w:vAlign w:val="center"/>
          </w:tcPr>
          <w:p>
            <w:pPr>
              <w:widowControl/>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2</w:t>
            </w:r>
          </w:p>
        </w:tc>
        <w:tc>
          <w:tcPr>
            <w:tcW w:w="909" w:type="dxa"/>
            <w:vAlign w:val="center"/>
          </w:tcPr>
          <w:p>
            <w:pPr>
              <w:widowControl/>
              <w:jc w:val="center"/>
              <w:rPr>
                <w:color w:val="000000" w:themeColor="text1"/>
                <w:kern w:val="0"/>
                <w:sz w:val="18"/>
                <w:szCs w:val="18"/>
                <w14:textFill>
                  <w14:solidFill>
                    <w14:schemeClr w14:val="tx1"/>
                  </w14:solidFill>
                </w14:textFill>
              </w:rPr>
            </w:pPr>
          </w:p>
        </w:tc>
        <w:tc>
          <w:tcPr>
            <w:tcW w:w="1087" w:type="dxa"/>
            <w:vAlign w:val="center"/>
          </w:tcPr>
          <w:p>
            <w:pPr>
              <w:widowControl/>
              <w:jc w:val="center"/>
              <w:rPr>
                <w:color w:val="000000" w:themeColor="text1"/>
                <w:kern w:val="0"/>
                <w:sz w:val="18"/>
                <w:szCs w:val="18"/>
                <w14:textFill>
                  <w14:solidFill>
                    <w14:schemeClr w14:val="tx1"/>
                  </w14:solidFill>
                </w14:textFill>
              </w:rPr>
            </w:pPr>
          </w:p>
        </w:tc>
        <w:tc>
          <w:tcPr>
            <w:tcW w:w="909" w:type="dxa"/>
            <w:vAlign w:val="center"/>
          </w:tcPr>
          <w:p>
            <w:pPr>
              <w:widowControl/>
              <w:jc w:val="center"/>
              <w:rPr>
                <w:color w:val="000000" w:themeColor="text1"/>
                <w:kern w:val="0"/>
                <w:sz w:val="18"/>
                <w:szCs w:val="18"/>
                <w14:textFill>
                  <w14:solidFill>
                    <w14:schemeClr w14:val="tx1"/>
                  </w14:solidFill>
                </w14:textFill>
              </w:rPr>
            </w:pPr>
          </w:p>
        </w:tc>
        <w:tc>
          <w:tcPr>
            <w:tcW w:w="625" w:type="dxa"/>
            <w:vAlign w:val="center"/>
          </w:tcPr>
          <w:p>
            <w:pPr>
              <w:widowControl/>
              <w:jc w:val="center"/>
              <w:rPr>
                <w:color w:val="000000" w:themeColor="text1"/>
                <w:kern w:val="0"/>
                <w:sz w:val="18"/>
                <w:szCs w:val="18"/>
                <w14:textFill>
                  <w14:solidFill>
                    <w14:schemeClr w14:val="tx1"/>
                  </w14:solidFill>
                </w14:textFill>
              </w:rPr>
            </w:pPr>
          </w:p>
        </w:tc>
        <w:tc>
          <w:tcPr>
            <w:tcW w:w="910" w:type="dxa"/>
            <w:vAlign w:val="center"/>
          </w:tcPr>
          <w:p>
            <w:pPr>
              <w:widowControl/>
              <w:jc w:val="center"/>
              <w:rPr>
                <w:color w:val="000000" w:themeColor="text1"/>
                <w:kern w:val="0"/>
                <w:sz w:val="18"/>
                <w:szCs w:val="18"/>
                <w14:textFill>
                  <w14:solidFill>
                    <w14:schemeClr w14:val="tx1"/>
                  </w14:solidFill>
                </w14:textFill>
              </w:rPr>
            </w:pPr>
          </w:p>
        </w:tc>
        <w:tc>
          <w:tcPr>
            <w:tcW w:w="1029" w:type="dxa"/>
            <w:vAlign w:val="center"/>
          </w:tcPr>
          <w:p>
            <w:pPr>
              <w:widowControl/>
              <w:jc w:val="center"/>
              <w:rPr>
                <w:color w:val="000000" w:themeColor="text1"/>
                <w:kern w:val="0"/>
                <w:sz w:val="18"/>
                <w:szCs w:val="18"/>
                <w14:textFill>
                  <w14:solidFill>
                    <w14:schemeClr w14:val="tx1"/>
                  </w14:solidFill>
                </w14:textFill>
              </w:rPr>
            </w:pPr>
          </w:p>
        </w:tc>
        <w:tc>
          <w:tcPr>
            <w:tcW w:w="910" w:type="dxa"/>
            <w:vAlign w:val="center"/>
          </w:tcPr>
          <w:p>
            <w:pPr>
              <w:widowControl/>
              <w:jc w:val="center"/>
              <w:rPr>
                <w:color w:val="000000" w:themeColor="text1"/>
                <w:kern w:val="0"/>
                <w:sz w:val="18"/>
                <w:szCs w:val="18"/>
                <w14:textFill>
                  <w14:solidFill>
                    <w14:schemeClr w14:val="tx1"/>
                  </w14:solidFill>
                </w14:textFill>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c>
          <w:tcPr>
            <w:tcW w:w="1216" w:type="dxa"/>
            <w:vAlign w:val="center"/>
          </w:tcPr>
          <w:p>
            <w:pPr>
              <w:widowControl/>
              <w:jc w:val="center"/>
              <w:rPr>
                <w:color w:val="000000" w:themeColor="text1"/>
                <w:kern w:val="0"/>
                <w:sz w:val="18"/>
                <w:szCs w:val="18"/>
                <w14:textFill>
                  <w14:solidFill>
                    <w14:schemeClr w14:val="tx1"/>
                  </w14:solidFill>
                </w14:textFill>
              </w:rPr>
            </w:pPr>
            <w:r>
              <w:rPr>
                <w:color w:val="000000" w:themeColor="text1"/>
                <w:kern w:val="0"/>
                <w:sz w:val="18"/>
                <w:szCs w:val="18"/>
                <w14:textFill>
                  <w14:solidFill>
                    <w14:schemeClr w14:val="tx1"/>
                  </w14:solidFill>
                </w14:textFill>
              </w:rPr>
              <w:t>广西鹏达海洋工程有限公司</w:t>
            </w:r>
          </w:p>
        </w:tc>
        <w:tc>
          <w:tcPr>
            <w:tcW w:w="883" w:type="dxa"/>
            <w:vAlign w:val="center"/>
          </w:tcPr>
          <w:p>
            <w:pPr>
              <w:widowControl/>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6850</w:t>
            </w:r>
          </w:p>
        </w:tc>
        <w:tc>
          <w:tcPr>
            <w:tcW w:w="789" w:type="dxa"/>
            <w:vAlign w:val="center"/>
          </w:tcPr>
          <w:p>
            <w:pPr>
              <w:widowControl/>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6500</w:t>
            </w:r>
          </w:p>
        </w:tc>
        <w:tc>
          <w:tcPr>
            <w:tcW w:w="1147" w:type="dxa"/>
            <w:vAlign w:val="center"/>
          </w:tcPr>
          <w:p>
            <w:pPr>
              <w:widowControl/>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12</w:t>
            </w:r>
          </w:p>
        </w:tc>
        <w:tc>
          <w:tcPr>
            <w:tcW w:w="909" w:type="dxa"/>
            <w:vAlign w:val="center"/>
          </w:tcPr>
          <w:p>
            <w:pPr>
              <w:widowControl/>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7</w:t>
            </w:r>
          </w:p>
        </w:tc>
        <w:tc>
          <w:tcPr>
            <w:tcW w:w="909" w:type="dxa"/>
            <w:vAlign w:val="center"/>
          </w:tcPr>
          <w:p>
            <w:pPr>
              <w:widowControl/>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12</w:t>
            </w:r>
          </w:p>
        </w:tc>
        <w:tc>
          <w:tcPr>
            <w:tcW w:w="942" w:type="dxa"/>
            <w:vAlign w:val="center"/>
          </w:tcPr>
          <w:p>
            <w:pPr>
              <w:widowControl/>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4400</w:t>
            </w:r>
          </w:p>
        </w:tc>
        <w:tc>
          <w:tcPr>
            <w:tcW w:w="1002" w:type="dxa"/>
            <w:vAlign w:val="center"/>
          </w:tcPr>
          <w:p>
            <w:pPr>
              <w:widowControl/>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3162m</w:t>
            </w:r>
            <w:r>
              <w:rPr>
                <w:rFonts w:hint="eastAsia"/>
                <w:color w:val="000000" w:themeColor="text1"/>
                <w:kern w:val="0"/>
                <w:sz w:val="18"/>
                <w:szCs w:val="18"/>
                <w:vertAlign w:val="superscript"/>
                <w14:textFill>
                  <w14:solidFill>
                    <w14:schemeClr w14:val="tx1"/>
                  </w14:solidFill>
                </w14:textFill>
              </w:rPr>
              <w:t>3</w:t>
            </w:r>
          </w:p>
        </w:tc>
        <w:tc>
          <w:tcPr>
            <w:tcW w:w="909" w:type="dxa"/>
            <w:vAlign w:val="center"/>
          </w:tcPr>
          <w:p>
            <w:pPr>
              <w:widowControl/>
              <w:jc w:val="center"/>
              <w:rPr>
                <w:color w:val="000000" w:themeColor="text1"/>
                <w:kern w:val="0"/>
                <w:sz w:val="18"/>
                <w:szCs w:val="18"/>
                <w14:textFill>
                  <w14:solidFill>
                    <w14:schemeClr w14:val="tx1"/>
                  </w14:solidFill>
                </w14:textFill>
              </w:rPr>
            </w:pPr>
          </w:p>
        </w:tc>
        <w:tc>
          <w:tcPr>
            <w:tcW w:w="1087" w:type="dxa"/>
            <w:vAlign w:val="center"/>
          </w:tcPr>
          <w:p>
            <w:pPr>
              <w:widowControl/>
              <w:jc w:val="center"/>
              <w:rPr>
                <w:color w:val="000000" w:themeColor="text1"/>
                <w:kern w:val="0"/>
                <w:sz w:val="18"/>
                <w:szCs w:val="18"/>
                <w14:textFill>
                  <w14:solidFill>
                    <w14:schemeClr w14:val="tx1"/>
                  </w14:solidFill>
                </w14:textFill>
              </w:rPr>
            </w:pPr>
          </w:p>
        </w:tc>
        <w:tc>
          <w:tcPr>
            <w:tcW w:w="909" w:type="dxa"/>
            <w:vAlign w:val="center"/>
          </w:tcPr>
          <w:p>
            <w:pPr>
              <w:widowControl/>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4</w:t>
            </w:r>
          </w:p>
        </w:tc>
        <w:tc>
          <w:tcPr>
            <w:tcW w:w="625" w:type="dxa"/>
            <w:vAlign w:val="center"/>
          </w:tcPr>
          <w:p>
            <w:pPr>
              <w:widowControl/>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6</w:t>
            </w:r>
          </w:p>
        </w:tc>
        <w:tc>
          <w:tcPr>
            <w:tcW w:w="910" w:type="dxa"/>
            <w:vAlign w:val="center"/>
          </w:tcPr>
          <w:p>
            <w:pPr>
              <w:widowControl/>
              <w:jc w:val="center"/>
              <w:rPr>
                <w:color w:val="000000" w:themeColor="text1"/>
                <w:kern w:val="0"/>
                <w:sz w:val="18"/>
                <w:szCs w:val="18"/>
                <w14:textFill>
                  <w14:solidFill>
                    <w14:schemeClr w14:val="tx1"/>
                  </w14:solidFill>
                </w14:textFill>
              </w:rPr>
            </w:pPr>
          </w:p>
        </w:tc>
        <w:tc>
          <w:tcPr>
            <w:tcW w:w="1029" w:type="dxa"/>
            <w:vAlign w:val="center"/>
          </w:tcPr>
          <w:p>
            <w:pPr>
              <w:widowControl/>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2</w:t>
            </w:r>
          </w:p>
        </w:tc>
        <w:tc>
          <w:tcPr>
            <w:tcW w:w="910" w:type="dxa"/>
            <w:vAlign w:val="center"/>
          </w:tcPr>
          <w:p>
            <w:pPr>
              <w:widowControl/>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9</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c>
          <w:tcPr>
            <w:tcW w:w="1216" w:type="dxa"/>
            <w:vAlign w:val="center"/>
          </w:tcPr>
          <w:p>
            <w:pPr>
              <w:widowControl/>
              <w:jc w:val="center"/>
              <w:rPr>
                <w:color w:val="000000" w:themeColor="text1"/>
                <w:kern w:val="0"/>
                <w:sz w:val="18"/>
                <w:szCs w:val="18"/>
                <w14:textFill>
                  <w14:solidFill>
                    <w14:schemeClr w14:val="tx1"/>
                  </w14:solidFill>
                </w14:textFill>
              </w:rPr>
            </w:pPr>
            <w:r>
              <w:rPr>
                <w:color w:val="000000" w:themeColor="text1"/>
                <w:kern w:val="0"/>
                <w:sz w:val="18"/>
                <w:szCs w:val="18"/>
                <w14:textFill>
                  <w14:solidFill>
                    <w14:schemeClr w14:val="tx1"/>
                  </w14:solidFill>
                </w14:textFill>
              </w:rPr>
              <w:t>北海伟龙船舶服务有限公司</w:t>
            </w:r>
          </w:p>
        </w:tc>
        <w:tc>
          <w:tcPr>
            <w:tcW w:w="883" w:type="dxa"/>
            <w:vAlign w:val="center"/>
          </w:tcPr>
          <w:p>
            <w:pPr>
              <w:widowControl/>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4200</w:t>
            </w:r>
          </w:p>
        </w:tc>
        <w:tc>
          <w:tcPr>
            <w:tcW w:w="789" w:type="dxa"/>
            <w:vAlign w:val="center"/>
          </w:tcPr>
          <w:p>
            <w:pPr>
              <w:widowControl/>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10000</w:t>
            </w:r>
          </w:p>
        </w:tc>
        <w:tc>
          <w:tcPr>
            <w:tcW w:w="1147" w:type="dxa"/>
            <w:vAlign w:val="center"/>
          </w:tcPr>
          <w:p>
            <w:pPr>
              <w:widowControl/>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6</w:t>
            </w:r>
          </w:p>
        </w:tc>
        <w:tc>
          <w:tcPr>
            <w:tcW w:w="909" w:type="dxa"/>
            <w:vAlign w:val="center"/>
          </w:tcPr>
          <w:p>
            <w:pPr>
              <w:widowControl/>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3</w:t>
            </w:r>
          </w:p>
        </w:tc>
        <w:tc>
          <w:tcPr>
            <w:tcW w:w="909" w:type="dxa"/>
            <w:vAlign w:val="center"/>
          </w:tcPr>
          <w:p>
            <w:pPr>
              <w:widowControl/>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6</w:t>
            </w:r>
          </w:p>
        </w:tc>
        <w:tc>
          <w:tcPr>
            <w:tcW w:w="942" w:type="dxa"/>
            <w:vAlign w:val="center"/>
          </w:tcPr>
          <w:p>
            <w:pPr>
              <w:widowControl/>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2000</w:t>
            </w:r>
          </w:p>
        </w:tc>
        <w:tc>
          <w:tcPr>
            <w:tcW w:w="1002" w:type="dxa"/>
            <w:vAlign w:val="center"/>
          </w:tcPr>
          <w:p>
            <w:pPr>
              <w:widowControl/>
              <w:jc w:val="center"/>
              <w:rPr>
                <w:color w:val="000000" w:themeColor="text1"/>
                <w:kern w:val="0"/>
                <w:sz w:val="18"/>
                <w:szCs w:val="18"/>
                <w14:textFill>
                  <w14:solidFill>
                    <w14:schemeClr w14:val="tx1"/>
                  </w14:solidFill>
                </w14:textFill>
              </w:rPr>
            </w:pPr>
          </w:p>
        </w:tc>
        <w:tc>
          <w:tcPr>
            <w:tcW w:w="909" w:type="dxa"/>
            <w:vAlign w:val="center"/>
          </w:tcPr>
          <w:p>
            <w:pPr>
              <w:widowControl/>
              <w:jc w:val="center"/>
              <w:rPr>
                <w:color w:val="000000" w:themeColor="text1"/>
                <w:kern w:val="0"/>
                <w:sz w:val="18"/>
                <w:szCs w:val="18"/>
                <w14:textFill>
                  <w14:solidFill>
                    <w14:schemeClr w14:val="tx1"/>
                  </w14:solidFill>
                </w14:textFill>
              </w:rPr>
            </w:pPr>
          </w:p>
        </w:tc>
        <w:tc>
          <w:tcPr>
            <w:tcW w:w="1087" w:type="dxa"/>
            <w:vAlign w:val="center"/>
          </w:tcPr>
          <w:p>
            <w:pPr>
              <w:widowControl/>
              <w:jc w:val="center"/>
              <w:rPr>
                <w:color w:val="000000" w:themeColor="text1"/>
                <w:kern w:val="0"/>
                <w:sz w:val="18"/>
                <w:szCs w:val="18"/>
                <w14:textFill>
                  <w14:solidFill>
                    <w14:schemeClr w14:val="tx1"/>
                  </w14:solidFill>
                </w14:textFill>
              </w:rPr>
            </w:pPr>
          </w:p>
        </w:tc>
        <w:tc>
          <w:tcPr>
            <w:tcW w:w="909" w:type="dxa"/>
            <w:vAlign w:val="center"/>
          </w:tcPr>
          <w:p>
            <w:pPr>
              <w:widowControl/>
              <w:jc w:val="center"/>
              <w:rPr>
                <w:color w:val="000000" w:themeColor="text1"/>
                <w:kern w:val="0"/>
                <w:sz w:val="18"/>
                <w:szCs w:val="18"/>
                <w14:textFill>
                  <w14:solidFill>
                    <w14:schemeClr w14:val="tx1"/>
                  </w14:solidFill>
                </w14:textFill>
              </w:rPr>
            </w:pPr>
          </w:p>
        </w:tc>
        <w:tc>
          <w:tcPr>
            <w:tcW w:w="625" w:type="dxa"/>
            <w:vAlign w:val="center"/>
          </w:tcPr>
          <w:p>
            <w:pPr>
              <w:widowControl/>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2</w:t>
            </w:r>
          </w:p>
        </w:tc>
        <w:tc>
          <w:tcPr>
            <w:tcW w:w="910" w:type="dxa"/>
            <w:vAlign w:val="center"/>
          </w:tcPr>
          <w:p>
            <w:pPr>
              <w:widowControl/>
              <w:jc w:val="center"/>
              <w:rPr>
                <w:color w:val="000000" w:themeColor="text1"/>
                <w:kern w:val="0"/>
                <w:sz w:val="18"/>
                <w:szCs w:val="18"/>
                <w14:textFill>
                  <w14:solidFill>
                    <w14:schemeClr w14:val="tx1"/>
                  </w14:solidFill>
                </w14:textFill>
              </w:rPr>
            </w:pPr>
          </w:p>
        </w:tc>
        <w:tc>
          <w:tcPr>
            <w:tcW w:w="1029" w:type="dxa"/>
            <w:vAlign w:val="center"/>
          </w:tcPr>
          <w:p>
            <w:pPr>
              <w:widowControl/>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1</w:t>
            </w:r>
          </w:p>
        </w:tc>
        <w:tc>
          <w:tcPr>
            <w:tcW w:w="910" w:type="dxa"/>
            <w:vAlign w:val="center"/>
          </w:tcPr>
          <w:p>
            <w:pPr>
              <w:widowControl/>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6</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c>
          <w:tcPr>
            <w:tcW w:w="1216" w:type="dxa"/>
            <w:shd w:val="clear" w:color="auto" w:fill="BEBEBE" w:themeFill="background1" w:themeFillShade="BF"/>
            <w:vAlign w:val="center"/>
          </w:tcPr>
          <w:p>
            <w:pPr>
              <w:widowControl/>
              <w:jc w:val="center"/>
              <w:rPr>
                <w:color w:val="000000" w:themeColor="text1"/>
                <w:kern w:val="0"/>
                <w:sz w:val="18"/>
                <w:szCs w:val="18"/>
                <w14:textFill>
                  <w14:solidFill>
                    <w14:schemeClr w14:val="tx1"/>
                  </w14:solidFill>
                </w14:textFill>
              </w:rPr>
            </w:pPr>
            <w:r>
              <w:rPr>
                <w:color w:val="000000" w:themeColor="text1"/>
                <w:kern w:val="0"/>
                <w:sz w:val="18"/>
                <w:szCs w:val="18"/>
                <w14:textFill>
                  <w14:solidFill>
                    <w14:schemeClr w14:val="tx1"/>
                  </w14:solidFill>
                </w14:textFill>
              </w:rPr>
              <w:t>北海企业小计</w:t>
            </w:r>
          </w:p>
        </w:tc>
        <w:tc>
          <w:tcPr>
            <w:tcW w:w="883" w:type="dxa"/>
            <w:shd w:val="clear" w:color="auto" w:fill="BEBEBE" w:themeFill="background1" w:themeFillShade="BF"/>
            <w:vAlign w:val="center"/>
          </w:tcPr>
          <w:p>
            <w:pPr>
              <w:widowControl/>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12810</w:t>
            </w:r>
          </w:p>
        </w:tc>
        <w:tc>
          <w:tcPr>
            <w:tcW w:w="789" w:type="dxa"/>
            <w:shd w:val="clear" w:color="auto" w:fill="BEBEBE" w:themeFill="background1" w:themeFillShade="BF"/>
            <w:vAlign w:val="center"/>
          </w:tcPr>
          <w:p>
            <w:pPr>
              <w:widowControl/>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27500</w:t>
            </w:r>
          </w:p>
        </w:tc>
        <w:tc>
          <w:tcPr>
            <w:tcW w:w="1147" w:type="dxa"/>
            <w:shd w:val="clear" w:color="auto" w:fill="BEBEBE" w:themeFill="background1" w:themeFillShade="BF"/>
            <w:vAlign w:val="center"/>
          </w:tcPr>
          <w:p>
            <w:pPr>
              <w:widowControl/>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20</w:t>
            </w:r>
          </w:p>
        </w:tc>
        <w:tc>
          <w:tcPr>
            <w:tcW w:w="909" w:type="dxa"/>
            <w:shd w:val="clear" w:color="auto" w:fill="BEBEBE" w:themeFill="background1" w:themeFillShade="BF"/>
            <w:vAlign w:val="center"/>
          </w:tcPr>
          <w:p>
            <w:pPr>
              <w:widowControl/>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15</w:t>
            </w:r>
          </w:p>
        </w:tc>
        <w:tc>
          <w:tcPr>
            <w:tcW w:w="909" w:type="dxa"/>
            <w:shd w:val="clear" w:color="auto" w:fill="BEBEBE" w:themeFill="background1" w:themeFillShade="BF"/>
            <w:vAlign w:val="center"/>
          </w:tcPr>
          <w:p>
            <w:pPr>
              <w:widowControl/>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20.2</w:t>
            </w:r>
          </w:p>
        </w:tc>
        <w:tc>
          <w:tcPr>
            <w:tcW w:w="942" w:type="dxa"/>
            <w:shd w:val="clear" w:color="auto" w:fill="BEBEBE" w:themeFill="background1" w:themeFillShade="BF"/>
            <w:vAlign w:val="center"/>
          </w:tcPr>
          <w:p>
            <w:pPr>
              <w:widowControl/>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7400</w:t>
            </w:r>
          </w:p>
        </w:tc>
        <w:tc>
          <w:tcPr>
            <w:tcW w:w="1002" w:type="dxa"/>
            <w:shd w:val="clear" w:color="auto" w:fill="BEBEBE" w:themeFill="background1" w:themeFillShade="BF"/>
            <w:vAlign w:val="center"/>
          </w:tcPr>
          <w:p>
            <w:pPr>
              <w:widowControl/>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6</w:t>
            </w:r>
          </w:p>
        </w:tc>
        <w:tc>
          <w:tcPr>
            <w:tcW w:w="909" w:type="dxa"/>
            <w:shd w:val="clear" w:color="auto" w:fill="BEBEBE" w:themeFill="background1" w:themeFillShade="BF"/>
            <w:vAlign w:val="center"/>
          </w:tcPr>
          <w:p>
            <w:pPr>
              <w:widowControl/>
              <w:jc w:val="center"/>
              <w:rPr>
                <w:color w:val="000000" w:themeColor="text1"/>
                <w:kern w:val="0"/>
                <w:sz w:val="18"/>
                <w:szCs w:val="18"/>
                <w14:textFill>
                  <w14:solidFill>
                    <w14:schemeClr w14:val="tx1"/>
                  </w14:solidFill>
                </w14:textFill>
              </w:rPr>
            </w:pPr>
          </w:p>
        </w:tc>
        <w:tc>
          <w:tcPr>
            <w:tcW w:w="1087" w:type="dxa"/>
            <w:shd w:val="clear" w:color="auto" w:fill="BEBEBE" w:themeFill="background1" w:themeFillShade="BF"/>
            <w:vAlign w:val="center"/>
          </w:tcPr>
          <w:p>
            <w:pPr>
              <w:widowControl/>
              <w:jc w:val="center"/>
              <w:rPr>
                <w:color w:val="000000" w:themeColor="text1"/>
                <w:kern w:val="0"/>
                <w:sz w:val="18"/>
                <w:szCs w:val="18"/>
                <w14:textFill>
                  <w14:solidFill>
                    <w14:schemeClr w14:val="tx1"/>
                  </w14:solidFill>
                </w14:textFill>
              </w:rPr>
            </w:pPr>
          </w:p>
        </w:tc>
        <w:tc>
          <w:tcPr>
            <w:tcW w:w="909" w:type="dxa"/>
            <w:shd w:val="clear" w:color="auto" w:fill="BEBEBE" w:themeFill="background1" w:themeFillShade="BF"/>
            <w:vAlign w:val="center"/>
          </w:tcPr>
          <w:p>
            <w:pPr>
              <w:widowControl/>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4</w:t>
            </w:r>
          </w:p>
        </w:tc>
        <w:tc>
          <w:tcPr>
            <w:tcW w:w="625" w:type="dxa"/>
            <w:shd w:val="clear" w:color="auto" w:fill="BEBEBE" w:themeFill="background1" w:themeFillShade="BF"/>
            <w:vAlign w:val="center"/>
          </w:tcPr>
          <w:p>
            <w:pPr>
              <w:widowControl/>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9</w:t>
            </w:r>
          </w:p>
        </w:tc>
        <w:tc>
          <w:tcPr>
            <w:tcW w:w="910" w:type="dxa"/>
            <w:shd w:val="clear" w:color="auto" w:fill="BEBEBE" w:themeFill="background1" w:themeFillShade="BF"/>
            <w:vAlign w:val="center"/>
          </w:tcPr>
          <w:p>
            <w:pPr>
              <w:widowControl/>
              <w:jc w:val="center"/>
              <w:rPr>
                <w:color w:val="000000" w:themeColor="text1"/>
                <w:kern w:val="0"/>
                <w:sz w:val="18"/>
                <w:szCs w:val="18"/>
                <w14:textFill>
                  <w14:solidFill>
                    <w14:schemeClr w14:val="tx1"/>
                  </w14:solidFill>
                </w14:textFill>
              </w:rPr>
            </w:pPr>
          </w:p>
        </w:tc>
        <w:tc>
          <w:tcPr>
            <w:tcW w:w="1029" w:type="dxa"/>
            <w:shd w:val="clear" w:color="auto" w:fill="BEBEBE" w:themeFill="background1" w:themeFillShade="BF"/>
            <w:vAlign w:val="center"/>
          </w:tcPr>
          <w:p>
            <w:pPr>
              <w:widowControl/>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3</w:t>
            </w:r>
          </w:p>
        </w:tc>
        <w:tc>
          <w:tcPr>
            <w:tcW w:w="910" w:type="dxa"/>
            <w:shd w:val="clear" w:color="auto" w:fill="BEBEBE" w:themeFill="background1" w:themeFillShade="BF"/>
            <w:vAlign w:val="center"/>
          </w:tcPr>
          <w:p>
            <w:pPr>
              <w:widowControl/>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17</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c>
          <w:tcPr>
            <w:tcW w:w="1216" w:type="dxa"/>
            <w:vAlign w:val="center"/>
          </w:tcPr>
          <w:p>
            <w:pPr>
              <w:widowControl/>
              <w:jc w:val="center"/>
              <w:rPr>
                <w:color w:val="000000" w:themeColor="text1"/>
                <w:kern w:val="0"/>
                <w:sz w:val="18"/>
                <w:szCs w:val="18"/>
                <w14:textFill>
                  <w14:solidFill>
                    <w14:schemeClr w14:val="tx1"/>
                  </w14:solidFill>
                </w14:textFill>
              </w:rPr>
            </w:pPr>
            <w:r>
              <w:rPr>
                <w:color w:val="000000" w:themeColor="text1"/>
                <w:kern w:val="0"/>
                <w:sz w:val="18"/>
                <w:szCs w:val="18"/>
                <w14:textFill>
                  <w14:solidFill>
                    <w14:schemeClr w14:val="tx1"/>
                  </w14:solidFill>
                </w14:textFill>
              </w:rPr>
              <w:t>中石油广西石化</w:t>
            </w:r>
          </w:p>
        </w:tc>
        <w:tc>
          <w:tcPr>
            <w:tcW w:w="883" w:type="dxa"/>
            <w:vAlign w:val="center"/>
          </w:tcPr>
          <w:p>
            <w:pPr>
              <w:widowControl/>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5000</w:t>
            </w:r>
          </w:p>
        </w:tc>
        <w:tc>
          <w:tcPr>
            <w:tcW w:w="789" w:type="dxa"/>
            <w:vAlign w:val="center"/>
          </w:tcPr>
          <w:p>
            <w:pPr>
              <w:widowControl/>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5000</w:t>
            </w:r>
          </w:p>
        </w:tc>
        <w:tc>
          <w:tcPr>
            <w:tcW w:w="1147" w:type="dxa"/>
            <w:vAlign w:val="center"/>
          </w:tcPr>
          <w:p>
            <w:pPr>
              <w:widowControl/>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4</w:t>
            </w:r>
          </w:p>
        </w:tc>
        <w:tc>
          <w:tcPr>
            <w:tcW w:w="909" w:type="dxa"/>
            <w:vAlign w:val="center"/>
          </w:tcPr>
          <w:p>
            <w:pPr>
              <w:widowControl/>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3</w:t>
            </w:r>
          </w:p>
        </w:tc>
        <w:tc>
          <w:tcPr>
            <w:tcW w:w="909" w:type="dxa"/>
            <w:vAlign w:val="center"/>
          </w:tcPr>
          <w:p>
            <w:pPr>
              <w:widowControl/>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8</w:t>
            </w:r>
          </w:p>
        </w:tc>
        <w:tc>
          <w:tcPr>
            <w:tcW w:w="942" w:type="dxa"/>
            <w:vAlign w:val="center"/>
          </w:tcPr>
          <w:p>
            <w:pPr>
              <w:widowControl/>
              <w:jc w:val="center"/>
              <w:rPr>
                <w:color w:val="000000" w:themeColor="text1"/>
                <w:kern w:val="0"/>
                <w:sz w:val="18"/>
                <w:szCs w:val="18"/>
                <w14:textFill>
                  <w14:solidFill>
                    <w14:schemeClr w14:val="tx1"/>
                  </w14:solidFill>
                </w14:textFill>
              </w:rPr>
            </w:pPr>
          </w:p>
        </w:tc>
        <w:tc>
          <w:tcPr>
            <w:tcW w:w="1002" w:type="dxa"/>
            <w:vAlign w:val="center"/>
          </w:tcPr>
          <w:p>
            <w:pPr>
              <w:widowControl/>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7</w:t>
            </w:r>
          </w:p>
        </w:tc>
        <w:tc>
          <w:tcPr>
            <w:tcW w:w="909" w:type="dxa"/>
            <w:vAlign w:val="center"/>
          </w:tcPr>
          <w:p>
            <w:pPr>
              <w:widowControl/>
              <w:jc w:val="center"/>
              <w:rPr>
                <w:color w:val="000000" w:themeColor="text1"/>
                <w:kern w:val="0"/>
                <w:sz w:val="18"/>
                <w:szCs w:val="18"/>
                <w14:textFill>
                  <w14:solidFill>
                    <w14:schemeClr w14:val="tx1"/>
                  </w14:solidFill>
                </w14:textFill>
              </w:rPr>
            </w:pPr>
          </w:p>
        </w:tc>
        <w:tc>
          <w:tcPr>
            <w:tcW w:w="1087" w:type="dxa"/>
            <w:vAlign w:val="center"/>
          </w:tcPr>
          <w:p>
            <w:pPr>
              <w:widowControl/>
              <w:jc w:val="center"/>
              <w:rPr>
                <w:color w:val="000000" w:themeColor="text1"/>
                <w:kern w:val="0"/>
                <w:sz w:val="18"/>
                <w:szCs w:val="18"/>
                <w14:textFill>
                  <w14:solidFill>
                    <w14:schemeClr w14:val="tx1"/>
                  </w14:solidFill>
                </w14:textFill>
              </w:rPr>
            </w:pPr>
          </w:p>
        </w:tc>
        <w:tc>
          <w:tcPr>
            <w:tcW w:w="909" w:type="dxa"/>
            <w:vAlign w:val="center"/>
          </w:tcPr>
          <w:p>
            <w:pPr>
              <w:widowControl/>
              <w:jc w:val="center"/>
              <w:rPr>
                <w:color w:val="000000" w:themeColor="text1"/>
                <w:kern w:val="0"/>
                <w:sz w:val="18"/>
                <w:szCs w:val="18"/>
                <w14:textFill>
                  <w14:solidFill>
                    <w14:schemeClr w14:val="tx1"/>
                  </w14:solidFill>
                </w14:textFill>
              </w:rPr>
            </w:pPr>
          </w:p>
        </w:tc>
        <w:tc>
          <w:tcPr>
            <w:tcW w:w="625" w:type="dxa"/>
            <w:vAlign w:val="center"/>
          </w:tcPr>
          <w:p>
            <w:pPr>
              <w:widowControl/>
              <w:jc w:val="center"/>
              <w:rPr>
                <w:color w:val="000000" w:themeColor="text1"/>
                <w:kern w:val="0"/>
                <w:sz w:val="18"/>
                <w:szCs w:val="18"/>
                <w14:textFill>
                  <w14:solidFill>
                    <w14:schemeClr w14:val="tx1"/>
                  </w14:solidFill>
                </w14:textFill>
              </w:rPr>
            </w:pPr>
          </w:p>
        </w:tc>
        <w:tc>
          <w:tcPr>
            <w:tcW w:w="910" w:type="dxa"/>
            <w:vAlign w:val="center"/>
          </w:tcPr>
          <w:p>
            <w:pPr>
              <w:widowControl/>
              <w:jc w:val="center"/>
              <w:rPr>
                <w:color w:val="000000" w:themeColor="text1"/>
                <w:kern w:val="0"/>
                <w:sz w:val="18"/>
                <w:szCs w:val="18"/>
                <w14:textFill>
                  <w14:solidFill>
                    <w14:schemeClr w14:val="tx1"/>
                  </w14:solidFill>
                </w14:textFill>
              </w:rPr>
            </w:pPr>
          </w:p>
        </w:tc>
        <w:tc>
          <w:tcPr>
            <w:tcW w:w="1029" w:type="dxa"/>
            <w:vAlign w:val="center"/>
          </w:tcPr>
          <w:p>
            <w:pPr>
              <w:widowControl/>
              <w:jc w:val="center"/>
              <w:rPr>
                <w:color w:val="000000" w:themeColor="text1"/>
                <w:kern w:val="0"/>
                <w:sz w:val="18"/>
                <w:szCs w:val="18"/>
                <w14:textFill>
                  <w14:solidFill>
                    <w14:schemeClr w14:val="tx1"/>
                  </w14:solidFill>
                </w14:textFill>
              </w:rPr>
            </w:pPr>
          </w:p>
        </w:tc>
        <w:tc>
          <w:tcPr>
            <w:tcW w:w="910" w:type="dxa"/>
            <w:vAlign w:val="center"/>
          </w:tcPr>
          <w:p>
            <w:pPr>
              <w:widowControl/>
              <w:jc w:val="center"/>
              <w:rPr>
                <w:color w:val="000000" w:themeColor="text1"/>
                <w:kern w:val="0"/>
                <w:sz w:val="18"/>
                <w:szCs w:val="18"/>
                <w14:textFill>
                  <w14:solidFill>
                    <w14:schemeClr w14:val="tx1"/>
                  </w14:solidFill>
                </w14:textFill>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c>
          <w:tcPr>
            <w:tcW w:w="1216" w:type="dxa"/>
            <w:vAlign w:val="center"/>
          </w:tcPr>
          <w:p>
            <w:pPr>
              <w:widowControl/>
              <w:jc w:val="center"/>
              <w:rPr>
                <w:color w:val="000000" w:themeColor="text1"/>
                <w:kern w:val="0"/>
                <w:sz w:val="18"/>
                <w:szCs w:val="18"/>
                <w14:textFill>
                  <w14:solidFill>
                    <w14:schemeClr w14:val="tx1"/>
                  </w14:solidFill>
                </w14:textFill>
              </w:rPr>
            </w:pPr>
            <w:r>
              <w:rPr>
                <w:color w:val="000000" w:themeColor="text1"/>
                <w:kern w:val="0"/>
                <w:sz w:val="18"/>
                <w:szCs w:val="18"/>
                <w14:textFill>
                  <w14:solidFill>
                    <w14:schemeClr w14:val="tx1"/>
                  </w14:solidFill>
                </w14:textFill>
              </w:rPr>
              <w:t>钦州广明码头</w:t>
            </w:r>
          </w:p>
        </w:tc>
        <w:tc>
          <w:tcPr>
            <w:tcW w:w="883" w:type="dxa"/>
            <w:vAlign w:val="center"/>
          </w:tcPr>
          <w:p>
            <w:pPr>
              <w:widowControl/>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450</w:t>
            </w:r>
          </w:p>
        </w:tc>
        <w:tc>
          <w:tcPr>
            <w:tcW w:w="789" w:type="dxa"/>
            <w:vAlign w:val="center"/>
          </w:tcPr>
          <w:p>
            <w:pPr>
              <w:widowControl/>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2000</w:t>
            </w:r>
          </w:p>
        </w:tc>
        <w:tc>
          <w:tcPr>
            <w:tcW w:w="1147" w:type="dxa"/>
            <w:vAlign w:val="center"/>
          </w:tcPr>
          <w:p>
            <w:pPr>
              <w:widowControl/>
              <w:jc w:val="center"/>
              <w:rPr>
                <w:color w:val="000000" w:themeColor="text1"/>
                <w:kern w:val="0"/>
                <w:sz w:val="18"/>
                <w:szCs w:val="18"/>
                <w14:textFill>
                  <w14:solidFill>
                    <w14:schemeClr w14:val="tx1"/>
                  </w14:solidFill>
                </w14:textFill>
              </w:rPr>
            </w:pPr>
          </w:p>
        </w:tc>
        <w:tc>
          <w:tcPr>
            <w:tcW w:w="909" w:type="dxa"/>
            <w:vAlign w:val="center"/>
          </w:tcPr>
          <w:p>
            <w:pPr>
              <w:widowControl/>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1</w:t>
            </w:r>
          </w:p>
        </w:tc>
        <w:tc>
          <w:tcPr>
            <w:tcW w:w="909" w:type="dxa"/>
            <w:vAlign w:val="center"/>
          </w:tcPr>
          <w:p>
            <w:pPr>
              <w:widowControl/>
              <w:jc w:val="center"/>
              <w:rPr>
                <w:color w:val="000000" w:themeColor="text1"/>
                <w:kern w:val="0"/>
                <w:sz w:val="18"/>
                <w:szCs w:val="18"/>
                <w14:textFill>
                  <w14:solidFill>
                    <w14:schemeClr w14:val="tx1"/>
                  </w14:solidFill>
                </w14:textFill>
              </w:rPr>
            </w:pPr>
          </w:p>
        </w:tc>
        <w:tc>
          <w:tcPr>
            <w:tcW w:w="942" w:type="dxa"/>
            <w:vAlign w:val="center"/>
          </w:tcPr>
          <w:p>
            <w:pPr>
              <w:widowControl/>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200</w:t>
            </w:r>
          </w:p>
        </w:tc>
        <w:tc>
          <w:tcPr>
            <w:tcW w:w="1002" w:type="dxa"/>
            <w:vAlign w:val="center"/>
          </w:tcPr>
          <w:p>
            <w:pPr>
              <w:widowControl/>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1</w:t>
            </w:r>
          </w:p>
        </w:tc>
        <w:tc>
          <w:tcPr>
            <w:tcW w:w="909" w:type="dxa"/>
            <w:vAlign w:val="center"/>
          </w:tcPr>
          <w:p>
            <w:pPr>
              <w:widowControl/>
              <w:jc w:val="center"/>
              <w:rPr>
                <w:color w:val="000000" w:themeColor="text1"/>
                <w:kern w:val="0"/>
                <w:sz w:val="18"/>
                <w:szCs w:val="18"/>
                <w14:textFill>
                  <w14:solidFill>
                    <w14:schemeClr w14:val="tx1"/>
                  </w14:solidFill>
                </w14:textFill>
              </w:rPr>
            </w:pPr>
          </w:p>
        </w:tc>
        <w:tc>
          <w:tcPr>
            <w:tcW w:w="1087" w:type="dxa"/>
            <w:vAlign w:val="center"/>
          </w:tcPr>
          <w:p>
            <w:pPr>
              <w:widowControl/>
              <w:jc w:val="center"/>
              <w:rPr>
                <w:color w:val="000000" w:themeColor="text1"/>
                <w:kern w:val="0"/>
                <w:sz w:val="18"/>
                <w:szCs w:val="18"/>
                <w14:textFill>
                  <w14:solidFill>
                    <w14:schemeClr w14:val="tx1"/>
                  </w14:solidFill>
                </w14:textFill>
              </w:rPr>
            </w:pPr>
          </w:p>
        </w:tc>
        <w:tc>
          <w:tcPr>
            <w:tcW w:w="909" w:type="dxa"/>
            <w:vAlign w:val="center"/>
          </w:tcPr>
          <w:p>
            <w:pPr>
              <w:widowControl/>
              <w:jc w:val="center"/>
              <w:rPr>
                <w:color w:val="000000" w:themeColor="text1"/>
                <w:kern w:val="0"/>
                <w:sz w:val="18"/>
                <w:szCs w:val="18"/>
                <w14:textFill>
                  <w14:solidFill>
                    <w14:schemeClr w14:val="tx1"/>
                  </w14:solidFill>
                </w14:textFill>
              </w:rPr>
            </w:pPr>
          </w:p>
        </w:tc>
        <w:tc>
          <w:tcPr>
            <w:tcW w:w="625" w:type="dxa"/>
            <w:vAlign w:val="center"/>
          </w:tcPr>
          <w:p>
            <w:pPr>
              <w:widowControl/>
              <w:jc w:val="center"/>
              <w:rPr>
                <w:color w:val="000000" w:themeColor="text1"/>
                <w:kern w:val="0"/>
                <w:sz w:val="18"/>
                <w:szCs w:val="18"/>
                <w14:textFill>
                  <w14:solidFill>
                    <w14:schemeClr w14:val="tx1"/>
                  </w14:solidFill>
                </w14:textFill>
              </w:rPr>
            </w:pPr>
          </w:p>
        </w:tc>
        <w:tc>
          <w:tcPr>
            <w:tcW w:w="910" w:type="dxa"/>
            <w:vAlign w:val="center"/>
          </w:tcPr>
          <w:p>
            <w:pPr>
              <w:widowControl/>
              <w:jc w:val="center"/>
              <w:rPr>
                <w:color w:val="000000" w:themeColor="text1"/>
                <w:kern w:val="0"/>
                <w:sz w:val="18"/>
                <w:szCs w:val="18"/>
                <w14:textFill>
                  <w14:solidFill>
                    <w14:schemeClr w14:val="tx1"/>
                  </w14:solidFill>
                </w14:textFill>
              </w:rPr>
            </w:pPr>
          </w:p>
        </w:tc>
        <w:tc>
          <w:tcPr>
            <w:tcW w:w="1029" w:type="dxa"/>
            <w:vAlign w:val="center"/>
          </w:tcPr>
          <w:p>
            <w:pPr>
              <w:widowControl/>
              <w:jc w:val="center"/>
              <w:rPr>
                <w:color w:val="000000" w:themeColor="text1"/>
                <w:kern w:val="0"/>
                <w:sz w:val="18"/>
                <w:szCs w:val="18"/>
                <w14:textFill>
                  <w14:solidFill>
                    <w14:schemeClr w14:val="tx1"/>
                  </w14:solidFill>
                </w14:textFill>
              </w:rPr>
            </w:pPr>
          </w:p>
        </w:tc>
        <w:tc>
          <w:tcPr>
            <w:tcW w:w="910" w:type="dxa"/>
            <w:vAlign w:val="center"/>
          </w:tcPr>
          <w:p>
            <w:pPr>
              <w:widowControl/>
              <w:jc w:val="center"/>
              <w:rPr>
                <w:color w:val="000000" w:themeColor="text1"/>
                <w:kern w:val="0"/>
                <w:sz w:val="18"/>
                <w:szCs w:val="18"/>
                <w14:textFill>
                  <w14:solidFill>
                    <w14:schemeClr w14:val="tx1"/>
                  </w14:solidFill>
                </w14:textFill>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c>
          <w:tcPr>
            <w:tcW w:w="1216" w:type="dxa"/>
            <w:vAlign w:val="center"/>
          </w:tcPr>
          <w:p>
            <w:pPr>
              <w:widowControl/>
              <w:jc w:val="center"/>
              <w:rPr>
                <w:color w:val="000000" w:themeColor="text1"/>
                <w:kern w:val="0"/>
                <w:sz w:val="18"/>
                <w:szCs w:val="18"/>
                <w14:textFill>
                  <w14:solidFill>
                    <w14:schemeClr w14:val="tx1"/>
                  </w14:solidFill>
                </w14:textFill>
              </w:rPr>
            </w:pPr>
            <w:r>
              <w:rPr>
                <w:color w:val="000000" w:themeColor="text1"/>
                <w:kern w:val="0"/>
                <w:sz w:val="18"/>
                <w:szCs w:val="18"/>
                <w14:textFill>
                  <w14:solidFill>
                    <w14:schemeClr w14:val="tx1"/>
                  </w14:solidFill>
                </w14:textFill>
              </w:rPr>
              <w:t>广西钦州中石化</w:t>
            </w:r>
          </w:p>
        </w:tc>
        <w:tc>
          <w:tcPr>
            <w:tcW w:w="883" w:type="dxa"/>
            <w:vAlign w:val="center"/>
          </w:tcPr>
          <w:p>
            <w:pPr>
              <w:widowControl/>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600</w:t>
            </w:r>
          </w:p>
        </w:tc>
        <w:tc>
          <w:tcPr>
            <w:tcW w:w="789" w:type="dxa"/>
            <w:vAlign w:val="center"/>
          </w:tcPr>
          <w:p>
            <w:pPr>
              <w:widowControl/>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2000</w:t>
            </w:r>
          </w:p>
        </w:tc>
        <w:tc>
          <w:tcPr>
            <w:tcW w:w="1147" w:type="dxa"/>
            <w:vAlign w:val="center"/>
          </w:tcPr>
          <w:p>
            <w:pPr>
              <w:widowControl/>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1</w:t>
            </w:r>
          </w:p>
        </w:tc>
        <w:tc>
          <w:tcPr>
            <w:tcW w:w="909" w:type="dxa"/>
            <w:vAlign w:val="center"/>
          </w:tcPr>
          <w:p>
            <w:pPr>
              <w:widowControl/>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1</w:t>
            </w:r>
          </w:p>
        </w:tc>
        <w:tc>
          <w:tcPr>
            <w:tcW w:w="909" w:type="dxa"/>
            <w:vAlign w:val="center"/>
          </w:tcPr>
          <w:p>
            <w:pPr>
              <w:widowControl/>
              <w:jc w:val="center"/>
              <w:rPr>
                <w:color w:val="000000" w:themeColor="text1"/>
                <w:kern w:val="0"/>
                <w:sz w:val="18"/>
                <w:szCs w:val="18"/>
                <w14:textFill>
                  <w14:solidFill>
                    <w14:schemeClr w14:val="tx1"/>
                  </w14:solidFill>
                </w14:textFill>
              </w:rPr>
            </w:pPr>
          </w:p>
        </w:tc>
        <w:tc>
          <w:tcPr>
            <w:tcW w:w="942" w:type="dxa"/>
            <w:vAlign w:val="center"/>
          </w:tcPr>
          <w:p>
            <w:pPr>
              <w:widowControl/>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400</w:t>
            </w:r>
          </w:p>
        </w:tc>
        <w:tc>
          <w:tcPr>
            <w:tcW w:w="1002" w:type="dxa"/>
            <w:vAlign w:val="center"/>
          </w:tcPr>
          <w:p>
            <w:pPr>
              <w:widowControl/>
              <w:jc w:val="center"/>
              <w:rPr>
                <w:color w:val="000000" w:themeColor="text1"/>
                <w:kern w:val="0"/>
                <w:sz w:val="18"/>
                <w:szCs w:val="18"/>
                <w14:textFill>
                  <w14:solidFill>
                    <w14:schemeClr w14:val="tx1"/>
                  </w14:solidFill>
                </w14:textFill>
              </w:rPr>
            </w:pPr>
          </w:p>
        </w:tc>
        <w:tc>
          <w:tcPr>
            <w:tcW w:w="909" w:type="dxa"/>
            <w:vAlign w:val="center"/>
          </w:tcPr>
          <w:p>
            <w:pPr>
              <w:widowControl/>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1</w:t>
            </w:r>
          </w:p>
        </w:tc>
        <w:tc>
          <w:tcPr>
            <w:tcW w:w="1087" w:type="dxa"/>
            <w:vAlign w:val="center"/>
          </w:tcPr>
          <w:p>
            <w:pPr>
              <w:widowControl/>
              <w:jc w:val="center"/>
              <w:rPr>
                <w:color w:val="000000" w:themeColor="text1"/>
                <w:kern w:val="0"/>
                <w:sz w:val="18"/>
                <w:szCs w:val="18"/>
                <w14:textFill>
                  <w14:solidFill>
                    <w14:schemeClr w14:val="tx1"/>
                  </w14:solidFill>
                </w14:textFill>
              </w:rPr>
            </w:pPr>
          </w:p>
        </w:tc>
        <w:tc>
          <w:tcPr>
            <w:tcW w:w="909" w:type="dxa"/>
            <w:vAlign w:val="center"/>
          </w:tcPr>
          <w:p>
            <w:pPr>
              <w:widowControl/>
              <w:jc w:val="center"/>
              <w:rPr>
                <w:color w:val="000000" w:themeColor="text1"/>
                <w:kern w:val="0"/>
                <w:sz w:val="18"/>
                <w:szCs w:val="18"/>
                <w14:textFill>
                  <w14:solidFill>
                    <w14:schemeClr w14:val="tx1"/>
                  </w14:solidFill>
                </w14:textFill>
              </w:rPr>
            </w:pPr>
          </w:p>
        </w:tc>
        <w:tc>
          <w:tcPr>
            <w:tcW w:w="625" w:type="dxa"/>
            <w:vAlign w:val="center"/>
          </w:tcPr>
          <w:p>
            <w:pPr>
              <w:widowControl/>
              <w:jc w:val="center"/>
              <w:rPr>
                <w:color w:val="000000" w:themeColor="text1"/>
                <w:kern w:val="0"/>
                <w:sz w:val="18"/>
                <w:szCs w:val="18"/>
                <w14:textFill>
                  <w14:solidFill>
                    <w14:schemeClr w14:val="tx1"/>
                  </w14:solidFill>
                </w14:textFill>
              </w:rPr>
            </w:pPr>
          </w:p>
        </w:tc>
        <w:tc>
          <w:tcPr>
            <w:tcW w:w="910" w:type="dxa"/>
            <w:vAlign w:val="center"/>
          </w:tcPr>
          <w:p>
            <w:pPr>
              <w:widowControl/>
              <w:jc w:val="center"/>
              <w:rPr>
                <w:color w:val="000000" w:themeColor="text1"/>
                <w:kern w:val="0"/>
                <w:sz w:val="18"/>
                <w:szCs w:val="18"/>
                <w14:textFill>
                  <w14:solidFill>
                    <w14:schemeClr w14:val="tx1"/>
                  </w14:solidFill>
                </w14:textFill>
              </w:rPr>
            </w:pPr>
          </w:p>
        </w:tc>
        <w:tc>
          <w:tcPr>
            <w:tcW w:w="1029" w:type="dxa"/>
            <w:vAlign w:val="center"/>
          </w:tcPr>
          <w:p>
            <w:pPr>
              <w:widowControl/>
              <w:jc w:val="center"/>
              <w:rPr>
                <w:color w:val="000000" w:themeColor="text1"/>
                <w:kern w:val="0"/>
                <w:sz w:val="18"/>
                <w:szCs w:val="18"/>
                <w14:textFill>
                  <w14:solidFill>
                    <w14:schemeClr w14:val="tx1"/>
                  </w14:solidFill>
                </w14:textFill>
              </w:rPr>
            </w:pPr>
          </w:p>
        </w:tc>
        <w:tc>
          <w:tcPr>
            <w:tcW w:w="910" w:type="dxa"/>
            <w:vAlign w:val="center"/>
          </w:tcPr>
          <w:p>
            <w:pPr>
              <w:widowControl/>
              <w:jc w:val="center"/>
              <w:rPr>
                <w:color w:val="000000" w:themeColor="text1"/>
                <w:kern w:val="0"/>
                <w:sz w:val="18"/>
                <w:szCs w:val="18"/>
                <w14:textFill>
                  <w14:solidFill>
                    <w14:schemeClr w14:val="tx1"/>
                  </w14:solidFill>
                </w14:textFill>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c>
          <w:tcPr>
            <w:tcW w:w="1216" w:type="dxa"/>
            <w:vAlign w:val="center"/>
          </w:tcPr>
          <w:p>
            <w:pPr>
              <w:widowControl/>
              <w:jc w:val="center"/>
              <w:rPr>
                <w:color w:val="000000" w:themeColor="text1"/>
                <w:kern w:val="0"/>
                <w:sz w:val="18"/>
                <w:szCs w:val="18"/>
                <w14:textFill>
                  <w14:solidFill>
                    <w14:schemeClr w14:val="tx1"/>
                  </w14:solidFill>
                </w14:textFill>
              </w:rPr>
            </w:pPr>
            <w:r>
              <w:rPr>
                <w:color w:val="000000" w:themeColor="text1"/>
                <w:kern w:val="0"/>
                <w:sz w:val="18"/>
                <w:szCs w:val="18"/>
                <w14:textFill>
                  <w14:solidFill>
                    <w14:schemeClr w14:val="tx1"/>
                  </w14:solidFill>
                </w14:textFill>
              </w:rPr>
              <w:t>广西东油沥青有限公司</w:t>
            </w:r>
          </w:p>
        </w:tc>
        <w:tc>
          <w:tcPr>
            <w:tcW w:w="883" w:type="dxa"/>
            <w:vAlign w:val="center"/>
          </w:tcPr>
          <w:p>
            <w:pPr>
              <w:widowControl/>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800</w:t>
            </w:r>
          </w:p>
        </w:tc>
        <w:tc>
          <w:tcPr>
            <w:tcW w:w="789" w:type="dxa"/>
            <w:vAlign w:val="center"/>
          </w:tcPr>
          <w:p>
            <w:pPr>
              <w:widowControl/>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2000</w:t>
            </w:r>
          </w:p>
        </w:tc>
        <w:tc>
          <w:tcPr>
            <w:tcW w:w="1147" w:type="dxa"/>
            <w:vAlign w:val="center"/>
          </w:tcPr>
          <w:p>
            <w:pPr>
              <w:widowControl/>
              <w:jc w:val="center"/>
              <w:rPr>
                <w:color w:val="000000" w:themeColor="text1"/>
                <w:kern w:val="0"/>
                <w:sz w:val="18"/>
                <w:szCs w:val="18"/>
                <w14:textFill>
                  <w14:solidFill>
                    <w14:schemeClr w14:val="tx1"/>
                  </w14:solidFill>
                </w14:textFill>
              </w:rPr>
            </w:pPr>
          </w:p>
        </w:tc>
        <w:tc>
          <w:tcPr>
            <w:tcW w:w="909" w:type="dxa"/>
            <w:vAlign w:val="center"/>
          </w:tcPr>
          <w:p>
            <w:pPr>
              <w:widowControl/>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1</w:t>
            </w:r>
          </w:p>
        </w:tc>
        <w:tc>
          <w:tcPr>
            <w:tcW w:w="909" w:type="dxa"/>
            <w:vAlign w:val="center"/>
          </w:tcPr>
          <w:p>
            <w:pPr>
              <w:widowControl/>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2</w:t>
            </w:r>
          </w:p>
        </w:tc>
        <w:tc>
          <w:tcPr>
            <w:tcW w:w="942" w:type="dxa"/>
            <w:vAlign w:val="center"/>
          </w:tcPr>
          <w:p>
            <w:pPr>
              <w:widowControl/>
              <w:jc w:val="center"/>
              <w:rPr>
                <w:color w:val="000000" w:themeColor="text1"/>
                <w:kern w:val="0"/>
                <w:sz w:val="18"/>
                <w:szCs w:val="18"/>
                <w14:textFill>
                  <w14:solidFill>
                    <w14:schemeClr w14:val="tx1"/>
                  </w14:solidFill>
                </w14:textFill>
              </w:rPr>
            </w:pPr>
          </w:p>
        </w:tc>
        <w:tc>
          <w:tcPr>
            <w:tcW w:w="1002" w:type="dxa"/>
            <w:vAlign w:val="center"/>
          </w:tcPr>
          <w:p>
            <w:pPr>
              <w:widowControl/>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2</w:t>
            </w:r>
          </w:p>
        </w:tc>
        <w:tc>
          <w:tcPr>
            <w:tcW w:w="909" w:type="dxa"/>
            <w:vAlign w:val="center"/>
          </w:tcPr>
          <w:p>
            <w:pPr>
              <w:widowControl/>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1</w:t>
            </w:r>
          </w:p>
        </w:tc>
        <w:tc>
          <w:tcPr>
            <w:tcW w:w="1087" w:type="dxa"/>
            <w:vAlign w:val="center"/>
          </w:tcPr>
          <w:p>
            <w:pPr>
              <w:widowControl/>
              <w:jc w:val="center"/>
              <w:rPr>
                <w:color w:val="000000" w:themeColor="text1"/>
                <w:kern w:val="0"/>
                <w:sz w:val="18"/>
                <w:szCs w:val="18"/>
                <w14:textFill>
                  <w14:solidFill>
                    <w14:schemeClr w14:val="tx1"/>
                  </w14:solidFill>
                </w14:textFill>
              </w:rPr>
            </w:pPr>
          </w:p>
        </w:tc>
        <w:tc>
          <w:tcPr>
            <w:tcW w:w="909" w:type="dxa"/>
            <w:vAlign w:val="center"/>
          </w:tcPr>
          <w:p>
            <w:pPr>
              <w:widowControl/>
              <w:jc w:val="center"/>
              <w:rPr>
                <w:color w:val="000000" w:themeColor="text1"/>
                <w:kern w:val="0"/>
                <w:sz w:val="18"/>
                <w:szCs w:val="18"/>
                <w14:textFill>
                  <w14:solidFill>
                    <w14:schemeClr w14:val="tx1"/>
                  </w14:solidFill>
                </w14:textFill>
              </w:rPr>
            </w:pPr>
          </w:p>
        </w:tc>
        <w:tc>
          <w:tcPr>
            <w:tcW w:w="625" w:type="dxa"/>
            <w:vAlign w:val="center"/>
          </w:tcPr>
          <w:p>
            <w:pPr>
              <w:widowControl/>
              <w:jc w:val="center"/>
              <w:rPr>
                <w:color w:val="000000" w:themeColor="text1"/>
                <w:kern w:val="0"/>
                <w:sz w:val="18"/>
                <w:szCs w:val="18"/>
                <w14:textFill>
                  <w14:solidFill>
                    <w14:schemeClr w14:val="tx1"/>
                  </w14:solidFill>
                </w14:textFill>
              </w:rPr>
            </w:pPr>
          </w:p>
        </w:tc>
        <w:tc>
          <w:tcPr>
            <w:tcW w:w="910" w:type="dxa"/>
            <w:vAlign w:val="center"/>
          </w:tcPr>
          <w:p>
            <w:pPr>
              <w:widowControl/>
              <w:jc w:val="center"/>
              <w:rPr>
                <w:color w:val="000000" w:themeColor="text1"/>
                <w:kern w:val="0"/>
                <w:sz w:val="18"/>
                <w:szCs w:val="18"/>
                <w14:textFill>
                  <w14:solidFill>
                    <w14:schemeClr w14:val="tx1"/>
                  </w14:solidFill>
                </w14:textFill>
              </w:rPr>
            </w:pPr>
          </w:p>
        </w:tc>
        <w:tc>
          <w:tcPr>
            <w:tcW w:w="1029" w:type="dxa"/>
            <w:vAlign w:val="center"/>
          </w:tcPr>
          <w:p>
            <w:pPr>
              <w:widowControl/>
              <w:jc w:val="center"/>
              <w:rPr>
                <w:color w:val="000000" w:themeColor="text1"/>
                <w:kern w:val="0"/>
                <w:sz w:val="18"/>
                <w:szCs w:val="18"/>
                <w14:textFill>
                  <w14:solidFill>
                    <w14:schemeClr w14:val="tx1"/>
                  </w14:solidFill>
                </w14:textFill>
              </w:rPr>
            </w:pPr>
          </w:p>
        </w:tc>
        <w:tc>
          <w:tcPr>
            <w:tcW w:w="910" w:type="dxa"/>
            <w:vAlign w:val="center"/>
          </w:tcPr>
          <w:p>
            <w:pPr>
              <w:widowControl/>
              <w:jc w:val="center"/>
              <w:rPr>
                <w:color w:val="000000" w:themeColor="text1"/>
                <w:kern w:val="0"/>
                <w:sz w:val="18"/>
                <w:szCs w:val="18"/>
                <w14:textFill>
                  <w14:solidFill>
                    <w14:schemeClr w14:val="tx1"/>
                  </w14:solidFill>
                </w14:textFill>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c>
          <w:tcPr>
            <w:tcW w:w="1216" w:type="dxa"/>
            <w:vAlign w:val="center"/>
          </w:tcPr>
          <w:p>
            <w:pPr>
              <w:widowControl/>
              <w:jc w:val="center"/>
              <w:rPr>
                <w:color w:val="000000" w:themeColor="text1"/>
                <w:kern w:val="0"/>
                <w:sz w:val="18"/>
                <w:szCs w:val="18"/>
                <w14:textFill>
                  <w14:solidFill>
                    <w14:schemeClr w14:val="tx1"/>
                  </w14:solidFill>
                </w14:textFill>
              </w:rPr>
            </w:pPr>
            <w:r>
              <w:rPr>
                <w:color w:val="000000" w:themeColor="text1"/>
                <w:kern w:val="0"/>
                <w:sz w:val="18"/>
                <w:szCs w:val="18"/>
                <w14:textFill>
                  <w14:solidFill>
                    <w14:schemeClr w14:val="tx1"/>
                  </w14:solidFill>
                </w14:textFill>
              </w:rPr>
              <w:t>钦州苏南公司</w:t>
            </w:r>
          </w:p>
        </w:tc>
        <w:tc>
          <w:tcPr>
            <w:tcW w:w="883" w:type="dxa"/>
            <w:vAlign w:val="center"/>
          </w:tcPr>
          <w:p>
            <w:pPr>
              <w:widowControl/>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4200</w:t>
            </w:r>
          </w:p>
        </w:tc>
        <w:tc>
          <w:tcPr>
            <w:tcW w:w="789" w:type="dxa"/>
            <w:vAlign w:val="center"/>
          </w:tcPr>
          <w:p>
            <w:pPr>
              <w:widowControl/>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10000</w:t>
            </w:r>
          </w:p>
        </w:tc>
        <w:tc>
          <w:tcPr>
            <w:tcW w:w="1147" w:type="dxa"/>
            <w:vAlign w:val="center"/>
          </w:tcPr>
          <w:p>
            <w:pPr>
              <w:widowControl/>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6</w:t>
            </w:r>
          </w:p>
        </w:tc>
        <w:tc>
          <w:tcPr>
            <w:tcW w:w="909" w:type="dxa"/>
            <w:vAlign w:val="center"/>
          </w:tcPr>
          <w:p>
            <w:pPr>
              <w:widowControl/>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4</w:t>
            </w:r>
          </w:p>
        </w:tc>
        <w:tc>
          <w:tcPr>
            <w:tcW w:w="909" w:type="dxa"/>
            <w:vAlign w:val="center"/>
          </w:tcPr>
          <w:p>
            <w:pPr>
              <w:widowControl/>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6</w:t>
            </w:r>
          </w:p>
        </w:tc>
        <w:tc>
          <w:tcPr>
            <w:tcW w:w="942" w:type="dxa"/>
            <w:vAlign w:val="center"/>
          </w:tcPr>
          <w:p>
            <w:pPr>
              <w:widowControl/>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1000</w:t>
            </w:r>
          </w:p>
        </w:tc>
        <w:tc>
          <w:tcPr>
            <w:tcW w:w="1002" w:type="dxa"/>
            <w:vAlign w:val="center"/>
          </w:tcPr>
          <w:p>
            <w:pPr>
              <w:widowControl/>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1670 m</w:t>
            </w:r>
            <w:r>
              <w:rPr>
                <w:rFonts w:hint="eastAsia"/>
                <w:color w:val="000000" w:themeColor="text1"/>
                <w:kern w:val="0"/>
                <w:sz w:val="18"/>
                <w:szCs w:val="18"/>
                <w:vertAlign w:val="superscript"/>
                <w14:textFill>
                  <w14:solidFill>
                    <w14:schemeClr w14:val="tx1"/>
                  </w14:solidFill>
                </w14:textFill>
              </w:rPr>
              <w:t>3</w:t>
            </w:r>
          </w:p>
        </w:tc>
        <w:tc>
          <w:tcPr>
            <w:tcW w:w="909" w:type="dxa"/>
            <w:vAlign w:val="center"/>
          </w:tcPr>
          <w:p>
            <w:pPr>
              <w:widowControl/>
              <w:jc w:val="center"/>
              <w:rPr>
                <w:color w:val="000000" w:themeColor="text1"/>
                <w:kern w:val="0"/>
                <w:sz w:val="18"/>
                <w:szCs w:val="18"/>
                <w14:textFill>
                  <w14:solidFill>
                    <w14:schemeClr w14:val="tx1"/>
                  </w14:solidFill>
                </w14:textFill>
              </w:rPr>
            </w:pPr>
          </w:p>
        </w:tc>
        <w:tc>
          <w:tcPr>
            <w:tcW w:w="1087" w:type="dxa"/>
            <w:vAlign w:val="center"/>
          </w:tcPr>
          <w:p>
            <w:pPr>
              <w:widowControl/>
              <w:jc w:val="center"/>
              <w:rPr>
                <w:color w:val="000000" w:themeColor="text1"/>
                <w:kern w:val="0"/>
                <w:sz w:val="18"/>
                <w:szCs w:val="18"/>
                <w14:textFill>
                  <w14:solidFill>
                    <w14:schemeClr w14:val="tx1"/>
                  </w14:solidFill>
                </w14:textFill>
              </w:rPr>
            </w:pPr>
          </w:p>
        </w:tc>
        <w:tc>
          <w:tcPr>
            <w:tcW w:w="909" w:type="dxa"/>
            <w:vAlign w:val="center"/>
          </w:tcPr>
          <w:p>
            <w:pPr>
              <w:widowControl/>
              <w:jc w:val="center"/>
              <w:rPr>
                <w:color w:val="000000" w:themeColor="text1"/>
                <w:kern w:val="0"/>
                <w:sz w:val="18"/>
                <w:szCs w:val="18"/>
                <w14:textFill>
                  <w14:solidFill>
                    <w14:schemeClr w14:val="tx1"/>
                  </w14:solidFill>
                </w14:textFill>
              </w:rPr>
            </w:pPr>
          </w:p>
        </w:tc>
        <w:tc>
          <w:tcPr>
            <w:tcW w:w="625" w:type="dxa"/>
            <w:vAlign w:val="center"/>
          </w:tcPr>
          <w:p>
            <w:pPr>
              <w:widowControl/>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3</w:t>
            </w:r>
          </w:p>
        </w:tc>
        <w:tc>
          <w:tcPr>
            <w:tcW w:w="910" w:type="dxa"/>
            <w:vAlign w:val="center"/>
          </w:tcPr>
          <w:p>
            <w:pPr>
              <w:widowControl/>
              <w:jc w:val="center"/>
              <w:rPr>
                <w:color w:val="000000" w:themeColor="text1"/>
                <w:kern w:val="0"/>
                <w:sz w:val="18"/>
                <w:szCs w:val="18"/>
                <w14:textFill>
                  <w14:solidFill>
                    <w14:schemeClr w14:val="tx1"/>
                  </w14:solidFill>
                </w14:textFill>
              </w:rPr>
            </w:pPr>
          </w:p>
        </w:tc>
        <w:tc>
          <w:tcPr>
            <w:tcW w:w="1029" w:type="dxa"/>
            <w:vAlign w:val="center"/>
          </w:tcPr>
          <w:p>
            <w:pPr>
              <w:widowControl/>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1</w:t>
            </w:r>
          </w:p>
        </w:tc>
        <w:tc>
          <w:tcPr>
            <w:tcW w:w="910" w:type="dxa"/>
            <w:vAlign w:val="center"/>
          </w:tcPr>
          <w:p>
            <w:pPr>
              <w:widowControl/>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6</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c>
          <w:tcPr>
            <w:tcW w:w="1216" w:type="dxa"/>
            <w:vAlign w:val="center"/>
          </w:tcPr>
          <w:p>
            <w:pPr>
              <w:widowControl/>
              <w:jc w:val="center"/>
              <w:rPr>
                <w:color w:val="000000" w:themeColor="text1"/>
                <w:kern w:val="0"/>
                <w:sz w:val="18"/>
                <w:szCs w:val="18"/>
                <w14:textFill>
                  <w14:solidFill>
                    <w14:schemeClr w14:val="tx1"/>
                  </w14:solidFill>
                </w14:textFill>
              </w:rPr>
            </w:pPr>
            <w:r>
              <w:rPr>
                <w:color w:val="000000" w:themeColor="text1"/>
                <w:kern w:val="0"/>
                <w:sz w:val="18"/>
                <w:szCs w:val="18"/>
                <w14:textFill>
                  <w14:solidFill>
                    <w14:schemeClr w14:val="tx1"/>
                  </w14:solidFill>
                </w14:textFill>
              </w:rPr>
              <w:t>钦州桂通公司</w:t>
            </w:r>
          </w:p>
        </w:tc>
        <w:tc>
          <w:tcPr>
            <w:tcW w:w="883" w:type="dxa"/>
            <w:vAlign w:val="center"/>
          </w:tcPr>
          <w:p>
            <w:pPr>
              <w:widowControl/>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10400</w:t>
            </w:r>
          </w:p>
        </w:tc>
        <w:tc>
          <w:tcPr>
            <w:tcW w:w="789" w:type="dxa"/>
            <w:vAlign w:val="center"/>
          </w:tcPr>
          <w:p>
            <w:pPr>
              <w:widowControl/>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20000</w:t>
            </w:r>
          </w:p>
        </w:tc>
        <w:tc>
          <w:tcPr>
            <w:tcW w:w="1147" w:type="dxa"/>
            <w:vAlign w:val="center"/>
          </w:tcPr>
          <w:p>
            <w:pPr>
              <w:widowControl/>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12</w:t>
            </w:r>
          </w:p>
        </w:tc>
        <w:tc>
          <w:tcPr>
            <w:tcW w:w="909" w:type="dxa"/>
            <w:vAlign w:val="center"/>
          </w:tcPr>
          <w:p>
            <w:pPr>
              <w:widowControl/>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5</w:t>
            </w:r>
          </w:p>
        </w:tc>
        <w:tc>
          <w:tcPr>
            <w:tcW w:w="909" w:type="dxa"/>
            <w:vAlign w:val="center"/>
          </w:tcPr>
          <w:p>
            <w:pPr>
              <w:widowControl/>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12</w:t>
            </w:r>
          </w:p>
        </w:tc>
        <w:tc>
          <w:tcPr>
            <w:tcW w:w="942" w:type="dxa"/>
            <w:vAlign w:val="center"/>
          </w:tcPr>
          <w:p>
            <w:pPr>
              <w:widowControl/>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4000</w:t>
            </w:r>
          </w:p>
        </w:tc>
        <w:tc>
          <w:tcPr>
            <w:tcW w:w="1002" w:type="dxa"/>
            <w:vAlign w:val="center"/>
          </w:tcPr>
          <w:p>
            <w:pPr>
              <w:widowControl/>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1792 m</w:t>
            </w:r>
            <w:r>
              <w:rPr>
                <w:rFonts w:hint="eastAsia"/>
                <w:color w:val="000000" w:themeColor="text1"/>
                <w:kern w:val="0"/>
                <w:sz w:val="18"/>
                <w:szCs w:val="18"/>
                <w:vertAlign w:val="superscript"/>
                <w14:textFill>
                  <w14:solidFill>
                    <w14:schemeClr w14:val="tx1"/>
                  </w14:solidFill>
                </w14:textFill>
              </w:rPr>
              <w:t>3</w:t>
            </w:r>
          </w:p>
        </w:tc>
        <w:tc>
          <w:tcPr>
            <w:tcW w:w="909" w:type="dxa"/>
            <w:vAlign w:val="center"/>
          </w:tcPr>
          <w:p>
            <w:pPr>
              <w:widowControl/>
              <w:jc w:val="center"/>
              <w:rPr>
                <w:color w:val="000000" w:themeColor="text1"/>
                <w:kern w:val="0"/>
                <w:sz w:val="18"/>
                <w:szCs w:val="18"/>
                <w14:textFill>
                  <w14:solidFill>
                    <w14:schemeClr w14:val="tx1"/>
                  </w14:solidFill>
                </w14:textFill>
              </w:rPr>
            </w:pPr>
          </w:p>
        </w:tc>
        <w:tc>
          <w:tcPr>
            <w:tcW w:w="1087" w:type="dxa"/>
            <w:vAlign w:val="center"/>
          </w:tcPr>
          <w:p>
            <w:pPr>
              <w:widowControl/>
              <w:jc w:val="center"/>
              <w:rPr>
                <w:color w:val="000000" w:themeColor="text1"/>
                <w:kern w:val="0"/>
                <w:sz w:val="18"/>
                <w:szCs w:val="18"/>
                <w14:textFill>
                  <w14:solidFill>
                    <w14:schemeClr w14:val="tx1"/>
                  </w14:solidFill>
                </w14:textFill>
              </w:rPr>
            </w:pPr>
          </w:p>
        </w:tc>
        <w:tc>
          <w:tcPr>
            <w:tcW w:w="909" w:type="dxa"/>
            <w:vAlign w:val="center"/>
          </w:tcPr>
          <w:p>
            <w:pPr>
              <w:widowControl/>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4</w:t>
            </w:r>
          </w:p>
        </w:tc>
        <w:tc>
          <w:tcPr>
            <w:tcW w:w="625" w:type="dxa"/>
            <w:vAlign w:val="center"/>
          </w:tcPr>
          <w:p>
            <w:pPr>
              <w:widowControl/>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6</w:t>
            </w:r>
          </w:p>
        </w:tc>
        <w:tc>
          <w:tcPr>
            <w:tcW w:w="910" w:type="dxa"/>
            <w:vAlign w:val="center"/>
          </w:tcPr>
          <w:p>
            <w:pPr>
              <w:widowControl/>
              <w:jc w:val="center"/>
              <w:rPr>
                <w:color w:val="000000" w:themeColor="text1"/>
                <w:kern w:val="0"/>
                <w:sz w:val="18"/>
                <w:szCs w:val="18"/>
                <w14:textFill>
                  <w14:solidFill>
                    <w14:schemeClr w14:val="tx1"/>
                  </w14:solidFill>
                </w14:textFill>
              </w:rPr>
            </w:pPr>
          </w:p>
        </w:tc>
        <w:tc>
          <w:tcPr>
            <w:tcW w:w="1029" w:type="dxa"/>
            <w:vAlign w:val="center"/>
          </w:tcPr>
          <w:p>
            <w:pPr>
              <w:widowControl/>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2</w:t>
            </w:r>
          </w:p>
        </w:tc>
        <w:tc>
          <w:tcPr>
            <w:tcW w:w="910" w:type="dxa"/>
            <w:vAlign w:val="center"/>
          </w:tcPr>
          <w:p>
            <w:pPr>
              <w:widowControl/>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8</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c>
          <w:tcPr>
            <w:tcW w:w="1216" w:type="dxa"/>
            <w:shd w:val="clear" w:color="auto" w:fill="BEBEBE" w:themeFill="background1" w:themeFillShade="BF"/>
            <w:vAlign w:val="center"/>
          </w:tcPr>
          <w:p>
            <w:pPr>
              <w:widowControl/>
              <w:jc w:val="center"/>
              <w:rPr>
                <w:color w:val="000000" w:themeColor="text1"/>
                <w:kern w:val="0"/>
                <w:sz w:val="18"/>
                <w:szCs w:val="18"/>
                <w14:textFill>
                  <w14:solidFill>
                    <w14:schemeClr w14:val="tx1"/>
                  </w14:solidFill>
                </w14:textFill>
              </w:rPr>
            </w:pPr>
            <w:r>
              <w:rPr>
                <w:color w:val="000000" w:themeColor="text1"/>
                <w:kern w:val="0"/>
                <w:sz w:val="18"/>
                <w:szCs w:val="18"/>
                <w14:textFill>
                  <w14:solidFill>
                    <w14:schemeClr w14:val="tx1"/>
                  </w14:solidFill>
                </w14:textFill>
              </w:rPr>
              <w:t>钦州企业小计</w:t>
            </w:r>
          </w:p>
        </w:tc>
        <w:tc>
          <w:tcPr>
            <w:tcW w:w="883" w:type="dxa"/>
            <w:shd w:val="clear" w:color="auto" w:fill="BEBEBE" w:themeFill="background1" w:themeFillShade="BF"/>
            <w:vAlign w:val="center"/>
          </w:tcPr>
          <w:p>
            <w:pPr>
              <w:widowControl/>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21450</w:t>
            </w:r>
          </w:p>
        </w:tc>
        <w:tc>
          <w:tcPr>
            <w:tcW w:w="789" w:type="dxa"/>
            <w:shd w:val="clear" w:color="auto" w:fill="BEBEBE" w:themeFill="background1" w:themeFillShade="BF"/>
            <w:vAlign w:val="center"/>
          </w:tcPr>
          <w:p>
            <w:pPr>
              <w:widowControl/>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41000</w:t>
            </w:r>
          </w:p>
        </w:tc>
        <w:tc>
          <w:tcPr>
            <w:tcW w:w="1147" w:type="dxa"/>
            <w:shd w:val="clear" w:color="auto" w:fill="BEBEBE" w:themeFill="background1" w:themeFillShade="BF"/>
            <w:vAlign w:val="center"/>
          </w:tcPr>
          <w:p>
            <w:pPr>
              <w:widowControl/>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23</w:t>
            </w:r>
          </w:p>
        </w:tc>
        <w:tc>
          <w:tcPr>
            <w:tcW w:w="909" w:type="dxa"/>
            <w:shd w:val="clear" w:color="auto" w:fill="BEBEBE" w:themeFill="background1" w:themeFillShade="BF"/>
            <w:vAlign w:val="center"/>
          </w:tcPr>
          <w:p>
            <w:pPr>
              <w:widowControl/>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15</w:t>
            </w:r>
          </w:p>
        </w:tc>
        <w:tc>
          <w:tcPr>
            <w:tcW w:w="909" w:type="dxa"/>
            <w:shd w:val="clear" w:color="auto" w:fill="BEBEBE" w:themeFill="background1" w:themeFillShade="BF"/>
            <w:vAlign w:val="center"/>
          </w:tcPr>
          <w:p>
            <w:pPr>
              <w:widowControl/>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27.6</w:t>
            </w:r>
          </w:p>
        </w:tc>
        <w:tc>
          <w:tcPr>
            <w:tcW w:w="942" w:type="dxa"/>
            <w:shd w:val="clear" w:color="auto" w:fill="BEBEBE" w:themeFill="background1" w:themeFillShade="BF"/>
            <w:vAlign w:val="center"/>
          </w:tcPr>
          <w:p>
            <w:pPr>
              <w:widowControl/>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5600</w:t>
            </w:r>
          </w:p>
        </w:tc>
        <w:tc>
          <w:tcPr>
            <w:tcW w:w="1002" w:type="dxa"/>
            <w:shd w:val="clear" w:color="auto" w:fill="BEBEBE" w:themeFill="background1" w:themeFillShade="BF"/>
            <w:vAlign w:val="center"/>
          </w:tcPr>
          <w:p>
            <w:pPr>
              <w:widowControl/>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10</w:t>
            </w:r>
          </w:p>
        </w:tc>
        <w:tc>
          <w:tcPr>
            <w:tcW w:w="909" w:type="dxa"/>
            <w:shd w:val="clear" w:color="auto" w:fill="BEBEBE" w:themeFill="background1" w:themeFillShade="BF"/>
            <w:vAlign w:val="center"/>
          </w:tcPr>
          <w:p>
            <w:pPr>
              <w:widowControl/>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2</w:t>
            </w:r>
          </w:p>
        </w:tc>
        <w:tc>
          <w:tcPr>
            <w:tcW w:w="1087" w:type="dxa"/>
            <w:shd w:val="clear" w:color="auto" w:fill="BEBEBE" w:themeFill="background1" w:themeFillShade="BF"/>
            <w:vAlign w:val="center"/>
          </w:tcPr>
          <w:p>
            <w:pPr>
              <w:widowControl/>
              <w:jc w:val="center"/>
              <w:rPr>
                <w:color w:val="000000" w:themeColor="text1"/>
                <w:kern w:val="0"/>
                <w:sz w:val="18"/>
                <w:szCs w:val="18"/>
                <w14:textFill>
                  <w14:solidFill>
                    <w14:schemeClr w14:val="tx1"/>
                  </w14:solidFill>
                </w14:textFill>
              </w:rPr>
            </w:pPr>
          </w:p>
        </w:tc>
        <w:tc>
          <w:tcPr>
            <w:tcW w:w="909" w:type="dxa"/>
            <w:shd w:val="clear" w:color="auto" w:fill="BEBEBE" w:themeFill="background1" w:themeFillShade="BF"/>
            <w:vAlign w:val="center"/>
          </w:tcPr>
          <w:p>
            <w:pPr>
              <w:widowControl/>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4</w:t>
            </w:r>
          </w:p>
        </w:tc>
        <w:tc>
          <w:tcPr>
            <w:tcW w:w="625" w:type="dxa"/>
            <w:shd w:val="clear" w:color="auto" w:fill="BEBEBE" w:themeFill="background1" w:themeFillShade="BF"/>
            <w:vAlign w:val="center"/>
          </w:tcPr>
          <w:p>
            <w:pPr>
              <w:widowControl/>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9</w:t>
            </w:r>
          </w:p>
        </w:tc>
        <w:tc>
          <w:tcPr>
            <w:tcW w:w="910" w:type="dxa"/>
            <w:shd w:val="clear" w:color="auto" w:fill="BEBEBE" w:themeFill="background1" w:themeFillShade="BF"/>
            <w:vAlign w:val="center"/>
          </w:tcPr>
          <w:p>
            <w:pPr>
              <w:widowControl/>
              <w:jc w:val="center"/>
              <w:rPr>
                <w:color w:val="000000" w:themeColor="text1"/>
                <w:kern w:val="0"/>
                <w:sz w:val="18"/>
                <w:szCs w:val="18"/>
                <w14:textFill>
                  <w14:solidFill>
                    <w14:schemeClr w14:val="tx1"/>
                  </w14:solidFill>
                </w14:textFill>
              </w:rPr>
            </w:pPr>
          </w:p>
        </w:tc>
        <w:tc>
          <w:tcPr>
            <w:tcW w:w="1029" w:type="dxa"/>
            <w:shd w:val="clear" w:color="auto" w:fill="BEBEBE" w:themeFill="background1" w:themeFillShade="BF"/>
            <w:vAlign w:val="center"/>
          </w:tcPr>
          <w:p>
            <w:pPr>
              <w:widowControl/>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3</w:t>
            </w:r>
          </w:p>
        </w:tc>
        <w:tc>
          <w:tcPr>
            <w:tcW w:w="910" w:type="dxa"/>
            <w:shd w:val="clear" w:color="auto" w:fill="BEBEBE" w:themeFill="background1" w:themeFillShade="BF"/>
            <w:vAlign w:val="center"/>
          </w:tcPr>
          <w:p>
            <w:pPr>
              <w:widowControl/>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14</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c>
          <w:tcPr>
            <w:tcW w:w="1216" w:type="dxa"/>
            <w:vAlign w:val="center"/>
          </w:tcPr>
          <w:p>
            <w:pPr>
              <w:widowControl/>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防城港港口区航清水上清洁服务部</w:t>
            </w:r>
          </w:p>
        </w:tc>
        <w:tc>
          <w:tcPr>
            <w:tcW w:w="883" w:type="dxa"/>
            <w:vAlign w:val="center"/>
          </w:tcPr>
          <w:p>
            <w:pPr>
              <w:widowControl/>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830</w:t>
            </w:r>
          </w:p>
        </w:tc>
        <w:tc>
          <w:tcPr>
            <w:tcW w:w="789" w:type="dxa"/>
            <w:vAlign w:val="center"/>
          </w:tcPr>
          <w:p>
            <w:pPr>
              <w:widowControl/>
              <w:jc w:val="center"/>
              <w:rPr>
                <w:color w:val="000000" w:themeColor="text1"/>
                <w:kern w:val="0"/>
                <w:sz w:val="18"/>
                <w:szCs w:val="18"/>
                <w14:textFill>
                  <w14:solidFill>
                    <w14:schemeClr w14:val="tx1"/>
                  </w14:solidFill>
                </w14:textFill>
              </w:rPr>
            </w:pPr>
          </w:p>
        </w:tc>
        <w:tc>
          <w:tcPr>
            <w:tcW w:w="1147" w:type="dxa"/>
            <w:vAlign w:val="center"/>
          </w:tcPr>
          <w:p>
            <w:pPr>
              <w:widowControl/>
              <w:jc w:val="center"/>
              <w:rPr>
                <w:color w:val="000000" w:themeColor="text1"/>
                <w:kern w:val="0"/>
                <w:sz w:val="18"/>
                <w:szCs w:val="18"/>
                <w14:textFill>
                  <w14:solidFill>
                    <w14:schemeClr w14:val="tx1"/>
                  </w14:solidFill>
                </w14:textFill>
              </w:rPr>
            </w:pPr>
          </w:p>
        </w:tc>
        <w:tc>
          <w:tcPr>
            <w:tcW w:w="909" w:type="dxa"/>
            <w:vAlign w:val="center"/>
          </w:tcPr>
          <w:p>
            <w:pPr>
              <w:widowControl/>
              <w:jc w:val="center"/>
              <w:rPr>
                <w:color w:val="000000" w:themeColor="text1"/>
                <w:kern w:val="0"/>
                <w:sz w:val="18"/>
                <w:szCs w:val="18"/>
                <w14:textFill>
                  <w14:solidFill>
                    <w14:schemeClr w14:val="tx1"/>
                  </w14:solidFill>
                </w14:textFill>
              </w:rPr>
            </w:pPr>
          </w:p>
        </w:tc>
        <w:tc>
          <w:tcPr>
            <w:tcW w:w="909" w:type="dxa"/>
            <w:vAlign w:val="center"/>
          </w:tcPr>
          <w:p>
            <w:pPr>
              <w:widowControl/>
              <w:jc w:val="center"/>
              <w:rPr>
                <w:color w:val="000000" w:themeColor="text1"/>
                <w:kern w:val="0"/>
                <w:sz w:val="18"/>
                <w:szCs w:val="18"/>
                <w14:textFill>
                  <w14:solidFill>
                    <w14:schemeClr w14:val="tx1"/>
                  </w14:solidFill>
                </w14:textFill>
              </w:rPr>
            </w:pPr>
          </w:p>
        </w:tc>
        <w:tc>
          <w:tcPr>
            <w:tcW w:w="942" w:type="dxa"/>
            <w:vAlign w:val="center"/>
          </w:tcPr>
          <w:p>
            <w:pPr>
              <w:widowControl/>
              <w:jc w:val="center"/>
              <w:rPr>
                <w:color w:val="000000" w:themeColor="text1"/>
                <w:kern w:val="0"/>
                <w:sz w:val="18"/>
                <w:szCs w:val="18"/>
                <w14:textFill>
                  <w14:solidFill>
                    <w14:schemeClr w14:val="tx1"/>
                  </w14:solidFill>
                </w14:textFill>
              </w:rPr>
            </w:pPr>
          </w:p>
        </w:tc>
        <w:tc>
          <w:tcPr>
            <w:tcW w:w="1002" w:type="dxa"/>
            <w:vAlign w:val="center"/>
          </w:tcPr>
          <w:p>
            <w:pPr>
              <w:widowControl/>
              <w:jc w:val="center"/>
              <w:rPr>
                <w:color w:val="000000" w:themeColor="text1"/>
                <w:kern w:val="0"/>
                <w:sz w:val="18"/>
                <w:szCs w:val="18"/>
                <w14:textFill>
                  <w14:solidFill>
                    <w14:schemeClr w14:val="tx1"/>
                  </w14:solidFill>
                </w14:textFill>
              </w:rPr>
            </w:pPr>
          </w:p>
        </w:tc>
        <w:tc>
          <w:tcPr>
            <w:tcW w:w="909" w:type="dxa"/>
            <w:vAlign w:val="center"/>
          </w:tcPr>
          <w:p>
            <w:pPr>
              <w:widowControl/>
              <w:jc w:val="center"/>
              <w:rPr>
                <w:color w:val="000000" w:themeColor="text1"/>
                <w:kern w:val="0"/>
                <w:sz w:val="18"/>
                <w:szCs w:val="18"/>
                <w14:textFill>
                  <w14:solidFill>
                    <w14:schemeClr w14:val="tx1"/>
                  </w14:solidFill>
                </w14:textFill>
              </w:rPr>
            </w:pPr>
          </w:p>
        </w:tc>
        <w:tc>
          <w:tcPr>
            <w:tcW w:w="1087" w:type="dxa"/>
            <w:vAlign w:val="center"/>
          </w:tcPr>
          <w:p>
            <w:pPr>
              <w:widowControl/>
              <w:jc w:val="center"/>
              <w:rPr>
                <w:color w:val="000000" w:themeColor="text1"/>
                <w:kern w:val="0"/>
                <w:sz w:val="18"/>
                <w:szCs w:val="18"/>
                <w14:textFill>
                  <w14:solidFill>
                    <w14:schemeClr w14:val="tx1"/>
                  </w14:solidFill>
                </w14:textFill>
              </w:rPr>
            </w:pPr>
          </w:p>
        </w:tc>
        <w:tc>
          <w:tcPr>
            <w:tcW w:w="909" w:type="dxa"/>
            <w:vAlign w:val="center"/>
          </w:tcPr>
          <w:p>
            <w:pPr>
              <w:widowControl/>
              <w:jc w:val="center"/>
              <w:rPr>
                <w:color w:val="000000" w:themeColor="text1"/>
                <w:kern w:val="0"/>
                <w:sz w:val="18"/>
                <w:szCs w:val="18"/>
                <w14:textFill>
                  <w14:solidFill>
                    <w14:schemeClr w14:val="tx1"/>
                  </w14:solidFill>
                </w14:textFill>
              </w:rPr>
            </w:pPr>
          </w:p>
        </w:tc>
        <w:tc>
          <w:tcPr>
            <w:tcW w:w="625" w:type="dxa"/>
            <w:vAlign w:val="center"/>
          </w:tcPr>
          <w:p>
            <w:pPr>
              <w:widowControl/>
              <w:jc w:val="center"/>
              <w:rPr>
                <w:color w:val="000000" w:themeColor="text1"/>
                <w:kern w:val="0"/>
                <w:sz w:val="18"/>
                <w:szCs w:val="18"/>
                <w14:textFill>
                  <w14:solidFill>
                    <w14:schemeClr w14:val="tx1"/>
                  </w14:solidFill>
                </w14:textFill>
              </w:rPr>
            </w:pPr>
          </w:p>
        </w:tc>
        <w:tc>
          <w:tcPr>
            <w:tcW w:w="910" w:type="dxa"/>
            <w:vAlign w:val="center"/>
          </w:tcPr>
          <w:p>
            <w:pPr>
              <w:widowControl/>
              <w:jc w:val="center"/>
              <w:rPr>
                <w:color w:val="000000" w:themeColor="text1"/>
                <w:kern w:val="0"/>
                <w:sz w:val="18"/>
                <w:szCs w:val="18"/>
                <w14:textFill>
                  <w14:solidFill>
                    <w14:schemeClr w14:val="tx1"/>
                  </w14:solidFill>
                </w14:textFill>
              </w:rPr>
            </w:pPr>
          </w:p>
        </w:tc>
        <w:tc>
          <w:tcPr>
            <w:tcW w:w="1029" w:type="dxa"/>
            <w:vAlign w:val="center"/>
          </w:tcPr>
          <w:p>
            <w:pPr>
              <w:widowControl/>
              <w:jc w:val="center"/>
              <w:rPr>
                <w:color w:val="000000" w:themeColor="text1"/>
                <w:kern w:val="0"/>
                <w:sz w:val="18"/>
                <w:szCs w:val="18"/>
                <w14:textFill>
                  <w14:solidFill>
                    <w14:schemeClr w14:val="tx1"/>
                  </w14:solidFill>
                </w14:textFill>
              </w:rPr>
            </w:pPr>
          </w:p>
        </w:tc>
        <w:tc>
          <w:tcPr>
            <w:tcW w:w="910" w:type="dxa"/>
            <w:vAlign w:val="center"/>
          </w:tcPr>
          <w:p>
            <w:pPr>
              <w:widowControl/>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1</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c>
          <w:tcPr>
            <w:tcW w:w="1216" w:type="dxa"/>
            <w:vAlign w:val="center"/>
          </w:tcPr>
          <w:p>
            <w:pPr>
              <w:widowControl/>
              <w:jc w:val="center"/>
              <w:rPr>
                <w:color w:val="000000" w:themeColor="text1"/>
                <w:kern w:val="0"/>
                <w:sz w:val="18"/>
                <w:szCs w:val="18"/>
                <w14:textFill>
                  <w14:solidFill>
                    <w14:schemeClr w14:val="tx1"/>
                  </w14:solidFill>
                </w14:textFill>
              </w:rPr>
            </w:pPr>
            <w:r>
              <w:rPr>
                <w:color w:val="000000" w:themeColor="text1"/>
                <w:kern w:val="0"/>
                <w:sz w:val="18"/>
                <w:szCs w:val="18"/>
                <w14:textFill>
                  <w14:solidFill>
                    <w14:schemeClr w14:val="tx1"/>
                  </w14:solidFill>
                </w14:textFill>
              </w:rPr>
              <w:t>南宁安明防城港分公司</w:t>
            </w:r>
          </w:p>
        </w:tc>
        <w:tc>
          <w:tcPr>
            <w:tcW w:w="883" w:type="dxa"/>
            <w:vAlign w:val="center"/>
          </w:tcPr>
          <w:p>
            <w:pPr>
              <w:widowControl/>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1000</w:t>
            </w:r>
          </w:p>
        </w:tc>
        <w:tc>
          <w:tcPr>
            <w:tcW w:w="789" w:type="dxa"/>
            <w:vAlign w:val="center"/>
          </w:tcPr>
          <w:p>
            <w:pPr>
              <w:widowControl/>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2000</w:t>
            </w:r>
          </w:p>
        </w:tc>
        <w:tc>
          <w:tcPr>
            <w:tcW w:w="1147" w:type="dxa"/>
            <w:vAlign w:val="center"/>
          </w:tcPr>
          <w:p>
            <w:pPr>
              <w:widowControl/>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2</w:t>
            </w:r>
          </w:p>
        </w:tc>
        <w:tc>
          <w:tcPr>
            <w:tcW w:w="909" w:type="dxa"/>
            <w:vAlign w:val="center"/>
          </w:tcPr>
          <w:p>
            <w:pPr>
              <w:widowControl/>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3</w:t>
            </w:r>
          </w:p>
        </w:tc>
        <w:tc>
          <w:tcPr>
            <w:tcW w:w="909" w:type="dxa"/>
            <w:vAlign w:val="center"/>
          </w:tcPr>
          <w:p>
            <w:pPr>
              <w:widowControl/>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5</w:t>
            </w:r>
          </w:p>
        </w:tc>
        <w:tc>
          <w:tcPr>
            <w:tcW w:w="942" w:type="dxa"/>
            <w:vAlign w:val="center"/>
          </w:tcPr>
          <w:p>
            <w:pPr>
              <w:widowControl/>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300</w:t>
            </w:r>
          </w:p>
        </w:tc>
        <w:tc>
          <w:tcPr>
            <w:tcW w:w="1002" w:type="dxa"/>
            <w:vAlign w:val="center"/>
          </w:tcPr>
          <w:p>
            <w:pPr>
              <w:widowControl/>
              <w:jc w:val="center"/>
              <w:rPr>
                <w:color w:val="000000" w:themeColor="text1"/>
                <w:kern w:val="0"/>
                <w:sz w:val="18"/>
                <w:szCs w:val="18"/>
                <w14:textFill>
                  <w14:solidFill>
                    <w14:schemeClr w14:val="tx1"/>
                  </w14:solidFill>
                </w14:textFill>
              </w:rPr>
            </w:pPr>
          </w:p>
        </w:tc>
        <w:tc>
          <w:tcPr>
            <w:tcW w:w="909" w:type="dxa"/>
            <w:vAlign w:val="center"/>
          </w:tcPr>
          <w:p>
            <w:pPr>
              <w:widowControl/>
              <w:jc w:val="center"/>
              <w:rPr>
                <w:color w:val="000000" w:themeColor="text1"/>
                <w:kern w:val="0"/>
                <w:sz w:val="18"/>
                <w:szCs w:val="18"/>
                <w14:textFill>
                  <w14:solidFill>
                    <w14:schemeClr w14:val="tx1"/>
                  </w14:solidFill>
                </w14:textFill>
              </w:rPr>
            </w:pPr>
          </w:p>
        </w:tc>
        <w:tc>
          <w:tcPr>
            <w:tcW w:w="1087" w:type="dxa"/>
            <w:vAlign w:val="center"/>
          </w:tcPr>
          <w:p>
            <w:pPr>
              <w:widowControl/>
              <w:jc w:val="center"/>
              <w:rPr>
                <w:color w:val="000000" w:themeColor="text1"/>
                <w:kern w:val="0"/>
                <w:sz w:val="18"/>
                <w:szCs w:val="18"/>
                <w14:textFill>
                  <w14:solidFill>
                    <w14:schemeClr w14:val="tx1"/>
                  </w14:solidFill>
                </w14:textFill>
              </w:rPr>
            </w:pPr>
          </w:p>
        </w:tc>
        <w:tc>
          <w:tcPr>
            <w:tcW w:w="909" w:type="dxa"/>
            <w:vAlign w:val="center"/>
          </w:tcPr>
          <w:p>
            <w:pPr>
              <w:widowControl/>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4</w:t>
            </w:r>
          </w:p>
        </w:tc>
        <w:tc>
          <w:tcPr>
            <w:tcW w:w="625" w:type="dxa"/>
            <w:vAlign w:val="center"/>
          </w:tcPr>
          <w:p>
            <w:pPr>
              <w:widowControl/>
              <w:jc w:val="center"/>
              <w:rPr>
                <w:color w:val="000000" w:themeColor="text1"/>
                <w:kern w:val="0"/>
                <w:sz w:val="18"/>
                <w:szCs w:val="18"/>
                <w14:textFill>
                  <w14:solidFill>
                    <w14:schemeClr w14:val="tx1"/>
                  </w14:solidFill>
                </w14:textFill>
              </w:rPr>
            </w:pPr>
          </w:p>
        </w:tc>
        <w:tc>
          <w:tcPr>
            <w:tcW w:w="910" w:type="dxa"/>
            <w:vAlign w:val="center"/>
          </w:tcPr>
          <w:p>
            <w:pPr>
              <w:widowControl/>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3</w:t>
            </w:r>
          </w:p>
        </w:tc>
        <w:tc>
          <w:tcPr>
            <w:tcW w:w="1029" w:type="dxa"/>
            <w:vAlign w:val="center"/>
          </w:tcPr>
          <w:p>
            <w:pPr>
              <w:widowControl/>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1</w:t>
            </w:r>
          </w:p>
        </w:tc>
        <w:tc>
          <w:tcPr>
            <w:tcW w:w="910" w:type="dxa"/>
            <w:vAlign w:val="center"/>
          </w:tcPr>
          <w:p>
            <w:pPr>
              <w:widowControl/>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2</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c>
          <w:tcPr>
            <w:tcW w:w="1216" w:type="dxa"/>
            <w:vAlign w:val="center"/>
          </w:tcPr>
          <w:p>
            <w:pPr>
              <w:widowControl/>
              <w:jc w:val="center"/>
              <w:rPr>
                <w:color w:val="000000" w:themeColor="text1"/>
                <w:kern w:val="0"/>
                <w:sz w:val="18"/>
                <w:szCs w:val="18"/>
                <w14:textFill>
                  <w14:solidFill>
                    <w14:schemeClr w14:val="tx1"/>
                  </w14:solidFill>
                </w14:textFill>
              </w:rPr>
            </w:pPr>
            <w:r>
              <w:rPr>
                <w:color w:val="000000" w:themeColor="text1"/>
                <w:kern w:val="0"/>
                <w:sz w:val="18"/>
                <w:szCs w:val="18"/>
                <w14:textFill>
                  <w14:solidFill>
                    <w14:schemeClr w14:val="tx1"/>
                  </w14:solidFill>
                </w14:textFill>
              </w:rPr>
              <w:t>防城港中燃船舶燃料供应公司</w:t>
            </w:r>
          </w:p>
        </w:tc>
        <w:tc>
          <w:tcPr>
            <w:tcW w:w="883" w:type="dxa"/>
            <w:vAlign w:val="center"/>
          </w:tcPr>
          <w:p>
            <w:pPr>
              <w:widowControl/>
              <w:jc w:val="center"/>
              <w:rPr>
                <w:color w:val="000000" w:themeColor="text1"/>
                <w:kern w:val="0"/>
                <w:sz w:val="18"/>
                <w:szCs w:val="18"/>
                <w14:textFill>
                  <w14:solidFill>
                    <w14:schemeClr w14:val="tx1"/>
                  </w14:solidFill>
                </w14:textFill>
              </w:rPr>
            </w:pPr>
          </w:p>
        </w:tc>
        <w:tc>
          <w:tcPr>
            <w:tcW w:w="789" w:type="dxa"/>
            <w:vAlign w:val="center"/>
          </w:tcPr>
          <w:p>
            <w:pPr>
              <w:widowControl/>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1500</w:t>
            </w:r>
          </w:p>
        </w:tc>
        <w:tc>
          <w:tcPr>
            <w:tcW w:w="1147" w:type="dxa"/>
            <w:vAlign w:val="center"/>
          </w:tcPr>
          <w:p>
            <w:pPr>
              <w:widowControl/>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2</w:t>
            </w:r>
          </w:p>
        </w:tc>
        <w:tc>
          <w:tcPr>
            <w:tcW w:w="909" w:type="dxa"/>
            <w:vAlign w:val="center"/>
          </w:tcPr>
          <w:p>
            <w:pPr>
              <w:widowControl/>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2</w:t>
            </w:r>
          </w:p>
        </w:tc>
        <w:tc>
          <w:tcPr>
            <w:tcW w:w="909" w:type="dxa"/>
            <w:vAlign w:val="center"/>
          </w:tcPr>
          <w:p>
            <w:pPr>
              <w:widowControl/>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1</w:t>
            </w:r>
          </w:p>
        </w:tc>
        <w:tc>
          <w:tcPr>
            <w:tcW w:w="942" w:type="dxa"/>
            <w:vAlign w:val="center"/>
          </w:tcPr>
          <w:p>
            <w:pPr>
              <w:widowControl/>
              <w:jc w:val="center"/>
              <w:rPr>
                <w:color w:val="000000" w:themeColor="text1"/>
                <w:kern w:val="0"/>
                <w:sz w:val="18"/>
                <w:szCs w:val="18"/>
                <w14:textFill>
                  <w14:solidFill>
                    <w14:schemeClr w14:val="tx1"/>
                  </w14:solidFill>
                </w14:textFill>
              </w:rPr>
            </w:pPr>
          </w:p>
        </w:tc>
        <w:tc>
          <w:tcPr>
            <w:tcW w:w="1002" w:type="dxa"/>
            <w:vAlign w:val="center"/>
          </w:tcPr>
          <w:p>
            <w:pPr>
              <w:widowControl/>
              <w:jc w:val="center"/>
              <w:rPr>
                <w:color w:val="000000" w:themeColor="text1"/>
                <w:kern w:val="0"/>
                <w:sz w:val="18"/>
                <w:szCs w:val="18"/>
                <w14:textFill>
                  <w14:solidFill>
                    <w14:schemeClr w14:val="tx1"/>
                  </w14:solidFill>
                </w14:textFill>
              </w:rPr>
            </w:pPr>
          </w:p>
        </w:tc>
        <w:tc>
          <w:tcPr>
            <w:tcW w:w="909" w:type="dxa"/>
            <w:vAlign w:val="center"/>
          </w:tcPr>
          <w:p>
            <w:pPr>
              <w:widowControl/>
              <w:jc w:val="center"/>
              <w:rPr>
                <w:color w:val="000000" w:themeColor="text1"/>
                <w:kern w:val="0"/>
                <w:sz w:val="18"/>
                <w:szCs w:val="18"/>
                <w14:textFill>
                  <w14:solidFill>
                    <w14:schemeClr w14:val="tx1"/>
                  </w14:solidFill>
                </w14:textFill>
              </w:rPr>
            </w:pPr>
          </w:p>
        </w:tc>
        <w:tc>
          <w:tcPr>
            <w:tcW w:w="1087" w:type="dxa"/>
            <w:vAlign w:val="center"/>
          </w:tcPr>
          <w:p>
            <w:pPr>
              <w:widowControl/>
              <w:jc w:val="center"/>
              <w:rPr>
                <w:color w:val="000000" w:themeColor="text1"/>
                <w:kern w:val="0"/>
                <w:sz w:val="18"/>
                <w:szCs w:val="18"/>
                <w14:textFill>
                  <w14:solidFill>
                    <w14:schemeClr w14:val="tx1"/>
                  </w14:solidFill>
                </w14:textFill>
              </w:rPr>
            </w:pPr>
          </w:p>
        </w:tc>
        <w:tc>
          <w:tcPr>
            <w:tcW w:w="909" w:type="dxa"/>
            <w:vAlign w:val="center"/>
          </w:tcPr>
          <w:p>
            <w:pPr>
              <w:widowControl/>
              <w:jc w:val="center"/>
              <w:rPr>
                <w:color w:val="000000" w:themeColor="text1"/>
                <w:kern w:val="0"/>
                <w:sz w:val="18"/>
                <w:szCs w:val="18"/>
                <w14:textFill>
                  <w14:solidFill>
                    <w14:schemeClr w14:val="tx1"/>
                  </w14:solidFill>
                </w14:textFill>
              </w:rPr>
            </w:pPr>
          </w:p>
        </w:tc>
        <w:tc>
          <w:tcPr>
            <w:tcW w:w="625" w:type="dxa"/>
            <w:vAlign w:val="center"/>
          </w:tcPr>
          <w:p>
            <w:pPr>
              <w:widowControl/>
              <w:jc w:val="center"/>
              <w:rPr>
                <w:color w:val="000000" w:themeColor="text1"/>
                <w:kern w:val="0"/>
                <w:sz w:val="18"/>
                <w:szCs w:val="18"/>
                <w14:textFill>
                  <w14:solidFill>
                    <w14:schemeClr w14:val="tx1"/>
                  </w14:solidFill>
                </w14:textFill>
              </w:rPr>
            </w:pPr>
          </w:p>
        </w:tc>
        <w:tc>
          <w:tcPr>
            <w:tcW w:w="910" w:type="dxa"/>
            <w:vAlign w:val="center"/>
          </w:tcPr>
          <w:p>
            <w:pPr>
              <w:widowControl/>
              <w:jc w:val="center"/>
              <w:rPr>
                <w:color w:val="000000" w:themeColor="text1"/>
                <w:kern w:val="0"/>
                <w:sz w:val="18"/>
                <w:szCs w:val="18"/>
                <w14:textFill>
                  <w14:solidFill>
                    <w14:schemeClr w14:val="tx1"/>
                  </w14:solidFill>
                </w14:textFill>
              </w:rPr>
            </w:pPr>
          </w:p>
        </w:tc>
        <w:tc>
          <w:tcPr>
            <w:tcW w:w="1029" w:type="dxa"/>
            <w:vAlign w:val="center"/>
          </w:tcPr>
          <w:p>
            <w:pPr>
              <w:widowControl/>
              <w:jc w:val="center"/>
              <w:rPr>
                <w:color w:val="000000" w:themeColor="text1"/>
                <w:kern w:val="0"/>
                <w:sz w:val="18"/>
                <w:szCs w:val="18"/>
                <w14:textFill>
                  <w14:solidFill>
                    <w14:schemeClr w14:val="tx1"/>
                  </w14:solidFill>
                </w14:textFill>
              </w:rPr>
            </w:pPr>
          </w:p>
        </w:tc>
        <w:tc>
          <w:tcPr>
            <w:tcW w:w="910" w:type="dxa"/>
            <w:vAlign w:val="center"/>
          </w:tcPr>
          <w:p>
            <w:pPr>
              <w:widowControl/>
              <w:jc w:val="center"/>
              <w:rPr>
                <w:color w:val="000000" w:themeColor="text1"/>
                <w:kern w:val="0"/>
                <w:sz w:val="18"/>
                <w:szCs w:val="18"/>
                <w14:textFill>
                  <w14:solidFill>
                    <w14:schemeClr w14:val="tx1"/>
                  </w14:solidFill>
                </w14:textFill>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c>
          <w:tcPr>
            <w:tcW w:w="1216" w:type="dxa"/>
            <w:vAlign w:val="center"/>
          </w:tcPr>
          <w:p>
            <w:pPr>
              <w:widowControl/>
              <w:jc w:val="center"/>
              <w:rPr>
                <w:color w:val="000000" w:themeColor="text1"/>
                <w:kern w:val="0"/>
                <w:sz w:val="18"/>
                <w:szCs w:val="18"/>
                <w14:textFill>
                  <w14:solidFill>
                    <w14:schemeClr w14:val="tx1"/>
                  </w14:solidFill>
                </w14:textFill>
              </w:rPr>
            </w:pPr>
            <w:r>
              <w:rPr>
                <w:color w:val="000000" w:themeColor="text1"/>
                <w:kern w:val="0"/>
                <w:sz w:val="18"/>
                <w:szCs w:val="18"/>
                <w14:textFill>
                  <w14:solidFill>
                    <w14:schemeClr w14:val="tx1"/>
                  </w14:solidFill>
                </w14:textFill>
              </w:rPr>
              <w:t>防城港恒创公司</w:t>
            </w:r>
          </w:p>
        </w:tc>
        <w:tc>
          <w:tcPr>
            <w:tcW w:w="883" w:type="dxa"/>
            <w:vAlign w:val="center"/>
          </w:tcPr>
          <w:p>
            <w:pPr>
              <w:widowControl/>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8800</w:t>
            </w:r>
          </w:p>
        </w:tc>
        <w:tc>
          <w:tcPr>
            <w:tcW w:w="789" w:type="dxa"/>
            <w:vAlign w:val="center"/>
          </w:tcPr>
          <w:p>
            <w:pPr>
              <w:widowControl/>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20000</w:t>
            </w:r>
          </w:p>
        </w:tc>
        <w:tc>
          <w:tcPr>
            <w:tcW w:w="1147" w:type="dxa"/>
            <w:vAlign w:val="center"/>
          </w:tcPr>
          <w:p>
            <w:pPr>
              <w:widowControl/>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10</w:t>
            </w:r>
          </w:p>
        </w:tc>
        <w:tc>
          <w:tcPr>
            <w:tcW w:w="909" w:type="dxa"/>
            <w:vAlign w:val="center"/>
          </w:tcPr>
          <w:p>
            <w:pPr>
              <w:widowControl/>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7</w:t>
            </w:r>
          </w:p>
        </w:tc>
        <w:tc>
          <w:tcPr>
            <w:tcW w:w="909" w:type="dxa"/>
            <w:vAlign w:val="center"/>
          </w:tcPr>
          <w:p>
            <w:pPr>
              <w:widowControl/>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12</w:t>
            </w:r>
          </w:p>
        </w:tc>
        <w:tc>
          <w:tcPr>
            <w:tcW w:w="942" w:type="dxa"/>
            <w:vAlign w:val="center"/>
          </w:tcPr>
          <w:p>
            <w:pPr>
              <w:widowControl/>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4000</w:t>
            </w:r>
          </w:p>
        </w:tc>
        <w:tc>
          <w:tcPr>
            <w:tcW w:w="1002" w:type="dxa"/>
            <w:vAlign w:val="center"/>
          </w:tcPr>
          <w:p>
            <w:pPr>
              <w:widowControl/>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1777m</w:t>
            </w:r>
            <w:r>
              <w:rPr>
                <w:rFonts w:hint="eastAsia"/>
                <w:color w:val="000000" w:themeColor="text1"/>
                <w:kern w:val="0"/>
                <w:sz w:val="18"/>
                <w:szCs w:val="18"/>
                <w:vertAlign w:val="superscript"/>
                <w14:textFill>
                  <w14:solidFill>
                    <w14:schemeClr w14:val="tx1"/>
                  </w14:solidFill>
                </w14:textFill>
              </w:rPr>
              <w:t>3</w:t>
            </w:r>
          </w:p>
        </w:tc>
        <w:tc>
          <w:tcPr>
            <w:tcW w:w="909" w:type="dxa"/>
            <w:vAlign w:val="center"/>
          </w:tcPr>
          <w:p>
            <w:pPr>
              <w:widowControl/>
              <w:jc w:val="center"/>
              <w:rPr>
                <w:color w:val="000000" w:themeColor="text1"/>
                <w:kern w:val="0"/>
                <w:sz w:val="18"/>
                <w:szCs w:val="18"/>
                <w14:textFill>
                  <w14:solidFill>
                    <w14:schemeClr w14:val="tx1"/>
                  </w14:solidFill>
                </w14:textFill>
              </w:rPr>
            </w:pPr>
          </w:p>
        </w:tc>
        <w:tc>
          <w:tcPr>
            <w:tcW w:w="1087" w:type="dxa"/>
            <w:vAlign w:val="center"/>
          </w:tcPr>
          <w:p>
            <w:pPr>
              <w:widowControl/>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1</w:t>
            </w:r>
          </w:p>
        </w:tc>
        <w:tc>
          <w:tcPr>
            <w:tcW w:w="909" w:type="dxa"/>
            <w:vAlign w:val="center"/>
          </w:tcPr>
          <w:p>
            <w:pPr>
              <w:widowControl/>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4</w:t>
            </w:r>
          </w:p>
        </w:tc>
        <w:tc>
          <w:tcPr>
            <w:tcW w:w="625" w:type="dxa"/>
            <w:vAlign w:val="center"/>
          </w:tcPr>
          <w:p>
            <w:pPr>
              <w:widowControl/>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6</w:t>
            </w:r>
          </w:p>
        </w:tc>
        <w:tc>
          <w:tcPr>
            <w:tcW w:w="910" w:type="dxa"/>
            <w:vAlign w:val="center"/>
          </w:tcPr>
          <w:p>
            <w:pPr>
              <w:widowControl/>
              <w:jc w:val="center"/>
              <w:rPr>
                <w:color w:val="000000" w:themeColor="text1"/>
                <w:kern w:val="0"/>
                <w:sz w:val="18"/>
                <w:szCs w:val="18"/>
                <w14:textFill>
                  <w14:solidFill>
                    <w14:schemeClr w14:val="tx1"/>
                  </w14:solidFill>
                </w14:textFill>
              </w:rPr>
            </w:pPr>
          </w:p>
        </w:tc>
        <w:tc>
          <w:tcPr>
            <w:tcW w:w="1029" w:type="dxa"/>
            <w:vAlign w:val="center"/>
          </w:tcPr>
          <w:p>
            <w:pPr>
              <w:widowControl/>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2</w:t>
            </w:r>
          </w:p>
        </w:tc>
        <w:tc>
          <w:tcPr>
            <w:tcW w:w="910" w:type="dxa"/>
            <w:vAlign w:val="center"/>
          </w:tcPr>
          <w:p>
            <w:pPr>
              <w:widowControl/>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8</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c>
          <w:tcPr>
            <w:tcW w:w="1216" w:type="dxa"/>
            <w:vAlign w:val="center"/>
          </w:tcPr>
          <w:p>
            <w:pPr>
              <w:widowControl/>
              <w:jc w:val="center"/>
              <w:rPr>
                <w:color w:val="000000" w:themeColor="text1"/>
                <w:kern w:val="0"/>
                <w:sz w:val="18"/>
                <w:szCs w:val="18"/>
                <w14:textFill>
                  <w14:solidFill>
                    <w14:schemeClr w14:val="tx1"/>
                  </w14:solidFill>
                </w14:textFill>
              </w:rPr>
            </w:pPr>
            <w:r>
              <w:rPr>
                <w:color w:val="000000" w:themeColor="text1"/>
                <w:kern w:val="0"/>
                <w:sz w:val="18"/>
                <w:szCs w:val="18"/>
                <w14:textFill>
                  <w14:solidFill>
                    <w14:schemeClr w14:val="tx1"/>
                  </w14:solidFill>
                </w14:textFill>
              </w:rPr>
              <w:t>防城港行球公司</w:t>
            </w:r>
          </w:p>
        </w:tc>
        <w:tc>
          <w:tcPr>
            <w:tcW w:w="883" w:type="dxa"/>
            <w:vAlign w:val="center"/>
          </w:tcPr>
          <w:p>
            <w:pPr>
              <w:widowControl/>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400</w:t>
            </w:r>
          </w:p>
        </w:tc>
        <w:tc>
          <w:tcPr>
            <w:tcW w:w="789" w:type="dxa"/>
            <w:vAlign w:val="center"/>
          </w:tcPr>
          <w:p>
            <w:pPr>
              <w:widowControl/>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2000</w:t>
            </w:r>
          </w:p>
        </w:tc>
        <w:tc>
          <w:tcPr>
            <w:tcW w:w="1147" w:type="dxa"/>
            <w:vAlign w:val="center"/>
          </w:tcPr>
          <w:p>
            <w:pPr>
              <w:widowControl/>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3</w:t>
            </w:r>
          </w:p>
        </w:tc>
        <w:tc>
          <w:tcPr>
            <w:tcW w:w="909" w:type="dxa"/>
            <w:vAlign w:val="center"/>
          </w:tcPr>
          <w:p>
            <w:pPr>
              <w:widowControl/>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1</w:t>
            </w:r>
          </w:p>
        </w:tc>
        <w:tc>
          <w:tcPr>
            <w:tcW w:w="909" w:type="dxa"/>
            <w:vAlign w:val="center"/>
          </w:tcPr>
          <w:p>
            <w:pPr>
              <w:widowControl/>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3</w:t>
            </w:r>
          </w:p>
        </w:tc>
        <w:tc>
          <w:tcPr>
            <w:tcW w:w="942" w:type="dxa"/>
            <w:vAlign w:val="center"/>
          </w:tcPr>
          <w:p>
            <w:pPr>
              <w:widowControl/>
              <w:jc w:val="center"/>
              <w:rPr>
                <w:color w:val="000000" w:themeColor="text1"/>
                <w:kern w:val="0"/>
                <w:sz w:val="18"/>
                <w:szCs w:val="18"/>
                <w14:textFill>
                  <w14:solidFill>
                    <w14:schemeClr w14:val="tx1"/>
                  </w14:solidFill>
                </w14:textFill>
              </w:rPr>
            </w:pPr>
          </w:p>
        </w:tc>
        <w:tc>
          <w:tcPr>
            <w:tcW w:w="1002" w:type="dxa"/>
            <w:vAlign w:val="center"/>
          </w:tcPr>
          <w:p>
            <w:pPr>
              <w:widowControl/>
              <w:jc w:val="center"/>
              <w:rPr>
                <w:color w:val="000000" w:themeColor="text1"/>
                <w:kern w:val="0"/>
                <w:sz w:val="18"/>
                <w:szCs w:val="18"/>
                <w14:textFill>
                  <w14:solidFill>
                    <w14:schemeClr w14:val="tx1"/>
                  </w14:solidFill>
                </w14:textFill>
              </w:rPr>
            </w:pPr>
          </w:p>
        </w:tc>
        <w:tc>
          <w:tcPr>
            <w:tcW w:w="909" w:type="dxa"/>
            <w:vAlign w:val="center"/>
          </w:tcPr>
          <w:p>
            <w:pPr>
              <w:widowControl/>
              <w:jc w:val="center"/>
              <w:rPr>
                <w:color w:val="000000" w:themeColor="text1"/>
                <w:kern w:val="0"/>
                <w:sz w:val="18"/>
                <w:szCs w:val="18"/>
                <w14:textFill>
                  <w14:solidFill>
                    <w14:schemeClr w14:val="tx1"/>
                  </w14:solidFill>
                </w14:textFill>
              </w:rPr>
            </w:pPr>
          </w:p>
        </w:tc>
        <w:tc>
          <w:tcPr>
            <w:tcW w:w="1087" w:type="dxa"/>
            <w:vAlign w:val="center"/>
          </w:tcPr>
          <w:p>
            <w:pPr>
              <w:widowControl/>
              <w:jc w:val="center"/>
              <w:rPr>
                <w:color w:val="000000" w:themeColor="text1"/>
                <w:kern w:val="0"/>
                <w:sz w:val="18"/>
                <w:szCs w:val="18"/>
                <w14:textFill>
                  <w14:solidFill>
                    <w14:schemeClr w14:val="tx1"/>
                  </w14:solidFill>
                </w14:textFill>
              </w:rPr>
            </w:pPr>
          </w:p>
        </w:tc>
        <w:tc>
          <w:tcPr>
            <w:tcW w:w="909" w:type="dxa"/>
            <w:vAlign w:val="center"/>
          </w:tcPr>
          <w:p>
            <w:pPr>
              <w:widowControl/>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3</w:t>
            </w:r>
          </w:p>
        </w:tc>
        <w:tc>
          <w:tcPr>
            <w:tcW w:w="625" w:type="dxa"/>
            <w:vAlign w:val="center"/>
          </w:tcPr>
          <w:p>
            <w:pPr>
              <w:widowControl/>
              <w:jc w:val="center"/>
              <w:rPr>
                <w:color w:val="000000" w:themeColor="text1"/>
                <w:kern w:val="0"/>
                <w:sz w:val="18"/>
                <w:szCs w:val="18"/>
                <w14:textFill>
                  <w14:solidFill>
                    <w14:schemeClr w14:val="tx1"/>
                  </w14:solidFill>
                </w14:textFill>
              </w:rPr>
            </w:pPr>
          </w:p>
        </w:tc>
        <w:tc>
          <w:tcPr>
            <w:tcW w:w="910" w:type="dxa"/>
            <w:vAlign w:val="center"/>
          </w:tcPr>
          <w:p>
            <w:pPr>
              <w:widowControl/>
              <w:jc w:val="center"/>
              <w:rPr>
                <w:color w:val="000000" w:themeColor="text1"/>
                <w:kern w:val="0"/>
                <w:sz w:val="18"/>
                <w:szCs w:val="18"/>
                <w14:textFill>
                  <w14:solidFill>
                    <w14:schemeClr w14:val="tx1"/>
                  </w14:solidFill>
                </w14:textFill>
              </w:rPr>
            </w:pPr>
          </w:p>
        </w:tc>
        <w:tc>
          <w:tcPr>
            <w:tcW w:w="1029" w:type="dxa"/>
            <w:vAlign w:val="center"/>
          </w:tcPr>
          <w:p>
            <w:pPr>
              <w:widowControl/>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1</w:t>
            </w:r>
          </w:p>
        </w:tc>
        <w:tc>
          <w:tcPr>
            <w:tcW w:w="910" w:type="dxa"/>
            <w:vAlign w:val="center"/>
          </w:tcPr>
          <w:p>
            <w:pPr>
              <w:widowControl/>
              <w:jc w:val="center"/>
              <w:rPr>
                <w:color w:val="000000" w:themeColor="text1"/>
                <w:kern w:val="0"/>
                <w:sz w:val="18"/>
                <w:szCs w:val="18"/>
                <w14:textFill>
                  <w14:solidFill>
                    <w14:schemeClr w14:val="tx1"/>
                  </w14:solidFill>
                </w14:textFill>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c>
          <w:tcPr>
            <w:tcW w:w="1216" w:type="dxa"/>
            <w:vAlign w:val="center"/>
          </w:tcPr>
          <w:p>
            <w:pPr>
              <w:widowControl/>
              <w:jc w:val="center"/>
              <w:rPr>
                <w:color w:val="000000" w:themeColor="text1"/>
                <w:kern w:val="0"/>
                <w:sz w:val="18"/>
                <w:szCs w:val="18"/>
                <w14:textFill>
                  <w14:solidFill>
                    <w14:schemeClr w14:val="tx1"/>
                  </w14:solidFill>
                </w14:textFill>
              </w:rPr>
            </w:pPr>
            <w:r>
              <w:rPr>
                <w:color w:val="000000" w:themeColor="text1"/>
                <w:kern w:val="0"/>
                <w:sz w:val="18"/>
                <w:szCs w:val="18"/>
                <w14:textFill>
                  <w14:solidFill>
                    <w14:schemeClr w14:val="tx1"/>
                  </w14:solidFill>
                </w14:textFill>
              </w:rPr>
              <w:t>广西北部湾港安船舶环保有限公司</w:t>
            </w:r>
          </w:p>
        </w:tc>
        <w:tc>
          <w:tcPr>
            <w:tcW w:w="883" w:type="dxa"/>
            <w:vAlign w:val="center"/>
          </w:tcPr>
          <w:p>
            <w:pPr>
              <w:widowControl/>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9400</w:t>
            </w:r>
          </w:p>
        </w:tc>
        <w:tc>
          <w:tcPr>
            <w:tcW w:w="789" w:type="dxa"/>
            <w:vAlign w:val="center"/>
          </w:tcPr>
          <w:p>
            <w:pPr>
              <w:widowControl/>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20000</w:t>
            </w:r>
          </w:p>
        </w:tc>
        <w:tc>
          <w:tcPr>
            <w:tcW w:w="1147" w:type="dxa"/>
            <w:vAlign w:val="center"/>
          </w:tcPr>
          <w:p>
            <w:pPr>
              <w:widowControl/>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12</w:t>
            </w:r>
          </w:p>
        </w:tc>
        <w:tc>
          <w:tcPr>
            <w:tcW w:w="909" w:type="dxa"/>
            <w:vAlign w:val="center"/>
          </w:tcPr>
          <w:p>
            <w:pPr>
              <w:widowControl/>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4</w:t>
            </w:r>
          </w:p>
        </w:tc>
        <w:tc>
          <w:tcPr>
            <w:tcW w:w="909" w:type="dxa"/>
            <w:vAlign w:val="center"/>
          </w:tcPr>
          <w:p>
            <w:pPr>
              <w:widowControl/>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12</w:t>
            </w:r>
          </w:p>
        </w:tc>
        <w:tc>
          <w:tcPr>
            <w:tcW w:w="942" w:type="dxa"/>
            <w:vAlign w:val="center"/>
          </w:tcPr>
          <w:p>
            <w:pPr>
              <w:widowControl/>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4000</w:t>
            </w:r>
          </w:p>
        </w:tc>
        <w:tc>
          <w:tcPr>
            <w:tcW w:w="1002" w:type="dxa"/>
            <w:vAlign w:val="center"/>
          </w:tcPr>
          <w:p>
            <w:pPr>
              <w:widowControl/>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2751.5m</w:t>
            </w:r>
            <w:r>
              <w:rPr>
                <w:rFonts w:hint="eastAsia"/>
                <w:color w:val="000000" w:themeColor="text1"/>
                <w:kern w:val="0"/>
                <w:sz w:val="18"/>
                <w:szCs w:val="18"/>
                <w:vertAlign w:val="superscript"/>
                <w14:textFill>
                  <w14:solidFill>
                    <w14:schemeClr w14:val="tx1"/>
                  </w14:solidFill>
                </w14:textFill>
              </w:rPr>
              <w:t>3</w:t>
            </w:r>
          </w:p>
        </w:tc>
        <w:tc>
          <w:tcPr>
            <w:tcW w:w="909" w:type="dxa"/>
            <w:vAlign w:val="center"/>
          </w:tcPr>
          <w:p>
            <w:pPr>
              <w:widowControl/>
              <w:jc w:val="center"/>
              <w:rPr>
                <w:color w:val="000000" w:themeColor="text1"/>
                <w:kern w:val="0"/>
                <w:sz w:val="18"/>
                <w:szCs w:val="18"/>
                <w14:textFill>
                  <w14:solidFill>
                    <w14:schemeClr w14:val="tx1"/>
                  </w14:solidFill>
                </w14:textFill>
              </w:rPr>
            </w:pPr>
          </w:p>
        </w:tc>
        <w:tc>
          <w:tcPr>
            <w:tcW w:w="1087" w:type="dxa"/>
            <w:vAlign w:val="center"/>
          </w:tcPr>
          <w:p>
            <w:pPr>
              <w:widowControl/>
              <w:jc w:val="center"/>
              <w:rPr>
                <w:color w:val="000000" w:themeColor="text1"/>
                <w:kern w:val="0"/>
                <w:sz w:val="18"/>
                <w:szCs w:val="18"/>
                <w14:textFill>
                  <w14:solidFill>
                    <w14:schemeClr w14:val="tx1"/>
                  </w14:solidFill>
                </w14:textFill>
              </w:rPr>
            </w:pPr>
          </w:p>
        </w:tc>
        <w:tc>
          <w:tcPr>
            <w:tcW w:w="909" w:type="dxa"/>
            <w:vAlign w:val="center"/>
          </w:tcPr>
          <w:p>
            <w:pPr>
              <w:widowControl/>
              <w:jc w:val="center"/>
              <w:rPr>
                <w:color w:val="000000" w:themeColor="text1"/>
                <w:kern w:val="0"/>
                <w:sz w:val="18"/>
                <w:szCs w:val="18"/>
                <w14:textFill>
                  <w14:solidFill>
                    <w14:schemeClr w14:val="tx1"/>
                  </w14:solidFill>
                </w14:textFill>
              </w:rPr>
            </w:pPr>
          </w:p>
        </w:tc>
        <w:tc>
          <w:tcPr>
            <w:tcW w:w="625" w:type="dxa"/>
            <w:vAlign w:val="center"/>
          </w:tcPr>
          <w:p>
            <w:pPr>
              <w:widowControl/>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6</w:t>
            </w:r>
          </w:p>
        </w:tc>
        <w:tc>
          <w:tcPr>
            <w:tcW w:w="910" w:type="dxa"/>
            <w:vAlign w:val="center"/>
          </w:tcPr>
          <w:p>
            <w:pPr>
              <w:widowControl/>
              <w:jc w:val="center"/>
              <w:rPr>
                <w:color w:val="000000" w:themeColor="text1"/>
                <w:kern w:val="0"/>
                <w:sz w:val="18"/>
                <w:szCs w:val="18"/>
                <w14:textFill>
                  <w14:solidFill>
                    <w14:schemeClr w14:val="tx1"/>
                  </w14:solidFill>
                </w14:textFill>
              </w:rPr>
            </w:pPr>
          </w:p>
        </w:tc>
        <w:tc>
          <w:tcPr>
            <w:tcW w:w="1029" w:type="dxa"/>
            <w:vAlign w:val="center"/>
          </w:tcPr>
          <w:p>
            <w:pPr>
              <w:widowControl/>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2</w:t>
            </w:r>
          </w:p>
        </w:tc>
        <w:tc>
          <w:tcPr>
            <w:tcW w:w="910" w:type="dxa"/>
            <w:vAlign w:val="center"/>
          </w:tcPr>
          <w:p>
            <w:pPr>
              <w:widowControl/>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12</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c>
          <w:tcPr>
            <w:tcW w:w="1216" w:type="dxa"/>
            <w:shd w:val="clear" w:color="auto" w:fill="BEBEBE" w:themeFill="background1" w:themeFillShade="BF"/>
            <w:vAlign w:val="center"/>
          </w:tcPr>
          <w:p>
            <w:pPr>
              <w:widowControl/>
              <w:jc w:val="center"/>
              <w:rPr>
                <w:color w:val="000000" w:themeColor="text1"/>
                <w:kern w:val="0"/>
                <w:sz w:val="18"/>
                <w:szCs w:val="18"/>
                <w14:textFill>
                  <w14:solidFill>
                    <w14:schemeClr w14:val="tx1"/>
                  </w14:solidFill>
                </w14:textFill>
              </w:rPr>
            </w:pPr>
            <w:r>
              <w:rPr>
                <w:color w:val="000000" w:themeColor="text1"/>
                <w:kern w:val="0"/>
                <w:sz w:val="18"/>
                <w:szCs w:val="18"/>
                <w14:textFill>
                  <w14:solidFill>
                    <w14:schemeClr w14:val="tx1"/>
                  </w14:solidFill>
                </w14:textFill>
              </w:rPr>
              <w:t>防城港企业小计</w:t>
            </w:r>
          </w:p>
        </w:tc>
        <w:tc>
          <w:tcPr>
            <w:tcW w:w="883" w:type="dxa"/>
            <w:shd w:val="clear" w:color="auto" w:fill="BEBEBE" w:themeFill="background1" w:themeFillShade="BF"/>
            <w:vAlign w:val="center"/>
          </w:tcPr>
          <w:p>
            <w:pPr>
              <w:widowControl/>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20430</w:t>
            </w:r>
          </w:p>
        </w:tc>
        <w:tc>
          <w:tcPr>
            <w:tcW w:w="789" w:type="dxa"/>
            <w:shd w:val="clear" w:color="auto" w:fill="BEBEBE" w:themeFill="background1" w:themeFillShade="BF"/>
            <w:vAlign w:val="center"/>
          </w:tcPr>
          <w:p>
            <w:pPr>
              <w:widowControl/>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45500</w:t>
            </w:r>
          </w:p>
        </w:tc>
        <w:tc>
          <w:tcPr>
            <w:tcW w:w="1147" w:type="dxa"/>
            <w:shd w:val="clear" w:color="auto" w:fill="BEBEBE" w:themeFill="background1" w:themeFillShade="BF"/>
            <w:vAlign w:val="center"/>
          </w:tcPr>
          <w:p>
            <w:pPr>
              <w:widowControl/>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29</w:t>
            </w:r>
          </w:p>
        </w:tc>
        <w:tc>
          <w:tcPr>
            <w:tcW w:w="909" w:type="dxa"/>
            <w:shd w:val="clear" w:color="auto" w:fill="BEBEBE" w:themeFill="background1" w:themeFillShade="BF"/>
            <w:vAlign w:val="center"/>
          </w:tcPr>
          <w:p>
            <w:pPr>
              <w:widowControl/>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17</w:t>
            </w:r>
          </w:p>
        </w:tc>
        <w:tc>
          <w:tcPr>
            <w:tcW w:w="909" w:type="dxa"/>
            <w:shd w:val="clear" w:color="auto" w:fill="BEBEBE" w:themeFill="background1" w:themeFillShade="BF"/>
            <w:vAlign w:val="center"/>
          </w:tcPr>
          <w:p>
            <w:pPr>
              <w:widowControl/>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33</w:t>
            </w:r>
          </w:p>
        </w:tc>
        <w:tc>
          <w:tcPr>
            <w:tcW w:w="942" w:type="dxa"/>
            <w:shd w:val="clear" w:color="auto" w:fill="BEBEBE" w:themeFill="background1" w:themeFillShade="BF"/>
            <w:vAlign w:val="center"/>
          </w:tcPr>
          <w:p>
            <w:pPr>
              <w:widowControl/>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8300</w:t>
            </w:r>
          </w:p>
        </w:tc>
        <w:tc>
          <w:tcPr>
            <w:tcW w:w="1002" w:type="dxa"/>
            <w:shd w:val="clear" w:color="auto" w:fill="BEBEBE" w:themeFill="background1" w:themeFillShade="BF"/>
            <w:vAlign w:val="center"/>
          </w:tcPr>
          <w:p>
            <w:pPr>
              <w:widowControl/>
              <w:jc w:val="center"/>
              <w:rPr>
                <w:color w:val="000000" w:themeColor="text1"/>
                <w:kern w:val="0"/>
                <w:sz w:val="18"/>
                <w:szCs w:val="18"/>
                <w14:textFill>
                  <w14:solidFill>
                    <w14:schemeClr w14:val="tx1"/>
                  </w14:solidFill>
                </w14:textFill>
              </w:rPr>
            </w:pPr>
          </w:p>
        </w:tc>
        <w:tc>
          <w:tcPr>
            <w:tcW w:w="909" w:type="dxa"/>
            <w:shd w:val="clear" w:color="auto" w:fill="BEBEBE" w:themeFill="background1" w:themeFillShade="BF"/>
            <w:vAlign w:val="center"/>
          </w:tcPr>
          <w:p>
            <w:pPr>
              <w:widowControl/>
              <w:jc w:val="center"/>
              <w:rPr>
                <w:color w:val="000000" w:themeColor="text1"/>
                <w:kern w:val="0"/>
                <w:sz w:val="18"/>
                <w:szCs w:val="18"/>
                <w14:textFill>
                  <w14:solidFill>
                    <w14:schemeClr w14:val="tx1"/>
                  </w14:solidFill>
                </w14:textFill>
              </w:rPr>
            </w:pPr>
          </w:p>
        </w:tc>
        <w:tc>
          <w:tcPr>
            <w:tcW w:w="1087" w:type="dxa"/>
            <w:shd w:val="clear" w:color="auto" w:fill="BEBEBE" w:themeFill="background1" w:themeFillShade="BF"/>
            <w:vAlign w:val="center"/>
          </w:tcPr>
          <w:p>
            <w:pPr>
              <w:widowControl/>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1</w:t>
            </w:r>
          </w:p>
        </w:tc>
        <w:tc>
          <w:tcPr>
            <w:tcW w:w="909" w:type="dxa"/>
            <w:shd w:val="clear" w:color="auto" w:fill="BEBEBE" w:themeFill="background1" w:themeFillShade="BF"/>
            <w:vAlign w:val="center"/>
          </w:tcPr>
          <w:p>
            <w:pPr>
              <w:widowControl/>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11</w:t>
            </w:r>
          </w:p>
        </w:tc>
        <w:tc>
          <w:tcPr>
            <w:tcW w:w="625" w:type="dxa"/>
            <w:shd w:val="clear" w:color="auto" w:fill="BEBEBE" w:themeFill="background1" w:themeFillShade="BF"/>
            <w:vAlign w:val="center"/>
          </w:tcPr>
          <w:p>
            <w:pPr>
              <w:widowControl/>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12</w:t>
            </w:r>
          </w:p>
        </w:tc>
        <w:tc>
          <w:tcPr>
            <w:tcW w:w="910" w:type="dxa"/>
            <w:shd w:val="clear" w:color="auto" w:fill="BEBEBE" w:themeFill="background1" w:themeFillShade="BF"/>
            <w:vAlign w:val="center"/>
          </w:tcPr>
          <w:p>
            <w:pPr>
              <w:widowControl/>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3</w:t>
            </w:r>
          </w:p>
        </w:tc>
        <w:tc>
          <w:tcPr>
            <w:tcW w:w="1029" w:type="dxa"/>
            <w:shd w:val="clear" w:color="auto" w:fill="BEBEBE" w:themeFill="background1" w:themeFillShade="BF"/>
            <w:vAlign w:val="center"/>
          </w:tcPr>
          <w:p>
            <w:pPr>
              <w:widowControl/>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6</w:t>
            </w:r>
          </w:p>
        </w:tc>
        <w:tc>
          <w:tcPr>
            <w:tcW w:w="910" w:type="dxa"/>
            <w:shd w:val="clear" w:color="auto" w:fill="BEBEBE" w:themeFill="background1" w:themeFillShade="BF"/>
            <w:vAlign w:val="center"/>
          </w:tcPr>
          <w:p>
            <w:pPr>
              <w:widowControl/>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23</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c>
          <w:tcPr>
            <w:tcW w:w="1216" w:type="dxa"/>
            <w:shd w:val="clear" w:color="auto" w:fill="BEBEBE" w:themeFill="background1" w:themeFillShade="BF"/>
            <w:vAlign w:val="center"/>
          </w:tcPr>
          <w:p>
            <w:pPr>
              <w:widowControl/>
              <w:jc w:val="center"/>
              <w:rPr>
                <w:color w:val="000000" w:themeColor="text1"/>
                <w:kern w:val="0"/>
                <w:sz w:val="18"/>
                <w:szCs w:val="18"/>
                <w14:textFill>
                  <w14:solidFill>
                    <w14:schemeClr w14:val="tx1"/>
                  </w14:solidFill>
                </w14:textFill>
              </w:rPr>
            </w:pPr>
            <w:r>
              <w:rPr>
                <w:color w:val="000000" w:themeColor="text1"/>
                <w:kern w:val="0"/>
                <w:sz w:val="18"/>
                <w:szCs w:val="18"/>
                <w14:textFill>
                  <w14:solidFill>
                    <w14:schemeClr w14:val="tx1"/>
                  </w14:solidFill>
                </w14:textFill>
              </w:rPr>
              <w:t>沿海企业小计</w:t>
            </w:r>
          </w:p>
        </w:tc>
        <w:tc>
          <w:tcPr>
            <w:tcW w:w="883" w:type="dxa"/>
            <w:shd w:val="clear" w:color="auto" w:fill="BEBEBE" w:themeFill="background1" w:themeFillShade="BF"/>
            <w:vAlign w:val="center"/>
          </w:tcPr>
          <w:p>
            <w:pPr>
              <w:widowControl/>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54690</w:t>
            </w:r>
          </w:p>
        </w:tc>
        <w:tc>
          <w:tcPr>
            <w:tcW w:w="789" w:type="dxa"/>
            <w:shd w:val="clear" w:color="auto" w:fill="BEBEBE" w:themeFill="background1" w:themeFillShade="BF"/>
            <w:vAlign w:val="center"/>
          </w:tcPr>
          <w:p>
            <w:pPr>
              <w:widowControl/>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114000</w:t>
            </w:r>
          </w:p>
        </w:tc>
        <w:tc>
          <w:tcPr>
            <w:tcW w:w="1147" w:type="dxa"/>
            <w:shd w:val="clear" w:color="auto" w:fill="BEBEBE" w:themeFill="background1" w:themeFillShade="BF"/>
            <w:vAlign w:val="center"/>
          </w:tcPr>
          <w:p>
            <w:pPr>
              <w:widowControl/>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72</w:t>
            </w:r>
          </w:p>
        </w:tc>
        <w:tc>
          <w:tcPr>
            <w:tcW w:w="909" w:type="dxa"/>
            <w:shd w:val="clear" w:color="auto" w:fill="BEBEBE" w:themeFill="background1" w:themeFillShade="BF"/>
            <w:vAlign w:val="center"/>
          </w:tcPr>
          <w:p>
            <w:pPr>
              <w:widowControl/>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47</w:t>
            </w:r>
          </w:p>
        </w:tc>
        <w:tc>
          <w:tcPr>
            <w:tcW w:w="909" w:type="dxa"/>
            <w:shd w:val="clear" w:color="auto" w:fill="BEBEBE" w:themeFill="background1" w:themeFillShade="BF"/>
            <w:vAlign w:val="center"/>
          </w:tcPr>
          <w:p>
            <w:pPr>
              <w:widowControl/>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81.2</w:t>
            </w:r>
          </w:p>
        </w:tc>
        <w:tc>
          <w:tcPr>
            <w:tcW w:w="942" w:type="dxa"/>
            <w:shd w:val="clear" w:color="auto" w:fill="BEBEBE" w:themeFill="background1" w:themeFillShade="BF"/>
            <w:vAlign w:val="center"/>
          </w:tcPr>
          <w:p>
            <w:pPr>
              <w:widowControl/>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21300</w:t>
            </w:r>
          </w:p>
        </w:tc>
        <w:tc>
          <w:tcPr>
            <w:tcW w:w="1002" w:type="dxa"/>
            <w:shd w:val="clear" w:color="auto" w:fill="BEBEBE" w:themeFill="background1" w:themeFillShade="BF"/>
            <w:vAlign w:val="center"/>
          </w:tcPr>
          <w:p>
            <w:pPr>
              <w:widowControl/>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16</w:t>
            </w:r>
          </w:p>
        </w:tc>
        <w:tc>
          <w:tcPr>
            <w:tcW w:w="909" w:type="dxa"/>
            <w:shd w:val="clear" w:color="auto" w:fill="BEBEBE" w:themeFill="background1" w:themeFillShade="BF"/>
            <w:vAlign w:val="center"/>
          </w:tcPr>
          <w:p>
            <w:pPr>
              <w:widowControl/>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2</w:t>
            </w:r>
          </w:p>
        </w:tc>
        <w:tc>
          <w:tcPr>
            <w:tcW w:w="1087" w:type="dxa"/>
            <w:shd w:val="clear" w:color="auto" w:fill="BEBEBE" w:themeFill="background1" w:themeFillShade="BF"/>
            <w:vAlign w:val="center"/>
          </w:tcPr>
          <w:p>
            <w:pPr>
              <w:widowControl/>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1</w:t>
            </w:r>
          </w:p>
        </w:tc>
        <w:tc>
          <w:tcPr>
            <w:tcW w:w="909" w:type="dxa"/>
            <w:shd w:val="clear" w:color="auto" w:fill="BEBEBE" w:themeFill="background1" w:themeFillShade="BF"/>
            <w:vAlign w:val="center"/>
          </w:tcPr>
          <w:p>
            <w:pPr>
              <w:widowControl/>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19</w:t>
            </w:r>
          </w:p>
        </w:tc>
        <w:tc>
          <w:tcPr>
            <w:tcW w:w="625" w:type="dxa"/>
            <w:shd w:val="clear" w:color="auto" w:fill="BEBEBE" w:themeFill="background1" w:themeFillShade="BF"/>
            <w:vAlign w:val="center"/>
          </w:tcPr>
          <w:p>
            <w:pPr>
              <w:widowControl/>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30</w:t>
            </w:r>
          </w:p>
        </w:tc>
        <w:tc>
          <w:tcPr>
            <w:tcW w:w="910" w:type="dxa"/>
            <w:shd w:val="clear" w:color="auto" w:fill="BEBEBE" w:themeFill="background1" w:themeFillShade="BF"/>
            <w:vAlign w:val="center"/>
          </w:tcPr>
          <w:p>
            <w:pPr>
              <w:widowControl/>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3</w:t>
            </w:r>
          </w:p>
        </w:tc>
        <w:tc>
          <w:tcPr>
            <w:tcW w:w="1029" w:type="dxa"/>
            <w:shd w:val="clear" w:color="auto" w:fill="BEBEBE" w:themeFill="background1" w:themeFillShade="BF"/>
            <w:vAlign w:val="center"/>
          </w:tcPr>
          <w:p>
            <w:pPr>
              <w:widowControl/>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12</w:t>
            </w:r>
          </w:p>
        </w:tc>
        <w:tc>
          <w:tcPr>
            <w:tcW w:w="910" w:type="dxa"/>
            <w:shd w:val="clear" w:color="auto" w:fill="BEBEBE" w:themeFill="background1" w:themeFillShade="BF"/>
            <w:vAlign w:val="center"/>
          </w:tcPr>
          <w:p>
            <w:pPr>
              <w:widowControl/>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54</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c>
          <w:tcPr>
            <w:tcW w:w="1216" w:type="dxa"/>
            <w:shd w:val="clear" w:color="auto" w:fill="BEBEBE" w:themeFill="background1" w:themeFillShade="BF"/>
            <w:vAlign w:val="center"/>
          </w:tcPr>
          <w:p>
            <w:pPr>
              <w:widowControl/>
              <w:jc w:val="center"/>
              <w:rPr>
                <w:color w:val="000000" w:themeColor="text1"/>
                <w:kern w:val="0"/>
                <w:sz w:val="18"/>
                <w:szCs w:val="18"/>
                <w14:textFill>
                  <w14:solidFill>
                    <w14:schemeClr w14:val="tx1"/>
                  </w14:solidFill>
                </w14:textFill>
              </w:rPr>
            </w:pPr>
            <w:r>
              <w:rPr>
                <w:color w:val="000000" w:themeColor="text1"/>
                <w:kern w:val="0"/>
                <w:sz w:val="18"/>
                <w:szCs w:val="18"/>
                <w14:textFill>
                  <w14:solidFill>
                    <w14:schemeClr w14:val="tx1"/>
                  </w14:solidFill>
                </w14:textFill>
              </w:rPr>
              <w:t>总计</w:t>
            </w:r>
          </w:p>
        </w:tc>
        <w:tc>
          <w:tcPr>
            <w:tcW w:w="883" w:type="dxa"/>
            <w:shd w:val="clear" w:color="auto" w:fill="BEBEBE" w:themeFill="background1" w:themeFillShade="BF"/>
            <w:vAlign w:val="center"/>
          </w:tcPr>
          <w:p>
            <w:pPr>
              <w:widowControl/>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58630</w:t>
            </w:r>
          </w:p>
        </w:tc>
        <w:tc>
          <w:tcPr>
            <w:tcW w:w="789" w:type="dxa"/>
            <w:shd w:val="clear" w:color="auto" w:fill="BEBEBE" w:themeFill="background1" w:themeFillShade="BF"/>
            <w:vAlign w:val="center"/>
          </w:tcPr>
          <w:p>
            <w:pPr>
              <w:widowControl/>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114000</w:t>
            </w:r>
          </w:p>
        </w:tc>
        <w:tc>
          <w:tcPr>
            <w:tcW w:w="1147" w:type="dxa"/>
            <w:shd w:val="clear" w:color="auto" w:fill="BEBEBE" w:themeFill="background1" w:themeFillShade="BF"/>
            <w:vAlign w:val="center"/>
          </w:tcPr>
          <w:p>
            <w:pPr>
              <w:widowControl/>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72</w:t>
            </w:r>
          </w:p>
        </w:tc>
        <w:tc>
          <w:tcPr>
            <w:tcW w:w="909" w:type="dxa"/>
            <w:shd w:val="clear" w:color="auto" w:fill="BEBEBE" w:themeFill="background1" w:themeFillShade="BF"/>
            <w:vAlign w:val="center"/>
          </w:tcPr>
          <w:p>
            <w:pPr>
              <w:widowControl/>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51</w:t>
            </w:r>
          </w:p>
        </w:tc>
        <w:tc>
          <w:tcPr>
            <w:tcW w:w="909" w:type="dxa"/>
            <w:shd w:val="clear" w:color="auto" w:fill="BEBEBE" w:themeFill="background1" w:themeFillShade="BF"/>
            <w:vAlign w:val="center"/>
          </w:tcPr>
          <w:p>
            <w:pPr>
              <w:widowControl/>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108.2</w:t>
            </w:r>
          </w:p>
        </w:tc>
        <w:tc>
          <w:tcPr>
            <w:tcW w:w="942" w:type="dxa"/>
            <w:shd w:val="clear" w:color="auto" w:fill="BEBEBE" w:themeFill="background1" w:themeFillShade="BF"/>
            <w:vAlign w:val="center"/>
          </w:tcPr>
          <w:p>
            <w:pPr>
              <w:widowControl/>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26900</w:t>
            </w:r>
          </w:p>
        </w:tc>
        <w:tc>
          <w:tcPr>
            <w:tcW w:w="1002" w:type="dxa"/>
            <w:shd w:val="clear" w:color="auto" w:fill="BEBEBE" w:themeFill="background1" w:themeFillShade="BF"/>
            <w:vAlign w:val="center"/>
          </w:tcPr>
          <w:p>
            <w:pPr>
              <w:widowControl/>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16</w:t>
            </w:r>
          </w:p>
        </w:tc>
        <w:tc>
          <w:tcPr>
            <w:tcW w:w="909" w:type="dxa"/>
            <w:shd w:val="clear" w:color="auto" w:fill="BEBEBE" w:themeFill="background1" w:themeFillShade="BF"/>
            <w:vAlign w:val="center"/>
          </w:tcPr>
          <w:p>
            <w:pPr>
              <w:widowControl/>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2</w:t>
            </w:r>
          </w:p>
        </w:tc>
        <w:tc>
          <w:tcPr>
            <w:tcW w:w="1087" w:type="dxa"/>
            <w:shd w:val="clear" w:color="auto" w:fill="BEBEBE" w:themeFill="background1" w:themeFillShade="BF"/>
            <w:vAlign w:val="center"/>
          </w:tcPr>
          <w:p>
            <w:pPr>
              <w:widowControl/>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1</w:t>
            </w:r>
          </w:p>
        </w:tc>
        <w:tc>
          <w:tcPr>
            <w:tcW w:w="909" w:type="dxa"/>
            <w:shd w:val="clear" w:color="auto" w:fill="BEBEBE" w:themeFill="background1" w:themeFillShade="BF"/>
            <w:vAlign w:val="center"/>
          </w:tcPr>
          <w:p>
            <w:pPr>
              <w:widowControl/>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19</w:t>
            </w:r>
          </w:p>
        </w:tc>
        <w:tc>
          <w:tcPr>
            <w:tcW w:w="625" w:type="dxa"/>
            <w:shd w:val="clear" w:color="auto" w:fill="BEBEBE" w:themeFill="background1" w:themeFillShade="BF"/>
            <w:vAlign w:val="center"/>
          </w:tcPr>
          <w:p>
            <w:pPr>
              <w:widowControl/>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30</w:t>
            </w:r>
          </w:p>
        </w:tc>
        <w:tc>
          <w:tcPr>
            <w:tcW w:w="910" w:type="dxa"/>
            <w:shd w:val="clear" w:color="auto" w:fill="BEBEBE" w:themeFill="background1" w:themeFillShade="BF"/>
            <w:vAlign w:val="center"/>
          </w:tcPr>
          <w:p>
            <w:pPr>
              <w:widowControl/>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3</w:t>
            </w:r>
          </w:p>
        </w:tc>
        <w:tc>
          <w:tcPr>
            <w:tcW w:w="1029" w:type="dxa"/>
            <w:shd w:val="clear" w:color="auto" w:fill="BEBEBE" w:themeFill="background1" w:themeFillShade="BF"/>
            <w:vAlign w:val="center"/>
          </w:tcPr>
          <w:p>
            <w:pPr>
              <w:widowControl/>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12</w:t>
            </w:r>
          </w:p>
        </w:tc>
        <w:tc>
          <w:tcPr>
            <w:tcW w:w="910" w:type="dxa"/>
            <w:shd w:val="clear" w:color="auto" w:fill="BEBEBE" w:themeFill="background1" w:themeFillShade="BF"/>
            <w:vAlign w:val="center"/>
          </w:tcPr>
          <w:p>
            <w:pPr>
              <w:widowControl/>
              <w:jc w:val="center"/>
              <w:rPr>
                <w:color w:val="000000" w:themeColor="text1"/>
                <w:kern w:val="0"/>
                <w:sz w:val="18"/>
                <w:szCs w:val="18"/>
                <w14:textFill>
                  <w14:solidFill>
                    <w14:schemeClr w14:val="tx1"/>
                  </w14:solidFill>
                </w14:textFill>
              </w:rPr>
            </w:pPr>
            <w:r>
              <w:rPr>
                <w:rFonts w:hint="eastAsia"/>
                <w:color w:val="000000" w:themeColor="text1"/>
                <w:kern w:val="0"/>
                <w:sz w:val="18"/>
                <w:szCs w:val="18"/>
                <w14:textFill>
                  <w14:solidFill>
                    <w14:schemeClr w14:val="tx1"/>
                  </w14:solidFill>
                </w14:textFill>
              </w:rPr>
              <w:t>54</w:t>
            </w:r>
          </w:p>
        </w:tc>
      </w:tr>
    </w:tbl>
    <w:p>
      <w:pPr>
        <w:pStyle w:val="384"/>
        <w:numPr>
          <w:ilvl w:val="0"/>
          <w:numId w:val="0"/>
        </w:numPr>
        <w:rPr>
          <w:rFonts w:cs="Times New Roman"/>
          <w:color w:val="000000" w:themeColor="text1"/>
          <w14:textFill>
            <w14:solidFill>
              <w14:schemeClr w14:val="tx1"/>
            </w14:solidFill>
          </w14:textFill>
        </w:rPr>
      </w:pPr>
    </w:p>
    <w:p>
      <w:pPr>
        <w:widowControl/>
        <w:jc w:val="center"/>
        <w:rPr>
          <w:rFonts w:eastAsia="黑体"/>
          <w:b/>
          <w:bCs/>
          <w:color w:val="000000" w:themeColor="text1"/>
          <w:sz w:val="30"/>
          <w:szCs w:val="28"/>
          <w14:textFill>
            <w14:solidFill>
              <w14:schemeClr w14:val="tx1"/>
            </w14:solidFill>
          </w14:textFill>
        </w:rPr>
      </w:pPr>
    </w:p>
    <w:p>
      <w:pPr>
        <w:widowControl/>
        <w:spacing w:line="240" w:lineRule="atLeast"/>
        <w:jc w:val="left"/>
        <w:rPr>
          <w:rFonts w:eastAsia="黑体"/>
          <w:b/>
          <w:bCs/>
          <w:color w:val="000000" w:themeColor="text1"/>
          <w:sz w:val="30"/>
          <w:szCs w:val="28"/>
          <w14:textFill>
            <w14:solidFill>
              <w14:schemeClr w14:val="tx1"/>
            </w14:solidFill>
          </w14:textFill>
        </w:rPr>
      </w:pPr>
    </w:p>
    <w:p>
      <w:pPr>
        <w:widowControl/>
        <w:spacing w:line="240" w:lineRule="atLeast"/>
        <w:jc w:val="left"/>
        <w:rPr>
          <w:rFonts w:eastAsia="黑体"/>
          <w:b/>
          <w:bCs/>
          <w:color w:val="000000" w:themeColor="text1"/>
          <w:sz w:val="30"/>
          <w:szCs w:val="28"/>
          <w14:textFill>
            <w14:solidFill>
              <w14:schemeClr w14:val="tx1"/>
            </w14:solidFill>
          </w14:textFill>
        </w:rPr>
      </w:pPr>
    </w:p>
    <w:p>
      <w:pPr>
        <w:pStyle w:val="5"/>
        <w:rPr>
          <w:color w:val="000000" w:themeColor="text1"/>
          <w14:textFill>
            <w14:solidFill>
              <w14:schemeClr w14:val="tx1"/>
            </w14:solidFill>
          </w14:textFill>
        </w:rPr>
        <w:sectPr>
          <w:pgSz w:w="16840" w:h="11907" w:orient="landscape"/>
          <w:pgMar w:top="1797" w:right="1440" w:bottom="1514" w:left="1440" w:header="992" w:footer="851" w:gutter="284"/>
          <w:pgNumType w:fmt="numberInDash"/>
          <w:cols w:space="425" w:num="1"/>
          <w:docGrid w:type="lines" w:linePitch="465" w:charSpace="-4355"/>
        </w:sectPr>
      </w:pPr>
    </w:p>
    <w:p>
      <w:pPr>
        <w:pStyle w:val="5"/>
        <w:rPr>
          <w:color w:val="000000" w:themeColor="text1"/>
          <w14:textFill>
            <w14:solidFill>
              <w14:schemeClr w14:val="tx1"/>
            </w14:solidFill>
          </w14:textFill>
        </w:rPr>
      </w:pPr>
      <w:r>
        <w:rPr>
          <w:color w:val="000000" w:themeColor="text1"/>
          <w14:textFill>
            <w14:solidFill>
              <w14:schemeClr w14:val="tx1"/>
            </w14:solidFill>
          </w14:textFill>
        </w:rPr>
        <w:t>风险防范对策措施</w:t>
      </w:r>
    </w:p>
    <w:p>
      <w:pPr>
        <w:pStyle w:val="6"/>
        <w:rPr>
          <w:color w:val="000000" w:themeColor="text1"/>
          <w14:textFill>
            <w14:solidFill>
              <w14:schemeClr w14:val="tx1"/>
            </w14:solidFill>
          </w14:textFill>
        </w:rPr>
      </w:pPr>
      <w:r>
        <w:rPr>
          <w:color w:val="000000" w:themeColor="text1"/>
          <w14:textFill>
            <w14:solidFill>
              <w14:schemeClr w14:val="tx1"/>
            </w14:solidFill>
          </w14:textFill>
        </w:rPr>
        <w:t>风险防范等级</w:t>
      </w:r>
    </w:p>
    <w:p>
      <w:pPr>
        <w:pStyle w:val="283"/>
        <w:rPr>
          <w:color w:val="000000" w:themeColor="text1"/>
          <w14:textFill>
            <w14:solidFill>
              <w14:schemeClr w14:val="tx1"/>
            </w14:solidFill>
          </w14:textFill>
        </w:rPr>
      </w:pPr>
      <w:r>
        <w:rPr>
          <w:color w:val="000000" w:themeColor="text1"/>
          <w14:textFill>
            <w14:solidFill>
              <w14:schemeClr w14:val="tx1"/>
            </w14:solidFill>
          </w14:textFill>
        </w:rPr>
        <w:t>根据广泛采用的风险等级评价方法，即：风险（等级）的大小为发生风险的概率与风险后果的乘积。表4.</w:t>
      </w:r>
      <w:r>
        <w:rPr>
          <w:rFonts w:hint="eastAsia"/>
          <w:color w:val="000000" w:themeColor="text1"/>
          <w14:textFill>
            <w14:solidFill>
              <w14:schemeClr w14:val="tx1"/>
            </w14:solidFill>
          </w14:textFill>
        </w:rPr>
        <w:t>6</w:t>
      </w:r>
      <w:r>
        <w:rPr>
          <w:color w:val="000000" w:themeColor="text1"/>
          <w14:textFill>
            <w14:solidFill>
              <w14:schemeClr w14:val="tx1"/>
            </w14:solidFill>
          </w14:textFill>
        </w:rPr>
        <w:t>-1</w:t>
      </w:r>
      <w:r>
        <w:rPr>
          <w:rFonts w:hint="eastAsia"/>
          <w:color w:val="000000" w:themeColor="text1"/>
          <w14:textFill>
            <w14:solidFill>
              <w14:schemeClr w14:val="tx1"/>
            </w14:solidFill>
          </w14:textFill>
        </w:rPr>
        <w:t>8</w:t>
      </w:r>
      <w:r>
        <w:rPr>
          <w:color w:val="000000" w:themeColor="text1"/>
          <w14:textFill>
            <w14:solidFill>
              <w14:schemeClr w14:val="tx1"/>
            </w14:solidFill>
          </w14:textFill>
        </w:rPr>
        <w:t>是《海上溢油风险评价与反应防备评估手册》对风险等级的量化，利用前面对事故概率及事故后果的分析，计算风险等级。</w:t>
      </w:r>
    </w:p>
    <w:p>
      <w:pPr>
        <w:pStyle w:val="283"/>
        <w:rPr>
          <w:color w:val="000000" w:themeColor="text1"/>
          <w14:textFill>
            <w14:solidFill>
              <w14:schemeClr w14:val="tx1"/>
            </w14:solidFill>
          </w14:textFill>
        </w:rPr>
      </w:pPr>
      <w:r>
        <w:rPr>
          <w:color w:val="000000" w:themeColor="text1"/>
          <w14:textFill>
            <w14:solidFill>
              <w14:schemeClr w14:val="tx1"/>
            </w14:solidFill>
          </w14:textFill>
        </w:rPr>
        <w:t>风险（RISK） = 概率（Probability） × 后果（Consequence）</w:t>
      </w:r>
    </w:p>
    <w:p>
      <w:pPr>
        <w:pStyle w:val="384"/>
        <w:ind w:left="0" w:firstLine="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风险等级评价体系</w:t>
      </w:r>
    </w:p>
    <w:p>
      <w:pPr>
        <w:pStyle w:val="283"/>
        <w:rPr>
          <w:color w:val="000000" w:themeColor="text1"/>
          <w14:textFill>
            <w14:solidFill>
              <w14:schemeClr w14:val="tx1"/>
            </w14:solidFill>
          </w14:textFill>
        </w:rPr>
      </w:pPr>
      <w:r>
        <w:rPr>
          <w:color w:val="000000" w:themeColor="text1"/>
          <w14:textFill>
            <w14:solidFill>
              <w14:schemeClr w14:val="tx1"/>
            </w14:solidFill>
          </w14:textFill>
        </w:rPr>
        <w:drawing>
          <wp:inline distT="0" distB="0" distL="0" distR="0">
            <wp:extent cx="5013960" cy="3261360"/>
            <wp:effectExtent l="0" t="0" r="0" b="0"/>
            <wp:docPr id="59"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0"/>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a:xfrm>
                      <a:off x="0" y="0"/>
                      <a:ext cx="5013960" cy="3261360"/>
                    </a:xfrm>
                    <a:prstGeom prst="rect">
                      <a:avLst/>
                    </a:prstGeom>
                    <a:noFill/>
                    <a:ln>
                      <a:noFill/>
                    </a:ln>
                  </pic:spPr>
                </pic:pic>
              </a:graphicData>
            </a:graphic>
          </wp:inline>
        </w:drawing>
      </w:r>
    </w:p>
    <w:p>
      <w:pPr>
        <w:pStyle w:val="283"/>
        <w:rPr>
          <w:color w:val="000000" w:themeColor="text1"/>
          <w14:textFill>
            <w14:solidFill>
              <w14:schemeClr w14:val="tx1"/>
            </w14:solidFill>
          </w14:textFill>
        </w:rPr>
      </w:pPr>
      <w:r>
        <w:rPr>
          <w:color w:val="000000" w:themeColor="text1"/>
          <w14:textFill>
            <w14:solidFill>
              <w14:schemeClr w14:val="tx1"/>
            </w14:solidFill>
          </w14:textFill>
        </w:rPr>
        <w:t>根据上述风险事故评价指标体系，本工程码头前沿操作性溢油事故风险等级最</w:t>
      </w:r>
      <w:r>
        <w:rPr>
          <w:rFonts w:hint="eastAsia"/>
          <w:color w:val="000000" w:themeColor="text1"/>
          <w14:textFill>
            <w14:solidFill>
              <w14:schemeClr w14:val="tx1"/>
            </w14:solidFill>
          </w14:textFill>
        </w:rPr>
        <w:t>高</w:t>
      </w:r>
      <w:r>
        <w:rPr>
          <w:color w:val="000000" w:themeColor="text1"/>
          <w14:textFill>
            <w14:solidFill>
              <w14:schemeClr w14:val="tx1"/>
            </w14:solidFill>
          </w14:textFill>
        </w:rPr>
        <w:t>为中等风险。</w:t>
      </w:r>
    </w:p>
    <w:p>
      <w:pPr>
        <w:pStyle w:val="283"/>
        <w:rPr>
          <w:color w:val="000000" w:themeColor="text1"/>
          <w14:textFill>
            <w14:solidFill>
              <w14:schemeClr w14:val="tx1"/>
            </w14:solidFill>
          </w14:textFill>
        </w:rPr>
      </w:pPr>
      <w:r>
        <w:rPr>
          <w:color w:val="000000" w:themeColor="text1"/>
          <w14:textFill>
            <w14:solidFill>
              <w14:schemeClr w14:val="tx1"/>
            </w14:solidFill>
          </w14:textFill>
        </w:rPr>
        <w:t>可见，对于本工程码头前沿操作性溢油事故，应该做出减少风险的行动，但预算成本需要仔细测定，应在一定时间范围内进行。</w:t>
      </w:r>
    </w:p>
    <w:p>
      <w:pPr>
        <w:pStyle w:val="384"/>
        <w:ind w:left="0" w:firstLine="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风险等级和需要采取的行动</w:t>
      </w:r>
    </w:p>
    <w:tbl>
      <w:tblPr>
        <w:tblStyle w:val="88"/>
        <w:tblW w:w="8528" w:type="dxa"/>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310"/>
        <w:gridCol w:w="7218"/>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253" w:hRule="atLeast"/>
        </w:trPr>
        <w:tc>
          <w:tcPr>
            <w:tcW w:w="1310" w:type="dxa"/>
            <w:shd w:val="clear" w:color="auto" w:fill="auto"/>
            <w:vAlign w:val="center"/>
          </w:tcPr>
          <w:p>
            <w:pPr>
              <w:pStyle w:val="2001"/>
            </w:pPr>
            <w:r>
              <w:t>风险等级</w:t>
            </w:r>
          </w:p>
        </w:tc>
        <w:tc>
          <w:tcPr>
            <w:tcW w:w="7218" w:type="dxa"/>
            <w:shd w:val="clear" w:color="auto" w:fill="auto"/>
            <w:vAlign w:val="center"/>
          </w:tcPr>
          <w:p>
            <w:pPr>
              <w:pStyle w:val="2001"/>
            </w:pPr>
            <w:r>
              <w:t>降低风险的行动与时间尺度</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388" w:hRule="atLeast"/>
        </w:trPr>
        <w:tc>
          <w:tcPr>
            <w:tcW w:w="1310" w:type="dxa"/>
            <w:shd w:val="clear" w:color="auto" w:fill="auto"/>
            <w:vAlign w:val="center"/>
          </w:tcPr>
          <w:p>
            <w:pPr>
              <w:pStyle w:val="2001"/>
            </w:pPr>
            <w:r>
              <w:t>低风险</w:t>
            </w:r>
          </w:p>
        </w:tc>
        <w:tc>
          <w:tcPr>
            <w:tcW w:w="7218" w:type="dxa"/>
            <w:shd w:val="clear" w:color="auto" w:fill="auto"/>
            <w:vAlign w:val="center"/>
          </w:tcPr>
          <w:p>
            <w:pPr>
              <w:pStyle w:val="2001"/>
            </w:pPr>
            <w:r>
              <w:t>多数情况下不需要控制，有时可考虑采取可行的行动方案，但需跟踪监测，以保证能够控制风险水平</w:t>
            </w:r>
            <w:r>
              <w:rPr>
                <w:rFonts w:hint="eastAsia"/>
              </w:rPr>
              <w:t>不致</w:t>
            </w:r>
            <w:r>
              <w:t>扩大</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253" w:hRule="atLeast"/>
        </w:trPr>
        <w:tc>
          <w:tcPr>
            <w:tcW w:w="1310" w:type="dxa"/>
            <w:shd w:val="clear" w:color="auto" w:fill="auto"/>
            <w:vAlign w:val="center"/>
          </w:tcPr>
          <w:p>
            <w:pPr>
              <w:pStyle w:val="2001"/>
            </w:pPr>
            <w:r>
              <w:t>中等风险</w:t>
            </w:r>
          </w:p>
        </w:tc>
        <w:tc>
          <w:tcPr>
            <w:tcW w:w="7218" w:type="dxa"/>
            <w:shd w:val="clear" w:color="auto" w:fill="auto"/>
            <w:vAlign w:val="center"/>
          </w:tcPr>
          <w:p>
            <w:pPr>
              <w:pStyle w:val="2001"/>
            </w:pPr>
            <w:r>
              <w:t>应该做出减少风险的行动，但预算成本需要仔细测定，应在一定时间范围内进行</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253" w:hRule="atLeast"/>
        </w:trPr>
        <w:tc>
          <w:tcPr>
            <w:tcW w:w="1310" w:type="dxa"/>
            <w:shd w:val="clear" w:color="auto" w:fill="auto"/>
            <w:vAlign w:val="center"/>
          </w:tcPr>
          <w:p>
            <w:pPr>
              <w:pStyle w:val="2001"/>
            </w:pPr>
            <w:r>
              <w:t>高风险</w:t>
            </w:r>
          </w:p>
        </w:tc>
        <w:tc>
          <w:tcPr>
            <w:tcW w:w="7218" w:type="dxa"/>
            <w:shd w:val="clear" w:color="auto" w:fill="auto"/>
            <w:vAlign w:val="center"/>
          </w:tcPr>
          <w:p>
            <w:pPr>
              <w:pStyle w:val="2001"/>
            </w:pPr>
            <w:r>
              <w:t>需采取广泛行动和大量人力物力直到使风险减小到中等风险及以下</w:t>
            </w:r>
          </w:p>
        </w:tc>
      </w:tr>
    </w:tbl>
    <w:p>
      <w:pPr>
        <w:pStyle w:val="6"/>
        <w:rPr>
          <w:color w:val="000000" w:themeColor="text1"/>
          <w14:textFill>
            <w14:solidFill>
              <w14:schemeClr w14:val="tx1"/>
            </w14:solidFill>
          </w14:textFill>
        </w:rPr>
      </w:pPr>
      <w:r>
        <w:rPr>
          <w:rFonts w:hint="eastAsia"/>
          <w:color w:val="000000" w:themeColor="text1"/>
          <w14:textFill>
            <w14:solidFill>
              <w14:schemeClr w14:val="tx1"/>
            </w14:solidFill>
          </w14:textFill>
        </w:rPr>
        <w:t>码头</w:t>
      </w:r>
      <w:r>
        <w:rPr>
          <w:color w:val="000000" w:themeColor="text1"/>
          <w14:textFill>
            <w14:solidFill>
              <w14:schemeClr w14:val="tx1"/>
            </w14:solidFill>
          </w14:textFill>
        </w:rPr>
        <w:t>安全营运与防污染管理体系</w:t>
      </w:r>
    </w:p>
    <w:p>
      <w:pPr>
        <w:pStyle w:val="283"/>
        <w:rPr>
          <w:color w:val="000000" w:themeColor="text1"/>
          <w14:textFill>
            <w14:solidFill>
              <w14:schemeClr w14:val="tx1"/>
            </w14:solidFill>
          </w14:textFill>
        </w:rPr>
      </w:pPr>
      <w:r>
        <w:rPr>
          <w:rFonts w:hint="eastAsia"/>
          <w:color w:val="000000" w:themeColor="text1"/>
          <w14:textFill>
            <w14:solidFill>
              <w14:schemeClr w14:val="tx1"/>
            </w14:solidFill>
          </w14:textFill>
        </w:rPr>
        <w:t>现有码头已编制《</w:t>
      </w:r>
      <w:r>
        <w:rPr>
          <w:color w:val="000000" w:themeColor="text1"/>
          <w14:textFill>
            <w14:solidFill>
              <w14:schemeClr w14:val="tx1"/>
            </w14:solidFill>
          </w14:textFill>
        </w:rPr>
        <w:t>广西钦州保税港区盛港码头有限公司突发环境事件应急预案</w:t>
      </w:r>
      <w:r>
        <w:rPr>
          <w:rFonts w:hint="eastAsia"/>
          <w:color w:val="000000" w:themeColor="text1"/>
          <w14:textFill>
            <w14:solidFill>
              <w14:schemeClr w14:val="tx1"/>
            </w14:solidFill>
          </w14:textFill>
        </w:rPr>
        <w:t>（修订）》发布，并在钦州市生态环境局备案，本项目仅新增危险集装箱吞吐量及泊位长度，不改变运输货种，突发环境事件应急预案在现有应急预案基础上进行完善。</w:t>
      </w:r>
    </w:p>
    <w:p>
      <w:pPr>
        <w:pStyle w:val="283"/>
        <w:rPr>
          <w:color w:val="000000" w:themeColor="text1"/>
          <w14:textFill>
            <w14:solidFill>
              <w14:schemeClr w14:val="tx1"/>
            </w14:solidFill>
          </w14:textFill>
        </w:rPr>
      </w:pPr>
      <w:r>
        <w:rPr>
          <w:rFonts w:hint="eastAsia"/>
          <w:color w:val="000000" w:themeColor="text1"/>
          <w14:textFill>
            <w14:solidFill>
              <w14:schemeClr w14:val="tx1"/>
            </w14:solidFill>
          </w14:textFill>
        </w:rPr>
        <w:t>1、风险源监控</w:t>
      </w:r>
    </w:p>
    <w:p>
      <w:pPr>
        <w:pStyle w:val="283"/>
        <w:rPr>
          <w:color w:val="000000" w:themeColor="text1"/>
          <w14:textFill>
            <w14:solidFill>
              <w14:schemeClr w14:val="tx1"/>
            </w14:solidFill>
          </w14:textFill>
        </w:rPr>
      </w:pPr>
      <w:r>
        <w:rPr>
          <w:color w:val="000000" w:themeColor="text1"/>
          <w14:textFill>
            <w14:solidFill>
              <w14:schemeClr w14:val="tx1"/>
            </w14:solidFill>
          </w14:textFill>
        </w:rPr>
        <w:t>针对港区存在的风险源，</w:t>
      </w:r>
      <w:r>
        <w:rPr>
          <w:rFonts w:hint="eastAsia"/>
          <w:color w:val="000000" w:themeColor="text1"/>
          <w14:textFill>
            <w14:solidFill>
              <w14:schemeClr w14:val="tx1"/>
            </w14:solidFill>
          </w14:textFill>
        </w:rPr>
        <w:t>建设</w:t>
      </w:r>
      <w:r>
        <w:rPr>
          <w:color w:val="000000" w:themeColor="text1"/>
          <w14:textFill>
            <w14:solidFill>
              <w14:schemeClr w14:val="tx1"/>
            </w14:solidFill>
          </w14:textFill>
        </w:rPr>
        <w:t>单位建立了应急监控系统，对重要设备的运行情况、重点区域的人员活动情况进行适时监控，监控方式分为人员监控和电子监控系统监控。</w:t>
      </w:r>
    </w:p>
    <w:p>
      <w:pPr>
        <w:pStyle w:val="283"/>
        <w:rPr>
          <w:color w:val="000000" w:themeColor="text1"/>
          <w14:textFill>
            <w14:solidFill>
              <w14:schemeClr w14:val="tx1"/>
            </w14:solidFill>
          </w14:textFill>
        </w:rPr>
      </w:pPr>
      <w:r>
        <w:rPr>
          <w:color w:val="000000" w:themeColor="text1"/>
          <w14:textFill>
            <w14:solidFill>
              <w14:schemeClr w14:val="tx1"/>
            </w14:solidFill>
          </w14:textFill>
        </w:rPr>
        <w:t xml:space="preserve">（1）人员监控 </w:t>
      </w:r>
    </w:p>
    <w:p>
      <w:pPr>
        <w:pStyle w:val="283"/>
        <w:rPr>
          <w:color w:val="000000" w:themeColor="text1"/>
          <w14:textFill>
            <w14:solidFill>
              <w14:schemeClr w14:val="tx1"/>
            </w14:solidFill>
          </w14:textFill>
        </w:rPr>
      </w:pPr>
      <w:r>
        <w:rPr>
          <w:color w:val="000000" w:themeColor="text1"/>
          <w14:textFill>
            <w14:solidFill>
              <w14:schemeClr w14:val="tx1"/>
            </w14:solidFill>
          </w14:textFill>
        </w:rPr>
        <w:t>公司设置安全责任人，管理人员严格按照分级危险点巡回检查，安委会每月巡查不得少于 2 次，并做好检查记录，发现事故隐患应立即整改，不能立即整改的，交由安委会落实整改方案。</w:t>
      </w:r>
    </w:p>
    <w:p>
      <w:pPr>
        <w:pStyle w:val="283"/>
        <w:rPr>
          <w:color w:val="000000" w:themeColor="text1"/>
          <w14:textFill>
            <w14:solidFill>
              <w14:schemeClr w14:val="tx1"/>
            </w14:solidFill>
          </w14:textFill>
        </w:rPr>
      </w:pPr>
      <w:r>
        <w:rPr>
          <w:color w:val="000000" w:themeColor="text1"/>
          <w14:textFill>
            <w14:solidFill>
              <w14:schemeClr w14:val="tx1"/>
            </w14:solidFill>
          </w14:textFill>
        </w:rPr>
        <w:t>加强设备管理，将每台设备的维护、保养的责任落实到人。</w:t>
      </w:r>
    </w:p>
    <w:p>
      <w:pPr>
        <w:pStyle w:val="283"/>
        <w:rPr>
          <w:color w:val="000000" w:themeColor="text1"/>
          <w14:textFill>
            <w14:solidFill>
              <w14:schemeClr w14:val="tx1"/>
            </w14:solidFill>
          </w14:textFill>
        </w:rPr>
      </w:pPr>
      <w:r>
        <w:rPr>
          <w:color w:val="000000" w:themeColor="text1"/>
          <w14:textFill>
            <w14:solidFill>
              <w14:schemeClr w14:val="tx1"/>
            </w14:solidFill>
          </w14:textFill>
        </w:rPr>
        <w:t>应急物资至少每月保养、维护一次，并做好登记，发现应急物资损坏、破损以及功能达不到要求的，要及时进行更换，确保应急物资种类、数量满足应急救灾的需要。</w:t>
      </w:r>
    </w:p>
    <w:p>
      <w:pPr>
        <w:pStyle w:val="283"/>
        <w:rPr>
          <w:color w:val="000000" w:themeColor="text1"/>
          <w14:textFill>
            <w14:solidFill>
              <w14:schemeClr w14:val="tx1"/>
            </w14:solidFill>
          </w14:textFill>
        </w:rPr>
      </w:pPr>
      <w:r>
        <w:rPr>
          <w:color w:val="000000" w:themeColor="text1"/>
          <w14:textFill>
            <w14:solidFill>
              <w14:schemeClr w14:val="tx1"/>
            </w14:solidFill>
          </w14:textFill>
        </w:rPr>
        <w:t>（2）电子监控</w:t>
      </w:r>
    </w:p>
    <w:p>
      <w:pPr>
        <w:pStyle w:val="283"/>
        <w:rPr>
          <w:color w:val="000000" w:themeColor="text1"/>
          <w14:textFill>
            <w14:solidFill>
              <w14:schemeClr w14:val="tx1"/>
            </w14:solidFill>
          </w14:textFill>
        </w:rPr>
      </w:pPr>
      <w:r>
        <w:rPr>
          <w:color w:val="000000" w:themeColor="text1"/>
          <w14:textFill>
            <w14:solidFill>
              <w14:schemeClr w14:val="tx1"/>
            </w14:solidFill>
          </w14:textFill>
        </w:rPr>
        <w:t>港区内部设置有在线监控系统，24 小时监测平台。可随时监控整个港区重点危险区域的情况。</w:t>
      </w:r>
    </w:p>
    <w:p>
      <w:pPr>
        <w:pStyle w:val="283"/>
        <w:rPr>
          <w:color w:val="000000" w:themeColor="text1"/>
          <w14:textFill>
            <w14:solidFill>
              <w14:schemeClr w14:val="tx1"/>
            </w14:solidFill>
          </w14:textFill>
        </w:rPr>
      </w:pPr>
      <w:r>
        <w:rPr>
          <w:rFonts w:hint="eastAsia"/>
          <w:color w:val="000000" w:themeColor="text1"/>
          <w14:textFill>
            <w14:solidFill>
              <w14:schemeClr w14:val="tx1"/>
            </w14:solidFill>
          </w14:textFill>
        </w:rPr>
        <w:t>2、生产过程安全防范措施</w:t>
      </w:r>
    </w:p>
    <w:p>
      <w:pPr>
        <w:pStyle w:val="283"/>
        <w:rPr>
          <w:color w:val="000000" w:themeColor="text1"/>
          <w14:textFill>
            <w14:solidFill>
              <w14:schemeClr w14:val="tx1"/>
            </w14:solidFill>
          </w14:textFill>
        </w:rPr>
      </w:pPr>
      <w:r>
        <w:rPr>
          <w:color w:val="000000" w:themeColor="text1"/>
          <w14:textFill>
            <w14:solidFill>
              <w14:schemeClr w14:val="tx1"/>
            </w14:solidFill>
          </w14:textFill>
        </w:rPr>
        <w:t>（1）</w:t>
      </w:r>
      <w:r>
        <w:rPr>
          <w:rFonts w:hint="eastAsia"/>
          <w:color w:val="000000" w:themeColor="text1"/>
          <w14:textFill>
            <w14:solidFill>
              <w14:schemeClr w14:val="tx1"/>
            </w14:solidFill>
          </w14:textFill>
        </w:rPr>
        <w:t>项目</w:t>
      </w:r>
      <w:r>
        <w:rPr>
          <w:color w:val="000000" w:themeColor="text1"/>
          <w14:textFill>
            <w14:solidFill>
              <w14:schemeClr w14:val="tx1"/>
            </w14:solidFill>
          </w14:textFill>
        </w:rPr>
        <w:t>运营期涉及的安全、健康、环境方面的设施将按照相关规范、标准进行，采用最佳的适用技术用于生产。强化工艺、安全、健康、环保等方面的人员</w:t>
      </w:r>
    </w:p>
    <w:p>
      <w:pPr>
        <w:pStyle w:val="283"/>
        <w:rPr>
          <w:color w:val="000000" w:themeColor="text1"/>
          <w14:textFill>
            <w14:solidFill>
              <w14:schemeClr w14:val="tx1"/>
            </w14:solidFill>
          </w14:textFill>
        </w:rPr>
      </w:pPr>
      <w:r>
        <w:rPr>
          <w:color w:val="000000" w:themeColor="text1"/>
          <w14:textFill>
            <w14:solidFill>
              <w14:schemeClr w14:val="tx1"/>
            </w14:solidFill>
          </w14:textFill>
        </w:rPr>
        <w:t>培训要求；正确使用和妥善处置劳保用品；进入重要工艺生产线的人员应遵守工艺规程并配备个人安全防护设施。</w:t>
      </w:r>
    </w:p>
    <w:p>
      <w:pPr>
        <w:pStyle w:val="283"/>
        <w:rPr>
          <w:color w:val="000000" w:themeColor="text1"/>
          <w14:textFill>
            <w14:solidFill>
              <w14:schemeClr w14:val="tx1"/>
            </w14:solidFill>
          </w14:textFill>
        </w:rPr>
      </w:pPr>
      <w:r>
        <w:rPr>
          <w:color w:val="000000" w:themeColor="text1"/>
          <w14:textFill>
            <w14:solidFill>
              <w14:schemeClr w14:val="tx1"/>
            </w14:solidFill>
          </w14:textFill>
        </w:rPr>
        <w:t>（2）设备管件、阀门和生产装置等均进行严格审查以确保满足相关规范、标准的要求；定期维护检测仪器管道及关键设备等，防止超温、超压、管道堵塞等现象发生，保障设施正常运作。</w:t>
      </w:r>
    </w:p>
    <w:p>
      <w:pPr>
        <w:pStyle w:val="283"/>
        <w:rPr>
          <w:color w:val="000000" w:themeColor="text1"/>
          <w14:textFill>
            <w14:solidFill>
              <w14:schemeClr w14:val="tx1"/>
            </w14:solidFill>
          </w14:textFill>
        </w:rPr>
      </w:pPr>
      <w:r>
        <w:rPr>
          <w:color w:val="000000" w:themeColor="text1"/>
          <w14:textFill>
            <w14:solidFill>
              <w14:schemeClr w14:val="tx1"/>
            </w14:solidFill>
          </w14:textFill>
        </w:rPr>
        <w:t>（3）建立健全安全用电管理制度，对电气电力设备及时检查检修。电工、焊工必须经培训合格，持证上岗。</w:t>
      </w:r>
    </w:p>
    <w:p>
      <w:pPr>
        <w:pStyle w:val="283"/>
        <w:rPr>
          <w:color w:val="000000" w:themeColor="text1"/>
          <w14:textFill>
            <w14:solidFill>
              <w14:schemeClr w14:val="tx1"/>
            </w14:solidFill>
          </w14:textFill>
        </w:rPr>
      </w:pPr>
      <w:r>
        <w:rPr>
          <w:color w:val="000000" w:themeColor="text1"/>
          <w14:textFill>
            <w14:solidFill>
              <w14:schemeClr w14:val="tx1"/>
            </w14:solidFill>
          </w14:textFill>
        </w:rPr>
        <w:t>（4）加强变配电室的管理，设置专人负责，定期测量接地电阻。</w:t>
      </w:r>
    </w:p>
    <w:p>
      <w:pPr>
        <w:pStyle w:val="283"/>
        <w:rPr>
          <w:color w:val="000000" w:themeColor="text1"/>
          <w14:textFill>
            <w14:solidFill>
              <w14:schemeClr w14:val="tx1"/>
            </w14:solidFill>
          </w14:textFill>
        </w:rPr>
      </w:pPr>
      <w:r>
        <w:rPr>
          <w:color w:val="000000" w:themeColor="text1"/>
          <w14:textFill>
            <w14:solidFill>
              <w14:schemeClr w14:val="tx1"/>
            </w14:solidFill>
          </w14:textFill>
        </w:rPr>
        <w:t>（5）对每个气井安装单独的阀门，同时总管及设备也设置控制阀，一方面平衡气压，另一方面方便及时切断并</w:t>
      </w:r>
      <w:r>
        <w:rPr>
          <w:rFonts w:hint="eastAsia"/>
          <w:color w:val="000000" w:themeColor="text1"/>
          <w14:textFill>
            <w14:solidFill>
              <w14:schemeClr w14:val="tx1"/>
            </w14:solidFill>
          </w14:textFill>
        </w:rPr>
        <w:t>进行</w:t>
      </w:r>
      <w:r>
        <w:rPr>
          <w:color w:val="000000" w:themeColor="text1"/>
          <w14:textFill>
            <w14:solidFill>
              <w14:schemeClr w14:val="tx1"/>
            </w14:solidFill>
          </w14:textFill>
        </w:rPr>
        <w:t>堵</w:t>
      </w:r>
      <w:r>
        <w:rPr>
          <w:rFonts w:hint="eastAsia"/>
          <w:color w:val="000000" w:themeColor="text1"/>
          <w14:textFill>
            <w14:solidFill>
              <w14:schemeClr w14:val="tx1"/>
            </w14:solidFill>
          </w14:textFill>
        </w:rPr>
        <w:t>漏</w:t>
      </w:r>
      <w:r>
        <w:rPr>
          <w:color w:val="000000" w:themeColor="text1"/>
          <w14:textFill>
            <w14:solidFill>
              <w14:schemeClr w14:val="tx1"/>
            </w14:solidFill>
          </w14:textFill>
        </w:rPr>
        <w:t>。</w:t>
      </w:r>
    </w:p>
    <w:p>
      <w:pPr>
        <w:pStyle w:val="6"/>
        <w:rPr>
          <w:color w:val="000000" w:themeColor="text1"/>
          <w14:textFill>
            <w14:solidFill>
              <w14:schemeClr w14:val="tx1"/>
            </w14:solidFill>
          </w14:textFill>
        </w:rPr>
      </w:pPr>
      <w:r>
        <w:rPr>
          <w:color w:val="000000" w:themeColor="text1"/>
          <w14:textFill>
            <w14:solidFill>
              <w14:schemeClr w14:val="tx1"/>
            </w14:solidFill>
          </w14:textFill>
        </w:rPr>
        <w:t>日常管理措施</w:t>
      </w:r>
    </w:p>
    <w:p>
      <w:pPr>
        <w:pStyle w:val="283"/>
        <w:rPr>
          <w:color w:val="000000" w:themeColor="text1"/>
          <w14:textFill>
            <w14:solidFill>
              <w14:schemeClr w14:val="tx1"/>
            </w14:solidFill>
          </w14:textFill>
        </w:rPr>
      </w:pPr>
      <w:r>
        <w:rPr>
          <w:color w:val="000000" w:themeColor="text1"/>
          <w14:textFill>
            <w14:solidFill>
              <w14:schemeClr w14:val="tx1"/>
            </w14:solidFill>
          </w14:textFill>
        </w:rPr>
        <w:t>为了降低本工程发生船舶交通事故、码头装卸事故并造成环境污染的风险，</w:t>
      </w:r>
      <w:r>
        <w:rPr>
          <w:rFonts w:hint="eastAsia"/>
          <w:color w:val="000000" w:themeColor="text1"/>
          <w14:textFill>
            <w14:solidFill>
              <w14:schemeClr w14:val="tx1"/>
            </w14:solidFill>
          </w14:textFill>
        </w:rPr>
        <w:t>建设</w:t>
      </w:r>
      <w:r>
        <w:rPr>
          <w:color w:val="000000" w:themeColor="text1"/>
          <w14:textFill>
            <w14:solidFill>
              <w14:schemeClr w14:val="tx1"/>
            </w14:solidFill>
          </w14:textFill>
        </w:rPr>
        <w:t>单位已从以下方面</w:t>
      </w:r>
      <w:r>
        <w:rPr>
          <w:rFonts w:hint="eastAsia"/>
          <w:color w:val="000000" w:themeColor="text1"/>
          <w14:textFill>
            <w14:solidFill>
              <w14:schemeClr w14:val="tx1"/>
            </w14:solidFill>
          </w14:textFill>
        </w:rPr>
        <w:t>设置危险废物泄漏、危险物质泄漏事故防范措施</w:t>
      </w:r>
      <w:r>
        <w:rPr>
          <w:color w:val="000000" w:themeColor="text1"/>
          <w14:textFill>
            <w14:solidFill>
              <w14:schemeClr w14:val="tx1"/>
            </w14:solidFill>
          </w14:textFill>
        </w:rPr>
        <w:t>：</w:t>
      </w:r>
    </w:p>
    <w:p>
      <w:pPr>
        <w:pStyle w:val="283"/>
        <w:rPr>
          <w:color w:val="000000" w:themeColor="text1"/>
          <w14:textFill>
            <w14:solidFill>
              <w14:schemeClr w14:val="tx1"/>
            </w14:solidFill>
          </w14:textFill>
        </w:rPr>
      </w:pPr>
      <w:r>
        <w:rPr>
          <w:color w:val="000000" w:themeColor="text1"/>
          <w14:textFill>
            <w14:solidFill>
              <w14:schemeClr w14:val="tx1"/>
            </w14:solidFill>
          </w14:textFill>
        </w:rPr>
        <w:t>（</w:t>
      </w:r>
      <w:r>
        <w:rPr>
          <w:rFonts w:hint="eastAsia"/>
          <w:color w:val="000000" w:themeColor="text1"/>
          <w14:textFill>
            <w14:solidFill>
              <w14:schemeClr w14:val="tx1"/>
            </w14:solidFill>
          </w14:textFill>
        </w:rPr>
        <w:t>1</w:t>
      </w:r>
      <w:r>
        <w:rPr>
          <w:color w:val="000000" w:themeColor="text1"/>
          <w14:textFill>
            <w14:solidFill>
              <w14:schemeClr w14:val="tx1"/>
            </w14:solidFill>
          </w14:textFill>
        </w:rPr>
        <w:t>）加强设备管道的检修及保养，确保设备长期处于良好状态。</w:t>
      </w:r>
    </w:p>
    <w:p>
      <w:pPr>
        <w:pStyle w:val="283"/>
        <w:rPr>
          <w:color w:val="000000" w:themeColor="text1"/>
          <w14:textFill>
            <w14:solidFill>
              <w14:schemeClr w14:val="tx1"/>
            </w14:solidFill>
          </w14:textFill>
        </w:rPr>
      </w:pPr>
      <w:r>
        <w:rPr>
          <w:color w:val="000000" w:themeColor="text1"/>
          <w14:textFill>
            <w14:solidFill>
              <w14:schemeClr w14:val="tx1"/>
            </w14:solidFill>
          </w14:textFill>
        </w:rPr>
        <w:t>（</w:t>
      </w:r>
      <w:r>
        <w:rPr>
          <w:rFonts w:hint="eastAsia"/>
          <w:color w:val="000000" w:themeColor="text1"/>
          <w14:textFill>
            <w14:solidFill>
              <w14:schemeClr w14:val="tx1"/>
            </w14:solidFill>
          </w14:textFill>
        </w:rPr>
        <w:t>2</w:t>
      </w:r>
      <w:r>
        <w:rPr>
          <w:color w:val="000000" w:themeColor="text1"/>
          <w14:textFill>
            <w14:solidFill>
              <w14:schemeClr w14:val="tx1"/>
            </w14:solidFill>
          </w14:textFill>
        </w:rPr>
        <w:t>）若发生管道破裂等事故性生产、生活废水外排时，第一时间将雨水排放口堵住，防止废水进入雨水管道排入外环境；同时检查系统管道的泄漏情况，查明原因并做维修或调整，确保系统正常运行。</w:t>
      </w:r>
    </w:p>
    <w:p>
      <w:pPr>
        <w:pStyle w:val="283"/>
        <w:rPr>
          <w:color w:val="000000" w:themeColor="text1"/>
          <w14:textFill>
            <w14:solidFill>
              <w14:schemeClr w14:val="tx1"/>
            </w14:solidFill>
          </w14:textFill>
        </w:rPr>
      </w:pPr>
      <w:r>
        <w:rPr>
          <w:color w:val="000000" w:themeColor="text1"/>
          <w14:textFill>
            <w14:solidFill>
              <w14:schemeClr w14:val="tx1"/>
            </w14:solidFill>
          </w14:textFill>
        </w:rPr>
        <w:t>（</w:t>
      </w:r>
      <w:r>
        <w:rPr>
          <w:rFonts w:hint="eastAsia"/>
          <w:color w:val="000000" w:themeColor="text1"/>
          <w14:textFill>
            <w14:solidFill>
              <w14:schemeClr w14:val="tx1"/>
            </w14:solidFill>
          </w14:textFill>
        </w:rPr>
        <w:t>3</w:t>
      </w:r>
      <w:r>
        <w:rPr>
          <w:color w:val="000000" w:themeColor="text1"/>
          <w14:textFill>
            <w14:solidFill>
              <w14:schemeClr w14:val="tx1"/>
            </w14:solidFill>
          </w14:textFill>
        </w:rPr>
        <w:t>）定期检查管道的密封性，尤其应当注意对接口的检查，若发现有管道破裂，应及时进行修补，采取有效措施及时排除泄漏风险。</w:t>
      </w:r>
    </w:p>
    <w:p>
      <w:pPr>
        <w:pStyle w:val="6"/>
        <w:rPr>
          <w:color w:val="000000" w:themeColor="text1"/>
          <w14:textFill>
            <w14:solidFill>
              <w14:schemeClr w14:val="tx1"/>
            </w14:solidFill>
          </w14:textFill>
        </w:rPr>
      </w:pPr>
      <w:r>
        <w:rPr>
          <w:color w:val="000000" w:themeColor="text1"/>
          <w14:textFill>
            <w14:solidFill>
              <w14:schemeClr w14:val="tx1"/>
            </w14:solidFill>
          </w14:textFill>
        </w:rPr>
        <w:t>应急措施</w:t>
      </w:r>
    </w:p>
    <w:p>
      <w:pPr>
        <w:pStyle w:val="283"/>
        <w:rPr>
          <w:color w:val="000000" w:themeColor="text1"/>
          <w14:textFill>
            <w14:solidFill>
              <w14:schemeClr w14:val="tx1"/>
            </w14:solidFill>
          </w14:textFill>
        </w:rPr>
      </w:pPr>
      <w:r>
        <w:rPr>
          <w:color w:val="000000" w:themeColor="text1"/>
          <w14:textFill>
            <w14:solidFill>
              <w14:schemeClr w14:val="tx1"/>
            </w14:solidFill>
          </w14:textFill>
        </w:rPr>
        <w:t>（1）溢油应急反应过程</w:t>
      </w:r>
    </w:p>
    <w:p>
      <w:pPr>
        <w:pStyle w:val="283"/>
        <w:rPr>
          <w:color w:val="000000" w:themeColor="text1"/>
          <w14:textFill>
            <w14:solidFill>
              <w14:schemeClr w14:val="tx1"/>
            </w14:solidFill>
          </w14:textFill>
        </w:rPr>
      </w:pPr>
      <w:r>
        <w:rPr>
          <w:color w:val="000000" w:themeColor="text1"/>
          <w14:textFill>
            <w14:solidFill>
              <w14:schemeClr w14:val="tx1"/>
            </w14:solidFill>
          </w14:textFill>
        </w:rPr>
        <w:t>溢油事故应急程序包括事故报告、事故评估、现场处置、溢油控制、事后处理等步骤。</w:t>
      </w:r>
    </w:p>
    <w:p>
      <w:pPr>
        <w:pStyle w:val="283"/>
        <w:rPr>
          <w:color w:val="000000" w:themeColor="text1"/>
          <w:kern w:val="2"/>
          <w14:textFill>
            <w14:solidFill>
              <w14:schemeClr w14:val="tx1"/>
            </w14:solidFill>
          </w14:textFill>
        </w:rPr>
      </w:pPr>
      <w:r>
        <w:rPr>
          <w:color w:val="000000" w:themeColor="text1"/>
          <w14:textFill>
            <w14:solidFill>
              <w14:schemeClr w14:val="tx1"/>
            </w14:solidFill>
          </w14:textFill>
        </w:rPr>
        <w:t>根据《防治船舶污染海洋环境管理条例》，港区发生船舶污染事故后，应当立即启动相应的应急预案，采取措施控制和消除污染，并就近向有关海事管理机构报告。</w:t>
      </w:r>
    </w:p>
    <w:p>
      <w:pPr>
        <w:pStyle w:val="283"/>
        <w:rPr>
          <w:color w:val="000000" w:themeColor="text1"/>
          <w14:textFill>
            <w14:solidFill>
              <w14:schemeClr w14:val="tx1"/>
            </w14:solidFill>
          </w14:textFill>
        </w:rPr>
      </w:pPr>
    </w:p>
    <w:p>
      <w:pPr>
        <w:pStyle w:val="86"/>
        <w:spacing w:line="240" w:lineRule="auto"/>
        <w:ind w:firstLine="0" w:firstLineChars="0"/>
        <w:jc w:val="center"/>
        <w:rPr>
          <w:color w:val="000000" w:themeColor="text1"/>
          <w:sz w:val="24"/>
          <w14:textFill>
            <w14:solidFill>
              <w14:schemeClr w14:val="tx1"/>
            </w14:solidFill>
          </w14:textFill>
        </w:rPr>
      </w:pPr>
      <w:r>
        <w:rPr>
          <w:color w:val="000000" w:themeColor="text1"/>
          <w:sz w:val="24"/>
          <w14:textFill>
            <w14:solidFill>
              <w14:schemeClr w14:val="tx1"/>
            </w14:solidFill>
          </w14:textFill>
        </w:rPr>
        <w:drawing>
          <wp:inline distT="0" distB="0" distL="0" distR="0">
            <wp:extent cx="4442460" cy="5516880"/>
            <wp:effectExtent l="0" t="0" r="0" b="0"/>
            <wp:docPr id="60"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51"/>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a:xfrm>
                      <a:off x="0" y="0"/>
                      <a:ext cx="4442460" cy="5516880"/>
                    </a:xfrm>
                    <a:prstGeom prst="rect">
                      <a:avLst/>
                    </a:prstGeom>
                    <a:noFill/>
                    <a:ln>
                      <a:noFill/>
                    </a:ln>
                  </pic:spPr>
                </pic:pic>
              </a:graphicData>
            </a:graphic>
          </wp:inline>
        </w:drawing>
      </w:r>
    </w:p>
    <w:p>
      <w:pPr>
        <w:pStyle w:val="553"/>
        <w:rPr>
          <w:color w:val="000000" w:themeColor="text1"/>
          <w14:textFill>
            <w14:solidFill>
              <w14:schemeClr w14:val="tx1"/>
            </w14:solidFill>
          </w14:textFill>
        </w:rPr>
      </w:pPr>
      <w:r>
        <w:rPr>
          <w:color w:val="000000" w:themeColor="text1"/>
          <w14:textFill>
            <w14:solidFill>
              <w14:schemeClr w14:val="tx1"/>
            </w14:solidFill>
          </w14:textFill>
        </w:rPr>
        <w:t>溢油事故应急反应程序</w:t>
      </w:r>
    </w:p>
    <w:p>
      <w:pPr>
        <w:pStyle w:val="283"/>
        <w:rPr>
          <w:color w:val="000000" w:themeColor="text1"/>
          <w14:textFill>
            <w14:solidFill>
              <w14:schemeClr w14:val="tx1"/>
            </w14:solidFill>
          </w14:textFill>
        </w:rPr>
      </w:pPr>
      <w:r>
        <w:rPr>
          <w:color w:val="000000" w:themeColor="text1"/>
          <w14:textFill>
            <w14:solidFill>
              <w14:schemeClr w14:val="tx1"/>
            </w14:solidFill>
          </w14:textFill>
        </w:rPr>
        <w:t>（2）溢油控制与清除作业</w:t>
      </w:r>
    </w:p>
    <w:p>
      <w:pPr>
        <w:pStyle w:val="283"/>
        <w:rPr>
          <w:color w:val="000000" w:themeColor="text1"/>
          <w14:textFill>
            <w14:solidFill>
              <w14:schemeClr w14:val="tx1"/>
            </w14:solidFill>
          </w14:textFill>
        </w:rPr>
      </w:pPr>
      <w:r>
        <w:rPr>
          <w:color w:val="000000" w:themeColor="text1"/>
          <w14:textFill>
            <w14:solidFill>
              <w14:schemeClr w14:val="tx1"/>
            </w14:solidFill>
          </w14:textFill>
        </w:rPr>
        <w:t>溢油控制主要包括对船舶的溢油源进行堵漏、转驳，对海面溢油进行围控，以便控制溢油源和已泄漏油品的扩散。溢油清除包括溢油的围控、回收、分散、固化、沉降、焚烧和生物降解等处理。</w:t>
      </w:r>
    </w:p>
    <w:p>
      <w:pPr>
        <w:pStyle w:val="283"/>
        <w:rPr>
          <w:color w:val="000000" w:themeColor="text1"/>
          <w14:textFill>
            <w14:solidFill>
              <w14:schemeClr w14:val="tx1"/>
            </w14:solidFill>
          </w14:textFill>
        </w:rPr>
      </w:pPr>
      <w:r>
        <w:rPr>
          <w:color w:val="000000" w:themeColor="text1"/>
          <w14:textFill>
            <w14:solidFill>
              <w14:schemeClr w14:val="tx1"/>
            </w14:solidFill>
          </w14:textFill>
        </w:rPr>
        <w:t>水域溢油控制与清除作业应在溢油应急现场指挥部统一指挥下，组织调动人力物力，投入溢油事故的控制与清除作业。在应急反应中，应坚持保护人员和船舶安全优先于环境保护的原则，在采取应急行动是可行且安全的情况下，应急人员应穿着合适的防护服和呼吸器。</w:t>
      </w:r>
    </w:p>
    <w:p>
      <w:pPr>
        <w:pStyle w:val="283"/>
        <w:rPr>
          <w:color w:val="000000" w:themeColor="text1"/>
          <w14:textFill>
            <w14:solidFill>
              <w14:schemeClr w14:val="tx1"/>
            </w14:solidFill>
          </w14:textFill>
        </w:rPr>
      </w:pPr>
      <w:r>
        <w:rPr>
          <w:color w:val="000000" w:themeColor="text1"/>
          <w14:textFill>
            <w14:solidFill>
              <w14:schemeClr w14:val="tx1"/>
            </w14:solidFill>
          </w14:textFill>
        </w:rPr>
        <w:t>（3）溢油船舶的应急处置</w:t>
      </w:r>
    </w:p>
    <w:p>
      <w:pPr>
        <w:pStyle w:val="283"/>
        <w:rPr>
          <w:color w:val="000000" w:themeColor="text1"/>
          <w14:textFill>
            <w14:solidFill>
              <w14:schemeClr w14:val="tx1"/>
            </w14:solidFill>
          </w14:textFill>
        </w:rPr>
      </w:pPr>
      <w:r>
        <w:rPr>
          <w:color w:val="000000" w:themeColor="text1"/>
          <w14:textFill>
            <w14:solidFill>
              <w14:schemeClr w14:val="tx1"/>
            </w14:solidFill>
          </w14:textFill>
        </w:rPr>
        <w:t>应急处理方法要点是：迅速评估泄漏量，综合采取倒舱、水面围控，最后设法清除溢油。具体应急行动包括：</w:t>
      </w:r>
    </w:p>
    <w:p>
      <w:pPr>
        <w:pStyle w:val="283"/>
        <w:rPr>
          <w:color w:val="000000" w:themeColor="text1"/>
          <w14:textFill>
            <w14:solidFill>
              <w14:schemeClr w14:val="tx1"/>
            </w14:solidFill>
          </w14:textFill>
        </w:rPr>
      </w:pPr>
      <w:r>
        <w:rPr>
          <w:rFonts w:hint="eastAsia" w:ascii="宋体" w:hAnsi="宋体" w:cs="宋体"/>
          <w:color w:val="000000" w:themeColor="text1"/>
          <w14:textFill>
            <w14:solidFill>
              <w14:schemeClr w14:val="tx1"/>
            </w14:solidFill>
          </w14:textFill>
        </w:rPr>
        <w:t>①</w:t>
      </w:r>
      <w:r>
        <w:rPr>
          <w:color w:val="000000" w:themeColor="text1"/>
          <w14:textFill>
            <w14:solidFill>
              <w14:schemeClr w14:val="tx1"/>
            </w14:solidFill>
          </w14:textFill>
        </w:rPr>
        <w:t>发现溢油，（船方立即停止作业），通知岸方。船岸共同拉响溢油应急警报，启动船舶和码头溢油应急计划。岸方根据现场实际做好溢油围控准备，岸方人员待命。船方或岸方向海事部门进行初始报告。</w:t>
      </w:r>
    </w:p>
    <w:p>
      <w:pPr>
        <w:pStyle w:val="283"/>
        <w:rPr>
          <w:color w:val="000000" w:themeColor="text1"/>
          <w14:textFill>
            <w14:solidFill>
              <w14:schemeClr w14:val="tx1"/>
            </w14:solidFill>
          </w14:textFill>
        </w:rPr>
      </w:pPr>
      <w:r>
        <w:rPr>
          <w:rFonts w:hint="eastAsia" w:ascii="宋体" w:hAnsi="宋体" w:cs="宋体"/>
          <w:color w:val="000000" w:themeColor="text1"/>
          <w14:textFill>
            <w14:solidFill>
              <w14:schemeClr w14:val="tx1"/>
            </w14:solidFill>
          </w14:textFill>
        </w:rPr>
        <w:t>②</w:t>
      </w:r>
      <w:r>
        <w:rPr>
          <w:color w:val="000000" w:themeColor="text1"/>
          <w14:textFill>
            <w14:solidFill>
              <w14:schemeClr w14:val="tx1"/>
            </w14:solidFill>
          </w14:textFill>
        </w:rPr>
        <w:t>船岸双方共同评估泄漏量及发展趋势，商定初步行动方案。</w:t>
      </w:r>
    </w:p>
    <w:p>
      <w:pPr>
        <w:pStyle w:val="283"/>
        <w:rPr>
          <w:color w:val="000000" w:themeColor="text1"/>
          <w14:textFill>
            <w14:solidFill>
              <w14:schemeClr w14:val="tx1"/>
            </w14:solidFill>
          </w14:textFill>
        </w:rPr>
      </w:pPr>
      <w:r>
        <w:rPr>
          <w:rFonts w:hint="eastAsia" w:ascii="宋体" w:hAnsi="宋体" w:cs="宋体"/>
          <w:color w:val="000000" w:themeColor="text1"/>
          <w14:textFill>
            <w14:solidFill>
              <w14:schemeClr w14:val="tx1"/>
            </w14:solidFill>
          </w14:textFill>
        </w:rPr>
        <w:t>③</w:t>
      </w:r>
      <w:r>
        <w:rPr>
          <w:color w:val="000000" w:themeColor="text1"/>
          <w14:textFill>
            <w14:solidFill>
              <w14:schemeClr w14:val="tx1"/>
            </w14:solidFill>
          </w14:textFill>
        </w:rPr>
        <w:t>船方组织泄漏位置堵漏，组织倒舱。</w:t>
      </w:r>
    </w:p>
    <w:p>
      <w:pPr>
        <w:pStyle w:val="283"/>
        <w:rPr>
          <w:color w:val="000000" w:themeColor="text1"/>
          <w14:textFill>
            <w14:solidFill>
              <w14:schemeClr w14:val="tx1"/>
            </w14:solidFill>
          </w14:textFill>
        </w:rPr>
      </w:pPr>
      <w:r>
        <w:rPr>
          <w:rFonts w:hint="eastAsia" w:ascii="宋体" w:hAnsi="宋体" w:cs="宋体"/>
          <w:color w:val="000000" w:themeColor="text1"/>
          <w14:textFill>
            <w14:solidFill>
              <w14:schemeClr w14:val="tx1"/>
            </w14:solidFill>
          </w14:textFill>
        </w:rPr>
        <w:t>④</w:t>
      </w:r>
      <w:r>
        <w:rPr>
          <w:color w:val="000000" w:themeColor="text1"/>
          <w14:textFill>
            <w14:solidFill>
              <w14:schemeClr w14:val="tx1"/>
            </w14:solidFill>
          </w14:textFill>
        </w:rPr>
        <w:t>岸方组织布放围油栏，准备围控、回收和现场处理溢油。</w:t>
      </w:r>
    </w:p>
    <w:p>
      <w:pPr>
        <w:pStyle w:val="283"/>
        <w:rPr>
          <w:color w:val="000000" w:themeColor="text1"/>
          <w:kern w:val="2"/>
          <w14:textFill>
            <w14:solidFill>
              <w14:schemeClr w14:val="tx1"/>
            </w14:solidFill>
          </w14:textFill>
        </w:rPr>
      </w:pPr>
      <w:r>
        <w:rPr>
          <w:rFonts w:hint="eastAsia" w:ascii="宋体" w:hAnsi="宋体" w:cs="宋体"/>
          <w:color w:val="000000" w:themeColor="text1"/>
          <w14:textFill>
            <w14:solidFill>
              <w14:schemeClr w14:val="tx1"/>
            </w14:solidFill>
          </w14:textFill>
        </w:rPr>
        <w:t>⑤</w:t>
      </w:r>
      <w:r>
        <w:rPr>
          <w:color w:val="000000" w:themeColor="text1"/>
          <w14:textFill>
            <w14:solidFill>
              <w14:schemeClr w14:val="tx1"/>
            </w14:solidFill>
          </w14:textFill>
        </w:rPr>
        <w:t>如需进一步报告海事部门或请求启动上一级溢油应急计划，则需于初始报告后尽</w:t>
      </w:r>
      <w:r>
        <w:rPr>
          <w:color w:val="000000" w:themeColor="text1"/>
          <w:kern w:val="2"/>
          <w14:textFill>
            <w14:solidFill>
              <w14:schemeClr w14:val="tx1"/>
            </w14:solidFill>
          </w14:textFill>
        </w:rPr>
        <w:t>快将初步行动措施及效果上报海事部门。</w:t>
      </w:r>
    </w:p>
    <w:p>
      <w:pPr>
        <w:pStyle w:val="283"/>
        <w:rPr>
          <w:color w:val="000000" w:themeColor="text1"/>
          <w14:textFill>
            <w14:solidFill>
              <w14:schemeClr w14:val="tx1"/>
            </w14:solidFill>
          </w14:textFill>
        </w:rPr>
      </w:pPr>
      <w:r>
        <w:rPr>
          <w:color w:val="000000" w:themeColor="text1"/>
          <w14:textFill>
            <w14:solidFill>
              <w14:schemeClr w14:val="tx1"/>
            </w14:solidFill>
          </w14:textFill>
        </w:rPr>
        <w:t>（4）溢油事故应对措施汇总</w:t>
      </w:r>
    </w:p>
    <w:p>
      <w:pPr>
        <w:pStyle w:val="283"/>
        <w:rPr>
          <w:color w:val="000000" w:themeColor="text1"/>
          <w14:textFill>
            <w14:solidFill>
              <w14:schemeClr w14:val="tx1"/>
            </w14:solidFill>
          </w14:textFill>
        </w:rPr>
      </w:pPr>
      <w:r>
        <w:rPr>
          <w:color w:val="000000" w:themeColor="text1"/>
          <w14:textFill>
            <w14:solidFill>
              <w14:schemeClr w14:val="tx1"/>
            </w14:solidFill>
          </w14:textFill>
        </w:rPr>
        <w:t>溢油事故风险应急对策和措施清单见表4.</w:t>
      </w:r>
      <w:r>
        <w:rPr>
          <w:rFonts w:hint="eastAsia"/>
          <w:color w:val="000000" w:themeColor="text1"/>
          <w14:textFill>
            <w14:solidFill>
              <w14:schemeClr w14:val="tx1"/>
            </w14:solidFill>
          </w14:textFill>
        </w:rPr>
        <w:t>6</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20</w:t>
      </w:r>
      <w:r>
        <w:rPr>
          <w:color w:val="000000" w:themeColor="text1"/>
          <w14:textFill>
            <w14:solidFill>
              <w14:schemeClr w14:val="tx1"/>
            </w14:solidFill>
          </w14:textFill>
        </w:rPr>
        <w:t>。</w:t>
      </w:r>
    </w:p>
    <w:p>
      <w:pPr>
        <w:pStyle w:val="384"/>
        <w:ind w:left="0" w:firstLine="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溢油事故应急对策和措施清单</w:t>
      </w:r>
    </w:p>
    <w:tbl>
      <w:tblPr>
        <w:tblStyle w:val="88"/>
        <w:tblW w:w="8528" w:type="dxa"/>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483"/>
        <w:gridCol w:w="524"/>
        <w:gridCol w:w="1047"/>
        <w:gridCol w:w="6474"/>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1663" w:hRule="atLeast"/>
        </w:trPr>
        <w:tc>
          <w:tcPr>
            <w:tcW w:w="483" w:type="dxa"/>
            <w:vMerge w:val="restart"/>
            <w:shd w:val="clear" w:color="auto" w:fill="auto"/>
            <w:vAlign w:val="center"/>
          </w:tcPr>
          <w:p>
            <w:pPr>
              <w:pStyle w:val="2001"/>
            </w:pPr>
            <w:r>
              <w:t xml:space="preserve">船舶溢油事故 </w:t>
            </w:r>
          </w:p>
        </w:tc>
        <w:tc>
          <w:tcPr>
            <w:tcW w:w="524" w:type="dxa"/>
            <w:shd w:val="clear" w:color="auto" w:fill="auto"/>
            <w:vAlign w:val="center"/>
          </w:tcPr>
          <w:p>
            <w:pPr>
              <w:pStyle w:val="1856"/>
              <w:snapToGrid w:val="0"/>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 xml:space="preserve">1 </w:t>
            </w:r>
          </w:p>
        </w:tc>
        <w:tc>
          <w:tcPr>
            <w:tcW w:w="1047" w:type="dxa"/>
            <w:shd w:val="clear" w:color="auto" w:fill="auto"/>
            <w:vAlign w:val="center"/>
          </w:tcPr>
          <w:p>
            <w:pPr>
              <w:pStyle w:val="2001"/>
            </w:pPr>
            <w:r>
              <w:t>事故报告</w:t>
            </w:r>
          </w:p>
        </w:tc>
        <w:tc>
          <w:tcPr>
            <w:tcW w:w="6474" w:type="dxa"/>
            <w:shd w:val="clear" w:color="auto" w:fill="auto"/>
            <w:vAlign w:val="center"/>
          </w:tcPr>
          <w:p>
            <w:pPr>
              <w:pStyle w:val="2001"/>
            </w:pPr>
            <w:r>
              <w:t>当发生或发现海上污染事故或事故隐患时，应立即向海事和搜救主管部门及其他有关部门报告。报告内容包括：船舶的名称、国籍、呼号或者编号；船舶所有人、经营人或者管理人的名称、地址；发生事故的时间、地点以及相关气象和水文情况；事故原因或者事故原因的初步判断；</w:t>
            </w:r>
            <w:r>
              <w:rPr>
                <w:rFonts w:hint="eastAsia"/>
              </w:rPr>
              <w:t>船舶</w:t>
            </w:r>
            <w:r>
              <w:t xml:space="preserve">污染物的种类、数量、装载位置等概况；污染程度；已经采取或者准备采取的污染控制、清除措施和污染控制情况以及救助要求等 </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331" w:hRule="atLeast"/>
        </w:trPr>
        <w:tc>
          <w:tcPr>
            <w:tcW w:w="483" w:type="dxa"/>
            <w:vMerge w:val="continue"/>
            <w:shd w:val="clear" w:color="auto" w:fill="auto"/>
            <w:vAlign w:val="center"/>
          </w:tcPr>
          <w:p>
            <w:pPr>
              <w:pStyle w:val="2001"/>
            </w:pPr>
          </w:p>
        </w:tc>
        <w:tc>
          <w:tcPr>
            <w:tcW w:w="524" w:type="dxa"/>
            <w:shd w:val="clear" w:color="auto" w:fill="auto"/>
            <w:vAlign w:val="center"/>
          </w:tcPr>
          <w:p>
            <w:pPr>
              <w:pStyle w:val="1856"/>
              <w:snapToGrid w:val="0"/>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 xml:space="preserve">2 </w:t>
            </w:r>
          </w:p>
        </w:tc>
        <w:tc>
          <w:tcPr>
            <w:tcW w:w="1047" w:type="dxa"/>
            <w:shd w:val="clear" w:color="auto" w:fill="auto"/>
            <w:vAlign w:val="center"/>
          </w:tcPr>
          <w:p>
            <w:pPr>
              <w:pStyle w:val="2001"/>
            </w:pPr>
            <w:r>
              <w:t>监视监测</w:t>
            </w:r>
          </w:p>
        </w:tc>
        <w:tc>
          <w:tcPr>
            <w:tcW w:w="6474" w:type="dxa"/>
            <w:shd w:val="clear" w:color="auto" w:fill="auto"/>
            <w:vAlign w:val="center"/>
          </w:tcPr>
          <w:p>
            <w:pPr>
              <w:pStyle w:val="2001"/>
            </w:pPr>
            <w:r>
              <w:t xml:space="preserve">确定事故发生的位置、性质和规模，现场取证调查、水面巡逻监视、空中遥感监视、环境污染监测 </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1117" w:hRule="atLeast"/>
        </w:trPr>
        <w:tc>
          <w:tcPr>
            <w:tcW w:w="483" w:type="dxa"/>
            <w:vMerge w:val="continue"/>
            <w:shd w:val="clear" w:color="auto" w:fill="auto"/>
            <w:vAlign w:val="center"/>
          </w:tcPr>
          <w:p>
            <w:pPr>
              <w:pStyle w:val="2001"/>
            </w:pPr>
          </w:p>
        </w:tc>
        <w:tc>
          <w:tcPr>
            <w:tcW w:w="524" w:type="dxa"/>
            <w:shd w:val="clear" w:color="auto" w:fill="auto"/>
            <w:vAlign w:val="center"/>
          </w:tcPr>
          <w:p>
            <w:pPr>
              <w:pStyle w:val="1856"/>
              <w:snapToGrid w:val="0"/>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 xml:space="preserve">3 </w:t>
            </w:r>
          </w:p>
        </w:tc>
        <w:tc>
          <w:tcPr>
            <w:tcW w:w="1047" w:type="dxa"/>
            <w:shd w:val="clear" w:color="auto" w:fill="auto"/>
            <w:vAlign w:val="center"/>
          </w:tcPr>
          <w:p>
            <w:pPr>
              <w:pStyle w:val="2001"/>
            </w:pPr>
            <w:r>
              <w:t>围控清除</w:t>
            </w:r>
          </w:p>
        </w:tc>
        <w:tc>
          <w:tcPr>
            <w:tcW w:w="6474" w:type="dxa"/>
            <w:shd w:val="clear" w:color="auto" w:fill="auto"/>
            <w:vAlign w:val="center"/>
          </w:tcPr>
          <w:p>
            <w:pPr>
              <w:pStyle w:val="2001"/>
            </w:pPr>
            <w:r>
              <w:t xml:space="preserve">采取防止发生火灾爆炸的风险控制措施，在确保安全的前提下，利用码头自备的应急设备对溢油进行围控，同时进行必要的清除作业，防止溢油扩散，听从海事部门指挥；协助船方对溢油船舶进行堵漏、倒舱、围控和拖带转移等应急行动 </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171" w:hRule="atLeast"/>
        </w:trPr>
        <w:tc>
          <w:tcPr>
            <w:tcW w:w="483" w:type="dxa"/>
            <w:vMerge w:val="continue"/>
            <w:shd w:val="clear" w:color="auto" w:fill="auto"/>
            <w:vAlign w:val="center"/>
          </w:tcPr>
          <w:p>
            <w:pPr>
              <w:pStyle w:val="2001"/>
            </w:pPr>
          </w:p>
        </w:tc>
        <w:tc>
          <w:tcPr>
            <w:tcW w:w="524" w:type="dxa"/>
            <w:shd w:val="clear" w:color="auto" w:fill="auto"/>
            <w:vAlign w:val="center"/>
          </w:tcPr>
          <w:p>
            <w:pPr>
              <w:pStyle w:val="1856"/>
              <w:snapToGrid w:val="0"/>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 xml:space="preserve">4 </w:t>
            </w:r>
          </w:p>
        </w:tc>
        <w:tc>
          <w:tcPr>
            <w:tcW w:w="1047" w:type="dxa"/>
            <w:shd w:val="clear" w:color="auto" w:fill="auto"/>
            <w:vAlign w:val="center"/>
          </w:tcPr>
          <w:p>
            <w:pPr>
              <w:pStyle w:val="2001"/>
            </w:pPr>
            <w:r>
              <w:t>溢油回收</w:t>
            </w:r>
          </w:p>
        </w:tc>
        <w:tc>
          <w:tcPr>
            <w:tcW w:w="6474" w:type="dxa"/>
            <w:shd w:val="clear" w:color="auto" w:fill="auto"/>
            <w:vAlign w:val="center"/>
          </w:tcPr>
          <w:p>
            <w:pPr>
              <w:pStyle w:val="2001"/>
            </w:pPr>
            <w:r>
              <w:t>对于回收上来的溢油，进行必要的岸上接收，并妥善处置</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170" w:hRule="atLeast"/>
        </w:trPr>
        <w:tc>
          <w:tcPr>
            <w:tcW w:w="483" w:type="dxa"/>
            <w:vMerge w:val="continue"/>
            <w:shd w:val="clear" w:color="auto" w:fill="auto"/>
            <w:vAlign w:val="center"/>
          </w:tcPr>
          <w:p>
            <w:pPr>
              <w:pStyle w:val="2001"/>
            </w:pPr>
          </w:p>
        </w:tc>
        <w:tc>
          <w:tcPr>
            <w:tcW w:w="524" w:type="dxa"/>
            <w:vMerge w:val="restart"/>
            <w:shd w:val="clear" w:color="auto" w:fill="auto"/>
            <w:vAlign w:val="center"/>
          </w:tcPr>
          <w:p>
            <w:pPr>
              <w:pStyle w:val="1856"/>
              <w:snapToGrid w:val="0"/>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 xml:space="preserve">5 </w:t>
            </w:r>
          </w:p>
        </w:tc>
        <w:tc>
          <w:tcPr>
            <w:tcW w:w="1047" w:type="dxa"/>
            <w:vMerge w:val="restart"/>
            <w:shd w:val="clear" w:color="auto" w:fill="auto"/>
            <w:vAlign w:val="center"/>
          </w:tcPr>
          <w:p>
            <w:pPr>
              <w:pStyle w:val="2001"/>
            </w:pPr>
            <w:r>
              <w:t>事后处理</w:t>
            </w:r>
          </w:p>
        </w:tc>
        <w:tc>
          <w:tcPr>
            <w:tcW w:w="6474" w:type="dxa"/>
            <w:shd w:val="clear" w:color="auto" w:fill="auto"/>
            <w:vAlign w:val="center"/>
          </w:tcPr>
          <w:p>
            <w:pPr>
              <w:pStyle w:val="2001"/>
            </w:pPr>
            <w:r>
              <w:t>清洗应急器材及防护用品，人员也应彻底清洗</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181" w:hRule="atLeast"/>
        </w:trPr>
        <w:tc>
          <w:tcPr>
            <w:tcW w:w="483" w:type="dxa"/>
            <w:vMerge w:val="continue"/>
            <w:shd w:val="clear" w:color="auto" w:fill="auto"/>
            <w:vAlign w:val="center"/>
          </w:tcPr>
          <w:p>
            <w:pPr>
              <w:pStyle w:val="2001"/>
            </w:pPr>
          </w:p>
        </w:tc>
        <w:tc>
          <w:tcPr>
            <w:tcW w:w="524" w:type="dxa"/>
            <w:vMerge w:val="continue"/>
            <w:shd w:val="clear" w:color="auto" w:fill="auto"/>
            <w:vAlign w:val="center"/>
          </w:tcPr>
          <w:p>
            <w:pPr>
              <w:pStyle w:val="2001"/>
            </w:pPr>
          </w:p>
        </w:tc>
        <w:tc>
          <w:tcPr>
            <w:tcW w:w="1047" w:type="dxa"/>
            <w:vMerge w:val="continue"/>
            <w:shd w:val="clear" w:color="auto" w:fill="auto"/>
            <w:vAlign w:val="center"/>
          </w:tcPr>
          <w:p>
            <w:pPr>
              <w:pStyle w:val="2001"/>
            </w:pPr>
          </w:p>
        </w:tc>
        <w:tc>
          <w:tcPr>
            <w:tcW w:w="6474" w:type="dxa"/>
            <w:shd w:val="clear" w:color="auto" w:fill="auto"/>
            <w:vAlign w:val="center"/>
          </w:tcPr>
          <w:p>
            <w:pPr>
              <w:pStyle w:val="2001"/>
            </w:pPr>
            <w:r>
              <w:t>协助有关部门调查事故的事因</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138" w:hRule="atLeast"/>
        </w:trPr>
        <w:tc>
          <w:tcPr>
            <w:tcW w:w="483" w:type="dxa"/>
            <w:vMerge w:val="continue"/>
            <w:shd w:val="clear" w:color="auto" w:fill="auto"/>
            <w:vAlign w:val="center"/>
          </w:tcPr>
          <w:p>
            <w:pPr>
              <w:pStyle w:val="2001"/>
            </w:pPr>
          </w:p>
        </w:tc>
        <w:tc>
          <w:tcPr>
            <w:tcW w:w="524" w:type="dxa"/>
            <w:vMerge w:val="continue"/>
            <w:shd w:val="clear" w:color="auto" w:fill="auto"/>
            <w:vAlign w:val="center"/>
          </w:tcPr>
          <w:p>
            <w:pPr>
              <w:pStyle w:val="2001"/>
            </w:pPr>
          </w:p>
        </w:tc>
        <w:tc>
          <w:tcPr>
            <w:tcW w:w="1047" w:type="dxa"/>
            <w:vMerge w:val="continue"/>
            <w:shd w:val="clear" w:color="auto" w:fill="auto"/>
            <w:vAlign w:val="center"/>
          </w:tcPr>
          <w:p>
            <w:pPr>
              <w:pStyle w:val="2001"/>
            </w:pPr>
          </w:p>
        </w:tc>
        <w:tc>
          <w:tcPr>
            <w:tcW w:w="6474" w:type="dxa"/>
            <w:shd w:val="clear" w:color="auto" w:fill="auto"/>
            <w:vAlign w:val="center"/>
          </w:tcPr>
          <w:p>
            <w:pPr>
              <w:pStyle w:val="2001"/>
            </w:pPr>
            <w:r>
              <w:t>事故处理结束后，应进行总结，写出事故报告</w:t>
            </w:r>
          </w:p>
        </w:tc>
      </w:tr>
    </w:tbl>
    <w:p>
      <w:pPr>
        <w:pStyle w:val="5"/>
        <w:rPr>
          <w:color w:val="000000" w:themeColor="text1"/>
          <w14:textFill>
            <w14:solidFill>
              <w14:schemeClr w14:val="tx1"/>
            </w14:solidFill>
          </w14:textFill>
        </w:rPr>
      </w:pPr>
      <w:r>
        <w:rPr>
          <w:rFonts w:hint="eastAsia"/>
          <w:color w:val="000000" w:themeColor="text1"/>
          <w14:textFill>
            <w14:solidFill>
              <w14:schemeClr w14:val="tx1"/>
            </w14:solidFill>
          </w14:textFill>
        </w:rPr>
        <w:t>环境风险可接受性分析</w:t>
      </w:r>
    </w:p>
    <w:p>
      <w:pPr>
        <w:pStyle w:val="1075"/>
        <w:ind w:firstLine="437"/>
        <w:rPr>
          <w:color w:val="000000" w:themeColor="text1"/>
          <w14:textFill>
            <w14:solidFill>
              <w14:schemeClr w14:val="tx1"/>
            </w14:solidFill>
          </w14:textFill>
        </w:rPr>
      </w:pPr>
      <w:r>
        <w:rPr>
          <w:color w:val="000000" w:themeColor="text1"/>
          <w14:textFill>
            <w14:solidFill>
              <w14:schemeClr w14:val="tx1"/>
            </w14:solidFill>
          </w14:textFill>
        </w:rPr>
        <w:t>参考《水上溢油环境风险评估技术导则》关于水上溢油事故风险准则的风险矩阵法。风险矩阵由事故概率和危害后果组成。其中，纵坐标可用事故概率表示；横坐标为危害后果，可用水上溢油事故的溢油量、危害后果指数表示。概率指数和危害后果指数等级划分见表4.</w:t>
      </w:r>
      <w:r>
        <w:rPr>
          <w:rFonts w:hint="eastAsia"/>
          <w:color w:val="000000" w:themeColor="text1"/>
          <w14:textFill>
            <w14:solidFill>
              <w14:schemeClr w14:val="tx1"/>
            </w14:solidFill>
          </w14:textFill>
        </w:rPr>
        <w:t>6</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21和</w:t>
      </w:r>
      <w:r>
        <w:rPr>
          <w:color w:val="000000" w:themeColor="text1"/>
          <w14:textFill>
            <w14:solidFill>
              <w14:schemeClr w14:val="tx1"/>
            </w14:solidFill>
          </w14:textFill>
        </w:rPr>
        <w:t>表4.</w:t>
      </w:r>
      <w:r>
        <w:rPr>
          <w:rFonts w:hint="eastAsia"/>
          <w:color w:val="000000" w:themeColor="text1"/>
          <w14:textFill>
            <w14:solidFill>
              <w14:schemeClr w14:val="tx1"/>
            </w14:solidFill>
          </w14:textFill>
        </w:rPr>
        <w:t>6</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22</w:t>
      </w:r>
      <w:r>
        <w:rPr>
          <w:color w:val="000000" w:themeColor="text1"/>
          <w14:textFill>
            <w14:solidFill>
              <w14:schemeClr w14:val="tx1"/>
            </w14:solidFill>
          </w14:textFill>
        </w:rPr>
        <w:t>。</w:t>
      </w:r>
    </w:p>
    <w:p>
      <w:pPr>
        <w:pStyle w:val="1075"/>
        <w:ind w:firstLine="437"/>
        <w:rPr>
          <w:color w:val="000000" w:themeColor="text1"/>
          <w14:textFill>
            <w14:solidFill>
              <w14:schemeClr w14:val="tx1"/>
            </w14:solidFill>
          </w14:textFill>
        </w:rPr>
      </w:pPr>
    </w:p>
    <w:p>
      <w:pPr>
        <w:pStyle w:val="1075"/>
        <w:ind w:firstLine="437"/>
        <w:rPr>
          <w:color w:val="000000" w:themeColor="text1"/>
          <w14:textFill>
            <w14:solidFill>
              <w14:schemeClr w14:val="tx1"/>
            </w14:solidFill>
          </w14:textFill>
        </w:rPr>
      </w:pPr>
    </w:p>
    <w:p>
      <w:pPr>
        <w:pStyle w:val="1075"/>
        <w:ind w:firstLine="437"/>
        <w:rPr>
          <w:color w:val="000000" w:themeColor="text1"/>
          <w14:textFill>
            <w14:solidFill>
              <w14:schemeClr w14:val="tx1"/>
            </w14:solidFill>
          </w14:textFill>
        </w:rPr>
      </w:pPr>
    </w:p>
    <w:p>
      <w:pPr>
        <w:pStyle w:val="384"/>
        <w:ind w:left="0" w:firstLine="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水上溢油事故概率等级划分</w:t>
      </w:r>
    </w:p>
    <w:tbl>
      <w:tblPr>
        <w:tblStyle w:val="88"/>
        <w:tblW w:w="8528" w:type="dxa"/>
        <w:jc w:val="center"/>
        <w:tblInd w:w="0" w:type="dxa"/>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Layout w:type="fixed"/>
        <w:tblCellMar>
          <w:top w:w="0" w:type="dxa"/>
          <w:left w:w="108" w:type="dxa"/>
          <w:bottom w:w="0" w:type="dxa"/>
          <w:right w:w="108" w:type="dxa"/>
        </w:tblCellMar>
      </w:tblPr>
      <w:tblGrid>
        <w:gridCol w:w="1544"/>
        <w:gridCol w:w="6984"/>
      </w:tblGrid>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Layout w:type="fixed"/>
          <w:tblCellMar>
            <w:top w:w="0" w:type="dxa"/>
            <w:left w:w="108" w:type="dxa"/>
            <w:bottom w:w="0" w:type="dxa"/>
            <w:right w:w="108" w:type="dxa"/>
          </w:tblCellMar>
        </w:tblPrEx>
        <w:trPr>
          <w:jc w:val="center"/>
        </w:trPr>
        <w:tc>
          <w:tcPr>
            <w:tcW w:w="1544" w:type="dxa"/>
            <w:tcBorders>
              <w:top w:val="single" w:color="auto" w:sz="12" w:space="0"/>
              <w:left w:val="single" w:color="auto" w:sz="12" w:space="0"/>
              <w:bottom w:val="single" w:color="auto" w:sz="2" w:space="0"/>
              <w:right w:val="single" w:color="auto" w:sz="2" w:space="0"/>
            </w:tcBorders>
            <w:vAlign w:val="center"/>
          </w:tcPr>
          <w:p>
            <w:pPr>
              <w:pStyle w:val="1856"/>
              <w:snapToGrid w:val="0"/>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等级</w:t>
            </w:r>
          </w:p>
        </w:tc>
        <w:tc>
          <w:tcPr>
            <w:tcW w:w="6984" w:type="dxa"/>
            <w:tcBorders>
              <w:top w:val="single" w:color="auto" w:sz="12" w:space="0"/>
              <w:left w:val="single" w:color="auto" w:sz="2" w:space="0"/>
              <w:bottom w:val="single" w:color="auto" w:sz="2" w:space="0"/>
              <w:right w:val="single" w:color="auto" w:sz="12" w:space="0"/>
            </w:tcBorders>
            <w:vAlign w:val="center"/>
          </w:tcPr>
          <w:p>
            <w:pPr>
              <w:pStyle w:val="1856"/>
              <w:snapToGrid w:val="0"/>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事故概率/发生一次事故的频率</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Layout w:type="fixed"/>
          <w:tblCellMar>
            <w:top w:w="0" w:type="dxa"/>
            <w:left w:w="108" w:type="dxa"/>
            <w:bottom w:w="0" w:type="dxa"/>
            <w:right w:w="108" w:type="dxa"/>
          </w:tblCellMar>
        </w:tblPrEx>
        <w:trPr>
          <w:jc w:val="center"/>
        </w:trPr>
        <w:tc>
          <w:tcPr>
            <w:tcW w:w="1544" w:type="dxa"/>
            <w:tcBorders>
              <w:top w:val="single" w:color="auto" w:sz="2" w:space="0"/>
              <w:left w:val="single" w:color="auto" w:sz="12" w:space="0"/>
              <w:bottom w:val="single" w:color="auto" w:sz="2" w:space="0"/>
              <w:right w:val="single" w:color="auto" w:sz="2" w:space="0"/>
            </w:tcBorders>
            <w:vAlign w:val="center"/>
          </w:tcPr>
          <w:p>
            <w:pPr>
              <w:pStyle w:val="1856"/>
              <w:snapToGrid w:val="0"/>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很高</w:t>
            </w:r>
          </w:p>
        </w:tc>
        <w:tc>
          <w:tcPr>
            <w:tcW w:w="6984" w:type="dxa"/>
            <w:tcBorders>
              <w:top w:val="single" w:color="auto" w:sz="2" w:space="0"/>
              <w:left w:val="single" w:color="auto" w:sz="2" w:space="0"/>
              <w:bottom w:val="single" w:color="auto" w:sz="2" w:space="0"/>
              <w:right w:val="single" w:color="auto" w:sz="12" w:space="0"/>
            </w:tcBorders>
            <w:vAlign w:val="center"/>
          </w:tcPr>
          <w:p>
            <w:pPr>
              <w:pStyle w:val="1856"/>
              <w:snapToGrid w:val="0"/>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≥1/≤1个工作年</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Layout w:type="fixed"/>
          <w:tblCellMar>
            <w:top w:w="0" w:type="dxa"/>
            <w:left w:w="108" w:type="dxa"/>
            <w:bottom w:w="0" w:type="dxa"/>
            <w:right w:w="108" w:type="dxa"/>
          </w:tblCellMar>
        </w:tblPrEx>
        <w:trPr>
          <w:jc w:val="center"/>
        </w:trPr>
        <w:tc>
          <w:tcPr>
            <w:tcW w:w="1544" w:type="dxa"/>
            <w:tcBorders>
              <w:top w:val="single" w:color="auto" w:sz="2" w:space="0"/>
              <w:left w:val="single" w:color="auto" w:sz="12" w:space="0"/>
              <w:bottom w:val="single" w:color="auto" w:sz="2" w:space="0"/>
              <w:right w:val="single" w:color="auto" w:sz="2" w:space="0"/>
            </w:tcBorders>
            <w:vAlign w:val="center"/>
          </w:tcPr>
          <w:p>
            <w:pPr>
              <w:pStyle w:val="1856"/>
              <w:snapToGrid w:val="0"/>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较高</w:t>
            </w:r>
          </w:p>
        </w:tc>
        <w:tc>
          <w:tcPr>
            <w:tcW w:w="6984" w:type="dxa"/>
            <w:tcBorders>
              <w:top w:val="single" w:color="auto" w:sz="2" w:space="0"/>
              <w:left w:val="single" w:color="auto" w:sz="2" w:space="0"/>
              <w:bottom w:val="single" w:color="auto" w:sz="2" w:space="0"/>
              <w:right w:val="single" w:color="auto" w:sz="12" w:space="0"/>
            </w:tcBorders>
            <w:vAlign w:val="center"/>
          </w:tcPr>
          <w:p>
            <w:pPr>
              <w:pStyle w:val="1856"/>
              <w:snapToGrid w:val="0"/>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0.1～1/（1～10）个工作年</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Layout w:type="fixed"/>
          <w:tblCellMar>
            <w:top w:w="0" w:type="dxa"/>
            <w:left w:w="108" w:type="dxa"/>
            <w:bottom w:w="0" w:type="dxa"/>
            <w:right w:w="108" w:type="dxa"/>
          </w:tblCellMar>
        </w:tblPrEx>
        <w:trPr>
          <w:jc w:val="center"/>
        </w:trPr>
        <w:tc>
          <w:tcPr>
            <w:tcW w:w="1544" w:type="dxa"/>
            <w:tcBorders>
              <w:top w:val="single" w:color="auto" w:sz="2" w:space="0"/>
              <w:left w:val="single" w:color="auto" w:sz="12" w:space="0"/>
              <w:bottom w:val="single" w:color="auto" w:sz="2" w:space="0"/>
              <w:right w:val="single" w:color="auto" w:sz="2" w:space="0"/>
            </w:tcBorders>
            <w:vAlign w:val="center"/>
          </w:tcPr>
          <w:p>
            <w:pPr>
              <w:pStyle w:val="1856"/>
              <w:snapToGrid w:val="0"/>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中等</w:t>
            </w:r>
          </w:p>
        </w:tc>
        <w:tc>
          <w:tcPr>
            <w:tcW w:w="6984" w:type="dxa"/>
            <w:tcBorders>
              <w:top w:val="single" w:color="auto" w:sz="2" w:space="0"/>
              <w:left w:val="single" w:color="auto" w:sz="2" w:space="0"/>
              <w:bottom w:val="single" w:color="auto" w:sz="2" w:space="0"/>
              <w:right w:val="single" w:color="auto" w:sz="12" w:space="0"/>
            </w:tcBorders>
            <w:vAlign w:val="center"/>
          </w:tcPr>
          <w:p>
            <w:pPr>
              <w:pStyle w:val="1856"/>
              <w:snapToGrid w:val="0"/>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0.02～0.1/（10～50）个工作年</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Layout w:type="fixed"/>
          <w:tblCellMar>
            <w:top w:w="0" w:type="dxa"/>
            <w:left w:w="108" w:type="dxa"/>
            <w:bottom w:w="0" w:type="dxa"/>
            <w:right w:w="108" w:type="dxa"/>
          </w:tblCellMar>
        </w:tblPrEx>
        <w:trPr>
          <w:jc w:val="center"/>
        </w:trPr>
        <w:tc>
          <w:tcPr>
            <w:tcW w:w="1544" w:type="dxa"/>
            <w:tcBorders>
              <w:top w:val="single" w:color="auto" w:sz="2" w:space="0"/>
              <w:left w:val="single" w:color="auto" w:sz="12" w:space="0"/>
              <w:bottom w:val="single" w:color="auto" w:sz="2" w:space="0"/>
              <w:right w:val="single" w:color="auto" w:sz="2" w:space="0"/>
            </w:tcBorders>
            <w:vAlign w:val="center"/>
          </w:tcPr>
          <w:p>
            <w:pPr>
              <w:pStyle w:val="1856"/>
              <w:snapToGrid w:val="0"/>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较低</w:t>
            </w:r>
          </w:p>
        </w:tc>
        <w:tc>
          <w:tcPr>
            <w:tcW w:w="6984" w:type="dxa"/>
            <w:tcBorders>
              <w:top w:val="single" w:color="auto" w:sz="2" w:space="0"/>
              <w:left w:val="single" w:color="auto" w:sz="2" w:space="0"/>
              <w:bottom w:val="single" w:color="auto" w:sz="2" w:space="0"/>
              <w:right w:val="single" w:color="auto" w:sz="12" w:space="0"/>
            </w:tcBorders>
            <w:vAlign w:val="center"/>
          </w:tcPr>
          <w:p>
            <w:pPr>
              <w:pStyle w:val="1856"/>
              <w:snapToGrid w:val="0"/>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0.01～0.02/（50～100）个工作年</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Layout w:type="fixed"/>
          <w:tblCellMar>
            <w:top w:w="0" w:type="dxa"/>
            <w:left w:w="108" w:type="dxa"/>
            <w:bottom w:w="0" w:type="dxa"/>
            <w:right w:w="108" w:type="dxa"/>
          </w:tblCellMar>
        </w:tblPrEx>
        <w:trPr>
          <w:jc w:val="center"/>
        </w:trPr>
        <w:tc>
          <w:tcPr>
            <w:tcW w:w="1544" w:type="dxa"/>
            <w:tcBorders>
              <w:top w:val="single" w:color="auto" w:sz="2" w:space="0"/>
              <w:left w:val="single" w:color="auto" w:sz="12" w:space="0"/>
              <w:bottom w:val="single" w:color="auto" w:sz="2" w:space="0"/>
              <w:right w:val="single" w:color="auto" w:sz="2" w:space="0"/>
            </w:tcBorders>
            <w:vAlign w:val="center"/>
          </w:tcPr>
          <w:p>
            <w:pPr>
              <w:pStyle w:val="1856"/>
              <w:snapToGrid w:val="0"/>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很低</w:t>
            </w:r>
          </w:p>
        </w:tc>
        <w:tc>
          <w:tcPr>
            <w:tcW w:w="6984" w:type="dxa"/>
            <w:tcBorders>
              <w:top w:val="single" w:color="auto" w:sz="2" w:space="0"/>
              <w:left w:val="single" w:color="auto" w:sz="2" w:space="0"/>
              <w:bottom w:val="single" w:color="auto" w:sz="2" w:space="0"/>
              <w:right w:val="single" w:color="auto" w:sz="12" w:space="0"/>
            </w:tcBorders>
            <w:vAlign w:val="center"/>
          </w:tcPr>
          <w:p>
            <w:pPr>
              <w:pStyle w:val="1856"/>
              <w:snapToGrid w:val="0"/>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0.001～0.01/（100～1000）个工作年</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Layout w:type="fixed"/>
          <w:tblCellMar>
            <w:top w:w="0" w:type="dxa"/>
            <w:left w:w="108" w:type="dxa"/>
            <w:bottom w:w="0" w:type="dxa"/>
            <w:right w:w="108" w:type="dxa"/>
          </w:tblCellMar>
        </w:tblPrEx>
        <w:trPr>
          <w:jc w:val="center"/>
        </w:trPr>
        <w:tc>
          <w:tcPr>
            <w:tcW w:w="1544" w:type="dxa"/>
            <w:tcBorders>
              <w:top w:val="single" w:color="auto" w:sz="2" w:space="0"/>
              <w:left w:val="single" w:color="auto" w:sz="12" w:space="0"/>
              <w:bottom w:val="single" w:color="auto" w:sz="2" w:space="0"/>
              <w:right w:val="single" w:color="auto" w:sz="2" w:space="0"/>
            </w:tcBorders>
            <w:vAlign w:val="center"/>
          </w:tcPr>
          <w:p>
            <w:pPr>
              <w:pStyle w:val="1856"/>
              <w:snapToGrid w:val="0"/>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极低</w:t>
            </w:r>
          </w:p>
        </w:tc>
        <w:tc>
          <w:tcPr>
            <w:tcW w:w="6984" w:type="dxa"/>
            <w:tcBorders>
              <w:top w:val="single" w:color="auto" w:sz="2" w:space="0"/>
              <w:left w:val="single" w:color="auto" w:sz="2" w:space="0"/>
              <w:bottom w:val="single" w:color="auto" w:sz="2" w:space="0"/>
              <w:right w:val="single" w:color="auto" w:sz="12" w:space="0"/>
            </w:tcBorders>
            <w:vAlign w:val="center"/>
          </w:tcPr>
          <w:p>
            <w:pPr>
              <w:pStyle w:val="1856"/>
              <w:snapToGrid w:val="0"/>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＜0.001/1000以上个工作年</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Layout w:type="fixed"/>
          <w:tblCellMar>
            <w:top w:w="0" w:type="dxa"/>
            <w:left w:w="108" w:type="dxa"/>
            <w:bottom w:w="0" w:type="dxa"/>
            <w:right w:w="108" w:type="dxa"/>
          </w:tblCellMar>
        </w:tblPrEx>
        <w:trPr>
          <w:jc w:val="center"/>
        </w:trPr>
        <w:tc>
          <w:tcPr>
            <w:tcW w:w="8528" w:type="dxa"/>
            <w:gridSpan w:val="2"/>
            <w:tcBorders>
              <w:top w:val="single" w:color="auto" w:sz="2" w:space="0"/>
              <w:left w:val="single" w:color="auto" w:sz="12" w:space="0"/>
              <w:bottom w:val="single" w:color="auto" w:sz="12" w:space="0"/>
              <w:right w:val="single" w:color="auto" w:sz="12" w:space="0"/>
            </w:tcBorders>
            <w:vAlign w:val="center"/>
          </w:tcPr>
          <w:p>
            <w:pPr>
              <w:pStyle w:val="1856"/>
              <w:snapToGrid w:val="0"/>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注：区间值前一个数量级包括本数，后一个数量级不包括本数，下同。</w:t>
            </w:r>
          </w:p>
        </w:tc>
      </w:tr>
    </w:tbl>
    <w:p>
      <w:pPr>
        <w:pStyle w:val="384"/>
        <w:ind w:left="0" w:firstLine="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水上溢油事故危害后果等级划分</w:t>
      </w:r>
    </w:p>
    <w:tbl>
      <w:tblPr>
        <w:tblStyle w:val="88"/>
        <w:tblW w:w="8528" w:type="dxa"/>
        <w:jc w:val="center"/>
        <w:tblInd w:w="0" w:type="dxa"/>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Layout w:type="fixed"/>
        <w:tblCellMar>
          <w:top w:w="0" w:type="dxa"/>
          <w:left w:w="108" w:type="dxa"/>
          <w:bottom w:w="0" w:type="dxa"/>
          <w:right w:w="108" w:type="dxa"/>
        </w:tblCellMar>
      </w:tblPr>
      <w:tblGrid>
        <w:gridCol w:w="809"/>
        <w:gridCol w:w="7719"/>
      </w:tblGrid>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Layout w:type="fixed"/>
          <w:tblCellMar>
            <w:top w:w="0" w:type="dxa"/>
            <w:left w:w="108" w:type="dxa"/>
            <w:bottom w:w="0" w:type="dxa"/>
            <w:right w:w="108" w:type="dxa"/>
          </w:tblCellMar>
        </w:tblPrEx>
        <w:trPr>
          <w:jc w:val="center"/>
        </w:trPr>
        <w:tc>
          <w:tcPr>
            <w:tcW w:w="809" w:type="dxa"/>
            <w:tcBorders>
              <w:top w:val="single" w:color="auto" w:sz="12" w:space="0"/>
              <w:left w:val="single" w:color="auto" w:sz="12" w:space="0"/>
              <w:bottom w:val="single" w:color="auto" w:sz="2" w:space="0"/>
              <w:right w:val="single" w:color="auto" w:sz="4" w:space="0"/>
            </w:tcBorders>
            <w:vAlign w:val="center"/>
          </w:tcPr>
          <w:p>
            <w:pPr>
              <w:pStyle w:val="2001"/>
            </w:pPr>
            <w:r>
              <w:t>级别</w:t>
            </w:r>
          </w:p>
        </w:tc>
        <w:tc>
          <w:tcPr>
            <w:tcW w:w="7719" w:type="dxa"/>
            <w:tcBorders>
              <w:top w:val="single" w:color="auto" w:sz="12" w:space="0"/>
              <w:left w:val="single" w:color="auto" w:sz="2" w:space="0"/>
              <w:bottom w:val="single" w:color="auto" w:sz="2" w:space="0"/>
              <w:right w:val="single" w:color="auto" w:sz="12" w:space="0"/>
            </w:tcBorders>
            <w:vAlign w:val="center"/>
          </w:tcPr>
          <w:p>
            <w:pPr>
              <w:pStyle w:val="2001"/>
            </w:pPr>
            <w:r>
              <w:t>详细说明</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Layout w:type="fixed"/>
          <w:tblCellMar>
            <w:top w:w="0" w:type="dxa"/>
            <w:left w:w="108" w:type="dxa"/>
            <w:bottom w:w="0" w:type="dxa"/>
            <w:right w:w="108" w:type="dxa"/>
          </w:tblCellMar>
        </w:tblPrEx>
        <w:trPr>
          <w:jc w:val="center"/>
        </w:trPr>
        <w:tc>
          <w:tcPr>
            <w:tcW w:w="809" w:type="dxa"/>
            <w:tcBorders>
              <w:top w:val="single" w:color="auto" w:sz="2" w:space="0"/>
              <w:left w:val="single" w:color="auto" w:sz="12" w:space="0"/>
              <w:bottom w:val="single" w:color="auto" w:sz="2" w:space="0"/>
              <w:right w:val="single" w:color="auto" w:sz="4" w:space="0"/>
            </w:tcBorders>
            <w:vAlign w:val="center"/>
          </w:tcPr>
          <w:p>
            <w:pPr>
              <w:pStyle w:val="1856"/>
              <w:snapToGrid w:val="0"/>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C1</w:t>
            </w:r>
          </w:p>
        </w:tc>
        <w:tc>
          <w:tcPr>
            <w:tcW w:w="7719" w:type="dxa"/>
            <w:tcBorders>
              <w:top w:val="single" w:color="auto" w:sz="2" w:space="0"/>
              <w:left w:val="single" w:color="auto" w:sz="2" w:space="0"/>
              <w:bottom w:val="single" w:color="auto" w:sz="2" w:space="0"/>
              <w:right w:val="single" w:color="auto" w:sz="12" w:space="0"/>
            </w:tcBorders>
            <w:vAlign w:val="center"/>
          </w:tcPr>
          <w:p>
            <w:pPr>
              <w:pStyle w:val="1856"/>
              <w:snapToGrid w:val="0"/>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溢油量10000t以上，或造成直接经济损失a10亿元以上，或危害后果指数值b≥20</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Layout w:type="fixed"/>
          <w:tblCellMar>
            <w:top w:w="0" w:type="dxa"/>
            <w:left w:w="108" w:type="dxa"/>
            <w:bottom w:w="0" w:type="dxa"/>
            <w:right w:w="108" w:type="dxa"/>
          </w:tblCellMar>
        </w:tblPrEx>
        <w:trPr>
          <w:jc w:val="center"/>
        </w:trPr>
        <w:tc>
          <w:tcPr>
            <w:tcW w:w="809" w:type="dxa"/>
            <w:tcBorders>
              <w:top w:val="single" w:color="auto" w:sz="2" w:space="0"/>
              <w:left w:val="single" w:color="auto" w:sz="12" w:space="0"/>
              <w:bottom w:val="single" w:color="auto" w:sz="2" w:space="0"/>
              <w:right w:val="single" w:color="auto" w:sz="4" w:space="0"/>
            </w:tcBorders>
            <w:vAlign w:val="center"/>
          </w:tcPr>
          <w:p>
            <w:pPr>
              <w:pStyle w:val="1856"/>
              <w:snapToGrid w:val="0"/>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C2</w:t>
            </w:r>
          </w:p>
        </w:tc>
        <w:tc>
          <w:tcPr>
            <w:tcW w:w="7719" w:type="dxa"/>
            <w:tcBorders>
              <w:top w:val="single" w:color="auto" w:sz="2" w:space="0"/>
              <w:left w:val="single" w:color="auto" w:sz="2" w:space="0"/>
              <w:bottom w:val="single" w:color="auto" w:sz="2" w:space="0"/>
              <w:right w:val="single" w:color="auto" w:sz="12" w:space="0"/>
            </w:tcBorders>
            <w:vAlign w:val="center"/>
          </w:tcPr>
          <w:p>
            <w:pPr>
              <w:pStyle w:val="1856"/>
              <w:snapToGrid w:val="0"/>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溢油量（1000～10000）t，或造成直接经济损失（2～10）亿元，或危害后果指数值16～20</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Layout w:type="fixed"/>
          <w:tblCellMar>
            <w:top w:w="0" w:type="dxa"/>
            <w:left w:w="108" w:type="dxa"/>
            <w:bottom w:w="0" w:type="dxa"/>
            <w:right w:w="108" w:type="dxa"/>
          </w:tblCellMar>
        </w:tblPrEx>
        <w:trPr>
          <w:jc w:val="center"/>
        </w:trPr>
        <w:tc>
          <w:tcPr>
            <w:tcW w:w="809" w:type="dxa"/>
            <w:tcBorders>
              <w:top w:val="single" w:color="auto" w:sz="2" w:space="0"/>
              <w:left w:val="single" w:color="auto" w:sz="12" w:space="0"/>
              <w:bottom w:val="single" w:color="auto" w:sz="2" w:space="0"/>
              <w:right w:val="single" w:color="auto" w:sz="4" w:space="0"/>
            </w:tcBorders>
            <w:vAlign w:val="center"/>
          </w:tcPr>
          <w:p>
            <w:pPr>
              <w:pStyle w:val="1856"/>
              <w:snapToGrid w:val="0"/>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C3</w:t>
            </w:r>
          </w:p>
        </w:tc>
        <w:tc>
          <w:tcPr>
            <w:tcW w:w="7719" w:type="dxa"/>
            <w:tcBorders>
              <w:top w:val="single" w:color="auto" w:sz="2" w:space="0"/>
              <w:left w:val="single" w:color="auto" w:sz="2" w:space="0"/>
              <w:bottom w:val="single" w:color="auto" w:sz="2" w:space="0"/>
              <w:right w:val="single" w:color="auto" w:sz="12" w:space="0"/>
            </w:tcBorders>
            <w:vAlign w:val="center"/>
          </w:tcPr>
          <w:p>
            <w:pPr>
              <w:pStyle w:val="1856"/>
              <w:snapToGrid w:val="0"/>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溢油量（500～1000）t，或造成直接经济损失（1～2）亿元，或危害后果指数值12～16</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Layout w:type="fixed"/>
          <w:tblCellMar>
            <w:top w:w="0" w:type="dxa"/>
            <w:left w:w="108" w:type="dxa"/>
            <w:bottom w:w="0" w:type="dxa"/>
            <w:right w:w="108" w:type="dxa"/>
          </w:tblCellMar>
        </w:tblPrEx>
        <w:trPr>
          <w:jc w:val="center"/>
        </w:trPr>
        <w:tc>
          <w:tcPr>
            <w:tcW w:w="809" w:type="dxa"/>
            <w:tcBorders>
              <w:top w:val="single" w:color="auto" w:sz="2" w:space="0"/>
              <w:left w:val="single" w:color="auto" w:sz="12" w:space="0"/>
              <w:bottom w:val="single" w:color="auto" w:sz="2" w:space="0"/>
              <w:right w:val="single" w:color="auto" w:sz="4" w:space="0"/>
            </w:tcBorders>
            <w:vAlign w:val="center"/>
          </w:tcPr>
          <w:p>
            <w:pPr>
              <w:pStyle w:val="1856"/>
              <w:snapToGrid w:val="0"/>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C4</w:t>
            </w:r>
          </w:p>
        </w:tc>
        <w:tc>
          <w:tcPr>
            <w:tcW w:w="7719" w:type="dxa"/>
            <w:tcBorders>
              <w:top w:val="single" w:color="auto" w:sz="2" w:space="0"/>
              <w:left w:val="single" w:color="auto" w:sz="2" w:space="0"/>
              <w:bottom w:val="single" w:color="auto" w:sz="2" w:space="0"/>
              <w:right w:val="single" w:color="auto" w:sz="12" w:space="0"/>
            </w:tcBorders>
            <w:vAlign w:val="center"/>
          </w:tcPr>
          <w:p>
            <w:pPr>
              <w:pStyle w:val="1856"/>
              <w:snapToGrid w:val="0"/>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溢油量（100～500）t，或造成直接经济损失5000万元～1亿元，或危害后果指数值8～12</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Layout w:type="fixed"/>
          <w:tblCellMar>
            <w:top w:w="0" w:type="dxa"/>
            <w:left w:w="108" w:type="dxa"/>
            <w:bottom w:w="0" w:type="dxa"/>
            <w:right w:w="108" w:type="dxa"/>
          </w:tblCellMar>
        </w:tblPrEx>
        <w:trPr>
          <w:jc w:val="center"/>
        </w:trPr>
        <w:tc>
          <w:tcPr>
            <w:tcW w:w="809" w:type="dxa"/>
            <w:tcBorders>
              <w:top w:val="single" w:color="auto" w:sz="2" w:space="0"/>
              <w:left w:val="single" w:color="auto" w:sz="12" w:space="0"/>
              <w:bottom w:val="single" w:color="auto" w:sz="2" w:space="0"/>
              <w:right w:val="single" w:color="auto" w:sz="4" w:space="0"/>
            </w:tcBorders>
            <w:vAlign w:val="center"/>
          </w:tcPr>
          <w:p>
            <w:pPr>
              <w:pStyle w:val="1856"/>
              <w:snapToGrid w:val="0"/>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C5</w:t>
            </w:r>
          </w:p>
        </w:tc>
        <w:tc>
          <w:tcPr>
            <w:tcW w:w="7719" w:type="dxa"/>
            <w:tcBorders>
              <w:top w:val="single" w:color="auto" w:sz="2" w:space="0"/>
              <w:left w:val="single" w:color="auto" w:sz="2" w:space="0"/>
              <w:bottom w:val="single" w:color="auto" w:sz="2" w:space="0"/>
              <w:right w:val="single" w:color="auto" w:sz="12" w:space="0"/>
            </w:tcBorders>
            <w:vAlign w:val="center"/>
          </w:tcPr>
          <w:p>
            <w:pPr>
              <w:pStyle w:val="1856"/>
              <w:snapToGrid w:val="0"/>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溢油量（50～100）t，或造成直接经济损失（1000～5000）万元，或危害后果指数值4～8</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Layout w:type="fixed"/>
          <w:tblCellMar>
            <w:top w:w="0" w:type="dxa"/>
            <w:left w:w="108" w:type="dxa"/>
            <w:bottom w:w="0" w:type="dxa"/>
            <w:right w:w="108" w:type="dxa"/>
          </w:tblCellMar>
        </w:tblPrEx>
        <w:trPr>
          <w:jc w:val="center"/>
        </w:trPr>
        <w:tc>
          <w:tcPr>
            <w:tcW w:w="809" w:type="dxa"/>
            <w:tcBorders>
              <w:top w:val="single" w:color="auto" w:sz="2" w:space="0"/>
              <w:left w:val="single" w:color="auto" w:sz="12" w:space="0"/>
              <w:bottom w:val="single" w:color="auto" w:sz="12" w:space="0"/>
              <w:right w:val="single" w:color="auto" w:sz="4" w:space="0"/>
            </w:tcBorders>
            <w:vAlign w:val="center"/>
          </w:tcPr>
          <w:p>
            <w:pPr>
              <w:pStyle w:val="1856"/>
              <w:snapToGrid w:val="0"/>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C6</w:t>
            </w:r>
          </w:p>
        </w:tc>
        <w:tc>
          <w:tcPr>
            <w:tcW w:w="7719" w:type="dxa"/>
            <w:tcBorders>
              <w:top w:val="single" w:color="auto" w:sz="2" w:space="0"/>
              <w:left w:val="single" w:color="auto" w:sz="2" w:space="0"/>
              <w:bottom w:val="single" w:color="auto" w:sz="12" w:space="0"/>
              <w:right w:val="single" w:color="auto" w:sz="12" w:space="0"/>
            </w:tcBorders>
            <w:vAlign w:val="center"/>
          </w:tcPr>
          <w:p>
            <w:pPr>
              <w:pStyle w:val="1856"/>
              <w:snapToGrid w:val="0"/>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溢油量50t以下，或造成直接经济损失不足1000万元，或危害后果指数值＜4</w:t>
            </w:r>
          </w:p>
        </w:tc>
      </w:tr>
    </w:tbl>
    <w:p>
      <w:pPr>
        <w:rPr>
          <w:color w:val="000000" w:themeColor="text1"/>
          <w:u w:val="single"/>
          <w14:textFill>
            <w14:solidFill>
              <w14:schemeClr w14:val="tx1"/>
            </w14:solidFill>
          </w14:textFill>
        </w:rPr>
      </w:pPr>
    </w:p>
    <w:tbl>
      <w:tblPr>
        <w:tblStyle w:val="88"/>
        <w:tblW w:w="8528" w:type="dxa"/>
        <w:jc w:val="center"/>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378"/>
        <w:gridCol w:w="616"/>
        <w:gridCol w:w="1253"/>
        <w:gridCol w:w="1269"/>
        <w:gridCol w:w="1253"/>
        <w:gridCol w:w="1253"/>
        <w:gridCol w:w="1253"/>
        <w:gridCol w:w="1253"/>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454" w:hRule="exact"/>
          <w:jc w:val="center"/>
        </w:trPr>
        <w:tc>
          <w:tcPr>
            <w:tcW w:w="378" w:type="dxa"/>
            <w:vMerge w:val="restart"/>
            <w:tcBorders>
              <w:top w:val="nil"/>
              <w:left w:val="nil"/>
              <w:bottom w:val="nil"/>
              <w:right w:val="nil"/>
            </w:tcBorders>
            <w:shd w:val="clear" w:color="auto" w:fill="auto"/>
            <w:vAlign w:val="center"/>
          </w:tcPr>
          <w:p>
            <w:pPr>
              <w:pStyle w:val="1009"/>
              <w:rPr>
                <w:color w:val="000000" w:themeColor="text1"/>
                <w:sz w:val="18"/>
                <w:szCs w:val="18"/>
                <w:u w:val="single"/>
                <w14:textFill>
                  <w14:solidFill>
                    <w14:schemeClr w14:val="tx1"/>
                  </w14:solidFill>
                </w14:textFill>
              </w:rPr>
            </w:pPr>
            <w:r>
              <w:rPr>
                <w:color w:val="000000" w:themeColor="text1"/>
                <w:sz w:val="18"/>
                <w:szCs w:val="18"/>
                <w:u w:val="single"/>
                <w14:textFill>
                  <w14:solidFill>
                    <w14:schemeClr w14:val="tx1"/>
                  </w14:solidFill>
                </w14:textFill>
              </w:rPr>
              <w:br w:type="page"/>
            </w:r>
            <w:r>
              <w:rPr>
                <w:color w:val="000000" w:themeColor="text1"/>
                <w:sz w:val="18"/>
                <w:szCs w:val="18"/>
                <w:u w:val="single"/>
                <w14:textFill>
                  <w14:solidFill>
                    <w14:schemeClr w14:val="tx1"/>
                  </w14:solidFill>
                </w14:textFill>
              </w:rPr>
              <mc:AlternateContent>
                <mc:Choice Requires="wps">
                  <w:drawing>
                    <wp:anchor distT="0" distB="0" distL="114300" distR="114300" simplePos="0" relativeHeight="251664384" behindDoc="0" locked="0" layoutInCell="1" allowOverlap="1">
                      <wp:simplePos x="0" y="0"/>
                      <wp:positionH relativeFrom="column">
                        <wp:posOffset>-36830</wp:posOffset>
                      </wp:positionH>
                      <wp:positionV relativeFrom="paragraph">
                        <wp:posOffset>76200</wp:posOffset>
                      </wp:positionV>
                      <wp:extent cx="121285" cy="1053465"/>
                      <wp:effectExtent l="19050" t="38100" r="12065" b="0"/>
                      <wp:wrapNone/>
                      <wp:docPr id="642921130" name="上箭头 16"/>
                      <wp:cNvGraphicFramePr/>
                      <a:graphic xmlns:a="http://schemas.openxmlformats.org/drawingml/2006/main">
                        <a:graphicData uri="http://schemas.microsoft.com/office/word/2010/wordprocessingShape">
                          <wps:wsp>
                            <wps:cNvSpPr>
                              <a:spLocks noChangeArrowheads="1"/>
                            </wps:cNvSpPr>
                            <wps:spPr bwMode="auto">
                              <a:xfrm>
                                <a:off x="0" y="0"/>
                                <a:ext cx="121285" cy="1053465"/>
                              </a:xfrm>
                              <a:prstGeom prst="upArrow">
                                <a:avLst>
                                  <a:gd name="adj1" fmla="val 50000"/>
                                  <a:gd name="adj2" fmla="val 217125"/>
                                </a:avLst>
                              </a:prstGeom>
                              <a:solidFill>
                                <a:srgbClr val="FFFFFF"/>
                              </a:solidFill>
                              <a:ln w="9525">
                                <a:solidFill>
                                  <a:srgbClr val="000000"/>
                                </a:solidFill>
                                <a:miter lim="800000"/>
                              </a:ln>
                            </wps:spPr>
                            <wps:bodyPr rot="0" vert="eaVert" wrap="square" lIns="91440" tIns="45720" rIns="91440" bIns="45720" anchor="t" anchorCtr="0" upright="1">
                              <a:noAutofit/>
                            </wps:bodyPr>
                          </wps:wsp>
                        </a:graphicData>
                      </a:graphic>
                    </wp:anchor>
                  </w:drawing>
                </mc:Choice>
                <mc:Fallback>
                  <w:pict>
                    <v:shape id="上箭头 16" o:spid="_x0000_s1026" o:spt="68" type="#_x0000_t68" style="position:absolute;left:0pt;margin-left:-2.9pt;margin-top:6pt;height:82.95pt;width:9.55pt;z-index:251664384;mso-width-relative:page;mso-height-relative:page;" fillcolor="#FFFFFF" filled="t" stroked="t" coordsize="21600,21600" o:gfxdata="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" adj="5399,5400">
                      <v:fill on="t" focussize="0,0"/>
                      <v:stroke color="#000000" miterlimit="8" joinstyle="miter"/>
                      <v:imagedata o:title=""/>
                      <o:lock v:ext="edit" aspectratio="f"/>
                      <v:textbox style="layout-flow:vertical-ideographic;"/>
                    </v:shape>
                  </w:pict>
                </mc:Fallback>
              </mc:AlternateContent>
            </w:r>
          </w:p>
        </w:tc>
        <w:tc>
          <w:tcPr>
            <w:tcW w:w="616" w:type="dxa"/>
            <w:tcBorders>
              <w:top w:val="nil"/>
              <w:left w:val="nil"/>
              <w:bottom w:val="nil"/>
              <w:right w:val="single" w:color="auto" w:sz="8" w:space="0"/>
            </w:tcBorders>
            <w:shd w:val="clear" w:color="auto" w:fill="auto"/>
            <w:vAlign w:val="center"/>
          </w:tcPr>
          <w:p>
            <w:pPr>
              <w:pStyle w:val="1009"/>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很高</w:t>
            </w:r>
          </w:p>
        </w:tc>
        <w:tc>
          <w:tcPr>
            <w:tcW w:w="1253" w:type="dxa"/>
            <w:tcBorders>
              <w:top w:val="single" w:color="auto" w:sz="8" w:space="0"/>
              <w:left w:val="single" w:color="auto" w:sz="8" w:space="0"/>
              <w:bottom w:val="single" w:color="auto" w:sz="8" w:space="0"/>
              <w:right w:val="single" w:color="auto" w:sz="8" w:space="0"/>
            </w:tcBorders>
            <w:shd w:val="clear" w:color="auto" w:fill="A6A6A6"/>
            <w:vAlign w:val="center"/>
          </w:tcPr>
          <w:p>
            <w:pPr>
              <w:pStyle w:val="1009"/>
              <w:rPr>
                <w:color w:val="000000" w:themeColor="text1"/>
                <w:sz w:val="18"/>
                <w:szCs w:val="18"/>
                <w:u w:val="single"/>
                <w14:textFill>
                  <w14:solidFill>
                    <w14:schemeClr w14:val="tx1"/>
                  </w14:solidFill>
                </w14:textFill>
              </w:rPr>
            </w:pPr>
          </w:p>
        </w:tc>
        <w:tc>
          <w:tcPr>
            <w:tcW w:w="1269" w:type="dxa"/>
            <w:tcBorders>
              <w:top w:val="single" w:color="auto" w:sz="8" w:space="0"/>
              <w:left w:val="single" w:color="auto" w:sz="8" w:space="0"/>
              <w:bottom w:val="single" w:color="auto" w:sz="8" w:space="0"/>
              <w:right w:val="single" w:color="auto" w:sz="8" w:space="0"/>
            </w:tcBorders>
            <w:shd w:val="clear" w:color="auto" w:fill="A6A6A6"/>
            <w:vAlign w:val="center"/>
          </w:tcPr>
          <w:p>
            <w:pPr>
              <w:pStyle w:val="1009"/>
              <w:rPr>
                <w:color w:val="000000" w:themeColor="text1"/>
                <w:sz w:val="18"/>
                <w:szCs w:val="18"/>
                <w:u w:val="single"/>
                <w14:textFill>
                  <w14:solidFill>
                    <w14:schemeClr w14:val="tx1"/>
                  </w14:solidFill>
                </w14:textFill>
              </w:rPr>
            </w:pPr>
          </w:p>
        </w:tc>
        <w:tc>
          <w:tcPr>
            <w:tcW w:w="1253" w:type="dxa"/>
            <w:tcBorders>
              <w:top w:val="single" w:color="auto" w:sz="8" w:space="0"/>
              <w:left w:val="single" w:color="auto" w:sz="8" w:space="0"/>
              <w:bottom w:val="single" w:color="auto" w:sz="8" w:space="0"/>
              <w:right w:val="single" w:color="auto" w:sz="8" w:space="0"/>
            </w:tcBorders>
            <w:shd w:val="clear" w:color="auto" w:fill="595959"/>
            <w:vAlign w:val="center"/>
          </w:tcPr>
          <w:p>
            <w:pPr>
              <w:pStyle w:val="1009"/>
              <w:rPr>
                <w:color w:val="000000" w:themeColor="text1"/>
                <w:sz w:val="18"/>
                <w:szCs w:val="18"/>
                <w:u w:val="single"/>
                <w14:textFill>
                  <w14:solidFill>
                    <w14:schemeClr w14:val="tx1"/>
                  </w14:solidFill>
                </w14:textFill>
              </w:rPr>
            </w:pPr>
          </w:p>
        </w:tc>
        <w:tc>
          <w:tcPr>
            <w:tcW w:w="1253" w:type="dxa"/>
            <w:tcBorders>
              <w:top w:val="single" w:color="auto" w:sz="8" w:space="0"/>
              <w:left w:val="single" w:color="auto" w:sz="8" w:space="0"/>
              <w:bottom w:val="single" w:color="auto" w:sz="8" w:space="0"/>
              <w:right w:val="single" w:color="auto" w:sz="8" w:space="0"/>
            </w:tcBorders>
            <w:shd w:val="clear" w:color="auto" w:fill="595959"/>
            <w:vAlign w:val="center"/>
          </w:tcPr>
          <w:p>
            <w:pPr>
              <w:pStyle w:val="1009"/>
              <w:rPr>
                <w:color w:val="000000" w:themeColor="text1"/>
                <w:sz w:val="18"/>
                <w:szCs w:val="18"/>
                <w:u w:val="single"/>
                <w14:textFill>
                  <w14:solidFill>
                    <w14:schemeClr w14:val="tx1"/>
                  </w14:solidFill>
                </w14:textFill>
              </w:rPr>
            </w:pPr>
          </w:p>
        </w:tc>
        <w:tc>
          <w:tcPr>
            <w:tcW w:w="1253" w:type="dxa"/>
            <w:tcBorders>
              <w:top w:val="single" w:color="auto" w:sz="8" w:space="0"/>
              <w:left w:val="single" w:color="auto" w:sz="8" w:space="0"/>
              <w:bottom w:val="single" w:color="auto" w:sz="8" w:space="0"/>
              <w:right w:val="single" w:color="auto" w:sz="8" w:space="0"/>
            </w:tcBorders>
            <w:shd w:val="clear" w:color="auto" w:fill="595959"/>
            <w:vAlign w:val="center"/>
          </w:tcPr>
          <w:p>
            <w:pPr>
              <w:pStyle w:val="1009"/>
              <w:rPr>
                <w:color w:val="000000" w:themeColor="text1"/>
                <w:sz w:val="18"/>
                <w:szCs w:val="18"/>
                <w:u w:val="single"/>
                <w14:textFill>
                  <w14:solidFill>
                    <w14:schemeClr w14:val="tx1"/>
                  </w14:solidFill>
                </w14:textFill>
              </w:rPr>
            </w:pPr>
          </w:p>
        </w:tc>
        <w:tc>
          <w:tcPr>
            <w:tcW w:w="1253" w:type="dxa"/>
            <w:tcBorders>
              <w:top w:val="single" w:color="auto" w:sz="8" w:space="0"/>
              <w:left w:val="single" w:color="auto" w:sz="8" w:space="0"/>
              <w:bottom w:val="single" w:color="auto" w:sz="8" w:space="0"/>
              <w:right w:val="single" w:color="auto" w:sz="8" w:space="0"/>
            </w:tcBorders>
            <w:shd w:val="clear" w:color="auto" w:fill="595959"/>
            <w:vAlign w:val="center"/>
          </w:tcPr>
          <w:p>
            <w:pPr>
              <w:pStyle w:val="1009"/>
              <w:rPr>
                <w:color w:val="000000" w:themeColor="text1"/>
                <w:sz w:val="18"/>
                <w:szCs w:val="18"/>
                <w:u w:val="single"/>
                <w14:textFill>
                  <w14:solidFill>
                    <w14:schemeClr w14:val="tx1"/>
                  </w14:solidFill>
                </w14:textFill>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454" w:hRule="exact"/>
          <w:jc w:val="center"/>
        </w:trPr>
        <w:tc>
          <w:tcPr>
            <w:tcW w:w="378" w:type="dxa"/>
            <w:vMerge w:val="continue"/>
            <w:tcBorders>
              <w:top w:val="nil"/>
              <w:left w:val="nil"/>
              <w:bottom w:val="nil"/>
              <w:right w:val="nil"/>
            </w:tcBorders>
            <w:shd w:val="clear" w:color="auto" w:fill="auto"/>
            <w:vAlign w:val="center"/>
          </w:tcPr>
          <w:p>
            <w:pPr>
              <w:pStyle w:val="1009"/>
              <w:rPr>
                <w:color w:val="000000" w:themeColor="text1"/>
                <w:sz w:val="18"/>
                <w:szCs w:val="18"/>
                <w:u w:val="single"/>
                <w14:textFill>
                  <w14:solidFill>
                    <w14:schemeClr w14:val="tx1"/>
                  </w14:solidFill>
                </w14:textFill>
              </w:rPr>
            </w:pPr>
          </w:p>
        </w:tc>
        <w:tc>
          <w:tcPr>
            <w:tcW w:w="616" w:type="dxa"/>
            <w:tcBorders>
              <w:top w:val="nil"/>
              <w:left w:val="nil"/>
              <w:bottom w:val="nil"/>
              <w:right w:val="single" w:color="auto" w:sz="8" w:space="0"/>
            </w:tcBorders>
            <w:shd w:val="clear" w:color="auto" w:fill="auto"/>
            <w:vAlign w:val="center"/>
          </w:tcPr>
          <w:p>
            <w:pPr>
              <w:pStyle w:val="1009"/>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较高</w:t>
            </w:r>
          </w:p>
        </w:tc>
        <w:tc>
          <w:tcPr>
            <w:tcW w:w="1253" w:type="dxa"/>
            <w:tcBorders>
              <w:top w:val="single" w:color="auto" w:sz="8" w:space="0"/>
              <w:left w:val="single" w:color="auto" w:sz="8" w:space="0"/>
              <w:bottom w:val="single" w:color="auto" w:sz="8" w:space="0"/>
              <w:right w:val="single" w:color="auto" w:sz="8" w:space="0"/>
            </w:tcBorders>
            <w:shd w:val="clear" w:color="auto" w:fill="A6A6A6"/>
            <w:vAlign w:val="center"/>
          </w:tcPr>
          <w:p>
            <w:pPr>
              <w:pStyle w:val="1009"/>
              <w:rPr>
                <w:color w:val="000000" w:themeColor="text1"/>
                <w:sz w:val="18"/>
                <w:szCs w:val="18"/>
                <w:u w:val="single"/>
                <w14:textFill>
                  <w14:solidFill>
                    <w14:schemeClr w14:val="tx1"/>
                  </w14:solidFill>
                </w14:textFill>
              </w:rPr>
            </w:pPr>
          </w:p>
        </w:tc>
        <w:tc>
          <w:tcPr>
            <w:tcW w:w="1269" w:type="dxa"/>
            <w:tcBorders>
              <w:top w:val="single" w:color="auto" w:sz="8" w:space="0"/>
              <w:left w:val="single" w:color="auto" w:sz="8" w:space="0"/>
              <w:bottom w:val="single" w:color="auto" w:sz="8" w:space="0"/>
              <w:right w:val="single" w:color="auto" w:sz="8" w:space="0"/>
            </w:tcBorders>
            <w:shd w:val="clear" w:color="auto" w:fill="A6A6A6"/>
            <w:vAlign w:val="center"/>
          </w:tcPr>
          <w:p>
            <w:pPr>
              <w:pStyle w:val="1009"/>
              <w:rPr>
                <w:color w:val="000000" w:themeColor="text1"/>
                <w:sz w:val="18"/>
                <w:szCs w:val="18"/>
                <w14:textFill>
                  <w14:solidFill>
                    <w14:schemeClr w14:val="tx1"/>
                  </w14:solidFill>
                </w14:textFill>
              </w:rPr>
            </w:pPr>
          </w:p>
        </w:tc>
        <w:tc>
          <w:tcPr>
            <w:tcW w:w="1253" w:type="dxa"/>
            <w:tcBorders>
              <w:top w:val="single" w:color="auto" w:sz="8" w:space="0"/>
              <w:left w:val="single" w:color="auto" w:sz="8" w:space="0"/>
              <w:bottom w:val="single" w:color="auto" w:sz="8" w:space="0"/>
              <w:right w:val="single" w:color="auto" w:sz="8" w:space="0"/>
            </w:tcBorders>
            <w:shd w:val="clear" w:color="auto" w:fill="A6A6A6"/>
            <w:vAlign w:val="center"/>
          </w:tcPr>
          <w:p>
            <w:pPr>
              <w:pStyle w:val="1009"/>
              <w:rPr>
                <w:color w:val="000000" w:themeColor="text1"/>
                <w:sz w:val="18"/>
                <w:szCs w:val="18"/>
                <w14:textFill>
                  <w14:solidFill>
                    <w14:schemeClr w14:val="tx1"/>
                  </w14:solidFill>
                </w14:textFill>
              </w:rPr>
            </w:pPr>
          </w:p>
        </w:tc>
        <w:tc>
          <w:tcPr>
            <w:tcW w:w="1253" w:type="dxa"/>
            <w:tcBorders>
              <w:top w:val="single" w:color="auto" w:sz="8" w:space="0"/>
              <w:left w:val="single" w:color="auto" w:sz="8" w:space="0"/>
              <w:bottom w:val="single" w:color="auto" w:sz="8" w:space="0"/>
              <w:right w:val="single" w:color="auto" w:sz="8" w:space="0"/>
            </w:tcBorders>
            <w:shd w:val="clear" w:color="auto" w:fill="595959"/>
            <w:vAlign w:val="center"/>
          </w:tcPr>
          <w:p>
            <w:pPr>
              <w:pStyle w:val="1009"/>
              <w:rPr>
                <w:color w:val="000000" w:themeColor="text1"/>
                <w:sz w:val="18"/>
                <w:szCs w:val="18"/>
                <w14:textFill>
                  <w14:solidFill>
                    <w14:schemeClr w14:val="tx1"/>
                  </w14:solidFill>
                </w14:textFill>
              </w:rPr>
            </w:pPr>
          </w:p>
        </w:tc>
        <w:tc>
          <w:tcPr>
            <w:tcW w:w="1253" w:type="dxa"/>
            <w:tcBorders>
              <w:top w:val="single" w:color="auto" w:sz="8" w:space="0"/>
              <w:left w:val="single" w:color="auto" w:sz="8" w:space="0"/>
              <w:bottom w:val="single" w:color="auto" w:sz="8" w:space="0"/>
              <w:right w:val="single" w:color="auto" w:sz="8" w:space="0"/>
            </w:tcBorders>
            <w:shd w:val="clear" w:color="auto" w:fill="595959"/>
            <w:vAlign w:val="center"/>
          </w:tcPr>
          <w:p>
            <w:pPr>
              <w:pStyle w:val="1009"/>
              <w:rPr>
                <w:b/>
                <w:color w:val="000000" w:themeColor="text1"/>
                <w:sz w:val="18"/>
                <w:szCs w:val="18"/>
                <w14:textFill>
                  <w14:solidFill>
                    <w14:schemeClr w14:val="tx1"/>
                  </w14:solidFill>
                </w14:textFill>
              </w:rPr>
            </w:pPr>
            <w:r>
              <w:rPr>
                <w:b/>
                <w:color w:val="000000" w:themeColor="text1"/>
                <w:sz w:val="18"/>
                <w:szCs w:val="18"/>
                <w14:textFill>
                  <w14:solidFill>
                    <w14:schemeClr w14:val="tx1"/>
                  </w14:solidFill>
                </w14:textFill>
              </w:rPr>
              <w:t>高风险区</w:t>
            </w:r>
          </w:p>
        </w:tc>
        <w:tc>
          <w:tcPr>
            <w:tcW w:w="1253" w:type="dxa"/>
            <w:tcBorders>
              <w:top w:val="single" w:color="auto" w:sz="8" w:space="0"/>
              <w:left w:val="single" w:color="auto" w:sz="8" w:space="0"/>
              <w:bottom w:val="single" w:color="auto" w:sz="8" w:space="0"/>
              <w:right w:val="single" w:color="auto" w:sz="8" w:space="0"/>
            </w:tcBorders>
            <w:shd w:val="clear" w:color="auto" w:fill="595959"/>
            <w:vAlign w:val="center"/>
          </w:tcPr>
          <w:p>
            <w:pPr>
              <w:pStyle w:val="1009"/>
              <w:rPr>
                <w:color w:val="000000" w:themeColor="text1"/>
                <w:sz w:val="18"/>
                <w:szCs w:val="18"/>
                <w14:textFill>
                  <w14:solidFill>
                    <w14:schemeClr w14:val="tx1"/>
                  </w14:solidFill>
                </w14:textFill>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454" w:hRule="exact"/>
          <w:jc w:val="center"/>
        </w:trPr>
        <w:tc>
          <w:tcPr>
            <w:tcW w:w="378" w:type="dxa"/>
            <w:vMerge w:val="continue"/>
            <w:tcBorders>
              <w:top w:val="nil"/>
              <w:left w:val="nil"/>
              <w:bottom w:val="nil"/>
              <w:right w:val="nil"/>
            </w:tcBorders>
            <w:shd w:val="clear" w:color="auto" w:fill="auto"/>
            <w:vAlign w:val="center"/>
          </w:tcPr>
          <w:p>
            <w:pPr>
              <w:pStyle w:val="1009"/>
              <w:rPr>
                <w:color w:val="000000" w:themeColor="text1"/>
                <w:sz w:val="18"/>
                <w:szCs w:val="18"/>
                <w:u w:val="single"/>
                <w14:textFill>
                  <w14:solidFill>
                    <w14:schemeClr w14:val="tx1"/>
                  </w14:solidFill>
                </w14:textFill>
              </w:rPr>
            </w:pPr>
          </w:p>
        </w:tc>
        <w:tc>
          <w:tcPr>
            <w:tcW w:w="616" w:type="dxa"/>
            <w:tcBorders>
              <w:top w:val="nil"/>
              <w:left w:val="nil"/>
              <w:bottom w:val="nil"/>
              <w:right w:val="single" w:color="auto" w:sz="8" w:space="0"/>
            </w:tcBorders>
            <w:shd w:val="clear" w:color="auto" w:fill="auto"/>
            <w:vAlign w:val="center"/>
          </w:tcPr>
          <w:p>
            <w:pPr>
              <w:pStyle w:val="1009"/>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中等</w:t>
            </w:r>
          </w:p>
        </w:tc>
        <w:tc>
          <w:tcPr>
            <w:tcW w:w="1253" w:type="dxa"/>
            <w:tcBorders>
              <w:top w:val="single" w:color="auto" w:sz="8" w:space="0"/>
              <w:left w:val="single" w:color="auto" w:sz="8" w:space="0"/>
              <w:bottom w:val="single" w:color="auto" w:sz="8" w:space="0"/>
              <w:right w:val="single" w:color="auto" w:sz="8" w:space="0"/>
            </w:tcBorders>
            <w:shd w:val="clear" w:color="auto" w:fill="D9D9D9"/>
            <w:vAlign w:val="center"/>
          </w:tcPr>
          <w:p>
            <w:pPr>
              <w:pStyle w:val="1009"/>
              <w:rPr>
                <w:color w:val="000000" w:themeColor="text1"/>
                <w:sz w:val="18"/>
                <w:szCs w:val="18"/>
                <w:u w:val="single"/>
                <w14:textFill>
                  <w14:solidFill>
                    <w14:schemeClr w14:val="tx1"/>
                  </w14:solidFill>
                </w14:textFill>
              </w:rPr>
            </w:pPr>
          </w:p>
        </w:tc>
        <w:tc>
          <w:tcPr>
            <w:tcW w:w="1269" w:type="dxa"/>
            <w:tcBorders>
              <w:top w:val="single" w:color="auto" w:sz="8" w:space="0"/>
              <w:left w:val="single" w:color="auto" w:sz="8" w:space="0"/>
              <w:bottom w:val="single" w:color="auto" w:sz="8" w:space="0"/>
              <w:right w:val="single" w:color="auto" w:sz="8" w:space="0"/>
            </w:tcBorders>
            <w:shd w:val="clear" w:color="auto" w:fill="A6A6A6"/>
            <w:vAlign w:val="center"/>
          </w:tcPr>
          <w:p>
            <w:pPr>
              <w:pStyle w:val="1009"/>
              <w:rPr>
                <w:color w:val="000000" w:themeColor="text1"/>
                <w:sz w:val="18"/>
                <w:szCs w:val="18"/>
                <w14:textFill>
                  <w14:solidFill>
                    <w14:schemeClr w14:val="tx1"/>
                  </w14:solidFill>
                </w14:textFill>
              </w:rPr>
            </w:pPr>
          </w:p>
        </w:tc>
        <w:tc>
          <w:tcPr>
            <w:tcW w:w="1253" w:type="dxa"/>
            <w:tcBorders>
              <w:top w:val="single" w:color="auto" w:sz="8" w:space="0"/>
              <w:left w:val="single" w:color="auto" w:sz="8" w:space="0"/>
              <w:bottom w:val="single" w:color="auto" w:sz="8" w:space="0"/>
              <w:right w:val="single" w:color="auto" w:sz="8" w:space="0"/>
            </w:tcBorders>
            <w:shd w:val="clear" w:color="auto" w:fill="A6A6A6"/>
            <w:vAlign w:val="center"/>
          </w:tcPr>
          <w:p>
            <w:pPr>
              <w:pStyle w:val="1009"/>
              <w:rPr>
                <w:b/>
                <w:color w:val="000000" w:themeColor="text1"/>
                <w:sz w:val="18"/>
                <w:szCs w:val="18"/>
                <w14:textFill>
                  <w14:solidFill>
                    <w14:schemeClr w14:val="tx1"/>
                  </w14:solidFill>
                </w14:textFill>
              </w:rPr>
            </w:pPr>
          </w:p>
        </w:tc>
        <w:tc>
          <w:tcPr>
            <w:tcW w:w="1253" w:type="dxa"/>
            <w:tcBorders>
              <w:top w:val="single" w:color="auto" w:sz="8" w:space="0"/>
              <w:left w:val="single" w:color="auto" w:sz="8" w:space="0"/>
              <w:bottom w:val="single" w:color="auto" w:sz="8" w:space="0"/>
              <w:right w:val="single" w:color="auto" w:sz="8" w:space="0"/>
            </w:tcBorders>
            <w:shd w:val="clear" w:color="auto" w:fill="A6A6A6"/>
            <w:vAlign w:val="center"/>
          </w:tcPr>
          <w:p>
            <w:pPr>
              <w:pStyle w:val="1009"/>
              <w:rPr>
                <w:color w:val="000000" w:themeColor="text1"/>
                <w:sz w:val="18"/>
                <w:szCs w:val="18"/>
                <w14:textFill>
                  <w14:solidFill>
                    <w14:schemeClr w14:val="tx1"/>
                  </w14:solidFill>
                </w14:textFill>
              </w:rPr>
            </w:pPr>
          </w:p>
        </w:tc>
        <w:tc>
          <w:tcPr>
            <w:tcW w:w="1253" w:type="dxa"/>
            <w:tcBorders>
              <w:top w:val="single" w:color="auto" w:sz="8" w:space="0"/>
              <w:left w:val="single" w:color="auto" w:sz="8" w:space="0"/>
              <w:bottom w:val="single" w:color="auto" w:sz="8" w:space="0"/>
              <w:right w:val="single" w:color="auto" w:sz="8" w:space="0"/>
            </w:tcBorders>
            <w:shd w:val="clear" w:color="auto" w:fill="595959"/>
            <w:vAlign w:val="center"/>
          </w:tcPr>
          <w:p>
            <w:pPr>
              <w:pStyle w:val="1009"/>
              <w:rPr>
                <w:color w:val="000000" w:themeColor="text1"/>
                <w:sz w:val="18"/>
                <w:szCs w:val="18"/>
                <w14:textFill>
                  <w14:solidFill>
                    <w14:schemeClr w14:val="tx1"/>
                  </w14:solidFill>
                </w14:textFill>
              </w:rPr>
            </w:pPr>
          </w:p>
        </w:tc>
        <w:tc>
          <w:tcPr>
            <w:tcW w:w="1253" w:type="dxa"/>
            <w:tcBorders>
              <w:top w:val="single" w:color="auto" w:sz="8" w:space="0"/>
              <w:left w:val="single" w:color="auto" w:sz="8" w:space="0"/>
              <w:bottom w:val="single" w:color="auto" w:sz="8" w:space="0"/>
              <w:right w:val="single" w:color="auto" w:sz="8" w:space="0"/>
            </w:tcBorders>
            <w:shd w:val="clear" w:color="auto" w:fill="595959"/>
            <w:vAlign w:val="center"/>
          </w:tcPr>
          <w:p>
            <w:pPr>
              <w:pStyle w:val="1009"/>
              <w:rPr>
                <w:color w:val="000000" w:themeColor="text1"/>
                <w:sz w:val="18"/>
                <w:szCs w:val="18"/>
                <w14:textFill>
                  <w14:solidFill>
                    <w14:schemeClr w14:val="tx1"/>
                  </w14:solidFill>
                </w14:textFill>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454" w:hRule="exact"/>
          <w:jc w:val="center"/>
        </w:trPr>
        <w:tc>
          <w:tcPr>
            <w:tcW w:w="378" w:type="dxa"/>
            <w:vMerge w:val="continue"/>
            <w:tcBorders>
              <w:top w:val="nil"/>
              <w:left w:val="nil"/>
              <w:bottom w:val="nil"/>
              <w:right w:val="nil"/>
            </w:tcBorders>
            <w:shd w:val="clear" w:color="auto" w:fill="auto"/>
            <w:vAlign w:val="center"/>
          </w:tcPr>
          <w:p>
            <w:pPr>
              <w:pStyle w:val="1009"/>
              <w:rPr>
                <w:color w:val="000000" w:themeColor="text1"/>
                <w:sz w:val="18"/>
                <w:szCs w:val="18"/>
                <w:u w:val="single"/>
                <w14:textFill>
                  <w14:solidFill>
                    <w14:schemeClr w14:val="tx1"/>
                  </w14:solidFill>
                </w14:textFill>
              </w:rPr>
            </w:pPr>
          </w:p>
        </w:tc>
        <w:tc>
          <w:tcPr>
            <w:tcW w:w="616" w:type="dxa"/>
            <w:tcBorders>
              <w:top w:val="nil"/>
              <w:left w:val="nil"/>
              <w:bottom w:val="nil"/>
              <w:right w:val="single" w:color="auto" w:sz="8" w:space="0"/>
            </w:tcBorders>
            <w:shd w:val="clear" w:color="auto" w:fill="auto"/>
            <w:vAlign w:val="center"/>
          </w:tcPr>
          <w:p>
            <w:pPr>
              <w:pStyle w:val="1009"/>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较低</w:t>
            </w:r>
          </w:p>
        </w:tc>
        <w:tc>
          <w:tcPr>
            <w:tcW w:w="1253" w:type="dxa"/>
            <w:tcBorders>
              <w:top w:val="single" w:color="auto" w:sz="8" w:space="0"/>
              <w:left w:val="single" w:color="auto" w:sz="8" w:space="0"/>
              <w:bottom w:val="single" w:color="auto" w:sz="8" w:space="0"/>
              <w:right w:val="single" w:color="auto" w:sz="8" w:space="0"/>
            </w:tcBorders>
            <w:shd w:val="clear" w:color="auto" w:fill="D9D9D9"/>
            <w:vAlign w:val="center"/>
          </w:tcPr>
          <w:p>
            <w:pPr>
              <w:pStyle w:val="1009"/>
              <w:rPr>
                <w:color w:val="000000" w:themeColor="text1"/>
                <w:sz w:val="18"/>
                <w:szCs w:val="18"/>
                <w:u w:val="single"/>
                <w14:textFill>
                  <w14:solidFill>
                    <w14:schemeClr w14:val="tx1"/>
                  </w14:solidFill>
                </w14:textFill>
              </w:rPr>
            </w:pPr>
          </w:p>
        </w:tc>
        <w:tc>
          <w:tcPr>
            <w:tcW w:w="1269" w:type="dxa"/>
            <w:tcBorders>
              <w:top w:val="single" w:color="auto" w:sz="8" w:space="0"/>
              <w:left w:val="single" w:color="auto" w:sz="8" w:space="0"/>
              <w:bottom w:val="single" w:color="auto" w:sz="8" w:space="0"/>
              <w:right w:val="single" w:color="auto" w:sz="8" w:space="0"/>
            </w:tcBorders>
            <w:shd w:val="clear" w:color="auto" w:fill="D9D9D9"/>
            <w:vAlign w:val="center"/>
          </w:tcPr>
          <w:p>
            <w:pPr>
              <w:pStyle w:val="1009"/>
              <w:rPr>
                <w:color w:val="000000" w:themeColor="text1"/>
                <w:sz w:val="18"/>
                <w:szCs w:val="18"/>
                <w14:textFill>
                  <w14:solidFill>
                    <w14:schemeClr w14:val="tx1"/>
                  </w14:solidFill>
                </w14:textFill>
              </w:rPr>
            </w:pPr>
          </w:p>
        </w:tc>
        <w:tc>
          <w:tcPr>
            <w:tcW w:w="1253" w:type="dxa"/>
            <w:tcBorders>
              <w:top w:val="single" w:color="auto" w:sz="8" w:space="0"/>
              <w:left w:val="single" w:color="auto" w:sz="8" w:space="0"/>
              <w:bottom w:val="single" w:color="auto" w:sz="8" w:space="0"/>
              <w:right w:val="single" w:color="auto" w:sz="8" w:space="0"/>
            </w:tcBorders>
            <w:shd w:val="clear" w:color="auto" w:fill="A6A6A6"/>
            <w:vAlign w:val="center"/>
          </w:tcPr>
          <w:p>
            <w:pPr>
              <w:pStyle w:val="1009"/>
              <w:rPr>
                <w:color w:val="000000" w:themeColor="text1"/>
                <w:sz w:val="18"/>
                <w:szCs w:val="18"/>
                <w14:textFill>
                  <w14:solidFill>
                    <w14:schemeClr w14:val="tx1"/>
                  </w14:solidFill>
                </w14:textFill>
              </w:rPr>
            </w:pPr>
          </w:p>
        </w:tc>
        <w:tc>
          <w:tcPr>
            <w:tcW w:w="1253" w:type="dxa"/>
            <w:tcBorders>
              <w:top w:val="single" w:color="auto" w:sz="8" w:space="0"/>
              <w:left w:val="single" w:color="auto" w:sz="8" w:space="0"/>
              <w:bottom w:val="single" w:color="auto" w:sz="8" w:space="0"/>
              <w:right w:val="single" w:color="auto" w:sz="8" w:space="0"/>
            </w:tcBorders>
            <w:shd w:val="clear" w:color="auto" w:fill="A6A6A6"/>
            <w:vAlign w:val="center"/>
          </w:tcPr>
          <w:p>
            <w:pPr>
              <w:pStyle w:val="1009"/>
              <w:rPr>
                <w:color w:val="000000" w:themeColor="text1"/>
                <w:sz w:val="18"/>
                <w:szCs w:val="18"/>
                <w14:textFill>
                  <w14:solidFill>
                    <w14:schemeClr w14:val="tx1"/>
                  </w14:solidFill>
                </w14:textFill>
              </w:rPr>
            </w:pPr>
          </w:p>
        </w:tc>
        <w:tc>
          <w:tcPr>
            <w:tcW w:w="1253" w:type="dxa"/>
            <w:tcBorders>
              <w:top w:val="single" w:color="auto" w:sz="8" w:space="0"/>
              <w:left w:val="single" w:color="auto" w:sz="8" w:space="0"/>
              <w:bottom w:val="single" w:color="auto" w:sz="8" w:space="0"/>
              <w:right w:val="single" w:color="auto" w:sz="8" w:space="0"/>
            </w:tcBorders>
            <w:shd w:val="clear" w:color="auto" w:fill="A6A6A6"/>
            <w:vAlign w:val="center"/>
          </w:tcPr>
          <w:p>
            <w:pPr>
              <w:pStyle w:val="1009"/>
              <w:rPr>
                <w:color w:val="000000" w:themeColor="text1"/>
                <w:sz w:val="18"/>
                <w:szCs w:val="18"/>
                <w14:textFill>
                  <w14:solidFill>
                    <w14:schemeClr w14:val="tx1"/>
                  </w14:solidFill>
                </w14:textFill>
              </w:rPr>
            </w:pPr>
          </w:p>
        </w:tc>
        <w:tc>
          <w:tcPr>
            <w:tcW w:w="1253" w:type="dxa"/>
            <w:tcBorders>
              <w:top w:val="single" w:color="auto" w:sz="8" w:space="0"/>
              <w:left w:val="single" w:color="auto" w:sz="8" w:space="0"/>
              <w:bottom w:val="single" w:color="auto" w:sz="8" w:space="0"/>
              <w:right w:val="single" w:color="auto" w:sz="8" w:space="0"/>
            </w:tcBorders>
            <w:shd w:val="clear" w:color="auto" w:fill="595959"/>
            <w:vAlign w:val="center"/>
          </w:tcPr>
          <w:p>
            <w:pPr>
              <w:pStyle w:val="1009"/>
              <w:rPr>
                <w:color w:val="000000" w:themeColor="text1"/>
                <w:sz w:val="18"/>
                <w:szCs w:val="18"/>
                <w14:textFill>
                  <w14:solidFill>
                    <w14:schemeClr w14:val="tx1"/>
                  </w14:solidFill>
                </w14:textFill>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454" w:hRule="exact"/>
          <w:jc w:val="center"/>
        </w:trPr>
        <w:tc>
          <w:tcPr>
            <w:tcW w:w="378" w:type="dxa"/>
            <w:vMerge w:val="continue"/>
            <w:tcBorders>
              <w:top w:val="nil"/>
              <w:left w:val="nil"/>
              <w:bottom w:val="nil"/>
              <w:right w:val="nil"/>
            </w:tcBorders>
            <w:shd w:val="clear" w:color="auto" w:fill="auto"/>
            <w:vAlign w:val="center"/>
          </w:tcPr>
          <w:p>
            <w:pPr>
              <w:pStyle w:val="1009"/>
              <w:rPr>
                <w:color w:val="000000" w:themeColor="text1"/>
                <w:sz w:val="18"/>
                <w:szCs w:val="18"/>
                <w:u w:val="single"/>
                <w14:textFill>
                  <w14:solidFill>
                    <w14:schemeClr w14:val="tx1"/>
                  </w14:solidFill>
                </w14:textFill>
              </w:rPr>
            </w:pPr>
          </w:p>
        </w:tc>
        <w:tc>
          <w:tcPr>
            <w:tcW w:w="616" w:type="dxa"/>
            <w:tcBorders>
              <w:top w:val="nil"/>
              <w:left w:val="nil"/>
              <w:bottom w:val="nil"/>
              <w:right w:val="single" w:color="auto" w:sz="8" w:space="0"/>
            </w:tcBorders>
            <w:shd w:val="clear" w:color="auto" w:fill="auto"/>
            <w:vAlign w:val="center"/>
          </w:tcPr>
          <w:p>
            <w:pPr>
              <w:pStyle w:val="1009"/>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很低</w:t>
            </w:r>
          </w:p>
        </w:tc>
        <w:tc>
          <w:tcPr>
            <w:tcW w:w="1253" w:type="dxa"/>
            <w:tcBorders>
              <w:top w:val="single" w:color="auto" w:sz="8" w:space="0"/>
              <w:left w:val="single" w:color="auto" w:sz="8" w:space="0"/>
              <w:bottom w:val="single" w:color="auto" w:sz="8" w:space="0"/>
              <w:right w:val="single" w:color="auto" w:sz="8" w:space="0"/>
            </w:tcBorders>
            <w:shd w:val="clear" w:color="auto" w:fill="D9D9D9"/>
            <w:vAlign w:val="center"/>
          </w:tcPr>
          <w:p>
            <w:pPr>
              <w:pStyle w:val="1009"/>
              <w:rPr>
                <w:color w:val="000000" w:themeColor="text1"/>
                <w:sz w:val="18"/>
                <w:szCs w:val="18"/>
                <w:u w:val="single"/>
                <w14:textFill>
                  <w14:solidFill>
                    <w14:schemeClr w14:val="tx1"/>
                  </w14:solidFill>
                </w14:textFill>
              </w:rPr>
            </w:pPr>
          </w:p>
        </w:tc>
        <w:tc>
          <w:tcPr>
            <w:tcW w:w="1269" w:type="dxa"/>
            <w:tcBorders>
              <w:top w:val="single" w:color="auto" w:sz="8" w:space="0"/>
              <w:left w:val="single" w:color="auto" w:sz="8" w:space="0"/>
              <w:bottom w:val="single" w:color="auto" w:sz="8" w:space="0"/>
              <w:right w:val="single" w:color="auto" w:sz="8" w:space="0"/>
            </w:tcBorders>
            <w:shd w:val="clear" w:color="auto" w:fill="D9D9D9"/>
            <w:vAlign w:val="center"/>
          </w:tcPr>
          <w:p>
            <w:pPr>
              <w:pStyle w:val="1009"/>
              <w:rPr>
                <w:b/>
                <w:color w:val="000000" w:themeColor="text1"/>
                <w:sz w:val="18"/>
                <w:szCs w:val="18"/>
                <w14:textFill>
                  <w14:solidFill>
                    <w14:schemeClr w14:val="tx1"/>
                  </w14:solidFill>
                </w14:textFill>
              </w:rPr>
            </w:pPr>
            <w:r>
              <w:rPr>
                <w:b/>
                <w:color w:val="000000" w:themeColor="text1"/>
                <w:sz w:val="18"/>
                <w:szCs w:val="18"/>
                <w14:textFill>
                  <w14:solidFill>
                    <w14:schemeClr w14:val="tx1"/>
                  </w14:solidFill>
                </w14:textFill>
              </w:rPr>
              <w:t>低风险区</w:t>
            </w:r>
          </w:p>
        </w:tc>
        <w:tc>
          <w:tcPr>
            <w:tcW w:w="1253" w:type="dxa"/>
            <w:tcBorders>
              <w:top w:val="single" w:color="auto" w:sz="8" w:space="0"/>
              <w:left w:val="single" w:color="auto" w:sz="8" w:space="0"/>
              <w:bottom w:val="single" w:color="auto" w:sz="8" w:space="0"/>
              <w:right w:val="single" w:color="auto" w:sz="8" w:space="0"/>
            </w:tcBorders>
            <w:shd w:val="clear" w:color="auto" w:fill="D9D9D9"/>
            <w:vAlign w:val="center"/>
          </w:tcPr>
          <w:p>
            <w:pPr>
              <w:pStyle w:val="1009"/>
              <w:rPr>
                <w:color w:val="000000" w:themeColor="text1"/>
                <w:sz w:val="18"/>
                <w:szCs w:val="18"/>
                <w14:textFill>
                  <w14:solidFill>
                    <w14:schemeClr w14:val="tx1"/>
                  </w14:solidFill>
                </w14:textFill>
              </w:rPr>
            </w:pPr>
          </w:p>
        </w:tc>
        <w:tc>
          <w:tcPr>
            <w:tcW w:w="1253" w:type="dxa"/>
            <w:tcBorders>
              <w:top w:val="single" w:color="auto" w:sz="8" w:space="0"/>
              <w:left w:val="single" w:color="auto" w:sz="8" w:space="0"/>
              <w:bottom w:val="single" w:color="auto" w:sz="8" w:space="0"/>
              <w:right w:val="single" w:color="auto" w:sz="8" w:space="0"/>
            </w:tcBorders>
            <w:shd w:val="clear" w:color="auto" w:fill="A6A6A6"/>
            <w:vAlign w:val="center"/>
          </w:tcPr>
          <w:p>
            <w:pPr>
              <w:pStyle w:val="1009"/>
              <w:rPr>
                <w:color w:val="000000" w:themeColor="text1"/>
                <w:sz w:val="18"/>
                <w:szCs w:val="18"/>
                <w14:textFill>
                  <w14:solidFill>
                    <w14:schemeClr w14:val="tx1"/>
                  </w14:solidFill>
                </w14:textFill>
              </w:rPr>
            </w:pPr>
          </w:p>
        </w:tc>
        <w:tc>
          <w:tcPr>
            <w:tcW w:w="1253" w:type="dxa"/>
            <w:tcBorders>
              <w:top w:val="single" w:color="auto" w:sz="8" w:space="0"/>
              <w:left w:val="single" w:color="auto" w:sz="8" w:space="0"/>
              <w:bottom w:val="single" w:color="auto" w:sz="8" w:space="0"/>
              <w:right w:val="single" w:color="auto" w:sz="8" w:space="0"/>
            </w:tcBorders>
            <w:shd w:val="clear" w:color="auto" w:fill="A6A6A6"/>
            <w:vAlign w:val="center"/>
          </w:tcPr>
          <w:p>
            <w:pPr>
              <w:pStyle w:val="1009"/>
              <w:rPr>
                <w:color w:val="000000" w:themeColor="text1"/>
                <w:sz w:val="18"/>
                <w:szCs w:val="18"/>
                <w14:textFill>
                  <w14:solidFill>
                    <w14:schemeClr w14:val="tx1"/>
                  </w14:solidFill>
                </w14:textFill>
              </w:rPr>
            </w:pPr>
          </w:p>
        </w:tc>
        <w:tc>
          <w:tcPr>
            <w:tcW w:w="1253" w:type="dxa"/>
            <w:tcBorders>
              <w:top w:val="single" w:color="auto" w:sz="8" w:space="0"/>
              <w:left w:val="single" w:color="auto" w:sz="8" w:space="0"/>
              <w:bottom w:val="single" w:color="auto" w:sz="8" w:space="0"/>
              <w:right w:val="single" w:color="auto" w:sz="8" w:space="0"/>
            </w:tcBorders>
            <w:shd w:val="clear" w:color="auto" w:fill="A6A6A6"/>
            <w:vAlign w:val="center"/>
          </w:tcPr>
          <w:p>
            <w:pPr>
              <w:pStyle w:val="1009"/>
              <w:rPr>
                <w:color w:val="000000" w:themeColor="text1"/>
                <w:sz w:val="18"/>
                <w:szCs w:val="18"/>
                <w14:textFill>
                  <w14:solidFill>
                    <w14:schemeClr w14:val="tx1"/>
                  </w14:solidFill>
                </w14:textFill>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454" w:hRule="exact"/>
          <w:jc w:val="center"/>
        </w:trPr>
        <w:tc>
          <w:tcPr>
            <w:tcW w:w="378" w:type="dxa"/>
            <w:vMerge w:val="continue"/>
            <w:tcBorders>
              <w:top w:val="nil"/>
              <w:left w:val="nil"/>
              <w:bottom w:val="nil"/>
              <w:right w:val="nil"/>
            </w:tcBorders>
            <w:shd w:val="clear" w:color="auto" w:fill="auto"/>
            <w:vAlign w:val="center"/>
          </w:tcPr>
          <w:p>
            <w:pPr>
              <w:pStyle w:val="1009"/>
              <w:rPr>
                <w:color w:val="000000" w:themeColor="text1"/>
                <w:sz w:val="18"/>
                <w:szCs w:val="18"/>
                <w:u w:val="single"/>
                <w14:textFill>
                  <w14:solidFill>
                    <w14:schemeClr w14:val="tx1"/>
                  </w14:solidFill>
                </w14:textFill>
              </w:rPr>
            </w:pPr>
          </w:p>
        </w:tc>
        <w:tc>
          <w:tcPr>
            <w:tcW w:w="616" w:type="dxa"/>
            <w:tcBorders>
              <w:top w:val="nil"/>
              <w:left w:val="nil"/>
              <w:bottom w:val="nil"/>
              <w:right w:val="single" w:color="auto" w:sz="8" w:space="0"/>
            </w:tcBorders>
            <w:shd w:val="clear" w:color="auto" w:fill="auto"/>
            <w:vAlign w:val="center"/>
          </w:tcPr>
          <w:p>
            <w:pPr>
              <w:pStyle w:val="1009"/>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极低</w:t>
            </w:r>
          </w:p>
        </w:tc>
        <w:tc>
          <w:tcPr>
            <w:tcW w:w="1253" w:type="dxa"/>
            <w:tcBorders>
              <w:top w:val="single" w:color="auto" w:sz="8" w:space="0"/>
              <w:left w:val="single" w:color="auto" w:sz="8" w:space="0"/>
              <w:bottom w:val="single" w:color="auto" w:sz="8" w:space="0"/>
              <w:right w:val="single" w:color="auto" w:sz="8" w:space="0"/>
            </w:tcBorders>
            <w:shd w:val="clear" w:color="auto" w:fill="D9D9D9"/>
            <w:vAlign w:val="center"/>
          </w:tcPr>
          <w:p>
            <w:pPr>
              <w:pStyle w:val="1009"/>
              <w:rPr>
                <w:color w:val="000000" w:themeColor="text1"/>
                <w:sz w:val="18"/>
                <w:szCs w:val="18"/>
                <w:u w:val="single"/>
                <w14:textFill>
                  <w14:solidFill>
                    <w14:schemeClr w14:val="tx1"/>
                  </w14:solidFill>
                </w14:textFill>
              </w:rPr>
            </w:pPr>
          </w:p>
        </w:tc>
        <w:tc>
          <w:tcPr>
            <w:tcW w:w="1269" w:type="dxa"/>
            <w:tcBorders>
              <w:top w:val="single" w:color="auto" w:sz="8" w:space="0"/>
              <w:left w:val="single" w:color="auto" w:sz="8" w:space="0"/>
              <w:bottom w:val="single" w:color="auto" w:sz="8" w:space="0"/>
              <w:right w:val="single" w:color="auto" w:sz="8" w:space="0"/>
            </w:tcBorders>
            <w:shd w:val="clear" w:color="auto" w:fill="D9D9D9"/>
            <w:vAlign w:val="center"/>
          </w:tcPr>
          <w:p>
            <w:pPr>
              <w:pStyle w:val="1009"/>
              <w:rPr>
                <w:color w:val="000000" w:themeColor="text1"/>
                <w:sz w:val="18"/>
                <w:szCs w:val="18"/>
                <w14:textFill>
                  <w14:solidFill>
                    <w14:schemeClr w14:val="tx1"/>
                  </w14:solidFill>
                </w14:textFill>
              </w:rPr>
            </w:pPr>
          </w:p>
        </w:tc>
        <w:tc>
          <w:tcPr>
            <w:tcW w:w="1253" w:type="dxa"/>
            <w:tcBorders>
              <w:top w:val="single" w:color="auto" w:sz="8" w:space="0"/>
              <w:left w:val="single" w:color="auto" w:sz="8" w:space="0"/>
              <w:bottom w:val="single" w:color="auto" w:sz="8" w:space="0"/>
              <w:right w:val="single" w:color="auto" w:sz="8" w:space="0"/>
            </w:tcBorders>
            <w:shd w:val="clear" w:color="auto" w:fill="D9D9D9"/>
            <w:vAlign w:val="center"/>
          </w:tcPr>
          <w:p>
            <w:pPr>
              <w:pStyle w:val="1009"/>
              <w:rPr>
                <w:color w:val="000000" w:themeColor="text1"/>
                <w:sz w:val="18"/>
                <w:szCs w:val="18"/>
                <w14:textFill>
                  <w14:solidFill>
                    <w14:schemeClr w14:val="tx1"/>
                  </w14:solidFill>
                </w14:textFill>
              </w:rPr>
            </w:pPr>
          </w:p>
        </w:tc>
        <w:tc>
          <w:tcPr>
            <w:tcW w:w="1253" w:type="dxa"/>
            <w:tcBorders>
              <w:top w:val="single" w:color="auto" w:sz="8" w:space="0"/>
              <w:left w:val="single" w:color="auto" w:sz="8" w:space="0"/>
              <w:bottom w:val="single" w:color="auto" w:sz="8" w:space="0"/>
              <w:right w:val="single" w:color="auto" w:sz="8" w:space="0"/>
            </w:tcBorders>
            <w:shd w:val="clear" w:color="auto" w:fill="D9D9D9"/>
            <w:vAlign w:val="center"/>
          </w:tcPr>
          <w:p>
            <w:pPr>
              <w:pStyle w:val="1009"/>
              <w:rPr>
                <w:color w:val="000000" w:themeColor="text1"/>
                <w:sz w:val="18"/>
                <w:szCs w:val="18"/>
                <w14:textFill>
                  <w14:solidFill>
                    <w14:schemeClr w14:val="tx1"/>
                  </w14:solidFill>
                </w14:textFill>
              </w:rPr>
            </w:pPr>
          </w:p>
        </w:tc>
        <w:tc>
          <w:tcPr>
            <w:tcW w:w="1253" w:type="dxa"/>
            <w:tcBorders>
              <w:top w:val="single" w:color="auto" w:sz="8" w:space="0"/>
              <w:left w:val="single" w:color="auto" w:sz="8" w:space="0"/>
              <w:bottom w:val="single" w:color="auto" w:sz="8" w:space="0"/>
              <w:right w:val="single" w:color="auto" w:sz="8" w:space="0"/>
            </w:tcBorders>
            <w:shd w:val="clear" w:color="auto" w:fill="A6A6A6"/>
            <w:vAlign w:val="center"/>
          </w:tcPr>
          <w:p>
            <w:pPr>
              <w:pStyle w:val="1009"/>
              <w:rPr>
                <w:color w:val="000000" w:themeColor="text1"/>
                <w:sz w:val="18"/>
                <w:szCs w:val="18"/>
                <w14:textFill>
                  <w14:solidFill>
                    <w14:schemeClr w14:val="tx1"/>
                  </w14:solidFill>
                </w14:textFill>
              </w:rPr>
            </w:pPr>
            <w:r>
              <w:rPr>
                <w:b/>
                <w:color w:val="000000" w:themeColor="text1"/>
                <w:sz w:val="18"/>
                <w:szCs w:val="18"/>
                <w14:textFill>
                  <w14:solidFill>
                    <w14:schemeClr w14:val="tx1"/>
                  </w14:solidFill>
                </w14:textFill>
              </w:rPr>
              <w:t>中风险区</w:t>
            </w:r>
          </w:p>
        </w:tc>
        <w:tc>
          <w:tcPr>
            <w:tcW w:w="1253" w:type="dxa"/>
            <w:tcBorders>
              <w:top w:val="single" w:color="auto" w:sz="8" w:space="0"/>
              <w:left w:val="single" w:color="auto" w:sz="8" w:space="0"/>
              <w:bottom w:val="single" w:color="auto" w:sz="8" w:space="0"/>
              <w:right w:val="single" w:color="auto" w:sz="8" w:space="0"/>
            </w:tcBorders>
            <w:shd w:val="clear" w:color="auto" w:fill="A6A6A6"/>
            <w:vAlign w:val="center"/>
          </w:tcPr>
          <w:p>
            <w:pPr>
              <w:pStyle w:val="1009"/>
              <w:rPr>
                <w:color w:val="000000" w:themeColor="text1"/>
                <w:sz w:val="18"/>
                <w:szCs w:val="18"/>
                <w14:textFill>
                  <w14:solidFill>
                    <w14:schemeClr w14:val="tx1"/>
                  </w14:solidFill>
                </w14:textFill>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31" w:hRule="exact"/>
          <w:jc w:val="center"/>
        </w:trPr>
        <w:tc>
          <w:tcPr>
            <w:tcW w:w="378" w:type="dxa"/>
            <w:tcBorders>
              <w:top w:val="nil"/>
              <w:left w:val="nil"/>
              <w:bottom w:val="nil"/>
              <w:right w:val="nil"/>
            </w:tcBorders>
            <w:vAlign w:val="center"/>
          </w:tcPr>
          <w:p>
            <w:pPr>
              <w:pStyle w:val="1009"/>
              <w:rPr>
                <w:color w:val="000000" w:themeColor="text1"/>
                <w:sz w:val="18"/>
                <w:szCs w:val="18"/>
                <w:u w:val="single"/>
                <w14:textFill>
                  <w14:solidFill>
                    <w14:schemeClr w14:val="tx1"/>
                  </w14:solidFill>
                </w14:textFill>
              </w:rPr>
            </w:pPr>
          </w:p>
        </w:tc>
        <w:tc>
          <w:tcPr>
            <w:tcW w:w="616" w:type="dxa"/>
            <w:tcBorders>
              <w:top w:val="nil"/>
              <w:left w:val="nil"/>
              <w:bottom w:val="nil"/>
              <w:right w:val="nil"/>
            </w:tcBorders>
            <w:vAlign w:val="center"/>
          </w:tcPr>
          <w:p>
            <w:pPr>
              <w:pStyle w:val="1009"/>
              <w:rPr>
                <w:color w:val="000000" w:themeColor="text1"/>
                <w:sz w:val="18"/>
                <w:szCs w:val="18"/>
                <w:u w:val="single"/>
                <w14:textFill>
                  <w14:solidFill>
                    <w14:schemeClr w14:val="tx1"/>
                  </w14:solidFill>
                </w14:textFill>
              </w:rPr>
            </w:pPr>
          </w:p>
        </w:tc>
        <w:tc>
          <w:tcPr>
            <w:tcW w:w="1253" w:type="dxa"/>
            <w:tcBorders>
              <w:top w:val="single" w:color="auto" w:sz="8" w:space="0"/>
              <w:left w:val="nil"/>
              <w:bottom w:val="nil"/>
              <w:right w:val="nil"/>
            </w:tcBorders>
            <w:vAlign w:val="center"/>
          </w:tcPr>
          <w:p>
            <w:pPr>
              <w:pStyle w:val="1009"/>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较小</w:t>
            </w:r>
          </w:p>
        </w:tc>
        <w:tc>
          <w:tcPr>
            <w:tcW w:w="1269" w:type="dxa"/>
            <w:tcBorders>
              <w:top w:val="single" w:color="auto" w:sz="8" w:space="0"/>
              <w:left w:val="nil"/>
              <w:bottom w:val="nil"/>
              <w:right w:val="nil"/>
            </w:tcBorders>
            <w:vAlign w:val="center"/>
          </w:tcPr>
          <w:p>
            <w:pPr>
              <w:pStyle w:val="1009"/>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一般</w:t>
            </w:r>
          </w:p>
        </w:tc>
        <w:tc>
          <w:tcPr>
            <w:tcW w:w="1253" w:type="dxa"/>
            <w:tcBorders>
              <w:top w:val="single" w:color="auto" w:sz="8" w:space="0"/>
              <w:left w:val="nil"/>
              <w:bottom w:val="nil"/>
              <w:right w:val="nil"/>
            </w:tcBorders>
            <w:vAlign w:val="center"/>
          </w:tcPr>
          <w:p>
            <w:pPr>
              <w:pStyle w:val="1009"/>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较大</w:t>
            </w:r>
          </w:p>
        </w:tc>
        <w:tc>
          <w:tcPr>
            <w:tcW w:w="1253" w:type="dxa"/>
            <w:tcBorders>
              <w:top w:val="single" w:color="auto" w:sz="8" w:space="0"/>
              <w:left w:val="nil"/>
              <w:bottom w:val="nil"/>
              <w:right w:val="nil"/>
            </w:tcBorders>
            <w:vAlign w:val="center"/>
          </w:tcPr>
          <w:p>
            <w:pPr>
              <w:pStyle w:val="1009"/>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重大</w:t>
            </w:r>
          </w:p>
        </w:tc>
        <w:tc>
          <w:tcPr>
            <w:tcW w:w="1253" w:type="dxa"/>
            <w:tcBorders>
              <w:top w:val="single" w:color="auto" w:sz="8" w:space="0"/>
              <w:left w:val="nil"/>
              <w:bottom w:val="nil"/>
              <w:right w:val="nil"/>
            </w:tcBorders>
            <w:vAlign w:val="center"/>
          </w:tcPr>
          <w:p>
            <w:pPr>
              <w:pStyle w:val="1009"/>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特别重大</w:t>
            </w:r>
          </w:p>
        </w:tc>
        <w:tc>
          <w:tcPr>
            <w:tcW w:w="1253" w:type="dxa"/>
            <w:tcBorders>
              <w:top w:val="single" w:color="auto" w:sz="8" w:space="0"/>
              <w:left w:val="nil"/>
              <w:bottom w:val="nil"/>
              <w:right w:val="nil"/>
            </w:tcBorders>
            <w:vAlign w:val="center"/>
          </w:tcPr>
          <w:p>
            <w:pPr>
              <w:pStyle w:val="1009"/>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灾难性</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273" w:hRule="exact"/>
          <w:jc w:val="center"/>
        </w:trPr>
        <w:tc>
          <w:tcPr>
            <w:tcW w:w="8528" w:type="dxa"/>
            <w:gridSpan w:val="8"/>
            <w:tcBorders>
              <w:top w:val="nil"/>
              <w:left w:val="nil"/>
              <w:bottom w:val="nil"/>
              <w:right w:val="nil"/>
            </w:tcBorders>
            <w:vAlign w:val="center"/>
          </w:tcPr>
          <w:p>
            <w:pPr>
              <w:pStyle w:val="7"/>
              <w:rPr>
                <w:szCs w:val="21"/>
              </w:rPr>
            </w:pPr>
            <w:r>
              <mc:AlternateContent>
                <mc:Choice Requires="wps">
                  <w:drawing>
                    <wp:anchor distT="0" distB="0" distL="114300" distR="114300" simplePos="0" relativeHeight="251665408" behindDoc="0" locked="0" layoutInCell="1" allowOverlap="1">
                      <wp:simplePos x="0" y="0"/>
                      <wp:positionH relativeFrom="column">
                        <wp:posOffset>661670</wp:posOffset>
                      </wp:positionH>
                      <wp:positionV relativeFrom="paragraph">
                        <wp:posOffset>48260</wp:posOffset>
                      </wp:positionV>
                      <wp:extent cx="3517265" cy="114935"/>
                      <wp:effectExtent l="0" t="19050" r="26035" b="18415"/>
                      <wp:wrapNone/>
                      <wp:docPr id="29" name="右箭头 15"/>
                      <wp:cNvGraphicFramePr/>
                      <a:graphic xmlns:a="http://schemas.openxmlformats.org/drawingml/2006/main">
                        <a:graphicData uri="http://schemas.microsoft.com/office/word/2010/wordprocessingShape">
                          <wps:wsp>
                            <wps:cNvSpPr>
                              <a:spLocks noChangeArrowheads="1"/>
                            </wps:cNvSpPr>
                            <wps:spPr bwMode="auto">
                              <a:xfrm>
                                <a:off x="0" y="0"/>
                                <a:ext cx="3517265" cy="114935"/>
                              </a:xfrm>
                              <a:prstGeom prst="rightArrow">
                                <a:avLst>
                                  <a:gd name="adj1" fmla="val 50000"/>
                                  <a:gd name="adj2" fmla="val 763803"/>
                                </a:avLst>
                              </a:prstGeom>
                              <a:solidFill>
                                <a:srgbClr val="FFFFFF"/>
                              </a:solidFill>
                              <a:ln w="9525">
                                <a:solidFill>
                                  <a:srgbClr val="000000"/>
                                </a:solidFill>
                                <a:miter lim="800000"/>
                              </a:ln>
                            </wps:spPr>
                            <wps:bodyPr rot="0" vert="horz" wrap="square" lIns="91440" tIns="45720" rIns="91440" bIns="45720" anchor="t" anchorCtr="0" upright="1">
                              <a:noAutofit/>
                            </wps:bodyPr>
                          </wps:wsp>
                        </a:graphicData>
                      </a:graphic>
                    </wp:anchor>
                  </w:drawing>
                </mc:Choice>
                <mc:Fallback>
                  <w:pict>
                    <v:shape id="右箭头 15" o:spid="_x0000_s1026" o:spt="13" type="#_x0000_t13" style="position:absolute;left:0pt;margin-left:52.1pt;margin-top:3.8pt;height:9.05pt;width:276.95pt;z-index:251665408;mso-width-relative:page;mso-height-relative:page;" fillcolor="#FFFFFF" filled="t" stroked="t" coordsize="21600,21600" o:gfxdata="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" adj="16209,5400">
                      <v:fill on="t" focussize="0,0"/>
                      <v:stroke color="#000000" miterlimit="8" joinstyle="miter"/>
                      <v:imagedata o:title=""/>
                      <o:lock v:ext="edit" aspectratio="f"/>
                    </v:shape>
                  </w:pict>
                </mc:Fallback>
              </mc:AlternateContent>
            </w:r>
          </w:p>
        </w:tc>
      </w:tr>
    </w:tbl>
    <w:p>
      <w:pPr>
        <w:pStyle w:val="553"/>
        <w:rPr>
          <w:color w:val="000000" w:themeColor="text1"/>
          <w14:textFill>
            <w14:solidFill>
              <w14:schemeClr w14:val="tx1"/>
            </w14:solidFill>
          </w14:textFill>
        </w:rPr>
      </w:pPr>
      <w:r>
        <w:rPr>
          <w:color w:val="000000" w:themeColor="text1"/>
          <w14:textFill>
            <w14:solidFill>
              <w14:schemeClr w14:val="tx1"/>
            </w14:solidFill>
          </w14:textFill>
        </w:rPr>
        <w:t>可能最大水上溢油事故风险准则矩阵示意图</w:t>
      </w:r>
    </w:p>
    <w:p>
      <w:pPr>
        <w:pStyle w:val="283"/>
        <w:rPr>
          <w:color w:val="000000" w:themeColor="text1"/>
          <w14:textFill>
            <w14:solidFill>
              <w14:schemeClr w14:val="tx1"/>
            </w14:solidFill>
          </w14:textFill>
        </w:rPr>
      </w:pPr>
      <w:r>
        <w:rPr>
          <w:color w:val="000000" w:themeColor="text1"/>
          <w14:textFill>
            <w14:solidFill>
              <w14:schemeClr w14:val="tx1"/>
            </w14:solidFill>
          </w14:textFill>
        </w:rPr>
        <w:t>根据本工程水上溢油事故概率分析、风险事故后果模拟预测结果及表4.</w:t>
      </w:r>
      <w:r>
        <w:rPr>
          <w:rFonts w:hint="eastAsia"/>
          <w:color w:val="000000" w:themeColor="text1"/>
          <w14:textFill>
            <w14:solidFill>
              <w14:schemeClr w14:val="tx1"/>
            </w14:solidFill>
          </w14:textFill>
        </w:rPr>
        <w:t>6</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21</w:t>
      </w:r>
      <w:r>
        <w:rPr>
          <w:color w:val="000000" w:themeColor="text1"/>
          <w14:textFill>
            <w14:solidFill>
              <w14:schemeClr w14:val="tx1"/>
            </w14:solidFill>
          </w14:textFill>
        </w:rPr>
        <w:t>、表4.</w:t>
      </w:r>
      <w:r>
        <w:rPr>
          <w:rFonts w:hint="eastAsia"/>
          <w:color w:val="000000" w:themeColor="text1"/>
          <w14:textFill>
            <w14:solidFill>
              <w14:schemeClr w14:val="tx1"/>
            </w14:solidFill>
          </w14:textFill>
        </w:rPr>
        <w:t>6</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22</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本工程可能最大水上溢油事故危害后果属于特别重大（C5），事故概率</w:t>
      </w:r>
      <w:r>
        <w:rPr>
          <w:color w:val="000000" w:themeColor="text1"/>
          <w14:textFill>
            <w14:solidFill>
              <w14:schemeClr w14:val="tx1"/>
            </w14:solidFill>
          </w14:textFill>
        </w:rPr>
        <w:t>属于</w:t>
      </w:r>
      <w:r>
        <w:rPr>
          <w:rFonts w:hint="eastAsia"/>
          <w:color w:val="000000" w:themeColor="text1"/>
          <w14:textFill>
            <w14:solidFill>
              <w14:schemeClr w14:val="tx1"/>
            </w14:solidFill>
          </w14:textFill>
        </w:rPr>
        <w:t>极低，</w:t>
      </w:r>
      <w:r>
        <w:rPr>
          <w:color w:val="000000" w:themeColor="text1"/>
          <w14:textFill>
            <w14:solidFill>
              <w14:schemeClr w14:val="tx1"/>
            </w14:solidFill>
          </w14:textFill>
        </w:rPr>
        <w:t>根据图4.</w:t>
      </w:r>
      <w:r>
        <w:rPr>
          <w:rFonts w:hint="eastAsia"/>
          <w:color w:val="000000" w:themeColor="text1"/>
          <w14:textFill>
            <w14:solidFill>
              <w14:schemeClr w14:val="tx1"/>
            </w14:solidFill>
          </w14:textFill>
        </w:rPr>
        <w:t>6</w:t>
      </w:r>
      <w:r>
        <w:rPr>
          <w:color w:val="000000" w:themeColor="text1"/>
          <w14:textFill>
            <w14:solidFill>
              <w14:schemeClr w14:val="tx1"/>
            </w14:solidFill>
          </w14:textFill>
        </w:rPr>
        <w:t>-12判定本工程水上溢油事故风险水平处在中风险区</w:t>
      </w:r>
      <w:r>
        <w:rPr>
          <w:rFonts w:hint="eastAsia"/>
          <w:color w:val="000000" w:themeColor="text1"/>
          <w14:textFill>
            <w14:solidFill>
              <w14:schemeClr w14:val="tx1"/>
            </w14:solidFill>
          </w14:textFill>
        </w:rPr>
        <w:t>，出现溢油事故后及时采取围控和防护措施，溢油事故环境风险是可接受的。</w:t>
      </w:r>
    </w:p>
    <w:p>
      <w:pPr>
        <w:pStyle w:val="5"/>
        <w:rPr>
          <w:color w:val="000000" w:themeColor="text1"/>
          <w14:textFill>
            <w14:solidFill>
              <w14:schemeClr w14:val="tx1"/>
            </w14:solidFill>
          </w14:textFill>
        </w:rPr>
      </w:pPr>
      <w:r>
        <w:rPr>
          <w:color w:val="000000" w:themeColor="text1"/>
          <w14:textFill>
            <w14:solidFill>
              <w14:schemeClr w14:val="tx1"/>
            </w14:solidFill>
          </w14:textFill>
        </w:rPr>
        <w:t>环境风险影响分析结论</w:t>
      </w:r>
      <w:bookmarkEnd w:id="259"/>
      <w:bookmarkEnd w:id="260"/>
      <w:bookmarkEnd w:id="261"/>
      <w:bookmarkEnd w:id="262"/>
      <w:bookmarkEnd w:id="263"/>
    </w:p>
    <w:p>
      <w:pPr>
        <w:pStyle w:val="283"/>
        <w:rPr>
          <w:color w:val="000000" w:themeColor="text1"/>
          <w:szCs w:val="20"/>
          <w14:textFill>
            <w14:solidFill>
              <w14:schemeClr w14:val="tx1"/>
            </w14:solidFill>
          </w14:textFill>
        </w:rPr>
      </w:pPr>
      <w:r>
        <w:rPr>
          <w:color w:val="000000" w:themeColor="text1"/>
          <w14:textFill>
            <w14:solidFill>
              <w14:schemeClr w14:val="tx1"/>
            </w14:solidFill>
          </w14:textFill>
        </w:rPr>
        <w:t>综上所述，本项目运营期发生船舶溢油事故概率极小，且溢油量不大。但本项目如在运营期间发生环境风险事故导致溢油，将对周边环境敏感保护目标造成较大的污染及破坏影响，因此，应建立完善的风险防范措施和事故应急预案，在发生事故后能及时响应，尽可能降低风险事故的影响范围和影响程度。</w:t>
      </w:r>
    </w:p>
    <w:p>
      <w:pPr>
        <w:ind w:firstLine="438" w:firstLineChars="200"/>
        <w:rPr>
          <w:color w:val="000000" w:themeColor="text1"/>
          <w14:textFill>
            <w14:solidFill>
              <w14:schemeClr w14:val="tx1"/>
            </w14:solidFill>
          </w14:textFill>
        </w:rPr>
        <w:sectPr>
          <w:pgSz w:w="11907" w:h="16840"/>
          <w:pgMar w:top="1440" w:right="1514" w:bottom="1440" w:left="1797" w:header="992" w:footer="851" w:gutter="284"/>
          <w:pgNumType w:fmt="numberInDash"/>
          <w:cols w:space="425" w:num="1"/>
          <w:docGrid w:type="linesAndChars" w:linePitch="465" w:charSpace="-4355"/>
        </w:sectPr>
      </w:pPr>
    </w:p>
    <w:p>
      <w:pPr>
        <w:pStyle w:val="3"/>
        <w:rPr>
          <w:color w:val="000000" w:themeColor="text1"/>
          <w14:textFill>
            <w14:solidFill>
              <w14:schemeClr w14:val="tx1"/>
            </w14:solidFill>
          </w14:textFill>
        </w:rPr>
      </w:pPr>
      <w:bookmarkStart w:id="264" w:name="_Toc170918615"/>
      <w:r>
        <w:rPr>
          <w:color w:val="000000" w:themeColor="text1"/>
          <w14:textFill>
            <w14:solidFill>
              <w14:schemeClr w14:val="tx1"/>
            </w14:solidFill>
          </w14:textFill>
        </w:rPr>
        <w:t>环境保护措施及可行性论证</w:t>
      </w:r>
      <w:bookmarkEnd w:id="264"/>
    </w:p>
    <w:p>
      <w:pPr>
        <w:pStyle w:val="4"/>
        <w:rPr>
          <w:color w:val="000000" w:themeColor="text1"/>
          <w14:textFill>
            <w14:solidFill>
              <w14:schemeClr w14:val="tx1"/>
            </w14:solidFill>
          </w14:textFill>
        </w:rPr>
      </w:pPr>
      <w:bookmarkStart w:id="265" w:name="_Toc317003563"/>
      <w:bookmarkStart w:id="266" w:name="_Toc303949960"/>
      <w:bookmarkStart w:id="267" w:name="_Toc170918616"/>
      <w:bookmarkStart w:id="268" w:name="_Toc317003283"/>
      <w:r>
        <w:rPr>
          <w:color w:val="000000" w:themeColor="text1"/>
          <w14:textFill>
            <w14:solidFill>
              <w14:schemeClr w14:val="tx1"/>
            </w14:solidFill>
          </w14:textFill>
        </w:rPr>
        <w:t>施工阶段环保措施</w:t>
      </w:r>
      <w:bookmarkEnd w:id="265"/>
      <w:bookmarkEnd w:id="266"/>
      <w:bookmarkEnd w:id="267"/>
      <w:bookmarkEnd w:id="268"/>
    </w:p>
    <w:p>
      <w:pPr>
        <w:pStyle w:val="5"/>
        <w:rPr>
          <w:color w:val="000000" w:themeColor="text1"/>
          <w14:textFill>
            <w14:solidFill>
              <w14:schemeClr w14:val="tx1"/>
            </w14:solidFill>
          </w14:textFill>
        </w:rPr>
      </w:pPr>
      <w:r>
        <w:rPr>
          <w:color w:val="000000" w:themeColor="text1"/>
          <w14:textFill>
            <w14:solidFill>
              <w14:schemeClr w14:val="tx1"/>
            </w14:solidFill>
          </w14:textFill>
        </w:rPr>
        <w:t>水环境保护措施</w:t>
      </w:r>
    </w:p>
    <w:p>
      <w:pPr>
        <w:pStyle w:val="283"/>
        <w:ind w:firstLine="462"/>
        <w:rPr>
          <w:snapToGrid w:val="0"/>
          <w:color w:val="000000" w:themeColor="text1"/>
          <w14:textFill>
            <w14:solidFill>
              <w14:schemeClr w14:val="tx1"/>
            </w14:solidFill>
          </w14:textFill>
        </w:rPr>
      </w:pPr>
      <w:r>
        <w:rPr>
          <w:color w:val="000000" w:themeColor="text1"/>
          <w14:textFill>
            <w14:solidFill>
              <w14:schemeClr w14:val="tx1"/>
            </w14:solidFill>
          </w14:textFill>
        </w:rPr>
        <w:t>（1）施工船舶油污水和生活污水：</w:t>
      </w:r>
      <w:r>
        <w:rPr>
          <w:rFonts w:hint="eastAsia"/>
          <w:color w:val="000000" w:themeColor="text1"/>
          <w14:textFill>
            <w14:solidFill>
              <w14:schemeClr w14:val="tx1"/>
            </w14:solidFill>
          </w14:textFill>
        </w:rPr>
        <w:t>均由有资质单位进行接收、转运及处置。</w:t>
      </w:r>
      <w:r>
        <w:rPr>
          <w:rFonts w:hint="eastAsia"/>
          <w:snapToGrid w:val="0"/>
          <w:color w:val="000000" w:themeColor="text1"/>
          <w14:textFill>
            <w14:solidFill>
              <w14:schemeClr w14:val="tx1"/>
            </w14:solidFill>
          </w14:textFill>
        </w:rPr>
        <w:t>施工人员生活污水排入7号8号泊位生活污水处理站，经预处理后进入大榄坪污水处理厂</w:t>
      </w:r>
      <w:r>
        <w:rPr>
          <w:snapToGrid w:val="0"/>
          <w:color w:val="000000" w:themeColor="text1"/>
          <w14:textFill>
            <w14:solidFill>
              <w14:schemeClr w14:val="tx1"/>
            </w14:solidFill>
          </w14:textFill>
        </w:rPr>
        <w:t>。</w:t>
      </w:r>
    </w:p>
    <w:p>
      <w:pPr>
        <w:pStyle w:val="283"/>
        <w:ind w:firstLine="462"/>
        <w:rPr>
          <w:color w:val="000000" w:themeColor="text1"/>
          <w14:textFill>
            <w14:solidFill>
              <w14:schemeClr w14:val="tx1"/>
            </w14:solidFill>
          </w14:textFill>
        </w:rPr>
      </w:pPr>
      <w:r>
        <w:rPr>
          <w:rFonts w:hint="eastAsia"/>
          <w:snapToGrid w:val="0"/>
          <w:color w:val="000000" w:themeColor="text1"/>
          <w14:textFill>
            <w14:solidFill>
              <w14:schemeClr w14:val="tx1"/>
            </w14:solidFill>
          </w14:textFill>
        </w:rPr>
        <w:t>（2）本项目依托工程陆域围填海形成后将做成较大面积的地表裸露，雨季时雨水冲刷表土，泥沙随水进入海域，可能导致沿岸水体中的悬浮物浓度小幅度的升高，因此在陆域形成后施工场地的雨水汇水处应多设置临时截、排水及沉淀池，并在沉淀池出水口利用土工布过滤，以降低SS含量，雨水经沉淀后排海，可将径流雨水带来的悬浮物影响降至最低。</w:t>
      </w:r>
    </w:p>
    <w:p>
      <w:pPr>
        <w:pStyle w:val="283"/>
        <w:ind w:firstLine="462"/>
        <w:rPr>
          <w:color w:val="000000" w:themeColor="text1"/>
          <w14:textFill>
            <w14:solidFill>
              <w14:schemeClr w14:val="tx1"/>
            </w14:solidFill>
          </w14:textFill>
        </w:rPr>
      </w:pPr>
      <w:r>
        <w:rPr>
          <w:color w:val="000000" w:themeColor="text1"/>
          <w14:textFill>
            <w14:solidFill>
              <w14:schemeClr w14:val="tx1"/>
            </w14:solidFill>
          </w14:textFill>
        </w:rPr>
        <w:t>（2）施工期悬浮泥沙：施工前应开展悬沙跟踪监测，</w:t>
      </w:r>
      <w:r>
        <w:rPr>
          <w:rFonts w:hint="eastAsia"/>
          <w:color w:val="000000" w:themeColor="text1"/>
          <w14:textFill>
            <w14:solidFill>
              <w14:schemeClr w14:val="tx1"/>
            </w14:solidFill>
          </w14:textFill>
        </w:rPr>
        <w:t>重点关注本项目疏浚区域及溢流口周边，</w:t>
      </w:r>
      <w:r>
        <w:rPr>
          <w:color w:val="000000" w:themeColor="text1"/>
          <w14:textFill>
            <w14:solidFill>
              <w14:schemeClr w14:val="tx1"/>
            </w14:solidFill>
          </w14:textFill>
        </w:rPr>
        <w:t>发现悬沙浓度</w:t>
      </w:r>
      <w:r>
        <w:rPr>
          <w:rFonts w:hint="eastAsia"/>
          <w:color w:val="000000" w:themeColor="text1"/>
          <w14:textFill>
            <w14:solidFill>
              <w14:schemeClr w14:val="tx1"/>
            </w14:solidFill>
          </w14:textFill>
        </w:rPr>
        <w:t>超出《广西壮族自治区生态环境厅关于印发广西壮族自治区近岸海域环境功能区划调整方案的通知》（桂环发〔2023〕9号）中相应功能区海水水质标准时</w:t>
      </w:r>
      <w:r>
        <w:rPr>
          <w:color w:val="000000" w:themeColor="text1"/>
          <w14:textFill>
            <w14:solidFill>
              <w14:schemeClr w14:val="tx1"/>
            </w14:solidFill>
          </w14:textFill>
        </w:rPr>
        <w:t>，应立即停止施工，对施工造成的海洋生态损失应当给予一定的赔偿。</w:t>
      </w:r>
    </w:p>
    <w:p>
      <w:pPr>
        <w:ind w:firstLine="480"/>
        <w:rPr>
          <w:color w:val="000000" w:themeColor="text1"/>
          <w:u w:val="single"/>
          <w14:textFill>
            <w14:solidFill>
              <w14:schemeClr w14:val="tx1"/>
            </w14:solidFill>
          </w14:textFill>
        </w:rPr>
      </w:pPr>
      <w:r>
        <w:rPr>
          <w:rFonts w:hint="eastAsia"/>
          <w:color w:val="000000" w:themeColor="text1"/>
          <w14:textFill>
            <w14:solidFill>
              <w14:schemeClr w14:val="tx1"/>
            </w14:solidFill>
          </w14:textFill>
        </w:rPr>
        <w:t>（</w:t>
      </w:r>
      <w:r>
        <w:rPr>
          <w:color w:val="000000" w:themeColor="text1"/>
          <w14:textFill>
            <w14:solidFill>
              <w14:schemeClr w14:val="tx1"/>
            </w14:solidFill>
          </w14:textFill>
        </w:rPr>
        <w:t>3</w:t>
      </w:r>
      <w:r>
        <w:rPr>
          <w:rFonts w:hint="eastAsia"/>
          <w:color w:val="000000" w:themeColor="text1"/>
          <w14:textFill>
            <w14:solidFill>
              <w14:schemeClr w14:val="tx1"/>
            </w14:solidFill>
          </w14:textFill>
        </w:rPr>
        <w:t>）疏浚物转运过程中应加强与海事、海洋与渔业等主管部门的沟通联系。本项目部分疏浚土石回填至钦州保税港区吴鼎仓储物流中心填海工程范围内，相关填海工程环保措施由钦州保税港区吴鼎仓储物流中心填海工程自行落实，评价仅对其提出原则性要求：该填海工程实施过程中应优化施工时序，采取先围后填原则；围填区内合理规划吹填径流路线，尽量延长退水在回填区内的停留时间，必要时可考虑在回填区内设置沉淀池并投加絮凝剂；优化溢流口退水排放位置，充分沉淀后的退水通过溢流口排放，溢流口主要沿围堰布设，不新增临时用海；溢流口内侧及外侧可通过设置1~2道防污帘减缓悬浮泥沙扩散，确保出水悬浮物浓度控制在150mg/L，并对防污帘开展定期巡视检查和维护工作，及时清理、更换堵塞破损防污帘；施工期应开展溢流口悬浮物及本项目东侧混合排污区2处排污口跟踪监测工作，一旦发现悬浮物浓度出现异常应及时停工，查找原因并优化相关方案和环保措施。评价要求上述围填海环保措施均得到有效落实且能确保吹填退水悬浮物浓度控制在150mg/L以内，本项目疏浚物方可进行吹填。</w:t>
      </w:r>
    </w:p>
    <w:p>
      <w:pPr>
        <w:pStyle w:val="283"/>
        <w:ind w:firstLine="462"/>
        <w:rPr>
          <w:color w:val="000000" w:themeColor="text1"/>
          <w14:textFill>
            <w14:solidFill>
              <w14:schemeClr w14:val="tx1"/>
            </w14:solidFill>
          </w14:textFill>
        </w:rPr>
      </w:pPr>
      <w:r>
        <w:rPr>
          <w:color w:val="000000" w:themeColor="text1"/>
          <w14:textFill>
            <w14:solidFill>
              <w14:schemeClr w14:val="tx1"/>
            </w14:solidFill>
          </w14:textFill>
        </w:rPr>
        <w:t>（</w:t>
      </w:r>
      <w:r>
        <w:rPr>
          <w:rFonts w:hint="eastAsia"/>
          <w:color w:val="000000" w:themeColor="text1"/>
          <w14:textFill>
            <w14:solidFill>
              <w14:schemeClr w14:val="tx1"/>
            </w14:solidFill>
          </w14:textFill>
        </w:rPr>
        <w:t>4</w:t>
      </w:r>
      <w:r>
        <w:rPr>
          <w:color w:val="000000" w:themeColor="text1"/>
          <w14:textFill>
            <w14:solidFill>
              <w14:schemeClr w14:val="tx1"/>
            </w14:solidFill>
          </w14:textFill>
        </w:rPr>
        <w:t>）陆域施工中的施工机械要严格检查，防止油料泄漏；严禁将废油、施工垃圾等随意抛入水体。</w:t>
      </w:r>
    </w:p>
    <w:p>
      <w:pPr>
        <w:pStyle w:val="283"/>
        <w:ind w:firstLine="462"/>
        <w:rPr>
          <w:color w:val="000000" w:themeColor="text1"/>
          <w14:textFill>
            <w14:solidFill>
              <w14:schemeClr w14:val="tx1"/>
            </w14:solidFill>
          </w14:textFill>
        </w:rPr>
      </w:pPr>
      <w:r>
        <w:rPr>
          <w:rFonts w:hint="eastAsia"/>
          <w:color w:val="000000" w:themeColor="text1"/>
          <w14:textFill>
            <w14:solidFill>
              <w14:schemeClr w14:val="tx1"/>
            </w14:solidFill>
          </w14:textFill>
        </w:rPr>
        <w:t>（5）海域疏浚的污染防治措施</w:t>
      </w:r>
    </w:p>
    <w:p>
      <w:pPr>
        <w:ind w:firstLine="480"/>
        <w:rPr>
          <w:color w:val="000000" w:themeColor="text1"/>
          <w14:textFill>
            <w14:solidFill>
              <w14:schemeClr w14:val="tx1"/>
            </w14:solidFill>
          </w14:textFill>
        </w:rPr>
      </w:pPr>
      <w:r>
        <w:rPr>
          <w:rFonts w:hint="eastAsia" w:ascii="宋体" w:hAnsi="宋体"/>
          <w:color w:val="000000" w:themeColor="text1"/>
          <w14:textFill>
            <w14:solidFill>
              <w14:schemeClr w14:val="tx1"/>
            </w14:solidFill>
          </w14:textFill>
        </w:rPr>
        <w:t>①</w:t>
      </w:r>
      <w:r>
        <w:rPr>
          <w:color w:val="000000" w:themeColor="text1"/>
          <w14:textFill>
            <w14:solidFill>
              <w14:schemeClr w14:val="tx1"/>
            </w14:solidFill>
          </w14:textFill>
        </w:rPr>
        <w:t>施工单位应合理选择疏浚设备和施工方法，对整个工程的施工质量、进度和资源消耗作出合理安排，尽可能地缩短施工周期，以减小施工作业对水环境的影响。</w:t>
      </w:r>
    </w:p>
    <w:p>
      <w:pPr>
        <w:ind w:firstLine="480"/>
        <w:rPr>
          <w:color w:val="000000" w:themeColor="text1"/>
          <w14:textFill>
            <w14:solidFill>
              <w14:schemeClr w14:val="tx1"/>
            </w14:solidFill>
          </w14:textFill>
        </w:rPr>
      </w:pPr>
      <w:r>
        <w:rPr>
          <w:rFonts w:hint="eastAsia" w:ascii="宋体" w:hAnsi="宋体"/>
          <w:color w:val="000000" w:themeColor="text1"/>
          <w14:textFill>
            <w14:solidFill>
              <w14:schemeClr w14:val="tx1"/>
            </w14:solidFill>
          </w14:textFill>
        </w:rPr>
        <w:t>②</w:t>
      </w:r>
      <w:r>
        <w:rPr>
          <w:color w:val="000000" w:themeColor="text1"/>
          <w14:textFill>
            <w14:solidFill>
              <w14:schemeClr w14:val="tx1"/>
            </w14:solidFill>
          </w14:textFill>
        </w:rPr>
        <w:t>施工船舶应安装定位系统，精确定位后再开始挖掘，减少疏浚作业中不必要的超深、超宽的疏浚土方量；施工船舶应安装抛泥在线监控系统，对海洋倾倒疏浚土活动进行实时监控，确保挖泥船舶在指定地点卸泥。</w:t>
      </w:r>
    </w:p>
    <w:p>
      <w:pPr>
        <w:ind w:firstLine="480"/>
        <w:rPr>
          <w:color w:val="000000" w:themeColor="text1"/>
          <w14:textFill>
            <w14:solidFill>
              <w14:schemeClr w14:val="tx1"/>
            </w14:solidFill>
          </w14:textFill>
        </w:rPr>
      </w:pPr>
      <w:r>
        <w:rPr>
          <w:rFonts w:hint="eastAsia" w:ascii="宋体" w:hAnsi="宋体"/>
          <w:color w:val="000000" w:themeColor="text1"/>
          <w14:textFill>
            <w14:solidFill>
              <w14:schemeClr w14:val="tx1"/>
            </w14:solidFill>
          </w14:textFill>
        </w:rPr>
        <w:t>③</w:t>
      </w:r>
      <w:r>
        <w:rPr>
          <w:color w:val="000000" w:themeColor="text1"/>
          <w14:textFill>
            <w14:solidFill>
              <w14:schemeClr w14:val="tx1"/>
            </w14:solidFill>
          </w14:textFill>
        </w:rPr>
        <w:t>加强对</w:t>
      </w:r>
      <w:r>
        <w:rPr>
          <w:rFonts w:hint="eastAsia"/>
          <w:color w:val="000000" w:themeColor="text1"/>
          <w14:textFill>
            <w14:solidFill>
              <w14:schemeClr w14:val="tx1"/>
            </w14:solidFill>
          </w14:textFill>
        </w:rPr>
        <w:t>疏浚物</w:t>
      </w:r>
      <w:r>
        <w:rPr>
          <w:color w:val="000000" w:themeColor="text1"/>
          <w14:textFill>
            <w14:solidFill>
              <w14:schemeClr w14:val="tx1"/>
            </w14:solidFill>
          </w14:textFill>
        </w:rPr>
        <w:t>外抛过程的监管，必须运至指定地点方可抛泥，严防半路抛洒或泄漏。做好施工设备的日常检查维修，重点对施工船舶的连接部件以及储泥船舱进行检查，防止断裂或泄漏造成污染事故。</w:t>
      </w:r>
    </w:p>
    <w:p>
      <w:pPr>
        <w:ind w:firstLine="480"/>
        <w:rPr>
          <w:color w:val="000000" w:themeColor="text1"/>
          <w14:textFill>
            <w14:solidFill>
              <w14:schemeClr w14:val="tx1"/>
            </w14:solidFill>
          </w14:textFill>
        </w:rPr>
      </w:pPr>
      <w:r>
        <w:rPr>
          <w:rFonts w:hint="eastAsia" w:ascii="宋体" w:hAnsi="宋体"/>
          <w:color w:val="000000" w:themeColor="text1"/>
          <w14:textFill>
            <w14:solidFill>
              <w14:schemeClr w14:val="tx1"/>
            </w14:solidFill>
          </w14:textFill>
        </w:rPr>
        <w:t>④</w:t>
      </w:r>
      <w:r>
        <w:rPr>
          <w:color w:val="000000" w:themeColor="text1"/>
          <w14:textFill>
            <w14:solidFill>
              <w14:schemeClr w14:val="tx1"/>
            </w14:solidFill>
          </w14:textFill>
        </w:rPr>
        <w:t>取得倾倒许可证，疏浚土倾倒至管理部门批准的指定抛泥区，避免发生污染。</w:t>
      </w:r>
    </w:p>
    <w:p>
      <w:pPr>
        <w:ind w:firstLine="480"/>
        <w:rPr>
          <w:color w:val="000000" w:themeColor="text1"/>
          <w14:textFill>
            <w14:solidFill>
              <w14:schemeClr w14:val="tx1"/>
            </w14:solidFill>
          </w14:textFill>
        </w:rPr>
      </w:pPr>
      <w:r>
        <w:rPr>
          <w:rFonts w:hint="eastAsia" w:ascii="宋体" w:hAnsi="宋体"/>
          <w:color w:val="000000" w:themeColor="text1"/>
          <w14:textFill>
            <w14:solidFill>
              <w14:schemeClr w14:val="tx1"/>
            </w14:solidFill>
          </w14:textFill>
        </w:rPr>
        <w:t>⑤</w:t>
      </w:r>
      <w:r>
        <w:rPr>
          <w:color w:val="000000" w:themeColor="text1"/>
          <w14:textFill>
            <w14:solidFill>
              <w14:schemeClr w14:val="tx1"/>
            </w14:solidFill>
          </w14:textFill>
        </w:rPr>
        <w:t>加强施工船舶的日常检查维修，重点对挖泥船的连接部件以及储泥船舱进行检查，防止断裂或泄漏造成污染事故。</w:t>
      </w:r>
    </w:p>
    <w:p>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（6）委托开展施工期监理（含环保相关内容），协助建设单位加强建设项目全过程控制，指导施工单位落实好施工期各项环保措施，确保施工过程中各项环保措施落实到位。</w:t>
      </w:r>
    </w:p>
    <w:p>
      <w:pPr>
        <w:pStyle w:val="5"/>
        <w:rPr>
          <w:color w:val="000000" w:themeColor="text1"/>
          <w14:textFill>
            <w14:solidFill>
              <w14:schemeClr w14:val="tx1"/>
            </w14:solidFill>
          </w14:textFill>
        </w:rPr>
      </w:pPr>
      <w:r>
        <w:rPr>
          <w:color w:val="000000" w:themeColor="text1"/>
          <w14:textFill>
            <w14:solidFill>
              <w14:schemeClr w14:val="tx1"/>
            </w14:solidFill>
          </w14:textFill>
        </w:rPr>
        <w:t>生态保护措施</w:t>
      </w:r>
    </w:p>
    <w:p>
      <w:pPr>
        <w:pStyle w:val="283"/>
        <w:ind w:firstLine="462"/>
        <w:rPr>
          <w:color w:val="000000" w:themeColor="text1"/>
          <w14:textFill>
            <w14:solidFill>
              <w14:schemeClr w14:val="tx1"/>
            </w14:solidFill>
          </w14:textFill>
        </w:rPr>
      </w:pPr>
      <w:r>
        <w:rPr>
          <w:color w:val="000000" w:themeColor="text1"/>
          <w14:textFill>
            <w14:solidFill>
              <w14:schemeClr w14:val="tx1"/>
            </w14:solidFill>
          </w14:textFill>
        </w:rPr>
        <w:t>（1）陆域施工期间，施工作业产生的建筑垃圾及生活垃圾禁止抛弃入海。</w:t>
      </w:r>
    </w:p>
    <w:p>
      <w:pPr>
        <w:pStyle w:val="283"/>
        <w:ind w:firstLine="462"/>
        <w:rPr>
          <w:color w:val="000000" w:themeColor="text1"/>
          <w14:textFill>
            <w14:solidFill>
              <w14:schemeClr w14:val="tx1"/>
            </w14:solidFill>
          </w14:textFill>
        </w:rPr>
      </w:pPr>
      <w:r>
        <w:rPr>
          <w:color w:val="000000" w:themeColor="text1"/>
          <w14:textFill>
            <w14:solidFill>
              <w14:schemeClr w14:val="tx1"/>
            </w14:solidFill>
          </w14:textFill>
        </w:rPr>
        <w:t>（2）水域施工过程中须密切注意</w:t>
      </w:r>
      <w:r>
        <w:rPr>
          <w:rFonts w:hint="eastAsia"/>
          <w:color w:val="000000" w:themeColor="text1"/>
          <w14:textFill>
            <w14:solidFill>
              <w14:schemeClr w14:val="tx1"/>
            </w14:solidFill>
          </w14:textFill>
        </w:rPr>
        <w:t>监测</w:t>
      </w:r>
      <w:r>
        <w:rPr>
          <w:color w:val="000000" w:themeColor="text1"/>
          <w14:textFill>
            <w14:solidFill>
              <w14:schemeClr w14:val="tx1"/>
            </w14:solidFill>
          </w14:textFill>
        </w:rPr>
        <w:t>施工区及其周边海域的水质变化。如发现因疏浚施工引起水质变化而对周围海域海洋生物产生不良影响，则应立即采取措施，必要时可短暂停工。</w:t>
      </w:r>
    </w:p>
    <w:p>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（3）在当地环保及渔政部门的监督和指导下进行施工作业，优化工程施工工艺，如炸礁选择环保型炸药等，避免原水域生境的急剧变化，降低施工作业环境影响程度。</w:t>
      </w:r>
    </w:p>
    <w:p>
      <w:pPr>
        <w:pStyle w:val="283"/>
        <w:ind w:firstLine="462"/>
        <w:rPr>
          <w:color w:val="000000" w:themeColor="text1"/>
          <w14:textFill>
            <w14:solidFill>
              <w14:schemeClr w14:val="tx1"/>
            </w14:solidFill>
          </w14:textFill>
        </w:rPr>
      </w:pPr>
      <w:r>
        <w:rPr>
          <w:color w:val="000000" w:themeColor="text1"/>
          <w14:textFill>
            <w14:solidFill>
              <w14:schemeClr w14:val="tx1"/>
            </w14:solidFill>
          </w14:textFill>
        </w:rPr>
        <w:t>（</w:t>
      </w:r>
      <w:r>
        <w:rPr>
          <w:rFonts w:hint="eastAsia"/>
          <w:color w:val="000000" w:themeColor="text1"/>
          <w14:textFill>
            <w14:solidFill>
              <w14:schemeClr w14:val="tx1"/>
            </w14:solidFill>
          </w14:textFill>
        </w:rPr>
        <w:t>4</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在炸礁、疏浚作业前半小时，对施工作业区和邻近水域采取小炮驱鱼的措施，通过定向爆炸的声响效应，将作业区鱼类驱赶到安全水域。驱鱼范围为驱鱼范围一般为爆破点周边</w:t>
      </w:r>
      <w:r>
        <w:rPr>
          <w:color w:val="000000" w:themeColor="text1"/>
          <w14:textFill>
            <w14:solidFill>
              <w14:schemeClr w14:val="tx1"/>
            </w14:solidFill>
          </w14:textFill>
        </w:rPr>
        <w:t>500～1400</w:t>
      </w:r>
      <w:r>
        <w:rPr>
          <w:rFonts w:hint="eastAsia"/>
          <w:color w:val="000000" w:themeColor="text1"/>
          <w14:textFill>
            <w14:solidFill>
              <w14:schemeClr w14:val="tx1"/>
            </w14:solidFill>
          </w14:textFill>
        </w:rPr>
        <w:t>米，具体的安全防护距离应由专业机构通过测试及评估确定。驱鱼设备可选用定制驱鱼声响装置，通过声响将鱼类驱赶至作业场外。</w:t>
      </w:r>
    </w:p>
    <w:p>
      <w:pPr>
        <w:pStyle w:val="283"/>
        <w:ind w:firstLine="462"/>
        <w:rPr>
          <w:color w:val="000000" w:themeColor="text1"/>
          <w14:textFill>
            <w14:solidFill>
              <w14:schemeClr w14:val="tx1"/>
            </w14:solidFill>
          </w14:textFill>
        </w:rPr>
      </w:pPr>
      <w:r>
        <w:rPr>
          <w:rFonts w:hint="eastAsia"/>
          <w:color w:val="000000" w:themeColor="text1"/>
          <w14:textFill>
            <w14:solidFill>
              <w14:schemeClr w14:val="tx1"/>
            </w14:solidFill>
          </w14:textFill>
        </w:rPr>
        <w:t>（5）</w:t>
      </w:r>
      <w:r>
        <w:rPr>
          <w:color w:val="000000" w:themeColor="text1"/>
          <w14:textFill>
            <w14:solidFill>
              <w14:schemeClr w14:val="tx1"/>
            </w14:solidFill>
          </w14:textFill>
        </w:rPr>
        <w:t>为减轻水下爆破冲击波对渔业资源的影响，建议将</w:t>
      </w:r>
      <w:r>
        <w:rPr>
          <w:snapToGrid w:val="0"/>
          <w:color w:val="000000" w:themeColor="text1"/>
          <w14:textFill>
            <w14:solidFill>
              <w14:schemeClr w14:val="tx1"/>
            </w14:solidFill>
          </w14:textFill>
        </w:rPr>
        <w:t>一次最大爆炸药量控制在</w:t>
      </w:r>
      <w:r>
        <w:rPr>
          <w:color w:val="000000" w:themeColor="text1"/>
          <w14:textFill>
            <w14:solidFill>
              <w14:schemeClr w14:val="tx1"/>
            </w14:solidFill>
          </w14:textFill>
        </w:rPr>
        <w:t>100kg以下，采用分层爆破、微差爆破技术，控制爆破对鱼类影响的范围。并在大爆前先采取放小炮措施，让鱼群远离爆破区域。爆破工程应避开鱼类繁殖季节，建议施工单位采用快硬、高强、微膨胀的材料或直接用成型的炮孔塞堵塞炮孔等措施，减少钻孔工作量，加快施工进度，严格将爆破施工控制在</w:t>
      </w:r>
      <w:r>
        <w:rPr>
          <w:snapToGrid w:val="0"/>
          <w:color w:val="000000" w:themeColor="text1"/>
          <w14:textFill>
            <w14:solidFill>
              <w14:schemeClr w14:val="tx1"/>
            </w14:solidFill>
          </w14:textFill>
        </w:rPr>
        <w:t>枯水期11～3月完成，减少爆破对鱼类影响持续的时间。</w:t>
      </w:r>
    </w:p>
    <w:p>
      <w:pPr>
        <w:pStyle w:val="283"/>
        <w:ind w:firstLine="462"/>
        <w:rPr>
          <w:color w:val="000000" w:themeColor="text1"/>
          <w14:textFill>
            <w14:solidFill>
              <w14:schemeClr w14:val="tx1"/>
            </w14:solidFill>
          </w14:textFill>
        </w:rPr>
      </w:pPr>
      <w:r>
        <w:rPr>
          <w:rFonts w:hint="eastAsia"/>
          <w:color w:val="000000" w:themeColor="text1"/>
          <w14:textFill>
            <w14:solidFill>
              <w14:schemeClr w14:val="tx1"/>
            </w14:solidFill>
          </w14:textFill>
        </w:rPr>
        <w:t>（6）</w:t>
      </w:r>
      <w:r>
        <w:rPr>
          <w:color w:val="000000" w:themeColor="text1"/>
          <w14:textFill>
            <w14:solidFill>
              <w14:schemeClr w14:val="tx1"/>
            </w14:solidFill>
          </w14:textFill>
        </w:rPr>
        <w:t>项目疏浚、炸礁工程对用海区域内的海洋生物造成一定程度的破坏。本次评价建议采用增殖放流等生态恢复措施。码头前沿水域建议按照《中华人民共和国渔业法》等法律法规和《中国水生生物资源养护行动纲要》等有关规定在渔业部门的指导下采取增殖放流的方式，对受损的海洋生物资源进行补偿。建设单位与渔业主管部门协商制定补偿方案，具体种类、数量按照生态补偿方案确定。</w:t>
      </w:r>
    </w:p>
    <w:p>
      <w:pPr>
        <w:pStyle w:val="5"/>
        <w:rPr>
          <w:color w:val="000000" w:themeColor="text1"/>
          <w14:textFill>
            <w14:solidFill>
              <w14:schemeClr w14:val="tx1"/>
            </w14:solidFill>
          </w14:textFill>
        </w:rPr>
      </w:pPr>
      <w:r>
        <w:rPr>
          <w:color w:val="000000" w:themeColor="text1"/>
          <w14:textFill>
            <w14:solidFill>
              <w14:schemeClr w14:val="tx1"/>
            </w14:solidFill>
          </w14:textFill>
        </w:rPr>
        <w:t>环境空气保护措施</w:t>
      </w:r>
    </w:p>
    <w:p>
      <w:pPr>
        <w:pStyle w:val="283"/>
        <w:ind w:firstLine="462"/>
        <w:rPr>
          <w:color w:val="000000" w:themeColor="text1"/>
          <w14:textFill>
            <w14:solidFill>
              <w14:schemeClr w14:val="tx1"/>
            </w14:solidFill>
          </w14:textFill>
        </w:rPr>
      </w:pPr>
      <w:r>
        <w:rPr>
          <w:color w:val="000000" w:themeColor="text1"/>
          <w14:textFill>
            <w14:solidFill>
              <w14:schemeClr w14:val="tx1"/>
            </w14:solidFill>
          </w14:textFill>
        </w:rPr>
        <w:t>（1）</w:t>
      </w:r>
      <w:r>
        <w:rPr>
          <w:rFonts w:hint="eastAsia"/>
          <w:color w:val="000000" w:themeColor="text1"/>
          <w14:textFill>
            <w14:solidFill>
              <w14:schemeClr w14:val="tx1"/>
            </w14:solidFill>
          </w14:textFill>
        </w:rPr>
        <w:t>进出工地的物料、垃圾运输车辆，应当采用密闭车斗。无密闭车斗的，应用苫布覆盖。</w:t>
      </w:r>
    </w:p>
    <w:p>
      <w:pPr>
        <w:pStyle w:val="283"/>
        <w:ind w:firstLine="462"/>
        <w:rPr>
          <w:color w:val="000000" w:themeColor="text1"/>
          <w14:textFill>
            <w14:solidFill>
              <w14:schemeClr w14:val="tx1"/>
            </w14:solidFill>
          </w14:textFill>
        </w:rPr>
      </w:pPr>
      <w:r>
        <w:rPr>
          <w:color w:val="000000" w:themeColor="text1"/>
          <w14:textFill>
            <w14:solidFill>
              <w14:schemeClr w14:val="tx1"/>
            </w14:solidFill>
          </w14:textFill>
        </w:rPr>
        <w:t>（</w:t>
      </w:r>
      <w:r>
        <w:rPr>
          <w:rFonts w:hint="eastAsia"/>
          <w:color w:val="000000" w:themeColor="text1"/>
          <w14:textFill>
            <w14:solidFill>
              <w14:schemeClr w14:val="tx1"/>
            </w14:solidFill>
          </w14:textFill>
        </w:rPr>
        <w:t>2</w:t>
      </w:r>
      <w:r>
        <w:rPr>
          <w:color w:val="000000" w:themeColor="text1"/>
          <w14:textFill>
            <w14:solidFill>
              <w14:schemeClr w14:val="tx1"/>
            </w14:solidFill>
          </w14:textFill>
        </w:rPr>
        <w:t>）采用外购商品混凝土、封闭运输到现场浇灌的施工方式，不在施工现场搅拌混凝土；</w:t>
      </w:r>
    </w:p>
    <w:p>
      <w:pPr>
        <w:pStyle w:val="283"/>
        <w:ind w:firstLine="462"/>
        <w:rPr>
          <w:color w:val="000000" w:themeColor="text1"/>
          <w14:textFill>
            <w14:solidFill>
              <w14:schemeClr w14:val="tx1"/>
            </w14:solidFill>
          </w14:textFill>
        </w:rPr>
      </w:pPr>
      <w:r>
        <w:rPr>
          <w:color w:val="000000" w:themeColor="text1"/>
          <w14:textFill>
            <w14:solidFill>
              <w14:schemeClr w14:val="tx1"/>
            </w14:solidFill>
          </w14:textFill>
        </w:rPr>
        <w:t>（</w:t>
      </w:r>
      <w:r>
        <w:rPr>
          <w:rFonts w:hint="eastAsia"/>
          <w:color w:val="000000" w:themeColor="text1"/>
          <w14:textFill>
            <w14:solidFill>
              <w14:schemeClr w14:val="tx1"/>
            </w14:solidFill>
          </w14:textFill>
        </w:rPr>
        <w:t>3</w:t>
      </w:r>
      <w:r>
        <w:rPr>
          <w:color w:val="000000" w:themeColor="text1"/>
          <w14:textFill>
            <w14:solidFill>
              <w14:schemeClr w14:val="tx1"/>
            </w14:solidFill>
          </w14:textFill>
        </w:rPr>
        <w:t>）加强对施工机械、车辆的维修保养，保持其良好工况，同时避免以柴油为燃料的施工机械超负荷工作，减少尾气排放。</w:t>
      </w:r>
    </w:p>
    <w:p>
      <w:pPr>
        <w:pStyle w:val="283"/>
        <w:ind w:firstLine="462"/>
        <w:rPr>
          <w:color w:val="000000" w:themeColor="text1"/>
          <w14:textFill>
            <w14:solidFill>
              <w14:schemeClr w14:val="tx1"/>
            </w14:solidFill>
          </w14:textFill>
        </w:rPr>
      </w:pPr>
      <w:r>
        <w:rPr>
          <w:color w:val="000000" w:themeColor="text1"/>
          <w14:textFill>
            <w14:solidFill>
              <w14:schemeClr w14:val="tx1"/>
            </w14:solidFill>
          </w14:textFill>
        </w:rPr>
        <w:t>（</w:t>
      </w:r>
      <w:r>
        <w:rPr>
          <w:rFonts w:hint="eastAsia"/>
          <w:color w:val="000000" w:themeColor="text1"/>
          <w14:textFill>
            <w14:solidFill>
              <w14:schemeClr w14:val="tx1"/>
            </w14:solidFill>
          </w14:textFill>
        </w:rPr>
        <w:t>4</w:t>
      </w:r>
      <w:r>
        <w:rPr>
          <w:color w:val="000000" w:themeColor="text1"/>
          <w14:textFill>
            <w14:solidFill>
              <w14:schemeClr w14:val="tx1"/>
            </w14:solidFill>
          </w14:textFill>
        </w:rPr>
        <w:t>）本项目所在海域位于船舶大气污染物排放控制区内，施工期禁止内河船舶及“三无”船舶参与海上施工和运输，作业船舶应遵守大气污染物排放控制区相关要求，通过使用符合规定的清洁燃料油，满足硫氧化物、颗粒物和氮氧化物的排放控制要求。</w:t>
      </w:r>
    </w:p>
    <w:p>
      <w:pPr>
        <w:pStyle w:val="5"/>
        <w:rPr>
          <w:color w:val="000000" w:themeColor="text1"/>
          <w14:textFill>
            <w14:solidFill>
              <w14:schemeClr w14:val="tx1"/>
            </w14:solidFill>
          </w14:textFill>
        </w:rPr>
      </w:pPr>
      <w:r>
        <w:rPr>
          <w:color w:val="000000" w:themeColor="text1"/>
          <w14:textFill>
            <w14:solidFill>
              <w14:schemeClr w14:val="tx1"/>
            </w14:solidFill>
          </w14:textFill>
        </w:rPr>
        <w:t>声环境保护措施</w:t>
      </w:r>
    </w:p>
    <w:p>
      <w:pPr>
        <w:pStyle w:val="283"/>
        <w:ind w:firstLine="462"/>
        <w:rPr>
          <w:color w:val="000000" w:themeColor="text1"/>
          <w14:textFill>
            <w14:solidFill>
              <w14:schemeClr w14:val="tx1"/>
            </w14:solidFill>
          </w14:textFill>
        </w:rPr>
      </w:pPr>
      <w:r>
        <w:rPr>
          <w:color w:val="000000" w:themeColor="text1"/>
          <w14:textFill>
            <w14:solidFill>
              <w14:schemeClr w14:val="tx1"/>
            </w14:solidFill>
          </w14:textFill>
        </w:rPr>
        <w:t xml:space="preserve">（1）施工机械尽量采用低噪声设备，加强设备日常维修保养，使施工机械保持良好状态，避免超正常噪声水平运转；加强对施工机械实行检定措施，未达产品噪声限值设备不应继续使用； </w:t>
      </w:r>
    </w:p>
    <w:p>
      <w:pPr>
        <w:pStyle w:val="283"/>
        <w:ind w:firstLine="462"/>
        <w:rPr>
          <w:color w:val="000000" w:themeColor="text1"/>
          <w14:textFill>
            <w14:solidFill>
              <w14:schemeClr w14:val="tx1"/>
            </w14:solidFill>
          </w14:textFill>
        </w:rPr>
      </w:pPr>
      <w:r>
        <w:rPr>
          <w:color w:val="000000" w:themeColor="text1"/>
          <w14:textFill>
            <w14:solidFill>
              <w14:schemeClr w14:val="tx1"/>
            </w14:solidFill>
          </w14:textFill>
        </w:rPr>
        <w:t>（2）加强现场施工人员个人防护工作，通过合理安排工人轮流操作机械，减少工作接触高噪声的时间；对在声源附近工作时间较长的工人，可采取发放防声耳塞、头盔等保护措施，使工人进行自身保护。</w:t>
      </w:r>
    </w:p>
    <w:p>
      <w:pPr>
        <w:pStyle w:val="5"/>
        <w:rPr>
          <w:color w:val="000000" w:themeColor="text1"/>
          <w14:textFill>
            <w14:solidFill>
              <w14:schemeClr w14:val="tx1"/>
            </w14:solidFill>
          </w14:textFill>
        </w:rPr>
      </w:pPr>
      <w:r>
        <w:rPr>
          <w:color w:val="000000" w:themeColor="text1"/>
          <w14:textFill>
            <w14:solidFill>
              <w14:schemeClr w14:val="tx1"/>
            </w14:solidFill>
          </w14:textFill>
        </w:rPr>
        <w:t>固体废物污染防治措施</w:t>
      </w:r>
    </w:p>
    <w:p>
      <w:pPr>
        <w:pStyle w:val="283"/>
        <w:ind w:firstLine="462"/>
        <w:rPr>
          <w:color w:val="000000" w:themeColor="text1"/>
          <w14:textFill>
            <w14:solidFill>
              <w14:schemeClr w14:val="tx1"/>
            </w14:solidFill>
          </w14:textFill>
        </w:rPr>
      </w:pPr>
      <w:r>
        <w:rPr>
          <w:color w:val="000000" w:themeColor="text1"/>
          <w14:textFill>
            <w14:solidFill>
              <w14:schemeClr w14:val="tx1"/>
            </w14:solidFill>
          </w14:textFill>
        </w:rPr>
        <w:t>（1）陆域施工人员生活垃圾处置：</w:t>
      </w:r>
      <w:r>
        <w:rPr>
          <w:snapToGrid w:val="0"/>
          <w:color w:val="000000" w:themeColor="text1"/>
          <w14:textFill>
            <w14:solidFill>
              <w14:schemeClr w14:val="tx1"/>
            </w14:solidFill>
          </w14:textFill>
        </w:rPr>
        <w:t>禁止在施工中随意丢弃垃圾，在施工现场</w:t>
      </w:r>
      <w:r>
        <w:rPr>
          <w:color w:val="000000" w:themeColor="text1"/>
          <w14:textFill>
            <w14:solidFill>
              <w14:schemeClr w14:val="tx1"/>
            </w14:solidFill>
          </w14:textFill>
        </w:rPr>
        <w:t>设置封闭的垃圾</w:t>
      </w:r>
      <w:r>
        <w:rPr>
          <w:rFonts w:hint="eastAsia"/>
          <w:color w:val="000000" w:themeColor="text1"/>
          <w14:textFill>
            <w14:solidFill>
              <w14:schemeClr w14:val="tx1"/>
            </w14:solidFill>
          </w14:textFill>
        </w:rPr>
        <w:t>收集</w:t>
      </w:r>
      <w:r>
        <w:rPr>
          <w:color w:val="000000" w:themeColor="text1"/>
          <w14:textFill>
            <w14:solidFill>
              <w14:schemeClr w14:val="tx1"/>
            </w14:solidFill>
          </w14:textFill>
        </w:rPr>
        <w:t>设施，</w:t>
      </w:r>
      <w:r>
        <w:rPr>
          <w:rFonts w:hint="eastAsia"/>
          <w:color w:val="000000" w:themeColor="text1"/>
          <w14:textFill>
            <w14:solidFill>
              <w14:schemeClr w14:val="tx1"/>
            </w14:solidFill>
          </w14:textFill>
        </w:rPr>
        <w:t>收集后集中堆放在7号8号泊位垃圾中转站内，由环卫部门上门清运</w:t>
      </w:r>
      <w:r>
        <w:rPr>
          <w:color w:val="000000" w:themeColor="text1"/>
          <w14:textFill>
            <w14:solidFill>
              <w14:schemeClr w14:val="tx1"/>
            </w14:solidFill>
          </w14:textFill>
        </w:rPr>
        <w:t>。</w:t>
      </w:r>
    </w:p>
    <w:p>
      <w:pPr>
        <w:pStyle w:val="283"/>
        <w:ind w:firstLine="462"/>
        <w:rPr>
          <w:color w:val="000000" w:themeColor="text1"/>
          <w14:textFill>
            <w14:solidFill>
              <w14:schemeClr w14:val="tx1"/>
            </w14:solidFill>
          </w14:textFill>
        </w:rPr>
      </w:pPr>
      <w:r>
        <w:rPr>
          <w:color w:val="000000" w:themeColor="text1"/>
          <w14:textFill>
            <w14:solidFill>
              <w14:schemeClr w14:val="tx1"/>
            </w14:solidFill>
          </w14:textFill>
        </w:rPr>
        <w:t>（</w:t>
      </w:r>
      <w:r>
        <w:rPr>
          <w:rFonts w:hint="eastAsia"/>
          <w:color w:val="000000" w:themeColor="text1"/>
          <w14:textFill>
            <w14:solidFill>
              <w14:schemeClr w14:val="tx1"/>
            </w14:solidFill>
          </w14:textFill>
        </w:rPr>
        <w:t>2</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本项目为广西壮族自治区级重大项目，项目倾倒总量为</w:t>
      </w:r>
      <w:r>
        <w:rPr>
          <w:color w:val="000000" w:themeColor="text1"/>
          <w14:textFill>
            <w14:solidFill>
              <w14:schemeClr w14:val="tx1"/>
            </w14:solidFill>
          </w14:textFill>
        </w:rPr>
        <w:t>123.4</w:t>
      </w:r>
      <w:r>
        <w:rPr>
          <w:rFonts w:hint="eastAsia"/>
          <w:color w:val="000000" w:themeColor="text1"/>
          <w14:textFill>
            <w14:solidFill>
              <w14:schemeClr w14:val="tx1"/>
            </w14:solidFill>
          </w14:textFill>
        </w:rPr>
        <w:t>万m</w:t>
      </w:r>
      <w:r>
        <w:rPr>
          <w:rFonts w:hint="eastAsia"/>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，项目疏浚物倾倒应按照《中华人民共和国海洋倾废管理条例》及自治区海洋局相关要求办理倾倒证，严格按照倾倒证许可的倾倒废弃物类型及数量进行倾倒，禁止改变倾倒物类别及新增倾倒物数量。</w:t>
      </w:r>
    </w:p>
    <w:p>
      <w:pPr>
        <w:pStyle w:val="283"/>
        <w:ind w:firstLine="462"/>
        <w:rPr>
          <w:color w:val="000000" w:themeColor="text1"/>
          <w14:textFill>
            <w14:solidFill>
              <w14:schemeClr w14:val="tx1"/>
            </w14:solidFill>
          </w14:textFill>
        </w:rPr>
      </w:pPr>
      <w:r>
        <w:rPr>
          <w:color w:val="000000" w:themeColor="text1"/>
          <w14:textFill>
            <w14:solidFill>
              <w14:schemeClr w14:val="tx1"/>
            </w14:solidFill>
          </w14:textFill>
        </w:rPr>
        <w:t>（3）施工期船舶生活垃圾接收上岸送至钦州市城市垃圾处理系统统一处理。船舶垃圾应参照国际海事组织（IMO）制定的MARPOL73/78公约附则Ⅴ、《船舶污染物排放标准》（GB3552-2018）、《防治船舶污染海洋环境管理条例》等法规的相应要求进行控制，并积极制定船舶垃圾管理规定，保护海洋环境。所有船舶垃圾禁止排入水体。船舶油水分离器产生的少量废油及生产垃圾中的污油和油渣等属危险废物，由具有相应资质部门有偿接收处理。对固体废物从产生、收集、运输、贮存、再循环利用、加工处理直至最终处置，实行全过程管理，以实现废物减量化、资源化和无害化。施工船舶垃圾应做好日常的收集、分类与储存工作，严格按照“五联单制度”进行管理，建立固体废物产生、外运、处置及最终去向的详细台账，并定期向当地环保部门报告。船舶垃圾委托有资质的污染物接收单位接收处理，严禁将船舶垃圾倾倒入海污染水域。</w:t>
      </w:r>
    </w:p>
    <w:p>
      <w:pPr>
        <w:pStyle w:val="4"/>
        <w:rPr>
          <w:color w:val="000000" w:themeColor="text1"/>
          <w14:textFill>
            <w14:solidFill>
              <w14:schemeClr w14:val="tx1"/>
            </w14:solidFill>
          </w14:textFill>
        </w:rPr>
      </w:pPr>
      <w:bookmarkStart w:id="269" w:name="_Toc303949961"/>
      <w:bookmarkStart w:id="270" w:name="_Toc317003284"/>
      <w:bookmarkStart w:id="271" w:name="_Toc317003564"/>
      <w:bookmarkStart w:id="272" w:name="_Toc170918617"/>
      <w:r>
        <w:rPr>
          <w:color w:val="000000" w:themeColor="text1"/>
          <w14:textFill>
            <w14:solidFill>
              <w14:schemeClr w14:val="tx1"/>
            </w14:solidFill>
          </w14:textFill>
        </w:rPr>
        <w:t>运营期环保措施</w:t>
      </w:r>
      <w:bookmarkEnd w:id="269"/>
      <w:bookmarkEnd w:id="270"/>
      <w:bookmarkEnd w:id="271"/>
      <w:bookmarkEnd w:id="272"/>
    </w:p>
    <w:p>
      <w:pPr>
        <w:pStyle w:val="5"/>
        <w:rPr>
          <w:color w:val="000000" w:themeColor="text1"/>
          <w14:textFill>
            <w14:solidFill>
              <w14:schemeClr w14:val="tx1"/>
            </w14:solidFill>
          </w14:textFill>
        </w:rPr>
      </w:pPr>
      <w:r>
        <w:rPr>
          <w:rFonts w:hint="eastAsia"/>
          <w:color w:val="000000" w:themeColor="text1"/>
          <w14:textFill>
            <w14:solidFill>
              <w14:schemeClr w14:val="tx1"/>
            </w14:solidFill>
          </w14:textFill>
        </w:rPr>
        <w:t>进出港船舶管理要求</w:t>
      </w:r>
    </w:p>
    <w:p>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（1）根据《产业结构调整指导目录（2024 年本）》，淘汰类船长大于90米的海洋钢质船舶禁止进出本项目港区内作业。</w:t>
      </w:r>
    </w:p>
    <w:p>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（2）进出港船舶应符合《沿海海域船舶排污设备铅封管理规定》《船舶污染物排放标准》(GB3552-2018)、73/78防污染公约、合《交通运输部关于印发船舶大气污染 物排放控制区实施方案的通知》（交海发</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2018</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168号）各时段管理要求。</w:t>
      </w:r>
    </w:p>
    <w:p>
      <w:pPr>
        <w:pStyle w:val="5"/>
        <w:rPr>
          <w:color w:val="000000" w:themeColor="text1"/>
          <w14:textFill>
            <w14:solidFill>
              <w14:schemeClr w14:val="tx1"/>
            </w14:solidFill>
          </w14:textFill>
        </w:rPr>
      </w:pPr>
      <w:r>
        <w:rPr>
          <w:color w:val="000000" w:themeColor="text1"/>
          <w14:textFill>
            <w14:solidFill>
              <w14:schemeClr w14:val="tx1"/>
            </w14:solidFill>
          </w14:textFill>
        </w:rPr>
        <w:t>水环境保护措施</w:t>
      </w:r>
    </w:p>
    <w:p>
      <w:pPr>
        <w:pStyle w:val="283"/>
        <w:ind w:firstLine="462"/>
        <w:rPr>
          <w:color w:val="000000" w:themeColor="text1"/>
          <w14:textFill>
            <w14:solidFill>
              <w14:schemeClr w14:val="tx1"/>
            </w14:solidFill>
          </w14:textFill>
        </w:rPr>
      </w:pPr>
      <w:r>
        <w:rPr>
          <w:rFonts w:hint="eastAsia"/>
          <w:color w:val="000000" w:themeColor="text1"/>
          <w14:textFill>
            <w14:solidFill>
              <w14:schemeClr w14:val="tx1"/>
            </w14:solidFill>
          </w14:textFill>
        </w:rPr>
        <w:t>本次扩建不新增水处理设施，项目不改变码头现有污水处理方式。</w:t>
      </w:r>
    </w:p>
    <w:p>
      <w:pPr>
        <w:pStyle w:val="6"/>
        <w:rPr>
          <w:color w:val="000000" w:themeColor="text1"/>
          <w14:textFill>
            <w14:solidFill>
              <w14:schemeClr w14:val="tx1"/>
            </w14:solidFill>
          </w14:textFill>
        </w:rPr>
      </w:pPr>
      <w:r>
        <w:rPr>
          <w:color w:val="000000" w:themeColor="text1"/>
          <w14:textFill>
            <w14:solidFill>
              <w14:schemeClr w14:val="tx1"/>
            </w14:solidFill>
          </w14:textFill>
        </w:rPr>
        <w:t>到港船舶污染防治措施</w:t>
      </w:r>
    </w:p>
    <w:p>
      <w:pPr>
        <w:pStyle w:val="283"/>
        <w:ind w:firstLine="462"/>
        <w:rPr>
          <w:color w:val="000000" w:themeColor="text1"/>
          <w14:textFill>
            <w14:solidFill>
              <w14:schemeClr w14:val="tx1"/>
            </w14:solidFill>
          </w14:textFill>
        </w:rPr>
      </w:pPr>
      <w:r>
        <w:rPr>
          <w:rFonts w:hint="eastAsia"/>
          <w:color w:val="000000" w:themeColor="text1"/>
          <w14:textFill>
            <w14:solidFill>
              <w14:schemeClr w14:val="tx1"/>
            </w14:solidFill>
          </w14:textFill>
        </w:rPr>
        <w:t>码头不接收处理船舶生活污水、</w:t>
      </w:r>
      <w:r>
        <w:rPr>
          <w:color w:val="000000" w:themeColor="text1"/>
          <w14:textFill>
            <w14:solidFill>
              <w14:schemeClr w14:val="tx1"/>
            </w14:solidFill>
          </w14:textFill>
        </w:rPr>
        <w:t>船舶舱底含油水</w:t>
      </w:r>
      <w:r>
        <w:rPr>
          <w:rFonts w:hint="eastAsia"/>
          <w:color w:val="000000" w:themeColor="text1"/>
          <w14:textFill>
            <w14:solidFill>
              <w14:schemeClr w14:val="tx1"/>
            </w14:solidFill>
          </w14:textFill>
        </w:rPr>
        <w:t>，到港船舶委托船舶污染物接收单位，进行船舶污水的接收、转运及处置。</w:t>
      </w:r>
    </w:p>
    <w:p>
      <w:pPr>
        <w:pStyle w:val="283"/>
        <w:ind w:firstLine="462"/>
        <w:rPr>
          <w:color w:val="000000" w:themeColor="text1"/>
          <w14:textFill>
            <w14:solidFill>
              <w14:schemeClr w14:val="tx1"/>
            </w14:solidFill>
          </w14:textFill>
        </w:rPr>
      </w:pPr>
      <w:r>
        <w:rPr>
          <w:rFonts w:hint="eastAsia"/>
          <w:color w:val="000000" w:themeColor="text1"/>
          <w14:textFill>
            <w14:solidFill>
              <w14:schemeClr w14:val="tx1"/>
            </w14:solidFill>
          </w14:textFill>
        </w:rPr>
        <w:t>船舶生活污水按《MARPOL73/78 防污公约》附则Ⅳ“防止船舶生活污水污染规则”规定，在航行中并且在4海里以外排放，或到港后委托有资质的船舶服务公司接收处理。船舶压载水应在航行中排放或在航行中完成深海置换，严禁进入钦州港区内排放。</w:t>
      </w:r>
    </w:p>
    <w:p>
      <w:pPr>
        <w:pStyle w:val="6"/>
        <w:rPr>
          <w:color w:val="000000" w:themeColor="text1"/>
          <w14:textFill>
            <w14:solidFill>
              <w14:schemeClr w14:val="tx1"/>
            </w14:solidFill>
          </w14:textFill>
        </w:rPr>
      </w:pPr>
      <w:r>
        <w:rPr>
          <w:color w:val="000000" w:themeColor="text1"/>
          <w14:textFill>
            <w14:solidFill>
              <w14:schemeClr w14:val="tx1"/>
            </w14:solidFill>
          </w14:textFill>
        </w:rPr>
        <w:t>港区污水处置</w:t>
      </w:r>
    </w:p>
    <w:p>
      <w:pPr>
        <w:pStyle w:val="1075"/>
        <w:ind w:firstLine="462"/>
        <w:rPr>
          <w:color w:val="000000" w:themeColor="text1"/>
          <w14:textFill>
            <w14:solidFill>
              <w14:schemeClr w14:val="tx1"/>
            </w14:solidFill>
          </w14:textFill>
        </w:rPr>
      </w:pPr>
      <w:r>
        <w:rPr>
          <w:color w:val="000000" w:themeColor="text1"/>
          <w14:textFill>
            <w14:solidFill>
              <w14:schemeClr w14:val="tx1"/>
            </w14:solidFill>
          </w14:textFill>
        </w:rPr>
        <w:t>（1）</w:t>
      </w:r>
      <w:r>
        <w:rPr>
          <w:rFonts w:hint="eastAsia"/>
          <w:color w:val="000000" w:themeColor="text1"/>
          <w14:textFill>
            <w14:solidFill>
              <w14:schemeClr w14:val="tx1"/>
            </w14:solidFill>
          </w14:textFill>
        </w:rPr>
        <w:t>本项目运营期</w:t>
      </w:r>
      <w:r>
        <w:rPr>
          <w:color w:val="000000" w:themeColor="text1"/>
          <w14:textFill>
            <w14:solidFill>
              <w14:schemeClr w14:val="tx1"/>
            </w14:solidFill>
          </w14:textFill>
        </w:rPr>
        <w:t>港区生活污水</w:t>
      </w:r>
      <w:r>
        <w:rPr>
          <w:rFonts w:hint="eastAsia"/>
          <w:color w:val="000000" w:themeColor="text1"/>
          <w14:textFill>
            <w14:solidFill>
              <w14:schemeClr w14:val="tx1"/>
            </w14:solidFill>
          </w14:textFill>
        </w:rPr>
        <w:t>经收集后泵送至</w:t>
      </w:r>
      <w:r>
        <w:rPr>
          <w:color w:val="000000" w:themeColor="text1"/>
          <w14:textFill>
            <w14:solidFill>
              <w14:schemeClr w14:val="tx1"/>
            </w14:solidFill>
          </w14:textFill>
        </w:rPr>
        <w:t>7</w:t>
      </w:r>
      <w:r>
        <w:rPr>
          <w:rFonts w:hint="eastAsia"/>
          <w:color w:val="000000" w:themeColor="text1"/>
          <w14:textFill>
            <w14:solidFill>
              <w14:schemeClr w14:val="tx1"/>
            </w14:solidFill>
          </w14:textFill>
        </w:rPr>
        <w:t>号</w:t>
      </w:r>
      <w:r>
        <w:rPr>
          <w:color w:val="000000" w:themeColor="text1"/>
          <w14:textFill>
            <w14:solidFill>
              <w14:schemeClr w14:val="tx1"/>
            </w14:solidFill>
          </w14:textFill>
        </w:rPr>
        <w:t>8</w:t>
      </w:r>
      <w:r>
        <w:rPr>
          <w:rFonts w:hint="eastAsia"/>
          <w:color w:val="000000" w:themeColor="text1"/>
          <w14:textFill>
            <w14:solidFill>
              <w14:schemeClr w14:val="tx1"/>
            </w14:solidFill>
          </w14:textFill>
        </w:rPr>
        <w:t>号泊位的生活污水处理站，预处理后排入市政污水管网</w:t>
      </w:r>
      <w:r>
        <w:rPr>
          <w:color w:val="000000" w:themeColor="text1"/>
          <w14:textFill>
            <w14:solidFill>
              <w14:schemeClr w14:val="tx1"/>
            </w14:solidFill>
          </w14:textFill>
        </w:rPr>
        <w:t>，最终进入大榄坪污水处理厂，不得外排。</w:t>
      </w:r>
    </w:p>
    <w:p>
      <w:pPr>
        <w:autoSpaceDE w:val="0"/>
        <w:autoSpaceDN w:val="0"/>
        <w:ind w:firstLine="462" w:firstLineChars="200"/>
        <w:rPr>
          <w:color w:val="000000" w:themeColor="text1"/>
          <w:lang w:val="zh-CN"/>
          <w14:textFill>
            <w14:solidFill>
              <w14:schemeClr w14:val="tx1"/>
            </w14:solidFill>
          </w14:textFill>
        </w:rPr>
      </w:pPr>
      <w:r>
        <w:rPr>
          <w:color w:val="000000" w:themeColor="text1"/>
          <w14:textFill>
            <w14:solidFill>
              <w14:schemeClr w14:val="tx1"/>
            </w14:solidFill>
          </w14:textFill>
        </w:rPr>
        <w:t>（2）</w:t>
      </w:r>
      <w:r>
        <w:rPr>
          <w:rFonts w:hint="eastAsia"/>
          <w:color w:val="000000" w:themeColor="text1"/>
          <w14:textFill>
            <w14:solidFill>
              <w14:schemeClr w14:val="tx1"/>
            </w14:solidFill>
          </w14:textFill>
        </w:rPr>
        <w:t>扩建</w:t>
      </w:r>
      <w:r>
        <w:rPr>
          <w:color w:val="000000" w:themeColor="text1"/>
          <w14:textFill>
            <w14:solidFill>
              <w14:schemeClr w14:val="tx1"/>
            </w14:solidFill>
          </w14:textFill>
        </w:rPr>
        <w:t>后</w:t>
      </w:r>
      <w:r>
        <w:rPr>
          <w:rFonts w:hint="eastAsia"/>
          <w:color w:val="000000" w:themeColor="text1"/>
          <w14:textFill>
            <w14:solidFill>
              <w14:schemeClr w14:val="tx1"/>
            </w14:solidFill>
          </w14:textFill>
        </w:rPr>
        <w:t>9号10号泊位</w:t>
      </w:r>
      <w:r>
        <w:rPr>
          <w:rFonts w:hint="eastAsia"/>
          <w:snapToGrid w:val="0"/>
          <w:color w:val="000000" w:themeColor="text1"/>
          <w14:textFill>
            <w14:solidFill>
              <w14:schemeClr w14:val="tx1"/>
            </w14:solidFill>
          </w14:textFill>
        </w:rPr>
        <w:t>仅提供集装箱的存放和转运业务，不产生冲洗含油污水等生产废水</w:t>
      </w:r>
      <w:r>
        <w:rPr>
          <w:snapToGrid w:val="0"/>
          <w:color w:val="000000" w:themeColor="text1"/>
          <w14:textFill>
            <w14:solidFill>
              <w14:schemeClr w14:val="tx1"/>
            </w14:solidFill>
          </w14:textFill>
        </w:rPr>
        <w:t>。</w:t>
      </w:r>
    </w:p>
    <w:p>
      <w:pPr>
        <w:pStyle w:val="5"/>
        <w:rPr>
          <w:color w:val="000000" w:themeColor="text1"/>
          <w14:textFill>
            <w14:solidFill>
              <w14:schemeClr w14:val="tx1"/>
            </w14:solidFill>
          </w14:textFill>
        </w:rPr>
      </w:pPr>
      <w:r>
        <w:rPr>
          <w:color w:val="000000" w:themeColor="text1"/>
          <w14:textFill>
            <w14:solidFill>
              <w14:schemeClr w14:val="tx1"/>
            </w14:solidFill>
          </w14:textFill>
        </w:rPr>
        <w:t>生态环境保护措施</w:t>
      </w:r>
    </w:p>
    <w:p>
      <w:pPr>
        <w:pStyle w:val="283"/>
        <w:ind w:firstLine="462"/>
        <w:rPr>
          <w:color w:val="000000" w:themeColor="text1"/>
          <w14:textFill>
            <w14:solidFill>
              <w14:schemeClr w14:val="tx1"/>
            </w14:solidFill>
          </w14:textFill>
        </w:rPr>
      </w:pPr>
      <w:r>
        <w:rPr>
          <w:color w:val="000000" w:themeColor="text1"/>
          <w14:textFill>
            <w14:solidFill>
              <w14:schemeClr w14:val="tx1"/>
            </w14:solidFill>
          </w14:textFill>
        </w:rPr>
        <w:t>（1）妥善处理在港船舶污染物和陆域废水，禁止向海域直接排放。</w:t>
      </w:r>
    </w:p>
    <w:p>
      <w:pPr>
        <w:pStyle w:val="283"/>
        <w:ind w:firstLine="462"/>
        <w:rPr>
          <w:b/>
          <w:color w:val="000000" w:themeColor="text1"/>
          <w14:textFill>
            <w14:solidFill>
              <w14:schemeClr w14:val="tx1"/>
            </w14:solidFill>
          </w14:textFill>
        </w:rPr>
      </w:pPr>
      <w:r>
        <w:rPr>
          <w:color w:val="000000" w:themeColor="text1"/>
          <w14:textFill>
            <w14:solidFill>
              <w14:schemeClr w14:val="tx1"/>
            </w14:solidFill>
          </w14:textFill>
        </w:rPr>
        <w:t>（</w:t>
      </w:r>
      <w:r>
        <w:rPr>
          <w:rFonts w:hint="eastAsia"/>
          <w:color w:val="000000" w:themeColor="text1"/>
          <w14:textFill>
            <w14:solidFill>
              <w14:schemeClr w14:val="tx1"/>
            </w14:solidFill>
          </w14:textFill>
        </w:rPr>
        <w:t>2</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本次</w:t>
      </w:r>
      <w:r>
        <w:rPr>
          <w:color w:val="000000" w:themeColor="text1"/>
          <w14:textFill>
            <w14:solidFill>
              <w14:schemeClr w14:val="tx1"/>
            </w14:solidFill>
          </w14:textFill>
        </w:rPr>
        <w:t>项目建设</w:t>
      </w:r>
      <w:r>
        <w:rPr>
          <w:rFonts w:hint="eastAsia"/>
          <w:color w:val="000000" w:themeColor="text1"/>
          <w14:textFill>
            <w14:solidFill>
              <w14:schemeClr w14:val="tx1"/>
            </w14:solidFill>
          </w14:textFill>
        </w:rPr>
        <w:t>包含海域的疏浚炸礁、码头水工沉箱占用等</w:t>
      </w:r>
      <w:r>
        <w:rPr>
          <w:color w:val="000000" w:themeColor="text1"/>
          <w14:textFill>
            <w14:solidFill>
              <w14:schemeClr w14:val="tx1"/>
            </w14:solidFill>
          </w14:textFill>
        </w:rPr>
        <w:t>造成海洋生物资源量损失及经济损失为</w:t>
      </w:r>
      <w:r>
        <w:rPr>
          <w:rFonts w:hint="eastAsia"/>
          <w:color w:val="000000" w:themeColor="text1"/>
          <w14:textFill>
            <w14:solidFill>
              <w14:schemeClr w14:val="tx1"/>
            </w14:solidFill>
          </w14:textFill>
        </w:rPr>
        <w:t>212</w:t>
      </w:r>
      <w:r>
        <w:rPr>
          <w:rFonts w:hint="eastAsia"/>
          <w:color w:val="000000" w:themeColor="text1"/>
          <w:lang w:eastAsia="zh-CN"/>
          <w14:textFill>
            <w14:solidFill>
              <w14:schemeClr w14:val="tx1"/>
            </w14:solidFill>
          </w14:textFill>
        </w:rPr>
        <w:t>.</w:t>
      </w:r>
      <w:r>
        <w:rPr>
          <w:rFonts w:hint="eastAsia"/>
          <w:color w:val="000000" w:themeColor="text1"/>
          <w14:textFill>
            <w14:solidFill>
              <w14:schemeClr w14:val="tx1"/>
            </w14:solidFill>
          </w14:textFill>
        </w:rPr>
        <w:t>83万元。</w:t>
      </w:r>
      <w:r>
        <w:rPr>
          <w:color w:val="000000" w:themeColor="text1"/>
          <w:lang w:val="zh-CN"/>
          <w14:textFill>
            <w14:solidFill>
              <w14:schemeClr w14:val="tx1"/>
            </w14:solidFill>
          </w14:textFill>
        </w:rPr>
        <w:t>具体的放流种类、放流地点，建设单位应咨询当地渔业主管部门后确定。</w:t>
      </w:r>
      <w:r>
        <w:rPr>
          <w:color w:val="000000" w:themeColor="text1"/>
          <w14:textFill>
            <w14:solidFill>
              <w14:schemeClr w14:val="tx1"/>
            </w14:solidFill>
          </w14:textFill>
        </w:rPr>
        <w:t>建设单位应做好增殖放流效果的跟踪监测、调查和评估工作。</w:t>
      </w:r>
      <w:r>
        <w:rPr>
          <w:rFonts w:hint="eastAsia"/>
          <w:b/>
          <w:color w:val="000000" w:themeColor="text1"/>
          <w14:textFill>
            <w14:solidFill>
              <w14:schemeClr w14:val="tx1"/>
            </w14:solidFill>
          </w14:textFill>
        </w:rPr>
        <w:t>上述补偿金额为本次环评初步测算，下一步建设单位应委托专业单位编制生态补偿实施方案，实施方案经充分论证后再实施。根据实施方案中的要求，落实下一步的增殖放流等生态补偿措施。</w:t>
      </w:r>
    </w:p>
    <w:p>
      <w:pPr>
        <w:pStyle w:val="5"/>
        <w:rPr>
          <w:color w:val="000000" w:themeColor="text1"/>
          <w14:textFill>
            <w14:solidFill>
              <w14:schemeClr w14:val="tx1"/>
            </w14:solidFill>
          </w14:textFill>
        </w:rPr>
      </w:pPr>
      <w:r>
        <w:rPr>
          <w:color w:val="000000" w:themeColor="text1"/>
          <w14:textFill>
            <w14:solidFill>
              <w14:schemeClr w14:val="tx1"/>
            </w14:solidFill>
          </w14:textFill>
        </w:rPr>
        <w:t>大气环境保护对策</w:t>
      </w:r>
    </w:p>
    <w:p>
      <w:pPr>
        <w:ind w:firstLine="480"/>
        <w:rPr>
          <w:color w:val="000000" w:themeColor="text1"/>
          <w14:textFill>
            <w14:solidFill>
              <w14:schemeClr w14:val="tx1"/>
            </w14:solidFill>
          </w14:textFill>
        </w:rPr>
      </w:pPr>
      <w:r>
        <w:rPr>
          <w:color w:val="000000" w:themeColor="text1"/>
          <w14:textFill>
            <w14:solidFill>
              <w14:schemeClr w14:val="tx1"/>
            </w14:solidFill>
          </w14:textFill>
        </w:rPr>
        <w:t>（1）码头装卸机械设备选择符合国家标准的环保产品，以减少有害气体的排放量。加强机械、车辆的维修保养，使用合格的燃油，使其充分燃烧，减少尾气中污染物的排放量。</w:t>
      </w:r>
    </w:p>
    <w:p>
      <w:pPr>
        <w:ind w:firstLine="480"/>
        <w:rPr>
          <w:rFonts w:ascii="宋体" w:hAnsi="宋体"/>
          <w:color w:val="000000" w:themeColor="text1"/>
          <w14:textFill>
            <w14:solidFill>
              <w14:schemeClr w14:val="tx1"/>
            </w14:solidFill>
          </w14:textFill>
        </w:rPr>
      </w:pPr>
      <w:r>
        <w:rPr>
          <w:color w:val="000000" w:themeColor="text1"/>
          <w14:textFill>
            <w14:solidFill>
              <w14:schemeClr w14:val="tx1"/>
            </w14:solidFill>
          </w14:textFill>
        </w:rPr>
        <w:t>（2）</w:t>
      </w:r>
      <w:r>
        <w:rPr>
          <w:rFonts w:hint="eastAsia" w:ascii="宋体" w:hAnsi="宋体"/>
          <w:color w:val="000000" w:themeColor="text1"/>
          <w14:textFill>
            <w14:solidFill>
              <w14:schemeClr w14:val="tx1"/>
            </w14:solidFill>
          </w14:textFill>
        </w:rPr>
        <w:t>合理安排进出港车辆，避免堵塞，减少汽车怠速行驶时尾气的排放。</w:t>
      </w:r>
    </w:p>
    <w:p>
      <w:pPr>
        <w:ind w:firstLine="480"/>
        <w:rPr>
          <w:color w:val="000000" w:themeColor="text1"/>
          <w14:textFill>
            <w14:solidFill>
              <w14:schemeClr w14:val="tx1"/>
            </w14:solidFill>
          </w14:textFill>
        </w:rPr>
      </w:pPr>
      <w:r>
        <w:rPr>
          <w:color w:val="000000" w:themeColor="text1"/>
          <w14:textFill>
            <w14:solidFill>
              <w14:schemeClr w14:val="tx1"/>
            </w14:solidFill>
          </w14:textFill>
        </w:rPr>
        <w:t>（3）</w:t>
      </w:r>
      <w:r>
        <w:rPr>
          <w:rFonts w:hint="eastAsia"/>
          <w:color w:val="000000" w:themeColor="text1"/>
          <w14:textFill>
            <w14:solidFill>
              <w14:schemeClr w14:val="tx1"/>
            </w14:solidFill>
          </w14:textFill>
        </w:rPr>
        <w:t>码头设置船舶岸电设施，船舶进港靠泊使用岸电设备。</w:t>
      </w:r>
    </w:p>
    <w:p>
      <w:pPr>
        <w:pStyle w:val="5"/>
        <w:rPr>
          <w:color w:val="000000" w:themeColor="text1"/>
          <w14:textFill>
            <w14:solidFill>
              <w14:schemeClr w14:val="tx1"/>
            </w14:solidFill>
          </w14:textFill>
        </w:rPr>
      </w:pPr>
      <w:r>
        <w:rPr>
          <w:color w:val="000000" w:themeColor="text1"/>
          <w14:textFill>
            <w14:solidFill>
              <w14:schemeClr w14:val="tx1"/>
            </w14:solidFill>
          </w14:textFill>
        </w:rPr>
        <w:t>声环境保护对策</w:t>
      </w:r>
    </w:p>
    <w:p>
      <w:pPr>
        <w:ind w:firstLine="480"/>
        <w:rPr>
          <w:color w:val="000000" w:themeColor="text1"/>
          <w14:textFill>
            <w14:solidFill>
              <w14:schemeClr w14:val="tx1"/>
            </w14:solidFill>
          </w14:textFill>
        </w:rPr>
      </w:pPr>
      <w:r>
        <w:rPr>
          <w:color w:val="000000" w:themeColor="text1"/>
          <w14:textFill>
            <w14:solidFill>
              <w14:schemeClr w14:val="tx1"/>
            </w14:solidFill>
          </w14:textFill>
        </w:rPr>
        <w:t>港口机械作业噪声和到港船舶。采取的措施如下：</w:t>
      </w:r>
    </w:p>
    <w:p>
      <w:pPr>
        <w:ind w:firstLine="480"/>
        <w:rPr>
          <w:color w:val="000000" w:themeColor="text1"/>
          <w14:textFill>
            <w14:solidFill>
              <w14:schemeClr w14:val="tx1"/>
            </w14:solidFill>
          </w14:textFill>
        </w:rPr>
      </w:pPr>
      <w:r>
        <w:rPr>
          <w:color w:val="000000" w:themeColor="text1"/>
          <w14:textFill>
            <w14:solidFill>
              <w14:schemeClr w14:val="tx1"/>
            </w14:solidFill>
          </w14:textFill>
        </w:rPr>
        <w:t>（1）</w:t>
      </w:r>
      <w:r>
        <w:rPr>
          <w:color w:val="000000" w:themeColor="text1"/>
          <w:kern w:val="0"/>
          <w14:textFill>
            <w14:solidFill>
              <w14:schemeClr w14:val="tx1"/>
            </w14:solidFill>
          </w14:textFill>
        </w:rPr>
        <w:t>在生产允许的条件下，尽可能选用低噪声设备</w:t>
      </w:r>
      <w:r>
        <w:rPr>
          <w:color w:val="000000" w:themeColor="text1"/>
          <w14:textFill>
            <w14:solidFill>
              <w14:schemeClr w14:val="tx1"/>
            </w14:solidFill>
          </w14:textFill>
        </w:rPr>
        <w:t>。</w:t>
      </w:r>
    </w:p>
    <w:p>
      <w:pPr>
        <w:ind w:firstLine="480"/>
        <w:rPr>
          <w:color w:val="000000" w:themeColor="text1"/>
          <w14:textFill>
            <w14:solidFill>
              <w14:schemeClr w14:val="tx1"/>
            </w14:solidFill>
          </w14:textFill>
        </w:rPr>
      </w:pPr>
      <w:r>
        <w:rPr>
          <w:color w:val="000000" w:themeColor="text1"/>
          <w14:textFill>
            <w14:solidFill>
              <w14:schemeClr w14:val="tx1"/>
            </w14:solidFill>
          </w14:textFill>
        </w:rPr>
        <w:t>（2）加强机械设备的维护，</w:t>
      </w:r>
      <w:r>
        <w:rPr>
          <w:rFonts w:hint="eastAsia"/>
          <w:color w:val="000000" w:themeColor="text1"/>
          <w14:textFill>
            <w14:solidFill>
              <w14:schemeClr w14:val="tx1"/>
            </w14:solidFill>
          </w14:textFill>
        </w:rPr>
        <w:t>确保设备处于良好地运转状态，杜绝因设备不正常运转时产生的高噪声现象。</w:t>
      </w:r>
    </w:p>
    <w:p>
      <w:pPr>
        <w:ind w:firstLine="480"/>
        <w:rPr>
          <w:color w:val="000000" w:themeColor="text1"/>
          <w14:textFill>
            <w14:solidFill>
              <w14:schemeClr w14:val="tx1"/>
            </w14:solidFill>
          </w14:textFill>
        </w:rPr>
      </w:pPr>
      <w:r>
        <w:rPr>
          <w:color w:val="000000" w:themeColor="text1"/>
          <w14:textFill>
            <w14:solidFill>
              <w14:schemeClr w14:val="tx1"/>
            </w14:solidFill>
          </w14:textFill>
        </w:rPr>
        <w:t>（3）加强船岸协调，尽量减少船舶鸣笛次数。</w:t>
      </w:r>
    </w:p>
    <w:p>
      <w:pPr>
        <w:pStyle w:val="283"/>
        <w:ind w:firstLine="462"/>
        <w:rPr>
          <w:color w:val="000000" w:themeColor="text1"/>
          <w14:textFill>
            <w14:solidFill>
              <w14:schemeClr w14:val="tx1"/>
            </w14:solidFill>
          </w14:textFill>
        </w:rPr>
      </w:pPr>
      <w:r>
        <w:rPr>
          <w:color w:val="000000" w:themeColor="text1"/>
          <w14:textFill>
            <w14:solidFill>
              <w14:schemeClr w14:val="tx1"/>
            </w14:solidFill>
          </w14:textFill>
        </w:rPr>
        <w:t>运营期采取的声环境保护措施均是常规环保措施，在国内外类似工程中应用广泛，在经济、技术等方面可行。</w:t>
      </w:r>
    </w:p>
    <w:p>
      <w:pPr>
        <w:pStyle w:val="5"/>
        <w:rPr>
          <w:color w:val="000000" w:themeColor="text1"/>
          <w14:textFill>
            <w14:solidFill>
              <w14:schemeClr w14:val="tx1"/>
            </w14:solidFill>
          </w14:textFill>
        </w:rPr>
      </w:pPr>
      <w:r>
        <w:rPr>
          <w:color w:val="000000" w:themeColor="text1"/>
          <w14:textFill>
            <w14:solidFill>
              <w14:schemeClr w14:val="tx1"/>
            </w14:solidFill>
          </w14:textFill>
        </w:rPr>
        <w:t>固体废物污染防治措施</w:t>
      </w:r>
    </w:p>
    <w:p>
      <w:pPr>
        <w:pStyle w:val="283"/>
        <w:ind w:firstLine="462"/>
        <w:rPr>
          <w:color w:val="000000" w:themeColor="text1"/>
          <w14:textFill>
            <w14:solidFill>
              <w14:schemeClr w14:val="tx1"/>
            </w14:solidFill>
          </w14:textFill>
        </w:rPr>
      </w:pPr>
      <w:r>
        <w:rPr>
          <w:color w:val="000000" w:themeColor="text1"/>
          <w14:textFill>
            <w14:solidFill>
              <w14:schemeClr w14:val="tx1"/>
            </w14:solidFill>
          </w14:textFill>
        </w:rPr>
        <w:t>（</w:t>
      </w:r>
      <w:r>
        <w:rPr>
          <w:rFonts w:hint="eastAsia"/>
          <w:color w:val="000000" w:themeColor="text1"/>
          <w14:textFill>
            <w14:solidFill>
              <w14:schemeClr w14:val="tx1"/>
            </w14:solidFill>
          </w14:textFill>
        </w:rPr>
        <w:t>1</w:t>
      </w:r>
      <w:r>
        <w:rPr>
          <w:color w:val="000000" w:themeColor="text1"/>
          <w14:textFill>
            <w14:solidFill>
              <w14:schemeClr w14:val="tx1"/>
            </w14:solidFill>
          </w14:textFill>
        </w:rPr>
        <w:t>）到港船舶生活垃圾委托</w:t>
      </w:r>
      <w:r>
        <w:rPr>
          <w:rFonts w:hint="eastAsia"/>
          <w:color w:val="000000" w:themeColor="text1"/>
          <w14:textFill>
            <w14:solidFill>
              <w14:schemeClr w14:val="tx1"/>
            </w14:solidFill>
          </w14:textFill>
        </w:rPr>
        <w:t>单位</w:t>
      </w:r>
      <w:r>
        <w:rPr>
          <w:color w:val="000000" w:themeColor="text1"/>
          <w14:textFill>
            <w14:solidFill>
              <w14:schemeClr w14:val="tx1"/>
            </w14:solidFill>
          </w14:textFill>
        </w:rPr>
        <w:t>接收处置。</w:t>
      </w:r>
    </w:p>
    <w:p>
      <w:pPr>
        <w:pStyle w:val="283"/>
        <w:ind w:firstLine="462"/>
        <w:rPr>
          <w:color w:val="000000" w:themeColor="text1"/>
          <w14:textFill>
            <w14:solidFill>
              <w14:schemeClr w14:val="tx1"/>
            </w14:solidFill>
          </w14:textFill>
        </w:rPr>
      </w:pPr>
      <w:r>
        <w:rPr>
          <w:color w:val="000000" w:themeColor="text1"/>
          <w14:textFill>
            <w14:solidFill>
              <w14:schemeClr w14:val="tx1"/>
            </w14:solidFill>
          </w14:textFill>
        </w:rPr>
        <w:t>（</w:t>
      </w:r>
      <w:r>
        <w:rPr>
          <w:rFonts w:hint="eastAsia"/>
          <w:color w:val="000000" w:themeColor="text1"/>
          <w14:textFill>
            <w14:solidFill>
              <w14:schemeClr w14:val="tx1"/>
            </w14:solidFill>
          </w14:textFill>
        </w:rPr>
        <w:t>2</w:t>
      </w:r>
      <w:r>
        <w:rPr>
          <w:color w:val="000000" w:themeColor="text1"/>
          <w14:textFill>
            <w14:solidFill>
              <w14:schemeClr w14:val="tx1"/>
            </w14:solidFill>
          </w14:textFill>
        </w:rPr>
        <w:t>）港区生活垃圾统一收集</w:t>
      </w:r>
      <w:r>
        <w:rPr>
          <w:rFonts w:hint="eastAsia"/>
          <w:color w:val="000000" w:themeColor="text1"/>
          <w14:textFill>
            <w14:solidFill>
              <w14:schemeClr w14:val="tx1"/>
            </w14:solidFill>
          </w14:textFill>
        </w:rPr>
        <w:t>至</w:t>
      </w:r>
      <w:r>
        <w:rPr>
          <w:color w:val="000000" w:themeColor="text1"/>
          <w14:textFill>
            <w14:solidFill>
              <w14:schemeClr w14:val="tx1"/>
            </w14:solidFill>
          </w14:textFill>
        </w:rPr>
        <w:t>生活垃圾中转站，定期交由当地环卫部门处置。</w:t>
      </w:r>
    </w:p>
    <w:p>
      <w:pPr>
        <w:pStyle w:val="5"/>
        <w:rPr>
          <w:color w:val="000000" w:themeColor="text1"/>
          <w14:textFill>
            <w14:solidFill>
              <w14:schemeClr w14:val="tx1"/>
            </w14:solidFill>
          </w14:textFill>
        </w:rPr>
      </w:pPr>
      <w:r>
        <w:rPr>
          <w:color w:val="000000" w:themeColor="text1"/>
          <w14:textFill>
            <w14:solidFill>
              <w14:schemeClr w14:val="tx1"/>
            </w14:solidFill>
          </w14:textFill>
        </w:rPr>
        <w:t>船舶风险应急措施</w:t>
      </w:r>
    </w:p>
    <w:p>
      <w:pPr>
        <w:pStyle w:val="283"/>
        <w:ind w:firstLine="462"/>
        <w:rPr>
          <w:color w:val="000000" w:themeColor="text1"/>
          <w14:textFill>
            <w14:solidFill>
              <w14:schemeClr w14:val="tx1"/>
            </w14:solidFill>
          </w14:textFill>
        </w:rPr>
      </w:pPr>
      <w:r>
        <w:rPr>
          <w:color w:val="000000" w:themeColor="text1"/>
          <w14:textFill>
            <w14:solidFill>
              <w14:schemeClr w14:val="tx1"/>
            </w14:solidFill>
          </w14:textFill>
        </w:rPr>
        <w:t>应参照本评价风险章节，配备相应的溢油应急设备；码头应急预案应纳入钦州港溢油应急预案中，同时码头应加强日常演练，预防到港船舶溢油事故的发生；应急响应时间控制在1h内。</w:t>
      </w:r>
    </w:p>
    <w:p>
      <w:pPr>
        <w:pStyle w:val="4"/>
        <w:rPr>
          <w:color w:val="000000" w:themeColor="text1"/>
          <w14:textFill>
            <w14:solidFill>
              <w14:schemeClr w14:val="tx1"/>
            </w14:solidFill>
          </w14:textFill>
        </w:rPr>
      </w:pPr>
      <w:bookmarkStart w:id="273" w:name="_Toc317003285"/>
      <w:bookmarkStart w:id="274" w:name="_Toc317003565"/>
      <w:bookmarkStart w:id="275" w:name="_Toc170918618"/>
      <w:bookmarkStart w:id="276" w:name="_Toc58640773"/>
      <w:bookmarkStart w:id="277" w:name="_Toc61856436"/>
      <w:bookmarkStart w:id="278" w:name="_Toc269375479"/>
      <w:r>
        <w:rPr>
          <w:rFonts w:hint="eastAsia"/>
          <w:color w:val="000000" w:themeColor="text1"/>
          <w14:textFill>
            <w14:solidFill>
              <w14:schemeClr w14:val="tx1"/>
            </w14:solidFill>
          </w14:textFill>
        </w:rPr>
        <w:t>环保措施可行性分析</w:t>
      </w:r>
    </w:p>
    <w:p>
      <w:pPr>
        <w:pStyle w:val="5"/>
        <w:ind w:left="0" w:firstLine="0"/>
        <w:rPr>
          <w:color w:val="000000" w:themeColor="text1"/>
          <w14:textFill>
            <w14:solidFill>
              <w14:schemeClr w14:val="tx1"/>
            </w14:solidFill>
          </w14:textFill>
        </w:rPr>
      </w:pPr>
      <w:r>
        <w:rPr>
          <w:rFonts w:hint="eastAsia"/>
          <w:color w:val="000000" w:themeColor="text1"/>
          <w14:textFill>
            <w14:solidFill>
              <w14:schemeClr w14:val="tx1"/>
            </w14:solidFill>
          </w14:textFill>
        </w:rPr>
        <w:t>生活污水处理站可行性分析</w:t>
      </w:r>
    </w:p>
    <w:p>
      <w:pPr>
        <w:pStyle w:val="283"/>
        <w:ind w:firstLine="462"/>
        <w:rPr>
          <w:color w:val="000000" w:themeColor="text1"/>
          <w14:textFill>
            <w14:solidFill>
              <w14:schemeClr w14:val="tx1"/>
            </w14:solidFill>
          </w14:textFill>
        </w:rPr>
      </w:pPr>
      <w:r>
        <w:rPr>
          <w:rFonts w:hint="eastAsia"/>
          <w:color w:val="000000" w:themeColor="text1"/>
          <w14:textFill>
            <w14:solidFill>
              <w14:schemeClr w14:val="tx1"/>
            </w14:solidFill>
          </w14:textFill>
        </w:rPr>
        <w:t>本项目新增生活污水1.31m</w:t>
      </w:r>
      <w:r>
        <w:rPr>
          <w:rFonts w:hint="eastAsia"/>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/d，新增生活污水泵送至7号8号泊位的生活污水处理站处理，生活污水处理站处理规模为5m</w:t>
      </w:r>
      <w:r>
        <w:rPr>
          <w:rFonts w:hint="eastAsia"/>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/h，设计日运行时间8h，日处理水量可达40 m</w:t>
      </w:r>
      <w:r>
        <w:rPr>
          <w:rFonts w:hint="eastAsia"/>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/d。</w:t>
      </w:r>
    </w:p>
    <w:p>
      <w:pPr>
        <w:pStyle w:val="283"/>
        <w:ind w:firstLine="462"/>
        <w:rPr>
          <w:color w:val="000000" w:themeColor="text1"/>
          <w14:textFill>
            <w14:solidFill>
              <w14:schemeClr w14:val="tx1"/>
            </w14:solidFill>
          </w14:textFill>
        </w:rPr>
      </w:pPr>
      <w:r>
        <w:rPr>
          <w:rFonts w:hint="eastAsia"/>
          <w:color w:val="000000" w:themeColor="text1"/>
          <w14:textFill>
            <w14:solidFill>
              <w14:schemeClr w14:val="tx1"/>
            </w14:solidFill>
          </w14:textFill>
        </w:rPr>
        <w:t>根据生活污水处理站2024年运行情况统计，生活污水日处理水量10~25 m</w:t>
      </w:r>
      <w:r>
        <w:rPr>
          <w:rFonts w:hint="eastAsia"/>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，本项目新增1.31</w:t>
      </w:r>
      <w:r>
        <w:rPr>
          <w:rFonts w:hint="eastAsia"/>
          <w:color w:val="000000" w:themeColor="text1"/>
          <w:kern w:val="2"/>
          <w14:textFill>
            <w14:solidFill>
              <w14:schemeClr w14:val="tx1"/>
            </w14:solidFill>
          </w14:textFill>
        </w:rPr>
        <w:t xml:space="preserve"> </w:t>
      </w:r>
      <w:r>
        <w:rPr>
          <w:rFonts w:hint="eastAsia"/>
          <w:color w:val="000000" w:themeColor="text1"/>
          <w14:textFill>
            <w14:solidFill>
              <w14:schemeClr w14:val="tx1"/>
            </w14:solidFill>
          </w14:textFill>
        </w:rPr>
        <w:t>m</w:t>
      </w:r>
      <w:r>
        <w:rPr>
          <w:rFonts w:hint="eastAsia"/>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/d后生活污水处理站日处理水量最大约26.31m</w:t>
      </w:r>
      <w:r>
        <w:rPr>
          <w:rFonts w:hint="eastAsia"/>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/d，设计日处理水量40 m</w:t>
      </w:r>
      <w:r>
        <w:rPr>
          <w:rFonts w:hint="eastAsia"/>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d可满足本项目新增生活污水处理需求。根据2024年度生活污水处理站出水口水质监测，生活污水处理站出水水质可达到《污水排入城镇下水道水质标准》（GB/T31962-2015）中B级标准，项目生活污水处理依托7号8号泊位的生活污水处理站处理可行。</w:t>
      </w:r>
    </w:p>
    <w:p>
      <w:pPr>
        <w:pStyle w:val="5"/>
        <w:ind w:left="0" w:firstLine="0"/>
        <w:rPr>
          <w:color w:val="000000" w:themeColor="text1"/>
          <w14:textFill>
            <w14:solidFill>
              <w14:schemeClr w14:val="tx1"/>
            </w14:solidFill>
          </w14:textFill>
        </w:rPr>
      </w:pPr>
      <w:r>
        <w:rPr>
          <w:rFonts w:hint="eastAsia"/>
          <w:color w:val="000000" w:themeColor="text1"/>
          <w14:textFill>
            <w14:solidFill>
              <w14:schemeClr w14:val="tx1"/>
            </w14:solidFill>
          </w14:textFill>
        </w:rPr>
        <w:t>水上污染事故应急设备库可行性分析</w:t>
      </w:r>
    </w:p>
    <w:p>
      <w:pPr>
        <w:pStyle w:val="283"/>
        <w:ind w:firstLine="462"/>
        <w:rPr>
          <w:color w:val="000000" w:themeColor="text1"/>
          <w14:textFill>
            <w14:solidFill>
              <w14:schemeClr w14:val="tx1"/>
            </w14:solidFill>
          </w14:textFill>
        </w:rPr>
      </w:pPr>
      <w:r>
        <w:rPr>
          <w:rFonts w:hint="eastAsia"/>
          <w:color w:val="000000" w:themeColor="text1"/>
          <w14:textFill>
            <w14:solidFill>
              <w14:schemeClr w14:val="tx1"/>
            </w14:solidFill>
          </w14:textFill>
        </w:rPr>
        <w:t>根据4.6.6节，本项目扩建后设计到港船型由10万吨级提升至20万吨级，现有已配备的应急物资符合《港口码头水上污染事故应急防备能力要求》（JT/T 451-2017）中表4 海港其他码头水上溢油应急设施、设备、物资配备要求，不新增水上污染事故应急设备，现有工程水上污染事故应急设备库容量满足本项目溢油应急设备贮存要求。</w:t>
      </w:r>
    </w:p>
    <w:p>
      <w:pPr>
        <w:pStyle w:val="4"/>
        <w:rPr>
          <w:color w:val="000000" w:themeColor="text1"/>
          <w14:textFill>
            <w14:solidFill>
              <w14:schemeClr w14:val="tx1"/>
            </w14:solidFill>
          </w14:textFill>
        </w:rPr>
      </w:pPr>
      <w:r>
        <w:rPr>
          <w:color w:val="000000" w:themeColor="text1"/>
          <w14:textFill>
            <w14:solidFill>
              <w14:schemeClr w14:val="tx1"/>
            </w14:solidFill>
          </w14:textFill>
        </w:rPr>
        <w:t>环境保护措施费用估算</w:t>
      </w:r>
      <w:bookmarkEnd w:id="273"/>
      <w:bookmarkEnd w:id="274"/>
      <w:bookmarkEnd w:id="275"/>
      <w:bookmarkEnd w:id="276"/>
      <w:bookmarkEnd w:id="277"/>
      <w:bookmarkEnd w:id="278"/>
    </w:p>
    <w:p>
      <w:pPr>
        <w:pStyle w:val="1075"/>
        <w:ind w:firstLine="462"/>
        <w:rPr>
          <w:color w:val="000000" w:themeColor="text1"/>
          <w14:textFill>
            <w14:solidFill>
              <w14:schemeClr w14:val="tx1"/>
            </w14:solidFill>
          </w14:textFill>
        </w:rPr>
      </w:pPr>
      <w:r>
        <w:rPr>
          <w:rFonts w:hint="eastAsia"/>
          <w:color w:val="000000" w:themeColor="text1"/>
          <w14:textFill>
            <w14:solidFill>
              <w14:schemeClr w14:val="tx1"/>
            </w14:solidFill>
          </w14:textFill>
        </w:rPr>
        <w:t>本</w:t>
      </w:r>
      <w:r>
        <w:rPr>
          <w:color w:val="000000" w:themeColor="text1"/>
          <w14:textFill>
            <w14:solidFill>
              <w14:schemeClr w14:val="tx1"/>
            </w14:solidFill>
          </w14:textFill>
        </w:rPr>
        <w:t>工程总投资</w:t>
      </w:r>
      <w:r>
        <w:rPr>
          <w:rFonts w:hint="eastAsia"/>
          <w:color w:val="000000" w:themeColor="text1"/>
          <w14:textFill>
            <w14:solidFill>
              <w14:schemeClr w14:val="tx1"/>
            </w14:solidFill>
          </w14:textFill>
        </w:rPr>
        <w:t>114997.33</w:t>
      </w:r>
      <w:r>
        <w:rPr>
          <w:color w:val="000000" w:themeColor="text1"/>
          <w14:textFill>
            <w14:solidFill>
              <w14:schemeClr w14:val="tx1"/>
            </w14:solidFill>
          </w14:textFill>
        </w:rPr>
        <w:t>万元，环保设施投资558.79万元，环保投资占总投资的比例为0.49%；环保设施投资估算具体见表5.</w:t>
      </w:r>
      <w:r>
        <w:rPr>
          <w:rFonts w:hint="eastAsia"/>
          <w:color w:val="000000" w:themeColor="text1"/>
          <w14:textFill>
            <w14:solidFill>
              <w14:schemeClr w14:val="tx1"/>
            </w14:solidFill>
          </w14:textFill>
        </w:rPr>
        <w:t>4</w:t>
      </w:r>
      <w:r>
        <w:rPr>
          <w:color w:val="000000" w:themeColor="text1"/>
          <w14:textFill>
            <w14:solidFill>
              <w14:schemeClr w14:val="tx1"/>
            </w14:solidFill>
          </w14:textFill>
        </w:rPr>
        <w:t>-1。</w:t>
      </w:r>
    </w:p>
    <w:p>
      <w:pPr>
        <w:pStyle w:val="384"/>
        <w:ind w:left="0" w:firstLine="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环保措施投资估算</w:t>
      </w:r>
    </w:p>
    <w:tbl>
      <w:tblPr>
        <w:tblStyle w:val="88"/>
        <w:tblW w:w="8448" w:type="dxa"/>
        <w:jc w:val="center"/>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573"/>
        <w:gridCol w:w="1237"/>
        <w:gridCol w:w="2217"/>
        <w:gridCol w:w="1541"/>
        <w:gridCol w:w="1603"/>
        <w:gridCol w:w="1277"/>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blHeader/>
          <w:jc w:val="center"/>
        </w:trPr>
        <w:tc>
          <w:tcPr>
            <w:tcW w:w="1810" w:type="dxa"/>
            <w:gridSpan w:val="2"/>
            <w:vAlign w:val="center"/>
          </w:tcPr>
          <w:p>
            <w:pPr>
              <w:pStyle w:val="2001"/>
            </w:pPr>
            <w:r>
              <w:t>项目</w:t>
            </w:r>
          </w:p>
        </w:tc>
        <w:tc>
          <w:tcPr>
            <w:tcW w:w="2217" w:type="dxa"/>
            <w:tcMar>
              <w:left w:w="28" w:type="dxa"/>
              <w:right w:w="28" w:type="dxa"/>
            </w:tcMar>
            <w:vAlign w:val="center"/>
          </w:tcPr>
          <w:p>
            <w:pPr>
              <w:pStyle w:val="2001"/>
            </w:pPr>
            <w:r>
              <w:t>内容或估算方法</w:t>
            </w:r>
          </w:p>
        </w:tc>
        <w:tc>
          <w:tcPr>
            <w:tcW w:w="1541" w:type="dxa"/>
            <w:tcMar>
              <w:left w:w="28" w:type="dxa"/>
              <w:right w:w="28" w:type="dxa"/>
            </w:tcMar>
            <w:vAlign w:val="center"/>
          </w:tcPr>
          <w:p>
            <w:pPr>
              <w:pStyle w:val="2001"/>
            </w:pPr>
            <w:r>
              <w:t>投资金额</w:t>
            </w:r>
          </w:p>
          <w:p>
            <w:pPr>
              <w:pStyle w:val="2001"/>
            </w:pPr>
            <w:r>
              <w:t>（万元）</w:t>
            </w:r>
          </w:p>
        </w:tc>
        <w:tc>
          <w:tcPr>
            <w:tcW w:w="1603" w:type="dxa"/>
            <w:tcMar>
              <w:left w:w="28" w:type="dxa"/>
              <w:right w:w="28" w:type="dxa"/>
            </w:tcMar>
            <w:vAlign w:val="center"/>
          </w:tcPr>
          <w:p>
            <w:pPr>
              <w:pStyle w:val="2001"/>
            </w:pPr>
            <w:r>
              <w:t>环境效益</w:t>
            </w:r>
          </w:p>
        </w:tc>
        <w:tc>
          <w:tcPr>
            <w:tcW w:w="1277" w:type="dxa"/>
            <w:tcMar>
              <w:left w:w="28" w:type="dxa"/>
              <w:right w:w="28" w:type="dxa"/>
            </w:tcMar>
            <w:vAlign w:val="center"/>
          </w:tcPr>
          <w:p>
            <w:pPr>
              <w:pStyle w:val="2001"/>
            </w:pPr>
            <w:r>
              <w:t>备注</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cantSplit/>
          <w:jc w:val="center"/>
        </w:trPr>
        <w:tc>
          <w:tcPr>
            <w:tcW w:w="573" w:type="dxa"/>
            <w:vAlign w:val="center"/>
          </w:tcPr>
          <w:p>
            <w:pPr>
              <w:pStyle w:val="2001"/>
            </w:pPr>
            <w:r>
              <w:t>大气</w:t>
            </w:r>
          </w:p>
        </w:tc>
        <w:tc>
          <w:tcPr>
            <w:tcW w:w="1237" w:type="dxa"/>
            <w:tcMar>
              <w:left w:w="28" w:type="dxa"/>
              <w:right w:w="28" w:type="dxa"/>
            </w:tcMar>
            <w:vAlign w:val="center"/>
          </w:tcPr>
          <w:p>
            <w:pPr>
              <w:pStyle w:val="2001"/>
            </w:pPr>
            <w:r>
              <w:t>施工降尘</w:t>
            </w:r>
          </w:p>
        </w:tc>
        <w:tc>
          <w:tcPr>
            <w:tcW w:w="2217" w:type="dxa"/>
            <w:tcMar>
              <w:left w:w="28" w:type="dxa"/>
              <w:right w:w="28" w:type="dxa"/>
            </w:tcMar>
            <w:vAlign w:val="center"/>
          </w:tcPr>
          <w:p>
            <w:pPr>
              <w:pStyle w:val="2001"/>
            </w:pPr>
            <w:r>
              <w:t>洒水降尘措施</w:t>
            </w:r>
          </w:p>
        </w:tc>
        <w:tc>
          <w:tcPr>
            <w:tcW w:w="1541" w:type="dxa"/>
            <w:tcMar>
              <w:left w:w="28" w:type="dxa"/>
              <w:right w:w="28" w:type="dxa"/>
            </w:tcMar>
            <w:vAlign w:val="center"/>
          </w:tcPr>
          <w:p>
            <w:pPr>
              <w:pStyle w:val="1856"/>
              <w:snapToGrid w:val="0"/>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10.00</w:t>
            </w:r>
          </w:p>
        </w:tc>
        <w:tc>
          <w:tcPr>
            <w:tcW w:w="1603" w:type="dxa"/>
            <w:tcMar>
              <w:left w:w="28" w:type="dxa"/>
              <w:right w:w="28" w:type="dxa"/>
            </w:tcMar>
            <w:vAlign w:val="center"/>
          </w:tcPr>
          <w:p>
            <w:pPr>
              <w:pStyle w:val="2001"/>
            </w:pPr>
            <w:r>
              <w:t>减轻空气污染（施工队自备洒水车）</w:t>
            </w:r>
          </w:p>
        </w:tc>
        <w:tc>
          <w:tcPr>
            <w:tcW w:w="1277" w:type="dxa"/>
            <w:tcMar>
              <w:left w:w="28" w:type="dxa"/>
              <w:right w:w="28" w:type="dxa"/>
            </w:tcMar>
            <w:vAlign w:val="center"/>
          </w:tcPr>
          <w:p>
            <w:pPr>
              <w:pStyle w:val="2001"/>
            </w:pPr>
            <w:r>
              <w:t>新增</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cantSplit/>
          <w:jc w:val="center"/>
        </w:trPr>
        <w:tc>
          <w:tcPr>
            <w:tcW w:w="573" w:type="dxa"/>
            <w:vAlign w:val="center"/>
          </w:tcPr>
          <w:p>
            <w:pPr>
              <w:pStyle w:val="2001"/>
            </w:pPr>
            <w:r>
              <w:t>噪声</w:t>
            </w:r>
          </w:p>
        </w:tc>
        <w:tc>
          <w:tcPr>
            <w:tcW w:w="1237" w:type="dxa"/>
            <w:tcMar>
              <w:left w:w="28" w:type="dxa"/>
              <w:right w:w="28" w:type="dxa"/>
            </w:tcMar>
            <w:vAlign w:val="center"/>
          </w:tcPr>
          <w:p>
            <w:pPr>
              <w:pStyle w:val="2001"/>
            </w:pPr>
            <w:r>
              <w:t>施工期固定设备降噪</w:t>
            </w:r>
          </w:p>
        </w:tc>
        <w:tc>
          <w:tcPr>
            <w:tcW w:w="2217" w:type="dxa"/>
            <w:tcMar>
              <w:left w:w="28" w:type="dxa"/>
              <w:right w:w="28" w:type="dxa"/>
            </w:tcMar>
            <w:vAlign w:val="center"/>
          </w:tcPr>
          <w:p>
            <w:pPr>
              <w:pStyle w:val="2001"/>
            </w:pPr>
            <w:r>
              <w:t>隔声罩、防声耳塞、头盔</w:t>
            </w:r>
          </w:p>
        </w:tc>
        <w:tc>
          <w:tcPr>
            <w:tcW w:w="1541" w:type="dxa"/>
            <w:tcMar>
              <w:left w:w="28" w:type="dxa"/>
              <w:right w:w="28" w:type="dxa"/>
            </w:tcMar>
            <w:vAlign w:val="center"/>
          </w:tcPr>
          <w:p>
            <w:pPr>
              <w:pStyle w:val="1856"/>
              <w:snapToGrid w:val="0"/>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5.00</w:t>
            </w:r>
          </w:p>
        </w:tc>
        <w:tc>
          <w:tcPr>
            <w:tcW w:w="1603" w:type="dxa"/>
            <w:tcMar>
              <w:left w:w="28" w:type="dxa"/>
              <w:right w:w="28" w:type="dxa"/>
            </w:tcMar>
            <w:vAlign w:val="center"/>
          </w:tcPr>
          <w:p>
            <w:pPr>
              <w:pStyle w:val="2001"/>
            </w:pPr>
            <w:r>
              <w:t>减轻施工期设备噪声对环境的负面影响</w:t>
            </w:r>
          </w:p>
        </w:tc>
        <w:tc>
          <w:tcPr>
            <w:tcW w:w="1277" w:type="dxa"/>
            <w:tcMar>
              <w:left w:w="28" w:type="dxa"/>
              <w:right w:w="28" w:type="dxa"/>
            </w:tcMar>
            <w:vAlign w:val="center"/>
          </w:tcPr>
          <w:p>
            <w:pPr>
              <w:pStyle w:val="2001"/>
            </w:pPr>
            <w:r>
              <w:t>新增</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cantSplit/>
          <w:jc w:val="center"/>
        </w:trPr>
        <w:tc>
          <w:tcPr>
            <w:tcW w:w="573" w:type="dxa"/>
            <w:vMerge w:val="restart"/>
            <w:vAlign w:val="center"/>
          </w:tcPr>
          <w:p>
            <w:pPr>
              <w:pStyle w:val="2001"/>
            </w:pPr>
            <w:r>
              <w:t>水</w:t>
            </w:r>
          </w:p>
        </w:tc>
        <w:tc>
          <w:tcPr>
            <w:tcW w:w="1237" w:type="dxa"/>
            <w:tcMar>
              <w:left w:w="28" w:type="dxa"/>
              <w:right w:w="28" w:type="dxa"/>
            </w:tcMar>
            <w:vAlign w:val="center"/>
          </w:tcPr>
          <w:p>
            <w:pPr>
              <w:pStyle w:val="2001"/>
            </w:pPr>
            <w:r>
              <w:rPr>
                <w:rFonts w:hint="eastAsia"/>
              </w:rPr>
              <w:t>溢流口周边</w:t>
            </w:r>
            <w:r>
              <w:t>悬浮物污染防治</w:t>
            </w:r>
          </w:p>
        </w:tc>
        <w:tc>
          <w:tcPr>
            <w:tcW w:w="2217" w:type="dxa"/>
            <w:tcMar>
              <w:left w:w="28" w:type="dxa"/>
              <w:right w:w="28" w:type="dxa"/>
            </w:tcMar>
            <w:vAlign w:val="center"/>
          </w:tcPr>
          <w:p>
            <w:pPr>
              <w:pStyle w:val="2001"/>
            </w:pPr>
            <w:r>
              <w:t>防污帘</w:t>
            </w:r>
          </w:p>
        </w:tc>
        <w:tc>
          <w:tcPr>
            <w:tcW w:w="1541" w:type="dxa"/>
            <w:tcMar>
              <w:left w:w="28" w:type="dxa"/>
              <w:right w:w="28" w:type="dxa"/>
            </w:tcMar>
            <w:vAlign w:val="center"/>
          </w:tcPr>
          <w:p>
            <w:pPr>
              <w:pStyle w:val="1856"/>
              <w:snapToGrid w:val="0"/>
              <w:ind w:firstLine="0" w:firstLineChars="0"/>
              <w:jc w:val="center"/>
              <w:rPr>
                <w:color w:val="000000" w:themeColor="text1"/>
                <w:sz w:val="21"/>
                <w:szCs w:val="21"/>
                <w:u w:val="single"/>
                <w14:textFill>
                  <w14:solidFill>
                    <w14:schemeClr w14:val="tx1"/>
                  </w14:solidFill>
                </w14:textFill>
              </w:rPr>
            </w:pPr>
            <w:r>
              <w:rPr>
                <w:color w:val="000000" w:themeColor="text1"/>
                <w:sz w:val="21"/>
                <w:szCs w:val="21"/>
                <w:u w:val="single"/>
                <w14:textFill>
                  <w14:solidFill>
                    <w14:schemeClr w14:val="tx1"/>
                  </w14:solidFill>
                </w14:textFill>
              </w:rPr>
              <w:t>10</w:t>
            </w:r>
            <w:r>
              <w:rPr>
                <w:rFonts w:hint="eastAsia"/>
                <w:color w:val="000000" w:themeColor="text1"/>
                <w:sz w:val="21"/>
                <w:szCs w:val="21"/>
                <w:u w:val="single"/>
                <w14:textFill>
                  <w14:solidFill>
                    <w14:schemeClr w14:val="tx1"/>
                  </w14:solidFill>
                </w14:textFill>
              </w:rPr>
              <w:t>.00</w:t>
            </w:r>
          </w:p>
        </w:tc>
        <w:tc>
          <w:tcPr>
            <w:tcW w:w="1603" w:type="dxa"/>
            <w:tcMar>
              <w:left w:w="28" w:type="dxa"/>
              <w:right w:w="28" w:type="dxa"/>
            </w:tcMar>
            <w:vAlign w:val="center"/>
          </w:tcPr>
          <w:p>
            <w:pPr>
              <w:pStyle w:val="2001"/>
            </w:pPr>
            <w:r>
              <w:t>防止悬浮物扩散</w:t>
            </w:r>
          </w:p>
        </w:tc>
        <w:tc>
          <w:tcPr>
            <w:tcW w:w="1277" w:type="dxa"/>
            <w:tcMar>
              <w:left w:w="28" w:type="dxa"/>
              <w:right w:w="28" w:type="dxa"/>
            </w:tcMar>
            <w:vAlign w:val="center"/>
          </w:tcPr>
          <w:p>
            <w:pPr>
              <w:pStyle w:val="2001"/>
            </w:pPr>
            <w:r>
              <w:t>新增</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cantSplit/>
          <w:jc w:val="center"/>
        </w:trPr>
        <w:tc>
          <w:tcPr>
            <w:tcW w:w="573" w:type="dxa"/>
            <w:vMerge w:val="continue"/>
            <w:vAlign w:val="center"/>
          </w:tcPr>
          <w:p>
            <w:pPr>
              <w:pStyle w:val="2001"/>
            </w:pPr>
          </w:p>
        </w:tc>
        <w:tc>
          <w:tcPr>
            <w:tcW w:w="1237" w:type="dxa"/>
            <w:tcMar>
              <w:left w:w="28" w:type="dxa"/>
              <w:right w:w="28" w:type="dxa"/>
            </w:tcMar>
            <w:vAlign w:val="center"/>
          </w:tcPr>
          <w:p>
            <w:pPr>
              <w:pStyle w:val="2001"/>
            </w:pPr>
            <w:r>
              <w:rPr>
                <w:rFonts w:hint="eastAsia"/>
              </w:rPr>
              <w:t>疏浚区域悬浮物污染防治</w:t>
            </w:r>
          </w:p>
        </w:tc>
        <w:tc>
          <w:tcPr>
            <w:tcW w:w="2217" w:type="dxa"/>
            <w:tcMar>
              <w:left w:w="28" w:type="dxa"/>
              <w:right w:w="28" w:type="dxa"/>
            </w:tcMar>
            <w:vAlign w:val="center"/>
          </w:tcPr>
          <w:p>
            <w:pPr>
              <w:pStyle w:val="2001"/>
            </w:pPr>
            <w:r>
              <w:t>防污帘</w:t>
            </w:r>
          </w:p>
        </w:tc>
        <w:tc>
          <w:tcPr>
            <w:tcW w:w="1541" w:type="dxa"/>
            <w:tcMar>
              <w:left w:w="28" w:type="dxa"/>
              <w:right w:w="28" w:type="dxa"/>
            </w:tcMar>
            <w:vAlign w:val="center"/>
          </w:tcPr>
          <w:p>
            <w:pPr>
              <w:pStyle w:val="1856"/>
              <w:snapToGrid w:val="0"/>
              <w:ind w:firstLine="0" w:firstLineChars="0"/>
              <w:jc w:val="center"/>
              <w:rPr>
                <w:color w:val="000000" w:themeColor="text1"/>
                <w:sz w:val="21"/>
                <w:szCs w:val="21"/>
                <w:u w:val="single"/>
                <w14:textFill>
                  <w14:solidFill>
                    <w14:schemeClr w14:val="tx1"/>
                  </w14:solidFill>
                </w14:textFill>
              </w:rPr>
            </w:pPr>
            <w:r>
              <w:rPr>
                <w:color w:val="000000" w:themeColor="text1"/>
                <w:sz w:val="21"/>
                <w:szCs w:val="21"/>
                <w:u w:val="single"/>
                <w14:textFill>
                  <w14:solidFill>
                    <w14:schemeClr w14:val="tx1"/>
                  </w14:solidFill>
                </w14:textFill>
              </w:rPr>
              <w:t>30</w:t>
            </w:r>
            <w:r>
              <w:rPr>
                <w:rFonts w:hint="eastAsia"/>
                <w:color w:val="000000" w:themeColor="text1"/>
                <w:sz w:val="21"/>
                <w:szCs w:val="21"/>
                <w:u w:val="single"/>
                <w14:textFill>
                  <w14:solidFill>
                    <w14:schemeClr w14:val="tx1"/>
                  </w14:solidFill>
                </w14:textFill>
              </w:rPr>
              <w:t>.00</w:t>
            </w:r>
          </w:p>
        </w:tc>
        <w:tc>
          <w:tcPr>
            <w:tcW w:w="1603" w:type="dxa"/>
            <w:tcMar>
              <w:left w:w="28" w:type="dxa"/>
              <w:right w:w="28" w:type="dxa"/>
            </w:tcMar>
            <w:vAlign w:val="center"/>
          </w:tcPr>
          <w:p>
            <w:pPr>
              <w:pStyle w:val="2001"/>
            </w:pPr>
            <w:r>
              <w:t>防止悬浮物扩散</w:t>
            </w:r>
          </w:p>
        </w:tc>
        <w:tc>
          <w:tcPr>
            <w:tcW w:w="1277" w:type="dxa"/>
            <w:tcMar>
              <w:left w:w="28" w:type="dxa"/>
              <w:right w:w="28" w:type="dxa"/>
            </w:tcMar>
            <w:vAlign w:val="center"/>
          </w:tcPr>
          <w:p>
            <w:pPr>
              <w:pStyle w:val="2001"/>
            </w:pPr>
            <w:r>
              <w:t>新增</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cantSplit/>
          <w:jc w:val="center"/>
        </w:trPr>
        <w:tc>
          <w:tcPr>
            <w:tcW w:w="573" w:type="dxa"/>
            <w:vMerge w:val="continue"/>
            <w:vAlign w:val="center"/>
          </w:tcPr>
          <w:p>
            <w:pPr>
              <w:pStyle w:val="2001"/>
            </w:pPr>
          </w:p>
        </w:tc>
        <w:tc>
          <w:tcPr>
            <w:tcW w:w="1237" w:type="dxa"/>
            <w:tcMar>
              <w:left w:w="28" w:type="dxa"/>
              <w:right w:w="28" w:type="dxa"/>
            </w:tcMar>
            <w:vAlign w:val="center"/>
          </w:tcPr>
          <w:p>
            <w:pPr>
              <w:pStyle w:val="2001"/>
            </w:pPr>
            <w:r>
              <w:rPr>
                <w:rFonts w:hint="eastAsia"/>
              </w:rPr>
              <w:t>施工场地雨季悬浮物污染防治措施</w:t>
            </w:r>
          </w:p>
        </w:tc>
        <w:tc>
          <w:tcPr>
            <w:tcW w:w="2217" w:type="dxa"/>
            <w:tcMar>
              <w:left w:w="28" w:type="dxa"/>
              <w:right w:w="28" w:type="dxa"/>
            </w:tcMar>
            <w:vAlign w:val="center"/>
          </w:tcPr>
          <w:p>
            <w:pPr>
              <w:pStyle w:val="2001"/>
            </w:pPr>
            <w:r>
              <w:rPr>
                <w:rFonts w:hint="eastAsia"/>
              </w:rPr>
              <w:t>临时截排水沟、沉淀池</w:t>
            </w:r>
          </w:p>
        </w:tc>
        <w:tc>
          <w:tcPr>
            <w:tcW w:w="1541" w:type="dxa"/>
            <w:tcMar>
              <w:left w:w="28" w:type="dxa"/>
              <w:right w:w="28" w:type="dxa"/>
            </w:tcMar>
            <w:vAlign w:val="center"/>
          </w:tcPr>
          <w:p>
            <w:pPr>
              <w:pStyle w:val="1856"/>
              <w:snapToGrid w:val="0"/>
              <w:ind w:firstLine="0" w:firstLineChars="0"/>
              <w:jc w:val="center"/>
              <w:rPr>
                <w:color w:val="000000" w:themeColor="text1"/>
                <w:sz w:val="21"/>
                <w:szCs w:val="21"/>
                <w:lang w:val="en-US"/>
                <w14:textFill>
                  <w14:solidFill>
                    <w14:schemeClr w14:val="tx1"/>
                  </w14:solidFill>
                </w14:textFill>
              </w:rPr>
            </w:pPr>
            <w:r>
              <w:rPr>
                <w:rFonts w:hint="eastAsia"/>
                <w:color w:val="000000" w:themeColor="text1"/>
                <w:sz w:val="21"/>
                <w:szCs w:val="21"/>
                <w:lang w:val="en-US"/>
                <w14:textFill>
                  <w14:solidFill>
                    <w14:schemeClr w14:val="tx1"/>
                  </w14:solidFill>
                </w14:textFill>
              </w:rPr>
              <w:t>10.00</w:t>
            </w:r>
          </w:p>
        </w:tc>
        <w:tc>
          <w:tcPr>
            <w:tcW w:w="1603" w:type="dxa"/>
            <w:tcMar>
              <w:left w:w="28" w:type="dxa"/>
              <w:right w:w="28" w:type="dxa"/>
            </w:tcMar>
            <w:vAlign w:val="center"/>
          </w:tcPr>
          <w:p>
            <w:pPr>
              <w:pStyle w:val="2001"/>
            </w:pPr>
            <w:r>
              <w:t>降低悬浮物浓度</w:t>
            </w:r>
          </w:p>
        </w:tc>
        <w:tc>
          <w:tcPr>
            <w:tcW w:w="1277" w:type="dxa"/>
            <w:tcMar>
              <w:left w:w="28" w:type="dxa"/>
              <w:right w:w="28" w:type="dxa"/>
            </w:tcMar>
            <w:vAlign w:val="center"/>
          </w:tcPr>
          <w:p>
            <w:pPr>
              <w:pStyle w:val="2001"/>
            </w:pPr>
            <w:r>
              <w:t>新增</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cantSplit/>
          <w:trHeight w:val="837" w:hRule="atLeast"/>
          <w:jc w:val="center"/>
        </w:trPr>
        <w:tc>
          <w:tcPr>
            <w:tcW w:w="573" w:type="dxa"/>
            <w:tcBorders>
              <w:bottom w:val="single" w:color="auto" w:sz="4" w:space="0"/>
            </w:tcBorders>
            <w:vAlign w:val="center"/>
          </w:tcPr>
          <w:p>
            <w:pPr>
              <w:pStyle w:val="2001"/>
            </w:pPr>
            <w:r>
              <w:t>固废</w:t>
            </w:r>
          </w:p>
        </w:tc>
        <w:tc>
          <w:tcPr>
            <w:tcW w:w="1237" w:type="dxa"/>
            <w:tcBorders>
              <w:bottom w:val="single" w:color="auto" w:sz="4" w:space="0"/>
            </w:tcBorders>
            <w:tcMar>
              <w:left w:w="28" w:type="dxa"/>
              <w:right w:w="28" w:type="dxa"/>
            </w:tcMar>
            <w:vAlign w:val="center"/>
          </w:tcPr>
          <w:p>
            <w:pPr>
              <w:pStyle w:val="2001"/>
            </w:pPr>
            <w:r>
              <w:t>垃圾清运</w:t>
            </w:r>
          </w:p>
        </w:tc>
        <w:tc>
          <w:tcPr>
            <w:tcW w:w="2217" w:type="dxa"/>
            <w:tcBorders>
              <w:bottom w:val="single" w:color="auto" w:sz="4" w:space="0"/>
            </w:tcBorders>
            <w:tcMar>
              <w:left w:w="28" w:type="dxa"/>
              <w:right w:w="28" w:type="dxa"/>
            </w:tcMar>
            <w:vAlign w:val="center"/>
          </w:tcPr>
          <w:p>
            <w:pPr>
              <w:pStyle w:val="2001"/>
            </w:pPr>
            <w:r>
              <w:t>施工垃圾清运</w:t>
            </w:r>
          </w:p>
        </w:tc>
        <w:tc>
          <w:tcPr>
            <w:tcW w:w="1541" w:type="dxa"/>
            <w:tcBorders>
              <w:bottom w:val="single" w:color="auto" w:sz="4" w:space="0"/>
            </w:tcBorders>
            <w:tcMar>
              <w:left w:w="28" w:type="dxa"/>
              <w:right w:w="28" w:type="dxa"/>
            </w:tcMar>
            <w:vAlign w:val="center"/>
          </w:tcPr>
          <w:p>
            <w:pPr>
              <w:pStyle w:val="1856"/>
              <w:snapToGrid w:val="0"/>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2</w:t>
            </w:r>
            <w:r>
              <w:rPr>
                <w:color w:val="000000" w:themeColor="text1"/>
                <w:sz w:val="21"/>
                <w:szCs w:val="21"/>
                <w14:textFill>
                  <w14:solidFill>
                    <w14:schemeClr w14:val="tx1"/>
                  </w14:solidFill>
                </w14:textFill>
              </w:rPr>
              <w:t>.00</w:t>
            </w:r>
          </w:p>
        </w:tc>
        <w:tc>
          <w:tcPr>
            <w:tcW w:w="1603" w:type="dxa"/>
            <w:tcBorders>
              <w:bottom w:val="single" w:color="auto" w:sz="4" w:space="0"/>
            </w:tcBorders>
            <w:tcMar>
              <w:left w:w="28" w:type="dxa"/>
              <w:right w:w="28" w:type="dxa"/>
            </w:tcMar>
            <w:vAlign w:val="center"/>
          </w:tcPr>
          <w:p>
            <w:pPr>
              <w:pStyle w:val="2001"/>
            </w:pPr>
            <w:r>
              <w:t>避免垃圾等随意丢弃，影响景观</w:t>
            </w:r>
          </w:p>
        </w:tc>
        <w:tc>
          <w:tcPr>
            <w:tcW w:w="1277" w:type="dxa"/>
            <w:tcMar>
              <w:left w:w="28" w:type="dxa"/>
              <w:right w:w="28" w:type="dxa"/>
            </w:tcMar>
            <w:vAlign w:val="center"/>
          </w:tcPr>
          <w:p>
            <w:pPr>
              <w:pStyle w:val="2001"/>
            </w:pPr>
            <w:r>
              <w:t>新增</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cantSplit/>
          <w:trHeight w:val="1344" w:hRule="atLeast"/>
          <w:jc w:val="center"/>
        </w:trPr>
        <w:tc>
          <w:tcPr>
            <w:tcW w:w="573" w:type="dxa"/>
            <w:vAlign w:val="center"/>
          </w:tcPr>
          <w:p>
            <w:pPr>
              <w:pStyle w:val="2001"/>
            </w:pPr>
            <w:r>
              <w:t>生态</w:t>
            </w:r>
          </w:p>
        </w:tc>
        <w:tc>
          <w:tcPr>
            <w:tcW w:w="1237" w:type="dxa"/>
            <w:tcMar>
              <w:left w:w="28" w:type="dxa"/>
              <w:right w:w="28" w:type="dxa"/>
            </w:tcMar>
            <w:vAlign w:val="center"/>
          </w:tcPr>
          <w:p>
            <w:pPr>
              <w:pStyle w:val="2001"/>
            </w:pPr>
            <w:r>
              <w:rPr>
                <w:rFonts w:hint="eastAsia"/>
              </w:rPr>
              <w:t>生态补偿</w:t>
            </w:r>
          </w:p>
        </w:tc>
        <w:tc>
          <w:tcPr>
            <w:tcW w:w="2217" w:type="dxa"/>
            <w:tcMar>
              <w:left w:w="28" w:type="dxa"/>
              <w:right w:w="28" w:type="dxa"/>
            </w:tcMar>
            <w:vAlign w:val="center"/>
          </w:tcPr>
          <w:p>
            <w:pPr>
              <w:pStyle w:val="2001"/>
            </w:pPr>
            <w:r>
              <w:rPr>
                <w:lang w:bidi="en-US"/>
              </w:rPr>
              <w:t>海洋生物资源量损害</w:t>
            </w:r>
            <w:r>
              <w:rPr>
                <w:rFonts w:hint="eastAsia"/>
                <w:lang w:bidi="en-US"/>
              </w:rPr>
              <w:t>补偿</w:t>
            </w:r>
          </w:p>
        </w:tc>
        <w:tc>
          <w:tcPr>
            <w:tcW w:w="1541" w:type="dxa"/>
            <w:tcMar>
              <w:left w:w="28" w:type="dxa"/>
              <w:right w:w="28" w:type="dxa"/>
            </w:tcMar>
            <w:vAlign w:val="center"/>
          </w:tcPr>
          <w:p>
            <w:pPr>
              <w:pStyle w:val="1856"/>
              <w:snapToGrid w:val="0"/>
              <w:ind w:firstLine="0" w:firstLineChars="0"/>
              <w:jc w:val="center"/>
              <w:rPr>
                <w:color w:val="000000" w:themeColor="text1"/>
                <w:sz w:val="21"/>
                <w:szCs w:val="21"/>
                <w:u w:val="single"/>
                <w14:textFill>
                  <w14:solidFill>
                    <w14:schemeClr w14:val="tx1"/>
                  </w14:solidFill>
                </w14:textFill>
              </w:rPr>
            </w:pPr>
            <w:r>
              <w:rPr>
                <w:color w:val="000000" w:themeColor="text1"/>
                <w:sz w:val="21"/>
                <w:szCs w:val="21"/>
                <w:u w:val="single"/>
                <w14:textFill>
                  <w14:solidFill>
                    <w14:schemeClr w14:val="tx1"/>
                  </w14:solidFill>
                </w14:textFill>
              </w:rPr>
              <w:t>174.79</w:t>
            </w:r>
          </w:p>
        </w:tc>
        <w:tc>
          <w:tcPr>
            <w:tcW w:w="1603" w:type="dxa"/>
            <w:tcMar>
              <w:left w:w="28" w:type="dxa"/>
              <w:right w:w="28" w:type="dxa"/>
            </w:tcMar>
            <w:vAlign w:val="center"/>
          </w:tcPr>
          <w:p>
            <w:pPr>
              <w:pStyle w:val="2001"/>
            </w:pPr>
            <w:r>
              <w:rPr>
                <w:rFonts w:hint="eastAsia"/>
              </w:rPr>
              <w:t>水工结构占用、疏浚工程、炸礁工程生物损失</w:t>
            </w:r>
          </w:p>
        </w:tc>
        <w:tc>
          <w:tcPr>
            <w:tcW w:w="1277" w:type="dxa"/>
            <w:tcMar>
              <w:left w:w="28" w:type="dxa"/>
              <w:right w:w="28" w:type="dxa"/>
            </w:tcMar>
            <w:vAlign w:val="center"/>
          </w:tcPr>
          <w:p>
            <w:pPr>
              <w:pStyle w:val="2001"/>
            </w:pPr>
            <w:r>
              <w:rPr>
                <w:rFonts w:hint="eastAsia"/>
              </w:rPr>
              <w:t>新增</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cantSplit/>
          <w:jc w:val="center"/>
        </w:trPr>
        <w:tc>
          <w:tcPr>
            <w:tcW w:w="573" w:type="dxa"/>
            <w:vMerge w:val="restart"/>
            <w:vAlign w:val="center"/>
          </w:tcPr>
          <w:p>
            <w:pPr>
              <w:pStyle w:val="2001"/>
            </w:pPr>
            <w:r>
              <w:t>环境管理</w:t>
            </w:r>
          </w:p>
        </w:tc>
        <w:tc>
          <w:tcPr>
            <w:tcW w:w="1237" w:type="dxa"/>
            <w:tcMar>
              <w:left w:w="28" w:type="dxa"/>
              <w:right w:w="28" w:type="dxa"/>
            </w:tcMar>
            <w:vAlign w:val="center"/>
          </w:tcPr>
          <w:p>
            <w:pPr>
              <w:pStyle w:val="2001"/>
            </w:pPr>
            <w:r>
              <w:t>施工期</w:t>
            </w:r>
          </w:p>
          <w:p>
            <w:pPr>
              <w:pStyle w:val="2001"/>
            </w:pPr>
            <w:r>
              <w:t>环境监测</w:t>
            </w:r>
          </w:p>
        </w:tc>
        <w:tc>
          <w:tcPr>
            <w:tcW w:w="2217" w:type="dxa"/>
            <w:tcMar>
              <w:left w:w="28" w:type="dxa"/>
              <w:right w:w="28" w:type="dxa"/>
            </w:tcMar>
            <w:vAlign w:val="center"/>
          </w:tcPr>
          <w:p>
            <w:pPr>
              <w:pStyle w:val="2001"/>
            </w:pPr>
            <w:r>
              <w:rPr>
                <w:rFonts w:hint="eastAsia"/>
              </w:rPr>
              <w:t>海洋环境</w:t>
            </w:r>
          </w:p>
        </w:tc>
        <w:tc>
          <w:tcPr>
            <w:tcW w:w="1541" w:type="dxa"/>
            <w:tcMar>
              <w:left w:w="28" w:type="dxa"/>
              <w:right w:w="28" w:type="dxa"/>
            </w:tcMar>
            <w:vAlign w:val="center"/>
          </w:tcPr>
          <w:p>
            <w:pPr>
              <w:pStyle w:val="1856"/>
              <w:snapToGrid w:val="0"/>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20</w:t>
            </w:r>
            <w:r>
              <w:rPr>
                <w:color w:val="000000" w:themeColor="text1"/>
                <w:sz w:val="21"/>
                <w:szCs w:val="21"/>
                <w14:textFill>
                  <w14:solidFill>
                    <w14:schemeClr w14:val="tx1"/>
                  </w14:solidFill>
                </w14:textFill>
              </w:rPr>
              <w:t>.00</w:t>
            </w:r>
          </w:p>
        </w:tc>
        <w:tc>
          <w:tcPr>
            <w:tcW w:w="1603" w:type="dxa"/>
            <w:tcMar>
              <w:left w:w="28" w:type="dxa"/>
              <w:right w:w="28" w:type="dxa"/>
            </w:tcMar>
            <w:vAlign w:val="center"/>
          </w:tcPr>
          <w:p>
            <w:pPr>
              <w:pStyle w:val="2001"/>
            </w:pPr>
            <w:r>
              <w:t>掌握施工期环境变化并提出减缓措施</w:t>
            </w:r>
          </w:p>
        </w:tc>
        <w:tc>
          <w:tcPr>
            <w:tcW w:w="1277" w:type="dxa"/>
            <w:tcMar>
              <w:left w:w="28" w:type="dxa"/>
              <w:right w:w="28" w:type="dxa"/>
            </w:tcMar>
            <w:vAlign w:val="center"/>
          </w:tcPr>
          <w:p>
            <w:pPr>
              <w:pStyle w:val="2001"/>
            </w:pPr>
            <w:r>
              <w:t>新增</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cantSplit/>
          <w:jc w:val="center"/>
        </w:trPr>
        <w:tc>
          <w:tcPr>
            <w:tcW w:w="573" w:type="dxa"/>
            <w:vMerge w:val="continue"/>
            <w:vAlign w:val="center"/>
          </w:tcPr>
          <w:p>
            <w:pPr>
              <w:pStyle w:val="2001"/>
            </w:pPr>
          </w:p>
        </w:tc>
        <w:tc>
          <w:tcPr>
            <w:tcW w:w="1237" w:type="dxa"/>
            <w:tcMar>
              <w:left w:w="28" w:type="dxa"/>
              <w:right w:w="28" w:type="dxa"/>
            </w:tcMar>
            <w:vAlign w:val="center"/>
          </w:tcPr>
          <w:p>
            <w:pPr>
              <w:pStyle w:val="2001"/>
            </w:pPr>
            <w:r>
              <w:t>运营期环境监测</w:t>
            </w:r>
          </w:p>
        </w:tc>
        <w:tc>
          <w:tcPr>
            <w:tcW w:w="2217" w:type="dxa"/>
            <w:tcMar>
              <w:left w:w="28" w:type="dxa"/>
              <w:right w:w="28" w:type="dxa"/>
            </w:tcMar>
            <w:vAlign w:val="center"/>
          </w:tcPr>
          <w:p>
            <w:pPr>
              <w:pStyle w:val="2001"/>
            </w:pPr>
            <w:r>
              <w:rPr>
                <w:rFonts w:hint="eastAsia"/>
              </w:rPr>
              <w:t>海洋环境、厂界噪声</w:t>
            </w:r>
          </w:p>
        </w:tc>
        <w:tc>
          <w:tcPr>
            <w:tcW w:w="1541" w:type="dxa"/>
            <w:tcMar>
              <w:left w:w="28" w:type="dxa"/>
              <w:right w:w="28" w:type="dxa"/>
            </w:tcMar>
            <w:vAlign w:val="center"/>
          </w:tcPr>
          <w:p>
            <w:pPr>
              <w:pStyle w:val="1856"/>
              <w:snapToGrid w:val="0"/>
              <w:ind w:firstLine="0" w:firstLineChars="0"/>
              <w:jc w:val="center"/>
              <w:rPr>
                <w:color w:val="000000" w:themeColor="text1"/>
                <w:sz w:val="21"/>
                <w:szCs w:val="21"/>
                <w:u w:val="single"/>
                <w14:textFill>
                  <w14:solidFill>
                    <w14:schemeClr w14:val="tx1"/>
                  </w14:solidFill>
                </w14:textFill>
              </w:rPr>
            </w:pPr>
            <w:r>
              <w:rPr>
                <w:color w:val="000000" w:themeColor="text1"/>
                <w:sz w:val="21"/>
                <w:szCs w:val="21"/>
                <w:u w:val="single"/>
                <w14:textFill>
                  <w14:solidFill>
                    <w14:schemeClr w14:val="tx1"/>
                  </w14:solidFill>
                </w14:textFill>
              </w:rPr>
              <w:t>45.00</w:t>
            </w:r>
          </w:p>
        </w:tc>
        <w:tc>
          <w:tcPr>
            <w:tcW w:w="1603" w:type="dxa"/>
            <w:tcMar>
              <w:left w:w="28" w:type="dxa"/>
              <w:right w:w="28" w:type="dxa"/>
            </w:tcMar>
            <w:vAlign w:val="center"/>
          </w:tcPr>
          <w:p>
            <w:pPr>
              <w:pStyle w:val="2001"/>
            </w:pPr>
            <w:r>
              <w:t>掌握运营期环境变化并提出减缓措施</w:t>
            </w:r>
          </w:p>
        </w:tc>
        <w:tc>
          <w:tcPr>
            <w:tcW w:w="1277" w:type="dxa"/>
            <w:tcMar>
              <w:left w:w="28" w:type="dxa"/>
              <w:right w:w="28" w:type="dxa"/>
            </w:tcMar>
            <w:vAlign w:val="center"/>
          </w:tcPr>
          <w:p>
            <w:pPr>
              <w:pStyle w:val="2001"/>
            </w:pPr>
            <w:r>
              <w:t>新增</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cantSplit/>
          <w:jc w:val="center"/>
        </w:trPr>
        <w:tc>
          <w:tcPr>
            <w:tcW w:w="573" w:type="dxa"/>
            <w:vMerge w:val="continue"/>
            <w:vAlign w:val="center"/>
          </w:tcPr>
          <w:p>
            <w:pPr>
              <w:pStyle w:val="2001"/>
            </w:pPr>
          </w:p>
        </w:tc>
        <w:tc>
          <w:tcPr>
            <w:tcW w:w="1237" w:type="dxa"/>
            <w:tcMar>
              <w:left w:w="28" w:type="dxa"/>
              <w:right w:w="28" w:type="dxa"/>
            </w:tcMar>
            <w:vAlign w:val="center"/>
          </w:tcPr>
          <w:p>
            <w:pPr>
              <w:pStyle w:val="2001"/>
            </w:pPr>
            <w:r>
              <w:t>人员培训</w:t>
            </w:r>
          </w:p>
        </w:tc>
        <w:tc>
          <w:tcPr>
            <w:tcW w:w="2217" w:type="dxa"/>
            <w:tcMar>
              <w:left w:w="28" w:type="dxa"/>
              <w:right w:w="28" w:type="dxa"/>
            </w:tcMar>
            <w:vAlign w:val="center"/>
          </w:tcPr>
          <w:p>
            <w:pPr>
              <w:pStyle w:val="2001"/>
            </w:pPr>
            <w:r>
              <w:t>施工单位、管理单位、应急队伍、有关人员环保业务培训</w:t>
            </w:r>
          </w:p>
        </w:tc>
        <w:tc>
          <w:tcPr>
            <w:tcW w:w="1541" w:type="dxa"/>
            <w:tcMar>
              <w:left w:w="28" w:type="dxa"/>
              <w:right w:w="28" w:type="dxa"/>
            </w:tcMar>
            <w:vAlign w:val="center"/>
          </w:tcPr>
          <w:p>
            <w:pPr>
              <w:pStyle w:val="1856"/>
              <w:snapToGrid w:val="0"/>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2</w:t>
            </w:r>
            <w:r>
              <w:rPr>
                <w:color w:val="000000" w:themeColor="text1"/>
                <w:sz w:val="21"/>
                <w:szCs w:val="21"/>
                <w14:textFill>
                  <w14:solidFill>
                    <w14:schemeClr w14:val="tx1"/>
                  </w14:solidFill>
                </w14:textFill>
              </w:rPr>
              <w:t>.00</w:t>
            </w:r>
          </w:p>
        </w:tc>
        <w:tc>
          <w:tcPr>
            <w:tcW w:w="1603" w:type="dxa"/>
            <w:tcMar>
              <w:left w:w="28" w:type="dxa"/>
              <w:right w:w="28" w:type="dxa"/>
            </w:tcMar>
            <w:vAlign w:val="center"/>
          </w:tcPr>
          <w:p>
            <w:pPr>
              <w:pStyle w:val="2001"/>
            </w:pPr>
            <w:r>
              <w:t>提高环境管理人员的业务水平和应急能力</w:t>
            </w:r>
          </w:p>
        </w:tc>
        <w:tc>
          <w:tcPr>
            <w:tcW w:w="1277" w:type="dxa"/>
            <w:tcMar>
              <w:left w:w="28" w:type="dxa"/>
              <w:right w:w="28" w:type="dxa"/>
            </w:tcMar>
            <w:vAlign w:val="center"/>
          </w:tcPr>
          <w:p>
            <w:pPr>
              <w:pStyle w:val="2001"/>
            </w:pPr>
            <w:r>
              <w:t>新增</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cantSplit/>
          <w:jc w:val="center"/>
        </w:trPr>
        <w:tc>
          <w:tcPr>
            <w:tcW w:w="573" w:type="dxa"/>
            <w:vMerge w:val="continue"/>
            <w:vAlign w:val="center"/>
          </w:tcPr>
          <w:p>
            <w:pPr>
              <w:pStyle w:val="2001"/>
            </w:pPr>
          </w:p>
        </w:tc>
        <w:tc>
          <w:tcPr>
            <w:tcW w:w="1237" w:type="dxa"/>
            <w:tcMar>
              <w:left w:w="28" w:type="dxa"/>
              <w:right w:w="28" w:type="dxa"/>
            </w:tcMar>
            <w:vAlign w:val="center"/>
          </w:tcPr>
          <w:p>
            <w:pPr>
              <w:pStyle w:val="2001"/>
            </w:pPr>
            <w:r>
              <w:t>竣工环保验收</w:t>
            </w:r>
          </w:p>
        </w:tc>
        <w:tc>
          <w:tcPr>
            <w:tcW w:w="2217" w:type="dxa"/>
            <w:tcMar>
              <w:left w:w="28" w:type="dxa"/>
              <w:right w:w="28" w:type="dxa"/>
            </w:tcMar>
            <w:vAlign w:val="center"/>
          </w:tcPr>
          <w:p>
            <w:pPr>
              <w:pStyle w:val="2001"/>
            </w:pPr>
            <w:r>
              <w:t>组织环保设施及其监测竣工验收</w:t>
            </w:r>
          </w:p>
        </w:tc>
        <w:tc>
          <w:tcPr>
            <w:tcW w:w="1541" w:type="dxa"/>
            <w:tcMar>
              <w:left w:w="28" w:type="dxa"/>
              <w:right w:w="28" w:type="dxa"/>
            </w:tcMar>
            <w:vAlign w:val="center"/>
          </w:tcPr>
          <w:p>
            <w:pPr>
              <w:pStyle w:val="1856"/>
              <w:snapToGrid w:val="0"/>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50.00</w:t>
            </w:r>
          </w:p>
        </w:tc>
        <w:tc>
          <w:tcPr>
            <w:tcW w:w="1603" w:type="dxa"/>
            <w:tcMar>
              <w:left w:w="28" w:type="dxa"/>
              <w:right w:w="28" w:type="dxa"/>
            </w:tcMar>
            <w:vAlign w:val="center"/>
          </w:tcPr>
          <w:p>
            <w:pPr>
              <w:pStyle w:val="2001"/>
            </w:pPr>
            <w:r>
              <w:t>环保管理要求</w:t>
            </w:r>
          </w:p>
        </w:tc>
        <w:tc>
          <w:tcPr>
            <w:tcW w:w="1277" w:type="dxa"/>
            <w:tcMar>
              <w:left w:w="28" w:type="dxa"/>
              <w:right w:w="28" w:type="dxa"/>
            </w:tcMar>
            <w:vAlign w:val="center"/>
          </w:tcPr>
          <w:p>
            <w:pPr>
              <w:pStyle w:val="2001"/>
            </w:pPr>
            <w:r>
              <w:t>新增</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cantSplit/>
          <w:jc w:val="center"/>
        </w:trPr>
        <w:tc>
          <w:tcPr>
            <w:tcW w:w="1810" w:type="dxa"/>
            <w:gridSpan w:val="2"/>
            <w:vAlign w:val="center"/>
          </w:tcPr>
          <w:p>
            <w:pPr>
              <w:pStyle w:val="2001"/>
            </w:pPr>
            <w:r>
              <w:t>不可预见费用</w:t>
            </w:r>
          </w:p>
        </w:tc>
        <w:tc>
          <w:tcPr>
            <w:tcW w:w="2217" w:type="dxa"/>
            <w:tcMar>
              <w:left w:w="28" w:type="dxa"/>
              <w:right w:w="28" w:type="dxa"/>
            </w:tcMar>
            <w:vAlign w:val="center"/>
          </w:tcPr>
          <w:p>
            <w:pPr>
              <w:pStyle w:val="2001"/>
            </w:pPr>
            <w:r>
              <w:t>突发性事故监测</w:t>
            </w:r>
          </w:p>
        </w:tc>
        <w:tc>
          <w:tcPr>
            <w:tcW w:w="1541" w:type="dxa"/>
            <w:tcMar>
              <w:left w:w="28" w:type="dxa"/>
              <w:right w:w="28" w:type="dxa"/>
            </w:tcMar>
            <w:vAlign w:val="center"/>
          </w:tcPr>
          <w:p>
            <w:pPr>
              <w:pStyle w:val="1856"/>
              <w:snapToGrid w:val="0"/>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200.00</w:t>
            </w:r>
          </w:p>
        </w:tc>
        <w:tc>
          <w:tcPr>
            <w:tcW w:w="1603" w:type="dxa"/>
            <w:tcMar>
              <w:left w:w="28" w:type="dxa"/>
              <w:right w:w="28" w:type="dxa"/>
            </w:tcMar>
            <w:vAlign w:val="center"/>
          </w:tcPr>
          <w:p>
            <w:pPr>
              <w:pStyle w:val="2001"/>
            </w:pPr>
            <w:r>
              <w:t>突发性事故监测</w:t>
            </w:r>
          </w:p>
        </w:tc>
        <w:tc>
          <w:tcPr>
            <w:tcW w:w="1277" w:type="dxa"/>
            <w:tcMar>
              <w:left w:w="28" w:type="dxa"/>
              <w:right w:w="28" w:type="dxa"/>
            </w:tcMar>
            <w:vAlign w:val="center"/>
          </w:tcPr>
          <w:p>
            <w:pPr>
              <w:pStyle w:val="2001"/>
            </w:pPr>
            <w:r>
              <w:t>预留</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cantSplit/>
          <w:jc w:val="center"/>
        </w:trPr>
        <w:tc>
          <w:tcPr>
            <w:tcW w:w="4027" w:type="dxa"/>
            <w:gridSpan w:val="3"/>
            <w:vAlign w:val="center"/>
          </w:tcPr>
          <w:p>
            <w:pPr>
              <w:pStyle w:val="2001"/>
            </w:pPr>
            <w:r>
              <w:t>合计</w:t>
            </w:r>
          </w:p>
        </w:tc>
        <w:tc>
          <w:tcPr>
            <w:tcW w:w="1541" w:type="dxa"/>
            <w:tcMar>
              <w:left w:w="28" w:type="dxa"/>
              <w:right w:w="28" w:type="dxa"/>
            </w:tcMar>
            <w:vAlign w:val="center"/>
          </w:tcPr>
          <w:p>
            <w:pPr>
              <w:pStyle w:val="1856"/>
              <w:snapToGrid w:val="0"/>
              <w:ind w:firstLine="0" w:firstLineChars="0"/>
              <w:jc w:val="center"/>
              <w:rPr>
                <w:color w:val="000000" w:themeColor="text1"/>
                <w:sz w:val="21"/>
                <w:szCs w:val="21"/>
                <w:u w:val="single"/>
                <w14:textFill>
                  <w14:solidFill>
                    <w14:schemeClr w14:val="tx1"/>
                  </w14:solidFill>
                </w14:textFill>
              </w:rPr>
            </w:pPr>
            <w:r>
              <w:rPr>
                <w:color w:val="000000" w:themeColor="text1"/>
                <w:sz w:val="21"/>
                <w:szCs w:val="21"/>
                <w:u w:val="single"/>
                <w14:textFill>
                  <w14:solidFill>
                    <w14:schemeClr w14:val="tx1"/>
                  </w14:solidFill>
                </w14:textFill>
              </w:rPr>
              <w:t>558.79</w:t>
            </w:r>
          </w:p>
        </w:tc>
        <w:tc>
          <w:tcPr>
            <w:tcW w:w="1603" w:type="dxa"/>
            <w:tcMar>
              <w:left w:w="28" w:type="dxa"/>
              <w:right w:w="28" w:type="dxa"/>
            </w:tcMar>
            <w:vAlign w:val="center"/>
          </w:tcPr>
          <w:p>
            <w:pPr>
              <w:pStyle w:val="2001"/>
            </w:pPr>
          </w:p>
        </w:tc>
        <w:tc>
          <w:tcPr>
            <w:tcW w:w="1277" w:type="dxa"/>
            <w:tcMar>
              <w:left w:w="28" w:type="dxa"/>
              <w:right w:w="28" w:type="dxa"/>
            </w:tcMar>
            <w:vAlign w:val="center"/>
          </w:tcPr>
          <w:p>
            <w:pPr>
              <w:pStyle w:val="2001"/>
            </w:pPr>
          </w:p>
        </w:tc>
      </w:tr>
    </w:tbl>
    <w:p>
      <w:pPr>
        <w:pStyle w:val="283"/>
        <w:ind w:firstLine="462"/>
        <w:rPr>
          <w:color w:val="000000" w:themeColor="text1"/>
          <w14:textFill>
            <w14:solidFill>
              <w14:schemeClr w14:val="tx1"/>
            </w14:solidFill>
          </w14:textFill>
        </w:rPr>
      </w:pPr>
    </w:p>
    <w:p>
      <w:pPr>
        <w:rPr>
          <w:color w:val="000000" w:themeColor="text1"/>
          <w14:textFill>
            <w14:solidFill>
              <w14:schemeClr w14:val="tx1"/>
            </w14:solidFill>
          </w14:textFill>
        </w:rPr>
        <w:sectPr>
          <w:headerReference r:id="rId25" w:type="even"/>
          <w:pgSz w:w="11907" w:h="16840"/>
          <w:pgMar w:top="1440" w:right="1514" w:bottom="1440" w:left="1797" w:header="992" w:footer="851" w:gutter="284"/>
          <w:pgNumType w:fmt="numberInDash"/>
          <w:cols w:space="425" w:num="1"/>
          <w:docGrid w:type="linesAndChars" w:linePitch="465" w:charSpace="-1866"/>
        </w:sectPr>
      </w:pPr>
    </w:p>
    <w:p>
      <w:pPr>
        <w:pStyle w:val="3"/>
        <w:rPr>
          <w:color w:val="000000" w:themeColor="text1"/>
          <w14:textFill>
            <w14:solidFill>
              <w14:schemeClr w14:val="tx1"/>
            </w14:solidFill>
          </w14:textFill>
        </w:rPr>
      </w:pPr>
      <w:bookmarkStart w:id="279" w:name="_Toc170918619"/>
      <w:bookmarkStart w:id="280" w:name="_Toc317003290"/>
      <w:bookmarkStart w:id="281" w:name="_Toc269375485"/>
      <w:bookmarkStart w:id="282" w:name="_Toc317003570"/>
      <w:bookmarkStart w:id="283" w:name="_Toc269375480"/>
      <w:bookmarkStart w:id="284" w:name="_Toc317003566"/>
      <w:bookmarkStart w:id="285" w:name="_Toc317003286"/>
      <w:r>
        <w:rPr>
          <w:color w:val="000000" w:themeColor="text1"/>
          <w14:textFill>
            <w14:solidFill>
              <w14:schemeClr w14:val="tx1"/>
            </w14:solidFill>
          </w14:textFill>
        </w:rPr>
        <w:t>环境影响经济损益分析</w:t>
      </w:r>
      <w:bookmarkEnd w:id="279"/>
      <w:bookmarkEnd w:id="280"/>
      <w:bookmarkEnd w:id="281"/>
      <w:bookmarkEnd w:id="282"/>
      <w:bookmarkStart w:id="286" w:name="_Toc57967332"/>
    </w:p>
    <w:p>
      <w:pPr>
        <w:pStyle w:val="4"/>
        <w:rPr>
          <w:color w:val="000000" w:themeColor="text1"/>
          <w14:textFill>
            <w14:solidFill>
              <w14:schemeClr w14:val="tx1"/>
            </w14:solidFill>
          </w14:textFill>
        </w:rPr>
      </w:pPr>
      <w:bookmarkStart w:id="287" w:name="_Toc160855126"/>
      <w:bookmarkStart w:id="288" w:name="_Toc317003571"/>
      <w:bookmarkStart w:id="289" w:name="_Toc160856081"/>
      <w:bookmarkStart w:id="290" w:name="_Toc125384813"/>
      <w:bookmarkStart w:id="291" w:name="_Toc170918620"/>
      <w:bookmarkStart w:id="292" w:name="_Toc317003291"/>
      <w:bookmarkStart w:id="293" w:name="_Toc160857399"/>
      <w:bookmarkStart w:id="294" w:name="_Toc269375486"/>
      <w:r>
        <w:rPr>
          <w:color w:val="000000" w:themeColor="text1"/>
          <w14:textFill>
            <w14:solidFill>
              <w14:schemeClr w14:val="tx1"/>
            </w14:solidFill>
          </w14:textFill>
        </w:rPr>
        <w:t>项目建设带来的环境损失</w:t>
      </w:r>
      <w:bookmarkEnd w:id="286"/>
      <w:bookmarkEnd w:id="287"/>
      <w:bookmarkEnd w:id="288"/>
      <w:bookmarkEnd w:id="289"/>
      <w:bookmarkEnd w:id="290"/>
      <w:bookmarkEnd w:id="291"/>
      <w:bookmarkEnd w:id="292"/>
      <w:bookmarkEnd w:id="293"/>
      <w:bookmarkEnd w:id="294"/>
    </w:p>
    <w:p>
      <w:pPr>
        <w:pStyle w:val="283"/>
        <w:ind w:firstLine="462"/>
        <w:rPr>
          <w:color w:val="000000" w:themeColor="text1"/>
          <w14:textFill>
            <w14:solidFill>
              <w14:schemeClr w14:val="tx1"/>
            </w14:solidFill>
          </w14:textFill>
        </w:rPr>
      </w:pPr>
      <w:r>
        <w:rPr>
          <w:color w:val="000000" w:themeColor="text1"/>
          <w14:textFill>
            <w14:solidFill>
              <w14:schemeClr w14:val="tx1"/>
            </w14:solidFill>
          </w14:textFill>
        </w:rPr>
        <w:t>项目带来的环境损失主要表现在如下几个方面：</w:t>
      </w:r>
    </w:p>
    <w:p>
      <w:pPr>
        <w:pStyle w:val="283"/>
        <w:ind w:firstLine="462"/>
        <w:rPr>
          <w:color w:val="000000" w:themeColor="text1"/>
          <w14:textFill>
            <w14:solidFill>
              <w14:schemeClr w14:val="tx1"/>
            </w14:solidFill>
          </w14:textFill>
        </w:rPr>
      </w:pPr>
      <w:r>
        <w:rPr>
          <w:color w:val="000000" w:themeColor="text1"/>
          <w14:textFill>
            <w14:solidFill>
              <w14:schemeClr w14:val="tx1"/>
            </w14:solidFill>
          </w14:textFill>
        </w:rPr>
        <w:t>（1）陆域施工期对周边大气及声环境造成一定影响，但不会对环境保护目标产生污染影响，而且这些影响都将随着施工期的结束而在短期内消失。施工车辆的进出将给当地的公路交通运输造成一定的干扰。</w:t>
      </w:r>
    </w:p>
    <w:p>
      <w:pPr>
        <w:pStyle w:val="283"/>
        <w:ind w:firstLine="462"/>
        <w:rPr>
          <w:color w:val="000000" w:themeColor="text1"/>
          <w14:textFill>
            <w14:solidFill>
              <w14:schemeClr w14:val="tx1"/>
            </w14:solidFill>
          </w14:textFill>
        </w:rPr>
      </w:pPr>
      <w:r>
        <w:rPr>
          <w:color w:val="000000" w:themeColor="text1"/>
          <w14:textFill>
            <w14:solidFill>
              <w14:schemeClr w14:val="tx1"/>
            </w14:solidFill>
          </w14:textFill>
        </w:rPr>
        <w:t>（2）运营期陆域生活污水、生产废水若直接排放会对附近海域水质造成污染影响。到港船舶事故性排放含油舱底水将对水环境产生污染影响。港区</w:t>
      </w:r>
      <w:r>
        <w:rPr>
          <w:rFonts w:hint="eastAsia"/>
          <w:color w:val="000000" w:themeColor="text1"/>
          <w14:textFill>
            <w14:solidFill>
              <w14:schemeClr w14:val="tx1"/>
            </w14:solidFill>
          </w14:textFill>
        </w:rPr>
        <w:t>集装箱</w:t>
      </w:r>
      <w:r>
        <w:rPr>
          <w:color w:val="000000" w:themeColor="text1"/>
          <w14:textFill>
            <w14:solidFill>
              <w14:schemeClr w14:val="tx1"/>
            </w14:solidFill>
          </w14:textFill>
        </w:rPr>
        <w:t>装卸作业扬尘，装卸机械废气以及船舶废气等对环境空气有轻微的影响。港区装卸机械作业噪声会对局部区域产生污染影响。</w:t>
      </w:r>
    </w:p>
    <w:p>
      <w:pPr>
        <w:pStyle w:val="4"/>
        <w:rPr>
          <w:color w:val="000000" w:themeColor="text1"/>
          <w14:textFill>
            <w14:solidFill>
              <w14:schemeClr w14:val="tx1"/>
            </w14:solidFill>
          </w14:textFill>
        </w:rPr>
      </w:pPr>
      <w:bookmarkStart w:id="295" w:name="_Toc312860817"/>
      <w:bookmarkStart w:id="296" w:name="_Toc317003292"/>
      <w:bookmarkStart w:id="297" w:name="_Toc317003572"/>
      <w:bookmarkStart w:id="298" w:name="_Toc170918621"/>
      <w:r>
        <w:rPr>
          <w:color w:val="000000" w:themeColor="text1"/>
          <w14:textFill>
            <w14:solidFill>
              <w14:schemeClr w14:val="tx1"/>
            </w14:solidFill>
          </w14:textFill>
        </w:rPr>
        <w:t>环境经济效益分析</w:t>
      </w:r>
      <w:bookmarkEnd w:id="295"/>
      <w:bookmarkEnd w:id="296"/>
      <w:bookmarkEnd w:id="297"/>
      <w:bookmarkEnd w:id="298"/>
    </w:p>
    <w:p>
      <w:pPr>
        <w:pStyle w:val="283"/>
        <w:ind w:firstLine="462"/>
        <w:rPr>
          <w:color w:val="000000" w:themeColor="text1"/>
          <w14:textFill>
            <w14:solidFill>
              <w14:schemeClr w14:val="tx1"/>
            </w14:solidFill>
          </w14:textFill>
        </w:rPr>
      </w:pPr>
      <w:r>
        <w:rPr>
          <w:color w:val="000000" w:themeColor="text1"/>
          <w14:textFill>
            <w14:solidFill>
              <w14:schemeClr w14:val="tx1"/>
            </w14:solidFill>
          </w14:textFill>
        </w:rPr>
        <w:t>（1）本项目生活污水经处理后实现零排放，可以减少污水排放对环境的影响，降低水污染损失。</w:t>
      </w:r>
    </w:p>
    <w:p>
      <w:pPr>
        <w:pStyle w:val="283"/>
        <w:ind w:firstLine="462"/>
        <w:rPr>
          <w:color w:val="000000" w:themeColor="text1"/>
          <w14:textFill>
            <w14:solidFill>
              <w14:schemeClr w14:val="tx1"/>
            </w14:solidFill>
          </w14:textFill>
        </w:rPr>
      </w:pPr>
      <w:r>
        <w:rPr>
          <w:color w:val="000000" w:themeColor="text1"/>
          <w14:textFill>
            <w14:solidFill>
              <w14:schemeClr w14:val="tx1"/>
            </w14:solidFill>
          </w14:textFill>
        </w:rPr>
        <w:t>（2）在采取</w:t>
      </w:r>
      <w:r>
        <w:rPr>
          <w:rFonts w:hint="eastAsia"/>
          <w:color w:val="000000" w:themeColor="text1"/>
          <w14:textFill>
            <w14:solidFill>
              <w14:schemeClr w14:val="tx1"/>
            </w14:solidFill>
          </w14:textFill>
        </w:rPr>
        <w:t>运输</w:t>
      </w:r>
      <w:r>
        <w:rPr>
          <w:color w:val="000000" w:themeColor="text1"/>
          <w14:textFill>
            <w14:solidFill>
              <w14:schemeClr w14:val="tx1"/>
            </w14:solidFill>
          </w14:textFill>
        </w:rPr>
        <w:t>、装卸洒水抑尘以及清扫、洒水等措施后，将会减</w:t>
      </w:r>
      <w:r>
        <w:rPr>
          <w:rFonts w:hint="eastAsia"/>
          <w:color w:val="000000" w:themeColor="text1"/>
          <w14:textFill>
            <w14:solidFill>
              <w14:schemeClr w14:val="tx1"/>
            </w14:solidFill>
          </w14:textFill>
        </w:rPr>
        <w:t>少</w:t>
      </w:r>
      <w:r>
        <w:rPr>
          <w:color w:val="000000" w:themeColor="text1"/>
          <w14:textFill>
            <w14:solidFill>
              <w14:schemeClr w14:val="tx1"/>
            </w14:solidFill>
          </w14:textFill>
        </w:rPr>
        <w:t>装卸扬尘、道路扬尘等对人身体的危害。</w:t>
      </w:r>
    </w:p>
    <w:p>
      <w:pPr>
        <w:pStyle w:val="283"/>
        <w:ind w:firstLine="462"/>
        <w:rPr>
          <w:color w:val="000000" w:themeColor="text1"/>
          <w14:textFill>
            <w14:solidFill>
              <w14:schemeClr w14:val="tx1"/>
            </w14:solidFill>
          </w14:textFill>
        </w:rPr>
      </w:pPr>
      <w:r>
        <w:rPr>
          <w:color w:val="000000" w:themeColor="text1"/>
          <w14:textFill>
            <w14:solidFill>
              <w14:schemeClr w14:val="tx1"/>
            </w14:solidFill>
          </w14:textFill>
        </w:rPr>
        <w:t>（3）本项目的绿化工程将会改善港区的景观环境，并能起到减缓噪声影响、改善周边地区环境空气的作用。</w:t>
      </w:r>
    </w:p>
    <w:p>
      <w:pPr>
        <w:pStyle w:val="4"/>
        <w:rPr>
          <w:color w:val="000000" w:themeColor="text1"/>
          <w14:textFill>
            <w14:solidFill>
              <w14:schemeClr w14:val="tx1"/>
            </w14:solidFill>
          </w14:textFill>
        </w:rPr>
      </w:pPr>
      <w:bookmarkStart w:id="299" w:name="_Toc317003573"/>
      <w:bookmarkStart w:id="300" w:name="_Toc312860818"/>
      <w:bookmarkStart w:id="301" w:name="_Toc317003293"/>
      <w:bookmarkStart w:id="302" w:name="_Toc170918622"/>
      <w:r>
        <w:rPr>
          <w:color w:val="000000" w:themeColor="text1"/>
          <w14:textFill>
            <w14:solidFill>
              <w14:schemeClr w14:val="tx1"/>
            </w14:solidFill>
          </w14:textFill>
        </w:rPr>
        <w:t>工程经济和社会效益分析</w:t>
      </w:r>
      <w:bookmarkEnd w:id="299"/>
      <w:bookmarkEnd w:id="300"/>
      <w:bookmarkEnd w:id="301"/>
      <w:bookmarkEnd w:id="302"/>
    </w:p>
    <w:p>
      <w:pPr>
        <w:pStyle w:val="283"/>
        <w:ind w:firstLine="462"/>
        <w:rPr>
          <w:color w:val="000000" w:themeColor="text1"/>
          <w14:textFill>
            <w14:solidFill>
              <w14:schemeClr w14:val="tx1"/>
            </w14:solidFill>
          </w14:textFill>
        </w:rPr>
      </w:pPr>
      <w:r>
        <w:rPr>
          <w:color w:val="000000" w:themeColor="text1"/>
          <w14:textFill>
            <w14:solidFill>
              <w14:schemeClr w14:val="tx1"/>
            </w14:solidFill>
          </w14:textFill>
        </w:rPr>
        <w:t>根据本项目《</w:t>
      </w:r>
      <w:r>
        <w:rPr>
          <w:rFonts w:hint="eastAsia"/>
          <w:color w:val="000000" w:themeColor="text1"/>
          <w14:textFill>
            <w14:solidFill>
              <w14:schemeClr w14:val="tx1"/>
            </w14:solidFill>
          </w14:textFill>
        </w:rPr>
        <w:t>工可</w:t>
      </w:r>
      <w:r>
        <w:rPr>
          <w:color w:val="000000" w:themeColor="text1"/>
          <w14:textFill>
            <w14:solidFill>
              <w14:schemeClr w14:val="tx1"/>
            </w14:solidFill>
          </w14:textFill>
        </w:rPr>
        <w:t>》报告，本项目的国民经济内部收益率</w:t>
      </w:r>
      <w:r>
        <w:rPr>
          <w:rFonts w:hint="eastAsia"/>
          <w:color w:val="000000" w:themeColor="text1"/>
          <w:kern w:val="2"/>
          <w14:textFill>
            <w14:solidFill>
              <w14:schemeClr w14:val="tx1"/>
            </w14:solidFill>
          </w14:textFill>
        </w:rPr>
        <w:t>为5.98</w:t>
      </w:r>
      <w:r>
        <w:rPr>
          <w:color w:val="000000" w:themeColor="text1"/>
          <w:kern w:val="2"/>
          <w14:textFill>
            <w14:solidFill>
              <w14:schemeClr w14:val="tx1"/>
            </w14:solidFill>
          </w14:textFill>
        </w:rPr>
        <w:t>%，</w:t>
      </w:r>
      <w:r>
        <w:rPr>
          <w:color w:val="000000" w:themeColor="text1"/>
          <w14:textFill>
            <w14:solidFill>
              <w14:schemeClr w14:val="tx1"/>
            </w14:solidFill>
          </w14:textFill>
        </w:rPr>
        <w:t>高于</w:t>
      </w:r>
      <w:r>
        <w:rPr>
          <w:rFonts w:hint="eastAsia"/>
          <w:color w:val="000000" w:themeColor="text1"/>
          <w14:textFill>
            <w14:solidFill>
              <w14:schemeClr w14:val="tx1"/>
            </w14:solidFill>
          </w14:textFill>
        </w:rPr>
        <w:t>5</w:t>
      </w:r>
      <w:r>
        <w:rPr>
          <w:color w:val="000000" w:themeColor="text1"/>
          <w14:textFill>
            <w14:solidFill>
              <w14:schemeClr w14:val="tx1"/>
            </w14:solidFill>
          </w14:textFill>
        </w:rPr>
        <w:t xml:space="preserve">%的社会折现率，这说明本项目具有良好的国民经济效益。而且，除了可量化的直接效益外，它还具有可观的间接效益和社会效益，如可以增加就业率、繁荣地方经济等。 </w:t>
      </w:r>
    </w:p>
    <w:p>
      <w:pPr>
        <w:pStyle w:val="283"/>
        <w:ind w:firstLine="462"/>
        <w:rPr>
          <w:color w:val="000000" w:themeColor="text1"/>
          <w14:textFill>
            <w14:solidFill>
              <w14:schemeClr w14:val="tx1"/>
            </w14:solidFill>
          </w14:textFill>
        </w:rPr>
      </w:pPr>
      <w:r>
        <w:rPr>
          <w:color w:val="000000" w:themeColor="text1"/>
          <w14:textFill>
            <w14:solidFill>
              <w14:schemeClr w14:val="tx1"/>
            </w14:solidFill>
          </w14:textFill>
        </w:rPr>
        <w:t>从经济敏感性分析看，本项目具有良好的抗风险性。因此，从国民经济角度考虑，本项目的建设是可行的。</w:t>
      </w:r>
    </w:p>
    <w:p>
      <w:pPr>
        <w:pStyle w:val="283"/>
        <w:ind w:firstLine="462"/>
        <w:rPr>
          <w:color w:val="000000" w:themeColor="text1"/>
          <w14:textFill>
            <w14:solidFill>
              <w14:schemeClr w14:val="tx1"/>
            </w14:solidFill>
          </w14:textFill>
        </w:rPr>
        <w:sectPr>
          <w:headerReference r:id="rId26" w:type="default"/>
          <w:headerReference r:id="rId27" w:type="even"/>
          <w:pgSz w:w="11907" w:h="16840"/>
          <w:pgMar w:top="1440" w:right="1514" w:bottom="1440" w:left="1797" w:header="992" w:footer="851" w:gutter="284"/>
          <w:pgNumType w:fmt="numberInDash"/>
          <w:cols w:space="425" w:num="1"/>
          <w:docGrid w:type="linesAndChars" w:linePitch="465" w:charSpace="-1866"/>
        </w:sectPr>
      </w:pPr>
      <w:r>
        <w:rPr>
          <w:color w:val="000000" w:themeColor="text1"/>
          <w14:textFill>
            <w14:solidFill>
              <w14:schemeClr w14:val="tx1"/>
            </w14:solidFill>
          </w14:textFill>
        </w:rPr>
        <w:t>从可研报告中财务指标测算结果上看，本项目全部投资所得税</w:t>
      </w:r>
      <w:r>
        <w:rPr>
          <w:rFonts w:hint="eastAsia"/>
          <w:color w:val="000000" w:themeColor="text1"/>
          <w14:textFill>
            <w14:solidFill>
              <w14:schemeClr w14:val="tx1"/>
            </w14:solidFill>
          </w14:textFill>
        </w:rPr>
        <w:t>前</w:t>
      </w:r>
      <w:r>
        <w:rPr>
          <w:color w:val="000000" w:themeColor="text1"/>
          <w14:textFill>
            <w14:solidFill>
              <w14:schemeClr w14:val="tx1"/>
            </w14:solidFill>
          </w14:textFill>
        </w:rPr>
        <w:t>内部收益率为</w:t>
      </w:r>
      <w:r>
        <w:rPr>
          <w:rFonts w:hint="eastAsia"/>
          <w:color w:val="000000" w:themeColor="text1"/>
          <w14:textFill>
            <w14:solidFill>
              <w14:schemeClr w14:val="tx1"/>
            </w14:solidFill>
          </w14:textFill>
        </w:rPr>
        <w:t>7.85</w:t>
      </w:r>
      <w:r>
        <w:rPr>
          <w:color w:val="000000" w:themeColor="text1"/>
          <w14:textFill>
            <w14:solidFill>
              <w14:schemeClr w14:val="tx1"/>
            </w14:solidFill>
          </w14:textFill>
        </w:rPr>
        <w:t>％，高于</w:t>
      </w:r>
      <w:r>
        <w:rPr>
          <w:rFonts w:hint="eastAsia"/>
          <w:color w:val="000000" w:themeColor="text1"/>
          <w14:textFill>
            <w14:solidFill>
              <w14:schemeClr w14:val="tx1"/>
            </w14:solidFill>
          </w14:textFill>
        </w:rPr>
        <w:t>7</w:t>
      </w:r>
      <w:r>
        <w:rPr>
          <w:color w:val="000000" w:themeColor="text1"/>
          <w14:textFill>
            <w14:solidFill>
              <w14:schemeClr w14:val="tx1"/>
            </w14:solidFill>
          </w14:textFill>
        </w:rPr>
        <w:t>%的行业平均收益率水平。说明本项目具有较好的财务盈利能力。</w:t>
      </w:r>
    </w:p>
    <w:bookmarkEnd w:id="283"/>
    <w:bookmarkEnd w:id="284"/>
    <w:bookmarkEnd w:id="285"/>
    <w:p>
      <w:pPr>
        <w:pStyle w:val="3"/>
        <w:rPr>
          <w:color w:val="000000" w:themeColor="text1"/>
          <w14:textFill>
            <w14:solidFill>
              <w14:schemeClr w14:val="tx1"/>
            </w14:solidFill>
          </w14:textFill>
        </w:rPr>
      </w:pPr>
      <w:bookmarkStart w:id="303" w:name="_Toc170918623"/>
      <w:r>
        <w:rPr>
          <w:color w:val="000000" w:themeColor="text1"/>
          <w14:textFill>
            <w14:solidFill>
              <w14:schemeClr w14:val="tx1"/>
            </w14:solidFill>
          </w14:textFill>
        </w:rPr>
        <w:t>环境保护管理与环境监控计划</w:t>
      </w:r>
      <w:bookmarkEnd w:id="303"/>
    </w:p>
    <w:p>
      <w:pPr>
        <w:pStyle w:val="4"/>
        <w:rPr>
          <w:color w:val="000000" w:themeColor="text1"/>
          <w14:textFill>
            <w14:solidFill>
              <w14:schemeClr w14:val="tx1"/>
            </w14:solidFill>
          </w14:textFill>
        </w:rPr>
      </w:pPr>
      <w:bookmarkStart w:id="304" w:name="_Toc160857373"/>
      <w:bookmarkStart w:id="305" w:name="_Toc170918624"/>
      <w:bookmarkStart w:id="306" w:name="_Toc317003287"/>
      <w:bookmarkStart w:id="307" w:name="_Toc160855100"/>
      <w:bookmarkStart w:id="308" w:name="_Toc160856055"/>
      <w:bookmarkStart w:id="309" w:name="_Toc317003567"/>
      <w:bookmarkStart w:id="310" w:name="_Toc125384808"/>
      <w:bookmarkStart w:id="311" w:name="_Toc269375481"/>
      <w:r>
        <w:rPr>
          <w:color w:val="000000" w:themeColor="text1"/>
          <w14:textFill>
            <w14:solidFill>
              <w14:schemeClr w14:val="tx1"/>
            </w14:solidFill>
          </w14:textFill>
        </w:rPr>
        <w:t>环境管理</w:t>
      </w:r>
      <w:bookmarkEnd w:id="304"/>
      <w:bookmarkEnd w:id="305"/>
      <w:bookmarkEnd w:id="306"/>
      <w:bookmarkEnd w:id="307"/>
      <w:bookmarkEnd w:id="308"/>
      <w:bookmarkEnd w:id="309"/>
      <w:bookmarkEnd w:id="310"/>
      <w:bookmarkEnd w:id="311"/>
    </w:p>
    <w:p>
      <w:pPr>
        <w:pStyle w:val="5"/>
        <w:rPr>
          <w:color w:val="000000" w:themeColor="text1"/>
          <w14:textFill>
            <w14:solidFill>
              <w14:schemeClr w14:val="tx1"/>
            </w14:solidFill>
          </w14:textFill>
        </w:rPr>
      </w:pPr>
      <w:bookmarkStart w:id="312" w:name="_Toc474771349"/>
      <w:bookmarkStart w:id="313" w:name="_Toc477530875"/>
      <w:bookmarkStart w:id="314" w:name="_Toc301808261"/>
      <w:bookmarkStart w:id="315" w:name="_Toc317003568"/>
      <w:bookmarkStart w:id="316" w:name="_Toc317003288"/>
      <w:bookmarkStart w:id="317" w:name="_Toc303949965"/>
      <w:bookmarkStart w:id="318" w:name="_Toc260909485"/>
      <w:r>
        <w:rPr>
          <w:color w:val="000000" w:themeColor="text1"/>
          <w14:textFill>
            <w14:solidFill>
              <w14:schemeClr w14:val="tx1"/>
            </w14:solidFill>
          </w14:textFill>
        </w:rPr>
        <w:t>环境管理机构</w:t>
      </w:r>
      <w:r>
        <w:rPr>
          <w:rFonts w:hint="eastAsia"/>
          <w:color w:val="000000" w:themeColor="text1"/>
          <w14:textFill>
            <w14:solidFill>
              <w14:schemeClr w14:val="tx1"/>
            </w14:solidFill>
          </w14:textFill>
        </w:rPr>
        <w:t>与职责</w:t>
      </w:r>
    </w:p>
    <w:p>
      <w:pPr>
        <w:ind w:firstLine="480"/>
        <w:rPr>
          <w:color w:val="000000" w:themeColor="text1"/>
          <w14:textFill>
            <w14:solidFill>
              <w14:schemeClr w14:val="tx1"/>
            </w14:solidFill>
          </w14:textFill>
        </w:rPr>
      </w:pPr>
      <w:r>
        <w:rPr>
          <w:color w:val="000000" w:themeColor="text1"/>
          <w14:textFill>
            <w14:solidFill>
              <w14:schemeClr w14:val="tx1"/>
            </w14:solidFill>
          </w14:textFill>
        </w:rPr>
        <w:t>根据《</w:t>
      </w:r>
      <w:r>
        <w:rPr>
          <w:rFonts w:hint="eastAsia"/>
          <w:color w:val="000000" w:themeColor="text1"/>
          <w:lang w:eastAsia="zh-CN"/>
          <w14:textFill>
            <w14:solidFill>
              <w14:schemeClr w14:val="tx1"/>
            </w14:solidFill>
          </w14:textFill>
        </w:rPr>
        <w:t>中华人民共和国环境保护法</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建设</w:t>
      </w:r>
      <w:r>
        <w:rPr>
          <w:color w:val="000000" w:themeColor="text1"/>
          <w14:textFill>
            <w14:solidFill>
              <w14:schemeClr w14:val="tx1"/>
            </w14:solidFill>
          </w14:textFill>
        </w:rPr>
        <w:t>单位在生产和经营中防止污染、保护生态环境是其重要职责。为做好本工程环境保护工作，建设单位应设置环境管理机构</w:t>
      </w:r>
      <w:r>
        <w:rPr>
          <w:rFonts w:hint="eastAsia"/>
          <w:color w:val="000000" w:themeColor="text1"/>
          <w14:textFill>
            <w14:solidFill>
              <w14:schemeClr w14:val="tx1"/>
            </w14:solidFill>
          </w14:textFill>
        </w:rPr>
        <w:t>和专职环境管理人员</w:t>
      </w:r>
      <w:r>
        <w:rPr>
          <w:color w:val="000000" w:themeColor="text1"/>
          <w14:textFill>
            <w14:solidFill>
              <w14:schemeClr w14:val="tx1"/>
            </w14:solidFill>
          </w14:textFill>
        </w:rPr>
        <w:t>，负责监督和管理本工程各项环境保护措施的落实，施工期环境</w:t>
      </w:r>
      <w:r>
        <w:rPr>
          <w:rFonts w:hint="eastAsia"/>
          <w:color w:val="000000" w:themeColor="text1"/>
          <w14:textFill>
            <w14:solidFill>
              <w14:schemeClr w14:val="tx1"/>
            </w14:solidFill>
          </w14:textFill>
        </w:rPr>
        <w:t>管理和</w:t>
      </w:r>
      <w:r>
        <w:rPr>
          <w:color w:val="000000" w:themeColor="text1"/>
          <w14:textFill>
            <w14:solidFill>
              <w14:schemeClr w14:val="tx1"/>
            </w14:solidFill>
          </w14:textFill>
        </w:rPr>
        <w:t>竣工环保验收</w:t>
      </w:r>
      <w:r>
        <w:rPr>
          <w:rFonts w:hint="eastAsia"/>
          <w:color w:val="000000" w:themeColor="text1"/>
          <w14:textFill>
            <w14:solidFill>
              <w14:schemeClr w14:val="tx1"/>
            </w14:solidFill>
          </w14:textFill>
        </w:rPr>
        <w:t>工作</w:t>
      </w:r>
      <w:r>
        <w:rPr>
          <w:color w:val="000000" w:themeColor="text1"/>
          <w14:textFill>
            <w14:solidFill>
              <w14:schemeClr w14:val="tx1"/>
            </w14:solidFill>
          </w14:textFill>
        </w:rPr>
        <w:t>。</w:t>
      </w:r>
    </w:p>
    <w:p>
      <w:pPr>
        <w:ind w:firstLine="480"/>
        <w:rPr>
          <w:color w:val="000000" w:themeColor="text1"/>
          <w14:textFill>
            <w14:solidFill>
              <w14:schemeClr w14:val="tx1"/>
            </w14:solidFill>
          </w14:textFill>
        </w:rPr>
      </w:pPr>
      <w:r>
        <w:rPr>
          <w:color w:val="000000" w:themeColor="text1"/>
          <w14:textFill>
            <w14:solidFill>
              <w14:schemeClr w14:val="tx1"/>
            </w14:solidFill>
          </w14:textFill>
        </w:rPr>
        <w:t>建设单位环保管理机构的</w:t>
      </w:r>
      <w:r>
        <w:rPr>
          <w:rFonts w:hint="eastAsia"/>
          <w:color w:val="000000" w:themeColor="text1"/>
          <w14:textFill>
            <w14:solidFill>
              <w14:schemeClr w14:val="tx1"/>
            </w14:solidFill>
          </w14:textFill>
        </w:rPr>
        <w:t>主要</w:t>
      </w:r>
      <w:r>
        <w:rPr>
          <w:color w:val="000000" w:themeColor="text1"/>
          <w14:textFill>
            <w14:solidFill>
              <w14:schemeClr w14:val="tx1"/>
            </w14:solidFill>
          </w14:textFill>
        </w:rPr>
        <w:t>职责</w:t>
      </w:r>
      <w:r>
        <w:rPr>
          <w:rFonts w:hint="eastAsia"/>
          <w:color w:val="000000" w:themeColor="text1"/>
          <w14:textFill>
            <w14:solidFill>
              <w14:schemeClr w14:val="tx1"/>
            </w14:solidFill>
          </w14:textFill>
        </w:rPr>
        <w:t>包括</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①制定各项环境管理制度，建立健全环境管理体系；②</w:t>
      </w:r>
      <w:r>
        <w:rPr>
          <w:color w:val="000000" w:themeColor="text1"/>
          <w14:textFill>
            <w14:solidFill>
              <w14:schemeClr w14:val="tx1"/>
            </w14:solidFill>
          </w14:textFill>
        </w:rPr>
        <w:t>宣传并执行国家有关环保法规</w:t>
      </w:r>
      <w:r>
        <w:rPr>
          <w:rFonts w:hint="eastAsia"/>
          <w:color w:val="000000" w:themeColor="text1"/>
          <w14:textFill>
            <w14:solidFill>
              <w14:schemeClr w14:val="tx1"/>
            </w14:solidFill>
          </w14:textFill>
        </w:rPr>
        <w:t>政策</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③</w:t>
      </w:r>
      <w:r>
        <w:rPr>
          <w:color w:val="000000" w:themeColor="text1"/>
          <w14:textFill>
            <w14:solidFill>
              <w14:schemeClr w14:val="tx1"/>
            </w14:solidFill>
          </w14:textFill>
        </w:rPr>
        <w:t>加强日常环境管理工作，对整个施工过程实施全程环境管理，监督各项环保措施的落实</w:t>
      </w:r>
      <w:r>
        <w:rPr>
          <w:rFonts w:hint="eastAsia"/>
          <w:color w:val="000000" w:themeColor="text1"/>
          <w14:textFill>
            <w14:solidFill>
              <w14:schemeClr w14:val="tx1"/>
            </w14:solidFill>
          </w14:textFill>
        </w:rPr>
        <w:t>，防止</w:t>
      </w:r>
      <w:r>
        <w:rPr>
          <w:color w:val="000000" w:themeColor="text1"/>
          <w14:textFill>
            <w14:solidFill>
              <w14:schemeClr w14:val="tx1"/>
            </w14:solidFill>
          </w14:textFill>
        </w:rPr>
        <w:t>污染事故的发生；</w:t>
      </w:r>
      <w:r>
        <w:rPr>
          <w:rFonts w:hint="eastAsia"/>
          <w:color w:val="000000" w:themeColor="text1"/>
          <w14:textFill>
            <w14:solidFill>
              <w14:schemeClr w14:val="tx1"/>
            </w14:solidFill>
          </w14:textFill>
        </w:rPr>
        <w:t>④</w:t>
      </w:r>
      <w:r>
        <w:rPr>
          <w:color w:val="000000" w:themeColor="text1"/>
          <w14:textFill>
            <w14:solidFill>
              <w14:schemeClr w14:val="tx1"/>
            </w14:solidFill>
          </w14:textFill>
        </w:rPr>
        <w:t>加强与环境保护主管部门的沟通和联系，主动接受</w:t>
      </w:r>
      <w:r>
        <w:rPr>
          <w:rFonts w:hint="eastAsia"/>
          <w:color w:val="000000" w:themeColor="text1"/>
          <w14:textFill>
            <w14:solidFill>
              <w14:schemeClr w14:val="tx1"/>
            </w14:solidFill>
          </w14:textFill>
        </w:rPr>
        <w:t>生态环境主管部门</w:t>
      </w:r>
      <w:r>
        <w:rPr>
          <w:color w:val="000000" w:themeColor="text1"/>
          <w14:textFill>
            <w14:solidFill>
              <w14:schemeClr w14:val="tx1"/>
            </w14:solidFill>
          </w14:textFill>
        </w:rPr>
        <w:t>的管理、监督和指导；</w:t>
      </w:r>
      <w:r>
        <w:rPr>
          <w:rFonts w:hint="eastAsia"/>
          <w:color w:val="000000" w:themeColor="text1"/>
          <w14:textFill>
            <w14:solidFill>
              <w14:schemeClr w14:val="tx1"/>
            </w14:solidFill>
          </w14:textFill>
        </w:rPr>
        <w:t>⑤</w:t>
      </w:r>
      <w:r>
        <w:rPr>
          <w:color w:val="000000" w:themeColor="text1"/>
          <w14:textFill>
            <w14:solidFill>
              <w14:schemeClr w14:val="tx1"/>
            </w14:solidFill>
          </w14:textFill>
        </w:rPr>
        <w:t>按</w:t>
      </w:r>
      <w:r>
        <w:rPr>
          <w:rFonts w:hint="eastAsia"/>
          <w:color w:val="000000" w:themeColor="text1"/>
          <w14:textFill>
            <w14:solidFill>
              <w14:schemeClr w14:val="tx1"/>
            </w14:solidFill>
          </w14:textFill>
        </w:rPr>
        <w:t>生态环境主管部门</w:t>
      </w:r>
      <w:r>
        <w:rPr>
          <w:color w:val="000000" w:themeColor="text1"/>
          <w14:textFill>
            <w14:solidFill>
              <w14:schemeClr w14:val="tx1"/>
            </w14:solidFill>
          </w14:textFill>
        </w:rPr>
        <w:t>规定和要求填报各种环境管理报表；</w:t>
      </w:r>
      <w:r>
        <w:rPr>
          <w:rFonts w:hint="eastAsia"/>
          <w:color w:val="000000" w:themeColor="text1"/>
          <w14:textFill>
            <w14:solidFill>
              <w14:schemeClr w14:val="tx1"/>
            </w14:solidFill>
          </w14:textFill>
        </w:rPr>
        <w:t>⑥</w:t>
      </w:r>
      <w:r>
        <w:rPr>
          <w:color w:val="000000" w:themeColor="text1"/>
          <w14:textFill>
            <w14:solidFill>
              <w14:schemeClr w14:val="tx1"/>
            </w14:solidFill>
          </w14:textFill>
        </w:rPr>
        <w:t>协调处理因本</w:t>
      </w:r>
      <w:r>
        <w:rPr>
          <w:rFonts w:hint="eastAsia"/>
          <w:color w:val="000000" w:themeColor="text1"/>
          <w14:textFill>
            <w14:solidFill>
              <w14:schemeClr w14:val="tx1"/>
            </w14:solidFill>
          </w14:textFill>
        </w:rPr>
        <w:t>工程</w:t>
      </w:r>
      <w:r>
        <w:rPr>
          <w:color w:val="000000" w:themeColor="text1"/>
          <w14:textFill>
            <w14:solidFill>
              <w14:schemeClr w14:val="tx1"/>
            </w14:solidFill>
          </w14:textFill>
        </w:rPr>
        <w:t>所产生的环境问题</w:t>
      </w:r>
      <w:r>
        <w:rPr>
          <w:rFonts w:hint="eastAsia"/>
          <w:color w:val="000000" w:themeColor="text1"/>
          <w14:textFill>
            <w14:solidFill>
              <w14:schemeClr w14:val="tx1"/>
            </w14:solidFill>
          </w14:textFill>
        </w:rPr>
        <w:t>；⑦执行环境信息公开制度。</w:t>
      </w:r>
    </w:p>
    <w:p>
      <w:pPr>
        <w:pStyle w:val="5"/>
        <w:rPr>
          <w:color w:val="000000" w:themeColor="text1"/>
          <w14:textFill>
            <w14:solidFill>
              <w14:schemeClr w14:val="tx1"/>
            </w14:solidFill>
          </w14:textFill>
        </w:rPr>
      </w:pPr>
      <w:r>
        <w:rPr>
          <w:rFonts w:hint="eastAsia"/>
          <w:color w:val="000000" w:themeColor="text1"/>
          <w14:textFill>
            <w14:solidFill>
              <w14:schemeClr w14:val="tx1"/>
            </w14:solidFill>
          </w14:textFill>
        </w:rPr>
        <w:t>建设单位施工期环境管理</w:t>
      </w:r>
    </w:p>
    <w:p>
      <w:pPr>
        <w:ind w:firstLine="462" w:firstLineChars="200"/>
        <w:jc w:val="left"/>
        <w:rPr>
          <w:color w:val="000000" w:themeColor="text1"/>
          <w14:textFill>
            <w14:solidFill>
              <w14:schemeClr w14:val="tx1"/>
            </w14:solidFill>
          </w14:textFill>
        </w:rPr>
      </w:pPr>
      <w:bookmarkStart w:id="319" w:name="_Toc388948596"/>
      <w:bookmarkStart w:id="320" w:name="_Toc391899478"/>
      <w:r>
        <w:rPr>
          <w:color w:val="000000" w:themeColor="text1"/>
          <w14:textFill>
            <w14:solidFill>
              <w14:schemeClr w14:val="tx1"/>
            </w14:solidFill>
          </w14:textFill>
        </w:rPr>
        <w:t>为了有效保护项目拟建址所在区域环境质量，切实保证本报告提出各项施工期环境保护措施的落实，施工单位应设置环境保护管理机构，</w:t>
      </w:r>
      <w:r>
        <w:rPr>
          <w:rFonts w:hint="eastAsia"/>
          <w:color w:val="000000" w:themeColor="text1"/>
          <w14:textFill>
            <w14:solidFill>
              <w14:schemeClr w14:val="tx1"/>
            </w14:solidFill>
          </w14:textFill>
        </w:rPr>
        <w:t>建设单位监督施工单位落实各项环境保护措施，开展施工期监理（含环保相关内容），做好主要环境保护措施技术交底，确保施工过程中各项环保措施落实到位，并且配合环境保护主管部门对项目施工实施监督、管理和指导。根据本报告提出的污染防治措施和对策，制定出切实可行的环境污染防治办法和措施。</w:t>
      </w:r>
    </w:p>
    <w:p>
      <w:pPr>
        <w:ind w:firstLine="462" w:firstLineChars="200"/>
        <w:jc w:val="left"/>
        <w:rPr>
          <w:color w:val="000000" w:themeColor="text1"/>
          <w14:textFill>
            <w14:solidFill>
              <w14:schemeClr w14:val="tx1"/>
            </w14:solidFill>
          </w14:textFill>
        </w:rPr>
      </w:pPr>
      <w:r>
        <w:rPr>
          <w:color w:val="000000" w:themeColor="text1"/>
          <w14:textFill>
            <w14:solidFill>
              <w14:schemeClr w14:val="tx1"/>
            </w14:solidFill>
          </w14:textFill>
        </w:rPr>
        <w:t>项目建设单位环保管理机构的职责如下：</w:t>
      </w:r>
    </w:p>
    <w:p>
      <w:pPr>
        <w:numPr>
          <w:ilvl w:val="0"/>
          <w:numId w:val="48"/>
        </w:numPr>
        <w:ind w:firstLine="462" w:firstLineChars="200"/>
        <w:jc w:val="left"/>
        <w:rPr>
          <w:color w:val="000000" w:themeColor="text1"/>
          <w14:textFill>
            <w14:solidFill>
              <w14:schemeClr w14:val="tx1"/>
            </w14:solidFill>
          </w14:textFill>
        </w:rPr>
      </w:pPr>
      <w:r>
        <w:rPr>
          <w:color w:val="000000" w:themeColor="text1"/>
          <w14:textFill>
            <w14:solidFill>
              <w14:schemeClr w14:val="tx1"/>
            </w14:solidFill>
          </w14:textFill>
        </w:rPr>
        <w:t>宣传并执行国家有关环保法规、条例、标准，并监督有关部门执行。</w:t>
      </w:r>
    </w:p>
    <w:p>
      <w:pPr>
        <w:numPr>
          <w:ilvl w:val="0"/>
          <w:numId w:val="48"/>
        </w:numPr>
        <w:ind w:firstLine="462" w:firstLineChars="200"/>
        <w:jc w:val="left"/>
        <w:rPr>
          <w:color w:val="000000" w:themeColor="text1"/>
          <w14:textFill>
            <w14:solidFill>
              <w14:schemeClr w14:val="tx1"/>
            </w14:solidFill>
          </w14:textFill>
        </w:rPr>
      </w:pPr>
      <w:r>
        <w:rPr>
          <w:color w:val="000000" w:themeColor="text1"/>
          <w14:textFill>
            <w14:solidFill>
              <w14:schemeClr w14:val="tx1"/>
            </w14:solidFill>
          </w14:textFill>
        </w:rPr>
        <w:t>负责本项目的环境保护管理工作，监督各项环保措施的落实与执行情况</w:t>
      </w:r>
      <w:r>
        <w:rPr>
          <w:rFonts w:hint="eastAsia"/>
          <w:color w:val="000000" w:themeColor="text1"/>
          <w14:textFill>
            <w14:solidFill>
              <w14:schemeClr w14:val="tx1"/>
            </w14:solidFill>
          </w14:textFill>
        </w:rPr>
        <w:t>。</w:t>
      </w:r>
    </w:p>
    <w:p>
      <w:pPr>
        <w:numPr>
          <w:ilvl w:val="0"/>
          <w:numId w:val="48"/>
        </w:numPr>
        <w:ind w:firstLine="462" w:firstLineChars="200"/>
        <w:jc w:val="left"/>
        <w:rPr>
          <w:color w:val="000000" w:themeColor="text1"/>
          <w14:textFill>
            <w14:solidFill>
              <w14:schemeClr w14:val="tx1"/>
            </w14:solidFill>
          </w14:textFill>
        </w:rPr>
      </w:pPr>
      <w:r>
        <w:rPr>
          <w:color w:val="000000" w:themeColor="text1"/>
          <w14:textFill>
            <w14:solidFill>
              <w14:schemeClr w14:val="tx1"/>
            </w14:solidFill>
          </w14:textFill>
        </w:rPr>
        <w:t>在施工地点，应由</w:t>
      </w:r>
      <w:r>
        <w:rPr>
          <w:rFonts w:hint="eastAsia"/>
          <w:color w:val="000000" w:themeColor="text1"/>
          <w14:textFill>
            <w14:solidFill>
              <w14:schemeClr w14:val="tx1"/>
            </w14:solidFill>
          </w14:textFill>
        </w:rPr>
        <w:t>施工</w:t>
      </w:r>
      <w:r>
        <w:rPr>
          <w:color w:val="000000" w:themeColor="text1"/>
          <w14:textFill>
            <w14:solidFill>
              <w14:schemeClr w14:val="tx1"/>
            </w14:solidFill>
          </w14:textFill>
        </w:rPr>
        <w:t>监理人员在施工现场跟踪监控管理，监察环保设施设置与实施情况。</w:t>
      </w:r>
    </w:p>
    <w:p>
      <w:pPr>
        <w:numPr>
          <w:ilvl w:val="0"/>
          <w:numId w:val="48"/>
        </w:numPr>
        <w:ind w:firstLine="462" w:firstLineChars="200"/>
        <w:jc w:val="left"/>
        <w:rPr>
          <w:color w:val="000000" w:themeColor="text1"/>
          <w14:textFill>
            <w14:solidFill>
              <w14:schemeClr w14:val="tx1"/>
            </w14:solidFill>
          </w14:textFill>
        </w:rPr>
      </w:pPr>
      <w:r>
        <w:rPr>
          <w:color w:val="000000" w:themeColor="text1"/>
          <w14:textFill>
            <w14:solidFill>
              <w14:schemeClr w14:val="tx1"/>
            </w14:solidFill>
          </w14:textFill>
        </w:rPr>
        <w:t>按</w:t>
      </w:r>
      <w:r>
        <w:rPr>
          <w:rFonts w:hint="eastAsia"/>
          <w:color w:val="000000" w:themeColor="text1"/>
          <w14:textFill>
            <w14:solidFill>
              <w14:schemeClr w14:val="tx1"/>
            </w14:solidFill>
          </w14:textFill>
        </w:rPr>
        <w:t>环保部门</w:t>
      </w:r>
      <w:r>
        <w:rPr>
          <w:color w:val="000000" w:themeColor="text1"/>
          <w14:textFill>
            <w14:solidFill>
              <w14:schemeClr w14:val="tx1"/>
            </w14:solidFill>
          </w14:textFill>
        </w:rPr>
        <w:t>规定和要求填报各种环境管理报表。</w:t>
      </w:r>
    </w:p>
    <w:p>
      <w:pPr>
        <w:numPr>
          <w:ilvl w:val="0"/>
          <w:numId w:val="48"/>
        </w:numPr>
        <w:ind w:firstLine="462" w:firstLineChars="200"/>
        <w:jc w:val="left"/>
        <w:rPr>
          <w:color w:val="000000" w:themeColor="text1"/>
          <w14:textFill>
            <w14:solidFill>
              <w14:schemeClr w14:val="tx1"/>
            </w14:solidFill>
          </w14:textFill>
        </w:rPr>
      </w:pPr>
      <w:r>
        <w:rPr>
          <w:color w:val="000000" w:themeColor="text1"/>
          <w14:textFill>
            <w14:solidFill>
              <w14:schemeClr w14:val="tx1"/>
            </w14:solidFill>
          </w14:textFill>
        </w:rPr>
        <w:t>建设单位自行进行环保设施竣工验收。</w:t>
      </w:r>
    </w:p>
    <w:p>
      <w:pPr>
        <w:numPr>
          <w:ilvl w:val="0"/>
          <w:numId w:val="48"/>
        </w:numPr>
        <w:ind w:firstLine="462" w:firstLineChars="200"/>
        <w:jc w:val="left"/>
        <w:rPr>
          <w:color w:val="000000" w:themeColor="text1"/>
          <w14:textFill>
            <w14:solidFill>
              <w14:schemeClr w14:val="tx1"/>
            </w14:solidFill>
          </w14:textFill>
        </w:rPr>
      </w:pPr>
      <w:r>
        <w:rPr>
          <w:color w:val="000000" w:themeColor="text1"/>
          <w14:textFill>
            <w14:solidFill>
              <w14:schemeClr w14:val="tx1"/>
            </w14:solidFill>
          </w14:textFill>
        </w:rPr>
        <w:t>负责对污染事故的调查、监测分析工作，并写出调查报告。</w:t>
      </w:r>
    </w:p>
    <w:p>
      <w:pPr>
        <w:numPr>
          <w:ilvl w:val="0"/>
          <w:numId w:val="48"/>
        </w:numPr>
        <w:ind w:firstLine="462" w:firstLineChars="200"/>
        <w:jc w:val="left"/>
        <w:rPr>
          <w:color w:val="000000" w:themeColor="text1"/>
          <w14:textFill>
            <w14:solidFill>
              <w14:schemeClr w14:val="tx1"/>
            </w14:solidFill>
          </w14:textFill>
        </w:rPr>
      </w:pPr>
      <w:r>
        <w:rPr>
          <w:color w:val="000000" w:themeColor="text1"/>
          <w14:textFill>
            <w14:solidFill>
              <w14:schemeClr w14:val="tx1"/>
            </w14:solidFill>
          </w14:textFill>
        </w:rPr>
        <w:t>协调、处理因本项目所产生的环境问题而引起的各种投诉，并达成相应的谅解措施。</w:t>
      </w:r>
    </w:p>
    <w:p>
      <w:pPr>
        <w:numPr>
          <w:ilvl w:val="0"/>
          <w:numId w:val="48"/>
        </w:numPr>
        <w:ind w:firstLine="462" w:firstLineChars="200"/>
        <w:jc w:val="left"/>
        <w:rPr>
          <w:color w:val="000000" w:themeColor="text1"/>
          <w14:textFill>
            <w14:solidFill>
              <w14:schemeClr w14:val="tx1"/>
            </w14:solidFill>
          </w14:textFill>
        </w:rPr>
      </w:pPr>
      <w:r>
        <w:rPr>
          <w:rFonts w:hint="eastAsia"/>
          <w:color w:val="000000" w:themeColor="text1"/>
          <w14:textFill>
            <w14:solidFill>
              <w14:schemeClr w14:val="tx1"/>
            </w14:solidFill>
          </w14:textFill>
        </w:rPr>
        <w:t>落实环境监测工作及监测计划的实施。</w:t>
      </w:r>
    </w:p>
    <w:bookmarkEnd w:id="319"/>
    <w:bookmarkEnd w:id="320"/>
    <w:p>
      <w:pPr>
        <w:pStyle w:val="4"/>
        <w:rPr>
          <w:color w:val="000000" w:themeColor="text1"/>
          <w14:textFill>
            <w14:solidFill>
              <w14:schemeClr w14:val="tx1"/>
            </w14:solidFill>
          </w14:textFill>
        </w:rPr>
      </w:pPr>
      <w:bookmarkStart w:id="321" w:name="_Toc170918625"/>
      <w:r>
        <w:rPr>
          <w:color w:val="000000" w:themeColor="text1"/>
          <w14:textFill>
            <w14:solidFill>
              <w14:schemeClr w14:val="tx1"/>
            </w14:solidFill>
          </w14:textFill>
        </w:rPr>
        <w:t>项目污染物排放清单及管理要求</w:t>
      </w:r>
      <w:bookmarkEnd w:id="312"/>
      <w:bookmarkEnd w:id="313"/>
      <w:bookmarkEnd w:id="321"/>
    </w:p>
    <w:p>
      <w:pPr>
        <w:pStyle w:val="1075"/>
        <w:ind w:firstLine="462"/>
        <w:rPr>
          <w:color w:val="000000" w:themeColor="text1"/>
          <w14:textFill>
            <w14:solidFill>
              <w14:schemeClr w14:val="tx1"/>
            </w14:solidFill>
          </w14:textFill>
        </w:rPr>
      </w:pPr>
      <w:r>
        <w:rPr>
          <w:color w:val="000000" w:themeColor="text1"/>
          <w14:textFill>
            <w14:solidFill>
              <w14:schemeClr w14:val="tx1"/>
            </w14:solidFill>
          </w14:textFill>
        </w:rPr>
        <w:t>本项目属</w:t>
      </w:r>
      <w:r>
        <w:rPr>
          <w:rFonts w:hint="eastAsia"/>
          <w:color w:val="000000" w:themeColor="text1"/>
          <w14:textFill>
            <w14:solidFill>
              <w14:schemeClr w14:val="tx1"/>
            </w14:solidFill>
          </w14:textFill>
        </w:rPr>
        <w:t>扩</w:t>
      </w:r>
      <w:r>
        <w:rPr>
          <w:color w:val="000000" w:themeColor="text1"/>
          <w14:textFill>
            <w14:solidFill>
              <w14:schemeClr w14:val="tx1"/>
            </w14:solidFill>
          </w14:textFill>
        </w:rPr>
        <w:t>建工程，主要建设内容为港池疏浚、陆域形成、水工建筑、</w:t>
      </w:r>
      <w:r>
        <w:rPr>
          <w:rFonts w:hint="eastAsia"/>
          <w:color w:val="000000" w:themeColor="text1"/>
          <w14:textFill>
            <w14:solidFill>
              <w14:schemeClr w14:val="tx1"/>
            </w14:solidFill>
          </w14:textFill>
        </w:rPr>
        <w:t>配套工程</w:t>
      </w:r>
      <w:r>
        <w:rPr>
          <w:color w:val="000000" w:themeColor="text1"/>
          <w14:textFill>
            <w14:solidFill>
              <w14:schemeClr w14:val="tx1"/>
            </w14:solidFill>
          </w14:textFill>
        </w:rPr>
        <w:t>等</w:t>
      </w:r>
      <w:r>
        <w:rPr>
          <w:bCs/>
          <w:color w:val="000000" w:themeColor="text1"/>
          <w14:textFill>
            <w14:solidFill>
              <w14:schemeClr w14:val="tx1"/>
            </w14:solidFill>
          </w14:textFill>
        </w:rPr>
        <w:t>。</w:t>
      </w:r>
      <w:r>
        <w:rPr>
          <w:color w:val="000000" w:themeColor="text1"/>
          <w14:textFill>
            <w14:solidFill>
              <w14:schemeClr w14:val="tx1"/>
            </w14:solidFill>
          </w14:textFill>
        </w:rPr>
        <w:t>施工期主要影响为污水、大气、噪声、固体废物影响；正常运营期主要为生活污水、车辆废气、</w:t>
      </w:r>
      <w:r>
        <w:rPr>
          <w:rFonts w:hint="eastAsia"/>
          <w:color w:val="000000" w:themeColor="text1"/>
          <w14:textFill>
            <w14:solidFill>
              <w14:schemeClr w14:val="tx1"/>
            </w14:solidFill>
          </w14:textFill>
        </w:rPr>
        <w:t>机械</w:t>
      </w:r>
      <w:r>
        <w:rPr>
          <w:color w:val="000000" w:themeColor="text1"/>
          <w14:textFill>
            <w14:solidFill>
              <w14:schemeClr w14:val="tx1"/>
            </w14:solidFill>
          </w14:textFill>
        </w:rPr>
        <w:t>噪声和固体废物影响。项目施工期及运营期主要污染物排放清单及管理要求见表7.2-1。</w:t>
      </w:r>
    </w:p>
    <w:p>
      <w:pPr>
        <w:pStyle w:val="1075"/>
        <w:ind w:firstLine="462"/>
        <w:rPr>
          <w:color w:val="000000" w:themeColor="text1"/>
          <w14:textFill>
            <w14:solidFill>
              <w14:schemeClr w14:val="tx1"/>
            </w14:solidFill>
          </w14:textFill>
        </w:rPr>
      </w:pPr>
      <w:r>
        <w:rPr>
          <w:rFonts w:hint="eastAsia"/>
          <w:color w:val="000000" w:themeColor="text1"/>
          <w14:textFill>
            <w14:solidFill>
              <w14:schemeClr w14:val="tx1"/>
            </w14:solidFill>
          </w14:textFill>
        </w:rPr>
        <w:t>根据建设项目排污特点，工程建成后主要污染物为陆域废污水、船舶废污水、固体废物等。根据国家总量控制指标体系要求和钦州港总体规划环评中对总量控制的建议，结合本项目的污染物排放特点和本报告提出的环保对策，项目不设总量控制指标</w:t>
      </w:r>
      <w:r>
        <w:rPr>
          <w:color w:val="000000" w:themeColor="text1"/>
          <w14:textFill>
            <w14:solidFill>
              <w14:schemeClr w14:val="tx1"/>
            </w14:solidFill>
          </w14:textFill>
        </w:rPr>
        <w:t>。</w:t>
      </w:r>
    </w:p>
    <w:p>
      <w:pPr>
        <w:widowControl/>
        <w:jc w:val="left"/>
        <w:rPr>
          <w:color w:val="000000" w:themeColor="text1"/>
          <w:lang w:val="zh-CN"/>
          <w14:textFill>
            <w14:solidFill>
              <w14:schemeClr w14:val="tx1"/>
            </w14:solidFill>
          </w14:textFill>
        </w:rPr>
      </w:pPr>
      <w:r>
        <w:rPr>
          <w:color w:val="000000" w:themeColor="text1"/>
          <w14:textFill>
            <w14:solidFill>
              <w14:schemeClr w14:val="tx1"/>
            </w14:solidFill>
          </w14:textFill>
        </w:rPr>
        <w:br w:type="page"/>
      </w:r>
    </w:p>
    <w:p>
      <w:pPr>
        <w:pStyle w:val="1075"/>
        <w:ind w:firstLine="462"/>
        <w:rPr>
          <w:color w:val="000000" w:themeColor="text1"/>
          <w14:textFill>
            <w14:solidFill>
              <w14:schemeClr w14:val="tx1"/>
            </w14:solidFill>
          </w14:textFill>
        </w:rPr>
        <w:sectPr>
          <w:headerReference r:id="rId28" w:type="even"/>
          <w:pgSz w:w="11907" w:h="16840"/>
          <w:pgMar w:top="1440" w:right="1514" w:bottom="1440" w:left="1797" w:header="992" w:footer="851" w:gutter="284"/>
          <w:pgNumType w:fmt="numberInDash"/>
          <w:cols w:space="425" w:num="1"/>
          <w:docGrid w:type="linesAndChars" w:linePitch="465" w:charSpace="-1866"/>
        </w:sectPr>
      </w:pPr>
    </w:p>
    <w:p>
      <w:pPr>
        <w:pStyle w:val="384"/>
        <w:ind w:left="0" w:firstLine="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本项目污染物排放清单及管理要求</w:t>
      </w:r>
    </w:p>
    <w:tbl>
      <w:tblPr>
        <w:tblStyle w:val="88"/>
        <w:tblW w:w="14176" w:type="dxa"/>
        <w:jc w:val="center"/>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557"/>
        <w:gridCol w:w="708"/>
        <w:gridCol w:w="1560"/>
        <w:gridCol w:w="850"/>
        <w:gridCol w:w="1985"/>
        <w:gridCol w:w="899"/>
        <w:gridCol w:w="1085"/>
        <w:gridCol w:w="1418"/>
        <w:gridCol w:w="2976"/>
        <w:gridCol w:w="2138"/>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blHeader/>
          <w:jc w:val="center"/>
        </w:trPr>
        <w:tc>
          <w:tcPr>
            <w:tcW w:w="557" w:type="dxa"/>
            <w:vAlign w:val="center"/>
          </w:tcPr>
          <w:p>
            <w:pPr>
              <w:pStyle w:val="1856"/>
              <w:adjustRightInd w:val="0"/>
              <w:snapToGrid w:val="0"/>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序号</w:t>
            </w:r>
          </w:p>
        </w:tc>
        <w:tc>
          <w:tcPr>
            <w:tcW w:w="708" w:type="dxa"/>
            <w:vAlign w:val="center"/>
          </w:tcPr>
          <w:p>
            <w:pPr>
              <w:pStyle w:val="1856"/>
              <w:adjustRightInd w:val="0"/>
              <w:snapToGrid w:val="0"/>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环境要素</w:t>
            </w:r>
          </w:p>
        </w:tc>
        <w:tc>
          <w:tcPr>
            <w:tcW w:w="1560" w:type="dxa"/>
            <w:vAlign w:val="center"/>
          </w:tcPr>
          <w:p>
            <w:pPr>
              <w:pStyle w:val="1856"/>
              <w:adjustRightInd w:val="0"/>
              <w:snapToGrid w:val="0"/>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污染源</w:t>
            </w:r>
          </w:p>
        </w:tc>
        <w:tc>
          <w:tcPr>
            <w:tcW w:w="850" w:type="dxa"/>
            <w:vAlign w:val="center"/>
          </w:tcPr>
          <w:p>
            <w:pPr>
              <w:pStyle w:val="1856"/>
              <w:adjustRightInd w:val="0"/>
              <w:snapToGrid w:val="0"/>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工段</w:t>
            </w:r>
          </w:p>
        </w:tc>
        <w:tc>
          <w:tcPr>
            <w:tcW w:w="1985" w:type="dxa"/>
            <w:vAlign w:val="center"/>
          </w:tcPr>
          <w:p>
            <w:pPr>
              <w:pStyle w:val="1856"/>
              <w:adjustRightInd w:val="0"/>
              <w:snapToGrid w:val="0"/>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污染因子</w:t>
            </w:r>
          </w:p>
        </w:tc>
        <w:tc>
          <w:tcPr>
            <w:tcW w:w="899" w:type="dxa"/>
            <w:vAlign w:val="center"/>
          </w:tcPr>
          <w:p>
            <w:pPr>
              <w:pStyle w:val="1856"/>
              <w:adjustRightInd w:val="0"/>
              <w:snapToGrid w:val="0"/>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产生量</w:t>
            </w:r>
          </w:p>
        </w:tc>
        <w:tc>
          <w:tcPr>
            <w:tcW w:w="1085" w:type="dxa"/>
            <w:vAlign w:val="center"/>
          </w:tcPr>
          <w:p>
            <w:pPr>
              <w:pStyle w:val="1856"/>
              <w:adjustRightInd w:val="0"/>
              <w:snapToGrid w:val="0"/>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排放浓度</w:t>
            </w:r>
          </w:p>
        </w:tc>
        <w:tc>
          <w:tcPr>
            <w:tcW w:w="1418" w:type="dxa"/>
            <w:vAlign w:val="center"/>
          </w:tcPr>
          <w:p>
            <w:pPr>
              <w:pStyle w:val="1856"/>
              <w:adjustRightInd w:val="0"/>
              <w:snapToGrid w:val="0"/>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排放量</w:t>
            </w:r>
          </w:p>
        </w:tc>
        <w:tc>
          <w:tcPr>
            <w:tcW w:w="2976" w:type="dxa"/>
            <w:vAlign w:val="center"/>
          </w:tcPr>
          <w:p>
            <w:pPr>
              <w:pStyle w:val="1856"/>
              <w:adjustRightInd w:val="0"/>
              <w:snapToGrid w:val="0"/>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环境保护措施</w:t>
            </w:r>
            <w:r>
              <w:rPr>
                <w:rFonts w:hint="eastAsia"/>
                <w:color w:val="000000" w:themeColor="text1"/>
                <w:sz w:val="21"/>
                <w:szCs w:val="21"/>
                <w14:textFill>
                  <w14:solidFill>
                    <w14:schemeClr w14:val="tx1"/>
                  </w14:solidFill>
                </w14:textFill>
              </w:rPr>
              <w:t>及排放去向</w:t>
            </w:r>
          </w:p>
        </w:tc>
        <w:tc>
          <w:tcPr>
            <w:tcW w:w="2138" w:type="dxa"/>
            <w:vAlign w:val="center"/>
          </w:tcPr>
          <w:p>
            <w:pPr>
              <w:pStyle w:val="1856"/>
              <w:adjustRightInd w:val="0"/>
              <w:snapToGrid w:val="0"/>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执行标准</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557" w:type="dxa"/>
            <w:vMerge w:val="restart"/>
            <w:vAlign w:val="center"/>
          </w:tcPr>
          <w:p>
            <w:pPr>
              <w:pStyle w:val="1856"/>
              <w:adjustRightInd w:val="0"/>
              <w:snapToGrid w:val="0"/>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w:t>
            </w:r>
          </w:p>
        </w:tc>
        <w:tc>
          <w:tcPr>
            <w:tcW w:w="708" w:type="dxa"/>
            <w:vMerge w:val="restart"/>
            <w:vAlign w:val="center"/>
          </w:tcPr>
          <w:p>
            <w:pPr>
              <w:pStyle w:val="1856"/>
              <w:adjustRightInd w:val="0"/>
              <w:snapToGrid w:val="0"/>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污水</w:t>
            </w:r>
          </w:p>
        </w:tc>
        <w:tc>
          <w:tcPr>
            <w:tcW w:w="1560" w:type="dxa"/>
            <w:vAlign w:val="center"/>
          </w:tcPr>
          <w:p>
            <w:pPr>
              <w:pStyle w:val="1856"/>
              <w:adjustRightInd w:val="0"/>
              <w:snapToGrid w:val="0"/>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船舶生活废水</w:t>
            </w:r>
          </w:p>
        </w:tc>
        <w:tc>
          <w:tcPr>
            <w:tcW w:w="850" w:type="dxa"/>
            <w:vMerge w:val="restart"/>
            <w:vAlign w:val="center"/>
          </w:tcPr>
          <w:p>
            <w:pPr>
              <w:pStyle w:val="1856"/>
              <w:adjustRightInd w:val="0"/>
              <w:snapToGrid w:val="0"/>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施工期</w:t>
            </w:r>
          </w:p>
        </w:tc>
        <w:tc>
          <w:tcPr>
            <w:tcW w:w="1985" w:type="dxa"/>
            <w:vAlign w:val="center"/>
          </w:tcPr>
          <w:p>
            <w:pPr>
              <w:pStyle w:val="1856"/>
              <w:adjustRightInd w:val="0"/>
              <w:snapToGrid w:val="0"/>
              <w:ind w:firstLine="0" w:firstLineChars="0"/>
              <w:jc w:val="center"/>
              <w:rPr>
                <w:color w:val="000000" w:themeColor="text1"/>
                <w:sz w:val="21"/>
                <w:szCs w:val="21"/>
                <w:lang w:val="en-US"/>
                <w14:textFill>
                  <w14:solidFill>
                    <w14:schemeClr w14:val="tx1"/>
                  </w14:solidFill>
                </w14:textFill>
              </w:rPr>
            </w:pPr>
            <w:r>
              <w:rPr>
                <w:color w:val="000000" w:themeColor="text1"/>
                <w:sz w:val="21"/>
                <w:szCs w:val="21"/>
                <w:lang w:val="en-US"/>
                <w14:textFill>
                  <w14:solidFill>
                    <w14:schemeClr w14:val="tx1"/>
                  </w14:solidFill>
                </w14:textFill>
              </w:rPr>
              <w:t>COD</w:t>
            </w:r>
            <w:r>
              <w:rPr>
                <w:color w:val="000000" w:themeColor="text1"/>
                <w:sz w:val="21"/>
                <w:szCs w:val="21"/>
                <w14:textFill>
                  <w14:solidFill>
                    <w14:schemeClr w14:val="tx1"/>
                  </w14:solidFill>
                </w14:textFill>
              </w:rPr>
              <w:t>、</w:t>
            </w:r>
            <w:r>
              <w:rPr>
                <w:color w:val="000000" w:themeColor="text1"/>
                <w:sz w:val="21"/>
                <w:szCs w:val="21"/>
                <w:lang w:val="en-US"/>
                <w14:textFill>
                  <w14:solidFill>
                    <w14:schemeClr w14:val="tx1"/>
                  </w14:solidFill>
                </w14:textFill>
              </w:rPr>
              <w:t>BOD</w:t>
            </w:r>
            <w:r>
              <w:rPr>
                <w:color w:val="000000" w:themeColor="text1"/>
                <w:sz w:val="21"/>
                <w:szCs w:val="21"/>
                <w:vertAlign w:val="subscript"/>
                <w:lang w:val="en-US"/>
                <w14:textFill>
                  <w14:solidFill>
                    <w14:schemeClr w14:val="tx1"/>
                  </w14:solidFill>
                </w14:textFill>
              </w:rPr>
              <w:t>5</w:t>
            </w:r>
            <w:r>
              <w:rPr>
                <w:color w:val="000000" w:themeColor="text1"/>
                <w:sz w:val="21"/>
                <w:szCs w:val="21"/>
                <w:vertAlign w:val="subscript"/>
                <w14:textFill>
                  <w14:solidFill>
                    <w14:schemeClr w14:val="tx1"/>
                  </w14:solidFill>
                </w14:textFill>
              </w:rPr>
              <w:t>、</w:t>
            </w:r>
            <w:r>
              <w:rPr>
                <w:color w:val="000000" w:themeColor="text1"/>
                <w:sz w:val="21"/>
                <w:szCs w:val="21"/>
                <w:lang w:val="en-US"/>
                <w14:textFill>
                  <w14:solidFill>
                    <w14:schemeClr w14:val="tx1"/>
                  </w14:solidFill>
                </w14:textFill>
              </w:rPr>
              <w:t>NH</w:t>
            </w:r>
            <w:r>
              <w:rPr>
                <w:color w:val="000000" w:themeColor="text1"/>
                <w:sz w:val="21"/>
                <w:szCs w:val="21"/>
                <w:vertAlign w:val="subscript"/>
                <w:lang w:val="en-US"/>
                <w14:textFill>
                  <w14:solidFill>
                    <w14:schemeClr w14:val="tx1"/>
                  </w14:solidFill>
                </w14:textFill>
              </w:rPr>
              <w:t>3</w:t>
            </w:r>
            <w:r>
              <w:rPr>
                <w:color w:val="000000" w:themeColor="text1"/>
                <w:sz w:val="21"/>
                <w:szCs w:val="21"/>
                <w:lang w:val="en-US"/>
                <w14:textFill>
                  <w14:solidFill>
                    <w14:schemeClr w14:val="tx1"/>
                  </w14:solidFill>
                </w14:textFill>
              </w:rPr>
              <w:t>-N</w:t>
            </w:r>
          </w:p>
        </w:tc>
        <w:tc>
          <w:tcPr>
            <w:tcW w:w="899" w:type="dxa"/>
            <w:vAlign w:val="center"/>
          </w:tcPr>
          <w:p>
            <w:pPr>
              <w:pStyle w:val="1856"/>
              <w:adjustRightInd w:val="0"/>
              <w:snapToGrid w:val="0"/>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700 t</w:t>
            </w:r>
          </w:p>
        </w:tc>
        <w:tc>
          <w:tcPr>
            <w:tcW w:w="1085" w:type="dxa"/>
          </w:tcPr>
          <w:p>
            <w:pPr>
              <w:pStyle w:val="1856"/>
              <w:adjustRightInd w:val="0"/>
              <w:snapToGrid w:val="0"/>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w:t>
            </w:r>
          </w:p>
        </w:tc>
        <w:tc>
          <w:tcPr>
            <w:tcW w:w="1418" w:type="dxa"/>
          </w:tcPr>
          <w:p>
            <w:pPr>
              <w:pStyle w:val="1856"/>
              <w:adjustRightInd w:val="0"/>
              <w:snapToGrid w:val="0"/>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w:t>
            </w:r>
          </w:p>
        </w:tc>
        <w:tc>
          <w:tcPr>
            <w:tcW w:w="2976" w:type="dxa"/>
            <w:vMerge w:val="restart"/>
            <w:vAlign w:val="center"/>
          </w:tcPr>
          <w:p>
            <w:pPr>
              <w:pStyle w:val="1856"/>
              <w:adjustRightInd w:val="0"/>
              <w:snapToGrid w:val="0"/>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固定接收船接收，委托有资质单位处置</w:t>
            </w:r>
          </w:p>
        </w:tc>
        <w:tc>
          <w:tcPr>
            <w:tcW w:w="2138" w:type="dxa"/>
            <w:vAlign w:val="center"/>
          </w:tcPr>
          <w:p>
            <w:pPr>
              <w:pStyle w:val="1856"/>
              <w:adjustRightInd w:val="0"/>
              <w:snapToGrid w:val="0"/>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557" w:type="dxa"/>
            <w:vMerge w:val="continue"/>
            <w:vAlign w:val="center"/>
          </w:tcPr>
          <w:p>
            <w:pPr>
              <w:pStyle w:val="1856"/>
              <w:adjustRightInd w:val="0"/>
              <w:snapToGrid w:val="0"/>
              <w:ind w:firstLine="0" w:firstLineChars="0"/>
              <w:jc w:val="center"/>
              <w:rPr>
                <w:color w:val="000000" w:themeColor="text1"/>
                <w:sz w:val="21"/>
                <w:szCs w:val="21"/>
                <w14:textFill>
                  <w14:solidFill>
                    <w14:schemeClr w14:val="tx1"/>
                  </w14:solidFill>
                </w14:textFill>
              </w:rPr>
            </w:pPr>
          </w:p>
        </w:tc>
        <w:tc>
          <w:tcPr>
            <w:tcW w:w="708" w:type="dxa"/>
            <w:vMerge w:val="continue"/>
            <w:vAlign w:val="center"/>
          </w:tcPr>
          <w:p>
            <w:pPr>
              <w:pStyle w:val="1856"/>
              <w:adjustRightInd w:val="0"/>
              <w:snapToGrid w:val="0"/>
              <w:ind w:firstLine="0" w:firstLineChars="0"/>
              <w:jc w:val="center"/>
              <w:rPr>
                <w:color w:val="000000" w:themeColor="text1"/>
                <w:sz w:val="21"/>
                <w:szCs w:val="21"/>
                <w14:textFill>
                  <w14:solidFill>
                    <w14:schemeClr w14:val="tx1"/>
                  </w14:solidFill>
                </w14:textFill>
              </w:rPr>
            </w:pPr>
          </w:p>
        </w:tc>
        <w:tc>
          <w:tcPr>
            <w:tcW w:w="1560" w:type="dxa"/>
            <w:vAlign w:val="center"/>
          </w:tcPr>
          <w:p>
            <w:pPr>
              <w:pStyle w:val="1856"/>
              <w:adjustRightInd w:val="0"/>
              <w:snapToGrid w:val="0"/>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船舶含油废水</w:t>
            </w:r>
          </w:p>
        </w:tc>
        <w:tc>
          <w:tcPr>
            <w:tcW w:w="850" w:type="dxa"/>
            <w:vMerge w:val="continue"/>
            <w:vAlign w:val="center"/>
          </w:tcPr>
          <w:p>
            <w:pPr>
              <w:pStyle w:val="1856"/>
              <w:adjustRightInd w:val="0"/>
              <w:snapToGrid w:val="0"/>
              <w:ind w:firstLine="0" w:firstLineChars="0"/>
              <w:jc w:val="center"/>
              <w:rPr>
                <w:color w:val="000000" w:themeColor="text1"/>
                <w:sz w:val="21"/>
                <w:szCs w:val="21"/>
                <w14:textFill>
                  <w14:solidFill>
                    <w14:schemeClr w14:val="tx1"/>
                  </w14:solidFill>
                </w14:textFill>
              </w:rPr>
            </w:pPr>
          </w:p>
        </w:tc>
        <w:tc>
          <w:tcPr>
            <w:tcW w:w="1985" w:type="dxa"/>
            <w:vAlign w:val="center"/>
          </w:tcPr>
          <w:p>
            <w:pPr>
              <w:pStyle w:val="1856"/>
              <w:adjustRightInd w:val="0"/>
              <w:snapToGrid w:val="0"/>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石油类</w:t>
            </w:r>
          </w:p>
        </w:tc>
        <w:tc>
          <w:tcPr>
            <w:tcW w:w="899" w:type="dxa"/>
            <w:vAlign w:val="center"/>
          </w:tcPr>
          <w:p>
            <w:pPr>
              <w:pStyle w:val="1856"/>
              <w:adjustRightInd w:val="0"/>
              <w:snapToGrid w:val="0"/>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504 t</w:t>
            </w:r>
          </w:p>
        </w:tc>
        <w:tc>
          <w:tcPr>
            <w:tcW w:w="1085" w:type="dxa"/>
          </w:tcPr>
          <w:p>
            <w:pPr>
              <w:pStyle w:val="1856"/>
              <w:adjustRightInd w:val="0"/>
              <w:snapToGrid w:val="0"/>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w:t>
            </w:r>
          </w:p>
        </w:tc>
        <w:tc>
          <w:tcPr>
            <w:tcW w:w="1418" w:type="dxa"/>
          </w:tcPr>
          <w:p>
            <w:pPr>
              <w:pStyle w:val="1856"/>
              <w:adjustRightInd w:val="0"/>
              <w:snapToGrid w:val="0"/>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w:t>
            </w:r>
          </w:p>
        </w:tc>
        <w:tc>
          <w:tcPr>
            <w:tcW w:w="2976" w:type="dxa"/>
            <w:vMerge w:val="continue"/>
            <w:vAlign w:val="center"/>
          </w:tcPr>
          <w:p>
            <w:pPr>
              <w:pStyle w:val="1856"/>
              <w:adjustRightInd w:val="0"/>
              <w:snapToGrid w:val="0"/>
              <w:ind w:firstLine="0" w:firstLineChars="0"/>
              <w:jc w:val="center"/>
              <w:rPr>
                <w:color w:val="000000" w:themeColor="text1"/>
                <w:sz w:val="21"/>
                <w:szCs w:val="21"/>
                <w14:textFill>
                  <w14:solidFill>
                    <w14:schemeClr w14:val="tx1"/>
                  </w14:solidFill>
                </w14:textFill>
              </w:rPr>
            </w:pPr>
          </w:p>
        </w:tc>
        <w:tc>
          <w:tcPr>
            <w:tcW w:w="2138" w:type="dxa"/>
            <w:vAlign w:val="center"/>
          </w:tcPr>
          <w:p>
            <w:pPr>
              <w:pStyle w:val="1856"/>
              <w:adjustRightInd w:val="0"/>
              <w:snapToGrid w:val="0"/>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647" w:hRule="atLeast"/>
          <w:jc w:val="center"/>
        </w:trPr>
        <w:tc>
          <w:tcPr>
            <w:tcW w:w="557" w:type="dxa"/>
            <w:vMerge w:val="continue"/>
            <w:vAlign w:val="center"/>
          </w:tcPr>
          <w:p>
            <w:pPr>
              <w:pStyle w:val="1856"/>
              <w:adjustRightInd w:val="0"/>
              <w:snapToGrid w:val="0"/>
              <w:ind w:firstLine="0" w:firstLineChars="0"/>
              <w:jc w:val="center"/>
              <w:rPr>
                <w:color w:val="000000" w:themeColor="text1"/>
                <w:sz w:val="21"/>
                <w:szCs w:val="21"/>
                <w14:textFill>
                  <w14:solidFill>
                    <w14:schemeClr w14:val="tx1"/>
                  </w14:solidFill>
                </w14:textFill>
              </w:rPr>
            </w:pPr>
          </w:p>
        </w:tc>
        <w:tc>
          <w:tcPr>
            <w:tcW w:w="708" w:type="dxa"/>
            <w:vMerge w:val="continue"/>
            <w:vAlign w:val="center"/>
          </w:tcPr>
          <w:p>
            <w:pPr>
              <w:pStyle w:val="1856"/>
              <w:adjustRightInd w:val="0"/>
              <w:snapToGrid w:val="0"/>
              <w:ind w:firstLine="0" w:firstLineChars="0"/>
              <w:jc w:val="center"/>
              <w:rPr>
                <w:color w:val="000000" w:themeColor="text1"/>
                <w:sz w:val="21"/>
                <w:szCs w:val="21"/>
                <w14:textFill>
                  <w14:solidFill>
                    <w14:schemeClr w14:val="tx1"/>
                  </w14:solidFill>
                </w14:textFill>
              </w:rPr>
            </w:pPr>
          </w:p>
        </w:tc>
        <w:tc>
          <w:tcPr>
            <w:tcW w:w="1560" w:type="dxa"/>
            <w:vAlign w:val="center"/>
          </w:tcPr>
          <w:p>
            <w:pPr>
              <w:pStyle w:val="1856"/>
              <w:adjustRightInd w:val="0"/>
              <w:snapToGrid w:val="0"/>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陆域生活污水</w:t>
            </w:r>
          </w:p>
        </w:tc>
        <w:tc>
          <w:tcPr>
            <w:tcW w:w="850" w:type="dxa"/>
            <w:vMerge w:val="continue"/>
            <w:vAlign w:val="center"/>
          </w:tcPr>
          <w:p>
            <w:pPr>
              <w:pStyle w:val="1856"/>
              <w:adjustRightInd w:val="0"/>
              <w:snapToGrid w:val="0"/>
              <w:ind w:firstLine="0" w:firstLineChars="0"/>
              <w:jc w:val="center"/>
              <w:rPr>
                <w:color w:val="000000" w:themeColor="text1"/>
                <w:sz w:val="21"/>
                <w:szCs w:val="21"/>
                <w14:textFill>
                  <w14:solidFill>
                    <w14:schemeClr w14:val="tx1"/>
                  </w14:solidFill>
                </w14:textFill>
              </w:rPr>
            </w:pPr>
          </w:p>
        </w:tc>
        <w:tc>
          <w:tcPr>
            <w:tcW w:w="1985" w:type="dxa"/>
            <w:vAlign w:val="center"/>
          </w:tcPr>
          <w:p>
            <w:pPr>
              <w:pStyle w:val="1856"/>
              <w:adjustRightInd w:val="0"/>
              <w:snapToGrid w:val="0"/>
              <w:ind w:firstLine="0" w:firstLineChars="0"/>
              <w:jc w:val="center"/>
              <w:rPr>
                <w:color w:val="000000" w:themeColor="text1"/>
                <w:sz w:val="21"/>
                <w:szCs w:val="21"/>
                <w:lang w:val="en-US"/>
                <w14:textFill>
                  <w14:solidFill>
                    <w14:schemeClr w14:val="tx1"/>
                  </w14:solidFill>
                </w14:textFill>
              </w:rPr>
            </w:pPr>
            <w:r>
              <w:rPr>
                <w:color w:val="000000" w:themeColor="text1"/>
                <w:sz w:val="21"/>
                <w:szCs w:val="21"/>
                <w:lang w:val="en-US"/>
                <w14:textFill>
                  <w14:solidFill>
                    <w14:schemeClr w14:val="tx1"/>
                  </w14:solidFill>
                </w14:textFill>
              </w:rPr>
              <w:t>COD</w:t>
            </w:r>
            <w:r>
              <w:rPr>
                <w:color w:val="000000" w:themeColor="text1"/>
                <w:sz w:val="21"/>
                <w:szCs w:val="21"/>
                <w14:textFill>
                  <w14:solidFill>
                    <w14:schemeClr w14:val="tx1"/>
                  </w14:solidFill>
                </w14:textFill>
              </w:rPr>
              <w:t>、</w:t>
            </w:r>
            <w:r>
              <w:rPr>
                <w:color w:val="000000" w:themeColor="text1"/>
                <w:sz w:val="21"/>
                <w:szCs w:val="21"/>
                <w:lang w:val="en-US"/>
                <w14:textFill>
                  <w14:solidFill>
                    <w14:schemeClr w14:val="tx1"/>
                  </w14:solidFill>
                </w14:textFill>
              </w:rPr>
              <w:t>BOD</w:t>
            </w:r>
            <w:r>
              <w:rPr>
                <w:color w:val="000000" w:themeColor="text1"/>
                <w:sz w:val="21"/>
                <w:szCs w:val="21"/>
                <w:vertAlign w:val="subscript"/>
                <w:lang w:val="en-US"/>
                <w14:textFill>
                  <w14:solidFill>
                    <w14:schemeClr w14:val="tx1"/>
                  </w14:solidFill>
                </w14:textFill>
              </w:rPr>
              <w:t>5</w:t>
            </w:r>
            <w:r>
              <w:rPr>
                <w:color w:val="000000" w:themeColor="text1"/>
                <w:sz w:val="21"/>
                <w:szCs w:val="21"/>
                <w:vertAlign w:val="subscript"/>
                <w14:textFill>
                  <w14:solidFill>
                    <w14:schemeClr w14:val="tx1"/>
                  </w14:solidFill>
                </w14:textFill>
              </w:rPr>
              <w:t>、</w:t>
            </w:r>
            <w:r>
              <w:rPr>
                <w:color w:val="000000" w:themeColor="text1"/>
                <w:sz w:val="21"/>
                <w:szCs w:val="21"/>
                <w:lang w:val="en-US"/>
                <w14:textFill>
                  <w14:solidFill>
                    <w14:schemeClr w14:val="tx1"/>
                  </w14:solidFill>
                </w14:textFill>
              </w:rPr>
              <w:t>NH</w:t>
            </w:r>
            <w:r>
              <w:rPr>
                <w:color w:val="000000" w:themeColor="text1"/>
                <w:sz w:val="21"/>
                <w:szCs w:val="21"/>
                <w:vertAlign w:val="subscript"/>
                <w:lang w:val="en-US"/>
                <w14:textFill>
                  <w14:solidFill>
                    <w14:schemeClr w14:val="tx1"/>
                  </w14:solidFill>
                </w14:textFill>
              </w:rPr>
              <w:t>3</w:t>
            </w:r>
            <w:r>
              <w:rPr>
                <w:color w:val="000000" w:themeColor="text1"/>
                <w:sz w:val="21"/>
                <w:szCs w:val="21"/>
                <w:lang w:val="en-US"/>
                <w14:textFill>
                  <w14:solidFill>
                    <w14:schemeClr w14:val="tx1"/>
                  </w14:solidFill>
                </w14:textFill>
              </w:rPr>
              <w:t>-N</w:t>
            </w:r>
          </w:p>
        </w:tc>
        <w:tc>
          <w:tcPr>
            <w:tcW w:w="899" w:type="dxa"/>
            <w:vAlign w:val="center"/>
          </w:tcPr>
          <w:p>
            <w:pPr>
              <w:pStyle w:val="1856"/>
              <w:adjustRightInd w:val="0"/>
              <w:snapToGrid w:val="0"/>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1050t</w:t>
            </w:r>
          </w:p>
        </w:tc>
        <w:tc>
          <w:tcPr>
            <w:tcW w:w="1085" w:type="dxa"/>
            <w:vAlign w:val="center"/>
          </w:tcPr>
          <w:p>
            <w:pPr>
              <w:pStyle w:val="1856"/>
              <w:adjustRightInd w:val="0"/>
              <w:snapToGrid w:val="0"/>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500mg/L</w:t>
            </w:r>
          </w:p>
          <w:p>
            <w:pPr>
              <w:pStyle w:val="1856"/>
              <w:adjustRightInd w:val="0"/>
              <w:snapToGrid w:val="0"/>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350mg/L</w:t>
            </w:r>
          </w:p>
          <w:p>
            <w:pPr>
              <w:pStyle w:val="1856"/>
              <w:adjustRightInd w:val="0"/>
              <w:snapToGrid w:val="0"/>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45mg/L</w:t>
            </w:r>
          </w:p>
        </w:tc>
        <w:tc>
          <w:tcPr>
            <w:tcW w:w="1418" w:type="dxa"/>
            <w:vAlign w:val="center"/>
          </w:tcPr>
          <w:p>
            <w:pPr>
              <w:pStyle w:val="1856"/>
              <w:adjustRightInd w:val="0"/>
              <w:snapToGrid w:val="0"/>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840t</w:t>
            </w:r>
          </w:p>
        </w:tc>
        <w:tc>
          <w:tcPr>
            <w:tcW w:w="2976" w:type="dxa"/>
            <w:vAlign w:val="center"/>
          </w:tcPr>
          <w:p>
            <w:pPr>
              <w:pStyle w:val="1856"/>
              <w:adjustRightInd w:val="0"/>
              <w:snapToGrid w:val="0"/>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排入7号、8号泊位生活污水处理站，预处理后进入大榄坪污水处理厂</w:t>
            </w:r>
          </w:p>
        </w:tc>
        <w:tc>
          <w:tcPr>
            <w:tcW w:w="2138" w:type="dxa"/>
            <w:vAlign w:val="center"/>
          </w:tcPr>
          <w:p>
            <w:pPr>
              <w:pStyle w:val="1856"/>
              <w:adjustRightInd w:val="0"/>
              <w:snapToGrid w:val="0"/>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《污水排入城镇下水道水质标准》（GB/T31962-2015）B级标准</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828" w:hRule="atLeast"/>
          <w:jc w:val="center"/>
        </w:trPr>
        <w:tc>
          <w:tcPr>
            <w:tcW w:w="557" w:type="dxa"/>
            <w:vMerge w:val="continue"/>
            <w:vAlign w:val="center"/>
          </w:tcPr>
          <w:p>
            <w:pPr>
              <w:pStyle w:val="1856"/>
              <w:adjustRightInd w:val="0"/>
              <w:snapToGrid w:val="0"/>
              <w:ind w:firstLine="0" w:firstLineChars="0"/>
              <w:jc w:val="center"/>
              <w:rPr>
                <w:color w:val="000000" w:themeColor="text1"/>
                <w:sz w:val="21"/>
                <w:szCs w:val="21"/>
                <w14:textFill>
                  <w14:solidFill>
                    <w14:schemeClr w14:val="tx1"/>
                  </w14:solidFill>
                </w14:textFill>
              </w:rPr>
            </w:pPr>
          </w:p>
        </w:tc>
        <w:tc>
          <w:tcPr>
            <w:tcW w:w="708" w:type="dxa"/>
            <w:vMerge w:val="continue"/>
            <w:vAlign w:val="center"/>
          </w:tcPr>
          <w:p>
            <w:pPr>
              <w:pStyle w:val="1856"/>
              <w:adjustRightInd w:val="0"/>
              <w:snapToGrid w:val="0"/>
              <w:ind w:firstLine="0" w:firstLineChars="0"/>
              <w:jc w:val="center"/>
              <w:rPr>
                <w:color w:val="000000" w:themeColor="text1"/>
                <w:sz w:val="21"/>
                <w:szCs w:val="21"/>
                <w14:textFill>
                  <w14:solidFill>
                    <w14:schemeClr w14:val="tx1"/>
                  </w14:solidFill>
                </w14:textFill>
              </w:rPr>
            </w:pPr>
          </w:p>
        </w:tc>
        <w:tc>
          <w:tcPr>
            <w:tcW w:w="1560" w:type="dxa"/>
            <w:vAlign w:val="center"/>
          </w:tcPr>
          <w:p>
            <w:pPr>
              <w:pStyle w:val="1856"/>
              <w:adjustRightInd w:val="0"/>
              <w:snapToGrid w:val="0"/>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陆域生活污水</w:t>
            </w:r>
          </w:p>
        </w:tc>
        <w:tc>
          <w:tcPr>
            <w:tcW w:w="850" w:type="dxa"/>
            <w:vMerge w:val="restart"/>
            <w:vAlign w:val="center"/>
          </w:tcPr>
          <w:p>
            <w:pPr>
              <w:pStyle w:val="1856"/>
              <w:adjustRightInd w:val="0"/>
              <w:snapToGrid w:val="0"/>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运营期</w:t>
            </w:r>
          </w:p>
        </w:tc>
        <w:tc>
          <w:tcPr>
            <w:tcW w:w="1985" w:type="dxa"/>
            <w:vAlign w:val="center"/>
          </w:tcPr>
          <w:p>
            <w:pPr>
              <w:pStyle w:val="1856"/>
              <w:adjustRightInd w:val="0"/>
              <w:snapToGrid w:val="0"/>
              <w:ind w:firstLine="0" w:firstLineChars="0"/>
              <w:jc w:val="center"/>
              <w:rPr>
                <w:color w:val="000000" w:themeColor="text1"/>
                <w:sz w:val="21"/>
                <w:szCs w:val="21"/>
                <w:lang w:val="en-US"/>
                <w14:textFill>
                  <w14:solidFill>
                    <w14:schemeClr w14:val="tx1"/>
                  </w14:solidFill>
                </w14:textFill>
              </w:rPr>
            </w:pPr>
            <w:r>
              <w:rPr>
                <w:color w:val="000000" w:themeColor="text1"/>
                <w:sz w:val="21"/>
                <w:szCs w:val="21"/>
                <w:lang w:val="en-US"/>
                <w14:textFill>
                  <w14:solidFill>
                    <w14:schemeClr w14:val="tx1"/>
                  </w14:solidFill>
                </w14:textFill>
              </w:rPr>
              <w:t>COD</w:t>
            </w:r>
            <w:r>
              <w:rPr>
                <w:color w:val="000000" w:themeColor="text1"/>
                <w:sz w:val="21"/>
                <w:szCs w:val="21"/>
                <w14:textFill>
                  <w14:solidFill>
                    <w14:schemeClr w14:val="tx1"/>
                  </w14:solidFill>
                </w14:textFill>
              </w:rPr>
              <w:t>、</w:t>
            </w:r>
            <w:r>
              <w:rPr>
                <w:color w:val="000000" w:themeColor="text1"/>
                <w:sz w:val="21"/>
                <w:szCs w:val="21"/>
                <w:lang w:val="en-US"/>
                <w14:textFill>
                  <w14:solidFill>
                    <w14:schemeClr w14:val="tx1"/>
                  </w14:solidFill>
                </w14:textFill>
              </w:rPr>
              <w:t>BOD</w:t>
            </w:r>
            <w:r>
              <w:rPr>
                <w:color w:val="000000" w:themeColor="text1"/>
                <w:sz w:val="21"/>
                <w:szCs w:val="21"/>
                <w:vertAlign w:val="subscript"/>
                <w:lang w:val="en-US"/>
                <w14:textFill>
                  <w14:solidFill>
                    <w14:schemeClr w14:val="tx1"/>
                  </w14:solidFill>
                </w14:textFill>
              </w:rPr>
              <w:t>5</w:t>
            </w:r>
            <w:r>
              <w:rPr>
                <w:color w:val="000000" w:themeColor="text1"/>
                <w:sz w:val="21"/>
                <w:szCs w:val="21"/>
                <w14:textFill>
                  <w14:solidFill>
                    <w14:schemeClr w14:val="tx1"/>
                  </w14:solidFill>
                </w14:textFill>
              </w:rPr>
              <w:t>、</w:t>
            </w:r>
          </w:p>
          <w:p>
            <w:pPr>
              <w:pStyle w:val="1856"/>
              <w:adjustRightInd w:val="0"/>
              <w:snapToGrid w:val="0"/>
              <w:ind w:firstLine="0" w:firstLineChars="0"/>
              <w:jc w:val="center"/>
              <w:rPr>
                <w:color w:val="000000" w:themeColor="text1"/>
                <w:sz w:val="21"/>
                <w:szCs w:val="21"/>
                <w:lang w:val="en-US"/>
                <w14:textFill>
                  <w14:solidFill>
                    <w14:schemeClr w14:val="tx1"/>
                  </w14:solidFill>
                </w14:textFill>
              </w:rPr>
            </w:pPr>
            <w:r>
              <w:rPr>
                <w:color w:val="000000" w:themeColor="text1"/>
                <w:sz w:val="21"/>
                <w:szCs w:val="21"/>
                <w:lang w:val="en-US"/>
                <w14:textFill>
                  <w14:solidFill>
                    <w14:schemeClr w14:val="tx1"/>
                  </w14:solidFill>
                </w14:textFill>
              </w:rPr>
              <w:t>NH</w:t>
            </w:r>
            <w:r>
              <w:rPr>
                <w:color w:val="000000" w:themeColor="text1"/>
                <w:sz w:val="21"/>
                <w:szCs w:val="21"/>
                <w:vertAlign w:val="subscript"/>
                <w:lang w:val="en-US"/>
                <w14:textFill>
                  <w14:solidFill>
                    <w14:schemeClr w14:val="tx1"/>
                  </w14:solidFill>
                </w14:textFill>
              </w:rPr>
              <w:t>3</w:t>
            </w:r>
            <w:r>
              <w:rPr>
                <w:color w:val="000000" w:themeColor="text1"/>
                <w:sz w:val="21"/>
                <w:szCs w:val="21"/>
                <w:lang w:val="en-US"/>
                <w14:textFill>
                  <w14:solidFill>
                    <w14:schemeClr w14:val="tx1"/>
                  </w14:solidFill>
                </w14:textFill>
              </w:rPr>
              <w:t>-N</w:t>
            </w:r>
          </w:p>
        </w:tc>
        <w:tc>
          <w:tcPr>
            <w:tcW w:w="899" w:type="dxa"/>
            <w:vAlign w:val="center"/>
          </w:tcPr>
          <w:p>
            <w:pPr>
              <w:pStyle w:val="1856"/>
              <w:adjustRightInd w:val="0"/>
              <w:snapToGrid w:val="0"/>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540.3t/a</w:t>
            </w:r>
          </w:p>
        </w:tc>
        <w:tc>
          <w:tcPr>
            <w:tcW w:w="1085" w:type="dxa"/>
            <w:vAlign w:val="center"/>
          </w:tcPr>
          <w:p>
            <w:pPr>
              <w:pStyle w:val="1856"/>
              <w:adjustRightInd w:val="0"/>
              <w:snapToGrid w:val="0"/>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500mg/L</w:t>
            </w:r>
          </w:p>
          <w:p>
            <w:pPr>
              <w:pStyle w:val="1856"/>
              <w:adjustRightInd w:val="0"/>
              <w:snapToGrid w:val="0"/>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350mg/L</w:t>
            </w:r>
          </w:p>
          <w:p>
            <w:pPr>
              <w:pStyle w:val="1856"/>
              <w:adjustRightInd w:val="0"/>
              <w:snapToGrid w:val="0"/>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45mg/L</w:t>
            </w:r>
          </w:p>
        </w:tc>
        <w:tc>
          <w:tcPr>
            <w:tcW w:w="1418" w:type="dxa"/>
            <w:vAlign w:val="center"/>
          </w:tcPr>
          <w:p>
            <w:pPr>
              <w:pStyle w:val="1856"/>
              <w:adjustRightInd w:val="0"/>
              <w:snapToGrid w:val="0"/>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432.3t/a</w:t>
            </w:r>
          </w:p>
        </w:tc>
        <w:tc>
          <w:tcPr>
            <w:tcW w:w="2976" w:type="dxa"/>
            <w:vAlign w:val="center"/>
          </w:tcPr>
          <w:p>
            <w:pPr>
              <w:pStyle w:val="1856"/>
              <w:adjustRightInd w:val="0"/>
              <w:snapToGrid w:val="0"/>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间接排放。排入7号、8号泊位生活污水处理站，预处理后进入大榄坪污水处理厂</w:t>
            </w:r>
          </w:p>
        </w:tc>
        <w:tc>
          <w:tcPr>
            <w:tcW w:w="2138" w:type="dxa"/>
          </w:tcPr>
          <w:p>
            <w:pPr>
              <w:pStyle w:val="1856"/>
              <w:adjustRightInd w:val="0"/>
              <w:snapToGrid w:val="0"/>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《污水排入城镇下水道水质标准》（GB/T31962-2015）B级标准</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557" w:type="dxa"/>
            <w:vMerge w:val="continue"/>
            <w:vAlign w:val="center"/>
          </w:tcPr>
          <w:p>
            <w:pPr>
              <w:pStyle w:val="1856"/>
              <w:adjustRightInd w:val="0"/>
              <w:snapToGrid w:val="0"/>
              <w:ind w:firstLine="0" w:firstLineChars="0"/>
              <w:jc w:val="center"/>
              <w:rPr>
                <w:color w:val="000000" w:themeColor="text1"/>
                <w:sz w:val="21"/>
                <w:szCs w:val="21"/>
                <w14:textFill>
                  <w14:solidFill>
                    <w14:schemeClr w14:val="tx1"/>
                  </w14:solidFill>
                </w14:textFill>
              </w:rPr>
            </w:pPr>
          </w:p>
        </w:tc>
        <w:tc>
          <w:tcPr>
            <w:tcW w:w="708" w:type="dxa"/>
            <w:vMerge w:val="continue"/>
            <w:vAlign w:val="center"/>
          </w:tcPr>
          <w:p>
            <w:pPr>
              <w:pStyle w:val="1856"/>
              <w:adjustRightInd w:val="0"/>
              <w:snapToGrid w:val="0"/>
              <w:ind w:firstLine="0" w:firstLineChars="0"/>
              <w:jc w:val="center"/>
              <w:rPr>
                <w:color w:val="000000" w:themeColor="text1"/>
                <w:sz w:val="21"/>
                <w:szCs w:val="21"/>
                <w14:textFill>
                  <w14:solidFill>
                    <w14:schemeClr w14:val="tx1"/>
                  </w14:solidFill>
                </w14:textFill>
              </w:rPr>
            </w:pPr>
          </w:p>
        </w:tc>
        <w:tc>
          <w:tcPr>
            <w:tcW w:w="1560" w:type="dxa"/>
            <w:vAlign w:val="center"/>
          </w:tcPr>
          <w:p>
            <w:pPr>
              <w:pStyle w:val="1856"/>
              <w:adjustRightInd w:val="0"/>
              <w:snapToGrid w:val="0"/>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船舶生活污水</w:t>
            </w:r>
          </w:p>
        </w:tc>
        <w:tc>
          <w:tcPr>
            <w:tcW w:w="850" w:type="dxa"/>
            <w:vMerge w:val="continue"/>
            <w:vAlign w:val="center"/>
          </w:tcPr>
          <w:p>
            <w:pPr>
              <w:pStyle w:val="1856"/>
              <w:adjustRightInd w:val="0"/>
              <w:snapToGrid w:val="0"/>
              <w:ind w:firstLine="0" w:firstLineChars="0"/>
              <w:jc w:val="center"/>
              <w:rPr>
                <w:color w:val="000000" w:themeColor="text1"/>
                <w:sz w:val="21"/>
                <w:szCs w:val="21"/>
                <w14:textFill>
                  <w14:solidFill>
                    <w14:schemeClr w14:val="tx1"/>
                  </w14:solidFill>
                </w14:textFill>
              </w:rPr>
            </w:pPr>
          </w:p>
        </w:tc>
        <w:tc>
          <w:tcPr>
            <w:tcW w:w="1985" w:type="dxa"/>
            <w:vAlign w:val="center"/>
          </w:tcPr>
          <w:p>
            <w:pPr>
              <w:pStyle w:val="1856"/>
              <w:adjustRightInd w:val="0"/>
              <w:snapToGrid w:val="0"/>
              <w:ind w:firstLine="0" w:firstLineChars="0"/>
              <w:jc w:val="center"/>
              <w:rPr>
                <w:color w:val="000000" w:themeColor="text1"/>
                <w:sz w:val="21"/>
                <w:szCs w:val="21"/>
                <w:lang w:val="en-US"/>
                <w14:textFill>
                  <w14:solidFill>
                    <w14:schemeClr w14:val="tx1"/>
                  </w14:solidFill>
                </w14:textFill>
              </w:rPr>
            </w:pPr>
            <w:r>
              <w:rPr>
                <w:color w:val="000000" w:themeColor="text1"/>
                <w:sz w:val="21"/>
                <w:szCs w:val="21"/>
                <w:lang w:val="en-US"/>
                <w14:textFill>
                  <w14:solidFill>
                    <w14:schemeClr w14:val="tx1"/>
                  </w14:solidFill>
                </w14:textFill>
              </w:rPr>
              <w:t>COD</w:t>
            </w:r>
            <w:r>
              <w:rPr>
                <w:color w:val="000000" w:themeColor="text1"/>
                <w:sz w:val="21"/>
                <w:szCs w:val="21"/>
                <w14:textFill>
                  <w14:solidFill>
                    <w14:schemeClr w14:val="tx1"/>
                  </w14:solidFill>
                </w14:textFill>
              </w:rPr>
              <w:t>、</w:t>
            </w:r>
            <w:r>
              <w:rPr>
                <w:color w:val="000000" w:themeColor="text1"/>
                <w:sz w:val="21"/>
                <w:szCs w:val="21"/>
                <w:lang w:val="en-US"/>
                <w14:textFill>
                  <w14:solidFill>
                    <w14:schemeClr w14:val="tx1"/>
                  </w14:solidFill>
                </w14:textFill>
              </w:rPr>
              <w:t>BOD</w:t>
            </w:r>
            <w:r>
              <w:rPr>
                <w:color w:val="000000" w:themeColor="text1"/>
                <w:sz w:val="21"/>
                <w:szCs w:val="21"/>
                <w:vertAlign w:val="subscript"/>
                <w:lang w:val="en-US"/>
                <w14:textFill>
                  <w14:solidFill>
                    <w14:schemeClr w14:val="tx1"/>
                  </w14:solidFill>
                </w14:textFill>
              </w:rPr>
              <w:t>5</w:t>
            </w:r>
            <w:r>
              <w:rPr>
                <w:color w:val="000000" w:themeColor="text1"/>
                <w:sz w:val="21"/>
                <w:szCs w:val="21"/>
                <w:vertAlign w:val="subscript"/>
                <w14:textFill>
                  <w14:solidFill>
                    <w14:schemeClr w14:val="tx1"/>
                  </w14:solidFill>
                </w14:textFill>
              </w:rPr>
              <w:t>、</w:t>
            </w:r>
            <w:r>
              <w:rPr>
                <w:color w:val="000000" w:themeColor="text1"/>
                <w:sz w:val="21"/>
                <w:szCs w:val="21"/>
                <w:lang w:val="en-US"/>
                <w14:textFill>
                  <w14:solidFill>
                    <w14:schemeClr w14:val="tx1"/>
                  </w14:solidFill>
                </w14:textFill>
              </w:rPr>
              <w:t>NH</w:t>
            </w:r>
            <w:r>
              <w:rPr>
                <w:color w:val="000000" w:themeColor="text1"/>
                <w:sz w:val="21"/>
                <w:szCs w:val="21"/>
                <w:vertAlign w:val="subscript"/>
                <w:lang w:val="en-US"/>
                <w14:textFill>
                  <w14:solidFill>
                    <w14:schemeClr w14:val="tx1"/>
                  </w14:solidFill>
                </w14:textFill>
              </w:rPr>
              <w:t>3</w:t>
            </w:r>
            <w:r>
              <w:rPr>
                <w:color w:val="000000" w:themeColor="text1"/>
                <w:sz w:val="21"/>
                <w:szCs w:val="21"/>
                <w:lang w:val="en-US"/>
                <w14:textFill>
                  <w14:solidFill>
                    <w14:schemeClr w14:val="tx1"/>
                  </w14:solidFill>
                </w14:textFill>
              </w:rPr>
              <w:t>-N</w:t>
            </w:r>
          </w:p>
        </w:tc>
        <w:tc>
          <w:tcPr>
            <w:tcW w:w="899" w:type="dxa"/>
            <w:vAlign w:val="center"/>
          </w:tcPr>
          <w:p>
            <w:pPr>
              <w:pStyle w:val="1856"/>
              <w:adjustRightInd w:val="0"/>
              <w:snapToGrid w:val="0"/>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 xml:space="preserve">1856t/a </w:t>
            </w:r>
          </w:p>
        </w:tc>
        <w:tc>
          <w:tcPr>
            <w:tcW w:w="1085" w:type="dxa"/>
            <w:vAlign w:val="center"/>
          </w:tcPr>
          <w:p>
            <w:pPr>
              <w:pStyle w:val="1856"/>
              <w:adjustRightInd w:val="0"/>
              <w:snapToGrid w:val="0"/>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300mg/L</w:t>
            </w:r>
          </w:p>
          <w:p>
            <w:pPr>
              <w:pStyle w:val="1856"/>
              <w:adjustRightInd w:val="0"/>
              <w:snapToGrid w:val="0"/>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200mg/L</w:t>
            </w:r>
          </w:p>
          <w:p>
            <w:pPr>
              <w:pStyle w:val="1856"/>
              <w:adjustRightInd w:val="0"/>
              <w:snapToGrid w:val="0"/>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35mg/L</w:t>
            </w:r>
          </w:p>
        </w:tc>
        <w:tc>
          <w:tcPr>
            <w:tcW w:w="1418" w:type="dxa"/>
            <w:vAlign w:val="center"/>
          </w:tcPr>
          <w:p>
            <w:pPr>
              <w:pStyle w:val="1856"/>
              <w:adjustRightInd w:val="0"/>
              <w:snapToGrid w:val="0"/>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1485t/a</w:t>
            </w:r>
          </w:p>
        </w:tc>
        <w:tc>
          <w:tcPr>
            <w:tcW w:w="2976" w:type="dxa"/>
            <w:vAlign w:val="center"/>
          </w:tcPr>
          <w:p>
            <w:pPr>
              <w:pStyle w:val="1856"/>
              <w:adjustRightInd w:val="0"/>
              <w:snapToGrid w:val="0"/>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固定接收船接收，委托有资质单位处置</w:t>
            </w:r>
          </w:p>
        </w:tc>
        <w:tc>
          <w:tcPr>
            <w:tcW w:w="2138" w:type="dxa"/>
            <w:vAlign w:val="center"/>
          </w:tcPr>
          <w:p>
            <w:pPr>
              <w:pStyle w:val="1856"/>
              <w:adjustRightInd w:val="0"/>
              <w:snapToGrid w:val="0"/>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557" w:type="dxa"/>
            <w:vMerge w:val="restart"/>
            <w:vAlign w:val="center"/>
          </w:tcPr>
          <w:p>
            <w:pPr>
              <w:pStyle w:val="1856"/>
              <w:adjustRightInd w:val="0"/>
              <w:snapToGrid w:val="0"/>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2</w:t>
            </w:r>
          </w:p>
        </w:tc>
        <w:tc>
          <w:tcPr>
            <w:tcW w:w="708" w:type="dxa"/>
            <w:vMerge w:val="restart"/>
            <w:vAlign w:val="center"/>
          </w:tcPr>
          <w:p>
            <w:pPr>
              <w:pStyle w:val="1856"/>
              <w:adjustRightInd w:val="0"/>
              <w:snapToGrid w:val="0"/>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大气</w:t>
            </w:r>
          </w:p>
        </w:tc>
        <w:tc>
          <w:tcPr>
            <w:tcW w:w="1560" w:type="dxa"/>
            <w:vAlign w:val="center"/>
          </w:tcPr>
          <w:p>
            <w:pPr>
              <w:pStyle w:val="1856"/>
              <w:adjustRightInd w:val="0"/>
              <w:snapToGrid w:val="0"/>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材料运输</w:t>
            </w:r>
          </w:p>
        </w:tc>
        <w:tc>
          <w:tcPr>
            <w:tcW w:w="850" w:type="dxa"/>
            <w:vMerge w:val="restart"/>
            <w:vAlign w:val="center"/>
          </w:tcPr>
          <w:p>
            <w:pPr>
              <w:pStyle w:val="1856"/>
              <w:adjustRightInd w:val="0"/>
              <w:snapToGrid w:val="0"/>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施工期</w:t>
            </w:r>
          </w:p>
        </w:tc>
        <w:tc>
          <w:tcPr>
            <w:tcW w:w="1985" w:type="dxa"/>
            <w:vAlign w:val="center"/>
          </w:tcPr>
          <w:p>
            <w:pPr>
              <w:pStyle w:val="1856"/>
              <w:adjustRightInd w:val="0"/>
              <w:snapToGrid w:val="0"/>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TSP</w:t>
            </w:r>
          </w:p>
        </w:tc>
        <w:tc>
          <w:tcPr>
            <w:tcW w:w="899" w:type="dxa"/>
            <w:vAlign w:val="center"/>
          </w:tcPr>
          <w:p>
            <w:pPr>
              <w:pStyle w:val="1856"/>
              <w:adjustRightInd w:val="0"/>
              <w:snapToGrid w:val="0"/>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w:t>
            </w:r>
          </w:p>
        </w:tc>
        <w:tc>
          <w:tcPr>
            <w:tcW w:w="1085" w:type="dxa"/>
            <w:vAlign w:val="center"/>
          </w:tcPr>
          <w:p>
            <w:pPr>
              <w:pStyle w:val="1856"/>
              <w:adjustRightInd w:val="0"/>
              <w:snapToGrid w:val="0"/>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w:t>
            </w:r>
          </w:p>
        </w:tc>
        <w:tc>
          <w:tcPr>
            <w:tcW w:w="1418" w:type="dxa"/>
            <w:vAlign w:val="center"/>
          </w:tcPr>
          <w:p>
            <w:pPr>
              <w:pStyle w:val="1856"/>
              <w:adjustRightInd w:val="0"/>
              <w:snapToGrid w:val="0"/>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无组织</w:t>
            </w:r>
            <w:r>
              <w:rPr>
                <w:color w:val="000000" w:themeColor="text1"/>
                <w:sz w:val="21"/>
                <w:szCs w:val="21"/>
                <w14:textFill>
                  <w14:solidFill>
                    <w14:schemeClr w14:val="tx1"/>
                  </w14:solidFill>
                </w14:textFill>
              </w:rPr>
              <w:t>排放</w:t>
            </w:r>
          </w:p>
        </w:tc>
        <w:tc>
          <w:tcPr>
            <w:tcW w:w="2976" w:type="dxa"/>
            <w:vAlign w:val="center"/>
          </w:tcPr>
          <w:p>
            <w:pPr>
              <w:pStyle w:val="1856"/>
              <w:adjustRightInd w:val="0"/>
              <w:snapToGrid w:val="0"/>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洒水降尘</w:t>
            </w:r>
          </w:p>
        </w:tc>
        <w:tc>
          <w:tcPr>
            <w:tcW w:w="2138" w:type="dxa"/>
            <w:vMerge w:val="restart"/>
            <w:vAlign w:val="center"/>
          </w:tcPr>
          <w:p>
            <w:pPr>
              <w:pStyle w:val="1856"/>
              <w:adjustRightInd w:val="0"/>
              <w:snapToGrid w:val="0"/>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《大气污染物综合排放标准》（GB16297-1996）中的无组织排放标准</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557" w:type="dxa"/>
            <w:vMerge w:val="continue"/>
            <w:vAlign w:val="center"/>
          </w:tcPr>
          <w:p>
            <w:pPr>
              <w:pStyle w:val="1856"/>
              <w:adjustRightInd w:val="0"/>
              <w:snapToGrid w:val="0"/>
              <w:ind w:firstLine="0" w:firstLineChars="0"/>
              <w:jc w:val="center"/>
              <w:rPr>
                <w:color w:val="000000" w:themeColor="text1"/>
                <w:sz w:val="21"/>
                <w:szCs w:val="21"/>
                <w14:textFill>
                  <w14:solidFill>
                    <w14:schemeClr w14:val="tx1"/>
                  </w14:solidFill>
                </w14:textFill>
              </w:rPr>
            </w:pPr>
          </w:p>
        </w:tc>
        <w:tc>
          <w:tcPr>
            <w:tcW w:w="708" w:type="dxa"/>
            <w:vMerge w:val="continue"/>
            <w:vAlign w:val="center"/>
          </w:tcPr>
          <w:p>
            <w:pPr>
              <w:pStyle w:val="1856"/>
              <w:adjustRightInd w:val="0"/>
              <w:snapToGrid w:val="0"/>
              <w:ind w:firstLine="0" w:firstLineChars="0"/>
              <w:jc w:val="center"/>
              <w:rPr>
                <w:color w:val="000000" w:themeColor="text1"/>
                <w:sz w:val="21"/>
                <w:szCs w:val="21"/>
                <w14:textFill>
                  <w14:solidFill>
                    <w14:schemeClr w14:val="tx1"/>
                  </w14:solidFill>
                </w14:textFill>
              </w:rPr>
            </w:pPr>
          </w:p>
        </w:tc>
        <w:tc>
          <w:tcPr>
            <w:tcW w:w="1560" w:type="dxa"/>
            <w:vAlign w:val="center"/>
          </w:tcPr>
          <w:p>
            <w:pPr>
              <w:pStyle w:val="1856"/>
              <w:adjustRightInd w:val="0"/>
              <w:snapToGrid w:val="0"/>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船舶废气</w:t>
            </w:r>
          </w:p>
        </w:tc>
        <w:tc>
          <w:tcPr>
            <w:tcW w:w="850" w:type="dxa"/>
            <w:vMerge w:val="continue"/>
            <w:vAlign w:val="center"/>
          </w:tcPr>
          <w:p>
            <w:pPr>
              <w:pStyle w:val="1856"/>
              <w:adjustRightInd w:val="0"/>
              <w:snapToGrid w:val="0"/>
              <w:ind w:firstLine="0" w:firstLineChars="0"/>
              <w:jc w:val="center"/>
              <w:rPr>
                <w:color w:val="000000" w:themeColor="text1"/>
                <w:sz w:val="21"/>
                <w:szCs w:val="21"/>
                <w14:textFill>
                  <w14:solidFill>
                    <w14:schemeClr w14:val="tx1"/>
                  </w14:solidFill>
                </w14:textFill>
              </w:rPr>
            </w:pPr>
          </w:p>
        </w:tc>
        <w:tc>
          <w:tcPr>
            <w:tcW w:w="1985" w:type="dxa"/>
            <w:vAlign w:val="center"/>
          </w:tcPr>
          <w:p>
            <w:pPr>
              <w:pStyle w:val="1856"/>
              <w:adjustRightInd w:val="0"/>
              <w:snapToGrid w:val="0"/>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SO</w:t>
            </w:r>
            <w:r>
              <w:rPr>
                <w:color w:val="000000" w:themeColor="text1"/>
                <w:sz w:val="21"/>
                <w:szCs w:val="21"/>
                <w:vertAlign w:val="subscript"/>
                <w14:textFill>
                  <w14:solidFill>
                    <w14:schemeClr w14:val="tx1"/>
                  </w14:solidFill>
                </w14:textFill>
              </w:rPr>
              <w:t>2</w:t>
            </w:r>
            <w:r>
              <w:rPr>
                <w:rFonts w:hint="eastAsia"/>
                <w:color w:val="000000" w:themeColor="text1"/>
                <w:sz w:val="21"/>
                <w:szCs w:val="21"/>
                <w14:textFill>
                  <w14:solidFill>
                    <w14:schemeClr w14:val="tx1"/>
                  </w14:solidFill>
                </w14:textFill>
              </w:rPr>
              <w:t>、</w:t>
            </w:r>
            <w:r>
              <w:rPr>
                <w:color w:val="000000" w:themeColor="text1"/>
                <w:sz w:val="21"/>
                <w:szCs w:val="21"/>
                <w14:textFill>
                  <w14:solidFill>
                    <w14:schemeClr w14:val="tx1"/>
                  </w14:solidFill>
                </w14:textFill>
              </w:rPr>
              <w:t>NO</w:t>
            </w:r>
            <w:r>
              <w:rPr>
                <w:color w:val="000000" w:themeColor="text1"/>
                <w:sz w:val="21"/>
                <w:szCs w:val="21"/>
                <w:vertAlign w:val="subscript"/>
                <w14:textFill>
                  <w14:solidFill>
                    <w14:schemeClr w14:val="tx1"/>
                  </w14:solidFill>
                </w14:textFill>
              </w:rPr>
              <w:t>x</w:t>
            </w:r>
          </w:p>
        </w:tc>
        <w:tc>
          <w:tcPr>
            <w:tcW w:w="899" w:type="dxa"/>
            <w:vAlign w:val="center"/>
          </w:tcPr>
          <w:p>
            <w:pPr>
              <w:pStyle w:val="1856"/>
              <w:adjustRightInd w:val="0"/>
              <w:snapToGrid w:val="0"/>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w:t>
            </w:r>
          </w:p>
        </w:tc>
        <w:tc>
          <w:tcPr>
            <w:tcW w:w="1085" w:type="dxa"/>
            <w:vAlign w:val="center"/>
          </w:tcPr>
          <w:p>
            <w:pPr>
              <w:pStyle w:val="1856"/>
              <w:adjustRightInd w:val="0"/>
              <w:snapToGrid w:val="0"/>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w:t>
            </w:r>
          </w:p>
        </w:tc>
        <w:tc>
          <w:tcPr>
            <w:tcW w:w="1418" w:type="dxa"/>
            <w:vAlign w:val="center"/>
          </w:tcPr>
          <w:p>
            <w:pPr>
              <w:pStyle w:val="1856"/>
              <w:adjustRightInd w:val="0"/>
              <w:snapToGrid w:val="0"/>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无组织</w:t>
            </w:r>
            <w:r>
              <w:rPr>
                <w:color w:val="000000" w:themeColor="text1"/>
                <w:sz w:val="21"/>
                <w:szCs w:val="21"/>
                <w14:textFill>
                  <w14:solidFill>
                    <w14:schemeClr w14:val="tx1"/>
                  </w14:solidFill>
                </w14:textFill>
              </w:rPr>
              <w:t>排放</w:t>
            </w:r>
          </w:p>
        </w:tc>
        <w:tc>
          <w:tcPr>
            <w:tcW w:w="2976" w:type="dxa"/>
            <w:vAlign w:val="center"/>
          </w:tcPr>
          <w:p>
            <w:pPr>
              <w:pStyle w:val="1856"/>
              <w:adjustRightInd w:val="0"/>
              <w:snapToGrid w:val="0"/>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环保设备</w:t>
            </w:r>
          </w:p>
        </w:tc>
        <w:tc>
          <w:tcPr>
            <w:tcW w:w="2138" w:type="dxa"/>
            <w:vMerge w:val="continue"/>
          </w:tcPr>
          <w:p>
            <w:pPr>
              <w:pStyle w:val="1856"/>
              <w:adjustRightInd w:val="0"/>
              <w:snapToGrid w:val="0"/>
              <w:ind w:firstLine="0" w:firstLineChars="0"/>
              <w:jc w:val="center"/>
              <w:rPr>
                <w:color w:val="000000" w:themeColor="text1"/>
                <w:sz w:val="21"/>
                <w:szCs w:val="21"/>
                <w14:textFill>
                  <w14:solidFill>
                    <w14:schemeClr w14:val="tx1"/>
                  </w14:solidFill>
                </w14:textFill>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272" w:hRule="atLeast"/>
          <w:jc w:val="center"/>
        </w:trPr>
        <w:tc>
          <w:tcPr>
            <w:tcW w:w="557" w:type="dxa"/>
            <w:vMerge w:val="continue"/>
            <w:vAlign w:val="center"/>
          </w:tcPr>
          <w:p>
            <w:pPr>
              <w:pStyle w:val="1856"/>
              <w:adjustRightInd w:val="0"/>
              <w:snapToGrid w:val="0"/>
              <w:ind w:firstLine="0" w:firstLineChars="0"/>
              <w:jc w:val="center"/>
              <w:rPr>
                <w:color w:val="000000" w:themeColor="text1"/>
                <w:sz w:val="21"/>
                <w:szCs w:val="21"/>
                <w14:textFill>
                  <w14:solidFill>
                    <w14:schemeClr w14:val="tx1"/>
                  </w14:solidFill>
                </w14:textFill>
              </w:rPr>
            </w:pPr>
          </w:p>
        </w:tc>
        <w:tc>
          <w:tcPr>
            <w:tcW w:w="708" w:type="dxa"/>
            <w:vMerge w:val="continue"/>
            <w:vAlign w:val="center"/>
          </w:tcPr>
          <w:p>
            <w:pPr>
              <w:pStyle w:val="1856"/>
              <w:adjustRightInd w:val="0"/>
              <w:snapToGrid w:val="0"/>
              <w:ind w:firstLine="0" w:firstLineChars="0"/>
              <w:jc w:val="center"/>
              <w:rPr>
                <w:color w:val="000000" w:themeColor="text1"/>
                <w:sz w:val="21"/>
                <w:szCs w:val="21"/>
                <w14:textFill>
                  <w14:solidFill>
                    <w14:schemeClr w14:val="tx1"/>
                  </w14:solidFill>
                </w14:textFill>
              </w:rPr>
            </w:pPr>
          </w:p>
        </w:tc>
        <w:tc>
          <w:tcPr>
            <w:tcW w:w="1560" w:type="dxa"/>
            <w:vAlign w:val="center"/>
          </w:tcPr>
          <w:p>
            <w:pPr>
              <w:pStyle w:val="1856"/>
              <w:adjustRightInd w:val="0"/>
              <w:snapToGrid w:val="0"/>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车辆废气</w:t>
            </w:r>
          </w:p>
        </w:tc>
        <w:tc>
          <w:tcPr>
            <w:tcW w:w="850" w:type="dxa"/>
            <w:vMerge w:val="restart"/>
            <w:vAlign w:val="center"/>
          </w:tcPr>
          <w:p>
            <w:pPr>
              <w:pStyle w:val="1856"/>
              <w:adjustRightInd w:val="0"/>
              <w:snapToGrid w:val="0"/>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运营期</w:t>
            </w:r>
          </w:p>
        </w:tc>
        <w:tc>
          <w:tcPr>
            <w:tcW w:w="1985" w:type="dxa"/>
            <w:vAlign w:val="center"/>
          </w:tcPr>
          <w:p>
            <w:pPr>
              <w:pStyle w:val="1856"/>
              <w:adjustRightInd w:val="0"/>
              <w:snapToGrid w:val="0"/>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SO</w:t>
            </w:r>
            <w:r>
              <w:rPr>
                <w:rFonts w:hint="eastAsia"/>
                <w:color w:val="000000" w:themeColor="text1"/>
                <w:sz w:val="21"/>
                <w:szCs w:val="21"/>
                <w:vertAlign w:val="subscript"/>
                <w14:textFill>
                  <w14:solidFill>
                    <w14:schemeClr w14:val="tx1"/>
                  </w14:solidFill>
                </w14:textFill>
              </w:rPr>
              <w:t>2</w:t>
            </w:r>
            <w:r>
              <w:rPr>
                <w:rFonts w:hint="eastAsia"/>
                <w:color w:val="000000" w:themeColor="text1"/>
                <w:sz w:val="21"/>
                <w:szCs w:val="21"/>
                <w14:textFill>
                  <w14:solidFill>
                    <w14:schemeClr w14:val="tx1"/>
                  </w14:solidFill>
                </w14:textFill>
              </w:rPr>
              <w:t>、CO、NO</w:t>
            </w:r>
            <w:r>
              <w:rPr>
                <w:rFonts w:hint="eastAsia"/>
                <w:color w:val="000000" w:themeColor="text1"/>
                <w:sz w:val="21"/>
                <w:szCs w:val="21"/>
                <w:vertAlign w:val="subscript"/>
                <w14:textFill>
                  <w14:solidFill>
                    <w14:schemeClr w14:val="tx1"/>
                  </w14:solidFill>
                </w14:textFill>
              </w:rPr>
              <w:t>x</w:t>
            </w:r>
          </w:p>
        </w:tc>
        <w:tc>
          <w:tcPr>
            <w:tcW w:w="899" w:type="dxa"/>
            <w:vAlign w:val="center"/>
          </w:tcPr>
          <w:p>
            <w:pPr>
              <w:pStyle w:val="1856"/>
              <w:adjustRightInd w:val="0"/>
              <w:snapToGrid w:val="0"/>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w:t>
            </w:r>
          </w:p>
        </w:tc>
        <w:tc>
          <w:tcPr>
            <w:tcW w:w="1085" w:type="dxa"/>
            <w:vAlign w:val="center"/>
          </w:tcPr>
          <w:p>
            <w:pPr>
              <w:pStyle w:val="1856"/>
              <w:adjustRightInd w:val="0"/>
              <w:snapToGrid w:val="0"/>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w:t>
            </w:r>
          </w:p>
        </w:tc>
        <w:tc>
          <w:tcPr>
            <w:tcW w:w="1418" w:type="dxa"/>
            <w:vAlign w:val="center"/>
          </w:tcPr>
          <w:p>
            <w:pPr>
              <w:pStyle w:val="1856"/>
              <w:adjustRightInd w:val="0"/>
              <w:snapToGrid w:val="0"/>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无组织排放</w:t>
            </w:r>
          </w:p>
        </w:tc>
        <w:tc>
          <w:tcPr>
            <w:tcW w:w="2976" w:type="dxa"/>
            <w:vMerge w:val="restart"/>
            <w:vAlign w:val="center"/>
          </w:tcPr>
          <w:p>
            <w:pPr>
              <w:pStyle w:val="1856"/>
              <w:adjustRightInd w:val="0"/>
              <w:snapToGrid w:val="0"/>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车辆怠速行驶</w:t>
            </w:r>
          </w:p>
        </w:tc>
        <w:tc>
          <w:tcPr>
            <w:tcW w:w="2138" w:type="dxa"/>
            <w:vMerge w:val="continue"/>
          </w:tcPr>
          <w:p>
            <w:pPr>
              <w:pStyle w:val="1856"/>
              <w:adjustRightInd w:val="0"/>
              <w:snapToGrid w:val="0"/>
              <w:ind w:firstLine="0" w:firstLineChars="0"/>
              <w:jc w:val="center"/>
              <w:rPr>
                <w:color w:val="000000" w:themeColor="text1"/>
                <w:sz w:val="21"/>
                <w:szCs w:val="21"/>
                <w14:textFill>
                  <w14:solidFill>
                    <w14:schemeClr w14:val="tx1"/>
                  </w14:solidFill>
                </w14:textFill>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278" w:hRule="atLeast"/>
          <w:jc w:val="center"/>
        </w:trPr>
        <w:tc>
          <w:tcPr>
            <w:tcW w:w="557" w:type="dxa"/>
            <w:vMerge w:val="continue"/>
            <w:vAlign w:val="center"/>
          </w:tcPr>
          <w:p>
            <w:pPr>
              <w:pStyle w:val="1856"/>
              <w:adjustRightInd w:val="0"/>
              <w:snapToGrid w:val="0"/>
              <w:ind w:firstLine="0" w:firstLineChars="0"/>
              <w:jc w:val="center"/>
              <w:rPr>
                <w:color w:val="000000" w:themeColor="text1"/>
                <w:sz w:val="21"/>
                <w:szCs w:val="21"/>
                <w14:textFill>
                  <w14:solidFill>
                    <w14:schemeClr w14:val="tx1"/>
                  </w14:solidFill>
                </w14:textFill>
              </w:rPr>
            </w:pPr>
          </w:p>
        </w:tc>
        <w:tc>
          <w:tcPr>
            <w:tcW w:w="708" w:type="dxa"/>
            <w:vMerge w:val="continue"/>
            <w:vAlign w:val="center"/>
          </w:tcPr>
          <w:p>
            <w:pPr>
              <w:pStyle w:val="1856"/>
              <w:adjustRightInd w:val="0"/>
              <w:snapToGrid w:val="0"/>
              <w:ind w:firstLine="0" w:firstLineChars="0"/>
              <w:jc w:val="center"/>
              <w:rPr>
                <w:color w:val="000000" w:themeColor="text1"/>
                <w:sz w:val="21"/>
                <w:szCs w:val="21"/>
                <w14:textFill>
                  <w14:solidFill>
                    <w14:schemeClr w14:val="tx1"/>
                  </w14:solidFill>
                </w14:textFill>
              </w:rPr>
            </w:pPr>
          </w:p>
        </w:tc>
        <w:tc>
          <w:tcPr>
            <w:tcW w:w="1560" w:type="dxa"/>
            <w:vAlign w:val="center"/>
          </w:tcPr>
          <w:p>
            <w:pPr>
              <w:pStyle w:val="1856"/>
              <w:adjustRightInd w:val="0"/>
              <w:snapToGrid w:val="0"/>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铺装道路扬尘</w:t>
            </w:r>
          </w:p>
        </w:tc>
        <w:tc>
          <w:tcPr>
            <w:tcW w:w="850" w:type="dxa"/>
            <w:vMerge w:val="continue"/>
            <w:vAlign w:val="center"/>
          </w:tcPr>
          <w:p>
            <w:pPr>
              <w:pStyle w:val="1856"/>
              <w:adjustRightInd w:val="0"/>
              <w:snapToGrid w:val="0"/>
              <w:ind w:firstLine="0" w:firstLineChars="0"/>
              <w:jc w:val="center"/>
              <w:rPr>
                <w:color w:val="000000" w:themeColor="text1"/>
                <w:sz w:val="21"/>
                <w:szCs w:val="21"/>
                <w14:textFill>
                  <w14:solidFill>
                    <w14:schemeClr w14:val="tx1"/>
                  </w14:solidFill>
                </w14:textFill>
              </w:rPr>
            </w:pPr>
          </w:p>
        </w:tc>
        <w:tc>
          <w:tcPr>
            <w:tcW w:w="1985" w:type="dxa"/>
            <w:vAlign w:val="center"/>
          </w:tcPr>
          <w:p>
            <w:pPr>
              <w:pStyle w:val="1856"/>
              <w:adjustRightInd w:val="0"/>
              <w:snapToGrid w:val="0"/>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TSP、PM</w:t>
            </w:r>
            <w:r>
              <w:rPr>
                <w:rFonts w:hint="eastAsia"/>
                <w:color w:val="000000" w:themeColor="text1"/>
                <w:sz w:val="21"/>
                <w:szCs w:val="21"/>
                <w:vertAlign w:val="subscript"/>
                <w14:textFill>
                  <w14:solidFill>
                    <w14:schemeClr w14:val="tx1"/>
                  </w14:solidFill>
                </w14:textFill>
              </w:rPr>
              <w:t>10</w:t>
            </w:r>
            <w:r>
              <w:rPr>
                <w:rFonts w:hint="eastAsia"/>
                <w:color w:val="000000" w:themeColor="text1"/>
                <w:sz w:val="21"/>
                <w:szCs w:val="21"/>
                <w14:textFill>
                  <w14:solidFill>
                    <w14:schemeClr w14:val="tx1"/>
                  </w14:solidFill>
                </w14:textFill>
              </w:rPr>
              <w:t>、PM</w:t>
            </w:r>
            <w:r>
              <w:rPr>
                <w:rFonts w:hint="eastAsia"/>
                <w:color w:val="000000" w:themeColor="text1"/>
                <w:sz w:val="21"/>
                <w:szCs w:val="21"/>
                <w:vertAlign w:val="subscript"/>
                <w14:textFill>
                  <w14:solidFill>
                    <w14:schemeClr w14:val="tx1"/>
                  </w14:solidFill>
                </w14:textFill>
              </w:rPr>
              <w:t>2.5</w:t>
            </w:r>
          </w:p>
        </w:tc>
        <w:tc>
          <w:tcPr>
            <w:tcW w:w="899" w:type="dxa"/>
            <w:vAlign w:val="center"/>
          </w:tcPr>
          <w:p>
            <w:pPr>
              <w:pStyle w:val="1856"/>
              <w:adjustRightInd w:val="0"/>
              <w:snapToGrid w:val="0"/>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w:t>
            </w:r>
          </w:p>
        </w:tc>
        <w:tc>
          <w:tcPr>
            <w:tcW w:w="1085" w:type="dxa"/>
            <w:vAlign w:val="center"/>
          </w:tcPr>
          <w:p>
            <w:pPr>
              <w:pStyle w:val="1856"/>
              <w:adjustRightInd w:val="0"/>
              <w:snapToGrid w:val="0"/>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w:t>
            </w:r>
          </w:p>
        </w:tc>
        <w:tc>
          <w:tcPr>
            <w:tcW w:w="1418" w:type="dxa"/>
            <w:vAlign w:val="center"/>
          </w:tcPr>
          <w:p>
            <w:pPr>
              <w:pStyle w:val="1856"/>
              <w:adjustRightInd w:val="0"/>
              <w:snapToGrid w:val="0"/>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无组织排放</w:t>
            </w:r>
          </w:p>
        </w:tc>
        <w:tc>
          <w:tcPr>
            <w:tcW w:w="2976" w:type="dxa"/>
            <w:vMerge w:val="continue"/>
            <w:vAlign w:val="center"/>
          </w:tcPr>
          <w:p>
            <w:pPr>
              <w:pStyle w:val="1856"/>
              <w:adjustRightInd w:val="0"/>
              <w:snapToGrid w:val="0"/>
              <w:ind w:firstLine="0" w:firstLineChars="0"/>
              <w:jc w:val="center"/>
              <w:rPr>
                <w:color w:val="000000" w:themeColor="text1"/>
                <w:sz w:val="21"/>
                <w:szCs w:val="21"/>
                <w14:textFill>
                  <w14:solidFill>
                    <w14:schemeClr w14:val="tx1"/>
                  </w14:solidFill>
                </w14:textFill>
              </w:rPr>
            </w:pPr>
          </w:p>
        </w:tc>
        <w:tc>
          <w:tcPr>
            <w:tcW w:w="2138" w:type="dxa"/>
            <w:vMerge w:val="continue"/>
          </w:tcPr>
          <w:p>
            <w:pPr>
              <w:pStyle w:val="1856"/>
              <w:adjustRightInd w:val="0"/>
              <w:snapToGrid w:val="0"/>
              <w:ind w:firstLine="0" w:firstLineChars="0"/>
              <w:jc w:val="center"/>
              <w:rPr>
                <w:color w:val="000000" w:themeColor="text1"/>
                <w:sz w:val="21"/>
                <w:szCs w:val="21"/>
                <w14:textFill>
                  <w14:solidFill>
                    <w14:schemeClr w14:val="tx1"/>
                  </w14:solidFill>
                </w14:textFill>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407" w:hRule="atLeast"/>
          <w:jc w:val="center"/>
        </w:trPr>
        <w:tc>
          <w:tcPr>
            <w:tcW w:w="557" w:type="dxa"/>
            <w:vMerge w:val="restart"/>
            <w:vAlign w:val="center"/>
          </w:tcPr>
          <w:p>
            <w:pPr>
              <w:pStyle w:val="1856"/>
              <w:adjustRightInd w:val="0"/>
              <w:snapToGrid w:val="0"/>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3</w:t>
            </w:r>
          </w:p>
        </w:tc>
        <w:tc>
          <w:tcPr>
            <w:tcW w:w="2268" w:type="dxa"/>
            <w:gridSpan w:val="2"/>
            <w:vMerge w:val="restart"/>
            <w:vAlign w:val="center"/>
          </w:tcPr>
          <w:p>
            <w:pPr>
              <w:pStyle w:val="1856"/>
              <w:adjustRightInd w:val="0"/>
              <w:snapToGrid w:val="0"/>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噪声</w:t>
            </w:r>
          </w:p>
        </w:tc>
        <w:tc>
          <w:tcPr>
            <w:tcW w:w="850" w:type="dxa"/>
            <w:vAlign w:val="center"/>
          </w:tcPr>
          <w:p>
            <w:pPr>
              <w:pStyle w:val="1856"/>
              <w:adjustRightInd w:val="0"/>
              <w:snapToGrid w:val="0"/>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施工期</w:t>
            </w:r>
          </w:p>
        </w:tc>
        <w:tc>
          <w:tcPr>
            <w:tcW w:w="1985" w:type="dxa"/>
            <w:vAlign w:val="center"/>
          </w:tcPr>
          <w:p>
            <w:pPr>
              <w:pStyle w:val="1856"/>
              <w:adjustRightInd w:val="0"/>
              <w:snapToGrid w:val="0"/>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w:t>
            </w:r>
          </w:p>
        </w:tc>
        <w:tc>
          <w:tcPr>
            <w:tcW w:w="899" w:type="dxa"/>
            <w:vAlign w:val="center"/>
          </w:tcPr>
          <w:p>
            <w:pPr>
              <w:pStyle w:val="1856"/>
              <w:adjustRightInd w:val="0"/>
              <w:snapToGrid w:val="0"/>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w:t>
            </w:r>
          </w:p>
        </w:tc>
        <w:tc>
          <w:tcPr>
            <w:tcW w:w="1085" w:type="dxa"/>
            <w:vAlign w:val="center"/>
          </w:tcPr>
          <w:p>
            <w:pPr>
              <w:pStyle w:val="1856"/>
              <w:adjustRightInd w:val="0"/>
              <w:snapToGrid w:val="0"/>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w:t>
            </w:r>
          </w:p>
        </w:tc>
        <w:tc>
          <w:tcPr>
            <w:tcW w:w="1418" w:type="dxa"/>
            <w:vAlign w:val="center"/>
          </w:tcPr>
          <w:p>
            <w:pPr>
              <w:pStyle w:val="1856"/>
              <w:adjustRightInd w:val="0"/>
              <w:snapToGrid w:val="0"/>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w:t>
            </w:r>
          </w:p>
        </w:tc>
        <w:tc>
          <w:tcPr>
            <w:tcW w:w="2976" w:type="dxa"/>
            <w:vAlign w:val="center"/>
          </w:tcPr>
          <w:p>
            <w:pPr>
              <w:pStyle w:val="1856"/>
              <w:adjustRightInd w:val="0"/>
              <w:snapToGrid w:val="0"/>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降噪措施</w:t>
            </w:r>
          </w:p>
        </w:tc>
        <w:tc>
          <w:tcPr>
            <w:tcW w:w="2138" w:type="dxa"/>
            <w:vMerge w:val="restart"/>
          </w:tcPr>
          <w:p>
            <w:pPr>
              <w:pStyle w:val="1856"/>
              <w:adjustRightInd w:val="0"/>
              <w:snapToGrid w:val="0"/>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《声环境质量标准》（GB3096-2008）中3类标准</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557" w:type="dxa"/>
            <w:vMerge w:val="continue"/>
            <w:vAlign w:val="center"/>
          </w:tcPr>
          <w:p>
            <w:pPr>
              <w:pStyle w:val="1856"/>
              <w:adjustRightInd w:val="0"/>
              <w:snapToGrid w:val="0"/>
              <w:ind w:firstLine="0" w:firstLineChars="0"/>
              <w:jc w:val="center"/>
              <w:rPr>
                <w:color w:val="000000" w:themeColor="text1"/>
                <w:sz w:val="21"/>
                <w:szCs w:val="21"/>
                <w14:textFill>
                  <w14:solidFill>
                    <w14:schemeClr w14:val="tx1"/>
                  </w14:solidFill>
                </w14:textFill>
              </w:rPr>
            </w:pPr>
          </w:p>
        </w:tc>
        <w:tc>
          <w:tcPr>
            <w:tcW w:w="2268" w:type="dxa"/>
            <w:gridSpan w:val="2"/>
            <w:vMerge w:val="continue"/>
            <w:vAlign w:val="center"/>
          </w:tcPr>
          <w:p>
            <w:pPr>
              <w:pStyle w:val="1856"/>
              <w:adjustRightInd w:val="0"/>
              <w:snapToGrid w:val="0"/>
              <w:ind w:firstLine="0" w:firstLineChars="0"/>
              <w:jc w:val="center"/>
              <w:rPr>
                <w:color w:val="000000" w:themeColor="text1"/>
                <w:sz w:val="21"/>
                <w:szCs w:val="21"/>
                <w14:textFill>
                  <w14:solidFill>
                    <w14:schemeClr w14:val="tx1"/>
                  </w14:solidFill>
                </w14:textFill>
              </w:rPr>
            </w:pPr>
          </w:p>
        </w:tc>
        <w:tc>
          <w:tcPr>
            <w:tcW w:w="850" w:type="dxa"/>
            <w:vAlign w:val="center"/>
          </w:tcPr>
          <w:p>
            <w:pPr>
              <w:pStyle w:val="1856"/>
              <w:adjustRightInd w:val="0"/>
              <w:snapToGrid w:val="0"/>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运营期</w:t>
            </w:r>
          </w:p>
        </w:tc>
        <w:tc>
          <w:tcPr>
            <w:tcW w:w="1985" w:type="dxa"/>
            <w:vAlign w:val="center"/>
          </w:tcPr>
          <w:p>
            <w:pPr>
              <w:pStyle w:val="1856"/>
              <w:adjustRightInd w:val="0"/>
              <w:snapToGrid w:val="0"/>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w:t>
            </w:r>
          </w:p>
        </w:tc>
        <w:tc>
          <w:tcPr>
            <w:tcW w:w="899" w:type="dxa"/>
            <w:vAlign w:val="center"/>
          </w:tcPr>
          <w:p>
            <w:pPr>
              <w:pStyle w:val="1856"/>
              <w:adjustRightInd w:val="0"/>
              <w:snapToGrid w:val="0"/>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w:t>
            </w:r>
          </w:p>
        </w:tc>
        <w:tc>
          <w:tcPr>
            <w:tcW w:w="1085" w:type="dxa"/>
            <w:vAlign w:val="center"/>
          </w:tcPr>
          <w:p>
            <w:pPr>
              <w:pStyle w:val="1856"/>
              <w:adjustRightInd w:val="0"/>
              <w:snapToGrid w:val="0"/>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w:t>
            </w:r>
          </w:p>
        </w:tc>
        <w:tc>
          <w:tcPr>
            <w:tcW w:w="1418" w:type="dxa"/>
            <w:vAlign w:val="center"/>
          </w:tcPr>
          <w:p>
            <w:pPr>
              <w:pStyle w:val="1856"/>
              <w:adjustRightInd w:val="0"/>
              <w:snapToGrid w:val="0"/>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w:t>
            </w:r>
          </w:p>
        </w:tc>
        <w:tc>
          <w:tcPr>
            <w:tcW w:w="2976" w:type="dxa"/>
            <w:vAlign w:val="center"/>
          </w:tcPr>
          <w:p>
            <w:pPr>
              <w:pStyle w:val="1856"/>
              <w:adjustRightInd w:val="0"/>
              <w:snapToGrid w:val="0"/>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降噪措施</w:t>
            </w:r>
          </w:p>
        </w:tc>
        <w:tc>
          <w:tcPr>
            <w:tcW w:w="2138" w:type="dxa"/>
            <w:vMerge w:val="continue"/>
          </w:tcPr>
          <w:p>
            <w:pPr>
              <w:pStyle w:val="1856"/>
              <w:adjustRightInd w:val="0"/>
              <w:snapToGrid w:val="0"/>
              <w:ind w:firstLine="0" w:firstLineChars="0"/>
              <w:jc w:val="center"/>
              <w:rPr>
                <w:color w:val="000000" w:themeColor="text1"/>
                <w:sz w:val="21"/>
                <w:szCs w:val="21"/>
                <w14:textFill>
                  <w14:solidFill>
                    <w14:schemeClr w14:val="tx1"/>
                  </w14:solidFill>
                </w14:textFill>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163" w:hRule="atLeast"/>
          <w:jc w:val="center"/>
        </w:trPr>
        <w:tc>
          <w:tcPr>
            <w:tcW w:w="557" w:type="dxa"/>
            <w:vMerge w:val="restart"/>
            <w:vAlign w:val="center"/>
          </w:tcPr>
          <w:p>
            <w:pPr>
              <w:pStyle w:val="1856"/>
              <w:adjustRightInd w:val="0"/>
              <w:snapToGrid w:val="0"/>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4</w:t>
            </w:r>
          </w:p>
        </w:tc>
        <w:tc>
          <w:tcPr>
            <w:tcW w:w="2268" w:type="dxa"/>
            <w:gridSpan w:val="2"/>
            <w:vMerge w:val="restart"/>
            <w:vAlign w:val="center"/>
          </w:tcPr>
          <w:p>
            <w:pPr>
              <w:pStyle w:val="1856"/>
              <w:adjustRightInd w:val="0"/>
              <w:snapToGrid w:val="0"/>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固体废物</w:t>
            </w:r>
          </w:p>
        </w:tc>
        <w:tc>
          <w:tcPr>
            <w:tcW w:w="850" w:type="dxa"/>
            <w:vMerge w:val="restart"/>
            <w:vAlign w:val="center"/>
          </w:tcPr>
          <w:p>
            <w:pPr>
              <w:pStyle w:val="1856"/>
              <w:adjustRightInd w:val="0"/>
              <w:snapToGrid w:val="0"/>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施工期</w:t>
            </w:r>
          </w:p>
        </w:tc>
        <w:tc>
          <w:tcPr>
            <w:tcW w:w="1985" w:type="dxa"/>
            <w:vMerge w:val="restart"/>
            <w:vAlign w:val="center"/>
          </w:tcPr>
          <w:p>
            <w:pPr>
              <w:pStyle w:val="1856"/>
              <w:adjustRightInd w:val="0"/>
              <w:snapToGrid w:val="0"/>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疏浚物</w:t>
            </w:r>
          </w:p>
        </w:tc>
        <w:tc>
          <w:tcPr>
            <w:tcW w:w="899" w:type="dxa"/>
            <w:vMerge w:val="restart"/>
            <w:vAlign w:val="center"/>
          </w:tcPr>
          <w:p>
            <w:pPr>
              <w:pStyle w:val="1856"/>
              <w:adjustRightInd w:val="0"/>
              <w:snapToGrid w:val="0"/>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204.7万m</w:t>
            </w:r>
            <w:r>
              <w:rPr>
                <w:rFonts w:hint="eastAsia"/>
                <w:color w:val="000000" w:themeColor="text1"/>
                <w:sz w:val="21"/>
                <w:szCs w:val="21"/>
                <w:vertAlign w:val="superscript"/>
                <w14:textFill>
                  <w14:solidFill>
                    <w14:schemeClr w14:val="tx1"/>
                  </w14:solidFill>
                </w14:textFill>
              </w:rPr>
              <w:t>3</w:t>
            </w:r>
          </w:p>
        </w:tc>
        <w:tc>
          <w:tcPr>
            <w:tcW w:w="1085" w:type="dxa"/>
            <w:vAlign w:val="center"/>
          </w:tcPr>
          <w:p>
            <w:pPr>
              <w:pStyle w:val="1856"/>
              <w:adjustRightInd w:val="0"/>
              <w:snapToGrid w:val="0"/>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w:t>
            </w:r>
          </w:p>
        </w:tc>
        <w:tc>
          <w:tcPr>
            <w:tcW w:w="1418" w:type="dxa"/>
            <w:vAlign w:val="center"/>
          </w:tcPr>
          <w:p>
            <w:pPr>
              <w:pStyle w:val="1856"/>
              <w:adjustRightInd w:val="0"/>
              <w:snapToGrid w:val="0"/>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123.4万m</w:t>
            </w:r>
            <w:r>
              <w:rPr>
                <w:rFonts w:hint="eastAsia"/>
                <w:color w:val="000000" w:themeColor="text1"/>
                <w:sz w:val="21"/>
                <w:szCs w:val="21"/>
                <w:vertAlign w:val="superscript"/>
                <w14:textFill>
                  <w14:solidFill>
                    <w14:schemeClr w14:val="tx1"/>
                  </w14:solidFill>
                </w14:textFill>
              </w:rPr>
              <w:t>3</w:t>
            </w:r>
          </w:p>
        </w:tc>
        <w:tc>
          <w:tcPr>
            <w:tcW w:w="2976" w:type="dxa"/>
            <w:vAlign w:val="center"/>
          </w:tcPr>
          <w:p>
            <w:pPr>
              <w:pStyle w:val="1856"/>
              <w:adjustRightInd w:val="0"/>
              <w:snapToGrid w:val="0"/>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抛泥至海洋倾倒区B区</w:t>
            </w:r>
          </w:p>
        </w:tc>
        <w:tc>
          <w:tcPr>
            <w:tcW w:w="2138" w:type="dxa"/>
            <w:vAlign w:val="center"/>
          </w:tcPr>
          <w:p>
            <w:pPr>
              <w:pStyle w:val="1856"/>
              <w:adjustRightInd w:val="0"/>
              <w:snapToGrid w:val="0"/>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309" w:hRule="atLeast"/>
          <w:jc w:val="center"/>
        </w:trPr>
        <w:tc>
          <w:tcPr>
            <w:tcW w:w="557" w:type="dxa"/>
            <w:vMerge w:val="continue"/>
            <w:vAlign w:val="center"/>
          </w:tcPr>
          <w:p>
            <w:pPr>
              <w:pStyle w:val="1856"/>
              <w:adjustRightInd w:val="0"/>
              <w:snapToGrid w:val="0"/>
              <w:ind w:firstLine="0" w:firstLineChars="0"/>
              <w:jc w:val="center"/>
              <w:rPr>
                <w:color w:val="000000" w:themeColor="text1"/>
                <w:sz w:val="21"/>
                <w:szCs w:val="21"/>
                <w14:textFill>
                  <w14:solidFill>
                    <w14:schemeClr w14:val="tx1"/>
                  </w14:solidFill>
                </w14:textFill>
              </w:rPr>
            </w:pPr>
          </w:p>
        </w:tc>
        <w:tc>
          <w:tcPr>
            <w:tcW w:w="2268" w:type="dxa"/>
            <w:gridSpan w:val="2"/>
            <w:vMerge w:val="continue"/>
            <w:vAlign w:val="center"/>
          </w:tcPr>
          <w:p>
            <w:pPr>
              <w:pStyle w:val="1856"/>
              <w:adjustRightInd w:val="0"/>
              <w:snapToGrid w:val="0"/>
              <w:ind w:firstLine="0" w:firstLineChars="0"/>
              <w:jc w:val="center"/>
              <w:rPr>
                <w:color w:val="000000" w:themeColor="text1"/>
                <w:sz w:val="21"/>
                <w:szCs w:val="21"/>
                <w14:textFill>
                  <w14:solidFill>
                    <w14:schemeClr w14:val="tx1"/>
                  </w14:solidFill>
                </w14:textFill>
              </w:rPr>
            </w:pPr>
          </w:p>
        </w:tc>
        <w:tc>
          <w:tcPr>
            <w:tcW w:w="850" w:type="dxa"/>
            <w:vMerge w:val="continue"/>
            <w:vAlign w:val="center"/>
          </w:tcPr>
          <w:p>
            <w:pPr>
              <w:pStyle w:val="1856"/>
              <w:adjustRightInd w:val="0"/>
              <w:snapToGrid w:val="0"/>
              <w:ind w:firstLine="0" w:firstLineChars="0"/>
              <w:jc w:val="center"/>
              <w:rPr>
                <w:color w:val="000000" w:themeColor="text1"/>
                <w:sz w:val="21"/>
                <w:szCs w:val="21"/>
                <w14:textFill>
                  <w14:solidFill>
                    <w14:schemeClr w14:val="tx1"/>
                  </w14:solidFill>
                </w14:textFill>
              </w:rPr>
            </w:pPr>
          </w:p>
        </w:tc>
        <w:tc>
          <w:tcPr>
            <w:tcW w:w="1985" w:type="dxa"/>
            <w:vMerge w:val="continue"/>
            <w:vAlign w:val="center"/>
          </w:tcPr>
          <w:p>
            <w:pPr>
              <w:pStyle w:val="1856"/>
              <w:adjustRightInd w:val="0"/>
              <w:snapToGrid w:val="0"/>
              <w:ind w:firstLine="0" w:firstLineChars="0"/>
              <w:jc w:val="center"/>
              <w:rPr>
                <w:color w:val="000000" w:themeColor="text1"/>
                <w:sz w:val="21"/>
                <w:szCs w:val="21"/>
                <w14:textFill>
                  <w14:solidFill>
                    <w14:schemeClr w14:val="tx1"/>
                  </w14:solidFill>
                </w14:textFill>
              </w:rPr>
            </w:pPr>
          </w:p>
        </w:tc>
        <w:tc>
          <w:tcPr>
            <w:tcW w:w="899" w:type="dxa"/>
            <w:vMerge w:val="continue"/>
            <w:vAlign w:val="center"/>
          </w:tcPr>
          <w:p>
            <w:pPr>
              <w:pStyle w:val="1856"/>
              <w:adjustRightInd w:val="0"/>
              <w:snapToGrid w:val="0"/>
              <w:ind w:firstLine="0" w:firstLineChars="0"/>
              <w:jc w:val="center"/>
              <w:rPr>
                <w:color w:val="000000" w:themeColor="text1"/>
                <w:sz w:val="21"/>
                <w:szCs w:val="21"/>
                <w14:textFill>
                  <w14:solidFill>
                    <w14:schemeClr w14:val="tx1"/>
                  </w14:solidFill>
                </w14:textFill>
              </w:rPr>
            </w:pPr>
          </w:p>
        </w:tc>
        <w:tc>
          <w:tcPr>
            <w:tcW w:w="1085" w:type="dxa"/>
            <w:vAlign w:val="center"/>
          </w:tcPr>
          <w:p>
            <w:pPr>
              <w:pStyle w:val="1856"/>
              <w:adjustRightInd w:val="0"/>
              <w:snapToGrid w:val="0"/>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w:t>
            </w:r>
          </w:p>
        </w:tc>
        <w:tc>
          <w:tcPr>
            <w:tcW w:w="1418" w:type="dxa"/>
            <w:vAlign w:val="center"/>
          </w:tcPr>
          <w:p>
            <w:pPr>
              <w:pStyle w:val="1856"/>
              <w:adjustRightInd w:val="0"/>
              <w:snapToGrid w:val="0"/>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lang w:val="en-US"/>
                <w14:textFill>
                  <w14:solidFill>
                    <w14:schemeClr w14:val="tx1"/>
                  </w14:solidFill>
                </w14:textFill>
              </w:rPr>
              <w:t>81.3万</w:t>
            </w:r>
            <w:r>
              <w:rPr>
                <w:color w:val="000000" w:themeColor="text1"/>
                <w:sz w:val="21"/>
                <w:szCs w:val="21"/>
                <w:lang w:val="en-US"/>
                <w14:textFill>
                  <w14:solidFill>
                    <w14:schemeClr w14:val="tx1"/>
                  </w14:solidFill>
                </w14:textFill>
              </w:rPr>
              <w:t>m</w:t>
            </w:r>
            <w:r>
              <w:rPr>
                <w:color w:val="000000" w:themeColor="text1"/>
                <w:sz w:val="21"/>
                <w:szCs w:val="21"/>
                <w:vertAlign w:val="superscript"/>
                <w:lang w:val="en-US"/>
                <w14:textFill>
                  <w14:solidFill>
                    <w14:schemeClr w14:val="tx1"/>
                  </w14:solidFill>
                </w14:textFill>
              </w:rPr>
              <w:t>3</w:t>
            </w:r>
          </w:p>
        </w:tc>
        <w:tc>
          <w:tcPr>
            <w:tcW w:w="2976" w:type="dxa"/>
            <w:vAlign w:val="center"/>
          </w:tcPr>
          <w:p>
            <w:pPr>
              <w:pStyle w:val="1856"/>
              <w:adjustRightInd w:val="0"/>
              <w:snapToGrid w:val="0"/>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吹填于后方昊鼎物流配送中心项目陆域形成</w:t>
            </w:r>
          </w:p>
        </w:tc>
        <w:tc>
          <w:tcPr>
            <w:tcW w:w="2138" w:type="dxa"/>
            <w:vAlign w:val="center"/>
          </w:tcPr>
          <w:p>
            <w:pPr>
              <w:pStyle w:val="1856"/>
              <w:adjustRightInd w:val="0"/>
              <w:snapToGrid w:val="0"/>
              <w:ind w:firstLine="0" w:firstLineChars="0"/>
              <w:jc w:val="center"/>
              <w:rPr>
                <w:color w:val="000000" w:themeColor="text1"/>
                <w:sz w:val="21"/>
                <w:szCs w:val="21"/>
                <w14:textFill>
                  <w14:solidFill>
                    <w14:schemeClr w14:val="tx1"/>
                  </w14:solidFill>
                </w14:textFill>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557" w:type="dxa"/>
            <w:vMerge w:val="continue"/>
            <w:vAlign w:val="center"/>
          </w:tcPr>
          <w:p>
            <w:pPr>
              <w:pStyle w:val="1856"/>
              <w:adjustRightInd w:val="0"/>
              <w:snapToGrid w:val="0"/>
              <w:ind w:firstLine="0" w:firstLineChars="0"/>
              <w:jc w:val="center"/>
              <w:rPr>
                <w:color w:val="000000" w:themeColor="text1"/>
                <w:sz w:val="21"/>
                <w:szCs w:val="21"/>
                <w14:textFill>
                  <w14:solidFill>
                    <w14:schemeClr w14:val="tx1"/>
                  </w14:solidFill>
                </w14:textFill>
              </w:rPr>
            </w:pPr>
          </w:p>
        </w:tc>
        <w:tc>
          <w:tcPr>
            <w:tcW w:w="2268" w:type="dxa"/>
            <w:gridSpan w:val="2"/>
            <w:vMerge w:val="continue"/>
            <w:vAlign w:val="center"/>
          </w:tcPr>
          <w:p>
            <w:pPr>
              <w:pStyle w:val="1856"/>
              <w:adjustRightInd w:val="0"/>
              <w:snapToGrid w:val="0"/>
              <w:ind w:firstLine="0" w:firstLineChars="0"/>
              <w:jc w:val="center"/>
              <w:rPr>
                <w:color w:val="000000" w:themeColor="text1"/>
                <w:sz w:val="21"/>
                <w:szCs w:val="21"/>
                <w14:textFill>
                  <w14:solidFill>
                    <w14:schemeClr w14:val="tx1"/>
                  </w14:solidFill>
                </w14:textFill>
              </w:rPr>
            </w:pPr>
          </w:p>
        </w:tc>
        <w:tc>
          <w:tcPr>
            <w:tcW w:w="850" w:type="dxa"/>
            <w:vMerge w:val="continue"/>
            <w:vAlign w:val="center"/>
          </w:tcPr>
          <w:p>
            <w:pPr>
              <w:pStyle w:val="1856"/>
              <w:adjustRightInd w:val="0"/>
              <w:snapToGrid w:val="0"/>
              <w:ind w:firstLine="0" w:firstLineChars="0"/>
              <w:jc w:val="center"/>
              <w:rPr>
                <w:color w:val="000000" w:themeColor="text1"/>
                <w:sz w:val="21"/>
                <w:szCs w:val="21"/>
                <w14:textFill>
                  <w14:solidFill>
                    <w14:schemeClr w14:val="tx1"/>
                  </w14:solidFill>
                </w14:textFill>
              </w:rPr>
            </w:pPr>
          </w:p>
        </w:tc>
        <w:tc>
          <w:tcPr>
            <w:tcW w:w="1985" w:type="dxa"/>
            <w:vAlign w:val="center"/>
          </w:tcPr>
          <w:p>
            <w:pPr>
              <w:pStyle w:val="1856"/>
              <w:adjustRightInd w:val="0"/>
              <w:snapToGrid w:val="0"/>
              <w:ind w:firstLine="0" w:firstLineChars="0"/>
              <w:jc w:val="center"/>
              <w:rPr>
                <w:color w:val="000000" w:themeColor="text1"/>
                <w:sz w:val="21"/>
                <w:szCs w:val="21"/>
                <w:u w:val="single"/>
                <w14:textFill>
                  <w14:solidFill>
                    <w14:schemeClr w14:val="tx1"/>
                  </w14:solidFill>
                </w14:textFill>
              </w:rPr>
            </w:pPr>
            <w:r>
              <w:rPr>
                <w:color w:val="000000" w:themeColor="text1"/>
                <w:sz w:val="21"/>
                <w:szCs w:val="21"/>
                <w:u w:val="single"/>
                <w14:textFill>
                  <w14:solidFill>
                    <w14:schemeClr w14:val="tx1"/>
                  </w14:solidFill>
                </w14:textFill>
              </w:rPr>
              <w:t>船舶生活垃圾</w:t>
            </w:r>
          </w:p>
        </w:tc>
        <w:tc>
          <w:tcPr>
            <w:tcW w:w="899" w:type="dxa"/>
            <w:vAlign w:val="center"/>
          </w:tcPr>
          <w:p>
            <w:pPr>
              <w:pStyle w:val="1856"/>
              <w:adjustRightInd w:val="0"/>
              <w:snapToGrid w:val="0"/>
              <w:ind w:firstLine="0" w:firstLineChars="0"/>
              <w:jc w:val="center"/>
              <w:rPr>
                <w:color w:val="000000" w:themeColor="text1"/>
                <w:sz w:val="21"/>
                <w:szCs w:val="21"/>
                <w:u w:val="single"/>
                <w14:textFill>
                  <w14:solidFill>
                    <w14:schemeClr w14:val="tx1"/>
                  </w14:solidFill>
                </w14:textFill>
              </w:rPr>
            </w:pPr>
            <w:r>
              <w:rPr>
                <w:color w:val="000000" w:themeColor="text1"/>
                <w:sz w:val="21"/>
                <w:szCs w:val="21"/>
                <w:u w:val="single"/>
                <w14:textFill>
                  <w14:solidFill>
                    <w14:schemeClr w14:val="tx1"/>
                  </w14:solidFill>
                </w14:textFill>
              </w:rPr>
              <w:t>17.0</w:t>
            </w:r>
            <w:r>
              <w:rPr>
                <w:rFonts w:hint="eastAsia"/>
                <w:color w:val="000000" w:themeColor="text1"/>
                <w:sz w:val="21"/>
                <w:szCs w:val="21"/>
                <w:u w:val="single"/>
                <w14:textFill>
                  <w14:solidFill>
                    <w14:schemeClr w14:val="tx1"/>
                  </w14:solidFill>
                </w14:textFill>
              </w:rPr>
              <w:t>t</w:t>
            </w:r>
          </w:p>
        </w:tc>
        <w:tc>
          <w:tcPr>
            <w:tcW w:w="1085" w:type="dxa"/>
            <w:vAlign w:val="center"/>
          </w:tcPr>
          <w:p>
            <w:pPr>
              <w:pStyle w:val="1856"/>
              <w:adjustRightInd w:val="0"/>
              <w:snapToGrid w:val="0"/>
              <w:ind w:firstLine="0" w:firstLineChars="0"/>
              <w:jc w:val="center"/>
              <w:rPr>
                <w:color w:val="000000" w:themeColor="text1"/>
                <w:sz w:val="21"/>
                <w:szCs w:val="21"/>
                <w:u w:val="single"/>
                <w14:textFill>
                  <w14:solidFill>
                    <w14:schemeClr w14:val="tx1"/>
                  </w14:solidFill>
                </w14:textFill>
              </w:rPr>
            </w:pPr>
            <w:r>
              <w:rPr>
                <w:rFonts w:hint="eastAsia"/>
                <w:color w:val="000000" w:themeColor="text1"/>
                <w:sz w:val="21"/>
                <w:szCs w:val="21"/>
                <w:u w:val="single"/>
                <w14:textFill>
                  <w14:solidFill>
                    <w14:schemeClr w14:val="tx1"/>
                  </w14:solidFill>
                </w14:textFill>
              </w:rPr>
              <w:t>/</w:t>
            </w:r>
          </w:p>
        </w:tc>
        <w:tc>
          <w:tcPr>
            <w:tcW w:w="1418" w:type="dxa"/>
            <w:vAlign w:val="center"/>
          </w:tcPr>
          <w:p>
            <w:pPr>
              <w:pStyle w:val="1856"/>
              <w:adjustRightInd w:val="0"/>
              <w:snapToGrid w:val="0"/>
              <w:ind w:firstLine="0" w:firstLineChars="0"/>
              <w:jc w:val="center"/>
              <w:rPr>
                <w:color w:val="000000" w:themeColor="text1"/>
                <w:sz w:val="21"/>
                <w:szCs w:val="21"/>
                <w:u w:val="single"/>
                <w14:textFill>
                  <w14:solidFill>
                    <w14:schemeClr w14:val="tx1"/>
                  </w14:solidFill>
                </w14:textFill>
              </w:rPr>
            </w:pPr>
            <w:r>
              <w:rPr>
                <w:color w:val="000000" w:themeColor="text1"/>
                <w:sz w:val="21"/>
                <w:szCs w:val="21"/>
                <w:u w:val="single"/>
                <w14:textFill>
                  <w14:solidFill>
                    <w14:schemeClr w14:val="tx1"/>
                  </w14:solidFill>
                </w14:textFill>
              </w:rPr>
              <w:t>17.0</w:t>
            </w:r>
            <w:r>
              <w:rPr>
                <w:rFonts w:hint="eastAsia"/>
                <w:color w:val="000000" w:themeColor="text1"/>
                <w:sz w:val="21"/>
                <w:szCs w:val="21"/>
                <w:u w:val="single"/>
                <w14:textFill>
                  <w14:solidFill>
                    <w14:schemeClr w14:val="tx1"/>
                  </w14:solidFill>
                </w14:textFill>
              </w:rPr>
              <w:t>t</w:t>
            </w:r>
          </w:p>
        </w:tc>
        <w:tc>
          <w:tcPr>
            <w:tcW w:w="2976" w:type="dxa"/>
            <w:vAlign w:val="center"/>
          </w:tcPr>
          <w:p>
            <w:pPr>
              <w:pStyle w:val="1856"/>
              <w:adjustRightInd w:val="0"/>
              <w:snapToGrid w:val="0"/>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固定接收船接收上岸处理</w:t>
            </w:r>
          </w:p>
        </w:tc>
        <w:tc>
          <w:tcPr>
            <w:tcW w:w="2138" w:type="dxa"/>
          </w:tcPr>
          <w:p>
            <w:pPr>
              <w:pStyle w:val="1856"/>
              <w:adjustRightInd w:val="0"/>
              <w:snapToGrid w:val="0"/>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557" w:type="dxa"/>
            <w:vMerge w:val="continue"/>
            <w:vAlign w:val="center"/>
          </w:tcPr>
          <w:p>
            <w:pPr>
              <w:pStyle w:val="1856"/>
              <w:adjustRightInd w:val="0"/>
              <w:snapToGrid w:val="0"/>
              <w:ind w:firstLine="0" w:firstLineChars="0"/>
              <w:jc w:val="center"/>
              <w:rPr>
                <w:color w:val="000000" w:themeColor="text1"/>
                <w:sz w:val="21"/>
                <w:szCs w:val="21"/>
                <w14:textFill>
                  <w14:solidFill>
                    <w14:schemeClr w14:val="tx1"/>
                  </w14:solidFill>
                </w14:textFill>
              </w:rPr>
            </w:pPr>
          </w:p>
        </w:tc>
        <w:tc>
          <w:tcPr>
            <w:tcW w:w="2268" w:type="dxa"/>
            <w:gridSpan w:val="2"/>
            <w:vMerge w:val="continue"/>
            <w:vAlign w:val="center"/>
          </w:tcPr>
          <w:p>
            <w:pPr>
              <w:pStyle w:val="1856"/>
              <w:adjustRightInd w:val="0"/>
              <w:snapToGrid w:val="0"/>
              <w:ind w:firstLine="0" w:firstLineChars="0"/>
              <w:jc w:val="center"/>
              <w:rPr>
                <w:color w:val="000000" w:themeColor="text1"/>
                <w:sz w:val="21"/>
                <w:szCs w:val="21"/>
                <w14:textFill>
                  <w14:solidFill>
                    <w14:schemeClr w14:val="tx1"/>
                  </w14:solidFill>
                </w14:textFill>
              </w:rPr>
            </w:pPr>
          </w:p>
        </w:tc>
        <w:tc>
          <w:tcPr>
            <w:tcW w:w="850" w:type="dxa"/>
            <w:vMerge w:val="restart"/>
            <w:vAlign w:val="center"/>
          </w:tcPr>
          <w:p>
            <w:pPr>
              <w:pStyle w:val="1856"/>
              <w:adjustRightInd w:val="0"/>
              <w:snapToGrid w:val="0"/>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运营期</w:t>
            </w:r>
          </w:p>
        </w:tc>
        <w:tc>
          <w:tcPr>
            <w:tcW w:w="1985" w:type="dxa"/>
            <w:vAlign w:val="center"/>
          </w:tcPr>
          <w:p>
            <w:pPr>
              <w:pStyle w:val="1856"/>
              <w:adjustRightInd w:val="0"/>
              <w:snapToGrid w:val="0"/>
              <w:ind w:firstLine="0" w:firstLineChars="0"/>
              <w:jc w:val="center"/>
              <w:rPr>
                <w:color w:val="000000" w:themeColor="text1"/>
                <w:sz w:val="21"/>
                <w:szCs w:val="21"/>
                <w14:textFill>
                  <w14:solidFill>
                    <w14:schemeClr w14:val="tx1"/>
                  </w14:solidFill>
                </w14:textFill>
              </w:rPr>
            </w:pPr>
            <w:r>
              <w:rPr>
                <w:snapToGrid w:val="0"/>
                <w:color w:val="000000" w:themeColor="text1"/>
                <w:sz w:val="21"/>
                <w:szCs w:val="21"/>
                <w14:textFill>
                  <w14:solidFill>
                    <w14:schemeClr w14:val="tx1"/>
                  </w14:solidFill>
                </w14:textFill>
              </w:rPr>
              <w:t>到港船舶生活垃圾</w:t>
            </w:r>
          </w:p>
        </w:tc>
        <w:tc>
          <w:tcPr>
            <w:tcW w:w="899" w:type="dxa"/>
          </w:tcPr>
          <w:p>
            <w:pPr>
              <w:pStyle w:val="1856"/>
              <w:adjustRightInd w:val="0"/>
              <w:snapToGrid w:val="0"/>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7.43t/a</w:t>
            </w:r>
          </w:p>
        </w:tc>
        <w:tc>
          <w:tcPr>
            <w:tcW w:w="1085" w:type="dxa"/>
          </w:tcPr>
          <w:p>
            <w:pPr>
              <w:pStyle w:val="1856"/>
              <w:adjustRightInd w:val="0"/>
              <w:snapToGrid w:val="0"/>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w:t>
            </w:r>
          </w:p>
        </w:tc>
        <w:tc>
          <w:tcPr>
            <w:tcW w:w="1418" w:type="dxa"/>
          </w:tcPr>
          <w:p>
            <w:pPr>
              <w:pStyle w:val="1856"/>
              <w:adjustRightInd w:val="0"/>
              <w:snapToGrid w:val="0"/>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7.43t/a</w:t>
            </w:r>
          </w:p>
        </w:tc>
        <w:tc>
          <w:tcPr>
            <w:tcW w:w="2976" w:type="dxa"/>
            <w:vAlign w:val="center"/>
          </w:tcPr>
          <w:p>
            <w:pPr>
              <w:pStyle w:val="1856"/>
              <w:adjustRightInd w:val="0"/>
              <w:snapToGrid w:val="0"/>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固定接收船</w:t>
            </w:r>
            <w:r>
              <w:rPr>
                <w:rFonts w:hint="eastAsia"/>
                <w:color w:val="000000" w:themeColor="text1"/>
                <w:sz w:val="21"/>
                <w:szCs w:val="21"/>
                <w14:textFill>
                  <w14:solidFill>
                    <w14:schemeClr w14:val="tx1"/>
                  </w14:solidFill>
                </w14:textFill>
              </w:rPr>
              <w:t>接收</w:t>
            </w:r>
            <w:r>
              <w:rPr>
                <w:color w:val="000000" w:themeColor="text1"/>
                <w:sz w:val="21"/>
                <w:szCs w:val="21"/>
                <w14:textFill>
                  <w14:solidFill>
                    <w14:schemeClr w14:val="tx1"/>
                  </w14:solidFill>
                </w14:textFill>
              </w:rPr>
              <w:t>上岸处理</w:t>
            </w:r>
          </w:p>
        </w:tc>
        <w:tc>
          <w:tcPr>
            <w:tcW w:w="2138" w:type="dxa"/>
          </w:tcPr>
          <w:p>
            <w:pPr>
              <w:pStyle w:val="1856"/>
              <w:adjustRightInd w:val="0"/>
              <w:snapToGrid w:val="0"/>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557" w:type="dxa"/>
            <w:vMerge w:val="continue"/>
            <w:vAlign w:val="center"/>
          </w:tcPr>
          <w:p>
            <w:pPr>
              <w:pStyle w:val="1856"/>
              <w:adjustRightInd w:val="0"/>
              <w:snapToGrid w:val="0"/>
              <w:ind w:firstLine="0" w:firstLineChars="0"/>
              <w:jc w:val="center"/>
              <w:rPr>
                <w:color w:val="000000" w:themeColor="text1"/>
                <w:sz w:val="21"/>
                <w:szCs w:val="21"/>
                <w14:textFill>
                  <w14:solidFill>
                    <w14:schemeClr w14:val="tx1"/>
                  </w14:solidFill>
                </w14:textFill>
              </w:rPr>
            </w:pPr>
          </w:p>
        </w:tc>
        <w:tc>
          <w:tcPr>
            <w:tcW w:w="2268" w:type="dxa"/>
            <w:gridSpan w:val="2"/>
            <w:vMerge w:val="continue"/>
            <w:vAlign w:val="center"/>
          </w:tcPr>
          <w:p>
            <w:pPr>
              <w:pStyle w:val="1856"/>
              <w:adjustRightInd w:val="0"/>
              <w:snapToGrid w:val="0"/>
              <w:ind w:firstLine="0" w:firstLineChars="0"/>
              <w:jc w:val="center"/>
              <w:rPr>
                <w:color w:val="000000" w:themeColor="text1"/>
                <w:sz w:val="21"/>
                <w:szCs w:val="21"/>
                <w14:textFill>
                  <w14:solidFill>
                    <w14:schemeClr w14:val="tx1"/>
                  </w14:solidFill>
                </w14:textFill>
              </w:rPr>
            </w:pPr>
          </w:p>
        </w:tc>
        <w:tc>
          <w:tcPr>
            <w:tcW w:w="850" w:type="dxa"/>
            <w:vMerge w:val="continue"/>
            <w:vAlign w:val="center"/>
          </w:tcPr>
          <w:p>
            <w:pPr>
              <w:pStyle w:val="1856"/>
              <w:adjustRightInd w:val="0"/>
              <w:snapToGrid w:val="0"/>
              <w:ind w:firstLine="0" w:firstLineChars="0"/>
              <w:jc w:val="center"/>
              <w:rPr>
                <w:color w:val="000000" w:themeColor="text1"/>
                <w:sz w:val="21"/>
                <w:szCs w:val="21"/>
                <w14:textFill>
                  <w14:solidFill>
                    <w14:schemeClr w14:val="tx1"/>
                  </w14:solidFill>
                </w14:textFill>
              </w:rPr>
            </w:pPr>
          </w:p>
        </w:tc>
        <w:tc>
          <w:tcPr>
            <w:tcW w:w="1985" w:type="dxa"/>
            <w:vAlign w:val="center"/>
          </w:tcPr>
          <w:p>
            <w:pPr>
              <w:pStyle w:val="1856"/>
              <w:adjustRightInd w:val="0"/>
              <w:snapToGrid w:val="0"/>
              <w:ind w:firstLine="0" w:firstLineChars="0"/>
              <w:jc w:val="center"/>
              <w:rPr>
                <w:snapToGrid w:val="0"/>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陆域生活垃圾</w:t>
            </w:r>
          </w:p>
        </w:tc>
        <w:tc>
          <w:tcPr>
            <w:tcW w:w="899" w:type="dxa"/>
          </w:tcPr>
          <w:p>
            <w:pPr>
              <w:pStyle w:val="1856"/>
              <w:adjustRightInd w:val="0"/>
              <w:snapToGrid w:val="0"/>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13.53t/a</w:t>
            </w:r>
          </w:p>
        </w:tc>
        <w:tc>
          <w:tcPr>
            <w:tcW w:w="1085" w:type="dxa"/>
          </w:tcPr>
          <w:p>
            <w:pPr>
              <w:pStyle w:val="1856"/>
              <w:adjustRightInd w:val="0"/>
              <w:snapToGrid w:val="0"/>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w:t>
            </w:r>
          </w:p>
        </w:tc>
        <w:tc>
          <w:tcPr>
            <w:tcW w:w="1418" w:type="dxa"/>
          </w:tcPr>
          <w:p>
            <w:pPr>
              <w:pStyle w:val="1856"/>
              <w:adjustRightInd w:val="0"/>
              <w:snapToGrid w:val="0"/>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13.53t/a</w:t>
            </w:r>
          </w:p>
        </w:tc>
        <w:tc>
          <w:tcPr>
            <w:tcW w:w="2976" w:type="dxa"/>
            <w:vAlign w:val="center"/>
          </w:tcPr>
          <w:p>
            <w:pPr>
              <w:pStyle w:val="1856"/>
              <w:adjustRightInd w:val="0"/>
              <w:snapToGrid w:val="0"/>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环卫部门处理</w:t>
            </w:r>
          </w:p>
        </w:tc>
        <w:tc>
          <w:tcPr>
            <w:tcW w:w="2138" w:type="dxa"/>
          </w:tcPr>
          <w:p>
            <w:pPr>
              <w:pStyle w:val="1856"/>
              <w:adjustRightInd w:val="0"/>
              <w:snapToGrid w:val="0"/>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w:t>
            </w:r>
          </w:p>
        </w:tc>
      </w:tr>
    </w:tbl>
    <w:p>
      <w:pPr>
        <w:pStyle w:val="283"/>
        <w:ind w:firstLine="480"/>
        <w:rPr>
          <w:color w:val="000000" w:themeColor="text1"/>
          <w14:textFill>
            <w14:solidFill>
              <w14:schemeClr w14:val="tx1"/>
            </w14:solidFill>
          </w14:textFill>
        </w:rPr>
        <w:sectPr>
          <w:pgSz w:w="16840" w:h="11907" w:orient="landscape"/>
          <w:pgMar w:top="1797" w:right="1440" w:bottom="1514" w:left="1440" w:header="992" w:footer="851" w:gutter="284"/>
          <w:pgNumType w:fmt="numberInDash"/>
          <w:cols w:space="425" w:num="1"/>
          <w:docGrid w:type="lines" w:linePitch="465" w:charSpace="-1866"/>
        </w:sectPr>
      </w:pPr>
    </w:p>
    <w:p>
      <w:pPr>
        <w:pStyle w:val="4"/>
        <w:rPr>
          <w:color w:val="000000" w:themeColor="text1"/>
          <w14:textFill>
            <w14:solidFill>
              <w14:schemeClr w14:val="tx1"/>
            </w14:solidFill>
          </w14:textFill>
        </w:rPr>
      </w:pPr>
      <w:bookmarkStart w:id="322" w:name="_Toc170918626"/>
      <w:r>
        <w:rPr>
          <w:color w:val="000000" w:themeColor="text1"/>
          <w14:textFill>
            <w14:solidFill>
              <w14:schemeClr w14:val="tx1"/>
            </w14:solidFill>
          </w14:textFill>
        </w:rPr>
        <w:t>环境监测</w:t>
      </w:r>
      <w:bookmarkEnd w:id="314"/>
      <w:bookmarkEnd w:id="315"/>
      <w:bookmarkEnd w:id="316"/>
      <w:bookmarkEnd w:id="317"/>
      <w:bookmarkEnd w:id="318"/>
      <w:bookmarkEnd w:id="322"/>
    </w:p>
    <w:p>
      <w:pPr>
        <w:pStyle w:val="5"/>
        <w:rPr>
          <w:color w:val="000000" w:themeColor="text1"/>
          <w14:textFill>
            <w14:solidFill>
              <w14:schemeClr w14:val="tx1"/>
            </w14:solidFill>
          </w14:textFill>
        </w:rPr>
      </w:pPr>
      <w:r>
        <w:rPr>
          <w:color w:val="000000" w:themeColor="text1"/>
          <w14:textFill>
            <w14:solidFill>
              <w14:schemeClr w14:val="tx1"/>
            </w14:solidFill>
          </w14:textFill>
        </w:rPr>
        <w:t>监测目的</w:t>
      </w:r>
    </w:p>
    <w:p>
      <w:pPr>
        <w:pStyle w:val="283"/>
        <w:ind w:firstLine="462"/>
        <w:rPr>
          <w:color w:val="000000" w:themeColor="text1"/>
          <w14:textFill>
            <w14:solidFill>
              <w14:schemeClr w14:val="tx1"/>
            </w14:solidFill>
          </w14:textFill>
        </w:rPr>
      </w:pPr>
      <w:r>
        <w:rPr>
          <w:color w:val="000000" w:themeColor="text1"/>
          <w14:textFill>
            <w14:solidFill>
              <w14:schemeClr w14:val="tx1"/>
            </w14:solidFill>
          </w14:textFill>
        </w:rPr>
        <w:t>通过实施必要的环境监测计划，全面及时地掌握项目施工期、运营期的环境状况，对可能发生的污染进行监测，为制定必要的污染控制措施提供依据。</w:t>
      </w:r>
    </w:p>
    <w:p>
      <w:pPr>
        <w:pStyle w:val="5"/>
        <w:rPr>
          <w:color w:val="000000" w:themeColor="text1"/>
          <w14:textFill>
            <w14:solidFill>
              <w14:schemeClr w14:val="tx1"/>
            </w14:solidFill>
          </w14:textFill>
        </w:rPr>
      </w:pPr>
      <w:r>
        <w:rPr>
          <w:color w:val="000000" w:themeColor="text1"/>
          <w14:textFill>
            <w14:solidFill>
              <w14:schemeClr w14:val="tx1"/>
            </w14:solidFill>
          </w14:textFill>
        </w:rPr>
        <w:t>环境监测机构</w:t>
      </w:r>
    </w:p>
    <w:p>
      <w:pPr>
        <w:pStyle w:val="283"/>
        <w:ind w:firstLine="462"/>
        <w:rPr>
          <w:color w:val="000000" w:themeColor="text1"/>
          <w14:textFill>
            <w14:solidFill>
              <w14:schemeClr w14:val="tx1"/>
            </w14:solidFill>
          </w14:textFill>
        </w:rPr>
      </w:pPr>
      <w:r>
        <w:rPr>
          <w:color w:val="000000" w:themeColor="text1"/>
          <w14:textFill>
            <w14:solidFill>
              <w14:schemeClr w14:val="tx1"/>
            </w14:solidFill>
          </w14:textFill>
        </w:rPr>
        <w:t>环境监测委托通过计量认证或具有相应资质的环境监测机构进行。</w:t>
      </w:r>
    </w:p>
    <w:p>
      <w:pPr>
        <w:pStyle w:val="5"/>
        <w:rPr>
          <w:color w:val="000000" w:themeColor="text1"/>
          <w14:textFill>
            <w14:solidFill>
              <w14:schemeClr w14:val="tx1"/>
            </w14:solidFill>
          </w14:textFill>
        </w:rPr>
      </w:pPr>
      <w:r>
        <w:rPr>
          <w:color w:val="000000" w:themeColor="text1"/>
          <w14:textFill>
            <w14:solidFill>
              <w14:schemeClr w14:val="tx1"/>
            </w14:solidFill>
          </w14:textFill>
        </w:rPr>
        <w:t>环境监测计划</w:t>
      </w:r>
    </w:p>
    <w:p>
      <w:pPr>
        <w:pStyle w:val="283"/>
        <w:ind w:firstLine="462"/>
        <w:rPr>
          <w:color w:val="000000" w:themeColor="text1"/>
          <w14:textFill>
            <w14:solidFill>
              <w14:schemeClr w14:val="tx1"/>
            </w14:solidFill>
          </w14:textFill>
        </w:rPr>
      </w:pPr>
      <w:r>
        <w:rPr>
          <w:color w:val="000000" w:themeColor="text1"/>
          <w14:textFill>
            <w14:solidFill>
              <w14:schemeClr w14:val="tx1"/>
            </w14:solidFill>
          </w14:textFill>
        </w:rPr>
        <w:t>针对本工程污染物的排放情况，结合项目周围环境特点，制定环境监测调查方案，包括项目环保竣工验收监测调查及运营期污染物达标排放、生态环境保护措施效果的监督性监测调查，所有监测按相关监测技术规范进行，项目分析方法优先使用国标方法或行业标准方法。由项目业主负责监测计划的组织实施。</w:t>
      </w:r>
    </w:p>
    <w:p>
      <w:pPr>
        <w:pStyle w:val="6"/>
        <w:rPr>
          <w:color w:val="000000" w:themeColor="text1"/>
          <w14:textFill>
            <w14:solidFill>
              <w14:schemeClr w14:val="tx1"/>
            </w14:solidFill>
          </w14:textFill>
        </w:rPr>
      </w:pPr>
      <w:r>
        <w:rPr>
          <w:rFonts w:hint="eastAsia"/>
          <w:color w:val="000000" w:themeColor="text1"/>
          <w14:textFill>
            <w14:solidFill>
              <w14:schemeClr w14:val="tx1"/>
            </w14:solidFill>
          </w14:textFill>
        </w:rPr>
        <w:t>施工期环境监测计划</w:t>
      </w:r>
    </w:p>
    <w:p>
      <w:pPr>
        <w:pStyle w:val="283"/>
        <w:ind w:firstLine="462"/>
        <w:rPr>
          <w:color w:val="000000" w:themeColor="text1"/>
          <w:szCs w:val="20"/>
          <w14:textFill>
            <w14:solidFill>
              <w14:schemeClr w14:val="tx1"/>
            </w14:solidFill>
          </w14:textFill>
        </w:rPr>
      </w:pPr>
      <w:r>
        <w:rPr>
          <w:color w:val="000000" w:themeColor="text1"/>
          <w:szCs w:val="20"/>
          <w14:textFill>
            <w14:solidFill>
              <w14:schemeClr w14:val="tx1"/>
            </w14:solidFill>
          </w14:textFill>
        </w:rPr>
        <w:t>本</w:t>
      </w:r>
      <w:r>
        <w:rPr>
          <w:rFonts w:hint="eastAsia"/>
          <w:color w:val="000000" w:themeColor="text1"/>
          <w:szCs w:val="20"/>
          <w14:textFill>
            <w14:solidFill>
              <w14:schemeClr w14:val="tx1"/>
            </w14:solidFill>
          </w14:textFill>
        </w:rPr>
        <w:t>项目</w:t>
      </w:r>
      <w:r>
        <w:rPr>
          <w:color w:val="000000" w:themeColor="text1"/>
          <w14:textFill>
            <w14:solidFill>
              <w14:schemeClr w14:val="tx1"/>
            </w14:solidFill>
          </w14:textFill>
        </w:rPr>
        <w:t>施工期主要开展海水水质、海洋沉积物、海洋生态调查</w:t>
      </w:r>
      <w:r>
        <w:rPr>
          <w:color w:val="000000" w:themeColor="text1"/>
          <w:szCs w:val="20"/>
          <w14:textFill>
            <w14:solidFill>
              <w14:schemeClr w14:val="tx1"/>
            </w14:solidFill>
          </w14:textFill>
        </w:rPr>
        <w:t>。</w:t>
      </w:r>
      <w:r>
        <w:rPr>
          <w:rFonts w:hint="eastAsia"/>
          <w:color w:val="000000" w:themeColor="text1"/>
          <w14:textFill>
            <w14:solidFill>
              <w14:schemeClr w14:val="tx1"/>
            </w14:solidFill>
          </w14:textFill>
        </w:rPr>
        <w:t>海水水质、海洋沉积物、海洋生态监测项目及频率主要依据《建设项目海洋环境影响跟踪监测技术规程》确定。项目施工期监测计划详见表7.3-1，施工期监测点位布置见图7</w:t>
      </w:r>
      <w:r>
        <w:rPr>
          <w:color w:val="000000" w:themeColor="text1"/>
          <w14:textFill>
            <w14:solidFill>
              <w14:schemeClr w14:val="tx1"/>
            </w14:solidFill>
          </w14:textFill>
        </w:rPr>
        <w:t>.3-1</w:t>
      </w:r>
      <w:r>
        <w:rPr>
          <w:rFonts w:hint="eastAsia"/>
          <w:color w:val="000000" w:themeColor="text1"/>
          <w14:textFill>
            <w14:solidFill>
              <w14:schemeClr w14:val="tx1"/>
            </w14:solidFill>
          </w14:textFill>
        </w:rPr>
        <w:t>。</w:t>
      </w:r>
    </w:p>
    <w:p>
      <w:pPr>
        <w:pStyle w:val="384"/>
        <w:ind w:left="0" w:firstLine="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项目施工期监测实施计划</w:t>
      </w:r>
    </w:p>
    <w:tbl>
      <w:tblPr>
        <w:tblStyle w:val="89"/>
        <w:tblW w:w="8528" w:type="dxa"/>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1664"/>
        <w:gridCol w:w="1665"/>
        <w:gridCol w:w="1457"/>
        <w:gridCol w:w="1559"/>
        <w:gridCol w:w="2183"/>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blHeader/>
        </w:trPr>
        <w:tc>
          <w:tcPr>
            <w:tcW w:w="1664" w:type="dxa"/>
            <w:vAlign w:val="center"/>
          </w:tcPr>
          <w:p>
            <w:pPr>
              <w:pStyle w:val="2001"/>
            </w:pPr>
            <w:r>
              <w:rPr>
                <w:rFonts w:hint="eastAsia"/>
              </w:rPr>
              <w:t>项目</w:t>
            </w:r>
          </w:p>
        </w:tc>
        <w:tc>
          <w:tcPr>
            <w:tcW w:w="1665" w:type="dxa"/>
            <w:vAlign w:val="center"/>
          </w:tcPr>
          <w:p>
            <w:pPr>
              <w:pStyle w:val="2001"/>
            </w:pPr>
            <w:r>
              <w:rPr>
                <w:rFonts w:hint="eastAsia"/>
              </w:rPr>
              <w:t>监测点位</w:t>
            </w:r>
          </w:p>
        </w:tc>
        <w:tc>
          <w:tcPr>
            <w:tcW w:w="1457" w:type="dxa"/>
            <w:vAlign w:val="center"/>
          </w:tcPr>
          <w:p>
            <w:pPr>
              <w:pStyle w:val="2001"/>
            </w:pPr>
            <w:r>
              <w:rPr>
                <w:rFonts w:hint="eastAsia"/>
              </w:rPr>
              <w:t>监测项目</w:t>
            </w:r>
          </w:p>
        </w:tc>
        <w:tc>
          <w:tcPr>
            <w:tcW w:w="1559" w:type="dxa"/>
            <w:vAlign w:val="center"/>
          </w:tcPr>
          <w:p>
            <w:pPr>
              <w:pStyle w:val="2001"/>
            </w:pPr>
            <w:r>
              <w:rPr>
                <w:rFonts w:hint="eastAsia"/>
              </w:rPr>
              <w:t>监测频率</w:t>
            </w:r>
          </w:p>
        </w:tc>
        <w:tc>
          <w:tcPr>
            <w:tcW w:w="2183" w:type="dxa"/>
            <w:vAlign w:val="center"/>
          </w:tcPr>
          <w:p>
            <w:pPr>
              <w:pStyle w:val="2001"/>
            </w:pPr>
            <w:r>
              <w:rPr>
                <w:rFonts w:hint="eastAsia"/>
              </w:rPr>
              <w:t>执行标准</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c>
          <w:tcPr>
            <w:tcW w:w="1664" w:type="dxa"/>
            <w:vAlign w:val="center"/>
          </w:tcPr>
          <w:p>
            <w:pPr>
              <w:pStyle w:val="2001"/>
            </w:pPr>
            <w:r>
              <w:rPr>
                <w:rFonts w:hint="eastAsia"/>
              </w:rPr>
              <w:t>海水水质</w:t>
            </w:r>
          </w:p>
        </w:tc>
        <w:tc>
          <w:tcPr>
            <w:tcW w:w="1665" w:type="dxa"/>
            <w:vMerge w:val="restart"/>
            <w:vAlign w:val="center"/>
          </w:tcPr>
          <w:p>
            <w:pPr>
              <w:pStyle w:val="2001"/>
            </w:pPr>
            <w:r>
              <w:rPr>
                <w:rFonts w:hint="eastAsia"/>
              </w:rPr>
              <w:t>海水水质监测站位9个，海洋沉积物、海洋生物监测站3个</w:t>
            </w:r>
          </w:p>
        </w:tc>
        <w:tc>
          <w:tcPr>
            <w:tcW w:w="1457" w:type="dxa"/>
            <w:vAlign w:val="center"/>
          </w:tcPr>
          <w:p>
            <w:pPr>
              <w:pStyle w:val="2001"/>
            </w:pPr>
            <w:r>
              <w:rPr>
                <w:rFonts w:hint="eastAsia"/>
              </w:rPr>
              <w:t>水温、pH值、悬浮物、无机氮、活性磷酸盐、COD、铜、铅、镉、石油类、</w:t>
            </w:r>
          </w:p>
        </w:tc>
        <w:tc>
          <w:tcPr>
            <w:tcW w:w="1559" w:type="dxa"/>
            <w:vAlign w:val="center"/>
          </w:tcPr>
          <w:p>
            <w:pPr>
              <w:pStyle w:val="2001"/>
            </w:pPr>
            <w:r>
              <w:rPr>
                <w:rFonts w:hint="eastAsia"/>
              </w:rPr>
              <w:t>施工前监测一次，施工期选择丰、平、枯季分别监测，施工结束后进行一次</w:t>
            </w:r>
          </w:p>
        </w:tc>
        <w:tc>
          <w:tcPr>
            <w:tcW w:w="2183" w:type="dxa"/>
            <w:vAlign w:val="center"/>
          </w:tcPr>
          <w:p>
            <w:pPr>
              <w:pStyle w:val="2001"/>
            </w:pPr>
            <w:r>
              <w:rPr>
                <w:rFonts w:hint="eastAsia"/>
              </w:rPr>
              <w:t>《海水水质标准》（</w:t>
            </w:r>
            <w:r>
              <w:t>GB3097-1997</w:t>
            </w:r>
            <w:r>
              <w:rPr>
                <w:rFonts w:hint="eastAsia"/>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c>
          <w:tcPr>
            <w:tcW w:w="1664" w:type="dxa"/>
            <w:vAlign w:val="center"/>
          </w:tcPr>
          <w:p>
            <w:pPr>
              <w:pStyle w:val="2001"/>
            </w:pPr>
            <w:r>
              <w:rPr>
                <w:rFonts w:hint="eastAsia"/>
              </w:rPr>
              <w:t>海洋沉积物</w:t>
            </w:r>
          </w:p>
        </w:tc>
        <w:tc>
          <w:tcPr>
            <w:tcW w:w="1665" w:type="dxa"/>
            <w:vMerge w:val="continue"/>
            <w:vAlign w:val="center"/>
          </w:tcPr>
          <w:p>
            <w:pPr>
              <w:pStyle w:val="2001"/>
            </w:pPr>
          </w:p>
        </w:tc>
        <w:tc>
          <w:tcPr>
            <w:tcW w:w="1457" w:type="dxa"/>
            <w:vAlign w:val="center"/>
          </w:tcPr>
          <w:p>
            <w:pPr>
              <w:pStyle w:val="2001"/>
            </w:pPr>
            <w:r>
              <w:rPr>
                <w:rFonts w:hint="eastAsia"/>
              </w:rPr>
              <w:t>铜、铅、镉、石油类</w:t>
            </w:r>
          </w:p>
        </w:tc>
        <w:tc>
          <w:tcPr>
            <w:tcW w:w="1559" w:type="dxa"/>
            <w:vAlign w:val="center"/>
          </w:tcPr>
          <w:p>
            <w:pPr>
              <w:pStyle w:val="2001"/>
            </w:pPr>
            <w:r>
              <w:rPr>
                <w:rFonts w:hint="eastAsia"/>
              </w:rPr>
              <w:t>施工开始时进行一次，施工期每年监测一次</w:t>
            </w:r>
          </w:p>
        </w:tc>
        <w:tc>
          <w:tcPr>
            <w:tcW w:w="2183" w:type="dxa"/>
            <w:vAlign w:val="center"/>
          </w:tcPr>
          <w:p>
            <w:pPr>
              <w:pStyle w:val="2001"/>
            </w:pPr>
            <w:r>
              <w:rPr>
                <w:rFonts w:hint="eastAsia"/>
              </w:rPr>
              <w:t>《海洋沉积物质量》（GB18668-</w:t>
            </w:r>
            <w:r>
              <w:t>2002</w:t>
            </w:r>
            <w:r>
              <w:rPr>
                <w:rFonts w:hint="eastAsia"/>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c>
          <w:tcPr>
            <w:tcW w:w="1664" w:type="dxa"/>
            <w:vAlign w:val="center"/>
          </w:tcPr>
          <w:p>
            <w:pPr>
              <w:pStyle w:val="2001"/>
            </w:pPr>
            <w:r>
              <w:rPr>
                <w:rFonts w:hint="eastAsia"/>
              </w:rPr>
              <w:t>海洋生物生态</w:t>
            </w:r>
          </w:p>
        </w:tc>
        <w:tc>
          <w:tcPr>
            <w:tcW w:w="1665" w:type="dxa"/>
            <w:vMerge w:val="continue"/>
            <w:vAlign w:val="center"/>
          </w:tcPr>
          <w:p>
            <w:pPr>
              <w:pStyle w:val="2001"/>
            </w:pPr>
          </w:p>
        </w:tc>
        <w:tc>
          <w:tcPr>
            <w:tcW w:w="1457" w:type="dxa"/>
            <w:vAlign w:val="center"/>
          </w:tcPr>
          <w:p>
            <w:pPr>
              <w:pStyle w:val="2001"/>
            </w:pPr>
            <w:r>
              <w:rPr>
                <w:rFonts w:hint="eastAsia"/>
              </w:rPr>
              <w:t>叶绿素a、浮游动物、浮游植物、底栖生物</w:t>
            </w:r>
          </w:p>
        </w:tc>
        <w:tc>
          <w:tcPr>
            <w:tcW w:w="1559" w:type="dxa"/>
            <w:vAlign w:val="center"/>
          </w:tcPr>
          <w:p>
            <w:pPr>
              <w:pStyle w:val="2001"/>
            </w:pPr>
            <w:r>
              <w:rPr>
                <w:rFonts w:hint="eastAsia"/>
              </w:rPr>
              <w:t>施工期春季、秋季各进行1次</w:t>
            </w:r>
            <w:r>
              <w:t xml:space="preserve"> </w:t>
            </w:r>
          </w:p>
        </w:tc>
        <w:tc>
          <w:tcPr>
            <w:tcW w:w="2183" w:type="dxa"/>
            <w:vAlign w:val="center"/>
          </w:tcPr>
          <w:p>
            <w:pPr>
              <w:pStyle w:val="2001"/>
            </w:pPr>
          </w:p>
        </w:tc>
      </w:tr>
    </w:tbl>
    <w:p>
      <w:pPr>
        <w:rPr>
          <w:color w:val="000000" w:themeColor="text1"/>
          <w14:textFill>
            <w14:solidFill>
              <w14:schemeClr w14:val="tx1"/>
            </w14:solidFill>
          </w14:textFill>
        </w:rPr>
      </w:pPr>
    </w:p>
    <w:tbl>
      <w:tblPr>
        <w:tblStyle w:val="89"/>
        <w:tblW w:w="8528" w:type="dxa"/>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8528"/>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c>
          <w:tcPr>
            <w:tcW w:w="8528" w:type="dxa"/>
            <w:tcBorders>
              <w:top w:val="nil"/>
              <w:left w:val="nil"/>
              <w:bottom w:val="nil"/>
              <w:right w:val="nil"/>
            </w:tcBorders>
            <w:vAlign w:val="center"/>
          </w:tcPr>
          <w:p>
            <w:pPr>
              <w:pStyle w:val="2001"/>
            </w:pPr>
          </w:p>
          <w:p>
            <w:pPr>
              <w:pStyle w:val="553"/>
              <w:rPr>
                <w:color w:val="000000" w:themeColor="text1"/>
                <w14:textFill>
                  <w14:solidFill>
                    <w14:schemeClr w14:val="tx1"/>
                  </w14:solidFill>
                </w14:textFill>
              </w:rPr>
            </w:pPr>
            <w:r>
              <w:rPr>
                <w:rFonts w:hint="eastAsia"/>
                <w:color w:val="000000" w:themeColor="text1"/>
                <w14:textFill>
                  <w14:solidFill>
                    <w14:schemeClr w14:val="tx1"/>
                  </w14:solidFill>
                </w14:textFill>
              </w:rPr>
              <w:t>施工期监测点位示意图</w:t>
            </w:r>
          </w:p>
        </w:tc>
      </w:tr>
    </w:tbl>
    <w:p>
      <w:pPr>
        <w:pStyle w:val="6"/>
        <w:rPr>
          <w:color w:val="000000" w:themeColor="text1"/>
          <w14:textFill>
            <w14:solidFill>
              <w14:schemeClr w14:val="tx1"/>
            </w14:solidFill>
          </w14:textFill>
        </w:rPr>
      </w:pPr>
      <w:r>
        <w:rPr>
          <w:rFonts w:hint="eastAsia"/>
          <w:color w:val="000000" w:themeColor="text1"/>
          <w14:textFill>
            <w14:solidFill>
              <w14:schemeClr w14:val="tx1"/>
            </w14:solidFill>
          </w14:textFill>
        </w:rPr>
        <w:t>运营期环境监测计划</w:t>
      </w:r>
    </w:p>
    <w:p>
      <w:pPr>
        <w:pStyle w:val="283"/>
        <w:ind w:firstLine="462"/>
        <w:rPr>
          <w:color w:val="000000" w:themeColor="text1"/>
          <w14:textFill>
            <w14:solidFill>
              <w14:schemeClr w14:val="tx1"/>
            </w14:solidFill>
          </w14:textFill>
        </w:rPr>
      </w:pPr>
      <w:r>
        <w:rPr>
          <w:color w:val="000000" w:themeColor="text1"/>
          <w14:textFill>
            <w14:solidFill>
              <w14:schemeClr w14:val="tx1"/>
            </w14:solidFill>
          </w14:textFill>
        </w:rPr>
        <w:t>开展海水水质现状调查及厂界环境噪声监测</w:t>
      </w:r>
      <w:r>
        <w:rPr>
          <w:rFonts w:hint="eastAsia"/>
          <w:color w:val="000000" w:themeColor="text1"/>
          <w14:textFill>
            <w14:solidFill>
              <w14:schemeClr w14:val="tx1"/>
            </w14:solidFill>
          </w14:textFill>
        </w:rPr>
        <w:t>，运营期环境监测计划见表7.3-2，</w:t>
      </w:r>
      <w:r>
        <w:rPr>
          <w:color w:val="000000" w:themeColor="text1"/>
          <w14:textFill>
            <w14:solidFill>
              <w14:schemeClr w14:val="tx1"/>
            </w14:solidFill>
          </w14:textFill>
        </w:rPr>
        <w:t>运营期海水水质监测点位布置见图</w:t>
      </w:r>
      <w:r>
        <w:rPr>
          <w:rFonts w:hint="eastAsia"/>
          <w:color w:val="000000" w:themeColor="text1"/>
          <w14:textFill>
            <w14:solidFill>
              <w14:schemeClr w14:val="tx1"/>
            </w14:solidFill>
          </w14:textFill>
        </w:rPr>
        <w:t>7.3-2。</w:t>
      </w:r>
    </w:p>
    <w:p>
      <w:pPr>
        <w:pStyle w:val="283"/>
        <w:ind w:firstLine="462"/>
        <w:rPr>
          <w:color w:val="000000" w:themeColor="text1"/>
          <w14:textFill>
            <w14:solidFill>
              <w14:schemeClr w14:val="tx1"/>
            </w14:solidFill>
          </w14:textFill>
        </w:rPr>
      </w:pPr>
      <w:r>
        <w:rPr>
          <w:rFonts w:hint="eastAsia"/>
          <w:color w:val="000000" w:themeColor="text1"/>
          <w14:textFill>
            <w14:solidFill>
              <w14:schemeClr w14:val="tx1"/>
            </w14:solidFill>
          </w14:textFill>
        </w:rPr>
        <w:t>海水水质监测项目及频率主要依据《建设项目海洋环境影响跟踪监测技术规程》确定；厂界环境噪声监测项目及频率主要依据《排污单位自行监测技术指南 总则》确定。</w:t>
      </w:r>
    </w:p>
    <w:p>
      <w:pPr>
        <w:pStyle w:val="283"/>
        <w:ind w:firstLine="462"/>
        <w:rPr>
          <w:color w:val="000000" w:themeColor="text1"/>
          <w14:textFill>
            <w14:solidFill>
              <w14:schemeClr w14:val="tx1"/>
            </w14:solidFill>
          </w14:textFill>
        </w:rPr>
      </w:pPr>
      <w:r>
        <w:rPr>
          <w:rFonts w:hint="eastAsia"/>
          <w:color w:val="000000" w:themeColor="text1"/>
          <w14:textFill>
            <w14:solidFill>
              <w14:schemeClr w14:val="tx1"/>
            </w14:solidFill>
          </w14:textFill>
        </w:rPr>
        <w:t>项目具体监测频次和站位位置，可视工程实际运行情况、周边港口运行情况以及周边海洋环境例行监测点位布置情况进行统筹及调整，本报告所提供的运营期监测计划仅供参考。</w:t>
      </w:r>
    </w:p>
    <w:p>
      <w:pPr>
        <w:pStyle w:val="384"/>
        <w:ind w:left="0" w:firstLine="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项目</w:t>
      </w:r>
      <w:r>
        <w:rPr>
          <w:rFonts w:hint="eastAsia" w:cs="Times New Roman"/>
          <w:color w:val="000000" w:themeColor="text1"/>
          <w14:textFill>
            <w14:solidFill>
              <w14:schemeClr w14:val="tx1"/>
            </w14:solidFill>
          </w14:textFill>
        </w:rPr>
        <w:t>运营期</w:t>
      </w:r>
      <w:r>
        <w:rPr>
          <w:rFonts w:cs="Times New Roman"/>
          <w:color w:val="000000" w:themeColor="text1"/>
          <w14:textFill>
            <w14:solidFill>
              <w14:schemeClr w14:val="tx1"/>
            </w14:solidFill>
          </w14:textFill>
        </w:rPr>
        <w:t>环境质量监测实施计划</w:t>
      </w:r>
    </w:p>
    <w:tbl>
      <w:tblPr>
        <w:tblStyle w:val="88"/>
        <w:tblpPr w:leftFromText="180" w:rightFromText="180" w:vertAnchor="text" w:tblpXSpec="center" w:tblpY="1"/>
        <w:tblOverlap w:val="never"/>
        <w:tblW w:w="8528" w:type="dxa"/>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490"/>
        <w:gridCol w:w="895"/>
        <w:gridCol w:w="2384"/>
        <w:gridCol w:w="2719"/>
        <w:gridCol w:w="2040"/>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20" w:hRule="atLeast"/>
          <w:tblHeader/>
        </w:trPr>
        <w:tc>
          <w:tcPr>
            <w:tcW w:w="490" w:type="dxa"/>
            <w:vAlign w:val="center"/>
          </w:tcPr>
          <w:p>
            <w:pPr>
              <w:pStyle w:val="1856"/>
              <w:adjustRightInd w:val="0"/>
              <w:snapToGrid w:val="0"/>
              <w:ind w:firstLine="0" w:firstLineChars="0"/>
              <w:jc w:val="center"/>
              <w:rPr>
                <w:color w:val="000000" w:themeColor="text1"/>
                <w:sz w:val="21"/>
                <w:szCs w:val="21"/>
                <w14:textFill>
                  <w14:solidFill>
                    <w14:schemeClr w14:val="tx1"/>
                  </w14:solidFill>
                </w14:textFill>
              </w:rPr>
            </w:pPr>
            <w:bookmarkStart w:id="323" w:name="_Toc225526840"/>
            <w:bookmarkStart w:id="324" w:name="_Toc303949966"/>
            <w:bookmarkStart w:id="325" w:name="_Toc260909486"/>
            <w:bookmarkStart w:id="326" w:name="_Toc317003289"/>
            <w:bookmarkStart w:id="327" w:name="_Toc301808262"/>
            <w:bookmarkStart w:id="328" w:name="_Toc251245354"/>
            <w:bookmarkStart w:id="329" w:name="_Toc317003569"/>
            <w:r>
              <w:rPr>
                <w:color w:val="000000" w:themeColor="text1"/>
                <w:sz w:val="21"/>
                <w:szCs w:val="21"/>
                <w14:textFill>
                  <w14:solidFill>
                    <w14:schemeClr w14:val="tx1"/>
                  </w14:solidFill>
                </w14:textFill>
              </w:rPr>
              <w:t>时段</w:t>
            </w:r>
          </w:p>
        </w:tc>
        <w:tc>
          <w:tcPr>
            <w:tcW w:w="895" w:type="dxa"/>
            <w:vAlign w:val="center"/>
          </w:tcPr>
          <w:p>
            <w:pPr>
              <w:pStyle w:val="1856"/>
              <w:adjustRightInd w:val="0"/>
              <w:snapToGrid w:val="0"/>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监测要素</w:t>
            </w:r>
          </w:p>
        </w:tc>
        <w:tc>
          <w:tcPr>
            <w:tcW w:w="2384" w:type="dxa"/>
            <w:vAlign w:val="center"/>
          </w:tcPr>
          <w:p>
            <w:pPr>
              <w:pStyle w:val="1856"/>
              <w:adjustRightInd w:val="0"/>
              <w:snapToGrid w:val="0"/>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监测调查布点</w:t>
            </w:r>
          </w:p>
        </w:tc>
        <w:tc>
          <w:tcPr>
            <w:tcW w:w="2719" w:type="dxa"/>
            <w:vAlign w:val="center"/>
          </w:tcPr>
          <w:p>
            <w:pPr>
              <w:pStyle w:val="1856"/>
              <w:adjustRightInd w:val="0"/>
              <w:snapToGrid w:val="0"/>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监测项目</w:t>
            </w:r>
          </w:p>
        </w:tc>
        <w:tc>
          <w:tcPr>
            <w:tcW w:w="2040" w:type="dxa"/>
            <w:vAlign w:val="center"/>
          </w:tcPr>
          <w:p>
            <w:pPr>
              <w:pStyle w:val="1856"/>
              <w:adjustRightInd w:val="0"/>
              <w:snapToGrid w:val="0"/>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监测频率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1685" w:hRule="atLeast"/>
        </w:trPr>
        <w:tc>
          <w:tcPr>
            <w:tcW w:w="490" w:type="dxa"/>
            <w:vMerge w:val="restart"/>
            <w:vAlign w:val="center"/>
          </w:tcPr>
          <w:p>
            <w:pPr>
              <w:pStyle w:val="1856"/>
              <w:adjustRightInd w:val="0"/>
              <w:snapToGrid w:val="0"/>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运营期</w:t>
            </w:r>
          </w:p>
        </w:tc>
        <w:tc>
          <w:tcPr>
            <w:tcW w:w="895" w:type="dxa"/>
            <w:vAlign w:val="center"/>
          </w:tcPr>
          <w:p>
            <w:pPr>
              <w:pStyle w:val="1856"/>
              <w:adjustRightInd w:val="0"/>
              <w:snapToGrid w:val="0"/>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海水水质</w:t>
            </w:r>
          </w:p>
        </w:tc>
        <w:tc>
          <w:tcPr>
            <w:tcW w:w="2384" w:type="dxa"/>
            <w:vAlign w:val="center"/>
          </w:tcPr>
          <w:p>
            <w:pPr>
              <w:pStyle w:val="1856"/>
              <w:adjustRightInd w:val="0"/>
              <w:snapToGrid w:val="0"/>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水工结构区域设置</w:t>
            </w:r>
            <w:r>
              <w:rPr>
                <w:color w:val="000000" w:themeColor="text1"/>
                <w:sz w:val="21"/>
                <w:szCs w:val="21"/>
                <w14:textFill>
                  <w14:solidFill>
                    <w14:schemeClr w14:val="tx1"/>
                  </w14:solidFill>
                </w14:textFill>
              </w:rPr>
              <w:t>1</w:t>
            </w:r>
            <w:r>
              <w:rPr>
                <w:rFonts w:hint="eastAsia"/>
                <w:color w:val="000000" w:themeColor="text1"/>
                <w:sz w:val="21"/>
                <w:szCs w:val="21"/>
                <w14:textFill>
                  <w14:solidFill>
                    <w14:schemeClr w14:val="tx1"/>
                  </w14:solidFill>
                </w14:textFill>
              </w:rPr>
              <w:t>个垂直于纵向的监测主断面，两侧各设置1个断面。每个断面设置3个站位，间隔距离2</w:t>
            </w:r>
            <w:r>
              <w:rPr>
                <w:color w:val="000000" w:themeColor="text1"/>
                <w:sz w:val="21"/>
                <w:szCs w:val="21"/>
                <w14:textFill>
                  <w14:solidFill>
                    <w14:schemeClr w14:val="tx1"/>
                  </w14:solidFill>
                </w14:textFill>
              </w:rPr>
              <w:t>00</w:t>
            </w:r>
            <w:r>
              <w:rPr>
                <w:rFonts w:hint="eastAsia"/>
                <w:color w:val="000000" w:themeColor="text1"/>
                <w:sz w:val="21"/>
                <w:szCs w:val="21"/>
                <w14:textFill>
                  <w14:solidFill>
                    <w14:schemeClr w14:val="tx1"/>
                  </w14:solidFill>
                </w14:textFill>
              </w:rPr>
              <w:t>m</w:t>
            </w:r>
          </w:p>
        </w:tc>
        <w:tc>
          <w:tcPr>
            <w:tcW w:w="2719" w:type="dxa"/>
            <w:vAlign w:val="center"/>
          </w:tcPr>
          <w:p>
            <w:pPr>
              <w:pStyle w:val="1856"/>
              <w:adjustRightInd w:val="0"/>
              <w:snapToGrid w:val="0"/>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水质指标：悬浮物、COD、无机氮、活性磷酸盐、石油类、TOC、砷、重金属（Cu、Pb、Zn、Cd、Cr、Hg）；</w:t>
            </w:r>
          </w:p>
        </w:tc>
        <w:tc>
          <w:tcPr>
            <w:tcW w:w="2040" w:type="dxa"/>
            <w:vAlign w:val="center"/>
          </w:tcPr>
          <w:p>
            <w:pPr>
              <w:pStyle w:val="1856"/>
              <w:adjustRightInd w:val="0"/>
              <w:snapToGrid w:val="0"/>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运营期的一个潮汐年</w:t>
            </w:r>
          </w:p>
          <w:p>
            <w:pPr>
              <w:pStyle w:val="1856"/>
              <w:adjustRightInd w:val="0"/>
              <w:snapToGrid w:val="0"/>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的丰水期、平水期和枯水期进行大、小潮期的水质监测。</w:t>
            </w:r>
            <w:r>
              <w:rPr>
                <w:color w:val="000000" w:themeColor="text1"/>
                <w:sz w:val="21"/>
                <w:szCs w:val="21"/>
                <w14:textFill>
                  <w14:solidFill>
                    <w14:schemeClr w14:val="tx1"/>
                  </w14:solidFill>
                </w14:textFill>
              </w:rPr>
              <w:t>以后可根据前几次的监测结果，适当加大和减小监测频率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337" w:hRule="atLeast"/>
        </w:trPr>
        <w:tc>
          <w:tcPr>
            <w:tcW w:w="490" w:type="dxa"/>
            <w:vMerge w:val="continue"/>
            <w:vAlign w:val="center"/>
          </w:tcPr>
          <w:p>
            <w:pPr>
              <w:pStyle w:val="1856"/>
              <w:adjustRightInd w:val="0"/>
              <w:snapToGrid w:val="0"/>
              <w:ind w:firstLine="0" w:firstLineChars="0"/>
              <w:jc w:val="center"/>
              <w:rPr>
                <w:color w:val="000000" w:themeColor="text1"/>
                <w:sz w:val="21"/>
                <w:szCs w:val="21"/>
                <w14:textFill>
                  <w14:solidFill>
                    <w14:schemeClr w14:val="tx1"/>
                  </w14:solidFill>
                </w14:textFill>
              </w:rPr>
            </w:pPr>
          </w:p>
        </w:tc>
        <w:tc>
          <w:tcPr>
            <w:tcW w:w="895" w:type="dxa"/>
            <w:vAlign w:val="center"/>
          </w:tcPr>
          <w:p>
            <w:pPr>
              <w:pStyle w:val="1856"/>
              <w:adjustRightInd w:val="0"/>
              <w:snapToGrid w:val="0"/>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厂界环境噪声</w:t>
            </w:r>
          </w:p>
        </w:tc>
        <w:tc>
          <w:tcPr>
            <w:tcW w:w="2384" w:type="dxa"/>
            <w:vAlign w:val="center"/>
          </w:tcPr>
          <w:p>
            <w:pPr>
              <w:pStyle w:val="1856"/>
              <w:adjustRightInd w:val="0"/>
              <w:snapToGrid w:val="0"/>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项目厂界</w:t>
            </w:r>
          </w:p>
        </w:tc>
        <w:tc>
          <w:tcPr>
            <w:tcW w:w="2719" w:type="dxa"/>
            <w:vAlign w:val="center"/>
          </w:tcPr>
          <w:p>
            <w:pPr>
              <w:pStyle w:val="1856"/>
              <w:adjustRightInd w:val="0"/>
              <w:snapToGrid w:val="0"/>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等效连续A声级</w:t>
            </w:r>
          </w:p>
        </w:tc>
        <w:tc>
          <w:tcPr>
            <w:tcW w:w="2040" w:type="dxa"/>
            <w:vAlign w:val="center"/>
          </w:tcPr>
          <w:p>
            <w:pPr>
              <w:pStyle w:val="1856"/>
              <w:adjustRightInd w:val="0"/>
              <w:snapToGrid w:val="0"/>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每季度监测1次</w:t>
            </w:r>
          </w:p>
        </w:tc>
      </w:tr>
    </w:tbl>
    <w:p>
      <w:pPr>
        <w:rPr>
          <w:color w:val="000000" w:themeColor="text1"/>
          <w14:textFill>
            <w14:solidFill>
              <w14:schemeClr w14:val="tx1"/>
            </w14:solidFill>
          </w14:textFill>
        </w:rPr>
      </w:pPr>
    </w:p>
    <w:tbl>
      <w:tblPr>
        <w:tblStyle w:val="88"/>
        <w:tblpPr w:leftFromText="180" w:rightFromText="180" w:vertAnchor="text" w:tblpXSpec="center" w:tblpY="1"/>
        <w:tblOverlap w:val="never"/>
        <w:tblW w:w="8528" w:type="dxa"/>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8528"/>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337" w:hRule="atLeast"/>
        </w:trPr>
        <w:tc>
          <w:tcPr>
            <w:tcW w:w="8528" w:type="dxa"/>
            <w:tcBorders>
              <w:top w:val="nil"/>
              <w:left w:val="nil"/>
              <w:bottom w:val="nil"/>
              <w:right w:val="nil"/>
            </w:tcBorders>
            <w:vAlign w:val="center"/>
          </w:tcPr>
          <w:p>
            <w:pPr>
              <w:pStyle w:val="1856"/>
              <w:adjustRightInd w:val="0"/>
              <w:snapToGrid w:val="0"/>
              <w:ind w:firstLine="0" w:firstLineChars="0"/>
              <w:jc w:val="center"/>
              <w:rPr>
                <w:color w:val="000000" w:themeColor="text1"/>
                <w:sz w:val="21"/>
                <w:szCs w:val="21"/>
                <w14:textFill>
                  <w14:solidFill>
                    <w14:schemeClr w14:val="tx1"/>
                  </w14:solidFill>
                </w14:textFill>
              </w:rPr>
            </w:pPr>
          </w:p>
          <w:p>
            <w:pPr>
              <w:pStyle w:val="553"/>
              <w:rPr>
                <w:color w:val="000000" w:themeColor="text1"/>
                <w:sz w:val="21"/>
                <w:szCs w:val="21"/>
                <w14:textFill>
                  <w14:solidFill>
                    <w14:schemeClr w14:val="tx1"/>
                  </w14:solidFill>
                </w14:textFill>
              </w:rPr>
            </w:pPr>
            <w:r>
              <w:rPr>
                <w:rFonts w:hint="eastAsia"/>
                <w:color w:val="000000" w:themeColor="text1"/>
                <w14:textFill>
                  <w14:solidFill>
                    <w14:schemeClr w14:val="tx1"/>
                  </w14:solidFill>
                </w14:textFill>
              </w:rPr>
              <w:t>运营期监测点位示意图</w:t>
            </w:r>
          </w:p>
        </w:tc>
      </w:tr>
      <w:bookmarkEnd w:id="323"/>
      <w:bookmarkEnd w:id="324"/>
      <w:bookmarkEnd w:id="325"/>
      <w:bookmarkEnd w:id="326"/>
      <w:bookmarkEnd w:id="327"/>
      <w:bookmarkEnd w:id="328"/>
      <w:bookmarkEnd w:id="329"/>
    </w:tbl>
    <w:p>
      <w:pPr>
        <w:pStyle w:val="4"/>
        <w:rPr>
          <w:color w:val="000000" w:themeColor="text1"/>
          <w14:textFill>
            <w14:solidFill>
              <w14:schemeClr w14:val="tx1"/>
            </w14:solidFill>
          </w14:textFill>
        </w:rPr>
      </w:pPr>
      <w:bookmarkStart w:id="330" w:name="_Toc170918627"/>
      <w:bookmarkStart w:id="331" w:name="_Toc477274315"/>
      <w:r>
        <w:rPr>
          <w:color w:val="000000" w:themeColor="text1"/>
          <w14:textFill>
            <w14:solidFill>
              <w14:schemeClr w14:val="tx1"/>
            </w14:solidFill>
          </w14:textFill>
        </w:rPr>
        <w:t>竣工环保验收</w:t>
      </w:r>
      <w:bookmarkEnd w:id="330"/>
      <w:bookmarkEnd w:id="331"/>
    </w:p>
    <w:p>
      <w:pPr>
        <w:pStyle w:val="283"/>
        <w:ind w:firstLine="462"/>
        <w:rPr>
          <w:color w:val="000000" w:themeColor="text1"/>
          <w14:textFill>
            <w14:solidFill>
              <w14:schemeClr w14:val="tx1"/>
            </w14:solidFill>
          </w14:textFill>
        </w:rPr>
      </w:pPr>
      <w:r>
        <w:rPr>
          <w:color w:val="000000" w:themeColor="text1"/>
          <w14:textFill>
            <w14:solidFill>
              <w14:schemeClr w14:val="tx1"/>
            </w14:solidFill>
          </w14:textFill>
        </w:rPr>
        <w:t>根据《关于发布</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建设项目竣工环境保护验收暂行办法</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的公告》（</w:t>
      </w:r>
      <w:r>
        <w:rPr>
          <w:color w:val="000000" w:themeColor="text1"/>
          <w:kern w:val="2"/>
          <w14:textFill>
            <w14:solidFill>
              <w14:schemeClr w14:val="tx1"/>
            </w14:solidFill>
          </w14:textFill>
        </w:rPr>
        <w:t>国环规环评〔2017〕4 号</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、《建设项目竣工环境保护验收技术规范 港口》（HJ</w:t>
      </w:r>
      <w:r>
        <w:rPr>
          <w:color w:val="000000" w:themeColor="text1"/>
          <w14:textFill>
            <w14:solidFill>
              <w14:schemeClr w14:val="tx1"/>
            </w14:solidFill>
          </w14:textFill>
        </w:rPr>
        <w:t>436-2008</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，项目建设中应严格执行环境保护“三同时”制度，并进行环境保护设施验收；拟建</w:t>
      </w:r>
      <w:r>
        <w:rPr>
          <w:rFonts w:hint="eastAsia"/>
          <w:color w:val="000000" w:themeColor="text1"/>
          <w14:textFill>
            <w14:solidFill>
              <w14:schemeClr w14:val="tx1"/>
            </w14:solidFill>
          </w14:textFill>
        </w:rPr>
        <w:t>项目</w:t>
      </w:r>
      <w:r>
        <w:rPr>
          <w:color w:val="000000" w:themeColor="text1"/>
          <w14:textFill>
            <w14:solidFill>
              <w14:schemeClr w14:val="tx1"/>
            </w14:solidFill>
          </w14:textFill>
        </w:rPr>
        <w:t>竣工环境保护验收汇总一览见表</w:t>
      </w:r>
      <w:r>
        <w:rPr>
          <w:rFonts w:hint="eastAsia"/>
          <w:color w:val="000000" w:themeColor="text1"/>
          <w14:textFill>
            <w14:solidFill>
              <w14:schemeClr w14:val="tx1"/>
            </w14:solidFill>
          </w14:textFill>
        </w:rPr>
        <w:t>7.4-</w:t>
      </w:r>
      <w:r>
        <w:rPr>
          <w:color w:val="000000" w:themeColor="text1"/>
          <w14:textFill>
            <w14:solidFill>
              <w14:schemeClr w14:val="tx1"/>
            </w14:solidFill>
          </w14:textFill>
        </w:rPr>
        <w:t>1。</w:t>
      </w:r>
    </w:p>
    <w:p>
      <w:pPr>
        <w:pStyle w:val="384"/>
        <w:ind w:left="0" w:firstLine="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拟建项目竣工环境保护验收内容</w:t>
      </w:r>
    </w:p>
    <w:tbl>
      <w:tblPr>
        <w:tblStyle w:val="88"/>
        <w:tblW w:w="8528" w:type="dxa"/>
        <w:jc w:val="center"/>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713"/>
        <w:gridCol w:w="877"/>
        <w:gridCol w:w="1167"/>
        <w:gridCol w:w="3068"/>
        <w:gridCol w:w="2703"/>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cantSplit/>
          <w:tblHeader/>
          <w:jc w:val="center"/>
        </w:trPr>
        <w:tc>
          <w:tcPr>
            <w:tcW w:w="2757" w:type="dxa"/>
            <w:gridSpan w:val="3"/>
            <w:vAlign w:val="center"/>
          </w:tcPr>
          <w:p>
            <w:pPr>
              <w:pStyle w:val="2001"/>
            </w:pPr>
            <w:r>
              <w:t>项目</w:t>
            </w:r>
          </w:p>
        </w:tc>
        <w:tc>
          <w:tcPr>
            <w:tcW w:w="3068" w:type="dxa"/>
            <w:vAlign w:val="center"/>
          </w:tcPr>
          <w:p>
            <w:pPr>
              <w:pStyle w:val="2001"/>
            </w:pPr>
            <w:r>
              <w:t>主要措施</w:t>
            </w:r>
          </w:p>
        </w:tc>
        <w:tc>
          <w:tcPr>
            <w:tcW w:w="2703" w:type="dxa"/>
            <w:vAlign w:val="center"/>
          </w:tcPr>
          <w:p>
            <w:pPr>
              <w:pStyle w:val="2001"/>
            </w:pPr>
            <w:r>
              <w:t>治理效果</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cantSplit/>
          <w:jc w:val="center"/>
        </w:trPr>
        <w:tc>
          <w:tcPr>
            <w:tcW w:w="713" w:type="dxa"/>
            <w:vMerge w:val="restart"/>
            <w:vAlign w:val="center"/>
          </w:tcPr>
          <w:p>
            <w:pPr>
              <w:pStyle w:val="2001"/>
            </w:pPr>
            <w:r>
              <w:t>大气</w:t>
            </w:r>
          </w:p>
          <w:p>
            <w:pPr>
              <w:pStyle w:val="2001"/>
            </w:pPr>
            <w:r>
              <w:t>环境</w:t>
            </w:r>
          </w:p>
        </w:tc>
        <w:tc>
          <w:tcPr>
            <w:tcW w:w="877" w:type="dxa"/>
            <w:vMerge w:val="restart"/>
            <w:vAlign w:val="center"/>
          </w:tcPr>
          <w:p>
            <w:pPr>
              <w:pStyle w:val="2001"/>
            </w:pPr>
            <w:r>
              <w:t>施工期</w:t>
            </w:r>
          </w:p>
        </w:tc>
        <w:tc>
          <w:tcPr>
            <w:tcW w:w="1167" w:type="dxa"/>
            <w:vAlign w:val="center"/>
          </w:tcPr>
          <w:p>
            <w:pPr>
              <w:pStyle w:val="2001"/>
            </w:pPr>
            <w:r>
              <w:t>洒水除尘</w:t>
            </w:r>
          </w:p>
        </w:tc>
        <w:tc>
          <w:tcPr>
            <w:tcW w:w="3068" w:type="dxa"/>
            <w:vAlign w:val="center"/>
          </w:tcPr>
          <w:p>
            <w:pPr>
              <w:pStyle w:val="2001"/>
            </w:pPr>
            <w:r>
              <w:t>施工配备洒水车、清扫车</w:t>
            </w:r>
          </w:p>
        </w:tc>
        <w:tc>
          <w:tcPr>
            <w:tcW w:w="2703" w:type="dxa"/>
            <w:vMerge w:val="restart"/>
            <w:vAlign w:val="center"/>
          </w:tcPr>
          <w:p>
            <w:pPr>
              <w:pStyle w:val="2001"/>
            </w:pPr>
            <w:r>
              <w:t>减少扬尘和施工机械作业废气排放</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cantSplit/>
          <w:jc w:val="center"/>
        </w:trPr>
        <w:tc>
          <w:tcPr>
            <w:tcW w:w="713" w:type="dxa"/>
            <w:vMerge w:val="continue"/>
            <w:vAlign w:val="center"/>
          </w:tcPr>
          <w:p>
            <w:pPr>
              <w:pStyle w:val="2001"/>
            </w:pPr>
          </w:p>
        </w:tc>
        <w:tc>
          <w:tcPr>
            <w:tcW w:w="877" w:type="dxa"/>
            <w:vMerge w:val="continue"/>
            <w:vAlign w:val="center"/>
          </w:tcPr>
          <w:p>
            <w:pPr>
              <w:pStyle w:val="2001"/>
            </w:pPr>
          </w:p>
        </w:tc>
        <w:tc>
          <w:tcPr>
            <w:tcW w:w="1167" w:type="dxa"/>
            <w:vAlign w:val="center"/>
          </w:tcPr>
          <w:p>
            <w:pPr>
              <w:pStyle w:val="2001"/>
            </w:pPr>
            <w:r>
              <w:t>降尘</w:t>
            </w:r>
          </w:p>
        </w:tc>
        <w:tc>
          <w:tcPr>
            <w:tcW w:w="3068" w:type="dxa"/>
            <w:vAlign w:val="center"/>
          </w:tcPr>
          <w:p>
            <w:pPr>
              <w:pStyle w:val="2001"/>
            </w:pPr>
            <w:r>
              <w:t>材料运输车辆覆盖篷布</w:t>
            </w:r>
          </w:p>
        </w:tc>
        <w:tc>
          <w:tcPr>
            <w:tcW w:w="2703" w:type="dxa"/>
            <w:vMerge w:val="continue"/>
            <w:vAlign w:val="center"/>
          </w:tcPr>
          <w:p>
            <w:pPr>
              <w:pStyle w:val="2001"/>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cantSplit/>
          <w:jc w:val="center"/>
        </w:trPr>
        <w:tc>
          <w:tcPr>
            <w:tcW w:w="713" w:type="dxa"/>
            <w:vMerge w:val="continue"/>
            <w:vAlign w:val="center"/>
          </w:tcPr>
          <w:p>
            <w:pPr>
              <w:pStyle w:val="2001"/>
            </w:pPr>
          </w:p>
        </w:tc>
        <w:tc>
          <w:tcPr>
            <w:tcW w:w="877" w:type="dxa"/>
            <w:vMerge w:val="continue"/>
            <w:vAlign w:val="center"/>
          </w:tcPr>
          <w:p>
            <w:pPr>
              <w:pStyle w:val="2001"/>
            </w:pPr>
          </w:p>
        </w:tc>
        <w:tc>
          <w:tcPr>
            <w:tcW w:w="1167" w:type="dxa"/>
            <w:vAlign w:val="center"/>
          </w:tcPr>
          <w:p>
            <w:pPr>
              <w:pStyle w:val="2001"/>
            </w:pPr>
            <w:r>
              <w:t>减少废气</w:t>
            </w:r>
          </w:p>
        </w:tc>
        <w:tc>
          <w:tcPr>
            <w:tcW w:w="3068" w:type="dxa"/>
            <w:vAlign w:val="center"/>
          </w:tcPr>
          <w:p>
            <w:pPr>
              <w:pStyle w:val="2001"/>
            </w:pPr>
            <w:r>
              <w:t>施工机械定期保养</w:t>
            </w:r>
          </w:p>
        </w:tc>
        <w:tc>
          <w:tcPr>
            <w:tcW w:w="2703" w:type="dxa"/>
            <w:vMerge w:val="continue"/>
            <w:vAlign w:val="center"/>
          </w:tcPr>
          <w:p>
            <w:pPr>
              <w:pStyle w:val="2001"/>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cantSplit/>
          <w:jc w:val="center"/>
        </w:trPr>
        <w:tc>
          <w:tcPr>
            <w:tcW w:w="713" w:type="dxa"/>
            <w:vMerge w:val="restart"/>
            <w:vAlign w:val="center"/>
          </w:tcPr>
          <w:p>
            <w:pPr>
              <w:pStyle w:val="2001"/>
            </w:pPr>
            <w:r>
              <w:t>水环境</w:t>
            </w:r>
          </w:p>
        </w:tc>
        <w:tc>
          <w:tcPr>
            <w:tcW w:w="877" w:type="dxa"/>
            <w:vMerge w:val="restart"/>
            <w:shd w:val="clear" w:color="auto" w:fill="auto"/>
            <w:vAlign w:val="center"/>
          </w:tcPr>
          <w:p>
            <w:pPr>
              <w:pStyle w:val="2001"/>
            </w:pPr>
            <w:r>
              <w:t>施工期</w:t>
            </w:r>
          </w:p>
        </w:tc>
        <w:tc>
          <w:tcPr>
            <w:tcW w:w="1167" w:type="dxa"/>
            <w:vMerge w:val="restart"/>
            <w:shd w:val="clear" w:color="auto" w:fill="auto"/>
            <w:vAlign w:val="center"/>
          </w:tcPr>
          <w:p>
            <w:pPr>
              <w:pStyle w:val="2001"/>
            </w:pPr>
            <w:r>
              <w:t>废水处理</w:t>
            </w:r>
          </w:p>
        </w:tc>
        <w:tc>
          <w:tcPr>
            <w:tcW w:w="3068" w:type="dxa"/>
            <w:vAlign w:val="center"/>
          </w:tcPr>
          <w:p>
            <w:pPr>
              <w:pStyle w:val="2001"/>
            </w:pPr>
            <w:r>
              <w:rPr>
                <w:rFonts w:hint="eastAsia"/>
              </w:rPr>
              <w:t>施工场地生活污水进入生活污水处理站，施工机械的维护管理，定期检修</w:t>
            </w:r>
          </w:p>
        </w:tc>
        <w:tc>
          <w:tcPr>
            <w:tcW w:w="2703" w:type="dxa"/>
            <w:vAlign w:val="center"/>
          </w:tcPr>
          <w:p>
            <w:pPr>
              <w:pStyle w:val="2001"/>
            </w:pPr>
            <w:r>
              <w:rPr>
                <w:rFonts w:hint="eastAsia"/>
              </w:rPr>
              <w:t>生活废水经生活污水处理站处理后进入大榄坪污水处理厂，避免油料泄漏进入海域</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cantSplit/>
          <w:jc w:val="center"/>
        </w:trPr>
        <w:tc>
          <w:tcPr>
            <w:tcW w:w="713" w:type="dxa"/>
            <w:vMerge w:val="continue"/>
            <w:vAlign w:val="center"/>
          </w:tcPr>
          <w:p>
            <w:pPr>
              <w:pStyle w:val="2001"/>
            </w:pPr>
          </w:p>
        </w:tc>
        <w:tc>
          <w:tcPr>
            <w:tcW w:w="877" w:type="dxa"/>
            <w:vMerge w:val="continue"/>
            <w:shd w:val="clear" w:color="auto" w:fill="auto"/>
            <w:vAlign w:val="center"/>
          </w:tcPr>
          <w:p>
            <w:pPr>
              <w:pStyle w:val="2001"/>
            </w:pPr>
          </w:p>
        </w:tc>
        <w:tc>
          <w:tcPr>
            <w:tcW w:w="1167" w:type="dxa"/>
            <w:vMerge w:val="continue"/>
            <w:shd w:val="clear" w:color="auto" w:fill="auto"/>
            <w:vAlign w:val="center"/>
          </w:tcPr>
          <w:p>
            <w:pPr>
              <w:pStyle w:val="2001"/>
            </w:pPr>
          </w:p>
        </w:tc>
        <w:tc>
          <w:tcPr>
            <w:tcW w:w="3068" w:type="dxa"/>
            <w:vAlign w:val="center"/>
          </w:tcPr>
          <w:p>
            <w:pPr>
              <w:pStyle w:val="2001"/>
            </w:pPr>
            <w:r>
              <w:rPr>
                <w:rFonts w:hint="eastAsia"/>
              </w:rPr>
              <w:t>雨季施工悬浮物控制，设置临时截排水沟、沉淀池</w:t>
            </w:r>
          </w:p>
        </w:tc>
        <w:tc>
          <w:tcPr>
            <w:tcW w:w="2703" w:type="dxa"/>
            <w:vAlign w:val="center"/>
          </w:tcPr>
          <w:p>
            <w:pPr>
              <w:pStyle w:val="2001"/>
            </w:pPr>
            <w:r>
              <w:rPr>
                <w:rFonts w:hint="eastAsia"/>
              </w:rPr>
              <w:t>避免施工</w:t>
            </w:r>
            <w:r>
              <w:t>SS</w:t>
            </w:r>
            <w:r>
              <w:rPr>
                <w:rFonts w:hint="eastAsia"/>
              </w:rPr>
              <w:t>进入水环境影响范围</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cantSplit/>
          <w:jc w:val="center"/>
        </w:trPr>
        <w:tc>
          <w:tcPr>
            <w:tcW w:w="713" w:type="dxa"/>
            <w:vMerge w:val="continue"/>
            <w:vAlign w:val="center"/>
          </w:tcPr>
          <w:p>
            <w:pPr>
              <w:pStyle w:val="2001"/>
            </w:pPr>
          </w:p>
        </w:tc>
        <w:tc>
          <w:tcPr>
            <w:tcW w:w="877" w:type="dxa"/>
            <w:vMerge w:val="continue"/>
            <w:shd w:val="clear" w:color="auto" w:fill="auto"/>
            <w:vAlign w:val="center"/>
          </w:tcPr>
          <w:p>
            <w:pPr>
              <w:pStyle w:val="2001"/>
            </w:pPr>
          </w:p>
        </w:tc>
        <w:tc>
          <w:tcPr>
            <w:tcW w:w="1167" w:type="dxa"/>
            <w:vMerge w:val="continue"/>
            <w:shd w:val="clear" w:color="auto" w:fill="auto"/>
            <w:vAlign w:val="center"/>
          </w:tcPr>
          <w:p>
            <w:pPr>
              <w:pStyle w:val="2001"/>
            </w:pPr>
          </w:p>
        </w:tc>
        <w:tc>
          <w:tcPr>
            <w:tcW w:w="3068" w:type="dxa"/>
            <w:vAlign w:val="center"/>
          </w:tcPr>
          <w:p>
            <w:pPr>
              <w:pStyle w:val="2001"/>
            </w:pPr>
            <w:r>
              <w:rPr>
                <w:rFonts w:hint="eastAsia"/>
              </w:rPr>
              <w:t>疏浚悬浮物控制，低污染设备，施工期设置防污帘</w:t>
            </w:r>
          </w:p>
        </w:tc>
        <w:tc>
          <w:tcPr>
            <w:tcW w:w="2703" w:type="dxa"/>
            <w:vAlign w:val="center"/>
          </w:tcPr>
          <w:p>
            <w:pPr>
              <w:pStyle w:val="2001"/>
            </w:pPr>
            <w:r>
              <w:rPr>
                <w:rFonts w:hint="eastAsia"/>
              </w:rPr>
              <w:t>避免施工</w:t>
            </w:r>
            <w:r>
              <w:t>SS</w:t>
            </w:r>
            <w:r>
              <w:rPr>
                <w:rFonts w:hint="eastAsia"/>
              </w:rPr>
              <w:t>扩大水环境影响范围</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cantSplit/>
          <w:jc w:val="center"/>
        </w:trPr>
        <w:tc>
          <w:tcPr>
            <w:tcW w:w="713" w:type="dxa"/>
            <w:vMerge w:val="continue"/>
            <w:vAlign w:val="center"/>
          </w:tcPr>
          <w:p>
            <w:pPr>
              <w:pStyle w:val="2001"/>
            </w:pPr>
          </w:p>
        </w:tc>
        <w:tc>
          <w:tcPr>
            <w:tcW w:w="877" w:type="dxa"/>
            <w:shd w:val="clear" w:color="auto" w:fill="auto"/>
            <w:vAlign w:val="center"/>
          </w:tcPr>
          <w:p>
            <w:pPr>
              <w:pStyle w:val="2001"/>
            </w:pPr>
            <w:r>
              <w:t>运营期</w:t>
            </w:r>
          </w:p>
        </w:tc>
        <w:tc>
          <w:tcPr>
            <w:tcW w:w="1167" w:type="dxa"/>
            <w:shd w:val="clear" w:color="auto" w:fill="auto"/>
            <w:vAlign w:val="center"/>
          </w:tcPr>
          <w:p>
            <w:pPr>
              <w:pStyle w:val="2001"/>
            </w:pPr>
            <w:r>
              <w:t>污水</w:t>
            </w:r>
          </w:p>
        </w:tc>
        <w:tc>
          <w:tcPr>
            <w:tcW w:w="3068" w:type="dxa"/>
            <w:vAlign w:val="center"/>
          </w:tcPr>
          <w:p>
            <w:pPr>
              <w:pStyle w:val="2001"/>
            </w:pPr>
            <w:r>
              <w:t>设置排水系统，确保</w:t>
            </w:r>
            <w:r>
              <w:rPr>
                <w:rFonts w:hint="eastAsia"/>
              </w:rPr>
              <w:t>生活</w:t>
            </w:r>
            <w:r>
              <w:t>污水全部收集进入</w:t>
            </w:r>
            <w:r>
              <w:rPr>
                <w:rFonts w:hint="eastAsia"/>
              </w:rPr>
              <w:t>生活</w:t>
            </w:r>
            <w:r>
              <w:t>污水处理站</w:t>
            </w:r>
          </w:p>
        </w:tc>
        <w:tc>
          <w:tcPr>
            <w:tcW w:w="2703" w:type="dxa"/>
            <w:vAlign w:val="center"/>
          </w:tcPr>
          <w:p>
            <w:pPr>
              <w:pStyle w:val="2001"/>
            </w:pPr>
            <w:r>
              <w:rPr>
                <w:rFonts w:hint="eastAsia"/>
              </w:rPr>
              <w:t>生活污水</w:t>
            </w:r>
            <w:r>
              <w:t>处理站预处理达标后排入</w:t>
            </w:r>
            <w:r>
              <w:rPr>
                <w:rFonts w:hint="eastAsia"/>
              </w:rPr>
              <w:t>大榄坪污水处理厂</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cantSplit/>
          <w:jc w:val="center"/>
        </w:trPr>
        <w:tc>
          <w:tcPr>
            <w:tcW w:w="713" w:type="dxa"/>
            <w:vMerge w:val="restart"/>
            <w:vAlign w:val="center"/>
          </w:tcPr>
          <w:p>
            <w:pPr>
              <w:pStyle w:val="2001"/>
            </w:pPr>
            <w:r>
              <w:t>噪声</w:t>
            </w:r>
          </w:p>
        </w:tc>
        <w:tc>
          <w:tcPr>
            <w:tcW w:w="877" w:type="dxa"/>
            <w:vAlign w:val="center"/>
          </w:tcPr>
          <w:p>
            <w:pPr>
              <w:pStyle w:val="2001"/>
            </w:pPr>
            <w:r>
              <w:t>施工期</w:t>
            </w:r>
          </w:p>
        </w:tc>
        <w:tc>
          <w:tcPr>
            <w:tcW w:w="1167" w:type="dxa"/>
            <w:vAlign w:val="center"/>
          </w:tcPr>
          <w:p>
            <w:pPr>
              <w:pStyle w:val="2001"/>
            </w:pPr>
            <w:r>
              <w:t>施工噪声</w:t>
            </w:r>
          </w:p>
        </w:tc>
        <w:tc>
          <w:tcPr>
            <w:tcW w:w="3068" w:type="dxa"/>
            <w:vAlign w:val="center"/>
          </w:tcPr>
          <w:p>
            <w:pPr>
              <w:pStyle w:val="2001"/>
            </w:pPr>
            <w:r>
              <w:t>施工工人劳保等防护设施</w:t>
            </w:r>
          </w:p>
        </w:tc>
        <w:tc>
          <w:tcPr>
            <w:tcW w:w="2703" w:type="dxa"/>
            <w:vAlign w:val="center"/>
          </w:tcPr>
          <w:p>
            <w:pPr>
              <w:pStyle w:val="2001"/>
            </w:pPr>
            <w:r>
              <w:t>降低对施工人员的影响</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cantSplit/>
          <w:jc w:val="center"/>
        </w:trPr>
        <w:tc>
          <w:tcPr>
            <w:tcW w:w="713" w:type="dxa"/>
            <w:vMerge w:val="continue"/>
            <w:vAlign w:val="center"/>
          </w:tcPr>
          <w:p>
            <w:pPr>
              <w:pStyle w:val="2001"/>
            </w:pPr>
          </w:p>
        </w:tc>
        <w:tc>
          <w:tcPr>
            <w:tcW w:w="877" w:type="dxa"/>
            <w:vAlign w:val="center"/>
          </w:tcPr>
          <w:p>
            <w:pPr>
              <w:pStyle w:val="2001"/>
            </w:pPr>
            <w:r>
              <w:t>运营期</w:t>
            </w:r>
          </w:p>
        </w:tc>
        <w:tc>
          <w:tcPr>
            <w:tcW w:w="1167" w:type="dxa"/>
            <w:vAlign w:val="center"/>
          </w:tcPr>
          <w:p>
            <w:pPr>
              <w:pStyle w:val="2001"/>
            </w:pPr>
            <w:r>
              <w:t>装卸噪声</w:t>
            </w:r>
          </w:p>
        </w:tc>
        <w:tc>
          <w:tcPr>
            <w:tcW w:w="3068" w:type="dxa"/>
            <w:vAlign w:val="center"/>
          </w:tcPr>
          <w:p>
            <w:pPr>
              <w:pStyle w:val="2001"/>
            </w:pPr>
            <w:r>
              <w:t>设备减振垫</w:t>
            </w:r>
          </w:p>
        </w:tc>
        <w:tc>
          <w:tcPr>
            <w:tcW w:w="2703" w:type="dxa"/>
            <w:vAlign w:val="center"/>
          </w:tcPr>
          <w:p>
            <w:pPr>
              <w:pStyle w:val="2001"/>
            </w:pPr>
            <w:r>
              <w:t>降低对场界及工作人员的影响</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cantSplit/>
          <w:jc w:val="center"/>
        </w:trPr>
        <w:tc>
          <w:tcPr>
            <w:tcW w:w="713" w:type="dxa"/>
            <w:vMerge w:val="restart"/>
            <w:vAlign w:val="center"/>
          </w:tcPr>
          <w:p>
            <w:pPr>
              <w:pStyle w:val="2001"/>
            </w:pPr>
            <w:r>
              <w:t>固废</w:t>
            </w:r>
          </w:p>
        </w:tc>
        <w:tc>
          <w:tcPr>
            <w:tcW w:w="877" w:type="dxa"/>
            <w:vAlign w:val="center"/>
          </w:tcPr>
          <w:p>
            <w:pPr>
              <w:pStyle w:val="2001"/>
            </w:pPr>
            <w:r>
              <w:t>施工期</w:t>
            </w:r>
          </w:p>
        </w:tc>
        <w:tc>
          <w:tcPr>
            <w:tcW w:w="1167" w:type="dxa"/>
            <w:vAlign w:val="center"/>
          </w:tcPr>
          <w:p>
            <w:pPr>
              <w:pStyle w:val="2001"/>
            </w:pPr>
            <w:r>
              <w:t>生活垃圾</w:t>
            </w:r>
          </w:p>
        </w:tc>
        <w:tc>
          <w:tcPr>
            <w:tcW w:w="3068" w:type="dxa"/>
            <w:vAlign w:val="center"/>
          </w:tcPr>
          <w:p>
            <w:pPr>
              <w:pStyle w:val="2001"/>
            </w:pPr>
            <w:r>
              <w:t>统一收集处理</w:t>
            </w:r>
          </w:p>
        </w:tc>
        <w:tc>
          <w:tcPr>
            <w:tcW w:w="2703" w:type="dxa"/>
            <w:vAlign w:val="center"/>
          </w:tcPr>
          <w:p>
            <w:pPr>
              <w:pStyle w:val="2001"/>
            </w:pPr>
            <w:r>
              <w:rPr>
                <w:rFonts w:hint="eastAsia"/>
              </w:rPr>
              <w:t>外运</w:t>
            </w:r>
            <w:r>
              <w:t>处理</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cantSplit/>
          <w:jc w:val="center"/>
        </w:trPr>
        <w:tc>
          <w:tcPr>
            <w:tcW w:w="713" w:type="dxa"/>
            <w:vMerge w:val="continue"/>
            <w:shd w:val="clear" w:color="auto" w:fill="auto"/>
            <w:vAlign w:val="center"/>
          </w:tcPr>
          <w:p>
            <w:pPr>
              <w:pStyle w:val="2001"/>
            </w:pPr>
          </w:p>
        </w:tc>
        <w:tc>
          <w:tcPr>
            <w:tcW w:w="877" w:type="dxa"/>
            <w:vMerge w:val="restart"/>
            <w:vAlign w:val="center"/>
          </w:tcPr>
          <w:p>
            <w:pPr>
              <w:pStyle w:val="2001"/>
            </w:pPr>
            <w:r>
              <w:t>运营期</w:t>
            </w:r>
          </w:p>
        </w:tc>
        <w:tc>
          <w:tcPr>
            <w:tcW w:w="1167" w:type="dxa"/>
            <w:vAlign w:val="center"/>
          </w:tcPr>
          <w:p>
            <w:pPr>
              <w:pStyle w:val="2001"/>
            </w:pPr>
            <w:r>
              <w:t>生活垃圾</w:t>
            </w:r>
          </w:p>
        </w:tc>
        <w:tc>
          <w:tcPr>
            <w:tcW w:w="3068" w:type="dxa"/>
            <w:vAlign w:val="center"/>
          </w:tcPr>
          <w:p>
            <w:pPr>
              <w:pStyle w:val="2001"/>
            </w:pPr>
            <w:r>
              <w:t>统一收集处理</w:t>
            </w:r>
          </w:p>
        </w:tc>
        <w:tc>
          <w:tcPr>
            <w:tcW w:w="2703" w:type="dxa"/>
            <w:vAlign w:val="center"/>
          </w:tcPr>
          <w:p>
            <w:pPr>
              <w:pStyle w:val="2001"/>
            </w:pPr>
            <w:r>
              <w:rPr>
                <w:rFonts w:hint="eastAsia"/>
              </w:rPr>
              <w:t>外运</w:t>
            </w:r>
            <w:r>
              <w:t>处理</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cantSplit/>
          <w:jc w:val="center"/>
        </w:trPr>
        <w:tc>
          <w:tcPr>
            <w:tcW w:w="713" w:type="dxa"/>
            <w:vMerge w:val="continue"/>
            <w:shd w:val="clear" w:color="auto" w:fill="auto"/>
            <w:vAlign w:val="center"/>
          </w:tcPr>
          <w:p>
            <w:pPr>
              <w:pStyle w:val="2001"/>
            </w:pPr>
          </w:p>
        </w:tc>
        <w:tc>
          <w:tcPr>
            <w:tcW w:w="877" w:type="dxa"/>
            <w:vMerge w:val="continue"/>
            <w:vAlign w:val="center"/>
          </w:tcPr>
          <w:p>
            <w:pPr>
              <w:pStyle w:val="2001"/>
            </w:pPr>
          </w:p>
        </w:tc>
        <w:tc>
          <w:tcPr>
            <w:tcW w:w="1167" w:type="dxa"/>
            <w:vAlign w:val="center"/>
          </w:tcPr>
          <w:p>
            <w:pPr>
              <w:pStyle w:val="2001"/>
            </w:pPr>
            <w:r>
              <w:t>废油</w:t>
            </w:r>
          </w:p>
        </w:tc>
        <w:tc>
          <w:tcPr>
            <w:tcW w:w="3068" w:type="dxa"/>
            <w:vAlign w:val="center"/>
          </w:tcPr>
          <w:p>
            <w:pPr>
              <w:pStyle w:val="2001"/>
            </w:pPr>
            <w:r>
              <w:t>交由专业机构统一处理</w:t>
            </w:r>
          </w:p>
        </w:tc>
        <w:tc>
          <w:tcPr>
            <w:tcW w:w="2703" w:type="dxa"/>
            <w:vAlign w:val="center"/>
          </w:tcPr>
          <w:p>
            <w:pPr>
              <w:pStyle w:val="2001"/>
            </w:pPr>
            <w:r>
              <w:rPr>
                <w:rFonts w:hint="eastAsia"/>
              </w:rPr>
              <w:t>外运</w:t>
            </w:r>
            <w:r>
              <w:t>处理</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cantSplit/>
          <w:jc w:val="center"/>
        </w:trPr>
        <w:tc>
          <w:tcPr>
            <w:tcW w:w="713" w:type="dxa"/>
            <w:vMerge w:val="continue"/>
            <w:shd w:val="clear" w:color="auto" w:fill="auto"/>
            <w:vAlign w:val="center"/>
          </w:tcPr>
          <w:p>
            <w:pPr>
              <w:pStyle w:val="2001"/>
            </w:pPr>
          </w:p>
        </w:tc>
        <w:tc>
          <w:tcPr>
            <w:tcW w:w="877" w:type="dxa"/>
            <w:vMerge w:val="continue"/>
            <w:vAlign w:val="center"/>
          </w:tcPr>
          <w:p>
            <w:pPr>
              <w:pStyle w:val="2001"/>
            </w:pPr>
          </w:p>
        </w:tc>
        <w:tc>
          <w:tcPr>
            <w:tcW w:w="1167" w:type="dxa"/>
            <w:vAlign w:val="center"/>
          </w:tcPr>
          <w:p>
            <w:pPr>
              <w:pStyle w:val="2001"/>
            </w:pPr>
            <w:r>
              <w:t>绿化</w:t>
            </w:r>
          </w:p>
        </w:tc>
        <w:tc>
          <w:tcPr>
            <w:tcW w:w="3068" w:type="dxa"/>
            <w:vAlign w:val="center"/>
          </w:tcPr>
          <w:p>
            <w:pPr>
              <w:pStyle w:val="2001"/>
            </w:pPr>
            <w:r>
              <w:t>加强港区绿化</w:t>
            </w:r>
          </w:p>
        </w:tc>
        <w:tc>
          <w:tcPr>
            <w:tcW w:w="2703" w:type="dxa"/>
            <w:vAlign w:val="center"/>
          </w:tcPr>
          <w:p>
            <w:pPr>
              <w:pStyle w:val="2001"/>
            </w:pPr>
            <w:r>
              <w:t>减少扬尘</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cantSplit/>
          <w:jc w:val="center"/>
        </w:trPr>
        <w:tc>
          <w:tcPr>
            <w:tcW w:w="713" w:type="dxa"/>
            <w:vMerge w:val="continue"/>
            <w:shd w:val="clear" w:color="auto" w:fill="auto"/>
            <w:vAlign w:val="center"/>
          </w:tcPr>
          <w:p>
            <w:pPr>
              <w:pStyle w:val="2001"/>
            </w:pPr>
          </w:p>
        </w:tc>
        <w:tc>
          <w:tcPr>
            <w:tcW w:w="877" w:type="dxa"/>
            <w:vMerge w:val="continue"/>
            <w:vAlign w:val="center"/>
          </w:tcPr>
          <w:p>
            <w:pPr>
              <w:pStyle w:val="2001"/>
            </w:pPr>
          </w:p>
        </w:tc>
        <w:tc>
          <w:tcPr>
            <w:tcW w:w="1167" w:type="dxa"/>
            <w:vAlign w:val="center"/>
          </w:tcPr>
          <w:p>
            <w:pPr>
              <w:pStyle w:val="2001"/>
            </w:pPr>
            <w:r>
              <w:t>水生生态</w:t>
            </w:r>
          </w:p>
        </w:tc>
        <w:tc>
          <w:tcPr>
            <w:tcW w:w="3068" w:type="dxa"/>
            <w:vAlign w:val="center"/>
          </w:tcPr>
          <w:p>
            <w:pPr>
              <w:pStyle w:val="2001"/>
            </w:pPr>
            <w:r>
              <w:t>加强管理，禁止捕捞珍稀保护水生生物</w:t>
            </w:r>
            <w:r>
              <w:rPr>
                <w:rFonts w:hint="eastAsia"/>
              </w:rPr>
              <w:t>、人工增殖放流</w:t>
            </w:r>
          </w:p>
        </w:tc>
        <w:tc>
          <w:tcPr>
            <w:tcW w:w="2703" w:type="dxa"/>
            <w:vAlign w:val="center"/>
          </w:tcPr>
          <w:p>
            <w:pPr>
              <w:pStyle w:val="2001"/>
            </w:pPr>
            <w:r>
              <w:t>降低对水生生物的不利影响</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cantSplit/>
          <w:jc w:val="center"/>
        </w:trPr>
        <w:tc>
          <w:tcPr>
            <w:tcW w:w="2757" w:type="dxa"/>
            <w:gridSpan w:val="3"/>
            <w:shd w:val="clear" w:color="auto" w:fill="auto"/>
            <w:vAlign w:val="center"/>
          </w:tcPr>
          <w:p>
            <w:pPr>
              <w:pStyle w:val="2001"/>
            </w:pPr>
            <w:r>
              <w:t>环境风险</w:t>
            </w:r>
          </w:p>
        </w:tc>
        <w:tc>
          <w:tcPr>
            <w:tcW w:w="3068" w:type="dxa"/>
            <w:vAlign w:val="center"/>
          </w:tcPr>
          <w:p>
            <w:pPr>
              <w:pStyle w:val="2001"/>
            </w:pPr>
            <w:r>
              <w:t>配备溢油应急设备</w:t>
            </w:r>
            <w:r>
              <w:rPr>
                <w:rFonts w:hint="eastAsia"/>
              </w:rPr>
              <w:t>，应急预案</w:t>
            </w:r>
          </w:p>
        </w:tc>
        <w:tc>
          <w:tcPr>
            <w:tcW w:w="2703" w:type="dxa"/>
            <w:vAlign w:val="center"/>
          </w:tcPr>
          <w:p>
            <w:pPr>
              <w:pStyle w:val="2001"/>
            </w:pPr>
            <w:r>
              <w:t>减轻溢油风险影响</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cantSplit/>
          <w:jc w:val="center"/>
        </w:trPr>
        <w:tc>
          <w:tcPr>
            <w:tcW w:w="2757" w:type="dxa"/>
            <w:gridSpan w:val="3"/>
            <w:shd w:val="clear" w:color="auto" w:fill="auto"/>
            <w:vAlign w:val="center"/>
          </w:tcPr>
          <w:p>
            <w:pPr>
              <w:pStyle w:val="2001"/>
            </w:pPr>
            <w:r>
              <w:t>环境管理</w:t>
            </w:r>
          </w:p>
        </w:tc>
        <w:tc>
          <w:tcPr>
            <w:tcW w:w="3068" w:type="dxa"/>
            <w:vAlign w:val="center"/>
          </w:tcPr>
          <w:p>
            <w:pPr>
              <w:pStyle w:val="2001"/>
            </w:pPr>
            <w:r>
              <w:t>日常环境管理、检查</w:t>
            </w:r>
          </w:p>
        </w:tc>
        <w:tc>
          <w:tcPr>
            <w:tcW w:w="2703" w:type="dxa"/>
            <w:vAlign w:val="center"/>
          </w:tcPr>
          <w:p>
            <w:pPr>
              <w:pStyle w:val="2001"/>
            </w:pPr>
            <w:r>
              <w:t>污染物达标排放</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cantSplit/>
          <w:jc w:val="center"/>
        </w:trPr>
        <w:tc>
          <w:tcPr>
            <w:tcW w:w="2757" w:type="dxa"/>
            <w:gridSpan w:val="3"/>
            <w:vAlign w:val="center"/>
          </w:tcPr>
          <w:p>
            <w:pPr>
              <w:pStyle w:val="2001"/>
            </w:pPr>
            <w:r>
              <w:t>环境监测</w:t>
            </w:r>
          </w:p>
        </w:tc>
        <w:tc>
          <w:tcPr>
            <w:tcW w:w="3068" w:type="dxa"/>
            <w:vAlign w:val="center"/>
          </w:tcPr>
          <w:p>
            <w:pPr>
              <w:pStyle w:val="2001"/>
            </w:pPr>
            <w:r>
              <w:t>水、气、声、生态日常监测</w:t>
            </w:r>
          </w:p>
        </w:tc>
        <w:tc>
          <w:tcPr>
            <w:tcW w:w="2703" w:type="dxa"/>
            <w:vAlign w:val="center"/>
          </w:tcPr>
          <w:p>
            <w:pPr>
              <w:pStyle w:val="2001"/>
            </w:pPr>
            <w:r>
              <w:t>污染物达标排放</w:t>
            </w:r>
          </w:p>
        </w:tc>
      </w:tr>
    </w:tbl>
    <w:p>
      <w:pPr>
        <w:pStyle w:val="634"/>
        <w:ind w:firstLine="462"/>
        <w:rPr>
          <w:rFonts w:eastAsia="宋体" w:cs="Times New Roman"/>
          <w:color w:val="000000" w:themeColor="text1"/>
          <w14:textFill>
            <w14:solidFill>
              <w14:schemeClr w14:val="tx1"/>
            </w14:solidFill>
          </w14:textFill>
        </w:rPr>
      </w:pPr>
    </w:p>
    <w:p>
      <w:pPr>
        <w:ind w:firstLine="1032" w:firstLineChars="447"/>
        <w:rPr>
          <w:b/>
          <w:bCs/>
          <w:color w:val="000000" w:themeColor="text1"/>
          <w14:textFill>
            <w14:solidFill>
              <w14:schemeClr w14:val="tx1"/>
            </w14:solidFill>
          </w14:textFill>
        </w:rPr>
        <w:sectPr>
          <w:pgSz w:w="11907" w:h="16840"/>
          <w:pgMar w:top="1440" w:right="1514" w:bottom="1440" w:left="1797" w:header="992" w:footer="851" w:gutter="284"/>
          <w:pgNumType w:fmt="numberInDash"/>
          <w:cols w:space="425" w:num="1"/>
          <w:docGrid w:type="linesAndChars" w:linePitch="465" w:charSpace="-1866"/>
        </w:sectPr>
      </w:pPr>
    </w:p>
    <w:p>
      <w:pPr>
        <w:pStyle w:val="3"/>
        <w:rPr>
          <w:color w:val="000000" w:themeColor="text1"/>
          <w14:textFill>
            <w14:solidFill>
              <w14:schemeClr w14:val="tx1"/>
            </w14:solidFill>
          </w14:textFill>
        </w:rPr>
      </w:pPr>
      <w:bookmarkStart w:id="332" w:name="_Toc170918628"/>
      <w:bookmarkStart w:id="333" w:name="_Toc232338282"/>
      <w:bookmarkStart w:id="334" w:name="_Toc247517593"/>
      <w:bookmarkStart w:id="335" w:name="_Toc247517429"/>
      <w:bookmarkStart w:id="336" w:name="_Toc247517520"/>
      <w:bookmarkStart w:id="337" w:name="_Toc317003295"/>
      <w:bookmarkStart w:id="338" w:name="_Toc317003575"/>
      <w:r>
        <w:rPr>
          <w:color w:val="000000" w:themeColor="text1"/>
          <w14:textFill>
            <w14:solidFill>
              <w14:schemeClr w14:val="tx1"/>
            </w14:solidFill>
          </w14:textFill>
        </w:rPr>
        <w:t>评价结论</w:t>
      </w:r>
      <w:bookmarkEnd w:id="332"/>
    </w:p>
    <w:p>
      <w:pPr>
        <w:pStyle w:val="4"/>
        <w:rPr>
          <w:color w:val="000000" w:themeColor="text1"/>
          <w14:textFill>
            <w14:solidFill>
              <w14:schemeClr w14:val="tx1"/>
            </w14:solidFill>
          </w14:textFill>
        </w:rPr>
      </w:pPr>
      <w:bookmarkStart w:id="339" w:name="_Toc170918629"/>
      <w:r>
        <w:rPr>
          <w:color w:val="000000" w:themeColor="text1"/>
          <w14:textFill>
            <w14:solidFill>
              <w14:schemeClr w14:val="tx1"/>
            </w14:solidFill>
          </w14:textFill>
        </w:rPr>
        <w:t>工程概况</w:t>
      </w:r>
      <w:bookmarkEnd w:id="333"/>
      <w:bookmarkEnd w:id="334"/>
      <w:bookmarkEnd w:id="335"/>
      <w:bookmarkEnd w:id="336"/>
      <w:bookmarkEnd w:id="337"/>
      <w:bookmarkEnd w:id="338"/>
      <w:bookmarkEnd w:id="339"/>
    </w:p>
    <w:p>
      <w:pPr>
        <w:pStyle w:val="1075"/>
        <w:ind w:firstLine="462"/>
        <w:rPr>
          <w:color w:val="000000" w:themeColor="text1"/>
          <w14:textFill>
            <w14:solidFill>
              <w14:schemeClr w14:val="tx1"/>
            </w14:solidFill>
          </w14:textFill>
        </w:rPr>
      </w:pPr>
      <w:r>
        <w:rPr>
          <w:rFonts w:hint="eastAsia"/>
          <w:color w:val="000000" w:themeColor="text1"/>
          <w14:textFill>
            <w14:solidFill>
              <w14:schemeClr w14:val="tx1"/>
            </w14:solidFill>
          </w14:textFill>
        </w:rPr>
        <w:t>北部湾港钦州港域大榄坪港区大榄坪南作业区9号10号泊位目前为10万吨级（水工结构预留20万吨）</w:t>
      </w:r>
      <w:r>
        <w:rPr>
          <w:rFonts w:hint="eastAsia"/>
          <w:color w:val="000000" w:themeColor="text1"/>
          <w:szCs w:val="28"/>
          <w14:textFill>
            <w14:solidFill>
              <w14:schemeClr w14:val="tx1"/>
            </w14:solidFill>
          </w14:textFill>
        </w:rPr>
        <w:t>，拟</w:t>
      </w:r>
      <w:r>
        <w:rPr>
          <w:rFonts w:hint="eastAsia"/>
          <w:color w:val="000000" w:themeColor="text1"/>
          <w14:textFill>
            <w14:solidFill>
              <w14:schemeClr w14:val="tx1"/>
            </w14:solidFill>
          </w14:textFill>
        </w:rPr>
        <w:t>扩建为</w:t>
      </w:r>
      <w:r>
        <w:rPr>
          <w:rFonts w:hint="eastAsia"/>
          <w:color w:val="000000" w:themeColor="text1"/>
          <w:szCs w:val="28"/>
          <w14:textFill>
            <w14:solidFill>
              <w14:schemeClr w14:val="tx1"/>
            </w14:solidFill>
          </w14:textFill>
        </w:rPr>
        <w:t>20万吨级集装箱泊位，</w:t>
      </w:r>
    </w:p>
    <w:p>
      <w:pPr>
        <w:pStyle w:val="283"/>
        <w:ind w:firstLine="462"/>
        <w:rPr>
          <w:color w:val="000000" w:themeColor="text1"/>
          <w14:textFill>
            <w14:solidFill>
              <w14:schemeClr w14:val="tx1"/>
            </w14:solidFill>
          </w14:textFill>
        </w:rPr>
      </w:pPr>
      <w:r>
        <w:rPr>
          <w:rFonts w:hint="eastAsia"/>
          <w:color w:val="000000" w:themeColor="text1"/>
          <w14:textFill>
            <w14:solidFill>
              <w14:schemeClr w14:val="tx1"/>
            </w14:solidFill>
          </w14:textFill>
        </w:rPr>
        <w:t>从10号泊位往南扩建泊位208m，扩建后9号10号泊位岸线总长度为991m，可以满足2艘20万吨级集装箱船同时靠泊要求，同时南侧新建消浪护岸695m，消浪护岸过渡段157.8m，均采用沉箱结构。</w:t>
      </w:r>
    </w:p>
    <w:p>
      <w:pPr>
        <w:ind w:firstLine="462" w:firstLineChars="200"/>
        <w:rPr>
          <w:color w:val="000000" w:themeColor="text1"/>
          <w:szCs w:val="32"/>
          <w14:textFill>
            <w14:solidFill>
              <w14:schemeClr w14:val="tx1"/>
            </w14:solidFill>
          </w14:textFill>
        </w:rPr>
      </w:pPr>
      <w:r>
        <w:rPr>
          <w:color w:val="000000" w:themeColor="text1"/>
          <w14:textFill>
            <w14:solidFill>
              <w14:schemeClr w14:val="tx1"/>
            </w14:solidFill>
          </w14:textFill>
        </w:rPr>
        <w:t>本次扩建将原9号10号泊位预留的22号堆场纳入工程范围，该堆场已完成地基处理。集装箱堆场区纵深563m，新增集装箱堆场堆存面积约1.8</w:t>
      </w:r>
      <w:r>
        <w:rPr>
          <w:rFonts w:hint="eastAsia"/>
          <w:color w:val="000000" w:themeColor="text1"/>
          <w14:textFill>
            <w14:solidFill>
              <w14:schemeClr w14:val="tx1"/>
            </w14:solidFill>
          </w14:textFill>
        </w:rPr>
        <w:t xml:space="preserve"> h</w:t>
      </w:r>
      <w:r>
        <w:rPr>
          <w:color w:val="000000" w:themeColor="text1"/>
          <w14:textFill>
            <w14:solidFill>
              <w14:schemeClr w14:val="tx1"/>
            </w14:solidFill>
          </w14:textFill>
        </w:rPr>
        <w:t>m</w:t>
      </w:r>
      <w:r>
        <w:rPr>
          <w:color w:val="000000" w:themeColor="text1"/>
          <w:vertAlign w:val="superscript"/>
          <w14:textFill>
            <w14:solidFill>
              <w14:schemeClr w14:val="tx1"/>
            </w14:solidFill>
          </w14:textFill>
        </w:rPr>
        <w:t>2</w:t>
      </w:r>
      <w:r>
        <w:rPr>
          <w:color w:val="000000" w:themeColor="text1"/>
          <w14:textFill>
            <w14:solidFill>
              <w14:schemeClr w14:val="tx1"/>
            </w14:solidFill>
          </w14:textFill>
        </w:rPr>
        <w:t>，重、空箱采用混堆方式。</w:t>
      </w:r>
      <w:r>
        <w:rPr>
          <w:rFonts w:hint="eastAsia"/>
          <w:color w:val="000000" w:themeColor="text1"/>
          <w14:textFill>
            <w14:solidFill>
              <w14:schemeClr w14:val="tx1"/>
            </w14:solidFill>
          </w14:textFill>
        </w:rPr>
        <w:t>本次扩建的</w:t>
      </w:r>
      <w:r>
        <w:rPr>
          <w:color w:val="000000" w:themeColor="text1"/>
          <w14:textFill>
            <w14:solidFill>
              <w14:schemeClr w14:val="tx1"/>
            </w14:solidFill>
          </w14:textFill>
        </w:rPr>
        <w:t>9号10号泊位长</w:t>
      </w:r>
      <w:r>
        <w:rPr>
          <w:rFonts w:hint="eastAsia"/>
          <w:color w:val="000000" w:themeColor="text1"/>
          <w14:textFill>
            <w14:solidFill>
              <w14:schemeClr w14:val="tx1"/>
            </w14:solidFill>
          </w14:textFill>
        </w:rPr>
        <w:t>208m，位于现有陆域南侧，扩建陆域现有已填海陆地10.73hm</w:t>
      </w:r>
      <w:r>
        <w:rPr>
          <w:rFonts w:hint="eastAsia"/>
          <w:color w:val="000000" w:themeColor="text1"/>
          <w:vertAlign w:val="superscript"/>
          <w14:textFill>
            <w14:solidFill>
              <w14:schemeClr w14:val="tx1"/>
            </w14:solidFill>
          </w14:textFill>
        </w:rPr>
        <w:t>2</w:t>
      </w:r>
      <w:r>
        <w:rPr>
          <w:rFonts w:hint="eastAsia"/>
          <w:color w:val="000000" w:themeColor="text1"/>
          <w14:textFill>
            <w14:solidFill>
              <w14:schemeClr w14:val="tx1"/>
            </w14:solidFill>
          </w14:textFill>
        </w:rPr>
        <w:t>，未回填区域9.9hm</w:t>
      </w:r>
      <w:r>
        <w:rPr>
          <w:rFonts w:hint="eastAsia"/>
          <w:color w:val="000000" w:themeColor="text1"/>
          <w:vertAlign w:val="superscript"/>
          <w14:textFill>
            <w14:solidFill>
              <w14:schemeClr w14:val="tx1"/>
            </w14:solidFill>
          </w14:textFill>
        </w:rPr>
        <w:t>2</w:t>
      </w:r>
      <w:r>
        <w:rPr>
          <w:rFonts w:hint="eastAsia"/>
          <w:color w:val="000000" w:themeColor="text1"/>
          <w14:textFill>
            <w14:solidFill>
              <w14:schemeClr w14:val="tx1"/>
            </w14:solidFill>
          </w14:textFill>
        </w:rPr>
        <w:t>，其围填海属于钦州保税港区昊鼎仓储物流中心项目，</w:t>
      </w:r>
      <w:r>
        <w:rPr>
          <w:rFonts w:hint="eastAsia"/>
          <w:color w:val="000000" w:themeColor="text1"/>
          <w:u w:val="single"/>
          <w14:textFill>
            <w14:solidFill>
              <w14:schemeClr w14:val="tx1"/>
            </w14:solidFill>
          </w14:textFill>
        </w:rPr>
        <w:t>本项目不新增围填海</w:t>
      </w:r>
      <w:r>
        <w:rPr>
          <w:rFonts w:hint="eastAsia"/>
          <w:color w:val="000000" w:themeColor="text1"/>
          <w14:textFill>
            <w14:solidFill>
              <w14:schemeClr w14:val="tx1"/>
            </w14:solidFill>
          </w14:textFill>
        </w:rPr>
        <w:t>，陆域形成依托该项目建设。</w:t>
      </w:r>
    </w:p>
    <w:p>
      <w:pPr>
        <w:pStyle w:val="283"/>
        <w:ind w:firstLine="462"/>
        <w:rPr>
          <w:color w:val="000000" w:themeColor="text1"/>
          <w14:textFill>
            <w14:solidFill>
              <w14:schemeClr w14:val="tx1"/>
            </w14:solidFill>
          </w14:textFill>
        </w:rPr>
      </w:pPr>
      <w:r>
        <w:rPr>
          <w:color w:val="000000" w:themeColor="text1"/>
          <w14:textFill>
            <w14:solidFill>
              <w14:schemeClr w14:val="tx1"/>
            </w14:solidFill>
          </w14:textFill>
        </w:rPr>
        <w:t>港池疏浚</w:t>
      </w:r>
      <w:r>
        <w:rPr>
          <w:rFonts w:hint="eastAsia"/>
          <w:color w:val="000000" w:themeColor="text1"/>
          <w14:textFill>
            <w14:solidFill>
              <w14:schemeClr w14:val="tx1"/>
            </w14:solidFill>
          </w14:textFill>
        </w:rPr>
        <w:t>总量约204.7万m</w:t>
      </w:r>
      <w:r>
        <w:rPr>
          <w:rFonts w:hint="eastAsia"/>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（其中炸礁47.6万m</w:t>
      </w:r>
      <w:r>
        <w:rPr>
          <w:rFonts w:hint="eastAsia"/>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疏浚面积约</w:t>
      </w:r>
      <w:r>
        <w:rPr>
          <w:rFonts w:hint="eastAsia"/>
          <w:color w:val="000000" w:themeColor="text1"/>
          <w14:textFill>
            <w14:solidFill>
              <w14:schemeClr w14:val="tx1"/>
            </w14:solidFill>
          </w14:textFill>
        </w:rPr>
        <w:t>24.87hm</w:t>
      </w:r>
      <w:r>
        <w:rPr>
          <w:rFonts w:hint="eastAsia"/>
          <w:color w:val="000000" w:themeColor="text1"/>
          <w:vertAlign w:val="superscript"/>
          <w14:textFill>
            <w14:solidFill>
              <w14:schemeClr w14:val="tx1"/>
            </w14:solidFill>
          </w14:textFill>
        </w:rPr>
        <w:t>2</w:t>
      </w:r>
      <w:r>
        <w:rPr>
          <w:rFonts w:hint="eastAsia"/>
          <w:color w:val="000000" w:themeColor="text1"/>
          <w14:textFill>
            <w14:solidFill>
              <w14:schemeClr w14:val="tx1"/>
            </w14:solidFill>
          </w14:textFill>
        </w:rPr>
        <w:t>（其中炸礁面积约7.86hm</w:t>
      </w:r>
      <w:r>
        <w:rPr>
          <w:rFonts w:hint="eastAsia"/>
          <w:color w:val="000000" w:themeColor="text1"/>
          <w:vertAlign w:val="superscript"/>
          <w14:textFill>
            <w14:solidFill>
              <w14:schemeClr w14:val="tx1"/>
            </w14:solidFill>
          </w14:textFill>
        </w:rPr>
        <w:t>2</w:t>
      </w:r>
      <w:r>
        <w:rPr>
          <w:rFonts w:hint="eastAsia"/>
          <w:color w:val="000000" w:themeColor="text1"/>
          <w14:textFill>
            <w14:solidFill>
              <w14:schemeClr w14:val="tx1"/>
            </w14:solidFill>
          </w14:textFill>
        </w:rPr>
        <w:t>），疏浚土石方约81.3万m</w:t>
      </w:r>
      <w:r>
        <w:rPr>
          <w:rFonts w:hint="eastAsia"/>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用于本项目依托工程昊鼎仓储物流中心项目继续填海的陆域吹填，123.4万m</w:t>
      </w:r>
      <w:r>
        <w:rPr>
          <w:rFonts w:hint="eastAsia"/>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经泥驳自航运输至钦州港30万吨级进港航道疏浚工程疏浚物临时性海洋倾倒区B区抛卸。</w:t>
      </w:r>
      <w:r>
        <w:rPr>
          <w:color w:val="000000" w:themeColor="text1"/>
          <w14:textFill>
            <w14:solidFill>
              <w14:schemeClr w14:val="tx1"/>
            </w14:solidFill>
          </w14:textFill>
        </w:rPr>
        <w:t>配套工程包括供电、给排水、消防、通信、</w:t>
      </w:r>
      <w:r>
        <w:rPr>
          <w:rFonts w:hint="eastAsia"/>
          <w:color w:val="000000" w:themeColor="text1"/>
          <w14:textFill>
            <w14:solidFill>
              <w14:schemeClr w14:val="tx1"/>
            </w14:solidFill>
          </w14:textFill>
        </w:rPr>
        <w:t>助</w:t>
      </w:r>
      <w:r>
        <w:rPr>
          <w:color w:val="000000" w:themeColor="text1"/>
          <w14:textFill>
            <w14:solidFill>
              <w14:schemeClr w14:val="tx1"/>
            </w14:solidFill>
          </w14:textFill>
        </w:rPr>
        <w:t>导航工程等。</w:t>
      </w:r>
    </w:p>
    <w:p>
      <w:pPr>
        <w:pStyle w:val="283"/>
        <w:ind w:firstLine="462"/>
        <w:rPr>
          <w:color w:val="000000" w:themeColor="text1"/>
          <w14:textFill>
            <w14:solidFill>
              <w14:schemeClr w14:val="tx1"/>
            </w14:solidFill>
          </w14:textFill>
        </w:rPr>
      </w:pPr>
      <w:r>
        <w:rPr>
          <w:color w:val="000000" w:themeColor="text1"/>
          <w14:textFill>
            <w14:solidFill>
              <w14:schemeClr w14:val="tx1"/>
            </w14:solidFill>
          </w14:textFill>
        </w:rPr>
        <w:t>项目建设工期</w:t>
      </w:r>
      <w:r>
        <w:rPr>
          <w:rFonts w:hint="eastAsia"/>
          <w:color w:val="000000" w:themeColor="text1"/>
          <w14:textFill>
            <w14:solidFill>
              <w14:schemeClr w14:val="tx1"/>
            </w14:solidFill>
          </w14:textFill>
        </w:rPr>
        <w:t>24</w:t>
      </w:r>
      <w:r>
        <w:rPr>
          <w:color w:val="000000" w:themeColor="text1"/>
          <w14:textFill>
            <w14:solidFill>
              <w14:schemeClr w14:val="tx1"/>
            </w14:solidFill>
          </w14:textFill>
        </w:rPr>
        <w:t>个月，总投资</w:t>
      </w:r>
      <w:r>
        <w:rPr>
          <w:rFonts w:hint="eastAsia"/>
          <w:color w:val="000000" w:themeColor="text1"/>
          <w14:textFill>
            <w14:solidFill>
              <w14:schemeClr w14:val="tx1"/>
            </w14:solidFill>
          </w14:textFill>
        </w:rPr>
        <w:t>114997.33</w:t>
      </w:r>
      <w:r>
        <w:rPr>
          <w:color w:val="000000" w:themeColor="text1"/>
          <w14:textFill>
            <w14:solidFill>
              <w14:schemeClr w14:val="tx1"/>
            </w14:solidFill>
          </w14:textFill>
        </w:rPr>
        <w:t>万元</w:t>
      </w:r>
      <w:r>
        <w:rPr>
          <w:rFonts w:hint="eastAsia"/>
          <w:color w:val="000000" w:themeColor="text1"/>
          <w14:textFill>
            <w14:solidFill>
              <w14:schemeClr w14:val="tx1"/>
            </w14:solidFill>
          </w14:textFill>
        </w:rPr>
        <w:t>，其中环保投资</w:t>
      </w:r>
      <w:r>
        <w:rPr>
          <w:color w:val="000000" w:themeColor="text1"/>
          <w14:textFill>
            <w14:solidFill>
              <w14:schemeClr w14:val="tx1"/>
            </w14:solidFill>
          </w14:textFill>
        </w:rPr>
        <w:t>558.79万元</w:t>
      </w:r>
      <w:r>
        <w:rPr>
          <w:rFonts w:hint="eastAsia"/>
          <w:color w:val="000000" w:themeColor="text1"/>
          <w14:textFill>
            <w14:solidFill>
              <w14:schemeClr w14:val="tx1"/>
            </w14:solidFill>
          </w14:textFill>
        </w:rPr>
        <w:t>。</w:t>
      </w:r>
    </w:p>
    <w:p>
      <w:pPr>
        <w:pStyle w:val="4"/>
        <w:rPr>
          <w:color w:val="000000" w:themeColor="text1"/>
          <w14:textFill>
            <w14:solidFill>
              <w14:schemeClr w14:val="tx1"/>
            </w14:solidFill>
          </w14:textFill>
        </w:rPr>
      </w:pPr>
      <w:bookmarkStart w:id="340" w:name="_Toc317003296"/>
      <w:bookmarkStart w:id="341" w:name="_Toc317003576"/>
      <w:bookmarkStart w:id="342" w:name="_Toc170918630"/>
      <w:r>
        <w:rPr>
          <w:color w:val="000000" w:themeColor="text1"/>
          <w14:textFill>
            <w14:solidFill>
              <w14:schemeClr w14:val="tx1"/>
            </w14:solidFill>
          </w14:textFill>
        </w:rPr>
        <w:t>规划一致性分析结论</w:t>
      </w:r>
      <w:bookmarkEnd w:id="340"/>
      <w:bookmarkEnd w:id="341"/>
      <w:bookmarkEnd w:id="342"/>
    </w:p>
    <w:p>
      <w:pPr>
        <w:pStyle w:val="283"/>
        <w:ind w:firstLine="462"/>
        <w:rPr>
          <w:color w:val="000000" w:themeColor="text1"/>
          <w14:textFill>
            <w14:solidFill>
              <w14:schemeClr w14:val="tx1"/>
            </w14:solidFill>
          </w14:textFill>
        </w:rPr>
      </w:pPr>
      <w:r>
        <w:rPr>
          <w:color w:val="000000" w:themeColor="text1"/>
          <w14:textFill>
            <w14:solidFill>
              <w14:schemeClr w14:val="tx1"/>
            </w14:solidFill>
          </w14:textFill>
        </w:rPr>
        <w:t>（1）与相关功能区划的一致性</w:t>
      </w:r>
    </w:p>
    <w:p>
      <w:pPr>
        <w:pStyle w:val="283"/>
        <w:ind w:firstLine="462"/>
        <w:rPr>
          <w:color w:val="000000" w:themeColor="text1"/>
          <w14:textFill>
            <w14:solidFill>
              <w14:schemeClr w14:val="tx1"/>
            </w14:solidFill>
          </w14:textFill>
        </w:rPr>
      </w:pPr>
      <w:r>
        <w:rPr>
          <w:color w:val="000000" w:themeColor="text1"/>
          <w14:textFill>
            <w14:solidFill>
              <w14:schemeClr w14:val="tx1"/>
            </w14:solidFill>
          </w14:textFill>
        </w:rPr>
        <w:t>本工程位于</w:t>
      </w:r>
      <w:r>
        <w:rPr>
          <w:rFonts w:hint="eastAsia"/>
          <w:color w:val="000000" w:themeColor="text1"/>
          <w14:textFill>
            <w14:solidFill>
              <w14:schemeClr w14:val="tx1"/>
            </w14:solidFill>
          </w14:textFill>
        </w:rPr>
        <w:t>大榄坪港区大榄坪南作业区，位置和功能符合《钦州市国土空间总体规划（2021—2035年）》市域海洋功能分区中划定的“钦州港交通运输用海区”。</w:t>
      </w:r>
    </w:p>
    <w:p>
      <w:pPr>
        <w:pStyle w:val="283"/>
        <w:ind w:firstLine="462"/>
        <w:rPr>
          <w:color w:val="000000" w:themeColor="text1"/>
          <w14:textFill>
            <w14:solidFill>
              <w14:schemeClr w14:val="tx1"/>
            </w14:solidFill>
          </w14:textFill>
        </w:rPr>
      </w:pPr>
      <w:r>
        <w:rPr>
          <w:color w:val="000000" w:themeColor="text1"/>
          <w14:textFill>
            <w14:solidFill>
              <w14:schemeClr w14:val="tx1"/>
            </w14:solidFill>
          </w14:textFill>
        </w:rPr>
        <w:t>根据《广西壮族自治区生态环境厅关于印发广西壮族自治区近岸海域环境功能区划调整方案的通知》（桂环发〔2023〕9号），本工程位于</w:t>
      </w:r>
      <w:r>
        <w:rPr>
          <w:rFonts w:hint="eastAsia"/>
          <w:color w:val="000000" w:themeColor="text1"/>
          <w14:textFill>
            <w14:solidFill>
              <w14:schemeClr w14:val="tx1"/>
            </w14:solidFill>
          </w14:textFill>
        </w:rPr>
        <w:t>钦州港大榄坪港口工业区（GX055D</w:t>
      </w:r>
      <w:r>
        <w:rPr>
          <w:color w:val="000000" w:themeColor="text1"/>
          <w14:textFill>
            <w14:solidFill>
              <w14:schemeClr w14:val="tx1"/>
            </w14:solidFill>
          </w14:textFill>
        </w:rPr>
        <w:t>Ⅳ）和</w:t>
      </w:r>
      <w:r>
        <w:rPr>
          <w:rFonts w:hint="eastAsia"/>
          <w:color w:val="000000" w:themeColor="text1"/>
          <w14:textFill>
            <w14:solidFill>
              <w14:schemeClr w14:val="tx1"/>
            </w14:solidFill>
          </w14:textFill>
        </w:rPr>
        <w:t>钦州港大榄坪排污混合区（</w:t>
      </w:r>
      <w:r>
        <w:rPr>
          <w:color w:val="000000" w:themeColor="text1"/>
          <w14:textFill>
            <w14:solidFill>
              <w14:schemeClr w14:val="tx1"/>
            </w14:solidFill>
          </w14:textFill>
        </w:rPr>
        <w:t>GX057D</w:t>
      </w:r>
      <w:r>
        <w:rPr>
          <w:rFonts w:hint="eastAsia"/>
          <w:color w:val="000000" w:themeColor="text1"/>
          <w14:textFill>
            <w14:solidFill>
              <w14:schemeClr w14:val="tx1"/>
            </w14:solidFill>
          </w14:textFill>
        </w:rPr>
        <w:t>Ⅳ）</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钦州港大榄坪港口工业区（GX055D</w:t>
      </w:r>
      <w:r>
        <w:rPr>
          <w:color w:val="000000" w:themeColor="text1"/>
          <w14:textFill>
            <w14:solidFill>
              <w14:schemeClr w14:val="tx1"/>
            </w14:solidFill>
          </w14:textFill>
        </w:rPr>
        <w:t>Ⅳ</w:t>
      </w:r>
      <w:r>
        <w:rPr>
          <w:rFonts w:hint="eastAsia"/>
          <w:color w:val="000000" w:themeColor="text1"/>
          <w14:textFill>
            <w14:solidFill>
              <w14:schemeClr w14:val="tx1"/>
            </w14:solidFill>
          </w14:textFill>
        </w:rPr>
        <w:t>）主导功能为港口、工业用海，属四类环境功能区，水质保护目标为海水水质标准第四类；钦州港大榄坪排污混合区（GX057D</w:t>
      </w:r>
      <w:r>
        <w:rPr>
          <w:color w:val="000000" w:themeColor="text1"/>
          <w14:textFill>
            <w14:solidFill>
              <w14:schemeClr w14:val="tx1"/>
            </w14:solidFill>
          </w14:textFill>
        </w:rPr>
        <w:t>Ⅳ</w:t>
      </w:r>
      <w:r>
        <w:rPr>
          <w:rFonts w:hint="eastAsia"/>
          <w:color w:val="000000" w:themeColor="text1"/>
          <w14:textFill>
            <w14:solidFill>
              <w14:schemeClr w14:val="tx1"/>
            </w14:solidFill>
          </w14:textFill>
        </w:rPr>
        <w:t>）主导功能为港口、工业、生活排污用海，属四类环境功能区，水质保护目标为海水水质标准第四类</w:t>
      </w:r>
      <w:r>
        <w:rPr>
          <w:color w:val="000000" w:themeColor="text1"/>
          <w14:textFill>
            <w14:solidFill>
              <w14:schemeClr w14:val="tx1"/>
            </w14:solidFill>
          </w14:textFill>
        </w:rPr>
        <w:t>。</w:t>
      </w:r>
    </w:p>
    <w:p>
      <w:pPr>
        <w:pStyle w:val="1075"/>
        <w:ind w:firstLine="462"/>
        <w:rPr>
          <w:color w:val="000000" w:themeColor="text1"/>
          <w14:textFill>
            <w14:solidFill>
              <w14:schemeClr w14:val="tx1"/>
            </w14:solidFill>
          </w14:textFill>
        </w:rPr>
      </w:pPr>
      <w:r>
        <w:rPr>
          <w:color w:val="000000" w:themeColor="text1"/>
          <w14:textFill>
            <w14:solidFill>
              <w14:schemeClr w14:val="tx1"/>
            </w14:solidFill>
          </w14:textFill>
        </w:rPr>
        <w:t>（2）与相关规划的一致性</w:t>
      </w:r>
    </w:p>
    <w:p>
      <w:pPr>
        <w:pStyle w:val="283"/>
        <w:ind w:firstLine="462"/>
        <w:rPr>
          <w:color w:val="000000" w:themeColor="text1"/>
          <w14:textFill>
            <w14:solidFill>
              <w14:schemeClr w14:val="tx1"/>
            </w14:solidFill>
          </w14:textFill>
        </w:rPr>
      </w:pPr>
      <w:r>
        <w:rPr>
          <w:color w:val="000000" w:themeColor="text1"/>
          <w14:textFill>
            <w14:solidFill>
              <w14:schemeClr w14:val="tx1"/>
            </w14:solidFill>
          </w14:textFill>
        </w:rPr>
        <w:t>本</w:t>
      </w:r>
      <w:r>
        <w:rPr>
          <w:rFonts w:hint="eastAsia"/>
          <w:color w:val="000000" w:themeColor="text1"/>
          <w14:textFill>
            <w14:solidFill>
              <w14:schemeClr w14:val="tx1"/>
            </w14:solidFill>
          </w14:textFill>
        </w:rPr>
        <w:t>工程</w:t>
      </w:r>
      <w:r>
        <w:rPr>
          <w:color w:val="000000" w:themeColor="text1"/>
          <w14:textFill>
            <w14:solidFill>
              <w14:schemeClr w14:val="tx1"/>
            </w14:solidFill>
          </w14:textFill>
        </w:rPr>
        <w:t>为自动化集装箱码头，主要功能为集装箱运输、装卸及堆存业务，码头定位</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工程建设位置、工程建设规模符合</w:t>
      </w:r>
      <w:r>
        <w:rPr>
          <w:rFonts w:hint="eastAsia" w:cs="Arial"/>
          <w:color w:val="000000" w:themeColor="text1"/>
          <w:kern w:val="2"/>
          <w:szCs w:val="32"/>
          <w14:textFill>
            <w14:solidFill>
              <w14:schemeClr w14:val="tx1"/>
            </w14:solidFill>
          </w14:textFill>
        </w:rPr>
        <w:t>《北部湾港总体规划（</w:t>
      </w:r>
      <w:r>
        <w:rPr>
          <w:rFonts w:cs="Arial"/>
          <w:color w:val="000000" w:themeColor="text1"/>
          <w:kern w:val="2"/>
          <w:szCs w:val="32"/>
          <w14:textFill>
            <w14:solidFill>
              <w14:schemeClr w14:val="tx1"/>
            </w14:solidFill>
          </w14:textFill>
        </w:rPr>
        <w:t>2021</w:t>
      </w:r>
      <w:r>
        <w:rPr>
          <w:rFonts w:hint="eastAsia" w:cs="Arial"/>
          <w:color w:val="000000" w:themeColor="text1"/>
          <w:kern w:val="2"/>
          <w:szCs w:val="32"/>
          <w14:textFill>
            <w14:solidFill>
              <w14:schemeClr w14:val="tx1"/>
            </w14:solidFill>
          </w14:textFill>
        </w:rPr>
        <w:t>～</w:t>
      </w:r>
      <w:r>
        <w:rPr>
          <w:rFonts w:cs="Arial"/>
          <w:color w:val="000000" w:themeColor="text1"/>
          <w:kern w:val="2"/>
          <w:szCs w:val="32"/>
          <w14:textFill>
            <w14:solidFill>
              <w14:schemeClr w14:val="tx1"/>
            </w14:solidFill>
          </w14:textFill>
        </w:rPr>
        <w:t>2035</w:t>
      </w:r>
      <w:r>
        <w:rPr>
          <w:rFonts w:hint="eastAsia" w:cs="Arial"/>
          <w:color w:val="000000" w:themeColor="text1"/>
          <w:kern w:val="2"/>
          <w:szCs w:val="32"/>
          <w14:textFill>
            <w14:solidFill>
              <w14:schemeClr w14:val="tx1"/>
            </w14:solidFill>
          </w14:textFill>
        </w:rPr>
        <w:t>年）》</w:t>
      </w:r>
      <w:r>
        <w:rPr>
          <w:color w:val="000000" w:themeColor="text1"/>
          <w14:textFill>
            <w14:solidFill>
              <w14:schemeClr w14:val="tx1"/>
            </w14:solidFill>
          </w14:textFill>
        </w:rPr>
        <w:t>及其规划环评审查意见要求。</w:t>
      </w:r>
    </w:p>
    <w:p>
      <w:pPr>
        <w:pStyle w:val="283"/>
        <w:ind w:firstLine="462"/>
        <w:rPr>
          <w:color w:val="000000" w:themeColor="text1"/>
          <w14:textFill>
            <w14:solidFill>
              <w14:schemeClr w14:val="tx1"/>
            </w14:solidFill>
          </w14:textFill>
        </w:rPr>
      </w:pPr>
      <w:r>
        <w:rPr>
          <w:rFonts w:hint="eastAsia"/>
          <w:color w:val="000000" w:themeColor="text1"/>
          <w14:textFill>
            <w14:solidFill>
              <w14:schemeClr w14:val="tx1"/>
            </w14:solidFill>
          </w14:textFill>
        </w:rPr>
        <w:t>（3）与“三线一单”的相符性</w:t>
      </w:r>
    </w:p>
    <w:p>
      <w:pPr>
        <w:pStyle w:val="283"/>
        <w:ind w:firstLine="462"/>
        <w:rPr>
          <w:color w:val="000000" w:themeColor="text1"/>
          <w14:textFill>
            <w14:solidFill>
              <w14:schemeClr w14:val="tx1"/>
            </w14:solidFill>
          </w14:textFill>
        </w:rPr>
      </w:pPr>
      <w:r>
        <w:rPr>
          <w:rFonts w:hint="eastAsia"/>
          <w:color w:val="000000" w:themeColor="text1"/>
          <w14:textFill>
            <w14:solidFill>
              <w14:schemeClr w14:val="tx1"/>
            </w14:solidFill>
          </w14:textFill>
        </w:rPr>
        <w:t>项目位于广西钦州保税港区重点管控单元，对照生态准入及管控要求，本项目与广西钦州保税港区重点管控单元管控要求相符合。</w:t>
      </w:r>
    </w:p>
    <w:p>
      <w:pPr>
        <w:pStyle w:val="283"/>
        <w:ind w:firstLine="462"/>
        <w:rPr>
          <w:color w:val="000000" w:themeColor="text1"/>
          <w14:textFill>
            <w14:solidFill>
              <w14:schemeClr w14:val="tx1"/>
            </w14:solidFill>
          </w14:textFill>
        </w:rPr>
      </w:pPr>
      <w:r>
        <w:rPr>
          <w:rFonts w:hint="eastAsia"/>
          <w:color w:val="000000" w:themeColor="text1"/>
          <w14:textFill>
            <w14:solidFill>
              <w14:schemeClr w14:val="tx1"/>
            </w14:solidFill>
          </w14:textFill>
        </w:rPr>
        <w:t>（4）与国土空间规划及其相关成果的相符性</w:t>
      </w:r>
    </w:p>
    <w:p>
      <w:pPr>
        <w:pStyle w:val="283"/>
        <w:ind w:firstLine="462"/>
        <w:rPr>
          <w:color w:val="000000" w:themeColor="text1"/>
          <w14:textFill>
            <w14:solidFill>
              <w14:schemeClr w14:val="tx1"/>
            </w14:solidFill>
          </w14:textFill>
        </w:rPr>
      </w:pPr>
      <w:r>
        <w:rPr>
          <w:rFonts w:hint="eastAsia"/>
          <w:color w:val="000000" w:themeColor="text1"/>
          <w14:textFill>
            <w14:solidFill>
              <w14:schemeClr w14:val="tx1"/>
            </w14:solidFill>
          </w14:textFill>
        </w:rPr>
        <w:t>项目占用《钦州市国土空间总体规划（2021—2035年）》中划定的城镇开发边界，不涉及占用永久基本农田及生态保护红线，项目建设与《钦州市国土空间总体规划（2021—2035年）》及“三区三线”管控要求相符。项目位于《钦州市国土空间总体规划（2021—2035年）》中海洋发展区内的交通运输用海区，项目在已开发的港区内进行扩建，符合交通运输用海区的建设要求。</w:t>
      </w:r>
    </w:p>
    <w:p>
      <w:pPr>
        <w:pStyle w:val="283"/>
        <w:ind w:firstLine="462"/>
        <w:rPr>
          <w:color w:val="000000" w:themeColor="text1"/>
          <w14:textFill>
            <w14:solidFill>
              <w14:schemeClr w14:val="tx1"/>
            </w14:solidFill>
          </w14:textFill>
        </w:rPr>
      </w:pPr>
      <w:r>
        <w:rPr>
          <w:rFonts w:hint="eastAsia"/>
          <w:color w:val="000000" w:themeColor="text1"/>
          <w14:textFill>
            <w14:solidFill>
              <w14:schemeClr w14:val="tx1"/>
            </w14:solidFill>
          </w14:textFill>
        </w:rPr>
        <w:t>（5）陆域依托工程可行性</w:t>
      </w:r>
    </w:p>
    <w:p>
      <w:pPr>
        <w:pStyle w:val="283"/>
        <w:ind w:firstLine="462"/>
        <w:rPr>
          <w:color w:val="000000" w:themeColor="text1"/>
          <w14:textFill>
            <w14:solidFill>
              <w14:schemeClr w14:val="tx1"/>
            </w14:solidFill>
          </w14:textFill>
        </w:rPr>
      </w:pPr>
      <w:r>
        <w:rPr>
          <w:color w:val="000000" w:themeColor="text1"/>
          <w14:textFill>
            <w14:solidFill>
              <w14:schemeClr w14:val="tx1"/>
            </w14:solidFill>
          </w14:textFill>
        </w:rPr>
        <w:t>本项目工程内容</w:t>
      </w:r>
      <w:r>
        <w:rPr>
          <w:rFonts w:hint="eastAsia"/>
          <w:color w:val="000000" w:themeColor="text1"/>
          <w14:textFill>
            <w14:solidFill>
              <w14:schemeClr w14:val="tx1"/>
            </w14:solidFill>
          </w14:textFill>
        </w:rPr>
        <w:t>不新增</w:t>
      </w:r>
      <w:r>
        <w:rPr>
          <w:color w:val="000000" w:themeColor="text1"/>
          <w14:textFill>
            <w14:solidFill>
              <w14:schemeClr w14:val="tx1"/>
            </w14:solidFill>
          </w14:textFill>
        </w:rPr>
        <w:t>围填海，扩建工程陆域形成的未回填区依托</w:t>
      </w:r>
      <w:r>
        <w:rPr>
          <w:rFonts w:hint="eastAsia"/>
          <w:color w:val="000000" w:themeColor="text1"/>
          <w14:textFill>
            <w14:solidFill>
              <w14:schemeClr w14:val="tx1"/>
            </w14:solidFill>
          </w14:textFill>
        </w:rPr>
        <w:t>钦州保税港区昊鼎仓储物流中心项目，该项目于2009年9月取得广西壮族自治区海洋局《关于〈昊鼎仓储物流中心项目海洋环境影响报告表〉核准意见的函》（桂海函〔2009〕165号），根据核准意见，同意该工程建设。该项目建设单位广西钦州保税港区开发投资有限责任公司于2009年12月取得钦州保税港区昊鼎仓储物流中心项目海域使用权证书（国海证09400029号），并于2010年开始围填海，至2020年陆续完成9号10号现有泊位区域围填海，但仍有部分海域处于批而未填的状态。2023年11月钦州保税港区昊鼎仓储物流中心项目取得《广西壮族自治区海洋局关于钦州保税港区昊鼎仓储物流中心项目继续填海有关事项的批复》（桂海函〔2023〕年790号），允许该项目继续实施填海，该项目已编制《钦州港保税区昊鼎仓储物流中心项目围填海历史遗留问题生态保护修复方案》及《钦州港保税区昊鼎仓储物流中心项目围填海历史遗留问题生态评估报告》，围填海陆域形成后作为本项目自动化集装箱码头不属于房地产开发及低水平重复建设的休闲娱乐项目及污染海洋生态环境的项目，符合《广西壮族自治区海洋局关于钦州保税港区昊鼎仓储物流中心项目继续填海有关事项的批复》（桂海函</w:t>
      </w:r>
      <w:r>
        <w:rPr>
          <w:color w:val="000000" w:themeColor="text1"/>
          <w14:textFill>
            <w14:solidFill>
              <w14:schemeClr w14:val="tx1"/>
            </w14:solidFill>
          </w14:textFill>
        </w:rPr>
        <w:t>〔20</w:t>
      </w:r>
      <w:r>
        <w:rPr>
          <w:rFonts w:hint="eastAsia"/>
          <w:color w:val="000000" w:themeColor="text1"/>
          <w14:textFill>
            <w14:solidFill>
              <w14:schemeClr w14:val="tx1"/>
            </w14:solidFill>
          </w14:textFill>
        </w:rPr>
        <w:t>23〕790号）中有关事项的要求，项目陆域形成依托该项目建设可行。</w:t>
      </w:r>
    </w:p>
    <w:p>
      <w:pPr>
        <w:pStyle w:val="4"/>
        <w:rPr>
          <w:color w:val="000000" w:themeColor="text1"/>
          <w14:textFill>
            <w14:solidFill>
              <w14:schemeClr w14:val="tx1"/>
            </w14:solidFill>
          </w14:textFill>
        </w:rPr>
      </w:pPr>
      <w:bookmarkStart w:id="343" w:name="_Toc170918631"/>
      <w:bookmarkStart w:id="344" w:name="_Toc477249148"/>
      <w:r>
        <w:rPr>
          <w:color w:val="000000" w:themeColor="text1"/>
          <w14:textFill>
            <w14:solidFill>
              <w14:schemeClr w14:val="tx1"/>
            </w14:solidFill>
          </w14:textFill>
        </w:rPr>
        <w:t>主要环境保护目标</w:t>
      </w:r>
      <w:bookmarkEnd w:id="343"/>
      <w:bookmarkEnd w:id="344"/>
    </w:p>
    <w:p>
      <w:pPr>
        <w:pStyle w:val="1075"/>
        <w:ind w:firstLine="462"/>
        <w:rPr>
          <w:color w:val="000000" w:themeColor="text1"/>
          <w14:textFill>
            <w14:solidFill>
              <w14:schemeClr w14:val="tx1"/>
            </w14:solidFill>
          </w14:textFill>
        </w:rPr>
      </w:pPr>
      <w:r>
        <w:rPr>
          <w:color w:val="000000" w:themeColor="text1"/>
          <w14:textFill>
            <w14:solidFill>
              <w14:schemeClr w14:val="tx1"/>
            </w14:solidFill>
          </w14:textFill>
        </w:rPr>
        <w:t>本项目水环境保护目标为所处水域海水水质。</w:t>
      </w:r>
    </w:p>
    <w:p>
      <w:pPr>
        <w:pStyle w:val="1075"/>
        <w:ind w:firstLine="462"/>
        <w:rPr>
          <w:color w:val="000000" w:themeColor="text1"/>
          <w14:textFill>
            <w14:solidFill>
              <w14:schemeClr w14:val="tx1"/>
            </w14:solidFill>
          </w14:textFill>
        </w:rPr>
      </w:pPr>
      <w:r>
        <w:rPr>
          <w:rFonts w:hint="eastAsia"/>
          <w:color w:val="000000" w:themeColor="text1"/>
          <w14:textFill>
            <w14:solidFill>
              <w14:schemeClr w14:val="tx1"/>
            </w14:solidFill>
          </w14:textFill>
        </w:rPr>
        <w:t>本项目</w:t>
      </w:r>
      <w:r>
        <w:rPr>
          <w:color w:val="000000" w:themeColor="text1"/>
          <w14:textFill>
            <w14:solidFill>
              <w14:schemeClr w14:val="tx1"/>
            </w14:solidFill>
          </w14:textFill>
        </w:rPr>
        <w:t>声环境评价范围内均无环境敏感目标分布</w:t>
      </w:r>
      <w:r>
        <w:rPr>
          <w:rFonts w:hint="eastAsia"/>
          <w:color w:val="000000" w:themeColor="text1"/>
          <w14:textFill>
            <w14:solidFill>
              <w14:schemeClr w14:val="tx1"/>
            </w14:solidFill>
          </w14:textFill>
        </w:rPr>
        <w:t>。</w:t>
      </w:r>
    </w:p>
    <w:p>
      <w:pPr>
        <w:pStyle w:val="283"/>
        <w:ind w:firstLine="462"/>
        <w:rPr>
          <w:color w:val="000000" w:themeColor="text1"/>
          <w14:textFill>
            <w14:solidFill>
              <w14:schemeClr w14:val="tx1"/>
            </w14:solidFill>
          </w14:textFill>
        </w:rPr>
      </w:pPr>
      <w:r>
        <w:rPr>
          <w:color w:val="000000" w:themeColor="text1"/>
          <w14:textFill>
            <w14:solidFill>
              <w14:schemeClr w14:val="tx1"/>
            </w14:solidFill>
          </w14:textFill>
        </w:rPr>
        <w:t>评价区主要生态环境敏感保护目标为</w:t>
      </w:r>
      <w:r>
        <w:rPr>
          <w:rFonts w:hint="eastAsia"/>
          <w:color w:val="000000" w:themeColor="text1"/>
          <w14:textFill>
            <w14:solidFill>
              <w14:schemeClr w14:val="tx1"/>
            </w14:solidFill>
          </w14:textFill>
        </w:rPr>
        <w:t>茅尾海国家级海洋公园（NWW,17.5km）、广西钦州中华白海豚自治区级海洋公园（SE,19.65km）、金鼓江红树林集中区（N,9.6km）、鹿耳环江红树林集中分布区（NE,6.3km）、广西红树湾自治区级湿地公园（NWW,11.47km）、广西茅尾海红树林自治区级自然保护区（NNW,10.6km）、北部湾二长棘鲷长毛对虾国家级种质资源保护区（实验区）（S,16.3km）、钦州市鹿耳环重要滩涂及浅海水域红线区（SE,6.8km）、北部湾水源涵养生态保护红线区（E,5.3km）、钦州市月亮湾海岸防护极重要区（SE,6.2km）、钦州市三娘湾重要滩涂及浅海水域红线区（SE,13.6km）三娘湾生态保护区（NE,5.8km）、三娘湾生态保护区（NE,6.2km）、茅尾海生态保护区（NW,15.9km）、钦州港青菜头南浅海滩涂养殖区（W,4.0km）、茅尾海南部浅海滩涂养殖区（NW,19.2km）、茅尾海沿岸池塘养殖区（NWW,16.0km）、龙门群岛浅海滩涂养殖区（NWW,14.8km）、三娘湾南离岸浅海养殖区（SE,18.5km）、茅尾海茅岭江口近江牡蛎苗种生产功能区（NW,25.0km）、钦州市七十二泾海岛群旅游度假区（NE,10.66km）、中华白海豚分布区（SE,7.3km）、防城港核电厂取水口（W,7.1km）、国投钦州电厂取水口（N,4.3km）等</w:t>
      </w:r>
      <w:r>
        <w:rPr>
          <w:color w:val="000000" w:themeColor="text1"/>
          <w14:textFill>
            <w14:solidFill>
              <w14:schemeClr w14:val="tx1"/>
            </w14:solidFill>
          </w14:textFill>
        </w:rPr>
        <w:t>。项目建设未涉及占用上述生态敏感区划分范围。</w:t>
      </w:r>
    </w:p>
    <w:p>
      <w:pPr>
        <w:pStyle w:val="283"/>
        <w:ind w:firstLine="462"/>
        <w:rPr>
          <w:color w:val="000000" w:themeColor="text1"/>
          <w14:textFill>
            <w14:solidFill>
              <w14:schemeClr w14:val="tx1"/>
            </w14:solidFill>
          </w14:textFill>
        </w:rPr>
      </w:pPr>
      <w:r>
        <w:rPr>
          <w:rFonts w:hint="eastAsia"/>
          <w:color w:val="000000" w:themeColor="text1"/>
          <w14:textFill>
            <w14:solidFill>
              <w14:schemeClr w14:val="tx1"/>
            </w14:solidFill>
          </w14:textFill>
        </w:rPr>
        <w:t>评价区环境风险保护目标主要为环境风险地表水、生态敏感保护目标等。</w:t>
      </w:r>
    </w:p>
    <w:p>
      <w:pPr>
        <w:pStyle w:val="4"/>
        <w:rPr>
          <w:color w:val="000000" w:themeColor="text1"/>
          <w14:textFill>
            <w14:solidFill>
              <w14:schemeClr w14:val="tx1"/>
            </w14:solidFill>
          </w14:textFill>
        </w:rPr>
      </w:pPr>
      <w:bookmarkStart w:id="345" w:name="_Toc317003297"/>
      <w:bookmarkStart w:id="346" w:name="_Toc317003577"/>
      <w:bookmarkStart w:id="347" w:name="_Toc170918632"/>
      <w:bookmarkStart w:id="348" w:name="_Toc313461118"/>
      <w:r>
        <w:rPr>
          <w:color w:val="000000" w:themeColor="text1"/>
          <w14:textFill>
            <w14:solidFill>
              <w14:schemeClr w14:val="tx1"/>
            </w14:solidFill>
          </w14:textFill>
        </w:rPr>
        <w:t>环境质量现状调查与评价</w:t>
      </w:r>
      <w:bookmarkEnd w:id="345"/>
      <w:bookmarkEnd w:id="346"/>
      <w:bookmarkEnd w:id="347"/>
      <w:bookmarkEnd w:id="348"/>
    </w:p>
    <w:p>
      <w:pPr>
        <w:pStyle w:val="5"/>
        <w:rPr>
          <w:color w:val="000000" w:themeColor="text1"/>
          <w14:textFill>
            <w14:solidFill>
              <w14:schemeClr w14:val="tx1"/>
            </w14:solidFill>
          </w14:textFill>
        </w:rPr>
      </w:pPr>
      <w:r>
        <w:rPr>
          <w:color w:val="000000" w:themeColor="text1"/>
          <w14:textFill>
            <w14:solidFill>
              <w14:schemeClr w14:val="tx1"/>
            </w14:solidFill>
          </w14:textFill>
        </w:rPr>
        <w:t>环境空气质量现状调查与评价</w:t>
      </w:r>
    </w:p>
    <w:p>
      <w:pPr>
        <w:pStyle w:val="1075"/>
        <w:ind w:firstLine="462"/>
        <w:rPr>
          <w:color w:val="000000" w:themeColor="text1"/>
          <w14:textFill>
            <w14:solidFill>
              <w14:schemeClr w14:val="tx1"/>
            </w14:solidFill>
          </w14:textFill>
        </w:rPr>
      </w:pPr>
      <w:r>
        <w:rPr>
          <w:rFonts w:hint="eastAsia"/>
          <w:color w:val="000000" w:themeColor="text1"/>
          <w14:textFill>
            <w14:solidFill>
              <w14:schemeClr w14:val="tx1"/>
            </w14:solidFill>
          </w14:textFill>
        </w:rPr>
        <w:t>根据《自治区生态环境厅关于通报2023年设区城市及各县（市、区）环境空气质量的函》（桂环函〔2024〕58号）</w:t>
      </w:r>
      <w:r>
        <w:rPr>
          <w:color w:val="000000" w:themeColor="text1"/>
          <w14:textFill>
            <w14:solidFill>
              <w14:schemeClr w14:val="tx1"/>
            </w14:solidFill>
          </w14:textFill>
        </w:rPr>
        <w:t>，202</w:t>
      </w:r>
      <w:r>
        <w:rPr>
          <w:rFonts w:hint="eastAsia"/>
          <w:color w:val="000000" w:themeColor="text1"/>
          <w14:textFill>
            <w14:solidFill>
              <w14:schemeClr w14:val="tx1"/>
            </w14:solidFill>
          </w14:textFill>
        </w:rPr>
        <w:t>3</w:t>
      </w:r>
      <w:r>
        <w:rPr>
          <w:color w:val="000000" w:themeColor="text1"/>
          <w14:textFill>
            <w14:solidFill>
              <w14:schemeClr w14:val="tx1"/>
            </w14:solidFill>
          </w14:textFill>
        </w:rPr>
        <w:t>年钦州市为环境空气达标区。</w:t>
      </w:r>
    </w:p>
    <w:p>
      <w:pPr>
        <w:pStyle w:val="1075"/>
        <w:ind w:firstLine="462"/>
        <w:rPr>
          <w:color w:val="000000" w:themeColor="text1"/>
          <w14:textFill>
            <w14:solidFill>
              <w14:schemeClr w14:val="tx1"/>
            </w14:solidFill>
          </w14:textFill>
        </w:rPr>
      </w:pPr>
      <w:r>
        <w:rPr>
          <w:rFonts w:hint="eastAsia"/>
          <w:color w:val="000000" w:themeColor="text1"/>
          <w14:textFill>
            <w14:solidFill>
              <w14:schemeClr w14:val="tx1"/>
            </w14:solidFill>
          </w14:textFill>
        </w:rPr>
        <w:t>根据补充监测，7#、8#泊位厂界下风向及敏感保护目标处SO</w:t>
      </w:r>
      <w:r>
        <w:rPr>
          <w:rFonts w:hint="eastAsia"/>
          <w:color w:val="000000" w:themeColor="text1"/>
          <w:vertAlign w:val="subscript"/>
          <w14:textFill>
            <w14:solidFill>
              <w14:schemeClr w14:val="tx1"/>
            </w14:solidFill>
          </w14:textFill>
        </w:rPr>
        <w:t>2</w:t>
      </w:r>
      <w:r>
        <w:rPr>
          <w:rFonts w:hint="eastAsia"/>
          <w:color w:val="000000" w:themeColor="text1"/>
          <w14:textFill>
            <w14:solidFill>
              <w14:schemeClr w14:val="tx1"/>
            </w14:solidFill>
          </w14:textFill>
        </w:rPr>
        <w:t>、NO</w:t>
      </w:r>
      <w:r>
        <w:rPr>
          <w:rFonts w:hint="eastAsia"/>
          <w:color w:val="000000" w:themeColor="text1"/>
          <w:vertAlign w:val="subscript"/>
          <w14:textFill>
            <w14:solidFill>
              <w14:schemeClr w14:val="tx1"/>
            </w14:solidFill>
          </w14:textFill>
        </w:rPr>
        <w:t>2</w:t>
      </w:r>
      <w:r>
        <w:rPr>
          <w:rFonts w:hint="eastAsia"/>
          <w:color w:val="000000" w:themeColor="text1"/>
          <w14:textFill>
            <w14:solidFill>
              <w14:schemeClr w14:val="tx1"/>
            </w14:solidFill>
          </w14:textFill>
        </w:rPr>
        <w:t>、CO及TSP监测结果均满足</w:t>
      </w:r>
      <w:r>
        <w:rPr>
          <w:color w:val="000000" w:themeColor="text1"/>
          <w14:textFill>
            <w14:solidFill>
              <w14:schemeClr w14:val="tx1"/>
            </w14:solidFill>
          </w14:textFill>
        </w:rPr>
        <w:t>《环境空气质量标准》(GB3095-2012</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二级标准</w:t>
      </w:r>
      <w:r>
        <w:rPr>
          <w:rFonts w:hint="eastAsia"/>
          <w:color w:val="000000" w:themeColor="text1"/>
          <w14:textFill>
            <w14:solidFill>
              <w14:schemeClr w14:val="tx1"/>
            </w14:solidFill>
          </w14:textFill>
        </w:rPr>
        <w:t>，环境空气质量现状良好。</w:t>
      </w:r>
    </w:p>
    <w:p>
      <w:pPr>
        <w:pStyle w:val="5"/>
        <w:rPr>
          <w:color w:val="000000" w:themeColor="text1"/>
          <w14:textFill>
            <w14:solidFill>
              <w14:schemeClr w14:val="tx1"/>
            </w14:solidFill>
          </w14:textFill>
        </w:rPr>
      </w:pPr>
      <w:r>
        <w:rPr>
          <w:color w:val="000000" w:themeColor="text1"/>
          <w14:textFill>
            <w14:solidFill>
              <w14:schemeClr w14:val="tx1"/>
            </w14:solidFill>
          </w14:textFill>
        </w:rPr>
        <w:t>声环境质量现状调查与评价</w:t>
      </w:r>
    </w:p>
    <w:p>
      <w:pPr>
        <w:pStyle w:val="1075"/>
        <w:ind w:firstLine="462"/>
        <w:rPr>
          <w:color w:val="000000" w:themeColor="text1"/>
          <w14:textFill>
            <w14:solidFill>
              <w14:schemeClr w14:val="tx1"/>
            </w14:solidFill>
          </w14:textFill>
        </w:rPr>
      </w:pPr>
      <w:r>
        <w:rPr>
          <w:color w:val="000000" w:themeColor="text1"/>
          <w14:textFill>
            <w14:solidFill>
              <w14:schemeClr w14:val="tx1"/>
            </w14:solidFill>
          </w14:textFill>
        </w:rPr>
        <w:t>项目厂界噪声监测点昼夜间监测值均满足验收标准《工业企业厂界环境噪声排放标准》（GB12348-2008）3类标准限值要求。</w:t>
      </w:r>
    </w:p>
    <w:p>
      <w:pPr>
        <w:pStyle w:val="5"/>
        <w:rPr>
          <w:color w:val="000000" w:themeColor="text1"/>
          <w14:textFill>
            <w14:solidFill>
              <w14:schemeClr w14:val="tx1"/>
            </w14:solidFill>
          </w14:textFill>
        </w:rPr>
      </w:pPr>
      <w:r>
        <w:rPr>
          <w:color w:val="000000" w:themeColor="text1"/>
          <w14:textFill>
            <w14:solidFill>
              <w14:schemeClr w14:val="tx1"/>
            </w14:solidFill>
          </w14:textFill>
        </w:rPr>
        <w:t>海洋环境质量现状调查与评价</w:t>
      </w:r>
    </w:p>
    <w:p>
      <w:pPr>
        <w:pStyle w:val="6"/>
        <w:rPr>
          <w:color w:val="000000" w:themeColor="text1"/>
          <w14:textFill>
            <w14:solidFill>
              <w14:schemeClr w14:val="tx1"/>
            </w14:solidFill>
          </w14:textFill>
        </w:rPr>
      </w:pPr>
      <w:r>
        <w:rPr>
          <w:color w:val="000000" w:themeColor="text1"/>
          <w14:textFill>
            <w14:solidFill>
              <w14:schemeClr w14:val="tx1"/>
            </w14:solidFill>
          </w14:textFill>
        </w:rPr>
        <w:t>海水环境质量现状调查与评价</w:t>
      </w:r>
    </w:p>
    <w:p>
      <w:pPr>
        <w:ind w:firstLine="462" w:firstLineChars="200"/>
        <w:rPr>
          <w:color w:val="000000" w:themeColor="text1"/>
          <w:lang w:val="zh-CN" w:bidi="zh-CN"/>
          <w14:textFill>
            <w14:solidFill>
              <w14:schemeClr w14:val="tx1"/>
            </w14:solidFill>
          </w14:textFill>
        </w:rPr>
      </w:pPr>
      <w:r>
        <w:rPr>
          <w:color w:val="000000" w:themeColor="text1"/>
          <w:lang w:val="zh-CN" w:bidi="zh-CN"/>
          <w14:textFill>
            <w14:solidFill>
              <w14:schemeClr w14:val="tx1"/>
            </w14:solidFill>
          </w14:textFill>
        </w:rPr>
        <w:t>（1）2021年11月（</w:t>
      </w:r>
      <w:r>
        <w:rPr>
          <w:rFonts w:hint="eastAsia"/>
          <w:color w:val="000000" w:themeColor="text1"/>
          <w:lang w:val="zh-CN" w:bidi="zh-CN"/>
          <w14:textFill>
            <w14:solidFill>
              <w14:schemeClr w14:val="tx1"/>
            </w14:solidFill>
          </w14:textFill>
        </w:rPr>
        <w:t>秋季</w:t>
      </w:r>
      <w:r>
        <w:rPr>
          <w:color w:val="000000" w:themeColor="text1"/>
          <w:lang w:val="zh-CN" w:bidi="zh-CN"/>
          <w14:textFill>
            <w14:solidFill>
              <w14:schemeClr w14:val="tx1"/>
            </w14:solidFill>
          </w14:textFill>
        </w:rPr>
        <w:t>）海域水质现状评价</w:t>
      </w:r>
    </w:p>
    <w:p>
      <w:pPr>
        <w:ind w:firstLine="462" w:firstLineChars="200"/>
        <w:rPr>
          <w:color w:val="000000" w:themeColor="text1"/>
          <w:lang w:val="zh-CN" w:bidi="zh-CN"/>
          <w14:textFill>
            <w14:solidFill>
              <w14:schemeClr w14:val="tx1"/>
            </w14:solidFill>
          </w14:textFill>
        </w:rPr>
      </w:pPr>
      <w:r>
        <w:rPr>
          <w:rFonts w:hint="eastAsia"/>
          <w:color w:val="000000" w:themeColor="text1"/>
          <w:lang w:val="zh-CN" w:bidi="zh-CN"/>
          <w14:textFill>
            <w14:solidFill>
              <w14:schemeClr w14:val="tx1"/>
            </w14:solidFill>
          </w14:textFill>
        </w:rPr>
        <w:t>根据监测结果</w:t>
      </w:r>
      <w:r>
        <w:rPr>
          <w:color w:val="000000" w:themeColor="text1"/>
          <w:lang w:val="zh-CN" w:bidi="zh-CN"/>
          <w14:textFill>
            <w14:solidFill>
              <w14:schemeClr w14:val="tx1"/>
            </w14:solidFill>
          </w14:textFill>
        </w:rPr>
        <w:t>pH、COD、石油类、</w:t>
      </w:r>
      <w:r>
        <w:rPr>
          <w:rFonts w:hint="eastAsia"/>
          <w:color w:val="000000" w:themeColor="text1"/>
          <w:lang w:val="zh-CN" w:bidi="zh-CN"/>
          <w14:textFill>
            <w14:solidFill>
              <w14:schemeClr w14:val="tx1"/>
            </w14:solidFill>
          </w14:textFill>
        </w:rPr>
        <w:t>活性</w:t>
      </w:r>
      <w:r>
        <w:rPr>
          <w:color w:val="000000" w:themeColor="text1"/>
          <w:lang w:val="zh-CN" w:bidi="zh-CN"/>
          <w14:textFill>
            <w14:solidFill>
              <w14:schemeClr w14:val="tx1"/>
            </w14:solidFill>
          </w14:textFill>
        </w:rPr>
        <w:t>磷酸盐出现超标，pH超标倍数介于1.46-2.00之间，最大超标倍数出现在8号站，超标率13.64%，COD超标倍数介于1.56-1.59之间，最大超标倍数出现在16号站，超标率9.09%。石油类仅有18号站出现超标，超标倍数1.02。</w:t>
      </w:r>
      <w:r>
        <w:rPr>
          <w:rFonts w:hint="eastAsia"/>
          <w:color w:val="000000" w:themeColor="text1"/>
          <w:lang w:val="zh-CN" w:bidi="zh-CN"/>
          <w14:textFill>
            <w14:solidFill>
              <w14:schemeClr w14:val="tx1"/>
            </w14:solidFill>
          </w14:textFill>
        </w:rPr>
        <w:t>活性</w:t>
      </w:r>
      <w:r>
        <w:rPr>
          <w:color w:val="000000" w:themeColor="text1"/>
          <w:lang w:val="zh-CN" w:bidi="zh-CN"/>
          <w14:textFill>
            <w14:solidFill>
              <w14:schemeClr w14:val="tx1"/>
            </w14:solidFill>
          </w14:textFill>
        </w:rPr>
        <w:t>磷酸盐超标倍数介于1.07-1.53之间，最大超标倍数出现在7站，超标率18.18%。其余各站各监测因子均符合相应功能区海水水质标准。</w:t>
      </w:r>
    </w:p>
    <w:p>
      <w:pPr>
        <w:ind w:firstLine="462" w:firstLineChars="200"/>
        <w:rPr>
          <w:color w:val="000000" w:themeColor="text1"/>
          <w:lang w:val="zh-CN" w:bidi="zh-CN"/>
          <w14:textFill>
            <w14:solidFill>
              <w14:schemeClr w14:val="tx1"/>
            </w14:solidFill>
          </w14:textFill>
        </w:rPr>
      </w:pPr>
      <w:r>
        <w:rPr>
          <w:color w:val="000000" w:themeColor="text1"/>
          <w:lang w:val="zh-CN" w:bidi="zh-CN"/>
          <w14:textFill>
            <w14:solidFill>
              <w14:schemeClr w14:val="tx1"/>
            </w14:solidFill>
          </w14:textFill>
        </w:rPr>
        <w:t>（2）2022年4月（春季）海域水质现状评价</w:t>
      </w:r>
    </w:p>
    <w:p>
      <w:pPr>
        <w:pStyle w:val="1075"/>
        <w:ind w:firstLine="462"/>
        <w:rPr>
          <w:color w:val="000000" w:themeColor="text1"/>
          <w14:textFill>
            <w14:solidFill>
              <w14:schemeClr w14:val="tx1"/>
            </w14:solidFill>
          </w14:textFill>
        </w:rPr>
      </w:pPr>
      <w:r>
        <w:rPr>
          <w:rFonts w:hint="eastAsia"/>
          <w:color w:val="000000" w:themeColor="text1"/>
          <w:lang w:bidi="zh-CN"/>
          <w14:textFill>
            <w14:solidFill>
              <w14:schemeClr w14:val="tx1"/>
            </w14:solidFill>
          </w14:textFill>
        </w:rPr>
        <w:t>根据监测结果</w:t>
      </w:r>
      <w:r>
        <w:rPr>
          <w:color w:val="000000" w:themeColor="text1"/>
          <w:lang w:bidi="zh-CN"/>
          <w14:textFill>
            <w14:solidFill>
              <w14:schemeClr w14:val="tx1"/>
            </w14:solidFill>
          </w14:textFill>
        </w:rPr>
        <w:t>pH、</w:t>
      </w:r>
      <w:r>
        <w:rPr>
          <w:rFonts w:hint="eastAsia"/>
          <w:color w:val="000000" w:themeColor="text1"/>
          <w:lang w:bidi="zh-CN"/>
          <w14:textFill>
            <w14:solidFill>
              <w14:schemeClr w14:val="tx1"/>
            </w14:solidFill>
          </w14:textFill>
        </w:rPr>
        <w:t>活性</w:t>
      </w:r>
      <w:r>
        <w:rPr>
          <w:color w:val="000000" w:themeColor="text1"/>
          <w:lang w:bidi="zh-CN"/>
          <w14:textFill>
            <w14:solidFill>
              <w14:schemeClr w14:val="tx1"/>
            </w14:solidFill>
          </w14:textFill>
        </w:rPr>
        <w:t>磷酸盐出现超标，pH超标倍数介于1.4-1.94之间，最大超标倍数出现在9号站，超标率20.00%，</w:t>
      </w:r>
      <w:r>
        <w:rPr>
          <w:rFonts w:hint="eastAsia"/>
          <w:color w:val="000000" w:themeColor="text1"/>
          <w:lang w:bidi="zh-CN"/>
          <w14:textFill>
            <w14:solidFill>
              <w14:schemeClr w14:val="tx1"/>
            </w14:solidFill>
          </w14:textFill>
        </w:rPr>
        <w:t>活性</w:t>
      </w:r>
      <w:r>
        <w:rPr>
          <w:color w:val="000000" w:themeColor="text1"/>
          <w:lang w:bidi="zh-CN"/>
          <w14:textFill>
            <w14:solidFill>
              <w14:schemeClr w14:val="tx1"/>
            </w14:solidFill>
          </w14:textFill>
        </w:rPr>
        <w:t>磷酸盐超标倍数介于1.02-2.4之间，最大超标倍数出现在5站，超标率45.0%。其余各站各监测因子均符合相应功能区海水水质标准</w:t>
      </w:r>
      <w:r>
        <w:rPr>
          <w:color w:val="000000" w:themeColor="text1"/>
          <w14:textFill>
            <w14:solidFill>
              <w14:schemeClr w14:val="tx1"/>
            </w14:solidFill>
          </w14:textFill>
        </w:rPr>
        <w:t>。</w:t>
      </w:r>
    </w:p>
    <w:p>
      <w:pPr>
        <w:pStyle w:val="6"/>
        <w:rPr>
          <w:color w:val="000000" w:themeColor="text1"/>
          <w14:textFill>
            <w14:solidFill>
              <w14:schemeClr w14:val="tx1"/>
            </w14:solidFill>
          </w14:textFill>
        </w:rPr>
      </w:pPr>
      <w:r>
        <w:rPr>
          <w:color w:val="000000" w:themeColor="text1"/>
          <w14:textFill>
            <w14:solidFill>
              <w14:schemeClr w14:val="tx1"/>
            </w14:solidFill>
          </w14:textFill>
        </w:rPr>
        <w:t>海域沉积物环境质量现状调查与评价</w:t>
      </w:r>
    </w:p>
    <w:p>
      <w:pPr>
        <w:pStyle w:val="1075"/>
        <w:ind w:firstLine="462"/>
        <w:rPr>
          <w:color w:val="000000" w:themeColor="text1"/>
          <w14:textFill>
            <w14:solidFill>
              <w14:schemeClr w14:val="tx1"/>
            </w14:solidFill>
          </w14:textFill>
        </w:rPr>
      </w:pPr>
      <w:r>
        <w:rPr>
          <w:rFonts w:hint="eastAsia"/>
          <w:color w:val="000000" w:themeColor="text1"/>
          <w14:textFill>
            <w14:solidFill>
              <w14:schemeClr w14:val="tx1"/>
            </w14:solidFill>
          </w14:textFill>
        </w:rPr>
        <w:t>根据监测结果2021年4月石油类13#站超标，超标倍数为1.27，其他沉积物各站各评价因子均符合相应功能区标准的要求。</w:t>
      </w:r>
    </w:p>
    <w:p>
      <w:pPr>
        <w:pStyle w:val="6"/>
        <w:rPr>
          <w:color w:val="000000" w:themeColor="text1"/>
          <w14:textFill>
            <w14:solidFill>
              <w14:schemeClr w14:val="tx1"/>
            </w14:solidFill>
          </w14:textFill>
        </w:rPr>
      </w:pPr>
      <w:r>
        <w:rPr>
          <w:color w:val="000000" w:themeColor="text1"/>
          <w14:textFill>
            <w14:solidFill>
              <w14:schemeClr w14:val="tx1"/>
            </w14:solidFill>
          </w14:textFill>
        </w:rPr>
        <w:t>海洋生态环境现状调查</w:t>
      </w:r>
    </w:p>
    <w:p>
      <w:pPr>
        <w:pStyle w:val="283"/>
        <w:ind w:firstLine="462"/>
        <w:rPr>
          <w:color w:val="000000" w:themeColor="text1"/>
          <w14:textFill>
            <w14:solidFill>
              <w14:schemeClr w14:val="tx1"/>
            </w14:solidFill>
          </w14:textFill>
        </w:rPr>
      </w:pPr>
      <w:r>
        <w:rPr>
          <w:color w:val="000000" w:themeColor="text1"/>
          <w14:textFill>
            <w14:solidFill>
              <w14:schemeClr w14:val="tx1"/>
            </w14:solidFill>
          </w14:textFill>
        </w:rPr>
        <w:t>叶绿素a：2021年11月调查海域各监测站位叶绿素a含量为1.26 μg/L ～3.29 μg/L，平均为1.91 μg/L；2022年4月调查海域各监测站位叶绿素a含量为1.25～4.34μg/L，平均为2.775μg/L。</w:t>
      </w:r>
    </w:p>
    <w:p>
      <w:pPr>
        <w:pStyle w:val="283"/>
        <w:ind w:firstLine="462"/>
        <w:rPr>
          <w:color w:val="000000" w:themeColor="text1"/>
          <w14:textFill>
            <w14:solidFill>
              <w14:schemeClr w14:val="tx1"/>
            </w14:solidFill>
          </w14:textFill>
        </w:rPr>
      </w:pPr>
      <w:r>
        <w:rPr>
          <w:color w:val="000000" w:themeColor="text1"/>
          <w14:textFill>
            <w14:solidFill>
              <w14:schemeClr w14:val="tx1"/>
            </w14:solidFill>
          </w14:textFill>
        </w:rPr>
        <w:t>浮游植物：2021年11月调查浮游植物密度范围为（2.24～10.5）×10</w:t>
      </w:r>
      <w:r>
        <w:rPr>
          <w:color w:val="000000" w:themeColor="text1"/>
          <w:vertAlign w:val="superscript"/>
          <w14:textFill>
            <w14:solidFill>
              <w14:schemeClr w14:val="tx1"/>
            </w14:solidFill>
          </w14:textFill>
        </w:rPr>
        <w:t>4</w:t>
      </w:r>
      <w:r>
        <w:rPr>
          <w:color w:val="000000" w:themeColor="text1"/>
          <w14:textFill>
            <w14:solidFill>
              <w14:schemeClr w14:val="tx1"/>
            </w14:solidFill>
          </w14:textFill>
        </w:rPr>
        <w:t>个/L，平均为4.50×10</w:t>
      </w:r>
      <w:r>
        <w:rPr>
          <w:color w:val="000000" w:themeColor="text1"/>
          <w:vertAlign w:val="superscript"/>
          <w14:textFill>
            <w14:solidFill>
              <w14:schemeClr w14:val="tx1"/>
            </w14:solidFill>
          </w14:textFill>
        </w:rPr>
        <w:t>4</w:t>
      </w:r>
      <w:r>
        <w:rPr>
          <w:color w:val="000000" w:themeColor="text1"/>
          <w14:textFill>
            <w14:solidFill>
              <w14:schemeClr w14:val="tx1"/>
            </w14:solidFill>
          </w14:textFill>
        </w:rPr>
        <w:t>个/L；2022年4月调查浮游植物密度范围为（1.32～32.77）×10</w:t>
      </w:r>
      <w:r>
        <w:rPr>
          <w:color w:val="000000" w:themeColor="text1"/>
          <w:vertAlign w:val="superscript"/>
          <w14:textFill>
            <w14:solidFill>
              <w14:schemeClr w14:val="tx1"/>
            </w14:solidFill>
          </w14:textFill>
        </w:rPr>
        <w:t>4</w:t>
      </w:r>
      <w:r>
        <w:rPr>
          <w:color w:val="000000" w:themeColor="text1"/>
          <w14:textFill>
            <w14:solidFill>
              <w14:schemeClr w14:val="tx1"/>
            </w14:solidFill>
          </w14:textFill>
        </w:rPr>
        <w:t>个/L，平均为10.47×10</w:t>
      </w:r>
      <w:r>
        <w:rPr>
          <w:color w:val="000000" w:themeColor="text1"/>
          <w:vertAlign w:val="superscript"/>
          <w14:textFill>
            <w14:solidFill>
              <w14:schemeClr w14:val="tx1"/>
            </w14:solidFill>
          </w14:textFill>
        </w:rPr>
        <w:t>4</w:t>
      </w:r>
      <w:r>
        <w:rPr>
          <w:color w:val="000000" w:themeColor="text1"/>
          <w14:textFill>
            <w14:solidFill>
              <w14:schemeClr w14:val="tx1"/>
            </w14:solidFill>
          </w14:textFill>
        </w:rPr>
        <w:t>个/L。</w:t>
      </w:r>
    </w:p>
    <w:p>
      <w:pPr>
        <w:pStyle w:val="283"/>
        <w:ind w:firstLine="462"/>
        <w:rPr>
          <w:color w:val="000000" w:themeColor="text1"/>
          <w14:textFill>
            <w14:solidFill>
              <w14:schemeClr w14:val="tx1"/>
            </w14:solidFill>
          </w14:textFill>
        </w:rPr>
      </w:pPr>
      <w:r>
        <w:rPr>
          <w:color w:val="000000" w:themeColor="text1"/>
          <w14:textFill>
            <w14:solidFill>
              <w14:schemeClr w14:val="tx1"/>
            </w14:solidFill>
          </w14:textFill>
        </w:rPr>
        <w:t>浮游动物：2021年11月，浮游动物数量变化范围从8号站的最低值467 个/m</w:t>
      </w:r>
      <w:r>
        <w:rPr>
          <w:color w:val="000000" w:themeColor="text1"/>
          <w:vertAlign w:val="superscript"/>
          <w14:textFill>
            <w14:solidFill>
              <w14:schemeClr w14:val="tx1"/>
            </w14:solidFill>
          </w14:textFill>
        </w:rPr>
        <w:t>3</w:t>
      </w:r>
      <w:r>
        <w:rPr>
          <w:color w:val="000000" w:themeColor="text1"/>
          <w14:textFill>
            <w14:solidFill>
              <w14:schemeClr w14:val="tx1"/>
            </w14:solidFill>
          </w14:textFill>
        </w:rPr>
        <w:t>到15号站的最高值5369个/m</w:t>
      </w:r>
      <w:r>
        <w:rPr>
          <w:color w:val="000000" w:themeColor="text1"/>
          <w:vertAlign w:val="superscript"/>
          <w14:textFill>
            <w14:solidFill>
              <w14:schemeClr w14:val="tx1"/>
            </w14:solidFill>
          </w14:textFill>
        </w:rPr>
        <w:t>3</w:t>
      </w:r>
      <w:r>
        <w:rPr>
          <w:color w:val="000000" w:themeColor="text1"/>
          <w14:textFill>
            <w14:solidFill>
              <w14:schemeClr w14:val="tx1"/>
            </w14:solidFill>
          </w14:textFill>
        </w:rPr>
        <w:t>，平均丰度为2161个/m</w:t>
      </w:r>
      <w:r>
        <w:rPr>
          <w:color w:val="000000" w:themeColor="text1"/>
          <w:vertAlign w:val="superscript"/>
          <w14:textFill>
            <w14:solidFill>
              <w14:schemeClr w14:val="tx1"/>
            </w14:solidFill>
          </w14:textFill>
        </w:rPr>
        <w:t>3</w:t>
      </w:r>
      <w:r>
        <w:rPr>
          <w:color w:val="000000" w:themeColor="text1"/>
          <w14:textFill>
            <w14:solidFill>
              <w14:schemeClr w14:val="tx1"/>
            </w14:solidFill>
          </w14:textFill>
        </w:rPr>
        <w:t>。浮游动物生物量范围从11号站的最低值263 mg/m</w:t>
      </w:r>
      <w:r>
        <w:rPr>
          <w:color w:val="000000" w:themeColor="text1"/>
          <w:vertAlign w:val="superscript"/>
          <w14:textFill>
            <w14:solidFill>
              <w14:schemeClr w14:val="tx1"/>
            </w14:solidFill>
          </w14:textFill>
        </w:rPr>
        <w:t>3</w:t>
      </w:r>
      <w:r>
        <w:rPr>
          <w:color w:val="000000" w:themeColor="text1"/>
          <w14:textFill>
            <w14:solidFill>
              <w14:schemeClr w14:val="tx1"/>
            </w14:solidFill>
          </w14:textFill>
        </w:rPr>
        <w:t>到15号站的最高值1562 mg/m</w:t>
      </w:r>
      <w:r>
        <w:rPr>
          <w:color w:val="000000" w:themeColor="text1"/>
          <w:vertAlign w:val="superscript"/>
          <w14:textFill>
            <w14:solidFill>
              <w14:schemeClr w14:val="tx1"/>
            </w14:solidFill>
          </w14:textFill>
        </w:rPr>
        <w:t>3</w:t>
      </w:r>
      <w:r>
        <w:rPr>
          <w:color w:val="000000" w:themeColor="text1"/>
          <w14:textFill>
            <w14:solidFill>
              <w14:schemeClr w14:val="tx1"/>
            </w14:solidFill>
          </w14:textFill>
        </w:rPr>
        <w:t>，平均生物量为735 mg/m</w:t>
      </w:r>
      <w:r>
        <w:rPr>
          <w:color w:val="000000" w:themeColor="text1"/>
          <w:vertAlign w:val="superscript"/>
          <w14:textFill>
            <w14:solidFill>
              <w14:schemeClr w14:val="tx1"/>
            </w14:solidFill>
          </w14:textFill>
        </w:rPr>
        <w:t>3</w:t>
      </w:r>
      <w:r>
        <w:rPr>
          <w:color w:val="000000" w:themeColor="text1"/>
          <w14:textFill>
            <w14:solidFill>
              <w14:schemeClr w14:val="tx1"/>
            </w14:solidFill>
          </w14:textFill>
        </w:rPr>
        <w:t>；2022年4月，浮游动物数量变化范围从10号站的最低值194个/m</w:t>
      </w:r>
      <w:r>
        <w:rPr>
          <w:color w:val="000000" w:themeColor="text1"/>
          <w:vertAlign w:val="superscript"/>
          <w14:textFill>
            <w14:solidFill>
              <w14:schemeClr w14:val="tx1"/>
            </w14:solidFill>
          </w14:textFill>
        </w:rPr>
        <w:t>3</w:t>
      </w:r>
      <w:r>
        <w:rPr>
          <w:color w:val="000000" w:themeColor="text1"/>
          <w14:textFill>
            <w14:solidFill>
              <w14:schemeClr w14:val="tx1"/>
            </w14:solidFill>
          </w14:textFill>
        </w:rPr>
        <w:t>到20号站的最高值3958个/m</w:t>
      </w:r>
      <w:r>
        <w:rPr>
          <w:color w:val="000000" w:themeColor="text1"/>
          <w:vertAlign w:val="superscript"/>
          <w14:textFill>
            <w14:solidFill>
              <w14:schemeClr w14:val="tx1"/>
            </w14:solidFill>
          </w14:textFill>
        </w:rPr>
        <w:t>3</w:t>
      </w:r>
      <w:r>
        <w:rPr>
          <w:color w:val="000000" w:themeColor="text1"/>
          <w14:textFill>
            <w14:solidFill>
              <w14:schemeClr w14:val="tx1"/>
            </w14:solidFill>
          </w14:textFill>
        </w:rPr>
        <w:t>，平均数量为1096个/m</w:t>
      </w:r>
      <w:r>
        <w:rPr>
          <w:color w:val="000000" w:themeColor="text1"/>
          <w:vertAlign w:val="superscript"/>
          <w14:textFill>
            <w14:solidFill>
              <w14:schemeClr w14:val="tx1"/>
            </w14:solidFill>
          </w14:textFill>
        </w:rPr>
        <w:t>3</w:t>
      </w:r>
      <w:r>
        <w:rPr>
          <w:color w:val="000000" w:themeColor="text1"/>
          <w14:textFill>
            <w14:solidFill>
              <w14:schemeClr w14:val="tx1"/>
            </w14:solidFill>
          </w14:textFill>
        </w:rPr>
        <w:t>。浮游动物生物量范围从10号站的最低值167 mg/m</w:t>
      </w:r>
      <w:r>
        <w:rPr>
          <w:color w:val="000000" w:themeColor="text1"/>
          <w:vertAlign w:val="superscript"/>
          <w14:textFill>
            <w14:solidFill>
              <w14:schemeClr w14:val="tx1"/>
            </w14:solidFill>
          </w14:textFill>
        </w:rPr>
        <w:t>3</w:t>
      </w:r>
      <w:r>
        <w:rPr>
          <w:color w:val="000000" w:themeColor="text1"/>
          <w14:textFill>
            <w14:solidFill>
              <w14:schemeClr w14:val="tx1"/>
            </w14:solidFill>
          </w14:textFill>
        </w:rPr>
        <w:t>到16号站的最高值880 mg/m</w:t>
      </w:r>
      <w:r>
        <w:rPr>
          <w:color w:val="000000" w:themeColor="text1"/>
          <w:vertAlign w:val="superscript"/>
          <w14:textFill>
            <w14:solidFill>
              <w14:schemeClr w14:val="tx1"/>
            </w14:solidFill>
          </w14:textFill>
        </w:rPr>
        <w:t>3</w:t>
      </w:r>
      <w:r>
        <w:rPr>
          <w:color w:val="000000" w:themeColor="text1"/>
          <w14:textFill>
            <w14:solidFill>
              <w14:schemeClr w14:val="tx1"/>
            </w14:solidFill>
          </w14:textFill>
        </w:rPr>
        <w:t>，平均生物量为412 mg/m</w:t>
      </w:r>
      <w:r>
        <w:rPr>
          <w:color w:val="000000" w:themeColor="text1"/>
          <w:vertAlign w:val="superscript"/>
          <w14:textFill>
            <w14:solidFill>
              <w14:schemeClr w14:val="tx1"/>
            </w14:solidFill>
          </w14:textFill>
        </w:rPr>
        <w:t>3</w:t>
      </w:r>
      <w:r>
        <w:rPr>
          <w:color w:val="000000" w:themeColor="text1"/>
          <w14:textFill>
            <w14:solidFill>
              <w14:schemeClr w14:val="tx1"/>
            </w14:solidFill>
          </w14:textFill>
        </w:rPr>
        <w:t>。</w:t>
      </w:r>
    </w:p>
    <w:p>
      <w:pPr>
        <w:pStyle w:val="283"/>
        <w:ind w:firstLine="462"/>
        <w:rPr>
          <w:color w:val="000000" w:themeColor="text1"/>
          <w14:textFill>
            <w14:solidFill>
              <w14:schemeClr w14:val="tx1"/>
            </w14:solidFill>
          </w14:textFill>
        </w:rPr>
      </w:pPr>
      <w:r>
        <w:rPr>
          <w:color w:val="000000" w:themeColor="text1"/>
          <w14:textFill>
            <w14:solidFill>
              <w14:schemeClr w14:val="tx1"/>
            </w14:solidFill>
          </w14:textFill>
        </w:rPr>
        <w:t>底栖动物：2021年11月，各站底栖动物密度分布范围为（0～141）个/m</w:t>
      </w:r>
      <w:r>
        <w:rPr>
          <w:color w:val="000000" w:themeColor="text1"/>
          <w:vertAlign w:val="superscript"/>
          <w14:textFill>
            <w14:solidFill>
              <w14:schemeClr w14:val="tx1"/>
            </w14:solidFill>
          </w14:textFill>
        </w:rPr>
        <w:t>2</w:t>
      </w:r>
      <w:r>
        <w:rPr>
          <w:color w:val="000000" w:themeColor="text1"/>
          <w14:textFill>
            <w14:solidFill>
              <w14:schemeClr w14:val="tx1"/>
            </w14:solidFill>
          </w14:textFill>
        </w:rPr>
        <w:t>，平均为36个/m</w:t>
      </w:r>
      <w:r>
        <w:rPr>
          <w:color w:val="000000" w:themeColor="text1"/>
          <w:vertAlign w:val="superscript"/>
          <w14:textFill>
            <w14:solidFill>
              <w14:schemeClr w14:val="tx1"/>
            </w14:solidFill>
          </w14:textFill>
        </w:rPr>
        <w:t>2</w:t>
      </w:r>
      <w:r>
        <w:rPr>
          <w:color w:val="000000" w:themeColor="text1"/>
          <w14:textFill>
            <w14:solidFill>
              <w14:schemeClr w14:val="tx1"/>
            </w14:solidFill>
          </w14:textFill>
        </w:rPr>
        <w:t>。2022年4月，各站底栖动物密度分布范围为（0～1563）个/m</w:t>
      </w:r>
      <w:r>
        <w:rPr>
          <w:color w:val="000000" w:themeColor="text1"/>
          <w:vertAlign w:val="superscript"/>
          <w14:textFill>
            <w14:solidFill>
              <w14:schemeClr w14:val="tx1"/>
            </w14:solidFill>
          </w14:textFill>
        </w:rPr>
        <w:t>2</w:t>
      </w:r>
      <w:r>
        <w:rPr>
          <w:color w:val="000000" w:themeColor="text1"/>
          <w14:textFill>
            <w14:solidFill>
              <w14:schemeClr w14:val="tx1"/>
            </w14:solidFill>
          </w14:textFill>
        </w:rPr>
        <w:t>，平均为339个/m</w:t>
      </w:r>
      <w:r>
        <w:rPr>
          <w:color w:val="000000" w:themeColor="text1"/>
          <w:vertAlign w:val="superscript"/>
          <w14:textFill>
            <w14:solidFill>
              <w14:schemeClr w14:val="tx1"/>
            </w14:solidFill>
          </w14:textFill>
        </w:rPr>
        <w:t>2</w:t>
      </w:r>
      <w:r>
        <w:rPr>
          <w:color w:val="000000" w:themeColor="text1"/>
          <w14:textFill>
            <w14:solidFill>
              <w14:schemeClr w14:val="tx1"/>
            </w14:solidFill>
          </w14:textFill>
        </w:rPr>
        <w:t>。2021年11月，各站底栖动物</w:t>
      </w:r>
      <w:r>
        <w:rPr>
          <w:rFonts w:hint="eastAsia"/>
          <w:color w:val="000000" w:themeColor="text1"/>
          <w14:textFill>
            <w14:solidFill>
              <w14:schemeClr w14:val="tx1"/>
            </w14:solidFill>
          </w14:textFill>
        </w:rPr>
        <w:t>生物量</w:t>
      </w:r>
      <w:r>
        <w:rPr>
          <w:color w:val="000000" w:themeColor="text1"/>
          <w14:textFill>
            <w14:solidFill>
              <w14:schemeClr w14:val="tx1"/>
            </w14:solidFill>
          </w14:textFill>
        </w:rPr>
        <w:t>范围为（0～66.56）g/m</w:t>
      </w:r>
      <w:r>
        <w:rPr>
          <w:color w:val="000000" w:themeColor="text1"/>
          <w:vertAlign w:val="superscript"/>
          <w14:textFill>
            <w14:solidFill>
              <w14:schemeClr w14:val="tx1"/>
            </w14:solidFill>
          </w14:textFill>
        </w:rPr>
        <w:t>2</w:t>
      </w:r>
      <w:r>
        <w:rPr>
          <w:color w:val="000000" w:themeColor="text1"/>
          <w14:textFill>
            <w14:solidFill>
              <w14:schemeClr w14:val="tx1"/>
            </w14:solidFill>
          </w14:textFill>
        </w:rPr>
        <w:t>，平均为9.10g/m</w:t>
      </w:r>
      <w:r>
        <w:rPr>
          <w:color w:val="000000" w:themeColor="text1"/>
          <w:vertAlign w:val="superscript"/>
          <w14:textFill>
            <w14:solidFill>
              <w14:schemeClr w14:val="tx1"/>
            </w14:solidFill>
          </w14:textFill>
        </w:rPr>
        <w:t>2</w:t>
      </w:r>
      <w:r>
        <w:rPr>
          <w:color w:val="000000" w:themeColor="text1"/>
          <w14:textFill>
            <w14:solidFill>
              <w14:schemeClr w14:val="tx1"/>
            </w14:solidFill>
          </w14:textFill>
        </w:rPr>
        <w:t>。2022年4月，各站底栖动物生物量分布范围为（0～1302.81）g/m</w:t>
      </w:r>
      <w:r>
        <w:rPr>
          <w:color w:val="000000" w:themeColor="text1"/>
          <w:vertAlign w:val="superscript"/>
          <w14:textFill>
            <w14:solidFill>
              <w14:schemeClr w14:val="tx1"/>
            </w14:solidFill>
          </w14:textFill>
        </w:rPr>
        <w:t>2</w:t>
      </w:r>
      <w:r>
        <w:rPr>
          <w:color w:val="000000" w:themeColor="text1"/>
          <w14:textFill>
            <w14:solidFill>
              <w14:schemeClr w14:val="tx1"/>
            </w14:solidFill>
          </w14:textFill>
        </w:rPr>
        <w:t>，平均为223.12g/m</w:t>
      </w:r>
      <w:r>
        <w:rPr>
          <w:color w:val="000000" w:themeColor="text1"/>
          <w:vertAlign w:val="superscript"/>
          <w14:textFill>
            <w14:solidFill>
              <w14:schemeClr w14:val="tx1"/>
            </w14:solidFill>
          </w14:textFill>
        </w:rPr>
        <w:t>2</w:t>
      </w:r>
      <w:r>
        <w:rPr>
          <w:color w:val="000000" w:themeColor="text1"/>
          <w14:textFill>
            <w14:solidFill>
              <w14:schemeClr w14:val="tx1"/>
            </w14:solidFill>
          </w14:textFill>
        </w:rPr>
        <w:t>。</w:t>
      </w:r>
    </w:p>
    <w:p>
      <w:pPr>
        <w:pStyle w:val="283"/>
        <w:ind w:firstLine="462"/>
        <w:rPr>
          <w:color w:val="000000" w:themeColor="text1"/>
          <w14:textFill>
            <w14:solidFill>
              <w14:schemeClr w14:val="tx1"/>
            </w14:solidFill>
          </w14:textFill>
        </w:rPr>
      </w:pPr>
      <w:r>
        <w:rPr>
          <w:color w:val="000000" w:themeColor="text1"/>
          <w14:textFill>
            <w14:solidFill>
              <w14:schemeClr w14:val="tx1"/>
            </w14:solidFill>
          </w14:textFill>
        </w:rPr>
        <w:t>潮间带生物：2021年11月，密度介于14～142ind/m</w:t>
      </w:r>
      <w:r>
        <w:rPr>
          <w:color w:val="000000" w:themeColor="text1"/>
          <w:vertAlign w:val="superscript"/>
          <w14:textFill>
            <w14:solidFill>
              <w14:schemeClr w14:val="tx1"/>
            </w14:solidFill>
          </w14:textFill>
        </w:rPr>
        <w:t>2</w:t>
      </w:r>
      <w:r>
        <w:rPr>
          <w:color w:val="000000" w:themeColor="text1"/>
          <w14:textFill>
            <w14:solidFill>
              <w14:schemeClr w14:val="tx1"/>
            </w14:solidFill>
          </w14:textFill>
        </w:rPr>
        <w:t>之间，平均值58ind/m</w:t>
      </w:r>
      <w:r>
        <w:rPr>
          <w:color w:val="000000" w:themeColor="text1"/>
          <w:vertAlign w:val="superscript"/>
          <w14:textFill>
            <w14:solidFill>
              <w14:schemeClr w14:val="tx1"/>
            </w14:solidFill>
          </w14:textFill>
        </w:rPr>
        <w:t>2</w:t>
      </w:r>
      <w:r>
        <w:rPr>
          <w:color w:val="000000" w:themeColor="text1"/>
          <w14:textFill>
            <w14:solidFill>
              <w14:schemeClr w14:val="tx1"/>
            </w14:solidFill>
          </w14:textFill>
        </w:rPr>
        <w:t>。生物量介于13.76～319.45g/m</w:t>
      </w:r>
      <w:r>
        <w:rPr>
          <w:color w:val="000000" w:themeColor="text1"/>
          <w:vertAlign w:val="superscript"/>
          <w14:textFill>
            <w14:solidFill>
              <w14:schemeClr w14:val="tx1"/>
            </w14:solidFill>
          </w14:textFill>
        </w:rPr>
        <w:t>2</w:t>
      </w:r>
      <w:r>
        <w:rPr>
          <w:color w:val="000000" w:themeColor="text1"/>
          <w14:textFill>
            <w14:solidFill>
              <w14:schemeClr w14:val="tx1"/>
            </w14:solidFill>
          </w14:textFill>
        </w:rPr>
        <w:t>之间，平均值116.87g/m</w:t>
      </w:r>
      <w:r>
        <w:rPr>
          <w:color w:val="000000" w:themeColor="text1"/>
          <w:vertAlign w:val="superscript"/>
          <w14:textFill>
            <w14:solidFill>
              <w14:schemeClr w14:val="tx1"/>
            </w14:solidFill>
          </w14:textFill>
        </w:rPr>
        <w:t>2</w:t>
      </w:r>
      <w:r>
        <w:rPr>
          <w:color w:val="000000" w:themeColor="text1"/>
          <w14:textFill>
            <w14:solidFill>
              <w14:schemeClr w14:val="tx1"/>
            </w14:solidFill>
          </w14:textFill>
        </w:rPr>
        <w:t>。2022年4月，各断面潮间带生物密度平均为106ind</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./m</w:t>
      </w:r>
      <w:r>
        <w:rPr>
          <w:color w:val="000000" w:themeColor="text1"/>
          <w:vertAlign w:val="superscript"/>
          <w14:textFill>
            <w14:solidFill>
              <w14:schemeClr w14:val="tx1"/>
            </w14:solidFill>
          </w14:textFill>
        </w:rPr>
        <w:t>2</w:t>
      </w:r>
      <w:r>
        <w:rPr>
          <w:color w:val="000000" w:themeColor="text1"/>
          <w14:textFill>
            <w14:solidFill>
              <w14:schemeClr w14:val="tx1"/>
            </w14:solidFill>
          </w14:textFill>
        </w:rPr>
        <w:t>，生物量平均值为105.26g/m</w:t>
      </w:r>
      <w:r>
        <w:rPr>
          <w:color w:val="000000" w:themeColor="text1"/>
          <w:vertAlign w:val="superscript"/>
          <w14:textFill>
            <w14:solidFill>
              <w14:schemeClr w14:val="tx1"/>
            </w14:solidFill>
          </w14:textFill>
        </w:rPr>
        <w:t>2</w:t>
      </w:r>
      <w:r>
        <w:rPr>
          <w:color w:val="000000" w:themeColor="text1"/>
          <w14:textFill>
            <w14:solidFill>
              <w14:schemeClr w14:val="tx1"/>
            </w14:solidFill>
          </w14:textFill>
        </w:rPr>
        <w:t>。</w:t>
      </w:r>
    </w:p>
    <w:p>
      <w:pPr>
        <w:ind w:firstLine="462" w:firstLineChars="200"/>
        <w:rPr>
          <w:color w:val="000000" w:themeColor="text1"/>
          <w14:textFill>
            <w14:solidFill>
              <w14:schemeClr w14:val="tx1"/>
            </w14:solidFill>
          </w14:textFill>
        </w:rPr>
      </w:pPr>
      <w:r>
        <w:rPr>
          <w:color w:val="000000" w:themeColor="text1"/>
          <w14:textFill>
            <w14:solidFill>
              <w14:schemeClr w14:val="tx1"/>
            </w14:solidFill>
          </w14:textFill>
        </w:rPr>
        <w:t>渔业资源调查结果：2021年11月航次</w:t>
      </w:r>
      <w:r>
        <w:rPr>
          <w:bCs/>
          <w:color w:val="000000" w:themeColor="text1"/>
          <w14:textFill>
            <w14:solidFill>
              <w14:schemeClr w14:val="tx1"/>
            </w14:solidFill>
          </w14:textFill>
        </w:rPr>
        <w:t>采集到1种鱼卵</w:t>
      </w:r>
      <w:r>
        <w:rPr>
          <w:color w:val="000000" w:themeColor="text1"/>
          <w14:textFill>
            <w14:solidFill>
              <w14:schemeClr w14:val="tx1"/>
            </w14:solidFill>
          </w14:textFill>
        </w:rPr>
        <w:t>，未采集到仔鱼。</w:t>
      </w:r>
      <w:r>
        <w:rPr>
          <w:bCs/>
          <w:color w:val="000000" w:themeColor="text1"/>
          <w14:textFill>
            <w14:solidFill>
              <w14:schemeClr w14:val="tx1"/>
            </w14:solidFill>
          </w14:textFill>
        </w:rPr>
        <w:t>鱼卵平均密度为0.085个/m</w:t>
      </w:r>
      <w:r>
        <w:rPr>
          <w:bCs/>
          <w:color w:val="000000" w:themeColor="text1"/>
          <w:vertAlign w:val="superscript"/>
          <w14:textFill>
            <w14:solidFill>
              <w14:schemeClr w14:val="tx1"/>
            </w14:solidFill>
          </w14:textFill>
        </w:rPr>
        <w:t>3</w:t>
      </w:r>
      <w:r>
        <w:rPr>
          <w:color w:val="000000" w:themeColor="text1"/>
          <w14:textFill>
            <w14:solidFill>
              <w14:schemeClr w14:val="tx1"/>
            </w14:solidFill>
          </w14:textFill>
        </w:rPr>
        <w:t>。</w:t>
      </w:r>
      <w:r>
        <w:rPr>
          <w:bCs/>
          <w:color w:val="000000" w:themeColor="text1"/>
          <w:lang w:bidi="en-US"/>
          <w14:textFill>
            <w14:solidFill>
              <w14:schemeClr w14:val="tx1"/>
            </w14:solidFill>
          </w14:textFill>
        </w:rPr>
        <w:t>共采集到渔获物79种，其中鱼类55种，虾类和蟹类各8种，口足类4种，头足类2种，其他2种</w:t>
      </w:r>
      <w:r>
        <w:rPr>
          <w:color w:val="000000" w:themeColor="text1"/>
          <w14:textFill>
            <w14:solidFill>
              <w14:schemeClr w14:val="tx1"/>
            </w14:solidFill>
          </w14:textFill>
        </w:rPr>
        <w:t>。2022年4月航次共采集到3种鱼卵和1种仔鱼。</w:t>
      </w:r>
      <w:r>
        <w:rPr>
          <w:bCs/>
          <w:color w:val="000000" w:themeColor="text1"/>
          <w14:textFill>
            <w14:solidFill>
              <w14:schemeClr w14:val="tx1"/>
            </w14:solidFill>
          </w14:textFill>
        </w:rPr>
        <w:t>鱼卵平均密度为0.37个/m</w:t>
      </w:r>
      <w:r>
        <w:rPr>
          <w:bCs/>
          <w:color w:val="000000" w:themeColor="text1"/>
          <w:vertAlign w:val="superscript"/>
          <w14:textFill>
            <w14:solidFill>
              <w14:schemeClr w14:val="tx1"/>
            </w14:solidFill>
          </w14:textFill>
        </w:rPr>
        <w:t>3</w:t>
      </w:r>
      <w:r>
        <w:rPr>
          <w:bCs/>
          <w:color w:val="000000" w:themeColor="text1"/>
          <w14:textFill>
            <w14:solidFill>
              <w14:schemeClr w14:val="tx1"/>
            </w14:solidFill>
          </w14:textFill>
        </w:rPr>
        <w:t>，仔鱼平均密度为0.13个/m</w:t>
      </w:r>
      <w:r>
        <w:rPr>
          <w:bCs/>
          <w:color w:val="000000" w:themeColor="text1"/>
          <w:vertAlign w:val="superscript"/>
          <w14:textFill>
            <w14:solidFill>
              <w14:schemeClr w14:val="tx1"/>
            </w14:solidFill>
          </w14:textFill>
        </w:rPr>
        <w:t>3</w:t>
      </w:r>
      <w:r>
        <w:rPr>
          <w:color w:val="000000" w:themeColor="text1"/>
          <w14:textFill>
            <w14:solidFill>
              <w14:schemeClr w14:val="tx1"/>
            </w14:solidFill>
          </w14:textFill>
        </w:rPr>
        <w:t>。</w:t>
      </w:r>
      <w:r>
        <w:rPr>
          <w:bCs/>
          <w:color w:val="000000" w:themeColor="text1"/>
          <w:lang w:bidi="en-US"/>
          <w14:textFill>
            <w14:solidFill>
              <w14:schemeClr w14:val="tx1"/>
            </w14:solidFill>
          </w14:textFill>
        </w:rPr>
        <w:t>共采集到渔获物72种，其中鱼类44种，虾类6种，蟹类13种，头足类1种，口足类5种，其他3种</w:t>
      </w:r>
      <w:r>
        <w:rPr>
          <w:color w:val="000000" w:themeColor="text1"/>
          <w14:textFill>
            <w14:solidFill>
              <w14:schemeClr w14:val="tx1"/>
            </w14:solidFill>
          </w14:textFill>
        </w:rPr>
        <w:t>。</w:t>
      </w:r>
    </w:p>
    <w:p>
      <w:pPr>
        <w:pStyle w:val="283"/>
        <w:ind w:firstLine="462"/>
        <w:rPr>
          <w:color w:val="000000" w:themeColor="text1"/>
          <w14:textFill>
            <w14:solidFill>
              <w14:schemeClr w14:val="tx1"/>
            </w14:solidFill>
          </w14:textFill>
        </w:rPr>
      </w:pPr>
      <w:r>
        <w:rPr>
          <w:color w:val="000000" w:themeColor="text1"/>
          <w14:textFill>
            <w14:solidFill>
              <w14:schemeClr w14:val="tx1"/>
            </w14:solidFill>
          </w14:textFill>
        </w:rPr>
        <w:t>生物体质量：2021年11月</w:t>
      </w:r>
      <w:r>
        <w:rPr>
          <w:rFonts w:hint="eastAsia"/>
          <w:color w:val="000000" w:themeColor="text1"/>
          <w14:textFill>
            <w14:solidFill>
              <w14:schemeClr w14:val="tx1"/>
            </w14:solidFill>
          </w14:textFill>
        </w:rPr>
        <w:t>贝</w:t>
      </w:r>
      <w:r>
        <w:rPr>
          <w:color w:val="000000" w:themeColor="text1"/>
          <w14:textFill>
            <w14:solidFill>
              <w14:schemeClr w14:val="tx1"/>
            </w14:solidFill>
          </w14:textFill>
        </w:rPr>
        <w:t>类的锌出现不同程度的超标现象，其余指标均满足相应评价标准。2022年4月生物体质量调查所有指标均满足相应评价标准。</w:t>
      </w:r>
    </w:p>
    <w:p>
      <w:pPr>
        <w:pStyle w:val="5"/>
        <w:rPr>
          <w:color w:val="000000" w:themeColor="text1"/>
          <w14:textFill>
            <w14:solidFill>
              <w14:schemeClr w14:val="tx1"/>
            </w14:solidFill>
          </w14:textFill>
        </w:rPr>
      </w:pPr>
      <w:r>
        <w:rPr>
          <w:color w:val="000000" w:themeColor="text1"/>
          <w14:textFill>
            <w14:solidFill>
              <w14:schemeClr w14:val="tx1"/>
            </w14:solidFill>
          </w14:textFill>
        </w:rPr>
        <w:t>生态敏感区及珍稀濒危物种调查</w:t>
      </w:r>
    </w:p>
    <w:p>
      <w:pPr>
        <w:pStyle w:val="283"/>
        <w:ind w:firstLine="462"/>
        <w:rPr>
          <w:color w:val="000000" w:themeColor="text1"/>
          <w14:textFill>
            <w14:solidFill>
              <w14:schemeClr w14:val="tx1"/>
            </w14:solidFill>
          </w14:textFill>
        </w:rPr>
      </w:pPr>
      <w:r>
        <w:rPr>
          <w:rFonts w:hint="eastAsia"/>
          <w:color w:val="000000" w:themeColor="text1"/>
          <w:lang w:val="zh-CN"/>
          <w14:textFill>
            <w14:solidFill>
              <w14:schemeClr w14:val="tx1"/>
            </w14:solidFill>
          </w14:textFill>
        </w:rPr>
        <w:t>生态保护红线包括钦州市鹿耳环重要滩涂及浅海水域红线区、北部湾水源涵养生态保护红线区、钦州市月亮湾海岸防护极重要区、钦州市三娘湾重要滩涂及浅海水域红线区4处，</w:t>
      </w:r>
      <w:r>
        <w:rPr>
          <w:color w:val="000000" w:themeColor="text1"/>
          <w14:textFill>
            <w14:solidFill>
              <w14:schemeClr w14:val="tx1"/>
            </w14:solidFill>
          </w14:textFill>
        </w:rPr>
        <w:t>距项目较近的红树林集中分布斑块为项目选址北面约</w:t>
      </w:r>
      <w:r>
        <w:rPr>
          <w:rFonts w:hint="eastAsia"/>
          <w:color w:val="000000" w:themeColor="text1"/>
          <w14:textFill>
            <w14:solidFill>
              <w14:schemeClr w14:val="tx1"/>
            </w14:solidFill>
          </w14:textFill>
        </w:rPr>
        <w:t>6.30</w:t>
      </w:r>
      <w:r>
        <w:rPr>
          <w:color w:val="000000" w:themeColor="text1"/>
          <w14:textFill>
            <w14:solidFill>
              <w14:schemeClr w14:val="tx1"/>
            </w14:solidFill>
          </w14:textFill>
        </w:rPr>
        <w:t>km外的金鼓江红树林集中分布斑块，东侧约6.9km外的鹿耳环江红树林集中分布斑块。</w:t>
      </w:r>
      <w:r>
        <w:rPr>
          <w:rFonts w:hint="eastAsia"/>
          <w:color w:val="000000" w:themeColor="text1"/>
          <w14:textFill>
            <w14:solidFill>
              <w14:schemeClr w14:val="tx1"/>
            </w14:solidFill>
          </w14:textFill>
        </w:rPr>
        <w:t>广西茅尾海红树林自治区级自然保护区七十二泾片距离本项目西北面最近距离为10.6km，茅尾海片距离本项目西北面最近距离约25.0km。茅尾海国家级海洋公园位于本项目西北面约17.5km处。北部湾二长棘鲷长毛对虾种质资源保护区位于本项目南面约16.3km处。</w:t>
      </w:r>
      <w:r>
        <w:rPr>
          <w:color w:val="000000" w:themeColor="text1"/>
          <w14:textFill>
            <w14:solidFill>
              <w14:schemeClr w14:val="tx1"/>
            </w14:solidFill>
          </w14:textFill>
        </w:rPr>
        <w:t>项目建设未涉及占用上述生态敏感区划分范围。</w:t>
      </w:r>
    </w:p>
    <w:p>
      <w:pPr>
        <w:pStyle w:val="1075"/>
        <w:ind w:firstLine="462"/>
        <w:rPr>
          <w:color w:val="000000" w:themeColor="text1"/>
          <w14:textFill>
            <w14:solidFill>
              <w14:schemeClr w14:val="tx1"/>
            </w14:solidFill>
          </w14:textFill>
        </w:rPr>
      </w:pPr>
      <w:r>
        <w:rPr>
          <w:rFonts w:hint="eastAsia"/>
          <w:color w:val="000000" w:themeColor="text1"/>
          <w14:textFill>
            <w14:solidFill>
              <w14:schemeClr w14:val="tx1"/>
            </w14:solidFill>
          </w14:textFill>
        </w:rPr>
        <w:t>本项目评价范围内珍稀濒危物种包括中华白海豚，</w:t>
      </w:r>
      <w:r>
        <w:rPr>
          <w:color w:val="000000" w:themeColor="text1"/>
          <w14:textFill>
            <w14:solidFill>
              <w14:schemeClr w14:val="tx1"/>
            </w14:solidFill>
          </w14:textFill>
        </w:rPr>
        <w:t>本项目与白海豚主要活动区域距离约7.3km且存在钦州港三墩作业区已建30万吨级原油码头及其进港公路（三墩公路）阻隔，本项目对该生态敏感区基本无影响。近年在项目区周边海域未发现有北部湾中华白海豚活动记录。</w:t>
      </w:r>
    </w:p>
    <w:p>
      <w:pPr>
        <w:pStyle w:val="4"/>
        <w:rPr>
          <w:color w:val="000000" w:themeColor="text1"/>
          <w14:textFill>
            <w14:solidFill>
              <w14:schemeClr w14:val="tx1"/>
            </w14:solidFill>
          </w14:textFill>
        </w:rPr>
      </w:pPr>
      <w:bookmarkStart w:id="349" w:name="_Toc312403742"/>
      <w:bookmarkStart w:id="350" w:name="_Toc317003578"/>
      <w:bookmarkStart w:id="351" w:name="_Toc317003298"/>
      <w:bookmarkStart w:id="352" w:name="_Toc313461119"/>
      <w:bookmarkStart w:id="353" w:name="_Toc106181821"/>
      <w:bookmarkStart w:id="354" w:name="_Toc170918633"/>
      <w:bookmarkStart w:id="355" w:name="_Toc11922516"/>
      <w:bookmarkStart w:id="356" w:name="_Toc9264120"/>
      <w:r>
        <w:rPr>
          <w:rFonts w:hint="eastAsia"/>
          <w:color w:val="000000" w:themeColor="text1"/>
          <w14:textFill>
            <w14:solidFill>
              <w14:schemeClr w14:val="tx1"/>
            </w14:solidFill>
          </w14:textFill>
        </w:rPr>
        <w:t>环境影响评价结论与主要环境保护措施</w:t>
      </w:r>
      <w:bookmarkEnd w:id="349"/>
      <w:bookmarkEnd w:id="350"/>
      <w:bookmarkEnd w:id="351"/>
      <w:bookmarkEnd w:id="352"/>
      <w:bookmarkEnd w:id="353"/>
      <w:bookmarkEnd w:id="354"/>
    </w:p>
    <w:p>
      <w:pPr>
        <w:pStyle w:val="5"/>
        <w:rPr>
          <w:color w:val="000000" w:themeColor="text1"/>
          <w14:textFill>
            <w14:solidFill>
              <w14:schemeClr w14:val="tx1"/>
            </w14:solidFill>
          </w14:textFill>
        </w:rPr>
      </w:pPr>
      <w:r>
        <w:rPr>
          <w:rFonts w:hint="eastAsia"/>
          <w:color w:val="000000" w:themeColor="text1"/>
          <w14:textFill>
            <w14:solidFill>
              <w14:schemeClr w14:val="tx1"/>
            </w14:solidFill>
          </w14:textFill>
        </w:rPr>
        <w:t>水环境</w:t>
      </w:r>
    </w:p>
    <w:p>
      <w:pPr>
        <w:pStyle w:val="6"/>
        <w:rPr>
          <w:color w:val="000000" w:themeColor="text1"/>
          <w14:textFill>
            <w14:solidFill>
              <w14:schemeClr w14:val="tx1"/>
            </w14:solidFill>
          </w14:textFill>
        </w:rPr>
      </w:pPr>
      <w:r>
        <w:rPr>
          <w:rFonts w:hint="eastAsia"/>
          <w:color w:val="000000" w:themeColor="text1"/>
          <w14:textFill>
            <w14:solidFill>
              <w14:schemeClr w14:val="tx1"/>
            </w14:solidFill>
          </w14:textFill>
        </w:rPr>
        <w:t>施工期</w:t>
      </w:r>
    </w:p>
    <w:p>
      <w:pPr>
        <w:pStyle w:val="283"/>
        <w:ind w:firstLine="462"/>
        <w:rPr>
          <w:color w:val="000000" w:themeColor="text1"/>
          <w14:textFill>
            <w14:solidFill>
              <w14:schemeClr w14:val="tx1"/>
            </w14:solidFill>
          </w14:textFill>
        </w:rPr>
      </w:pPr>
      <w:r>
        <w:rPr>
          <w:rFonts w:hint="eastAsia"/>
          <w:color w:val="000000" w:themeColor="text1"/>
          <w14:textFill>
            <w14:solidFill>
              <w14:schemeClr w14:val="tx1"/>
            </w14:solidFill>
          </w14:textFill>
        </w:rPr>
        <w:t>（1）对潮流场的影响</w:t>
      </w:r>
    </w:p>
    <w:p>
      <w:pPr>
        <w:pStyle w:val="283"/>
        <w:ind w:firstLine="462"/>
        <w:rPr>
          <w:color w:val="000000" w:themeColor="text1"/>
          <w14:textFill>
            <w14:solidFill>
              <w14:schemeClr w14:val="tx1"/>
            </w14:solidFill>
          </w14:textFill>
        </w:rPr>
      </w:pPr>
      <w:r>
        <w:rPr>
          <w:rFonts w:hint="eastAsia"/>
          <w:color w:val="000000" w:themeColor="text1"/>
          <w14:textFill>
            <w14:solidFill>
              <w14:schemeClr w14:val="tx1"/>
            </w14:solidFill>
          </w14:textFill>
        </w:rPr>
        <w:t>涨潮时，潮流从钦州湾外进入钦州湾，本项目所在区域潮流为顺岸朝湾内流动，钦州湾湾口位置潮流流向为</w:t>
      </w:r>
      <w:r>
        <w:rPr>
          <w:color w:val="000000" w:themeColor="text1"/>
          <w14:textFill>
            <w14:solidFill>
              <w14:schemeClr w14:val="tx1"/>
            </w14:solidFill>
          </w14:textFill>
        </w:rPr>
        <w:t>N</w:t>
      </w:r>
      <w:r>
        <w:rPr>
          <w:rFonts w:hint="eastAsia"/>
          <w:color w:val="000000" w:themeColor="text1"/>
          <w14:textFill>
            <w14:solidFill>
              <w14:schemeClr w14:val="tx1"/>
            </w14:solidFill>
          </w14:textFill>
        </w:rPr>
        <w:t>向。流速最大的区域位于钦州湾潮汐汊道位置，尤其是龙门港镇东侧位置的流速最大，可达</w:t>
      </w:r>
      <w:r>
        <w:rPr>
          <w:color w:val="000000" w:themeColor="text1"/>
          <w14:textFill>
            <w14:solidFill>
              <w14:schemeClr w14:val="tx1"/>
            </w14:solidFill>
          </w14:textFill>
        </w:rPr>
        <w:t>1.3m/s</w:t>
      </w:r>
      <w:r>
        <w:rPr>
          <w:rFonts w:hint="eastAsia"/>
          <w:color w:val="000000" w:themeColor="text1"/>
          <w14:textFill>
            <w14:solidFill>
              <w14:schemeClr w14:val="tx1"/>
            </w14:solidFill>
          </w14:textFill>
        </w:rPr>
        <w:t>左右，钦州港经发区西侧的潮汐汊道潮流流速亦较大；反观湾外及钦州湾湾内的流速则较小，大部分区域在</w:t>
      </w:r>
      <w:r>
        <w:rPr>
          <w:color w:val="000000" w:themeColor="text1"/>
          <w14:textFill>
            <w14:solidFill>
              <w14:schemeClr w14:val="tx1"/>
            </w14:solidFill>
          </w14:textFill>
        </w:rPr>
        <w:t>0.4m/s</w:t>
      </w:r>
      <w:r>
        <w:rPr>
          <w:rFonts w:hint="eastAsia"/>
          <w:color w:val="000000" w:themeColor="text1"/>
          <w14:textFill>
            <w14:solidFill>
              <w14:schemeClr w14:val="tx1"/>
            </w14:solidFill>
          </w14:textFill>
        </w:rPr>
        <w:t>左右，北海市西侧海域的流速在</w:t>
      </w:r>
      <w:r>
        <w:rPr>
          <w:color w:val="000000" w:themeColor="text1"/>
          <w14:textFill>
            <w14:solidFill>
              <w14:schemeClr w14:val="tx1"/>
            </w14:solidFill>
          </w14:textFill>
        </w:rPr>
        <w:t>0.3</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0.4m/s</w:t>
      </w:r>
      <w:r>
        <w:rPr>
          <w:rFonts w:hint="eastAsia"/>
          <w:color w:val="000000" w:themeColor="text1"/>
          <w14:textFill>
            <w14:solidFill>
              <w14:schemeClr w14:val="tx1"/>
            </w14:solidFill>
          </w14:textFill>
        </w:rPr>
        <w:t>之间；除潮汐汊道的近岸区域流速大多小于</w:t>
      </w:r>
      <w:r>
        <w:rPr>
          <w:color w:val="000000" w:themeColor="text1"/>
          <w14:textFill>
            <w14:solidFill>
              <w14:schemeClr w14:val="tx1"/>
            </w14:solidFill>
          </w14:textFill>
        </w:rPr>
        <w:t>0.1m/s</w:t>
      </w:r>
      <w:r>
        <w:rPr>
          <w:rFonts w:hint="eastAsia"/>
          <w:color w:val="000000" w:themeColor="text1"/>
          <w14:textFill>
            <w14:solidFill>
              <w14:schemeClr w14:val="tx1"/>
            </w14:solidFill>
          </w14:textFill>
        </w:rPr>
        <w:t>。本项目码头前沿区域的流速较大，在</w:t>
      </w:r>
      <w:r>
        <w:rPr>
          <w:color w:val="000000" w:themeColor="text1"/>
          <w14:textFill>
            <w14:solidFill>
              <w14:schemeClr w14:val="tx1"/>
            </w14:solidFill>
          </w14:textFill>
        </w:rPr>
        <w:t>0.15</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0.50m/s</w:t>
      </w:r>
      <w:r>
        <w:rPr>
          <w:rFonts w:hint="eastAsia"/>
          <w:color w:val="000000" w:themeColor="text1"/>
          <w14:textFill>
            <w14:solidFill>
              <w14:schemeClr w14:val="tx1"/>
            </w14:solidFill>
          </w14:textFill>
        </w:rPr>
        <w:t>之间。落急时，流向与涨潮时相反，钦州湾潮汐汊道潮流运动形式以往复流为主，而钦州湾外侧海域则逐渐向旋转流过渡，钦州湾湾口位置潮流流向为</w:t>
      </w:r>
      <w:r>
        <w:rPr>
          <w:color w:val="000000" w:themeColor="text1"/>
          <w14:textFill>
            <w14:solidFill>
              <w14:schemeClr w14:val="tx1"/>
            </w14:solidFill>
          </w14:textFill>
        </w:rPr>
        <w:t>S</w:t>
      </w:r>
      <w:r>
        <w:rPr>
          <w:rFonts w:hint="eastAsia"/>
          <w:color w:val="000000" w:themeColor="text1"/>
          <w14:textFill>
            <w14:solidFill>
              <w14:schemeClr w14:val="tx1"/>
            </w14:solidFill>
          </w14:textFill>
        </w:rPr>
        <w:t>向。流速最大的区域依然位于钦州湾潮汐汊道位置，龙门港镇东侧潮汐汊道较窄，海流通量最大，因此，其流速亦最大，可达</w:t>
      </w:r>
      <w:r>
        <w:rPr>
          <w:color w:val="000000" w:themeColor="text1"/>
          <w14:textFill>
            <w14:solidFill>
              <w14:schemeClr w14:val="tx1"/>
            </w14:solidFill>
          </w14:textFill>
        </w:rPr>
        <w:t>1.7m/s</w:t>
      </w:r>
      <w:r>
        <w:rPr>
          <w:rFonts w:hint="eastAsia"/>
          <w:color w:val="000000" w:themeColor="text1"/>
          <w14:textFill>
            <w14:solidFill>
              <w14:schemeClr w14:val="tx1"/>
            </w14:solidFill>
          </w14:textFill>
        </w:rPr>
        <w:t>左右，钦州港经发区西侧的潮汐汊道潮流流速亦较大，最大流速可达</w:t>
      </w:r>
      <w:r>
        <w:rPr>
          <w:color w:val="000000" w:themeColor="text1"/>
          <w14:textFill>
            <w14:solidFill>
              <w14:schemeClr w14:val="tx1"/>
            </w14:solidFill>
          </w14:textFill>
        </w:rPr>
        <w:t>1.65m/s</w:t>
      </w:r>
      <w:r>
        <w:rPr>
          <w:rFonts w:hint="eastAsia"/>
          <w:color w:val="000000" w:themeColor="text1"/>
          <w14:textFill>
            <w14:solidFill>
              <w14:schemeClr w14:val="tx1"/>
            </w14:solidFill>
          </w14:textFill>
        </w:rPr>
        <w:t>；反观湾外及钦州湾湾内的流速则较小，大部分区域在</w:t>
      </w:r>
      <w:r>
        <w:rPr>
          <w:color w:val="000000" w:themeColor="text1"/>
          <w14:textFill>
            <w14:solidFill>
              <w14:schemeClr w14:val="tx1"/>
            </w14:solidFill>
          </w14:textFill>
        </w:rPr>
        <w:t>0.5m/s</w:t>
      </w:r>
      <w:r>
        <w:rPr>
          <w:rFonts w:hint="eastAsia"/>
          <w:color w:val="000000" w:themeColor="text1"/>
          <w14:textFill>
            <w14:solidFill>
              <w14:schemeClr w14:val="tx1"/>
            </w14:solidFill>
          </w14:textFill>
        </w:rPr>
        <w:t>左右；除潮汐汊道的近岸区域流速大多小于</w:t>
      </w:r>
      <w:r>
        <w:rPr>
          <w:color w:val="000000" w:themeColor="text1"/>
          <w14:textFill>
            <w14:solidFill>
              <w14:schemeClr w14:val="tx1"/>
            </w14:solidFill>
          </w14:textFill>
        </w:rPr>
        <w:t>0.1m/s</w:t>
      </w:r>
      <w:r>
        <w:rPr>
          <w:rFonts w:hint="eastAsia"/>
          <w:color w:val="000000" w:themeColor="text1"/>
          <w14:textFill>
            <w14:solidFill>
              <w14:schemeClr w14:val="tx1"/>
            </w14:solidFill>
          </w14:textFill>
        </w:rPr>
        <w:t>。本项目码头位于湾口位置，前沿水域的流速在</w:t>
      </w:r>
      <w:r>
        <w:rPr>
          <w:color w:val="000000" w:themeColor="text1"/>
          <w14:textFill>
            <w14:solidFill>
              <w14:schemeClr w14:val="tx1"/>
            </w14:solidFill>
          </w14:textFill>
        </w:rPr>
        <w:t>0.25</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0.80m/s</w:t>
      </w:r>
      <w:r>
        <w:rPr>
          <w:rFonts w:hint="eastAsia"/>
          <w:color w:val="000000" w:themeColor="text1"/>
          <w14:textFill>
            <w14:solidFill>
              <w14:schemeClr w14:val="tx1"/>
            </w14:solidFill>
          </w14:textFill>
        </w:rPr>
        <w:t>之间。</w:t>
      </w:r>
    </w:p>
    <w:p>
      <w:pPr>
        <w:pStyle w:val="283"/>
        <w:ind w:firstLine="462"/>
        <w:rPr>
          <w:color w:val="000000" w:themeColor="text1"/>
          <w14:textFill>
            <w14:solidFill>
              <w14:schemeClr w14:val="tx1"/>
            </w14:solidFill>
          </w14:textFill>
        </w:rPr>
      </w:pPr>
      <w:r>
        <w:rPr>
          <w:rFonts w:hint="eastAsia"/>
          <w:color w:val="000000" w:themeColor="text1"/>
          <w14:textFill>
            <w14:solidFill>
              <w14:schemeClr w14:val="tx1"/>
            </w14:solidFill>
          </w14:textFill>
        </w:rPr>
        <w:t>（2）水动力影响</w:t>
      </w:r>
    </w:p>
    <w:p>
      <w:pPr>
        <w:pStyle w:val="283"/>
        <w:ind w:firstLine="462"/>
        <w:rPr>
          <w:color w:val="000000" w:themeColor="text1"/>
          <w14:textFill>
            <w14:solidFill>
              <w14:schemeClr w14:val="tx1"/>
            </w14:solidFill>
          </w14:textFill>
        </w:rPr>
      </w:pPr>
      <w:r>
        <w:rPr>
          <w:rFonts w:hint="eastAsia"/>
          <w:color w:val="000000" w:themeColor="text1"/>
          <w14:textFill>
            <w14:solidFill>
              <w14:schemeClr w14:val="tx1"/>
            </w14:solidFill>
          </w14:textFill>
        </w:rPr>
        <w:t>由于水下疏浚等改变了局部水深地形，这些区域的流速和流向有一定变化。项目建成后流速最大变化幅度不超过</w:t>
      </w:r>
      <w:r>
        <w:rPr>
          <w:color w:val="000000" w:themeColor="text1"/>
          <w14:textFill>
            <w14:solidFill>
              <w14:schemeClr w14:val="tx1"/>
            </w14:solidFill>
          </w14:textFill>
        </w:rPr>
        <w:t>55cm/s</w:t>
      </w:r>
      <w:r>
        <w:rPr>
          <w:rFonts w:hint="eastAsia"/>
          <w:color w:val="000000" w:themeColor="text1"/>
          <w14:textFill>
            <w14:solidFill>
              <w14:schemeClr w14:val="tx1"/>
            </w14:solidFill>
          </w14:textFill>
        </w:rPr>
        <w:t>，流向变化幅度最大不超过</w:t>
      </w:r>
      <w:r>
        <w:rPr>
          <w:color w:val="000000" w:themeColor="text1"/>
          <w14:textFill>
            <w14:solidFill>
              <w14:schemeClr w14:val="tx1"/>
            </w14:solidFill>
          </w14:textFill>
        </w:rPr>
        <w:t>100</w:t>
      </w:r>
      <w:r>
        <w:rPr>
          <w:rFonts w:hint="eastAsia"/>
          <w:color w:val="000000" w:themeColor="text1"/>
          <w14:textFill>
            <w14:solidFill>
              <w14:schemeClr w14:val="tx1"/>
            </w14:solidFill>
          </w14:textFill>
        </w:rPr>
        <w:t>°，其中，疏浚区域及其西侧海域流态变化较为明显，项目建设会对其周围</w:t>
      </w:r>
      <w:r>
        <w:rPr>
          <w:color w:val="000000" w:themeColor="text1"/>
          <w14:textFill>
            <w14:solidFill>
              <w14:schemeClr w14:val="tx1"/>
            </w14:solidFill>
          </w14:textFill>
        </w:rPr>
        <w:t>1.0km</w:t>
      </w:r>
      <w:r>
        <w:rPr>
          <w:rFonts w:hint="eastAsia"/>
          <w:color w:val="000000" w:themeColor="text1"/>
          <w14:textFill>
            <w14:solidFill>
              <w14:schemeClr w14:val="tx1"/>
            </w14:solidFill>
          </w14:textFill>
        </w:rPr>
        <w:t>海域的水动力环境造成较为明显影响。</w:t>
      </w:r>
    </w:p>
    <w:p>
      <w:pPr>
        <w:pStyle w:val="283"/>
        <w:ind w:firstLine="462"/>
        <w:rPr>
          <w:color w:val="000000" w:themeColor="text1"/>
          <w14:textFill>
            <w14:solidFill>
              <w14:schemeClr w14:val="tx1"/>
            </w14:solidFill>
          </w14:textFill>
        </w:rPr>
      </w:pPr>
      <w:r>
        <w:rPr>
          <w:rFonts w:hint="eastAsia"/>
          <w:color w:val="000000" w:themeColor="text1"/>
          <w14:textFill>
            <w14:solidFill>
              <w14:schemeClr w14:val="tx1"/>
            </w14:solidFill>
          </w14:textFill>
        </w:rPr>
        <w:t>（3）悬浮泥沙扩散影响</w:t>
      </w:r>
    </w:p>
    <w:p>
      <w:pPr>
        <w:pStyle w:val="283"/>
        <w:ind w:firstLine="462"/>
        <w:rPr>
          <w:color w:val="000000" w:themeColor="text1"/>
          <w14:textFill>
            <w14:solidFill>
              <w14:schemeClr w14:val="tx1"/>
            </w14:solidFill>
          </w14:textFill>
        </w:rPr>
      </w:pPr>
      <w:r>
        <w:rPr>
          <w:color w:val="000000" w:themeColor="text1"/>
          <w14:textFill>
            <w14:solidFill>
              <w14:schemeClr w14:val="tx1"/>
            </w14:solidFill>
          </w14:textFill>
        </w:rPr>
        <w:t>悬沙不会</w:t>
      </w:r>
      <w:r>
        <w:rPr>
          <w:rFonts w:hint="eastAsia"/>
          <w:color w:val="000000" w:themeColor="text1"/>
          <w14:textFill>
            <w14:solidFill>
              <w14:schemeClr w14:val="tx1"/>
            </w14:solidFill>
          </w14:textFill>
        </w:rPr>
        <w:t>对评价区域内的敏感目标造成明显影响，但</w:t>
      </w:r>
      <w:r>
        <w:rPr>
          <w:color w:val="000000" w:themeColor="text1"/>
          <w14:textFill>
            <w14:solidFill>
              <w14:schemeClr w14:val="tx1"/>
            </w14:solidFill>
          </w14:textFill>
        </w:rPr>
        <w:t>可对距离工程区域</w:t>
      </w:r>
      <w:r>
        <w:rPr>
          <w:rFonts w:hint="eastAsia"/>
          <w:color w:val="000000" w:themeColor="text1"/>
          <w14:textFill>
            <w14:solidFill>
              <w14:schemeClr w14:val="tx1"/>
            </w14:solidFill>
          </w14:textFill>
        </w:rPr>
        <w:t>2.0km范围内的水域水质产生影响。</w:t>
      </w:r>
      <w:r>
        <w:rPr>
          <w:color w:val="000000" w:themeColor="text1"/>
          <w14:textFill>
            <w14:solidFill>
              <w14:schemeClr w14:val="tx1"/>
            </w14:solidFill>
          </w14:textFill>
        </w:rPr>
        <w:t>施工前应开展悬沙跟踪监测，</w:t>
      </w:r>
      <w:r>
        <w:rPr>
          <w:rFonts w:hint="eastAsia"/>
          <w:color w:val="000000" w:themeColor="text1"/>
          <w14:textFill>
            <w14:solidFill>
              <w14:schemeClr w14:val="tx1"/>
            </w14:solidFill>
          </w14:textFill>
        </w:rPr>
        <w:t>重点关注本项目施工期监测计划内列入的项目区域周边1号监测点、</w:t>
      </w:r>
      <w:r>
        <w:rPr>
          <w:color w:val="000000" w:themeColor="text1"/>
          <w14:textFill>
            <w14:solidFill>
              <w14:schemeClr w14:val="tx1"/>
            </w14:solidFill>
          </w14:textFill>
        </w:rPr>
        <w:t>2</w:t>
      </w:r>
      <w:r>
        <w:rPr>
          <w:rFonts w:hint="eastAsia"/>
          <w:color w:val="000000" w:themeColor="text1"/>
          <w14:textFill>
            <w14:solidFill>
              <w14:schemeClr w14:val="tx1"/>
            </w14:solidFill>
          </w14:textFill>
        </w:rPr>
        <w:t>号监测点及4号监测点，</w:t>
      </w:r>
      <w:r>
        <w:rPr>
          <w:color w:val="000000" w:themeColor="text1"/>
          <w14:textFill>
            <w14:solidFill>
              <w14:schemeClr w14:val="tx1"/>
            </w14:solidFill>
          </w14:textFill>
        </w:rPr>
        <w:t>发现悬沙浓度</w:t>
      </w:r>
      <w:r>
        <w:rPr>
          <w:rFonts w:hint="eastAsia"/>
          <w:color w:val="000000" w:themeColor="text1"/>
          <w14:textFill>
            <w14:solidFill>
              <w14:schemeClr w14:val="tx1"/>
            </w14:solidFill>
          </w14:textFill>
        </w:rPr>
        <w:t>超出《广西壮族自治区生态环境厅关于印发广西壮族自治区近岸海域环境功能区划调整方案的通知》（桂环发〔2023〕9号）中相应功能区海水水质标准时</w:t>
      </w:r>
      <w:r>
        <w:rPr>
          <w:color w:val="000000" w:themeColor="text1"/>
          <w14:textFill>
            <w14:solidFill>
              <w14:schemeClr w14:val="tx1"/>
            </w14:solidFill>
          </w14:textFill>
        </w:rPr>
        <w:t>，应立即停止施工，对施工造成的海洋生态损失应当给予一定的赔偿。</w:t>
      </w:r>
    </w:p>
    <w:p>
      <w:pPr>
        <w:pStyle w:val="283"/>
        <w:ind w:firstLine="462"/>
        <w:rPr>
          <w:color w:val="000000" w:themeColor="text1"/>
          <w14:textFill>
            <w14:solidFill>
              <w14:schemeClr w14:val="tx1"/>
            </w14:solidFill>
          </w14:textFill>
        </w:rPr>
      </w:pPr>
      <w:r>
        <w:rPr>
          <w:rFonts w:hint="eastAsia"/>
          <w:color w:val="000000" w:themeColor="text1"/>
          <w14:textFill>
            <w14:solidFill>
              <w14:schemeClr w14:val="tx1"/>
            </w14:solidFill>
          </w14:textFill>
        </w:rPr>
        <w:t>（4）地形地貌与冲淤影响</w:t>
      </w:r>
    </w:p>
    <w:p>
      <w:pPr>
        <w:pStyle w:val="283"/>
        <w:ind w:firstLine="462"/>
        <w:rPr>
          <w:color w:val="000000" w:themeColor="text1"/>
          <w14:textFill>
            <w14:solidFill>
              <w14:schemeClr w14:val="tx1"/>
            </w14:solidFill>
          </w14:textFill>
        </w:rPr>
      </w:pPr>
      <w:r>
        <w:rPr>
          <w:rFonts w:hint="eastAsia"/>
          <w:color w:val="000000" w:themeColor="text1"/>
          <w14:textFill>
            <w14:solidFill>
              <w14:schemeClr w14:val="tx1"/>
            </w14:solidFill>
          </w14:textFill>
        </w:rPr>
        <w:t>项目周边人工岸线较多，海岸侵蚀泥沙来源少，周边泥沙来源主要为波浪掀沙，受三墩港防波堤的阻隔作用，项目东侧河流输沙基本不会影响项目所在海域的泥沙冲淤平衡。总体上，本项目建成后对周边海域地形地貌冲淤环境的影响是较小的。疏浚完成后，疏浚与炸礁区域及其西侧呈现淤积态势，最大淤积强度为42cm/a，疏浚与炸礁区域南、北两侧小范围内呈现冲刷态势，最大冲刷强度不超过10cm/a。</w:t>
      </w:r>
    </w:p>
    <w:p>
      <w:pPr>
        <w:pStyle w:val="283"/>
        <w:ind w:firstLine="462"/>
        <w:rPr>
          <w:color w:val="000000" w:themeColor="text1"/>
          <w14:textFill>
            <w14:solidFill>
              <w14:schemeClr w14:val="tx1"/>
            </w14:solidFill>
          </w14:textFill>
        </w:rPr>
      </w:pPr>
      <w:r>
        <w:rPr>
          <w:rFonts w:hint="eastAsia"/>
          <w:color w:val="000000" w:themeColor="text1"/>
          <w14:textFill>
            <w14:solidFill>
              <w14:schemeClr w14:val="tx1"/>
            </w14:solidFill>
          </w14:textFill>
        </w:rPr>
        <w:t>（5）对现有排污口的影响</w:t>
      </w:r>
    </w:p>
    <w:p>
      <w:pPr>
        <w:pStyle w:val="283"/>
        <w:ind w:firstLine="462"/>
        <w:rPr>
          <w:rFonts w:hint="eastAsia"/>
          <w:color w:val="000000" w:themeColor="text1"/>
          <w14:textFill>
            <w14:solidFill>
              <w14:schemeClr w14:val="tx1"/>
            </w14:solidFill>
          </w14:textFill>
        </w:rPr>
      </w:pPr>
      <w:r>
        <w:rPr>
          <w:rFonts w:hint="eastAsia"/>
          <w:color w:val="auto"/>
        </w:rPr>
        <w:t>根据预测结果，本次项目建成后可能导致现有的金桂浆纸业有限公司排污口、大榄坪污水处理厂排污口海域水质出现超标现象，建议建设单位尽快按承诺内容协调相关单位开展两处排污口的临时迁改工作，于2025年底完成排污口临时迁改工程；外迁位置在后续设计方案中进一步论证并确定。</w:t>
      </w:r>
    </w:p>
    <w:p>
      <w:pPr>
        <w:pStyle w:val="283"/>
        <w:ind w:firstLine="462"/>
        <w:rPr>
          <w:color w:val="000000" w:themeColor="text1"/>
          <w14:textFill>
            <w14:solidFill>
              <w14:schemeClr w14:val="tx1"/>
            </w14:solidFill>
          </w14:textFill>
        </w:rPr>
      </w:pPr>
      <w:r>
        <w:rPr>
          <w:rFonts w:hint="eastAsia"/>
          <w:color w:val="000000" w:themeColor="text1"/>
          <w14:textFill>
            <w14:solidFill>
              <w14:schemeClr w14:val="tx1"/>
            </w14:solidFill>
          </w14:textFill>
        </w:rPr>
        <w:t>施工废水中主要的污染因子为SS和石油类，经隔油沉淀处理后回用作场区洒水抑尘不外排。不会对海域水环境造成影响。</w:t>
      </w:r>
    </w:p>
    <w:p>
      <w:pPr>
        <w:pStyle w:val="6"/>
        <w:rPr>
          <w:color w:val="000000" w:themeColor="text1"/>
          <w14:textFill>
            <w14:solidFill>
              <w14:schemeClr w14:val="tx1"/>
            </w14:solidFill>
          </w14:textFill>
        </w:rPr>
      </w:pPr>
      <w:r>
        <w:rPr>
          <w:rFonts w:hint="eastAsia"/>
          <w:color w:val="000000" w:themeColor="text1"/>
          <w14:textFill>
            <w14:solidFill>
              <w14:schemeClr w14:val="tx1"/>
            </w14:solidFill>
          </w14:textFill>
        </w:rPr>
        <w:t>运营期</w:t>
      </w:r>
    </w:p>
    <w:p>
      <w:pPr>
        <w:ind w:firstLine="462" w:firstLineChars="200"/>
        <w:rPr>
          <w:snapToGrid w:val="0"/>
          <w:color w:val="000000" w:themeColor="text1"/>
          <w:kern w:val="0"/>
          <w14:textFill>
            <w14:solidFill>
              <w14:schemeClr w14:val="tx1"/>
            </w14:solidFill>
          </w14:textFill>
        </w:rPr>
      </w:pPr>
      <w:bookmarkStart w:id="357" w:name="_Hlk107408573"/>
      <w:r>
        <w:rPr>
          <w:rFonts w:hint="eastAsia"/>
          <w:snapToGrid w:val="0"/>
          <w:color w:val="000000" w:themeColor="text1"/>
          <w:kern w:val="0"/>
          <w14:textFill>
            <w14:solidFill>
              <w14:schemeClr w14:val="tx1"/>
            </w14:solidFill>
          </w14:textFill>
        </w:rPr>
        <w:t>（1）到港船舶油污水由船舶委托有资质的船舶服务公司接收处理。船舶生活污水经船舶自带污水处理装置处理达标后按《MARPOL73/78 防污公约》附则Ⅳ“防止船舶生活污水污染规则”规定，在航行中并且在4海里以外排放，或到港后委托有资质的船舶服务公司接收处理。</w:t>
      </w:r>
    </w:p>
    <w:p>
      <w:pPr>
        <w:ind w:firstLine="462" w:firstLineChars="200"/>
        <w:rPr>
          <w:color w:val="000000" w:themeColor="text1"/>
          <w14:textFill>
            <w14:solidFill>
              <w14:schemeClr w14:val="tx1"/>
            </w14:solidFill>
          </w14:textFill>
        </w:rPr>
      </w:pPr>
      <w:r>
        <w:rPr>
          <w:rFonts w:hint="eastAsia"/>
          <w:snapToGrid w:val="0"/>
          <w:color w:val="000000" w:themeColor="text1"/>
          <w:kern w:val="0"/>
          <w14:textFill>
            <w14:solidFill>
              <w14:schemeClr w14:val="tx1"/>
            </w14:solidFill>
          </w14:textFill>
        </w:rPr>
        <w:t>（2）</w:t>
      </w:r>
      <w:r>
        <w:rPr>
          <w:rFonts w:hint="eastAsia"/>
          <w:color w:val="000000" w:themeColor="text1"/>
          <w14:textFill>
            <w14:solidFill>
              <w14:schemeClr w14:val="tx1"/>
            </w14:solidFill>
          </w14:textFill>
        </w:rPr>
        <w:t>港区生活污水经收集后泵送至</w:t>
      </w:r>
      <w:r>
        <w:rPr>
          <w:color w:val="000000" w:themeColor="text1"/>
          <w14:textFill>
            <w14:solidFill>
              <w14:schemeClr w14:val="tx1"/>
            </w14:solidFill>
          </w14:textFill>
        </w:rPr>
        <w:t>7</w:t>
      </w:r>
      <w:r>
        <w:rPr>
          <w:rFonts w:hint="eastAsia"/>
          <w:color w:val="000000" w:themeColor="text1"/>
          <w14:textFill>
            <w14:solidFill>
              <w14:schemeClr w14:val="tx1"/>
            </w14:solidFill>
          </w14:textFill>
        </w:rPr>
        <w:t>号</w:t>
      </w:r>
      <w:r>
        <w:rPr>
          <w:color w:val="000000" w:themeColor="text1"/>
          <w14:textFill>
            <w14:solidFill>
              <w14:schemeClr w14:val="tx1"/>
            </w14:solidFill>
          </w14:textFill>
        </w:rPr>
        <w:t>8</w:t>
      </w:r>
      <w:r>
        <w:rPr>
          <w:rFonts w:hint="eastAsia"/>
          <w:color w:val="000000" w:themeColor="text1"/>
          <w14:textFill>
            <w14:solidFill>
              <w14:schemeClr w14:val="tx1"/>
            </w14:solidFill>
          </w14:textFill>
        </w:rPr>
        <w:t>号泊位的生活污水处理站预处理后排入大榄坪污水处理厂</w:t>
      </w:r>
      <w:r>
        <w:rPr>
          <w:rFonts w:hint="eastAsia"/>
          <w:snapToGrid w:val="0"/>
          <w:color w:val="000000" w:themeColor="text1"/>
          <w:kern w:val="0"/>
          <w14:textFill>
            <w14:solidFill>
              <w14:schemeClr w14:val="tx1"/>
            </w14:solidFill>
          </w14:textFill>
        </w:rPr>
        <w:t>，不外排。</w:t>
      </w:r>
      <w:r>
        <w:rPr>
          <w:color w:val="000000" w:themeColor="text1"/>
          <w14:textFill>
            <w14:solidFill>
              <w14:schemeClr w14:val="tx1"/>
            </w14:solidFill>
          </w14:textFill>
        </w:rPr>
        <w:t>7号8号泊位生活污水处理站运行良好，污水处理效率较高，出水水质能满足</w:t>
      </w:r>
      <w:r>
        <w:rPr>
          <w:rFonts w:hint="eastAsia"/>
          <w:color w:val="000000" w:themeColor="text1"/>
          <w14:textFill>
            <w14:solidFill>
              <w14:schemeClr w14:val="tx1"/>
            </w14:solidFill>
          </w14:textFill>
        </w:rPr>
        <w:t>《污水排入城镇下水道水质标准》（GB/T31962-2015）B级标准</w:t>
      </w:r>
      <w:r>
        <w:rPr>
          <w:color w:val="000000" w:themeColor="text1"/>
          <w14:textFill>
            <w14:solidFill>
              <w14:schemeClr w14:val="tx1"/>
            </w14:solidFill>
          </w14:textFill>
        </w:rPr>
        <w:t>要求，出水排入市政污水管网。</w:t>
      </w:r>
      <w:r>
        <w:rPr>
          <w:rFonts w:hint="eastAsia"/>
          <w:color w:val="000000" w:themeColor="text1"/>
          <w14:textFill>
            <w14:solidFill>
              <w14:schemeClr w14:val="tx1"/>
            </w14:solidFill>
          </w14:textFill>
        </w:rPr>
        <w:t>码头区域生活污水由污水处理站预处理后进入市政管网具备可行性</w:t>
      </w:r>
      <w:r>
        <w:rPr>
          <w:rFonts w:hint="eastAsia"/>
          <w:snapToGrid w:val="0"/>
          <w:color w:val="000000" w:themeColor="text1"/>
          <w14:textFill>
            <w14:solidFill>
              <w14:schemeClr w14:val="tx1"/>
            </w14:solidFill>
          </w14:textFill>
        </w:rPr>
        <w:t>。</w:t>
      </w:r>
      <w:r>
        <w:rPr>
          <w:rFonts w:hint="eastAsia"/>
          <w:color w:val="000000" w:themeColor="text1"/>
          <w14:textFill>
            <w14:solidFill>
              <w14:schemeClr w14:val="tx1"/>
            </w14:solidFill>
          </w14:textFill>
        </w:rPr>
        <w:t>船舶压载水应在航行中排放或在航行中完成深海置换，严禁进入钦州港区内排放。</w:t>
      </w:r>
    </w:p>
    <w:p>
      <w:pPr>
        <w:ind w:firstLine="462" w:firstLineChars="200"/>
        <w:rPr>
          <w:snapToGrid w:val="0"/>
          <w:color w:val="000000" w:themeColor="text1"/>
          <w:kern w:val="0"/>
          <w14:textFill>
            <w14:solidFill>
              <w14:schemeClr w14:val="tx1"/>
            </w14:solidFill>
          </w14:textFill>
        </w:rPr>
      </w:pPr>
      <w:r>
        <w:rPr>
          <w:rFonts w:hint="eastAsia"/>
          <w:color w:val="000000" w:themeColor="text1"/>
          <w14:textFill>
            <w14:solidFill>
              <w14:schemeClr w14:val="tx1"/>
            </w14:solidFill>
          </w14:textFill>
        </w:rPr>
        <w:t>（3）综上，通过预测，本项目建成后，广西金桂浆纸业和大榄坪污水处理厂排放的污水在评价区域内的二类区、三类区、四类区中均未出现超标现象，表明本项目围填海工程对广西金桂浆纸业和大榄坪污水处理厂排污口所在海域的水文情势及污染物分布造成的影响较小。</w:t>
      </w:r>
    </w:p>
    <w:bookmarkEnd w:id="357"/>
    <w:p>
      <w:pPr>
        <w:pStyle w:val="6"/>
        <w:rPr>
          <w:snapToGrid w:val="0"/>
          <w:color w:val="000000" w:themeColor="text1"/>
          <w14:textFill>
            <w14:solidFill>
              <w14:schemeClr w14:val="tx1"/>
            </w14:solidFill>
          </w14:textFill>
        </w:rPr>
      </w:pPr>
      <w:r>
        <w:rPr>
          <w:rFonts w:hint="eastAsia"/>
          <w:snapToGrid w:val="0"/>
          <w:color w:val="000000" w:themeColor="text1"/>
          <w14:textFill>
            <w14:solidFill>
              <w14:schemeClr w14:val="tx1"/>
            </w14:solidFill>
          </w14:textFill>
        </w:rPr>
        <w:t>主要环保措施</w:t>
      </w:r>
    </w:p>
    <w:p>
      <w:pPr>
        <w:pStyle w:val="283"/>
        <w:ind w:firstLine="462"/>
        <w:rPr>
          <w:snapToGrid w:val="0"/>
          <w:color w:val="000000" w:themeColor="text1"/>
          <w14:textFill>
            <w14:solidFill>
              <w14:schemeClr w14:val="tx1"/>
            </w14:solidFill>
          </w14:textFill>
        </w:rPr>
      </w:pPr>
      <w:bookmarkStart w:id="358" w:name="_Hlk107408600"/>
      <w:r>
        <w:rPr>
          <w:rFonts w:hint="eastAsia"/>
          <w:snapToGrid w:val="0"/>
          <w:color w:val="000000" w:themeColor="text1"/>
          <w14:textFill>
            <w14:solidFill>
              <w14:schemeClr w14:val="tx1"/>
            </w14:solidFill>
          </w14:textFill>
        </w:rPr>
        <w:t>（1）施工船舶控制疏浚悬浮物影响范围，疏浚砂回填形成的溢流口周边合理布置防污帘，减少疏浚作业对周边海洋环境的影响。疏浚物外抛至钦州港30万吨级进港航道疏浚工程疏浚物临时性海洋倾倒区B区，取得倾倒许可证，避免发生污染。</w:t>
      </w:r>
    </w:p>
    <w:p>
      <w:pPr>
        <w:pStyle w:val="283"/>
        <w:ind w:firstLine="462"/>
        <w:rPr>
          <w:snapToGrid w:val="0"/>
          <w:color w:val="000000" w:themeColor="text1"/>
          <w14:textFill>
            <w14:solidFill>
              <w14:schemeClr w14:val="tx1"/>
            </w14:solidFill>
          </w14:textFill>
        </w:rPr>
      </w:pPr>
      <w:r>
        <w:rPr>
          <w:rFonts w:hint="eastAsia"/>
          <w:snapToGrid w:val="0"/>
          <w:color w:val="000000" w:themeColor="text1"/>
          <w14:textFill>
            <w14:solidFill>
              <w14:schemeClr w14:val="tx1"/>
            </w14:solidFill>
          </w14:textFill>
        </w:rPr>
        <w:t>（2）到港船舶油污水由船舶委托有资质的船舶污染物接收</w:t>
      </w:r>
      <w:r>
        <w:rPr>
          <w:snapToGrid w:val="0"/>
          <w:color w:val="000000" w:themeColor="text1"/>
          <w14:textFill>
            <w14:solidFill>
              <w14:schemeClr w14:val="tx1"/>
            </w14:solidFill>
          </w14:textFill>
        </w:rPr>
        <w:t>公司</w:t>
      </w:r>
      <w:r>
        <w:rPr>
          <w:rFonts w:hint="eastAsia"/>
          <w:snapToGrid w:val="0"/>
          <w:color w:val="000000" w:themeColor="text1"/>
          <w14:textFill>
            <w14:solidFill>
              <w14:schemeClr w14:val="tx1"/>
            </w14:solidFill>
          </w14:textFill>
        </w:rPr>
        <w:t>接收处理；本码头水域禁止排放船舶油污水。船舶生活污水根据《73/78防污公约》要求，自带生活污水处理设施处理达标后在海事部门指定地点排放或到港后委托有资质的船舶服务公司接收处理；船舶压载水应在航行中排放或在航行中完成深海置换，严禁进入钦州港区内排放。</w:t>
      </w:r>
    </w:p>
    <w:p>
      <w:pPr>
        <w:pStyle w:val="1075"/>
        <w:ind w:firstLine="462"/>
        <w:rPr>
          <w:snapToGrid w:val="0"/>
          <w:color w:val="000000" w:themeColor="text1"/>
          <w14:textFill>
            <w14:solidFill>
              <w14:schemeClr w14:val="tx1"/>
            </w14:solidFill>
          </w14:textFill>
        </w:rPr>
      </w:pPr>
      <w:r>
        <w:rPr>
          <w:rFonts w:hint="eastAsia"/>
          <w:snapToGrid w:val="0"/>
          <w:color w:val="000000" w:themeColor="text1"/>
          <w14:textFill>
            <w14:solidFill>
              <w14:schemeClr w14:val="tx1"/>
            </w14:solidFill>
          </w14:textFill>
        </w:rPr>
        <w:t>（3）</w:t>
      </w:r>
      <w:r>
        <w:rPr>
          <w:color w:val="000000" w:themeColor="text1"/>
          <w14:textFill>
            <w14:solidFill>
              <w14:schemeClr w14:val="tx1"/>
            </w14:solidFill>
          </w14:textFill>
        </w:rPr>
        <w:t>港区生活污水</w:t>
      </w:r>
      <w:r>
        <w:rPr>
          <w:rFonts w:hint="eastAsia"/>
          <w:color w:val="000000" w:themeColor="text1"/>
          <w14:textFill>
            <w14:solidFill>
              <w14:schemeClr w14:val="tx1"/>
            </w14:solidFill>
          </w14:textFill>
        </w:rPr>
        <w:t>经收集后泵送至</w:t>
      </w:r>
      <w:r>
        <w:rPr>
          <w:color w:val="000000" w:themeColor="text1"/>
          <w14:textFill>
            <w14:solidFill>
              <w14:schemeClr w14:val="tx1"/>
            </w14:solidFill>
          </w14:textFill>
        </w:rPr>
        <w:t>7</w:t>
      </w:r>
      <w:r>
        <w:rPr>
          <w:rFonts w:hint="eastAsia"/>
          <w:color w:val="000000" w:themeColor="text1"/>
          <w14:textFill>
            <w14:solidFill>
              <w14:schemeClr w14:val="tx1"/>
            </w14:solidFill>
          </w14:textFill>
        </w:rPr>
        <w:t>号</w:t>
      </w:r>
      <w:r>
        <w:rPr>
          <w:color w:val="000000" w:themeColor="text1"/>
          <w14:textFill>
            <w14:solidFill>
              <w14:schemeClr w14:val="tx1"/>
            </w14:solidFill>
          </w14:textFill>
        </w:rPr>
        <w:t>8</w:t>
      </w:r>
      <w:r>
        <w:rPr>
          <w:rFonts w:hint="eastAsia"/>
          <w:color w:val="000000" w:themeColor="text1"/>
          <w14:textFill>
            <w14:solidFill>
              <w14:schemeClr w14:val="tx1"/>
            </w14:solidFill>
          </w14:textFill>
        </w:rPr>
        <w:t>号泊位的生活污水处理站处理后排入市政污水管网</w:t>
      </w:r>
      <w:r>
        <w:rPr>
          <w:color w:val="000000" w:themeColor="text1"/>
          <w14:textFill>
            <w14:solidFill>
              <w14:schemeClr w14:val="tx1"/>
            </w14:solidFill>
          </w14:textFill>
        </w:rPr>
        <w:t>，不得外排。</w:t>
      </w:r>
    </w:p>
    <w:bookmarkEnd w:id="358"/>
    <w:p>
      <w:pPr>
        <w:pStyle w:val="5"/>
        <w:rPr>
          <w:color w:val="000000" w:themeColor="text1"/>
          <w14:textFill>
            <w14:solidFill>
              <w14:schemeClr w14:val="tx1"/>
            </w14:solidFill>
          </w14:textFill>
        </w:rPr>
      </w:pPr>
      <w:r>
        <w:rPr>
          <w:rFonts w:hint="eastAsia"/>
          <w:color w:val="000000" w:themeColor="text1"/>
          <w14:textFill>
            <w14:solidFill>
              <w14:schemeClr w14:val="tx1"/>
            </w14:solidFill>
          </w14:textFill>
        </w:rPr>
        <w:t>生态环境</w:t>
      </w:r>
    </w:p>
    <w:p>
      <w:pPr>
        <w:pStyle w:val="6"/>
        <w:rPr>
          <w:color w:val="000000" w:themeColor="text1"/>
          <w14:textFill>
            <w14:solidFill>
              <w14:schemeClr w14:val="tx1"/>
            </w14:solidFill>
          </w14:textFill>
        </w:rPr>
      </w:pPr>
      <w:r>
        <w:rPr>
          <w:rFonts w:hint="eastAsia"/>
          <w:color w:val="000000" w:themeColor="text1"/>
          <w14:textFill>
            <w14:solidFill>
              <w14:schemeClr w14:val="tx1"/>
            </w14:solidFill>
          </w14:textFill>
        </w:rPr>
        <w:t>施工期</w:t>
      </w:r>
    </w:p>
    <w:p>
      <w:pPr>
        <w:pStyle w:val="283"/>
        <w:ind w:firstLine="462"/>
        <w:rPr>
          <w:color w:val="000000" w:themeColor="text1"/>
          <w14:textFill>
            <w14:solidFill>
              <w14:schemeClr w14:val="tx1"/>
            </w14:solidFill>
          </w14:textFill>
        </w:rPr>
      </w:pPr>
      <w:bookmarkStart w:id="359" w:name="_Hlk107408680"/>
      <w:r>
        <w:rPr>
          <w:rFonts w:hint="eastAsia"/>
          <w:color w:val="000000" w:themeColor="text1"/>
          <w14:textFill>
            <w14:solidFill>
              <w14:schemeClr w14:val="tx1"/>
            </w14:solidFill>
          </w14:textFill>
        </w:rPr>
        <w:t>施工期产生的生态环境影响主要为施工造成的永久水工结构及港池疏浚的占用及悬浮泥沙骤增对底栖生物、鱼卵、仔鱼等生物的影响，随着施工期结束可逐渐恢复；通过生态补偿措施，可进一步降低项目建设对区域海洋生态环境的影响。</w:t>
      </w:r>
      <w:bookmarkEnd w:id="359"/>
    </w:p>
    <w:p>
      <w:pPr>
        <w:pStyle w:val="283"/>
        <w:ind w:firstLine="462"/>
        <w:rPr>
          <w:color w:val="000000" w:themeColor="text1"/>
          <w14:textFill>
            <w14:solidFill>
              <w14:schemeClr w14:val="tx1"/>
            </w14:solidFill>
          </w14:textFill>
        </w:rPr>
      </w:pPr>
      <w:r>
        <w:rPr>
          <w:color w:val="000000" w:themeColor="text1"/>
          <w14:textFill>
            <w14:solidFill>
              <w14:schemeClr w14:val="tx1"/>
            </w14:solidFill>
          </w14:textFill>
        </w:rPr>
        <w:t>（</w:t>
      </w:r>
      <w:r>
        <w:rPr>
          <w:rFonts w:hint="eastAsia"/>
          <w:color w:val="000000" w:themeColor="text1"/>
          <w14:textFill>
            <w14:solidFill>
              <w14:schemeClr w14:val="tx1"/>
            </w14:solidFill>
          </w14:textFill>
        </w:rPr>
        <w:t>1</w:t>
      </w:r>
      <w:r>
        <w:rPr>
          <w:color w:val="000000" w:themeColor="text1"/>
          <w14:textFill>
            <w14:solidFill>
              <w14:schemeClr w14:val="tx1"/>
            </w14:solidFill>
          </w14:textFill>
        </w:rPr>
        <w:t>）疏浚施工影响</w:t>
      </w:r>
    </w:p>
    <w:p>
      <w:pPr>
        <w:pStyle w:val="283"/>
        <w:ind w:firstLine="462"/>
        <w:rPr>
          <w:color w:val="000000" w:themeColor="text1"/>
          <w14:textFill>
            <w14:solidFill>
              <w14:schemeClr w14:val="tx1"/>
            </w14:solidFill>
          </w14:textFill>
        </w:rPr>
      </w:pPr>
      <w:r>
        <w:rPr>
          <w:color w:val="000000" w:themeColor="text1"/>
          <w14:textFill>
            <w14:solidFill>
              <w14:schemeClr w14:val="tx1"/>
            </w14:solidFill>
          </w14:textFill>
        </w:rPr>
        <w:t>疏浚、炸礁等过程导致悬浮物含量增高，悬浮物的沉积主要影响项目区附近海域的底栖群落，施工结束后一段时间内，受影响的底栖生物群落会逐渐被新的群落所替代。水域疏浚将改变项目区域内海洋生物原有的栖息环境，尤其对底栖生物的影响是最大的。本项目占用海域内的底质环境完全破坏。除少量活动能力较强的底栖种类能够逃往他处存活外，大部分底栖生物被掩埋、覆盖而死亡。本项目施工期间产生的悬浮泥沙使周围海水中悬浮物浓度增大，透明度降低，引起浮游植物的光合作用的减少，同样会对浮游植物会产生一定的影响和破坏作用。但由于悬浮沙排放的时间相对较短，随着施工作业结束，停止悬浮沙的排放，其影响将会逐渐减轻。工程不会产生的悬浮物含量高浓度区，不会造成成体鱼类死亡，且鱼、虾、蟹等游泳能力较强的海洋生物将主动逃避，游泳生物的回避效应使得该海域的生物量有所下降，从而影响使该区域内的生物群落的种类组成和数量分布。至于经济鱼类等，由于移动性较强，更不至于造成明显影响。随着施工的结束，游泳生物的种类和数量会逐渐得到恢复。因此，施工期间产生的悬浮物不会对游泳生物造成较大的影响。疏浚引起的悬浮物增量均小于成体的明显影响浓度，对幼体的影响稍大，但都局限在水域疏浚区域内，项目的建设对区域渔业资源的影响比较小。</w:t>
      </w:r>
    </w:p>
    <w:p>
      <w:pPr>
        <w:pStyle w:val="283"/>
        <w:ind w:firstLine="462"/>
        <w:rPr>
          <w:color w:val="000000" w:themeColor="text1"/>
          <w14:textFill>
            <w14:solidFill>
              <w14:schemeClr w14:val="tx1"/>
            </w14:solidFill>
          </w14:textFill>
        </w:rPr>
      </w:pPr>
      <w:r>
        <w:rPr>
          <w:rFonts w:hint="eastAsia"/>
          <w:color w:val="000000" w:themeColor="text1"/>
          <w14:textFill>
            <w14:solidFill>
              <w14:schemeClr w14:val="tx1"/>
            </w14:solidFill>
          </w14:textFill>
        </w:rPr>
        <w:t>（2）炸礁施工影响</w:t>
      </w:r>
    </w:p>
    <w:p>
      <w:pPr>
        <w:pStyle w:val="283"/>
        <w:ind w:firstLine="462"/>
        <w:rPr>
          <w:color w:val="000000" w:themeColor="text1"/>
          <w14:textFill>
            <w14:solidFill>
              <w14:schemeClr w14:val="tx1"/>
            </w14:solidFill>
          </w14:textFill>
        </w:rPr>
      </w:pPr>
      <w:r>
        <w:rPr>
          <w:rFonts w:hint="eastAsia"/>
          <w:color w:val="000000" w:themeColor="text1"/>
          <w14:textFill>
            <w14:solidFill>
              <w14:schemeClr w14:val="tx1"/>
            </w14:solidFill>
          </w14:textFill>
        </w:rPr>
        <w:t>水下爆破的危害作用主要来自三个方面：地震波作用、水中冲击波作用和爆破飞石。</w:t>
      </w:r>
      <w:r>
        <w:rPr>
          <w:color w:val="000000" w:themeColor="text1"/>
          <w14:textFill>
            <w14:solidFill>
              <w14:schemeClr w14:val="tx1"/>
            </w14:solidFill>
          </w14:textFill>
        </w:rPr>
        <w:t>项目为水域疏浚工程，邻近3km内无村庄，因此炸礁引起的地基震动对周边居民的住宅不会造成影响，炸礁位置与现有码头距离约</w:t>
      </w:r>
      <w:r>
        <w:rPr>
          <w:rFonts w:hint="eastAsia"/>
          <w:color w:val="000000" w:themeColor="text1"/>
          <w14:textFill>
            <w14:solidFill>
              <w14:schemeClr w14:val="tx1"/>
            </w14:solidFill>
          </w14:textFill>
        </w:rPr>
        <w:t>47</w:t>
      </w:r>
      <w:r>
        <w:rPr>
          <w:color w:val="000000" w:themeColor="text1"/>
          <w14:textFill>
            <w14:solidFill>
              <w14:schemeClr w14:val="tx1"/>
            </w14:solidFill>
          </w14:textFill>
        </w:rPr>
        <w:t>m，大于安全距离</w:t>
      </w:r>
      <w:r>
        <w:rPr>
          <w:rFonts w:hint="eastAsia"/>
          <w:color w:val="000000" w:themeColor="text1"/>
          <w14:textFill>
            <w14:solidFill>
              <w14:schemeClr w14:val="tx1"/>
            </w14:solidFill>
          </w14:textFill>
        </w:rPr>
        <w:t>40m，</w:t>
      </w:r>
      <w:r>
        <w:rPr>
          <w:color w:val="000000" w:themeColor="text1"/>
          <w14:textFill>
            <w14:solidFill>
              <w14:schemeClr w14:val="tx1"/>
            </w14:solidFill>
          </w14:textFill>
        </w:rPr>
        <w:t>水下爆破对其码头结构不会造成不利影响</w:t>
      </w:r>
      <w:r>
        <w:rPr>
          <w:rFonts w:hint="eastAsia"/>
          <w:color w:val="000000" w:themeColor="text1"/>
          <w14:textFill>
            <w14:solidFill>
              <w14:schemeClr w14:val="tx1"/>
            </w14:solidFill>
          </w14:textFill>
        </w:rPr>
        <w:t>。工程所在海域整体鱼卵、仔鱼密度均较小，项目爆破产生的冲击波影响主要集中在700m范围内，因此项目冲击波产生的生态影响范围有限。</w:t>
      </w:r>
    </w:p>
    <w:p>
      <w:pPr>
        <w:pStyle w:val="6"/>
        <w:rPr>
          <w:color w:val="000000" w:themeColor="text1"/>
          <w14:textFill>
            <w14:solidFill>
              <w14:schemeClr w14:val="tx1"/>
            </w14:solidFill>
          </w14:textFill>
        </w:rPr>
      </w:pPr>
      <w:r>
        <w:rPr>
          <w:rFonts w:hint="eastAsia"/>
          <w:color w:val="000000" w:themeColor="text1"/>
          <w14:textFill>
            <w14:solidFill>
              <w14:schemeClr w14:val="tx1"/>
            </w14:solidFill>
          </w14:textFill>
        </w:rPr>
        <w:t>运营期</w:t>
      </w:r>
    </w:p>
    <w:p>
      <w:pPr>
        <w:pStyle w:val="283"/>
        <w:ind w:firstLine="462"/>
        <w:rPr>
          <w:color w:val="000000" w:themeColor="text1"/>
          <w14:textFill>
            <w14:solidFill>
              <w14:schemeClr w14:val="tx1"/>
            </w14:solidFill>
          </w14:textFill>
        </w:rPr>
      </w:pPr>
      <w:bookmarkStart w:id="360" w:name="_Hlk107408691"/>
      <w:r>
        <w:rPr>
          <w:rFonts w:hint="eastAsia"/>
          <w:color w:val="000000" w:themeColor="text1"/>
          <w14:textFill>
            <w14:solidFill>
              <w14:schemeClr w14:val="tx1"/>
            </w14:solidFill>
          </w14:textFill>
        </w:rPr>
        <w:t>本项目运营期不</w:t>
      </w:r>
      <w:r>
        <w:rPr>
          <w:color w:val="000000" w:themeColor="text1"/>
          <w14:textFill>
            <w14:solidFill>
              <w14:schemeClr w14:val="tx1"/>
            </w14:solidFill>
          </w14:textFill>
        </w:rPr>
        <w:t>向海域排放生产生活</w:t>
      </w:r>
      <w:r>
        <w:rPr>
          <w:rFonts w:hint="eastAsia"/>
          <w:color w:val="000000" w:themeColor="text1"/>
          <w14:textFill>
            <w14:solidFill>
              <w14:schemeClr w14:val="tx1"/>
            </w14:solidFill>
          </w14:textFill>
        </w:rPr>
        <w:t>废水，码头作业、船舶运行密度增加将引起的水体扰动和噪声污染，破坏原有水生生境，造成邻近港区海域的水生生物种类和数量减少，使局部海域水生生物的分布有所改变。鱼类可以通过主动逃逸避开港区作业影响区域，基本上能消除港区作业对它们的不利影响，但其在海域内的分布范围将有所改变。</w:t>
      </w:r>
    </w:p>
    <w:p>
      <w:pPr>
        <w:pStyle w:val="283"/>
        <w:ind w:firstLine="462"/>
        <w:rPr>
          <w:color w:val="000000" w:themeColor="text1"/>
          <w14:textFill>
            <w14:solidFill>
              <w14:schemeClr w14:val="tx1"/>
            </w14:solidFill>
          </w14:textFill>
        </w:rPr>
      </w:pPr>
      <w:r>
        <w:rPr>
          <w:rFonts w:hint="eastAsia"/>
          <w:color w:val="000000" w:themeColor="text1"/>
          <w14:textFill>
            <w14:solidFill>
              <w14:schemeClr w14:val="tx1"/>
            </w14:solidFill>
          </w14:textFill>
        </w:rPr>
        <w:t>通过做好运营期废水治理措施及码头装卸作业、船舶进出港的环境管理措施，项目运营对评价范围内水生生物的影响将</w:t>
      </w:r>
      <w:r>
        <w:rPr>
          <w:rFonts w:hint="eastAsia"/>
          <w:color w:val="000000" w:themeColor="text1"/>
          <w:lang w:eastAsia="zh-CN"/>
          <w14:textFill>
            <w14:solidFill>
              <w14:schemeClr w14:val="tx1"/>
            </w14:solidFill>
          </w14:textFill>
        </w:rPr>
        <w:t>得到有效的</w:t>
      </w:r>
      <w:r>
        <w:rPr>
          <w:rFonts w:hint="eastAsia"/>
          <w:color w:val="000000" w:themeColor="text1"/>
          <w14:textFill>
            <w14:solidFill>
              <w14:schemeClr w14:val="tx1"/>
            </w14:solidFill>
          </w14:textFill>
        </w:rPr>
        <w:t>控制。</w:t>
      </w:r>
      <w:bookmarkEnd w:id="360"/>
    </w:p>
    <w:p>
      <w:pPr>
        <w:pStyle w:val="6"/>
        <w:rPr>
          <w:color w:val="000000" w:themeColor="text1"/>
          <w14:textFill>
            <w14:solidFill>
              <w14:schemeClr w14:val="tx1"/>
            </w14:solidFill>
          </w14:textFill>
        </w:rPr>
      </w:pPr>
      <w:r>
        <w:rPr>
          <w:rFonts w:hint="eastAsia"/>
          <w:color w:val="000000" w:themeColor="text1"/>
          <w14:textFill>
            <w14:solidFill>
              <w14:schemeClr w14:val="tx1"/>
            </w14:solidFill>
          </w14:textFill>
        </w:rPr>
        <w:t>主要环境保护措施</w:t>
      </w:r>
    </w:p>
    <w:p>
      <w:pPr>
        <w:pStyle w:val="283"/>
        <w:ind w:firstLine="462"/>
        <w:rPr>
          <w:color w:val="000000" w:themeColor="text1"/>
          <w14:textFill>
            <w14:solidFill>
              <w14:schemeClr w14:val="tx1"/>
            </w14:solidFill>
          </w14:textFill>
        </w:rPr>
      </w:pPr>
      <w:bookmarkStart w:id="361" w:name="_Hlk107408716"/>
      <w:r>
        <w:rPr>
          <w:rFonts w:hint="eastAsia"/>
          <w:color w:val="000000" w:themeColor="text1"/>
          <w14:textFill>
            <w14:solidFill>
              <w14:schemeClr w14:val="tx1"/>
            </w14:solidFill>
          </w14:textFill>
        </w:rPr>
        <w:t>（</w:t>
      </w:r>
      <w:r>
        <w:rPr>
          <w:color w:val="000000" w:themeColor="text1"/>
          <w14:textFill>
            <w14:solidFill>
              <w14:schemeClr w14:val="tx1"/>
            </w14:solidFill>
          </w14:textFill>
        </w:rPr>
        <w:t>1</w:t>
      </w:r>
      <w:r>
        <w:rPr>
          <w:rFonts w:hint="eastAsia"/>
          <w:color w:val="000000" w:themeColor="text1"/>
          <w14:textFill>
            <w14:solidFill>
              <w14:schemeClr w14:val="tx1"/>
            </w14:solidFill>
          </w14:textFill>
        </w:rPr>
        <w:t>）施工作业产生的建筑垃圾及生活垃圾禁止抛弃入海；妥善处理在港船舶污染物和陆域废水，禁止向海域直接排放。</w:t>
      </w:r>
    </w:p>
    <w:p>
      <w:pPr>
        <w:pStyle w:val="283"/>
        <w:ind w:firstLine="462"/>
        <w:rPr>
          <w:color w:val="000000" w:themeColor="text1"/>
          <w14:textFill>
            <w14:solidFill>
              <w14:schemeClr w14:val="tx1"/>
            </w14:solidFill>
          </w14:textFill>
        </w:rPr>
      </w:pPr>
      <w:r>
        <w:rPr>
          <w:rFonts w:hint="eastAsia"/>
          <w:color w:val="000000" w:themeColor="text1"/>
          <w14:textFill>
            <w14:solidFill>
              <w14:schemeClr w14:val="tx1"/>
            </w14:solidFill>
          </w14:textFill>
        </w:rPr>
        <w:t>（</w:t>
      </w:r>
      <w:r>
        <w:rPr>
          <w:color w:val="000000" w:themeColor="text1"/>
          <w14:textFill>
            <w14:solidFill>
              <w14:schemeClr w14:val="tx1"/>
            </w14:solidFill>
          </w14:textFill>
        </w:rPr>
        <w:t>2</w:t>
      </w:r>
      <w:r>
        <w:rPr>
          <w:rFonts w:hint="eastAsia"/>
          <w:color w:val="000000" w:themeColor="text1"/>
          <w14:textFill>
            <w14:solidFill>
              <w14:schemeClr w14:val="tx1"/>
            </w14:solidFill>
          </w14:textFill>
        </w:rPr>
        <w:t>）加强宣传教育，增强员工对水生生态的保护意识，禁止捕捞濒危保护水生生物。若发现濒危保护水生生物，应及时联系当地海事及渔业管理部门，以便采取相应保护和救助措施。</w:t>
      </w:r>
    </w:p>
    <w:p>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（3）在当地环保及渔政部门的监督和指导下进行施工作业，优化工程施工工艺，如炸礁选择环保型炸药等，避免原水域生境的急剧变化，降低施工作业环境影响程度。</w:t>
      </w:r>
    </w:p>
    <w:p>
      <w:pPr>
        <w:pStyle w:val="283"/>
        <w:ind w:firstLine="462"/>
        <w:rPr>
          <w:color w:val="000000" w:themeColor="text1"/>
          <w14:textFill>
            <w14:solidFill>
              <w14:schemeClr w14:val="tx1"/>
            </w14:solidFill>
          </w14:textFill>
        </w:rPr>
      </w:pPr>
      <w:r>
        <w:rPr>
          <w:rFonts w:hint="eastAsia"/>
          <w:color w:val="000000" w:themeColor="text1"/>
          <w14:textFill>
            <w14:solidFill>
              <w14:schemeClr w14:val="tx1"/>
            </w14:solidFill>
          </w14:textFill>
        </w:rPr>
        <w:t>（4）本次</w:t>
      </w:r>
      <w:r>
        <w:rPr>
          <w:color w:val="000000" w:themeColor="text1"/>
          <w14:textFill>
            <w14:solidFill>
              <w14:schemeClr w14:val="tx1"/>
            </w14:solidFill>
          </w14:textFill>
        </w:rPr>
        <w:t>项目建设</w:t>
      </w:r>
      <w:r>
        <w:rPr>
          <w:rFonts w:hint="eastAsia"/>
          <w:color w:val="000000" w:themeColor="text1"/>
          <w14:textFill>
            <w14:solidFill>
              <w14:schemeClr w14:val="tx1"/>
            </w14:solidFill>
          </w14:textFill>
        </w:rPr>
        <w:t>包含海域的疏浚炸礁、码头水工沉箱占用等</w:t>
      </w:r>
      <w:r>
        <w:rPr>
          <w:color w:val="000000" w:themeColor="text1"/>
          <w14:textFill>
            <w14:solidFill>
              <w14:schemeClr w14:val="tx1"/>
            </w14:solidFill>
          </w14:textFill>
        </w:rPr>
        <w:t>造成海洋生物资源量损失及</w:t>
      </w:r>
      <w:r>
        <w:rPr>
          <w:rFonts w:hint="eastAsia"/>
          <w:color w:val="000000" w:themeColor="text1"/>
          <w14:textFill>
            <w14:solidFill>
              <w14:schemeClr w14:val="tx1"/>
            </w14:solidFill>
          </w14:textFill>
        </w:rPr>
        <w:t>经济损失，本次新增环保投资</w:t>
      </w:r>
      <w:r>
        <w:rPr>
          <w:color w:val="000000" w:themeColor="text1"/>
          <w14:textFill>
            <w14:solidFill>
              <w14:schemeClr w14:val="tx1"/>
            </w14:solidFill>
          </w14:textFill>
        </w:rPr>
        <w:t>174.79</w:t>
      </w:r>
      <w:r>
        <w:rPr>
          <w:rFonts w:hint="eastAsia"/>
          <w:color w:val="000000" w:themeColor="text1"/>
          <w14:textFill>
            <w14:solidFill>
              <w14:schemeClr w14:val="tx1"/>
            </w14:solidFill>
          </w14:textFill>
        </w:rPr>
        <w:t>万元。项目业主尽快落实生态补偿费用合计</w:t>
      </w:r>
      <w:r>
        <w:rPr>
          <w:color w:val="000000" w:themeColor="text1"/>
          <w14:textFill>
            <w14:solidFill>
              <w14:schemeClr w14:val="tx1"/>
            </w14:solidFill>
          </w14:textFill>
        </w:rPr>
        <w:t>174.79</w:t>
      </w:r>
      <w:r>
        <w:rPr>
          <w:rFonts w:hint="eastAsia"/>
          <w:color w:val="000000" w:themeColor="text1"/>
          <w14:textFill>
            <w14:solidFill>
              <w14:schemeClr w14:val="tx1"/>
            </w14:solidFill>
          </w14:textFill>
        </w:rPr>
        <w:t>万元；人工增殖放流时间为两年、每年一次；具体的放流种类、放流地点，建设单位应咨询当地渔业主管部门后确定。建设单位应做好增殖放流效果的跟踪监测、调查和评估工作。</w:t>
      </w:r>
      <w:bookmarkEnd w:id="361"/>
    </w:p>
    <w:p>
      <w:pPr>
        <w:pStyle w:val="5"/>
        <w:rPr>
          <w:color w:val="000000" w:themeColor="text1"/>
          <w14:textFill>
            <w14:solidFill>
              <w14:schemeClr w14:val="tx1"/>
            </w14:solidFill>
          </w14:textFill>
        </w:rPr>
      </w:pPr>
      <w:r>
        <w:rPr>
          <w:rFonts w:hint="eastAsia"/>
          <w:color w:val="000000" w:themeColor="text1"/>
          <w14:textFill>
            <w14:solidFill>
              <w14:schemeClr w14:val="tx1"/>
            </w14:solidFill>
          </w14:textFill>
        </w:rPr>
        <w:t>环境空气</w:t>
      </w:r>
    </w:p>
    <w:p>
      <w:pPr>
        <w:pStyle w:val="6"/>
        <w:rPr>
          <w:color w:val="000000" w:themeColor="text1"/>
          <w14:textFill>
            <w14:solidFill>
              <w14:schemeClr w14:val="tx1"/>
            </w14:solidFill>
          </w14:textFill>
        </w:rPr>
      </w:pPr>
      <w:r>
        <w:rPr>
          <w:rFonts w:hint="eastAsia"/>
          <w:color w:val="000000" w:themeColor="text1"/>
          <w14:textFill>
            <w14:solidFill>
              <w14:schemeClr w14:val="tx1"/>
            </w14:solidFill>
          </w14:textFill>
        </w:rPr>
        <w:t>施工期</w:t>
      </w:r>
    </w:p>
    <w:p>
      <w:pPr>
        <w:pStyle w:val="283"/>
        <w:ind w:firstLine="462"/>
        <w:rPr>
          <w:color w:val="000000" w:themeColor="text1"/>
          <w14:textFill>
            <w14:solidFill>
              <w14:schemeClr w14:val="tx1"/>
            </w14:solidFill>
          </w14:textFill>
        </w:rPr>
      </w:pPr>
      <w:bookmarkStart w:id="362" w:name="_Hlk107408739"/>
      <w:r>
        <w:rPr>
          <w:rFonts w:hint="eastAsia"/>
          <w:color w:val="000000" w:themeColor="text1"/>
          <w14:textFill>
            <w14:solidFill>
              <w14:schemeClr w14:val="tx1"/>
            </w14:solidFill>
          </w14:textFill>
        </w:rPr>
        <w:t>施工期主要大气污染因子</w:t>
      </w:r>
      <w:r>
        <w:rPr>
          <w:color w:val="000000" w:themeColor="text1"/>
          <w14:textFill>
            <w14:solidFill>
              <w14:schemeClr w14:val="tx1"/>
            </w14:solidFill>
          </w14:textFill>
        </w:rPr>
        <w:t>有TSP、NO</w:t>
      </w:r>
      <w:r>
        <w:rPr>
          <w:color w:val="000000" w:themeColor="text1"/>
          <w:vertAlign w:val="subscript"/>
          <w14:textFill>
            <w14:solidFill>
              <w14:schemeClr w14:val="tx1"/>
            </w14:solidFill>
          </w14:textFill>
        </w:rPr>
        <w:t>x</w:t>
      </w:r>
      <w:r>
        <w:rPr>
          <w:color w:val="000000" w:themeColor="text1"/>
          <w14:textFill>
            <w14:solidFill>
              <w14:schemeClr w14:val="tx1"/>
            </w14:solidFill>
          </w14:textFill>
        </w:rPr>
        <w:t>、CO</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正常风况下，施工活动将使施工现场TSP近地面浓度达到1.5～3</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0mg/m</w:t>
      </w:r>
      <w:r>
        <w:rPr>
          <w:color w:val="000000" w:themeColor="text1"/>
          <w:vertAlign w:val="superscript"/>
          <w14:textFill>
            <w14:solidFill>
              <w14:schemeClr w14:val="tx1"/>
            </w14:solidFill>
          </w14:textFill>
        </w:rPr>
        <w:t>3</w:t>
      </w:r>
      <w:r>
        <w:rPr>
          <w:color w:val="000000" w:themeColor="text1"/>
          <w14:textFill>
            <w14:solidFill>
              <w14:schemeClr w14:val="tx1"/>
            </w14:solidFill>
          </w14:textFill>
        </w:rPr>
        <w:t>，距施工现场约200m外的TSP浓度符合《环境空气质量标准》二级标准要求</w:t>
      </w:r>
      <w:r>
        <w:rPr>
          <w:rFonts w:hint="eastAsia"/>
          <w:color w:val="000000" w:themeColor="text1"/>
          <w14:textFill>
            <w14:solidFill>
              <w14:schemeClr w14:val="tx1"/>
            </w14:solidFill>
          </w14:textFill>
        </w:rPr>
        <w:t>。施工期影响是暂时性的，随着施工的结束其影响也会停止，施工粉尘对周围大气环境不会产生明显的影响。</w:t>
      </w:r>
      <w:bookmarkEnd w:id="362"/>
    </w:p>
    <w:p>
      <w:pPr>
        <w:pStyle w:val="6"/>
        <w:rPr>
          <w:color w:val="000000" w:themeColor="text1"/>
          <w14:textFill>
            <w14:solidFill>
              <w14:schemeClr w14:val="tx1"/>
            </w14:solidFill>
          </w14:textFill>
        </w:rPr>
      </w:pPr>
      <w:r>
        <w:rPr>
          <w:rFonts w:hint="eastAsia"/>
          <w:color w:val="000000" w:themeColor="text1"/>
          <w14:textFill>
            <w14:solidFill>
              <w14:schemeClr w14:val="tx1"/>
            </w14:solidFill>
          </w14:textFill>
        </w:rPr>
        <w:t>运营期</w:t>
      </w:r>
    </w:p>
    <w:p>
      <w:pPr>
        <w:pStyle w:val="1075"/>
        <w:ind w:firstLine="462"/>
        <w:rPr>
          <w:color w:val="000000" w:themeColor="text1"/>
          <w14:textFill>
            <w14:solidFill>
              <w14:schemeClr w14:val="tx1"/>
            </w14:solidFill>
          </w14:textFill>
        </w:rPr>
      </w:pPr>
      <w:bookmarkStart w:id="363" w:name="_Hlk107408756"/>
      <w:r>
        <w:rPr>
          <w:rFonts w:hint="eastAsia"/>
          <w:color w:val="000000" w:themeColor="text1"/>
          <w14:textFill>
            <w14:solidFill>
              <w14:schemeClr w14:val="tx1"/>
            </w14:solidFill>
          </w14:textFill>
        </w:rPr>
        <w:t>本项目</w:t>
      </w:r>
      <w:r>
        <w:rPr>
          <w:color w:val="000000" w:themeColor="text1"/>
          <w14:textFill>
            <w14:solidFill>
              <w14:schemeClr w14:val="tx1"/>
            </w14:solidFill>
          </w14:textFill>
        </w:rPr>
        <w:t>为自动化集装箱码头</w:t>
      </w:r>
      <w:r>
        <w:rPr>
          <w:rFonts w:hint="eastAsia"/>
          <w:color w:val="000000" w:themeColor="text1"/>
          <w14:textFill>
            <w14:solidFill>
              <w14:schemeClr w14:val="tx1"/>
            </w14:solidFill>
          </w14:textFill>
        </w:rPr>
        <w:t>，集装箱装卸作业采用轨道吊、IGV充电小车等均为电能作业，无装卸废气产生；码头后方堆场为集装箱堆场，堆场静态起尘量极少；码头设置船舶岸电设施，船舶进港靠泊使用岸电设备，该过程不会产生船舶废气；项目运营期主要大气污染物为进出港运输车辆尾气产生的废气及铺装道路扬尘，均为无组织废气。</w:t>
      </w:r>
      <w:bookmarkEnd w:id="363"/>
    </w:p>
    <w:p>
      <w:pPr>
        <w:pStyle w:val="6"/>
        <w:rPr>
          <w:color w:val="000000" w:themeColor="text1"/>
          <w14:textFill>
            <w14:solidFill>
              <w14:schemeClr w14:val="tx1"/>
            </w14:solidFill>
          </w14:textFill>
        </w:rPr>
      </w:pPr>
      <w:r>
        <w:rPr>
          <w:rFonts w:hint="eastAsia"/>
          <w:color w:val="000000" w:themeColor="text1"/>
          <w14:textFill>
            <w14:solidFill>
              <w14:schemeClr w14:val="tx1"/>
            </w14:solidFill>
          </w14:textFill>
        </w:rPr>
        <w:t>主要环境保护措施</w:t>
      </w:r>
    </w:p>
    <w:p>
      <w:pPr>
        <w:pStyle w:val="283"/>
        <w:ind w:firstLine="462"/>
        <w:rPr>
          <w:color w:val="000000" w:themeColor="text1"/>
          <w14:textFill>
            <w14:solidFill>
              <w14:schemeClr w14:val="tx1"/>
            </w14:solidFill>
          </w14:textFill>
        </w:rPr>
      </w:pPr>
      <w:bookmarkStart w:id="364" w:name="_Hlk107408806"/>
      <w:r>
        <w:rPr>
          <w:rFonts w:hint="eastAsia"/>
          <w:color w:val="000000" w:themeColor="text1"/>
          <w14:textFill>
            <w14:solidFill>
              <w14:schemeClr w14:val="tx1"/>
            </w14:solidFill>
          </w14:textFill>
        </w:rPr>
        <w:t>（1）本项目所在海域位于船舶大气污染物排放控制区内，施工期禁止内河船舶及“三无”船舶参与海上施工和运输，作业船舶应遵守大气污染物排放控制区相关要求，通过使用符合规定的清洁燃料油，满足硫氧化物、颗粒物和氮氧化物的排放控制要求。</w:t>
      </w:r>
    </w:p>
    <w:p>
      <w:pPr>
        <w:pStyle w:val="283"/>
        <w:ind w:firstLine="462"/>
        <w:rPr>
          <w:color w:val="000000" w:themeColor="text1"/>
          <w14:textFill>
            <w14:solidFill>
              <w14:schemeClr w14:val="tx1"/>
            </w14:solidFill>
          </w14:textFill>
        </w:rPr>
      </w:pPr>
      <w:r>
        <w:rPr>
          <w:rFonts w:hint="eastAsia"/>
          <w:color w:val="000000" w:themeColor="text1"/>
          <w14:textFill>
            <w14:solidFill>
              <w14:schemeClr w14:val="tx1"/>
            </w14:solidFill>
          </w14:textFill>
        </w:rPr>
        <w:t>（2）运营期保持厂区道路路面的清洁和相对湿度，当路面出现损坏及时修复，同时对该道路进行定时洒水，并应视路面状况调整洒水频次。</w:t>
      </w:r>
      <w:bookmarkEnd w:id="364"/>
    </w:p>
    <w:p>
      <w:pPr>
        <w:pStyle w:val="5"/>
        <w:rPr>
          <w:color w:val="000000" w:themeColor="text1"/>
          <w14:textFill>
            <w14:solidFill>
              <w14:schemeClr w14:val="tx1"/>
            </w14:solidFill>
          </w14:textFill>
        </w:rPr>
      </w:pPr>
      <w:r>
        <w:rPr>
          <w:rFonts w:hint="eastAsia"/>
          <w:color w:val="000000" w:themeColor="text1"/>
          <w14:textFill>
            <w14:solidFill>
              <w14:schemeClr w14:val="tx1"/>
            </w14:solidFill>
          </w14:textFill>
        </w:rPr>
        <w:t>声环境</w:t>
      </w:r>
    </w:p>
    <w:p>
      <w:pPr>
        <w:pStyle w:val="6"/>
        <w:rPr>
          <w:color w:val="000000" w:themeColor="text1"/>
          <w14:textFill>
            <w14:solidFill>
              <w14:schemeClr w14:val="tx1"/>
            </w14:solidFill>
          </w14:textFill>
        </w:rPr>
      </w:pPr>
      <w:r>
        <w:rPr>
          <w:rFonts w:hint="eastAsia"/>
          <w:color w:val="000000" w:themeColor="text1"/>
          <w14:textFill>
            <w14:solidFill>
              <w14:schemeClr w14:val="tx1"/>
            </w14:solidFill>
          </w14:textFill>
        </w:rPr>
        <w:t>施工期</w:t>
      </w:r>
    </w:p>
    <w:p>
      <w:pPr>
        <w:pStyle w:val="283"/>
        <w:ind w:firstLine="462"/>
        <w:rPr>
          <w:color w:val="000000" w:themeColor="text1"/>
          <w14:textFill>
            <w14:solidFill>
              <w14:schemeClr w14:val="tx1"/>
            </w14:solidFill>
          </w14:textFill>
        </w:rPr>
      </w:pPr>
      <w:bookmarkStart w:id="365" w:name="_Hlk107408847"/>
      <w:r>
        <w:rPr>
          <w:rFonts w:hint="eastAsia"/>
          <w:color w:val="000000" w:themeColor="text1"/>
          <w:lang w:val="zh-CN"/>
          <w14:textFill>
            <w14:solidFill>
              <w14:schemeClr w14:val="tx1"/>
            </w14:solidFill>
          </w14:textFill>
        </w:rPr>
        <w:t>经预测，单机施工机械噪声值昼间辐射到大于4</w:t>
      </w:r>
      <w:r>
        <w:rPr>
          <w:color w:val="000000" w:themeColor="text1"/>
          <w:lang w:val="zh-CN"/>
          <w14:textFill>
            <w14:solidFill>
              <w14:schemeClr w14:val="tx1"/>
            </w14:solidFill>
          </w14:textFill>
        </w:rPr>
        <w:t>0m</w:t>
      </w:r>
      <w:r>
        <w:rPr>
          <w:rFonts w:hint="eastAsia"/>
          <w:color w:val="000000" w:themeColor="text1"/>
          <w:lang w:val="zh-CN"/>
          <w14:textFill>
            <w14:solidFill>
              <w14:schemeClr w14:val="tx1"/>
            </w14:solidFill>
          </w14:textFill>
        </w:rPr>
        <w:t>距离时，施工噪声预测值可满足《建筑施工场界环境噪声排放标准》（GB12523-2011）标准要求；对于夜间作业，施工机械噪声值辐射到大于560</w:t>
      </w:r>
      <w:r>
        <w:rPr>
          <w:color w:val="000000" w:themeColor="text1"/>
          <w:lang w:val="zh-CN"/>
          <w14:textFill>
            <w14:solidFill>
              <w14:schemeClr w14:val="tx1"/>
            </w14:solidFill>
          </w14:textFill>
        </w:rPr>
        <w:t>m</w:t>
      </w:r>
      <w:r>
        <w:rPr>
          <w:rFonts w:hint="eastAsia"/>
          <w:color w:val="000000" w:themeColor="text1"/>
          <w:lang w:val="zh-CN"/>
          <w14:textFill>
            <w14:solidFill>
              <w14:schemeClr w14:val="tx1"/>
            </w14:solidFill>
          </w14:textFill>
        </w:rPr>
        <w:t>处，可达到标准。</w:t>
      </w:r>
      <w:r>
        <w:rPr>
          <w:rFonts w:hint="eastAsia"/>
          <w:color w:val="000000" w:themeColor="text1"/>
          <w14:textFill>
            <w14:solidFill>
              <w14:schemeClr w14:val="tx1"/>
            </w14:solidFill>
          </w14:textFill>
        </w:rPr>
        <w:t>项目评价范围内无声环境敏感点。施工噪声对周边环境的影响属短时影响，随施工活动结束消失。</w:t>
      </w:r>
      <w:bookmarkEnd w:id="365"/>
    </w:p>
    <w:p>
      <w:pPr>
        <w:pStyle w:val="6"/>
        <w:rPr>
          <w:color w:val="000000" w:themeColor="text1"/>
          <w14:textFill>
            <w14:solidFill>
              <w14:schemeClr w14:val="tx1"/>
            </w14:solidFill>
          </w14:textFill>
        </w:rPr>
      </w:pPr>
      <w:r>
        <w:rPr>
          <w:rFonts w:hint="eastAsia"/>
          <w:color w:val="000000" w:themeColor="text1"/>
          <w14:textFill>
            <w14:solidFill>
              <w14:schemeClr w14:val="tx1"/>
            </w14:solidFill>
          </w14:textFill>
        </w:rPr>
        <w:t>运营期</w:t>
      </w:r>
    </w:p>
    <w:p>
      <w:pPr>
        <w:pStyle w:val="283"/>
        <w:ind w:firstLine="462"/>
        <w:rPr>
          <w:color w:val="000000" w:themeColor="text1"/>
          <w14:textFill>
            <w14:solidFill>
              <w14:schemeClr w14:val="tx1"/>
            </w14:solidFill>
          </w14:textFill>
        </w:rPr>
      </w:pPr>
      <w:bookmarkStart w:id="366" w:name="_Hlk107408857"/>
      <w:r>
        <w:rPr>
          <w:rFonts w:hint="eastAsia"/>
          <w:color w:val="000000" w:themeColor="text1"/>
          <w14:textFill>
            <w14:solidFill>
              <w14:schemeClr w14:val="tx1"/>
            </w14:solidFill>
          </w14:textFill>
        </w:rPr>
        <w:t>项目各侧场界执行《工业企业厂界环境噪声排放</w:t>
      </w:r>
      <w:r>
        <w:rPr>
          <w:color w:val="000000" w:themeColor="text1"/>
          <w14:textFill>
            <w14:solidFill>
              <w14:schemeClr w14:val="tx1"/>
            </w14:solidFill>
          </w14:textFill>
        </w:rPr>
        <w:t>标准</w:t>
      </w:r>
      <w:r>
        <w:rPr>
          <w:rFonts w:hint="eastAsia"/>
          <w:color w:val="000000" w:themeColor="text1"/>
          <w14:textFill>
            <w14:solidFill>
              <w14:schemeClr w14:val="tx1"/>
            </w14:solidFill>
          </w14:textFill>
        </w:rPr>
        <w:t>》（GB12348-2008）中3类标准值。根据预测，在考虑多台作业机械同时作业的不利条件下：项目各侧场界噪声排放满足3类标准要求。本项目的实施对周围环境影响较小。</w:t>
      </w:r>
      <w:bookmarkEnd w:id="366"/>
    </w:p>
    <w:p>
      <w:pPr>
        <w:pStyle w:val="6"/>
        <w:rPr>
          <w:color w:val="000000" w:themeColor="text1"/>
          <w14:textFill>
            <w14:solidFill>
              <w14:schemeClr w14:val="tx1"/>
            </w14:solidFill>
          </w14:textFill>
        </w:rPr>
      </w:pPr>
      <w:r>
        <w:rPr>
          <w:rFonts w:hint="eastAsia"/>
          <w:color w:val="000000" w:themeColor="text1"/>
          <w14:textFill>
            <w14:solidFill>
              <w14:schemeClr w14:val="tx1"/>
            </w14:solidFill>
          </w14:textFill>
        </w:rPr>
        <w:t>主要环境保护措施</w:t>
      </w:r>
    </w:p>
    <w:p>
      <w:pPr>
        <w:pStyle w:val="283"/>
        <w:ind w:firstLine="462"/>
        <w:rPr>
          <w:color w:val="000000" w:themeColor="text1"/>
          <w14:textFill>
            <w14:solidFill>
              <w14:schemeClr w14:val="tx1"/>
            </w14:solidFill>
          </w14:textFill>
        </w:rPr>
      </w:pPr>
      <w:bookmarkStart w:id="367" w:name="_Hlk107408892"/>
      <w:r>
        <w:rPr>
          <w:rFonts w:hint="eastAsia"/>
          <w:color w:val="000000" w:themeColor="text1"/>
          <w:szCs w:val="32"/>
          <w14:textFill>
            <w14:solidFill>
              <w14:schemeClr w14:val="tx1"/>
            </w14:solidFill>
          </w14:textFill>
        </w:rPr>
        <w:t>（1）</w:t>
      </w:r>
      <w:r>
        <w:rPr>
          <w:color w:val="000000" w:themeColor="text1"/>
          <w14:textFill>
            <w14:solidFill>
              <w14:schemeClr w14:val="tx1"/>
            </w14:solidFill>
          </w14:textFill>
        </w:rPr>
        <w:t>施工机械</w:t>
      </w:r>
      <w:r>
        <w:rPr>
          <w:rFonts w:hint="eastAsia"/>
          <w:color w:val="000000" w:themeColor="text1"/>
          <w14:textFill>
            <w14:solidFill>
              <w14:schemeClr w14:val="tx1"/>
            </w14:solidFill>
          </w14:textFill>
        </w:rPr>
        <w:t>尽量</w:t>
      </w:r>
      <w:r>
        <w:rPr>
          <w:color w:val="000000" w:themeColor="text1"/>
          <w14:textFill>
            <w14:solidFill>
              <w14:schemeClr w14:val="tx1"/>
            </w14:solidFill>
          </w14:textFill>
        </w:rPr>
        <w:t>采用低噪声设备，加强设备日常维修保养，使施工机械保持良好状态，避免超正常噪声</w:t>
      </w:r>
      <w:r>
        <w:rPr>
          <w:rFonts w:hint="eastAsia"/>
          <w:color w:val="000000" w:themeColor="text1"/>
          <w14:textFill>
            <w14:solidFill>
              <w14:schemeClr w14:val="tx1"/>
            </w14:solidFill>
          </w14:textFill>
        </w:rPr>
        <w:t>水平</w:t>
      </w:r>
      <w:r>
        <w:rPr>
          <w:color w:val="000000" w:themeColor="text1"/>
          <w14:textFill>
            <w14:solidFill>
              <w14:schemeClr w14:val="tx1"/>
            </w14:solidFill>
          </w14:textFill>
        </w:rPr>
        <w:t>运转</w:t>
      </w:r>
      <w:r>
        <w:rPr>
          <w:rFonts w:hint="eastAsia"/>
          <w:color w:val="000000" w:themeColor="text1"/>
          <w14:textFill>
            <w14:solidFill>
              <w14:schemeClr w14:val="tx1"/>
            </w14:solidFill>
          </w14:textFill>
        </w:rPr>
        <w:t>。加强现场施工人员个人防护工作，</w:t>
      </w:r>
      <w:r>
        <w:rPr>
          <w:color w:val="000000" w:themeColor="text1"/>
          <w14:textFill>
            <w14:solidFill>
              <w14:schemeClr w14:val="tx1"/>
            </w14:solidFill>
          </w14:textFill>
        </w:rPr>
        <w:t>可采取发放防</w:t>
      </w:r>
      <w:r>
        <w:rPr>
          <w:rFonts w:hint="eastAsia"/>
          <w:color w:val="000000" w:themeColor="text1"/>
          <w14:textFill>
            <w14:solidFill>
              <w14:schemeClr w14:val="tx1"/>
            </w14:solidFill>
          </w14:textFill>
        </w:rPr>
        <w:t>护耳</w:t>
      </w:r>
      <w:r>
        <w:rPr>
          <w:color w:val="000000" w:themeColor="text1"/>
          <w14:textFill>
            <w14:solidFill>
              <w14:schemeClr w14:val="tx1"/>
            </w14:solidFill>
          </w14:textFill>
        </w:rPr>
        <w:t>声耳塞、头盔等保护措施，使工人进行自身保护</w:t>
      </w:r>
      <w:r>
        <w:rPr>
          <w:rFonts w:hint="eastAsia"/>
          <w:color w:val="000000" w:themeColor="text1"/>
          <w14:textFill>
            <w14:solidFill>
              <w14:schemeClr w14:val="tx1"/>
            </w14:solidFill>
          </w14:textFill>
        </w:rPr>
        <w:t>。</w:t>
      </w:r>
    </w:p>
    <w:p>
      <w:pPr>
        <w:pStyle w:val="283"/>
        <w:ind w:firstLine="462"/>
        <w:rPr>
          <w:rFonts w:hAnsi="宋体"/>
          <w:color w:val="000000" w:themeColor="text1"/>
          <w14:textFill>
            <w14:solidFill>
              <w14:schemeClr w14:val="tx1"/>
            </w14:solidFill>
          </w14:textFill>
        </w:rPr>
      </w:pPr>
      <w:r>
        <w:rPr>
          <w:rFonts w:hint="eastAsia"/>
          <w:color w:val="000000" w:themeColor="text1"/>
          <w14:textFill>
            <w14:solidFill>
              <w14:schemeClr w14:val="tx1"/>
            </w14:solidFill>
          </w14:textFill>
        </w:rPr>
        <w:t>（</w:t>
      </w:r>
      <w:r>
        <w:rPr>
          <w:color w:val="000000" w:themeColor="text1"/>
          <w14:textFill>
            <w14:solidFill>
              <w14:schemeClr w14:val="tx1"/>
            </w14:solidFill>
          </w14:textFill>
        </w:rPr>
        <w:t>2</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加强对码头噪声级较高装卸机械维护</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加强工作人员个人防护，通过合理安排工人轮流操作机械，减少工作接触高噪声的时间</w:t>
      </w:r>
      <w:r>
        <w:rPr>
          <w:rFonts w:hint="eastAsia"/>
          <w:color w:val="000000" w:themeColor="text1"/>
          <w14:textFill>
            <w14:solidFill>
              <w14:schemeClr w14:val="tx1"/>
            </w14:solidFill>
          </w14:textFill>
        </w:rPr>
        <w:t>。码头内高噪声设备应采用减振设计，并考虑封闭处理。</w:t>
      </w:r>
      <w:bookmarkEnd w:id="367"/>
    </w:p>
    <w:p>
      <w:pPr>
        <w:pStyle w:val="5"/>
        <w:rPr>
          <w:color w:val="000000" w:themeColor="text1"/>
          <w14:textFill>
            <w14:solidFill>
              <w14:schemeClr w14:val="tx1"/>
            </w14:solidFill>
          </w14:textFill>
        </w:rPr>
      </w:pPr>
      <w:r>
        <w:rPr>
          <w:rFonts w:hint="eastAsia"/>
          <w:color w:val="000000" w:themeColor="text1"/>
          <w14:textFill>
            <w14:solidFill>
              <w14:schemeClr w14:val="tx1"/>
            </w14:solidFill>
          </w14:textFill>
        </w:rPr>
        <w:t>固体废物</w:t>
      </w:r>
    </w:p>
    <w:p>
      <w:pPr>
        <w:pStyle w:val="283"/>
        <w:ind w:firstLine="462"/>
        <w:rPr>
          <w:color w:val="000000" w:themeColor="text1"/>
          <w14:textFill>
            <w14:solidFill>
              <w14:schemeClr w14:val="tx1"/>
            </w14:solidFill>
          </w14:textFill>
        </w:rPr>
      </w:pPr>
      <w:bookmarkStart w:id="368" w:name="_Hlk107409424"/>
      <w:bookmarkStart w:id="369" w:name="_Hlk107409366"/>
      <w:r>
        <w:rPr>
          <w:color w:val="000000" w:themeColor="text1"/>
          <w14:textFill>
            <w14:solidFill>
              <w14:schemeClr w14:val="tx1"/>
            </w14:solidFill>
          </w14:textFill>
        </w:rPr>
        <w:t>项目施工期固体废物主要来自</w:t>
      </w:r>
      <w:r>
        <w:rPr>
          <w:rFonts w:hint="eastAsia"/>
          <w:color w:val="000000" w:themeColor="text1"/>
          <w14:textFill>
            <w14:solidFill>
              <w14:schemeClr w14:val="tx1"/>
            </w14:solidFill>
          </w14:textFill>
        </w:rPr>
        <w:t>施工船舶</w:t>
      </w:r>
      <w:r>
        <w:rPr>
          <w:color w:val="000000" w:themeColor="text1"/>
          <w14:textFill>
            <w14:solidFill>
              <w14:schemeClr w14:val="tx1"/>
            </w14:solidFill>
          </w14:textFill>
        </w:rPr>
        <w:t>垃圾、陆域</w:t>
      </w:r>
      <w:r>
        <w:rPr>
          <w:rFonts w:hint="eastAsia"/>
          <w:color w:val="000000" w:themeColor="text1"/>
          <w14:textFill>
            <w14:solidFill>
              <w14:schemeClr w14:val="tx1"/>
            </w14:solidFill>
          </w14:textFill>
        </w:rPr>
        <w:t>生产</w:t>
      </w:r>
      <w:r>
        <w:rPr>
          <w:color w:val="000000" w:themeColor="text1"/>
          <w14:textFill>
            <w14:solidFill>
              <w14:schemeClr w14:val="tx1"/>
            </w14:solidFill>
          </w14:textFill>
        </w:rPr>
        <w:t>生活垃圾及疏浚土石。</w:t>
      </w:r>
      <w:r>
        <w:rPr>
          <w:rFonts w:hint="eastAsia"/>
          <w:color w:val="000000" w:themeColor="text1"/>
          <w14:textFill>
            <w14:solidFill>
              <w14:schemeClr w14:val="tx1"/>
            </w14:solidFill>
          </w14:textFill>
        </w:rPr>
        <w:t>生活垃圾依托9号10号泊位现有生活垃圾收集转运系统，收集后集中堆放在7号8号泊位垃圾中转站内，由环卫部门上门清运</w:t>
      </w:r>
      <w:r>
        <w:rPr>
          <w:color w:val="000000" w:themeColor="text1"/>
          <w14:textFill>
            <w14:solidFill>
              <w14:schemeClr w14:val="tx1"/>
            </w14:solidFill>
          </w14:textFill>
        </w:rPr>
        <w:t>。港池疏浚工程量</w:t>
      </w:r>
      <w:r>
        <w:rPr>
          <w:rFonts w:hint="eastAsia"/>
          <w:color w:val="000000" w:themeColor="text1"/>
          <w14:textFill>
            <w14:solidFill>
              <w14:schemeClr w14:val="tx1"/>
            </w14:solidFill>
          </w14:textFill>
        </w:rPr>
        <w:t>204.7</w:t>
      </w:r>
      <w:r>
        <w:rPr>
          <w:color w:val="000000" w:themeColor="text1"/>
          <w14:textFill>
            <w14:solidFill>
              <w14:schemeClr w14:val="tx1"/>
            </w14:solidFill>
          </w14:textFill>
        </w:rPr>
        <w:t>万m</w:t>
      </w:r>
      <w:r>
        <w:rPr>
          <w:color w:val="000000" w:themeColor="text1"/>
          <w:vertAlign w:val="superscript"/>
          <w14:textFill>
            <w14:solidFill>
              <w14:schemeClr w14:val="tx1"/>
            </w14:solidFill>
          </w14:textFill>
        </w:rPr>
        <w:t>3</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其中本项目利用约81.3万m</w:t>
      </w:r>
      <w:r>
        <w:rPr>
          <w:rFonts w:hint="eastAsia"/>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疏浚砂用于钦州保税港区昊鼎物流配送中心项目陆域形成；47.6万m</w:t>
      </w:r>
      <w:r>
        <w:rPr>
          <w:rFonts w:hint="eastAsia"/>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强风化岩和中风化岩炸礁碴石及75.8万m</w:t>
      </w:r>
      <w:r>
        <w:rPr>
          <w:rFonts w:hint="eastAsia"/>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疏浚土石泥驳运至53km外的钦州港30万吨级进港航道疏浚工程疏浚物临时性海洋倾倒区B区抛卸。</w:t>
      </w:r>
      <w:bookmarkEnd w:id="368"/>
      <w:bookmarkStart w:id="370" w:name="_Hlk107409440"/>
    </w:p>
    <w:p>
      <w:pPr>
        <w:pStyle w:val="283"/>
        <w:ind w:firstLine="462"/>
        <w:rPr>
          <w:color w:val="000000" w:themeColor="text1"/>
          <w14:textFill>
            <w14:solidFill>
              <w14:schemeClr w14:val="tx1"/>
            </w14:solidFill>
          </w14:textFill>
        </w:rPr>
      </w:pPr>
      <w:r>
        <w:rPr>
          <w:rFonts w:hint="eastAsia"/>
          <w:color w:val="000000" w:themeColor="text1"/>
          <w14:textFill>
            <w14:solidFill>
              <w14:schemeClr w14:val="tx1"/>
            </w14:solidFill>
          </w14:textFill>
        </w:rPr>
        <w:t>运营期项目到港船舶生活</w:t>
      </w:r>
      <w:r>
        <w:rPr>
          <w:color w:val="000000" w:themeColor="text1"/>
          <w14:textFill>
            <w14:solidFill>
              <w14:schemeClr w14:val="tx1"/>
            </w14:solidFill>
          </w14:textFill>
        </w:rPr>
        <w:t>垃圾均</w:t>
      </w:r>
      <w:r>
        <w:rPr>
          <w:rFonts w:hint="eastAsia"/>
          <w:color w:val="000000" w:themeColor="text1"/>
          <w14:textFill>
            <w14:solidFill>
              <w14:schemeClr w14:val="tx1"/>
            </w14:solidFill>
          </w14:textFill>
        </w:rPr>
        <w:t>有资质的公司接收并</w:t>
      </w:r>
      <w:r>
        <w:rPr>
          <w:color w:val="000000" w:themeColor="text1"/>
          <w14:textFill>
            <w14:solidFill>
              <w14:schemeClr w14:val="tx1"/>
            </w14:solidFill>
          </w14:textFill>
        </w:rPr>
        <w:t>转运处置。</w:t>
      </w:r>
    </w:p>
    <w:p>
      <w:pPr>
        <w:pStyle w:val="1075"/>
        <w:ind w:firstLine="462"/>
        <w:rPr>
          <w:color w:val="000000" w:themeColor="text1"/>
          <w14:textFill>
            <w14:solidFill>
              <w14:schemeClr w14:val="tx1"/>
            </w14:solidFill>
          </w14:textFill>
        </w:rPr>
      </w:pPr>
      <w:r>
        <w:rPr>
          <w:rFonts w:hint="eastAsia"/>
          <w:color w:val="000000" w:themeColor="text1"/>
          <w14:textFill>
            <w14:solidFill>
              <w14:schemeClr w14:val="tx1"/>
            </w14:solidFill>
          </w14:textFill>
        </w:rPr>
        <w:t>港区生活垃圾主要是港区人员食品残渣、卫生清扫品、废旧包装袋、瓶、罐等，</w:t>
      </w:r>
      <w:r>
        <w:rPr>
          <w:color w:val="000000" w:themeColor="text1"/>
          <w14:textFill>
            <w14:solidFill>
              <w14:schemeClr w14:val="tx1"/>
            </w14:solidFill>
          </w14:textFill>
        </w:rPr>
        <w:t>统一收集后</w:t>
      </w:r>
      <w:r>
        <w:rPr>
          <w:rFonts w:hint="eastAsia"/>
          <w:color w:val="000000" w:themeColor="text1"/>
          <w14:textFill>
            <w14:solidFill>
              <w14:schemeClr w14:val="tx1"/>
            </w14:solidFill>
          </w14:textFill>
        </w:rPr>
        <w:t>集中至7号8号泊位生活垃圾中转站，交由当地环卫部门处置</w:t>
      </w:r>
      <w:r>
        <w:rPr>
          <w:color w:val="000000" w:themeColor="text1"/>
          <w14:textFill>
            <w14:solidFill>
              <w14:schemeClr w14:val="tx1"/>
            </w14:solidFill>
          </w14:textFill>
        </w:rPr>
        <w:t>。</w:t>
      </w:r>
    </w:p>
    <w:bookmarkEnd w:id="370"/>
    <w:p>
      <w:pPr>
        <w:pStyle w:val="283"/>
        <w:ind w:firstLine="462"/>
        <w:rPr>
          <w:color w:val="000000" w:themeColor="text1"/>
          <w14:textFill>
            <w14:solidFill>
              <w14:schemeClr w14:val="tx1"/>
            </w14:solidFill>
          </w14:textFill>
        </w:rPr>
      </w:pPr>
      <w:r>
        <w:rPr>
          <w:rFonts w:hint="eastAsia"/>
          <w:color w:val="000000" w:themeColor="text1"/>
          <w14:textFill>
            <w14:solidFill>
              <w14:schemeClr w14:val="tx1"/>
            </w14:solidFill>
          </w14:textFill>
        </w:rPr>
        <w:t>通过落实以上处置措施，项目施工</w:t>
      </w:r>
      <w:r>
        <w:rPr>
          <w:color w:val="000000" w:themeColor="text1"/>
          <w14:textFill>
            <w14:solidFill>
              <w14:schemeClr w14:val="tx1"/>
            </w14:solidFill>
          </w14:textFill>
        </w:rPr>
        <w:t>及</w:t>
      </w:r>
      <w:r>
        <w:rPr>
          <w:rFonts w:hint="eastAsia"/>
          <w:color w:val="000000" w:themeColor="text1"/>
          <w14:textFill>
            <w14:solidFill>
              <w14:schemeClr w14:val="tx1"/>
            </w14:solidFill>
          </w14:textFill>
        </w:rPr>
        <w:t>运营期固体废物不会对港区周围环境造成不利影响。</w:t>
      </w:r>
    </w:p>
    <w:bookmarkEnd w:id="369"/>
    <w:p>
      <w:pPr>
        <w:pStyle w:val="5"/>
        <w:rPr>
          <w:color w:val="000000" w:themeColor="text1"/>
          <w14:textFill>
            <w14:solidFill>
              <w14:schemeClr w14:val="tx1"/>
            </w14:solidFill>
          </w14:textFill>
        </w:rPr>
      </w:pPr>
      <w:r>
        <w:rPr>
          <w:rFonts w:hint="eastAsia"/>
          <w:color w:val="000000" w:themeColor="text1"/>
          <w14:textFill>
            <w14:solidFill>
              <w14:schemeClr w14:val="tx1"/>
            </w14:solidFill>
          </w14:textFill>
        </w:rPr>
        <w:t>环境风险影响评价</w:t>
      </w:r>
    </w:p>
    <w:p>
      <w:pPr>
        <w:pStyle w:val="283"/>
        <w:ind w:firstLine="462"/>
        <w:rPr>
          <w:color w:val="000000" w:themeColor="text1"/>
          <w14:textFill>
            <w14:solidFill>
              <w14:schemeClr w14:val="tx1"/>
            </w14:solidFill>
          </w14:textFill>
        </w:rPr>
      </w:pPr>
      <w:bookmarkStart w:id="371" w:name="_Hlk107409379"/>
      <w:r>
        <w:rPr>
          <w:color w:val="000000" w:themeColor="text1"/>
          <w14:textFill>
            <w14:solidFill>
              <w14:schemeClr w14:val="tx1"/>
            </w14:solidFill>
          </w14:textFill>
        </w:rPr>
        <w:t>本项目为</w:t>
      </w:r>
      <w:r>
        <w:rPr>
          <w:rFonts w:hint="eastAsia"/>
          <w:color w:val="000000" w:themeColor="text1"/>
          <w14:textFill>
            <w14:solidFill>
              <w14:schemeClr w14:val="tx1"/>
            </w14:solidFill>
          </w14:textFill>
        </w:rPr>
        <w:t>2</w:t>
      </w:r>
      <w:r>
        <w:rPr>
          <w:color w:val="000000" w:themeColor="text1"/>
          <w14:textFill>
            <w14:solidFill>
              <w14:schemeClr w14:val="tx1"/>
            </w14:solidFill>
          </w14:textFill>
        </w:rPr>
        <w:t>个</w:t>
      </w:r>
      <w:r>
        <w:rPr>
          <w:rFonts w:hint="eastAsia"/>
          <w:color w:val="000000" w:themeColor="text1"/>
          <w14:textFill>
            <w14:solidFill>
              <w14:schemeClr w14:val="tx1"/>
            </w14:solidFill>
          </w14:textFill>
        </w:rPr>
        <w:t>20万</w:t>
      </w:r>
      <w:r>
        <w:rPr>
          <w:color w:val="000000" w:themeColor="text1"/>
          <w14:textFill>
            <w14:solidFill>
              <w14:schemeClr w14:val="tx1"/>
            </w14:solidFill>
          </w14:textFill>
        </w:rPr>
        <w:t>吨级集装箱</w:t>
      </w:r>
      <w:r>
        <w:rPr>
          <w:color w:val="000000" w:themeColor="text1"/>
          <w:szCs w:val="28"/>
          <w14:textFill>
            <w14:solidFill>
              <w14:schemeClr w14:val="tx1"/>
            </w14:solidFill>
          </w14:textFill>
        </w:rPr>
        <w:t>泊位</w:t>
      </w:r>
      <w:r>
        <w:rPr>
          <w:color w:val="000000" w:themeColor="text1"/>
          <w14:textFill>
            <w14:solidFill>
              <w14:schemeClr w14:val="tx1"/>
            </w14:solidFill>
          </w14:textFill>
        </w:rPr>
        <w:t>工程，</w:t>
      </w:r>
      <w:r>
        <w:rPr>
          <w:rFonts w:hint="eastAsia"/>
          <w:color w:val="000000" w:themeColor="text1"/>
          <w14:textFill>
            <w14:solidFill>
              <w14:schemeClr w14:val="tx1"/>
            </w14:solidFill>
          </w14:textFill>
        </w:rPr>
        <w:t>包括普通重冷藏箱、空箱</w:t>
      </w:r>
      <w:r>
        <w:rPr>
          <w:color w:val="000000" w:themeColor="text1"/>
          <w14:textFill>
            <w14:solidFill>
              <w14:schemeClr w14:val="tx1"/>
            </w14:solidFill>
          </w14:textFill>
        </w:rPr>
        <w:t>，装卸货种不涉及油品及各类化学品的装卸及堆存</w:t>
      </w:r>
      <w:r>
        <w:rPr>
          <w:rFonts w:hint="eastAsia"/>
          <w:color w:val="000000" w:themeColor="text1"/>
          <w14:textFill>
            <w14:solidFill>
              <w14:schemeClr w14:val="tx1"/>
            </w14:solidFill>
          </w14:textFill>
        </w:rPr>
        <w:t>。本码头环境风险主要为船舶碰撞事故溢油导致的海洋水质和生态影响。结合近年来</w:t>
      </w:r>
      <w:r>
        <w:rPr>
          <w:color w:val="000000" w:themeColor="text1"/>
          <w14:textFill>
            <w14:solidFill>
              <w14:schemeClr w14:val="tx1"/>
            </w14:solidFill>
          </w14:textFill>
        </w:rPr>
        <w:t>钦州港</w:t>
      </w:r>
      <w:r>
        <w:rPr>
          <w:rFonts w:hint="eastAsia"/>
          <w:color w:val="000000" w:themeColor="text1"/>
          <w14:textFill>
            <w14:solidFill>
              <w14:schemeClr w14:val="tx1"/>
            </w14:solidFill>
          </w14:textFill>
        </w:rPr>
        <w:t>水运量及本项目吞吐量和设计船型，估算本项目船舶风险事故发生概率为0.00344次/年。</w:t>
      </w:r>
    </w:p>
    <w:p>
      <w:pPr>
        <w:pStyle w:val="283"/>
        <w:ind w:firstLine="462"/>
        <w:rPr>
          <w:color w:val="000000" w:themeColor="text1"/>
          <w14:textFill>
            <w14:solidFill>
              <w14:schemeClr w14:val="tx1"/>
            </w14:solidFill>
          </w14:textFill>
        </w:rPr>
      </w:pPr>
      <w:r>
        <w:rPr>
          <w:rFonts w:hint="eastAsia"/>
          <w:color w:val="000000" w:themeColor="text1"/>
          <w14:textFill>
            <w14:solidFill>
              <w14:schemeClr w14:val="tx1"/>
            </w14:solidFill>
          </w14:textFill>
        </w:rPr>
        <w:t>最大可能事故泄漏量为20万吨级集装箱船单舱泄漏燃料油2500t。根据溢油风险预测，溢油扫海最大影响面积为高潮时N风向（冬季主频风）305.15</w:t>
      </w:r>
      <w:r>
        <w:rPr>
          <w:color w:val="000000" w:themeColor="text1"/>
          <w:sz w:val="21"/>
          <w:szCs w:val="21"/>
          <w14:textFill>
            <w14:solidFill>
              <w14:schemeClr w14:val="tx1"/>
            </w14:solidFill>
          </w14:textFill>
        </w:rPr>
        <w:t xml:space="preserve"> </w:t>
      </w:r>
      <w:r>
        <w:rPr>
          <w:color w:val="000000" w:themeColor="text1"/>
          <w14:textFill>
            <w14:solidFill>
              <w14:schemeClr w14:val="tx1"/>
            </w14:solidFill>
          </w14:textFill>
        </w:rPr>
        <w:t>km</w:t>
      </w:r>
      <w:r>
        <w:rPr>
          <w:color w:val="000000" w:themeColor="text1"/>
          <w:vertAlign w:val="superscript"/>
          <w14:textFill>
            <w14:solidFill>
              <w14:schemeClr w14:val="tx1"/>
            </w14:solidFill>
          </w14:textFill>
        </w:rPr>
        <w:t>2</w:t>
      </w:r>
      <w:r>
        <w:rPr>
          <w:rFonts w:hint="eastAsia"/>
          <w:color w:val="000000" w:themeColor="text1"/>
          <w14:textFill>
            <w14:solidFill>
              <w14:schemeClr w14:val="tx1"/>
            </w14:solidFill>
          </w14:textFill>
        </w:rPr>
        <w:t>，低潮时N风向（冬季主频风）461.76</w:t>
      </w:r>
      <w:r>
        <w:rPr>
          <w:color w:val="000000" w:themeColor="text1"/>
          <w14:textFill>
            <w14:solidFill>
              <w14:schemeClr w14:val="tx1"/>
            </w14:solidFill>
          </w14:textFill>
        </w:rPr>
        <w:t>km</w:t>
      </w:r>
      <w:r>
        <w:rPr>
          <w:color w:val="000000" w:themeColor="text1"/>
          <w:vertAlign w:val="superscript"/>
          <w14:textFill>
            <w14:solidFill>
              <w14:schemeClr w14:val="tx1"/>
            </w14:solidFill>
          </w14:textFill>
        </w:rPr>
        <w:t>2</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目前钦州已有溢油应急能力约为5400吨，预测最大水上溢油事故溢油量约为6800t，目前溢油应急能力足以应对本项目事故单舱溢油最大量2500t。</w:t>
      </w:r>
    </w:p>
    <w:p>
      <w:pPr>
        <w:pStyle w:val="283"/>
        <w:ind w:firstLine="462"/>
        <w:rPr>
          <w:color w:val="000000" w:themeColor="text1"/>
          <w14:textFill>
            <w14:solidFill>
              <w14:schemeClr w14:val="tx1"/>
            </w14:solidFill>
          </w14:textFill>
        </w:rPr>
      </w:pPr>
      <w:r>
        <w:rPr>
          <w:rFonts w:hint="eastAsia"/>
          <w:color w:val="000000" w:themeColor="text1"/>
          <w14:textFill>
            <w14:solidFill>
              <w14:schemeClr w14:val="tx1"/>
            </w14:solidFill>
          </w14:textFill>
        </w:rPr>
        <w:t>9号10号泊位已经按照要求配置了基础船舶溢油应急设施，周边应急能力和其他配套设施较完善。为尽量减少溢油对敏感目标的危害，应做好风险管理，尽最大可能杜绝溢油事故的发生；制订完善的事故应急预案，并充分与钦州港等海域环境风险事故应急体系联动降低船舶溢油环境风险事故的影响。</w:t>
      </w:r>
    </w:p>
    <w:bookmarkEnd w:id="371"/>
    <w:p>
      <w:pPr>
        <w:pStyle w:val="4"/>
        <w:rPr>
          <w:color w:val="000000" w:themeColor="text1"/>
          <w14:textFill>
            <w14:solidFill>
              <w14:schemeClr w14:val="tx1"/>
            </w14:solidFill>
          </w14:textFill>
        </w:rPr>
      </w:pPr>
      <w:bookmarkStart w:id="372" w:name="_Toc170918634"/>
      <w:r>
        <w:rPr>
          <w:color w:val="000000" w:themeColor="text1"/>
          <w14:textFill>
            <w14:solidFill>
              <w14:schemeClr w14:val="tx1"/>
            </w14:solidFill>
          </w14:textFill>
        </w:rPr>
        <w:t>公众参与</w:t>
      </w:r>
      <w:bookmarkEnd w:id="355"/>
      <w:bookmarkEnd w:id="356"/>
      <w:bookmarkEnd w:id="372"/>
    </w:p>
    <w:p>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建设单位于2023年11月6日委托我单位开展北部湾港钦州港域大榄坪港区大榄坪南作业区9号10号泊位扩建工程环境影响报告书编制。在接受环评委托后的第5个工作日，即2023年11月7日，在生态环境公示网（</w:t>
      </w:r>
      <w:r>
        <w:fldChar w:fldCharType="begin"/>
      </w:r>
      <w:r>
        <w:instrText xml:space="preserve"> HYPERLINK "https://gongshi.qsyhbgj.com/" </w:instrText>
      </w:r>
      <w:r>
        <w:fldChar w:fldCharType="separate"/>
      </w:r>
      <w:r>
        <w:rPr>
          <w:rStyle w:val="144"/>
          <w:rFonts w:eastAsia="宋体" w:cs="Times New Roman"/>
          <w:b w:val="0"/>
          <w:color w:val="000000" w:themeColor="text1"/>
          <w:sz w:val="24"/>
          <w:szCs w:val="24"/>
          <w14:textFill>
            <w14:solidFill>
              <w14:schemeClr w14:val="tx1"/>
            </w14:solidFill>
          </w14:textFill>
        </w:rPr>
        <w:t>环保小智 (qsyhbgj.com)</w:t>
      </w:r>
      <w:r>
        <w:rPr>
          <w:rStyle w:val="144"/>
          <w:rFonts w:eastAsia="宋体" w:cs="Times New Roman"/>
          <w:b w:val="0"/>
          <w:color w:val="000000" w:themeColor="text1"/>
          <w:sz w:val="24"/>
          <w:szCs w:val="24"/>
          <w14:textFill>
            <w14:solidFill>
              <w14:schemeClr w14:val="tx1"/>
            </w14:solidFill>
          </w14:textFill>
        </w:rPr>
        <w:fldChar w:fldCharType="end"/>
      </w:r>
      <w:r>
        <w:rPr>
          <w:rFonts w:hint="eastAsia"/>
          <w:color w:val="000000" w:themeColor="text1"/>
          <w14:textFill>
            <w14:solidFill>
              <w14:schemeClr w14:val="tx1"/>
            </w14:solidFill>
          </w14:textFill>
        </w:rPr>
        <w:t>）做第一次项目环评信息公示，公示时间为10个工作日，公示内容为项目建设地点、工程概况、公众参与主要内容、公众参与的方式以及环评单位的联系方式等。</w:t>
      </w:r>
    </w:p>
    <w:p>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环评文件编制完成后，于2023年12月20日在生态环境公示网（</w:t>
      </w:r>
      <w:r>
        <w:fldChar w:fldCharType="begin"/>
      </w:r>
      <w:r>
        <w:instrText xml:space="preserve"> HYPERLINK "https://gongshi.qsyhbgj.com/" </w:instrText>
      </w:r>
      <w:r>
        <w:fldChar w:fldCharType="separate"/>
      </w:r>
      <w:r>
        <w:rPr>
          <w:rStyle w:val="144"/>
          <w:rFonts w:eastAsia="宋体" w:cs="Times New Roman"/>
          <w:b w:val="0"/>
          <w:color w:val="000000" w:themeColor="text1"/>
          <w:sz w:val="24"/>
          <w:szCs w:val="24"/>
          <w14:textFill>
            <w14:solidFill>
              <w14:schemeClr w14:val="tx1"/>
            </w14:solidFill>
          </w14:textFill>
        </w:rPr>
        <w:t>环保小智 (qsyhbgj.com)</w:t>
      </w:r>
      <w:r>
        <w:rPr>
          <w:rStyle w:val="144"/>
          <w:rFonts w:eastAsia="宋体" w:cs="Times New Roman"/>
          <w:b w:val="0"/>
          <w:color w:val="000000" w:themeColor="text1"/>
          <w:sz w:val="24"/>
          <w:szCs w:val="24"/>
          <w14:textFill>
            <w14:solidFill>
              <w14:schemeClr w14:val="tx1"/>
            </w14:solidFill>
          </w14:textFill>
        </w:rPr>
        <w:fldChar w:fldCharType="end"/>
      </w:r>
      <w:r>
        <w:rPr>
          <w:rFonts w:hint="eastAsia"/>
          <w:color w:val="000000" w:themeColor="text1"/>
          <w14:textFill>
            <w14:solidFill>
              <w14:schemeClr w14:val="tx1"/>
            </w14:solidFill>
          </w14:textFill>
        </w:rPr>
        <w:t>）上做第二次项目环评信息公示，公示时间为10个工作日，并于12月25日、12月26日在报纸公示。</w:t>
      </w:r>
    </w:p>
    <w:p>
      <w:pPr>
        <w:pStyle w:val="283"/>
        <w:ind w:firstLine="462"/>
        <w:rPr>
          <w:color w:val="000000" w:themeColor="text1"/>
          <w14:textFill>
            <w14:solidFill>
              <w14:schemeClr w14:val="tx1"/>
            </w14:solidFill>
          </w14:textFill>
        </w:rPr>
      </w:pPr>
      <w:r>
        <w:rPr>
          <w:color w:val="000000" w:themeColor="text1"/>
          <w14:textFill>
            <w14:solidFill>
              <w14:schemeClr w14:val="tx1"/>
            </w14:solidFill>
          </w14:textFill>
        </w:rPr>
        <w:t>公示期间未收到任何相关单位或个人发来意见和建议。</w:t>
      </w:r>
    </w:p>
    <w:p>
      <w:pPr>
        <w:pStyle w:val="4"/>
        <w:rPr>
          <w:color w:val="000000" w:themeColor="text1"/>
          <w14:textFill>
            <w14:solidFill>
              <w14:schemeClr w14:val="tx1"/>
            </w14:solidFill>
          </w14:textFill>
        </w:rPr>
      </w:pPr>
      <w:bookmarkStart w:id="373" w:name="_Toc313461121"/>
      <w:bookmarkStart w:id="374" w:name="_Toc317003580"/>
      <w:bookmarkStart w:id="375" w:name="_Toc170918635"/>
      <w:bookmarkStart w:id="376" w:name="_Toc317003300"/>
      <w:r>
        <w:rPr>
          <w:color w:val="000000" w:themeColor="text1"/>
          <w14:textFill>
            <w14:solidFill>
              <w14:schemeClr w14:val="tx1"/>
            </w14:solidFill>
          </w14:textFill>
        </w:rPr>
        <w:t>评价总结论</w:t>
      </w:r>
      <w:bookmarkEnd w:id="373"/>
      <w:bookmarkEnd w:id="374"/>
      <w:bookmarkEnd w:id="375"/>
      <w:bookmarkEnd w:id="376"/>
    </w:p>
    <w:p>
      <w:pPr>
        <w:pStyle w:val="283"/>
        <w:ind w:firstLine="462"/>
        <w:rPr>
          <w:color w:val="000000" w:themeColor="text1"/>
          <w14:textFill>
            <w14:solidFill>
              <w14:schemeClr w14:val="tx1"/>
            </w14:solidFill>
          </w14:textFill>
        </w:rPr>
      </w:pPr>
      <w:r>
        <w:rPr>
          <w:color w:val="000000" w:themeColor="text1"/>
          <w14:textFill>
            <w14:solidFill>
              <w14:schemeClr w14:val="tx1"/>
            </w14:solidFill>
          </w14:textFill>
        </w:rPr>
        <w:t>本工程建设符合《钦州港总体规划（2035年）》及《钦州市</w:t>
      </w:r>
      <w:r>
        <w:rPr>
          <w:rFonts w:hint="eastAsia"/>
          <w:color w:val="000000" w:themeColor="text1"/>
          <w14:textFill>
            <w14:solidFill>
              <w14:schemeClr w14:val="tx1"/>
            </w14:solidFill>
          </w14:textFill>
        </w:rPr>
        <w:t>国土</w:t>
      </w:r>
      <w:r>
        <w:rPr>
          <w:color w:val="000000" w:themeColor="text1"/>
          <w14:textFill>
            <w14:solidFill>
              <w14:schemeClr w14:val="tx1"/>
            </w14:solidFill>
          </w14:textFill>
        </w:rPr>
        <w:t>空间总体规划（20</w:t>
      </w:r>
      <w:r>
        <w:rPr>
          <w:rFonts w:hint="eastAsia"/>
          <w:color w:val="000000" w:themeColor="text1"/>
          <w14:textFill>
            <w14:solidFill>
              <w14:schemeClr w14:val="tx1"/>
            </w14:solidFill>
          </w14:textFill>
        </w:rPr>
        <w:t>21</w:t>
      </w:r>
      <w:r>
        <w:rPr>
          <w:color w:val="000000" w:themeColor="text1"/>
          <w14:textFill>
            <w14:solidFill>
              <w14:schemeClr w14:val="tx1"/>
            </w14:solidFill>
          </w14:textFill>
        </w:rPr>
        <w:t>-20</w:t>
      </w:r>
      <w:r>
        <w:rPr>
          <w:rFonts w:hint="eastAsia"/>
          <w:color w:val="000000" w:themeColor="text1"/>
          <w14:textFill>
            <w14:solidFill>
              <w14:schemeClr w14:val="tx1"/>
            </w14:solidFill>
          </w14:textFill>
        </w:rPr>
        <w:t>35</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项目主要是水域疏浚、炸礁和水工构筑物等对海水水质及海洋生态的影响，以及可能的船舶溢油环境风险，</w:t>
      </w:r>
      <w:r>
        <w:rPr>
          <w:color w:val="000000" w:themeColor="text1"/>
          <w14:textFill>
            <w14:solidFill>
              <w14:schemeClr w14:val="tx1"/>
            </w14:solidFill>
          </w14:textFill>
        </w:rPr>
        <w:t>评价</w:t>
      </w:r>
      <w:r>
        <w:rPr>
          <w:rFonts w:hint="eastAsia"/>
          <w:color w:val="000000" w:themeColor="text1"/>
          <w14:textFill>
            <w14:solidFill>
              <w14:schemeClr w14:val="tx1"/>
            </w14:solidFill>
          </w14:textFill>
        </w:rPr>
        <w:t>预测分析了项目的可能污染和生态影响，提出了</w:t>
      </w:r>
      <w:r>
        <w:rPr>
          <w:color w:val="000000" w:themeColor="text1"/>
          <w14:textFill>
            <w14:solidFill>
              <w14:schemeClr w14:val="tx1"/>
            </w14:solidFill>
          </w14:textFill>
        </w:rPr>
        <w:t>减缓影响的环境保护措施建议，这些措施在方案上具有一定的可操作性。落实上述环境保护对策措施，做到加强施工和运营期间环境管理，可使工程建设对环境的不利影响</w:t>
      </w:r>
      <w:r>
        <w:rPr>
          <w:rFonts w:hint="eastAsia"/>
          <w:color w:val="000000" w:themeColor="text1"/>
          <w:lang w:eastAsia="zh-CN"/>
          <w14:textFill>
            <w14:solidFill>
              <w14:schemeClr w14:val="tx1"/>
            </w14:solidFill>
          </w14:textFill>
        </w:rPr>
        <w:t>得到较好的</w:t>
      </w:r>
      <w:r>
        <w:rPr>
          <w:color w:val="000000" w:themeColor="text1"/>
          <w14:textFill>
            <w14:solidFill>
              <w14:schemeClr w14:val="tx1"/>
            </w14:solidFill>
          </w14:textFill>
        </w:rPr>
        <w:t>控制。</w:t>
      </w:r>
    </w:p>
    <w:p>
      <w:pPr>
        <w:pStyle w:val="283"/>
        <w:ind w:firstLine="462"/>
        <w:rPr>
          <w:color w:val="000000" w:themeColor="text1"/>
          <w14:textFill>
            <w14:solidFill>
              <w14:schemeClr w14:val="tx1"/>
            </w14:solidFill>
          </w14:textFill>
        </w:rPr>
      </w:pPr>
      <w:r>
        <w:rPr>
          <w:color w:val="000000" w:themeColor="text1"/>
          <w14:textFill>
            <w14:solidFill>
              <w14:schemeClr w14:val="tx1"/>
            </w14:solidFill>
          </w14:textFill>
        </w:rPr>
        <w:t>项目建成运营的社会效益明显，在评价所提出的环保措施、环保投资有效落实情况下，项目建设和</w:t>
      </w:r>
      <w:r>
        <w:rPr>
          <w:rFonts w:hint="eastAsia"/>
          <w:color w:val="000000" w:themeColor="text1"/>
          <w14:textFill>
            <w14:solidFill>
              <w14:schemeClr w14:val="tx1"/>
            </w14:solidFill>
          </w14:textFill>
        </w:rPr>
        <w:t>运营</w:t>
      </w:r>
      <w:r>
        <w:rPr>
          <w:color w:val="000000" w:themeColor="text1"/>
          <w14:textFill>
            <w14:solidFill>
              <w14:schemeClr w14:val="tx1"/>
            </w14:solidFill>
          </w14:textFill>
        </w:rPr>
        <w:t>可为环境所接受。综上所述，</w:t>
      </w:r>
      <w:r>
        <w:rPr>
          <w:rFonts w:hint="eastAsia"/>
          <w:color w:val="000000" w:themeColor="text1"/>
          <w14:textFill>
            <w14:solidFill>
              <w14:schemeClr w14:val="tx1"/>
            </w14:solidFill>
          </w14:textFill>
        </w:rPr>
        <w:t>大榄坪南作业区</w:t>
      </w:r>
      <w:r>
        <w:rPr>
          <w:color w:val="000000" w:themeColor="text1"/>
          <w14:textFill>
            <w14:solidFill>
              <w14:schemeClr w14:val="tx1"/>
            </w14:solidFill>
          </w14:textFill>
        </w:rPr>
        <w:t>9</w:t>
      </w:r>
      <w:r>
        <w:rPr>
          <w:rFonts w:hint="eastAsia"/>
          <w:color w:val="000000" w:themeColor="text1"/>
          <w14:textFill>
            <w14:solidFill>
              <w14:schemeClr w14:val="tx1"/>
            </w14:solidFill>
          </w14:textFill>
        </w:rPr>
        <w:t>号</w:t>
      </w:r>
      <w:r>
        <w:rPr>
          <w:color w:val="000000" w:themeColor="text1"/>
          <w14:textFill>
            <w14:solidFill>
              <w14:schemeClr w14:val="tx1"/>
            </w14:solidFill>
          </w14:textFill>
        </w:rPr>
        <w:t>10</w:t>
      </w:r>
      <w:r>
        <w:rPr>
          <w:rFonts w:hint="eastAsia"/>
          <w:color w:val="000000" w:themeColor="text1"/>
          <w14:textFill>
            <w14:solidFill>
              <w14:schemeClr w14:val="tx1"/>
            </w14:solidFill>
          </w14:textFill>
        </w:rPr>
        <w:t>号泊位扩建工程的建设从环境保护的角度是可行的。</w:t>
      </w:r>
    </w:p>
    <w:p>
      <w:pPr>
        <w:pStyle w:val="283"/>
        <w:ind w:firstLine="462"/>
        <w:rPr>
          <w:color w:val="000000" w:themeColor="text1"/>
          <w14:textFill>
            <w14:solidFill>
              <w14:schemeClr w14:val="tx1"/>
            </w14:solidFill>
          </w14:textFill>
        </w:rPr>
        <w:sectPr>
          <w:headerReference r:id="rId29" w:type="even"/>
          <w:pgSz w:w="11906" w:h="16838"/>
          <w:pgMar w:top="1440" w:right="1514" w:bottom="1440" w:left="1797" w:header="992" w:footer="992" w:gutter="284"/>
          <w:pgNumType w:fmt="numberInDash"/>
          <w:cols w:space="425" w:num="1"/>
          <w:docGrid w:type="linesAndChars" w:linePitch="465" w:charSpace="-1872"/>
        </w:sectPr>
      </w:pPr>
    </w:p>
    <w:p>
      <w:pPr>
        <w:ind w:firstLine="2838" w:firstLineChars="200"/>
        <w:rPr>
          <w:rFonts w:eastAsia="黑体"/>
          <w:color w:val="000000" w:themeColor="text1"/>
          <w:sz w:val="144"/>
          <w:szCs w:val="144"/>
          <w14:textFill>
            <w14:solidFill>
              <w14:schemeClr w14:val="tx1"/>
            </w14:solidFill>
          </w14:textFill>
        </w:rPr>
      </w:pPr>
    </w:p>
    <w:p>
      <w:pPr>
        <w:ind w:firstLine="2838" w:firstLineChars="200"/>
        <w:rPr>
          <w:rFonts w:eastAsia="黑体"/>
          <w:color w:val="000000" w:themeColor="text1"/>
          <w:sz w:val="144"/>
          <w:szCs w:val="144"/>
          <w14:textFill>
            <w14:solidFill>
              <w14:schemeClr w14:val="tx1"/>
            </w14:solidFill>
          </w14:textFill>
        </w:rPr>
      </w:pPr>
    </w:p>
    <w:p>
      <w:pPr>
        <w:rPr>
          <w:color w:val="000000" w:themeColor="text1"/>
          <w:lang w:val="zh-CN"/>
          <w14:textFill>
            <w14:solidFill>
              <w14:schemeClr w14:val="tx1"/>
            </w14:solidFill>
          </w14:textFill>
        </w:rPr>
      </w:pPr>
      <w:r>
        <w:rPr>
          <w:rFonts w:eastAsia="黑体"/>
          <w:color w:val="000000" w:themeColor="text1"/>
          <w:sz w:val="144"/>
          <w:szCs w:val="144"/>
          <w:shd w:val="pct10" w:color="auto" w:fill="FFFFFF"/>
          <w14:textFill>
            <w14:solidFill>
              <w14:schemeClr w14:val="tx1"/>
            </w14:solidFill>
          </w14:textFill>
        </w:rPr>
        <w:t>附图、附件</w:t>
      </w:r>
    </w:p>
    <w:p>
      <w:pPr>
        <w:pStyle w:val="272"/>
        <w:spacing w:line="240" w:lineRule="auto"/>
        <w:ind w:firstLine="438" w:firstLineChars="200"/>
        <w:jc w:val="both"/>
        <w:rPr>
          <w:color w:val="000000" w:themeColor="text1"/>
          <w14:textFill>
            <w14:solidFill>
              <w14:schemeClr w14:val="tx1"/>
            </w14:solidFill>
          </w14:textFill>
        </w:rPr>
      </w:pPr>
    </w:p>
    <w:sectPr>
      <w:headerReference r:id="rId30" w:type="first"/>
      <w:footerReference r:id="rId31" w:type="first"/>
      <w:type w:val="oddPage"/>
      <w:pgSz w:w="11907" w:h="16840"/>
      <w:pgMar w:top="1440" w:right="1514" w:bottom="1440" w:left="1797" w:header="992" w:footer="992" w:gutter="284"/>
      <w:cols w:space="425" w:num="1"/>
      <w:titlePg/>
      <w:docGrid w:type="linesAndChars" w:linePitch="326" w:charSpace="-4355"/>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EFF" w:usb1="C000785B" w:usb2="00000009" w:usb3="00000000" w:csb0="400001FF" w:csb1="FFFF0000"/>
  </w:font>
  <w:font w:name="宋体">
    <w:panose1 w:val="02010600030101010101"/>
    <w:charset w:val="7A"/>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Calibri Light">
    <w:panose1 w:val="020F0302020204030204"/>
    <w:charset w:val="00"/>
    <w:family w:val="auto"/>
    <w:pitch w:val="default"/>
    <w:sig w:usb0="E4002EFF" w:usb1="C000247B" w:usb2="00000009" w:usb3="00000000" w:csb0="200001FF" w:csb1="00000000"/>
  </w:font>
  <w:font w:name="楷体">
    <w:panose1 w:val="02010609060101010101"/>
    <w:charset w:val="86"/>
    <w:family w:val="auto"/>
    <w:pitch w:val="default"/>
    <w:sig w:usb0="800002BF" w:usb1="38CF7CFA" w:usb2="00000016" w:usb3="00000000" w:csb0="00040001" w:csb1="00000000"/>
  </w:font>
  <w:font w:name="仿宋_GB2312">
    <w:panose1 w:val="02010609030101010101"/>
    <w:charset w:val="86"/>
    <w:family w:val="auto"/>
    <w:pitch w:val="default"/>
    <w:sig w:usb0="00000001" w:usb1="080E0000" w:usb2="00000000" w:usb3="00000000" w:csb0="00040000" w:csb1="00000000"/>
  </w:font>
  <w:font w:name="方正小标宋简体">
    <w:panose1 w:val="03000509000000000000"/>
    <w:charset w:val="86"/>
    <w:family w:val="auto"/>
    <w:pitch w:val="default"/>
    <w:sig w:usb0="00000001" w:usb1="080E0000" w:usb2="00000000" w:usb3="00000000" w:csb0="00040000" w:csb1="00000000"/>
  </w:font>
  <w:font w:name="幼圆">
    <w:panose1 w:val="02010509060101010101"/>
    <w:charset w:val="86"/>
    <w:family w:val="modern"/>
    <w:pitch w:val="default"/>
    <w:sig w:usb0="00000001" w:usb1="080E0000" w:usb2="00000000" w:usb3="00000000" w:csb0="00040000" w:csb1="00000000"/>
  </w:font>
  <w:font w:name="楷体_GB2312">
    <w:panose1 w:val="02010609030101010101"/>
    <w:charset w:val="86"/>
    <w:family w:val="modern"/>
    <w:pitch w:val="default"/>
    <w:sig w:usb0="00000001" w:usb1="080E0000" w:usb2="00000000" w:usb3="00000000" w:csb0="00040000" w:csb1="00000000"/>
  </w:font>
  <w:font w:name="Arial Unicode MS">
    <w:panose1 w:val="020B0604020202020204"/>
    <w:charset w:val="86"/>
    <w:family w:val="swiss"/>
    <w:pitch w:val="default"/>
    <w:sig w:usb0="FFFFFFFF" w:usb1="E9FFFFFF" w:usb2="0000003F" w:usb3="00000000" w:csb0="603F01FF" w:csb1="FFFF0000"/>
  </w:font>
  <w:font w:name="CG Times (WN)">
    <w:altName w:val="Times New Roman"/>
    <w:panose1 w:val="00000000000000000000"/>
    <w:charset w:val="00"/>
    <w:family w:val="roman"/>
    <w:pitch w:val="default"/>
    <w:sig w:usb0="00000000" w:usb1="00000000" w:usb2="00000000" w:usb3="00000000" w:csb0="00000001" w:csb1="00000000"/>
  </w:font>
  <w:font w:name="Tahoma">
    <w:panose1 w:val="020B0604030504040204"/>
    <w:charset w:val="00"/>
    <w:family w:val="swiss"/>
    <w:pitch w:val="default"/>
    <w:sig w:usb0="E1002EFF" w:usb1="C000605B" w:usb2="00000029" w:usb3="00000000" w:csb0="200101FF" w:csb1="20280000"/>
  </w:font>
  <w:font w:name="Century">
    <w:panose1 w:val="02040604050505020304"/>
    <w:charset w:val="00"/>
    <w:family w:val="roman"/>
    <w:pitch w:val="default"/>
    <w:sig w:usb0="00000287" w:usb1="00000000" w:usb2="00000000" w:usb3="00000000" w:csb0="2000009F" w:csb1="DFD70000"/>
  </w:font>
  <w:font w:name="仿宋体">
    <w:altName w:val="宋体"/>
    <w:panose1 w:val="00000000000000000000"/>
    <w:charset w:val="86"/>
    <w:family w:val="roman"/>
    <w:pitch w:val="default"/>
    <w:sig w:usb0="00000000" w:usb1="00000000" w:usb2="00000010" w:usb3="00000000" w:csb0="00040000" w:csb1="00000000"/>
  </w:font>
  <w:font w:name="方正宋体_GB18030">
    <w:altName w:val="宋体"/>
    <w:panose1 w:val="00000000000000000000"/>
    <w:charset w:val="86"/>
    <w:family w:val="script"/>
    <w:pitch w:val="default"/>
    <w:sig w:usb0="00000000" w:usb1="00000000" w:usb2="00000010" w:usb3="00000000" w:csb0="003C0041" w:csb1="00000000"/>
  </w:font>
  <w:font w:name="华文中宋">
    <w:panose1 w:val="02010600040101010101"/>
    <w:charset w:val="86"/>
    <w:family w:val="auto"/>
    <w:pitch w:val="default"/>
    <w:sig w:usb0="00000287" w:usb1="080F0000" w:usb2="00000000" w:usb3="00000000" w:csb0="0004009F" w:csb1="DFD70000"/>
  </w:font>
  <w:font w:name="Cambria">
    <w:panose1 w:val="02040503050406030204"/>
    <w:charset w:val="00"/>
    <w:family w:val="roman"/>
    <w:pitch w:val="default"/>
    <w:sig w:usb0="E00006FF" w:usb1="420024FF" w:usb2="02000000" w:usb3="00000000" w:csb0="2000019F" w:csb1="00000000"/>
  </w:font>
  <w:font w:name="隶书">
    <w:panose1 w:val="02010509060101010101"/>
    <w:charset w:val="86"/>
    <w:family w:val="modern"/>
    <w:pitch w:val="default"/>
    <w:sig w:usb0="00000001" w:usb1="080E0000" w:usb2="00000000" w:usb3="00000000" w:csb0="00040000" w:csb1="00000000"/>
  </w:font>
  <w:font w:name="汉鼎简书宋">
    <w:altName w:val="宋体"/>
    <w:panose1 w:val="00000000000000000000"/>
    <w:charset w:val="86"/>
    <w:family w:val="modern"/>
    <w:pitch w:val="default"/>
    <w:sig w:usb0="00000000" w:usb1="00000000" w:usb2="00000010" w:usb3="00000000" w:csb0="00040000" w:csb1="00000000"/>
  </w:font>
  <w:font w:name="Verdana">
    <w:panose1 w:val="020B0604030504040204"/>
    <w:charset w:val="00"/>
    <w:family w:val="swiss"/>
    <w:pitch w:val="default"/>
    <w:sig w:usb0="A00006FF" w:usb1="4000205B" w:usb2="00000010" w:usb3="00000000" w:csb0="2000019F" w:csb1="00000000"/>
  </w:font>
  <w:font w:name="Garamond">
    <w:panose1 w:val="02020404030301010803"/>
    <w:charset w:val="00"/>
    <w:family w:val="roman"/>
    <w:pitch w:val="default"/>
    <w:sig w:usb0="00000287" w:usb1="00000000" w:usb2="00000000" w:usb3="00000000" w:csb0="0000009F" w:csb1="DFD70000"/>
  </w:font>
  <w:font w:name="仿宋">
    <w:panose1 w:val="02010609060101010101"/>
    <w:charset w:val="86"/>
    <w:family w:val="modern"/>
    <w:pitch w:val="default"/>
    <w:sig w:usb0="800002BF" w:usb1="38CF7CFA" w:usb2="00000016" w:usb3="00000000" w:csb0="00040001" w:csb1="00000000"/>
  </w:font>
  <w:font w:name="等线">
    <w:panose1 w:val="02010600030101010101"/>
    <w:charset w:val="86"/>
    <w:family w:val="auto"/>
    <w:pitch w:val="default"/>
    <w:sig w:usb0="A00002BF" w:usb1="38CF7CFA" w:usb2="00000016" w:usb3="00000000" w:csb0="0004000F" w:csb1="00000000"/>
  </w:font>
  <w:font w:name="Arial Narrow">
    <w:panose1 w:val="020B0606020202030204"/>
    <w:charset w:val="00"/>
    <w:family w:val="swiss"/>
    <w:pitch w:val="default"/>
    <w:sig w:usb0="00000287" w:usb1="00000800" w:usb2="00000000" w:usb3="00000000" w:csb0="2000009F" w:csb1="DFD70000"/>
  </w:font>
  <w:font w:name="ˎ̥">
    <w:altName w:val="Times New Roman"/>
    <w:panose1 w:val="00000000000000000000"/>
    <w:charset w:val="00"/>
    <w:family w:val="roman"/>
    <w:pitch w:val="default"/>
    <w:sig w:usb0="00000000" w:usb1="00000000" w:usb2="00000000" w:usb3="00000000" w:csb0="00040001" w:csb1="00000000"/>
  </w:font>
  <w:font w:name="华文细黑">
    <w:panose1 w:val="02010600040101010101"/>
    <w:charset w:val="86"/>
    <w:family w:val="auto"/>
    <w:pitch w:val="default"/>
    <w:sig w:usb0="00000287" w:usb1="080F0000" w:usb2="00000000" w:usb3="00000000" w:csb0="0004009F" w:csb1="DFD70000"/>
  </w:font>
  <w:font w:name="Century Gothic">
    <w:panose1 w:val="020B0502020202020204"/>
    <w:charset w:val="00"/>
    <w:family w:val="swiss"/>
    <w:pitch w:val="default"/>
    <w:sig w:usb0="00000287" w:usb1="00000000" w:usb2="00000000" w:usb3="00000000" w:csb0="2000009F" w:csb1="DFD70000"/>
  </w:font>
  <w:font w:name="Plotter">
    <w:altName w:val="Times New Roman"/>
    <w:panose1 w:val="00000000000000000000"/>
    <w:charset w:val="00"/>
    <w:family w:val="roman"/>
    <w:pitch w:val="default"/>
    <w:sig w:usb0="00000000" w:usb1="00000000" w:usb2="00000000" w:usb3="00000000" w:csb0="00000001" w:csb1="00000000"/>
  </w:font>
  <w:font w:name="Times (PCL6)">
    <w:altName w:val="Times New Roman"/>
    <w:panose1 w:val="00000000000000000000"/>
    <w:charset w:val="00"/>
    <w:family w:val="roman"/>
    <w:pitch w:val="default"/>
    <w:sig w:usb0="00000000" w:usb1="00000000" w:usb2="00000000" w:usb3="00000000" w:csb0="00000001" w:csb1="00000000"/>
  </w:font>
  <w:font w:name="华文楷体">
    <w:panose1 w:val="02010600040101010101"/>
    <w:charset w:val="86"/>
    <w:family w:val="auto"/>
    <w:pitch w:val="default"/>
    <w:sig w:usb0="00000287" w:usb1="080F0000" w:usb2="00000000" w:usb3="00000000" w:csb0="0004009F" w:csb1="DFD70000"/>
  </w:font>
  <w:font w:name="Vladimir Script">
    <w:panose1 w:val="03050402040407070305"/>
    <w:charset w:val="00"/>
    <w:family w:val="script"/>
    <w:pitch w:val="default"/>
    <w:sig w:usb0="00000003" w:usb1="00000000" w:usb2="00000000" w:usb3="00000000" w:csb0="20000001" w:csb1="00000000"/>
  </w:font>
  <w:font w:name="MS Mincho">
    <w:panose1 w:val="02020609040205080304"/>
    <w:charset w:val="80"/>
    <w:family w:val="modern"/>
    <w:pitch w:val="default"/>
    <w:sig w:usb0="A00002BF" w:usb1="68C7FCFB" w:usb2="00000010" w:usb3="00000000" w:csb0="4002009F" w:csb1="DFD70000"/>
  </w:font>
  <w:font w:name="Tms Rmn">
    <w:altName w:val="Times New Roman"/>
    <w:panose1 w:val="02020603040505020304"/>
    <w:charset w:val="00"/>
    <w:family w:val="roman"/>
    <w:pitch w:val="default"/>
    <w:sig w:usb0="00000000" w:usb1="00000000" w:usb2="00000000" w:usb3="00000000" w:csb0="00000001" w:csb1="00000000"/>
  </w:font>
  <w:font w:name="D`a c N%">
    <w:altName w:val="Times New Roman"/>
    <w:panose1 w:val="00000000000000000000"/>
    <w:charset w:val="00"/>
    <w:family w:val="roman"/>
    <w:pitch w:val="default"/>
    <w:sig w:usb0="00000000" w:usb1="00000000" w:usb2="00000000" w:usb3="00000000" w:csb0="00000063" w:csb1="00000000"/>
  </w:font>
  <w:font w:name="MingLiU">
    <w:altName w:val="PMingLiU-ExtB"/>
    <w:panose1 w:val="02020509000000000000"/>
    <w:charset w:val="88"/>
    <w:family w:val="modern"/>
    <w:pitch w:val="default"/>
    <w:sig w:usb0="00000000" w:usb1="00000000" w:usb2="00000016" w:usb3="00000000" w:csb0="00100001" w:csb1="00000000"/>
  </w:font>
  <w:font w:name="华文新魏">
    <w:panose1 w:val="02010800040101010101"/>
    <w:charset w:val="86"/>
    <w:family w:val="auto"/>
    <w:pitch w:val="default"/>
    <w:sig w:usb0="00000001" w:usb1="080F0000" w:usb2="00000000" w:usb3="00000000" w:csb0="00040000" w:csb1="00000000"/>
  </w:font>
  <w:font w:name="Microsoft YaHei UI">
    <w:panose1 w:val="020B0503020204020204"/>
    <w:charset w:val="86"/>
    <w:family w:val="swiss"/>
    <w:pitch w:val="default"/>
    <w:sig w:usb0="80000287" w:usb1="2ACF3C50" w:usb2="00000016" w:usb3="00000000" w:csb0="0004001F" w:csb1="00000000"/>
  </w:font>
  <w:font w:name="MS Sans Serif">
    <w:altName w:val="Arial"/>
    <w:panose1 w:val="00000000000000000000"/>
    <w:charset w:val="00"/>
    <w:family w:val="swiss"/>
    <w:pitch w:val="default"/>
    <w:sig w:usb0="00000000" w:usb1="00000000" w:usb2="00000000" w:usb3="00000000" w:csb0="00000001" w:csb1="00000000"/>
  </w:font>
  <w:font w:name="等线 Light">
    <w:panose1 w:val="02010600030101010101"/>
    <w:charset w:val="86"/>
    <w:family w:val="auto"/>
    <w:pitch w:val="default"/>
    <w:sig w:usb0="A00002BF" w:usb1="38CF7CFA" w:usb2="00000016" w:usb3="00000000" w:csb0="0004000F" w:csb1="00000000"/>
  </w:font>
  <w:font w:name="方正仿宋_GBK">
    <w:panose1 w:val="03000509000000000000"/>
    <w:charset w:val="86"/>
    <w:family w:val="script"/>
    <w:pitch w:val="default"/>
    <w:sig w:usb0="00000001" w:usb1="080E0000" w:usb2="00000000" w:usb3="00000000" w:csb0="00040000" w:csb1="00000000"/>
  </w:font>
  <w:font w:name="T">
    <w:altName w:val="微软雅黑"/>
    <w:panose1 w:val="00000000000000000000"/>
    <w:charset w:val="00"/>
    <w:family w:val="roman"/>
    <w:pitch w:val="default"/>
    <w:sig w:usb0="00000000" w:usb1="00000000" w:usb2="00000804" w:usb3="00000000" w:csb0="06270001" w:csb1="0062EF54"/>
  </w:font>
  <w:font w:name="新宋体">
    <w:panose1 w:val="02010609030101010101"/>
    <w:charset w:val="86"/>
    <w:family w:val="modern"/>
    <w:pitch w:val="default"/>
    <w:sig w:usb0="00000203" w:usb1="288F0000" w:usb2="00000006" w:usb3="00000000" w:csb0="00040001" w:csb1="00000000"/>
  </w:font>
  <w:font w:name="创艺简魏碑">
    <w:altName w:val="黑体"/>
    <w:panose1 w:val="00000000000000000000"/>
    <w:charset w:val="86"/>
    <w:family w:val="auto"/>
    <w:pitch w:val="default"/>
    <w:sig w:usb0="00000000" w:usb1="00000000" w:usb2="00000010" w:usb3="00000000" w:csb0="00040000" w:csb1="00000000"/>
  </w:font>
  <w:font w:name="”“Times New Roman”“">
    <w:altName w:val="宋体"/>
    <w:panose1 w:val="00000000000000000000"/>
    <w:charset w:val="86"/>
    <w:family w:val="roman"/>
    <w:pitch w:val="default"/>
    <w:sig w:usb0="00000000" w:usb1="00000000" w:usb2="00000010" w:usb3="00000000" w:csb0="00040000" w:csb1="00000000"/>
  </w:font>
  <w:font w:name="方正宋三简体">
    <w:altName w:val="宋体"/>
    <w:panose1 w:val="00000000000000000000"/>
    <w:charset w:val="86"/>
    <w:family w:val="auto"/>
    <w:pitch w:val="default"/>
    <w:sig w:usb0="00000000" w:usb1="00000000" w:usb2="00000010" w:usb3="00000000" w:csb0="00040000" w:csb1="00000000"/>
  </w:font>
  <w:font w:name="Batang">
    <w:altName w:val="Malgun Gothic"/>
    <w:panose1 w:val="02030600000101010101"/>
    <w:charset w:val="81"/>
    <w:family w:val="roman"/>
    <w:pitch w:val="default"/>
    <w:sig w:usb0="00000000" w:usb1="00000000" w:usb2="00000030" w:usb3="00000000" w:csb0="4008009F" w:csb1="DFD70000"/>
  </w:font>
  <w:font w:name="TTE1CFADF8t00">
    <w:altName w:val="新宋体"/>
    <w:panose1 w:val="00000000000000000000"/>
    <w:charset w:val="86"/>
    <w:family w:val="swiss"/>
    <w:pitch w:val="default"/>
    <w:sig w:usb0="00000000" w:usb1="00000000" w:usb2="00000010" w:usb3="00000000" w:csb0="00040001" w:csb1="00000000"/>
  </w:font>
  <w:font w:name="MS Gothic">
    <w:panose1 w:val="020B0609070205080204"/>
    <w:charset w:val="80"/>
    <w:family w:val="modern"/>
    <w:pitch w:val="default"/>
    <w:sig w:usb0="E00002FF" w:usb1="6AC7FDFB" w:usb2="08000012" w:usb3="00000000" w:csb0="4002009F" w:csb1="DFD70000"/>
  </w:font>
  <w:font w:name="TimesNewRomanPSMT">
    <w:altName w:val="Times New Roman"/>
    <w:panose1 w:val="00000000000000000000"/>
    <w:charset w:val="86"/>
    <w:family w:val="auto"/>
    <w:pitch w:val="default"/>
    <w:sig w:usb0="00000000" w:usb1="00000000" w:usb2="00000000" w:usb3="00000000" w:csb0="00040000" w:csb1="00000000"/>
  </w:font>
  <w:font w:name="TimesNewRoman">
    <w:altName w:val="Segoe Print"/>
    <w:panose1 w:val="00000000000000000000"/>
    <w:charset w:val="00"/>
    <w:family w:val="roman"/>
    <w:pitch w:val="default"/>
    <w:sig w:usb0="00000000" w:usb1="00000000" w:usb2="00000000" w:usb3="00000000" w:csb0="00000001" w:csb1="00000000"/>
  </w:font>
  <w:font w:name="TT216o01">
    <w:altName w:val="Times New Roman"/>
    <w:panose1 w:val="00000000000000000000"/>
    <w:charset w:val="00"/>
    <w:family w:val="roman"/>
    <w:pitch w:val="default"/>
    <w:sig w:usb0="00000000" w:usb1="00000000" w:usb2="00000000" w:usb3="00000000" w:csb0="00040001" w:csb1="00000000"/>
  </w:font>
  <w:font w:name="微软雅黑">
    <w:panose1 w:val="020B0503020204020204"/>
    <w:charset w:val="86"/>
    <w:family w:val="swiss"/>
    <w:pitch w:val="default"/>
    <w:sig w:usb0="80000287" w:usb1="2ACF3C50" w:usb2="00000016" w:usb3="00000000" w:csb0="0004001F" w:csb1="00000000"/>
  </w:font>
  <w:font w:name="华文仿宋">
    <w:panose1 w:val="02010600040101010101"/>
    <w:charset w:val="86"/>
    <w:family w:val="auto"/>
    <w:pitch w:val="default"/>
    <w:sig w:usb0="00000287" w:usb1="080F0000" w:usb2="00000000" w:usb3="00000000" w:csb0="0004009F" w:csb1="DFD70000"/>
  </w:font>
  <w:font w:name="Wingdings 2">
    <w:panose1 w:val="05020102010507070707"/>
    <w:charset w:val="02"/>
    <w:family w:val="roman"/>
    <w:pitch w:val="default"/>
    <w:sig w:usb0="00000000" w:usb1="00000000" w:usb2="00000000" w:usb3="00000000" w:csb0="80000000" w:csb1="00000000"/>
  </w:font>
  <w:font w:name="Cambria Math">
    <w:panose1 w:val="02040503050406030204"/>
    <w:charset w:val="00"/>
    <w:family w:val="roman"/>
    <w:pitch w:val="default"/>
    <w:sig w:usb0="E00006FF" w:usb1="420024FF" w:usb2="02000000" w:usb3="00000000" w:csb0="2000019F" w:csb1="00000000"/>
  </w:font>
  <w:font w:name="PMingLiU-ExtB">
    <w:panose1 w:val="02020500000000000000"/>
    <w:charset w:val="88"/>
    <w:family w:val="auto"/>
    <w:pitch w:val="default"/>
    <w:sig w:usb0="8000002F" w:usb1="02000008" w:usb2="00000000" w:usb3="00000000" w:csb0="00100001" w:csb1="00000000"/>
  </w:font>
  <w:font w:name="Malgun Gothic">
    <w:panose1 w:val="020B0503020000020004"/>
    <w:charset w:val="81"/>
    <w:family w:val="auto"/>
    <w:pitch w:val="default"/>
    <w:sig w:usb0="9000002F" w:usb1="29D77CFB" w:usb2="00000012" w:usb3="00000000" w:csb0="00080001" w:csb1="00000000"/>
  </w:font>
  <w:font w:name="Segoe Print">
    <w:panose1 w:val="02000600000000000000"/>
    <w:charset w:val="00"/>
    <w:family w:val="auto"/>
    <w:pitch w:val="default"/>
    <w:sig w:usb0="0000028F" w:usb1="00000000" w:usb2="00000000" w:usb3="00000000" w:csb0="2000009F" w:csb1="4701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5"/>
      <w:jc w:val="center"/>
      <w:rPr>
        <w:sz w:val="21"/>
        <w:szCs w:val="21"/>
      </w:rPr>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621"/>
      <w:jc w:val="center"/>
    </w:pPr>
    <w:r>
      <w:rPr>
        <w:rStyle w:val="136"/>
        <w:b w:val="0"/>
        <w:sz w:val="18"/>
        <w:szCs w:val="24"/>
      </w:rPr>
      <w:fldChar w:fldCharType="begin"/>
    </w:r>
    <w:r>
      <w:rPr>
        <w:rStyle w:val="136"/>
        <w:b w:val="0"/>
        <w:sz w:val="18"/>
        <w:szCs w:val="24"/>
      </w:rPr>
      <w:instrText xml:space="preserve"> PAGE </w:instrText>
    </w:r>
    <w:r>
      <w:rPr>
        <w:rStyle w:val="136"/>
        <w:b w:val="0"/>
        <w:sz w:val="18"/>
        <w:szCs w:val="24"/>
      </w:rPr>
      <w:fldChar w:fldCharType="separate"/>
    </w:r>
    <w:r>
      <w:rPr>
        <w:rStyle w:val="136"/>
        <w:b w:val="0"/>
        <w:sz w:val="18"/>
        <w:szCs w:val="24"/>
      </w:rPr>
      <w:t>- 322 -</w:t>
    </w:r>
    <w:r>
      <w:rPr>
        <w:rStyle w:val="136"/>
        <w:b w:val="0"/>
        <w:sz w:val="18"/>
        <w:szCs w:val="24"/>
      </w:rPr>
      <w:fldChar w:fldCharType="end"/>
    </w: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5"/>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71322529"/>
    </w:sdtPr>
    <w:sdtContent>
      <w:p>
        <w:pPr>
          <w:pStyle w:val="55"/>
          <w:jc w:val="center"/>
        </w:pPr>
        <w:r>
          <w:fldChar w:fldCharType="begin"/>
        </w:r>
        <w:r>
          <w:instrText xml:space="preserve">PAGE   \* MERGEFORMAT</w:instrText>
        </w:r>
        <w:r>
          <w:fldChar w:fldCharType="separate"/>
        </w:r>
        <w:r>
          <w:rPr>
            <w:lang w:val="zh-CN"/>
          </w:rPr>
          <w:t>ii</w:t>
        </w:r>
        <w:r>
          <w:fldChar w:fldCharType="end"/>
        </w:r>
      </w:p>
    </w:sdtContent>
  </w:sdt>
  <w:p>
    <w:pPr>
      <w:pStyle w:val="55"/>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1154036710"/>
    </w:sdtPr>
    <w:sdtContent>
      <w:p>
        <w:pPr>
          <w:pStyle w:val="55"/>
          <w:jc w:val="center"/>
        </w:pPr>
        <w:r>
          <w:fldChar w:fldCharType="begin"/>
        </w:r>
        <w:r>
          <w:instrText xml:space="preserve">PAGE   \* MERGEFORMAT</w:instrText>
        </w:r>
        <w:r>
          <w:fldChar w:fldCharType="separate"/>
        </w:r>
        <w:r>
          <w:rPr>
            <w:lang w:val="zh-CN"/>
          </w:rPr>
          <w:t>i</w:t>
        </w:r>
        <w:r>
          <w:fldChar w:fldCharType="end"/>
        </w:r>
      </w:p>
    </w:sdtContent>
  </w:sdt>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1018228673"/>
    </w:sdtPr>
    <w:sdtEndPr>
      <w:rPr>
        <w:sz w:val="21"/>
        <w:szCs w:val="21"/>
      </w:rPr>
    </w:sdtEndPr>
    <w:sdtContent>
      <w:p>
        <w:pPr>
          <w:pStyle w:val="55"/>
          <w:jc w:val="center"/>
          <w:rPr>
            <w:sz w:val="21"/>
            <w:szCs w:val="21"/>
          </w:rPr>
        </w:pPr>
        <w:r>
          <w:rPr>
            <w:sz w:val="21"/>
            <w:szCs w:val="21"/>
          </w:rPr>
          <w:fldChar w:fldCharType="begin"/>
        </w:r>
        <w:r>
          <w:rPr>
            <w:sz w:val="21"/>
            <w:szCs w:val="21"/>
          </w:rPr>
          <w:instrText xml:space="preserve">PAGE   \* MERGEFORMAT</w:instrText>
        </w:r>
        <w:r>
          <w:rPr>
            <w:sz w:val="21"/>
            <w:szCs w:val="21"/>
          </w:rPr>
          <w:fldChar w:fldCharType="separate"/>
        </w:r>
        <w:r>
          <w:rPr>
            <w:sz w:val="21"/>
            <w:szCs w:val="21"/>
            <w:lang w:val="zh-CN"/>
          </w:rPr>
          <w:t>v</w:t>
        </w:r>
        <w:r>
          <w:rPr>
            <w:sz w:val="21"/>
            <w:szCs w:val="21"/>
          </w:rPr>
          <w:fldChar w:fldCharType="end"/>
        </w:r>
      </w:p>
    </w:sdtContent>
  </w:sdt>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1624953946"/>
    </w:sdtPr>
    <w:sdtEndPr>
      <w:rPr>
        <w:sz w:val="21"/>
        <w:szCs w:val="21"/>
      </w:rPr>
    </w:sdtEndPr>
    <w:sdtContent>
      <w:p>
        <w:pPr>
          <w:pStyle w:val="55"/>
          <w:jc w:val="center"/>
          <w:rPr>
            <w:sz w:val="21"/>
            <w:szCs w:val="21"/>
          </w:rPr>
        </w:pPr>
        <w:r>
          <w:rPr>
            <w:sz w:val="21"/>
            <w:szCs w:val="21"/>
          </w:rPr>
          <w:fldChar w:fldCharType="begin"/>
        </w:r>
        <w:r>
          <w:rPr>
            <w:sz w:val="21"/>
            <w:szCs w:val="21"/>
          </w:rPr>
          <w:instrText xml:space="preserve">PAGE   \* MERGEFORMAT</w:instrText>
        </w:r>
        <w:r>
          <w:rPr>
            <w:sz w:val="21"/>
            <w:szCs w:val="21"/>
          </w:rPr>
          <w:fldChar w:fldCharType="separate"/>
        </w:r>
        <w:r>
          <w:rPr>
            <w:sz w:val="21"/>
            <w:szCs w:val="21"/>
            <w:lang w:val="zh-CN"/>
          </w:rPr>
          <w:t>iv</w:t>
        </w:r>
        <w:r>
          <w:rPr>
            <w:sz w:val="21"/>
            <w:szCs w:val="21"/>
          </w:rPr>
          <w:fldChar w:fldCharType="end"/>
        </w:r>
      </w:p>
    </w:sdtContent>
  </w:sdt>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5"/>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5"/>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5"/>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621"/>
      <w:jc w:val="center"/>
      <w:rPr>
        <w:b/>
        <w:szCs w:val="24"/>
      </w:rPr>
    </w:pPr>
    <w:r>
      <w:rPr>
        <w:rStyle w:val="136"/>
        <w:b w:val="0"/>
        <w:sz w:val="18"/>
        <w:szCs w:val="24"/>
      </w:rPr>
      <w:fldChar w:fldCharType="begin"/>
    </w:r>
    <w:r>
      <w:rPr>
        <w:rStyle w:val="136"/>
        <w:b w:val="0"/>
        <w:sz w:val="18"/>
        <w:szCs w:val="24"/>
      </w:rPr>
      <w:instrText xml:space="preserve"> PAGE </w:instrText>
    </w:r>
    <w:r>
      <w:rPr>
        <w:rStyle w:val="136"/>
        <w:b w:val="0"/>
        <w:sz w:val="18"/>
        <w:szCs w:val="24"/>
      </w:rPr>
      <w:fldChar w:fldCharType="separate"/>
    </w:r>
    <w:r>
      <w:rPr>
        <w:rStyle w:val="136"/>
        <w:b w:val="0"/>
        <w:sz w:val="18"/>
        <w:szCs w:val="24"/>
      </w:rPr>
      <w:t>- 321 -</w:t>
    </w:r>
    <w:r>
      <w:rPr>
        <w:rStyle w:val="136"/>
        <w:b w:val="0"/>
        <w:sz w:val="18"/>
        <w:szCs w:val="24"/>
      </w:rPr>
      <w:fldChar w:fldCharType="end"/>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7"/>
      <w:tabs>
        <w:tab w:val="left" w:pos="7068"/>
      </w:tabs>
    </w:pPr>
    <w:r>
      <w:rPr>
        <w:rFonts w:hint="eastAsia"/>
        <w:b/>
        <w:sz w:val="21"/>
        <w:szCs w:val="21"/>
      </w:rPr>
      <w:t>钦州港大榄坪港区大榄坪南作业区9号10号泊位扩建工程环境影响报告书</w:t>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7"/>
      <w:tabs>
        <w:tab w:val="left" w:pos="7068"/>
      </w:tabs>
      <w:jc w:val="right"/>
      <w:rPr>
        <w:b/>
        <w:sz w:val="21"/>
        <w:szCs w:val="21"/>
      </w:rPr>
    </w:pPr>
    <w:r>
      <w:rPr>
        <w:rFonts w:hint="eastAsia"/>
        <w:b/>
        <w:sz w:val="21"/>
        <w:szCs w:val="21"/>
      </w:rPr>
      <w:t>2 工程概况</w:t>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7"/>
      <w:tabs>
        <w:tab w:val="left" w:pos="7068"/>
      </w:tabs>
      <w:jc w:val="right"/>
      <w:rPr>
        <w:b/>
        <w:sz w:val="21"/>
        <w:szCs w:val="21"/>
      </w:rPr>
    </w:pPr>
    <w:r>
      <w:rPr>
        <w:rFonts w:hint="eastAsia"/>
        <w:b/>
        <w:sz w:val="21"/>
        <w:szCs w:val="21"/>
      </w:rPr>
      <w:t>3 环境现状调查与评价</w:t>
    </w: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7"/>
      <w:tabs>
        <w:tab w:val="left" w:pos="7068"/>
      </w:tabs>
      <w:jc w:val="right"/>
      <w:rPr>
        <w:b/>
        <w:sz w:val="21"/>
        <w:szCs w:val="21"/>
      </w:rPr>
    </w:pPr>
    <w:r>
      <w:rPr>
        <w:rFonts w:hint="eastAsia"/>
        <w:b/>
        <w:sz w:val="21"/>
        <w:szCs w:val="21"/>
      </w:rPr>
      <w:t>4 环境影响预测与评价</w:t>
    </w: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7"/>
      <w:tabs>
        <w:tab w:val="left" w:pos="7068"/>
      </w:tabs>
      <w:jc w:val="right"/>
      <w:rPr>
        <w:b/>
        <w:sz w:val="21"/>
        <w:szCs w:val="21"/>
      </w:rPr>
    </w:pPr>
    <w:r>
      <w:rPr>
        <w:rFonts w:hint="eastAsia"/>
        <w:b/>
        <w:sz w:val="21"/>
        <w:szCs w:val="21"/>
      </w:rPr>
      <w:t>5 环境保护措施及经济可行性论证</w:t>
    </w: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7"/>
      <w:jc w:val="left"/>
      <w:rPr>
        <w:b/>
        <w:sz w:val="21"/>
        <w:szCs w:val="21"/>
      </w:rPr>
    </w:pPr>
    <w:r>
      <w:rPr>
        <w:rFonts w:hint="eastAsia"/>
        <w:b/>
        <w:sz w:val="21"/>
        <w:szCs w:val="21"/>
      </w:rPr>
      <w:t>北部湾港钦州港域大榄坪港区大榄坪南作业区9号10号泊位扩建工程环境影响报告书</w:t>
    </w: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7"/>
      <w:tabs>
        <w:tab w:val="left" w:pos="7068"/>
      </w:tabs>
      <w:jc w:val="right"/>
      <w:rPr>
        <w:b/>
        <w:sz w:val="21"/>
        <w:szCs w:val="21"/>
      </w:rPr>
    </w:pPr>
    <w:r>
      <w:rPr>
        <w:rFonts w:hint="eastAsia"/>
        <w:b/>
        <w:sz w:val="21"/>
        <w:szCs w:val="21"/>
      </w:rPr>
      <w:t>6 环境影响经济损益分析</w:t>
    </w: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7"/>
      <w:tabs>
        <w:tab w:val="left" w:pos="7068"/>
      </w:tabs>
      <w:jc w:val="right"/>
      <w:rPr>
        <w:b/>
        <w:sz w:val="21"/>
        <w:szCs w:val="21"/>
      </w:rPr>
    </w:pPr>
    <w:r>
      <w:rPr>
        <w:rFonts w:hint="eastAsia"/>
        <w:b/>
        <w:sz w:val="21"/>
        <w:szCs w:val="21"/>
      </w:rPr>
      <w:t>7 环境保护管理与环境监控计划</w:t>
    </w: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7"/>
      <w:tabs>
        <w:tab w:val="left" w:pos="7068"/>
      </w:tabs>
      <w:jc w:val="right"/>
      <w:rPr>
        <w:b/>
        <w:sz w:val="21"/>
        <w:szCs w:val="21"/>
      </w:rPr>
    </w:pPr>
    <w:r>
      <w:rPr>
        <w:rFonts w:hint="eastAsia"/>
        <w:b/>
        <w:sz w:val="21"/>
        <w:szCs w:val="21"/>
      </w:rPr>
      <w:t>8 评价结论</w:t>
    </w: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rPr>
        <w:rFonts w:eastAsia="黑体" w:cs="宋体"/>
        <w:b/>
        <w:bCs/>
        <w:color w:val="000000"/>
        <w:sz w:val="32"/>
        <w:szCs w:val="32"/>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7"/>
      <w:pBdr>
        <w:bottom w:val="none" w:color="auto" w:sz="0" w:space="0"/>
      </w:pBd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7"/>
      <w:tabs>
        <w:tab w:val="left" w:pos="7068"/>
      </w:tabs>
    </w:pPr>
    <w:r>
      <w:rPr>
        <w:rFonts w:hint="eastAsia"/>
        <w:b/>
        <w:sz w:val="21"/>
        <w:szCs w:val="21"/>
      </w:rPr>
      <w:t>北部湾港钦州港域大榄坪港区大榄坪南作业区9号10号泊位扩建工程环境影响报告书</w: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7"/>
      <w:tabs>
        <w:tab w:val="left" w:pos="7068"/>
      </w:tabs>
    </w:pPr>
    <w:r>
      <w:rPr>
        <w:rFonts w:hint="eastAsia"/>
        <w:b/>
        <w:sz w:val="21"/>
        <w:szCs w:val="21"/>
      </w:rPr>
      <w:t>北部湾港钦州港域大榄坪港区大榄坪南作业区9号10号泊位扩建工程环境影响报告书</w: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rPr>
        <w:rFonts w:eastAsia="黑体" w:cs="宋体"/>
        <w:b/>
        <w:bCs/>
        <w:color w:val="000000"/>
        <w:sz w:val="32"/>
        <w:szCs w:val="32"/>
      </w:rPr>
    </w:pPr>
    <w:r>
      <w:rPr>
        <w:rFonts w:hint="eastAsia"/>
      </w:rPr>
      <w:t xml:space="preserve">                                                     </w: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rPr>
        <w:rFonts w:eastAsia="黑体" w:cs="宋体"/>
        <w:b/>
        <w:bCs/>
        <w:color w:val="000000"/>
        <w:sz w:val="32"/>
        <w:szCs w:val="32"/>
      </w:rPr>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rPr>
        <w:rFonts w:eastAsia="黑体" w:cs="宋体"/>
        <w:b/>
        <w:bCs/>
        <w:color w:val="000000"/>
        <w:sz w:val="32"/>
        <w:szCs w:val="32"/>
      </w:rPr>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7"/>
      <w:tabs>
        <w:tab w:val="left" w:pos="7068"/>
        <w:tab w:val="right" w:pos="8312"/>
        <w:tab w:val="clear" w:pos="8306"/>
      </w:tabs>
      <w:jc w:val="left"/>
    </w:pPr>
    <w:r>
      <w:rPr>
        <w:rFonts w:hint="eastAsia"/>
        <w:b/>
        <w:sz w:val="21"/>
        <w:szCs w:val="21"/>
      </w:rPr>
      <w:t>北部湾港钦州港域大榄坪港区大榄坪南作业区9号10号泊位扩建工程环境影响报告书</w: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7"/>
      <w:tabs>
        <w:tab w:val="left" w:pos="7068"/>
      </w:tabs>
      <w:jc w:val="right"/>
      <w:rPr>
        <w:b/>
        <w:sz w:val="21"/>
        <w:szCs w:val="21"/>
      </w:rPr>
    </w:pPr>
    <w:r>
      <w:rPr>
        <w:rFonts w:hint="eastAsia"/>
        <w:b/>
        <w:sz w:val="21"/>
        <w:szCs w:val="21"/>
      </w:rPr>
      <w:t>1 总则</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FFFFFF7C"/>
    <w:lvl w:ilvl="0" w:tentative="0">
      <w:start w:val="1"/>
      <w:numFmt w:val="decimal"/>
      <w:pStyle w:val="65"/>
      <w:lvlText w:val="%1."/>
      <w:lvlJc w:val="left"/>
      <w:pPr>
        <w:tabs>
          <w:tab w:val="left" w:pos="2040"/>
        </w:tabs>
        <w:ind w:left="2040" w:leftChars="800" w:hanging="360" w:hangingChars="200"/>
      </w:pPr>
    </w:lvl>
  </w:abstractNum>
  <w:abstractNum w:abstractNumId="1">
    <w:nsid w:val="FFFFFF7D"/>
    <w:multiLevelType w:val="singleLevel"/>
    <w:tmpl w:val="FFFFFF7D"/>
    <w:lvl w:ilvl="0" w:tentative="0">
      <w:start w:val="1"/>
      <w:numFmt w:val="decimal"/>
      <w:pStyle w:val="47"/>
      <w:lvlText w:val="%1."/>
      <w:lvlJc w:val="left"/>
      <w:pPr>
        <w:tabs>
          <w:tab w:val="left" w:pos="1620"/>
        </w:tabs>
        <w:ind w:left="1620" w:leftChars="600" w:hanging="360" w:hangingChars="200"/>
      </w:pPr>
    </w:lvl>
  </w:abstractNum>
  <w:abstractNum w:abstractNumId="2">
    <w:nsid w:val="FFFFFF7F"/>
    <w:multiLevelType w:val="singleLevel"/>
    <w:tmpl w:val="FFFFFF7F"/>
    <w:lvl w:ilvl="0" w:tentative="0">
      <w:start w:val="1"/>
      <w:numFmt w:val="decimal"/>
      <w:pStyle w:val="15"/>
      <w:lvlText w:val="%1."/>
      <w:lvlJc w:val="left"/>
      <w:pPr>
        <w:tabs>
          <w:tab w:val="left" w:pos="780"/>
        </w:tabs>
        <w:ind w:left="780" w:leftChars="200" w:hanging="360" w:hangingChars="200"/>
      </w:pPr>
    </w:lvl>
  </w:abstractNum>
  <w:abstractNum w:abstractNumId="3">
    <w:nsid w:val="FFFFFF80"/>
    <w:multiLevelType w:val="singleLevel"/>
    <w:tmpl w:val="FFFFFF80"/>
    <w:lvl w:ilvl="0" w:tentative="0">
      <w:start w:val="1"/>
      <w:numFmt w:val="bullet"/>
      <w:pStyle w:val="46"/>
      <w:lvlText w:val=""/>
      <w:lvlJc w:val="left"/>
      <w:pPr>
        <w:tabs>
          <w:tab w:val="left" w:pos="2040"/>
        </w:tabs>
        <w:ind w:left="2040" w:leftChars="800" w:hanging="360" w:hangingChars="200"/>
      </w:pPr>
      <w:rPr>
        <w:rFonts w:hint="default" w:ascii="Wingdings" w:hAnsi="Wingdings"/>
      </w:rPr>
    </w:lvl>
  </w:abstractNum>
  <w:abstractNum w:abstractNumId="4">
    <w:nsid w:val="FFFFFF81"/>
    <w:multiLevelType w:val="singleLevel"/>
    <w:tmpl w:val="FFFFFF81"/>
    <w:lvl w:ilvl="0" w:tentative="0">
      <w:start w:val="1"/>
      <w:numFmt w:val="bullet"/>
      <w:pStyle w:val="18"/>
      <w:lvlText w:val=""/>
      <w:lvlJc w:val="left"/>
      <w:pPr>
        <w:tabs>
          <w:tab w:val="left" w:pos="1620"/>
        </w:tabs>
        <w:ind w:left="1620" w:leftChars="600" w:hanging="360" w:hangingChars="200"/>
      </w:pPr>
      <w:rPr>
        <w:rFonts w:hint="default" w:ascii="Wingdings" w:hAnsi="Wingdings"/>
      </w:rPr>
    </w:lvl>
  </w:abstractNum>
  <w:abstractNum w:abstractNumId="5">
    <w:nsid w:val="FFFFFF83"/>
    <w:multiLevelType w:val="singleLevel"/>
    <w:tmpl w:val="FFFFFF83"/>
    <w:lvl w:ilvl="0" w:tentative="0">
      <w:start w:val="1"/>
      <w:numFmt w:val="bullet"/>
      <w:pStyle w:val="40"/>
      <w:lvlText w:val=""/>
      <w:lvlJc w:val="left"/>
      <w:pPr>
        <w:tabs>
          <w:tab w:val="left" w:pos="780"/>
        </w:tabs>
        <w:ind w:left="780" w:leftChars="200" w:hanging="360" w:hangingChars="200"/>
      </w:pPr>
      <w:rPr>
        <w:rFonts w:hint="default" w:ascii="Wingdings" w:hAnsi="Wingdings"/>
      </w:rPr>
    </w:lvl>
  </w:abstractNum>
  <w:abstractNum w:abstractNumId="6">
    <w:nsid w:val="FFFFFF88"/>
    <w:multiLevelType w:val="singleLevel"/>
    <w:tmpl w:val="FFFFFF88"/>
    <w:lvl w:ilvl="0" w:tentative="0">
      <w:start w:val="1"/>
      <w:numFmt w:val="decimal"/>
      <w:pStyle w:val="21"/>
      <w:lvlText w:val="%1."/>
      <w:lvlJc w:val="left"/>
      <w:pPr>
        <w:tabs>
          <w:tab w:val="left" w:pos="360"/>
        </w:tabs>
        <w:ind w:left="360" w:hanging="360" w:hangingChars="200"/>
      </w:pPr>
    </w:lvl>
  </w:abstractNum>
  <w:abstractNum w:abstractNumId="7">
    <w:nsid w:val="00000009"/>
    <w:multiLevelType w:val="multilevel"/>
    <w:tmpl w:val="00000009"/>
    <w:lvl w:ilvl="0" w:tentative="0">
      <w:start w:val="1"/>
      <w:numFmt w:val="decimal"/>
      <w:pStyle w:val="2817"/>
      <w:lvlText w:val="%1"/>
      <w:lvlJc w:val="left"/>
      <w:pPr>
        <w:tabs>
          <w:tab w:val="left" w:pos="632"/>
        </w:tabs>
        <w:ind w:left="632" w:hanging="432"/>
      </w:pPr>
    </w:lvl>
    <w:lvl w:ilvl="1" w:tentative="0">
      <w:start w:val="1"/>
      <w:numFmt w:val="decimal"/>
      <w:lvlText w:val="%1.%2"/>
      <w:lvlJc w:val="left"/>
      <w:pPr>
        <w:tabs>
          <w:tab w:val="left" w:pos="776"/>
        </w:tabs>
        <w:ind w:left="776" w:hanging="576"/>
      </w:pPr>
    </w:lvl>
    <w:lvl w:ilvl="2" w:tentative="0">
      <w:start w:val="1"/>
      <w:numFmt w:val="decimal"/>
      <w:lvlText w:val="%1.%2.%3"/>
      <w:lvlJc w:val="left"/>
      <w:pPr>
        <w:tabs>
          <w:tab w:val="left" w:pos="920"/>
        </w:tabs>
        <w:ind w:left="920" w:hanging="720"/>
      </w:pPr>
      <w:rPr>
        <w:b/>
      </w:rPr>
    </w:lvl>
    <w:lvl w:ilvl="3" w:tentative="0">
      <w:start w:val="1"/>
      <w:numFmt w:val="decimal"/>
      <w:lvlText w:val="%1.%2.%3.%4"/>
      <w:lvlJc w:val="left"/>
      <w:pPr>
        <w:tabs>
          <w:tab w:val="left" w:pos="1064"/>
        </w:tabs>
        <w:ind w:left="1064" w:hanging="864"/>
      </w:pPr>
    </w:lvl>
    <w:lvl w:ilvl="4" w:tentative="0">
      <w:start w:val="1"/>
      <w:numFmt w:val="decimal"/>
      <w:lvlText w:val="%1.%2.%3.%4.%5"/>
      <w:lvlJc w:val="left"/>
      <w:pPr>
        <w:tabs>
          <w:tab w:val="left" w:pos="1208"/>
        </w:tabs>
        <w:ind w:left="1208" w:hanging="1008"/>
      </w:pPr>
    </w:lvl>
    <w:lvl w:ilvl="5" w:tentative="0">
      <w:start w:val="1"/>
      <w:numFmt w:val="decimal"/>
      <w:lvlText w:val="%1.%2.%3.%4.%5.%6"/>
      <w:lvlJc w:val="left"/>
      <w:pPr>
        <w:tabs>
          <w:tab w:val="left" w:pos="1352"/>
        </w:tabs>
        <w:ind w:left="1352" w:hanging="1152"/>
      </w:pPr>
    </w:lvl>
    <w:lvl w:ilvl="6" w:tentative="0">
      <w:start w:val="1"/>
      <w:numFmt w:val="decimal"/>
      <w:lvlText w:val="%1.%2.%3.%4.%5.%6.%7"/>
      <w:lvlJc w:val="left"/>
      <w:pPr>
        <w:tabs>
          <w:tab w:val="left" w:pos="1496"/>
        </w:tabs>
        <w:ind w:left="1496" w:hanging="1296"/>
      </w:pPr>
    </w:lvl>
    <w:lvl w:ilvl="7" w:tentative="0">
      <w:start w:val="1"/>
      <w:numFmt w:val="decimal"/>
      <w:lvlText w:val="%1.%2.%3.%4.%5.%6.%7.%8"/>
      <w:lvlJc w:val="left"/>
      <w:pPr>
        <w:tabs>
          <w:tab w:val="left" w:pos="1640"/>
        </w:tabs>
        <w:ind w:left="1640" w:hanging="1440"/>
      </w:pPr>
    </w:lvl>
    <w:lvl w:ilvl="8" w:tentative="0">
      <w:start w:val="1"/>
      <w:numFmt w:val="decimal"/>
      <w:lvlText w:val="%1.%2.%3.%4.%5.%6.%7.%8.%9"/>
      <w:lvlJc w:val="left"/>
      <w:pPr>
        <w:tabs>
          <w:tab w:val="left" w:pos="1784"/>
        </w:tabs>
        <w:ind w:left="1784" w:hanging="1584"/>
      </w:pPr>
    </w:lvl>
  </w:abstractNum>
  <w:abstractNum w:abstractNumId="8">
    <w:nsid w:val="006F4AC7"/>
    <w:multiLevelType w:val="multilevel"/>
    <w:tmpl w:val="006F4AC7"/>
    <w:lvl w:ilvl="0" w:tentative="0">
      <w:start w:val="1"/>
      <w:numFmt w:val="decimal"/>
      <w:pStyle w:val="430"/>
      <w:lvlText w:val="(%1)"/>
      <w:lvlJc w:val="left"/>
      <w:pPr>
        <w:ind w:left="882" w:hanging="420"/>
      </w:pPr>
      <w:rPr>
        <w:rFonts w:hint="default" w:ascii="Times New Roman" w:hAnsi="Times New Roman" w:cs="Times New Roman"/>
      </w:rPr>
    </w:lvl>
    <w:lvl w:ilvl="1" w:tentative="0">
      <w:start w:val="1"/>
      <w:numFmt w:val="lowerLetter"/>
      <w:lvlText w:val="%2)"/>
      <w:lvlJc w:val="left"/>
      <w:pPr>
        <w:ind w:left="1302" w:hanging="420"/>
      </w:pPr>
      <w:rPr>
        <w:rFonts w:hint="eastAsia"/>
      </w:rPr>
    </w:lvl>
    <w:lvl w:ilvl="2" w:tentative="0">
      <w:start w:val="1"/>
      <w:numFmt w:val="lowerRoman"/>
      <w:lvlText w:val="%3."/>
      <w:lvlJc w:val="right"/>
      <w:pPr>
        <w:ind w:left="1722" w:hanging="420"/>
      </w:pPr>
      <w:rPr>
        <w:rFonts w:hint="eastAsia"/>
      </w:rPr>
    </w:lvl>
    <w:lvl w:ilvl="3" w:tentative="0">
      <w:start w:val="1"/>
      <w:numFmt w:val="decimal"/>
      <w:lvlText w:val="%4."/>
      <w:lvlJc w:val="left"/>
      <w:pPr>
        <w:ind w:left="2142" w:hanging="420"/>
      </w:pPr>
      <w:rPr>
        <w:rFonts w:hint="eastAsia"/>
      </w:rPr>
    </w:lvl>
    <w:lvl w:ilvl="4" w:tentative="0">
      <w:start w:val="1"/>
      <w:numFmt w:val="lowerLetter"/>
      <w:lvlText w:val="%5)"/>
      <w:lvlJc w:val="left"/>
      <w:pPr>
        <w:ind w:left="2562" w:hanging="420"/>
      </w:pPr>
      <w:rPr>
        <w:rFonts w:hint="eastAsia"/>
      </w:rPr>
    </w:lvl>
    <w:lvl w:ilvl="5" w:tentative="0">
      <w:start w:val="1"/>
      <w:numFmt w:val="lowerRoman"/>
      <w:lvlText w:val="%6."/>
      <w:lvlJc w:val="right"/>
      <w:pPr>
        <w:ind w:left="2982" w:hanging="420"/>
      </w:pPr>
      <w:rPr>
        <w:rFonts w:hint="eastAsia"/>
      </w:rPr>
    </w:lvl>
    <w:lvl w:ilvl="6" w:tentative="0">
      <w:start w:val="1"/>
      <w:numFmt w:val="decimal"/>
      <w:lvlText w:val="%7."/>
      <w:lvlJc w:val="left"/>
      <w:pPr>
        <w:ind w:left="3402" w:hanging="420"/>
      </w:pPr>
      <w:rPr>
        <w:rFonts w:hint="eastAsia"/>
      </w:rPr>
    </w:lvl>
    <w:lvl w:ilvl="7" w:tentative="0">
      <w:start w:val="1"/>
      <w:numFmt w:val="lowerLetter"/>
      <w:lvlText w:val="%8)"/>
      <w:lvlJc w:val="left"/>
      <w:pPr>
        <w:ind w:left="3822" w:hanging="420"/>
      </w:pPr>
      <w:rPr>
        <w:rFonts w:hint="eastAsia"/>
      </w:rPr>
    </w:lvl>
    <w:lvl w:ilvl="8" w:tentative="0">
      <w:start w:val="1"/>
      <w:numFmt w:val="lowerRoman"/>
      <w:lvlText w:val="%9."/>
      <w:lvlJc w:val="right"/>
      <w:pPr>
        <w:ind w:left="4242" w:hanging="420"/>
      </w:pPr>
      <w:rPr>
        <w:rFonts w:hint="eastAsia"/>
      </w:rPr>
    </w:lvl>
  </w:abstractNum>
  <w:abstractNum w:abstractNumId="9">
    <w:nsid w:val="040A15CD"/>
    <w:multiLevelType w:val="multilevel"/>
    <w:tmpl w:val="040A15CD"/>
    <w:lvl w:ilvl="0" w:tentative="0">
      <w:start w:val="1"/>
      <w:numFmt w:val="none"/>
      <w:suff w:val="nothing"/>
      <w:lvlText w:val="　"/>
      <w:lvlJc w:val="left"/>
      <w:rPr>
        <w:rFonts w:hint="eastAsia" w:ascii="黑体" w:hAnsi="Times New Roman" w:eastAsia="黑体"/>
        <w:b w:val="0"/>
        <w:bCs w:val="0"/>
        <w:i w:val="0"/>
        <w:iCs w:val="0"/>
        <w:sz w:val="21"/>
        <w:szCs w:val="21"/>
      </w:rPr>
    </w:lvl>
    <w:lvl w:ilvl="1" w:tentative="0">
      <w:start w:val="1"/>
      <w:numFmt w:val="decimal"/>
      <w:isLgl/>
      <w:suff w:val="nothing"/>
      <w:lvlText w:val="%2　"/>
      <w:lvlJc w:val="left"/>
      <w:rPr>
        <w:rFonts w:hint="eastAsia" w:ascii="黑体" w:hAnsi="Times New Roman" w:eastAsia="黑体"/>
        <w:b w:val="0"/>
        <w:bCs w:val="0"/>
        <w:i w:val="0"/>
        <w:iCs w:val="0"/>
        <w:snapToGrid/>
        <w:spacing w:val="0"/>
        <w:w w:val="100"/>
        <w:kern w:val="21"/>
        <w:sz w:val="21"/>
        <w:szCs w:val="21"/>
      </w:rPr>
    </w:lvl>
    <w:lvl w:ilvl="2" w:tentative="0">
      <w:start w:val="1"/>
      <w:numFmt w:val="decimal"/>
      <w:pStyle w:val="499"/>
      <w:suff w:val="nothing"/>
      <w:lvlText w:val="%1%2.%3　"/>
      <w:lvlJc w:val="left"/>
      <w:rPr>
        <w:rFonts w:hint="eastAsia" w:ascii="黑体" w:hAnsi="Times New Roman" w:eastAsia="黑体"/>
        <w:b w:val="0"/>
        <w:bCs w:val="0"/>
        <w:i w:val="0"/>
        <w:iCs w:val="0"/>
        <w:sz w:val="21"/>
        <w:szCs w:val="21"/>
      </w:rPr>
    </w:lvl>
    <w:lvl w:ilvl="3" w:tentative="0">
      <w:start w:val="1"/>
      <w:numFmt w:val="decimal"/>
      <w:pStyle w:val="495"/>
      <w:suff w:val="nothing"/>
      <w:lvlText w:val="%1%2.%3.%4　"/>
      <w:lvlJc w:val="left"/>
      <w:rPr>
        <w:rFonts w:hint="eastAsia" w:ascii="黑体" w:hAnsi="Times New Roman" w:eastAsia="黑体"/>
        <w:b w:val="0"/>
        <w:bCs w:val="0"/>
        <w:i w:val="0"/>
        <w:iCs w:val="0"/>
        <w:sz w:val="21"/>
        <w:szCs w:val="21"/>
      </w:rPr>
    </w:lvl>
    <w:lvl w:ilvl="4" w:tentative="0">
      <w:start w:val="1"/>
      <w:numFmt w:val="decimal"/>
      <w:pStyle w:val="496"/>
      <w:suff w:val="nothing"/>
      <w:lvlText w:val="%1%2.%3.%4.%5　"/>
      <w:lvlJc w:val="left"/>
      <w:rPr>
        <w:rFonts w:hint="eastAsia" w:ascii="黑体" w:hAnsi="Times New Roman" w:eastAsia="黑体"/>
        <w:b w:val="0"/>
        <w:bCs w:val="0"/>
        <w:i w:val="0"/>
        <w:iCs w:val="0"/>
        <w:sz w:val="21"/>
        <w:szCs w:val="21"/>
      </w:rPr>
    </w:lvl>
    <w:lvl w:ilvl="5" w:tentative="0">
      <w:start w:val="1"/>
      <w:numFmt w:val="decimal"/>
      <w:pStyle w:val="497"/>
      <w:suff w:val="nothing"/>
      <w:lvlText w:val="%1%2.%3.%4.%5.%6　"/>
      <w:lvlJc w:val="left"/>
      <w:rPr>
        <w:rFonts w:hint="eastAsia" w:ascii="黑体" w:hAnsi="Times New Roman" w:eastAsia="黑体"/>
        <w:b w:val="0"/>
        <w:bCs w:val="0"/>
        <w:i w:val="0"/>
        <w:iCs w:val="0"/>
        <w:sz w:val="21"/>
        <w:szCs w:val="21"/>
      </w:rPr>
    </w:lvl>
    <w:lvl w:ilvl="6" w:tentative="0">
      <w:start w:val="1"/>
      <w:numFmt w:val="decimal"/>
      <w:pStyle w:val="498"/>
      <w:suff w:val="nothing"/>
      <w:lvlText w:val="%1%2.%3.%4.%5.%6.%7　"/>
      <w:lvlJc w:val="left"/>
      <w:rPr>
        <w:rFonts w:hint="eastAsia" w:ascii="黑体" w:hAnsi="Times New Roman" w:eastAsia="黑体"/>
        <w:b w:val="0"/>
        <w:bCs w:val="0"/>
        <w:i w:val="0"/>
        <w:iCs w:val="0"/>
        <w:sz w:val="21"/>
        <w:szCs w:val="21"/>
      </w:rPr>
    </w:lvl>
    <w:lvl w:ilvl="7" w:tentative="0">
      <w:start w:val="1"/>
      <w:numFmt w:val="decimal"/>
      <w:lvlText w:val="%1.%2.%3.%4.%5.%6.%7.%8"/>
      <w:lvlJc w:val="left"/>
      <w:pPr>
        <w:tabs>
          <w:tab w:val="left" w:pos="4394"/>
        </w:tabs>
        <w:ind w:left="4394" w:hanging="1418"/>
      </w:pPr>
      <w:rPr>
        <w:rFonts w:hint="eastAsia"/>
      </w:rPr>
    </w:lvl>
    <w:lvl w:ilvl="8" w:tentative="0">
      <w:start w:val="1"/>
      <w:numFmt w:val="decimal"/>
      <w:lvlText w:val="%1.%2.%3.%4.%5.%6.%7.%8.%9"/>
      <w:lvlJc w:val="left"/>
      <w:pPr>
        <w:tabs>
          <w:tab w:val="left" w:pos="5102"/>
        </w:tabs>
        <w:ind w:left="5102" w:hanging="1700"/>
      </w:pPr>
      <w:rPr>
        <w:rFonts w:hint="eastAsia"/>
      </w:rPr>
    </w:lvl>
  </w:abstractNum>
  <w:abstractNum w:abstractNumId="10">
    <w:nsid w:val="0D3D7F45"/>
    <w:multiLevelType w:val="multilevel"/>
    <w:tmpl w:val="0D3D7F45"/>
    <w:lvl w:ilvl="0" w:tentative="0">
      <w:start w:val="1"/>
      <w:numFmt w:val="decimal"/>
      <w:pStyle w:val="936"/>
      <w:lvlText w:val="(%1)"/>
      <w:lvlJc w:val="left"/>
      <w:pPr>
        <w:tabs>
          <w:tab w:val="left" w:pos="1175"/>
        </w:tabs>
        <w:ind w:left="1175" w:hanging="615"/>
      </w:pPr>
      <w:rPr>
        <w:rFonts w:hint="default"/>
      </w:rPr>
    </w:lvl>
    <w:lvl w:ilvl="1" w:tentative="0">
      <w:start w:val="1"/>
      <w:numFmt w:val="lowerLetter"/>
      <w:lvlText w:val="%2)"/>
      <w:lvlJc w:val="left"/>
      <w:pPr>
        <w:tabs>
          <w:tab w:val="left" w:pos="1400"/>
        </w:tabs>
        <w:ind w:left="1400" w:hanging="420"/>
      </w:pPr>
    </w:lvl>
    <w:lvl w:ilvl="2" w:tentative="0">
      <w:start w:val="1"/>
      <w:numFmt w:val="lowerRoman"/>
      <w:lvlText w:val="%3."/>
      <w:lvlJc w:val="right"/>
      <w:pPr>
        <w:tabs>
          <w:tab w:val="left" w:pos="1820"/>
        </w:tabs>
        <w:ind w:left="1820" w:hanging="420"/>
      </w:pPr>
    </w:lvl>
    <w:lvl w:ilvl="3" w:tentative="0">
      <w:start w:val="1"/>
      <w:numFmt w:val="decimal"/>
      <w:lvlText w:val="%4."/>
      <w:lvlJc w:val="left"/>
      <w:pPr>
        <w:tabs>
          <w:tab w:val="left" w:pos="2240"/>
        </w:tabs>
        <w:ind w:left="2240" w:hanging="420"/>
      </w:pPr>
    </w:lvl>
    <w:lvl w:ilvl="4" w:tentative="0">
      <w:start w:val="1"/>
      <w:numFmt w:val="lowerLetter"/>
      <w:lvlText w:val="%5)"/>
      <w:lvlJc w:val="left"/>
      <w:pPr>
        <w:tabs>
          <w:tab w:val="left" w:pos="2660"/>
        </w:tabs>
        <w:ind w:left="2660" w:hanging="420"/>
      </w:pPr>
    </w:lvl>
    <w:lvl w:ilvl="5" w:tentative="0">
      <w:start w:val="1"/>
      <w:numFmt w:val="lowerRoman"/>
      <w:lvlText w:val="%6."/>
      <w:lvlJc w:val="right"/>
      <w:pPr>
        <w:tabs>
          <w:tab w:val="left" w:pos="3080"/>
        </w:tabs>
        <w:ind w:left="3080" w:hanging="420"/>
      </w:pPr>
    </w:lvl>
    <w:lvl w:ilvl="6" w:tentative="0">
      <w:start w:val="1"/>
      <w:numFmt w:val="decimal"/>
      <w:lvlText w:val="%7."/>
      <w:lvlJc w:val="left"/>
      <w:pPr>
        <w:tabs>
          <w:tab w:val="left" w:pos="3500"/>
        </w:tabs>
        <w:ind w:left="3500" w:hanging="420"/>
      </w:pPr>
    </w:lvl>
    <w:lvl w:ilvl="7" w:tentative="0">
      <w:start w:val="1"/>
      <w:numFmt w:val="lowerLetter"/>
      <w:lvlText w:val="%8)"/>
      <w:lvlJc w:val="left"/>
      <w:pPr>
        <w:tabs>
          <w:tab w:val="left" w:pos="3920"/>
        </w:tabs>
        <w:ind w:left="3920" w:hanging="420"/>
      </w:pPr>
    </w:lvl>
    <w:lvl w:ilvl="8" w:tentative="0">
      <w:start w:val="1"/>
      <w:numFmt w:val="lowerRoman"/>
      <w:lvlText w:val="%9."/>
      <w:lvlJc w:val="right"/>
      <w:pPr>
        <w:tabs>
          <w:tab w:val="left" w:pos="4340"/>
        </w:tabs>
        <w:ind w:left="4340" w:hanging="420"/>
      </w:pPr>
    </w:lvl>
  </w:abstractNum>
  <w:abstractNum w:abstractNumId="11">
    <w:nsid w:val="1A747B0B"/>
    <w:multiLevelType w:val="multilevel"/>
    <w:tmpl w:val="1A747B0B"/>
    <w:lvl w:ilvl="0" w:tentative="0">
      <w:start w:val="1"/>
      <w:numFmt w:val="decimal"/>
      <w:pStyle w:val="668"/>
      <w:suff w:val="space"/>
      <w:lvlText w:val="第%1章"/>
      <w:lvlJc w:val="left"/>
      <w:pPr>
        <w:ind w:left="0" w:firstLine="0"/>
      </w:pPr>
      <w:rPr>
        <w:rFonts w:hint="default" w:ascii="Arial" w:hAnsi="Arial" w:eastAsia="宋体"/>
        <w:b/>
        <w:i w:val="0"/>
        <w:sz w:val="32"/>
        <w:szCs w:val="32"/>
      </w:rPr>
    </w:lvl>
    <w:lvl w:ilvl="1" w:tentative="0">
      <w:start w:val="1"/>
      <w:numFmt w:val="decimal"/>
      <w:pStyle w:val="663"/>
      <w:isLgl/>
      <w:suff w:val="space"/>
      <w:lvlText w:val="%1.%2"/>
      <w:lvlJc w:val="left"/>
      <w:pPr>
        <w:ind w:left="0" w:firstLine="0"/>
      </w:pPr>
      <w:rPr>
        <w:rFonts w:hint="default" w:ascii="Arial" w:hAnsi="Arial" w:eastAsia="宋体"/>
        <w:b/>
        <w:i w:val="0"/>
        <w:sz w:val="28"/>
        <w:szCs w:val="28"/>
      </w:rPr>
    </w:lvl>
    <w:lvl w:ilvl="2" w:tentative="0">
      <w:start w:val="1"/>
      <w:numFmt w:val="decimal"/>
      <w:pStyle w:val="665"/>
      <w:suff w:val="space"/>
      <w:lvlText w:val="%1.%2.%3"/>
      <w:lvlJc w:val="left"/>
      <w:pPr>
        <w:ind w:left="0" w:firstLine="0"/>
      </w:pPr>
      <w:rPr>
        <w:rFonts w:hint="default" w:ascii="Arial" w:hAnsi="Arial" w:eastAsia="宋体"/>
        <w:b/>
        <w:i w:val="0"/>
        <w:sz w:val="28"/>
        <w:szCs w:val="28"/>
      </w:rPr>
    </w:lvl>
    <w:lvl w:ilvl="3" w:tentative="0">
      <w:start w:val="1"/>
      <w:numFmt w:val="decimal"/>
      <w:pStyle w:val="666"/>
      <w:lvlText w:val="%1.%2.%3.%4"/>
      <w:lvlJc w:val="left"/>
      <w:pPr>
        <w:tabs>
          <w:tab w:val="left" w:pos="1021"/>
        </w:tabs>
        <w:ind w:left="851" w:hanging="851"/>
      </w:pPr>
      <w:rPr>
        <w:rFonts w:hint="default" w:ascii="Arial" w:hAnsi="Arial" w:eastAsia="宋体"/>
        <w:b/>
        <w:i w:val="0"/>
        <w:sz w:val="28"/>
        <w:szCs w:val="28"/>
      </w:rPr>
    </w:lvl>
    <w:lvl w:ilvl="4" w:tentative="0">
      <w:start w:val="1"/>
      <w:numFmt w:val="decimal"/>
      <w:pStyle w:val="667"/>
      <w:lvlText w:val="（%5）"/>
      <w:lvlJc w:val="left"/>
      <w:pPr>
        <w:tabs>
          <w:tab w:val="left" w:pos="710"/>
        </w:tabs>
        <w:ind w:left="370" w:firstLine="340"/>
      </w:pPr>
      <w:rPr>
        <w:rFonts w:hint="default" w:ascii="Arial" w:hAnsi="Arial" w:eastAsia="宋体"/>
        <w:b w:val="0"/>
        <w:i w:val="0"/>
        <w:spacing w:val="-20"/>
        <w:sz w:val="28"/>
        <w:szCs w:val="28"/>
      </w:rPr>
    </w:lvl>
    <w:lvl w:ilvl="5" w:tentative="0">
      <w:start w:val="1"/>
      <w:numFmt w:val="lowerLetter"/>
      <w:pStyle w:val="664"/>
      <w:lvlText w:val="%6)"/>
      <w:lvlJc w:val="left"/>
      <w:pPr>
        <w:tabs>
          <w:tab w:val="left" w:pos="964"/>
        </w:tabs>
        <w:ind w:left="0" w:firstLine="510"/>
      </w:pPr>
      <w:rPr>
        <w:rFonts w:hint="eastAsia" w:ascii="Times New Roman" w:hAnsi="Times New Roman" w:eastAsia="宋体" w:cs="Times New Roman"/>
        <w:b/>
        <w:i w:val="0"/>
        <w:sz w:val="28"/>
        <w:szCs w:val="28"/>
      </w:rPr>
    </w:lvl>
    <w:lvl w:ilvl="6" w:tentative="0">
      <w:start w:val="1"/>
      <w:numFmt w:val="decimal"/>
      <w:lvlText w:val="%1.%2.%3.%4.%5.%6.%7."/>
      <w:lvlJc w:val="left"/>
      <w:pPr>
        <w:tabs>
          <w:tab w:val="left" w:pos="1276"/>
        </w:tabs>
        <w:ind w:left="1276" w:hanging="1276"/>
      </w:pPr>
      <w:rPr>
        <w:rFonts w:hint="eastAsia"/>
      </w:rPr>
    </w:lvl>
    <w:lvl w:ilvl="7" w:tentative="0">
      <w:start w:val="1"/>
      <w:numFmt w:val="decimal"/>
      <w:lvlText w:val="%1.%2.%3.%4.%5.%6.%7.%8."/>
      <w:lvlJc w:val="left"/>
      <w:pPr>
        <w:tabs>
          <w:tab w:val="left" w:pos="1418"/>
        </w:tabs>
        <w:ind w:left="1418" w:hanging="1418"/>
      </w:pPr>
      <w:rPr>
        <w:rFonts w:hint="eastAsia"/>
      </w:rPr>
    </w:lvl>
    <w:lvl w:ilvl="8" w:tentative="0">
      <w:start w:val="1"/>
      <w:numFmt w:val="decimal"/>
      <w:lvlText w:val="%1.%2.%3.%4.%5.%6.%7.%8.%9."/>
      <w:lvlJc w:val="left"/>
      <w:pPr>
        <w:tabs>
          <w:tab w:val="left" w:pos="1559"/>
        </w:tabs>
        <w:ind w:left="1559" w:hanging="1559"/>
      </w:pPr>
      <w:rPr>
        <w:rFonts w:hint="eastAsia"/>
      </w:rPr>
    </w:lvl>
  </w:abstractNum>
  <w:abstractNum w:abstractNumId="12">
    <w:nsid w:val="1C3428DE"/>
    <w:multiLevelType w:val="multilevel"/>
    <w:tmpl w:val="1C3428DE"/>
    <w:lvl w:ilvl="0" w:tentative="0">
      <w:start w:val="1"/>
      <w:numFmt w:val="decimal"/>
      <w:lvlText w:val="%1"/>
      <w:lvlJc w:val="left"/>
      <w:pPr>
        <w:tabs>
          <w:tab w:val="left" w:pos="425"/>
        </w:tabs>
        <w:ind w:left="425" w:hanging="425"/>
      </w:pPr>
      <w:rPr>
        <w:rFonts w:hint="eastAsia"/>
      </w:rPr>
    </w:lvl>
    <w:lvl w:ilvl="1" w:tentative="0">
      <w:start w:val="1"/>
      <w:numFmt w:val="decimal"/>
      <w:lvlText w:val="%1.%2"/>
      <w:lvlJc w:val="left"/>
      <w:pPr>
        <w:tabs>
          <w:tab w:val="left" w:pos="1107"/>
        </w:tabs>
        <w:ind w:left="1107" w:hanging="567"/>
      </w:pPr>
    </w:lvl>
    <w:lvl w:ilvl="2" w:tentative="0">
      <w:start w:val="1"/>
      <w:numFmt w:val="decimal"/>
      <w:pStyle w:val="3069"/>
      <w:lvlText w:val="%1.%2.%3"/>
      <w:lvlJc w:val="left"/>
      <w:pPr>
        <w:tabs>
          <w:tab w:val="left" w:pos="1440"/>
        </w:tabs>
        <w:ind w:left="1287" w:hanging="567"/>
      </w:pPr>
      <w:rPr>
        <w:color w:val="auto"/>
      </w:rPr>
    </w:lvl>
    <w:lvl w:ilvl="3" w:tentative="0">
      <w:start w:val="1"/>
      <w:numFmt w:val="decimal"/>
      <w:lvlText w:val="%1.%2.%3.%4"/>
      <w:lvlJc w:val="left"/>
      <w:pPr>
        <w:tabs>
          <w:tab w:val="left" w:pos="1080"/>
        </w:tabs>
        <w:ind w:left="708" w:hanging="708"/>
      </w:pPr>
      <w:rPr>
        <w:rFonts w:hint="default" w:ascii="Times New Roman" w:hAnsi="Times New Roman" w:cs="Times New Roman"/>
        <w:i w:val="0"/>
      </w:rPr>
    </w:lvl>
    <w:lvl w:ilvl="4" w:tentative="0">
      <w:start w:val="1"/>
      <w:numFmt w:val="decimal"/>
      <w:lvlText w:val="%1.%2.%3.%4.%5"/>
      <w:lvlJc w:val="left"/>
      <w:pPr>
        <w:tabs>
          <w:tab w:val="left" w:pos="2781"/>
        </w:tabs>
        <w:ind w:left="2551" w:hanging="850"/>
      </w:pPr>
    </w:lvl>
    <w:lvl w:ilvl="5" w:tentative="0">
      <w:start w:val="1"/>
      <w:numFmt w:val="decimal"/>
      <w:lvlText w:val="%1.%2.%3.%4.%5.%6"/>
      <w:lvlJc w:val="left"/>
      <w:pPr>
        <w:tabs>
          <w:tab w:val="left" w:pos="3566"/>
        </w:tabs>
        <w:ind w:left="3260" w:hanging="1134"/>
      </w:pPr>
    </w:lvl>
    <w:lvl w:ilvl="6" w:tentative="0">
      <w:start w:val="1"/>
      <w:numFmt w:val="decimal"/>
      <w:lvlText w:val="%1.%2.%3.%4.%5.%6.%7"/>
      <w:lvlJc w:val="left"/>
      <w:pPr>
        <w:tabs>
          <w:tab w:val="left" w:pos="4351"/>
        </w:tabs>
        <w:ind w:left="3827" w:hanging="1276"/>
      </w:pPr>
    </w:lvl>
    <w:lvl w:ilvl="7" w:tentative="0">
      <w:start w:val="1"/>
      <w:numFmt w:val="decimal"/>
      <w:lvlText w:val="%1.%2.%3.%4.%5.%6.%7.%8"/>
      <w:lvlJc w:val="left"/>
      <w:pPr>
        <w:tabs>
          <w:tab w:val="left" w:pos="4776"/>
        </w:tabs>
        <w:ind w:left="4394" w:hanging="1418"/>
      </w:pPr>
    </w:lvl>
    <w:lvl w:ilvl="8" w:tentative="0">
      <w:start w:val="1"/>
      <w:numFmt w:val="decimal"/>
      <w:lvlText w:val="%1.%2.%3.%4.%5.%6.%7.%8.%9"/>
      <w:lvlJc w:val="left"/>
      <w:pPr>
        <w:tabs>
          <w:tab w:val="left" w:pos="5562"/>
        </w:tabs>
        <w:ind w:left="5102" w:hanging="1700"/>
      </w:pPr>
    </w:lvl>
  </w:abstractNum>
  <w:abstractNum w:abstractNumId="13">
    <w:nsid w:val="1C3F5A42"/>
    <w:multiLevelType w:val="multilevel"/>
    <w:tmpl w:val="1C3F5A42"/>
    <w:lvl w:ilvl="0" w:tentative="0">
      <w:start w:val="0"/>
      <w:numFmt w:val="decimal"/>
      <w:pStyle w:val="1596"/>
      <w:lvlText w:val=""/>
      <w:lvlJc w:val="left"/>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14">
    <w:nsid w:val="1CB1776C"/>
    <w:multiLevelType w:val="multilevel"/>
    <w:tmpl w:val="1CB1776C"/>
    <w:lvl w:ilvl="0" w:tentative="0">
      <w:start w:val="0"/>
      <w:numFmt w:val="decimal"/>
      <w:pStyle w:val="1632"/>
      <w:lvlText w:val=""/>
      <w:lvlJc w:val="left"/>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15">
    <w:nsid w:val="1CFE6ACB"/>
    <w:multiLevelType w:val="multilevel"/>
    <w:tmpl w:val="1CFE6ACB"/>
    <w:lvl w:ilvl="0" w:tentative="0">
      <w:start w:val="1"/>
      <w:numFmt w:val="decimal"/>
      <w:pStyle w:val="878"/>
      <w:lvlText w:val="%1"/>
      <w:lvlJc w:val="left"/>
      <w:pPr>
        <w:tabs>
          <w:tab w:val="left" w:pos="425"/>
        </w:tabs>
        <w:ind w:left="425" w:hanging="425"/>
      </w:pPr>
    </w:lvl>
    <w:lvl w:ilvl="1" w:tentative="0">
      <w:start w:val="1"/>
      <w:numFmt w:val="decimal"/>
      <w:lvlText w:val="%1.%2"/>
      <w:lvlJc w:val="left"/>
      <w:pPr>
        <w:tabs>
          <w:tab w:val="left" w:pos="992"/>
        </w:tabs>
        <w:ind w:left="992" w:hanging="567"/>
      </w:pPr>
    </w:lvl>
    <w:lvl w:ilvl="2" w:tentative="0">
      <w:start w:val="1"/>
      <w:numFmt w:val="decimal"/>
      <w:lvlText w:val="%1.%2.%3"/>
      <w:lvlJc w:val="left"/>
      <w:pPr>
        <w:tabs>
          <w:tab w:val="left" w:pos="1571"/>
        </w:tabs>
        <w:ind w:left="1418" w:hanging="567"/>
      </w:pPr>
    </w:lvl>
    <w:lvl w:ilvl="3" w:tentative="0">
      <w:start w:val="1"/>
      <w:numFmt w:val="decimal"/>
      <w:lvlText w:val="%1.%2.%3.%4"/>
      <w:lvlJc w:val="left"/>
      <w:pPr>
        <w:tabs>
          <w:tab w:val="left" w:pos="2356"/>
        </w:tabs>
        <w:ind w:left="1984" w:hanging="708"/>
      </w:pPr>
    </w:lvl>
    <w:lvl w:ilvl="4" w:tentative="0">
      <w:start w:val="1"/>
      <w:numFmt w:val="decimal"/>
      <w:lvlText w:val="%1.%2.%3.%4.%5"/>
      <w:lvlJc w:val="left"/>
      <w:pPr>
        <w:tabs>
          <w:tab w:val="left" w:pos="3141"/>
        </w:tabs>
        <w:ind w:left="2551" w:hanging="850"/>
      </w:pPr>
    </w:lvl>
    <w:lvl w:ilvl="5" w:tentative="0">
      <w:start w:val="1"/>
      <w:numFmt w:val="decimal"/>
      <w:lvlText w:val="%1.%2.%3.%4.%5.%6"/>
      <w:lvlJc w:val="left"/>
      <w:pPr>
        <w:tabs>
          <w:tab w:val="left" w:pos="3926"/>
        </w:tabs>
        <w:ind w:left="3260" w:hanging="1134"/>
      </w:pPr>
    </w:lvl>
    <w:lvl w:ilvl="6" w:tentative="0">
      <w:start w:val="1"/>
      <w:numFmt w:val="decimal"/>
      <w:lvlText w:val="%1.%2.%3.%4.%5.%6.%7"/>
      <w:lvlJc w:val="left"/>
      <w:pPr>
        <w:tabs>
          <w:tab w:val="left" w:pos="4711"/>
        </w:tabs>
        <w:ind w:left="3827" w:hanging="1276"/>
      </w:pPr>
    </w:lvl>
    <w:lvl w:ilvl="7" w:tentative="0">
      <w:start w:val="1"/>
      <w:numFmt w:val="decimal"/>
      <w:lvlText w:val="%1.%2.%3.%4.%5.%6.%7.%8"/>
      <w:lvlJc w:val="left"/>
      <w:pPr>
        <w:tabs>
          <w:tab w:val="left" w:pos="5136"/>
        </w:tabs>
        <w:ind w:left="4394" w:hanging="1418"/>
      </w:pPr>
    </w:lvl>
    <w:lvl w:ilvl="8" w:tentative="0">
      <w:start w:val="1"/>
      <w:numFmt w:val="decimal"/>
      <w:lvlText w:val="%1.%2.%3.%4.%5.%6.%7.%8.%9"/>
      <w:lvlJc w:val="left"/>
      <w:pPr>
        <w:tabs>
          <w:tab w:val="left" w:pos="5922"/>
        </w:tabs>
        <w:ind w:left="5102" w:hanging="1700"/>
      </w:pPr>
    </w:lvl>
  </w:abstractNum>
  <w:abstractNum w:abstractNumId="16">
    <w:nsid w:val="20423B4E"/>
    <w:multiLevelType w:val="multilevel"/>
    <w:tmpl w:val="20423B4E"/>
    <w:lvl w:ilvl="0" w:tentative="0">
      <w:start w:val="1"/>
      <w:numFmt w:val="decimal"/>
      <w:lvlText w:val="%1."/>
      <w:lvlJc w:val="left"/>
      <w:pPr>
        <w:ind w:left="425" w:hanging="425"/>
      </w:pPr>
    </w:lvl>
    <w:lvl w:ilvl="1" w:tentative="0">
      <w:start w:val="1"/>
      <w:numFmt w:val="decimal"/>
      <w:lvlText w:val="%1.%2."/>
      <w:lvlJc w:val="left"/>
      <w:pPr>
        <w:ind w:left="567" w:hanging="567"/>
      </w:pPr>
    </w:lvl>
    <w:lvl w:ilvl="2" w:tentative="0">
      <w:start w:val="1"/>
      <w:numFmt w:val="decimal"/>
      <w:lvlText w:val="%1.%2.%3."/>
      <w:lvlJc w:val="left"/>
      <w:pPr>
        <w:ind w:left="709" w:hanging="709"/>
      </w:pPr>
    </w:lvl>
    <w:lvl w:ilvl="3" w:tentative="0">
      <w:start w:val="1"/>
      <w:numFmt w:val="decimal"/>
      <w:lvlText w:val="%1.%2.%3.%4."/>
      <w:lvlJc w:val="left"/>
      <w:pPr>
        <w:ind w:left="851" w:hanging="851"/>
      </w:pPr>
    </w:lvl>
    <w:lvl w:ilvl="4" w:tentative="0">
      <w:start w:val="1"/>
      <w:numFmt w:val="decimal"/>
      <w:pStyle w:val="8"/>
      <w:lvlText w:val="%1.%2.%3.%4.%5."/>
      <w:lvlJc w:val="left"/>
      <w:pPr>
        <w:ind w:left="992" w:hanging="992"/>
      </w:pPr>
    </w:lvl>
    <w:lvl w:ilvl="5" w:tentative="0">
      <w:start w:val="1"/>
      <w:numFmt w:val="decimal"/>
      <w:lvlText w:val="%1.%2.%3.%4.%5.%6."/>
      <w:lvlJc w:val="left"/>
      <w:pPr>
        <w:ind w:left="1134" w:hanging="1134"/>
      </w:pPr>
    </w:lvl>
    <w:lvl w:ilvl="6" w:tentative="0">
      <w:start w:val="1"/>
      <w:numFmt w:val="decimal"/>
      <w:lvlText w:val="%1.%2.%3.%4.%5.%6.%7."/>
      <w:lvlJc w:val="left"/>
      <w:pPr>
        <w:ind w:left="1276" w:hanging="1276"/>
      </w:pPr>
    </w:lvl>
    <w:lvl w:ilvl="7" w:tentative="0">
      <w:start w:val="1"/>
      <w:numFmt w:val="decimal"/>
      <w:lvlText w:val="%1.%2.%3.%4.%5.%6.%7.%8."/>
      <w:lvlJc w:val="left"/>
      <w:pPr>
        <w:ind w:left="1418" w:hanging="1418"/>
      </w:pPr>
    </w:lvl>
    <w:lvl w:ilvl="8" w:tentative="0">
      <w:start w:val="1"/>
      <w:numFmt w:val="decimal"/>
      <w:lvlText w:val="%1.%2.%3.%4.%5.%6.%7.%8.%9."/>
      <w:lvlJc w:val="left"/>
      <w:pPr>
        <w:ind w:left="1559" w:hanging="1559"/>
      </w:pPr>
    </w:lvl>
  </w:abstractNum>
  <w:abstractNum w:abstractNumId="17">
    <w:nsid w:val="215B5C48"/>
    <w:multiLevelType w:val="multilevel"/>
    <w:tmpl w:val="215B5C48"/>
    <w:lvl w:ilvl="0" w:tentative="0">
      <w:start w:val="0"/>
      <w:numFmt w:val="decimal"/>
      <w:pStyle w:val="1884"/>
      <w:lvlText w:val=""/>
      <w:lvlJc w:val="left"/>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18">
    <w:nsid w:val="21E91F6D"/>
    <w:multiLevelType w:val="multilevel"/>
    <w:tmpl w:val="21E91F6D"/>
    <w:lvl w:ilvl="0" w:tentative="0">
      <w:start w:val="0"/>
      <w:numFmt w:val="decimal"/>
      <w:pStyle w:val="1568"/>
      <w:lvlText w:val=""/>
      <w:lvlJc w:val="left"/>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19">
    <w:nsid w:val="276801CF"/>
    <w:multiLevelType w:val="multilevel"/>
    <w:tmpl w:val="276801CF"/>
    <w:lvl w:ilvl="0" w:tentative="0">
      <w:start w:val="2"/>
      <w:numFmt w:val="decimal"/>
      <w:lvlText w:val="（%1）"/>
      <w:lvlJc w:val="left"/>
      <w:pPr>
        <w:tabs>
          <w:tab w:val="left" w:pos="10414"/>
        </w:tabs>
        <w:ind w:left="10414" w:hanging="720"/>
      </w:pPr>
    </w:lvl>
    <w:lvl w:ilvl="1" w:tentative="0">
      <w:start w:val="1"/>
      <w:numFmt w:val="lowerLetter"/>
      <w:pStyle w:val="2018"/>
      <w:lvlText w:val="%2)"/>
      <w:lvlJc w:val="left"/>
      <w:pPr>
        <w:tabs>
          <w:tab w:val="left" w:pos="10534"/>
        </w:tabs>
        <w:ind w:left="10534" w:hanging="420"/>
      </w:pPr>
    </w:lvl>
    <w:lvl w:ilvl="2" w:tentative="0">
      <w:start w:val="1"/>
      <w:numFmt w:val="lowerRoman"/>
      <w:lvlText w:val="%3."/>
      <w:lvlJc w:val="right"/>
      <w:pPr>
        <w:tabs>
          <w:tab w:val="left" w:pos="10954"/>
        </w:tabs>
        <w:ind w:left="10954" w:hanging="420"/>
      </w:pPr>
    </w:lvl>
    <w:lvl w:ilvl="3" w:tentative="0">
      <w:start w:val="1"/>
      <w:numFmt w:val="decimal"/>
      <w:pStyle w:val="2020"/>
      <w:lvlText w:val="%4."/>
      <w:lvlJc w:val="left"/>
      <w:pPr>
        <w:tabs>
          <w:tab w:val="left" w:pos="11374"/>
        </w:tabs>
        <w:ind w:left="11374" w:hanging="420"/>
      </w:pPr>
    </w:lvl>
    <w:lvl w:ilvl="4" w:tentative="0">
      <w:start w:val="1"/>
      <w:numFmt w:val="lowerLetter"/>
      <w:lvlText w:val="%5)"/>
      <w:lvlJc w:val="left"/>
      <w:pPr>
        <w:tabs>
          <w:tab w:val="left" w:pos="11794"/>
        </w:tabs>
        <w:ind w:left="11794" w:hanging="420"/>
      </w:pPr>
    </w:lvl>
    <w:lvl w:ilvl="5" w:tentative="0">
      <w:start w:val="1"/>
      <w:numFmt w:val="lowerRoman"/>
      <w:lvlText w:val="%6."/>
      <w:lvlJc w:val="right"/>
      <w:pPr>
        <w:tabs>
          <w:tab w:val="left" w:pos="12214"/>
        </w:tabs>
        <w:ind w:left="12214" w:hanging="420"/>
      </w:pPr>
    </w:lvl>
    <w:lvl w:ilvl="6" w:tentative="0">
      <w:start w:val="1"/>
      <w:numFmt w:val="decimal"/>
      <w:lvlText w:val="%7."/>
      <w:lvlJc w:val="left"/>
      <w:pPr>
        <w:tabs>
          <w:tab w:val="left" w:pos="12634"/>
        </w:tabs>
        <w:ind w:left="12634" w:hanging="420"/>
      </w:pPr>
    </w:lvl>
    <w:lvl w:ilvl="7" w:tentative="0">
      <w:start w:val="1"/>
      <w:numFmt w:val="lowerLetter"/>
      <w:lvlText w:val="%8)"/>
      <w:lvlJc w:val="left"/>
      <w:pPr>
        <w:tabs>
          <w:tab w:val="left" w:pos="13054"/>
        </w:tabs>
        <w:ind w:left="13054" w:hanging="420"/>
      </w:pPr>
    </w:lvl>
    <w:lvl w:ilvl="8" w:tentative="0">
      <w:start w:val="1"/>
      <w:numFmt w:val="lowerRoman"/>
      <w:lvlText w:val="%9."/>
      <w:lvlJc w:val="right"/>
      <w:pPr>
        <w:tabs>
          <w:tab w:val="left" w:pos="13474"/>
        </w:tabs>
        <w:ind w:left="13474" w:hanging="420"/>
      </w:pPr>
    </w:lvl>
  </w:abstractNum>
  <w:abstractNum w:abstractNumId="20">
    <w:nsid w:val="2C5917C3"/>
    <w:multiLevelType w:val="multilevel"/>
    <w:tmpl w:val="2C5917C3"/>
    <w:lvl w:ilvl="0" w:tentative="0">
      <w:start w:val="0"/>
      <w:numFmt w:val="decimal"/>
      <w:pStyle w:val="1913"/>
      <w:lvlText w:val=""/>
      <w:lvlJc w:val="left"/>
    </w:lvl>
    <w:lvl w:ilvl="1" w:tentative="0">
      <w:start w:val="0"/>
      <w:numFmt w:val="decimal"/>
      <w:pStyle w:val="1914"/>
      <w:lvlText w:val=""/>
      <w:lvlJc w:val="left"/>
    </w:lvl>
    <w:lvl w:ilvl="2" w:tentative="0">
      <w:start w:val="0"/>
      <w:numFmt w:val="decimal"/>
      <w:pStyle w:val="1915"/>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21">
    <w:nsid w:val="2C65569A"/>
    <w:multiLevelType w:val="multilevel"/>
    <w:tmpl w:val="2C65569A"/>
    <w:lvl w:ilvl="0" w:tentative="0">
      <w:start w:val="1"/>
      <w:numFmt w:val="decimal"/>
      <w:lvlText w:val="%1"/>
      <w:lvlJc w:val="left"/>
      <w:pPr>
        <w:tabs>
          <w:tab w:val="left" w:pos="432"/>
        </w:tabs>
        <w:ind w:left="432" w:hanging="432"/>
      </w:pPr>
      <w:rPr>
        <w:rFonts w:hint="eastAsia"/>
      </w:rPr>
    </w:lvl>
    <w:lvl w:ilvl="1" w:tentative="0">
      <w:start w:val="1"/>
      <w:numFmt w:val="decimal"/>
      <w:pStyle w:val="3085"/>
      <w:lvlText w:val="%1.%2"/>
      <w:lvlJc w:val="left"/>
      <w:pPr>
        <w:tabs>
          <w:tab w:val="left" w:pos="576"/>
        </w:tabs>
        <w:ind w:left="576" w:hanging="576"/>
      </w:pPr>
      <w:rPr>
        <w:rFonts w:hint="eastAsia"/>
      </w:rPr>
    </w:lvl>
    <w:lvl w:ilvl="2" w:tentative="0">
      <w:start w:val="1"/>
      <w:numFmt w:val="decimal"/>
      <w:lvlText w:val="%1.%2.%3"/>
      <w:lvlJc w:val="left"/>
      <w:pPr>
        <w:tabs>
          <w:tab w:val="left" w:pos="1230"/>
        </w:tabs>
        <w:ind w:left="11" w:hanging="11"/>
      </w:pPr>
      <w:rPr>
        <w:rFonts w:hint="eastAsia"/>
      </w:rPr>
    </w:lvl>
    <w:lvl w:ilvl="3" w:tentative="0">
      <w:start w:val="1"/>
      <w:numFmt w:val="decimal"/>
      <w:lvlText w:val="%1.%2.%3.%4"/>
      <w:lvlJc w:val="left"/>
      <w:pPr>
        <w:tabs>
          <w:tab w:val="left" w:pos="1297"/>
        </w:tabs>
        <w:ind w:left="1297" w:hanging="864"/>
      </w:pPr>
      <w:rPr>
        <w:rFonts w:hint="eastAsia"/>
      </w:rPr>
    </w:lvl>
    <w:lvl w:ilvl="4" w:tentative="0">
      <w:start w:val="1"/>
      <w:numFmt w:val="decimal"/>
      <w:lvlText w:val="%1.%2.%3.%4.%5"/>
      <w:lvlJc w:val="left"/>
      <w:pPr>
        <w:tabs>
          <w:tab w:val="left" w:pos="1008"/>
        </w:tabs>
        <w:ind w:left="1008" w:hanging="1008"/>
      </w:pPr>
      <w:rPr>
        <w:rFonts w:hint="eastAsia"/>
      </w:rPr>
    </w:lvl>
    <w:lvl w:ilvl="5" w:tentative="0">
      <w:start w:val="1"/>
      <w:numFmt w:val="decimal"/>
      <w:lvlText w:val="%1.%2.%3.%4.%5.%6"/>
      <w:lvlJc w:val="left"/>
      <w:pPr>
        <w:tabs>
          <w:tab w:val="left" w:pos="1152"/>
        </w:tabs>
        <w:ind w:left="1152" w:hanging="1152"/>
      </w:pPr>
      <w:rPr>
        <w:rFonts w:hint="eastAsia"/>
      </w:rPr>
    </w:lvl>
    <w:lvl w:ilvl="6" w:tentative="0">
      <w:start w:val="1"/>
      <w:numFmt w:val="decimal"/>
      <w:lvlText w:val="%1.%2.%3.%4.%5.%6.%7"/>
      <w:lvlJc w:val="left"/>
      <w:pPr>
        <w:tabs>
          <w:tab w:val="left" w:pos="1296"/>
        </w:tabs>
        <w:ind w:left="1296" w:hanging="1296"/>
      </w:pPr>
      <w:rPr>
        <w:rFonts w:hint="eastAsia"/>
      </w:rPr>
    </w:lvl>
    <w:lvl w:ilvl="7" w:tentative="0">
      <w:start w:val="1"/>
      <w:numFmt w:val="decimal"/>
      <w:lvlText w:val="%1.%2.%3.%4.%5.%6.%7.%8"/>
      <w:lvlJc w:val="left"/>
      <w:pPr>
        <w:tabs>
          <w:tab w:val="left" w:pos="1440"/>
        </w:tabs>
        <w:ind w:left="1440" w:hanging="1440"/>
      </w:pPr>
      <w:rPr>
        <w:rFonts w:hint="eastAsia"/>
      </w:rPr>
    </w:lvl>
    <w:lvl w:ilvl="8" w:tentative="0">
      <w:start w:val="1"/>
      <w:numFmt w:val="decimal"/>
      <w:lvlText w:val="%1.%2.%3.%4.%5.%6.%7.%8.%9"/>
      <w:lvlJc w:val="left"/>
      <w:pPr>
        <w:tabs>
          <w:tab w:val="left" w:pos="1584"/>
        </w:tabs>
        <w:ind w:left="1584" w:hanging="1584"/>
      </w:pPr>
      <w:rPr>
        <w:rFonts w:hint="eastAsia"/>
      </w:rPr>
    </w:lvl>
  </w:abstractNum>
  <w:abstractNum w:abstractNumId="22">
    <w:nsid w:val="2D0A0C76"/>
    <w:multiLevelType w:val="multilevel"/>
    <w:tmpl w:val="2D0A0C76"/>
    <w:lvl w:ilvl="0" w:tentative="0">
      <w:start w:val="1"/>
      <w:numFmt w:val="decimal"/>
      <w:lvlText w:val="(%1)"/>
      <w:lvlJc w:val="left"/>
      <w:pPr>
        <w:ind w:left="882" w:hanging="420"/>
      </w:pPr>
      <w:rPr>
        <w:rFonts w:hint="default" w:ascii="Times New Roman" w:hAnsi="Times New Roman" w:cs="Times New Roman"/>
      </w:rPr>
    </w:lvl>
    <w:lvl w:ilvl="1" w:tentative="0">
      <w:start w:val="1"/>
      <w:numFmt w:val="lowerLetter"/>
      <w:lvlText w:val="%2)"/>
      <w:lvlJc w:val="left"/>
      <w:pPr>
        <w:ind w:left="1302" w:hanging="420"/>
      </w:pPr>
      <w:rPr>
        <w:rFonts w:hint="eastAsia"/>
      </w:rPr>
    </w:lvl>
    <w:lvl w:ilvl="2" w:tentative="0">
      <w:start w:val="1"/>
      <w:numFmt w:val="lowerRoman"/>
      <w:lvlText w:val="%3."/>
      <w:lvlJc w:val="right"/>
      <w:pPr>
        <w:ind w:left="1722" w:hanging="420"/>
      </w:pPr>
      <w:rPr>
        <w:rFonts w:hint="eastAsia"/>
      </w:rPr>
    </w:lvl>
    <w:lvl w:ilvl="3" w:tentative="0">
      <w:start w:val="1"/>
      <w:numFmt w:val="decimal"/>
      <w:lvlText w:val="%4."/>
      <w:lvlJc w:val="left"/>
      <w:pPr>
        <w:ind w:left="2142" w:hanging="420"/>
      </w:pPr>
      <w:rPr>
        <w:rFonts w:hint="eastAsia"/>
      </w:rPr>
    </w:lvl>
    <w:lvl w:ilvl="4" w:tentative="0">
      <w:start w:val="1"/>
      <w:numFmt w:val="lowerLetter"/>
      <w:lvlText w:val="%5)"/>
      <w:lvlJc w:val="left"/>
      <w:pPr>
        <w:ind w:left="2562" w:hanging="420"/>
      </w:pPr>
      <w:rPr>
        <w:rFonts w:hint="eastAsia"/>
      </w:rPr>
    </w:lvl>
    <w:lvl w:ilvl="5" w:tentative="0">
      <w:start w:val="1"/>
      <w:numFmt w:val="lowerRoman"/>
      <w:lvlText w:val="%6."/>
      <w:lvlJc w:val="right"/>
      <w:pPr>
        <w:ind w:left="2982" w:hanging="420"/>
      </w:pPr>
      <w:rPr>
        <w:rFonts w:hint="eastAsia"/>
      </w:rPr>
    </w:lvl>
    <w:lvl w:ilvl="6" w:tentative="0">
      <w:start w:val="1"/>
      <w:numFmt w:val="decimal"/>
      <w:lvlText w:val="%7."/>
      <w:lvlJc w:val="left"/>
      <w:pPr>
        <w:ind w:left="3402" w:hanging="420"/>
      </w:pPr>
      <w:rPr>
        <w:rFonts w:hint="eastAsia"/>
      </w:rPr>
    </w:lvl>
    <w:lvl w:ilvl="7" w:tentative="0">
      <w:start w:val="1"/>
      <w:numFmt w:val="lowerLetter"/>
      <w:lvlText w:val="%8)"/>
      <w:lvlJc w:val="left"/>
      <w:pPr>
        <w:ind w:left="3822" w:hanging="420"/>
      </w:pPr>
      <w:rPr>
        <w:rFonts w:hint="eastAsia"/>
      </w:rPr>
    </w:lvl>
    <w:lvl w:ilvl="8" w:tentative="0">
      <w:start w:val="1"/>
      <w:numFmt w:val="lowerRoman"/>
      <w:lvlText w:val="%9."/>
      <w:lvlJc w:val="right"/>
      <w:pPr>
        <w:ind w:left="4242" w:hanging="420"/>
      </w:pPr>
      <w:rPr>
        <w:rFonts w:hint="eastAsia"/>
      </w:rPr>
    </w:lvl>
  </w:abstractNum>
  <w:abstractNum w:abstractNumId="23">
    <w:nsid w:val="3EF3254F"/>
    <w:multiLevelType w:val="multilevel"/>
    <w:tmpl w:val="3EF3254F"/>
    <w:lvl w:ilvl="0" w:tentative="0">
      <w:start w:val="0"/>
      <w:numFmt w:val="decimal"/>
      <w:lvlText w:val=""/>
      <w:lvlJc w:val="left"/>
    </w:lvl>
    <w:lvl w:ilvl="1" w:tentative="0">
      <w:start w:val="0"/>
      <w:numFmt w:val="decimal"/>
      <w:lvlText w:val=""/>
      <w:lvlJc w:val="left"/>
    </w:lvl>
    <w:lvl w:ilvl="2" w:tentative="0">
      <w:start w:val="0"/>
      <w:numFmt w:val="decimal"/>
      <w:pStyle w:val="1685"/>
      <w:lvlText w:val=""/>
      <w:lvlJc w:val="left"/>
    </w:lvl>
    <w:lvl w:ilvl="3" w:tentative="0">
      <w:start w:val="0"/>
      <w:numFmt w:val="decimal"/>
      <w:pStyle w:val="1686"/>
      <w:lvlText w:val=""/>
      <w:lvlJc w:val="left"/>
    </w:lvl>
    <w:lvl w:ilvl="4" w:tentative="0">
      <w:start w:val="0"/>
      <w:numFmt w:val="decimal"/>
      <w:lvlText w:val=""/>
      <w:lvlJc w:val="left"/>
    </w:lvl>
    <w:lvl w:ilvl="5" w:tentative="0">
      <w:start w:val="0"/>
      <w:numFmt w:val="decimal"/>
      <w:lvlText w:val=""/>
      <w:lvlJc w:val="left"/>
    </w:lvl>
    <w:lvl w:ilvl="6" w:tentative="0">
      <w:start w:val="0"/>
      <w:numFmt w:val="decimal"/>
      <w:pStyle w:val="1687"/>
      <w:lvlText w:val=""/>
      <w:lvlJc w:val="left"/>
    </w:lvl>
    <w:lvl w:ilvl="7" w:tentative="0">
      <w:start w:val="0"/>
      <w:numFmt w:val="decimal"/>
      <w:pStyle w:val="1688"/>
      <w:lvlText w:val=""/>
      <w:lvlJc w:val="left"/>
    </w:lvl>
    <w:lvl w:ilvl="8" w:tentative="0">
      <w:start w:val="0"/>
      <w:numFmt w:val="decimal"/>
      <w:lvlText w:val=""/>
      <w:lvlJc w:val="left"/>
    </w:lvl>
  </w:abstractNum>
  <w:abstractNum w:abstractNumId="24">
    <w:nsid w:val="408202FF"/>
    <w:multiLevelType w:val="multilevel"/>
    <w:tmpl w:val="408202FF"/>
    <w:lvl w:ilvl="0" w:tentative="0">
      <w:start w:val="0"/>
      <w:numFmt w:val="decimal"/>
      <w:pStyle w:val="1920"/>
      <w:lvlText w:val=""/>
      <w:lvlJc w:val="left"/>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25">
    <w:nsid w:val="44FF2C96"/>
    <w:multiLevelType w:val="multilevel"/>
    <w:tmpl w:val="44FF2C96"/>
    <w:lvl w:ilvl="0" w:tentative="0">
      <w:start w:val="0"/>
      <w:numFmt w:val="decimal"/>
      <w:pStyle w:val="1559"/>
      <w:lvlText w:val=""/>
      <w:lvlJc w:val="left"/>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26">
    <w:nsid w:val="496E4D7B"/>
    <w:multiLevelType w:val="multilevel"/>
    <w:tmpl w:val="496E4D7B"/>
    <w:lvl w:ilvl="0" w:tentative="0">
      <w:start w:val="0"/>
      <w:numFmt w:val="decimal"/>
      <w:pStyle w:val="1834"/>
      <w:lvlText w:val=""/>
      <w:lvlJc w:val="left"/>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27">
    <w:nsid w:val="4C6915EE"/>
    <w:multiLevelType w:val="multilevel"/>
    <w:tmpl w:val="4C6915EE"/>
    <w:lvl w:ilvl="0" w:tentative="0">
      <w:start w:val="0"/>
      <w:numFmt w:val="decimal"/>
      <w:pStyle w:val="1716"/>
      <w:lvlText w:val=""/>
      <w:lvlJc w:val="left"/>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28">
    <w:nsid w:val="4CC153CA"/>
    <w:multiLevelType w:val="multilevel"/>
    <w:tmpl w:val="4CC153CA"/>
    <w:lvl w:ilvl="0" w:tentative="0">
      <w:start w:val="0"/>
      <w:numFmt w:val="decimal"/>
      <w:pStyle w:val="1917"/>
      <w:lvlText w:val=""/>
      <w:lvlJc w:val="left"/>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29">
    <w:nsid w:val="4E141DC7"/>
    <w:multiLevelType w:val="multilevel"/>
    <w:tmpl w:val="4E141DC7"/>
    <w:lvl w:ilvl="0" w:tentative="0">
      <w:start w:val="1"/>
      <w:numFmt w:val="decimal"/>
      <w:lvlText w:val="(%1)"/>
      <w:lvlJc w:val="left"/>
      <w:pPr>
        <w:ind w:left="882" w:hanging="420"/>
      </w:pPr>
      <w:rPr>
        <w:rFonts w:hint="default" w:ascii="Times New Roman" w:hAnsi="Times New Roman" w:cs="Times New Roman"/>
      </w:rPr>
    </w:lvl>
    <w:lvl w:ilvl="1" w:tentative="0">
      <w:start w:val="1"/>
      <w:numFmt w:val="lowerLetter"/>
      <w:lvlText w:val="%2)"/>
      <w:lvlJc w:val="left"/>
      <w:pPr>
        <w:ind w:left="1302" w:hanging="420"/>
      </w:pPr>
    </w:lvl>
    <w:lvl w:ilvl="2" w:tentative="0">
      <w:start w:val="1"/>
      <w:numFmt w:val="lowerRoman"/>
      <w:lvlText w:val="%3."/>
      <w:lvlJc w:val="right"/>
      <w:pPr>
        <w:ind w:left="1722" w:hanging="420"/>
      </w:pPr>
    </w:lvl>
    <w:lvl w:ilvl="3" w:tentative="0">
      <w:start w:val="1"/>
      <w:numFmt w:val="decimal"/>
      <w:lvlText w:val="%4."/>
      <w:lvlJc w:val="left"/>
      <w:pPr>
        <w:ind w:left="2142" w:hanging="420"/>
      </w:pPr>
    </w:lvl>
    <w:lvl w:ilvl="4" w:tentative="0">
      <w:start w:val="1"/>
      <w:numFmt w:val="lowerLetter"/>
      <w:lvlText w:val="%5)"/>
      <w:lvlJc w:val="left"/>
      <w:pPr>
        <w:ind w:left="2562" w:hanging="420"/>
      </w:pPr>
    </w:lvl>
    <w:lvl w:ilvl="5" w:tentative="0">
      <w:start w:val="1"/>
      <w:numFmt w:val="lowerRoman"/>
      <w:lvlText w:val="%6."/>
      <w:lvlJc w:val="right"/>
      <w:pPr>
        <w:ind w:left="2982" w:hanging="420"/>
      </w:pPr>
    </w:lvl>
    <w:lvl w:ilvl="6" w:tentative="0">
      <w:start w:val="1"/>
      <w:numFmt w:val="decimal"/>
      <w:lvlText w:val="%7."/>
      <w:lvlJc w:val="left"/>
      <w:pPr>
        <w:ind w:left="3402" w:hanging="420"/>
      </w:pPr>
    </w:lvl>
    <w:lvl w:ilvl="7" w:tentative="0">
      <w:start w:val="1"/>
      <w:numFmt w:val="lowerLetter"/>
      <w:lvlText w:val="%8)"/>
      <w:lvlJc w:val="left"/>
      <w:pPr>
        <w:ind w:left="3822" w:hanging="420"/>
      </w:pPr>
    </w:lvl>
    <w:lvl w:ilvl="8" w:tentative="0">
      <w:start w:val="1"/>
      <w:numFmt w:val="lowerRoman"/>
      <w:lvlText w:val="%9."/>
      <w:lvlJc w:val="right"/>
      <w:pPr>
        <w:ind w:left="4242" w:hanging="420"/>
      </w:pPr>
    </w:lvl>
  </w:abstractNum>
  <w:abstractNum w:abstractNumId="30">
    <w:nsid w:val="4EF430A5"/>
    <w:multiLevelType w:val="singleLevel"/>
    <w:tmpl w:val="4EF430A5"/>
    <w:lvl w:ilvl="0" w:tentative="0">
      <w:start w:val="1"/>
      <w:numFmt w:val="decimal"/>
      <w:suff w:val="nothing"/>
      <w:lvlText w:val="（%1）"/>
      <w:lvlJc w:val="left"/>
    </w:lvl>
  </w:abstractNum>
  <w:abstractNum w:abstractNumId="31">
    <w:nsid w:val="51457843"/>
    <w:multiLevelType w:val="multilevel"/>
    <w:tmpl w:val="51457843"/>
    <w:lvl w:ilvl="0" w:tentative="0">
      <w:start w:val="1"/>
      <w:numFmt w:val="decimal"/>
      <w:pStyle w:val="3006"/>
      <w:lvlText w:val="（%1）"/>
      <w:lvlJc w:val="left"/>
      <w:pPr>
        <w:ind w:left="720" w:hanging="72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32">
    <w:nsid w:val="51823916"/>
    <w:multiLevelType w:val="multilevel"/>
    <w:tmpl w:val="51823916"/>
    <w:lvl w:ilvl="0" w:tentative="0">
      <w:start w:val="0"/>
      <w:numFmt w:val="decimal"/>
      <w:lvlText w:val=""/>
      <w:lvlJc w:val="left"/>
    </w:lvl>
    <w:lvl w:ilvl="1" w:tentative="0">
      <w:start w:val="0"/>
      <w:numFmt w:val="decimal"/>
      <w:lvlText w:val=""/>
      <w:lvlJc w:val="left"/>
    </w:lvl>
    <w:lvl w:ilvl="2" w:tentative="0">
      <w:start w:val="0"/>
      <w:numFmt w:val="decimal"/>
      <w:pStyle w:val="1899"/>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33">
    <w:nsid w:val="5AEA1AB3"/>
    <w:multiLevelType w:val="multilevel"/>
    <w:tmpl w:val="5AEA1AB3"/>
    <w:lvl w:ilvl="0" w:tentative="0">
      <w:start w:val="1"/>
      <w:numFmt w:val="decimal"/>
      <w:pStyle w:val="3"/>
      <w:isLgl/>
      <w:suff w:val="space"/>
      <w:lvlText w:val="%1"/>
      <w:lvlJc w:val="center"/>
      <w:pPr>
        <w:ind w:left="1839" w:hanging="137"/>
      </w:pPr>
      <w:rPr>
        <w:rFonts w:hint="eastAsia"/>
      </w:rPr>
    </w:lvl>
    <w:lvl w:ilvl="1" w:tentative="0">
      <w:start w:val="1"/>
      <w:numFmt w:val="decimal"/>
      <w:pStyle w:val="4"/>
      <w:isLgl/>
      <w:suff w:val="space"/>
      <w:lvlText w:val="%1.%2"/>
      <w:lvlJc w:val="left"/>
      <w:pPr>
        <w:ind w:left="992" w:hanging="992"/>
      </w:pPr>
      <w:rPr>
        <w:rFonts w:hint="eastAsia"/>
      </w:rPr>
    </w:lvl>
    <w:lvl w:ilvl="2" w:tentative="0">
      <w:start w:val="1"/>
      <w:numFmt w:val="decimal"/>
      <w:pStyle w:val="5"/>
      <w:isLgl/>
      <w:suff w:val="space"/>
      <w:lvlText w:val="%1.%2.%3"/>
      <w:lvlJc w:val="left"/>
      <w:pPr>
        <w:ind w:left="1418" w:hanging="1418"/>
      </w:pPr>
      <w:rPr>
        <w:rFonts w:hint="eastAsia"/>
      </w:rPr>
    </w:lvl>
    <w:lvl w:ilvl="3" w:tentative="0">
      <w:start w:val="1"/>
      <w:numFmt w:val="decimal"/>
      <w:pStyle w:val="6"/>
      <w:isLgl/>
      <w:suff w:val="space"/>
      <w:lvlText w:val="%1.%2.%3.%4"/>
      <w:lvlJc w:val="left"/>
      <w:pPr>
        <w:ind w:left="1560" w:hanging="1418"/>
      </w:pPr>
      <w:rPr>
        <w:rFonts w:hint="eastAsia"/>
        <w:b/>
        <w:color w:val="auto"/>
      </w:rPr>
    </w:lvl>
    <w:lvl w:ilvl="4" w:tentative="0">
      <w:start w:val="1"/>
      <w:numFmt w:val="decimal"/>
      <w:lvlRestart w:val="2"/>
      <w:pStyle w:val="384"/>
      <w:isLgl/>
      <w:suff w:val="space"/>
      <w:lvlText w:val="表%1.%2-%5 "/>
      <w:lvlJc w:val="center"/>
      <w:pPr>
        <w:ind w:left="4112" w:hanging="1418"/>
      </w:pPr>
      <w:rPr>
        <w:sz w:val="24"/>
        <w:szCs w:val="24"/>
        <w:lang w:val="en-US"/>
      </w:rPr>
    </w:lvl>
    <w:lvl w:ilvl="5" w:tentative="0">
      <w:start w:val="1"/>
      <w:numFmt w:val="decimal"/>
      <w:lvlRestart w:val="2"/>
      <w:pStyle w:val="553"/>
      <w:isLgl/>
      <w:suff w:val="space"/>
      <w:lvlText w:val="图%1.%2-%6"/>
      <w:lvlJc w:val="center"/>
      <w:pPr>
        <w:ind w:left="8081" w:hanging="7230"/>
      </w:pPr>
      <w:rPr>
        <w:rFonts w:hint="eastAsia"/>
        <w:b/>
        <w:color w:val="auto"/>
        <w:lang w:val="en-US"/>
      </w:rPr>
    </w:lvl>
    <w:lvl w:ilvl="6" w:tentative="0">
      <w:start w:val="1"/>
      <w:numFmt w:val="decimal"/>
      <w:lvlText w:val="%1.%2.%3.%4.%5.%6.%7"/>
      <w:lvlJc w:val="left"/>
      <w:pPr>
        <w:ind w:left="3827" w:hanging="1276"/>
      </w:pPr>
      <w:rPr>
        <w:rFonts w:hint="eastAsia"/>
      </w:rPr>
    </w:lvl>
    <w:lvl w:ilvl="7" w:tentative="0">
      <w:start w:val="1"/>
      <w:numFmt w:val="decimal"/>
      <w:lvlText w:val="%1.%2.%3.%4.%5.%6.%7.%8"/>
      <w:lvlJc w:val="left"/>
      <w:pPr>
        <w:ind w:left="4394" w:hanging="1418"/>
      </w:pPr>
      <w:rPr>
        <w:rFonts w:hint="eastAsia"/>
      </w:rPr>
    </w:lvl>
    <w:lvl w:ilvl="8" w:tentative="0">
      <w:start w:val="1"/>
      <w:numFmt w:val="decimal"/>
      <w:lvlText w:val="%1.%2.%3.%4.%5.%6.%7.%8.%9"/>
      <w:lvlJc w:val="left"/>
      <w:pPr>
        <w:ind w:left="5102" w:hanging="1700"/>
      </w:pPr>
      <w:rPr>
        <w:rFonts w:hint="eastAsia"/>
      </w:rPr>
    </w:lvl>
  </w:abstractNum>
  <w:abstractNum w:abstractNumId="34">
    <w:nsid w:val="5E750455"/>
    <w:multiLevelType w:val="multilevel"/>
    <w:tmpl w:val="5E750455"/>
    <w:lvl w:ilvl="0" w:tentative="0">
      <w:start w:val="1"/>
      <w:numFmt w:val="upperLetter"/>
      <w:lvlText w:val="%1、"/>
      <w:lvlJc w:val="left"/>
      <w:pPr>
        <w:tabs>
          <w:tab w:val="left" w:pos="780"/>
        </w:tabs>
        <w:ind w:left="780" w:hanging="360"/>
      </w:pPr>
      <w:rPr>
        <w:rFonts w:hint="default"/>
      </w:rPr>
    </w:lvl>
    <w:lvl w:ilvl="1" w:tentative="0">
      <w:start w:val="1"/>
      <w:numFmt w:val="lowerLetter"/>
      <w:lvlText w:val="%2)"/>
      <w:lvlJc w:val="left"/>
      <w:pPr>
        <w:tabs>
          <w:tab w:val="left" w:pos="1260"/>
        </w:tabs>
        <w:ind w:left="1260" w:hanging="420"/>
      </w:pPr>
    </w:lvl>
    <w:lvl w:ilvl="2" w:tentative="0">
      <w:start w:val="1"/>
      <w:numFmt w:val="lowerRoman"/>
      <w:lvlText w:val="%3."/>
      <w:lvlJc w:val="right"/>
      <w:pPr>
        <w:tabs>
          <w:tab w:val="left" w:pos="1680"/>
        </w:tabs>
        <w:ind w:left="1680" w:hanging="420"/>
      </w:pPr>
    </w:lvl>
    <w:lvl w:ilvl="3" w:tentative="0">
      <w:start w:val="1"/>
      <w:numFmt w:val="decimal"/>
      <w:pStyle w:val="3124"/>
      <w:lvlText w:val="%4."/>
      <w:lvlJc w:val="left"/>
      <w:pPr>
        <w:tabs>
          <w:tab w:val="left" w:pos="2100"/>
        </w:tabs>
        <w:ind w:left="2100" w:hanging="420"/>
      </w:pPr>
    </w:lvl>
    <w:lvl w:ilvl="4" w:tentative="0">
      <w:start w:val="1"/>
      <w:numFmt w:val="lowerLetter"/>
      <w:lvlText w:val="%5)"/>
      <w:lvlJc w:val="left"/>
      <w:pPr>
        <w:tabs>
          <w:tab w:val="left" w:pos="2520"/>
        </w:tabs>
        <w:ind w:left="2520" w:hanging="420"/>
      </w:pPr>
    </w:lvl>
    <w:lvl w:ilvl="5" w:tentative="0">
      <w:start w:val="1"/>
      <w:numFmt w:val="lowerRoman"/>
      <w:lvlText w:val="%6."/>
      <w:lvlJc w:val="right"/>
      <w:pPr>
        <w:tabs>
          <w:tab w:val="left" w:pos="2940"/>
        </w:tabs>
        <w:ind w:left="2940" w:hanging="420"/>
      </w:pPr>
    </w:lvl>
    <w:lvl w:ilvl="6" w:tentative="0">
      <w:start w:val="1"/>
      <w:numFmt w:val="decimal"/>
      <w:lvlText w:val="%7."/>
      <w:lvlJc w:val="left"/>
      <w:pPr>
        <w:tabs>
          <w:tab w:val="left" w:pos="3360"/>
        </w:tabs>
        <w:ind w:left="3360" w:hanging="420"/>
      </w:pPr>
    </w:lvl>
    <w:lvl w:ilvl="7" w:tentative="0">
      <w:start w:val="1"/>
      <w:numFmt w:val="lowerLetter"/>
      <w:lvlText w:val="%8)"/>
      <w:lvlJc w:val="left"/>
      <w:pPr>
        <w:tabs>
          <w:tab w:val="left" w:pos="3780"/>
        </w:tabs>
        <w:ind w:left="3780" w:hanging="420"/>
      </w:pPr>
    </w:lvl>
    <w:lvl w:ilvl="8" w:tentative="0">
      <w:start w:val="1"/>
      <w:numFmt w:val="lowerRoman"/>
      <w:lvlText w:val="%9."/>
      <w:lvlJc w:val="right"/>
      <w:pPr>
        <w:tabs>
          <w:tab w:val="left" w:pos="4200"/>
        </w:tabs>
        <w:ind w:left="4200" w:hanging="420"/>
      </w:pPr>
    </w:lvl>
  </w:abstractNum>
  <w:abstractNum w:abstractNumId="35">
    <w:nsid w:val="60265E19"/>
    <w:multiLevelType w:val="multilevel"/>
    <w:tmpl w:val="60265E19"/>
    <w:lvl w:ilvl="0" w:tentative="0">
      <w:start w:val="0"/>
      <w:numFmt w:val="decimal"/>
      <w:lvlText w:val=""/>
      <w:lvlJc w:val="left"/>
    </w:lvl>
    <w:lvl w:ilvl="1" w:tentative="0">
      <w:start w:val="0"/>
      <w:numFmt w:val="decimal"/>
      <w:lvlText w:val=""/>
      <w:lvlJc w:val="left"/>
    </w:lvl>
    <w:lvl w:ilvl="2" w:tentative="0">
      <w:start w:val="0"/>
      <w:numFmt w:val="decimal"/>
      <w:pStyle w:val="1676"/>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36">
    <w:nsid w:val="6155474D"/>
    <w:multiLevelType w:val="multilevel"/>
    <w:tmpl w:val="6155474D"/>
    <w:lvl w:ilvl="0" w:tentative="0">
      <w:start w:val="1"/>
      <w:numFmt w:val="decimal"/>
      <w:lvlText w:val="(%1)"/>
      <w:lvlJc w:val="left"/>
      <w:pPr>
        <w:ind w:left="882" w:hanging="420"/>
      </w:pPr>
      <w:rPr>
        <w:rFonts w:hint="default" w:ascii="Times New Roman" w:hAnsi="Times New Roman" w:cs="Times New Roman"/>
      </w:rPr>
    </w:lvl>
    <w:lvl w:ilvl="1" w:tentative="0">
      <w:start w:val="1"/>
      <w:numFmt w:val="lowerLetter"/>
      <w:lvlText w:val="%2)"/>
      <w:lvlJc w:val="left"/>
      <w:pPr>
        <w:ind w:left="1302" w:hanging="420"/>
      </w:pPr>
    </w:lvl>
    <w:lvl w:ilvl="2" w:tentative="0">
      <w:start w:val="1"/>
      <w:numFmt w:val="lowerRoman"/>
      <w:lvlText w:val="%3."/>
      <w:lvlJc w:val="right"/>
      <w:pPr>
        <w:ind w:left="1722" w:hanging="420"/>
      </w:pPr>
    </w:lvl>
    <w:lvl w:ilvl="3" w:tentative="0">
      <w:start w:val="1"/>
      <w:numFmt w:val="decimal"/>
      <w:lvlText w:val="%4."/>
      <w:lvlJc w:val="left"/>
      <w:pPr>
        <w:ind w:left="2142" w:hanging="420"/>
      </w:pPr>
    </w:lvl>
    <w:lvl w:ilvl="4" w:tentative="0">
      <w:start w:val="1"/>
      <w:numFmt w:val="lowerLetter"/>
      <w:lvlText w:val="%5)"/>
      <w:lvlJc w:val="left"/>
      <w:pPr>
        <w:ind w:left="2562" w:hanging="420"/>
      </w:pPr>
    </w:lvl>
    <w:lvl w:ilvl="5" w:tentative="0">
      <w:start w:val="1"/>
      <w:numFmt w:val="lowerRoman"/>
      <w:lvlText w:val="%6."/>
      <w:lvlJc w:val="right"/>
      <w:pPr>
        <w:ind w:left="2982" w:hanging="420"/>
      </w:pPr>
    </w:lvl>
    <w:lvl w:ilvl="6" w:tentative="0">
      <w:start w:val="1"/>
      <w:numFmt w:val="decimal"/>
      <w:lvlText w:val="%7."/>
      <w:lvlJc w:val="left"/>
      <w:pPr>
        <w:ind w:left="3402" w:hanging="420"/>
      </w:pPr>
    </w:lvl>
    <w:lvl w:ilvl="7" w:tentative="0">
      <w:start w:val="1"/>
      <w:numFmt w:val="lowerLetter"/>
      <w:lvlText w:val="%8)"/>
      <w:lvlJc w:val="left"/>
      <w:pPr>
        <w:ind w:left="3822" w:hanging="420"/>
      </w:pPr>
    </w:lvl>
    <w:lvl w:ilvl="8" w:tentative="0">
      <w:start w:val="1"/>
      <w:numFmt w:val="lowerRoman"/>
      <w:lvlText w:val="%9."/>
      <w:lvlJc w:val="right"/>
      <w:pPr>
        <w:ind w:left="4242" w:hanging="420"/>
      </w:pPr>
    </w:lvl>
  </w:abstractNum>
  <w:abstractNum w:abstractNumId="37">
    <w:nsid w:val="65705745"/>
    <w:multiLevelType w:val="multilevel"/>
    <w:tmpl w:val="65705745"/>
    <w:lvl w:ilvl="0" w:tentative="0">
      <w:start w:val="1"/>
      <w:numFmt w:val="decimal"/>
      <w:pStyle w:val="3428"/>
      <w:lvlText w:val="%1."/>
      <w:lvlJc w:val="left"/>
      <w:pPr>
        <w:ind w:left="425" w:hanging="425"/>
      </w:pPr>
    </w:lvl>
    <w:lvl w:ilvl="1" w:tentative="0">
      <w:start w:val="1"/>
      <w:numFmt w:val="decimal"/>
      <w:pStyle w:val="3427"/>
      <w:lvlText w:val="%1.%2."/>
      <w:lvlJc w:val="left"/>
      <w:pPr>
        <w:ind w:left="567" w:hanging="567"/>
      </w:pPr>
    </w:lvl>
    <w:lvl w:ilvl="2" w:tentative="0">
      <w:start w:val="1"/>
      <w:numFmt w:val="decimal"/>
      <w:lvlText w:val="%1.%2.%3."/>
      <w:lvlJc w:val="left"/>
      <w:pPr>
        <w:ind w:left="709" w:hanging="709"/>
      </w:pPr>
    </w:lvl>
    <w:lvl w:ilvl="3" w:tentative="0">
      <w:start w:val="1"/>
      <w:numFmt w:val="decimal"/>
      <w:lvlText w:val="%1.%2.%3.%4."/>
      <w:lvlJc w:val="left"/>
      <w:pPr>
        <w:ind w:left="851" w:hanging="851"/>
      </w:pPr>
    </w:lvl>
    <w:lvl w:ilvl="4" w:tentative="0">
      <w:start w:val="1"/>
      <w:numFmt w:val="decimal"/>
      <w:lvlText w:val="%1.%2.%3.%4.%5."/>
      <w:lvlJc w:val="left"/>
      <w:pPr>
        <w:ind w:left="992" w:hanging="992"/>
      </w:pPr>
    </w:lvl>
    <w:lvl w:ilvl="5" w:tentative="0">
      <w:start w:val="1"/>
      <w:numFmt w:val="decimal"/>
      <w:lvlText w:val="%1.%2.%3.%4.%5.%6."/>
      <w:lvlJc w:val="left"/>
      <w:pPr>
        <w:ind w:left="1134" w:hanging="1134"/>
      </w:pPr>
    </w:lvl>
    <w:lvl w:ilvl="6" w:tentative="0">
      <w:start w:val="1"/>
      <w:numFmt w:val="decimal"/>
      <w:lvlText w:val="%1.%2.%3.%4.%5.%6.%7."/>
      <w:lvlJc w:val="left"/>
      <w:pPr>
        <w:ind w:left="1276" w:hanging="1276"/>
      </w:pPr>
    </w:lvl>
    <w:lvl w:ilvl="7" w:tentative="0">
      <w:start w:val="1"/>
      <w:numFmt w:val="decimal"/>
      <w:lvlText w:val="%1.%2.%3.%4.%5.%6.%7.%8."/>
      <w:lvlJc w:val="left"/>
      <w:pPr>
        <w:ind w:left="1418" w:hanging="1418"/>
      </w:pPr>
    </w:lvl>
    <w:lvl w:ilvl="8" w:tentative="0">
      <w:start w:val="1"/>
      <w:numFmt w:val="decimal"/>
      <w:lvlText w:val="%1.%2.%3.%4.%5.%6.%7.%8.%9."/>
      <w:lvlJc w:val="left"/>
      <w:pPr>
        <w:ind w:left="1559" w:hanging="1559"/>
      </w:pPr>
    </w:lvl>
  </w:abstractNum>
  <w:abstractNum w:abstractNumId="38">
    <w:nsid w:val="66260077"/>
    <w:multiLevelType w:val="multilevel"/>
    <w:tmpl w:val="66260077"/>
    <w:lvl w:ilvl="0" w:tentative="0">
      <w:start w:val="1"/>
      <w:numFmt w:val="decimal"/>
      <w:lvlText w:val="（%1）"/>
      <w:lvlJc w:val="left"/>
      <w:pPr>
        <w:tabs>
          <w:tab w:val="left" w:pos="2052"/>
        </w:tabs>
        <w:ind w:left="2052" w:hanging="720"/>
      </w:pPr>
      <w:rPr>
        <w:rFonts w:hint="default"/>
      </w:rPr>
    </w:lvl>
    <w:lvl w:ilvl="1" w:tentative="0">
      <w:start w:val="1"/>
      <w:numFmt w:val="lowerLetter"/>
      <w:lvlText w:val="%2)"/>
      <w:lvlJc w:val="left"/>
      <w:pPr>
        <w:tabs>
          <w:tab w:val="left" w:pos="2172"/>
        </w:tabs>
        <w:ind w:left="2172" w:hanging="420"/>
      </w:pPr>
    </w:lvl>
    <w:lvl w:ilvl="2" w:tentative="0">
      <w:start w:val="1"/>
      <w:numFmt w:val="lowerRoman"/>
      <w:pStyle w:val="770"/>
      <w:lvlText w:val="%3."/>
      <w:lvlJc w:val="right"/>
      <w:pPr>
        <w:tabs>
          <w:tab w:val="left" w:pos="2592"/>
        </w:tabs>
        <w:ind w:left="2592" w:hanging="420"/>
      </w:pPr>
    </w:lvl>
    <w:lvl w:ilvl="3" w:tentative="0">
      <w:start w:val="1"/>
      <w:numFmt w:val="decimal"/>
      <w:pStyle w:val="769"/>
      <w:lvlText w:val="%4."/>
      <w:lvlJc w:val="left"/>
      <w:pPr>
        <w:tabs>
          <w:tab w:val="left" w:pos="3012"/>
        </w:tabs>
        <w:ind w:left="3012" w:hanging="420"/>
      </w:pPr>
    </w:lvl>
    <w:lvl w:ilvl="4" w:tentative="0">
      <w:start w:val="1"/>
      <w:numFmt w:val="lowerLetter"/>
      <w:lvlText w:val="%5)"/>
      <w:lvlJc w:val="left"/>
      <w:pPr>
        <w:tabs>
          <w:tab w:val="left" w:pos="3432"/>
        </w:tabs>
        <w:ind w:left="3432" w:hanging="420"/>
      </w:pPr>
    </w:lvl>
    <w:lvl w:ilvl="5" w:tentative="0">
      <w:start w:val="1"/>
      <w:numFmt w:val="lowerRoman"/>
      <w:lvlText w:val="%6."/>
      <w:lvlJc w:val="right"/>
      <w:pPr>
        <w:tabs>
          <w:tab w:val="left" w:pos="3852"/>
        </w:tabs>
        <w:ind w:left="3852" w:hanging="420"/>
      </w:pPr>
    </w:lvl>
    <w:lvl w:ilvl="6" w:tentative="0">
      <w:start w:val="1"/>
      <w:numFmt w:val="decimal"/>
      <w:lvlText w:val="%7."/>
      <w:lvlJc w:val="left"/>
      <w:pPr>
        <w:tabs>
          <w:tab w:val="left" w:pos="4272"/>
        </w:tabs>
        <w:ind w:left="4272" w:hanging="420"/>
      </w:pPr>
    </w:lvl>
    <w:lvl w:ilvl="7" w:tentative="0">
      <w:start w:val="1"/>
      <w:numFmt w:val="lowerLetter"/>
      <w:lvlText w:val="%8)"/>
      <w:lvlJc w:val="left"/>
      <w:pPr>
        <w:tabs>
          <w:tab w:val="left" w:pos="4692"/>
        </w:tabs>
        <w:ind w:left="4692" w:hanging="420"/>
      </w:pPr>
    </w:lvl>
    <w:lvl w:ilvl="8" w:tentative="0">
      <w:start w:val="1"/>
      <w:numFmt w:val="lowerRoman"/>
      <w:lvlText w:val="%9."/>
      <w:lvlJc w:val="right"/>
      <w:pPr>
        <w:tabs>
          <w:tab w:val="left" w:pos="5112"/>
        </w:tabs>
        <w:ind w:left="5112" w:hanging="420"/>
      </w:pPr>
    </w:lvl>
  </w:abstractNum>
  <w:abstractNum w:abstractNumId="39">
    <w:nsid w:val="6B0A344D"/>
    <w:multiLevelType w:val="multilevel"/>
    <w:tmpl w:val="6B0A344D"/>
    <w:lvl w:ilvl="0" w:tentative="0">
      <w:start w:val="0"/>
      <w:numFmt w:val="decimal"/>
      <w:pStyle w:val="1161"/>
      <w:lvlText w:val=""/>
      <w:lvlJc w:val="left"/>
      <w:pPr>
        <w:ind w:left="0" w:firstLine="0"/>
      </w:pPr>
    </w:lvl>
    <w:lvl w:ilvl="1" w:tentative="0">
      <w:start w:val="0"/>
      <w:numFmt w:val="decimal"/>
      <w:pStyle w:val="1159"/>
      <w:lvlText w:val=""/>
      <w:lvlJc w:val="left"/>
      <w:pPr>
        <w:ind w:left="0" w:firstLine="0"/>
      </w:pPr>
    </w:lvl>
    <w:lvl w:ilvl="2" w:tentative="0">
      <w:start w:val="0"/>
      <w:numFmt w:val="decimal"/>
      <w:lvlText w:val=""/>
      <w:lvlJc w:val="left"/>
      <w:pPr>
        <w:ind w:left="0" w:firstLine="0"/>
      </w:pPr>
    </w:lvl>
    <w:lvl w:ilvl="3" w:tentative="0">
      <w:start w:val="0"/>
      <w:numFmt w:val="decimal"/>
      <w:pStyle w:val="1160"/>
      <w:lvlText w:val=""/>
      <w:lvlJc w:val="left"/>
      <w:pPr>
        <w:ind w:left="0" w:firstLine="0"/>
      </w:pPr>
    </w:lvl>
    <w:lvl w:ilvl="4" w:tentative="0">
      <w:start w:val="0"/>
      <w:numFmt w:val="decimal"/>
      <w:lvlText w:val=""/>
      <w:lvlJc w:val="left"/>
      <w:pPr>
        <w:ind w:left="0" w:firstLine="0"/>
      </w:pPr>
    </w:lvl>
    <w:lvl w:ilvl="5" w:tentative="0">
      <w:start w:val="0"/>
      <w:numFmt w:val="decimal"/>
      <w:lvlText w:val=""/>
      <w:lvlJc w:val="left"/>
      <w:pPr>
        <w:ind w:left="0" w:firstLine="0"/>
      </w:pPr>
    </w:lvl>
    <w:lvl w:ilvl="6" w:tentative="0">
      <w:start w:val="0"/>
      <w:numFmt w:val="decimal"/>
      <w:lvlText w:val=""/>
      <w:lvlJc w:val="left"/>
      <w:pPr>
        <w:ind w:left="0" w:firstLine="0"/>
      </w:pPr>
    </w:lvl>
    <w:lvl w:ilvl="7" w:tentative="0">
      <w:start w:val="0"/>
      <w:numFmt w:val="decimal"/>
      <w:lvlText w:val=""/>
      <w:lvlJc w:val="left"/>
      <w:pPr>
        <w:ind w:left="0" w:firstLine="0"/>
      </w:pPr>
    </w:lvl>
    <w:lvl w:ilvl="8" w:tentative="0">
      <w:start w:val="0"/>
      <w:numFmt w:val="decimal"/>
      <w:lvlText w:val=""/>
      <w:lvlJc w:val="left"/>
      <w:pPr>
        <w:ind w:left="0" w:firstLine="0"/>
      </w:pPr>
    </w:lvl>
  </w:abstractNum>
  <w:abstractNum w:abstractNumId="40">
    <w:nsid w:val="6CEA2025"/>
    <w:multiLevelType w:val="multilevel"/>
    <w:tmpl w:val="6CEA2025"/>
    <w:lvl w:ilvl="0" w:tentative="0">
      <w:start w:val="0"/>
      <w:numFmt w:val="decimal"/>
      <w:pStyle w:val="693"/>
      <w:lvlText w:val=""/>
      <w:lvlJc w:val="left"/>
    </w:lvl>
    <w:lvl w:ilvl="1" w:tentative="0">
      <w:start w:val="0"/>
      <w:numFmt w:val="decimal"/>
      <w:pStyle w:val="692"/>
      <w:lvlText w:val=""/>
      <w:lvlJc w:val="left"/>
    </w:lvl>
    <w:lvl w:ilvl="2" w:tentative="0">
      <w:start w:val="0"/>
      <w:numFmt w:val="decimal"/>
      <w:lvlText w:val=""/>
      <w:lvlJc w:val="left"/>
    </w:lvl>
    <w:lvl w:ilvl="3" w:tentative="0">
      <w:start w:val="0"/>
      <w:numFmt w:val="decimal"/>
      <w:pStyle w:val="694"/>
      <w:lvlText w:val=""/>
      <w:lvlJc w:val="left"/>
    </w:lvl>
    <w:lvl w:ilvl="4" w:tentative="0">
      <w:start w:val="0"/>
      <w:numFmt w:val="decimal"/>
      <w:pStyle w:val="697"/>
      <w:lvlText w:val=""/>
      <w:lvlJc w:val="left"/>
    </w:lvl>
    <w:lvl w:ilvl="5" w:tentative="0">
      <w:start w:val="0"/>
      <w:numFmt w:val="decimal"/>
      <w:pStyle w:val="720"/>
      <w:lvlText w:val=""/>
      <w:lvlJc w:val="left"/>
    </w:lvl>
    <w:lvl w:ilvl="6" w:tentative="0">
      <w:start w:val="0"/>
      <w:numFmt w:val="decimal"/>
      <w:pStyle w:val="772"/>
      <w:lvlText w:val=""/>
      <w:lvlJc w:val="left"/>
    </w:lvl>
    <w:lvl w:ilvl="7" w:tentative="0">
      <w:start w:val="0"/>
      <w:numFmt w:val="decimal"/>
      <w:lvlText w:val=""/>
      <w:lvlJc w:val="left"/>
    </w:lvl>
    <w:lvl w:ilvl="8" w:tentative="0">
      <w:start w:val="0"/>
      <w:numFmt w:val="decimal"/>
      <w:lvlText w:val=""/>
      <w:lvlJc w:val="left"/>
    </w:lvl>
  </w:abstractNum>
  <w:abstractNum w:abstractNumId="41">
    <w:nsid w:val="6DBF04F4"/>
    <w:multiLevelType w:val="multilevel"/>
    <w:tmpl w:val="6DBF04F4"/>
    <w:lvl w:ilvl="0" w:tentative="0">
      <w:start w:val="1"/>
      <w:numFmt w:val="none"/>
      <w:pStyle w:val="470"/>
      <w:lvlText w:val="%1注："/>
      <w:lvlJc w:val="left"/>
      <w:pPr>
        <w:tabs>
          <w:tab w:val="left" w:pos="1140"/>
        </w:tabs>
        <w:ind w:left="840" w:hanging="420"/>
      </w:pPr>
      <w:rPr>
        <w:rFonts w:hint="eastAsia" w:ascii="宋体" w:hAnsi="Times New Roman" w:eastAsia="宋体"/>
        <w:b w:val="0"/>
        <w:bCs w:val="0"/>
        <w:i w:val="0"/>
        <w:iCs w:val="0"/>
        <w:sz w:val="18"/>
        <w:szCs w:val="18"/>
      </w:rPr>
    </w:lvl>
    <w:lvl w:ilvl="1" w:tentative="0">
      <w:start w:val="1"/>
      <w:numFmt w:val="lowerLetter"/>
      <w:lvlText w:val="%2)"/>
      <w:lvlJc w:val="left"/>
      <w:pPr>
        <w:tabs>
          <w:tab w:val="left" w:pos="840"/>
        </w:tabs>
        <w:ind w:left="840" w:hanging="420"/>
      </w:pPr>
    </w:lvl>
    <w:lvl w:ilvl="2" w:tentative="0">
      <w:start w:val="1"/>
      <w:numFmt w:val="lowerRoman"/>
      <w:lvlText w:val="%3."/>
      <w:lvlJc w:val="right"/>
      <w:pPr>
        <w:tabs>
          <w:tab w:val="left" w:pos="1260"/>
        </w:tabs>
        <w:ind w:left="1260" w:hanging="420"/>
      </w:pPr>
    </w:lvl>
    <w:lvl w:ilvl="3" w:tentative="0">
      <w:start w:val="1"/>
      <w:numFmt w:val="decimal"/>
      <w:lvlText w:val="%4."/>
      <w:lvlJc w:val="left"/>
      <w:pPr>
        <w:tabs>
          <w:tab w:val="left" w:pos="1680"/>
        </w:tabs>
        <w:ind w:left="1680" w:hanging="420"/>
      </w:p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abstractNum w:abstractNumId="42">
    <w:nsid w:val="6E463781"/>
    <w:multiLevelType w:val="multilevel"/>
    <w:tmpl w:val="6E463781"/>
    <w:lvl w:ilvl="0" w:tentative="0">
      <w:start w:val="1"/>
      <w:numFmt w:val="decimal"/>
      <w:lvlText w:val="(%1)"/>
      <w:lvlJc w:val="left"/>
      <w:pPr>
        <w:ind w:left="882" w:hanging="420"/>
      </w:pPr>
      <w:rPr>
        <w:rFonts w:hint="default" w:ascii="Times New Roman" w:hAnsi="Times New Roman" w:cs="Times New Roman"/>
      </w:rPr>
    </w:lvl>
    <w:lvl w:ilvl="1" w:tentative="0">
      <w:start w:val="1"/>
      <w:numFmt w:val="lowerLetter"/>
      <w:lvlText w:val="%2)"/>
      <w:lvlJc w:val="left"/>
      <w:pPr>
        <w:ind w:left="1302" w:hanging="420"/>
      </w:pPr>
    </w:lvl>
    <w:lvl w:ilvl="2" w:tentative="0">
      <w:start w:val="1"/>
      <w:numFmt w:val="lowerRoman"/>
      <w:lvlText w:val="%3."/>
      <w:lvlJc w:val="right"/>
      <w:pPr>
        <w:ind w:left="1722" w:hanging="420"/>
      </w:pPr>
    </w:lvl>
    <w:lvl w:ilvl="3" w:tentative="0">
      <w:start w:val="1"/>
      <w:numFmt w:val="decimal"/>
      <w:lvlText w:val="%4."/>
      <w:lvlJc w:val="left"/>
      <w:pPr>
        <w:ind w:left="2142" w:hanging="420"/>
      </w:pPr>
    </w:lvl>
    <w:lvl w:ilvl="4" w:tentative="0">
      <w:start w:val="1"/>
      <w:numFmt w:val="lowerLetter"/>
      <w:lvlText w:val="%5)"/>
      <w:lvlJc w:val="left"/>
      <w:pPr>
        <w:ind w:left="2562" w:hanging="420"/>
      </w:pPr>
    </w:lvl>
    <w:lvl w:ilvl="5" w:tentative="0">
      <w:start w:val="1"/>
      <w:numFmt w:val="lowerRoman"/>
      <w:lvlText w:val="%6."/>
      <w:lvlJc w:val="right"/>
      <w:pPr>
        <w:ind w:left="2982" w:hanging="420"/>
      </w:pPr>
    </w:lvl>
    <w:lvl w:ilvl="6" w:tentative="0">
      <w:start w:val="1"/>
      <w:numFmt w:val="decimal"/>
      <w:lvlText w:val="%7."/>
      <w:lvlJc w:val="left"/>
      <w:pPr>
        <w:ind w:left="3402" w:hanging="420"/>
      </w:pPr>
    </w:lvl>
    <w:lvl w:ilvl="7" w:tentative="0">
      <w:start w:val="1"/>
      <w:numFmt w:val="lowerLetter"/>
      <w:lvlText w:val="%8)"/>
      <w:lvlJc w:val="left"/>
      <w:pPr>
        <w:ind w:left="3822" w:hanging="420"/>
      </w:pPr>
    </w:lvl>
    <w:lvl w:ilvl="8" w:tentative="0">
      <w:start w:val="1"/>
      <w:numFmt w:val="lowerRoman"/>
      <w:lvlText w:val="%9."/>
      <w:lvlJc w:val="right"/>
      <w:pPr>
        <w:ind w:left="4242" w:hanging="420"/>
      </w:pPr>
    </w:lvl>
  </w:abstractNum>
  <w:abstractNum w:abstractNumId="43">
    <w:nsid w:val="6E5456EB"/>
    <w:multiLevelType w:val="multilevel"/>
    <w:tmpl w:val="6E5456EB"/>
    <w:lvl w:ilvl="0" w:tentative="0">
      <w:start w:val="1"/>
      <w:numFmt w:val="decimal"/>
      <w:lvlText w:val="(%1)"/>
      <w:lvlJc w:val="left"/>
      <w:pPr>
        <w:ind w:left="882" w:hanging="420"/>
      </w:pPr>
      <w:rPr>
        <w:rFonts w:hint="default" w:ascii="Times New Roman" w:hAnsi="Times New Roman" w:cs="Times New Roman"/>
      </w:rPr>
    </w:lvl>
    <w:lvl w:ilvl="1" w:tentative="0">
      <w:start w:val="1"/>
      <w:numFmt w:val="lowerLetter"/>
      <w:lvlText w:val="%2)"/>
      <w:lvlJc w:val="left"/>
      <w:pPr>
        <w:ind w:left="1302" w:hanging="420"/>
      </w:pPr>
    </w:lvl>
    <w:lvl w:ilvl="2" w:tentative="0">
      <w:start w:val="1"/>
      <w:numFmt w:val="lowerRoman"/>
      <w:lvlText w:val="%3."/>
      <w:lvlJc w:val="right"/>
      <w:pPr>
        <w:ind w:left="1722" w:hanging="420"/>
      </w:pPr>
    </w:lvl>
    <w:lvl w:ilvl="3" w:tentative="0">
      <w:start w:val="1"/>
      <w:numFmt w:val="decimal"/>
      <w:lvlText w:val="%4."/>
      <w:lvlJc w:val="left"/>
      <w:pPr>
        <w:ind w:left="2142" w:hanging="420"/>
      </w:pPr>
    </w:lvl>
    <w:lvl w:ilvl="4" w:tentative="0">
      <w:start w:val="1"/>
      <w:numFmt w:val="lowerLetter"/>
      <w:lvlText w:val="%5)"/>
      <w:lvlJc w:val="left"/>
      <w:pPr>
        <w:ind w:left="2562" w:hanging="420"/>
      </w:pPr>
    </w:lvl>
    <w:lvl w:ilvl="5" w:tentative="0">
      <w:start w:val="1"/>
      <w:numFmt w:val="lowerRoman"/>
      <w:lvlText w:val="%6."/>
      <w:lvlJc w:val="right"/>
      <w:pPr>
        <w:ind w:left="2982" w:hanging="420"/>
      </w:pPr>
    </w:lvl>
    <w:lvl w:ilvl="6" w:tentative="0">
      <w:start w:val="1"/>
      <w:numFmt w:val="decimal"/>
      <w:lvlText w:val="%7."/>
      <w:lvlJc w:val="left"/>
      <w:pPr>
        <w:ind w:left="3402" w:hanging="420"/>
      </w:pPr>
    </w:lvl>
    <w:lvl w:ilvl="7" w:tentative="0">
      <w:start w:val="1"/>
      <w:numFmt w:val="lowerLetter"/>
      <w:lvlText w:val="%8)"/>
      <w:lvlJc w:val="left"/>
      <w:pPr>
        <w:ind w:left="3822" w:hanging="420"/>
      </w:pPr>
    </w:lvl>
    <w:lvl w:ilvl="8" w:tentative="0">
      <w:start w:val="1"/>
      <w:numFmt w:val="lowerRoman"/>
      <w:lvlText w:val="%9."/>
      <w:lvlJc w:val="right"/>
      <w:pPr>
        <w:ind w:left="4242" w:hanging="420"/>
      </w:pPr>
    </w:lvl>
  </w:abstractNum>
  <w:abstractNum w:abstractNumId="44">
    <w:nsid w:val="74B81958"/>
    <w:multiLevelType w:val="multilevel"/>
    <w:tmpl w:val="74B81958"/>
    <w:lvl w:ilvl="0" w:tentative="0">
      <w:start w:val="0"/>
      <w:numFmt w:val="decimal"/>
      <w:pStyle w:val="1618"/>
      <w:lvlText w:val=""/>
      <w:lvlJc w:val="left"/>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45">
    <w:nsid w:val="78CF6643"/>
    <w:multiLevelType w:val="multilevel"/>
    <w:tmpl w:val="78CF6643"/>
    <w:lvl w:ilvl="0" w:tentative="0">
      <w:start w:val="1"/>
      <w:numFmt w:val="chineseCountingThousand"/>
      <w:pStyle w:val="2430"/>
      <w:lvlText w:val="第%1章"/>
      <w:lvlJc w:val="left"/>
      <w:pPr>
        <w:ind w:left="0" w:firstLine="0"/>
      </w:pPr>
    </w:lvl>
    <w:lvl w:ilvl="1" w:tentative="0">
      <w:start w:val="1"/>
      <w:numFmt w:val="decimal"/>
      <w:pStyle w:val="2435"/>
      <w:isLgl/>
      <w:lvlText w:val="%1.%2"/>
      <w:lvlJc w:val="left"/>
      <w:pPr>
        <w:ind w:left="0" w:firstLine="0"/>
      </w:pPr>
    </w:lvl>
    <w:lvl w:ilvl="2" w:tentative="0">
      <w:start w:val="1"/>
      <w:numFmt w:val="decimal"/>
      <w:pStyle w:val="2390"/>
      <w:isLgl/>
      <w:lvlText w:val="%1.%2.%3"/>
      <w:lvlJc w:val="left"/>
      <w:pPr>
        <w:ind w:left="0" w:firstLine="0"/>
      </w:pPr>
    </w:lvl>
    <w:lvl w:ilvl="3" w:tentative="0">
      <w:start w:val="1"/>
      <w:numFmt w:val="decimal"/>
      <w:pStyle w:val="2583"/>
      <w:isLgl/>
      <w:lvlText w:val="%1.%2.%3.%4"/>
      <w:lvlJc w:val="left"/>
      <w:pPr>
        <w:ind w:left="0" w:firstLine="0"/>
      </w:pPr>
    </w:lvl>
    <w:lvl w:ilvl="4" w:tentative="0">
      <w:start w:val="1"/>
      <w:numFmt w:val="decimal"/>
      <w:lvlRestart w:val="2"/>
      <w:pStyle w:val="2540"/>
      <w:isLgl/>
      <w:lvlText w:val="表%1.%2-%5"/>
      <w:lvlJc w:val="left"/>
      <w:pPr>
        <w:ind w:left="0" w:firstLine="0"/>
      </w:pPr>
    </w:lvl>
    <w:lvl w:ilvl="5" w:tentative="0">
      <w:start w:val="1"/>
      <w:numFmt w:val="none"/>
      <w:lvlText w:val=""/>
      <w:lvlJc w:val="left"/>
      <w:pPr>
        <w:ind w:left="0" w:firstLine="0"/>
      </w:pPr>
    </w:lvl>
    <w:lvl w:ilvl="6" w:tentative="0">
      <w:start w:val="1"/>
      <w:numFmt w:val="none"/>
      <w:suff w:val="nothing"/>
      <w:lvlText w:val=""/>
      <w:lvlJc w:val="left"/>
      <w:pPr>
        <w:ind w:left="0" w:firstLine="0"/>
      </w:pPr>
    </w:lvl>
    <w:lvl w:ilvl="7" w:tentative="0">
      <w:start w:val="1"/>
      <w:numFmt w:val="none"/>
      <w:suff w:val="nothing"/>
      <w:lvlText w:val=""/>
      <w:lvlJc w:val="left"/>
      <w:pPr>
        <w:ind w:left="0" w:firstLine="0"/>
      </w:pPr>
    </w:lvl>
    <w:lvl w:ilvl="8" w:tentative="0">
      <w:start w:val="1"/>
      <w:numFmt w:val="none"/>
      <w:suff w:val="nothing"/>
      <w:lvlText w:val=""/>
      <w:lvlJc w:val="left"/>
      <w:pPr>
        <w:ind w:left="0" w:firstLine="0"/>
      </w:pPr>
    </w:lvl>
  </w:abstractNum>
  <w:abstractNum w:abstractNumId="46">
    <w:nsid w:val="7BF24CF0"/>
    <w:multiLevelType w:val="multilevel"/>
    <w:tmpl w:val="7BF24CF0"/>
    <w:lvl w:ilvl="0" w:tentative="0">
      <w:start w:val="0"/>
      <w:numFmt w:val="decimal"/>
      <w:lvlText w:val=""/>
      <w:lvlJc w:val="left"/>
    </w:lvl>
    <w:lvl w:ilvl="1" w:tentative="0">
      <w:start w:val="0"/>
      <w:numFmt w:val="decimal"/>
      <w:lvlText w:val=""/>
      <w:lvlJc w:val="left"/>
    </w:lvl>
    <w:lvl w:ilvl="2" w:tentative="0">
      <w:start w:val="0"/>
      <w:numFmt w:val="decimal"/>
      <w:pStyle w:val="889"/>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num w:numId="1">
    <w:abstractNumId w:val="33"/>
  </w:num>
  <w:num w:numId="2">
    <w:abstractNumId w:val="16"/>
  </w:num>
  <w:num w:numId="3">
    <w:abstractNumId w:val="2"/>
  </w:num>
  <w:num w:numId="4">
    <w:abstractNumId w:val="4"/>
  </w:num>
  <w:num w:numId="5">
    <w:abstractNumId w:val="6"/>
  </w:num>
  <w:num w:numId="6">
    <w:abstractNumId w:val="5"/>
  </w:num>
  <w:num w:numId="7">
    <w:abstractNumId w:val="3"/>
  </w:num>
  <w:num w:numId="8">
    <w:abstractNumId w:val="1"/>
  </w:num>
  <w:num w:numId="9">
    <w:abstractNumId w:val="0"/>
  </w:num>
  <w:num w:numId="10">
    <w:abstractNumId w:val="8"/>
  </w:num>
  <w:num w:numId="11">
    <w:abstractNumId w:val="41"/>
  </w:num>
  <w:num w:numId="12">
    <w:abstractNumId w:val="9"/>
  </w:num>
  <w:num w:numId="13">
    <w:abstractNumId w:val="11"/>
  </w:num>
  <w:num w:numId="14">
    <w:abstractNumId w:val="40"/>
  </w:num>
  <w:num w:numId="15">
    <w:abstractNumId w:val="38"/>
  </w:num>
  <w:num w:numId="16">
    <w:abstractNumId w:val="15"/>
  </w:num>
  <w:num w:numId="17">
    <w:abstractNumId w:val="46"/>
  </w:num>
  <w:num w:numId="18">
    <w:abstractNumId w:val="10"/>
  </w:num>
  <w:num w:numId="19">
    <w:abstractNumId w:val="39"/>
  </w:num>
  <w:num w:numId="20">
    <w:abstractNumId w:val="25"/>
  </w:num>
  <w:num w:numId="21">
    <w:abstractNumId w:val="18"/>
  </w:num>
  <w:num w:numId="22">
    <w:abstractNumId w:val="13"/>
  </w:num>
  <w:num w:numId="23">
    <w:abstractNumId w:val="4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17"/>
  </w:num>
  <w:num w:numId="30">
    <w:abstractNumId w:val="32"/>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20"/>
  </w:num>
  <w:num w:numId="32">
    <w:abstractNumId w:val="28"/>
  </w:num>
  <w:num w:numId="33">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19"/>
  </w:num>
  <w:num w:numId="35">
    <w:abstractNumId w:val="45"/>
  </w:num>
  <w:num w:numId="36">
    <w:abstractNumId w:val="7"/>
  </w:num>
  <w:num w:numId="37">
    <w:abstractNumId w:val="31"/>
  </w:num>
  <w:num w:numId="38">
    <w:abstractNumId w:val="12"/>
  </w:num>
  <w:num w:numId="39">
    <w:abstractNumId w:val="21"/>
  </w:num>
  <w:num w:numId="40">
    <w:abstractNumId w:val="34"/>
  </w:num>
  <w:num w:numId="41">
    <w:abstractNumId w:val="37"/>
  </w:num>
  <w:num w:numId="42">
    <w:abstractNumId w:val="42"/>
  </w:num>
  <w:num w:numId="43">
    <w:abstractNumId w:val="22"/>
  </w:num>
  <w:num w:numId="44">
    <w:abstractNumId w:val="43"/>
  </w:num>
  <w:num w:numId="45">
    <w:abstractNumId w:val="36"/>
  </w:num>
  <w:num w:numId="46">
    <w:abstractNumId w:val="29"/>
  </w:num>
  <w:num w:numId="47">
    <w:abstractNumId w:val="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abstractNumId w:val="3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mirrorMargins w:val="1"/>
  <w:bordersDoNotSurroundHeader w:val="1"/>
  <w:bordersDoNotSurroundFooter w:val="1"/>
  <w:hideSpellingErrors/>
  <w:hideGrammaticalError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enforcement="0"/>
  <w:defaultTabStop w:val="425"/>
  <w:evenAndOddHeaders w:val="1"/>
  <w:drawingGridHorizontalSpacing w:val="231"/>
  <w:drawingGridVerticalSpacing w:val="465"/>
  <w:displayHorizontalDrawingGridEvery w:val="0"/>
  <w:characterSpacingControl w:val="compressPunctuation"/>
  <w:compat>
    <w:spaceForUL/>
    <w:balanceSingleByteDoubleByteWidth/>
    <w:doNotLeaveBackslashAlone/>
    <w:ulTrailSpace/>
    <w:doNotExpandShiftReturn/>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YWQ5OTBlMjNkY2IyZThlNGYzNWI1ODc4NDQ0OTg1NDIifQ=="/>
  </w:docVars>
  <w:rsids>
    <w:rsidRoot w:val="003F4FE2"/>
    <w:rsid w:val="000002DE"/>
    <w:rsid w:val="0000059E"/>
    <w:rsid w:val="00000633"/>
    <w:rsid w:val="00000B15"/>
    <w:rsid w:val="00000B7F"/>
    <w:rsid w:val="0000100C"/>
    <w:rsid w:val="00001E5B"/>
    <w:rsid w:val="00002D98"/>
    <w:rsid w:val="0000304A"/>
    <w:rsid w:val="00003215"/>
    <w:rsid w:val="00003361"/>
    <w:rsid w:val="00004529"/>
    <w:rsid w:val="00004B8A"/>
    <w:rsid w:val="00004F08"/>
    <w:rsid w:val="000053C4"/>
    <w:rsid w:val="00005925"/>
    <w:rsid w:val="000059A4"/>
    <w:rsid w:val="00006614"/>
    <w:rsid w:val="00006A3D"/>
    <w:rsid w:val="00006A80"/>
    <w:rsid w:val="00006EB3"/>
    <w:rsid w:val="000072E0"/>
    <w:rsid w:val="00007563"/>
    <w:rsid w:val="000077C1"/>
    <w:rsid w:val="00007A4D"/>
    <w:rsid w:val="00007B90"/>
    <w:rsid w:val="000100E0"/>
    <w:rsid w:val="00010C3E"/>
    <w:rsid w:val="00010CF3"/>
    <w:rsid w:val="00011114"/>
    <w:rsid w:val="00011217"/>
    <w:rsid w:val="00011914"/>
    <w:rsid w:val="000124E8"/>
    <w:rsid w:val="00012972"/>
    <w:rsid w:val="00012CDF"/>
    <w:rsid w:val="00012D3D"/>
    <w:rsid w:val="000130CF"/>
    <w:rsid w:val="00013AAD"/>
    <w:rsid w:val="00013D4B"/>
    <w:rsid w:val="00013DBD"/>
    <w:rsid w:val="00014645"/>
    <w:rsid w:val="0001464E"/>
    <w:rsid w:val="0001472E"/>
    <w:rsid w:val="00014E59"/>
    <w:rsid w:val="00014EE7"/>
    <w:rsid w:val="000155E2"/>
    <w:rsid w:val="000165DA"/>
    <w:rsid w:val="00016796"/>
    <w:rsid w:val="00016A03"/>
    <w:rsid w:val="000171C0"/>
    <w:rsid w:val="0001770E"/>
    <w:rsid w:val="000179FA"/>
    <w:rsid w:val="00017AB0"/>
    <w:rsid w:val="0002015D"/>
    <w:rsid w:val="00020442"/>
    <w:rsid w:val="00020759"/>
    <w:rsid w:val="00020DCD"/>
    <w:rsid w:val="0002185A"/>
    <w:rsid w:val="00022348"/>
    <w:rsid w:val="0002274B"/>
    <w:rsid w:val="00022A9F"/>
    <w:rsid w:val="0002349A"/>
    <w:rsid w:val="000234B8"/>
    <w:rsid w:val="0002394D"/>
    <w:rsid w:val="00023982"/>
    <w:rsid w:val="00023A31"/>
    <w:rsid w:val="00023B4A"/>
    <w:rsid w:val="00023C95"/>
    <w:rsid w:val="00024306"/>
    <w:rsid w:val="000243FD"/>
    <w:rsid w:val="00024485"/>
    <w:rsid w:val="00024A82"/>
    <w:rsid w:val="00024D44"/>
    <w:rsid w:val="00024F63"/>
    <w:rsid w:val="000250FF"/>
    <w:rsid w:val="000251E3"/>
    <w:rsid w:val="0002553D"/>
    <w:rsid w:val="0002582D"/>
    <w:rsid w:val="00025A7B"/>
    <w:rsid w:val="00025BE9"/>
    <w:rsid w:val="00025E2D"/>
    <w:rsid w:val="00025EE1"/>
    <w:rsid w:val="000276E6"/>
    <w:rsid w:val="00027FD9"/>
    <w:rsid w:val="00030BAD"/>
    <w:rsid w:val="00030E37"/>
    <w:rsid w:val="00030E73"/>
    <w:rsid w:val="00030ECA"/>
    <w:rsid w:val="00031602"/>
    <w:rsid w:val="00031836"/>
    <w:rsid w:val="00031B77"/>
    <w:rsid w:val="00032A61"/>
    <w:rsid w:val="00032DB9"/>
    <w:rsid w:val="00033198"/>
    <w:rsid w:val="00033238"/>
    <w:rsid w:val="000335E6"/>
    <w:rsid w:val="00033D40"/>
    <w:rsid w:val="0003442C"/>
    <w:rsid w:val="00034482"/>
    <w:rsid w:val="00034BD5"/>
    <w:rsid w:val="0003514B"/>
    <w:rsid w:val="000357BC"/>
    <w:rsid w:val="00036543"/>
    <w:rsid w:val="00036A10"/>
    <w:rsid w:val="00036EB7"/>
    <w:rsid w:val="00036F2E"/>
    <w:rsid w:val="00037188"/>
    <w:rsid w:val="00037720"/>
    <w:rsid w:val="00037E26"/>
    <w:rsid w:val="00040AB2"/>
    <w:rsid w:val="000414F4"/>
    <w:rsid w:val="000415AD"/>
    <w:rsid w:val="000417A6"/>
    <w:rsid w:val="00042A7D"/>
    <w:rsid w:val="00042CDE"/>
    <w:rsid w:val="00042FED"/>
    <w:rsid w:val="00043ADA"/>
    <w:rsid w:val="00043BD4"/>
    <w:rsid w:val="00044A69"/>
    <w:rsid w:val="00044D8F"/>
    <w:rsid w:val="00045780"/>
    <w:rsid w:val="00045A90"/>
    <w:rsid w:val="00045B14"/>
    <w:rsid w:val="00045DFA"/>
    <w:rsid w:val="000460A5"/>
    <w:rsid w:val="0004673E"/>
    <w:rsid w:val="000470D7"/>
    <w:rsid w:val="0004766B"/>
    <w:rsid w:val="00050A43"/>
    <w:rsid w:val="00050F0A"/>
    <w:rsid w:val="0005103B"/>
    <w:rsid w:val="000516F9"/>
    <w:rsid w:val="000517F2"/>
    <w:rsid w:val="00051B2F"/>
    <w:rsid w:val="00051BEE"/>
    <w:rsid w:val="00051C5A"/>
    <w:rsid w:val="0005248E"/>
    <w:rsid w:val="00052642"/>
    <w:rsid w:val="0005266F"/>
    <w:rsid w:val="00052A4C"/>
    <w:rsid w:val="00052CB3"/>
    <w:rsid w:val="0005359C"/>
    <w:rsid w:val="00053BA3"/>
    <w:rsid w:val="00053D41"/>
    <w:rsid w:val="00053E96"/>
    <w:rsid w:val="00053FB9"/>
    <w:rsid w:val="00054030"/>
    <w:rsid w:val="00054EED"/>
    <w:rsid w:val="000551C2"/>
    <w:rsid w:val="0005579E"/>
    <w:rsid w:val="00055CEC"/>
    <w:rsid w:val="00055DF6"/>
    <w:rsid w:val="0005610F"/>
    <w:rsid w:val="00056466"/>
    <w:rsid w:val="00056BC8"/>
    <w:rsid w:val="000572EB"/>
    <w:rsid w:val="000572F7"/>
    <w:rsid w:val="00057892"/>
    <w:rsid w:val="00057DD5"/>
    <w:rsid w:val="00060237"/>
    <w:rsid w:val="00060428"/>
    <w:rsid w:val="00060630"/>
    <w:rsid w:val="00060651"/>
    <w:rsid w:val="00060ABC"/>
    <w:rsid w:val="00060BEE"/>
    <w:rsid w:val="00060CB7"/>
    <w:rsid w:val="00061AF7"/>
    <w:rsid w:val="00061BA5"/>
    <w:rsid w:val="00062976"/>
    <w:rsid w:val="00062AB7"/>
    <w:rsid w:val="00063534"/>
    <w:rsid w:val="00063689"/>
    <w:rsid w:val="00063711"/>
    <w:rsid w:val="0006391E"/>
    <w:rsid w:val="00063C32"/>
    <w:rsid w:val="00063C69"/>
    <w:rsid w:val="00063D73"/>
    <w:rsid w:val="00063DE1"/>
    <w:rsid w:val="0006408F"/>
    <w:rsid w:val="000642C6"/>
    <w:rsid w:val="00064D44"/>
    <w:rsid w:val="00064F06"/>
    <w:rsid w:val="00064F7D"/>
    <w:rsid w:val="000650D7"/>
    <w:rsid w:val="0006556B"/>
    <w:rsid w:val="000657F8"/>
    <w:rsid w:val="00065C5C"/>
    <w:rsid w:val="00065F9B"/>
    <w:rsid w:val="00067087"/>
    <w:rsid w:val="000673CB"/>
    <w:rsid w:val="0006794B"/>
    <w:rsid w:val="00067CF9"/>
    <w:rsid w:val="000703AB"/>
    <w:rsid w:val="00070CD9"/>
    <w:rsid w:val="00070F4A"/>
    <w:rsid w:val="00071A7A"/>
    <w:rsid w:val="00071E19"/>
    <w:rsid w:val="00072A1E"/>
    <w:rsid w:val="00072AF1"/>
    <w:rsid w:val="00072DB8"/>
    <w:rsid w:val="000731C1"/>
    <w:rsid w:val="00073AD7"/>
    <w:rsid w:val="00073EBD"/>
    <w:rsid w:val="00073F12"/>
    <w:rsid w:val="00074280"/>
    <w:rsid w:val="000745FD"/>
    <w:rsid w:val="00074C3D"/>
    <w:rsid w:val="00075C98"/>
    <w:rsid w:val="00076CD0"/>
    <w:rsid w:val="00076D40"/>
    <w:rsid w:val="0007709D"/>
    <w:rsid w:val="000772BB"/>
    <w:rsid w:val="00077787"/>
    <w:rsid w:val="00077EED"/>
    <w:rsid w:val="00080428"/>
    <w:rsid w:val="00080D04"/>
    <w:rsid w:val="00080E8F"/>
    <w:rsid w:val="00080EAB"/>
    <w:rsid w:val="0008145A"/>
    <w:rsid w:val="000819CA"/>
    <w:rsid w:val="0008243A"/>
    <w:rsid w:val="0008377C"/>
    <w:rsid w:val="0008387A"/>
    <w:rsid w:val="000838BD"/>
    <w:rsid w:val="000839A6"/>
    <w:rsid w:val="00083A16"/>
    <w:rsid w:val="00083D15"/>
    <w:rsid w:val="000840D2"/>
    <w:rsid w:val="000841E1"/>
    <w:rsid w:val="00084CC0"/>
    <w:rsid w:val="00084D86"/>
    <w:rsid w:val="00084F88"/>
    <w:rsid w:val="00085D83"/>
    <w:rsid w:val="00085E16"/>
    <w:rsid w:val="000865A0"/>
    <w:rsid w:val="0008692F"/>
    <w:rsid w:val="00086DC4"/>
    <w:rsid w:val="00086DDA"/>
    <w:rsid w:val="00090839"/>
    <w:rsid w:val="00090A5B"/>
    <w:rsid w:val="00090BBF"/>
    <w:rsid w:val="000910D8"/>
    <w:rsid w:val="000912F8"/>
    <w:rsid w:val="00091D9C"/>
    <w:rsid w:val="00092535"/>
    <w:rsid w:val="0009285C"/>
    <w:rsid w:val="00092B2C"/>
    <w:rsid w:val="0009358D"/>
    <w:rsid w:val="000936F8"/>
    <w:rsid w:val="000937E4"/>
    <w:rsid w:val="00093A38"/>
    <w:rsid w:val="00093BF4"/>
    <w:rsid w:val="00093D67"/>
    <w:rsid w:val="00094226"/>
    <w:rsid w:val="00094258"/>
    <w:rsid w:val="00094432"/>
    <w:rsid w:val="0009460A"/>
    <w:rsid w:val="000947F3"/>
    <w:rsid w:val="00094AD3"/>
    <w:rsid w:val="00094B11"/>
    <w:rsid w:val="00094FB9"/>
    <w:rsid w:val="00095643"/>
    <w:rsid w:val="00095BE1"/>
    <w:rsid w:val="00095E82"/>
    <w:rsid w:val="00095F5B"/>
    <w:rsid w:val="000961BF"/>
    <w:rsid w:val="0009676D"/>
    <w:rsid w:val="00097AA9"/>
    <w:rsid w:val="00097BFB"/>
    <w:rsid w:val="000A1361"/>
    <w:rsid w:val="000A1970"/>
    <w:rsid w:val="000A2240"/>
    <w:rsid w:val="000A2E97"/>
    <w:rsid w:val="000A3373"/>
    <w:rsid w:val="000A39DB"/>
    <w:rsid w:val="000A3BFB"/>
    <w:rsid w:val="000A3D64"/>
    <w:rsid w:val="000A3DC1"/>
    <w:rsid w:val="000A409B"/>
    <w:rsid w:val="000A415B"/>
    <w:rsid w:val="000A5462"/>
    <w:rsid w:val="000A5593"/>
    <w:rsid w:val="000A56AA"/>
    <w:rsid w:val="000A5B16"/>
    <w:rsid w:val="000A5E76"/>
    <w:rsid w:val="000A67A7"/>
    <w:rsid w:val="000A6923"/>
    <w:rsid w:val="000A70FC"/>
    <w:rsid w:val="000A7E0A"/>
    <w:rsid w:val="000B0CF3"/>
    <w:rsid w:val="000B10F2"/>
    <w:rsid w:val="000B1593"/>
    <w:rsid w:val="000B1770"/>
    <w:rsid w:val="000B2B47"/>
    <w:rsid w:val="000B366B"/>
    <w:rsid w:val="000B4B96"/>
    <w:rsid w:val="000B505C"/>
    <w:rsid w:val="000B5319"/>
    <w:rsid w:val="000B5465"/>
    <w:rsid w:val="000B547E"/>
    <w:rsid w:val="000B5697"/>
    <w:rsid w:val="000B5C88"/>
    <w:rsid w:val="000B5E68"/>
    <w:rsid w:val="000B5EB9"/>
    <w:rsid w:val="000B5F0C"/>
    <w:rsid w:val="000B6770"/>
    <w:rsid w:val="000B6948"/>
    <w:rsid w:val="000B71D9"/>
    <w:rsid w:val="000B71E2"/>
    <w:rsid w:val="000B733F"/>
    <w:rsid w:val="000C0009"/>
    <w:rsid w:val="000C08F8"/>
    <w:rsid w:val="000C0C11"/>
    <w:rsid w:val="000C0DA1"/>
    <w:rsid w:val="000C0DAB"/>
    <w:rsid w:val="000C0E11"/>
    <w:rsid w:val="000C0F86"/>
    <w:rsid w:val="000C1179"/>
    <w:rsid w:val="000C1904"/>
    <w:rsid w:val="000C19CE"/>
    <w:rsid w:val="000C34F9"/>
    <w:rsid w:val="000C4131"/>
    <w:rsid w:val="000C4C15"/>
    <w:rsid w:val="000C4C34"/>
    <w:rsid w:val="000C5060"/>
    <w:rsid w:val="000C5624"/>
    <w:rsid w:val="000C5B77"/>
    <w:rsid w:val="000C6065"/>
    <w:rsid w:val="000C6949"/>
    <w:rsid w:val="000C69AD"/>
    <w:rsid w:val="000C6C86"/>
    <w:rsid w:val="000C6EC9"/>
    <w:rsid w:val="000C7321"/>
    <w:rsid w:val="000C7454"/>
    <w:rsid w:val="000C7787"/>
    <w:rsid w:val="000C7852"/>
    <w:rsid w:val="000C7FA5"/>
    <w:rsid w:val="000D00AB"/>
    <w:rsid w:val="000D0114"/>
    <w:rsid w:val="000D0BA3"/>
    <w:rsid w:val="000D0BF9"/>
    <w:rsid w:val="000D1545"/>
    <w:rsid w:val="000D19B0"/>
    <w:rsid w:val="000D1AB3"/>
    <w:rsid w:val="000D1B08"/>
    <w:rsid w:val="000D1C60"/>
    <w:rsid w:val="000D2044"/>
    <w:rsid w:val="000D205B"/>
    <w:rsid w:val="000D2116"/>
    <w:rsid w:val="000D2265"/>
    <w:rsid w:val="000D2BC7"/>
    <w:rsid w:val="000D2CFF"/>
    <w:rsid w:val="000D2D7F"/>
    <w:rsid w:val="000D2EB9"/>
    <w:rsid w:val="000D319D"/>
    <w:rsid w:val="000D37AD"/>
    <w:rsid w:val="000D3FF9"/>
    <w:rsid w:val="000D40D2"/>
    <w:rsid w:val="000D46B9"/>
    <w:rsid w:val="000D4919"/>
    <w:rsid w:val="000D529B"/>
    <w:rsid w:val="000D53FE"/>
    <w:rsid w:val="000D5749"/>
    <w:rsid w:val="000D5D4B"/>
    <w:rsid w:val="000D60F7"/>
    <w:rsid w:val="000D6204"/>
    <w:rsid w:val="000D662B"/>
    <w:rsid w:val="000D669A"/>
    <w:rsid w:val="000D6735"/>
    <w:rsid w:val="000D6ADB"/>
    <w:rsid w:val="000D6BE1"/>
    <w:rsid w:val="000D7049"/>
    <w:rsid w:val="000D749C"/>
    <w:rsid w:val="000D78F7"/>
    <w:rsid w:val="000D7B1C"/>
    <w:rsid w:val="000D7E91"/>
    <w:rsid w:val="000E0744"/>
    <w:rsid w:val="000E0CA2"/>
    <w:rsid w:val="000E0FC5"/>
    <w:rsid w:val="000E11F6"/>
    <w:rsid w:val="000E147E"/>
    <w:rsid w:val="000E192D"/>
    <w:rsid w:val="000E1AC0"/>
    <w:rsid w:val="000E1CA7"/>
    <w:rsid w:val="000E24F3"/>
    <w:rsid w:val="000E2708"/>
    <w:rsid w:val="000E2B8E"/>
    <w:rsid w:val="000E2F4A"/>
    <w:rsid w:val="000E32B0"/>
    <w:rsid w:val="000E34E2"/>
    <w:rsid w:val="000E3AA0"/>
    <w:rsid w:val="000E3B99"/>
    <w:rsid w:val="000E3E62"/>
    <w:rsid w:val="000E3F50"/>
    <w:rsid w:val="000E40F0"/>
    <w:rsid w:val="000E45E4"/>
    <w:rsid w:val="000E4647"/>
    <w:rsid w:val="000E497B"/>
    <w:rsid w:val="000E4D4A"/>
    <w:rsid w:val="000E4F43"/>
    <w:rsid w:val="000E5A44"/>
    <w:rsid w:val="000E6248"/>
    <w:rsid w:val="000E6977"/>
    <w:rsid w:val="000E78B1"/>
    <w:rsid w:val="000F0F4D"/>
    <w:rsid w:val="000F120C"/>
    <w:rsid w:val="000F13DA"/>
    <w:rsid w:val="000F192D"/>
    <w:rsid w:val="000F1CD5"/>
    <w:rsid w:val="000F21B5"/>
    <w:rsid w:val="000F26E3"/>
    <w:rsid w:val="000F27BB"/>
    <w:rsid w:val="000F28F3"/>
    <w:rsid w:val="000F2F0D"/>
    <w:rsid w:val="000F3279"/>
    <w:rsid w:val="000F3613"/>
    <w:rsid w:val="000F42B8"/>
    <w:rsid w:val="000F42FF"/>
    <w:rsid w:val="000F4502"/>
    <w:rsid w:val="000F46AD"/>
    <w:rsid w:val="000F46B8"/>
    <w:rsid w:val="000F4732"/>
    <w:rsid w:val="000F4D32"/>
    <w:rsid w:val="000F4D87"/>
    <w:rsid w:val="000F50C0"/>
    <w:rsid w:val="000F5280"/>
    <w:rsid w:val="000F5C12"/>
    <w:rsid w:val="000F5CBE"/>
    <w:rsid w:val="000F5D27"/>
    <w:rsid w:val="000F5E7A"/>
    <w:rsid w:val="000F6125"/>
    <w:rsid w:val="000F64A9"/>
    <w:rsid w:val="000F69A4"/>
    <w:rsid w:val="000F6A17"/>
    <w:rsid w:val="000F6A45"/>
    <w:rsid w:val="000F7350"/>
    <w:rsid w:val="000F7867"/>
    <w:rsid w:val="000F7880"/>
    <w:rsid w:val="000F79C9"/>
    <w:rsid w:val="000F7A7F"/>
    <w:rsid w:val="000F7F7D"/>
    <w:rsid w:val="0010058D"/>
    <w:rsid w:val="00101153"/>
    <w:rsid w:val="001018E7"/>
    <w:rsid w:val="0010227D"/>
    <w:rsid w:val="00102352"/>
    <w:rsid w:val="001028F9"/>
    <w:rsid w:val="00102980"/>
    <w:rsid w:val="00102BC1"/>
    <w:rsid w:val="00102C18"/>
    <w:rsid w:val="00102F3A"/>
    <w:rsid w:val="00103291"/>
    <w:rsid w:val="00103774"/>
    <w:rsid w:val="00103BB3"/>
    <w:rsid w:val="001041F5"/>
    <w:rsid w:val="0010429A"/>
    <w:rsid w:val="001042C8"/>
    <w:rsid w:val="00104860"/>
    <w:rsid w:val="00104E5D"/>
    <w:rsid w:val="00104E74"/>
    <w:rsid w:val="00104E7B"/>
    <w:rsid w:val="0010535D"/>
    <w:rsid w:val="0010564B"/>
    <w:rsid w:val="001058AF"/>
    <w:rsid w:val="001058CE"/>
    <w:rsid w:val="00105A2D"/>
    <w:rsid w:val="00105CBA"/>
    <w:rsid w:val="00105FAE"/>
    <w:rsid w:val="00105FAF"/>
    <w:rsid w:val="00106706"/>
    <w:rsid w:val="00106B37"/>
    <w:rsid w:val="00106B8F"/>
    <w:rsid w:val="0010771A"/>
    <w:rsid w:val="0010776D"/>
    <w:rsid w:val="00107817"/>
    <w:rsid w:val="00107882"/>
    <w:rsid w:val="0011032E"/>
    <w:rsid w:val="001108FD"/>
    <w:rsid w:val="00110ED5"/>
    <w:rsid w:val="00111412"/>
    <w:rsid w:val="0011176E"/>
    <w:rsid w:val="00111A53"/>
    <w:rsid w:val="00111DE6"/>
    <w:rsid w:val="00112612"/>
    <w:rsid w:val="0011278D"/>
    <w:rsid w:val="00112BFE"/>
    <w:rsid w:val="00113552"/>
    <w:rsid w:val="00113648"/>
    <w:rsid w:val="0011420C"/>
    <w:rsid w:val="0011449D"/>
    <w:rsid w:val="0011477D"/>
    <w:rsid w:val="001151E9"/>
    <w:rsid w:val="00115EA5"/>
    <w:rsid w:val="0011687F"/>
    <w:rsid w:val="00116BD8"/>
    <w:rsid w:val="00116DEF"/>
    <w:rsid w:val="00117049"/>
    <w:rsid w:val="0011748D"/>
    <w:rsid w:val="00117BBB"/>
    <w:rsid w:val="00117D19"/>
    <w:rsid w:val="00117D20"/>
    <w:rsid w:val="001201D7"/>
    <w:rsid w:val="00120459"/>
    <w:rsid w:val="0012087A"/>
    <w:rsid w:val="00120980"/>
    <w:rsid w:val="00120A95"/>
    <w:rsid w:val="00120B15"/>
    <w:rsid w:val="00120F56"/>
    <w:rsid w:val="001213F5"/>
    <w:rsid w:val="00121672"/>
    <w:rsid w:val="00121B1A"/>
    <w:rsid w:val="0012262D"/>
    <w:rsid w:val="00122B65"/>
    <w:rsid w:val="00122B9B"/>
    <w:rsid w:val="00122CAE"/>
    <w:rsid w:val="00122D9E"/>
    <w:rsid w:val="00122E53"/>
    <w:rsid w:val="001233E9"/>
    <w:rsid w:val="0012357D"/>
    <w:rsid w:val="001238C0"/>
    <w:rsid w:val="00123F1D"/>
    <w:rsid w:val="00124079"/>
    <w:rsid w:val="0012486C"/>
    <w:rsid w:val="00124AEC"/>
    <w:rsid w:val="00124CB9"/>
    <w:rsid w:val="00124E15"/>
    <w:rsid w:val="001251E7"/>
    <w:rsid w:val="0012538A"/>
    <w:rsid w:val="001253E1"/>
    <w:rsid w:val="0012545B"/>
    <w:rsid w:val="0012589D"/>
    <w:rsid w:val="00125D61"/>
    <w:rsid w:val="00126293"/>
    <w:rsid w:val="001266C1"/>
    <w:rsid w:val="00126E99"/>
    <w:rsid w:val="00126EB6"/>
    <w:rsid w:val="00127080"/>
    <w:rsid w:val="00127165"/>
    <w:rsid w:val="001275EF"/>
    <w:rsid w:val="00127791"/>
    <w:rsid w:val="001279AF"/>
    <w:rsid w:val="00127BAD"/>
    <w:rsid w:val="001302EB"/>
    <w:rsid w:val="00130486"/>
    <w:rsid w:val="0013066F"/>
    <w:rsid w:val="001307F3"/>
    <w:rsid w:val="0013163C"/>
    <w:rsid w:val="00131D92"/>
    <w:rsid w:val="00131EB4"/>
    <w:rsid w:val="00132AFC"/>
    <w:rsid w:val="00132C79"/>
    <w:rsid w:val="00132C80"/>
    <w:rsid w:val="0013346B"/>
    <w:rsid w:val="00133CA5"/>
    <w:rsid w:val="00134FDB"/>
    <w:rsid w:val="001353FA"/>
    <w:rsid w:val="001354B1"/>
    <w:rsid w:val="0013552F"/>
    <w:rsid w:val="00135AB3"/>
    <w:rsid w:val="00135D65"/>
    <w:rsid w:val="00135F5D"/>
    <w:rsid w:val="00136197"/>
    <w:rsid w:val="001362F1"/>
    <w:rsid w:val="0013723E"/>
    <w:rsid w:val="00137D56"/>
    <w:rsid w:val="00140023"/>
    <w:rsid w:val="001402D9"/>
    <w:rsid w:val="0014064D"/>
    <w:rsid w:val="00140BDC"/>
    <w:rsid w:val="00140D9A"/>
    <w:rsid w:val="001412EC"/>
    <w:rsid w:val="001418FE"/>
    <w:rsid w:val="00141C3F"/>
    <w:rsid w:val="001423C4"/>
    <w:rsid w:val="001426E7"/>
    <w:rsid w:val="00142994"/>
    <w:rsid w:val="00142B56"/>
    <w:rsid w:val="00143187"/>
    <w:rsid w:val="00143349"/>
    <w:rsid w:val="001434B3"/>
    <w:rsid w:val="001437B3"/>
    <w:rsid w:val="00143AB8"/>
    <w:rsid w:val="001440C5"/>
    <w:rsid w:val="001445FA"/>
    <w:rsid w:val="0014480B"/>
    <w:rsid w:val="00144C69"/>
    <w:rsid w:val="00144FB8"/>
    <w:rsid w:val="00145387"/>
    <w:rsid w:val="001456BC"/>
    <w:rsid w:val="00145A44"/>
    <w:rsid w:val="00145C14"/>
    <w:rsid w:val="00145E2B"/>
    <w:rsid w:val="00145E8A"/>
    <w:rsid w:val="00145F77"/>
    <w:rsid w:val="00145FD5"/>
    <w:rsid w:val="0014787C"/>
    <w:rsid w:val="00147A37"/>
    <w:rsid w:val="00147A48"/>
    <w:rsid w:val="00147E59"/>
    <w:rsid w:val="0015054B"/>
    <w:rsid w:val="001507D6"/>
    <w:rsid w:val="00150F0F"/>
    <w:rsid w:val="00151124"/>
    <w:rsid w:val="001515EE"/>
    <w:rsid w:val="00151B01"/>
    <w:rsid w:val="001522F4"/>
    <w:rsid w:val="001525E7"/>
    <w:rsid w:val="00152925"/>
    <w:rsid w:val="00152BEB"/>
    <w:rsid w:val="00152DE5"/>
    <w:rsid w:val="00152E24"/>
    <w:rsid w:val="001536A4"/>
    <w:rsid w:val="001536CE"/>
    <w:rsid w:val="0015437A"/>
    <w:rsid w:val="001544AC"/>
    <w:rsid w:val="001548C8"/>
    <w:rsid w:val="00154C0B"/>
    <w:rsid w:val="00154F95"/>
    <w:rsid w:val="00155274"/>
    <w:rsid w:val="00155574"/>
    <w:rsid w:val="001557B8"/>
    <w:rsid w:val="001557E3"/>
    <w:rsid w:val="001559D5"/>
    <w:rsid w:val="00155A84"/>
    <w:rsid w:val="00155C5D"/>
    <w:rsid w:val="00155D5A"/>
    <w:rsid w:val="0015621C"/>
    <w:rsid w:val="00156708"/>
    <w:rsid w:val="0015691B"/>
    <w:rsid w:val="00156C9F"/>
    <w:rsid w:val="00156F5A"/>
    <w:rsid w:val="00157289"/>
    <w:rsid w:val="00157F33"/>
    <w:rsid w:val="00160251"/>
    <w:rsid w:val="0016065D"/>
    <w:rsid w:val="0016086D"/>
    <w:rsid w:val="00160C45"/>
    <w:rsid w:val="00160D19"/>
    <w:rsid w:val="00161645"/>
    <w:rsid w:val="00161B4D"/>
    <w:rsid w:val="00161DD1"/>
    <w:rsid w:val="00161F00"/>
    <w:rsid w:val="00162026"/>
    <w:rsid w:val="00162169"/>
    <w:rsid w:val="00162897"/>
    <w:rsid w:val="0016293E"/>
    <w:rsid w:val="00162D47"/>
    <w:rsid w:val="001630C5"/>
    <w:rsid w:val="0016344B"/>
    <w:rsid w:val="0016362A"/>
    <w:rsid w:val="00163A8E"/>
    <w:rsid w:val="00163B18"/>
    <w:rsid w:val="001646D1"/>
    <w:rsid w:val="001647DE"/>
    <w:rsid w:val="001650DD"/>
    <w:rsid w:val="00165559"/>
    <w:rsid w:val="0016653B"/>
    <w:rsid w:val="00166582"/>
    <w:rsid w:val="001669A6"/>
    <w:rsid w:val="00166B96"/>
    <w:rsid w:val="00166C10"/>
    <w:rsid w:val="00167443"/>
    <w:rsid w:val="001674CE"/>
    <w:rsid w:val="00167B14"/>
    <w:rsid w:val="001701DF"/>
    <w:rsid w:val="00170A47"/>
    <w:rsid w:val="0017138E"/>
    <w:rsid w:val="00171412"/>
    <w:rsid w:val="001715D5"/>
    <w:rsid w:val="00171868"/>
    <w:rsid w:val="00171DFE"/>
    <w:rsid w:val="001724EF"/>
    <w:rsid w:val="00172580"/>
    <w:rsid w:val="00173702"/>
    <w:rsid w:val="00173FD9"/>
    <w:rsid w:val="001741AC"/>
    <w:rsid w:val="001743DF"/>
    <w:rsid w:val="00174E0A"/>
    <w:rsid w:val="0017545A"/>
    <w:rsid w:val="00175637"/>
    <w:rsid w:val="0017599B"/>
    <w:rsid w:val="00175B19"/>
    <w:rsid w:val="00175C23"/>
    <w:rsid w:val="00175F48"/>
    <w:rsid w:val="00176117"/>
    <w:rsid w:val="0017669B"/>
    <w:rsid w:val="00176793"/>
    <w:rsid w:val="001778ED"/>
    <w:rsid w:val="00177A9A"/>
    <w:rsid w:val="00177F0A"/>
    <w:rsid w:val="00177F98"/>
    <w:rsid w:val="0018046B"/>
    <w:rsid w:val="001809E8"/>
    <w:rsid w:val="00180AFE"/>
    <w:rsid w:val="00180C51"/>
    <w:rsid w:val="00181233"/>
    <w:rsid w:val="0018142D"/>
    <w:rsid w:val="001814C2"/>
    <w:rsid w:val="00181581"/>
    <w:rsid w:val="0018184A"/>
    <w:rsid w:val="00181C9E"/>
    <w:rsid w:val="001821E8"/>
    <w:rsid w:val="00182378"/>
    <w:rsid w:val="001823DB"/>
    <w:rsid w:val="00182411"/>
    <w:rsid w:val="00182463"/>
    <w:rsid w:val="0018248F"/>
    <w:rsid w:val="00182CA5"/>
    <w:rsid w:val="00182D42"/>
    <w:rsid w:val="00183059"/>
    <w:rsid w:val="0018364D"/>
    <w:rsid w:val="00183712"/>
    <w:rsid w:val="00183807"/>
    <w:rsid w:val="00183FB2"/>
    <w:rsid w:val="0018411A"/>
    <w:rsid w:val="001841DA"/>
    <w:rsid w:val="001843EA"/>
    <w:rsid w:val="001845CF"/>
    <w:rsid w:val="0018474D"/>
    <w:rsid w:val="00184EE4"/>
    <w:rsid w:val="0018528A"/>
    <w:rsid w:val="00185ADF"/>
    <w:rsid w:val="00185FEF"/>
    <w:rsid w:val="00186312"/>
    <w:rsid w:val="0018657A"/>
    <w:rsid w:val="001867B8"/>
    <w:rsid w:val="00186F4E"/>
    <w:rsid w:val="00186FE8"/>
    <w:rsid w:val="00187174"/>
    <w:rsid w:val="00187661"/>
    <w:rsid w:val="001876A3"/>
    <w:rsid w:val="0018784E"/>
    <w:rsid w:val="00187D7D"/>
    <w:rsid w:val="00190295"/>
    <w:rsid w:val="001903B1"/>
    <w:rsid w:val="001903FD"/>
    <w:rsid w:val="001907BC"/>
    <w:rsid w:val="00190F94"/>
    <w:rsid w:val="00191117"/>
    <w:rsid w:val="00191329"/>
    <w:rsid w:val="001919B7"/>
    <w:rsid w:val="001920E6"/>
    <w:rsid w:val="001923E5"/>
    <w:rsid w:val="001924AC"/>
    <w:rsid w:val="0019277B"/>
    <w:rsid w:val="00192B99"/>
    <w:rsid w:val="00192ED5"/>
    <w:rsid w:val="0019314A"/>
    <w:rsid w:val="001935A0"/>
    <w:rsid w:val="0019363C"/>
    <w:rsid w:val="001940AC"/>
    <w:rsid w:val="00194518"/>
    <w:rsid w:val="0019476F"/>
    <w:rsid w:val="0019514D"/>
    <w:rsid w:val="0019581A"/>
    <w:rsid w:val="00195B72"/>
    <w:rsid w:val="00195E50"/>
    <w:rsid w:val="00196073"/>
    <w:rsid w:val="00196290"/>
    <w:rsid w:val="0019690D"/>
    <w:rsid w:val="001973A4"/>
    <w:rsid w:val="00197607"/>
    <w:rsid w:val="00197761"/>
    <w:rsid w:val="00197818"/>
    <w:rsid w:val="001A00C2"/>
    <w:rsid w:val="001A02DF"/>
    <w:rsid w:val="001A04C1"/>
    <w:rsid w:val="001A0DF8"/>
    <w:rsid w:val="001A0FCD"/>
    <w:rsid w:val="001A1009"/>
    <w:rsid w:val="001A1702"/>
    <w:rsid w:val="001A1878"/>
    <w:rsid w:val="001A1FD8"/>
    <w:rsid w:val="001A269B"/>
    <w:rsid w:val="001A29C0"/>
    <w:rsid w:val="001A2B82"/>
    <w:rsid w:val="001A2CD1"/>
    <w:rsid w:val="001A2D3F"/>
    <w:rsid w:val="001A3056"/>
    <w:rsid w:val="001A3249"/>
    <w:rsid w:val="001A3273"/>
    <w:rsid w:val="001A3483"/>
    <w:rsid w:val="001A3BBE"/>
    <w:rsid w:val="001A3C37"/>
    <w:rsid w:val="001A402C"/>
    <w:rsid w:val="001A4179"/>
    <w:rsid w:val="001A520C"/>
    <w:rsid w:val="001A527C"/>
    <w:rsid w:val="001A58A1"/>
    <w:rsid w:val="001A5B51"/>
    <w:rsid w:val="001A5C36"/>
    <w:rsid w:val="001A62D8"/>
    <w:rsid w:val="001A6364"/>
    <w:rsid w:val="001A6D1B"/>
    <w:rsid w:val="001A6E8C"/>
    <w:rsid w:val="001A72D9"/>
    <w:rsid w:val="001A7872"/>
    <w:rsid w:val="001A788E"/>
    <w:rsid w:val="001A7A73"/>
    <w:rsid w:val="001B0253"/>
    <w:rsid w:val="001B06CE"/>
    <w:rsid w:val="001B09DA"/>
    <w:rsid w:val="001B0A97"/>
    <w:rsid w:val="001B0B3E"/>
    <w:rsid w:val="001B0BF0"/>
    <w:rsid w:val="001B0DF2"/>
    <w:rsid w:val="001B13AD"/>
    <w:rsid w:val="001B1762"/>
    <w:rsid w:val="001B1BDE"/>
    <w:rsid w:val="001B1C0C"/>
    <w:rsid w:val="001B1E24"/>
    <w:rsid w:val="001B278D"/>
    <w:rsid w:val="001B3565"/>
    <w:rsid w:val="001B387D"/>
    <w:rsid w:val="001B5058"/>
    <w:rsid w:val="001B50C4"/>
    <w:rsid w:val="001B5B34"/>
    <w:rsid w:val="001B5CDA"/>
    <w:rsid w:val="001B6319"/>
    <w:rsid w:val="001B64D8"/>
    <w:rsid w:val="001B67A0"/>
    <w:rsid w:val="001B6810"/>
    <w:rsid w:val="001B6F31"/>
    <w:rsid w:val="001B7464"/>
    <w:rsid w:val="001B7BE5"/>
    <w:rsid w:val="001B7DA3"/>
    <w:rsid w:val="001C008F"/>
    <w:rsid w:val="001C01C0"/>
    <w:rsid w:val="001C03BB"/>
    <w:rsid w:val="001C09FD"/>
    <w:rsid w:val="001C0EBC"/>
    <w:rsid w:val="001C1496"/>
    <w:rsid w:val="001C182F"/>
    <w:rsid w:val="001C1FD3"/>
    <w:rsid w:val="001C209D"/>
    <w:rsid w:val="001C35F7"/>
    <w:rsid w:val="001C3E0D"/>
    <w:rsid w:val="001C4099"/>
    <w:rsid w:val="001C46E1"/>
    <w:rsid w:val="001C4853"/>
    <w:rsid w:val="001C55B9"/>
    <w:rsid w:val="001C574B"/>
    <w:rsid w:val="001C577D"/>
    <w:rsid w:val="001C6298"/>
    <w:rsid w:val="001C6757"/>
    <w:rsid w:val="001C697F"/>
    <w:rsid w:val="001C6B06"/>
    <w:rsid w:val="001C705A"/>
    <w:rsid w:val="001D040D"/>
    <w:rsid w:val="001D0532"/>
    <w:rsid w:val="001D0A89"/>
    <w:rsid w:val="001D105E"/>
    <w:rsid w:val="001D140D"/>
    <w:rsid w:val="001D1466"/>
    <w:rsid w:val="001D1750"/>
    <w:rsid w:val="001D1B9E"/>
    <w:rsid w:val="001D1D60"/>
    <w:rsid w:val="001D20A8"/>
    <w:rsid w:val="001D2BB4"/>
    <w:rsid w:val="001D2D54"/>
    <w:rsid w:val="001D2F80"/>
    <w:rsid w:val="001D3DBF"/>
    <w:rsid w:val="001D4156"/>
    <w:rsid w:val="001D4257"/>
    <w:rsid w:val="001D482C"/>
    <w:rsid w:val="001D49C9"/>
    <w:rsid w:val="001D4D24"/>
    <w:rsid w:val="001D55CB"/>
    <w:rsid w:val="001D5847"/>
    <w:rsid w:val="001D5F48"/>
    <w:rsid w:val="001D64A0"/>
    <w:rsid w:val="001D68A1"/>
    <w:rsid w:val="001D6C95"/>
    <w:rsid w:val="001D6D91"/>
    <w:rsid w:val="001D7645"/>
    <w:rsid w:val="001D79E7"/>
    <w:rsid w:val="001E038A"/>
    <w:rsid w:val="001E0771"/>
    <w:rsid w:val="001E0C2E"/>
    <w:rsid w:val="001E0E58"/>
    <w:rsid w:val="001E0F67"/>
    <w:rsid w:val="001E1092"/>
    <w:rsid w:val="001E1220"/>
    <w:rsid w:val="001E1301"/>
    <w:rsid w:val="001E1A18"/>
    <w:rsid w:val="001E1B11"/>
    <w:rsid w:val="001E1BDB"/>
    <w:rsid w:val="001E280A"/>
    <w:rsid w:val="001E29F9"/>
    <w:rsid w:val="001E2DD6"/>
    <w:rsid w:val="001E2F3E"/>
    <w:rsid w:val="001E3079"/>
    <w:rsid w:val="001E389B"/>
    <w:rsid w:val="001E3927"/>
    <w:rsid w:val="001E3D0D"/>
    <w:rsid w:val="001E3DF6"/>
    <w:rsid w:val="001E44B1"/>
    <w:rsid w:val="001E4B10"/>
    <w:rsid w:val="001E4E1E"/>
    <w:rsid w:val="001E4F1D"/>
    <w:rsid w:val="001E5222"/>
    <w:rsid w:val="001E5479"/>
    <w:rsid w:val="001E5645"/>
    <w:rsid w:val="001E6719"/>
    <w:rsid w:val="001E6928"/>
    <w:rsid w:val="001E6EDE"/>
    <w:rsid w:val="001E7163"/>
    <w:rsid w:val="001E74D3"/>
    <w:rsid w:val="001E7828"/>
    <w:rsid w:val="001E78BB"/>
    <w:rsid w:val="001E7BD7"/>
    <w:rsid w:val="001E7BDD"/>
    <w:rsid w:val="001E7F88"/>
    <w:rsid w:val="001F0408"/>
    <w:rsid w:val="001F0B48"/>
    <w:rsid w:val="001F0FA4"/>
    <w:rsid w:val="001F17DB"/>
    <w:rsid w:val="001F1BF7"/>
    <w:rsid w:val="001F1F94"/>
    <w:rsid w:val="001F2C87"/>
    <w:rsid w:val="001F3A6B"/>
    <w:rsid w:val="001F3FFE"/>
    <w:rsid w:val="001F40F0"/>
    <w:rsid w:val="001F414A"/>
    <w:rsid w:val="001F4E0A"/>
    <w:rsid w:val="001F4F1F"/>
    <w:rsid w:val="001F4FD0"/>
    <w:rsid w:val="001F53F4"/>
    <w:rsid w:val="001F5B68"/>
    <w:rsid w:val="001F5BC2"/>
    <w:rsid w:val="001F5C01"/>
    <w:rsid w:val="001F5D34"/>
    <w:rsid w:val="001F6144"/>
    <w:rsid w:val="001F64A3"/>
    <w:rsid w:val="001F67A7"/>
    <w:rsid w:val="001F7162"/>
    <w:rsid w:val="001F769F"/>
    <w:rsid w:val="001F7DFC"/>
    <w:rsid w:val="002000DD"/>
    <w:rsid w:val="00200922"/>
    <w:rsid w:val="00200AB3"/>
    <w:rsid w:val="00201006"/>
    <w:rsid w:val="00201297"/>
    <w:rsid w:val="00201800"/>
    <w:rsid w:val="00201903"/>
    <w:rsid w:val="00201D0E"/>
    <w:rsid w:val="00201D81"/>
    <w:rsid w:val="00202120"/>
    <w:rsid w:val="002029E9"/>
    <w:rsid w:val="00202D27"/>
    <w:rsid w:val="002036FB"/>
    <w:rsid w:val="0020373F"/>
    <w:rsid w:val="00203C9C"/>
    <w:rsid w:val="00203D5B"/>
    <w:rsid w:val="00203EFA"/>
    <w:rsid w:val="00204520"/>
    <w:rsid w:val="00204596"/>
    <w:rsid w:val="002049E4"/>
    <w:rsid w:val="00204A00"/>
    <w:rsid w:val="00204C01"/>
    <w:rsid w:val="00204E4C"/>
    <w:rsid w:val="0020516A"/>
    <w:rsid w:val="002051DD"/>
    <w:rsid w:val="00205710"/>
    <w:rsid w:val="002058D9"/>
    <w:rsid w:val="002060B9"/>
    <w:rsid w:val="002063A3"/>
    <w:rsid w:val="0020643B"/>
    <w:rsid w:val="00206607"/>
    <w:rsid w:val="00206D03"/>
    <w:rsid w:val="00206F61"/>
    <w:rsid w:val="00207203"/>
    <w:rsid w:val="00207300"/>
    <w:rsid w:val="00207480"/>
    <w:rsid w:val="002075FC"/>
    <w:rsid w:val="0020773C"/>
    <w:rsid w:val="00207836"/>
    <w:rsid w:val="00210704"/>
    <w:rsid w:val="00210ABF"/>
    <w:rsid w:val="00210C42"/>
    <w:rsid w:val="00210C78"/>
    <w:rsid w:val="00210EDA"/>
    <w:rsid w:val="00211472"/>
    <w:rsid w:val="002115B6"/>
    <w:rsid w:val="00211D2A"/>
    <w:rsid w:val="0021225A"/>
    <w:rsid w:val="0021278A"/>
    <w:rsid w:val="00212803"/>
    <w:rsid w:val="00212AA0"/>
    <w:rsid w:val="00213008"/>
    <w:rsid w:val="002131A5"/>
    <w:rsid w:val="002135BB"/>
    <w:rsid w:val="002136F2"/>
    <w:rsid w:val="00213A33"/>
    <w:rsid w:val="00213F38"/>
    <w:rsid w:val="002142F4"/>
    <w:rsid w:val="002148D1"/>
    <w:rsid w:val="00214A60"/>
    <w:rsid w:val="002152C5"/>
    <w:rsid w:val="0021533F"/>
    <w:rsid w:val="00215720"/>
    <w:rsid w:val="00215727"/>
    <w:rsid w:val="00215AFB"/>
    <w:rsid w:val="002165F1"/>
    <w:rsid w:val="0021669F"/>
    <w:rsid w:val="00216AF4"/>
    <w:rsid w:val="00216EA5"/>
    <w:rsid w:val="00217B08"/>
    <w:rsid w:val="00217EAD"/>
    <w:rsid w:val="00220367"/>
    <w:rsid w:val="002204B3"/>
    <w:rsid w:val="00220524"/>
    <w:rsid w:val="00220723"/>
    <w:rsid w:val="0022128D"/>
    <w:rsid w:val="00221A13"/>
    <w:rsid w:val="00222321"/>
    <w:rsid w:val="0022252E"/>
    <w:rsid w:val="00222D03"/>
    <w:rsid w:val="00223337"/>
    <w:rsid w:val="002234E2"/>
    <w:rsid w:val="0022391C"/>
    <w:rsid w:val="00223BA3"/>
    <w:rsid w:val="00223E7F"/>
    <w:rsid w:val="00224CBA"/>
    <w:rsid w:val="002257B5"/>
    <w:rsid w:val="00225FE7"/>
    <w:rsid w:val="00225FEB"/>
    <w:rsid w:val="00226002"/>
    <w:rsid w:val="0022626B"/>
    <w:rsid w:val="00226A71"/>
    <w:rsid w:val="00226C34"/>
    <w:rsid w:val="002274A3"/>
    <w:rsid w:val="00227633"/>
    <w:rsid w:val="00227669"/>
    <w:rsid w:val="00227ACB"/>
    <w:rsid w:val="00227C7E"/>
    <w:rsid w:val="0023004B"/>
    <w:rsid w:val="0023036B"/>
    <w:rsid w:val="00230735"/>
    <w:rsid w:val="00230974"/>
    <w:rsid w:val="002309B4"/>
    <w:rsid w:val="0023115A"/>
    <w:rsid w:val="00231379"/>
    <w:rsid w:val="002314DA"/>
    <w:rsid w:val="00231952"/>
    <w:rsid w:val="00231CDE"/>
    <w:rsid w:val="002322F3"/>
    <w:rsid w:val="0023233E"/>
    <w:rsid w:val="002324A5"/>
    <w:rsid w:val="00232B9C"/>
    <w:rsid w:val="00233308"/>
    <w:rsid w:val="002335DB"/>
    <w:rsid w:val="00233BA4"/>
    <w:rsid w:val="00233BCB"/>
    <w:rsid w:val="00233F20"/>
    <w:rsid w:val="00234130"/>
    <w:rsid w:val="0023449D"/>
    <w:rsid w:val="00234F7E"/>
    <w:rsid w:val="0023558A"/>
    <w:rsid w:val="00235D2F"/>
    <w:rsid w:val="00235EB3"/>
    <w:rsid w:val="00235FB0"/>
    <w:rsid w:val="002362CA"/>
    <w:rsid w:val="002364CC"/>
    <w:rsid w:val="00236731"/>
    <w:rsid w:val="00236841"/>
    <w:rsid w:val="00236AD5"/>
    <w:rsid w:val="00236F0B"/>
    <w:rsid w:val="002374CF"/>
    <w:rsid w:val="002377EC"/>
    <w:rsid w:val="00237ACA"/>
    <w:rsid w:val="00237E9E"/>
    <w:rsid w:val="00237F53"/>
    <w:rsid w:val="00237F66"/>
    <w:rsid w:val="00240146"/>
    <w:rsid w:val="002401C5"/>
    <w:rsid w:val="00240718"/>
    <w:rsid w:val="00240C61"/>
    <w:rsid w:val="002410FD"/>
    <w:rsid w:val="0024110E"/>
    <w:rsid w:val="002416A1"/>
    <w:rsid w:val="002417FC"/>
    <w:rsid w:val="00241C79"/>
    <w:rsid w:val="00241DD6"/>
    <w:rsid w:val="0024210F"/>
    <w:rsid w:val="00242680"/>
    <w:rsid w:val="00242F06"/>
    <w:rsid w:val="0024302A"/>
    <w:rsid w:val="00243301"/>
    <w:rsid w:val="002434EB"/>
    <w:rsid w:val="0024399D"/>
    <w:rsid w:val="00243E30"/>
    <w:rsid w:val="00244051"/>
    <w:rsid w:val="0024412A"/>
    <w:rsid w:val="002441C7"/>
    <w:rsid w:val="0024430E"/>
    <w:rsid w:val="00244521"/>
    <w:rsid w:val="0024502B"/>
    <w:rsid w:val="00245D1B"/>
    <w:rsid w:val="0024638D"/>
    <w:rsid w:val="0024657C"/>
    <w:rsid w:val="0024683A"/>
    <w:rsid w:val="00246B4A"/>
    <w:rsid w:val="0024708F"/>
    <w:rsid w:val="00247166"/>
    <w:rsid w:val="00247198"/>
    <w:rsid w:val="00247641"/>
    <w:rsid w:val="002478CA"/>
    <w:rsid w:val="00247A51"/>
    <w:rsid w:val="00247C7A"/>
    <w:rsid w:val="002500E5"/>
    <w:rsid w:val="0025021F"/>
    <w:rsid w:val="00250420"/>
    <w:rsid w:val="00250679"/>
    <w:rsid w:val="002508B6"/>
    <w:rsid w:val="00250C7A"/>
    <w:rsid w:val="00250E2D"/>
    <w:rsid w:val="00250E5B"/>
    <w:rsid w:val="00250E84"/>
    <w:rsid w:val="002515ED"/>
    <w:rsid w:val="00253684"/>
    <w:rsid w:val="002538D1"/>
    <w:rsid w:val="00253FBA"/>
    <w:rsid w:val="002546CB"/>
    <w:rsid w:val="002547DD"/>
    <w:rsid w:val="00254C3F"/>
    <w:rsid w:val="00254CA2"/>
    <w:rsid w:val="00254D09"/>
    <w:rsid w:val="002551BA"/>
    <w:rsid w:val="00255D75"/>
    <w:rsid w:val="00255E61"/>
    <w:rsid w:val="002561F6"/>
    <w:rsid w:val="00256761"/>
    <w:rsid w:val="00256865"/>
    <w:rsid w:val="00256ACD"/>
    <w:rsid w:val="002577E0"/>
    <w:rsid w:val="0025799C"/>
    <w:rsid w:val="00257AA9"/>
    <w:rsid w:val="002600AE"/>
    <w:rsid w:val="002602E1"/>
    <w:rsid w:val="00260677"/>
    <w:rsid w:val="002606FE"/>
    <w:rsid w:val="0026162C"/>
    <w:rsid w:val="002616D7"/>
    <w:rsid w:val="0026176A"/>
    <w:rsid w:val="002619C0"/>
    <w:rsid w:val="0026212D"/>
    <w:rsid w:val="0026276D"/>
    <w:rsid w:val="00262A58"/>
    <w:rsid w:val="00262BF5"/>
    <w:rsid w:val="00262CD3"/>
    <w:rsid w:val="00262DD6"/>
    <w:rsid w:val="00262F17"/>
    <w:rsid w:val="00263038"/>
    <w:rsid w:val="0026385C"/>
    <w:rsid w:val="00264E58"/>
    <w:rsid w:val="0026514E"/>
    <w:rsid w:val="002651D4"/>
    <w:rsid w:val="002655DC"/>
    <w:rsid w:val="0026590E"/>
    <w:rsid w:val="00265ECC"/>
    <w:rsid w:val="0026636A"/>
    <w:rsid w:val="0026689D"/>
    <w:rsid w:val="00266C08"/>
    <w:rsid w:val="00266F0A"/>
    <w:rsid w:val="00267234"/>
    <w:rsid w:val="00267914"/>
    <w:rsid w:val="00267E3B"/>
    <w:rsid w:val="002705F4"/>
    <w:rsid w:val="0027067C"/>
    <w:rsid w:val="00270D53"/>
    <w:rsid w:val="00270EB2"/>
    <w:rsid w:val="00271009"/>
    <w:rsid w:val="00271808"/>
    <w:rsid w:val="00271BBA"/>
    <w:rsid w:val="00271C59"/>
    <w:rsid w:val="002722EC"/>
    <w:rsid w:val="0027258A"/>
    <w:rsid w:val="0027295A"/>
    <w:rsid w:val="00272A00"/>
    <w:rsid w:val="002733EA"/>
    <w:rsid w:val="002737F9"/>
    <w:rsid w:val="00273BD3"/>
    <w:rsid w:val="00273EA9"/>
    <w:rsid w:val="00274307"/>
    <w:rsid w:val="00274530"/>
    <w:rsid w:val="0027478B"/>
    <w:rsid w:val="002747EA"/>
    <w:rsid w:val="00275A65"/>
    <w:rsid w:val="0027691C"/>
    <w:rsid w:val="00276B92"/>
    <w:rsid w:val="0027766A"/>
    <w:rsid w:val="00277A62"/>
    <w:rsid w:val="0028081F"/>
    <w:rsid w:val="002808AB"/>
    <w:rsid w:val="002809BD"/>
    <w:rsid w:val="00280CD2"/>
    <w:rsid w:val="0028104B"/>
    <w:rsid w:val="0028141A"/>
    <w:rsid w:val="00281F9F"/>
    <w:rsid w:val="002820C6"/>
    <w:rsid w:val="00282263"/>
    <w:rsid w:val="002826DF"/>
    <w:rsid w:val="002827CE"/>
    <w:rsid w:val="00282A57"/>
    <w:rsid w:val="00282BD2"/>
    <w:rsid w:val="00283299"/>
    <w:rsid w:val="00283805"/>
    <w:rsid w:val="00283B07"/>
    <w:rsid w:val="00283F57"/>
    <w:rsid w:val="002841A7"/>
    <w:rsid w:val="00284A9D"/>
    <w:rsid w:val="00284D03"/>
    <w:rsid w:val="00284D62"/>
    <w:rsid w:val="00285635"/>
    <w:rsid w:val="00285731"/>
    <w:rsid w:val="00285C21"/>
    <w:rsid w:val="00285EF1"/>
    <w:rsid w:val="00286903"/>
    <w:rsid w:val="00286B4D"/>
    <w:rsid w:val="00286E8E"/>
    <w:rsid w:val="00286FFD"/>
    <w:rsid w:val="002872EA"/>
    <w:rsid w:val="00287424"/>
    <w:rsid w:val="00287769"/>
    <w:rsid w:val="00287E7D"/>
    <w:rsid w:val="0029049E"/>
    <w:rsid w:val="002905E9"/>
    <w:rsid w:val="0029066D"/>
    <w:rsid w:val="002907C5"/>
    <w:rsid w:val="002909C8"/>
    <w:rsid w:val="00290B93"/>
    <w:rsid w:val="0029201C"/>
    <w:rsid w:val="002923EB"/>
    <w:rsid w:val="0029259B"/>
    <w:rsid w:val="002925A3"/>
    <w:rsid w:val="00292B1E"/>
    <w:rsid w:val="002933DE"/>
    <w:rsid w:val="0029343E"/>
    <w:rsid w:val="00293966"/>
    <w:rsid w:val="00294034"/>
    <w:rsid w:val="002943B0"/>
    <w:rsid w:val="00294BCE"/>
    <w:rsid w:val="00294CA1"/>
    <w:rsid w:val="00294F08"/>
    <w:rsid w:val="002954D5"/>
    <w:rsid w:val="00295BFF"/>
    <w:rsid w:val="0029601F"/>
    <w:rsid w:val="00296207"/>
    <w:rsid w:val="002962B6"/>
    <w:rsid w:val="002964D6"/>
    <w:rsid w:val="002965FC"/>
    <w:rsid w:val="00296979"/>
    <w:rsid w:val="00296BCE"/>
    <w:rsid w:val="0029725A"/>
    <w:rsid w:val="002A04D7"/>
    <w:rsid w:val="002A0604"/>
    <w:rsid w:val="002A0BA5"/>
    <w:rsid w:val="002A0BFC"/>
    <w:rsid w:val="002A0D8F"/>
    <w:rsid w:val="002A1326"/>
    <w:rsid w:val="002A15C2"/>
    <w:rsid w:val="002A1A42"/>
    <w:rsid w:val="002A1B23"/>
    <w:rsid w:val="002A202E"/>
    <w:rsid w:val="002A229E"/>
    <w:rsid w:val="002A234F"/>
    <w:rsid w:val="002A279F"/>
    <w:rsid w:val="002A2FE7"/>
    <w:rsid w:val="002A32CF"/>
    <w:rsid w:val="002A3FF2"/>
    <w:rsid w:val="002A4608"/>
    <w:rsid w:val="002A498E"/>
    <w:rsid w:val="002A4A14"/>
    <w:rsid w:val="002A4AEA"/>
    <w:rsid w:val="002A4C4D"/>
    <w:rsid w:val="002A5202"/>
    <w:rsid w:val="002A5291"/>
    <w:rsid w:val="002A597B"/>
    <w:rsid w:val="002A5EED"/>
    <w:rsid w:val="002A5F3D"/>
    <w:rsid w:val="002A623E"/>
    <w:rsid w:val="002A6AE3"/>
    <w:rsid w:val="002A7DFB"/>
    <w:rsid w:val="002A7FDD"/>
    <w:rsid w:val="002B0003"/>
    <w:rsid w:val="002B14A0"/>
    <w:rsid w:val="002B1581"/>
    <w:rsid w:val="002B1C23"/>
    <w:rsid w:val="002B1D83"/>
    <w:rsid w:val="002B3118"/>
    <w:rsid w:val="002B3130"/>
    <w:rsid w:val="002B3191"/>
    <w:rsid w:val="002B3549"/>
    <w:rsid w:val="002B35B8"/>
    <w:rsid w:val="002B37B4"/>
    <w:rsid w:val="002B3A7D"/>
    <w:rsid w:val="002B3C0D"/>
    <w:rsid w:val="002B3F9F"/>
    <w:rsid w:val="002B463A"/>
    <w:rsid w:val="002B48C3"/>
    <w:rsid w:val="002B55FC"/>
    <w:rsid w:val="002B5D4A"/>
    <w:rsid w:val="002B61A1"/>
    <w:rsid w:val="002B6311"/>
    <w:rsid w:val="002B6C8A"/>
    <w:rsid w:val="002B70FC"/>
    <w:rsid w:val="002B733E"/>
    <w:rsid w:val="002B7424"/>
    <w:rsid w:val="002B76A4"/>
    <w:rsid w:val="002B792B"/>
    <w:rsid w:val="002B7D0E"/>
    <w:rsid w:val="002B7DA0"/>
    <w:rsid w:val="002B7E56"/>
    <w:rsid w:val="002B7EEA"/>
    <w:rsid w:val="002C02E0"/>
    <w:rsid w:val="002C03C8"/>
    <w:rsid w:val="002C0590"/>
    <w:rsid w:val="002C1027"/>
    <w:rsid w:val="002C1392"/>
    <w:rsid w:val="002C1CD4"/>
    <w:rsid w:val="002C1DCB"/>
    <w:rsid w:val="002C1E34"/>
    <w:rsid w:val="002C1E52"/>
    <w:rsid w:val="002C2284"/>
    <w:rsid w:val="002C2D9B"/>
    <w:rsid w:val="002C2FEF"/>
    <w:rsid w:val="002C303C"/>
    <w:rsid w:val="002C3C47"/>
    <w:rsid w:val="002C469D"/>
    <w:rsid w:val="002C46E7"/>
    <w:rsid w:val="002C4E2D"/>
    <w:rsid w:val="002C5753"/>
    <w:rsid w:val="002C579C"/>
    <w:rsid w:val="002C5AFA"/>
    <w:rsid w:val="002C5F54"/>
    <w:rsid w:val="002C6206"/>
    <w:rsid w:val="002C6675"/>
    <w:rsid w:val="002C668A"/>
    <w:rsid w:val="002C6B6B"/>
    <w:rsid w:val="002C6BDD"/>
    <w:rsid w:val="002C6F2C"/>
    <w:rsid w:val="002C75CB"/>
    <w:rsid w:val="002C7B10"/>
    <w:rsid w:val="002C7C64"/>
    <w:rsid w:val="002D0060"/>
    <w:rsid w:val="002D01DD"/>
    <w:rsid w:val="002D0BBE"/>
    <w:rsid w:val="002D0BCE"/>
    <w:rsid w:val="002D0E63"/>
    <w:rsid w:val="002D13A3"/>
    <w:rsid w:val="002D14B7"/>
    <w:rsid w:val="002D165A"/>
    <w:rsid w:val="002D17D9"/>
    <w:rsid w:val="002D185D"/>
    <w:rsid w:val="002D1E02"/>
    <w:rsid w:val="002D24AD"/>
    <w:rsid w:val="002D276D"/>
    <w:rsid w:val="002D27BE"/>
    <w:rsid w:val="002D3698"/>
    <w:rsid w:val="002D412E"/>
    <w:rsid w:val="002D49E9"/>
    <w:rsid w:val="002D4B0B"/>
    <w:rsid w:val="002D516D"/>
    <w:rsid w:val="002D57B6"/>
    <w:rsid w:val="002D59F5"/>
    <w:rsid w:val="002D6B30"/>
    <w:rsid w:val="002D6C24"/>
    <w:rsid w:val="002D6E40"/>
    <w:rsid w:val="002D6EDC"/>
    <w:rsid w:val="002D70B9"/>
    <w:rsid w:val="002D729F"/>
    <w:rsid w:val="002D73FD"/>
    <w:rsid w:val="002D7454"/>
    <w:rsid w:val="002D79EB"/>
    <w:rsid w:val="002D7D56"/>
    <w:rsid w:val="002E0B2A"/>
    <w:rsid w:val="002E10EF"/>
    <w:rsid w:val="002E1903"/>
    <w:rsid w:val="002E1A2A"/>
    <w:rsid w:val="002E1AF4"/>
    <w:rsid w:val="002E21D5"/>
    <w:rsid w:val="002E246C"/>
    <w:rsid w:val="002E2720"/>
    <w:rsid w:val="002E28AE"/>
    <w:rsid w:val="002E2944"/>
    <w:rsid w:val="002E2AD8"/>
    <w:rsid w:val="002E2C80"/>
    <w:rsid w:val="002E2DF5"/>
    <w:rsid w:val="002E3402"/>
    <w:rsid w:val="002E3604"/>
    <w:rsid w:val="002E36F3"/>
    <w:rsid w:val="002E3A31"/>
    <w:rsid w:val="002E44D7"/>
    <w:rsid w:val="002E4528"/>
    <w:rsid w:val="002E54E3"/>
    <w:rsid w:val="002E582A"/>
    <w:rsid w:val="002E6524"/>
    <w:rsid w:val="002E69B1"/>
    <w:rsid w:val="002E71E5"/>
    <w:rsid w:val="002E7665"/>
    <w:rsid w:val="002E7BF1"/>
    <w:rsid w:val="002E7F90"/>
    <w:rsid w:val="002F01B2"/>
    <w:rsid w:val="002F0778"/>
    <w:rsid w:val="002F0CF3"/>
    <w:rsid w:val="002F0F08"/>
    <w:rsid w:val="002F16A3"/>
    <w:rsid w:val="002F1C8A"/>
    <w:rsid w:val="002F237E"/>
    <w:rsid w:val="002F2522"/>
    <w:rsid w:val="002F391B"/>
    <w:rsid w:val="002F444C"/>
    <w:rsid w:val="002F45A6"/>
    <w:rsid w:val="002F4636"/>
    <w:rsid w:val="002F4961"/>
    <w:rsid w:val="002F502D"/>
    <w:rsid w:val="002F503C"/>
    <w:rsid w:val="002F53B4"/>
    <w:rsid w:val="002F65EE"/>
    <w:rsid w:val="002F66AA"/>
    <w:rsid w:val="002F71D3"/>
    <w:rsid w:val="002F7738"/>
    <w:rsid w:val="002F7E89"/>
    <w:rsid w:val="002F7F9F"/>
    <w:rsid w:val="003015C4"/>
    <w:rsid w:val="003017E7"/>
    <w:rsid w:val="003020C3"/>
    <w:rsid w:val="00303936"/>
    <w:rsid w:val="003039FF"/>
    <w:rsid w:val="00303CF8"/>
    <w:rsid w:val="003049D0"/>
    <w:rsid w:val="00304DBF"/>
    <w:rsid w:val="00305429"/>
    <w:rsid w:val="003054C1"/>
    <w:rsid w:val="0030579D"/>
    <w:rsid w:val="003057D3"/>
    <w:rsid w:val="00305942"/>
    <w:rsid w:val="00305C8C"/>
    <w:rsid w:val="00305D78"/>
    <w:rsid w:val="00305DBD"/>
    <w:rsid w:val="00305F2F"/>
    <w:rsid w:val="00305F72"/>
    <w:rsid w:val="003061E2"/>
    <w:rsid w:val="00306E06"/>
    <w:rsid w:val="0030776A"/>
    <w:rsid w:val="003078FA"/>
    <w:rsid w:val="00307EC0"/>
    <w:rsid w:val="003103B5"/>
    <w:rsid w:val="00310AEB"/>
    <w:rsid w:val="00310EA2"/>
    <w:rsid w:val="00311247"/>
    <w:rsid w:val="00311A1E"/>
    <w:rsid w:val="00311CCB"/>
    <w:rsid w:val="00312386"/>
    <w:rsid w:val="0031244B"/>
    <w:rsid w:val="00312EC9"/>
    <w:rsid w:val="0031346D"/>
    <w:rsid w:val="00313694"/>
    <w:rsid w:val="003139C7"/>
    <w:rsid w:val="00313FE4"/>
    <w:rsid w:val="003145F4"/>
    <w:rsid w:val="003147BD"/>
    <w:rsid w:val="003149F7"/>
    <w:rsid w:val="00314A8D"/>
    <w:rsid w:val="00314B5F"/>
    <w:rsid w:val="00315266"/>
    <w:rsid w:val="00315545"/>
    <w:rsid w:val="00315EA8"/>
    <w:rsid w:val="00316E5A"/>
    <w:rsid w:val="00316F66"/>
    <w:rsid w:val="003174A5"/>
    <w:rsid w:val="00317583"/>
    <w:rsid w:val="0031769D"/>
    <w:rsid w:val="00317BC4"/>
    <w:rsid w:val="00317CDA"/>
    <w:rsid w:val="00317F8F"/>
    <w:rsid w:val="003200CC"/>
    <w:rsid w:val="003201A7"/>
    <w:rsid w:val="00320305"/>
    <w:rsid w:val="00321093"/>
    <w:rsid w:val="003213D8"/>
    <w:rsid w:val="003214D3"/>
    <w:rsid w:val="00321931"/>
    <w:rsid w:val="003223C3"/>
    <w:rsid w:val="003229E6"/>
    <w:rsid w:val="00322FCF"/>
    <w:rsid w:val="003248A6"/>
    <w:rsid w:val="00324B7A"/>
    <w:rsid w:val="00324C42"/>
    <w:rsid w:val="00324D18"/>
    <w:rsid w:val="00324EAE"/>
    <w:rsid w:val="0032537B"/>
    <w:rsid w:val="003254AD"/>
    <w:rsid w:val="00325593"/>
    <w:rsid w:val="00325879"/>
    <w:rsid w:val="00325FC4"/>
    <w:rsid w:val="003263B7"/>
    <w:rsid w:val="00326F15"/>
    <w:rsid w:val="00327158"/>
    <w:rsid w:val="0032756F"/>
    <w:rsid w:val="00327CF4"/>
    <w:rsid w:val="00327D21"/>
    <w:rsid w:val="00330105"/>
    <w:rsid w:val="00330608"/>
    <w:rsid w:val="00330994"/>
    <w:rsid w:val="00330B8B"/>
    <w:rsid w:val="00330BC0"/>
    <w:rsid w:val="00330CD4"/>
    <w:rsid w:val="003317B0"/>
    <w:rsid w:val="00331914"/>
    <w:rsid w:val="00332038"/>
    <w:rsid w:val="00332447"/>
    <w:rsid w:val="00332738"/>
    <w:rsid w:val="003328FD"/>
    <w:rsid w:val="00332BF3"/>
    <w:rsid w:val="00333110"/>
    <w:rsid w:val="00333130"/>
    <w:rsid w:val="003332C5"/>
    <w:rsid w:val="003334F1"/>
    <w:rsid w:val="0033399D"/>
    <w:rsid w:val="00333E76"/>
    <w:rsid w:val="00333FF3"/>
    <w:rsid w:val="00334F88"/>
    <w:rsid w:val="00336405"/>
    <w:rsid w:val="0033656D"/>
    <w:rsid w:val="00336B1E"/>
    <w:rsid w:val="00336BFC"/>
    <w:rsid w:val="00336C69"/>
    <w:rsid w:val="00336F46"/>
    <w:rsid w:val="00337483"/>
    <w:rsid w:val="00337796"/>
    <w:rsid w:val="00340152"/>
    <w:rsid w:val="00340989"/>
    <w:rsid w:val="00340B77"/>
    <w:rsid w:val="003418EF"/>
    <w:rsid w:val="00342119"/>
    <w:rsid w:val="003432AC"/>
    <w:rsid w:val="00343578"/>
    <w:rsid w:val="00343934"/>
    <w:rsid w:val="00343C2F"/>
    <w:rsid w:val="00344ABB"/>
    <w:rsid w:val="0034504E"/>
    <w:rsid w:val="00345220"/>
    <w:rsid w:val="00345733"/>
    <w:rsid w:val="00345FF1"/>
    <w:rsid w:val="003467A3"/>
    <w:rsid w:val="00346939"/>
    <w:rsid w:val="00346EE2"/>
    <w:rsid w:val="00346F69"/>
    <w:rsid w:val="00347129"/>
    <w:rsid w:val="00347B2E"/>
    <w:rsid w:val="00350019"/>
    <w:rsid w:val="003501EE"/>
    <w:rsid w:val="003502A2"/>
    <w:rsid w:val="00350681"/>
    <w:rsid w:val="00350718"/>
    <w:rsid w:val="00350C0F"/>
    <w:rsid w:val="00351E03"/>
    <w:rsid w:val="00351F62"/>
    <w:rsid w:val="00352122"/>
    <w:rsid w:val="003522BA"/>
    <w:rsid w:val="00352592"/>
    <w:rsid w:val="003527E4"/>
    <w:rsid w:val="00352B41"/>
    <w:rsid w:val="00352C58"/>
    <w:rsid w:val="003530C4"/>
    <w:rsid w:val="003537E4"/>
    <w:rsid w:val="00354AB0"/>
    <w:rsid w:val="00354ACD"/>
    <w:rsid w:val="00354C51"/>
    <w:rsid w:val="0035663D"/>
    <w:rsid w:val="00356A16"/>
    <w:rsid w:val="00356AF5"/>
    <w:rsid w:val="00356CF0"/>
    <w:rsid w:val="00356D17"/>
    <w:rsid w:val="00357F38"/>
    <w:rsid w:val="00360B84"/>
    <w:rsid w:val="00360DB3"/>
    <w:rsid w:val="003618E5"/>
    <w:rsid w:val="00361C67"/>
    <w:rsid w:val="00362CDD"/>
    <w:rsid w:val="00362E40"/>
    <w:rsid w:val="00363123"/>
    <w:rsid w:val="00363699"/>
    <w:rsid w:val="003638AE"/>
    <w:rsid w:val="0036393F"/>
    <w:rsid w:val="00364070"/>
    <w:rsid w:val="0036429B"/>
    <w:rsid w:val="0036461D"/>
    <w:rsid w:val="00365ACC"/>
    <w:rsid w:val="00365D30"/>
    <w:rsid w:val="00366123"/>
    <w:rsid w:val="003661D4"/>
    <w:rsid w:val="00366527"/>
    <w:rsid w:val="00366CF7"/>
    <w:rsid w:val="00366F39"/>
    <w:rsid w:val="00367787"/>
    <w:rsid w:val="00367879"/>
    <w:rsid w:val="00370027"/>
    <w:rsid w:val="003706A0"/>
    <w:rsid w:val="00370857"/>
    <w:rsid w:val="00370EFA"/>
    <w:rsid w:val="00371149"/>
    <w:rsid w:val="00371D44"/>
    <w:rsid w:val="00371E9C"/>
    <w:rsid w:val="00371F4C"/>
    <w:rsid w:val="00371FE3"/>
    <w:rsid w:val="0037241E"/>
    <w:rsid w:val="0037273E"/>
    <w:rsid w:val="00373796"/>
    <w:rsid w:val="00373ECF"/>
    <w:rsid w:val="00373F78"/>
    <w:rsid w:val="00374114"/>
    <w:rsid w:val="00374418"/>
    <w:rsid w:val="00374DDD"/>
    <w:rsid w:val="00374E30"/>
    <w:rsid w:val="003756CA"/>
    <w:rsid w:val="0037578B"/>
    <w:rsid w:val="00375A9F"/>
    <w:rsid w:val="00375BDF"/>
    <w:rsid w:val="00376623"/>
    <w:rsid w:val="00376A30"/>
    <w:rsid w:val="00380680"/>
    <w:rsid w:val="003808E8"/>
    <w:rsid w:val="00380A78"/>
    <w:rsid w:val="00380A9C"/>
    <w:rsid w:val="0038151D"/>
    <w:rsid w:val="00381629"/>
    <w:rsid w:val="00381734"/>
    <w:rsid w:val="0038184B"/>
    <w:rsid w:val="0038248D"/>
    <w:rsid w:val="00382F40"/>
    <w:rsid w:val="00384233"/>
    <w:rsid w:val="0038468F"/>
    <w:rsid w:val="00384788"/>
    <w:rsid w:val="003849B1"/>
    <w:rsid w:val="00384AA1"/>
    <w:rsid w:val="003853AE"/>
    <w:rsid w:val="003853C1"/>
    <w:rsid w:val="003858C3"/>
    <w:rsid w:val="00385A6C"/>
    <w:rsid w:val="00385B31"/>
    <w:rsid w:val="00385FE5"/>
    <w:rsid w:val="00386490"/>
    <w:rsid w:val="00386B39"/>
    <w:rsid w:val="00386C79"/>
    <w:rsid w:val="003906F3"/>
    <w:rsid w:val="00390834"/>
    <w:rsid w:val="00390AF0"/>
    <w:rsid w:val="00390CC4"/>
    <w:rsid w:val="00390FC3"/>
    <w:rsid w:val="00391437"/>
    <w:rsid w:val="00391B3C"/>
    <w:rsid w:val="003924E1"/>
    <w:rsid w:val="00392AFF"/>
    <w:rsid w:val="00392C0C"/>
    <w:rsid w:val="00392F25"/>
    <w:rsid w:val="00393322"/>
    <w:rsid w:val="0039489F"/>
    <w:rsid w:val="003949F9"/>
    <w:rsid w:val="00396CF9"/>
    <w:rsid w:val="00396E7F"/>
    <w:rsid w:val="00396F47"/>
    <w:rsid w:val="00397A66"/>
    <w:rsid w:val="00397DB0"/>
    <w:rsid w:val="003A0283"/>
    <w:rsid w:val="003A068D"/>
    <w:rsid w:val="003A0AC6"/>
    <w:rsid w:val="003A0C50"/>
    <w:rsid w:val="003A1824"/>
    <w:rsid w:val="003A1A47"/>
    <w:rsid w:val="003A1EDC"/>
    <w:rsid w:val="003A1FB4"/>
    <w:rsid w:val="003A26A6"/>
    <w:rsid w:val="003A37B2"/>
    <w:rsid w:val="003A3983"/>
    <w:rsid w:val="003A39EC"/>
    <w:rsid w:val="003A3A71"/>
    <w:rsid w:val="003A3BC0"/>
    <w:rsid w:val="003A3E46"/>
    <w:rsid w:val="003A4108"/>
    <w:rsid w:val="003A45C6"/>
    <w:rsid w:val="003A481B"/>
    <w:rsid w:val="003A56B3"/>
    <w:rsid w:val="003A56FD"/>
    <w:rsid w:val="003A5B87"/>
    <w:rsid w:val="003A5D69"/>
    <w:rsid w:val="003A646E"/>
    <w:rsid w:val="003A64BB"/>
    <w:rsid w:val="003A66AA"/>
    <w:rsid w:val="003A6E80"/>
    <w:rsid w:val="003A6F55"/>
    <w:rsid w:val="003A703F"/>
    <w:rsid w:val="003A7196"/>
    <w:rsid w:val="003A7537"/>
    <w:rsid w:val="003A7D12"/>
    <w:rsid w:val="003A7D63"/>
    <w:rsid w:val="003B0157"/>
    <w:rsid w:val="003B01DE"/>
    <w:rsid w:val="003B077F"/>
    <w:rsid w:val="003B0BE5"/>
    <w:rsid w:val="003B0C12"/>
    <w:rsid w:val="003B1659"/>
    <w:rsid w:val="003B1E40"/>
    <w:rsid w:val="003B2762"/>
    <w:rsid w:val="003B2AA6"/>
    <w:rsid w:val="003B2CC8"/>
    <w:rsid w:val="003B2DE2"/>
    <w:rsid w:val="003B2EA6"/>
    <w:rsid w:val="003B3277"/>
    <w:rsid w:val="003B35AE"/>
    <w:rsid w:val="003B361C"/>
    <w:rsid w:val="003B38B8"/>
    <w:rsid w:val="003B3D5C"/>
    <w:rsid w:val="003B4726"/>
    <w:rsid w:val="003B4D14"/>
    <w:rsid w:val="003B4D4A"/>
    <w:rsid w:val="003B51C8"/>
    <w:rsid w:val="003B533B"/>
    <w:rsid w:val="003B5845"/>
    <w:rsid w:val="003B5CF0"/>
    <w:rsid w:val="003B5F76"/>
    <w:rsid w:val="003B614A"/>
    <w:rsid w:val="003B631E"/>
    <w:rsid w:val="003B69D9"/>
    <w:rsid w:val="003B6BDA"/>
    <w:rsid w:val="003B79E3"/>
    <w:rsid w:val="003B7FA1"/>
    <w:rsid w:val="003C0484"/>
    <w:rsid w:val="003C0BB7"/>
    <w:rsid w:val="003C1158"/>
    <w:rsid w:val="003C14C6"/>
    <w:rsid w:val="003C1AC8"/>
    <w:rsid w:val="003C1B79"/>
    <w:rsid w:val="003C1C47"/>
    <w:rsid w:val="003C267F"/>
    <w:rsid w:val="003C2831"/>
    <w:rsid w:val="003C2F35"/>
    <w:rsid w:val="003C2F39"/>
    <w:rsid w:val="003C3AA5"/>
    <w:rsid w:val="003C3BE0"/>
    <w:rsid w:val="003C3F30"/>
    <w:rsid w:val="003C46E6"/>
    <w:rsid w:val="003C4A51"/>
    <w:rsid w:val="003C4B02"/>
    <w:rsid w:val="003C4B2B"/>
    <w:rsid w:val="003C5118"/>
    <w:rsid w:val="003C521E"/>
    <w:rsid w:val="003C5412"/>
    <w:rsid w:val="003C5E96"/>
    <w:rsid w:val="003C6180"/>
    <w:rsid w:val="003C64C1"/>
    <w:rsid w:val="003C7067"/>
    <w:rsid w:val="003C75A2"/>
    <w:rsid w:val="003C7748"/>
    <w:rsid w:val="003C7954"/>
    <w:rsid w:val="003C7B65"/>
    <w:rsid w:val="003D0943"/>
    <w:rsid w:val="003D0DF2"/>
    <w:rsid w:val="003D0EAE"/>
    <w:rsid w:val="003D1263"/>
    <w:rsid w:val="003D1CC5"/>
    <w:rsid w:val="003D1DB5"/>
    <w:rsid w:val="003D1DE4"/>
    <w:rsid w:val="003D228C"/>
    <w:rsid w:val="003D2A66"/>
    <w:rsid w:val="003D2ABA"/>
    <w:rsid w:val="003D338C"/>
    <w:rsid w:val="003D3409"/>
    <w:rsid w:val="003D368F"/>
    <w:rsid w:val="003D389D"/>
    <w:rsid w:val="003D3C9D"/>
    <w:rsid w:val="003D3CC3"/>
    <w:rsid w:val="003D3FA6"/>
    <w:rsid w:val="003D4031"/>
    <w:rsid w:val="003D42E1"/>
    <w:rsid w:val="003D4C6E"/>
    <w:rsid w:val="003D5CE8"/>
    <w:rsid w:val="003D6A37"/>
    <w:rsid w:val="003D6E95"/>
    <w:rsid w:val="003D7ABE"/>
    <w:rsid w:val="003E0DF8"/>
    <w:rsid w:val="003E1421"/>
    <w:rsid w:val="003E1B1F"/>
    <w:rsid w:val="003E1BDB"/>
    <w:rsid w:val="003E1CC4"/>
    <w:rsid w:val="003E1CD6"/>
    <w:rsid w:val="003E1D3A"/>
    <w:rsid w:val="003E219E"/>
    <w:rsid w:val="003E2900"/>
    <w:rsid w:val="003E298E"/>
    <w:rsid w:val="003E2FE9"/>
    <w:rsid w:val="003E3112"/>
    <w:rsid w:val="003E32DF"/>
    <w:rsid w:val="003E373F"/>
    <w:rsid w:val="003E3902"/>
    <w:rsid w:val="003E3BC6"/>
    <w:rsid w:val="003E3C37"/>
    <w:rsid w:val="003E429B"/>
    <w:rsid w:val="003E42A3"/>
    <w:rsid w:val="003E4A83"/>
    <w:rsid w:val="003E4B36"/>
    <w:rsid w:val="003E4F07"/>
    <w:rsid w:val="003E5B93"/>
    <w:rsid w:val="003E68C1"/>
    <w:rsid w:val="003E6902"/>
    <w:rsid w:val="003E743A"/>
    <w:rsid w:val="003E7B68"/>
    <w:rsid w:val="003E7E16"/>
    <w:rsid w:val="003F0140"/>
    <w:rsid w:val="003F13CD"/>
    <w:rsid w:val="003F23A6"/>
    <w:rsid w:val="003F246D"/>
    <w:rsid w:val="003F24CB"/>
    <w:rsid w:val="003F27D4"/>
    <w:rsid w:val="003F2ED1"/>
    <w:rsid w:val="003F3126"/>
    <w:rsid w:val="003F32C7"/>
    <w:rsid w:val="003F36C3"/>
    <w:rsid w:val="003F3A8C"/>
    <w:rsid w:val="003F4200"/>
    <w:rsid w:val="003F4A6E"/>
    <w:rsid w:val="003F4C6E"/>
    <w:rsid w:val="003F4E8A"/>
    <w:rsid w:val="003F4FE2"/>
    <w:rsid w:val="003F50D1"/>
    <w:rsid w:val="003F5276"/>
    <w:rsid w:val="003F6103"/>
    <w:rsid w:val="003F6390"/>
    <w:rsid w:val="003F64ED"/>
    <w:rsid w:val="003F6538"/>
    <w:rsid w:val="003F6899"/>
    <w:rsid w:val="003F7045"/>
    <w:rsid w:val="00400FB0"/>
    <w:rsid w:val="00401A39"/>
    <w:rsid w:val="00402AA1"/>
    <w:rsid w:val="00402E55"/>
    <w:rsid w:val="00402FA7"/>
    <w:rsid w:val="004030B1"/>
    <w:rsid w:val="004030FF"/>
    <w:rsid w:val="00403212"/>
    <w:rsid w:val="0040376B"/>
    <w:rsid w:val="00403A29"/>
    <w:rsid w:val="004044A6"/>
    <w:rsid w:val="00404751"/>
    <w:rsid w:val="004056DB"/>
    <w:rsid w:val="00405A8D"/>
    <w:rsid w:val="00405ABC"/>
    <w:rsid w:val="00405DC0"/>
    <w:rsid w:val="00405DE4"/>
    <w:rsid w:val="004063C7"/>
    <w:rsid w:val="004067A9"/>
    <w:rsid w:val="0040694A"/>
    <w:rsid w:val="00406FC5"/>
    <w:rsid w:val="0040729C"/>
    <w:rsid w:val="004079F7"/>
    <w:rsid w:val="00407A39"/>
    <w:rsid w:val="0041017B"/>
    <w:rsid w:val="00410266"/>
    <w:rsid w:val="00410297"/>
    <w:rsid w:val="0041128E"/>
    <w:rsid w:val="0041137D"/>
    <w:rsid w:val="004113AB"/>
    <w:rsid w:val="00411542"/>
    <w:rsid w:val="004117E5"/>
    <w:rsid w:val="00411D82"/>
    <w:rsid w:val="00412029"/>
    <w:rsid w:val="0041237D"/>
    <w:rsid w:val="004123E1"/>
    <w:rsid w:val="004126E3"/>
    <w:rsid w:val="00412B49"/>
    <w:rsid w:val="00412D9F"/>
    <w:rsid w:val="004136D2"/>
    <w:rsid w:val="0041371E"/>
    <w:rsid w:val="00413731"/>
    <w:rsid w:val="00413919"/>
    <w:rsid w:val="00413AE2"/>
    <w:rsid w:val="00413EF1"/>
    <w:rsid w:val="004146BF"/>
    <w:rsid w:val="00414960"/>
    <w:rsid w:val="00414F80"/>
    <w:rsid w:val="00415AF3"/>
    <w:rsid w:val="0041611A"/>
    <w:rsid w:val="004161CF"/>
    <w:rsid w:val="004165C2"/>
    <w:rsid w:val="00416662"/>
    <w:rsid w:val="004166B2"/>
    <w:rsid w:val="0041690F"/>
    <w:rsid w:val="00416B06"/>
    <w:rsid w:val="00416C9B"/>
    <w:rsid w:val="00416E90"/>
    <w:rsid w:val="004171F1"/>
    <w:rsid w:val="004174CF"/>
    <w:rsid w:val="004178F9"/>
    <w:rsid w:val="004202CB"/>
    <w:rsid w:val="0042065F"/>
    <w:rsid w:val="00420679"/>
    <w:rsid w:val="00420BF7"/>
    <w:rsid w:val="00420FDA"/>
    <w:rsid w:val="0042154A"/>
    <w:rsid w:val="0042161F"/>
    <w:rsid w:val="00421984"/>
    <w:rsid w:val="004220E2"/>
    <w:rsid w:val="00422F43"/>
    <w:rsid w:val="0042366B"/>
    <w:rsid w:val="00423CC3"/>
    <w:rsid w:val="00423D2E"/>
    <w:rsid w:val="0042410E"/>
    <w:rsid w:val="00424A0A"/>
    <w:rsid w:val="00424C0D"/>
    <w:rsid w:val="0042544F"/>
    <w:rsid w:val="00425ABB"/>
    <w:rsid w:val="004268F5"/>
    <w:rsid w:val="00426D25"/>
    <w:rsid w:val="00426E5A"/>
    <w:rsid w:val="004275AB"/>
    <w:rsid w:val="00427A2E"/>
    <w:rsid w:val="00427C55"/>
    <w:rsid w:val="00427DE7"/>
    <w:rsid w:val="00430242"/>
    <w:rsid w:val="004302F1"/>
    <w:rsid w:val="004303E8"/>
    <w:rsid w:val="00430BCB"/>
    <w:rsid w:val="00431137"/>
    <w:rsid w:val="0043158D"/>
    <w:rsid w:val="00431B0C"/>
    <w:rsid w:val="00431B8B"/>
    <w:rsid w:val="00432037"/>
    <w:rsid w:val="00432065"/>
    <w:rsid w:val="00432108"/>
    <w:rsid w:val="004329F2"/>
    <w:rsid w:val="00432FC9"/>
    <w:rsid w:val="00433957"/>
    <w:rsid w:val="004339F2"/>
    <w:rsid w:val="00433A16"/>
    <w:rsid w:val="00433C52"/>
    <w:rsid w:val="00434EFA"/>
    <w:rsid w:val="004351AD"/>
    <w:rsid w:val="00435BE3"/>
    <w:rsid w:val="00435F95"/>
    <w:rsid w:val="0043615C"/>
    <w:rsid w:val="0043666F"/>
    <w:rsid w:val="0043694C"/>
    <w:rsid w:val="00436DB3"/>
    <w:rsid w:val="0043725B"/>
    <w:rsid w:val="00437A55"/>
    <w:rsid w:val="00437AC5"/>
    <w:rsid w:val="00437E24"/>
    <w:rsid w:val="004406DB"/>
    <w:rsid w:val="00440F12"/>
    <w:rsid w:val="00440FBA"/>
    <w:rsid w:val="00441112"/>
    <w:rsid w:val="00441258"/>
    <w:rsid w:val="0044194B"/>
    <w:rsid w:val="00441B47"/>
    <w:rsid w:val="00441C08"/>
    <w:rsid w:val="00441C30"/>
    <w:rsid w:val="00441C33"/>
    <w:rsid w:val="00441CAF"/>
    <w:rsid w:val="00442466"/>
    <w:rsid w:val="004424C9"/>
    <w:rsid w:val="00442506"/>
    <w:rsid w:val="00442646"/>
    <w:rsid w:val="00443212"/>
    <w:rsid w:val="0044326D"/>
    <w:rsid w:val="0044329B"/>
    <w:rsid w:val="004435FD"/>
    <w:rsid w:val="00443833"/>
    <w:rsid w:val="00443E1E"/>
    <w:rsid w:val="00444018"/>
    <w:rsid w:val="00444689"/>
    <w:rsid w:val="00444D11"/>
    <w:rsid w:val="004450A0"/>
    <w:rsid w:val="00445473"/>
    <w:rsid w:val="004456BD"/>
    <w:rsid w:val="0044644B"/>
    <w:rsid w:val="004466D2"/>
    <w:rsid w:val="0044683C"/>
    <w:rsid w:val="00446ABA"/>
    <w:rsid w:val="00446E9C"/>
    <w:rsid w:val="004477F2"/>
    <w:rsid w:val="00447C2E"/>
    <w:rsid w:val="00447DAB"/>
    <w:rsid w:val="00451196"/>
    <w:rsid w:val="00451233"/>
    <w:rsid w:val="0045126B"/>
    <w:rsid w:val="00451277"/>
    <w:rsid w:val="004514D4"/>
    <w:rsid w:val="004519D1"/>
    <w:rsid w:val="00451E72"/>
    <w:rsid w:val="00451EF5"/>
    <w:rsid w:val="00452009"/>
    <w:rsid w:val="00452688"/>
    <w:rsid w:val="00452A12"/>
    <w:rsid w:val="004531AA"/>
    <w:rsid w:val="00453625"/>
    <w:rsid w:val="004538E3"/>
    <w:rsid w:val="00453BC5"/>
    <w:rsid w:val="004546E0"/>
    <w:rsid w:val="00454E6D"/>
    <w:rsid w:val="0045570B"/>
    <w:rsid w:val="00455940"/>
    <w:rsid w:val="00455C3E"/>
    <w:rsid w:val="00455D18"/>
    <w:rsid w:val="00455D7F"/>
    <w:rsid w:val="00455F7D"/>
    <w:rsid w:val="0045622B"/>
    <w:rsid w:val="00456380"/>
    <w:rsid w:val="0045747A"/>
    <w:rsid w:val="0045770A"/>
    <w:rsid w:val="00457F32"/>
    <w:rsid w:val="00460A06"/>
    <w:rsid w:val="00460EDC"/>
    <w:rsid w:val="00460F66"/>
    <w:rsid w:val="004614D1"/>
    <w:rsid w:val="00461B40"/>
    <w:rsid w:val="00461B7A"/>
    <w:rsid w:val="00461C2C"/>
    <w:rsid w:val="004626BA"/>
    <w:rsid w:val="0046276E"/>
    <w:rsid w:val="004628A7"/>
    <w:rsid w:val="00462B5B"/>
    <w:rsid w:val="0046316E"/>
    <w:rsid w:val="004636D8"/>
    <w:rsid w:val="004636DE"/>
    <w:rsid w:val="00463756"/>
    <w:rsid w:val="00463ACB"/>
    <w:rsid w:val="00463E3E"/>
    <w:rsid w:val="00463FCF"/>
    <w:rsid w:val="0046414E"/>
    <w:rsid w:val="0046470E"/>
    <w:rsid w:val="004655F0"/>
    <w:rsid w:val="0046579F"/>
    <w:rsid w:val="00465811"/>
    <w:rsid w:val="00465BC9"/>
    <w:rsid w:val="00466120"/>
    <w:rsid w:val="0046674F"/>
    <w:rsid w:val="0046690A"/>
    <w:rsid w:val="00466A69"/>
    <w:rsid w:val="004672B2"/>
    <w:rsid w:val="004672DC"/>
    <w:rsid w:val="00467483"/>
    <w:rsid w:val="004674B8"/>
    <w:rsid w:val="0047033C"/>
    <w:rsid w:val="00470487"/>
    <w:rsid w:val="00470DDC"/>
    <w:rsid w:val="00470F71"/>
    <w:rsid w:val="00471199"/>
    <w:rsid w:val="0047145A"/>
    <w:rsid w:val="00471F45"/>
    <w:rsid w:val="0047247C"/>
    <w:rsid w:val="004726CB"/>
    <w:rsid w:val="00473F40"/>
    <w:rsid w:val="00473F5C"/>
    <w:rsid w:val="00473F5E"/>
    <w:rsid w:val="0047479C"/>
    <w:rsid w:val="00474CDE"/>
    <w:rsid w:val="004750E2"/>
    <w:rsid w:val="004752A7"/>
    <w:rsid w:val="004758CF"/>
    <w:rsid w:val="00475ADE"/>
    <w:rsid w:val="00475EF3"/>
    <w:rsid w:val="00475F4B"/>
    <w:rsid w:val="00475F95"/>
    <w:rsid w:val="00476427"/>
    <w:rsid w:val="004764C0"/>
    <w:rsid w:val="00477493"/>
    <w:rsid w:val="0047770B"/>
    <w:rsid w:val="004802EA"/>
    <w:rsid w:val="00480543"/>
    <w:rsid w:val="00480593"/>
    <w:rsid w:val="00480666"/>
    <w:rsid w:val="00480724"/>
    <w:rsid w:val="0048078E"/>
    <w:rsid w:val="00480BE2"/>
    <w:rsid w:val="00480CA0"/>
    <w:rsid w:val="00480CC6"/>
    <w:rsid w:val="004820E3"/>
    <w:rsid w:val="004824A2"/>
    <w:rsid w:val="00482B85"/>
    <w:rsid w:val="00482CFC"/>
    <w:rsid w:val="004839C7"/>
    <w:rsid w:val="00483B1A"/>
    <w:rsid w:val="00483B8A"/>
    <w:rsid w:val="00483E8F"/>
    <w:rsid w:val="00483EAE"/>
    <w:rsid w:val="004840B4"/>
    <w:rsid w:val="0048452C"/>
    <w:rsid w:val="00484D3C"/>
    <w:rsid w:val="00485AFA"/>
    <w:rsid w:val="00485E0A"/>
    <w:rsid w:val="00486401"/>
    <w:rsid w:val="00486436"/>
    <w:rsid w:val="004872F2"/>
    <w:rsid w:val="0048735C"/>
    <w:rsid w:val="00487407"/>
    <w:rsid w:val="00487657"/>
    <w:rsid w:val="004878B7"/>
    <w:rsid w:val="00487AB6"/>
    <w:rsid w:val="00487C17"/>
    <w:rsid w:val="004902F4"/>
    <w:rsid w:val="004906A7"/>
    <w:rsid w:val="00490B7C"/>
    <w:rsid w:val="004911B6"/>
    <w:rsid w:val="00492453"/>
    <w:rsid w:val="004925D6"/>
    <w:rsid w:val="00492E37"/>
    <w:rsid w:val="00493F4F"/>
    <w:rsid w:val="00493F6C"/>
    <w:rsid w:val="00494033"/>
    <w:rsid w:val="004944D8"/>
    <w:rsid w:val="00494586"/>
    <w:rsid w:val="0049460B"/>
    <w:rsid w:val="00494C80"/>
    <w:rsid w:val="00494F1F"/>
    <w:rsid w:val="00494FF7"/>
    <w:rsid w:val="004951E4"/>
    <w:rsid w:val="004956D6"/>
    <w:rsid w:val="00495DB5"/>
    <w:rsid w:val="00495ED7"/>
    <w:rsid w:val="00496695"/>
    <w:rsid w:val="00496763"/>
    <w:rsid w:val="00496835"/>
    <w:rsid w:val="00496A2C"/>
    <w:rsid w:val="00497F64"/>
    <w:rsid w:val="004A0320"/>
    <w:rsid w:val="004A033B"/>
    <w:rsid w:val="004A0806"/>
    <w:rsid w:val="004A0C6F"/>
    <w:rsid w:val="004A0CB6"/>
    <w:rsid w:val="004A2556"/>
    <w:rsid w:val="004A2B86"/>
    <w:rsid w:val="004A30A8"/>
    <w:rsid w:val="004A3C77"/>
    <w:rsid w:val="004A3C9A"/>
    <w:rsid w:val="004A3E63"/>
    <w:rsid w:val="004A40CD"/>
    <w:rsid w:val="004A4191"/>
    <w:rsid w:val="004A4630"/>
    <w:rsid w:val="004A47E9"/>
    <w:rsid w:val="004A4A3F"/>
    <w:rsid w:val="004A4E4B"/>
    <w:rsid w:val="004A55DF"/>
    <w:rsid w:val="004A5A97"/>
    <w:rsid w:val="004A5BAB"/>
    <w:rsid w:val="004A5C90"/>
    <w:rsid w:val="004A5F73"/>
    <w:rsid w:val="004A60F2"/>
    <w:rsid w:val="004A61A5"/>
    <w:rsid w:val="004A6793"/>
    <w:rsid w:val="004A6E8C"/>
    <w:rsid w:val="004A7389"/>
    <w:rsid w:val="004A7A2F"/>
    <w:rsid w:val="004B0005"/>
    <w:rsid w:val="004B0168"/>
    <w:rsid w:val="004B0248"/>
    <w:rsid w:val="004B0828"/>
    <w:rsid w:val="004B22A8"/>
    <w:rsid w:val="004B30C7"/>
    <w:rsid w:val="004B3672"/>
    <w:rsid w:val="004B3B82"/>
    <w:rsid w:val="004B3EF2"/>
    <w:rsid w:val="004B4889"/>
    <w:rsid w:val="004B5144"/>
    <w:rsid w:val="004B5E77"/>
    <w:rsid w:val="004B6639"/>
    <w:rsid w:val="004B6BB6"/>
    <w:rsid w:val="004B6DB1"/>
    <w:rsid w:val="004B6E0F"/>
    <w:rsid w:val="004B6F30"/>
    <w:rsid w:val="004B7424"/>
    <w:rsid w:val="004B7A05"/>
    <w:rsid w:val="004C0193"/>
    <w:rsid w:val="004C0292"/>
    <w:rsid w:val="004C0654"/>
    <w:rsid w:val="004C0D6D"/>
    <w:rsid w:val="004C16BD"/>
    <w:rsid w:val="004C2168"/>
    <w:rsid w:val="004C26F7"/>
    <w:rsid w:val="004C2A5C"/>
    <w:rsid w:val="004C2B2B"/>
    <w:rsid w:val="004C2E78"/>
    <w:rsid w:val="004C3BE6"/>
    <w:rsid w:val="004C41A9"/>
    <w:rsid w:val="004C4701"/>
    <w:rsid w:val="004C50F5"/>
    <w:rsid w:val="004C5252"/>
    <w:rsid w:val="004C538D"/>
    <w:rsid w:val="004C5794"/>
    <w:rsid w:val="004C5F69"/>
    <w:rsid w:val="004C6801"/>
    <w:rsid w:val="004C6FB8"/>
    <w:rsid w:val="004C71D8"/>
    <w:rsid w:val="004C7890"/>
    <w:rsid w:val="004C7997"/>
    <w:rsid w:val="004D01EA"/>
    <w:rsid w:val="004D0826"/>
    <w:rsid w:val="004D0BFB"/>
    <w:rsid w:val="004D0F71"/>
    <w:rsid w:val="004D1155"/>
    <w:rsid w:val="004D1AAD"/>
    <w:rsid w:val="004D1F1E"/>
    <w:rsid w:val="004D1FD1"/>
    <w:rsid w:val="004D2604"/>
    <w:rsid w:val="004D2C55"/>
    <w:rsid w:val="004D3D4E"/>
    <w:rsid w:val="004D48F6"/>
    <w:rsid w:val="004D5A71"/>
    <w:rsid w:val="004D5EA0"/>
    <w:rsid w:val="004D5EE4"/>
    <w:rsid w:val="004D5FC0"/>
    <w:rsid w:val="004D60E6"/>
    <w:rsid w:val="004D63EA"/>
    <w:rsid w:val="004D6613"/>
    <w:rsid w:val="004D6A48"/>
    <w:rsid w:val="004E0076"/>
    <w:rsid w:val="004E0689"/>
    <w:rsid w:val="004E0D00"/>
    <w:rsid w:val="004E0DC8"/>
    <w:rsid w:val="004E1279"/>
    <w:rsid w:val="004E149C"/>
    <w:rsid w:val="004E16CC"/>
    <w:rsid w:val="004E175F"/>
    <w:rsid w:val="004E1BB2"/>
    <w:rsid w:val="004E23B5"/>
    <w:rsid w:val="004E2900"/>
    <w:rsid w:val="004E2945"/>
    <w:rsid w:val="004E2B95"/>
    <w:rsid w:val="004E2FD7"/>
    <w:rsid w:val="004E3076"/>
    <w:rsid w:val="004E3582"/>
    <w:rsid w:val="004E361F"/>
    <w:rsid w:val="004E38E3"/>
    <w:rsid w:val="004E3B5B"/>
    <w:rsid w:val="004E3B8A"/>
    <w:rsid w:val="004E4026"/>
    <w:rsid w:val="004E4BAF"/>
    <w:rsid w:val="004E5268"/>
    <w:rsid w:val="004E5401"/>
    <w:rsid w:val="004E5AFF"/>
    <w:rsid w:val="004E60A4"/>
    <w:rsid w:val="004E754F"/>
    <w:rsid w:val="004E79B0"/>
    <w:rsid w:val="004E79C5"/>
    <w:rsid w:val="004E7A77"/>
    <w:rsid w:val="004F022E"/>
    <w:rsid w:val="004F06E7"/>
    <w:rsid w:val="004F07B9"/>
    <w:rsid w:val="004F0DFD"/>
    <w:rsid w:val="004F101A"/>
    <w:rsid w:val="004F1780"/>
    <w:rsid w:val="004F1DD1"/>
    <w:rsid w:val="004F1E55"/>
    <w:rsid w:val="004F21C5"/>
    <w:rsid w:val="004F2834"/>
    <w:rsid w:val="004F28A4"/>
    <w:rsid w:val="004F2EBB"/>
    <w:rsid w:val="004F2EC6"/>
    <w:rsid w:val="004F3559"/>
    <w:rsid w:val="004F3AF2"/>
    <w:rsid w:val="004F3DBF"/>
    <w:rsid w:val="004F45AA"/>
    <w:rsid w:val="004F4B39"/>
    <w:rsid w:val="004F52D2"/>
    <w:rsid w:val="004F544B"/>
    <w:rsid w:val="004F572A"/>
    <w:rsid w:val="004F5D39"/>
    <w:rsid w:val="004F68AC"/>
    <w:rsid w:val="004F6C05"/>
    <w:rsid w:val="004F6C9B"/>
    <w:rsid w:val="004F6F9F"/>
    <w:rsid w:val="004F72AF"/>
    <w:rsid w:val="00500399"/>
    <w:rsid w:val="005009D4"/>
    <w:rsid w:val="00500CDE"/>
    <w:rsid w:val="00501312"/>
    <w:rsid w:val="00501805"/>
    <w:rsid w:val="00501F31"/>
    <w:rsid w:val="005020AA"/>
    <w:rsid w:val="0050220E"/>
    <w:rsid w:val="005033F8"/>
    <w:rsid w:val="00503476"/>
    <w:rsid w:val="005038E5"/>
    <w:rsid w:val="00503A3F"/>
    <w:rsid w:val="00503CF0"/>
    <w:rsid w:val="00503F87"/>
    <w:rsid w:val="0050426D"/>
    <w:rsid w:val="00504DC1"/>
    <w:rsid w:val="00504F10"/>
    <w:rsid w:val="00505263"/>
    <w:rsid w:val="00505434"/>
    <w:rsid w:val="0050576A"/>
    <w:rsid w:val="00505CFE"/>
    <w:rsid w:val="00505E0B"/>
    <w:rsid w:val="00505EEA"/>
    <w:rsid w:val="005062A8"/>
    <w:rsid w:val="005062CC"/>
    <w:rsid w:val="00506474"/>
    <w:rsid w:val="005064AD"/>
    <w:rsid w:val="00506A10"/>
    <w:rsid w:val="00506B1B"/>
    <w:rsid w:val="00507093"/>
    <w:rsid w:val="005070F0"/>
    <w:rsid w:val="00510836"/>
    <w:rsid w:val="00511146"/>
    <w:rsid w:val="0051114C"/>
    <w:rsid w:val="00511995"/>
    <w:rsid w:val="00511D43"/>
    <w:rsid w:val="0051201D"/>
    <w:rsid w:val="005120D1"/>
    <w:rsid w:val="00512337"/>
    <w:rsid w:val="00512641"/>
    <w:rsid w:val="0051278C"/>
    <w:rsid w:val="00513817"/>
    <w:rsid w:val="00514619"/>
    <w:rsid w:val="005146F0"/>
    <w:rsid w:val="0051578A"/>
    <w:rsid w:val="00516012"/>
    <w:rsid w:val="005166B8"/>
    <w:rsid w:val="00516956"/>
    <w:rsid w:val="00516C52"/>
    <w:rsid w:val="00516EE3"/>
    <w:rsid w:val="005170EC"/>
    <w:rsid w:val="00517125"/>
    <w:rsid w:val="005171A6"/>
    <w:rsid w:val="00517349"/>
    <w:rsid w:val="00517798"/>
    <w:rsid w:val="00520183"/>
    <w:rsid w:val="005204EE"/>
    <w:rsid w:val="0052051F"/>
    <w:rsid w:val="005206B2"/>
    <w:rsid w:val="0052083B"/>
    <w:rsid w:val="00520B1F"/>
    <w:rsid w:val="00521303"/>
    <w:rsid w:val="005219F7"/>
    <w:rsid w:val="00521A05"/>
    <w:rsid w:val="00521B10"/>
    <w:rsid w:val="00521E59"/>
    <w:rsid w:val="0052260E"/>
    <w:rsid w:val="0052261A"/>
    <w:rsid w:val="00522686"/>
    <w:rsid w:val="005229BB"/>
    <w:rsid w:val="00522A32"/>
    <w:rsid w:val="00522C06"/>
    <w:rsid w:val="00523228"/>
    <w:rsid w:val="00523B67"/>
    <w:rsid w:val="00523BF1"/>
    <w:rsid w:val="00523F12"/>
    <w:rsid w:val="00523F23"/>
    <w:rsid w:val="00524129"/>
    <w:rsid w:val="00524167"/>
    <w:rsid w:val="00524E89"/>
    <w:rsid w:val="00524EBE"/>
    <w:rsid w:val="00525056"/>
    <w:rsid w:val="005250B4"/>
    <w:rsid w:val="005259CD"/>
    <w:rsid w:val="00525A46"/>
    <w:rsid w:val="00526006"/>
    <w:rsid w:val="005260CD"/>
    <w:rsid w:val="005261AE"/>
    <w:rsid w:val="00526755"/>
    <w:rsid w:val="00527360"/>
    <w:rsid w:val="005277F8"/>
    <w:rsid w:val="005278B8"/>
    <w:rsid w:val="00530265"/>
    <w:rsid w:val="005302B6"/>
    <w:rsid w:val="00530589"/>
    <w:rsid w:val="0053069C"/>
    <w:rsid w:val="0053076E"/>
    <w:rsid w:val="00530B46"/>
    <w:rsid w:val="005313FD"/>
    <w:rsid w:val="00531467"/>
    <w:rsid w:val="00532115"/>
    <w:rsid w:val="00532164"/>
    <w:rsid w:val="00532A07"/>
    <w:rsid w:val="0053384E"/>
    <w:rsid w:val="00533CE9"/>
    <w:rsid w:val="00533CF7"/>
    <w:rsid w:val="00534390"/>
    <w:rsid w:val="00534433"/>
    <w:rsid w:val="00534793"/>
    <w:rsid w:val="00534E31"/>
    <w:rsid w:val="00535148"/>
    <w:rsid w:val="0053583B"/>
    <w:rsid w:val="00535B33"/>
    <w:rsid w:val="0053617E"/>
    <w:rsid w:val="005368D0"/>
    <w:rsid w:val="00536A25"/>
    <w:rsid w:val="00536F81"/>
    <w:rsid w:val="00537ADC"/>
    <w:rsid w:val="00537CE0"/>
    <w:rsid w:val="00537D4E"/>
    <w:rsid w:val="00540221"/>
    <w:rsid w:val="0054045E"/>
    <w:rsid w:val="00540A8D"/>
    <w:rsid w:val="00540E3F"/>
    <w:rsid w:val="00541249"/>
    <w:rsid w:val="00541629"/>
    <w:rsid w:val="00541796"/>
    <w:rsid w:val="0054221E"/>
    <w:rsid w:val="005422B2"/>
    <w:rsid w:val="0054237C"/>
    <w:rsid w:val="005424D4"/>
    <w:rsid w:val="005425BD"/>
    <w:rsid w:val="0054275F"/>
    <w:rsid w:val="005434E1"/>
    <w:rsid w:val="00543C17"/>
    <w:rsid w:val="00544092"/>
    <w:rsid w:val="00544890"/>
    <w:rsid w:val="005448FB"/>
    <w:rsid w:val="00544A53"/>
    <w:rsid w:val="00544B4D"/>
    <w:rsid w:val="00544E52"/>
    <w:rsid w:val="005458B6"/>
    <w:rsid w:val="005459CC"/>
    <w:rsid w:val="00545E15"/>
    <w:rsid w:val="00546242"/>
    <w:rsid w:val="005466B8"/>
    <w:rsid w:val="00546781"/>
    <w:rsid w:val="00546C17"/>
    <w:rsid w:val="00546CDE"/>
    <w:rsid w:val="005473C4"/>
    <w:rsid w:val="00547587"/>
    <w:rsid w:val="0054764B"/>
    <w:rsid w:val="00547823"/>
    <w:rsid w:val="00547871"/>
    <w:rsid w:val="00547CCC"/>
    <w:rsid w:val="0055020B"/>
    <w:rsid w:val="0055021F"/>
    <w:rsid w:val="005506D9"/>
    <w:rsid w:val="00550D6E"/>
    <w:rsid w:val="0055101F"/>
    <w:rsid w:val="00551239"/>
    <w:rsid w:val="0055142C"/>
    <w:rsid w:val="00551E72"/>
    <w:rsid w:val="00551FED"/>
    <w:rsid w:val="005523E3"/>
    <w:rsid w:val="00552A04"/>
    <w:rsid w:val="00553013"/>
    <w:rsid w:val="00553362"/>
    <w:rsid w:val="005535DE"/>
    <w:rsid w:val="00553C19"/>
    <w:rsid w:val="00554172"/>
    <w:rsid w:val="00555888"/>
    <w:rsid w:val="0055609B"/>
    <w:rsid w:val="005564BE"/>
    <w:rsid w:val="005565F7"/>
    <w:rsid w:val="005566C1"/>
    <w:rsid w:val="005566DC"/>
    <w:rsid w:val="00556A52"/>
    <w:rsid w:val="00556C88"/>
    <w:rsid w:val="00557169"/>
    <w:rsid w:val="0055746A"/>
    <w:rsid w:val="00557BAF"/>
    <w:rsid w:val="00557BB0"/>
    <w:rsid w:val="00557E11"/>
    <w:rsid w:val="00560182"/>
    <w:rsid w:val="00560AAC"/>
    <w:rsid w:val="00560F4A"/>
    <w:rsid w:val="005615E1"/>
    <w:rsid w:val="00561694"/>
    <w:rsid w:val="00562012"/>
    <w:rsid w:val="0056202B"/>
    <w:rsid w:val="005624CE"/>
    <w:rsid w:val="005628F8"/>
    <w:rsid w:val="00562A89"/>
    <w:rsid w:val="00562ABF"/>
    <w:rsid w:val="00562F83"/>
    <w:rsid w:val="005630D6"/>
    <w:rsid w:val="00563B3C"/>
    <w:rsid w:val="00563C06"/>
    <w:rsid w:val="00563DAD"/>
    <w:rsid w:val="00563EC0"/>
    <w:rsid w:val="005640FA"/>
    <w:rsid w:val="005644B9"/>
    <w:rsid w:val="005646E5"/>
    <w:rsid w:val="005648DC"/>
    <w:rsid w:val="00565527"/>
    <w:rsid w:val="00565826"/>
    <w:rsid w:val="00565BE8"/>
    <w:rsid w:val="00565D64"/>
    <w:rsid w:val="0056601F"/>
    <w:rsid w:val="005669E5"/>
    <w:rsid w:val="00566F52"/>
    <w:rsid w:val="00566F8C"/>
    <w:rsid w:val="005672D4"/>
    <w:rsid w:val="005679D5"/>
    <w:rsid w:val="00567BF1"/>
    <w:rsid w:val="00567E44"/>
    <w:rsid w:val="00570A49"/>
    <w:rsid w:val="00570FDD"/>
    <w:rsid w:val="00571521"/>
    <w:rsid w:val="005717A7"/>
    <w:rsid w:val="0057194C"/>
    <w:rsid w:val="00572003"/>
    <w:rsid w:val="00572218"/>
    <w:rsid w:val="00572352"/>
    <w:rsid w:val="00572DB5"/>
    <w:rsid w:val="0057312A"/>
    <w:rsid w:val="00573354"/>
    <w:rsid w:val="00573A42"/>
    <w:rsid w:val="00573C6C"/>
    <w:rsid w:val="005741E1"/>
    <w:rsid w:val="0057448F"/>
    <w:rsid w:val="00574BAB"/>
    <w:rsid w:val="00575A0B"/>
    <w:rsid w:val="005769AF"/>
    <w:rsid w:val="00576D9C"/>
    <w:rsid w:val="00576F2C"/>
    <w:rsid w:val="00580080"/>
    <w:rsid w:val="00580252"/>
    <w:rsid w:val="00580373"/>
    <w:rsid w:val="00580492"/>
    <w:rsid w:val="00580FB1"/>
    <w:rsid w:val="00581329"/>
    <w:rsid w:val="005814D8"/>
    <w:rsid w:val="00581FDF"/>
    <w:rsid w:val="0058240C"/>
    <w:rsid w:val="00582B68"/>
    <w:rsid w:val="00582BC3"/>
    <w:rsid w:val="005833AA"/>
    <w:rsid w:val="005834D7"/>
    <w:rsid w:val="0058360F"/>
    <w:rsid w:val="00583707"/>
    <w:rsid w:val="00583CC0"/>
    <w:rsid w:val="00583FF3"/>
    <w:rsid w:val="005841E0"/>
    <w:rsid w:val="00584634"/>
    <w:rsid w:val="005847CE"/>
    <w:rsid w:val="0058483E"/>
    <w:rsid w:val="005853B3"/>
    <w:rsid w:val="0058545A"/>
    <w:rsid w:val="00585662"/>
    <w:rsid w:val="0058573E"/>
    <w:rsid w:val="005858AE"/>
    <w:rsid w:val="0058592B"/>
    <w:rsid w:val="0058598A"/>
    <w:rsid w:val="00585B8D"/>
    <w:rsid w:val="005866C1"/>
    <w:rsid w:val="0058689D"/>
    <w:rsid w:val="005869B2"/>
    <w:rsid w:val="00586A42"/>
    <w:rsid w:val="00586B39"/>
    <w:rsid w:val="00586E22"/>
    <w:rsid w:val="005876AA"/>
    <w:rsid w:val="005877A2"/>
    <w:rsid w:val="005901E3"/>
    <w:rsid w:val="00590434"/>
    <w:rsid w:val="00590D22"/>
    <w:rsid w:val="00591144"/>
    <w:rsid w:val="0059187E"/>
    <w:rsid w:val="005924E1"/>
    <w:rsid w:val="0059254F"/>
    <w:rsid w:val="00592B49"/>
    <w:rsid w:val="00592C97"/>
    <w:rsid w:val="0059382A"/>
    <w:rsid w:val="005939B9"/>
    <w:rsid w:val="00593AC6"/>
    <w:rsid w:val="00593D14"/>
    <w:rsid w:val="005948AA"/>
    <w:rsid w:val="005957DA"/>
    <w:rsid w:val="00597079"/>
    <w:rsid w:val="00597301"/>
    <w:rsid w:val="00597470"/>
    <w:rsid w:val="00597484"/>
    <w:rsid w:val="005974CA"/>
    <w:rsid w:val="005A0C99"/>
    <w:rsid w:val="005A0CB2"/>
    <w:rsid w:val="005A1919"/>
    <w:rsid w:val="005A1C2A"/>
    <w:rsid w:val="005A20FE"/>
    <w:rsid w:val="005A2245"/>
    <w:rsid w:val="005A27DB"/>
    <w:rsid w:val="005A2BC9"/>
    <w:rsid w:val="005A3108"/>
    <w:rsid w:val="005A31A2"/>
    <w:rsid w:val="005A3D0E"/>
    <w:rsid w:val="005A3DAC"/>
    <w:rsid w:val="005A3E47"/>
    <w:rsid w:val="005A407B"/>
    <w:rsid w:val="005A48AA"/>
    <w:rsid w:val="005A4959"/>
    <w:rsid w:val="005A500E"/>
    <w:rsid w:val="005A5680"/>
    <w:rsid w:val="005A5A32"/>
    <w:rsid w:val="005A5B7D"/>
    <w:rsid w:val="005A5FDE"/>
    <w:rsid w:val="005A624F"/>
    <w:rsid w:val="005A6877"/>
    <w:rsid w:val="005A6D24"/>
    <w:rsid w:val="005A7100"/>
    <w:rsid w:val="005A722C"/>
    <w:rsid w:val="005A72C5"/>
    <w:rsid w:val="005A738D"/>
    <w:rsid w:val="005A7411"/>
    <w:rsid w:val="005A746F"/>
    <w:rsid w:val="005A7AAE"/>
    <w:rsid w:val="005B0003"/>
    <w:rsid w:val="005B0473"/>
    <w:rsid w:val="005B0631"/>
    <w:rsid w:val="005B070C"/>
    <w:rsid w:val="005B0CB2"/>
    <w:rsid w:val="005B1080"/>
    <w:rsid w:val="005B1313"/>
    <w:rsid w:val="005B26D2"/>
    <w:rsid w:val="005B26FB"/>
    <w:rsid w:val="005B2B61"/>
    <w:rsid w:val="005B3987"/>
    <w:rsid w:val="005B3CBF"/>
    <w:rsid w:val="005B3D4F"/>
    <w:rsid w:val="005B3E62"/>
    <w:rsid w:val="005B4777"/>
    <w:rsid w:val="005B4B6A"/>
    <w:rsid w:val="005B52F3"/>
    <w:rsid w:val="005B5707"/>
    <w:rsid w:val="005B590A"/>
    <w:rsid w:val="005B5FEF"/>
    <w:rsid w:val="005B60E2"/>
    <w:rsid w:val="005B6E3E"/>
    <w:rsid w:val="005B6EDC"/>
    <w:rsid w:val="005B74CD"/>
    <w:rsid w:val="005B760C"/>
    <w:rsid w:val="005B7794"/>
    <w:rsid w:val="005B7E7C"/>
    <w:rsid w:val="005C095E"/>
    <w:rsid w:val="005C0BD6"/>
    <w:rsid w:val="005C0DEC"/>
    <w:rsid w:val="005C0E18"/>
    <w:rsid w:val="005C21D8"/>
    <w:rsid w:val="005C2727"/>
    <w:rsid w:val="005C2A1A"/>
    <w:rsid w:val="005C2EF4"/>
    <w:rsid w:val="005C345C"/>
    <w:rsid w:val="005C374E"/>
    <w:rsid w:val="005C4400"/>
    <w:rsid w:val="005C441D"/>
    <w:rsid w:val="005C45B8"/>
    <w:rsid w:val="005C4AD1"/>
    <w:rsid w:val="005C4DA8"/>
    <w:rsid w:val="005C4E29"/>
    <w:rsid w:val="005C54DE"/>
    <w:rsid w:val="005C6510"/>
    <w:rsid w:val="005C6601"/>
    <w:rsid w:val="005C6FEC"/>
    <w:rsid w:val="005C7272"/>
    <w:rsid w:val="005C7350"/>
    <w:rsid w:val="005C759E"/>
    <w:rsid w:val="005C7985"/>
    <w:rsid w:val="005C7BC9"/>
    <w:rsid w:val="005C7DD6"/>
    <w:rsid w:val="005C7F9C"/>
    <w:rsid w:val="005D0024"/>
    <w:rsid w:val="005D01CB"/>
    <w:rsid w:val="005D01F7"/>
    <w:rsid w:val="005D0941"/>
    <w:rsid w:val="005D0B9A"/>
    <w:rsid w:val="005D1013"/>
    <w:rsid w:val="005D1110"/>
    <w:rsid w:val="005D1E88"/>
    <w:rsid w:val="005D224E"/>
    <w:rsid w:val="005D268D"/>
    <w:rsid w:val="005D274C"/>
    <w:rsid w:val="005D296A"/>
    <w:rsid w:val="005D30FF"/>
    <w:rsid w:val="005D3489"/>
    <w:rsid w:val="005D3E31"/>
    <w:rsid w:val="005D4146"/>
    <w:rsid w:val="005D4641"/>
    <w:rsid w:val="005D4A91"/>
    <w:rsid w:val="005D4BBB"/>
    <w:rsid w:val="005D4ECA"/>
    <w:rsid w:val="005D5701"/>
    <w:rsid w:val="005D574B"/>
    <w:rsid w:val="005D57AA"/>
    <w:rsid w:val="005D5B46"/>
    <w:rsid w:val="005D5BCE"/>
    <w:rsid w:val="005D6163"/>
    <w:rsid w:val="005D61D2"/>
    <w:rsid w:val="005D62C2"/>
    <w:rsid w:val="005D63D1"/>
    <w:rsid w:val="005D63D7"/>
    <w:rsid w:val="005D6608"/>
    <w:rsid w:val="005D6B28"/>
    <w:rsid w:val="005D7368"/>
    <w:rsid w:val="005D7374"/>
    <w:rsid w:val="005D73D3"/>
    <w:rsid w:val="005D7659"/>
    <w:rsid w:val="005D79B0"/>
    <w:rsid w:val="005D7F2F"/>
    <w:rsid w:val="005E01FC"/>
    <w:rsid w:val="005E0234"/>
    <w:rsid w:val="005E1552"/>
    <w:rsid w:val="005E165C"/>
    <w:rsid w:val="005E1776"/>
    <w:rsid w:val="005E221E"/>
    <w:rsid w:val="005E2308"/>
    <w:rsid w:val="005E26EE"/>
    <w:rsid w:val="005E3267"/>
    <w:rsid w:val="005E3491"/>
    <w:rsid w:val="005E365F"/>
    <w:rsid w:val="005E4145"/>
    <w:rsid w:val="005E426F"/>
    <w:rsid w:val="005E42F7"/>
    <w:rsid w:val="005E4692"/>
    <w:rsid w:val="005E4863"/>
    <w:rsid w:val="005E4AF6"/>
    <w:rsid w:val="005E4CCF"/>
    <w:rsid w:val="005E4EF0"/>
    <w:rsid w:val="005E50F8"/>
    <w:rsid w:val="005E52A2"/>
    <w:rsid w:val="005E5395"/>
    <w:rsid w:val="005E53ED"/>
    <w:rsid w:val="005E5EE5"/>
    <w:rsid w:val="005E6B48"/>
    <w:rsid w:val="005E6C58"/>
    <w:rsid w:val="005E6F76"/>
    <w:rsid w:val="005E7B47"/>
    <w:rsid w:val="005F0013"/>
    <w:rsid w:val="005F004A"/>
    <w:rsid w:val="005F0119"/>
    <w:rsid w:val="005F0408"/>
    <w:rsid w:val="005F04FC"/>
    <w:rsid w:val="005F0659"/>
    <w:rsid w:val="005F08B6"/>
    <w:rsid w:val="005F08C1"/>
    <w:rsid w:val="005F092A"/>
    <w:rsid w:val="005F0A16"/>
    <w:rsid w:val="005F0B15"/>
    <w:rsid w:val="005F0E85"/>
    <w:rsid w:val="005F0F70"/>
    <w:rsid w:val="005F0F85"/>
    <w:rsid w:val="005F206C"/>
    <w:rsid w:val="005F2A85"/>
    <w:rsid w:val="005F31CA"/>
    <w:rsid w:val="005F3507"/>
    <w:rsid w:val="005F3983"/>
    <w:rsid w:val="005F3987"/>
    <w:rsid w:val="005F3AF6"/>
    <w:rsid w:val="005F3E95"/>
    <w:rsid w:val="005F48BA"/>
    <w:rsid w:val="005F4E18"/>
    <w:rsid w:val="005F520A"/>
    <w:rsid w:val="005F5221"/>
    <w:rsid w:val="005F55BF"/>
    <w:rsid w:val="005F5843"/>
    <w:rsid w:val="005F5A23"/>
    <w:rsid w:val="005F5BBE"/>
    <w:rsid w:val="005F5BD3"/>
    <w:rsid w:val="005F5D3E"/>
    <w:rsid w:val="005F6509"/>
    <w:rsid w:val="005F6719"/>
    <w:rsid w:val="005F6D32"/>
    <w:rsid w:val="005F7160"/>
    <w:rsid w:val="005F71DC"/>
    <w:rsid w:val="005F75B2"/>
    <w:rsid w:val="005F75CD"/>
    <w:rsid w:val="005F7B4A"/>
    <w:rsid w:val="005F7CC8"/>
    <w:rsid w:val="005F7E18"/>
    <w:rsid w:val="00600185"/>
    <w:rsid w:val="006002B6"/>
    <w:rsid w:val="00600B65"/>
    <w:rsid w:val="0060101B"/>
    <w:rsid w:val="006011C1"/>
    <w:rsid w:val="0060126D"/>
    <w:rsid w:val="00601830"/>
    <w:rsid w:val="0060193F"/>
    <w:rsid w:val="00601F14"/>
    <w:rsid w:val="006026CA"/>
    <w:rsid w:val="00602A28"/>
    <w:rsid w:val="00602D50"/>
    <w:rsid w:val="006039AF"/>
    <w:rsid w:val="00603BB3"/>
    <w:rsid w:val="00604876"/>
    <w:rsid w:val="00604B53"/>
    <w:rsid w:val="00604F8A"/>
    <w:rsid w:val="00605104"/>
    <w:rsid w:val="006058E5"/>
    <w:rsid w:val="006059CD"/>
    <w:rsid w:val="00605DC4"/>
    <w:rsid w:val="00605F8F"/>
    <w:rsid w:val="006067B7"/>
    <w:rsid w:val="00606C11"/>
    <w:rsid w:val="00606D88"/>
    <w:rsid w:val="00606FA2"/>
    <w:rsid w:val="0060716D"/>
    <w:rsid w:val="0060732E"/>
    <w:rsid w:val="00607840"/>
    <w:rsid w:val="00607D21"/>
    <w:rsid w:val="0061005F"/>
    <w:rsid w:val="00610117"/>
    <w:rsid w:val="0061098A"/>
    <w:rsid w:val="00610BCE"/>
    <w:rsid w:val="0061134B"/>
    <w:rsid w:val="00611F74"/>
    <w:rsid w:val="00611FAA"/>
    <w:rsid w:val="0061234D"/>
    <w:rsid w:val="006124DA"/>
    <w:rsid w:val="006125DB"/>
    <w:rsid w:val="006126FC"/>
    <w:rsid w:val="006127A4"/>
    <w:rsid w:val="00612FB3"/>
    <w:rsid w:val="00613614"/>
    <w:rsid w:val="00613AB1"/>
    <w:rsid w:val="006140CB"/>
    <w:rsid w:val="00614197"/>
    <w:rsid w:val="006141AC"/>
    <w:rsid w:val="006153B6"/>
    <w:rsid w:val="00615D17"/>
    <w:rsid w:val="00616422"/>
    <w:rsid w:val="0061646E"/>
    <w:rsid w:val="006166EC"/>
    <w:rsid w:val="00616E6D"/>
    <w:rsid w:val="0061715A"/>
    <w:rsid w:val="0061765F"/>
    <w:rsid w:val="006176DF"/>
    <w:rsid w:val="00617835"/>
    <w:rsid w:val="006179F9"/>
    <w:rsid w:val="00617D30"/>
    <w:rsid w:val="00617E36"/>
    <w:rsid w:val="00617FB7"/>
    <w:rsid w:val="006203C2"/>
    <w:rsid w:val="0062094C"/>
    <w:rsid w:val="00620BA4"/>
    <w:rsid w:val="00620DC6"/>
    <w:rsid w:val="0062173F"/>
    <w:rsid w:val="006217AE"/>
    <w:rsid w:val="00621935"/>
    <w:rsid w:val="00621F54"/>
    <w:rsid w:val="00622390"/>
    <w:rsid w:val="00622F89"/>
    <w:rsid w:val="00623037"/>
    <w:rsid w:val="006230B8"/>
    <w:rsid w:val="0062336F"/>
    <w:rsid w:val="006238AE"/>
    <w:rsid w:val="0062395F"/>
    <w:rsid w:val="006239F4"/>
    <w:rsid w:val="006241C4"/>
    <w:rsid w:val="00624FF5"/>
    <w:rsid w:val="00625020"/>
    <w:rsid w:val="00625215"/>
    <w:rsid w:val="006252BB"/>
    <w:rsid w:val="006254AC"/>
    <w:rsid w:val="0062556C"/>
    <w:rsid w:val="00625A32"/>
    <w:rsid w:val="00625B5C"/>
    <w:rsid w:val="00625BE9"/>
    <w:rsid w:val="00625D09"/>
    <w:rsid w:val="00625D81"/>
    <w:rsid w:val="006278EF"/>
    <w:rsid w:val="00627B11"/>
    <w:rsid w:val="00630546"/>
    <w:rsid w:val="006305F5"/>
    <w:rsid w:val="00631849"/>
    <w:rsid w:val="00631F1B"/>
    <w:rsid w:val="00631FE0"/>
    <w:rsid w:val="00632326"/>
    <w:rsid w:val="00632B8D"/>
    <w:rsid w:val="006335A5"/>
    <w:rsid w:val="0063377C"/>
    <w:rsid w:val="00633BFB"/>
    <w:rsid w:val="00633CE4"/>
    <w:rsid w:val="00633CF8"/>
    <w:rsid w:val="006342B7"/>
    <w:rsid w:val="0063458C"/>
    <w:rsid w:val="00634CEB"/>
    <w:rsid w:val="00634E44"/>
    <w:rsid w:val="00635306"/>
    <w:rsid w:val="006355E2"/>
    <w:rsid w:val="00635B57"/>
    <w:rsid w:val="00635FBA"/>
    <w:rsid w:val="00636239"/>
    <w:rsid w:val="00636BC0"/>
    <w:rsid w:val="00636F0B"/>
    <w:rsid w:val="0063750A"/>
    <w:rsid w:val="006375BB"/>
    <w:rsid w:val="006375D6"/>
    <w:rsid w:val="00637A58"/>
    <w:rsid w:val="0064080C"/>
    <w:rsid w:val="00640B58"/>
    <w:rsid w:val="00641075"/>
    <w:rsid w:val="00641B75"/>
    <w:rsid w:val="00641F48"/>
    <w:rsid w:val="006420CB"/>
    <w:rsid w:val="00642D07"/>
    <w:rsid w:val="0064316F"/>
    <w:rsid w:val="006434E5"/>
    <w:rsid w:val="00643578"/>
    <w:rsid w:val="006436F1"/>
    <w:rsid w:val="0064394C"/>
    <w:rsid w:val="0064396B"/>
    <w:rsid w:val="00643DFA"/>
    <w:rsid w:val="00644CCF"/>
    <w:rsid w:val="00644CE9"/>
    <w:rsid w:val="00644E9C"/>
    <w:rsid w:val="0064521A"/>
    <w:rsid w:val="00645860"/>
    <w:rsid w:val="00645D5C"/>
    <w:rsid w:val="00645FDE"/>
    <w:rsid w:val="00646451"/>
    <w:rsid w:val="006465F0"/>
    <w:rsid w:val="00646649"/>
    <w:rsid w:val="00647220"/>
    <w:rsid w:val="00647267"/>
    <w:rsid w:val="006472A4"/>
    <w:rsid w:val="006474CD"/>
    <w:rsid w:val="00647662"/>
    <w:rsid w:val="006478DE"/>
    <w:rsid w:val="00650116"/>
    <w:rsid w:val="006501E7"/>
    <w:rsid w:val="00650486"/>
    <w:rsid w:val="00650581"/>
    <w:rsid w:val="006508A4"/>
    <w:rsid w:val="00650939"/>
    <w:rsid w:val="006516A0"/>
    <w:rsid w:val="00651701"/>
    <w:rsid w:val="00651D35"/>
    <w:rsid w:val="00651F4A"/>
    <w:rsid w:val="0065206F"/>
    <w:rsid w:val="0065276D"/>
    <w:rsid w:val="006529BD"/>
    <w:rsid w:val="00653491"/>
    <w:rsid w:val="00653505"/>
    <w:rsid w:val="00653751"/>
    <w:rsid w:val="00653AE4"/>
    <w:rsid w:val="00653D6A"/>
    <w:rsid w:val="00654337"/>
    <w:rsid w:val="00654382"/>
    <w:rsid w:val="0065451F"/>
    <w:rsid w:val="006548D5"/>
    <w:rsid w:val="00654ECF"/>
    <w:rsid w:val="00655293"/>
    <w:rsid w:val="00655766"/>
    <w:rsid w:val="006559B8"/>
    <w:rsid w:val="00655B7D"/>
    <w:rsid w:val="00655BE3"/>
    <w:rsid w:val="00656035"/>
    <w:rsid w:val="00656A89"/>
    <w:rsid w:val="00656BB3"/>
    <w:rsid w:val="00657A3B"/>
    <w:rsid w:val="006602ED"/>
    <w:rsid w:val="00660429"/>
    <w:rsid w:val="00660522"/>
    <w:rsid w:val="006615E2"/>
    <w:rsid w:val="00661896"/>
    <w:rsid w:val="006619A2"/>
    <w:rsid w:val="006619BA"/>
    <w:rsid w:val="00661D13"/>
    <w:rsid w:val="00661F45"/>
    <w:rsid w:val="006623CF"/>
    <w:rsid w:val="00662B67"/>
    <w:rsid w:val="00662D53"/>
    <w:rsid w:val="00662E4C"/>
    <w:rsid w:val="006630FC"/>
    <w:rsid w:val="00663C75"/>
    <w:rsid w:val="00663F6F"/>
    <w:rsid w:val="0066425C"/>
    <w:rsid w:val="00664269"/>
    <w:rsid w:val="006648D2"/>
    <w:rsid w:val="0066496B"/>
    <w:rsid w:val="00664DEE"/>
    <w:rsid w:val="00665BB9"/>
    <w:rsid w:val="0066603F"/>
    <w:rsid w:val="00666219"/>
    <w:rsid w:val="00666A14"/>
    <w:rsid w:val="00666AD7"/>
    <w:rsid w:val="006670B7"/>
    <w:rsid w:val="00667113"/>
    <w:rsid w:val="006675B4"/>
    <w:rsid w:val="0067023B"/>
    <w:rsid w:val="006704EA"/>
    <w:rsid w:val="00670891"/>
    <w:rsid w:val="00670A43"/>
    <w:rsid w:val="006715CD"/>
    <w:rsid w:val="00671B59"/>
    <w:rsid w:val="00671E40"/>
    <w:rsid w:val="00672178"/>
    <w:rsid w:val="0067259B"/>
    <w:rsid w:val="006725BD"/>
    <w:rsid w:val="00672AC6"/>
    <w:rsid w:val="00672D52"/>
    <w:rsid w:val="00672DB1"/>
    <w:rsid w:val="006734F7"/>
    <w:rsid w:val="006736F9"/>
    <w:rsid w:val="00673CC5"/>
    <w:rsid w:val="00673D8C"/>
    <w:rsid w:val="006747D1"/>
    <w:rsid w:val="00674936"/>
    <w:rsid w:val="006752A4"/>
    <w:rsid w:val="006756A8"/>
    <w:rsid w:val="006759C3"/>
    <w:rsid w:val="00675B80"/>
    <w:rsid w:val="00675F7D"/>
    <w:rsid w:val="00676520"/>
    <w:rsid w:val="00676765"/>
    <w:rsid w:val="00676A2C"/>
    <w:rsid w:val="00676AD6"/>
    <w:rsid w:val="006779FC"/>
    <w:rsid w:val="00680EFA"/>
    <w:rsid w:val="006810C7"/>
    <w:rsid w:val="00681228"/>
    <w:rsid w:val="00681571"/>
    <w:rsid w:val="00681ED5"/>
    <w:rsid w:val="006823A0"/>
    <w:rsid w:val="006825D3"/>
    <w:rsid w:val="006827C7"/>
    <w:rsid w:val="00682C56"/>
    <w:rsid w:val="006833F4"/>
    <w:rsid w:val="00683B2E"/>
    <w:rsid w:val="00684394"/>
    <w:rsid w:val="00684BDA"/>
    <w:rsid w:val="00684D56"/>
    <w:rsid w:val="00684DBD"/>
    <w:rsid w:val="0068534C"/>
    <w:rsid w:val="00685951"/>
    <w:rsid w:val="0068632C"/>
    <w:rsid w:val="00686330"/>
    <w:rsid w:val="00686821"/>
    <w:rsid w:val="006868D4"/>
    <w:rsid w:val="006870C2"/>
    <w:rsid w:val="00687666"/>
    <w:rsid w:val="00687913"/>
    <w:rsid w:val="006902D8"/>
    <w:rsid w:val="00690502"/>
    <w:rsid w:val="00690A45"/>
    <w:rsid w:val="00690E59"/>
    <w:rsid w:val="00691065"/>
    <w:rsid w:val="00691CE1"/>
    <w:rsid w:val="006921EE"/>
    <w:rsid w:val="00692275"/>
    <w:rsid w:val="0069247B"/>
    <w:rsid w:val="00692A34"/>
    <w:rsid w:val="00693781"/>
    <w:rsid w:val="00693D6E"/>
    <w:rsid w:val="00693DF1"/>
    <w:rsid w:val="00694A36"/>
    <w:rsid w:val="0069592E"/>
    <w:rsid w:val="00695D62"/>
    <w:rsid w:val="00695FCC"/>
    <w:rsid w:val="00696583"/>
    <w:rsid w:val="0069664D"/>
    <w:rsid w:val="006966AA"/>
    <w:rsid w:val="00697678"/>
    <w:rsid w:val="00697AAF"/>
    <w:rsid w:val="00697D1B"/>
    <w:rsid w:val="00697DFE"/>
    <w:rsid w:val="006A00DF"/>
    <w:rsid w:val="006A08AD"/>
    <w:rsid w:val="006A08DE"/>
    <w:rsid w:val="006A0E07"/>
    <w:rsid w:val="006A0FDA"/>
    <w:rsid w:val="006A2097"/>
    <w:rsid w:val="006A243D"/>
    <w:rsid w:val="006A2548"/>
    <w:rsid w:val="006A274D"/>
    <w:rsid w:val="006A2F9B"/>
    <w:rsid w:val="006A3240"/>
    <w:rsid w:val="006A341D"/>
    <w:rsid w:val="006A361A"/>
    <w:rsid w:val="006A43A9"/>
    <w:rsid w:val="006A4741"/>
    <w:rsid w:val="006A49EC"/>
    <w:rsid w:val="006A4C68"/>
    <w:rsid w:val="006A5245"/>
    <w:rsid w:val="006A5406"/>
    <w:rsid w:val="006A5806"/>
    <w:rsid w:val="006A5CEF"/>
    <w:rsid w:val="006A6607"/>
    <w:rsid w:val="006B03B0"/>
    <w:rsid w:val="006B0668"/>
    <w:rsid w:val="006B0F6C"/>
    <w:rsid w:val="006B108B"/>
    <w:rsid w:val="006B167D"/>
    <w:rsid w:val="006B17FA"/>
    <w:rsid w:val="006B1C56"/>
    <w:rsid w:val="006B1C5E"/>
    <w:rsid w:val="006B1E2E"/>
    <w:rsid w:val="006B2158"/>
    <w:rsid w:val="006B22F0"/>
    <w:rsid w:val="006B2787"/>
    <w:rsid w:val="006B282D"/>
    <w:rsid w:val="006B303B"/>
    <w:rsid w:val="006B337D"/>
    <w:rsid w:val="006B344B"/>
    <w:rsid w:val="006B3AD2"/>
    <w:rsid w:val="006B3E8F"/>
    <w:rsid w:val="006B3F47"/>
    <w:rsid w:val="006B3FBD"/>
    <w:rsid w:val="006B4614"/>
    <w:rsid w:val="006B49E0"/>
    <w:rsid w:val="006B501E"/>
    <w:rsid w:val="006B505D"/>
    <w:rsid w:val="006B5CD4"/>
    <w:rsid w:val="006B7E05"/>
    <w:rsid w:val="006B7E93"/>
    <w:rsid w:val="006C0470"/>
    <w:rsid w:val="006C0B25"/>
    <w:rsid w:val="006C0FB3"/>
    <w:rsid w:val="006C14BA"/>
    <w:rsid w:val="006C19C3"/>
    <w:rsid w:val="006C2681"/>
    <w:rsid w:val="006C2FA0"/>
    <w:rsid w:val="006C334D"/>
    <w:rsid w:val="006C3B37"/>
    <w:rsid w:val="006C3D6D"/>
    <w:rsid w:val="006C3E25"/>
    <w:rsid w:val="006C3E5E"/>
    <w:rsid w:val="006C4221"/>
    <w:rsid w:val="006C483E"/>
    <w:rsid w:val="006C4C3B"/>
    <w:rsid w:val="006C5EF8"/>
    <w:rsid w:val="006C6B38"/>
    <w:rsid w:val="006C6E1C"/>
    <w:rsid w:val="006C6EB8"/>
    <w:rsid w:val="006C70AC"/>
    <w:rsid w:val="006C7116"/>
    <w:rsid w:val="006C78AA"/>
    <w:rsid w:val="006C79A3"/>
    <w:rsid w:val="006C7A60"/>
    <w:rsid w:val="006C7C52"/>
    <w:rsid w:val="006D02B6"/>
    <w:rsid w:val="006D02E2"/>
    <w:rsid w:val="006D05BD"/>
    <w:rsid w:val="006D07BE"/>
    <w:rsid w:val="006D0E4C"/>
    <w:rsid w:val="006D1246"/>
    <w:rsid w:val="006D12FA"/>
    <w:rsid w:val="006D1333"/>
    <w:rsid w:val="006D140E"/>
    <w:rsid w:val="006D159F"/>
    <w:rsid w:val="006D1CA5"/>
    <w:rsid w:val="006D20B4"/>
    <w:rsid w:val="006D33B1"/>
    <w:rsid w:val="006D3E55"/>
    <w:rsid w:val="006D3F55"/>
    <w:rsid w:val="006D41B6"/>
    <w:rsid w:val="006D4B55"/>
    <w:rsid w:val="006D4E36"/>
    <w:rsid w:val="006D5186"/>
    <w:rsid w:val="006D53A1"/>
    <w:rsid w:val="006D5754"/>
    <w:rsid w:val="006D59DD"/>
    <w:rsid w:val="006D60C6"/>
    <w:rsid w:val="006D6121"/>
    <w:rsid w:val="006D75A0"/>
    <w:rsid w:val="006E0170"/>
    <w:rsid w:val="006E051A"/>
    <w:rsid w:val="006E0626"/>
    <w:rsid w:val="006E08AA"/>
    <w:rsid w:val="006E1122"/>
    <w:rsid w:val="006E12EE"/>
    <w:rsid w:val="006E14C1"/>
    <w:rsid w:val="006E171A"/>
    <w:rsid w:val="006E1BEE"/>
    <w:rsid w:val="006E1C31"/>
    <w:rsid w:val="006E1F22"/>
    <w:rsid w:val="006E224A"/>
    <w:rsid w:val="006E224D"/>
    <w:rsid w:val="006E267F"/>
    <w:rsid w:val="006E26A2"/>
    <w:rsid w:val="006E2F7C"/>
    <w:rsid w:val="006E3066"/>
    <w:rsid w:val="006E38B6"/>
    <w:rsid w:val="006E38FF"/>
    <w:rsid w:val="006E46FA"/>
    <w:rsid w:val="006E4BFF"/>
    <w:rsid w:val="006E4EC8"/>
    <w:rsid w:val="006E5033"/>
    <w:rsid w:val="006E5352"/>
    <w:rsid w:val="006E5797"/>
    <w:rsid w:val="006E5EFB"/>
    <w:rsid w:val="006E6D83"/>
    <w:rsid w:val="006E7BB8"/>
    <w:rsid w:val="006E7C9E"/>
    <w:rsid w:val="006E7F29"/>
    <w:rsid w:val="006F02D8"/>
    <w:rsid w:val="006F078E"/>
    <w:rsid w:val="006F09AB"/>
    <w:rsid w:val="006F0EE6"/>
    <w:rsid w:val="006F2360"/>
    <w:rsid w:val="006F24AD"/>
    <w:rsid w:val="006F2974"/>
    <w:rsid w:val="006F2BD0"/>
    <w:rsid w:val="006F367B"/>
    <w:rsid w:val="006F3731"/>
    <w:rsid w:val="006F39E2"/>
    <w:rsid w:val="006F3A20"/>
    <w:rsid w:val="006F3B0F"/>
    <w:rsid w:val="006F3B3E"/>
    <w:rsid w:val="006F43F0"/>
    <w:rsid w:val="006F453D"/>
    <w:rsid w:val="006F4728"/>
    <w:rsid w:val="006F4E42"/>
    <w:rsid w:val="006F4E75"/>
    <w:rsid w:val="006F5451"/>
    <w:rsid w:val="006F54BD"/>
    <w:rsid w:val="006F5AE8"/>
    <w:rsid w:val="006F5D73"/>
    <w:rsid w:val="006F5E26"/>
    <w:rsid w:val="006F639B"/>
    <w:rsid w:val="006F70D6"/>
    <w:rsid w:val="006F769C"/>
    <w:rsid w:val="006F7E42"/>
    <w:rsid w:val="006F7FC2"/>
    <w:rsid w:val="007000BE"/>
    <w:rsid w:val="007005B5"/>
    <w:rsid w:val="00700BA8"/>
    <w:rsid w:val="00701D5A"/>
    <w:rsid w:val="00701F66"/>
    <w:rsid w:val="00702610"/>
    <w:rsid w:val="00702A02"/>
    <w:rsid w:val="00702BCE"/>
    <w:rsid w:val="00703204"/>
    <w:rsid w:val="00703453"/>
    <w:rsid w:val="007034AC"/>
    <w:rsid w:val="007035D8"/>
    <w:rsid w:val="00704651"/>
    <w:rsid w:val="00704947"/>
    <w:rsid w:val="00704B5F"/>
    <w:rsid w:val="00704F5D"/>
    <w:rsid w:val="007051C6"/>
    <w:rsid w:val="00705425"/>
    <w:rsid w:val="00705619"/>
    <w:rsid w:val="007056AB"/>
    <w:rsid w:val="00705CF4"/>
    <w:rsid w:val="00705F18"/>
    <w:rsid w:val="00707185"/>
    <w:rsid w:val="007077E7"/>
    <w:rsid w:val="00707FE7"/>
    <w:rsid w:val="007103B9"/>
    <w:rsid w:val="0071040F"/>
    <w:rsid w:val="00710968"/>
    <w:rsid w:val="00710C33"/>
    <w:rsid w:val="007111BB"/>
    <w:rsid w:val="00711566"/>
    <w:rsid w:val="00711CE3"/>
    <w:rsid w:val="00712612"/>
    <w:rsid w:val="0071277A"/>
    <w:rsid w:val="00712911"/>
    <w:rsid w:val="00712CB7"/>
    <w:rsid w:val="00713612"/>
    <w:rsid w:val="00713F35"/>
    <w:rsid w:val="0071430A"/>
    <w:rsid w:val="00714896"/>
    <w:rsid w:val="00714BF0"/>
    <w:rsid w:val="00714D62"/>
    <w:rsid w:val="00714D8A"/>
    <w:rsid w:val="007150DB"/>
    <w:rsid w:val="007151E4"/>
    <w:rsid w:val="00715696"/>
    <w:rsid w:val="0071616E"/>
    <w:rsid w:val="007168EB"/>
    <w:rsid w:val="00717450"/>
    <w:rsid w:val="00717AEB"/>
    <w:rsid w:val="00717F5F"/>
    <w:rsid w:val="00720439"/>
    <w:rsid w:val="00720880"/>
    <w:rsid w:val="00720966"/>
    <w:rsid w:val="0072107D"/>
    <w:rsid w:val="007212B1"/>
    <w:rsid w:val="007213DD"/>
    <w:rsid w:val="00721785"/>
    <w:rsid w:val="007218F9"/>
    <w:rsid w:val="00721BBE"/>
    <w:rsid w:val="007224F0"/>
    <w:rsid w:val="00722B25"/>
    <w:rsid w:val="00722BA0"/>
    <w:rsid w:val="00722BBF"/>
    <w:rsid w:val="007231C8"/>
    <w:rsid w:val="00723FDB"/>
    <w:rsid w:val="007245DA"/>
    <w:rsid w:val="00724D72"/>
    <w:rsid w:val="00724D99"/>
    <w:rsid w:val="007250C7"/>
    <w:rsid w:val="007253C3"/>
    <w:rsid w:val="007253C6"/>
    <w:rsid w:val="00725523"/>
    <w:rsid w:val="00725670"/>
    <w:rsid w:val="00725C3E"/>
    <w:rsid w:val="00726029"/>
    <w:rsid w:val="0072635E"/>
    <w:rsid w:val="00726853"/>
    <w:rsid w:val="00726DEC"/>
    <w:rsid w:val="00727552"/>
    <w:rsid w:val="007275A4"/>
    <w:rsid w:val="00727CF6"/>
    <w:rsid w:val="00730347"/>
    <w:rsid w:val="007305E0"/>
    <w:rsid w:val="00730641"/>
    <w:rsid w:val="00730A82"/>
    <w:rsid w:val="00730EF0"/>
    <w:rsid w:val="00731316"/>
    <w:rsid w:val="007313EA"/>
    <w:rsid w:val="00731926"/>
    <w:rsid w:val="00731CBD"/>
    <w:rsid w:val="00731DE5"/>
    <w:rsid w:val="00732236"/>
    <w:rsid w:val="007322DF"/>
    <w:rsid w:val="0073268D"/>
    <w:rsid w:val="00732CBE"/>
    <w:rsid w:val="00733E2E"/>
    <w:rsid w:val="007344AD"/>
    <w:rsid w:val="00734844"/>
    <w:rsid w:val="00734E00"/>
    <w:rsid w:val="00735845"/>
    <w:rsid w:val="00735904"/>
    <w:rsid w:val="007359D4"/>
    <w:rsid w:val="00735D15"/>
    <w:rsid w:val="00735E39"/>
    <w:rsid w:val="0073609A"/>
    <w:rsid w:val="007362E5"/>
    <w:rsid w:val="00736E72"/>
    <w:rsid w:val="00737039"/>
    <w:rsid w:val="007370A3"/>
    <w:rsid w:val="007377A5"/>
    <w:rsid w:val="007379B3"/>
    <w:rsid w:val="00737EE6"/>
    <w:rsid w:val="007400C8"/>
    <w:rsid w:val="007403AD"/>
    <w:rsid w:val="007408BB"/>
    <w:rsid w:val="00741111"/>
    <w:rsid w:val="007414B8"/>
    <w:rsid w:val="00741526"/>
    <w:rsid w:val="00742287"/>
    <w:rsid w:val="00742547"/>
    <w:rsid w:val="00742B11"/>
    <w:rsid w:val="007430EB"/>
    <w:rsid w:val="007434B7"/>
    <w:rsid w:val="00743637"/>
    <w:rsid w:val="007437A6"/>
    <w:rsid w:val="0074383B"/>
    <w:rsid w:val="0074398B"/>
    <w:rsid w:val="007439E8"/>
    <w:rsid w:val="00743A9B"/>
    <w:rsid w:val="00743D91"/>
    <w:rsid w:val="00743E27"/>
    <w:rsid w:val="00744464"/>
    <w:rsid w:val="0074457B"/>
    <w:rsid w:val="0074481E"/>
    <w:rsid w:val="00744FB5"/>
    <w:rsid w:val="007451A2"/>
    <w:rsid w:val="007452B2"/>
    <w:rsid w:val="00745454"/>
    <w:rsid w:val="007458E2"/>
    <w:rsid w:val="00745CD2"/>
    <w:rsid w:val="00746516"/>
    <w:rsid w:val="00746E89"/>
    <w:rsid w:val="007472FB"/>
    <w:rsid w:val="007475FC"/>
    <w:rsid w:val="00747A4A"/>
    <w:rsid w:val="0075022D"/>
    <w:rsid w:val="00750C93"/>
    <w:rsid w:val="007511E6"/>
    <w:rsid w:val="007516E0"/>
    <w:rsid w:val="00751D86"/>
    <w:rsid w:val="00752007"/>
    <w:rsid w:val="00752164"/>
    <w:rsid w:val="0075285E"/>
    <w:rsid w:val="00752E87"/>
    <w:rsid w:val="00753A9E"/>
    <w:rsid w:val="00753CAC"/>
    <w:rsid w:val="00753D04"/>
    <w:rsid w:val="00753E71"/>
    <w:rsid w:val="00754089"/>
    <w:rsid w:val="00754373"/>
    <w:rsid w:val="00754707"/>
    <w:rsid w:val="0075479A"/>
    <w:rsid w:val="007547E6"/>
    <w:rsid w:val="0075491E"/>
    <w:rsid w:val="00754B44"/>
    <w:rsid w:val="00755389"/>
    <w:rsid w:val="00755551"/>
    <w:rsid w:val="00755685"/>
    <w:rsid w:val="00755C68"/>
    <w:rsid w:val="00756978"/>
    <w:rsid w:val="00756D35"/>
    <w:rsid w:val="00756E85"/>
    <w:rsid w:val="00757017"/>
    <w:rsid w:val="00757142"/>
    <w:rsid w:val="007577D1"/>
    <w:rsid w:val="00760414"/>
    <w:rsid w:val="007605CA"/>
    <w:rsid w:val="00760D1D"/>
    <w:rsid w:val="00761391"/>
    <w:rsid w:val="0076143B"/>
    <w:rsid w:val="00761A00"/>
    <w:rsid w:val="0076290C"/>
    <w:rsid w:val="007633D2"/>
    <w:rsid w:val="007635B4"/>
    <w:rsid w:val="00763B23"/>
    <w:rsid w:val="00763EBF"/>
    <w:rsid w:val="007640AC"/>
    <w:rsid w:val="00764314"/>
    <w:rsid w:val="00764319"/>
    <w:rsid w:val="00764476"/>
    <w:rsid w:val="00764B61"/>
    <w:rsid w:val="00764C22"/>
    <w:rsid w:val="00764CA3"/>
    <w:rsid w:val="0076549A"/>
    <w:rsid w:val="00765B17"/>
    <w:rsid w:val="00765D00"/>
    <w:rsid w:val="00766137"/>
    <w:rsid w:val="00766F07"/>
    <w:rsid w:val="007677A9"/>
    <w:rsid w:val="007678AA"/>
    <w:rsid w:val="00770C2D"/>
    <w:rsid w:val="00771196"/>
    <w:rsid w:val="007714FB"/>
    <w:rsid w:val="0077160A"/>
    <w:rsid w:val="0077166E"/>
    <w:rsid w:val="00771769"/>
    <w:rsid w:val="00771B6C"/>
    <w:rsid w:val="007730C8"/>
    <w:rsid w:val="0077352E"/>
    <w:rsid w:val="00773AB5"/>
    <w:rsid w:val="00773F38"/>
    <w:rsid w:val="007747FF"/>
    <w:rsid w:val="0077489A"/>
    <w:rsid w:val="0077499E"/>
    <w:rsid w:val="0077507E"/>
    <w:rsid w:val="007751F8"/>
    <w:rsid w:val="00775570"/>
    <w:rsid w:val="00775CCD"/>
    <w:rsid w:val="0077662B"/>
    <w:rsid w:val="00776AF7"/>
    <w:rsid w:val="00776E9B"/>
    <w:rsid w:val="00776F55"/>
    <w:rsid w:val="007772FB"/>
    <w:rsid w:val="007775B0"/>
    <w:rsid w:val="0077770E"/>
    <w:rsid w:val="007779FC"/>
    <w:rsid w:val="007819D2"/>
    <w:rsid w:val="00781C91"/>
    <w:rsid w:val="007822DC"/>
    <w:rsid w:val="0078234D"/>
    <w:rsid w:val="007824D4"/>
    <w:rsid w:val="0078256C"/>
    <w:rsid w:val="00782585"/>
    <w:rsid w:val="0078259D"/>
    <w:rsid w:val="0078266A"/>
    <w:rsid w:val="007827CD"/>
    <w:rsid w:val="00783017"/>
    <w:rsid w:val="007838F6"/>
    <w:rsid w:val="00783C70"/>
    <w:rsid w:val="00783DC7"/>
    <w:rsid w:val="00784DC8"/>
    <w:rsid w:val="00784F11"/>
    <w:rsid w:val="00785102"/>
    <w:rsid w:val="00785167"/>
    <w:rsid w:val="00785907"/>
    <w:rsid w:val="00786065"/>
    <w:rsid w:val="00786E3B"/>
    <w:rsid w:val="00787118"/>
    <w:rsid w:val="007873CB"/>
    <w:rsid w:val="00787683"/>
    <w:rsid w:val="00787D34"/>
    <w:rsid w:val="0079020D"/>
    <w:rsid w:val="007903CD"/>
    <w:rsid w:val="007903DA"/>
    <w:rsid w:val="00790623"/>
    <w:rsid w:val="00790FA4"/>
    <w:rsid w:val="00791151"/>
    <w:rsid w:val="00791946"/>
    <w:rsid w:val="00791C1A"/>
    <w:rsid w:val="00792641"/>
    <w:rsid w:val="00792AA0"/>
    <w:rsid w:val="00793C0D"/>
    <w:rsid w:val="00793C12"/>
    <w:rsid w:val="00794375"/>
    <w:rsid w:val="00794769"/>
    <w:rsid w:val="00794EB5"/>
    <w:rsid w:val="00795746"/>
    <w:rsid w:val="0079574C"/>
    <w:rsid w:val="00795CCF"/>
    <w:rsid w:val="00795FA0"/>
    <w:rsid w:val="00796075"/>
    <w:rsid w:val="00796110"/>
    <w:rsid w:val="00796255"/>
    <w:rsid w:val="00796256"/>
    <w:rsid w:val="007963C2"/>
    <w:rsid w:val="0079709D"/>
    <w:rsid w:val="007A07C8"/>
    <w:rsid w:val="007A07DB"/>
    <w:rsid w:val="007A0A25"/>
    <w:rsid w:val="007A0A53"/>
    <w:rsid w:val="007A0C93"/>
    <w:rsid w:val="007A0EEE"/>
    <w:rsid w:val="007A11D6"/>
    <w:rsid w:val="007A12D1"/>
    <w:rsid w:val="007A20A7"/>
    <w:rsid w:val="007A2181"/>
    <w:rsid w:val="007A218B"/>
    <w:rsid w:val="007A229D"/>
    <w:rsid w:val="007A2483"/>
    <w:rsid w:val="007A292E"/>
    <w:rsid w:val="007A2E76"/>
    <w:rsid w:val="007A2EB8"/>
    <w:rsid w:val="007A2F69"/>
    <w:rsid w:val="007A3990"/>
    <w:rsid w:val="007A3AF7"/>
    <w:rsid w:val="007A4B67"/>
    <w:rsid w:val="007A4C12"/>
    <w:rsid w:val="007A54A1"/>
    <w:rsid w:val="007A5690"/>
    <w:rsid w:val="007A5757"/>
    <w:rsid w:val="007A5A0C"/>
    <w:rsid w:val="007A5A7D"/>
    <w:rsid w:val="007A5C17"/>
    <w:rsid w:val="007A5D15"/>
    <w:rsid w:val="007A6594"/>
    <w:rsid w:val="007A6995"/>
    <w:rsid w:val="007A6CE7"/>
    <w:rsid w:val="007A6F57"/>
    <w:rsid w:val="007A70F8"/>
    <w:rsid w:val="007A774D"/>
    <w:rsid w:val="007A7981"/>
    <w:rsid w:val="007A7D5E"/>
    <w:rsid w:val="007A7DF5"/>
    <w:rsid w:val="007B023F"/>
    <w:rsid w:val="007B0377"/>
    <w:rsid w:val="007B0555"/>
    <w:rsid w:val="007B05F1"/>
    <w:rsid w:val="007B0D6D"/>
    <w:rsid w:val="007B0E7C"/>
    <w:rsid w:val="007B15CA"/>
    <w:rsid w:val="007B184E"/>
    <w:rsid w:val="007B1963"/>
    <w:rsid w:val="007B1F00"/>
    <w:rsid w:val="007B257A"/>
    <w:rsid w:val="007B266F"/>
    <w:rsid w:val="007B270D"/>
    <w:rsid w:val="007B2AD7"/>
    <w:rsid w:val="007B2C90"/>
    <w:rsid w:val="007B2CE3"/>
    <w:rsid w:val="007B2F8A"/>
    <w:rsid w:val="007B33A7"/>
    <w:rsid w:val="007B38B3"/>
    <w:rsid w:val="007B3E58"/>
    <w:rsid w:val="007B4869"/>
    <w:rsid w:val="007B4B77"/>
    <w:rsid w:val="007B5197"/>
    <w:rsid w:val="007B5B71"/>
    <w:rsid w:val="007B5FB8"/>
    <w:rsid w:val="007B7A42"/>
    <w:rsid w:val="007B7D16"/>
    <w:rsid w:val="007B7ED9"/>
    <w:rsid w:val="007B7EEC"/>
    <w:rsid w:val="007C014F"/>
    <w:rsid w:val="007C025E"/>
    <w:rsid w:val="007C0527"/>
    <w:rsid w:val="007C077F"/>
    <w:rsid w:val="007C0ED6"/>
    <w:rsid w:val="007C106D"/>
    <w:rsid w:val="007C1721"/>
    <w:rsid w:val="007C1F5E"/>
    <w:rsid w:val="007C278B"/>
    <w:rsid w:val="007C34D5"/>
    <w:rsid w:val="007C3826"/>
    <w:rsid w:val="007C3E66"/>
    <w:rsid w:val="007C4113"/>
    <w:rsid w:val="007C562E"/>
    <w:rsid w:val="007C5638"/>
    <w:rsid w:val="007C57B0"/>
    <w:rsid w:val="007C5851"/>
    <w:rsid w:val="007C5F50"/>
    <w:rsid w:val="007C6758"/>
    <w:rsid w:val="007C6BD5"/>
    <w:rsid w:val="007C75AA"/>
    <w:rsid w:val="007C76A2"/>
    <w:rsid w:val="007C785E"/>
    <w:rsid w:val="007C7B5B"/>
    <w:rsid w:val="007C7F5C"/>
    <w:rsid w:val="007D007A"/>
    <w:rsid w:val="007D1929"/>
    <w:rsid w:val="007D24CF"/>
    <w:rsid w:val="007D2A0D"/>
    <w:rsid w:val="007D2B18"/>
    <w:rsid w:val="007D32BD"/>
    <w:rsid w:val="007D33B9"/>
    <w:rsid w:val="007D3409"/>
    <w:rsid w:val="007D4895"/>
    <w:rsid w:val="007D495D"/>
    <w:rsid w:val="007D4DE4"/>
    <w:rsid w:val="007D5115"/>
    <w:rsid w:val="007D512F"/>
    <w:rsid w:val="007D52F5"/>
    <w:rsid w:val="007D5F33"/>
    <w:rsid w:val="007D6133"/>
    <w:rsid w:val="007D65A5"/>
    <w:rsid w:val="007D6A92"/>
    <w:rsid w:val="007D71D5"/>
    <w:rsid w:val="007D75F6"/>
    <w:rsid w:val="007D76F5"/>
    <w:rsid w:val="007D7A4A"/>
    <w:rsid w:val="007E0075"/>
    <w:rsid w:val="007E05DE"/>
    <w:rsid w:val="007E1980"/>
    <w:rsid w:val="007E1B8B"/>
    <w:rsid w:val="007E242E"/>
    <w:rsid w:val="007E2B73"/>
    <w:rsid w:val="007E2B99"/>
    <w:rsid w:val="007E2F1D"/>
    <w:rsid w:val="007E314F"/>
    <w:rsid w:val="007E3918"/>
    <w:rsid w:val="007E3BC6"/>
    <w:rsid w:val="007E3EE7"/>
    <w:rsid w:val="007E3F55"/>
    <w:rsid w:val="007E415B"/>
    <w:rsid w:val="007E41D3"/>
    <w:rsid w:val="007E429B"/>
    <w:rsid w:val="007E42C8"/>
    <w:rsid w:val="007E49EB"/>
    <w:rsid w:val="007E4ED0"/>
    <w:rsid w:val="007E4EF2"/>
    <w:rsid w:val="007E510A"/>
    <w:rsid w:val="007E530F"/>
    <w:rsid w:val="007E555F"/>
    <w:rsid w:val="007E57AF"/>
    <w:rsid w:val="007E5D01"/>
    <w:rsid w:val="007E61AE"/>
    <w:rsid w:val="007E68CF"/>
    <w:rsid w:val="007E6F0D"/>
    <w:rsid w:val="007E703D"/>
    <w:rsid w:val="007E7155"/>
    <w:rsid w:val="007E7743"/>
    <w:rsid w:val="007E7D3C"/>
    <w:rsid w:val="007F0275"/>
    <w:rsid w:val="007F0ED0"/>
    <w:rsid w:val="007F0FB5"/>
    <w:rsid w:val="007F107C"/>
    <w:rsid w:val="007F10DD"/>
    <w:rsid w:val="007F12A1"/>
    <w:rsid w:val="007F1320"/>
    <w:rsid w:val="007F195F"/>
    <w:rsid w:val="007F2D04"/>
    <w:rsid w:val="007F3E3E"/>
    <w:rsid w:val="007F4323"/>
    <w:rsid w:val="007F4774"/>
    <w:rsid w:val="007F4828"/>
    <w:rsid w:val="007F4F0B"/>
    <w:rsid w:val="007F4F99"/>
    <w:rsid w:val="007F5CB2"/>
    <w:rsid w:val="007F5D79"/>
    <w:rsid w:val="007F6232"/>
    <w:rsid w:val="007F6503"/>
    <w:rsid w:val="007F6646"/>
    <w:rsid w:val="007F6AC6"/>
    <w:rsid w:val="007F6C65"/>
    <w:rsid w:val="007F72B0"/>
    <w:rsid w:val="007F7A46"/>
    <w:rsid w:val="00800058"/>
    <w:rsid w:val="00800D24"/>
    <w:rsid w:val="00801092"/>
    <w:rsid w:val="00801430"/>
    <w:rsid w:val="00801B2D"/>
    <w:rsid w:val="0080220A"/>
    <w:rsid w:val="00802345"/>
    <w:rsid w:val="00802650"/>
    <w:rsid w:val="00802D4F"/>
    <w:rsid w:val="00802F12"/>
    <w:rsid w:val="0080313F"/>
    <w:rsid w:val="0080316D"/>
    <w:rsid w:val="008034B9"/>
    <w:rsid w:val="0080372F"/>
    <w:rsid w:val="00803751"/>
    <w:rsid w:val="00804485"/>
    <w:rsid w:val="0080499C"/>
    <w:rsid w:val="00804B6B"/>
    <w:rsid w:val="0080538B"/>
    <w:rsid w:val="00805396"/>
    <w:rsid w:val="0080544F"/>
    <w:rsid w:val="008054A6"/>
    <w:rsid w:val="0080571A"/>
    <w:rsid w:val="00805836"/>
    <w:rsid w:val="00805F6B"/>
    <w:rsid w:val="0080659C"/>
    <w:rsid w:val="00806B5F"/>
    <w:rsid w:val="00806FE6"/>
    <w:rsid w:val="00807702"/>
    <w:rsid w:val="00807739"/>
    <w:rsid w:val="008079D3"/>
    <w:rsid w:val="00807DF0"/>
    <w:rsid w:val="008102D9"/>
    <w:rsid w:val="008103DD"/>
    <w:rsid w:val="0081060E"/>
    <w:rsid w:val="0081074F"/>
    <w:rsid w:val="00810FCB"/>
    <w:rsid w:val="00811524"/>
    <w:rsid w:val="00811784"/>
    <w:rsid w:val="008121A8"/>
    <w:rsid w:val="0081225B"/>
    <w:rsid w:val="0081250D"/>
    <w:rsid w:val="00812905"/>
    <w:rsid w:val="00812913"/>
    <w:rsid w:val="008130E7"/>
    <w:rsid w:val="00813458"/>
    <w:rsid w:val="00813A78"/>
    <w:rsid w:val="00813C19"/>
    <w:rsid w:val="00813E51"/>
    <w:rsid w:val="0081409B"/>
    <w:rsid w:val="0081462A"/>
    <w:rsid w:val="0081498E"/>
    <w:rsid w:val="00814F30"/>
    <w:rsid w:val="00815FE1"/>
    <w:rsid w:val="008160CB"/>
    <w:rsid w:val="00816195"/>
    <w:rsid w:val="008161EC"/>
    <w:rsid w:val="008165EB"/>
    <w:rsid w:val="0081661B"/>
    <w:rsid w:val="00816ACE"/>
    <w:rsid w:val="00816BE1"/>
    <w:rsid w:val="00816E8E"/>
    <w:rsid w:val="0081728C"/>
    <w:rsid w:val="00820106"/>
    <w:rsid w:val="0082033E"/>
    <w:rsid w:val="00820473"/>
    <w:rsid w:val="00820620"/>
    <w:rsid w:val="00820AFD"/>
    <w:rsid w:val="00820C75"/>
    <w:rsid w:val="008214A8"/>
    <w:rsid w:val="008214EC"/>
    <w:rsid w:val="00821580"/>
    <w:rsid w:val="008218CC"/>
    <w:rsid w:val="00821917"/>
    <w:rsid w:val="00821A92"/>
    <w:rsid w:val="00821B6F"/>
    <w:rsid w:val="00821CB0"/>
    <w:rsid w:val="0082229D"/>
    <w:rsid w:val="008225DF"/>
    <w:rsid w:val="00822CB7"/>
    <w:rsid w:val="00822EB1"/>
    <w:rsid w:val="008231C9"/>
    <w:rsid w:val="0082328D"/>
    <w:rsid w:val="008234AF"/>
    <w:rsid w:val="00823DB3"/>
    <w:rsid w:val="00823EE5"/>
    <w:rsid w:val="008241F4"/>
    <w:rsid w:val="00824AEC"/>
    <w:rsid w:val="0082518F"/>
    <w:rsid w:val="008256E4"/>
    <w:rsid w:val="00825955"/>
    <w:rsid w:val="00825FBF"/>
    <w:rsid w:val="00826070"/>
    <w:rsid w:val="0082628A"/>
    <w:rsid w:val="00826646"/>
    <w:rsid w:val="00826CD7"/>
    <w:rsid w:val="00827399"/>
    <w:rsid w:val="00827F47"/>
    <w:rsid w:val="0083019C"/>
    <w:rsid w:val="00830EFA"/>
    <w:rsid w:val="008310E8"/>
    <w:rsid w:val="008313EE"/>
    <w:rsid w:val="008318CF"/>
    <w:rsid w:val="00831ABB"/>
    <w:rsid w:val="00831AFF"/>
    <w:rsid w:val="008323AB"/>
    <w:rsid w:val="008323EF"/>
    <w:rsid w:val="008324C5"/>
    <w:rsid w:val="00832E68"/>
    <w:rsid w:val="00833FF5"/>
    <w:rsid w:val="008342A0"/>
    <w:rsid w:val="008349AF"/>
    <w:rsid w:val="00834E9A"/>
    <w:rsid w:val="00835097"/>
    <w:rsid w:val="008352EE"/>
    <w:rsid w:val="008352FC"/>
    <w:rsid w:val="0083566A"/>
    <w:rsid w:val="00835E83"/>
    <w:rsid w:val="008379FF"/>
    <w:rsid w:val="00837DD7"/>
    <w:rsid w:val="00837EAA"/>
    <w:rsid w:val="008403ED"/>
    <w:rsid w:val="00841436"/>
    <w:rsid w:val="008417BE"/>
    <w:rsid w:val="008420B0"/>
    <w:rsid w:val="008425C5"/>
    <w:rsid w:val="00842681"/>
    <w:rsid w:val="00842BE0"/>
    <w:rsid w:val="00842D8A"/>
    <w:rsid w:val="0084324C"/>
    <w:rsid w:val="008432C3"/>
    <w:rsid w:val="00843F8B"/>
    <w:rsid w:val="008442BA"/>
    <w:rsid w:val="00844CEF"/>
    <w:rsid w:val="00844D11"/>
    <w:rsid w:val="0084521C"/>
    <w:rsid w:val="00845602"/>
    <w:rsid w:val="00845A22"/>
    <w:rsid w:val="00845AE7"/>
    <w:rsid w:val="00845DC9"/>
    <w:rsid w:val="008469BE"/>
    <w:rsid w:val="008471EE"/>
    <w:rsid w:val="00847AC4"/>
    <w:rsid w:val="00847C31"/>
    <w:rsid w:val="00847EBF"/>
    <w:rsid w:val="00850C29"/>
    <w:rsid w:val="00850FB4"/>
    <w:rsid w:val="00851009"/>
    <w:rsid w:val="00851012"/>
    <w:rsid w:val="008510D3"/>
    <w:rsid w:val="008510DF"/>
    <w:rsid w:val="008511C1"/>
    <w:rsid w:val="00851546"/>
    <w:rsid w:val="00851D65"/>
    <w:rsid w:val="00851EC4"/>
    <w:rsid w:val="0085215A"/>
    <w:rsid w:val="00852326"/>
    <w:rsid w:val="0085268D"/>
    <w:rsid w:val="00852BE1"/>
    <w:rsid w:val="00852C13"/>
    <w:rsid w:val="0085320E"/>
    <w:rsid w:val="0085391D"/>
    <w:rsid w:val="00853F19"/>
    <w:rsid w:val="00854634"/>
    <w:rsid w:val="00855080"/>
    <w:rsid w:val="00855139"/>
    <w:rsid w:val="008554A6"/>
    <w:rsid w:val="00855968"/>
    <w:rsid w:val="0085597B"/>
    <w:rsid w:val="00855F5B"/>
    <w:rsid w:val="00856B24"/>
    <w:rsid w:val="00857482"/>
    <w:rsid w:val="0085767C"/>
    <w:rsid w:val="008578EB"/>
    <w:rsid w:val="00857C1C"/>
    <w:rsid w:val="00857C7A"/>
    <w:rsid w:val="00857E29"/>
    <w:rsid w:val="0086011A"/>
    <w:rsid w:val="00860CB2"/>
    <w:rsid w:val="00861AA8"/>
    <w:rsid w:val="00862796"/>
    <w:rsid w:val="008629E5"/>
    <w:rsid w:val="00862BBE"/>
    <w:rsid w:val="00862C6D"/>
    <w:rsid w:val="008631AF"/>
    <w:rsid w:val="008632D3"/>
    <w:rsid w:val="00863329"/>
    <w:rsid w:val="008634F0"/>
    <w:rsid w:val="00863E96"/>
    <w:rsid w:val="008640B7"/>
    <w:rsid w:val="008641A1"/>
    <w:rsid w:val="008645D1"/>
    <w:rsid w:val="008647F4"/>
    <w:rsid w:val="00865193"/>
    <w:rsid w:val="00865238"/>
    <w:rsid w:val="008652DE"/>
    <w:rsid w:val="00865335"/>
    <w:rsid w:val="0086594E"/>
    <w:rsid w:val="00865C8E"/>
    <w:rsid w:val="00866247"/>
    <w:rsid w:val="00866797"/>
    <w:rsid w:val="008672EF"/>
    <w:rsid w:val="00867BB4"/>
    <w:rsid w:val="0087060E"/>
    <w:rsid w:val="00870DE5"/>
    <w:rsid w:val="00870FC6"/>
    <w:rsid w:val="0087169C"/>
    <w:rsid w:val="00871744"/>
    <w:rsid w:val="008717AA"/>
    <w:rsid w:val="008717B9"/>
    <w:rsid w:val="00871C05"/>
    <w:rsid w:val="00871FEA"/>
    <w:rsid w:val="008724B8"/>
    <w:rsid w:val="00872B26"/>
    <w:rsid w:val="00872FF2"/>
    <w:rsid w:val="0087312F"/>
    <w:rsid w:val="00873181"/>
    <w:rsid w:val="00873450"/>
    <w:rsid w:val="008734D1"/>
    <w:rsid w:val="00873C3D"/>
    <w:rsid w:val="00874F16"/>
    <w:rsid w:val="0087522C"/>
    <w:rsid w:val="008752C0"/>
    <w:rsid w:val="00875E13"/>
    <w:rsid w:val="008760F8"/>
    <w:rsid w:val="00876945"/>
    <w:rsid w:val="0087709D"/>
    <w:rsid w:val="00877525"/>
    <w:rsid w:val="008776AB"/>
    <w:rsid w:val="008778F6"/>
    <w:rsid w:val="00877BCC"/>
    <w:rsid w:val="00880A61"/>
    <w:rsid w:val="00880F42"/>
    <w:rsid w:val="0088122D"/>
    <w:rsid w:val="008813FD"/>
    <w:rsid w:val="00881938"/>
    <w:rsid w:val="00881CD4"/>
    <w:rsid w:val="00881D5F"/>
    <w:rsid w:val="0088235C"/>
    <w:rsid w:val="008823FD"/>
    <w:rsid w:val="008826BA"/>
    <w:rsid w:val="008826F1"/>
    <w:rsid w:val="0088336B"/>
    <w:rsid w:val="0088344E"/>
    <w:rsid w:val="00883ADA"/>
    <w:rsid w:val="00883E2F"/>
    <w:rsid w:val="00883EAC"/>
    <w:rsid w:val="00883FA0"/>
    <w:rsid w:val="008841F8"/>
    <w:rsid w:val="0088478D"/>
    <w:rsid w:val="00884965"/>
    <w:rsid w:val="00885725"/>
    <w:rsid w:val="00885863"/>
    <w:rsid w:val="0088620B"/>
    <w:rsid w:val="008862A0"/>
    <w:rsid w:val="00886472"/>
    <w:rsid w:val="0088670E"/>
    <w:rsid w:val="00886BC6"/>
    <w:rsid w:val="0089069A"/>
    <w:rsid w:val="0089087D"/>
    <w:rsid w:val="00890A2A"/>
    <w:rsid w:val="00890A96"/>
    <w:rsid w:val="00890C7E"/>
    <w:rsid w:val="00891301"/>
    <w:rsid w:val="008914E7"/>
    <w:rsid w:val="008919C5"/>
    <w:rsid w:val="00891CA2"/>
    <w:rsid w:val="00892178"/>
    <w:rsid w:val="008921C4"/>
    <w:rsid w:val="0089222A"/>
    <w:rsid w:val="00892478"/>
    <w:rsid w:val="008924F8"/>
    <w:rsid w:val="00892677"/>
    <w:rsid w:val="00892866"/>
    <w:rsid w:val="008930EA"/>
    <w:rsid w:val="008931BF"/>
    <w:rsid w:val="008933CD"/>
    <w:rsid w:val="00893A1A"/>
    <w:rsid w:val="0089434D"/>
    <w:rsid w:val="008943A3"/>
    <w:rsid w:val="008944DF"/>
    <w:rsid w:val="00894B31"/>
    <w:rsid w:val="00894C31"/>
    <w:rsid w:val="00894E2D"/>
    <w:rsid w:val="00895F27"/>
    <w:rsid w:val="00895F33"/>
    <w:rsid w:val="0089613C"/>
    <w:rsid w:val="00896230"/>
    <w:rsid w:val="008966B3"/>
    <w:rsid w:val="008973FF"/>
    <w:rsid w:val="00897C28"/>
    <w:rsid w:val="00897E74"/>
    <w:rsid w:val="00897E9B"/>
    <w:rsid w:val="008A0285"/>
    <w:rsid w:val="008A087A"/>
    <w:rsid w:val="008A0BE1"/>
    <w:rsid w:val="008A157B"/>
    <w:rsid w:val="008A18F9"/>
    <w:rsid w:val="008A1D08"/>
    <w:rsid w:val="008A2133"/>
    <w:rsid w:val="008A2C3F"/>
    <w:rsid w:val="008A2D45"/>
    <w:rsid w:val="008A316C"/>
    <w:rsid w:val="008A33E9"/>
    <w:rsid w:val="008A349F"/>
    <w:rsid w:val="008A3C45"/>
    <w:rsid w:val="008A3ED3"/>
    <w:rsid w:val="008A3ED6"/>
    <w:rsid w:val="008A463C"/>
    <w:rsid w:val="008A490C"/>
    <w:rsid w:val="008A495F"/>
    <w:rsid w:val="008A51ED"/>
    <w:rsid w:val="008A55D5"/>
    <w:rsid w:val="008A6249"/>
    <w:rsid w:val="008A6282"/>
    <w:rsid w:val="008A709B"/>
    <w:rsid w:val="008A7433"/>
    <w:rsid w:val="008A74A5"/>
    <w:rsid w:val="008A7868"/>
    <w:rsid w:val="008A7D8C"/>
    <w:rsid w:val="008A7ED3"/>
    <w:rsid w:val="008B0F8B"/>
    <w:rsid w:val="008B11A2"/>
    <w:rsid w:val="008B146D"/>
    <w:rsid w:val="008B1AA9"/>
    <w:rsid w:val="008B1B48"/>
    <w:rsid w:val="008B1C4B"/>
    <w:rsid w:val="008B1C67"/>
    <w:rsid w:val="008B1E42"/>
    <w:rsid w:val="008B1F19"/>
    <w:rsid w:val="008B1F24"/>
    <w:rsid w:val="008B20D5"/>
    <w:rsid w:val="008B2200"/>
    <w:rsid w:val="008B2336"/>
    <w:rsid w:val="008B2592"/>
    <w:rsid w:val="008B284E"/>
    <w:rsid w:val="008B2A08"/>
    <w:rsid w:val="008B33D3"/>
    <w:rsid w:val="008B36E2"/>
    <w:rsid w:val="008B38DC"/>
    <w:rsid w:val="008B421F"/>
    <w:rsid w:val="008B4303"/>
    <w:rsid w:val="008B440D"/>
    <w:rsid w:val="008B45D7"/>
    <w:rsid w:val="008B48A4"/>
    <w:rsid w:val="008B4E2E"/>
    <w:rsid w:val="008B5101"/>
    <w:rsid w:val="008B584D"/>
    <w:rsid w:val="008B5931"/>
    <w:rsid w:val="008B5B01"/>
    <w:rsid w:val="008B676F"/>
    <w:rsid w:val="008B67B4"/>
    <w:rsid w:val="008B67EC"/>
    <w:rsid w:val="008B703D"/>
    <w:rsid w:val="008B71A1"/>
    <w:rsid w:val="008B7204"/>
    <w:rsid w:val="008B75DF"/>
    <w:rsid w:val="008B798D"/>
    <w:rsid w:val="008B7C84"/>
    <w:rsid w:val="008C017E"/>
    <w:rsid w:val="008C02F0"/>
    <w:rsid w:val="008C04E3"/>
    <w:rsid w:val="008C0631"/>
    <w:rsid w:val="008C071D"/>
    <w:rsid w:val="008C0B4A"/>
    <w:rsid w:val="008C17FE"/>
    <w:rsid w:val="008C1A28"/>
    <w:rsid w:val="008C20F3"/>
    <w:rsid w:val="008C2945"/>
    <w:rsid w:val="008C29DB"/>
    <w:rsid w:val="008C2A8D"/>
    <w:rsid w:val="008C3523"/>
    <w:rsid w:val="008C3B72"/>
    <w:rsid w:val="008C3C94"/>
    <w:rsid w:val="008C3DD2"/>
    <w:rsid w:val="008C4638"/>
    <w:rsid w:val="008C4797"/>
    <w:rsid w:val="008C4B50"/>
    <w:rsid w:val="008C517C"/>
    <w:rsid w:val="008C571B"/>
    <w:rsid w:val="008C5B73"/>
    <w:rsid w:val="008C5E37"/>
    <w:rsid w:val="008C5F56"/>
    <w:rsid w:val="008C6898"/>
    <w:rsid w:val="008C68D9"/>
    <w:rsid w:val="008C6BD1"/>
    <w:rsid w:val="008C6FEE"/>
    <w:rsid w:val="008C7152"/>
    <w:rsid w:val="008C728C"/>
    <w:rsid w:val="008C733A"/>
    <w:rsid w:val="008C7646"/>
    <w:rsid w:val="008C7877"/>
    <w:rsid w:val="008D033A"/>
    <w:rsid w:val="008D0451"/>
    <w:rsid w:val="008D0770"/>
    <w:rsid w:val="008D1006"/>
    <w:rsid w:val="008D1194"/>
    <w:rsid w:val="008D1325"/>
    <w:rsid w:val="008D1601"/>
    <w:rsid w:val="008D1A6F"/>
    <w:rsid w:val="008D1EC3"/>
    <w:rsid w:val="008D2122"/>
    <w:rsid w:val="008D22FC"/>
    <w:rsid w:val="008D262D"/>
    <w:rsid w:val="008D26F9"/>
    <w:rsid w:val="008D2793"/>
    <w:rsid w:val="008D28CB"/>
    <w:rsid w:val="008D2BBE"/>
    <w:rsid w:val="008D371B"/>
    <w:rsid w:val="008D3798"/>
    <w:rsid w:val="008D3B20"/>
    <w:rsid w:val="008D3C21"/>
    <w:rsid w:val="008D3DD5"/>
    <w:rsid w:val="008D3EBE"/>
    <w:rsid w:val="008D4115"/>
    <w:rsid w:val="008D41FA"/>
    <w:rsid w:val="008D452C"/>
    <w:rsid w:val="008D4A31"/>
    <w:rsid w:val="008D5121"/>
    <w:rsid w:val="008D5122"/>
    <w:rsid w:val="008D5360"/>
    <w:rsid w:val="008D64DF"/>
    <w:rsid w:val="008D6CAE"/>
    <w:rsid w:val="008D7335"/>
    <w:rsid w:val="008D7667"/>
    <w:rsid w:val="008D7A83"/>
    <w:rsid w:val="008D7ACC"/>
    <w:rsid w:val="008E030D"/>
    <w:rsid w:val="008E0778"/>
    <w:rsid w:val="008E0FFE"/>
    <w:rsid w:val="008E12FF"/>
    <w:rsid w:val="008E1E41"/>
    <w:rsid w:val="008E1EB5"/>
    <w:rsid w:val="008E1F73"/>
    <w:rsid w:val="008E20C4"/>
    <w:rsid w:val="008E2C81"/>
    <w:rsid w:val="008E3AA3"/>
    <w:rsid w:val="008E408D"/>
    <w:rsid w:val="008E40D9"/>
    <w:rsid w:val="008E4256"/>
    <w:rsid w:val="008E46CA"/>
    <w:rsid w:val="008E4F22"/>
    <w:rsid w:val="008E50BC"/>
    <w:rsid w:val="008E50D7"/>
    <w:rsid w:val="008E5649"/>
    <w:rsid w:val="008E56F8"/>
    <w:rsid w:val="008E57E4"/>
    <w:rsid w:val="008E5A60"/>
    <w:rsid w:val="008E5B37"/>
    <w:rsid w:val="008E5C4B"/>
    <w:rsid w:val="008E65DB"/>
    <w:rsid w:val="008E6808"/>
    <w:rsid w:val="008E68F7"/>
    <w:rsid w:val="008E6982"/>
    <w:rsid w:val="008E6C7A"/>
    <w:rsid w:val="008E6F2F"/>
    <w:rsid w:val="008E710D"/>
    <w:rsid w:val="008E7112"/>
    <w:rsid w:val="008E738F"/>
    <w:rsid w:val="008E770C"/>
    <w:rsid w:val="008E7935"/>
    <w:rsid w:val="008E7CE8"/>
    <w:rsid w:val="008E7E67"/>
    <w:rsid w:val="008E7E76"/>
    <w:rsid w:val="008E7F13"/>
    <w:rsid w:val="008E7F6E"/>
    <w:rsid w:val="008F0442"/>
    <w:rsid w:val="008F0499"/>
    <w:rsid w:val="008F04ED"/>
    <w:rsid w:val="008F0999"/>
    <w:rsid w:val="008F17FD"/>
    <w:rsid w:val="008F1BE0"/>
    <w:rsid w:val="008F2031"/>
    <w:rsid w:val="008F205F"/>
    <w:rsid w:val="008F20B3"/>
    <w:rsid w:val="008F3127"/>
    <w:rsid w:val="008F3286"/>
    <w:rsid w:val="008F3612"/>
    <w:rsid w:val="008F4B3D"/>
    <w:rsid w:val="008F4BFD"/>
    <w:rsid w:val="008F4C11"/>
    <w:rsid w:val="008F5119"/>
    <w:rsid w:val="008F540F"/>
    <w:rsid w:val="008F60FC"/>
    <w:rsid w:val="008F618C"/>
    <w:rsid w:val="008F637A"/>
    <w:rsid w:val="008F6396"/>
    <w:rsid w:val="008F6851"/>
    <w:rsid w:val="008F68E8"/>
    <w:rsid w:val="008F6CF1"/>
    <w:rsid w:val="008F6FB4"/>
    <w:rsid w:val="008F72B9"/>
    <w:rsid w:val="008F758E"/>
    <w:rsid w:val="008F765D"/>
    <w:rsid w:val="008F76DB"/>
    <w:rsid w:val="008F7A75"/>
    <w:rsid w:val="008F7C0E"/>
    <w:rsid w:val="009006DA"/>
    <w:rsid w:val="00900A37"/>
    <w:rsid w:val="00900B08"/>
    <w:rsid w:val="00901859"/>
    <w:rsid w:val="00901E88"/>
    <w:rsid w:val="009023A9"/>
    <w:rsid w:val="00902502"/>
    <w:rsid w:val="00903B1B"/>
    <w:rsid w:val="00903B6D"/>
    <w:rsid w:val="009049A5"/>
    <w:rsid w:val="00904FBA"/>
    <w:rsid w:val="00905631"/>
    <w:rsid w:val="00905E75"/>
    <w:rsid w:val="00905EE1"/>
    <w:rsid w:val="00906135"/>
    <w:rsid w:val="009062E7"/>
    <w:rsid w:val="0090661D"/>
    <w:rsid w:val="0090745B"/>
    <w:rsid w:val="009075BF"/>
    <w:rsid w:val="0090781C"/>
    <w:rsid w:val="00907ACC"/>
    <w:rsid w:val="00907B5D"/>
    <w:rsid w:val="00907D8B"/>
    <w:rsid w:val="0091017E"/>
    <w:rsid w:val="00910387"/>
    <w:rsid w:val="009103C9"/>
    <w:rsid w:val="0091058F"/>
    <w:rsid w:val="00910764"/>
    <w:rsid w:val="00910D88"/>
    <w:rsid w:val="009113D0"/>
    <w:rsid w:val="00911423"/>
    <w:rsid w:val="009122C1"/>
    <w:rsid w:val="00912AE5"/>
    <w:rsid w:val="00912B4B"/>
    <w:rsid w:val="00912BD6"/>
    <w:rsid w:val="00913FC4"/>
    <w:rsid w:val="0091402F"/>
    <w:rsid w:val="00914600"/>
    <w:rsid w:val="0091474C"/>
    <w:rsid w:val="009147E7"/>
    <w:rsid w:val="009149BE"/>
    <w:rsid w:val="00914B62"/>
    <w:rsid w:val="00914C28"/>
    <w:rsid w:val="00914D9A"/>
    <w:rsid w:val="00914F35"/>
    <w:rsid w:val="0091638A"/>
    <w:rsid w:val="009164C3"/>
    <w:rsid w:val="00916603"/>
    <w:rsid w:val="00916B84"/>
    <w:rsid w:val="00916CB8"/>
    <w:rsid w:val="00916FB5"/>
    <w:rsid w:val="009175AE"/>
    <w:rsid w:val="00917C1C"/>
    <w:rsid w:val="009202D3"/>
    <w:rsid w:val="0092079A"/>
    <w:rsid w:val="00921039"/>
    <w:rsid w:val="009219B2"/>
    <w:rsid w:val="00921F87"/>
    <w:rsid w:val="00922475"/>
    <w:rsid w:val="009227CD"/>
    <w:rsid w:val="009228EF"/>
    <w:rsid w:val="00922DC5"/>
    <w:rsid w:val="00923759"/>
    <w:rsid w:val="00924857"/>
    <w:rsid w:val="009253D1"/>
    <w:rsid w:val="00925623"/>
    <w:rsid w:val="00925768"/>
    <w:rsid w:val="00926028"/>
    <w:rsid w:val="0092617B"/>
    <w:rsid w:val="009261B9"/>
    <w:rsid w:val="00926656"/>
    <w:rsid w:val="00926E02"/>
    <w:rsid w:val="00926FE3"/>
    <w:rsid w:val="009270CB"/>
    <w:rsid w:val="00927366"/>
    <w:rsid w:val="00927CB8"/>
    <w:rsid w:val="00930052"/>
    <w:rsid w:val="0093006A"/>
    <w:rsid w:val="00930356"/>
    <w:rsid w:val="00930E5D"/>
    <w:rsid w:val="00930FE4"/>
    <w:rsid w:val="009314D1"/>
    <w:rsid w:val="0093158D"/>
    <w:rsid w:val="00931653"/>
    <w:rsid w:val="00931684"/>
    <w:rsid w:val="0093172E"/>
    <w:rsid w:val="00931934"/>
    <w:rsid w:val="00932420"/>
    <w:rsid w:val="0093266B"/>
    <w:rsid w:val="00932842"/>
    <w:rsid w:val="0093290E"/>
    <w:rsid w:val="00933294"/>
    <w:rsid w:val="009333C7"/>
    <w:rsid w:val="00933479"/>
    <w:rsid w:val="00934AEF"/>
    <w:rsid w:val="00934F3D"/>
    <w:rsid w:val="0093545C"/>
    <w:rsid w:val="0093571C"/>
    <w:rsid w:val="00935DC4"/>
    <w:rsid w:val="009367BC"/>
    <w:rsid w:val="0093693E"/>
    <w:rsid w:val="00936DEF"/>
    <w:rsid w:val="00937AF9"/>
    <w:rsid w:val="0094012C"/>
    <w:rsid w:val="0094020A"/>
    <w:rsid w:val="00940E33"/>
    <w:rsid w:val="00940F58"/>
    <w:rsid w:val="009410DA"/>
    <w:rsid w:val="009411B5"/>
    <w:rsid w:val="00941206"/>
    <w:rsid w:val="00941D08"/>
    <w:rsid w:val="00942148"/>
    <w:rsid w:val="00942168"/>
    <w:rsid w:val="00942541"/>
    <w:rsid w:val="0094270D"/>
    <w:rsid w:val="009428F2"/>
    <w:rsid w:val="009429B0"/>
    <w:rsid w:val="00942C1C"/>
    <w:rsid w:val="00944002"/>
    <w:rsid w:val="009448C7"/>
    <w:rsid w:val="009449AE"/>
    <w:rsid w:val="009456ED"/>
    <w:rsid w:val="00945F07"/>
    <w:rsid w:val="00945FDE"/>
    <w:rsid w:val="0094639A"/>
    <w:rsid w:val="00947185"/>
    <w:rsid w:val="00947515"/>
    <w:rsid w:val="0094775F"/>
    <w:rsid w:val="00947965"/>
    <w:rsid w:val="00947AA9"/>
    <w:rsid w:val="00947C9F"/>
    <w:rsid w:val="00950EC0"/>
    <w:rsid w:val="00951672"/>
    <w:rsid w:val="00951B2A"/>
    <w:rsid w:val="00951DF8"/>
    <w:rsid w:val="00952312"/>
    <w:rsid w:val="00952355"/>
    <w:rsid w:val="00952852"/>
    <w:rsid w:val="009529E6"/>
    <w:rsid w:val="009536D5"/>
    <w:rsid w:val="00953E98"/>
    <w:rsid w:val="0095410C"/>
    <w:rsid w:val="0095424D"/>
    <w:rsid w:val="009547E6"/>
    <w:rsid w:val="00954CA4"/>
    <w:rsid w:val="00955813"/>
    <w:rsid w:val="00955B1E"/>
    <w:rsid w:val="00956161"/>
    <w:rsid w:val="00956320"/>
    <w:rsid w:val="00956A1E"/>
    <w:rsid w:val="00956B71"/>
    <w:rsid w:val="009570E7"/>
    <w:rsid w:val="009575C3"/>
    <w:rsid w:val="00957E08"/>
    <w:rsid w:val="009608FC"/>
    <w:rsid w:val="009609A0"/>
    <w:rsid w:val="00960AFA"/>
    <w:rsid w:val="00961328"/>
    <w:rsid w:val="00961F5A"/>
    <w:rsid w:val="00962D7E"/>
    <w:rsid w:val="00962D92"/>
    <w:rsid w:val="00962E48"/>
    <w:rsid w:val="00962FFC"/>
    <w:rsid w:val="009639A6"/>
    <w:rsid w:val="00963AE4"/>
    <w:rsid w:val="00963FE1"/>
    <w:rsid w:val="009644C4"/>
    <w:rsid w:val="009647CB"/>
    <w:rsid w:val="00964B6B"/>
    <w:rsid w:val="00964C11"/>
    <w:rsid w:val="00964C5C"/>
    <w:rsid w:val="00964C73"/>
    <w:rsid w:val="00965413"/>
    <w:rsid w:val="00966187"/>
    <w:rsid w:val="0096682C"/>
    <w:rsid w:val="009669C6"/>
    <w:rsid w:val="00966B9E"/>
    <w:rsid w:val="009670E6"/>
    <w:rsid w:val="009671BF"/>
    <w:rsid w:val="00967789"/>
    <w:rsid w:val="009678F3"/>
    <w:rsid w:val="00967AD3"/>
    <w:rsid w:val="00967CA7"/>
    <w:rsid w:val="00967D1A"/>
    <w:rsid w:val="0097037A"/>
    <w:rsid w:val="0097069D"/>
    <w:rsid w:val="00971407"/>
    <w:rsid w:val="0097172C"/>
    <w:rsid w:val="0097214C"/>
    <w:rsid w:val="009723E4"/>
    <w:rsid w:val="0097244A"/>
    <w:rsid w:val="009726FF"/>
    <w:rsid w:val="00972738"/>
    <w:rsid w:val="00972953"/>
    <w:rsid w:val="00972983"/>
    <w:rsid w:val="00972AA9"/>
    <w:rsid w:val="00973586"/>
    <w:rsid w:val="009736BB"/>
    <w:rsid w:val="00973752"/>
    <w:rsid w:val="009739BD"/>
    <w:rsid w:val="00973B9B"/>
    <w:rsid w:val="00973E3C"/>
    <w:rsid w:val="0097404F"/>
    <w:rsid w:val="00975107"/>
    <w:rsid w:val="00975230"/>
    <w:rsid w:val="009757F7"/>
    <w:rsid w:val="00975C00"/>
    <w:rsid w:val="00975C83"/>
    <w:rsid w:val="0097609F"/>
    <w:rsid w:val="009769FA"/>
    <w:rsid w:val="00976A0B"/>
    <w:rsid w:val="00976F7A"/>
    <w:rsid w:val="00977216"/>
    <w:rsid w:val="0098000A"/>
    <w:rsid w:val="00980581"/>
    <w:rsid w:val="0098182D"/>
    <w:rsid w:val="00981ABA"/>
    <w:rsid w:val="009821F3"/>
    <w:rsid w:val="00982983"/>
    <w:rsid w:val="00982DF8"/>
    <w:rsid w:val="009830DE"/>
    <w:rsid w:val="009837BF"/>
    <w:rsid w:val="00983EDD"/>
    <w:rsid w:val="0098416D"/>
    <w:rsid w:val="0098514F"/>
    <w:rsid w:val="009855E9"/>
    <w:rsid w:val="00985D72"/>
    <w:rsid w:val="00985DEE"/>
    <w:rsid w:val="009860EA"/>
    <w:rsid w:val="0098693D"/>
    <w:rsid w:val="009870DA"/>
    <w:rsid w:val="0098728F"/>
    <w:rsid w:val="00987C45"/>
    <w:rsid w:val="00987F91"/>
    <w:rsid w:val="009903A3"/>
    <w:rsid w:val="009904F3"/>
    <w:rsid w:val="00990655"/>
    <w:rsid w:val="00990B40"/>
    <w:rsid w:val="00991CF6"/>
    <w:rsid w:val="00992922"/>
    <w:rsid w:val="0099294C"/>
    <w:rsid w:val="009930CE"/>
    <w:rsid w:val="00993108"/>
    <w:rsid w:val="00993F64"/>
    <w:rsid w:val="00994AA8"/>
    <w:rsid w:val="00994E31"/>
    <w:rsid w:val="0099526E"/>
    <w:rsid w:val="00995354"/>
    <w:rsid w:val="009953CC"/>
    <w:rsid w:val="0099548B"/>
    <w:rsid w:val="00995AAA"/>
    <w:rsid w:val="00995F4E"/>
    <w:rsid w:val="00996225"/>
    <w:rsid w:val="009964D2"/>
    <w:rsid w:val="009968B7"/>
    <w:rsid w:val="009968FA"/>
    <w:rsid w:val="00996E2B"/>
    <w:rsid w:val="00996EA3"/>
    <w:rsid w:val="00997283"/>
    <w:rsid w:val="00997FE6"/>
    <w:rsid w:val="009A03A5"/>
    <w:rsid w:val="009A0A56"/>
    <w:rsid w:val="009A0BA1"/>
    <w:rsid w:val="009A137A"/>
    <w:rsid w:val="009A194F"/>
    <w:rsid w:val="009A1B43"/>
    <w:rsid w:val="009A1BFA"/>
    <w:rsid w:val="009A22D1"/>
    <w:rsid w:val="009A3811"/>
    <w:rsid w:val="009A3C1A"/>
    <w:rsid w:val="009A3C2E"/>
    <w:rsid w:val="009A4452"/>
    <w:rsid w:val="009A59CE"/>
    <w:rsid w:val="009A5DC2"/>
    <w:rsid w:val="009A6083"/>
    <w:rsid w:val="009A61A7"/>
    <w:rsid w:val="009A6EC6"/>
    <w:rsid w:val="009A714A"/>
    <w:rsid w:val="009A796A"/>
    <w:rsid w:val="009A7C93"/>
    <w:rsid w:val="009A7ECA"/>
    <w:rsid w:val="009B0491"/>
    <w:rsid w:val="009B0802"/>
    <w:rsid w:val="009B0A4A"/>
    <w:rsid w:val="009B0B41"/>
    <w:rsid w:val="009B0C0F"/>
    <w:rsid w:val="009B0CD7"/>
    <w:rsid w:val="009B18ED"/>
    <w:rsid w:val="009B190A"/>
    <w:rsid w:val="009B1C6B"/>
    <w:rsid w:val="009B2ACE"/>
    <w:rsid w:val="009B34AF"/>
    <w:rsid w:val="009B35DE"/>
    <w:rsid w:val="009B3E86"/>
    <w:rsid w:val="009B4A90"/>
    <w:rsid w:val="009B4B81"/>
    <w:rsid w:val="009B4E8F"/>
    <w:rsid w:val="009B53CD"/>
    <w:rsid w:val="009B594D"/>
    <w:rsid w:val="009B5E2A"/>
    <w:rsid w:val="009B6325"/>
    <w:rsid w:val="009B6BB3"/>
    <w:rsid w:val="009B6CA2"/>
    <w:rsid w:val="009B75C0"/>
    <w:rsid w:val="009B775A"/>
    <w:rsid w:val="009B7C7A"/>
    <w:rsid w:val="009C028B"/>
    <w:rsid w:val="009C08F2"/>
    <w:rsid w:val="009C0A45"/>
    <w:rsid w:val="009C0AED"/>
    <w:rsid w:val="009C14A8"/>
    <w:rsid w:val="009C152C"/>
    <w:rsid w:val="009C21A2"/>
    <w:rsid w:val="009C2715"/>
    <w:rsid w:val="009C29B0"/>
    <w:rsid w:val="009C37ED"/>
    <w:rsid w:val="009C3CDC"/>
    <w:rsid w:val="009C4526"/>
    <w:rsid w:val="009C4B6F"/>
    <w:rsid w:val="009C5006"/>
    <w:rsid w:val="009C6649"/>
    <w:rsid w:val="009C68CE"/>
    <w:rsid w:val="009C6C5E"/>
    <w:rsid w:val="009C74DD"/>
    <w:rsid w:val="009C7BA5"/>
    <w:rsid w:val="009C7D03"/>
    <w:rsid w:val="009D0B12"/>
    <w:rsid w:val="009D16D0"/>
    <w:rsid w:val="009D16DD"/>
    <w:rsid w:val="009D1A53"/>
    <w:rsid w:val="009D2B5E"/>
    <w:rsid w:val="009D2D57"/>
    <w:rsid w:val="009D2EBB"/>
    <w:rsid w:val="009D3176"/>
    <w:rsid w:val="009D3187"/>
    <w:rsid w:val="009D31CE"/>
    <w:rsid w:val="009D3263"/>
    <w:rsid w:val="009D3297"/>
    <w:rsid w:val="009D3700"/>
    <w:rsid w:val="009D3A96"/>
    <w:rsid w:val="009D3F71"/>
    <w:rsid w:val="009D4468"/>
    <w:rsid w:val="009D4750"/>
    <w:rsid w:val="009D499F"/>
    <w:rsid w:val="009D51BF"/>
    <w:rsid w:val="009D522B"/>
    <w:rsid w:val="009D5AE8"/>
    <w:rsid w:val="009D5B7F"/>
    <w:rsid w:val="009D6338"/>
    <w:rsid w:val="009D65BB"/>
    <w:rsid w:val="009D701B"/>
    <w:rsid w:val="009D727D"/>
    <w:rsid w:val="009D7503"/>
    <w:rsid w:val="009D7BE0"/>
    <w:rsid w:val="009D7C71"/>
    <w:rsid w:val="009E05F9"/>
    <w:rsid w:val="009E07F2"/>
    <w:rsid w:val="009E0CE8"/>
    <w:rsid w:val="009E0D0E"/>
    <w:rsid w:val="009E0D57"/>
    <w:rsid w:val="009E1598"/>
    <w:rsid w:val="009E1F74"/>
    <w:rsid w:val="009E2056"/>
    <w:rsid w:val="009E24B2"/>
    <w:rsid w:val="009E2790"/>
    <w:rsid w:val="009E27E5"/>
    <w:rsid w:val="009E27E8"/>
    <w:rsid w:val="009E2C23"/>
    <w:rsid w:val="009E2CDB"/>
    <w:rsid w:val="009E307D"/>
    <w:rsid w:val="009E3651"/>
    <w:rsid w:val="009E3A3E"/>
    <w:rsid w:val="009E3BB3"/>
    <w:rsid w:val="009E3CE4"/>
    <w:rsid w:val="009E3F6F"/>
    <w:rsid w:val="009E577B"/>
    <w:rsid w:val="009E599F"/>
    <w:rsid w:val="009E5D9F"/>
    <w:rsid w:val="009E600E"/>
    <w:rsid w:val="009E60BF"/>
    <w:rsid w:val="009E642E"/>
    <w:rsid w:val="009E6D9C"/>
    <w:rsid w:val="009E7080"/>
    <w:rsid w:val="009E7676"/>
    <w:rsid w:val="009E7882"/>
    <w:rsid w:val="009E7A28"/>
    <w:rsid w:val="009E7E39"/>
    <w:rsid w:val="009F0598"/>
    <w:rsid w:val="009F0787"/>
    <w:rsid w:val="009F07E0"/>
    <w:rsid w:val="009F0EB3"/>
    <w:rsid w:val="009F12D9"/>
    <w:rsid w:val="009F13B7"/>
    <w:rsid w:val="009F151B"/>
    <w:rsid w:val="009F1A1D"/>
    <w:rsid w:val="009F20B3"/>
    <w:rsid w:val="009F2385"/>
    <w:rsid w:val="009F24EC"/>
    <w:rsid w:val="009F2FCC"/>
    <w:rsid w:val="009F3261"/>
    <w:rsid w:val="009F326A"/>
    <w:rsid w:val="009F340D"/>
    <w:rsid w:val="009F3780"/>
    <w:rsid w:val="009F37B7"/>
    <w:rsid w:val="009F428D"/>
    <w:rsid w:val="009F4514"/>
    <w:rsid w:val="009F45A8"/>
    <w:rsid w:val="009F4C3C"/>
    <w:rsid w:val="009F5553"/>
    <w:rsid w:val="009F5AB9"/>
    <w:rsid w:val="009F5F15"/>
    <w:rsid w:val="009F670B"/>
    <w:rsid w:val="009F707C"/>
    <w:rsid w:val="009F7092"/>
    <w:rsid w:val="009F70EA"/>
    <w:rsid w:val="009F7302"/>
    <w:rsid w:val="009F78E4"/>
    <w:rsid w:val="009F79CB"/>
    <w:rsid w:val="009F7AE8"/>
    <w:rsid w:val="009F7BAC"/>
    <w:rsid w:val="009F7F1A"/>
    <w:rsid w:val="00A00570"/>
    <w:rsid w:val="00A00E49"/>
    <w:rsid w:val="00A0122A"/>
    <w:rsid w:val="00A02025"/>
    <w:rsid w:val="00A0254F"/>
    <w:rsid w:val="00A02850"/>
    <w:rsid w:val="00A0305B"/>
    <w:rsid w:val="00A03227"/>
    <w:rsid w:val="00A03714"/>
    <w:rsid w:val="00A03D51"/>
    <w:rsid w:val="00A04C41"/>
    <w:rsid w:val="00A054F7"/>
    <w:rsid w:val="00A05EEF"/>
    <w:rsid w:val="00A05F27"/>
    <w:rsid w:val="00A0604C"/>
    <w:rsid w:val="00A06604"/>
    <w:rsid w:val="00A06701"/>
    <w:rsid w:val="00A06718"/>
    <w:rsid w:val="00A06E16"/>
    <w:rsid w:val="00A06FAE"/>
    <w:rsid w:val="00A07113"/>
    <w:rsid w:val="00A07169"/>
    <w:rsid w:val="00A07256"/>
    <w:rsid w:val="00A074D5"/>
    <w:rsid w:val="00A07F3B"/>
    <w:rsid w:val="00A10592"/>
    <w:rsid w:val="00A107BC"/>
    <w:rsid w:val="00A108A2"/>
    <w:rsid w:val="00A1141F"/>
    <w:rsid w:val="00A11BCD"/>
    <w:rsid w:val="00A121DC"/>
    <w:rsid w:val="00A12426"/>
    <w:rsid w:val="00A1245F"/>
    <w:rsid w:val="00A12654"/>
    <w:rsid w:val="00A12741"/>
    <w:rsid w:val="00A12916"/>
    <w:rsid w:val="00A12AD2"/>
    <w:rsid w:val="00A12BA2"/>
    <w:rsid w:val="00A14C67"/>
    <w:rsid w:val="00A1524C"/>
    <w:rsid w:val="00A154C0"/>
    <w:rsid w:val="00A159F6"/>
    <w:rsid w:val="00A16130"/>
    <w:rsid w:val="00A161B7"/>
    <w:rsid w:val="00A1620A"/>
    <w:rsid w:val="00A1657C"/>
    <w:rsid w:val="00A1673B"/>
    <w:rsid w:val="00A16767"/>
    <w:rsid w:val="00A16EE5"/>
    <w:rsid w:val="00A17319"/>
    <w:rsid w:val="00A2018E"/>
    <w:rsid w:val="00A20BF9"/>
    <w:rsid w:val="00A20F2F"/>
    <w:rsid w:val="00A2150E"/>
    <w:rsid w:val="00A21752"/>
    <w:rsid w:val="00A222BD"/>
    <w:rsid w:val="00A22E4F"/>
    <w:rsid w:val="00A2306E"/>
    <w:rsid w:val="00A23D9F"/>
    <w:rsid w:val="00A24372"/>
    <w:rsid w:val="00A2452D"/>
    <w:rsid w:val="00A25077"/>
    <w:rsid w:val="00A25484"/>
    <w:rsid w:val="00A263D7"/>
    <w:rsid w:val="00A26AB5"/>
    <w:rsid w:val="00A27144"/>
    <w:rsid w:val="00A27B41"/>
    <w:rsid w:val="00A27DDC"/>
    <w:rsid w:val="00A30012"/>
    <w:rsid w:val="00A30066"/>
    <w:rsid w:val="00A30569"/>
    <w:rsid w:val="00A307CA"/>
    <w:rsid w:val="00A30DC2"/>
    <w:rsid w:val="00A30F21"/>
    <w:rsid w:val="00A3109A"/>
    <w:rsid w:val="00A31419"/>
    <w:rsid w:val="00A31600"/>
    <w:rsid w:val="00A31BD4"/>
    <w:rsid w:val="00A3241B"/>
    <w:rsid w:val="00A32E0A"/>
    <w:rsid w:val="00A32F01"/>
    <w:rsid w:val="00A32FE2"/>
    <w:rsid w:val="00A33157"/>
    <w:rsid w:val="00A33D6B"/>
    <w:rsid w:val="00A340FD"/>
    <w:rsid w:val="00A3423D"/>
    <w:rsid w:val="00A34C4D"/>
    <w:rsid w:val="00A35F3A"/>
    <w:rsid w:val="00A363C9"/>
    <w:rsid w:val="00A36771"/>
    <w:rsid w:val="00A37C7E"/>
    <w:rsid w:val="00A37D3F"/>
    <w:rsid w:val="00A405F8"/>
    <w:rsid w:val="00A40905"/>
    <w:rsid w:val="00A40B63"/>
    <w:rsid w:val="00A4114B"/>
    <w:rsid w:val="00A413FC"/>
    <w:rsid w:val="00A41441"/>
    <w:rsid w:val="00A415AA"/>
    <w:rsid w:val="00A4167C"/>
    <w:rsid w:val="00A419AD"/>
    <w:rsid w:val="00A41A1D"/>
    <w:rsid w:val="00A41D70"/>
    <w:rsid w:val="00A41D72"/>
    <w:rsid w:val="00A41E18"/>
    <w:rsid w:val="00A41F68"/>
    <w:rsid w:val="00A4204A"/>
    <w:rsid w:val="00A42145"/>
    <w:rsid w:val="00A4226E"/>
    <w:rsid w:val="00A4257F"/>
    <w:rsid w:val="00A431CF"/>
    <w:rsid w:val="00A43445"/>
    <w:rsid w:val="00A435CA"/>
    <w:rsid w:val="00A43AE6"/>
    <w:rsid w:val="00A43DA3"/>
    <w:rsid w:val="00A43E83"/>
    <w:rsid w:val="00A43F37"/>
    <w:rsid w:val="00A43FEC"/>
    <w:rsid w:val="00A44194"/>
    <w:rsid w:val="00A443B2"/>
    <w:rsid w:val="00A44599"/>
    <w:rsid w:val="00A445A2"/>
    <w:rsid w:val="00A449C0"/>
    <w:rsid w:val="00A44A2C"/>
    <w:rsid w:val="00A44CC1"/>
    <w:rsid w:val="00A44D62"/>
    <w:rsid w:val="00A451FD"/>
    <w:rsid w:val="00A4544B"/>
    <w:rsid w:val="00A467F5"/>
    <w:rsid w:val="00A46E27"/>
    <w:rsid w:val="00A4719E"/>
    <w:rsid w:val="00A47353"/>
    <w:rsid w:val="00A4759C"/>
    <w:rsid w:val="00A4776F"/>
    <w:rsid w:val="00A5000F"/>
    <w:rsid w:val="00A50043"/>
    <w:rsid w:val="00A50A14"/>
    <w:rsid w:val="00A50EFF"/>
    <w:rsid w:val="00A51648"/>
    <w:rsid w:val="00A516FE"/>
    <w:rsid w:val="00A518A7"/>
    <w:rsid w:val="00A51972"/>
    <w:rsid w:val="00A51DBA"/>
    <w:rsid w:val="00A522D2"/>
    <w:rsid w:val="00A52380"/>
    <w:rsid w:val="00A526D3"/>
    <w:rsid w:val="00A52A19"/>
    <w:rsid w:val="00A5319D"/>
    <w:rsid w:val="00A539B2"/>
    <w:rsid w:val="00A53B3C"/>
    <w:rsid w:val="00A541A6"/>
    <w:rsid w:val="00A546C7"/>
    <w:rsid w:val="00A546DE"/>
    <w:rsid w:val="00A54905"/>
    <w:rsid w:val="00A54AD4"/>
    <w:rsid w:val="00A54E60"/>
    <w:rsid w:val="00A555BA"/>
    <w:rsid w:val="00A55837"/>
    <w:rsid w:val="00A55C48"/>
    <w:rsid w:val="00A561B8"/>
    <w:rsid w:val="00A56844"/>
    <w:rsid w:val="00A56921"/>
    <w:rsid w:val="00A569E1"/>
    <w:rsid w:val="00A56E89"/>
    <w:rsid w:val="00A57059"/>
    <w:rsid w:val="00A5710E"/>
    <w:rsid w:val="00A571ED"/>
    <w:rsid w:val="00A5721E"/>
    <w:rsid w:val="00A57220"/>
    <w:rsid w:val="00A5734E"/>
    <w:rsid w:val="00A5752F"/>
    <w:rsid w:val="00A57E3C"/>
    <w:rsid w:val="00A6034B"/>
    <w:rsid w:val="00A60971"/>
    <w:rsid w:val="00A6109D"/>
    <w:rsid w:val="00A612D4"/>
    <w:rsid w:val="00A61FA2"/>
    <w:rsid w:val="00A62521"/>
    <w:rsid w:val="00A62F40"/>
    <w:rsid w:val="00A6356A"/>
    <w:rsid w:val="00A63C9C"/>
    <w:rsid w:val="00A6444A"/>
    <w:rsid w:val="00A64B7E"/>
    <w:rsid w:val="00A64BD6"/>
    <w:rsid w:val="00A65582"/>
    <w:rsid w:val="00A6686B"/>
    <w:rsid w:val="00A66F1E"/>
    <w:rsid w:val="00A6791C"/>
    <w:rsid w:val="00A67986"/>
    <w:rsid w:val="00A679C7"/>
    <w:rsid w:val="00A702A2"/>
    <w:rsid w:val="00A702A7"/>
    <w:rsid w:val="00A705C5"/>
    <w:rsid w:val="00A715E3"/>
    <w:rsid w:val="00A71BEA"/>
    <w:rsid w:val="00A71F1C"/>
    <w:rsid w:val="00A720AD"/>
    <w:rsid w:val="00A72301"/>
    <w:rsid w:val="00A724A5"/>
    <w:rsid w:val="00A7272B"/>
    <w:rsid w:val="00A727B1"/>
    <w:rsid w:val="00A72E14"/>
    <w:rsid w:val="00A72FFB"/>
    <w:rsid w:val="00A73B76"/>
    <w:rsid w:val="00A73C52"/>
    <w:rsid w:val="00A73F7A"/>
    <w:rsid w:val="00A7422C"/>
    <w:rsid w:val="00A74796"/>
    <w:rsid w:val="00A748F9"/>
    <w:rsid w:val="00A74D65"/>
    <w:rsid w:val="00A74E8C"/>
    <w:rsid w:val="00A75561"/>
    <w:rsid w:val="00A755E3"/>
    <w:rsid w:val="00A7565D"/>
    <w:rsid w:val="00A75839"/>
    <w:rsid w:val="00A759C1"/>
    <w:rsid w:val="00A763C3"/>
    <w:rsid w:val="00A7650F"/>
    <w:rsid w:val="00A765DD"/>
    <w:rsid w:val="00A77090"/>
    <w:rsid w:val="00A770C5"/>
    <w:rsid w:val="00A80018"/>
    <w:rsid w:val="00A802BD"/>
    <w:rsid w:val="00A803AC"/>
    <w:rsid w:val="00A8074A"/>
    <w:rsid w:val="00A807DE"/>
    <w:rsid w:val="00A80957"/>
    <w:rsid w:val="00A80EC1"/>
    <w:rsid w:val="00A8103C"/>
    <w:rsid w:val="00A81BDC"/>
    <w:rsid w:val="00A820B7"/>
    <w:rsid w:val="00A82F74"/>
    <w:rsid w:val="00A831F0"/>
    <w:rsid w:val="00A83380"/>
    <w:rsid w:val="00A835A1"/>
    <w:rsid w:val="00A83644"/>
    <w:rsid w:val="00A8369B"/>
    <w:rsid w:val="00A840A1"/>
    <w:rsid w:val="00A8537D"/>
    <w:rsid w:val="00A858E9"/>
    <w:rsid w:val="00A859AB"/>
    <w:rsid w:val="00A85A10"/>
    <w:rsid w:val="00A8638F"/>
    <w:rsid w:val="00A866BC"/>
    <w:rsid w:val="00A86D08"/>
    <w:rsid w:val="00A86E66"/>
    <w:rsid w:val="00A871D2"/>
    <w:rsid w:val="00A87494"/>
    <w:rsid w:val="00A8757C"/>
    <w:rsid w:val="00A87A48"/>
    <w:rsid w:val="00A87B38"/>
    <w:rsid w:val="00A87C68"/>
    <w:rsid w:val="00A87DDB"/>
    <w:rsid w:val="00A90B2C"/>
    <w:rsid w:val="00A90D9C"/>
    <w:rsid w:val="00A913E4"/>
    <w:rsid w:val="00A91765"/>
    <w:rsid w:val="00A91825"/>
    <w:rsid w:val="00A91B2E"/>
    <w:rsid w:val="00A9246D"/>
    <w:rsid w:val="00A925B1"/>
    <w:rsid w:val="00A9286C"/>
    <w:rsid w:val="00A92B50"/>
    <w:rsid w:val="00A92CF4"/>
    <w:rsid w:val="00A930C4"/>
    <w:rsid w:val="00A93374"/>
    <w:rsid w:val="00A93954"/>
    <w:rsid w:val="00A93FD3"/>
    <w:rsid w:val="00A944CD"/>
    <w:rsid w:val="00A94FE2"/>
    <w:rsid w:val="00A94FF8"/>
    <w:rsid w:val="00A958B9"/>
    <w:rsid w:val="00A96350"/>
    <w:rsid w:val="00A96B18"/>
    <w:rsid w:val="00A970EC"/>
    <w:rsid w:val="00A971FC"/>
    <w:rsid w:val="00A97256"/>
    <w:rsid w:val="00A97820"/>
    <w:rsid w:val="00A97DE0"/>
    <w:rsid w:val="00A97F1B"/>
    <w:rsid w:val="00A97FF9"/>
    <w:rsid w:val="00AA01C8"/>
    <w:rsid w:val="00AA0E96"/>
    <w:rsid w:val="00AA13A8"/>
    <w:rsid w:val="00AA151C"/>
    <w:rsid w:val="00AA167E"/>
    <w:rsid w:val="00AA1A85"/>
    <w:rsid w:val="00AA1C6F"/>
    <w:rsid w:val="00AA1DD5"/>
    <w:rsid w:val="00AA26A6"/>
    <w:rsid w:val="00AA27FC"/>
    <w:rsid w:val="00AA2947"/>
    <w:rsid w:val="00AA2B57"/>
    <w:rsid w:val="00AA2C8E"/>
    <w:rsid w:val="00AA2D74"/>
    <w:rsid w:val="00AA3445"/>
    <w:rsid w:val="00AA3AA9"/>
    <w:rsid w:val="00AA3C2F"/>
    <w:rsid w:val="00AA3DD5"/>
    <w:rsid w:val="00AA453F"/>
    <w:rsid w:val="00AA4AFE"/>
    <w:rsid w:val="00AA4CC8"/>
    <w:rsid w:val="00AA530A"/>
    <w:rsid w:val="00AA5331"/>
    <w:rsid w:val="00AA535F"/>
    <w:rsid w:val="00AA55A1"/>
    <w:rsid w:val="00AA576A"/>
    <w:rsid w:val="00AA6409"/>
    <w:rsid w:val="00AA7B34"/>
    <w:rsid w:val="00AA7CF6"/>
    <w:rsid w:val="00AB003A"/>
    <w:rsid w:val="00AB07AC"/>
    <w:rsid w:val="00AB0DE0"/>
    <w:rsid w:val="00AB1E5D"/>
    <w:rsid w:val="00AB245B"/>
    <w:rsid w:val="00AB2890"/>
    <w:rsid w:val="00AB3974"/>
    <w:rsid w:val="00AB3A91"/>
    <w:rsid w:val="00AB3D89"/>
    <w:rsid w:val="00AB3F4C"/>
    <w:rsid w:val="00AB41BB"/>
    <w:rsid w:val="00AB4481"/>
    <w:rsid w:val="00AB45B9"/>
    <w:rsid w:val="00AB4C78"/>
    <w:rsid w:val="00AB56C8"/>
    <w:rsid w:val="00AB617A"/>
    <w:rsid w:val="00AB6426"/>
    <w:rsid w:val="00AB6595"/>
    <w:rsid w:val="00AB66CF"/>
    <w:rsid w:val="00AB6B66"/>
    <w:rsid w:val="00AB6E4E"/>
    <w:rsid w:val="00AB7148"/>
    <w:rsid w:val="00AB7E11"/>
    <w:rsid w:val="00AC06C3"/>
    <w:rsid w:val="00AC0C6A"/>
    <w:rsid w:val="00AC0D3D"/>
    <w:rsid w:val="00AC0DA4"/>
    <w:rsid w:val="00AC0E37"/>
    <w:rsid w:val="00AC130F"/>
    <w:rsid w:val="00AC1F18"/>
    <w:rsid w:val="00AC2235"/>
    <w:rsid w:val="00AC25A3"/>
    <w:rsid w:val="00AC2C2B"/>
    <w:rsid w:val="00AC2D8A"/>
    <w:rsid w:val="00AC2F12"/>
    <w:rsid w:val="00AC3234"/>
    <w:rsid w:val="00AC331F"/>
    <w:rsid w:val="00AC346C"/>
    <w:rsid w:val="00AC4066"/>
    <w:rsid w:val="00AC4173"/>
    <w:rsid w:val="00AC4923"/>
    <w:rsid w:val="00AC4CBD"/>
    <w:rsid w:val="00AC5403"/>
    <w:rsid w:val="00AC594E"/>
    <w:rsid w:val="00AC5AA9"/>
    <w:rsid w:val="00AC6675"/>
    <w:rsid w:val="00AC6844"/>
    <w:rsid w:val="00AC690F"/>
    <w:rsid w:val="00AC6A18"/>
    <w:rsid w:val="00AC6B1D"/>
    <w:rsid w:val="00AC6E39"/>
    <w:rsid w:val="00AC7068"/>
    <w:rsid w:val="00AC7611"/>
    <w:rsid w:val="00AC77C9"/>
    <w:rsid w:val="00AC7E00"/>
    <w:rsid w:val="00AC7E1D"/>
    <w:rsid w:val="00AC7FF6"/>
    <w:rsid w:val="00AD0BD2"/>
    <w:rsid w:val="00AD0E8A"/>
    <w:rsid w:val="00AD0E8E"/>
    <w:rsid w:val="00AD0EDF"/>
    <w:rsid w:val="00AD1105"/>
    <w:rsid w:val="00AD1255"/>
    <w:rsid w:val="00AD130A"/>
    <w:rsid w:val="00AD1378"/>
    <w:rsid w:val="00AD15BC"/>
    <w:rsid w:val="00AD162D"/>
    <w:rsid w:val="00AD2935"/>
    <w:rsid w:val="00AD2BC3"/>
    <w:rsid w:val="00AD33F9"/>
    <w:rsid w:val="00AD3E2C"/>
    <w:rsid w:val="00AD44E7"/>
    <w:rsid w:val="00AD4DAD"/>
    <w:rsid w:val="00AD5161"/>
    <w:rsid w:val="00AD546D"/>
    <w:rsid w:val="00AD57FC"/>
    <w:rsid w:val="00AD6793"/>
    <w:rsid w:val="00AD6FF9"/>
    <w:rsid w:val="00AD71F1"/>
    <w:rsid w:val="00AD7510"/>
    <w:rsid w:val="00AE003B"/>
    <w:rsid w:val="00AE06D7"/>
    <w:rsid w:val="00AE0739"/>
    <w:rsid w:val="00AE0E8E"/>
    <w:rsid w:val="00AE106A"/>
    <w:rsid w:val="00AE10BA"/>
    <w:rsid w:val="00AE11AA"/>
    <w:rsid w:val="00AE13E9"/>
    <w:rsid w:val="00AE161D"/>
    <w:rsid w:val="00AE1D0C"/>
    <w:rsid w:val="00AE27C9"/>
    <w:rsid w:val="00AE371E"/>
    <w:rsid w:val="00AE3EAA"/>
    <w:rsid w:val="00AE4322"/>
    <w:rsid w:val="00AE48C0"/>
    <w:rsid w:val="00AE4AC6"/>
    <w:rsid w:val="00AE51DD"/>
    <w:rsid w:val="00AE5BD8"/>
    <w:rsid w:val="00AE64DA"/>
    <w:rsid w:val="00AE6D6B"/>
    <w:rsid w:val="00AE6D89"/>
    <w:rsid w:val="00AE6DAE"/>
    <w:rsid w:val="00AE766E"/>
    <w:rsid w:val="00AF001E"/>
    <w:rsid w:val="00AF08DA"/>
    <w:rsid w:val="00AF1027"/>
    <w:rsid w:val="00AF1171"/>
    <w:rsid w:val="00AF17E8"/>
    <w:rsid w:val="00AF1A8A"/>
    <w:rsid w:val="00AF1D40"/>
    <w:rsid w:val="00AF1E7A"/>
    <w:rsid w:val="00AF200D"/>
    <w:rsid w:val="00AF31ED"/>
    <w:rsid w:val="00AF31F7"/>
    <w:rsid w:val="00AF35A7"/>
    <w:rsid w:val="00AF378A"/>
    <w:rsid w:val="00AF3EB4"/>
    <w:rsid w:val="00AF3F14"/>
    <w:rsid w:val="00AF42C4"/>
    <w:rsid w:val="00AF46B1"/>
    <w:rsid w:val="00AF49DA"/>
    <w:rsid w:val="00AF4E1A"/>
    <w:rsid w:val="00AF5018"/>
    <w:rsid w:val="00AF5091"/>
    <w:rsid w:val="00AF555F"/>
    <w:rsid w:val="00AF5CA1"/>
    <w:rsid w:val="00AF6189"/>
    <w:rsid w:val="00AF6771"/>
    <w:rsid w:val="00AF688D"/>
    <w:rsid w:val="00AF6A1D"/>
    <w:rsid w:val="00AF6A3A"/>
    <w:rsid w:val="00AF6F27"/>
    <w:rsid w:val="00AF7092"/>
    <w:rsid w:val="00AF72B3"/>
    <w:rsid w:val="00AF74B9"/>
    <w:rsid w:val="00B00153"/>
    <w:rsid w:val="00B0040D"/>
    <w:rsid w:val="00B00BF5"/>
    <w:rsid w:val="00B00FC9"/>
    <w:rsid w:val="00B00FFC"/>
    <w:rsid w:val="00B014AE"/>
    <w:rsid w:val="00B0154D"/>
    <w:rsid w:val="00B019F3"/>
    <w:rsid w:val="00B01BD0"/>
    <w:rsid w:val="00B02209"/>
    <w:rsid w:val="00B0235A"/>
    <w:rsid w:val="00B02A96"/>
    <w:rsid w:val="00B02BAE"/>
    <w:rsid w:val="00B02C61"/>
    <w:rsid w:val="00B02DEC"/>
    <w:rsid w:val="00B02FB9"/>
    <w:rsid w:val="00B031C4"/>
    <w:rsid w:val="00B03357"/>
    <w:rsid w:val="00B035AD"/>
    <w:rsid w:val="00B03744"/>
    <w:rsid w:val="00B0482C"/>
    <w:rsid w:val="00B04843"/>
    <w:rsid w:val="00B04ADF"/>
    <w:rsid w:val="00B05321"/>
    <w:rsid w:val="00B055D6"/>
    <w:rsid w:val="00B05760"/>
    <w:rsid w:val="00B05B24"/>
    <w:rsid w:val="00B05FFD"/>
    <w:rsid w:val="00B0636C"/>
    <w:rsid w:val="00B063C1"/>
    <w:rsid w:val="00B0653B"/>
    <w:rsid w:val="00B06941"/>
    <w:rsid w:val="00B071E2"/>
    <w:rsid w:val="00B0725A"/>
    <w:rsid w:val="00B07407"/>
    <w:rsid w:val="00B0760C"/>
    <w:rsid w:val="00B07B0F"/>
    <w:rsid w:val="00B07C62"/>
    <w:rsid w:val="00B07ECF"/>
    <w:rsid w:val="00B10AD1"/>
    <w:rsid w:val="00B11FA8"/>
    <w:rsid w:val="00B122C7"/>
    <w:rsid w:val="00B12780"/>
    <w:rsid w:val="00B12F0B"/>
    <w:rsid w:val="00B13A39"/>
    <w:rsid w:val="00B14290"/>
    <w:rsid w:val="00B142DB"/>
    <w:rsid w:val="00B14A60"/>
    <w:rsid w:val="00B15A81"/>
    <w:rsid w:val="00B1616D"/>
    <w:rsid w:val="00B16351"/>
    <w:rsid w:val="00B16925"/>
    <w:rsid w:val="00B1699F"/>
    <w:rsid w:val="00B16D48"/>
    <w:rsid w:val="00B16E65"/>
    <w:rsid w:val="00B1758D"/>
    <w:rsid w:val="00B179A0"/>
    <w:rsid w:val="00B201C9"/>
    <w:rsid w:val="00B204CF"/>
    <w:rsid w:val="00B20A4F"/>
    <w:rsid w:val="00B20EE6"/>
    <w:rsid w:val="00B20F8F"/>
    <w:rsid w:val="00B21212"/>
    <w:rsid w:val="00B2178F"/>
    <w:rsid w:val="00B21936"/>
    <w:rsid w:val="00B21B26"/>
    <w:rsid w:val="00B21BA7"/>
    <w:rsid w:val="00B220AF"/>
    <w:rsid w:val="00B23098"/>
    <w:rsid w:val="00B24116"/>
    <w:rsid w:val="00B24341"/>
    <w:rsid w:val="00B248FD"/>
    <w:rsid w:val="00B24997"/>
    <w:rsid w:val="00B249E1"/>
    <w:rsid w:val="00B250D1"/>
    <w:rsid w:val="00B25312"/>
    <w:rsid w:val="00B259DC"/>
    <w:rsid w:val="00B25DEE"/>
    <w:rsid w:val="00B260F8"/>
    <w:rsid w:val="00B264EC"/>
    <w:rsid w:val="00B265E5"/>
    <w:rsid w:val="00B268B1"/>
    <w:rsid w:val="00B26EA1"/>
    <w:rsid w:val="00B26EB0"/>
    <w:rsid w:val="00B277CA"/>
    <w:rsid w:val="00B27AAB"/>
    <w:rsid w:val="00B3031C"/>
    <w:rsid w:val="00B308F3"/>
    <w:rsid w:val="00B3110D"/>
    <w:rsid w:val="00B31424"/>
    <w:rsid w:val="00B3167B"/>
    <w:rsid w:val="00B31877"/>
    <w:rsid w:val="00B31A8A"/>
    <w:rsid w:val="00B31EB2"/>
    <w:rsid w:val="00B31FFA"/>
    <w:rsid w:val="00B321DE"/>
    <w:rsid w:val="00B32595"/>
    <w:rsid w:val="00B32C67"/>
    <w:rsid w:val="00B32E97"/>
    <w:rsid w:val="00B33331"/>
    <w:rsid w:val="00B338BA"/>
    <w:rsid w:val="00B33E36"/>
    <w:rsid w:val="00B34963"/>
    <w:rsid w:val="00B34C98"/>
    <w:rsid w:val="00B34EFE"/>
    <w:rsid w:val="00B3506F"/>
    <w:rsid w:val="00B3522E"/>
    <w:rsid w:val="00B354A3"/>
    <w:rsid w:val="00B35D04"/>
    <w:rsid w:val="00B364FF"/>
    <w:rsid w:val="00B36D0B"/>
    <w:rsid w:val="00B3799C"/>
    <w:rsid w:val="00B37DE2"/>
    <w:rsid w:val="00B40187"/>
    <w:rsid w:val="00B411BE"/>
    <w:rsid w:val="00B41770"/>
    <w:rsid w:val="00B41A41"/>
    <w:rsid w:val="00B41CEA"/>
    <w:rsid w:val="00B42763"/>
    <w:rsid w:val="00B42EC3"/>
    <w:rsid w:val="00B42F21"/>
    <w:rsid w:val="00B43013"/>
    <w:rsid w:val="00B43DA5"/>
    <w:rsid w:val="00B441D4"/>
    <w:rsid w:val="00B44B5A"/>
    <w:rsid w:val="00B44D09"/>
    <w:rsid w:val="00B450BE"/>
    <w:rsid w:val="00B451E9"/>
    <w:rsid w:val="00B457D9"/>
    <w:rsid w:val="00B45DA6"/>
    <w:rsid w:val="00B45DD4"/>
    <w:rsid w:val="00B46292"/>
    <w:rsid w:val="00B462C9"/>
    <w:rsid w:val="00B46684"/>
    <w:rsid w:val="00B4779F"/>
    <w:rsid w:val="00B47D26"/>
    <w:rsid w:val="00B50091"/>
    <w:rsid w:val="00B501CA"/>
    <w:rsid w:val="00B50531"/>
    <w:rsid w:val="00B5064F"/>
    <w:rsid w:val="00B506CD"/>
    <w:rsid w:val="00B50CAA"/>
    <w:rsid w:val="00B50FED"/>
    <w:rsid w:val="00B511D0"/>
    <w:rsid w:val="00B5168A"/>
    <w:rsid w:val="00B5204C"/>
    <w:rsid w:val="00B52F14"/>
    <w:rsid w:val="00B5322C"/>
    <w:rsid w:val="00B5385B"/>
    <w:rsid w:val="00B53A1E"/>
    <w:rsid w:val="00B53BA6"/>
    <w:rsid w:val="00B53CD3"/>
    <w:rsid w:val="00B53D84"/>
    <w:rsid w:val="00B546B5"/>
    <w:rsid w:val="00B55785"/>
    <w:rsid w:val="00B55C72"/>
    <w:rsid w:val="00B55E42"/>
    <w:rsid w:val="00B55FC8"/>
    <w:rsid w:val="00B5641D"/>
    <w:rsid w:val="00B56841"/>
    <w:rsid w:val="00B569BE"/>
    <w:rsid w:val="00B56CB6"/>
    <w:rsid w:val="00B57847"/>
    <w:rsid w:val="00B6049A"/>
    <w:rsid w:val="00B605A1"/>
    <w:rsid w:val="00B60DEE"/>
    <w:rsid w:val="00B612FF"/>
    <w:rsid w:val="00B62367"/>
    <w:rsid w:val="00B6238D"/>
    <w:rsid w:val="00B6284F"/>
    <w:rsid w:val="00B62D08"/>
    <w:rsid w:val="00B62ED4"/>
    <w:rsid w:val="00B63ABF"/>
    <w:rsid w:val="00B64046"/>
    <w:rsid w:val="00B6426C"/>
    <w:rsid w:val="00B64683"/>
    <w:rsid w:val="00B64F44"/>
    <w:rsid w:val="00B651DB"/>
    <w:rsid w:val="00B66A79"/>
    <w:rsid w:val="00B6781B"/>
    <w:rsid w:val="00B67C5B"/>
    <w:rsid w:val="00B67E43"/>
    <w:rsid w:val="00B70440"/>
    <w:rsid w:val="00B70BA7"/>
    <w:rsid w:val="00B70E81"/>
    <w:rsid w:val="00B72003"/>
    <w:rsid w:val="00B72326"/>
    <w:rsid w:val="00B72331"/>
    <w:rsid w:val="00B72784"/>
    <w:rsid w:val="00B72A64"/>
    <w:rsid w:val="00B72CA6"/>
    <w:rsid w:val="00B72E03"/>
    <w:rsid w:val="00B72FF2"/>
    <w:rsid w:val="00B731E1"/>
    <w:rsid w:val="00B73394"/>
    <w:rsid w:val="00B737BA"/>
    <w:rsid w:val="00B7383B"/>
    <w:rsid w:val="00B73AE3"/>
    <w:rsid w:val="00B7463A"/>
    <w:rsid w:val="00B74A05"/>
    <w:rsid w:val="00B74A32"/>
    <w:rsid w:val="00B74A3D"/>
    <w:rsid w:val="00B74D11"/>
    <w:rsid w:val="00B74DEF"/>
    <w:rsid w:val="00B74F5C"/>
    <w:rsid w:val="00B75008"/>
    <w:rsid w:val="00B75011"/>
    <w:rsid w:val="00B75E0B"/>
    <w:rsid w:val="00B75FB2"/>
    <w:rsid w:val="00B767AF"/>
    <w:rsid w:val="00B769D6"/>
    <w:rsid w:val="00B76AAF"/>
    <w:rsid w:val="00B775F0"/>
    <w:rsid w:val="00B7793C"/>
    <w:rsid w:val="00B77A9F"/>
    <w:rsid w:val="00B77E00"/>
    <w:rsid w:val="00B77F53"/>
    <w:rsid w:val="00B802A5"/>
    <w:rsid w:val="00B80806"/>
    <w:rsid w:val="00B809FD"/>
    <w:rsid w:val="00B80C9D"/>
    <w:rsid w:val="00B80FBF"/>
    <w:rsid w:val="00B81391"/>
    <w:rsid w:val="00B8147E"/>
    <w:rsid w:val="00B817ED"/>
    <w:rsid w:val="00B820B2"/>
    <w:rsid w:val="00B821B1"/>
    <w:rsid w:val="00B822CA"/>
    <w:rsid w:val="00B827BD"/>
    <w:rsid w:val="00B830F8"/>
    <w:rsid w:val="00B837DB"/>
    <w:rsid w:val="00B83F96"/>
    <w:rsid w:val="00B84178"/>
    <w:rsid w:val="00B84AC7"/>
    <w:rsid w:val="00B84AFE"/>
    <w:rsid w:val="00B84BAC"/>
    <w:rsid w:val="00B85258"/>
    <w:rsid w:val="00B85273"/>
    <w:rsid w:val="00B8595B"/>
    <w:rsid w:val="00B85C0F"/>
    <w:rsid w:val="00B8676A"/>
    <w:rsid w:val="00B86E10"/>
    <w:rsid w:val="00B87903"/>
    <w:rsid w:val="00B87B95"/>
    <w:rsid w:val="00B87DC8"/>
    <w:rsid w:val="00B87E00"/>
    <w:rsid w:val="00B90160"/>
    <w:rsid w:val="00B901E8"/>
    <w:rsid w:val="00B90503"/>
    <w:rsid w:val="00B90A12"/>
    <w:rsid w:val="00B91664"/>
    <w:rsid w:val="00B919B4"/>
    <w:rsid w:val="00B91C42"/>
    <w:rsid w:val="00B9235A"/>
    <w:rsid w:val="00B926FD"/>
    <w:rsid w:val="00B92A2F"/>
    <w:rsid w:val="00B92D1C"/>
    <w:rsid w:val="00B92E8E"/>
    <w:rsid w:val="00B93277"/>
    <w:rsid w:val="00B93AA6"/>
    <w:rsid w:val="00B94274"/>
    <w:rsid w:val="00B94537"/>
    <w:rsid w:val="00B945C8"/>
    <w:rsid w:val="00B94A01"/>
    <w:rsid w:val="00B94FE2"/>
    <w:rsid w:val="00B9503E"/>
    <w:rsid w:val="00B958C4"/>
    <w:rsid w:val="00B962A7"/>
    <w:rsid w:val="00B966DC"/>
    <w:rsid w:val="00B96776"/>
    <w:rsid w:val="00B96A13"/>
    <w:rsid w:val="00B9703C"/>
    <w:rsid w:val="00B973E7"/>
    <w:rsid w:val="00B97A44"/>
    <w:rsid w:val="00B97C11"/>
    <w:rsid w:val="00B97C67"/>
    <w:rsid w:val="00BA0592"/>
    <w:rsid w:val="00BA0744"/>
    <w:rsid w:val="00BA08B3"/>
    <w:rsid w:val="00BA0A9E"/>
    <w:rsid w:val="00BA0D67"/>
    <w:rsid w:val="00BA10C9"/>
    <w:rsid w:val="00BA1773"/>
    <w:rsid w:val="00BA1B79"/>
    <w:rsid w:val="00BA2846"/>
    <w:rsid w:val="00BA2B22"/>
    <w:rsid w:val="00BA307D"/>
    <w:rsid w:val="00BA3081"/>
    <w:rsid w:val="00BA33A1"/>
    <w:rsid w:val="00BA34B0"/>
    <w:rsid w:val="00BA34C6"/>
    <w:rsid w:val="00BA3E78"/>
    <w:rsid w:val="00BA3F82"/>
    <w:rsid w:val="00BA4724"/>
    <w:rsid w:val="00BA49F7"/>
    <w:rsid w:val="00BA4EEE"/>
    <w:rsid w:val="00BA5DC7"/>
    <w:rsid w:val="00BA630E"/>
    <w:rsid w:val="00BA6456"/>
    <w:rsid w:val="00BA6903"/>
    <w:rsid w:val="00BA6919"/>
    <w:rsid w:val="00BA6F87"/>
    <w:rsid w:val="00BA73D9"/>
    <w:rsid w:val="00BA74A2"/>
    <w:rsid w:val="00BA767A"/>
    <w:rsid w:val="00BA76A7"/>
    <w:rsid w:val="00BA7AB0"/>
    <w:rsid w:val="00BA7E00"/>
    <w:rsid w:val="00BA7F20"/>
    <w:rsid w:val="00BA7F39"/>
    <w:rsid w:val="00BB0271"/>
    <w:rsid w:val="00BB04CB"/>
    <w:rsid w:val="00BB0B53"/>
    <w:rsid w:val="00BB0F8B"/>
    <w:rsid w:val="00BB1182"/>
    <w:rsid w:val="00BB14C9"/>
    <w:rsid w:val="00BB16C3"/>
    <w:rsid w:val="00BB2128"/>
    <w:rsid w:val="00BB27E3"/>
    <w:rsid w:val="00BB29C9"/>
    <w:rsid w:val="00BB2ABC"/>
    <w:rsid w:val="00BB2B4E"/>
    <w:rsid w:val="00BB2D94"/>
    <w:rsid w:val="00BB2F35"/>
    <w:rsid w:val="00BB3049"/>
    <w:rsid w:val="00BB329A"/>
    <w:rsid w:val="00BB350C"/>
    <w:rsid w:val="00BB388B"/>
    <w:rsid w:val="00BB40D1"/>
    <w:rsid w:val="00BB4727"/>
    <w:rsid w:val="00BB4784"/>
    <w:rsid w:val="00BB4922"/>
    <w:rsid w:val="00BB494D"/>
    <w:rsid w:val="00BB4AB1"/>
    <w:rsid w:val="00BB4CA0"/>
    <w:rsid w:val="00BB5138"/>
    <w:rsid w:val="00BB538C"/>
    <w:rsid w:val="00BB5721"/>
    <w:rsid w:val="00BB5975"/>
    <w:rsid w:val="00BB6797"/>
    <w:rsid w:val="00BB751F"/>
    <w:rsid w:val="00BB7637"/>
    <w:rsid w:val="00BB790D"/>
    <w:rsid w:val="00BC05BA"/>
    <w:rsid w:val="00BC0958"/>
    <w:rsid w:val="00BC0A2A"/>
    <w:rsid w:val="00BC0AF0"/>
    <w:rsid w:val="00BC0E94"/>
    <w:rsid w:val="00BC13AE"/>
    <w:rsid w:val="00BC1453"/>
    <w:rsid w:val="00BC190F"/>
    <w:rsid w:val="00BC1CEB"/>
    <w:rsid w:val="00BC1E50"/>
    <w:rsid w:val="00BC1FF0"/>
    <w:rsid w:val="00BC2727"/>
    <w:rsid w:val="00BC2CCE"/>
    <w:rsid w:val="00BC35E2"/>
    <w:rsid w:val="00BC37D7"/>
    <w:rsid w:val="00BC4027"/>
    <w:rsid w:val="00BC423B"/>
    <w:rsid w:val="00BC4F10"/>
    <w:rsid w:val="00BC4F78"/>
    <w:rsid w:val="00BC5BD1"/>
    <w:rsid w:val="00BC67B5"/>
    <w:rsid w:val="00BC6979"/>
    <w:rsid w:val="00BC6987"/>
    <w:rsid w:val="00BC6C03"/>
    <w:rsid w:val="00BC6DF1"/>
    <w:rsid w:val="00BC71F0"/>
    <w:rsid w:val="00BC732F"/>
    <w:rsid w:val="00BC73AC"/>
    <w:rsid w:val="00BC7811"/>
    <w:rsid w:val="00BC7B5C"/>
    <w:rsid w:val="00BC7E4D"/>
    <w:rsid w:val="00BD0213"/>
    <w:rsid w:val="00BD028C"/>
    <w:rsid w:val="00BD05E4"/>
    <w:rsid w:val="00BD1004"/>
    <w:rsid w:val="00BD1588"/>
    <w:rsid w:val="00BD1A00"/>
    <w:rsid w:val="00BD1FC9"/>
    <w:rsid w:val="00BD255D"/>
    <w:rsid w:val="00BD2B88"/>
    <w:rsid w:val="00BD2C9B"/>
    <w:rsid w:val="00BD320A"/>
    <w:rsid w:val="00BD3B4C"/>
    <w:rsid w:val="00BD45D9"/>
    <w:rsid w:val="00BD5261"/>
    <w:rsid w:val="00BD573F"/>
    <w:rsid w:val="00BD578F"/>
    <w:rsid w:val="00BD5A81"/>
    <w:rsid w:val="00BD5ADE"/>
    <w:rsid w:val="00BD5F01"/>
    <w:rsid w:val="00BD6000"/>
    <w:rsid w:val="00BD6239"/>
    <w:rsid w:val="00BD625A"/>
    <w:rsid w:val="00BD674F"/>
    <w:rsid w:val="00BD6E37"/>
    <w:rsid w:val="00BD6EBF"/>
    <w:rsid w:val="00BD759B"/>
    <w:rsid w:val="00BD77F3"/>
    <w:rsid w:val="00BD7CC0"/>
    <w:rsid w:val="00BD7E02"/>
    <w:rsid w:val="00BD7FFB"/>
    <w:rsid w:val="00BE1036"/>
    <w:rsid w:val="00BE11A5"/>
    <w:rsid w:val="00BE1B5D"/>
    <w:rsid w:val="00BE1CE0"/>
    <w:rsid w:val="00BE2348"/>
    <w:rsid w:val="00BE2349"/>
    <w:rsid w:val="00BE25E7"/>
    <w:rsid w:val="00BE2F0A"/>
    <w:rsid w:val="00BE3DF8"/>
    <w:rsid w:val="00BE4EFC"/>
    <w:rsid w:val="00BE5213"/>
    <w:rsid w:val="00BE52BE"/>
    <w:rsid w:val="00BE5464"/>
    <w:rsid w:val="00BE585F"/>
    <w:rsid w:val="00BE59B5"/>
    <w:rsid w:val="00BE59E3"/>
    <w:rsid w:val="00BE5DE3"/>
    <w:rsid w:val="00BE62E3"/>
    <w:rsid w:val="00BE6876"/>
    <w:rsid w:val="00BE6F40"/>
    <w:rsid w:val="00BE7171"/>
    <w:rsid w:val="00BE72ED"/>
    <w:rsid w:val="00BE76DE"/>
    <w:rsid w:val="00BE7A33"/>
    <w:rsid w:val="00BE7BFE"/>
    <w:rsid w:val="00BF0076"/>
    <w:rsid w:val="00BF0238"/>
    <w:rsid w:val="00BF03AF"/>
    <w:rsid w:val="00BF07B3"/>
    <w:rsid w:val="00BF08C1"/>
    <w:rsid w:val="00BF0A43"/>
    <w:rsid w:val="00BF115D"/>
    <w:rsid w:val="00BF1578"/>
    <w:rsid w:val="00BF1BCE"/>
    <w:rsid w:val="00BF1BF1"/>
    <w:rsid w:val="00BF1CA7"/>
    <w:rsid w:val="00BF207C"/>
    <w:rsid w:val="00BF21B5"/>
    <w:rsid w:val="00BF2407"/>
    <w:rsid w:val="00BF25AF"/>
    <w:rsid w:val="00BF2B6E"/>
    <w:rsid w:val="00BF2D3B"/>
    <w:rsid w:val="00BF37FA"/>
    <w:rsid w:val="00BF3BC7"/>
    <w:rsid w:val="00BF41DB"/>
    <w:rsid w:val="00BF4839"/>
    <w:rsid w:val="00BF49AF"/>
    <w:rsid w:val="00BF4AD8"/>
    <w:rsid w:val="00BF4E6F"/>
    <w:rsid w:val="00BF4EC5"/>
    <w:rsid w:val="00BF505B"/>
    <w:rsid w:val="00BF55BA"/>
    <w:rsid w:val="00BF585E"/>
    <w:rsid w:val="00BF5860"/>
    <w:rsid w:val="00BF623C"/>
    <w:rsid w:val="00BF63CA"/>
    <w:rsid w:val="00BF667F"/>
    <w:rsid w:val="00BF687B"/>
    <w:rsid w:val="00BF692D"/>
    <w:rsid w:val="00BF6CD7"/>
    <w:rsid w:val="00BF6DED"/>
    <w:rsid w:val="00BF7385"/>
    <w:rsid w:val="00BF7AE0"/>
    <w:rsid w:val="00BF7E7F"/>
    <w:rsid w:val="00C00385"/>
    <w:rsid w:val="00C00971"/>
    <w:rsid w:val="00C00BBB"/>
    <w:rsid w:val="00C011B6"/>
    <w:rsid w:val="00C015AC"/>
    <w:rsid w:val="00C01A4E"/>
    <w:rsid w:val="00C01ED9"/>
    <w:rsid w:val="00C021DF"/>
    <w:rsid w:val="00C022BB"/>
    <w:rsid w:val="00C026A2"/>
    <w:rsid w:val="00C02B61"/>
    <w:rsid w:val="00C02B70"/>
    <w:rsid w:val="00C02D6B"/>
    <w:rsid w:val="00C03189"/>
    <w:rsid w:val="00C036A9"/>
    <w:rsid w:val="00C03E25"/>
    <w:rsid w:val="00C04396"/>
    <w:rsid w:val="00C045C5"/>
    <w:rsid w:val="00C04706"/>
    <w:rsid w:val="00C04723"/>
    <w:rsid w:val="00C0517F"/>
    <w:rsid w:val="00C05200"/>
    <w:rsid w:val="00C052BA"/>
    <w:rsid w:val="00C056DE"/>
    <w:rsid w:val="00C05ADB"/>
    <w:rsid w:val="00C05F7C"/>
    <w:rsid w:val="00C0607C"/>
    <w:rsid w:val="00C06C45"/>
    <w:rsid w:val="00C06D51"/>
    <w:rsid w:val="00C06DC9"/>
    <w:rsid w:val="00C07173"/>
    <w:rsid w:val="00C07270"/>
    <w:rsid w:val="00C07865"/>
    <w:rsid w:val="00C07966"/>
    <w:rsid w:val="00C104C9"/>
    <w:rsid w:val="00C107CD"/>
    <w:rsid w:val="00C10F37"/>
    <w:rsid w:val="00C111F5"/>
    <w:rsid w:val="00C112BF"/>
    <w:rsid w:val="00C11833"/>
    <w:rsid w:val="00C11E6B"/>
    <w:rsid w:val="00C11ED7"/>
    <w:rsid w:val="00C11EE4"/>
    <w:rsid w:val="00C12557"/>
    <w:rsid w:val="00C12A3A"/>
    <w:rsid w:val="00C12C0E"/>
    <w:rsid w:val="00C12D08"/>
    <w:rsid w:val="00C12DA0"/>
    <w:rsid w:val="00C12F84"/>
    <w:rsid w:val="00C12F9A"/>
    <w:rsid w:val="00C131AF"/>
    <w:rsid w:val="00C133E8"/>
    <w:rsid w:val="00C135A1"/>
    <w:rsid w:val="00C13609"/>
    <w:rsid w:val="00C13794"/>
    <w:rsid w:val="00C14007"/>
    <w:rsid w:val="00C140E4"/>
    <w:rsid w:val="00C14122"/>
    <w:rsid w:val="00C14434"/>
    <w:rsid w:val="00C146AF"/>
    <w:rsid w:val="00C1476F"/>
    <w:rsid w:val="00C14947"/>
    <w:rsid w:val="00C14961"/>
    <w:rsid w:val="00C1501B"/>
    <w:rsid w:val="00C1593C"/>
    <w:rsid w:val="00C15BC6"/>
    <w:rsid w:val="00C15FB0"/>
    <w:rsid w:val="00C16491"/>
    <w:rsid w:val="00C16BD1"/>
    <w:rsid w:val="00C16CFC"/>
    <w:rsid w:val="00C171CE"/>
    <w:rsid w:val="00C17856"/>
    <w:rsid w:val="00C201F3"/>
    <w:rsid w:val="00C202DD"/>
    <w:rsid w:val="00C205C1"/>
    <w:rsid w:val="00C21238"/>
    <w:rsid w:val="00C212CE"/>
    <w:rsid w:val="00C215D2"/>
    <w:rsid w:val="00C216AC"/>
    <w:rsid w:val="00C21A40"/>
    <w:rsid w:val="00C22338"/>
    <w:rsid w:val="00C22854"/>
    <w:rsid w:val="00C229E0"/>
    <w:rsid w:val="00C22AF9"/>
    <w:rsid w:val="00C22D82"/>
    <w:rsid w:val="00C2302F"/>
    <w:rsid w:val="00C234A1"/>
    <w:rsid w:val="00C23591"/>
    <w:rsid w:val="00C237FF"/>
    <w:rsid w:val="00C2447D"/>
    <w:rsid w:val="00C244C2"/>
    <w:rsid w:val="00C246AC"/>
    <w:rsid w:val="00C24CD5"/>
    <w:rsid w:val="00C25988"/>
    <w:rsid w:val="00C25CDE"/>
    <w:rsid w:val="00C25E83"/>
    <w:rsid w:val="00C26455"/>
    <w:rsid w:val="00C2681A"/>
    <w:rsid w:val="00C26B58"/>
    <w:rsid w:val="00C271F4"/>
    <w:rsid w:val="00C27E45"/>
    <w:rsid w:val="00C27E6F"/>
    <w:rsid w:val="00C27F53"/>
    <w:rsid w:val="00C30115"/>
    <w:rsid w:val="00C3015A"/>
    <w:rsid w:val="00C3055E"/>
    <w:rsid w:val="00C30753"/>
    <w:rsid w:val="00C30E22"/>
    <w:rsid w:val="00C3102F"/>
    <w:rsid w:val="00C313E2"/>
    <w:rsid w:val="00C3145A"/>
    <w:rsid w:val="00C31EFC"/>
    <w:rsid w:val="00C32086"/>
    <w:rsid w:val="00C321F7"/>
    <w:rsid w:val="00C324E8"/>
    <w:rsid w:val="00C3257E"/>
    <w:rsid w:val="00C334AB"/>
    <w:rsid w:val="00C33957"/>
    <w:rsid w:val="00C33A94"/>
    <w:rsid w:val="00C33C9A"/>
    <w:rsid w:val="00C3484C"/>
    <w:rsid w:val="00C352FC"/>
    <w:rsid w:val="00C35876"/>
    <w:rsid w:val="00C35A68"/>
    <w:rsid w:val="00C360DE"/>
    <w:rsid w:val="00C36EAD"/>
    <w:rsid w:val="00C370FF"/>
    <w:rsid w:val="00C37196"/>
    <w:rsid w:val="00C371CF"/>
    <w:rsid w:val="00C37659"/>
    <w:rsid w:val="00C37CEA"/>
    <w:rsid w:val="00C37F11"/>
    <w:rsid w:val="00C404E2"/>
    <w:rsid w:val="00C40536"/>
    <w:rsid w:val="00C408D9"/>
    <w:rsid w:val="00C40EB6"/>
    <w:rsid w:val="00C413DF"/>
    <w:rsid w:val="00C4159A"/>
    <w:rsid w:val="00C41C69"/>
    <w:rsid w:val="00C4254E"/>
    <w:rsid w:val="00C4387E"/>
    <w:rsid w:val="00C442E2"/>
    <w:rsid w:val="00C4463F"/>
    <w:rsid w:val="00C448A8"/>
    <w:rsid w:val="00C45135"/>
    <w:rsid w:val="00C454FC"/>
    <w:rsid w:val="00C45DA1"/>
    <w:rsid w:val="00C46281"/>
    <w:rsid w:val="00C46403"/>
    <w:rsid w:val="00C466A9"/>
    <w:rsid w:val="00C46900"/>
    <w:rsid w:val="00C4769A"/>
    <w:rsid w:val="00C477A7"/>
    <w:rsid w:val="00C478BD"/>
    <w:rsid w:val="00C47A0B"/>
    <w:rsid w:val="00C50282"/>
    <w:rsid w:val="00C503EE"/>
    <w:rsid w:val="00C50558"/>
    <w:rsid w:val="00C507C3"/>
    <w:rsid w:val="00C50D25"/>
    <w:rsid w:val="00C50F6D"/>
    <w:rsid w:val="00C51969"/>
    <w:rsid w:val="00C52081"/>
    <w:rsid w:val="00C527BE"/>
    <w:rsid w:val="00C52A40"/>
    <w:rsid w:val="00C52CBD"/>
    <w:rsid w:val="00C52E96"/>
    <w:rsid w:val="00C53484"/>
    <w:rsid w:val="00C53664"/>
    <w:rsid w:val="00C536E2"/>
    <w:rsid w:val="00C5374E"/>
    <w:rsid w:val="00C53ACA"/>
    <w:rsid w:val="00C53FE7"/>
    <w:rsid w:val="00C555E4"/>
    <w:rsid w:val="00C55742"/>
    <w:rsid w:val="00C55DA5"/>
    <w:rsid w:val="00C56402"/>
    <w:rsid w:val="00C56554"/>
    <w:rsid w:val="00C56E54"/>
    <w:rsid w:val="00C573F0"/>
    <w:rsid w:val="00C57D73"/>
    <w:rsid w:val="00C60A3F"/>
    <w:rsid w:val="00C6114E"/>
    <w:rsid w:val="00C615FD"/>
    <w:rsid w:val="00C61941"/>
    <w:rsid w:val="00C61A74"/>
    <w:rsid w:val="00C62903"/>
    <w:rsid w:val="00C62D58"/>
    <w:rsid w:val="00C632E2"/>
    <w:rsid w:val="00C6332F"/>
    <w:rsid w:val="00C63687"/>
    <w:rsid w:val="00C63DCB"/>
    <w:rsid w:val="00C64194"/>
    <w:rsid w:val="00C641C6"/>
    <w:rsid w:val="00C6432A"/>
    <w:rsid w:val="00C64E0E"/>
    <w:rsid w:val="00C65137"/>
    <w:rsid w:val="00C65442"/>
    <w:rsid w:val="00C6597F"/>
    <w:rsid w:val="00C65DB0"/>
    <w:rsid w:val="00C66204"/>
    <w:rsid w:val="00C66393"/>
    <w:rsid w:val="00C66510"/>
    <w:rsid w:val="00C67095"/>
    <w:rsid w:val="00C676C2"/>
    <w:rsid w:val="00C678C8"/>
    <w:rsid w:val="00C678F4"/>
    <w:rsid w:val="00C67BB6"/>
    <w:rsid w:val="00C703BE"/>
    <w:rsid w:val="00C7046E"/>
    <w:rsid w:val="00C704FE"/>
    <w:rsid w:val="00C70C91"/>
    <w:rsid w:val="00C70DC8"/>
    <w:rsid w:val="00C70EA6"/>
    <w:rsid w:val="00C71379"/>
    <w:rsid w:val="00C7145A"/>
    <w:rsid w:val="00C71463"/>
    <w:rsid w:val="00C718A7"/>
    <w:rsid w:val="00C71CBA"/>
    <w:rsid w:val="00C7204B"/>
    <w:rsid w:val="00C720F3"/>
    <w:rsid w:val="00C7223C"/>
    <w:rsid w:val="00C723B0"/>
    <w:rsid w:val="00C72A0F"/>
    <w:rsid w:val="00C72AE1"/>
    <w:rsid w:val="00C73867"/>
    <w:rsid w:val="00C739DF"/>
    <w:rsid w:val="00C73A7A"/>
    <w:rsid w:val="00C73D4F"/>
    <w:rsid w:val="00C74819"/>
    <w:rsid w:val="00C74BD8"/>
    <w:rsid w:val="00C74CAB"/>
    <w:rsid w:val="00C75491"/>
    <w:rsid w:val="00C76348"/>
    <w:rsid w:val="00C76843"/>
    <w:rsid w:val="00C76F9C"/>
    <w:rsid w:val="00C77CE8"/>
    <w:rsid w:val="00C80927"/>
    <w:rsid w:val="00C80D29"/>
    <w:rsid w:val="00C80E2C"/>
    <w:rsid w:val="00C8179C"/>
    <w:rsid w:val="00C81BFA"/>
    <w:rsid w:val="00C8205A"/>
    <w:rsid w:val="00C8210D"/>
    <w:rsid w:val="00C828E0"/>
    <w:rsid w:val="00C82BFA"/>
    <w:rsid w:val="00C82D4D"/>
    <w:rsid w:val="00C830BB"/>
    <w:rsid w:val="00C83350"/>
    <w:rsid w:val="00C83623"/>
    <w:rsid w:val="00C836C5"/>
    <w:rsid w:val="00C84113"/>
    <w:rsid w:val="00C847CA"/>
    <w:rsid w:val="00C84C38"/>
    <w:rsid w:val="00C85486"/>
    <w:rsid w:val="00C85584"/>
    <w:rsid w:val="00C85D2D"/>
    <w:rsid w:val="00C85D42"/>
    <w:rsid w:val="00C86171"/>
    <w:rsid w:val="00C86429"/>
    <w:rsid w:val="00C867AD"/>
    <w:rsid w:val="00C86A9A"/>
    <w:rsid w:val="00C86AA2"/>
    <w:rsid w:val="00C86B2C"/>
    <w:rsid w:val="00C86B33"/>
    <w:rsid w:val="00C86C06"/>
    <w:rsid w:val="00C870EF"/>
    <w:rsid w:val="00C87DEC"/>
    <w:rsid w:val="00C90645"/>
    <w:rsid w:val="00C9105F"/>
    <w:rsid w:val="00C91490"/>
    <w:rsid w:val="00C916A0"/>
    <w:rsid w:val="00C917C5"/>
    <w:rsid w:val="00C920FA"/>
    <w:rsid w:val="00C92920"/>
    <w:rsid w:val="00C92BA2"/>
    <w:rsid w:val="00C92ECB"/>
    <w:rsid w:val="00C92F7A"/>
    <w:rsid w:val="00C93584"/>
    <w:rsid w:val="00C93883"/>
    <w:rsid w:val="00C938B0"/>
    <w:rsid w:val="00C93A3B"/>
    <w:rsid w:val="00C93CCE"/>
    <w:rsid w:val="00C9446B"/>
    <w:rsid w:val="00C949BE"/>
    <w:rsid w:val="00C94D09"/>
    <w:rsid w:val="00C95360"/>
    <w:rsid w:val="00C956AC"/>
    <w:rsid w:val="00C96A48"/>
    <w:rsid w:val="00C97372"/>
    <w:rsid w:val="00C977CC"/>
    <w:rsid w:val="00CA0DE0"/>
    <w:rsid w:val="00CA2837"/>
    <w:rsid w:val="00CA2B03"/>
    <w:rsid w:val="00CA2E80"/>
    <w:rsid w:val="00CA3046"/>
    <w:rsid w:val="00CA31A3"/>
    <w:rsid w:val="00CA33FB"/>
    <w:rsid w:val="00CA3512"/>
    <w:rsid w:val="00CA36F1"/>
    <w:rsid w:val="00CA4189"/>
    <w:rsid w:val="00CA463F"/>
    <w:rsid w:val="00CA4DFE"/>
    <w:rsid w:val="00CA4EB1"/>
    <w:rsid w:val="00CA4ECF"/>
    <w:rsid w:val="00CA5582"/>
    <w:rsid w:val="00CA5681"/>
    <w:rsid w:val="00CA5CBC"/>
    <w:rsid w:val="00CA5DDE"/>
    <w:rsid w:val="00CA617C"/>
    <w:rsid w:val="00CA6A07"/>
    <w:rsid w:val="00CA6C02"/>
    <w:rsid w:val="00CA701B"/>
    <w:rsid w:val="00CA70B7"/>
    <w:rsid w:val="00CA79B2"/>
    <w:rsid w:val="00CA7A64"/>
    <w:rsid w:val="00CA7B80"/>
    <w:rsid w:val="00CA7ECA"/>
    <w:rsid w:val="00CB0961"/>
    <w:rsid w:val="00CB096E"/>
    <w:rsid w:val="00CB0C84"/>
    <w:rsid w:val="00CB0F8D"/>
    <w:rsid w:val="00CB1518"/>
    <w:rsid w:val="00CB1D1E"/>
    <w:rsid w:val="00CB27DD"/>
    <w:rsid w:val="00CB2824"/>
    <w:rsid w:val="00CB32D3"/>
    <w:rsid w:val="00CB41C8"/>
    <w:rsid w:val="00CB457E"/>
    <w:rsid w:val="00CB4581"/>
    <w:rsid w:val="00CB4C80"/>
    <w:rsid w:val="00CB4D17"/>
    <w:rsid w:val="00CB4D46"/>
    <w:rsid w:val="00CB5051"/>
    <w:rsid w:val="00CB52EA"/>
    <w:rsid w:val="00CB5667"/>
    <w:rsid w:val="00CB6039"/>
    <w:rsid w:val="00CB618F"/>
    <w:rsid w:val="00CB6C15"/>
    <w:rsid w:val="00CB6E3C"/>
    <w:rsid w:val="00CB7138"/>
    <w:rsid w:val="00CB73ED"/>
    <w:rsid w:val="00CB772A"/>
    <w:rsid w:val="00CB7A5F"/>
    <w:rsid w:val="00CC0225"/>
    <w:rsid w:val="00CC03FA"/>
    <w:rsid w:val="00CC0410"/>
    <w:rsid w:val="00CC0D5E"/>
    <w:rsid w:val="00CC11C1"/>
    <w:rsid w:val="00CC173D"/>
    <w:rsid w:val="00CC1816"/>
    <w:rsid w:val="00CC1C8D"/>
    <w:rsid w:val="00CC1D67"/>
    <w:rsid w:val="00CC268A"/>
    <w:rsid w:val="00CC2713"/>
    <w:rsid w:val="00CC2892"/>
    <w:rsid w:val="00CC2917"/>
    <w:rsid w:val="00CC2ECB"/>
    <w:rsid w:val="00CC3242"/>
    <w:rsid w:val="00CC32C4"/>
    <w:rsid w:val="00CC3432"/>
    <w:rsid w:val="00CC3632"/>
    <w:rsid w:val="00CC3D58"/>
    <w:rsid w:val="00CC475F"/>
    <w:rsid w:val="00CC5080"/>
    <w:rsid w:val="00CC508B"/>
    <w:rsid w:val="00CC5664"/>
    <w:rsid w:val="00CC593C"/>
    <w:rsid w:val="00CC617B"/>
    <w:rsid w:val="00CC6B67"/>
    <w:rsid w:val="00CC6D6B"/>
    <w:rsid w:val="00CC7299"/>
    <w:rsid w:val="00CC7386"/>
    <w:rsid w:val="00CC7E18"/>
    <w:rsid w:val="00CD021D"/>
    <w:rsid w:val="00CD0783"/>
    <w:rsid w:val="00CD0D27"/>
    <w:rsid w:val="00CD0FF1"/>
    <w:rsid w:val="00CD1475"/>
    <w:rsid w:val="00CD14F8"/>
    <w:rsid w:val="00CD15F1"/>
    <w:rsid w:val="00CD16F2"/>
    <w:rsid w:val="00CD23A0"/>
    <w:rsid w:val="00CD25CE"/>
    <w:rsid w:val="00CD2E8C"/>
    <w:rsid w:val="00CD3206"/>
    <w:rsid w:val="00CD34B4"/>
    <w:rsid w:val="00CD3DD1"/>
    <w:rsid w:val="00CD4431"/>
    <w:rsid w:val="00CD4993"/>
    <w:rsid w:val="00CD4EA0"/>
    <w:rsid w:val="00CD5544"/>
    <w:rsid w:val="00CD5583"/>
    <w:rsid w:val="00CD6348"/>
    <w:rsid w:val="00CD6AB6"/>
    <w:rsid w:val="00CD7416"/>
    <w:rsid w:val="00CD7F5C"/>
    <w:rsid w:val="00CE03F7"/>
    <w:rsid w:val="00CE057E"/>
    <w:rsid w:val="00CE0A85"/>
    <w:rsid w:val="00CE0CF2"/>
    <w:rsid w:val="00CE11D1"/>
    <w:rsid w:val="00CE13A7"/>
    <w:rsid w:val="00CE16B4"/>
    <w:rsid w:val="00CE17E9"/>
    <w:rsid w:val="00CE1BFF"/>
    <w:rsid w:val="00CE1CB7"/>
    <w:rsid w:val="00CE20DC"/>
    <w:rsid w:val="00CE26DD"/>
    <w:rsid w:val="00CE2AC5"/>
    <w:rsid w:val="00CE2E71"/>
    <w:rsid w:val="00CE33B3"/>
    <w:rsid w:val="00CE359B"/>
    <w:rsid w:val="00CE3768"/>
    <w:rsid w:val="00CE37FF"/>
    <w:rsid w:val="00CE3F5A"/>
    <w:rsid w:val="00CE42FC"/>
    <w:rsid w:val="00CE442F"/>
    <w:rsid w:val="00CE4445"/>
    <w:rsid w:val="00CE45B0"/>
    <w:rsid w:val="00CE5487"/>
    <w:rsid w:val="00CE5856"/>
    <w:rsid w:val="00CE5B5C"/>
    <w:rsid w:val="00CE5DE5"/>
    <w:rsid w:val="00CE6ED0"/>
    <w:rsid w:val="00CE6FC4"/>
    <w:rsid w:val="00CE71AF"/>
    <w:rsid w:val="00CE71FD"/>
    <w:rsid w:val="00CE74A6"/>
    <w:rsid w:val="00CE7C37"/>
    <w:rsid w:val="00CE7CD4"/>
    <w:rsid w:val="00CE7D2D"/>
    <w:rsid w:val="00CE7F56"/>
    <w:rsid w:val="00CF13DF"/>
    <w:rsid w:val="00CF1517"/>
    <w:rsid w:val="00CF1FA3"/>
    <w:rsid w:val="00CF2CA2"/>
    <w:rsid w:val="00CF3442"/>
    <w:rsid w:val="00CF357D"/>
    <w:rsid w:val="00CF35FC"/>
    <w:rsid w:val="00CF36F0"/>
    <w:rsid w:val="00CF3749"/>
    <w:rsid w:val="00CF3A5C"/>
    <w:rsid w:val="00CF3D3E"/>
    <w:rsid w:val="00CF44BD"/>
    <w:rsid w:val="00CF44F5"/>
    <w:rsid w:val="00CF49B4"/>
    <w:rsid w:val="00CF4F44"/>
    <w:rsid w:val="00CF5182"/>
    <w:rsid w:val="00CF5CDD"/>
    <w:rsid w:val="00CF5D81"/>
    <w:rsid w:val="00CF5DFD"/>
    <w:rsid w:val="00CF5F65"/>
    <w:rsid w:val="00CF6597"/>
    <w:rsid w:val="00CF6604"/>
    <w:rsid w:val="00CF736C"/>
    <w:rsid w:val="00CF7815"/>
    <w:rsid w:val="00CF7937"/>
    <w:rsid w:val="00CF7BCA"/>
    <w:rsid w:val="00CF7E01"/>
    <w:rsid w:val="00D003F5"/>
    <w:rsid w:val="00D006E3"/>
    <w:rsid w:val="00D007D8"/>
    <w:rsid w:val="00D0087A"/>
    <w:rsid w:val="00D00E2E"/>
    <w:rsid w:val="00D012A6"/>
    <w:rsid w:val="00D017A8"/>
    <w:rsid w:val="00D03422"/>
    <w:rsid w:val="00D03AB8"/>
    <w:rsid w:val="00D03B61"/>
    <w:rsid w:val="00D03BCE"/>
    <w:rsid w:val="00D03E79"/>
    <w:rsid w:val="00D03FAB"/>
    <w:rsid w:val="00D047CF"/>
    <w:rsid w:val="00D04A3C"/>
    <w:rsid w:val="00D04DC2"/>
    <w:rsid w:val="00D04EF1"/>
    <w:rsid w:val="00D04F61"/>
    <w:rsid w:val="00D05122"/>
    <w:rsid w:val="00D05DE7"/>
    <w:rsid w:val="00D05E54"/>
    <w:rsid w:val="00D060A5"/>
    <w:rsid w:val="00D06263"/>
    <w:rsid w:val="00D0677A"/>
    <w:rsid w:val="00D06B83"/>
    <w:rsid w:val="00D06C87"/>
    <w:rsid w:val="00D0763A"/>
    <w:rsid w:val="00D07C2E"/>
    <w:rsid w:val="00D07CDB"/>
    <w:rsid w:val="00D1055A"/>
    <w:rsid w:val="00D1087A"/>
    <w:rsid w:val="00D10998"/>
    <w:rsid w:val="00D10A0B"/>
    <w:rsid w:val="00D11317"/>
    <w:rsid w:val="00D11830"/>
    <w:rsid w:val="00D12304"/>
    <w:rsid w:val="00D124D3"/>
    <w:rsid w:val="00D12C1B"/>
    <w:rsid w:val="00D12C7C"/>
    <w:rsid w:val="00D12D58"/>
    <w:rsid w:val="00D12FB1"/>
    <w:rsid w:val="00D14413"/>
    <w:rsid w:val="00D1478B"/>
    <w:rsid w:val="00D14A09"/>
    <w:rsid w:val="00D14D8E"/>
    <w:rsid w:val="00D158A2"/>
    <w:rsid w:val="00D15D1F"/>
    <w:rsid w:val="00D15E86"/>
    <w:rsid w:val="00D1619C"/>
    <w:rsid w:val="00D163E2"/>
    <w:rsid w:val="00D16BB1"/>
    <w:rsid w:val="00D16E10"/>
    <w:rsid w:val="00D17449"/>
    <w:rsid w:val="00D174F0"/>
    <w:rsid w:val="00D17A75"/>
    <w:rsid w:val="00D17AB7"/>
    <w:rsid w:val="00D17B3B"/>
    <w:rsid w:val="00D17F03"/>
    <w:rsid w:val="00D17FAA"/>
    <w:rsid w:val="00D204CE"/>
    <w:rsid w:val="00D20BF1"/>
    <w:rsid w:val="00D20CDB"/>
    <w:rsid w:val="00D20E62"/>
    <w:rsid w:val="00D21835"/>
    <w:rsid w:val="00D21B30"/>
    <w:rsid w:val="00D21F5F"/>
    <w:rsid w:val="00D222FB"/>
    <w:rsid w:val="00D227D3"/>
    <w:rsid w:val="00D2296B"/>
    <w:rsid w:val="00D22E10"/>
    <w:rsid w:val="00D231D8"/>
    <w:rsid w:val="00D2351A"/>
    <w:rsid w:val="00D23B1D"/>
    <w:rsid w:val="00D2407E"/>
    <w:rsid w:val="00D247E5"/>
    <w:rsid w:val="00D24974"/>
    <w:rsid w:val="00D24F17"/>
    <w:rsid w:val="00D250B9"/>
    <w:rsid w:val="00D252DD"/>
    <w:rsid w:val="00D252DF"/>
    <w:rsid w:val="00D26318"/>
    <w:rsid w:val="00D265AB"/>
    <w:rsid w:val="00D26AB1"/>
    <w:rsid w:val="00D26B37"/>
    <w:rsid w:val="00D26BD4"/>
    <w:rsid w:val="00D27075"/>
    <w:rsid w:val="00D27297"/>
    <w:rsid w:val="00D272B7"/>
    <w:rsid w:val="00D27533"/>
    <w:rsid w:val="00D27537"/>
    <w:rsid w:val="00D27AD9"/>
    <w:rsid w:val="00D30B85"/>
    <w:rsid w:val="00D30C1B"/>
    <w:rsid w:val="00D310F3"/>
    <w:rsid w:val="00D31BB3"/>
    <w:rsid w:val="00D31CC3"/>
    <w:rsid w:val="00D31F92"/>
    <w:rsid w:val="00D32566"/>
    <w:rsid w:val="00D3278E"/>
    <w:rsid w:val="00D32DA5"/>
    <w:rsid w:val="00D32EB4"/>
    <w:rsid w:val="00D3328B"/>
    <w:rsid w:val="00D333C1"/>
    <w:rsid w:val="00D337C8"/>
    <w:rsid w:val="00D33959"/>
    <w:rsid w:val="00D339C9"/>
    <w:rsid w:val="00D33C5B"/>
    <w:rsid w:val="00D341A9"/>
    <w:rsid w:val="00D342C9"/>
    <w:rsid w:val="00D347E9"/>
    <w:rsid w:val="00D3518B"/>
    <w:rsid w:val="00D358CE"/>
    <w:rsid w:val="00D35BF0"/>
    <w:rsid w:val="00D35C06"/>
    <w:rsid w:val="00D35EA8"/>
    <w:rsid w:val="00D36026"/>
    <w:rsid w:val="00D3649B"/>
    <w:rsid w:val="00D37001"/>
    <w:rsid w:val="00D371D1"/>
    <w:rsid w:val="00D37502"/>
    <w:rsid w:val="00D37E6D"/>
    <w:rsid w:val="00D400B0"/>
    <w:rsid w:val="00D401CD"/>
    <w:rsid w:val="00D40658"/>
    <w:rsid w:val="00D409C8"/>
    <w:rsid w:val="00D413BF"/>
    <w:rsid w:val="00D41F24"/>
    <w:rsid w:val="00D435B3"/>
    <w:rsid w:val="00D439C0"/>
    <w:rsid w:val="00D4452C"/>
    <w:rsid w:val="00D44585"/>
    <w:rsid w:val="00D44FFE"/>
    <w:rsid w:val="00D45637"/>
    <w:rsid w:val="00D4582C"/>
    <w:rsid w:val="00D45A5A"/>
    <w:rsid w:val="00D45B81"/>
    <w:rsid w:val="00D45FA0"/>
    <w:rsid w:val="00D4648C"/>
    <w:rsid w:val="00D467B5"/>
    <w:rsid w:val="00D46B5A"/>
    <w:rsid w:val="00D47267"/>
    <w:rsid w:val="00D4733B"/>
    <w:rsid w:val="00D4750D"/>
    <w:rsid w:val="00D47565"/>
    <w:rsid w:val="00D47B43"/>
    <w:rsid w:val="00D47D4A"/>
    <w:rsid w:val="00D5048B"/>
    <w:rsid w:val="00D504EA"/>
    <w:rsid w:val="00D50845"/>
    <w:rsid w:val="00D508DC"/>
    <w:rsid w:val="00D50AB0"/>
    <w:rsid w:val="00D50C5D"/>
    <w:rsid w:val="00D5128F"/>
    <w:rsid w:val="00D53033"/>
    <w:rsid w:val="00D53285"/>
    <w:rsid w:val="00D538E1"/>
    <w:rsid w:val="00D54018"/>
    <w:rsid w:val="00D54164"/>
    <w:rsid w:val="00D5477D"/>
    <w:rsid w:val="00D556FD"/>
    <w:rsid w:val="00D557E3"/>
    <w:rsid w:val="00D55E20"/>
    <w:rsid w:val="00D567E9"/>
    <w:rsid w:val="00D568FF"/>
    <w:rsid w:val="00D56C7D"/>
    <w:rsid w:val="00D57ADB"/>
    <w:rsid w:val="00D60BCB"/>
    <w:rsid w:val="00D6108C"/>
    <w:rsid w:val="00D6141E"/>
    <w:rsid w:val="00D616DE"/>
    <w:rsid w:val="00D61789"/>
    <w:rsid w:val="00D61A57"/>
    <w:rsid w:val="00D61EF4"/>
    <w:rsid w:val="00D6218F"/>
    <w:rsid w:val="00D62277"/>
    <w:rsid w:val="00D622F9"/>
    <w:rsid w:val="00D62395"/>
    <w:rsid w:val="00D62570"/>
    <w:rsid w:val="00D62BA2"/>
    <w:rsid w:val="00D62F35"/>
    <w:rsid w:val="00D639C4"/>
    <w:rsid w:val="00D63B2D"/>
    <w:rsid w:val="00D64276"/>
    <w:rsid w:val="00D64875"/>
    <w:rsid w:val="00D64BEC"/>
    <w:rsid w:val="00D65F4D"/>
    <w:rsid w:val="00D6641F"/>
    <w:rsid w:val="00D66DEF"/>
    <w:rsid w:val="00D670D0"/>
    <w:rsid w:val="00D674E3"/>
    <w:rsid w:val="00D67513"/>
    <w:rsid w:val="00D676BF"/>
    <w:rsid w:val="00D67A39"/>
    <w:rsid w:val="00D67D94"/>
    <w:rsid w:val="00D70085"/>
    <w:rsid w:val="00D7049F"/>
    <w:rsid w:val="00D70CCD"/>
    <w:rsid w:val="00D70FC8"/>
    <w:rsid w:val="00D713A1"/>
    <w:rsid w:val="00D713B4"/>
    <w:rsid w:val="00D722A2"/>
    <w:rsid w:val="00D724A0"/>
    <w:rsid w:val="00D72A68"/>
    <w:rsid w:val="00D72F6C"/>
    <w:rsid w:val="00D737EE"/>
    <w:rsid w:val="00D73AB4"/>
    <w:rsid w:val="00D740B6"/>
    <w:rsid w:val="00D7411D"/>
    <w:rsid w:val="00D74F69"/>
    <w:rsid w:val="00D75060"/>
    <w:rsid w:val="00D753A9"/>
    <w:rsid w:val="00D75C56"/>
    <w:rsid w:val="00D75EAD"/>
    <w:rsid w:val="00D75F12"/>
    <w:rsid w:val="00D7620A"/>
    <w:rsid w:val="00D765FB"/>
    <w:rsid w:val="00D76C44"/>
    <w:rsid w:val="00D76E40"/>
    <w:rsid w:val="00D77086"/>
    <w:rsid w:val="00D773FC"/>
    <w:rsid w:val="00D77857"/>
    <w:rsid w:val="00D77E68"/>
    <w:rsid w:val="00D802E2"/>
    <w:rsid w:val="00D804D4"/>
    <w:rsid w:val="00D80925"/>
    <w:rsid w:val="00D80D1A"/>
    <w:rsid w:val="00D810EA"/>
    <w:rsid w:val="00D8146E"/>
    <w:rsid w:val="00D8221A"/>
    <w:rsid w:val="00D82C7E"/>
    <w:rsid w:val="00D835DF"/>
    <w:rsid w:val="00D8399B"/>
    <w:rsid w:val="00D83DAA"/>
    <w:rsid w:val="00D84B5D"/>
    <w:rsid w:val="00D852BB"/>
    <w:rsid w:val="00D855F1"/>
    <w:rsid w:val="00D8573B"/>
    <w:rsid w:val="00D85898"/>
    <w:rsid w:val="00D861BC"/>
    <w:rsid w:val="00D867B6"/>
    <w:rsid w:val="00D86A8C"/>
    <w:rsid w:val="00D8730E"/>
    <w:rsid w:val="00D87957"/>
    <w:rsid w:val="00D87977"/>
    <w:rsid w:val="00D87987"/>
    <w:rsid w:val="00D9114A"/>
    <w:rsid w:val="00D913B1"/>
    <w:rsid w:val="00D919FA"/>
    <w:rsid w:val="00D92B0A"/>
    <w:rsid w:val="00D92D6D"/>
    <w:rsid w:val="00D92F62"/>
    <w:rsid w:val="00D9485E"/>
    <w:rsid w:val="00D949AC"/>
    <w:rsid w:val="00D94AEE"/>
    <w:rsid w:val="00D951E7"/>
    <w:rsid w:val="00D95AAE"/>
    <w:rsid w:val="00D96017"/>
    <w:rsid w:val="00D9629E"/>
    <w:rsid w:val="00D96C51"/>
    <w:rsid w:val="00D97009"/>
    <w:rsid w:val="00D9738E"/>
    <w:rsid w:val="00D974D6"/>
    <w:rsid w:val="00D974EE"/>
    <w:rsid w:val="00D9755B"/>
    <w:rsid w:val="00D978A8"/>
    <w:rsid w:val="00D97974"/>
    <w:rsid w:val="00D979FC"/>
    <w:rsid w:val="00D97A7B"/>
    <w:rsid w:val="00D97B0D"/>
    <w:rsid w:val="00D97CA1"/>
    <w:rsid w:val="00D97DF4"/>
    <w:rsid w:val="00D97E30"/>
    <w:rsid w:val="00DA003D"/>
    <w:rsid w:val="00DA0099"/>
    <w:rsid w:val="00DA0B73"/>
    <w:rsid w:val="00DA0C42"/>
    <w:rsid w:val="00DA1678"/>
    <w:rsid w:val="00DA16FD"/>
    <w:rsid w:val="00DA1875"/>
    <w:rsid w:val="00DA19D4"/>
    <w:rsid w:val="00DA2079"/>
    <w:rsid w:val="00DA2648"/>
    <w:rsid w:val="00DA2661"/>
    <w:rsid w:val="00DA28A0"/>
    <w:rsid w:val="00DA2D04"/>
    <w:rsid w:val="00DA2D4E"/>
    <w:rsid w:val="00DA2DEA"/>
    <w:rsid w:val="00DA2FB8"/>
    <w:rsid w:val="00DA330D"/>
    <w:rsid w:val="00DA3333"/>
    <w:rsid w:val="00DA3398"/>
    <w:rsid w:val="00DA3437"/>
    <w:rsid w:val="00DA3CE0"/>
    <w:rsid w:val="00DA3E7A"/>
    <w:rsid w:val="00DA4398"/>
    <w:rsid w:val="00DA491D"/>
    <w:rsid w:val="00DA4DAB"/>
    <w:rsid w:val="00DA5717"/>
    <w:rsid w:val="00DA5A0F"/>
    <w:rsid w:val="00DA5B83"/>
    <w:rsid w:val="00DA5E8D"/>
    <w:rsid w:val="00DA6311"/>
    <w:rsid w:val="00DA6603"/>
    <w:rsid w:val="00DA70ED"/>
    <w:rsid w:val="00DA712A"/>
    <w:rsid w:val="00DA75E5"/>
    <w:rsid w:val="00DB01F0"/>
    <w:rsid w:val="00DB05BA"/>
    <w:rsid w:val="00DB0F52"/>
    <w:rsid w:val="00DB0FBE"/>
    <w:rsid w:val="00DB2304"/>
    <w:rsid w:val="00DB2BF8"/>
    <w:rsid w:val="00DB2D82"/>
    <w:rsid w:val="00DB3B6F"/>
    <w:rsid w:val="00DB41F1"/>
    <w:rsid w:val="00DB4D83"/>
    <w:rsid w:val="00DB5468"/>
    <w:rsid w:val="00DB5862"/>
    <w:rsid w:val="00DB5946"/>
    <w:rsid w:val="00DB5FFF"/>
    <w:rsid w:val="00DB669C"/>
    <w:rsid w:val="00DB7242"/>
    <w:rsid w:val="00DC090C"/>
    <w:rsid w:val="00DC0B08"/>
    <w:rsid w:val="00DC1FDB"/>
    <w:rsid w:val="00DC2490"/>
    <w:rsid w:val="00DC24FB"/>
    <w:rsid w:val="00DC2502"/>
    <w:rsid w:val="00DC2DA4"/>
    <w:rsid w:val="00DC2DF2"/>
    <w:rsid w:val="00DC3180"/>
    <w:rsid w:val="00DC31FC"/>
    <w:rsid w:val="00DC3297"/>
    <w:rsid w:val="00DC364E"/>
    <w:rsid w:val="00DC3784"/>
    <w:rsid w:val="00DC39F6"/>
    <w:rsid w:val="00DC410E"/>
    <w:rsid w:val="00DC4AAA"/>
    <w:rsid w:val="00DC4D6F"/>
    <w:rsid w:val="00DC4F3F"/>
    <w:rsid w:val="00DC52B6"/>
    <w:rsid w:val="00DC572E"/>
    <w:rsid w:val="00DC5D80"/>
    <w:rsid w:val="00DC6069"/>
    <w:rsid w:val="00DC67C1"/>
    <w:rsid w:val="00DC72C7"/>
    <w:rsid w:val="00DC78F9"/>
    <w:rsid w:val="00DC7CA4"/>
    <w:rsid w:val="00DD01B2"/>
    <w:rsid w:val="00DD0DAB"/>
    <w:rsid w:val="00DD0F11"/>
    <w:rsid w:val="00DD10AD"/>
    <w:rsid w:val="00DD290B"/>
    <w:rsid w:val="00DD295F"/>
    <w:rsid w:val="00DD2F91"/>
    <w:rsid w:val="00DD30F2"/>
    <w:rsid w:val="00DD32CE"/>
    <w:rsid w:val="00DD3516"/>
    <w:rsid w:val="00DD3646"/>
    <w:rsid w:val="00DD3674"/>
    <w:rsid w:val="00DD37CD"/>
    <w:rsid w:val="00DD38EB"/>
    <w:rsid w:val="00DD3A92"/>
    <w:rsid w:val="00DD435F"/>
    <w:rsid w:val="00DD47C0"/>
    <w:rsid w:val="00DD53E6"/>
    <w:rsid w:val="00DD69F0"/>
    <w:rsid w:val="00DD6ABE"/>
    <w:rsid w:val="00DD6C77"/>
    <w:rsid w:val="00DD6D24"/>
    <w:rsid w:val="00DD70C5"/>
    <w:rsid w:val="00DD7336"/>
    <w:rsid w:val="00DD748B"/>
    <w:rsid w:val="00DD76AA"/>
    <w:rsid w:val="00DE0247"/>
    <w:rsid w:val="00DE0466"/>
    <w:rsid w:val="00DE0C4F"/>
    <w:rsid w:val="00DE0FE3"/>
    <w:rsid w:val="00DE1150"/>
    <w:rsid w:val="00DE12EE"/>
    <w:rsid w:val="00DE16A3"/>
    <w:rsid w:val="00DE27DE"/>
    <w:rsid w:val="00DE2853"/>
    <w:rsid w:val="00DE2D97"/>
    <w:rsid w:val="00DE34EA"/>
    <w:rsid w:val="00DE36E9"/>
    <w:rsid w:val="00DE38EF"/>
    <w:rsid w:val="00DE39A4"/>
    <w:rsid w:val="00DE3B0E"/>
    <w:rsid w:val="00DE3CE5"/>
    <w:rsid w:val="00DE3ECB"/>
    <w:rsid w:val="00DE424F"/>
    <w:rsid w:val="00DE4527"/>
    <w:rsid w:val="00DE5103"/>
    <w:rsid w:val="00DE5B0C"/>
    <w:rsid w:val="00DE5FBB"/>
    <w:rsid w:val="00DE623D"/>
    <w:rsid w:val="00DE66ED"/>
    <w:rsid w:val="00DE6930"/>
    <w:rsid w:val="00DE6E28"/>
    <w:rsid w:val="00DE6F69"/>
    <w:rsid w:val="00DF0ADD"/>
    <w:rsid w:val="00DF0FB7"/>
    <w:rsid w:val="00DF15A7"/>
    <w:rsid w:val="00DF1C44"/>
    <w:rsid w:val="00DF2484"/>
    <w:rsid w:val="00DF24A2"/>
    <w:rsid w:val="00DF27AD"/>
    <w:rsid w:val="00DF2C45"/>
    <w:rsid w:val="00DF356A"/>
    <w:rsid w:val="00DF35A0"/>
    <w:rsid w:val="00DF3BD1"/>
    <w:rsid w:val="00DF3D04"/>
    <w:rsid w:val="00DF415E"/>
    <w:rsid w:val="00DF43BA"/>
    <w:rsid w:val="00DF4447"/>
    <w:rsid w:val="00DF47D0"/>
    <w:rsid w:val="00DF4C8E"/>
    <w:rsid w:val="00DF5379"/>
    <w:rsid w:val="00DF59A0"/>
    <w:rsid w:val="00DF6050"/>
    <w:rsid w:val="00DF657A"/>
    <w:rsid w:val="00DF6943"/>
    <w:rsid w:val="00DF6B33"/>
    <w:rsid w:val="00DF7035"/>
    <w:rsid w:val="00DF7744"/>
    <w:rsid w:val="00E008F6"/>
    <w:rsid w:val="00E00B96"/>
    <w:rsid w:val="00E00E98"/>
    <w:rsid w:val="00E0176D"/>
    <w:rsid w:val="00E01A7F"/>
    <w:rsid w:val="00E01FD7"/>
    <w:rsid w:val="00E0211B"/>
    <w:rsid w:val="00E022F4"/>
    <w:rsid w:val="00E024A7"/>
    <w:rsid w:val="00E02D30"/>
    <w:rsid w:val="00E02FD3"/>
    <w:rsid w:val="00E03061"/>
    <w:rsid w:val="00E033FC"/>
    <w:rsid w:val="00E034D5"/>
    <w:rsid w:val="00E03848"/>
    <w:rsid w:val="00E039A5"/>
    <w:rsid w:val="00E041CA"/>
    <w:rsid w:val="00E048E0"/>
    <w:rsid w:val="00E05372"/>
    <w:rsid w:val="00E05510"/>
    <w:rsid w:val="00E05AFF"/>
    <w:rsid w:val="00E05C6F"/>
    <w:rsid w:val="00E069DF"/>
    <w:rsid w:val="00E06A69"/>
    <w:rsid w:val="00E06D4B"/>
    <w:rsid w:val="00E06E5C"/>
    <w:rsid w:val="00E0745B"/>
    <w:rsid w:val="00E0766E"/>
    <w:rsid w:val="00E1076F"/>
    <w:rsid w:val="00E10791"/>
    <w:rsid w:val="00E10AAF"/>
    <w:rsid w:val="00E10AE9"/>
    <w:rsid w:val="00E10B62"/>
    <w:rsid w:val="00E10FE9"/>
    <w:rsid w:val="00E1101A"/>
    <w:rsid w:val="00E11230"/>
    <w:rsid w:val="00E1128C"/>
    <w:rsid w:val="00E116A0"/>
    <w:rsid w:val="00E11A43"/>
    <w:rsid w:val="00E11CD5"/>
    <w:rsid w:val="00E11F97"/>
    <w:rsid w:val="00E120C7"/>
    <w:rsid w:val="00E12381"/>
    <w:rsid w:val="00E12383"/>
    <w:rsid w:val="00E12966"/>
    <w:rsid w:val="00E12C39"/>
    <w:rsid w:val="00E130BA"/>
    <w:rsid w:val="00E131E7"/>
    <w:rsid w:val="00E13CC3"/>
    <w:rsid w:val="00E13FF6"/>
    <w:rsid w:val="00E1424F"/>
    <w:rsid w:val="00E144E5"/>
    <w:rsid w:val="00E14A32"/>
    <w:rsid w:val="00E150A2"/>
    <w:rsid w:val="00E164B9"/>
    <w:rsid w:val="00E16962"/>
    <w:rsid w:val="00E20086"/>
    <w:rsid w:val="00E20588"/>
    <w:rsid w:val="00E20AD5"/>
    <w:rsid w:val="00E210CF"/>
    <w:rsid w:val="00E210F8"/>
    <w:rsid w:val="00E21C8B"/>
    <w:rsid w:val="00E22993"/>
    <w:rsid w:val="00E2304F"/>
    <w:rsid w:val="00E23778"/>
    <w:rsid w:val="00E23A35"/>
    <w:rsid w:val="00E23DE1"/>
    <w:rsid w:val="00E23F54"/>
    <w:rsid w:val="00E24FCC"/>
    <w:rsid w:val="00E25259"/>
    <w:rsid w:val="00E2542A"/>
    <w:rsid w:val="00E25828"/>
    <w:rsid w:val="00E26234"/>
    <w:rsid w:val="00E264AC"/>
    <w:rsid w:val="00E26950"/>
    <w:rsid w:val="00E26EE7"/>
    <w:rsid w:val="00E27F7F"/>
    <w:rsid w:val="00E30556"/>
    <w:rsid w:val="00E30C89"/>
    <w:rsid w:val="00E3135A"/>
    <w:rsid w:val="00E328E5"/>
    <w:rsid w:val="00E32B86"/>
    <w:rsid w:val="00E32DA1"/>
    <w:rsid w:val="00E32DD4"/>
    <w:rsid w:val="00E32FB9"/>
    <w:rsid w:val="00E333A4"/>
    <w:rsid w:val="00E33A85"/>
    <w:rsid w:val="00E33BD6"/>
    <w:rsid w:val="00E3432A"/>
    <w:rsid w:val="00E3451B"/>
    <w:rsid w:val="00E345F6"/>
    <w:rsid w:val="00E34718"/>
    <w:rsid w:val="00E34A1F"/>
    <w:rsid w:val="00E34FBA"/>
    <w:rsid w:val="00E353E3"/>
    <w:rsid w:val="00E354B7"/>
    <w:rsid w:val="00E3562E"/>
    <w:rsid w:val="00E35AD9"/>
    <w:rsid w:val="00E35BB4"/>
    <w:rsid w:val="00E35D0E"/>
    <w:rsid w:val="00E36243"/>
    <w:rsid w:val="00E3626E"/>
    <w:rsid w:val="00E36748"/>
    <w:rsid w:val="00E36961"/>
    <w:rsid w:val="00E37038"/>
    <w:rsid w:val="00E37208"/>
    <w:rsid w:val="00E3725A"/>
    <w:rsid w:val="00E37834"/>
    <w:rsid w:val="00E37E77"/>
    <w:rsid w:val="00E404CE"/>
    <w:rsid w:val="00E4087D"/>
    <w:rsid w:val="00E409EA"/>
    <w:rsid w:val="00E40B3F"/>
    <w:rsid w:val="00E40D13"/>
    <w:rsid w:val="00E40D7E"/>
    <w:rsid w:val="00E412BB"/>
    <w:rsid w:val="00E41643"/>
    <w:rsid w:val="00E42114"/>
    <w:rsid w:val="00E4261D"/>
    <w:rsid w:val="00E42766"/>
    <w:rsid w:val="00E427FE"/>
    <w:rsid w:val="00E433C0"/>
    <w:rsid w:val="00E433E6"/>
    <w:rsid w:val="00E443AD"/>
    <w:rsid w:val="00E44A2C"/>
    <w:rsid w:val="00E4512D"/>
    <w:rsid w:val="00E451C4"/>
    <w:rsid w:val="00E4534F"/>
    <w:rsid w:val="00E453BB"/>
    <w:rsid w:val="00E45819"/>
    <w:rsid w:val="00E45985"/>
    <w:rsid w:val="00E45DFE"/>
    <w:rsid w:val="00E45E38"/>
    <w:rsid w:val="00E46426"/>
    <w:rsid w:val="00E4656D"/>
    <w:rsid w:val="00E465F3"/>
    <w:rsid w:val="00E470AE"/>
    <w:rsid w:val="00E47BF0"/>
    <w:rsid w:val="00E5013F"/>
    <w:rsid w:val="00E50666"/>
    <w:rsid w:val="00E51CF6"/>
    <w:rsid w:val="00E52153"/>
    <w:rsid w:val="00E52D5E"/>
    <w:rsid w:val="00E53072"/>
    <w:rsid w:val="00E53F58"/>
    <w:rsid w:val="00E5407D"/>
    <w:rsid w:val="00E54668"/>
    <w:rsid w:val="00E55072"/>
    <w:rsid w:val="00E55243"/>
    <w:rsid w:val="00E5556A"/>
    <w:rsid w:val="00E55599"/>
    <w:rsid w:val="00E55738"/>
    <w:rsid w:val="00E55A65"/>
    <w:rsid w:val="00E55D48"/>
    <w:rsid w:val="00E55D75"/>
    <w:rsid w:val="00E568E1"/>
    <w:rsid w:val="00E56EB2"/>
    <w:rsid w:val="00E5738B"/>
    <w:rsid w:val="00E574EE"/>
    <w:rsid w:val="00E577B8"/>
    <w:rsid w:val="00E57DA6"/>
    <w:rsid w:val="00E601A2"/>
    <w:rsid w:val="00E60457"/>
    <w:rsid w:val="00E61249"/>
    <w:rsid w:val="00E62414"/>
    <w:rsid w:val="00E62506"/>
    <w:rsid w:val="00E62A1A"/>
    <w:rsid w:val="00E6327C"/>
    <w:rsid w:val="00E63BEC"/>
    <w:rsid w:val="00E64BDF"/>
    <w:rsid w:val="00E64F2D"/>
    <w:rsid w:val="00E65631"/>
    <w:rsid w:val="00E65BD3"/>
    <w:rsid w:val="00E65D9E"/>
    <w:rsid w:val="00E65EB8"/>
    <w:rsid w:val="00E66222"/>
    <w:rsid w:val="00E664F6"/>
    <w:rsid w:val="00E66650"/>
    <w:rsid w:val="00E66862"/>
    <w:rsid w:val="00E6698D"/>
    <w:rsid w:val="00E669CC"/>
    <w:rsid w:val="00E67A0A"/>
    <w:rsid w:val="00E67CC1"/>
    <w:rsid w:val="00E67E02"/>
    <w:rsid w:val="00E67EC1"/>
    <w:rsid w:val="00E70988"/>
    <w:rsid w:val="00E70D02"/>
    <w:rsid w:val="00E713DD"/>
    <w:rsid w:val="00E7219A"/>
    <w:rsid w:val="00E7254B"/>
    <w:rsid w:val="00E7276A"/>
    <w:rsid w:val="00E72ABF"/>
    <w:rsid w:val="00E72D6B"/>
    <w:rsid w:val="00E72EA9"/>
    <w:rsid w:val="00E730B0"/>
    <w:rsid w:val="00E73397"/>
    <w:rsid w:val="00E73399"/>
    <w:rsid w:val="00E73C48"/>
    <w:rsid w:val="00E74003"/>
    <w:rsid w:val="00E741E8"/>
    <w:rsid w:val="00E74A54"/>
    <w:rsid w:val="00E74BB2"/>
    <w:rsid w:val="00E7521A"/>
    <w:rsid w:val="00E75397"/>
    <w:rsid w:val="00E75E8E"/>
    <w:rsid w:val="00E763F3"/>
    <w:rsid w:val="00E76FB9"/>
    <w:rsid w:val="00E7713F"/>
    <w:rsid w:val="00E7790F"/>
    <w:rsid w:val="00E80575"/>
    <w:rsid w:val="00E80770"/>
    <w:rsid w:val="00E80A21"/>
    <w:rsid w:val="00E80C32"/>
    <w:rsid w:val="00E810E0"/>
    <w:rsid w:val="00E81C0C"/>
    <w:rsid w:val="00E81E6B"/>
    <w:rsid w:val="00E81E7A"/>
    <w:rsid w:val="00E821D4"/>
    <w:rsid w:val="00E82702"/>
    <w:rsid w:val="00E82B31"/>
    <w:rsid w:val="00E82BAC"/>
    <w:rsid w:val="00E82D51"/>
    <w:rsid w:val="00E830E0"/>
    <w:rsid w:val="00E8365F"/>
    <w:rsid w:val="00E83698"/>
    <w:rsid w:val="00E83705"/>
    <w:rsid w:val="00E84607"/>
    <w:rsid w:val="00E84AA1"/>
    <w:rsid w:val="00E8615A"/>
    <w:rsid w:val="00E861E6"/>
    <w:rsid w:val="00E86259"/>
    <w:rsid w:val="00E86C43"/>
    <w:rsid w:val="00E86D48"/>
    <w:rsid w:val="00E87E97"/>
    <w:rsid w:val="00E9006D"/>
    <w:rsid w:val="00E918AF"/>
    <w:rsid w:val="00E91C26"/>
    <w:rsid w:val="00E91FA7"/>
    <w:rsid w:val="00E920A1"/>
    <w:rsid w:val="00E92183"/>
    <w:rsid w:val="00E92CE1"/>
    <w:rsid w:val="00E93440"/>
    <w:rsid w:val="00E934F0"/>
    <w:rsid w:val="00E937A7"/>
    <w:rsid w:val="00E93C10"/>
    <w:rsid w:val="00E93C3E"/>
    <w:rsid w:val="00E93C92"/>
    <w:rsid w:val="00E93EB9"/>
    <w:rsid w:val="00E94478"/>
    <w:rsid w:val="00E94593"/>
    <w:rsid w:val="00E94CD0"/>
    <w:rsid w:val="00E94EB5"/>
    <w:rsid w:val="00E94F3B"/>
    <w:rsid w:val="00E94F9E"/>
    <w:rsid w:val="00E954C9"/>
    <w:rsid w:val="00E95E9E"/>
    <w:rsid w:val="00E95EA6"/>
    <w:rsid w:val="00E95F22"/>
    <w:rsid w:val="00E96140"/>
    <w:rsid w:val="00E96256"/>
    <w:rsid w:val="00E965D3"/>
    <w:rsid w:val="00E96666"/>
    <w:rsid w:val="00E96885"/>
    <w:rsid w:val="00E96979"/>
    <w:rsid w:val="00E96AAD"/>
    <w:rsid w:val="00E96C3F"/>
    <w:rsid w:val="00E97841"/>
    <w:rsid w:val="00E97B92"/>
    <w:rsid w:val="00EA09D8"/>
    <w:rsid w:val="00EA0DC0"/>
    <w:rsid w:val="00EA15B4"/>
    <w:rsid w:val="00EA2102"/>
    <w:rsid w:val="00EA2B7A"/>
    <w:rsid w:val="00EA3D5B"/>
    <w:rsid w:val="00EA3D82"/>
    <w:rsid w:val="00EA401F"/>
    <w:rsid w:val="00EA449B"/>
    <w:rsid w:val="00EA4590"/>
    <w:rsid w:val="00EA4679"/>
    <w:rsid w:val="00EA5134"/>
    <w:rsid w:val="00EA54FE"/>
    <w:rsid w:val="00EA55B5"/>
    <w:rsid w:val="00EA577F"/>
    <w:rsid w:val="00EA5A8A"/>
    <w:rsid w:val="00EA5B7A"/>
    <w:rsid w:val="00EA6586"/>
    <w:rsid w:val="00EA65C3"/>
    <w:rsid w:val="00EA67EA"/>
    <w:rsid w:val="00EA6B4E"/>
    <w:rsid w:val="00EA7620"/>
    <w:rsid w:val="00EA770B"/>
    <w:rsid w:val="00EA7BD2"/>
    <w:rsid w:val="00EA7E05"/>
    <w:rsid w:val="00EB0041"/>
    <w:rsid w:val="00EB04DD"/>
    <w:rsid w:val="00EB0672"/>
    <w:rsid w:val="00EB0843"/>
    <w:rsid w:val="00EB0C83"/>
    <w:rsid w:val="00EB0CC5"/>
    <w:rsid w:val="00EB1633"/>
    <w:rsid w:val="00EB1844"/>
    <w:rsid w:val="00EB185B"/>
    <w:rsid w:val="00EB18CB"/>
    <w:rsid w:val="00EB1A6C"/>
    <w:rsid w:val="00EB2116"/>
    <w:rsid w:val="00EB2545"/>
    <w:rsid w:val="00EB2700"/>
    <w:rsid w:val="00EB27B4"/>
    <w:rsid w:val="00EB2EE7"/>
    <w:rsid w:val="00EB328E"/>
    <w:rsid w:val="00EB34D6"/>
    <w:rsid w:val="00EB3BDE"/>
    <w:rsid w:val="00EB3C26"/>
    <w:rsid w:val="00EB3F3E"/>
    <w:rsid w:val="00EB400F"/>
    <w:rsid w:val="00EB4054"/>
    <w:rsid w:val="00EB499C"/>
    <w:rsid w:val="00EB5263"/>
    <w:rsid w:val="00EB5565"/>
    <w:rsid w:val="00EB5745"/>
    <w:rsid w:val="00EB5D25"/>
    <w:rsid w:val="00EB63D6"/>
    <w:rsid w:val="00EB6DEC"/>
    <w:rsid w:val="00EB6FF3"/>
    <w:rsid w:val="00EB71F0"/>
    <w:rsid w:val="00EB7210"/>
    <w:rsid w:val="00EC006A"/>
    <w:rsid w:val="00EC0443"/>
    <w:rsid w:val="00EC0923"/>
    <w:rsid w:val="00EC0BB7"/>
    <w:rsid w:val="00EC1033"/>
    <w:rsid w:val="00EC10C3"/>
    <w:rsid w:val="00EC138F"/>
    <w:rsid w:val="00EC1FE1"/>
    <w:rsid w:val="00EC2088"/>
    <w:rsid w:val="00EC22C4"/>
    <w:rsid w:val="00EC25FF"/>
    <w:rsid w:val="00EC2601"/>
    <w:rsid w:val="00EC2CD9"/>
    <w:rsid w:val="00EC3469"/>
    <w:rsid w:val="00EC358A"/>
    <w:rsid w:val="00EC3676"/>
    <w:rsid w:val="00EC382C"/>
    <w:rsid w:val="00EC3EEB"/>
    <w:rsid w:val="00EC4316"/>
    <w:rsid w:val="00EC47D5"/>
    <w:rsid w:val="00EC49D9"/>
    <w:rsid w:val="00EC50C4"/>
    <w:rsid w:val="00EC5A1F"/>
    <w:rsid w:val="00EC5A77"/>
    <w:rsid w:val="00EC62B1"/>
    <w:rsid w:val="00EC6396"/>
    <w:rsid w:val="00EC66E4"/>
    <w:rsid w:val="00EC6996"/>
    <w:rsid w:val="00EC6B17"/>
    <w:rsid w:val="00EC7700"/>
    <w:rsid w:val="00EC7873"/>
    <w:rsid w:val="00EC7D32"/>
    <w:rsid w:val="00ED038D"/>
    <w:rsid w:val="00ED0519"/>
    <w:rsid w:val="00ED0BC7"/>
    <w:rsid w:val="00ED139A"/>
    <w:rsid w:val="00ED1AD9"/>
    <w:rsid w:val="00ED1B88"/>
    <w:rsid w:val="00ED1E51"/>
    <w:rsid w:val="00ED23AE"/>
    <w:rsid w:val="00ED2B4F"/>
    <w:rsid w:val="00ED32CC"/>
    <w:rsid w:val="00ED3598"/>
    <w:rsid w:val="00ED36C7"/>
    <w:rsid w:val="00ED396E"/>
    <w:rsid w:val="00ED398A"/>
    <w:rsid w:val="00ED3E55"/>
    <w:rsid w:val="00ED3E87"/>
    <w:rsid w:val="00ED41FD"/>
    <w:rsid w:val="00ED422D"/>
    <w:rsid w:val="00ED50B6"/>
    <w:rsid w:val="00ED518B"/>
    <w:rsid w:val="00ED5E3D"/>
    <w:rsid w:val="00ED6BD1"/>
    <w:rsid w:val="00ED6E54"/>
    <w:rsid w:val="00ED6F3D"/>
    <w:rsid w:val="00ED73E1"/>
    <w:rsid w:val="00ED75F7"/>
    <w:rsid w:val="00ED7624"/>
    <w:rsid w:val="00ED7625"/>
    <w:rsid w:val="00ED779A"/>
    <w:rsid w:val="00ED7BA3"/>
    <w:rsid w:val="00ED7C19"/>
    <w:rsid w:val="00ED7D7A"/>
    <w:rsid w:val="00EE054C"/>
    <w:rsid w:val="00EE05DB"/>
    <w:rsid w:val="00EE081B"/>
    <w:rsid w:val="00EE1084"/>
    <w:rsid w:val="00EE127A"/>
    <w:rsid w:val="00EE1809"/>
    <w:rsid w:val="00EE1A74"/>
    <w:rsid w:val="00EE1E24"/>
    <w:rsid w:val="00EE2404"/>
    <w:rsid w:val="00EE2639"/>
    <w:rsid w:val="00EE28DC"/>
    <w:rsid w:val="00EE2B09"/>
    <w:rsid w:val="00EE32CD"/>
    <w:rsid w:val="00EE3ACE"/>
    <w:rsid w:val="00EE4B33"/>
    <w:rsid w:val="00EE4C14"/>
    <w:rsid w:val="00EE5C9F"/>
    <w:rsid w:val="00EE5E13"/>
    <w:rsid w:val="00EE5F36"/>
    <w:rsid w:val="00EF0596"/>
    <w:rsid w:val="00EF0DB5"/>
    <w:rsid w:val="00EF1DEF"/>
    <w:rsid w:val="00EF1F04"/>
    <w:rsid w:val="00EF20E2"/>
    <w:rsid w:val="00EF2132"/>
    <w:rsid w:val="00EF28DA"/>
    <w:rsid w:val="00EF2E1F"/>
    <w:rsid w:val="00EF368E"/>
    <w:rsid w:val="00EF405B"/>
    <w:rsid w:val="00EF41CA"/>
    <w:rsid w:val="00EF4928"/>
    <w:rsid w:val="00EF5B2D"/>
    <w:rsid w:val="00EF5FCF"/>
    <w:rsid w:val="00EF62B7"/>
    <w:rsid w:val="00EF692B"/>
    <w:rsid w:val="00EF6BB0"/>
    <w:rsid w:val="00EF6EA1"/>
    <w:rsid w:val="00EF704A"/>
    <w:rsid w:val="00EF7B3C"/>
    <w:rsid w:val="00EF7F33"/>
    <w:rsid w:val="00F002AD"/>
    <w:rsid w:val="00F0070C"/>
    <w:rsid w:val="00F007AA"/>
    <w:rsid w:val="00F008B8"/>
    <w:rsid w:val="00F00A41"/>
    <w:rsid w:val="00F014EB"/>
    <w:rsid w:val="00F018F9"/>
    <w:rsid w:val="00F01A4B"/>
    <w:rsid w:val="00F01B70"/>
    <w:rsid w:val="00F01C10"/>
    <w:rsid w:val="00F01E61"/>
    <w:rsid w:val="00F01EBB"/>
    <w:rsid w:val="00F02321"/>
    <w:rsid w:val="00F0243A"/>
    <w:rsid w:val="00F02640"/>
    <w:rsid w:val="00F02828"/>
    <w:rsid w:val="00F02A8A"/>
    <w:rsid w:val="00F02B4E"/>
    <w:rsid w:val="00F03452"/>
    <w:rsid w:val="00F047E0"/>
    <w:rsid w:val="00F04822"/>
    <w:rsid w:val="00F04F7C"/>
    <w:rsid w:val="00F053E6"/>
    <w:rsid w:val="00F0544A"/>
    <w:rsid w:val="00F05A21"/>
    <w:rsid w:val="00F05AC7"/>
    <w:rsid w:val="00F05DE2"/>
    <w:rsid w:val="00F05FD3"/>
    <w:rsid w:val="00F06394"/>
    <w:rsid w:val="00F06398"/>
    <w:rsid w:val="00F06A40"/>
    <w:rsid w:val="00F072CB"/>
    <w:rsid w:val="00F073F7"/>
    <w:rsid w:val="00F07443"/>
    <w:rsid w:val="00F075C9"/>
    <w:rsid w:val="00F07E6B"/>
    <w:rsid w:val="00F07F4B"/>
    <w:rsid w:val="00F10B40"/>
    <w:rsid w:val="00F10E6A"/>
    <w:rsid w:val="00F114D7"/>
    <w:rsid w:val="00F11BA8"/>
    <w:rsid w:val="00F126D8"/>
    <w:rsid w:val="00F12F50"/>
    <w:rsid w:val="00F13CA9"/>
    <w:rsid w:val="00F13D0D"/>
    <w:rsid w:val="00F13DB5"/>
    <w:rsid w:val="00F147F3"/>
    <w:rsid w:val="00F14AE3"/>
    <w:rsid w:val="00F15F35"/>
    <w:rsid w:val="00F1637E"/>
    <w:rsid w:val="00F1656F"/>
    <w:rsid w:val="00F17327"/>
    <w:rsid w:val="00F1750A"/>
    <w:rsid w:val="00F1783E"/>
    <w:rsid w:val="00F17B73"/>
    <w:rsid w:val="00F20A94"/>
    <w:rsid w:val="00F21025"/>
    <w:rsid w:val="00F21147"/>
    <w:rsid w:val="00F2180B"/>
    <w:rsid w:val="00F22BC8"/>
    <w:rsid w:val="00F22DDA"/>
    <w:rsid w:val="00F2381E"/>
    <w:rsid w:val="00F2429C"/>
    <w:rsid w:val="00F2466A"/>
    <w:rsid w:val="00F255AE"/>
    <w:rsid w:val="00F256BA"/>
    <w:rsid w:val="00F25BDC"/>
    <w:rsid w:val="00F25CFF"/>
    <w:rsid w:val="00F25DDE"/>
    <w:rsid w:val="00F261E1"/>
    <w:rsid w:val="00F268F4"/>
    <w:rsid w:val="00F26B75"/>
    <w:rsid w:val="00F26BE6"/>
    <w:rsid w:val="00F275FF"/>
    <w:rsid w:val="00F27A73"/>
    <w:rsid w:val="00F27E6D"/>
    <w:rsid w:val="00F301CE"/>
    <w:rsid w:val="00F3052E"/>
    <w:rsid w:val="00F30544"/>
    <w:rsid w:val="00F30647"/>
    <w:rsid w:val="00F30D81"/>
    <w:rsid w:val="00F30F3E"/>
    <w:rsid w:val="00F310D2"/>
    <w:rsid w:val="00F317ED"/>
    <w:rsid w:val="00F31D94"/>
    <w:rsid w:val="00F31E25"/>
    <w:rsid w:val="00F31E9E"/>
    <w:rsid w:val="00F32020"/>
    <w:rsid w:val="00F32054"/>
    <w:rsid w:val="00F32155"/>
    <w:rsid w:val="00F32710"/>
    <w:rsid w:val="00F33253"/>
    <w:rsid w:val="00F3372E"/>
    <w:rsid w:val="00F33972"/>
    <w:rsid w:val="00F339AF"/>
    <w:rsid w:val="00F33F9D"/>
    <w:rsid w:val="00F34E39"/>
    <w:rsid w:val="00F35035"/>
    <w:rsid w:val="00F35397"/>
    <w:rsid w:val="00F3580E"/>
    <w:rsid w:val="00F35D40"/>
    <w:rsid w:val="00F35DD6"/>
    <w:rsid w:val="00F364AE"/>
    <w:rsid w:val="00F367F7"/>
    <w:rsid w:val="00F37162"/>
    <w:rsid w:val="00F3729A"/>
    <w:rsid w:val="00F376A4"/>
    <w:rsid w:val="00F4042F"/>
    <w:rsid w:val="00F408B8"/>
    <w:rsid w:val="00F40FC8"/>
    <w:rsid w:val="00F41257"/>
    <w:rsid w:val="00F41F4B"/>
    <w:rsid w:val="00F4200E"/>
    <w:rsid w:val="00F420DA"/>
    <w:rsid w:val="00F4242F"/>
    <w:rsid w:val="00F42C43"/>
    <w:rsid w:val="00F42C5C"/>
    <w:rsid w:val="00F42DA7"/>
    <w:rsid w:val="00F43032"/>
    <w:rsid w:val="00F430DA"/>
    <w:rsid w:val="00F44378"/>
    <w:rsid w:val="00F44B93"/>
    <w:rsid w:val="00F44EB6"/>
    <w:rsid w:val="00F44FB8"/>
    <w:rsid w:val="00F4523B"/>
    <w:rsid w:val="00F4531F"/>
    <w:rsid w:val="00F458A9"/>
    <w:rsid w:val="00F45921"/>
    <w:rsid w:val="00F45A5E"/>
    <w:rsid w:val="00F45B07"/>
    <w:rsid w:val="00F45B08"/>
    <w:rsid w:val="00F46165"/>
    <w:rsid w:val="00F46215"/>
    <w:rsid w:val="00F463D2"/>
    <w:rsid w:val="00F46417"/>
    <w:rsid w:val="00F465BA"/>
    <w:rsid w:val="00F4670A"/>
    <w:rsid w:val="00F46A62"/>
    <w:rsid w:val="00F46ABE"/>
    <w:rsid w:val="00F46D5A"/>
    <w:rsid w:val="00F47C2C"/>
    <w:rsid w:val="00F47EEA"/>
    <w:rsid w:val="00F50447"/>
    <w:rsid w:val="00F50697"/>
    <w:rsid w:val="00F50C1E"/>
    <w:rsid w:val="00F50D7B"/>
    <w:rsid w:val="00F51140"/>
    <w:rsid w:val="00F5135A"/>
    <w:rsid w:val="00F513F6"/>
    <w:rsid w:val="00F51556"/>
    <w:rsid w:val="00F5169F"/>
    <w:rsid w:val="00F518F9"/>
    <w:rsid w:val="00F51C5C"/>
    <w:rsid w:val="00F51F36"/>
    <w:rsid w:val="00F52115"/>
    <w:rsid w:val="00F5235B"/>
    <w:rsid w:val="00F534D7"/>
    <w:rsid w:val="00F535AD"/>
    <w:rsid w:val="00F54110"/>
    <w:rsid w:val="00F54462"/>
    <w:rsid w:val="00F54CFD"/>
    <w:rsid w:val="00F5529F"/>
    <w:rsid w:val="00F5555D"/>
    <w:rsid w:val="00F55A8F"/>
    <w:rsid w:val="00F55C9B"/>
    <w:rsid w:val="00F55E46"/>
    <w:rsid w:val="00F5671C"/>
    <w:rsid w:val="00F57086"/>
    <w:rsid w:val="00F5709B"/>
    <w:rsid w:val="00F5744A"/>
    <w:rsid w:val="00F57771"/>
    <w:rsid w:val="00F577BD"/>
    <w:rsid w:val="00F578E7"/>
    <w:rsid w:val="00F57910"/>
    <w:rsid w:val="00F57976"/>
    <w:rsid w:val="00F57CA1"/>
    <w:rsid w:val="00F6034A"/>
    <w:rsid w:val="00F603AA"/>
    <w:rsid w:val="00F604E2"/>
    <w:rsid w:val="00F60B4E"/>
    <w:rsid w:val="00F61049"/>
    <w:rsid w:val="00F610B3"/>
    <w:rsid w:val="00F61417"/>
    <w:rsid w:val="00F617CB"/>
    <w:rsid w:val="00F620D2"/>
    <w:rsid w:val="00F6273C"/>
    <w:rsid w:val="00F6282A"/>
    <w:rsid w:val="00F62891"/>
    <w:rsid w:val="00F63439"/>
    <w:rsid w:val="00F63CE6"/>
    <w:rsid w:val="00F653DE"/>
    <w:rsid w:val="00F65576"/>
    <w:rsid w:val="00F65EE4"/>
    <w:rsid w:val="00F66E52"/>
    <w:rsid w:val="00F66FB8"/>
    <w:rsid w:val="00F672E7"/>
    <w:rsid w:val="00F672F4"/>
    <w:rsid w:val="00F67344"/>
    <w:rsid w:val="00F675B4"/>
    <w:rsid w:val="00F676C7"/>
    <w:rsid w:val="00F67708"/>
    <w:rsid w:val="00F677EC"/>
    <w:rsid w:val="00F67D9D"/>
    <w:rsid w:val="00F67EA7"/>
    <w:rsid w:val="00F700EB"/>
    <w:rsid w:val="00F7014A"/>
    <w:rsid w:val="00F702BA"/>
    <w:rsid w:val="00F703CC"/>
    <w:rsid w:val="00F7041D"/>
    <w:rsid w:val="00F708A5"/>
    <w:rsid w:val="00F70EAC"/>
    <w:rsid w:val="00F72042"/>
    <w:rsid w:val="00F720C5"/>
    <w:rsid w:val="00F72198"/>
    <w:rsid w:val="00F723E5"/>
    <w:rsid w:val="00F72B09"/>
    <w:rsid w:val="00F72DAE"/>
    <w:rsid w:val="00F7349F"/>
    <w:rsid w:val="00F73E4C"/>
    <w:rsid w:val="00F74378"/>
    <w:rsid w:val="00F74390"/>
    <w:rsid w:val="00F74813"/>
    <w:rsid w:val="00F7490F"/>
    <w:rsid w:val="00F74ED7"/>
    <w:rsid w:val="00F75D3A"/>
    <w:rsid w:val="00F75D8B"/>
    <w:rsid w:val="00F7603C"/>
    <w:rsid w:val="00F76D16"/>
    <w:rsid w:val="00F77201"/>
    <w:rsid w:val="00F77837"/>
    <w:rsid w:val="00F77A38"/>
    <w:rsid w:val="00F77D45"/>
    <w:rsid w:val="00F802A2"/>
    <w:rsid w:val="00F80643"/>
    <w:rsid w:val="00F80832"/>
    <w:rsid w:val="00F80C5A"/>
    <w:rsid w:val="00F81091"/>
    <w:rsid w:val="00F814B3"/>
    <w:rsid w:val="00F814CE"/>
    <w:rsid w:val="00F81657"/>
    <w:rsid w:val="00F81A3D"/>
    <w:rsid w:val="00F8200E"/>
    <w:rsid w:val="00F82477"/>
    <w:rsid w:val="00F8257B"/>
    <w:rsid w:val="00F825C8"/>
    <w:rsid w:val="00F82CB1"/>
    <w:rsid w:val="00F82EF9"/>
    <w:rsid w:val="00F83472"/>
    <w:rsid w:val="00F83478"/>
    <w:rsid w:val="00F83A5B"/>
    <w:rsid w:val="00F83B6A"/>
    <w:rsid w:val="00F83C45"/>
    <w:rsid w:val="00F84754"/>
    <w:rsid w:val="00F84891"/>
    <w:rsid w:val="00F84A57"/>
    <w:rsid w:val="00F84B12"/>
    <w:rsid w:val="00F84DA5"/>
    <w:rsid w:val="00F850A2"/>
    <w:rsid w:val="00F856E5"/>
    <w:rsid w:val="00F85BDC"/>
    <w:rsid w:val="00F85E76"/>
    <w:rsid w:val="00F85FB8"/>
    <w:rsid w:val="00F85FFF"/>
    <w:rsid w:val="00F860F8"/>
    <w:rsid w:val="00F863E1"/>
    <w:rsid w:val="00F864AC"/>
    <w:rsid w:val="00F86AC5"/>
    <w:rsid w:val="00F86B85"/>
    <w:rsid w:val="00F86CA3"/>
    <w:rsid w:val="00F872E6"/>
    <w:rsid w:val="00F87309"/>
    <w:rsid w:val="00F87AB2"/>
    <w:rsid w:val="00F87ECD"/>
    <w:rsid w:val="00F87F34"/>
    <w:rsid w:val="00F9044A"/>
    <w:rsid w:val="00F90908"/>
    <w:rsid w:val="00F910F0"/>
    <w:rsid w:val="00F914EB"/>
    <w:rsid w:val="00F91871"/>
    <w:rsid w:val="00F91C1C"/>
    <w:rsid w:val="00F91E6E"/>
    <w:rsid w:val="00F9283F"/>
    <w:rsid w:val="00F93368"/>
    <w:rsid w:val="00F939C2"/>
    <w:rsid w:val="00F94620"/>
    <w:rsid w:val="00F9479A"/>
    <w:rsid w:val="00F94A82"/>
    <w:rsid w:val="00F950BB"/>
    <w:rsid w:val="00F9528A"/>
    <w:rsid w:val="00F9531D"/>
    <w:rsid w:val="00F954EA"/>
    <w:rsid w:val="00F9597B"/>
    <w:rsid w:val="00F95D8F"/>
    <w:rsid w:val="00F960E0"/>
    <w:rsid w:val="00F96F59"/>
    <w:rsid w:val="00FA0D4A"/>
    <w:rsid w:val="00FA1103"/>
    <w:rsid w:val="00FA132E"/>
    <w:rsid w:val="00FA13B8"/>
    <w:rsid w:val="00FA1592"/>
    <w:rsid w:val="00FA19B3"/>
    <w:rsid w:val="00FA1A4E"/>
    <w:rsid w:val="00FA2107"/>
    <w:rsid w:val="00FA226B"/>
    <w:rsid w:val="00FA2975"/>
    <w:rsid w:val="00FA2A21"/>
    <w:rsid w:val="00FA2E2D"/>
    <w:rsid w:val="00FA2EAF"/>
    <w:rsid w:val="00FA3A58"/>
    <w:rsid w:val="00FA3F7E"/>
    <w:rsid w:val="00FA4143"/>
    <w:rsid w:val="00FA45CC"/>
    <w:rsid w:val="00FA45D0"/>
    <w:rsid w:val="00FA4D79"/>
    <w:rsid w:val="00FA5527"/>
    <w:rsid w:val="00FA5DB3"/>
    <w:rsid w:val="00FA6087"/>
    <w:rsid w:val="00FA63C4"/>
    <w:rsid w:val="00FA69EA"/>
    <w:rsid w:val="00FA6E72"/>
    <w:rsid w:val="00FA7123"/>
    <w:rsid w:val="00FA75B9"/>
    <w:rsid w:val="00FA776B"/>
    <w:rsid w:val="00FB1046"/>
    <w:rsid w:val="00FB11D8"/>
    <w:rsid w:val="00FB13BD"/>
    <w:rsid w:val="00FB1A60"/>
    <w:rsid w:val="00FB3861"/>
    <w:rsid w:val="00FB38F6"/>
    <w:rsid w:val="00FB3C7B"/>
    <w:rsid w:val="00FB3CFD"/>
    <w:rsid w:val="00FB3F07"/>
    <w:rsid w:val="00FB4F0D"/>
    <w:rsid w:val="00FB5085"/>
    <w:rsid w:val="00FB563E"/>
    <w:rsid w:val="00FB59CD"/>
    <w:rsid w:val="00FB5DE6"/>
    <w:rsid w:val="00FB645D"/>
    <w:rsid w:val="00FB7523"/>
    <w:rsid w:val="00FC006C"/>
    <w:rsid w:val="00FC0175"/>
    <w:rsid w:val="00FC0711"/>
    <w:rsid w:val="00FC0A2C"/>
    <w:rsid w:val="00FC0FB2"/>
    <w:rsid w:val="00FC1049"/>
    <w:rsid w:val="00FC11C9"/>
    <w:rsid w:val="00FC12F3"/>
    <w:rsid w:val="00FC1921"/>
    <w:rsid w:val="00FC214F"/>
    <w:rsid w:val="00FC23EC"/>
    <w:rsid w:val="00FC2589"/>
    <w:rsid w:val="00FC3318"/>
    <w:rsid w:val="00FC3567"/>
    <w:rsid w:val="00FC3588"/>
    <w:rsid w:val="00FC36A0"/>
    <w:rsid w:val="00FC3FA9"/>
    <w:rsid w:val="00FC4968"/>
    <w:rsid w:val="00FC4D16"/>
    <w:rsid w:val="00FC57B6"/>
    <w:rsid w:val="00FC5AC0"/>
    <w:rsid w:val="00FC619D"/>
    <w:rsid w:val="00FC65FC"/>
    <w:rsid w:val="00FC6D9C"/>
    <w:rsid w:val="00FC6E8E"/>
    <w:rsid w:val="00FC6F67"/>
    <w:rsid w:val="00FC701C"/>
    <w:rsid w:val="00FC708B"/>
    <w:rsid w:val="00FC757D"/>
    <w:rsid w:val="00FD025B"/>
    <w:rsid w:val="00FD06F3"/>
    <w:rsid w:val="00FD0778"/>
    <w:rsid w:val="00FD09C3"/>
    <w:rsid w:val="00FD09F7"/>
    <w:rsid w:val="00FD0D2A"/>
    <w:rsid w:val="00FD0D9C"/>
    <w:rsid w:val="00FD0E68"/>
    <w:rsid w:val="00FD1356"/>
    <w:rsid w:val="00FD14CA"/>
    <w:rsid w:val="00FD1A55"/>
    <w:rsid w:val="00FD1D72"/>
    <w:rsid w:val="00FD2214"/>
    <w:rsid w:val="00FD2251"/>
    <w:rsid w:val="00FD24FA"/>
    <w:rsid w:val="00FD2585"/>
    <w:rsid w:val="00FD2B99"/>
    <w:rsid w:val="00FD2CAF"/>
    <w:rsid w:val="00FD3409"/>
    <w:rsid w:val="00FD3807"/>
    <w:rsid w:val="00FD3D50"/>
    <w:rsid w:val="00FD4478"/>
    <w:rsid w:val="00FD447D"/>
    <w:rsid w:val="00FD458F"/>
    <w:rsid w:val="00FD4DD2"/>
    <w:rsid w:val="00FD500B"/>
    <w:rsid w:val="00FD53F9"/>
    <w:rsid w:val="00FD5572"/>
    <w:rsid w:val="00FD55B3"/>
    <w:rsid w:val="00FD56FA"/>
    <w:rsid w:val="00FD5770"/>
    <w:rsid w:val="00FD5D7D"/>
    <w:rsid w:val="00FD6151"/>
    <w:rsid w:val="00FD6BE5"/>
    <w:rsid w:val="00FD745F"/>
    <w:rsid w:val="00FD77D4"/>
    <w:rsid w:val="00FD7F90"/>
    <w:rsid w:val="00FE0295"/>
    <w:rsid w:val="00FE163F"/>
    <w:rsid w:val="00FE1956"/>
    <w:rsid w:val="00FE1A57"/>
    <w:rsid w:val="00FE1A88"/>
    <w:rsid w:val="00FE208D"/>
    <w:rsid w:val="00FE38A7"/>
    <w:rsid w:val="00FE39F6"/>
    <w:rsid w:val="00FE3F9C"/>
    <w:rsid w:val="00FE41F1"/>
    <w:rsid w:val="00FE4309"/>
    <w:rsid w:val="00FE45FC"/>
    <w:rsid w:val="00FE4AA9"/>
    <w:rsid w:val="00FE5767"/>
    <w:rsid w:val="00FE5A01"/>
    <w:rsid w:val="00FE5D51"/>
    <w:rsid w:val="00FE620F"/>
    <w:rsid w:val="00FE76BA"/>
    <w:rsid w:val="00FE78AB"/>
    <w:rsid w:val="00FE7D8B"/>
    <w:rsid w:val="00FE7EA8"/>
    <w:rsid w:val="00FE7F95"/>
    <w:rsid w:val="00FF017F"/>
    <w:rsid w:val="00FF0511"/>
    <w:rsid w:val="00FF07AF"/>
    <w:rsid w:val="00FF099C"/>
    <w:rsid w:val="00FF12E0"/>
    <w:rsid w:val="00FF14FA"/>
    <w:rsid w:val="00FF1523"/>
    <w:rsid w:val="00FF1639"/>
    <w:rsid w:val="00FF1C7B"/>
    <w:rsid w:val="00FF1F67"/>
    <w:rsid w:val="00FF29F9"/>
    <w:rsid w:val="00FF31B4"/>
    <w:rsid w:val="00FF31D3"/>
    <w:rsid w:val="00FF322B"/>
    <w:rsid w:val="00FF34FB"/>
    <w:rsid w:val="00FF45D8"/>
    <w:rsid w:val="00FF46ED"/>
    <w:rsid w:val="00FF4D93"/>
    <w:rsid w:val="00FF533E"/>
    <w:rsid w:val="00FF5A85"/>
    <w:rsid w:val="00FF6613"/>
    <w:rsid w:val="00FF6794"/>
    <w:rsid w:val="00FF6E82"/>
    <w:rsid w:val="00FF6F67"/>
    <w:rsid w:val="00FF7288"/>
    <w:rsid w:val="00FF7893"/>
    <w:rsid w:val="00FF7C0E"/>
    <w:rsid w:val="00FF7CE1"/>
    <w:rsid w:val="0DCB01F0"/>
    <w:rsid w:val="1EA731C1"/>
    <w:rsid w:val="1F237DC1"/>
    <w:rsid w:val="2FD304D7"/>
    <w:rsid w:val="30E644A6"/>
    <w:rsid w:val="360B40CB"/>
    <w:rsid w:val="3A435399"/>
    <w:rsid w:val="43BB5AEA"/>
    <w:rsid w:val="601C58AC"/>
    <w:rsid w:val="73776DC8"/>
    <w:rsid w:val="78FD2592"/>
    <w:rsid w:val="79D64C71"/>
    <w:rsid w:val="7C5B61D6"/>
    <w:rsid w:val="7EF02F3D"/>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imes New Roman" w:hAnsi="Times New Roman" w:eastAsia="宋体" w:cs="Times New Roman"/>
      </w:rPr>
    </w:r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nhideWhenUsed="0" w:uiPriority="9" w:semiHidden="0" w:name="heading 2"/>
    <w:lsdException w:qFormat="1" w:unhideWhenUsed="0" w:uiPriority="9" w:semiHidden="0" w:name="heading 3"/>
    <w:lsdException w:qFormat="1" w:unhideWhenUsed="0" w:uiPriority="9" w:semiHidden="0" w:name="heading 4"/>
    <w:lsdException w:qFormat="1" w:unhideWhenUsed="0" w:uiPriority="9" w:semiHidden="0" w:name="heading 5"/>
    <w:lsdException w:qFormat="1" w:unhideWhenUsed="0" w:uiPriority="9" w:semiHidden="0" w:name="heading 6"/>
    <w:lsdException w:qFormat="1" w:unhideWhenUsed="0" w:uiPriority="9" w:semiHidden="0" w:name="heading 7"/>
    <w:lsdException w:qFormat="1" w:unhideWhenUsed="0" w:uiPriority="0" w:semiHidden="0" w:name="heading 8"/>
    <w:lsdException w:qFormat="1" w:unhideWhenUsed="0" w:uiPriority="0" w:semiHidden="0" w:name="heading 9"/>
    <w:lsdException w:qFormat="1" w:unhideWhenUsed="0" w:uiPriority="0" w:semiHidden="0" w:name="index 1"/>
    <w:lsdException w:qFormat="1" w:unhideWhenUsed="0" w:uiPriority="0" w:semiHidden="0" w:name="index 2"/>
    <w:lsdException w:qFormat="1" w:unhideWhenUsed="0" w:uiPriority="0" w:semiHidden="0" w:name="index 3"/>
    <w:lsdException w:qFormat="1" w:unhideWhenUsed="0" w:uiPriority="0" w:semiHidden="0" w:name="index 4"/>
    <w:lsdException w:qFormat="1" w:unhideWhenUsed="0" w:uiPriority="0" w:semiHidden="0" w:name="index 5"/>
    <w:lsdException w:qFormat="1" w:unhideWhenUsed="0" w:uiPriority="0" w:semiHidden="0" w:name="index 6"/>
    <w:lsdException w:qFormat="1" w:unhideWhenUsed="0" w:uiPriority="0" w:semiHidden="0" w:name="index 7"/>
    <w:lsdException w:qFormat="1" w:unhideWhenUsed="0" w:uiPriority="0" w:semiHidden="0" w:name="index 8"/>
    <w:lsdException w:qFormat="1" w:unhideWhenUsed="0" w:uiPriority="0" w:semiHidden="0" w:name="index 9"/>
    <w:lsdException w:qFormat="1" w:unhideWhenUsed="0" w:uiPriority="39" w:semiHidden="0" w:name="toc 1"/>
    <w:lsdException w:qFormat="1" w:unhideWhenUsed="0" w:uiPriority="39" w:semiHidden="0" w:name="toc 2"/>
    <w:lsdException w:qFormat="1" w:unhideWhenUsed="0" w:uiPriority="39" w:semiHidden="0" w:name="toc 3"/>
    <w:lsdException w:qFormat="1" w:unhideWhenUsed="0" w:uiPriority="39" w:semiHidden="0" w:name="toc 4"/>
    <w:lsdException w:qFormat="1" w:unhideWhenUsed="0" w:uiPriority="39" w:semiHidden="0" w:name="toc 5"/>
    <w:lsdException w:qFormat="1" w:unhideWhenUsed="0" w:uiPriority="39" w:semiHidden="0" w:name="toc 6"/>
    <w:lsdException w:qFormat="1" w:unhideWhenUsed="0" w:uiPriority="39" w:semiHidden="0" w:name="toc 7"/>
    <w:lsdException w:qFormat="1" w:unhideWhenUsed="0" w:uiPriority="39" w:semiHidden="0" w:name="toc 8"/>
    <w:lsdException w:qFormat="1" w:unhideWhenUsed="0" w:uiPriority="39" w:semiHidden="0" w:name="toc 9"/>
    <w:lsdException w:qFormat="1" w:unhideWhenUsed="0" w:uiPriority="0" w:semiHidden="0" w:name="Normal Indent"/>
    <w:lsdException w:qFormat="1" w:unhideWhenUsed="0" w:uiPriority="0" w:semiHidden="0" w:name="footnote text"/>
    <w:lsdException w:qFormat="1" w:unhideWhenUsed="0" w:uiPriority="99" w:semiHidden="0" w:name="annotation text"/>
    <w:lsdException w:qFormat="1" w:unhideWhenUsed="0" w:uiPriority="99" w:semiHidden="0" w:name="header"/>
    <w:lsdException w:qFormat="1" w:unhideWhenUsed="0" w:uiPriority="99" w:semiHidden="0" w:name="footer"/>
    <w:lsdException w:qFormat="1" w:unhideWhenUsed="0" w:uiPriority="0" w:semiHidden="0" w:name="index heading"/>
    <w:lsdException w:qFormat="1" w:unhideWhenUsed="0" w:uiPriority="35" w:semiHidden="0" w:name="caption"/>
    <w:lsdException w:qFormat="1" w:unhideWhenUsed="0" w:uiPriority="0" w:semiHidden="0" w:name="table of figures"/>
    <w:lsdException w:qFormat="1" w:unhideWhenUsed="0" w:uiPriority="0" w:semiHidden="0" w:name="envelope address"/>
    <w:lsdException w:qFormat="1" w:unhideWhenUsed="0" w:uiPriority="0" w:semiHidden="0" w:name="envelope return"/>
    <w:lsdException w:qFormat="1" w:unhideWhenUsed="0" w:uiPriority="0" w:semiHidden="0" w:name="footnote reference"/>
    <w:lsdException w:qFormat="1" w:unhideWhenUsed="0" w:uiPriority="99" w:semiHidden="0" w:name="annotation reference"/>
    <w:lsdException w:qFormat="1" w:unhideWhenUsed="0" w:uiPriority="0" w:semiHidden="0" w:name="line number"/>
    <w:lsdException w:qFormat="1" w:unhideWhenUsed="0" w:uiPriority="0" w:semiHidden="0" w:name="page number"/>
    <w:lsdException w:qFormat="1" w:uiPriority="0" w:semiHidden="0" w:name="endnote reference"/>
    <w:lsdException w:qFormat="1" w:uiPriority="0" w:semiHidden="0" w:name="endnote text"/>
    <w:lsdException w:qFormat="1" w:unhideWhenUsed="0" w:uiPriority="0" w:semiHidden="0" w:name="table of authorities"/>
    <w:lsdException w:qFormat="1" w:uiPriority="0" w:semiHidden="0" w:name="macro"/>
    <w:lsdException w:qFormat="1" w:unhideWhenUsed="0" w:uiPriority="0" w:semiHidden="0" w:name="toa heading"/>
    <w:lsdException w:qFormat="1" w:unhideWhenUsed="0" w:uiPriority="0" w:semiHidden="0" w:name="List"/>
    <w:lsdException w:qFormat="1" w:unhideWhenUsed="0" w:uiPriority="0" w:semiHidden="0" w:name="List Bullet"/>
    <w:lsdException w:qFormat="1" w:unhideWhenUsed="0" w:uiPriority="0" w:semiHidden="0" w:name="List Number"/>
    <w:lsdException w:qFormat="1" w:unhideWhenUsed="0" w:uiPriority="0" w:semiHidden="0" w:name="List 2"/>
    <w:lsdException w:qFormat="1" w:unhideWhenUsed="0" w:uiPriority="0" w:semiHidden="0" w:name="List 3"/>
    <w:lsdException w:qFormat="1" w:unhideWhenUsed="0" w:uiPriority="0" w:semiHidden="0" w:name="List 4"/>
    <w:lsdException w:qFormat="1" w:unhideWhenUsed="0" w:uiPriority="0" w:semiHidden="0" w:name="List 5"/>
    <w:lsdException w:qFormat="1" w:unhideWhenUsed="0" w:uiPriority="0" w:semiHidden="0" w:name="List Bullet 2"/>
    <w:lsdException w:qFormat="1" w:unhideWhenUsed="0" w:uiPriority="0" w:semiHidden="0" w:name="List Bullet 3"/>
    <w:lsdException w:qFormat="1" w:unhideWhenUsed="0" w:uiPriority="0" w:semiHidden="0" w:name="List Bullet 4"/>
    <w:lsdException w:qFormat="1" w:unhideWhenUsed="0" w:uiPriority="0" w:semiHidden="0" w:name="List Bullet 5"/>
    <w:lsdException w:qFormat="1" w:unhideWhenUsed="0" w:uiPriority="0" w:semiHidden="0" w:name="List Number 2"/>
    <w:lsdException w:qFormat="1" w:unhideWhenUsed="0" w:uiPriority="0" w:semiHidden="0" w:name="List Number 3"/>
    <w:lsdException w:qFormat="1" w:unhideWhenUsed="0" w:uiPriority="0" w:semiHidden="0" w:name="List Number 4"/>
    <w:lsdException w:qFormat="1" w:unhideWhenUsed="0" w:uiPriority="0" w:semiHidden="0" w:name="List Number 5"/>
    <w:lsdException w:qFormat="1" w:unhideWhenUsed="0" w:uiPriority="0" w:semiHidden="0" w:name="Title"/>
    <w:lsdException w:qFormat="1" w:unhideWhenUsed="0" w:uiPriority="0" w:semiHidden="0" w:name="Closing"/>
    <w:lsdException w:qFormat="1" w:unhideWhenUsed="0" w:uiPriority="0" w:semiHidden="0" w:name="Signature"/>
    <w:lsdException w:qFormat="1" w:uiPriority="1" w:name="Default Paragraph Font"/>
    <w:lsdException w:qFormat="1" w:unhideWhenUsed="0" w:uiPriority="99" w:semiHidden="0" w:name="Body Text"/>
    <w:lsdException w:qFormat="1" w:unhideWhenUsed="0" w:uiPriority="0" w:semiHidden="0" w:name="Body Text Indent"/>
    <w:lsdException w:qFormat="1" w:unhideWhenUsed="0" w:uiPriority="0" w:semiHidden="0" w:name="List Continue"/>
    <w:lsdException w:qFormat="1" w:unhideWhenUsed="0" w:uiPriority="0" w:semiHidden="0" w:name="List Continue 2"/>
    <w:lsdException w:qFormat="1" w:unhideWhenUsed="0" w:uiPriority="0" w:semiHidden="0" w:name="List Continue 3"/>
    <w:lsdException w:qFormat="1" w:unhideWhenUsed="0" w:uiPriority="0" w:semiHidden="0" w:name="List Continue 4"/>
    <w:lsdException w:qFormat="1" w:unhideWhenUsed="0" w:uiPriority="0" w:semiHidden="0" w:name="List Continue 5"/>
    <w:lsdException w:qFormat="1" w:unhideWhenUsed="0" w:uiPriority="0" w:semiHidden="0" w:name="Message Header"/>
    <w:lsdException w:qFormat="1" w:unhideWhenUsed="0" w:uiPriority="11" w:semiHidden="0" w:name="Subtitle"/>
    <w:lsdException w:qFormat="1" w:unhideWhenUsed="0" w:uiPriority="0" w:semiHidden="0" w:name="Salutation"/>
    <w:lsdException w:qFormat="1" w:unhideWhenUsed="0" w:uiPriority="0" w:semiHidden="0" w:name="Date"/>
    <w:lsdException w:qFormat="1" w:unhideWhenUsed="0" w:uiPriority="0" w:semiHidden="0" w:name="Body Text First Indent"/>
    <w:lsdException w:qFormat="1" w:unhideWhenUsed="0" w:uiPriority="0" w:semiHidden="0" w:name="Body Text First Indent 2"/>
    <w:lsdException w:qFormat="1" w:unhideWhenUsed="0" w:uiPriority="0" w:semiHidden="0" w:name="Note Heading"/>
    <w:lsdException w:qFormat="1" w:unhideWhenUsed="0" w:uiPriority="0" w:semiHidden="0" w:name="Body Text 2"/>
    <w:lsdException w:qFormat="1" w:unhideWhenUsed="0" w:uiPriority="0" w:semiHidden="0" w:name="Body Text 3"/>
    <w:lsdException w:qFormat="1" w:unhideWhenUsed="0" w:uiPriority="0" w:semiHidden="0" w:name="Body Text Indent 2"/>
    <w:lsdException w:qFormat="1" w:unhideWhenUsed="0" w:uiPriority="0" w:semiHidden="0" w:name="Body Text Indent 3"/>
    <w:lsdException w:qFormat="1" w:unhideWhenUsed="0" w:uiPriority="0" w:semiHidden="0" w:name="Block Text"/>
    <w:lsdException w:qFormat="1" w:unhideWhenUsed="0" w:uiPriority="99" w:semiHidden="0" w:name="Hyperlink"/>
    <w:lsdException w:qFormat="1" w:unhideWhenUsed="0" w:uiPriority="99" w:semiHidden="0" w:name="FollowedHyperlink"/>
    <w:lsdException w:qFormat="1" w:unhideWhenUsed="0" w:uiPriority="22" w:semiHidden="0" w:name="Strong"/>
    <w:lsdException w:qFormat="1" w:unhideWhenUsed="0" w:uiPriority="20" w:semiHidden="0" w:name="Emphasis"/>
    <w:lsdException w:qFormat="1" w:unhideWhenUsed="0" w:uiPriority="0" w:semiHidden="0" w:name="Document Map"/>
    <w:lsdException w:qFormat="1" w:unhideWhenUsed="0" w:uiPriority="0" w:semiHidden="0" w:name="Plain Text"/>
    <w:lsdException w:qFormat="1" w:unhideWhenUsed="0" w:uiPriority="0" w:semiHidden="0" w:name="E-mail Signature"/>
    <w:lsdException w:qFormat="1" w:unhideWhenUsed="0" w:uiPriority="99" w:semiHidden="0" w:name="Normal (Web)"/>
    <w:lsdException w:qFormat="1" w:unhideWhenUsed="0" w:uiPriority="0" w:semiHidden="0" w:name="HTML Acronym"/>
    <w:lsdException w:qFormat="1" w:unhideWhenUsed="0" w:uiPriority="0" w:semiHidden="0" w:name="HTML Address"/>
    <w:lsdException w:qFormat="1" w:unhideWhenUsed="0" w:uiPriority="0" w:semiHidden="0" w:name="HTML Cite"/>
    <w:lsdException w:qFormat="1" w:unhideWhenUsed="0" w:uiPriority="0" w:semiHidden="0" w:name="HTML Code"/>
    <w:lsdException w:qFormat="1" w:unhideWhenUsed="0" w:uiPriority="0" w:semiHidden="0" w:name="HTML Definition"/>
    <w:lsdException w:qFormat="1" w:unhideWhenUsed="0" w:uiPriority="0" w:semiHidden="0" w:name="HTML Keyboard"/>
    <w:lsdException w:qFormat="1" w:unhideWhenUsed="0" w:uiPriority="0" w:semiHidden="0" w:name="HTML Preformatted"/>
    <w:lsdException w:qFormat="1" w:unhideWhenUsed="0" w:uiPriority="0" w:semiHidden="0" w:name="HTML Sample"/>
    <w:lsdException w:qFormat="1" w:unhideWhenUsed="0" w:uiPriority="0" w:semiHidden="0" w:name="HTML Typewriter"/>
    <w:lsdException w:qFormat="1" w:unhideWhenUsed="0" w:uiPriority="0" w:semiHidden="0" w:name="HTML Variable"/>
    <w:lsdException w:qFormat="1" w:uiPriority="99" w:name="Normal Table"/>
    <w:lsdException w:qFormat="1" w:unhideWhenUsed="0" w:uiPriority="99" w:semiHidden="0" w:name="annotation subject"/>
    <w:lsdException w:qFormat="1" w:unhideWhenUsed="0" w:uiPriority="0" w:semiHidden="0" w:name="Table Simple 1"/>
    <w:lsdException w:qFormat="1" w:unhideWhenUsed="0" w:uiPriority="0" w:semiHidden="0" w:name="Table Simple 2"/>
    <w:lsdException w:qFormat="1" w:unhideWhenUsed="0" w:uiPriority="0" w:semiHidden="0" w:name="Table Simple 3"/>
    <w:lsdException w:qFormat="1" w:unhideWhenUsed="0" w:uiPriority="0" w:semiHidden="0" w:name="Table Classic 1"/>
    <w:lsdException w:qFormat="1" w:unhideWhenUsed="0" w:uiPriority="0" w:semiHidden="0" w:name="Table Classic 2"/>
    <w:lsdException w:qFormat="1" w:unhideWhenUsed="0" w:uiPriority="0" w:semiHidden="0" w:name="Table Classic 3"/>
    <w:lsdException w:qFormat="1" w:unhideWhenUsed="0" w:uiPriority="0" w:semiHidden="0" w:name="Table Classic 4"/>
    <w:lsdException w:qFormat="1" w:unhideWhenUsed="0" w:uiPriority="0" w:semiHidden="0" w:name="Table Colorful 1"/>
    <w:lsdException w:qFormat="1" w:unhideWhenUsed="0" w:uiPriority="0" w:semiHidden="0" w:name="Table Colorful 2"/>
    <w:lsdException w:qFormat="1" w:unhideWhenUsed="0" w:uiPriority="0" w:semiHidden="0" w:name="Table Colorful 3"/>
    <w:lsdException w:qFormat="1" w:unhideWhenUsed="0" w:uiPriority="0" w:semiHidden="0" w:name="Table Columns 1"/>
    <w:lsdException w:qFormat="1" w:unhideWhenUsed="0" w:uiPriority="0" w:semiHidden="0" w:name="Table Columns 2"/>
    <w:lsdException w:qFormat="1" w:unhideWhenUsed="0" w:uiPriority="0" w:semiHidden="0" w:name="Table Columns 3"/>
    <w:lsdException w:qFormat="1" w:unhideWhenUsed="0" w:uiPriority="0" w:semiHidden="0" w:name="Table Columns 4"/>
    <w:lsdException w:qFormat="1" w:unhideWhenUsed="0" w:uiPriority="0" w:semiHidden="0" w:name="Table Columns 5"/>
    <w:lsdException w:qFormat="1" w:unhideWhenUsed="0" w:uiPriority="0" w:semiHidden="0" w:name="Table Grid 1"/>
    <w:lsdException w:qFormat="1" w:unhideWhenUsed="0" w:uiPriority="0" w:semiHidden="0" w:name="Table Grid 2"/>
    <w:lsdException w:qFormat="1" w:unhideWhenUsed="0" w:uiPriority="0" w:semiHidden="0" w:name="Table Grid 3"/>
    <w:lsdException w:qFormat="1" w:unhideWhenUsed="0" w:uiPriority="0" w:semiHidden="0" w:name="Table Grid 4"/>
    <w:lsdException w:qFormat="1" w:unhideWhenUsed="0" w:uiPriority="0" w:semiHidden="0" w:name="Table Grid 5"/>
    <w:lsdException w:qFormat="1" w:unhideWhenUsed="0" w:uiPriority="0" w:semiHidden="0" w:name="Table Grid 6"/>
    <w:lsdException w:qFormat="1" w:unhideWhenUsed="0" w:uiPriority="0" w:semiHidden="0" w:name="Table Grid 7"/>
    <w:lsdException w:qFormat="1" w:unhideWhenUsed="0" w:uiPriority="0" w:semiHidden="0" w:name="Table Grid 8"/>
    <w:lsdException w:qFormat="1" w:unhideWhenUsed="0" w:uiPriority="0" w:semiHidden="0" w:name="Table List 1"/>
    <w:lsdException w:qFormat="1" w:unhideWhenUsed="0" w:uiPriority="0" w:semiHidden="0" w:name="Table List 2"/>
    <w:lsdException w:qFormat="1" w:unhideWhenUsed="0" w:uiPriority="0" w:semiHidden="0" w:name="Table List 3"/>
    <w:lsdException w:qFormat="1" w:unhideWhenUsed="0" w:uiPriority="0" w:semiHidden="0" w:name="Table List 4"/>
    <w:lsdException w:qFormat="1" w:unhideWhenUsed="0" w:uiPriority="0" w:semiHidden="0" w:name="Table List 5"/>
    <w:lsdException w:qFormat="1" w:unhideWhenUsed="0" w:uiPriority="0" w:semiHidden="0" w:name="Table List 6"/>
    <w:lsdException w:qFormat="1" w:unhideWhenUsed="0" w:uiPriority="0" w:semiHidden="0" w:name="Table List 7"/>
    <w:lsdException w:qFormat="1" w:unhideWhenUsed="0" w:uiPriority="0" w:semiHidden="0" w:name="Table List 8"/>
    <w:lsdException w:qFormat="1" w:unhideWhenUsed="0" w:uiPriority="0" w:semiHidden="0" w:name="Table 3D effects 1"/>
    <w:lsdException w:qFormat="1" w:unhideWhenUsed="0" w:uiPriority="0" w:semiHidden="0" w:name="Table 3D effects 2"/>
    <w:lsdException w:qFormat="1" w:unhideWhenUsed="0" w:uiPriority="0" w:semiHidden="0" w:name="Table 3D effects 3"/>
    <w:lsdException w:qFormat="1" w:unhideWhenUsed="0" w:uiPriority="0" w:semiHidden="0" w:name="Table Contemporary"/>
    <w:lsdException w:qFormat="1" w:unhideWhenUsed="0" w:uiPriority="0" w:semiHidden="0" w:name="Table Elegant"/>
    <w:lsdException w:qFormat="1" w:unhideWhenUsed="0" w:uiPriority="0" w:semiHidden="0" w:name="Table Professional"/>
    <w:lsdException w:qFormat="1" w:unhideWhenUsed="0" w:uiPriority="0" w:semiHidden="0" w:name="Table Subtle 1"/>
    <w:lsdException w:qFormat="1" w:unhideWhenUsed="0" w:uiPriority="0" w:semiHidden="0" w:name="Table Subtle 2"/>
    <w:lsdException w:qFormat="1" w:unhideWhenUsed="0" w:uiPriority="0" w:semiHidden="0" w:name="Table Web 1"/>
    <w:lsdException w:qFormat="1" w:unhideWhenUsed="0" w:uiPriority="0" w:semiHidden="0" w:name="Table Web 2"/>
    <w:lsdException w:qFormat="1" w:unhideWhenUsed="0" w:uiPriority="0" w:semiHidden="0" w:name="Table Web 3"/>
    <w:lsdException w:qFormat="1" w:unhideWhenUsed="0" w:uiPriority="99" w:semiHidden="0" w:name="Balloon Text"/>
    <w:lsdException w:qFormat="1" w:unhideWhenUsed="0" w:uiPriority="0" w:semiHidden="0" w:name="Table Grid"/>
    <w:lsdException w:qFormat="1" w:unhideWhenUsed="0" w:uiPriority="0" w:semiHidden="0" w:name="Table Theme"/>
    <w:lsdException w:qFormat="1" w:unhideWhenUsed="0" w:uiPriority="99" w:name="Placeholder Text"/>
    <w:lsdException w:qFormat="1" w:unhideWhenUsed="0" w:uiPriority="1"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99" w:semiHidden="0" w:name="List Paragraph"/>
    <w:lsdException w:qFormat="1" w:unhideWhenUsed="0" w:uiPriority="29" w:semiHidden="0" w:name="Quote"/>
    <w:lsdException w:qFormat="1" w:unhideWhenUsed="0" w:uiPriority="30" w:semiHidden="0" w:name="Intense Quote"/>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imes New Roman" w:hAnsi="Times New Roman" w:eastAsia="宋体" w:cs="Times New Roman"/>
      <w:kern w:val="2"/>
      <w:sz w:val="24"/>
      <w:szCs w:val="24"/>
      <w:lang w:val="en-US" w:eastAsia="zh-CN" w:bidi="ar-SA"/>
    </w:rPr>
  </w:style>
  <w:style w:type="paragraph" w:styleId="3">
    <w:name w:val="heading 1"/>
    <w:basedOn w:val="1"/>
    <w:next w:val="1"/>
    <w:link w:val="152"/>
    <w:qFormat/>
    <w:uiPriority w:val="9"/>
    <w:pPr>
      <w:keepNext/>
      <w:numPr>
        <w:ilvl w:val="0"/>
        <w:numId w:val="1"/>
      </w:numPr>
      <w:tabs>
        <w:tab w:val="left" w:pos="0"/>
      </w:tabs>
      <w:spacing w:line="480" w:lineRule="auto"/>
      <w:ind w:left="425"/>
      <w:jc w:val="center"/>
      <w:outlineLvl w:val="0"/>
    </w:pPr>
    <w:rPr>
      <w:rFonts w:eastAsia="黑体"/>
      <w:b/>
      <w:sz w:val="36"/>
      <w:szCs w:val="36"/>
    </w:rPr>
  </w:style>
  <w:style w:type="paragraph" w:styleId="4">
    <w:name w:val="heading 2"/>
    <w:basedOn w:val="1"/>
    <w:next w:val="1"/>
    <w:link w:val="153"/>
    <w:qFormat/>
    <w:uiPriority w:val="9"/>
    <w:pPr>
      <w:keepNext/>
      <w:keepLines/>
      <w:numPr>
        <w:ilvl w:val="1"/>
        <w:numId w:val="1"/>
      </w:numPr>
      <w:spacing w:line="360" w:lineRule="auto"/>
      <w:outlineLvl w:val="1"/>
    </w:pPr>
    <w:rPr>
      <w:rFonts w:eastAsia="黑体"/>
      <w:b/>
      <w:bCs/>
      <w:sz w:val="32"/>
      <w:szCs w:val="30"/>
    </w:rPr>
  </w:style>
  <w:style w:type="paragraph" w:styleId="5">
    <w:name w:val="heading 3"/>
    <w:basedOn w:val="1"/>
    <w:next w:val="1"/>
    <w:link w:val="154"/>
    <w:qFormat/>
    <w:uiPriority w:val="9"/>
    <w:pPr>
      <w:keepNext/>
      <w:keepLines/>
      <w:numPr>
        <w:ilvl w:val="2"/>
        <w:numId w:val="1"/>
      </w:numPr>
      <w:outlineLvl w:val="2"/>
    </w:pPr>
    <w:rPr>
      <w:rFonts w:eastAsia="黑体"/>
      <w:b/>
      <w:bCs/>
      <w:sz w:val="30"/>
      <w:szCs w:val="28"/>
    </w:rPr>
  </w:style>
  <w:style w:type="paragraph" w:styleId="6">
    <w:name w:val="heading 4"/>
    <w:basedOn w:val="5"/>
    <w:next w:val="7"/>
    <w:link w:val="156"/>
    <w:qFormat/>
    <w:uiPriority w:val="9"/>
    <w:pPr>
      <w:numPr>
        <w:ilvl w:val="3"/>
      </w:numPr>
      <w:ind w:left="1418"/>
      <w:outlineLvl w:val="3"/>
    </w:pPr>
    <w:rPr>
      <w:rFonts w:eastAsia="宋体"/>
      <w:sz w:val="28"/>
    </w:rPr>
  </w:style>
  <w:style w:type="paragraph" w:styleId="8">
    <w:name w:val="heading 5"/>
    <w:basedOn w:val="1"/>
    <w:next w:val="7"/>
    <w:link w:val="157"/>
    <w:qFormat/>
    <w:uiPriority w:val="9"/>
    <w:pPr>
      <w:keepNext/>
      <w:keepLines/>
      <w:numPr>
        <w:ilvl w:val="4"/>
        <w:numId w:val="2"/>
      </w:numPr>
      <w:tabs>
        <w:tab w:val="left" w:pos="360"/>
      </w:tabs>
      <w:snapToGrid w:val="0"/>
      <w:spacing w:before="120" w:line="360" w:lineRule="auto"/>
      <w:outlineLvl w:val="4"/>
    </w:pPr>
    <w:rPr>
      <w:b/>
      <w:lang w:bidi="zh-CN"/>
    </w:rPr>
  </w:style>
  <w:style w:type="paragraph" w:styleId="9">
    <w:name w:val="heading 6"/>
    <w:basedOn w:val="1"/>
    <w:next w:val="7"/>
    <w:link w:val="158"/>
    <w:qFormat/>
    <w:uiPriority w:val="9"/>
    <w:pPr>
      <w:keepNext/>
      <w:keepLines/>
      <w:tabs>
        <w:tab w:val="left" w:pos="360"/>
      </w:tabs>
      <w:snapToGrid w:val="0"/>
      <w:spacing w:before="240" w:after="64" w:line="320" w:lineRule="auto"/>
      <w:outlineLvl w:val="5"/>
    </w:pPr>
    <w:rPr>
      <w:rFonts w:ascii="Arial" w:hAnsi="Arial" w:eastAsia="黑体"/>
      <w:b/>
    </w:rPr>
  </w:style>
  <w:style w:type="paragraph" w:styleId="10">
    <w:name w:val="heading 7"/>
    <w:basedOn w:val="1"/>
    <w:next w:val="7"/>
    <w:link w:val="709"/>
    <w:qFormat/>
    <w:uiPriority w:val="9"/>
    <w:pPr>
      <w:keepNext/>
      <w:keepLines/>
      <w:tabs>
        <w:tab w:val="left" w:pos="360"/>
      </w:tabs>
      <w:snapToGrid w:val="0"/>
      <w:spacing w:before="240" w:after="64" w:line="320" w:lineRule="auto"/>
      <w:outlineLvl w:val="6"/>
    </w:pPr>
    <w:rPr>
      <w:b/>
    </w:rPr>
  </w:style>
  <w:style w:type="paragraph" w:styleId="11">
    <w:name w:val="heading 8"/>
    <w:basedOn w:val="1"/>
    <w:next w:val="7"/>
    <w:link w:val="708"/>
    <w:qFormat/>
    <w:uiPriority w:val="0"/>
    <w:pPr>
      <w:keepNext/>
      <w:keepLines/>
      <w:tabs>
        <w:tab w:val="left" w:pos="360"/>
      </w:tabs>
      <w:snapToGrid w:val="0"/>
      <w:spacing w:before="240" w:after="64" w:line="320" w:lineRule="auto"/>
      <w:outlineLvl w:val="7"/>
    </w:pPr>
    <w:rPr>
      <w:rFonts w:ascii="Arial" w:hAnsi="Arial" w:eastAsia="黑体"/>
    </w:rPr>
  </w:style>
  <w:style w:type="paragraph" w:styleId="12">
    <w:name w:val="heading 9"/>
    <w:basedOn w:val="1"/>
    <w:next w:val="7"/>
    <w:link w:val="707"/>
    <w:qFormat/>
    <w:uiPriority w:val="0"/>
    <w:pPr>
      <w:keepNext/>
      <w:keepLines/>
      <w:tabs>
        <w:tab w:val="left" w:pos="360"/>
      </w:tabs>
      <w:snapToGrid w:val="0"/>
      <w:spacing w:before="240" w:after="64" w:line="320" w:lineRule="auto"/>
      <w:outlineLvl w:val="8"/>
    </w:pPr>
    <w:rPr>
      <w:rFonts w:ascii="Arial" w:hAnsi="Arial" w:eastAsia="黑体"/>
    </w:rPr>
  </w:style>
  <w:style w:type="character" w:default="1" w:styleId="133">
    <w:name w:val="Default Paragraph Font"/>
    <w:semiHidden/>
    <w:unhideWhenUsed/>
    <w:qFormat/>
    <w:uiPriority w:val="1"/>
  </w:style>
  <w:style w:type="table" w:default="1" w:styleId="88">
    <w:name w:val="Normal Table"/>
    <w:semiHidden/>
    <w:unhideWhenUsed/>
    <w:qFormat/>
    <w:uiPriority w:val="99"/>
    <w:tblPr>
      <w:tblLayout w:type="fixed"/>
      <w:tblCellMar>
        <w:top w:w="0" w:type="dxa"/>
        <w:left w:w="108" w:type="dxa"/>
        <w:bottom w:w="0" w:type="dxa"/>
        <w:right w:w="108" w:type="dxa"/>
      </w:tblCellMar>
    </w:tblPr>
  </w:style>
  <w:style w:type="paragraph" w:styleId="2">
    <w:name w:val="macro"/>
    <w:link w:val="1084"/>
    <w:unhideWhenUsed/>
    <w:qFormat/>
    <w:uiPriority w:val="0"/>
    <w:pPr>
      <w:widowControl w:val="0"/>
      <w:tabs>
        <w:tab w:val="left" w:pos="480"/>
        <w:tab w:val="left" w:pos="960"/>
        <w:tab w:val="left" w:pos="1440"/>
        <w:tab w:val="left" w:pos="1920"/>
        <w:tab w:val="left" w:pos="2400"/>
        <w:tab w:val="left" w:pos="2880"/>
        <w:tab w:val="left" w:pos="3360"/>
        <w:tab w:val="left" w:pos="3840"/>
        <w:tab w:val="left" w:pos="4320"/>
      </w:tabs>
      <w:kinsoku w:val="0"/>
      <w:overflowPunct w:val="0"/>
      <w:autoSpaceDE w:val="0"/>
      <w:autoSpaceDN w:val="0"/>
      <w:snapToGrid w:val="0"/>
    </w:pPr>
    <w:rPr>
      <w:rFonts w:ascii="Courier New" w:hAnsi="Courier New" w:eastAsia="宋体" w:cs="Times New Roman"/>
      <w:kern w:val="2"/>
      <w:sz w:val="24"/>
      <w:szCs w:val="24"/>
      <w:lang w:val="en-US" w:eastAsia="zh-CN" w:bidi="ar-SA"/>
    </w:rPr>
  </w:style>
  <w:style w:type="paragraph" w:styleId="7">
    <w:name w:val="Normal Indent"/>
    <w:basedOn w:val="1"/>
    <w:link w:val="155"/>
    <w:qFormat/>
    <w:uiPriority w:val="0"/>
    <w:pPr>
      <w:jc w:val="left"/>
    </w:pPr>
    <w:rPr>
      <w:b/>
      <w:color w:val="000000" w:themeColor="text1"/>
      <w14:textFill>
        <w14:solidFill>
          <w14:schemeClr w14:val="tx1"/>
        </w14:solidFill>
      </w14:textFill>
    </w:rPr>
  </w:style>
  <w:style w:type="paragraph" w:styleId="13">
    <w:name w:val="List 3"/>
    <w:basedOn w:val="1"/>
    <w:qFormat/>
    <w:uiPriority w:val="0"/>
    <w:pPr>
      <w:ind w:left="1260" w:hanging="420"/>
    </w:pPr>
    <w:rPr>
      <w:sz w:val="21"/>
      <w:szCs w:val="20"/>
    </w:rPr>
  </w:style>
  <w:style w:type="paragraph" w:styleId="14">
    <w:name w:val="toc 7"/>
    <w:basedOn w:val="1"/>
    <w:next w:val="1"/>
    <w:qFormat/>
    <w:uiPriority w:val="39"/>
    <w:pPr>
      <w:ind w:left="1440"/>
      <w:jc w:val="left"/>
    </w:pPr>
    <w:rPr>
      <w:rFonts w:ascii="Calibri" w:hAnsi="Calibri"/>
      <w:sz w:val="18"/>
      <w:szCs w:val="18"/>
    </w:rPr>
  </w:style>
  <w:style w:type="paragraph" w:styleId="15">
    <w:name w:val="List Number 2"/>
    <w:basedOn w:val="1"/>
    <w:qFormat/>
    <w:uiPriority w:val="0"/>
    <w:pPr>
      <w:numPr>
        <w:ilvl w:val="0"/>
        <w:numId w:val="3"/>
      </w:numPr>
      <w:tabs>
        <w:tab w:val="left" w:pos="812"/>
        <w:tab w:val="clear" w:pos="780"/>
      </w:tabs>
      <w:ind w:left="812" w:leftChars="0" w:firstLine="0" w:firstLineChars="0"/>
    </w:pPr>
  </w:style>
  <w:style w:type="paragraph" w:styleId="16">
    <w:name w:val="table of authorities"/>
    <w:basedOn w:val="1"/>
    <w:next w:val="1"/>
    <w:qFormat/>
    <w:uiPriority w:val="0"/>
    <w:pPr>
      <w:widowControl/>
      <w:spacing w:line="360" w:lineRule="auto"/>
      <w:ind w:left="420" w:leftChars="200" w:firstLine="200" w:firstLineChars="200"/>
      <w:jc w:val="left"/>
    </w:pPr>
    <w:rPr>
      <w:rFonts w:cstheme="majorBidi"/>
      <w:kern w:val="0"/>
    </w:rPr>
  </w:style>
  <w:style w:type="paragraph" w:styleId="17">
    <w:name w:val="Note Heading"/>
    <w:basedOn w:val="1"/>
    <w:next w:val="1"/>
    <w:link w:val="687"/>
    <w:qFormat/>
    <w:uiPriority w:val="0"/>
    <w:pPr>
      <w:jc w:val="center"/>
    </w:pPr>
    <w:rPr>
      <w:rFonts w:hint="eastAsia" w:ascii="宋体"/>
      <w:sz w:val="28"/>
    </w:rPr>
  </w:style>
  <w:style w:type="paragraph" w:styleId="18">
    <w:name w:val="List Bullet 4"/>
    <w:basedOn w:val="1"/>
    <w:qFormat/>
    <w:uiPriority w:val="0"/>
    <w:pPr>
      <w:numPr>
        <w:ilvl w:val="0"/>
        <w:numId w:val="4"/>
      </w:numPr>
      <w:tabs>
        <w:tab w:val="left" w:pos="360"/>
        <w:tab w:val="clear" w:pos="1620"/>
      </w:tabs>
      <w:ind w:left="0" w:leftChars="0" w:firstLine="0" w:firstLineChars="0"/>
    </w:pPr>
  </w:style>
  <w:style w:type="paragraph" w:styleId="19">
    <w:name w:val="index 8"/>
    <w:basedOn w:val="1"/>
    <w:next w:val="1"/>
    <w:qFormat/>
    <w:uiPriority w:val="0"/>
    <w:pPr>
      <w:ind w:left="1920" w:hanging="240"/>
      <w:jc w:val="left"/>
    </w:pPr>
    <w:rPr>
      <w:sz w:val="20"/>
      <w:szCs w:val="20"/>
    </w:rPr>
  </w:style>
  <w:style w:type="paragraph" w:styleId="20">
    <w:name w:val="E-mail Signature"/>
    <w:basedOn w:val="1"/>
    <w:link w:val="734"/>
    <w:qFormat/>
    <w:uiPriority w:val="0"/>
  </w:style>
  <w:style w:type="paragraph" w:styleId="21">
    <w:name w:val="List Number"/>
    <w:basedOn w:val="1"/>
    <w:qFormat/>
    <w:uiPriority w:val="0"/>
    <w:pPr>
      <w:numPr>
        <w:ilvl w:val="0"/>
        <w:numId w:val="5"/>
      </w:numPr>
      <w:ind w:firstLine="0" w:firstLineChars="0"/>
    </w:pPr>
  </w:style>
  <w:style w:type="paragraph" w:styleId="22">
    <w:name w:val="caption"/>
    <w:basedOn w:val="1"/>
    <w:next w:val="1"/>
    <w:link w:val="1082"/>
    <w:qFormat/>
    <w:uiPriority w:val="35"/>
    <w:pPr>
      <w:jc w:val="center"/>
    </w:pPr>
    <w:rPr>
      <w:b/>
    </w:rPr>
  </w:style>
  <w:style w:type="paragraph" w:styleId="23">
    <w:name w:val="index 5"/>
    <w:basedOn w:val="1"/>
    <w:next w:val="1"/>
    <w:qFormat/>
    <w:uiPriority w:val="0"/>
    <w:pPr>
      <w:ind w:left="1200" w:hanging="240"/>
      <w:jc w:val="left"/>
    </w:pPr>
    <w:rPr>
      <w:sz w:val="20"/>
      <w:szCs w:val="20"/>
    </w:rPr>
  </w:style>
  <w:style w:type="paragraph" w:styleId="24">
    <w:name w:val="List Bullet"/>
    <w:basedOn w:val="1"/>
    <w:link w:val="3422"/>
    <w:qFormat/>
    <w:uiPriority w:val="0"/>
    <w:pPr>
      <w:tabs>
        <w:tab w:val="left" w:pos="360"/>
      </w:tabs>
      <w:ind w:left="360" w:hanging="360" w:hangingChars="200"/>
    </w:pPr>
    <w:rPr>
      <w:rFonts w:ascii="宋体"/>
    </w:rPr>
  </w:style>
  <w:style w:type="paragraph" w:styleId="25">
    <w:name w:val="envelope address"/>
    <w:basedOn w:val="1"/>
    <w:qFormat/>
    <w:uiPriority w:val="0"/>
    <w:pPr>
      <w:framePr w:w="7920" w:h="1980" w:hRule="exact" w:hSpace="180" w:wrap="around" w:vAnchor="margin" w:hAnchor="page" w:xAlign="center" w:yAlign="bottom"/>
      <w:snapToGrid w:val="0"/>
      <w:ind w:left="100" w:leftChars="1400"/>
    </w:pPr>
    <w:rPr>
      <w:rFonts w:ascii="Arial" w:hAnsi="Arial" w:cs="Arial"/>
    </w:rPr>
  </w:style>
  <w:style w:type="paragraph" w:styleId="26">
    <w:name w:val="Document Map"/>
    <w:basedOn w:val="1"/>
    <w:link w:val="706"/>
    <w:qFormat/>
    <w:uiPriority w:val="0"/>
    <w:pPr>
      <w:shd w:val="clear" w:color="auto" w:fill="000080"/>
    </w:pPr>
  </w:style>
  <w:style w:type="paragraph" w:styleId="27">
    <w:name w:val="toa heading"/>
    <w:basedOn w:val="1"/>
    <w:next w:val="1"/>
    <w:qFormat/>
    <w:uiPriority w:val="0"/>
    <w:pPr>
      <w:spacing w:before="120"/>
    </w:pPr>
    <w:rPr>
      <w:rFonts w:ascii="Arial" w:hAnsi="Arial" w:cs="Arial"/>
    </w:rPr>
  </w:style>
  <w:style w:type="paragraph" w:styleId="28">
    <w:name w:val="annotation text"/>
    <w:basedOn w:val="1"/>
    <w:link w:val="647"/>
    <w:qFormat/>
    <w:uiPriority w:val="99"/>
    <w:pPr>
      <w:jc w:val="left"/>
    </w:pPr>
    <w:rPr>
      <w:sz w:val="21"/>
      <w:lang w:val="zh-CN"/>
    </w:rPr>
  </w:style>
  <w:style w:type="paragraph" w:styleId="29">
    <w:name w:val="index 6"/>
    <w:basedOn w:val="1"/>
    <w:next w:val="1"/>
    <w:qFormat/>
    <w:uiPriority w:val="0"/>
    <w:pPr>
      <w:ind w:left="1440" w:hanging="240"/>
      <w:jc w:val="left"/>
    </w:pPr>
    <w:rPr>
      <w:sz w:val="20"/>
      <w:szCs w:val="20"/>
    </w:rPr>
  </w:style>
  <w:style w:type="paragraph" w:styleId="30">
    <w:name w:val="Salutation"/>
    <w:basedOn w:val="1"/>
    <w:next w:val="1"/>
    <w:link w:val="733"/>
    <w:qFormat/>
    <w:uiPriority w:val="0"/>
  </w:style>
  <w:style w:type="paragraph" w:styleId="31">
    <w:name w:val="Body Text 3"/>
    <w:basedOn w:val="1"/>
    <w:link w:val="1087"/>
    <w:qFormat/>
    <w:uiPriority w:val="0"/>
    <w:pPr>
      <w:ind w:right="-105" w:rightChars="-50"/>
    </w:pPr>
  </w:style>
  <w:style w:type="paragraph" w:styleId="32">
    <w:name w:val="Closing"/>
    <w:basedOn w:val="1"/>
    <w:link w:val="738"/>
    <w:qFormat/>
    <w:uiPriority w:val="0"/>
    <w:pPr>
      <w:ind w:left="100" w:leftChars="2100"/>
    </w:pPr>
  </w:style>
  <w:style w:type="paragraph" w:styleId="33">
    <w:name w:val="List Bullet 3"/>
    <w:basedOn w:val="1"/>
    <w:qFormat/>
    <w:uiPriority w:val="0"/>
    <w:pPr>
      <w:tabs>
        <w:tab w:val="left" w:pos="1202"/>
      </w:tabs>
      <w:ind w:left="1202" w:hanging="720"/>
    </w:pPr>
  </w:style>
  <w:style w:type="paragraph" w:styleId="34">
    <w:name w:val="Body Text"/>
    <w:basedOn w:val="1"/>
    <w:link w:val="165"/>
    <w:qFormat/>
    <w:uiPriority w:val="99"/>
    <w:rPr>
      <w:sz w:val="18"/>
    </w:rPr>
  </w:style>
  <w:style w:type="paragraph" w:styleId="35">
    <w:name w:val="Body Text Indent"/>
    <w:basedOn w:val="1"/>
    <w:link w:val="160"/>
    <w:qFormat/>
    <w:uiPriority w:val="0"/>
    <w:pPr>
      <w:spacing w:line="360" w:lineRule="auto"/>
      <w:ind w:firstLine="482"/>
    </w:pPr>
    <w:rPr>
      <w:rFonts w:ascii="宋体" w:hAnsi="宋体"/>
    </w:rPr>
  </w:style>
  <w:style w:type="paragraph" w:styleId="36">
    <w:name w:val="List Number 3"/>
    <w:basedOn w:val="1"/>
    <w:qFormat/>
    <w:uiPriority w:val="0"/>
    <w:pPr>
      <w:tabs>
        <w:tab w:val="left" w:pos="454"/>
      </w:tabs>
      <w:ind w:firstLine="454"/>
    </w:pPr>
  </w:style>
  <w:style w:type="paragraph" w:styleId="37">
    <w:name w:val="List 2"/>
    <w:basedOn w:val="1"/>
    <w:qFormat/>
    <w:uiPriority w:val="0"/>
    <w:pPr>
      <w:ind w:left="100" w:leftChars="200" w:hanging="200" w:hangingChars="200"/>
    </w:pPr>
  </w:style>
  <w:style w:type="paragraph" w:styleId="38">
    <w:name w:val="List Continue"/>
    <w:basedOn w:val="1"/>
    <w:qFormat/>
    <w:uiPriority w:val="0"/>
    <w:pPr>
      <w:adjustRightInd w:val="0"/>
      <w:spacing w:after="120" w:line="360" w:lineRule="auto"/>
      <w:ind w:left="420" w:leftChars="200" w:firstLine="200" w:firstLineChars="200"/>
    </w:pPr>
  </w:style>
  <w:style w:type="paragraph" w:styleId="39">
    <w:name w:val="Block Text"/>
    <w:basedOn w:val="1"/>
    <w:qFormat/>
    <w:uiPriority w:val="0"/>
    <w:pPr>
      <w:spacing w:after="120"/>
      <w:ind w:left="1440" w:leftChars="700" w:right="1440" w:rightChars="700"/>
    </w:pPr>
  </w:style>
  <w:style w:type="paragraph" w:styleId="40">
    <w:name w:val="List Bullet 2"/>
    <w:basedOn w:val="1"/>
    <w:qFormat/>
    <w:uiPriority w:val="0"/>
    <w:pPr>
      <w:numPr>
        <w:ilvl w:val="0"/>
        <w:numId w:val="6"/>
      </w:numPr>
      <w:tabs>
        <w:tab w:val="left" w:pos="360"/>
        <w:tab w:val="clear" w:pos="780"/>
      </w:tabs>
      <w:ind w:left="0" w:leftChars="0" w:firstLine="0" w:firstLineChars="0"/>
    </w:pPr>
  </w:style>
  <w:style w:type="paragraph" w:styleId="41">
    <w:name w:val="HTML Address"/>
    <w:basedOn w:val="1"/>
    <w:link w:val="714"/>
    <w:qFormat/>
    <w:uiPriority w:val="0"/>
    <w:rPr>
      <w:i/>
      <w:iCs/>
    </w:rPr>
  </w:style>
  <w:style w:type="paragraph" w:styleId="42">
    <w:name w:val="index 4"/>
    <w:basedOn w:val="1"/>
    <w:next w:val="1"/>
    <w:qFormat/>
    <w:uiPriority w:val="0"/>
    <w:pPr>
      <w:ind w:left="960" w:hanging="240"/>
      <w:jc w:val="left"/>
    </w:pPr>
    <w:rPr>
      <w:sz w:val="20"/>
      <w:szCs w:val="20"/>
    </w:rPr>
  </w:style>
  <w:style w:type="paragraph" w:styleId="43">
    <w:name w:val="toc 5"/>
    <w:basedOn w:val="1"/>
    <w:next w:val="1"/>
    <w:qFormat/>
    <w:uiPriority w:val="39"/>
    <w:pPr>
      <w:ind w:left="960"/>
      <w:jc w:val="left"/>
    </w:pPr>
    <w:rPr>
      <w:rFonts w:ascii="Calibri" w:hAnsi="Calibri"/>
      <w:sz w:val="18"/>
      <w:szCs w:val="18"/>
    </w:rPr>
  </w:style>
  <w:style w:type="paragraph" w:styleId="44">
    <w:name w:val="toc 3"/>
    <w:basedOn w:val="1"/>
    <w:next w:val="1"/>
    <w:qFormat/>
    <w:uiPriority w:val="39"/>
    <w:pPr>
      <w:ind w:left="480"/>
      <w:jc w:val="left"/>
    </w:pPr>
    <w:rPr>
      <w:rFonts w:ascii="Calibri" w:hAnsi="Calibri"/>
      <w:i/>
      <w:iCs/>
      <w:sz w:val="20"/>
      <w:szCs w:val="20"/>
    </w:rPr>
  </w:style>
  <w:style w:type="paragraph" w:styleId="45">
    <w:name w:val="Plain Text"/>
    <w:basedOn w:val="1"/>
    <w:link w:val="169"/>
    <w:qFormat/>
    <w:uiPriority w:val="0"/>
    <w:pPr>
      <w:adjustRightInd w:val="0"/>
      <w:spacing w:line="312" w:lineRule="atLeast"/>
      <w:textAlignment w:val="baseline"/>
    </w:pPr>
    <w:rPr>
      <w:rFonts w:ascii="宋体" w:hAnsi="Courier New"/>
      <w:kern w:val="0"/>
      <w:sz w:val="21"/>
    </w:rPr>
  </w:style>
  <w:style w:type="paragraph" w:styleId="46">
    <w:name w:val="List Bullet 5"/>
    <w:basedOn w:val="1"/>
    <w:qFormat/>
    <w:uiPriority w:val="0"/>
    <w:pPr>
      <w:numPr>
        <w:ilvl w:val="0"/>
        <w:numId w:val="7"/>
      </w:numPr>
      <w:tabs>
        <w:tab w:val="left" w:pos="360"/>
        <w:tab w:val="clear" w:pos="2040"/>
      </w:tabs>
      <w:ind w:left="0" w:leftChars="0" w:firstLine="0" w:firstLineChars="0"/>
    </w:pPr>
  </w:style>
  <w:style w:type="paragraph" w:styleId="47">
    <w:name w:val="List Number 4"/>
    <w:basedOn w:val="1"/>
    <w:qFormat/>
    <w:uiPriority w:val="0"/>
    <w:pPr>
      <w:numPr>
        <w:ilvl w:val="0"/>
        <w:numId w:val="8"/>
      </w:numPr>
      <w:tabs>
        <w:tab w:val="left" w:pos="360"/>
        <w:tab w:val="clear" w:pos="1620"/>
      </w:tabs>
      <w:ind w:left="0" w:leftChars="0" w:firstLine="0" w:firstLineChars="0"/>
    </w:pPr>
  </w:style>
  <w:style w:type="paragraph" w:styleId="48">
    <w:name w:val="toc 8"/>
    <w:basedOn w:val="1"/>
    <w:next w:val="1"/>
    <w:qFormat/>
    <w:uiPriority w:val="39"/>
    <w:pPr>
      <w:ind w:left="1680"/>
      <w:jc w:val="left"/>
    </w:pPr>
    <w:rPr>
      <w:rFonts w:ascii="Calibri" w:hAnsi="Calibri"/>
      <w:sz w:val="18"/>
      <w:szCs w:val="18"/>
    </w:rPr>
  </w:style>
  <w:style w:type="paragraph" w:styleId="49">
    <w:name w:val="index 3"/>
    <w:basedOn w:val="1"/>
    <w:next w:val="1"/>
    <w:qFormat/>
    <w:uiPriority w:val="0"/>
    <w:pPr>
      <w:ind w:left="720" w:hanging="240"/>
      <w:jc w:val="left"/>
    </w:pPr>
    <w:rPr>
      <w:sz w:val="20"/>
      <w:szCs w:val="20"/>
    </w:rPr>
  </w:style>
  <w:style w:type="paragraph" w:styleId="50">
    <w:name w:val="Date"/>
    <w:basedOn w:val="1"/>
    <w:next w:val="1"/>
    <w:link w:val="171"/>
    <w:qFormat/>
    <w:uiPriority w:val="0"/>
    <w:pPr>
      <w:ind w:left="100" w:leftChars="2500"/>
    </w:pPr>
    <w:rPr>
      <w:sz w:val="21"/>
    </w:rPr>
  </w:style>
  <w:style w:type="paragraph" w:styleId="51">
    <w:name w:val="Body Text Indent 2"/>
    <w:basedOn w:val="1"/>
    <w:link w:val="161"/>
    <w:qFormat/>
    <w:uiPriority w:val="0"/>
    <w:pPr>
      <w:spacing w:line="360" w:lineRule="auto"/>
      <w:ind w:firstLine="480"/>
    </w:pPr>
    <w:rPr>
      <w:rFonts w:ascii="宋体" w:hAnsi="宋体"/>
    </w:rPr>
  </w:style>
  <w:style w:type="paragraph" w:styleId="52">
    <w:name w:val="endnote text"/>
    <w:basedOn w:val="1"/>
    <w:link w:val="1083"/>
    <w:unhideWhenUsed/>
    <w:qFormat/>
    <w:uiPriority w:val="0"/>
    <w:pPr>
      <w:snapToGrid w:val="0"/>
      <w:ind w:firstLine="200" w:firstLineChars="200"/>
      <w:jc w:val="left"/>
    </w:pPr>
    <w:rPr>
      <w:sz w:val="21"/>
      <w:lang w:val="zh-CN"/>
    </w:rPr>
  </w:style>
  <w:style w:type="paragraph" w:styleId="53">
    <w:name w:val="List Continue 5"/>
    <w:basedOn w:val="1"/>
    <w:qFormat/>
    <w:uiPriority w:val="0"/>
    <w:pPr>
      <w:spacing w:after="120"/>
      <w:ind w:left="2100" w:leftChars="1000"/>
    </w:pPr>
  </w:style>
  <w:style w:type="paragraph" w:styleId="54">
    <w:name w:val="Balloon Text"/>
    <w:basedOn w:val="1"/>
    <w:link w:val="419"/>
    <w:qFormat/>
    <w:uiPriority w:val="99"/>
    <w:rPr>
      <w:sz w:val="18"/>
      <w:szCs w:val="18"/>
    </w:rPr>
  </w:style>
  <w:style w:type="paragraph" w:styleId="55">
    <w:name w:val="footer"/>
    <w:basedOn w:val="1"/>
    <w:link w:val="163"/>
    <w:qFormat/>
    <w:uiPriority w:val="99"/>
    <w:pPr>
      <w:tabs>
        <w:tab w:val="center" w:pos="4153"/>
        <w:tab w:val="right" w:pos="8306"/>
      </w:tabs>
      <w:snapToGrid w:val="0"/>
      <w:jc w:val="left"/>
    </w:pPr>
    <w:rPr>
      <w:sz w:val="18"/>
      <w:szCs w:val="18"/>
    </w:rPr>
  </w:style>
  <w:style w:type="paragraph" w:styleId="56">
    <w:name w:val="envelope return"/>
    <w:basedOn w:val="1"/>
    <w:qFormat/>
    <w:uiPriority w:val="0"/>
    <w:pPr>
      <w:snapToGrid w:val="0"/>
    </w:pPr>
    <w:rPr>
      <w:rFonts w:ascii="Arial" w:hAnsi="Arial" w:cs="Arial"/>
    </w:rPr>
  </w:style>
  <w:style w:type="paragraph" w:styleId="57">
    <w:name w:val="header"/>
    <w:basedOn w:val="1"/>
    <w:link w:val="162"/>
    <w:qFormat/>
    <w:uiPriority w:val="99"/>
    <w:pPr>
      <w:pBdr>
        <w:bottom w:val="thinThickSmallGap" w:color="auto" w:sz="24" w:space="1"/>
      </w:pBdr>
      <w:tabs>
        <w:tab w:val="center" w:pos="4153"/>
        <w:tab w:val="right" w:pos="8306"/>
      </w:tabs>
      <w:snapToGrid w:val="0"/>
      <w:jc w:val="center"/>
    </w:pPr>
    <w:rPr>
      <w:sz w:val="18"/>
      <w:szCs w:val="18"/>
    </w:rPr>
  </w:style>
  <w:style w:type="paragraph" w:styleId="58">
    <w:name w:val="Signature"/>
    <w:basedOn w:val="1"/>
    <w:link w:val="742"/>
    <w:qFormat/>
    <w:uiPriority w:val="0"/>
    <w:pPr>
      <w:ind w:left="100" w:leftChars="2100"/>
    </w:pPr>
  </w:style>
  <w:style w:type="paragraph" w:styleId="59">
    <w:name w:val="toc 1"/>
    <w:basedOn w:val="1"/>
    <w:next w:val="1"/>
    <w:qFormat/>
    <w:uiPriority w:val="39"/>
    <w:pPr>
      <w:tabs>
        <w:tab w:val="right" w:leader="dot" w:pos="8302"/>
      </w:tabs>
      <w:jc w:val="left"/>
    </w:pPr>
    <w:rPr>
      <w:rFonts w:ascii="黑体" w:hAnsi="黑体"/>
      <w:bCs/>
      <w:sz w:val="28"/>
      <w:szCs w:val="28"/>
    </w:rPr>
  </w:style>
  <w:style w:type="paragraph" w:styleId="60">
    <w:name w:val="List Continue 4"/>
    <w:basedOn w:val="1"/>
    <w:qFormat/>
    <w:uiPriority w:val="0"/>
    <w:pPr>
      <w:spacing w:after="120"/>
      <w:ind w:left="1680" w:leftChars="800"/>
    </w:pPr>
  </w:style>
  <w:style w:type="paragraph" w:styleId="61">
    <w:name w:val="toc 4"/>
    <w:basedOn w:val="1"/>
    <w:next w:val="1"/>
    <w:qFormat/>
    <w:uiPriority w:val="39"/>
    <w:pPr>
      <w:ind w:left="720"/>
      <w:jc w:val="left"/>
    </w:pPr>
    <w:rPr>
      <w:rFonts w:ascii="Calibri" w:hAnsi="Calibri"/>
      <w:sz w:val="18"/>
      <w:szCs w:val="18"/>
    </w:rPr>
  </w:style>
  <w:style w:type="paragraph" w:styleId="62">
    <w:name w:val="index heading"/>
    <w:basedOn w:val="1"/>
    <w:next w:val="63"/>
    <w:qFormat/>
    <w:uiPriority w:val="0"/>
    <w:pPr>
      <w:spacing w:before="120" w:after="120"/>
      <w:jc w:val="left"/>
    </w:pPr>
    <w:rPr>
      <w:b/>
      <w:bCs/>
      <w:i/>
      <w:iCs/>
      <w:sz w:val="20"/>
      <w:szCs w:val="20"/>
    </w:rPr>
  </w:style>
  <w:style w:type="paragraph" w:styleId="63">
    <w:name w:val="index 1"/>
    <w:basedOn w:val="1"/>
    <w:next w:val="1"/>
    <w:qFormat/>
    <w:uiPriority w:val="0"/>
    <w:pPr>
      <w:snapToGrid w:val="0"/>
      <w:spacing w:line="280" w:lineRule="exact"/>
      <w:ind w:firstLine="402"/>
      <w:jc w:val="center"/>
    </w:pPr>
    <w:rPr>
      <w:snapToGrid w:val="0"/>
      <w:sz w:val="21"/>
      <w:szCs w:val="21"/>
    </w:rPr>
  </w:style>
  <w:style w:type="paragraph" w:styleId="64">
    <w:name w:val="Subtitle"/>
    <w:basedOn w:val="1"/>
    <w:link w:val="735"/>
    <w:qFormat/>
    <w:uiPriority w:val="11"/>
    <w:pPr>
      <w:spacing w:before="240" w:after="60" w:line="312" w:lineRule="auto"/>
      <w:jc w:val="center"/>
      <w:outlineLvl w:val="1"/>
    </w:pPr>
    <w:rPr>
      <w:rFonts w:ascii="Arial" w:hAnsi="Arial" w:cs="Arial"/>
      <w:b/>
      <w:bCs/>
      <w:kern w:val="28"/>
      <w:sz w:val="32"/>
      <w:szCs w:val="32"/>
    </w:rPr>
  </w:style>
  <w:style w:type="paragraph" w:styleId="65">
    <w:name w:val="List Number 5"/>
    <w:basedOn w:val="1"/>
    <w:qFormat/>
    <w:uiPriority w:val="0"/>
    <w:pPr>
      <w:numPr>
        <w:ilvl w:val="0"/>
        <w:numId w:val="9"/>
      </w:numPr>
    </w:pPr>
  </w:style>
  <w:style w:type="paragraph" w:styleId="66">
    <w:name w:val="List"/>
    <w:basedOn w:val="1"/>
    <w:qFormat/>
    <w:uiPriority w:val="0"/>
    <w:pPr>
      <w:ind w:left="200" w:hanging="200" w:hangingChars="200"/>
    </w:pPr>
  </w:style>
  <w:style w:type="paragraph" w:styleId="67">
    <w:name w:val="footnote text"/>
    <w:basedOn w:val="1"/>
    <w:link w:val="963"/>
    <w:qFormat/>
    <w:uiPriority w:val="0"/>
    <w:pPr>
      <w:snapToGrid w:val="0"/>
      <w:jc w:val="left"/>
    </w:pPr>
    <w:rPr>
      <w:sz w:val="18"/>
      <w:szCs w:val="18"/>
    </w:rPr>
  </w:style>
  <w:style w:type="paragraph" w:styleId="68">
    <w:name w:val="toc 6"/>
    <w:basedOn w:val="1"/>
    <w:next w:val="1"/>
    <w:qFormat/>
    <w:uiPriority w:val="39"/>
    <w:pPr>
      <w:ind w:left="1200"/>
      <w:jc w:val="left"/>
    </w:pPr>
    <w:rPr>
      <w:rFonts w:ascii="Calibri" w:hAnsi="Calibri"/>
      <w:sz w:val="18"/>
      <w:szCs w:val="18"/>
    </w:rPr>
  </w:style>
  <w:style w:type="paragraph" w:styleId="69">
    <w:name w:val="List 5"/>
    <w:basedOn w:val="1"/>
    <w:qFormat/>
    <w:uiPriority w:val="0"/>
    <w:pPr>
      <w:ind w:left="100" w:leftChars="800" w:hanging="200" w:hangingChars="200"/>
    </w:pPr>
  </w:style>
  <w:style w:type="paragraph" w:styleId="70">
    <w:name w:val="Body Text Indent 3"/>
    <w:basedOn w:val="1"/>
    <w:link w:val="688"/>
    <w:qFormat/>
    <w:uiPriority w:val="0"/>
    <w:pPr>
      <w:ind w:firstLine="555"/>
    </w:pPr>
    <w:rPr>
      <w:rFonts w:ascii="宋体"/>
    </w:rPr>
  </w:style>
  <w:style w:type="paragraph" w:styleId="71">
    <w:name w:val="index 7"/>
    <w:basedOn w:val="1"/>
    <w:next w:val="1"/>
    <w:qFormat/>
    <w:uiPriority w:val="0"/>
    <w:pPr>
      <w:ind w:left="1680" w:hanging="240"/>
      <w:jc w:val="left"/>
    </w:pPr>
    <w:rPr>
      <w:sz w:val="20"/>
      <w:szCs w:val="20"/>
    </w:rPr>
  </w:style>
  <w:style w:type="paragraph" w:styleId="72">
    <w:name w:val="index 9"/>
    <w:basedOn w:val="1"/>
    <w:next w:val="1"/>
    <w:qFormat/>
    <w:uiPriority w:val="0"/>
    <w:pPr>
      <w:ind w:left="2160" w:hanging="240"/>
      <w:jc w:val="left"/>
    </w:pPr>
    <w:rPr>
      <w:sz w:val="20"/>
      <w:szCs w:val="20"/>
    </w:rPr>
  </w:style>
  <w:style w:type="paragraph" w:styleId="73">
    <w:name w:val="table of figures"/>
    <w:basedOn w:val="1"/>
    <w:next w:val="1"/>
    <w:qFormat/>
    <w:uiPriority w:val="0"/>
    <w:pPr>
      <w:spacing w:line="360" w:lineRule="auto"/>
      <w:ind w:left="200" w:leftChars="200" w:hanging="200" w:hangingChars="200"/>
    </w:pPr>
  </w:style>
  <w:style w:type="paragraph" w:styleId="74">
    <w:name w:val="toc 2"/>
    <w:basedOn w:val="1"/>
    <w:next w:val="1"/>
    <w:qFormat/>
    <w:uiPriority w:val="39"/>
    <w:pPr>
      <w:tabs>
        <w:tab w:val="right" w:leader="dot" w:pos="8302"/>
      </w:tabs>
      <w:adjustRightInd w:val="0"/>
      <w:snapToGrid w:val="0"/>
      <w:ind w:left="238"/>
      <w:jc w:val="left"/>
    </w:pPr>
    <w:rPr>
      <w:rFonts w:ascii="宋体" w:hAnsi="宋体"/>
    </w:rPr>
  </w:style>
  <w:style w:type="paragraph" w:styleId="75">
    <w:name w:val="toc 9"/>
    <w:basedOn w:val="1"/>
    <w:next w:val="1"/>
    <w:qFormat/>
    <w:uiPriority w:val="39"/>
    <w:pPr>
      <w:ind w:left="1920"/>
      <w:jc w:val="left"/>
    </w:pPr>
    <w:rPr>
      <w:rFonts w:ascii="Calibri" w:hAnsi="Calibri"/>
      <w:sz w:val="18"/>
      <w:szCs w:val="18"/>
    </w:rPr>
  </w:style>
  <w:style w:type="paragraph" w:styleId="76">
    <w:name w:val="Body Text 2"/>
    <w:basedOn w:val="1"/>
    <w:link w:val="166"/>
    <w:qFormat/>
    <w:uiPriority w:val="0"/>
    <w:rPr>
      <w:sz w:val="21"/>
    </w:rPr>
  </w:style>
  <w:style w:type="paragraph" w:styleId="77">
    <w:name w:val="List 4"/>
    <w:basedOn w:val="1"/>
    <w:qFormat/>
    <w:uiPriority w:val="0"/>
    <w:pPr>
      <w:ind w:left="100" w:leftChars="600" w:hanging="200" w:hangingChars="200"/>
    </w:pPr>
  </w:style>
  <w:style w:type="paragraph" w:styleId="78">
    <w:name w:val="List Continue 2"/>
    <w:basedOn w:val="1"/>
    <w:qFormat/>
    <w:uiPriority w:val="0"/>
    <w:pPr>
      <w:spacing w:after="120"/>
      <w:ind w:left="840" w:leftChars="400"/>
    </w:pPr>
  </w:style>
  <w:style w:type="paragraph" w:styleId="79">
    <w:name w:val="Message Header"/>
    <w:basedOn w:val="1"/>
    <w:link w:val="746"/>
    <w:qFormat/>
    <w:uiPriority w:val="0"/>
    <w:pPr>
      <w:pBdr>
        <w:top w:val="single" w:color="auto" w:sz="6" w:space="1"/>
        <w:left w:val="single" w:color="auto" w:sz="6" w:space="1"/>
        <w:bottom w:val="single" w:color="auto" w:sz="6" w:space="1"/>
        <w:right w:val="single" w:color="auto" w:sz="6" w:space="1"/>
      </w:pBdr>
      <w:shd w:val="pct20" w:color="auto" w:fill="auto"/>
      <w:ind w:left="1080" w:leftChars="500" w:hanging="1080" w:hangingChars="500"/>
    </w:pPr>
    <w:rPr>
      <w:rFonts w:ascii="Arial" w:hAnsi="Arial" w:cs="Arial"/>
    </w:rPr>
  </w:style>
  <w:style w:type="paragraph" w:styleId="80">
    <w:name w:val="HTML Preformatted"/>
    <w:basedOn w:val="1"/>
    <w:link w:val="696"/>
    <w:qFormat/>
    <w:uiPriority w:val="0"/>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宋体" w:hAnsi="宋体" w:cs="宋体"/>
      <w:kern w:val="0"/>
    </w:rPr>
  </w:style>
  <w:style w:type="paragraph" w:styleId="81">
    <w:name w:val="Normal (Web)"/>
    <w:basedOn w:val="1"/>
    <w:link w:val="170"/>
    <w:qFormat/>
    <w:uiPriority w:val="99"/>
    <w:pPr>
      <w:widowControl/>
      <w:spacing w:before="100" w:beforeAutospacing="1" w:after="100" w:afterAutospacing="1"/>
      <w:jc w:val="left"/>
    </w:pPr>
    <w:rPr>
      <w:rFonts w:ascii="宋体" w:hAnsi="宋体"/>
      <w:kern w:val="0"/>
    </w:rPr>
  </w:style>
  <w:style w:type="paragraph" w:styleId="82">
    <w:name w:val="List Continue 3"/>
    <w:basedOn w:val="1"/>
    <w:qFormat/>
    <w:uiPriority w:val="0"/>
    <w:pPr>
      <w:spacing w:after="120"/>
      <w:ind w:left="1260" w:leftChars="600"/>
    </w:pPr>
  </w:style>
  <w:style w:type="paragraph" w:styleId="83">
    <w:name w:val="index 2"/>
    <w:basedOn w:val="1"/>
    <w:next w:val="1"/>
    <w:qFormat/>
    <w:uiPriority w:val="0"/>
    <w:pPr>
      <w:ind w:left="480" w:hanging="240"/>
      <w:jc w:val="left"/>
    </w:pPr>
    <w:rPr>
      <w:sz w:val="20"/>
      <w:szCs w:val="20"/>
    </w:rPr>
  </w:style>
  <w:style w:type="paragraph" w:styleId="84">
    <w:name w:val="Title"/>
    <w:basedOn w:val="1"/>
    <w:link w:val="252"/>
    <w:qFormat/>
    <w:uiPriority w:val="0"/>
    <w:pPr>
      <w:spacing w:before="240" w:after="60" w:line="360" w:lineRule="auto"/>
      <w:jc w:val="center"/>
      <w:outlineLvl w:val="0"/>
    </w:pPr>
    <w:rPr>
      <w:rFonts w:ascii="Arial" w:hAnsi="Arial" w:cs="Arial"/>
      <w:b/>
      <w:bCs/>
      <w:sz w:val="32"/>
      <w:szCs w:val="32"/>
    </w:rPr>
  </w:style>
  <w:style w:type="paragraph" w:styleId="85">
    <w:name w:val="annotation subject"/>
    <w:basedOn w:val="28"/>
    <w:next w:val="28"/>
    <w:link w:val="648"/>
    <w:qFormat/>
    <w:uiPriority w:val="99"/>
    <w:rPr>
      <w:b/>
      <w:bCs/>
      <w:sz w:val="24"/>
      <w:lang w:val="en-US"/>
    </w:rPr>
  </w:style>
  <w:style w:type="paragraph" w:styleId="86">
    <w:name w:val="Body Text First Indent"/>
    <w:basedOn w:val="34"/>
    <w:link w:val="193"/>
    <w:qFormat/>
    <w:uiPriority w:val="0"/>
    <w:pPr>
      <w:adjustRightInd w:val="0"/>
      <w:snapToGrid w:val="0"/>
      <w:spacing w:line="480" w:lineRule="atLeast"/>
      <w:ind w:firstLine="200" w:firstLineChars="200"/>
    </w:pPr>
    <w:rPr>
      <w:sz w:val="28"/>
    </w:rPr>
  </w:style>
  <w:style w:type="paragraph" w:styleId="87">
    <w:name w:val="Body Text First Indent 2"/>
    <w:basedOn w:val="1"/>
    <w:link w:val="695"/>
    <w:qFormat/>
    <w:uiPriority w:val="0"/>
    <w:pPr>
      <w:tabs>
        <w:tab w:val="left" w:pos="964"/>
        <w:tab w:val="left" w:pos="1172"/>
      </w:tabs>
      <w:spacing w:line="240" w:lineRule="atLeast"/>
      <w:ind w:left="964" w:hanging="720"/>
    </w:pPr>
    <w:rPr>
      <w:rFonts w:ascii="宋体" w:hAnsi="宋体"/>
      <w:sz w:val="28"/>
    </w:rPr>
  </w:style>
  <w:style w:type="table" w:styleId="89">
    <w:name w:val="Table Grid"/>
    <w:basedOn w:val="88"/>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Pr>
  </w:style>
  <w:style w:type="table" w:styleId="90">
    <w:name w:val="Table Theme"/>
    <w:basedOn w:val="88"/>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Pr>
  </w:style>
  <w:style w:type="table" w:styleId="91">
    <w:name w:val="Table Colorful 1"/>
    <w:basedOn w:val="88"/>
    <w:qFormat/>
    <w:uiPriority w:val="0"/>
    <w:pPr>
      <w:widowControl w:val="0"/>
      <w:jc w:val="both"/>
    </w:pPr>
    <w:rPr>
      <w:rFonts w:ascii="Calibri" w:hAnsi="Calibri"/>
      <w:color w:val="FFFFFF"/>
    </w:rPr>
    <w:tblPr>
      <w:tblBorders>
        <w:top w:val="single" w:color="008080" w:sz="12" w:space="0"/>
        <w:left w:val="single" w:color="008080" w:sz="12" w:space="0"/>
        <w:bottom w:val="single" w:color="008080" w:sz="12" w:space="0"/>
        <w:right w:val="single" w:color="008080" w:sz="12" w:space="0"/>
        <w:insideH w:val="single" w:color="00FFFF" w:sz="6" w:space="0"/>
      </w:tblBorders>
      <w:tblLayout w:type="fixed"/>
    </w:tblPr>
    <w:tcPr>
      <w:shd w:val="solid" w:color="008080" w:fill="FFFFFF"/>
    </w:tcPr>
    <w:tblStylePr w:type="firstRow">
      <w:rPr>
        <w:b/>
        <w:bCs/>
        <w:i/>
        <w:iCs/>
      </w:rPr>
      <w:tblPr>
        <w:tblLayout w:type="fixed"/>
      </w:tblPr>
      <w:tcPr>
        <w:tcBorders>
          <w:tl2br w:val="nil"/>
          <w:tr2bl w:val="nil"/>
        </w:tcBorders>
        <w:shd w:val="solid" w:color="000000" w:fill="FFFFFF"/>
      </w:tcPr>
    </w:tblStylePr>
    <w:tblStylePr w:type="firstCol">
      <w:rPr>
        <w:b/>
        <w:bCs/>
        <w:i/>
        <w:iCs/>
      </w:rPr>
      <w:tblPr>
        <w:tblLayout w:type="fixed"/>
      </w:tblPr>
      <w:tcPr>
        <w:tcBorders>
          <w:tl2br w:val="nil"/>
          <w:tr2bl w:val="nil"/>
        </w:tcBorders>
        <w:shd w:val="solid" w:color="000080" w:fill="FFFFFF"/>
      </w:tcPr>
    </w:tblStylePr>
    <w:tblStylePr w:type="nwCell">
      <w:tblPr>
        <w:tblLayout w:type="fixed"/>
      </w:tblPr>
      <w:tcPr>
        <w:tcBorders>
          <w:tl2br w:val="nil"/>
          <w:tr2bl w:val="nil"/>
        </w:tcBorders>
        <w:shd w:val="solid" w:color="000000" w:fill="FFFFFF"/>
      </w:tcPr>
    </w:tblStylePr>
    <w:tblStylePr w:type="swCell">
      <w:rPr>
        <w:b/>
        <w:bCs/>
        <w:i w:val="0"/>
        <w:iCs w:val="0"/>
      </w:rPr>
      <w:tblPr>
        <w:tblLayout w:type="fixed"/>
      </w:tblPr>
      <w:tcPr>
        <w:tcBorders>
          <w:tl2br w:val="nil"/>
          <w:tr2bl w:val="nil"/>
        </w:tcBorders>
      </w:tcPr>
    </w:tblStylePr>
  </w:style>
  <w:style w:type="table" w:styleId="92">
    <w:name w:val="Table Colorful 2"/>
    <w:basedOn w:val="88"/>
    <w:qFormat/>
    <w:uiPriority w:val="0"/>
    <w:pPr>
      <w:widowControl w:val="0"/>
      <w:jc w:val="both"/>
    </w:pPr>
    <w:rPr>
      <w:rFonts w:ascii="Calibri" w:hAnsi="Calibri"/>
    </w:rPr>
    <w:tblPr>
      <w:tblBorders>
        <w:bottom w:val="single" w:color="000000" w:sz="12" w:space="0"/>
      </w:tblBorders>
      <w:tblLayout w:type="fixed"/>
    </w:tblPr>
    <w:tcPr>
      <w:shd w:val="pct20" w:color="FFFF00" w:fill="FFFFFF"/>
    </w:tcPr>
    <w:tblStylePr w:type="firstRow">
      <w:rPr>
        <w:b/>
        <w:bCs/>
        <w:i/>
        <w:iCs/>
        <w:color w:val="FFFFFF"/>
      </w:rPr>
      <w:tblPr>
        <w:tblLayout w:type="fixed"/>
      </w:tblPr>
      <w:tcPr>
        <w:tcBorders>
          <w:bottom w:val="single" w:color="000000" w:sz="12" w:space="0"/>
          <w:tl2br w:val="nil"/>
          <w:tr2bl w:val="nil"/>
        </w:tcBorders>
        <w:shd w:val="solid" w:color="800000" w:fill="FFFFFF"/>
      </w:tcPr>
    </w:tblStylePr>
    <w:tblStylePr w:type="firstCol">
      <w:rPr>
        <w:b/>
        <w:bCs/>
        <w:i/>
        <w:iCs/>
      </w:rPr>
      <w:tblPr>
        <w:tblLayout w:type="fixed"/>
      </w:tblPr>
      <w:tcPr>
        <w:tcBorders>
          <w:tl2br w:val="nil"/>
          <w:tr2bl w:val="nil"/>
        </w:tcBorders>
      </w:tcPr>
    </w:tblStylePr>
    <w:tblStylePr w:type="lastCol">
      <w:tblPr>
        <w:tblLayout w:type="fixed"/>
      </w:tblPr>
      <w:tcPr>
        <w:tcBorders>
          <w:tl2br w:val="nil"/>
          <w:tr2bl w:val="nil"/>
        </w:tcBorders>
        <w:shd w:val="solid" w:color="C0C0C0" w:fill="FFFFFF"/>
      </w:tcPr>
    </w:tblStylePr>
    <w:tblStylePr w:type="swCell">
      <w:rPr>
        <w:b/>
        <w:bCs/>
        <w:i w:val="0"/>
        <w:iCs w:val="0"/>
      </w:rPr>
      <w:tblPr>
        <w:tblLayout w:type="fixed"/>
      </w:tblPr>
      <w:tcPr>
        <w:tcBorders>
          <w:tl2br w:val="nil"/>
          <w:tr2bl w:val="nil"/>
        </w:tcBorders>
      </w:tcPr>
    </w:tblStylePr>
  </w:style>
  <w:style w:type="table" w:styleId="93">
    <w:name w:val="Table Colorful 3"/>
    <w:basedOn w:val="88"/>
    <w:qFormat/>
    <w:uiPriority w:val="0"/>
    <w:pPr>
      <w:widowControl w:val="0"/>
      <w:jc w:val="both"/>
    </w:pPr>
    <w:rPr>
      <w:rFonts w:ascii="Calibri" w:hAnsi="Calibri"/>
    </w:rPr>
    <w:tblPr>
      <w:tblBorders>
        <w:top w:val="single" w:color="000000" w:sz="18" w:space="0"/>
        <w:left w:val="single" w:color="000000" w:sz="18" w:space="0"/>
        <w:bottom w:val="single" w:color="000000" w:sz="18" w:space="0"/>
        <w:right w:val="single" w:color="000000" w:sz="18" w:space="0"/>
        <w:insideH w:val="single" w:color="C0C0C0" w:sz="6" w:space="0"/>
      </w:tblBorders>
      <w:tblLayout w:type="fixed"/>
    </w:tblPr>
    <w:tcPr>
      <w:shd w:val="pct25" w:color="008080" w:fill="FFFFFF"/>
    </w:tcPr>
    <w:tblStylePr w:type="firstRow">
      <w:tblPr>
        <w:tblLayout w:type="fixed"/>
      </w:tblPr>
      <w:tcPr>
        <w:tcBorders>
          <w:bottom w:val="single" w:color="000000" w:sz="6" w:space="0"/>
          <w:tl2br w:val="nil"/>
          <w:tr2bl w:val="nil"/>
        </w:tcBorders>
        <w:shd w:val="solid" w:color="008080" w:fill="FFFFFF"/>
      </w:tcPr>
    </w:tblStylePr>
    <w:tblStylePr w:type="firstCol">
      <w:tblPr>
        <w:tblLayout w:type="fixed"/>
      </w:tblPr>
      <w:tcPr>
        <w:tcBorders>
          <w:left w:val="single" w:color="000000" w:sz="36" w:space="0"/>
          <w:right w:val="single" w:color="000000" w:sz="6" w:space="0"/>
          <w:tl2br w:val="nil"/>
          <w:tr2bl w:val="nil"/>
        </w:tcBorders>
        <w:shd w:val="solid" w:color="008080" w:fill="FFFFFF"/>
      </w:tcPr>
    </w:tblStylePr>
    <w:tblStylePr w:type="nwCell">
      <w:rPr>
        <w:b/>
        <w:bCs/>
        <w:color w:val="FFFFFF"/>
      </w:rPr>
      <w:tblPr>
        <w:tblLayout w:type="fixed"/>
      </w:tblPr>
      <w:tcPr>
        <w:tcBorders>
          <w:tl2br w:val="nil"/>
          <w:tr2bl w:val="nil"/>
        </w:tcBorders>
        <w:shd w:val="solid" w:color="000000" w:fill="FFFFFF"/>
      </w:tcPr>
    </w:tblStylePr>
  </w:style>
  <w:style w:type="table" w:styleId="94">
    <w:name w:val="Table Elegant"/>
    <w:basedOn w:val="88"/>
    <w:qFormat/>
    <w:uiPriority w:val="0"/>
    <w:pPr>
      <w:widowControl w:val="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Layout w:type="fixed"/>
    </w:tblPr>
    <w:tcPr>
      <w:shd w:val="clear" w:color="auto" w:fill="auto"/>
    </w:tcPr>
    <w:tblStylePr w:type="firstRow">
      <w:rPr>
        <w:caps/>
        <w:color w:val="auto"/>
      </w:rPr>
      <w:tblPr>
        <w:tblLayout w:type="fixed"/>
      </w:tblPr>
      <w:tcPr>
        <w:tcBorders>
          <w:tl2br w:val="nil"/>
          <w:tr2bl w:val="nil"/>
        </w:tcBorders>
      </w:tcPr>
    </w:tblStylePr>
  </w:style>
  <w:style w:type="table" w:styleId="95">
    <w:name w:val="Table Classic 1"/>
    <w:basedOn w:val="88"/>
    <w:qFormat/>
    <w:uiPriority w:val="0"/>
    <w:pPr>
      <w:widowControl w:val="0"/>
      <w:jc w:val="both"/>
    </w:pPr>
    <w:rPr>
      <w:rFonts w:ascii="Calibri" w:hAnsi="Calibri"/>
    </w:rPr>
    <w:tblPr>
      <w:tblBorders>
        <w:top w:val="single" w:color="000000" w:sz="12" w:space="0"/>
        <w:bottom w:val="single" w:color="000000" w:sz="12" w:space="0"/>
      </w:tblBorders>
      <w:tblLayout w:type="fixed"/>
    </w:tblPr>
    <w:tcPr>
      <w:shd w:val="clear" w:color="auto" w:fill="auto"/>
    </w:tcPr>
    <w:tblStylePr w:type="firstRow">
      <w:rPr>
        <w:i/>
        <w:iCs/>
      </w:rPr>
      <w:tblPr>
        <w:tblLayout w:type="fixed"/>
      </w:tblPr>
      <w:tcPr>
        <w:tcBorders>
          <w:bottom w:val="single" w:color="000000" w:sz="6" w:space="0"/>
          <w:tl2br w:val="nil"/>
          <w:tr2bl w:val="nil"/>
        </w:tcBorders>
      </w:tcPr>
    </w:tblStylePr>
    <w:tblStylePr w:type="lastRow">
      <w:rPr>
        <w:color w:val="auto"/>
      </w:rPr>
      <w:tblPr>
        <w:tblLayout w:type="fixed"/>
      </w:tblPr>
      <w:tcPr>
        <w:tcBorders>
          <w:top w:val="single" w:color="000000" w:sz="6" w:space="0"/>
          <w:tl2br w:val="nil"/>
          <w:tr2bl w:val="nil"/>
        </w:tcBorders>
      </w:tcPr>
    </w:tblStylePr>
    <w:tblStylePr w:type="firstCol">
      <w:tblPr>
        <w:tblLayout w:type="fixed"/>
      </w:tblPr>
      <w:tcPr>
        <w:tcBorders>
          <w:right w:val="single" w:color="000000" w:sz="6" w:space="0"/>
          <w:tl2br w:val="nil"/>
          <w:tr2bl w:val="nil"/>
        </w:tcBorders>
      </w:tcPr>
    </w:tblStylePr>
    <w:tblStylePr w:type="neCell">
      <w:rPr>
        <w:b/>
        <w:bCs/>
        <w:i w:val="0"/>
        <w:iCs w:val="0"/>
      </w:rPr>
      <w:tblPr>
        <w:tblLayout w:type="fixed"/>
      </w:tblPr>
      <w:tcPr>
        <w:tcBorders>
          <w:tl2br w:val="nil"/>
          <w:tr2bl w:val="nil"/>
        </w:tcBorders>
      </w:tcPr>
    </w:tblStylePr>
    <w:tblStylePr w:type="swCell">
      <w:rPr>
        <w:b/>
        <w:bCs/>
      </w:rPr>
      <w:tblPr>
        <w:tblLayout w:type="fixed"/>
      </w:tblPr>
      <w:tcPr>
        <w:tcBorders>
          <w:tl2br w:val="nil"/>
          <w:tr2bl w:val="nil"/>
        </w:tcBorders>
      </w:tcPr>
    </w:tblStylePr>
  </w:style>
  <w:style w:type="table" w:styleId="96">
    <w:name w:val="Table Classic 2"/>
    <w:basedOn w:val="88"/>
    <w:qFormat/>
    <w:uiPriority w:val="0"/>
    <w:pPr>
      <w:widowControl w:val="0"/>
      <w:jc w:val="both"/>
    </w:pPr>
    <w:rPr>
      <w:rFonts w:ascii="Calibri" w:hAnsi="Calibri"/>
    </w:rPr>
    <w:tblPr>
      <w:tblBorders>
        <w:top w:val="single" w:color="000000" w:sz="12" w:space="0"/>
        <w:bottom w:val="single" w:color="000000" w:sz="12" w:space="0"/>
      </w:tblBorders>
      <w:tblLayout w:type="fixed"/>
    </w:tblPr>
    <w:tcPr>
      <w:shd w:val="clear" w:color="auto" w:fill="auto"/>
    </w:tcPr>
    <w:tblStylePr w:type="firstRow">
      <w:rPr>
        <w:color w:val="FFFFFF"/>
      </w:rPr>
      <w:tblPr>
        <w:tblLayout w:type="fixed"/>
      </w:tblPr>
      <w:tcPr>
        <w:tcBorders>
          <w:bottom w:val="single" w:color="000000" w:sz="6" w:space="0"/>
          <w:tl2br w:val="nil"/>
          <w:tr2bl w:val="nil"/>
        </w:tcBorders>
        <w:shd w:val="solid" w:color="800080" w:fill="FFFFFF"/>
      </w:tcPr>
    </w:tblStylePr>
    <w:tblStylePr w:type="lastRow">
      <w:tblPr>
        <w:tblLayout w:type="fixed"/>
      </w:tblPr>
      <w:tcPr>
        <w:tcBorders>
          <w:top w:val="single" w:color="000000" w:sz="6" w:space="0"/>
          <w:tl2br w:val="nil"/>
          <w:tr2bl w:val="nil"/>
        </w:tcBorders>
      </w:tcPr>
    </w:tblStylePr>
    <w:tblStylePr w:type="firstCol">
      <w:rPr>
        <w:b/>
        <w:bCs/>
      </w:rPr>
      <w:tblPr>
        <w:tblLayout w:type="fixed"/>
      </w:tblPr>
      <w:tcPr>
        <w:tcBorders>
          <w:tl2br w:val="nil"/>
          <w:tr2bl w:val="nil"/>
        </w:tcBorders>
        <w:shd w:val="solid" w:color="C0C0C0" w:fill="FFFFFF"/>
      </w:tcPr>
    </w:tblStylePr>
    <w:tblStylePr w:type="neCell">
      <w:rPr>
        <w:b/>
        <w:bCs/>
      </w:rPr>
      <w:tblPr>
        <w:tblLayout w:type="fixed"/>
      </w:tblPr>
      <w:tcPr>
        <w:tcBorders>
          <w:tl2br w:val="nil"/>
          <w:tr2bl w:val="nil"/>
        </w:tcBorders>
      </w:tcPr>
    </w:tblStylePr>
    <w:tblStylePr w:type="nwCell">
      <w:tblPr>
        <w:tblLayout w:type="fixed"/>
      </w:tblPr>
      <w:tcPr>
        <w:tcBorders>
          <w:tl2br w:val="nil"/>
          <w:tr2bl w:val="nil"/>
        </w:tcBorders>
        <w:shd w:val="solid" w:color="800080" w:fill="FFFFFF"/>
      </w:tcPr>
    </w:tblStylePr>
    <w:tblStylePr w:type="swCell">
      <w:rPr>
        <w:color w:val="000080"/>
      </w:rPr>
      <w:tblPr>
        <w:tblLayout w:type="fixed"/>
      </w:tblPr>
      <w:tcPr>
        <w:tcBorders>
          <w:tl2br w:val="nil"/>
          <w:tr2bl w:val="nil"/>
        </w:tcBorders>
      </w:tcPr>
    </w:tblStylePr>
  </w:style>
  <w:style w:type="table" w:styleId="97">
    <w:name w:val="Table Classic 3"/>
    <w:basedOn w:val="88"/>
    <w:qFormat/>
    <w:uiPriority w:val="0"/>
    <w:pPr>
      <w:widowControl w:val="0"/>
      <w:jc w:val="both"/>
    </w:pPr>
    <w:rPr>
      <w:rFonts w:ascii="Calibri" w:hAnsi="Calibri"/>
      <w:color w:val="000080"/>
    </w:rPr>
    <w:tblPr>
      <w:tblBorders>
        <w:top w:val="single" w:color="000000" w:sz="12" w:space="0"/>
        <w:left w:val="single" w:color="000000" w:sz="12" w:space="0"/>
        <w:bottom w:val="single" w:color="000000" w:sz="12" w:space="0"/>
        <w:right w:val="single" w:color="000000" w:sz="12" w:space="0"/>
      </w:tblBorders>
      <w:tblLayout w:type="fixed"/>
    </w:tblPr>
    <w:tcPr>
      <w:shd w:val="solid" w:color="C0C0C0" w:fill="FFFFFF"/>
    </w:tcPr>
    <w:tblStylePr w:type="firstRow">
      <w:rPr>
        <w:b/>
        <w:bCs/>
        <w:i/>
        <w:iCs/>
        <w:color w:val="FFFFFF"/>
      </w:rPr>
      <w:tblPr>
        <w:tblLayout w:type="fixed"/>
      </w:tblPr>
      <w:tcPr>
        <w:tcBorders>
          <w:bottom w:val="single" w:color="000000" w:sz="6" w:space="0"/>
          <w:tl2br w:val="nil"/>
          <w:tr2bl w:val="nil"/>
        </w:tcBorders>
        <w:shd w:val="solid" w:color="000080" w:fill="FFFFFF"/>
      </w:tcPr>
    </w:tblStylePr>
    <w:tblStylePr w:type="lastRow">
      <w:rPr>
        <w:color w:val="000080"/>
      </w:rPr>
      <w:tblPr>
        <w:tblLayout w:type="fixed"/>
      </w:tblPr>
      <w:tcPr>
        <w:tcBorders>
          <w:top w:val="single" w:color="000000" w:sz="12" w:space="0"/>
          <w:tl2br w:val="nil"/>
          <w:tr2bl w:val="nil"/>
        </w:tcBorders>
        <w:shd w:val="solid" w:color="FFFFFF" w:fill="FFFFFF"/>
      </w:tcPr>
    </w:tblStylePr>
    <w:tblStylePr w:type="firstCol">
      <w:rPr>
        <w:b/>
        <w:bCs/>
        <w:color w:val="000000"/>
      </w:rPr>
      <w:tblPr>
        <w:tblLayout w:type="fixed"/>
      </w:tblPr>
      <w:tcPr>
        <w:tcBorders>
          <w:tl2br w:val="nil"/>
          <w:tr2bl w:val="nil"/>
        </w:tcBorders>
      </w:tcPr>
    </w:tblStylePr>
  </w:style>
  <w:style w:type="table" w:styleId="98">
    <w:name w:val="Table Classic 4"/>
    <w:basedOn w:val="88"/>
    <w:qFormat/>
    <w:uiPriority w:val="0"/>
    <w:pPr>
      <w:widowControl w:val="0"/>
      <w:jc w:val="both"/>
    </w:pPr>
    <w:rPr>
      <w:rFonts w:ascii="Calibri" w:hAnsi="Calibri"/>
    </w:rPr>
    <w:tblPr>
      <w:tblBorders>
        <w:top w:val="single" w:color="000000" w:sz="12" w:space="0"/>
        <w:left w:val="single" w:color="000000" w:sz="6" w:space="0"/>
        <w:bottom w:val="single" w:color="000000" w:sz="12" w:space="0"/>
        <w:right w:val="single" w:color="000000" w:sz="6" w:space="0"/>
      </w:tblBorders>
      <w:tblLayout w:type="fixed"/>
    </w:tblPr>
    <w:tcPr>
      <w:shd w:val="clear" w:color="auto" w:fill="auto"/>
    </w:tcPr>
    <w:tblStylePr w:type="firstRow">
      <w:rPr>
        <w:b/>
        <w:bCs/>
        <w:i/>
        <w:iCs/>
        <w:color w:val="FFFFFF"/>
      </w:rPr>
      <w:tblPr>
        <w:tblLayout w:type="fixed"/>
      </w:tblPr>
      <w:tcPr>
        <w:tcBorders>
          <w:bottom w:val="single" w:color="000000" w:sz="6" w:space="0"/>
          <w:tl2br w:val="nil"/>
          <w:tr2bl w:val="nil"/>
        </w:tcBorders>
        <w:shd w:val="pct50" w:color="000080" w:fill="FFFFFF"/>
      </w:tcPr>
    </w:tblStylePr>
    <w:tblStylePr w:type="lastRow">
      <w:rPr>
        <w:color w:val="000080"/>
      </w:rPr>
      <w:tblPr>
        <w:tblLayout w:type="fixed"/>
      </w:tblPr>
      <w:tcPr>
        <w:tcBorders>
          <w:bottom w:val="single" w:color="000000" w:sz="6" w:space="0"/>
          <w:tl2br w:val="nil"/>
          <w:tr2bl w:val="nil"/>
        </w:tcBorders>
        <w:shd w:val="pct50" w:color="000000" w:fill="FFFFFF"/>
      </w:tcPr>
    </w:tblStylePr>
    <w:tblStylePr w:type="firstCol">
      <w:rPr>
        <w:b/>
        <w:bCs/>
      </w:rPr>
      <w:tblPr>
        <w:tblLayout w:type="fixed"/>
      </w:tblPr>
      <w:tcPr>
        <w:tcBorders>
          <w:tl2br w:val="nil"/>
          <w:tr2bl w:val="nil"/>
        </w:tcBorders>
      </w:tcPr>
    </w:tblStylePr>
    <w:tblStylePr w:type="nwCell">
      <w:rPr>
        <w:b/>
        <w:bCs/>
      </w:rPr>
      <w:tblPr>
        <w:tblLayout w:type="fixed"/>
      </w:tblPr>
      <w:tcPr>
        <w:tcBorders>
          <w:tl2br w:val="nil"/>
          <w:tr2bl w:val="nil"/>
        </w:tcBorders>
      </w:tcPr>
    </w:tblStylePr>
    <w:tblStylePr w:type="swCell">
      <w:rPr>
        <w:color w:val="000080"/>
      </w:rPr>
      <w:tblPr>
        <w:tblLayout w:type="fixed"/>
      </w:tblPr>
      <w:tcPr>
        <w:tcBorders>
          <w:tl2br w:val="nil"/>
          <w:tr2bl w:val="nil"/>
        </w:tcBorders>
      </w:tcPr>
    </w:tblStylePr>
  </w:style>
  <w:style w:type="table" w:styleId="99">
    <w:name w:val="Table Simple 1"/>
    <w:basedOn w:val="88"/>
    <w:qFormat/>
    <w:uiPriority w:val="0"/>
    <w:pPr>
      <w:widowControl w:val="0"/>
      <w:jc w:val="both"/>
    </w:pPr>
    <w:rPr>
      <w:rFonts w:ascii="Calibri" w:hAnsi="Calibri"/>
    </w:rPr>
    <w:tblPr>
      <w:tblBorders>
        <w:top w:val="single" w:color="008000" w:sz="12" w:space="0"/>
        <w:bottom w:val="single" w:color="008000" w:sz="12" w:space="0"/>
      </w:tblBorders>
      <w:tblLayout w:type="fixed"/>
    </w:tblPr>
    <w:tcPr>
      <w:shd w:val="clear" w:color="auto" w:fill="auto"/>
    </w:tcPr>
    <w:tblStylePr w:type="firstRow">
      <w:tblPr>
        <w:tblLayout w:type="fixed"/>
      </w:tblPr>
      <w:tcPr>
        <w:tcBorders>
          <w:bottom w:val="single" w:color="008000" w:sz="6" w:space="0"/>
          <w:tl2br w:val="nil"/>
          <w:tr2bl w:val="nil"/>
        </w:tcBorders>
      </w:tcPr>
    </w:tblStylePr>
    <w:tblStylePr w:type="lastRow">
      <w:tblPr>
        <w:tblLayout w:type="fixed"/>
      </w:tblPr>
      <w:tcPr>
        <w:tcBorders>
          <w:top w:val="single" w:color="008000" w:sz="6" w:space="0"/>
          <w:tl2br w:val="nil"/>
          <w:tr2bl w:val="nil"/>
        </w:tcBorders>
      </w:tcPr>
    </w:tblStylePr>
  </w:style>
  <w:style w:type="table" w:styleId="100">
    <w:name w:val="Table Simple 2"/>
    <w:basedOn w:val="88"/>
    <w:qFormat/>
    <w:uiPriority w:val="0"/>
    <w:pPr>
      <w:widowControl w:val="0"/>
      <w:jc w:val="both"/>
    </w:pPr>
    <w:rPr>
      <w:rFonts w:ascii="Calibri" w:hAnsi="Calibri"/>
    </w:rPr>
    <w:tblPr>
      <w:tblLayout w:type="fixed"/>
    </w:tblPr>
    <w:tblStylePr w:type="firstRow">
      <w:rPr>
        <w:b/>
        <w:bCs/>
      </w:rPr>
      <w:tblPr>
        <w:tblLayout w:type="fixed"/>
      </w:tblPr>
      <w:tcPr>
        <w:tcBorders>
          <w:bottom w:val="single" w:color="000000" w:sz="12" w:space="0"/>
          <w:tl2br w:val="nil"/>
          <w:tr2bl w:val="nil"/>
        </w:tcBorders>
      </w:tcPr>
    </w:tblStylePr>
    <w:tblStylePr w:type="lastRow">
      <w:rPr>
        <w:b/>
        <w:bCs/>
        <w:color w:val="auto"/>
      </w:rPr>
      <w:tblPr>
        <w:tblLayout w:type="fixed"/>
      </w:tblPr>
      <w:tcPr>
        <w:tcBorders>
          <w:top w:val="single" w:color="000000" w:sz="6" w:space="0"/>
          <w:tl2br w:val="nil"/>
          <w:tr2bl w:val="nil"/>
        </w:tcBorders>
      </w:tcPr>
    </w:tblStylePr>
    <w:tblStylePr w:type="firstCol">
      <w:rPr>
        <w:b/>
        <w:bCs/>
      </w:rPr>
      <w:tblPr>
        <w:tblLayout w:type="fixed"/>
      </w:tblPr>
      <w:tcPr>
        <w:tcBorders>
          <w:right w:val="single" w:color="000000" w:sz="12" w:space="0"/>
          <w:tl2br w:val="nil"/>
          <w:tr2bl w:val="nil"/>
        </w:tcBorders>
      </w:tcPr>
    </w:tblStylePr>
    <w:tblStylePr w:type="lastCol">
      <w:rPr>
        <w:b/>
        <w:bCs/>
      </w:rPr>
      <w:tblPr>
        <w:tblLayout w:type="fixed"/>
      </w:tblPr>
      <w:tcPr>
        <w:tcBorders>
          <w:left w:val="single" w:color="000000" w:sz="6" w:space="0"/>
          <w:tl2br w:val="nil"/>
          <w:tr2bl w:val="nil"/>
        </w:tcBorders>
      </w:tcPr>
    </w:tblStylePr>
    <w:tblStylePr w:type="neCell">
      <w:rPr>
        <w:b/>
        <w:bCs/>
      </w:rPr>
      <w:tblPr>
        <w:tblLayout w:type="fixed"/>
      </w:tblPr>
      <w:tcPr>
        <w:tcBorders>
          <w:left w:val="nil"/>
          <w:tl2br w:val="nil"/>
          <w:tr2bl w:val="nil"/>
        </w:tcBorders>
      </w:tcPr>
    </w:tblStylePr>
    <w:tblStylePr w:type="swCell">
      <w:rPr>
        <w:b/>
        <w:bCs/>
      </w:rPr>
      <w:tblPr>
        <w:tblLayout w:type="fixed"/>
      </w:tblPr>
      <w:tcPr>
        <w:tcBorders>
          <w:top w:val="nil"/>
          <w:tl2br w:val="nil"/>
          <w:tr2bl w:val="nil"/>
        </w:tcBorders>
      </w:tcPr>
    </w:tblStylePr>
  </w:style>
  <w:style w:type="table" w:styleId="101">
    <w:name w:val="Table Simple 3"/>
    <w:basedOn w:val="88"/>
    <w:qFormat/>
    <w:uiPriority w:val="0"/>
    <w:pPr>
      <w:widowControl w:val="0"/>
      <w:jc w:val="both"/>
    </w:pPr>
    <w:rPr>
      <w:rFonts w:ascii="Calibri" w:hAnsi="Calibri"/>
    </w:rPr>
    <w:tblPr>
      <w:tblBorders>
        <w:top w:val="single" w:color="000000" w:sz="12" w:space="0"/>
        <w:left w:val="single" w:color="000000" w:sz="12" w:space="0"/>
        <w:bottom w:val="single" w:color="000000" w:sz="12" w:space="0"/>
        <w:right w:val="single" w:color="000000" w:sz="12" w:space="0"/>
      </w:tblBorders>
      <w:tblLayout w:type="fixed"/>
    </w:tblPr>
    <w:tcPr>
      <w:shd w:val="clear" w:color="auto" w:fill="auto"/>
    </w:tcPr>
    <w:tblStylePr w:type="firstRow">
      <w:rPr>
        <w:b/>
        <w:bCs/>
        <w:color w:val="FFFFFF"/>
      </w:rPr>
      <w:tblPr>
        <w:tblLayout w:type="fixed"/>
      </w:tblPr>
      <w:tcPr>
        <w:tcBorders>
          <w:tl2br w:val="nil"/>
          <w:tr2bl w:val="nil"/>
        </w:tcBorders>
        <w:shd w:val="solid" w:color="000000" w:fill="FFFFFF"/>
      </w:tcPr>
    </w:tblStylePr>
  </w:style>
  <w:style w:type="table" w:styleId="102">
    <w:name w:val="Table Subtle 1"/>
    <w:basedOn w:val="88"/>
    <w:qFormat/>
    <w:uiPriority w:val="0"/>
    <w:pPr>
      <w:widowControl w:val="0"/>
      <w:jc w:val="both"/>
    </w:pPr>
    <w:rPr>
      <w:rFonts w:ascii="Calibri" w:hAnsi="Calibri"/>
    </w:rPr>
    <w:tblPr>
      <w:tblLayout w:type="fixed"/>
    </w:tblPr>
    <w:tblStylePr w:type="firstRow">
      <w:tblPr>
        <w:tblLayout w:type="fixed"/>
      </w:tblPr>
      <w:tcPr>
        <w:tcBorders>
          <w:top w:val="single" w:color="000000" w:sz="6" w:space="0"/>
          <w:bottom w:val="single" w:color="000000" w:sz="12" w:space="0"/>
          <w:tl2br w:val="nil"/>
          <w:tr2bl w:val="nil"/>
        </w:tcBorders>
      </w:tcPr>
    </w:tblStylePr>
    <w:tblStylePr w:type="lastRow">
      <w:tblPr>
        <w:tblLayout w:type="fixed"/>
      </w:tblPr>
      <w:tcPr>
        <w:tcBorders>
          <w:top w:val="single" w:color="000000" w:sz="12" w:space="0"/>
          <w:tl2br w:val="nil"/>
          <w:tr2bl w:val="nil"/>
        </w:tcBorders>
        <w:shd w:val="pct25" w:color="800080" w:fill="FFFFFF"/>
      </w:tcPr>
    </w:tblStylePr>
    <w:tblStylePr w:type="firstCol">
      <w:tblPr>
        <w:tblLayout w:type="fixed"/>
      </w:tblPr>
      <w:tcPr>
        <w:tcBorders>
          <w:right w:val="single" w:color="000000" w:sz="12" w:space="0"/>
          <w:tl2br w:val="nil"/>
          <w:tr2bl w:val="nil"/>
        </w:tcBorders>
      </w:tcPr>
    </w:tblStylePr>
    <w:tblStylePr w:type="lastCol">
      <w:tblPr>
        <w:tblLayout w:type="fixed"/>
      </w:tblPr>
      <w:tcPr>
        <w:tcBorders>
          <w:left w:val="single" w:color="000000" w:sz="12" w:space="0"/>
          <w:tl2br w:val="nil"/>
          <w:tr2bl w:val="nil"/>
        </w:tcBorders>
      </w:tcPr>
    </w:tblStylePr>
    <w:tblStylePr w:type="band1Horz">
      <w:tblPr>
        <w:tblLayout w:type="fixed"/>
      </w:tblPr>
      <w:tcPr>
        <w:tcBorders>
          <w:bottom w:val="single" w:color="000000" w:sz="6" w:space="0"/>
          <w:tl2br w:val="nil"/>
          <w:tr2bl w:val="nil"/>
        </w:tcBorders>
        <w:shd w:val="pct25" w:color="808000" w:fill="FFFFFF"/>
      </w:tcPr>
    </w:tblStylePr>
    <w:tblStylePr w:type="neCell">
      <w:rPr>
        <w:b/>
        <w:bCs/>
      </w:rPr>
      <w:tblPr>
        <w:tblLayout w:type="fixed"/>
      </w:tblPr>
      <w:tcPr>
        <w:tcBorders>
          <w:tl2br w:val="nil"/>
          <w:tr2bl w:val="nil"/>
        </w:tcBorders>
      </w:tcPr>
    </w:tblStylePr>
    <w:tblStylePr w:type="swCell">
      <w:rPr>
        <w:b/>
        <w:bCs/>
      </w:rPr>
      <w:tblPr>
        <w:tblLayout w:type="fixed"/>
      </w:tblPr>
      <w:tcPr>
        <w:tcBorders>
          <w:tl2br w:val="nil"/>
          <w:tr2bl w:val="nil"/>
        </w:tcBorders>
      </w:tcPr>
    </w:tblStylePr>
  </w:style>
  <w:style w:type="table" w:styleId="103">
    <w:name w:val="Table Subtle 2"/>
    <w:basedOn w:val="88"/>
    <w:qFormat/>
    <w:uiPriority w:val="0"/>
    <w:pPr>
      <w:widowControl w:val="0"/>
      <w:jc w:val="both"/>
    </w:pPr>
    <w:rPr>
      <w:rFonts w:ascii="Calibri" w:hAnsi="Calibri"/>
    </w:rPr>
    <w:tblPr>
      <w:tblBorders>
        <w:left w:val="single" w:color="000000" w:sz="6" w:space="0"/>
        <w:right w:val="single" w:color="000000" w:sz="6" w:space="0"/>
      </w:tblBorders>
      <w:tblLayout w:type="fixed"/>
    </w:tblPr>
    <w:tblStylePr w:type="firstRow">
      <w:tblPr>
        <w:tblLayout w:type="fixed"/>
      </w:tblPr>
      <w:tcPr>
        <w:tcBorders>
          <w:bottom w:val="single" w:color="000000" w:sz="12" w:space="0"/>
          <w:tl2br w:val="nil"/>
          <w:tr2bl w:val="nil"/>
        </w:tcBorders>
      </w:tcPr>
    </w:tblStylePr>
    <w:tblStylePr w:type="lastRow">
      <w:tblPr>
        <w:tblLayout w:type="fixed"/>
      </w:tblPr>
      <w:tcPr>
        <w:tcBorders>
          <w:top w:val="single" w:color="000000" w:sz="12" w:space="0"/>
          <w:tl2br w:val="nil"/>
          <w:tr2bl w:val="nil"/>
        </w:tcBorders>
      </w:tcPr>
    </w:tblStylePr>
    <w:tblStylePr w:type="firstCol">
      <w:tblPr>
        <w:tblLayout w:type="fixed"/>
      </w:tblPr>
      <w:tcPr>
        <w:tcBorders>
          <w:right w:val="single" w:color="000000" w:sz="12" w:space="0"/>
          <w:tl2br w:val="nil"/>
          <w:tr2bl w:val="nil"/>
        </w:tcBorders>
        <w:shd w:val="pct25" w:color="008000" w:fill="FFFFFF"/>
      </w:tcPr>
    </w:tblStylePr>
    <w:tblStylePr w:type="lastCol">
      <w:tblPr>
        <w:tblLayout w:type="fixed"/>
      </w:tblPr>
      <w:tcPr>
        <w:tcBorders>
          <w:left w:val="single" w:color="000000" w:sz="12" w:space="0"/>
          <w:tl2br w:val="nil"/>
          <w:tr2bl w:val="nil"/>
        </w:tcBorders>
        <w:shd w:val="pct25" w:color="808000" w:fill="FFFFFF"/>
      </w:tcPr>
    </w:tblStylePr>
    <w:tblStylePr w:type="neCell">
      <w:rPr>
        <w:b/>
        <w:bCs/>
      </w:rPr>
      <w:tblPr>
        <w:tblLayout w:type="fixed"/>
      </w:tblPr>
      <w:tcPr>
        <w:tcBorders>
          <w:tl2br w:val="nil"/>
          <w:tr2bl w:val="nil"/>
        </w:tcBorders>
      </w:tcPr>
    </w:tblStylePr>
    <w:tblStylePr w:type="swCell">
      <w:rPr>
        <w:b/>
        <w:bCs/>
      </w:rPr>
      <w:tblPr>
        <w:tblLayout w:type="fixed"/>
      </w:tblPr>
      <w:tcPr>
        <w:tcBorders>
          <w:tl2br w:val="nil"/>
          <w:tr2bl w:val="nil"/>
        </w:tcBorders>
      </w:tcPr>
    </w:tblStylePr>
  </w:style>
  <w:style w:type="table" w:styleId="104">
    <w:name w:val="Table 3D effects 1"/>
    <w:basedOn w:val="88"/>
    <w:qFormat/>
    <w:uiPriority w:val="0"/>
    <w:pPr>
      <w:widowControl w:val="0"/>
      <w:jc w:val="both"/>
    </w:pPr>
    <w:rPr>
      <w:rFonts w:ascii="Calibri" w:hAnsi="Calibri"/>
    </w:rPr>
    <w:tblPr>
      <w:tblLayout w:type="fixed"/>
    </w:tblPr>
    <w:tcPr>
      <w:shd w:val="solid" w:color="C0C0C0" w:fill="FFFFFF"/>
    </w:tcPr>
    <w:tblStylePr w:type="firstRow">
      <w:rPr>
        <w:b/>
        <w:bCs/>
        <w:color w:val="800080"/>
      </w:rPr>
      <w:tblPr>
        <w:tblLayout w:type="fixed"/>
      </w:tblPr>
      <w:tcPr>
        <w:tcBorders>
          <w:bottom w:val="single" w:color="808080" w:sz="6" w:space="0"/>
          <w:tl2br w:val="nil"/>
          <w:tr2bl w:val="nil"/>
        </w:tcBorders>
      </w:tcPr>
    </w:tblStylePr>
    <w:tblStylePr w:type="lastRow">
      <w:tblPr>
        <w:tblLayout w:type="fixed"/>
      </w:tblPr>
      <w:tcPr>
        <w:tcBorders>
          <w:top w:val="single" w:color="FFFFFF" w:sz="6" w:space="0"/>
          <w:tl2br w:val="nil"/>
          <w:tr2bl w:val="nil"/>
        </w:tcBorders>
      </w:tcPr>
    </w:tblStylePr>
    <w:tblStylePr w:type="firstCol">
      <w:rPr>
        <w:b/>
        <w:bCs/>
      </w:rPr>
      <w:tblPr>
        <w:tblLayout w:type="fixed"/>
      </w:tblPr>
      <w:tcPr>
        <w:tcBorders>
          <w:right w:val="single" w:color="808080" w:sz="6" w:space="0"/>
          <w:tl2br w:val="nil"/>
          <w:tr2bl w:val="nil"/>
        </w:tcBorders>
      </w:tcPr>
    </w:tblStylePr>
    <w:tblStylePr w:type="lastCol">
      <w:tblPr>
        <w:tblLayout w:type="fixed"/>
      </w:tblPr>
      <w:tcPr>
        <w:tcBorders>
          <w:left w:val="single" w:color="FFFFFF" w:sz="6" w:space="0"/>
          <w:tl2br w:val="nil"/>
          <w:tr2bl w:val="nil"/>
        </w:tcBorders>
      </w:tcPr>
    </w:tblStylePr>
    <w:tblStylePr w:type="neCell">
      <w:tblPr>
        <w:tblLayout w:type="fixed"/>
      </w:tblPr>
      <w:tcPr>
        <w:tcBorders>
          <w:left w:val="nil"/>
          <w:bottom w:val="nil"/>
          <w:tl2br w:val="nil"/>
          <w:tr2bl w:val="nil"/>
        </w:tcBorders>
      </w:tcPr>
    </w:tblStylePr>
    <w:tblStylePr w:type="nwCell">
      <w:tblPr>
        <w:tblLayout w:type="fixed"/>
      </w:tblPr>
      <w:tcPr>
        <w:tcBorders>
          <w:bottom w:val="nil"/>
          <w:right w:val="nil"/>
          <w:tl2br w:val="nil"/>
          <w:tr2bl w:val="nil"/>
        </w:tcBorders>
      </w:tcPr>
    </w:tblStylePr>
    <w:tblStylePr w:type="seCell">
      <w:tblPr>
        <w:tblLayout w:type="fixed"/>
      </w:tblPr>
      <w:tcPr>
        <w:tcBorders>
          <w:top w:val="nil"/>
          <w:left w:val="nil"/>
          <w:tl2br w:val="nil"/>
          <w:tr2bl w:val="nil"/>
        </w:tcBorders>
      </w:tcPr>
    </w:tblStylePr>
    <w:tblStylePr w:type="swCell">
      <w:rPr>
        <w:color w:val="000080"/>
      </w:rPr>
      <w:tblPr>
        <w:tblLayout w:type="fixed"/>
      </w:tblPr>
      <w:tcPr>
        <w:tcBorders>
          <w:top w:val="nil"/>
          <w:right w:val="nil"/>
          <w:tl2br w:val="nil"/>
          <w:tr2bl w:val="nil"/>
        </w:tcBorders>
      </w:tcPr>
    </w:tblStylePr>
  </w:style>
  <w:style w:type="table" w:styleId="105">
    <w:name w:val="Table 3D effects 2"/>
    <w:basedOn w:val="88"/>
    <w:qFormat/>
    <w:uiPriority w:val="0"/>
    <w:pPr>
      <w:widowControl w:val="0"/>
      <w:jc w:val="both"/>
    </w:pPr>
    <w:rPr>
      <w:rFonts w:ascii="Calibri" w:hAnsi="Calibri"/>
    </w:rPr>
    <w:tblPr>
      <w:tblLayout w:type="fixed"/>
    </w:tblPr>
    <w:tcPr>
      <w:shd w:val="solid" w:color="C0C0C0" w:fill="FFFFFF"/>
    </w:tcPr>
    <w:tblStylePr w:type="firstRow">
      <w:rPr>
        <w:b/>
        <w:bCs/>
      </w:rPr>
      <w:tblPr>
        <w:tblLayout w:type="fixed"/>
      </w:tblPr>
      <w:tcPr>
        <w:tcBorders>
          <w:tl2br w:val="nil"/>
          <w:tr2bl w:val="nil"/>
        </w:tcBorders>
      </w:tcPr>
    </w:tblStylePr>
    <w:tblStylePr w:type="firstCol">
      <w:tblPr>
        <w:tblLayout w:type="fixed"/>
      </w:tblPr>
      <w:tcPr>
        <w:tcBorders>
          <w:top w:val="nil"/>
          <w:bottom w:val="nil"/>
          <w:right w:val="single" w:color="808080" w:sz="6" w:space="0"/>
          <w:tl2br w:val="nil"/>
          <w:tr2bl w:val="nil"/>
        </w:tcBorders>
      </w:tcPr>
    </w:tblStylePr>
    <w:tblStylePr w:type="lastCol">
      <w:tblPr>
        <w:tblLayout w:type="fixed"/>
      </w:tblPr>
      <w:tcPr>
        <w:tcBorders>
          <w:right w:val="single" w:color="FFFFFF" w:sz="6" w:space="0"/>
          <w:tl2br w:val="nil"/>
          <w:tr2bl w:val="nil"/>
        </w:tcBorders>
      </w:tcPr>
    </w:tblStylePr>
    <w:tblStylePr w:type="band1Horz">
      <w:tblPr>
        <w:tblLayout w:type="fixed"/>
      </w:tblPr>
      <w:tcPr>
        <w:tcBorders>
          <w:top w:val="single" w:color="808080" w:sz="6" w:space="0"/>
          <w:bottom w:val="single" w:color="FFFFFF" w:sz="6" w:space="0"/>
          <w:tl2br w:val="nil"/>
          <w:tr2bl w:val="nil"/>
        </w:tcBorders>
      </w:tcPr>
    </w:tblStylePr>
    <w:tblStylePr w:type="swCell">
      <w:rPr>
        <w:b/>
        <w:bCs/>
      </w:rPr>
      <w:tblPr>
        <w:tblLayout w:type="fixed"/>
      </w:tblPr>
      <w:tcPr>
        <w:tcBorders>
          <w:tl2br w:val="nil"/>
          <w:tr2bl w:val="nil"/>
        </w:tcBorders>
      </w:tcPr>
    </w:tblStylePr>
  </w:style>
  <w:style w:type="table" w:styleId="106">
    <w:name w:val="Table 3D effects 3"/>
    <w:basedOn w:val="88"/>
    <w:qFormat/>
    <w:uiPriority w:val="0"/>
    <w:pPr>
      <w:widowControl w:val="0"/>
      <w:jc w:val="both"/>
    </w:pPr>
    <w:rPr>
      <w:rFonts w:ascii="Calibri" w:hAnsi="Calibri"/>
    </w:rPr>
    <w:tblPr>
      <w:tblLayout w:type="fixed"/>
    </w:tblPr>
    <w:tblStylePr w:type="firstRow">
      <w:rPr>
        <w:b/>
        <w:bCs/>
      </w:rPr>
      <w:tblPr>
        <w:tblLayout w:type="fixed"/>
      </w:tblPr>
      <w:tcPr>
        <w:tcBorders>
          <w:tl2br w:val="nil"/>
          <w:tr2bl w:val="nil"/>
        </w:tcBorders>
      </w:tcPr>
    </w:tblStylePr>
    <w:tblStylePr w:type="firstCol">
      <w:tblPr>
        <w:tblLayout w:type="fixed"/>
      </w:tblPr>
      <w:tcPr>
        <w:tcBorders>
          <w:top w:val="nil"/>
          <w:bottom w:val="nil"/>
          <w:right w:val="single" w:color="808080" w:sz="6" w:space="0"/>
          <w:tl2br w:val="nil"/>
          <w:tr2bl w:val="nil"/>
        </w:tcBorders>
      </w:tcPr>
    </w:tblStylePr>
    <w:tblStylePr w:type="lastCol">
      <w:tblPr>
        <w:tblLayout w:type="fixed"/>
      </w:tblPr>
      <w:tcPr>
        <w:tcBorders>
          <w:right w:val="single" w:color="FFFFFF" w:sz="6" w:space="0"/>
          <w:tl2br w:val="nil"/>
          <w:tr2bl w:val="nil"/>
        </w:tcBorders>
      </w:tcPr>
    </w:tblStylePr>
    <w:tblStylePr w:type="band1Vert">
      <w:rPr>
        <w:color w:val="auto"/>
      </w:rPr>
      <w:tblPr>
        <w:tblLayout w:type="fixed"/>
      </w:tblPr>
      <w:tcPr>
        <w:shd w:val="solid" w:color="C0C0C0" w:fill="FFFFFF"/>
      </w:tcPr>
    </w:tblStylePr>
    <w:tblStylePr w:type="band2Vert">
      <w:rPr>
        <w:color w:val="auto"/>
      </w:rPr>
      <w:tblPr>
        <w:tblLayout w:type="fixed"/>
      </w:tblPr>
      <w:tcPr>
        <w:shd w:val="pct50" w:color="C0C0C0" w:fill="FFFFFF"/>
      </w:tcPr>
    </w:tblStylePr>
    <w:tblStylePr w:type="band1Horz">
      <w:tblPr>
        <w:tblLayout w:type="fixed"/>
      </w:tblPr>
      <w:tcPr>
        <w:tcBorders>
          <w:top w:val="single" w:color="808080" w:sz="6" w:space="0"/>
          <w:bottom w:val="single" w:color="FFFFFF" w:sz="6" w:space="0"/>
          <w:tl2br w:val="nil"/>
          <w:tr2bl w:val="nil"/>
        </w:tcBorders>
      </w:tcPr>
    </w:tblStylePr>
    <w:tblStylePr w:type="swCell">
      <w:rPr>
        <w:b/>
        <w:bCs/>
      </w:rPr>
      <w:tblPr>
        <w:tblLayout w:type="fixed"/>
      </w:tblPr>
      <w:tcPr>
        <w:tcBorders>
          <w:tl2br w:val="nil"/>
          <w:tr2bl w:val="nil"/>
        </w:tcBorders>
      </w:tcPr>
    </w:tblStylePr>
  </w:style>
  <w:style w:type="table" w:styleId="107">
    <w:name w:val="Table List 1"/>
    <w:basedOn w:val="88"/>
    <w:qFormat/>
    <w:uiPriority w:val="0"/>
    <w:pPr>
      <w:widowControl w:val="0"/>
      <w:jc w:val="both"/>
    </w:pPr>
    <w:rPr>
      <w:rFonts w:ascii="Calibri" w:hAnsi="Calibri"/>
    </w:rPr>
    <w:tblPr>
      <w:tblBorders>
        <w:top w:val="single" w:color="008080" w:sz="12" w:space="0"/>
        <w:left w:val="single" w:color="008080" w:sz="6" w:space="0"/>
        <w:bottom w:val="single" w:color="008080" w:sz="12" w:space="0"/>
        <w:right w:val="single" w:color="008080" w:sz="6" w:space="0"/>
      </w:tblBorders>
      <w:tblLayout w:type="fixed"/>
    </w:tblPr>
    <w:tblStylePr w:type="firstRow">
      <w:rPr>
        <w:b/>
        <w:bCs/>
        <w:i/>
        <w:iCs/>
        <w:color w:val="800000"/>
      </w:rPr>
      <w:tblPr>
        <w:tblLayout w:type="fixed"/>
      </w:tblPr>
      <w:tcPr>
        <w:tcBorders>
          <w:bottom w:val="single" w:color="000000" w:sz="6" w:space="0"/>
          <w:tl2br w:val="nil"/>
          <w:tr2bl w:val="nil"/>
        </w:tcBorders>
        <w:shd w:val="solid" w:color="C0C0C0" w:fill="FFFFFF"/>
      </w:tcPr>
    </w:tblStylePr>
    <w:tblStylePr w:type="lastRow">
      <w:tblPr>
        <w:tblLayout w:type="fixed"/>
      </w:tblPr>
      <w:tcPr>
        <w:tcBorders>
          <w:top w:val="single" w:color="000000" w:sz="6" w:space="0"/>
          <w:tl2br w:val="nil"/>
          <w:tr2bl w:val="nil"/>
        </w:tcBorders>
      </w:tcPr>
    </w:tblStylePr>
    <w:tblStylePr w:type="band1Horz">
      <w:rPr>
        <w:color w:val="auto"/>
      </w:rPr>
      <w:tblPr>
        <w:tblLayout w:type="fixed"/>
      </w:tblPr>
      <w:tcPr>
        <w:tcBorders>
          <w:tl2br w:val="nil"/>
          <w:tr2bl w:val="nil"/>
        </w:tcBorders>
        <w:shd w:val="solid" w:color="C0C0C0" w:fill="FFFFFF"/>
      </w:tcPr>
    </w:tblStylePr>
    <w:tblStylePr w:type="band2Horz">
      <w:rPr>
        <w:color w:val="auto"/>
      </w:rPr>
      <w:tblPr>
        <w:tblLayout w:type="fixed"/>
      </w:tblPr>
      <w:tcPr>
        <w:tcBorders>
          <w:tl2br w:val="nil"/>
          <w:tr2bl w:val="nil"/>
        </w:tcBorders>
      </w:tcPr>
    </w:tblStylePr>
    <w:tblStylePr w:type="swCell">
      <w:rPr>
        <w:b/>
        <w:bCs/>
      </w:rPr>
      <w:tblPr>
        <w:tblLayout w:type="fixed"/>
      </w:tblPr>
      <w:tcPr>
        <w:tcBorders>
          <w:tl2br w:val="nil"/>
          <w:tr2bl w:val="nil"/>
        </w:tcBorders>
      </w:tcPr>
    </w:tblStylePr>
  </w:style>
  <w:style w:type="table" w:styleId="108">
    <w:name w:val="Table List 2"/>
    <w:basedOn w:val="88"/>
    <w:qFormat/>
    <w:uiPriority w:val="0"/>
    <w:pPr>
      <w:widowControl w:val="0"/>
      <w:jc w:val="both"/>
    </w:pPr>
    <w:rPr>
      <w:rFonts w:ascii="Calibri" w:hAnsi="Calibri"/>
    </w:rPr>
    <w:tblPr>
      <w:tblBorders>
        <w:bottom w:val="single" w:color="808080" w:sz="12" w:space="0"/>
      </w:tblBorders>
      <w:tblLayout w:type="fixed"/>
    </w:tblPr>
    <w:tblStylePr w:type="firstRow">
      <w:rPr>
        <w:b/>
        <w:bCs/>
        <w:color w:val="FFFFFF"/>
      </w:rPr>
      <w:tblPr>
        <w:tblLayout w:type="fixed"/>
      </w:tblPr>
      <w:tcPr>
        <w:tcBorders>
          <w:bottom w:val="single" w:color="000000" w:sz="6" w:space="0"/>
          <w:tl2br w:val="nil"/>
          <w:tr2bl w:val="nil"/>
        </w:tcBorders>
        <w:shd w:val="pct75" w:color="008080" w:fill="008000"/>
      </w:tcPr>
    </w:tblStylePr>
    <w:tblStylePr w:type="lastRow">
      <w:tblPr>
        <w:tblLayout w:type="fixed"/>
      </w:tblPr>
      <w:tcPr>
        <w:tcBorders>
          <w:top w:val="single" w:color="000000" w:sz="6" w:space="0"/>
          <w:tl2br w:val="nil"/>
          <w:tr2bl w:val="nil"/>
        </w:tcBorders>
      </w:tcPr>
    </w:tblStylePr>
    <w:tblStylePr w:type="band1Horz">
      <w:rPr>
        <w:color w:val="auto"/>
      </w:rPr>
      <w:tblPr>
        <w:tblLayout w:type="fixed"/>
      </w:tblPr>
      <w:tcPr>
        <w:tcBorders>
          <w:tl2br w:val="nil"/>
          <w:tr2bl w:val="nil"/>
        </w:tcBorders>
        <w:shd w:val="pct20" w:color="00FF00" w:fill="FFFFFF"/>
      </w:tcPr>
    </w:tblStylePr>
    <w:tblStylePr w:type="band2Horz">
      <w:rPr>
        <w:color w:val="auto"/>
      </w:rPr>
      <w:tblPr>
        <w:tblLayout w:type="fixed"/>
      </w:tblPr>
      <w:tcPr>
        <w:tcBorders>
          <w:tl2br w:val="nil"/>
          <w:tr2bl w:val="nil"/>
        </w:tcBorders>
      </w:tcPr>
    </w:tblStylePr>
    <w:tblStylePr w:type="swCell">
      <w:rPr>
        <w:b/>
        <w:bCs/>
      </w:rPr>
      <w:tblPr>
        <w:tblLayout w:type="fixed"/>
      </w:tblPr>
      <w:tcPr>
        <w:tcBorders>
          <w:tl2br w:val="nil"/>
          <w:tr2bl w:val="nil"/>
        </w:tcBorders>
      </w:tcPr>
    </w:tblStylePr>
  </w:style>
  <w:style w:type="table" w:styleId="109">
    <w:name w:val="Table List 3"/>
    <w:basedOn w:val="88"/>
    <w:qFormat/>
    <w:uiPriority w:val="0"/>
    <w:pPr>
      <w:widowControl w:val="0"/>
      <w:jc w:val="both"/>
    </w:pPr>
    <w:rPr>
      <w:rFonts w:ascii="Calibri" w:hAnsi="Calibri"/>
    </w:rPr>
    <w:tblPr>
      <w:tblBorders>
        <w:top w:val="single" w:color="000000" w:sz="12" w:space="0"/>
        <w:bottom w:val="single" w:color="000000" w:sz="12" w:space="0"/>
        <w:insideH w:val="single" w:color="000000" w:sz="6" w:space="0"/>
      </w:tblBorders>
      <w:tblLayout w:type="fixed"/>
    </w:tblPr>
    <w:tcPr>
      <w:shd w:val="clear" w:color="auto" w:fill="auto"/>
    </w:tcPr>
    <w:tblStylePr w:type="firstRow">
      <w:rPr>
        <w:b/>
        <w:bCs/>
        <w:color w:val="000080"/>
      </w:rPr>
      <w:tblPr>
        <w:tblLayout w:type="fixed"/>
      </w:tblPr>
      <w:tcPr>
        <w:tcBorders>
          <w:bottom w:val="single" w:color="000000" w:sz="12" w:space="0"/>
          <w:tl2br w:val="nil"/>
          <w:tr2bl w:val="nil"/>
        </w:tcBorders>
      </w:tcPr>
    </w:tblStylePr>
    <w:tblStylePr w:type="lastRow">
      <w:tblPr>
        <w:tblLayout w:type="fixed"/>
      </w:tblPr>
      <w:tcPr>
        <w:tcBorders>
          <w:top w:val="single" w:color="000000" w:sz="12" w:space="0"/>
          <w:tl2br w:val="nil"/>
          <w:tr2bl w:val="nil"/>
        </w:tcBorders>
      </w:tcPr>
    </w:tblStylePr>
    <w:tblStylePr w:type="swCell">
      <w:rPr>
        <w:i/>
        <w:iCs/>
        <w:color w:val="000080"/>
      </w:rPr>
      <w:tblPr>
        <w:tblLayout w:type="fixed"/>
      </w:tblPr>
      <w:tcPr>
        <w:tcBorders>
          <w:tl2br w:val="nil"/>
          <w:tr2bl w:val="nil"/>
        </w:tcBorders>
      </w:tcPr>
    </w:tblStylePr>
  </w:style>
  <w:style w:type="table" w:styleId="110">
    <w:name w:val="Table List 4"/>
    <w:basedOn w:val="88"/>
    <w:qFormat/>
    <w:uiPriority w:val="0"/>
    <w:pPr>
      <w:widowControl w:val="0"/>
      <w:jc w:val="both"/>
    </w:pPr>
    <w:rPr>
      <w:rFonts w:ascii="Calibri" w:hAnsi="Calibri"/>
    </w:rPr>
    <w:tblPr>
      <w:tblBorders>
        <w:top w:val="single" w:color="000000" w:sz="12" w:space="0"/>
        <w:left w:val="single" w:color="000000" w:sz="12" w:space="0"/>
        <w:bottom w:val="single" w:color="000000" w:sz="12" w:space="0"/>
        <w:right w:val="single" w:color="000000" w:sz="12" w:space="0"/>
        <w:insideH w:val="single" w:color="000000" w:sz="6" w:space="0"/>
      </w:tblBorders>
      <w:tblLayout w:type="fixed"/>
    </w:tblPr>
    <w:tcPr>
      <w:shd w:val="clear" w:color="auto" w:fill="auto"/>
    </w:tcPr>
    <w:tblStylePr w:type="firstRow">
      <w:rPr>
        <w:b/>
        <w:bCs/>
        <w:color w:val="FFFFFF"/>
      </w:rPr>
      <w:tblPr>
        <w:tblLayout w:type="fixed"/>
      </w:tblPr>
      <w:tcPr>
        <w:tcBorders>
          <w:bottom w:val="single" w:color="000000" w:sz="12" w:space="0"/>
          <w:tl2br w:val="nil"/>
          <w:tr2bl w:val="nil"/>
        </w:tcBorders>
        <w:shd w:val="solid" w:color="808080" w:fill="FFFFFF"/>
      </w:tcPr>
    </w:tblStylePr>
  </w:style>
  <w:style w:type="table" w:styleId="111">
    <w:name w:val="Table List 5"/>
    <w:basedOn w:val="88"/>
    <w:qFormat/>
    <w:uiPriority w:val="0"/>
    <w:pPr>
      <w:widowControl w:val="0"/>
      <w:jc w:val="both"/>
    </w:pPr>
    <w:rPr>
      <w:rFonts w:ascii="Calibri" w:hAnsi="Calibri"/>
    </w:rPr>
    <w:tblPr>
      <w:tblBorders>
        <w:top w:val="single" w:color="000000" w:sz="6" w:space="0"/>
        <w:left w:val="single" w:color="000000" w:sz="6" w:space="0"/>
        <w:bottom w:val="single" w:color="000000" w:sz="6" w:space="0"/>
        <w:right w:val="single" w:color="000000" w:sz="6" w:space="0"/>
        <w:insideH w:val="single" w:color="000000" w:sz="6" w:space="0"/>
      </w:tblBorders>
      <w:tblLayout w:type="fixed"/>
    </w:tblPr>
    <w:tcPr>
      <w:shd w:val="clear" w:color="auto" w:fill="auto"/>
    </w:tcPr>
    <w:tblStylePr w:type="firstRow">
      <w:rPr>
        <w:b/>
        <w:bCs/>
      </w:rPr>
      <w:tblPr>
        <w:tblLayout w:type="fixed"/>
      </w:tblPr>
      <w:tcPr>
        <w:tcBorders>
          <w:bottom w:val="single" w:color="000000" w:sz="12" w:space="0"/>
          <w:tl2br w:val="nil"/>
          <w:tr2bl w:val="nil"/>
        </w:tcBorders>
      </w:tcPr>
    </w:tblStylePr>
    <w:tblStylePr w:type="firstCol">
      <w:rPr>
        <w:b/>
        <w:bCs/>
      </w:rPr>
      <w:tblPr>
        <w:tblLayout w:type="fixed"/>
      </w:tblPr>
      <w:tcPr>
        <w:tcBorders>
          <w:tl2br w:val="nil"/>
          <w:tr2bl w:val="nil"/>
        </w:tcBorders>
      </w:tcPr>
    </w:tblStylePr>
  </w:style>
  <w:style w:type="table" w:styleId="112">
    <w:name w:val="Table List 6"/>
    <w:basedOn w:val="88"/>
    <w:qFormat/>
    <w:uiPriority w:val="0"/>
    <w:pPr>
      <w:widowControl w:val="0"/>
      <w:jc w:val="both"/>
    </w:pPr>
    <w:rPr>
      <w:rFonts w:ascii="Calibri" w:hAnsi="Calibri"/>
    </w:rPr>
    <w:tblPr>
      <w:tblBorders>
        <w:top w:val="single" w:color="000000" w:sz="6" w:space="0"/>
        <w:left w:val="single" w:color="000000" w:sz="6" w:space="0"/>
        <w:bottom w:val="single" w:color="000000" w:sz="6" w:space="0"/>
        <w:right w:val="single" w:color="000000" w:sz="6" w:space="0"/>
      </w:tblBorders>
      <w:tblLayout w:type="fixed"/>
    </w:tblPr>
    <w:tcPr>
      <w:shd w:val="pct50" w:color="000000" w:fill="FFFFFF"/>
    </w:tcPr>
    <w:tblStylePr w:type="firstRow">
      <w:rPr>
        <w:b/>
        <w:bCs/>
      </w:rPr>
      <w:tblPr>
        <w:tblLayout w:type="fixed"/>
      </w:tblPr>
      <w:tcPr>
        <w:tcBorders>
          <w:bottom w:val="single" w:color="000000" w:sz="12" w:space="0"/>
          <w:tl2br w:val="nil"/>
          <w:tr2bl w:val="nil"/>
        </w:tcBorders>
      </w:tcPr>
    </w:tblStylePr>
    <w:tblStylePr w:type="firstCol">
      <w:rPr>
        <w:b/>
        <w:bCs/>
      </w:rPr>
      <w:tblPr>
        <w:tblLayout w:type="fixed"/>
      </w:tblPr>
      <w:tcPr>
        <w:tcBorders>
          <w:right w:val="single" w:color="000000" w:sz="12" w:space="0"/>
          <w:tl2br w:val="nil"/>
          <w:tr2bl w:val="nil"/>
        </w:tcBorders>
      </w:tcPr>
    </w:tblStylePr>
    <w:tblStylePr w:type="band1Horz">
      <w:tblPr>
        <w:tblLayout w:type="fixed"/>
      </w:tblPr>
      <w:tcPr>
        <w:tcBorders>
          <w:tl2br w:val="nil"/>
          <w:tr2bl w:val="nil"/>
        </w:tcBorders>
        <w:shd w:val="pct25" w:color="000000" w:fill="FFFFFF"/>
      </w:tcPr>
    </w:tblStylePr>
    <w:tblStylePr w:type="nwCell">
      <w:tblPr>
        <w:tblLayout w:type="fixed"/>
      </w:tblPr>
      <w:tcPr>
        <w:tcBorders>
          <w:tl2br w:val="single" w:color="000000" w:sz="6" w:space="0"/>
          <w:tr2bl w:val="nil"/>
        </w:tcBorders>
      </w:tcPr>
    </w:tblStylePr>
  </w:style>
  <w:style w:type="table" w:styleId="113">
    <w:name w:val="Table List 7"/>
    <w:basedOn w:val="88"/>
    <w:qFormat/>
    <w:uiPriority w:val="0"/>
    <w:pPr>
      <w:widowControl w:val="0"/>
      <w:jc w:val="both"/>
    </w:pPr>
    <w:rPr>
      <w:rFonts w:ascii="Calibri" w:hAnsi="Calibri"/>
    </w:rPr>
    <w:tblPr>
      <w:tblBorders>
        <w:top w:val="single" w:color="008000" w:sz="12" w:space="0"/>
        <w:left w:val="single" w:color="008000" w:sz="6" w:space="0"/>
        <w:bottom w:val="single" w:color="008000" w:sz="12" w:space="0"/>
        <w:right w:val="single" w:color="008000" w:sz="6" w:space="0"/>
        <w:insideH w:val="single" w:color="000000" w:sz="6" w:space="0"/>
      </w:tblBorders>
      <w:tblLayout w:type="fixed"/>
    </w:tblPr>
    <w:tblStylePr w:type="firstRow">
      <w:rPr>
        <w:b/>
        <w:bCs/>
      </w:rPr>
      <w:tblPr>
        <w:tblLayout w:type="fixed"/>
      </w:tblPr>
      <w:tcPr>
        <w:tcBorders>
          <w:bottom w:val="single" w:color="008000" w:sz="12" w:space="0"/>
          <w:tl2br w:val="nil"/>
          <w:tr2bl w:val="nil"/>
        </w:tcBorders>
        <w:shd w:val="solid" w:color="C0C0C0" w:fill="FFFFFF"/>
      </w:tcPr>
    </w:tblStylePr>
    <w:tblStylePr w:type="lastRow">
      <w:rPr>
        <w:b/>
        <w:bCs/>
      </w:rPr>
      <w:tblPr>
        <w:tblLayout w:type="fixed"/>
      </w:tblPr>
      <w:tcPr>
        <w:tcBorders>
          <w:top w:val="single" w:color="008000" w:sz="12" w:space="0"/>
          <w:tl2br w:val="nil"/>
          <w:tr2bl w:val="nil"/>
        </w:tcBorders>
      </w:tcPr>
    </w:tblStylePr>
    <w:tblStylePr w:type="firstCol">
      <w:rPr>
        <w:b/>
        <w:bCs/>
      </w:rPr>
      <w:tblPr>
        <w:tblLayout w:type="fixed"/>
      </w:tblPr>
      <w:tcPr>
        <w:tcBorders>
          <w:tl2br w:val="nil"/>
          <w:tr2bl w:val="nil"/>
        </w:tcBorders>
      </w:tcPr>
    </w:tblStylePr>
    <w:tblStylePr w:type="lastCol">
      <w:rPr>
        <w:b/>
        <w:bCs/>
      </w:rPr>
      <w:tblPr>
        <w:tblLayout w:type="fixed"/>
      </w:tblPr>
      <w:tcPr>
        <w:tcBorders>
          <w:tl2br w:val="nil"/>
          <w:tr2bl w:val="nil"/>
        </w:tcBorders>
      </w:tcPr>
    </w:tblStylePr>
    <w:tblStylePr w:type="band1Horz">
      <w:rPr>
        <w:color w:val="auto"/>
      </w:rPr>
      <w:tblPr>
        <w:tblLayout w:type="fixed"/>
      </w:tblPr>
      <w:tcPr>
        <w:tcBorders>
          <w:tl2br w:val="nil"/>
          <w:tr2bl w:val="nil"/>
        </w:tcBorders>
        <w:shd w:val="pct20" w:color="000000" w:fill="FFFFFF"/>
      </w:tcPr>
    </w:tblStylePr>
    <w:tblStylePr w:type="band2Horz">
      <w:tblPr>
        <w:tblLayout w:type="fixed"/>
      </w:tblPr>
      <w:tcPr>
        <w:tcBorders>
          <w:tl2br w:val="nil"/>
          <w:tr2bl w:val="nil"/>
        </w:tcBorders>
        <w:shd w:val="pct25" w:color="FFFF00" w:fill="FFFFFF"/>
      </w:tcPr>
    </w:tblStylePr>
  </w:style>
  <w:style w:type="table" w:styleId="114">
    <w:name w:val="Table List 8"/>
    <w:basedOn w:val="88"/>
    <w:qFormat/>
    <w:uiPriority w:val="0"/>
    <w:pPr>
      <w:widowControl w:val="0"/>
      <w:jc w:val="both"/>
    </w:pPr>
    <w:rPr>
      <w:rFonts w:ascii="Calibri" w:hAnsi="Calibri"/>
    </w:rPr>
    <w:tblPr>
      <w:tblBorders>
        <w:top w:val="single" w:color="000000" w:sz="6" w:space="0"/>
        <w:left w:val="single" w:color="000000" w:sz="6" w:space="0"/>
        <w:bottom w:val="single" w:color="000000" w:sz="6" w:space="0"/>
        <w:right w:val="single" w:color="000000" w:sz="6" w:space="0"/>
        <w:insideV w:val="single" w:color="000000" w:sz="6" w:space="0"/>
      </w:tblBorders>
      <w:tblLayout w:type="fixed"/>
    </w:tblPr>
    <w:tblStylePr w:type="firstRow">
      <w:rPr>
        <w:b/>
        <w:bCs/>
        <w:i/>
        <w:iCs/>
      </w:rPr>
      <w:tblPr>
        <w:tblLayout w:type="fixed"/>
      </w:tblPr>
      <w:tcPr>
        <w:tcBorders>
          <w:bottom w:val="single" w:color="000000" w:sz="6" w:space="0"/>
          <w:tl2br w:val="nil"/>
          <w:tr2bl w:val="nil"/>
        </w:tcBorders>
        <w:shd w:val="solid" w:color="FFFF00" w:fill="FFFFFF"/>
      </w:tcPr>
    </w:tblStylePr>
    <w:tblStylePr w:type="lastRow">
      <w:rPr>
        <w:b/>
        <w:bCs/>
      </w:rPr>
      <w:tblPr>
        <w:tblLayout w:type="fixed"/>
      </w:tblPr>
      <w:tcPr>
        <w:tcBorders>
          <w:top w:val="single" w:color="000000" w:sz="6" w:space="0"/>
          <w:tl2br w:val="nil"/>
          <w:tr2bl w:val="nil"/>
        </w:tcBorders>
      </w:tcPr>
    </w:tblStylePr>
    <w:tblStylePr w:type="firstCol">
      <w:rPr>
        <w:b/>
        <w:bCs/>
      </w:rPr>
      <w:tblPr>
        <w:tblLayout w:type="fixed"/>
      </w:tblPr>
      <w:tcPr>
        <w:tcBorders>
          <w:tl2br w:val="nil"/>
          <w:tr2bl w:val="nil"/>
        </w:tcBorders>
      </w:tcPr>
    </w:tblStylePr>
    <w:tblStylePr w:type="lastCol">
      <w:rPr>
        <w:b/>
        <w:bCs/>
      </w:rPr>
      <w:tblPr>
        <w:tblLayout w:type="fixed"/>
      </w:tblPr>
      <w:tcPr>
        <w:tcBorders>
          <w:tl2br w:val="nil"/>
          <w:tr2bl w:val="nil"/>
        </w:tcBorders>
      </w:tcPr>
    </w:tblStylePr>
    <w:tblStylePr w:type="band1Horz">
      <w:rPr>
        <w:color w:val="auto"/>
      </w:rPr>
      <w:tblPr>
        <w:tblLayout w:type="fixed"/>
      </w:tblPr>
      <w:tcPr>
        <w:tcBorders>
          <w:tl2br w:val="nil"/>
          <w:tr2bl w:val="nil"/>
        </w:tcBorders>
        <w:shd w:val="pct25" w:color="FFFF00" w:fill="FFFFFF"/>
      </w:tcPr>
    </w:tblStylePr>
    <w:tblStylePr w:type="band2Horz">
      <w:tblPr>
        <w:tblLayout w:type="fixed"/>
      </w:tblPr>
      <w:tcPr>
        <w:tcBorders>
          <w:tl2br w:val="nil"/>
          <w:tr2bl w:val="nil"/>
        </w:tcBorders>
        <w:shd w:val="pct50" w:color="FF0000" w:fill="FFFFFF"/>
      </w:tcPr>
    </w:tblStylePr>
    <w:tblStylePr w:type="nwCell">
      <w:tblPr>
        <w:tblLayout w:type="fixed"/>
      </w:tblPr>
      <w:tcPr>
        <w:tcBorders>
          <w:tl2br w:val="single" w:color="auto" w:sz="6" w:space="0"/>
          <w:tr2bl w:val="nil"/>
        </w:tcBorders>
      </w:tcPr>
    </w:tblStylePr>
  </w:style>
  <w:style w:type="table" w:styleId="115">
    <w:name w:val="Table Contemporary"/>
    <w:basedOn w:val="88"/>
    <w:qFormat/>
    <w:uiPriority w:val="0"/>
    <w:pPr>
      <w:widowControl w:val="0"/>
      <w:jc w:val="both"/>
    </w:pPr>
    <w:rPr>
      <w:rFonts w:ascii="Calibri" w:hAnsi="Calibri"/>
    </w:rPr>
    <w:tblPr>
      <w:tblBorders>
        <w:insideH w:val="single" w:color="FFFFFF" w:sz="18" w:space="0"/>
        <w:insideV w:val="single" w:color="FFFFFF" w:sz="18" w:space="0"/>
      </w:tblBorders>
      <w:tblLayout w:type="fixed"/>
    </w:tblPr>
    <w:tblStylePr w:type="firstRow">
      <w:rPr>
        <w:b/>
        <w:bCs/>
        <w:color w:val="auto"/>
      </w:rPr>
      <w:tblPr>
        <w:tblLayout w:type="fixed"/>
      </w:tblPr>
      <w:tcPr>
        <w:tcBorders>
          <w:tl2br w:val="nil"/>
          <w:tr2bl w:val="nil"/>
        </w:tcBorders>
        <w:shd w:val="pct20" w:color="000000" w:fill="FFFFFF"/>
      </w:tcPr>
    </w:tblStylePr>
    <w:tblStylePr w:type="band1Horz">
      <w:rPr>
        <w:color w:val="auto"/>
      </w:rPr>
      <w:tblPr>
        <w:tblLayout w:type="fixed"/>
      </w:tblPr>
      <w:tcPr>
        <w:tcBorders>
          <w:tl2br w:val="nil"/>
          <w:tr2bl w:val="nil"/>
        </w:tcBorders>
        <w:shd w:val="pct5" w:color="000000" w:fill="FFFFFF"/>
      </w:tcPr>
    </w:tblStylePr>
    <w:tblStylePr w:type="band2Horz">
      <w:rPr>
        <w:color w:val="auto"/>
      </w:rPr>
      <w:tblPr>
        <w:tblLayout w:type="fixed"/>
      </w:tblPr>
      <w:tcPr>
        <w:tcBorders>
          <w:tl2br w:val="nil"/>
          <w:tr2bl w:val="nil"/>
        </w:tcBorders>
        <w:shd w:val="pct20" w:color="000000" w:fill="FFFFFF"/>
      </w:tcPr>
    </w:tblStylePr>
  </w:style>
  <w:style w:type="table" w:styleId="116">
    <w:name w:val="Table Columns 1"/>
    <w:basedOn w:val="88"/>
    <w:qFormat/>
    <w:uiPriority w:val="0"/>
    <w:pPr>
      <w:widowControl w:val="0"/>
      <w:jc w:val="both"/>
    </w:pPr>
    <w:rPr>
      <w:rFonts w:ascii="Calibri" w:hAnsi="Calibri"/>
      <w:b/>
      <w:bCs/>
    </w:rPr>
    <w:tblPr>
      <w:tblBorders>
        <w:top w:val="single" w:color="000000" w:sz="12" w:space="0"/>
        <w:left w:val="single" w:color="000000" w:sz="12" w:space="0"/>
        <w:bottom w:val="single" w:color="000000" w:sz="12" w:space="0"/>
        <w:right w:val="single" w:color="000000" w:sz="12" w:space="0"/>
      </w:tblBorders>
      <w:tblLayout w:type="fixed"/>
    </w:tblPr>
    <w:tblStylePr w:type="firstRow">
      <w:rPr>
        <w:b w:val="0"/>
        <w:bCs w:val="0"/>
      </w:rPr>
      <w:tblPr>
        <w:tblLayout w:type="fixed"/>
      </w:tblPr>
      <w:tcPr>
        <w:tcBorders>
          <w:bottom w:val="double" w:color="000000" w:sz="6" w:space="0"/>
          <w:tl2br w:val="nil"/>
          <w:tr2bl w:val="nil"/>
        </w:tcBorders>
      </w:tcPr>
    </w:tblStylePr>
    <w:tblStylePr w:type="lastRow">
      <w:rPr>
        <w:b w:val="0"/>
        <w:bCs w:val="0"/>
      </w:rPr>
      <w:tblPr>
        <w:tblLayout w:type="fixed"/>
      </w:tblPr>
      <w:tcPr>
        <w:tcBorders>
          <w:tl2br w:val="nil"/>
          <w:tr2bl w:val="nil"/>
        </w:tcBorders>
      </w:tcPr>
    </w:tblStylePr>
    <w:tblStylePr w:type="firstCol">
      <w:rPr>
        <w:b w:val="0"/>
        <w:bCs w:val="0"/>
      </w:rPr>
      <w:tblPr>
        <w:tblLayout w:type="fixed"/>
      </w:tblPr>
      <w:tcPr>
        <w:tcBorders>
          <w:tl2br w:val="nil"/>
          <w:tr2bl w:val="nil"/>
        </w:tcBorders>
      </w:tcPr>
    </w:tblStylePr>
    <w:tblStylePr w:type="lastCol">
      <w:rPr>
        <w:b w:val="0"/>
        <w:bCs w:val="0"/>
      </w:rPr>
      <w:tblPr>
        <w:tblLayout w:type="fixed"/>
      </w:tblPr>
      <w:tcPr>
        <w:tcBorders>
          <w:tl2br w:val="nil"/>
          <w:tr2bl w:val="nil"/>
        </w:tcBorders>
      </w:tcPr>
    </w:tblStylePr>
    <w:tblStylePr w:type="band1Vert">
      <w:rPr>
        <w:color w:val="auto"/>
      </w:rPr>
      <w:tblPr>
        <w:tblLayout w:type="fixed"/>
      </w:tblPr>
      <w:tcPr>
        <w:shd w:val="pct25" w:color="000000" w:fill="FFFFFF"/>
      </w:tcPr>
    </w:tblStylePr>
    <w:tblStylePr w:type="band2Vert">
      <w:rPr>
        <w:color w:val="auto"/>
      </w:rPr>
      <w:tblPr>
        <w:tblLayout w:type="fixed"/>
      </w:tblPr>
      <w:tcPr>
        <w:shd w:val="pct25" w:color="FFFF00" w:fill="FFFFFF"/>
      </w:tcPr>
    </w:tblStylePr>
    <w:tblStylePr w:type="neCell">
      <w:rPr>
        <w:b/>
        <w:bCs/>
      </w:rPr>
      <w:tblPr>
        <w:tblLayout w:type="fixed"/>
      </w:tblPr>
      <w:tcPr>
        <w:tcBorders>
          <w:tl2br w:val="nil"/>
          <w:tr2bl w:val="nil"/>
        </w:tcBorders>
      </w:tcPr>
    </w:tblStylePr>
    <w:tblStylePr w:type="swCell">
      <w:rPr>
        <w:b/>
        <w:bCs/>
      </w:rPr>
      <w:tblPr>
        <w:tblLayout w:type="fixed"/>
      </w:tblPr>
      <w:tcPr>
        <w:tcBorders>
          <w:tl2br w:val="nil"/>
          <w:tr2bl w:val="nil"/>
        </w:tcBorders>
      </w:tcPr>
    </w:tblStylePr>
  </w:style>
  <w:style w:type="table" w:styleId="117">
    <w:name w:val="Table Columns 2"/>
    <w:basedOn w:val="88"/>
    <w:qFormat/>
    <w:uiPriority w:val="0"/>
    <w:pPr>
      <w:widowControl w:val="0"/>
      <w:jc w:val="both"/>
    </w:pPr>
    <w:rPr>
      <w:rFonts w:ascii="Calibri" w:hAnsi="Calibri"/>
      <w:b/>
      <w:bCs/>
    </w:rPr>
    <w:tblPr>
      <w:tblLayout w:type="fixed"/>
    </w:tblPr>
    <w:tblStylePr w:type="firstRow">
      <w:rPr>
        <w:color w:val="FFFFFF"/>
      </w:rPr>
      <w:tblPr>
        <w:tblLayout w:type="fixed"/>
      </w:tblPr>
      <w:tcPr>
        <w:tcBorders>
          <w:tl2br w:val="nil"/>
          <w:tr2bl w:val="nil"/>
        </w:tcBorders>
        <w:shd w:val="solid" w:color="000080" w:fill="FFFFFF"/>
      </w:tcPr>
    </w:tblStylePr>
    <w:tblStylePr w:type="lastRow">
      <w:rPr>
        <w:b w:val="0"/>
        <w:bCs w:val="0"/>
      </w:rPr>
      <w:tblPr>
        <w:tblLayout w:type="fixed"/>
      </w:tblPr>
      <w:tcPr>
        <w:tcBorders>
          <w:tl2br w:val="nil"/>
          <w:tr2bl w:val="nil"/>
        </w:tcBorders>
      </w:tcPr>
    </w:tblStylePr>
    <w:tblStylePr w:type="firstCol">
      <w:rPr>
        <w:b w:val="0"/>
        <w:bCs w:val="0"/>
        <w:color w:val="000000"/>
      </w:rPr>
      <w:tblPr>
        <w:tblLayout w:type="fixed"/>
      </w:tblPr>
      <w:tcPr>
        <w:tcBorders>
          <w:tl2br w:val="nil"/>
          <w:tr2bl w:val="nil"/>
        </w:tcBorders>
      </w:tcPr>
    </w:tblStylePr>
    <w:tblStylePr w:type="lastCol">
      <w:rPr>
        <w:b w:val="0"/>
        <w:bCs w:val="0"/>
      </w:rPr>
      <w:tblPr>
        <w:tblLayout w:type="fixed"/>
      </w:tblPr>
      <w:tcPr>
        <w:tcBorders>
          <w:tl2br w:val="nil"/>
          <w:tr2bl w:val="nil"/>
        </w:tcBorders>
      </w:tcPr>
    </w:tblStylePr>
    <w:tblStylePr w:type="band1Vert">
      <w:rPr>
        <w:color w:val="auto"/>
      </w:rPr>
      <w:tblPr>
        <w:tblLayout w:type="fixed"/>
      </w:tblPr>
      <w:tcPr>
        <w:shd w:val="pct30" w:color="000000" w:fill="FFFFFF"/>
      </w:tcPr>
    </w:tblStylePr>
    <w:tblStylePr w:type="band2Vert">
      <w:rPr>
        <w:color w:val="auto"/>
      </w:rPr>
      <w:tblPr>
        <w:tblLayout w:type="fixed"/>
      </w:tblPr>
      <w:tcPr>
        <w:shd w:val="pct25" w:color="00FF00" w:fill="FFFFFF"/>
      </w:tcPr>
    </w:tblStylePr>
    <w:tblStylePr w:type="neCell">
      <w:rPr>
        <w:b/>
        <w:bCs/>
      </w:rPr>
      <w:tblPr>
        <w:tblLayout w:type="fixed"/>
      </w:tblPr>
      <w:tcPr>
        <w:tcBorders>
          <w:tl2br w:val="nil"/>
          <w:tr2bl w:val="nil"/>
        </w:tcBorders>
      </w:tcPr>
    </w:tblStylePr>
    <w:tblStylePr w:type="swCell">
      <w:rPr>
        <w:b/>
        <w:bCs/>
      </w:rPr>
      <w:tblPr>
        <w:tblLayout w:type="fixed"/>
      </w:tblPr>
      <w:tcPr>
        <w:tcBorders>
          <w:tl2br w:val="nil"/>
          <w:tr2bl w:val="nil"/>
        </w:tcBorders>
      </w:tcPr>
    </w:tblStylePr>
  </w:style>
  <w:style w:type="table" w:styleId="118">
    <w:name w:val="Table Columns 3"/>
    <w:basedOn w:val="88"/>
    <w:qFormat/>
    <w:uiPriority w:val="0"/>
    <w:pPr>
      <w:widowControl w:val="0"/>
      <w:jc w:val="both"/>
    </w:pPr>
    <w:rPr>
      <w:rFonts w:ascii="Calibri" w:hAnsi="Calibri"/>
      <w:b/>
      <w:bCs/>
    </w:rPr>
    <w:tblPr>
      <w:tblBorders>
        <w:top w:val="single" w:color="000080" w:sz="6" w:space="0"/>
        <w:left w:val="single" w:color="000080" w:sz="6" w:space="0"/>
        <w:bottom w:val="single" w:color="000080" w:sz="6" w:space="0"/>
        <w:right w:val="single" w:color="000080" w:sz="6" w:space="0"/>
        <w:insideV w:val="single" w:color="000080" w:sz="6" w:space="0"/>
      </w:tblBorders>
      <w:tblLayout w:type="fixed"/>
    </w:tblPr>
    <w:tblStylePr w:type="firstRow">
      <w:rPr>
        <w:color w:val="FFFFFF"/>
      </w:rPr>
      <w:tblPr>
        <w:tblLayout w:type="fixed"/>
      </w:tblPr>
      <w:tcPr>
        <w:tcBorders>
          <w:tl2br w:val="nil"/>
          <w:tr2bl w:val="nil"/>
        </w:tcBorders>
        <w:shd w:val="solid" w:color="000080" w:fill="FFFFFF"/>
      </w:tcPr>
    </w:tblStylePr>
    <w:tblStylePr w:type="lastRow">
      <w:rPr>
        <w:b w:val="0"/>
        <w:bCs w:val="0"/>
      </w:rPr>
      <w:tblPr>
        <w:tblLayout w:type="fixed"/>
      </w:tblPr>
      <w:tcPr>
        <w:tcBorders>
          <w:top w:val="single" w:color="000080" w:sz="6" w:space="0"/>
          <w:tl2br w:val="nil"/>
          <w:tr2bl w:val="nil"/>
        </w:tcBorders>
      </w:tcPr>
    </w:tblStylePr>
    <w:tblStylePr w:type="firstCol">
      <w:rPr>
        <w:b w:val="0"/>
        <w:bCs w:val="0"/>
      </w:rPr>
      <w:tblPr>
        <w:tblLayout w:type="fixed"/>
      </w:tblPr>
      <w:tcPr>
        <w:tcBorders>
          <w:tl2br w:val="nil"/>
          <w:tr2bl w:val="nil"/>
        </w:tcBorders>
      </w:tcPr>
    </w:tblStylePr>
    <w:tblStylePr w:type="lastCol">
      <w:rPr>
        <w:b w:val="0"/>
        <w:bCs w:val="0"/>
      </w:rPr>
      <w:tblPr>
        <w:tblLayout w:type="fixed"/>
      </w:tblPr>
      <w:tcPr>
        <w:tcBorders>
          <w:tl2br w:val="nil"/>
          <w:tr2bl w:val="nil"/>
        </w:tcBorders>
      </w:tcPr>
    </w:tblStylePr>
    <w:tblStylePr w:type="band1Vert">
      <w:rPr>
        <w:color w:val="auto"/>
      </w:rPr>
      <w:tblPr>
        <w:tblLayout w:type="fixed"/>
      </w:tblPr>
      <w:tcPr>
        <w:shd w:val="solid" w:color="C0C0C0" w:fill="FFFFFF"/>
      </w:tcPr>
    </w:tblStylePr>
    <w:tblStylePr w:type="band2Vert">
      <w:rPr>
        <w:color w:val="auto"/>
      </w:rPr>
      <w:tblPr>
        <w:tblLayout w:type="fixed"/>
      </w:tblPr>
      <w:tcPr>
        <w:shd w:val="pct10" w:color="000000" w:fill="FFFFFF"/>
      </w:tcPr>
    </w:tblStylePr>
    <w:tblStylePr w:type="neCell">
      <w:rPr>
        <w:b/>
        <w:bCs/>
      </w:rPr>
      <w:tblPr>
        <w:tblLayout w:type="fixed"/>
      </w:tblPr>
      <w:tcPr>
        <w:tcBorders>
          <w:tl2br w:val="nil"/>
          <w:tr2bl w:val="nil"/>
        </w:tcBorders>
      </w:tcPr>
    </w:tblStylePr>
  </w:style>
  <w:style w:type="table" w:styleId="119">
    <w:name w:val="Table Columns 4"/>
    <w:basedOn w:val="88"/>
    <w:qFormat/>
    <w:uiPriority w:val="0"/>
    <w:pPr>
      <w:widowControl w:val="0"/>
      <w:jc w:val="both"/>
    </w:pPr>
    <w:rPr>
      <w:rFonts w:ascii="Calibri" w:hAnsi="Calibri"/>
    </w:rPr>
    <w:tblPr>
      <w:tblLayout w:type="fixed"/>
    </w:tblPr>
    <w:tblStylePr w:type="firstRow">
      <w:rPr>
        <w:color w:val="FFFFFF"/>
      </w:rPr>
      <w:tblPr>
        <w:tblLayout w:type="fixed"/>
      </w:tblPr>
      <w:tcPr>
        <w:tcBorders>
          <w:tl2br w:val="nil"/>
          <w:tr2bl w:val="nil"/>
        </w:tcBorders>
        <w:shd w:val="solid" w:color="000000" w:fill="FFFFFF"/>
      </w:tcPr>
    </w:tblStylePr>
    <w:tblStylePr w:type="lastRow">
      <w:rPr>
        <w:b/>
        <w:bCs/>
      </w:rPr>
      <w:tblPr>
        <w:tblLayout w:type="fixed"/>
      </w:tblPr>
      <w:tcPr>
        <w:tcBorders>
          <w:tl2br w:val="nil"/>
          <w:tr2bl w:val="nil"/>
        </w:tcBorders>
      </w:tcPr>
    </w:tblStylePr>
    <w:tblStylePr w:type="lastCol">
      <w:rPr>
        <w:b/>
        <w:bCs/>
      </w:rPr>
      <w:tblPr>
        <w:tblLayout w:type="fixed"/>
      </w:tblPr>
      <w:tcPr>
        <w:tcBorders>
          <w:tl2br w:val="nil"/>
          <w:tr2bl w:val="nil"/>
        </w:tcBorders>
      </w:tcPr>
    </w:tblStylePr>
    <w:tblStylePr w:type="band1Vert">
      <w:rPr>
        <w:color w:val="auto"/>
      </w:rPr>
      <w:tblPr>
        <w:tblLayout w:type="fixed"/>
      </w:tblPr>
      <w:tcPr>
        <w:shd w:val="pct50" w:color="008080" w:fill="FFFFFF"/>
      </w:tcPr>
    </w:tblStylePr>
    <w:tblStylePr w:type="band2Vert">
      <w:rPr>
        <w:color w:val="auto"/>
      </w:rPr>
      <w:tblPr>
        <w:tblLayout w:type="fixed"/>
      </w:tblPr>
      <w:tcPr>
        <w:shd w:val="pct10" w:color="000000" w:fill="FFFFFF"/>
      </w:tcPr>
    </w:tblStylePr>
  </w:style>
  <w:style w:type="table" w:styleId="120">
    <w:name w:val="Table Columns 5"/>
    <w:basedOn w:val="88"/>
    <w:qFormat/>
    <w:uiPriority w:val="0"/>
    <w:pPr>
      <w:widowControl w:val="0"/>
      <w:jc w:val="both"/>
    </w:pPr>
    <w:rPr>
      <w:rFonts w:ascii="Calibri" w:hAnsi="Calibri"/>
    </w:rPr>
    <w:tblPr>
      <w:tblBorders>
        <w:top w:val="single" w:color="808080" w:sz="12" w:space="0"/>
        <w:left w:val="single" w:color="808080" w:sz="12" w:space="0"/>
        <w:bottom w:val="single" w:color="808080" w:sz="12" w:space="0"/>
        <w:right w:val="single" w:color="808080" w:sz="12" w:space="0"/>
        <w:insideV w:val="single" w:color="C0C0C0" w:sz="6" w:space="0"/>
      </w:tblBorders>
      <w:tblLayout w:type="fixed"/>
    </w:tblPr>
    <w:tblStylePr w:type="firstRow">
      <w:rPr>
        <w:b/>
        <w:bCs/>
        <w:i/>
        <w:iCs/>
      </w:rPr>
      <w:tblPr>
        <w:tblLayout w:type="fixed"/>
      </w:tblPr>
      <w:tcPr>
        <w:tcBorders>
          <w:bottom w:val="single" w:color="808080" w:sz="6" w:space="0"/>
          <w:tl2br w:val="nil"/>
          <w:tr2bl w:val="nil"/>
        </w:tcBorders>
      </w:tcPr>
    </w:tblStylePr>
    <w:tblStylePr w:type="lastRow">
      <w:rPr>
        <w:b/>
        <w:bCs/>
      </w:rPr>
      <w:tblPr>
        <w:tblLayout w:type="fixed"/>
      </w:tblPr>
      <w:tcPr>
        <w:tcBorders>
          <w:top w:val="single" w:color="808080" w:sz="6" w:space="0"/>
          <w:tl2br w:val="nil"/>
          <w:tr2bl w:val="nil"/>
        </w:tcBorders>
      </w:tcPr>
    </w:tblStylePr>
    <w:tblStylePr w:type="firstCol">
      <w:rPr>
        <w:b/>
        <w:bCs/>
      </w:rPr>
      <w:tblPr>
        <w:tblLayout w:type="fixed"/>
      </w:tblPr>
      <w:tcPr>
        <w:tcBorders>
          <w:tl2br w:val="nil"/>
          <w:tr2bl w:val="nil"/>
        </w:tcBorders>
      </w:tcPr>
    </w:tblStylePr>
    <w:tblStylePr w:type="lastCol">
      <w:rPr>
        <w:b/>
        <w:bCs/>
      </w:rPr>
      <w:tblPr>
        <w:tblLayout w:type="fixed"/>
      </w:tblPr>
      <w:tcPr>
        <w:tcBorders>
          <w:tl2br w:val="nil"/>
          <w:tr2bl w:val="nil"/>
        </w:tcBorders>
      </w:tcPr>
    </w:tblStylePr>
    <w:tblStylePr w:type="band1Vert">
      <w:rPr>
        <w:color w:val="auto"/>
      </w:rPr>
      <w:tblPr>
        <w:tblLayout w:type="fixed"/>
      </w:tblPr>
      <w:tcPr>
        <w:shd w:val="solid" w:color="C0C0C0" w:fill="FFFFFF"/>
      </w:tcPr>
    </w:tblStylePr>
    <w:tblStylePr w:type="band2Vert">
      <w:rPr>
        <w:color w:val="auto"/>
      </w:rPr>
    </w:tblStylePr>
  </w:style>
  <w:style w:type="table" w:styleId="121">
    <w:name w:val="Table Grid 1"/>
    <w:basedOn w:val="88"/>
    <w:qFormat/>
    <w:uiPriority w:val="0"/>
    <w:pPr>
      <w:widowControl w:val="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Pr>
    <w:tcPr>
      <w:shd w:val="clear" w:color="auto" w:fill="auto"/>
    </w:tcPr>
    <w:tblStylePr w:type="lastRow">
      <w:rPr>
        <w:i/>
        <w:iCs/>
      </w:rPr>
      <w:tblPr>
        <w:tblLayout w:type="fixed"/>
      </w:tblPr>
      <w:tcPr>
        <w:tcBorders>
          <w:tl2br w:val="nil"/>
          <w:tr2bl w:val="nil"/>
        </w:tcBorders>
      </w:tcPr>
    </w:tblStylePr>
    <w:tblStylePr w:type="lastCol">
      <w:rPr>
        <w:i/>
        <w:iCs/>
      </w:rPr>
      <w:tblPr>
        <w:tblLayout w:type="fixed"/>
      </w:tblPr>
      <w:tcPr>
        <w:tcBorders>
          <w:tl2br w:val="nil"/>
          <w:tr2bl w:val="nil"/>
        </w:tcBorders>
      </w:tcPr>
    </w:tblStylePr>
    <w:tblStylePr w:type="nwCell">
      <w:tblPr>
        <w:tblLayout w:type="fixed"/>
      </w:tblPr>
      <w:tcPr>
        <w:tcBorders>
          <w:tl2br w:val="single" w:color="000000" w:sz="6" w:space="0"/>
          <w:tr2bl w:val="nil"/>
        </w:tcBorders>
      </w:tcPr>
    </w:tblStylePr>
  </w:style>
  <w:style w:type="table" w:styleId="122">
    <w:name w:val="Table Grid 2"/>
    <w:basedOn w:val="88"/>
    <w:qFormat/>
    <w:uiPriority w:val="0"/>
    <w:pPr>
      <w:widowControl w:val="0"/>
      <w:jc w:val="both"/>
    </w:pPr>
    <w:rPr>
      <w:rFonts w:ascii="Calibri" w:hAnsi="Calibri"/>
    </w:rPr>
    <w:tblPr>
      <w:tblBorders>
        <w:insideH w:val="single" w:color="000000" w:sz="6" w:space="0"/>
        <w:insideV w:val="single" w:color="000000" w:sz="6" w:space="0"/>
      </w:tblBorders>
      <w:tblLayout w:type="fixed"/>
    </w:tblPr>
    <w:tcPr>
      <w:shd w:val="clear" w:color="auto" w:fill="auto"/>
    </w:tcPr>
    <w:tblStylePr w:type="firstRow">
      <w:rPr>
        <w:b/>
        <w:bCs/>
      </w:rPr>
      <w:tblPr>
        <w:tblLayout w:type="fixed"/>
      </w:tblPr>
      <w:tcPr>
        <w:tcBorders>
          <w:tl2br w:val="nil"/>
          <w:tr2bl w:val="nil"/>
        </w:tcBorders>
      </w:tcPr>
    </w:tblStylePr>
    <w:tblStylePr w:type="lastRow">
      <w:rPr>
        <w:b/>
        <w:bCs/>
      </w:rPr>
      <w:tblPr>
        <w:tblLayout w:type="fixed"/>
      </w:tblPr>
      <w:tcPr>
        <w:tcBorders>
          <w:top w:val="single" w:color="000000" w:sz="6" w:space="0"/>
          <w:tl2br w:val="nil"/>
          <w:tr2bl w:val="nil"/>
        </w:tcBorders>
      </w:tcPr>
    </w:tblStylePr>
    <w:tblStylePr w:type="firstCol">
      <w:rPr>
        <w:b/>
        <w:bCs/>
      </w:rPr>
      <w:tblPr>
        <w:tblLayout w:type="fixed"/>
      </w:tblPr>
      <w:tcPr>
        <w:tcBorders>
          <w:tl2br w:val="nil"/>
          <w:tr2bl w:val="nil"/>
        </w:tcBorders>
      </w:tcPr>
    </w:tblStylePr>
    <w:tblStylePr w:type="lastCol">
      <w:rPr>
        <w:b/>
        <w:bCs/>
      </w:rPr>
      <w:tblPr>
        <w:tblLayout w:type="fixed"/>
      </w:tblPr>
      <w:tcPr>
        <w:tcBorders>
          <w:tl2br w:val="nil"/>
          <w:tr2bl w:val="nil"/>
        </w:tcBorders>
      </w:tcPr>
    </w:tblStylePr>
  </w:style>
  <w:style w:type="table" w:styleId="123">
    <w:name w:val="Table Grid 3"/>
    <w:basedOn w:val="88"/>
    <w:qFormat/>
    <w:uiPriority w:val="0"/>
    <w:pPr>
      <w:widowControl w:val="0"/>
      <w:jc w:val="both"/>
    </w:pPr>
    <w:rPr>
      <w:rFonts w:ascii="Calibri" w:hAnsi="Calibri"/>
    </w:rPr>
    <w:tblPr>
      <w:tblBorders>
        <w:top w:val="single" w:color="000000" w:sz="6" w:space="0"/>
        <w:left w:val="single" w:color="000000" w:sz="12" w:space="0"/>
        <w:bottom w:val="single" w:color="000000" w:sz="6" w:space="0"/>
        <w:right w:val="single" w:color="000000" w:sz="12" w:space="0"/>
        <w:insideV w:val="single" w:color="000000" w:sz="6" w:space="0"/>
      </w:tblBorders>
      <w:tblLayout w:type="fixed"/>
    </w:tblPr>
    <w:tcPr>
      <w:shd w:val="clear" w:color="auto" w:fill="auto"/>
    </w:tcPr>
    <w:tblStylePr w:type="firstRow">
      <w:tblPr>
        <w:tblLayout w:type="fixed"/>
      </w:tblPr>
      <w:tcPr>
        <w:tcBorders>
          <w:bottom w:val="single" w:color="000000" w:sz="6" w:space="0"/>
          <w:tl2br w:val="nil"/>
          <w:tr2bl w:val="nil"/>
        </w:tcBorders>
        <w:shd w:val="pct30" w:color="FFFF00" w:fill="FFFFFF"/>
      </w:tcPr>
    </w:tblStylePr>
    <w:tblStylePr w:type="lastRow">
      <w:rPr>
        <w:b/>
        <w:bCs/>
      </w:rPr>
      <w:tblPr>
        <w:tblLayout w:type="fixed"/>
      </w:tblPr>
      <w:tcPr>
        <w:tcBorders>
          <w:tl2br w:val="nil"/>
          <w:tr2bl w:val="nil"/>
        </w:tcBorders>
      </w:tcPr>
    </w:tblStylePr>
    <w:tblStylePr w:type="lastCol">
      <w:rPr>
        <w:b/>
        <w:bCs/>
      </w:rPr>
      <w:tblPr>
        <w:tblLayout w:type="fixed"/>
      </w:tblPr>
      <w:tcPr>
        <w:tcBorders>
          <w:tl2br w:val="nil"/>
          <w:tr2bl w:val="nil"/>
        </w:tcBorders>
      </w:tcPr>
    </w:tblStylePr>
    <w:tblStylePr w:type="nwCell">
      <w:tblPr>
        <w:tblLayout w:type="fixed"/>
      </w:tblPr>
      <w:tcPr>
        <w:tcBorders>
          <w:tl2br w:val="single" w:color="000000" w:sz="6" w:space="0"/>
          <w:tr2bl w:val="nil"/>
        </w:tcBorders>
      </w:tcPr>
    </w:tblStylePr>
  </w:style>
  <w:style w:type="table" w:styleId="124">
    <w:name w:val="Table Grid 4"/>
    <w:basedOn w:val="88"/>
    <w:qFormat/>
    <w:uiPriority w:val="0"/>
    <w:pPr>
      <w:widowControl w:val="0"/>
      <w:jc w:val="both"/>
    </w:pPr>
    <w:rPr>
      <w:rFonts w:ascii="Calibri" w:hAnsi="Calibri"/>
    </w:rPr>
    <w:tblPr>
      <w:tblBorders>
        <w:left w:val="single" w:color="000000" w:sz="12" w:space="0"/>
        <w:right w:val="single" w:color="000000" w:sz="12" w:space="0"/>
        <w:insideH w:val="single" w:color="000000" w:sz="6" w:space="0"/>
        <w:insideV w:val="single" w:color="000000" w:sz="6" w:space="0"/>
      </w:tblBorders>
      <w:tblLayout w:type="fixed"/>
    </w:tblPr>
    <w:tcPr>
      <w:shd w:val="clear" w:color="auto" w:fill="auto"/>
    </w:tcPr>
    <w:tblStylePr w:type="firstRow">
      <w:rPr>
        <w:color w:val="auto"/>
      </w:rPr>
      <w:tblPr>
        <w:tblLayout w:type="fixed"/>
      </w:tblPr>
      <w:tcPr>
        <w:tcBorders>
          <w:bottom w:val="single" w:color="000000" w:sz="6" w:space="0"/>
          <w:tl2br w:val="nil"/>
          <w:tr2bl w:val="nil"/>
        </w:tcBorders>
        <w:shd w:val="pct30" w:color="FFFF00" w:fill="FFFFFF"/>
      </w:tcPr>
    </w:tblStylePr>
    <w:tblStylePr w:type="lastRow">
      <w:rPr>
        <w:b/>
        <w:bCs/>
        <w:color w:val="auto"/>
      </w:rPr>
      <w:tblPr>
        <w:tblLayout w:type="fixed"/>
      </w:tblPr>
      <w:tcPr>
        <w:tcBorders>
          <w:top w:val="single" w:color="000000" w:sz="6" w:space="0"/>
          <w:tl2br w:val="nil"/>
          <w:tr2bl w:val="nil"/>
        </w:tcBorders>
        <w:shd w:val="pct30" w:color="FFFF00" w:fill="FFFFFF"/>
      </w:tcPr>
    </w:tblStylePr>
    <w:tblStylePr w:type="lastCol">
      <w:rPr>
        <w:b/>
        <w:bCs/>
        <w:color w:val="auto"/>
      </w:rPr>
      <w:tblPr>
        <w:tblLayout w:type="fixed"/>
      </w:tblPr>
      <w:tcPr>
        <w:tcBorders>
          <w:tl2br w:val="nil"/>
          <w:tr2bl w:val="nil"/>
        </w:tcBorders>
      </w:tcPr>
    </w:tblStylePr>
  </w:style>
  <w:style w:type="table" w:styleId="125">
    <w:name w:val="Table Grid 5"/>
    <w:basedOn w:val="88"/>
    <w:qFormat/>
    <w:uiPriority w:val="0"/>
    <w:pPr>
      <w:widowControl w:val="0"/>
      <w:jc w:val="both"/>
    </w:pPr>
    <w:tblP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Pr>
    <w:tblStylePr w:type="firstRow">
      <w:tblPr>
        <w:tblLayout w:type="fixed"/>
      </w:tblPr>
      <w:tcPr>
        <w:tcBorders>
          <w:bottom w:val="single" w:color="000000" w:sz="12" w:space="0"/>
          <w:tl2br w:val="nil"/>
          <w:tr2bl w:val="nil"/>
        </w:tcBorders>
      </w:tcPr>
    </w:tblStylePr>
    <w:tblStylePr w:type="lastRow">
      <w:rPr>
        <w:b/>
        <w:bCs/>
      </w:rPr>
      <w:tblPr>
        <w:tblLayout w:type="fixed"/>
      </w:tblPr>
      <w:tcPr>
        <w:tcBorders>
          <w:tl2br w:val="nil"/>
          <w:tr2bl w:val="nil"/>
        </w:tcBorders>
      </w:tcPr>
    </w:tblStylePr>
    <w:tblStylePr w:type="lastCol">
      <w:rPr>
        <w:b/>
        <w:bCs/>
      </w:rPr>
      <w:tblPr>
        <w:tblLayout w:type="fixed"/>
      </w:tblPr>
      <w:tcPr>
        <w:tcBorders>
          <w:tl2br w:val="nil"/>
          <w:tr2bl w:val="nil"/>
        </w:tcBorders>
      </w:tcPr>
    </w:tblStylePr>
    <w:tblStylePr w:type="nwCell">
      <w:tblPr>
        <w:tblLayout w:type="fixed"/>
      </w:tblPr>
      <w:tcPr>
        <w:tcBorders>
          <w:tl2br w:val="single" w:color="000000" w:sz="6" w:space="0"/>
          <w:tr2bl w:val="nil"/>
        </w:tcBorders>
      </w:tcPr>
    </w:tblStylePr>
  </w:style>
  <w:style w:type="table" w:styleId="126">
    <w:name w:val="Table Grid 6"/>
    <w:basedOn w:val="88"/>
    <w:qFormat/>
    <w:uiPriority w:val="0"/>
    <w:pPr>
      <w:widowControl w:val="0"/>
      <w:jc w:val="both"/>
    </w:pPr>
    <w:rPr>
      <w:rFonts w:ascii="Calibri" w:hAnsi="Calibri"/>
    </w:rPr>
    <w:tblPr>
      <w:tblBorders>
        <w:top w:val="single" w:color="000000" w:sz="12" w:space="0"/>
        <w:left w:val="single" w:color="000000" w:sz="12" w:space="0"/>
        <w:bottom w:val="single" w:color="000000" w:sz="12" w:space="0"/>
        <w:right w:val="single" w:color="000000" w:sz="12" w:space="0"/>
        <w:insideV w:val="single" w:color="000000" w:sz="6" w:space="0"/>
      </w:tblBorders>
      <w:tblLayout w:type="fixed"/>
    </w:tblPr>
    <w:tcPr>
      <w:shd w:val="clear" w:color="auto" w:fill="auto"/>
    </w:tcPr>
    <w:tblStylePr w:type="firstRow">
      <w:rPr>
        <w:b/>
        <w:bCs/>
      </w:rPr>
      <w:tblPr>
        <w:tblLayout w:type="fixed"/>
      </w:tblPr>
      <w:tcPr>
        <w:tcBorders>
          <w:bottom w:val="single" w:color="000000" w:sz="6" w:space="0"/>
          <w:tl2br w:val="nil"/>
          <w:tr2bl w:val="nil"/>
        </w:tcBorders>
      </w:tcPr>
    </w:tblStylePr>
    <w:tblStylePr w:type="lastRow">
      <w:rPr>
        <w:color w:val="auto"/>
      </w:rPr>
      <w:tblPr>
        <w:tblLayout w:type="fixed"/>
      </w:tblPr>
      <w:tcPr>
        <w:tcBorders>
          <w:top w:val="single" w:color="000000" w:sz="6" w:space="0"/>
          <w:tl2br w:val="nil"/>
          <w:tr2bl w:val="nil"/>
        </w:tcBorders>
      </w:tcPr>
    </w:tblStylePr>
    <w:tblStylePr w:type="firstCol">
      <w:rPr>
        <w:b/>
        <w:bCs/>
      </w:rPr>
      <w:tblPr>
        <w:tblLayout w:type="fixed"/>
      </w:tblPr>
      <w:tcPr>
        <w:tcBorders>
          <w:tl2br w:val="nil"/>
          <w:tr2bl w:val="nil"/>
        </w:tcBorders>
      </w:tcPr>
    </w:tblStylePr>
    <w:tblStylePr w:type="nwCell">
      <w:tblPr>
        <w:tblLayout w:type="fixed"/>
      </w:tblPr>
      <w:tcPr>
        <w:tcBorders>
          <w:tl2br w:val="single" w:color="000000" w:sz="6" w:space="0"/>
          <w:tr2bl w:val="nil"/>
        </w:tcBorders>
      </w:tcPr>
    </w:tblStylePr>
  </w:style>
  <w:style w:type="table" w:styleId="127">
    <w:name w:val="Table Grid 7"/>
    <w:basedOn w:val="88"/>
    <w:qFormat/>
    <w:uiPriority w:val="0"/>
    <w:pPr>
      <w:widowControl w:val="0"/>
      <w:jc w:val="both"/>
    </w:pPr>
    <w:rPr>
      <w:b/>
      <w:bCs/>
    </w:rPr>
    <w:tblP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Pr>
    <w:tblStylePr w:type="firstRow">
      <w:rPr>
        <w:b w:val="0"/>
        <w:bCs w:val="0"/>
      </w:rPr>
      <w:tblPr>
        <w:tblLayout w:type="fixed"/>
      </w:tblPr>
      <w:tcPr>
        <w:tcBorders>
          <w:bottom w:val="single" w:color="000000" w:sz="12" w:space="0"/>
          <w:tl2br w:val="nil"/>
          <w:tr2bl w:val="nil"/>
        </w:tcBorders>
      </w:tcPr>
    </w:tblStylePr>
    <w:tblStylePr w:type="lastRow">
      <w:rPr>
        <w:b w:val="0"/>
        <w:bCs w:val="0"/>
      </w:rPr>
      <w:tblPr>
        <w:tblLayout w:type="fixed"/>
      </w:tblPr>
      <w:tcPr>
        <w:tcBorders>
          <w:top w:val="single" w:color="000000" w:sz="6" w:space="0"/>
          <w:tl2br w:val="nil"/>
          <w:tr2bl w:val="nil"/>
        </w:tcBorders>
      </w:tcPr>
    </w:tblStylePr>
    <w:tblStylePr w:type="firstCol">
      <w:rPr>
        <w:b w:val="0"/>
        <w:bCs w:val="0"/>
      </w:rPr>
      <w:tblPr>
        <w:tblLayout w:type="fixed"/>
      </w:tblPr>
      <w:tcPr>
        <w:tcBorders>
          <w:tl2br w:val="nil"/>
          <w:tr2bl w:val="nil"/>
        </w:tcBorders>
      </w:tcPr>
    </w:tblStylePr>
    <w:tblStylePr w:type="lastCol">
      <w:rPr>
        <w:b w:val="0"/>
        <w:bCs w:val="0"/>
      </w:rPr>
      <w:tblPr>
        <w:tblLayout w:type="fixed"/>
      </w:tblPr>
      <w:tcPr>
        <w:tcBorders>
          <w:tl2br w:val="nil"/>
          <w:tr2bl w:val="nil"/>
        </w:tcBorders>
      </w:tcPr>
    </w:tblStylePr>
    <w:tblStylePr w:type="nwCell">
      <w:tblPr>
        <w:tblLayout w:type="fixed"/>
      </w:tblPr>
      <w:tcPr>
        <w:tcBorders>
          <w:tl2br w:val="single" w:color="000000" w:sz="6" w:space="0"/>
          <w:tr2bl w:val="nil"/>
        </w:tcBorders>
      </w:tcPr>
    </w:tblStylePr>
  </w:style>
  <w:style w:type="table" w:styleId="128">
    <w:name w:val="Table Grid 8"/>
    <w:basedOn w:val="88"/>
    <w:qFormat/>
    <w:uiPriority w:val="0"/>
    <w:pPr>
      <w:widowControl w:val="0"/>
      <w:jc w:val="both"/>
    </w:pPr>
    <w:rPr>
      <w:rFonts w:ascii="Calibri" w:hAnsi="Calibri"/>
    </w:rPr>
    <w:tblPr>
      <w:tblBorders>
        <w:top w:val="single" w:color="000080" w:sz="6" w:space="0"/>
        <w:left w:val="single" w:color="000080" w:sz="6" w:space="0"/>
        <w:bottom w:val="single" w:color="000080" w:sz="6" w:space="0"/>
        <w:right w:val="single" w:color="000080" w:sz="6" w:space="0"/>
        <w:insideH w:val="single" w:color="000080" w:sz="6" w:space="0"/>
        <w:insideV w:val="single" w:color="000080" w:sz="6" w:space="0"/>
      </w:tblBorders>
      <w:tblLayout w:type="fixed"/>
    </w:tblPr>
    <w:tcPr>
      <w:shd w:val="clear" w:color="auto" w:fill="auto"/>
    </w:tcPr>
    <w:tblStylePr w:type="firstRow">
      <w:rPr>
        <w:b/>
        <w:bCs/>
        <w:color w:val="FFFFFF"/>
      </w:rPr>
      <w:tblPr>
        <w:tblLayout w:type="fixed"/>
      </w:tblPr>
      <w:tcPr>
        <w:tcBorders>
          <w:tl2br w:val="nil"/>
          <w:tr2bl w:val="nil"/>
        </w:tcBorders>
        <w:shd w:val="solid" w:color="000080" w:fill="FFFFFF"/>
      </w:tcPr>
    </w:tblStylePr>
    <w:tblStylePr w:type="lastRow">
      <w:rPr>
        <w:b/>
        <w:bCs/>
        <w:color w:val="auto"/>
      </w:rPr>
      <w:tblPr>
        <w:tblLayout w:type="fixed"/>
      </w:tblPr>
      <w:tcPr>
        <w:tcBorders>
          <w:tl2br w:val="nil"/>
          <w:tr2bl w:val="nil"/>
        </w:tcBorders>
      </w:tcPr>
    </w:tblStylePr>
    <w:tblStylePr w:type="lastCol">
      <w:rPr>
        <w:b/>
        <w:bCs/>
        <w:color w:val="auto"/>
      </w:rPr>
      <w:tblPr>
        <w:tblLayout w:type="fixed"/>
      </w:tblPr>
      <w:tcPr>
        <w:tcBorders>
          <w:tl2br w:val="nil"/>
          <w:tr2bl w:val="nil"/>
        </w:tcBorders>
      </w:tcPr>
    </w:tblStylePr>
  </w:style>
  <w:style w:type="table" w:styleId="129">
    <w:name w:val="Table Web 1"/>
    <w:basedOn w:val="88"/>
    <w:qFormat/>
    <w:uiPriority w:val="0"/>
    <w:pPr>
      <w:widowControl w:val="0"/>
      <w:jc w:val="both"/>
    </w:pPr>
    <w:rPr>
      <w:rFonts w:ascii="Calibri" w:hAnsi="Calibri"/>
    </w:rPr>
    <w:tblPr>
      <w:tblCellSpacing w:w="20" w:type="dxa"/>
      <w:tblBorders>
        <w:top w:val="outset" w:color="auto" w:sz="6" w:space="0"/>
        <w:left w:val="outset" w:color="auto" w:sz="6" w:space="0"/>
        <w:bottom w:val="outset" w:color="auto" w:sz="6" w:space="0"/>
        <w:right w:val="outset" w:color="auto" w:sz="6" w:space="0"/>
        <w:insideH w:val="outset" w:color="auto" w:sz="6" w:space="0"/>
        <w:insideV w:val="outset" w:color="auto" w:sz="6" w:space="0"/>
      </w:tblBorders>
      <w:tblLayout w:type="fixed"/>
    </w:tblPr>
    <w:trPr>
      <w:tblCellSpacing w:w="20" w:type="dxa"/>
    </w:trPr>
    <w:tcPr>
      <w:shd w:val="clear" w:color="auto" w:fill="auto"/>
    </w:tcPr>
    <w:tblStylePr w:type="firstRow">
      <w:rPr>
        <w:color w:val="auto"/>
      </w:rPr>
      <w:tblPr>
        <w:tblLayout w:type="fixed"/>
      </w:tblPr>
      <w:tcPr>
        <w:tcBorders>
          <w:tl2br w:val="nil"/>
          <w:tr2bl w:val="nil"/>
        </w:tcBorders>
      </w:tcPr>
    </w:tblStylePr>
  </w:style>
  <w:style w:type="table" w:styleId="130">
    <w:name w:val="Table Web 2"/>
    <w:basedOn w:val="88"/>
    <w:qFormat/>
    <w:uiPriority w:val="0"/>
    <w:pPr>
      <w:widowControl w:val="0"/>
      <w:jc w:val="both"/>
    </w:pPr>
    <w:rPr>
      <w:rFonts w:ascii="Calibri" w:hAnsi="Calibri"/>
    </w:rPr>
    <w:tblPr>
      <w:tblCellSpacing w:w="20" w:type="dxa"/>
      <w:tblBorders>
        <w:top w:val="inset" w:color="auto" w:sz="6" w:space="0"/>
        <w:left w:val="inset" w:color="auto" w:sz="6" w:space="0"/>
        <w:bottom w:val="inset" w:color="auto" w:sz="6" w:space="0"/>
        <w:right w:val="inset" w:color="auto" w:sz="6" w:space="0"/>
        <w:insideH w:val="inset" w:color="auto" w:sz="6" w:space="0"/>
        <w:insideV w:val="inset" w:color="auto" w:sz="6" w:space="0"/>
      </w:tblBorders>
      <w:tblLayout w:type="fixed"/>
    </w:tblPr>
    <w:trPr>
      <w:tblCellSpacing w:w="20" w:type="dxa"/>
    </w:trPr>
    <w:tcPr>
      <w:shd w:val="clear" w:color="auto" w:fill="auto"/>
    </w:tcPr>
    <w:tblStylePr w:type="firstRow">
      <w:rPr>
        <w:color w:val="auto"/>
      </w:rPr>
      <w:tblPr>
        <w:tblLayout w:type="fixed"/>
      </w:tblPr>
      <w:tcPr>
        <w:tcBorders>
          <w:tl2br w:val="nil"/>
          <w:tr2bl w:val="nil"/>
        </w:tcBorders>
      </w:tcPr>
    </w:tblStylePr>
  </w:style>
  <w:style w:type="table" w:styleId="131">
    <w:name w:val="Table Web 3"/>
    <w:basedOn w:val="88"/>
    <w:qFormat/>
    <w:uiPriority w:val="0"/>
    <w:pPr>
      <w:widowControl w:val="0"/>
      <w:jc w:val="both"/>
    </w:pPr>
    <w:rPr>
      <w:rFonts w:ascii="Calibri" w:hAnsi="Calibri"/>
    </w:rPr>
    <w:tblPr>
      <w:tblCellSpacing w:w="20" w:type="dxa"/>
      <w:tblBorders>
        <w:top w:val="outset" w:color="auto" w:sz="24" w:space="0"/>
        <w:left w:val="outset" w:color="auto" w:sz="24" w:space="0"/>
        <w:bottom w:val="outset" w:color="auto" w:sz="24" w:space="0"/>
        <w:right w:val="outset" w:color="auto" w:sz="24" w:space="0"/>
        <w:insideH w:val="outset" w:color="auto" w:sz="6" w:space="0"/>
        <w:insideV w:val="outset" w:color="auto" w:sz="6" w:space="0"/>
      </w:tblBorders>
      <w:tblLayout w:type="fixed"/>
    </w:tblPr>
    <w:trPr>
      <w:tblCellSpacing w:w="20" w:type="dxa"/>
    </w:trPr>
    <w:tcPr>
      <w:shd w:val="clear" w:color="auto" w:fill="auto"/>
    </w:tcPr>
    <w:tblStylePr w:type="firstRow">
      <w:rPr>
        <w:color w:val="auto"/>
      </w:rPr>
      <w:tblPr>
        <w:tblLayout w:type="fixed"/>
      </w:tblPr>
      <w:tcPr>
        <w:tcBorders>
          <w:tl2br w:val="nil"/>
          <w:tr2bl w:val="nil"/>
        </w:tcBorders>
      </w:tcPr>
    </w:tblStylePr>
  </w:style>
  <w:style w:type="table" w:styleId="132">
    <w:name w:val="Table Professional"/>
    <w:basedOn w:val="88"/>
    <w:qFormat/>
    <w:uiPriority w:val="0"/>
    <w:pPr>
      <w:widowControl w:val="0"/>
      <w:jc w:val="both"/>
    </w:pPr>
    <w:rPr>
      <w:rFonts w:ascii="Calibri" w:hAnsi="Calibri"/>
    </w:r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Pr>
    <w:tcPr>
      <w:shd w:val="clear" w:color="auto" w:fill="auto"/>
    </w:tcPr>
    <w:tblStylePr w:type="firstRow">
      <w:rPr>
        <w:b/>
        <w:bCs/>
        <w:color w:val="auto"/>
      </w:rPr>
      <w:tblPr>
        <w:tblLayout w:type="fixed"/>
      </w:tblPr>
      <w:tcPr>
        <w:tcBorders>
          <w:tl2br w:val="nil"/>
          <w:tr2bl w:val="nil"/>
        </w:tcBorders>
        <w:shd w:val="solid" w:color="000000" w:fill="FFFFFF"/>
      </w:tcPr>
    </w:tblStylePr>
  </w:style>
  <w:style w:type="character" w:styleId="134">
    <w:name w:val="Strong"/>
    <w:qFormat/>
    <w:uiPriority w:val="22"/>
    <w:rPr>
      <w:rFonts w:eastAsia="黑体" w:cs="宋体"/>
      <w:color w:val="000000"/>
      <w:kern w:val="2"/>
      <w:sz w:val="32"/>
      <w:szCs w:val="32"/>
      <w:lang w:val="en-US" w:eastAsia="zh-CN" w:bidi="ar-SA"/>
    </w:rPr>
  </w:style>
  <w:style w:type="character" w:styleId="135">
    <w:name w:val="endnote reference"/>
    <w:unhideWhenUsed/>
    <w:qFormat/>
    <w:uiPriority w:val="0"/>
    <w:rPr>
      <w:rFonts w:hint="eastAsia" w:ascii="宋体" w:hAnsi="宋体" w:eastAsia="宋体" w:cs="宋体"/>
      <w:kern w:val="2"/>
      <w:sz w:val="24"/>
      <w:szCs w:val="24"/>
      <w:vertAlign w:val="superscript"/>
      <w:lang w:val="en-US" w:eastAsia="zh-CN" w:bidi="ar-SA"/>
    </w:rPr>
  </w:style>
  <w:style w:type="character" w:styleId="136">
    <w:name w:val="page number"/>
    <w:basedOn w:val="133"/>
    <w:qFormat/>
    <w:uiPriority w:val="0"/>
    <w:rPr>
      <w:rFonts w:eastAsia="黑体" w:cs="宋体"/>
      <w:b/>
      <w:bCs/>
      <w:color w:val="000000"/>
      <w:kern w:val="2"/>
      <w:sz w:val="32"/>
      <w:szCs w:val="32"/>
      <w:lang w:val="en-US" w:eastAsia="zh-CN" w:bidi="ar-SA"/>
    </w:rPr>
  </w:style>
  <w:style w:type="character" w:styleId="137">
    <w:name w:val="FollowedHyperlink"/>
    <w:qFormat/>
    <w:uiPriority w:val="99"/>
    <w:rPr>
      <w:rFonts w:eastAsia="黑体" w:cs="宋体"/>
      <w:b/>
      <w:bCs/>
      <w:color w:val="800080"/>
      <w:kern w:val="2"/>
      <w:sz w:val="32"/>
      <w:szCs w:val="32"/>
      <w:u w:val="single"/>
      <w:lang w:val="en-US" w:eastAsia="zh-CN" w:bidi="ar-SA"/>
    </w:rPr>
  </w:style>
  <w:style w:type="character" w:styleId="138">
    <w:name w:val="Emphasis"/>
    <w:qFormat/>
    <w:uiPriority w:val="20"/>
    <w:rPr>
      <w:i/>
      <w:iCs/>
    </w:rPr>
  </w:style>
  <w:style w:type="character" w:styleId="139">
    <w:name w:val="line number"/>
    <w:qFormat/>
    <w:uiPriority w:val="0"/>
    <w:rPr>
      <w:rFonts w:eastAsia="黑体" w:cs="宋体"/>
      <w:color w:val="000000"/>
      <w:kern w:val="2"/>
      <w:sz w:val="32"/>
      <w:szCs w:val="32"/>
      <w:lang w:val="en-US" w:eastAsia="zh-CN" w:bidi="ar-SA"/>
    </w:rPr>
  </w:style>
  <w:style w:type="character" w:styleId="140">
    <w:name w:val="HTML Definition"/>
    <w:qFormat/>
    <w:uiPriority w:val="0"/>
    <w:rPr>
      <w:i/>
      <w:iCs/>
    </w:rPr>
  </w:style>
  <w:style w:type="character" w:styleId="141">
    <w:name w:val="HTML Typewriter"/>
    <w:qFormat/>
    <w:uiPriority w:val="0"/>
    <w:rPr>
      <w:rFonts w:ascii="Courier New" w:hAnsi="Courier New" w:cs="Courier New"/>
      <w:sz w:val="20"/>
      <w:szCs w:val="20"/>
    </w:rPr>
  </w:style>
  <w:style w:type="character" w:styleId="142">
    <w:name w:val="HTML Acronym"/>
    <w:qFormat/>
    <w:uiPriority w:val="0"/>
    <w:rPr>
      <w:rFonts w:eastAsia="黑体" w:cs="宋体"/>
      <w:color w:val="000000"/>
      <w:kern w:val="2"/>
      <w:sz w:val="32"/>
      <w:szCs w:val="32"/>
      <w:lang w:val="en-US" w:eastAsia="zh-CN" w:bidi="ar-SA"/>
    </w:rPr>
  </w:style>
  <w:style w:type="character" w:styleId="143">
    <w:name w:val="HTML Variable"/>
    <w:qFormat/>
    <w:uiPriority w:val="0"/>
    <w:rPr>
      <w:i/>
      <w:iCs/>
    </w:rPr>
  </w:style>
  <w:style w:type="character" w:styleId="144">
    <w:name w:val="Hyperlink"/>
    <w:qFormat/>
    <w:uiPriority w:val="99"/>
    <w:rPr>
      <w:rFonts w:eastAsia="黑体" w:cs="宋体"/>
      <w:b/>
      <w:bCs/>
      <w:color w:val="0000FF"/>
      <w:kern w:val="2"/>
      <w:sz w:val="32"/>
      <w:szCs w:val="32"/>
      <w:u w:val="single"/>
      <w:lang w:val="en-US" w:eastAsia="zh-CN" w:bidi="ar-SA"/>
    </w:rPr>
  </w:style>
  <w:style w:type="character" w:styleId="145">
    <w:name w:val="HTML Code"/>
    <w:qFormat/>
    <w:uiPriority w:val="0"/>
    <w:rPr>
      <w:rFonts w:ascii="Courier New" w:hAnsi="Courier New" w:eastAsia="黑体" w:cs="Courier New"/>
      <w:b/>
      <w:bCs/>
      <w:color w:val="000000"/>
      <w:kern w:val="2"/>
      <w:sz w:val="20"/>
      <w:szCs w:val="20"/>
      <w:lang w:val="en-US" w:eastAsia="zh-CN" w:bidi="ar-SA"/>
    </w:rPr>
  </w:style>
  <w:style w:type="character" w:styleId="146">
    <w:name w:val="annotation reference"/>
    <w:qFormat/>
    <w:uiPriority w:val="99"/>
    <w:rPr>
      <w:sz w:val="21"/>
      <w:szCs w:val="21"/>
    </w:rPr>
  </w:style>
  <w:style w:type="character" w:styleId="147">
    <w:name w:val="HTML Cite"/>
    <w:qFormat/>
    <w:uiPriority w:val="0"/>
    <w:rPr>
      <w:i/>
      <w:iCs/>
    </w:rPr>
  </w:style>
  <w:style w:type="character" w:styleId="148">
    <w:name w:val="footnote reference"/>
    <w:qFormat/>
    <w:uiPriority w:val="0"/>
    <w:rPr>
      <w:vertAlign w:val="superscript"/>
    </w:rPr>
  </w:style>
  <w:style w:type="character" w:styleId="149">
    <w:name w:val="HTML Keyboard"/>
    <w:qFormat/>
    <w:uiPriority w:val="0"/>
    <w:rPr>
      <w:rFonts w:ascii="Courier New" w:hAnsi="Courier New" w:eastAsia="黑体" w:cs="Courier New"/>
      <w:b/>
      <w:bCs/>
      <w:color w:val="000000"/>
      <w:kern w:val="2"/>
      <w:sz w:val="20"/>
      <w:szCs w:val="20"/>
      <w:lang w:val="en-US" w:eastAsia="zh-CN" w:bidi="ar-SA"/>
    </w:rPr>
  </w:style>
  <w:style w:type="character" w:styleId="150">
    <w:name w:val="HTML Sample"/>
    <w:qFormat/>
    <w:uiPriority w:val="0"/>
    <w:rPr>
      <w:rFonts w:ascii="Courier New" w:hAnsi="Courier New" w:cs="Courier New"/>
    </w:rPr>
  </w:style>
  <w:style w:type="character" w:customStyle="1" w:styleId="151">
    <w:name w:val="标题 2 Char"/>
    <w:qFormat/>
    <w:uiPriority w:val="0"/>
    <w:rPr>
      <w:rFonts w:ascii="Arial" w:hAnsi="Arial" w:eastAsia="黑体" w:cs="宋体"/>
      <w:b/>
      <w:bCs/>
      <w:color w:val="000000"/>
      <w:kern w:val="2"/>
      <w:sz w:val="32"/>
      <w:szCs w:val="32"/>
      <w:lang w:val="en-US" w:eastAsia="zh-CN" w:bidi="ar-SA"/>
    </w:rPr>
  </w:style>
  <w:style w:type="character" w:customStyle="1" w:styleId="152">
    <w:name w:val="标题 1 字符2"/>
    <w:link w:val="3"/>
    <w:qFormat/>
    <w:uiPriority w:val="9"/>
    <w:rPr>
      <w:rFonts w:eastAsia="黑体"/>
      <w:b/>
      <w:kern w:val="2"/>
      <w:sz w:val="36"/>
      <w:szCs w:val="36"/>
    </w:rPr>
  </w:style>
  <w:style w:type="character" w:customStyle="1" w:styleId="153">
    <w:name w:val="标题 2 字符2"/>
    <w:link w:val="4"/>
    <w:qFormat/>
    <w:uiPriority w:val="9"/>
    <w:rPr>
      <w:rFonts w:eastAsia="黑体"/>
      <w:b/>
      <w:bCs/>
      <w:kern w:val="2"/>
      <w:sz w:val="32"/>
      <w:szCs w:val="30"/>
    </w:rPr>
  </w:style>
  <w:style w:type="character" w:customStyle="1" w:styleId="154">
    <w:name w:val="标题 3 字符3"/>
    <w:link w:val="5"/>
    <w:qFormat/>
    <w:locked/>
    <w:uiPriority w:val="9"/>
    <w:rPr>
      <w:rFonts w:eastAsia="黑体"/>
      <w:b/>
      <w:bCs/>
      <w:kern w:val="2"/>
      <w:sz w:val="30"/>
      <w:szCs w:val="28"/>
    </w:rPr>
  </w:style>
  <w:style w:type="character" w:customStyle="1" w:styleId="155">
    <w:name w:val="正文缩进 字符1"/>
    <w:link w:val="7"/>
    <w:qFormat/>
    <w:uiPriority w:val="0"/>
    <w:rPr>
      <w:b/>
      <w:color w:val="000000" w:themeColor="text1"/>
      <w:kern w:val="2"/>
      <w:sz w:val="24"/>
      <w:szCs w:val="24"/>
      <w14:textFill>
        <w14:solidFill>
          <w14:schemeClr w14:val="tx1"/>
        </w14:solidFill>
      </w14:textFill>
    </w:rPr>
  </w:style>
  <w:style w:type="character" w:customStyle="1" w:styleId="156">
    <w:name w:val="标题 4 字符3"/>
    <w:link w:val="6"/>
    <w:qFormat/>
    <w:locked/>
    <w:uiPriority w:val="9"/>
    <w:rPr>
      <w:b/>
      <w:bCs/>
      <w:kern w:val="2"/>
      <w:sz w:val="28"/>
      <w:szCs w:val="28"/>
    </w:rPr>
  </w:style>
  <w:style w:type="character" w:customStyle="1" w:styleId="157">
    <w:name w:val="标题 5 字符2"/>
    <w:link w:val="8"/>
    <w:qFormat/>
    <w:locked/>
    <w:uiPriority w:val="9"/>
    <w:rPr>
      <w:b/>
      <w:kern w:val="2"/>
      <w:sz w:val="24"/>
      <w:szCs w:val="24"/>
      <w:lang w:bidi="zh-CN"/>
    </w:rPr>
  </w:style>
  <w:style w:type="character" w:customStyle="1" w:styleId="158">
    <w:name w:val="标题 6 字符2"/>
    <w:link w:val="9"/>
    <w:qFormat/>
    <w:locked/>
    <w:uiPriority w:val="9"/>
    <w:rPr>
      <w:rFonts w:ascii="Arial" w:hAnsi="Arial" w:eastAsia="黑体" w:cs="宋体"/>
      <w:b/>
      <w:bCs/>
      <w:color w:val="000000"/>
      <w:kern w:val="2"/>
      <w:sz w:val="24"/>
      <w:szCs w:val="24"/>
      <w:lang w:val="en-US" w:eastAsia="zh-CN" w:bidi="ar-SA"/>
    </w:rPr>
  </w:style>
  <w:style w:type="paragraph" w:customStyle="1" w:styleId="159">
    <w:name w:val="Char Char1"/>
    <w:basedOn w:val="1"/>
    <w:qFormat/>
    <w:uiPriority w:val="0"/>
    <w:pPr>
      <w:spacing w:line="480" w:lineRule="auto"/>
    </w:pPr>
    <w:rPr>
      <w:rFonts w:eastAsia="黑体" w:cs="宋体"/>
      <w:sz w:val="32"/>
      <w:szCs w:val="32"/>
    </w:rPr>
  </w:style>
  <w:style w:type="character" w:customStyle="1" w:styleId="160">
    <w:name w:val="正文文本缩进 字符2"/>
    <w:link w:val="35"/>
    <w:qFormat/>
    <w:locked/>
    <w:uiPriority w:val="0"/>
    <w:rPr>
      <w:rFonts w:ascii="宋体" w:hAnsi="宋体" w:eastAsia="宋体" w:cs="宋体"/>
      <w:b/>
      <w:bCs/>
      <w:color w:val="000000"/>
      <w:kern w:val="2"/>
      <w:sz w:val="24"/>
      <w:szCs w:val="24"/>
      <w:lang w:val="en-US" w:eastAsia="zh-CN" w:bidi="ar-SA"/>
    </w:rPr>
  </w:style>
  <w:style w:type="character" w:customStyle="1" w:styleId="161">
    <w:name w:val="正文文本缩进 2 字符2"/>
    <w:link w:val="51"/>
    <w:qFormat/>
    <w:uiPriority w:val="0"/>
    <w:rPr>
      <w:rFonts w:ascii="宋体" w:hAnsi="宋体" w:eastAsia="宋体" w:cs="宋体"/>
      <w:b/>
      <w:bCs/>
      <w:color w:val="000000"/>
      <w:kern w:val="2"/>
      <w:sz w:val="24"/>
      <w:szCs w:val="24"/>
      <w:lang w:val="en-US" w:eastAsia="zh-CN" w:bidi="ar-SA"/>
    </w:rPr>
  </w:style>
  <w:style w:type="character" w:customStyle="1" w:styleId="162">
    <w:name w:val="页眉 字符2"/>
    <w:link w:val="57"/>
    <w:qFormat/>
    <w:uiPriority w:val="99"/>
    <w:rPr>
      <w:rFonts w:eastAsia="宋体" w:cs="宋体"/>
      <w:b/>
      <w:bCs/>
      <w:color w:val="000000"/>
      <w:kern w:val="2"/>
      <w:sz w:val="18"/>
      <w:szCs w:val="18"/>
      <w:lang w:val="en-US" w:eastAsia="zh-CN" w:bidi="ar-SA"/>
    </w:rPr>
  </w:style>
  <w:style w:type="character" w:customStyle="1" w:styleId="163">
    <w:name w:val="页脚 字符2"/>
    <w:link w:val="55"/>
    <w:qFormat/>
    <w:locked/>
    <w:uiPriority w:val="99"/>
    <w:rPr>
      <w:rFonts w:eastAsia="宋体" w:cs="宋体"/>
      <w:b/>
      <w:bCs/>
      <w:color w:val="000000"/>
      <w:kern w:val="2"/>
      <w:sz w:val="18"/>
      <w:szCs w:val="18"/>
      <w:lang w:val="en-US" w:eastAsia="zh-CN" w:bidi="ar-SA"/>
    </w:rPr>
  </w:style>
  <w:style w:type="paragraph" w:customStyle="1" w:styleId="164">
    <w:name w:val="xl28"/>
    <w:basedOn w:val="1"/>
    <w:link w:val="3003"/>
    <w:qFormat/>
    <w:uiPriority w:val="0"/>
    <w:pPr>
      <w:widowControl/>
      <w:pBdr>
        <w:left w:val="single" w:color="auto" w:sz="4" w:space="0"/>
        <w:right w:val="single" w:color="auto" w:sz="4" w:space="0"/>
      </w:pBdr>
      <w:spacing w:before="100" w:beforeAutospacing="1" w:after="100" w:afterAutospacing="1"/>
      <w:jc w:val="center"/>
    </w:pPr>
    <w:rPr>
      <w:rFonts w:hAnsi="宋体"/>
      <w:kern w:val="0"/>
      <w:sz w:val="18"/>
      <w:szCs w:val="18"/>
    </w:rPr>
  </w:style>
  <w:style w:type="character" w:customStyle="1" w:styleId="165">
    <w:name w:val="正文文本 字符2"/>
    <w:link w:val="34"/>
    <w:qFormat/>
    <w:locked/>
    <w:uiPriority w:val="0"/>
    <w:rPr>
      <w:rFonts w:eastAsia="宋体" w:cs="宋体"/>
      <w:b/>
      <w:bCs/>
      <w:color w:val="000000"/>
      <w:kern w:val="2"/>
      <w:sz w:val="18"/>
      <w:szCs w:val="24"/>
      <w:lang w:val="en-US" w:eastAsia="zh-CN" w:bidi="ar-SA"/>
    </w:rPr>
  </w:style>
  <w:style w:type="character" w:customStyle="1" w:styleId="166">
    <w:name w:val="正文文本 2 字符2"/>
    <w:link w:val="76"/>
    <w:qFormat/>
    <w:locked/>
    <w:uiPriority w:val="0"/>
    <w:rPr>
      <w:rFonts w:eastAsia="宋体" w:cs="宋体"/>
      <w:b/>
      <w:bCs/>
      <w:color w:val="000000"/>
      <w:kern w:val="2"/>
      <w:sz w:val="21"/>
      <w:szCs w:val="24"/>
      <w:lang w:val="en-US" w:eastAsia="zh-CN" w:bidi="ar-SA"/>
    </w:rPr>
  </w:style>
  <w:style w:type="paragraph" w:customStyle="1" w:styleId="167">
    <w:name w:val="xl27"/>
    <w:basedOn w:val="1"/>
    <w:qFormat/>
    <w:uiPriority w:val="0"/>
    <w:pPr>
      <w:widowControl/>
      <w:pBdr>
        <w:left w:val="single" w:color="auto" w:sz="4" w:space="0"/>
        <w:right w:val="single" w:color="auto" w:sz="4" w:space="0"/>
      </w:pBdr>
      <w:spacing w:before="100" w:beforeAutospacing="1" w:after="100" w:afterAutospacing="1"/>
      <w:jc w:val="center"/>
      <w:textAlignment w:val="center"/>
    </w:pPr>
    <w:rPr>
      <w:rFonts w:hint="eastAsia" w:ascii="宋体" w:hAnsi="宋体"/>
      <w:kern w:val="0"/>
    </w:rPr>
  </w:style>
  <w:style w:type="paragraph" w:customStyle="1" w:styleId="168">
    <w:name w:val="xl30"/>
    <w:basedOn w:val="1"/>
    <w:qFormat/>
    <w:uiPriority w:val="0"/>
    <w:pPr>
      <w:widowControl/>
      <w:spacing w:before="100" w:beforeAutospacing="1" w:after="100" w:afterAutospacing="1"/>
      <w:jc w:val="center"/>
      <w:textAlignment w:val="center"/>
    </w:pPr>
    <w:rPr>
      <w:rFonts w:hint="eastAsia" w:ascii="宋体" w:hAnsi="宋体"/>
      <w:kern w:val="0"/>
      <w:sz w:val="28"/>
      <w:szCs w:val="28"/>
    </w:rPr>
  </w:style>
  <w:style w:type="character" w:customStyle="1" w:styleId="169">
    <w:name w:val="纯文本 字符3"/>
    <w:link w:val="45"/>
    <w:qFormat/>
    <w:uiPriority w:val="0"/>
    <w:rPr>
      <w:rFonts w:ascii="宋体" w:hAnsi="Courier New" w:eastAsia="黑体" w:cs="宋体"/>
      <w:b/>
      <w:bCs/>
      <w:color w:val="000000"/>
      <w:kern w:val="2"/>
      <w:sz w:val="21"/>
      <w:szCs w:val="24"/>
      <w:lang w:val="en-US" w:eastAsia="zh-CN" w:bidi="ar-SA"/>
    </w:rPr>
  </w:style>
  <w:style w:type="character" w:customStyle="1" w:styleId="170">
    <w:name w:val="普通(网站) 字符2"/>
    <w:link w:val="81"/>
    <w:qFormat/>
    <w:locked/>
    <w:uiPriority w:val="0"/>
    <w:rPr>
      <w:rFonts w:ascii="宋体" w:hAnsi="宋体" w:eastAsia="宋体" w:cs="宋体"/>
      <w:b/>
      <w:bCs/>
      <w:color w:val="000000"/>
      <w:kern w:val="2"/>
      <w:sz w:val="24"/>
      <w:szCs w:val="24"/>
      <w:lang w:val="en-US" w:eastAsia="zh-CN" w:bidi="ar-SA"/>
    </w:rPr>
  </w:style>
  <w:style w:type="character" w:customStyle="1" w:styleId="171">
    <w:name w:val="日期 字符2"/>
    <w:link w:val="50"/>
    <w:qFormat/>
    <w:locked/>
    <w:uiPriority w:val="0"/>
    <w:rPr>
      <w:rFonts w:eastAsia="宋体" w:cs="宋体"/>
      <w:b/>
      <w:bCs/>
      <w:color w:val="000000"/>
      <w:kern w:val="2"/>
      <w:sz w:val="21"/>
      <w:szCs w:val="24"/>
      <w:lang w:val="en-US" w:eastAsia="zh-CN" w:bidi="ar-SA"/>
    </w:rPr>
  </w:style>
  <w:style w:type="paragraph" w:customStyle="1" w:styleId="172">
    <w:name w:val="小表"/>
    <w:basedOn w:val="1"/>
    <w:qFormat/>
    <w:uiPriority w:val="0"/>
    <w:pPr>
      <w:overflowPunct w:val="0"/>
      <w:autoSpaceDE w:val="0"/>
      <w:autoSpaceDN w:val="0"/>
      <w:adjustRightInd w:val="0"/>
      <w:jc w:val="center"/>
      <w:textAlignment w:val="bottom"/>
    </w:pPr>
    <w:rPr>
      <w:kern w:val="0"/>
      <w:sz w:val="21"/>
    </w:rPr>
  </w:style>
  <w:style w:type="paragraph" w:customStyle="1" w:styleId="173">
    <w:name w:val="表格内容nlw"/>
    <w:basedOn w:val="66"/>
    <w:link w:val="174"/>
    <w:qFormat/>
    <w:uiPriority w:val="0"/>
    <w:pPr>
      <w:spacing w:line="300" w:lineRule="exact"/>
      <w:ind w:left="0" w:firstLine="0" w:firstLineChars="0"/>
      <w:jc w:val="center"/>
    </w:pPr>
    <w:rPr>
      <w:sz w:val="21"/>
    </w:rPr>
  </w:style>
  <w:style w:type="character" w:customStyle="1" w:styleId="174">
    <w:name w:val="表格内容nlw Char"/>
    <w:link w:val="173"/>
    <w:qFormat/>
    <w:uiPriority w:val="0"/>
    <w:rPr>
      <w:kern w:val="2"/>
      <w:sz w:val="21"/>
      <w:szCs w:val="24"/>
    </w:rPr>
  </w:style>
  <w:style w:type="paragraph" w:customStyle="1" w:styleId="175">
    <w:name w:val="样式 标题 1标题 11 + (中文) 黑体 三号 加粗 行距: 固定值 12 磅"/>
    <w:basedOn w:val="3"/>
    <w:qFormat/>
    <w:uiPriority w:val="0"/>
    <w:pPr>
      <w:numPr>
        <w:numId w:val="0"/>
      </w:numPr>
      <w:spacing w:line="360" w:lineRule="auto"/>
    </w:pPr>
    <w:rPr>
      <w:rFonts w:cs="宋体"/>
      <w:b w:val="0"/>
      <w:bCs/>
      <w:sz w:val="32"/>
      <w:szCs w:val="32"/>
    </w:rPr>
  </w:style>
  <w:style w:type="paragraph" w:customStyle="1" w:styleId="176">
    <w:name w:val="样式 标题 2 + 字距调整二号"/>
    <w:basedOn w:val="4"/>
    <w:link w:val="177"/>
    <w:qFormat/>
    <w:uiPriority w:val="0"/>
    <w:rPr>
      <w:kern w:val="44"/>
      <w:sz w:val="30"/>
    </w:rPr>
  </w:style>
  <w:style w:type="character" w:customStyle="1" w:styleId="177">
    <w:name w:val="样式 标题 2 + 字距调整二号 Char"/>
    <w:link w:val="176"/>
    <w:qFormat/>
    <w:uiPriority w:val="0"/>
    <w:rPr>
      <w:rFonts w:eastAsia="黑体"/>
      <w:b/>
      <w:bCs/>
      <w:kern w:val="44"/>
      <w:sz w:val="30"/>
      <w:szCs w:val="30"/>
    </w:rPr>
  </w:style>
  <w:style w:type="paragraph" w:customStyle="1" w:styleId="178">
    <w:name w:val="样式1"/>
    <w:basedOn w:val="175"/>
    <w:link w:val="179"/>
    <w:qFormat/>
    <w:uiPriority w:val="0"/>
  </w:style>
  <w:style w:type="character" w:customStyle="1" w:styleId="179">
    <w:name w:val="样式1 Char"/>
    <w:link w:val="178"/>
    <w:qFormat/>
    <w:uiPriority w:val="0"/>
    <w:rPr>
      <w:rFonts w:eastAsia="黑体" w:cs="宋体"/>
      <w:b/>
      <w:bCs/>
      <w:color w:val="000000"/>
      <w:kern w:val="2"/>
      <w:sz w:val="32"/>
      <w:szCs w:val="32"/>
      <w:lang w:val="en-US" w:eastAsia="zh-CN" w:bidi="ar-SA"/>
    </w:rPr>
  </w:style>
  <w:style w:type="paragraph" w:customStyle="1" w:styleId="180">
    <w:name w:val="样式2"/>
    <w:basedOn w:val="175"/>
    <w:link w:val="181"/>
    <w:qFormat/>
    <w:uiPriority w:val="0"/>
    <w:pPr>
      <w:spacing w:line="240" w:lineRule="auto"/>
    </w:pPr>
    <w:rPr>
      <w:sz w:val="30"/>
      <w:szCs w:val="30"/>
    </w:rPr>
  </w:style>
  <w:style w:type="character" w:customStyle="1" w:styleId="181">
    <w:name w:val="样式2 Char"/>
    <w:link w:val="180"/>
    <w:qFormat/>
    <w:uiPriority w:val="0"/>
    <w:rPr>
      <w:rFonts w:eastAsia="黑体" w:cs="宋体"/>
      <w:b/>
      <w:bCs/>
      <w:color w:val="000000"/>
      <w:kern w:val="2"/>
      <w:sz w:val="30"/>
      <w:szCs w:val="30"/>
      <w:lang w:val="en-US" w:eastAsia="zh-CN" w:bidi="ar-SA"/>
    </w:rPr>
  </w:style>
  <w:style w:type="paragraph" w:customStyle="1" w:styleId="182">
    <w:name w:val="样式3"/>
    <w:basedOn w:val="4"/>
    <w:next w:val="1"/>
    <w:link w:val="183"/>
    <w:qFormat/>
    <w:uiPriority w:val="0"/>
  </w:style>
  <w:style w:type="character" w:customStyle="1" w:styleId="183">
    <w:name w:val="样式3 Char"/>
    <w:link w:val="182"/>
    <w:qFormat/>
    <w:locked/>
    <w:uiPriority w:val="0"/>
    <w:rPr>
      <w:rFonts w:eastAsia="黑体"/>
      <w:b/>
      <w:bCs/>
      <w:kern w:val="2"/>
      <w:sz w:val="32"/>
      <w:szCs w:val="30"/>
    </w:rPr>
  </w:style>
  <w:style w:type="paragraph" w:customStyle="1" w:styleId="184">
    <w:name w:val="我的正文"/>
    <w:basedOn w:val="1"/>
    <w:link w:val="185"/>
    <w:qFormat/>
    <w:uiPriority w:val="0"/>
    <w:pPr>
      <w:ind w:firstLine="538" w:firstLineChars="192"/>
    </w:pPr>
  </w:style>
  <w:style w:type="character" w:customStyle="1" w:styleId="185">
    <w:name w:val="我的正文 Char"/>
    <w:link w:val="184"/>
    <w:qFormat/>
    <w:locked/>
    <w:uiPriority w:val="0"/>
    <w:rPr>
      <w:rFonts w:eastAsia="宋体" w:cs="宋体"/>
      <w:b/>
      <w:bCs/>
      <w:color w:val="000000"/>
      <w:kern w:val="2"/>
      <w:sz w:val="24"/>
      <w:szCs w:val="24"/>
      <w:lang w:val="en-US" w:eastAsia="zh-CN" w:bidi="ar-SA"/>
    </w:rPr>
  </w:style>
  <w:style w:type="paragraph" w:customStyle="1" w:styleId="186">
    <w:name w:val="Char3"/>
    <w:basedOn w:val="1"/>
    <w:qFormat/>
    <w:uiPriority w:val="0"/>
    <w:pPr>
      <w:spacing w:line="360" w:lineRule="auto"/>
      <w:ind w:firstLine="200" w:firstLineChars="200"/>
    </w:pPr>
    <w:rPr>
      <w:rFonts w:ascii="宋体" w:hAnsi="宋体" w:cs="宋体"/>
    </w:rPr>
  </w:style>
  <w:style w:type="paragraph" w:customStyle="1" w:styleId="187">
    <w:name w:val="首行缩进:  2 字符"/>
    <w:basedOn w:val="1"/>
    <w:next w:val="1"/>
    <w:link w:val="188"/>
    <w:qFormat/>
    <w:uiPriority w:val="0"/>
    <w:pPr>
      <w:autoSpaceDE w:val="0"/>
      <w:autoSpaceDN w:val="0"/>
      <w:adjustRightInd w:val="0"/>
      <w:spacing w:before="60" w:after="60"/>
      <w:jc w:val="left"/>
    </w:pPr>
    <w:rPr>
      <w:rFonts w:ascii="宋体"/>
      <w:kern w:val="0"/>
    </w:rPr>
  </w:style>
  <w:style w:type="character" w:customStyle="1" w:styleId="188">
    <w:name w:val="首行缩进:  2 字符 Char"/>
    <w:link w:val="187"/>
    <w:qFormat/>
    <w:uiPriority w:val="0"/>
    <w:rPr>
      <w:rFonts w:ascii="宋体" w:eastAsia="宋体" w:cs="宋体"/>
      <w:b/>
      <w:bCs/>
      <w:color w:val="000000"/>
      <w:kern w:val="2"/>
      <w:sz w:val="24"/>
      <w:szCs w:val="24"/>
      <w:lang w:val="en-US" w:eastAsia="zh-CN" w:bidi="ar-SA"/>
    </w:rPr>
  </w:style>
  <w:style w:type="paragraph" w:customStyle="1" w:styleId="189">
    <w:name w:val="样式4"/>
    <w:basedOn w:val="34"/>
    <w:link w:val="190"/>
    <w:qFormat/>
    <w:uiPriority w:val="0"/>
    <w:pPr>
      <w:tabs>
        <w:tab w:val="left" w:pos="1820"/>
      </w:tabs>
      <w:snapToGrid w:val="0"/>
      <w:spacing w:line="240" w:lineRule="atLeast"/>
      <w:jc w:val="center"/>
    </w:pPr>
    <w:rPr>
      <w:rFonts w:eastAsia="幼圆"/>
      <w:kern w:val="0"/>
      <w:sz w:val="24"/>
    </w:rPr>
  </w:style>
  <w:style w:type="character" w:customStyle="1" w:styleId="190">
    <w:name w:val="样式4 Char"/>
    <w:link w:val="189"/>
    <w:qFormat/>
    <w:locked/>
    <w:uiPriority w:val="0"/>
    <w:rPr>
      <w:rFonts w:eastAsia="幼圆" w:cs="宋体"/>
      <w:b/>
      <w:bCs/>
      <w:color w:val="000000"/>
      <w:kern w:val="2"/>
      <w:sz w:val="24"/>
      <w:szCs w:val="24"/>
      <w:lang w:val="en-US" w:eastAsia="zh-CN" w:bidi="ar-SA"/>
    </w:rPr>
  </w:style>
  <w:style w:type="paragraph" w:customStyle="1" w:styleId="191">
    <w:name w:val="正文1"/>
    <w:basedOn w:val="45"/>
    <w:qFormat/>
    <w:uiPriority w:val="0"/>
    <w:pPr>
      <w:adjustRightInd/>
      <w:spacing w:line="240" w:lineRule="auto"/>
      <w:jc w:val="center"/>
      <w:textAlignment w:val="auto"/>
    </w:pPr>
    <w:rPr>
      <w:rFonts w:hAnsi="宋体"/>
      <w:kern w:val="2"/>
      <w:sz w:val="24"/>
    </w:rPr>
  </w:style>
  <w:style w:type="paragraph" w:customStyle="1" w:styleId="192">
    <w:name w:val="1"/>
    <w:basedOn w:val="1"/>
    <w:next w:val="35"/>
    <w:qFormat/>
    <w:uiPriority w:val="0"/>
    <w:pPr>
      <w:spacing w:line="460" w:lineRule="exact"/>
      <w:ind w:firstLine="570"/>
    </w:pPr>
    <w:rPr>
      <w:rFonts w:ascii="宋体"/>
      <w:sz w:val="28"/>
    </w:rPr>
  </w:style>
  <w:style w:type="character" w:customStyle="1" w:styleId="193">
    <w:name w:val="正文文本首行缩进 字符"/>
    <w:link w:val="86"/>
    <w:qFormat/>
    <w:locked/>
    <w:uiPriority w:val="0"/>
    <w:rPr>
      <w:rFonts w:eastAsia="宋体" w:cs="宋体"/>
      <w:b/>
      <w:bCs/>
      <w:color w:val="000000"/>
      <w:kern w:val="2"/>
      <w:sz w:val="28"/>
      <w:szCs w:val="24"/>
      <w:lang w:val="en-US" w:eastAsia="zh-CN" w:bidi="ar-SA"/>
    </w:rPr>
  </w:style>
  <w:style w:type="paragraph" w:customStyle="1" w:styleId="194">
    <w:name w:val="正文+首行缩进"/>
    <w:basedOn w:val="1"/>
    <w:qFormat/>
    <w:uiPriority w:val="0"/>
    <w:pPr>
      <w:overflowPunct w:val="0"/>
      <w:topLinePunct/>
      <w:adjustRightInd w:val="0"/>
      <w:spacing w:line="460" w:lineRule="atLeast"/>
      <w:ind w:firstLine="200" w:firstLineChars="200"/>
      <w:jc w:val="left"/>
      <w:textAlignment w:val="baseline"/>
    </w:pPr>
    <w:rPr>
      <w:kern w:val="0"/>
      <w:sz w:val="28"/>
    </w:rPr>
  </w:style>
  <w:style w:type="paragraph" w:customStyle="1" w:styleId="195">
    <w:name w:val="表格文字"/>
    <w:basedOn w:val="1"/>
    <w:link w:val="652"/>
    <w:qFormat/>
    <w:uiPriority w:val="0"/>
    <w:pPr>
      <w:overflowPunct w:val="0"/>
      <w:topLinePunct/>
      <w:adjustRightInd w:val="0"/>
      <w:spacing w:line="460" w:lineRule="atLeast"/>
      <w:jc w:val="center"/>
      <w:textAlignment w:val="baseline"/>
    </w:pPr>
    <w:rPr>
      <w:kern w:val="0"/>
      <w:szCs w:val="21"/>
    </w:rPr>
  </w:style>
  <w:style w:type="paragraph" w:customStyle="1" w:styleId="196">
    <w:name w:val="样式 正文首行缩进 +"/>
    <w:basedOn w:val="86"/>
    <w:qFormat/>
    <w:uiPriority w:val="0"/>
    <w:pPr>
      <w:adjustRightInd/>
      <w:spacing w:line="500" w:lineRule="atLeast"/>
      <w:ind w:firstLine="539"/>
      <w:jc w:val="left"/>
    </w:pPr>
    <w:rPr>
      <w:rFonts w:ascii="宋体" w:hAnsi="宋体"/>
      <w:szCs w:val="20"/>
    </w:rPr>
  </w:style>
  <w:style w:type="paragraph" w:customStyle="1" w:styleId="197">
    <w:name w:val="样式 样式 正文首行缩进 + +"/>
    <w:basedOn w:val="196"/>
    <w:qFormat/>
    <w:uiPriority w:val="0"/>
  </w:style>
  <w:style w:type="paragraph" w:customStyle="1" w:styleId="198">
    <w:name w:val="表格小四"/>
    <w:basedOn w:val="195"/>
    <w:qFormat/>
    <w:uiPriority w:val="0"/>
    <w:pPr>
      <w:overflowPunct/>
      <w:topLinePunct w:val="0"/>
      <w:snapToGrid w:val="0"/>
      <w:spacing w:line="480" w:lineRule="exact"/>
      <w:jc w:val="both"/>
      <w:textAlignment w:val="auto"/>
    </w:pPr>
    <w:rPr>
      <w:rFonts w:ascii="宋体" w:hAnsi="宋体"/>
      <w:kern w:val="2"/>
      <w:szCs w:val="24"/>
    </w:rPr>
  </w:style>
  <w:style w:type="paragraph" w:customStyle="1" w:styleId="199">
    <w:name w:val="项目编号"/>
    <w:basedOn w:val="86"/>
    <w:qFormat/>
    <w:uiPriority w:val="0"/>
    <w:pPr>
      <w:tabs>
        <w:tab w:val="left" w:pos="810"/>
      </w:tabs>
      <w:adjustRightInd/>
      <w:spacing w:line="500" w:lineRule="atLeast"/>
      <w:ind w:left="810" w:hanging="810" w:firstLineChars="0"/>
      <w:jc w:val="left"/>
    </w:pPr>
    <w:rPr>
      <w:rFonts w:ascii="宋体" w:hAnsi="宋体"/>
      <w:szCs w:val="28"/>
    </w:rPr>
  </w:style>
  <w:style w:type="paragraph" w:customStyle="1" w:styleId="200">
    <w:name w:val="样式 表格小四 + 字距调整二号"/>
    <w:basedOn w:val="198"/>
    <w:qFormat/>
    <w:uiPriority w:val="0"/>
    <w:pPr>
      <w:spacing w:line="400" w:lineRule="exact"/>
    </w:pPr>
    <w:rPr>
      <w:kern w:val="44"/>
    </w:rPr>
  </w:style>
  <w:style w:type="paragraph" w:customStyle="1" w:styleId="201">
    <w:name w:val="表头四号 + 段前: 0.5 行 + 段前: 0.5 行"/>
    <w:basedOn w:val="1"/>
    <w:qFormat/>
    <w:uiPriority w:val="0"/>
    <w:pPr>
      <w:adjustRightInd w:val="0"/>
      <w:snapToGrid w:val="0"/>
      <w:spacing w:before="25" w:beforeLines="25" w:line="500" w:lineRule="atLeast"/>
    </w:pPr>
    <w:rPr>
      <w:rFonts w:ascii="宋体" w:hAnsi="宋体"/>
      <w:b/>
      <w:bCs/>
      <w:sz w:val="28"/>
    </w:rPr>
  </w:style>
  <w:style w:type="paragraph" w:customStyle="1" w:styleId="202">
    <w:name w:val="表格五号"/>
    <w:basedOn w:val="1"/>
    <w:qFormat/>
    <w:uiPriority w:val="0"/>
    <w:pPr>
      <w:adjustRightInd w:val="0"/>
      <w:snapToGrid w:val="0"/>
    </w:pPr>
    <w:rPr>
      <w:rFonts w:ascii="宋体" w:hAnsi="宋体"/>
      <w:szCs w:val="21"/>
    </w:rPr>
  </w:style>
  <w:style w:type="paragraph" w:customStyle="1" w:styleId="203">
    <w:name w:val="样式 表格五号 + 黑色 居中"/>
    <w:basedOn w:val="202"/>
    <w:qFormat/>
    <w:uiPriority w:val="0"/>
    <w:pPr>
      <w:spacing w:line="360" w:lineRule="auto"/>
      <w:jc w:val="center"/>
    </w:pPr>
    <w:rPr>
      <w:color w:val="000000"/>
      <w:szCs w:val="20"/>
    </w:rPr>
  </w:style>
  <w:style w:type="character" w:customStyle="1" w:styleId="204">
    <w:name w:val="标题 1 Char"/>
    <w:qFormat/>
    <w:uiPriority w:val="0"/>
    <w:rPr>
      <w:rFonts w:ascii="宋体" w:hAnsi="宋体" w:eastAsia="黑体" w:cs="宋体"/>
      <w:b/>
      <w:bCs/>
      <w:color w:val="000000"/>
      <w:kern w:val="44"/>
      <w:sz w:val="44"/>
      <w:szCs w:val="44"/>
      <w:lang w:val="en-US" w:eastAsia="zh-CN" w:bidi="ar-SA"/>
    </w:rPr>
  </w:style>
  <w:style w:type="character" w:customStyle="1" w:styleId="205">
    <w:name w:val="正文首行缩进 Char"/>
    <w:qFormat/>
    <w:uiPriority w:val="0"/>
    <w:rPr>
      <w:rFonts w:ascii="宋体" w:hAnsi="宋体" w:eastAsia="宋体" w:cs="宋体"/>
      <w:b/>
      <w:bCs/>
      <w:color w:val="000000"/>
      <w:kern w:val="2"/>
      <w:sz w:val="28"/>
      <w:szCs w:val="28"/>
      <w:lang w:val="en-US" w:eastAsia="zh-CN" w:bidi="ar-SA"/>
    </w:rPr>
  </w:style>
  <w:style w:type="character" w:customStyle="1" w:styleId="206">
    <w:name w:val="条标题1.1.1 Char"/>
    <w:link w:val="207"/>
    <w:qFormat/>
    <w:uiPriority w:val="0"/>
    <w:rPr>
      <w:rFonts w:ascii="宋体" w:hAnsi="宋体" w:eastAsia="宋体" w:cs="宋体"/>
      <w:b/>
      <w:bCs/>
      <w:color w:val="000000"/>
      <w:kern w:val="2"/>
      <w:sz w:val="28"/>
      <w:szCs w:val="28"/>
      <w:lang w:val="en-GB" w:eastAsia="zh-CN" w:bidi="ar-SA"/>
    </w:rPr>
  </w:style>
  <w:style w:type="paragraph" w:customStyle="1" w:styleId="207">
    <w:name w:val="段"/>
    <w:link w:val="206"/>
    <w:qFormat/>
    <w:uiPriority w:val="0"/>
    <w:pPr>
      <w:autoSpaceDE w:val="0"/>
      <w:autoSpaceDN w:val="0"/>
      <w:ind w:firstLine="200" w:firstLineChars="200"/>
      <w:jc w:val="both"/>
    </w:pPr>
    <w:rPr>
      <w:rFonts w:ascii="宋体" w:hAnsi="宋体" w:eastAsia="宋体" w:cs="宋体"/>
      <w:b/>
      <w:bCs/>
      <w:color w:val="000000"/>
      <w:kern w:val="2"/>
      <w:sz w:val="28"/>
      <w:szCs w:val="28"/>
      <w:lang w:val="en-GB" w:eastAsia="zh-CN" w:bidi="ar-SA"/>
    </w:rPr>
  </w:style>
  <w:style w:type="paragraph" w:customStyle="1" w:styleId="208">
    <w:name w:val="样式 表头四号 + 段前: 0.5 行"/>
    <w:basedOn w:val="209"/>
    <w:qFormat/>
    <w:uiPriority w:val="0"/>
    <w:pPr>
      <w:spacing w:before="96" w:beforeLines="25"/>
    </w:pPr>
    <w:rPr>
      <w:szCs w:val="20"/>
    </w:rPr>
  </w:style>
  <w:style w:type="paragraph" w:customStyle="1" w:styleId="209">
    <w:name w:val="表头四号"/>
    <w:basedOn w:val="66"/>
    <w:qFormat/>
    <w:uiPriority w:val="0"/>
    <w:pPr>
      <w:adjustRightInd w:val="0"/>
      <w:snapToGrid w:val="0"/>
      <w:spacing w:before="50" w:beforeLines="50" w:line="500" w:lineRule="atLeast"/>
      <w:ind w:left="0" w:firstLine="0" w:firstLineChars="0"/>
    </w:pPr>
    <w:rPr>
      <w:rFonts w:ascii="宋体" w:hAnsi="宋体"/>
      <w:b/>
      <w:bCs/>
      <w:sz w:val="28"/>
      <w:szCs w:val="28"/>
    </w:rPr>
  </w:style>
  <w:style w:type="character" w:customStyle="1" w:styleId="210">
    <w:name w:val="标题 7 Char"/>
    <w:qFormat/>
    <w:uiPriority w:val="0"/>
    <w:rPr>
      <w:rFonts w:ascii="宋体" w:hAnsi="宋体" w:eastAsia="宋体" w:cs="宋体"/>
      <w:b/>
      <w:bCs/>
      <w:color w:val="000000"/>
      <w:kern w:val="2"/>
      <w:sz w:val="24"/>
      <w:szCs w:val="28"/>
      <w:lang w:val="en-US" w:eastAsia="zh-CN" w:bidi="ar-SA"/>
    </w:rPr>
  </w:style>
  <w:style w:type="paragraph" w:customStyle="1" w:styleId="211">
    <w:name w:val="正文悬挂缩进"/>
    <w:basedOn w:val="1"/>
    <w:qFormat/>
    <w:uiPriority w:val="0"/>
    <w:pPr>
      <w:snapToGrid w:val="0"/>
      <w:spacing w:line="360" w:lineRule="auto"/>
      <w:ind w:left="200" w:leftChars="200"/>
    </w:pPr>
    <w:rPr>
      <w:rFonts w:eastAsia="楷体_GB2312"/>
    </w:rPr>
  </w:style>
  <w:style w:type="character" w:customStyle="1" w:styleId="212">
    <w:name w:val="正文悬挂缩进 Char"/>
    <w:qFormat/>
    <w:uiPriority w:val="0"/>
    <w:rPr>
      <w:rFonts w:eastAsia="楷体_GB2312" w:cs="宋体"/>
      <w:b/>
      <w:bCs/>
      <w:color w:val="000000"/>
      <w:kern w:val="2"/>
      <w:sz w:val="24"/>
      <w:szCs w:val="24"/>
      <w:lang w:val="en-US" w:eastAsia="zh-CN" w:bidi="ar-SA"/>
    </w:rPr>
  </w:style>
  <w:style w:type="paragraph" w:customStyle="1" w:styleId="213">
    <w:name w:val="样式 表格小四 + 11 磅"/>
    <w:basedOn w:val="198"/>
    <w:qFormat/>
    <w:uiPriority w:val="0"/>
    <w:pPr>
      <w:spacing w:line="240" w:lineRule="atLeast"/>
    </w:pPr>
    <w:rPr>
      <w:kern w:val="0"/>
      <w:sz w:val="22"/>
    </w:rPr>
  </w:style>
  <w:style w:type="paragraph" w:customStyle="1" w:styleId="214">
    <w:name w:val="样式 样式 表格小四 + 11 磅 + 五号"/>
    <w:basedOn w:val="213"/>
    <w:qFormat/>
    <w:uiPriority w:val="0"/>
    <w:rPr>
      <w:sz w:val="21"/>
    </w:rPr>
  </w:style>
  <w:style w:type="paragraph" w:customStyle="1" w:styleId="215">
    <w:name w:val="样式 (西文) 黑体 (中文) 黑体 小初 加粗 居中 首行缩进:  1.47 厘米 段前: 12 磅 加宽量  ..."/>
    <w:basedOn w:val="1"/>
    <w:qFormat/>
    <w:uiPriority w:val="0"/>
    <w:pPr>
      <w:adjustRightInd w:val="0"/>
      <w:snapToGrid w:val="0"/>
      <w:spacing w:before="240" w:line="500" w:lineRule="atLeast"/>
      <w:jc w:val="center"/>
    </w:pPr>
    <w:rPr>
      <w:rFonts w:ascii="黑体" w:hAnsi="宋体" w:eastAsia="黑体"/>
      <w:b/>
      <w:bCs/>
      <w:spacing w:val="60"/>
      <w:sz w:val="72"/>
    </w:rPr>
  </w:style>
  <w:style w:type="character" w:customStyle="1" w:styleId="216">
    <w:name w:val="样式 (西文) 黑体 (中文) 黑体 二号"/>
    <w:qFormat/>
    <w:uiPriority w:val="0"/>
    <w:rPr>
      <w:rFonts w:ascii="黑体" w:hAnsi="黑体" w:eastAsia="黑体" w:cs="宋体"/>
      <w:b/>
      <w:bCs/>
      <w:color w:val="000000"/>
      <w:kern w:val="2"/>
      <w:sz w:val="44"/>
      <w:szCs w:val="32"/>
      <w:lang w:val="en-US" w:eastAsia="zh-CN" w:bidi="ar-SA"/>
    </w:rPr>
  </w:style>
  <w:style w:type="character" w:customStyle="1" w:styleId="217">
    <w:name w:val="列表 Char"/>
    <w:qFormat/>
    <w:uiPriority w:val="0"/>
    <w:rPr>
      <w:rFonts w:ascii="宋体" w:hAnsi="宋体" w:eastAsia="宋体" w:cs="宋体"/>
      <w:b/>
      <w:bCs/>
      <w:color w:val="000000"/>
      <w:kern w:val="2"/>
      <w:sz w:val="28"/>
      <w:szCs w:val="28"/>
      <w:lang w:val="en-US" w:eastAsia="zh-CN" w:bidi="ar-SA"/>
    </w:rPr>
  </w:style>
  <w:style w:type="character" w:customStyle="1" w:styleId="218">
    <w:name w:val="表头四号 Char Char"/>
    <w:qFormat/>
    <w:uiPriority w:val="0"/>
    <w:rPr>
      <w:rFonts w:ascii="宋体" w:hAnsi="宋体" w:eastAsia="宋体" w:cs="宋体"/>
      <w:b/>
      <w:bCs/>
      <w:color w:val="000000"/>
      <w:kern w:val="2"/>
      <w:sz w:val="28"/>
      <w:szCs w:val="28"/>
      <w:lang w:val="en-US" w:eastAsia="zh-CN" w:bidi="ar-SA"/>
    </w:rPr>
  </w:style>
  <w:style w:type="paragraph" w:customStyle="1" w:styleId="219">
    <w:name w:val="样式 表格文字 + 小四 居中 首行缩进:  0.36 厘米"/>
    <w:basedOn w:val="202"/>
    <w:qFormat/>
    <w:uiPriority w:val="0"/>
    <w:pPr>
      <w:ind w:firstLine="205"/>
      <w:jc w:val="center"/>
    </w:pPr>
    <w:rPr>
      <w:szCs w:val="20"/>
    </w:rPr>
  </w:style>
  <w:style w:type="paragraph" w:customStyle="1" w:styleId="220">
    <w:name w:val="表格小四 居中 首行缩进:  0.36 厘米 + 五号 黑色"/>
    <w:basedOn w:val="219"/>
    <w:qFormat/>
    <w:uiPriority w:val="0"/>
    <w:pPr>
      <w:spacing w:line="240" w:lineRule="atLeast"/>
      <w:ind w:firstLine="0"/>
    </w:pPr>
    <w:rPr>
      <w:color w:val="000000"/>
      <w:szCs w:val="24"/>
    </w:rPr>
  </w:style>
  <w:style w:type="paragraph" w:customStyle="1" w:styleId="221">
    <w:name w:val="表头四号 + 段前: 0.5 行1"/>
    <w:basedOn w:val="209"/>
    <w:qFormat/>
    <w:uiPriority w:val="0"/>
    <w:pPr>
      <w:spacing w:before="193"/>
    </w:pPr>
    <w:rPr>
      <w:szCs w:val="20"/>
    </w:rPr>
  </w:style>
  <w:style w:type="character" w:customStyle="1" w:styleId="222">
    <w:name w:val="表格五号 Char"/>
    <w:qFormat/>
    <w:uiPriority w:val="0"/>
    <w:rPr>
      <w:rFonts w:ascii="宋体" w:hAnsi="宋体" w:eastAsia="宋体" w:cs="宋体"/>
      <w:b/>
      <w:bCs/>
      <w:color w:val="000000"/>
      <w:kern w:val="2"/>
      <w:sz w:val="21"/>
      <w:szCs w:val="21"/>
      <w:lang w:val="en-US" w:eastAsia="zh-CN" w:bidi="ar-SA"/>
    </w:rPr>
  </w:style>
  <w:style w:type="character" w:customStyle="1" w:styleId="223">
    <w:name w:val="表格小四 Char"/>
    <w:qFormat/>
    <w:uiPriority w:val="0"/>
    <w:rPr>
      <w:rFonts w:ascii="宋体" w:hAnsi="宋体" w:eastAsia="宋体" w:cs="宋体"/>
      <w:b/>
      <w:bCs/>
      <w:color w:val="000000"/>
      <w:kern w:val="2"/>
      <w:sz w:val="24"/>
      <w:szCs w:val="24"/>
      <w:lang w:val="en-US" w:eastAsia="zh-CN" w:bidi="ar-SA"/>
    </w:rPr>
  </w:style>
  <w:style w:type="paragraph" w:customStyle="1" w:styleId="224">
    <w:name w:val="表格小四 + 居中"/>
    <w:basedOn w:val="198"/>
    <w:qFormat/>
    <w:uiPriority w:val="0"/>
    <w:pPr>
      <w:spacing w:line="240" w:lineRule="atLeast"/>
      <w:jc w:val="center"/>
    </w:pPr>
    <w:rPr>
      <w:szCs w:val="20"/>
    </w:rPr>
  </w:style>
  <w:style w:type="character" w:customStyle="1" w:styleId="225">
    <w:name w:val="正文文本 Char"/>
    <w:qFormat/>
    <w:uiPriority w:val="0"/>
    <w:rPr>
      <w:rFonts w:ascii="宋体" w:hAnsi="宋体" w:eastAsia="宋体" w:cs="宋体"/>
      <w:b/>
      <w:bCs/>
      <w:color w:val="000000"/>
      <w:kern w:val="2"/>
      <w:sz w:val="28"/>
      <w:szCs w:val="28"/>
      <w:lang w:val="en-US" w:eastAsia="zh-CN" w:bidi="ar-SA"/>
    </w:rPr>
  </w:style>
  <w:style w:type="paragraph" w:customStyle="1" w:styleId="226">
    <w:name w:val="样式 表格小四 + 字距调整四号"/>
    <w:basedOn w:val="198"/>
    <w:qFormat/>
    <w:uiPriority w:val="0"/>
    <w:pPr>
      <w:spacing w:line="240" w:lineRule="exact"/>
    </w:pPr>
    <w:rPr>
      <w:kern w:val="28"/>
    </w:rPr>
  </w:style>
  <w:style w:type="character" w:customStyle="1" w:styleId="227">
    <w:name w:val="Char Char"/>
    <w:qFormat/>
    <w:uiPriority w:val="0"/>
    <w:rPr>
      <w:rFonts w:ascii="宋体" w:hAnsi="宋体" w:eastAsia="宋体" w:cs="宋体"/>
      <w:b/>
      <w:bCs/>
      <w:color w:val="000000"/>
      <w:kern w:val="2"/>
      <w:sz w:val="28"/>
      <w:szCs w:val="28"/>
      <w:lang w:val="en-US" w:eastAsia="zh-CN" w:bidi="ar-SA"/>
    </w:rPr>
  </w:style>
  <w:style w:type="character" w:customStyle="1" w:styleId="228">
    <w:name w:val="项标题(1) Char Char"/>
    <w:qFormat/>
    <w:uiPriority w:val="0"/>
    <w:rPr>
      <w:rFonts w:ascii="宋体" w:hAnsi="宋体" w:eastAsia="宋体" w:cs="宋体"/>
      <w:b/>
      <w:bCs/>
      <w:color w:val="000000"/>
      <w:kern w:val="2"/>
      <w:sz w:val="24"/>
      <w:szCs w:val="28"/>
      <w:lang w:val="en-US" w:eastAsia="zh-CN" w:bidi="ar-SA"/>
    </w:rPr>
  </w:style>
  <w:style w:type="character" w:customStyle="1" w:styleId="229">
    <w:name w:val="Char Char15"/>
    <w:qFormat/>
    <w:uiPriority w:val="0"/>
    <w:rPr>
      <w:rFonts w:ascii="宋体" w:hAnsi="宋体" w:eastAsia="宋体" w:cs="宋体"/>
      <w:b/>
      <w:bCs/>
      <w:color w:val="000000"/>
      <w:kern w:val="2"/>
      <w:sz w:val="28"/>
      <w:szCs w:val="28"/>
      <w:lang w:val="en-US" w:eastAsia="zh-CN" w:bidi="ar-SA"/>
    </w:rPr>
  </w:style>
  <w:style w:type="paragraph" w:customStyle="1" w:styleId="230">
    <w:name w:val="表头四号 Char"/>
    <w:basedOn w:val="86"/>
    <w:qFormat/>
    <w:uiPriority w:val="0"/>
    <w:pPr>
      <w:spacing w:before="120" w:line="480" w:lineRule="exact"/>
      <w:ind w:firstLine="0" w:firstLineChars="0"/>
      <w:jc w:val="left"/>
    </w:pPr>
    <w:rPr>
      <w:rFonts w:ascii="宋体"/>
      <w:b/>
      <w:szCs w:val="28"/>
    </w:rPr>
  </w:style>
  <w:style w:type="paragraph" w:customStyle="1" w:styleId="231">
    <w:name w:val="样式 正文首行缩进 + 首行缩进:  2 字符1"/>
    <w:basedOn w:val="86"/>
    <w:qFormat/>
    <w:uiPriority w:val="0"/>
    <w:pPr>
      <w:spacing w:line="480" w:lineRule="exact"/>
      <w:ind w:firstLine="560"/>
    </w:pPr>
    <w:rPr>
      <w:rFonts w:ascii="宋体"/>
      <w:szCs w:val="20"/>
    </w:rPr>
  </w:style>
  <w:style w:type="paragraph" w:customStyle="1" w:styleId="232">
    <w:name w:val="样式 表格小四 + 居中"/>
    <w:basedOn w:val="198"/>
    <w:qFormat/>
    <w:uiPriority w:val="0"/>
    <w:pPr>
      <w:adjustRightInd/>
      <w:snapToGrid/>
      <w:jc w:val="center"/>
    </w:pPr>
    <w:rPr>
      <w:rFonts w:hAnsi="Times New Roman"/>
      <w:szCs w:val="20"/>
    </w:rPr>
  </w:style>
  <w:style w:type="paragraph" w:customStyle="1" w:styleId="233">
    <w:name w:val="font5"/>
    <w:basedOn w:val="1"/>
    <w:qFormat/>
    <w:uiPriority w:val="0"/>
    <w:pPr>
      <w:widowControl/>
      <w:spacing w:before="100" w:beforeAutospacing="1" w:after="100" w:afterAutospacing="1"/>
      <w:jc w:val="left"/>
    </w:pPr>
    <w:rPr>
      <w:rFonts w:hint="eastAsia" w:ascii="宋体" w:hAnsi="宋体"/>
      <w:kern w:val="0"/>
      <w:sz w:val="18"/>
      <w:szCs w:val="18"/>
    </w:rPr>
  </w:style>
  <w:style w:type="paragraph" w:customStyle="1" w:styleId="234">
    <w:name w:val="font6"/>
    <w:basedOn w:val="1"/>
    <w:qFormat/>
    <w:uiPriority w:val="0"/>
    <w:pPr>
      <w:widowControl/>
      <w:spacing w:before="100" w:beforeAutospacing="1" w:after="100" w:afterAutospacing="1"/>
      <w:jc w:val="left"/>
    </w:pPr>
    <w:rPr>
      <w:rFonts w:hint="eastAsia" w:ascii="宋体" w:hAnsi="宋体"/>
      <w:kern w:val="0"/>
      <w:szCs w:val="21"/>
    </w:rPr>
  </w:style>
  <w:style w:type="paragraph" w:customStyle="1" w:styleId="235">
    <w:name w:val="font7"/>
    <w:basedOn w:val="1"/>
    <w:qFormat/>
    <w:uiPriority w:val="0"/>
    <w:pPr>
      <w:widowControl/>
      <w:spacing w:before="100" w:beforeAutospacing="1" w:after="100" w:afterAutospacing="1"/>
      <w:jc w:val="left"/>
    </w:pPr>
    <w:rPr>
      <w:rFonts w:hint="eastAsia" w:ascii="宋体" w:hAnsi="宋体"/>
      <w:kern w:val="0"/>
      <w:szCs w:val="21"/>
    </w:rPr>
  </w:style>
  <w:style w:type="paragraph" w:customStyle="1" w:styleId="236">
    <w:name w:val="xl24"/>
    <w:basedOn w:val="1"/>
    <w:link w:val="2482"/>
    <w:qFormat/>
    <w:uiPriority w:val="0"/>
    <w:pPr>
      <w:widowControl/>
      <w:pBdr>
        <w:bottom w:val="single" w:color="auto" w:sz="4" w:space="0"/>
        <w:right w:val="single" w:color="auto" w:sz="4" w:space="0"/>
      </w:pBdr>
      <w:spacing w:before="100" w:beforeAutospacing="1" w:after="100" w:afterAutospacing="1"/>
      <w:jc w:val="center"/>
    </w:pPr>
    <w:rPr>
      <w:rFonts w:ascii="宋体" w:hAnsi="宋体"/>
      <w:kern w:val="0"/>
      <w:szCs w:val="21"/>
    </w:rPr>
  </w:style>
  <w:style w:type="paragraph" w:customStyle="1" w:styleId="237">
    <w:name w:val="xl25"/>
    <w:basedOn w:val="1"/>
    <w:qFormat/>
    <w:uiPriority w:val="0"/>
    <w:pPr>
      <w:widowControl/>
      <w:pBdr>
        <w:bottom w:val="single" w:color="auto" w:sz="12" w:space="0"/>
        <w:right w:val="single" w:color="auto" w:sz="4" w:space="0"/>
      </w:pBdr>
      <w:spacing w:before="100" w:beforeAutospacing="1" w:after="100" w:afterAutospacing="1"/>
      <w:jc w:val="center"/>
    </w:pPr>
    <w:rPr>
      <w:rFonts w:ascii="宋体" w:hAnsi="宋体"/>
      <w:kern w:val="0"/>
      <w:szCs w:val="21"/>
    </w:rPr>
  </w:style>
  <w:style w:type="paragraph" w:customStyle="1" w:styleId="238">
    <w:name w:val="xl26"/>
    <w:basedOn w:val="1"/>
    <w:qFormat/>
    <w:uiPriority w:val="0"/>
    <w:pPr>
      <w:widowControl/>
      <w:pBdr>
        <w:bottom w:val="single" w:color="auto" w:sz="4" w:space="0"/>
        <w:right w:val="single" w:color="auto" w:sz="4" w:space="0"/>
      </w:pBdr>
      <w:spacing w:before="100" w:beforeAutospacing="1" w:after="100" w:afterAutospacing="1"/>
      <w:jc w:val="center"/>
    </w:pPr>
    <w:rPr>
      <w:rFonts w:ascii="宋体" w:hAnsi="宋体"/>
      <w:kern w:val="0"/>
      <w:szCs w:val="21"/>
    </w:rPr>
  </w:style>
  <w:style w:type="paragraph" w:customStyle="1" w:styleId="239">
    <w:name w:val="xl29"/>
    <w:basedOn w:val="1"/>
    <w:qFormat/>
    <w:uiPriority w:val="0"/>
    <w:pPr>
      <w:widowControl/>
      <w:pBdr>
        <w:bottom w:val="single" w:color="auto" w:sz="4" w:space="0"/>
      </w:pBdr>
      <w:spacing w:before="100" w:beforeAutospacing="1" w:after="100" w:afterAutospacing="1"/>
      <w:jc w:val="center"/>
    </w:pPr>
    <w:rPr>
      <w:rFonts w:ascii="宋体" w:hAnsi="宋体"/>
      <w:kern w:val="0"/>
      <w:szCs w:val="21"/>
    </w:rPr>
  </w:style>
  <w:style w:type="paragraph" w:customStyle="1" w:styleId="240">
    <w:name w:val="xl31"/>
    <w:basedOn w:val="1"/>
    <w:qFormat/>
    <w:uiPriority w:val="0"/>
    <w:pPr>
      <w:widowControl/>
      <w:pBdr>
        <w:top w:val="single" w:color="auto" w:sz="4" w:space="0"/>
        <w:bottom w:val="single" w:color="auto" w:sz="4" w:space="0"/>
      </w:pBdr>
      <w:spacing w:before="100" w:beforeAutospacing="1" w:after="100" w:afterAutospacing="1"/>
      <w:jc w:val="left"/>
    </w:pPr>
    <w:rPr>
      <w:rFonts w:ascii="宋体" w:hAnsi="宋体"/>
      <w:kern w:val="0"/>
      <w:szCs w:val="21"/>
    </w:rPr>
  </w:style>
  <w:style w:type="paragraph" w:customStyle="1" w:styleId="241">
    <w:name w:val="xl32"/>
    <w:basedOn w:val="1"/>
    <w:qFormat/>
    <w:uiPriority w:val="0"/>
    <w:pPr>
      <w:widowControl/>
      <w:pBdr>
        <w:top w:val="single" w:color="auto" w:sz="4" w:space="0"/>
        <w:bottom w:val="single" w:color="auto" w:sz="4" w:space="0"/>
        <w:right w:val="single" w:color="auto" w:sz="4" w:space="0"/>
      </w:pBdr>
      <w:spacing w:before="100" w:beforeAutospacing="1" w:after="100" w:afterAutospacing="1"/>
      <w:jc w:val="left"/>
    </w:pPr>
    <w:rPr>
      <w:rFonts w:ascii="宋体" w:hAnsi="宋体"/>
      <w:kern w:val="0"/>
    </w:rPr>
  </w:style>
  <w:style w:type="paragraph" w:customStyle="1" w:styleId="242">
    <w:name w:val="xl33"/>
    <w:basedOn w:val="1"/>
    <w:qFormat/>
    <w:uiPriority w:val="0"/>
    <w:pPr>
      <w:widowControl/>
      <w:pBdr>
        <w:bottom w:val="single" w:color="auto" w:sz="4" w:space="0"/>
        <w:right w:val="single" w:color="auto" w:sz="4" w:space="0"/>
      </w:pBdr>
      <w:spacing w:before="100" w:beforeAutospacing="1" w:after="100" w:afterAutospacing="1"/>
      <w:jc w:val="center"/>
    </w:pPr>
    <w:rPr>
      <w:rFonts w:ascii="宋体" w:hAnsi="宋体"/>
      <w:kern w:val="0"/>
      <w:szCs w:val="21"/>
    </w:rPr>
  </w:style>
  <w:style w:type="paragraph" w:customStyle="1" w:styleId="243">
    <w:name w:val="xl34"/>
    <w:basedOn w:val="1"/>
    <w:qFormat/>
    <w:uiPriority w:val="0"/>
    <w:pPr>
      <w:widowControl/>
      <w:pBdr>
        <w:bottom w:val="single" w:color="auto" w:sz="4" w:space="0"/>
      </w:pBdr>
      <w:spacing w:before="100" w:beforeAutospacing="1" w:after="100" w:afterAutospacing="1"/>
      <w:jc w:val="left"/>
    </w:pPr>
    <w:rPr>
      <w:rFonts w:ascii="宋体" w:hAnsi="宋体"/>
      <w:kern w:val="0"/>
      <w:szCs w:val="21"/>
    </w:rPr>
  </w:style>
  <w:style w:type="paragraph" w:customStyle="1" w:styleId="244">
    <w:name w:val="xl35"/>
    <w:basedOn w:val="1"/>
    <w:qFormat/>
    <w:uiPriority w:val="0"/>
    <w:pPr>
      <w:widowControl/>
      <w:pBdr>
        <w:bottom w:val="single" w:color="auto" w:sz="4" w:space="0"/>
        <w:right w:val="single" w:color="auto" w:sz="4" w:space="0"/>
      </w:pBdr>
      <w:spacing w:before="100" w:beforeAutospacing="1" w:after="100" w:afterAutospacing="1"/>
      <w:jc w:val="center"/>
      <w:textAlignment w:val="center"/>
    </w:pPr>
    <w:rPr>
      <w:rFonts w:ascii="宋体" w:hAnsi="宋体"/>
      <w:kern w:val="0"/>
      <w:szCs w:val="21"/>
    </w:rPr>
  </w:style>
  <w:style w:type="character" w:customStyle="1" w:styleId="245">
    <w:name w:val="font_green1"/>
    <w:qFormat/>
    <w:uiPriority w:val="0"/>
    <w:rPr>
      <w:rFonts w:eastAsia="黑体" w:cs="宋体"/>
      <w:b/>
      <w:bCs/>
      <w:color w:val="044E10"/>
      <w:kern w:val="2"/>
      <w:sz w:val="18"/>
      <w:szCs w:val="18"/>
      <w:u w:val="none"/>
      <w:lang w:val="en-US" w:eastAsia="zh-CN" w:bidi="ar-SA"/>
    </w:rPr>
  </w:style>
  <w:style w:type="paragraph" w:customStyle="1" w:styleId="246">
    <w:name w:val="样式 样式 样式 标题 3标题 33 + 段前: 0.5 行 + 段前: 0.5 行 + 段前: 6 磅 段后: 0.5 行"/>
    <w:basedOn w:val="1"/>
    <w:qFormat/>
    <w:uiPriority w:val="0"/>
    <w:pPr>
      <w:keepNext/>
      <w:keepLines/>
      <w:spacing w:line="360" w:lineRule="auto"/>
      <w:ind w:firstLine="480" w:firstLineChars="200"/>
      <w:outlineLvl w:val="2"/>
    </w:pPr>
    <w:rPr>
      <w:rFonts w:ascii="黑体" w:hAnsi="宋体" w:eastAsia="黑体"/>
      <w:snapToGrid w:val="0"/>
      <w:color w:val="000000"/>
      <w:kern w:val="0"/>
    </w:rPr>
  </w:style>
  <w:style w:type="paragraph" w:customStyle="1" w:styleId="247">
    <w:name w:val="font8"/>
    <w:basedOn w:val="1"/>
    <w:qFormat/>
    <w:uiPriority w:val="0"/>
    <w:pPr>
      <w:widowControl/>
      <w:spacing w:before="100" w:beforeAutospacing="1" w:after="100" w:afterAutospacing="1"/>
      <w:jc w:val="left"/>
    </w:pPr>
    <w:rPr>
      <w:rFonts w:hint="eastAsia" w:ascii="宋体" w:hAnsi="宋体" w:cs="Arial Unicode MS"/>
      <w:kern w:val="0"/>
      <w:szCs w:val="21"/>
    </w:rPr>
  </w:style>
  <w:style w:type="paragraph" w:customStyle="1" w:styleId="248">
    <w:name w:val="xl36"/>
    <w:basedOn w:val="1"/>
    <w:qFormat/>
    <w:uiPriority w:val="0"/>
    <w:pPr>
      <w:widowControl/>
      <w:pBdr>
        <w:top w:val="single" w:color="auto" w:sz="4" w:space="0"/>
        <w:left w:val="single" w:color="auto" w:sz="4" w:space="0"/>
        <w:bottom w:val="single" w:color="auto" w:sz="4" w:space="0"/>
      </w:pBdr>
      <w:spacing w:before="100" w:beforeAutospacing="1" w:after="100" w:afterAutospacing="1"/>
      <w:jc w:val="center"/>
    </w:pPr>
    <w:rPr>
      <w:rFonts w:ascii="Arial Unicode MS" w:hAnsi="Arial Unicode MS" w:eastAsia="Arial Unicode MS" w:cs="Arial Unicode MS"/>
      <w:kern w:val="0"/>
      <w:szCs w:val="21"/>
    </w:rPr>
  </w:style>
  <w:style w:type="paragraph" w:customStyle="1" w:styleId="249">
    <w:name w:val="xl37"/>
    <w:basedOn w:val="1"/>
    <w:qFormat/>
    <w:uiPriority w:val="0"/>
    <w:pPr>
      <w:widowControl/>
      <w:spacing w:before="100" w:beforeAutospacing="1" w:after="100" w:afterAutospacing="1"/>
      <w:jc w:val="center"/>
    </w:pPr>
    <w:rPr>
      <w:rFonts w:ascii="Arial Unicode MS" w:hAnsi="Arial Unicode MS" w:eastAsia="Arial Unicode MS" w:cs="Arial Unicode MS"/>
      <w:kern w:val="0"/>
    </w:rPr>
  </w:style>
  <w:style w:type="paragraph" w:customStyle="1" w:styleId="250">
    <w:name w:val="xl38"/>
    <w:basedOn w:val="1"/>
    <w:qFormat/>
    <w:uiPriority w:val="0"/>
    <w:pPr>
      <w:widowControl/>
      <w:spacing w:before="100" w:beforeAutospacing="1" w:after="100" w:afterAutospacing="1"/>
      <w:jc w:val="center"/>
    </w:pPr>
    <w:rPr>
      <w:rFonts w:ascii="Arial Unicode MS" w:hAnsi="Arial Unicode MS" w:eastAsia="Arial Unicode MS" w:cs="Arial Unicode MS"/>
      <w:kern w:val="0"/>
      <w:szCs w:val="21"/>
    </w:rPr>
  </w:style>
  <w:style w:type="paragraph" w:customStyle="1" w:styleId="251">
    <w:name w:val="正文文字缩进"/>
    <w:basedOn w:val="1"/>
    <w:next w:val="1"/>
    <w:link w:val="760"/>
    <w:qFormat/>
    <w:uiPriority w:val="0"/>
    <w:pPr>
      <w:autoSpaceDE w:val="0"/>
      <w:autoSpaceDN w:val="0"/>
      <w:adjustRightInd w:val="0"/>
      <w:jc w:val="left"/>
    </w:pPr>
    <w:rPr>
      <w:rFonts w:ascii="宋体"/>
      <w:kern w:val="0"/>
    </w:rPr>
  </w:style>
  <w:style w:type="character" w:customStyle="1" w:styleId="252">
    <w:name w:val="标题 字符2"/>
    <w:link w:val="84"/>
    <w:qFormat/>
    <w:locked/>
    <w:uiPriority w:val="0"/>
    <w:rPr>
      <w:rFonts w:ascii="Arial" w:hAnsi="Arial" w:eastAsia="宋体" w:cs="Arial"/>
      <w:b/>
      <w:bCs/>
      <w:color w:val="000000"/>
      <w:kern w:val="2"/>
      <w:sz w:val="32"/>
      <w:szCs w:val="32"/>
      <w:lang w:val="en-US" w:eastAsia="zh-CN" w:bidi="ar-SA"/>
    </w:rPr>
  </w:style>
  <w:style w:type="character" w:customStyle="1" w:styleId="253">
    <w:name w:val="unnamed11"/>
    <w:qFormat/>
    <w:uiPriority w:val="0"/>
    <w:rPr>
      <w:rFonts w:hint="eastAsia" w:ascii="宋体" w:hAnsi="宋体" w:eastAsia="宋体" w:cs="宋体"/>
      <w:b/>
      <w:bCs/>
      <w:color w:val="000000"/>
      <w:kern w:val="2"/>
      <w:sz w:val="18"/>
      <w:szCs w:val="18"/>
      <w:u w:val="none"/>
      <w:lang w:val="en-US" w:eastAsia="zh-CN" w:bidi="ar-SA"/>
    </w:rPr>
  </w:style>
  <w:style w:type="paragraph" w:customStyle="1" w:styleId="254">
    <w:name w:val="表格1"/>
    <w:basedOn w:val="1"/>
    <w:link w:val="1107"/>
    <w:qFormat/>
    <w:uiPriority w:val="0"/>
    <w:pPr>
      <w:adjustRightInd w:val="0"/>
      <w:spacing w:line="360" w:lineRule="atLeast"/>
      <w:jc w:val="center"/>
      <w:textAlignment w:val="baseline"/>
    </w:pPr>
    <w:rPr>
      <w:rFonts w:ascii="CG Times (WN)"/>
      <w:spacing w:val="6"/>
      <w:kern w:val="0"/>
    </w:rPr>
  </w:style>
  <w:style w:type="paragraph" w:customStyle="1" w:styleId="255">
    <w:name w:val="标题1"/>
    <w:basedOn w:val="1"/>
    <w:next w:val="1"/>
    <w:qFormat/>
    <w:uiPriority w:val="0"/>
    <w:pPr>
      <w:adjustRightInd w:val="0"/>
      <w:snapToGrid w:val="0"/>
      <w:spacing w:after="240" w:line="420" w:lineRule="atLeast"/>
      <w:jc w:val="left"/>
      <w:outlineLvl w:val="0"/>
    </w:pPr>
    <w:rPr>
      <w:b/>
      <w:spacing w:val="4"/>
      <w:kern w:val="0"/>
      <w:sz w:val="30"/>
    </w:rPr>
  </w:style>
  <w:style w:type="paragraph" w:customStyle="1" w:styleId="256">
    <w:name w:val="标题3"/>
    <w:basedOn w:val="1"/>
    <w:next w:val="1"/>
    <w:link w:val="1626"/>
    <w:qFormat/>
    <w:uiPriority w:val="0"/>
    <w:pPr>
      <w:adjustRightInd w:val="0"/>
      <w:snapToGrid w:val="0"/>
      <w:spacing w:before="240" w:after="120" w:line="420" w:lineRule="atLeast"/>
    </w:pPr>
    <w:rPr>
      <w:i/>
      <w:kern w:val="0"/>
      <w:sz w:val="28"/>
    </w:rPr>
  </w:style>
  <w:style w:type="paragraph" w:customStyle="1" w:styleId="257">
    <w:name w:val="表头1"/>
    <w:basedOn w:val="1"/>
    <w:link w:val="1356"/>
    <w:qFormat/>
    <w:uiPriority w:val="0"/>
    <w:pPr>
      <w:keepNext/>
      <w:adjustRightInd w:val="0"/>
      <w:spacing w:line="240" w:lineRule="exact"/>
      <w:jc w:val="center"/>
      <w:textAlignment w:val="baseline"/>
    </w:pPr>
    <w:rPr>
      <w:b/>
      <w:kern w:val="0"/>
    </w:rPr>
  </w:style>
  <w:style w:type="paragraph" w:customStyle="1" w:styleId="258">
    <w:name w:val="表中正文"/>
    <w:basedOn w:val="1"/>
    <w:qFormat/>
    <w:uiPriority w:val="0"/>
    <w:pPr>
      <w:autoSpaceDE w:val="0"/>
      <w:autoSpaceDN w:val="0"/>
      <w:adjustRightInd w:val="0"/>
      <w:snapToGrid w:val="0"/>
      <w:spacing w:line="300" w:lineRule="atLeast"/>
    </w:pPr>
    <w:rPr>
      <w:rFonts w:ascii="宋体"/>
    </w:rPr>
  </w:style>
  <w:style w:type="paragraph" w:customStyle="1" w:styleId="259">
    <w:name w:val="表格内容"/>
    <w:basedOn w:val="1"/>
    <w:link w:val="260"/>
    <w:qFormat/>
    <w:uiPriority w:val="0"/>
    <w:pPr>
      <w:adjustRightInd w:val="0"/>
      <w:snapToGrid w:val="0"/>
      <w:jc w:val="center"/>
    </w:pPr>
    <w:rPr>
      <w:rFonts w:hAnsi="宋体"/>
      <w:snapToGrid w:val="0"/>
      <w:kern w:val="0"/>
      <w:sz w:val="21"/>
      <w:szCs w:val="21"/>
    </w:rPr>
  </w:style>
  <w:style w:type="character" w:customStyle="1" w:styleId="260">
    <w:name w:val="表格内容 Char"/>
    <w:link w:val="259"/>
    <w:qFormat/>
    <w:locked/>
    <w:uiPriority w:val="0"/>
    <w:rPr>
      <w:rFonts w:hAnsi="宋体"/>
      <w:snapToGrid w:val="0"/>
      <w:sz w:val="21"/>
      <w:szCs w:val="21"/>
    </w:rPr>
  </w:style>
  <w:style w:type="paragraph" w:customStyle="1" w:styleId="261">
    <w:name w:val="样式 标题 3 + 段前: 0.3 行"/>
    <w:basedOn w:val="5"/>
    <w:qFormat/>
    <w:uiPriority w:val="0"/>
    <w:pPr>
      <w:keepNext w:val="0"/>
      <w:spacing w:before="120" w:beforeLines="50" w:after="120" w:line="440" w:lineRule="exact"/>
      <w:ind w:firstLine="493"/>
      <w:jc w:val="left"/>
    </w:pPr>
    <w:rPr>
      <w:rFonts w:ascii="Arial" w:hAnsi="Arial"/>
      <w:bCs w:val="0"/>
      <w:spacing w:val="16"/>
      <w:w w:val="95"/>
      <w:kern w:val="0"/>
      <w:sz w:val="26"/>
      <w:szCs w:val="20"/>
    </w:rPr>
  </w:style>
  <w:style w:type="paragraph" w:customStyle="1" w:styleId="262">
    <w:name w:val="表内5"/>
    <w:basedOn w:val="263"/>
    <w:qFormat/>
    <w:uiPriority w:val="0"/>
    <w:pPr>
      <w:jc w:val="both"/>
    </w:pPr>
  </w:style>
  <w:style w:type="paragraph" w:customStyle="1" w:styleId="263">
    <w:name w:val="表内5中"/>
    <w:basedOn w:val="45"/>
    <w:qFormat/>
    <w:uiPriority w:val="0"/>
    <w:pPr>
      <w:snapToGrid w:val="0"/>
      <w:spacing w:line="240" w:lineRule="auto"/>
      <w:jc w:val="center"/>
      <w:textAlignment w:val="auto"/>
    </w:pPr>
    <w:rPr>
      <w:rFonts w:ascii="Times New Roman" w:hAnsi="Times New Roman"/>
      <w:kern w:val="2"/>
      <w:sz w:val="24"/>
    </w:rPr>
  </w:style>
  <w:style w:type="paragraph" w:customStyle="1" w:styleId="264">
    <w:name w:val="陈光的正文"/>
    <w:basedOn w:val="1"/>
    <w:qFormat/>
    <w:uiPriority w:val="0"/>
    <w:pPr>
      <w:spacing w:line="360" w:lineRule="auto"/>
      <w:ind w:firstLine="567"/>
    </w:pPr>
    <w:rPr>
      <w:sz w:val="28"/>
    </w:rPr>
  </w:style>
  <w:style w:type="character" w:customStyle="1" w:styleId="265">
    <w:name w:val="neiwen"/>
    <w:basedOn w:val="133"/>
    <w:qFormat/>
    <w:uiPriority w:val="0"/>
    <w:rPr>
      <w:rFonts w:eastAsia="黑体" w:cs="宋体"/>
      <w:b/>
      <w:bCs/>
      <w:color w:val="000000"/>
      <w:kern w:val="2"/>
      <w:sz w:val="32"/>
      <w:szCs w:val="32"/>
      <w:lang w:val="en-US" w:eastAsia="zh-CN" w:bidi="ar-SA"/>
    </w:rPr>
  </w:style>
  <w:style w:type="character" w:customStyle="1" w:styleId="266">
    <w:name w:val="title1"/>
    <w:basedOn w:val="133"/>
    <w:qFormat/>
    <w:uiPriority w:val="0"/>
    <w:rPr>
      <w:rFonts w:eastAsia="黑体" w:cs="宋体"/>
      <w:b/>
      <w:bCs/>
      <w:color w:val="000000"/>
      <w:kern w:val="2"/>
      <w:sz w:val="32"/>
      <w:szCs w:val="32"/>
      <w:lang w:val="en-US" w:eastAsia="zh-CN" w:bidi="ar-SA"/>
    </w:rPr>
  </w:style>
  <w:style w:type="paragraph" w:customStyle="1" w:styleId="267">
    <w:name w:val="样式 正文缩进文本条款 + 首行缩进:  2 字符"/>
    <w:basedOn w:val="7"/>
    <w:qFormat/>
    <w:uiPriority w:val="0"/>
    <w:pPr>
      <w:adjustRightInd w:val="0"/>
      <w:snapToGrid w:val="0"/>
      <w:spacing w:line="480" w:lineRule="exact"/>
      <w:ind w:firstLine="560"/>
    </w:pPr>
    <w:rPr>
      <w:rFonts w:ascii="仿宋_GB2312" w:eastAsia="仿宋_GB2312" w:cs="宋体"/>
      <w:sz w:val="28"/>
    </w:rPr>
  </w:style>
  <w:style w:type="paragraph" w:customStyle="1" w:styleId="268">
    <w:name w:val="图表头"/>
    <w:basedOn w:val="1"/>
    <w:qFormat/>
    <w:uiPriority w:val="0"/>
    <w:pPr>
      <w:adjustRightInd w:val="0"/>
      <w:spacing w:line="360" w:lineRule="auto"/>
      <w:jc w:val="center"/>
      <w:textAlignment w:val="baseline"/>
    </w:pPr>
    <w:rPr>
      <w:rFonts w:ascii="黑体" w:eastAsia="黑体"/>
      <w:spacing w:val="5"/>
      <w:kern w:val="0"/>
    </w:rPr>
  </w:style>
  <w:style w:type="paragraph" w:customStyle="1" w:styleId="269">
    <w:name w:val="标题22"/>
    <w:basedOn w:val="1"/>
    <w:next w:val="1"/>
    <w:qFormat/>
    <w:uiPriority w:val="0"/>
    <w:pPr>
      <w:spacing w:line="360" w:lineRule="auto"/>
    </w:pPr>
    <w:rPr>
      <w:rFonts w:ascii="宋体" w:hAnsi="宋体" w:eastAsia="黑体" w:cs="宋体"/>
      <w:b/>
      <w:sz w:val="30"/>
    </w:rPr>
  </w:style>
  <w:style w:type="paragraph" w:customStyle="1" w:styleId="270">
    <w:name w:val="样式 标题 2"/>
    <w:basedOn w:val="4"/>
    <w:qFormat/>
    <w:uiPriority w:val="0"/>
    <w:pPr>
      <w:jc w:val="left"/>
    </w:pPr>
    <w:rPr>
      <w:rFonts w:cs="宋体"/>
      <w:color w:val="000000"/>
      <w:sz w:val="28"/>
    </w:rPr>
  </w:style>
  <w:style w:type="paragraph" w:customStyle="1" w:styleId="271">
    <w:name w:val="样式 标题 3 + 非加粗"/>
    <w:basedOn w:val="5"/>
    <w:link w:val="1993"/>
    <w:qFormat/>
    <w:uiPriority w:val="0"/>
    <w:pPr>
      <w:numPr>
        <w:numId w:val="0"/>
      </w:numPr>
      <w:tabs>
        <w:tab w:val="left" w:pos="3570"/>
      </w:tabs>
      <w:jc w:val="left"/>
    </w:pPr>
    <w:rPr>
      <w:bCs w:val="0"/>
    </w:rPr>
  </w:style>
  <w:style w:type="paragraph" w:customStyle="1" w:styleId="272">
    <w:name w:val="表格正文"/>
    <w:basedOn w:val="1"/>
    <w:link w:val="273"/>
    <w:qFormat/>
    <w:uiPriority w:val="0"/>
    <w:pPr>
      <w:spacing w:line="240" w:lineRule="atLeast"/>
      <w:jc w:val="center"/>
    </w:pPr>
    <w:rPr>
      <w:color w:val="000000"/>
    </w:rPr>
  </w:style>
  <w:style w:type="character" w:customStyle="1" w:styleId="273">
    <w:name w:val="表格正文 Char"/>
    <w:link w:val="272"/>
    <w:qFormat/>
    <w:uiPriority w:val="0"/>
    <w:rPr>
      <w:rFonts w:eastAsia="宋体" w:cs="宋体"/>
      <w:b/>
      <w:bCs/>
      <w:color w:val="000000"/>
      <w:kern w:val="2"/>
      <w:sz w:val="24"/>
      <w:szCs w:val="24"/>
      <w:lang w:val="en-US" w:eastAsia="zh-CN" w:bidi="ar-SA"/>
    </w:rPr>
  </w:style>
  <w:style w:type="paragraph" w:customStyle="1" w:styleId="274">
    <w:name w:val="编号杨"/>
    <w:basedOn w:val="1"/>
    <w:qFormat/>
    <w:uiPriority w:val="0"/>
    <w:pPr>
      <w:tabs>
        <w:tab w:val="left" w:pos="360"/>
      </w:tabs>
      <w:spacing w:before="20" w:beforeLines="20" w:after="20" w:afterLines="20" w:line="312" w:lineRule="auto"/>
    </w:pPr>
  </w:style>
  <w:style w:type="paragraph" w:customStyle="1" w:styleId="275">
    <w:name w:val="Char Char Char Char Char Char Char Char Char Char Char Char Char Char Char Char Char Char Char Char Char Char"/>
    <w:basedOn w:val="1"/>
    <w:next w:val="1"/>
    <w:qFormat/>
    <w:uiPriority w:val="0"/>
    <w:pPr>
      <w:spacing w:line="360" w:lineRule="auto"/>
      <w:ind w:firstLine="200" w:firstLineChars="200"/>
    </w:pPr>
    <w:rPr>
      <w:rFonts w:ascii="宋体" w:hAnsi="宋体" w:cs="宋体"/>
    </w:rPr>
  </w:style>
  <w:style w:type="paragraph" w:customStyle="1" w:styleId="276">
    <w:name w:val="Char Char Char Char1 Char Char Char"/>
    <w:basedOn w:val="1"/>
    <w:qFormat/>
    <w:uiPriority w:val="0"/>
    <w:pPr>
      <w:ind w:firstLine="200" w:firstLineChars="200"/>
    </w:pPr>
    <w:rPr>
      <w:rFonts w:ascii="宋体" w:hAnsi="宋体" w:cs="宋体"/>
    </w:rPr>
  </w:style>
  <w:style w:type="paragraph" w:customStyle="1" w:styleId="277">
    <w:name w:val="Char Char Char Char"/>
    <w:basedOn w:val="1"/>
    <w:qFormat/>
    <w:uiPriority w:val="0"/>
    <w:pPr>
      <w:ind w:firstLine="200" w:firstLineChars="200"/>
    </w:pPr>
    <w:rPr>
      <w:rFonts w:ascii="宋体" w:hAnsi="宋体" w:cs="宋体"/>
    </w:rPr>
  </w:style>
  <w:style w:type="paragraph" w:customStyle="1" w:styleId="278">
    <w:name w:val="质表正文1"/>
    <w:basedOn w:val="1"/>
    <w:qFormat/>
    <w:uiPriority w:val="0"/>
    <w:pPr>
      <w:adjustRightInd w:val="0"/>
      <w:snapToGrid w:val="0"/>
      <w:spacing w:line="360" w:lineRule="auto"/>
      <w:jc w:val="center"/>
    </w:pPr>
    <w:rPr>
      <w:rFonts w:ascii="宋体" w:hAnsi="宋体"/>
      <w:sz w:val="21"/>
    </w:rPr>
  </w:style>
  <w:style w:type="paragraph" w:customStyle="1" w:styleId="279">
    <w:name w:val="环表头"/>
    <w:basedOn w:val="1"/>
    <w:qFormat/>
    <w:uiPriority w:val="0"/>
    <w:pPr>
      <w:widowControl/>
      <w:tabs>
        <w:tab w:val="left" w:pos="0"/>
      </w:tabs>
      <w:adjustRightInd w:val="0"/>
      <w:spacing w:line="312" w:lineRule="atLeast"/>
      <w:ind w:right="-266"/>
      <w:jc w:val="center"/>
      <w:textAlignment w:val="baseline"/>
    </w:pPr>
    <w:rPr>
      <w:rFonts w:eastAsia="黑体"/>
      <w:b/>
      <w:kern w:val="0"/>
      <w:sz w:val="21"/>
      <w:szCs w:val="21"/>
    </w:rPr>
  </w:style>
  <w:style w:type="paragraph" w:customStyle="1" w:styleId="280">
    <w:name w:val="Char Char Char Char Char Char"/>
    <w:basedOn w:val="1"/>
    <w:next w:val="1"/>
    <w:qFormat/>
    <w:uiPriority w:val="0"/>
    <w:pPr>
      <w:spacing w:line="360" w:lineRule="auto"/>
      <w:jc w:val="left"/>
      <w:outlineLvl w:val="3"/>
    </w:pPr>
    <w:rPr>
      <w:rFonts w:eastAsia="Times New Roman"/>
      <w:b/>
    </w:rPr>
  </w:style>
  <w:style w:type="paragraph" w:customStyle="1" w:styleId="281">
    <w:name w:val="小四表文左齐"/>
    <w:basedOn w:val="1"/>
    <w:qFormat/>
    <w:uiPriority w:val="0"/>
    <w:pPr>
      <w:widowControl/>
      <w:jc w:val="center"/>
    </w:pPr>
    <w:rPr>
      <w:rFonts w:ascii="宋体"/>
      <w:sz w:val="21"/>
    </w:rPr>
  </w:style>
  <w:style w:type="paragraph" w:customStyle="1" w:styleId="282">
    <w:name w:val="二级正文"/>
    <w:basedOn w:val="1"/>
    <w:qFormat/>
    <w:uiPriority w:val="0"/>
    <w:pPr>
      <w:tabs>
        <w:tab w:val="left" w:pos="3280"/>
      </w:tabs>
      <w:adjustRightInd w:val="0"/>
      <w:snapToGrid w:val="0"/>
      <w:spacing w:after="240"/>
      <w:ind w:left="578"/>
      <w:textAlignment w:val="baseline"/>
    </w:pPr>
    <w:rPr>
      <w:kern w:val="0"/>
      <w:sz w:val="21"/>
    </w:rPr>
  </w:style>
  <w:style w:type="paragraph" w:customStyle="1" w:styleId="283">
    <w:name w:val="正文nlw"/>
    <w:basedOn w:val="1"/>
    <w:link w:val="284"/>
    <w:qFormat/>
    <w:uiPriority w:val="99"/>
    <w:pPr>
      <w:adjustRightInd w:val="0"/>
      <w:ind w:firstLine="437" w:firstLineChars="200"/>
      <w:textAlignment w:val="baseline"/>
    </w:pPr>
    <w:rPr>
      <w:bCs/>
      <w:color w:val="FF0000"/>
      <w:kern w:val="0"/>
    </w:rPr>
  </w:style>
  <w:style w:type="character" w:customStyle="1" w:styleId="284">
    <w:name w:val="正文nlw Char"/>
    <w:link w:val="283"/>
    <w:qFormat/>
    <w:uiPriority w:val="99"/>
    <w:rPr>
      <w:bCs/>
      <w:color w:val="FF0000"/>
      <w:sz w:val="24"/>
      <w:szCs w:val="24"/>
    </w:rPr>
  </w:style>
  <w:style w:type="paragraph" w:customStyle="1" w:styleId="285">
    <w:name w:val="xl22"/>
    <w:basedOn w:val="1"/>
    <w:qFormat/>
    <w:uiPriority w:val="0"/>
    <w:pPr>
      <w:widowControl/>
      <w:pBdr>
        <w:bottom w:val="single" w:color="auto" w:sz="4" w:space="0"/>
        <w:right w:val="single" w:color="auto" w:sz="4" w:space="0"/>
      </w:pBdr>
      <w:spacing w:before="100" w:beforeAutospacing="1" w:after="100" w:afterAutospacing="1"/>
      <w:jc w:val="center"/>
    </w:pPr>
    <w:rPr>
      <w:rFonts w:ascii="宋体" w:hAnsi="宋体"/>
      <w:kern w:val="0"/>
    </w:rPr>
  </w:style>
  <w:style w:type="paragraph" w:customStyle="1" w:styleId="286">
    <w:name w:val="+正文"/>
    <w:basedOn w:val="1"/>
    <w:link w:val="3280"/>
    <w:qFormat/>
    <w:uiPriority w:val="0"/>
    <w:pPr>
      <w:spacing w:line="360" w:lineRule="auto"/>
      <w:ind w:firstLine="200" w:firstLineChars="200"/>
    </w:pPr>
    <w:rPr>
      <w:sz w:val="28"/>
      <w:szCs w:val="28"/>
    </w:rPr>
  </w:style>
  <w:style w:type="paragraph" w:customStyle="1" w:styleId="287">
    <w:name w:val="样式 标题 3标题 13ReHead 3 WSAh3B HeadH3..标题 3 Char Char标题 3 ...1"/>
    <w:basedOn w:val="5"/>
    <w:qFormat/>
    <w:uiPriority w:val="0"/>
    <w:pPr>
      <w:tabs>
        <w:tab w:val="left" w:pos="106"/>
      </w:tabs>
      <w:spacing w:before="120" w:after="120" w:line="360" w:lineRule="auto"/>
      <w:ind w:left="106"/>
    </w:pPr>
    <w:rPr>
      <w:rFonts w:ascii="宋体" w:hAnsi="宋体" w:eastAsia="Times New Roman" w:cs="宋体"/>
      <w:color w:val="000000"/>
      <w:sz w:val="24"/>
      <w:szCs w:val="20"/>
    </w:rPr>
  </w:style>
  <w:style w:type="paragraph" w:customStyle="1" w:styleId="288">
    <w:name w:val="Char"/>
    <w:basedOn w:val="1"/>
    <w:qFormat/>
    <w:uiPriority w:val="0"/>
    <w:rPr>
      <w:rFonts w:ascii="Tahoma" w:hAnsi="Tahoma"/>
    </w:rPr>
  </w:style>
  <w:style w:type="paragraph" w:customStyle="1" w:styleId="289">
    <w:name w:val="font0"/>
    <w:basedOn w:val="1"/>
    <w:qFormat/>
    <w:uiPriority w:val="0"/>
    <w:pPr>
      <w:widowControl/>
      <w:spacing w:before="100" w:beforeAutospacing="1" w:after="100" w:afterAutospacing="1"/>
      <w:jc w:val="left"/>
    </w:pPr>
    <w:rPr>
      <w:rFonts w:hint="eastAsia" w:ascii="宋体" w:hAnsi="宋体"/>
      <w:kern w:val="0"/>
    </w:rPr>
  </w:style>
  <w:style w:type="paragraph" w:customStyle="1" w:styleId="290">
    <w:name w:val="font1"/>
    <w:basedOn w:val="1"/>
    <w:qFormat/>
    <w:uiPriority w:val="0"/>
    <w:pPr>
      <w:widowControl/>
      <w:spacing w:before="100" w:beforeAutospacing="1" w:after="100" w:afterAutospacing="1"/>
      <w:jc w:val="left"/>
    </w:pPr>
    <w:rPr>
      <w:rFonts w:hint="eastAsia" w:ascii="宋体" w:hAnsi="宋体"/>
      <w:kern w:val="0"/>
    </w:rPr>
  </w:style>
  <w:style w:type="paragraph" w:customStyle="1" w:styleId="291">
    <w:name w:val="font9"/>
    <w:basedOn w:val="1"/>
    <w:qFormat/>
    <w:uiPriority w:val="0"/>
    <w:pPr>
      <w:widowControl/>
      <w:spacing w:before="100" w:beforeAutospacing="1" w:after="100" w:afterAutospacing="1"/>
      <w:jc w:val="left"/>
    </w:pPr>
    <w:rPr>
      <w:b/>
      <w:bCs/>
      <w:kern w:val="0"/>
      <w:sz w:val="36"/>
      <w:szCs w:val="36"/>
    </w:rPr>
  </w:style>
  <w:style w:type="paragraph" w:customStyle="1" w:styleId="292">
    <w:name w:val="font10"/>
    <w:basedOn w:val="1"/>
    <w:qFormat/>
    <w:uiPriority w:val="0"/>
    <w:pPr>
      <w:widowControl/>
      <w:spacing w:before="100" w:beforeAutospacing="1" w:after="100" w:afterAutospacing="1"/>
      <w:jc w:val="left"/>
    </w:pPr>
    <w:rPr>
      <w:b/>
      <w:bCs/>
      <w:kern w:val="0"/>
    </w:rPr>
  </w:style>
  <w:style w:type="paragraph" w:customStyle="1" w:styleId="293">
    <w:name w:val="font11"/>
    <w:basedOn w:val="1"/>
    <w:qFormat/>
    <w:uiPriority w:val="0"/>
    <w:pPr>
      <w:widowControl/>
      <w:spacing w:before="100" w:beforeAutospacing="1" w:after="100" w:afterAutospacing="1"/>
      <w:jc w:val="left"/>
    </w:pPr>
    <w:rPr>
      <w:rFonts w:hint="eastAsia" w:ascii="宋体" w:hAnsi="宋体"/>
      <w:kern w:val="0"/>
    </w:rPr>
  </w:style>
  <w:style w:type="paragraph" w:customStyle="1" w:styleId="294">
    <w:name w:val="font12"/>
    <w:basedOn w:val="1"/>
    <w:qFormat/>
    <w:uiPriority w:val="0"/>
    <w:pPr>
      <w:widowControl/>
      <w:spacing w:before="100" w:beforeAutospacing="1" w:after="100" w:afterAutospacing="1"/>
      <w:jc w:val="left"/>
    </w:pPr>
    <w:rPr>
      <w:rFonts w:hint="eastAsia" w:ascii="宋体" w:hAnsi="宋体"/>
      <w:color w:val="000000"/>
      <w:kern w:val="0"/>
    </w:rPr>
  </w:style>
  <w:style w:type="paragraph" w:customStyle="1" w:styleId="295">
    <w:name w:val="xl39"/>
    <w:basedOn w:val="1"/>
    <w:qFormat/>
    <w:uiPriority w:val="0"/>
    <w:pPr>
      <w:widowControl/>
      <w:pBdr>
        <w:top w:val="single" w:color="auto" w:sz="4" w:space="0"/>
        <w:left w:val="single" w:color="auto" w:sz="8" w:space="0"/>
        <w:bottom w:val="single" w:color="auto" w:sz="4" w:space="0"/>
        <w:right w:val="single" w:color="auto" w:sz="4" w:space="0"/>
      </w:pBdr>
      <w:spacing w:before="100" w:beforeAutospacing="1" w:after="100" w:afterAutospacing="1"/>
      <w:jc w:val="center"/>
    </w:pPr>
    <w:rPr>
      <w:rFonts w:ascii="宋体" w:hAnsi="宋体"/>
      <w:b/>
      <w:bCs/>
      <w:kern w:val="0"/>
    </w:rPr>
  </w:style>
  <w:style w:type="paragraph" w:customStyle="1" w:styleId="296">
    <w:name w:val="xl40"/>
    <w:basedOn w:val="1"/>
    <w:qFormat/>
    <w:uiPriority w:val="0"/>
    <w:pPr>
      <w:widowControl/>
      <w:pBdr>
        <w:top w:val="single" w:color="auto" w:sz="4" w:space="0"/>
        <w:left w:val="single" w:color="auto" w:sz="4" w:space="0"/>
        <w:bottom w:val="single" w:color="auto" w:sz="4" w:space="0"/>
        <w:right w:val="single" w:color="auto" w:sz="8" w:space="0"/>
      </w:pBdr>
      <w:spacing w:before="100" w:beforeAutospacing="1" w:after="100" w:afterAutospacing="1"/>
      <w:jc w:val="center"/>
    </w:pPr>
    <w:rPr>
      <w:rFonts w:ascii="宋体" w:hAnsi="宋体"/>
      <w:kern w:val="0"/>
    </w:rPr>
  </w:style>
  <w:style w:type="paragraph" w:customStyle="1" w:styleId="297">
    <w:name w:val="xl41"/>
    <w:basedOn w:val="1"/>
    <w:qFormat/>
    <w:uiPriority w:val="0"/>
    <w:pPr>
      <w:widowControl/>
      <w:pBdr>
        <w:top w:val="single" w:color="auto" w:sz="4" w:space="0"/>
        <w:left w:val="single" w:color="auto" w:sz="8" w:space="0"/>
        <w:bottom w:val="single" w:color="auto" w:sz="4" w:space="0"/>
        <w:right w:val="single" w:color="auto" w:sz="4" w:space="0"/>
      </w:pBdr>
      <w:shd w:val="clear" w:color="auto" w:fill="FFFF00"/>
      <w:spacing w:before="100" w:beforeAutospacing="1" w:after="100" w:afterAutospacing="1"/>
      <w:jc w:val="center"/>
    </w:pPr>
    <w:rPr>
      <w:rFonts w:ascii="宋体" w:hAnsi="宋体"/>
      <w:b/>
      <w:bCs/>
      <w:kern w:val="0"/>
    </w:rPr>
  </w:style>
  <w:style w:type="paragraph" w:customStyle="1" w:styleId="298">
    <w:name w:val="xl42"/>
    <w:basedOn w:val="1"/>
    <w:qFormat/>
    <w:uiPriority w:val="0"/>
    <w:pPr>
      <w:widowControl/>
      <w:pBdr>
        <w:top w:val="single" w:color="auto" w:sz="4" w:space="0"/>
        <w:left w:val="single" w:color="auto" w:sz="4" w:space="0"/>
        <w:bottom w:val="single" w:color="auto" w:sz="4" w:space="0"/>
        <w:right w:val="single" w:color="auto" w:sz="4" w:space="0"/>
      </w:pBdr>
      <w:shd w:val="clear" w:color="auto" w:fill="FFFF00"/>
      <w:spacing w:before="100" w:beforeAutospacing="1" w:after="100" w:afterAutospacing="1"/>
      <w:jc w:val="center"/>
    </w:pPr>
    <w:rPr>
      <w:rFonts w:ascii="宋体" w:hAnsi="宋体"/>
      <w:b/>
      <w:bCs/>
      <w:kern w:val="0"/>
    </w:rPr>
  </w:style>
  <w:style w:type="paragraph" w:customStyle="1" w:styleId="299">
    <w:name w:val="xl43"/>
    <w:basedOn w:val="1"/>
    <w:qFormat/>
    <w:uiPriority w:val="0"/>
    <w:pPr>
      <w:widowControl/>
      <w:pBdr>
        <w:top w:val="single" w:color="auto" w:sz="4" w:space="0"/>
        <w:left w:val="single" w:color="auto" w:sz="8" w:space="0"/>
        <w:bottom w:val="single" w:color="auto" w:sz="4" w:space="0"/>
        <w:right w:val="single" w:color="auto" w:sz="4" w:space="0"/>
      </w:pBdr>
      <w:shd w:val="clear" w:color="auto" w:fill="FF9900"/>
      <w:spacing w:before="100" w:beforeAutospacing="1" w:after="100" w:afterAutospacing="1"/>
      <w:jc w:val="center"/>
    </w:pPr>
    <w:rPr>
      <w:rFonts w:ascii="宋体" w:hAnsi="宋体"/>
      <w:b/>
      <w:bCs/>
      <w:kern w:val="0"/>
    </w:rPr>
  </w:style>
  <w:style w:type="paragraph" w:customStyle="1" w:styleId="300">
    <w:name w:val="xl44"/>
    <w:basedOn w:val="1"/>
    <w:qFormat/>
    <w:uiPriority w:val="0"/>
    <w:pPr>
      <w:widowControl/>
      <w:pBdr>
        <w:top w:val="single" w:color="auto" w:sz="4" w:space="0"/>
        <w:left w:val="single" w:color="auto" w:sz="4" w:space="0"/>
        <w:bottom w:val="single" w:color="auto" w:sz="4" w:space="0"/>
        <w:right w:val="single" w:color="auto" w:sz="4" w:space="0"/>
      </w:pBdr>
      <w:shd w:val="clear" w:color="auto" w:fill="FF9900"/>
      <w:spacing w:before="100" w:beforeAutospacing="1" w:after="100" w:afterAutospacing="1"/>
      <w:jc w:val="center"/>
    </w:pPr>
    <w:rPr>
      <w:rFonts w:ascii="宋体" w:hAnsi="宋体"/>
      <w:b/>
      <w:bCs/>
      <w:kern w:val="0"/>
    </w:rPr>
  </w:style>
  <w:style w:type="paragraph" w:customStyle="1" w:styleId="301">
    <w:name w:val="xl45"/>
    <w:basedOn w:val="1"/>
    <w:qFormat/>
    <w:uiPriority w:val="0"/>
    <w:pPr>
      <w:widowControl/>
      <w:pBdr>
        <w:top w:val="single" w:color="auto" w:sz="4" w:space="0"/>
        <w:left w:val="single" w:color="auto" w:sz="4" w:space="0"/>
        <w:bottom w:val="single" w:color="auto" w:sz="4" w:space="0"/>
        <w:right w:val="single" w:color="auto" w:sz="4" w:space="0"/>
      </w:pBdr>
      <w:shd w:val="clear" w:color="auto" w:fill="FF9900"/>
      <w:spacing w:before="100" w:beforeAutospacing="1" w:after="100" w:afterAutospacing="1"/>
      <w:jc w:val="center"/>
    </w:pPr>
    <w:rPr>
      <w:rFonts w:ascii="宋体" w:hAnsi="宋体"/>
      <w:b/>
      <w:bCs/>
      <w:kern w:val="0"/>
    </w:rPr>
  </w:style>
  <w:style w:type="paragraph" w:customStyle="1" w:styleId="302">
    <w:name w:val="xl46"/>
    <w:basedOn w:val="1"/>
    <w:qFormat/>
    <w:uiPriority w:val="0"/>
    <w:pPr>
      <w:widowControl/>
      <w:pBdr>
        <w:top w:val="single" w:color="auto" w:sz="4" w:space="0"/>
        <w:left w:val="single" w:color="auto" w:sz="4" w:space="0"/>
        <w:bottom w:val="single" w:color="auto" w:sz="4" w:space="0"/>
        <w:right w:val="single" w:color="auto" w:sz="8" w:space="0"/>
      </w:pBdr>
      <w:shd w:val="clear" w:color="auto" w:fill="FF9900"/>
      <w:spacing w:before="100" w:beforeAutospacing="1" w:after="100" w:afterAutospacing="1"/>
      <w:jc w:val="center"/>
    </w:pPr>
    <w:rPr>
      <w:rFonts w:ascii="宋体" w:hAnsi="宋体"/>
      <w:b/>
      <w:bCs/>
      <w:kern w:val="0"/>
    </w:rPr>
  </w:style>
  <w:style w:type="paragraph" w:customStyle="1" w:styleId="303">
    <w:name w:val="xl47"/>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b/>
      <w:bCs/>
      <w:kern w:val="0"/>
    </w:rPr>
  </w:style>
  <w:style w:type="paragraph" w:customStyle="1" w:styleId="304">
    <w:name w:val="xl48"/>
    <w:basedOn w:val="1"/>
    <w:qFormat/>
    <w:uiPriority w:val="0"/>
    <w:pPr>
      <w:widowControl/>
      <w:pBdr>
        <w:top w:val="single" w:color="auto" w:sz="4" w:space="0"/>
        <w:left w:val="single" w:color="auto" w:sz="4" w:space="0"/>
        <w:bottom w:val="single" w:color="auto" w:sz="4" w:space="0"/>
        <w:right w:val="single" w:color="auto" w:sz="8" w:space="0"/>
      </w:pBdr>
      <w:spacing w:before="100" w:beforeAutospacing="1" w:after="100" w:afterAutospacing="1"/>
      <w:jc w:val="center"/>
    </w:pPr>
    <w:rPr>
      <w:rFonts w:ascii="宋体" w:hAnsi="宋体"/>
      <w:b/>
      <w:bCs/>
      <w:kern w:val="0"/>
    </w:rPr>
  </w:style>
  <w:style w:type="paragraph" w:customStyle="1" w:styleId="305">
    <w:name w:val="xl49"/>
    <w:basedOn w:val="1"/>
    <w:qFormat/>
    <w:uiPriority w:val="0"/>
    <w:pPr>
      <w:widowControl/>
      <w:pBdr>
        <w:top w:val="single" w:color="auto" w:sz="4" w:space="0"/>
        <w:left w:val="single" w:color="auto" w:sz="8" w:space="0"/>
        <w:bottom w:val="single" w:color="auto" w:sz="4" w:space="0"/>
        <w:right w:val="single" w:color="auto" w:sz="4" w:space="0"/>
      </w:pBdr>
      <w:shd w:val="clear" w:color="auto" w:fill="33CCCC"/>
      <w:spacing w:before="100" w:beforeAutospacing="1" w:after="100" w:afterAutospacing="1"/>
      <w:jc w:val="center"/>
    </w:pPr>
    <w:rPr>
      <w:rFonts w:ascii="宋体" w:hAnsi="宋体"/>
      <w:kern w:val="0"/>
    </w:rPr>
  </w:style>
  <w:style w:type="paragraph" w:customStyle="1" w:styleId="306">
    <w:name w:val="xl50"/>
    <w:basedOn w:val="1"/>
    <w:qFormat/>
    <w:uiPriority w:val="0"/>
    <w:pPr>
      <w:widowControl/>
      <w:pBdr>
        <w:top w:val="single" w:color="auto" w:sz="4" w:space="0"/>
        <w:left w:val="single" w:color="auto" w:sz="4" w:space="0"/>
        <w:bottom w:val="single" w:color="auto" w:sz="4" w:space="0"/>
        <w:right w:val="single" w:color="auto" w:sz="4" w:space="0"/>
      </w:pBdr>
      <w:shd w:val="clear" w:color="auto" w:fill="33CCCC"/>
      <w:spacing w:before="100" w:beforeAutospacing="1" w:after="100" w:afterAutospacing="1"/>
      <w:jc w:val="center"/>
    </w:pPr>
    <w:rPr>
      <w:rFonts w:ascii="宋体" w:hAnsi="宋体"/>
      <w:kern w:val="0"/>
    </w:rPr>
  </w:style>
  <w:style w:type="paragraph" w:customStyle="1" w:styleId="307">
    <w:name w:val="xl51"/>
    <w:basedOn w:val="1"/>
    <w:qFormat/>
    <w:uiPriority w:val="0"/>
    <w:pPr>
      <w:widowControl/>
      <w:pBdr>
        <w:top w:val="single" w:color="auto" w:sz="4" w:space="0"/>
        <w:left w:val="single" w:color="auto" w:sz="4" w:space="0"/>
        <w:bottom w:val="single" w:color="auto" w:sz="4" w:space="0"/>
        <w:right w:val="single" w:color="auto" w:sz="4" w:space="0"/>
      </w:pBdr>
      <w:shd w:val="clear" w:color="auto" w:fill="33CCCC"/>
      <w:spacing w:before="100" w:beforeAutospacing="1" w:after="100" w:afterAutospacing="1"/>
      <w:jc w:val="center"/>
    </w:pPr>
    <w:rPr>
      <w:rFonts w:ascii="宋体" w:hAnsi="宋体"/>
      <w:kern w:val="0"/>
    </w:rPr>
  </w:style>
  <w:style w:type="paragraph" w:customStyle="1" w:styleId="308">
    <w:name w:val="xl52"/>
    <w:basedOn w:val="1"/>
    <w:qFormat/>
    <w:uiPriority w:val="0"/>
    <w:pPr>
      <w:widowControl/>
      <w:pBdr>
        <w:top w:val="single" w:color="auto" w:sz="4" w:space="0"/>
        <w:left w:val="single" w:color="auto" w:sz="4" w:space="0"/>
        <w:bottom w:val="single" w:color="auto" w:sz="4" w:space="0"/>
        <w:right w:val="single" w:color="auto" w:sz="8" w:space="0"/>
      </w:pBdr>
      <w:shd w:val="clear" w:color="auto" w:fill="33CCCC"/>
      <w:spacing w:before="100" w:beforeAutospacing="1" w:after="100" w:afterAutospacing="1"/>
      <w:jc w:val="center"/>
    </w:pPr>
    <w:rPr>
      <w:rFonts w:ascii="宋体" w:hAnsi="宋体"/>
      <w:kern w:val="0"/>
    </w:rPr>
  </w:style>
  <w:style w:type="paragraph" w:customStyle="1" w:styleId="309">
    <w:name w:val="xl53"/>
    <w:basedOn w:val="1"/>
    <w:qFormat/>
    <w:uiPriority w:val="0"/>
    <w:pPr>
      <w:widowControl/>
      <w:pBdr>
        <w:top w:val="single" w:color="auto" w:sz="4" w:space="0"/>
        <w:left w:val="single" w:color="auto" w:sz="8" w:space="0"/>
        <w:bottom w:val="single" w:color="auto" w:sz="4" w:space="0"/>
        <w:right w:val="single" w:color="auto" w:sz="4" w:space="0"/>
      </w:pBdr>
      <w:shd w:val="clear" w:color="auto" w:fill="33CCCC"/>
      <w:spacing w:before="100" w:beforeAutospacing="1" w:after="100" w:afterAutospacing="1"/>
      <w:jc w:val="center"/>
    </w:pPr>
    <w:rPr>
      <w:rFonts w:ascii="宋体" w:hAnsi="宋体"/>
      <w:b/>
      <w:bCs/>
      <w:kern w:val="0"/>
    </w:rPr>
  </w:style>
  <w:style w:type="paragraph" w:customStyle="1" w:styleId="310">
    <w:name w:val="xl54"/>
    <w:basedOn w:val="1"/>
    <w:qFormat/>
    <w:uiPriority w:val="0"/>
    <w:pPr>
      <w:widowControl/>
      <w:pBdr>
        <w:top w:val="single" w:color="auto" w:sz="4" w:space="0"/>
        <w:left w:val="single" w:color="auto" w:sz="4" w:space="0"/>
        <w:bottom w:val="single" w:color="auto" w:sz="4" w:space="0"/>
        <w:right w:val="single" w:color="auto" w:sz="8" w:space="0"/>
      </w:pBdr>
      <w:shd w:val="clear" w:color="auto" w:fill="33CCCC"/>
      <w:spacing w:before="100" w:beforeAutospacing="1" w:after="100" w:afterAutospacing="1"/>
      <w:jc w:val="center"/>
    </w:pPr>
    <w:rPr>
      <w:rFonts w:ascii="宋体" w:hAnsi="宋体"/>
      <w:b/>
      <w:bCs/>
      <w:kern w:val="0"/>
    </w:rPr>
  </w:style>
  <w:style w:type="paragraph" w:customStyle="1" w:styleId="311">
    <w:name w:val="xl55"/>
    <w:basedOn w:val="1"/>
    <w:qFormat/>
    <w:uiPriority w:val="0"/>
    <w:pPr>
      <w:widowControl/>
      <w:pBdr>
        <w:top w:val="single" w:color="auto" w:sz="4" w:space="0"/>
        <w:left w:val="single" w:color="auto" w:sz="8" w:space="0"/>
        <w:bottom w:val="single" w:color="auto" w:sz="4" w:space="0"/>
        <w:right w:val="single" w:color="auto" w:sz="4" w:space="0"/>
      </w:pBdr>
      <w:shd w:val="clear" w:color="auto" w:fill="00FF00"/>
      <w:spacing w:before="100" w:beforeAutospacing="1" w:after="100" w:afterAutospacing="1"/>
      <w:jc w:val="center"/>
    </w:pPr>
    <w:rPr>
      <w:rFonts w:ascii="宋体" w:hAnsi="宋体"/>
      <w:b/>
      <w:bCs/>
      <w:kern w:val="0"/>
    </w:rPr>
  </w:style>
  <w:style w:type="paragraph" w:customStyle="1" w:styleId="312">
    <w:name w:val="xl56"/>
    <w:basedOn w:val="1"/>
    <w:qFormat/>
    <w:uiPriority w:val="0"/>
    <w:pPr>
      <w:widowControl/>
      <w:pBdr>
        <w:top w:val="single" w:color="auto" w:sz="4" w:space="0"/>
        <w:left w:val="single" w:color="auto" w:sz="4" w:space="0"/>
        <w:bottom w:val="single" w:color="auto" w:sz="4" w:space="0"/>
        <w:right w:val="single" w:color="auto" w:sz="4" w:space="0"/>
      </w:pBdr>
      <w:shd w:val="clear" w:color="auto" w:fill="00FF00"/>
      <w:spacing w:before="100" w:beforeAutospacing="1" w:after="100" w:afterAutospacing="1"/>
      <w:jc w:val="center"/>
    </w:pPr>
    <w:rPr>
      <w:rFonts w:ascii="宋体" w:hAnsi="宋体"/>
      <w:b/>
      <w:bCs/>
      <w:kern w:val="0"/>
    </w:rPr>
  </w:style>
  <w:style w:type="paragraph" w:customStyle="1" w:styleId="313">
    <w:name w:val="xl57"/>
    <w:basedOn w:val="1"/>
    <w:qFormat/>
    <w:uiPriority w:val="0"/>
    <w:pPr>
      <w:widowControl/>
      <w:pBdr>
        <w:top w:val="single" w:color="auto" w:sz="4" w:space="0"/>
        <w:left w:val="single" w:color="auto" w:sz="4" w:space="0"/>
        <w:bottom w:val="single" w:color="auto" w:sz="4" w:space="0"/>
        <w:right w:val="single" w:color="auto" w:sz="4" w:space="0"/>
      </w:pBdr>
      <w:shd w:val="clear" w:color="auto" w:fill="00FF00"/>
      <w:spacing w:before="100" w:beforeAutospacing="1" w:after="100" w:afterAutospacing="1"/>
      <w:jc w:val="center"/>
    </w:pPr>
    <w:rPr>
      <w:rFonts w:ascii="宋体" w:hAnsi="宋体"/>
      <w:b/>
      <w:bCs/>
      <w:kern w:val="0"/>
    </w:rPr>
  </w:style>
  <w:style w:type="paragraph" w:customStyle="1" w:styleId="314">
    <w:name w:val="xl58"/>
    <w:basedOn w:val="1"/>
    <w:qFormat/>
    <w:uiPriority w:val="0"/>
    <w:pPr>
      <w:widowControl/>
      <w:pBdr>
        <w:top w:val="single" w:color="auto" w:sz="4" w:space="0"/>
        <w:left w:val="single" w:color="auto" w:sz="4" w:space="0"/>
        <w:bottom w:val="single" w:color="auto" w:sz="4" w:space="0"/>
        <w:right w:val="single" w:color="auto" w:sz="8" w:space="0"/>
      </w:pBdr>
      <w:shd w:val="clear" w:color="auto" w:fill="00FF00"/>
      <w:spacing w:before="100" w:beforeAutospacing="1" w:after="100" w:afterAutospacing="1"/>
      <w:jc w:val="center"/>
    </w:pPr>
    <w:rPr>
      <w:rFonts w:ascii="宋体" w:hAnsi="宋体"/>
      <w:b/>
      <w:bCs/>
      <w:kern w:val="0"/>
    </w:rPr>
  </w:style>
  <w:style w:type="paragraph" w:customStyle="1" w:styleId="315">
    <w:name w:val="xl59"/>
    <w:basedOn w:val="1"/>
    <w:qFormat/>
    <w:uiPriority w:val="0"/>
    <w:pPr>
      <w:widowControl/>
      <w:pBdr>
        <w:top w:val="single" w:color="auto" w:sz="4" w:space="0"/>
        <w:left w:val="single" w:color="auto" w:sz="4" w:space="0"/>
        <w:bottom w:val="single" w:color="auto" w:sz="4" w:space="0"/>
        <w:right w:val="single" w:color="auto" w:sz="4" w:space="0"/>
      </w:pBdr>
      <w:shd w:val="clear" w:color="auto" w:fill="FFFFFF"/>
      <w:spacing w:before="100" w:beforeAutospacing="1" w:after="100" w:afterAutospacing="1"/>
      <w:jc w:val="center"/>
    </w:pPr>
    <w:rPr>
      <w:rFonts w:ascii="宋体" w:hAnsi="宋体"/>
      <w:b/>
      <w:bCs/>
      <w:kern w:val="0"/>
    </w:rPr>
  </w:style>
  <w:style w:type="paragraph" w:customStyle="1" w:styleId="316">
    <w:name w:val="xl60"/>
    <w:basedOn w:val="1"/>
    <w:qFormat/>
    <w:uiPriority w:val="0"/>
    <w:pPr>
      <w:widowControl/>
      <w:pBdr>
        <w:top w:val="single" w:color="auto" w:sz="4" w:space="0"/>
        <w:left w:val="single" w:color="auto" w:sz="4" w:space="0"/>
        <w:bottom w:val="single" w:color="auto" w:sz="4" w:space="0"/>
        <w:right w:val="single" w:color="auto" w:sz="4" w:space="0"/>
      </w:pBdr>
      <w:shd w:val="clear" w:color="auto" w:fill="FFFFFF"/>
      <w:spacing w:before="100" w:beforeAutospacing="1" w:after="100" w:afterAutospacing="1"/>
      <w:jc w:val="center"/>
    </w:pPr>
    <w:rPr>
      <w:rFonts w:ascii="宋体" w:hAnsi="宋体"/>
      <w:kern w:val="0"/>
    </w:rPr>
  </w:style>
  <w:style w:type="paragraph" w:customStyle="1" w:styleId="317">
    <w:name w:val="xl61"/>
    <w:basedOn w:val="1"/>
    <w:qFormat/>
    <w:uiPriority w:val="0"/>
    <w:pPr>
      <w:widowControl/>
      <w:pBdr>
        <w:top w:val="single" w:color="auto" w:sz="4" w:space="0"/>
        <w:left w:val="single" w:color="auto" w:sz="8" w:space="0"/>
        <w:bottom w:val="single" w:color="auto" w:sz="4" w:space="0"/>
        <w:right w:val="single" w:color="auto" w:sz="4" w:space="0"/>
      </w:pBdr>
      <w:shd w:val="clear" w:color="auto" w:fill="FFFFFF"/>
      <w:spacing w:before="100" w:beforeAutospacing="1" w:after="100" w:afterAutospacing="1"/>
      <w:jc w:val="center"/>
    </w:pPr>
    <w:rPr>
      <w:rFonts w:ascii="宋体" w:hAnsi="宋体"/>
      <w:kern w:val="0"/>
    </w:rPr>
  </w:style>
  <w:style w:type="paragraph" w:customStyle="1" w:styleId="318">
    <w:name w:val="xl62"/>
    <w:basedOn w:val="1"/>
    <w:qFormat/>
    <w:uiPriority w:val="0"/>
    <w:pPr>
      <w:widowControl/>
      <w:pBdr>
        <w:top w:val="single" w:color="auto" w:sz="4" w:space="0"/>
        <w:left w:val="single" w:color="auto" w:sz="4" w:space="0"/>
        <w:bottom w:val="single" w:color="auto" w:sz="4" w:space="0"/>
        <w:right w:val="single" w:color="auto" w:sz="4" w:space="0"/>
      </w:pBdr>
      <w:shd w:val="clear" w:color="auto" w:fill="FFFFFF"/>
      <w:spacing w:before="100" w:beforeAutospacing="1" w:after="100" w:afterAutospacing="1"/>
      <w:jc w:val="center"/>
    </w:pPr>
    <w:rPr>
      <w:kern w:val="0"/>
    </w:rPr>
  </w:style>
  <w:style w:type="paragraph" w:customStyle="1" w:styleId="319">
    <w:name w:val="xl63"/>
    <w:basedOn w:val="1"/>
    <w:qFormat/>
    <w:uiPriority w:val="0"/>
    <w:pPr>
      <w:widowControl/>
      <w:pBdr>
        <w:top w:val="single" w:color="auto" w:sz="4" w:space="0"/>
        <w:left w:val="single" w:color="auto" w:sz="4" w:space="0"/>
        <w:bottom w:val="single" w:color="auto" w:sz="4" w:space="0"/>
        <w:right w:val="single" w:color="auto" w:sz="4" w:space="0"/>
      </w:pBdr>
      <w:shd w:val="clear" w:color="auto" w:fill="FFFFFF"/>
      <w:spacing w:before="100" w:beforeAutospacing="1" w:after="100" w:afterAutospacing="1"/>
      <w:jc w:val="center"/>
    </w:pPr>
    <w:rPr>
      <w:rFonts w:ascii="宋体" w:hAnsi="宋体"/>
      <w:kern w:val="0"/>
    </w:rPr>
  </w:style>
  <w:style w:type="paragraph" w:customStyle="1" w:styleId="320">
    <w:name w:val="xl64"/>
    <w:basedOn w:val="1"/>
    <w:qFormat/>
    <w:uiPriority w:val="0"/>
    <w:pPr>
      <w:widowControl/>
      <w:pBdr>
        <w:top w:val="single" w:color="auto" w:sz="4" w:space="0"/>
        <w:left w:val="single" w:color="auto" w:sz="4" w:space="0"/>
        <w:bottom w:val="single" w:color="auto" w:sz="4" w:space="0"/>
      </w:pBdr>
      <w:shd w:val="clear" w:color="auto" w:fill="FFFFFF"/>
      <w:spacing w:before="100" w:beforeAutospacing="1" w:after="100" w:afterAutospacing="1"/>
      <w:jc w:val="center"/>
    </w:pPr>
    <w:rPr>
      <w:rFonts w:ascii="宋体" w:hAnsi="宋体"/>
      <w:kern w:val="0"/>
    </w:rPr>
  </w:style>
  <w:style w:type="paragraph" w:customStyle="1" w:styleId="321">
    <w:name w:val="xl65"/>
    <w:basedOn w:val="1"/>
    <w:qFormat/>
    <w:uiPriority w:val="0"/>
    <w:pPr>
      <w:widowControl/>
      <w:pBdr>
        <w:top w:val="single" w:color="auto" w:sz="4" w:space="0"/>
        <w:left w:val="single" w:color="auto" w:sz="8" w:space="0"/>
        <w:bottom w:val="single" w:color="auto" w:sz="4" w:space="0"/>
        <w:right w:val="single" w:color="auto" w:sz="4" w:space="0"/>
      </w:pBdr>
      <w:shd w:val="clear" w:color="auto" w:fill="FFFFFF"/>
      <w:spacing w:before="100" w:beforeAutospacing="1" w:after="100" w:afterAutospacing="1"/>
      <w:jc w:val="center"/>
    </w:pPr>
    <w:rPr>
      <w:rFonts w:ascii="宋体" w:hAnsi="宋体"/>
      <w:b/>
      <w:bCs/>
      <w:color w:val="000000"/>
      <w:kern w:val="0"/>
    </w:rPr>
  </w:style>
  <w:style w:type="paragraph" w:customStyle="1" w:styleId="322">
    <w:name w:val="xl66"/>
    <w:basedOn w:val="1"/>
    <w:qFormat/>
    <w:uiPriority w:val="0"/>
    <w:pPr>
      <w:widowControl/>
      <w:pBdr>
        <w:top w:val="single" w:color="auto" w:sz="4" w:space="0"/>
        <w:left w:val="single" w:color="auto" w:sz="4" w:space="0"/>
        <w:bottom w:val="single" w:color="auto" w:sz="4" w:space="0"/>
        <w:right w:val="single" w:color="auto" w:sz="4" w:space="0"/>
      </w:pBdr>
      <w:shd w:val="clear" w:color="auto" w:fill="FFFFFF"/>
      <w:spacing w:before="100" w:beforeAutospacing="1" w:after="100" w:afterAutospacing="1"/>
      <w:jc w:val="center"/>
    </w:pPr>
    <w:rPr>
      <w:rFonts w:ascii="宋体" w:hAnsi="宋体"/>
      <w:b/>
      <w:bCs/>
      <w:color w:val="000000"/>
      <w:kern w:val="0"/>
    </w:rPr>
  </w:style>
  <w:style w:type="paragraph" w:customStyle="1" w:styleId="323">
    <w:name w:val="xl67"/>
    <w:basedOn w:val="1"/>
    <w:qFormat/>
    <w:uiPriority w:val="0"/>
    <w:pPr>
      <w:widowControl/>
      <w:pBdr>
        <w:top w:val="single" w:color="auto" w:sz="4" w:space="0"/>
        <w:left w:val="single" w:color="auto" w:sz="4" w:space="0"/>
        <w:bottom w:val="single" w:color="auto" w:sz="4" w:space="0"/>
        <w:right w:val="single" w:color="auto" w:sz="4" w:space="0"/>
      </w:pBdr>
      <w:shd w:val="clear" w:color="auto" w:fill="FFFFFF"/>
      <w:spacing w:before="100" w:beforeAutospacing="1" w:after="100" w:afterAutospacing="1"/>
      <w:jc w:val="center"/>
    </w:pPr>
    <w:rPr>
      <w:rFonts w:ascii="宋体" w:hAnsi="宋体"/>
      <w:b/>
      <w:bCs/>
      <w:color w:val="000000"/>
      <w:kern w:val="0"/>
    </w:rPr>
  </w:style>
  <w:style w:type="paragraph" w:customStyle="1" w:styleId="324">
    <w:name w:val="xl68"/>
    <w:basedOn w:val="1"/>
    <w:qFormat/>
    <w:uiPriority w:val="0"/>
    <w:pPr>
      <w:widowControl/>
      <w:pBdr>
        <w:top w:val="single" w:color="auto" w:sz="4" w:space="0"/>
        <w:left w:val="single" w:color="auto" w:sz="4" w:space="0"/>
        <w:bottom w:val="single" w:color="auto" w:sz="4" w:space="0"/>
      </w:pBdr>
      <w:shd w:val="clear" w:color="auto" w:fill="FFFFFF"/>
      <w:spacing w:before="100" w:beforeAutospacing="1" w:after="100" w:afterAutospacing="1"/>
      <w:jc w:val="center"/>
    </w:pPr>
    <w:rPr>
      <w:rFonts w:ascii="宋体" w:hAnsi="宋体"/>
      <w:b/>
      <w:bCs/>
      <w:color w:val="000000"/>
      <w:kern w:val="0"/>
    </w:rPr>
  </w:style>
  <w:style w:type="paragraph" w:customStyle="1" w:styleId="325">
    <w:name w:val="xl69"/>
    <w:basedOn w:val="1"/>
    <w:qFormat/>
    <w:uiPriority w:val="0"/>
    <w:pPr>
      <w:widowControl/>
      <w:pBdr>
        <w:top w:val="single" w:color="auto" w:sz="4" w:space="0"/>
        <w:left w:val="single" w:color="auto" w:sz="8" w:space="0"/>
        <w:bottom w:val="single" w:color="auto" w:sz="4" w:space="0"/>
        <w:right w:val="single" w:color="auto" w:sz="4" w:space="0"/>
      </w:pBdr>
      <w:shd w:val="clear" w:color="auto" w:fill="FFFFFF"/>
      <w:spacing w:before="100" w:beforeAutospacing="1" w:after="100" w:afterAutospacing="1"/>
      <w:jc w:val="center"/>
    </w:pPr>
    <w:rPr>
      <w:rFonts w:ascii="宋体" w:hAnsi="宋体"/>
      <w:color w:val="000000"/>
      <w:kern w:val="0"/>
    </w:rPr>
  </w:style>
  <w:style w:type="paragraph" w:customStyle="1" w:styleId="326">
    <w:name w:val="xl70"/>
    <w:basedOn w:val="1"/>
    <w:qFormat/>
    <w:uiPriority w:val="0"/>
    <w:pPr>
      <w:widowControl/>
      <w:pBdr>
        <w:top w:val="single" w:color="auto" w:sz="4" w:space="0"/>
        <w:left w:val="single" w:color="auto" w:sz="4" w:space="0"/>
        <w:bottom w:val="single" w:color="auto" w:sz="4" w:space="0"/>
        <w:right w:val="single" w:color="auto" w:sz="4" w:space="0"/>
      </w:pBdr>
      <w:shd w:val="clear" w:color="auto" w:fill="FFFFFF"/>
      <w:spacing w:before="100" w:beforeAutospacing="1" w:after="100" w:afterAutospacing="1"/>
      <w:jc w:val="center"/>
    </w:pPr>
    <w:rPr>
      <w:rFonts w:ascii="宋体" w:hAnsi="宋体"/>
      <w:color w:val="000000"/>
      <w:kern w:val="0"/>
    </w:rPr>
  </w:style>
  <w:style w:type="paragraph" w:customStyle="1" w:styleId="327">
    <w:name w:val="xl71"/>
    <w:basedOn w:val="1"/>
    <w:qFormat/>
    <w:uiPriority w:val="0"/>
    <w:pPr>
      <w:widowControl/>
      <w:pBdr>
        <w:top w:val="single" w:color="auto" w:sz="4" w:space="0"/>
        <w:left w:val="single" w:color="auto" w:sz="4" w:space="0"/>
        <w:bottom w:val="single" w:color="auto" w:sz="4" w:space="0"/>
        <w:right w:val="single" w:color="auto" w:sz="4" w:space="0"/>
      </w:pBdr>
      <w:shd w:val="clear" w:color="auto" w:fill="FFFFFF"/>
      <w:spacing w:before="100" w:beforeAutospacing="1" w:after="100" w:afterAutospacing="1"/>
      <w:jc w:val="center"/>
    </w:pPr>
    <w:rPr>
      <w:rFonts w:ascii="宋体" w:hAnsi="宋体"/>
      <w:color w:val="000000"/>
      <w:kern w:val="0"/>
    </w:rPr>
  </w:style>
  <w:style w:type="paragraph" w:customStyle="1" w:styleId="328">
    <w:name w:val="xl72"/>
    <w:basedOn w:val="1"/>
    <w:qFormat/>
    <w:uiPriority w:val="0"/>
    <w:pPr>
      <w:widowControl/>
      <w:pBdr>
        <w:top w:val="single" w:color="auto" w:sz="4" w:space="0"/>
        <w:left w:val="single" w:color="auto" w:sz="4" w:space="0"/>
        <w:bottom w:val="single" w:color="auto" w:sz="4" w:space="0"/>
      </w:pBdr>
      <w:shd w:val="clear" w:color="auto" w:fill="FFFFFF"/>
      <w:spacing w:before="100" w:beforeAutospacing="1" w:after="100" w:afterAutospacing="1"/>
      <w:jc w:val="center"/>
    </w:pPr>
    <w:rPr>
      <w:rFonts w:ascii="宋体" w:hAnsi="宋体"/>
      <w:color w:val="000000"/>
      <w:kern w:val="0"/>
    </w:rPr>
  </w:style>
  <w:style w:type="paragraph" w:customStyle="1" w:styleId="329">
    <w:name w:val="xl73"/>
    <w:basedOn w:val="1"/>
    <w:qFormat/>
    <w:uiPriority w:val="0"/>
    <w:pPr>
      <w:widowControl/>
      <w:pBdr>
        <w:top w:val="single" w:color="auto" w:sz="4" w:space="0"/>
        <w:left w:val="single" w:color="auto" w:sz="4" w:space="0"/>
        <w:bottom w:val="single" w:color="auto" w:sz="4" w:space="0"/>
        <w:right w:val="single" w:color="auto" w:sz="4" w:space="0"/>
      </w:pBdr>
      <w:shd w:val="clear" w:color="auto" w:fill="FFFFFF"/>
      <w:spacing w:before="100" w:beforeAutospacing="1" w:after="100" w:afterAutospacing="1"/>
      <w:jc w:val="center"/>
    </w:pPr>
    <w:rPr>
      <w:color w:val="000000"/>
      <w:kern w:val="0"/>
    </w:rPr>
  </w:style>
  <w:style w:type="paragraph" w:customStyle="1" w:styleId="330">
    <w:name w:val="xl74"/>
    <w:basedOn w:val="1"/>
    <w:qFormat/>
    <w:uiPriority w:val="0"/>
    <w:pPr>
      <w:widowControl/>
      <w:pBdr>
        <w:top w:val="single" w:color="auto" w:sz="4" w:space="0"/>
        <w:left w:val="single" w:color="auto" w:sz="4" w:space="0"/>
        <w:bottom w:val="single" w:color="auto" w:sz="4" w:space="0"/>
        <w:right w:val="single" w:color="auto" w:sz="8" w:space="0"/>
      </w:pBdr>
      <w:shd w:val="clear" w:color="auto" w:fill="FFFF00"/>
      <w:spacing w:before="100" w:beforeAutospacing="1" w:after="100" w:afterAutospacing="1"/>
      <w:jc w:val="center"/>
    </w:pPr>
    <w:rPr>
      <w:rFonts w:ascii="宋体" w:hAnsi="宋体"/>
      <w:kern w:val="0"/>
    </w:rPr>
  </w:style>
  <w:style w:type="paragraph" w:customStyle="1" w:styleId="331">
    <w:name w:val="xl75"/>
    <w:basedOn w:val="1"/>
    <w:qFormat/>
    <w:uiPriority w:val="0"/>
    <w:pPr>
      <w:widowControl/>
      <w:shd w:val="clear" w:color="auto" w:fill="FFFFFF"/>
      <w:spacing w:before="100" w:beforeAutospacing="1" w:after="100" w:afterAutospacing="1"/>
      <w:jc w:val="center"/>
    </w:pPr>
    <w:rPr>
      <w:rFonts w:ascii="宋体" w:hAnsi="宋体"/>
      <w:b/>
      <w:bCs/>
      <w:kern w:val="0"/>
      <w:sz w:val="36"/>
      <w:szCs w:val="36"/>
    </w:rPr>
  </w:style>
  <w:style w:type="paragraph" w:customStyle="1" w:styleId="332">
    <w:name w:val="xl76"/>
    <w:basedOn w:val="1"/>
    <w:qFormat/>
    <w:uiPriority w:val="0"/>
    <w:pPr>
      <w:widowControl/>
      <w:pBdr>
        <w:bottom w:val="single" w:color="auto" w:sz="8" w:space="0"/>
      </w:pBdr>
      <w:shd w:val="clear" w:color="auto" w:fill="FFFFFF"/>
      <w:spacing w:before="100" w:beforeAutospacing="1" w:after="100" w:afterAutospacing="1"/>
      <w:jc w:val="left"/>
    </w:pPr>
    <w:rPr>
      <w:rFonts w:ascii="宋体" w:hAnsi="宋体"/>
      <w:kern w:val="0"/>
    </w:rPr>
  </w:style>
  <w:style w:type="paragraph" w:customStyle="1" w:styleId="333">
    <w:name w:val="正文首行缩进1"/>
    <w:basedOn w:val="1"/>
    <w:link w:val="3290"/>
    <w:qFormat/>
    <w:uiPriority w:val="0"/>
    <w:pPr>
      <w:adjustRightInd w:val="0"/>
      <w:spacing w:line="300" w:lineRule="atLeast"/>
      <w:ind w:firstLine="539"/>
      <w:textAlignment w:val="baseline"/>
    </w:pPr>
    <w:rPr>
      <w:rFonts w:ascii="宋体"/>
      <w:kern w:val="0"/>
    </w:rPr>
  </w:style>
  <w:style w:type="paragraph" w:customStyle="1" w:styleId="334">
    <w:name w:val="2"/>
    <w:basedOn w:val="1"/>
    <w:next w:val="45"/>
    <w:qFormat/>
    <w:uiPriority w:val="99"/>
    <w:rPr>
      <w:rFonts w:ascii="宋体" w:hAnsi="Courier New"/>
      <w:kern w:val="0"/>
      <w:sz w:val="21"/>
    </w:rPr>
  </w:style>
  <w:style w:type="paragraph" w:customStyle="1" w:styleId="335">
    <w:name w:val="表格式"/>
    <w:basedOn w:val="66"/>
    <w:qFormat/>
    <w:uiPriority w:val="0"/>
    <w:pPr>
      <w:spacing w:line="0" w:lineRule="atLeast"/>
      <w:ind w:left="0" w:firstLine="0" w:firstLineChars="0"/>
      <w:jc w:val="center"/>
    </w:pPr>
    <w:rPr>
      <w:rFonts w:ascii="宋体" w:hAnsi="宋体"/>
      <w:sz w:val="28"/>
      <w:szCs w:val="28"/>
    </w:rPr>
  </w:style>
  <w:style w:type="paragraph" w:customStyle="1" w:styleId="336">
    <w:name w:val="样式"/>
    <w:basedOn w:val="1"/>
    <w:next w:val="51"/>
    <w:qFormat/>
    <w:uiPriority w:val="0"/>
    <w:pPr>
      <w:spacing w:line="360" w:lineRule="auto"/>
      <w:ind w:left="359" w:leftChars="171" w:firstLine="701" w:firstLineChars="247"/>
    </w:pPr>
    <w:rPr>
      <w:spacing w:val="22"/>
    </w:rPr>
  </w:style>
  <w:style w:type="paragraph" w:customStyle="1" w:styleId="337">
    <w:name w:val="font13"/>
    <w:basedOn w:val="1"/>
    <w:qFormat/>
    <w:uiPriority w:val="0"/>
    <w:pPr>
      <w:widowControl/>
      <w:spacing w:before="100" w:beforeAutospacing="1" w:after="100" w:afterAutospacing="1"/>
      <w:jc w:val="left"/>
    </w:pPr>
    <w:rPr>
      <w:rFonts w:hint="eastAsia" w:ascii="黑体" w:hAnsi="Arial Unicode MS" w:eastAsia="黑体"/>
      <w:b/>
      <w:bCs/>
      <w:kern w:val="0"/>
      <w:sz w:val="20"/>
    </w:rPr>
  </w:style>
  <w:style w:type="paragraph" w:customStyle="1" w:styleId="338">
    <w:name w:val="font14"/>
    <w:basedOn w:val="1"/>
    <w:qFormat/>
    <w:uiPriority w:val="0"/>
    <w:pPr>
      <w:widowControl/>
      <w:spacing w:before="100" w:beforeAutospacing="1" w:after="100" w:afterAutospacing="1"/>
      <w:jc w:val="left"/>
    </w:pPr>
    <w:rPr>
      <w:rFonts w:eastAsia="Arial Unicode MS"/>
      <w:b/>
      <w:bCs/>
      <w:kern w:val="0"/>
      <w:sz w:val="20"/>
    </w:rPr>
  </w:style>
  <w:style w:type="paragraph" w:customStyle="1" w:styleId="339">
    <w:name w:val="xl77"/>
    <w:basedOn w:val="1"/>
    <w:qFormat/>
    <w:uiPriority w:val="0"/>
    <w:pPr>
      <w:widowControl/>
      <w:pBdr>
        <w:top w:val="single" w:color="auto" w:sz="4" w:space="0"/>
        <w:left w:val="single" w:color="auto" w:sz="4" w:space="0"/>
        <w:right w:val="single" w:color="auto" w:sz="4" w:space="0"/>
      </w:pBdr>
      <w:spacing w:before="100" w:beforeAutospacing="1" w:after="100" w:afterAutospacing="1"/>
      <w:jc w:val="center"/>
      <w:textAlignment w:val="center"/>
    </w:pPr>
    <w:rPr>
      <w:rFonts w:ascii="Arial Unicode MS" w:hAnsi="Arial Unicode MS" w:eastAsia="Arial Unicode MS"/>
      <w:color w:val="000000"/>
      <w:kern w:val="0"/>
      <w:sz w:val="20"/>
    </w:rPr>
  </w:style>
  <w:style w:type="paragraph" w:customStyle="1" w:styleId="340">
    <w:name w:val="xl78"/>
    <w:basedOn w:val="1"/>
    <w:qFormat/>
    <w:uiPriority w:val="0"/>
    <w:pPr>
      <w:widowControl/>
      <w:pBdr>
        <w:left w:val="single" w:color="auto" w:sz="4" w:space="0"/>
        <w:bottom w:val="single" w:color="auto" w:sz="4" w:space="0"/>
        <w:right w:val="single" w:color="auto" w:sz="4" w:space="0"/>
      </w:pBdr>
      <w:spacing w:before="100" w:beforeAutospacing="1" w:after="100" w:afterAutospacing="1"/>
      <w:jc w:val="center"/>
      <w:textAlignment w:val="center"/>
    </w:pPr>
    <w:rPr>
      <w:rFonts w:ascii="Arial Unicode MS" w:hAnsi="Arial Unicode MS" w:eastAsia="Arial Unicode MS"/>
      <w:color w:val="000000"/>
      <w:kern w:val="0"/>
      <w:sz w:val="20"/>
    </w:rPr>
  </w:style>
  <w:style w:type="paragraph" w:customStyle="1" w:styleId="341">
    <w:name w:val="xl79"/>
    <w:basedOn w:val="1"/>
    <w:qFormat/>
    <w:uiPriority w:val="0"/>
    <w:pPr>
      <w:widowControl/>
      <w:pBdr>
        <w:left w:val="single" w:color="auto" w:sz="4" w:space="0"/>
        <w:bottom w:val="single" w:color="auto" w:sz="4" w:space="0"/>
        <w:right w:val="single" w:color="auto" w:sz="4" w:space="0"/>
      </w:pBdr>
      <w:spacing w:before="100" w:beforeAutospacing="1" w:after="100" w:afterAutospacing="1"/>
      <w:jc w:val="center"/>
      <w:textAlignment w:val="center"/>
    </w:pPr>
    <w:rPr>
      <w:rFonts w:ascii="Arial Unicode MS" w:hAnsi="Arial Unicode MS" w:eastAsia="Arial Unicode MS"/>
      <w:color w:val="000000"/>
      <w:kern w:val="0"/>
      <w:sz w:val="20"/>
    </w:rPr>
  </w:style>
  <w:style w:type="paragraph" w:customStyle="1" w:styleId="342">
    <w:name w:val="xl80"/>
    <w:basedOn w:val="1"/>
    <w:qFormat/>
    <w:uiPriority w:val="0"/>
    <w:pPr>
      <w:widowControl/>
      <w:pBdr>
        <w:top w:val="single" w:color="auto" w:sz="4" w:space="0"/>
        <w:left w:val="single" w:color="auto" w:sz="4" w:space="0"/>
        <w:bottom w:val="single" w:color="auto" w:sz="4" w:space="0"/>
      </w:pBdr>
      <w:spacing w:before="100" w:beforeAutospacing="1" w:after="100" w:afterAutospacing="1"/>
      <w:jc w:val="center"/>
    </w:pPr>
    <w:rPr>
      <w:rFonts w:ascii="Arial Unicode MS" w:hAnsi="Arial Unicode MS" w:eastAsia="Arial Unicode MS"/>
      <w:color w:val="000000"/>
      <w:kern w:val="0"/>
      <w:sz w:val="20"/>
    </w:rPr>
  </w:style>
  <w:style w:type="paragraph" w:customStyle="1" w:styleId="343">
    <w:name w:val="xl81"/>
    <w:basedOn w:val="1"/>
    <w:qFormat/>
    <w:uiPriority w:val="0"/>
    <w:pPr>
      <w:widowControl/>
      <w:pBdr>
        <w:top w:val="single" w:color="auto" w:sz="4" w:space="0"/>
        <w:bottom w:val="single" w:color="auto" w:sz="4" w:space="0"/>
      </w:pBdr>
      <w:spacing w:before="100" w:beforeAutospacing="1" w:after="100" w:afterAutospacing="1"/>
      <w:jc w:val="center"/>
    </w:pPr>
    <w:rPr>
      <w:rFonts w:ascii="Arial Unicode MS" w:hAnsi="Arial Unicode MS" w:eastAsia="Arial Unicode MS"/>
      <w:color w:val="000000"/>
      <w:kern w:val="0"/>
      <w:sz w:val="20"/>
    </w:rPr>
  </w:style>
  <w:style w:type="paragraph" w:customStyle="1" w:styleId="344">
    <w:name w:val="xl82"/>
    <w:basedOn w:val="1"/>
    <w:qFormat/>
    <w:uiPriority w:val="0"/>
    <w:pPr>
      <w:widowControl/>
      <w:pBdr>
        <w:top w:val="single" w:color="auto" w:sz="4" w:space="0"/>
        <w:bottom w:val="single" w:color="auto" w:sz="4" w:space="0"/>
        <w:right w:val="single" w:color="auto" w:sz="4" w:space="0"/>
      </w:pBdr>
      <w:spacing w:before="100" w:beforeAutospacing="1" w:after="100" w:afterAutospacing="1"/>
      <w:jc w:val="center"/>
    </w:pPr>
    <w:rPr>
      <w:rFonts w:ascii="Arial Unicode MS" w:hAnsi="Arial Unicode MS" w:eastAsia="Arial Unicode MS"/>
      <w:color w:val="000000"/>
      <w:kern w:val="0"/>
      <w:sz w:val="20"/>
    </w:rPr>
  </w:style>
  <w:style w:type="paragraph" w:customStyle="1" w:styleId="345">
    <w:name w:val="font15"/>
    <w:basedOn w:val="1"/>
    <w:qFormat/>
    <w:uiPriority w:val="0"/>
    <w:pPr>
      <w:widowControl/>
      <w:spacing w:before="100" w:beforeAutospacing="1" w:after="100" w:afterAutospacing="1"/>
      <w:jc w:val="left"/>
    </w:pPr>
    <w:rPr>
      <w:rFonts w:eastAsia="Arial Unicode MS"/>
      <w:kern w:val="0"/>
      <w:sz w:val="16"/>
      <w:szCs w:val="16"/>
    </w:rPr>
  </w:style>
  <w:style w:type="paragraph" w:customStyle="1" w:styleId="346">
    <w:name w:val="font16"/>
    <w:basedOn w:val="1"/>
    <w:qFormat/>
    <w:uiPriority w:val="0"/>
    <w:pPr>
      <w:widowControl/>
      <w:spacing w:before="100" w:beforeAutospacing="1" w:after="100" w:afterAutospacing="1"/>
      <w:jc w:val="left"/>
    </w:pPr>
    <w:rPr>
      <w:rFonts w:hint="eastAsia" w:ascii="宋体" w:hAnsi="宋体"/>
      <w:color w:val="000000"/>
      <w:kern w:val="0"/>
      <w:sz w:val="16"/>
      <w:szCs w:val="16"/>
    </w:rPr>
  </w:style>
  <w:style w:type="paragraph" w:customStyle="1" w:styleId="347">
    <w:name w:val="font17"/>
    <w:basedOn w:val="1"/>
    <w:qFormat/>
    <w:uiPriority w:val="0"/>
    <w:pPr>
      <w:widowControl/>
      <w:spacing w:before="100" w:beforeAutospacing="1" w:after="100" w:afterAutospacing="1"/>
      <w:jc w:val="left"/>
    </w:pPr>
    <w:rPr>
      <w:rFonts w:eastAsia="Arial Unicode MS"/>
      <w:color w:val="000000"/>
      <w:kern w:val="0"/>
      <w:sz w:val="16"/>
      <w:szCs w:val="16"/>
    </w:rPr>
  </w:style>
  <w:style w:type="paragraph" w:customStyle="1" w:styleId="348">
    <w:name w:val="font18"/>
    <w:basedOn w:val="1"/>
    <w:qFormat/>
    <w:uiPriority w:val="0"/>
    <w:pPr>
      <w:widowControl/>
      <w:spacing w:before="100" w:beforeAutospacing="1" w:after="100" w:afterAutospacing="1"/>
      <w:jc w:val="left"/>
    </w:pPr>
    <w:rPr>
      <w:rFonts w:hint="eastAsia" w:ascii="宋体" w:hAnsi="宋体"/>
      <w:b/>
      <w:bCs/>
      <w:kern w:val="0"/>
      <w:sz w:val="20"/>
    </w:rPr>
  </w:style>
  <w:style w:type="paragraph" w:customStyle="1" w:styleId="349">
    <w:name w:val="font19"/>
    <w:basedOn w:val="1"/>
    <w:qFormat/>
    <w:uiPriority w:val="0"/>
    <w:pPr>
      <w:widowControl/>
      <w:spacing w:before="100" w:beforeAutospacing="1" w:after="100" w:afterAutospacing="1"/>
      <w:jc w:val="left"/>
    </w:pPr>
    <w:rPr>
      <w:rFonts w:hint="eastAsia" w:ascii="宋体" w:hAnsi="宋体"/>
      <w:kern w:val="0"/>
      <w:sz w:val="16"/>
      <w:szCs w:val="16"/>
    </w:rPr>
  </w:style>
  <w:style w:type="paragraph" w:customStyle="1" w:styleId="350">
    <w:name w:val="xl83"/>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right"/>
    </w:pPr>
    <w:rPr>
      <w:rFonts w:eastAsia="Arial Unicode MS"/>
      <w:kern w:val="0"/>
      <w:sz w:val="16"/>
      <w:szCs w:val="16"/>
    </w:rPr>
  </w:style>
  <w:style w:type="paragraph" w:customStyle="1" w:styleId="351">
    <w:name w:val="xl84"/>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right"/>
    </w:pPr>
    <w:rPr>
      <w:rFonts w:eastAsia="Arial Unicode MS"/>
      <w:kern w:val="0"/>
      <w:sz w:val="16"/>
      <w:szCs w:val="16"/>
    </w:rPr>
  </w:style>
  <w:style w:type="paragraph" w:customStyle="1" w:styleId="352">
    <w:name w:val="xl85"/>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Arial Unicode MS" w:hAnsi="Arial Unicode MS" w:eastAsia="Arial Unicode MS"/>
      <w:kern w:val="0"/>
      <w:sz w:val="16"/>
      <w:szCs w:val="16"/>
    </w:rPr>
  </w:style>
  <w:style w:type="paragraph" w:customStyle="1" w:styleId="353">
    <w:name w:val="xl86"/>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Arial Unicode MS" w:hAnsi="Arial Unicode MS" w:eastAsia="Arial Unicode MS"/>
      <w:b/>
      <w:bCs/>
      <w:kern w:val="0"/>
      <w:sz w:val="16"/>
      <w:szCs w:val="16"/>
    </w:rPr>
  </w:style>
  <w:style w:type="paragraph" w:customStyle="1" w:styleId="354">
    <w:name w:val="xl87"/>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eastAsia="Arial Unicode MS"/>
      <w:b/>
      <w:bCs/>
      <w:kern w:val="0"/>
      <w:sz w:val="16"/>
      <w:szCs w:val="16"/>
    </w:rPr>
  </w:style>
  <w:style w:type="paragraph" w:customStyle="1" w:styleId="355">
    <w:name w:val="xl88"/>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right"/>
    </w:pPr>
    <w:rPr>
      <w:rFonts w:eastAsia="Arial Unicode MS"/>
      <w:kern w:val="0"/>
      <w:sz w:val="16"/>
      <w:szCs w:val="16"/>
    </w:rPr>
  </w:style>
  <w:style w:type="paragraph" w:customStyle="1" w:styleId="356">
    <w:name w:val="xl89"/>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right"/>
    </w:pPr>
    <w:rPr>
      <w:rFonts w:eastAsia="Arial Unicode MS"/>
      <w:b/>
      <w:bCs/>
      <w:kern w:val="0"/>
      <w:sz w:val="16"/>
      <w:szCs w:val="16"/>
    </w:rPr>
  </w:style>
  <w:style w:type="paragraph" w:customStyle="1" w:styleId="357">
    <w:name w:val="xl90"/>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pPr>
    <w:rPr>
      <w:rFonts w:ascii="Arial Unicode MS" w:hAnsi="Arial Unicode MS" w:eastAsia="Arial Unicode MS"/>
      <w:b/>
      <w:bCs/>
      <w:kern w:val="0"/>
      <w:sz w:val="20"/>
    </w:rPr>
  </w:style>
  <w:style w:type="paragraph" w:customStyle="1" w:styleId="358">
    <w:name w:val="xl91"/>
    <w:basedOn w:val="1"/>
    <w:qFormat/>
    <w:uiPriority w:val="0"/>
    <w:pPr>
      <w:widowControl/>
      <w:pBdr>
        <w:left w:val="single" w:color="auto" w:sz="4" w:space="0"/>
        <w:bottom w:val="single" w:color="auto" w:sz="4" w:space="0"/>
        <w:right w:val="single" w:color="auto" w:sz="4" w:space="0"/>
      </w:pBdr>
      <w:spacing w:before="100" w:beforeAutospacing="1" w:after="100" w:afterAutospacing="1"/>
      <w:jc w:val="center"/>
      <w:textAlignment w:val="center"/>
    </w:pPr>
    <w:rPr>
      <w:rFonts w:ascii="Arial Unicode MS" w:hAnsi="Arial Unicode MS" w:eastAsia="Arial Unicode MS"/>
      <w:kern w:val="0"/>
      <w:sz w:val="16"/>
      <w:szCs w:val="16"/>
    </w:rPr>
  </w:style>
  <w:style w:type="paragraph" w:customStyle="1" w:styleId="359">
    <w:name w:val="xl92"/>
    <w:basedOn w:val="1"/>
    <w:qFormat/>
    <w:uiPriority w:val="0"/>
    <w:pPr>
      <w:widowControl/>
      <w:pBdr>
        <w:left w:val="single" w:color="auto" w:sz="4" w:space="0"/>
        <w:bottom w:val="single" w:color="auto" w:sz="4" w:space="0"/>
      </w:pBdr>
      <w:spacing w:before="100" w:beforeAutospacing="1" w:after="100" w:afterAutospacing="1"/>
      <w:jc w:val="center"/>
      <w:textAlignment w:val="center"/>
    </w:pPr>
    <w:rPr>
      <w:rFonts w:ascii="Arial Unicode MS" w:hAnsi="Arial Unicode MS" w:eastAsia="Arial Unicode MS"/>
      <w:color w:val="000000"/>
      <w:kern w:val="0"/>
      <w:sz w:val="20"/>
    </w:rPr>
  </w:style>
  <w:style w:type="paragraph" w:customStyle="1" w:styleId="360">
    <w:name w:val="xl93"/>
    <w:basedOn w:val="1"/>
    <w:qFormat/>
    <w:uiPriority w:val="0"/>
    <w:pPr>
      <w:widowControl/>
      <w:pBdr>
        <w:bottom w:val="single" w:color="auto" w:sz="4" w:space="0"/>
      </w:pBdr>
      <w:spacing w:before="100" w:beforeAutospacing="1" w:after="100" w:afterAutospacing="1"/>
      <w:jc w:val="center"/>
      <w:textAlignment w:val="center"/>
    </w:pPr>
    <w:rPr>
      <w:rFonts w:ascii="Arial Unicode MS" w:hAnsi="Arial Unicode MS" w:eastAsia="Arial Unicode MS"/>
      <w:color w:val="000000"/>
      <w:kern w:val="0"/>
      <w:sz w:val="20"/>
    </w:rPr>
  </w:style>
  <w:style w:type="paragraph" w:customStyle="1" w:styleId="361">
    <w:name w:val="xl94"/>
    <w:basedOn w:val="1"/>
    <w:qFormat/>
    <w:uiPriority w:val="0"/>
    <w:pPr>
      <w:widowControl/>
      <w:pBdr>
        <w:bottom w:val="single" w:color="auto" w:sz="4" w:space="0"/>
        <w:right w:val="single" w:color="auto" w:sz="4" w:space="0"/>
      </w:pBdr>
      <w:spacing w:before="100" w:beforeAutospacing="1" w:after="100" w:afterAutospacing="1"/>
      <w:jc w:val="center"/>
      <w:textAlignment w:val="center"/>
    </w:pPr>
    <w:rPr>
      <w:rFonts w:ascii="Arial Unicode MS" w:hAnsi="Arial Unicode MS" w:eastAsia="Arial Unicode MS"/>
      <w:color w:val="000000"/>
      <w:kern w:val="0"/>
      <w:sz w:val="20"/>
    </w:rPr>
  </w:style>
  <w:style w:type="paragraph" w:customStyle="1" w:styleId="362">
    <w:name w:val="xl95"/>
    <w:basedOn w:val="1"/>
    <w:qFormat/>
    <w:uiPriority w:val="0"/>
    <w:pPr>
      <w:widowControl/>
      <w:pBdr>
        <w:left w:val="single" w:color="auto" w:sz="4" w:space="0"/>
        <w:right w:val="single" w:color="auto" w:sz="4" w:space="0"/>
      </w:pBdr>
      <w:spacing w:before="100" w:beforeAutospacing="1" w:after="100" w:afterAutospacing="1"/>
      <w:jc w:val="center"/>
      <w:textAlignment w:val="center"/>
    </w:pPr>
    <w:rPr>
      <w:rFonts w:ascii="Arial Unicode MS" w:hAnsi="Arial Unicode MS" w:eastAsia="Arial Unicode MS"/>
      <w:color w:val="000000"/>
      <w:kern w:val="0"/>
      <w:sz w:val="20"/>
    </w:rPr>
  </w:style>
  <w:style w:type="paragraph" w:customStyle="1" w:styleId="363">
    <w:name w:val="xl96"/>
    <w:basedOn w:val="1"/>
    <w:qFormat/>
    <w:uiPriority w:val="0"/>
    <w:pPr>
      <w:widowControl/>
      <w:pBdr>
        <w:left w:val="single" w:color="auto" w:sz="4" w:space="0"/>
        <w:bottom w:val="single" w:color="auto" w:sz="4" w:space="0"/>
        <w:right w:val="single" w:color="auto" w:sz="4" w:space="0"/>
      </w:pBdr>
      <w:spacing w:before="100" w:beforeAutospacing="1" w:after="100" w:afterAutospacing="1"/>
      <w:jc w:val="center"/>
      <w:textAlignment w:val="center"/>
    </w:pPr>
    <w:rPr>
      <w:rFonts w:ascii="Arial Unicode MS" w:hAnsi="Arial Unicode MS" w:eastAsia="Arial Unicode MS"/>
      <w:color w:val="000000"/>
      <w:kern w:val="0"/>
      <w:sz w:val="20"/>
    </w:rPr>
  </w:style>
  <w:style w:type="paragraph" w:customStyle="1" w:styleId="364">
    <w:name w:val="xl97"/>
    <w:basedOn w:val="1"/>
    <w:qFormat/>
    <w:uiPriority w:val="0"/>
    <w:pPr>
      <w:widowControl/>
      <w:pBdr>
        <w:left w:val="single" w:color="auto" w:sz="4" w:space="0"/>
        <w:right w:val="single" w:color="auto" w:sz="4" w:space="0"/>
      </w:pBdr>
      <w:spacing w:before="100" w:beforeAutospacing="1" w:after="100" w:afterAutospacing="1"/>
      <w:jc w:val="center"/>
      <w:textAlignment w:val="center"/>
    </w:pPr>
    <w:rPr>
      <w:rFonts w:ascii="Arial Unicode MS" w:hAnsi="Arial Unicode MS" w:eastAsia="Arial Unicode MS"/>
      <w:color w:val="000000"/>
      <w:kern w:val="0"/>
      <w:sz w:val="20"/>
    </w:rPr>
  </w:style>
  <w:style w:type="paragraph" w:customStyle="1" w:styleId="365">
    <w:name w:val="xl98"/>
    <w:basedOn w:val="1"/>
    <w:qFormat/>
    <w:uiPriority w:val="0"/>
    <w:pPr>
      <w:widowControl/>
      <w:pBdr>
        <w:left w:val="single" w:color="auto" w:sz="4" w:space="0"/>
        <w:bottom w:val="single" w:color="auto" w:sz="4" w:space="0"/>
        <w:right w:val="single" w:color="auto" w:sz="4" w:space="0"/>
      </w:pBdr>
      <w:spacing w:before="100" w:beforeAutospacing="1" w:after="100" w:afterAutospacing="1"/>
      <w:jc w:val="center"/>
      <w:textAlignment w:val="center"/>
    </w:pPr>
    <w:rPr>
      <w:rFonts w:ascii="Arial Unicode MS" w:hAnsi="Arial Unicode MS" w:eastAsia="Arial Unicode MS"/>
      <w:color w:val="000000"/>
      <w:kern w:val="0"/>
      <w:sz w:val="20"/>
    </w:rPr>
  </w:style>
  <w:style w:type="paragraph" w:customStyle="1" w:styleId="366">
    <w:name w:val="正文(首行缩进)"/>
    <w:basedOn w:val="1"/>
    <w:link w:val="2663"/>
    <w:qFormat/>
    <w:uiPriority w:val="0"/>
    <w:pPr>
      <w:spacing w:line="360" w:lineRule="auto"/>
      <w:ind w:firstLine="510"/>
    </w:pPr>
    <w:rPr>
      <w:rFonts w:ascii="宋体" w:hAnsi="宋体"/>
      <w:snapToGrid w:val="0"/>
      <w:kern w:val="0"/>
    </w:rPr>
  </w:style>
  <w:style w:type="paragraph" w:customStyle="1" w:styleId="367">
    <w:name w:val="表"/>
    <w:basedOn w:val="1"/>
    <w:link w:val="2643"/>
    <w:qFormat/>
    <w:uiPriority w:val="0"/>
    <w:pPr>
      <w:wordWrap w:val="0"/>
      <w:spacing w:before="180" w:after="60" w:line="280" w:lineRule="exact"/>
      <w:ind w:right="294"/>
      <w:jc w:val="center"/>
    </w:pPr>
    <w:rPr>
      <w:kern w:val="10"/>
      <w:lang w:bidi="he-IL"/>
    </w:rPr>
  </w:style>
  <w:style w:type="paragraph" w:customStyle="1" w:styleId="368">
    <w:name w:val="l_text"/>
    <w:basedOn w:val="1"/>
    <w:qFormat/>
    <w:uiPriority w:val="0"/>
    <w:pPr>
      <w:widowControl/>
      <w:overflowPunct w:val="0"/>
      <w:autoSpaceDE w:val="0"/>
      <w:autoSpaceDN w:val="0"/>
      <w:adjustRightInd w:val="0"/>
      <w:spacing w:line="360" w:lineRule="auto"/>
      <w:ind w:firstLine="567"/>
      <w:textAlignment w:val="baseline"/>
    </w:pPr>
    <w:rPr>
      <w:kern w:val="0"/>
      <w:sz w:val="28"/>
      <w:lang w:val="en-GB"/>
    </w:rPr>
  </w:style>
  <w:style w:type="character" w:customStyle="1" w:styleId="369">
    <w:name w:val="l_text Char Char2"/>
    <w:qFormat/>
    <w:uiPriority w:val="0"/>
    <w:rPr>
      <w:rFonts w:ascii="宋体" w:hAnsi="宋体" w:eastAsia="宋体" w:cs="Century"/>
      <w:b/>
      <w:bCs/>
      <w:color w:val="000000"/>
      <w:kern w:val="2"/>
      <w:sz w:val="28"/>
      <w:szCs w:val="28"/>
      <w:lang w:val="en-US" w:eastAsia="zh-CN" w:bidi="ar-SA"/>
    </w:rPr>
  </w:style>
  <w:style w:type="character" w:customStyle="1" w:styleId="370">
    <w:name w:val="l_text Char Char Char1"/>
    <w:qFormat/>
    <w:uiPriority w:val="0"/>
    <w:rPr>
      <w:rFonts w:ascii="宋体" w:hAnsi="宋体" w:eastAsia="宋体" w:cs="Century"/>
      <w:b/>
      <w:bCs/>
      <w:color w:val="000000"/>
      <w:kern w:val="2"/>
      <w:sz w:val="28"/>
      <w:szCs w:val="28"/>
      <w:lang w:val="en-US" w:eastAsia="zh-CN" w:bidi="ar-SA"/>
    </w:rPr>
  </w:style>
  <w:style w:type="paragraph" w:customStyle="1" w:styleId="371">
    <w:name w:val="table"/>
    <w:basedOn w:val="1"/>
    <w:qFormat/>
    <w:uiPriority w:val="0"/>
    <w:pPr>
      <w:widowControl/>
      <w:overflowPunct w:val="0"/>
      <w:autoSpaceDE w:val="0"/>
      <w:autoSpaceDN w:val="0"/>
      <w:adjustRightInd w:val="0"/>
      <w:spacing w:before="60" w:after="60"/>
      <w:jc w:val="center"/>
      <w:textAlignment w:val="baseline"/>
    </w:pPr>
    <w:rPr>
      <w:rFonts w:ascii="宋体" w:cs="Century"/>
      <w:kern w:val="0"/>
    </w:rPr>
  </w:style>
  <w:style w:type="paragraph" w:customStyle="1" w:styleId="372">
    <w:name w:val="l_text Char Char"/>
    <w:basedOn w:val="1"/>
    <w:qFormat/>
    <w:uiPriority w:val="0"/>
    <w:pPr>
      <w:widowControl/>
      <w:overflowPunct w:val="0"/>
      <w:autoSpaceDE w:val="0"/>
      <w:autoSpaceDN w:val="0"/>
      <w:adjustRightInd w:val="0"/>
      <w:snapToGrid w:val="0"/>
      <w:spacing w:line="360" w:lineRule="auto"/>
      <w:ind w:firstLine="560" w:firstLineChars="200"/>
      <w:textAlignment w:val="baseline"/>
    </w:pPr>
    <w:rPr>
      <w:rFonts w:ascii="宋体" w:hAnsi="宋体" w:cs="仿宋体"/>
      <w:kern w:val="0"/>
      <w:sz w:val="28"/>
      <w:szCs w:val="28"/>
      <w:lang w:val="zh-CN"/>
    </w:rPr>
  </w:style>
  <w:style w:type="paragraph" w:customStyle="1" w:styleId="373">
    <w:name w:val="T"/>
    <w:basedOn w:val="1"/>
    <w:qFormat/>
    <w:uiPriority w:val="0"/>
    <w:pPr>
      <w:widowControl/>
      <w:overflowPunct w:val="0"/>
      <w:autoSpaceDE w:val="0"/>
      <w:autoSpaceDN w:val="0"/>
      <w:adjustRightInd w:val="0"/>
      <w:spacing w:before="120" w:after="120" w:line="360" w:lineRule="auto"/>
      <w:jc w:val="center"/>
      <w:textAlignment w:val="baseline"/>
    </w:pPr>
    <w:rPr>
      <w:rFonts w:ascii="黑体" w:eastAsia="黑体" w:cs="黑体"/>
      <w:b/>
      <w:bCs/>
      <w:kern w:val="0"/>
      <w:sz w:val="28"/>
      <w:szCs w:val="28"/>
    </w:rPr>
  </w:style>
  <w:style w:type="paragraph" w:customStyle="1" w:styleId="374">
    <w:name w:val="textstyle1"/>
    <w:basedOn w:val="1"/>
    <w:qFormat/>
    <w:uiPriority w:val="0"/>
    <w:pPr>
      <w:widowControl/>
      <w:overflowPunct w:val="0"/>
      <w:autoSpaceDE w:val="0"/>
      <w:autoSpaceDN w:val="0"/>
      <w:adjustRightInd w:val="0"/>
      <w:spacing w:before="120"/>
      <w:ind w:left="288" w:firstLine="432"/>
      <w:textAlignment w:val="baseline"/>
    </w:pPr>
    <w:rPr>
      <w:rFonts w:ascii="楷体" w:eastAsia="楷体" w:cs="仿宋体"/>
      <w:kern w:val="0"/>
    </w:rPr>
  </w:style>
  <w:style w:type="paragraph" w:customStyle="1" w:styleId="375">
    <w:name w:val="表头样式"/>
    <w:basedOn w:val="376"/>
    <w:link w:val="377"/>
    <w:qFormat/>
    <w:uiPriority w:val="0"/>
    <w:pPr>
      <w:snapToGrid/>
      <w:spacing w:line="240" w:lineRule="auto"/>
      <w:ind w:firstLine="0" w:firstLineChars="0"/>
      <w:jc w:val="center"/>
    </w:pPr>
    <w:rPr>
      <w:rFonts w:ascii="Times New Roman" w:hAnsi="Times New Roman" w:cs="Times New Roman"/>
      <w:color w:val="auto"/>
      <w:szCs w:val="21"/>
    </w:rPr>
  </w:style>
  <w:style w:type="paragraph" w:customStyle="1" w:styleId="376">
    <w:name w:val="表头11"/>
    <w:basedOn w:val="1"/>
    <w:qFormat/>
    <w:uiPriority w:val="0"/>
    <w:pPr>
      <w:widowControl/>
      <w:wordWrap w:val="0"/>
      <w:snapToGrid w:val="0"/>
      <w:spacing w:line="360" w:lineRule="auto"/>
      <w:ind w:firstLine="200" w:firstLineChars="200"/>
      <w:jc w:val="left"/>
    </w:pPr>
    <w:rPr>
      <w:rFonts w:ascii="宋体" w:hAnsi="宋体" w:cs="宋体"/>
      <w:b/>
      <w:color w:val="000000"/>
      <w:kern w:val="0"/>
    </w:rPr>
  </w:style>
  <w:style w:type="character" w:customStyle="1" w:styleId="377">
    <w:name w:val="表头样式 Char"/>
    <w:link w:val="375"/>
    <w:qFormat/>
    <w:uiPriority w:val="0"/>
    <w:rPr>
      <w:b/>
      <w:sz w:val="24"/>
      <w:szCs w:val="21"/>
    </w:rPr>
  </w:style>
  <w:style w:type="paragraph" w:customStyle="1" w:styleId="378">
    <w:name w:val="表格nlw"/>
    <w:basedOn w:val="1"/>
    <w:link w:val="683"/>
    <w:qFormat/>
    <w:uiPriority w:val="0"/>
    <w:pPr>
      <w:widowControl/>
      <w:spacing w:line="300" w:lineRule="exact"/>
      <w:jc w:val="center"/>
    </w:pPr>
    <w:rPr>
      <w:kern w:val="0"/>
      <w:sz w:val="21"/>
      <w:szCs w:val="22"/>
    </w:rPr>
  </w:style>
  <w:style w:type="paragraph" w:customStyle="1" w:styleId="379">
    <w:name w:val="我的标题3"/>
    <w:basedOn w:val="1"/>
    <w:link w:val="2671"/>
    <w:qFormat/>
    <w:uiPriority w:val="0"/>
    <w:rPr>
      <w:rFonts w:eastAsia="黑体"/>
      <w:sz w:val="28"/>
    </w:rPr>
  </w:style>
  <w:style w:type="paragraph" w:customStyle="1" w:styleId="380">
    <w:name w:val="图表格式"/>
    <w:basedOn w:val="1"/>
    <w:qFormat/>
    <w:uiPriority w:val="0"/>
    <w:pPr>
      <w:adjustRightInd w:val="0"/>
      <w:snapToGrid w:val="0"/>
      <w:spacing w:line="360" w:lineRule="auto"/>
      <w:ind w:firstLine="250" w:firstLineChars="250"/>
    </w:pPr>
    <w:rPr>
      <w:rFonts w:eastAsia="黑体"/>
      <w:snapToGrid w:val="0"/>
      <w:kern w:val="0"/>
    </w:rPr>
  </w:style>
  <w:style w:type="character" w:customStyle="1" w:styleId="381">
    <w:name w:val="图表格式 Char"/>
    <w:qFormat/>
    <w:uiPriority w:val="0"/>
    <w:rPr>
      <w:rFonts w:ascii="宋体" w:hAnsi="宋体" w:eastAsia="宋体" w:cs="宋体"/>
      <w:b/>
      <w:bCs/>
      <w:color w:val="auto"/>
      <w:spacing w:val="0"/>
      <w:w w:val="100"/>
      <w:kern w:val="0"/>
      <w:position w:val="0"/>
      <w:sz w:val="24"/>
      <w:szCs w:val="32"/>
      <w:u w:val="none"/>
      <w:vertAlign w:val="baseline"/>
      <w:lang w:val="en-US" w:eastAsia="zh-CN" w:bidi="ar-SA"/>
    </w:rPr>
  </w:style>
  <w:style w:type="paragraph" w:customStyle="1" w:styleId="382">
    <w:name w:val="Char Char Char Char2"/>
    <w:basedOn w:val="1"/>
    <w:qFormat/>
    <w:uiPriority w:val="0"/>
    <w:pPr>
      <w:spacing w:line="360" w:lineRule="auto"/>
      <w:ind w:firstLine="200" w:firstLineChars="200"/>
    </w:pPr>
    <w:rPr>
      <w:rFonts w:ascii="宋体" w:hAnsi="宋体" w:cs="宋体"/>
    </w:rPr>
  </w:style>
  <w:style w:type="paragraph" w:customStyle="1" w:styleId="383">
    <w:name w:val="题注两端对齐"/>
    <w:basedOn w:val="22"/>
    <w:qFormat/>
    <w:uiPriority w:val="0"/>
    <w:rPr>
      <w:rFonts w:cs="Arial"/>
    </w:rPr>
  </w:style>
  <w:style w:type="paragraph" w:customStyle="1" w:styleId="384">
    <w:name w:val="表格名称"/>
    <w:basedOn w:val="84"/>
    <w:qFormat/>
    <w:uiPriority w:val="0"/>
    <w:pPr>
      <w:numPr>
        <w:ilvl w:val="4"/>
        <w:numId w:val="1"/>
      </w:numPr>
      <w:spacing w:before="0" w:after="0" w:line="240" w:lineRule="auto"/>
      <w:outlineLvl w:val="9"/>
    </w:pPr>
    <w:rPr>
      <w:rFonts w:ascii="Times New Roman" w:hAnsi="Times New Roman"/>
      <w:bCs w:val="0"/>
      <w:sz w:val="24"/>
    </w:rPr>
  </w:style>
  <w:style w:type="paragraph" w:customStyle="1" w:styleId="385">
    <w:name w:val="样式 样式 宋体 小四 段前: 5 磅 段后: 5 磅 行距: 1.5 倍行距 + 首行缩进:  2 字符"/>
    <w:basedOn w:val="1"/>
    <w:qFormat/>
    <w:uiPriority w:val="0"/>
    <w:pPr>
      <w:spacing w:line="360" w:lineRule="auto"/>
      <w:ind w:firstLine="200" w:firstLineChars="200"/>
    </w:pPr>
    <w:rPr>
      <w:rFonts w:ascii="宋体" w:hAnsi="宋体" w:cs="宋体"/>
    </w:rPr>
  </w:style>
  <w:style w:type="paragraph" w:customStyle="1" w:styleId="386">
    <w:name w:val="样式 标题 1标题 11章标题 1b1 + (中文) 宋体"/>
    <w:basedOn w:val="3"/>
    <w:link w:val="387"/>
    <w:qFormat/>
    <w:uiPriority w:val="0"/>
    <w:pPr>
      <w:jc w:val="left"/>
    </w:pPr>
    <w:rPr>
      <w:bCs/>
    </w:rPr>
  </w:style>
  <w:style w:type="character" w:customStyle="1" w:styleId="387">
    <w:name w:val="样式 标题 1标题 11章标题 1b1 + (中文) 宋体 Char"/>
    <w:link w:val="386"/>
    <w:qFormat/>
    <w:uiPriority w:val="0"/>
    <w:rPr>
      <w:rFonts w:eastAsia="黑体"/>
      <w:b/>
      <w:bCs/>
      <w:kern w:val="2"/>
      <w:sz w:val="36"/>
      <w:szCs w:val="36"/>
    </w:rPr>
  </w:style>
  <w:style w:type="paragraph" w:customStyle="1" w:styleId="388">
    <w:name w:val="正文YHY"/>
    <w:basedOn w:val="1"/>
    <w:link w:val="389"/>
    <w:qFormat/>
    <w:uiPriority w:val="0"/>
    <w:pPr>
      <w:spacing w:before="50" w:beforeLines="50" w:after="50" w:afterLines="50" w:line="360" w:lineRule="auto"/>
      <w:ind w:firstLine="200" w:firstLineChars="200"/>
    </w:pPr>
    <w:rPr>
      <w:rFonts w:cs="宋体"/>
    </w:rPr>
  </w:style>
  <w:style w:type="character" w:customStyle="1" w:styleId="389">
    <w:name w:val="正文YHY Char"/>
    <w:link w:val="388"/>
    <w:qFormat/>
    <w:uiPriority w:val="0"/>
    <w:rPr>
      <w:rFonts w:eastAsia="宋体" w:cs="宋体"/>
      <w:b/>
      <w:bCs/>
      <w:color w:val="000000"/>
      <w:kern w:val="2"/>
      <w:sz w:val="24"/>
      <w:szCs w:val="24"/>
      <w:lang w:val="en-US" w:eastAsia="zh-CN" w:bidi="ar-SA"/>
    </w:rPr>
  </w:style>
  <w:style w:type="paragraph" w:customStyle="1" w:styleId="390">
    <w:name w:val="样式7"/>
    <w:basedOn w:val="184"/>
    <w:link w:val="391"/>
    <w:qFormat/>
    <w:uiPriority w:val="0"/>
    <w:pPr>
      <w:spacing w:before="120" w:beforeLines="50" w:after="120" w:afterLines="50" w:line="360" w:lineRule="auto"/>
      <w:ind w:firstLine="1155" w:firstLineChars="550"/>
    </w:pPr>
    <w:rPr>
      <w:rFonts w:ascii="黑体" w:eastAsia="黑体" w:cs="方正宋体_GB18030"/>
      <w:sz w:val="21"/>
      <w:szCs w:val="21"/>
    </w:rPr>
  </w:style>
  <w:style w:type="character" w:customStyle="1" w:styleId="391">
    <w:name w:val="样式7 Char"/>
    <w:link w:val="390"/>
    <w:qFormat/>
    <w:uiPriority w:val="0"/>
    <w:rPr>
      <w:rFonts w:ascii="黑体" w:eastAsia="黑体" w:cs="方正宋体_GB18030"/>
      <w:b/>
      <w:bCs/>
      <w:color w:val="000000"/>
      <w:kern w:val="2"/>
      <w:sz w:val="21"/>
      <w:szCs w:val="21"/>
      <w:lang w:val="en-US" w:eastAsia="zh-CN" w:bidi="ar-SA"/>
    </w:rPr>
  </w:style>
  <w:style w:type="paragraph" w:customStyle="1" w:styleId="392">
    <w:name w:val="样式 标题 2标题 21标题 121节H2SeHead wsa2标题 1.1 + 黑体 四号 非加粗"/>
    <w:basedOn w:val="4"/>
    <w:link w:val="2628"/>
    <w:qFormat/>
    <w:uiPriority w:val="0"/>
    <w:pPr>
      <w:tabs>
        <w:tab w:val="left" w:pos="360"/>
      </w:tabs>
      <w:spacing w:before="260" w:after="260" w:line="416" w:lineRule="auto"/>
    </w:pPr>
    <w:rPr>
      <w:rFonts w:ascii="黑体" w:hAnsi="黑体"/>
      <w:b w:val="0"/>
      <w:bCs w:val="0"/>
      <w:sz w:val="28"/>
      <w:szCs w:val="32"/>
    </w:rPr>
  </w:style>
  <w:style w:type="paragraph" w:customStyle="1" w:styleId="393">
    <w:name w:val="样式 标题 1 + 黑体 小三 非加粗"/>
    <w:basedOn w:val="3"/>
    <w:link w:val="783"/>
    <w:qFormat/>
    <w:uiPriority w:val="0"/>
    <w:pPr>
      <w:keepLines/>
      <w:tabs>
        <w:tab w:val="left" w:pos="360"/>
        <w:tab w:val="clear" w:pos="0"/>
      </w:tabs>
      <w:spacing w:before="340" w:after="330" w:line="578" w:lineRule="auto"/>
    </w:pPr>
    <w:rPr>
      <w:rFonts w:ascii="黑体" w:hAnsi="黑体"/>
      <w:b w:val="0"/>
      <w:kern w:val="44"/>
      <w:sz w:val="30"/>
      <w:szCs w:val="44"/>
    </w:rPr>
  </w:style>
  <w:style w:type="paragraph" w:customStyle="1" w:styleId="394">
    <w:name w:val="样式 标题 3 + 宋体 小四 非加粗"/>
    <w:basedOn w:val="5"/>
    <w:link w:val="1100"/>
    <w:qFormat/>
    <w:uiPriority w:val="0"/>
    <w:pPr>
      <w:tabs>
        <w:tab w:val="left" w:pos="360"/>
      </w:tabs>
      <w:spacing w:before="260" w:after="260" w:line="416" w:lineRule="auto"/>
    </w:pPr>
    <w:rPr>
      <w:rFonts w:ascii="宋体" w:hAnsi="宋体"/>
      <w:b w:val="0"/>
      <w:bCs w:val="0"/>
      <w:sz w:val="24"/>
      <w:szCs w:val="32"/>
    </w:rPr>
  </w:style>
  <w:style w:type="paragraph" w:customStyle="1" w:styleId="395">
    <w:name w:val="样式 标题 4 + 宋体 小四 非加粗"/>
    <w:basedOn w:val="6"/>
    <w:link w:val="2856"/>
    <w:qFormat/>
    <w:uiPriority w:val="0"/>
    <w:pPr>
      <w:spacing w:before="280" w:after="290" w:line="376" w:lineRule="auto"/>
    </w:pPr>
    <w:rPr>
      <w:rFonts w:ascii="宋体" w:hAnsi="宋体"/>
      <w:sz w:val="24"/>
    </w:rPr>
  </w:style>
  <w:style w:type="paragraph" w:customStyle="1" w:styleId="396">
    <w:name w:val="标题4 YHY"/>
    <w:basedOn w:val="6"/>
    <w:next w:val="1"/>
    <w:qFormat/>
    <w:uiPriority w:val="0"/>
    <w:pPr>
      <w:keepNext w:val="0"/>
      <w:keepLines w:val="0"/>
      <w:numPr>
        <w:ilvl w:val="0"/>
        <w:numId w:val="0"/>
      </w:numPr>
      <w:tabs>
        <w:tab w:val="left" w:pos="352"/>
        <w:tab w:val="left" w:pos="798"/>
      </w:tabs>
      <w:spacing w:before="50" w:beforeLines="50" w:after="50" w:afterLines="50" w:line="360" w:lineRule="auto"/>
    </w:pPr>
    <w:rPr>
      <w:rFonts w:ascii="宋体" w:hAnsi="宋体"/>
      <w:sz w:val="24"/>
    </w:rPr>
  </w:style>
  <w:style w:type="paragraph" w:customStyle="1" w:styleId="397">
    <w:name w:val="Default"/>
    <w:link w:val="1691"/>
    <w:qFormat/>
    <w:uiPriority w:val="0"/>
    <w:pPr>
      <w:widowControl w:val="0"/>
      <w:autoSpaceDE w:val="0"/>
      <w:autoSpaceDN w:val="0"/>
      <w:adjustRightInd w:val="0"/>
    </w:pPr>
    <w:rPr>
      <w:rFonts w:ascii="华文中宋" w:hAnsi="Calibri" w:eastAsia="华文中宋" w:cs="华文中宋"/>
      <w:color w:val="000000"/>
      <w:sz w:val="24"/>
      <w:szCs w:val="24"/>
      <w:lang w:val="en-US" w:eastAsia="zh-CN" w:bidi="ar-SA"/>
    </w:rPr>
  </w:style>
  <w:style w:type="paragraph" w:customStyle="1" w:styleId="398">
    <w:name w:val="CM9"/>
    <w:basedOn w:val="397"/>
    <w:next w:val="397"/>
    <w:qFormat/>
    <w:uiPriority w:val="0"/>
    <w:pPr>
      <w:spacing w:line="536" w:lineRule="atLeast"/>
    </w:pPr>
    <w:rPr>
      <w:rFonts w:cs="Times New Roman"/>
      <w:color w:val="auto"/>
    </w:rPr>
  </w:style>
  <w:style w:type="paragraph" w:customStyle="1" w:styleId="399">
    <w:name w:val="CM31"/>
    <w:basedOn w:val="397"/>
    <w:next w:val="397"/>
    <w:qFormat/>
    <w:uiPriority w:val="99"/>
    <w:rPr>
      <w:rFonts w:cs="Times New Roman"/>
      <w:color w:val="auto"/>
    </w:rPr>
  </w:style>
  <w:style w:type="paragraph" w:customStyle="1" w:styleId="400">
    <w:name w:val="CM10"/>
    <w:basedOn w:val="397"/>
    <w:next w:val="397"/>
    <w:qFormat/>
    <w:uiPriority w:val="0"/>
    <w:pPr>
      <w:spacing w:line="536" w:lineRule="atLeast"/>
    </w:pPr>
    <w:rPr>
      <w:rFonts w:cs="Times New Roman"/>
      <w:color w:val="auto"/>
    </w:rPr>
  </w:style>
  <w:style w:type="paragraph" w:customStyle="1" w:styleId="401">
    <w:name w:val="CM15"/>
    <w:basedOn w:val="397"/>
    <w:next w:val="397"/>
    <w:qFormat/>
    <w:uiPriority w:val="99"/>
    <w:pPr>
      <w:spacing w:line="538" w:lineRule="atLeast"/>
    </w:pPr>
    <w:rPr>
      <w:rFonts w:cs="Times New Roman"/>
      <w:color w:val="auto"/>
    </w:rPr>
  </w:style>
  <w:style w:type="paragraph" w:customStyle="1" w:styleId="402">
    <w:name w:val="CM18"/>
    <w:basedOn w:val="397"/>
    <w:next w:val="397"/>
    <w:qFormat/>
    <w:uiPriority w:val="0"/>
    <w:pPr>
      <w:spacing w:line="538" w:lineRule="atLeast"/>
    </w:pPr>
    <w:rPr>
      <w:rFonts w:cs="Times New Roman"/>
      <w:color w:val="auto"/>
    </w:rPr>
  </w:style>
  <w:style w:type="paragraph" w:customStyle="1" w:styleId="403">
    <w:name w:val="CM72"/>
    <w:basedOn w:val="397"/>
    <w:next w:val="397"/>
    <w:qFormat/>
    <w:uiPriority w:val="99"/>
    <w:pPr>
      <w:spacing w:after="203"/>
    </w:pPr>
    <w:rPr>
      <w:rFonts w:cs="Times New Roman"/>
      <w:color w:val="auto"/>
    </w:rPr>
  </w:style>
  <w:style w:type="paragraph" w:customStyle="1" w:styleId="404">
    <w:name w:val="CM19"/>
    <w:basedOn w:val="397"/>
    <w:next w:val="397"/>
    <w:qFormat/>
    <w:uiPriority w:val="99"/>
    <w:rPr>
      <w:rFonts w:cs="Times New Roman"/>
      <w:color w:val="auto"/>
    </w:rPr>
  </w:style>
  <w:style w:type="paragraph" w:customStyle="1" w:styleId="405">
    <w:name w:val="CM11"/>
    <w:basedOn w:val="397"/>
    <w:next w:val="397"/>
    <w:qFormat/>
    <w:uiPriority w:val="99"/>
    <w:pPr>
      <w:spacing w:line="538" w:lineRule="atLeast"/>
    </w:pPr>
    <w:rPr>
      <w:rFonts w:cs="Times New Roman"/>
      <w:color w:val="auto"/>
    </w:rPr>
  </w:style>
  <w:style w:type="paragraph" w:customStyle="1" w:styleId="406">
    <w:name w:val="CM75"/>
    <w:basedOn w:val="397"/>
    <w:next w:val="397"/>
    <w:qFormat/>
    <w:uiPriority w:val="99"/>
    <w:pPr>
      <w:spacing w:after="530"/>
    </w:pPr>
    <w:rPr>
      <w:rFonts w:cs="Times New Roman"/>
      <w:color w:val="auto"/>
    </w:rPr>
  </w:style>
  <w:style w:type="paragraph" w:customStyle="1" w:styleId="407">
    <w:name w:val="CM13"/>
    <w:basedOn w:val="397"/>
    <w:next w:val="397"/>
    <w:qFormat/>
    <w:uiPriority w:val="99"/>
    <w:pPr>
      <w:spacing w:line="536" w:lineRule="atLeast"/>
    </w:pPr>
    <w:rPr>
      <w:rFonts w:cs="Times New Roman"/>
      <w:color w:val="auto"/>
    </w:rPr>
  </w:style>
  <w:style w:type="paragraph" w:customStyle="1" w:styleId="408">
    <w:name w:val="CM25"/>
    <w:basedOn w:val="397"/>
    <w:next w:val="397"/>
    <w:qFormat/>
    <w:uiPriority w:val="99"/>
    <w:pPr>
      <w:spacing w:line="538" w:lineRule="atLeast"/>
    </w:pPr>
    <w:rPr>
      <w:rFonts w:cs="Times New Roman"/>
      <w:color w:val="auto"/>
    </w:rPr>
  </w:style>
  <w:style w:type="paragraph" w:customStyle="1" w:styleId="409">
    <w:name w:val="CM16"/>
    <w:basedOn w:val="397"/>
    <w:next w:val="397"/>
    <w:qFormat/>
    <w:uiPriority w:val="99"/>
    <w:pPr>
      <w:spacing w:line="538" w:lineRule="atLeast"/>
    </w:pPr>
    <w:rPr>
      <w:rFonts w:cs="Times New Roman"/>
      <w:color w:val="auto"/>
    </w:rPr>
  </w:style>
  <w:style w:type="paragraph" w:customStyle="1" w:styleId="410">
    <w:name w:val="CM76"/>
    <w:basedOn w:val="397"/>
    <w:next w:val="397"/>
    <w:qFormat/>
    <w:uiPriority w:val="99"/>
    <w:pPr>
      <w:spacing w:after="270"/>
    </w:pPr>
    <w:rPr>
      <w:rFonts w:cs="Times New Roman"/>
      <w:color w:val="auto"/>
    </w:rPr>
  </w:style>
  <w:style w:type="paragraph" w:customStyle="1" w:styleId="411">
    <w:name w:val="CM20"/>
    <w:basedOn w:val="397"/>
    <w:next w:val="397"/>
    <w:qFormat/>
    <w:uiPriority w:val="0"/>
    <w:rPr>
      <w:rFonts w:cs="Times New Roman"/>
      <w:color w:val="auto"/>
    </w:rPr>
  </w:style>
  <w:style w:type="paragraph" w:customStyle="1" w:styleId="412">
    <w:name w:val="CM81"/>
    <w:basedOn w:val="397"/>
    <w:next w:val="397"/>
    <w:qFormat/>
    <w:uiPriority w:val="99"/>
    <w:pPr>
      <w:spacing w:after="125"/>
    </w:pPr>
    <w:rPr>
      <w:rFonts w:cs="Times New Roman"/>
      <w:color w:val="auto"/>
    </w:rPr>
  </w:style>
  <w:style w:type="paragraph" w:customStyle="1" w:styleId="413">
    <w:name w:val="CM38"/>
    <w:basedOn w:val="397"/>
    <w:next w:val="397"/>
    <w:qFormat/>
    <w:uiPriority w:val="0"/>
    <w:rPr>
      <w:rFonts w:cs="Times New Roman"/>
      <w:color w:val="auto"/>
    </w:rPr>
  </w:style>
  <w:style w:type="paragraph" w:customStyle="1" w:styleId="414">
    <w:name w:val="CM17"/>
    <w:basedOn w:val="397"/>
    <w:next w:val="397"/>
    <w:qFormat/>
    <w:uiPriority w:val="99"/>
    <w:pPr>
      <w:spacing w:line="536" w:lineRule="atLeast"/>
    </w:pPr>
    <w:rPr>
      <w:rFonts w:cs="Times New Roman"/>
      <w:color w:val="auto"/>
    </w:rPr>
  </w:style>
  <w:style w:type="paragraph" w:customStyle="1" w:styleId="415">
    <w:name w:val="CM21"/>
    <w:basedOn w:val="397"/>
    <w:next w:val="397"/>
    <w:qFormat/>
    <w:uiPriority w:val="0"/>
    <w:rPr>
      <w:rFonts w:cs="Times New Roman"/>
      <w:color w:val="auto"/>
    </w:rPr>
  </w:style>
  <w:style w:type="paragraph" w:customStyle="1" w:styleId="416">
    <w:name w:val="CM24"/>
    <w:basedOn w:val="397"/>
    <w:next w:val="397"/>
    <w:qFormat/>
    <w:uiPriority w:val="99"/>
    <w:pPr>
      <w:spacing w:line="538" w:lineRule="atLeast"/>
    </w:pPr>
    <w:rPr>
      <w:rFonts w:cs="Times New Roman"/>
      <w:color w:val="auto"/>
    </w:rPr>
  </w:style>
  <w:style w:type="paragraph" w:customStyle="1" w:styleId="417">
    <w:name w:val="CM26"/>
    <w:basedOn w:val="397"/>
    <w:next w:val="397"/>
    <w:qFormat/>
    <w:uiPriority w:val="99"/>
    <w:rPr>
      <w:rFonts w:cs="Times New Roman"/>
      <w:color w:val="auto"/>
    </w:rPr>
  </w:style>
  <w:style w:type="paragraph" w:customStyle="1" w:styleId="418">
    <w:name w:val="默认段落字体 Para Char Char Char1 Char Char Char Char"/>
    <w:basedOn w:val="1"/>
    <w:qFormat/>
    <w:uiPriority w:val="0"/>
  </w:style>
  <w:style w:type="character" w:customStyle="1" w:styleId="419">
    <w:name w:val="批注框文本 字符2"/>
    <w:link w:val="54"/>
    <w:qFormat/>
    <w:uiPriority w:val="99"/>
    <w:rPr>
      <w:rFonts w:eastAsia="黑体" w:cs="宋体"/>
      <w:b/>
      <w:bCs/>
      <w:color w:val="000000"/>
      <w:kern w:val="2"/>
      <w:sz w:val="18"/>
      <w:szCs w:val="18"/>
      <w:lang w:val="en-US" w:eastAsia="zh-CN" w:bidi="ar-SA"/>
    </w:rPr>
  </w:style>
  <w:style w:type="paragraph" w:customStyle="1" w:styleId="420">
    <w:name w:val="CM54"/>
    <w:basedOn w:val="397"/>
    <w:next w:val="397"/>
    <w:qFormat/>
    <w:uiPriority w:val="99"/>
    <w:pPr>
      <w:spacing w:line="500" w:lineRule="atLeast"/>
    </w:pPr>
    <w:rPr>
      <w:rFonts w:cs="Times New Roman"/>
      <w:color w:val="auto"/>
    </w:rPr>
  </w:style>
  <w:style w:type="paragraph" w:customStyle="1" w:styleId="421">
    <w:name w:val="CM65"/>
    <w:basedOn w:val="397"/>
    <w:next w:val="397"/>
    <w:qFormat/>
    <w:uiPriority w:val="99"/>
    <w:pPr>
      <w:spacing w:line="500" w:lineRule="atLeast"/>
    </w:pPr>
    <w:rPr>
      <w:rFonts w:cs="Times New Roman"/>
      <w:color w:val="auto"/>
    </w:rPr>
  </w:style>
  <w:style w:type="paragraph" w:customStyle="1" w:styleId="422">
    <w:name w:val="CM14"/>
    <w:basedOn w:val="397"/>
    <w:next w:val="397"/>
    <w:qFormat/>
    <w:uiPriority w:val="99"/>
    <w:rPr>
      <w:rFonts w:cs="Times New Roman"/>
      <w:color w:val="auto"/>
    </w:rPr>
  </w:style>
  <w:style w:type="paragraph" w:customStyle="1" w:styleId="423">
    <w:name w:val="Char Char Char1 Char Char Char Char Char Char Char Char Char Char"/>
    <w:basedOn w:val="1"/>
    <w:qFormat/>
    <w:uiPriority w:val="0"/>
    <w:rPr>
      <w:sz w:val="21"/>
    </w:rPr>
  </w:style>
  <w:style w:type="paragraph" w:customStyle="1" w:styleId="424">
    <w:name w:val="表格样式1"/>
    <w:basedOn w:val="1"/>
    <w:next w:val="1"/>
    <w:qFormat/>
    <w:uiPriority w:val="0"/>
    <w:pPr>
      <w:adjustRightInd w:val="0"/>
      <w:spacing w:line="40" w:lineRule="atLeast"/>
      <w:jc w:val="center"/>
      <w:textAlignment w:val="baseline"/>
    </w:pPr>
    <w:rPr>
      <w:kern w:val="0"/>
      <w:szCs w:val="20"/>
    </w:rPr>
  </w:style>
  <w:style w:type="paragraph" w:customStyle="1" w:styleId="425">
    <w:name w:val="表第一列"/>
    <w:basedOn w:val="86"/>
    <w:qFormat/>
    <w:uiPriority w:val="0"/>
    <w:pPr>
      <w:keepNext/>
      <w:keepLines/>
      <w:tabs>
        <w:tab w:val="left" w:pos="1727"/>
        <w:tab w:val="left" w:pos="1884"/>
        <w:tab w:val="left" w:pos="2940"/>
      </w:tabs>
      <w:spacing w:line="0" w:lineRule="atLeast"/>
      <w:ind w:firstLine="0" w:firstLineChars="0"/>
      <w:jc w:val="center"/>
    </w:pPr>
    <w:rPr>
      <w:rFonts w:ascii="宋体" w:hAnsi="宋体"/>
      <w:color w:val="000000"/>
      <w:spacing w:val="-4"/>
      <w:sz w:val="21"/>
      <w:szCs w:val="20"/>
    </w:rPr>
  </w:style>
  <w:style w:type="paragraph" w:customStyle="1" w:styleId="426">
    <w:name w:val="2级标题"/>
    <w:basedOn w:val="270"/>
    <w:next w:val="34"/>
    <w:qFormat/>
    <w:uiPriority w:val="0"/>
    <w:pPr>
      <w:spacing w:line="240" w:lineRule="auto"/>
    </w:pPr>
    <w:rPr>
      <w:sz w:val="32"/>
      <w:szCs w:val="32"/>
    </w:rPr>
  </w:style>
  <w:style w:type="paragraph" w:customStyle="1" w:styleId="427">
    <w:name w:val="简单回函地址"/>
    <w:basedOn w:val="1"/>
    <w:qFormat/>
    <w:uiPriority w:val="0"/>
    <w:rPr>
      <w:sz w:val="21"/>
    </w:rPr>
  </w:style>
  <w:style w:type="paragraph" w:customStyle="1" w:styleId="428">
    <w:name w:val="CM12"/>
    <w:basedOn w:val="397"/>
    <w:next w:val="397"/>
    <w:qFormat/>
    <w:uiPriority w:val="0"/>
    <w:pPr>
      <w:spacing w:line="538" w:lineRule="atLeast"/>
    </w:pPr>
    <w:rPr>
      <w:rFonts w:hAnsi="Times New Roman" w:cs="Times New Roman"/>
      <w:color w:val="auto"/>
    </w:rPr>
  </w:style>
  <w:style w:type="paragraph" w:customStyle="1" w:styleId="429">
    <w:name w:val="表格编号"/>
    <w:qFormat/>
    <w:uiPriority w:val="0"/>
    <w:pPr>
      <w:jc w:val="right"/>
    </w:pPr>
    <w:rPr>
      <w:rFonts w:ascii="Times New Roman" w:hAnsi="Times New Roman" w:eastAsia="宋体" w:cs="Times New Roman"/>
      <w:sz w:val="24"/>
      <w:lang w:val="en-US" w:eastAsia="zh-CN" w:bidi="ar-SA"/>
    </w:rPr>
  </w:style>
  <w:style w:type="paragraph" w:styleId="430">
    <w:name w:val="List Paragraph"/>
    <w:basedOn w:val="1"/>
    <w:link w:val="431"/>
    <w:qFormat/>
    <w:uiPriority w:val="99"/>
    <w:pPr>
      <w:numPr>
        <w:ilvl w:val="0"/>
        <w:numId w:val="10"/>
      </w:numPr>
      <w:ind w:left="879"/>
    </w:pPr>
    <w:rPr>
      <w:sz w:val="21"/>
    </w:rPr>
  </w:style>
  <w:style w:type="character" w:customStyle="1" w:styleId="431">
    <w:name w:val="列表段落 字符1"/>
    <w:link w:val="430"/>
    <w:qFormat/>
    <w:uiPriority w:val="99"/>
    <w:rPr>
      <w:kern w:val="2"/>
      <w:sz w:val="21"/>
      <w:szCs w:val="24"/>
    </w:rPr>
  </w:style>
  <w:style w:type="paragraph" w:customStyle="1" w:styleId="432">
    <w:name w:val="2级标题 Char Char"/>
    <w:basedOn w:val="1"/>
    <w:qFormat/>
    <w:uiPriority w:val="0"/>
    <w:rPr>
      <w:rFonts w:eastAsia="黑体" w:cs="宋体"/>
      <w:b/>
      <w:bCs/>
      <w:color w:val="000000"/>
      <w:sz w:val="32"/>
      <w:szCs w:val="32"/>
    </w:rPr>
  </w:style>
  <w:style w:type="paragraph" w:customStyle="1" w:styleId="433">
    <w:name w:val="Char Char Char Char1 Char Char Char Char Char Char Char Char Char"/>
    <w:basedOn w:val="1"/>
    <w:qFormat/>
    <w:uiPriority w:val="0"/>
    <w:pPr>
      <w:ind w:firstLine="200" w:firstLineChars="200"/>
    </w:pPr>
    <w:rPr>
      <w:rFonts w:ascii="宋体" w:hAnsi="宋体" w:cs="宋体"/>
    </w:rPr>
  </w:style>
  <w:style w:type="paragraph" w:customStyle="1" w:styleId="434">
    <w:name w:val="样式 样式 正文缩进 + 首行缩进:  2 字符 + 首行缩进:  2.5 字符"/>
    <w:basedOn w:val="1"/>
    <w:qFormat/>
    <w:uiPriority w:val="0"/>
    <w:pPr>
      <w:tabs>
        <w:tab w:val="left" w:pos="0"/>
      </w:tabs>
      <w:overflowPunct w:val="0"/>
      <w:autoSpaceDE w:val="0"/>
      <w:autoSpaceDN w:val="0"/>
      <w:spacing w:line="360" w:lineRule="auto"/>
      <w:ind w:firstLine="200" w:firstLineChars="200"/>
      <w:textAlignment w:val="bottom"/>
    </w:pPr>
    <w:rPr>
      <w:rFonts w:ascii="宋体" w:hAnsi="宋体" w:cs="宋体"/>
      <w:kern w:val="0"/>
      <w:szCs w:val="20"/>
    </w:rPr>
  </w:style>
  <w:style w:type="paragraph" w:customStyle="1" w:styleId="435">
    <w:name w:val="1.1.1.1"/>
    <w:basedOn w:val="1"/>
    <w:qFormat/>
    <w:uiPriority w:val="0"/>
    <w:pPr>
      <w:spacing w:before="60" w:after="60"/>
      <w:jc w:val="left"/>
    </w:pPr>
    <w:rPr>
      <w:b/>
      <w:bCs/>
      <w:sz w:val="28"/>
    </w:rPr>
  </w:style>
  <w:style w:type="table" w:customStyle="1" w:styleId="436">
    <w:name w:val="11"/>
    <w:basedOn w:val="89"/>
    <w:qFormat/>
    <w:uiPriority w:val="0"/>
    <w:pPr>
      <w:jc w:val="center"/>
    </w:pPr>
    <w:rPr>
      <w:sz w:val="21"/>
    </w:rPr>
    <w:tblPr>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Layout w:type="fixed"/>
    </w:tblPr>
    <w:tcPr>
      <w:vAlign w:val="center"/>
    </w:tcPr>
  </w:style>
  <w:style w:type="paragraph" w:customStyle="1" w:styleId="437">
    <w:name w:val="日期1"/>
    <w:basedOn w:val="1"/>
    <w:next w:val="1"/>
    <w:qFormat/>
    <w:uiPriority w:val="0"/>
    <w:pPr>
      <w:autoSpaceDE w:val="0"/>
      <w:autoSpaceDN w:val="0"/>
      <w:adjustRightInd w:val="0"/>
      <w:textAlignment w:val="baseline"/>
    </w:pPr>
    <w:rPr>
      <w:spacing w:val="5"/>
      <w:kern w:val="0"/>
      <w:szCs w:val="20"/>
    </w:rPr>
  </w:style>
  <w:style w:type="paragraph" w:customStyle="1" w:styleId="438">
    <w:name w:val="CM2"/>
    <w:basedOn w:val="1"/>
    <w:next w:val="1"/>
    <w:qFormat/>
    <w:uiPriority w:val="99"/>
    <w:pPr>
      <w:autoSpaceDE w:val="0"/>
      <w:autoSpaceDN w:val="0"/>
      <w:adjustRightInd w:val="0"/>
      <w:spacing w:line="468" w:lineRule="atLeast"/>
      <w:jc w:val="left"/>
    </w:pPr>
    <w:rPr>
      <w:kern w:val="0"/>
    </w:rPr>
  </w:style>
  <w:style w:type="paragraph" w:customStyle="1" w:styleId="439">
    <w:name w:val="Char Char Char1 Char"/>
    <w:basedOn w:val="1"/>
    <w:qFormat/>
    <w:uiPriority w:val="0"/>
    <w:pPr>
      <w:spacing w:line="360" w:lineRule="auto"/>
      <w:ind w:firstLine="200" w:firstLineChars="200"/>
    </w:pPr>
    <w:rPr>
      <w:rFonts w:ascii="宋体" w:hAnsi="宋体" w:cs="宋体"/>
    </w:rPr>
  </w:style>
  <w:style w:type="table" w:customStyle="1" w:styleId="440">
    <w:name w:val="嵌套表格"/>
    <w:basedOn w:val="88"/>
    <w:qFormat/>
    <w:uiPriority w:val="0"/>
    <w:pPr>
      <w:keepLines/>
      <w:jc w:val="center"/>
    </w:pPr>
    <w:rPr>
      <w:sz w:val="21"/>
      <w:szCs w:val="21"/>
    </w:rPr>
    <w:tblPr>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Pr>
    <w:trPr>
      <w:jc w:val="center"/>
    </w:trPr>
    <w:tcPr>
      <w:vAlign w:val="center"/>
    </w:tcPr>
  </w:style>
  <w:style w:type="paragraph" w:customStyle="1" w:styleId="441">
    <w:name w:val="正文文字"/>
    <w:basedOn w:val="1"/>
    <w:link w:val="442"/>
    <w:qFormat/>
    <w:uiPriority w:val="0"/>
    <w:rPr>
      <w:rFonts w:cs="Courier New"/>
      <w:sz w:val="21"/>
      <w:szCs w:val="21"/>
    </w:rPr>
  </w:style>
  <w:style w:type="character" w:customStyle="1" w:styleId="442">
    <w:name w:val="正文文字 Char1"/>
    <w:link w:val="441"/>
    <w:qFormat/>
    <w:uiPriority w:val="0"/>
    <w:rPr>
      <w:rFonts w:eastAsia="宋体" w:cs="Courier New"/>
      <w:b/>
      <w:bCs/>
      <w:color w:val="000000"/>
      <w:kern w:val="2"/>
      <w:sz w:val="21"/>
      <w:szCs w:val="21"/>
      <w:lang w:val="en-US" w:eastAsia="zh-CN" w:bidi="ar-SA"/>
    </w:rPr>
  </w:style>
  <w:style w:type="character" w:customStyle="1" w:styleId="443">
    <w:name w:val="Char Char Char Char Char Char Char Char Char Char Char Char Char Char Char Char Char Char Char Char"/>
    <w:qFormat/>
    <w:uiPriority w:val="0"/>
    <w:rPr>
      <w:rFonts w:eastAsia="宋体" w:cs="宋体"/>
      <w:b/>
      <w:bCs/>
      <w:color w:val="000000"/>
      <w:kern w:val="2"/>
      <w:sz w:val="24"/>
      <w:szCs w:val="24"/>
      <w:lang w:val="en-US" w:eastAsia="zh-CN" w:bidi="ar-SA"/>
    </w:rPr>
  </w:style>
  <w:style w:type="paragraph" w:customStyle="1" w:styleId="444">
    <w:name w:val="样式 仿宋_GB2312 四号 行距: 固定值 25 磅"/>
    <w:basedOn w:val="1"/>
    <w:qFormat/>
    <w:uiPriority w:val="0"/>
    <w:pPr>
      <w:spacing w:line="500" w:lineRule="exact"/>
      <w:ind w:firstLine="560" w:firstLineChars="200"/>
    </w:pPr>
    <w:rPr>
      <w:rFonts w:eastAsia="仿宋_GB2312" w:cs="宋体"/>
      <w:sz w:val="28"/>
      <w:szCs w:val="28"/>
    </w:rPr>
  </w:style>
  <w:style w:type="paragraph" w:customStyle="1" w:styleId="445">
    <w:name w:val="款"/>
    <w:basedOn w:val="8"/>
    <w:qFormat/>
    <w:uiPriority w:val="0"/>
    <w:pPr>
      <w:tabs>
        <w:tab w:val="clear" w:pos="360"/>
      </w:tabs>
      <w:snapToGrid/>
      <w:spacing w:before="0" w:line="500" w:lineRule="exact"/>
      <w:ind w:firstLine="100" w:firstLineChars="100"/>
      <w:jc w:val="left"/>
    </w:pPr>
    <w:rPr>
      <w:rFonts w:eastAsia="仿宋_GB2312"/>
      <w:bCs/>
      <w:szCs w:val="28"/>
    </w:rPr>
  </w:style>
  <w:style w:type="paragraph" w:customStyle="1" w:styleId="446">
    <w:name w:val="c"/>
    <w:basedOn w:val="1"/>
    <w:link w:val="447"/>
    <w:qFormat/>
    <w:uiPriority w:val="0"/>
    <w:pPr>
      <w:widowControl/>
      <w:spacing w:before="120" w:beforeLines="50" w:line="440" w:lineRule="exact"/>
      <w:ind w:firstLine="560" w:firstLineChars="200"/>
      <w:jc w:val="left"/>
    </w:pPr>
    <w:rPr>
      <w:rFonts w:eastAsia="仿宋_GB2312" w:cs="宋体"/>
      <w:sz w:val="28"/>
    </w:rPr>
  </w:style>
  <w:style w:type="character" w:customStyle="1" w:styleId="447">
    <w:name w:val="c Char"/>
    <w:link w:val="446"/>
    <w:qFormat/>
    <w:uiPriority w:val="0"/>
    <w:rPr>
      <w:rFonts w:eastAsia="仿宋_GB2312" w:cs="宋体"/>
      <w:b/>
      <w:bCs/>
      <w:color w:val="000000"/>
      <w:kern w:val="2"/>
      <w:sz w:val="28"/>
      <w:szCs w:val="24"/>
      <w:lang w:val="en-US" w:eastAsia="zh-CN" w:bidi="ar-SA"/>
    </w:rPr>
  </w:style>
  <w:style w:type="character" w:customStyle="1" w:styleId="448">
    <w:name w:val="c Char1"/>
    <w:qFormat/>
    <w:uiPriority w:val="0"/>
    <w:rPr>
      <w:rFonts w:eastAsia="仿宋_GB2312" w:cs="宋体"/>
      <w:b/>
      <w:bCs/>
      <w:color w:val="000000"/>
      <w:kern w:val="2"/>
      <w:sz w:val="28"/>
      <w:szCs w:val="32"/>
      <w:lang w:val="en-US" w:eastAsia="zh-CN" w:bidi="ar-SA"/>
    </w:rPr>
  </w:style>
  <w:style w:type="paragraph" w:customStyle="1" w:styleId="449">
    <w:name w:val="条"/>
    <w:basedOn w:val="6"/>
    <w:link w:val="628"/>
    <w:qFormat/>
    <w:uiPriority w:val="0"/>
    <w:pPr>
      <w:numPr>
        <w:ilvl w:val="0"/>
        <w:numId w:val="0"/>
      </w:numPr>
      <w:spacing w:before="120" w:beforeLines="50"/>
      <w:jc w:val="left"/>
    </w:pPr>
    <w:rPr>
      <w:b w:val="0"/>
      <w:bCs w:val="0"/>
    </w:rPr>
  </w:style>
  <w:style w:type="character" w:customStyle="1" w:styleId="450">
    <w:name w:val="c Char Char"/>
    <w:qFormat/>
    <w:uiPriority w:val="0"/>
    <w:rPr>
      <w:rFonts w:eastAsia="仿宋_GB2312" w:cs="宋体"/>
      <w:b/>
      <w:bCs/>
      <w:color w:val="000000"/>
      <w:kern w:val="2"/>
      <w:sz w:val="28"/>
      <w:szCs w:val="28"/>
      <w:lang w:val="en-US" w:eastAsia="zh-CN" w:bidi="ar-SA"/>
    </w:rPr>
  </w:style>
  <w:style w:type="paragraph" w:customStyle="1" w:styleId="451">
    <w:name w:val="章"/>
    <w:basedOn w:val="4"/>
    <w:qFormat/>
    <w:uiPriority w:val="0"/>
    <w:pPr>
      <w:spacing w:line="240" w:lineRule="auto"/>
      <w:jc w:val="center"/>
    </w:pPr>
    <w:rPr>
      <w:rFonts w:ascii="Arial" w:hAnsi="Arial"/>
      <w:szCs w:val="32"/>
    </w:rPr>
  </w:style>
  <w:style w:type="paragraph" w:customStyle="1" w:styleId="452">
    <w:name w:val="正文格式"/>
    <w:basedOn w:val="1"/>
    <w:next w:val="1"/>
    <w:link w:val="453"/>
    <w:qFormat/>
    <w:uiPriority w:val="0"/>
    <w:pPr>
      <w:autoSpaceDE w:val="0"/>
      <w:autoSpaceDN w:val="0"/>
      <w:adjustRightInd w:val="0"/>
      <w:ind w:firstLine="462" w:firstLineChars="200"/>
      <w:jc w:val="left"/>
    </w:pPr>
    <w:rPr>
      <w:kern w:val="0"/>
    </w:rPr>
  </w:style>
  <w:style w:type="character" w:customStyle="1" w:styleId="453">
    <w:name w:val="正文格式 Char"/>
    <w:link w:val="452"/>
    <w:qFormat/>
    <w:uiPriority w:val="0"/>
    <w:rPr>
      <w:sz w:val="24"/>
      <w:szCs w:val="24"/>
    </w:rPr>
  </w:style>
  <w:style w:type="paragraph" w:customStyle="1" w:styleId="454">
    <w:name w:val="样式 表头 + 黑体 小四 自动设置 左侧:  -1 字符 首行缩进:  2 字符 段前: 0.5 行"/>
    <w:basedOn w:val="1"/>
    <w:qFormat/>
    <w:uiPriority w:val="0"/>
    <w:pPr>
      <w:tabs>
        <w:tab w:val="left" w:pos="7140"/>
      </w:tabs>
      <w:autoSpaceDN w:val="0"/>
      <w:spacing w:before="75" w:beforeLines="75" w:after="25" w:afterLines="25" w:line="440" w:lineRule="exact"/>
      <w:ind w:left="-100" w:leftChars="-100" w:right="28" w:firstLine="200" w:firstLineChars="200"/>
      <w:jc w:val="right"/>
    </w:pPr>
    <w:rPr>
      <w:rFonts w:ascii="黑体" w:eastAsia="黑体" w:cs="宋体"/>
      <w:szCs w:val="20"/>
    </w:rPr>
  </w:style>
  <w:style w:type="paragraph" w:customStyle="1" w:styleId="455">
    <w:name w:val="无间隔1"/>
    <w:qFormat/>
    <w:uiPriority w:val="1"/>
    <w:pPr>
      <w:widowControl w:val="0"/>
      <w:jc w:val="both"/>
    </w:pPr>
    <w:rPr>
      <w:rFonts w:ascii="Times New Roman" w:hAnsi="Times New Roman" w:eastAsia="宋体" w:cs="Times New Roman"/>
      <w:kern w:val="2"/>
      <w:sz w:val="24"/>
      <w:szCs w:val="24"/>
      <w:lang w:val="en-US" w:eastAsia="zh-CN" w:bidi="ar-SA"/>
    </w:rPr>
  </w:style>
  <w:style w:type="paragraph" w:customStyle="1" w:styleId="456">
    <w:name w:val="Char Char Char Char1 Char Char Char Char Char Char Char Char Char1"/>
    <w:basedOn w:val="1"/>
    <w:qFormat/>
    <w:uiPriority w:val="0"/>
    <w:pPr>
      <w:ind w:firstLine="200" w:firstLineChars="200"/>
    </w:pPr>
    <w:rPr>
      <w:rFonts w:eastAsia="黑体" w:cs="宋体"/>
      <w:b/>
      <w:bCs/>
      <w:color w:val="000000"/>
      <w:sz w:val="32"/>
      <w:szCs w:val="32"/>
    </w:rPr>
  </w:style>
  <w:style w:type="paragraph" w:customStyle="1" w:styleId="457">
    <w:name w:val="1 Char Char Char Char Char Char Char Char Char Char Char Char Char Char Char1"/>
    <w:basedOn w:val="1"/>
    <w:qFormat/>
    <w:uiPriority w:val="0"/>
  </w:style>
  <w:style w:type="paragraph" w:customStyle="1" w:styleId="458">
    <w:name w:val="Char Char1 Char"/>
    <w:basedOn w:val="1"/>
    <w:qFormat/>
    <w:uiPriority w:val="0"/>
    <w:rPr>
      <w:rFonts w:eastAsia="黑体" w:cs="宋体"/>
      <w:b/>
      <w:bCs/>
      <w:color w:val="000000"/>
      <w:sz w:val="32"/>
      <w:szCs w:val="32"/>
    </w:rPr>
  </w:style>
  <w:style w:type="paragraph" w:customStyle="1" w:styleId="459">
    <w:name w:val="标题33上接文字"/>
    <w:basedOn w:val="5"/>
    <w:link w:val="460"/>
    <w:qFormat/>
    <w:uiPriority w:val="0"/>
    <w:pPr>
      <w:spacing w:before="100" w:beforeLines="100" w:after="50" w:afterLines="50" w:line="360" w:lineRule="auto"/>
      <w:jc w:val="left"/>
    </w:pPr>
    <w:rPr>
      <w:rFonts w:ascii="黑体" w:hAnsi="黑体" w:cs="黑体"/>
      <w:sz w:val="24"/>
      <w:szCs w:val="24"/>
    </w:rPr>
  </w:style>
  <w:style w:type="character" w:customStyle="1" w:styleId="460">
    <w:name w:val="标题33上接文字 Char"/>
    <w:link w:val="459"/>
    <w:qFormat/>
    <w:uiPriority w:val="0"/>
    <w:rPr>
      <w:rFonts w:ascii="黑体" w:hAnsi="黑体" w:eastAsia="黑体" w:cs="黑体"/>
      <w:b/>
      <w:bCs/>
      <w:kern w:val="2"/>
      <w:sz w:val="24"/>
      <w:szCs w:val="24"/>
    </w:rPr>
  </w:style>
  <w:style w:type="paragraph" w:customStyle="1" w:styleId="461">
    <w:name w:val="报告正文"/>
    <w:basedOn w:val="1"/>
    <w:link w:val="462"/>
    <w:qFormat/>
    <w:uiPriority w:val="0"/>
    <w:pPr>
      <w:tabs>
        <w:tab w:val="left" w:pos="0"/>
      </w:tabs>
      <w:spacing w:line="360" w:lineRule="auto"/>
      <w:ind w:firstLine="200" w:firstLineChars="200"/>
    </w:pPr>
    <w:rPr>
      <w:color w:val="000000"/>
    </w:rPr>
  </w:style>
  <w:style w:type="character" w:customStyle="1" w:styleId="462">
    <w:name w:val="报告正文 Char"/>
    <w:link w:val="461"/>
    <w:qFormat/>
    <w:uiPriority w:val="0"/>
    <w:rPr>
      <w:rFonts w:eastAsia="宋体" w:cs="宋体"/>
      <w:b/>
      <w:bCs/>
      <w:color w:val="000000"/>
      <w:kern w:val="2"/>
      <w:sz w:val="24"/>
      <w:szCs w:val="24"/>
      <w:lang w:val="en-US" w:eastAsia="zh-CN" w:bidi="ar-SA"/>
    </w:rPr>
  </w:style>
  <w:style w:type="paragraph" w:customStyle="1" w:styleId="463">
    <w:name w:val="标题33"/>
    <w:basedOn w:val="5"/>
    <w:next w:val="461"/>
    <w:qFormat/>
    <w:uiPriority w:val="0"/>
    <w:pPr>
      <w:spacing w:before="50" w:beforeLines="50" w:after="50" w:afterLines="50" w:line="360" w:lineRule="auto"/>
      <w:jc w:val="left"/>
    </w:pPr>
    <w:rPr>
      <w:rFonts w:ascii="黑体" w:hAnsi="黑体" w:cs="黑体"/>
      <w:b w:val="0"/>
      <w:sz w:val="24"/>
      <w:szCs w:val="24"/>
    </w:rPr>
  </w:style>
  <w:style w:type="character" w:customStyle="1" w:styleId="464">
    <w:name w:val="Char Char13"/>
    <w:qFormat/>
    <w:locked/>
    <w:uiPriority w:val="0"/>
    <w:rPr>
      <w:rFonts w:ascii="Times New Roman" w:hAnsi="Times New Roman" w:eastAsia="黑体" w:cs="Times New Roman"/>
      <w:color w:val="000000"/>
      <w:kern w:val="32"/>
      <w:sz w:val="44"/>
      <w:szCs w:val="44"/>
      <w:lang w:val="en-US" w:eastAsia="zh-CN" w:bidi="ar-SA"/>
    </w:rPr>
  </w:style>
  <w:style w:type="character" w:customStyle="1" w:styleId="465">
    <w:name w:val="Char Char12"/>
    <w:qFormat/>
    <w:locked/>
    <w:uiPriority w:val="0"/>
    <w:rPr>
      <w:rFonts w:ascii="Times New Roman" w:hAnsi="Times New Roman" w:eastAsia="黑体" w:cs="Times New Roman"/>
      <w:color w:val="000000"/>
      <w:kern w:val="2"/>
      <w:sz w:val="32"/>
      <w:szCs w:val="32"/>
      <w:lang w:val="en-US" w:eastAsia="zh-CN" w:bidi="ar-SA"/>
    </w:rPr>
  </w:style>
  <w:style w:type="character" w:customStyle="1" w:styleId="466">
    <w:name w:val="Char Char2"/>
    <w:qFormat/>
    <w:locked/>
    <w:uiPriority w:val="0"/>
    <w:rPr>
      <w:rFonts w:ascii="Times New Roman" w:hAnsi="Times New Roman" w:eastAsia="宋体" w:cs="Times New Roman"/>
      <w:color w:val="000000"/>
      <w:kern w:val="2"/>
      <w:sz w:val="32"/>
      <w:szCs w:val="32"/>
      <w:lang w:val="en-US" w:eastAsia="zh-CN" w:bidi="ar-SA"/>
    </w:rPr>
  </w:style>
  <w:style w:type="paragraph" w:customStyle="1" w:styleId="467">
    <w:name w:val="无间隔2"/>
    <w:qFormat/>
    <w:uiPriority w:val="0"/>
    <w:pPr>
      <w:widowControl w:val="0"/>
      <w:adjustRightInd w:val="0"/>
      <w:jc w:val="both"/>
    </w:pPr>
    <w:rPr>
      <w:rFonts w:ascii="Times New Roman" w:hAnsi="Times New Roman" w:eastAsia="宋体" w:cs="Times New Roman"/>
      <w:kern w:val="2"/>
      <w:sz w:val="24"/>
      <w:szCs w:val="24"/>
      <w:lang w:val="en-US" w:eastAsia="zh-CN" w:bidi="ar-SA"/>
    </w:rPr>
  </w:style>
  <w:style w:type="paragraph" w:customStyle="1" w:styleId="468">
    <w:name w:val="样式18 Char"/>
    <w:basedOn w:val="1"/>
    <w:link w:val="469"/>
    <w:qFormat/>
    <w:uiPriority w:val="0"/>
    <w:pPr>
      <w:spacing w:line="360" w:lineRule="auto"/>
      <w:ind w:firstLine="480" w:firstLineChars="200"/>
    </w:pPr>
    <w:rPr>
      <w:rFonts w:eastAsia="仿宋_GB2312"/>
    </w:rPr>
  </w:style>
  <w:style w:type="character" w:customStyle="1" w:styleId="469">
    <w:name w:val="样式18 Char Char"/>
    <w:link w:val="468"/>
    <w:qFormat/>
    <w:locked/>
    <w:uiPriority w:val="0"/>
    <w:rPr>
      <w:rFonts w:eastAsia="仿宋_GB2312" w:cs="宋体"/>
      <w:b/>
      <w:bCs/>
      <w:color w:val="000000"/>
      <w:kern w:val="2"/>
      <w:sz w:val="24"/>
      <w:szCs w:val="24"/>
      <w:lang w:val="en-US" w:eastAsia="zh-CN" w:bidi="ar-SA"/>
    </w:rPr>
  </w:style>
  <w:style w:type="paragraph" w:customStyle="1" w:styleId="470">
    <w:name w:val="注："/>
    <w:next w:val="1"/>
    <w:qFormat/>
    <w:uiPriority w:val="0"/>
    <w:pPr>
      <w:widowControl w:val="0"/>
      <w:numPr>
        <w:ilvl w:val="0"/>
        <w:numId w:val="11"/>
      </w:numPr>
      <w:autoSpaceDE w:val="0"/>
      <w:autoSpaceDN w:val="0"/>
      <w:jc w:val="both"/>
    </w:pPr>
    <w:rPr>
      <w:rFonts w:ascii="宋体" w:hAnsi="Times New Roman" w:eastAsia="宋体" w:cs="宋体"/>
      <w:sz w:val="18"/>
      <w:szCs w:val="18"/>
      <w:lang w:val="en-US" w:eastAsia="zh-CN" w:bidi="ar-SA"/>
    </w:rPr>
  </w:style>
  <w:style w:type="character" w:customStyle="1" w:styleId="471">
    <w:name w:val="Char Char6"/>
    <w:qFormat/>
    <w:locked/>
    <w:uiPriority w:val="0"/>
    <w:rPr>
      <w:rFonts w:ascii="Times New Roman" w:hAnsi="Times New Roman" w:eastAsia="宋体" w:cs="Times New Roman"/>
      <w:b/>
      <w:bCs/>
      <w:color w:val="000000"/>
      <w:kern w:val="2"/>
      <w:sz w:val="18"/>
      <w:szCs w:val="18"/>
      <w:lang w:val="en-US" w:eastAsia="zh-CN" w:bidi="ar-SA"/>
    </w:rPr>
  </w:style>
  <w:style w:type="paragraph" w:customStyle="1" w:styleId="472">
    <w:name w:val="列出段落1"/>
    <w:basedOn w:val="1"/>
    <w:link w:val="473"/>
    <w:qFormat/>
    <w:uiPriority w:val="0"/>
    <w:pPr>
      <w:adjustRightInd w:val="0"/>
      <w:spacing w:line="360" w:lineRule="auto"/>
      <w:ind w:firstLine="420" w:firstLineChars="200"/>
    </w:pPr>
  </w:style>
  <w:style w:type="character" w:customStyle="1" w:styleId="473">
    <w:name w:val="List Paragraph Char1"/>
    <w:link w:val="472"/>
    <w:qFormat/>
    <w:locked/>
    <w:uiPriority w:val="0"/>
    <w:rPr>
      <w:rFonts w:eastAsia="宋体" w:cs="宋体"/>
      <w:b/>
      <w:bCs/>
      <w:color w:val="000000"/>
      <w:kern w:val="2"/>
      <w:sz w:val="24"/>
      <w:szCs w:val="24"/>
      <w:lang w:val="en-US" w:eastAsia="zh-CN" w:bidi="ar-SA"/>
    </w:rPr>
  </w:style>
  <w:style w:type="character" w:customStyle="1" w:styleId="474">
    <w:name w:val="g Char Char"/>
    <w:qFormat/>
    <w:locked/>
    <w:uiPriority w:val="0"/>
    <w:rPr>
      <w:rFonts w:ascii="Times New Roman" w:hAnsi="Times New Roman" w:eastAsia="宋体" w:cs="Times New Roman"/>
      <w:b/>
      <w:bCs/>
      <w:color w:val="000000"/>
      <w:kern w:val="2"/>
      <w:sz w:val="18"/>
      <w:szCs w:val="18"/>
      <w:lang w:val="en-US" w:eastAsia="zh-CN" w:bidi="ar-SA"/>
    </w:rPr>
  </w:style>
  <w:style w:type="paragraph" w:customStyle="1" w:styleId="475">
    <w:name w:val="样式10"/>
    <w:basedOn w:val="1"/>
    <w:link w:val="476"/>
    <w:qFormat/>
    <w:uiPriority w:val="0"/>
    <w:pPr>
      <w:ind w:firstLine="562" w:firstLineChars="200"/>
      <w:outlineLvl w:val="1"/>
    </w:pPr>
    <w:rPr>
      <w:rFonts w:eastAsia="仿宋_GB2312"/>
      <w:b/>
      <w:bCs/>
      <w:sz w:val="28"/>
      <w:szCs w:val="28"/>
    </w:rPr>
  </w:style>
  <w:style w:type="character" w:customStyle="1" w:styleId="476">
    <w:name w:val="样式10 Char"/>
    <w:link w:val="475"/>
    <w:qFormat/>
    <w:locked/>
    <w:uiPriority w:val="0"/>
    <w:rPr>
      <w:rFonts w:eastAsia="仿宋_GB2312" w:cs="宋体"/>
      <w:b/>
      <w:bCs/>
      <w:color w:val="000000"/>
      <w:kern w:val="2"/>
      <w:sz w:val="28"/>
      <w:szCs w:val="28"/>
      <w:lang w:val="en-US" w:eastAsia="zh-CN" w:bidi="ar-SA"/>
    </w:rPr>
  </w:style>
  <w:style w:type="paragraph" w:customStyle="1" w:styleId="477">
    <w:name w:val="样式6"/>
    <w:basedOn w:val="472"/>
    <w:link w:val="478"/>
    <w:qFormat/>
    <w:uiPriority w:val="0"/>
    <w:pPr>
      <w:adjustRightInd/>
      <w:spacing w:line="480" w:lineRule="auto"/>
      <w:ind w:firstLine="424" w:firstLineChars="176"/>
      <w:outlineLvl w:val="2"/>
    </w:pPr>
    <w:rPr>
      <w:rFonts w:ascii="仿宋_GB2312" w:eastAsia="仿宋_GB2312" w:cs="仿宋_GB2312"/>
      <w:b/>
      <w:bCs/>
    </w:rPr>
  </w:style>
  <w:style w:type="character" w:customStyle="1" w:styleId="478">
    <w:name w:val="样式6 Char"/>
    <w:link w:val="477"/>
    <w:qFormat/>
    <w:locked/>
    <w:uiPriority w:val="0"/>
    <w:rPr>
      <w:rFonts w:ascii="仿宋_GB2312" w:eastAsia="仿宋_GB2312" w:cs="仿宋_GB2312"/>
      <w:b/>
      <w:bCs/>
      <w:color w:val="000000"/>
      <w:kern w:val="2"/>
      <w:sz w:val="24"/>
      <w:szCs w:val="24"/>
      <w:lang w:val="en-US" w:eastAsia="zh-CN" w:bidi="ar-SA"/>
    </w:rPr>
  </w:style>
  <w:style w:type="character" w:customStyle="1" w:styleId="479">
    <w:name w:val="样式14 Char"/>
    <w:link w:val="480"/>
    <w:qFormat/>
    <w:locked/>
    <w:uiPriority w:val="0"/>
    <w:rPr>
      <w:rFonts w:ascii="宋体" w:eastAsia="宋体" w:cs="宋体"/>
      <w:b/>
      <w:bCs/>
      <w:color w:val="000000"/>
      <w:kern w:val="2"/>
      <w:sz w:val="24"/>
      <w:szCs w:val="24"/>
      <w:lang w:val="en-US" w:eastAsia="zh-CN" w:bidi="ar-SA"/>
    </w:rPr>
  </w:style>
  <w:style w:type="paragraph" w:customStyle="1" w:styleId="480">
    <w:name w:val="样式14"/>
    <w:basedOn w:val="1"/>
    <w:link w:val="479"/>
    <w:qFormat/>
    <w:uiPriority w:val="0"/>
    <w:pPr>
      <w:widowControl/>
      <w:overflowPunct w:val="0"/>
      <w:autoSpaceDE w:val="0"/>
      <w:autoSpaceDN w:val="0"/>
      <w:adjustRightInd w:val="0"/>
      <w:spacing w:line="360" w:lineRule="auto"/>
      <w:ind w:firstLine="200" w:firstLineChars="200"/>
      <w:textAlignment w:val="baseline"/>
    </w:pPr>
    <w:rPr>
      <w:rFonts w:ascii="宋体"/>
      <w:b/>
      <w:bCs/>
      <w:kern w:val="0"/>
    </w:rPr>
  </w:style>
  <w:style w:type="paragraph" w:customStyle="1" w:styleId="481">
    <w:name w:val="样式 正文文字缩进正文文字( 首段缩进两字）正文文字缩进2字符正文文本缩进 Char2正文文本缩进 Char1 Char..."/>
    <w:basedOn w:val="35"/>
    <w:qFormat/>
    <w:uiPriority w:val="0"/>
    <w:pPr>
      <w:adjustRightInd w:val="0"/>
      <w:spacing w:line="480" w:lineRule="exact"/>
      <w:ind w:firstLine="567"/>
    </w:pPr>
    <w:rPr>
      <w:rFonts w:hAnsi="Times New Roman" w:cs="宋体"/>
      <w:spacing w:val="6"/>
      <w:sz w:val="28"/>
      <w:szCs w:val="28"/>
    </w:rPr>
  </w:style>
  <w:style w:type="paragraph" w:customStyle="1" w:styleId="482">
    <w:name w:val="表内小四中"/>
    <w:basedOn w:val="1"/>
    <w:qFormat/>
    <w:uiPriority w:val="0"/>
    <w:pPr>
      <w:adjustRightInd w:val="0"/>
      <w:snapToGrid w:val="0"/>
      <w:spacing w:line="360" w:lineRule="auto"/>
      <w:ind w:left="-131" w:right="-132" w:firstLine="200" w:firstLineChars="200"/>
      <w:jc w:val="center"/>
      <w:textAlignment w:val="baseline"/>
    </w:pPr>
    <w:rPr>
      <w:kern w:val="0"/>
    </w:rPr>
  </w:style>
  <w:style w:type="paragraph" w:customStyle="1" w:styleId="483">
    <w:name w:val="表名称"/>
    <w:basedOn w:val="1"/>
    <w:qFormat/>
    <w:uiPriority w:val="0"/>
    <w:pPr>
      <w:tabs>
        <w:tab w:val="left" w:pos="-120"/>
      </w:tabs>
      <w:overflowPunct w:val="0"/>
      <w:topLinePunct/>
      <w:autoSpaceDE w:val="0"/>
      <w:adjustRightInd w:val="0"/>
      <w:snapToGrid w:val="0"/>
      <w:spacing w:line="580" w:lineRule="exact"/>
      <w:ind w:firstLine="200" w:firstLineChars="200"/>
      <w:jc w:val="center"/>
      <w:textAlignment w:val="baseline"/>
    </w:pPr>
    <w:rPr>
      <w:rFonts w:ascii="宋体" w:hAnsi="宋体" w:cs="宋体"/>
      <w:b/>
      <w:bCs/>
      <w:spacing w:val="16"/>
      <w:kern w:val="0"/>
    </w:rPr>
  </w:style>
  <w:style w:type="paragraph" w:customStyle="1" w:styleId="484">
    <w:name w:val="图名称"/>
    <w:basedOn w:val="1"/>
    <w:qFormat/>
    <w:uiPriority w:val="0"/>
    <w:pPr>
      <w:adjustRightInd w:val="0"/>
      <w:snapToGrid w:val="0"/>
      <w:spacing w:before="50" w:line="312" w:lineRule="auto"/>
      <w:ind w:firstLine="257" w:firstLineChars="257"/>
      <w:jc w:val="center"/>
    </w:pPr>
    <w:rPr>
      <w:b/>
      <w:bCs/>
      <w:color w:val="000000"/>
      <w:sz w:val="10"/>
      <w:szCs w:val="10"/>
    </w:rPr>
  </w:style>
  <w:style w:type="paragraph" w:customStyle="1" w:styleId="485">
    <w:name w:val="表内五中"/>
    <w:basedOn w:val="1"/>
    <w:qFormat/>
    <w:uiPriority w:val="0"/>
    <w:pPr>
      <w:tabs>
        <w:tab w:val="left" w:pos="-120"/>
      </w:tabs>
      <w:adjustRightInd w:val="0"/>
      <w:spacing w:before="60" w:line="310" w:lineRule="atLeast"/>
      <w:ind w:firstLine="200" w:firstLineChars="200"/>
      <w:jc w:val="center"/>
    </w:pPr>
  </w:style>
  <w:style w:type="paragraph" w:customStyle="1" w:styleId="486">
    <w:name w:val="表注"/>
    <w:basedOn w:val="1"/>
    <w:link w:val="2684"/>
    <w:qFormat/>
    <w:uiPriority w:val="0"/>
    <w:pPr>
      <w:tabs>
        <w:tab w:val="left" w:pos="720"/>
      </w:tabs>
      <w:overflowPunct w:val="0"/>
      <w:topLinePunct/>
      <w:autoSpaceDE w:val="0"/>
      <w:adjustRightInd w:val="0"/>
      <w:snapToGrid w:val="0"/>
      <w:spacing w:before="120" w:after="40" w:line="288" w:lineRule="auto"/>
      <w:ind w:left="425" w:hanging="425" w:firstLineChars="200"/>
      <w:jc w:val="center"/>
      <w:textAlignment w:val="baseline"/>
    </w:pPr>
    <w:rPr>
      <w:b/>
      <w:bCs/>
      <w:spacing w:val="20"/>
      <w:kern w:val="0"/>
      <w:sz w:val="28"/>
      <w:szCs w:val="28"/>
    </w:rPr>
  </w:style>
  <w:style w:type="paragraph" w:customStyle="1" w:styleId="487">
    <w:name w:val="TOC 标题1"/>
    <w:basedOn w:val="3"/>
    <w:next w:val="1"/>
    <w:qFormat/>
    <w:uiPriority w:val="39"/>
    <w:pPr>
      <w:keepLines/>
      <w:widowControl/>
      <w:tabs>
        <w:tab w:val="clear" w:pos="0"/>
      </w:tabs>
      <w:spacing w:afterLines="50" w:line="276" w:lineRule="auto"/>
      <w:jc w:val="left"/>
      <w:outlineLvl w:val="9"/>
    </w:pPr>
    <w:rPr>
      <w:rFonts w:ascii="Cambria" w:hAnsi="Cambria" w:cs="Cambria"/>
      <w:bCs/>
      <w:color w:val="365F91"/>
      <w:kern w:val="0"/>
      <w:sz w:val="28"/>
      <w:szCs w:val="28"/>
    </w:rPr>
  </w:style>
  <w:style w:type="character" w:customStyle="1" w:styleId="488">
    <w:name w:val="Char Char Char"/>
    <w:qFormat/>
    <w:uiPriority w:val="0"/>
    <w:rPr>
      <w:rFonts w:eastAsia="黑体" w:cs="宋体"/>
      <w:color w:val="000000"/>
      <w:kern w:val="2"/>
      <w:sz w:val="32"/>
      <w:szCs w:val="32"/>
      <w:lang w:val="en-US" w:eastAsia="zh-CN" w:bidi="ar-SA"/>
    </w:rPr>
  </w:style>
  <w:style w:type="paragraph" w:customStyle="1" w:styleId="489">
    <w:name w:val="默认段落字体 Para Char Char Char Char"/>
    <w:basedOn w:val="1"/>
    <w:qFormat/>
    <w:uiPriority w:val="0"/>
    <w:rPr>
      <w:sz w:val="21"/>
      <w:szCs w:val="21"/>
    </w:rPr>
  </w:style>
  <w:style w:type="paragraph" w:customStyle="1" w:styleId="490">
    <w:name w:val="样式11"/>
    <w:basedOn w:val="1"/>
    <w:link w:val="491"/>
    <w:qFormat/>
    <w:uiPriority w:val="0"/>
    <w:pPr>
      <w:spacing w:beforeLines="50" w:afterLines="50"/>
      <w:ind w:firstLine="482" w:firstLineChars="200"/>
      <w:outlineLvl w:val="2"/>
    </w:pPr>
    <w:rPr>
      <w:rFonts w:eastAsia="仿宋_GB2312"/>
      <w:b/>
      <w:bCs/>
    </w:rPr>
  </w:style>
  <w:style w:type="character" w:customStyle="1" w:styleId="491">
    <w:name w:val="样式11 Char"/>
    <w:link w:val="490"/>
    <w:qFormat/>
    <w:locked/>
    <w:uiPriority w:val="0"/>
    <w:rPr>
      <w:rFonts w:eastAsia="仿宋_GB2312" w:cs="宋体"/>
      <w:b/>
      <w:bCs/>
      <w:color w:val="000000"/>
      <w:kern w:val="2"/>
      <w:sz w:val="24"/>
      <w:szCs w:val="24"/>
      <w:lang w:val="en-US" w:eastAsia="zh-CN" w:bidi="ar-SA"/>
    </w:rPr>
  </w:style>
  <w:style w:type="paragraph" w:customStyle="1" w:styleId="492">
    <w:name w:val="msonormalcxspmiddle"/>
    <w:basedOn w:val="1"/>
    <w:qFormat/>
    <w:uiPriority w:val="0"/>
    <w:pPr>
      <w:widowControl/>
      <w:spacing w:before="100" w:beforeAutospacing="1" w:after="100" w:afterAutospacing="1"/>
      <w:jc w:val="left"/>
    </w:pPr>
    <w:rPr>
      <w:rFonts w:ascii="宋体" w:hAnsi="宋体" w:cs="宋体"/>
      <w:kern w:val="0"/>
    </w:rPr>
  </w:style>
  <w:style w:type="paragraph" w:customStyle="1" w:styleId="493">
    <w:name w:val="样式16"/>
    <w:basedOn w:val="1"/>
    <w:link w:val="494"/>
    <w:qFormat/>
    <w:uiPriority w:val="0"/>
    <w:pPr>
      <w:spacing w:line="360" w:lineRule="auto"/>
      <w:ind w:firstLine="560" w:firstLineChars="200"/>
      <w:outlineLvl w:val="2"/>
    </w:pPr>
    <w:rPr>
      <w:rFonts w:eastAsia="黑体"/>
      <w:sz w:val="28"/>
      <w:szCs w:val="28"/>
    </w:rPr>
  </w:style>
  <w:style w:type="character" w:customStyle="1" w:styleId="494">
    <w:name w:val="样式16 Char"/>
    <w:link w:val="493"/>
    <w:qFormat/>
    <w:locked/>
    <w:uiPriority w:val="0"/>
    <w:rPr>
      <w:rFonts w:eastAsia="黑体" w:cs="宋体"/>
      <w:b/>
      <w:bCs/>
      <w:color w:val="000000"/>
      <w:kern w:val="2"/>
      <w:sz w:val="28"/>
      <w:szCs w:val="28"/>
      <w:lang w:val="en-US" w:eastAsia="zh-CN" w:bidi="ar-SA"/>
    </w:rPr>
  </w:style>
  <w:style w:type="paragraph" w:customStyle="1" w:styleId="495">
    <w:name w:val="二级无标题条"/>
    <w:basedOn w:val="1"/>
    <w:qFormat/>
    <w:uiPriority w:val="0"/>
    <w:pPr>
      <w:numPr>
        <w:ilvl w:val="3"/>
        <w:numId w:val="12"/>
      </w:numPr>
    </w:pPr>
    <w:rPr>
      <w:sz w:val="21"/>
      <w:szCs w:val="21"/>
    </w:rPr>
  </w:style>
  <w:style w:type="paragraph" w:customStyle="1" w:styleId="496">
    <w:name w:val="三级无标题条"/>
    <w:basedOn w:val="1"/>
    <w:qFormat/>
    <w:uiPriority w:val="0"/>
    <w:pPr>
      <w:numPr>
        <w:ilvl w:val="4"/>
        <w:numId w:val="12"/>
      </w:numPr>
    </w:pPr>
    <w:rPr>
      <w:sz w:val="21"/>
      <w:szCs w:val="21"/>
    </w:rPr>
  </w:style>
  <w:style w:type="paragraph" w:customStyle="1" w:styleId="497">
    <w:name w:val="四级无标题条"/>
    <w:basedOn w:val="1"/>
    <w:qFormat/>
    <w:uiPriority w:val="0"/>
    <w:pPr>
      <w:numPr>
        <w:ilvl w:val="5"/>
        <w:numId w:val="12"/>
      </w:numPr>
    </w:pPr>
    <w:rPr>
      <w:sz w:val="21"/>
      <w:szCs w:val="21"/>
    </w:rPr>
  </w:style>
  <w:style w:type="paragraph" w:customStyle="1" w:styleId="498">
    <w:name w:val="五级无标题条"/>
    <w:basedOn w:val="1"/>
    <w:qFormat/>
    <w:uiPriority w:val="0"/>
    <w:pPr>
      <w:numPr>
        <w:ilvl w:val="6"/>
        <w:numId w:val="12"/>
      </w:numPr>
    </w:pPr>
    <w:rPr>
      <w:sz w:val="21"/>
      <w:szCs w:val="21"/>
    </w:rPr>
  </w:style>
  <w:style w:type="paragraph" w:customStyle="1" w:styleId="499">
    <w:name w:val="一级无标题条"/>
    <w:basedOn w:val="1"/>
    <w:qFormat/>
    <w:uiPriority w:val="0"/>
    <w:pPr>
      <w:numPr>
        <w:ilvl w:val="2"/>
        <w:numId w:val="12"/>
      </w:numPr>
    </w:pPr>
    <w:rPr>
      <w:sz w:val="21"/>
      <w:szCs w:val="21"/>
    </w:rPr>
  </w:style>
  <w:style w:type="character" w:customStyle="1" w:styleId="500">
    <w:name w:val="lh22px"/>
    <w:basedOn w:val="133"/>
    <w:qFormat/>
    <w:uiPriority w:val="0"/>
    <w:rPr>
      <w:rFonts w:eastAsia="黑体" w:cs="宋体"/>
      <w:b/>
      <w:bCs/>
      <w:color w:val="000000"/>
      <w:kern w:val="2"/>
      <w:sz w:val="32"/>
      <w:szCs w:val="32"/>
      <w:lang w:val="en-US" w:eastAsia="zh-CN" w:bidi="ar-SA"/>
    </w:rPr>
  </w:style>
  <w:style w:type="character" w:customStyle="1" w:styleId="501">
    <w:name w:val="Char Char5"/>
    <w:qFormat/>
    <w:uiPriority w:val="0"/>
    <w:rPr>
      <w:rFonts w:eastAsia="宋体" w:cs="宋体"/>
      <w:b/>
      <w:bCs/>
      <w:color w:val="000000"/>
      <w:kern w:val="2"/>
      <w:sz w:val="28"/>
      <w:szCs w:val="28"/>
      <w:lang w:val="en-US" w:eastAsia="zh-CN" w:bidi="ar-SA"/>
    </w:rPr>
  </w:style>
  <w:style w:type="paragraph" w:customStyle="1" w:styleId="502">
    <w:name w:val="无间隔21"/>
    <w:qFormat/>
    <w:uiPriority w:val="0"/>
    <w:pPr>
      <w:widowControl w:val="0"/>
      <w:snapToGrid w:val="0"/>
      <w:jc w:val="both"/>
    </w:pPr>
    <w:rPr>
      <w:rFonts w:ascii="Times New Roman" w:hAnsi="Times New Roman" w:eastAsia="宋体" w:cs="Times New Roman"/>
      <w:sz w:val="24"/>
      <w:szCs w:val="24"/>
      <w:lang w:val="en-US" w:eastAsia="zh-CN" w:bidi="ar-SA"/>
    </w:rPr>
  </w:style>
  <w:style w:type="paragraph" w:customStyle="1" w:styleId="503">
    <w:name w:val="表五号字"/>
    <w:basedOn w:val="1"/>
    <w:qFormat/>
    <w:uiPriority w:val="0"/>
    <w:pPr>
      <w:adjustRightInd w:val="0"/>
      <w:snapToGrid w:val="0"/>
      <w:jc w:val="center"/>
    </w:pPr>
    <w:rPr>
      <w:rFonts w:ascii="宋体" w:hAnsi="宋体" w:cs="宋体"/>
      <w:kern w:val="0"/>
      <w:sz w:val="21"/>
      <w:szCs w:val="21"/>
    </w:rPr>
  </w:style>
  <w:style w:type="paragraph" w:customStyle="1" w:styleId="504">
    <w:name w:val="表小四字"/>
    <w:basedOn w:val="503"/>
    <w:qFormat/>
    <w:uiPriority w:val="0"/>
    <w:rPr>
      <w:sz w:val="24"/>
      <w:szCs w:val="24"/>
    </w:rPr>
  </w:style>
  <w:style w:type="paragraph" w:customStyle="1" w:styleId="505">
    <w:name w:val="样式8"/>
    <w:basedOn w:val="1"/>
    <w:link w:val="506"/>
    <w:qFormat/>
    <w:uiPriority w:val="0"/>
    <w:pPr>
      <w:tabs>
        <w:tab w:val="left" w:pos="567"/>
      </w:tabs>
      <w:spacing w:line="360" w:lineRule="auto"/>
      <w:ind w:firstLine="200" w:firstLineChars="200"/>
    </w:pPr>
    <w:rPr>
      <w:rFonts w:eastAsia="仿宋_GB2312"/>
    </w:rPr>
  </w:style>
  <w:style w:type="character" w:customStyle="1" w:styleId="506">
    <w:name w:val="样式8 Char"/>
    <w:link w:val="505"/>
    <w:qFormat/>
    <w:locked/>
    <w:uiPriority w:val="0"/>
    <w:rPr>
      <w:rFonts w:eastAsia="仿宋_GB2312" w:cs="宋体"/>
      <w:b/>
      <w:bCs/>
      <w:color w:val="000000"/>
      <w:kern w:val="2"/>
      <w:sz w:val="24"/>
      <w:szCs w:val="24"/>
      <w:lang w:val="en-US" w:eastAsia="zh-CN" w:bidi="ar-SA"/>
    </w:rPr>
  </w:style>
  <w:style w:type="paragraph" w:customStyle="1" w:styleId="507">
    <w:name w:val="标题 2 + 四号"/>
    <w:basedOn w:val="4"/>
    <w:qFormat/>
    <w:uiPriority w:val="0"/>
    <w:pPr>
      <w:adjustRightInd w:val="0"/>
      <w:snapToGrid w:val="0"/>
      <w:jc w:val="left"/>
    </w:pPr>
    <w:rPr>
      <w:color w:val="FF0000"/>
      <w:kern w:val="13"/>
    </w:rPr>
  </w:style>
  <w:style w:type="character" w:customStyle="1" w:styleId="508">
    <w:name w:val="正文文本 Char1"/>
    <w:qFormat/>
    <w:uiPriority w:val="0"/>
    <w:rPr>
      <w:rFonts w:ascii="Times New Roman" w:hAnsi="Times New Roman" w:eastAsia="黑体" w:cs="Times New Roman"/>
      <w:b/>
      <w:bCs/>
      <w:color w:val="000000"/>
      <w:kern w:val="2"/>
      <w:sz w:val="24"/>
      <w:szCs w:val="24"/>
      <w:lang w:val="en-US" w:eastAsia="zh-CN" w:bidi="ar-SA"/>
    </w:rPr>
  </w:style>
  <w:style w:type="paragraph" w:customStyle="1" w:styleId="509">
    <w:name w:val="样式17"/>
    <w:basedOn w:val="1"/>
    <w:link w:val="510"/>
    <w:qFormat/>
    <w:uiPriority w:val="0"/>
    <w:pPr>
      <w:spacing w:line="480" w:lineRule="auto"/>
      <w:ind w:firstLine="482" w:firstLineChars="200"/>
      <w:outlineLvl w:val="2"/>
    </w:pPr>
    <w:rPr>
      <w:rFonts w:ascii="黑体" w:eastAsia="黑体" w:cs="黑体"/>
      <w:b/>
      <w:bCs/>
    </w:rPr>
  </w:style>
  <w:style w:type="character" w:customStyle="1" w:styleId="510">
    <w:name w:val="样式17 Char"/>
    <w:link w:val="509"/>
    <w:qFormat/>
    <w:locked/>
    <w:uiPriority w:val="0"/>
    <w:rPr>
      <w:rFonts w:ascii="黑体" w:eastAsia="黑体" w:cs="黑体"/>
      <w:b/>
      <w:bCs/>
      <w:color w:val="000000"/>
      <w:kern w:val="2"/>
      <w:sz w:val="24"/>
      <w:szCs w:val="24"/>
      <w:lang w:val="en-US" w:eastAsia="zh-CN" w:bidi="ar-SA"/>
    </w:rPr>
  </w:style>
  <w:style w:type="character" w:customStyle="1" w:styleId="511">
    <w:name w:val="图表说明 Char1"/>
    <w:qFormat/>
    <w:locked/>
    <w:uiPriority w:val="0"/>
    <w:rPr>
      <w:rFonts w:ascii="宋体" w:hAnsi="Courier New" w:eastAsia="宋体" w:cs="宋体"/>
      <w:b/>
      <w:bCs/>
      <w:color w:val="000000"/>
      <w:kern w:val="2"/>
      <w:sz w:val="21"/>
      <w:szCs w:val="21"/>
      <w:lang w:val="en-US" w:eastAsia="zh-CN" w:bidi="ar-SA"/>
    </w:rPr>
  </w:style>
  <w:style w:type="paragraph" w:customStyle="1" w:styleId="512">
    <w:name w:val="No Spacing1"/>
    <w:qFormat/>
    <w:uiPriority w:val="0"/>
    <w:pPr>
      <w:widowControl w:val="0"/>
      <w:jc w:val="both"/>
    </w:pPr>
    <w:rPr>
      <w:rFonts w:ascii="Times New Roman" w:hAnsi="Times New Roman" w:eastAsia="宋体" w:cs="Times New Roman"/>
      <w:kern w:val="2"/>
      <w:sz w:val="24"/>
      <w:szCs w:val="24"/>
      <w:lang w:val="en-US" w:eastAsia="zh-CN" w:bidi="ar-SA"/>
    </w:rPr>
  </w:style>
  <w:style w:type="character" w:customStyle="1" w:styleId="513">
    <w:name w:val="Char Char14"/>
    <w:qFormat/>
    <w:locked/>
    <w:uiPriority w:val="0"/>
    <w:rPr>
      <w:rFonts w:eastAsia="黑体" w:cs="宋体"/>
      <w:color w:val="000000"/>
      <w:kern w:val="2"/>
      <w:sz w:val="30"/>
      <w:szCs w:val="30"/>
      <w:lang w:val="en-US" w:eastAsia="zh-CN" w:bidi="ar-SA"/>
    </w:rPr>
  </w:style>
  <w:style w:type="paragraph" w:customStyle="1" w:styleId="514">
    <w:name w:val="样式20"/>
    <w:basedOn w:val="1"/>
    <w:link w:val="515"/>
    <w:qFormat/>
    <w:uiPriority w:val="0"/>
    <w:pPr>
      <w:spacing w:line="360" w:lineRule="auto"/>
      <w:jc w:val="center"/>
    </w:pPr>
    <w:rPr>
      <w:rFonts w:eastAsia="仿宋_GB2312"/>
      <w:b/>
      <w:bCs/>
    </w:rPr>
  </w:style>
  <w:style w:type="character" w:customStyle="1" w:styleId="515">
    <w:name w:val="样式20 Char"/>
    <w:link w:val="514"/>
    <w:qFormat/>
    <w:locked/>
    <w:uiPriority w:val="0"/>
    <w:rPr>
      <w:rFonts w:eastAsia="仿宋_GB2312" w:cs="宋体"/>
      <w:b/>
      <w:bCs/>
      <w:color w:val="000000"/>
      <w:kern w:val="2"/>
      <w:sz w:val="24"/>
      <w:szCs w:val="24"/>
      <w:lang w:val="en-US" w:eastAsia="zh-CN" w:bidi="ar-SA"/>
    </w:rPr>
  </w:style>
  <w:style w:type="paragraph" w:customStyle="1" w:styleId="516">
    <w:name w:val="无间隔3"/>
    <w:qFormat/>
    <w:uiPriority w:val="0"/>
    <w:pPr>
      <w:widowControl w:val="0"/>
      <w:jc w:val="both"/>
    </w:pPr>
    <w:rPr>
      <w:rFonts w:ascii="Times New Roman" w:hAnsi="Times New Roman" w:eastAsia="宋体" w:cs="Times New Roman"/>
      <w:kern w:val="2"/>
      <w:sz w:val="24"/>
      <w:szCs w:val="24"/>
      <w:lang w:val="en-US" w:eastAsia="zh-CN" w:bidi="ar-SA"/>
    </w:rPr>
  </w:style>
  <w:style w:type="paragraph" w:customStyle="1" w:styleId="517">
    <w:name w:val="图表正文"/>
    <w:basedOn w:val="1"/>
    <w:link w:val="2407"/>
    <w:qFormat/>
    <w:uiPriority w:val="0"/>
    <w:pPr>
      <w:widowControl/>
      <w:snapToGrid w:val="0"/>
      <w:spacing w:line="360" w:lineRule="atLeast"/>
      <w:jc w:val="center"/>
    </w:pPr>
    <w:rPr>
      <w:rFonts w:ascii="宋体" w:hAnsi="宋体" w:cs="宋体"/>
      <w:kern w:val="0"/>
      <w:sz w:val="21"/>
      <w:szCs w:val="21"/>
    </w:rPr>
  </w:style>
  <w:style w:type="paragraph" w:customStyle="1" w:styleId="518">
    <w:name w:val="无间隔4"/>
    <w:qFormat/>
    <w:uiPriority w:val="0"/>
    <w:pPr>
      <w:widowControl w:val="0"/>
      <w:jc w:val="both"/>
    </w:pPr>
    <w:rPr>
      <w:rFonts w:ascii="Times New Roman" w:hAnsi="Times New Roman" w:eastAsia="宋体" w:cs="Times New Roman"/>
      <w:kern w:val="2"/>
      <w:sz w:val="24"/>
      <w:szCs w:val="24"/>
      <w:lang w:val="en-US" w:eastAsia="zh-CN" w:bidi="ar-SA"/>
    </w:rPr>
  </w:style>
  <w:style w:type="paragraph" w:customStyle="1" w:styleId="519">
    <w:name w:val="列出段落11"/>
    <w:basedOn w:val="1"/>
    <w:link w:val="520"/>
    <w:qFormat/>
    <w:uiPriority w:val="0"/>
    <w:pPr>
      <w:ind w:firstLine="420" w:firstLineChars="200"/>
    </w:pPr>
    <w:rPr>
      <w:sz w:val="21"/>
      <w:szCs w:val="21"/>
    </w:rPr>
  </w:style>
  <w:style w:type="character" w:customStyle="1" w:styleId="520">
    <w:name w:val="List Paragraph Char"/>
    <w:link w:val="519"/>
    <w:qFormat/>
    <w:locked/>
    <w:uiPriority w:val="0"/>
    <w:rPr>
      <w:rFonts w:eastAsia="宋体" w:cs="宋体"/>
      <w:b/>
      <w:bCs/>
      <w:color w:val="000000"/>
      <w:kern w:val="2"/>
      <w:sz w:val="21"/>
      <w:szCs w:val="21"/>
      <w:lang w:val="en-US" w:eastAsia="zh-CN" w:bidi="ar-SA"/>
    </w:rPr>
  </w:style>
  <w:style w:type="character" w:customStyle="1" w:styleId="521">
    <w:name w:val="Char Char11"/>
    <w:qFormat/>
    <w:uiPriority w:val="0"/>
    <w:rPr>
      <w:rFonts w:eastAsia="宋体" w:cs="宋体"/>
      <w:color w:val="000000"/>
      <w:kern w:val="44"/>
      <w:sz w:val="44"/>
      <w:szCs w:val="44"/>
      <w:lang w:val="en-US" w:eastAsia="zh-CN" w:bidi="ar-SA"/>
    </w:rPr>
  </w:style>
  <w:style w:type="character" w:customStyle="1" w:styleId="522">
    <w:name w:val="style11"/>
    <w:qFormat/>
    <w:uiPriority w:val="0"/>
    <w:rPr>
      <w:rFonts w:eastAsia="黑体" w:cs="宋体"/>
      <w:color w:val="auto"/>
      <w:kern w:val="2"/>
      <w:sz w:val="22"/>
      <w:szCs w:val="22"/>
      <w:lang w:val="en-US" w:eastAsia="zh-CN" w:bidi="ar-SA"/>
    </w:rPr>
  </w:style>
  <w:style w:type="paragraph" w:customStyle="1" w:styleId="523">
    <w:name w:val="TOC 标题11"/>
    <w:basedOn w:val="3"/>
    <w:next w:val="1"/>
    <w:qFormat/>
    <w:uiPriority w:val="0"/>
    <w:pPr>
      <w:keepLines/>
      <w:widowControl/>
      <w:tabs>
        <w:tab w:val="clear" w:pos="0"/>
      </w:tabs>
      <w:spacing w:line="276" w:lineRule="auto"/>
      <w:jc w:val="left"/>
      <w:outlineLvl w:val="9"/>
    </w:pPr>
    <w:rPr>
      <w:rFonts w:ascii="Cambria" w:hAnsi="Cambria" w:eastAsia="宋体" w:cs="Cambria"/>
      <w:bCs/>
      <w:color w:val="365F91"/>
      <w:kern w:val="0"/>
      <w:sz w:val="28"/>
      <w:szCs w:val="28"/>
    </w:rPr>
  </w:style>
  <w:style w:type="paragraph" w:customStyle="1" w:styleId="524">
    <w:name w:val="样式5"/>
    <w:basedOn w:val="1"/>
    <w:link w:val="525"/>
    <w:qFormat/>
    <w:uiPriority w:val="0"/>
    <w:pPr>
      <w:ind w:firstLine="643" w:firstLineChars="200"/>
      <w:jc w:val="left"/>
      <w:outlineLvl w:val="1"/>
    </w:pPr>
    <w:rPr>
      <w:b/>
      <w:bCs/>
      <w:sz w:val="32"/>
      <w:szCs w:val="32"/>
    </w:rPr>
  </w:style>
  <w:style w:type="character" w:customStyle="1" w:styleId="525">
    <w:name w:val="样式5 Char"/>
    <w:link w:val="524"/>
    <w:qFormat/>
    <w:locked/>
    <w:uiPriority w:val="0"/>
    <w:rPr>
      <w:rFonts w:eastAsia="宋体" w:cs="宋体"/>
      <w:b/>
      <w:bCs/>
      <w:color w:val="000000"/>
      <w:kern w:val="2"/>
      <w:sz w:val="32"/>
      <w:szCs w:val="32"/>
      <w:lang w:val="en-US" w:eastAsia="zh-CN" w:bidi="ar-SA"/>
    </w:rPr>
  </w:style>
  <w:style w:type="paragraph" w:customStyle="1" w:styleId="526">
    <w:name w:val="无间隔5"/>
    <w:qFormat/>
    <w:uiPriority w:val="0"/>
    <w:pPr>
      <w:widowControl w:val="0"/>
      <w:jc w:val="both"/>
    </w:pPr>
    <w:rPr>
      <w:rFonts w:ascii="Times New Roman" w:hAnsi="Times New Roman" w:eastAsia="宋体" w:cs="Times New Roman"/>
      <w:kern w:val="2"/>
      <w:sz w:val="24"/>
      <w:szCs w:val="24"/>
      <w:lang w:val="en-US" w:eastAsia="zh-CN" w:bidi="ar-SA"/>
    </w:rPr>
  </w:style>
  <w:style w:type="paragraph" w:customStyle="1" w:styleId="527">
    <w:name w:val="列出段落2"/>
    <w:basedOn w:val="1"/>
    <w:qFormat/>
    <w:uiPriority w:val="0"/>
    <w:pPr>
      <w:ind w:firstLine="420" w:firstLineChars="200"/>
    </w:pPr>
    <w:rPr>
      <w:rFonts w:ascii="Calibri" w:hAnsi="Calibri" w:cs="Calibri"/>
      <w:sz w:val="21"/>
      <w:szCs w:val="21"/>
    </w:rPr>
  </w:style>
  <w:style w:type="paragraph" w:customStyle="1" w:styleId="528">
    <w:name w:val="TOC 标题2"/>
    <w:basedOn w:val="3"/>
    <w:next w:val="1"/>
    <w:qFormat/>
    <w:uiPriority w:val="0"/>
    <w:pPr>
      <w:keepLines/>
      <w:widowControl/>
      <w:tabs>
        <w:tab w:val="clear" w:pos="0"/>
      </w:tabs>
      <w:spacing w:line="276" w:lineRule="auto"/>
      <w:jc w:val="left"/>
      <w:outlineLvl w:val="9"/>
    </w:pPr>
    <w:rPr>
      <w:rFonts w:ascii="Cambria" w:hAnsi="Cambria" w:eastAsia="宋体" w:cs="Cambria"/>
      <w:bCs/>
      <w:color w:val="365F91"/>
      <w:kern w:val="0"/>
      <w:sz w:val="28"/>
      <w:szCs w:val="28"/>
    </w:rPr>
  </w:style>
  <w:style w:type="paragraph" w:customStyle="1" w:styleId="529">
    <w:name w:val="表内五"/>
    <w:basedOn w:val="1"/>
    <w:qFormat/>
    <w:uiPriority w:val="0"/>
    <w:rPr>
      <w:spacing w:val="20"/>
      <w:sz w:val="21"/>
      <w:szCs w:val="21"/>
    </w:rPr>
  </w:style>
  <w:style w:type="paragraph" w:customStyle="1" w:styleId="530">
    <w:name w:val="CM5"/>
    <w:basedOn w:val="397"/>
    <w:next w:val="397"/>
    <w:qFormat/>
    <w:uiPriority w:val="0"/>
    <w:pPr>
      <w:spacing w:line="468" w:lineRule="atLeast"/>
    </w:pPr>
    <w:rPr>
      <w:rFonts w:ascii="楷体_GB2312" w:eastAsia="楷体_GB2312" w:cs="楷体_GB2312"/>
      <w:color w:val="auto"/>
    </w:rPr>
  </w:style>
  <w:style w:type="paragraph" w:customStyle="1" w:styleId="531">
    <w:name w:val="CM36"/>
    <w:basedOn w:val="397"/>
    <w:next w:val="397"/>
    <w:qFormat/>
    <w:uiPriority w:val="0"/>
    <w:pPr>
      <w:spacing w:line="468" w:lineRule="atLeast"/>
    </w:pPr>
    <w:rPr>
      <w:rFonts w:ascii="楷体_GB2312" w:eastAsia="楷体_GB2312" w:cs="楷体_GB2312"/>
      <w:color w:val="auto"/>
    </w:rPr>
  </w:style>
  <w:style w:type="character" w:customStyle="1" w:styleId="532">
    <w:name w:val="样式12 Char"/>
    <w:link w:val="533"/>
    <w:qFormat/>
    <w:locked/>
    <w:uiPriority w:val="0"/>
    <w:rPr>
      <w:rFonts w:ascii="仿宋_GB2312" w:eastAsia="仿宋_GB2312" w:cs="宋体"/>
      <w:b/>
      <w:bCs/>
      <w:color w:val="000000"/>
      <w:kern w:val="2"/>
      <w:sz w:val="24"/>
      <w:szCs w:val="24"/>
      <w:lang w:val="en-US" w:eastAsia="zh-CN" w:bidi="ar-SA"/>
    </w:rPr>
  </w:style>
  <w:style w:type="paragraph" w:customStyle="1" w:styleId="533">
    <w:name w:val="样式12"/>
    <w:basedOn w:val="1"/>
    <w:link w:val="532"/>
    <w:qFormat/>
    <w:uiPriority w:val="0"/>
    <w:pPr>
      <w:spacing w:line="360" w:lineRule="auto"/>
      <w:ind w:firstLine="480" w:firstLineChars="200"/>
    </w:pPr>
    <w:rPr>
      <w:rFonts w:ascii="仿宋_GB2312" w:eastAsia="仿宋_GB2312"/>
      <w:kern w:val="0"/>
    </w:rPr>
  </w:style>
  <w:style w:type="character" w:customStyle="1" w:styleId="534">
    <w:name w:val="样式15 Char"/>
    <w:link w:val="535"/>
    <w:qFormat/>
    <w:locked/>
    <w:uiPriority w:val="0"/>
    <w:rPr>
      <w:rFonts w:ascii="黑体" w:eastAsia="黑体" w:cs="宋体"/>
      <w:b/>
      <w:bCs/>
      <w:color w:val="000000"/>
      <w:kern w:val="2"/>
      <w:sz w:val="24"/>
      <w:szCs w:val="24"/>
      <w:lang w:val="en-US" w:eastAsia="zh-CN" w:bidi="ar-SA"/>
    </w:rPr>
  </w:style>
  <w:style w:type="paragraph" w:customStyle="1" w:styleId="535">
    <w:name w:val="样式15"/>
    <w:basedOn w:val="1"/>
    <w:link w:val="534"/>
    <w:qFormat/>
    <w:uiPriority w:val="0"/>
    <w:pPr>
      <w:spacing w:line="360" w:lineRule="auto"/>
      <w:ind w:firstLine="200" w:firstLineChars="200"/>
      <w:outlineLvl w:val="2"/>
    </w:pPr>
    <w:rPr>
      <w:rFonts w:ascii="黑体" w:eastAsia="黑体"/>
      <w:kern w:val="0"/>
    </w:rPr>
  </w:style>
  <w:style w:type="paragraph" w:customStyle="1" w:styleId="536">
    <w:name w:val="CM119"/>
    <w:basedOn w:val="397"/>
    <w:next w:val="397"/>
    <w:qFormat/>
    <w:uiPriority w:val="0"/>
    <w:rPr>
      <w:rFonts w:ascii="仿宋_GB2312" w:eastAsia="仿宋_GB2312" w:cs="仿宋_GB2312"/>
      <w:color w:val="auto"/>
    </w:rPr>
  </w:style>
  <w:style w:type="paragraph" w:customStyle="1" w:styleId="537">
    <w:name w:val="样式13"/>
    <w:basedOn w:val="1"/>
    <w:link w:val="538"/>
    <w:qFormat/>
    <w:uiPriority w:val="0"/>
    <w:pPr>
      <w:adjustRightInd w:val="0"/>
      <w:spacing w:line="360" w:lineRule="auto"/>
      <w:ind w:firstLine="480" w:firstLineChars="200"/>
    </w:pPr>
  </w:style>
  <w:style w:type="character" w:customStyle="1" w:styleId="538">
    <w:name w:val="样式13 Char"/>
    <w:link w:val="537"/>
    <w:qFormat/>
    <w:locked/>
    <w:uiPriority w:val="0"/>
    <w:rPr>
      <w:rFonts w:eastAsia="宋体" w:cs="宋体"/>
      <w:b/>
      <w:bCs/>
      <w:color w:val="000000"/>
      <w:kern w:val="2"/>
      <w:sz w:val="24"/>
      <w:szCs w:val="24"/>
      <w:lang w:val="en-US" w:eastAsia="zh-CN" w:bidi="ar-SA"/>
    </w:rPr>
  </w:style>
  <w:style w:type="character" w:customStyle="1" w:styleId="539">
    <w:name w:val="正文格式 Char1"/>
    <w:qFormat/>
    <w:locked/>
    <w:uiPriority w:val="0"/>
    <w:rPr>
      <w:rFonts w:ascii="Times New Roman" w:hAnsi="Times New Roman" w:eastAsia="仿宋_GB2312" w:cs="宋体"/>
      <w:b/>
      <w:bCs/>
      <w:color w:val="000000"/>
      <w:kern w:val="2"/>
      <w:sz w:val="28"/>
      <w:szCs w:val="28"/>
      <w:lang w:val="en-US" w:eastAsia="zh-CN" w:bidi="ar-SA"/>
    </w:rPr>
  </w:style>
  <w:style w:type="paragraph" w:customStyle="1" w:styleId="540">
    <w:name w:val="无间隔6"/>
    <w:qFormat/>
    <w:uiPriority w:val="0"/>
    <w:pPr>
      <w:widowControl w:val="0"/>
      <w:jc w:val="both"/>
    </w:pPr>
    <w:rPr>
      <w:rFonts w:ascii="Times New Roman" w:hAnsi="Times New Roman" w:eastAsia="宋体" w:cs="Times New Roman"/>
      <w:kern w:val="2"/>
      <w:sz w:val="24"/>
      <w:szCs w:val="24"/>
      <w:lang w:val="en-US" w:eastAsia="zh-CN" w:bidi="ar-SA"/>
    </w:rPr>
  </w:style>
  <w:style w:type="paragraph" w:customStyle="1" w:styleId="541">
    <w:name w:val="Char Char Char Char Char Char Char Char Char Char1 Char Char Char Char Char Char Char Char Char Char"/>
    <w:basedOn w:val="1"/>
    <w:qFormat/>
    <w:uiPriority w:val="0"/>
  </w:style>
  <w:style w:type="paragraph" w:customStyle="1" w:styleId="542">
    <w:name w:val="样式 标题 2 + 四号"/>
    <w:basedOn w:val="4"/>
    <w:qFormat/>
    <w:uiPriority w:val="0"/>
    <w:rPr>
      <w:rFonts w:ascii="Arial" w:hAnsi="Arial" w:eastAsia="宋体" w:cs="Arial"/>
      <w:b w:val="0"/>
      <w:bCs w:val="0"/>
      <w:kern w:val="0"/>
      <w:sz w:val="28"/>
      <w:szCs w:val="28"/>
    </w:rPr>
  </w:style>
  <w:style w:type="character" w:customStyle="1" w:styleId="543">
    <w:name w:val="明显强调1"/>
    <w:qFormat/>
    <w:uiPriority w:val="0"/>
    <w:rPr>
      <w:rFonts w:eastAsia="黑体" w:cs="宋体"/>
      <w:i/>
      <w:iCs/>
      <w:color w:val="auto"/>
      <w:kern w:val="2"/>
      <w:sz w:val="32"/>
      <w:szCs w:val="32"/>
      <w:lang w:val="en-US" w:eastAsia="zh-CN" w:bidi="ar-SA"/>
    </w:rPr>
  </w:style>
  <w:style w:type="paragraph" w:customStyle="1" w:styleId="544">
    <w:name w:val="无间隔7"/>
    <w:qFormat/>
    <w:uiPriority w:val="0"/>
    <w:pPr>
      <w:widowControl w:val="0"/>
      <w:jc w:val="both"/>
    </w:pPr>
    <w:rPr>
      <w:rFonts w:ascii="Times New Roman" w:hAnsi="Times New Roman" w:eastAsia="宋体" w:cs="Times New Roman"/>
      <w:kern w:val="2"/>
      <w:sz w:val="24"/>
      <w:szCs w:val="24"/>
      <w:lang w:val="en-US" w:eastAsia="zh-CN" w:bidi="ar-SA"/>
    </w:rPr>
  </w:style>
  <w:style w:type="paragraph" w:customStyle="1" w:styleId="545">
    <w:name w:val="无间隔8"/>
    <w:qFormat/>
    <w:uiPriority w:val="0"/>
    <w:pPr>
      <w:widowControl w:val="0"/>
      <w:jc w:val="both"/>
    </w:pPr>
    <w:rPr>
      <w:rFonts w:ascii="Times New Roman" w:hAnsi="Times New Roman" w:eastAsia="宋体" w:cs="Times New Roman"/>
      <w:kern w:val="2"/>
      <w:sz w:val="24"/>
      <w:szCs w:val="24"/>
      <w:lang w:val="en-US" w:eastAsia="zh-CN" w:bidi="ar-SA"/>
    </w:rPr>
  </w:style>
  <w:style w:type="paragraph" w:customStyle="1" w:styleId="546">
    <w:name w:val="海域正文"/>
    <w:basedOn w:val="472"/>
    <w:link w:val="547"/>
    <w:qFormat/>
    <w:uiPriority w:val="0"/>
    <w:pPr>
      <w:adjustRightInd/>
      <w:ind w:firstLine="480"/>
    </w:pPr>
    <w:rPr>
      <w:rFonts w:eastAsia="仿宋_GB2312"/>
    </w:rPr>
  </w:style>
  <w:style w:type="character" w:customStyle="1" w:styleId="547">
    <w:name w:val="海域正文 Char"/>
    <w:link w:val="546"/>
    <w:qFormat/>
    <w:locked/>
    <w:uiPriority w:val="0"/>
    <w:rPr>
      <w:rFonts w:eastAsia="仿宋_GB2312" w:cs="宋体"/>
      <w:b/>
      <w:bCs/>
      <w:color w:val="000000"/>
      <w:kern w:val="2"/>
      <w:sz w:val="24"/>
      <w:szCs w:val="24"/>
      <w:lang w:val="en-US" w:eastAsia="zh-CN" w:bidi="ar-SA"/>
    </w:rPr>
  </w:style>
  <w:style w:type="paragraph" w:customStyle="1" w:styleId="548">
    <w:name w:val="海域图表"/>
    <w:basedOn w:val="546"/>
    <w:link w:val="549"/>
    <w:qFormat/>
    <w:uiPriority w:val="0"/>
    <w:pPr>
      <w:ind w:firstLine="0" w:firstLineChars="0"/>
      <w:jc w:val="center"/>
    </w:pPr>
    <w:rPr>
      <w:b/>
      <w:bCs/>
    </w:rPr>
  </w:style>
  <w:style w:type="character" w:customStyle="1" w:styleId="549">
    <w:name w:val="海域图表 Char"/>
    <w:link w:val="548"/>
    <w:qFormat/>
    <w:locked/>
    <w:uiPriority w:val="0"/>
    <w:rPr>
      <w:rFonts w:eastAsia="仿宋_GB2312" w:cs="宋体"/>
      <w:b/>
      <w:bCs/>
      <w:color w:val="000000"/>
      <w:kern w:val="2"/>
      <w:sz w:val="24"/>
      <w:szCs w:val="24"/>
      <w:lang w:val="en-US" w:eastAsia="zh-CN" w:bidi="ar-SA"/>
    </w:rPr>
  </w:style>
  <w:style w:type="paragraph" w:customStyle="1" w:styleId="550">
    <w:name w:val="海域无间隔"/>
    <w:basedOn w:val="546"/>
    <w:link w:val="551"/>
    <w:qFormat/>
    <w:uiPriority w:val="0"/>
    <w:pPr>
      <w:spacing w:line="240" w:lineRule="auto"/>
      <w:ind w:firstLine="0" w:firstLineChars="0"/>
    </w:pPr>
  </w:style>
  <w:style w:type="character" w:customStyle="1" w:styleId="551">
    <w:name w:val="海域无间隔 Char"/>
    <w:basedOn w:val="547"/>
    <w:link w:val="550"/>
    <w:qFormat/>
    <w:locked/>
    <w:uiPriority w:val="0"/>
    <w:rPr>
      <w:rFonts w:eastAsia="仿宋_GB2312" w:cs="宋体"/>
      <w:color w:val="000000"/>
      <w:kern w:val="2"/>
      <w:sz w:val="24"/>
      <w:szCs w:val="24"/>
      <w:lang w:val="en-US" w:eastAsia="zh-CN" w:bidi="ar-SA"/>
    </w:rPr>
  </w:style>
  <w:style w:type="paragraph" w:customStyle="1" w:styleId="552">
    <w:name w:val="样式 标题 2 + 左侧:  0.32 厘米 首行缩进:  0 厘米"/>
    <w:basedOn w:val="4"/>
    <w:qFormat/>
    <w:uiPriority w:val="0"/>
    <w:pPr>
      <w:keepNext w:val="0"/>
      <w:keepLines w:val="0"/>
      <w:tabs>
        <w:tab w:val="left" w:pos="756"/>
        <w:tab w:val="left" w:pos="1151"/>
      </w:tabs>
      <w:adjustRightInd w:val="0"/>
      <w:snapToGrid w:val="0"/>
      <w:spacing w:before="240" w:line="310" w:lineRule="atLeast"/>
      <w:ind w:left="756" w:hanging="576"/>
      <w:textAlignment w:val="baseline"/>
    </w:pPr>
    <w:rPr>
      <w:rFonts w:ascii="宋体" w:hAnsi="宋体" w:cs="宋体"/>
      <w:color w:val="000000"/>
      <w:sz w:val="44"/>
      <w:szCs w:val="44"/>
    </w:rPr>
  </w:style>
  <w:style w:type="paragraph" w:customStyle="1" w:styleId="553">
    <w:name w:val="图表"/>
    <w:basedOn w:val="384"/>
    <w:link w:val="554"/>
    <w:qFormat/>
    <w:uiPriority w:val="0"/>
    <w:pPr>
      <w:numPr>
        <w:ilvl w:val="5"/>
      </w:numPr>
    </w:pPr>
    <w:rPr>
      <w:lang w:bidi="zh-CN"/>
    </w:rPr>
  </w:style>
  <w:style w:type="character" w:customStyle="1" w:styleId="554">
    <w:name w:val="图表 Char"/>
    <w:link w:val="553"/>
    <w:qFormat/>
    <w:locked/>
    <w:uiPriority w:val="0"/>
    <w:rPr>
      <w:rFonts w:cs="Arial"/>
      <w:b/>
      <w:kern w:val="2"/>
      <w:sz w:val="24"/>
      <w:szCs w:val="32"/>
      <w:lang w:bidi="zh-CN"/>
    </w:rPr>
  </w:style>
  <w:style w:type="paragraph" w:customStyle="1" w:styleId="555">
    <w:name w:val="样式21"/>
    <w:basedOn w:val="1"/>
    <w:link w:val="556"/>
    <w:qFormat/>
    <w:uiPriority w:val="0"/>
    <w:pPr>
      <w:spacing w:line="360" w:lineRule="auto"/>
      <w:ind w:firstLine="200" w:firstLineChars="200"/>
      <w:outlineLvl w:val="2"/>
    </w:pPr>
    <w:rPr>
      <w:rFonts w:eastAsia="黑体"/>
    </w:rPr>
  </w:style>
  <w:style w:type="character" w:customStyle="1" w:styleId="556">
    <w:name w:val="样式21 Char"/>
    <w:link w:val="555"/>
    <w:qFormat/>
    <w:locked/>
    <w:uiPriority w:val="0"/>
    <w:rPr>
      <w:rFonts w:eastAsia="黑体" w:cs="宋体"/>
      <w:b/>
      <w:bCs/>
      <w:color w:val="000000"/>
      <w:kern w:val="2"/>
      <w:sz w:val="24"/>
      <w:szCs w:val="24"/>
      <w:lang w:val="en-US" w:eastAsia="zh-CN" w:bidi="ar-SA"/>
    </w:rPr>
  </w:style>
  <w:style w:type="paragraph" w:customStyle="1" w:styleId="557">
    <w:name w:val="样式22"/>
    <w:basedOn w:val="1"/>
    <w:link w:val="558"/>
    <w:qFormat/>
    <w:uiPriority w:val="0"/>
    <w:pPr>
      <w:spacing w:line="360" w:lineRule="auto"/>
      <w:ind w:firstLine="480" w:firstLineChars="200"/>
    </w:pPr>
    <w:rPr>
      <w:rFonts w:eastAsia="仿宋_GB2312"/>
    </w:rPr>
  </w:style>
  <w:style w:type="character" w:customStyle="1" w:styleId="558">
    <w:name w:val="样式22 Char"/>
    <w:link w:val="557"/>
    <w:qFormat/>
    <w:locked/>
    <w:uiPriority w:val="0"/>
    <w:rPr>
      <w:rFonts w:eastAsia="仿宋_GB2312" w:cs="宋体"/>
      <w:b/>
      <w:bCs/>
      <w:color w:val="000000"/>
      <w:kern w:val="2"/>
      <w:sz w:val="24"/>
      <w:szCs w:val="24"/>
      <w:lang w:val="en-US" w:eastAsia="zh-CN" w:bidi="ar-SA"/>
    </w:rPr>
  </w:style>
  <w:style w:type="paragraph" w:customStyle="1" w:styleId="559">
    <w:name w:val="图表行"/>
    <w:basedOn w:val="1"/>
    <w:qFormat/>
    <w:uiPriority w:val="0"/>
    <w:pPr>
      <w:spacing w:line="360" w:lineRule="auto"/>
      <w:jc w:val="center"/>
    </w:pPr>
    <w:rPr>
      <w:b/>
      <w:bCs/>
    </w:rPr>
  </w:style>
  <w:style w:type="paragraph" w:customStyle="1" w:styleId="560">
    <w:name w:val="3"/>
    <w:basedOn w:val="1"/>
    <w:next w:val="7"/>
    <w:qFormat/>
    <w:uiPriority w:val="0"/>
    <w:pPr>
      <w:ind w:firstLine="420" w:firstLineChars="200"/>
    </w:pPr>
  </w:style>
  <w:style w:type="paragraph" w:customStyle="1" w:styleId="561">
    <w:name w:val="样式24"/>
    <w:basedOn w:val="1"/>
    <w:link w:val="562"/>
    <w:qFormat/>
    <w:uiPriority w:val="0"/>
    <w:pPr>
      <w:spacing w:line="360" w:lineRule="auto"/>
      <w:ind w:firstLine="200" w:firstLineChars="200"/>
      <w:outlineLvl w:val="2"/>
    </w:pPr>
    <w:rPr>
      <w:rFonts w:ascii="黑体" w:eastAsia="黑体" w:cs="黑体"/>
    </w:rPr>
  </w:style>
  <w:style w:type="character" w:customStyle="1" w:styleId="562">
    <w:name w:val="样式24 Char"/>
    <w:link w:val="561"/>
    <w:qFormat/>
    <w:locked/>
    <w:uiPriority w:val="0"/>
    <w:rPr>
      <w:rFonts w:ascii="黑体" w:eastAsia="黑体" w:cs="黑体"/>
      <w:b/>
      <w:bCs/>
      <w:color w:val="000000"/>
      <w:kern w:val="2"/>
      <w:sz w:val="24"/>
      <w:szCs w:val="24"/>
      <w:lang w:val="en-US" w:eastAsia="zh-CN" w:bidi="ar-SA"/>
    </w:rPr>
  </w:style>
  <w:style w:type="paragraph" w:customStyle="1" w:styleId="563">
    <w:name w:val="样式26"/>
    <w:basedOn w:val="1"/>
    <w:link w:val="564"/>
    <w:qFormat/>
    <w:uiPriority w:val="0"/>
    <w:pPr>
      <w:spacing w:line="360" w:lineRule="auto"/>
      <w:ind w:firstLine="480" w:firstLineChars="200"/>
    </w:pPr>
    <w:rPr>
      <w:rFonts w:eastAsia="仿宋_GB2312"/>
    </w:rPr>
  </w:style>
  <w:style w:type="character" w:customStyle="1" w:styleId="564">
    <w:name w:val="样式26 Char"/>
    <w:link w:val="563"/>
    <w:qFormat/>
    <w:locked/>
    <w:uiPriority w:val="0"/>
    <w:rPr>
      <w:rFonts w:eastAsia="仿宋_GB2312" w:cs="宋体"/>
      <w:b/>
      <w:bCs/>
      <w:color w:val="000000"/>
      <w:kern w:val="2"/>
      <w:sz w:val="24"/>
      <w:szCs w:val="24"/>
      <w:lang w:val="en-US" w:eastAsia="zh-CN" w:bidi="ar-SA"/>
    </w:rPr>
  </w:style>
  <w:style w:type="paragraph" w:customStyle="1" w:styleId="565">
    <w:name w:val="Char Char Char Char Char Char Char Char Char Char"/>
    <w:basedOn w:val="1"/>
    <w:qFormat/>
    <w:uiPriority w:val="0"/>
    <w:pPr>
      <w:spacing w:line="360" w:lineRule="auto"/>
      <w:ind w:firstLine="200" w:firstLineChars="200"/>
    </w:pPr>
    <w:rPr>
      <w:rFonts w:ascii="宋体" w:hAnsi="宋体" w:cs="宋体"/>
    </w:rPr>
  </w:style>
  <w:style w:type="paragraph" w:customStyle="1" w:styleId="566">
    <w:name w:val="论证—正文"/>
    <w:basedOn w:val="1"/>
    <w:qFormat/>
    <w:uiPriority w:val="0"/>
    <w:pPr>
      <w:spacing w:beforeLines="50" w:afterLines="50" w:line="360" w:lineRule="auto"/>
      <w:ind w:firstLine="480" w:firstLineChars="200"/>
    </w:pPr>
  </w:style>
  <w:style w:type="paragraph" w:customStyle="1" w:styleId="567">
    <w:name w:val="论证—标题4.3.1"/>
    <w:basedOn w:val="568"/>
    <w:qFormat/>
    <w:uiPriority w:val="0"/>
    <w:pPr>
      <w:spacing w:before="50" w:after="50"/>
      <w:outlineLvl w:val="4"/>
    </w:pPr>
    <w:rPr>
      <w:sz w:val="28"/>
      <w:szCs w:val="28"/>
    </w:rPr>
  </w:style>
  <w:style w:type="paragraph" w:customStyle="1" w:styleId="568">
    <w:name w:val="论证—标题4.1"/>
    <w:basedOn w:val="1"/>
    <w:qFormat/>
    <w:uiPriority w:val="0"/>
    <w:pPr>
      <w:snapToGrid w:val="0"/>
      <w:spacing w:beforeLines="50" w:afterLines="50" w:line="480" w:lineRule="exact"/>
      <w:outlineLvl w:val="3"/>
    </w:pPr>
    <w:rPr>
      <w:b/>
      <w:bCs/>
      <w:sz w:val="32"/>
      <w:szCs w:val="32"/>
    </w:rPr>
  </w:style>
  <w:style w:type="paragraph" w:customStyle="1" w:styleId="569">
    <w:name w:val="论证—标题一"/>
    <w:basedOn w:val="1"/>
    <w:next w:val="1"/>
    <w:qFormat/>
    <w:uiPriority w:val="0"/>
    <w:pPr>
      <w:tabs>
        <w:tab w:val="left" w:pos="360"/>
      </w:tabs>
      <w:adjustRightInd w:val="0"/>
      <w:snapToGrid w:val="0"/>
      <w:spacing w:beforeLines="200" w:afterLines="200"/>
      <w:jc w:val="center"/>
      <w:outlineLvl w:val="0"/>
    </w:pPr>
    <w:rPr>
      <w:rFonts w:eastAsia="黑体"/>
      <w:b/>
      <w:bCs/>
      <w:color w:val="000000"/>
      <w:kern w:val="0"/>
      <w:sz w:val="52"/>
      <w:szCs w:val="52"/>
    </w:rPr>
  </w:style>
  <w:style w:type="paragraph" w:customStyle="1" w:styleId="570">
    <w:name w:val="论证__正文"/>
    <w:basedOn w:val="1"/>
    <w:qFormat/>
    <w:uiPriority w:val="0"/>
    <w:pPr>
      <w:tabs>
        <w:tab w:val="left" w:pos="360"/>
      </w:tabs>
      <w:spacing w:line="360" w:lineRule="auto"/>
      <w:ind w:firstLine="480" w:firstLineChars="200"/>
    </w:pPr>
  </w:style>
  <w:style w:type="paragraph" w:customStyle="1" w:styleId="571">
    <w:name w:val="论证—图表"/>
    <w:basedOn w:val="1"/>
    <w:qFormat/>
    <w:uiPriority w:val="0"/>
    <w:pPr>
      <w:jc w:val="center"/>
    </w:pPr>
    <w:rPr>
      <w:rFonts w:ascii="宋体" w:hAnsi="宋体" w:cs="宋体"/>
      <w:color w:val="000000"/>
      <w:kern w:val="0"/>
      <w:sz w:val="21"/>
      <w:szCs w:val="21"/>
    </w:rPr>
  </w:style>
  <w:style w:type="paragraph" w:customStyle="1" w:styleId="572">
    <w:name w:val="论证—标题3"/>
    <w:basedOn w:val="1"/>
    <w:next w:val="1"/>
    <w:qFormat/>
    <w:uiPriority w:val="0"/>
    <w:pPr>
      <w:adjustRightInd w:val="0"/>
      <w:snapToGrid w:val="0"/>
      <w:spacing w:beforeLines="100" w:afterLines="100" w:line="480" w:lineRule="exact"/>
      <w:outlineLvl w:val="2"/>
    </w:pPr>
    <w:rPr>
      <w:b/>
      <w:bCs/>
      <w:sz w:val="32"/>
      <w:szCs w:val="32"/>
    </w:rPr>
  </w:style>
  <w:style w:type="paragraph" w:customStyle="1" w:styleId="573">
    <w:name w:val="论证—标题（二）"/>
    <w:basedOn w:val="4"/>
    <w:next w:val="1"/>
    <w:qFormat/>
    <w:uiPriority w:val="0"/>
    <w:pPr>
      <w:adjustRightInd w:val="0"/>
      <w:snapToGrid w:val="0"/>
      <w:spacing w:beforeLines="150" w:afterLines="150" w:line="480" w:lineRule="exact"/>
      <w:jc w:val="left"/>
    </w:pPr>
    <w:rPr>
      <w:rFonts w:ascii="宋体" w:hAnsi="宋体" w:eastAsia="宋体" w:cs="宋体"/>
      <w:sz w:val="44"/>
      <w:szCs w:val="44"/>
    </w:rPr>
  </w:style>
  <w:style w:type="paragraph" w:customStyle="1" w:styleId="574">
    <w:name w:val="标题 1环评"/>
    <w:basedOn w:val="3"/>
    <w:qFormat/>
    <w:uiPriority w:val="0"/>
    <w:pPr>
      <w:keepLines/>
      <w:tabs>
        <w:tab w:val="clear" w:pos="0"/>
      </w:tabs>
      <w:spacing w:beforeLines="50" w:afterLines="50" w:line="360" w:lineRule="auto"/>
    </w:pPr>
    <w:rPr>
      <w:bCs/>
      <w:kern w:val="44"/>
      <w:sz w:val="44"/>
      <w:szCs w:val="44"/>
    </w:rPr>
  </w:style>
  <w:style w:type="paragraph" w:customStyle="1" w:styleId="575">
    <w:name w:val="报告标题 1 环评"/>
    <w:basedOn w:val="574"/>
    <w:qFormat/>
    <w:uiPriority w:val="0"/>
    <w:pPr>
      <w:spacing w:before="50" w:after="50"/>
    </w:pPr>
    <w:rPr>
      <w:sz w:val="48"/>
      <w:szCs w:val="48"/>
    </w:rPr>
  </w:style>
  <w:style w:type="paragraph" w:customStyle="1" w:styleId="576">
    <w:name w:val="报告标题 1 环评 + 段前: 0.5 行 段后: 0.5 行"/>
    <w:basedOn w:val="575"/>
    <w:qFormat/>
    <w:uiPriority w:val="0"/>
    <w:pPr>
      <w:spacing w:before="120" w:after="120"/>
    </w:pPr>
  </w:style>
  <w:style w:type="paragraph" w:customStyle="1" w:styleId="577">
    <w:name w:val="样式 报告标题 1 环评 + 段前: 0.5 行 段后: 0.5 行"/>
    <w:basedOn w:val="575"/>
    <w:qFormat/>
    <w:uiPriority w:val="0"/>
    <w:pPr>
      <w:spacing w:before="120" w:after="120"/>
    </w:pPr>
  </w:style>
  <w:style w:type="paragraph" w:customStyle="1" w:styleId="578">
    <w:name w:val="报告标题2 环评"/>
    <w:basedOn w:val="1"/>
    <w:link w:val="579"/>
    <w:qFormat/>
    <w:uiPriority w:val="0"/>
    <w:pPr>
      <w:adjustRightInd w:val="0"/>
      <w:snapToGrid w:val="0"/>
      <w:spacing w:beforeLines="150" w:afterLines="150" w:line="480" w:lineRule="exact"/>
      <w:jc w:val="left"/>
      <w:outlineLvl w:val="1"/>
    </w:pPr>
    <w:rPr>
      <w:b/>
      <w:bCs/>
      <w:sz w:val="32"/>
      <w:szCs w:val="32"/>
    </w:rPr>
  </w:style>
  <w:style w:type="character" w:customStyle="1" w:styleId="579">
    <w:name w:val="报告标题2 环评 Char"/>
    <w:link w:val="578"/>
    <w:qFormat/>
    <w:locked/>
    <w:uiPriority w:val="0"/>
    <w:rPr>
      <w:rFonts w:eastAsia="宋体" w:cs="宋体"/>
      <w:b/>
      <w:bCs/>
      <w:color w:val="000000"/>
      <w:kern w:val="2"/>
      <w:sz w:val="32"/>
      <w:szCs w:val="32"/>
      <w:lang w:val="en-US" w:eastAsia="zh-CN" w:bidi="ar-SA"/>
    </w:rPr>
  </w:style>
  <w:style w:type="paragraph" w:customStyle="1" w:styleId="580">
    <w:name w:val="样式 报告标题 1 环评 + 段前: 0.5 行 段后: 0.5 行1"/>
    <w:basedOn w:val="575"/>
    <w:qFormat/>
    <w:uiPriority w:val="0"/>
    <w:pPr>
      <w:spacing w:before="120" w:after="120"/>
    </w:pPr>
  </w:style>
  <w:style w:type="paragraph" w:customStyle="1" w:styleId="581">
    <w:name w:val="样式 报告标题2 环评 + 段前: 1.5 行 段后: 1.5 行"/>
    <w:basedOn w:val="578"/>
    <w:link w:val="582"/>
    <w:qFormat/>
    <w:uiPriority w:val="0"/>
    <w:pPr>
      <w:spacing w:before="360" w:after="360"/>
    </w:pPr>
  </w:style>
  <w:style w:type="character" w:customStyle="1" w:styleId="582">
    <w:name w:val="样式 报告标题2 环评 + 段前: 1.5 行 段后: 1.5 行 Char"/>
    <w:basedOn w:val="579"/>
    <w:link w:val="581"/>
    <w:qFormat/>
    <w:locked/>
    <w:uiPriority w:val="0"/>
    <w:rPr>
      <w:rFonts w:eastAsia="宋体" w:cs="宋体"/>
      <w:color w:val="000000"/>
      <w:kern w:val="2"/>
      <w:sz w:val="32"/>
      <w:szCs w:val="32"/>
      <w:lang w:val="en-US" w:eastAsia="zh-CN" w:bidi="ar-SA"/>
    </w:rPr>
  </w:style>
  <w:style w:type="paragraph" w:customStyle="1" w:styleId="583">
    <w:name w:val="报告标题3 环评"/>
    <w:basedOn w:val="1"/>
    <w:link w:val="584"/>
    <w:qFormat/>
    <w:uiPriority w:val="0"/>
    <w:pPr>
      <w:adjustRightInd w:val="0"/>
      <w:snapToGrid w:val="0"/>
      <w:spacing w:afterLines="50" w:line="360" w:lineRule="auto"/>
      <w:outlineLvl w:val="2"/>
    </w:pPr>
    <w:rPr>
      <w:b/>
      <w:bCs/>
      <w:sz w:val="28"/>
      <w:szCs w:val="28"/>
    </w:rPr>
  </w:style>
  <w:style w:type="character" w:customStyle="1" w:styleId="584">
    <w:name w:val="报告标题3 环评 Char"/>
    <w:link w:val="583"/>
    <w:qFormat/>
    <w:locked/>
    <w:uiPriority w:val="0"/>
    <w:rPr>
      <w:rFonts w:eastAsia="宋体" w:cs="宋体"/>
      <w:b/>
      <w:bCs/>
      <w:color w:val="000000"/>
      <w:kern w:val="2"/>
      <w:sz w:val="28"/>
      <w:szCs w:val="28"/>
      <w:lang w:val="en-US" w:eastAsia="zh-CN" w:bidi="ar-SA"/>
    </w:rPr>
  </w:style>
  <w:style w:type="paragraph" w:customStyle="1" w:styleId="585">
    <w:name w:val="样式 报告标题3 环评 + 黑色"/>
    <w:basedOn w:val="583"/>
    <w:qFormat/>
    <w:uiPriority w:val="0"/>
    <w:rPr>
      <w:color w:val="000000"/>
    </w:rPr>
  </w:style>
  <w:style w:type="paragraph" w:customStyle="1" w:styleId="586">
    <w:name w:val="报告标题4 环评 小四 加粗 黑色 行距: 固定值 23 磅"/>
    <w:basedOn w:val="1"/>
    <w:qFormat/>
    <w:uiPriority w:val="0"/>
    <w:pPr>
      <w:spacing w:line="460" w:lineRule="exact"/>
    </w:pPr>
    <w:rPr>
      <w:b/>
      <w:bCs/>
      <w:color w:val="000000"/>
    </w:rPr>
  </w:style>
  <w:style w:type="paragraph" w:customStyle="1" w:styleId="587">
    <w:name w:val="封面—项目"/>
    <w:basedOn w:val="1"/>
    <w:qFormat/>
    <w:uiPriority w:val="0"/>
    <w:pPr>
      <w:tabs>
        <w:tab w:val="left" w:pos="4740"/>
      </w:tabs>
      <w:jc w:val="center"/>
    </w:pPr>
    <w:rPr>
      <w:rFonts w:ascii="宋体" w:hAnsi="宋体" w:cs="宋体"/>
      <w:b/>
      <w:bCs/>
      <w:spacing w:val="-20"/>
      <w:sz w:val="44"/>
      <w:szCs w:val="44"/>
    </w:rPr>
  </w:style>
  <w:style w:type="paragraph" w:customStyle="1" w:styleId="588">
    <w:name w:val="封面—报告"/>
    <w:basedOn w:val="587"/>
    <w:qFormat/>
    <w:uiPriority w:val="0"/>
    <w:rPr>
      <w:rFonts w:eastAsia="隶书"/>
      <w:sz w:val="72"/>
      <w:szCs w:val="72"/>
    </w:rPr>
  </w:style>
  <w:style w:type="paragraph" w:customStyle="1" w:styleId="589">
    <w:name w:val="封面—单位"/>
    <w:basedOn w:val="1"/>
    <w:qFormat/>
    <w:uiPriority w:val="0"/>
    <w:pPr>
      <w:tabs>
        <w:tab w:val="left" w:pos="4740"/>
      </w:tabs>
      <w:spacing w:line="360" w:lineRule="auto"/>
      <w:jc w:val="center"/>
    </w:pPr>
    <w:rPr>
      <w:rFonts w:ascii="华文中宋" w:hAnsi="华文中宋" w:cs="华文中宋"/>
      <w:sz w:val="30"/>
      <w:szCs w:val="30"/>
    </w:rPr>
  </w:style>
  <w:style w:type="paragraph" w:customStyle="1" w:styleId="590">
    <w:name w:val="图表—居中"/>
    <w:basedOn w:val="1"/>
    <w:qFormat/>
    <w:uiPriority w:val="0"/>
    <w:pPr>
      <w:spacing w:line="360" w:lineRule="auto"/>
      <w:ind w:firstLine="480" w:firstLineChars="200"/>
      <w:jc w:val="center"/>
    </w:pPr>
    <w:rPr>
      <w:rFonts w:ascii="华文中宋" w:hAnsi="华文中宋" w:cs="华文中宋"/>
    </w:rPr>
  </w:style>
  <w:style w:type="paragraph" w:customStyle="1" w:styleId="591">
    <w:name w:val="内封"/>
    <w:basedOn w:val="1"/>
    <w:qFormat/>
    <w:uiPriority w:val="0"/>
    <w:pPr>
      <w:tabs>
        <w:tab w:val="left" w:pos="4740"/>
      </w:tabs>
      <w:spacing w:line="360" w:lineRule="auto"/>
      <w:jc w:val="center"/>
    </w:pPr>
    <w:rPr>
      <w:b/>
      <w:bCs/>
      <w:color w:val="000000"/>
    </w:rPr>
  </w:style>
  <w:style w:type="paragraph" w:customStyle="1" w:styleId="592">
    <w:name w:val="图表报告"/>
    <w:basedOn w:val="1"/>
    <w:qFormat/>
    <w:uiPriority w:val="0"/>
    <w:pPr>
      <w:jc w:val="center"/>
    </w:pPr>
    <w:rPr>
      <w:sz w:val="21"/>
      <w:szCs w:val="21"/>
    </w:rPr>
  </w:style>
  <w:style w:type="paragraph" w:customStyle="1" w:styleId="593">
    <w:name w:val="正文—首行缩进"/>
    <w:basedOn w:val="1"/>
    <w:qFormat/>
    <w:uiPriority w:val="0"/>
    <w:pPr>
      <w:spacing w:line="360" w:lineRule="auto"/>
    </w:pPr>
  </w:style>
  <w:style w:type="paragraph" w:customStyle="1" w:styleId="594">
    <w:name w:val="图表—名称"/>
    <w:basedOn w:val="1"/>
    <w:qFormat/>
    <w:uiPriority w:val="0"/>
    <w:pPr>
      <w:spacing w:afterLines="50" w:line="360" w:lineRule="auto"/>
      <w:jc w:val="center"/>
    </w:pPr>
    <w:rPr>
      <w:b/>
      <w:bCs/>
      <w:sz w:val="32"/>
      <w:szCs w:val="32"/>
    </w:rPr>
  </w:style>
  <w:style w:type="paragraph" w:customStyle="1" w:styleId="595">
    <w:name w:val="表1"/>
    <w:basedOn w:val="1"/>
    <w:qFormat/>
    <w:uiPriority w:val="0"/>
    <w:pPr>
      <w:spacing w:before="40" w:line="240" w:lineRule="atLeast"/>
      <w:jc w:val="center"/>
    </w:pPr>
  </w:style>
  <w:style w:type="paragraph" w:customStyle="1" w:styleId="596">
    <w:name w:val="表头格式"/>
    <w:basedOn w:val="1"/>
    <w:qFormat/>
    <w:uiPriority w:val="0"/>
    <w:pPr>
      <w:adjustRightInd w:val="0"/>
      <w:snapToGrid w:val="0"/>
      <w:spacing w:line="312" w:lineRule="auto"/>
      <w:ind w:firstLine="2415"/>
      <w:jc w:val="center"/>
    </w:pPr>
    <w:rPr>
      <w:rFonts w:ascii="黑体" w:eastAsia="黑体" w:cs="黑体"/>
    </w:rPr>
  </w:style>
  <w:style w:type="paragraph" w:customStyle="1" w:styleId="597">
    <w:name w:val="正文—缩进"/>
    <w:basedOn w:val="1"/>
    <w:qFormat/>
    <w:uiPriority w:val="0"/>
    <w:pPr>
      <w:adjustRightInd w:val="0"/>
      <w:snapToGrid w:val="0"/>
      <w:spacing w:line="360" w:lineRule="auto"/>
      <w:ind w:firstLine="200" w:firstLineChars="200"/>
    </w:pPr>
  </w:style>
  <w:style w:type="paragraph" w:customStyle="1" w:styleId="598">
    <w:name w:val="图名"/>
    <w:basedOn w:val="592"/>
    <w:link w:val="1005"/>
    <w:qFormat/>
    <w:uiPriority w:val="0"/>
    <w:pPr>
      <w:tabs>
        <w:tab w:val="left" w:pos="4740"/>
      </w:tabs>
      <w:adjustRightInd w:val="0"/>
      <w:snapToGrid w:val="0"/>
    </w:pPr>
    <w:rPr>
      <w:sz w:val="24"/>
      <w:szCs w:val="24"/>
    </w:rPr>
  </w:style>
  <w:style w:type="paragraph" w:customStyle="1" w:styleId="599">
    <w:name w:val="表—居中5号"/>
    <w:basedOn w:val="1"/>
    <w:qFormat/>
    <w:uiPriority w:val="0"/>
    <w:pPr>
      <w:widowControl/>
    </w:pPr>
    <w:rPr>
      <w:kern w:val="0"/>
    </w:rPr>
  </w:style>
  <w:style w:type="character" w:customStyle="1" w:styleId="600">
    <w:name w:val="表—居中5号 Char"/>
    <w:qFormat/>
    <w:uiPriority w:val="0"/>
    <w:rPr>
      <w:rFonts w:eastAsia="宋体" w:cs="宋体"/>
      <w:b/>
      <w:bCs/>
      <w:color w:val="000000"/>
      <w:kern w:val="2"/>
      <w:sz w:val="24"/>
      <w:szCs w:val="24"/>
      <w:lang w:val="en-US" w:eastAsia="zh-CN" w:bidi="ar-SA"/>
    </w:rPr>
  </w:style>
  <w:style w:type="character" w:customStyle="1" w:styleId="601">
    <w:name w:val="图名 Char"/>
    <w:qFormat/>
    <w:uiPriority w:val="0"/>
    <w:rPr>
      <w:rFonts w:ascii="华文中宋" w:hAnsi="华文中宋" w:eastAsia="宋体" w:cs="华文中宋"/>
      <w:b/>
      <w:bCs/>
      <w:color w:val="000000"/>
      <w:kern w:val="2"/>
      <w:sz w:val="24"/>
      <w:szCs w:val="24"/>
      <w:lang w:val="en-US" w:eastAsia="zh-CN" w:bidi="ar-SA"/>
    </w:rPr>
  </w:style>
  <w:style w:type="character" w:customStyle="1" w:styleId="602">
    <w:name w:val="txt141"/>
    <w:qFormat/>
    <w:uiPriority w:val="0"/>
    <w:rPr>
      <w:rFonts w:ascii="宋体" w:hAnsi="宋体" w:eastAsia="宋体" w:cs="宋体"/>
      <w:b/>
      <w:bCs/>
      <w:color w:val="000000"/>
      <w:kern w:val="2"/>
      <w:sz w:val="27"/>
      <w:szCs w:val="27"/>
      <w:u w:val="none"/>
      <w:lang w:val="en-US" w:eastAsia="zh-CN" w:bidi="ar-SA"/>
    </w:rPr>
  </w:style>
  <w:style w:type="paragraph" w:customStyle="1" w:styleId="603">
    <w:name w:val="正文A"/>
    <w:qFormat/>
    <w:uiPriority w:val="0"/>
    <w:pPr>
      <w:tabs>
        <w:tab w:val="left" w:pos="0"/>
      </w:tabs>
      <w:adjustRightInd w:val="0"/>
      <w:spacing w:before="120" w:line="360" w:lineRule="auto"/>
      <w:ind w:firstLine="480"/>
      <w:jc w:val="both"/>
    </w:pPr>
    <w:rPr>
      <w:rFonts w:ascii="Times New Roman" w:hAnsi="Times New Roman" w:eastAsia="宋体" w:cs="Times New Roman"/>
      <w:sz w:val="24"/>
      <w:szCs w:val="24"/>
      <w:lang w:val="en-US" w:eastAsia="zh-CN" w:bidi="ar-SA"/>
    </w:rPr>
  </w:style>
  <w:style w:type="character" w:customStyle="1" w:styleId="604">
    <w:name w:val="正文（首行缩进两字） Char2"/>
    <w:qFormat/>
    <w:uiPriority w:val="0"/>
    <w:rPr>
      <w:rFonts w:eastAsia="宋体" w:cs="宋体"/>
      <w:b/>
      <w:bCs/>
      <w:color w:val="000000"/>
      <w:kern w:val="2"/>
      <w:sz w:val="24"/>
      <w:szCs w:val="24"/>
      <w:lang w:val="en-US" w:eastAsia="zh-CN" w:bidi="ar-SA"/>
    </w:rPr>
  </w:style>
  <w:style w:type="paragraph" w:customStyle="1" w:styleId="605">
    <w:name w:val="正文OK"/>
    <w:basedOn w:val="1"/>
    <w:qFormat/>
    <w:uiPriority w:val="0"/>
    <w:pPr>
      <w:spacing w:line="460" w:lineRule="exact"/>
    </w:pPr>
    <w:rPr>
      <w:kern w:val="0"/>
    </w:rPr>
  </w:style>
  <w:style w:type="paragraph" w:customStyle="1" w:styleId="606">
    <w:name w:val="Char Char Char Char Char Char Char Char Char Char1"/>
    <w:basedOn w:val="1"/>
    <w:qFormat/>
    <w:uiPriority w:val="0"/>
  </w:style>
  <w:style w:type="character" w:customStyle="1" w:styleId="607">
    <w:name w:val="ourfont31"/>
    <w:qFormat/>
    <w:uiPriority w:val="0"/>
    <w:rPr>
      <w:rFonts w:eastAsia="宋体" w:cs="宋体"/>
      <w:b/>
      <w:bCs/>
      <w:color w:val="000000"/>
      <w:spacing w:val="20"/>
      <w:kern w:val="2"/>
      <w:sz w:val="21"/>
      <w:szCs w:val="21"/>
      <w:lang w:val="en-US" w:eastAsia="zh-CN" w:bidi="ar-SA"/>
    </w:rPr>
  </w:style>
  <w:style w:type="paragraph" w:customStyle="1" w:styleId="608">
    <w:name w:val="Char Char Char1"/>
    <w:basedOn w:val="1"/>
    <w:qFormat/>
    <w:uiPriority w:val="0"/>
    <w:pPr>
      <w:spacing w:line="360" w:lineRule="auto"/>
      <w:ind w:firstLine="200" w:firstLineChars="200"/>
    </w:pPr>
    <w:rPr>
      <w:rFonts w:ascii="宋体" w:hAnsi="宋体" w:cs="宋体"/>
    </w:rPr>
  </w:style>
  <w:style w:type="paragraph" w:customStyle="1" w:styleId="609">
    <w:name w:val="Char1"/>
    <w:basedOn w:val="1"/>
    <w:qFormat/>
    <w:uiPriority w:val="0"/>
    <w:pPr>
      <w:tabs>
        <w:tab w:val="left" w:pos="360"/>
      </w:tabs>
      <w:spacing w:beforeLines="50" w:afterLines="50" w:line="360" w:lineRule="auto"/>
      <w:ind w:firstLine="200" w:firstLineChars="200"/>
    </w:pPr>
  </w:style>
  <w:style w:type="character" w:customStyle="1" w:styleId="610">
    <w:name w:val="Char Char61"/>
    <w:qFormat/>
    <w:uiPriority w:val="0"/>
    <w:rPr>
      <w:rFonts w:eastAsia="黑体" w:cs="宋体"/>
      <w:color w:val="000000"/>
      <w:kern w:val="2"/>
      <w:sz w:val="32"/>
      <w:szCs w:val="32"/>
      <w:lang w:val="en-US" w:eastAsia="zh-CN" w:bidi="ar-SA"/>
    </w:rPr>
  </w:style>
  <w:style w:type="character" w:customStyle="1" w:styleId="611">
    <w:name w:val="Char Char51"/>
    <w:qFormat/>
    <w:uiPriority w:val="0"/>
    <w:rPr>
      <w:rFonts w:eastAsia="黑体" w:cs="宋体"/>
      <w:color w:val="000000"/>
      <w:kern w:val="2"/>
      <w:sz w:val="32"/>
      <w:szCs w:val="32"/>
      <w:lang w:val="en-US" w:eastAsia="zh-CN" w:bidi="ar-SA"/>
    </w:rPr>
  </w:style>
  <w:style w:type="paragraph" w:customStyle="1" w:styleId="612">
    <w:name w:val="报告表格标题"/>
    <w:basedOn w:val="1"/>
    <w:next w:val="1"/>
    <w:qFormat/>
    <w:uiPriority w:val="0"/>
    <w:pPr>
      <w:adjustRightInd w:val="0"/>
      <w:snapToGrid w:val="0"/>
      <w:spacing w:beforeLines="50" w:afterLines="50" w:line="480" w:lineRule="exact"/>
      <w:jc w:val="center"/>
    </w:pPr>
    <w:rPr>
      <w:rFonts w:ascii="黑体" w:hAnsi="宋体" w:eastAsia="黑体" w:cs="黑体"/>
    </w:rPr>
  </w:style>
  <w:style w:type="paragraph" w:customStyle="1" w:styleId="613">
    <w:name w:val="报告表格内容"/>
    <w:basedOn w:val="1"/>
    <w:next w:val="1"/>
    <w:link w:val="614"/>
    <w:qFormat/>
    <w:uiPriority w:val="0"/>
    <w:pPr>
      <w:adjustRightInd w:val="0"/>
      <w:snapToGrid w:val="0"/>
      <w:jc w:val="center"/>
    </w:pPr>
    <w:rPr>
      <w:sz w:val="21"/>
      <w:szCs w:val="21"/>
    </w:rPr>
  </w:style>
  <w:style w:type="character" w:customStyle="1" w:styleId="614">
    <w:name w:val="报告表格内容 Char"/>
    <w:link w:val="613"/>
    <w:qFormat/>
    <w:locked/>
    <w:uiPriority w:val="0"/>
    <w:rPr>
      <w:rFonts w:eastAsia="宋体" w:cs="宋体"/>
      <w:b/>
      <w:bCs/>
      <w:color w:val="000000"/>
      <w:kern w:val="2"/>
      <w:sz w:val="21"/>
      <w:szCs w:val="21"/>
      <w:lang w:val="en-US" w:eastAsia="zh-CN" w:bidi="ar-SA"/>
    </w:rPr>
  </w:style>
  <w:style w:type="paragraph" w:customStyle="1" w:styleId="615">
    <w:name w:val="样式 (中文) 黑体 居中"/>
    <w:basedOn w:val="1"/>
    <w:qFormat/>
    <w:uiPriority w:val="0"/>
    <w:pPr>
      <w:jc w:val="center"/>
    </w:pPr>
    <w:rPr>
      <w:sz w:val="21"/>
      <w:szCs w:val="21"/>
    </w:rPr>
  </w:style>
  <w:style w:type="paragraph" w:customStyle="1" w:styleId="616">
    <w:name w:val="样式 表格内容 + 小四 行距: 单倍行距"/>
    <w:basedOn w:val="259"/>
    <w:qFormat/>
    <w:uiPriority w:val="0"/>
    <w:pPr>
      <w:textAlignment w:val="baseline"/>
    </w:pPr>
    <w:rPr>
      <w:rFonts w:hAnsi="Times New Roman"/>
      <w:snapToGrid/>
      <w:spacing w:val="-4"/>
      <w:sz w:val="24"/>
      <w:szCs w:val="24"/>
    </w:rPr>
  </w:style>
  <w:style w:type="paragraph" w:customStyle="1" w:styleId="617">
    <w:name w:val="样式 首行缩进 Char + 首行缩进:  2.57 字符"/>
    <w:basedOn w:val="1"/>
    <w:qFormat/>
    <w:uiPriority w:val="0"/>
    <w:pPr>
      <w:spacing w:beforeLines="50" w:line="360" w:lineRule="auto"/>
      <w:ind w:firstLine="540" w:firstLineChars="225"/>
    </w:pPr>
    <w:rPr>
      <w:color w:val="000000"/>
    </w:rPr>
  </w:style>
  <w:style w:type="paragraph" w:customStyle="1" w:styleId="618">
    <w:name w:val="Char Char Char Char Char Char1 Char Char Char1 Char Char Char Char Char Char Char Char Char Char Char Char Char Char Char1 Char Char Char1 Char Char Char Char Char Char1 Char"/>
    <w:basedOn w:val="1"/>
    <w:qFormat/>
    <w:uiPriority w:val="0"/>
    <w:pPr>
      <w:spacing w:line="360" w:lineRule="auto"/>
      <w:ind w:firstLine="200" w:firstLineChars="200"/>
    </w:pPr>
    <w:rPr>
      <w:rFonts w:ascii="宋体" w:hAnsi="宋体" w:cs="宋体"/>
    </w:rPr>
  </w:style>
  <w:style w:type="character" w:customStyle="1" w:styleId="619">
    <w:name w:val="文字缩进"/>
    <w:qFormat/>
    <w:uiPriority w:val="0"/>
    <w:rPr>
      <w:rFonts w:eastAsia="宋体" w:cs="宋体"/>
      <w:b/>
      <w:bCs/>
      <w:color w:val="000000"/>
      <w:kern w:val="2"/>
      <w:sz w:val="24"/>
      <w:szCs w:val="24"/>
      <w:lang w:val="en-US" w:eastAsia="zh-CN" w:bidi="ar-SA"/>
    </w:rPr>
  </w:style>
  <w:style w:type="paragraph" w:customStyle="1" w:styleId="620">
    <w:name w:val="Char Char Char Char1 Char Char Char1"/>
    <w:basedOn w:val="1"/>
    <w:qFormat/>
    <w:uiPriority w:val="0"/>
    <w:pPr>
      <w:ind w:firstLine="200" w:firstLineChars="200"/>
    </w:pPr>
    <w:rPr>
      <w:rFonts w:eastAsia="黑体" w:cs="宋体"/>
      <w:b/>
      <w:bCs/>
      <w:color w:val="000000"/>
      <w:sz w:val="32"/>
      <w:szCs w:val="32"/>
    </w:rPr>
  </w:style>
  <w:style w:type="paragraph" w:customStyle="1" w:styleId="621">
    <w:name w:val="样式9"/>
    <w:basedOn w:val="55"/>
    <w:link w:val="2669"/>
    <w:qFormat/>
    <w:uiPriority w:val="0"/>
    <w:pPr>
      <w:pBdr>
        <w:top w:val="thickThinSmallGap" w:color="auto" w:sz="24" w:space="1"/>
      </w:pBdr>
    </w:pPr>
  </w:style>
  <w:style w:type="paragraph" w:customStyle="1" w:styleId="622">
    <w:name w:val="Char2"/>
    <w:basedOn w:val="1"/>
    <w:next w:val="1"/>
    <w:qFormat/>
    <w:uiPriority w:val="0"/>
    <w:pPr>
      <w:spacing w:line="336" w:lineRule="auto"/>
      <w:ind w:firstLine="200" w:firstLineChars="200"/>
    </w:pPr>
    <w:rPr>
      <w:rFonts w:ascii="宋体" w:hAnsi="宋体" w:eastAsia="汉鼎简书宋" w:cs="宋体"/>
    </w:rPr>
  </w:style>
  <w:style w:type="paragraph" w:customStyle="1" w:styleId="623">
    <w:name w:val="目录"/>
    <w:basedOn w:val="1"/>
    <w:next w:val="59"/>
    <w:qFormat/>
    <w:uiPriority w:val="0"/>
    <w:pPr>
      <w:ind w:firstLine="200" w:firstLineChars="200"/>
      <w:jc w:val="center"/>
    </w:pPr>
    <w:rPr>
      <w:rFonts w:eastAsia="黑体"/>
      <w:sz w:val="36"/>
      <w:szCs w:val="20"/>
    </w:rPr>
  </w:style>
  <w:style w:type="paragraph" w:customStyle="1" w:styleId="624">
    <w:name w:val="小节"/>
    <w:next w:val="1"/>
    <w:qFormat/>
    <w:uiPriority w:val="0"/>
    <w:pPr>
      <w:ind w:firstLine="612"/>
      <w:jc w:val="both"/>
    </w:pPr>
    <w:rPr>
      <w:rFonts w:ascii="Times New Roman" w:hAnsi="Times New Roman" w:eastAsia="宋体" w:cs="Times New Roman"/>
      <w:b/>
      <w:sz w:val="28"/>
      <w:lang w:val="en-US" w:eastAsia="zh-CN" w:bidi="ar-SA"/>
    </w:rPr>
  </w:style>
  <w:style w:type="paragraph" w:customStyle="1" w:styleId="625">
    <w:name w:val="Char Char Char Char1 Char Char Char Char Char"/>
    <w:basedOn w:val="1"/>
    <w:qFormat/>
    <w:uiPriority w:val="0"/>
    <w:pPr>
      <w:ind w:firstLine="200" w:firstLineChars="200"/>
    </w:pPr>
    <w:rPr>
      <w:rFonts w:eastAsia="黑体" w:cs="宋体"/>
      <w:b/>
      <w:bCs/>
      <w:color w:val="000000"/>
      <w:sz w:val="32"/>
      <w:szCs w:val="32"/>
    </w:rPr>
  </w:style>
  <w:style w:type="paragraph" w:customStyle="1" w:styleId="626">
    <w:name w:val="Char Char Char2"/>
    <w:basedOn w:val="1"/>
    <w:qFormat/>
    <w:uiPriority w:val="0"/>
    <w:rPr>
      <w:sz w:val="28"/>
      <w:szCs w:val="28"/>
    </w:rPr>
  </w:style>
  <w:style w:type="paragraph" w:customStyle="1" w:styleId="627">
    <w:name w:val="图"/>
    <w:basedOn w:val="73"/>
    <w:qFormat/>
    <w:uiPriority w:val="0"/>
    <w:pPr>
      <w:spacing w:before="50" w:beforeLines="50" w:after="50" w:afterLines="50" w:line="240" w:lineRule="auto"/>
      <w:ind w:left="0" w:leftChars="0" w:firstLine="0" w:firstLineChars="0"/>
      <w:jc w:val="center"/>
    </w:pPr>
    <w:rPr>
      <w:rFonts w:eastAsia="黑体"/>
    </w:rPr>
  </w:style>
  <w:style w:type="character" w:customStyle="1" w:styleId="628">
    <w:name w:val="条 Char"/>
    <w:link w:val="449"/>
    <w:qFormat/>
    <w:uiPriority w:val="0"/>
    <w:rPr>
      <w:rFonts w:eastAsia="黑体" w:cs="宋体"/>
      <w:b/>
      <w:bCs/>
      <w:color w:val="000000"/>
      <w:kern w:val="2"/>
      <w:sz w:val="28"/>
      <w:szCs w:val="28"/>
      <w:lang w:val="en-US" w:eastAsia="zh-CN" w:bidi="ar-SA"/>
    </w:rPr>
  </w:style>
  <w:style w:type="paragraph" w:customStyle="1" w:styleId="629">
    <w:name w:val="样式 款 + 首行缩进:  1 字符"/>
    <w:basedOn w:val="445"/>
    <w:qFormat/>
    <w:uiPriority w:val="0"/>
    <w:pPr>
      <w:ind w:firstLine="0" w:firstLineChars="0"/>
    </w:pPr>
    <w:rPr>
      <w:rFonts w:cs="宋体"/>
      <w:szCs w:val="20"/>
    </w:rPr>
  </w:style>
  <w:style w:type="paragraph" w:customStyle="1" w:styleId="630">
    <w:name w:val="CM196"/>
    <w:basedOn w:val="397"/>
    <w:next w:val="397"/>
    <w:qFormat/>
    <w:uiPriority w:val="99"/>
    <w:pPr>
      <w:spacing w:after="150"/>
    </w:pPr>
    <w:rPr>
      <w:rFonts w:ascii="宋体" w:eastAsia="宋体" w:cs="Times New Roman"/>
      <w:color w:val="auto"/>
    </w:rPr>
  </w:style>
  <w:style w:type="paragraph" w:customStyle="1" w:styleId="631">
    <w:name w:val="CM202"/>
    <w:basedOn w:val="397"/>
    <w:next w:val="397"/>
    <w:qFormat/>
    <w:uiPriority w:val="99"/>
    <w:pPr>
      <w:spacing w:after="250"/>
    </w:pPr>
    <w:rPr>
      <w:rFonts w:ascii="宋体" w:eastAsia="宋体" w:cs="Times New Roman"/>
      <w:color w:val="auto"/>
    </w:rPr>
  </w:style>
  <w:style w:type="paragraph" w:customStyle="1" w:styleId="632">
    <w:name w:val="CM22"/>
    <w:basedOn w:val="397"/>
    <w:next w:val="397"/>
    <w:qFormat/>
    <w:uiPriority w:val="99"/>
    <w:pPr>
      <w:spacing w:line="460" w:lineRule="atLeast"/>
    </w:pPr>
    <w:rPr>
      <w:rFonts w:ascii="宋体" w:eastAsia="宋体" w:cs="Times New Roman"/>
      <w:color w:val="auto"/>
    </w:rPr>
  </w:style>
  <w:style w:type="paragraph" w:customStyle="1" w:styleId="633">
    <w:name w:val="Char Char Char Char Char Char Char Char Char Char Char Char Char Char Char Char Char Char Char Char Char Char Char Char Char"/>
    <w:basedOn w:val="1"/>
    <w:qFormat/>
    <w:uiPriority w:val="0"/>
    <w:pPr>
      <w:spacing w:line="360" w:lineRule="auto"/>
      <w:ind w:firstLine="200" w:firstLineChars="200"/>
    </w:pPr>
    <w:rPr>
      <w:rFonts w:ascii="宋体" w:hAnsi="宋体"/>
    </w:rPr>
  </w:style>
  <w:style w:type="paragraph" w:customStyle="1" w:styleId="634">
    <w:name w:val="正"/>
    <w:basedOn w:val="1"/>
    <w:link w:val="635"/>
    <w:qFormat/>
    <w:uiPriority w:val="0"/>
    <w:pPr>
      <w:widowControl/>
      <w:ind w:firstLine="200" w:firstLineChars="200"/>
      <w:jc w:val="left"/>
    </w:pPr>
    <w:rPr>
      <w:rFonts w:eastAsia="黑体" w:cs="宋体"/>
      <w:bCs/>
      <w:color w:val="000000"/>
      <w:szCs w:val="32"/>
    </w:rPr>
  </w:style>
  <w:style w:type="character" w:customStyle="1" w:styleId="635">
    <w:name w:val="正 Char"/>
    <w:link w:val="634"/>
    <w:qFormat/>
    <w:uiPriority w:val="0"/>
    <w:rPr>
      <w:rFonts w:eastAsia="黑体" w:cs="宋体"/>
      <w:bCs/>
      <w:color w:val="000000"/>
      <w:kern w:val="2"/>
      <w:sz w:val="24"/>
      <w:szCs w:val="32"/>
      <w:lang w:val="en-US" w:eastAsia="zh-CN" w:bidi="ar-SA"/>
    </w:rPr>
  </w:style>
  <w:style w:type="paragraph" w:customStyle="1" w:styleId="636">
    <w:name w:val="3级"/>
    <w:basedOn w:val="271"/>
    <w:qFormat/>
    <w:uiPriority w:val="0"/>
  </w:style>
  <w:style w:type="paragraph" w:customStyle="1" w:styleId="637">
    <w:name w:val="4级标题"/>
    <w:basedOn w:val="1"/>
    <w:link w:val="1129"/>
    <w:qFormat/>
    <w:uiPriority w:val="0"/>
    <w:pPr>
      <w:outlineLvl w:val="3"/>
    </w:pPr>
    <w:rPr>
      <w:b/>
    </w:rPr>
  </w:style>
  <w:style w:type="paragraph" w:customStyle="1" w:styleId="638">
    <w:name w:val="Char Char Char1 Char Char Char Char Char Char1 Char Char Char Char Char Char Char Char Char"/>
    <w:basedOn w:val="1"/>
    <w:qFormat/>
    <w:uiPriority w:val="0"/>
    <w:pPr>
      <w:ind w:firstLine="200" w:firstLineChars="200"/>
    </w:pPr>
    <w:rPr>
      <w:rFonts w:eastAsia="黑体" w:cs="宋体"/>
      <w:b/>
      <w:bCs/>
      <w:color w:val="000000"/>
      <w:sz w:val="32"/>
      <w:szCs w:val="32"/>
    </w:rPr>
  </w:style>
  <w:style w:type="character" w:customStyle="1" w:styleId="639">
    <w:name w:val="2级 Char"/>
    <w:link w:val="640"/>
    <w:qFormat/>
    <w:uiPriority w:val="0"/>
    <w:rPr>
      <w:rFonts w:eastAsia="黑体" w:cs="宋体"/>
      <w:b/>
      <w:bCs/>
      <w:color w:val="000000"/>
      <w:kern w:val="2"/>
      <w:sz w:val="30"/>
      <w:szCs w:val="30"/>
    </w:rPr>
  </w:style>
  <w:style w:type="paragraph" w:customStyle="1" w:styleId="640">
    <w:name w:val="2级"/>
    <w:basedOn w:val="270"/>
    <w:link w:val="639"/>
    <w:qFormat/>
    <w:uiPriority w:val="0"/>
    <w:rPr>
      <w:sz w:val="30"/>
    </w:rPr>
  </w:style>
  <w:style w:type="paragraph" w:customStyle="1" w:styleId="641">
    <w:name w:val="Char Char Char Char1"/>
    <w:basedOn w:val="1"/>
    <w:qFormat/>
    <w:uiPriority w:val="0"/>
    <w:pPr>
      <w:ind w:firstLine="200" w:firstLineChars="200"/>
    </w:pPr>
    <w:rPr>
      <w:rFonts w:ascii="宋体" w:hAnsi="宋体" w:cs="宋体"/>
    </w:rPr>
  </w:style>
  <w:style w:type="paragraph" w:customStyle="1" w:styleId="642">
    <w:name w:val="Char Char Char Char Char Char1 Char Char Char1 Char Char Char Char Char Char Char Char Char Char Char Char Char Char Char1 Char Char Char1 Char Char Char Char Char Char1 Char Char Char Char Char"/>
    <w:basedOn w:val="1"/>
    <w:qFormat/>
    <w:uiPriority w:val="0"/>
    <w:pPr>
      <w:spacing w:line="360" w:lineRule="auto"/>
      <w:ind w:firstLine="200" w:firstLineChars="200"/>
    </w:pPr>
    <w:rPr>
      <w:rFonts w:eastAsia="黑体" w:cs="宋体"/>
      <w:b/>
      <w:bCs/>
      <w:color w:val="000000"/>
      <w:sz w:val="32"/>
      <w:szCs w:val="32"/>
    </w:rPr>
  </w:style>
  <w:style w:type="paragraph" w:styleId="643">
    <w:name w:val="No Spacing"/>
    <w:link w:val="673"/>
    <w:qFormat/>
    <w:uiPriority w:val="1"/>
    <w:pPr>
      <w:widowControl w:val="0"/>
      <w:adjustRightInd w:val="0"/>
      <w:jc w:val="both"/>
    </w:pPr>
    <w:rPr>
      <w:rFonts w:ascii="Times New Roman" w:hAnsi="Times New Roman" w:eastAsia="宋体" w:cs="Times New Roman"/>
      <w:kern w:val="2"/>
      <w:sz w:val="24"/>
      <w:szCs w:val="22"/>
      <w:lang w:val="en-US" w:eastAsia="zh-CN" w:bidi="ar-SA"/>
    </w:rPr>
  </w:style>
  <w:style w:type="paragraph" w:customStyle="1" w:styleId="644">
    <w:name w:val="TOC 标题3"/>
    <w:basedOn w:val="3"/>
    <w:next w:val="1"/>
    <w:qFormat/>
    <w:uiPriority w:val="0"/>
    <w:pPr>
      <w:keepLines/>
      <w:widowControl/>
      <w:tabs>
        <w:tab w:val="clear" w:pos="0"/>
      </w:tabs>
      <w:spacing w:before="480" w:line="276" w:lineRule="auto"/>
      <w:jc w:val="left"/>
      <w:outlineLvl w:val="9"/>
    </w:pPr>
    <w:rPr>
      <w:rFonts w:ascii="Cambria" w:hAnsi="Cambria" w:eastAsia="宋体"/>
      <w:bCs/>
      <w:color w:val="365F91"/>
      <w:kern w:val="0"/>
      <w:sz w:val="28"/>
      <w:szCs w:val="28"/>
    </w:rPr>
  </w:style>
  <w:style w:type="paragraph" w:customStyle="1" w:styleId="645">
    <w:name w:val="段落1"/>
    <w:basedOn w:val="1"/>
    <w:link w:val="646"/>
    <w:qFormat/>
    <w:uiPriority w:val="0"/>
    <w:pPr>
      <w:adjustRightInd w:val="0"/>
      <w:spacing w:line="360" w:lineRule="auto"/>
      <w:ind w:firstLine="504" w:firstLineChars="200"/>
      <w:textAlignment w:val="baseline"/>
    </w:pPr>
    <w:rPr>
      <w:rFonts w:ascii="宋体" w:hAnsi="宋体"/>
      <w:bCs/>
      <w:spacing w:val="6"/>
    </w:rPr>
  </w:style>
  <w:style w:type="character" w:customStyle="1" w:styleId="646">
    <w:name w:val="段落1 Char1"/>
    <w:link w:val="645"/>
    <w:qFormat/>
    <w:uiPriority w:val="0"/>
    <w:rPr>
      <w:rFonts w:ascii="宋体" w:hAnsi="宋体"/>
      <w:bCs/>
      <w:spacing w:val="6"/>
      <w:kern w:val="2"/>
      <w:sz w:val="24"/>
      <w:szCs w:val="24"/>
    </w:rPr>
  </w:style>
  <w:style w:type="character" w:customStyle="1" w:styleId="647">
    <w:name w:val="批注文字 字符3"/>
    <w:link w:val="28"/>
    <w:qFormat/>
    <w:uiPriority w:val="99"/>
    <w:rPr>
      <w:rFonts w:eastAsia="黑体" w:cs="宋体"/>
      <w:color w:val="000000"/>
      <w:kern w:val="2"/>
      <w:sz w:val="21"/>
      <w:szCs w:val="24"/>
      <w:lang w:val="zh-CN" w:eastAsia="zh-CN" w:bidi="ar-SA"/>
    </w:rPr>
  </w:style>
  <w:style w:type="character" w:customStyle="1" w:styleId="648">
    <w:name w:val="批注主题 字符2"/>
    <w:link w:val="85"/>
    <w:qFormat/>
    <w:uiPriority w:val="99"/>
    <w:rPr>
      <w:rFonts w:eastAsia="黑体" w:cs="宋体"/>
      <w:b/>
      <w:bCs/>
      <w:color w:val="000000"/>
      <w:kern w:val="2"/>
      <w:sz w:val="24"/>
      <w:szCs w:val="24"/>
      <w:lang w:val="zh-CN" w:eastAsia="zh-CN" w:bidi="ar-SA"/>
    </w:rPr>
  </w:style>
  <w:style w:type="paragraph" w:customStyle="1" w:styleId="649">
    <w:name w:val="Char Char18 Char Char Char Char Char Char Char Char"/>
    <w:basedOn w:val="1"/>
    <w:semiHidden/>
    <w:qFormat/>
    <w:uiPriority w:val="0"/>
    <w:pPr>
      <w:spacing w:line="360" w:lineRule="auto"/>
      <w:ind w:firstLine="200" w:firstLineChars="200"/>
    </w:pPr>
    <w:rPr>
      <w:rFonts w:ascii="宋体" w:hAnsi="宋体" w:cs="宋体"/>
    </w:rPr>
  </w:style>
  <w:style w:type="paragraph" w:customStyle="1" w:styleId="650">
    <w:name w:val="样式 报告正文 + 首行缩进:  2 字符"/>
    <w:basedOn w:val="1"/>
    <w:link w:val="651"/>
    <w:qFormat/>
    <w:uiPriority w:val="0"/>
    <w:pPr>
      <w:widowControl/>
      <w:autoSpaceDE w:val="0"/>
      <w:autoSpaceDN w:val="0"/>
      <w:spacing w:line="360" w:lineRule="auto"/>
      <w:ind w:firstLine="200" w:firstLineChars="200"/>
      <w:jc w:val="left"/>
    </w:pPr>
    <w:rPr>
      <w:rFonts w:ascii="宋体" w:hAnsi="宋体" w:cs="宋体"/>
      <w:kern w:val="0"/>
      <w:szCs w:val="20"/>
    </w:rPr>
  </w:style>
  <w:style w:type="character" w:customStyle="1" w:styleId="651">
    <w:name w:val="样式 报告正文 + 首行缩进:  2 字符 Char"/>
    <w:link w:val="650"/>
    <w:qFormat/>
    <w:uiPriority w:val="0"/>
    <w:rPr>
      <w:rFonts w:ascii="宋体" w:hAnsi="宋体" w:cs="宋体"/>
      <w:sz w:val="24"/>
    </w:rPr>
  </w:style>
  <w:style w:type="character" w:customStyle="1" w:styleId="652">
    <w:name w:val="表格文字 Char"/>
    <w:link w:val="195"/>
    <w:qFormat/>
    <w:uiPriority w:val="0"/>
    <w:rPr>
      <w:rFonts w:eastAsia="宋体"/>
      <w:sz w:val="24"/>
      <w:szCs w:val="21"/>
      <w:lang w:val="en-US" w:eastAsia="zh-CN" w:bidi="ar-SA"/>
    </w:rPr>
  </w:style>
  <w:style w:type="paragraph" w:customStyle="1" w:styleId="653">
    <w:name w:val="GDCI表格文字"/>
    <w:basedOn w:val="1"/>
    <w:qFormat/>
    <w:uiPriority w:val="0"/>
    <w:pPr>
      <w:adjustRightInd w:val="0"/>
      <w:snapToGrid w:val="0"/>
      <w:spacing w:line="240" w:lineRule="atLeast"/>
      <w:jc w:val="center"/>
    </w:pPr>
  </w:style>
  <w:style w:type="paragraph" w:customStyle="1" w:styleId="654">
    <w:name w:val="FHDI中文报告表格内容"/>
    <w:basedOn w:val="1"/>
    <w:link w:val="655"/>
    <w:qFormat/>
    <w:uiPriority w:val="0"/>
    <w:pPr>
      <w:widowControl/>
      <w:jc w:val="center"/>
      <w:textAlignment w:val="center"/>
    </w:pPr>
    <w:rPr>
      <w:rFonts w:ascii="Arial" w:hAnsi="Arial"/>
      <w:sz w:val="21"/>
      <w:szCs w:val="21"/>
      <w:lang w:val="zh-CN"/>
    </w:rPr>
  </w:style>
  <w:style w:type="character" w:customStyle="1" w:styleId="655">
    <w:name w:val="FHDI中文报告表格内容 Char"/>
    <w:link w:val="654"/>
    <w:qFormat/>
    <w:uiPriority w:val="0"/>
    <w:rPr>
      <w:rFonts w:ascii="Arial" w:hAnsi="Arial" w:eastAsia="宋体"/>
      <w:kern w:val="2"/>
      <w:sz w:val="21"/>
      <w:szCs w:val="21"/>
      <w:lang w:val="zh-CN" w:eastAsia="zh-CN" w:bidi="ar-SA"/>
    </w:rPr>
  </w:style>
  <w:style w:type="paragraph" w:customStyle="1" w:styleId="656">
    <w:name w:val="FHDI中文报告正文缩进"/>
    <w:basedOn w:val="1"/>
    <w:next w:val="1"/>
    <w:link w:val="657"/>
    <w:qFormat/>
    <w:uiPriority w:val="0"/>
    <w:pPr>
      <w:adjustRightInd w:val="0"/>
      <w:snapToGrid w:val="0"/>
      <w:spacing w:before="156" w:beforeLines="50" w:after="156" w:afterLines="50" w:line="288" w:lineRule="auto"/>
      <w:ind w:firstLine="560" w:firstLineChars="200"/>
    </w:pPr>
    <w:rPr>
      <w:rFonts w:ascii="Arial" w:hAnsi="Arial"/>
      <w:sz w:val="28"/>
      <w:szCs w:val="28"/>
      <w:lang w:val="zh-CN"/>
    </w:rPr>
  </w:style>
  <w:style w:type="character" w:customStyle="1" w:styleId="657">
    <w:name w:val="FHDI中文报告正文缩进 Char"/>
    <w:link w:val="656"/>
    <w:qFormat/>
    <w:uiPriority w:val="0"/>
    <w:rPr>
      <w:rFonts w:ascii="Arial" w:hAnsi="Arial" w:eastAsia="宋体"/>
      <w:kern w:val="2"/>
      <w:sz w:val="28"/>
      <w:szCs w:val="28"/>
      <w:lang w:val="zh-CN" w:eastAsia="zh-CN" w:bidi="ar-SA"/>
    </w:rPr>
  </w:style>
  <w:style w:type="paragraph" w:customStyle="1" w:styleId="658">
    <w:name w:val="CN-表格"/>
    <w:basedOn w:val="1"/>
    <w:qFormat/>
    <w:uiPriority w:val="0"/>
    <w:pPr>
      <w:widowControl/>
      <w:spacing w:line="240" w:lineRule="atLeast"/>
      <w:jc w:val="center"/>
    </w:pPr>
    <w:rPr>
      <w:rFonts w:eastAsia="仿宋_GB2312"/>
      <w:szCs w:val="28"/>
    </w:rPr>
  </w:style>
  <w:style w:type="paragraph" w:customStyle="1" w:styleId="659">
    <w:name w:val="Table Title"/>
    <w:basedOn w:val="1"/>
    <w:qFormat/>
    <w:uiPriority w:val="0"/>
    <w:pPr>
      <w:spacing w:line="320" w:lineRule="exact"/>
      <w:jc w:val="center"/>
    </w:pPr>
    <w:rPr>
      <w:rFonts w:hint="eastAsia"/>
      <w:sz w:val="28"/>
    </w:rPr>
  </w:style>
  <w:style w:type="paragraph" w:customStyle="1" w:styleId="660">
    <w:name w:val="FHDI中文报告正文"/>
    <w:basedOn w:val="1"/>
    <w:link w:val="661"/>
    <w:qFormat/>
    <w:uiPriority w:val="0"/>
    <w:pPr>
      <w:adjustRightInd w:val="0"/>
      <w:snapToGrid w:val="0"/>
      <w:spacing w:before="156" w:beforeLines="50" w:after="156" w:afterLines="50" w:line="288" w:lineRule="auto"/>
    </w:pPr>
    <w:rPr>
      <w:rFonts w:ascii="Arial" w:hAnsi="Arial"/>
      <w:sz w:val="28"/>
      <w:szCs w:val="28"/>
      <w:lang w:val="zh-CN"/>
    </w:rPr>
  </w:style>
  <w:style w:type="character" w:customStyle="1" w:styleId="661">
    <w:name w:val="FHDI中文报告正文 Char"/>
    <w:link w:val="660"/>
    <w:qFormat/>
    <w:uiPriority w:val="0"/>
    <w:rPr>
      <w:rFonts w:ascii="Arial" w:hAnsi="Arial" w:eastAsia="宋体"/>
      <w:kern w:val="2"/>
      <w:sz w:val="28"/>
      <w:szCs w:val="28"/>
      <w:lang w:val="zh-CN" w:eastAsia="zh-CN" w:bidi="ar-SA"/>
    </w:rPr>
  </w:style>
  <w:style w:type="paragraph" w:customStyle="1" w:styleId="662">
    <w:name w:val="FHDI中文报告表格标题"/>
    <w:basedOn w:val="1"/>
    <w:next w:val="1"/>
    <w:link w:val="675"/>
    <w:qFormat/>
    <w:uiPriority w:val="0"/>
    <w:pPr>
      <w:adjustRightInd w:val="0"/>
      <w:snapToGrid w:val="0"/>
    </w:pPr>
    <w:rPr>
      <w:rFonts w:ascii="Arial" w:hAnsi="Arial"/>
      <w:szCs w:val="28"/>
    </w:rPr>
  </w:style>
  <w:style w:type="paragraph" w:customStyle="1" w:styleId="663">
    <w:name w:val="FHDI中文报告二级标题"/>
    <w:basedOn w:val="1"/>
    <w:next w:val="1"/>
    <w:qFormat/>
    <w:uiPriority w:val="0"/>
    <w:pPr>
      <w:numPr>
        <w:ilvl w:val="1"/>
        <w:numId w:val="13"/>
      </w:numPr>
      <w:adjustRightInd w:val="0"/>
      <w:snapToGrid w:val="0"/>
      <w:spacing w:before="156" w:beforeLines="50" w:after="156" w:afterLines="50" w:line="288" w:lineRule="auto"/>
      <w:jc w:val="left"/>
      <w:outlineLvl w:val="1"/>
    </w:pPr>
    <w:rPr>
      <w:rFonts w:ascii="Arial" w:hAnsi="Arial"/>
      <w:b/>
      <w:sz w:val="28"/>
      <w:szCs w:val="28"/>
    </w:rPr>
  </w:style>
  <w:style w:type="paragraph" w:customStyle="1" w:styleId="664">
    <w:name w:val="FHDI中文报告六级标题"/>
    <w:basedOn w:val="1"/>
    <w:next w:val="1"/>
    <w:qFormat/>
    <w:uiPriority w:val="0"/>
    <w:pPr>
      <w:numPr>
        <w:ilvl w:val="5"/>
        <w:numId w:val="13"/>
      </w:numPr>
      <w:tabs>
        <w:tab w:val="left" w:pos="0"/>
      </w:tabs>
      <w:adjustRightInd w:val="0"/>
      <w:snapToGrid w:val="0"/>
      <w:spacing w:before="50" w:beforeLines="50" w:after="50" w:afterLines="50" w:line="288" w:lineRule="auto"/>
    </w:pPr>
    <w:rPr>
      <w:rFonts w:ascii="Arial" w:hAnsi="Arial"/>
      <w:sz w:val="28"/>
      <w:szCs w:val="28"/>
    </w:rPr>
  </w:style>
  <w:style w:type="paragraph" w:customStyle="1" w:styleId="665">
    <w:name w:val="FHDI中文报告三级标题"/>
    <w:basedOn w:val="1"/>
    <w:next w:val="1"/>
    <w:qFormat/>
    <w:uiPriority w:val="0"/>
    <w:pPr>
      <w:numPr>
        <w:ilvl w:val="2"/>
        <w:numId w:val="13"/>
      </w:numPr>
      <w:adjustRightInd w:val="0"/>
      <w:snapToGrid w:val="0"/>
      <w:spacing w:before="156" w:beforeLines="50" w:after="156" w:afterLines="50" w:line="288" w:lineRule="auto"/>
      <w:outlineLvl w:val="2"/>
    </w:pPr>
    <w:rPr>
      <w:rFonts w:ascii="Arial" w:hAnsi="Arial"/>
      <w:b/>
      <w:sz w:val="28"/>
      <w:szCs w:val="28"/>
    </w:rPr>
  </w:style>
  <w:style w:type="paragraph" w:customStyle="1" w:styleId="666">
    <w:name w:val="FHDI中文报告四级标题"/>
    <w:basedOn w:val="1"/>
    <w:next w:val="1"/>
    <w:qFormat/>
    <w:uiPriority w:val="0"/>
    <w:pPr>
      <w:numPr>
        <w:ilvl w:val="3"/>
        <w:numId w:val="13"/>
      </w:numPr>
      <w:adjustRightInd w:val="0"/>
      <w:snapToGrid w:val="0"/>
      <w:spacing w:before="156" w:beforeLines="50" w:after="156" w:afterLines="50" w:line="288" w:lineRule="auto"/>
      <w:outlineLvl w:val="3"/>
    </w:pPr>
    <w:rPr>
      <w:rFonts w:ascii="Arial" w:hAnsi="Arial"/>
      <w:b/>
      <w:sz w:val="28"/>
      <w:szCs w:val="28"/>
    </w:rPr>
  </w:style>
  <w:style w:type="paragraph" w:customStyle="1" w:styleId="667">
    <w:name w:val="FHDI中文报告五级标题"/>
    <w:basedOn w:val="1"/>
    <w:next w:val="1"/>
    <w:link w:val="674"/>
    <w:qFormat/>
    <w:uiPriority w:val="0"/>
    <w:pPr>
      <w:numPr>
        <w:ilvl w:val="4"/>
        <w:numId w:val="13"/>
      </w:numPr>
      <w:tabs>
        <w:tab w:val="left" w:pos="0"/>
        <w:tab w:val="left" w:pos="210"/>
      </w:tabs>
      <w:adjustRightInd w:val="0"/>
      <w:snapToGrid w:val="0"/>
      <w:spacing w:before="50" w:beforeLines="50" w:after="50" w:afterLines="50" w:line="288" w:lineRule="auto"/>
      <w:ind w:left="0" w:firstLine="200" w:firstLineChars="200"/>
    </w:pPr>
    <w:rPr>
      <w:rFonts w:ascii="Arial" w:hAnsi="Arial"/>
      <w:bCs/>
      <w:sz w:val="28"/>
      <w:szCs w:val="28"/>
    </w:rPr>
  </w:style>
  <w:style w:type="paragraph" w:customStyle="1" w:styleId="668">
    <w:name w:val="FHDI中文报告一级标题"/>
    <w:basedOn w:val="1"/>
    <w:next w:val="1"/>
    <w:qFormat/>
    <w:uiPriority w:val="0"/>
    <w:pPr>
      <w:numPr>
        <w:ilvl w:val="0"/>
        <w:numId w:val="13"/>
      </w:numPr>
      <w:adjustRightInd w:val="0"/>
      <w:snapToGrid w:val="0"/>
      <w:spacing w:before="312" w:beforeLines="100" w:after="156" w:afterLines="50" w:line="288" w:lineRule="auto"/>
      <w:jc w:val="center"/>
      <w:outlineLvl w:val="0"/>
    </w:pPr>
    <w:rPr>
      <w:rFonts w:ascii="Arial" w:hAnsi="Arial"/>
      <w:b/>
      <w:bCs/>
      <w:sz w:val="32"/>
      <w:szCs w:val="32"/>
    </w:rPr>
  </w:style>
  <w:style w:type="paragraph" w:customStyle="1" w:styleId="669">
    <w:name w:val="无间隔9"/>
    <w:qFormat/>
    <w:uiPriority w:val="0"/>
    <w:pPr>
      <w:widowControl w:val="0"/>
      <w:adjustRightInd w:val="0"/>
      <w:jc w:val="both"/>
    </w:pPr>
    <w:rPr>
      <w:rFonts w:ascii="Times New Roman" w:hAnsi="Times New Roman" w:eastAsia="宋体" w:cs="Times New Roman"/>
      <w:kern w:val="2"/>
      <w:sz w:val="24"/>
      <w:szCs w:val="22"/>
      <w:lang w:val="en-US" w:eastAsia="zh-CN" w:bidi="ar-SA"/>
    </w:rPr>
  </w:style>
  <w:style w:type="paragraph" w:customStyle="1" w:styleId="670">
    <w:name w:val="样式18"/>
    <w:basedOn w:val="1"/>
    <w:qFormat/>
    <w:uiPriority w:val="0"/>
    <w:pPr>
      <w:spacing w:line="360" w:lineRule="auto"/>
      <w:ind w:firstLine="480" w:firstLineChars="200"/>
    </w:pPr>
    <w:rPr>
      <w:szCs w:val="22"/>
    </w:rPr>
  </w:style>
  <w:style w:type="paragraph" w:customStyle="1" w:styleId="671">
    <w:name w:val="样式27"/>
    <w:basedOn w:val="1"/>
    <w:link w:val="672"/>
    <w:qFormat/>
    <w:uiPriority w:val="0"/>
    <w:pPr>
      <w:adjustRightInd w:val="0"/>
      <w:spacing w:line="360" w:lineRule="auto"/>
      <w:ind w:firstLine="200" w:firstLineChars="200"/>
      <w:contextualSpacing/>
      <w:jc w:val="center"/>
    </w:pPr>
    <w:rPr>
      <w:rFonts w:eastAsia="仿宋_GB2312"/>
      <w:kern w:val="0"/>
      <w:szCs w:val="20"/>
    </w:rPr>
  </w:style>
  <w:style w:type="character" w:customStyle="1" w:styleId="672">
    <w:name w:val="样式27 Char"/>
    <w:link w:val="671"/>
    <w:qFormat/>
    <w:uiPriority w:val="0"/>
    <w:rPr>
      <w:rFonts w:eastAsia="仿宋_GB2312"/>
      <w:sz w:val="24"/>
    </w:rPr>
  </w:style>
  <w:style w:type="character" w:customStyle="1" w:styleId="673">
    <w:name w:val="无间隔 字符1"/>
    <w:link w:val="643"/>
    <w:qFormat/>
    <w:uiPriority w:val="0"/>
    <w:rPr>
      <w:kern w:val="2"/>
      <w:sz w:val="24"/>
      <w:szCs w:val="22"/>
    </w:rPr>
  </w:style>
  <w:style w:type="character" w:customStyle="1" w:styleId="674">
    <w:name w:val="FHDI中文报告五级标题 Char Char"/>
    <w:link w:val="667"/>
    <w:qFormat/>
    <w:uiPriority w:val="0"/>
    <w:rPr>
      <w:rFonts w:ascii="Arial" w:hAnsi="Arial"/>
      <w:bCs/>
      <w:kern w:val="2"/>
      <w:sz w:val="28"/>
      <w:szCs w:val="28"/>
    </w:rPr>
  </w:style>
  <w:style w:type="character" w:customStyle="1" w:styleId="675">
    <w:name w:val="FHDI中文报告表格标题 Char"/>
    <w:link w:val="662"/>
    <w:qFormat/>
    <w:uiPriority w:val="0"/>
    <w:rPr>
      <w:rFonts w:ascii="Arial" w:hAnsi="Arial"/>
      <w:kern w:val="2"/>
      <w:sz w:val="24"/>
      <w:szCs w:val="28"/>
    </w:rPr>
  </w:style>
  <w:style w:type="paragraph" w:customStyle="1" w:styleId="676">
    <w:name w:val="FHDI中文报告表格备注"/>
    <w:basedOn w:val="1"/>
    <w:next w:val="1"/>
    <w:qFormat/>
    <w:uiPriority w:val="0"/>
    <w:pPr>
      <w:snapToGrid w:val="0"/>
      <w:jc w:val="left"/>
    </w:pPr>
    <w:rPr>
      <w:rFonts w:ascii="Arial" w:hAnsi="Arial"/>
      <w:szCs w:val="21"/>
    </w:rPr>
  </w:style>
  <w:style w:type="paragraph" w:styleId="677">
    <w:name w:val="Quote"/>
    <w:basedOn w:val="1"/>
    <w:next w:val="1"/>
    <w:link w:val="678"/>
    <w:qFormat/>
    <w:uiPriority w:val="29"/>
    <w:rPr>
      <w:i/>
      <w:iCs/>
      <w:color w:val="000000"/>
    </w:rPr>
  </w:style>
  <w:style w:type="character" w:customStyle="1" w:styleId="678">
    <w:name w:val="引用 字符"/>
    <w:link w:val="677"/>
    <w:qFormat/>
    <w:uiPriority w:val="29"/>
    <w:rPr>
      <w:rFonts w:eastAsia="黑体" w:cs="宋体"/>
      <w:i/>
      <w:iCs/>
      <w:color w:val="000000"/>
      <w:kern w:val="2"/>
      <w:sz w:val="24"/>
      <w:szCs w:val="24"/>
      <w:lang w:val="en-US" w:eastAsia="zh-CN" w:bidi="ar-SA"/>
    </w:rPr>
  </w:style>
  <w:style w:type="paragraph" w:customStyle="1" w:styleId="679">
    <w:name w:val="图表名"/>
    <w:basedOn w:val="384"/>
    <w:link w:val="1090"/>
    <w:qFormat/>
    <w:uiPriority w:val="0"/>
    <w:pPr>
      <w:numPr>
        <w:ilvl w:val="0"/>
        <w:numId w:val="0"/>
      </w:numPr>
    </w:pPr>
    <w:rPr>
      <w:rFonts w:cs="Times New Roman"/>
      <w:lang w:val="zh-CN"/>
    </w:rPr>
  </w:style>
  <w:style w:type="paragraph" w:customStyle="1" w:styleId="680">
    <w:name w:val="图表名称"/>
    <w:basedOn w:val="1"/>
    <w:link w:val="3049"/>
    <w:qFormat/>
    <w:uiPriority w:val="99"/>
    <w:pPr>
      <w:tabs>
        <w:tab w:val="left" w:pos="4740"/>
      </w:tabs>
      <w:adjustRightInd w:val="0"/>
      <w:snapToGrid w:val="0"/>
      <w:spacing w:line="360" w:lineRule="auto"/>
      <w:jc w:val="center"/>
    </w:pPr>
    <w:rPr>
      <w:b/>
      <w:lang w:val="zh-CN"/>
    </w:rPr>
  </w:style>
  <w:style w:type="paragraph" w:customStyle="1" w:styleId="681">
    <w:name w:val="表号、图号"/>
    <w:basedOn w:val="1"/>
    <w:link w:val="682"/>
    <w:qFormat/>
    <w:uiPriority w:val="0"/>
    <w:pPr>
      <w:spacing w:line="360" w:lineRule="auto"/>
      <w:jc w:val="center"/>
      <w:outlineLvl w:val="4"/>
    </w:pPr>
    <w:rPr>
      <w:b/>
      <w:lang w:val="zh-CN"/>
    </w:rPr>
  </w:style>
  <w:style w:type="character" w:customStyle="1" w:styleId="682">
    <w:name w:val="表号、图号 Char"/>
    <w:link w:val="681"/>
    <w:qFormat/>
    <w:uiPriority w:val="0"/>
    <w:rPr>
      <w:b/>
      <w:kern w:val="2"/>
      <w:sz w:val="24"/>
      <w:szCs w:val="24"/>
      <w:lang w:val="zh-CN" w:eastAsia="zh-CN"/>
    </w:rPr>
  </w:style>
  <w:style w:type="character" w:customStyle="1" w:styleId="683">
    <w:name w:val="表格nlw Char"/>
    <w:link w:val="378"/>
    <w:qFormat/>
    <w:uiPriority w:val="0"/>
    <w:rPr>
      <w:sz w:val="21"/>
      <w:szCs w:val="22"/>
    </w:rPr>
  </w:style>
  <w:style w:type="paragraph" w:customStyle="1" w:styleId="684">
    <w:name w:val="正文文"/>
    <w:basedOn w:val="1"/>
    <w:link w:val="685"/>
    <w:qFormat/>
    <w:uiPriority w:val="0"/>
    <w:pPr>
      <w:ind w:firstLine="200" w:firstLineChars="200"/>
    </w:pPr>
    <w:rPr>
      <w:kern w:val="0"/>
      <w:lang w:val="zh-CN"/>
    </w:rPr>
  </w:style>
  <w:style w:type="character" w:customStyle="1" w:styleId="685">
    <w:name w:val="正文文 Char"/>
    <w:link w:val="684"/>
    <w:qFormat/>
    <w:uiPriority w:val="0"/>
    <w:rPr>
      <w:sz w:val="24"/>
      <w:szCs w:val="24"/>
      <w:lang w:val="zh-CN" w:eastAsia="zh-CN"/>
    </w:rPr>
  </w:style>
  <w:style w:type="paragraph" w:customStyle="1" w:styleId="686">
    <w:name w:val="Char4 Char Char Char"/>
    <w:basedOn w:val="1"/>
    <w:qFormat/>
    <w:uiPriority w:val="0"/>
    <w:pPr>
      <w:widowControl/>
      <w:snapToGrid w:val="0"/>
      <w:spacing w:after="160" w:line="300" w:lineRule="auto"/>
      <w:jc w:val="left"/>
    </w:pPr>
    <w:rPr>
      <w:rFonts w:ascii="仿宋_GB2312" w:hAnsi="Verdana" w:eastAsia="仿宋_GB2312"/>
      <w:b/>
      <w:kern w:val="0"/>
      <w:sz w:val="28"/>
      <w:szCs w:val="28"/>
      <w:lang w:eastAsia="en-US"/>
    </w:rPr>
  </w:style>
  <w:style w:type="character" w:customStyle="1" w:styleId="687">
    <w:name w:val="注释标题 字符2"/>
    <w:link w:val="17"/>
    <w:qFormat/>
    <w:uiPriority w:val="0"/>
    <w:rPr>
      <w:rFonts w:ascii="宋体"/>
      <w:kern w:val="2"/>
      <w:sz w:val="28"/>
      <w:szCs w:val="24"/>
    </w:rPr>
  </w:style>
  <w:style w:type="character" w:customStyle="1" w:styleId="688">
    <w:name w:val="正文文本缩进 3 字符2"/>
    <w:link w:val="70"/>
    <w:qFormat/>
    <w:uiPriority w:val="0"/>
    <w:rPr>
      <w:rFonts w:ascii="宋体"/>
      <w:kern w:val="2"/>
      <w:sz w:val="24"/>
      <w:szCs w:val="24"/>
    </w:rPr>
  </w:style>
  <w:style w:type="paragraph" w:customStyle="1" w:styleId="689">
    <w:name w:val="Char Char Char Char Char Char1 Char Char Char1 Char Char Char Char Char Char Char Char Char Char Char Char Char"/>
    <w:basedOn w:val="1"/>
    <w:semiHidden/>
    <w:qFormat/>
    <w:uiPriority w:val="0"/>
    <w:pPr>
      <w:spacing w:line="360" w:lineRule="auto"/>
      <w:ind w:firstLine="200" w:firstLineChars="200"/>
    </w:pPr>
    <w:rPr>
      <w:rFonts w:ascii="宋体" w:hAnsi="宋体" w:cs="宋体"/>
    </w:rPr>
  </w:style>
  <w:style w:type="paragraph" w:customStyle="1" w:styleId="690">
    <w:name w:val="正文001"/>
    <w:basedOn w:val="1"/>
    <w:link w:val="3114"/>
    <w:qFormat/>
    <w:uiPriority w:val="0"/>
    <w:pPr>
      <w:spacing w:before="60" w:line="420" w:lineRule="exact"/>
      <w:ind w:firstLine="482"/>
    </w:pPr>
    <w:rPr>
      <w:szCs w:val="20"/>
    </w:rPr>
  </w:style>
  <w:style w:type="paragraph" w:customStyle="1" w:styleId="691">
    <w:name w:val="图编号"/>
    <w:basedOn w:val="66"/>
    <w:link w:val="723"/>
    <w:semiHidden/>
    <w:qFormat/>
    <w:uiPriority w:val="0"/>
    <w:pPr>
      <w:ind w:left="0" w:firstLine="0" w:firstLineChars="0"/>
    </w:pPr>
    <w:rPr>
      <w:sz w:val="21"/>
      <w:szCs w:val="21"/>
    </w:rPr>
  </w:style>
  <w:style w:type="paragraph" w:customStyle="1" w:styleId="692">
    <w:name w:val="章标题"/>
    <w:next w:val="1"/>
    <w:semiHidden/>
    <w:qFormat/>
    <w:uiPriority w:val="0"/>
    <w:pPr>
      <w:numPr>
        <w:ilvl w:val="1"/>
        <w:numId w:val="14"/>
      </w:numPr>
      <w:tabs>
        <w:tab w:val="left" w:pos="903"/>
      </w:tabs>
      <w:spacing w:before="50" w:after="50"/>
      <w:ind w:left="903" w:hanging="315"/>
      <w:jc w:val="both"/>
      <w:outlineLvl w:val="1"/>
    </w:pPr>
    <w:rPr>
      <w:rFonts w:ascii="黑体" w:hAnsi="Times New Roman" w:eastAsia="黑体" w:cs="Times New Roman"/>
      <w:sz w:val="21"/>
      <w:lang w:val="en-US" w:eastAsia="zh-CN" w:bidi="ar-SA"/>
    </w:rPr>
  </w:style>
  <w:style w:type="paragraph" w:customStyle="1" w:styleId="693">
    <w:name w:val="前言、引言标题"/>
    <w:next w:val="1"/>
    <w:qFormat/>
    <w:uiPriority w:val="0"/>
    <w:pPr>
      <w:numPr>
        <w:ilvl w:val="0"/>
        <w:numId w:val="14"/>
      </w:numPr>
      <w:shd w:val="clear" w:color="FFFFFF" w:fill="FFFFFF"/>
      <w:tabs>
        <w:tab w:val="left" w:pos="903"/>
      </w:tabs>
      <w:spacing w:before="640" w:after="560"/>
      <w:ind w:left="903" w:hanging="315"/>
      <w:jc w:val="center"/>
      <w:outlineLvl w:val="0"/>
    </w:pPr>
    <w:rPr>
      <w:rFonts w:ascii="黑体" w:hAnsi="Times New Roman" w:eastAsia="黑体" w:cs="Times New Roman"/>
      <w:sz w:val="32"/>
      <w:lang w:val="en-US" w:eastAsia="zh-CN" w:bidi="ar-SA"/>
    </w:rPr>
  </w:style>
  <w:style w:type="paragraph" w:customStyle="1" w:styleId="694">
    <w:name w:val="二级条标题"/>
    <w:basedOn w:val="1"/>
    <w:next w:val="1"/>
    <w:qFormat/>
    <w:uiPriority w:val="0"/>
    <w:pPr>
      <w:widowControl/>
      <w:numPr>
        <w:ilvl w:val="3"/>
        <w:numId w:val="14"/>
      </w:numPr>
      <w:tabs>
        <w:tab w:val="left" w:pos="360"/>
      </w:tabs>
      <w:outlineLvl w:val="3"/>
    </w:pPr>
    <w:rPr>
      <w:rFonts w:ascii="黑体" w:eastAsia="黑体"/>
      <w:kern w:val="0"/>
      <w:sz w:val="21"/>
      <w:szCs w:val="20"/>
    </w:rPr>
  </w:style>
  <w:style w:type="character" w:customStyle="1" w:styleId="695">
    <w:name w:val="正文文本首行缩进 2 字符"/>
    <w:link w:val="87"/>
    <w:qFormat/>
    <w:uiPriority w:val="0"/>
    <w:rPr>
      <w:rFonts w:ascii="宋体" w:hAnsi="宋体"/>
      <w:kern w:val="2"/>
      <w:sz w:val="28"/>
      <w:szCs w:val="24"/>
    </w:rPr>
  </w:style>
  <w:style w:type="character" w:customStyle="1" w:styleId="696">
    <w:name w:val="HTML 预设格式 字符2"/>
    <w:link w:val="80"/>
    <w:qFormat/>
    <w:uiPriority w:val="0"/>
    <w:rPr>
      <w:rFonts w:ascii="宋体" w:hAnsi="宋体" w:cs="宋体"/>
      <w:sz w:val="24"/>
      <w:szCs w:val="24"/>
    </w:rPr>
  </w:style>
  <w:style w:type="paragraph" w:customStyle="1" w:styleId="697">
    <w:name w:val="三级条标题"/>
    <w:basedOn w:val="694"/>
    <w:next w:val="1"/>
    <w:qFormat/>
    <w:uiPriority w:val="0"/>
    <w:pPr>
      <w:numPr>
        <w:ilvl w:val="4"/>
      </w:numPr>
      <w:outlineLvl w:val="4"/>
    </w:pPr>
  </w:style>
  <w:style w:type="paragraph" w:customStyle="1" w:styleId="698">
    <w:name w:val="Char Char Char Char Char Char Char"/>
    <w:basedOn w:val="1"/>
    <w:qFormat/>
    <w:uiPriority w:val="0"/>
    <w:pPr>
      <w:spacing w:line="360" w:lineRule="auto"/>
      <w:ind w:firstLine="200" w:firstLineChars="200"/>
    </w:pPr>
    <w:rPr>
      <w:rFonts w:ascii="宋体" w:hAnsi="宋体" w:cs="宋体"/>
    </w:rPr>
  </w:style>
  <w:style w:type="paragraph" w:customStyle="1" w:styleId="699">
    <w:name w:val="表格五中"/>
    <w:qFormat/>
    <w:uiPriority w:val="0"/>
    <w:pPr>
      <w:adjustRightInd w:val="0"/>
      <w:snapToGrid w:val="0"/>
      <w:spacing w:line="240" w:lineRule="atLeast"/>
      <w:jc w:val="center"/>
    </w:pPr>
    <w:rPr>
      <w:rFonts w:ascii="Times New Roman" w:hAnsi="Times New Roman" w:eastAsia="宋体" w:cs="Times New Roman"/>
      <w:sz w:val="21"/>
      <w:lang w:val="en-US" w:eastAsia="zh-CN" w:bidi="ar-SA"/>
    </w:rPr>
  </w:style>
  <w:style w:type="paragraph" w:customStyle="1" w:styleId="700">
    <w:name w:val="Char Char Char Char Char Char Char Char Char Char2"/>
    <w:basedOn w:val="1"/>
    <w:qFormat/>
    <w:uiPriority w:val="0"/>
    <w:rPr>
      <w:szCs w:val="20"/>
    </w:rPr>
  </w:style>
  <w:style w:type="paragraph" w:customStyle="1" w:styleId="701">
    <w:name w:val="Char Char Char Char Char Char Char Char Char Char Char Char Char Char Char Char Char Char Char Char Char Char Char Char Char Char Char Char Char Char Char Char Char Char Char Char Char Char Char Char Char Char Char Char Char Char"/>
    <w:basedOn w:val="1"/>
    <w:next w:val="1"/>
    <w:qFormat/>
    <w:uiPriority w:val="0"/>
    <w:pPr>
      <w:pBdr>
        <w:right w:val="single" w:color="auto" w:sz="12" w:space="4"/>
      </w:pBdr>
      <w:spacing w:line="360" w:lineRule="auto"/>
      <w:ind w:firstLine="200" w:firstLineChars="200"/>
    </w:pPr>
    <w:rPr>
      <w:sz w:val="28"/>
      <w:szCs w:val="20"/>
    </w:rPr>
  </w:style>
  <w:style w:type="character" w:customStyle="1" w:styleId="702">
    <w:name w:val="Char Char Char Char Char Char Char Char Char Char Char Char Char Char Char Char Char Char Char Char Char"/>
    <w:semiHidden/>
    <w:qFormat/>
    <w:uiPriority w:val="0"/>
    <w:rPr>
      <w:rFonts w:eastAsia="宋体"/>
      <w:kern w:val="2"/>
      <w:sz w:val="24"/>
      <w:szCs w:val="24"/>
      <w:lang w:val="en-US" w:eastAsia="zh-CN" w:bidi="ar-SA"/>
    </w:rPr>
  </w:style>
  <w:style w:type="paragraph" w:customStyle="1" w:styleId="703">
    <w:name w:val="Char Char Char Char Char Char Char Char Char Char Char Char Char Char Char Char Char Char Char Char Char Char Char Char Char Char Char Char Char Char Char"/>
    <w:basedOn w:val="1"/>
    <w:semiHidden/>
    <w:qFormat/>
    <w:uiPriority w:val="0"/>
    <w:pPr>
      <w:spacing w:line="360" w:lineRule="auto"/>
      <w:ind w:firstLine="200" w:firstLineChars="200"/>
    </w:pPr>
    <w:rPr>
      <w:rFonts w:ascii="宋体" w:hAnsi="宋体" w:cs="宋体"/>
    </w:rPr>
  </w:style>
  <w:style w:type="paragraph" w:customStyle="1" w:styleId="704">
    <w:name w:val="Char Char Char Char Char Char1 Char Char Char1 Char Char Char Char Char Char Char"/>
    <w:basedOn w:val="1"/>
    <w:qFormat/>
    <w:uiPriority w:val="0"/>
    <w:pPr>
      <w:spacing w:line="360" w:lineRule="auto"/>
      <w:ind w:firstLine="200" w:firstLineChars="200"/>
    </w:pPr>
    <w:rPr>
      <w:rFonts w:ascii="宋体" w:hAnsi="宋体" w:cs="宋体"/>
    </w:rPr>
  </w:style>
  <w:style w:type="character" w:customStyle="1" w:styleId="705">
    <w:name w:val="HTML 预设格式 Char1"/>
    <w:qFormat/>
    <w:uiPriority w:val="0"/>
    <w:rPr>
      <w:rFonts w:ascii="Courier New" w:hAnsi="Courier New" w:eastAsia="黑体" w:cs="Courier New"/>
      <w:color w:val="000000"/>
      <w:kern w:val="2"/>
      <w:sz w:val="32"/>
      <w:szCs w:val="32"/>
      <w:lang w:val="en-US" w:eastAsia="zh-CN" w:bidi="ar-SA"/>
    </w:rPr>
  </w:style>
  <w:style w:type="character" w:customStyle="1" w:styleId="706">
    <w:name w:val="文档结构图 字符2"/>
    <w:link w:val="26"/>
    <w:qFormat/>
    <w:uiPriority w:val="0"/>
    <w:rPr>
      <w:kern w:val="2"/>
      <w:sz w:val="24"/>
      <w:szCs w:val="24"/>
      <w:shd w:val="clear" w:color="auto" w:fill="000080"/>
    </w:rPr>
  </w:style>
  <w:style w:type="character" w:customStyle="1" w:styleId="707">
    <w:name w:val="标题 9 字符2"/>
    <w:link w:val="12"/>
    <w:qFormat/>
    <w:uiPriority w:val="0"/>
    <w:rPr>
      <w:rFonts w:ascii="Arial" w:hAnsi="Arial" w:eastAsia="黑体"/>
      <w:kern w:val="2"/>
      <w:sz w:val="24"/>
      <w:szCs w:val="24"/>
    </w:rPr>
  </w:style>
  <w:style w:type="character" w:customStyle="1" w:styleId="708">
    <w:name w:val="标题 8 字符2"/>
    <w:link w:val="11"/>
    <w:qFormat/>
    <w:uiPriority w:val="0"/>
    <w:rPr>
      <w:rFonts w:ascii="Arial" w:hAnsi="Arial" w:eastAsia="黑体"/>
      <w:kern w:val="2"/>
      <w:sz w:val="24"/>
      <w:szCs w:val="24"/>
    </w:rPr>
  </w:style>
  <w:style w:type="character" w:customStyle="1" w:styleId="709">
    <w:name w:val="标题 7 字符2"/>
    <w:link w:val="10"/>
    <w:qFormat/>
    <w:uiPriority w:val="0"/>
    <w:rPr>
      <w:b/>
      <w:kern w:val="2"/>
      <w:sz w:val="24"/>
      <w:szCs w:val="24"/>
    </w:rPr>
  </w:style>
  <w:style w:type="character" w:customStyle="1" w:styleId="710">
    <w:name w:val="标题 Char1"/>
    <w:qFormat/>
    <w:uiPriority w:val="0"/>
    <w:rPr>
      <w:rFonts w:ascii="Arial" w:hAnsi="Arial" w:eastAsia="宋体" w:cs="Arial"/>
      <w:b/>
      <w:bCs/>
      <w:kern w:val="2"/>
      <w:sz w:val="32"/>
      <w:szCs w:val="32"/>
      <w:lang w:val="en-US" w:eastAsia="zh-CN" w:bidi="ar-SA"/>
    </w:rPr>
  </w:style>
  <w:style w:type="paragraph" w:customStyle="1" w:styleId="711">
    <w:name w:val="1.1"/>
    <w:next w:val="1"/>
    <w:link w:val="1091"/>
    <w:qFormat/>
    <w:uiPriority w:val="0"/>
    <w:pPr>
      <w:widowControl w:val="0"/>
      <w:adjustRightInd w:val="0"/>
      <w:snapToGrid w:val="0"/>
      <w:spacing w:before="100" w:beforeLines="100" w:after="50" w:afterLines="50" w:line="300" w:lineRule="auto"/>
      <w:jc w:val="both"/>
    </w:pPr>
    <w:rPr>
      <w:rFonts w:ascii="黑体" w:hAnsi="Times New Roman" w:eastAsia="黑体" w:cs="Times New Roman"/>
      <w:b/>
      <w:spacing w:val="10"/>
      <w:sz w:val="28"/>
      <w:lang w:val="en-US" w:eastAsia="zh-CN" w:bidi="ar-SA"/>
    </w:rPr>
  </w:style>
  <w:style w:type="paragraph" w:customStyle="1" w:styleId="712">
    <w:name w:val="1.1.1"/>
    <w:next w:val="1"/>
    <w:qFormat/>
    <w:uiPriority w:val="0"/>
    <w:pPr>
      <w:widowControl w:val="0"/>
      <w:adjustRightInd w:val="0"/>
      <w:snapToGrid w:val="0"/>
      <w:spacing w:before="50" w:beforeLines="50" w:after="50" w:afterLines="50" w:line="300" w:lineRule="auto"/>
      <w:jc w:val="both"/>
    </w:pPr>
    <w:rPr>
      <w:rFonts w:ascii="宋体" w:hAnsi="Times New Roman" w:eastAsia="宋体" w:cs="Times New Roman"/>
      <w:b/>
      <w:spacing w:val="10"/>
      <w:sz w:val="24"/>
      <w:lang w:val="en-US" w:eastAsia="zh-CN" w:bidi="ar-SA"/>
    </w:rPr>
  </w:style>
  <w:style w:type="paragraph" w:customStyle="1" w:styleId="713">
    <w:name w:val="haydonli"/>
    <w:basedOn w:val="1"/>
    <w:link w:val="1126"/>
    <w:qFormat/>
    <w:uiPriority w:val="0"/>
    <w:pPr>
      <w:snapToGrid w:val="0"/>
      <w:spacing w:line="360" w:lineRule="auto"/>
      <w:ind w:firstLine="200" w:firstLineChars="200"/>
    </w:pPr>
    <w:rPr>
      <w:snapToGrid w:val="0"/>
      <w:kern w:val="0"/>
    </w:rPr>
  </w:style>
  <w:style w:type="character" w:customStyle="1" w:styleId="714">
    <w:name w:val="HTML 地址 字符"/>
    <w:link w:val="41"/>
    <w:qFormat/>
    <w:uiPriority w:val="0"/>
    <w:rPr>
      <w:rFonts w:eastAsia="黑体" w:cs="宋体"/>
      <w:i/>
      <w:iCs/>
      <w:color w:val="000000"/>
      <w:kern w:val="2"/>
      <w:sz w:val="24"/>
      <w:szCs w:val="24"/>
      <w:lang w:val="en-US" w:eastAsia="zh-CN" w:bidi="ar-SA"/>
    </w:rPr>
  </w:style>
  <w:style w:type="paragraph" w:customStyle="1" w:styleId="715">
    <w:name w:val="HTML 预先格式化"/>
    <w:basedOn w:val="1"/>
    <w:qFormat/>
    <w:uiPriority w:val="0"/>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Arial Unicode MS" w:hAnsi="Arial Unicode MS" w:cs="Arial Unicode MS"/>
      <w:color w:val="003300"/>
      <w:kern w:val="0"/>
      <w:sz w:val="18"/>
      <w:szCs w:val="18"/>
    </w:rPr>
  </w:style>
  <w:style w:type="character" w:customStyle="1" w:styleId="716">
    <w:name w:val="t_tag"/>
    <w:qFormat/>
    <w:uiPriority w:val="0"/>
    <w:rPr>
      <w:rFonts w:eastAsia="黑体" w:cs="宋体"/>
      <w:color w:val="000000"/>
      <w:kern w:val="2"/>
      <w:sz w:val="32"/>
      <w:szCs w:val="32"/>
      <w:lang w:val="en-US" w:eastAsia="zh-CN" w:bidi="ar-SA"/>
    </w:rPr>
  </w:style>
  <w:style w:type="paragraph" w:customStyle="1" w:styleId="717">
    <w:name w:val="xl23"/>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rFonts w:hint="eastAsia" w:ascii="黑体" w:hAnsi="Arial Unicode MS" w:eastAsia="黑体" w:cs="Arial Unicode MS"/>
      <w:kern w:val="0"/>
      <w:sz w:val="18"/>
      <w:szCs w:val="18"/>
    </w:rPr>
  </w:style>
  <w:style w:type="paragraph" w:customStyle="1" w:styleId="718">
    <w:name w:val="报告书正文"/>
    <w:basedOn w:val="1"/>
    <w:link w:val="719"/>
    <w:qFormat/>
    <w:uiPriority w:val="0"/>
    <w:pPr>
      <w:adjustRightInd w:val="0"/>
      <w:snapToGrid w:val="0"/>
      <w:spacing w:line="400" w:lineRule="atLeast"/>
      <w:ind w:firstLine="567"/>
    </w:pPr>
    <w:rPr>
      <w:szCs w:val="20"/>
    </w:rPr>
  </w:style>
  <w:style w:type="character" w:customStyle="1" w:styleId="719">
    <w:name w:val="报告书正文 Char"/>
    <w:link w:val="718"/>
    <w:qFormat/>
    <w:uiPriority w:val="0"/>
    <w:rPr>
      <w:kern w:val="2"/>
      <w:sz w:val="24"/>
    </w:rPr>
  </w:style>
  <w:style w:type="paragraph" w:customStyle="1" w:styleId="720">
    <w:name w:val="四级条标题"/>
    <w:basedOn w:val="697"/>
    <w:next w:val="1"/>
    <w:qFormat/>
    <w:uiPriority w:val="0"/>
    <w:pPr>
      <w:numPr>
        <w:ilvl w:val="5"/>
      </w:numPr>
      <w:outlineLvl w:val="5"/>
    </w:pPr>
  </w:style>
  <w:style w:type="character" w:customStyle="1" w:styleId="721">
    <w:name w:val="标题 4 Char1"/>
    <w:qFormat/>
    <w:uiPriority w:val="0"/>
    <w:rPr>
      <w:rFonts w:ascii="Arial" w:hAnsi="Arial" w:eastAsia="黑体"/>
      <w:bCs/>
      <w:kern w:val="2"/>
      <w:sz w:val="24"/>
      <w:szCs w:val="28"/>
      <w:lang w:val="en-US" w:eastAsia="zh-CN" w:bidi="ar-SA"/>
    </w:rPr>
  </w:style>
  <w:style w:type="paragraph" w:customStyle="1" w:styleId="722">
    <w:name w:val="标题5"/>
    <w:basedOn w:val="34"/>
    <w:link w:val="1187"/>
    <w:qFormat/>
    <w:uiPriority w:val="99"/>
    <w:pPr>
      <w:spacing w:line="480" w:lineRule="atLeast"/>
      <w:ind w:firstLine="560" w:firstLineChars="200"/>
    </w:pPr>
    <w:rPr>
      <w:rFonts w:hint="eastAsia" w:ascii="黑体" w:hAnsi="宋体" w:eastAsia="黑体" w:cs="Courier New"/>
      <w:kern w:val="0"/>
      <w:sz w:val="28"/>
      <w:szCs w:val="28"/>
      <w:lang w:val="zh-CN"/>
    </w:rPr>
  </w:style>
  <w:style w:type="character" w:customStyle="1" w:styleId="723">
    <w:name w:val="图编号 Char"/>
    <w:link w:val="691"/>
    <w:qFormat/>
    <w:uiPriority w:val="0"/>
    <w:rPr>
      <w:kern w:val="2"/>
      <w:sz w:val="21"/>
      <w:szCs w:val="21"/>
    </w:rPr>
  </w:style>
  <w:style w:type="paragraph" w:customStyle="1" w:styleId="724">
    <w:name w:val="表格（小）"/>
    <w:basedOn w:val="1"/>
    <w:qFormat/>
    <w:uiPriority w:val="0"/>
    <w:pPr>
      <w:adjustRightInd w:val="0"/>
      <w:snapToGrid w:val="0"/>
    </w:pPr>
    <w:rPr>
      <w:snapToGrid w:val="0"/>
      <w:kern w:val="0"/>
      <w:sz w:val="21"/>
      <w:szCs w:val="20"/>
    </w:rPr>
  </w:style>
  <w:style w:type="paragraph" w:customStyle="1" w:styleId="725">
    <w:name w:val="表格内容 Char Char"/>
    <w:basedOn w:val="1"/>
    <w:qFormat/>
    <w:uiPriority w:val="0"/>
    <w:pPr>
      <w:tabs>
        <w:tab w:val="left" w:pos="1535"/>
        <w:tab w:val="left" w:pos="3105"/>
        <w:tab w:val="left" w:pos="4676"/>
        <w:tab w:val="left" w:pos="6247"/>
        <w:tab w:val="left" w:pos="7740"/>
        <w:tab w:val="left" w:pos="9288"/>
      </w:tabs>
      <w:adjustRightInd w:val="0"/>
      <w:snapToGrid w:val="0"/>
      <w:spacing w:line="240" w:lineRule="exact"/>
      <w:jc w:val="center"/>
      <w:textAlignment w:val="baseline"/>
    </w:pPr>
    <w:rPr>
      <w:color w:val="000000"/>
      <w:sz w:val="21"/>
      <w:szCs w:val="16"/>
    </w:rPr>
  </w:style>
  <w:style w:type="paragraph" w:customStyle="1" w:styleId="726">
    <w:name w:val="表格文字1"/>
    <w:basedOn w:val="1"/>
    <w:qFormat/>
    <w:uiPriority w:val="0"/>
    <w:pPr>
      <w:spacing w:line="300" w:lineRule="auto"/>
      <w:jc w:val="center"/>
    </w:pPr>
    <w:rPr>
      <w:rFonts w:ascii="Arial" w:hAnsi="Arial"/>
      <w:color w:val="FF0000"/>
      <w:kern w:val="0"/>
      <w:sz w:val="21"/>
      <w:szCs w:val="21"/>
    </w:rPr>
  </w:style>
  <w:style w:type="paragraph" w:customStyle="1" w:styleId="727">
    <w:name w:val="表格样式"/>
    <w:qFormat/>
    <w:uiPriority w:val="0"/>
    <w:pPr>
      <w:widowControl w:val="0"/>
      <w:ind w:right="105" w:rightChars="50"/>
      <w:jc w:val="center"/>
    </w:pPr>
    <w:rPr>
      <w:rFonts w:ascii="宋体" w:hAnsi="宋体" w:eastAsia="宋体" w:cs="宋体"/>
      <w:sz w:val="24"/>
      <w:szCs w:val="24"/>
      <w:lang w:val="en-US" w:eastAsia="zh-CN" w:bidi="ar-SA"/>
    </w:rPr>
  </w:style>
  <w:style w:type="paragraph" w:customStyle="1" w:styleId="728">
    <w:name w:val="表号"/>
    <w:next w:val="1"/>
    <w:link w:val="2440"/>
    <w:qFormat/>
    <w:uiPriority w:val="0"/>
    <w:pPr>
      <w:snapToGrid w:val="0"/>
      <w:jc w:val="right"/>
    </w:pPr>
    <w:rPr>
      <w:rFonts w:ascii="宋体" w:hAnsi="Times New Roman" w:eastAsia="宋体" w:cs="Times New Roman"/>
      <w:spacing w:val="10"/>
      <w:sz w:val="21"/>
      <w:szCs w:val="24"/>
      <w:lang w:val="en-US" w:eastAsia="zh-CN" w:bidi="ar-SA"/>
    </w:rPr>
  </w:style>
  <w:style w:type="paragraph" w:customStyle="1" w:styleId="729">
    <w:name w:val="Char Char Char Char Char Char1 Char Char Char1 Char Char Char Char Char Char Char Char Char Char"/>
    <w:basedOn w:val="1"/>
    <w:semiHidden/>
    <w:qFormat/>
    <w:uiPriority w:val="0"/>
    <w:pPr>
      <w:spacing w:line="360" w:lineRule="auto"/>
      <w:ind w:firstLine="200" w:firstLineChars="200"/>
    </w:pPr>
    <w:rPr>
      <w:rFonts w:ascii="宋体" w:hAnsi="宋体" w:cs="宋体"/>
    </w:rPr>
  </w:style>
  <w:style w:type="paragraph" w:customStyle="1" w:styleId="730">
    <w:name w:val="表名"/>
    <w:basedOn w:val="45"/>
    <w:link w:val="731"/>
    <w:qFormat/>
    <w:uiPriority w:val="0"/>
    <w:pPr>
      <w:overflowPunct w:val="0"/>
      <w:autoSpaceDE w:val="0"/>
      <w:autoSpaceDN w:val="0"/>
      <w:spacing w:line="300" w:lineRule="exact"/>
      <w:ind w:left="-41" w:leftChars="-41" w:hanging="90" w:hangingChars="41"/>
      <w:jc w:val="center"/>
      <w:textAlignment w:val="bottom"/>
    </w:pPr>
    <w:rPr>
      <w:rFonts w:ascii="Times New Roman" w:hAnsi="Times New Roman" w:eastAsia="仿宋_GB2312" w:cs="Courier New"/>
      <w:b/>
      <w:bCs/>
      <w:sz w:val="28"/>
      <w:szCs w:val="21"/>
    </w:rPr>
  </w:style>
  <w:style w:type="character" w:customStyle="1" w:styleId="731">
    <w:name w:val="表名 Char"/>
    <w:link w:val="730"/>
    <w:qFormat/>
    <w:uiPriority w:val="0"/>
    <w:rPr>
      <w:rFonts w:eastAsia="仿宋_GB2312" w:cs="Courier New"/>
      <w:b/>
      <w:bCs/>
      <w:sz w:val="28"/>
      <w:szCs w:val="21"/>
    </w:rPr>
  </w:style>
  <w:style w:type="character" w:customStyle="1" w:styleId="732">
    <w:name w:val="超级链接"/>
    <w:qFormat/>
    <w:uiPriority w:val="0"/>
    <w:rPr>
      <w:color w:val="0000FF"/>
      <w:u w:val="single"/>
    </w:rPr>
  </w:style>
  <w:style w:type="character" w:customStyle="1" w:styleId="733">
    <w:name w:val="称呼 字符2"/>
    <w:link w:val="30"/>
    <w:qFormat/>
    <w:uiPriority w:val="0"/>
    <w:rPr>
      <w:rFonts w:eastAsia="黑体" w:cs="宋体"/>
      <w:color w:val="000000"/>
      <w:kern w:val="2"/>
      <w:sz w:val="24"/>
      <w:szCs w:val="24"/>
      <w:lang w:val="en-US" w:eastAsia="zh-CN" w:bidi="ar-SA"/>
    </w:rPr>
  </w:style>
  <w:style w:type="character" w:customStyle="1" w:styleId="734">
    <w:name w:val="电子邮件签名 字符"/>
    <w:link w:val="20"/>
    <w:qFormat/>
    <w:uiPriority w:val="0"/>
    <w:rPr>
      <w:rFonts w:eastAsia="黑体" w:cs="宋体"/>
      <w:color w:val="000000"/>
      <w:kern w:val="2"/>
      <w:sz w:val="24"/>
      <w:szCs w:val="24"/>
      <w:lang w:val="en-US" w:eastAsia="zh-CN" w:bidi="ar-SA"/>
    </w:rPr>
  </w:style>
  <w:style w:type="character" w:customStyle="1" w:styleId="735">
    <w:name w:val="副标题 字符"/>
    <w:link w:val="64"/>
    <w:qFormat/>
    <w:uiPriority w:val="11"/>
    <w:rPr>
      <w:rFonts w:ascii="Arial" w:hAnsi="Arial" w:eastAsia="黑体" w:cs="Arial"/>
      <w:b/>
      <w:bCs/>
      <w:color w:val="000000"/>
      <w:kern w:val="28"/>
      <w:sz w:val="32"/>
      <w:szCs w:val="32"/>
      <w:lang w:val="en-US" w:eastAsia="zh-CN" w:bidi="ar-SA"/>
    </w:rPr>
  </w:style>
  <w:style w:type="paragraph" w:customStyle="1" w:styleId="736">
    <w:name w:val="公式"/>
    <w:next w:val="1"/>
    <w:link w:val="1809"/>
    <w:qFormat/>
    <w:uiPriority w:val="0"/>
    <w:pPr>
      <w:jc w:val="center"/>
    </w:pPr>
    <w:rPr>
      <w:rFonts w:ascii="Times New Roman" w:hAnsi="Times New Roman" w:eastAsia="宋体" w:cs="Times New Roman"/>
      <w:kern w:val="2"/>
      <w:position w:val="-24"/>
      <w:sz w:val="21"/>
      <w:szCs w:val="24"/>
      <w:lang w:val="en-US" w:eastAsia="zh-CN" w:bidi="ar-SA"/>
    </w:rPr>
  </w:style>
  <w:style w:type="paragraph" w:customStyle="1" w:styleId="737">
    <w:name w:val="黑宋体"/>
    <w:basedOn w:val="6"/>
    <w:qFormat/>
    <w:uiPriority w:val="0"/>
    <w:pPr>
      <w:numPr>
        <w:ilvl w:val="0"/>
        <w:numId w:val="0"/>
      </w:numPr>
      <w:tabs>
        <w:tab w:val="left" w:pos="1680"/>
      </w:tabs>
      <w:spacing w:line="360" w:lineRule="auto"/>
      <w:ind w:left="1680" w:hanging="420"/>
      <w:textAlignment w:val="baseline"/>
      <w:outlineLvl w:val="9"/>
    </w:pPr>
    <w:rPr>
      <w:rFonts w:ascii="宋体" w:hAnsi="宋体"/>
      <w:b w:val="0"/>
      <w:snapToGrid w:val="0"/>
      <w:color w:val="000000"/>
      <w:kern w:val="0"/>
      <w:sz w:val="24"/>
      <w:lang w:val="zh-CN"/>
    </w:rPr>
  </w:style>
  <w:style w:type="character" w:customStyle="1" w:styleId="738">
    <w:name w:val="结束语 字符"/>
    <w:link w:val="32"/>
    <w:qFormat/>
    <w:uiPriority w:val="0"/>
    <w:rPr>
      <w:rFonts w:eastAsia="黑体" w:cs="宋体"/>
      <w:color w:val="000000"/>
      <w:kern w:val="2"/>
      <w:sz w:val="24"/>
      <w:szCs w:val="24"/>
      <w:lang w:val="en-US" w:eastAsia="zh-CN" w:bidi="ar-SA"/>
    </w:rPr>
  </w:style>
  <w:style w:type="paragraph" w:customStyle="1" w:styleId="739">
    <w:name w:val="默认段落字体 Para Char"/>
    <w:basedOn w:val="1"/>
    <w:qFormat/>
    <w:uiPriority w:val="0"/>
    <w:rPr>
      <w:rFonts w:ascii="宋体" w:hAnsi="宋体"/>
      <w:color w:val="000000"/>
      <w:sz w:val="21"/>
      <w:szCs w:val="21"/>
    </w:rPr>
  </w:style>
  <w:style w:type="paragraph" w:customStyle="1" w:styleId="740">
    <w:name w:val="普通 (Web)"/>
    <w:basedOn w:val="1"/>
    <w:qFormat/>
    <w:uiPriority w:val="0"/>
    <w:pPr>
      <w:widowControl/>
      <w:spacing w:before="100" w:beforeAutospacing="1" w:after="100" w:afterAutospacing="1"/>
      <w:jc w:val="left"/>
    </w:pPr>
    <w:rPr>
      <w:rFonts w:ascii="宋体" w:hAnsi="宋体" w:cs="宋体"/>
      <w:kern w:val="0"/>
    </w:rPr>
  </w:style>
  <w:style w:type="paragraph" w:customStyle="1" w:styleId="741">
    <w:name w:val="普通文字"/>
    <w:basedOn w:val="1"/>
    <w:qFormat/>
    <w:uiPriority w:val="0"/>
    <w:pPr>
      <w:adjustRightInd w:val="0"/>
      <w:spacing w:line="312" w:lineRule="atLeast"/>
      <w:textAlignment w:val="baseline"/>
    </w:pPr>
    <w:rPr>
      <w:rFonts w:ascii="宋体" w:hAnsi="Courier New" w:cs="宋体"/>
      <w:kern w:val="0"/>
      <w:sz w:val="21"/>
      <w:szCs w:val="21"/>
    </w:rPr>
  </w:style>
  <w:style w:type="character" w:customStyle="1" w:styleId="742">
    <w:name w:val="签名 字符"/>
    <w:link w:val="58"/>
    <w:qFormat/>
    <w:uiPriority w:val="0"/>
    <w:rPr>
      <w:rFonts w:eastAsia="黑体" w:cs="宋体"/>
      <w:color w:val="000000"/>
      <w:kern w:val="2"/>
      <w:sz w:val="24"/>
      <w:szCs w:val="24"/>
      <w:lang w:val="en-US" w:eastAsia="zh-CN" w:bidi="ar-SA"/>
    </w:rPr>
  </w:style>
  <w:style w:type="paragraph" w:customStyle="1" w:styleId="743">
    <w:name w:val="图头"/>
    <w:next w:val="191"/>
    <w:link w:val="1003"/>
    <w:qFormat/>
    <w:uiPriority w:val="0"/>
    <w:pPr>
      <w:tabs>
        <w:tab w:val="left" w:pos="1470"/>
      </w:tabs>
      <w:adjustRightInd w:val="0"/>
      <w:spacing w:before="50" w:beforeLines="50" w:after="50" w:afterLines="50"/>
      <w:jc w:val="center"/>
    </w:pPr>
    <w:rPr>
      <w:rFonts w:ascii="Times New Roman" w:hAnsi="Times New Roman" w:eastAsia="宋体" w:cs="Times New Roman"/>
      <w:spacing w:val="10"/>
      <w:sz w:val="24"/>
      <w:szCs w:val="24"/>
      <w:lang w:val="en-US" w:eastAsia="zh-CN" w:bidi="ar-SA"/>
    </w:rPr>
  </w:style>
  <w:style w:type="paragraph" w:customStyle="1" w:styleId="744">
    <w:name w:val="新标题3"/>
    <w:basedOn w:val="1"/>
    <w:link w:val="745"/>
    <w:semiHidden/>
    <w:qFormat/>
    <w:uiPriority w:val="0"/>
    <w:pPr>
      <w:ind w:firstLine="200" w:firstLineChars="200"/>
    </w:pPr>
    <w:rPr>
      <w:rFonts w:ascii="宋体" w:hAnsi="宋体" w:cs="宋体"/>
    </w:rPr>
  </w:style>
  <w:style w:type="character" w:customStyle="1" w:styleId="745">
    <w:name w:val="新标题3 Char"/>
    <w:link w:val="744"/>
    <w:qFormat/>
    <w:uiPriority w:val="0"/>
    <w:rPr>
      <w:rFonts w:ascii="宋体" w:hAnsi="宋体" w:cs="宋体"/>
      <w:kern w:val="2"/>
      <w:sz w:val="24"/>
      <w:szCs w:val="24"/>
    </w:rPr>
  </w:style>
  <w:style w:type="character" w:customStyle="1" w:styleId="746">
    <w:name w:val="信息标题 字符"/>
    <w:link w:val="79"/>
    <w:qFormat/>
    <w:uiPriority w:val="0"/>
    <w:rPr>
      <w:rFonts w:ascii="Arial" w:hAnsi="Arial" w:eastAsia="黑体" w:cs="Arial"/>
      <w:color w:val="000000"/>
      <w:kern w:val="2"/>
      <w:sz w:val="24"/>
      <w:szCs w:val="24"/>
      <w:shd w:val="pct20" w:color="auto" w:fill="auto"/>
      <w:lang w:val="en-US" w:eastAsia="zh-CN" w:bidi="ar-SA"/>
    </w:rPr>
  </w:style>
  <w:style w:type="paragraph" w:customStyle="1" w:styleId="747">
    <w:name w:val="样式 标题 4标题 14 + 加粗 无下划线 自动设置 段前: 3 磅 段后: 10 磅3"/>
    <w:basedOn w:val="6"/>
    <w:next w:val="1"/>
    <w:qFormat/>
    <w:uiPriority w:val="0"/>
    <w:pPr>
      <w:keepLines w:val="0"/>
      <w:numPr>
        <w:ilvl w:val="0"/>
        <w:numId w:val="0"/>
      </w:numPr>
      <w:tabs>
        <w:tab w:val="left" w:pos="1680"/>
      </w:tabs>
      <w:adjustRightInd w:val="0"/>
      <w:snapToGrid w:val="0"/>
      <w:spacing w:before="60" w:after="200" w:line="360" w:lineRule="auto"/>
      <w:ind w:left="1680" w:hanging="420"/>
    </w:pPr>
    <w:rPr>
      <w:b w:val="0"/>
      <w:sz w:val="24"/>
      <w:szCs w:val="20"/>
      <w:lang w:val="zh-CN"/>
    </w:rPr>
  </w:style>
  <w:style w:type="paragraph" w:customStyle="1" w:styleId="748">
    <w:name w:val="样式2 Char Char"/>
    <w:basedOn w:val="1"/>
    <w:qFormat/>
    <w:uiPriority w:val="0"/>
  </w:style>
  <w:style w:type="paragraph" w:customStyle="1" w:styleId="749">
    <w:name w:val="样式2 Char Char Char"/>
    <w:basedOn w:val="1"/>
    <w:link w:val="750"/>
    <w:qFormat/>
    <w:uiPriority w:val="0"/>
  </w:style>
  <w:style w:type="character" w:customStyle="1" w:styleId="750">
    <w:name w:val="样式2 Char Char Char Char"/>
    <w:link w:val="749"/>
    <w:qFormat/>
    <w:uiPriority w:val="0"/>
    <w:rPr>
      <w:kern w:val="2"/>
      <w:sz w:val="24"/>
      <w:szCs w:val="24"/>
    </w:rPr>
  </w:style>
  <w:style w:type="paragraph" w:customStyle="1" w:styleId="751">
    <w:name w:val="正文（首行缩近两字）"/>
    <w:basedOn w:val="1"/>
    <w:next w:val="1"/>
    <w:link w:val="752"/>
    <w:qFormat/>
    <w:uiPriority w:val="0"/>
    <w:pPr>
      <w:spacing w:line="480" w:lineRule="exact"/>
      <w:ind w:firstLine="475" w:firstLineChars="198"/>
    </w:pPr>
    <w:rPr>
      <w:color w:val="0000FF"/>
    </w:rPr>
  </w:style>
  <w:style w:type="character" w:customStyle="1" w:styleId="752">
    <w:name w:val="正文（首行缩近两字） Char"/>
    <w:link w:val="751"/>
    <w:qFormat/>
    <w:uiPriority w:val="0"/>
    <w:rPr>
      <w:color w:val="0000FF"/>
      <w:kern w:val="2"/>
      <w:sz w:val="24"/>
      <w:szCs w:val="24"/>
    </w:rPr>
  </w:style>
  <w:style w:type="paragraph" w:customStyle="1" w:styleId="753">
    <w:name w:val="正文报告"/>
    <w:basedOn w:val="1"/>
    <w:link w:val="754"/>
    <w:qFormat/>
    <w:uiPriority w:val="0"/>
    <w:pPr>
      <w:topLinePunct/>
      <w:snapToGrid w:val="0"/>
      <w:spacing w:line="480" w:lineRule="exact"/>
      <w:ind w:firstLine="567"/>
    </w:pPr>
    <w:rPr>
      <w:sz w:val="28"/>
      <w:szCs w:val="28"/>
    </w:rPr>
  </w:style>
  <w:style w:type="character" w:customStyle="1" w:styleId="754">
    <w:name w:val="正文报告 Char"/>
    <w:link w:val="753"/>
    <w:qFormat/>
    <w:uiPriority w:val="0"/>
    <w:rPr>
      <w:kern w:val="2"/>
      <w:sz w:val="28"/>
      <w:szCs w:val="28"/>
    </w:rPr>
  </w:style>
  <w:style w:type="paragraph" w:customStyle="1" w:styleId="755">
    <w:name w:val="正文缩进 Char Char Char"/>
    <w:basedOn w:val="1"/>
    <w:next w:val="45"/>
    <w:qFormat/>
    <w:uiPriority w:val="0"/>
    <w:rPr>
      <w:rFonts w:ascii="宋体" w:hAnsi="Courier New" w:cs="Courier New"/>
      <w:sz w:val="21"/>
      <w:szCs w:val="21"/>
    </w:rPr>
  </w:style>
  <w:style w:type="paragraph" w:customStyle="1" w:styleId="756">
    <w:name w:val="正文文字 2"/>
    <w:basedOn w:val="1"/>
    <w:qFormat/>
    <w:uiPriority w:val="0"/>
    <w:rPr>
      <w:sz w:val="21"/>
      <w:szCs w:val="21"/>
    </w:rPr>
  </w:style>
  <w:style w:type="paragraph" w:customStyle="1" w:styleId="757">
    <w:name w:val="正文文字 3"/>
    <w:basedOn w:val="1"/>
    <w:qFormat/>
    <w:uiPriority w:val="0"/>
    <w:pPr>
      <w:spacing w:after="120"/>
    </w:pPr>
    <w:rPr>
      <w:sz w:val="16"/>
      <w:szCs w:val="16"/>
    </w:rPr>
  </w:style>
  <w:style w:type="paragraph" w:customStyle="1" w:styleId="758">
    <w:name w:val="正文文字缩进 2"/>
    <w:basedOn w:val="1"/>
    <w:qFormat/>
    <w:uiPriority w:val="0"/>
    <w:pPr>
      <w:spacing w:line="360" w:lineRule="auto"/>
      <w:ind w:firstLine="480"/>
    </w:pPr>
    <w:rPr>
      <w:rFonts w:ascii="宋体" w:hAnsi="宋体" w:cs="宋体"/>
    </w:rPr>
  </w:style>
  <w:style w:type="paragraph" w:customStyle="1" w:styleId="759">
    <w:name w:val="正文文字缩进 3"/>
    <w:basedOn w:val="1"/>
    <w:qFormat/>
    <w:uiPriority w:val="0"/>
    <w:pPr>
      <w:ind w:firstLine="555"/>
    </w:pPr>
    <w:rPr>
      <w:rFonts w:ascii="宋体" w:cs="宋体"/>
    </w:rPr>
  </w:style>
  <w:style w:type="character" w:customStyle="1" w:styleId="760">
    <w:name w:val="正文文字缩进 Char"/>
    <w:link w:val="251"/>
    <w:qFormat/>
    <w:uiPriority w:val="0"/>
    <w:rPr>
      <w:rFonts w:ascii="宋体"/>
      <w:sz w:val="24"/>
      <w:szCs w:val="24"/>
    </w:rPr>
  </w:style>
  <w:style w:type="paragraph" w:customStyle="1" w:styleId="761">
    <w:name w:val="自制表格"/>
    <w:basedOn w:val="1"/>
    <w:next w:val="1"/>
    <w:qFormat/>
    <w:uiPriority w:val="0"/>
    <w:pPr>
      <w:spacing w:after="120"/>
    </w:pPr>
    <w:rPr>
      <w:rFonts w:ascii="宋体"/>
      <w:kern w:val="10"/>
      <w:sz w:val="28"/>
      <w:szCs w:val="20"/>
    </w:rPr>
  </w:style>
  <w:style w:type="character" w:customStyle="1" w:styleId="762">
    <w:name w:val="z1 Char"/>
    <w:link w:val="763"/>
    <w:qFormat/>
    <w:uiPriority w:val="0"/>
    <w:rPr>
      <w:rFonts w:ascii="宋体" w:hAnsi="宋体" w:eastAsia="黑体"/>
      <w:b/>
      <w:kern w:val="2"/>
      <w:sz w:val="28"/>
    </w:rPr>
  </w:style>
  <w:style w:type="paragraph" w:customStyle="1" w:styleId="763">
    <w:name w:val="z1"/>
    <w:basedOn w:val="1"/>
    <w:link w:val="762"/>
    <w:qFormat/>
    <w:uiPriority w:val="0"/>
    <w:pPr>
      <w:adjustRightInd w:val="0"/>
      <w:snapToGrid w:val="0"/>
      <w:spacing w:line="360" w:lineRule="auto"/>
      <w:ind w:firstLine="560" w:firstLineChars="200"/>
    </w:pPr>
    <w:rPr>
      <w:rFonts w:ascii="宋体" w:hAnsi="宋体" w:eastAsia="黑体"/>
      <w:b/>
      <w:sz w:val="28"/>
      <w:szCs w:val="20"/>
    </w:rPr>
  </w:style>
  <w:style w:type="character" w:customStyle="1" w:styleId="764">
    <w:name w:val="列出段落 Char Char"/>
    <w:qFormat/>
    <w:uiPriority w:val="0"/>
    <w:rPr>
      <w:rFonts w:eastAsia="宋体" w:cs="宋体"/>
      <w:b/>
      <w:bCs/>
      <w:color w:val="000000"/>
      <w:kern w:val="2"/>
      <w:sz w:val="21"/>
      <w:szCs w:val="24"/>
      <w:lang w:val="en-US" w:eastAsia="zh-CN" w:bidi="ar-SA"/>
    </w:rPr>
  </w:style>
  <w:style w:type="paragraph" w:customStyle="1" w:styleId="765">
    <w:name w:val="3级标题"/>
    <w:basedOn w:val="1"/>
    <w:link w:val="985"/>
    <w:qFormat/>
    <w:uiPriority w:val="0"/>
    <w:pPr>
      <w:outlineLvl w:val="2"/>
    </w:pPr>
    <w:rPr>
      <w:b/>
      <w:sz w:val="28"/>
      <w:lang w:val="zh-CN"/>
    </w:rPr>
  </w:style>
  <w:style w:type="paragraph" w:customStyle="1" w:styleId="766">
    <w:name w:val="标题 3 + 段前: 0.2 行 段后: 0.2 行"/>
    <w:basedOn w:val="5"/>
    <w:link w:val="767"/>
    <w:semiHidden/>
    <w:qFormat/>
    <w:uiPriority w:val="0"/>
    <w:pPr>
      <w:numPr>
        <w:numId w:val="0"/>
      </w:numPr>
      <w:adjustRightInd w:val="0"/>
      <w:snapToGrid w:val="0"/>
      <w:spacing w:before="20" w:beforeLines="20" w:after="20" w:afterLines="20"/>
      <w:ind w:left="-108"/>
      <w:jc w:val="left"/>
    </w:pPr>
    <w:rPr>
      <w:rFonts w:eastAsia="宋体" w:cs="宋体"/>
      <w:sz w:val="24"/>
      <w:szCs w:val="20"/>
    </w:rPr>
  </w:style>
  <w:style w:type="character" w:customStyle="1" w:styleId="767">
    <w:name w:val="标题 3 + 段前: 0.2 行 段后: 0.2 行 Char"/>
    <w:link w:val="766"/>
    <w:qFormat/>
    <w:uiPriority w:val="0"/>
    <w:rPr>
      <w:rFonts w:cs="宋体"/>
      <w:b/>
      <w:bCs/>
      <w:kern w:val="2"/>
      <w:sz w:val="24"/>
    </w:rPr>
  </w:style>
  <w:style w:type="paragraph" w:customStyle="1" w:styleId="768">
    <w:name w:val="0"/>
    <w:basedOn w:val="1"/>
    <w:qFormat/>
    <w:uiPriority w:val="0"/>
    <w:pPr>
      <w:widowControl/>
      <w:snapToGrid w:val="0"/>
    </w:pPr>
    <w:rPr>
      <w:kern w:val="0"/>
      <w:sz w:val="20"/>
      <w:szCs w:val="20"/>
    </w:rPr>
  </w:style>
  <w:style w:type="paragraph" w:customStyle="1" w:styleId="769">
    <w:name w:val="样式 样式 标题 4款标题1.1.1.1 + 段前: 0.2 行 段后: 0.2 行 + 段前: 0.2 行 段后: 0.2 行"/>
    <w:basedOn w:val="1"/>
    <w:semiHidden/>
    <w:qFormat/>
    <w:uiPriority w:val="0"/>
    <w:pPr>
      <w:numPr>
        <w:ilvl w:val="3"/>
        <w:numId w:val="15"/>
      </w:numPr>
      <w:spacing w:before="20" w:beforeLines="20" w:after="20" w:afterLines="20"/>
      <w:outlineLvl w:val="3"/>
    </w:pPr>
    <w:rPr>
      <w:rFonts w:cs="宋体"/>
      <w:b/>
      <w:bCs/>
      <w:szCs w:val="20"/>
    </w:rPr>
  </w:style>
  <w:style w:type="paragraph" w:customStyle="1" w:styleId="770">
    <w:name w:val="样式 样式 样式 标题 3 + 段前: 0.3 行 段后: 0.3 行 + 段前: 0.3 行 段后: 0.3 行 + 段前: ..."/>
    <w:basedOn w:val="1"/>
    <w:semiHidden/>
    <w:qFormat/>
    <w:uiPriority w:val="0"/>
    <w:pPr>
      <w:keepNext/>
      <w:keepLines/>
      <w:numPr>
        <w:ilvl w:val="2"/>
        <w:numId w:val="15"/>
      </w:numPr>
      <w:spacing w:before="30" w:beforeLines="30" w:after="30" w:afterLines="30" w:line="500" w:lineRule="exact"/>
      <w:jc w:val="left"/>
      <w:outlineLvl w:val="2"/>
    </w:pPr>
    <w:rPr>
      <w:rFonts w:cs="宋体"/>
      <w:b/>
      <w:bCs/>
      <w:szCs w:val="20"/>
    </w:rPr>
  </w:style>
  <w:style w:type="character" w:customStyle="1" w:styleId="771">
    <w:name w:val="apple-style-span"/>
    <w:qFormat/>
    <w:uiPriority w:val="0"/>
    <w:rPr>
      <w:rFonts w:eastAsia="宋体"/>
      <w:kern w:val="2"/>
      <w:sz w:val="28"/>
      <w:lang w:val="en-US" w:eastAsia="zh-CN" w:bidi="ar-SA"/>
    </w:rPr>
  </w:style>
  <w:style w:type="paragraph" w:customStyle="1" w:styleId="772">
    <w:name w:val="五级条标题"/>
    <w:basedOn w:val="720"/>
    <w:next w:val="1"/>
    <w:qFormat/>
    <w:uiPriority w:val="0"/>
    <w:pPr>
      <w:numPr>
        <w:ilvl w:val="6"/>
      </w:numPr>
      <w:outlineLvl w:val="6"/>
    </w:pPr>
  </w:style>
  <w:style w:type="paragraph" w:customStyle="1" w:styleId="773">
    <w:name w:val="表格文字2"/>
    <w:basedOn w:val="1"/>
    <w:link w:val="1619"/>
    <w:qFormat/>
    <w:uiPriority w:val="0"/>
    <w:pPr>
      <w:tabs>
        <w:tab w:val="left" w:pos="277"/>
        <w:tab w:val="left" w:pos="600"/>
        <w:tab w:val="left" w:pos="780"/>
        <w:tab w:val="left" w:pos="2517"/>
      </w:tabs>
      <w:adjustRightInd w:val="0"/>
      <w:spacing w:before="60"/>
      <w:jc w:val="center"/>
      <w:textAlignment w:val="baseline"/>
    </w:pPr>
    <w:rPr>
      <w:kern w:val="0"/>
      <w:sz w:val="21"/>
      <w:szCs w:val="20"/>
    </w:rPr>
  </w:style>
  <w:style w:type="paragraph" w:customStyle="1" w:styleId="774">
    <w:name w:val="图片"/>
    <w:basedOn w:val="1"/>
    <w:qFormat/>
    <w:uiPriority w:val="0"/>
    <w:pPr>
      <w:spacing w:line="440" w:lineRule="exact"/>
    </w:pPr>
  </w:style>
  <w:style w:type="paragraph" w:customStyle="1" w:styleId="775">
    <w:name w:val="a封面－项目名称"/>
    <w:basedOn w:val="1"/>
    <w:next w:val="1"/>
    <w:qFormat/>
    <w:uiPriority w:val="0"/>
    <w:pPr>
      <w:spacing w:before="120" w:beforeLines="50" w:after="120" w:afterLines="50" w:line="360" w:lineRule="auto"/>
      <w:jc w:val="center"/>
    </w:pPr>
    <w:rPr>
      <w:rFonts w:eastAsia="黑体"/>
      <w:b/>
      <w:sz w:val="48"/>
    </w:rPr>
  </w:style>
  <w:style w:type="character" w:customStyle="1" w:styleId="776">
    <w:name w:val="标题2"/>
    <w:semiHidden/>
    <w:qFormat/>
    <w:uiPriority w:val="0"/>
    <w:rPr>
      <w:rFonts w:eastAsia="黑体" w:cs="宋体"/>
      <w:kern w:val="2"/>
      <w:sz w:val="32"/>
      <w:szCs w:val="32"/>
      <w:lang w:val="en-US" w:eastAsia="zh-CN" w:bidi="ar-SA"/>
    </w:rPr>
  </w:style>
  <w:style w:type="paragraph" w:customStyle="1" w:styleId="777">
    <w:name w:val="样式 样式 样式 样式 样式 样式 样式 123 + 自动设置 首行缩进:  2 字符 + 首行缩进:  2 字符 + 黑色 首..."/>
    <w:basedOn w:val="1"/>
    <w:qFormat/>
    <w:uiPriority w:val="0"/>
    <w:pPr>
      <w:widowControl/>
      <w:tabs>
        <w:tab w:val="left" w:pos="352"/>
      </w:tabs>
      <w:overflowPunct w:val="0"/>
      <w:autoSpaceDE w:val="0"/>
      <w:autoSpaceDN w:val="0"/>
      <w:adjustRightInd w:val="0"/>
      <w:snapToGrid w:val="0"/>
      <w:spacing w:line="460" w:lineRule="exact"/>
      <w:ind w:firstLine="560" w:firstLineChars="200"/>
      <w:textAlignment w:val="bottom"/>
    </w:pPr>
    <w:rPr>
      <w:rFonts w:cs="宋体"/>
      <w:kern w:val="0"/>
      <w:sz w:val="28"/>
      <w:szCs w:val="28"/>
    </w:rPr>
  </w:style>
  <w:style w:type="character" w:customStyle="1" w:styleId="778">
    <w:name w:val="content1"/>
    <w:qFormat/>
    <w:uiPriority w:val="0"/>
    <w:rPr>
      <w:rFonts w:eastAsia="黑体" w:cs="宋体"/>
      <w:kern w:val="2"/>
      <w:sz w:val="21"/>
      <w:szCs w:val="21"/>
      <w:lang w:val="en-US" w:eastAsia="zh-CN" w:bidi="ar-SA"/>
    </w:rPr>
  </w:style>
  <w:style w:type="paragraph" w:customStyle="1" w:styleId="779">
    <w:name w:val="正文标准样式"/>
    <w:basedOn w:val="1"/>
    <w:link w:val="956"/>
    <w:qFormat/>
    <w:uiPriority w:val="0"/>
    <w:pPr>
      <w:adjustRightInd w:val="0"/>
      <w:spacing w:before="100" w:line="360" w:lineRule="auto"/>
      <w:ind w:firstLine="482"/>
      <w:textAlignment w:val="baseline"/>
    </w:pPr>
    <w:rPr>
      <w:rFonts w:ascii="宋体" w:cs="宋体"/>
      <w:color w:val="000000"/>
    </w:rPr>
  </w:style>
  <w:style w:type="paragraph" w:customStyle="1" w:styleId="780">
    <w:name w:val="zhang正文"/>
    <w:basedOn w:val="35"/>
    <w:link w:val="2576"/>
    <w:qFormat/>
    <w:uiPriority w:val="0"/>
    <w:pPr>
      <w:autoSpaceDE w:val="0"/>
      <w:autoSpaceDN w:val="0"/>
      <w:adjustRightInd w:val="0"/>
      <w:snapToGrid w:val="0"/>
      <w:ind w:firstLine="539"/>
      <w:textAlignment w:val="baseline"/>
    </w:pPr>
    <w:rPr>
      <w:rFonts w:ascii="Times New Roman" w:hAnsi="Times New Roman" w:eastAsia="楷体_GB2312"/>
      <w:kern w:val="0"/>
      <w:sz w:val="28"/>
      <w:szCs w:val="20"/>
    </w:rPr>
  </w:style>
  <w:style w:type="paragraph" w:customStyle="1" w:styleId="781">
    <w:name w:val="8"/>
    <w:basedOn w:val="1"/>
    <w:qFormat/>
    <w:uiPriority w:val="0"/>
    <w:pPr>
      <w:spacing w:line="360" w:lineRule="auto"/>
      <w:ind w:firstLine="480" w:firstLineChars="200"/>
    </w:pPr>
    <w:rPr>
      <w:kern w:val="10"/>
    </w:rPr>
  </w:style>
  <w:style w:type="paragraph" w:customStyle="1" w:styleId="782">
    <w:name w:val="1标题1级"/>
    <w:basedOn w:val="1"/>
    <w:qFormat/>
    <w:uiPriority w:val="0"/>
    <w:pPr>
      <w:keepNext/>
      <w:snapToGrid w:val="0"/>
      <w:spacing w:line="360" w:lineRule="auto"/>
      <w:outlineLvl w:val="0"/>
    </w:pPr>
    <w:rPr>
      <w:rFonts w:ascii="黑体" w:eastAsia="黑体"/>
      <w:bCs/>
      <w:sz w:val="44"/>
    </w:rPr>
  </w:style>
  <w:style w:type="character" w:customStyle="1" w:styleId="783">
    <w:name w:val="样式 标题 1 + 黑体 小三 非加粗 Char"/>
    <w:link w:val="393"/>
    <w:qFormat/>
    <w:uiPriority w:val="0"/>
    <w:rPr>
      <w:rFonts w:ascii="黑体" w:hAnsi="黑体" w:eastAsia="黑体"/>
      <w:kern w:val="44"/>
      <w:sz w:val="30"/>
      <w:szCs w:val="44"/>
    </w:rPr>
  </w:style>
  <w:style w:type="paragraph" w:customStyle="1" w:styleId="784">
    <w:name w:val="样式 正文缩进 + 首行缩进:  2 字符"/>
    <w:basedOn w:val="7"/>
    <w:link w:val="1560"/>
    <w:qFormat/>
    <w:uiPriority w:val="0"/>
    <w:pPr>
      <w:tabs>
        <w:tab w:val="left" w:pos="0"/>
      </w:tabs>
      <w:overflowPunct w:val="0"/>
      <w:autoSpaceDE w:val="0"/>
      <w:autoSpaceDN w:val="0"/>
      <w:spacing w:line="360" w:lineRule="auto"/>
      <w:ind w:firstLine="200"/>
      <w:textAlignment w:val="bottom"/>
    </w:pPr>
    <w:rPr>
      <w:rFonts w:ascii="宋体" w:hAnsi="宋体" w:cs="宋体"/>
      <w:kern w:val="0"/>
    </w:rPr>
  </w:style>
  <w:style w:type="paragraph" w:customStyle="1" w:styleId="785">
    <w:name w:val="样式 宋体 10 磅 左"/>
    <w:basedOn w:val="1"/>
    <w:semiHidden/>
    <w:qFormat/>
    <w:uiPriority w:val="0"/>
    <w:pPr>
      <w:spacing w:line="360" w:lineRule="auto"/>
      <w:jc w:val="left"/>
    </w:pPr>
    <w:rPr>
      <w:rFonts w:ascii="宋体" w:hAnsi="宋体" w:cs="宋体"/>
      <w:kern w:val="0"/>
      <w:szCs w:val="20"/>
    </w:rPr>
  </w:style>
  <w:style w:type="paragraph" w:customStyle="1" w:styleId="786">
    <w:name w:val="正文(首行缩进2字)"/>
    <w:basedOn w:val="1"/>
    <w:next w:val="1"/>
    <w:link w:val="2485"/>
    <w:qFormat/>
    <w:uiPriority w:val="0"/>
    <w:pPr>
      <w:adjustRightInd w:val="0"/>
      <w:snapToGrid w:val="0"/>
      <w:spacing w:line="420" w:lineRule="auto"/>
      <w:ind w:firstLine="480" w:firstLineChars="200"/>
      <w:textAlignment w:val="baseline"/>
    </w:pPr>
    <w:rPr>
      <w:rFonts w:ascii="宋体" w:hAnsi="宋体"/>
      <w:bCs/>
      <w:kern w:val="0"/>
      <w:szCs w:val="20"/>
    </w:rPr>
  </w:style>
  <w:style w:type="paragraph" w:customStyle="1" w:styleId="787">
    <w:name w:val="正文 + 首行缩进:  2 字符"/>
    <w:basedOn w:val="1"/>
    <w:qFormat/>
    <w:uiPriority w:val="0"/>
    <w:pPr>
      <w:spacing w:line="360" w:lineRule="auto"/>
      <w:ind w:firstLine="480" w:firstLineChars="200"/>
    </w:pPr>
    <w:rPr>
      <w:rFonts w:cs="宋体"/>
      <w:szCs w:val="20"/>
    </w:rPr>
  </w:style>
  <w:style w:type="paragraph" w:customStyle="1" w:styleId="788">
    <w:name w:val="样式 标题 2标题 121标题 21节 + 行距: 最小值 12 磅"/>
    <w:basedOn w:val="4"/>
    <w:semiHidden/>
    <w:qFormat/>
    <w:uiPriority w:val="0"/>
    <w:pPr>
      <w:numPr>
        <w:ilvl w:val="0"/>
        <w:numId w:val="0"/>
      </w:numPr>
      <w:tabs>
        <w:tab w:val="center" w:pos="756"/>
        <w:tab w:val="left" w:pos="840"/>
      </w:tabs>
      <w:spacing w:before="120" w:beforeLines="50" w:after="156" w:afterLines="50" w:line="240" w:lineRule="auto"/>
      <w:ind w:left="840" w:hanging="420"/>
    </w:pPr>
    <w:rPr>
      <w:rFonts w:ascii="黑体" w:hAnsi="宋体" w:cs="宋体"/>
      <w:b w:val="0"/>
      <w:bCs w:val="0"/>
      <w:sz w:val="30"/>
      <w:szCs w:val="20"/>
      <w:lang w:val="zh-CN"/>
    </w:rPr>
  </w:style>
  <w:style w:type="paragraph" w:customStyle="1" w:styleId="789">
    <w:name w:val="样式 正文 + 首行缩进:  2 字符 + 宋体 四号 首行缩进:  2 字符"/>
    <w:basedOn w:val="787"/>
    <w:qFormat/>
    <w:uiPriority w:val="0"/>
    <w:pPr>
      <w:spacing w:line="480" w:lineRule="exact"/>
      <w:ind w:firstLine="200"/>
    </w:pPr>
    <w:rPr>
      <w:rFonts w:ascii="宋体" w:hAnsi="宋体" w:cs="Times New Roman"/>
      <w:sz w:val="28"/>
    </w:rPr>
  </w:style>
  <w:style w:type="paragraph" w:customStyle="1" w:styleId="790">
    <w:name w:val="样式 样式 正文缩进 + 首行缩进:  2 字符 + 首行缩进:  2 字符"/>
    <w:basedOn w:val="784"/>
    <w:semiHidden/>
    <w:qFormat/>
    <w:uiPriority w:val="0"/>
    <w:pPr>
      <w:ind w:firstLine="480"/>
    </w:pPr>
  </w:style>
  <w:style w:type="character" w:customStyle="1" w:styleId="791">
    <w:name w:val="ou"/>
    <w:semiHidden/>
    <w:qFormat/>
    <w:uiPriority w:val="0"/>
    <w:rPr>
      <w:rFonts w:eastAsia="黑体" w:cs="宋体"/>
      <w:kern w:val="2"/>
      <w:sz w:val="32"/>
      <w:szCs w:val="32"/>
      <w:lang w:val="en-US" w:eastAsia="zh-CN" w:bidi="ar-SA"/>
    </w:rPr>
  </w:style>
  <w:style w:type="paragraph" w:customStyle="1" w:styleId="792">
    <w:name w:val="样式 表格1 + 首行缩进:  2 字符"/>
    <w:basedOn w:val="254"/>
    <w:qFormat/>
    <w:uiPriority w:val="0"/>
    <w:pPr>
      <w:spacing w:line="240" w:lineRule="auto"/>
      <w:textAlignment w:val="center"/>
    </w:pPr>
    <w:rPr>
      <w:rFonts w:ascii="宋体" w:hAnsi="宋体" w:cs="宋体"/>
      <w:spacing w:val="0"/>
      <w:sz w:val="21"/>
      <w:szCs w:val="20"/>
    </w:rPr>
  </w:style>
  <w:style w:type="paragraph" w:customStyle="1" w:styleId="793">
    <w:name w:val="表题注"/>
    <w:basedOn w:val="22"/>
    <w:qFormat/>
    <w:uiPriority w:val="0"/>
    <w:pPr>
      <w:keepNext/>
      <w:spacing w:before="152" w:after="160" w:line="0" w:lineRule="atLeast"/>
    </w:pPr>
    <w:rPr>
      <w:rFonts w:ascii="宋体" w:hAnsi="宋体" w:cs="Arial"/>
      <w:b w:val="0"/>
      <w:color w:val="000000"/>
      <w:szCs w:val="20"/>
      <w:lang w:val="sq-AL"/>
    </w:rPr>
  </w:style>
  <w:style w:type="paragraph" w:customStyle="1" w:styleId="794">
    <w:name w:val="表格2"/>
    <w:basedOn w:val="254"/>
    <w:qFormat/>
    <w:uiPriority w:val="0"/>
    <w:pPr>
      <w:adjustRightInd/>
      <w:spacing w:line="240" w:lineRule="auto"/>
      <w:textAlignment w:val="auto"/>
    </w:pPr>
    <w:rPr>
      <w:rFonts w:ascii="宋体"/>
      <w:spacing w:val="0"/>
      <w:kern w:val="2"/>
      <w:sz w:val="21"/>
      <w:szCs w:val="20"/>
    </w:rPr>
  </w:style>
  <w:style w:type="paragraph" w:customStyle="1" w:styleId="795">
    <w:name w:val="样式 样式 标题 4标题 14 + 自动设置 + 无下划线"/>
    <w:basedOn w:val="1"/>
    <w:qFormat/>
    <w:uiPriority w:val="0"/>
    <w:pPr>
      <w:keepNext/>
      <w:tabs>
        <w:tab w:val="left" w:pos="2219"/>
      </w:tabs>
      <w:adjustRightInd w:val="0"/>
      <w:snapToGrid w:val="0"/>
      <w:ind w:left="2219" w:hanging="420"/>
      <w:outlineLvl w:val="3"/>
    </w:pPr>
    <w:rPr>
      <w:rFonts w:eastAsia="黑体"/>
    </w:rPr>
  </w:style>
  <w:style w:type="paragraph" w:customStyle="1" w:styleId="796">
    <w:name w:val="标准"/>
    <w:basedOn w:val="1"/>
    <w:qFormat/>
    <w:uiPriority w:val="0"/>
    <w:pPr>
      <w:adjustRightInd w:val="0"/>
      <w:spacing w:line="480" w:lineRule="exact"/>
      <w:textAlignment w:val="baseline"/>
    </w:pPr>
    <w:rPr>
      <w:kern w:val="0"/>
      <w:sz w:val="28"/>
      <w:szCs w:val="20"/>
      <w:lang w:val="en-GB"/>
    </w:rPr>
  </w:style>
  <w:style w:type="paragraph" w:customStyle="1" w:styleId="797">
    <w:name w:val="表格内容格式"/>
    <w:basedOn w:val="1"/>
    <w:qFormat/>
    <w:uiPriority w:val="0"/>
    <w:pPr>
      <w:adjustRightInd w:val="0"/>
      <w:spacing w:line="240" w:lineRule="atLeast"/>
      <w:textAlignment w:val="baseline"/>
    </w:pPr>
    <w:rPr>
      <w:rFonts w:ascii="宋体" w:hAnsi="宋体"/>
      <w:snapToGrid w:val="0"/>
      <w:color w:val="000000"/>
      <w:kern w:val="0"/>
      <w:sz w:val="21"/>
      <w:szCs w:val="20"/>
    </w:rPr>
  </w:style>
  <w:style w:type="paragraph" w:customStyle="1" w:styleId="798">
    <w:name w:val="表格 2"/>
    <w:basedOn w:val="1"/>
    <w:qFormat/>
    <w:uiPriority w:val="0"/>
    <w:pPr>
      <w:autoSpaceDE w:val="0"/>
      <w:autoSpaceDN w:val="0"/>
      <w:adjustRightInd w:val="0"/>
      <w:jc w:val="center"/>
      <w:textAlignment w:val="baseline"/>
    </w:pPr>
    <w:rPr>
      <w:kern w:val="0"/>
      <w:szCs w:val="20"/>
    </w:rPr>
  </w:style>
  <w:style w:type="paragraph" w:customStyle="1" w:styleId="799">
    <w:name w:val="表题 2"/>
    <w:basedOn w:val="1"/>
    <w:qFormat/>
    <w:uiPriority w:val="0"/>
    <w:pPr>
      <w:adjustRightInd w:val="0"/>
      <w:spacing w:before="120" w:after="120"/>
      <w:jc w:val="center"/>
      <w:textAlignment w:val="baseline"/>
    </w:pPr>
    <w:rPr>
      <w:kern w:val="0"/>
      <w:sz w:val="28"/>
      <w:szCs w:val="20"/>
    </w:rPr>
  </w:style>
  <w:style w:type="paragraph" w:customStyle="1" w:styleId="800">
    <w:name w:val="表格 3"/>
    <w:basedOn w:val="1"/>
    <w:qFormat/>
    <w:uiPriority w:val="0"/>
    <w:pPr>
      <w:autoSpaceDE w:val="0"/>
      <w:autoSpaceDN w:val="0"/>
      <w:adjustRightInd w:val="0"/>
      <w:jc w:val="center"/>
    </w:pPr>
    <w:rPr>
      <w:kern w:val="0"/>
      <w:sz w:val="21"/>
      <w:szCs w:val="20"/>
    </w:rPr>
  </w:style>
  <w:style w:type="paragraph" w:customStyle="1" w:styleId="801">
    <w:name w:val="新正文1"/>
    <w:basedOn w:val="35"/>
    <w:semiHidden/>
    <w:qFormat/>
    <w:uiPriority w:val="0"/>
    <w:pPr>
      <w:spacing w:line="440" w:lineRule="exact"/>
      <w:ind w:firstLine="200" w:firstLineChars="200"/>
    </w:pPr>
  </w:style>
  <w:style w:type="paragraph" w:customStyle="1" w:styleId="802">
    <w:name w:val="表头文字1"/>
    <w:basedOn w:val="1"/>
    <w:qFormat/>
    <w:uiPriority w:val="0"/>
    <w:pPr>
      <w:spacing w:line="400" w:lineRule="exact"/>
      <w:jc w:val="center"/>
    </w:pPr>
    <w:rPr>
      <w:rFonts w:ascii="宋体" w:hAnsi="宋体"/>
      <w:bCs/>
    </w:rPr>
  </w:style>
  <w:style w:type="paragraph" w:customStyle="1" w:styleId="803">
    <w:name w:val="样式 标题 3 + 宋体 四号 段前: 0 磅 段后: 0 磅 行距: 单倍行距"/>
    <w:basedOn w:val="5"/>
    <w:qFormat/>
    <w:uiPriority w:val="0"/>
    <w:pPr>
      <w:numPr>
        <w:ilvl w:val="0"/>
        <w:numId w:val="0"/>
      </w:numPr>
    </w:pPr>
    <w:rPr>
      <w:rFonts w:eastAsia="宋体" w:cs="宋体"/>
      <w:sz w:val="28"/>
      <w:lang w:val="zh-CN"/>
    </w:rPr>
  </w:style>
  <w:style w:type="paragraph" w:customStyle="1" w:styleId="804">
    <w:name w:val="样式 首行缩进:  1.01 厘米"/>
    <w:basedOn w:val="1"/>
    <w:qFormat/>
    <w:uiPriority w:val="0"/>
    <w:pPr>
      <w:spacing w:line="460" w:lineRule="exact"/>
      <w:jc w:val="center"/>
    </w:pPr>
    <w:rPr>
      <w:rFonts w:ascii="黑体" w:eastAsia="黑体"/>
      <w:color w:val="000000"/>
      <w:sz w:val="28"/>
      <w:szCs w:val="28"/>
    </w:rPr>
  </w:style>
  <w:style w:type="paragraph" w:customStyle="1" w:styleId="805">
    <w:name w:val="样式 样式 首行缩进:  1.01 厘米 + 首行缩进:  2 字符"/>
    <w:basedOn w:val="804"/>
    <w:link w:val="2796"/>
    <w:qFormat/>
    <w:uiPriority w:val="0"/>
    <w:pPr>
      <w:ind w:firstLine="560"/>
      <w:jc w:val="both"/>
    </w:pPr>
    <w:rPr>
      <w:rFonts w:cs="宋体"/>
    </w:rPr>
  </w:style>
  <w:style w:type="paragraph" w:customStyle="1" w:styleId="806">
    <w:name w:val="表内容"/>
    <w:basedOn w:val="1"/>
    <w:link w:val="1893"/>
    <w:qFormat/>
    <w:uiPriority w:val="0"/>
    <w:pPr>
      <w:widowControl/>
      <w:jc w:val="center"/>
    </w:pPr>
    <w:rPr>
      <w:sz w:val="21"/>
      <w:szCs w:val="21"/>
    </w:rPr>
  </w:style>
  <w:style w:type="paragraph" w:customStyle="1" w:styleId="807">
    <w:name w:val="样式 标题 1 + 三号 行距: 最小值 24 磅"/>
    <w:basedOn w:val="3"/>
    <w:qFormat/>
    <w:uiPriority w:val="0"/>
    <w:pPr>
      <w:keepLines/>
      <w:numPr>
        <w:numId w:val="0"/>
      </w:numPr>
      <w:tabs>
        <w:tab w:val="left" w:pos="425"/>
        <w:tab w:val="clear" w:pos="0"/>
      </w:tabs>
      <w:spacing w:before="240" w:after="600" w:line="480" w:lineRule="atLeast"/>
      <w:ind w:left="425" w:hanging="425"/>
    </w:pPr>
    <w:rPr>
      <w:rFonts w:eastAsia="宋体" w:cs="宋体"/>
      <w:bCs/>
      <w:kern w:val="44"/>
      <w:sz w:val="44"/>
      <w:szCs w:val="44"/>
      <w:lang w:val="zh-CN"/>
    </w:rPr>
  </w:style>
  <w:style w:type="paragraph" w:customStyle="1" w:styleId="808">
    <w:name w:val="样式正文首行缩进"/>
    <w:basedOn w:val="1"/>
    <w:semiHidden/>
    <w:qFormat/>
    <w:uiPriority w:val="0"/>
    <w:pPr>
      <w:spacing w:line="500" w:lineRule="exact"/>
      <w:ind w:firstLine="567"/>
    </w:pPr>
    <w:rPr>
      <w:sz w:val="28"/>
      <w:szCs w:val="28"/>
    </w:rPr>
  </w:style>
  <w:style w:type="paragraph" w:customStyle="1" w:styleId="809">
    <w:name w:val="标题21"/>
    <w:basedOn w:val="4"/>
    <w:semiHidden/>
    <w:qFormat/>
    <w:uiPriority w:val="0"/>
    <w:pPr>
      <w:widowControl/>
      <w:numPr>
        <w:ilvl w:val="0"/>
        <w:numId w:val="0"/>
      </w:numPr>
      <w:tabs>
        <w:tab w:val="left" w:pos="360"/>
        <w:tab w:val="left" w:pos="2225"/>
      </w:tabs>
      <w:spacing w:before="120" w:after="120" w:line="240" w:lineRule="auto"/>
      <w:ind w:firstLine="425"/>
    </w:pPr>
    <w:rPr>
      <w:b w:val="0"/>
      <w:bCs w:val="0"/>
      <w:sz w:val="30"/>
      <w:szCs w:val="20"/>
      <w:lang w:val="zh-CN"/>
    </w:rPr>
  </w:style>
  <w:style w:type="character" w:customStyle="1" w:styleId="810">
    <w:name w:val="bodyfont1"/>
    <w:qFormat/>
    <w:uiPriority w:val="0"/>
    <w:rPr>
      <w:rFonts w:eastAsia="黑体" w:cs="宋体"/>
      <w:kern w:val="2"/>
      <w:sz w:val="21"/>
      <w:szCs w:val="21"/>
      <w:lang w:val="en-US" w:eastAsia="zh-CN" w:bidi="ar-SA"/>
    </w:rPr>
  </w:style>
  <w:style w:type="paragraph" w:customStyle="1" w:styleId="811">
    <w:name w:val="样式 标题 1 + 小四"/>
    <w:basedOn w:val="3"/>
    <w:qFormat/>
    <w:uiPriority w:val="0"/>
    <w:pPr>
      <w:keepLines/>
      <w:numPr>
        <w:numId w:val="0"/>
      </w:numPr>
      <w:tabs>
        <w:tab w:val="left" w:pos="420"/>
        <w:tab w:val="clear" w:pos="0"/>
      </w:tabs>
      <w:spacing w:before="120" w:after="240" w:line="0" w:lineRule="atLeast"/>
      <w:ind w:left="420" w:hanging="420"/>
    </w:pPr>
    <w:rPr>
      <w:rFonts w:eastAsia="宋体"/>
      <w:bCs/>
      <w:kern w:val="44"/>
      <w:sz w:val="30"/>
      <w:szCs w:val="20"/>
      <w:lang w:val="zh-CN"/>
    </w:rPr>
  </w:style>
  <w:style w:type="paragraph" w:customStyle="1" w:styleId="812">
    <w:name w:val="样式 标题 2标题 21标题 121 + Times New Roman 小三 非加粗 黑色 段前: 8 磅 段...1"/>
    <w:basedOn w:val="4"/>
    <w:qFormat/>
    <w:uiPriority w:val="0"/>
    <w:pPr>
      <w:numPr>
        <w:ilvl w:val="0"/>
        <w:numId w:val="0"/>
      </w:numPr>
      <w:tabs>
        <w:tab w:val="left" w:pos="456"/>
      </w:tabs>
      <w:spacing w:before="160" w:after="160" w:line="240" w:lineRule="auto"/>
      <w:ind w:left="456" w:hanging="456"/>
    </w:pPr>
    <w:rPr>
      <w:b w:val="0"/>
      <w:bCs w:val="0"/>
      <w:color w:val="000000"/>
      <w:sz w:val="30"/>
      <w:szCs w:val="20"/>
      <w:lang w:val="zh-CN"/>
    </w:rPr>
  </w:style>
  <w:style w:type="paragraph" w:customStyle="1" w:styleId="813">
    <w:name w:val="样式 标题 2标题 21标题 121 + Times New Roman 小三 非加粗 黑色 段前: 8 磅 段..."/>
    <w:basedOn w:val="4"/>
    <w:qFormat/>
    <w:uiPriority w:val="0"/>
    <w:pPr>
      <w:numPr>
        <w:ilvl w:val="0"/>
        <w:numId w:val="0"/>
      </w:numPr>
      <w:tabs>
        <w:tab w:val="left" w:pos="360"/>
      </w:tabs>
      <w:spacing w:before="160" w:after="160" w:line="240" w:lineRule="auto"/>
    </w:pPr>
    <w:rPr>
      <w:b w:val="0"/>
      <w:bCs w:val="0"/>
      <w:color w:val="000000"/>
      <w:sz w:val="30"/>
      <w:szCs w:val="20"/>
      <w:lang w:val="zh-CN"/>
    </w:rPr>
  </w:style>
  <w:style w:type="paragraph" w:customStyle="1" w:styleId="814">
    <w:name w:val="样式 标题 2标题 21标题 121 + Times New Roman 小三 非加粗 黑色 段前: 8 磅 段...2"/>
    <w:basedOn w:val="4"/>
    <w:qFormat/>
    <w:uiPriority w:val="0"/>
    <w:pPr>
      <w:numPr>
        <w:ilvl w:val="0"/>
        <w:numId w:val="0"/>
      </w:numPr>
      <w:tabs>
        <w:tab w:val="left" w:pos="780"/>
      </w:tabs>
      <w:spacing w:before="160" w:after="160" w:line="240" w:lineRule="auto"/>
      <w:ind w:left="780" w:hanging="360"/>
    </w:pPr>
    <w:rPr>
      <w:b w:val="0"/>
      <w:bCs w:val="0"/>
      <w:color w:val="000000"/>
      <w:sz w:val="30"/>
      <w:szCs w:val="20"/>
      <w:lang w:val="zh-CN"/>
    </w:rPr>
  </w:style>
  <w:style w:type="paragraph" w:customStyle="1" w:styleId="815">
    <w:name w:val="样式 标题 4标题 14 + 加粗 无下划线 自动设置 段前: 3 磅 段后: 10 磅"/>
    <w:basedOn w:val="6"/>
    <w:qFormat/>
    <w:uiPriority w:val="0"/>
    <w:pPr>
      <w:keepLines w:val="0"/>
      <w:numPr>
        <w:ilvl w:val="0"/>
        <w:numId w:val="0"/>
      </w:numPr>
      <w:tabs>
        <w:tab w:val="left" w:pos="456"/>
      </w:tabs>
      <w:adjustRightInd w:val="0"/>
      <w:snapToGrid w:val="0"/>
      <w:spacing w:before="60" w:after="200"/>
      <w:ind w:left="456" w:hanging="456"/>
    </w:pPr>
    <w:rPr>
      <w:b w:val="0"/>
      <w:sz w:val="24"/>
      <w:szCs w:val="20"/>
      <w:lang w:val="zh-CN"/>
    </w:rPr>
  </w:style>
  <w:style w:type="paragraph" w:customStyle="1" w:styleId="816">
    <w:name w:val="样式 标题 4标题 14 + 加粗 无下划线 自动设置 段前: 3 磅 段后: 10 磅1"/>
    <w:basedOn w:val="6"/>
    <w:qFormat/>
    <w:uiPriority w:val="0"/>
    <w:pPr>
      <w:keepLines w:val="0"/>
      <w:numPr>
        <w:ilvl w:val="0"/>
        <w:numId w:val="0"/>
      </w:numPr>
      <w:tabs>
        <w:tab w:val="left" w:pos="1620"/>
      </w:tabs>
      <w:adjustRightInd w:val="0"/>
      <w:snapToGrid w:val="0"/>
      <w:spacing w:before="60" w:after="200"/>
      <w:ind w:left="1620" w:hanging="360"/>
    </w:pPr>
    <w:rPr>
      <w:b w:val="0"/>
      <w:sz w:val="24"/>
      <w:szCs w:val="20"/>
      <w:lang w:val="zh-CN"/>
    </w:rPr>
  </w:style>
  <w:style w:type="paragraph" w:customStyle="1" w:styleId="817">
    <w:name w:val="样式 标题 4标题 14 + 加粗 无下划线 自动设置 段前: 3 磅 段后: 10 磅2"/>
    <w:basedOn w:val="6"/>
    <w:qFormat/>
    <w:uiPriority w:val="0"/>
    <w:pPr>
      <w:keepLines w:val="0"/>
      <w:numPr>
        <w:ilvl w:val="0"/>
        <w:numId w:val="0"/>
      </w:numPr>
      <w:tabs>
        <w:tab w:val="left" w:pos="1080"/>
      </w:tabs>
      <w:adjustRightInd w:val="0"/>
      <w:snapToGrid w:val="0"/>
      <w:spacing w:before="60" w:after="200"/>
      <w:ind w:left="851" w:hanging="851"/>
    </w:pPr>
    <w:rPr>
      <w:b w:val="0"/>
      <w:sz w:val="24"/>
      <w:szCs w:val="20"/>
      <w:lang w:val="zh-CN"/>
    </w:rPr>
  </w:style>
  <w:style w:type="paragraph" w:customStyle="1" w:styleId="818">
    <w:name w:val="样式 标题 4标题 14 + 自动设置"/>
    <w:basedOn w:val="6"/>
    <w:qFormat/>
    <w:uiPriority w:val="0"/>
    <w:pPr>
      <w:keepLines w:val="0"/>
      <w:numPr>
        <w:ilvl w:val="0"/>
        <w:numId w:val="0"/>
      </w:numPr>
      <w:adjustRightInd w:val="0"/>
      <w:snapToGrid w:val="0"/>
    </w:pPr>
    <w:rPr>
      <w:bCs w:val="0"/>
      <w:sz w:val="24"/>
      <w:szCs w:val="24"/>
      <w:u w:val="single"/>
      <w:lang w:val="zh-CN"/>
    </w:rPr>
  </w:style>
  <w:style w:type="paragraph" w:customStyle="1" w:styleId="819">
    <w:name w:val="样式 标题 4标题 14 + 加粗 无下划线 自动设置 段前: 3 磅 段后: 10 磅4"/>
    <w:basedOn w:val="6"/>
    <w:qFormat/>
    <w:uiPriority w:val="0"/>
    <w:pPr>
      <w:keepLines w:val="0"/>
      <w:numPr>
        <w:ilvl w:val="0"/>
        <w:numId w:val="0"/>
      </w:numPr>
      <w:tabs>
        <w:tab w:val="left" w:pos="855"/>
      </w:tabs>
      <w:adjustRightInd w:val="0"/>
      <w:snapToGrid w:val="0"/>
      <w:spacing w:before="60" w:after="200"/>
      <w:ind w:left="855" w:hanging="855"/>
    </w:pPr>
    <w:rPr>
      <w:b w:val="0"/>
      <w:sz w:val="24"/>
      <w:szCs w:val="20"/>
      <w:lang w:val="zh-CN"/>
    </w:rPr>
  </w:style>
  <w:style w:type="paragraph" w:customStyle="1" w:styleId="820">
    <w:name w:val="正文 + 首行缩进:  2 字符 Char"/>
    <w:basedOn w:val="1"/>
    <w:semiHidden/>
    <w:qFormat/>
    <w:uiPriority w:val="0"/>
    <w:pPr>
      <w:ind w:firstLine="480" w:firstLineChars="200"/>
    </w:pPr>
    <w:rPr>
      <w:rFonts w:cs="宋体"/>
      <w:szCs w:val="20"/>
    </w:rPr>
  </w:style>
  <w:style w:type="character" w:customStyle="1" w:styleId="821">
    <w:name w:val="正文 + 首行缩进:  2 字符 Char Char"/>
    <w:qFormat/>
    <w:uiPriority w:val="0"/>
    <w:rPr>
      <w:rFonts w:eastAsia="宋体" w:cs="宋体"/>
      <w:kern w:val="2"/>
      <w:sz w:val="24"/>
      <w:szCs w:val="32"/>
      <w:lang w:val="en-US" w:eastAsia="zh-CN" w:bidi="ar-SA"/>
    </w:rPr>
  </w:style>
  <w:style w:type="character" w:customStyle="1" w:styleId="822">
    <w:name w:val="样式 首行缩进:  1.01 厘米 Char"/>
    <w:qFormat/>
    <w:uiPriority w:val="0"/>
    <w:rPr>
      <w:rFonts w:eastAsia="宋体" w:cs="宋体"/>
      <w:kern w:val="2"/>
      <w:sz w:val="24"/>
      <w:szCs w:val="24"/>
      <w:lang w:val="en-US" w:eastAsia="zh-CN" w:bidi="ar-SA"/>
    </w:rPr>
  </w:style>
  <w:style w:type="paragraph" w:customStyle="1" w:styleId="823">
    <w:name w:val="表头名称"/>
    <w:basedOn w:val="7"/>
    <w:qFormat/>
    <w:uiPriority w:val="0"/>
    <w:pPr>
      <w:autoSpaceDE w:val="0"/>
      <w:autoSpaceDN w:val="0"/>
      <w:adjustRightInd w:val="0"/>
      <w:spacing w:line="360" w:lineRule="auto"/>
    </w:pPr>
    <w:rPr>
      <w:rFonts w:ascii="黑体" w:hAnsi="宋体" w:eastAsia="黑体"/>
      <w:kern w:val="0"/>
      <w:szCs w:val="20"/>
    </w:rPr>
  </w:style>
  <w:style w:type="paragraph" w:customStyle="1" w:styleId="824">
    <w:name w:val="123"/>
    <w:basedOn w:val="7"/>
    <w:qFormat/>
    <w:uiPriority w:val="0"/>
    <w:pPr>
      <w:widowControl/>
      <w:tabs>
        <w:tab w:val="left" w:pos="352"/>
      </w:tabs>
      <w:overflowPunct w:val="0"/>
      <w:autoSpaceDE w:val="0"/>
      <w:autoSpaceDN w:val="0"/>
      <w:adjustRightInd w:val="0"/>
      <w:snapToGrid w:val="0"/>
      <w:spacing w:before="50" w:line="460" w:lineRule="exact"/>
      <w:ind w:firstLine="200"/>
      <w:textAlignment w:val="bottom"/>
    </w:pPr>
    <w:rPr>
      <w:color w:val="000000"/>
      <w:kern w:val="0"/>
      <w:sz w:val="21"/>
      <w:szCs w:val="20"/>
    </w:rPr>
  </w:style>
  <w:style w:type="paragraph" w:customStyle="1" w:styleId="825">
    <w:name w:val="可研-正文"/>
    <w:basedOn w:val="1"/>
    <w:qFormat/>
    <w:uiPriority w:val="0"/>
    <w:pPr>
      <w:ind w:firstLine="200" w:firstLineChars="200"/>
    </w:pPr>
    <w:rPr>
      <w:rFonts w:ascii="宋体"/>
      <w:sz w:val="28"/>
    </w:rPr>
  </w:style>
  <w:style w:type="paragraph" w:customStyle="1" w:styleId="826">
    <w:name w:val="可研-表格正文"/>
    <w:basedOn w:val="825"/>
    <w:qFormat/>
    <w:uiPriority w:val="0"/>
    <w:pPr>
      <w:ind w:firstLine="0" w:firstLineChars="0"/>
    </w:pPr>
    <w:rPr>
      <w:sz w:val="24"/>
    </w:rPr>
  </w:style>
  <w:style w:type="paragraph" w:customStyle="1" w:styleId="827">
    <w:name w:val="可研-表格标题"/>
    <w:basedOn w:val="825"/>
    <w:next w:val="826"/>
    <w:qFormat/>
    <w:uiPriority w:val="0"/>
    <w:pPr>
      <w:ind w:firstLine="0" w:firstLineChars="0"/>
      <w:jc w:val="center"/>
    </w:pPr>
    <w:rPr>
      <w:b/>
      <w:sz w:val="24"/>
    </w:rPr>
  </w:style>
  <w:style w:type="paragraph" w:customStyle="1" w:styleId="828">
    <w:name w:val="可研-节标题"/>
    <w:next w:val="825"/>
    <w:qFormat/>
    <w:uiPriority w:val="0"/>
    <w:pPr>
      <w:spacing w:line="360" w:lineRule="auto"/>
      <w:ind w:firstLine="200" w:firstLineChars="200"/>
      <w:outlineLvl w:val="1"/>
    </w:pPr>
    <w:rPr>
      <w:rFonts w:ascii="Times New Roman" w:hAnsi="Times New Roman" w:eastAsia="宋体" w:cs="Times New Roman"/>
      <w:b/>
      <w:sz w:val="28"/>
      <w:szCs w:val="30"/>
      <w:lang w:val="en-US" w:eastAsia="zh-CN" w:bidi="ar-SA"/>
    </w:rPr>
  </w:style>
  <w:style w:type="paragraph" w:customStyle="1" w:styleId="829">
    <w:name w:val="正文标准样式 + 黑体"/>
    <w:basedOn w:val="779"/>
    <w:qFormat/>
    <w:uiPriority w:val="0"/>
    <w:pPr>
      <w:spacing w:before="0" w:line="460" w:lineRule="exact"/>
      <w:ind w:firstLine="0"/>
      <w:outlineLvl w:val="0"/>
    </w:pPr>
    <w:rPr>
      <w:rFonts w:ascii="黑体" w:eastAsia="黑体"/>
      <w:b/>
      <w:sz w:val="28"/>
      <w:szCs w:val="28"/>
    </w:rPr>
  </w:style>
  <w:style w:type="paragraph" w:customStyle="1" w:styleId="830">
    <w:name w:val="样式 小四 行距: 固定值 23 磅"/>
    <w:basedOn w:val="1"/>
    <w:qFormat/>
    <w:uiPriority w:val="0"/>
    <w:pPr>
      <w:tabs>
        <w:tab w:val="left" w:pos="960"/>
      </w:tabs>
      <w:ind w:left="960" w:hanging="480"/>
    </w:pPr>
    <w:rPr>
      <w:sz w:val="28"/>
    </w:rPr>
  </w:style>
  <w:style w:type="paragraph" w:customStyle="1" w:styleId="831">
    <w:name w:val="样式 标题 2标题 21标题 121 + Times New Roman 小三 非加粗 黑色 段前: 8 磅 段...3"/>
    <w:basedOn w:val="1"/>
    <w:qFormat/>
    <w:uiPriority w:val="0"/>
    <w:pPr>
      <w:tabs>
        <w:tab w:val="left" w:pos="1320"/>
      </w:tabs>
      <w:ind w:left="1320" w:hanging="420"/>
    </w:pPr>
    <w:rPr>
      <w:sz w:val="28"/>
    </w:rPr>
  </w:style>
  <w:style w:type="paragraph" w:customStyle="1" w:styleId="832">
    <w:name w:val="样式 样式 样式 样式 样式 样式 样式 123 + 自动设置 首行缩进:  2 字符 + 首行缩进:  2 字符 + 黑色 首... Char"/>
    <w:basedOn w:val="1"/>
    <w:semiHidden/>
    <w:qFormat/>
    <w:uiPriority w:val="0"/>
    <w:pPr>
      <w:widowControl/>
      <w:tabs>
        <w:tab w:val="left" w:pos="352"/>
      </w:tabs>
      <w:overflowPunct w:val="0"/>
      <w:autoSpaceDE w:val="0"/>
      <w:autoSpaceDN w:val="0"/>
      <w:adjustRightInd w:val="0"/>
      <w:snapToGrid w:val="0"/>
      <w:spacing w:line="460" w:lineRule="exact"/>
      <w:ind w:firstLine="560" w:firstLineChars="200"/>
      <w:textAlignment w:val="bottom"/>
    </w:pPr>
    <w:rPr>
      <w:rFonts w:cs="宋体"/>
      <w:kern w:val="0"/>
      <w:sz w:val="28"/>
      <w:szCs w:val="28"/>
    </w:rPr>
  </w:style>
  <w:style w:type="character" w:customStyle="1" w:styleId="833">
    <w:name w:val="样式 样式 样式 样式 样式 样式 样式 123 + 自动设置 首行缩进:  2 字符 + 首行缩进:  2 字符 + 黑色 首... Char Char"/>
    <w:semiHidden/>
    <w:qFormat/>
    <w:uiPriority w:val="0"/>
    <w:rPr>
      <w:rFonts w:eastAsia="宋体" w:cs="宋体"/>
      <w:kern w:val="2"/>
      <w:sz w:val="28"/>
      <w:szCs w:val="28"/>
      <w:lang w:val="en-US" w:eastAsia="zh-CN" w:bidi="ar-SA"/>
    </w:rPr>
  </w:style>
  <w:style w:type="paragraph" w:customStyle="1" w:styleId="834">
    <w:name w:val="样式 标题 3标题 13 + (中文) 黑体 四号 非加粗 黑色 段前: 21 磅 段后: 21 磅 行距: 单倍..."/>
    <w:basedOn w:val="5"/>
    <w:qFormat/>
    <w:uiPriority w:val="0"/>
    <w:pPr>
      <w:numPr>
        <w:ilvl w:val="0"/>
        <w:numId w:val="0"/>
      </w:numPr>
      <w:spacing w:before="420" w:after="420"/>
    </w:pPr>
    <w:rPr>
      <w:rFonts w:cs="宋体"/>
      <w:b w:val="0"/>
      <w:bCs w:val="0"/>
      <w:color w:val="000000"/>
      <w:sz w:val="28"/>
      <w:szCs w:val="20"/>
      <w:lang w:val="zh-CN"/>
    </w:rPr>
  </w:style>
  <w:style w:type="paragraph" w:customStyle="1" w:styleId="835">
    <w:name w:val="样式 标题 1标题 11一、 + (中文) 黑体 小二 非加粗 段前: 5 磅 段后: 5 磅 行距: 单倍行距"/>
    <w:basedOn w:val="3"/>
    <w:qFormat/>
    <w:uiPriority w:val="0"/>
    <w:pPr>
      <w:keepLines/>
      <w:numPr>
        <w:numId w:val="0"/>
      </w:numPr>
      <w:tabs>
        <w:tab w:val="clear" w:pos="0"/>
      </w:tabs>
      <w:spacing w:before="100" w:after="100" w:line="240" w:lineRule="auto"/>
      <w:jc w:val="both"/>
    </w:pPr>
    <w:rPr>
      <w:rFonts w:cs="宋体"/>
      <w:b w:val="0"/>
      <w:kern w:val="44"/>
      <w:szCs w:val="20"/>
      <w:lang w:val="zh-CN"/>
    </w:rPr>
  </w:style>
  <w:style w:type="paragraph" w:customStyle="1" w:styleId="836">
    <w:name w:val="样式 标题 3标题 13 + 黑色 段前: 4 磅 段后: 10 磅 行距: 单倍行距"/>
    <w:basedOn w:val="1"/>
    <w:qFormat/>
    <w:uiPriority w:val="0"/>
    <w:rPr>
      <w:sz w:val="28"/>
    </w:rPr>
  </w:style>
  <w:style w:type="paragraph" w:customStyle="1" w:styleId="837">
    <w:name w:val="样式 标题 2标题 21标题 121 + Times New Roman 非加粗 段前: 6 磅 段后: 8 磅 ..."/>
    <w:basedOn w:val="1"/>
    <w:qFormat/>
    <w:uiPriority w:val="0"/>
    <w:rPr>
      <w:sz w:val="28"/>
    </w:rPr>
  </w:style>
  <w:style w:type="paragraph" w:customStyle="1" w:styleId="838">
    <w:name w:val="正文2"/>
    <w:basedOn w:val="1"/>
    <w:link w:val="1608"/>
    <w:qFormat/>
    <w:uiPriority w:val="0"/>
    <w:pPr>
      <w:adjustRightInd w:val="0"/>
      <w:spacing w:line="480" w:lineRule="exact"/>
      <w:textAlignment w:val="baseline"/>
    </w:pPr>
    <w:rPr>
      <w:spacing w:val="-2"/>
      <w:kern w:val="0"/>
      <w:sz w:val="28"/>
      <w:szCs w:val="20"/>
    </w:rPr>
  </w:style>
  <w:style w:type="paragraph" w:customStyle="1" w:styleId="839">
    <w:name w:val="标准 Char"/>
    <w:basedOn w:val="1"/>
    <w:qFormat/>
    <w:uiPriority w:val="0"/>
    <w:pPr>
      <w:adjustRightInd w:val="0"/>
      <w:spacing w:line="480" w:lineRule="exact"/>
      <w:textAlignment w:val="baseline"/>
    </w:pPr>
    <w:rPr>
      <w:spacing w:val="-2"/>
      <w:kern w:val="0"/>
      <w:sz w:val="28"/>
      <w:szCs w:val="20"/>
      <w:lang w:val="en-GB"/>
    </w:rPr>
  </w:style>
  <w:style w:type="character" w:customStyle="1" w:styleId="840">
    <w:name w:val="未命名11"/>
    <w:semiHidden/>
    <w:qFormat/>
    <w:uiPriority w:val="0"/>
    <w:rPr>
      <w:rFonts w:hint="eastAsia" w:ascii="宋体" w:hAnsi="宋体" w:eastAsia="宋体" w:cs="宋体"/>
      <w:kern w:val="2"/>
      <w:sz w:val="18"/>
      <w:szCs w:val="18"/>
      <w:lang w:val="en-US" w:eastAsia="zh-CN" w:bidi="ar-SA"/>
    </w:rPr>
  </w:style>
  <w:style w:type="paragraph" w:customStyle="1" w:styleId="841">
    <w:name w:val="样式 黑体 小四 加粗 行距: 固定值 20 磅1"/>
    <w:basedOn w:val="1"/>
    <w:qFormat/>
    <w:uiPriority w:val="0"/>
    <w:pPr>
      <w:spacing w:line="400" w:lineRule="exact"/>
    </w:pPr>
    <w:rPr>
      <w:rFonts w:ascii="黑体" w:eastAsia="黑体" w:cs="宋体"/>
      <w:b/>
      <w:bCs/>
      <w:sz w:val="28"/>
      <w:szCs w:val="20"/>
    </w:rPr>
  </w:style>
  <w:style w:type="paragraph" w:customStyle="1" w:styleId="842">
    <w:name w:val="我的标题1"/>
    <w:basedOn w:val="1"/>
    <w:qFormat/>
    <w:uiPriority w:val="0"/>
    <w:pPr>
      <w:spacing w:line="460" w:lineRule="exact"/>
      <w:ind w:firstLine="192" w:firstLineChars="192"/>
      <w:outlineLvl w:val="0"/>
    </w:pPr>
    <w:rPr>
      <w:rFonts w:ascii="黑体" w:eastAsia="黑体"/>
      <w:sz w:val="32"/>
    </w:rPr>
  </w:style>
  <w:style w:type="paragraph" w:customStyle="1" w:styleId="843">
    <w:name w:val="样式 标题 1 + (中文) 黑体 小二 居中 段前: 0 磅 段后: 0 磅 行距: 1.5 倍行距"/>
    <w:basedOn w:val="3"/>
    <w:qFormat/>
    <w:uiPriority w:val="0"/>
    <w:pPr>
      <w:keepLines/>
      <w:numPr>
        <w:ilvl w:val="0"/>
        <w:numId w:val="0"/>
      </w:numPr>
      <w:tabs>
        <w:tab w:val="clear" w:pos="0"/>
      </w:tabs>
      <w:spacing w:line="360" w:lineRule="auto"/>
    </w:pPr>
    <w:rPr>
      <w:rFonts w:cs="宋体"/>
      <w:bCs/>
      <w:kern w:val="44"/>
      <w:sz w:val="32"/>
      <w:szCs w:val="32"/>
      <w:lang w:val="zh-CN"/>
    </w:rPr>
  </w:style>
  <w:style w:type="paragraph" w:customStyle="1" w:styleId="844">
    <w:name w:val="样式 标题 2标题 21 + Times New Roman 黑色 段前: 0 磅 段后: 0 磅 行距: 单倍行距"/>
    <w:basedOn w:val="4"/>
    <w:qFormat/>
    <w:uiPriority w:val="0"/>
    <w:pPr>
      <w:numPr>
        <w:ilvl w:val="0"/>
        <w:numId w:val="0"/>
      </w:numPr>
      <w:spacing w:line="240" w:lineRule="auto"/>
    </w:pPr>
    <w:rPr>
      <w:rFonts w:cs="宋体"/>
      <w:color w:val="000000"/>
      <w:sz w:val="30"/>
      <w:lang w:val="zh-CN"/>
    </w:rPr>
  </w:style>
  <w:style w:type="character" w:customStyle="1" w:styleId="845">
    <w:name w:val="unnamed21"/>
    <w:qFormat/>
    <w:uiPriority w:val="0"/>
    <w:rPr>
      <w:rFonts w:eastAsia="黑体" w:cs="宋体"/>
      <w:color w:val="000000"/>
      <w:kern w:val="2"/>
      <w:sz w:val="21"/>
      <w:szCs w:val="21"/>
      <w:u w:val="none"/>
      <w:lang w:val="en-US" w:eastAsia="zh-CN" w:bidi="ar-SA"/>
    </w:rPr>
  </w:style>
  <w:style w:type="paragraph" w:customStyle="1" w:styleId="846">
    <w:name w:val="正文 1"/>
    <w:basedOn w:val="1"/>
    <w:qFormat/>
    <w:uiPriority w:val="0"/>
    <w:pPr>
      <w:spacing w:line="480" w:lineRule="exact"/>
      <w:ind w:firstLine="567"/>
    </w:pPr>
    <w:rPr>
      <w:rFonts w:ascii="幼圆" w:eastAsia="幼圆"/>
      <w:sz w:val="28"/>
      <w:szCs w:val="20"/>
    </w:rPr>
  </w:style>
  <w:style w:type="paragraph" w:customStyle="1" w:styleId="847">
    <w:name w:val="正文 11"/>
    <w:basedOn w:val="1"/>
    <w:semiHidden/>
    <w:qFormat/>
    <w:uiPriority w:val="0"/>
    <w:pPr>
      <w:spacing w:line="500" w:lineRule="exact"/>
      <w:ind w:firstLine="567"/>
    </w:pPr>
    <w:rPr>
      <w:rFonts w:ascii="幼圆" w:eastAsia="幼圆"/>
      <w:sz w:val="28"/>
      <w:szCs w:val="20"/>
    </w:rPr>
  </w:style>
  <w:style w:type="paragraph" w:customStyle="1" w:styleId="848">
    <w:name w:val="文章正文"/>
    <w:basedOn w:val="1"/>
    <w:link w:val="849"/>
    <w:qFormat/>
    <w:uiPriority w:val="0"/>
    <w:pPr>
      <w:spacing w:before="156" w:beforeLines="50" w:after="156" w:afterLines="50" w:line="360" w:lineRule="auto"/>
      <w:ind w:firstLine="480" w:firstLineChars="200"/>
    </w:pPr>
    <w:rPr>
      <w:rFonts w:ascii="宋体" w:hAnsi="宋体"/>
    </w:rPr>
  </w:style>
  <w:style w:type="character" w:customStyle="1" w:styleId="849">
    <w:name w:val="文章正文 Char"/>
    <w:link w:val="848"/>
    <w:qFormat/>
    <w:uiPriority w:val="0"/>
    <w:rPr>
      <w:rFonts w:ascii="宋体" w:hAnsi="宋体"/>
      <w:kern w:val="2"/>
      <w:sz w:val="24"/>
      <w:szCs w:val="24"/>
    </w:rPr>
  </w:style>
  <w:style w:type="paragraph" w:customStyle="1" w:styleId="850">
    <w:name w:val="样式 正文文本缩进 3 + 小四 段前: 6 磅 段后: 6 磅 行距: 1.5 倍行距"/>
    <w:basedOn w:val="70"/>
    <w:qFormat/>
    <w:uiPriority w:val="0"/>
    <w:pPr>
      <w:adjustRightInd w:val="0"/>
      <w:snapToGrid w:val="0"/>
      <w:spacing w:before="120" w:after="120" w:line="360" w:lineRule="auto"/>
      <w:ind w:firstLine="480" w:firstLineChars="200"/>
    </w:pPr>
    <w:rPr>
      <w:rFonts w:ascii="Times New Roman" w:cs="宋体"/>
      <w:szCs w:val="20"/>
    </w:rPr>
  </w:style>
  <w:style w:type="paragraph" w:customStyle="1" w:styleId="851">
    <w:name w:val="样式 标题 2标题 21标题 121H2SeHead wsa2标题 1.1 + 小三 非加粗 段前: 12.5..."/>
    <w:basedOn w:val="4"/>
    <w:qFormat/>
    <w:uiPriority w:val="0"/>
    <w:pPr>
      <w:numPr>
        <w:numId w:val="0"/>
      </w:numPr>
      <w:tabs>
        <w:tab w:val="left" w:pos="238"/>
      </w:tabs>
      <w:spacing w:before="120" w:line="415" w:lineRule="auto"/>
      <w:ind w:left="238"/>
    </w:pPr>
    <w:rPr>
      <w:rFonts w:cs="宋体"/>
      <w:b w:val="0"/>
      <w:bCs w:val="0"/>
      <w:sz w:val="30"/>
      <w:szCs w:val="20"/>
      <w:lang w:val="zh-CN"/>
    </w:rPr>
  </w:style>
  <w:style w:type="paragraph" w:customStyle="1" w:styleId="852">
    <w:name w:val="样式 首行缩进:  2 字符"/>
    <w:basedOn w:val="1"/>
    <w:link w:val="1838"/>
    <w:qFormat/>
    <w:uiPriority w:val="0"/>
    <w:pPr>
      <w:spacing w:line="360" w:lineRule="auto"/>
      <w:ind w:firstLine="480" w:firstLineChars="200"/>
    </w:pPr>
    <w:rPr>
      <w:rFonts w:ascii="宋体" w:hAnsi="宋体"/>
      <w:color w:val="FF00FF"/>
    </w:rPr>
  </w:style>
  <w:style w:type="paragraph" w:customStyle="1" w:styleId="853">
    <w:name w:val="4"/>
    <w:basedOn w:val="1"/>
    <w:qFormat/>
    <w:uiPriority w:val="0"/>
    <w:rPr>
      <w:rFonts w:ascii="宋体"/>
      <w:bCs/>
      <w:sz w:val="28"/>
      <w:szCs w:val="20"/>
    </w:rPr>
  </w:style>
  <w:style w:type="paragraph" w:customStyle="1" w:styleId="854">
    <w:name w:val="5"/>
    <w:basedOn w:val="1"/>
    <w:next w:val="45"/>
    <w:link w:val="2533"/>
    <w:qFormat/>
    <w:uiPriority w:val="99"/>
    <w:rPr>
      <w:rFonts w:ascii="宋体" w:hAnsi="Courier New"/>
      <w:sz w:val="28"/>
      <w:szCs w:val="20"/>
    </w:rPr>
  </w:style>
  <w:style w:type="paragraph" w:customStyle="1" w:styleId="855">
    <w:name w:val="样式 (符号) 宋体 首行缩进:  0.93 厘米 段前: 6 磅 段后: 6 磅 行距: 固定值 18 磅1"/>
    <w:basedOn w:val="1"/>
    <w:qFormat/>
    <w:uiPriority w:val="0"/>
    <w:pPr>
      <w:spacing w:before="160" w:after="160" w:line="320" w:lineRule="exact"/>
      <w:ind w:firstLine="527"/>
    </w:pPr>
    <w:rPr>
      <w:rFonts w:hAnsi="宋体"/>
      <w:szCs w:val="20"/>
    </w:rPr>
  </w:style>
  <w:style w:type="paragraph" w:customStyle="1" w:styleId="856">
    <w:name w:val="正文21"/>
    <w:basedOn w:val="1"/>
    <w:link w:val="1030"/>
    <w:qFormat/>
    <w:uiPriority w:val="99"/>
    <w:pPr>
      <w:widowControl/>
      <w:spacing w:before="100" w:beforeAutospacing="1" w:after="100" w:afterAutospacing="1"/>
      <w:ind w:firstLine="200" w:firstLineChars="200"/>
    </w:pPr>
    <w:rPr>
      <w:szCs w:val="21"/>
    </w:rPr>
  </w:style>
  <w:style w:type="character" w:customStyle="1" w:styleId="857">
    <w:name w:val="My title 2 Char"/>
    <w:semiHidden/>
    <w:qFormat/>
    <w:uiPriority w:val="0"/>
    <w:rPr>
      <w:rFonts w:ascii="Arial" w:hAnsi="Arial" w:eastAsia="宋体" w:cs="宋体"/>
      <w:b/>
      <w:bCs/>
      <w:kern w:val="2"/>
      <w:sz w:val="30"/>
      <w:szCs w:val="32"/>
      <w:lang w:val="en-US" w:eastAsia="zh-CN" w:bidi="ar-SA"/>
    </w:rPr>
  </w:style>
  <w:style w:type="character" w:customStyle="1" w:styleId="858">
    <w:name w:val="My title 4 Char"/>
    <w:semiHidden/>
    <w:qFormat/>
    <w:uiPriority w:val="0"/>
    <w:rPr>
      <w:rFonts w:eastAsia="宋体" w:cs="宋体"/>
      <w:b/>
      <w:bCs/>
      <w:kern w:val="2"/>
      <w:sz w:val="24"/>
      <w:szCs w:val="32"/>
      <w:lang w:val="en-US" w:eastAsia="zh-CN" w:bidi="ar-SA"/>
    </w:rPr>
  </w:style>
  <w:style w:type="paragraph" w:customStyle="1" w:styleId="859">
    <w:name w:val="居中+ 三号"/>
    <w:basedOn w:val="860"/>
    <w:qFormat/>
    <w:uiPriority w:val="0"/>
    <w:rPr>
      <w:bCs/>
      <w:sz w:val="32"/>
    </w:rPr>
  </w:style>
  <w:style w:type="paragraph" w:customStyle="1" w:styleId="860">
    <w:name w:val="居中+小四"/>
    <w:basedOn w:val="1"/>
    <w:semiHidden/>
    <w:qFormat/>
    <w:uiPriority w:val="0"/>
    <w:pPr>
      <w:jc w:val="center"/>
    </w:pPr>
    <w:rPr>
      <w:b/>
      <w:sz w:val="30"/>
      <w:szCs w:val="30"/>
    </w:rPr>
  </w:style>
  <w:style w:type="paragraph" w:customStyle="1" w:styleId="861">
    <w:name w:val="my table"/>
    <w:basedOn w:val="1"/>
    <w:qFormat/>
    <w:locked/>
    <w:uiPriority w:val="0"/>
    <w:pPr>
      <w:widowControl/>
      <w:snapToGrid w:val="0"/>
      <w:spacing w:line="240" w:lineRule="exact"/>
    </w:pPr>
    <w:rPr>
      <w:rFonts w:ascii="宋体" w:hAnsi="宋体"/>
      <w:sz w:val="21"/>
      <w:szCs w:val="20"/>
    </w:rPr>
  </w:style>
  <w:style w:type="paragraph" w:customStyle="1" w:styleId="862">
    <w:name w:val="my table header"/>
    <w:basedOn w:val="45"/>
    <w:qFormat/>
    <w:locked/>
    <w:uiPriority w:val="0"/>
    <w:pPr>
      <w:adjustRightInd/>
      <w:spacing w:line="500" w:lineRule="exact"/>
      <w:textAlignment w:val="auto"/>
      <w:outlineLvl w:val="0"/>
    </w:pPr>
    <w:rPr>
      <w:rFonts w:ascii="Times New Roman" w:hAnsi="Times New Roman"/>
      <w:b/>
      <w:bCs/>
      <w:color w:val="000000"/>
      <w:kern w:val="2"/>
      <w:sz w:val="24"/>
    </w:rPr>
  </w:style>
  <w:style w:type="paragraph" w:customStyle="1" w:styleId="863">
    <w:name w:val="样式 正文 + 首行缩进:  2 字符 + 行距: 1.5 倍行距"/>
    <w:basedOn w:val="787"/>
    <w:semiHidden/>
    <w:qFormat/>
    <w:uiPriority w:val="0"/>
    <w:pPr>
      <w:spacing w:line="480" w:lineRule="exact"/>
      <w:ind w:firstLine="200"/>
    </w:pPr>
    <w:rPr>
      <w:sz w:val="28"/>
    </w:rPr>
  </w:style>
  <w:style w:type="paragraph" w:customStyle="1" w:styleId="864">
    <w:name w:val="样式 宋体 四号 行距: 1.5 倍行距"/>
    <w:basedOn w:val="1"/>
    <w:semiHidden/>
    <w:qFormat/>
    <w:uiPriority w:val="0"/>
    <w:pPr>
      <w:spacing w:line="480" w:lineRule="exact"/>
      <w:ind w:firstLine="200" w:firstLineChars="200"/>
    </w:pPr>
    <w:rPr>
      <w:rFonts w:ascii="宋体" w:hAnsi="宋体" w:cs="宋体"/>
      <w:sz w:val="28"/>
      <w:szCs w:val="20"/>
    </w:rPr>
  </w:style>
  <w:style w:type="paragraph" w:customStyle="1" w:styleId="865">
    <w:name w:val="样式 正文 + 首行缩进:  2 字符 + 宋体 四号"/>
    <w:basedOn w:val="787"/>
    <w:semiHidden/>
    <w:qFormat/>
    <w:uiPriority w:val="0"/>
    <w:pPr>
      <w:spacing w:line="240" w:lineRule="auto"/>
    </w:pPr>
    <w:rPr>
      <w:rFonts w:ascii="宋体" w:hAnsi="宋体"/>
      <w:sz w:val="28"/>
    </w:rPr>
  </w:style>
  <w:style w:type="character" w:customStyle="1" w:styleId="866">
    <w:name w:val="样式 正文 + 首行缩进:  2 字符 + 宋体 四号 Char"/>
    <w:semiHidden/>
    <w:qFormat/>
    <w:uiPriority w:val="0"/>
    <w:rPr>
      <w:rFonts w:ascii="宋体" w:hAnsi="宋体" w:eastAsia="宋体" w:cs="宋体"/>
      <w:kern w:val="2"/>
      <w:sz w:val="28"/>
      <w:szCs w:val="32"/>
      <w:lang w:val="en-US" w:eastAsia="zh-CN" w:bidi="ar-SA"/>
    </w:rPr>
  </w:style>
  <w:style w:type="paragraph" w:customStyle="1" w:styleId="867">
    <w:name w:val="样式 正文 + 首行缩进:  2 字符 + 首行缩进:  2 字符 行距: 固定值 24 磅"/>
    <w:basedOn w:val="1"/>
    <w:semiHidden/>
    <w:qFormat/>
    <w:uiPriority w:val="0"/>
    <w:pPr>
      <w:spacing w:line="480" w:lineRule="exact"/>
      <w:ind w:firstLine="560"/>
    </w:pPr>
    <w:rPr>
      <w:sz w:val="21"/>
    </w:rPr>
  </w:style>
  <w:style w:type="character" w:customStyle="1" w:styleId="868">
    <w:name w:val="样式 小四 加粗"/>
    <w:qFormat/>
    <w:uiPriority w:val="0"/>
    <w:rPr>
      <w:rFonts w:eastAsia="黑体" w:cs="宋体"/>
      <w:b/>
      <w:bCs/>
      <w:kern w:val="2"/>
      <w:sz w:val="24"/>
      <w:szCs w:val="32"/>
      <w:lang w:val="en-US" w:eastAsia="zh-CN" w:bidi="ar-SA"/>
    </w:rPr>
  </w:style>
  <w:style w:type="paragraph" w:customStyle="1" w:styleId="869">
    <w:name w:val="表——索引"/>
    <w:basedOn w:val="1"/>
    <w:semiHidden/>
    <w:qFormat/>
    <w:uiPriority w:val="0"/>
    <w:pPr>
      <w:widowControl/>
      <w:spacing w:line="360" w:lineRule="auto"/>
      <w:jc w:val="center"/>
    </w:pPr>
    <w:rPr>
      <w:rFonts w:ascii="宋体" w:hAnsi="宋体"/>
      <w:color w:val="000000"/>
    </w:rPr>
  </w:style>
  <w:style w:type="paragraph" w:customStyle="1" w:styleId="870">
    <w:name w:val="图——索引"/>
    <w:basedOn w:val="1"/>
    <w:semiHidden/>
    <w:qFormat/>
    <w:uiPriority w:val="0"/>
    <w:pPr>
      <w:widowControl/>
      <w:tabs>
        <w:tab w:val="left" w:pos="0"/>
      </w:tabs>
      <w:spacing w:line="360" w:lineRule="auto"/>
      <w:jc w:val="center"/>
    </w:pPr>
    <w:rPr>
      <w:rFonts w:ascii="宋体" w:hAnsi="宋体"/>
      <w:color w:val="000000"/>
    </w:rPr>
  </w:style>
  <w:style w:type="paragraph" w:customStyle="1" w:styleId="871">
    <w:name w:val="三级标题"/>
    <w:basedOn w:val="5"/>
    <w:link w:val="872"/>
    <w:qFormat/>
    <w:uiPriority w:val="0"/>
    <w:pPr>
      <w:numPr>
        <w:numId w:val="0"/>
      </w:numPr>
      <w:tabs>
        <w:tab w:val="left" w:pos="720"/>
      </w:tabs>
      <w:spacing w:before="156" w:beforeLines="50" w:after="156" w:afterLines="50" w:line="360" w:lineRule="auto"/>
    </w:pPr>
    <w:rPr>
      <w:rFonts w:ascii="宋体" w:hAnsi="宋体" w:eastAsia="宋体" w:cs="Arial Unicode MS"/>
      <w:bCs w:val="0"/>
      <w:sz w:val="24"/>
      <w:szCs w:val="24"/>
    </w:rPr>
  </w:style>
  <w:style w:type="character" w:customStyle="1" w:styleId="872">
    <w:name w:val="三级标题 Char"/>
    <w:link w:val="871"/>
    <w:qFormat/>
    <w:uiPriority w:val="0"/>
    <w:rPr>
      <w:rFonts w:ascii="宋体" w:hAnsi="宋体" w:cs="Arial Unicode MS"/>
      <w:b/>
      <w:kern w:val="2"/>
      <w:sz w:val="24"/>
      <w:szCs w:val="24"/>
    </w:rPr>
  </w:style>
  <w:style w:type="paragraph" w:customStyle="1" w:styleId="873">
    <w:name w:val="自动标题3级"/>
    <w:basedOn w:val="871"/>
    <w:qFormat/>
    <w:uiPriority w:val="0"/>
    <w:pPr>
      <w:spacing w:before="120" w:after="120"/>
    </w:pPr>
    <w:rPr>
      <w:color w:val="000000"/>
    </w:rPr>
  </w:style>
  <w:style w:type="paragraph" w:customStyle="1" w:styleId="874">
    <w:name w:val="自动标题2"/>
    <w:basedOn w:val="1"/>
    <w:link w:val="875"/>
    <w:qFormat/>
    <w:uiPriority w:val="0"/>
    <w:pPr>
      <w:keepNext/>
      <w:keepLines/>
      <w:tabs>
        <w:tab w:val="left" w:pos="480"/>
        <w:tab w:val="left" w:pos="1277"/>
      </w:tabs>
      <w:spacing w:before="120" w:beforeLines="50" w:after="120" w:afterLines="50" w:line="360" w:lineRule="auto"/>
      <w:ind w:left="1277" w:hanging="420"/>
      <w:outlineLvl w:val="1"/>
    </w:pPr>
    <w:rPr>
      <w:rFonts w:ascii="黑体" w:hAnsi="Arial" w:eastAsia="黑体"/>
      <w:b/>
      <w:bCs/>
      <w:color w:val="000000"/>
      <w:sz w:val="28"/>
      <w:szCs w:val="28"/>
    </w:rPr>
  </w:style>
  <w:style w:type="character" w:customStyle="1" w:styleId="875">
    <w:name w:val="自动标题2 Char"/>
    <w:link w:val="874"/>
    <w:qFormat/>
    <w:uiPriority w:val="0"/>
    <w:rPr>
      <w:rFonts w:ascii="黑体" w:hAnsi="Arial" w:eastAsia="黑体"/>
      <w:b/>
      <w:bCs/>
      <w:color w:val="000000"/>
      <w:kern w:val="2"/>
      <w:sz w:val="28"/>
      <w:szCs w:val="28"/>
    </w:rPr>
  </w:style>
  <w:style w:type="paragraph" w:customStyle="1" w:styleId="876">
    <w:name w:val="一"/>
    <w:basedOn w:val="1"/>
    <w:qFormat/>
    <w:uiPriority w:val="0"/>
    <w:pPr>
      <w:widowControl/>
      <w:spacing w:before="100" w:beforeAutospacing="1" w:after="100" w:afterAutospacing="1"/>
    </w:pPr>
    <w:rPr>
      <w:b/>
      <w:bCs/>
      <w:kern w:val="0"/>
      <w:szCs w:val="20"/>
    </w:rPr>
  </w:style>
  <w:style w:type="paragraph" w:customStyle="1" w:styleId="877">
    <w:name w:val="自动表格内部"/>
    <w:basedOn w:val="1"/>
    <w:qFormat/>
    <w:uiPriority w:val="0"/>
    <w:pPr>
      <w:adjustRightInd w:val="0"/>
      <w:snapToGrid w:val="0"/>
      <w:jc w:val="center"/>
    </w:pPr>
    <w:rPr>
      <w:sz w:val="21"/>
      <w:szCs w:val="21"/>
    </w:rPr>
  </w:style>
  <w:style w:type="paragraph" w:customStyle="1" w:styleId="878">
    <w:name w:val="样式 标题 2标题 21 + Times New Roman 小三 非加粗 行距: 最小值 24 磅"/>
    <w:basedOn w:val="4"/>
    <w:qFormat/>
    <w:uiPriority w:val="0"/>
    <w:pPr>
      <w:numPr>
        <w:ilvl w:val="0"/>
        <w:numId w:val="16"/>
      </w:numPr>
      <w:spacing w:before="120" w:after="120" w:line="480" w:lineRule="atLeast"/>
    </w:pPr>
    <w:rPr>
      <w:rFonts w:ascii="宋体" w:hAnsi="宋体" w:cs="宋体"/>
      <w:b w:val="0"/>
      <w:bCs w:val="0"/>
      <w:color w:val="000000"/>
      <w:sz w:val="28"/>
      <w:szCs w:val="28"/>
      <w:lang w:val="zh-CN"/>
    </w:rPr>
  </w:style>
  <w:style w:type="paragraph" w:customStyle="1" w:styleId="879">
    <w:name w:val="表头一"/>
    <w:basedOn w:val="1"/>
    <w:next w:val="21"/>
    <w:semiHidden/>
    <w:qFormat/>
    <w:uiPriority w:val="0"/>
    <w:pPr>
      <w:spacing w:before="50" w:beforeLines="50"/>
      <w:jc w:val="center"/>
    </w:pPr>
    <w:rPr>
      <w:b/>
      <w:sz w:val="28"/>
    </w:rPr>
  </w:style>
  <w:style w:type="paragraph" w:customStyle="1" w:styleId="880">
    <w:name w:val="样式 表格编号 + 首行缩进:  2 字符 段前: 0.25 行 段后: 1 行"/>
    <w:basedOn w:val="1"/>
    <w:semiHidden/>
    <w:qFormat/>
    <w:uiPriority w:val="0"/>
    <w:pPr>
      <w:spacing w:before="25" w:beforeLines="25" w:after="25" w:afterLines="25"/>
      <w:ind w:firstLine="200" w:firstLineChars="200"/>
    </w:pPr>
    <w:rPr>
      <w:sz w:val="21"/>
      <w:szCs w:val="20"/>
    </w:rPr>
  </w:style>
  <w:style w:type="character" w:customStyle="1" w:styleId="881">
    <w:name w:val="GDCI标题 3 Char Char1"/>
    <w:semiHidden/>
    <w:qFormat/>
    <w:uiPriority w:val="0"/>
    <w:rPr>
      <w:rFonts w:ascii="宋体" w:hAnsi="宋体" w:eastAsia="宋体" w:cs="宋体"/>
      <w:b/>
      <w:bCs/>
      <w:color w:val="000000"/>
      <w:kern w:val="2"/>
      <w:sz w:val="24"/>
      <w:szCs w:val="28"/>
      <w:lang w:val="en-US" w:eastAsia="zh-CN" w:bidi="ar-SA"/>
    </w:rPr>
  </w:style>
  <w:style w:type="character" w:customStyle="1" w:styleId="882">
    <w:name w:val="GDCI标题 2 Char"/>
    <w:qFormat/>
    <w:uiPriority w:val="0"/>
    <w:rPr>
      <w:rFonts w:ascii="Arial" w:hAnsi="Arial" w:eastAsia="黑体"/>
      <w:b/>
      <w:bCs/>
      <w:kern w:val="2"/>
      <w:sz w:val="32"/>
      <w:szCs w:val="32"/>
      <w:lang w:val="en-US" w:eastAsia="zh-CN" w:bidi="ar-SA"/>
    </w:rPr>
  </w:style>
  <w:style w:type="character" w:customStyle="1" w:styleId="883">
    <w:name w:val="GDCI标题 1 Char Char"/>
    <w:semiHidden/>
    <w:qFormat/>
    <w:uiPriority w:val="0"/>
    <w:rPr>
      <w:rFonts w:eastAsia="宋体"/>
      <w:b/>
      <w:bCs/>
      <w:color w:val="000000"/>
      <w:kern w:val="44"/>
      <w:sz w:val="32"/>
      <w:szCs w:val="44"/>
      <w:lang w:val="en-US" w:eastAsia="zh-CN" w:bidi="ar-SA"/>
    </w:rPr>
  </w:style>
  <w:style w:type="paragraph" w:customStyle="1" w:styleId="884">
    <w:name w:val="GDCI题注两端对齐"/>
    <w:basedOn w:val="22"/>
    <w:semiHidden/>
    <w:qFormat/>
    <w:uiPriority w:val="0"/>
    <w:pPr>
      <w:jc w:val="both"/>
    </w:pPr>
    <w:rPr>
      <w:rFonts w:cs="Arial"/>
      <w:b w:val="0"/>
    </w:rPr>
  </w:style>
  <w:style w:type="paragraph" w:customStyle="1" w:styleId="885">
    <w:name w:val="GDCI正文"/>
    <w:basedOn w:val="1"/>
    <w:next w:val="1"/>
    <w:semiHidden/>
    <w:qFormat/>
    <w:uiPriority w:val="0"/>
    <w:pPr>
      <w:adjustRightInd w:val="0"/>
      <w:snapToGrid w:val="0"/>
      <w:spacing w:before="20" w:beforeLines="20" w:after="20" w:afterLines="20" w:line="312" w:lineRule="auto"/>
      <w:ind w:firstLine="200" w:firstLineChars="200"/>
    </w:pPr>
    <w:rPr>
      <w:rFonts w:cs="宋体"/>
      <w:szCs w:val="20"/>
    </w:rPr>
  </w:style>
  <w:style w:type="paragraph" w:customStyle="1" w:styleId="886">
    <w:name w:val="样式 正文 +"/>
    <w:basedOn w:val="1"/>
    <w:semiHidden/>
    <w:qFormat/>
    <w:uiPriority w:val="0"/>
    <w:pPr>
      <w:spacing w:line="360" w:lineRule="auto"/>
      <w:ind w:firstLine="480" w:firstLineChars="200"/>
      <w:jc w:val="left"/>
    </w:pPr>
    <w:rPr>
      <w:rFonts w:cs="宋体"/>
      <w:szCs w:val="20"/>
    </w:rPr>
  </w:style>
  <w:style w:type="paragraph" w:customStyle="1" w:styleId="887">
    <w:name w:val="题注蔡"/>
    <w:basedOn w:val="22"/>
    <w:link w:val="888"/>
    <w:semiHidden/>
    <w:qFormat/>
    <w:uiPriority w:val="0"/>
    <w:pPr>
      <w:spacing w:line="360" w:lineRule="auto"/>
    </w:pPr>
    <w:rPr>
      <w:rFonts w:ascii="Arial" w:hAnsi="Arial" w:cs="宋体"/>
      <w:b w:val="0"/>
      <w:szCs w:val="20"/>
    </w:rPr>
  </w:style>
  <w:style w:type="character" w:customStyle="1" w:styleId="888">
    <w:name w:val="题注蔡 Char Char"/>
    <w:link w:val="887"/>
    <w:qFormat/>
    <w:uiPriority w:val="0"/>
    <w:rPr>
      <w:rFonts w:ascii="Arial" w:hAnsi="Arial" w:cs="宋体"/>
      <w:kern w:val="2"/>
      <w:sz w:val="24"/>
    </w:rPr>
  </w:style>
  <w:style w:type="paragraph" w:customStyle="1" w:styleId="889">
    <w:name w:val="样式 标题03"/>
    <w:basedOn w:val="1"/>
    <w:semiHidden/>
    <w:qFormat/>
    <w:uiPriority w:val="0"/>
    <w:pPr>
      <w:numPr>
        <w:ilvl w:val="2"/>
        <w:numId w:val="17"/>
      </w:numPr>
      <w:adjustRightInd w:val="0"/>
      <w:snapToGrid w:val="0"/>
      <w:spacing w:before="156" w:beforeLines="50" w:after="156" w:afterLines="50" w:line="288" w:lineRule="auto"/>
      <w:outlineLvl w:val="2"/>
    </w:pPr>
    <w:rPr>
      <w:b/>
      <w:color w:val="0000FF"/>
      <w:szCs w:val="20"/>
    </w:rPr>
  </w:style>
  <w:style w:type="paragraph" w:customStyle="1" w:styleId="890">
    <w:name w:val="正文首行缩进:  2 字符 + 首行缩进:  2 字符 段前: 0.5 行 段后: 0.5 行"/>
    <w:basedOn w:val="1"/>
    <w:link w:val="891"/>
    <w:semiHidden/>
    <w:qFormat/>
    <w:uiPriority w:val="0"/>
    <w:pPr>
      <w:wordWrap w:val="0"/>
      <w:spacing w:before="50" w:beforeLines="50" w:after="50" w:afterLines="50" w:line="500" w:lineRule="exact"/>
      <w:ind w:firstLine="200" w:firstLineChars="200"/>
      <w:jc w:val="left"/>
    </w:pPr>
    <w:rPr>
      <w:rFonts w:cs="宋体"/>
      <w:szCs w:val="20"/>
    </w:rPr>
  </w:style>
  <w:style w:type="character" w:customStyle="1" w:styleId="891">
    <w:name w:val="正文首行缩进:  2 字符 + 首行缩进:  2 字符 段前: 0.5 行 段后: 0.5 行 Char"/>
    <w:link w:val="890"/>
    <w:qFormat/>
    <w:uiPriority w:val="0"/>
    <w:rPr>
      <w:rFonts w:cs="宋体"/>
      <w:kern w:val="2"/>
      <w:sz w:val="24"/>
    </w:rPr>
  </w:style>
  <w:style w:type="paragraph" w:customStyle="1" w:styleId="892">
    <w:name w:val="样式 标题 3 + 段前: 0.2 行 段后: 0.2 行"/>
    <w:basedOn w:val="5"/>
    <w:semiHidden/>
    <w:qFormat/>
    <w:uiPriority w:val="0"/>
    <w:pPr>
      <w:numPr>
        <w:numId w:val="0"/>
      </w:numPr>
      <w:adjustRightInd w:val="0"/>
      <w:snapToGrid w:val="0"/>
      <w:spacing w:before="20" w:beforeLines="20" w:after="20" w:afterLines="20"/>
    </w:pPr>
    <w:rPr>
      <w:rFonts w:ascii="宋体" w:hAnsi="宋体" w:eastAsia="宋体" w:cs="宋体"/>
      <w:color w:val="000000"/>
      <w:sz w:val="24"/>
      <w:szCs w:val="20"/>
      <w:lang w:val="zh-CN"/>
    </w:rPr>
  </w:style>
  <w:style w:type="character" w:customStyle="1" w:styleId="893">
    <w:name w:val="GDCI标题 3 Char Char"/>
    <w:semiHidden/>
    <w:qFormat/>
    <w:uiPriority w:val="0"/>
    <w:rPr>
      <w:rFonts w:ascii="宋体" w:hAnsi="宋体" w:cs="宋体"/>
      <w:b/>
      <w:bCs/>
      <w:kern w:val="2"/>
      <w:sz w:val="24"/>
      <w:szCs w:val="28"/>
    </w:rPr>
  </w:style>
  <w:style w:type="table" w:customStyle="1" w:styleId="894">
    <w:name w:val="网格型1"/>
    <w:basedOn w:val="88"/>
    <w:qFormat/>
    <w:uiPriority w:val="59"/>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Pr>
  </w:style>
  <w:style w:type="paragraph" w:customStyle="1" w:styleId="895">
    <w:name w:val="xl100"/>
    <w:basedOn w:val="1"/>
    <w:qFormat/>
    <w:uiPriority w:val="0"/>
    <w:pPr>
      <w:widowControl/>
      <w:pBdr>
        <w:left w:val="single" w:color="auto" w:sz="4" w:space="0"/>
        <w:right w:val="single" w:color="auto" w:sz="4" w:space="0"/>
      </w:pBdr>
      <w:adjustRightInd w:val="0"/>
      <w:snapToGrid w:val="0"/>
      <w:spacing w:before="100" w:beforeLines="20" w:beforeAutospacing="1" w:after="100" w:afterLines="20" w:afterAutospacing="1" w:line="312" w:lineRule="auto"/>
      <w:jc w:val="center"/>
      <w:textAlignment w:val="center"/>
    </w:pPr>
    <w:rPr>
      <w:rFonts w:ascii="宋体" w:hAnsi="宋体" w:cs="宋体"/>
      <w:b/>
      <w:bCs/>
      <w:kern w:val="0"/>
      <w:sz w:val="20"/>
      <w:szCs w:val="20"/>
    </w:rPr>
  </w:style>
  <w:style w:type="paragraph" w:customStyle="1" w:styleId="896">
    <w:name w:val="xl101"/>
    <w:basedOn w:val="1"/>
    <w:qFormat/>
    <w:uiPriority w:val="0"/>
    <w:pPr>
      <w:widowControl/>
      <w:pBdr>
        <w:left w:val="single" w:color="auto" w:sz="4" w:space="0"/>
        <w:bottom w:val="single" w:color="auto" w:sz="4" w:space="0"/>
        <w:right w:val="single" w:color="auto" w:sz="4" w:space="0"/>
      </w:pBdr>
      <w:adjustRightInd w:val="0"/>
      <w:snapToGrid w:val="0"/>
      <w:spacing w:before="100" w:beforeLines="20" w:beforeAutospacing="1" w:after="100" w:afterLines="20" w:afterAutospacing="1" w:line="312" w:lineRule="auto"/>
      <w:jc w:val="center"/>
      <w:textAlignment w:val="center"/>
    </w:pPr>
    <w:rPr>
      <w:rFonts w:ascii="宋体" w:hAnsi="宋体" w:cs="宋体"/>
      <w:b/>
      <w:bCs/>
      <w:kern w:val="0"/>
      <w:sz w:val="20"/>
      <w:szCs w:val="20"/>
    </w:rPr>
  </w:style>
  <w:style w:type="paragraph" w:customStyle="1" w:styleId="897">
    <w:name w:val="xl102"/>
    <w:basedOn w:val="1"/>
    <w:qFormat/>
    <w:uiPriority w:val="0"/>
    <w:pPr>
      <w:widowControl/>
      <w:pBdr>
        <w:top w:val="single" w:color="auto" w:sz="4" w:space="0"/>
        <w:left w:val="single" w:color="auto" w:sz="4" w:space="0"/>
        <w:bottom w:val="single" w:color="auto" w:sz="4" w:space="0"/>
      </w:pBdr>
      <w:adjustRightInd w:val="0"/>
      <w:snapToGrid w:val="0"/>
      <w:spacing w:before="100" w:beforeLines="20" w:beforeAutospacing="1" w:after="100" w:afterLines="20" w:afterAutospacing="1" w:line="312" w:lineRule="auto"/>
      <w:jc w:val="center"/>
      <w:textAlignment w:val="center"/>
    </w:pPr>
    <w:rPr>
      <w:rFonts w:ascii="宋体" w:hAnsi="宋体" w:cs="宋体"/>
      <w:b/>
      <w:bCs/>
      <w:kern w:val="0"/>
      <w:sz w:val="20"/>
      <w:szCs w:val="20"/>
    </w:rPr>
  </w:style>
  <w:style w:type="paragraph" w:customStyle="1" w:styleId="898">
    <w:name w:val="xl103"/>
    <w:basedOn w:val="1"/>
    <w:qFormat/>
    <w:uiPriority w:val="0"/>
    <w:pPr>
      <w:widowControl/>
      <w:pBdr>
        <w:top w:val="single" w:color="auto" w:sz="4" w:space="0"/>
        <w:bottom w:val="single" w:color="auto" w:sz="4" w:space="0"/>
        <w:right w:val="single" w:color="auto" w:sz="4" w:space="0"/>
      </w:pBdr>
      <w:adjustRightInd w:val="0"/>
      <w:snapToGrid w:val="0"/>
      <w:spacing w:before="100" w:beforeLines="20" w:beforeAutospacing="1" w:after="100" w:afterLines="20" w:afterAutospacing="1" w:line="312" w:lineRule="auto"/>
      <w:jc w:val="center"/>
      <w:textAlignment w:val="center"/>
    </w:pPr>
    <w:rPr>
      <w:rFonts w:ascii="宋体" w:hAnsi="宋体" w:cs="宋体"/>
      <w:b/>
      <w:bCs/>
      <w:kern w:val="0"/>
      <w:sz w:val="20"/>
      <w:szCs w:val="20"/>
    </w:rPr>
  </w:style>
  <w:style w:type="paragraph" w:customStyle="1" w:styleId="899">
    <w:name w:val="xl104"/>
    <w:basedOn w:val="1"/>
    <w:qFormat/>
    <w:uiPriority w:val="0"/>
    <w:pPr>
      <w:widowControl/>
      <w:pBdr>
        <w:top w:val="single" w:color="auto" w:sz="4" w:space="0"/>
        <w:left w:val="single" w:color="auto" w:sz="4" w:space="0"/>
        <w:right w:val="single" w:color="auto" w:sz="4" w:space="0"/>
      </w:pBdr>
      <w:adjustRightInd w:val="0"/>
      <w:snapToGrid w:val="0"/>
      <w:spacing w:before="100" w:beforeLines="20" w:beforeAutospacing="1" w:after="100" w:afterLines="20" w:afterAutospacing="1" w:line="312" w:lineRule="auto"/>
      <w:jc w:val="center"/>
      <w:textAlignment w:val="center"/>
    </w:pPr>
    <w:rPr>
      <w:rFonts w:ascii="宋体" w:hAnsi="宋体" w:cs="宋体"/>
      <w:b/>
      <w:bCs/>
      <w:kern w:val="0"/>
      <w:sz w:val="20"/>
      <w:szCs w:val="20"/>
    </w:rPr>
  </w:style>
  <w:style w:type="paragraph" w:customStyle="1" w:styleId="900">
    <w:name w:val="xl105"/>
    <w:basedOn w:val="1"/>
    <w:qFormat/>
    <w:uiPriority w:val="0"/>
    <w:pPr>
      <w:widowControl/>
      <w:pBdr>
        <w:left w:val="single" w:color="auto" w:sz="4" w:space="0"/>
        <w:bottom w:val="single" w:color="auto" w:sz="4" w:space="0"/>
        <w:right w:val="single" w:color="auto" w:sz="4" w:space="0"/>
      </w:pBdr>
      <w:adjustRightInd w:val="0"/>
      <w:snapToGrid w:val="0"/>
      <w:spacing w:before="100" w:beforeLines="20" w:beforeAutospacing="1" w:after="100" w:afterLines="20" w:afterAutospacing="1" w:line="312" w:lineRule="auto"/>
      <w:jc w:val="center"/>
      <w:textAlignment w:val="center"/>
    </w:pPr>
    <w:rPr>
      <w:rFonts w:ascii="宋体" w:hAnsi="宋体" w:cs="宋体"/>
      <w:b/>
      <w:bCs/>
      <w:kern w:val="0"/>
      <w:sz w:val="20"/>
      <w:szCs w:val="20"/>
    </w:rPr>
  </w:style>
  <w:style w:type="paragraph" w:customStyle="1" w:styleId="901">
    <w:name w:val="xl106"/>
    <w:basedOn w:val="1"/>
    <w:qFormat/>
    <w:uiPriority w:val="0"/>
    <w:pPr>
      <w:widowControl/>
      <w:pBdr>
        <w:top w:val="single" w:color="auto" w:sz="4" w:space="0"/>
        <w:left w:val="single" w:color="auto" w:sz="4" w:space="0"/>
        <w:bottom w:val="single" w:color="auto" w:sz="4" w:space="0"/>
      </w:pBdr>
      <w:adjustRightInd w:val="0"/>
      <w:snapToGrid w:val="0"/>
      <w:spacing w:before="100" w:beforeLines="20" w:beforeAutospacing="1" w:after="100" w:afterLines="20" w:afterAutospacing="1" w:line="312" w:lineRule="auto"/>
      <w:jc w:val="center"/>
      <w:textAlignment w:val="center"/>
    </w:pPr>
    <w:rPr>
      <w:rFonts w:ascii="宋体" w:hAnsi="宋体" w:cs="宋体"/>
      <w:b/>
      <w:bCs/>
      <w:kern w:val="0"/>
      <w:sz w:val="20"/>
      <w:szCs w:val="20"/>
    </w:rPr>
  </w:style>
  <w:style w:type="paragraph" w:customStyle="1" w:styleId="902">
    <w:name w:val="xl107"/>
    <w:basedOn w:val="1"/>
    <w:qFormat/>
    <w:uiPriority w:val="0"/>
    <w:pPr>
      <w:widowControl/>
      <w:pBdr>
        <w:top w:val="single" w:color="auto" w:sz="4" w:space="0"/>
        <w:bottom w:val="single" w:color="auto" w:sz="4" w:space="0"/>
      </w:pBdr>
      <w:adjustRightInd w:val="0"/>
      <w:snapToGrid w:val="0"/>
      <w:spacing w:before="100" w:beforeLines="20" w:beforeAutospacing="1" w:after="100" w:afterLines="20" w:afterAutospacing="1" w:line="312" w:lineRule="auto"/>
      <w:jc w:val="center"/>
      <w:textAlignment w:val="center"/>
    </w:pPr>
    <w:rPr>
      <w:rFonts w:ascii="宋体" w:hAnsi="宋体" w:cs="宋体"/>
      <w:b/>
      <w:bCs/>
      <w:kern w:val="0"/>
      <w:sz w:val="20"/>
      <w:szCs w:val="20"/>
    </w:rPr>
  </w:style>
  <w:style w:type="paragraph" w:customStyle="1" w:styleId="903">
    <w:name w:val="xl108"/>
    <w:basedOn w:val="1"/>
    <w:qFormat/>
    <w:uiPriority w:val="0"/>
    <w:pPr>
      <w:widowControl/>
      <w:pBdr>
        <w:top w:val="single" w:color="auto" w:sz="4" w:space="0"/>
        <w:bottom w:val="single" w:color="auto" w:sz="4" w:space="0"/>
        <w:right w:val="single" w:color="auto" w:sz="4" w:space="0"/>
      </w:pBdr>
      <w:adjustRightInd w:val="0"/>
      <w:snapToGrid w:val="0"/>
      <w:spacing w:before="100" w:beforeLines="20" w:beforeAutospacing="1" w:after="100" w:afterLines="20" w:afterAutospacing="1" w:line="312" w:lineRule="auto"/>
      <w:jc w:val="center"/>
      <w:textAlignment w:val="center"/>
    </w:pPr>
    <w:rPr>
      <w:rFonts w:ascii="宋体" w:hAnsi="宋体" w:cs="宋体"/>
      <w:b/>
      <w:bCs/>
      <w:kern w:val="0"/>
      <w:sz w:val="20"/>
      <w:szCs w:val="20"/>
    </w:rPr>
  </w:style>
  <w:style w:type="paragraph" w:customStyle="1" w:styleId="904">
    <w:name w:val="xl109"/>
    <w:basedOn w:val="1"/>
    <w:qFormat/>
    <w:uiPriority w:val="0"/>
    <w:pPr>
      <w:widowControl/>
      <w:pBdr>
        <w:top w:val="single" w:color="auto" w:sz="4" w:space="0"/>
        <w:bottom w:val="single" w:color="auto" w:sz="4" w:space="0"/>
      </w:pBdr>
      <w:adjustRightInd w:val="0"/>
      <w:snapToGrid w:val="0"/>
      <w:spacing w:before="100" w:beforeLines="20" w:beforeAutospacing="1" w:after="100" w:afterLines="20" w:afterAutospacing="1" w:line="312" w:lineRule="auto"/>
      <w:jc w:val="center"/>
      <w:textAlignment w:val="center"/>
    </w:pPr>
    <w:rPr>
      <w:rFonts w:ascii="宋体" w:hAnsi="宋体" w:cs="宋体"/>
      <w:b/>
      <w:bCs/>
      <w:kern w:val="0"/>
      <w:sz w:val="20"/>
      <w:szCs w:val="20"/>
    </w:rPr>
  </w:style>
  <w:style w:type="paragraph" w:customStyle="1" w:styleId="905">
    <w:name w:val="xl110"/>
    <w:basedOn w:val="1"/>
    <w:qFormat/>
    <w:uiPriority w:val="0"/>
    <w:pPr>
      <w:widowControl/>
      <w:adjustRightInd w:val="0"/>
      <w:snapToGrid w:val="0"/>
      <w:spacing w:before="100" w:beforeLines="20" w:beforeAutospacing="1" w:after="100" w:afterLines="20" w:afterAutospacing="1" w:line="312" w:lineRule="auto"/>
      <w:jc w:val="left"/>
      <w:textAlignment w:val="center"/>
    </w:pPr>
    <w:rPr>
      <w:rFonts w:ascii="宋体" w:hAnsi="宋体" w:cs="宋体"/>
      <w:kern w:val="0"/>
      <w:sz w:val="18"/>
      <w:szCs w:val="18"/>
    </w:rPr>
  </w:style>
  <w:style w:type="paragraph" w:customStyle="1" w:styleId="906">
    <w:name w:val="xl111"/>
    <w:basedOn w:val="1"/>
    <w:qFormat/>
    <w:uiPriority w:val="0"/>
    <w:pPr>
      <w:widowControl/>
      <w:pBdr>
        <w:top w:val="single" w:color="auto" w:sz="4" w:space="0"/>
        <w:left w:val="single" w:color="auto" w:sz="4" w:space="0"/>
        <w:right w:val="single" w:color="auto" w:sz="4" w:space="0"/>
      </w:pBdr>
      <w:adjustRightInd w:val="0"/>
      <w:snapToGrid w:val="0"/>
      <w:spacing w:before="100" w:beforeLines="20" w:beforeAutospacing="1" w:after="100" w:afterLines="20" w:afterAutospacing="1" w:line="312" w:lineRule="auto"/>
      <w:jc w:val="center"/>
      <w:textAlignment w:val="center"/>
    </w:pPr>
    <w:rPr>
      <w:rFonts w:ascii="宋体" w:hAnsi="宋体" w:cs="宋体"/>
      <w:b/>
      <w:bCs/>
      <w:kern w:val="0"/>
      <w:sz w:val="20"/>
      <w:szCs w:val="20"/>
    </w:rPr>
  </w:style>
  <w:style w:type="character" w:customStyle="1" w:styleId="907">
    <w:name w:val="style3 Char Char"/>
    <w:semiHidden/>
    <w:qFormat/>
    <w:uiPriority w:val="0"/>
    <w:rPr>
      <w:rFonts w:eastAsia="宋体"/>
      <w:b/>
      <w:bCs/>
      <w:kern w:val="2"/>
      <w:sz w:val="32"/>
      <w:szCs w:val="32"/>
      <w:lang w:val="en-US" w:eastAsia="zh-CN" w:bidi="ar-SA"/>
    </w:rPr>
  </w:style>
  <w:style w:type="paragraph" w:customStyle="1" w:styleId="908">
    <w:name w:val="正文01"/>
    <w:basedOn w:val="1"/>
    <w:link w:val="909"/>
    <w:qFormat/>
    <w:uiPriority w:val="0"/>
    <w:pPr>
      <w:adjustRightInd w:val="0"/>
      <w:snapToGrid w:val="0"/>
      <w:spacing w:before="155" w:beforeLines="50" w:after="155" w:afterLines="50" w:line="288" w:lineRule="auto"/>
      <w:ind w:firstLine="560" w:firstLineChars="200"/>
    </w:pPr>
    <w:rPr>
      <w:rFonts w:hAnsi="Arial"/>
      <w:snapToGrid w:val="0"/>
      <w:szCs w:val="28"/>
    </w:rPr>
  </w:style>
  <w:style w:type="character" w:customStyle="1" w:styleId="909">
    <w:name w:val="正文01 Char"/>
    <w:link w:val="908"/>
    <w:qFormat/>
    <w:uiPriority w:val="0"/>
    <w:rPr>
      <w:rFonts w:hAnsi="Arial"/>
      <w:snapToGrid w:val="0"/>
      <w:kern w:val="2"/>
      <w:sz w:val="24"/>
      <w:szCs w:val="28"/>
    </w:rPr>
  </w:style>
  <w:style w:type="paragraph" w:customStyle="1" w:styleId="910">
    <w:name w:val="公式图片"/>
    <w:basedOn w:val="1"/>
    <w:semiHidden/>
    <w:qFormat/>
    <w:uiPriority w:val="0"/>
    <w:pPr>
      <w:adjustRightInd w:val="0"/>
      <w:snapToGrid w:val="0"/>
      <w:spacing w:before="20" w:beforeLines="20" w:after="20" w:afterLines="20"/>
      <w:jc w:val="center"/>
    </w:pPr>
    <w:rPr>
      <w:szCs w:val="20"/>
    </w:rPr>
  </w:style>
  <w:style w:type="paragraph" w:customStyle="1" w:styleId="911">
    <w:name w:val="图片公式"/>
    <w:basedOn w:val="4"/>
    <w:semiHidden/>
    <w:qFormat/>
    <w:uiPriority w:val="0"/>
    <w:pPr>
      <w:keepNext w:val="0"/>
      <w:keepLines w:val="0"/>
      <w:widowControl/>
      <w:numPr>
        <w:ilvl w:val="0"/>
        <w:numId w:val="0"/>
      </w:numPr>
      <w:adjustRightInd w:val="0"/>
      <w:snapToGrid w:val="0"/>
      <w:spacing w:line="240" w:lineRule="auto"/>
      <w:jc w:val="center"/>
      <w:textAlignment w:val="baseline"/>
      <w:outlineLvl w:val="9"/>
    </w:pPr>
    <w:rPr>
      <w:rFonts w:eastAsia="宋体" w:cs="宋体"/>
      <w:b w:val="0"/>
      <w:kern w:val="0"/>
      <w:sz w:val="28"/>
      <w:szCs w:val="28"/>
      <w:lang w:val="zh-CN"/>
    </w:rPr>
  </w:style>
  <w:style w:type="paragraph" w:customStyle="1" w:styleId="912">
    <w:name w:val="三号"/>
    <w:basedOn w:val="1"/>
    <w:semiHidden/>
    <w:qFormat/>
    <w:uiPriority w:val="0"/>
    <w:pPr>
      <w:adjustRightInd w:val="0"/>
      <w:snapToGrid w:val="0"/>
      <w:spacing w:before="20" w:beforeLines="20" w:after="20" w:afterLines="20" w:line="312" w:lineRule="auto"/>
      <w:jc w:val="center"/>
    </w:pPr>
    <w:rPr>
      <w:b/>
      <w:sz w:val="32"/>
      <w:szCs w:val="20"/>
    </w:rPr>
  </w:style>
  <w:style w:type="paragraph" w:customStyle="1" w:styleId="913">
    <w:name w:val="xl99"/>
    <w:basedOn w:val="1"/>
    <w:qFormat/>
    <w:uiPriority w:val="0"/>
    <w:pPr>
      <w:widowControl/>
      <w:pBdr>
        <w:top w:val="single" w:color="auto" w:sz="4" w:space="0"/>
        <w:left w:val="single" w:color="auto" w:sz="4" w:space="0"/>
        <w:right w:val="single" w:color="auto" w:sz="4" w:space="0"/>
      </w:pBdr>
      <w:spacing w:before="100" w:beforeAutospacing="1" w:after="100" w:afterAutospacing="1" w:line="288" w:lineRule="auto"/>
      <w:jc w:val="center"/>
      <w:textAlignment w:val="center"/>
    </w:pPr>
    <w:rPr>
      <w:rFonts w:ascii="宋体" w:hAnsi="宋体" w:cs="宋体"/>
      <w:b/>
      <w:bCs/>
      <w:kern w:val="0"/>
      <w:sz w:val="20"/>
      <w:szCs w:val="20"/>
    </w:rPr>
  </w:style>
  <w:style w:type="paragraph" w:customStyle="1" w:styleId="914">
    <w:name w:val="xl112"/>
    <w:basedOn w:val="1"/>
    <w:qFormat/>
    <w:uiPriority w:val="0"/>
    <w:pPr>
      <w:widowControl/>
      <w:pBdr>
        <w:left w:val="single" w:color="auto" w:sz="4" w:space="0"/>
        <w:bottom w:val="single" w:color="auto" w:sz="4" w:space="0"/>
        <w:right w:val="single" w:color="auto" w:sz="4" w:space="0"/>
      </w:pBdr>
      <w:spacing w:before="100" w:beforeAutospacing="1" w:after="100" w:afterAutospacing="1" w:line="288" w:lineRule="auto"/>
      <w:jc w:val="center"/>
      <w:textAlignment w:val="center"/>
    </w:pPr>
    <w:rPr>
      <w:rFonts w:ascii="宋体" w:hAnsi="宋体" w:cs="宋体"/>
      <w:b/>
      <w:bCs/>
      <w:kern w:val="0"/>
      <w:sz w:val="20"/>
      <w:szCs w:val="20"/>
    </w:rPr>
  </w:style>
  <w:style w:type="paragraph" w:customStyle="1" w:styleId="915">
    <w:name w:val="xl113"/>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88" w:lineRule="auto"/>
      <w:jc w:val="left"/>
      <w:textAlignment w:val="center"/>
    </w:pPr>
    <w:rPr>
      <w:rFonts w:ascii="宋体" w:hAnsi="宋体" w:cs="宋体"/>
      <w:kern w:val="0"/>
      <w:sz w:val="20"/>
      <w:szCs w:val="20"/>
    </w:rPr>
  </w:style>
  <w:style w:type="paragraph" w:customStyle="1" w:styleId="916">
    <w:name w:val="xl114"/>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88" w:lineRule="auto"/>
      <w:jc w:val="left"/>
      <w:textAlignment w:val="center"/>
    </w:pPr>
    <w:rPr>
      <w:rFonts w:ascii="宋体" w:hAnsi="宋体" w:cs="宋体"/>
      <w:kern w:val="0"/>
      <w:sz w:val="20"/>
      <w:szCs w:val="20"/>
    </w:rPr>
  </w:style>
  <w:style w:type="paragraph" w:customStyle="1" w:styleId="917">
    <w:name w:val="xl115"/>
    <w:basedOn w:val="1"/>
    <w:qFormat/>
    <w:uiPriority w:val="0"/>
    <w:pPr>
      <w:widowControl/>
      <w:pBdr>
        <w:bottom w:val="single" w:color="auto" w:sz="4" w:space="0"/>
      </w:pBdr>
      <w:spacing w:before="100" w:beforeAutospacing="1" w:after="100" w:afterAutospacing="1" w:line="288" w:lineRule="auto"/>
      <w:jc w:val="left"/>
      <w:textAlignment w:val="center"/>
    </w:pPr>
    <w:rPr>
      <w:rFonts w:ascii="宋体" w:hAnsi="宋体" w:cs="宋体"/>
      <w:kern w:val="0"/>
      <w:sz w:val="20"/>
      <w:szCs w:val="20"/>
    </w:rPr>
  </w:style>
  <w:style w:type="paragraph" w:customStyle="1" w:styleId="918">
    <w:name w:val="xl116"/>
    <w:basedOn w:val="1"/>
    <w:qFormat/>
    <w:uiPriority w:val="0"/>
    <w:pPr>
      <w:widowControl/>
      <w:pBdr>
        <w:left w:val="single" w:color="auto" w:sz="4" w:space="0"/>
        <w:bottom w:val="single" w:color="auto" w:sz="4" w:space="0"/>
        <w:right w:val="single" w:color="auto" w:sz="4" w:space="0"/>
      </w:pBdr>
      <w:spacing w:before="100" w:beforeAutospacing="1" w:after="100" w:afterAutospacing="1" w:line="288" w:lineRule="auto"/>
      <w:jc w:val="center"/>
      <w:textAlignment w:val="center"/>
    </w:pPr>
    <w:rPr>
      <w:rFonts w:ascii="宋体" w:hAnsi="宋体" w:cs="宋体"/>
      <w:b/>
      <w:bCs/>
      <w:kern w:val="0"/>
      <w:sz w:val="20"/>
      <w:szCs w:val="20"/>
    </w:rPr>
  </w:style>
  <w:style w:type="paragraph" w:customStyle="1" w:styleId="919">
    <w:name w:val="xl117"/>
    <w:basedOn w:val="1"/>
    <w:qFormat/>
    <w:uiPriority w:val="0"/>
    <w:pPr>
      <w:widowControl/>
      <w:pBdr>
        <w:top w:val="single" w:color="auto" w:sz="4" w:space="0"/>
        <w:bottom w:val="single" w:color="auto" w:sz="4" w:space="0"/>
      </w:pBdr>
      <w:spacing w:before="100" w:beforeAutospacing="1" w:after="100" w:afterAutospacing="1" w:line="288" w:lineRule="auto"/>
      <w:jc w:val="center"/>
      <w:textAlignment w:val="center"/>
    </w:pPr>
    <w:rPr>
      <w:rFonts w:ascii="宋体" w:hAnsi="宋体" w:cs="宋体"/>
      <w:b/>
      <w:bCs/>
      <w:kern w:val="0"/>
      <w:sz w:val="20"/>
      <w:szCs w:val="20"/>
    </w:rPr>
  </w:style>
  <w:style w:type="paragraph" w:customStyle="1" w:styleId="920">
    <w:name w:val="xl118"/>
    <w:basedOn w:val="1"/>
    <w:qFormat/>
    <w:uiPriority w:val="0"/>
    <w:pPr>
      <w:widowControl/>
      <w:spacing w:before="100" w:beforeAutospacing="1" w:after="100" w:afterAutospacing="1" w:line="288" w:lineRule="auto"/>
      <w:jc w:val="center"/>
      <w:textAlignment w:val="center"/>
    </w:pPr>
    <w:rPr>
      <w:rFonts w:ascii="宋体" w:hAnsi="宋体" w:cs="宋体"/>
      <w:b/>
      <w:bCs/>
      <w:kern w:val="0"/>
      <w:sz w:val="30"/>
      <w:szCs w:val="30"/>
    </w:rPr>
  </w:style>
  <w:style w:type="paragraph" w:customStyle="1" w:styleId="921">
    <w:name w:val="xl119"/>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88" w:lineRule="auto"/>
      <w:jc w:val="center"/>
      <w:textAlignment w:val="center"/>
    </w:pPr>
    <w:rPr>
      <w:rFonts w:ascii="宋体" w:hAnsi="宋体" w:cs="宋体"/>
      <w:b/>
      <w:bCs/>
      <w:kern w:val="0"/>
      <w:sz w:val="22"/>
      <w:szCs w:val="22"/>
    </w:rPr>
  </w:style>
  <w:style w:type="paragraph" w:customStyle="1" w:styleId="922">
    <w:name w:val="样式 样式 小三 + 首行缩进:  2 字符"/>
    <w:basedOn w:val="1"/>
    <w:semiHidden/>
    <w:qFormat/>
    <w:uiPriority w:val="0"/>
    <w:pPr>
      <w:spacing w:line="288" w:lineRule="auto"/>
      <w:ind w:firstLine="560" w:firstLineChars="200"/>
    </w:pPr>
    <w:rPr>
      <w:rFonts w:cs="宋体"/>
      <w:szCs w:val="20"/>
    </w:rPr>
  </w:style>
  <w:style w:type="character" w:customStyle="1" w:styleId="923">
    <w:name w:val="样式 小三1"/>
    <w:semiHidden/>
    <w:qFormat/>
    <w:uiPriority w:val="0"/>
    <w:rPr>
      <w:rFonts w:ascii="Times New Roman" w:hAnsi="Times New Roman" w:eastAsia="宋体"/>
      <w:sz w:val="28"/>
      <w:szCs w:val="28"/>
    </w:rPr>
  </w:style>
  <w:style w:type="paragraph" w:customStyle="1" w:styleId="924">
    <w:name w:val="题注宋体 小四 居中"/>
    <w:basedOn w:val="22"/>
    <w:semiHidden/>
    <w:qFormat/>
    <w:uiPriority w:val="0"/>
    <w:pPr>
      <w:ind w:firstLine="480"/>
      <w:jc w:val="both"/>
    </w:pPr>
    <w:rPr>
      <w:b w:val="0"/>
      <w:color w:val="0000FF"/>
    </w:rPr>
  </w:style>
  <w:style w:type="paragraph" w:customStyle="1" w:styleId="925">
    <w:name w:val="样式 正文格式 + 首行缩进:  2 字符"/>
    <w:basedOn w:val="1"/>
    <w:semiHidden/>
    <w:qFormat/>
    <w:uiPriority w:val="0"/>
    <w:pPr>
      <w:widowControl/>
      <w:spacing w:line="360" w:lineRule="auto"/>
      <w:ind w:firstLine="200" w:firstLineChars="200"/>
      <w:jc w:val="left"/>
    </w:pPr>
    <w:rPr>
      <w:rFonts w:cs="宋体"/>
      <w:szCs w:val="20"/>
    </w:rPr>
  </w:style>
  <w:style w:type="paragraph" w:customStyle="1" w:styleId="926">
    <w:name w:val="样式 样式 样式 正文格式 + 段前: 0.5 行 + 首行缩进:  2 字符 段前: 0.5 行 + 段前: 0.5 行"/>
    <w:basedOn w:val="1"/>
    <w:semiHidden/>
    <w:qFormat/>
    <w:uiPriority w:val="0"/>
    <w:pPr>
      <w:widowControl/>
      <w:spacing w:line="360" w:lineRule="auto"/>
      <w:ind w:firstLine="200" w:firstLineChars="200"/>
      <w:jc w:val="left"/>
    </w:pPr>
    <w:rPr>
      <w:rFonts w:cs="宋体"/>
      <w:szCs w:val="20"/>
    </w:rPr>
  </w:style>
  <w:style w:type="paragraph" w:customStyle="1" w:styleId="927">
    <w:name w:val="样式 正文格式 + 首行缩进:  2 字符 行距: 固定值 20 磅"/>
    <w:basedOn w:val="1"/>
    <w:semiHidden/>
    <w:qFormat/>
    <w:uiPriority w:val="0"/>
    <w:pPr>
      <w:widowControl/>
      <w:spacing w:line="360" w:lineRule="auto"/>
      <w:ind w:firstLine="200" w:firstLineChars="200"/>
      <w:jc w:val="left"/>
    </w:pPr>
    <w:rPr>
      <w:rFonts w:cs="宋体"/>
      <w:szCs w:val="20"/>
    </w:rPr>
  </w:style>
  <w:style w:type="paragraph" w:customStyle="1" w:styleId="928">
    <w:name w:val="样式 标题02"/>
    <w:basedOn w:val="1"/>
    <w:semiHidden/>
    <w:qFormat/>
    <w:uiPriority w:val="0"/>
    <w:pPr>
      <w:tabs>
        <w:tab w:val="left" w:pos="720"/>
      </w:tabs>
      <w:adjustRightInd w:val="0"/>
      <w:snapToGrid w:val="0"/>
      <w:spacing w:before="50" w:beforeLines="50" w:after="50" w:afterLines="50" w:line="288" w:lineRule="auto"/>
      <w:ind w:left="720" w:hanging="720"/>
      <w:outlineLvl w:val="2"/>
    </w:pPr>
    <w:rPr>
      <w:rFonts w:cs="宋体"/>
      <w:b/>
      <w:bCs/>
      <w:color w:val="000000"/>
      <w:szCs w:val="20"/>
    </w:rPr>
  </w:style>
  <w:style w:type="paragraph" w:customStyle="1" w:styleId="929">
    <w:name w:val="样式 样式 标题02 + 段前: 0.5 行 段后: 0.5 行"/>
    <w:basedOn w:val="928"/>
    <w:semiHidden/>
    <w:qFormat/>
    <w:uiPriority w:val="0"/>
    <w:pPr>
      <w:outlineLvl w:val="1"/>
    </w:pPr>
  </w:style>
  <w:style w:type="paragraph" w:customStyle="1" w:styleId="930">
    <w:name w:val="样式 标题 2 + 段前: 0.5 行 段后: 0.5 行"/>
    <w:basedOn w:val="4"/>
    <w:qFormat/>
    <w:uiPriority w:val="0"/>
    <w:pPr>
      <w:keepNext w:val="0"/>
      <w:keepLines w:val="0"/>
      <w:widowControl/>
      <w:numPr>
        <w:ilvl w:val="0"/>
        <w:numId w:val="0"/>
      </w:numPr>
      <w:tabs>
        <w:tab w:val="left" w:pos="1277"/>
      </w:tabs>
      <w:adjustRightInd w:val="0"/>
      <w:spacing w:before="50" w:beforeLines="50" w:after="50" w:afterLines="50" w:line="240" w:lineRule="auto"/>
      <w:ind w:left="1277" w:hanging="420"/>
      <w:jc w:val="left"/>
      <w:textAlignment w:val="baseline"/>
    </w:pPr>
    <w:rPr>
      <w:rFonts w:eastAsia="宋体" w:cs="宋体"/>
      <w:bCs w:val="0"/>
      <w:kern w:val="0"/>
      <w:sz w:val="28"/>
      <w:szCs w:val="20"/>
      <w:lang w:val="zh-CN"/>
    </w:rPr>
  </w:style>
  <w:style w:type="paragraph" w:customStyle="1" w:styleId="931">
    <w:name w:val="样式 样式 标题 2 + 红色"/>
    <w:basedOn w:val="1"/>
    <w:semiHidden/>
    <w:qFormat/>
    <w:uiPriority w:val="0"/>
    <w:pPr>
      <w:keepNext/>
      <w:keepLines/>
      <w:suppressLineNumbers/>
      <w:tabs>
        <w:tab w:val="left" w:pos="432"/>
      </w:tabs>
      <w:suppressAutoHyphens/>
      <w:autoSpaceDE w:val="0"/>
      <w:autoSpaceDN w:val="0"/>
      <w:adjustRightInd w:val="0"/>
      <w:spacing w:before="77" w:beforeLines="25" w:line="288" w:lineRule="auto"/>
      <w:textAlignment w:val="baseline"/>
      <w:outlineLvl w:val="1"/>
    </w:pPr>
    <w:rPr>
      <w:rFonts w:eastAsia="黑体"/>
      <w:b/>
      <w:bCs/>
      <w:kern w:val="0"/>
      <w:sz w:val="32"/>
      <w:szCs w:val="32"/>
    </w:rPr>
  </w:style>
  <w:style w:type="paragraph" w:customStyle="1" w:styleId="932">
    <w:name w:val="正文缩进2字符"/>
    <w:basedOn w:val="1"/>
    <w:semiHidden/>
    <w:qFormat/>
    <w:uiPriority w:val="0"/>
    <w:pPr>
      <w:spacing w:before="156" w:beforeLines="50" w:after="156" w:afterLines="50" w:line="288" w:lineRule="auto"/>
      <w:ind w:left="7000" w:firstLine="560" w:firstLineChars="200"/>
    </w:pPr>
  </w:style>
  <w:style w:type="paragraph" w:customStyle="1" w:styleId="933">
    <w:name w:val="样式 行距: 固定值 25 磅"/>
    <w:basedOn w:val="1"/>
    <w:semiHidden/>
    <w:qFormat/>
    <w:uiPriority w:val="0"/>
    <w:pPr>
      <w:spacing w:line="500" w:lineRule="exact"/>
      <w:ind w:firstLine="560" w:firstLineChars="200"/>
    </w:pPr>
    <w:rPr>
      <w:rFonts w:cs="宋体"/>
      <w:szCs w:val="20"/>
    </w:rPr>
  </w:style>
  <w:style w:type="paragraph" w:customStyle="1" w:styleId="934">
    <w:name w:val="标题02"/>
    <w:basedOn w:val="1"/>
    <w:qFormat/>
    <w:uiPriority w:val="0"/>
    <w:pPr>
      <w:tabs>
        <w:tab w:val="left" w:pos="720"/>
      </w:tabs>
      <w:adjustRightInd w:val="0"/>
      <w:snapToGrid w:val="0"/>
      <w:spacing w:beforeLines="50" w:afterLines="50" w:line="288" w:lineRule="auto"/>
      <w:ind w:left="720" w:hanging="720"/>
      <w:outlineLvl w:val="2"/>
    </w:pPr>
    <w:rPr>
      <w:rFonts w:ascii="Arial" w:hAnsi="Arial" w:cs="Arial"/>
      <w:b/>
      <w:color w:val="000000"/>
      <w:szCs w:val="28"/>
    </w:rPr>
  </w:style>
  <w:style w:type="paragraph" w:customStyle="1" w:styleId="935">
    <w:name w:val="标题03"/>
    <w:basedOn w:val="1"/>
    <w:semiHidden/>
    <w:qFormat/>
    <w:uiPriority w:val="0"/>
    <w:pPr>
      <w:tabs>
        <w:tab w:val="left" w:pos="1080"/>
      </w:tabs>
      <w:adjustRightInd w:val="0"/>
      <w:snapToGrid w:val="0"/>
      <w:spacing w:before="120" w:beforeLines="50" w:after="120" w:afterLines="50" w:line="288" w:lineRule="auto"/>
      <w:ind w:left="1080" w:hanging="1080"/>
    </w:pPr>
    <w:rPr>
      <w:b/>
      <w:color w:val="000000"/>
      <w:szCs w:val="28"/>
    </w:rPr>
  </w:style>
  <w:style w:type="paragraph" w:customStyle="1" w:styleId="936">
    <w:name w:val="标题04"/>
    <w:basedOn w:val="1"/>
    <w:semiHidden/>
    <w:qFormat/>
    <w:uiPriority w:val="0"/>
    <w:pPr>
      <w:numPr>
        <w:ilvl w:val="0"/>
        <w:numId w:val="18"/>
      </w:numPr>
      <w:tabs>
        <w:tab w:val="left" w:pos="720"/>
        <w:tab w:val="clear" w:pos="1175"/>
      </w:tabs>
      <w:adjustRightInd w:val="0"/>
      <w:snapToGrid w:val="0"/>
      <w:spacing w:before="120" w:beforeLines="50" w:after="120" w:afterLines="50" w:line="288" w:lineRule="auto"/>
      <w:ind w:left="720" w:hanging="720"/>
    </w:pPr>
    <w:rPr>
      <w:rFonts w:ascii="Arial" w:hAnsi="Arial" w:cs="Arial"/>
      <w:b/>
      <w:color w:val="000000"/>
      <w:szCs w:val="28"/>
    </w:rPr>
  </w:style>
  <w:style w:type="paragraph" w:customStyle="1" w:styleId="937">
    <w:name w:val="表头文字"/>
    <w:basedOn w:val="1"/>
    <w:qFormat/>
    <w:uiPriority w:val="0"/>
    <w:pPr>
      <w:spacing w:line="560" w:lineRule="exact"/>
      <w:jc w:val="center"/>
    </w:pPr>
    <w:rPr>
      <w:rFonts w:ascii="宋体" w:hAnsi="宋体"/>
      <w:b/>
      <w:snapToGrid w:val="0"/>
      <w:spacing w:val="-10"/>
      <w:kern w:val="0"/>
      <w:szCs w:val="30"/>
    </w:rPr>
  </w:style>
  <w:style w:type="paragraph" w:customStyle="1" w:styleId="938">
    <w:name w:val="表格文字居中3"/>
    <w:basedOn w:val="1"/>
    <w:semiHidden/>
    <w:qFormat/>
    <w:uiPriority w:val="0"/>
    <w:pPr>
      <w:adjustRightInd w:val="0"/>
      <w:snapToGrid w:val="0"/>
      <w:spacing w:line="240" w:lineRule="atLeast"/>
      <w:jc w:val="center"/>
    </w:pPr>
    <w:rPr>
      <w:szCs w:val="32"/>
    </w:rPr>
  </w:style>
  <w:style w:type="paragraph" w:customStyle="1" w:styleId="939">
    <w:name w:val="样式 标题 3 + 段前: 0.3 行 段后: 0.3 行"/>
    <w:basedOn w:val="5"/>
    <w:semiHidden/>
    <w:qFormat/>
    <w:uiPriority w:val="0"/>
    <w:pPr>
      <w:numPr>
        <w:ilvl w:val="0"/>
        <w:numId w:val="0"/>
      </w:numPr>
      <w:tabs>
        <w:tab w:val="left" w:pos="1697"/>
      </w:tabs>
      <w:spacing w:before="30" w:beforeLines="30" w:after="30" w:afterLines="30" w:line="500" w:lineRule="exact"/>
      <w:ind w:hanging="420"/>
      <w:jc w:val="left"/>
    </w:pPr>
    <w:rPr>
      <w:rFonts w:eastAsia="宋体" w:cs="宋体"/>
      <w:sz w:val="24"/>
      <w:szCs w:val="20"/>
      <w:lang w:val="zh-CN"/>
    </w:rPr>
  </w:style>
  <w:style w:type="paragraph" w:customStyle="1" w:styleId="940">
    <w:name w:val="01"/>
    <w:basedOn w:val="1"/>
    <w:semiHidden/>
    <w:qFormat/>
    <w:uiPriority w:val="0"/>
    <w:pPr>
      <w:widowControl/>
      <w:spacing w:before="100" w:beforeAutospacing="1" w:after="100" w:afterAutospacing="1"/>
      <w:jc w:val="left"/>
    </w:pPr>
    <w:rPr>
      <w:rFonts w:ascii="宋体" w:hAnsi="宋体" w:cs="宋体"/>
      <w:kern w:val="0"/>
    </w:rPr>
  </w:style>
  <w:style w:type="paragraph" w:customStyle="1" w:styleId="941">
    <w:name w:val="样式 四号"/>
    <w:basedOn w:val="1"/>
    <w:semiHidden/>
    <w:qFormat/>
    <w:uiPriority w:val="0"/>
    <w:pPr>
      <w:spacing w:line="360" w:lineRule="auto"/>
      <w:ind w:firstLine="150" w:firstLineChars="150"/>
    </w:pPr>
    <w:rPr>
      <w:rFonts w:cs="宋体"/>
      <w:szCs w:val="20"/>
    </w:rPr>
  </w:style>
  <w:style w:type="paragraph" w:customStyle="1" w:styleId="942">
    <w:name w:val="样式 样式 正文格式 + 行距: 固定值 23 磅 + 首行缩进:  2 字符2"/>
    <w:basedOn w:val="1"/>
    <w:semiHidden/>
    <w:qFormat/>
    <w:uiPriority w:val="0"/>
    <w:pPr>
      <w:widowControl/>
      <w:spacing w:line="360" w:lineRule="auto"/>
      <w:ind w:firstLine="200" w:firstLineChars="200"/>
      <w:jc w:val="left"/>
    </w:pPr>
    <w:rPr>
      <w:rFonts w:cs="宋体"/>
      <w:szCs w:val="20"/>
    </w:rPr>
  </w:style>
  <w:style w:type="paragraph" w:customStyle="1" w:styleId="943">
    <w:name w:val="文本框"/>
    <w:basedOn w:val="932"/>
    <w:qFormat/>
    <w:uiPriority w:val="0"/>
    <w:pPr>
      <w:spacing w:before="50" w:after="50" w:line="240" w:lineRule="auto"/>
      <w:ind w:firstLine="200" w:firstLineChars="0"/>
    </w:pPr>
    <w:rPr>
      <w:color w:val="FF0000"/>
      <w:kern w:val="10"/>
    </w:rPr>
  </w:style>
  <w:style w:type="paragraph" w:customStyle="1" w:styleId="944">
    <w:name w:val="文本框1"/>
    <w:basedOn w:val="1"/>
    <w:semiHidden/>
    <w:qFormat/>
    <w:uiPriority w:val="0"/>
    <w:pPr>
      <w:jc w:val="center"/>
    </w:pPr>
    <w:rPr>
      <w:color w:val="FF0000"/>
      <w:sz w:val="21"/>
      <w:szCs w:val="21"/>
    </w:rPr>
  </w:style>
  <w:style w:type="paragraph" w:customStyle="1" w:styleId="945">
    <w:name w:val="题注2"/>
    <w:basedOn w:val="22"/>
    <w:semiHidden/>
    <w:qFormat/>
    <w:uiPriority w:val="0"/>
    <w:pPr>
      <w:jc w:val="both"/>
    </w:pPr>
    <w:rPr>
      <w:rFonts w:cs="Arial"/>
      <w:b w:val="0"/>
    </w:rPr>
  </w:style>
  <w:style w:type="paragraph" w:customStyle="1" w:styleId="946">
    <w:name w:val="娜娜正文"/>
    <w:basedOn w:val="1"/>
    <w:link w:val="947"/>
    <w:semiHidden/>
    <w:qFormat/>
    <w:uiPriority w:val="0"/>
    <w:pPr>
      <w:spacing w:line="400" w:lineRule="exact"/>
      <w:ind w:firstLine="200" w:firstLineChars="200"/>
    </w:pPr>
  </w:style>
  <w:style w:type="character" w:customStyle="1" w:styleId="947">
    <w:name w:val="娜娜正文 Char"/>
    <w:link w:val="946"/>
    <w:qFormat/>
    <w:uiPriority w:val="0"/>
    <w:rPr>
      <w:kern w:val="2"/>
      <w:sz w:val="24"/>
      <w:szCs w:val="24"/>
    </w:rPr>
  </w:style>
  <w:style w:type="paragraph" w:customStyle="1" w:styleId="948">
    <w:name w:val="样式 样式 标题 3 + 段前: 0.3 行 段后: 0.3 行 + 段前: 0.3 行 段后: 0.3 行"/>
    <w:basedOn w:val="939"/>
    <w:semiHidden/>
    <w:qFormat/>
    <w:uiPriority w:val="0"/>
  </w:style>
  <w:style w:type="paragraph" w:customStyle="1" w:styleId="949">
    <w:name w:val="样式 正文缩进2字符 + (西文) Times New Roman"/>
    <w:basedOn w:val="932"/>
    <w:semiHidden/>
    <w:qFormat/>
    <w:uiPriority w:val="0"/>
    <w:pPr>
      <w:ind w:firstLine="0" w:firstLineChars="0"/>
    </w:pPr>
    <w:rPr>
      <w:rFonts w:eastAsia="Times New Roman"/>
      <w:color w:val="000000"/>
      <w:kern w:val="10"/>
    </w:rPr>
  </w:style>
  <w:style w:type="paragraph" w:customStyle="1" w:styleId="950">
    <w:name w:val="MTDisplayEquation"/>
    <w:basedOn w:val="1"/>
    <w:next w:val="1"/>
    <w:qFormat/>
    <w:uiPriority w:val="0"/>
    <w:pPr>
      <w:tabs>
        <w:tab w:val="center" w:pos="4160"/>
        <w:tab w:val="right" w:pos="8320"/>
      </w:tabs>
      <w:ind w:firstLine="570" w:firstLineChars="200"/>
    </w:pPr>
    <w:rPr>
      <w:color w:val="0000FF"/>
    </w:rPr>
  </w:style>
  <w:style w:type="paragraph" w:customStyle="1" w:styleId="951">
    <w:name w:val="列表编号 + 首行缩进:2字符"/>
    <w:basedOn w:val="21"/>
    <w:semiHidden/>
    <w:qFormat/>
    <w:uiPriority w:val="0"/>
    <w:pPr>
      <w:numPr>
        <w:ilvl w:val="0"/>
        <w:numId w:val="0"/>
      </w:numPr>
      <w:tabs>
        <w:tab w:val="left" w:pos="0"/>
        <w:tab w:val="left" w:pos="1200"/>
      </w:tabs>
      <w:spacing w:before="50" w:beforeLines="50" w:after="50" w:afterLines="50" w:line="500" w:lineRule="exact"/>
      <w:ind w:firstLine="600"/>
      <w:jc w:val="left"/>
    </w:pPr>
    <w:rPr>
      <w:rFonts w:cs="宋体"/>
      <w:szCs w:val="20"/>
    </w:rPr>
  </w:style>
  <w:style w:type="paragraph" w:customStyle="1" w:styleId="952">
    <w:name w:val="样式 标题 4款标题1.1.1.1 + 段前: 0.2 行 段后: 0.2 行"/>
    <w:basedOn w:val="6"/>
    <w:semiHidden/>
    <w:qFormat/>
    <w:uiPriority w:val="0"/>
    <w:pPr>
      <w:keepNext w:val="0"/>
      <w:keepLines w:val="0"/>
      <w:numPr>
        <w:ilvl w:val="0"/>
        <w:numId w:val="0"/>
      </w:numPr>
      <w:tabs>
        <w:tab w:val="left" w:pos="2117"/>
      </w:tabs>
      <w:spacing w:before="20" w:beforeLines="20" w:after="20" w:afterLines="20"/>
      <w:ind w:left="2117" w:hanging="420"/>
    </w:pPr>
    <w:rPr>
      <w:rFonts w:cs="宋体"/>
      <w:b w:val="0"/>
      <w:sz w:val="24"/>
      <w:szCs w:val="20"/>
      <w:lang w:val="zh-CN"/>
    </w:rPr>
  </w:style>
  <w:style w:type="paragraph" w:customStyle="1" w:styleId="953">
    <w:name w:val="样式 编号杨 + 段前: 0.2 行 段后: 0.2 行"/>
    <w:basedOn w:val="274"/>
    <w:semiHidden/>
    <w:qFormat/>
    <w:uiPriority w:val="0"/>
    <w:pPr>
      <w:ind w:left="360"/>
    </w:pPr>
    <w:rPr>
      <w:rFonts w:cs="宋体"/>
      <w:szCs w:val="20"/>
    </w:rPr>
  </w:style>
  <w:style w:type="paragraph" w:customStyle="1" w:styleId="954">
    <w:name w:val="样式 样式 编号杨 + 段前: 0.2 行 段后: 0.2 行 + 段前: 0.2 行 段后: 0.2 行"/>
    <w:basedOn w:val="953"/>
    <w:semiHidden/>
    <w:qFormat/>
    <w:uiPriority w:val="0"/>
    <w:pPr>
      <w:ind w:firstLine="400"/>
    </w:pPr>
  </w:style>
  <w:style w:type="paragraph" w:customStyle="1" w:styleId="955">
    <w:name w:val="样式 样式 样式 标题 3 + 段前: 0.3 行 段后: 0.3 行 + 段前: 0.3 行 段后: 0.3 行 + 段前: ...1"/>
    <w:basedOn w:val="948"/>
    <w:semiHidden/>
    <w:qFormat/>
    <w:uiPriority w:val="0"/>
  </w:style>
  <w:style w:type="character" w:customStyle="1" w:styleId="956">
    <w:name w:val="正文标准样式 Char"/>
    <w:link w:val="779"/>
    <w:qFormat/>
    <w:uiPriority w:val="0"/>
    <w:rPr>
      <w:rFonts w:ascii="宋体" w:eastAsia="宋体" w:cs="宋体"/>
      <w:color w:val="000000"/>
      <w:kern w:val="2"/>
      <w:sz w:val="24"/>
      <w:szCs w:val="24"/>
      <w:lang w:val="en-US" w:eastAsia="zh-CN" w:bidi="ar-SA"/>
    </w:rPr>
  </w:style>
  <w:style w:type="paragraph" w:customStyle="1" w:styleId="957">
    <w:name w:val="表标题 Char"/>
    <w:basedOn w:val="1"/>
    <w:semiHidden/>
    <w:qFormat/>
    <w:uiPriority w:val="0"/>
    <w:pPr>
      <w:widowControl/>
      <w:autoSpaceDE w:val="0"/>
      <w:autoSpaceDN w:val="0"/>
      <w:spacing w:after="120" w:line="312" w:lineRule="auto"/>
      <w:jc w:val="center"/>
      <w:textAlignment w:val="bottom"/>
    </w:pPr>
    <w:rPr>
      <w:rFonts w:ascii="宋体"/>
      <w:b/>
    </w:rPr>
  </w:style>
  <w:style w:type="paragraph" w:customStyle="1" w:styleId="958">
    <w:name w:val="文章"/>
    <w:basedOn w:val="1"/>
    <w:link w:val="2410"/>
    <w:qFormat/>
    <w:uiPriority w:val="0"/>
    <w:pPr>
      <w:spacing w:before="60" w:after="60" w:line="480" w:lineRule="exact"/>
      <w:ind w:firstLine="488" w:firstLineChars="200"/>
    </w:pPr>
    <w:rPr>
      <w:rFonts w:ascii="宋体" w:hAnsi="Garamond"/>
      <w:spacing w:val="2"/>
    </w:rPr>
  </w:style>
  <w:style w:type="character" w:customStyle="1" w:styleId="959">
    <w:name w:val="blank"/>
    <w:semiHidden/>
    <w:qFormat/>
    <w:uiPriority w:val="0"/>
    <w:rPr>
      <w:rFonts w:eastAsia="黑体" w:cs="宋体"/>
      <w:color w:val="000000"/>
      <w:kern w:val="2"/>
      <w:sz w:val="32"/>
      <w:szCs w:val="32"/>
      <w:lang w:val="en-US" w:eastAsia="zh-CN" w:bidi="ar-SA"/>
    </w:rPr>
  </w:style>
  <w:style w:type="character" w:customStyle="1" w:styleId="960">
    <w:name w:val="表格 Char Char"/>
    <w:qFormat/>
    <w:uiPriority w:val="0"/>
    <w:rPr>
      <w:rFonts w:eastAsia="宋体"/>
      <w:spacing w:val="-20"/>
      <w:kern w:val="2"/>
      <w:sz w:val="21"/>
      <w:szCs w:val="21"/>
      <w:lang w:val="en-US" w:eastAsia="zh-CN" w:bidi="ar-SA"/>
    </w:rPr>
  </w:style>
  <w:style w:type="character" w:customStyle="1" w:styleId="961">
    <w:name w:val="tpc_content"/>
    <w:semiHidden/>
    <w:qFormat/>
    <w:uiPriority w:val="0"/>
    <w:rPr>
      <w:rFonts w:eastAsia="黑体" w:cs="宋体"/>
      <w:color w:val="000000"/>
      <w:kern w:val="2"/>
      <w:sz w:val="32"/>
      <w:szCs w:val="32"/>
      <w:lang w:val="en-US" w:eastAsia="zh-CN" w:bidi="ar-SA"/>
    </w:rPr>
  </w:style>
  <w:style w:type="paragraph" w:customStyle="1" w:styleId="962">
    <w:name w:val="正文样式1"/>
    <w:basedOn w:val="1"/>
    <w:link w:val="3032"/>
    <w:qFormat/>
    <w:uiPriority w:val="0"/>
    <w:pPr>
      <w:adjustRightInd w:val="0"/>
      <w:spacing w:line="480" w:lineRule="atLeast"/>
      <w:ind w:firstLine="567"/>
      <w:jc w:val="left"/>
      <w:textAlignment w:val="baseline"/>
    </w:pPr>
    <w:rPr>
      <w:kern w:val="28"/>
      <w:sz w:val="28"/>
      <w:szCs w:val="20"/>
    </w:rPr>
  </w:style>
  <w:style w:type="character" w:customStyle="1" w:styleId="963">
    <w:name w:val="脚注文本 字符2"/>
    <w:link w:val="67"/>
    <w:qFormat/>
    <w:uiPriority w:val="0"/>
    <w:rPr>
      <w:rFonts w:eastAsia="黑体" w:cs="宋体"/>
      <w:color w:val="000000"/>
      <w:kern w:val="2"/>
      <w:sz w:val="18"/>
      <w:szCs w:val="18"/>
      <w:lang w:val="en-US" w:eastAsia="zh-CN" w:bidi="ar-SA"/>
    </w:rPr>
  </w:style>
  <w:style w:type="character" w:customStyle="1" w:styleId="964">
    <w:name w:val="wenzi1"/>
    <w:semiHidden/>
    <w:qFormat/>
    <w:uiPriority w:val="0"/>
    <w:rPr>
      <w:sz w:val="13"/>
      <w:szCs w:val="13"/>
      <w:u w:val="none"/>
    </w:rPr>
  </w:style>
  <w:style w:type="character" w:customStyle="1" w:styleId="965">
    <w:name w:val="wenzi"/>
    <w:semiHidden/>
    <w:qFormat/>
    <w:uiPriority w:val="0"/>
    <w:rPr>
      <w:rFonts w:eastAsia="黑体" w:cs="宋体"/>
      <w:color w:val="000000"/>
      <w:kern w:val="2"/>
      <w:sz w:val="32"/>
      <w:szCs w:val="32"/>
      <w:lang w:val="en-US" w:eastAsia="zh-CN" w:bidi="ar-SA"/>
    </w:rPr>
  </w:style>
  <w:style w:type="character" w:customStyle="1" w:styleId="966">
    <w:name w:val="textfont1"/>
    <w:semiHidden/>
    <w:qFormat/>
    <w:uiPriority w:val="0"/>
    <w:rPr>
      <w:rFonts w:hint="default"/>
      <w:color w:val="000000"/>
      <w:sz w:val="22"/>
      <w:szCs w:val="22"/>
    </w:rPr>
  </w:style>
  <w:style w:type="paragraph" w:customStyle="1" w:styleId="967">
    <w:name w:val="表格中居中文字"/>
    <w:basedOn w:val="1"/>
    <w:qFormat/>
    <w:uiPriority w:val="0"/>
    <w:pPr>
      <w:spacing w:line="340" w:lineRule="exact"/>
      <w:jc w:val="center"/>
    </w:pPr>
    <w:rPr>
      <w:sz w:val="21"/>
    </w:rPr>
  </w:style>
  <w:style w:type="paragraph" w:customStyle="1" w:styleId="968">
    <w:name w:val="表格左对齐文字"/>
    <w:basedOn w:val="1"/>
    <w:qFormat/>
    <w:uiPriority w:val="0"/>
    <w:pPr>
      <w:keepLines/>
      <w:spacing w:line="340" w:lineRule="exact"/>
      <w:jc w:val="center"/>
    </w:pPr>
    <w:rPr>
      <w:sz w:val="21"/>
    </w:rPr>
  </w:style>
  <w:style w:type="character" w:customStyle="1" w:styleId="969">
    <w:name w:val="样式 黑色1"/>
    <w:qFormat/>
    <w:uiPriority w:val="0"/>
    <w:rPr>
      <w:color w:val="000000"/>
    </w:rPr>
  </w:style>
  <w:style w:type="paragraph" w:customStyle="1" w:styleId="970">
    <w:name w:val="Char Char Char Char Char Char1 Char Char Char1 Char Char Char Char Char Char Char Char Char Char Char Char Char Char Char1 Char"/>
    <w:basedOn w:val="1"/>
    <w:qFormat/>
    <w:uiPriority w:val="0"/>
    <w:pPr>
      <w:spacing w:line="360" w:lineRule="auto"/>
      <w:ind w:firstLine="200" w:firstLineChars="200"/>
    </w:pPr>
    <w:rPr>
      <w:rFonts w:ascii="宋体" w:hAnsi="宋体" w:cs="宋体"/>
    </w:rPr>
  </w:style>
  <w:style w:type="paragraph" w:customStyle="1" w:styleId="971">
    <w:name w:val="Char Char Char Char Char Char1"/>
    <w:basedOn w:val="1"/>
    <w:qFormat/>
    <w:uiPriority w:val="0"/>
    <w:rPr>
      <w:szCs w:val="20"/>
    </w:rPr>
  </w:style>
  <w:style w:type="character" w:customStyle="1" w:styleId="972">
    <w:name w:val="Char Char8"/>
    <w:qFormat/>
    <w:uiPriority w:val="0"/>
    <w:rPr>
      <w:rFonts w:eastAsia="宋体"/>
      <w:kern w:val="2"/>
      <w:sz w:val="21"/>
      <w:szCs w:val="24"/>
      <w:lang w:val="en-US" w:eastAsia="zh-CN" w:bidi="ar-SA"/>
    </w:rPr>
  </w:style>
  <w:style w:type="paragraph" w:customStyle="1" w:styleId="973">
    <w:name w:val="contentarticle"/>
    <w:basedOn w:val="1"/>
    <w:qFormat/>
    <w:uiPriority w:val="0"/>
    <w:pPr>
      <w:widowControl/>
      <w:spacing w:before="100" w:beforeAutospacing="1" w:after="100" w:afterAutospacing="1"/>
      <w:jc w:val="left"/>
    </w:pPr>
    <w:rPr>
      <w:rFonts w:ascii="宋体" w:hAnsi="宋体" w:cs="宋体"/>
      <w:kern w:val="0"/>
      <w:sz w:val="21"/>
      <w:szCs w:val="21"/>
    </w:rPr>
  </w:style>
  <w:style w:type="paragraph" w:customStyle="1" w:styleId="974">
    <w:name w:val="Char Char Char1 Char Char Char Char"/>
    <w:basedOn w:val="1"/>
    <w:qFormat/>
    <w:uiPriority w:val="0"/>
    <w:pPr>
      <w:spacing w:line="360" w:lineRule="auto"/>
      <w:ind w:firstLine="200" w:firstLineChars="200"/>
    </w:pPr>
    <w:rPr>
      <w:rFonts w:ascii="宋体" w:hAnsi="宋体" w:cs="宋体"/>
    </w:rPr>
  </w:style>
  <w:style w:type="paragraph" w:customStyle="1" w:styleId="975">
    <w:name w:val="Char Char Char Char Char Char Char Char Char Char Char Char Char Char Char Char Char Char Char Char Char Char Char Char Char Char Char Char Char Char Char Char Char Char Char Char"/>
    <w:basedOn w:val="1"/>
    <w:qFormat/>
    <w:uiPriority w:val="0"/>
    <w:pPr>
      <w:snapToGrid w:val="0"/>
      <w:spacing w:line="440" w:lineRule="atLeast"/>
      <w:ind w:firstLine="200" w:firstLineChars="200"/>
    </w:pPr>
    <w:rPr>
      <w:sz w:val="21"/>
      <w:szCs w:val="20"/>
    </w:rPr>
  </w:style>
  <w:style w:type="paragraph" w:customStyle="1" w:styleId="976">
    <w:name w:val="Char Char Char Char Char Char1 Char Char Char1 Char Char Char Char Char Char Char Char Char Char Char Char Char Char Char1 Char Char Char1 Char Char Char Char"/>
    <w:basedOn w:val="1"/>
    <w:qFormat/>
    <w:uiPriority w:val="0"/>
    <w:pPr>
      <w:spacing w:line="360" w:lineRule="auto"/>
      <w:ind w:firstLine="200" w:firstLineChars="200"/>
    </w:pPr>
    <w:rPr>
      <w:rFonts w:ascii="宋体" w:hAnsi="宋体" w:cs="宋体"/>
    </w:rPr>
  </w:style>
  <w:style w:type="character" w:customStyle="1" w:styleId="977">
    <w:name w:val="Char Char16"/>
    <w:qFormat/>
    <w:uiPriority w:val="0"/>
    <w:rPr>
      <w:rFonts w:ascii="Arial" w:hAnsi="Arial" w:eastAsia="黑体" w:cs="Arial"/>
      <w:b/>
      <w:bCs/>
      <w:kern w:val="2"/>
      <w:sz w:val="24"/>
      <w:szCs w:val="24"/>
      <w:lang w:val="en-US" w:eastAsia="zh-CN" w:bidi="ar-SA"/>
    </w:rPr>
  </w:style>
  <w:style w:type="character" w:customStyle="1" w:styleId="978">
    <w:name w:val="Char Char17"/>
    <w:qFormat/>
    <w:uiPriority w:val="0"/>
    <w:rPr>
      <w:rFonts w:ascii="宋体" w:eastAsia="宋体" w:cs="宋体"/>
      <w:b/>
      <w:bCs/>
      <w:kern w:val="2"/>
      <w:sz w:val="28"/>
      <w:szCs w:val="28"/>
      <w:lang w:val="en-US" w:eastAsia="zh-CN" w:bidi="ar-SA"/>
    </w:rPr>
  </w:style>
  <w:style w:type="paragraph" w:customStyle="1" w:styleId="979">
    <w:name w:val="Char Char3"/>
    <w:basedOn w:val="1"/>
    <w:qFormat/>
    <w:uiPriority w:val="0"/>
    <w:pPr>
      <w:ind w:firstLine="200" w:firstLineChars="200"/>
    </w:pPr>
    <w:rPr>
      <w:sz w:val="21"/>
    </w:rPr>
  </w:style>
  <w:style w:type="character" w:customStyle="1" w:styleId="980">
    <w:name w:val="1.1.1 Char"/>
    <w:semiHidden/>
    <w:qFormat/>
    <w:uiPriority w:val="0"/>
    <w:rPr>
      <w:rFonts w:ascii="黑体" w:eastAsia="黑体"/>
      <w:b/>
      <w:bCs/>
      <w:color w:val="000000"/>
      <w:kern w:val="2"/>
      <w:sz w:val="24"/>
      <w:szCs w:val="24"/>
      <w:lang w:val="zh-CN" w:eastAsia="zh-CN" w:bidi="ar-SA"/>
    </w:rPr>
  </w:style>
  <w:style w:type="paragraph" w:customStyle="1" w:styleId="981">
    <w:name w:val="2 字符"/>
    <w:basedOn w:val="6"/>
    <w:link w:val="982"/>
    <w:semiHidden/>
    <w:qFormat/>
    <w:uiPriority w:val="0"/>
    <w:pPr>
      <w:keepNext w:val="0"/>
      <w:keepLines w:val="0"/>
      <w:numPr>
        <w:ilvl w:val="0"/>
        <w:numId w:val="0"/>
      </w:numPr>
      <w:autoSpaceDE w:val="0"/>
      <w:autoSpaceDN w:val="0"/>
      <w:adjustRightInd w:val="0"/>
      <w:ind w:firstLine="560" w:firstLineChars="200"/>
      <w:jc w:val="left"/>
      <w:textAlignment w:val="baseline"/>
    </w:pPr>
    <w:rPr>
      <w:rFonts w:ascii="仿宋_GB2312" w:hAnsi="宋体" w:eastAsia="仿宋_GB2312"/>
      <w:lang w:val="zh-CN"/>
    </w:rPr>
  </w:style>
  <w:style w:type="character" w:customStyle="1" w:styleId="982">
    <w:name w:val="2 字符 Char1"/>
    <w:link w:val="981"/>
    <w:semiHidden/>
    <w:qFormat/>
    <w:uiPriority w:val="0"/>
    <w:rPr>
      <w:rFonts w:ascii="仿宋_GB2312" w:hAnsi="宋体" w:eastAsia="仿宋_GB2312"/>
      <w:b/>
      <w:bCs/>
      <w:kern w:val="2"/>
      <w:sz w:val="28"/>
      <w:szCs w:val="28"/>
      <w:lang w:val="zh-CN" w:eastAsia="zh-CN"/>
    </w:rPr>
  </w:style>
  <w:style w:type="paragraph" w:customStyle="1" w:styleId="983">
    <w:name w:val="3 Char Char Char Char Char Char Char Char Char Char"/>
    <w:basedOn w:val="1"/>
    <w:semiHidden/>
    <w:qFormat/>
    <w:uiPriority w:val="0"/>
    <w:pPr>
      <w:snapToGrid w:val="0"/>
      <w:spacing w:line="360" w:lineRule="auto"/>
      <w:ind w:firstLine="200" w:firstLineChars="200"/>
    </w:pPr>
    <w:rPr>
      <w:rFonts w:eastAsia="仿宋_GB2312"/>
    </w:rPr>
  </w:style>
  <w:style w:type="character" w:customStyle="1" w:styleId="984">
    <w:name w:val="3dfont"/>
    <w:qFormat/>
    <w:uiPriority w:val="0"/>
    <w:rPr>
      <w:rFonts w:ascii="宋体" w:hAnsi="宋体" w:eastAsia="宋体" w:cs="宋体"/>
      <w:kern w:val="2"/>
      <w:sz w:val="24"/>
      <w:szCs w:val="24"/>
      <w:lang w:val="en-US" w:eastAsia="zh-CN" w:bidi="ar-SA"/>
    </w:rPr>
  </w:style>
  <w:style w:type="character" w:customStyle="1" w:styleId="985">
    <w:name w:val="3级标题 Char"/>
    <w:link w:val="765"/>
    <w:qFormat/>
    <w:uiPriority w:val="0"/>
    <w:rPr>
      <w:b/>
      <w:kern w:val="2"/>
      <w:sz w:val="28"/>
      <w:szCs w:val="24"/>
      <w:lang w:val="zh-CN" w:eastAsia="zh-CN"/>
    </w:rPr>
  </w:style>
  <w:style w:type="paragraph" w:customStyle="1" w:styleId="986">
    <w:name w:val="7"/>
    <w:basedOn w:val="1"/>
    <w:next w:val="34"/>
    <w:qFormat/>
    <w:uiPriority w:val="0"/>
    <w:pPr>
      <w:autoSpaceDE w:val="0"/>
      <w:autoSpaceDN w:val="0"/>
      <w:adjustRightInd w:val="0"/>
    </w:pPr>
    <w:rPr>
      <w:color w:val="000000"/>
      <w:sz w:val="18"/>
      <w:szCs w:val="18"/>
      <w:lang w:val="zh-CN"/>
    </w:rPr>
  </w:style>
  <w:style w:type="paragraph" w:customStyle="1" w:styleId="987">
    <w:name w:val="8 Char Char"/>
    <w:basedOn w:val="1"/>
    <w:link w:val="988"/>
    <w:semiHidden/>
    <w:qFormat/>
    <w:uiPriority w:val="0"/>
    <w:pPr>
      <w:spacing w:line="360" w:lineRule="auto"/>
      <w:ind w:firstLine="480" w:firstLineChars="200"/>
    </w:pPr>
    <w:rPr>
      <w:kern w:val="10"/>
      <w:lang w:val="zh-CN"/>
    </w:rPr>
  </w:style>
  <w:style w:type="character" w:customStyle="1" w:styleId="988">
    <w:name w:val="8 Char Char Char"/>
    <w:link w:val="987"/>
    <w:semiHidden/>
    <w:qFormat/>
    <w:uiPriority w:val="0"/>
    <w:rPr>
      <w:kern w:val="10"/>
      <w:sz w:val="24"/>
      <w:szCs w:val="24"/>
      <w:lang w:val="zh-CN" w:eastAsia="zh-CN"/>
    </w:rPr>
  </w:style>
  <w:style w:type="paragraph" w:customStyle="1" w:styleId="989">
    <w:name w:val="8 Char1"/>
    <w:basedOn w:val="1"/>
    <w:link w:val="990"/>
    <w:semiHidden/>
    <w:qFormat/>
    <w:uiPriority w:val="0"/>
    <w:pPr>
      <w:spacing w:line="360" w:lineRule="auto"/>
      <w:ind w:firstLine="480" w:firstLineChars="200"/>
    </w:pPr>
    <w:rPr>
      <w:kern w:val="10"/>
      <w:lang w:val="zh-CN"/>
    </w:rPr>
  </w:style>
  <w:style w:type="character" w:customStyle="1" w:styleId="990">
    <w:name w:val="8 Char1 Char"/>
    <w:link w:val="989"/>
    <w:semiHidden/>
    <w:qFormat/>
    <w:uiPriority w:val="0"/>
    <w:rPr>
      <w:kern w:val="10"/>
      <w:sz w:val="24"/>
      <w:szCs w:val="24"/>
      <w:lang w:val="zh-CN" w:eastAsia="zh-CN"/>
    </w:rPr>
  </w:style>
  <w:style w:type="paragraph" w:customStyle="1" w:styleId="991">
    <w:name w:val="9"/>
    <w:basedOn w:val="1"/>
    <w:qFormat/>
    <w:uiPriority w:val="0"/>
    <w:pPr>
      <w:spacing w:beforeLines="20" w:afterLines="20" w:line="360" w:lineRule="auto"/>
      <w:ind w:firstLine="540" w:firstLineChars="225"/>
    </w:pPr>
    <w:rPr>
      <w:szCs w:val="20"/>
    </w:rPr>
  </w:style>
  <w:style w:type="paragraph" w:customStyle="1" w:styleId="992">
    <w:name w:val="91"/>
    <w:basedOn w:val="991"/>
    <w:semiHidden/>
    <w:qFormat/>
    <w:uiPriority w:val="0"/>
    <w:pPr>
      <w:spacing w:before="62" w:after="62"/>
      <w:ind w:left="1" w:leftChars="-2" w:hanging="5" w:hangingChars="2"/>
    </w:pPr>
  </w:style>
  <w:style w:type="character" w:customStyle="1" w:styleId="993">
    <w:name w:val="A4"/>
    <w:semiHidden/>
    <w:qFormat/>
    <w:uiPriority w:val="0"/>
    <w:rPr>
      <w:rFonts w:cs="宋体"/>
      <w:color w:val="000000"/>
      <w:sz w:val="28"/>
      <w:szCs w:val="28"/>
    </w:rPr>
  </w:style>
  <w:style w:type="character" w:customStyle="1" w:styleId="994">
    <w:name w:val="A8"/>
    <w:semiHidden/>
    <w:qFormat/>
    <w:uiPriority w:val="0"/>
    <w:rPr>
      <w:rFonts w:cs="宋体"/>
      <w:color w:val="000000"/>
      <w:sz w:val="16"/>
      <w:szCs w:val="16"/>
    </w:rPr>
  </w:style>
  <w:style w:type="character" w:customStyle="1" w:styleId="995">
    <w:name w:val="apple-converted-space"/>
    <w:qFormat/>
    <w:uiPriority w:val="0"/>
    <w:rPr>
      <w:rFonts w:eastAsia="宋体"/>
      <w:kern w:val="2"/>
      <w:sz w:val="28"/>
      <w:lang w:val="en-US" w:eastAsia="zh-CN" w:bidi="ar-SA"/>
    </w:rPr>
  </w:style>
  <w:style w:type="paragraph" w:customStyle="1" w:styleId="996">
    <w:name w:val="biao-2"/>
    <w:basedOn w:val="1"/>
    <w:semiHidden/>
    <w:qFormat/>
    <w:uiPriority w:val="0"/>
    <w:pPr>
      <w:autoSpaceDE w:val="0"/>
      <w:autoSpaceDN w:val="0"/>
      <w:adjustRightInd w:val="0"/>
      <w:snapToGrid w:val="0"/>
      <w:spacing w:line="360" w:lineRule="exact"/>
    </w:pPr>
  </w:style>
  <w:style w:type="character" w:customStyle="1" w:styleId="997">
    <w:name w:val="black"/>
    <w:qFormat/>
    <w:uiPriority w:val="0"/>
    <w:rPr>
      <w:rFonts w:ascii="宋体" w:hAnsi="宋体" w:eastAsia="宋体" w:cs="宋体"/>
      <w:kern w:val="2"/>
      <w:sz w:val="24"/>
      <w:szCs w:val="24"/>
      <w:lang w:val="en-US" w:eastAsia="zh-CN" w:bidi="ar-SA"/>
    </w:rPr>
  </w:style>
  <w:style w:type="character" w:customStyle="1" w:styleId="998">
    <w:name w:val="black121"/>
    <w:qFormat/>
    <w:uiPriority w:val="0"/>
    <w:rPr>
      <w:rFonts w:ascii="宋体" w:hAnsi="宋体" w:eastAsia="宋体" w:cs="宋体"/>
      <w:color w:val="062158"/>
      <w:kern w:val="2"/>
      <w:sz w:val="18"/>
      <w:szCs w:val="18"/>
      <w:lang w:val="en-US" w:eastAsia="zh-CN" w:bidi="ar-SA"/>
    </w:rPr>
  </w:style>
  <w:style w:type="paragraph" w:customStyle="1" w:styleId="999">
    <w:name w:val="Body Text Indent1"/>
    <w:basedOn w:val="1"/>
    <w:semiHidden/>
    <w:qFormat/>
    <w:uiPriority w:val="0"/>
    <w:pPr>
      <w:adjustRightInd w:val="0"/>
      <w:spacing w:line="360" w:lineRule="atLeast"/>
      <w:ind w:left="280" w:firstLine="560"/>
      <w:jc w:val="left"/>
      <w:textAlignment w:val="baseline"/>
    </w:pPr>
    <w:rPr>
      <w:kern w:val="0"/>
    </w:rPr>
  </w:style>
  <w:style w:type="paragraph" w:customStyle="1" w:styleId="1000">
    <w:name w:val="Bullet"/>
    <w:basedOn w:val="1"/>
    <w:next w:val="1"/>
    <w:qFormat/>
    <w:uiPriority w:val="0"/>
    <w:pPr>
      <w:widowControl/>
      <w:suppressLineNumbers/>
      <w:tabs>
        <w:tab w:val="left" w:pos="360"/>
      </w:tabs>
      <w:suppressAutoHyphens/>
      <w:spacing w:after="240"/>
      <w:ind w:left="720" w:hanging="360"/>
    </w:pPr>
    <w:rPr>
      <w:kern w:val="0"/>
      <w:sz w:val="23"/>
      <w:szCs w:val="23"/>
      <w:lang w:eastAsia="en-US"/>
    </w:rPr>
  </w:style>
  <w:style w:type="paragraph" w:customStyle="1" w:styleId="1001">
    <w:name w:val="表文YHY"/>
    <w:qFormat/>
    <w:uiPriority w:val="0"/>
    <w:pPr>
      <w:jc w:val="center"/>
    </w:pPr>
    <w:rPr>
      <w:rFonts w:ascii="Times New Roman" w:hAnsi="Times New Roman" w:eastAsia="宋体" w:cs="Times New Roman"/>
      <w:sz w:val="21"/>
      <w:szCs w:val="21"/>
      <w:lang w:val="en-US" w:eastAsia="zh-CN" w:bidi="ar-SA"/>
    </w:rPr>
  </w:style>
  <w:style w:type="paragraph" w:customStyle="1" w:styleId="1002">
    <w:name w:val="图片名"/>
    <w:basedOn w:val="598"/>
    <w:link w:val="1006"/>
    <w:qFormat/>
    <w:uiPriority w:val="0"/>
    <w:pPr>
      <w:spacing w:line="360" w:lineRule="auto"/>
    </w:pPr>
    <w:rPr>
      <w:b/>
      <w:lang w:val="zh-CN"/>
    </w:rPr>
  </w:style>
  <w:style w:type="character" w:customStyle="1" w:styleId="1003">
    <w:name w:val="图头 Char"/>
    <w:link w:val="743"/>
    <w:qFormat/>
    <w:uiPriority w:val="0"/>
    <w:rPr>
      <w:spacing w:val="10"/>
      <w:sz w:val="24"/>
      <w:szCs w:val="24"/>
    </w:rPr>
  </w:style>
  <w:style w:type="paragraph" w:customStyle="1" w:styleId="1004">
    <w:name w:val="lhm的正文样式"/>
    <w:basedOn w:val="34"/>
    <w:next w:val="34"/>
    <w:link w:val="1007"/>
    <w:qFormat/>
    <w:uiPriority w:val="0"/>
    <w:pPr>
      <w:spacing w:line="360" w:lineRule="auto"/>
      <w:ind w:firstLine="200" w:firstLineChars="200"/>
    </w:pPr>
    <w:rPr>
      <w:rFonts w:eastAsia="仿宋_GB2312"/>
      <w:sz w:val="28"/>
    </w:rPr>
  </w:style>
  <w:style w:type="character" w:customStyle="1" w:styleId="1005">
    <w:name w:val="图名 Char1"/>
    <w:link w:val="598"/>
    <w:qFormat/>
    <w:uiPriority w:val="0"/>
    <w:rPr>
      <w:kern w:val="2"/>
      <w:sz w:val="24"/>
      <w:szCs w:val="24"/>
    </w:rPr>
  </w:style>
  <w:style w:type="character" w:customStyle="1" w:styleId="1006">
    <w:name w:val="图片名 Char"/>
    <w:link w:val="1002"/>
    <w:qFormat/>
    <w:uiPriority w:val="0"/>
    <w:rPr>
      <w:b/>
      <w:kern w:val="2"/>
      <w:sz w:val="24"/>
      <w:szCs w:val="24"/>
      <w:lang w:val="zh-CN" w:eastAsia="zh-CN"/>
    </w:rPr>
  </w:style>
  <w:style w:type="character" w:customStyle="1" w:styleId="1007">
    <w:name w:val="lhm的正文样式 Char"/>
    <w:link w:val="1004"/>
    <w:qFormat/>
    <w:uiPriority w:val="0"/>
    <w:rPr>
      <w:rFonts w:eastAsia="仿宋_GB2312"/>
      <w:kern w:val="2"/>
      <w:sz w:val="28"/>
      <w:szCs w:val="24"/>
    </w:rPr>
  </w:style>
  <w:style w:type="character" w:customStyle="1" w:styleId="1008">
    <w:name w:val="样式 13.5 磅"/>
    <w:qFormat/>
    <w:uiPriority w:val="0"/>
    <w:rPr>
      <w:sz w:val="28"/>
    </w:rPr>
  </w:style>
  <w:style w:type="paragraph" w:customStyle="1" w:styleId="1009">
    <w:name w:val="表格"/>
    <w:basedOn w:val="1"/>
    <w:next w:val="1"/>
    <w:link w:val="1010"/>
    <w:qFormat/>
    <w:uiPriority w:val="0"/>
    <w:pPr>
      <w:autoSpaceDE w:val="0"/>
      <w:autoSpaceDN w:val="0"/>
      <w:adjustRightInd w:val="0"/>
      <w:snapToGrid w:val="0"/>
      <w:jc w:val="center"/>
      <w:textAlignment w:val="baseline"/>
    </w:pPr>
    <w:rPr>
      <w:kern w:val="0"/>
      <w:szCs w:val="20"/>
    </w:rPr>
  </w:style>
  <w:style w:type="character" w:customStyle="1" w:styleId="1010">
    <w:name w:val="表格 Char"/>
    <w:link w:val="1009"/>
    <w:qFormat/>
    <w:uiPriority w:val="0"/>
    <w:rPr>
      <w:sz w:val="24"/>
    </w:rPr>
  </w:style>
  <w:style w:type="character" w:customStyle="1" w:styleId="1011">
    <w:name w:val="4级 Char"/>
    <w:link w:val="1012"/>
    <w:qFormat/>
    <w:uiPriority w:val="0"/>
    <w:rPr>
      <w:b/>
      <w:kern w:val="2"/>
      <w:sz w:val="24"/>
      <w:szCs w:val="24"/>
    </w:rPr>
  </w:style>
  <w:style w:type="paragraph" w:customStyle="1" w:styleId="1012">
    <w:name w:val="4级"/>
    <w:basedOn w:val="1"/>
    <w:link w:val="1011"/>
    <w:qFormat/>
    <w:uiPriority w:val="0"/>
    <w:pPr>
      <w:spacing w:line="360" w:lineRule="auto"/>
      <w:outlineLvl w:val="3"/>
    </w:pPr>
    <w:rPr>
      <w:b/>
    </w:rPr>
  </w:style>
  <w:style w:type="paragraph" w:customStyle="1" w:styleId="1013">
    <w:name w:val="样式 四号 黑色"/>
    <w:basedOn w:val="1"/>
    <w:link w:val="1014"/>
    <w:qFormat/>
    <w:uiPriority w:val="0"/>
    <w:pPr>
      <w:spacing w:line="520" w:lineRule="exact"/>
      <w:ind w:firstLine="203" w:firstLineChars="203"/>
    </w:pPr>
    <w:rPr>
      <w:color w:val="000000"/>
      <w:sz w:val="28"/>
      <w:szCs w:val="28"/>
    </w:rPr>
  </w:style>
  <w:style w:type="character" w:customStyle="1" w:styleId="1014">
    <w:name w:val="样式 四号 黑色 Char"/>
    <w:link w:val="1013"/>
    <w:qFormat/>
    <w:uiPriority w:val="0"/>
    <w:rPr>
      <w:color w:val="000000"/>
      <w:kern w:val="2"/>
      <w:sz w:val="28"/>
      <w:szCs w:val="28"/>
    </w:rPr>
  </w:style>
  <w:style w:type="paragraph" w:customStyle="1" w:styleId="1015">
    <w:name w:val="样式 标题 3 + 宋体 四号 非加粗 段前: 4 磅 段后: 8 磅 行距: 固定值 32 磅"/>
    <w:basedOn w:val="5"/>
    <w:qFormat/>
    <w:uiPriority w:val="0"/>
    <w:pPr>
      <w:numPr>
        <w:ilvl w:val="0"/>
        <w:numId w:val="0"/>
      </w:numPr>
      <w:spacing w:before="80" w:after="160" w:line="640" w:lineRule="exact"/>
      <w:ind w:firstLine="560" w:firstLineChars="200"/>
    </w:pPr>
    <w:rPr>
      <w:rFonts w:eastAsia="宋体" w:cs="宋体"/>
      <w:bCs w:val="0"/>
      <w:sz w:val="28"/>
      <w:szCs w:val="20"/>
      <w:lang w:val="zh-CN"/>
    </w:rPr>
  </w:style>
  <w:style w:type="character" w:customStyle="1" w:styleId="1016">
    <w:name w:val="样式 (符号) 宋体 四号1"/>
    <w:qFormat/>
    <w:uiPriority w:val="0"/>
    <w:rPr>
      <w:rFonts w:ascii="Times New Roman" w:hAnsi="Times New Roman" w:eastAsia="宋体"/>
      <w:sz w:val="28"/>
    </w:rPr>
  </w:style>
  <w:style w:type="paragraph" w:customStyle="1" w:styleId="1017">
    <w:name w:val="样式 (符号) 宋体 四号 蓝色"/>
    <w:basedOn w:val="1"/>
    <w:link w:val="1018"/>
    <w:qFormat/>
    <w:uiPriority w:val="0"/>
    <w:pPr>
      <w:spacing w:line="520" w:lineRule="exact"/>
      <w:ind w:firstLine="200" w:firstLineChars="200"/>
    </w:pPr>
    <w:rPr>
      <w:rFonts w:hAnsi="宋体"/>
      <w:color w:val="0000FF"/>
      <w:sz w:val="28"/>
      <w:szCs w:val="28"/>
    </w:rPr>
  </w:style>
  <w:style w:type="character" w:customStyle="1" w:styleId="1018">
    <w:name w:val="样式 (符号) 宋体 四号 蓝色 Char"/>
    <w:link w:val="1017"/>
    <w:qFormat/>
    <w:uiPriority w:val="0"/>
    <w:rPr>
      <w:rFonts w:hAnsi="宋体"/>
      <w:color w:val="0000FF"/>
      <w:kern w:val="2"/>
      <w:sz w:val="28"/>
      <w:szCs w:val="28"/>
    </w:rPr>
  </w:style>
  <w:style w:type="paragraph" w:customStyle="1" w:styleId="1019">
    <w:name w:val="样式 四号 绿色 行距: 固定值 28 磅"/>
    <w:basedOn w:val="1"/>
    <w:qFormat/>
    <w:uiPriority w:val="0"/>
    <w:pPr>
      <w:spacing w:line="520" w:lineRule="exact"/>
      <w:ind w:firstLine="200" w:firstLineChars="200"/>
    </w:pPr>
    <w:rPr>
      <w:rFonts w:cs="宋体"/>
      <w:color w:val="008000"/>
      <w:sz w:val="28"/>
      <w:szCs w:val="20"/>
    </w:rPr>
  </w:style>
  <w:style w:type="paragraph" w:customStyle="1" w:styleId="1020">
    <w:name w:val="样式 宋体 四号 绿色 行距: 固定值 28 磅"/>
    <w:basedOn w:val="1"/>
    <w:qFormat/>
    <w:uiPriority w:val="0"/>
    <w:pPr>
      <w:spacing w:line="520" w:lineRule="exact"/>
      <w:ind w:firstLine="200" w:firstLineChars="200"/>
    </w:pPr>
    <w:rPr>
      <w:rFonts w:ascii="宋体" w:hAnsi="宋体" w:cs="宋体"/>
      <w:color w:val="008000"/>
      <w:sz w:val="28"/>
      <w:szCs w:val="20"/>
    </w:rPr>
  </w:style>
  <w:style w:type="paragraph" w:customStyle="1" w:styleId="1021">
    <w:name w:val="样式 四号1"/>
    <w:basedOn w:val="1"/>
    <w:link w:val="1022"/>
    <w:qFormat/>
    <w:uiPriority w:val="0"/>
    <w:pPr>
      <w:spacing w:line="520" w:lineRule="exact"/>
      <w:ind w:firstLine="200" w:firstLineChars="200"/>
    </w:pPr>
    <w:rPr>
      <w:sz w:val="28"/>
    </w:rPr>
  </w:style>
  <w:style w:type="character" w:customStyle="1" w:styleId="1022">
    <w:name w:val="样式 四号1 Char"/>
    <w:link w:val="1021"/>
    <w:qFormat/>
    <w:uiPriority w:val="0"/>
    <w:rPr>
      <w:kern w:val="2"/>
      <w:sz w:val="28"/>
      <w:szCs w:val="24"/>
    </w:rPr>
  </w:style>
  <w:style w:type="paragraph" w:customStyle="1" w:styleId="1023">
    <w:name w:val="样式 样式 四号1 + 首行缩进:  2 字符"/>
    <w:basedOn w:val="1021"/>
    <w:qFormat/>
    <w:uiPriority w:val="0"/>
    <w:rPr>
      <w:rFonts w:cs="宋体"/>
      <w:szCs w:val="20"/>
    </w:rPr>
  </w:style>
  <w:style w:type="paragraph" w:customStyle="1" w:styleId="1024">
    <w:name w:val="样式 四号 蓝色 首行缩进:  1.01 厘米 行距: 固定值 25 磅"/>
    <w:basedOn w:val="1"/>
    <w:qFormat/>
    <w:uiPriority w:val="0"/>
    <w:pPr>
      <w:spacing w:line="520" w:lineRule="exact"/>
      <w:ind w:firstLine="573"/>
    </w:pPr>
    <w:rPr>
      <w:rFonts w:cs="宋体"/>
      <w:color w:val="0000FF"/>
      <w:sz w:val="28"/>
      <w:szCs w:val="20"/>
    </w:rPr>
  </w:style>
  <w:style w:type="character" w:customStyle="1" w:styleId="1025">
    <w:name w:val="标题 1 Char Char"/>
    <w:qFormat/>
    <w:uiPriority w:val="0"/>
    <w:rPr>
      <w:rFonts w:eastAsia="宋体"/>
      <w:b/>
      <w:bCs/>
      <w:kern w:val="44"/>
      <w:sz w:val="44"/>
      <w:szCs w:val="44"/>
      <w:lang w:val="en-US" w:eastAsia="zh-CN" w:bidi="ar-SA"/>
    </w:rPr>
  </w:style>
  <w:style w:type="paragraph" w:customStyle="1" w:styleId="1026">
    <w:name w:val="样式 (符号) 宋体 四号 蓝色 行距: 固定值 26 磅"/>
    <w:basedOn w:val="1"/>
    <w:qFormat/>
    <w:uiPriority w:val="0"/>
    <w:pPr>
      <w:spacing w:line="520" w:lineRule="exact"/>
      <w:ind w:firstLine="200" w:firstLineChars="200"/>
    </w:pPr>
    <w:rPr>
      <w:rFonts w:hAnsi="宋体" w:cs="宋体"/>
      <w:color w:val="0000FF"/>
      <w:sz w:val="28"/>
      <w:szCs w:val="20"/>
    </w:rPr>
  </w:style>
  <w:style w:type="paragraph" w:customStyle="1" w:styleId="1027">
    <w:name w:val="样式 四号 蓝色 行距: 最小值 25 磅"/>
    <w:basedOn w:val="1"/>
    <w:qFormat/>
    <w:uiPriority w:val="0"/>
    <w:pPr>
      <w:spacing w:line="520" w:lineRule="atLeast"/>
      <w:ind w:firstLine="200" w:firstLineChars="200"/>
    </w:pPr>
    <w:rPr>
      <w:rFonts w:cs="宋体"/>
      <w:color w:val="0000FF"/>
      <w:sz w:val="28"/>
      <w:szCs w:val="20"/>
    </w:rPr>
  </w:style>
  <w:style w:type="character" w:customStyle="1" w:styleId="1028">
    <w:name w:val="纯文本 Char2"/>
    <w:qFormat/>
    <w:uiPriority w:val="0"/>
    <w:rPr>
      <w:rFonts w:ascii="宋体" w:hAnsi="Courier New" w:eastAsia="宋体"/>
      <w:kern w:val="2"/>
      <w:sz w:val="21"/>
      <w:lang w:val="en-US" w:eastAsia="zh-CN" w:bidi="ar-SA"/>
    </w:rPr>
  </w:style>
  <w:style w:type="paragraph" w:customStyle="1" w:styleId="1029">
    <w:name w:val="aaa正文"/>
    <w:basedOn w:val="1"/>
    <w:qFormat/>
    <w:uiPriority w:val="0"/>
    <w:pPr>
      <w:widowControl/>
      <w:ind w:firstLine="200" w:firstLineChars="200"/>
    </w:pPr>
  </w:style>
  <w:style w:type="character" w:customStyle="1" w:styleId="1030">
    <w:name w:val="正文 Char"/>
    <w:link w:val="856"/>
    <w:qFormat/>
    <w:uiPriority w:val="0"/>
    <w:rPr>
      <w:kern w:val="2"/>
      <w:sz w:val="24"/>
      <w:szCs w:val="21"/>
    </w:rPr>
  </w:style>
  <w:style w:type="paragraph" w:customStyle="1" w:styleId="1031">
    <w:name w:val="样式 (符号) 宋体 四号 行距: 固定值 26 磅"/>
    <w:basedOn w:val="1"/>
    <w:qFormat/>
    <w:uiPriority w:val="0"/>
    <w:pPr>
      <w:spacing w:line="520" w:lineRule="exact"/>
      <w:ind w:firstLine="200" w:firstLineChars="200"/>
    </w:pPr>
    <w:rPr>
      <w:rFonts w:hAnsi="宋体" w:cs="宋体"/>
      <w:sz w:val="28"/>
      <w:szCs w:val="20"/>
    </w:rPr>
  </w:style>
  <w:style w:type="table" w:customStyle="1" w:styleId="1032">
    <w:name w:val="专业型1"/>
    <w:basedOn w:val="88"/>
    <w:qFormat/>
    <w:uiPriority w:val="0"/>
    <w:pPr>
      <w:widowControl w:val="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Pr>
    <w:tcPr>
      <w:shd w:val="clear" w:color="auto" w:fill="auto"/>
    </w:tcPr>
    <w:tblStylePr w:type="firstRow">
      <w:rPr>
        <w:b/>
        <w:bCs/>
        <w:color w:val="auto"/>
      </w:rPr>
      <w:tcPr>
        <w:tcBorders>
          <w:tl2br w:val="nil"/>
          <w:tr2bl w:val="nil"/>
        </w:tcBorders>
        <w:shd w:val="solid" w:color="000000" w:fill="FFFFFF"/>
      </w:tcPr>
    </w:tblStylePr>
  </w:style>
  <w:style w:type="table" w:customStyle="1" w:styleId="1033">
    <w:name w:val="专业型2"/>
    <w:basedOn w:val="88"/>
    <w:qFormat/>
    <w:uiPriority w:val="0"/>
    <w:pPr>
      <w:widowControl w:val="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Pr>
    <w:tcPr>
      <w:shd w:val="clear" w:color="auto" w:fill="auto"/>
    </w:tcPr>
    <w:tblStylePr w:type="firstRow">
      <w:rPr>
        <w:b/>
        <w:bCs/>
        <w:color w:val="auto"/>
      </w:rPr>
      <w:tcPr>
        <w:tcBorders>
          <w:tl2br w:val="nil"/>
          <w:tr2bl w:val="nil"/>
        </w:tcBorders>
        <w:shd w:val="solid" w:color="000000" w:fill="FFFFFF"/>
      </w:tcPr>
    </w:tblStylePr>
  </w:style>
  <w:style w:type="table" w:customStyle="1" w:styleId="1034">
    <w:name w:val="专业型3"/>
    <w:basedOn w:val="88"/>
    <w:qFormat/>
    <w:uiPriority w:val="0"/>
    <w:pPr>
      <w:widowControl w:val="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Pr>
    <w:tcPr>
      <w:shd w:val="clear" w:color="auto" w:fill="auto"/>
    </w:tcPr>
    <w:tblStylePr w:type="firstRow">
      <w:rPr>
        <w:b/>
        <w:bCs/>
        <w:color w:val="auto"/>
      </w:rPr>
      <w:tcPr>
        <w:tcBorders>
          <w:tl2br w:val="nil"/>
          <w:tr2bl w:val="nil"/>
        </w:tcBorders>
        <w:shd w:val="solid" w:color="000000" w:fill="FFFFFF"/>
      </w:tcPr>
    </w:tblStylePr>
  </w:style>
  <w:style w:type="paragraph" w:customStyle="1" w:styleId="1035">
    <w:name w:val="0-shiw-表格"/>
    <w:link w:val="1036"/>
    <w:qFormat/>
    <w:uiPriority w:val="0"/>
    <w:pPr>
      <w:spacing w:line="300" w:lineRule="exact"/>
    </w:pPr>
    <w:rPr>
      <w:rFonts w:ascii="宋体" w:hAnsi="宋体" w:eastAsia="宋体" w:cs="宋体"/>
      <w:kern w:val="2"/>
      <w:sz w:val="24"/>
      <w:szCs w:val="24"/>
      <w:lang w:val="en-US" w:eastAsia="zh-CN" w:bidi="ar-SA"/>
    </w:rPr>
  </w:style>
  <w:style w:type="character" w:customStyle="1" w:styleId="1036">
    <w:name w:val="0-shiw-表格 Char"/>
    <w:link w:val="1035"/>
    <w:qFormat/>
    <w:uiPriority w:val="0"/>
    <w:rPr>
      <w:rFonts w:ascii="宋体" w:hAnsi="宋体" w:cs="宋体"/>
      <w:kern w:val="2"/>
      <w:sz w:val="24"/>
      <w:szCs w:val="24"/>
    </w:rPr>
  </w:style>
  <w:style w:type="paragraph" w:customStyle="1" w:styleId="1037">
    <w:name w:val="样式 正文文本 + 段前: 0.15 行"/>
    <w:basedOn w:val="34"/>
    <w:qFormat/>
    <w:uiPriority w:val="0"/>
    <w:pPr>
      <w:adjustRightInd w:val="0"/>
      <w:snapToGrid w:val="0"/>
      <w:spacing w:before="57" w:beforeLines="15" w:after="60" w:line="320" w:lineRule="atLeast"/>
    </w:pPr>
    <w:rPr>
      <w:rFonts w:eastAsia="仿宋" w:cs="宋体"/>
      <w:sz w:val="24"/>
      <w:szCs w:val="20"/>
      <w:lang w:val="zh-CN"/>
    </w:rPr>
  </w:style>
  <w:style w:type="paragraph" w:customStyle="1" w:styleId="1038">
    <w:name w:val="样式 小4居中 +"/>
    <w:basedOn w:val="1"/>
    <w:link w:val="1039"/>
    <w:qFormat/>
    <w:uiPriority w:val="0"/>
    <w:pPr>
      <w:snapToGrid w:val="0"/>
      <w:spacing w:before="15" w:beforeLines="15" w:after="15" w:afterLines="15" w:line="320" w:lineRule="atLeast"/>
      <w:jc w:val="center"/>
    </w:pPr>
    <w:rPr>
      <w:kern w:val="0"/>
    </w:rPr>
  </w:style>
  <w:style w:type="character" w:customStyle="1" w:styleId="1039">
    <w:name w:val="样式 小4居中 + Char"/>
    <w:link w:val="1038"/>
    <w:qFormat/>
    <w:uiPriority w:val="0"/>
    <w:rPr>
      <w:sz w:val="24"/>
      <w:szCs w:val="24"/>
    </w:rPr>
  </w:style>
  <w:style w:type="paragraph" w:customStyle="1" w:styleId="1040">
    <w:name w:val="0-shiw-正文 4号宋体"/>
    <w:link w:val="1041"/>
    <w:qFormat/>
    <w:uiPriority w:val="0"/>
    <w:pPr>
      <w:widowControl w:val="0"/>
      <w:adjustRightInd w:val="0"/>
      <w:snapToGrid w:val="0"/>
      <w:spacing w:line="520" w:lineRule="exact"/>
      <w:ind w:firstLine="200" w:firstLineChars="200"/>
      <w:jc w:val="both"/>
    </w:pPr>
    <w:rPr>
      <w:rFonts w:ascii="Times New Roman" w:hAnsi="Times New Roman" w:eastAsia="宋体" w:cs="Times New Roman"/>
      <w:kern w:val="2"/>
      <w:sz w:val="28"/>
      <w:szCs w:val="28"/>
      <w:lang w:val="en-US" w:eastAsia="zh-CN" w:bidi="ar-SA"/>
    </w:rPr>
  </w:style>
  <w:style w:type="character" w:customStyle="1" w:styleId="1041">
    <w:name w:val="0-shiw-正文 4号宋体 Char"/>
    <w:link w:val="1040"/>
    <w:qFormat/>
    <w:uiPriority w:val="0"/>
    <w:rPr>
      <w:kern w:val="2"/>
      <w:sz w:val="28"/>
      <w:szCs w:val="28"/>
    </w:rPr>
  </w:style>
  <w:style w:type="paragraph" w:customStyle="1" w:styleId="1042">
    <w:name w:val="0-shiw-表格标题"/>
    <w:link w:val="1043"/>
    <w:qFormat/>
    <w:uiPriority w:val="0"/>
    <w:pPr>
      <w:jc w:val="center"/>
    </w:pPr>
    <w:rPr>
      <w:rFonts w:ascii="宋体" w:hAnsi="宋体" w:eastAsia="宋体" w:cs="宋体"/>
      <w:kern w:val="2"/>
      <w:sz w:val="24"/>
      <w:szCs w:val="24"/>
      <w:lang w:val="en-US" w:eastAsia="zh-CN" w:bidi="ar-SA"/>
    </w:rPr>
  </w:style>
  <w:style w:type="character" w:customStyle="1" w:styleId="1043">
    <w:name w:val="0-shiw-表格标题 Char"/>
    <w:link w:val="1042"/>
    <w:qFormat/>
    <w:uiPriority w:val="0"/>
    <w:rPr>
      <w:rFonts w:ascii="宋体" w:hAnsi="宋体" w:cs="宋体"/>
      <w:kern w:val="2"/>
      <w:sz w:val="24"/>
      <w:szCs w:val="24"/>
    </w:rPr>
  </w:style>
  <w:style w:type="paragraph" w:customStyle="1" w:styleId="1044">
    <w:name w:val="Char Char Char Char Char Char Char Char Char Char Char Char Char"/>
    <w:basedOn w:val="1"/>
    <w:qFormat/>
    <w:uiPriority w:val="0"/>
    <w:rPr>
      <w:sz w:val="21"/>
      <w:szCs w:val="21"/>
    </w:rPr>
  </w:style>
  <w:style w:type="character" w:customStyle="1" w:styleId="1045">
    <w:name w:val="Char Char19"/>
    <w:qFormat/>
    <w:uiPriority w:val="0"/>
    <w:rPr>
      <w:rFonts w:ascii="Times New Roman" w:hAnsi="Times New Roman"/>
      <w:kern w:val="2"/>
      <w:sz w:val="24"/>
      <w:szCs w:val="24"/>
    </w:rPr>
  </w:style>
  <w:style w:type="character" w:customStyle="1" w:styleId="1046">
    <w:name w:val="正文缩 Char"/>
    <w:link w:val="1047"/>
    <w:qFormat/>
    <w:uiPriority w:val="0"/>
    <w:rPr>
      <w:rFonts w:cs="宋体"/>
      <w:b/>
      <w:bCs/>
      <w:color w:val="000000"/>
      <w:kern w:val="2"/>
      <w:sz w:val="24"/>
      <w:szCs w:val="24"/>
    </w:rPr>
  </w:style>
  <w:style w:type="paragraph" w:customStyle="1" w:styleId="1047">
    <w:name w:val="正文缩"/>
    <w:basedOn w:val="1"/>
    <w:link w:val="1046"/>
    <w:qFormat/>
    <w:uiPriority w:val="0"/>
    <w:pPr>
      <w:ind w:firstLine="200" w:firstLineChars="200"/>
    </w:pPr>
    <w:rPr>
      <w:rFonts w:cs="宋体"/>
      <w:b/>
      <w:bCs/>
      <w:color w:val="000000"/>
    </w:rPr>
  </w:style>
  <w:style w:type="paragraph" w:customStyle="1" w:styleId="1048">
    <w:name w:val="FHDI插图标题"/>
    <w:basedOn w:val="1"/>
    <w:next w:val="1"/>
    <w:qFormat/>
    <w:uiPriority w:val="0"/>
    <w:pPr>
      <w:widowControl/>
      <w:snapToGrid w:val="0"/>
      <w:spacing w:before="156" w:beforeLines="50" w:after="156" w:afterLines="50" w:line="288" w:lineRule="auto"/>
      <w:jc w:val="center"/>
    </w:pPr>
    <w:rPr>
      <w:rFonts w:ascii="Arial" w:hAnsi="Arial"/>
      <w:kern w:val="0"/>
      <w:sz w:val="28"/>
      <w:szCs w:val="28"/>
    </w:rPr>
  </w:style>
  <w:style w:type="paragraph" w:customStyle="1" w:styleId="1049">
    <w:name w:val="700"/>
    <w:basedOn w:val="1"/>
    <w:qFormat/>
    <w:uiPriority w:val="0"/>
    <w:pPr>
      <w:snapToGrid w:val="0"/>
      <w:jc w:val="center"/>
    </w:pPr>
    <w:rPr>
      <w:rFonts w:hint="eastAsia" w:ascii="华文中宋" w:hAnsi="华文中宋" w:eastAsia="华文中宋"/>
      <w:kern w:val="0"/>
      <w:sz w:val="21"/>
      <w:szCs w:val="22"/>
      <w:lang w:val="zh-CN"/>
    </w:rPr>
  </w:style>
  <w:style w:type="character" w:customStyle="1" w:styleId="1050">
    <w:name w:val="四号 正文 Char"/>
    <w:link w:val="1051"/>
    <w:qFormat/>
    <w:uiPriority w:val="0"/>
    <w:rPr>
      <w:rFonts w:cs="宋体"/>
      <w:spacing w:val="6"/>
      <w:kern w:val="2"/>
      <w:sz w:val="28"/>
    </w:rPr>
  </w:style>
  <w:style w:type="paragraph" w:customStyle="1" w:styleId="1051">
    <w:name w:val="四号 正文"/>
    <w:basedOn w:val="1"/>
    <w:link w:val="1050"/>
    <w:qFormat/>
    <w:uiPriority w:val="0"/>
    <w:pPr>
      <w:ind w:firstLine="584" w:firstLineChars="200"/>
    </w:pPr>
    <w:rPr>
      <w:rFonts w:cs="宋体"/>
      <w:spacing w:val="6"/>
      <w:sz w:val="28"/>
      <w:szCs w:val="20"/>
    </w:rPr>
  </w:style>
  <w:style w:type="character" w:customStyle="1" w:styleId="1052">
    <w:name w:val="正文缩进 Char3"/>
    <w:qFormat/>
    <w:uiPriority w:val="0"/>
    <w:rPr>
      <w:kern w:val="2"/>
      <w:sz w:val="24"/>
      <w:szCs w:val="24"/>
    </w:rPr>
  </w:style>
  <w:style w:type="character" w:customStyle="1" w:styleId="1053">
    <w:name w:val="表头东晓 Char"/>
    <w:link w:val="1054"/>
    <w:qFormat/>
    <w:uiPriority w:val="0"/>
    <w:rPr>
      <w:rFonts w:cs="Courier New"/>
      <w:sz w:val="21"/>
      <w:szCs w:val="21"/>
    </w:rPr>
  </w:style>
  <w:style w:type="paragraph" w:customStyle="1" w:styleId="1054">
    <w:name w:val="表头东晓"/>
    <w:basedOn w:val="1"/>
    <w:link w:val="1053"/>
    <w:qFormat/>
    <w:uiPriority w:val="0"/>
    <w:pPr>
      <w:widowControl/>
      <w:adjustRightInd w:val="0"/>
      <w:snapToGrid w:val="0"/>
      <w:jc w:val="center"/>
    </w:pPr>
    <w:rPr>
      <w:rFonts w:cs="Courier New"/>
      <w:kern w:val="0"/>
      <w:sz w:val="21"/>
      <w:szCs w:val="21"/>
    </w:rPr>
  </w:style>
  <w:style w:type="paragraph" w:customStyle="1" w:styleId="1055">
    <w:name w:val="彩色底纹 - 强调文字颜色 11"/>
    <w:hidden/>
    <w:semiHidden/>
    <w:qFormat/>
    <w:uiPriority w:val="0"/>
    <w:rPr>
      <w:rFonts w:ascii="Times New Roman" w:hAnsi="Times New Roman" w:eastAsia="宋体" w:cs="Times New Roman"/>
      <w:kern w:val="2"/>
      <w:sz w:val="21"/>
      <w:szCs w:val="24"/>
      <w:lang w:val="en-US" w:eastAsia="zh-CN" w:bidi="ar-SA"/>
    </w:rPr>
  </w:style>
  <w:style w:type="paragraph" w:customStyle="1" w:styleId="1056">
    <w:name w:val="彩色列表 - 强调文字颜色 11"/>
    <w:basedOn w:val="1"/>
    <w:qFormat/>
    <w:uiPriority w:val="0"/>
    <w:pPr>
      <w:spacing w:line="288" w:lineRule="auto"/>
      <w:ind w:firstLine="420" w:firstLineChars="200"/>
    </w:pPr>
  </w:style>
  <w:style w:type="paragraph" w:customStyle="1" w:styleId="1057">
    <w:name w:val="表格内部"/>
    <w:basedOn w:val="1"/>
    <w:qFormat/>
    <w:uiPriority w:val="0"/>
    <w:pPr>
      <w:spacing w:line="440" w:lineRule="exact"/>
      <w:ind w:left="-101" w:leftChars="-42"/>
      <w:jc w:val="center"/>
    </w:pPr>
    <w:rPr>
      <w:sz w:val="21"/>
      <w:szCs w:val="21"/>
    </w:rPr>
  </w:style>
  <w:style w:type="table" w:customStyle="1" w:styleId="1058">
    <w:name w:val="专业型4"/>
    <w:basedOn w:val="88"/>
    <w:qFormat/>
    <w:uiPriority w:val="0"/>
    <w:pPr>
      <w:widowControl w:val="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Pr>
    <w:tcPr>
      <w:shd w:val="clear" w:color="auto" w:fill="auto"/>
    </w:tcPr>
    <w:tblStylePr w:type="firstRow">
      <w:rPr>
        <w:b/>
        <w:bCs/>
        <w:color w:val="auto"/>
      </w:rPr>
      <w:tcPr>
        <w:tcBorders>
          <w:tl2br w:val="nil"/>
          <w:tr2bl w:val="nil"/>
        </w:tcBorders>
        <w:shd w:val="solid" w:color="000000" w:fill="FFFFFF"/>
      </w:tcPr>
    </w:tblStylePr>
  </w:style>
  <w:style w:type="table" w:customStyle="1" w:styleId="1059">
    <w:name w:val="网格型2"/>
    <w:basedOn w:val="88"/>
    <w:qFormat/>
    <w:uiPriority w:val="39"/>
    <w:rPr>
      <w:rFonts w:ascii="Calibri" w:hAnsi="Calibri"/>
      <w:kern w:val="2"/>
      <w:sz w:val="21"/>
      <w:szCs w:val="2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Pr>
  </w:style>
  <w:style w:type="table" w:customStyle="1" w:styleId="1060">
    <w:name w:val="杨1"/>
    <w:basedOn w:val="88"/>
    <w:qFormat/>
    <w:uiPriority w:val="0"/>
    <w:pPr>
      <w:widowControl w:val="0"/>
      <w:jc w:val="both"/>
    </w:pPr>
    <w:rPr>
      <w:sz w:val="24"/>
      <w:szCs w:val="24"/>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Pr>
  </w:style>
  <w:style w:type="table" w:customStyle="1" w:styleId="1061">
    <w:name w:val="网格型 11"/>
    <w:basedOn w:val="88"/>
    <w:semiHidden/>
    <w:qFormat/>
    <w:uiPriority w:val="0"/>
    <w:pPr>
      <w:widowControl w:val="0"/>
      <w:jc w:val="both"/>
    </w:pPr>
    <w:rPr>
      <w:rFonts w:ascii="Calibri" w:hAnsi="Calibri"/>
    </w:r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Pr>
    <w:tcPr>
      <w:shd w:val="clear" w:color="auto" w:fill="auto"/>
    </w:tcPr>
    <w:tblStylePr w:type="lastRow">
      <w:rPr>
        <w:i/>
        <w:iCs/>
      </w:rPr>
      <w:tcPr>
        <w:tcBorders>
          <w:tl2br w:val="nil"/>
          <w:tr2bl w:val="nil"/>
        </w:tcBorders>
      </w:tcPr>
    </w:tblStylePr>
    <w:tblStylePr w:type="lastCol">
      <w:rPr>
        <w:i/>
        <w:iCs/>
      </w:rPr>
      <w:tcPr>
        <w:tcBorders>
          <w:tl2br w:val="nil"/>
          <w:tr2bl w:val="nil"/>
        </w:tcBorders>
      </w:tcPr>
    </w:tblStylePr>
    <w:tblStylePr w:type="nwCell">
      <w:tcPr>
        <w:tcBorders>
          <w:tl2br w:val="single" w:color="000000" w:sz="6" w:space="0"/>
          <w:tr2bl w:val="nil"/>
        </w:tcBorders>
      </w:tcPr>
    </w:tblStylePr>
  </w:style>
  <w:style w:type="table" w:customStyle="1" w:styleId="1062">
    <w:name w:val="网格型 51"/>
    <w:basedOn w:val="88"/>
    <w:semiHidden/>
    <w:qFormat/>
    <w:uiPriority w:val="0"/>
    <w:pPr>
      <w:widowControl w:val="0"/>
      <w:jc w:val="both"/>
    </w:pPr>
    <w:rPr>
      <w:rFonts w:ascii="Calibri" w:hAnsi="Calibri"/>
    </w:rPr>
    <w:tblP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Pr>
    <w:tcPr>
      <w:shd w:val="clear" w:color="auto" w:fill="auto"/>
    </w:tcPr>
    <w:tblStylePr w:type="firstRow">
      <w:tcPr>
        <w:tcBorders>
          <w:bottom w:val="single" w:color="000000" w:sz="12" w:space="0"/>
          <w:tl2br w:val="nil"/>
          <w:tr2bl w:val="nil"/>
        </w:tcBorders>
      </w:tcPr>
    </w:tblStylePr>
    <w:tblStylePr w:type="lastRow">
      <w:rPr>
        <w:b/>
        <w:bCs/>
      </w:rPr>
      <w:tcPr>
        <w:tcBorders>
          <w:tl2br w:val="nil"/>
          <w:tr2bl w:val="nil"/>
        </w:tcBorders>
      </w:tcPr>
    </w:tblStylePr>
    <w:tblStylePr w:type="lastCol">
      <w:rPr>
        <w:b/>
        <w:bCs/>
      </w:rPr>
      <w:tcPr>
        <w:tcBorders>
          <w:tl2br w:val="nil"/>
          <w:tr2bl w:val="nil"/>
        </w:tcBorders>
      </w:tcPr>
    </w:tblStylePr>
    <w:tblStylePr w:type="nwCell">
      <w:tcPr>
        <w:tcBorders>
          <w:tl2br w:val="single" w:color="000000" w:sz="6" w:space="0"/>
          <w:tr2bl w:val="nil"/>
        </w:tcBorders>
      </w:tcPr>
    </w:tblStylePr>
  </w:style>
  <w:style w:type="table" w:customStyle="1" w:styleId="1063">
    <w:name w:val="网格型 71"/>
    <w:basedOn w:val="88"/>
    <w:qFormat/>
    <w:uiPriority w:val="0"/>
    <w:pPr>
      <w:widowControl w:val="0"/>
      <w:jc w:val="both"/>
    </w:pPr>
    <w:rPr>
      <w:rFonts w:ascii="Calibri" w:hAnsi="Calibri"/>
      <w:b/>
      <w:bCs/>
    </w:rPr>
    <w:tblP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Pr>
    <w:tcPr>
      <w:shd w:val="clear" w:color="auto" w:fill="auto"/>
    </w:tcPr>
    <w:tblStylePr w:type="firstRow">
      <w:rPr>
        <w:b w:val="0"/>
        <w:bCs w:val="0"/>
      </w:rPr>
      <w:tcPr>
        <w:tcBorders>
          <w:bottom w:val="single" w:color="000000" w:sz="12" w:space="0"/>
          <w:tl2br w:val="nil"/>
          <w:tr2bl w:val="nil"/>
        </w:tcBorders>
      </w:tcPr>
    </w:tblStylePr>
    <w:tblStylePr w:type="lastRow">
      <w:rPr>
        <w:b w:val="0"/>
        <w:bCs w:val="0"/>
      </w:rPr>
      <w:tcPr>
        <w:tcBorders>
          <w:top w:val="single" w:color="000000" w:sz="6" w:space="0"/>
          <w:tl2br w:val="nil"/>
          <w:tr2bl w:val="nil"/>
        </w:tcBorders>
      </w:tcPr>
    </w:tblStylePr>
    <w:tblStylePr w:type="firstCol">
      <w:rPr>
        <w:b w:val="0"/>
        <w:bCs w:val="0"/>
      </w:rPr>
      <w:tcPr>
        <w:tcBorders>
          <w:tl2br w:val="nil"/>
          <w:tr2bl w:val="nil"/>
        </w:tcBorders>
      </w:tcPr>
    </w:tblStylePr>
    <w:tblStylePr w:type="lastCol">
      <w:rPr>
        <w:b w:val="0"/>
        <w:bCs w:val="0"/>
      </w:rPr>
      <w:tcPr>
        <w:tcBorders>
          <w:tl2br w:val="nil"/>
          <w:tr2bl w:val="nil"/>
        </w:tcBorders>
      </w:tcPr>
    </w:tblStylePr>
    <w:tblStylePr w:type="nwCell">
      <w:tcPr>
        <w:tcBorders>
          <w:tl2br w:val="single" w:color="000000" w:sz="6" w:space="0"/>
          <w:tr2bl w:val="nil"/>
        </w:tcBorders>
      </w:tcPr>
    </w:tblStylePr>
  </w:style>
  <w:style w:type="character" w:customStyle="1" w:styleId="1064">
    <w:name w:val="页眉 Char1"/>
    <w:qFormat/>
    <w:uiPriority w:val="0"/>
    <w:rPr>
      <w:rFonts w:eastAsia="宋体"/>
      <w:kern w:val="2"/>
      <w:sz w:val="18"/>
      <w:szCs w:val="18"/>
      <w:lang w:val="en-US" w:eastAsia="zh-CN" w:bidi="ar-SA"/>
    </w:rPr>
  </w:style>
  <w:style w:type="character" w:customStyle="1" w:styleId="1065">
    <w:name w:val="页脚 Char1"/>
    <w:qFormat/>
    <w:uiPriority w:val="0"/>
    <w:rPr>
      <w:rFonts w:eastAsia="宋体"/>
      <w:kern w:val="2"/>
      <w:sz w:val="18"/>
      <w:szCs w:val="18"/>
      <w:lang w:val="en-US" w:eastAsia="zh-CN" w:bidi="ar-SA"/>
    </w:rPr>
  </w:style>
  <w:style w:type="paragraph" w:customStyle="1" w:styleId="1066">
    <w:name w:val="Char Char3 Char Char Char Char Char Char"/>
    <w:basedOn w:val="1"/>
    <w:qFormat/>
    <w:uiPriority w:val="0"/>
    <w:pPr>
      <w:spacing w:line="360" w:lineRule="auto"/>
      <w:ind w:firstLine="200" w:firstLineChars="200"/>
    </w:pPr>
    <w:rPr>
      <w:rFonts w:ascii="宋体" w:hAnsi="宋体" w:cs="宋体"/>
    </w:rPr>
  </w:style>
  <w:style w:type="paragraph" w:customStyle="1" w:styleId="1067">
    <w:name w:val="Char Char6 Char Char Char Char Char Char Char Char"/>
    <w:basedOn w:val="1"/>
    <w:qFormat/>
    <w:uiPriority w:val="0"/>
    <w:pPr>
      <w:spacing w:line="360" w:lineRule="auto"/>
      <w:ind w:firstLine="200" w:firstLineChars="200"/>
    </w:pPr>
    <w:rPr>
      <w:rFonts w:ascii="宋体" w:hAnsi="宋体" w:cs="宋体"/>
    </w:rPr>
  </w:style>
  <w:style w:type="paragraph" w:customStyle="1" w:styleId="1068">
    <w:name w:val="Char Char Char Char Char Char1 Char Char Char1 Char Char Char Char Char Char Char Char Char Char Char Char Char Char Char1 Char Char Char1 Char Char Char Char Char Char1 Char Char Char Char Char Char Char Char Char"/>
    <w:basedOn w:val="1"/>
    <w:qFormat/>
    <w:uiPriority w:val="0"/>
    <w:pPr>
      <w:spacing w:line="360" w:lineRule="auto"/>
      <w:ind w:firstLine="200" w:firstLineChars="200"/>
    </w:pPr>
    <w:rPr>
      <w:rFonts w:ascii="宋体" w:hAnsi="宋体" w:cs="宋体"/>
    </w:rPr>
  </w:style>
  <w:style w:type="paragraph" w:customStyle="1" w:styleId="1069">
    <w:name w:val="Char Char Char Char1 Char Char Char1 Char Char1 Char Char Char Char"/>
    <w:basedOn w:val="1"/>
    <w:qFormat/>
    <w:uiPriority w:val="0"/>
    <w:pPr>
      <w:ind w:firstLine="200" w:firstLineChars="200"/>
    </w:pPr>
    <w:rPr>
      <w:rFonts w:ascii="宋体" w:hAnsi="宋体" w:cs="宋体"/>
    </w:rPr>
  </w:style>
  <w:style w:type="paragraph" w:customStyle="1" w:styleId="1070">
    <w:name w:val="Char Char6 Char Char"/>
    <w:basedOn w:val="1"/>
    <w:qFormat/>
    <w:uiPriority w:val="0"/>
    <w:pPr>
      <w:spacing w:line="360" w:lineRule="auto"/>
      <w:ind w:firstLine="200" w:firstLineChars="200"/>
    </w:pPr>
    <w:rPr>
      <w:rFonts w:ascii="宋体" w:hAnsi="宋体" w:cs="宋体"/>
    </w:rPr>
  </w:style>
  <w:style w:type="paragraph" w:customStyle="1" w:styleId="1071">
    <w:name w:val="Char Char3 Char Char Char Char"/>
    <w:basedOn w:val="1"/>
    <w:qFormat/>
    <w:uiPriority w:val="0"/>
    <w:pPr>
      <w:spacing w:line="360" w:lineRule="auto"/>
      <w:ind w:firstLine="200" w:firstLineChars="200"/>
    </w:pPr>
    <w:rPr>
      <w:rFonts w:ascii="宋体" w:hAnsi="宋体" w:cs="宋体"/>
    </w:rPr>
  </w:style>
  <w:style w:type="paragraph" w:customStyle="1" w:styleId="1072">
    <w:name w:val="Char Char Char Char Char Char1 Char Char Char1 Char Char Char Char Char Char Char Char Char Char Char Char Char Char Char1 Char Char Char1 Char Char Char Char Char Char1 Char Char Char Char Char Char Char Char Char1"/>
    <w:basedOn w:val="1"/>
    <w:qFormat/>
    <w:uiPriority w:val="0"/>
    <w:pPr>
      <w:spacing w:line="360" w:lineRule="auto"/>
      <w:ind w:firstLine="200" w:firstLineChars="200"/>
    </w:pPr>
    <w:rPr>
      <w:rFonts w:ascii="宋体" w:hAnsi="宋体" w:cs="宋体"/>
    </w:rPr>
  </w:style>
  <w:style w:type="character" w:customStyle="1" w:styleId="1073">
    <w:name w:val="不明显强调1"/>
    <w:qFormat/>
    <w:uiPriority w:val="19"/>
    <w:rPr>
      <w:i/>
      <w:iCs/>
      <w:color w:val="808080"/>
    </w:rPr>
  </w:style>
  <w:style w:type="paragraph" w:customStyle="1" w:styleId="1074">
    <w:name w:val="Char Char6 Char Char Char Char Char Char Char Char Char Char Char Char"/>
    <w:basedOn w:val="1"/>
    <w:qFormat/>
    <w:uiPriority w:val="0"/>
    <w:pPr>
      <w:spacing w:line="360" w:lineRule="auto"/>
      <w:ind w:firstLine="200" w:firstLineChars="200"/>
    </w:pPr>
    <w:rPr>
      <w:rFonts w:ascii="宋体" w:hAnsi="宋体" w:cs="宋体"/>
    </w:rPr>
  </w:style>
  <w:style w:type="paragraph" w:customStyle="1" w:styleId="1075">
    <w:name w:val="样式nlw"/>
    <w:basedOn w:val="1"/>
    <w:link w:val="1076"/>
    <w:qFormat/>
    <w:uiPriority w:val="0"/>
    <w:pPr>
      <w:ind w:firstLine="494" w:firstLineChars="200"/>
      <w:jc w:val="left"/>
    </w:pPr>
  </w:style>
  <w:style w:type="character" w:customStyle="1" w:styleId="1076">
    <w:name w:val="样式nlw 字符"/>
    <w:link w:val="1075"/>
    <w:qFormat/>
    <w:uiPriority w:val="0"/>
    <w:rPr>
      <w:kern w:val="2"/>
      <w:sz w:val="24"/>
      <w:szCs w:val="24"/>
    </w:rPr>
  </w:style>
  <w:style w:type="character" w:customStyle="1" w:styleId="1077">
    <w:name w:val="表标题 Char1"/>
    <w:link w:val="1078"/>
    <w:qFormat/>
    <w:uiPriority w:val="0"/>
    <w:rPr>
      <w:b/>
      <w:sz w:val="24"/>
      <w:szCs w:val="24"/>
    </w:rPr>
  </w:style>
  <w:style w:type="paragraph" w:customStyle="1" w:styleId="1078">
    <w:name w:val="表标题"/>
    <w:basedOn w:val="1"/>
    <w:next w:val="1"/>
    <w:link w:val="1077"/>
    <w:qFormat/>
    <w:uiPriority w:val="0"/>
    <w:pPr>
      <w:spacing w:line="360" w:lineRule="auto"/>
      <w:jc w:val="center"/>
    </w:pPr>
    <w:rPr>
      <w:b/>
      <w:kern w:val="0"/>
    </w:rPr>
  </w:style>
  <w:style w:type="paragraph" w:customStyle="1" w:styleId="1079">
    <w:name w:val="Table Paragraph"/>
    <w:basedOn w:val="1"/>
    <w:qFormat/>
    <w:uiPriority w:val="1"/>
    <w:pPr>
      <w:autoSpaceDE w:val="0"/>
      <w:autoSpaceDN w:val="0"/>
      <w:adjustRightInd w:val="0"/>
      <w:jc w:val="left"/>
    </w:pPr>
    <w:rPr>
      <w:rFonts w:asciiTheme="minorHAnsi" w:hAnsiTheme="minorHAnsi" w:eastAsiaTheme="minorEastAsia" w:cstheme="minorBidi"/>
      <w:kern w:val="0"/>
    </w:rPr>
  </w:style>
  <w:style w:type="table" w:customStyle="1" w:styleId="1080">
    <w:name w:val="Table Normal"/>
    <w:unhideWhenUsed/>
    <w:qFormat/>
    <w:uiPriority w:val="2"/>
    <w:pPr>
      <w:widowControl w:val="0"/>
    </w:pPr>
    <w:rPr>
      <w:rFonts w:asciiTheme="minorHAnsi" w:hAnsiTheme="minorHAnsi" w:eastAsiaTheme="minorEastAsia" w:cstheme="minorBidi"/>
      <w:sz w:val="22"/>
      <w:szCs w:val="22"/>
      <w:lang w:eastAsia="en-US"/>
    </w:rPr>
    <w:tblPr>
      <w:tblLayout w:type="fixed"/>
      <w:tblCellMar>
        <w:top w:w="0" w:type="dxa"/>
        <w:left w:w="0" w:type="dxa"/>
        <w:bottom w:w="0" w:type="dxa"/>
        <w:right w:w="0" w:type="dxa"/>
      </w:tblCellMar>
    </w:tblPr>
  </w:style>
  <w:style w:type="character" w:customStyle="1" w:styleId="1081">
    <w:name w:val="标题 5 Char1"/>
    <w:basedOn w:val="133"/>
    <w:qFormat/>
    <w:uiPriority w:val="9"/>
    <w:rPr>
      <w:b/>
      <w:bCs/>
      <w:kern w:val="2"/>
      <w:sz w:val="28"/>
      <w:szCs w:val="28"/>
    </w:rPr>
  </w:style>
  <w:style w:type="character" w:customStyle="1" w:styleId="1082">
    <w:name w:val="题注 字符2"/>
    <w:link w:val="22"/>
    <w:qFormat/>
    <w:locked/>
    <w:uiPriority w:val="0"/>
    <w:rPr>
      <w:b/>
      <w:kern w:val="2"/>
      <w:sz w:val="24"/>
      <w:szCs w:val="24"/>
    </w:rPr>
  </w:style>
  <w:style w:type="character" w:customStyle="1" w:styleId="1083">
    <w:name w:val="尾注文本 字符1"/>
    <w:basedOn w:val="133"/>
    <w:link w:val="52"/>
    <w:qFormat/>
    <w:uiPriority w:val="0"/>
    <w:rPr>
      <w:kern w:val="2"/>
      <w:sz w:val="21"/>
      <w:szCs w:val="24"/>
      <w:lang w:val="zh-CN" w:eastAsia="zh-CN"/>
    </w:rPr>
  </w:style>
  <w:style w:type="character" w:customStyle="1" w:styleId="1084">
    <w:name w:val="宏文本 字符1"/>
    <w:basedOn w:val="133"/>
    <w:link w:val="2"/>
    <w:qFormat/>
    <w:uiPriority w:val="0"/>
    <w:rPr>
      <w:rFonts w:ascii="Courier New" w:hAnsi="Courier New"/>
      <w:kern w:val="2"/>
      <w:sz w:val="24"/>
      <w:szCs w:val="24"/>
    </w:rPr>
  </w:style>
  <w:style w:type="character" w:customStyle="1" w:styleId="1085">
    <w:name w:val="正文文本缩进 Char1"/>
    <w:basedOn w:val="133"/>
    <w:qFormat/>
    <w:uiPriority w:val="0"/>
    <w:rPr>
      <w:kern w:val="2"/>
      <w:sz w:val="24"/>
      <w:szCs w:val="24"/>
    </w:rPr>
  </w:style>
  <w:style w:type="character" w:customStyle="1" w:styleId="1086">
    <w:name w:val="正文首行缩进 2 Char1"/>
    <w:basedOn w:val="1085"/>
    <w:qFormat/>
    <w:uiPriority w:val="0"/>
    <w:rPr>
      <w:kern w:val="2"/>
      <w:sz w:val="24"/>
      <w:szCs w:val="24"/>
    </w:rPr>
  </w:style>
  <w:style w:type="character" w:customStyle="1" w:styleId="1087">
    <w:name w:val="正文文本 3 字符2"/>
    <w:basedOn w:val="133"/>
    <w:link w:val="31"/>
    <w:qFormat/>
    <w:uiPriority w:val="0"/>
    <w:rPr>
      <w:kern w:val="2"/>
      <w:sz w:val="24"/>
      <w:szCs w:val="24"/>
    </w:rPr>
  </w:style>
  <w:style w:type="paragraph" w:customStyle="1" w:styleId="1088">
    <w:name w:val="修订1"/>
    <w:qFormat/>
    <w:uiPriority w:val="0"/>
    <w:rPr>
      <w:rFonts w:ascii="Times New Roman" w:hAnsi="Times New Roman" w:eastAsia="宋体" w:cs="Times New Roman"/>
      <w:kern w:val="2"/>
      <w:sz w:val="24"/>
      <w:szCs w:val="24"/>
      <w:lang w:val="en-US" w:eastAsia="zh-CN" w:bidi="ar-SA"/>
    </w:rPr>
  </w:style>
  <w:style w:type="paragraph" w:customStyle="1" w:styleId="1089">
    <w:name w:val="Char Char Char3"/>
    <w:basedOn w:val="1"/>
    <w:qFormat/>
    <w:uiPriority w:val="0"/>
    <w:pPr>
      <w:widowControl/>
      <w:spacing w:after="160" w:line="240" w:lineRule="exact"/>
      <w:jc w:val="left"/>
    </w:pPr>
    <w:rPr>
      <w:rFonts w:ascii="Verdana" w:hAnsi="Verdana"/>
      <w:kern w:val="0"/>
      <w:sz w:val="20"/>
      <w:szCs w:val="20"/>
      <w:lang w:eastAsia="en-US"/>
    </w:rPr>
  </w:style>
  <w:style w:type="character" w:customStyle="1" w:styleId="1090">
    <w:name w:val="图表名 Char"/>
    <w:link w:val="679"/>
    <w:qFormat/>
    <w:locked/>
    <w:uiPriority w:val="0"/>
    <w:rPr>
      <w:b/>
      <w:kern w:val="2"/>
      <w:sz w:val="24"/>
      <w:szCs w:val="32"/>
      <w:lang w:val="zh-CN" w:eastAsia="zh-CN"/>
    </w:rPr>
  </w:style>
  <w:style w:type="character" w:customStyle="1" w:styleId="1091">
    <w:name w:val="1.1 Char"/>
    <w:link w:val="711"/>
    <w:qFormat/>
    <w:locked/>
    <w:uiPriority w:val="0"/>
    <w:rPr>
      <w:rFonts w:ascii="黑体" w:eastAsia="黑体"/>
      <w:b/>
      <w:spacing w:val="10"/>
      <w:sz w:val="28"/>
    </w:rPr>
  </w:style>
  <w:style w:type="paragraph" w:customStyle="1" w:styleId="1092">
    <w:name w:val="标题 22"/>
    <w:basedOn w:val="1"/>
    <w:next w:val="1"/>
    <w:qFormat/>
    <w:uiPriority w:val="0"/>
    <w:pPr>
      <w:keepNext/>
      <w:keepLines/>
      <w:spacing w:line="360" w:lineRule="auto"/>
      <w:outlineLvl w:val="1"/>
    </w:pPr>
    <w:rPr>
      <w:b/>
      <w:bCs/>
      <w:sz w:val="30"/>
      <w:szCs w:val="30"/>
    </w:rPr>
  </w:style>
  <w:style w:type="paragraph" w:customStyle="1" w:styleId="1093">
    <w:name w:val="Char Char Char Char Char Char Char Char Char Char Char Char Char Char Char Char"/>
    <w:basedOn w:val="1"/>
    <w:qFormat/>
    <w:uiPriority w:val="0"/>
    <w:pPr>
      <w:tabs>
        <w:tab w:val="left" w:pos="360"/>
      </w:tabs>
    </w:pPr>
  </w:style>
  <w:style w:type="paragraph" w:customStyle="1" w:styleId="1094">
    <w:name w:val="Char7"/>
    <w:basedOn w:val="1"/>
    <w:qFormat/>
    <w:uiPriority w:val="0"/>
    <w:pPr>
      <w:spacing w:line="360" w:lineRule="auto"/>
      <w:ind w:firstLine="200" w:firstLineChars="200"/>
    </w:pPr>
    <w:rPr>
      <w:rFonts w:ascii="宋体" w:hAnsi="宋体" w:cs="宋体"/>
    </w:rPr>
  </w:style>
  <w:style w:type="paragraph" w:customStyle="1" w:styleId="1095">
    <w:name w:val="Char6"/>
    <w:basedOn w:val="1"/>
    <w:qFormat/>
    <w:uiPriority w:val="0"/>
    <w:pPr>
      <w:spacing w:line="360" w:lineRule="auto"/>
      <w:ind w:firstLine="200" w:firstLineChars="200"/>
    </w:pPr>
    <w:rPr>
      <w:rFonts w:ascii="宋体" w:hAnsi="宋体" w:cs="宋体"/>
    </w:rPr>
  </w:style>
  <w:style w:type="paragraph" w:customStyle="1" w:styleId="1096">
    <w:name w:val="Char5"/>
    <w:basedOn w:val="1"/>
    <w:qFormat/>
    <w:uiPriority w:val="0"/>
    <w:pPr>
      <w:spacing w:line="360" w:lineRule="auto"/>
      <w:ind w:firstLine="200" w:firstLineChars="200"/>
    </w:pPr>
    <w:rPr>
      <w:rFonts w:ascii="宋体" w:hAnsi="宋体" w:cs="宋体"/>
    </w:rPr>
  </w:style>
  <w:style w:type="paragraph" w:customStyle="1" w:styleId="1097">
    <w:name w:val="Char4"/>
    <w:basedOn w:val="1"/>
    <w:qFormat/>
    <w:uiPriority w:val="0"/>
    <w:pPr>
      <w:spacing w:line="360" w:lineRule="auto"/>
      <w:ind w:firstLine="200" w:firstLineChars="200"/>
    </w:pPr>
    <w:rPr>
      <w:rFonts w:ascii="宋体" w:hAnsi="宋体" w:cs="宋体"/>
    </w:rPr>
  </w:style>
  <w:style w:type="paragraph" w:customStyle="1" w:styleId="1098">
    <w:name w:val="Char Char Char Char Char Char Char Char Char Char Char Char Char Char Char Char1"/>
    <w:basedOn w:val="1"/>
    <w:qFormat/>
    <w:uiPriority w:val="0"/>
    <w:pPr>
      <w:tabs>
        <w:tab w:val="left" w:pos="360"/>
      </w:tabs>
    </w:pPr>
  </w:style>
  <w:style w:type="paragraph" w:customStyle="1" w:styleId="1099">
    <w:name w:val="默认段落字体 Para Char Char Char Char Char Char Char Char Char1 Char Char Char Char Char Char Char"/>
    <w:basedOn w:val="1"/>
    <w:qFormat/>
    <w:uiPriority w:val="0"/>
    <w:rPr>
      <w:b/>
      <w:bCs/>
      <w:sz w:val="36"/>
      <w:szCs w:val="32"/>
    </w:rPr>
  </w:style>
  <w:style w:type="character" w:customStyle="1" w:styleId="1100">
    <w:name w:val="样式 标题 3 + 宋体 小四 非加粗 Char"/>
    <w:link w:val="394"/>
    <w:qFormat/>
    <w:locked/>
    <w:uiPriority w:val="0"/>
    <w:rPr>
      <w:rFonts w:ascii="宋体" w:hAnsi="宋体" w:eastAsia="黑体"/>
      <w:kern w:val="2"/>
      <w:sz w:val="24"/>
      <w:szCs w:val="32"/>
    </w:rPr>
  </w:style>
  <w:style w:type="paragraph" w:customStyle="1" w:styleId="1101">
    <w:name w:val="样式W"/>
    <w:basedOn w:val="392"/>
    <w:qFormat/>
    <w:uiPriority w:val="99"/>
    <w:pPr>
      <w:numPr>
        <w:ilvl w:val="0"/>
        <w:numId w:val="0"/>
      </w:numPr>
      <w:tabs>
        <w:tab w:val="left" w:pos="540"/>
        <w:tab w:val="left" w:pos="567"/>
      </w:tabs>
      <w:spacing w:before="0" w:beforeLines="50" w:after="0" w:afterLines="50" w:line="360" w:lineRule="auto"/>
      <w:ind w:left="567" w:hanging="567"/>
    </w:pPr>
    <w:rPr>
      <w:rFonts w:ascii="Times New Roman" w:hAnsi="Times New Roman"/>
      <w:szCs w:val="28"/>
      <w:lang w:val="zh-CN"/>
    </w:rPr>
  </w:style>
  <w:style w:type="paragraph" w:customStyle="1" w:styleId="1102">
    <w:name w:val="普通(Web)2"/>
    <w:basedOn w:val="1"/>
    <w:qFormat/>
    <w:uiPriority w:val="0"/>
    <w:pPr>
      <w:widowControl/>
      <w:spacing w:before="225" w:after="225" w:line="345" w:lineRule="atLeast"/>
      <w:jc w:val="left"/>
    </w:pPr>
    <w:rPr>
      <w:rFonts w:ascii="宋体" w:hAnsi="宋体" w:cs="宋体"/>
      <w:kern w:val="0"/>
      <w:szCs w:val="21"/>
    </w:rPr>
  </w:style>
  <w:style w:type="paragraph" w:customStyle="1" w:styleId="1103">
    <w:name w:val="样式Q"/>
    <w:basedOn w:val="393"/>
    <w:qFormat/>
    <w:uiPriority w:val="0"/>
    <w:pPr>
      <w:numPr>
        <w:numId w:val="0"/>
      </w:numPr>
      <w:spacing w:before="0" w:beforeLines="50" w:after="0" w:afterLines="50" w:line="360" w:lineRule="auto"/>
      <w:ind w:left="360" w:hanging="360"/>
      <w:jc w:val="both"/>
    </w:pPr>
    <w:rPr>
      <w:rFonts w:ascii="Times New Roman" w:hAnsi="Times New Roman"/>
      <w:lang w:val="zh-CN"/>
    </w:rPr>
  </w:style>
  <w:style w:type="paragraph" w:customStyle="1" w:styleId="1104">
    <w:name w:val="Char Char Char Char Char Char1 Char Char Char Char Char Char Char Char Char Char Char Char Char"/>
    <w:basedOn w:val="1"/>
    <w:qFormat/>
    <w:uiPriority w:val="0"/>
    <w:rPr>
      <w:b/>
      <w:bCs/>
      <w:sz w:val="36"/>
      <w:szCs w:val="32"/>
    </w:rPr>
  </w:style>
  <w:style w:type="paragraph" w:customStyle="1" w:styleId="1105">
    <w:name w:val="Char Char Char Char Char Char1 Char Char Char Char Char Char Char Char Char Char Char Char Char1"/>
    <w:basedOn w:val="1"/>
    <w:qFormat/>
    <w:uiPriority w:val="0"/>
    <w:rPr>
      <w:b/>
      <w:bCs/>
      <w:sz w:val="36"/>
      <w:szCs w:val="32"/>
    </w:rPr>
  </w:style>
  <w:style w:type="paragraph" w:customStyle="1" w:styleId="1106">
    <w:name w:val="Char8"/>
    <w:basedOn w:val="1"/>
    <w:qFormat/>
    <w:uiPriority w:val="0"/>
    <w:pPr>
      <w:spacing w:line="360" w:lineRule="auto"/>
      <w:ind w:firstLine="200" w:firstLineChars="200"/>
    </w:pPr>
    <w:rPr>
      <w:rFonts w:ascii="宋体" w:hAnsi="宋体" w:cs="宋体"/>
    </w:rPr>
  </w:style>
  <w:style w:type="character" w:customStyle="1" w:styleId="1107">
    <w:name w:val="表格1 Char"/>
    <w:link w:val="254"/>
    <w:qFormat/>
    <w:locked/>
    <w:uiPriority w:val="0"/>
    <w:rPr>
      <w:rFonts w:ascii="CG Times (WN)"/>
      <w:spacing w:val="6"/>
      <w:sz w:val="24"/>
      <w:szCs w:val="24"/>
    </w:rPr>
  </w:style>
  <w:style w:type="character" w:customStyle="1" w:styleId="1108">
    <w:name w:val="图题目格式 Char"/>
    <w:link w:val="1109"/>
    <w:qFormat/>
    <w:locked/>
    <w:uiPriority w:val="0"/>
    <w:rPr>
      <w:kern w:val="2"/>
      <w:sz w:val="24"/>
      <w:szCs w:val="24"/>
      <w:lang w:val="zh-CN" w:eastAsia="zh-CN"/>
    </w:rPr>
  </w:style>
  <w:style w:type="paragraph" w:customStyle="1" w:styleId="1109">
    <w:name w:val="图题目格式"/>
    <w:basedOn w:val="430"/>
    <w:link w:val="1108"/>
    <w:qFormat/>
    <w:uiPriority w:val="0"/>
    <w:pPr>
      <w:ind w:firstLine="0"/>
      <w:jc w:val="center"/>
    </w:pPr>
    <w:rPr>
      <w:sz w:val="24"/>
      <w:lang w:val="zh-CN"/>
    </w:rPr>
  </w:style>
  <w:style w:type="paragraph" w:customStyle="1" w:styleId="1110">
    <w:name w:val="Char14"/>
    <w:basedOn w:val="1"/>
    <w:qFormat/>
    <w:uiPriority w:val="0"/>
    <w:pPr>
      <w:spacing w:line="360" w:lineRule="auto"/>
      <w:ind w:firstLine="200" w:firstLineChars="200"/>
    </w:pPr>
    <w:rPr>
      <w:rFonts w:ascii="宋体" w:hAnsi="宋体" w:cs="宋体"/>
    </w:rPr>
  </w:style>
  <w:style w:type="paragraph" w:customStyle="1" w:styleId="1111">
    <w:name w:val="Char13"/>
    <w:basedOn w:val="1"/>
    <w:qFormat/>
    <w:uiPriority w:val="0"/>
    <w:pPr>
      <w:spacing w:line="360" w:lineRule="auto"/>
      <w:ind w:firstLine="200" w:firstLineChars="200"/>
    </w:pPr>
    <w:rPr>
      <w:rFonts w:ascii="宋体" w:hAnsi="宋体" w:cs="宋体"/>
    </w:rPr>
  </w:style>
  <w:style w:type="paragraph" w:customStyle="1" w:styleId="1112">
    <w:name w:val="Char12"/>
    <w:basedOn w:val="1"/>
    <w:qFormat/>
    <w:uiPriority w:val="0"/>
    <w:rPr>
      <w:sz w:val="21"/>
    </w:rPr>
  </w:style>
  <w:style w:type="paragraph" w:customStyle="1" w:styleId="1113">
    <w:name w:val="样式 样式 正文缩进s4 + 首行缩进:  2 字符 + 首行缩进:  2 字符"/>
    <w:basedOn w:val="1"/>
    <w:qFormat/>
    <w:uiPriority w:val="0"/>
    <w:pPr>
      <w:adjustRightInd w:val="0"/>
      <w:snapToGrid w:val="0"/>
      <w:spacing w:line="560" w:lineRule="exact"/>
      <w:ind w:firstLine="560" w:firstLineChars="200"/>
    </w:pPr>
    <w:rPr>
      <w:sz w:val="28"/>
      <w:szCs w:val="28"/>
    </w:rPr>
  </w:style>
  <w:style w:type="paragraph" w:customStyle="1" w:styleId="1114">
    <w:name w:val="样式正文"/>
    <w:basedOn w:val="1"/>
    <w:qFormat/>
    <w:uiPriority w:val="0"/>
    <w:pPr>
      <w:spacing w:line="600" w:lineRule="exact"/>
      <w:ind w:firstLine="200" w:firstLineChars="200"/>
    </w:pPr>
    <w:rPr>
      <w:sz w:val="28"/>
      <w:szCs w:val="28"/>
    </w:rPr>
  </w:style>
  <w:style w:type="paragraph" w:customStyle="1" w:styleId="1115">
    <w:name w:val="样式 左侧:  0.98 厘米"/>
    <w:basedOn w:val="1"/>
    <w:qFormat/>
    <w:uiPriority w:val="0"/>
    <w:pPr>
      <w:adjustRightInd w:val="0"/>
      <w:snapToGrid w:val="0"/>
      <w:spacing w:line="490" w:lineRule="exact"/>
      <w:ind w:firstLine="560" w:firstLineChars="200"/>
    </w:pPr>
    <w:rPr>
      <w:rFonts w:eastAsia="仿宋_GB2312"/>
      <w:sz w:val="28"/>
      <w:szCs w:val="20"/>
    </w:rPr>
  </w:style>
  <w:style w:type="paragraph" w:customStyle="1" w:styleId="1116">
    <w:name w:val="Char11"/>
    <w:basedOn w:val="1"/>
    <w:qFormat/>
    <w:uiPriority w:val="0"/>
    <w:rPr>
      <w:sz w:val="21"/>
    </w:rPr>
  </w:style>
  <w:style w:type="paragraph" w:customStyle="1" w:styleId="1117">
    <w:name w:val="Char10"/>
    <w:basedOn w:val="1"/>
    <w:qFormat/>
    <w:uiPriority w:val="0"/>
    <w:rPr>
      <w:sz w:val="21"/>
    </w:rPr>
  </w:style>
  <w:style w:type="paragraph" w:customStyle="1" w:styleId="1118">
    <w:name w:val="Char9"/>
    <w:basedOn w:val="1"/>
    <w:qFormat/>
    <w:uiPriority w:val="0"/>
    <w:rPr>
      <w:szCs w:val="20"/>
    </w:rPr>
  </w:style>
  <w:style w:type="paragraph" w:customStyle="1" w:styleId="1119">
    <w:name w:val="Char15"/>
    <w:basedOn w:val="1"/>
    <w:qFormat/>
    <w:uiPriority w:val="0"/>
    <w:pPr>
      <w:tabs>
        <w:tab w:val="left" w:pos="794"/>
        <w:tab w:val="left" w:pos="1191"/>
        <w:tab w:val="left" w:pos="1588"/>
        <w:tab w:val="left" w:pos="1985"/>
      </w:tabs>
      <w:autoSpaceDE w:val="0"/>
      <w:autoSpaceDN w:val="0"/>
      <w:adjustRightInd w:val="0"/>
      <w:spacing w:before="136"/>
    </w:pPr>
    <w:rPr>
      <w:rFonts w:ascii="Tahoma" w:hAnsi="Tahoma"/>
      <w:kern w:val="0"/>
      <w:szCs w:val="20"/>
      <w:lang w:val="en-GB"/>
    </w:rPr>
  </w:style>
  <w:style w:type="paragraph" w:customStyle="1" w:styleId="1120">
    <w:name w:val="表样式"/>
    <w:qFormat/>
    <w:uiPriority w:val="0"/>
    <w:pPr>
      <w:spacing w:beforeLines="50" w:afterLines="50"/>
      <w:jc w:val="center"/>
    </w:pPr>
    <w:rPr>
      <w:rFonts w:ascii="Times New Roman" w:hAnsi="Times New Roman" w:eastAsia="宋体" w:cs="Times New Roman"/>
      <w:sz w:val="28"/>
      <w:lang w:val="en-US" w:eastAsia="zh-CN" w:bidi="ar-SA"/>
    </w:rPr>
  </w:style>
  <w:style w:type="paragraph" w:customStyle="1" w:styleId="1121">
    <w:name w:val="3标题"/>
    <w:basedOn w:val="5"/>
    <w:qFormat/>
    <w:uiPriority w:val="0"/>
    <w:pPr>
      <w:spacing w:line="600" w:lineRule="atLeast"/>
    </w:pPr>
    <w:rPr>
      <w:rFonts w:eastAsia="宋体"/>
      <w:color w:val="000000"/>
      <w:sz w:val="28"/>
      <w:szCs w:val="20"/>
      <w:lang w:val="zh-CN"/>
    </w:rPr>
  </w:style>
  <w:style w:type="character" w:customStyle="1" w:styleId="1122">
    <w:name w:val="标题二 Char"/>
    <w:link w:val="1123"/>
    <w:qFormat/>
    <w:locked/>
    <w:uiPriority w:val="0"/>
    <w:rPr>
      <w:rFonts w:ascii="Arial" w:hAnsi="Arial" w:eastAsia="黑体" w:cs="Arial"/>
      <w:b/>
      <w:bCs/>
      <w:kern w:val="2"/>
      <w:sz w:val="32"/>
      <w:szCs w:val="36"/>
      <w:lang w:val="zh-CN" w:eastAsia="zh-CN"/>
    </w:rPr>
  </w:style>
  <w:style w:type="paragraph" w:customStyle="1" w:styleId="1123">
    <w:name w:val="标题二"/>
    <w:basedOn w:val="1"/>
    <w:link w:val="1122"/>
    <w:qFormat/>
    <w:uiPriority w:val="0"/>
    <w:pPr>
      <w:spacing w:before="60" w:after="60"/>
      <w:jc w:val="left"/>
      <w:outlineLvl w:val="0"/>
    </w:pPr>
    <w:rPr>
      <w:rFonts w:ascii="Arial" w:hAnsi="Arial" w:eastAsia="黑体" w:cs="Arial"/>
      <w:b/>
      <w:bCs/>
      <w:sz w:val="32"/>
      <w:szCs w:val="36"/>
      <w:lang w:val="zh-CN"/>
    </w:rPr>
  </w:style>
  <w:style w:type="character" w:customStyle="1" w:styleId="1124">
    <w:name w:val="样式 标题二 + (西文) 宋体 Char"/>
    <w:link w:val="1125"/>
    <w:qFormat/>
    <w:locked/>
    <w:uiPriority w:val="0"/>
    <w:rPr>
      <w:rFonts w:ascii="宋体" w:hAnsi="宋体" w:eastAsia="黑体"/>
      <w:b/>
      <w:bCs/>
      <w:kern w:val="2"/>
      <w:sz w:val="28"/>
      <w:szCs w:val="36"/>
      <w:lang w:val="zh-CN" w:eastAsia="zh-CN"/>
    </w:rPr>
  </w:style>
  <w:style w:type="paragraph" w:customStyle="1" w:styleId="1125">
    <w:name w:val="样式 标题二 + (西文) 宋体"/>
    <w:basedOn w:val="1123"/>
    <w:link w:val="1124"/>
    <w:qFormat/>
    <w:uiPriority w:val="0"/>
    <w:rPr>
      <w:rFonts w:ascii="宋体" w:hAnsi="宋体" w:cs="Times New Roman"/>
      <w:sz w:val="28"/>
    </w:rPr>
  </w:style>
  <w:style w:type="character" w:customStyle="1" w:styleId="1126">
    <w:name w:val="haydonli Char"/>
    <w:link w:val="713"/>
    <w:qFormat/>
    <w:locked/>
    <w:uiPriority w:val="0"/>
    <w:rPr>
      <w:snapToGrid w:val="0"/>
      <w:sz w:val="24"/>
      <w:szCs w:val="24"/>
    </w:rPr>
  </w:style>
  <w:style w:type="paragraph" w:customStyle="1" w:styleId="1127">
    <w:name w:val="Char Char Char Char1 Char Char Char Char Char Char Char Char Char Char Char Char"/>
    <w:basedOn w:val="1"/>
    <w:semiHidden/>
    <w:qFormat/>
    <w:uiPriority w:val="0"/>
    <w:pPr>
      <w:ind w:firstLine="200" w:firstLineChars="200"/>
    </w:pPr>
    <w:rPr>
      <w:rFonts w:ascii="宋体" w:hAnsi="宋体" w:cs="宋体"/>
    </w:rPr>
  </w:style>
  <w:style w:type="paragraph" w:customStyle="1" w:styleId="1128">
    <w:name w:val="Char Char Char Char Char Char1 Char Char Char1 Char Char Char Char Char Char Char Char Char Char Char Char Char Char Char1 Char Char Char Char"/>
    <w:basedOn w:val="1"/>
    <w:qFormat/>
    <w:uiPriority w:val="0"/>
    <w:pPr>
      <w:spacing w:line="360" w:lineRule="auto"/>
      <w:ind w:firstLine="200" w:firstLineChars="200"/>
    </w:pPr>
    <w:rPr>
      <w:rFonts w:ascii="宋体" w:hAnsi="宋体" w:cs="宋体"/>
    </w:rPr>
  </w:style>
  <w:style w:type="character" w:customStyle="1" w:styleId="1129">
    <w:name w:val="4级标题 Char"/>
    <w:link w:val="637"/>
    <w:qFormat/>
    <w:locked/>
    <w:uiPriority w:val="0"/>
    <w:rPr>
      <w:b/>
      <w:kern w:val="2"/>
      <w:sz w:val="24"/>
      <w:szCs w:val="24"/>
    </w:rPr>
  </w:style>
  <w:style w:type="paragraph" w:customStyle="1" w:styleId="1130">
    <w:name w:val="1 Char Char Char Char Char Char Char Char Char Char Char Char1 Char"/>
    <w:basedOn w:val="1"/>
    <w:qFormat/>
    <w:uiPriority w:val="0"/>
  </w:style>
  <w:style w:type="paragraph" w:customStyle="1" w:styleId="1131">
    <w:name w:val="Char21"/>
    <w:basedOn w:val="1"/>
    <w:next w:val="1"/>
    <w:qFormat/>
    <w:uiPriority w:val="0"/>
    <w:pPr>
      <w:widowControl/>
      <w:spacing w:line="360" w:lineRule="auto"/>
      <w:ind w:firstLine="200" w:firstLineChars="200"/>
      <w:jc w:val="left"/>
    </w:pPr>
    <w:rPr>
      <w:rFonts w:ascii="宋体" w:hAnsi="宋体" w:cs="宋体"/>
      <w:kern w:val="0"/>
    </w:rPr>
  </w:style>
  <w:style w:type="character" w:customStyle="1" w:styleId="1132">
    <w:name w:val="报告书正文 Char Char Char"/>
    <w:link w:val="1133"/>
    <w:semiHidden/>
    <w:qFormat/>
    <w:locked/>
    <w:uiPriority w:val="0"/>
    <w:rPr>
      <w:color w:val="000000"/>
      <w:kern w:val="2"/>
      <w:sz w:val="24"/>
      <w:szCs w:val="24"/>
    </w:rPr>
  </w:style>
  <w:style w:type="paragraph" w:customStyle="1" w:styleId="1133">
    <w:name w:val="报告书正文 Char Char"/>
    <w:basedOn w:val="1"/>
    <w:link w:val="1132"/>
    <w:semiHidden/>
    <w:qFormat/>
    <w:uiPriority w:val="0"/>
    <w:pPr>
      <w:spacing w:line="300" w:lineRule="auto"/>
      <w:ind w:firstLine="480" w:firstLineChars="200"/>
    </w:pPr>
    <w:rPr>
      <w:color w:val="000000"/>
    </w:rPr>
  </w:style>
  <w:style w:type="paragraph" w:customStyle="1" w:styleId="1134">
    <w:name w:val="pic-info"/>
    <w:basedOn w:val="1"/>
    <w:qFormat/>
    <w:uiPriority w:val="0"/>
    <w:pPr>
      <w:widowControl/>
      <w:spacing w:before="100" w:beforeAutospacing="1" w:after="100" w:afterAutospacing="1"/>
      <w:jc w:val="left"/>
    </w:pPr>
    <w:rPr>
      <w:rFonts w:ascii="宋体" w:hAnsi="宋体" w:cs="宋体"/>
      <w:kern w:val="0"/>
    </w:rPr>
  </w:style>
  <w:style w:type="paragraph" w:customStyle="1" w:styleId="1135">
    <w:name w:val="Char Char Char21"/>
    <w:basedOn w:val="1"/>
    <w:qFormat/>
    <w:uiPriority w:val="0"/>
    <w:pPr>
      <w:widowControl/>
      <w:spacing w:after="160" w:line="240" w:lineRule="exact"/>
      <w:jc w:val="left"/>
    </w:pPr>
    <w:rPr>
      <w:rFonts w:ascii="Verdana" w:hAnsi="Verdana"/>
      <w:kern w:val="0"/>
      <w:sz w:val="20"/>
      <w:szCs w:val="20"/>
      <w:lang w:eastAsia="en-US"/>
    </w:rPr>
  </w:style>
  <w:style w:type="paragraph" w:customStyle="1" w:styleId="1136">
    <w:name w:val="Char Char1 Char Char Char Char Char Char Char Char Char Char Char Char Char Char Char Char Char Char Char Char1 Char"/>
    <w:basedOn w:val="1"/>
    <w:qFormat/>
    <w:uiPriority w:val="0"/>
    <w:pPr>
      <w:spacing w:line="360" w:lineRule="auto"/>
      <w:ind w:firstLine="200" w:firstLineChars="200"/>
    </w:pPr>
    <w:rPr>
      <w:rFonts w:ascii="宋体" w:hAnsi="宋体" w:cs="宋体"/>
    </w:rPr>
  </w:style>
  <w:style w:type="character" w:customStyle="1" w:styleId="1137">
    <w:name w:val="SCCTPI图 Char"/>
    <w:link w:val="1138"/>
    <w:semiHidden/>
    <w:qFormat/>
    <w:locked/>
    <w:uiPriority w:val="0"/>
    <w:rPr>
      <w:kern w:val="2"/>
      <w:sz w:val="21"/>
      <w:szCs w:val="24"/>
      <w:lang w:val="zh-CN" w:eastAsia="zh-CN"/>
    </w:rPr>
  </w:style>
  <w:style w:type="paragraph" w:customStyle="1" w:styleId="1138">
    <w:name w:val="SCCTPI图"/>
    <w:basedOn w:val="73"/>
    <w:link w:val="1137"/>
    <w:semiHidden/>
    <w:qFormat/>
    <w:uiPriority w:val="0"/>
    <w:pPr>
      <w:tabs>
        <w:tab w:val="left" w:pos="627"/>
      </w:tabs>
      <w:spacing w:line="240" w:lineRule="auto"/>
      <w:ind w:left="0" w:leftChars="0" w:firstLine="0" w:firstLineChars="0"/>
      <w:jc w:val="center"/>
    </w:pPr>
    <w:rPr>
      <w:sz w:val="21"/>
      <w:lang w:val="zh-CN"/>
    </w:rPr>
  </w:style>
  <w:style w:type="character" w:customStyle="1" w:styleId="1139">
    <w:name w:val="环评正文 Char"/>
    <w:link w:val="1140"/>
    <w:qFormat/>
    <w:locked/>
    <w:uiPriority w:val="0"/>
    <w:rPr>
      <w:bCs/>
      <w:kern w:val="2"/>
      <w:sz w:val="24"/>
      <w:szCs w:val="24"/>
    </w:rPr>
  </w:style>
  <w:style w:type="paragraph" w:customStyle="1" w:styleId="1140">
    <w:name w:val="环评正文"/>
    <w:basedOn w:val="1"/>
    <w:link w:val="1139"/>
    <w:qFormat/>
    <w:uiPriority w:val="0"/>
    <w:pPr>
      <w:ind w:firstLine="437" w:firstLineChars="200"/>
    </w:pPr>
    <w:rPr>
      <w:bCs/>
    </w:rPr>
  </w:style>
  <w:style w:type="paragraph" w:customStyle="1" w:styleId="1141">
    <w:name w:val="2级标题 Char Char Char Char"/>
    <w:basedOn w:val="1"/>
    <w:qFormat/>
    <w:uiPriority w:val="0"/>
    <w:rPr>
      <w:rFonts w:eastAsia="黑体" w:cs="宋体"/>
      <w:b/>
      <w:bCs/>
      <w:color w:val="000000"/>
      <w:sz w:val="32"/>
      <w:szCs w:val="32"/>
    </w:rPr>
  </w:style>
  <w:style w:type="character" w:customStyle="1" w:styleId="1142">
    <w:name w:val="正文文文 Char"/>
    <w:link w:val="1143"/>
    <w:qFormat/>
    <w:locked/>
    <w:uiPriority w:val="0"/>
    <w:rPr>
      <w:kern w:val="2"/>
      <w:sz w:val="24"/>
      <w:szCs w:val="24"/>
    </w:rPr>
  </w:style>
  <w:style w:type="paragraph" w:customStyle="1" w:styleId="1143">
    <w:name w:val="正文文文"/>
    <w:basedOn w:val="1"/>
    <w:link w:val="1142"/>
    <w:qFormat/>
    <w:uiPriority w:val="0"/>
    <w:pPr>
      <w:ind w:firstLine="437" w:firstLineChars="200"/>
    </w:pPr>
  </w:style>
  <w:style w:type="paragraph" w:customStyle="1" w:styleId="1144">
    <w:name w:val="CM37"/>
    <w:basedOn w:val="397"/>
    <w:next w:val="397"/>
    <w:qFormat/>
    <w:uiPriority w:val="0"/>
    <w:rPr>
      <w:rFonts w:ascii="黑体" w:hAnsi="Times New Roman" w:eastAsia="黑体" w:cs="Times New Roman"/>
      <w:color w:val="auto"/>
    </w:rPr>
  </w:style>
  <w:style w:type="paragraph" w:customStyle="1" w:styleId="1145">
    <w:name w:val="1 Char"/>
    <w:basedOn w:val="1"/>
    <w:qFormat/>
    <w:uiPriority w:val="0"/>
  </w:style>
  <w:style w:type="paragraph" w:customStyle="1" w:styleId="1146">
    <w:name w:val="样式 纯文本 + 黑体 首行缩进:  2 字符 Char"/>
    <w:basedOn w:val="45"/>
    <w:qFormat/>
    <w:uiPriority w:val="0"/>
    <w:pPr>
      <w:adjustRightInd/>
      <w:spacing w:line="240" w:lineRule="auto"/>
      <w:ind w:firstLine="480" w:firstLineChars="200"/>
      <w:textAlignment w:val="auto"/>
    </w:pPr>
    <w:rPr>
      <w:rFonts w:hint="eastAsia" w:ascii="黑体"/>
      <w:kern w:val="2"/>
      <w:sz w:val="24"/>
      <w:szCs w:val="20"/>
      <w:lang w:val="zh-CN"/>
    </w:rPr>
  </w:style>
  <w:style w:type="paragraph" w:customStyle="1" w:styleId="1147">
    <w:name w:val="Char51"/>
    <w:basedOn w:val="1"/>
    <w:qFormat/>
    <w:uiPriority w:val="0"/>
  </w:style>
  <w:style w:type="paragraph" w:customStyle="1" w:styleId="1148">
    <w:name w:val="样式 样式 正文格式 + 段前: 0.5 行 + 首行缩进:  2 字符 段前: 0.5 行"/>
    <w:basedOn w:val="1"/>
    <w:qFormat/>
    <w:uiPriority w:val="0"/>
    <w:pPr>
      <w:widowControl/>
      <w:spacing w:beforeLines="50" w:line="440" w:lineRule="exact"/>
      <w:ind w:firstLine="560" w:firstLineChars="200"/>
      <w:jc w:val="left"/>
    </w:pPr>
    <w:rPr>
      <w:rFonts w:eastAsia="仿宋_GB2312" w:cs="宋体"/>
      <w:sz w:val="28"/>
      <w:szCs w:val="20"/>
    </w:rPr>
  </w:style>
  <w:style w:type="paragraph" w:customStyle="1" w:styleId="1149">
    <w:name w:val="表名A"/>
    <w:basedOn w:val="1"/>
    <w:qFormat/>
    <w:uiPriority w:val="0"/>
    <w:pPr>
      <w:widowControl/>
      <w:tabs>
        <w:tab w:val="left" w:pos="0"/>
      </w:tabs>
      <w:adjustRightInd w:val="0"/>
      <w:snapToGrid w:val="0"/>
      <w:spacing w:beforeLines="80" w:afterLines="20"/>
      <w:jc w:val="center"/>
    </w:pPr>
    <w:rPr>
      <w:b/>
      <w:kern w:val="0"/>
      <w:szCs w:val="20"/>
    </w:rPr>
  </w:style>
  <w:style w:type="paragraph" w:customStyle="1" w:styleId="1150">
    <w:name w:val="标题D"/>
    <w:qFormat/>
    <w:uiPriority w:val="0"/>
    <w:pPr>
      <w:adjustRightInd w:val="0"/>
      <w:snapToGrid w:val="0"/>
      <w:spacing w:before="240" w:line="360" w:lineRule="auto"/>
      <w:outlineLvl w:val="3"/>
    </w:pPr>
    <w:rPr>
      <w:rFonts w:ascii="Times New Roman" w:hAnsi="Times New Roman" w:eastAsia="宋体" w:cs="Times New Roman"/>
      <w:b/>
      <w:sz w:val="24"/>
      <w:lang w:val="en-US" w:eastAsia="zh-CN" w:bidi="ar-SA"/>
    </w:rPr>
  </w:style>
  <w:style w:type="paragraph" w:customStyle="1" w:styleId="1151">
    <w:name w:val="1 Char Char Char Char Char Char Char Char Char"/>
    <w:basedOn w:val="1"/>
    <w:qFormat/>
    <w:uiPriority w:val="0"/>
  </w:style>
  <w:style w:type="paragraph" w:customStyle="1" w:styleId="1152">
    <w:name w:val="Char Char Char Char1 Char Char Char Char Char Char Char Char1 Char Char Char"/>
    <w:basedOn w:val="1"/>
    <w:qFormat/>
    <w:uiPriority w:val="0"/>
    <w:pPr>
      <w:ind w:firstLine="200" w:firstLineChars="200"/>
    </w:pPr>
    <w:rPr>
      <w:rFonts w:ascii="宋体" w:hAnsi="宋体" w:cs="宋体"/>
    </w:rPr>
  </w:style>
  <w:style w:type="paragraph" w:customStyle="1" w:styleId="1153">
    <w:name w:val="正文22磅"/>
    <w:basedOn w:val="1"/>
    <w:qFormat/>
    <w:uiPriority w:val="0"/>
    <w:pPr>
      <w:spacing w:line="420" w:lineRule="exact"/>
      <w:ind w:firstLine="480" w:firstLineChars="200"/>
    </w:pPr>
  </w:style>
  <w:style w:type="paragraph" w:customStyle="1" w:styleId="1154">
    <w:name w:val="俺的正文样式"/>
    <w:basedOn w:val="1"/>
    <w:qFormat/>
    <w:uiPriority w:val="0"/>
    <w:pPr>
      <w:spacing w:line="500" w:lineRule="exact"/>
      <w:ind w:firstLine="560" w:firstLineChars="200"/>
    </w:pPr>
    <w:rPr>
      <w:rFonts w:ascii="宋体"/>
      <w:sz w:val="28"/>
    </w:rPr>
  </w:style>
  <w:style w:type="paragraph" w:customStyle="1" w:styleId="1155">
    <w:name w:val="样式 题注 + 左侧:  0.98 厘米 首行缩进:  2 字符"/>
    <w:basedOn w:val="22"/>
    <w:qFormat/>
    <w:uiPriority w:val="0"/>
    <w:pPr>
      <w:adjustRightInd w:val="0"/>
      <w:snapToGrid w:val="0"/>
      <w:spacing w:beforeLines="50" w:after="36"/>
      <w:ind w:firstLine="480" w:firstLineChars="200"/>
      <w:jc w:val="both"/>
    </w:pPr>
    <w:rPr>
      <w:b w:val="0"/>
      <w:color w:val="0000FF"/>
      <w:sz w:val="28"/>
      <w:szCs w:val="28"/>
    </w:rPr>
  </w:style>
  <w:style w:type="paragraph" w:customStyle="1" w:styleId="1156">
    <w:name w:val="89E7A41D6FA14BAAA27E9018BC4B9D6F"/>
    <w:qFormat/>
    <w:uiPriority w:val="0"/>
    <w:pPr>
      <w:spacing w:after="200" w:line="276" w:lineRule="auto"/>
    </w:pPr>
    <w:rPr>
      <w:rFonts w:ascii="Calibri" w:hAnsi="Calibri" w:eastAsia="宋体" w:cs="Times New Roman"/>
      <w:sz w:val="22"/>
      <w:szCs w:val="22"/>
      <w:lang w:val="en-US" w:eastAsia="en-US" w:bidi="ar-SA"/>
    </w:rPr>
  </w:style>
  <w:style w:type="paragraph" w:customStyle="1" w:styleId="1157">
    <w:name w:val="hh段落"/>
    <w:basedOn w:val="1"/>
    <w:qFormat/>
    <w:uiPriority w:val="0"/>
    <w:pPr>
      <w:ind w:firstLine="200" w:firstLineChars="200"/>
    </w:pPr>
    <w:rPr>
      <w:rFonts w:ascii="Calibri" w:hAnsi="Calibri"/>
      <w:sz w:val="28"/>
      <w:szCs w:val="28"/>
    </w:rPr>
  </w:style>
  <w:style w:type="paragraph" w:customStyle="1" w:styleId="1158">
    <w:name w:val="Char Char Char Char Char"/>
    <w:basedOn w:val="1"/>
    <w:next w:val="1"/>
    <w:semiHidden/>
    <w:qFormat/>
    <w:uiPriority w:val="0"/>
    <w:pPr>
      <w:spacing w:line="336" w:lineRule="auto"/>
      <w:ind w:firstLine="200" w:firstLineChars="200"/>
    </w:pPr>
    <w:rPr>
      <w:rFonts w:eastAsia="黑体" w:cs="宋体"/>
      <w:b/>
      <w:bCs/>
      <w:color w:val="000000"/>
      <w:sz w:val="32"/>
      <w:szCs w:val="32"/>
    </w:rPr>
  </w:style>
  <w:style w:type="paragraph" w:customStyle="1" w:styleId="1159">
    <w:name w:val="HZZH标题—2"/>
    <w:basedOn w:val="4"/>
    <w:next w:val="1160"/>
    <w:qFormat/>
    <w:uiPriority w:val="0"/>
    <w:pPr>
      <w:numPr>
        <w:numId w:val="19"/>
      </w:numPr>
      <w:tabs>
        <w:tab w:val="left" w:pos="720"/>
      </w:tabs>
      <w:spacing w:before="260" w:after="260" w:line="240" w:lineRule="auto"/>
      <w:jc w:val="left"/>
    </w:pPr>
    <w:rPr>
      <w:rFonts w:ascii="黑体" w:hAnsi="黑体" w:eastAsia="宋体"/>
      <w:color w:val="000000"/>
      <w:szCs w:val="32"/>
      <w:lang w:val="zh-CN"/>
    </w:rPr>
  </w:style>
  <w:style w:type="paragraph" w:customStyle="1" w:styleId="1160">
    <w:name w:val="HZZH标题—3"/>
    <w:basedOn w:val="5"/>
    <w:next w:val="1"/>
    <w:qFormat/>
    <w:uiPriority w:val="0"/>
    <w:pPr>
      <w:numPr>
        <w:ilvl w:val="3"/>
        <w:numId w:val="19"/>
      </w:numPr>
      <w:tabs>
        <w:tab w:val="left" w:pos="-1800"/>
        <w:tab w:val="left" w:pos="900"/>
      </w:tabs>
      <w:spacing w:before="180" w:after="120"/>
      <w:ind w:left="747" w:hanging="747"/>
      <w:jc w:val="left"/>
    </w:pPr>
    <w:rPr>
      <w:rFonts w:ascii="黑体"/>
      <w:color w:val="000000"/>
      <w:sz w:val="28"/>
      <w:lang w:val="zh-CN"/>
    </w:rPr>
  </w:style>
  <w:style w:type="paragraph" w:customStyle="1" w:styleId="1161">
    <w:name w:val="HZZH标题—1"/>
    <w:basedOn w:val="3"/>
    <w:next w:val="1159"/>
    <w:qFormat/>
    <w:uiPriority w:val="0"/>
    <w:pPr>
      <w:keepLines/>
      <w:numPr>
        <w:numId w:val="19"/>
      </w:numPr>
      <w:spacing w:before="480" w:after="480" w:line="240" w:lineRule="auto"/>
    </w:pPr>
    <w:rPr>
      <w:bCs/>
      <w:color w:val="000000"/>
      <w:sz w:val="44"/>
      <w:szCs w:val="24"/>
      <w:lang w:val="zh-CN"/>
    </w:rPr>
  </w:style>
  <w:style w:type="paragraph" w:customStyle="1" w:styleId="1162">
    <w:name w:val="样式 正文首行缩进 + 首行缩进:  1 字符"/>
    <w:basedOn w:val="86"/>
    <w:qFormat/>
    <w:uiPriority w:val="0"/>
    <w:pPr>
      <w:snapToGrid/>
      <w:spacing w:line="360" w:lineRule="auto"/>
      <w:ind w:firstLine="100"/>
    </w:pPr>
    <w:rPr>
      <w:rFonts w:cs="宋体"/>
      <w:kern w:val="0"/>
      <w:sz w:val="24"/>
      <w:szCs w:val="20"/>
    </w:rPr>
  </w:style>
  <w:style w:type="paragraph" w:customStyle="1" w:styleId="1163">
    <w:name w:val="msolistparagraph"/>
    <w:basedOn w:val="1"/>
    <w:semiHidden/>
    <w:qFormat/>
    <w:uiPriority w:val="0"/>
    <w:pPr>
      <w:ind w:firstLine="420" w:firstLineChars="200"/>
    </w:pPr>
  </w:style>
  <w:style w:type="paragraph" w:customStyle="1" w:styleId="1164">
    <w:name w:val="Char Char Char Char Char Char Char Char Char Char7"/>
    <w:basedOn w:val="1"/>
    <w:qFormat/>
    <w:uiPriority w:val="0"/>
    <w:pPr>
      <w:ind w:firstLine="200" w:firstLineChars="200"/>
    </w:pPr>
    <w:rPr>
      <w:sz w:val="21"/>
      <w:szCs w:val="20"/>
    </w:rPr>
  </w:style>
  <w:style w:type="paragraph" w:customStyle="1" w:styleId="1165">
    <w:name w:val="Char Char Char Char1 Char Char Char Char Char Char"/>
    <w:basedOn w:val="1"/>
    <w:qFormat/>
    <w:uiPriority w:val="0"/>
    <w:pPr>
      <w:ind w:firstLine="200" w:firstLineChars="200"/>
    </w:pPr>
    <w:rPr>
      <w:rFonts w:ascii="宋体" w:hAnsi="宋体" w:cs="宋体"/>
    </w:rPr>
  </w:style>
  <w:style w:type="paragraph" w:customStyle="1" w:styleId="1166">
    <w:name w:val="Char Char Char Char18"/>
    <w:basedOn w:val="1"/>
    <w:qFormat/>
    <w:uiPriority w:val="0"/>
    <w:pPr>
      <w:ind w:firstLine="200" w:firstLineChars="200"/>
    </w:pPr>
    <w:rPr>
      <w:rFonts w:ascii="宋体" w:hAnsi="宋体" w:cs="宋体"/>
    </w:rPr>
  </w:style>
  <w:style w:type="paragraph" w:customStyle="1" w:styleId="1167">
    <w:name w:val="Char Char Char Char1 Char Char Char Char Char Char Char Char"/>
    <w:basedOn w:val="1"/>
    <w:qFormat/>
    <w:uiPriority w:val="0"/>
    <w:pPr>
      <w:ind w:firstLine="200" w:firstLineChars="200"/>
    </w:pPr>
    <w:rPr>
      <w:rFonts w:ascii="宋体" w:hAnsi="宋体" w:cs="宋体"/>
    </w:rPr>
  </w:style>
  <w:style w:type="character" w:customStyle="1" w:styleId="1168">
    <w:name w:val="样式2 Char Char Char Char Char Char"/>
    <w:link w:val="1169"/>
    <w:qFormat/>
    <w:locked/>
    <w:uiPriority w:val="0"/>
    <w:rPr>
      <w:kern w:val="2"/>
      <w:sz w:val="24"/>
      <w:szCs w:val="24"/>
      <w:lang w:val="zh-CN" w:eastAsia="zh-CN"/>
    </w:rPr>
  </w:style>
  <w:style w:type="paragraph" w:customStyle="1" w:styleId="1169">
    <w:name w:val="样式2 Char Char Char Char Char"/>
    <w:basedOn w:val="1"/>
    <w:link w:val="1168"/>
    <w:qFormat/>
    <w:uiPriority w:val="0"/>
    <w:pPr>
      <w:ind w:firstLine="200" w:firstLineChars="200"/>
    </w:pPr>
    <w:rPr>
      <w:lang w:val="zh-CN"/>
    </w:rPr>
  </w:style>
  <w:style w:type="paragraph" w:customStyle="1" w:styleId="1170">
    <w:name w:val="小注"/>
    <w:basedOn w:val="191"/>
    <w:qFormat/>
    <w:uiPriority w:val="0"/>
    <w:pPr>
      <w:adjustRightInd w:val="0"/>
      <w:snapToGrid w:val="0"/>
      <w:spacing w:beforeLines="50" w:line="240" w:lineRule="exact"/>
      <w:ind w:firstLine="200" w:firstLineChars="200"/>
    </w:pPr>
    <w:rPr>
      <w:rFonts w:hAnsi="Times New Roman"/>
      <w:color w:val="000000"/>
      <w:spacing w:val="10"/>
      <w:kern w:val="0"/>
      <w:sz w:val="18"/>
      <w:szCs w:val="20"/>
      <w:lang w:val="zh-CN"/>
    </w:rPr>
  </w:style>
  <w:style w:type="paragraph" w:customStyle="1" w:styleId="1171">
    <w:name w:val="章节"/>
    <w:next w:val="1"/>
    <w:qFormat/>
    <w:uiPriority w:val="0"/>
    <w:pPr>
      <w:adjustRightInd w:val="0"/>
      <w:snapToGrid w:val="0"/>
      <w:spacing w:beforeLines="300"/>
    </w:pPr>
    <w:rPr>
      <w:rFonts w:ascii="黑体" w:hAnsi="Times New Roman" w:eastAsia="黑体" w:cs="Times New Roman"/>
      <w:b/>
      <w:spacing w:val="10"/>
      <w:sz w:val="28"/>
      <w:lang w:val="en-US" w:eastAsia="zh-CN" w:bidi="ar-SA"/>
    </w:rPr>
  </w:style>
  <w:style w:type="paragraph" w:customStyle="1" w:styleId="1172">
    <w:name w:val="样式 标题 3标题 33 + 段前: 0.5 行"/>
    <w:basedOn w:val="5"/>
    <w:qFormat/>
    <w:uiPriority w:val="0"/>
    <w:pPr>
      <w:snapToGrid w:val="0"/>
      <w:spacing w:line="360" w:lineRule="auto"/>
    </w:pPr>
    <w:rPr>
      <w:rFonts w:ascii="黑体" w:hAnsi="宋体"/>
      <w:b w:val="0"/>
      <w:bCs w:val="0"/>
      <w:color w:val="008000"/>
      <w:kern w:val="0"/>
      <w:sz w:val="24"/>
      <w:szCs w:val="20"/>
      <w:lang w:val="zh-CN"/>
    </w:rPr>
  </w:style>
  <w:style w:type="paragraph" w:customStyle="1" w:styleId="1173">
    <w:name w:val="表芯"/>
    <w:basedOn w:val="1"/>
    <w:next w:val="1"/>
    <w:qFormat/>
    <w:uiPriority w:val="0"/>
    <w:pPr>
      <w:keepNext/>
      <w:adjustRightInd w:val="0"/>
      <w:spacing w:before="20" w:line="0" w:lineRule="atLeast"/>
      <w:ind w:firstLine="200" w:firstLineChars="200"/>
      <w:jc w:val="center"/>
    </w:pPr>
    <w:rPr>
      <w:rFonts w:ascii="宋体" w:hAnsi="宋体"/>
      <w:bCs/>
      <w:kern w:val="21"/>
      <w:sz w:val="21"/>
      <w:szCs w:val="20"/>
    </w:rPr>
  </w:style>
  <w:style w:type="paragraph" w:customStyle="1" w:styleId="1174">
    <w:name w:val="表题"/>
    <w:basedOn w:val="1"/>
    <w:qFormat/>
    <w:uiPriority w:val="0"/>
    <w:pPr>
      <w:tabs>
        <w:tab w:val="left" w:pos="720"/>
      </w:tabs>
      <w:adjustRightInd w:val="0"/>
      <w:snapToGrid w:val="0"/>
      <w:spacing w:line="280" w:lineRule="exact"/>
      <w:ind w:left="-105" w:leftChars="-50" w:right="-105" w:rightChars="-50" w:firstLine="200" w:firstLineChars="200"/>
      <w:jc w:val="center"/>
    </w:pPr>
    <w:rPr>
      <w:color w:val="000000"/>
    </w:rPr>
  </w:style>
  <w:style w:type="paragraph" w:customStyle="1" w:styleId="1175">
    <w:name w:val="标题11"/>
    <w:basedOn w:val="1"/>
    <w:qFormat/>
    <w:uiPriority w:val="0"/>
    <w:pPr>
      <w:tabs>
        <w:tab w:val="left" w:pos="1292"/>
      </w:tabs>
      <w:adjustRightInd w:val="0"/>
      <w:snapToGrid w:val="0"/>
      <w:spacing w:line="360" w:lineRule="auto"/>
      <w:ind w:left="1292" w:hanging="420" w:firstLineChars="200"/>
    </w:pPr>
    <w:rPr>
      <w:sz w:val="28"/>
      <w:szCs w:val="20"/>
    </w:rPr>
  </w:style>
  <w:style w:type="paragraph" w:customStyle="1" w:styleId="1176">
    <w:name w:val="样式 倾斜 居中 底端: (粗-细窄间隔 自动设置  3 磅 行宽)"/>
    <w:basedOn w:val="1"/>
    <w:qFormat/>
    <w:uiPriority w:val="0"/>
    <w:pPr>
      <w:ind w:firstLine="200" w:firstLineChars="200"/>
      <w:jc w:val="center"/>
    </w:pPr>
    <w:rPr>
      <w:rFonts w:cs="宋体"/>
      <w:i/>
      <w:iCs/>
      <w:szCs w:val="20"/>
    </w:rPr>
  </w:style>
  <w:style w:type="paragraph" w:customStyle="1" w:styleId="1177">
    <w:name w:val="样式 样式 倾斜 居中 底端: (粗-细窄间隔 自动设置  3 磅 行宽) + 非倾斜 底端: (粗-细窄间隔 自动设置 ..."/>
    <w:basedOn w:val="1176"/>
    <w:qFormat/>
    <w:uiPriority w:val="0"/>
    <w:rPr>
      <w:i w:val="0"/>
      <w:iCs w:val="0"/>
    </w:rPr>
  </w:style>
  <w:style w:type="paragraph" w:customStyle="1" w:styleId="1178">
    <w:name w:val="样式 样式 样式 倾斜 居中 底端: (粗-细窄间隔 自动设置  3 磅 行宽) + 非倾斜 底端: (粗-细窄间隔 自动设置 ..."/>
    <w:basedOn w:val="1177"/>
    <w:qFormat/>
    <w:uiPriority w:val="0"/>
    <w:pPr>
      <w:spacing w:line="240" w:lineRule="exact"/>
    </w:pPr>
    <w:rPr>
      <w:i/>
      <w:iCs/>
    </w:rPr>
  </w:style>
  <w:style w:type="character" w:customStyle="1" w:styleId="1179">
    <w:name w:val="样式 报告书正文 + 倾斜 居中 底端: (粗-细窄间隔 自动设置  3 磅 行宽) Char"/>
    <w:link w:val="1180"/>
    <w:qFormat/>
    <w:locked/>
    <w:uiPriority w:val="0"/>
    <w:rPr>
      <w:i/>
      <w:iCs/>
      <w:kern w:val="2"/>
      <w:sz w:val="24"/>
      <w:lang w:val="zh-CN" w:eastAsia="zh-CN"/>
    </w:rPr>
  </w:style>
  <w:style w:type="paragraph" w:customStyle="1" w:styleId="1180">
    <w:name w:val="样式 报告书正文 + 倾斜 居中 底端: (粗-细窄间隔 自动设置  3 磅 行宽)"/>
    <w:basedOn w:val="1"/>
    <w:link w:val="1179"/>
    <w:qFormat/>
    <w:uiPriority w:val="0"/>
    <w:pPr>
      <w:adjustRightInd w:val="0"/>
      <w:snapToGrid w:val="0"/>
      <w:spacing w:line="400" w:lineRule="atLeast"/>
      <w:ind w:firstLine="567" w:firstLineChars="200"/>
      <w:jc w:val="center"/>
    </w:pPr>
    <w:rPr>
      <w:i/>
      <w:iCs/>
      <w:szCs w:val="20"/>
      <w:lang w:val="zh-CN"/>
    </w:rPr>
  </w:style>
  <w:style w:type="paragraph" w:customStyle="1" w:styleId="1181">
    <w:name w:val="样式 样式 样式 报告书正文 + 倾斜 居中 底端: (粗-细窄间隔 自动设置  3 磅 行宽) + 底端: (粗-细窄间隔 自..."/>
    <w:basedOn w:val="1"/>
    <w:qFormat/>
    <w:uiPriority w:val="0"/>
    <w:pPr>
      <w:pBdr>
        <w:bottom w:val="thickThinSmallGap" w:color="auto" w:sz="24" w:space="1"/>
      </w:pBdr>
      <w:tabs>
        <w:tab w:val="center" w:pos="4153"/>
        <w:tab w:val="right" w:pos="8306"/>
      </w:tabs>
      <w:adjustRightInd w:val="0"/>
      <w:snapToGrid w:val="0"/>
      <w:spacing w:line="400" w:lineRule="atLeast"/>
      <w:ind w:firstLine="567" w:firstLineChars="200"/>
      <w:jc w:val="center"/>
    </w:pPr>
    <w:rPr>
      <w:iCs/>
      <w:szCs w:val="20"/>
    </w:rPr>
  </w:style>
  <w:style w:type="paragraph" w:customStyle="1" w:styleId="1182">
    <w:name w:val="样式 样式 样式 报告书正文 + 倾斜 居中 底端: (粗-细窄间隔 自动设置  3 磅 行宽) + 底端: (粗-细窄间隔 自...1"/>
    <w:basedOn w:val="1"/>
    <w:qFormat/>
    <w:uiPriority w:val="0"/>
    <w:pPr>
      <w:pBdr>
        <w:bottom w:val="thickThinSmallGap" w:color="auto" w:sz="24" w:space="1"/>
      </w:pBdr>
      <w:tabs>
        <w:tab w:val="center" w:pos="4153"/>
        <w:tab w:val="right" w:pos="8306"/>
      </w:tabs>
      <w:adjustRightInd w:val="0"/>
      <w:snapToGrid w:val="0"/>
      <w:spacing w:line="400" w:lineRule="atLeast"/>
      <w:ind w:firstLine="567" w:firstLineChars="200"/>
      <w:jc w:val="center"/>
    </w:pPr>
    <w:rPr>
      <w:i/>
      <w:szCs w:val="20"/>
    </w:rPr>
  </w:style>
  <w:style w:type="paragraph" w:customStyle="1" w:styleId="1183">
    <w:name w:val="样式 样式 样式 报告书正文 + 倾斜 居中 底端: (粗-细窄间隔 自动设置  3 磅 行宽) + 底端: (粗-细窄间隔 自...2"/>
    <w:basedOn w:val="1"/>
    <w:qFormat/>
    <w:uiPriority w:val="0"/>
    <w:pPr>
      <w:pBdr>
        <w:bottom w:val="thickThinSmallGap" w:color="auto" w:sz="24" w:space="1"/>
      </w:pBdr>
      <w:tabs>
        <w:tab w:val="center" w:pos="4153"/>
        <w:tab w:val="right" w:pos="8306"/>
      </w:tabs>
      <w:adjustRightInd w:val="0"/>
      <w:snapToGrid w:val="0"/>
      <w:spacing w:line="400" w:lineRule="atLeast"/>
      <w:ind w:firstLine="567" w:firstLineChars="200"/>
      <w:jc w:val="center"/>
    </w:pPr>
    <w:rPr>
      <w:i/>
      <w:szCs w:val="20"/>
    </w:rPr>
  </w:style>
  <w:style w:type="character" w:customStyle="1" w:styleId="1184">
    <w:name w:val="正文报告 Char Char"/>
    <w:qFormat/>
    <w:locked/>
    <w:uiPriority w:val="0"/>
    <w:rPr>
      <w:kern w:val="2"/>
      <w:sz w:val="28"/>
      <w:szCs w:val="28"/>
      <w:lang w:val="zh-CN" w:eastAsia="zh-CN"/>
    </w:rPr>
  </w:style>
  <w:style w:type="paragraph" w:customStyle="1" w:styleId="1185">
    <w:name w:val="Char Char Char Char4"/>
    <w:basedOn w:val="1"/>
    <w:qFormat/>
    <w:uiPriority w:val="0"/>
    <w:pPr>
      <w:ind w:firstLine="200" w:firstLineChars="200"/>
    </w:pPr>
    <w:rPr>
      <w:rFonts w:ascii="宋体" w:hAnsi="宋体" w:cs="宋体"/>
    </w:rPr>
  </w:style>
  <w:style w:type="paragraph" w:customStyle="1" w:styleId="1186">
    <w:name w:val="标题6"/>
    <w:basedOn w:val="1"/>
    <w:qFormat/>
    <w:uiPriority w:val="99"/>
    <w:pPr>
      <w:autoSpaceDE w:val="0"/>
      <w:autoSpaceDN w:val="0"/>
      <w:adjustRightInd w:val="0"/>
      <w:snapToGrid w:val="0"/>
      <w:spacing w:line="480" w:lineRule="exact"/>
      <w:ind w:firstLine="200" w:firstLineChars="200"/>
    </w:pPr>
    <w:rPr>
      <w:rFonts w:ascii="黑体" w:hAnsi="宋体" w:eastAsia="黑体"/>
      <w:bCs/>
      <w:kern w:val="0"/>
    </w:rPr>
  </w:style>
  <w:style w:type="character" w:customStyle="1" w:styleId="1187">
    <w:name w:val="标题5 Char"/>
    <w:link w:val="722"/>
    <w:qFormat/>
    <w:locked/>
    <w:uiPriority w:val="0"/>
    <w:rPr>
      <w:rFonts w:ascii="黑体" w:hAnsi="宋体" w:eastAsia="黑体" w:cs="Courier New"/>
      <w:sz w:val="28"/>
      <w:szCs w:val="28"/>
      <w:lang w:val="zh-CN" w:eastAsia="zh-CN"/>
    </w:rPr>
  </w:style>
  <w:style w:type="paragraph" w:customStyle="1" w:styleId="1188">
    <w:name w:val="Char19"/>
    <w:basedOn w:val="1"/>
    <w:qFormat/>
    <w:uiPriority w:val="0"/>
    <w:pPr>
      <w:spacing w:line="360" w:lineRule="auto"/>
      <w:ind w:firstLine="200" w:firstLineChars="200"/>
    </w:pPr>
    <w:rPr>
      <w:rFonts w:ascii="宋体" w:hAnsi="宋体" w:cs="宋体"/>
    </w:rPr>
  </w:style>
  <w:style w:type="paragraph" w:customStyle="1" w:styleId="1189">
    <w:name w:val="Char110"/>
    <w:basedOn w:val="1"/>
    <w:qFormat/>
    <w:uiPriority w:val="0"/>
    <w:pPr>
      <w:spacing w:line="360" w:lineRule="auto"/>
      <w:ind w:firstLine="200" w:firstLineChars="200"/>
    </w:pPr>
    <w:rPr>
      <w:rFonts w:ascii="宋体" w:hAnsi="宋体" w:cs="宋体"/>
    </w:rPr>
  </w:style>
  <w:style w:type="paragraph" w:customStyle="1" w:styleId="1190">
    <w:name w:val="Char Char Char Char1 Char Char"/>
    <w:basedOn w:val="1"/>
    <w:qFormat/>
    <w:uiPriority w:val="0"/>
    <w:pPr>
      <w:ind w:firstLine="200" w:firstLineChars="200"/>
    </w:pPr>
    <w:rPr>
      <w:rFonts w:ascii="宋体" w:hAnsi="宋体" w:cs="宋体"/>
    </w:rPr>
  </w:style>
  <w:style w:type="paragraph" w:customStyle="1" w:styleId="1191">
    <w:name w:val="已有表格"/>
    <w:basedOn w:val="1"/>
    <w:qFormat/>
    <w:uiPriority w:val="0"/>
    <w:pPr>
      <w:adjustRightInd w:val="0"/>
      <w:spacing w:before="40" w:after="40"/>
      <w:ind w:firstLine="200" w:firstLineChars="200"/>
      <w:jc w:val="center"/>
    </w:pPr>
    <w:rPr>
      <w:b/>
      <w:kern w:val="0"/>
      <w:szCs w:val="20"/>
    </w:rPr>
  </w:style>
  <w:style w:type="paragraph" w:customStyle="1" w:styleId="1192">
    <w:name w:val="应填表格"/>
    <w:basedOn w:val="1191"/>
    <w:qFormat/>
    <w:uiPriority w:val="0"/>
    <w:pPr>
      <w:jc w:val="left"/>
    </w:pPr>
    <w:rPr>
      <w:b w:val="0"/>
    </w:rPr>
  </w:style>
  <w:style w:type="paragraph" w:customStyle="1" w:styleId="1193">
    <w:name w:val="Char18"/>
    <w:basedOn w:val="1"/>
    <w:qFormat/>
    <w:uiPriority w:val="0"/>
    <w:pPr>
      <w:spacing w:line="360" w:lineRule="auto"/>
      <w:ind w:firstLine="200" w:firstLineChars="200"/>
    </w:pPr>
    <w:rPr>
      <w:rFonts w:ascii="宋体" w:hAnsi="宋体" w:cs="宋体"/>
    </w:rPr>
  </w:style>
  <w:style w:type="paragraph" w:customStyle="1" w:styleId="1194">
    <w:name w:val="Char17"/>
    <w:basedOn w:val="1"/>
    <w:qFormat/>
    <w:uiPriority w:val="0"/>
    <w:pPr>
      <w:spacing w:line="360" w:lineRule="auto"/>
      <w:ind w:firstLine="200" w:firstLineChars="200"/>
    </w:pPr>
    <w:rPr>
      <w:rFonts w:ascii="宋体" w:hAnsi="宋体" w:cs="宋体"/>
    </w:rPr>
  </w:style>
  <w:style w:type="paragraph" w:customStyle="1" w:styleId="1195">
    <w:name w:val="Char16"/>
    <w:basedOn w:val="1"/>
    <w:qFormat/>
    <w:uiPriority w:val="0"/>
    <w:pPr>
      <w:spacing w:line="360" w:lineRule="auto"/>
      <w:ind w:firstLine="200" w:firstLineChars="200"/>
    </w:pPr>
    <w:rPr>
      <w:rFonts w:ascii="宋体" w:hAnsi="宋体" w:cs="宋体"/>
    </w:rPr>
  </w:style>
  <w:style w:type="paragraph" w:customStyle="1" w:styleId="1196">
    <w:name w:val="Char Char Char Char5"/>
    <w:basedOn w:val="1"/>
    <w:qFormat/>
    <w:uiPriority w:val="99"/>
    <w:pPr>
      <w:spacing w:before="120" w:after="120" w:line="360" w:lineRule="auto"/>
      <w:ind w:firstLine="420" w:firstLineChars="200"/>
    </w:pPr>
    <w:rPr>
      <w:rFonts w:ascii="Tahoma" w:hAnsi="Tahoma"/>
      <w:sz w:val="28"/>
      <w:szCs w:val="20"/>
    </w:rPr>
  </w:style>
  <w:style w:type="paragraph" w:customStyle="1" w:styleId="1197">
    <w:name w:val="Char Char Char Char Char Char Char3"/>
    <w:basedOn w:val="1"/>
    <w:qFormat/>
    <w:uiPriority w:val="0"/>
    <w:pPr>
      <w:spacing w:line="360" w:lineRule="auto"/>
      <w:ind w:firstLine="200" w:firstLineChars="200"/>
    </w:pPr>
    <w:rPr>
      <w:rFonts w:ascii="宋体" w:hAnsi="宋体" w:cs="宋体"/>
    </w:rPr>
  </w:style>
  <w:style w:type="paragraph" w:customStyle="1" w:styleId="1198">
    <w:name w:val="Char Char Char Char Char Char Char2"/>
    <w:basedOn w:val="1"/>
    <w:qFormat/>
    <w:uiPriority w:val="0"/>
    <w:pPr>
      <w:spacing w:line="360" w:lineRule="auto"/>
      <w:ind w:firstLine="200" w:firstLineChars="200"/>
    </w:pPr>
    <w:rPr>
      <w:rFonts w:ascii="宋体" w:hAnsi="宋体" w:cs="宋体"/>
    </w:rPr>
  </w:style>
  <w:style w:type="paragraph" w:customStyle="1" w:styleId="1199">
    <w:name w:val="Char Char Char Char Char Char Char Char Char1 Char Char Char Char"/>
    <w:basedOn w:val="1"/>
    <w:qFormat/>
    <w:uiPriority w:val="0"/>
    <w:pPr>
      <w:spacing w:line="360" w:lineRule="auto"/>
      <w:ind w:firstLine="200" w:firstLineChars="200"/>
    </w:pPr>
    <w:rPr>
      <w:rFonts w:ascii="宋体" w:hAnsi="宋体"/>
      <w:szCs w:val="26"/>
    </w:rPr>
  </w:style>
  <w:style w:type="paragraph" w:customStyle="1" w:styleId="1200">
    <w:name w:val="Char Char Char Char Char Char Char1"/>
    <w:basedOn w:val="1"/>
    <w:qFormat/>
    <w:uiPriority w:val="0"/>
    <w:pPr>
      <w:spacing w:line="360" w:lineRule="auto"/>
      <w:ind w:firstLine="200" w:firstLineChars="200"/>
    </w:pPr>
    <w:rPr>
      <w:rFonts w:ascii="宋体" w:hAnsi="宋体" w:cs="宋体"/>
    </w:rPr>
  </w:style>
  <w:style w:type="character" w:customStyle="1" w:styleId="1201">
    <w:name w:val="HZZH正文 Char"/>
    <w:link w:val="1202"/>
    <w:qFormat/>
    <w:locked/>
    <w:uiPriority w:val="0"/>
    <w:rPr>
      <w:rFonts w:ascii="宋体" w:hAnsi="宋体"/>
      <w:kern w:val="2"/>
      <w:sz w:val="24"/>
      <w:szCs w:val="21"/>
      <w:lang w:val="zh-CN" w:eastAsia="zh-CN"/>
    </w:rPr>
  </w:style>
  <w:style w:type="paragraph" w:customStyle="1" w:styleId="1202">
    <w:name w:val="HZZH正文"/>
    <w:basedOn w:val="1"/>
    <w:link w:val="1201"/>
    <w:qFormat/>
    <w:uiPriority w:val="0"/>
    <w:pPr>
      <w:spacing w:line="360" w:lineRule="auto"/>
      <w:ind w:firstLine="480" w:firstLineChars="200"/>
    </w:pPr>
    <w:rPr>
      <w:rFonts w:ascii="宋体" w:hAnsi="宋体"/>
      <w:szCs w:val="21"/>
      <w:lang w:val="zh-CN"/>
    </w:rPr>
  </w:style>
  <w:style w:type="paragraph" w:customStyle="1" w:styleId="1203">
    <w:name w:val="HZZH表格内容"/>
    <w:basedOn w:val="1"/>
    <w:qFormat/>
    <w:uiPriority w:val="0"/>
    <w:pPr>
      <w:widowControl/>
      <w:ind w:firstLine="200" w:firstLineChars="200"/>
      <w:jc w:val="center"/>
    </w:pPr>
    <w:rPr>
      <w:kern w:val="0"/>
      <w:sz w:val="20"/>
      <w:szCs w:val="20"/>
    </w:rPr>
  </w:style>
  <w:style w:type="paragraph" w:customStyle="1" w:styleId="1204">
    <w:name w:val="Char Char Char Char Char Char Char4"/>
    <w:basedOn w:val="1"/>
    <w:qFormat/>
    <w:uiPriority w:val="0"/>
    <w:pPr>
      <w:spacing w:line="360" w:lineRule="auto"/>
      <w:ind w:firstLine="200" w:firstLineChars="200"/>
    </w:pPr>
    <w:rPr>
      <w:rFonts w:ascii="宋体" w:hAnsi="宋体" w:cs="宋体"/>
    </w:rPr>
  </w:style>
  <w:style w:type="paragraph" w:customStyle="1" w:styleId="1205">
    <w:name w:val="Char Char Char Char Char Char Char7"/>
    <w:basedOn w:val="1"/>
    <w:qFormat/>
    <w:uiPriority w:val="0"/>
    <w:pPr>
      <w:spacing w:line="360" w:lineRule="auto"/>
      <w:ind w:firstLine="200" w:firstLineChars="200"/>
    </w:pPr>
    <w:rPr>
      <w:rFonts w:ascii="宋体" w:hAnsi="宋体" w:cs="宋体"/>
    </w:rPr>
  </w:style>
  <w:style w:type="paragraph" w:customStyle="1" w:styleId="1206">
    <w:name w:val="Char Char Char Char6"/>
    <w:basedOn w:val="1"/>
    <w:qFormat/>
    <w:uiPriority w:val="99"/>
    <w:pPr>
      <w:spacing w:before="120" w:after="120" w:line="360" w:lineRule="auto"/>
      <w:ind w:firstLine="420" w:firstLineChars="200"/>
    </w:pPr>
    <w:rPr>
      <w:rFonts w:ascii="Tahoma" w:hAnsi="Tahoma"/>
      <w:sz w:val="28"/>
      <w:szCs w:val="20"/>
    </w:rPr>
  </w:style>
  <w:style w:type="paragraph" w:customStyle="1" w:styleId="1207">
    <w:name w:val="Char Char Char Char Char Char Char6"/>
    <w:basedOn w:val="1"/>
    <w:qFormat/>
    <w:uiPriority w:val="0"/>
    <w:pPr>
      <w:spacing w:line="360" w:lineRule="auto"/>
      <w:ind w:firstLine="200" w:firstLineChars="200"/>
    </w:pPr>
    <w:rPr>
      <w:rFonts w:ascii="宋体" w:hAnsi="宋体" w:cs="宋体"/>
    </w:rPr>
  </w:style>
  <w:style w:type="paragraph" w:customStyle="1" w:styleId="1208">
    <w:name w:val="Char Char Char Char Char Char Char5"/>
    <w:basedOn w:val="1"/>
    <w:qFormat/>
    <w:uiPriority w:val="0"/>
    <w:pPr>
      <w:spacing w:line="360" w:lineRule="auto"/>
      <w:ind w:firstLine="200" w:firstLineChars="200"/>
    </w:pPr>
    <w:rPr>
      <w:rFonts w:ascii="宋体" w:hAnsi="宋体" w:cs="宋体"/>
    </w:rPr>
  </w:style>
  <w:style w:type="paragraph" w:customStyle="1" w:styleId="1209">
    <w:name w:val="Char Char Char1 Char1"/>
    <w:basedOn w:val="1"/>
    <w:next w:val="1"/>
    <w:qFormat/>
    <w:uiPriority w:val="0"/>
    <w:pPr>
      <w:spacing w:line="360" w:lineRule="auto"/>
      <w:ind w:firstLine="200" w:firstLineChars="200"/>
    </w:pPr>
    <w:rPr>
      <w:rFonts w:ascii="宋体" w:hAnsi="宋体" w:cs="宋体"/>
    </w:rPr>
  </w:style>
  <w:style w:type="paragraph" w:customStyle="1" w:styleId="1210">
    <w:name w:val="Char Char Char1 Char4"/>
    <w:basedOn w:val="1"/>
    <w:next w:val="1"/>
    <w:semiHidden/>
    <w:qFormat/>
    <w:uiPriority w:val="0"/>
    <w:pPr>
      <w:spacing w:line="360" w:lineRule="auto"/>
      <w:ind w:firstLine="200" w:firstLineChars="200"/>
    </w:pPr>
    <w:rPr>
      <w:rFonts w:ascii="宋体" w:hAnsi="宋体" w:cs="宋体"/>
    </w:rPr>
  </w:style>
  <w:style w:type="paragraph" w:customStyle="1" w:styleId="1211">
    <w:name w:val="Char Char Char1 Char3"/>
    <w:basedOn w:val="1"/>
    <w:next w:val="1"/>
    <w:semiHidden/>
    <w:qFormat/>
    <w:uiPriority w:val="0"/>
    <w:pPr>
      <w:spacing w:line="360" w:lineRule="auto"/>
      <w:ind w:firstLine="200" w:firstLineChars="200"/>
    </w:pPr>
    <w:rPr>
      <w:rFonts w:ascii="宋体" w:hAnsi="宋体" w:cs="宋体"/>
    </w:rPr>
  </w:style>
  <w:style w:type="paragraph" w:customStyle="1" w:styleId="1212">
    <w:name w:val="Char Char Char1 Char2"/>
    <w:basedOn w:val="1"/>
    <w:next w:val="1"/>
    <w:semiHidden/>
    <w:qFormat/>
    <w:uiPriority w:val="0"/>
    <w:pPr>
      <w:spacing w:line="360" w:lineRule="auto"/>
      <w:ind w:firstLine="200" w:firstLineChars="200"/>
    </w:pPr>
    <w:rPr>
      <w:rFonts w:ascii="宋体" w:hAnsi="宋体" w:cs="宋体"/>
    </w:rPr>
  </w:style>
  <w:style w:type="paragraph" w:customStyle="1" w:styleId="1213">
    <w:name w:val="Char20"/>
    <w:basedOn w:val="1"/>
    <w:qFormat/>
    <w:uiPriority w:val="0"/>
    <w:pPr>
      <w:spacing w:line="360" w:lineRule="auto"/>
      <w:ind w:firstLine="200" w:firstLineChars="200"/>
    </w:pPr>
    <w:rPr>
      <w:rFonts w:ascii="宋体" w:hAnsi="宋体" w:cs="宋体"/>
    </w:rPr>
  </w:style>
  <w:style w:type="paragraph" w:customStyle="1" w:styleId="1214">
    <w:name w:val="Char38"/>
    <w:basedOn w:val="1"/>
    <w:qFormat/>
    <w:uiPriority w:val="0"/>
    <w:pPr>
      <w:spacing w:line="360" w:lineRule="auto"/>
      <w:ind w:firstLine="200" w:firstLineChars="200"/>
    </w:pPr>
    <w:rPr>
      <w:rFonts w:ascii="宋体" w:hAnsi="宋体" w:cs="宋体"/>
    </w:rPr>
  </w:style>
  <w:style w:type="paragraph" w:customStyle="1" w:styleId="1215">
    <w:name w:val="Char37"/>
    <w:basedOn w:val="1"/>
    <w:qFormat/>
    <w:uiPriority w:val="0"/>
    <w:pPr>
      <w:spacing w:line="360" w:lineRule="auto"/>
      <w:ind w:firstLine="200" w:firstLineChars="200"/>
    </w:pPr>
    <w:rPr>
      <w:rFonts w:ascii="宋体" w:hAnsi="宋体" w:cs="宋体"/>
    </w:rPr>
  </w:style>
  <w:style w:type="paragraph" w:customStyle="1" w:styleId="1216">
    <w:name w:val="Char36"/>
    <w:basedOn w:val="1"/>
    <w:qFormat/>
    <w:uiPriority w:val="0"/>
    <w:pPr>
      <w:spacing w:line="360" w:lineRule="auto"/>
      <w:ind w:firstLine="200" w:firstLineChars="200"/>
    </w:pPr>
    <w:rPr>
      <w:rFonts w:ascii="宋体" w:hAnsi="宋体" w:cs="宋体"/>
    </w:rPr>
  </w:style>
  <w:style w:type="paragraph" w:customStyle="1" w:styleId="1217">
    <w:name w:val="Char35"/>
    <w:basedOn w:val="1"/>
    <w:qFormat/>
    <w:uiPriority w:val="0"/>
    <w:pPr>
      <w:spacing w:line="360" w:lineRule="auto"/>
      <w:ind w:firstLine="200" w:firstLineChars="200"/>
    </w:pPr>
    <w:rPr>
      <w:rFonts w:ascii="宋体" w:hAnsi="宋体" w:cs="宋体"/>
    </w:rPr>
  </w:style>
  <w:style w:type="paragraph" w:customStyle="1" w:styleId="1218">
    <w:name w:val="Char34"/>
    <w:basedOn w:val="1"/>
    <w:qFormat/>
    <w:uiPriority w:val="0"/>
    <w:pPr>
      <w:spacing w:line="360" w:lineRule="auto"/>
      <w:ind w:firstLine="200" w:firstLineChars="200"/>
    </w:pPr>
    <w:rPr>
      <w:rFonts w:ascii="宋体" w:hAnsi="宋体" w:cs="宋体"/>
    </w:rPr>
  </w:style>
  <w:style w:type="paragraph" w:customStyle="1" w:styleId="1219">
    <w:name w:val="Char33"/>
    <w:basedOn w:val="1"/>
    <w:qFormat/>
    <w:uiPriority w:val="0"/>
    <w:pPr>
      <w:spacing w:line="360" w:lineRule="auto"/>
      <w:ind w:firstLine="200" w:firstLineChars="200"/>
    </w:pPr>
    <w:rPr>
      <w:rFonts w:ascii="宋体" w:hAnsi="宋体" w:cs="宋体"/>
    </w:rPr>
  </w:style>
  <w:style w:type="paragraph" w:customStyle="1" w:styleId="1220">
    <w:name w:val="Char32"/>
    <w:basedOn w:val="1"/>
    <w:qFormat/>
    <w:uiPriority w:val="0"/>
    <w:pPr>
      <w:spacing w:line="360" w:lineRule="auto"/>
      <w:ind w:firstLine="200" w:firstLineChars="200"/>
    </w:pPr>
    <w:rPr>
      <w:rFonts w:ascii="宋体" w:hAnsi="宋体" w:cs="宋体"/>
    </w:rPr>
  </w:style>
  <w:style w:type="paragraph" w:customStyle="1" w:styleId="1221">
    <w:name w:val="Char30"/>
    <w:basedOn w:val="1"/>
    <w:qFormat/>
    <w:uiPriority w:val="0"/>
    <w:pPr>
      <w:spacing w:line="360" w:lineRule="auto"/>
      <w:ind w:firstLine="200" w:firstLineChars="200"/>
    </w:pPr>
    <w:rPr>
      <w:rFonts w:ascii="宋体" w:hAnsi="宋体" w:cs="宋体"/>
    </w:rPr>
  </w:style>
  <w:style w:type="paragraph" w:customStyle="1" w:styleId="1222">
    <w:name w:val="Char29"/>
    <w:basedOn w:val="1"/>
    <w:qFormat/>
    <w:uiPriority w:val="0"/>
    <w:pPr>
      <w:spacing w:line="360" w:lineRule="auto"/>
      <w:ind w:firstLine="200" w:firstLineChars="200"/>
    </w:pPr>
    <w:rPr>
      <w:rFonts w:ascii="宋体" w:hAnsi="宋体" w:cs="宋体"/>
    </w:rPr>
  </w:style>
  <w:style w:type="paragraph" w:customStyle="1" w:styleId="1223">
    <w:name w:val="Char Char Char Char Char Char Char Char Char Char3"/>
    <w:basedOn w:val="1"/>
    <w:qFormat/>
    <w:uiPriority w:val="0"/>
    <w:pPr>
      <w:spacing w:beforeLines="50"/>
      <w:ind w:firstLine="200" w:firstLineChars="200"/>
    </w:pPr>
    <w:rPr>
      <w:rFonts w:ascii="Tahoma" w:hAnsi="Tahoma"/>
      <w:szCs w:val="20"/>
    </w:rPr>
  </w:style>
  <w:style w:type="paragraph" w:customStyle="1" w:styleId="1224">
    <w:name w:val="Char28"/>
    <w:basedOn w:val="1"/>
    <w:qFormat/>
    <w:uiPriority w:val="0"/>
    <w:pPr>
      <w:spacing w:line="360" w:lineRule="auto"/>
      <w:ind w:firstLine="200" w:firstLineChars="200"/>
    </w:pPr>
    <w:rPr>
      <w:rFonts w:ascii="宋体" w:hAnsi="宋体" w:cs="宋体"/>
    </w:rPr>
  </w:style>
  <w:style w:type="paragraph" w:customStyle="1" w:styleId="1225">
    <w:name w:val="Char27"/>
    <w:basedOn w:val="1"/>
    <w:qFormat/>
    <w:uiPriority w:val="0"/>
    <w:pPr>
      <w:spacing w:line="360" w:lineRule="auto"/>
      <w:ind w:firstLine="200" w:firstLineChars="200"/>
    </w:pPr>
    <w:rPr>
      <w:rFonts w:ascii="宋体" w:hAnsi="宋体" w:cs="宋体"/>
    </w:rPr>
  </w:style>
  <w:style w:type="paragraph" w:customStyle="1" w:styleId="1226">
    <w:name w:val="Char26"/>
    <w:basedOn w:val="1"/>
    <w:qFormat/>
    <w:uiPriority w:val="0"/>
    <w:pPr>
      <w:spacing w:line="360" w:lineRule="auto"/>
      <w:ind w:firstLine="200" w:firstLineChars="200"/>
    </w:pPr>
    <w:rPr>
      <w:rFonts w:ascii="宋体" w:hAnsi="宋体" w:cs="宋体"/>
    </w:rPr>
  </w:style>
  <w:style w:type="paragraph" w:customStyle="1" w:styleId="1227">
    <w:name w:val="Char25"/>
    <w:basedOn w:val="1"/>
    <w:qFormat/>
    <w:uiPriority w:val="0"/>
    <w:pPr>
      <w:spacing w:line="360" w:lineRule="auto"/>
      <w:ind w:firstLine="200" w:firstLineChars="200"/>
    </w:pPr>
    <w:rPr>
      <w:rFonts w:ascii="宋体" w:hAnsi="宋体" w:cs="宋体"/>
    </w:rPr>
  </w:style>
  <w:style w:type="paragraph" w:customStyle="1" w:styleId="1228">
    <w:name w:val="Char24"/>
    <w:basedOn w:val="1"/>
    <w:qFormat/>
    <w:uiPriority w:val="0"/>
    <w:pPr>
      <w:spacing w:line="360" w:lineRule="auto"/>
      <w:ind w:firstLine="200" w:firstLineChars="200"/>
    </w:pPr>
    <w:rPr>
      <w:rFonts w:ascii="宋体" w:hAnsi="宋体" w:cs="宋体"/>
    </w:rPr>
  </w:style>
  <w:style w:type="paragraph" w:customStyle="1" w:styleId="1229">
    <w:name w:val="第一章"/>
    <w:basedOn w:val="3"/>
    <w:qFormat/>
    <w:uiPriority w:val="0"/>
    <w:pPr>
      <w:keepLines/>
      <w:tabs>
        <w:tab w:val="clear" w:pos="0"/>
      </w:tabs>
      <w:spacing w:line="720" w:lineRule="auto"/>
      <w:ind w:left="0" w:firstLine="0"/>
    </w:pPr>
    <w:rPr>
      <w:bCs/>
      <w:kern w:val="44"/>
      <w:lang w:val="zh-CN"/>
    </w:rPr>
  </w:style>
  <w:style w:type="paragraph" w:customStyle="1" w:styleId="1230">
    <w:name w:val="Char31"/>
    <w:basedOn w:val="1"/>
    <w:qFormat/>
    <w:uiPriority w:val="0"/>
    <w:pPr>
      <w:tabs>
        <w:tab w:val="left" w:pos="794"/>
        <w:tab w:val="left" w:pos="1191"/>
        <w:tab w:val="left" w:pos="1588"/>
        <w:tab w:val="left" w:pos="1985"/>
      </w:tabs>
      <w:autoSpaceDE w:val="0"/>
      <w:autoSpaceDN w:val="0"/>
      <w:adjustRightInd w:val="0"/>
      <w:spacing w:before="136"/>
      <w:ind w:firstLine="200" w:firstLineChars="200"/>
    </w:pPr>
    <w:rPr>
      <w:rFonts w:ascii="Tahoma" w:hAnsi="Tahoma"/>
      <w:kern w:val="0"/>
      <w:szCs w:val="20"/>
      <w:lang w:val="en-GB"/>
    </w:rPr>
  </w:style>
  <w:style w:type="paragraph" w:customStyle="1" w:styleId="1231">
    <w:name w:val="Char Char Char Char Char Char Char Char Char Char Char Char Char Char Char Char Char Char Char Char Char Char1"/>
    <w:basedOn w:val="1"/>
    <w:next w:val="1"/>
    <w:qFormat/>
    <w:uiPriority w:val="0"/>
    <w:pPr>
      <w:spacing w:line="360" w:lineRule="auto"/>
      <w:ind w:firstLine="200" w:firstLineChars="200"/>
    </w:pPr>
    <w:rPr>
      <w:rFonts w:ascii="宋体" w:hAnsi="宋体" w:cs="宋体"/>
    </w:rPr>
  </w:style>
  <w:style w:type="paragraph" w:customStyle="1" w:styleId="1232">
    <w:name w:val="Char Char Char1 Char Char Char Char1"/>
    <w:basedOn w:val="1"/>
    <w:next w:val="1"/>
    <w:semiHidden/>
    <w:qFormat/>
    <w:uiPriority w:val="0"/>
    <w:pPr>
      <w:spacing w:line="360" w:lineRule="auto"/>
      <w:ind w:firstLine="200" w:firstLineChars="200"/>
    </w:pPr>
    <w:rPr>
      <w:rFonts w:ascii="宋体" w:hAnsi="宋体" w:cs="宋体"/>
    </w:rPr>
  </w:style>
  <w:style w:type="paragraph" w:customStyle="1" w:styleId="1233">
    <w:name w:val="Char23"/>
    <w:basedOn w:val="1"/>
    <w:qFormat/>
    <w:uiPriority w:val="0"/>
    <w:pPr>
      <w:spacing w:line="360" w:lineRule="auto"/>
      <w:ind w:firstLine="200" w:firstLineChars="200"/>
    </w:pPr>
    <w:rPr>
      <w:rFonts w:ascii="宋体" w:hAnsi="宋体" w:cs="宋体"/>
    </w:rPr>
  </w:style>
  <w:style w:type="paragraph" w:customStyle="1" w:styleId="1234">
    <w:name w:val="Char22"/>
    <w:basedOn w:val="1"/>
    <w:qFormat/>
    <w:uiPriority w:val="0"/>
    <w:pPr>
      <w:spacing w:line="360" w:lineRule="auto"/>
      <w:ind w:firstLine="200" w:firstLineChars="200"/>
    </w:pPr>
    <w:rPr>
      <w:rFonts w:ascii="宋体" w:hAnsi="宋体" w:cs="宋体"/>
    </w:rPr>
  </w:style>
  <w:style w:type="paragraph" w:customStyle="1" w:styleId="1235">
    <w:name w:val="Char Char Char Char Char Char Char Char Char Char6"/>
    <w:basedOn w:val="1"/>
    <w:qFormat/>
    <w:uiPriority w:val="0"/>
    <w:pPr>
      <w:spacing w:beforeLines="50"/>
      <w:ind w:firstLine="200" w:firstLineChars="200"/>
    </w:pPr>
    <w:rPr>
      <w:rFonts w:ascii="Tahoma" w:hAnsi="Tahoma"/>
      <w:szCs w:val="20"/>
    </w:rPr>
  </w:style>
  <w:style w:type="paragraph" w:customStyle="1" w:styleId="1236">
    <w:name w:val="Char Char Char Char Char Char Char Char Char Char5"/>
    <w:basedOn w:val="1"/>
    <w:qFormat/>
    <w:uiPriority w:val="0"/>
    <w:pPr>
      <w:spacing w:beforeLines="50"/>
      <w:ind w:firstLine="200" w:firstLineChars="200"/>
    </w:pPr>
    <w:rPr>
      <w:rFonts w:ascii="Tahoma" w:hAnsi="Tahoma"/>
      <w:szCs w:val="20"/>
    </w:rPr>
  </w:style>
  <w:style w:type="paragraph" w:customStyle="1" w:styleId="1237">
    <w:name w:val="Char50"/>
    <w:basedOn w:val="1"/>
    <w:qFormat/>
    <w:uiPriority w:val="0"/>
    <w:pPr>
      <w:spacing w:line="360" w:lineRule="auto"/>
      <w:ind w:firstLine="200" w:firstLineChars="200"/>
    </w:pPr>
    <w:rPr>
      <w:rFonts w:ascii="宋体" w:hAnsi="宋体" w:cs="宋体"/>
    </w:rPr>
  </w:style>
  <w:style w:type="paragraph" w:customStyle="1" w:styleId="1238">
    <w:name w:val="Char40"/>
    <w:basedOn w:val="1"/>
    <w:qFormat/>
    <w:uiPriority w:val="0"/>
    <w:pPr>
      <w:spacing w:line="360" w:lineRule="auto"/>
      <w:ind w:firstLine="200" w:firstLineChars="200"/>
    </w:pPr>
    <w:rPr>
      <w:rFonts w:ascii="宋体" w:hAnsi="宋体" w:cs="宋体"/>
    </w:rPr>
  </w:style>
  <w:style w:type="paragraph" w:customStyle="1" w:styleId="1239">
    <w:name w:val="Char39"/>
    <w:basedOn w:val="1"/>
    <w:qFormat/>
    <w:uiPriority w:val="0"/>
    <w:pPr>
      <w:spacing w:line="360" w:lineRule="auto"/>
      <w:ind w:firstLine="200" w:firstLineChars="200"/>
    </w:pPr>
    <w:rPr>
      <w:rFonts w:ascii="宋体" w:hAnsi="宋体" w:cs="宋体"/>
    </w:rPr>
  </w:style>
  <w:style w:type="paragraph" w:customStyle="1" w:styleId="1240">
    <w:name w:val="Char Char Char1 Char Char Char Char Char Char Char Char Char Char Char Char Char Char Char Char Char Char Char Char Char Char Char Char"/>
    <w:basedOn w:val="1"/>
    <w:qFormat/>
    <w:uiPriority w:val="0"/>
    <w:pPr>
      <w:ind w:firstLine="200" w:firstLineChars="200"/>
    </w:pPr>
    <w:rPr>
      <w:rFonts w:ascii="宋体" w:hAnsi="宋体" w:cs="宋体"/>
    </w:rPr>
  </w:style>
  <w:style w:type="paragraph" w:customStyle="1" w:styleId="1241">
    <w:name w:val="Char Char Char1 Char Char Char Char Char Char Char Char Char Char Char Char Char Char Char Char Char Char Char Char Char Char Char Char Char"/>
    <w:basedOn w:val="1"/>
    <w:qFormat/>
    <w:uiPriority w:val="0"/>
    <w:pPr>
      <w:ind w:firstLine="200" w:firstLineChars="200"/>
    </w:pPr>
    <w:rPr>
      <w:rFonts w:ascii="宋体" w:hAnsi="宋体" w:cs="宋体"/>
    </w:rPr>
  </w:style>
  <w:style w:type="paragraph" w:customStyle="1" w:styleId="1242">
    <w:name w:val="Char42"/>
    <w:basedOn w:val="1"/>
    <w:qFormat/>
    <w:uiPriority w:val="0"/>
    <w:pPr>
      <w:spacing w:line="360" w:lineRule="auto"/>
      <w:ind w:firstLine="200" w:firstLineChars="200"/>
    </w:pPr>
    <w:rPr>
      <w:rFonts w:ascii="宋体" w:hAnsi="宋体" w:cs="宋体"/>
    </w:rPr>
  </w:style>
  <w:style w:type="paragraph" w:customStyle="1" w:styleId="1243">
    <w:name w:val="Char41"/>
    <w:basedOn w:val="1"/>
    <w:qFormat/>
    <w:uiPriority w:val="0"/>
    <w:pPr>
      <w:spacing w:line="360" w:lineRule="auto"/>
      <w:ind w:firstLine="200" w:firstLineChars="200"/>
    </w:pPr>
    <w:rPr>
      <w:rFonts w:ascii="宋体" w:hAnsi="宋体" w:cs="宋体"/>
    </w:rPr>
  </w:style>
  <w:style w:type="paragraph" w:customStyle="1" w:styleId="1244">
    <w:name w:val="Char Char Char Char Char Char Char Char Char Char4"/>
    <w:basedOn w:val="1"/>
    <w:qFormat/>
    <w:uiPriority w:val="0"/>
    <w:pPr>
      <w:spacing w:beforeLines="50"/>
      <w:ind w:firstLine="200" w:firstLineChars="200"/>
    </w:pPr>
    <w:rPr>
      <w:rFonts w:ascii="Tahoma" w:hAnsi="Tahoma"/>
      <w:szCs w:val="20"/>
    </w:rPr>
  </w:style>
  <w:style w:type="paragraph" w:customStyle="1" w:styleId="1245">
    <w:name w:val="Char Char Char Char17"/>
    <w:basedOn w:val="1"/>
    <w:qFormat/>
    <w:uiPriority w:val="0"/>
    <w:pPr>
      <w:ind w:firstLine="200" w:firstLineChars="200"/>
    </w:pPr>
    <w:rPr>
      <w:sz w:val="21"/>
      <w:szCs w:val="21"/>
    </w:rPr>
  </w:style>
  <w:style w:type="paragraph" w:customStyle="1" w:styleId="1246">
    <w:name w:val="1 Char Char Char Char Char Char Char Char Char Char"/>
    <w:basedOn w:val="1"/>
    <w:uiPriority w:val="0"/>
    <w:pPr>
      <w:ind w:firstLine="200" w:firstLineChars="200"/>
    </w:pPr>
  </w:style>
  <w:style w:type="paragraph" w:customStyle="1" w:styleId="1247">
    <w:name w:val="Char49"/>
    <w:basedOn w:val="1"/>
    <w:qFormat/>
    <w:uiPriority w:val="0"/>
    <w:pPr>
      <w:spacing w:line="360" w:lineRule="auto"/>
      <w:ind w:firstLine="200" w:firstLineChars="200"/>
    </w:pPr>
    <w:rPr>
      <w:rFonts w:ascii="宋体" w:hAnsi="宋体" w:cs="宋体"/>
    </w:rPr>
  </w:style>
  <w:style w:type="paragraph" w:customStyle="1" w:styleId="1248">
    <w:name w:val="Char48"/>
    <w:basedOn w:val="1"/>
    <w:qFormat/>
    <w:uiPriority w:val="0"/>
    <w:pPr>
      <w:ind w:firstLine="200" w:firstLineChars="200"/>
    </w:pPr>
  </w:style>
  <w:style w:type="paragraph" w:customStyle="1" w:styleId="1249">
    <w:name w:val="Char Char Char Char16"/>
    <w:basedOn w:val="1"/>
    <w:qFormat/>
    <w:uiPriority w:val="0"/>
    <w:pPr>
      <w:ind w:firstLine="200" w:firstLineChars="200"/>
    </w:pPr>
    <w:rPr>
      <w:sz w:val="21"/>
      <w:szCs w:val="21"/>
    </w:rPr>
  </w:style>
  <w:style w:type="paragraph" w:customStyle="1" w:styleId="1250">
    <w:name w:val="Char Char Char Char15"/>
    <w:basedOn w:val="1"/>
    <w:qFormat/>
    <w:uiPriority w:val="0"/>
    <w:pPr>
      <w:ind w:firstLine="200" w:firstLineChars="200"/>
    </w:pPr>
    <w:rPr>
      <w:sz w:val="21"/>
      <w:szCs w:val="21"/>
    </w:rPr>
  </w:style>
  <w:style w:type="paragraph" w:customStyle="1" w:styleId="1251">
    <w:name w:val="Char47"/>
    <w:basedOn w:val="1"/>
    <w:qFormat/>
    <w:uiPriority w:val="0"/>
    <w:pPr>
      <w:spacing w:line="360" w:lineRule="auto"/>
      <w:ind w:firstLine="200" w:firstLineChars="200"/>
    </w:pPr>
    <w:rPr>
      <w:rFonts w:ascii="宋体" w:hAnsi="宋体" w:cs="宋体"/>
    </w:rPr>
  </w:style>
  <w:style w:type="paragraph" w:customStyle="1" w:styleId="1252">
    <w:name w:val="Char Char Char Char14"/>
    <w:basedOn w:val="1"/>
    <w:qFormat/>
    <w:uiPriority w:val="99"/>
    <w:pPr>
      <w:ind w:firstLine="200" w:firstLineChars="200"/>
    </w:pPr>
    <w:rPr>
      <w:sz w:val="21"/>
      <w:szCs w:val="21"/>
    </w:rPr>
  </w:style>
  <w:style w:type="paragraph" w:customStyle="1" w:styleId="1253">
    <w:name w:val="Char46"/>
    <w:basedOn w:val="1"/>
    <w:qFormat/>
    <w:uiPriority w:val="0"/>
    <w:pPr>
      <w:spacing w:line="360" w:lineRule="auto"/>
      <w:ind w:firstLine="200" w:firstLineChars="200"/>
    </w:pPr>
    <w:rPr>
      <w:rFonts w:ascii="宋体" w:hAnsi="宋体" w:cs="宋体"/>
    </w:rPr>
  </w:style>
  <w:style w:type="paragraph" w:customStyle="1" w:styleId="1254">
    <w:name w:val="Char Char Char Char1 Char Char Char Char Char Char Char"/>
    <w:basedOn w:val="1"/>
    <w:qFormat/>
    <w:uiPriority w:val="0"/>
    <w:pPr>
      <w:ind w:firstLine="200" w:firstLineChars="200"/>
    </w:pPr>
    <w:rPr>
      <w:rFonts w:ascii="宋体" w:hAnsi="宋体" w:cs="宋体"/>
    </w:rPr>
  </w:style>
  <w:style w:type="paragraph" w:customStyle="1" w:styleId="1255">
    <w:name w:val="Char Char Char Char13"/>
    <w:basedOn w:val="1"/>
    <w:qFormat/>
    <w:uiPriority w:val="99"/>
    <w:pPr>
      <w:ind w:firstLine="200" w:firstLineChars="200"/>
    </w:pPr>
    <w:rPr>
      <w:sz w:val="21"/>
      <w:szCs w:val="21"/>
    </w:rPr>
  </w:style>
  <w:style w:type="paragraph" w:customStyle="1" w:styleId="1256">
    <w:name w:val="Char Char Char Char12"/>
    <w:basedOn w:val="1"/>
    <w:qFormat/>
    <w:uiPriority w:val="99"/>
    <w:pPr>
      <w:ind w:firstLine="200" w:firstLineChars="200"/>
    </w:pPr>
    <w:rPr>
      <w:sz w:val="21"/>
      <w:szCs w:val="21"/>
    </w:rPr>
  </w:style>
  <w:style w:type="paragraph" w:customStyle="1" w:styleId="1257">
    <w:name w:val="Char Char Char Char11"/>
    <w:basedOn w:val="1"/>
    <w:qFormat/>
    <w:uiPriority w:val="99"/>
    <w:pPr>
      <w:ind w:firstLine="200" w:firstLineChars="200"/>
    </w:pPr>
    <w:rPr>
      <w:sz w:val="21"/>
      <w:szCs w:val="21"/>
    </w:rPr>
  </w:style>
  <w:style w:type="paragraph" w:customStyle="1" w:styleId="1258">
    <w:name w:val="Char45"/>
    <w:basedOn w:val="1"/>
    <w:qFormat/>
    <w:uiPriority w:val="0"/>
    <w:pPr>
      <w:ind w:firstLine="200" w:firstLineChars="200"/>
    </w:pPr>
  </w:style>
  <w:style w:type="paragraph" w:customStyle="1" w:styleId="1259">
    <w:name w:val="Char Char Char Char10"/>
    <w:basedOn w:val="1"/>
    <w:qFormat/>
    <w:uiPriority w:val="99"/>
    <w:pPr>
      <w:ind w:firstLine="200" w:firstLineChars="200"/>
    </w:pPr>
    <w:rPr>
      <w:sz w:val="21"/>
      <w:szCs w:val="21"/>
    </w:rPr>
  </w:style>
  <w:style w:type="paragraph" w:customStyle="1" w:styleId="1260">
    <w:name w:val="Char44"/>
    <w:basedOn w:val="1"/>
    <w:qFormat/>
    <w:uiPriority w:val="0"/>
    <w:pPr>
      <w:spacing w:line="360" w:lineRule="auto"/>
      <w:ind w:firstLine="200" w:firstLineChars="200"/>
    </w:pPr>
    <w:rPr>
      <w:rFonts w:ascii="宋体" w:hAnsi="宋体" w:cs="宋体"/>
    </w:rPr>
  </w:style>
  <w:style w:type="paragraph" w:customStyle="1" w:styleId="1261">
    <w:name w:val="Char43"/>
    <w:basedOn w:val="1"/>
    <w:qFormat/>
    <w:uiPriority w:val="0"/>
    <w:pPr>
      <w:spacing w:line="360" w:lineRule="auto"/>
      <w:ind w:firstLine="200" w:firstLineChars="200"/>
    </w:pPr>
    <w:rPr>
      <w:rFonts w:ascii="宋体" w:hAnsi="宋体" w:cs="宋体"/>
    </w:rPr>
  </w:style>
  <w:style w:type="paragraph" w:customStyle="1" w:styleId="1262">
    <w:name w:val="Char Char Char Char9"/>
    <w:basedOn w:val="1"/>
    <w:qFormat/>
    <w:uiPriority w:val="99"/>
    <w:pPr>
      <w:ind w:firstLine="200" w:firstLineChars="200"/>
    </w:pPr>
    <w:rPr>
      <w:sz w:val="21"/>
      <w:szCs w:val="21"/>
    </w:rPr>
  </w:style>
  <w:style w:type="paragraph" w:customStyle="1" w:styleId="1263">
    <w:name w:val="1 Char Char Char Char Char Char Char Char Char Char Char Char"/>
    <w:basedOn w:val="1"/>
    <w:qFormat/>
    <w:uiPriority w:val="0"/>
    <w:pPr>
      <w:ind w:firstLine="200" w:firstLineChars="200"/>
    </w:pPr>
  </w:style>
  <w:style w:type="paragraph" w:customStyle="1" w:styleId="1264">
    <w:name w:val="7AB5F74500E048D4B9BBBD9DC8C79AA1"/>
    <w:uiPriority w:val="0"/>
    <w:pPr>
      <w:spacing w:after="200" w:line="276" w:lineRule="auto"/>
    </w:pPr>
    <w:rPr>
      <w:rFonts w:ascii="Calibri" w:hAnsi="Calibri" w:eastAsia="宋体" w:cs="Times New Roman"/>
      <w:sz w:val="22"/>
      <w:szCs w:val="22"/>
      <w:lang w:val="en-US" w:eastAsia="en-US" w:bidi="ar-SA"/>
    </w:rPr>
  </w:style>
  <w:style w:type="paragraph" w:customStyle="1" w:styleId="1265">
    <w:name w:val="3761E84A00C04894881C218FFB92E41B"/>
    <w:qFormat/>
    <w:uiPriority w:val="0"/>
    <w:pPr>
      <w:spacing w:after="200" w:line="276" w:lineRule="auto"/>
    </w:pPr>
    <w:rPr>
      <w:rFonts w:ascii="Calibri" w:hAnsi="Calibri" w:eastAsia="宋体" w:cs="Times New Roman"/>
      <w:sz w:val="22"/>
      <w:szCs w:val="22"/>
      <w:lang w:val="en-US" w:eastAsia="en-US" w:bidi="ar-SA"/>
    </w:rPr>
  </w:style>
  <w:style w:type="paragraph" w:customStyle="1" w:styleId="1266">
    <w:name w:val="样式 小四 首行缩进:  0.85 厘米 行距: 最小值 21 磅"/>
    <w:basedOn w:val="1"/>
    <w:qFormat/>
    <w:uiPriority w:val="0"/>
    <w:pPr>
      <w:spacing w:line="500" w:lineRule="atLeast"/>
      <w:ind w:firstLine="482"/>
    </w:pPr>
    <w:rPr>
      <w:rFonts w:cs="宋体"/>
      <w:szCs w:val="20"/>
    </w:rPr>
  </w:style>
  <w:style w:type="paragraph" w:customStyle="1" w:styleId="1267">
    <w:name w:val="Char Char Char1 Char5"/>
    <w:basedOn w:val="1"/>
    <w:next w:val="1"/>
    <w:semiHidden/>
    <w:qFormat/>
    <w:uiPriority w:val="0"/>
    <w:pPr>
      <w:spacing w:line="360" w:lineRule="auto"/>
      <w:ind w:firstLine="200" w:firstLineChars="200"/>
    </w:pPr>
    <w:rPr>
      <w:rFonts w:ascii="宋体" w:hAnsi="宋体" w:cs="宋体"/>
    </w:rPr>
  </w:style>
  <w:style w:type="paragraph" w:customStyle="1" w:styleId="1268">
    <w:name w:val="Char Char Char Char Char Char Char8"/>
    <w:basedOn w:val="1"/>
    <w:qFormat/>
    <w:uiPriority w:val="0"/>
    <w:pPr>
      <w:spacing w:line="360" w:lineRule="auto"/>
      <w:ind w:firstLine="200" w:firstLineChars="200"/>
    </w:pPr>
    <w:rPr>
      <w:rFonts w:ascii="宋体" w:hAnsi="宋体" w:cs="宋体"/>
    </w:rPr>
  </w:style>
  <w:style w:type="paragraph" w:customStyle="1" w:styleId="1269">
    <w:name w:val="Char Char Char Char Char Char Char9"/>
    <w:basedOn w:val="1"/>
    <w:qFormat/>
    <w:uiPriority w:val="0"/>
    <w:pPr>
      <w:spacing w:line="360" w:lineRule="auto"/>
      <w:ind w:firstLine="200" w:firstLineChars="200"/>
    </w:pPr>
    <w:rPr>
      <w:rFonts w:ascii="宋体" w:hAnsi="宋体" w:cs="宋体"/>
    </w:rPr>
  </w:style>
  <w:style w:type="paragraph" w:customStyle="1" w:styleId="1270">
    <w:name w:val="Char Char Char1 Char6"/>
    <w:basedOn w:val="1"/>
    <w:qFormat/>
    <w:uiPriority w:val="0"/>
    <w:rPr>
      <w:sz w:val="21"/>
    </w:rPr>
  </w:style>
  <w:style w:type="paragraph" w:customStyle="1" w:styleId="1271">
    <w:name w:val="1 Char Char Char Char Char Char Char Char Char Char Char Char Char Char Char1 Char"/>
    <w:basedOn w:val="1"/>
    <w:qFormat/>
    <w:uiPriority w:val="0"/>
  </w:style>
  <w:style w:type="paragraph" w:customStyle="1" w:styleId="1272">
    <w:name w:val="Char Char1 Char1"/>
    <w:basedOn w:val="1"/>
    <w:qFormat/>
    <w:uiPriority w:val="0"/>
    <w:rPr>
      <w:rFonts w:eastAsia="黑体" w:cs="宋体"/>
      <w:b/>
      <w:bCs/>
      <w:color w:val="000000"/>
      <w:sz w:val="32"/>
      <w:szCs w:val="32"/>
    </w:rPr>
  </w:style>
  <w:style w:type="paragraph" w:customStyle="1" w:styleId="1273">
    <w:name w:val="Char Char Char Char Char Char Char Char Char Char Char Char Char Char Char Char Char Char Char Char Char Char Char Char Char Char Char Char Char Char Char Char Char Char Char Char Char Char Char Char Char Char Char Char Char Char1"/>
    <w:basedOn w:val="1"/>
    <w:next w:val="1"/>
    <w:qFormat/>
    <w:uiPriority w:val="0"/>
    <w:pPr>
      <w:pBdr>
        <w:right w:val="single" w:color="auto" w:sz="12" w:space="4"/>
      </w:pBdr>
      <w:spacing w:line="360" w:lineRule="auto"/>
      <w:ind w:firstLine="200" w:firstLineChars="200"/>
    </w:pPr>
    <w:rPr>
      <w:rFonts w:ascii="宋体" w:hAnsi="宋体" w:cs="宋体"/>
      <w:sz w:val="28"/>
    </w:rPr>
  </w:style>
  <w:style w:type="character" w:customStyle="1" w:styleId="1274">
    <w:name w:val="样式 标题 6 + (中文) 宋体 四号 非加粗1 Char"/>
    <w:link w:val="1275"/>
    <w:qFormat/>
    <w:locked/>
    <w:uiPriority w:val="0"/>
    <w:rPr>
      <w:rFonts w:ascii="Arial" w:hAnsi="Arial"/>
      <w:kern w:val="2"/>
      <w:sz w:val="28"/>
      <w:szCs w:val="24"/>
      <w:lang w:val="zh-CN" w:eastAsia="zh-CN"/>
    </w:rPr>
  </w:style>
  <w:style w:type="paragraph" w:customStyle="1" w:styleId="1275">
    <w:name w:val="样式 标题 6 + (中文) 宋体 四号 非加粗1"/>
    <w:basedOn w:val="9"/>
    <w:link w:val="1274"/>
    <w:qFormat/>
    <w:uiPriority w:val="0"/>
    <w:pPr>
      <w:keepNext w:val="0"/>
      <w:tabs>
        <w:tab w:val="left" w:pos="0"/>
      </w:tabs>
      <w:snapToGrid/>
      <w:spacing w:line="316" w:lineRule="auto"/>
      <w:ind w:left="1134" w:hanging="1134"/>
    </w:pPr>
    <w:rPr>
      <w:rFonts w:eastAsia="宋体"/>
      <w:b w:val="0"/>
      <w:sz w:val="28"/>
      <w:lang w:val="zh-CN"/>
    </w:rPr>
  </w:style>
  <w:style w:type="paragraph" w:customStyle="1" w:styleId="1276">
    <w:name w:val="样式 样式 四号 行距: 1.5 倍行距 + 左侧:  2 字符 首行缩进:  2 字符"/>
    <w:basedOn w:val="1"/>
    <w:qFormat/>
    <w:uiPriority w:val="0"/>
    <w:pPr>
      <w:spacing w:line="360" w:lineRule="auto"/>
      <w:ind w:left="300" w:leftChars="300" w:firstLine="200" w:firstLineChars="200"/>
    </w:pPr>
    <w:rPr>
      <w:rFonts w:cs="宋体"/>
      <w:sz w:val="28"/>
      <w:szCs w:val="20"/>
    </w:rPr>
  </w:style>
  <w:style w:type="paragraph" w:customStyle="1" w:styleId="1277">
    <w:name w:val="Char Char Char1 Char Char Char Char Char Char Char"/>
    <w:basedOn w:val="1"/>
    <w:qFormat/>
    <w:uiPriority w:val="0"/>
    <w:pPr>
      <w:spacing w:line="360" w:lineRule="auto"/>
      <w:ind w:firstLine="200" w:firstLineChars="200"/>
    </w:pPr>
    <w:rPr>
      <w:rFonts w:ascii="宋体" w:hAnsi="宋体" w:cs="宋体"/>
    </w:rPr>
  </w:style>
  <w:style w:type="paragraph" w:customStyle="1" w:styleId="1278">
    <w:name w:val="Char Char Char Char19"/>
    <w:basedOn w:val="1"/>
    <w:qFormat/>
    <w:uiPriority w:val="0"/>
    <w:pPr>
      <w:spacing w:line="360" w:lineRule="auto"/>
      <w:ind w:firstLine="200" w:firstLineChars="200"/>
    </w:pPr>
    <w:rPr>
      <w:sz w:val="21"/>
    </w:rPr>
  </w:style>
  <w:style w:type="paragraph" w:customStyle="1" w:styleId="1279">
    <w:name w:val="Char Char Char Char1 Char Char Char Char Char Char Char Char Char Char Char"/>
    <w:basedOn w:val="1"/>
    <w:uiPriority w:val="0"/>
    <w:pPr>
      <w:ind w:firstLine="200" w:firstLineChars="200"/>
    </w:pPr>
    <w:rPr>
      <w:rFonts w:ascii="宋体" w:hAnsi="宋体" w:cs="宋体"/>
    </w:rPr>
  </w:style>
  <w:style w:type="paragraph" w:customStyle="1" w:styleId="1280">
    <w:name w:val="DJ3"/>
    <w:basedOn w:val="5"/>
    <w:next w:val="1"/>
    <w:qFormat/>
    <w:uiPriority w:val="0"/>
    <w:pPr>
      <w:keepNext w:val="0"/>
      <w:keepLines w:val="0"/>
      <w:tabs>
        <w:tab w:val="left" w:pos="1833"/>
      </w:tabs>
      <w:adjustRightInd w:val="0"/>
      <w:snapToGrid w:val="0"/>
      <w:spacing w:before="120" w:line="360" w:lineRule="auto"/>
      <w:ind w:left="1320" w:hanging="567"/>
      <w:jc w:val="left"/>
    </w:pPr>
    <w:rPr>
      <w:rFonts w:ascii="黑体"/>
      <w:bCs w:val="0"/>
      <w:sz w:val="28"/>
      <w:lang w:val="zh-CN"/>
    </w:rPr>
  </w:style>
  <w:style w:type="character" w:customStyle="1" w:styleId="1281">
    <w:name w:val="22 Char"/>
    <w:link w:val="1282"/>
    <w:qFormat/>
    <w:locked/>
    <w:uiPriority w:val="0"/>
    <w:rPr>
      <w:color w:val="FF0000"/>
      <w:sz w:val="24"/>
      <w:szCs w:val="24"/>
      <w:lang w:val="zh-CN" w:eastAsia="zh-CN"/>
    </w:rPr>
  </w:style>
  <w:style w:type="paragraph" w:customStyle="1" w:styleId="1282">
    <w:name w:val="22"/>
    <w:basedOn w:val="1"/>
    <w:link w:val="1281"/>
    <w:qFormat/>
    <w:uiPriority w:val="0"/>
    <w:pPr>
      <w:snapToGrid w:val="0"/>
      <w:ind w:firstLine="480" w:firstLineChars="200"/>
    </w:pPr>
    <w:rPr>
      <w:color w:val="FF0000"/>
      <w:kern w:val="0"/>
      <w:lang w:val="zh-CN"/>
    </w:rPr>
  </w:style>
  <w:style w:type="paragraph" w:customStyle="1" w:styleId="1283">
    <w:name w:val="Char Char Char Char Char Char Char Char"/>
    <w:basedOn w:val="1"/>
    <w:qFormat/>
    <w:uiPriority w:val="0"/>
    <w:rPr>
      <w:sz w:val="21"/>
      <w:szCs w:val="20"/>
    </w:rPr>
  </w:style>
  <w:style w:type="paragraph" w:customStyle="1" w:styleId="1284">
    <w:name w:val="正文缩2字"/>
    <w:basedOn w:val="87"/>
    <w:qFormat/>
    <w:uiPriority w:val="0"/>
    <w:pPr>
      <w:tabs>
        <w:tab w:val="clear" w:pos="964"/>
        <w:tab w:val="clear" w:pos="1172"/>
      </w:tabs>
      <w:spacing w:after="120" w:line="560" w:lineRule="exact"/>
      <w:ind w:left="0" w:firstLine="200" w:firstLineChars="200"/>
    </w:pPr>
    <w:rPr>
      <w:rFonts w:ascii="Times New Roman" w:hAnsi="Times New Roman"/>
      <w:lang w:val="zh-CN"/>
    </w:rPr>
  </w:style>
  <w:style w:type="paragraph" w:customStyle="1" w:styleId="1285">
    <w:name w:val="Char Char7"/>
    <w:basedOn w:val="1"/>
    <w:next w:val="1"/>
    <w:qFormat/>
    <w:uiPriority w:val="0"/>
    <w:pPr>
      <w:spacing w:line="360" w:lineRule="auto"/>
      <w:jc w:val="left"/>
      <w:outlineLvl w:val="3"/>
    </w:pPr>
    <w:rPr>
      <w:b/>
    </w:rPr>
  </w:style>
  <w:style w:type="character" w:customStyle="1" w:styleId="1286">
    <w:name w:val="样式 小四 行距: 1.5 倍行距 Char"/>
    <w:link w:val="1287"/>
    <w:qFormat/>
    <w:locked/>
    <w:uiPriority w:val="0"/>
    <w:rPr>
      <w:kern w:val="2"/>
      <w:sz w:val="24"/>
    </w:rPr>
  </w:style>
  <w:style w:type="paragraph" w:customStyle="1" w:styleId="1287">
    <w:name w:val="样式 小四 行距: 1.5 倍行距"/>
    <w:basedOn w:val="1"/>
    <w:link w:val="1286"/>
    <w:qFormat/>
    <w:uiPriority w:val="0"/>
    <w:pPr>
      <w:spacing w:line="520" w:lineRule="atLeast"/>
      <w:ind w:firstLine="200" w:firstLineChars="200"/>
    </w:pPr>
    <w:rPr>
      <w:szCs w:val="20"/>
    </w:rPr>
  </w:style>
  <w:style w:type="paragraph" w:customStyle="1" w:styleId="1288">
    <w:name w:val="Char55"/>
    <w:basedOn w:val="1"/>
    <w:semiHidden/>
    <w:qFormat/>
    <w:uiPriority w:val="0"/>
    <w:pPr>
      <w:spacing w:line="360" w:lineRule="auto"/>
      <w:ind w:firstLine="200" w:firstLineChars="200"/>
    </w:pPr>
    <w:rPr>
      <w:rFonts w:ascii="宋体" w:hAnsi="宋体" w:cs="宋体"/>
    </w:rPr>
  </w:style>
  <w:style w:type="paragraph" w:customStyle="1" w:styleId="1289">
    <w:name w:val="Char Char Char Char Char Char Char Char Char Char8"/>
    <w:basedOn w:val="1"/>
    <w:qFormat/>
    <w:uiPriority w:val="0"/>
    <w:pPr>
      <w:spacing w:beforeLines="50"/>
    </w:pPr>
    <w:rPr>
      <w:rFonts w:ascii="Tahoma" w:hAnsi="Tahoma"/>
      <w:szCs w:val="20"/>
    </w:rPr>
  </w:style>
  <w:style w:type="paragraph" w:customStyle="1" w:styleId="1290">
    <w:name w:val="Char54"/>
    <w:basedOn w:val="1"/>
    <w:qFormat/>
    <w:uiPriority w:val="0"/>
    <w:pPr>
      <w:spacing w:line="360" w:lineRule="auto"/>
      <w:ind w:firstLine="200" w:firstLineChars="200"/>
    </w:pPr>
    <w:rPr>
      <w:rFonts w:ascii="宋体" w:hAnsi="宋体" w:cs="宋体"/>
    </w:rPr>
  </w:style>
  <w:style w:type="paragraph" w:customStyle="1" w:styleId="1291">
    <w:name w:val="Char53"/>
    <w:basedOn w:val="1"/>
    <w:qFormat/>
    <w:uiPriority w:val="0"/>
    <w:pPr>
      <w:spacing w:line="360" w:lineRule="auto"/>
      <w:ind w:firstLine="200" w:firstLineChars="200"/>
    </w:pPr>
    <w:rPr>
      <w:rFonts w:ascii="宋体" w:hAnsi="宋体" w:cs="宋体"/>
    </w:rPr>
  </w:style>
  <w:style w:type="paragraph" w:customStyle="1" w:styleId="1292">
    <w:name w:val="Char Char Char Char Char Char Char Char Char Char Char Char Char Char Char Char Char Char Char Char Char Char Char Char Char Char Char Char Char Char Char Char Char Char Char Char Char Char Char Char Char Char Char Char Char Char11"/>
    <w:basedOn w:val="1"/>
    <w:next w:val="1"/>
    <w:qFormat/>
    <w:uiPriority w:val="0"/>
    <w:pPr>
      <w:pBdr>
        <w:right w:val="single" w:color="auto" w:sz="12" w:space="4"/>
      </w:pBdr>
      <w:spacing w:line="360" w:lineRule="auto"/>
      <w:ind w:firstLine="200" w:firstLineChars="200"/>
    </w:pPr>
    <w:rPr>
      <w:sz w:val="28"/>
      <w:szCs w:val="20"/>
    </w:rPr>
  </w:style>
  <w:style w:type="paragraph" w:customStyle="1" w:styleId="1293">
    <w:name w:val="Char Char Char Char Char Char Char Char Char Char Char Char Char Char Char Char Char Char Char Char Char Char Char Char Char Char Char Char Char Char Char Char Char Char Char Char Char Char Char Char Char Char Char Char Char Char10"/>
    <w:basedOn w:val="1"/>
    <w:next w:val="1"/>
    <w:uiPriority w:val="0"/>
    <w:pPr>
      <w:pBdr>
        <w:right w:val="single" w:color="auto" w:sz="12" w:space="4"/>
      </w:pBdr>
      <w:spacing w:line="360" w:lineRule="auto"/>
      <w:ind w:firstLine="200" w:firstLineChars="200"/>
    </w:pPr>
    <w:rPr>
      <w:sz w:val="28"/>
      <w:szCs w:val="20"/>
    </w:rPr>
  </w:style>
  <w:style w:type="paragraph" w:customStyle="1" w:styleId="1294">
    <w:name w:val="Char Char Char Char Char Char Char Char Char Char Char Char Char Char Char Char Char Char Char Char Char Char Char Char Char Char Char Char Char Char Char Char Char Char Char Char Char Char Char Char Char Char Char Char Char Char9"/>
    <w:basedOn w:val="1"/>
    <w:next w:val="1"/>
    <w:qFormat/>
    <w:uiPriority w:val="0"/>
    <w:pPr>
      <w:pBdr>
        <w:right w:val="single" w:color="auto" w:sz="12" w:space="4"/>
      </w:pBdr>
      <w:spacing w:line="360" w:lineRule="auto"/>
      <w:ind w:firstLine="200" w:firstLineChars="200"/>
    </w:pPr>
    <w:rPr>
      <w:sz w:val="28"/>
      <w:szCs w:val="20"/>
    </w:rPr>
  </w:style>
  <w:style w:type="character" w:customStyle="1" w:styleId="1295">
    <w:name w:val="样式 正文首行缩进 2 Char Char"/>
    <w:link w:val="1296"/>
    <w:qFormat/>
    <w:locked/>
    <w:uiPriority w:val="0"/>
    <w:rPr>
      <w:bCs/>
      <w:kern w:val="2"/>
      <w:sz w:val="28"/>
      <w:szCs w:val="28"/>
      <w:lang w:val="zh-CN" w:eastAsia="zh-CN"/>
    </w:rPr>
  </w:style>
  <w:style w:type="paragraph" w:customStyle="1" w:styleId="1296">
    <w:name w:val="样式 正文首行缩进 2"/>
    <w:basedOn w:val="87"/>
    <w:link w:val="1295"/>
    <w:qFormat/>
    <w:uiPriority w:val="0"/>
    <w:pPr>
      <w:widowControl/>
      <w:tabs>
        <w:tab w:val="clear" w:pos="964"/>
        <w:tab w:val="clear" w:pos="1172"/>
      </w:tabs>
      <w:spacing w:afterLines="50" w:line="500" w:lineRule="exact"/>
      <w:ind w:left="0" w:firstLine="605" w:firstLineChars="216"/>
    </w:pPr>
    <w:rPr>
      <w:rFonts w:ascii="Times New Roman" w:hAnsi="Times New Roman"/>
      <w:bCs/>
      <w:szCs w:val="28"/>
      <w:lang w:val="zh-CN"/>
    </w:rPr>
  </w:style>
  <w:style w:type="paragraph" w:customStyle="1" w:styleId="1297">
    <w:name w:val="Char Char Char Char Char Char Char Char Char Char Char Char Char Char Char Char Char Char Char Char Char Char Char Char Char Char Char Char Char Char Char Char Char Char Char Char Char Char Char Char Char Char Char Char Char Char8"/>
    <w:basedOn w:val="1"/>
    <w:next w:val="1"/>
    <w:qFormat/>
    <w:uiPriority w:val="0"/>
    <w:pPr>
      <w:pBdr>
        <w:right w:val="single" w:color="auto" w:sz="12" w:space="4"/>
      </w:pBdr>
      <w:spacing w:line="360" w:lineRule="auto"/>
      <w:ind w:firstLine="200" w:firstLineChars="200"/>
    </w:pPr>
    <w:rPr>
      <w:sz w:val="28"/>
      <w:szCs w:val="20"/>
    </w:rPr>
  </w:style>
  <w:style w:type="paragraph" w:customStyle="1" w:styleId="1298">
    <w:name w:val="Char52"/>
    <w:basedOn w:val="1"/>
    <w:uiPriority w:val="0"/>
    <w:rPr>
      <w:sz w:val="21"/>
    </w:rPr>
  </w:style>
  <w:style w:type="paragraph" w:customStyle="1" w:styleId="1299">
    <w:name w:val="Char Char Char Char Char Char Char Char Char Char Char Char Char Char Char Char Char Char Char Char Char Char Char Char Char Char Char Char Char Char Char Char Char Char Char Char Char Char Char Char Char Char Char Char Char Char7"/>
    <w:basedOn w:val="1"/>
    <w:next w:val="1"/>
    <w:qFormat/>
    <w:uiPriority w:val="0"/>
    <w:pPr>
      <w:pBdr>
        <w:right w:val="single" w:color="auto" w:sz="12" w:space="4"/>
      </w:pBdr>
      <w:spacing w:line="360" w:lineRule="auto"/>
      <w:ind w:firstLine="200" w:firstLineChars="200"/>
    </w:pPr>
    <w:rPr>
      <w:sz w:val="28"/>
      <w:szCs w:val="20"/>
    </w:rPr>
  </w:style>
  <w:style w:type="paragraph" w:customStyle="1" w:styleId="1300">
    <w:name w:val="Char Char Char Char Char Char Char Char Char Char Char Char Char Char Char Char Char Char Char Char Char Char Char Char Char Char Char Char Char Char Char Char Char Char Char Char Char Char Char Char Char Char Char Char Char Char6"/>
    <w:basedOn w:val="1"/>
    <w:next w:val="1"/>
    <w:qFormat/>
    <w:uiPriority w:val="0"/>
    <w:pPr>
      <w:pBdr>
        <w:right w:val="single" w:color="auto" w:sz="12" w:space="4"/>
      </w:pBdr>
      <w:spacing w:line="360" w:lineRule="auto"/>
      <w:ind w:firstLine="200" w:firstLineChars="200"/>
    </w:pPr>
    <w:rPr>
      <w:sz w:val="28"/>
      <w:szCs w:val="20"/>
    </w:rPr>
  </w:style>
  <w:style w:type="paragraph" w:customStyle="1" w:styleId="1301">
    <w:name w:val="Char Char Char Char Char Char Char Char Char Char Char Char Char Char Char Char Char Char Char Char Char Char Char Char Char Char Char Char Char Char Char Char Char Char Char Char Char Char Char Char Char Char Char Char Char Char5"/>
    <w:basedOn w:val="1"/>
    <w:next w:val="1"/>
    <w:semiHidden/>
    <w:qFormat/>
    <w:uiPriority w:val="0"/>
    <w:pPr>
      <w:pBdr>
        <w:right w:val="single" w:color="auto" w:sz="12" w:space="4"/>
      </w:pBdr>
      <w:spacing w:line="360" w:lineRule="auto"/>
      <w:ind w:firstLine="200" w:firstLineChars="200"/>
    </w:pPr>
    <w:rPr>
      <w:sz w:val="28"/>
      <w:szCs w:val="20"/>
    </w:rPr>
  </w:style>
  <w:style w:type="paragraph" w:customStyle="1" w:styleId="1302">
    <w:name w:val="Char Char Char Char Char Char Char Char Char Char Char Char Char Char Char Char Char Char Char Char Char Char Char Char Char Char Char Char Char Char Char Char Char Char Char Char Char Char Char Char Char Char Char Char Char Char4"/>
    <w:basedOn w:val="1"/>
    <w:next w:val="1"/>
    <w:semiHidden/>
    <w:qFormat/>
    <w:uiPriority w:val="0"/>
    <w:pPr>
      <w:pBdr>
        <w:right w:val="single" w:color="auto" w:sz="12" w:space="4"/>
      </w:pBdr>
      <w:spacing w:line="360" w:lineRule="auto"/>
      <w:ind w:firstLine="200" w:firstLineChars="200"/>
    </w:pPr>
    <w:rPr>
      <w:sz w:val="28"/>
      <w:szCs w:val="20"/>
    </w:rPr>
  </w:style>
  <w:style w:type="paragraph" w:customStyle="1" w:styleId="1303">
    <w:name w:val="Char Char Char Char Char Char Char Char Char Char Char Char Char Char Char Char Char Char Char Char Char Char Char Char Char Char Char Char Char Char Char Char Char Char Char Char Char Char Char Char Char Char Char Char Char Char3"/>
    <w:basedOn w:val="1"/>
    <w:next w:val="1"/>
    <w:uiPriority w:val="0"/>
    <w:pPr>
      <w:pBdr>
        <w:right w:val="single" w:color="auto" w:sz="12" w:space="4"/>
      </w:pBdr>
      <w:spacing w:line="360" w:lineRule="auto"/>
      <w:ind w:firstLine="200" w:firstLineChars="200"/>
    </w:pPr>
    <w:rPr>
      <w:sz w:val="28"/>
      <w:szCs w:val="20"/>
    </w:rPr>
  </w:style>
  <w:style w:type="paragraph" w:customStyle="1" w:styleId="1304">
    <w:name w:val="Char Char Char Char Char Char Char Char Char Char Char Char Char Char Char Char Char Char Char Char Char Char Char Char Char Char Char Char Char Char Char Char Char Char Char Char Char Char Char Char Char Char Char Char Char Char2"/>
    <w:basedOn w:val="1"/>
    <w:next w:val="1"/>
    <w:semiHidden/>
    <w:qFormat/>
    <w:uiPriority w:val="0"/>
    <w:pPr>
      <w:pBdr>
        <w:right w:val="single" w:color="auto" w:sz="12" w:space="4"/>
      </w:pBdr>
      <w:spacing w:line="360" w:lineRule="auto"/>
      <w:ind w:firstLine="200" w:firstLineChars="200"/>
    </w:pPr>
    <w:rPr>
      <w:sz w:val="28"/>
      <w:szCs w:val="20"/>
    </w:rPr>
  </w:style>
  <w:style w:type="paragraph" w:customStyle="1" w:styleId="1305">
    <w:name w:val="p0"/>
    <w:basedOn w:val="1"/>
    <w:link w:val="3033"/>
    <w:qFormat/>
    <w:uiPriority w:val="0"/>
    <w:pPr>
      <w:widowControl/>
    </w:pPr>
    <w:rPr>
      <w:kern w:val="0"/>
      <w:sz w:val="21"/>
      <w:szCs w:val="21"/>
    </w:rPr>
  </w:style>
  <w:style w:type="paragraph" w:customStyle="1" w:styleId="1306">
    <w:name w:val="p18"/>
    <w:basedOn w:val="1"/>
    <w:qFormat/>
    <w:uiPriority w:val="0"/>
    <w:pPr>
      <w:widowControl/>
      <w:spacing w:line="480" w:lineRule="atLeast"/>
    </w:pPr>
    <w:rPr>
      <w:spacing w:val="20"/>
      <w:kern w:val="0"/>
      <w:sz w:val="28"/>
      <w:szCs w:val="28"/>
    </w:rPr>
  </w:style>
  <w:style w:type="paragraph" w:customStyle="1" w:styleId="1307">
    <w:name w:val="p20"/>
    <w:basedOn w:val="1"/>
    <w:qFormat/>
    <w:uiPriority w:val="0"/>
    <w:pPr>
      <w:widowControl/>
    </w:pPr>
    <w:rPr>
      <w:rFonts w:ascii="宋体" w:hAnsi="宋体" w:cs="宋体"/>
      <w:kern w:val="0"/>
      <w:sz w:val="21"/>
      <w:szCs w:val="21"/>
    </w:rPr>
  </w:style>
  <w:style w:type="paragraph" w:customStyle="1" w:styleId="1308">
    <w:name w:val="p16"/>
    <w:basedOn w:val="1"/>
    <w:qFormat/>
    <w:uiPriority w:val="0"/>
    <w:pPr>
      <w:widowControl/>
    </w:pPr>
    <w:rPr>
      <w:rFonts w:ascii="宋体" w:hAnsi="宋体" w:cs="宋体"/>
      <w:kern w:val="0"/>
      <w:sz w:val="21"/>
      <w:szCs w:val="21"/>
    </w:rPr>
  </w:style>
  <w:style w:type="paragraph" w:customStyle="1" w:styleId="1309">
    <w:name w:val="p17"/>
    <w:basedOn w:val="1"/>
    <w:qFormat/>
    <w:uiPriority w:val="0"/>
    <w:pPr>
      <w:widowControl/>
      <w:spacing w:line="480" w:lineRule="atLeast"/>
    </w:pPr>
    <w:rPr>
      <w:spacing w:val="20"/>
      <w:kern w:val="0"/>
      <w:sz w:val="28"/>
      <w:szCs w:val="28"/>
    </w:rPr>
  </w:style>
  <w:style w:type="paragraph" w:customStyle="1" w:styleId="1310">
    <w:name w:val="p15"/>
    <w:basedOn w:val="1"/>
    <w:qFormat/>
    <w:uiPriority w:val="0"/>
    <w:pPr>
      <w:widowControl/>
      <w:spacing w:line="500" w:lineRule="atLeast"/>
      <w:ind w:left="1049"/>
    </w:pPr>
    <w:rPr>
      <w:rFonts w:ascii="宋体" w:hAnsi="宋体" w:cs="宋体"/>
      <w:spacing w:val="20"/>
      <w:kern w:val="0"/>
      <w:sz w:val="28"/>
      <w:szCs w:val="28"/>
    </w:rPr>
  </w:style>
  <w:style w:type="paragraph" w:customStyle="1" w:styleId="1311">
    <w:name w:val="Char Char Char1 Char9"/>
    <w:basedOn w:val="1"/>
    <w:next w:val="1"/>
    <w:semiHidden/>
    <w:qFormat/>
    <w:uiPriority w:val="0"/>
    <w:pPr>
      <w:spacing w:line="360" w:lineRule="auto"/>
      <w:ind w:firstLine="200" w:firstLineChars="200"/>
    </w:pPr>
    <w:rPr>
      <w:rFonts w:ascii="宋体" w:hAnsi="宋体" w:cs="宋体"/>
    </w:rPr>
  </w:style>
  <w:style w:type="paragraph" w:customStyle="1" w:styleId="1312">
    <w:name w:val="项标题"/>
    <w:basedOn w:val="6"/>
    <w:qFormat/>
    <w:uiPriority w:val="0"/>
    <w:pPr>
      <w:tabs>
        <w:tab w:val="left" w:pos="992"/>
      </w:tabs>
      <w:spacing w:before="60" w:line="240" w:lineRule="atLeast"/>
      <w:ind w:firstLine="539"/>
    </w:pPr>
    <w:rPr>
      <w:rFonts w:ascii="Arial Narrow" w:hAnsi="Arial Narrow" w:eastAsia="仿宋_GB2312"/>
      <w:b w:val="0"/>
      <w:bCs w:val="0"/>
      <w:sz w:val="26"/>
      <w:szCs w:val="20"/>
      <w:lang w:val="zh-CN"/>
    </w:rPr>
  </w:style>
  <w:style w:type="character" w:customStyle="1" w:styleId="1313">
    <w:name w:val="HZZH表头 Char"/>
    <w:link w:val="1314"/>
    <w:qFormat/>
    <w:locked/>
    <w:uiPriority w:val="0"/>
    <w:rPr>
      <w:b/>
      <w:bCs/>
      <w:kern w:val="2"/>
      <w:sz w:val="24"/>
      <w:szCs w:val="24"/>
    </w:rPr>
  </w:style>
  <w:style w:type="paragraph" w:customStyle="1" w:styleId="1314">
    <w:name w:val="HZZH表头"/>
    <w:basedOn w:val="1"/>
    <w:link w:val="1313"/>
    <w:qFormat/>
    <w:uiPriority w:val="0"/>
    <w:pPr>
      <w:jc w:val="center"/>
    </w:pPr>
    <w:rPr>
      <w:b/>
      <w:bCs/>
    </w:rPr>
  </w:style>
  <w:style w:type="character" w:customStyle="1" w:styleId="1315">
    <w:name w:val="HZZH标题—4 Char"/>
    <w:link w:val="1316"/>
    <w:qFormat/>
    <w:locked/>
    <w:uiPriority w:val="0"/>
    <w:rPr>
      <w:rFonts w:ascii="宋体" w:hAnsi="宋体"/>
      <w:b/>
      <w:kern w:val="2"/>
      <w:sz w:val="24"/>
      <w:szCs w:val="28"/>
      <w:lang w:val="zh-CN"/>
    </w:rPr>
  </w:style>
  <w:style w:type="paragraph" w:customStyle="1" w:styleId="1316">
    <w:name w:val="HZZH标题—4"/>
    <w:basedOn w:val="6"/>
    <w:link w:val="1315"/>
    <w:qFormat/>
    <w:uiPriority w:val="0"/>
    <w:pPr>
      <w:tabs>
        <w:tab w:val="left" w:pos="1080"/>
      </w:tabs>
      <w:spacing w:line="360" w:lineRule="auto"/>
      <w:jc w:val="left"/>
    </w:pPr>
    <w:rPr>
      <w:rFonts w:ascii="宋体" w:hAnsi="宋体"/>
      <w:bCs w:val="0"/>
      <w:sz w:val="24"/>
      <w:lang w:val="zh-CN"/>
    </w:rPr>
  </w:style>
  <w:style w:type="paragraph" w:customStyle="1" w:styleId="1317">
    <w:name w:val="HZZH图名"/>
    <w:basedOn w:val="1"/>
    <w:qFormat/>
    <w:uiPriority w:val="0"/>
    <w:pPr>
      <w:jc w:val="center"/>
    </w:pPr>
    <w:rPr>
      <w:rFonts w:ascii="宋体" w:hAnsi="宋体"/>
      <w:b/>
      <w:szCs w:val="28"/>
    </w:rPr>
  </w:style>
  <w:style w:type="paragraph" w:customStyle="1" w:styleId="1318">
    <w:name w:val="HZZH图号图名"/>
    <w:basedOn w:val="1203"/>
    <w:qFormat/>
    <w:uiPriority w:val="0"/>
    <w:pPr>
      <w:spacing w:line="360" w:lineRule="auto"/>
      <w:ind w:firstLine="0" w:firstLineChars="0"/>
    </w:pPr>
    <w:rPr>
      <w:rFonts w:ascii="宋体" w:hAnsi="宋体" w:cs="宋体"/>
      <w:b/>
      <w:sz w:val="24"/>
    </w:rPr>
  </w:style>
  <w:style w:type="paragraph" w:customStyle="1" w:styleId="1319">
    <w:name w:val="表文"/>
    <w:basedOn w:val="1"/>
    <w:link w:val="2710"/>
    <w:qFormat/>
    <w:uiPriority w:val="0"/>
    <w:pPr>
      <w:autoSpaceDE w:val="0"/>
      <w:autoSpaceDN w:val="0"/>
      <w:adjustRightInd w:val="0"/>
      <w:spacing w:before="20"/>
    </w:pPr>
    <w:rPr>
      <w:kern w:val="0"/>
      <w:sz w:val="21"/>
      <w:szCs w:val="20"/>
    </w:rPr>
  </w:style>
  <w:style w:type="paragraph" w:customStyle="1" w:styleId="1320">
    <w:name w:val="二期二级样式"/>
    <w:basedOn w:val="1"/>
    <w:qFormat/>
    <w:uiPriority w:val="0"/>
    <w:pPr>
      <w:widowControl/>
      <w:tabs>
        <w:tab w:val="left" w:pos="720"/>
      </w:tabs>
      <w:ind w:left="567" w:hanging="567"/>
      <w:jc w:val="left"/>
    </w:pPr>
    <w:rPr>
      <w:kern w:val="0"/>
    </w:rPr>
  </w:style>
  <w:style w:type="paragraph" w:customStyle="1" w:styleId="1321">
    <w:name w:val="二期三级样式"/>
    <w:basedOn w:val="1"/>
    <w:qFormat/>
    <w:uiPriority w:val="0"/>
    <w:pPr>
      <w:widowControl/>
      <w:tabs>
        <w:tab w:val="left" w:pos="1080"/>
      </w:tabs>
      <w:ind w:left="567" w:hanging="567"/>
      <w:jc w:val="left"/>
    </w:pPr>
    <w:rPr>
      <w:kern w:val="0"/>
    </w:rPr>
  </w:style>
  <w:style w:type="paragraph" w:customStyle="1" w:styleId="1322">
    <w:name w:val="二期四级样式"/>
    <w:basedOn w:val="1"/>
    <w:qFormat/>
    <w:uiPriority w:val="0"/>
    <w:pPr>
      <w:widowControl/>
      <w:tabs>
        <w:tab w:val="left" w:pos="1174"/>
      </w:tabs>
      <w:ind w:left="567" w:hanging="113"/>
      <w:jc w:val="left"/>
    </w:pPr>
    <w:rPr>
      <w:kern w:val="0"/>
    </w:rPr>
  </w:style>
  <w:style w:type="paragraph" w:customStyle="1" w:styleId="1323">
    <w:name w:val="表格字符"/>
    <w:basedOn w:val="1"/>
    <w:qFormat/>
    <w:uiPriority w:val="0"/>
    <w:pPr>
      <w:adjustRightInd w:val="0"/>
      <w:spacing w:line="300" w:lineRule="auto"/>
      <w:jc w:val="center"/>
    </w:pPr>
    <w:rPr>
      <w:kern w:val="0"/>
      <w:szCs w:val="20"/>
    </w:rPr>
  </w:style>
  <w:style w:type="paragraph" w:customStyle="1" w:styleId="1324">
    <w:name w:val="标题 4.1"/>
    <w:basedOn w:val="6"/>
    <w:qFormat/>
    <w:uiPriority w:val="0"/>
    <w:pPr>
      <w:adjustRightInd w:val="0"/>
      <w:spacing w:line="360" w:lineRule="auto"/>
      <w:outlineLvl w:val="4"/>
    </w:pPr>
    <w:rPr>
      <w:rFonts w:ascii="宋体" w:hAnsi="宋体"/>
      <w:kern w:val="0"/>
      <w:sz w:val="24"/>
      <w:szCs w:val="20"/>
      <w:lang w:val="zh-CN"/>
    </w:rPr>
  </w:style>
  <w:style w:type="paragraph" w:customStyle="1" w:styleId="1325">
    <w:name w:val="图文1"/>
    <w:basedOn w:val="1"/>
    <w:qFormat/>
    <w:uiPriority w:val="0"/>
    <w:pPr>
      <w:adjustRightInd w:val="0"/>
      <w:snapToGrid w:val="0"/>
      <w:jc w:val="center"/>
    </w:pPr>
    <w:rPr>
      <w:b/>
      <w:bCs/>
      <w:sz w:val="28"/>
    </w:rPr>
  </w:style>
  <w:style w:type="paragraph" w:customStyle="1" w:styleId="1326">
    <w:name w:val="中文报告书样式"/>
    <w:basedOn w:val="1"/>
    <w:qFormat/>
    <w:uiPriority w:val="0"/>
    <w:pPr>
      <w:adjustRightInd w:val="0"/>
      <w:spacing w:line="360" w:lineRule="auto"/>
      <w:ind w:firstLine="482"/>
    </w:pPr>
    <w:rPr>
      <w:kern w:val="24"/>
      <w:szCs w:val="20"/>
    </w:rPr>
  </w:style>
  <w:style w:type="paragraph" w:customStyle="1" w:styleId="1327">
    <w:name w:val="前言"/>
    <w:basedOn w:val="3"/>
    <w:qFormat/>
    <w:uiPriority w:val="0"/>
    <w:pPr>
      <w:keepLines/>
      <w:tabs>
        <w:tab w:val="clear" w:pos="0"/>
      </w:tabs>
      <w:spacing w:before="240" w:after="480" w:line="240" w:lineRule="auto"/>
      <w:ind w:left="0" w:firstLine="0"/>
    </w:pPr>
    <w:rPr>
      <w:rFonts w:ascii="黑体" w:hAnsi="Arial"/>
      <w:b w:val="0"/>
      <w:bCs/>
      <w:kern w:val="44"/>
      <w:szCs w:val="32"/>
      <w:lang w:val="zh-CN"/>
    </w:rPr>
  </w:style>
  <w:style w:type="paragraph" w:customStyle="1" w:styleId="1328">
    <w:name w:val="样式 题注 + 居中"/>
    <w:basedOn w:val="22"/>
    <w:qFormat/>
    <w:uiPriority w:val="0"/>
    <w:pPr>
      <w:spacing w:line="360" w:lineRule="auto"/>
    </w:pPr>
    <w:rPr>
      <w:rFonts w:ascii="Arial" w:hAnsi="Arial" w:cs="宋体"/>
      <w:b w:val="0"/>
      <w:szCs w:val="20"/>
    </w:rPr>
  </w:style>
  <w:style w:type="paragraph" w:customStyle="1" w:styleId="1329">
    <w:name w:val="样式 正文（首行缩进两字） + 行距: 固定值 20 磅"/>
    <w:basedOn w:val="7"/>
    <w:qFormat/>
    <w:uiPriority w:val="0"/>
    <w:pPr>
      <w:spacing w:line="400" w:lineRule="exact"/>
      <w:ind w:firstLine="480"/>
    </w:pPr>
    <w:rPr>
      <w:rFonts w:cs="宋体"/>
      <w:szCs w:val="20"/>
      <w:lang w:val="zh-CN"/>
    </w:rPr>
  </w:style>
  <w:style w:type="paragraph" w:customStyle="1" w:styleId="1330">
    <w:name w:val="图表1"/>
    <w:next w:val="1"/>
    <w:qFormat/>
    <w:uiPriority w:val="0"/>
    <w:pPr>
      <w:spacing w:line="240" w:lineRule="atLeast"/>
      <w:jc w:val="center"/>
    </w:pPr>
    <w:rPr>
      <w:rFonts w:ascii="楷体_GB2312" w:hAnsi="Times New Roman" w:eastAsia="楷体_GB2312" w:cs="Times New Roman"/>
      <w:sz w:val="21"/>
      <w:lang w:val="en-US" w:eastAsia="zh-CN" w:bidi="ar-SA"/>
    </w:rPr>
  </w:style>
  <w:style w:type="paragraph" w:customStyle="1" w:styleId="1331">
    <w:name w:val="HZZH公式"/>
    <w:basedOn w:val="1202"/>
    <w:qFormat/>
    <w:uiPriority w:val="0"/>
    <w:pPr>
      <w:spacing w:line="240" w:lineRule="auto"/>
      <w:ind w:left="420" w:leftChars="100" w:right="100" w:rightChars="100" w:firstLine="217" w:firstLineChars="217"/>
    </w:pPr>
    <w:rPr>
      <w:rFonts w:ascii="Times New Roman" w:hAnsi="Times New Roman" w:cs="宋体"/>
      <w:kern w:val="0"/>
      <w:szCs w:val="24"/>
    </w:rPr>
  </w:style>
  <w:style w:type="character" w:customStyle="1" w:styleId="1332">
    <w:name w:val="样式 正文缩进正文（首行缩进两字）正文缩进 Char正文缩进 Char1 Char正文缩进 Char Char Char... Char"/>
    <w:link w:val="1333"/>
    <w:qFormat/>
    <w:locked/>
    <w:uiPriority w:val="0"/>
    <w:rPr>
      <w:rFonts w:ascii="宋体" w:hAnsi="宋体"/>
      <w:spacing w:val="10"/>
      <w:kern w:val="2"/>
      <w:sz w:val="24"/>
      <w:szCs w:val="24"/>
      <w:lang w:val="zh-CN" w:eastAsia="zh-CN"/>
    </w:rPr>
  </w:style>
  <w:style w:type="paragraph" w:customStyle="1" w:styleId="1333">
    <w:name w:val="样式 正文缩进正文（首行缩进两字）正文缩进 Char正文缩进 Char1 Char正文缩进 Char Char Char..."/>
    <w:basedOn w:val="7"/>
    <w:link w:val="1332"/>
    <w:qFormat/>
    <w:uiPriority w:val="0"/>
    <w:pPr>
      <w:ind w:firstLine="200"/>
    </w:pPr>
    <w:rPr>
      <w:rFonts w:ascii="宋体" w:hAnsi="宋体"/>
      <w:spacing w:val="10"/>
      <w:lang w:val="zh-CN"/>
    </w:rPr>
  </w:style>
  <w:style w:type="paragraph" w:customStyle="1" w:styleId="1334">
    <w:name w:val="hzzh加粗正文"/>
    <w:basedOn w:val="1202"/>
    <w:qFormat/>
    <w:uiPriority w:val="0"/>
    <w:pPr>
      <w:overflowPunct w:val="0"/>
      <w:spacing w:line="240" w:lineRule="auto"/>
      <w:ind w:left="420" w:leftChars="100" w:right="100" w:rightChars="100"/>
    </w:pPr>
    <w:rPr>
      <w:rFonts w:ascii="Times New Roman" w:hAnsi="Times New Roman" w:cs="宋体"/>
      <w:b/>
      <w:kern w:val="0"/>
      <w:szCs w:val="24"/>
    </w:rPr>
  </w:style>
  <w:style w:type="paragraph" w:customStyle="1" w:styleId="1335">
    <w:name w:val="Char Char Char Char Char Char Char13"/>
    <w:basedOn w:val="1"/>
    <w:qFormat/>
    <w:uiPriority w:val="0"/>
    <w:pPr>
      <w:spacing w:line="360" w:lineRule="auto"/>
      <w:ind w:firstLine="200" w:firstLineChars="200"/>
    </w:pPr>
    <w:rPr>
      <w:rFonts w:ascii="宋体" w:hAnsi="宋体" w:cs="宋体"/>
    </w:rPr>
  </w:style>
  <w:style w:type="paragraph" w:customStyle="1" w:styleId="1336">
    <w:name w:val="Char Char Char Char Char Char1 Char Char Char Char Char Char Char"/>
    <w:basedOn w:val="5"/>
    <w:qFormat/>
    <w:uiPriority w:val="0"/>
    <w:pPr>
      <w:tabs>
        <w:tab w:val="left" w:pos="360"/>
        <w:tab w:val="left" w:pos="900"/>
      </w:tabs>
      <w:snapToGrid w:val="0"/>
      <w:spacing w:before="120" w:after="120" w:line="360" w:lineRule="auto"/>
      <w:ind w:left="542" w:leftChars="-12" w:firstLine="200" w:firstLineChars="200"/>
      <w:jc w:val="left"/>
    </w:pPr>
    <w:rPr>
      <w:b w:val="0"/>
      <w:bCs w:val="0"/>
      <w:sz w:val="24"/>
      <w:szCs w:val="24"/>
      <w:lang w:val="zh-CN"/>
    </w:rPr>
  </w:style>
  <w:style w:type="character" w:customStyle="1" w:styleId="1337">
    <w:name w:val="样式 HZZH正文 + 黑体 四号 加粗 Char"/>
    <w:link w:val="1338"/>
    <w:qFormat/>
    <w:locked/>
    <w:uiPriority w:val="0"/>
    <w:rPr>
      <w:rFonts w:ascii="黑体" w:hAnsi="黑体" w:eastAsia="黑体"/>
      <w:b/>
      <w:bCs/>
      <w:kern w:val="2"/>
      <w:sz w:val="28"/>
      <w:szCs w:val="24"/>
      <w:lang w:val="zh-CN" w:eastAsia="zh-CN"/>
    </w:rPr>
  </w:style>
  <w:style w:type="paragraph" w:customStyle="1" w:styleId="1338">
    <w:name w:val="样式 HZZH正文 + 黑体 四号 加粗"/>
    <w:basedOn w:val="1202"/>
    <w:link w:val="1337"/>
    <w:qFormat/>
    <w:uiPriority w:val="0"/>
    <w:pPr>
      <w:overflowPunct w:val="0"/>
      <w:spacing w:line="240" w:lineRule="auto"/>
      <w:ind w:left="420" w:leftChars="100" w:right="100" w:rightChars="100"/>
    </w:pPr>
    <w:rPr>
      <w:rFonts w:ascii="黑体" w:hAnsi="黑体" w:eastAsia="黑体"/>
      <w:b/>
      <w:bCs/>
      <w:sz w:val="28"/>
      <w:szCs w:val="24"/>
    </w:rPr>
  </w:style>
  <w:style w:type="character" w:customStyle="1" w:styleId="1339">
    <w:name w:val="样式 HZZH正文 + 黑体 四号 加粗1 Char"/>
    <w:link w:val="1340"/>
    <w:qFormat/>
    <w:locked/>
    <w:uiPriority w:val="0"/>
    <w:rPr>
      <w:rFonts w:ascii="黑体" w:hAnsi="黑体" w:eastAsia="黑体"/>
      <w:b/>
      <w:bCs/>
      <w:kern w:val="2"/>
      <w:sz w:val="28"/>
      <w:szCs w:val="24"/>
      <w:lang w:val="zh-CN" w:eastAsia="zh-CN"/>
    </w:rPr>
  </w:style>
  <w:style w:type="paragraph" w:customStyle="1" w:styleId="1340">
    <w:name w:val="样式 HZZH正文 + 黑体 四号 加粗1"/>
    <w:basedOn w:val="1202"/>
    <w:link w:val="1339"/>
    <w:qFormat/>
    <w:uiPriority w:val="0"/>
    <w:pPr>
      <w:overflowPunct w:val="0"/>
      <w:spacing w:line="240" w:lineRule="auto"/>
      <w:ind w:left="420" w:leftChars="100" w:right="100" w:rightChars="100"/>
    </w:pPr>
    <w:rPr>
      <w:rFonts w:ascii="黑体" w:hAnsi="黑体" w:eastAsia="黑体"/>
      <w:b/>
      <w:bCs/>
      <w:sz w:val="28"/>
      <w:szCs w:val="24"/>
    </w:rPr>
  </w:style>
  <w:style w:type="character" w:customStyle="1" w:styleId="1341">
    <w:name w:val="样式 HZZH正文 + 红色 Char"/>
    <w:link w:val="1342"/>
    <w:qFormat/>
    <w:locked/>
    <w:uiPriority w:val="0"/>
    <w:rPr>
      <w:color w:val="000000"/>
      <w:kern w:val="2"/>
      <w:sz w:val="24"/>
      <w:szCs w:val="24"/>
      <w:lang w:val="zh-CN" w:eastAsia="zh-CN"/>
    </w:rPr>
  </w:style>
  <w:style w:type="paragraph" w:customStyle="1" w:styleId="1342">
    <w:name w:val="样式 HZZH正文 + 红色"/>
    <w:basedOn w:val="1202"/>
    <w:link w:val="1341"/>
    <w:qFormat/>
    <w:uiPriority w:val="0"/>
    <w:pPr>
      <w:overflowPunct w:val="0"/>
      <w:spacing w:line="240" w:lineRule="auto"/>
      <w:ind w:left="420" w:leftChars="100" w:right="100" w:rightChars="100"/>
    </w:pPr>
    <w:rPr>
      <w:rFonts w:ascii="Times New Roman" w:hAnsi="Times New Roman"/>
      <w:color w:val="000000"/>
      <w:szCs w:val="24"/>
    </w:rPr>
  </w:style>
  <w:style w:type="paragraph" w:customStyle="1" w:styleId="1343">
    <w:name w:val="Char Char Char1 Char8"/>
    <w:basedOn w:val="1"/>
    <w:next w:val="1"/>
    <w:semiHidden/>
    <w:qFormat/>
    <w:uiPriority w:val="0"/>
    <w:pPr>
      <w:spacing w:line="360" w:lineRule="auto"/>
      <w:ind w:firstLine="200" w:firstLineChars="200"/>
    </w:pPr>
    <w:rPr>
      <w:rFonts w:ascii="宋体" w:hAnsi="宋体" w:cs="宋体"/>
    </w:rPr>
  </w:style>
  <w:style w:type="paragraph" w:customStyle="1" w:styleId="1344">
    <w:name w:val="Char Char Char Char Char Char Char12"/>
    <w:basedOn w:val="1"/>
    <w:qFormat/>
    <w:uiPriority w:val="0"/>
    <w:pPr>
      <w:spacing w:line="360" w:lineRule="auto"/>
      <w:ind w:firstLine="200" w:firstLineChars="200"/>
    </w:pPr>
    <w:rPr>
      <w:rFonts w:ascii="宋体" w:hAnsi="宋体" w:cs="宋体"/>
    </w:rPr>
  </w:style>
  <w:style w:type="paragraph" w:customStyle="1" w:styleId="1345">
    <w:name w:val="Char Char Char Char Char Char Char11"/>
    <w:basedOn w:val="1"/>
    <w:qFormat/>
    <w:uiPriority w:val="0"/>
    <w:pPr>
      <w:spacing w:line="360" w:lineRule="auto"/>
      <w:ind w:firstLine="200" w:firstLineChars="200"/>
    </w:pPr>
    <w:rPr>
      <w:rFonts w:ascii="宋体" w:hAnsi="宋体" w:cs="宋体"/>
    </w:rPr>
  </w:style>
  <w:style w:type="paragraph" w:customStyle="1" w:styleId="1346">
    <w:name w:val="Char Char Char Char Char Char1 Char Char Char Char Char Char Char1"/>
    <w:basedOn w:val="5"/>
    <w:qFormat/>
    <w:uiPriority w:val="0"/>
    <w:pPr>
      <w:tabs>
        <w:tab w:val="left" w:pos="360"/>
        <w:tab w:val="left" w:pos="900"/>
      </w:tabs>
      <w:snapToGrid w:val="0"/>
      <w:spacing w:before="120" w:after="120" w:line="360" w:lineRule="auto"/>
      <w:ind w:left="542" w:leftChars="-12" w:firstLine="200" w:firstLineChars="200"/>
      <w:jc w:val="left"/>
    </w:pPr>
    <w:rPr>
      <w:b w:val="0"/>
      <w:bCs w:val="0"/>
      <w:sz w:val="24"/>
      <w:szCs w:val="24"/>
      <w:lang w:val="zh-CN"/>
    </w:rPr>
  </w:style>
  <w:style w:type="paragraph" w:customStyle="1" w:styleId="1347">
    <w:name w:val="Char Char Char1 Char7"/>
    <w:basedOn w:val="1"/>
    <w:next w:val="1"/>
    <w:semiHidden/>
    <w:qFormat/>
    <w:uiPriority w:val="0"/>
    <w:pPr>
      <w:spacing w:line="360" w:lineRule="auto"/>
      <w:ind w:firstLine="200" w:firstLineChars="200"/>
    </w:pPr>
    <w:rPr>
      <w:rFonts w:ascii="宋体" w:hAnsi="宋体" w:cs="宋体"/>
    </w:rPr>
  </w:style>
  <w:style w:type="paragraph" w:customStyle="1" w:styleId="1348">
    <w:name w:val="Char Char Char Char Char Char Char10"/>
    <w:basedOn w:val="1"/>
    <w:qFormat/>
    <w:uiPriority w:val="0"/>
    <w:pPr>
      <w:spacing w:line="360" w:lineRule="auto"/>
      <w:ind w:firstLine="200" w:firstLineChars="200"/>
    </w:pPr>
    <w:rPr>
      <w:rFonts w:ascii="宋体" w:hAnsi="宋体" w:cs="宋体"/>
    </w:rPr>
  </w:style>
  <w:style w:type="paragraph" w:customStyle="1" w:styleId="1349">
    <w:name w:val="Char56"/>
    <w:basedOn w:val="1"/>
    <w:qFormat/>
    <w:uiPriority w:val="0"/>
    <w:pPr>
      <w:spacing w:line="360" w:lineRule="auto"/>
      <w:ind w:firstLine="200" w:firstLineChars="200"/>
    </w:pPr>
    <w:rPr>
      <w:rFonts w:ascii="宋体" w:hAnsi="宋体" w:cs="宋体"/>
    </w:rPr>
  </w:style>
  <w:style w:type="paragraph" w:customStyle="1" w:styleId="1350">
    <w:name w:val="Char Char Char Char Char Char Char14"/>
    <w:basedOn w:val="1"/>
    <w:qFormat/>
    <w:uiPriority w:val="0"/>
    <w:pPr>
      <w:spacing w:line="360" w:lineRule="auto"/>
      <w:ind w:firstLine="200" w:firstLineChars="200"/>
    </w:pPr>
    <w:rPr>
      <w:rFonts w:ascii="宋体" w:hAnsi="宋体" w:cs="宋体"/>
    </w:rPr>
  </w:style>
  <w:style w:type="paragraph" w:customStyle="1" w:styleId="1351">
    <w:name w:val="Char Char Char Char Char Char Char Char Char Char Char Char Char Char Char Char Char Char Char Char Char Char Char Char Char Char Char Char Char Char Char Char Char Char Char Char Char Char Char Char Char Char Char Char Char Char12"/>
    <w:basedOn w:val="1"/>
    <w:next w:val="1"/>
    <w:qFormat/>
    <w:uiPriority w:val="0"/>
    <w:pPr>
      <w:pBdr>
        <w:right w:val="single" w:color="auto" w:sz="12" w:space="4"/>
      </w:pBdr>
      <w:spacing w:line="360" w:lineRule="auto"/>
      <w:ind w:firstLine="200" w:firstLineChars="200"/>
    </w:pPr>
    <w:rPr>
      <w:sz w:val="28"/>
      <w:szCs w:val="20"/>
    </w:rPr>
  </w:style>
  <w:style w:type="character" w:customStyle="1" w:styleId="1352">
    <w:name w:val="正文首行缩进2字符 Char1"/>
    <w:qFormat/>
    <w:locked/>
    <w:uiPriority w:val="0"/>
    <w:rPr>
      <w:kern w:val="2"/>
      <w:sz w:val="28"/>
      <w:szCs w:val="24"/>
      <w:lang w:val="zh-CN" w:eastAsia="zh-CN"/>
    </w:rPr>
  </w:style>
  <w:style w:type="paragraph" w:customStyle="1" w:styleId="1353">
    <w:name w:val="样式 宋体 小四 行距: 1.5 倍行距"/>
    <w:basedOn w:val="1"/>
    <w:qFormat/>
    <w:uiPriority w:val="0"/>
    <w:pPr>
      <w:spacing w:line="360" w:lineRule="auto"/>
      <w:ind w:firstLine="480" w:firstLineChars="200"/>
    </w:pPr>
    <w:rPr>
      <w:rFonts w:ascii="宋体" w:hAnsi="宋体" w:cs="宋体"/>
      <w:szCs w:val="20"/>
    </w:rPr>
  </w:style>
  <w:style w:type="character" w:customStyle="1" w:styleId="1354">
    <w:name w:val="样式 宋体 小四 Char"/>
    <w:link w:val="1355"/>
    <w:qFormat/>
    <w:locked/>
    <w:uiPriority w:val="0"/>
    <w:rPr>
      <w:rFonts w:ascii="宋体" w:hAnsi="宋体"/>
      <w:kern w:val="2"/>
      <w:sz w:val="24"/>
      <w:szCs w:val="24"/>
      <w:lang w:val="zh-CN" w:eastAsia="zh-CN"/>
    </w:rPr>
  </w:style>
  <w:style w:type="paragraph" w:customStyle="1" w:styleId="1355">
    <w:name w:val="样式 宋体 小四"/>
    <w:basedOn w:val="1"/>
    <w:link w:val="1354"/>
    <w:qFormat/>
    <w:uiPriority w:val="0"/>
    <w:pPr>
      <w:spacing w:line="360" w:lineRule="auto"/>
      <w:ind w:firstLine="482"/>
    </w:pPr>
    <w:rPr>
      <w:rFonts w:ascii="宋体" w:hAnsi="宋体"/>
      <w:lang w:val="zh-CN"/>
    </w:rPr>
  </w:style>
  <w:style w:type="character" w:customStyle="1" w:styleId="1356">
    <w:name w:val="表头1 Char"/>
    <w:link w:val="257"/>
    <w:qFormat/>
    <w:locked/>
    <w:uiPriority w:val="0"/>
    <w:rPr>
      <w:b/>
      <w:sz w:val="24"/>
      <w:szCs w:val="24"/>
    </w:rPr>
  </w:style>
  <w:style w:type="paragraph" w:customStyle="1" w:styleId="1357">
    <w:name w:val="图底1"/>
    <w:basedOn w:val="1"/>
    <w:qFormat/>
    <w:uiPriority w:val="0"/>
    <w:pPr>
      <w:spacing w:beforeLines="20"/>
      <w:jc w:val="center"/>
    </w:pPr>
    <w:rPr>
      <w:rFonts w:ascii="黑体" w:hAnsi="宋体" w:eastAsia="黑体"/>
      <w:lang w:val="zh-CN"/>
    </w:rPr>
  </w:style>
  <w:style w:type="paragraph" w:customStyle="1" w:styleId="1358">
    <w:name w:val="Char Char Char Char Char Char3 Char Char Char Char Char Char Char"/>
    <w:basedOn w:val="1"/>
    <w:next w:val="1"/>
    <w:qFormat/>
    <w:uiPriority w:val="0"/>
    <w:pPr>
      <w:widowControl/>
      <w:jc w:val="left"/>
    </w:pPr>
    <w:rPr>
      <w:rFonts w:ascii="宋体" w:hAnsi="宋体" w:eastAsia="黑体" w:cs="宋体"/>
      <w:kern w:val="0"/>
      <w:sz w:val="28"/>
    </w:rPr>
  </w:style>
  <w:style w:type="paragraph" w:customStyle="1" w:styleId="1359">
    <w:name w:val="Char Char Char3 Char"/>
    <w:basedOn w:val="1"/>
    <w:qFormat/>
    <w:uiPriority w:val="0"/>
    <w:pPr>
      <w:widowControl/>
      <w:spacing w:line="360" w:lineRule="auto"/>
      <w:ind w:firstLine="200" w:firstLineChars="200"/>
      <w:jc w:val="left"/>
    </w:pPr>
    <w:rPr>
      <w:rFonts w:ascii="宋体" w:hAnsi="宋体" w:cs="宋体"/>
      <w:kern w:val="0"/>
    </w:rPr>
  </w:style>
  <w:style w:type="paragraph" w:customStyle="1" w:styleId="1360">
    <w:name w:val="图表头2"/>
    <w:basedOn w:val="1"/>
    <w:qFormat/>
    <w:uiPriority w:val="0"/>
    <w:pPr>
      <w:widowControl/>
      <w:tabs>
        <w:tab w:val="center" w:pos="4231"/>
        <w:tab w:val="right" w:pos="8463"/>
      </w:tabs>
      <w:adjustRightInd w:val="0"/>
      <w:jc w:val="center"/>
    </w:pPr>
    <w:rPr>
      <w:rFonts w:ascii="宋体" w:hAnsi="宋体" w:eastAsia="黑体" w:cs="宋体"/>
      <w:spacing w:val="5"/>
      <w:kern w:val="0"/>
      <w:sz w:val="21"/>
    </w:rPr>
  </w:style>
  <w:style w:type="paragraph" w:customStyle="1" w:styleId="1361">
    <w:name w:val="Char Char Char Char Char Char Char Char1 Char Char Char Char"/>
    <w:basedOn w:val="1"/>
    <w:qFormat/>
    <w:uiPriority w:val="0"/>
    <w:rPr>
      <w:sz w:val="21"/>
    </w:rPr>
  </w:style>
  <w:style w:type="paragraph" w:customStyle="1" w:styleId="1362">
    <w:name w:val="Char Char Char Char Char Char1 Char Char Char1 Char Char Char Char Char Char Char Char Char Char Char Char Char Char Char1 Char Char Char1 Char Char Char Char1"/>
    <w:basedOn w:val="1"/>
    <w:qFormat/>
    <w:uiPriority w:val="0"/>
    <w:pPr>
      <w:spacing w:line="360" w:lineRule="auto"/>
      <w:ind w:firstLine="200" w:firstLineChars="200"/>
    </w:pPr>
    <w:rPr>
      <w:rFonts w:ascii="宋体" w:hAnsi="宋体" w:cs="宋体"/>
    </w:rPr>
  </w:style>
  <w:style w:type="paragraph" w:customStyle="1" w:styleId="1363">
    <w:name w:val="Char Char Char Char Char Char3 Char Char Char Char Char Char Char1"/>
    <w:basedOn w:val="1"/>
    <w:next w:val="1"/>
    <w:qFormat/>
    <w:uiPriority w:val="0"/>
    <w:pPr>
      <w:widowControl/>
      <w:jc w:val="left"/>
    </w:pPr>
    <w:rPr>
      <w:rFonts w:ascii="宋体" w:hAnsi="宋体" w:eastAsia="黑体" w:cs="宋体"/>
      <w:kern w:val="0"/>
      <w:sz w:val="28"/>
    </w:rPr>
  </w:style>
  <w:style w:type="paragraph" w:customStyle="1" w:styleId="1364">
    <w:name w:val="Char Char Char1 Char10"/>
    <w:basedOn w:val="1"/>
    <w:next w:val="1"/>
    <w:semiHidden/>
    <w:qFormat/>
    <w:uiPriority w:val="0"/>
    <w:pPr>
      <w:widowControl/>
      <w:spacing w:line="360" w:lineRule="auto"/>
      <w:ind w:firstLine="200" w:firstLineChars="200"/>
      <w:jc w:val="left"/>
    </w:pPr>
    <w:rPr>
      <w:rFonts w:ascii="宋体" w:hAnsi="宋体" w:cs="宋体"/>
      <w:kern w:val="0"/>
    </w:rPr>
  </w:style>
  <w:style w:type="paragraph" w:customStyle="1" w:styleId="1365">
    <w:name w:val="Char Char Char3 Char1"/>
    <w:basedOn w:val="1"/>
    <w:qFormat/>
    <w:uiPriority w:val="0"/>
    <w:pPr>
      <w:widowControl/>
      <w:spacing w:line="360" w:lineRule="auto"/>
      <w:ind w:firstLine="200" w:firstLineChars="200"/>
      <w:jc w:val="left"/>
    </w:pPr>
    <w:rPr>
      <w:rFonts w:ascii="宋体" w:hAnsi="宋体" w:cs="宋体"/>
      <w:kern w:val="0"/>
    </w:rPr>
  </w:style>
  <w:style w:type="paragraph" w:customStyle="1" w:styleId="1366">
    <w:name w:val="Char Char Char Char Char Char1 Char Char Char1 Char Char Char Char Char Char Char1"/>
    <w:basedOn w:val="1"/>
    <w:qFormat/>
    <w:uiPriority w:val="0"/>
    <w:pPr>
      <w:widowControl/>
      <w:spacing w:line="360" w:lineRule="auto"/>
      <w:ind w:firstLine="200" w:firstLineChars="200"/>
      <w:jc w:val="left"/>
    </w:pPr>
    <w:rPr>
      <w:rFonts w:ascii="宋体" w:hAnsi="宋体" w:cs="宋体"/>
      <w:kern w:val="0"/>
    </w:rPr>
  </w:style>
  <w:style w:type="paragraph" w:customStyle="1" w:styleId="1367">
    <w:name w:val="Char Char Char Char Char Char Char Char1 Char Char Char Char1"/>
    <w:basedOn w:val="1"/>
    <w:qFormat/>
    <w:uiPriority w:val="0"/>
    <w:rPr>
      <w:sz w:val="21"/>
    </w:rPr>
  </w:style>
  <w:style w:type="paragraph" w:customStyle="1" w:styleId="1368">
    <w:name w:val="玲正文"/>
    <w:basedOn w:val="1"/>
    <w:next w:val="86"/>
    <w:qFormat/>
    <w:uiPriority w:val="0"/>
    <w:pPr>
      <w:adjustRightInd w:val="0"/>
      <w:snapToGrid w:val="0"/>
      <w:spacing w:line="360" w:lineRule="auto"/>
      <w:ind w:firstLine="480" w:firstLineChars="200"/>
    </w:pPr>
    <w:rPr>
      <w:kern w:val="0"/>
    </w:rPr>
  </w:style>
  <w:style w:type="paragraph" w:customStyle="1" w:styleId="1369">
    <w:name w:val="Char Char Char1 Char Char Char Char Char Char Char Char Char Char Char Char Char Char Char Char Char Char Char Char Char Char Char Char Char Char Char Char Char Char Char Char Char Char Char Char Char Char Char Char Char Char Char Char Char"/>
    <w:basedOn w:val="1"/>
    <w:qFormat/>
    <w:uiPriority w:val="0"/>
    <w:pPr>
      <w:snapToGrid w:val="0"/>
      <w:spacing w:line="440" w:lineRule="atLeast"/>
      <w:ind w:firstLine="200" w:firstLineChars="200"/>
    </w:pPr>
    <w:rPr>
      <w:sz w:val="21"/>
      <w:szCs w:val="20"/>
    </w:rPr>
  </w:style>
  <w:style w:type="paragraph" w:customStyle="1" w:styleId="1370">
    <w:name w:val="Char Char Char1 Char Char Char Char Char Char Char Char Char Char Char Char Char Char Char Char Char Char Char Char Char Char Char Char Char Char Char Char"/>
    <w:basedOn w:val="1"/>
    <w:qFormat/>
    <w:uiPriority w:val="0"/>
    <w:pPr>
      <w:snapToGrid w:val="0"/>
      <w:spacing w:line="440" w:lineRule="atLeast"/>
      <w:ind w:firstLine="200" w:firstLineChars="200"/>
    </w:pPr>
    <w:rPr>
      <w:sz w:val="21"/>
      <w:szCs w:val="20"/>
    </w:rPr>
  </w:style>
  <w:style w:type="paragraph" w:customStyle="1" w:styleId="1371">
    <w:name w:val="Char Char Char1 Char Char Char Char Char Char Char Char Char"/>
    <w:basedOn w:val="1"/>
    <w:qFormat/>
    <w:uiPriority w:val="0"/>
    <w:pPr>
      <w:snapToGrid w:val="0"/>
      <w:spacing w:line="440" w:lineRule="atLeast"/>
      <w:ind w:firstLine="200" w:firstLineChars="200"/>
    </w:pPr>
    <w:rPr>
      <w:sz w:val="21"/>
      <w:szCs w:val="20"/>
    </w:rPr>
  </w:style>
  <w:style w:type="character" w:customStyle="1" w:styleId="1372">
    <w:name w:val="表格表格 Char"/>
    <w:link w:val="1373"/>
    <w:qFormat/>
    <w:locked/>
    <w:uiPriority w:val="0"/>
    <w:rPr>
      <w:color w:val="000000"/>
      <w:spacing w:val="-10"/>
      <w:kern w:val="24"/>
      <w:sz w:val="21"/>
      <w:szCs w:val="18"/>
      <w:lang w:val="zh-CN" w:eastAsia="zh-CN"/>
    </w:rPr>
  </w:style>
  <w:style w:type="paragraph" w:customStyle="1" w:styleId="1373">
    <w:name w:val="表格表格"/>
    <w:basedOn w:val="259"/>
    <w:link w:val="1372"/>
    <w:qFormat/>
    <w:uiPriority w:val="0"/>
    <w:pPr>
      <w:adjustRightInd/>
      <w:snapToGrid/>
      <w:spacing w:line="300" w:lineRule="exact"/>
    </w:pPr>
    <w:rPr>
      <w:rFonts w:hAnsi="Times New Roman"/>
      <w:snapToGrid/>
      <w:color w:val="000000"/>
      <w:spacing w:val="-10"/>
      <w:kern w:val="24"/>
      <w:szCs w:val="18"/>
      <w:lang w:val="zh-CN"/>
    </w:rPr>
  </w:style>
  <w:style w:type="paragraph" w:customStyle="1" w:styleId="1374">
    <w:name w:val="样式 表中文字 + 行距: 固定值 14 磅"/>
    <w:basedOn w:val="1"/>
    <w:qFormat/>
    <w:uiPriority w:val="0"/>
    <w:pPr>
      <w:widowControl/>
      <w:adjustRightInd w:val="0"/>
      <w:snapToGrid w:val="0"/>
      <w:spacing w:line="280" w:lineRule="exact"/>
      <w:jc w:val="center"/>
    </w:pPr>
    <w:rPr>
      <w:rFonts w:eastAsia="华文中宋"/>
      <w:kern w:val="0"/>
      <w:sz w:val="21"/>
      <w:szCs w:val="20"/>
    </w:rPr>
  </w:style>
  <w:style w:type="character" w:customStyle="1" w:styleId="1375">
    <w:name w:val="表格题目 Char"/>
    <w:link w:val="1376"/>
    <w:qFormat/>
    <w:locked/>
    <w:uiPriority w:val="0"/>
    <w:rPr>
      <w:rFonts w:ascii="黑体" w:hAnsi="黑体" w:eastAsia="黑体"/>
      <w:kern w:val="2"/>
      <w:sz w:val="24"/>
      <w:szCs w:val="24"/>
      <w:lang w:val="zh-CN" w:eastAsia="zh-CN"/>
    </w:rPr>
  </w:style>
  <w:style w:type="paragraph" w:customStyle="1" w:styleId="1376">
    <w:name w:val="表格题目"/>
    <w:basedOn w:val="1"/>
    <w:link w:val="1375"/>
    <w:qFormat/>
    <w:uiPriority w:val="0"/>
    <w:pPr>
      <w:ind w:firstLine="480" w:firstLineChars="200"/>
    </w:pPr>
    <w:rPr>
      <w:rFonts w:ascii="黑体" w:hAnsi="黑体" w:eastAsia="黑体"/>
      <w:lang w:val="zh-CN"/>
    </w:rPr>
  </w:style>
  <w:style w:type="paragraph" w:customStyle="1" w:styleId="1377">
    <w:name w:val="Char Char Char Char Char Char Char Char Char Char Char Char Char Char Char1 Char Char Char Char Char Char Char"/>
    <w:basedOn w:val="1"/>
    <w:qFormat/>
    <w:uiPriority w:val="0"/>
    <w:pPr>
      <w:tabs>
        <w:tab w:val="left" w:pos="360"/>
      </w:tabs>
      <w:snapToGrid w:val="0"/>
      <w:spacing w:line="360" w:lineRule="auto"/>
      <w:ind w:left="360" w:hanging="360"/>
    </w:pPr>
    <w:rPr>
      <w:rFonts w:ascii="宋体" w:hAnsi="宋体" w:cs="宋体"/>
    </w:rPr>
  </w:style>
  <w:style w:type="paragraph" w:customStyle="1" w:styleId="1378">
    <w:name w:val="正文首行缩进2"/>
    <w:basedOn w:val="1"/>
    <w:qFormat/>
    <w:uiPriority w:val="0"/>
    <w:pPr>
      <w:adjustRightInd w:val="0"/>
      <w:spacing w:line="300" w:lineRule="atLeast"/>
      <w:ind w:firstLine="539"/>
    </w:pPr>
    <w:rPr>
      <w:rFonts w:ascii="宋体"/>
      <w:kern w:val="0"/>
    </w:rPr>
  </w:style>
  <w:style w:type="paragraph" w:customStyle="1" w:styleId="1379">
    <w:name w:val="日期2"/>
    <w:basedOn w:val="1"/>
    <w:next w:val="1"/>
    <w:qFormat/>
    <w:uiPriority w:val="99"/>
    <w:pPr>
      <w:autoSpaceDE w:val="0"/>
      <w:autoSpaceDN w:val="0"/>
      <w:adjustRightInd w:val="0"/>
    </w:pPr>
    <w:rPr>
      <w:spacing w:val="5"/>
      <w:kern w:val="0"/>
      <w:szCs w:val="20"/>
    </w:rPr>
  </w:style>
  <w:style w:type="paragraph" w:customStyle="1" w:styleId="1380">
    <w:name w:val="无间隔10"/>
    <w:qFormat/>
    <w:uiPriority w:val="0"/>
    <w:pPr>
      <w:widowControl w:val="0"/>
      <w:adjustRightInd w:val="0"/>
      <w:jc w:val="both"/>
    </w:pPr>
    <w:rPr>
      <w:rFonts w:ascii="Times New Roman" w:hAnsi="Times New Roman" w:eastAsia="宋体" w:cs="Times New Roman"/>
      <w:kern w:val="2"/>
      <w:sz w:val="24"/>
      <w:szCs w:val="24"/>
      <w:lang w:val="en-US" w:eastAsia="zh-CN" w:bidi="ar-SA"/>
    </w:rPr>
  </w:style>
  <w:style w:type="paragraph" w:customStyle="1" w:styleId="1381">
    <w:name w:val="列出段落4"/>
    <w:basedOn w:val="1"/>
    <w:qFormat/>
    <w:uiPriority w:val="0"/>
    <w:pPr>
      <w:adjustRightInd w:val="0"/>
      <w:spacing w:line="360" w:lineRule="auto"/>
      <w:ind w:firstLine="420" w:firstLineChars="200"/>
    </w:pPr>
    <w:rPr>
      <w:lang w:val="zh-CN"/>
    </w:rPr>
  </w:style>
  <w:style w:type="paragraph" w:customStyle="1" w:styleId="1382">
    <w:name w:val="TOC 标题31"/>
    <w:basedOn w:val="3"/>
    <w:next w:val="1"/>
    <w:qFormat/>
    <w:uiPriority w:val="0"/>
    <w:pPr>
      <w:keepLines/>
      <w:widowControl/>
      <w:numPr>
        <w:numId w:val="0"/>
      </w:numPr>
      <w:tabs>
        <w:tab w:val="clear" w:pos="0"/>
      </w:tabs>
      <w:spacing w:line="276" w:lineRule="auto"/>
      <w:jc w:val="left"/>
      <w:outlineLvl w:val="9"/>
    </w:pPr>
    <w:rPr>
      <w:rFonts w:ascii="Cambria" w:hAnsi="Cambria" w:cs="Cambria"/>
      <w:bCs/>
      <w:color w:val="365F91"/>
      <w:kern w:val="0"/>
      <w:sz w:val="28"/>
      <w:szCs w:val="28"/>
    </w:rPr>
  </w:style>
  <w:style w:type="paragraph" w:customStyle="1" w:styleId="1383">
    <w:name w:val="Char Char Char Char1 Char Char Char Char Char Char Char Char Char2 Char Char"/>
    <w:basedOn w:val="1"/>
    <w:qFormat/>
    <w:uiPriority w:val="0"/>
    <w:pPr>
      <w:ind w:firstLine="200" w:firstLineChars="200"/>
    </w:pPr>
    <w:rPr>
      <w:rFonts w:eastAsia="黑体" w:cs="宋体"/>
      <w:b/>
      <w:bCs/>
      <w:color w:val="000000"/>
      <w:sz w:val="32"/>
      <w:szCs w:val="32"/>
    </w:rPr>
  </w:style>
  <w:style w:type="paragraph" w:customStyle="1" w:styleId="1384">
    <w:name w:val="1正文段落"/>
    <w:basedOn w:val="1"/>
    <w:link w:val="2591"/>
    <w:qFormat/>
    <w:uiPriority w:val="0"/>
    <w:pPr>
      <w:snapToGrid w:val="0"/>
      <w:spacing w:line="360" w:lineRule="auto"/>
      <w:ind w:firstLine="200" w:firstLineChars="200"/>
      <w:jc w:val="left"/>
    </w:pPr>
    <w:rPr>
      <w:kern w:val="0"/>
    </w:rPr>
  </w:style>
  <w:style w:type="character" w:customStyle="1" w:styleId="1385">
    <w:name w:val="fy-G表格文 Char"/>
    <w:link w:val="1386"/>
    <w:qFormat/>
    <w:locked/>
    <w:uiPriority w:val="0"/>
    <w:rPr>
      <w:sz w:val="24"/>
      <w:szCs w:val="24"/>
    </w:rPr>
  </w:style>
  <w:style w:type="paragraph" w:customStyle="1" w:styleId="1386">
    <w:name w:val="fy-G表格文"/>
    <w:basedOn w:val="1"/>
    <w:link w:val="1385"/>
    <w:qFormat/>
    <w:uiPriority w:val="0"/>
    <w:pPr>
      <w:adjustRightInd w:val="0"/>
      <w:snapToGrid w:val="0"/>
      <w:spacing w:line="240" w:lineRule="atLeast"/>
      <w:jc w:val="center"/>
    </w:pPr>
    <w:rPr>
      <w:kern w:val="0"/>
    </w:rPr>
  </w:style>
  <w:style w:type="paragraph" w:customStyle="1" w:styleId="1387">
    <w:name w:val="正文五号"/>
    <w:basedOn w:val="1"/>
    <w:next w:val="1"/>
    <w:uiPriority w:val="0"/>
    <w:pPr>
      <w:jc w:val="center"/>
    </w:pPr>
    <w:rPr>
      <w:rFonts w:ascii="宋体" w:hAnsi="宋体"/>
      <w:kern w:val="0"/>
      <w:sz w:val="21"/>
      <w:szCs w:val="28"/>
    </w:rPr>
  </w:style>
  <w:style w:type="paragraph" w:customStyle="1" w:styleId="1388">
    <w:name w:val="样式 样式 样式 样式 正文缩进文本条款表格标题正文（首行缩进两字） Char Char Char Char Char Char..."/>
    <w:basedOn w:val="1"/>
    <w:qFormat/>
    <w:uiPriority w:val="0"/>
    <w:pPr>
      <w:tabs>
        <w:tab w:val="left" w:pos="283"/>
      </w:tabs>
      <w:adjustRightInd w:val="0"/>
      <w:snapToGrid w:val="0"/>
      <w:spacing w:line="480" w:lineRule="atLeast"/>
      <w:ind w:firstLine="200" w:firstLineChars="200"/>
    </w:pPr>
    <w:rPr>
      <w:rFonts w:eastAsia="仿宋_GB2312" w:cs="宋体"/>
      <w:kern w:val="0"/>
      <w:sz w:val="28"/>
      <w:szCs w:val="20"/>
    </w:rPr>
  </w:style>
  <w:style w:type="paragraph" w:customStyle="1" w:styleId="1389">
    <w:name w:val="图题注"/>
    <w:basedOn w:val="22"/>
    <w:qFormat/>
    <w:uiPriority w:val="0"/>
    <w:pPr>
      <w:snapToGrid w:val="0"/>
      <w:spacing w:before="120" w:after="240"/>
    </w:pPr>
    <w:rPr>
      <w:rFonts w:ascii="黑体" w:hAnsi="Arial" w:eastAsia="黑体"/>
      <w:b w:val="0"/>
      <w:kern w:val="0"/>
      <w:sz w:val="21"/>
      <w:szCs w:val="21"/>
    </w:rPr>
  </w:style>
  <w:style w:type="character" w:customStyle="1" w:styleId="1390">
    <w:name w:val="fy-G报告正文 Char"/>
    <w:link w:val="1391"/>
    <w:qFormat/>
    <w:locked/>
    <w:uiPriority w:val="0"/>
    <w:rPr>
      <w:color w:val="000000"/>
      <w:kern w:val="2"/>
      <w:sz w:val="28"/>
      <w:szCs w:val="28"/>
    </w:rPr>
  </w:style>
  <w:style w:type="paragraph" w:customStyle="1" w:styleId="1391">
    <w:name w:val="fy-G报告正文"/>
    <w:basedOn w:val="1"/>
    <w:link w:val="1390"/>
    <w:qFormat/>
    <w:uiPriority w:val="0"/>
    <w:pPr>
      <w:widowControl/>
      <w:spacing w:line="360" w:lineRule="auto"/>
      <w:ind w:firstLine="200" w:firstLineChars="200"/>
    </w:pPr>
    <w:rPr>
      <w:color w:val="000000"/>
      <w:sz w:val="28"/>
      <w:szCs w:val="28"/>
    </w:rPr>
  </w:style>
  <w:style w:type="paragraph" w:customStyle="1" w:styleId="1392">
    <w:name w:val="表头4号"/>
    <w:basedOn w:val="1"/>
    <w:qFormat/>
    <w:uiPriority w:val="0"/>
    <w:pPr>
      <w:spacing w:line="336" w:lineRule="auto"/>
      <w:ind w:firstLine="200" w:firstLineChars="200"/>
      <w:jc w:val="left"/>
    </w:pPr>
    <w:rPr>
      <w:rFonts w:ascii="宋体" w:hAnsi="宋体"/>
      <w:b/>
      <w:bCs/>
      <w:kern w:val="0"/>
      <w:sz w:val="28"/>
      <w:szCs w:val="28"/>
    </w:rPr>
  </w:style>
  <w:style w:type="character" w:customStyle="1" w:styleId="1393">
    <w:name w:val="cucd-TB-Head Char Char"/>
    <w:link w:val="1394"/>
    <w:qFormat/>
    <w:locked/>
    <w:uiPriority w:val="0"/>
    <w:rPr>
      <w:rFonts w:ascii="黑体" w:hAnsi="黑体" w:eastAsia="黑体"/>
      <w:sz w:val="24"/>
      <w:szCs w:val="24"/>
    </w:rPr>
  </w:style>
  <w:style w:type="paragraph" w:customStyle="1" w:styleId="1394">
    <w:name w:val="cucd-TB-Head"/>
    <w:basedOn w:val="1"/>
    <w:next w:val="1"/>
    <w:link w:val="1393"/>
    <w:qFormat/>
    <w:uiPriority w:val="0"/>
    <w:pPr>
      <w:spacing w:line="360" w:lineRule="auto"/>
      <w:jc w:val="center"/>
    </w:pPr>
    <w:rPr>
      <w:rFonts w:ascii="黑体" w:hAnsi="黑体" w:eastAsia="黑体"/>
      <w:kern w:val="0"/>
    </w:rPr>
  </w:style>
  <w:style w:type="character" w:customStyle="1" w:styleId="1395">
    <w:name w:val="易四级标题 Char"/>
    <w:link w:val="1396"/>
    <w:qFormat/>
    <w:locked/>
    <w:uiPriority w:val="0"/>
    <w:rPr>
      <w:rFonts w:ascii="黑体" w:hAnsi="黑体" w:eastAsia="黑体"/>
      <w:bCs/>
      <w:sz w:val="24"/>
    </w:rPr>
  </w:style>
  <w:style w:type="paragraph" w:customStyle="1" w:styleId="1396">
    <w:name w:val="易四级标题"/>
    <w:basedOn w:val="1"/>
    <w:link w:val="1395"/>
    <w:qFormat/>
    <w:uiPriority w:val="0"/>
    <w:pPr>
      <w:keepNext/>
      <w:keepLines/>
      <w:spacing w:beforeLines="50" w:afterLines="50" w:line="360" w:lineRule="auto"/>
      <w:outlineLvl w:val="3"/>
    </w:pPr>
    <w:rPr>
      <w:rFonts w:ascii="黑体" w:hAnsi="黑体" w:eastAsia="黑体"/>
      <w:bCs/>
      <w:kern w:val="0"/>
      <w:szCs w:val="20"/>
    </w:rPr>
  </w:style>
  <w:style w:type="paragraph" w:customStyle="1" w:styleId="1397">
    <w:name w:val="表内文字"/>
    <w:basedOn w:val="1"/>
    <w:qFormat/>
    <w:uiPriority w:val="0"/>
    <w:pPr>
      <w:adjustRightInd w:val="0"/>
      <w:spacing w:line="320" w:lineRule="atLeast"/>
      <w:jc w:val="center"/>
    </w:pPr>
    <w:rPr>
      <w:rFonts w:eastAsia="楷体_GB2312"/>
      <w:kern w:val="0"/>
      <w:sz w:val="21"/>
      <w:szCs w:val="21"/>
    </w:rPr>
  </w:style>
  <w:style w:type="character" w:customStyle="1" w:styleId="1398">
    <w:name w:val="表内字 Char"/>
    <w:link w:val="1399"/>
    <w:qFormat/>
    <w:locked/>
    <w:uiPriority w:val="0"/>
    <w:rPr>
      <w:rFonts w:ascii="Arial" w:hAnsi="Arial" w:cs="Arial"/>
      <w:szCs w:val="21"/>
    </w:rPr>
  </w:style>
  <w:style w:type="paragraph" w:customStyle="1" w:styleId="1399">
    <w:name w:val="表内字"/>
    <w:basedOn w:val="1"/>
    <w:link w:val="1398"/>
    <w:qFormat/>
    <w:uiPriority w:val="0"/>
    <w:pPr>
      <w:spacing w:line="300" w:lineRule="exact"/>
      <w:jc w:val="center"/>
    </w:pPr>
    <w:rPr>
      <w:rFonts w:ascii="Arial" w:hAnsi="Arial" w:cs="Arial"/>
      <w:kern w:val="0"/>
      <w:sz w:val="20"/>
      <w:szCs w:val="21"/>
    </w:rPr>
  </w:style>
  <w:style w:type="paragraph" w:customStyle="1" w:styleId="1400">
    <w:name w:val="样式 标题 2 + Times New Roman 四号 非加粗"/>
    <w:basedOn w:val="4"/>
    <w:link w:val="1890"/>
    <w:qFormat/>
    <w:uiPriority w:val="0"/>
    <w:pPr>
      <w:numPr>
        <w:ilvl w:val="0"/>
        <w:numId w:val="0"/>
      </w:numPr>
      <w:tabs>
        <w:tab w:val="left" w:pos="720"/>
      </w:tabs>
      <w:spacing w:before="120" w:after="120"/>
    </w:pPr>
    <w:rPr>
      <w:b w:val="0"/>
      <w:bCs w:val="0"/>
      <w:sz w:val="30"/>
    </w:rPr>
  </w:style>
  <w:style w:type="paragraph" w:customStyle="1" w:styleId="1401">
    <w:name w:val="msonormal"/>
    <w:basedOn w:val="1"/>
    <w:qFormat/>
    <w:uiPriority w:val="0"/>
    <w:pPr>
      <w:widowControl/>
      <w:spacing w:before="100" w:beforeAutospacing="1" w:after="100" w:afterAutospacing="1"/>
      <w:jc w:val="left"/>
    </w:pPr>
    <w:rPr>
      <w:rFonts w:ascii="宋体" w:hAnsi="宋体" w:cs="宋体"/>
      <w:kern w:val="0"/>
    </w:rPr>
  </w:style>
  <w:style w:type="character" w:customStyle="1" w:styleId="1402">
    <w:name w:val="表1.1-1 字符"/>
    <w:link w:val="1403"/>
    <w:qFormat/>
    <w:locked/>
    <w:uiPriority w:val="0"/>
    <w:rPr>
      <w:b/>
      <w:bCs/>
      <w:color w:val="000000"/>
      <w:sz w:val="24"/>
      <w:szCs w:val="24"/>
      <w:lang w:bidi="zh-CN"/>
    </w:rPr>
  </w:style>
  <w:style w:type="paragraph" w:customStyle="1" w:styleId="1403">
    <w:name w:val="表1.1-1"/>
    <w:basedOn w:val="1009"/>
    <w:link w:val="1402"/>
    <w:qFormat/>
    <w:uiPriority w:val="0"/>
    <w:pPr>
      <w:keepNext/>
      <w:keepLines/>
      <w:widowControl/>
      <w:autoSpaceDE/>
      <w:autoSpaceDN/>
      <w:adjustRightInd/>
      <w:snapToGrid/>
      <w:ind w:firstLine="480"/>
      <w:textAlignment w:val="auto"/>
      <w:outlineLvl w:val="4"/>
    </w:pPr>
    <w:rPr>
      <w:b/>
      <w:bCs/>
      <w:color w:val="000000"/>
      <w:szCs w:val="24"/>
      <w:lang w:bidi="zh-CN"/>
    </w:rPr>
  </w:style>
  <w:style w:type="character" w:styleId="1404">
    <w:name w:val="Placeholder Text"/>
    <w:semiHidden/>
    <w:qFormat/>
    <w:uiPriority w:val="99"/>
    <w:rPr>
      <w:color w:val="808080"/>
    </w:rPr>
  </w:style>
  <w:style w:type="character" w:customStyle="1" w:styleId="1405">
    <w:name w:val="不明显参考1"/>
    <w:qFormat/>
    <w:uiPriority w:val="31"/>
    <w:rPr>
      <w:smallCaps/>
      <w:color w:val="5A5A5A"/>
    </w:rPr>
  </w:style>
  <w:style w:type="character" w:customStyle="1" w:styleId="1406">
    <w:name w:val="hei141"/>
    <w:qFormat/>
    <w:uiPriority w:val="0"/>
    <w:rPr>
      <w:color w:val="000000"/>
      <w:sz w:val="15"/>
      <w:szCs w:val="15"/>
      <w:u w:val="none"/>
    </w:rPr>
  </w:style>
  <w:style w:type="character" w:customStyle="1" w:styleId="1407">
    <w:name w:val="p18-hei"/>
    <w:basedOn w:val="133"/>
    <w:qFormat/>
    <w:uiPriority w:val="0"/>
  </w:style>
  <w:style w:type="character" w:customStyle="1" w:styleId="1408">
    <w:name w:val="font3"/>
    <w:basedOn w:val="133"/>
    <w:qFormat/>
    <w:uiPriority w:val="0"/>
  </w:style>
  <w:style w:type="character" w:customStyle="1" w:styleId="1409">
    <w:name w:val="普通文字 + 行距: 1.5 倍行距 Char"/>
    <w:qFormat/>
    <w:uiPriority w:val="0"/>
    <w:rPr>
      <w:rFonts w:hint="eastAsia" w:ascii="宋体" w:hAnsi="Courier New" w:eastAsia="宋体"/>
      <w:kern w:val="2"/>
      <w:sz w:val="21"/>
      <w:lang w:val="en-US" w:eastAsia="zh-CN" w:bidi="ar-SA"/>
    </w:rPr>
  </w:style>
  <w:style w:type="character" w:customStyle="1" w:styleId="1410">
    <w:name w:val="ourfont2"/>
    <w:basedOn w:val="133"/>
    <w:qFormat/>
    <w:uiPriority w:val="0"/>
  </w:style>
  <w:style w:type="character" w:customStyle="1" w:styleId="1411">
    <w:name w:val="lineh151"/>
    <w:basedOn w:val="133"/>
    <w:qFormat/>
    <w:uiPriority w:val="0"/>
  </w:style>
  <w:style w:type="character" w:customStyle="1" w:styleId="1412">
    <w:name w:val="正文缩进11"/>
    <w:qFormat/>
    <w:uiPriority w:val="0"/>
    <w:rPr>
      <w:kern w:val="2"/>
      <w:sz w:val="21"/>
      <w:szCs w:val="24"/>
    </w:rPr>
  </w:style>
  <w:style w:type="character" w:customStyle="1" w:styleId="1413">
    <w:name w:val="样式 样式 黑体 三号 加粗 + (中文) 黑体"/>
    <w:qFormat/>
    <w:uiPriority w:val="0"/>
    <w:rPr>
      <w:rFonts w:hint="default" w:ascii="Times New Roman" w:hAnsi="Times New Roman" w:eastAsia="宋体" w:cs="Times New Roman"/>
      <w:b/>
      <w:bCs/>
      <w:kern w:val="44"/>
      <w:sz w:val="24"/>
      <w:szCs w:val="24"/>
    </w:rPr>
  </w:style>
  <w:style w:type="character" w:customStyle="1" w:styleId="1414">
    <w:name w:val="Char Char22"/>
    <w:qFormat/>
    <w:uiPriority w:val="0"/>
    <w:rPr>
      <w:rFonts w:hint="eastAsia" w:ascii="宋体" w:hAnsi="宋体" w:eastAsia="宋体"/>
      <w:b/>
      <w:bCs/>
      <w:kern w:val="44"/>
      <w:sz w:val="36"/>
      <w:szCs w:val="44"/>
      <w:lang w:val="en-US" w:eastAsia="zh-CN" w:bidi="ar-SA"/>
    </w:rPr>
  </w:style>
  <w:style w:type="character" w:customStyle="1" w:styleId="1415">
    <w:name w:val="Char Char21"/>
    <w:qFormat/>
    <w:uiPriority w:val="0"/>
    <w:rPr>
      <w:rFonts w:hint="eastAsia" w:ascii="宋体" w:hAnsi="宋体" w:eastAsia="宋体"/>
      <w:b/>
      <w:bCs/>
      <w:kern w:val="2"/>
      <w:sz w:val="30"/>
      <w:szCs w:val="32"/>
      <w:lang w:val="en-US" w:eastAsia="zh-CN" w:bidi="ar-SA"/>
    </w:rPr>
  </w:style>
  <w:style w:type="character" w:customStyle="1" w:styleId="1416">
    <w:name w:val="Char Char20"/>
    <w:qFormat/>
    <w:uiPriority w:val="0"/>
    <w:rPr>
      <w:rFonts w:hint="eastAsia" w:ascii="宋体" w:hAnsi="宋体" w:eastAsia="宋体"/>
      <w:b/>
      <w:bCs/>
      <w:kern w:val="2"/>
      <w:sz w:val="28"/>
      <w:szCs w:val="32"/>
      <w:lang w:val="en-US" w:eastAsia="zh-CN" w:bidi="ar-SA"/>
    </w:rPr>
  </w:style>
  <w:style w:type="character" w:customStyle="1" w:styleId="1417">
    <w:name w:val="123YJ Char Char"/>
    <w:qFormat/>
    <w:uiPriority w:val="0"/>
    <w:rPr>
      <w:rFonts w:hint="default" w:ascii="Times New Roman" w:hAnsi="Times New Roman" w:eastAsia="宋体" w:cs="Times New Roman"/>
      <w:sz w:val="18"/>
      <w:szCs w:val="18"/>
    </w:rPr>
  </w:style>
  <w:style w:type="character" w:customStyle="1" w:styleId="1418">
    <w:name w:val="aaa1"/>
    <w:qFormat/>
    <w:uiPriority w:val="0"/>
    <w:rPr>
      <w:sz w:val="22"/>
      <w:szCs w:val="22"/>
    </w:rPr>
  </w:style>
  <w:style w:type="character" w:customStyle="1" w:styleId="1419">
    <w:name w:val="样式 小五"/>
    <w:qFormat/>
    <w:uiPriority w:val="0"/>
    <w:rPr>
      <w:sz w:val="18"/>
      <w:szCs w:val="18"/>
      <w:u w:val="none"/>
      <w:vertAlign w:val="baseline"/>
    </w:rPr>
  </w:style>
  <w:style w:type="character" w:customStyle="1" w:styleId="1420">
    <w:name w:val="正文文本缩进 22"/>
    <w:qFormat/>
    <w:uiPriority w:val="0"/>
    <w:rPr>
      <w:rFonts w:hint="eastAsia" w:ascii="宋体" w:hAnsi="宋体" w:eastAsia="宋体"/>
      <w:kern w:val="2"/>
      <w:sz w:val="24"/>
      <w:szCs w:val="24"/>
      <w:lang w:val="en-US" w:eastAsia="zh-CN" w:bidi="ar-SA"/>
    </w:rPr>
  </w:style>
  <w:style w:type="character" w:customStyle="1" w:styleId="1421">
    <w:name w:val="Char1 Char Char"/>
    <w:qFormat/>
    <w:uiPriority w:val="0"/>
    <w:rPr>
      <w:rFonts w:hint="eastAsia" w:ascii="宋体" w:hAnsi="宋体" w:eastAsia="宋体"/>
      <w:b/>
      <w:bCs/>
      <w:kern w:val="2"/>
      <w:sz w:val="28"/>
      <w:szCs w:val="28"/>
      <w:lang w:val="en-US" w:eastAsia="zh-CN" w:bidi="ar-SA"/>
    </w:rPr>
  </w:style>
  <w:style w:type="character" w:customStyle="1" w:styleId="1422">
    <w:name w:val="样式 黑体 三号 加粗"/>
    <w:qFormat/>
    <w:uiPriority w:val="0"/>
    <w:rPr>
      <w:rFonts w:hint="eastAsia" w:ascii="黑体" w:hAnsi="黑体" w:eastAsia="Times New Roman"/>
      <w:b/>
      <w:bCs/>
      <w:kern w:val="44"/>
      <w:sz w:val="32"/>
    </w:rPr>
  </w:style>
  <w:style w:type="character" w:customStyle="1" w:styleId="1423">
    <w:name w:val="样式8 Char Char"/>
    <w:qFormat/>
    <w:uiPriority w:val="0"/>
    <w:rPr>
      <w:rFonts w:hint="eastAsia" w:ascii="宋体" w:hAnsi="宋体" w:eastAsia="宋体"/>
      <w:kern w:val="2"/>
      <w:sz w:val="24"/>
      <w:szCs w:val="24"/>
      <w:lang w:val="en-US" w:eastAsia="zh-CN" w:bidi="ar-SA"/>
    </w:rPr>
  </w:style>
  <w:style w:type="character" w:customStyle="1" w:styleId="1424">
    <w:name w:val="表格内容 Char Char Char"/>
    <w:qFormat/>
    <w:uiPriority w:val="0"/>
    <w:rPr>
      <w:rFonts w:hint="eastAsia" w:ascii="宋体" w:hAnsi="宋体" w:eastAsia="宋体"/>
      <w:color w:val="000000"/>
      <w:kern w:val="2"/>
      <w:sz w:val="21"/>
      <w:szCs w:val="16"/>
      <w:lang w:val="en-US" w:eastAsia="zh-CN" w:bidi="ar-SA"/>
    </w:rPr>
  </w:style>
  <w:style w:type="character" w:customStyle="1" w:styleId="1425">
    <w:name w:val="tpc_content1"/>
    <w:qFormat/>
    <w:uiPriority w:val="0"/>
    <w:rPr>
      <w:sz w:val="20"/>
      <w:szCs w:val="20"/>
    </w:rPr>
  </w:style>
  <w:style w:type="character" w:customStyle="1" w:styleId="1426">
    <w:name w:val="ju1"/>
    <w:qFormat/>
    <w:uiPriority w:val="0"/>
    <w:rPr>
      <w:rFonts w:hint="default" w:ascii="ˎ̥" w:hAnsi="ˎ̥"/>
      <w:color w:val="F06000"/>
      <w:sz w:val="20"/>
      <w:szCs w:val="20"/>
    </w:rPr>
  </w:style>
  <w:style w:type="character" w:customStyle="1" w:styleId="1427">
    <w:name w:val="Char Char Char Char1 Char1 Char"/>
    <w:qFormat/>
    <w:uiPriority w:val="0"/>
    <w:rPr>
      <w:rFonts w:hint="eastAsia" w:ascii="宋体" w:hAnsi="宋体" w:eastAsia="宋体"/>
      <w:kern w:val="2"/>
      <w:sz w:val="24"/>
      <w:szCs w:val="24"/>
      <w:lang w:val="en-US" w:eastAsia="zh-CN" w:bidi="ar-SA"/>
    </w:rPr>
  </w:style>
  <w:style w:type="character" w:customStyle="1" w:styleId="1428">
    <w:name w:val="标题 7 Char Char Char Char Char Char Char Char"/>
    <w:qFormat/>
    <w:uiPriority w:val="0"/>
    <w:rPr>
      <w:rFonts w:hint="eastAsia" w:ascii="华文细黑" w:hAnsi="华文细黑" w:eastAsia="华文细黑"/>
      <w:i/>
      <w:snapToGrid/>
      <w:spacing w:val="10"/>
      <w:kern w:val="28"/>
      <w:sz w:val="28"/>
      <w:lang w:val="en-US" w:eastAsia="zh-CN" w:bidi="ar-SA"/>
    </w:rPr>
  </w:style>
  <w:style w:type="character" w:customStyle="1" w:styleId="1429">
    <w:name w:val="copy21"/>
    <w:qFormat/>
    <w:uiPriority w:val="0"/>
    <w:rPr>
      <w:rFonts w:hint="default" w:ascii="ˎ̥" w:hAnsi="ˎ̥"/>
      <w:color w:val="525252"/>
      <w:sz w:val="18"/>
      <w:szCs w:val="18"/>
    </w:rPr>
  </w:style>
  <w:style w:type="character" w:customStyle="1" w:styleId="1430">
    <w:name w:val="Char Char Char1 Char Char1 Char Char"/>
    <w:uiPriority w:val="0"/>
    <w:rPr>
      <w:rFonts w:hint="eastAsia" w:ascii="宋体" w:hAnsi="宋体" w:eastAsia="宋体"/>
      <w:kern w:val="2"/>
      <w:sz w:val="24"/>
      <w:szCs w:val="24"/>
      <w:lang w:val="en-US" w:eastAsia="zh-CN" w:bidi="ar-SA"/>
    </w:rPr>
  </w:style>
  <w:style w:type="character" w:customStyle="1" w:styleId="1431">
    <w:name w:val="正文文本缩进 23"/>
    <w:qFormat/>
    <w:uiPriority w:val="0"/>
    <w:rPr>
      <w:rFonts w:hint="eastAsia" w:ascii="宋体" w:hAnsi="宋体" w:eastAsia="宋体"/>
      <w:kern w:val="2"/>
      <w:sz w:val="24"/>
      <w:szCs w:val="24"/>
      <w:lang w:val="en-US" w:eastAsia="zh-CN" w:bidi="ar-SA"/>
    </w:rPr>
  </w:style>
  <w:style w:type="character" w:customStyle="1" w:styleId="1432">
    <w:name w:val="songp1"/>
    <w:qFormat/>
    <w:uiPriority w:val="0"/>
    <w:rPr>
      <w:rFonts w:hint="eastAsia" w:ascii="宋体" w:hAnsi="宋体" w:eastAsia="宋体" w:cs="宋体"/>
      <w:kern w:val="2"/>
      <w:sz w:val="24"/>
      <w:szCs w:val="24"/>
      <w:lang w:val="en-US" w:eastAsia="zh-CN" w:bidi="ar-SA"/>
    </w:rPr>
  </w:style>
  <w:style w:type="character" w:customStyle="1" w:styleId="1433">
    <w:name w:val="text1"/>
    <w:qFormat/>
    <w:uiPriority w:val="0"/>
    <w:rPr>
      <w:rFonts w:hint="eastAsia" w:ascii="宋体" w:hAnsi="宋体" w:eastAsia="宋体" w:cs="宋体"/>
      <w:kern w:val="2"/>
      <w:sz w:val="18"/>
      <w:szCs w:val="18"/>
      <w:u w:val="none"/>
      <w:lang w:val="en-US" w:eastAsia="zh-CN" w:bidi="ar-SA"/>
    </w:rPr>
  </w:style>
  <w:style w:type="character" w:customStyle="1" w:styleId="1434">
    <w:name w:val="content-text1"/>
    <w:qFormat/>
    <w:uiPriority w:val="0"/>
    <w:rPr>
      <w:rFonts w:hint="default" w:ascii="Verdana" w:hAnsi="Verdana" w:eastAsia="宋体" w:cs="宋体"/>
      <w:kern w:val="2"/>
      <w:sz w:val="20"/>
      <w:szCs w:val="20"/>
      <w:lang w:val="en-US" w:eastAsia="zh-CN" w:bidi="ar-SA"/>
    </w:rPr>
  </w:style>
  <w:style w:type="character" w:customStyle="1" w:styleId="1435">
    <w:name w:val="tt2"/>
    <w:qFormat/>
    <w:uiPriority w:val="0"/>
    <w:rPr>
      <w:rFonts w:hint="eastAsia" w:ascii="宋体" w:hAnsi="宋体" w:eastAsia="宋体" w:cs="宋体"/>
      <w:kern w:val="2"/>
      <w:sz w:val="24"/>
      <w:szCs w:val="24"/>
      <w:lang w:val="en-US" w:eastAsia="zh-CN" w:bidi="ar-SA"/>
    </w:rPr>
  </w:style>
  <w:style w:type="character" w:customStyle="1" w:styleId="1436">
    <w:name w:val="style171"/>
    <w:qFormat/>
    <w:uiPriority w:val="0"/>
    <w:rPr>
      <w:rFonts w:hint="eastAsia" w:ascii="宋体" w:hAnsi="宋体" w:eastAsia="宋体" w:cs="宋体"/>
      <w:kern w:val="2"/>
      <w:sz w:val="21"/>
      <w:szCs w:val="21"/>
      <w:lang w:val="en-US" w:eastAsia="zh-CN" w:bidi="ar-SA"/>
    </w:rPr>
  </w:style>
  <w:style w:type="character" w:customStyle="1" w:styleId="1437">
    <w:name w:val="grame"/>
    <w:uiPriority w:val="0"/>
    <w:rPr>
      <w:rFonts w:hint="eastAsia" w:ascii="宋体" w:hAnsi="宋体" w:eastAsia="宋体" w:cs="宋体"/>
      <w:kern w:val="2"/>
      <w:sz w:val="24"/>
      <w:szCs w:val="24"/>
      <w:lang w:val="en-US" w:eastAsia="zh-CN" w:bidi="ar-SA"/>
    </w:rPr>
  </w:style>
  <w:style w:type="character" w:customStyle="1" w:styleId="1438">
    <w:name w:val="p201"/>
    <w:qFormat/>
    <w:uiPriority w:val="0"/>
    <w:rPr>
      <w:rFonts w:hint="eastAsia" w:ascii="宋体" w:hAnsi="宋体" w:eastAsia="宋体" w:cs="宋体"/>
      <w:b/>
      <w:bCs/>
      <w:color w:val="FF6600"/>
      <w:kern w:val="2"/>
      <w:sz w:val="32"/>
      <w:szCs w:val="32"/>
      <w:lang w:val="en-US" w:eastAsia="zh-CN" w:bidi="ar-SA"/>
    </w:rPr>
  </w:style>
  <w:style w:type="character" w:customStyle="1" w:styleId="1439">
    <w:name w:val="tit2"/>
    <w:qFormat/>
    <w:uiPriority w:val="0"/>
    <w:rPr>
      <w:rFonts w:hint="eastAsia" w:ascii="宋体" w:hAnsi="宋体" w:eastAsia="宋体" w:cs="宋体"/>
      <w:b/>
      <w:bCs/>
      <w:kern w:val="2"/>
      <w:sz w:val="48"/>
      <w:szCs w:val="48"/>
      <w:lang w:val="en-US" w:eastAsia="zh-CN" w:bidi="ar-SA"/>
    </w:rPr>
  </w:style>
  <w:style w:type="character" w:customStyle="1" w:styleId="1440">
    <w:name w:val="正文文本缩进 2 Char2 Char11"/>
    <w:qFormat/>
    <w:uiPriority w:val="0"/>
    <w:rPr>
      <w:rFonts w:hint="eastAsia" w:ascii="宋体" w:hAnsi="宋体" w:eastAsia="宋体" w:cs="宋体"/>
      <w:kern w:val="2"/>
      <w:sz w:val="24"/>
      <w:szCs w:val="24"/>
      <w:lang w:val="en-US" w:eastAsia="zh-CN" w:bidi="ar-SA"/>
    </w:rPr>
  </w:style>
  <w:style w:type="character" w:customStyle="1" w:styleId="1441">
    <w:name w:val="表头 Char1"/>
    <w:qFormat/>
    <w:uiPriority w:val="0"/>
    <w:rPr>
      <w:rFonts w:hint="eastAsia" w:ascii="宋体" w:hAnsi="宋体" w:eastAsia="宋体" w:cs="宋体"/>
      <w:b/>
      <w:color w:val="000000"/>
      <w:kern w:val="2"/>
      <w:sz w:val="21"/>
      <w:szCs w:val="21"/>
      <w:lang w:val="en-US" w:eastAsia="zh-CN" w:bidi="ar-SA"/>
    </w:rPr>
  </w:style>
  <w:style w:type="character" w:customStyle="1" w:styleId="1442">
    <w:name w:val="extraurl22"/>
    <w:qFormat/>
    <w:uiPriority w:val="0"/>
    <w:rPr>
      <w:color w:val="AAAAAA"/>
      <w:sz w:val="14"/>
      <w:szCs w:val="14"/>
    </w:rPr>
  </w:style>
  <w:style w:type="character" w:customStyle="1" w:styleId="1443">
    <w:name w:val="Char Char Char Char3"/>
    <w:qFormat/>
    <w:uiPriority w:val="0"/>
    <w:rPr>
      <w:rFonts w:hint="eastAsia" w:ascii="宋体" w:hAnsi="宋体" w:eastAsia="宋体" w:cs="宋体"/>
      <w:kern w:val="2"/>
      <w:sz w:val="24"/>
      <w:szCs w:val="24"/>
      <w:lang w:val="en-US" w:eastAsia="zh-CN" w:bidi="ar-SA"/>
    </w:rPr>
  </w:style>
  <w:style w:type="character" w:customStyle="1" w:styleId="1444">
    <w:name w:val="标题6 Char"/>
    <w:qFormat/>
    <w:uiPriority w:val="0"/>
    <w:rPr>
      <w:rFonts w:hint="eastAsia" w:ascii="黑体" w:hAnsi="宋体" w:eastAsia="黑体"/>
      <w:bCs/>
      <w:sz w:val="24"/>
      <w:szCs w:val="24"/>
      <w:lang w:val="en-US" w:eastAsia="zh-CN" w:bidi="ar-SA"/>
    </w:rPr>
  </w:style>
  <w:style w:type="character" w:customStyle="1" w:styleId="1445">
    <w:name w:val="th_text"/>
    <w:basedOn w:val="133"/>
    <w:qFormat/>
    <w:uiPriority w:val="0"/>
  </w:style>
  <w:style w:type="character" w:customStyle="1" w:styleId="1446">
    <w:name w:val="font9black"/>
    <w:basedOn w:val="133"/>
    <w:qFormat/>
    <w:uiPriority w:val="0"/>
  </w:style>
  <w:style w:type="character" w:customStyle="1" w:styleId="1447">
    <w:name w:val="text"/>
    <w:basedOn w:val="133"/>
    <w:qFormat/>
    <w:uiPriority w:val="0"/>
  </w:style>
  <w:style w:type="character" w:customStyle="1" w:styleId="1448">
    <w:name w:val="mt5"/>
    <w:basedOn w:val="133"/>
    <w:qFormat/>
    <w:uiPriority w:val="0"/>
  </w:style>
  <w:style w:type="character" w:customStyle="1" w:styleId="1449">
    <w:name w:val="Char Char Char Char1 Char1 Char1"/>
    <w:qFormat/>
    <w:uiPriority w:val="0"/>
    <w:rPr>
      <w:rFonts w:hint="eastAsia" w:ascii="宋体" w:hAnsi="宋体" w:eastAsia="宋体"/>
      <w:kern w:val="2"/>
      <w:sz w:val="24"/>
      <w:szCs w:val="24"/>
      <w:lang w:val="en-US" w:eastAsia="zh-CN" w:bidi="ar-SA"/>
    </w:rPr>
  </w:style>
  <w:style w:type="character" w:customStyle="1" w:styleId="1450">
    <w:name w:val="Char Char Char Char8"/>
    <w:qFormat/>
    <w:uiPriority w:val="0"/>
    <w:rPr>
      <w:rFonts w:hint="eastAsia" w:ascii="宋体" w:hAnsi="宋体" w:eastAsia="宋体"/>
      <w:kern w:val="2"/>
      <w:sz w:val="24"/>
      <w:szCs w:val="24"/>
      <w:lang w:val="en-US" w:eastAsia="zh-CN" w:bidi="ar-SA"/>
    </w:rPr>
  </w:style>
  <w:style w:type="character" w:customStyle="1" w:styleId="1451">
    <w:name w:val="Char Char Char Char7"/>
    <w:qFormat/>
    <w:uiPriority w:val="0"/>
    <w:rPr>
      <w:rFonts w:hint="eastAsia" w:ascii="宋体" w:hAnsi="宋体" w:eastAsia="宋体"/>
      <w:kern w:val="2"/>
      <w:sz w:val="24"/>
      <w:szCs w:val="24"/>
      <w:lang w:val="en-US" w:eastAsia="zh-CN" w:bidi="ar-SA"/>
    </w:rPr>
  </w:style>
  <w:style w:type="character" w:customStyle="1" w:styleId="1452">
    <w:name w:val="t1"/>
    <w:basedOn w:val="133"/>
    <w:qFormat/>
    <w:uiPriority w:val="0"/>
  </w:style>
  <w:style w:type="character" w:customStyle="1" w:styleId="1453">
    <w:name w:val="tit"/>
    <w:basedOn w:val="133"/>
    <w:qFormat/>
    <w:uiPriority w:val="0"/>
  </w:style>
  <w:style w:type="character" w:customStyle="1" w:styleId="1454">
    <w:name w:val="style2"/>
    <w:basedOn w:val="133"/>
    <w:qFormat/>
    <w:uiPriority w:val="0"/>
  </w:style>
  <w:style w:type="character" w:customStyle="1" w:styleId="1455">
    <w:name w:val="正文文本缩进 2 Char2 Char2"/>
    <w:qFormat/>
    <w:uiPriority w:val="0"/>
    <w:rPr>
      <w:rFonts w:hint="eastAsia" w:ascii="宋体" w:hAnsi="宋体" w:eastAsia="宋体"/>
      <w:kern w:val="2"/>
      <w:sz w:val="24"/>
      <w:szCs w:val="24"/>
      <w:lang w:val="en-US" w:eastAsia="zh-CN" w:bidi="ar-SA"/>
    </w:rPr>
  </w:style>
  <w:style w:type="character" w:customStyle="1" w:styleId="1456">
    <w:name w:val="表内左齐 Char Char"/>
    <w:qFormat/>
    <w:uiPriority w:val="0"/>
    <w:rPr>
      <w:rFonts w:hint="eastAsia" w:ascii="宋体" w:hAnsi="宋体" w:eastAsia="宋体"/>
      <w:color w:val="000000"/>
      <w:kern w:val="2"/>
      <w:sz w:val="24"/>
      <w:szCs w:val="21"/>
      <w:lang w:val="en-US" w:eastAsia="zh-CN" w:bidi="ar-SA"/>
    </w:rPr>
  </w:style>
  <w:style w:type="character" w:customStyle="1" w:styleId="1457">
    <w:name w:val="style141"/>
    <w:qFormat/>
    <w:uiPriority w:val="0"/>
    <w:rPr>
      <w:b/>
      <w:bCs/>
      <w:sz w:val="17"/>
      <w:szCs w:val="17"/>
    </w:rPr>
  </w:style>
  <w:style w:type="character" w:customStyle="1" w:styleId="1458">
    <w:name w:val="f131"/>
    <w:qFormat/>
    <w:uiPriority w:val="0"/>
    <w:rPr>
      <w:sz w:val="20"/>
      <w:szCs w:val="20"/>
    </w:rPr>
  </w:style>
  <w:style w:type="character" w:customStyle="1" w:styleId="1459">
    <w:name w:val="图表 Char Char"/>
    <w:qFormat/>
    <w:uiPriority w:val="0"/>
    <w:rPr>
      <w:rFonts w:hint="default" w:ascii="Calibri" w:hAnsi="Calibri" w:cs="宋体"/>
      <w:kern w:val="2"/>
      <w:sz w:val="24"/>
    </w:rPr>
  </w:style>
  <w:style w:type="character" w:customStyle="1" w:styleId="1460">
    <w:name w:val="Char Char71"/>
    <w:qFormat/>
    <w:uiPriority w:val="0"/>
    <w:rPr>
      <w:rFonts w:hint="eastAsia" w:ascii="宋体" w:hAnsi="宋体" w:eastAsia="宋体"/>
      <w:kern w:val="2"/>
      <w:sz w:val="18"/>
      <w:lang w:val="en-US" w:eastAsia="zh-CN" w:bidi="ar-SA"/>
    </w:rPr>
  </w:style>
  <w:style w:type="character" w:customStyle="1" w:styleId="1461">
    <w:name w:val="标题8"/>
    <w:qFormat/>
    <w:uiPriority w:val="0"/>
  </w:style>
  <w:style w:type="character" w:customStyle="1" w:styleId="1462">
    <w:name w:val="段落 Char"/>
    <w:qFormat/>
    <w:uiPriority w:val="0"/>
    <w:rPr>
      <w:rFonts w:hint="eastAsia" w:ascii="宋体" w:hAnsi="宋体" w:eastAsia="宋体"/>
      <w:kern w:val="2"/>
      <w:sz w:val="24"/>
      <w:lang w:val="en-US" w:eastAsia="zh-CN" w:bidi="ar-SA"/>
    </w:rPr>
  </w:style>
  <w:style w:type="character" w:customStyle="1" w:styleId="1463">
    <w:name w:val="wz12"/>
    <w:qFormat/>
    <w:uiPriority w:val="0"/>
    <w:rPr>
      <w:color w:val="0033FF"/>
      <w:sz w:val="16"/>
      <w:szCs w:val="16"/>
    </w:rPr>
  </w:style>
  <w:style w:type="character" w:customStyle="1" w:styleId="1464">
    <w:name w:val="Char Char4"/>
    <w:qFormat/>
    <w:uiPriority w:val="0"/>
    <w:rPr>
      <w:rFonts w:hint="eastAsia" w:ascii="宋体" w:hAnsi="宋体" w:eastAsia="宋体"/>
      <w:kern w:val="2"/>
      <w:sz w:val="21"/>
      <w:lang w:val="en-US" w:eastAsia="zh-CN"/>
    </w:rPr>
  </w:style>
  <w:style w:type="paragraph" w:customStyle="1" w:styleId="1465">
    <w:name w:val="z-窗体底端1"/>
    <w:basedOn w:val="1"/>
    <w:next w:val="1"/>
    <w:link w:val="1466"/>
    <w:unhideWhenUsed/>
    <w:qFormat/>
    <w:uiPriority w:val="0"/>
    <w:pPr>
      <w:pBdr>
        <w:top w:val="single" w:color="auto" w:sz="6" w:space="1"/>
      </w:pBdr>
      <w:jc w:val="center"/>
    </w:pPr>
    <w:rPr>
      <w:rFonts w:ascii="Arial" w:hAnsi="Arial" w:cs="Arial"/>
      <w:vanish/>
      <w:sz w:val="16"/>
      <w:szCs w:val="16"/>
    </w:rPr>
  </w:style>
  <w:style w:type="character" w:customStyle="1" w:styleId="1466">
    <w:name w:val="z-窗体底端 Char2"/>
    <w:basedOn w:val="133"/>
    <w:link w:val="1465"/>
    <w:qFormat/>
    <w:uiPriority w:val="0"/>
    <w:rPr>
      <w:rFonts w:ascii="Arial" w:hAnsi="Arial" w:cs="Arial"/>
      <w:vanish/>
      <w:kern w:val="2"/>
      <w:sz w:val="16"/>
      <w:szCs w:val="16"/>
    </w:rPr>
  </w:style>
  <w:style w:type="character" w:customStyle="1" w:styleId="1467">
    <w:name w:val="tabletext1"/>
    <w:qFormat/>
    <w:uiPriority w:val="0"/>
    <w:rPr>
      <w:sz w:val="21"/>
    </w:rPr>
  </w:style>
  <w:style w:type="character" w:customStyle="1" w:styleId="1468">
    <w:name w:val="textindent"/>
    <w:qFormat/>
    <w:uiPriority w:val="0"/>
  </w:style>
  <w:style w:type="character" w:customStyle="1" w:styleId="1469">
    <w:name w:val="articlebody21"/>
    <w:qFormat/>
    <w:uiPriority w:val="0"/>
    <w:rPr>
      <w:sz w:val="21"/>
      <w:szCs w:val="21"/>
    </w:rPr>
  </w:style>
  <w:style w:type="character" w:customStyle="1" w:styleId="1470">
    <w:name w:val="info"/>
    <w:qFormat/>
    <w:uiPriority w:val="0"/>
  </w:style>
  <w:style w:type="character" w:customStyle="1" w:styleId="1471">
    <w:name w:val="blue161"/>
    <w:qFormat/>
    <w:uiPriority w:val="0"/>
    <w:rPr>
      <w:rFonts w:hint="default" w:ascii="ˎ̥" w:hAnsi="ˎ̥"/>
      <w:color w:val="333333"/>
      <w:sz w:val="21"/>
      <w:szCs w:val="21"/>
    </w:rPr>
  </w:style>
  <w:style w:type="character" w:customStyle="1" w:styleId="1472">
    <w:name w:val="splatinname1"/>
    <w:qFormat/>
    <w:uiPriority w:val="0"/>
    <w:rPr>
      <w:b/>
      <w:bCs/>
      <w:color w:val="006600"/>
    </w:rPr>
  </w:style>
  <w:style w:type="character" w:customStyle="1" w:styleId="1473">
    <w:name w:val="splatinnamesauthor1"/>
    <w:qFormat/>
    <w:uiPriority w:val="0"/>
    <w:rPr>
      <w:b/>
      <w:bCs/>
      <w:color w:val="CC3300"/>
    </w:rPr>
  </w:style>
  <w:style w:type="character" w:customStyle="1" w:styleId="1474">
    <w:name w:val="Char Char Char Char1 Char1 Char2"/>
    <w:qFormat/>
    <w:uiPriority w:val="0"/>
    <w:rPr>
      <w:rFonts w:hint="eastAsia" w:ascii="宋体" w:hAnsi="宋体" w:eastAsia="宋体"/>
      <w:kern w:val="2"/>
      <w:sz w:val="24"/>
      <w:szCs w:val="24"/>
      <w:lang w:val="en-US" w:eastAsia="zh-CN" w:bidi="ar-SA"/>
    </w:rPr>
  </w:style>
  <w:style w:type="character" w:customStyle="1" w:styleId="1475">
    <w:name w:val="latinname1"/>
    <w:qFormat/>
    <w:uiPriority w:val="0"/>
    <w:rPr>
      <w:i/>
      <w:iCs/>
    </w:rPr>
  </w:style>
  <w:style w:type="character" w:customStyle="1" w:styleId="1476">
    <w:name w:val="itemsmalllable1"/>
    <w:qFormat/>
    <w:uiPriority w:val="0"/>
    <w:rPr>
      <w:color w:val="003300"/>
      <w:sz w:val="18"/>
      <w:szCs w:val="18"/>
    </w:rPr>
  </w:style>
  <w:style w:type="character" w:customStyle="1" w:styleId="1477">
    <w:name w:val="样式 (西文) Century Gothic (中文) 仿宋_GB2312 四号 加宽量  0.1 磅"/>
    <w:qFormat/>
    <w:uiPriority w:val="0"/>
    <w:rPr>
      <w:rFonts w:hint="default" w:ascii="Century Gothic" w:hAnsi="Century Gothic" w:eastAsia="宋体"/>
      <w:spacing w:val="2"/>
      <w:sz w:val="32"/>
    </w:rPr>
  </w:style>
  <w:style w:type="character" w:customStyle="1" w:styleId="1478">
    <w:name w:val="正文（二）"/>
    <w:qFormat/>
    <w:uiPriority w:val="0"/>
    <w:rPr>
      <w:kern w:val="0"/>
      <w:sz w:val="28"/>
    </w:rPr>
  </w:style>
  <w:style w:type="character" w:customStyle="1" w:styleId="1479">
    <w:name w:val="10"/>
    <w:qFormat/>
    <w:uiPriority w:val="0"/>
    <w:rPr>
      <w:rFonts w:hint="default" w:ascii="Times New Roman" w:hAnsi="Times New Roman" w:cs="Times New Roman"/>
    </w:rPr>
  </w:style>
  <w:style w:type="character" w:customStyle="1" w:styleId="1480">
    <w:name w:val="Char Char131"/>
    <w:qFormat/>
    <w:locked/>
    <w:uiPriority w:val="0"/>
    <w:rPr>
      <w:rFonts w:hint="default" w:ascii="Times New Roman" w:hAnsi="Times New Roman" w:eastAsia="黑体" w:cs="Times New Roman"/>
      <w:color w:val="000000"/>
      <w:kern w:val="32"/>
      <w:sz w:val="44"/>
      <w:szCs w:val="44"/>
      <w:lang w:val="en-US" w:eastAsia="zh-CN" w:bidi="ar-SA"/>
    </w:rPr>
  </w:style>
  <w:style w:type="character" w:customStyle="1" w:styleId="1481">
    <w:name w:val="明显强调2"/>
    <w:qFormat/>
    <w:uiPriority w:val="0"/>
    <w:rPr>
      <w:rFonts w:hint="eastAsia" w:ascii="黑体" w:hAnsi="黑体" w:eastAsia="黑体" w:cs="宋体"/>
      <w:i/>
      <w:iCs/>
      <w:color w:val="auto"/>
      <w:kern w:val="2"/>
      <w:sz w:val="32"/>
      <w:szCs w:val="32"/>
      <w:lang w:val="en-US" w:eastAsia="zh-CN" w:bidi="ar-SA"/>
    </w:rPr>
  </w:style>
  <w:style w:type="character" w:customStyle="1" w:styleId="1482">
    <w:name w:val="标题 4 字符"/>
    <w:qFormat/>
    <w:uiPriority w:val="9"/>
    <w:rPr>
      <w:rFonts w:hint="default" w:ascii="Arial" w:hAnsi="Arial" w:cs="Arial"/>
      <w:b/>
      <w:bCs/>
      <w:kern w:val="2"/>
      <w:sz w:val="28"/>
      <w:szCs w:val="28"/>
    </w:rPr>
  </w:style>
  <w:style w:type="character" w:customStyle="1" w:styleId="1483">
    <w:name w:val="标题 3 字符"/>
    <w:qFormat/>
    <w:uiPriority w:val="0"/>
    <w:rPr>
      <w:b/>
      <w:bCs/>
      <w:kern w:val="2"/>
      <w:sz w:val="30"/>
      <w:szCs w:val="32"/>
      <w:lang w:val="zh-CN" w:eastAsia="zh-CN"/>
    </w:rPr>
  </w:style>
  <w:style w:type="character" w:customStyle="1" w:styleId="1484">
    <w:name w:val="页眉 字符"/>
    <w:qFormat/>
    <w:uiPriority w:val="0"/>
    <w:rPr>
      <w:kern w:val="2"/>
      <w:sz w:val="18"/>
      <w:szCs w:val="18"/>
    </w:rPr>
  </w:style>
  <w:style w:type="character" w:customStyle="1" w:styleId="1485">
    <w:name w:val="页脚 字符"/>
    <w:qFormat/>
    <w:uiPriority w:val="0"/>
    <w:rPr>
      <w:kern w:val="2"/>
      <w:sz w:val="18"/>
      <w:szCs w:val="18"/>
    </w:rPr>
  </w:style>
  <w:style w:type="character" w:customStyle="1" w:styleId="1486">
    <w:name w:val="纯文本 字符"/>
    <w:qFormat/>
    <w:uiPriority w:val="0"/>
    <w:rPr>
      <w:rFonts w:hint="eastAsia" w:ascii="宋体" w:hAnsi="Courier New" w:eastAsia="宋体" w:cs="宋体"/>
      <w:kern w:val="2"/>
      <w:sz w:val="21"/>
      <w:szCs w:val="21"/>
    </w:rPr>
  </w:style>
  <w:style w:type="character" w:customStyle="1" w:styleId="1487">
    <w:name w:val="正文文本缩进 2 字符"/>
    <w:qFormat/>
    <w:uiPriority w:val="0"/>
    <w:rPr>
      <w:rFonts w:hint="eastAsia" w:ascii="宋体" w:hAnsi="宋体" w:eastAsia="宋体"/>
      <w:kern w:val="2"/>
      <w:sz w:val="24"/>
      <w:szCs w:val="24"/>
      <w:lang w:val="en-US" w:eastAsia="zh-CN" w:bidi="ar-SA"/>
    </w:rPr>
  </w:style>
  <w:style w:type="character" w:customStyle="1" w:styleId="1488">
    <w:name w:val="正文首行缩进 字符"/>
    <w:qFormat/>
    <w:uiPriority w:val="0"/>
    <w:rPr>
      <w:rFonts w:hint="eastAsia" w:ascii="宋体" w:hAnsi="宋体" w:eastAsia="宋体"/>
      <w:kern w:val="2"/>
      <w:sz w:val="24"/>
      <w:szCs w:val="24"/>
      <w:lang w:val="en-US" w:eastAsia="zh-CN" w:bidi="ar-SA"/>
    </w:rPr>
  </w:style>
  <w:style w:type="character" w:customStyle="1" w:styleId="1489">
    <w:name w:val="正文缩进 字符"/>
    <w:qFormat/>
    <w:uiPriority w:val="1"/>
    <w:rPr>
      <w:kern w:val="2"/>
      <w:sz w:val="21"/>
    </w:rPr>
  </w:style>
  <w:style w:type="character" w:customStyle="1" w:styleId="1490">
    <w:name w:val="列出段落 字符"/>
    <w:link w:val="1491"/>
    <w:qFormat/>
    <w:uiPriority w:val="0"/>
    <w:rPr>
      <w:kern w:val="2"/>
      <w:sz w:val="24"/>
      <w:szCs w:val="24"/>
    </w:rPr>
  </w:style>
  <w:style w:type="paragraph" w:customStyle="1" w:styleId="1491">
    <w:name w:val="20"/>
    <w:basedOn w:val="1"/>
    <w:next w:val="430"/>
    <w:link w:val="1490"/>
    <w:qFormat/>
    <w:uiPriority w:val="99"/>
    <w:pPr>
      <w:spacing w:line="360" w:lineRule="auto"/>
      <w:ind w:firstLine="420" w:firstLineChars="200"/>
    </w:pPr>
  </w:style>
  <w:style w:type="character" w:customStyle="1" w:styleId="1492">
    <w:name w:val="批注框文本 字符"/>
    <w:qFormat/>
    <w:uiPriority w:val="99"/>
    <w:rPr>
      <w:kern w:val="2"/>
      <w:sz w:val="18"/>
      <w:szCs w:val="18"/>
    </w:rPr>
  </w:style>
  <w:style w:type="character" w:customStyle="1" w:styleId="1493">
    <w:name w:val="批注文字 字符"/>
    <w:qFormat/>
    <w:uiPriority w:val="99"/>
    <w:rPr>
      <w:rFonts w:hint="eastAsia" w:ascii="宋体" w:hAnsi="宋体" w:eastAsia="宋体"/>
      <w:kern w:val="2"/>
      <w:sz w:val="24"/>
      <w:szCs w:val="24"/>
    </w:rPr>
  </w:style>
  <w:style w:type="character" w:customStyle="1" w:styleId="1494">
    <w:name w:val="批注主题 字符"/>
    <w:qFormat/>
    <w:uiPriority w:val="0"/>
    <w:rPr>
      <w:rFonts w:hint="eastAsia" w:ascii="宋体" w:hAnsi="宋体" w:eastAsia="宋体"/>
      <w:b/>
      <w:bCs/>
      <w:kern w:val="2"/>
      <w:sz w:val="24"/>
      <w:szCs w:val="24"/>
    </w:rPr>
  </w:style>
  <w:style w:type="character" w:customStyle="1" w:styleId="1495">
    <w:name w:val="HTML 预设格式 字符"/>
    <w:qFormat/>
    <w:uiPriority w:val="0"/>
    <w:rPr>
      <w:rFonts w:hint="eastAsia" w:ascii="黑体" w:hAnsi="Courier New" w:eastAsia="黑体" w:cs="Courier New"/>
    </w:rPr>
  </w:style>
  <w:style w:type="character" w:customStyle="1" w:styleId="1496">
    <w:name w:val="正文文本缩进 字符"/>
    <w:qFormat/>
    <w:uiPriority w:val="0"/>
    <w:rPr>
      <w:rFonts w:hint="eastAsia" w:ascii="宋体" w:hAnsi="宋体" w:eastAsia="宋体"/>
      <w:kern w:val="2"/>
      <w:sz w:val="24"/>
      <w:szCs w:val="24"/>
      <w:lang w:val="en-US" w:eastAsia="zh-CN" w:bidi="ar-SA"/>
    </w:rPr>
  </w:style>
  <w:style w:type="character" w:customStyle="1" w:styleId="1497">
    <w:name w:val="正文文本 3 字符"/>
    <w:qFormat/>
    <w:uiPriority w:val="0"/>
    <w:rPr>
      <w:kern w:val="2"/>
      <w:sz w:val="16"/>
      <w:szCs w:val="16"/>
    </w:rPr>
  </w:style>
  <w:style w:type="character" w:customStyle="1" w:styleId="1498">
    <w:name w:val="正文文本缩进 3 字符"/>
    <w:qFormat/>
    <w:uiPriority w:val="0"/>
    <w:rPr>
      <w:kern w:val="2"/>
      <w:sz w:val="24"/>
      <w:szCs w:val="24"/>
    </w:rPr>
  </w:style>
  <w:style w:type="character" w:customStyle="1" w:styleId="1499">
    <w:name w:val="标题 1 字符"/>
    <w:qFormat/>
    <w:uiPriority w:val="9"/>
    <w:rPr>
      <w:rFonts w:hint="eastAsia" w:ascii="黑体" w:hAnsi="黑体" w:eastAsia="黑体"/>
      <w:b/>
      <w:bCs/>
      <w:kern w:val="2"/>
      <w:sz w:val="36"/>
      <w:szCs w:val="32"/>
      <w:lang w:val="zh-CN" w:eastAsia="zh-CN"/>
    </w:rPr>
  </w:style>
  <w:style w:type="character" w:customStyle="1" w:styleId="1500">
    <w:name w:val="标题 2 字符"/>
    <w:qFormat/>
    <w:uiPriority w:val="9"/>
    <w:rPr>
      <w:rFonts w:hint="eastAsia" w:ascii="黑体" w:hAnsi="黑体" w:eastAsia="黑体"/>
      <w:b/>
      <w:bCs/>
      <w:kern w:val="2"/>
      <w:sz w:val="32"/>
      <w:szCs w:val="30"/>
      <w:lang w:val="zh-CN" w:eastAsia="zh-CN"/>
    </w:rPr>
  </w:style>
  <w:style w:type="character" w:customStyle="1" w:styleId="1501">
    <w:name w:val="正文文本 字符"/>
    <w:qFormat/>
    <w:uiPriority w:val="0"/>
    <w:rPr>
      <w:kern w:val="2"/>
      <w:sz w:val="21"/>
      <w:szCs w:val="24"/>
    </w:rPr>
  </w:style>
  <w:style w:type="character" w:customStyle="1" w:styleId="1502">
    <w:name w:val="标题 5 字符"/>
    <w:uiPriority w:val="0"/>
    <w:rPr>
      <w:rFonts w:hint="eastAsia" w:ascii="宋体" w:hAnsi="宋体" w:eastAsia="宋体"/>
      <w:b/>
      <w:bCs/>
      <w:kern w:val="2"/>
      <w:sz w:val="28"/>
      <w:szCs w:val="28"/>
      <w:lang w:val="zh-CN" w:eastAsia="zh-CN"/>
    </w:rPr>
  </w:style>
  <w:style w:type="character" w:customStyle="1" w:styleId="1503">
    <w:name w:val="标题 6 字符"/>
    <w:qFormat/>
    <w:uiPriority w:val="0"/>
    <w:rPr>
      <w:rFonts w:hint="default" w:ascii="Arial" w:hAnsi="Arial" w:eastAsia="黑体" w:cs="Arial"/>
      <w:b/>
      <w:bCs/>
      <w:kern w:val="2"/>
      <w:sz w:val="24"/>
      <w:szCs w:val="24"/>
      <w:lang w:val="zh-CN" w:eastAsia="zh-CN"/>
    </w:rPr>
  </w:style>
  <w:style w:type="character" w:customStyle="1" w:styleId="1504">
    <w:name w:val="标题 7 字符"/>
    <w:qFormat/>
    <w:uiPriority w:val="0"/>
    <w:rPr>
      <w:rFonts w:hint="eastAsia" w:ascii="宋体" w:hAnsi="宋体" w:eastAsia="宋体"/>
      <w:b/>
      <w:bCs/>
      <w:kern w:val="2"/>
      <w:sz w:val="24"/>
      <w:szCs w:val="24"/>
      <w:lang w:val="zh-CN" w:eastAsia="zh-CN"/>
    </w:rPr>
  </w:style>
  <w:style w:type="character" w:customStyle="1" w:styleId="1505">
    <w:name w:val="标题 8 字符"/>
    <w:qFormat/>
    <w:uiPriority w:val="0"/>
    <w:rPr>
      <w:rFonts w:hint="default" w:ascii="Arial" w:hAnsi="Arial" w:eastAsia="黑体" w:cs="Arial"/>
      <w:kern w:val="2"/>
      <w:sz w:val="24"/>
      <w:szCs w:val="24"/>
      <w:lang w:val="zh-CN" w:eastAsia="zh-CN"/>
    </w:rPr>
  </w:style>
  <w:style w:type="character" w:customStyle="1" w:styleId="1506">
    <w:name w:val="标题 9 字符"/>
    <w:qFormat/>
    <w:uiPriority w:val="0"/>
    <w:rPr>
      <w:rFonts w:hint="default" w:ascii="Arial" w:hAnsi="Arial" w:eastAsia="黑体" w:cs="Arial"/>
      <w:kern w:val="2"/>
      <w:sz w:val="21"/>
      <w:szCs w:val="21"/>
      <w:lang w:val="zh-CN" w:eastAsia="zh-CN"/>
    </w:rPr>
  </w:style>
  <w:style w:type="character" w:customStyle="1" w:styleId="1507">
    <w:name w:val="日期 字符"/>
    <w:qFormat/>
    <w:uiPriority w:val="0"/>
    <w:rPr>
      <w:kern w:val="2"/>
      <w:sz w:val="21"/>
      <w:szCs w:val="21"/>
    </w:rPr>
  </w:style>
  <w:style w:type="character" w:customStyle="1" w:styleId="1508">
    <w:name w:val="文档结构图 字符"/>
    <w:qFormat/>
    <w:uiPriority w:val="0"/>
    <w:rPr>
      <w:kern w:val="2"/>
      <w:sz w:val="24"/>
      <w:szCs w:val="24"/>
      <w:shd w:val="clear" w:color="auto" w:fill="000080"/>
    </w:rPr>
  </w:style>
  <w:style w:type="character" w:customStyle="1" w:styleId="1509">
    <w:name w:val="标题 字符"/>
    <w:qFormat/>
    <w:uiPriority w:val="0"/>
    <w:rPr>
      <w:rFonts w:hint="default" w:ascii="Arial" w:hAnsi="Arial" w:cs="Arial"/>
      <w:b/>
      <w:bCs/>
      <w:kern w:val="2"/>
      <w:sz w:val="32"/>
      <w:szCs w:val="32"/>
    </w:rPr>
  </w:style>
  <w:style w:type="character" w:customStyle="1" w:styleId="1510">
    <w:name w:val="尾注文本 字符"/>
    <w:link w:val="1511"/>
    <w:qFormat/>
    <w:uiPriority w:val="0"/>
    <w:rPr>
      <w:kern w:val="2"/>
      <w:sz w:val="21"/>
      <w:szCs w:val="24"/>
    </w:rPr>
  </w:style>
  <w:style w:type="paragraph" w:customStyle="1" w:styleId="1511">
    <w:name w:val="尾注文本1"/>
    <w:basedOn w:val="1"/>
    <w:next w:val="52"/>
    <w:link w:val="1510"/>
    <w:uiPriority w:val="0"/>
    <w:pPr>
      <w:adjustRightInd w:val="0"/>
      <w:spacing w:line="312" w:lineRule="atLeast"/>
      <w:ind w:firstLine="200" w:firstLineChars="200"/>
      <w:jc w:val="left"/>
      <w:textAlignment w:val="baseline"/>
    </w:pPr>
    <w:rPr>
      <w:sz w:val="21"/>
    </w:rPr>
  </w:style>
  <w:style w:type="character" w:customStyle="1" w:styleId="1512">
    <w:name w:val="注释标题 字符"/>
    <w:qFormat/>
    <w:uiPriority w:val="0"/>
    <w:rPr>
      <w:rFonts w:hint="eastAsia" w:ascii="宋体" w:hAnsi="宋体" w:eastAsia="宋体"/>
      <w:kern w:val="2"/>
      <w:sz w:val="28"/>
    </w:rPr>
  </w:style>
  <w:style w:type="character" w:customStyle="1" w:styleId="1513">
    <w:name w:val="正文首行缩进 2 字符"/>
    <w:qFormat/>
    <w:uiPriority w:val="0"/>
    <w:rPr>
      <w:kern w:val="2"/>
      <w:sz w:val="21"/>
    </w:rPr>
  </w:style>
  <w:style w:type="character" w:customStyle="1" w:styleId="1514">
    <w:name w:val="正文文本 2 字符"/>
    <w:qFormat/>
    <w:uiPriority w:val="0"/>
    <w:rPr>
      <w:kern w:val="2"/>
      <w:sz w:val="24"/>
      <w:szCs w:val="24"/>
    </w:rPr>
  </w:style>
  <w:style w:type="character" w:customStyle="1" w:styleId="1515">
    <w:name w:val="z-窗体底端 字符"/>
    <w:qFormat/>
    <w:uiPriority w:val="0"/>
    <w:rPr>
      <w:rFonts w:hint="default" w:ascii="Arial" w:hAnsi="Arial" w:cs="Arial"/>
      <w:vanish/>
      <w:kern w:val="2"/>
      <w:sz w:val="16"/>
      <w:szCs w:val="16"/>
      <w:lang w:val="zh-CN" w:eastAsia="zh-CN"/>
    </w:rPr>
  </w:style>
  <w:style w:type="character" w:customStyle="1" w:styleId="1516">
    <w:name w:val="宏文本 字符"/>
    <w:qFormat/>
    <w:uiPriority w:val="0"/>
    <w:rPr>
      <w:rFonts w:hint="default" w:ascii="Courier New" w:hAnsi="Courier New" w:cs="Courier New"/>
      <w:kern w:val="2"/>
      <w:sz w:val="24"/>
      <w:szCs w:val="24"/>
      <w:lang w:bidi="ar-SA"/>
    </w:rPr>
  </w:style>
  <w:style w:type="character" w:customStyle="1" w:styleId="1517">
    <w:name w:val="称呼 字符"/>
    <w:qFormat/>
    <w:uiPriority w:val="0"/>
    <w:rPr>
      <w:kern w:val="2"/>
      <w:sz w:val="21"/>
      <w:szCs w:val="24"/>
    </w:rPr>
  </w:style>
  <w:style w:type="character" w:customStyle="1" w:styleId="1518">
    <w:name w:val="普通(网站) 字符"/>
    <w:qFormat/>
    <w:locked/>
    <w:uiPriority w:val="0"/>
    <w:rPr>
      <w:rFonts w:hint="eastAsia" w:ascii="宋体" w:hAnsi="宋体" w:eastAsia="宋体" w:cs="宋体"/>
      <w:sz w:val="24"/>
      <w:szCs w:val="24"/>
    </w:rPr>
  </w:style>
  <w:style w:type="character" w:customStyle="1" w:styleId="1519">
    <w:name w:val="无间隔 字符"/>
    <w:qFormat/>
    <w:uiPriority w:val="1"/>
    <w:rPr>
      <w:kern w:val="2"/>
      <w:sz w:val="21"/>
    </w:rPr>
  </w:style>
  <w:style w:type="character" w:customStyle="1" w:styleId="1520">
    <w:name w:val="font01"/>
    <w:qFormat/>
    <w:uiPriority w:val="0"/>
    <w:rPr>
      <w:rFonts w:hint="default" w:ascii="Times New Roman" w:hAnsi="Times New Roman" w:cs="Times New Roman"/>
      <w:color w:val="000000"/>
      <w:sz w:val="21"/>
      <w:szCs w:val="21"/>
      <w:u w:val="none"/>
      <w:vertAlign w:val="subscript"/>
    </w:rPr>
  </w:style>
  <w:style w:type="character" w:customStyle="1" w:styleId="1521">
    <w:name w:val="font21"/>
    <w:qFormat/>
    <w:uiPriority w:val="0"/>
    <w:rPr>
      <w:rFonts w:hint="default" w:ascii="Times New Roman" w:hAnsi="Times New Roman" w:cs="Times New Roman"/>
      <w:color w:val="000000"/>
      <w:sz w:val="21"/>
      <w:szCs w:val="21"/>
      <w:u w:val="none"/>
    </w:rPr>
  </w:style>
  <w:style w:type="character" w:customStyle="1" w:styleId="1522">
    <w:name w:val="脚注文本 字符"/>
    <w:qFormat/>
    <w:uiPriority w:val="0"/>
    <w:rPr>
      <w:kern w:val="2"/>
      <w:sz w:val="18"/>
      <w:szCs w:val="18"/>
    </w:rPr>
  </w:style>
  <w:style w:type="character" w:customStyle="1" w:styleId="1523">
    <w:name w:val="标题 2 Char Char"/>
    <w:qFormat/>
    <w:uiPriority w:val="0"/>
    <w:rPr>
      <w:rFonts w:hint="default" w:ascii="Arial" w:hAnsi="Arial" w:eastAsia="黑体" w:cs="Arial"/>
      <w:b/>
      <w:bCs/>
      <w:kern w:val="2"/>
      <w:sz w:val="28"/>
      <w:szCs w:val="30"/>
      <w:lang w:val="en-US" w:eastAsia="zh-CN" w:bidi="ar-SA"/>
    </w:rPr>
  </w:style>
  <w:style w:type="character" w:customStyle="1" w:styleId="1524">
    <w:name w:val="正文文字缩进 2 Char Char Char1"/>
    <w:qFormat/>
    <w:uiPriority w:val="0"/>
    <w:rPr>
      <w:rFonts w:hint="eastAsia" w:ascii="宋体" w:hAnsi="宋体" w:eastAsia="宋体" w:cs="宋体"/>
      <w:kern w:val="2"/>
      <w:sz w:val="27"/>
      <w:szCs w:val="27"/>
      <w:lang w:val="en-US" w:eastAsia="zh-CN" w:bidi="ar-SA"/>
    </w:rPr>
  </w:style>
  <w:style w:type="character" w:customStyle="1" w:styleId="1525">
    <w:name w:val="标题 4 字符1"/>
    <w:qFormat/>
    <w:uiPriority w:val="0"/>
    <w:rPr>
      <w:b/>
      <w:bCs/>
      <w:kern w:val="2"/>
      <w:sz w:val="28"/>
      <w:szCs w:val="28"/>
    </w:rPr>
  </w:style>
  <w:style w:type="character" w:customStyle="1" w:styleId="1526">
    <w:name w:val="标题 3 字符1"/>
    <w:qFormat/>
    <w:uiPriority w:val="0"/>
    <w:rPr>
      <w:b/>
      <w:bCs/>
      <w:kern w:val="2"/>
      <w:sz w:val="30"/>
      <w:szCs w:val="32"/>
    </w:rPr>
  </w:style>
  <w:style w:type="character" w:customStyle="1" w:styleId="1527">
    <w:name w:val="列出段落 字符1"/>
    <w:qFormat/>
    <w:uiPriority w:val="34"/>
    <w:rPr>
      <w:kern w:val="2"/>
      <w:sz w:val="24"/>
      <w:szCs w:val="24"/>
    </w:rPr>
  </w:style>
  <w:style w:type="character" w:customStyle="1" w:styleId="1528">
    <w:name w:val="表格内容 字符"/>
    <w:qFormat/>
    <w:locked/>
    <w:uiPriority w:val="0"/>
    <w:rPr>
      <w:color w:val="000000"/>
      <w:sz w:val="21"/>
      <w:szCs w:val="21"/>
    </w:rPr>
  </w:style>
  <w:style w:type="table" w:customStyle="1" w:styleId="1529">
    <w:name w:val="嵌套表格1"/>
    <w:basedOn w:val="88"/>
    <w:qFormat/>
    <w:uiPriority w:val="0"/>
    <w:pPr>
      <w:keepLines/>
      <w:jc w:val="center"/>
    </w:pPr>
    <w:rPr>
      <w:sz w:val="21"/>
    </w:rPr>
    <w:tblP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Pr>
    <w:tcPr>
      <w:vAlign w:val="center"/>
    </w:tcPr>
  </w:style>
  <w:style w:type="table" w:customStyle="1" w:styleId="1530">
    <w:name w:val="hh"/>
    <w:basedOn w:val="89"/>
    <w:qFormat/>
    <w:uiPriority w:val="0"/>
    <w:pPr>
      <w:spacing w:line="240" w:lineRule="exact"/>
    </w:pPr>
    <w:rPr>
      <w:sz w:val="21"/>
    </w:rPr>
    <w:tblPr>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Layout w:type="fixed"/>
    </w:tblPr>
    <w:tcPr>
      <w:vAlign w:val="center"/>
    </w:tcPr>
  </w:style>
  <w:style w:type="table" w:customStyle="1" w:styleId="1531">
    <w:name w:val="表格样式2"/>
    <w:basedOn w:val="88"/>
    <w:qFormat/>
    <w:uiPriority w:val="0"/>
    <w:pPr>
      <w:widowControl w:val="0"/>
      <w:jc w:val="both"/>
    </w:pPr>
    <w:tblP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Pr>
    <w:tblStylePr w:type="firstRow">
      <w:tcPr>
        <w:tcBorders>
          <w:bottom w:val="single" w:color="000000" w:sz="12" w:space="0"/>
          <w:tl2br w:val="nil"/>
          <w:tr2bl w:val="nil"/>
        </w:tcBorders>
      </w:tcPr>
    </w:tblStylePr>
    <w:tblStylePr w:type="lastRow">
      <w:rPr>
        <w:b/>
        <w:bCs/>
      </w:rPr>
      <w:tcPr>
        <w:tcBorders>
          <w:tl2br w:val="nil"/>
          <w:tr2bl w:val="nil"/>
        </w:tcBorders>
      </w:tcPr>
    </w:tblStylePr>
    <w:tblStylePr w:type="lastCol">
      <w:rPr>
        <w:b/>
        <w:bCs/>
      </w:rPr>
      <w:tcPr>
        <w:tcBorders>
          <w:tl2br w:val="nil"/>
          <w:tr2bl w:val="nil"/>
        </w:tcBorders>
      </w:tcPr>
    </w:tblStylePr>
    <w:tblStylePr w:type="nwCell">
      <w:tcPr>
        <w:tcBorders>
          <w:tl2br w:val="single" w:color="000000" w:sz="6" w:space="0"/>
          <w:tr2bl w:val="nil"/>
        </w:tcBorders>
      </w:tcPr>
    </w:tblStylePr>
  </w:style>
  <w:style w:type="table" w:customStyle="1" w:styleId="1532">
    <w:name w:val="hp"/>
    <w:basedOn w:val="89"/>
    <w:qFormat/>
    <w:uiPriority w:val="0"/>
    <w:pPr>
      <w:spacing w:line="240" w:lineRule="exact"/>
    </w:pPr>
    <w:rPr>
      <w:sz w:val="21"/>
      <w:szCs w:val="21"/>
    </w:rPr>
    <w:tblPr>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Layout w:type="fixed"/>
    </w:tblPr>
    <w:tcPr>
      <w:vAlign w:val="center"/>
    </w:tcPr>
  </w:style>
  <w:style w:type="table" w:customStyle="1" w:styleId="1533">
    <w:name w:val="我的表哥"/>
    <w:basedOn w:val="88"/>
    <w:qFormat/>
    <w:uiPriority w:val="0"/>
    <w:pPr>
      <w:spacing w:line="320" w:lineRule="exact"/>
      <w:jc w:val="center"/>
    </w:pPr>
    <w:rPr>
      <w:sz w:val="21"/>
      <w:szCs w:val="21"/>
    </w:rPr>
    <w:tblP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left w:w="0" w:type="dxa"/>
        <w:right w:w="0" w:type="dxa"/>
      </w:tblCellMar>
    </w:tblPr>
    <w:tcPr>
      <w:vAlign w:val="center"/>
    </w:tcPr>
  </w:style>
  <w:style w:type="table" w:customStyle="1" w:styleId="1534">
    <w:name w:val="嵌套表格11"/>
    <w:basedOn w:val="88"/>
    <w:qFormat/>
    <w:uiPriority w:val="0"/>
    <w:pPr>
      <w:keepLines/>
      <w:jc w:val="center"/>
    </w:pPr>
    <w:rPr>
      <w:sz w:val="21"/>
    </w:rPr>
    <w:tblP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Pr>
    <w:tcPr>
      <w:vAlign w:val="center"/>
    </w:tcPr>
  </w:style>
  <w:style w:type="table" w:customStyle="1" w:styleId="1535">
    <w:name w:val="嵌套表格2"/>
    <w:basedOn w:val="88"/>
    <w:qFormat/>
    <w:uiPriority w:val="0"/>
    <w:pPr>
      <w:keepLines/>
      <w:jc w:val="center"/>
    </w:pPr>
    <w:rPr>
      <w:sz w:val="21"/>
    </w:rPr>
    <w:tblP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Pr>
    <w:tcPr>
      <w:vAlign w:val="center"/>
    </w:tcPr>
  </w:style>
  <w:style w:type="table" w:customStyle="1" w:styleId="1536">
    <w:name w:val="嵌套表格3"/>
    <w:basedOn w:val="88"/>
    <w:qFormat/>
    <w:uiPriority w:val="0"/>
    <w:pPr>
      <w:keepLines/>
      <w:jc w:val="center"/>
    </w:pPr>
    <w:rPr>
      <w:sz w:val="21"/>
    </w:rPr>
    <w:tblP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Pr>
    <w:tcPr>
      <w:vAlign w:val="center"/>
    </w:tcPr>
  </w:style>
  <w:style w:type="table" w:customStyle="1" w:styleId="1537">
    <w:name w:val="嵌套表格4"/>
    <w:basedOn w:val="88"/>
    <w:uiPriority w:val="0"/>
    <w:pPr>
      <w:keepLines/>
      <w:jc w:val="center"/>
    </w:pPr>
    <w:rPr>
      <w:sz w:val="21"/>
      <w:szCs w:val="21"/>
    </w:rPr>
    <w:tblP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Pr>
    <w:tcPr>
      <w:vAlign w:val="center"/>
    </w:tcPr>
  </w:style>
  <w:style w:type="table" w:customStyle="1" w:styleId="1538">
    <w:name w:val="嵌套表格5"/>
    <w:basedOn w:val="88"/>
    <w:qFormat/>
    <w:uiPriority w:val="0"/>
    <w:pPr>
      <w:keepLines/>
      <w:jc w:val="center"/>
    </w:pPr>
    <w:rPr>
      <w:sz w:val="21"/>
      <w:szCs w:val="21"/>
    </w:rPr>
    <w:tblP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Pr>
    <w:tcPr>
      <w:vAlign w:val="center"/>
    </w:tcPr>
  </w:style>
  <w:style w:type="table" w:customStyle="1" w:styleId="1539">
    <w:name w:val="网格型 72"/>
    <w:basedOn w:val="88"/>
    <w:qFormat/>
    <w:uiPriority w:val="0"/>
    <w:pPr>
      <w:widowControl w:val="0"/>
      <w:jc w:val="both"/>
    </w:pPr>
    <w:rPr>
      <w:b/>
      <w:bCs/>
    </w:rPr>
    <w:tblP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Pr>
    <w:tblStylePr w:type="firstRow">
      <w:rPr>
        <w:b w:val="0"/>
        <w:bCs w:val="0"/>
      </w:rPr>
      <w:tcPr>
        <w:tcBorders>
          <w:bottom w:val="single" w:color="000000" w:sz="12" w:space="0"/>
          <w:tl2br w:val="nil"/>
          <w:tr2bl w:val="nil"/>
        </w:tcBorders>
      </w:tcPr>
    </w:tblStylePr>
    <w:tblStylePr w:type="lastRow">
      <w:rPr>
        <w:b w:val="0"/>
        <w:bCs w:val="0"/>
      </w:rPr>
      <w:tcPr>
        <w:tcBorders>
          <w:top w:val="single" w:color="000000" w:sz="6" w:space="0"/>
          <w:tl2br w:val="nil"/>
          <w:tr2bl w:val="nil"/>
        </w:tcBorders>
      </w:tcPr>
    </w:tblStylePr>
    <w:tblStylePr w:type="firstCol">
      <w:rPr>
        <w:b w:val="0"/>
        <w:bCs w:val="0"/>
      </w:rPr>
      <w:tcPr>
        <w:tcBorders>
          <w:tl2br w:val="nil"/>
          <w:tr2bl w:val="nil"/>
        </w:tcBorders>
      </w:tcPr>
    </w:tblStylePr>
    <w:tblStylePr w:type="lastCol">
      <w:rPr>
        <w:b w:val="0"/>
        <w:bCs w:val="0"/>
      </w:rPr>
      <w:tcPr>
        <w:tcBorders>
          <w:tl2br w:val="nil"/>
          <w:tr2bl w:val="nil"/>
        </w:tcBorders>
      </w:tcPr>
    </w:tblStylePr>
    <w:tblStylePr w:type="nwCell">
      <w:tcPr>
        <w:tcBorders>
          <w:tl2br w:val="single" w:color="000000" w:sz="6" w:space="0"/>
          <w:tr2bl w:val="nil"/>
        </w:tcBorders>
      </w:tcPr>
    </w:tblStylePr>
  </w:style>
  <w:style w:type="table" w:customStyle="1" w:styleId="1540">
    <w:name w:val="无格式表格 21"/>
    <w:basedOn w:val="88"/>
    <w:qFormat/>
    <w:uiPriority w:val="0"/>
    <w:pPr>
      <w:spacing w:before="100" w:beforeAutospacing="1" w:after="100" w:afterAutospacing="1"/>
    </w:pPr>
    <w:tblPr>
      <w:tblBorders>
        <w:top w:val="single" w:color="7F7F7F" w:sz="4" w:space="0"/>
        <w:bottom w:val="single" w:color="7F7F7F" w:sz="4" w:space="0"/>
      </w:tblBorders>
      <w:tblLayout w:type="fixed"/>
    </w:tblPr>
    <w:tblStylePr w:type="firstRow">
      <w:rPr>
        <w:rFonts w:hint="default" w:ascii="Times New Roman" w:hAnsi="Times New Roman" w:cs="Times New Roman"/>
        <w:b/>
        <w:bCs/>
      </w:rPr>
      <w:tblPr>
        <w:tblLayout w:type="fixed"/>
        <w:tblCellMar>
          <w:top w:w="0" w:type="dxa"/>
          <w:left w:w="108" w:type="dxa"/>
          <w:bottom w:w="0" w:type="dxa"/>
          <w:right w:w="108" w:type="dxa"/>
        </w:tblCellMar>
      </w:tblPr>
      <w:tcPr>
        <w:tcBorders>
          <w:top w:val="nil"/>
          <w:left w:val="nil"/>
          <w:bottom w:val="single" w:color="7F7F7F" w:sz="4" w:space="0"/>
          <w:right w:val="nil"/>
          <w:tl2br w:val="nil"/>
          <w:tr2bl w:val="nil"/>
        </w:tcBorders>
      </w:tcPr>
    </w:tblStylePr>
    <w:tblStylePr w:type="lastRow">
      <w:rPr>
        <w:rFonts w:hint="default" w:ascii="Times New Roman" w:hAnsi="Times New Roman" w:cs="Times New Roman"/>
        <w:b/>
        <w:bCs/>
      </w:rPr>
      <w:tblPr>
        <w:tblLayout w:type="fixed"/>
        <w:tblCellMar>
          <w:top w:w="0" w:type="dxa"/>
          <w:left w:w="108" w:type="dxa"/>
          <w:bottom w:w="0" w:type="dxa"/>
          <w:right w:w="108" w:type="dxa"/>
        </w:tblCellMar>
      </w:tblPr>
      <w:tcPr>
        <w:tcBorders>
          <w:top w:val="single" w:color="7F7F7F" w:sz="4" w:space="0"/>
          <w:left w:val="nil"/>
          <w:bottom w:val="nil"/>
          <w:right w:val="nil"/>
          <w:tl2br w:val="nil"/>
          <w:tr2bl w:val="nil"/>
        </w:tcBorders>
      </w:tcPr>
    </w:tblStylePr>
    <w:tblStylePr w:type="firstCol">
      <w:rPr>
        <w:rFonts w:hint="default" w:ascii="Times New Roman" w:hAnsi="Times New Roman" w:cs="Times New Roman"/>
        <w:b/>
        <w:bCs/>
      </w:rPr>
    </w:tblStylePr>
    <w:tblStylePr w:type="lastCol">
      <w:rPr>
        <w:rFonts w:hint="default" w:ascii="Times New Roman" w:hAnsi="Times New Roman" w:cs="Times New Roman"/>
        <w:b/>
        <w:bCs/>
      </w:rPr>
    </w:tblStylePr>
    <w:tblStylePr w:type="band1Vert">
      <w:tblPr>
        <w:tblLayout w:type="fixed"/>
        <w:tblCellMar>
          <w:top w:w="0" w:type="dxa"/>
          <w:left w:w="108" w:type="dxa"/>
          <w:bottom w:w="0" w:type="dxa"/>
          <w:right w:w="108" w:type="dxa"/>
        </w:tblCellMar>
      </w:tblPr>
      <w:tcPr>
        <w:tcBorders>
          <w:top w:val="nil"/>
          <w:left w:val="single" w:color="7F7F7F" w:sz="4" w:space="0"/>
          <w:bottom w:val="nil"/>
          <w:right w:val="single" w:color="7F7F7F" w:sz="4" w:space="0"/>
          <w:tl2br w:val="nil"/>
          <w:tr2bl w:val="nil"/>
        </w:tcBorders>
      </w:tcPr>
    </w:tblStylePr>
    <w:tblStylePr w:type="band2Vert">
      <w:tblPr>
        <w:tblLayout w:type="fixed"/>
        <w:tblCellMar>
          <w:top w:w="0" w:type="dxa"/>
          <w:left w:w="108" w:type="dxa"/>
          <w:bottom w:w="0" w:type="dxa"/>
          <w:right w:w="108" w:type="dxa"/>
        </w:tblCellMar>
      </w:tblPr>
      <w:tcPr>
        <w:tcBorders>
          <w:top w:val="nil"/>
          <w:left w:val="single" w:color="7F7F7F" w:sz="4" w:space="0"/>
          <w:bottom w:val="nil"/>
          <w:right w:val="single" w:color="7F7F7F" w:sz="4" w:space="0"/>
          <w:tl2br w:val="nil"/>
          <w:tr2bl w:val="nil"/>
        </w:tcBorders>
      </w:tcPr>
    </w:tblStylePr>
    <w:tblStylePr w:type="band1Horz">
      <w:tblPr>
        <w:tblLayout w:type="fixed"/>
        <w:tblCellMar>
          <w:top w:w="0" w:type="dxa"/>
          <w:left w:w="108" w:type="dxa"/>
          <w:bottom w:w="0" w:type="dxa"/>
          <w:right w:w="108" w:type="dxa"/>
        </w:tblCellMar>
      </w:tblPr>
      <w:tcPr>
        <w:tcBorders>
          <w:top w:val="single" w:color="7F7F7F" w:sz="4" w:space="0"/>
          <w:left w:val="nil"/>
          <w:bottom w:val="single" w:color="7F7F7F" w:sz="4" w:space="0"/>
          <w:right w:val="nil"/>
          <w:tl2br w:val="nil"/>
          <w:tr2bl w:val="nil"/>
        </w:tcBorders>
      </w:tcPr>
    </w:tblStylePr>
  </w:style>
  <w:style w:type="table" w:customStyle="1" w:styleId="1541">
    <w:name w:val="网格型3"/>
    <w:basedOn w:val="88"/>
    <w:qFormat/>
    <w:uiPriority w:val="59"/>
    <w:rPr>
      <w:rFonts w:ascii="Calibri" w:hAnsi="Calibri"/>
      <w:kern w:val="2"/>
      <w:sz w:val="21"/>
      <w:szCs w:val="2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Pr>
  </w:style>
  <w:style w:type="table" w:customStyle="1" w:styleId="1542">
    <w:name w:val="毛的表格"/>
    <w:basedOn w:val="88"/>
    <w:qFormat/>
    <w:uiPriority w:val="0"/>
    <w:pPr>
      <w:jc w:val="center"/>
    </w:pPr>
    <w:rPr>
      <w:sz w:val="24"/>
    </w:rPr>
    <w:tblP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Pr>
    <w:tcPr>
      <w:vAlign w:val="center"/>
    </w:tcPr>
  </w:style>
  <w:style w:type="table" w:customStyle="1" w:styleId="1543">
    <w:name w:val="网格型4"/>
    <w:basedOn w:val="88"/>
    <w:qFormat/>
    <w:uiPriority w:val="39"/>
    <w:rPr>
      <w:rFonts w:ascii="等线" w:hAnsi="等线" w:eastAsia="等线"/>
      <w:kern w:val="2"/>
      <w:sz w:val="21"/>
      <w:szCs w:val="2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Pr>
  </w:style>
  <w:style w:type="table" w:customStyle="1" w:styleId="1544">
    <w:name w:val="FHDI中文报告表格样式"/>
    <w:basedOn w:val="88"/>
    <w:qFormat/>
    <w:uiPriority w:val="0"/>
    <w:pPr>
      <w:snapToGrid w:val="0"/>
      <w:spacing w:line="300" w:lineRule="exact"/>
      <w:jc w:val="center"/>
    </w:pPr>
    <w:rPr>
      <w:sz w:val="21"/>
      <w:szCs w:val="24"/>
    </w:rPr>
    <w:tblPr>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Layout w:type="fixed"/>
    </w:tblPr>
    <w:tcPr>
      <w:vAlign w:val="center"/>
    </w:tcPr>
  </w:style>
  <w:style w:type="paragraph" w:customStyle="1" w:styleId="1545">
    <w:name w:val="样式 样式 标题 3标题 33 + 段前: 0.5 行 + 段前: 0.5 行"/>
    <w:basedOn w:val="1172"/>
    <w:qFormat/>
    <w:uiPriority w:val="0"/>
    <w:pPr>
      <w:numPr>
        <w:ilvl w:val="0"/>
        <w:numId w:val="0"/>
      </w:numPr>
      <w:ind w:left="1418" w:hanging="1418"/>
    </w:pPr>
  </w:style>
  <w:style w:type="paragraph" w:customStyle="1" w:styleId="1546">
    <w:name w:val="样式 样式 样式 标题 3标题 33 + 段前: 0.5 行 + 段前: 0.5 行 + 段前: 6 磅 段后: 6 磅"/>
    <w:basedOn w:val="1545"/>
    <w:qFormat/>
    <w:uiPriority w:val="0"/>
    <w:rPr>
      <w:color w:val="auto"/>
    </w:rPr>
  </w:style>
  <w:style w:type="paragraph" w:customStyle="1" w:styleId="1547">
    <w:name w:val="样式 样式 样式 标题 3标题 33 + 段前: 0.5 行 + 段前: 0.5 行 + 段前: 6 磅 段后: 6 磅1"/>
    <w:basedOn w:val="1545"/>
    <w:qFormat/>
    <w:uiPriority w:val="0"/>
  </w:style>
  <w:style w:type="character" w:customStyle="1" w:styleId="1548">
    <w:name w:val="图表标题 Char"/>
    <w:qFormat/>
    <w:uiPriority w:val="0"/>
    <w:rPr>
      <w:b/>
      <w:kern w:val="2"/>
      <w:sz w:val="24"/>
      <w:szCs w:val="24"/>
      <w:lang w:val="zh-CN" w:eastAsia="zh-CN"/>
    </w:rPr>
  </w:style>
  <w:style w:type="paragraph" w:customStyle="1" w:styleId="1549">
    <w:name w:val="05表格"/>
    <w:basedOn w:val="1"/>
    <w:link w:val="1550"/>
    <w:qFormat/>
    <w:uiPriority w:val="0"/>
    <w:pPr>
      <w:widowControl/>
      <w:spacing w:line="360" w:lineRule="exact"/>
      <w:ind w:left="-10" w:leftChars="-10" w:right="-10" w:rightChars="-10"/>
      <w:contextualSpacing/>
      <w:jc w:val="center"/>
      <w:textAlignment w:val="center"/>
    </w:pPr>
    <w:rPr>
      <w:bCs/>
      <w:color w:val="000000"/>
      <w:sz w:val="21"/>
      <w:szCs w:val="21"/>
    </w:rPr>
  </w:style>
  <w:style w:type="character" w:customStyle="1" w:styleId="1550">
    <w:name w:val="05表格 Char"/>
    <w:link w:val="1549"/>
    <w:qFormat/>
    <w:uiPriority w:val="0"/>
    <w:rPr>
      <w:bCs/>
      <w:color w:val="000000"/>
      <w:kern w:val="2"/>
      <w:sz w:val="21"/>
      <w:szCs w:val="21"/>
    </w:rPr>
  </w:style>
  <w:style w:type="table" w:customStyle="1" w:styleId="1551">
    <w:name w:val="网格型5"/>
    <w:basedOn w:val="88"/>
    <w:unhideWhenUsed/>
    <w:qFormat/>
    <w:uiPriority w:val="0"/>
    <w:rPr>
      <w:rFonts w:ascii="Calibri" w:hAnsi="Calibri" w:cs="Calibri"/>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Pr>
  </w:style>
  <w:style w:type="table" w:customStyle="1" w:styleId="1552">
    <w:name w:val="Table Normal1"/>
    <w:qFormat/>
    <w:uiPriority w:val="2"/>
    <w:pPr>
      <w:widowControl w:val="0"/>
    </w:pPr>
    <w:rPr>
      <w:rFonts w:ascii="Calibri" w:hAnsi="Calibri" w:eastAsia="Times New Roman"/>
      <w:sz w:val="22"/>
      <w:szCs w:val="22"/>
      <w:lang w:eastAsia="en-US"/>
    </w:rPr>
    <w:tblPr>
      <w:tblLayout w:type="fixed"/>
      <w:tblCellMar>
        <w:top w:w="0" w:type="dxa"/>
        <w:left w:w="0" w:type="dxa"/>
        <w:bottom w:w="0" w:type="dxa"/>
        <w:right w:w="0" w:type="dxa"/>
      </w:tblCellMar>
    </w:tblPr>
  </w:style>
  <w:style w:type="paragraph" w:customStyle="1" w:styleId="1553">
    <w:name w:val="正文文本首行缩进1"/>
    <w:basedOn w:val="1"/>
    <w:qFormat/>
    <w:uiPriority w:val="0"/>
    <w:pPr>
      <w:adjustRightInd w:val="0"/>
      <w:spacing w:line="300" w:lineRule="atLeast"/>
      <w:ind w:firstLine="539"/>
      <w:textAlignment w:val="baseline"/>
    </w:pPr>
    <w:rPr>
      <w:rFonts w:ascii="宋体"/>
      <w:kern w:val="0"/>
    </w:rPr>
  </w:style>
  <w:style w:type="character" w:customStyle="1" w:styleId="1554">
    <w:name w:val="纯文本 Char1"/>
    <w:qFormat/>
    <w:uiPriority w:val="0"/>
    <w:rPr>
      <w:rFonts w:ascii="宋体" w:hAnsi="Courier New" w:eastAsia="宋体" w:cs="Times New Roman"/>
      <w:color w:val="000000"/>
      <w:kern w:val="2"/>
      <w:sz w:val="32"/>
      <w:szCs w:val="20"/>
      <w:lang w:val="en-US" w:eastAsia="zh-CN" w:bidi="ar-SA"/>
    </w:rPr>
  </w:style>
  <w:style w:type="character" w:customStyle="1" w:styleId="1555">
    <w:name w:val="表格文字 Char1"/>
    <w:qFormat/>
    <w:uiPriority w:val="0"/>
    <w:rPr>
      <w:sz w:val="24"/>
      <w:szCs w:val="21"/>
    </w:rPr>
  </w:style>
  <w:style w:type="character" w:customStyle="1" w:styleId="1556">
    <w:name w:val="正文 + 行距: 1.5 倍行距 Char"/>
    <w:qFormat/>
    <w:uiPriority w:val="0"/>
    <w:rPr>
      <w:rFonts w:eastAsia="黑体" w:cs="宋体"/>
      <w:color w:val="000000"/>
      <w:kern w:val="2"/>
      <w:sz w:val="24"/>
      <w:szCs w:val="32"/>
      <w:lang w:val="en-US" w:eastAsia="zh-CN" w:bidi="ar-SA"/>
    </w:rPr>
  </w:style>
  <w:style w:type="paragraph" w:customStyle="1" w:styleId="1557">
    <w:name w:val="样式 正文缩进文本条款文本条款 Char Char Char Char Char Char Char Char文本条款 C...1"/>
    <w:basedOn w:val="7"/>
    <w:link w:val="1558"/>
    <w:qFormat/>
    <w:uiPriority w:val="0"/>
    <w:pPr>
      <w:snapToGrid w:val="0"/>
      <w:spacing w:line="520" w:lineRule="atLeast"/>
      <w:ind w:firstLine="560"/>
    </w:pPr>
    <w:rPr>
      <w:rFonts w:cs="宋体"/>
      <w:sz w:val="28"/>
      <w:szCs w:val="20"/>
    </w:rPr>
  </w:style>
  <w:style w:type="character" w:customStyle="1" w:styleId="1558">
    <w:name w:val="样式 正文缩进文本条款文本条款 Char Char Char Char Char Char Char Char文本条款 C...1 Char"/>
    <w:link w:val="1557"/>
    <w:qFormat/>
    <w:uiPriority w:val="0"/>
    <w:rPr>
      <w:rFonts w:cs="宋体"/>
      <w:kern w:val="2"/>
      <w:sz w:val="28"/>
    </w:rPr>
  </w:style>
  <w:style w:type="paragraph" w:customStyle="1" w:styleId="1559">
    <w:name w:val="样式 标题 1章标题 1b1H1PIM 1标书1-*+1st levelSection Headl1L1 H...2"/>
    <w:basedOn w:val="3"/>
    <w:qFormat/>
    <w:uiPriority w:val="0"/>
    <w:pPr>
      <w:keepLines/>
      <w:numPr>
        <w:numId w:val="20"/>
      </w:numPr>
      <w:tabs>
        <w:tab w:val="clear" w:pos="0"/>
      </w:tabs>
      <w:adjustRightInd w:val="0"/>
      <w:snapToGrid w:val="0"/>
      <w:spacing w:before="480" w:after="480" w:line="520" w:lineRule="atLeast"/>
      <w:ind w:left="0" w:firstLine="0"/>
    </w:pPr>
    <w:rPr>
      <w:rFonts w:eastAsia="仿宋_GB2312"/>
      <w:bCs/>
      <w:color w:val="000080"/>
      <w:kern w:val="44"/>
      <w:sz w:val="30"/>
      <w:szCs w:val="28"/>
    </w:rPr>
  </w:style>
  <w:style w:type="character" w:customStyle="1" w:styleId="1560">
    <w:name w:val="样式 正文缩进 + 首行缩进:  2 字符 Char"/>
    <w:link w:val="784"/>
    <w:qFormat/>
    <w:uiPriority w:val="0"/>
    <w:rPr>
      <w:rFonts w:ascii="宋体" w:hAnsi="宋体" w:cs="宋体"/>
      <w:sz w:val="24"/>
      <w:szCs w:val="24"/>
    </w:rPr>
  </w:style>
  <w:style w:type="paragraph" w:customStyle="1" w:styleId="1561">
    <w:name w:val="表格小4居中"/>
    <w:basedOn w:val="1"/>
    <w:link w:val="1562"/>
    <w:qFormat/>
    <w:uiPriority w:val="0"/>
    <w:pPr>
      <w:snapToGrid w:val="0"/>
      <w:spacing w:before="60" w:after="60" w:line="320" w:lineRule="atLeast"/>
      <w:jc w:val="center"/>
    </w:pPr>
    <w:rPr>
      <w:rFonts w:cs="宋体"/>
      <w:szCs w:val="20"/>
    </w:rPr>
  </w:style>
  <w:style w:type="character" w:customStyle="1" w:styleId="1562">
    <w:name w:val="表格小4居中 Char"/>
    <w:link w:val="1561"/>
    <w:qFormat/>
    <w:uiPriority w:val="0"/>
    <w:rPr>
      <w:rFonts w:cs="宋体"/>
      <w:kern w:val="2"/>
      <w:sz w:val="24"/>
    </w:rPr>
  </w:style>
  <w:style w:type="paragraph" w:customStyle="1" w:styleId="1563">
    <w:name w:val="表头4"/>
    <w:basedOn w:val="178"/>
    <w:link w:val="1564"/>
    <w:qFormat/>
    <w:uiPriority w:val="0"/>
    <w:pPr>
      <w:keepNext w:val="0"/>
      <w:tabs>
        <w:tab w:val="left" w:pos="960"/>
        <w:tab w:val="clear" w:pos="0"/>
      </w:tabs>
      <w:snapToGrid w:val="0"/>
      <w:spacing w:before="156" w:beforeLines="50" w:line="520" w:lineRule="atLeast"/>
      <w:ind w:left="960" w:hanging="420"/>
      <w:jc w:val="left"/>
      <w:outlineLvl w:val="9"/>
    </w:pPr>
    <w:rPr>
      <w:rFonts w:eastAsia="宋体" w:cs="Times New Roman"/>
      <w:b/>
      <w:bCs w:val="0"/>
      <w:sz w:val="28"/>
      <w:szCs w:val="24"/>
    </w:rPr>
  </w:style>
  <w:style w:type="character" w:customStyle="1" w:styleId="1564">
    <w:name w:val="表头4 Char"/>
    <w:link w:val="1563"/>
    <w:qFormat/>
    <w:uiPriority w:val="0"/>
    <w:rPr>
      <w:b/>
      <w:kern w:val="2"/>
      <w:sz w:val="28"/>
      <w:szCs w:val="24"/>
    </w:rPr>
  </w:style>
  <w:style w:type="paragraph" w:customStyle="1" w:styleId="1565">
    <w:name w:val="Date1"/>
    <w:basedOn w:val="1"/>
    <w:next w:val="1"/>
    <w:qFormat/>
    <w:uiPriority w:val="0"/>
    <w:pPr>
      <w:adjustRightInd w:val="0"/>
      <w:textAlignment w:val="baseline"/>
    </w:pPr>
    <w:rPr>
      <w:sz w:val="21"/>
      <w:szCs w:val="20"/>
    </w:rPr>
  </w:style>
  <w:style w:type="paragraph" w:customStyle="1" w:styleId="1566">
    <w:name w:val="样式 表头4 + 段前: 0.5 行"/>
    <w:basedOn w:val="1"/>
    <w:link w:val="1567"/>
    <w:qFormat/>
    <w:uiPriority w:val="0"/>
    <w:pPr>
      <w:tabs>
        <w:tab w:val="left" w:pos="360"/>
        <w:tab w:val="left" w:pos="960"/>
      </w:tabs>
      <w:snapToGrid w:val="0"/>
      <w:spacing w:before="78" w:beforeLines="25" w:line="520" w:lineRule="atLeast"/>
      <w:ind w:left="960"/>
    </w:pPr>
    <w:rPr>
      <w:b/>
      <w:bCs/>
      <w:kern w:val="0"/>
      <w:sz w:val="28"/>
      <w:szCs w:val="28"/>
      <w:lang w:val="zh-CN"/>
    </w:rPr>
  </w:style>
  <w:style w:type="character" w:customStyle="1" w:styleId="1567">
    <w:name w:val="样式 表头4 + 段前: 0.5 行 Char"/>
    <w:link w:val="1566"/>
    <w:qFormat/>
    <w:uiPriority w:val="0"/>
    <w:rPr>
      <w:b/>
      <w:bCs/>
      <w:sz w:val="28"/>
      <w:szCs w:val="28"/>
      <w:lang w:val="zh-CN" w:eastAsia="zh-CN"/>
    </w:rPr>
  </w:style>
  <w:style w:type="paragraph" w:customStyle="1" w:styleId="1568">
    <w:name w:val="符号"/>
    <w:basedOn w:val="784"/>
    <w:link w:val="1569"/>
    <w:qFormat/>
    <w:uiPriority w:val="0"/>
    <w:pPr>
      <w:numPr>
        <w:ilvl w:val="0"/>
        <w:numId w:val="21"/>
      </w:numPr>
      <w:tabs>
        <w:tab w:val="clear" w:pos="0"/>
      </w:tabs>
      <w:overflowPunct/>
      <w:autoSpaceDE/>
      <w:autoSpaceDN/>
      <w:snapToGrid w:val="0"/>
      <w:spacing w:line="480" w:lineRule="atLeast"/>
      <w:ind w:firstLine="0"/>
      <w:textAlignment w:val="auto"/>
    </w:pPr>
    <w:rPr>
      <w:rFonts w:ascii="Times New Roman" w:hAnsi="Times New Roman"/>
      <w:kern w:val="2"/>
      <w:sz w:val="28"/>
    </w:rPr>
  </w:style>
  <w:style w:type="character" w:customStyle="1" w:styleId="1569">
    <w:name w:val="符号 Char Char"/>
    <w:link w:val="1568"/>
    <w:qFormat/>
    <w:uiPriority w:val="0"/>
    <w:rPr>
      <w:rFonts w:cs="宋体"/>
      <w:b/>
      <w:color w:val="000000" w:themeColor="text1"/>
      <w:kern w:val="2"/>
      <w:sz w:val="28"/>
      <w:szCs w:val="24"/>
      <w14:textFill>
        <w14:solidFill>
          <w14:schemeClr w14:val="tx1"/>
        </w14:solidFill>
      </w14:textFill>
    </w:rPr>
  </w:style>
  <w:style w:type="paragraph" w:customStyle="1" w:styleId="1570">
    <w:name w:val="样式 样式 正文缩进 + 首行缩进:  2 字符 + 首行缩进:  2 字符1"/>
    <w:basedOn w:val="784"/>
    <w:link w:val="1571"/>
    <w:qFormat/>
    <w:uiPriority w:val="0"/>
    <w:pPr>
      <w:tabs>
        <w:tab w:val="clear" w:pos="0"/>
      </w:tabs>
      <w:overflowPunct/>
      <w:autoSpaceDE/>
      <w:autoSpaceDN/>
      <w:snapToGrid w:val="0"/>
      <w:spacing w:line="480" w:lineRule="atLeast"/>
      <w:textAlignment w:val="auto"/>
    </w:pPr>
    <w:rPr>
      <w:rFonts w:ascii="Times New Roman" w:hAnsi="Times New Roman"/>
      <w:kern w:val="2"/>
      <w:sz w:val="28"/>
    </w:rPr>
  </w:style>
  <w:style w:type="character" w:customStyle="1" w:styleId="1571">
    <w:name w:val="样式 样式 正文缩进 + 首行缩进:  2 字符 + 首行缩进:  2 字符1 Char"/>
    <w:link w:val="1570"/>
    <w:qFormat/>
    <w:uiPriority w:val="0"/>
    <w:rPr>
      <w:rFonts w:cs="宋体"/>
      <w:kern w:val="2"/>
      <w:sz w:val="28"/>
      <w:szCs w:val="24"/>
    </w:rPr>
  </w:style>
  <w:style w:type="paragraph" w:customStyle="1" w:styleId="1572">
    <w:name w:val="样式 样式 表头4 + 段前: 0.5 行2 + 段前: 0.25 行 段后: 0.25 行"/>
    <w:basedOn w:val="1"/>
    <w:qFormat/>
    <w:uiPriority w:val="0"/>
    <w:pPr>
      <w:snapToGrid w:val="0"/>
      <w:spacing w:before="95" w:beforeLines="25" w:after="95" w:afterLines="25" w:line="520" w:lineRule="atLeast"/>
      <w:jc w:val="left"/>
    </w:pPr>
    <w:rPr>
      <w:b/>
      <w:bCs/>
      <w:sz w:val="28"/>
      <w:lang w:val="zh-CN"/>
    </w:rPr>
  </w:style>
  <w:style w:type="paragraph" w:customStyle="1" w:styleId="1573">
    <w:name w:val="样式 样式 表格小4 + 段前: 0 磅 段后: 0 磅 行距: 最小值 12 磅 + 居中 段前: 0.1 行 段后: 0..."/>
    <w:basedOn w:val="1"/>
    <w:qFormat/>
    <w:uiPriority w:val="0"/>
    <w:pPr>
      <w:snapToGrid w:val="0"/>
      <w:spacing w:before="10" w:beforeLines="10" w:after="10" w:afterLines="10"/>
      <w:jc w:val="center"/>
    </w:pPr>
    <w:rPr>
      <w:rFonts w:cs="宋体"/>
      <w:szCs w:val="20"/>
    </w:rPr>
  </w:style>
  <w:style w:type="paragraph" w:customStyle="1" w:styleId="1574">
    <w:name w:val="样式 正文缩进文本条款表正文正文非缩进表格标题正文（首行缩进两字） Char Char Char Char Char ..."/>
    <w:basedOn w:val="7"/>
    <w:link w:val="1575"/>
    <w:qFormat/>
    <w:uiPriority w:val="0"/>
    <w:pPr>
      <w:snapToGrid w:val="0"/>
      <w:spacing w:line="520" w:lineRule="atLeast"/>
      <w:ind w:firstLine="549"/>
    </w:pPr>
    <w:rPr>
      <w:sz w:val="28"/>
      <w:szCs w:val="20"/>
      <w:lang w:val="zh-CN"/>
    </w:rPr>
  </w:style>
  <w:style w:type="character" w:customStyle="1" w:styleId="1575">
    <w:name w:val="样式 正文缩进文本条款表正文正文非缩进表格标题正文（首行缩进两字） Char Char Char Char Char ... Char"/>
    <w:link w:val="1574"/>
    <w:qFormat/>
    <w:uiPriority w:val="0"/>
    <w:rPr>
      <w:kern w:val="2"/>
      <w:sz w:val="28"/>
      <w:lang w:val="zh-CN" w:eastAsia="zh-CN"/>
    </w:rPr>
  </w:style>
  <w:style w:type="paragraph" w:customStyle="1" w:styleId="1576">
    <w:name w:val="样式 首行缩进:  1 厘米"/>
    <w:basedOn w:val="1"/>
    <w:link w:val="1577"/>
    <w:qFormat/>
    <w:uiPriority w:val="0"/>
    <w:pPr>
      <w:snapToGrid w:val="0"/>
      <w:spacing w:line="480" w:lineRule="atLeast"/>
      <w:ind w:firstLine="567"/>
    </w:pPr>
    <w:rPr>
      <w:sz w:val="28"/>
      <w:szCs w:val="20"/>
      <w:lang w:val="zh-CN"/>
    </w:rPr>
  </w:style>
  <w:style w:type="character" w:customStyle="1" w:styleId="1577">
    <w:name w:val="样式 首行缩进:  1 厘米 Char"/>
    <w:link w:val="1576"/>
    <w:qFormat/>
    <w:uiPriority w:val="0"/>
    <w:rPr>
      <w:kern w:val="2"/>
      <w:sz w:val="28"/>
      <w:lang w:val="zh-CN" w:eastAsia="zh-CN"/>
    </w:rPr>
  </w:style>
  <w:style w:type="paragraph" w:customStyle="1" w:styleId="1578">
    <w:name w:val="表头尹东晓"/>
    <w:basedOn w:val="12"/>
    <w:link w:val="1579"/>
    <w:qFormat/>
    <w:uiPriority w:val="0"/>
    <w:pPr>
      <w:keepNext w:val="0"/>
      <w:keepLines w:val="0"/>
      <w:adjustRightInd w:val="0"/>
      <w:spacing w:before="0" w:after="0" w:line="360" w:lineRule="auto"/>
      <w:jc w:val="center"/>
      <w:outlineLvl w:val="9"/>
    </w:pPr>
    <w:rPr>
      <w:rFonts w:ascii="Times New Roman" w:hAnsi="Times New Roman" w:eastAsia="宋体"/>
      <w:b/>
      <w:snapToGrid w:val="0"/>
      <w:kern w:val="0"/>
      <w:sz w:val="21"/>
      <w:szCs w:val="21"/>
      <w:lang w:val="zh-CN"/>
    </w:rPr>
  </w:style>
  <w:style w:type="character" w:customStyle="1" w:styleId="1579">
    <w:name w:val="表头尹东晓 Char"/>
    <w:link w:val="1578"/>
    <w:qFormat/>
    <w:uiPriority w:val="0"/>
    <w:rPr>
      <w:b/>
      <w:snapToGrid w:val="0"/>
      <w:sz w:val="21"/>
      <w:szCs w:val="21"/>
      <w:lang w:val="zh-CN" w:eastAsia="zh-CN"/>
    </w:rPr>
  </w:style>
  <w:style w:type="paragraph" w:customStyle="1" w:styleId="1580">
    <w:name w:val="表格尹东晓"/>
    <w:basedOn w:val="1"/>
    <w:link w:val="1581"/>
    <w:qFormat/>
    <w:uiPriority w:val="0"/>
    <w:pPr>
      <w:adjustRightInd w:val="0"/>
      <w:snapToGrid w:val="0"/>
      <w:spacing w:line="240" w:lineRule="atLeast"/>
      <w:jc w:val="center"/>
    </w:pPr>
    <w:rPr>
      <w:bCs/>
      <w:snapToGrid w:val="0"/>
      <w:spacing w:val="6"/>
      <w:kern w:val="0"/>
      <w:sz w:val="21"/>
      <w:szCs w:val="30"/>
    </w:rPr>
  </w:style>
  <w:style w:type="character" w:customStyle="1" w:styleId="1581">
    <w:name w:val="表格尹东晓 Char"/>
    <w:link w:val="1580"/>
    <w:qFormat/>
    <w:uiPriority w:val="0"/>
    <w:rPr>
      <w:bCs/>
      <w:snapToGrid w:val="0"/>
      <w:spacing w:val="6"/>
      <w:sz w:val="21"/>
      <w:szCs w:val="30"/>
    </w:rPr>
  </w:style>
  <w:style w:type="paragraph" w:customStyle="1" w:styleId="1582">
    <w:name w:val="正文首行缩进 2 + Times New Roman"/>
    <w:basedOn w:val="1"/>
    <w:link w:val="1583"/>
    <w:qFormat/>
    <w:uiPriority w:val="0"/>
    <w:pPr>
      <w:tabs>
        <w:tab w:val="left" w:pos="0"/>
        <w:tab w:val="left" w:pos="870"/>
        <w:tab w:val="left" w:pos="3150"/>
      </w:tabs>
      <w:autoSpaceDE w:val="0"/>
      <w:autoSpaceDN w:val="0"/>
      <w:spacing w:line="360" w:lineRule="auto"/>
      <w:ind w:firstLine="480" w:firstLineChars="200"/>
      <w:jc w:val="left"/>
    </w:pPr>
    <w:rPr>
      <w:rFonts w:eastAsia="黑体" w:cs="宋体"/>
      <w:color w:val="000000"/>
      <w:szCs w:val="21"/>
    </w:rPr>
  </w:style>
  <w:style w:type="character" w:customStyle="1" w:styleId="1583">
    <w:name w:val="正文首行缩进 2 + Times New Roman Char"/>
    <w:link w:val="1582"/>
    <w:qFormat/>
    <w:uiPriority w:val="0"/>
    <w:rPr>
      <w:rFonts w:eastAsia="黑体" w:cs="宋体"/>
      <w:color w:val="000000"/>
      <w:kern w:val="2"/>
      <w:sz w:val="24"/>
      <w:szCs w:val="21"/>
    </w:rPr>
  </w:style>
  <w:style w:type="character" w:customStyle="1" w:styleId="1584">
    <w:name w:val="标准正文 Char"/>
    <w:link w:val="1585"/>
    <w:qFormat/>
    <w:locked/>
    <w:uiPriority w:val="0"/>
    <w:rPr>
      <w:sz w:val="24"/>
      <w:szCs w:val="24"/>
      <w:lang w:val="zh-CN" w:eastAsia="zh-CN"/>
    </w:rPr>
  </w:style>
  <w:style w:type="paragraph" w:customStyle="1" w:styleId="1585">
    <w:name w:val="标准正文"/>
    <w:basedOn w:val="1"/>
    <w:link w:val="1584"/>
    <w:qFormat/>
    <w:uiPriority w:val="0"/>
    <w:pPr>
      <w:ind w:firstLine="200" w:firstLineChars="200"/>
      <w:jc w:val="left"/>
    </w:pPr>
    <w:rPr>
      <w:kern w:val="0"/>
      <w:lang w:val="zh-CN"/>
    </w:rPr>
  </w:style>
  <w:style w:type="character" w:customStyle="1" w:styleId="1586">
    <w:name w:val="5号表格 Char"/>
    <w:link w:val="1587"/>
    <w:qFormat/>
    <w:locked/>
    <w:uiPriority w:val="0"/>
    <w:rPr>
      <w:kern w:val="2"/>
      <w:sz w:val="24"/>
      <w:szCs w:val="22"/>
    </w:rPr>
  </w:style>
  <w:style w:type="paragraph" w:customStyle="1" w:styleId="1587">
    <w:name w:val="五号表格"/>
    <w:basedOn w:val="643"/>
    <w:link w:val="1586"/>
    <w:qFormat/>
    <w:uiPriority w:val="0"/>
    <w:pPr>
      <w:adjustRightInd/>
      <w:jc w:val="center"/>
    </w:pPr>
  </w:style>
  <w:style w:type="paragraph" w:customStyle="1" w:styleId="1588">
    <w:name w:val="Char Char Char Char Char Char1 Char Char Char1 Char Char Char Char Char Char Char Char Char Char Char Char Char Char Char1 Char Char Char1 Char Char Char Char Char Char1 Char Char Char Char Char Char Char Char Char Char Char"/>
    <w:basedOn w:val="1"/>
    <w:qFormat/>
    <w:uiPriority w:val="0"/>
    <w:pPr>
      <w:spacing w:line="360" w:lineRule="auto"/>
      <w:ind w:firstLine="200" w:firstLineChars="200"/>
    </w:pPr>
    <w:rPr>
      <w:rFonts w:ascii="宋体" w:hAnsi="宋体" w:cs="宋体"/>
    </w:rPr>
  </w:style>
  <w:style w:type="character" w:customStyle="1" w:styleId="1589">
    <w:name w:val="标题 6 Char1"/>
    <w:qFormat/>
    <w:uiPriority w:val="0"/>
    <w:rPr>
      <w:rFonts w:ascii="Cambria" w:hAnsi="Cambria" w:eastAsia="宋体" w:cs="Times New Roman"/>
      <w:b/>
      <w:bCs/>
      <w:color w:val="000000"/>
      <w:kern w:val="2"/>
      <w:sz w:val="24"/>
      <w:szCs w:val="24"/>
      <w:lang w:val="en-US" w:eastAsia="zh-CN" w:bidi="ar-SA"/>
    </w:rPr>
  </w:style>
  <w:style w:type="character" w:customStyle="1" w:styleId="1590">
    <w:name w:val="标题 8 Char1"/>
    <w:semiHidden/>
    <w:qFormat/>
    <w:uiPriority w:val="0"/>
    <w:rPr>
      <w:rFonts w:ascii="Cambria" w:hAnsi="Cambria" w:eastAsia="宋体" w:cs="Times New Roman"/>
      <w:color w:val="000000"/>
      <w:kern w:val="2"/>
      <w:sz w:val="24"/>
      <w:szCs w:val="24"/>
      <w:lang w:val="en-US" w:eastAsia="zh-CN" w:bidi="ar-SA"/>
    </w:rPr>
  </w:style>
  <w:style w:type="character" w:customStyle="1" w:styleId="1591">
    <w:name w:val="标题 9 Char2"/>
    <w:semiHidden/>
    <w:qFormat/>
    <w:uiPriority w:val="0"/>
    <w:rPr>
      <w:rFonts w:ascii="Cambria" w:hAnsi="Cambria" w:eastAsia="宋体" w:cs="Times New Roman"/>
      <w:color w:val="000000"/>
      <w:kern w:val="2"/>
      <w:sz w:val="21"/>
      <w:szCs w:val="21"/>
      <w:lang w:val="en-US" w:eastAsia="zh-CN" w:bidi="ar-SA"/>
    </w:rPr>
  </w:style>
  <w:style w:type="character" w:customStyle="1" w:styleId="1592">
    <w:name w:val="题注 字符1"/>
    <w:qFormat/>
    <w:locked/>
    <w:uiPriority w:val="0"/>
    <w:rPr>
      <w:b/>
      <w:color w:val="FF0000"/>
      <w:kern w:val="2"/>
      <w:sz w:val="24"/>
      <w:szCs w:val="24"/>
    </w:rPr>
  </w:style>
  <w:style w:type="paragraph" w:styleId="1593">
    <w:name w:val="Intense Quote"/>
    <w:basedOn w:val="1"/>
    <w:next w:val="1"/>
    <w:link w:val="1594"/>
    <w:qFormat/>
    <w:uiPriority w:val="30"/>
    <w:pPr>
      <w:widowControl/>
      <w:pBdr>
        <w:top w:val="dotted" w:color="632423" w:sz="2" w:space="10"/>
        <w:bottom w:val="dotted" w:color="632423" w:sz="2" w:space="4"/>
      </w:pBdr>
      <w:snapToGrid w:val="0"/>
      <w:spacing w:before="160" w:line="300" w:lineRule="auto"/>
      <w:ind w:left="1440" w:right="1440"/>
      <w:jc w:val="left"/>
    </w:pPr>
    <w:rPr>
      <w:caps/>
      <w:color w:val="622423"/>
      <w:spacing w:val="5"/>
      <w:kern w:val="0"/>
      <w:sz w:val="20"/>
      <w:szCs w:val="20"/>
      <w:lang w:val="zh-CN"/>
    </w:rPr>
  </w:style>
  <w:style w:type="character" w:customStyle="1" w:styleId="1594">
    <w:name w:val="明显引用 字符"/>
    <w:basedOn w:val="133"/>
    <w:link w:val="1593"/>
    <w:qFormat/>
    <w:uiPriority w:val="30"/>
    <w:rPr>
      <w:caps/>
      <w:color w:val="622423"/>
      <w:spacing w:val="5"/>
      <w:lang w:val="zh-CN" w:eastAsia="zh-CN"/>
    </w:rPr>
  </w:style>
  <w:style w:type="character" w:customStyle="1" w:styleId="1595">
    <w:name w:val="带编号正文 Char"/>
    <w:link w:val="1596"/>
    <w:qFormat/>
    <w:locked/>
    <w:uiPriority w:val="0"/>
    <w:rPr>
      <w:kern w:val="2"/>
      <w:sz w:val="24"/>
      <w:szCs w:val="22"/>
      <w:lang w:val="zh-CN"/>
    </w:rPr>
  </w:style>
  <w:style w:type="paragraph" w:customStyle="1" w:styleId="1596">
    <w:name w:val="带编号正文"/>
    <w:basedOn w:val="1585"/>
    <w:link w:val="1595"/>
    <w:qFormat/>
    <w:uiPriority w:val="0"/>
    <w:pPr>
      <w:numPr>
        <w:ilvl w:val="0"/>
        <w:numId w:val="22"/>
      </w:numPr>
      <w:ind w:firstLine="0" w:firstLineChars="0"/>
    </w:pPr>
    <w:rPr>
      <w:kern w:val="2"/>
      <w:szCs w:val="22"/>
    </w:rPr>
  </w:style>
  <w:style w:type="paragraph" w:customStyle="1" w:styleId="1597">
    <w:name w:val="环龙公司文本正文"/>
    <w:qFormat/>
    <w:uiPriority w:val="0"/>
    <w:pPr>
      <w:widowControl w:val="0"/>
      <w:spacing w:line="360" w:lineRule="auto"/>
      <w:ind w:firstLine="200" w:firstLineChars="200"/>
      <w:jc w:val="both"/>
    </w:pPr>
    <w:rPr>
      <w:rFonts w:ascii="Times New Roman" w:hAnsi="Times New Roman" w:eastAsia="宋体" w:cs="Times New Roman"/>
      <w:kern w:val="2"/>
      <w:sz w:val="24"/>
      <w:szCs w:val="24"/>
      <w:lang w:val="en-US" w:eastAsia="zh-CN" w:bidi="ar-SA"/>
    </w:rPr>
  </w:style>
  <w:style w:type="paragraph" w:customStyle="1" w:styleId="1598">
    <w:name w:val="样式 文字 + 段前: 7.8 磅"/>
    <w:basedOn w:val="1"/>
    <w:qFormat/>
    <w:uiPriority w:val="0"/>
    <w:pPr>
      <w:widowControl/>
      <w:adjustRightInd w:val="0"/>
      <w:snapToGrid w:val="0"/>
      <w:ind w:firstLine="480" w:firstLineChars="200"/>
    </w:pPr>
    <w:rPr>
      <w:rFonts w:ascii="宋体" w:hAnsi="宋体" w:cs="宋体"/>
      <w:kern w:val="0"/>
      <w:szCs w:val="20"/>
    </w:rPr>
  </w:style>
  <w:style w:type="character" w:customStyle="1" w:styleId="1599">
    <w:name w:val="4号表头1 Char"/>
    <w:link w:val="1600"/>
    <w:qFormat/>
    <w:locked/>
    <w:uiPriority w:val="0"/>
    <w:rPr>
      <w:kern w:val="2"/>
      <w:sz w:val="24"/>
      <w:szCs w:val="22"/>
    </w:rPr>
  </w:style>
  <w:style w:type="paragraph" w:customStyle="1" w:styleId="1600">
    <w:name w:val="4号表头1"/>
    <w:link w:val="1599"/>
    <w:qFormat/>
    <w:uiPriority w:val="0"/>
    <w:pPr>
      <w:jc w:val="center"/>
    </w:pPr>
    <w:rPr>
      <w:rFonts w:ascii="Times New Roman" w:hAnsi="Times New Roman" w:eastAsia="宋体" w:cs="Times New Roman"/>
      <w:kern w:val="2"/>
      <w:sz w:val="24"/>
      <w:szCs w:val="22"/>
      <w:lang w:val="en-US" w:eastAsia="zh-CN" w:bidi="ar-SA"/>
    </w:rPr>
  </w:style>
  <w:style w:type="character" w:customStyle="1" w:styleId="1601">
    <w:name w:val="五号表注 Char"/>
    <w:link w:val="1602"/>
    <w:qFormat/>
    <w:locked/>
    <w:uiPriority w:val="0"/>
    <w:rPr>
      <w:kern w:val="2"/>
      <w:sz w:val="21"/>
      <w:szCs w:val="21"/>
      <w:lang w:val="zh-CN" w:eastAsia="zh-CN"/>
    </w:rPr>
  </w:style>
  <w:style w:type="paragraph" w:customStyle="1" w:styleId="1602">
    <w:name w:val="五号表注"/>
    <w:basedOn w:val="1585"/>
    <w:next w:val="1585"/>
    <w:link w:val="1601"/>
    <w:qFormat/>
    <w:uiPriority w:val="0"/>
    <w:pPr>
      <w:ind w:firstLine="0" w:firstLineChars="0"/>
    </w:pPr>
    <w:rPr>
      <w:kern w:val="2"/>
      <w:sz w:val="21"/>
      <w:szCs w:val="21"/>
    </w:rPr>
  </w:style>
  <w:style w:type="character" w:customStyle="1" w:styleId="1603">
    <w:name w:val="四号表头 Char"/>
    <w:link w:val="1604"/>
    <w:qFormat/>
    <w:locked/>
    <w:uiPriority w:val="0"/>
    <w:rPr>
      <w:kern w:val="2"/>
      <w:sz w:val="24"/>
      <w:szCs w:val="22"/>
      <w:lang w:val="zh-CN" w:eastAsia="zh-CN"/>
    </w:rPr>
  </w:style>
  <w:style w:type="paragraph" w:customStyle="1" w:styleId="1604">
    <w:name w:val="四号表头"/>
    <w:basedOn w:val="1585"/>
    <w:link w:val="1603"/>
    <w:qFormat/>
    <w:uiPriority w:val="0"/>
    <w:pPr>
      <w:ind w:firstLine="0" w:firstLineChars="0"/>
      <w:jc w:val="center"/>
    </w:pPr>
    <w:rPr>
      <w:kern w:val="2"/>
      <w:szCs w:val="22"/>
    </w:rPr>
  </w:style>
  <w:style w:type="character" w:customStyle="1" w:styleId="1605">
    <w:name w:val="表后正文 Char"/>
    <w:link w:val="1606"/>
    <w:qFormat/>
    <w:locked/>
    <w:uiPriority w:val="0"/>
    <w:rPr>
      <w:kern w:val="2"/>
      <w:sz w:val="24"/>
      <w:szCs w:val="22"/>
      <w:lang w:val="zh-CN" w:eastAsia="zh-CN"/>
    </w:rPr>
  </w:style>
  <w:style w:type="paragraph" w:customStyle="1" w:styleId="1606">
    <w:name w:val="表后正文"/>
    <w:basedOn w:val="1585"/>
    <w:link w:val="1605"/>
    <w:qFormat/>
    <w:uiPriority w:val="0"/>
    <w:pPr>
      <w:spacing w:beforeLines="50"/>
    </w:pPr>
    <w:rPr>
      <w:kern w:val="2"/>
      <w:szCs w:val="22"/>
    </w:rPr>
  </w:style>
  <w:style w:type="paragraph" w:customStyle="1" w:styleId="1607">
    <w:name w:val="表格新"/>
    <w:basedOn w:val="1"/>
    <w:qFormat/>
    <w:uiPriority w:val="0"/>
    <w:pPr>
      <w:widowControl/>
      <w:adjustRightInd w:val="0"/>
      <w:snapToGrid w:val="0"/>
      <w:spacing w:before="60" w:after="60"/>
      <w:jc w:val="center"/>
    </w:pPr>
    <w:rPr>
      <w:rFonts w:ascii="宋体" w:hAnsi="宋体" w:cs="宋体"/>
      <w:kern w:val="0"/>
    </w:rPr>
  </w:style>
  <w:style w:type="character" w:customStyle="1" w:styleId="1608">
    <w:name w:val="正文2 Char"/>
    <w:link w:val="838"/>
    <w:qFormat/>
    <w:locked/>
    <w:uiPriority w:val="0"/>
    <w:rPr>
      <w:spacing w:val="-2"/>
      <w:sz w:val="28"/>
    </w:rPr>
  </w:style>
  <w:style w:type="character" w:customStyle="1" w:styleId="1609">
    <w:name w:val="样式7表 Char"/>
    <w:link w:val="1610"/>
    <w:qFormat/>
    <w:locked/>
    <w:uiPriority w:val="0"/>
    <w:rPr>
      <w:rFonts w:ascii="宋体" w:hAnsi="Courier New"/>
      <w:spacing w:val="6"/>
      <w:sz w:val="21"/>
      <w:szCs w:val="21"/>
      <w:lang w:val="zh-CN" w:eastAsia="zh-CN"/>
    </w:rPr>
  </w:style>
  <w:style w:type="paragraph" w:customStyle="1" w:styleId="1610">
    <w:name w:val="样式7表"/>
    <w:basedOn w:val="1"/>
    <w:link w:val="1609"/>
    <w:qFormat/>
    <w:uiPriority w:val="0"/>
    <w:pPr>
      <w:widowControl/>
      <w:adjustRightInd w:val="0"/>
      <w:snapToGrid w:val="0"/>
      <w:spacing w:before="100" w:beforeAutospacing="1"/>
      <w:jc w:val="center"/>
    </w:pPr>
    <w:rPr>
      <w:rFonts w:ascii="宋体" w:hAnsi="Courier New"/>
      <w:spacing w:val="6"/>
      <w:kern w:val="0"/>
      <w:sz w:val="21"/>
      <w:szCs w:val="21"/>
      <w:lang w:val="zh-CN"/>
    </w:rPr>
  </w:style>
  <w:style w:type="paragraph" w:customStyle="1" w:styleId="1611">
    <w:name w:val="正文3"/>
    <w:qFormat/>
    <w:uiPriority w:val="0"/>
    <w:pPr>
      <w:jc w:val="both"/>
    </w:pPr>
    <w:rPr>
      <w:rFonts w:ascii="Cambria" w:hAnsi="Cambria" w:eastAsia="宋体" w:cs="宋体"/>
      <w:kern w:val="2"/>
      <w:sz w:val="21"/>
      <w:szCs w:val="21"/>
      <w:lang w:val="en-US" w:eastAsia="zh-CN" w:bidi="ar-SA"/>
    </w:rPr>
  </w:style>
  <w:style w:type="paragraph" w:customStyle="1" w:styleId="1612">
    <w:name w:val="正文4"/>
    <w:qFormat/>
    <w:uiPriority w:val="0"/>
    <w:pPr>
      <w:jc w:val="both"/>
    </w:pPr>
    <w:rPr>
      <w:rFonts w:ascii="Cambria" w:hAnsi="Cambria" w:eastAsia="宋体" w:cs="宋体"/>
      <w:kern w:val="2"/>
      <w:sz w:val="21"/>
      <w:szCs w:val="21"/>
      <w:lang w:val="en-US" w:eastAsia="zh-CN" w:bidi="ar-SA"/>
    </w:rPr>
  </w:style>
  <w:style w:type="paragraph" w:customStyle="1" w:styleId="1613">
    <w:name w:val="正文5"/>
    <w:qFormat/>
    <w:uiPriority w:val="0"/>
    <w:pPr>
      <w:jc w:val="both"/>
    </w:pPr>
    <w:rPr>
      <w:rFonts w:ascii="Times New Roman" w:hAnsi="Times New Roman" w:eastAsia="宋体" w:cs="Times New Roman"/>
      <w:kern w:val="2"/>
      <w:sz w:val="21"/>
      <w:szCs w:val="21"/>
      <w:lang w:val="en-US" w:eastAsia="zh-CN" w:bidi="ar-SA"/>
    </w:rPr>
  </w:style>
  <w:style w:type="paragraph" w:customStyle="1" w:styleId="1614">
    <w:name w:val="正文6"/>
    <w:qFormat/>
    <w:uiPriority w:val="0"/>
    <w:pPr>
      <w:jc w:val="both"/>
    </w:pPr>
    <w:rPr>
      <w:rFonts w:ascii="Cambria" w:hAnsi="Cambria" w:eastAsia="宋体" w:cs="宋体"/>
      <w:kern w:val="2"/>
      <w:sz w:val="21"/>
      <w:szCs w:val="21"/>
      <w:lang w:val="en-US" w:eastAsia="zh-CN" w:bidi="ar-SA"/>
    </w:rPr>
  </w:style>
  <w:style w:type="character" w:customStyle="1" w:styleId="1615">
    <w:name w:val="1）编号正文 Char"/>
    <w:link w:val="1616"/>
    <w:qFormat/>
    <w:locked/>
    <w:uiPriority w:val="0"/>
    <w:rPr>
      <w:kern w:val="2"/>
      <w:sz w:val="24"/>
      <w:szCs w:val="22"/>
      <w:lang w:val="zh-CN" w:eastAsia="zh-CN"/>
    </w:rPr>
  </w:style>
  <w:style w:type="paragraph" w:customStyle="1" w:styleId="1616">
    <w:name w:val="1）编号正文"/>
    <w:basedOn w:val="1596"/>
    <w:link w:val="1615"/>
    <w:qFormat/>
    <w:uiPriority w:val="0"/>
    <w:pPr>
      <w:numPr>
        <w:ilvl w:val="0"/>
        <w:numId w:val="0"/>
      </w:numPr>
      <w:ind w:left="480" w:leftChars="200" w:firstLine="120" w:firstLineChars="50"/>
    </w:pPr>
  </w:style>
  <w:style w:type="character" w:customStyle="1" w:styleId="1617">
    <w:name w:val="a)编号 Char"/>
    <w:link w:val="1618"/>
    <w:qFormat/>
    <w:locked/>
    <w:uiPriority w:val="0"/>
  </w:style>
  <w:style w:type="paragraph" w:customStyle="1" w:styleId="1618">
    <w:name w:val="a)编号"/>
    <w:basedOn w:val="1596"/>
    <w:link w:val="1617"/>
    <w:qFormat/>
    <w:uiPriority w:val="0"/>
    <w:pPr>
      <w:numPr>
        <w:numId w:val="23"/>
      </w:numPr>
      <w:ind w:firstLine="480"/>
    </w:pPr>
    <w:rPr>
      <w:kern w:val="0"/>
      <w:sz w:val="20"/>
      <w:szCs w:val="20"/>
      <w:lang w:val="en-US"/>
    </w:rPr>
  </w:style>
  <w:style w:type="character" w:customStyle="1" w:styleId="1619">
    <w:name w:val="表格文字2 Char"/>
    <w:link w:val="773"/>
    <w:qFormat/>
    <w:locked/>
    <w:uiPriority w:val="0"/>
    <w:rPr>
      <w:sz w:val="21"/>
    </w:rPr>
  </w:style>
  <w:style w:type="character" w:customStyle="1" w:styleId="1620">
    <w:name w:val="正文首行缩进 2 + Times New Roman Char1"/>
    <w:qFormat/>
    <w:locked/>
    <w:uiPriority w:val="0"/>
    <w:rPr>
      <w:sz w:val="24"/>
      <w:szCs w:val="24"/>
    </w:rPr>
  </w:style>
  <w:style w:type="paragraph" w:customStyle="1" w:styleId="1621">
    <w:name w:val="表内字体-烟台"/>
    <w:basedOn w:val="1"/>
    <w:qFormat/>
    <w:uiPriority w:val="0"/>
    <w:pPr>
      <w:widowControl/>
      <w:adjustRightInd w:val="0"/>
      <w:snapToGrid w:val="0"/>
      <w:jc w:val="center"/>
    </w:pPr>
    <w:rPr>
      <w:rFonts w:ascii="宋体" w:hAnsi="宋体" w:cs="宋体"/>
      <w:color w:val="000000"/>
      <w:kern w:val="0"/>
      <w:sz w:val="21"/>
      <w:szCs w:val="21"/>
    </w:rPr>
  </w:style>
  <w:style w:type="character" w:customStyle="1" w:styleId="1622">
    <w:name w:val="表头图名 Char"/>
    <w:link w:val="1623"/>
    <w:qFormat/>
    <w:locked/>
    <w:uiPriority w:val="0"/>
    <w:rPr>
      <w:rFonts w:ascii="黑体" w:hAnsi="黑体" w:eastAsia="黑体"/>
      <w:kern w:val="2"/>
      <w:sz w:val="24"/>
      <w:szCs w:val="24"/>
      <w:lang w:val="zh-CN" w:eastAsia="zh-CN"/>
    </w:rPr>
  </w:style>
  <w:style w:type="paragraph" w:customStyle="1" w:styleId="1623">
    <w:name w:val="表头图名"/>
    <w:basedOn w:val="1"/>
    <w:link w:val="1622"/>
    <w:qFormat/>
    <w:uiPriority w:val="0"/>
    <w:pPr>
      <w:widowControl/>
      <w:spacing w:line="520" w:lineRule="exact"/>
      <w:contextualSpacing/>
      <w:jc w:val="center"/>
    </w:pPr>
    <w:rPr>
      <w:rFonts w:ascii="黑体" w:hAnsi="黑体" w:eastAsia="黑体"/>
      <w:lang w:val="zh-CN"/>
    </w:rPr>
  </w:style>
  <w:style w:type="paragraph" w:customStyle="1" w:styleId="1624">
    <w:name w:val="标题 41"/>
    <w:basedOn w:val="1"/>
    <w:next w:val="1"/>
    <w:qFormat/>
    <w:uiPriority w:val="9"/>
    <w:pPr>
      <w:keepNext/>
      <w:keepLines/>
      <w:widowControl/>
      <w:spacing w:before="280" w:after="290" w:line="374" w:lineRule="auto"/>
      <w:outlineLvl w:val="3"/>
    </w:pPr>
    <w:rPr>
      <w:rFonts w:ascii="Cambria" w:hAnsi="Cambria" w:cs="宋体"/>
      <w:b/>
      <w:bCs/>
      <w:kern w:val="0"/>
      <w:sz w:val="28"/>
      <w:szCs w:val="28"/>
    </w:rPr>
  </w:style>
  <w:style w:type="paragraph" w:customStyle="1" w:styleId="1625">
    <w:name w:val="表格标题格式"/>
    <w:basedOn w:val="1"/>
    <w:qFormat/>
    <w:uiPriority w:val="0"/>
    <w:pPr>
      <w:widowControl/>
      <w:jc w:val="center"/>
    </w:pPr>
    <w:rPr>
      <w:rFonts w:ascii="宋体" w:hAnsi="宋体" w:cs="宋体"/>
      <w:b/>
      <w:kern w:val="0"/>
      <w:sz w:val="21"/>
      <w:szCs w:val="21"/>
    </w:rPr>
  </w:style>
  <w:style w:type="character" w:customStyle="1" w:styleId="1626">
    <w:name w:val="标题3 Char"/>
    <w:link w:val="256"/>
    <w:qFormat/>
    <w:locked/>
    <w:uiPriority w:val="0"/>
    <w:rPr>
      <w:i/>
      <w:sz w:val="28"/>
      <w:szCs w:val="24"/>
    </w:rPr>
  </w:style>
  <w:style w:type="paragraph" w:customStyle="1" w:styleId="1627">
    <w:name w:val="正文内容"/>
    <w:basedOn w:val="1"/>
    <w:link w:val="1628"/>
    <w:qFormat/>
    <w:uiPriority w:val="0"/>
    <w:pPr>
      <w:widowControl/>
      <w:spacing w:line="520" w:lineRule="exact"/>
      <w:ind w:firstLine="200" w:firstLineChars="200"/>
      <w:contextualSpacing/>
    </w:pPr>
    <w:rPr>
      <w:lang w:val="zh-CN"/>
    </w:rPr>
  </w:style>
  <w:style w:type="character" w:customStyle="1" w:styleId="1628">
    <w:name w:val="正文内容 Char"/>
    <w:link w:val="1627"/>
    <w:qFormat/>
    <w:locked/>
    <w:uiPriority w:val="0"/>
    <w:rPr>
      <w:kern w:val="2"/>
      <w:sz w:val="24"/>
      <w:szCs w:val="24"/>
      <w:lang w:val="zh-CN" w:eastAsia="zh-CN"/>
    </w:rPr>
  </w:style>
  <w:style w:type="paragraph" w:customStyle="1" w:styleId="1629">
    <w:name w:val="图、表标题"/>
    <w:basedOn w:val="22"/>
    <w:qFormat/>
    <w:uiPriority w:val="0"/>
    <w:pPr>
      <w:widowControl/>
      <w:adjustRightInd w:val="0"/>
      <w:snapToGrid w:val="0"/>
      <w:spacing w:line="360" w:lineRule="auto"/>
      <w:ind w:firstLine="576"/>
    </w:pPr>
    <w:rPr>
      <w:rFonts w:cs="宋体"/>
      <w:bCs/>
      <w:color w:val="FF0000"/>
      <w:lang w:val="zh-CN"/>
    </w:rPr>
  </w:style>
  <w:style w:type="paragraph" w:customStyle="1" w:styleId="1630">
    <w:name w:val="标题3-在用"/>
    <w:basedOn w:val="5"/>
    <w:qFormat/>
    <w:uiPriority w:val="0"/>
    <w:pPr>
      <w:keepNext w:val="0"/>
      <w:keepLines w:val="0"/>
      <w:widowControl/>
      <w:numPr>
        <w:ilvl w:val="0"/>
        <w:numId w:val="0"/>
      </w:numPr>
      <w:tabs>
        <w:tab w:val="left" w:pos="454"/>
      </w:tabs>
      <w:adjustRightInd w:val="0"/>
      <w:snapToGrid w:val="0"/>
      <w:spacing w:before="156" w:after="156" w:line="360" w:lineRule="auto"/>
      <w:jc w:val="left"/>
    </w:pPr>
    <w:rPr>
      <w:rFonts w:eastAsia="宋体" w:cs="宋体"/>
      <w:b w:val="0"/>
      <w:bCs w:val="0"/>
      <w:kern w:val="0"/>
      <w:sz w:val="24"/>
      <w:szCs w:val="20"/>
    </w:rPr>
  </w:style>
  <w:style w:type="paragraph" w:customStyle="1" w:styleId="1631">
    <w:name w:val="文"/>
    <w:basedOn w:val="1"/>
    <w:qFormat/>
    <w:uiPriority w:val="0"/>
    <w:pPr>
      <w:widowControl/>
      <w:adjustRightInd w:val="0"/>
      <w:snapToGrid w:val="0"/>
      <w:spacing w:line="312" w:lineRule="auto"/>
      <w:ind w:firstLine="567"/>
      <w:jc w:val="left"/>
    </w:pPr>
    <w:rPr>
      <w:rFonts w:ascii="宋体" w:hAnsi="宋体" w:cs="宋体"/>
      <w:spacing w:val="6"/>
      <w:kern w:val="0"/>
      <w:sz w:val="28"/>
      <w:szCs w:val="20"/>
    </w:rPr>
  </w:style>
  <w:style w:type="paragraph" w:customStyle="1" w:styleId="1632">
    <w:name w:val="标题  1"/>
    <w:basedOn w:val="1"/>
    <w:qFormat/>
    <w:uiPriority w:val="0"/>
    <w:pPr>
      <w:widowControl/>
      <w:numPr>
        <w:ilvl w:val="0"/>
        <w:numId w:val="24"/>
      </w:numPr>
      <w:snapToGrid w:val="0"/>
      <w:jc w:val="left"/>
    </w:pPr>
    <w:rPr>
      <w:rFonts w:ascii="Tahoma" w:hAnsi="Tahoma" w:cs="宋体"/>
      <w:kern w:val="0"/>
      <w:szCs w:val="20"/>
    </w:rPr>
  </w:style>
  <w:style w:type="paragraph" w:customStyle="1" w:styleId="1633">
    <w:name w:val="默认段落字体 Para Char Char Char Char Char Char Char"/>
    <w:basedOn w:val="1"/>
    <w:qFormat/>
    <w:uiPriority w:val="0"/>
    <w:pPr>
      <w:widowControl/>
      <w:snapToGrid w:val="0"/>
      <w:jc w:val="left"/>
    </w:pPr>
    <w:rPr>
      <w:rFonts w:ascii="Arial" w:hAnsi="Arial" w:cs="Arial"/>
      <w:kern w:val="0"/>
      <w:sz w:val="20"/>
      <w:szCs w:val="20"/>
    </w:rPr>
  </w:style>
  <w:style w:type="paragraph" w:customStyle="1" w:styleId="1634">
    <w:name w:val="wy2"/>
    <w:basedOn w:val="1"/>
    <w:qFormat/>
    <w:uiPriority w:val="0"/>
    <w:pPr>
      <w:widowControl/>
      <w:snapToGrid w:val="0"/>
      <w:spacing w:line="312" w:lineRule="auto"/>
      <w:ind w:firstLine="680"/>
      <w:jc w:val="left"/>
    </w:pPr>
    <w:rPr>
      <w:rFonts w:ascii="宋体" w:hAnsi="宋体" w:cs="宋体"/>
      <w:b/>
      <w:spacing w:val="6"/>
      <w:kern w:val="0"/>
      <w:sz w:val="32"/>
      <w:szCs w:val="20"/>
    </w:rPr>
  </w:style>
  <w:style w:type="paragraph" w:customStyle="1" w:styleId="1635">
    <w:name w:val="wy1"/>
    <w:basedOn w:val="1"/>
    <w:qFormat/>
    <w:uiPriority w:val="0"/>
    <w:pPr>
      <w:widowControl/>
      <w:snapToGrid w:val="0"/>
      <w:spacing w:line="312" w:lineRule="auto"/>
      <w:jc w:val="center"/>
    </w:pPr>
    <w:rPr>
      <w:rFonts w:ascii="黑体" w:hAnsi="宋体" w:eastAsia="黑体" w:cs="宋体"/>
      <w:b/>
      <w:spacing w:val="6"/>
      <w:kern w:val="0"/>
      <w:sz w:val="36"/>
      <w:szCs w:val="20"/>
    </w:rPr>
  </w:style>
  <w:style w:type="paragraph" w:customStyle="1" w:styleId="1636">
    <w:name w:val="w1"/>
    <w:basedOn w:val="1"/>
    <w:qFormat/>
    <w:uiPriority w:val="0"/>
    <w:pPr>
      <w:widowControl/>
      <w:snapToGrid w:val="0"/>
      <w:spacing w:before="120" w:after="120" w:line="312" w:lineRule="auto"/>
      <w:ind w:firstLine="567"/>
      <w:jc w:val="left"/>
    </w:pPr>
    <w:rPr>
      <w:rFonts w:ascii="宋体" w:hAnsi="宋体" w:cs="宋体"/>
      <w:b/>
      <w:spacing w:val="6"/>
      <w:kern w:val="0"/>
      <w:sz w:val="32"/>
      <w:szCs w:val="20"/>
    </w:rPr>
  </w:style>
  <w:style w:type="paragraph" w:customStyle="1" w:styleId="1637">
    <w:name w:val="w"/>
    <w:basedOn w:val="1"/>
    <w:qFormat/>
    <w:uiPriority w:val="0"/>
    <w:pPr>
      <w:widowControl/>
      <w:snapToGrid w:val="0"/>
      <w:spacing w:line="312" w:lineRule="auto"/>
      <w:jc w:val="center"/>
      <w:outlineLvl w:val="0"/>
    </w:pPr>
    <w:rPr>
      <w:rFonts w:ascii="黑体" w:hAnsi="宋体" w:eastAsia="黑体" w:cs="宋体"/>
      <w:b/>
      <w:spacing w:val="6"/>
      <w:kern w:val="0"/>
      <w:sz w:val="36"/>
      <w:szCs w:val="20"/>
    </w:rPr>
  </w:style>
  <w:style w:type="paragraph" w:customStyle="1" w:styleId="1638">
    <w:name w:val="表(图)头"/>
    <w:basedOn w:val="1"/>
    <w:qFormat/>
    <w:uiPriority w:val="0"/>
    <w:pPr>
      <w:widowControl/>
      <w:snapToGrid w:val="0"/>
      <w:spacing w:line="480" w:lineRule="atLeast"/>
      <w:ind w:firstLine="200"/>
      <w:jc w:val="center"/>
    </w:pPr>
    <w:rPr>
      <w:rFonts w:ascii="宋体" w:hAnsi="宋体" w:eastAsia="仿宋_GB2312" w:cs="宋体"/>
      <w:b/>
      <w:kern w:val="0"/>
      <w:szCs w:val="20"/>
    </w:rPr>
  </w:style>
  <w:style w:type="paragraph" w:customStyle="1" w:styleId="1639">
    <w:name w:val="样式表"/>
    <w:basedOn w:val="34"/>
    <w:qFormat/>
    <w:uiPriority w:val="0"/>
    <w:pPr>
      <w:widowControl/>
      <w:adjustRightInd w:val="0"/>
      <w:snapToGrid w:val="0"/>
      <w:spacing w:before="60" w:after="60" w:line="360" w:lineRule="auto"/>
      <w:jc w:val="center"/>
    </w:pPr>
    <w:rPr>
      <w:rFonts w:ascii="宋体" w:hAnsi="Plotter" w:eastAsia="黑体" w:cs="宋体"/>
      <w:kern w:val="0"/>
      <w:sz w:val="24"/>
      <w:szCs w:val="20"/>
      <w:lang w:val="zh-CN"/>
    </w:rPr>
  </w:style>
  <w:style w:type="paragraph" w:customStyle="1" w:styleId="1640">
    <w:name w:val="文字"/>
    <w:basedOn w:val="1"/>
    <w:link w:val="3162"/>
    <w:qFormat/>
    <w:uiPriority w:val="99"/>
    <w:pPr>
      <w:widowControl/>
      <w:adjustRightInd w:val="0"/>
      <w:snapToGrid w:val="0"/>
      <w:spacing w:line="312" w:lineRule="auto"/>
      <w:ind w:firstLine="567"/>
      <w:jc w:val="left"/>
    </w:pPr>
    <w:rPr>
      <w:rFonts w:ascii="宋体" w:hAnsi="宋体" w:cs="宋体"/>
      <w:color w:val="000000"/>
      <w:spacing w:val="6"/>
      <w:kern w:val="0"/>
      <w:sz w:val="28"/>
      <w:szCs w:val="20"/>
    </w:rPr>
  </w:style>
  <w:style w:type="paragraph" w:customStyle="1" w:styleId="1641">
    <w:name w:val="正文文本 21"/>
    <w:basedOn w:val="1"/>
    <w:qFormat/>
    <w:uiPriority w:val="0"/>
    <w:pPr>
      <w:widowControl/>
      <w:adjustRightInd w:val="0"/>
      <w:snapToGrid w:val="0"/>
      <w:ind w:firstLine="601"/>
      <w:jc w:val="left"/>
    </w:pPr>
    <w:rPr>
      <w:rFonts w:ascii="宋体" w:hAnsi="宋体" w:cs="宋体"/>
      <w:spacing w:val="20"/>
      <w:kern w:val="0"/>
      <w:sz w:val="28"/>
      <w:szCs w:val="20"/>
    </w:rPr>
  </w:style>
  <w:style w:type="paragraph" w:customStyle="1" w:styleId="1642">
    <w:name w:val="正式文字"/>
    <w:basedOn w:val="1"/>
    <w:qFormat/>
    <w:uiPriority w:val="0"/>
    <w:pPr>
      <w:widowControl/>
      <w:autoSpaceDE w:val="0"/>
      <w:autoSpaceDN w:val="0"/>
      <w:adjustRightInd w:val="0"/>
      <w:snapToGrid w:val="0"/>
      <w:spacing w:line="312" w:lineRule="auto"/>
      <w:ind w:firstLine="567"/>
      <w:jc w:val="left"/>
    </w:pPr>
    <w:rPr>
      <w:rFonts w:ascii="宋体" w:hAnsi="宋体" w:cs="宋体"/>
      <w:spacing w:val="6"/>
      <w:kern w:val="0"/>
      <w:sz w:val="28"/>
      <w:szCs w:val="20"/>
    </w:rPr>
  </w:style>
  <w:style w:type="paragraph" w:customStyle="1" w:styleId="1643">
    <w:name w:val="表格，五宋"/>
    <w:qFormat/>
    <w:uiPriority w:val="0"/>
    <w:pPr>
      <w:adjustRightInd w:val="0"/>
      <w:spacing w:after="200" w:line="280" w:lineRule="exact"/>
      <w:jc w:val="both"/>
    </w:pPr>
    <w:rPr>
      <w:rFonts w:ascii="宋体" w:hAnsi="Times New Roman" w:eastAsia="宋体" w:cs="Times New Roman"/>
      <w:sz w:val="22"/>
      <w:lang w:val="en-US" w:eastAsia="zh-CN" w:bidi="ar-SA"/>
    </w:rPr>
  </w:style>
  <w:style w:type="paragraph" w:customStyle="1" w:styleId="1644">
    <w:name w:val="节1"/>
    <w:basedOn w:val="4"/>
    <w:qFormat/>
    <w:uiPriority w:val="0"/>
    <w:pPr>
      <w:keepNext w:val="0"/>
      <w:keepLines w:val="0"/>
      <w:widowControl/>
      <w:numPr>
        <w:ilvl w:val="0"/>
        <w:numId w:val="0"/>
      </w:numPr>
      <w:autoSpaceDE w:val="0"/>
      <w:autoSpaceDN w:val="0"/>
      <w:adjustRightInd w:val="0"/>
      <w:snapToGrid w:val="0"/>
      <w:spacing w:before="120" w:after="120" w:line="312" w:lineRule="auto"/>
      <w:ind w:firstLine="567"/>
      <w:jc w:val="left"/>
      <w:outlineLvl w:val="9"/>
    </w:pPr>
    <w:rPr>
      <w:rFonts w:ascii="宋体" w:hAnsi="宋体" w:eastAsia="宋体" w:cs="宋体"/>
      <w:spacing w:val="6"/>
      <w:szCs w:val="20"/>
    </w:rPr>
  </w:style>
  <w:style w:type="paragraph" w:customStyle="1" w:styleId="1645">
    <w:name w:val="样式表头"/>
    <w:basedOn w:val="1"/>
    <w:qFormat/>
    <w:uiPriority w:val="0"/>
    <w:pPr>
      <w:widowControl/>
      <w:snapToGrid w:val="0"/>
      <w:spacing w:line="312" w:lineRule="auto"/>
      <w:jc w:val="center"/>
    </w:pPr>
    <w:rPr>
      <w:rFonts w:ascii="黑体" w:hAnsi="宋体" w:eastAsia="黑体" w:cs="宋体"/>
      <w:b/>
      <w:bCs/>
      <w:spacing w:val="6"/>
      <w:kern w:val="0"/>
      <w:sz w:val="32"/>
      <w:szCs w:val="32"/>
    </w:rPr>
  </w:style>
  <w:style w:type="paragraph" w:customStyle="1" w:styleId="1646">
    <w:name w:val="样式节"/>
    <w:basedOn w:val="1"/>
    <w:qFormat/>
    <w:uiPriority w:val="0"/>
    <w:pPr>
      <w:widowControl/>
      <w:adjustRightInd w:val="0"/>
      <w:snapToGrid w:val="0"/>
      <w:spacing w:before="120" w:after="120" w:line="312" w:lineRule="auto"/>
      <w:ind w:firstLine="665" w:firstLineChars="200"/>
      <w:jc w:val="left"/>
    </w:pPr>
    <w:rPr>
      <w:rFonts w:ascii="宋体" w:hAnsi="宋体" w:cs="宋体"/>
      <w:b/>
      <w:bCs/>
      <w:spacing w:val="6"/>
      <w:kern w:val="0"/>
      <w:sz w:val="32"/>
      <w:szCs w:val="32"/>
    </w:rPr>
  </w:style>
  <w:style w:type="paragraph" w:customStyle="1" w:styleId="1647">
    <w:name w:val="1节"/>
    <w:basedOn w:val="1"/>
    <w:qFormat/>
    <w:uiPriority w:val="0"/>
    <w:pPr>
      <w:widowControl/>
      <w:adjustRightInd w:val="0"/>
      <w:snapToGrid w:val="0"/>
      <w:spacing w:before="120" w:after="120" w:line="312" w:lineRule="auto"/>
      <w:ind w:firstLine="567"/>
      <w:jc w:val="left"/>
    </w:pPr>
    <w:rPr>
      <w:rFonts w:ascii="宋体" w:hAnsi="宋体" w:cs="宋体"/>
      <w:b/>
      <w:spacing w:val="6"/>
      <w:kern w:val="0"/>
      <w:sz w:val="32"/>
      <w:szCs w:val="32"/>
    </w:rPr>
  </w:style>
  <w:style w:type="paragraph" w:customStyle="1" w:styleId="1648">
    <w:name w:val="样式表格"/>
    <w:basedOn w:val="1"/>
    <w:qFormat/>
    <w:uiPriority w:val="0"/>
    <w:pPr>
      <w:widowControl/>
      <w:adjustRightInd w:val="0"/>
      <w:snapToGrid w:val="0"/>
      <w:spacing w:before="60" w:after="60"/>
      <w:jc w:val="center"/>
    </w:pPr>
    <w:rPr>
      <w:rFonts w:ascii="宋体" w:hAnsi="宋体" w:cs="宋体"/>
      <w:spacing w:val="6"/>
      <w:kern w:val="0"/>
      <w:szCs w:val="20"/>
    </w:rPr>
  </w:style>
  <w:style w:type="paragraph" w:customStyle="1" w:styleId="1649">
    <w:name w:val="gwp-1"/>
    <w:basedOn w:val="1"/>
    <w:qFormat/>
    <w:uiPriority w:val="0"/>
    <w:pPr>
      <w:widowControl/>
      <w:autoSpaceDE w:val="0"/>
      <w:autoSpaceDN w:val="0"/>
      <w:adjustRightInd w:val="0"/>
      <w:snapToGrid w:val="0"/>
      <w:spacing w:beforeLines="60" w:line="312" w:lineRule="auto"/>
      <w:ind w:firstLine="567"/>
      <w:jc w:val="left"/>
    </w:pPr>
    <w:rPr>
      <w:rFonts w:ascii="宋体" w:hAnsi="宋体" w:cs="宋体"/>
      <w:spacing w:val="-4"/>
      <w:kern w:val="0"/>
      <w:sz w:val="28"/>
      <w:szCs w:val="28"/>
    </w:rPr>
  </w:style>
  <w:style w:type="paragraph" w:customStyle="1" w:styleId="1650">
    <w:name w:val="表头2"/>
    <w:basedOn w:val="1"/>
    <w:qFormat/>
    <w:uiPriority w:val="0"/>
    <w:pPr>
      <w:widowControl/>
      <w:adjustRightInd w:val="0"/>
      <w:snapToGrid w:val="0"/>
      <w:spacing w:before="240" w:line="312" w:lineRule="auto"/>
      <w:jc w:val="center"/>
    </w:pPr>
    <w:rPr>
      <w:rFonts w:ascii="黑体" w:hAnsi="宋体" w:eastAsia="黑体" w:cs="宋体"/>
      <w:b/>
      <w:bCs/>
      <w:spacing w:val="6"/>
      <w:kern w:val="0"/>
      <w:sz w:val="32"/>
    </w:rPr>
  </w:style>
  <w:style w:type="paragraph" w:customStyle="1" w:styleId="1651">
    <w:name w:val="表2"/>
    <w:basedOn w:val="1"/>
    <w:qFormat/>
    <w:uiPriority w:val="0"/>
    <w:pPr>
      <w:widowControl/>
      <w:adjustRightInd w:val="0"/>
      <w:snapToGrid w:val="0"/>
      <w:spacing w:before="60" w:after="60"/>
      <w:jc w:val="center"/>
    </w:pPr>
    <w:rPr>
      <w:rFonts w:ascii="宋体" w:hAnsi="宋体" w:cs="宋体"/>
      <w:spacing w:val="-4"/>
      <w:kern w:val="0"/>
      <w:szCs w:val="21"/>
    </w:rPr>
  </w:style>
  <w:style w:type="paragraph" w:customStyle="1" w:styleId="1652">
    <w:name w:val="样式节1"/>
    <w:basedOn w:val="1"/>
    <w:qFormat/>
    <w:uiPriority w:val="0"/>
    <w:pPr>
      <w:widowControl/>
      <w:adjustRightInd w:val="0"/>
      <w:snapToGrid w:val="0"/>
      <w:spacing w:before="120" w:after="120" w:line="312" w:lineRule="auto"/>
      <w:ind w:firstLine="567"/>
      <w:jc w:val="left"/>
    </w:pPr>
    <w:rPr>
      <w:rFonts w:ascii="宋体" w:hAnsi="宋体" w:cs="宋体"/>
      <w:b/>
      <w:bCs/>
      <w:spacing w:val="6"/>
      <w:kern w:val="0"/>
      <w:sz w:val="32"/>
      <w:szCs w:val="20"/>
    </w:rPr>
  </w:style>
  <w:style w:type="paragraph" w:customStyle="1" w:styleId="1653">
    <w:name w:val="新表"/>
    <w:basedOn w:val="1"/>
    <w:qFormat/>
    <w:uiPriority w:val="0"/>
    <w:pPr>
      <w:widowControl/>
      <w:adjustRightInd w:val="0"/>
      <w:snapToGrid w:val="0"/>
      <w:spacing w:before="60" w:after="60"/>
      <w:jc w:val="center"/>
    </w:pPr>
    <w:rPr>
      <w:rFonts w:ascii="宋体" w:hAnsi="宋体" w:cs="宋体"/>
      <w:spacing w:val="6"/>
      <w:kern w:val="0"/>
    </w:rPr>
  </w:style>
  <w:style w:type="character" w:customStyle="1" w:styleId="1654">
    <w:name w:val="样式 标题 2 + (西文) 宋体 13 磅 非加粗 黑色 Char"/>
    <w:link w:val="1655"/>
    <w:qFormat/>
    <w:locked/>
    <w:uiPriority w:val="0"/>
    <w:rPr>
      <w:rFonts w:ascii="宋体" w:hAnsi="宋体" w:eastAsia="黑体"/>
      <w:b/>
      <w:bCs/>
      <w:color w:val="000000"/>
      <w:sz w:val="32"/>
      <w:szCs w:val="24"/>
      <w:lang w:val="zh-CN" w:eastAsia="zh-CN"/>
    </w:rPr>
  </w:style>
  <w:style w:type="paragraph" w:customStyle="1" w:styleId="1655">
    <w:name w:val="样式 标题 2 + (西文) 宋体 13 磅 非加粗 黑色"/>
    <w:basedOn w:val="4"/>
    <w:link w:val="1654"/>
    <w:qFormat/>
    <w:uiPriority w:val="0"/>
    <w:pPr>
      <w:keepNext w:val="0"/>
      <w:keepLines w:val="0"/>
      <w:widowControl/>
      <w:numPr>
        <w:ilvl w:val="0"/>
        <w:numId w:val="0"/>
      </w:numPr>
      <w:tabs>
        <w:tab w:val="left" w:pos="425"/>
      </w:tabs>
      <w:snapToGrid w:val="0"/>
      <w:spacing w:before="260" w:after="260" w:line="415" w:lineRule="auto"/>
    </w:pPr>
    <w:rPr>
      <w:rFonts w:ascii="宋体" w:hAnsi="宋体"/>
      <w:color w:val="000000"/>
      <w:kern w:val="0"/>
      <w:szCs w:val="24"/>
      <w:lang w:val="zh-CN"/>
    </w:rPr>
  </w:style>
  <w:style w:type="paragraph" w:customStyle="1" w:styleId="1656">
    <w:name w:val="样式 标题 2 + (符号) 宋体 13 磅 黑色"/>
    <w:basedOn w:val="4"/>
    <w:qFormat/>
    <w:uiPriority w:val="0"/>
    <w:pPr>
      <w:keepNext w:val="0"/>
      <w:keepLines w:val="0"/>
      <w:widowControl/>
      <w:numPr>
        <w:ilvl w:val="0"/>
        <w:numId w:val="0"/>
      </w:numPr>
      <w:tabs>
        <w:tab w:val="left" w:pos="425"/>
      </w:tabs>
      <w:snapToGrid w:val="0"/>
      <w:spacing w:before="120" w:after="120" w:line="412" w:lineRule="auto"/>
    </w:pPr>
    <w:rPr>
      <w:b w:val="0"/>
      <w:bCs w:val="0"/>
      <w:color w:val="000000"/>
      <w:kern w:val="0"/>
      <w:sz w:val="26"/>
      <w:szCs w:val="24"/>
    </w:rPr>
  </w:style>
  <w:style w:type="paragraph" w:customStyle="1" w:styleId="1657">
    <w:name w:val="章1"/>
    <w:basedOn w:val="1"/>
    <w:qFormat/>
    <w:uiPriority w:val="0"/>
    <w:pPr>
      <w:widowControl/>
      <w:adjustRightInd w:val="0"/>
      <w:snapToGrid w:val="0"/>
      <w:spacing w:line="312" w:lineRule="auto"/>
      <w:jc w:val="center"/>
    </w:pPr>
    <w:rPr>
      <w:rFonts w:ascii="黑体" w:hAnsi="宋体" w:eastAsia="黑体" w:cs="宋体"/>
      <w:b/>
      <w:bCs/>
      <w:spacing w:val="6"/>
      <w:kern w:val="0"/>
      <w:sz w:val="36"/>
      <w:szCs w:val="20"/>
      <w:lang w:val="fr-FR"/>
    </w:rPr>
  </w:style>
  <w:style w:type="paragraph" w:customStyle="1" w:styleId="1658">
    <w:name w:val="xl120"/>
    <w:basedOn w:val="1"/>
    <w:qFormat/>
    <w:uiPriority w:val="0"/>
    <w:pPr>
      <w:widowControl/>
      <w:pBdr>
        <w:top w:val="single" w:color="auto" w:sz="4" w:space="0"/>
        <w:left w:val="single" w:color="auto" w:sz="4" w:space="0"/>
        <w:bottom w:val="single" w:color="auto" w:sz="4" w:space="0"/>
        <w:right w:val="single" w:color="auto" w:sz="4" w:space="0"/>
      </w:pBdr>
      <w:snapToGrid w:val="0"/>
      <w:spacing w:before="100" w:beforeAutospacing="1" w:after="100" w:afterAutospacing="1"/>
      <w:jc w:val="right"/>
    </w:pPr>
    <w:rPr>
      <w:rFonts w:ascii="宋体" w:hAnsi="宋体" w:cs="宋体"/>
      <w:kern w:val="0"/>
    </w:rPr>
  </w:style>
  <w:style w:type="paragraph" w:customStyle="1" w:styleId="1659">
    <w:name w:val="xl121"/>
    <w:basedOn w:val="1"/>
    <w:qFormat/>
    <w:uiPriority w:val="0"/>
    <w:pPr>
      <w:widowControl/>
      <w:snapToGrid w:val="0"/>
      <w:spacing w:before="100" w:beforeAutospacing="1" w:after="100" w:afterAutospacing="1"/>
      <w:jc w:val="left"/>
    </w:pPr>
    <w:rPr>
      <w:rFonts w:ascii="宋体" w:hAnsi="宋体" w:cs="宋体"/>
      <w:kern w:val="0"/>
      <w:sz w:val="20"/>
      <w:szCs w:val="20"/>
    </w:rPr>
  </w:style>
  <w:style w:type="paragraph" w:customStyle="1" w:styleId="1660">
    <w:name w:val="xl122"/>
    <w:basedOn w:val="1"/>
    <w:qFormat/>
    <w:uiPriority w:val="0"/>
    <w:pPr>
      <w:widowControl/>
      <w:snapToGrid w:val="0"/>
      <w:spacing w:before="100" w:beforeAutospacing="1" w:after="100" w:afterAutospacing="1"/>
      <w:jc w:val="center"/>
    </w:pPr>
    <w:rPr>
      <w:rFonts w:ascii="宋体" w:hAnsi="宋体" w:cs="宋体"/>
      <w:kern w:val="0"/>
      <w:sz w:val="20"/>
      <w:szCs w:val="20"/>
    </w:rPr>
  </w:style>
  <w:style w:type="paragraph" w:customStyle="1" w:styleId="1661">
    <w:name w:val="xl123"/>
    <w:basedOn w:val="1"/>
    <w:qFormat/>
    <w:uiPriority w:val="0"/>
    <w:pPr>
      <w:widowControl/>
      <w:pBdr>
        <w:top w:val="single" w:color="auto" w:sz="4" w:space="0"/>
        <w:right w:val="single" w:color="auto" w:sz="4" w:space="0"/>
      </w:pBdr>
      <w:snapToGrid w:val="0"/>
      <w:spacing w:before="100" w:beforeAutospacing="1" w:after="100" w:afterAutospacing="1"/>
      <w:jc w:val="center"/>
    </w:pPr>
    <w:rPr>
      <w:rFonts w:ascii="宋体" w:hAnsi="宋体" w:cs="宋体"/>
      <w:kern w:val="0"/>
      <w:sz w:val="20"/>
      <w:szCs w:val="20"/>
    </w:rPr>
  </w:style>
  <w:style w:type="paragraph" w:customStyle="1" w:styleId="1662">
    <w:name w:val="xl124"/>
    <w:basedOn w:val="1"/>
    <w:qFormat/>
    <w:uiPriority w:val="0"/>
    <w:pPr>
      <w:widowControl/>
      <w:pBdr>
        <w:top w:val="single" w:color="auto" w:sz="4" w:space="0"/>
        <w:left w:val="single" w:color="auto" w:sz="4" w:space="0"/>
        <w:right w:val="single" w:color="auto" w:sz="4" w:space="0"/>
      </w:pBdr>
      <w:snapToGrid w:val="0"/>
      <w:spacing w:before="100" w:beforeAutospacing="1" w:after="100" w:afterAutospacing="1"/>
      <w:jc w:val="center"/>
    </w:pPr>
    <w:rPr>
      <w:rFonts w:ascii="宋体" w:hAnsi="宋体" w:cs="宋体"/>
      <w:kern w:val="0"/>
      <w:sz w:val="20"/>
      <w:szCs w:val="20"/>
    </w:rPr>
  </w:style>
  <w:style w:type="paragraph" w:customStyle="1" w:styleId="1663">
    <w:name w:val="xl125"/>
    <w:basedOn w:val="1"/>
    <w:qFormat/>
    <w:uiPriority w:val="0"/>
    <w:pPr>
      <w:widowControl/>
      <w:pBdr>
        <w:right w:val="single" w:color="auto" w:sz="4" w:space="0"/>
      </w:pBdr>
      <w:snapToGrid w:val="0"/>
      <w:spacing w:before="100" w:beforeAutospacing="1" w:after="100" w:afterAutospacing="1"/>
      <w:jc w:val="center"/>
    </w:pPr>
    <w:rPr>
      <w:rFonts w:ascii="宋体" w:hAnsi="宋体" w:cs="宋体"/>
      <w:kern w:val="0"/>
      <w:sz w:val="20"/>
      <w:szCs w:val="20"/>
    </w:rPr>
  </w:style>
  <w:style w:type="paragraph" w:customStyle="1" w:styleId="1664">
    <w:name w:val="xl126"/>
    <w:basedOn w:val="1"/>
    <w:qFormat/>
    <w:uiPriority w:val="0"/>
    <w:pPr>
      <w:widowControl/>
      <w:pBdr>
        <w:top w:val="single" w:color="auto" w:sz="4" w:space="0"/>
        <w:left w:val="single" w:color="auto" w:sz="4" w:space="0"/>
        <w:right w:val="single" w:color="auto" w:sz="4" w:space="0"/>
      </w:pBdr>
      <w:snapToGrid w:val="0"/>
      <w:spacing w:before="100" w:beforeAutospacing="1" w:after="100" w:afterAutospacing="1"/>
      <w:jc w:val="center"/>
    </w:pPr>
    <w:rPr>
      <w:rFonts w:ascii="宋体" w:hAnsi="宋体" w:cs="宋体"/>
      <w:kern w:val="0"/>
      <w:sz w:val="20"/>
      <w:szCs w:val="20"/>
    </w:rPr>
  </w:style>
  <w:style w:type="paragraph" w:customStyle="1" w:styleId="1665">
    <w:name w:val="xl127"/>
    <w:basedOn w:val="1"/>
    <w:qFormat/>
    <w:uiPriority w:val="0"/>
    <w:pPr>
      <w:widowControl/>
      <w:pBdr>
        <w:left w:val="single" w:color="auto" w:sz="4" w:space="0"/>
        <w:right w:val="single" w:color="auto" w:sz="4" w:space="0"/>
      </w:pBdr>
      <w:snapToGrid w:val="0"/>
      <w:spacing w:before="100" w:beforeAutospacing="1" w:after="100" w:afterAutospacing="1"/>
      <w:jc w:val="center"/>
    </w:pPr>
    <w:rPr>
      <w:rFonts w:ascii="宋体" w:hAnsi="宋体" w:cs="宋体"/>
      <w:kern w:val="0"/>
      <w:sz w:val="20"/>
      <w:szCs w:val="20"/>
    </w:rPr>
  </w:style>
  <w:style w:type="paragraph" w:customStyle="1" w:styleId="1666">
    <w:name w:val="xl128"/>
    <w:basedOn w:val="1"/>
    <w:qFormat/>
    <w:uiPriority w:val="0"/>
    <w:pPr>
      <w:widowControl/>
      <w:pBdr>
        <w:top w:val="single" w:color="auto" w:sz="4" w:space="0"/>
        <w:left w:val="single" w:color="auto" w:sz="4" w:space="0"/>
      </w:pBdr>
      <w:snapToGrid w:val="0"/>
      <w:spacing w:before="100" w:beforeAutospacing="1" w:after="100" w:afterAutospacing="1"/>
      <w:jc w:val="center"/>
    </w:pPr>
    <w:rPr>
      <w:rFonts w:ascii="宋体" w:hAnsi="宋体" w:cs="宋体"/>
      <w:kern w:val="0"/>
      <w:sz w:val="20"/>
      <w:szCs w:val="20"/>
    </w:rPr>
  </w:style>
  <w:style w:type="paragraph" w:customStyle="1" w:styleId="1667">
    <w:name w:val="xl129"/>
    <w:basedOn w:val="1"/>
    <w:qFormat/>
    <w:uiPriority w:val="0"/>
    <w:pPr>
      <w:widowControl/>
      <w:pBdr>
        <w:top w:val="single" w:color="auto" w:sz="4" w:space="0"/>
        <w:right w:val="single" w:color="auto" w:sz="4" w:space="0"/>
      </w:pBdr>
      <w:snapToGrid w:val="0"/>
      <w:spacing w:before="100" w:beforeAutospacing="1" w:after="100" w:afterAutospacing="1"/>
      <w:jc w:val="center"/>
    </w:pPr>
    <w:rPr>
      <w:rFonts w:ascii="宋体" w:hAnsi="宋体" w:cs="宋体"/>
      <w:kern w:val="0"/>
      <w:sz w:val="20"/>
      <w:szCs w:val="20"/>
    </w:rPr>
  </w:style>
  <w:style w:type="paragraph" w:customStyle="1" w:styleId="1668">
    <w:name w:val="xl130"/>
    <w:basedOn w:val="1"/>
    <w:qFormat/>
    <w:uiPriority w:val="0"/>
    <w:pPr>
      <w:widowControl/>
      <w:pBdr>
        <w:left w:val="single" w:color="auto" w:sz="4" w:space="0"/>
        <w:bottom w:val="single" w:color="auto" w:sz="4" w:space="0"/>
      </w:pBdr>
      <w:snapToGrid w:val="0"/>
      <w:spacing w:before="100" w:beforeAutospacing="1" w:after="100" w:afterAutospacing="1"/>
      <w:jc w:val="center"/>
    </w:pPr>
    <w:rPr>
      <w:rFonts w:ascii="宋体" w:hAnsi="宋体" w:cs="宋体"/>
      <w:kern w:val="0"/>
      <w:sz w:val="20"/>
      <w:szCs w:val="20"/>
    </w:rPr>
  </w:style>
  <w:style w:type="paragraph" w:customStyle="1" w:styleId="1669">
    <w:name w:val="xl131"/>
    <w:basedOn w:val="1"/>
    <w:qFormat/>
    <w:uiPriority w:val="0"/>
    <w:pPr>
      <w:widowControl/>
      <w:pBdr>
        <w:bottom w:val="single" w:color="auto" w:sz="4" w:space="0"/>
        <w:right w:val="single" w:color="auto" w:sz="4" w:space="0"/>
      </w:pBdr>
      <w:snapToGrid w:val="0"/>
      <w:spacing w:before="100" w:beforeAutospacing="1" w:after="100" w:afterAutospacing="1"/>
      <w:jc w:val="center"/>
    </w:pPr>
    <w:rPr>
      <w:rFonts w:ascii="宋体" w:hAnsi="宋体" w:cs="宋体"/>
      <w:kern w:val="0"/>
      <w:sz w:val="20"/>
      <w:szCs w:val="20"/>
    </w:rPr>
  </w:style>
  <w:style w:type="paragraph" w:customStyle="1" w:styleId="1670">
    <w:name w:val="xl132"/>
    <w:basedOn w:val="1"/>
    <w:qFormat/>
    <w:uiPriority w:val="0"/>
    <w:pPr>
      <w:widowControl/>
      <w:snapToGrid w:val="0"/>
      <w:spacing w:before="100" w:beforeAutospacing="1" w:after="100" w:afterAutospacing="1"/>
      <w:jc w:val="center"/>
    </w:pPr>
    <w:rPr>
      <w:rFonts w:ascii="黑体" w:hAnsi="宋体" w:eastAsia="黑体" w:cs="宋体"/>
      <w:kern w:val="0"/>
      <w:sz w:val="32"/>
      <w:szCs w:val="32"/>
    </w:rPr>
  </w:style>
  <w:style w:type="paragraph" w:customStyle="1" w:styleId="1671">
    <w:name w:val="默认段落字体 Char Char Char"/>
    <w:basedOn w:val="1"/>
    <w:qFormat/>
    <w:uiPriority w:val="0"/>
    <w:pPr>
      <w:widowControl/>
      <w:snapToGrid w:val="0"/>
      <w:jc w:val="left"/>
    </w:pPr>
    <w:rPr>
      <w:rFonts w:ascii="宋体" w:hAnsi="宋体" w:cs="宋体"/>
      <w:kern w:val="0"/>
    </w:rPr>
  </w:style>
  <w:style w:type="paragraph" w:customStyle="1" w:styleId="1672">
    <w:name w:val="主标题"/>
    <w:basedOn w:val="1"/>
    <w:next w:val="1"/>
    <w:qFormat/>
    <w:uiPriority w:val="0"/>
    <w:pPr>
      <w:widowControl/>
      <w:snapToGrid w:val="0"/>
      <w:spacing w:line="288" w:lineRule="auto"/>
      <w:jc w:val="center"/>
    </w:pPr>
    <w:rPr>
      <w:rFonts w:ascii="Arial" w:hAnsi="Arial" w:eastAsia="黑体" w:cs="宋体"/>
      <w:kern w:val="0"/>
      <w:sz w:val="48"/>
      <w:szCs w:val="48"/>
    </w:rPr>
  </w:style>
  <w:style w:type="character" w:customStyle="1" w:styleId="1673">
    <w:name w:val="表格文字居中 Char"/>
    <w:link w:val="1674"/>
    <w:qFormat/>
    <w:locked/>
    <w:uiPriority w:val="0"/>
    <w:rPr>
      <w:rFonts w:ascii="宋体" w:hAnsi="宋体"/>
      <w:bCs/>
      <w:color w:val="000000"/>
      <w:sz w:val="24"/>
      <w:szCs w:val="21"/>
      <w:lang w:val="zh-CN" w:eastAsia="zh-CN"/>
    </w:rPr>
  </w:style>
  <w:style w:type="paragraph" w:customStyle="1" w:styleId="1674">
    <w:name w:val="表格文字居中"/>
    <w:basedOn w:val="1"/>
    <w:next w:val="86"/>
    <w:link w:val="1673"/>
    <w:qFormat/>
    <w:uiPriority w:val="0"/>
    <w:pPr>
      <w:keepNext/>
      <w:widowControl/>
      <w:tabs>
        <w:tab w:val="left" w:pos="628"/>
        <w:tab w:val="left" w:pos="1727"/>
        <w:tab w:val="left" w:pos="1884"/>
      </w:tabs>
      <w:adjustRightInd w:val="0"/>
      <w:snapToGrid w:val="0"/>
      <w:jc w:val="center"/>
    </w:pPr>
    <w:rPr>
      <w:rFonts w:ascii="宋体" w:hAnsi="宋体"/>
      <w:bCs/>
      <w:color w:val="000000"/>
      <w:kern w:val="0"/>
      <w:szCs w:val="21"/>
      <w:lang w:val="zh-CN"/>
    </w:rPr>
  </w:style>
  <w:style w:type="character" w:customStyle="1" w:styleId="1675">
    <w:name w:val="标题 3 + 右侧:  2 字符 + 右侧:  2... Char Char"/>
    <w:link w:val="1676"/>
    <w:qFormat/>
    <w:locked/>
    <w:uiPriority w:val="0"/>
    <w:rPr>
      <w:sz w:val="24"/>
      <w:lang w:val="zh-CN"/>
    </w:rPr>
  </w:style>
  <w:style w:type="paragraph" w:customStyle="1" w:styleId="1676">
    <w:name w:val="标题 3 + 右侧:  2 字符 + 右侧:  2..."/>
    <w:basedOn w:val="1"/>
    <w:next w:val="35"/>
    <w:link w:val="1675"/>
    <w:qFormat/>
    <w:uiPriority w:val="0"/>
    <w:pPr>
      <w:keepNext/>
      <w:keepLines/>
      <w:widowControl/>
      <w:numPr>
        <w:ilvl w:val="2"/>
        <w:numId w:val="25"/>
      </w:numPr>
      <w:snapToGrid w:val="0"/>
      <w:spacing w:before="240" w:after="240" w:line="288" w:lineRule="auto"/>
      <w:ind w:right="25" w:rightChars="12"/>
      <w:jc w:val="left"/>
      <w:outlineLvl w:val="2"/>
    </w:pPr>
    <w:rPr>
      <w:kern w:val="0"/>
      <w:szCs w:val="20"/>
      <w:lang w:val="zh-CN"/>
    </w:rPr>
  </w:style>
  <w:style w:type="character" w:customStyle="1" w:styleId="1677">
    <w:name w:val="3-1）左缩进3.5字符，悬挂缩进1.5字符 Char"/>
    <w:link w:val="1678"/>
    <w:qFormat/>
    <w:locked/>
    <w:uiPriority w:val="0"/>
    <w:rPr>
      <w:rFonts w:ascii="Arial" w:hAnsi="Arial" w:cs="Arial"/>
      <w:bCs/>
      <w:color w:val="000000"/>
      <w:sz w:val="24"/>
      <w:szCs w:val="21"/>
      <w:lang w:val="zh-CN" w:eastAsia="zh-CN"/>
    </w:rPr>
  </w:style>
  <w:style w:type="paragraph" w:customStyle="1" w:styleId="1678">
    <w:name w:val="3-1）左缩进3.5字符，悬挂缩进1.5字符"/>
    <w:basedOn w:val="1"/>
    <w:next w:val="1"/>
    <w:link w:val="1677"/>
    <w:qFormat/>
    <w:uiPriority w:val="0"/>
    <w:pPr>
      <w:widowControl/>
      <w:adjustRightInd w:val="0"/>
      <w:snapToGrid w:val="0"/>
      <w:ind w:left="1155" w:leftChars="350" w:hanging="315" w:hangingChars="150"/>
      <w:jc w:val="left"/>
    </w:pPr>
    <w:rPr>
      <w:rFonts w:ascii="Arial" w:hAnsi="Arial" w:cs="Arial"/>
      <w:bCs/>
      <w:color w:val="000000"/>
      <w:kern w:val="0"/>
      <w:szCs w:val="21"/>
      <w:lang w:val="zh-CN"/>
    </w:rPr>
  </w:style>
  <w:style w:type="paragraph" w:customStyle="1" w:styleId="1679">
    <w:name w:val="样式章"/>
    <w:basedOn w:val="1"/>
    <w:qFormat/>
    <w:uiPriority w:val="0"/>
    <w:pPr>
      <w:widowControl/>
      <w:autoSpaceDE w:val="0"/>
      <w:autoSpaceDN w:val="0"/>
      <w:adjustRightInd w:val="0"/>
      <w:snapToGrid w:val="0"/>
      <w:spacing w:line="312" w:lineRule="auto"/>
      <w:ind w:left="-2"/>
      <w:jc w:val="center"/>
    </w:pPr>
    <w:rPr>
      <w:rFonts w:ascii="黑体" w:hAnsi="宋体" w:eastAsia="黑体" w:cs="宋体"/>
      <w:b/>
      <w:spacing w:val="6"/>
      <w:kern w:val="0"/>
      <w:sz w:val="36"/>
      <w:szCs w:val="20"/>
    </w:rPr>
  </w:style>
  <w:style w:type="paragraph" w:customStyle="1" w:styleId="1680">
    <w:name w:val="王秀中"/>
    <w:basedOn w:val="1"/>
    <w:qFormat/>
    <w:uiPriority w:val="0"/>
    <w:pPr>
      <w:widowControl/>
      <w:autoSpaceDE w:val="0"/>
      <w:autoSpaceDN w:val="0"/>
      <w:adjustRightInd w:val="0"/>
      <w:snapToGrid w:val="0"/>
      <w:spacing w:line="312" w:lineRule="auto"/>
      <w:ind w:firstLine="567"/>
      <w:jc w:val="left"/>
    </w:pPr>
    <w:rPr>
      <w:rFonts w:ascii="宋体" w:hAnsi="宋体" w:cs="宋体"/>
      <w:kern w:val="0"/>
      <w:sz w:val="28"/>
    </w:rPr>
  </w:style>
  <w:style w:type="paragraph" w:customStyle="1" w:styleId="1681">
    <w:name w:val="6"/>
    <w:qFormat/>
    <w:uiPriority w:val="0"/>
    <w:pPr>
      <w:widowControl w:val="0"/>
      <w:spacing w:after="200" w:line="252" w:lineRule="auto"/>
      <w:jc w:val="both"/>
    </w:pPr>
    <w:rPr>
      <w:rFonts w:ascii="Times New Roman" w:hAnsi="Times New Roman" w:eastAsia="宋体" w:cs="Times New Roman"/>
      <w:sz w:val="22"/>
      <w:lang w:val="en-US" w:eastAsia="zh-CN" w:bidi="ar-SA"/>
    </w:rPr>
  </w:style>
  <w:style w:type="paragraph" w:customStyle="1" w:styleId="1682">
    <w:name w:val="3级正文"/>
    <w:basedOn w:val="1"/>
    <w:qFormat/>
    <w:uiPriority w:val="0"/>
    <w:pPr>
      <w:widowControl/>
      <w:adjustRightInd w:val="0"/>
      <w:snapToGrid w:val="0"/>
      <w:ind w:left="735" w:leftChars="350" w:firstLine="504" w:firstLineChars="200"/>
      <w:jc w:val="left"/>
    </w:pPr>
    <w:rPr>
      <w:rFonts w:ascii="宋体" w:hAnsi="Arial" w:cs="宋体"/>
      <w:spacing w:val="6"/>
      <w:kern w:val="0"/>
    </w:rPr>
  </w:style>
  <w:style w:type="paragraph" w:customStyle="1" w:styleId="1683">
    <w:name w:val="fy-G报告1级"/>
    <w:next w:val="3"/>
    <w:qFormat/>
    <w:uiPriority w:val="0"/>
    <w:pPr>
      <w:pageBreakBefore/>
      <w:adjustRightInd w:val="0"/>
      <w:spacing w:beforeLines="100" w:line="252" w:lineRule="auto"/>
      <w:ind w:left="420" w:right="100" w:rightChars="100" w:hanging="420"/>
      <w:jc w:val="center"/>
      <w:outlineLvl w:val="0"/>
    </w:pPr>
    <w:rPr>
      <w:rFonts w:ascii="华文中宋" w:hAnsi="华文中宋" w:eastAsia="华文中宋" w:cs="Times New Roman"/>
      <w:b/>
      <w:bCs/>
      <w:kern w:val="32"/>
      <w:sz w:val="30"/>
      <w:szCs w:val="30"/>
      <w:lang w:val="en-US" w:eastAsia="zh-CN" w:bidi="ar-SA"/>
    </w:rPr>
  </w:style>
  <w:style w:type="paragraph" w:customStyle="1" w:styleId="1684">
    <w:name w:val="fy-G报告2级"/>
    <w:qFormat/>
    <w:uiPriority w:val="0"/>
    <w:pPr>
      <w:spacing w:beforeLines="100" w:line="360" w:lineRule="auto"/>
      <w:ind w:left="840" w:hanging="420"/>
      <w:jc w:val="center"/>
      <w:outlineLvl w:val="1"/>
    </w:pPr>
    <w:rPr>
      <w:rFonts w:ascii="华文中宋" w:hAnsi="华文中宋" w:eastAsia="宋体" w:cs="Times New Roman"/>
      <w:b/>
      <w:bCs/>
      <w:kern w:val="32"/>
      <w:sz w:val="28"/>
      <w:szCs w:val="24"/>
      <w:lang w:val="en-US" w:eastAsia="zh-CN" w:bidi="ar-SA"/>
    </w:rPr>
  </w:style>
  <w:style w:type="paragraph" w:customStyle="1" w:styleId="1685">
    <w:name w:val="fy-G报告3级"/>
    <w:qFormat/>
    <w:uiPriority w:val="0"/>
    <w:pPr>
      <w:numPr>
        <w:ilvl w:val="2"/>
        <w:numId w:val="26"/>
      </w:numPr>
      <w:spacing w:beforeLines="100" w:line="360" w:lineRule="auto"/>
      <w:outlineLvl w:val="2"/>
    </w:pPr>
    <w:rPr>
      <w:rFonts w:ascii="Times New Roman" w:hAnsi="Times New Roman" w:eastAsia="宋体" w:cs="Times New Roman"/>
      <w:b/>
      <w:sz w:val="28"/>
      <w:lang w:val="en-US" w:eastAsia="zh-CN" w:bidi="ar-SA"/>
    </w:rPr>
  </w:style>
  <w:style w:type="paragraph" w:customStyle="1" w:styleId="1686">
    <w:name w:val="fy-G报告4级"/>
    <w:qFormat/>
    <w:uiPriority w:val="0"/>
    <w:pPr>
      <w:numPr>
        <w:ilvl w:val="3"/>
        <w:numId w:val="26"/>
      </w:numPr>
      <w:spacing w:beforeLines="30" w:line="252" w:lineRule="auto"/>
      <w:ind w:left="700"/>
      <w:outlineLvl w:val="3"/>
    </w:pPr>
    <w:rPr>
      <w:rFonts w:ascii="华文中宋" w:hAnsi="华文中宋" w:eastAsia="宋体" w:cs="Times New Roman"/>
      <w:b/>
      <w:sz w:val="28"/>
      <w:szCs w:val="28"/>
      <w:lang w:val="en-US" w:eastAsia="zh-CN" w:bidi="ar-SA"/>
    </w:rPr>
  </w:style>
  <w:style w:type="paragraph" w:customStyle="1" w:styleId="1687">
    <w:name w:val="fy-G表标题"/>
    <w:qFormat/>
    <w:uiPriority w:val="0"/>
    <w:pPr>
      <w:numPr>
        <w:ilvl w:val="6"/>
        <w:numId w:val="26"/>
      </w:numPr>
      <w:adjustRightInd w:val="0"/>
      <w:snapToGrid w:val="0"/>
      <w:spacing w:beforeLines="30" w:line="360" w:lineRule="auto"/>
      <w:jc w:val="center"/>
    </w:pPr>
    <w:rPr>
      <w:rFonts w:ascii="宋体" w:hAnsi="宋体" w:eastAsia="宋体" w:cs="Times New Roman"/>
      <w:b/>
      <w:sz w:val="28"/>
      <w:szCs w:val="24"/>
      <w:lang w:val="en-US" w:eastAsia="zh-CN" w:bidi="ar-SA"/>
    </w:rPr>
  </w:style>
  <w:style w:type="paragraph" w:customStyle="1" w:styleId="1688">
    <w:name w:val="fy-G图标题"/>
    <w:basedOn w:val="1"/>
    <w:qFormat/>
    <w:uiPriority w:val="0"/>
    <w:pPr>
      <w:widowControl/>
      <w:numPr>
        <w:ilvl w:val="7"/>
        <w:numId w:val="26"/>
      </w:numPr>
      <w:adjustRightInd w:val="0"/>
      <w:snapToGrid w:val="0"/>
      <w:spacing w:line="312" w:lineRule="auto"/>
      <w:jc w:val="center"/>
    </w:pPr>
    <w:rPr>
      <w:rFonts w:ascii="宋体" w:hAnsi="宋体" w:cs="宋体"/>
      <w:b/>
      <w:kern w:val="0"/>
      <w:sz w:val="28"/>
      <w:szCs w:val="20"/>
    </w:rPr>
  </w:style>
  <w:style w:type="paragraph" w:customStyle="1" w:styleId="1689">
    <w:name w:val="wmf-正文"/>
    <w:basedOn w:val="1"/>
    <w:qFormat/>
    <w:uiPriority w:val="0"/>
    <w:pPr>
      <w:widowControl/>
      <w:adjustRightInd w:val="0"/>
      <w:snapToGrid w:val="0"/>
      <w:ind w:left="350" w:leftChars="350" w:firstLine="200" w:firstLineChars="200"/>
      <w:jc w:val="left"/>
    </w:pPr>
    <w:rPr>
      <w:rFonts w:ascii="宋体" w:hAnsi="宋体" w:cs="宋体"/>
      <w:spacing w:val="6"/>
      <w:kern w:val="0"/>
      <w:szCs w:val="20"/>
    </w:rPr>
  </w:style>
  <w:style w:type="paragraph" w:customStyle="1" w:styleId="1690">
    <w:name w:val="正文[858D7CFB-ED40-4347-BF05-701D383B685F][858D7CFB-ED40-4347-BF05-701D383B685F]"/>
    <w:basedOn w:val="1"/>
    <w:qFormat/>
    <w:uiPriority w:val="0"/>
    <w:pPr>
      <w:widowControl/>
      <w:snapToGrid w:val="0"/>
      <w:spacing w:line="480" w:lineRule="exact"/>
      <w:ind w:firstLine="200" w:firstLineChars="200"/>
      <w:jc w:val="left"/>
    </w:pPr>
    <w:rPr>
      <w:rFonts w:ascii="Arial" w:hAnsi="Arial"/>
      <w:b/>
      <w:bCs/>
      <w:kern w:val="0"/>
    </w:rPr>
  </w:style>
  <w:style w:type="character" w:customStyle="1" w:styleId="1691">
    <w:name w:val="Default Char"/>
    <w:link w:val="397"/>
    <w:qFormat/>
    <w:locked/>
    <w:uiPriority w:val="0"/>
    <w:rPr>
      <w:rFonts w:ascii="华文中宋" w:hAnsi="Calibri" w:eastAsia="华文中宋" w:cs="华文中宋"/>
      <w:color w:val="000000"/>
      <w:sz w:val="24"/>
      <w:szCs w:val="24"/>
    </w:rPr>
  </w:style>
  <w:style w:type="paragraph" w:customStyle="1" w:styleId="1692">
    <w:name w:val="样式 zhang正文 + (中文) 宋体"/>
    <w:basedOn w:val="1"/>
    <w:qFormat/>
    <w:uiPriority w:val="0"/>
    <w:pPr>
      <w:widowControl/>
      <w:autoSpaceDE w:val="0"/>
      <w:autoSpaceDN w:val="0"/>
      <w:adjustRightInd w:val="0"/>
      <w:snapToGrid w:val="0"/>
      <w:spacing w:line="480" w:lineRule="exact"/>
      <w:ind w:firstLine="482"/>
      <w:jc w:val="left"/>
    </w:pPr>
    <w:rPr>
      <w:rFonts w:ascii="宋体" w:hAnsi="宋体" w:cs="宋体"/>
      <w:color w:val="000000"/>
      <w:kern w:val="0"/>
      <w:szCs w:val="20"/>
    </w:rPr>
  </w:style>
  <w:style w:type="paragraph" w:customStyle="1" w:styleId="1693">
    <w:name w:val="CM109"/>
    <w:basedOn w:val="1"/>
    <w:next w:val="1"/>
    <w:qFormat/>
    <w:uiPriority w:val="0"/>
    <w:pPr>
      <w:widowControl/>
      <w:autoSpaceDE w:val="0"/>
      <w:autoSpaceDN w:val="0"/>
      <w:adjustRightInd w:val="0"/>
      <w:snapToGrid w:val="0"/>
      <w:spacing w:after="75"/>
      <w:jc w:val="left"/>
    </w:pPr>
    <w:rPr>
      <w:rFonts w:ascii="宋体" w:hAnsi="宋体" w:cs="宋体"/>
      <w:kern w:val="0"/>
    </w:rPr>
  </w:style>
  <w:style w:type="character" w:customStyle="1" w:styleId="1694">
    <w:name w:val="引用 字符1"/>
    <w:basedOn w:val="133"/>
    <w:qFormat/>
    <w:uiPriority w:val="29"/>
    <w:rPr>
      <w:i/>
      <w:iCs/>
      <w:color w:val="404040"/>
      <w:kern w:val="2"/>
      <w:sz w:val="24"/>
      <w:szCs w:val="24"/>
    </w:rPr>
  </w:style>
  <w:style w:type="character" w:customStyle="1" w:styleId="1695">
    <w:name w:val="引用 Char1"/>
    <w:qFormat/>
    <w:uiPriority w:val="0"/>
    <w:rPr>
      <w:rFonts w:eastAsia="黑体" w:cs="宋体"/>
      <w:i/>
      <w:iCs/>
      <w:color w:val="000000"/>
      <w:kern w:val="2"/>
      <w:sz w:val="24"/>
      <w:szCs w:val="24"/>
      <w:lang w:val="en-US" w:eastAsia="zh-CN" w:bidi="ar-SA"/>
    </w:rPr>
  </w:style>
  <w:style w:type="paragraph" w:customStyle="1" w:styleId="1696">
    <w:name w:val="表格文字两端对齐"/>
    <w:basedOn w:val="1"/>
    <w:qFormat/>
    <w:uiPriority w:val="0"/>
    <w:pPr>
      <w:widowControl/>
      <w:spacing w:line="300" w:lineRule="auto"/>
    </w:pPr>
    <w:rPr>
      <w:rFonts w:ascii="Times (PCL6)" w:hAnsi="Times (PCL6)" w:eastAsia="仿宋_GB2312" w:cs="宋体"/>
      <w:kern w:val="0"/>
      <w:sz w:val="21"/>
    </w:rPr>
  </w:style>
  <w:style w:type="paragraph" w:customStyle="1" w:styleId="1697">
    <w:name w:val="smj Char"/>
    <w:basedOn w:val="1"/>
    <w:qFormat/>
    <w:uiPriority w:val="0"/>
    <w:pPr>
      <w:widowControl/>
    </w:pPr>
    <w:rPr>
      <w:rFonts w:ascii="宋体" w:hAnsi="宋体" w:eastAsia="黑体" w:cs="宋体"/>
      <w:kern w:val="0"/>
      <w:sz w:val="21"/>
    </w:rPr>
  </w:style>
  <w:style w:type="character" w:customStyle="1" w:styleId="1698">
    <w:name w:val="正文13号字体24磅 Char"/>
    <w:link w:val="1699"/>
    <w:qFormat/>
    <w:locked/>
    <w:uiPriority w:val="0"/>
    <w:rPr>
      <w:sz w:val="26"/>
      <w:szCs w:val="26"/>
    </w:rPr>
  </w:style>
  <w:style w:type="paragraph" w:customStyle="1" w:styleId="1699">
    <w:name w:val="正文13号字体24磅"/>
    <w:basedOn w:val="1"/>
    <w:link w:val="1698"/>
    <w:qFormat/>
    <w:uiPriority w:val="0"/>
    <w:pPr>
      <w:widowControl/>
      <w:spacing w:line="480" w:lineRule="exact"/>
      <w:ind w:firstLine="520" w:firstLineChars="200"/>
    </w:pPr>
    <w:rPr>
      <w:kern w:val="0"/>
      <w:sz w:val="26"/>
      <w:szCs w:val="26"/>
    </w:rPr>
  </w:style>
  <w:style w:type="character" w:customStyle="1" w:styleId="1700">
    <w:name w:val="表文字 Char"/>
    <w:link w:val="1701"/>
    <w:qFormat/>
    <w:locked/>
    <w:uiPriority w:val="0"/>
    <w:rPr>
      <w:color w:val="000000"/>
      <w:spacing w:val="4"/>
      <w:kern w:val="2"/>
      <w:sz w:val="18"/>
      <w:szCs w:val="18"/>
    </w:rPr>
  </w:style>
  <w:style w:type="paragraph" w:customStyle="1" w:styleId="1701">
    <w:name w:val="表文字"/>
    <w:basedOn w:val="1"/>
    <w:link w:val="1700"/>
    <w:qFormat/>
    <w:uiPriority w:val="0"/>
    <w:pPr>
      <w:widowControl/>
      <w:snapToGrid w:val="0"/>
      <w:spacing w:line="320" w:lineRule="exact"/>
      <w:jc w:val="center"/>
    </w:pPr>
    <w:rPr>
      <w:color w:val="000000"/>
      <w:spacing w:val="4"/>
      <w:sz w:val="18"/>
      <w:szCs w:val="18"/>
    </w:rPr>
  </w:style>
  <w:style w:type="character" w:customStyle="1" w:styleId="1702">
    <w:name w:val="表头1-1 字符"/>
    <w:link w:val="1703"/>
    <w:qFormat/>
    <w:locked/>
    <w:uiPriority w:val="0"/>
    <w:rPr>
      <w:b/>
      <w:kern w:val="2"/>
      <w:sz w:val="21"/>
      <w:szCs w:val="24"/>
      <w:lang w:val="zh-CN" w:eastAsia="zh-CN"/>
    </w:rPr>
  </w:style>
  <w:style w:type="paragraph" w:customStyle="1" w:styleId="1703">
    <w:name w:val="表头1-1"/>
    <w:basedOn w:val="1"/>
    <w:link w:val="1702"/>
    <w:qFormat/>
    <w:uiPriority w:val="0"/>
    <w:pPr>
      <w:widowControl/>
      <w:jc w:val="center"/>
    </w:pPr>
    <w:rPr>
      <w:b/>
      <w:sz w:val="21"/>
      <w:lang w:val="zh-CN"/>
    </w:rPr>
  </w:style>
  <w:style w:type="paragraph" w:customStyle="1" w:styleId="1704">
    <w:name w:val="样式 样式 样式 小4居中 + + 段前: 0.15 行 段后: 0.15 行1 + 段前: 0.1 行 段后: 0.1 行"/>
    <w:basedOn w:val="1"/>
    <w:qFormat/>
    <w:uiPriority w:val="0"/>
    <w:pPr>
      <w:widowControl/>
      <w:snapToGrid w:val="0"/>
      <w:spacing w:beforeLines="10" w:line="240" w:lineRule="atLeast"/>
      <w:jc w:val="center"/>
    </w:pPr>
    <w:rPr>
      <w:rFonts w:ascii="宋体" w:hAnsi="宋体" w:cs="宋体"/>
      <w:kern w:val="0"/>
      <w:szCs w:val="20"/>
    </w:rPr>
  </w:style>
  <w:style w:type="paragraph" w:customStyle="1" w:styleId="1705">
    <w:name w:val="样式 样式 正文缩进 + 首行缩进:  2 字符 + 首行缩进:  2 字符3"/>
    <w:basedOn w:val="1"/>
    <w:qFormat/>
    <w:uiPriority w:val="0"/>
    <w:pPr>
      <w:widowControl/>
      <w:snapToGrid w:val="0"/>
      <w:spacing w:line="480" w:lineRule="atLeast"/>
      <w:ind w:firstLine="200" w:firstLineChars="200"/>
    </w:pPr>
    <w:rPr>
      <w:rFonts w:ascii="宋体" w:hAnsi="宋体" w:cs="宋体"/>
      <w:kern w:val="0"/>
      <w:sz w:val="28"/>
      <w:szCs w:val="20"/>
    </w:rPr>
  </w:style>
  <w:style w:type="character" w:customStyle="1" w:styleId="1706">
    <w:name w:val="样式 表头1 + 段前: 0.35 行 Char"/>
    <w:link w:val="1707"/>
    <w:qFormat/>
    <w:locked/>
    <w:uiPriority w:val="0"/>
    <w:rPr>
      <w:rFonts w:ascii="宋体" w:hAnsi="宋体" w:cs="宋体"/>
      <w:b/>
      <w:bCs/>
      <w:kern w:val="2"/>
      <w:sz w:val="28"/>
      <w:szCs w:val="24"/>
    </w:rPr>
  </w:style>
  <w:style w:type="paragraph" w:customStyle="1" w:styleId="1707">
    <w:name w:val="样式 表头1 + 段前: 0.35 行"/>
    <w:basedOn w:val="257"/>
    <w:link w:val="1706"/>
    <w:qFormat/>
    <w:uiPriority w:val="0"/>
    <w:pPr>
      <w:keepNext w:val="0"/>
      <w:adjustRightInd/>
      <w:snapToGrid w:val="0"/>
      <w:spacing w:line="520" w:lineRule="atLeast"/>
      <w:jc w:val="both"/>
      <w:textAlignment w:val="auto"/>
    </w:pPr>
    <w:rPr>
      <w:rFonts w:ascii="宋体" w:hAnsi="宋体" w:cs="宋体"/>
      <w:bCs/>
      <w:kern w:val="2"/>
      <w:sz w:val="28"/>
    </w:rPr>
  </w:style>
  <w:style w:type="character" w:customStyle="1" w:styleId="1708">
    <w:name w:val="样式 表头4 + 段前: 0.5 行1 Char"/>
    <w:link w:val="1709"/>
    <w:qFormat/>
    <w:locked/>
    <w:uiPriority w:val="0"/>
    <w:rPr>
      <w:b/>
      <w:bCs/>
      <w:kern w:val="2"/>
      <w:sz w:val="28"/>
      <w:lang w:val="zh-CN" w:eastAsia="zh-CN"/>
    </w:rPr>
  </w:style>
  <w:style w:type="paragraph" w:customStyle="1" w:styleId="1709">
    <w:name w:val="样式 表头4 + 段前: 0.5 行1"/>
    <w:basedOn w:val="1"/>
    <w:link w:val="1708"/>
    <w:qFormat/>
    <w:uiPriority w:val="0"/>
    <w:pPr>
      <w:widowControl/>
      <w:snapToGrid w:val="0"/>
      <w:spacing w:beforeLines="25" w:line="520" w:lineRule="atLeast"/>
      <w:jc w:val="left"/>
    </w:pPr>
    <w:rPr>
      <w:b/>
      <w:bCs/>
      <w:sz w:val="28"/>
      <w:szCs w:val="20"/>
      <w:lang w:val="zh-CN"/>
    </w:rPr>
  </w:style>
  <w:style w:type="paragraph" w:customStyle="1" w:styleId="1710">
    <w:name w:val="图表题"/>
    <w:basedOn w:val="452"/>
    <w:next w:val="452"/>
    <w:qFormat/>
    <w:uiPriority w:val="0"/>
    <w:pPr>
      <w:widowControl/>
      <w:autoSpaceDE/>
      <w:autoSpaceDN/>
      <w:adjustRightInd/>
      <w:ind w:firstLine="0" w:firstLineChars="0"/>
      <w:jc w:val="center"/>
    </w:pPr>
    <w:rPr>
      <w:rFonts w:hint="eastAsia" w:ascii="黑体" w:hAnsi="宋体" w:eastAsia="黑体"/>
      <w:b/>
      <w:bCs/>
      <w:kern w:val="2"/>
      <w:lang w:val="zh-CN"/>
    </w:rPr>
  </w:style>
  <w:style w:type="paragraph" w:customStyle="1" w:styleId="1711">
    <w:name w:val="s_sn_46_rid_-"/>
    <w:basedOn w:val="1"/>
    <w:qFormat/>
    <w:uiPriority w:val="0"/>
    <w:pPr>
      <w:widowControl/>
      <w:spacing w:before="100" w:beforeAutospacing="1" w:after="100" w:afterAutospacing="1"/>
      <w:jc w:val="left"/>
    </w:pPr>
    <w:rPr>
      <w:rFonts w:ascii="宋体" w:hAnsi="宋体" w:cs="宋体"/>
      <w:kern w:val="0"/>
    </w:rPr>
  </w:style>
  <w:style w:type="paragraph" w:customStyle="1" w:styleId="1712">
    <w:name w:val="r_15"/>
    <w:basedOn w:val="1"/>
    <w:qFormat/>
    <w:uiPriority w:val="0"/>
    <w:pPr>
      <w:widowControl/>
      <w:spacing w:before="100" w:beforeAutospacing="1" w:after="100" w:afterAutospacing="1"/>
      <w:jc w:val="left"/>
    </w:pPr>
    <w:rPr>
      <w:rFonts w:ascii="宋体" w:hAnsi="宋体" w:cs="宋体"/>
      <w:kern w:val="0"/>
    </w:rPr>
  </w:style>
  <w:style w:type="paragraph" w:customStyle="1" w:styleId="1713">
    <w:name w:val="表格文字中对齐"/>
    <w:basedOn w:val="1"/>
    <w:qFormat/>
    <w:uiPriority w:val="0"/>
    <w:pPr>
      <w:widowControl/>
      <w:spacing w:line="300" w:lineRule="auto"/>
      <w:jc w:val="center"/>
    </w:pPr>
    <w:rPr>
      <w:rFonts w:ascii="Arial Narrow" w:hAnsi="Arial Narrow" w:cs="宋体"/>
      <w:bCs/>
      <w:kern w:val="0"/>
      <w:sz w:val="21"/>
      <w:szCs w:val="21"/>
    </w:rPr>
  </w:style>
  <w:style w:type="character" w:customStyle="1" w:styleId="1714">
    <w:name w:val="正文-2 Char Char"/>
    <w:link w:val="1715"/>
    <w:qFormat/>
    <w:locked/>
    <w:uiPriority w:val="0"/>
    <w:rPr>
      <w:rFonts w:ascii="仿宋_GB2312" w:eastAsia="仿宋_GB2312" w:cs="Calibri"/>
      <w:sz w:val="28"/>
      <w:szCs w:val="28"/>
    </w:rPr>
  </w:style>
  <w:style w:type="paragraph" w:customStyle="1" w:styleId="1715">
    <w:name w:val="正文-2"/>
    <w:link w:val="1714"/>
    <w:qFormat/>
    <w:uiPriority w:val="0"/>
    <w:pPr>
      <w:widowControl w:val="0"/>
      <w:spacing w:line="480" w:lineRule="exact"/>
      <w:ind w:firstLine="560" w:firstLineChars="200"/>
      <w:jc w:val="both"/>
    </w:pPr>
    <w:rPr>
      <w:rFonts w:ascii="仿宋_GB2312" w:hAnsi="Times New Roman" w:eastAsia="仿宋_GB2312" w:cs="Calibri"/>
      <w:sz w:val="28"/>
      <w:szCs w:val="28"/>
      <w:lang w:val="en-US" w:eastAsia="zh-CN" w:bidi="ar-SA"/>
    </w:rPr>
  </w:style>
  <w:style w:type="paragraph" w:customStyle="1" w:styleId="1716">
    <w:name w:val="表16.4-1"/>
    <w:basedOn w:val="1"/>
    <w:qFormat/>
    <w:uiPriority w:val="0"/>
    <w:pPr>
      <w:widowControl/>
      <w:numPr>
        <w:ilvl w:val="0"/>
        <w:numId w:val="27"/>
      </w:numPr>
      <w:tabs>
        <w:tab w:val="center" w:pos="4060"/>
        <w:tab w:val="right" w:pos="8261"/>
      </w:tabs>
      <w:suppressAutoHyphens/>
      <w:adjustRightInd w:val="0"/>
      <w:spacing w:beforeLines="100" w:line="0" w:lineRule="atLeast"/>
      <w:jc w:val="center"/>
    </w:pPr>
    <w:rPr>
      <w:rFonts w:ascii="黑体" w:hAnsi="宋体" w:eastAsia="黑体" w:cs="宋体"/>
      <w:b/>
      <w:bCs/>
      <w:spacing w:val="6"/>
      <w:kern w:val="0"/>
      <w:szCs w:val="20"/>
    </w:rPr>
  </w:style>
  <w:style w:type="character" w:customStyle="1" w:styleId="1717">
    <w:name w:val="正文文档 Char"/>
    <w:link w:val="1718"/>
    <w:qFormat/>
    <w:locked/>
    <w:uiPriority w:val="0"/>
    <w:rPr>
      <w:kern w:val="2"/>
      <w:sz w:val="24"/>
      <w:szCs w:val="24"/>
      <w:lang w:val="zh-CN" w:eastAsia="zh-CN"/>
    </w:rPr>
  </w:style>
  <w:style w:type="paragraph" w:customStyle="1" w:styleId="1718">
    <w:name w:val="正文文档"/>
    <w:basedOn w:val="1"/>
    <w:link w:val="1717"/>
    <w:qFormat/>
    <w:uiPriority w:val="0"/>
    <w:pPr>
      <w:widowControl/>
      <w:ind w:firstLine="480" w:firstLineChars="200"/>
    </w:pPr>
    <w:rPr>
      <w:lang w:val="zh-CN"/>
    </w:rPr>
  </w:style>
  <w:style w:type="paragraph" w:customStyle="1" w:styleId="1719">
    <w:name w:val="CM86"/>
    <w:basedOn w:val="1"/>
    <w:next w:val="1"/>
    <w:qFormat/>
    <w:uiPriority w:val="99"/>
    <w:pPr>
      <w:widowControl/>
      <w:autoSpaceDE w:val="0"/>
      <w:autoSpaceDN w:val="0"/>
      <w:adjustRightInd w:val="0"/>
      <w:spacing w:after="470"/>
      <w:jc w:val="left"/>
    </w:pPr>
    <w:rPr>
      <w:rFonts w:ascii="宋体" w:hAnsi="宋体" w:cs="宋体"/>
      <w:kern w:val="0"/>
    </w:rPr>
  </w:style>
  <w:style w:type="paragraph" w:customStyle="1" w:styleId="1720">
    <w:name w:val="z-h21"/>
    <w:basedOn w:val="1"/>
    <w:qFormat/>
    <w:uiPriority w:val="0"/>
    <w:pPr>
      <w:widowControl/>
      <w:spacing w:line="332" w:lineRule="atLeast"/>
      <w:jc w:val="center"/>
    </w:pPr>
    <w:rPr>
      <w:rFonts w:ascii="宋体" w:hAnsi="宋体" w:cs="宋体"/>
      <w:b/>
      <w:bCs/>
      <w:kern w:val="0"/>
      <w:sz w:val="22"/>
    </w:rPr>
  </w:style>
  <w:style w:type="paragraph" w:customStyle="1" w:styleId="1721">
    <w:name w:val="mcwong"/>
    <w:basedOn w:val="1"/>
    <w:qFormat/>
    <w:uiPriority w:val="0"/>
    <w:pPr>
      <w:widowControl/>
      <w:spacing w:before="100" w:beforeAutospacing="1" w:after="100" w:afterAutospacing="1"/>
      <w:jc w:val="left"/>
    </w:pPr>
    <w:rPr>
      <w:rFonts w:ascii="宋体" w:hAnsi="宋体" w:cs="宋体"/>
      <w:kern w:val="0"/>
    </w:rPr>
  </w:style>
  <w:style w:type="paragraph" w:customStyle="1" w:styleId="1722">
    <w:name w:val="海域5号表内容"/>
    <w:basedOn w:val="1"/>
    <w:qFormat/>
    <w:uiPriority w:val="0"/>
    <w:pPr>
      <w:widowControl/>
      <w:adjustRightInd w:val="0"/>
      <w:snapToGrid w:val="0"/>
      <w:jc w:val="center"/>
    </w:pPr>
    <w:rPr>
      <w:rFonts w:ascii="Calibri" w:hAnsi="Calibri" w:cs="宋体"/>
      <w:bCs/>
      <w:color w:val="000000"/>
      <w:kern w:val="0"/>
      <w:sz w:val="21"/>
      <w:szCs w:val="21"/>
    </w:rPr>
  </w:style>
  <w:style w:type="paragraph" w:customStyle="1" w:styleId="1723">
    <w:name w:val="封里1"/>
    <w:basedOn w:val="1"/>
    <w:qFormat/>
    <w:uiPriority w:val="0"/>
    <w:pPr>
      <w:widowControl/>
      <w:adjustRightInd w:val="0"/>
      <w:snapToGrid w:val="0"/>
      <w:ind w:firstLine="200" w:firstLineChars="200"/>
    </w:pPr>
    <w:rPr>
      <w:rFonts w:ascii="宋体" w:hAnsi="宋体" w:cs="宋体"/>
      <w:kern w:val="0"/>
      <w:sz w:val="32"/>
      <w:szCs w:val="32"/>
    </w:rPr>
  </w:style>
  <w:style w:type="character" w:customStyle="1" w:styleId="1724">
    <w:name w:val="文本正文 Char"/>
    <w:link w:val="1725"/>
    <w:qFormat/>
    <w:locked/>
    <w:uiPriority w:val="0"/>
    <w:rPr>
      <w:sz w:val="24"/>
      <w:szCs w:val="28"/>
      <w:lang w:val="zh-CN" w:eastAsia="zh-CN"/>
    </w:rPr>
  </w:style>
  <w:style w:type="paragraph" w:customStyle="1" w:styleId="1725">
    <w:name w:val="文本正文"/>
    <w:basedOn w:val="1"/>
    <w:link w:val="1724"/>
    <w:qFormat/>
    <w:uiPriority w:val="0"/>
    <w:pPr>
      <w:widowControl/>
      <w:adjustRightInd w:val="0"/>
      <w:spacing w:line="480" w:lineRule="exact"/>
      <w:ind w:firstLine="200" w:firstLineChars="200"/>
    </w:pPr>
    <w:rPr>
      <w:kern w:val="0"/>
      <w:szCs w:val="28"/>
      <w:lang w:val="zh-CN"/>
    </w:rPr>
  </w:style>
  <w:style w:type="paragraph" w:customStyle="1" w:styleId="1726">
    <w:name w:val="海表"/>
    <w:basedOn w:val="1"/>
    <w:qFormat/>
    <w:uiPriority w:val="0"/>
    <w:pPr>
      <w:widowControl/>
      <w:pBdr>
        <w:top w:val="single" w:color="000000" w:sz="4" w:space="1"/>
        <w:bottom w:val="single" w:color="000000" w:sz="4" w:space="1"/>
      </w:pBdr>
      <w:autoSpaceDE w:val="0"/>
      <w:autoSpaceDN w:val="0"/>
      <w:adjustRightInd w:val="0"/>
      <w:snapToGrid w:val="0"/>
      <w:ind w:firstLine="200" w:firstLineChars="200"/>
      <w:jc w:val="center"/>
    </w:pPr>
    <w:rPr>
      <w:rFonts w:ascii="Calibri" w:hAnsi="Calibri" w:cs="宋体"/>
      <w:color w:val="000000"/>
      <w:kern w:val="0"/>
      <w:sz w:val="22"/>
      <w:szCs w:val="20"/>
    </w:rPr>
  </w:style>
  <w:style w:type="paragraph" w:customStyle="1" w:styleId="1727">
    <w:name w:val="海域表头"/>
    <w:basedOn w:val="1"/>
    <w:qFormat/>
    <w:uiPriority w:val="0"/>
    <w:pPr>
      <w:keepNext/>
      <w:widowControl/>
      <w:adjustRightInd w:val="0"/>
      <w:snapToGrid w:val="0"/>
      <w:spacing w:beforeLines="50" w:line="300" w:lineRule="auto"/>
      <w:jc w:val="center"/>
    </w:pPr>
    <w:rPr>
      <w:rFonts w:ascii="宋体" w:hAnsi="宋体" w:cs="宋体"/>
      <w:bCs/>
      <w:color w:val="000000"/>
      <w:kern w:val="0"/>
      <w:sz w:val="22"/>
      <w:szCs w:val="28"/>
    </w:rPr>
  </w:style>
  <w:style w:type="paragraph" w:customStyle="1" w:styleId="1728">
    <w:name w:val="海域图标"/>
    <w:basedOn w:val="1"/>
    <w:qFormat/>
    <w:uiPriority w:val="0"/>
    <w:pPr>
      <w:widowControl/>
      <w:adjustRightInd w:val="0"/>
      <w:snapToGrid w:val="0"/>
      <w:spacing w:line="240" w:lineRule="atLeast"/>
      <w:jc w:val="center"/>
    </w:pPr>
    <w:rPr>
      <w:rFonts w:ascii="宋体" w:hAnsi="宋体" w:cs="宋体"/>
      <w:bCs/>
      <w:color w:val="000000"/>
      <w:kern w:val="0"/>
      <w:sz w:val="22"/>
    </w:rPr>
  </w:style>
  <w:style w:type="character" w:customStyle="1" w:styleId="1729">
    <w:name w:val="报告正文 Char Char"/>
    <w:qFormat/>
    <w:locked/>
    <w:uiPriority w:val="0"/>
    <w:rPr>
      <w:rFonts w:ascii="宋体" w:hAnsi="宋体" w:cs="宋体"/>
      <w:sz w:val="24"/>
    </w:rPr>
  </w:style>
  <w:style w:type="character" w:customStyle="1" w:styleId="1730">
    <w:name w:val="正文样式 Char"/>
    <w:link w:val="1731"/>
    <w:qFormat/>
    <w:locked/>
    <w:uiPriority w:val="0"/>
    <w:rPr>
      <w:sz w:val="24"/>
      <w:szCs w:val="24"/>
      <w:lang w:val="zh-CN" w:eastAsia="zh-CN"/>
    </w:rPr>
  </w:style>
  <w:style w:type="paragraph" w:customStyle="1" w:styleId="1731">
    <w:name w:val="正文样式"/>
    <w:basedOn w:val="1"/>
    <w:link w:val="1730"/>
    <w:uiPriority w:val="0"/>
    <w:pPr>
      <w:adjustRightInd w:val="0"/>
      <w:snapToGrid w:val="0"/>
      <w:spacing w:line="520" w:lineRule="exact"/>
      <w:ind w:firstLine="562"/>
      <w:jc w:val="left"/>
    </w:pPr>
    <w:rPr>
      <w:kern w:val="0"/>
      <w:lang w:val="zh-CN"/>
    </w:rPr>
  </w:style>
  <w:style w:type="character" w:customStyle="1" w:styleId="1732">
    <w:name w:val="正文首缩 Char"/>
    <w:link w:val="1733"/>
    <w:qFormat/>
    <w:locked/>
    <w:uiPriority w:val="0"/>
    <w:rPr>
      <w:sz w:val="24"/>
    </w:rPr>
  </w:style>
  <w:style w:type="paragraph" w:customStyle="1" w:styleId="1733">
    <w:name w:val="正文首缩"/>
    <w:basedOn w:val="34"/>
    <w:link w:val="1732"/>
    <w:qFormat/>
    <w:uiPriority w:val="0"/>
    <w:pPr>
      <w:widowControl/>
      <w:snapToGrid w:val="0"/>
      <w:spacing w:after="80" w:line="360" w:lineRule="auto"/>
      <w:ind w:firstLine="454"/>
    </w:pPr>
    <w:rPr>
      <w:kern w:val="0"/>
      <w:sz w:val="24"/>
      <w:szCs w:val="20"/>
    </w:rPr>
  </w:style>
  <w:style w:type="paragraph" w:customStyle="1" w:styleId="1734">
    <w:name w:val="CM4"/>
    <w:basedOn w:val="1"/>
    <w:next w:val="1"/>
    <w:qFormat/>
    <w:uiPriority w:val="99"/>
    <w:pPr>
      <w:widowControl/>
      <w:autoSpaceDE w:val="0"/>
      <w:autoSpaceDN w:val="0"/>
      <w:adjustRightInd w:val="0"/>
      <w:spacing w:line="468" w:lineRule="atLeast"/>
      <w:jc w:val="left"/>
    </w:pPr>
    <w:rPr>
      <w:rFonts w:ascii="宋体" w:hAnsi="Calibri" w:cs="宋体"/>
      <w:kern w:val="0"/>
    </w:rPr>
  </w:style>
  <w:style w:type="character" w:customStyle="1" w:styleId="1735">
    <w:name w:val="我的图文标题 Char Char"/>
    <w:link w:val="1736"/>
    <w:qFormat/>
    <w:locked/>
    <w:uiPriority w:val="0"/>
    <w:rPr>
      <w:rFonts w:ascii="黑体" w:hAnsi="Calibri" w:eastAsia="黑体"/>
      <w:lang w:val="zh-CN" w:eastAsia="zh-CN"/>
    </w:rPr>
  </w:style>
  <w:style w:type="paragraph" w:customStyle="1" w:styleId="1736">
    <w:name w:val="我的图文标题"/>
    <w:basedOn w:val="1"/>
    <w:link w:val="1735"/>
    <w:qFormat/>
    <w:uiPriority w:val="0"/>
    <w:pPr>
      <w:widowControl/>
      <w:jc w:val="center"/>
    </w:pPr>
    <w:rPr>
      <w:rFonts w:ascii="黑体" w:hAnsi="Calibri" w:eastAsia="黑体"/>
      <w:kern w:val="0"/>
      <w:sz w:val="20"/>
      <w:szCs w:val="20"/>
      <w:lang w:val="zh-CN"/>
    </w:rPr>
  </w:style>
  <w:style w:type="character" w:customStyle="1" w:styleId="1737">
    <w:name w:val="00 正文 Char"/>
    <w:link w:val="1738"/>
    <w:qFormat/>
    <w:locked/>
    <w:uiPriority w:val="0"/>
    <w:rPr>
      <w:rFonts w:eastAsia="Times New Roman"/>
      <w:color w:val="000000"/>
      <w:spacing w:val="-2"/>
      <w:sz w:val="24"/>
      <w:szCs w:val="24"/>
      <w:lang w:val="zh-CN"/>
    </w:rPr>
  </w:style>
  <w:style w:type="paragraph" w:customStyle="1" w:styleId="1738">
    <w:name w:val="00 正文"/>
    <w:link w:val="1737"/>
    <w:qFormat/>
    <w:uiPriority w:val="0"/>
    <w:pPr>
      <w:tabs>
        <w:tab w:val="left" w:pos="540"/>
      </w:tabs>
      <w:spacing w:before="120" w:after="120" w:line="500" w:lineRule="exact"/>
      <w:jc w:val="both"/>
    </w:pPr>
    <w:rPr>
      <w:rFonts w:ascii="Times New Roman" w:hAnsi="Times New Roman" w:eastAsia="Times New Roman" w:cs="Times New Roman"/>
      <w:color w:val="000000"/>
      <w:spacing w:val="-2"/>
      <w:sz w:val="24"/>
      <w:szCs w:val="24"/>
      <w:lang w:val="zh-CN" w:eastAsia="zh-CN" w:bidi="ar-SA"/>
    </w:rPr>
  </w:style>
  <w:style w:type="character" w:customStyle="1" w:styleId="1739">
    <w:name w:val="表中内容 Char"/>
    <w:link w:val="1740"/>
    <w:qFormat/>
    <w:locked/>
    <w:uiPriority w:val="0"/>
    <w:rPr>
      <w:rFonts w:ascii="宋体" w:hAnsi="宋体"/>
      <w:color w:val="000000"/>
      <w:szCs w:val="21"/>
    </w:rPr>
  </w:style>
  <w:style w:type="paragraph" w:customStyle="1" w:styleId="1740">
    <w:name w:val="表中内容"/>
    <w:basedOn w:val="1"/>
    <w:link w:val="1739"/>
    <w:qFormat/>
    <w:uiPriority w:val="0"/>
    <w:pPr>
      <w:widowControl/>
      <w:adjustRightInd w:val="0"/>
      <w:snapToGrid w:val="0"/>
      <w:spacing w:line="240" w:lineRule="atLeast"/>
      <w:jc w:val="center"/>
    </w:pPr>
    <w:rPr>
      <w:rFonts w:ascii="宋体" w:hAnsi="宋体"/>
      <w:color w:val="000000"/>
      <w:kern w:val="0"/>
      <w:sz w:val="20"/>
      <w:szCs w:val="21"/>
    </w:rPr>
  </w:style>
  <w:style w:type="paragraph" w:customStyle="1" w:styleId="1741">
    <w:name w:val="我的图表标题"/>
    <w:basedOn w:val="1"/>
    <w:qFormat/>
    <w:uiPriority w:val="0"/>
    <w:pPr>
      <w:widowControl/>
      <w:jc w:val="center"/>
    </w:pPr>
    <w:rPr>
      <w:rFonts w:ascii="黑体" w:hAnsi="宋体" w:eastAsia="黑体" w:cs="宋体"/>
      <w:bCs/>
      <w:color w:val="000000"/>
      <w:kern w:val="0"/>
      <w:sz w:val="21"/>
      <w:szCs w:val="21"/>
    </w:rPr>
  </w:style>
  <w:style w:type="paragraph" w:customStyle="1" w:styleId="1742">
    <w:name w:val="目次、标准名称标题"/>
    <w:basedOn w:val="1"/>
    <w:next w:val="4"/>
    <w:qFormat/>
    <w:uiPriority w:val="0"/>
    <w:pPr>
      <w:widowControl/>
      <w:shd w:val="clear" w:color="auto" w:fill="FFFFFF"/>
      <w:spacing w:before="640" w:after="560" w:line="460" w:lineRule="exact"/>
      <w:jc w:val="center"/>
      <w:outlineLvl w:val="0"/>
    </w:pPr>
    <w:rPr>
      <w:rFonts w:ascii="黑体" w:hAnsi="宋体" w:eastAsia="黑体" w:cs="宋体"/>
      <w:kern w:val="0"/>
      <w:sz w:val="32"/>
      <w:szCs w:val="20"/>
    </w:rPr>
  </w:style>
  <w:style w:type="paragraph" w:customStyle="1" w:styleId="1743">
    <w:name w:val="样式 生物附录 + 小四 段前: 6 磅 段后: 6 磅 非加宽量 / 紧缩量  行距: 1.5 倍行距"/>
    <w:basedOn w:val="1"/>
    <w:qFormat/>
    <w:uiPriority w:val="0"/>
    <w:pPr>
      <w:widowControl/>
      <w:spacing w:before="100" w:beforeAutospacing="1" w:after="100" w:afterAutospacing="1"/>
    </w:pPr>
    <w:rPr>
      <w:rFonts w:ascii="宋体" w:hAnsi="宋体" w:cs="宋体"/>
      <w:b/>
      <w:bCs/>
      <w:kern w:val="0"/>
      <w:szCs w:val="20"/>
    </w:rPr>
  </w:style>
  <w:style w:type="paragraph" w:customStyle="1" w:styleId="1744">
    <w:name w:val="列项——"/>
    <w:qFormat/>
    <w:uiPriority w:val="0"/>
    <w:pPr>
      <w:widowControl w:val="0"/>
      <w:tabs>
        <w:tab w:val="left" w:pos="854"/>
        <w:tab w:val="left" w:pos="900"/>
      </w:tabs>
      <w:ind w:left="200" w:leftChars="200" w:hanging="200" w:hangingChars="200"/>
      <w:jc w:val="both"/>
    </w:pPr>
    <w:rPr>
      <w:rFonts w:ascii="宋体" w:hAnsi="Times New Roman" w:eastAsia="宋体" w:cs="Times New Roman"/>
      <w:sz w:val="21"/>
      <w:lang w:val="en-US" w:eastAsia="zh-CN" w:bidi="ar-SA"/>
    </w:rPr>
  </w:style>
  <w:style w:type="paragraph" w:customStyle="1" w:styleId="1745">
    <w:name w:val="表格居中"/>
    <w:basedOn w:val="1"/>
    <w:qFormat/>
    <w:uiPriority w:val="0"/>
    <w:pPr>
      <w:widowControl/>
      <w:tabs>
        <w:tab w:val="left" w:pos="-1680"/>
      </w:tabs>
      <w:adjustRightInd w:val="0"/>
      <w:spacing w:before="60" w:after="60"/>
      <w:jc w:val="center"/>
    </w:pPr>
    <w:rPr>
      <w:rFonts w:ascii="Calibri" w:hAnsi="Calibri" w:cs="宋体"/>
      <w:bCs/>
      <w:spacing w:val="6"/>
      <w:kern w:val="0"/>
      <w:szCs w:val="20"/>
      <w:lang w:eastAsia="en-US" w:bidi="en-US"/>
    </w:rPr>
  </w:style>
  <w:style w:type="paragraph" w:customStyle="1" w:styleId="1746">
    <w:name w:val="码头表"/>
    <w:basedOn w:val="1"/>
    <w:qFormat/>
    <w:uiPriority w:val="0"/>
    <w:pPr>
      <w:widowControl/>
      <w:adjustRightInd w:val="0"/>
      <w:snapToGrid w:val="0"/>
      <w:spacing w:before="40" w:line="360" w:lineRule="atLeast"/>
      <w:jc w:val="center"/>
    </w:pPr>
    <w:rPr>
      <w:rFonts w:ascii="华文楷体" w:hAnsi="华文楷体" w:eastAsia="华文楷体" w:cs="宋体"/>
      <w:kern w:val="0"/>
    </w:rPr>
  </w:style>
  <w:style w:type="paragraph" w:customStyle="1" w:styleId="1747">
    <w:name w:val="A标题"/>
    <w:basedOn w:val="6"/>
    <w:qFormat/>
    <w:uiPriority w:val="0"/>
    <w:pPr>
      <w:widowControl/>
      <w:numPr>
        <w:ilvl w:val="0"/>
        <w:numId w:val="0"/>
      </w:numPr>
      <w:tabs>
        <w:tab w:val="left" w:pos="-120"/>
        <w:tab w:val="left" w:pos="0"/>
        <w:tab w:val="left" w:pos="625"/>
        <w:tab w:val="left" w:pos="709"/>
      </w:tabs>
      <w:spacing w:line="264" w:lineRule="auto"/>
      <w:ind w:left="625" w:hanging="425"/>
      <w:jc w:val="left"/>
    </w:pPr>
    <w:rPr>
      <w:rFonts w:eastAsia="黑体"/>
      <w:b w:val="0"/>
      <w:spacing w:val="20"/>
      <w:sz w:val="24"/>
      <w:szCs w:val="20"/>
    </w:rPr>
  </w:style>
  <w:style w:type="paragraph" w:customStyle="1" w:styleId="1748">
    <w:name w:val="列项·"/>
    <w:qFormat/>
    <w:uiPriority w:val="0"/>
    <w:pPr>
      <w:tabs>
        <w:tab w:val="left" w:pos="840"/>
        <w:tab w:val="left" w:pos="900"/>
      </w:tabs>
      <w:ind w:left="840" w:leftChars="200" w:hanging="200" w:hangingChars="200"/>
      <w:jc w:val="both"/>
    </w:pPr>
    <w:rPr>
      <w:rFonts w:ascii="宋体" w:hAnsi="Times New Roman" w:eastAsia="宋体" w:cs="Times New Roman"/>
      <w:sz w:val="21"/>
      <w:lang w:val="en-US" w:eastAsia="zh-CN" w:bidi="ar-SA"/>
    </w:rPr>
  </w:style>
  <w:style w:type="paragraph" w:customStyle="1" w:styleId="1749">
    <w:name w:val="WW-表格"/>
    <w:basedOn w:val="1"/>
    <w:qFormat/>
    <w:uiPriority w:val="0"/>
    <w:pPr>
      <w:widowControl/>
      <w:suppressAutoHyphens/>
      <w:snapToGrid w:val="0"/>
      <w:spacing w:before="20" w:after="20"/>
      <w:jc w:val="center"/>
    </w:pPr>
    <w:rPr>
      <w:rFonts w:ascii="宋体" w:hAnsi="宋体" w:cs="宋体"/>
      <w:sz w:val="21"/>
      <w:szCs w:val="20"/>
      <w:lang w:eastAsia="ar-SA"/>
    </w:rPr>
  </w:style>
  <w:style w:type="paragraph" w:customStyle="1" w:styleId="1750">
    <w:name w:val="报告书表格"/>
    <w:basedOn w:val="1"/>
    <w:qFormat/>
    <w:uiPriority w:val="0"/>
    <w:pPr>
      <w:widowControl/>
      <w:adjustRightInd w:val="0"/>
      <w:spacing w:before="60" w:after="60" w:line="240" w:lineRule="atLeast"/>
      <w:jc w:val="center"/>
    </w:pPr>
    <w:rPr>
      <w:rFonts w:ascii="宋体" w:hAnsi="宋体" w:cs="宋体"/>
      <w:kern w:val="0"/>
      <w:sz w:val="21"/>
    </w:rPr>
  </w:style>
  <w:style w:type="paragraph" w:customStyle="1" w:styleId="1751">
    <w:name w:val="WW-表格1"/>
    <w:basedOn w:val="1"/>
    <w:qFormat/>
    <w:uiPriority w:val="0"/>
    <w:pPr>
      <w:widowControl/>
      <w:suppressAutoHyphens/>
      <w:snapToGrid w:val="0"/>
      <w:spacing w:before="20" w:after="20"/>
      <w:jc w:val="center"/>
    </w:pPr>
    <w:rPr>
      <w:rFonts w:ascii="宋体" w:hAnsi="宋体" w:cs="宋体"/>
      <w:sz w:val="21"/>
      <w:szCs w:val="20"/>
      <w:lang w:eastAsia="ar-SA"/>
    </w:rPr>
  </w:style>
  <w:style w:type="paragraph" w:customStyle="1" w:styleId="1752">
    <w:name w:val="封面标准号1"/>
    <w:qFormat/>
    <w:uiPriority w:val="0"/>
    <w:pPr>
      <w:widowControl w:val="0"/>
      <w:kinsoku w:val="0"/>
      <w:overflowPunct w:val="0"/>
      <w:autoSpaceDE w:val="0"/>
      <w:autoSpaceDN w:val="0"/>
      <w:spacing w:before="308"/>
      <w:jc w:val="right"/>
    </w:pPr>
    <w:rPr>
      <w:rFonts w:ascii="Times New Roman" w:hAnsi="Times New Roman" w:eastAsia="宋体" w:cs="Times New Roman"/>
      <w:sz w:val="28"/>
      <w:lang w:val="en-US" w:eastAsia="zh-CN" w:bidi="ar-SA"/>
    </w:rPr>
  </w:style>
  <w:style w:type="paragraph" w:customStyle="1" w:styleId="1753">
    <w:name w:val="生物中文名"/>
    <w:basedOn w:val="1"/>
    <w:qFormat/>
    <w:uiPriority w:val="0"/>
    <w:pPr>
      <w:widowControl/>
      <w:tabs>
        <w:tab w:val="left" w:pos="-120"/>
      </w:tabs>
      <w:overflowPunct w:val="0"/>
      <w:topLinePunct/>
      <w:autoSpaceDE w:val="0"/>
      <w:adjustRightInd w:val="0"/>
      <w:snapToGrid w:val="0"/>
      <w:spacing w:before="60" w:line="0" w:lineRule="atLeast"/>
      <w:ind w:firstLine="454"/>
    </w:pPr>
    <w:rPr>
      <w:rFonts w:ascii="宋体" w:hAnsi="宋体" w:cs="宋体"/>
      <w:spacing w:val="20"/>
      <w:kern w:val="0"/>
      <w:szCs w:val="20"/>
    </w:rPr>
  </w:style>
  <w:style w:type="paragraph" w:customStyle="1" w:styleId="1754">
    <w:name w:val="样式 题注 + 首行缩进:  2 字符"/>
    <w:basedOn w:val="22"/>
    <w:qFormat/>
    <w:uiPriority w:val="0"/>
    <w:pPr>
      <w:widowControl/>
      <w:spacing w:before="152" w:after="160" w:line="360" w:lineRule="auto"/>
      <w:ind w:firstLine="400" w:firstLineChars="200"/>
      <w:jc w:val="both"/>
    </w:pPr>
    <w:rPr>
      <w:rFonts w:ascii="Arial" w:hAnsi="Arial" w:eastAsia="黑体" w:cs="宋体"/>
      <w:b w:val="0"/>
      <w:color w:val="FF0000"/>
      <w:szCs w:val="22"/>
    </w:rPr>
  </w:style>
  <w:style w:type="paragraph" w:customStyle="1" w:styleId="1755">
    <w:name w:val="表格右"/>
    <w:basedOn w:val="1"/>
    <w:qFormat/>
    <w:uiPriority w:val="0"/>
    <w:pPr>
      <w:widowControl/>
      <w:suppressAutoHyphens/>
      <w:snapToGrid w:val="0"/>
      <w:spacing w:before="20" w:after="20"/>
      <w:ind w:firstLine="351" w:firstLineChars="167"/>
    </w:pPr>
    <w:rPr>
      <w:rFonts w:ascii="宋体" w:hAnsi="宋体" w:cs="宋体"/>
      <w:sz w:val="21"/>
      <w:szCs w:val="20"/>
      <w:lang w:val="zh-CN"/>
    </w:rPr>
  </w:style>
  <w:style w:type="paragraph" w:customStyle="1" w:styleId="1756">
    <w:name w:val="Char1 Char Char Char Char Char Char2"/>
    <w:basedOn w:val="1"/>
    <w:next w:val="51"/>
    <w:qFormat/>
    <w:uiPriority w:val="0"/>
    <w:pPr>
      <w:widowControl/>
      <w:ind w:firstLine="480" w:firstLineChars="200"/>
    </w:pPr>
    <w:rPr>
      <w:rFonts w:ascii="宋体" w:hAnsi="宋体" w:cs="宋体"/>
      <w:kern w:val="0"/>
    </w:rPr>
  </w:style>
  <w:style w:type="character" w:customStyle="1" w:styleId="1757">
    <w:name w:val="0-正文 Char"/>
    <w:link w:val="1758"/>
    <w:qFormat/>
    <w:locked/>
    <w:uiPriority w:val="0"/>
    <w:rPr>
      <w:spacing w:val="4"/>
      <w:sz w:val="28"/>
      <w:szCs w:val="28"/>
    </w:rPr>
  </w:style>
  <w:style w:type="paragraph" w:customStyle="1" w:styleId="1758">
    <w:name w:val="0-正文"/>
    <w:basedOn w:val="1"/>
    <w:link w:val="1757"/>
    <w:qFormat/>
    <w:uiPriority w:val="0"/>
    <w:pPr>
      <w:widowControl/>
      <w:spacing w:line="312" w:lineRule="auto"/>
      <w:ind w:firstLine="200" w:firstLineChars="200"/>
    </w:pPr>
    <w:rPr>
      <w:spacing w:val="4"/>
      <w:kern w:val="0"/>
      <w:sz w:val="28"/>
      <w:szCs w:val="28"/>
    </w:rPr>
  </w:style>
  <w:style w:type="paragraph" w:customStyle="1" w:styleId="1759">
    <w:name w:val="图表脚注"/>
    <w:next w:val="4"/>
    <w:qFormat/>
    <w:uiPriority w:val="0"/>
    <w:pPr>
      <w:ind w:left="300" w:leftChars="200" w:hanging="100" w:hangingChars="100"/>
      <w:jc w:val="both"/>
    </w:pPr>
    <w:rPr>
      <w:rFonts w:ascii="宋体" w:hAnsi="Times New Roman" w:eastAsia="宋体" w:cs="Times New Roman"/>
      <w:sz w:val="18"/>
      <w:lang w:val="en-US" w:eastAsia="zh-CN" w:bidi="ar-SA"/>
    </w:rPr>
  </w:style>
  <w:style w:type="paragraph" w:customStyle="1" w:styleId="1760">
    <w:name w:val="表格居中五号"/>
    <w:basedOn w:val="1"/>
    <w:qFormat/>
    <w:uiPriority w:val="0"/>
    <w:pPr>
      <w:widowControl/>
      <w:jc w:val="center"/>
    </w:pPr>
    <w:rPr>
      <w:rFonts w:ascii="宋体" w:hAnsi="宋体" w:cs="宋体"/>
      <w:kern w:val="0"/>
      <w:sz w:val="21"/>
    </w:rPr>
  </w:style>
  <w:style w:type="paragraph" w:customStyle="1" w:styleId="1761">
    <w:name w:val="content"/>
    <w:basedOn w:val="1"/>
    <w:qFormat/>
    <w:uiPriority w:val="0"/>
    <w:pPr>
      <w:widowControl/>
      <w:spacing w:before="100" w:beforeAutospacing="1" w:after="100" w:afterAutospacing="1"/>
      <w:jc w:val="left"/>
    </w:pPr>
    <w:rPr>
      <w:rFonts w:ascii="Calibri" w:hAnsi="Calibri" w:cs="宋体"/>
      <w:bCs/>
      <w:kern w:val="0"/>
      <w:lang w:eastAsia="en-US" w:bidi="en-US"/>
    </w:rPr>
  </w:style>
  <w:style w:type="paragraph" w:customStyle="1" w:styleId="1762">
    <w:name w:val="z正文"/>
    <w:basedOn w:val="35"/>
    <w:qFormat/>
    <w:uiPriority w:val="0"/>
    <w:pPr>
      <w:widowControl/>
      <w:autoSpaceDE w:val="0"/>
      <w:autoSpaceDN w:val="0"/>
      <w:adjustRightInd w:val="0"/>
      <w:snapToGrid w:val="0"/>
      <w:spacing w:line="240" w:lineRule="auto"/>
      <w:ind w:firstLine="539"/>
    </w:pPr>
    <w:rPr>
      <w:rFonts w:ascii="Arial" w:hAnsi="Arial"/>
    </w:rPr>
  </w:style>
  <w:style w:type="character" w:customStyle="1" w:styleId="1763">
    <w:name w:val="正文—小四 Char"/>
    <w:link w:val="1764"/>
    <w:qFormat/>
    <w:locked/>
    <w:uiPriority w:val="0"/>
    <w:rPr>
      <w:rFonts w:ascii="宋体" w:hAnsi="宋体"/>
      <w:color w:val="000000"/>
      <w:sz w:val="24"/>
    </w:rPr>
  </w:style>
  <w:style w:type="paragraph" w:customStyle="1" w:styleId="1764">
    <w:name w:val="正文—小四"/>
    <w:basedOn w:val="1"/>
    <w:link w:val="1763"/>
    <w:qFormat/>
    <w:uiPriority w:val="0"/>
    <w:pPr>
      <w:widowControl/>
      <w:adjustRightInd w:val="0"/>
      <w:snapToGrid w:val="0"/>
      <w:ind w:firstLine="200" w:firstLineChars="200"/>
      <w:jc w:val="left"/>
    </w:pPr>
    <w:rPr>
      <w:rFonts w:ascii="宋体" w:hAnsi="宋体"/>
      <w:color w:val="000000"/>
      <w:kern w:val="0"/>
      <w:szCs w:val="20"/>
    </w:rPr>
  </w:style>
  <w:style w:type="paragraph" w:customStyle="1" w:styleId="1765">
    <w:name w:val="表头5"/>
    <w:basedOn w:val="1"/>
    <w:qFormat/>
    <w:uiPriority w:val="0"/>
    <w:pPr>
      <w:widowControl/>
      <w:tabs>
        <w:tab w:val="left" w:pos="625"/>
      </w:tabs>
      <w:adjustRightInd w:val="0"/>
      <w:snapToGrid w:val="0"/>
      <w:spacing w:beforeLines="100" w:line="240" w:lineRule="atLeast"/>
      <w:ind w:left="950" w:leftChars="250" w:hanging="425"/>
    </w:pPr>
    <w:rPr>
      <w:rFonts w:ascii="宋体" w:hAnsi="宋体" w:cs="宋体"/>
      <w:b/>
      <w:kern w:val="0"/>
    </w:rPr>
  </w:style>
  <w:style w:type="paragraph" w:customStyle="1" w:styleId="1766">
    <w:name w:val="流程图"/>
    <w:basedOn w:val="1"/>
    <w:qFormat/>
    <w:uiPriority w:val="0"/>
    <w:pPr>
      <w:widowControl/>
    </w:pPr>
    <w:rPr>
      <w:rFonts w:ascii="宋体" w:hAnsi="宋体" w:cs="宋体"/>
      <w:kern w:val="0"/>
      <w:sz w:val="21"/>
    </w:rPr>
  </w:style>
  <w:style w:type="paragraph" w:customStyle="1" w:styleId="1767">
    <w:name w:val="章节题目"/>
    <w:basedOn w:val="1"/>
    <w:next w:val="1"/>
    <w:qFormat/>
    <w:uiPriority w:val="0"/>
    <w:pPr>
      <w:widowControl/>
      <w:spacing w:line="240" w:lineRule="exact"/>
      <w:jc w:val="center"/>
    </w:pPr>
    <w:rPr>
      <w:rFonts w:ascii="宋体" w:hAnsi="宋体" w:cs="宋体"/>
      <w:kern w:val="0"/>
      <w:sz w:val="21"/>
    </w:rPr>
  </w:style>
  <w:style w:type="paragraph" w:customStyle="1" w:styleId="1768">
    <w:name w:val="1表格"/>
    <w:basedOn w:val="1"/>
    <w:qFormat/>
    <w:uiPriority w:val="0"/>
    <w:pPr>
      <w:widowControl/>
      <w:tabs>
        <w:tab w:val="left" w:pos="7433"/>
      </w:tabs>
      <w:adjustRightInd w:val="0"/>
      <w:snapToGrid w:val="0"/>
      <w:spacing w:before="60" w:after="60"/>
      <w:jc w:val="center"/>
    </w:pPr>
    <w:rPr>
      <w:rFonts w:ascii="宋体" w:hAnsi="宋体" w:cs="宋体"/>
      <w:spacing w:val="6"/>
      <w:kern w:val="0"/>
      <w:sz w:val="21"/>
      <w:szCs w:val="20"/>
    </w:rPr>
  </w:style>
  <w:style w:type="paragraph" w:customStyle="1" w:styleId="1769">
    <w:name w:val="样式 题目 + 左侧:  1 字符 右侧:  1 字符"/>
    <w:basedOn w:val="3"/>
    <w:qFormat/>
    <w:uiPriority w:val="0"/>
    <w:pPr>
      <w:keepLines/>
      <w:numPr>
        <w:numId w:val="0"/>
      </w:numPr>
      <w:tabs>
        <w:tab w:val="left" w:pos="425"/>
        <w:tab w:val="clear" w:pos="0"/>
      </w:tabs>
      <w:adjustRightInd w:val="0"/>
      <w:snapToGrid w:val="0"/>
      <w:spacing w:before="100" w:beforeAutospacing="1" w:after="100" w:afterAutospacing="1" w:line="240" w:lineRule="auto"/>
      <w:ind w:right="238"/>
    </w:pPr>
    <w:rPr>
      <w:rFonts w:cs="宋体"/>
      <w:bCs/>
      <w:kern w:val="0"/>
      <w:sz w:val="24"/>
      <w:szCs w:val="20"/>
    </w:rPr>
  </w:style>
  <w:style w:type="paragraph" w:customStyle="1" w:styleId="1770">
    <w:name w:val="样式 标题 2 + 小四 首行缩进:  1.96 字符"/>
    <w:basedOn w:val="1"/>
    <w:qFormat/>
    <w:uiPriority w:val="0"/>
    <w:pPr>
      <w:widowControl/>
    </w:pPr>
    <w:rPr>
      <w:rFonts w:ascii="宋体" w:hAnsi="宋体" w:cs="宋体"/>
      <w:kern w:val="0"/>
      <w:sz w:val="21"/>
    </w:rPr>
  </w:style>
  <w:style w:type="paragraph" w:customStyle="1" w:styleId="1771">
    <w:name w:val="Char Char1 Char Char Char Char Char Char"/>
    <w:basedOn w:val="1"/>
    <w:qFormat/>
    <w:uiPriority w:val="0"/>
    <w:pPr>
      <w:widowControl/>
      <w:spacing w:after="160" w:line="240" w:lineRule="exact"/>
      <w:jc w:val="left"/>
    </w:pPr>
    <w:rPr>
      <w:rFonts w:ascii="Verdana" w:hAnsi="Verdana" w:eastAsia="仿宋_GB2312" w:cs="宋体"/>
      <w:kern w:val="0"/>
      <w:szCs w:val="20"/>
      <w:lang w:eastAsia="en-US"/>
    </w:rPr>
  </w:style>
  <w:style w:type="character" w:customStyle="1" w:styleId="1772">
    <w:name w:val="图名 Char Char"/>
    <w:qFormat/>
    <w:locked/>
    <w:uiPriority w:val="0"/>
    <w:rPr>
      <w:kern w:val="2"/>
      <w:sz w:val="24"/>
      <w:szCs w:val="24"/>
    </w:rPr>
  </w:style>
  <w:style w:type="paragraph" w:customStyle="1" w:styleId="1773">
    <w:name w:val="样式 目录 2 + 左侧:  2 字符"/>
    <w:basedOn w:val="74"/>
    <w:qFormat/>
    <w:uiPriority w:val="0"/>
    <w:pPr>
      <w:widowControl/>
      <w:tabs>
        <w:tab w:val="left" w:pos="1050"/>
        <w:tab w:val="right" w:leader="dot" w:pos="8296"/>
        <w:tab w:val="clear" w:pos="8302"/>
      </w:tabs>
      <w:adjustRightInd/>
      <w:snapToGrid/>
      <w:spacing w:line="276" w:lineRule="auto"/>
      <w:ind w:left="480"/>
      <w:jc w:val="both"/>
    </w:pPr>
    <w:rPr>
      <w:rFonts w:ascii="Vladimir Script" w:hAnsi="Vladimir Script" w:eastAsia="楷体_GB2312" w:cs="宋体"/>
      <w:kern w:val="0"/>
    </w:rPr>
  </w:style>
  <w:style w:type="paragraph" w:customStyle="1" w:styleId="1774">
    <w:name w:val="生物拉丁文"/>
    <w:basedOn w:val="1"/>
    <w:qFormat/>
    <w:uiPriority w:val="0"/>
    <w:pPr>
      <w:widowControl/>
      <w:tabs>
        <w:tab w:val="left" w:pos="-120"/>
        <w:tab w:val="left" w:pos="625"/>
      </w:tabs>
      <w:overflowPunct w:val="0"/>
      <w:topLinePunct/>
      <w:autoSpaceDE w:val="0"/>
      <w:adjustRightInd w:val="0"/>
      <w:snapToGrid w:val="0"/>
      <w:spacing w:before="60" w:line="0" w:lineRule="atLeast"/>
      <w:ind w:firstLine="454"/>
    </w:pPr>
    <w:rPr>
      <w:rFonts w:ascii="宋体" w:hAnsi="宋体" w:cs="宋体"/>
      <w:i/>
      <w:spacing w:val="20"/>
      <w:kern w:val="0"/>
      <w:szCs w:val="20"/>
    </w:rPr>
  </w:style>
  <w:style w:type="paragraph" w:customStyle="1" w:styleId="1775">
    <w:name w:val="表头居右"/>
    <w:basedOn w:val="45"/>
    <w:qFormat/>
    <w:uiPriority w:val="0"/>
    <w:pPr>
      <w:widowControl/>
      <w:adjustRightInd/>
      <w:spacing w:beforeLines="100" w:line="240" w:lineRule="auto"/>
      <w:ind w:firstLine="240" w:firstLineChars="100"/>
      <w:jc w:val="center"/>
      <w:textAlignment w:val="auto"/>
    </w:pPr>
    <w:rPr>
      <w:rFonts w:hint="eastAsia" w:ascii="Times New Roman" w:hAnsi="黑体"/>
      <w:kern w:val="2"/>
      <w:sz w:val="24"/>
    </w:rPr>
  </w:style>
  <w:style w:type="paragraph" w:customStyle="1" w:styleId="1776">
    <w:name w:val="引用文章"/>
    <w:basedOn w:val="1"/>
    <w:qFormat/>
    <w:uiPriority w:val="0"/>
    <w:pPr>
      <w:widowControl/>
      <w:ind w:firstLine="420" w:firstLineChars="200"/>
    </w:pPr>
    <w:rPr>
      <w:rFonts w:ascii="宋体" w:hAnsi="宋体" w:eastAsia="楷体_GB2312" w:cs="宋体"/>
      <w:kern w:val="0"/>
      <w:szCs w:val="20"/>
    </w:rPr>
  </w:style>
  <w:style w:type="paragraph" w:customStyle="1" w:styleId="1777">
    <w:name w:val="0.0文本"/>
    <w:basedOn w:val="1"/>
    <w:qFormat/>
    <w:uiPriority w:val="0"/>
    <w:pPr>
      <w:widowControl/>
      <w:autoSpaceDE w:val="0"/>
      <w:autoSpaceDN w:val="0"/>
      <w:adjustRightInd w:val="0"/>
      <w:snapToGrid w:val="0"/>
      <w:ind w:left="720" w:leftChars="300"/>
    </w:pPr>
    <w:rPr>
      <w:rFonts w:ascii="宋体" w:hAnsi="MS Mincho" w:cs="Tms Rmn"/>
      <w:kern w:val="0"/>
      <w:sz w:val="21"/>
    </w:rPr>
  </w:style>
  <w:style w:type="paragraph" w:customStyle="1" w:styleId="1778">
    <w:name w:val="Char Char Char Char Char Char Char Char Char1"/>
    <w:basedOn w:val="1"/>
    <w:qFormat/>
    <w:uiPriority w:val="0"/>
    <w:pPr>
      <w:widowControl/>
      <w:ind w:firstLine="200" w:firstLineChars="200"/>
      <w:jc w:val="left"/>
    </w:pPr>
    <w:rPr>
      <w:rFonts w:ascii="Calibri" w:hAnsi="Calibri" w:cs="宋体"/>
      <w:bCs/>
      <w:kern w:val="0"/>
      <w:szCs w:val="28"/>
      <w:lang w:eastAsia="en-US" w:bidi="en-US"/>
    </w:rPr>
  </w:style>
  <w:style w:type="paragraph" w:customStyle="1" w:styleId="1779">
    <w:name w:val="WW-批注文字"/>
    <w:basedOn w:val="1"/>
    <w:qFormat/>
    <w:uiPriority w:val="0"/>
    <w:pPr>
      <w:widowControl/>
      <w:suppressAutoHyphens/>
      <w:jc w:val="left"/>
    </w:pPr>
    <w:rPr>
      <w:rFonts w:ascii="宋体" w:hAnsi="宋体" w:cs="宋体"/>
      <w:sz w:val="21"/>
      <w:lang w:eastAsia="ar-SA"/>
    </w:rPr>
  </w:style>
  <w:style w:type="paragraph" w:customStyle="1" w:styleId="1780">
    <w:name w:val="条题"/>
    <w:basedOn w:val="1"/>
    <w:qFormat/>
    <w:uiPriority w:val="0"/>
    <w:pPr>
      <w:widowControl/>
      <w:tabs>
        <w:tab w:val="left" w:pos="780"/>
        <w:tab w:val="left" w:pos="1640"/>
      </w:tabs>
      <w:spacing w:beforeLines="50" w:line="480" w:lineRule="exact"/>
      <w:ind w:left="780" w:hanging="420"/>
    </w:pPr>
    <w:rPr>
      <w:rFonts w:ascii="宋体" w:hAnsi="宋体" w:cs="宋体"/>
      <w:color w:val="000000"/>
      <w:kern w:val="0"/>
    </w:rPr>
  </w:style>
  <w:style w:type="character" w:customStyle="1" w:styleId="1781">
    <w:name w:val="谷表头 Char"/>
    <w:link w:val="1782"/>
    <w:qFormat/>
    <w:locked/>
    <w:uiPriority w:val="0"/>
    <w:rPr>
      <w:rFonts w:ascii="楷体_GB2312" w:hAnsi="宋体" w:eastAsia="楷体_GB2312"/>
      <w:b/>
      <w:sz w:val="24"/>
      <w:szCs w:val="24"/>
    </w:rPr>
  </w:style>
  <w:style w:type="paragraph" w:customStyle="1" w:styleId="1782">
    <w:name w:val="谷表头"/>
    <w:basedOn w:val="1"/>
    <w:link w:val="1781"/>
    <w:qFormat/>
    <w:uiPriority w:val="0"/>
    <w:pPr>
      <w:widowControl/>
      <w:jc w:val="center"/>
    </w:pPr>
    <w:rPr>
      <w:rFonts w:ascii="楷体_GB2312" w:hAnsi="宋体" w:eastAsia="楷体_GB2312"/>
      <w:b/>
      <w:kern w:val="0"/>
    </w:rPr>
  </w:style>
  <w:style w:type="paragraph" w:customStyle="1" w:styleId="1783">
    <w:name w:val="表标题2"/>
    <w:basedOn w:val="1"/>
    <w:next w:val="1"/>
    <w:qFormat/>
    <w:uiPriority w:val="0"/>
    <w:pPr>
      <w:widowControl/>
      <w:spacing w:beforeLines="50" w:after="120" w:line="312" w:lineRule="auto"/>
      <w:jc w:val="center"/>
    </w:pPr>
    <w:rPr>
      <w:rFonts w:ascii="宋体" w:hAnsi="宋体" w:cs="宋体"/>
      <w:kern w:val="0"/>
      <w:sz w:val="21"/>
    </w:rPr>
  </w:style>
  <w:style w:type="paragraph" w:customStyle="1" w:styleId="1784">
    <w:name w:val="样式 题注 + 首行缩进:  2 字符1"/>
    <w:basedOn w:val="22"/>
    <w:qFormat/>
    <w:uiPriority w:val="0"/>
    <w:pPr>
      <w:keepNext/>
      <w:widowControl/>
      <w:spacing w:before="152" w:after="160" w:line="360" w:lineRule="auto"/>
      <w:ind w:firstLine="200" w:firstLineChars="200"/>
      <w:jc w:val="both"/>
    </w:pPr>
    <w:rPr>
      <w:rFonts w:ascii="Arial" w:hAnsi="Arial" w:eastAsia="黑体"/>
      <w:b w:val="0"/>
      <w:color w:val="FF0000"/>
      <w:szCs w:val="22"/>
    </w:rPr>
  </w:style>
  <w:style w:type="paragraph" w:customStyle="1" w:styleId="1785">
    <w:name w:val="题目"/>
    <w:basedOn w:val="3"/>
    <w:next w:val="1"/>
    <w:qFormat/>
    <w:uiPriority w:val="0"/>
    <w:pPr>
      <w:keepLines/>
      <w:numPr>
        <w:numId w:val="0"/>
      </w:numPr>
      <w:tabs>
        <w:tab w:val="left" w:pos="425"/>
        <w:tab w:val="clear" w:pos="0"/>
      </w:tabs>
      <w:spacing w:before="100" w:beforeAutospacing="1" w:after="100" w:afterAutospacing="1" w:line="240" w:lineRule="auto"/>
      <w:ind w:left="100" w:leftChars="100" w:right="100" w:rightChars="100"/>
    </w:pPr>
    <w:rPr>
      <w:bCs/>
      <w:kern w:val="44"/>
      <w:sz w:val="30"/>
      <w:szCs w:val="30"/>
    </w:rPr>
  </w:style>
  <w:style w:type="paragraph" w:customStyle="1" w:styleId="1786">
    <w:name w:val="Char Char Char Char Char Char Char Char Char"/>
    <w:basedOn w:val="1"/>
    <w:qFormat/>
    <w:uiPriority w:val="0"/>
    <w:pPr>
      <w:widowControl/>
    </w:pPr>
    <w:rPr>
      <w:rFonts w:ascii="宋体" w:hAnsi="宋体" w:cs="宋体"/>
      <w:kern w:val="0"/>
    </w:rPr>
  </w:style>
  <w:style w:type="paragraph" w:customStyle="1" w:styleId="1787">
    <w:name w:val="图标题"/>
    <w:basedOn w:val="1"/>
    <w:qFormat/>
    <w:uiPriority w:val="0"/>
    <w:pPr>
      <w:widowControl/>
      <w:adjustRightInd w:val="0"/>
      <w:snapToGrid w:val="0"/>
      <w:jc w:val="center"/>
    </w:pPr>
    <w:rPr>
      <w:rFonts w:ascii="宋体" w:hAnsi="宋体" w:cs="宋体"/>
      <w:b/>
      <w:bCs/>
      <w:color w:val="000000"/>
      <w:kern w:val="0"/>
      <w:sz w:val="21"/>
      <w:szCs w:val="21"/>
    </w:rPr>
  </w:style>
  <w:style w:type="paragraph" w:customStyle="1" w:styleId="1788">
    <w:name w:val="块项目"/>
    <w:next w:val="1"/>
    <w:qFormat/>
    <w:uiPriority w:val="0"/>
    <w:pPr>
      <w:tabs>
        <w:tab w:val="left" w:pos="840"/>
      </w:tabs>
      <w:spacing w:before="120" w:after="120"/>
      <w:ind w:firstLine="420"/>
    </w:pPr>
    <w:rPr>
      <w:rFonts w:ascii="Times New Roman" w:hAnsi="Times New Roman" w:eastAsia="宋体" w:cs="Times New Roman"/>
      <w:b/>
      <w:spacing w:val="20"/>
      <w:sz w:val="24"/>
      <w:lang w:val="en-US" w:eastAsia="zh-CN" w:bidi="ar-SA"/>
    </w:rPr>
  </w:style>
  <w:style w:type="paragraph" w:customStyle="1" w:styleId="1789">
    <w:name w:val="Char Char Char Char Char Char Char Char Char1 Char"/>
    <w:basedOn w:val="1"/>
    <w:qFormat/>
    <w:uiPriority w:val="0"/>
    <w:pPr>
      <w:widowControl/>
      <w:ind w:firstLine="200" w:firstLineChars="200"/>
      <w:jc w:val="left"/>
    </w:pPr>
    <w:rPr>
      <w:rFonts w:ascii="Calibri" w:hAnsi="Calibri" w:cs="宋体"/>
      <w:bCs/>
      <w:kern w:val="0"/>
      <w:szCs w:val="28"/>
      <w:lang w:eastAsia="en-US" w:bidi="en-US"/>
    </w:rPr>
  </w:style>
  <w:style w:type="paragraph" w:customStyle="1" w:styleId="1790">
    <w:name w:val="一章"/>
    <w:basedOn w:val="1"/>
    <w:qFormat/>
    <w:uiPriority w:val="0"/>
    <w:pPr>
      <w:widowControl/>
      <w:adjustRightInd w:val="0"/>
      <w:snapToGrid w:val="0"/>
      <w:spacing w:line="312" w:lineRule="auto"/>
      <w:jc w:val="center"/>
    </w:pPr>
    <w:rPr>
      <w:rFonts w:ascii="黑体" w:hAnsi="Courier New" w:eastAsia="黑体" w:cs="宋体"/>
      <w:b/>
      <w:bCs/>
      <w:spacing w:val="6"/>
      <w:kern w:val="0"/>
      <w:sz w:val="36"/>
      <w:szCs w:val="20"/>
      <w:lang w:eastAsia="en-US" w:bidi="en-US"/>
    </w:rPr>
  </w:style>
  <w:style w:type="paragraph" w:customStyle="1" w:styleId="1791">
    <w:name w:val="td"/>
    <w:basedOn w:val="1"/>
    <w:qFormat/>
    <w:uiPriority w:val="0"/>
    <w:pPr>
      <w:widowControl/>
      <w:spacing w:before="100" w:beforeAutospacing="1" w:after="100" w:afterAutospacing="1" w:line="384" w:lineRule="auto"/>
      <w:jc w:val="left"/>
    </w:pPr>
    <w:rPr>
      <w:rFonts w:ascii="宋体" w:hAnsi="宋体" w:cs="宋体"/>
      <w:kern w:val="0"/>
      <w:sz w:val="18"/>
      <w:szCs w:val="18"/>
    </w:rPr>
  </w:style>
  <w:style w:type="paragraph" w:customStyle="1" w:styleId="1792">
    <w:name w:val="表注-西江"/>
    <w:basedOn w:val="1"/>
    <w:qFormat/>
    <w:uiPriority w:val="0"/>
    <w:pPr>
      <w:widowControl/>
      <w:tabs>
        <w:tab w:val="left" w:pos="-120"/>
      </w:tabs>
      <w:overflowPunct w:val="0"/>
      <w:topLinePunct/>
      <w:autoSpaceDE w:val="0"/>
      <w:adjustRightInd w:val="0"/>
      <w:snapToGrid w:val="0"/>
      <w:spacing w:before="120" w:after="240"/>
    </w:pPr>
    <w:rPr>
      <w:rFonts w:ascii="宋体" w:hAnsi="宋体" w:cs="宋体"/>
      <w:bCs/>
      <w:spacing w:val="16"/>
      <w:kern w:val="0"/>
      <w:sz w:val="21"/>
      <w:szCs w:val="21"/>
    </w:rPr>
  </w:style>
  <w:style w:type="character" w:customStyle="1" w:styleId="1793">
    <w:name w:val="WW-正文文字缩进 3 Char"/>
    <w:link w:val="1794"/>
    <w:qFormat/>
    <w:locked/>
    <w:uiPriority w:val="0"/>
    <w:rPr>
      <w:kern w:val="2"/>
      <w:sz w:val="24"/>
      <w:szCs w:val="24"/>
      <w:lang w:eastAsia="ar-SA"/>
    </w:rPr>
  </w:style>
  <w:style w:type="paragraph" w:customStyle="1" w:styleId="1794">
    <w:name w:val="WW-正文文字缩进 3"/>
    <w:basedOn w:val="1"/>
    <w:link w:val="1793"/>
    <w:qFormat/>
    <w:uiPriority w:val="0"/>
    <w:pPr>
      <w:widowControl/>
      <w:suppressAutoHyphens/>
      <w:spacing w:line="460" w:lineRule="exact"/>
      <w:ind w:firstLine="480"/>
    </w:pPr>
    <w:rPr>
      <w:lang w:eastAsia="ar-SA"/>
    </w:rPr>
  </w:style>
  <w:style w:type="paragraph" w:customStyle="1" w:styleId="1795">
    <w:name w:val="文1"/>
    <w:basedOn w:val="1"/>
    <w:qFormat/>
    <w:uiPriority w:val="0"/>
    <w:pPr>
      <w:widowControl/>
      <w:adjustRightInd w:val="0"/>
      <w:snapToGrid w:val="0"/>
      <w:spacing w:line="312" w:lineRule="auto"/>
      <w:ind w:firstLine="567"/>
      <w:jc w:val="left"/>
    </w:pPr>
    <w:rPr>
      <w:rFonts w:ascii="Calibri" w:hAnsi="宋体" w:cs="宋体"/>
      <w:bCs/>
      <w:spacing w:val="6"/>
      <w:kern w:val="0"/>
      <w:sz w:val="28"/>
      <w:szCs w:val="20"/>
      <w:lang w:eastAsia="en-US" w:bidi="en-US"/>
    </w:rPr>
  </w:style>
  <w:style w:type="paragraph" w:customStyle="1" w:styleId="1796">
    <w:name w:val="wtext"/>
    <w:basedOn w:val="1"/>
    <w:qFormat/>
    <w:uiPriority w:val="0"/>
    <w:pPr>
      <w:widowControl/>
      <w:spacing w:before="100" w:beforeAutospacing="1" w:after="100" w:afterAutospacing="1"/>
      <w:ind w:firstLine="480"/>
      <w:jc w:val="left"/>
    </w:pPr>
    <w:rPr>
      <w:rFonts w:ascii="Calibri" w:hAnsi="Calibri" w:cs="宋体"/>
      <w:color w:val="000000"/>
      <w:kern w:val="0"/>
      <w:sz w:val="22"/>
    </w:rPr>
  </w:style>
  <w:style w:type="paragraph" w:customStyle="1" w:styleId="1797">
    <w:name w:val="Body Text 21"/>
    <w:basedOn w:val="1"/>
    <w:qFormat/>
    <w:uiPriority w:val="0"/>
    <w:pPr>
      <w:widowControl/>
      <w:adjustRightInd w:val="0"/>
    </w:pPr>
    <w:rPr>
      <w:rFonts w:ascii="宋体" w:hAnsi="宋体" w:eastAsia="仿宋体" w:cs="宋体"/>
      <w:kern w:val="0"/>
      <w:szCs w:val="20"/>
    </w:rPr>
  </w:style>
  <w:style w:type="paragraph" w:customStyle="1" w:styleId="1798">
    <w:name w:val="附录标识"/>
    <w:basedOn w:val="1"/>
    <w:qFormat/>
    <w:uiPriority w:val="0"/>
    <w:pPr>
      <w:widowControl/>
      <w:shd w:val="clear" w:color="auto" w:fill="FFFFFF"/>
      <w:tabs>
        <w:tab w:val="left" w:pos="397"/>
        <w:tab w:val="left" w:pos="6405"/>
      </w:tabs>
      <w:spacing w:before="640" w:after="200"/>
      <w:ind w:left="397" w:hanging="397"/>
      <w:jc w:val="center"/>
      <w:outlineLvl w:val="0"/>
    </w:pPr>
    <w:rPr>
      <w:rFonts w:ascii="黑体" w:hAnsi="宋体" w:eastAsia="黑体" w:cs="宋体"/>
      <w:kern w:val="0"/>
      <w:sz w:val="21"/>
      <w:szCs w:val="20"/>
    </w:rPr>
  </w:style>
  <w:style w:type="paragraph" w:customStyle="1" w:styleId="1799">
    <w:name w:val="条-内容"/>
    <w:basedOn w:val="1"/>
    <w:qFormat/>
    <w:uiPriority w:val="0"/>
    <w:pPr>
      <w:widowControl/>
      <w:spacing w:beforeLines="50" w:line="288" w:lineRule="auto"/>
      <w:ind w:firstLine="480" w:firstLineChars="200"/>
    </w:pPr>
    <w:rPr>
      <w:rFonts w:ascii="宋体" w:hAnsi="宋体" w:cs="宋体"/>
      <w:bCs/>
      <w:kern w:val="0"/>
    </w:rPr>
  </w:style>
  <w:style w:type="paragraph" w:customStyle="1" w:styleId="1800">
    <w:name w:val="附录章标题"/>
    <w:next w:val="1"/>
    <w:qFormat/>
    <w:uiPriority w:val="0"/>
    <w:pPr>
      <w:tabs>
        <w:tab w:val="left" w:pos="840"/>
      </w:tabs>
      <w:wordWrap w:val="0"/>
      <w:overflowPunct w:val="0"/>
      <w:autoSpaceDE w:val="0"/>
      <w:spacing w:beforeLines="50"/>
      <w:ind w:left="840" w:hanging="420"/>
      <w:jc w:val="both"/>
      <w:outlineLvl w:val="1"/>
    </w:pPr>
    <w:rPr>
      <w:rFonts w:ascii="黑体" w:hAnsi="Times New Roman" w:eastAsia="黑体" w:cs="Times New Roman"/>
      <w:kern w:val="21"/>
      <w:sz w:val="21"/>
      <w:lang w:val="en-US" w:eastAsia="zh-CN" w:bidi="ar-SA"/>
    </w:rPr>
  </w:style>
  <w:style w:type="paragraph" w:customStyle="1" w:styleId="1801">
    <w:name w:val="样式 样式 标题 3ReHead 3 WSAh3标题 32标题 311Re11Head 3 WSA11h311标题 ...4 +..."/>
    <w:basedOn w:val="1"/>
    <w:qFormat/>
    <w:uiPriority w:val="0"/>
    <w:pPr>
      <w:keepNext/>
      <w:keepLines/>
      <w:widowControl/>
      <w:tabs>
        <w:tab w:val="left" w:pos="709"/>
        <w:tab w:val="left" w:pos="1740"/>
      </w:tabs>
      <w:adjustRightInd w:val="0"/>
      <w:snapToGrid w:val="0"/>
      <w:spacing w:before="100" w:after="100"/>
      <w:ind w:left="1740" w:hanging="420"/>
      <w:outlineLvl w:val="2"/>
    </w:pPr>
    <w:rPr>
      <w:rFonts w:ascii="宋体" w:hAnsi="宋体" w:eastAsia="黑体" w:cs="宋体"/>
      <w:b/>
      <w:bCs/>
      <w:color w:val="000000"/>
      <w:kern w:val="0"/>
      <w:szCs w:val="20"/>
    </w:rPr>
  </w:style>
  <w:style w:type="character" w:customStyle="1" w:styleId="1802">
    <w:name w:val="正文表标题 Char"/>
    <w:link w:val="1803"/>
    <w:qFormat/>
    <w:locked/>
    <w:uiPriority w:val="0"/>
    <w:rPr>
      <w:rFonts w:ascii="黑体" w:hAnsi="黑体" w:eastAsia="黑体"/>
      <w:kern w:val="2"/>
      <w:sz w:val="21"/>
      <w:szCs w:val="22"/>
    </w:rPr>
  </w:style>
  <w:style w:type="paragraph" w:customStyle="1" w:styleId="1803">
    <w:name w:val="正文表标题"/>
    <w:next w:val="4"/>
    <w:link w:val="1802"/>
    <w:qFormat/>
    <w:uiPriority w:val="0"/>
    <w:pPr>
      <w:ind w:left="1080"/>
      <w:jc w:val="center"/>
    </w:pPr>
    <w:rPr>
      <w:rFonts w:ascii="黑体" w:hAnsi="黑体" w:eastAsia="黑体" w:cs="Times New Roman"/>
      <w:kern w:val="2"/>
      <w:sz w:val="21"/>
      <w:szCs w:val="22"/>
      <w:lang w:val="en-US" w:eastAsia="zh-CN" w:bidi="ar-SA"/>
    </w:rPr>
  </w:style>
  <w:style w:type="paragraph" w:customStyle="1" w:styleId="1804">
    <w:name w:val="表格中段落"/>
    <w:basedOn w:val="1"/>
    <w:qFormat/>
    <w:uiPriority w:val="0"/>
    <w:pPr>
      <w:widowControl/>
      <w:ind w:firstLine="420" w:firstLineChars="200"/>
    </w:pPr>
    <w:rPr>
      <w:rFonts w:ascii="宋体" w:hAnsi="宋体" w:cs="宋体"/>
      <w:kern w:val="0"/>
      <w:sz w:val="21"/>
      <w:szCs w:val="20"/>
    </w:rPr>
  </w:style>
  <w:style w:type="paragraph" w:customStyle="1" w:styleId="1805">
    <w:name w:val="生物拉丁文名"/>
    <w:basedOn w:val="1"/>
    <w:qFormat/>
    <w:uiPriority w:val="0"/>
    <w:pPr>
      <w:widowControl/>
      <w:tabs>
        <w:tab w:val="left" w:pos="-120"/>
      </w:tabs>
      <w:overflowPunct w:val="0"/>
      <w:topLinePunct/>
      <w:autoSpaceDE w:val="0"/>
      <w:adjustRightInd w:val="0"/>
      <w:snapToGrid w:val="0"/>
      <w:spacing w:before="60" w:line="0" w:lineRule="atLeast"/>
      <w:ind w:firstLine="454"/>
    </w:pPr>
    <w:rPr>
      <w:rFonts w:ascii="宋体" w:hAnsi="宋体" w:cs="宋体"/>
      <w:i/>
      <w:spacing w:val="20"/>
      <w:kern w:val="0"/>
      <w:szCs w:val="20"/>
    </w:rPr>
  </w:style>
  <w:style w:type="paragraph" w:customStyle="1" w:styleId="1806">
    <w:name w:val="表头右"/>
    <w:basedOn w:val="1"/>
    <w:qFormat/>
    <w:uiPriority w:val="0"/>
    <w:pPr>
      <w:widowControl/>
      <w:ind w:firstLine="448" w:firstLineChars="200"/>
      <w:jc w:val="right"/>
    </w:pPr>
    <w:rPr>
      <w:rFonts w:ascii="宋体" w:hAnsi="宋体" w:cs="宋体"/>
      <w:kern w:val="0"/>
      <w:sz w:val="21"/>
    </w:rPr>
  </w:style>
  <w:style w:type="paragraph" w:customStyle="1" w:styleId="1807">
    <w:name w:val="文档结构图样式"/>
    <w:basedOn w:val="26"/>
    <w:next w:val="26"/>
    <w:qFormat/>
    <w:uiPriority w:val="0"/>
    <w:pPr>
      <w:widowControl/>
    </w:pPr>
    <w:rPr>
      <w:sz w:val="21"/>
    </w:rPr>
  </w:style>
  <w:style w:type="paragraph" w:customStyle="1" w:styleId="1808">
    <w:name w:val="Char Char Char Char Char Char Char Char Char2"/>
    <w:basedOn w:val="1"/>
    <w:qFormat/>
    <w:uiPriority w:val="0"/>
    <w:pPr>
      <w:widowControl/>
    </w:pPr>
    <w:rPr>
      <w:rFonts w:ascii="宋体" w:hAnsi="宋体" w:cs="宋体"/>
      <w:kern w:val="0"/>
    </w:rPr>
  </w:style>
  <w:style w:type="character" w:customStyle="1" w:styleId="1809">
    <w:name w:val="公式 Char"/>
    <w:link w:val="736"/>
    <w:qFormat/>
    <w:locked/>
    <w:uiPriority w:val="0"/>
    <w:rPr>
      <w:kern w:val="2"/>
      <w:position w:val="-24"/>
      <w:sz w:val="21"/>
      <w:szCs w:val="24"/>
    </w:rPr>
  </w:style>
  <w:style w:type="paragraph" w:customStyle="1" w:styleId="1810">
    <w:name w:val="jj标题3"/>
    <w:basedOn w:val="5"/>
    <w:qFormat/>
    <w:uiPriority w:val="0"/>
    <w:pPr>
      <w:numPr>
        <w:ilvl w:val="0"/>
        <w:numId w:val="0"/>
      </w:numPr>
      <w:tabs>
        <w:tab w:val="left" w:pos="425"/>
        <w:tab w:val="left" w:pos="709"/>
        <w:tab w:val="left" w:pos="1069"/>
      </w:tabs>
      <w:snapToGrid w:val="0"/>
      <w:spacing w:beforeLines="50" w:line="360" w:lineRule="auto"/>
    </w:pPr>
    <w:rPr>
      <w:rFonts w:ascii="黑体"/>
      <w:spacing w:val="12"/>
      <w:sz w:val="24"/>
      <w:szCs w:val="24"/>
    </w:rPr>
  </w:style>
  <w:style w:type="paragraph" w:customStyle="1" w:styleId="1811">
    <w:name w:val="图例"/>
    <w:qFormat/>
    <w:uiPriority w:val="0"/>
    <w:pPr>
      <w:autoSpaceDE w:val="0"/>
      <w:autoSpaceDN w:val="0"/>
      <w:adjustRightInd w:val="0"/>
      <w:jc w:val="center"/>
    </w:pPr>
    <w:rPr>
      <w:rFonts w:ascii="黑体" w:hAnsi="Arial" w:eastAsia="黑体" w:cs="Arial"/>
      <w:b/>
      <w:spacing w:val="12"/>
      <w:sz w:val="24"/>
      <w:lang w:val="en-US" w:eastAsia="zh-CN" w:bidi="ar-SA"/>
    </w:rPr>
  </w:style>
  <w:style w:type="paragraph" w:customStyle="1" w:styleId="1812">
    <w:name w:val="样式 首行缩进:  0.80 厘米 段前: 7.8 磅"/>
    <w:basedOn w:val="1"/>
    <w:qFormat/>
    <w:uiPriority w:val="0"/>
    <w:pPr>
      <w:widowControl/>
      <w:adjustRightInd w:val="0"/>
      <w:snapToGrid w:val="0"/>
      <w:spacing w:before="156" w:line="312" w:lineRule="auto"/>
      <w:ind w:firstLine="480"/>
    </w:pPr>
    <w:rPr>
      <w:rFonts w:ascii="宋体" w:hAnsi="宋体" w:cs="宋体"/>
      <w:kern w:val="0"/>
      <w:szCs w:val="20"/>
    </w:rPr>
  </w:style>
  <w:style w:type="paragraph" w:customStyle="1" w:styleId="1813">
    <w:name w:val="生物中文类名"/>
    <w:basedOn w:val="1"/>
    <w:qFormat/>
    <w:uiPriority w:val="0"/>
    <w:pPr>
      <w:widowControl/>
      <w:tabs>
        <w:tab w:val="left" w:pos="-120"/>
      </w:tabs>
      <w:overflowPunct w:val="0"/>
      <w:topLinePunct/>
      <w:autoSpaceDE w:val="0"/>
      <w:adjustRightInd w:val="0"/>
      <w:snapToGrid w:val="0"/>
      <w:spacing w:before="60" w:line="310" w:lineRule="atLeast"/>
      <w:ind w:firstLine="454"/>
    </w:pPr>
    <w:rPr>
      <w:rFonts w:ascii="宋体" w:hAnsi="宋体" w:cs="宋体"/>
      <w:b/>
      <w:spacing w:val="20"/>
      <w:kern w:val="0"/>
      <w:szCs w:val="20"/>
    </w:rPr>
  </w:style>
  <w:style w:type="paragraph" w:customStyle="1" w:styleId="1814">
    <w:name w:val="标记文字"/>
    <w:basedOn w:val="22"/>
    <w:qFormat/>
    <w:uiPriority w:val="0"/>
    <w:pPr>
      <w:widowControl/>
      <w:ind w:left="200" w:hanging="200" w:hangingChars="200"/>
      <w:jc w:val="both"/>
    </w:pPr>
    <w:rPr>
      <w:rFonts w:ascii="Arial" w:hAnsi="Arial" w:eastAsia="黑体"/>
      <w:b w:val="0"/>
      <w:color w:val="FF0000"/>
      <w:szCs w:val="22"/>
    </w:rPr>
  </w:style>
  <w:style w:type="paragraph" w:customStyle="1" w:styleId="1815">
    <w:name w:val="样式 生物附录 + 小四 段前: 6 磅 段后: 6 磅 非加宽量 / 紧缩量  行距: 1.5 倍行距1"/>
    <w:basedOn w:val="1"/>
    <w:qFormat/>
    <w:uiPriority w:val="0"/>
    <w:pPr>
      <w:widowControl/>
      <w:spacing w:before="120" w:after="120"/>
    </w:pPr>
    <w:rPr>
      <w:rFonts w:ascii="宋体" w:hAnsi="宋体" w:cs="宋体"/>
      <w:b/>
      <w:bCs/>
      <w:kern w:val="0"/>
      <w:szCs w:val="20"/>
    </w:rPr>
  </w:style>
  <w:style w:type="paragraph" w:customStyle="1" w:styleId="1816">
    <w:name w:val="封面——评价单位"/>
    <w:basedOn w:val="1"/>
    <w:qFormat/>
    <w:uiPriority w:val="0"/>
    <w:pPr>
      <w:keepNext/>
      <w:widowControl/>
      <w:snapToGrid w:val="0"/>
      <w:jc w:val="center"/>
    </w:pPr>
    <w:rPr>
      <w:rFonts w:ascii="宋体" w:hAnsi="宋体" w:eastAsia="仿宋_GB2312" w:cs="宋体"/>
      <w:b/>
      <w:kern w:val="0"/>
      <w:sz w:val="32"/>
      <w:szCs w:val="32"/>
    </w:rPr>
  </w:style>
  <w:style w:type="paragraph" w:customStyle="1" w:styleId="1817">
    <w:name w:val="表表"/>
    <w:basedOn w:val="1"/>
    <w:qFormat/>
    <w:uiPriority w:val="99"/>
    <w:pPr>
      <w:widowControl/>
      <w:adjustRightInd w:val="0"/>
      <w:snapToGrid w:val="0"/>
      <w:spacing w:before="60" w:after="60"/>
      <w:jc w:val="center"/>
    </w:pPr>
    <w:rPr>
      <w:rFonts w:ascii="宋体" w:hAnsi="宋体" w:cs="宋体"/>
      <w:kern w:val="0"/>
      <w:sz w:val="21"/>
      <w:szCs w:val="20"/>
    </w:rPr>
  </w:style>
  <w:style w:type="paragraph" w:customStyle="1" w:styleId="1818">
    <w:name w:val="表名称 Char"/>
    <w:basedOn w:val="1"/>
    <w:qFormat/>
    <w:uiPriority w:val="0"/>
    <w:pPr>
      <w:widowControl/>
      <w:tabs>
        <w:tab w:val="left" w:pos="-120"/>
      </w:tabs>
      <w:jc w:val="center"/>
    </w:pPr>
    <w:rPr>
      <w:rFonts w:ascii="宋体" w:hAnsi="宋体" w:eastAsia="楷体_GB2312" w:cs="宋体"/>
      <w:b/>
      <w:kern w:val="0"/>
    </w:rPr>
  </w:style>
  <w:style w:type="paragraph" w:customStyle="1" w:styleId="1819">
    <w:name w:val="默认段落字体 Para Char Char Char Char Char Char Char Char Char Char"/>
    <w:basedOn w:val="5"/>
    <w:qFormat/>
    <w:uiPriority w:val="0"/>
    <w:pPr>
      <w:keepNext w:val="0"/>
      <w:keepLines w:val="0"/>
      <w:numPr>
        <w:ilvl w:val="0"/>
        <w:numId w:val="0"/>
      </w:numPr>
      <w:tabs>
        <w:tab w:val="left" w:pos="425"/>
        <w:tab w:val="left" w:pos="709"/>
        <w:tab w:val="left" w:pos="9990"/>
      </w:tabs>
      <w:adjustRightInd w:val="0"/>
      <w:snapToGrid w:val="0"/>
      <w:spacing w:line="360" w:lineRule="auto"/>
      <w:jc w:val="left"/>
    </w:pPr>
    <w:rPr>
      <w:rFonts w:ascii="仿宋体" w:eastAsia="仿宋体"/>
      <w:b w:val="0"/>
      <w:kern w:val="0"/>
      <w:sz w:val="24"/>
      <w:szCs w:val="24"/>
    </w:rPr>
  </w:style>
  <w:style w:type="paragraph" w:customStyle="1" w:styleId="1820">
    <w:name w:val="样式 标题 4H4h4 sub sub heading款标题1.1.1.1标题 4 Char Char标题 14 + ..."/>
    <w:basedOn w:val="6"/>
    <w:qFormat/>
    <w:uiPriority w:val="0"/>
    <w:pPr>
      <w:widowControl/>
      <w:numPr>
        <w:ilvl w:val="0"/>
        <w:numId w:val="0"/>
      </w:numPr>
      <w:tabs>
        <w:tab w:val="left" w:pos="0"/>
        <w:tab w:val="left" w:pos="567"/>
        <w:tab w:val="left" w:pos="709"/>
      </w:tabs>
      <w:ind w:left="851" w:hanging="851"/>
    </w:pPr>
    <w:rPr>
      <w:rFonts w:ascii="黑体" w:eastAsia="黑体"/>
      <w:sz w:val="24"/>
      <w:szCs w:val="24"/>
    </w:rPr>
  </w:style>
  <w:style w:type="paragraph" w:customStyle="1" w:styleId="1821">
    <w:name w:val="Char Char Char Char Char Char Char Char Char1 Char Char Char Char Char Char Char"/>
    <w:basedOn w:val="1"/>
    <w:qFormat/>
    <w:uiPriority w:val="0"/>
    <w:pPr>
      <w:widowControl/>
      <w:ind w:firstLine="200" w:firstLineChars="200"/>
      <w:jc w:val="left"/>
    </w:pPr>
    <w:rPr>
      <w:rFonts w:ascii="宋体" w:hAnsi="宋体" w:cs="宋体"/>
      <w:kern w:val="0"/>
      <w:szCs w:val="21"/>
    </w:rPr>
  </w:style>
  <w:style w:type="paragraph" w:customStyle="1" w:styleId="1822">
    <w:name w:val="Char Char Char Char Char Char Char Char Char1 Char1"/>
    <w:basedOn w:val="1"/>
    <w:qFormat/>
    <w:uiPriority w:val="0"/>
    <w:pPr>
      <w:widowControl/>
      <w:ind w:firstLine="200" w:firstLineChars="200"/>
      <w:jc w:val="left"/>
    </w:pPr>
    <w:rPr>
      <w:rFonts w:ascii="Calibri" w:hAnsi="Calibri" w:cs="宋体"/>
      <w:bCs/>
      <w:kern w:val="0"/>
      <w:szCs w:val="28"/>
      <w:lang w:eastAsia="en-US" w:bidi="en-US"/>
    </w:rPr>
  </w:style>
  <w:style w:type="paragraph" w:customStyle="1" w:styleId="1823">
    <w:name w:val="Char Char Char Char Char Char Char Char Char11"/>
    <w:basedOn w:val="1"/>
    <w:qFormat/>
    <w:uiPriority w:val="0"/>
    <w:pPr>
      <w:widowControl/>
      <w:ind w:firstLine="200" w:firstLineChars="200"/>
      <w:jc w:val="left"/>
    </w:pPr>
    <w:rPr>
      <w:rFonts w:ascii="Calibri" w:hAnsi="Calibri" w:cs="宋体"/>
      <w:bCs/>
      <w:kern w:val="0"/>
      <w:szCs w:val="28"/>
      <w:lang w:eastAsia="en-US" w:bidi="en-US"/>
    </w:rPr>
  </w:style>
  <w:style w:type="paragraph" w:customStyle="1" w:styleId="1824">
    <w:name w:val="正文文本 22"/>
    <w:basedOn w:val="1"/>
    <w:qFormat/>
    <w:uiPriority w:val="0"/>
    <w:pPr>
      <w:widowControl/>
      <w:adjustRightInd w:val="0"/>
      <w:spacing w:line="360" w:lineRule="atLeast"/>
      <w:ind w:firstLine="567"/>
      <w:jc w:val="left"/>
    </w:pPr>
    <w:rPr>
      <w:rFonts w:ascii="宋体" w:hAnsi="宋体" w:cs="宋体"/>
      <w:kern w:val="0"/>
      <w:sz w:val="28"/>
      <w:szCs w:val="20"/>
    </w:rPr>
  </w:style>
  <w:style w:type="paragraph" w:customStyle="1" w:styleId="1825">
    <w:name w:val="Char Char Char Char Char Char Char Char Char3"/>
    <w:basedOn w:val="1"/>
    <w:qFormat/>
    <w:uiPriority w:val="0"/>
    <w:pPr>
      <w:widowControl/>
    </w:pPr>
    <w:rPr>
      <w:rFonts w:ascii="宋体" w:hAnsi="宋体" w:cs="宋体"/>
      <w:kern w:val="0"/>
    </w:rPr>
  </w:style>
  <w:style w:type="paragraph" w:customStyle="1" w:styleId="1826">
    <w:name w:val="Char Char Char Char Char Char Char Char Char Char Char Char Char1"/>
    <w:basedOn w:val="1"/>
    <w:qFormat/>
    <w:uiPriority w:val="0"/>
    <w:pPr>
      <w:widowControl/>
      <w:snapToGrid w:val="0"/>
    </w:pPr>
    <w:rPr>
      <w:rFonts w:ascii="仿宋_GB2312" w:hAnsi="宋体" w:eastAsia="仿宋_GB2312" w:cs="宋体"/>
      <w:kern w:val="0"/>
      <w:sz w:val="32"/>
      <w:szCs w:val="32"/>
    </w:rPr>
  </w:style>
  <w:style w:type="paragraph" w:customStyle="1" w:styleId="1827">
    <w:name w:val="Char Char Char11"/>
    <w:basedOn w:val="1"/>
    <w:qFormat/>
    <w:uiPriority w:val="0"/>
    <w:pPr>
      <w:widowControl/>
      <w:ind w:firstLine="200" w:firstLineChars="200"/>
      <w:jc w:val="left"/>
    </w:pPr>
    <w:rPr>
      <w:rFonts w:ascii="Calibri" w:hAnsi="Calibri" w:cs="宋体"/>
      <w:bCs/>
      <w:kern w:val="0"/>
      <w:szCs w:val="28"/>
      <w:lang w:eastAsia="en-US" w:bidi="en-US"/>
    </w:rPr>
  </w:style>
  <w:style w:type="paragraph" w:customStyle="1" w:styleId="1828">
    <w:name w:val="Char1 Char Char Char Char Char Char21"/>
    <w:basedOn w:val="1"/>
    <w:next w:val="51"/>
    <w:qFormat/>
    <w:uiPriority w:val="0"/>
    <w:pPr>
      <w:widowControl/>
      <w:ind w:firstLine="480" w:firstLineChars="200"/>
    </w:pPr>
    <w:rPr>
      <w:rFonts w:ascii="宋体" w:hAnsi="宋体" w:cs="宋体"/>
      <w:kern w:val="0"/>
    </w:rPr>
  </w:style>
  <w:style w:type="paragraph" w:customStyle="1" w:styleId="1829">
    <w:name w:val="Char Char Char Char Char Char Char Char Char1 Char Char Char Char Char Char Char1"/>
    <w:basedOn w:val="1"/>
    <w:qFormat/>
    <w:uiPriority w:val="0"/>
    <w:pPr>
      <w:widowControl/>
      <w:ind w:firstLine="200" w:firstLineChars="200"/>
      <w:jc w:val="left"/>
    </w:pPr>
    <w:rPr>
      <w:rFonts w:ascii="宋体" w:hAnsi="宋体" w:cs="宋体"/>
      <w:kern w:val="0"/>
      <w:szCs w:val="21"/>
    </w:rPr>
  </w:style>
  <w:style w:type="paragraph" w:customStyle="1" w:styleId="1830">
    <w:name w:val="冯正文"/>
    <w:basedOn w:val="1"/>
    <w:qFormat/>
    <w:uiPriority w:val="0"/>
    <w:pPr>
      <w:widowControl/>
      <w:spacing w:beforeLines="25" w:line="400" w:lineRule="exact"/>
      <w:ind w:firstLine="200" w:firstLineChars="200"/>
    </w:pPr>
    <w:rPr>
      <w:rFonts w:ascii="宋体" w:hAnsi="宋体" w:cs="宋体"/>
      <w:kern w:val="0"/>
      <w:szCs w:val="20"/>
    </w:rPr>
  </w:style>
  <w:style w:type="paragraph" w:customStyle="1" w:styleId="1831">
    <w:name w:val="首行缩进2字符"/>
    <w:link w:val="2489"/>
    <w:qFormat/>
    <w:uiPriority w:val="0"/>
    <w:pPr>
      <w:spacing w:line="460" w:lineRule="exact"/>
      <w:ind w:firstLine="200"/>
    </w:pPr>
    <w:rPr>
      <w:rFonts w:ascii="Times New Roman" w:hAnsi="Times New Roman" w:eastAsia="宋体" w:cs="Times New Roman"/>
      <w:kern w:val="2"/>
      <w:lang w:val="en-US" w:eastAsia="zh-CN" w:bidi="ar-SA"/>
    </w:rPr>
  </w:style>
  <w:style w:type="paragraph" w:customStyle="1" w:styleId="1832">
    <w:name w:val="首行缩进"/>
    <w:basedOn w:val="1"/>
    <w:qFormat/>
    <w:uiPriority w:val="0"/>
    <w:pPr>
      <w:widowControl/>
      <w:adjustRightInd w:val="0"/>
      <w:ind w:firstLine="200" w:firstLineChars="200"/>
      <w:jc w:val="left"/>
    </w:pPr>
    <w:rPr>
      <w:rFonts w:ascii="宋体" w:hAnsi="宋体" w:cs="宋体"/>
      <w:kern w:val="0"/>
      <w:sz w:val="28"/>
      <w:szCs w:val="20"/>
    </w:rPr>
  </w:style>
  <w:style w:type="paragraph" w:customStyle="1" w:styleId="1833">
    <w:name w:val="条文脚注"/>
    <w:qFormat/>
    <w:uiPriority w:val="0"/>
    <w:pPr>
      <w:snapToGrid w:val="0"/>
      <w:ind w:left="780" w:leftChars="200" w:hanging="360" w:hangingChars="200"/>
    </w:pPr>
    <w:rPr>
      <w:rFonts w:ascii="宋体" w:hAnsi="Times New Roman" w:eastAsia="宋体" w:cs="Times New Roman"/>
      <w:kern w:val="2"/>
      <w:sz w:val="18"/>
      <w:szCs w:val="18"/>
      <w:lang w:val="en-US" w:eastAsia="zh-CN" w:bidi="ar-SA"/>
    </w:rPr>
  </w:style>
  <w:style w:type="paragraph" w:customStyle="1" w:styleId="1834">
    <w:name w:val="注×："/>
    <w:qFormat/>
    <w:uiPriority w:val="0"/>
    <w:pPr>
      <w:widowControl w:val="0"/>
      <w:numPr>
        <w:ilvl w:val="0"/>
        <w:numId w:val="28"/>
      </w:numPr>
      <w:tabs>
        <w:tab w:val="left" w:pos="630"/>
      </w:tabs>
      <w:autoSpaceDE w:val="0"/>
      <w:autoSpaceDN w:val="0"/>
      <w:jc w:val="both"/>
    </w:pPr>
    <w:rPr>
      <w:rFonts w:ascii="宋体" w:hAnsi="Times New Roman" w:eastAsia="宋体" w:cs="Times New Roman"/>
      <w:sz w:val="18"/>
      <w:lang w:val="en-US" w:eastAsia="zh-CN" w:bidi="ar-SA"/>
    </w:rPr>
  </w:style>
  <w:style w:type="paragraph" w:customStyle="1" w:styleId="1835">
    <w:name w:val="一级条标题"/>
    <w:basedOn w:val="3"/>
    <w:next w:val="4"/>
    <w:qFormat/>
    <w:uiPriority w:val="0"/>
    <w:pPr>
      <w:keepNext w:val="0"/>
      <w:widowControl/>
      <w:numPr>
        <w:numId w:val="0"/>
      </w:numPr>
      <w:tabs>
        <w:tab w:val="left" w:pos="425"/>
        <w:tab w:val="left" w:pos="709"/>
        <w:tab w:val="left" w:pos="1440"/>
        <w:tab w:val="clear" w:pos="0"/>
      </w:tabs>
      <w:spacing w:line="240" w:lineRule="auto"/>
      <w:ind w:left="1440" w:hanging="720"/>
      <w:jc w:val="both"/>
      <w:outlineLvl w:val="2"/>
    </w:pPr>
    <w:rPr>
      <w:rFonts w:ascii="黑体"/>
      <w:b w:val="0"/>
      <w:kern w:val="0"/>
      <w:sz w:val="21"/>
      <w:szCs w:val="20"/>
    </w:rPr>
  </w:style>
  <w:style w:type="paragraph" w:customStyle="1" w:styleId="1836">
    <w:name w:val="Char Char1 Char Char Char Char Char Char Char Char Char Char Char Char Char Char Char Char Char Char Char"/>
    <w:basedOn w:val="1"/>
    <w:qFormat/>
    <w:uiPriority w:val="0"/>
    <w:pPr>
      <w:widowControl/>
      <w:jc w:val="left"/>
    </w:pPr>
    <w:rPr>
      <w:rFonts w:ascii="D`a c N%" w:hAnsi="D`a c N%" w:cs="宋体"/>
      <w:kern w:val="0"/>
      <w:sz w:val="28"/>
      <w:szCs w:val="20"/>
    </w:rPr>
  </w:style>
  <w:style w:type="paragraph" w:customStyle="1" w:styleId="1837">
    <w:name w:val="Paratitre"/>
    <w:basedOn w:val="1"/>
    <w:qFormat/>
    <w:uiPriority w:val="0"/>
    <w:pPr>
      <w:widowControl/>
      <w:tabs>
        <w:tab w:val="left" w:pos="1134"/>
      </w:tabs>
      <w:adjustRightInd w:val="0"/>
      <w:ind w:left="851"/>
      <w:jc w:val="left"/>
    </w:pPr>
    <w:rPr>
      <w:rFonts w:ascii="Arial" w:hAnsi="Arial" w:cs="Arial"/>
      <w:kern w:val="0"/>
      <w:sz w:val="20"/>
      <w:szCs w:val="20"/>
      <w:lang w:eastAsia="fr-FR"/>
    </w:rPr>
  </w:style>
  <w:style w:type="character" w:customStyle="1" w:styleId="1838">
    <w:name w:val="样式 首行缩进:  2 字符 Char"/>
    <w:link w:val="852"/>
    <w:qFormat/>
    <w:locked/>
    <w:uiPriority w:val="0"/>
    <w:rPr>
      <w:rFonts w:ascii="宋体" w:hAnsi="宋体"/>
      <w:color w:val="FF00FF"/>
      <w:kern w:val="2"/>
      <w:sz w:val="24"/>
      <w:szCs w:val="24"/>
    </w:rPr>
  </w:style>
  <w:style w:type="character" w:customStyle="1" w:styleId="1839">
    <w:name w:val="内容 Char"/>
    <w:link w:val="1840"/>
    <w:qFormat/>
    <w:locked/>
    <w:uiPriority w:val="0"/>
    <w:rPr>
      <w:sz w:val="24"/>
      <w:szCs w:val="24"/>
      <w:lang w:val="zh-CN" w:eastAsia="zh-CN"/>
    </w:rPr>
  </w:style>
  <w:style w:type="paragraph" w:customStyle="1" w:styleId="1840">
    <w:name w:val="内容"/>
    <w:basedOn w:val="26"/>
    <w:next w:val="1"/>
    <w:link w:val="1839"/>
    <w:qFormat/>
    <w:uiPriority w:val="0"/>
    <w:pPr>
      <w:widowControl/>
      <w:shd w:val="clear" w:color="auto" w:fill="auto"/>
      <w:ind w:firstLine="200" w:firstLineChars="200"/>
    </w:pPr>
    <w:rPr>
      <w:kern w:val="0"/>
      <w:lang w:val="zh-CN"/>
    </w:rPr>
  </w:style>
  <w:style w:type="paragraph" w:customStyle="1" w:styleId="1841">
    <w:name w:val="C0 Plain Text"/>
    <w:basedOn w:val="1"/>
    <w:qFormat/>
    <w:uiPriority w:val="0"/>
    <w:pPr>
      <w:widowControl/>
      <w:overflowPunct w:val="0"/>
      <w:autoSpaceDE w:val="0"/>
      <w:autoSpaceDN w:val="0"/>
      <w:adjustRightInd w:val="0"/>
      <w:spacing w:before="120" w:after="120"/>
    </w:pPr>
    <w:rPr>
      <w:rFonts w:ascii="宋体" w:hAnsi="宋体" w:cs="宋体"/>
      <w:kern w:val="0"/>
      <w:szCs w:val="20"/>
      <w:lang w:val="en-GB" w:eastAsia="en-US"/>
    </w:rPr>
  </w:style>
  <w:style w:type="paragraph" w:customStyle="1" w:styleId="1842">
    <w:name w:val="reader-word-layer"/>
    <w:basedOn w:val="1"/>
    <w:qFormat/>
    <w:uiPriority w:val="0"/>
    <w:pPr>
      <w:widowControl/>
      <w:spacing w:before="100" w:beforeAutospacing="1" w:after="100" w:afterAutospacing="1"/>
      <w:jc w:val="left"/>
    </w:pPr>
    <w:rPr>
      <w:rFonts w:ascii="宋体" w:hAnsi="宋体" w:cs="宋体"/>
      <w:kern w:val="0"/>
    </w:rPr>
  </w:style>
  <w:style w:type="character" w:customStyle="1" w:styleId="1843">
    <w:name w:val="表、图名 Char"/>
    <w:link w:val="1844"/>
    <w:locked/>
    <w:uiPriority w:val="0"/>
    <w:rPr>
      <w:b/>
      <w:color w:val="0000FF"/>
      <w:szCs w:val="21"/>
      <w:lang w:val="zh-CN" w:eastAsia="zh-CN"/>
    </w:rPr>
  </w:style>
  <w:style w:type="paragraph" w:customStyle="1" w:styleId="1844">
    <w:name w:val="表、图名"/>
    <w:basedOn w:val="1"/>
    <w:link w:val="1843"/>
    <w:qFormat/>
    <w:uiPriority w:val="0"/>
    <w:pPr>
      <w:widowControl/>
      <w:adjustRightInd w:val="0"/>
      <w:snapToGrid w:val="0"/>
    </w:pPr>
    <w:rPr>
      <w:b/>
      <w:color w:val="0000FF"/>
      <w:kern w:val="0"/>
      <w:sz w:val="20"/>
      <w:szCs w:val="21"/>
      <w:lang w:val="zh-CN"/>
    </w:rPr>
  </w:style>
  <w:style w:type="paragraph" w:customStyle="1" w:styleId="1845">
    <w:name w:val="默认段落字体 Para Char Char Char Char Char Char Char Char Char Char Char Char Char"/>
    <w:basedOn w:val="1"/>
    <w:qFormat/>
    <w:uiPriority w:val="0"/>
    <w:pPr>
      <w:widowControl/>
    </w:pPr>
    <w:rPr>
      <w:rFonts w:ascii="宋体" w:hAnsi="宋体" w:cs="宋体"/>
      <w:kern w:val="0"/>
      <w:sz w:val="21"/>
    </w:rPr>
  </w:style>
  <w:style w:type="character" w:customStyle="1" w:styleId="1846">
    <w:name w:val="样式 首行缩进:  2 字符1（OPCC宋体） Char Char"/>
    <w:link w:val="1847"/>
    <w:qFormat/>
    <w:locked/>
    <w:uiPriority w:val="0"/>
    <w:rPr>
      <w:rFonts w:ascii="宋体" w:hAnsi="宋体" w:cs="宋体"/>
      <w:sz w:val="24"/>
      <w:szCs w:val="24"/>
    </w:rPr>
  </w:style>
  <w:style w:type="paragraph" w:customStyle="1" w:styleId="1847">
    <w:name w:val="样式 首行缩进:  2 字符1（OPCC宋体）"/>
    <w:basedOn w:val="1"/>
    <w:link w:val="1846"/>
    <w:qFormat/>
    <w:uiPriority w:val="0"/>
    <w:pPr>
      <w:widowControl/>
      <w:ind w:firstLine="456" w:firstLineChars="200"/>
    </w:pPr>
    <w:rPr>
      <w:rFonts w:ascii="宋体" w:hAnsi="宋体" w:cs="宋体"/>
      <w:kern w:val="0"/>
    </w:rPr>
  </w:style>
  <w:style w:type="character" w:customStyle="1" w:styleId="1848">
    <w:name w:val="a正文 Char"/>
    <w:link w:val="1849"/>
    <w:qFormat/>
    <w:locked/>
    <w:uiPriority w:val="0"/>
    <w:rPr>
      <w:sz w:val="24"/>
      <w:szCs w:val="24"/>
      <w:lang w:val="zh-CN" w:eastAsia="zh-CN"/>
    </w:rPr>
  </w:style>
  <w:style w:type="paragraph" w:customStyle="1" w:styleId="1849">
    <w:name w:val="a正文"/>
    <w:basedOn w:val="1"/>
    <w:link w:val="1848"/>
    <w:qFormat/>
    <w:uiPriority w:val="0"/>
    <w:pPr>
      <w:widowControl/>
      <w:ind w:firstLine="200" w:firstLineChars="200"/>
    </w:pPr>
    <w:rPr>
      <w:kern w:val="0"/>
      <w:lang w:val="zh-CN"/>
    </w:rPr>
  </w:style>
  <w:style w:type="character" w:customStyle="1" w:styleId="1850">
    <w:name w:val="表格-题注（OPCC宋体） Char"/>
    <w:link w:val="1851"/>
    <w:locked/>
    <w:uiPriority w:val="0"/>
    <w:rPr>
      <w:rFonts w:ascii="黑体" w:hAnsi="黑体" w:eastAsia="黑体" w:cs="宋体"/>
      <w:sz w:val="24"/>
      <w:szCs w:val="24"/>
    </w:rPr>
  </w:style>
  <w:style w:type="paragraph" w:customStyle="1" w:styleId="1851">
    <w:name w:val="表格-题注（OPCC宋体）"/>
    <w:basedOn w:val="1"/>
    <w:link w:val="1850"/>
    <w:qFormat/>
    <w:uiPriority w:val="0"/>
    <w:pPr>
      <w:widowControl/>
      <w:snapToGrid w:val="0"/>
      <w:spacing w:line="336" w:lineRule="auto"/>
      <w:ind w:firstLine="480" w:firstLineChars="200"/>
      <w:jc w:val="center"/>
    </w:pPr>
    <w:rPr>
      <w:rFonts w:ascii="黑体" w:hAnsi="黑体" w:eastAsia="黑体" w:cs="宋体"/>
      <w:kern w:val="0"/>
    </w:rPr>
  </w:style>
  <w:style w:type="character" w:customStyle="1" w:styleId="1852">
    <w:name w:val="图-题注（OPCC） Char"/>
    <w:link w:val="1853"/>
    <w:qFormat/>
    <w:locked/>
    <w:uiPriority w:val="0"/>
    <w:rPr>
      <w:rFonts w:ascii="黑体" w:hAnsi="黑体" w:eastAsia="黑体" w:cs="宋体"/>
      <w:color w:val="000000"/>
      <w:sz w:val="24"/>
      <w:szCs w:val="24"/>
    </w:rPr>
  </w:style>
  <w:style w:type="paragraph" w:customStyle="1" w:styleId="1853">
    <w:name w:val="图-题注（OPCC）"/>
    <w:basedOn w:val="22"/>
    <w:link w:val="1852"/>
    <w:qFormat/>
    <w:uiPriority w:val="0"/>
    <w:pPr>
      <w:widowControl/>
      <w:snapToGrid w:val="0"/>
      <w:spacing w:line="336" w:lineRule="auto"/>
      <w:ind w:firstLine="576"/>
    </w:pPr>
    <w:rPr>
      <w:rFonts w:ascii="黑体" w:hAnsi="黑体" w:eastAsia="黑体" w:cs="宋体"/>
      <w:b w:val="0"/>
      <w:color w:val="000000"/>
      <w:kern w:val="0"/>
    </w:rPr>
  </w:style>
  <w:style w:type="paragraph" w:customStyle="1" w:styleId="1854">
    <w:name w:val="表格内容（OPCC宋体）"/>
    <w:basedOn w:val="1"/>
    <w:qFormat/>
    <w:uiPriority w:val="0"/>
    <w:pPr>
      <w:widowControl/>
      <w:adjustRightInd w:val="0"/>
      <w:snapToGrid w:val="0"/>
      <w:jc w:val="center"/>
    </w:pPr>
    <w:rPr>
      <w:rFonts w:ascii="宋体" w:hAnsi="宋体" w:eastAsia="仿宋_GB2312" w:cs="宋体"/>
      <w:color w:val="000000"/>
      <w:kern w:val="0"/>
      <w:sz w:val="21"/>
      <w:szCs w:val="21"/>
    </w:rPr>
  </w:style>
  <w:style w:type="character" w:customStyle="1" w:styleId="1855">
    <w:name w:val="！正文 Char"/>
    <w:link w:val="1856"/>
    <w:qFormat/>
    <w:locked/>
    <w:uiPriority w:val="0"/>
    <w:rPr>
      <w:sz w:val="24"/>
      <w:lang w:val="zh-CN" w:eastAsia="zh-CN"/>
    </w:rPr>
  </w:style>
  <w:style w:type="paragraph" w:customStyle="1" w:styleId="1856">
    <w:name w:val="！正文"/>
    <w:basedOn w:val="1"/>
    <w:link w:val="1855"/>
    <w:qFormat/>
    <w:uiPriority w:val="0"/>
    <w:pPr>
      <w:widowControl/>
      <w:ind w:firstLine="200" w:firstLineChars="200"/>
    </w:pPr>
    <w:rPr>
      <w:kern w:val="0"/>
      <w:szCs w:val="20"/>
      <w:lang w:val="zh-CN"/>
    </w:rPr>
  </w:style>
  <w:style w:type="character" w:customStyle="1" w:styleId="1857">
    <w:name w:val="表格-内容，报告书 Char"/>
    <w:link w:val="1858"/>
    <w:qFormat/>
    <w:locked/>
    <w:uiPriority w:val="0"/>
    <w:rPr>
      <w:rFonts w:ascii="仿宋_GB2312" w:eastAsia="仿宋_GB2312"/>
      <w:szCs w:val="18"/>
      <w:lang w:val="zh-CN" w:eastAsia="zh-CN"/>
    </w:rPr>
  </w:style>
  <w:style w:type="paragraph" w:customStyle="1" w:styleId="1858">
    <w:name w:val="表格-内容，报告书"/>
    <w:basedOn w:val="1"/>
    <w:link w:val="1857"/>
    <w:qFormat/>
    <w:uiPriority w:val="0"/>
    <w:pPr>
      <w:widowControl/>
      <w:jc w:val="center"/>
    </w:pPr>
    <w:rPr>
      <w:rFonts w:ascii="仿宋_GB2312" w:eastAsia="仿宋_GB2312"/>
      <w:kern w:val="0"/>
      <w:sz w:val="20"/>
      <w:szCs w:val="18"/>
      <w:lang w:val="zh-CN"/>
    </w:rPr>
  </w:style>
  <w:style w:type="character" w:customStyle="1" w:styleId="1859">
    <w:name w:val="图-题注，报告书 Char"/>
    <w:link w:val="1860"/>
    <w:qFormat/>
    <w:locked/>
    <w:uiPriority w:val="0"/>
    <w:rPr>
      <w:rFonts w:ascii="宋体" w:hAnsi="宋体"/>
      <w:b/>
      <w:szCs w:val="21"/>
      <w:lang w:val="zh-CN" w:eastAsia="zh-CN"/>
    </w:rPr>
  </w:style>
  <w:style w:type="paragraph" w:customStyle="1" w:styleId="1860">
    <w:name w:val="图-题注，报告书"/>
    <w:basedOn w:val="22"/>
    <w:link w:val="1859"/>
    <w:qFormat/>
    <w:uiPriority w:val="0"/>
    <w:pPr>
      <w:keepNext/>
      <w:widowControl/>
      <w:snapToGrid w:val="0"/>
      <w:ind w:firstLine="576"/>
    </w:pPr>
    <w:rPr>
      <w:rFonts w:ascii="宋体" w:hAnsi="宋体"/>
      <w:kern w:val="0"/>
      <w:sz w:val="20"/>
      <w:szCs w:val="21"/>
      <w:lang w:val="zh-CN"/>
    </w:rPr>
  </w:style>
  <w:style w:type="paragraph" w:customStyle="1" w:styleId="1861">
    <w:name w:val="普通(网站)1"/>
    <w:basedOn w:val="1"/>
    <w:uiPriority w:val="0"/>
    <w:pPr>
      <w:widowControl/>
      <w:spacing w:before="100" w:beforeAutospacing="1" w:after="100" w:afterAutospacing="1"/>
      <w:jc w:val="left"/>
    </w:pPr>
    <w:rPr>
      <w:rFonts w:ascii="宋体" w:hAnsi="宋体" w:cs="宋体"/>
      <w:kern w:val="0"/>
    </w:rPr>
  </w:style>
  <w:style w:type="character" w:customStyle="1" w:styleId="1862">
    <w:name w:val="样式 题注实德题注题注 Char Char Char题注 Char Char Char Char Char Char题注... Char"/>
    <w:link w:val="1863"/>
    <w:qFormat/>
    <w:locked/>
    <w:uiPriority w:val="0"/>
    <w:rPr>
      <w:rFonts w:ascii="Arial" w:hAnsi="Arial" w:eastAsia="黑体" w:cs="宋体"/>
      <w:sz w:val="24"/>
    </w:rPr>
  </w:style>
  <w:style w:type="paragraph" w:customStyle="1" w:styleId="1863">
    <w:name w:val="样式 题注实德题注题注 Char Char Char题注 Char Char Char Char Char Char题注..."/>
    <w:basedOn w:val="22"/>
    <w:link w:val="1862"/>
    <w:qFormat/>
    <w:uiPriority w:val="0"/>
    <w:pPr>
      <w:widowControl/>
      <w:spacing w:line="360" w:lineRule="auto"/>
      <w:ind w:firstLine="400" w:firstLineChars="200"/>
      <w:jc w:val="both"/>
    </w:pPr>
    <w:rPr>
      <w:rFonts w:ascii="Arial" w:hAnsi="Arial" w:eastAsia="黑体" w:cs="宋体"/>
      <w:b w:val="0"/>
      <w:kern w:val="0"/>
      <w:szCs w:val="20"/>
    </w:rPr>
  </w:style>
  <w:style w:type="paragraph" w:customStyle="1" w:styleId="1864">
    <w:name w:val="样式 标题 4 + 四号"/>
    <w:basedOn w:val="6"/>
    <w:next w:val="6"/>
    <w:uiPriority w:val="0"/>
    <w:pPr>
      <w:widowControl/>
      <w:numPr>
        <w:ilvl w:val="0"/>
        <w:numId w:val="0"/>
      </w:numPr>
      <w:tabs>
        <w:tab w:val="left" w:pos="0"/>
        <w:tab w:val="left" w:pos="709"/>
      </w:tabs>
    </w:pPr>
    <w:rPr>
      <w:rFonts w:eastAsia="黑体"/>
      <w:b w:val="0"/>
    </w:rPr>
  </w:style>
  <w:style w:type="paragraph" w:customStyle="1" w:styleId="1865">
    <w:name w:val="样式 样式 环评正文 + 首行缩进:  2 字符 + 首行缩进:  2 字符"/>
    <w:basedOn w:val="1"/>
    <w:uiPriority w:val="0"/>
    <w:pPr>
      <w:widowControl/>
      <w:ind w:firstLine="512"/>
    </w:pPr>
    <w:rPr>
      <w:rFonts w:ascii="宋体" w:hAnsi="宋体" w:cs="宋体"/>
      <w:spacing w:val="8"/>
      <w:kern w:val="0"/>
      <w:sz w:val="21"/>
      <w:szCs w:val="20"/>
    </w:rPr>
  </w:style>
  <w:style w:type="paragraph" w:customStyle="1" w:styleId="1866">
    <w:name w:val="Char Char36 Char Char Char Char Char Char"/>
    <w:basedOn w:val="1"/>
    <w:qFormat/>
    <w:uiPriority w:val="0"/>
    <w:pPr>
      <w:widowControl/>
      <w:spacing w:after="160" w:line="240" w:lineRule="exact"/>
      <w:jc w:val="left"/>
    </w:pPr>
    <w:rPr>
      <w:rFonts w:ascii="Verdana" w:hAnsi="Verdana" w:cs="宋体"/>
      <w:kern w:val="0"/>
      <w:sz w:val="20"/>
      <w:szCs w:val="20"/>
      <w:lang w:eastAsia="en-US"/>
    </w:rPr>
  </w:style>
  <w:style w:type="paragraph" w:customStyle="1" w:styleId="1867">
    <w:name w:val="Char Char36 Char Char Char Char Char Char Char Char Char Char Char Char"/>
    <w:basedOn w:val="1"/>
    <w:qFormat/>
    <w:uiPriority w:val="0"/>
    <w:pPr>
      <w:widowControl/>
      <w:spacing w:after="160" w:line="240" w:lineRule="exact"/>
      <w:jc w:val="left"/>
    </w:pPr>
    <w:rPr>
      <w:rFonts w:ascii="Verdana" w:hAnsi="Verdana" w:cs="宋体"/>
      <w:kern w:val="0"/>
      <w:sz w:val="20"/>
      <w:szCs w:val="20"/>
      <w:lang w:eastAsia="en-US"/>
    </w:rPr>
  </w:style>
  <w:style w:type="paragraph" w:customStyle="1" w:styleId="1868">
    <w:name w:val="表格内容+"/>
    <w:basedOn w:val="1"/>
    <w:semiHidden/>
    <w:qFormat/>
    <w:uiPriority w:val="0"/>
    <w:pPr>
      <w:widowControl/>
      <w:adjustRightInd w:val="0"/>
      <w:snapToGrid w:val="0"/>
      <w:spacing w:after="120" w:line="0" w:lineRule="atLeast"/>
      <w:jc w:val="center"/>
    </w:pPr>
    <w:rPr>
      <w:rFonts w:ascii="宋体" w:hAnsi="宋体" w:cs="宋体"/>
      <w:kern w:val="0"/>
      <w:sz w:val="21"/>
      <w:szCs w:val="21"/>
    </w:rPr>
  </w:style>
  <w:style w:type="paragraph" w:customStyle="1" w:styleId="1869">
    <w:name w:val="Normal New New New"/>
    <w:qFormat/>
    <w:uiPriority w:val="0"/>
    <w:pPr>
      <w:jc w:val="both"/>
    </w:pPr>
    <w:rPr>
      <w:rFonts w:ascii="Times New Roman" w:hAnsi="Times New Roman" w:eastAsia="宋体" w:cs="Times New Roman"/>
      <w:kern w:val="2"/>
      <w:sz w:val="21"/>
      <w:szCs w:val="21"/>
      <w:lang w:val="en-US" w:eastAsia="zh-CN" w:bidi="ar-SA"/>
    </w:rPr>
  </w:style>
  <w:style w:type="character" w:customStyle="1" w:styleId="1870">
    <w:name w:val="表格正文（安） Char"/>
    <w:link w:val="1871"/>
    <w:qFormat/>
    <w:locked/>
    <w:uiPriority w:val="0"/>
    <w:rPr>
      <w:color w:val="000000"/>
      <w:szCs w:val="21"/>
      <w:lang w:val="zh-CN" w:eastAsia="zh-CN"/>
    </w:rPr>
  </w:style>
  <w:style w:type="paragraph" w:customStyle="1" w:styleId="1871">
    <w:name w:val="表格正文（安）"/>
    <w:basedOn w:val="1"/>
    <w:link w:val="1870"/>
    <w:qFormat/>
    <w:uiPriority w:val="0"/>
    <w:pPr>
      <w:widowControl/>
      <w:jc w:val="center"/>
    </w:pPr>
    <w:rPr>
      <w:color w:val="000000"/>
      <w:kern w:val="0"/>
      <w:sz w:val="20"/>
      <w:szCs w:val="21"/>
      <w:lang w:val="zh-CN"/>
    </w:rPr>
  </w:style>
  <w:style w:type="character" w:customStyle="1" w:styleId="1872">
    <w:name w:val="正文小四首缩1.3行距 Char"/>
    <w:link w:val="1873"/>
    <w:qFormat/>
    <w:locked/>
    <w:uiPriority w:val="0"/>
    <w:rPr>
      <w:sz w:val="24"/>
      <w:szCs w:val="24"/>
      <w:lang w:val="zh-CN" w:eastAsia="zh-CN"/>
    </w:rPr>
  </w:style>
  <w:style w:type="paragraph" w:customStyle="1" w:styleId="1873">
    <w:name w:val="正文小四首缩1.3行距"/>
    <w:basedOn w:val="1"/>
    <w:link w:val="1872"/>
    <w:uiPriority w:val="0"/>
    <w:pPr>
      <w:widowControl/>
      <w:spacing w:line="312" w:lineRule="auto"/>
      <w:ind w:firstLine="420" w:firstLineChars="200"/>
    </w:pPr>
    <w:rPr>
      <w:kern w:val="0"/>
      <w:lang w:val="zh-CN"/>
    </w:rPr>
  </w:style>
  <w:style w:type="character" w:customStyle="1" w:styleId="1874">
    <w:name w:val="表字 Char Char"/>
    <w:link w:val="1875"/>
    <w:qFormat/>
    <w:locked/>
    <w:uiPriority w:val="0"/>
    <w:rPr>
      <w:kern w:val="2"/>
      <w:sz w:val="21"/>
      <w:szCs w:val="24"/>
    </w:rPr>
  </w:style>
  <w:style w:type="paragraph" w:customStyle="1" w:styleId="1875">
    <w:name w:val="表字"/>
    <w:link w:val="1874"/>
    <w:qFormat/>
    <w:uiPriority w:val="0"/>
    <w:pPr>
      <w:widowControl w:val="0"/>
      <w:jc w:val="center"/>
    </w:pPr>
    <w:rPr>
      <w:rFonts w:ascii="Times New Roman" w:hAnsi="Times New Roman" w:eastAsia="宋体" w:cs="Times New Roman"/>
      <w:kern w:val="2"/>
      <w:sz w:val="21"/>
      <w:szCs w:val="24"/>
      <w:lang w:val="en-US" w:eastAsia="zh-CN" w:bidi="ar-SA"/>
    </w:rPr>
  </w:style>
  <w:style w:type="character" w:customStyle="1" w:styleId="1876">
    <w:name w:val="小四正文 Char"/>
    <w:link w:val="1877"/>
    <w:qFormat/>
    <w:locked/>
    <w:uiPriority w:val="0"/>
    <w:rPr>
      <w:bCs/>
      <w:sz w:val="24"/>
      <w:szCs w:val="24"/>
    </w:rPr>
  </w:style>
  <w:style w:type="paragraph" w:customStyle="1" w:styleId="1877">
    <w:name w:val="小四正文"/>
    <w:link w:val="1876"/>
    <w:qFormat/>
    <w:uiPriority w:val="0"/>
    <w:pPr>
      <w:spacing w:line="360" w:lineRule="auto"/>
      <w:ind w:firstLine="480" w:firstLineChars="200"/>
      <w:jc w:val="both"/>
    </w:pPr>
    <w:rPr>
      <w:rFonts w:ascii="Times New Roman" w:hAnsi="Times New Roman" w:eastAsia="宋体" w:cs="Times New Roman"/>
      <w:bCs/>
      <w:sz w:val="24"/>
      <w:szCs w:val="24"/>
      <w:lang w:val="en-US" w:eastAsia="zh-CN" w:bidi="ar-SA"/>
    </w:rPr>
  </w:style>
  <w:style w:type="paragraph" w:customStyle="1" w:styleId="1878">
    <w:name w:val="Char Char1 Char Char Char Char Char Char Char Char Char Char Char Char Char Char Char Char Char Char"/>
    <w:basedOn w:val="1"/>
    <w:qFormat/>
    <w:uiPriority w:val="0"/>
    <w:pPr>
      <w:widowControl/>
      <w:ind w:firstLine="200" w:firstLineChars="200"/>
    </w:pPr>
    <w:rPr>
      <w:rFonts w:ascii="宋体" w:hAnsi="宋体" w:cs="宋体"/>
      <w:kern w:val="0"/>
    </w:rPr>
  </w:style>
  <w:style w:type="paragraph" w:customStyle="1" w:styleId="1879">
    <w:name w:val="样式 正文首行缩进 2 + 首行缩进:  2 字符"/>
    <w:basedOn w:val="87"/>
    <w:qFormat/>
    <w:uiPriority w:val="0"/>
    <w:pPr>
      <w:widowControl/>
      <w:tabs>
        <w:tab w:val="clear" w:pos="964"/>
        <w:tab w:val="clear" w:pos="1172"/>
      </w:tabs>
      <w:spacing w:after="120" w:line="360" w:lineRule="auto"/>
      <w:ind w:left="0" w:firstLine="480" w:firstLineChars="200"/>
    </w:pPr>
    <w:rPr>
      <w:rFonts w:ascii="Times New Roman" w:hAnsi="Times New Roman" w:cs="宋体"/>
      <w:color w:val="0000FF"/>
      <w:sz w:val="24"/>
    </w:rPr>
  </w:style>
  <w:style w:type="paragraph" w:customStyle="1" w:styleId="1880">
    <w:name w:val="表头字"/>
    <w:basedOn w:val="1"/>
    <w:qFormat/>
    <w:uiPriority w:val="0"/>
    <w:pPr>
      <w:widowControl/>
      <w:suppressAutoHyphens/>
      <w:snapToGrid w:val="0"/>
      <w:jc w:val="center"/>
    </w:pPr>
    <w:rPr>
      <w:rFonts w:ascii="黑体" w:hAnsi="宋体" w:eastAsia="黑体" w:cs="宋体"/>
      <w:kern w:val="0"/>
    </w:rPr>
  </w:style>
  <w:style w:type="paragraph" w:customStyle="1" w:styleId="1881">
    <w:name w:val="样式 标题 4 Char + 幼圆 小四 非加粗 蓝色"/>
    <w:basedOn w:val="6"/>
    <w:qFormat/>
    <w:uiPriority w:val="0"/>
    <w:pPr>
      <w:widowControl/>
      <w:numPr>
        <w:ilvl w:val="0"/>
        <w:numId w:val="0"/>
      </w:numPr>
      <w:tabs>
        <w:tab w:val="left" w:pos="0"/>
      </w:tabs>
    </w:pPr>
    <w:rPr>
      <w:rFonts w:ascii="幼圆" w:hAnsi="幼圆" w:eastAsia="幼圆"/>
      <w:b w:val="0"/>
      <w:bCs w:val="0"/>
      <w:color w:val="0000FF"/>
    </w:rPr>
  </w:style>
  <w:style w:type="character" w:customStyle="1" w:styleId="1882">
    <w:name w:val="段落正文 Char"/>
    <w:link w:val="1883"/>
    <w:qFormat/>
    <w:locked/>
    <w:uiPriority w:val="0"/>
    <w:rPr>
      <w:sz w:val="24"/>
      <w:szCs w:val="24"/>
      <w:lang w:val="zh-CN" w:eastAsia="zh-CN"/>
    </w:rPr>
  </w:style>
  <w:style w:type="paragraph" w:customStyle="1" w:styleId="1883">
    <w:name w:val="段落正文"/>
    <w:basedOn w:val="1"/>
    <w:link w:val="1882"/>
    <w:qFormat/>
    <w:uiPriority w:val="0"/>
    <w:pPr>
      <w:widowControl/>
      <w:ind w:firstLine="480" w:firstLineChars="200"/>
    </w:pPr>
    <w:rPr>
      <w:kern w:val="0"/>
      <w:lang w:val="zh-CN"/>
    </w:rPr>
  </w:style>
  <w:style w:type="paragraph" w:customStyle="1" w:styleId="1884">
    <w:name w:val="样式 标题 1标题 1 1章标题 1标题 1 Char + 黑体 三号 非加粗 居中 段前: 30 磅 段后: ..."/>
    <w:basedOn w:val="3"/>
    <w:qFormat/>
    <w:uiPriority w:val="0"/>
    <w:pPr>
      <w:keepLines/>
      <w:numPr>
        <w:numId w:val="29"/>
      </w:numPr>
      <w:tabs>
        <w:tab w:val="left" w:pos="425"/>
        <w:tab w:val="clear" w:pos="0"/>
      </w:tabs>
      <w:spacing w:before="600" w:line="520" w:lineRule="exact"/>
      <w:ind w:left="0" w:firstLine="0"/>
    </w:pPr>
    <w:rPr>
      <w:rFonts w:ascii="黑体" w:hAnsi="Arial" w:cs="宋体"/>
      <w:b w:val="0"/>
      <w:sz w:val="32"/>
      <w:szCs w:val="20"/>
    </w:rPr>
  </w:style>
  <w:style w:type="paragraph" w:customStyle="1" w:styleId="1885">
    <w:name w:val="WW-正文首行缩进"/>
    <w:basedOn w:val="34"/>
    <w:qFormat/>
    <w:uiPriority w:val="0"/>
    <w:pPr>
      <w:widowControl/>
      <w:spacing w:after="120" w:line="360" w:lineRule="auto"/>
      <w:ind w:firstLine="420"/>
    </w:pPr>
    <w:rPr>
      <w:rFonts w:eastAsia="黑体" w:cs="宋体"/>
      <w:sz w:val="24"/>
      <w:lang w:val="zh-CN" w:eastAsia="ar-SA"/>
    </w:rPr>
  </w:style>
  <w:style w:type="character" w:customStyle="1" w:styleId="1886">
    <w:name w:val="cjf表头 Char"/>
    <w:link w:val="1887"/>
    <w:qFormat/>
    <w:locked/>
    <w:uiPriority w:val="0"/>
    <w:rPr>
      <w:rFonts w:ascii="黑体" w:hAnsi="华文中宋" w:eastAsia="黑体"/>
      <w:b/>
      <w:sz w:val="21"/>
      <w:szCs w:val="21"/>
      <w:lang w:val="zh-CN" w:eastAsia="zh-CN"/>
    </w:rPr>
  </w:style>
  <w:style w:type="paragraph" w:customStyle="1" w:styleId="1887">
    <w:name w:val="cjf表头"/>
    <w:basedOn w:val="1"/>
    <w:link w:val="1886"/>
    <w:qFormat/>
    <w:uiPriority w:val="0"/>
    <w:pPr>
      <w:widowControl/>
      <w:spacing w:before="120" w:after="120"/>
      <w:jc w:val="center"/>
    </w:pPr>
    <w:rPr>
      <w:rFonts w:ascii="黑体" w:hAnsi="华文中宋" w:eastAsia="黑体"/>
      <w:b/>
      <w:kern w:val="0"/>
      <w:sz w:val="21"/>
      <w:szCs w:val="21"/>
      <w:lang w:val="zh-CN"/>
    </w:rPr>
  </w:style>
  <w:style w:type="character" w:customStyle="1" w:styleId="1888">
    <w:name w:val="样式 标题 3 + 四号 Char"/>
    <w:link w:val="1889"/>
    <w:qFormat/>
    <w:locked/>
    <w:uiPriority w:val="0"/>
    <w:rPr>
      <w:rFonts w:ascii="黑体" w:hAnsi="黑体" w:eastAsia="黑体"/>
      <w:bCs/>
      <w:kern w:val="2"/>
      <w:sz w:val="28"/>
      <w:szCs w:val="32"/>
      <w:lang w:val="zh-CN" w:eastAsia="zh-CN"/>
    </w:rPr>
  </w:style>
  <w:style w:type="paragraph" w:customStyle="1" w:styleId="1889">
    <w:name w:val="样式 标题 3 + 四号"/>
    <w:basedOn w:val="5"/>
    <w:link w:val="1888"/>
    <w:qFormat/>
    <w:uiPriority w:val="0"/>
    <w:pPr>
      <w:numPr>
        <w:ilvl w:val="0"/>
        <w:numId w:val="0"/>
      </w:numPr>
      <w:tabs>
        <w:tab w:val="left" w:pos="425"/>
        <w:tab w:val="left" w:pos="709"/>
      </w:tabs>
      <w:adjustRightInd w:val="0"/>
      <w:snapToGrid w:val="0"/>
      <w:spacing w:line="360" w:lineRule="auto"/>
    </w:pPr>
    <w:rPr>
      <w:rFonts w:ascii="黑体" w:hAnsi="黑体"/>
      <w:b w:val="0"/>
      <w:sz w:val="28"/>
      <w:szCs w:val="32"/>
      <w:lang w:val="zh-CN"/>
    </w:rPr>
  </w:style>
  <w:style w:type="character" w:customStyle="1" w:styleId="1890">
    <w:name w:val="样式 标题 2 + Times New Roman 四号 非加粗 Char"/>
    <w:link w:val="1400"/>
    <w:qFormat/>
    <w:locked/>
    <w:uiPriority w:val="0"/>
    <w:rPr>
      <w:rFonts w:eastAsia="黑体"/>
      <w:kern w:val="2"/>
      <w:sz w:val="30"/>
      <w:szCs w:val="30"/>
    </w:rPr>
  </w:style>
  <w:style w:type="character" w:customStyle="1" w:styleId="1891">
    <w:name w:val="样式 标题 4 + Times New Roman 段后: 7.8 磅 Char"/>
    <w:link w:val="1892"/>
    <w:qFormat/>
    <w:locked/>
    <w:uiPriority w:val="0"/>
    <w:rPr>
      <w:b/>
      <w:bCs/>
      <w:kern w:val="2"/>
      <w:sz w:val="24"/>
      <w:lang w:val="zh-CN" w:eastAsia="zh-CN"/>
    </w:rPr>
  </w:style>
  <w:style w:type="paragraph" w:customStyle="1" w:styleId="1892">
    <w:name w:val="样式 标题 4 + Times New Roman 段后: 7.8 磅"/>
    <w:basedOn w:val="6"/>
    <w:link w:val="1891"/>
    <w:qFormat/>
    <w:uiPriority w:val="0"/>
    <w:pPr>
      <w:widowControl/>
      <w:numPr>
        <w:ilvl w:val="0"/>
        <w:numId w:val="0"/>
      </w:numPr>
      <w:tabs>
        <w:tab w:val="left" w:pos="0"/>
        <w:tab w:val="left" w:pos="709"/>
      </w:tabs>
      <w:spacing w:before="120" w:after="120"/>
    </w:pPr>
    <w:rPr>
      <w:sz w:val="24"/>
      <w:szCs w:val="20"/>
      <w:lang w:val="zh-CN"/>
    </w:rPr>
  </w:style>
  <w:style w:type="character" w:customStyle="1" w:styleId="1893">
    <w:name w:val="表内容 Char"/>
    <w:link w:val="806"/>
    <w:qFormat/>
    <w:locked/>
    <w:uiPriority w:val="0"/>
    <w:rPr>
      <w:kern w:val="2"/>
      <w:sz w:val="21"/>
      <w:szCs w:val="21"/>
    </w:rPr>
  </w:style>
  <w:style w:type="paragraph" w:customStyle="1" w:styleId="1894">
    <w:name w:val="样式 小四 段后: 6 磅 行距: 1.5 倍行距"/>
    <w:basedOn w:val="1"/>
    <w:qFormat/>
    <w:uiPriority w:val="0"/>
    <w:pPr>
      <w:widowControl/>
      <w:spacing w:after="80"/>
      <w:ind w:firstLine="200" w:firstLineChars="200"/>
    </w:pPr>
    <w:rPr>
      <w:rFonts w:ascii="宋体" w:hAnsi="宋体" w:cs="宋体"/>
      <w:kern w:val="0"/>
      <w:szCs w:val="20"/>
    </w:rPr>
  </w:style>
  <w:style w:type="character" w:customStyle="1" w:styleId="1895">
    <w:name w:val="正文烟台 Char Char"/>
    <w:link w:val="1896"/>
    <w:qFormat/>
    <w:locked/>
    <w:uiPriority w:val="0"/>
    <w:rPr>
      <w:sz w:val="24"/>
      <w:szCs w:val="24"/>
    </w:rPr>
  </w:style>
  <w:style w:type="paragraph" w:customStyle="1" w:styleId="1896">
    <w:name w:val="正文烟台"/>
    <w:basedOn w:val="34"/>
    <w:link w:val="1895"/>
    <w:qFormat/>
    <w:uiPriority w:val="0"/>
    <w:pPr>
      <w:widowControl/>
      <w:adjustRightInd w:val="0"/>
      <w:snapToGrid w:val="0"/>
      <w:spacing w:line="360" w:lineRule="auto"/>
      <w:ind w:firstLine="200" w:firstLineChars="200"/>
    </w:pPr>
    <w:rPr>
      <w:kern w:val="0"/>
      <w:sz w:val="24"/>
    </w:rPr>
  </w:style>
  <w:style w:type="character" w:customStyle="1" w:styleId="1897">
    <w:name w:val="表格内字体 Char"/>
    <w:link w:val="1898"/>
    <w:qFormat/>
    <w:locked/>
    <w:uiPriority w:val="0"/>
    <w:rPr>
      <w:rFonts w:ascii="宋体" w:hAnsi="宋体"/>
      <w:szCs w:val="24"/>
      <w:lang w:val="zh-CN" w:eastAsia="zh-CN"/>
    </w:rPr>
  </w:style>
  <w:style w:type="paragraph" w:customStyle="1" w:styleId="1898">
    <w:name w:val="表格内字体"/>
    <w:basedOn w:val="452"/>
    <w:next w:val="452"/>
    <w:link w:val="1897"/>
    <w:qFormat/>
    <w:uiPriority w:val="0"/>
    <w:pPr>
      <w:widowControl/>
      <w:autoSpaceDE/>
      <w:autoSpaceDN/>
      <w:adjustRightInd/>
      <w:ind w:firstLine="0" w:firstLineChars="0"/>
      <w:jc w:val="center"/>
    </w:pPr>
    <w:rPr>
      <w:rFonts w:ascii="宋体" w:hAnsi="宋体"/>
      <w:sz w:val="20"/>
      <w:lang w:val="zh-CN"/>
    </w:rPr>
  </w:style>
  <w:style w:type="paragraph" w:customStyle="1" w:styleId="1899">
    <w:name w:val="徐三级标题"/>
    <w:basedOn w:val="5"/>
    <w:next w:val="1"/>
    <w:qFormat/>
    <w:uiPriority w:val="0"/>
    <w:pPr>
      <w:numPr>
        <w:numId w:val="30"/>
      </w:numPr>
      <w:tabs>
        <w:tab w:val="left" w:pos="840"/>
        <w:tab w:val="left" w:pos="1050"/>
        <w:tab w:val="left" w:pos="1260"/>
      </w:tabs>
      <w:adjustRightInd w:val="0"/>
      <w:spacing w:before="60" w:after="60" w:line="500" w:lineRule="exact"/>
      <w:ind w:left="0" w:firstLine="0"/>
      <w:jc w:val="left"/>
    </w:pPr>
    <w:rPr>
      <w:rFonts w:eastAsia="Times New Roman"/>
      <w:bCs w:val="0"/>
      <w:kern w:val="0"/>
      <w:sz w:val="24"/>
      <w:szCs w:val="24"/>
    </w:rPr>
  </w:style>
  <w:style w:type="paragraph" w:customStyle="1" w:styleId="1900">
    <w:name w:val="【表头】"/>
    <w:basedOn w:val="1"/>
    <w:qFormat/>
    <w:uiPriority w:val="0"/>
    <w:pPr>
      <w:widowControl/>
      <w:jc w:val="center"/>
    </w:pPr>
    <w:rPr>
      <w:rFonts w:ascii="宋体" w:hAnsi="宋体" w:eastAsia="黑体" w:cs="Arial"/>
      <w:kern w:val="0"/>
    </w:rPr>
  </w:style>
  <w:style w:type="paragraph" w:customStyle="1" w:styleId="1901">
    <w:name w:val="00正文"/>
    <w:basedOn w:val="1"/>
    <w:qFormat/>
    <w:uiPriority w:val="0"/>
    <w:pPr>
      <w:widowControl/>
      <w:spacing w:line="300" w:lineRule="exact"/>
      <w:jc w:val="center"/>
    </w:pPr>
    <w:rPr>
      <w:rFonts w:ascii="宋体" w:hAnsi="宋体" w:cs="宋体"/>
      <w:bCs/>
      <w:caps/>
      <w:color w:val="000000"/>
      <w:kern w:val="0"/>
      <w:sz w:val="21"/>
    </w:rPr>
  </w:style>
  <w:style w:type="character" w:customStyle="1" w:styleId="1902">
    <w:name w:val="！4级标题 Char"/>
    <w:link w:val="1903"/>
    <w:locked/>
    <w:uiPriority w:val="0"/>
    <w:rPr>
      <w:b/>
      <w:sz w:val="24"/>
      <w:lang w:val="zh-CN" w:eastAsia="zh-CN"/>
    </w:rPr>
  </w:style>
  <w:style w:type="paragraph" w:customStyle="1" w:styleId="1903">
    <w:name w:val="！4级标题"/>
    <w:basedOn w:val="1"/>
    <w:link w:val="1902"/>
    <w:qFormat/>
    <w:uiPriority w:val="0"/>
    <w:pPr>
      <w:widowControl/>
      <w:spacing w:after="120"/>
      <w:outlineLvl w:val="3"/>
    </w:pPr>
    <w:rPr>
      <w:b/>
      <w:kern w:val="0"/>
      <w:szCs w:val="20"/>
      <w:lang w:val="zh-CN"/>
    </w:rPr>
  </w:style>
  <w:style w:type="character" w:customStyle="1" w:styleId="1904">
    <w:name w:val="正文-使用 Char"/>
    <w:link w:val="1905"/>
    <w:qFormat/>
    <w:locked/>
    <w:uiPriority w:val="0"/>
    <w:rPr>
      <w:kern w:val="2"/>
      <w:sz w:val="24"/>
      <w:lang w:val="zh-CN" w:eastAsia="ar-SA"/>
    </w:rPr>
  </w:style>
  <w:style w:type="paragraph" w:customStyle="1" w:styleId="1905">
    <w:name w:val="正文-使用"/>
    <w:basedOn w:val="1"/>
    <w:link w:val="1904"/>
    <w:qFormat/>
    <w:uiPriority w:val="0"/>
    <w:pPr>
      <w:widowControl/>
      <w:suppressAutoHyphens/>
      <w:snapToGrid w:val="0"/>
      <w:ind w:firstLine="482"/>
    </w:pPr>
    <w:rPr>
      <w:szCs w:val="20"/>
      <w:lang w:val="zh-CN" w:eastAsia="ar-SA"/>
    </w:rPr>
  </w:style>
  <w:style w:type="paragraph" w:customStyle="1" w:styleId="1906">
    <w:name w:val="默认段落字体 Para Char Char Char Char Char Char Char Char Char Char Char Char"/>
    <w:basedOn w:val="26"/>
    <w:qFormat/>
    <w:uiPriority w:val="0"/>
    <w:pPr>
      <w:widowControl/>
      <w:adjustRightInd w:val="0"/>
      <w:spacing w:line="436" w:lineRule="exact"/>
      <w:ind w:left="357"/>
      <w:jc w:val="left"/>
      <w:outlineLvl w:val="3"/>
    </w:pPr>
    <w:rPr>
      <w:rFonts w:ascii="Tahoma" w:hAnsi="Tahoma"/>
      <w:b/>
    </w:rPr>
  </w:style>
  <w:style w:type="paragraph" w:customStyle="1" w:styleId="1907">
    <w:name w:val="卷、册、名称"/>
    <w:basedOn w:val="1"/>
    <w:qFormat/>
    <w:uiPriority w:val="0"/>
    <w:pPr>
      <w:widowControl/>
      <w:spacing w:beforeLines="100"/>
      <w:jc w:val="center"/>
      <w:outlineLvl w:val="0"/>
    </w:pPr>
    <w:rPr>
      <w:rFonts w:ascii="宋体" w:hAnsi="宋体" w:cs="宋体"/>
      <w:b/>
      <w:bCs/>
      <w:spacing w:val="20"/>
      <w:kern w:val="0"/>
      <w:sz w:val="36"/>
    </w:rPr>
  </w:style>
  <w:style w:type="paragraph" w:customStyle="1" w:styleId="1908">
    <w:name w:val="hh正文"/>
    <w:basedOn w:val="1"/>
    <w:qFormat/>
    <w:uiPriority w:val="0"/>
    <w:pPr>
      <w:widowControl/>
      <w:spacing w:line="400" w:lineRule="exact"/>
      <w:ind w:left="212" w:leftChars="101" w:firstLine="480" w:firstLineChars="200"/>
    </w:pPr>
    <w:rPr>
      <w:rFonts w:ascii="宋体" w:hAnsi="宋体" w:cs="宋体"/>
      <w:kern w:val="0"/>
    </w:rPr>
  </w:style>
  <w:style w:type="character" w:customStyle="1" w:styleId="1909">
    <w:name w:val="正文-zl Char"/>
    <w:link w:val="1910"/>
    <w:qFormat/>
    <w:locked/>
    <w:uiPriority w:val="0"/>
    <w:rPr>
      <w:color w:val="000000"/>
      <w:kern w:val="2"/>
      <w:sz w:val="28"/>
      <w:szCs w:val="28"/>
    </w:rPr>
  </w:style>
  <w:style w:type="paragraph" w:customStyle="1" w:styleId="1910">
    <w:name w:val="正文-zl"/>
    <w:basedOn w:val="1"/>
    <w:link w:val="1909"/>
    <w:qFormat/>
    <w:uiPriority w:val="0"/>
    <w:pPr>
      <w:spacing w:line="360" w:lineRule="auto"/>
      <w:ind w:firstLine="560" w:firstLineChars="200"/>
    </w:pPr>
    <w:rPr>
      <w:color w:val="000000"/>
      <w:sz w:val="28"/>
      <w:szCs w:val="28"/>
    </w:rPr>
  </w:style>
  <w:style w:type="paragraph" w:customStyle="1" w:styleId="1911">
    <w:name w:val="一般正文"/>
    <w:basedOn w:val="1"/>
    <w:qFormat/>
    <w:uiPriority w:val="0"/>
    <w:pPr>
      <w:spacing w:line="560" w:lineRule="exact"/>
      <w:ind w:firstLine="560" w:firstLineChars="200"/>
    </w:pPr>
    <w:rPr>
      <w:rFonts w:eastAsia="楷体_GB2312" w:cs="宋体"/>
      <w:sz w:val="28"/>
      <w:szCs w:val="20"/>
    </w:rPr>
  </w:style>
  <w:style w:type="paragraph" w:customStyle="1" w:styleId="1912">
    <w:name w:val="三级标题-zl"/>
    <w:basedOn w:val="5"/>
    <w:qFormat/>
    <w:uiPriority w:val="0"/>
    <w:pPr>
      <w:numPr>
        <w:ilvl w:val="0"/>
        <w:numId w:val="0"/>
      </w:numPr>
      <w:tabs>
        <w:tab w:val="left" w:pos="425"/>
        <w:tab w:val="left" w:pos="1276"/>
        <w:tab w:val="left" w:pos="1575"/>
      </w:tabs>
      <w:spacing w:line="360" w:lineRule="auto"/>
    </w:pPr>
    <w:rPr>
      <w:rFonts w:eastAsia="楷体_GB2312"/>
      <w:b w:val="0"/>
      <w:bCs w:val="0"/>
      <w:color w:val="000000"/>
      <w:sz w:val="28"/>
      <w:lang w:val="zh-CN"/>
    </w:rPr>
  </w:style>
  <w:style w:type="paragraph" w:customStyle="1" w:styleId="1913">
    <w:name w:val="列项——（一级）"/>
    <w:qFormat/>
    <w:uiPriority w:val="0"/>
    <w:pPr>
      <w:widowControl w:val="0"/>
      <w:numPr>
        <w:ilvl w:val="0"/>
        <w:numId w:val="31"/>
      </w:numPr>
      <w:jc w:val="both"/>
    </w:pPr>
    <w:rPr>
      <w:rFonts w:ascii="宋体" w:hAnsi="Times New Roman" w:eastAsia="楷体_GB2312" w:cs="Times New Roman"/>
      <w:color w:val="000000"/>
      <w:kern w:val="2"/>
      <w:sz w:val="21"/>
      <w:szCs w:val="28"/>
      <w:lang w:val="en-US" w:eastAsia="zh-CN" w:bidi="ar-SA"/>
    </w:rPr>
  </w:style>
  <w:style w:type="paragraph" w:customStyle="1" w:styleId="1914">
    <w:name w:val="列项●（二级）"/>
    <w:qFormat/>
    <w:uiPriority w:val="0"/>
    <w:pPr>
      <w:numPr>
        <w:ilvl w:val="1"/>
        <w:numId w:val="31"/>
      </w:numPr>
      <w:tabs>
        <w:tab w:val="left" w:pos="840"/>
      </w:tabs>
      <w:jc w:val="both"/>
    </w:pPr>
    <w:rPr>
      <w:rFonts w:ascii="宋体" w:hAnsi="Times New Roman" w:eastAsia="楷体_GB2312" w:cs="Times New Roman"/>
      <w:color w:val="000000"/>
      <w:kern w:val="2"/>
      <w:sz w:val="21"/>
      <w:szCs w:val="28"/>
      <w:lang w:val="en-US" w:eastAsia="zh-CN" w:bidi="ar-SA"/>
    </w:rPr>
  </w:style>
  <w:style w:type="paragraph" w:customStyle="1" w:styleId="1915">
    <w:name w:val="列项◆（三级）"/>
    <w:basedOn w:val="1"/>
    <w:qFormat/>
    <w:uiPriority w:val="0"/>
    <w:pPr>
      <w:numPr>
        <w:ilvl w:val="2"/>
        <w:numId w:val="31"/>
      </w:numPr>
    </w:pPr>
    <w:rPr>
      <w:rFonts w:ascii="宋体" w:eastAsia="楷体_GB2312"/>
      <w:color w:val="000000"/>
      <w:sz w:val="28"/>
      <w:szCs w:val="21"/>
    </w:rPr>
  </w:style>
  <w:style w:type="paragraph" w:customStyle="1" w:styleId="1916">
    <w:name w:val="正文x"/>
    <w:qFormat/>
    <w:uiPriority w:val="0"/>
    <w:pPr>
      <w:spacing w:line="480" w:lineRule="exact"/>
      <w:ind w:firstLine="200" w:firstLineChars="200"/>
      <w:jc w:val="both"/>
    </w:pPr>
    <w:rPr>
      <w:rFonts w:ascii="Times New Roman" w:hAnsi="Times New Roman" w:eastAsia="楷体_GB2312" w:cs="Times New Roman"/>
      <w:kern w:val="2"/>
      <w:sz w:val="28"/>
      <w:szCs w:val="28"/>
      <w:lang w:val="en-US" w:eastAsia="zh-CN" w:bidi="ar-SA"/>
    </w:rPr>
  </w:style>
  <w:style w:type="paragraph" w:customStyle="1" w:styleId="1917">
    <w:name w:val="样式 点项 + 段前: 5 磅 行距: 固定值 20 磅"/>
    <w:basedOn w:val="1"/>
    <w:semiHidden/>
    <w:qFormat/>
    <w:uiPriority w:val="0"/>
    <w:pPr>
      <w:widowControl/>
      <w:numPr>
        <w:ilvl w:val="0"/>
        <w:numId w:val="32"/>
      </w:numPr>
      <w:snapToGrid w:val="0"/>
      <w:spacing w:before="100" w:line="400" w:lineRule="exact"/>
      <w:jc w:val="left"/>
    </w:pPr>
    <w:rPr>
      <w:rFonts w:eastAsia="楷体_GB2312" w:cs="宋体"/>
      <w:sz w:val="28"/>
      <w:szCs w:val="20"/>
    </w:rPr>
  </w:style>
  <w:style w:type="character" w:customStyle="1" w:styleId="1918">
    <w:name w:val="正zmx Char"/>
    <w:link w:val="1919"/>
    <w:semiHidden/>
    <w:qFormat/>
    <w:locked/>
    <w:uiPriority w:val="0"/>
    <w:rPr>
      <w:rFonts w:ascii="仿宋_GB2312" w:eastAsia="仿宋_GB2312"/>
      <w:sz w:val="28"/>
      <w:szCs w:val="28"/>
    </w:rPr>
  </w:style>
  <w:style w:type="paragraph" w:customStyle="1" w:styleId="1919">
    <w:name w:val="正zmx"/>
    <w:link w:val="1918"/>
    <w:semiHidden/>
    <w:qFormat/>
    <w:uiPriority w:val="0"/>
    <w:pPr>
      <w:widowControl w:val="0"/>
      <w:spacing w:line="480" w:lineRule="exact"/>
      <w:ind w:firstLine="560" w:firstLineChars="200"/>
      <w:jc w:val="both"/>
    </w:pPr>
    <w:rPr>
      <w:rFonts w:ascii="仿宋_GB2312" w:hAnsi="Times New Roman" w:eastAsia="仿宋_GB2312" w:cs="Times New Roman"/>
      <w:sz w:val="28"/>
      <w:szCs w:val="28"/>
      <w:lang w:val="en-US" w:eastAsia="zh-CN" w:bidi="ar-SA"/>
    </w:rPr>
  </w:style>
  <w:style w:type="paragraph" w:customStyle="1" w:styleId="1920">
    <w:name w:val="有关文件"/>
    <w:basedOn w:val="1"/>
    <w:qFormat/>
    <w:uiPriority w:val="0"/>
    <w:pPr>
      <w:widowControl/>
      <w:numPr>
        <w:ilvl w:val="0"/>
        <w:numId w:val="33"/>
      </w:numPr>
      <w:tabs>
        <w:tab w:val="left" w:pos="900"/>
      </w:tabs>
      <w:spacing w:beforeLines="50" w:afterLines="50"/>
      <w:ind w:left="480" w:hanging="480" w:hangingChars="200"/>
      <w:jc w:val="left"/>
    </w:pPr>
    <w:rPr>
      <w:kern w:val="0"/>
      <w:szCs w:val="20"/>
    </w:rPr>
  </w:style>
  <w:style w:type="paragraph" w:customStyle="1" w:styleId="1921">
    <w:name w:val="Char Char4 Char Char Char Char Char Char Char Char Char Char Char Char Char Char"/>
    <w:basedOn w:val="1"/>
    <w:qFormat/>
    <w:uiPriority w:val="0"/>
    <w:pPr>
      <w:spacing w:line="360" w:lineRule="auto"/>
      <w:ind w:firstLine="200" w:firstLineChars="200"/>
    </w:pPr>
    <w:rPr>
      <w:rFonts w:ascii="Tahoma" w:hAnsi="Tahoma"/>
      <w:szCs w:val="20"/>
    </w:rPr>
  </w:style>
  <w:style w:type="paragraph" w:customStyle="1" w:styleId="1922">
    <w:name w:val="1级"/>
    <w:qFormat/>
    <w:uiPriority w:val="0"/>
    <w:pPr>
      <w:tabs>
        <w:tab w:val="left" w:pos="1077"/>
      </w:tabs>
      <w:spacing w:before="240" w:after="120"/>
      <w:ind w:left="1077" w:hanging="1077"/>
      <w:jc w:val="both"/>
      <w:outlineLvl w:val="0"/>
    </w:pPr>
    <w:rPr>
      <w:rFonts w:ascii="Arial" w:hAnsi="Arial" w:eastAsia="宋体" w:cs="Arial"/>
      <w:b/>
      <w:caps/>
      <w:sz w:val="22"/>
      <w:lang w:val="en-US" w:eastAsia="zh-CN" w:bidi="ar-SA"/>
    </w:rPr>
  </w:style>
  <w:style w:type="paragraph" w:customStyle="1" w:styleId="1923">
    <w:name w:val="规划"/>
    <w:basedOn w:val="1"/>
    <w:qFormat/>
    <w:uiPriority w:val="0"/>
    <w:pPr>
      <w:widowControl/>
      <w:tabs>
        <w:tab w:val="left" w:pos="1560"/>
      </w:tabs>
      <w:spacing w:beforeLines="50" w:afterLines="50"/>
      <w:ind w:left="1560" w:hanging="720"/>
      <w:jc w:val="left"/>
    </w:pPr>
    <w:rPr>
      <w:kern w:val="0"/>
      <w:szCs w:val="20"/>
    </w:rPr>
  </w:style>
  <w:style w:type="character" w:customStyle="1" w:styleId="1924">
    <w:name w:val="正文文本 (2)_"/>
    <w:link w:val="1925"/>
    <w:qFormat/>
    <w:locked/>
    <w:uiPriority w:val="0"/>
    <w:rPr>
      <w:rFonts w:ascii="MingLiU" w:hAnsi="MingLiU" w:eastAsia="MingLiU" w:cs="MingLiU"/>
      <w:sz w:val="22"/>
      <w:szCs w:val="22"/>
      <w:shd w:val="clear" w:color="auto" w:fill="FFFFFF"/>
      <w:lang w:eastAsia="en-US" w:bidi="en-US"/>
    </w:rPr>
  </w:style>
  <w:style w:type="paragraph" w:customStyle="1" w:styleId="1925">
    <w:name w:val="正文文本 (2)"/>
    <w:basedOn w:val="1"/>
    <w:link w:val="1924"/>
    <w:qFormat/>
    <w:uiPriority w:val="0"/>
    <w:pPr>
      <w:shd w:val="clear" w:color="auto" w:fill="FFFFFF"/>
      <w:spacing w:after="240" w:line="0" w:lineRule="atLeast"/>
      <w:jc w:val="center"/>
    </w:pPr>
    <w:rPr>
      <w:rFonts w:ascii="MingLiU" w:hAnsi="MingLiU" w:eastAsia="MingLiU" w:cs="MingLiU"/>
      <w:kern w:val="0"/>
      <w:sz w:val="22"/>
      <w:szCs w:val="22"/>
      <w:lang w:eastAsia="en-US" w:bidi="en-US"/>
    </w:rPr>
  </w:style>
  <w:style w:type="character" w:customStyle="1" w:styleId="1926">
    <w:name w:val="3级1） Char"/>
    <w:link w:val="1927"/>
    <w:qFormat/>
    <w:locked/>
    <w:uiPriority w:val="0"/>
    <w:rPr>
      <w:rFonts w:ascii="宋体" w:hAnsi="Arial" w:eastAsia="黑体" w:cs="宋体"/>
      <w:color w:val="000000"/>
      <w:spacing w:val="6"/>
      <w:kern w:val="2"/>
      <w:sz w:val="24"/>
      <w:szCs w:val="24"/>
    </w:rPr>
  </w:style>
  <w:style w:type="paragraph" w:customStyle="1" w:styleId="1927">
    <w:name w:val="3级1）"/>
    <w:basedOn w:val="1"/>
    <w:link w:val="1926"/>
    <w:qFormat/>
    <w:uiPriority w:val="0"/>
    <w:pPr>
      <w:adjustRightInd w:val="0"/>
      <w:snapToGrid w:val="0"/>
      <w:spacing w:line="360" w:lineRule="auto"/>
      <w:ind w:left="693" w:leftChars="150" w:hanging="378" w:hangingChars="150"/>
      <w:jc w:val="left"/>
    </w:pPr>
    <w:rPr>
      <w:rFonts w:ascii="宋体" w:hAnsi="Arial" w:eastAsia="黑体" w:cs="宋体"/>
      <w:color w:val="000000"/>
      <w:spacing w:val="6"/>
    </w:rPr>
  </w:style>
  <w:style w:type="paragraph" w:customStyle="1" w:styleId="1928">
    <w:name w:val="表中文字"/>
    <w:basedOn w:val="1"/>
    <w:link w:val="3462"/>
    <w:qFormat/>
    <w:uiPriority w:val="0"/>
    <w:pPr>
      <w:snapToGrid w:val="0"/>
      <w:jc w:val="center"/>
    </w:pPr>
    <w:rPr>
      <w:kern w:val="0"/>
      <w:sz w:val="21"/>
      <w:szCs w:val="21"/>
      <w:lang w:eastAsia="zh-TW"/>
    </w:rPr>
  </w:style>
  <w:style w:type="character" w:customStyle="1" w:styleId="1929">
    <w:name w:val="明显强调3"/>
    <w:qFormat/>
    <w:uiPriority w:val="21"/>
    <w:rPr>
      <w:i/>
      <w:iCs/>
      <w:caps/>
      <w:spacing w:val="10"/>
      <w:sz w:val="20"/>
      <w:szCs w:val="20"/>
    </w:rPr>
  </w:style>
  <w:style w:type="character" w:customStyle="1" w:styleId="1930">
    <w:name w:val="明显参考1"/>
    <w:qFormat/>
    <w:uiPriority w:val="0"/>
    <w:rPr>
      <w:rFonts w:hint="default" w:ascii="Calibri" w:hAnsi="Calibri" w:eastAsia="宋体" w:cs="Times New Roman"/>
      <w:b/>
      <w:bCs/>
      <w:i/>
      <w:iCs/>
      <w:color w:val="622423"/>
    </w:rPr>
  </w:style>
  <w:style w:type="character" w:customStyle="1" w:styleId="1931">
    <w:name w:val="书籍标题1"/>
    <w:qFormat/>
    <w:uiPriority w:val="0"/>
    <w:rPr>
      <w:caps/>
      <w:color w:val="622423"/>
      <w:spacing w:val="5"/>
      <w:u w:color="622423"/>
    </w:rPr>
  </w:style>
  <w:style w:type="character" w:customStyle="1" w:styleId="1932">
    <w:name w:val="font51"/>
    <w:qFormat/>
    <w:uiPriority w:val="0"/>
    <w:rPr>
      <w:rFonts w:hint="eastAsia" w:ascii="宋体" w:hAnsi="宋体" w:eastAsia="宋体" w:cs="宋体"/>
      <w:color w:val="auto"/>
      <w:sz w:val="18"/>
      <w:szCs w:val="18"/>
      <w:u w:val="none"/>
    </w:rPr>
  </w:style>
  <w:style w:type="character" w:customStyle="1" w:styleId="1933">
    <w:name w:val="不明显强调11"/>
    <w:qFormat/>
    <w:uiPriority w:val="19"/>
    <w:rPr>
      <w:i/>
      <w:iCs/>
      <w:color w:val="808080"/>
    </w:rPr>
  </w:style>
  <w:style w:type="character" w:customStyle="1" w:styleId="1934">
    <w:name w:val="identication Char1"/>
    <w:qFormat/>
    <w:uiPriority w:val="0"/>
    <w:rPr>
      <w:rFonts w:hint="eastAsia" w:ascii="宋体" w:hAnsi="宋体" w:eastAsia="宋体"/>
    </w:rPr>
  </w:style>
  <w:style w:type="character" w:customStyle="1" w:styleId="1935">
    <w:name w:val="font31"/>
    <w:qFormat/>
    <w:uiPriority w:val="0"/>
    <w:rPr>
      <w:color w:val="000000"/>
      <w:sz w:val="20"/>
      <w:szCs w:val="20"/>
      <w:u w:val="none"/>
      <w:vertAlign w:val="superscript"/>
    </w:rPr>
  </w:style>
  <w:style w:type="character" w:customStyle="1" w:styleId="1936">
    <w:name w:val="日期 Char1"/>
    <w:qFormat/>
    <w:uiPriority w:val="0"/>
    <w:rPr>
      <w:rFonts w:hint="eastAsia" w:ascii="宋体" w:hAnsi="宋体" w:eastAsia="宋体" w:cs="宋体"/>
      <w:color w:val="000000"/>
      <w:kern w:val="2"/>
      <w:sz w:val="24"/>
      <w:szCs w:val="24"/>
      <w:lang w:val="en-US" w:eastAsia="zh-CN" w:bidi="ar-SA"/>
    </w:rPr>
  </w:style>
  <w:style w:type="character" w:customStyle="1" w:styleId="1937">
    <w:name w:val="批注文字 字符2"/>
    <w:qFormat/>
    <w:uiPriority w:val="0"/>
    <w:rPr>
      <w:rFonts w:hint="default" w:ascii="Times New Roman" w:hAnsi="Times New Roman" w:cs="Times New Roman"/>
      <w:kern w:val="2"/>
      <w:sz w:val="21"/>
      <w:szCs w:val="21"/>
    </w:rPr>
  </w:style>
  <w:style w:type="character" w:customStyle="1" w:styleId="1938">
    <w:name w:val="正文1 Char"/>
    <w:qFormat/>
    <w:uiPriority w:val="0"/>
    <w:rPr>
      <w:rFonts w:hint="default" w:ascii="Times New Roman" w:hAnsi="Times New Roman" w:cs="Times New Roman"/>
      <w:kern w:val="2"/>
      <w:sz w:val="24"/>
      <w:szCs w:val="24"/>
    </w:rPr>
  </w:style>
  <w:style w:type="character" w:customStyle="1" w:styleId="1939">
    <w:name w:val="r_16"/>
    <w:qFormat/>
    <w:uiPriority w:val="0"/>
    <w:rPr>
      <w:rFonts w:eastAsia="黑体" w:cs="宋体"/>
      <w:color w:val="000000"/>
      <w:kern w:val="2"/>
      <w:sz w:val="32"/>
      <w:szCs w:val="32"/>
      <w:lang w:val="en-US" w:eastAsia="zh-CN" w:bidi="ar-SA"/>
    </w:rPr>
  </w:style>
  <w:style w:type="character" w:customStyle="1" w:styleId="1940">
    <w:name w:val="题注 Char1"/>
    <w:qFormat/>
    <w:uiPriority w:val="0"/>
    <w:rPr>
      <w:bCs/>
      <w:color w:val="000000"/>
      <w:kern w:val="0"/>
      <w:sz w:val="22"/>
      <w:szCs w:val="18"/>
    </w:rPr>
  </w:style>
  <w:style w:type="character" w:customStyle="1" w:styleId="1941">
    <w:name w:val="content151"/>
    <w:qFormat/>
    <w:uiPriority w:val="0"/>
    <w:rPr>
      <w:sz w:val="18"/>
      <w:szCs w:val="18"/>
      <w:u w:val="none"/>
    </w:rPr>
  </w:style>
  <w:style w:type="character" w:customStyle="1" w:styleId="1942">
    <w:name w:val="落款 Char Char"/>
    <w:qFormat/>
    <w:uiPriority w:val="0"/>
    <w:rPr>
      <w:rFonts w:hint="eastAsia" w:ascii="宋体" w:hAnsi="宋体" w:eastAsia="宋体"/>
      <w:kern w:val="2"/>
      <w:sz w:val="21"/>
      <w:szCs w:val="24"/>
      <w:lang w:val="en-US" w:eastAsia="zh-CN" w:bidi="ar-SA"/>
    </w:rPr>
  </w:style>
  <w:style w:type="character" w:customStyle="1" w:styleId="1943">
    <w:name w:val="Char Char9"/>
    <w:qFormat/>
    <w:uiPriority w:val="0"/>
    <w:rPr>
      <w:rFonts w:hint="eastAsia" w:ascii="宋体" w:hAnsi="宋体" w:eastAsia="宋体"/>
      <w:kern w:val="2"/>
      <w:sz w:val="18"/>
      <w:szCs w:val="18"/>
      <w:lang w:val="en-US" w:eastAsia="zh-CN" w:bidi="ar-SA"/>
    </w:rPr>
  </w:style>
  <w:style w:type="character" w:customStyle="1" w:styleId="1944">
    <w:name w:val="highlight1"/>
    <w:qFormat/>
    <w:uiPriority w:val="0"/>
    <w:rPr>
      <w:sz w:val="42"/>
      <w:szCs w:val="42"/>
    </w:rPr>
  </w:style>
  <w:style w:type="character" w:customStyle="1" w:styleId="1945">
    <w:name w:val="引用文章 Char"/>
    <w:qFormat/>
    <w:uiPriority w:val="0"/>
    <w:rPr>
      <w:rFonts w:hint="eastAsia" w:ascii="楷体_GB2312" w:eastAsia="楷体_GB2312" w:cs="宋体"/>
      <w:kern w:val="2"/>
      <w:sz w:val="24"/>
      <w:lang w:val="en-US" w:eastAsia="zh-CN" w:bidi="ar-SA"/>
    </w:rPr>
  </w:style>
  <w:style w:type="character" w:customStyle="1" w:styleId="1946">
    <w:name w:val="正文文字缩进 2 Char Char"/>
    <w:qFormat/>
    <w:uiPriority w:val="0"/>
    <w:rPr>
      <w:rFonts w:hint="eastAsia" w:ascii="宋体" w:hAnsi="宋体" w:eastAsia="宋体"/>
      <w:kern w:val="2"/>
      <w:sz w:val="24"/>
      <w:lang w:val="en-US" w:eastAsia="zh-CN" w:bidi="ar-SA"/>
    </w:rPr>
  </w:style>
  <w:style w:type="character" w:customStyle="1" w:styleId="1947">
    <w:name w:val="black1"/>
    <w:qFormat/>
    <w:uiPriority w:val="0"/>
    <w:rPr>
      <w:b/>
      <w:bCs/>
      <w:color w:val="333333"/>
      <w:sz w:val="19"/>
      <w:szCs w:val="19"/>
    </w:rPr>
  </w:style>
  <w:style w:type="character" w:customStyle="1" w:styleId="1948">
    <w:name w:val="正文文字缩进 21 Char Char"/>
    <w:qFormat/>
    <w:uiPriority w:val="0"/>
    <w:rPr>
      <w:rFonts w:hint="eastAsia" w:ascii="宋体" w:hAnsi="宋体" w:eastAsia="宋体"/>
      <w:kern w:val="2"/>
      <w:sz w:val="21"/>
      <w:szCs w:val="24"/>
      <w:lang w:val="en-US" w:eastAsia="zh-CN" w:bidi="ar-SA"/>
    </w:rPr>
  </w:style>
  <w:style w:type="character" w:customStyle="1" w:styleId="1949">
    <w:name w:val="kait"/>
    <w:qFormat/>
    <w:uiPriority w:val="0"/>
    <w:rPr>
      <w:rFonts w:eastAsia="黑体" w:cs="宋体"/>
      <w:color w:val="000000"/>
      <w:kern w:val="2"/>
      <w:sz w:val="32"/>
      <w:szCs w:val="32"/>
      <w:lang w:val="en-US" w:eastAsia="zh-CN" w:bidi="ar-SA"/>
    </w:rPr>
  </w:style>
  <w:style w:type="character" w:customStyle="1" w:styleId="1950">
    <w:name w:val="font121"/>
    <w:qFormat/>
    <w:uiPriority w:val="0"/>
    <w:rPr>
      <w:sz w:val="18"/>
      <w:szCs w:val="18"/>
      <w:u w:val="none"/>
    </w:rPr>
  </w:style>
  <w:style w:type="character" w:customStyle="1" w:styleId="1951">
    <w:name w:val="Heading 2 Char1 Char"/>
    <w:qFormat/>
    <w:uiPriority w:val="0"/>
    <w:rPr>
      <w:rFonts w:hint="default" w:ascii="Arial" w:hAnsi="Arial" w:eastAsia="黑体" w:cs="Arial"/>
      <w:b/>
      <w:bCs/>
      <w:kern w:val="2"/>
      <w:sz w:val="32"/>
      <w:szCs w:val="32"/>
      <w:lang w:val="en-US" w:eastAsia="zh-CN" w:bidi="ar-SA"/>
    </w:rPr>
  </w:style>
  <w:style w:type="character" w:customStyle="1" w:styleId="1952">
    <w:name w:val="标题 3 Char2 Char Char"/>
    <w:qFormat/>
    <w:uiPriority w:val="0"/>
    <w:rPr>
      <w:rFonts w:hint="eastAsia" w:ascii="仿宋_GB2312" w:eastAsia="仿宋_GB2312"/>
      <w:b/>
      <w:spacing w:val="6"/>
      <w:kern w:val="2"/>
      <w:sz w:val="28"/>
      <w:lang w:val="en-US" w:eastAsia="zh-CN" w:bidi="ar-SA"/>
    </w:rPr>
  </w:style>
  <w:style w:type="character" w:customStyle="1" w:styleId="1953">
    <w:name w:val="批注文字 Char1"/>
    <w:qFormat/>
    <w:uiPriority w:val="99"/>
    <w:rPr>
      <w:rFonts w:eastAsia="黑体" w:cs="宋体"/>
      <w:color w:val="000000"/>
      <w:kern w:val="2"/>
      <w:sz w:val="32"/>
      <w:szCs w:val="32"/>
      <w:lang w:val="en-US" w:eastAsia="zh-CN" w:bidi="ar-SA"/>
    </w:rPr>
  </w:style>
  <w:style w:type="character" w:customStyle="1" w:styleId="1954">
    <w:name w:val="明显引用 Char1"/>
    <w:qFormat/>
    <w:uiPriority w:val="0"/>
    <w:rPr>
      <w:b/>
      <w:bCs/>
      <w:i/>
      <w:iCs/>
      <w:color w:val="4F81BD"/>
    </w:rPr>
  </w:style>
  <w:style w:type="character" w:customStyle="1" w:styleId="1955">
    <w:name w:val="Char Char18"/>
    <w:qFormat/>
    <w:uiPriority w:val="0"/>
    <w:rPr>
      <w:sz w:val="18"/>
      <w:szCs w:val="18"/>
    </w:rPr>
  </w:style>
  <w:style w:type="character" w:customStyle="1" w:styleId="1956">
    <w:name w:val="Char Char91"/>
    <w:qFormat/>
    <w:uiPriority w:val="0"/>
    <w:rPr>
      <w:rFonts w:hint="eastAsia" w:ascii="宋体" w:hAnsi="宋体" w:eastAsia="宋体"/>
      <w:kern w:val="2"/>
      <w:sz w:val="18"/>
      <w:szCs w:val="18"/>
      <w:lang w:val="en-US" w:eastAsia="zh-CN" w:bidi="ar-SA"/>
    </w:rPr>
  </w:style>
  <w:style w:type="character" w:customStyle="1" w:styleId="1957">
    <w:name w:val="Char Char151"/>
    <w:qFormat/>
    <w:uiPriority w:val="0"/>
    <w:rPr>
      <w:rFonts w:hint="default" w:ascii="Calibri" w:hAnsi="Calibri" w:eastAsia="宋体" w:cs="Calibri"/>
      <w:b/>
      <w:bCs/>
      <w:sz w:val="28"/>
      <w:szCs w:val="28"/>
      <w:lang w:val="en-US" w:eastAsia="en-US" w:bidi="en-US"/>
    </w:rPr>
  </w:style>
  <w:style w:type="character" w:customStyle="1" w:styleId="1958">
    <w:name w:val="Char Char Char Char111"/>
    <w:qFormat/>
    <w:uiPriority w:val="0"/>
    <w:rPr>
      <w:rFonts w:hint="eastAsia" w:ascii="宋体" w:hAnsi="宋体" w:eastAsia="宋体"/>
      <w:kern w:val="2"/>
      <w:sz w:val="18"/>
      <w:szCs w:val="18"/>
      <w:lang w:val="en-US" w:eastAsia="zh-CN" w:bidi="ar-SA"/>
    </w:rPr>
  </w:style>
  <w:style w:type="character" w:customStyle="1" w:styleId="1959">
    <w:name w:val="表头 Char Char"/>
    <w:qFormat/>
    <w:uiPriority w:val="0"/>
    <w:rPr>
      <w:rFonts w:hint="eastAsia" w:ascii="仿宋_GB2312" w:eastAsia="仿宋_GB2312"/>
      <w:b/>
      <w:kern w:val="2"/>
      <w:sz w:val="24"/>
      <w:szCs w:val="24"/>
    </w:rPr>
  </w:style>
  <w:style w:type="character" w:customStyle="1" w:styleId="1960">
    <w:name w:val="批注框文本 Char1"/>
    <w:qFormat/>
    <w:uiPriority w:val="0"/>
    <w:rPr>
      <w:rFonts w:hint="eastAsia" w:ascii="宋体" w:hAnsi="宋体" w:eastAsia="宋体" w:cs="宋体"/>
      <w:kern w:val="2"/>
      <w:sz w:val="18"/>
      <w:szCs w:val="18"/>
      <w:lang w:val="en-US" w:eastAsia="zh-CN" w:bidi="ar-SA"/>
    </w:rPr>
  </w:style>
  <w:style w:type="character" w:customStyle="1" w:styleId="1961">
    <w:name w:val="subtable altbg2 t_msg"/>
    <w:qFormat/>
    <w:uiPriority w:val="0"/>
    <w:rPr>
      <w:rFonts w:hint="eastAsia" w:ascii="宋体" w:hAnsi="宋体" w:eastAsia="宋体" w:cs="宋体"/>
      <w:kern w:val="2"/>
      <w:sz w:val="24"/>
      <w:szCs w:val="24"/>
      <w:lang w:val="en-US" w:eastAsia="zh-CN" w:bidi="ar-SA"/>
    </w:rPr>
  </w:style>
  <w:style w:type="character" w:customStyle="1" w:styleId="1962">
    <w:name w:val="标题1 Char"/>
    <w:qFormat/>
    <w:uiPriority w:val="0"/>
    <w:rPr>
      <w:rFonts w:hint="eastAsia" w:ascii="黑体" w:hAnsi="宋体" w:eastAsia="黑体" w:cs="Times New Roman"/>
      <w:bCs/>
      <w:color w:val="000000"/>
      <w:kern w:val="44"/>
      <w:sz w:val="32"/>
      <w:szCs w:val="32"/>
    </w:rPr>
  </w:style>
  <w:style w:type="character" w:customStyle="1" w:styleId="1963">
    <w:name w:val="3级标题 Char Char"/>
    <w:qFormat/>
    <w:uiPriority w:val="0"/>
    <w:rPr>
      <w:rFonts w:hint="eastAsia" w:ascii="宋体" w:hAnsi="宋体" w:eastAsia="宋体"/>
      <w:b/>
      <w:bCs/>
      <w:kern w:val="2"/>
      <w:sz w:val="24"/>
      <w:szCs w:val="24"/>
      <w:lang w:val="en-US" w:eastAsia="zh-CN" w:bidi="ar-SA"/>
    </w:rPr>
  </w:style>
  <w:style w:type="character" w:customStyle="1" w:styleId="1964">
    <w:name w:val="正文文本缩进 2 Char1"/>
    <w:qFormat/>
    <w:uiPriority w:val="0"/>
    <w:rPr>
      <w:rFonts w:hint="eastAsia" w:ascii="宋体" w:hAnsi="宋体" w:eastAsia="宋体"/>
      <w:kern w:val="2"/>
      <w:sz w:val="21"/>
      <w:szCs w:val="24"/>
      <w:lang w:val="en-US" w:eastAsia="zh-CN" w:bidi="ar-SA"/>
    </w:rPr>
  </w:style>
  <w:style w:type="character" w:customStyle="1" w:styleId="1965">
    <w:name w:val="表名 Char Char"/>
    <w:qFormat/>
    <w:uiPriority w:val="0"/>
    <w:rPr>
      <w:rFonts w:hint="default" w:ascii="Arial" w:hAnsi="宋体" w:eastAsia="仿宋_GB2312" w:cs="宋体"/>
      <w:snapToGrid w:val="0"/>
      <w:kern w:val="24"/>
      <w:sz w:val="28"/>
      <w:szCs w:val="21"/>
      <w:lang w:val="en-US" w:eastAsia="zh-CN" w:bidi="ar-SA"/>
    </w:rPr>
  </w:style>
  <w:style w:type="character" w:customStyle="1" w:styleId="1966">
    <w:name w:val="1-正文 Char"/>
    <w:link w:val="1967"/>
    <w:qFormat/>
    <w:uiPriority w:val="0"/>
    <w:rPr>
      <w:rFonts w:hint="eastAsia" w:ascii="宋体" w:hAnsi="宋体" w:eastAsia="宋体"/>
      <w:kern w:val="2"/>
      <w:sz w:val="24"/>
      <w:szCs w:val="24"/>
      <w:lang w:val="en-US" w:eastAsia="zh-CN" w:bidi="ar-SA"/>
    </w:rPr>
  </w:style>
  <w:style w:type="paragraph" w:customStyle="1" w:styleId="1967">
    <w:name w:val="1-正文"/>
    <w:basedOn w:val="1"/>
    <w:link w:val="1966"/>
    <w:qFormat/>
    <w:uiPriority w:val="0"/>
    <w:pPr>
      <w:widowControl/>
      <w:spacing w:line="360" w:lineRule="auto"/>
      <w:ind w:firstLine="480" w:firstLineChars="200"/>
      <w:jc w:val="left"/>
    </w:pPr>
    <w:rPr>
      <w:rFonts w:hint="eastAsia" w:ascii="宋体" w:hAnsi="宋体"/>
    </w:rPr>
  </w:style>
  <w:style w:type="table" w:customStyle="1" w:styleId="1968">
    <w:name w:val="三线格1"/>
    <w:basedOn w:val="88"/>
    <w:unhideWhenUsed/>
    <w:qFormat/>
    <w:uiPriority w:val="0"/>
    <w:pPr>
      <w:widowControl w:val="0"/>
      <w:jc w:val="center"/>
    </w:pPr>
    <w:rPr>
      <w:sz w:val="21"/>
    </w:rPr>
    <w:tblPr>
      <w:tblBorders>
        <w:top w:val="single" w:color="auto" w:sz="12" w:space="0"/>
        <w:bottom w:val="single" w:color="auto" w:sz="12" w:space="0"/>
      </w:tblBorders>
      <w:tblLayout w:type="fixed"/>
    </w:tblPr>
    <w:tcPr>
      <w:vAlign w:val="center"/>
    </w:tcPr>
    <w:tblStylePr w:type="firstRow">
      <w:tcPr>
        <w:tcBorders>
          <w:bottom w:val="single" w:color="008000" w:sz="6" w:space="0"/>
          <w:tl2br w:val="nil"/>
          <w:tr2bl w:val="nil"/>
        </w:tcBorders>
      </w:tcPr>
    </w:tblStylePr>
    <w:tblStylePr w:type="lastRow">
      <w:tcPr>
        <w:tcBorders>
          <w:top w:val="single" w:color="008000" w:sz="6" w:space="0"/>
          <w:tl2br w:val="nil"/>
          <w:tr2bl w:val="nil"/>
        </w:tcBorders>
      </w:tcPr>
    </w:tblStylePr>
  </w:style>
  <w:style w:type="table" w:customStyle="1" w:styleId="1969">
    <w:name w:val="典雅型1"/>
    <w:basedOn w:val="88"/>
    <w:unhideWhenUsed/>
    <w:qFormat/>
    <w:uiPriority w:val="0"/>
    <w:pPr>
      <w:widowControl w:val="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Layout w:type="fixed"/>
    </w:tblPr>
    <w:tblStylePr w:type="firstRow">
      <w:rPr>
        <w:caps/>
        <w:color w:val="auto"/>
      </w:rPr>
      <w:tcPr>
        <w:tcBorders>
          <w:tl2br w:val="nil"/>
          <w:tr2bl w:val="nil"/>
        </w:tcBorders>
      </w:tcPr>
    </w:tblStylePr>
  </w:style>
  <w:style w:type="table" w:customStyle="1" w:styleId="1970">
    <w:name w:val="表格类型1"/>
    <w:basedOn w:val="88"/>
    <w:qFormat/>
    <w:uiPriority w:val="0"/>
    <w:rPr>
      <w:rFonts w:ascii="Calibri" w:hAnsi="Calibri"/>
      <w:kern w:val="2"/>
      <w:sz w:val="21"/>
      <w:szCs w:val="2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Pr>
  </w:style>
  <w:style w:type="table" w:customStyle="1" w:styleId="1971">
    <w:name w:val="海域表格"/>
    <w:basedOn w:val="88"/>
    <w:qFormat/>
    <w:uiPriority w:val="99"/>
    <w:pPr>
      <w:adjustRightInd w:val="0"/>
      <w:snapToGrid w:val="0"/>
      <w:spacing w:after="200" w:line="276" w:lineRule="auto"/>
      <w:jc w:val="both"/>
    </w:pPr>
    <w:rPr>
      <w:color w:val="000000"/>
      <w:sz w:val="22"/>
    </w:rPr>
    <w:tblPr>
      <w:tblBorders>
        <w:top w:val="single" w:color="000000" w:sz="12" w:space="0"/>
        <w:bottom w:val="single" w:color="000000" w:sz="12" w:space="0"/>
        <w:insideH w:val="single" w:color="000000" w:sz="2" w:space="0"/>
        <w:insideV w:val="single" w:color="000000" w:sz="2" w:space="0"/>
      </w:tblBorders>
      <w:tblLayout w:type="fixed"/>
    </w:tblPr>
    <w:tcPr>
      <w:vAlign w:val="center"/>
    </w:tcPr>
  </w:style>
  <w:style w:type="table" w:customStyle="1" w:styleId="1972">
    <w:name w:val="毛的表格1"/>
    <w:basedOn w:val="88"/>
    <w:semiHidden/>
    <w:qFormat/>
    <w:uiPriority w:val="0"/>
    <w:pPr>
      <w:tabs>
        <w:tab w:val="center" w:pos="210"/>
      </w:tabs>
      <w:jc w:val="center"/>
    </w:pPr>
    <w:tblP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Pr>
    <w:tcPr>
      <w:vAlign w:val="center"/>
    </w:tcPr>
  </w:style>
  <w:style w:type="table" w:customStyle="1" w:styleId="1973">
    <w:name w:val="浅色底纹 - 强调文字颜色 11"/>
    <w:basedOn w:val="88"/>
    <w:qFormat/>
    <w:uiPriority w:val="60"/>
    <w:rPr>
      <w:rFonts w:ascii="Calibri" w:hAnsi="Calibri"/>
      <w:color w:val="365F91"/>
      <w:sz w:val="22"/>
    </w:rPr>
    <w:tblPr>
      <w:tblBorders>
        <w:top w:val="single" w:color="4F81BD" w:sz="8" w:space="0"/>
        <w:bottom w:val="single" w:color="4F81BD" w:sz="8" w:space="0"/>
      </w:tblBorders>
      <w:tblLayout w:type="fixed"/>
    </w:tblPr>
    <w:tblStylePr w:type="firstRow">
      <w:pPr>
        <w:spacing w:before="0" w:beforeLines="0" w:beforeAutospacing="0" w:after="0" w:afterLines="0" w:afterAutospacing="0" w:line="240" w:lineRule="auto"/>
      </w:pPr>
      <w:rPr>
        <w:b/>
        <w:bCs/>
      </w:rPr>
      <w:tcPr>
        <w:tcBorders>
          <w:top w:val="single" w:color="4F81BD" w:sz="8" w:space="0"/>
          <w:left w:val="nil"/>
          <w:bottom w:val="single" w:color="4F81BD" w:sz="8" w:space="0"/>
          <w:right w:val="nil"/>
          <w:insideH w:val="nil"/>
          <w:insideV w:val="nil"/>
        </w:tcBorders>
      </w:tcPr>
    </w:tblStylePr>
    <w:tblStylePr w:type="lastRow">
      <w:pPr>
        <w:spacing w:before="0" w:beforeLines="0" w:beforeAutospacing="0" w:after="0" w:afterLines="0" w:afterAutospacing="0" w:line="240" w:lineRule="auto"/>
      </w:pPr>
      <w:rPr>
        <w:b/>
        <w:bCs/>
      </w:rPr>
      <w:tcPr>
        <w:tcBorders>
          <w:top w:val="single" w:color="4F81BD" w:sz="8" w:space="0"/>
          <w:left w:val="nil"/>
          <w:bottom w:val="single" w:color="4F81BD" w:sz="8" w:space="0"/>
          <w:right w:val="nil"/>
          <w:insideH w:val="nil"/>
          <w:insideV w:val="nil"/>
        </w:tcBorders>
      </w:tcPr>
    </w:tblStylePr>
    <w:tblStylePr w:type="firstCol">
      <w:rPr>
        <w:b/>
        <w:bCs/>
      </w:rPr>
    </w:tblStylePr>
    <w:tblStylePr w:type="lastCol">
      <w:rPr>
        <w:b/>
        <w:bCs/>
      </w:rPr>
    </w:tblStylePr>
    <w:tblStylePr w:type="band1Vert">
      <w:tcPr>
        <w:tcBorders>
          <w:left w:val="nil"/>
          <w:right w:val="nil"/>
          <w:insideH w:val="nil"/>
          <w:insideV w:val="nil"/>
        </w:tcBorders>
        <w:shd w:val="clear" w:color="auto" w:fill="D3DFEE"/>
      </w:tcPr>
    </w:tblStylePr>
    <w:tblStylePr w:type="band1Horz">
      <w:tcPr>
        <w:tcBorders>
          <w:left w:val="nil"/>
          <w:right w:val="nil"/>
          <w:insideH w:val="nil"/>
          <w:insideV w:val="nil"/>
        </w:tcBorders>
        <w:shd w:val="clear" w:color="auto" w:fill="D3DFEE"/>
      </w:tcPr>
    </w:tblStylePr>
  </w:style>
  <w:style w:type="table" w:customStyle="1" w:styleId="1974">
    <w:name w:val="典雅型21"/>
    <w:basedOn w:val="88"/>
    <w:qFormat/>
    <w:uiPriority w:val="0"/>
    <w:pPr>
      <w:widowControl w:val="0"/>
      <w:jc w:val="center"/>
    </w:pPr>
    <w:tblPr>
      <w:tblBorders>
        <w:top w:val="single" w:color="000000" w:sz="12" w:space="0"/>
        <w:bottom w:val="single" w:color="000000" w:sz="12" w:space="0"/>
        <w:insideH w:val="single" w:color="000000" w:sz="6" w:space="0"/>
        <w:insideV w:val="single" w:color="000000" w:sz="6" w:space="0"/>
      </w:tblBorders>
      <w:tblLayout w:type="fixed"/>
    </w:tblPr>
    <w:tcPr>
      <w:vAlign w:val="center"/>
    </w:tcPr>
    <w:tblStylePr w:type="firstRow">
      <w:rPr>
        <w:caps/>
        <w:color w:val="auto"/>
      </w:rPr>
      <w:tcPr>
        <w:tcBorders>
          <w:tl2br w:val="nil"/>
          <w:tr2bl w:val="nil"/>
        </w:tcBorders>
      </w:tcPr>
    </w:tblStylePr>
  </w:style>
  <w:style w:type="table" w:customStyle="1" w:styleId="1975">
    <w:name w:val="表格主题10"/>
    <w:basedOn w:val="88"/>
    <w:qFormat/>
    <w:uiPriority w:val="0"/>
    <w:pPr>
      <w:widowControl w:val="0"/>
      <w:jc w:val="center"/>
    </w:pPr>
    <w:rPr>
      <w:sz w:val="21"/>
      <w:szCs w:val="21"/>
    </w:rPr>
    <w:tblPr>
      <w:tblBorders>
        <w:top w:val="single" w:color="auto" w:sz="12" w:space="0"/>
        <w:bottom w:val="single" w:color="auto" w:sz="12" w:space="0"/>
        <w:insideH w:val="single" w:color="auto" w:sz="6" w:space="0"/>
        <w:insideV w:val="single" w:color="auto" w:sz="6" w:space="0"/>
      </w:tblBorders>
      <w:tblLayout w:type="fixed"/>
    </w:tblPr>
    <w:tcPr>
      <w:vAlign w:val="center"/>
    </w:tcPr>
  </w:style>
  <w:style w:type="table" w:customStyle="1" w:styleId="1976">
    <w:name w:val="TableGrid"/>
    <w:qFormat/>
    <w:uiPriority w:val="0"/>
    <w:rPr>
      <w:rFonts w:ascii="Calibri" w:hAnsi="Calibri"/>
      <w:kern w:val="2"/>
      <w:sz w:val="21"/>
      <w:szCs w:val="22"/>
    </w:rPr>
    <w:tblPr>
      <w:tblLayout w:type="fixed"/>
      <w:tblCellMar>
        <w:top w:w="0" w:type="dxa"/>
        <w:left w:w="0" w:type="dxa"/>
        <w:bottom w:w="0" w:type="dxa"/>
        <w:right w:w="0" w:type="dxa"/>
      </w:tblCellMar>
    </w:tblPr>
  </w:style>
  <w:style w:type="paragraph" w:customStyle="1" w:styleId="1977">
    <w:name w:val="表头6"/>
    <w:basedOn w:val="1765"/>
    <w:qFormat/>
    <w:uiPriority w:val="0"/>
    <w:pPr>
      <w:tabs>
        <w:tab w:val="left" w:pos="843"/>
        <w:tab w:val="left" w:pos="1774"/>
        <w:tab w:val="clear" w:pos="625"/>
      </w:tabs>
      <w:ind w:left="992" w:leftChars="0" w:hanging="363"/>
    </w:pPr>
  </w:style>
  <w:style w:type="paragraph" w:customStyle="1" w:styleId="1978">
    <w:name w:val="表头8"/>
    <w:basedOn w:val="1977"/>
    <w:qFormat/>
    <w:uiPriority w:val="0"/>
    <w:pPr>
      <w:tabs>
        <w:tab w:val="left" w:pos="903"/>
        <w:tab w:val="left" w:pos="1728"/>
        <w:tab w:val="clear" w:pos="843"/>
        <w:tab w:val="clear" w:pos="1774"/>
      </w:tabs>
      <w:ind w:left="845"/>
    </w:pPr>
  </w:style>
  <w:style w:type="paragraph" w:customStyle="1" w:styleId="1979">
    <w:name w:val="附录一级条标题"/>
    <w:basedOn w:val="1800"/>
    <w:next w:val="1"/>
    <w:qFormat/>
    <w:uiPriority w:val="0"/>
    <w:pPr>
      <w:tabs>
        <w:tab w:val="left" w:pos="1260"/>
        <w:tab w:val="clear" w:pos="840"/>
      </w:tabs>
      <w:autoSpaceDN w:val="0"/>
      <w:spacing w:beforeLines="0"/>
      <w:ind w:left="1260"/>
      <w:outlineLvl w:val="2"/>
    </w:pPr>
  </w:style>
  <w:style w:type="paragraph" w:customStyle="1" w:styleId="1980">
    <w:name w:val="附录二级条标题"/>
    <w:basedOn w:val="1979"/>
    <w:next w:val="1"/>
    <w:qFormat/>
    <w:uiPriority w:val="0"/>
    <w:pPr>
      <w:tabs>
        <w:tab w:val="left" w:pos="1680"/>
        <w:tab w:val="clear" w:pos="1260"/>
      </w:tabs>
      <w:ind w:left="1680"/>
      <w:outlineLvl w:val="3"/>
    </w:pPr>
  </w:style>
  <w:style w:type="paragraph" w:customStyle="1" w:styleId="1981">
    <w:name w:val="附录三级条标题"/>
    <w:basedOn w:val="1980"/>
    <w:next w:val="1"/>
    <w:qFormat/>
    <w:uiPriority w:val="0"/>
    <w:pPr>
      <w:tabs>
        <w:tab w:val="left" w:pos="2100"/>
        <w:tab w:val="clear" w:pos="1680"/>
      </w:tabs>
      <w:ind w:left="2100"/>
      <w:outlineLvl w:val="4"/>
    </w:pPr>
  </w:style>
  <w:style w:type="paragraph" w:customStyle="1" w:styleId="1982">
    <w:name w:val="附录四级条标题"/>
    <w:basedOn w:val="1981"/>
    <w:next w:val="1"/>
    <w:qFormat/>
    <w:uiPriority w:val="0"/>
    <w:pPr>
      <w:tabs>
        <w:tab w:val="left" w:pos="2520"/>
        <w:tab w:val="clear" w:pos="2100"/>
      </w:tabs>
      <w:ind w:left="2520"/>
      <w:outlineLvl w:val="5"/>
    </w:pPr>
  </w:style>
  <w:style w:type="paragraph" w:customStyle="1" w:styleId="1983">
    <w:name w:val="附录五级条标题"/>
    <w:basedOn w:val="1982"/>
    <w:next w:val="1"/>
    <w:qFormat/>
    <w:uiPriority w:val="0"/>
  </w:style>
  <w:style w:type="paragraph" w:customStyle="1" w:styleId="1984">
    <w:name w:val="表头居左"/>
    <w:basedOn w:val="1775"/>
    <w:qFormat/>
    <w:uiPriority w:val="0"/>
    <w:pPr>
      <w:spacing w:beforeLines="0" w:line="260" w:lineRule="exact"/>
      <w:ind w:firstLine="254"/>
      <w:jc w:val="both"/>
    </w:pPr>
  </w:style>
  <w:style w:type="table" w:customStyle="1" w:styleId="1985">
    <w:name w:val="网格型-ld1"/>
    <w:basedOn w:val="88"/>
    <w:qFormat/>
    <w:uiPriority w:val="5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Pr>
  </w:style>
  <w:style w:type="table" w:customStyle="1" w:styleId="1986">
    <w:name w:val="网格型-ld2"/>
    <w:basedOn w:val="88"/>
    <w:qFormat/>
    <w:uiPriority w:val="5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Pr>
  </w:style>
  <w:style w:type="paragraph" w:customStyle="1" w:styleId="1987">
    <w:name w:val="标1"/>
    <w:basedOn w:val="3"/>
    <w:link w:val="1989"/>
    <w:qFormat/>
    <w:uiPriority w:val="0"/>
    <w:pPr>
      <w:numPr>
        <w:numId w:val="0"/>
      </w:numPr>
      <w:ind w:left="432" w:hanging="432"/>
    </w:pPr>
    <w:rPr>
      <w:color w:val="000000"/>
      <w:sz w:val="32"/>
      <w:szCs w:val="32"/>
    </w:rPr>
  </w:style>
  <w:style w:type="paragraph" w:customStyle="1" w:styleId="1988">
    <w:name w:val="标1.1"/>
    <w:basedOn w:val="4"/>
    <w:link w:val="1991"/>
    <w:qFormat/>
    <w:uiPriority w:val="0"/>
    <w:pPr>
      <w:numPr>
        <w:ilvl w:val="0"/>
        <w:numId w:val="0"/>
      </w:numPr>
    </w:pPr>
    <w:rPr>
      <w:sz w:val="30"/>
    </w:rPr>
  </w:style>
  <w:style w:type="character" w:customStyle="1" w:styleId="1989">
    <w:name w:val="标1 字符"/>
    <w:link w:val="1987"/>
    <w:qFormat/>
    <w:uiPriority w:val="0"/>
    <w:rPr>
      <w:rFonts w:eastAsia="黑体"/>
      <w:b/>
      <w:color w:val="000000"/>
      <w:kern w:val="2"/>
      <w:sz w:val="32"/>
      <w:szCs w:val="32"/>
    </w:rPr>
  </w:style>
  <w:style w:type="paragraph" w:customStyle="1" w:styleId="1990">
    <w:name w:val="标1.1.1"/>
    <w:basedOn w:val="271"/>
    <w:link w:val="1994"/>
    <w:qFormat/>
    <w:uiPriority w:val="0"/>
    <w:pPr>
      <w:numPr>
        <w:ilvl w:val="0"/>
      </w:numPr>
      <w:tabs>
        <w:tab w:val="left" w:pos="0"/>
      </w:tabs>
    </w:pPr>
    <w:rPr>
      <w:rFonts w:eastAsia="宋体"/>
      <w:color w:val="000000"/>
      <w:sz w:val="28"/>
    </w:rPr>
  </w:style>
  <w:style w:type="character" w:customStyle="1" w:styleId="1991">
    <w:name w:val="标1.1 字符"/>
    <w:link w:val="1988"/>
    <w:qFormat/>
    <w:uiPriority w:val="0"/>
    <w:rPr>
      <w:rFonts w:eastAsia="黑体"/>
      <w:b/>
      <w:bCs/>
      <w:kern w:val="2"/>
      <w:sz w:val="30"/>
      <w:szCs w:val="30"/>
    </w:rPr>
  </w:style>
  <w:style w:type="paragraph" w:customStyle="1" w:styleId="1992">
    <w:name w:val="标1.1.1.1"/>
    <w:basedOn w:val="6"/>
    <w:link w:val="1996"/>
    <w:qFormat/>
    <w:uiPriority w:val="0"/>
    <w:pPr>
      <w:numPr>
        <w:ilvl w:val="0"/>
        <w:numId w:val="0"/>
      </w:numPr>
      <w:snapToGrid w:val="0"/>
    </w:pPr>
    <w:rPr>
      <w:bCs w:val="0"/>
      <w:sz w:val="24"/>
      <w:szCs w:val="24"/>
    </w:rPr>
  </w:style>
  <w:style w:type="character" w:customStyle="1" w:styleId="1993">
    <w:name w:val="样式 标题 3 + 非加粗 字符"/>
    <w:link w:val="271"/>
    <w:qFormat/>
    <w:uiPriority w:val="0"/>
    <w:rPr>
      <w:rFonts w:eastAsia="黑体"/>
      <w:b/>
      <w:kern w:val="2"/>
      <w:sz w:val="30"/>
      <w:szCs w:val="28"/>
    </w:rPr>
  </w:style>
  <w:style w:type="character" w:customStyle="1" w:styleId="1994">
    <w:name w:val="标1.1.1 字符"/>
    <w:link w:val="1990"/>
    <w:qFormat/>
    <w:uiPriority w:val="0"/>
    <w:rPr>
      <w:b/>
      <w:color w:val="000000"/>
      <w:kern w:val="2"/>
      <w:sz w:val="28"/>
      <w:szCs w:val="28"/>
    </w:rPr>
  </w:style>
  <w:style w:type="paragraph" w:customStyle="1" w:styleId="1995">
    <w:name w:val="标1.1.1.1.1"/>
    <w:basedOn w:val="8"/>
    <w:link w:val="1997"/>
    <w:qFormat/>
    <w:uiPriority w:val="0"/>
    <w:pPr>
      <w:tabs>
        <w:tab w:val="clear" w:pos="360"/>
      </w:tabs>
      <w:spacing w:before="0"/>
    </w:pPr>
    <w:rPr>
      <w:b w:val="0"/>
    </w:rPr>
  </w:style>
  <w:style w:type="character" w:customStyle="1" w:styleId="1996">
    <w:name w:val="标1.1.1.1 字符"/>
    <w:link w:val="1992"/>
    <w:qFormat/>
    <w:uiPriority w:val="0"/>
    <w:rPr>
      <w:b/>
      <w:kern w:val="2"/>
      <w:sz w:val="24"/>
      <w:szCs w:val="24"/>
    </w:rPr>
  </w:style>
  <w:style w:type="character" w:customStyle="1" w:styleId="1997">
    <w:name w:val="标1.1.1.1.1 字符"/>
    <w:link w:val="1995"/>
    <w:qFormat/>
    <w:uiPriority w:val="0"/>
    <w:rPr>
      <w:kern w:val="2"/>
      <w:sz w:val="24"/>
      <w:szCs w:val="24"/>
      <w:lang w:bidi="zh-CN"/>
    </w:rPr>
  </w:style>
  <w:style w:type="paragraph" w:customStyle="1" w:styleId="1998">
    <w:name w:val="图1.1-1"/>
    <w:basedOn w:val="10"/>
    <w:link w:val="2000"/>
    <w:qFormat/>
    <w:uiPriority w:val="0"/>
    <w:pPr>
      <w:tabs>
        <w:tab w:val="clear" w:pos="360"/>
      </w:tabs>
      <w:spacing w:before="0" w:after="0" w:line="240" w:lineRule="auto"/>
      <w:jc w:val="center"/>
    </w:pPr>
  </w:style>
  <w:style w:type="paragraph" w:customStyle="1" w:styleId="1999">
    <w:name w:val="表1.1.1.1"/>
    <w:basedOn w:val="1"/>
    <w:qFormat/>
    <w:uiPriority w:val="0"/>
  </w:style>
  <w:style w:type="character" w:customStyle="1" w:styleId="2000">
    <w:name w:val="图1.1-1 字符"/>
    <w:basedOn w:val="133"/>
    <w:link w:val="1998"/>
    <w:qFormat/>
    <w:uiPriority w:val="0"/>
    <w:rPr>
      <w:b/>
      <w:kern w:val="2"/>
      <w:sz w:val="24"/>
      <w:szCs w:val="24"/>
    </w:rPr>
  </w:style>
  <w:style w:type="paragraph" w:customStyle="1" w:styleId="2001">
    <w:name w:val="表格格式"/>
    <w:basedOn w:val="1"/>
    <w:link w:val="2002"/>
    <w:qFormat/>
    <w:uiPriority w:val="0"/>
    <w:pPr>
      <w:widowControl/>
      <w:snapToGrid w:val="0"/>
      <w:jc w:val="center"/>
    </w:pPr>
    <w:rPr>
      <w:color w:val="000000" w:themeColor="text1"/>
      <w:kern w:val="0"/>
      <w:sz w:val="21"/>
      <w:szCs w:val="21"/>
      <w14:textFill>
        <w14:solidFill>
          <w14:schemeClr w14:val="tx1"/>
        </w14:solidFill>
      </w14:textFill>
    </w:rPr>
  </w:style>
  <w:style w:type="character" w:customStyle="1" w:styleId="2002">
    <w:name w:val="表格格式 Char"/>
    <w:link w:val="2001"/>
    <w:qFormat/>
    <w:uiPriority w:val="0"/>
    <w:rPr>
      <w:color w:val="000000" w:themeColor="text1"/>
      <w:sz w:val="21"/>
      <w:szCs w:val="21"/>
      <w14:textFill>
        <w14:solidFill>
          <w14:schemeClr w14:val="tx1"/>
        </w14:solidFill>
      </w14:textFill>
    </w:rPr>
  </w:style>
  <w:style w:type="paragraph" w:customStyle="1" w:styleId="2003">
    <w:name w:val="00"/>
    <w:basedOn w:val="1"/>
    <w:qFormat/>
    <w:uiPriority w:val="0"/>
    <w:pPr>
      <w:autoSpaceDE w:val="0"/>
      <w:autoSpaceDN w:val="0"/>
      <w:adjustRightInd w:val="0"/>
      <w:snapToGrid w:val="0"/>
      <w:spacing w:line="360" w:lineRule="auto"/>
      <w:ind w:firstLine="200" w:firstLineChars="200"/>
      <w:jc w:val="center"/>
    </w:pPr>
    <w:rPr>
      <w:rFonts w:ascii="宋体"/>
      <w:color w:val="000000"/>
      <w:spacing w:val="-10"/>
      <w:sz w:val="21"/>
      <w:szCs w:val="21"/>
    </w:rPr>
  </w:style>
  <w:style w:type="paragraph" w:customStyle="1" w:styleId="2004">
    <w:name w:val="表格11111"/>
    <w:basedOn w:val="1"/>
    <w:qFormat/>
    <w:uiPriority w:val="99"/>
    <w:pPr>
      <w:widowControl/>
      <w:snapToGrid w:val="0"/>
      <w:spacing w:line="0" w:lineRule="atLeast"/>
      <w:jc w:val="center"/>
    </w:pPr>
    <w:rPr>
      <w:kern w:val="0"/>
      <w:sz w:val="18"/>
      <w:szCs w:val="18"/>
    </w:rPr>
  </w:style>
  <w:style w:type="paragraph" w:customStyle="1" w:styleId="2005">
    <w:name w:val="表格文本"/>
    <w:basedOn w:val="1"/>
    <w:next w:val="1"/>
    <w:qFormat/>
    <w:uiPriority w:val="0"/>
    <w:pPr>
      <w:snapToGrid w:val="0"/>
    </w:pPr>
    <w:rPr>
      <w:sz w:val="21"/>
      <w:szCs w:val="21"/>
    </w:rPr>
  </w:style>
  <w:style w:type="paragraph" w:customStyle="1" w:styleId="2006">
    <w:name w:val="图号"/>
    <w:basedOn w:val="1"/>
    <w:next w:val="1"/>
    <w:qFormat/>
    <w:uiPriority w:val="0"/>
    <w:pPr>
      <w:topLinePunct/>
      <w:jc w:val="center"/>
    </w:pPr>
    <w:rPr>
      <w:b/>
      <w:lang w:val="zh-CN"/>
    </w:rPr>
  </w:style>
  <w:style w:type="table" w:customStyle="1" w:styleId="2007">
    <w:name w:val="网格型12"/>
    <w:basedOn w:val="88"/>
    <w:qFormat/>
    <w:uiPriority w:val="39"/>
    <w:rPr>
      <w:rFonts w:ascii="Calibri" w:hAnsi="Calibri"/>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Pr>
  </w:style>
  <w:style w:type="table" w:customStyle="1" w:styleId="2008">
    <w:name w:val="网格型23"/>
    <w:basedOn w:val="88"/>
    <w:qFormat/>
    <w:uiPriority w:val="59"/>
    <w:rPr>
      <w:rFonts w:ascii="等线" w:hAnsi="等线" w:eastAsia="等线"/>
      <w:kern w:val="2"/>
      <w:sz w:val="21"/>
      <w:szCs w:val="2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Pr>
  </w:style>
  <w:style w:type="character" w:customStyle="1" w:styleId="2009">
    <w:name w:val="正文文本缩进 Char"/>
    <w:qFormat/>
    <w:locked/>
    <w:uiPriority w:val="0"/>
    <w:rPr>
      <w:rFonts w:ascii="宋体" w:hAnsi="宋体"/>
      <w:kern w:val="2"/>
      <w:sz w:val="24"/>
      <w:szCs w:val="24"/>
    </w:rPr>
  </w:style>
  <w:style w:type="paragraph" w:customStyle="1" w:styleId="2010">
    <w:name w:val="lw正文"/>
    <w:basedOn w:val="1"/>
    <w:qFormat/>
    <w:uiPriority w:val="0"/>
    <w:pPr>
      <w:autoSpaceDE w:val="0"/>
      <w:autoSpaceDN w:val="0"/>
      <w:adjustRightInd w:val="0"/>
      <w:spacing w:line="360" w:lineRule="auto"/>
      <w:ind w:firstLine="420"/>
      <w:jc w:val="left"/>
    </w:pPr>
    <w:rPr>
      <w:kern w:val="0"/>
      <w:szCs w:val="20"/>
    </w:rPr>
  </w:style>
  <w:style w:type="paragraph" w:customStyle="1" w:styleId="2011">
    <w:name w:val="标题2 job"/>
    <w:next w:val="1"/>
    <w:qFormat/>
    <w:uiPriority w:val="0"/>
    <w:pPr>
      <w:adjustRightInd w:val="0"/>
      <w:snapToGrid w:val="0"/>
      <w:spacing w:line="360" w:lineRule="auto"/>
      <w:jc w:val="both"/>
      <w:outlineLvl w:val="1"/>
    </w:pPr>
    <w:rPr>
      <w:rFonts w:ascii="Times New Roman" w:hAnsi="Times New Roman" w:eastAsia="宋体" w:cs="Times New Roman"/>
      <w:b/>
      <w:bCs/>
      <w:kern w:val="2"/>
      <w:sz w:val="32"/>
      <w:szCs w:val="32"/>
      <w:lang w:val="en-US" w:eastAsia="zh-CN" w:bidi="ar-SA"/>
    </w:rPr>
  </w:style>
  <w:style w:type="paragraph" w:customStyle="1" w:styleId="2012">
    <w:name w:val="标题3 job"/>
    <w:next w:val="1"/>
    <w:qFormat/>
    <w:uiPriority w:val="0"/>
    <w:pPr>
      <w:adjustRightInd w:val="0"/>
      <w:snapToGrid w:val="0"/>
      <w:spacing w:line="360" w:lineRule="auto"/>
      <w:jc w:val="both"/>
      <w:outlineLvl w:val="2"/>
    </w:pPr>
    <w:rPr>
      <w:rFonts w:ascii="Times New Roman" w:hAnsi="Times New Roman" w:eastAsia="宋体" w:cs="Times New Roman"/>
      <w:b/>
      <w:bCs/>
      <w:kern w:val="2"/>
      <w:sz w:val="24"/>
      <w:szCs w:val="24"/>
      <w:lang w:val="en-US" w:eastAsia="zh-CN" w:bidi="ar-SA"/>
    </w:rPr>
  </w:style>
  <w:style w:type="paragraph" w:customStyle="1" w:styleId="2013">
    <w:name w:val="标题5 job"/>
    <w:next w:val="1"/>
    <w:semiHidden/>
    <w:qFormat/>
    <w:uiPriority w:val="0"/>
    <w:pPr>
      <w:spacing w:line="360" w:lineRule="auto"/>
      <w:outlineLvl w:val="4"/>
    </w:pPr>
    <w:rPr>
      <w:rFonts w:ascii="Times New Roman" w:hAnsi="Times New Roman" w:eastAsia="宋体" w:cs="Times New Roman"/>
      <w:b/>
      <w:bCs/>
      <w:kern w:val="2"/>
      <w:sz w:val="24"/>
      <w:szCs w:val="28"/>
      <w:lang w:val="en-US" w:eastAsia="zh-CN" w:bidi="ar-SA"/>
    </w:rPr>
  </w:style>
  <w:style w:type="paragraph" w:customStyle="1" w:styleId="2014">
    <w:name w:val="4级标题 zhu"/>
    <w:basedOn w:val="6"/>
    <w:semiHidden/>
    <w:qFormat/>
    <w:uiPriority w:val="0"/>
    <w:pPr>
      <w:numPr>
        <w:ilvl w:val="0"/>
        <w:numId w:val="0"/>
      </w:numPr>
      <w:spacing w:line="520" w:lineRule="exact"/>
      <w:jc w:val="left"/>
    </w:pPr>
    <w:rPr>
      <w:rFonts w:ascii="宋体" w:hAnsi="宋体"/>
      <w:kern w:val="0"/>
      <w:sz w:val="24"/>
      <w:szCs w:val="24"/>
    </w:rPr>
  </w:style>
  <w:style w:type="character" w:customStyle="1" w:styleId="2015">
    <w:name w:val="二级标题尹东晓 Char"/>
    <w:link w:val="2016"/>
    <w:semiHidden/>
    <w:qFormat/>
    <w:locked/>
    <w:uiPriority w:val="0"/>
    <w:rPr>
      <w:b/>
      <w:bCs/>
      <w:sz w:val="30"/>
      <w:szCs w:val="28"/>
    </w:rPr>
  </w:style>
  <w:style w:type="paragraph" w:customStyle="1" w:styleId="2016">
    <w:name w:val="二级标题尹东晓"/>
    <w:basedOn w:val="4"/>
    <w:link w:val="2015"/>
    <w:semiHidden/>
    <w:qFormat/>
    <w:uiPriority w:val="0"/>
    <w:pPr>
      <w:keepNext w:val="0"/>
      <w:keepLines w:val="0"/>
      <w:numPr>
        <w:ilvl w:val="0"/>
        <w:numId w:val="0"/>
      </w:numPr>
      <w:adjustRightInd w:val="0"/>
      <w:snapToGrid w:val="0"/>
      <w:spacing w:before="120" w:after="120"/>
      <w:jc w:val="left"/>
    </w:pPr>
    <w:rPr>
      <w:rFonts w:eastAsia="宋体"/>
      <w:kern w:val="0"/>
      <w:sz w:val="30"/>
      <w:szCs w:val="28"/>
    </w:rPr>
  </w:style>
  <w:style w:type="paragraph" w:customStyle="1" w:styleId="2017">
    <w:name w:val="标题1-1"/>
    <w:basedOn w:val="1"/>
    <w:qFormat/>
    <w:uiPriority w:val="0"/>
    <w:pPr>
      <w:keepNext/>
      <w:keepLines/>
      <w:snapToGrid w:val="0"/>
      <w:spacing w:line="360" w:lineRule="auto"/>
      <w:outlineLvl w:val="0"/>
    </w:pPr>
    <w:rPr>
      <w:b/>
      <w:bCs/>
      <w:kern w:val="44"/>
      <w:sz w:val="36"/>
      <w:szCs w:val="36"/>
    </w:rPr>
  </w:style>
  <w:style w:type="paragraph" w:customStyle="1" w:styleId="2018">
    <w:name w:val="标题2-1"/>
    <w:basedOn w:val="4"/>
    <w:semiHidden/>
    <w:qFormat/>
    <w:uiPriority w:val="0"/>
    <w:pPr>
      <w:keepNext w:val="0"/>
      <w:keepLines w:val="0"/>
      <w:numPr>
        <w:numId w:val="34"/>
      </w:numPr>
      <w:tabs>
        <w:tab w:val="left" w:pos="10414"/>
        <w:tab w:val="left" w:pos="10534"/>
      </w:tabs>
      <w:adjustRightInd w:val="0"/>
      <w:snapToGrid w:val="0"/>
      <w:spacing w:before="120"/>
      <w:ind w:left="0" w:right="-50" w:firstLine="0"/>
      <w:jc w:val="left"/>
    </w:pPr>
    <w:rPr>
      <w:rFonts w:eastAsia="宋体"/>
      <w:kern w:val="0"/>
      <w:sz w:val="28"/>
      <w:szCs w:val="32"/>
    </w:rPr>
  </w:style>
  <w:style w:type="paragraph" w:customStyle="1" w:styleId="2019">
    <w:name w:val="标题—4"/>
    <w:qFormat/>
    <w:uiPriority w:val="0"/>
    <w:pPr>
      <w:spacing w:line="360" w:lineRule="auto"/>
      <w:ind w:firstLine="480"/>
    </w:pPr>
    <w:rPr>
      <w:rFonts w:ascii="Times New Roman" w:hAnsi="Times New Roman" w:eastAsia="黑体" w:cs="宋体"/>
      <w:kern w:val="2"/>
      <w:sz w:val="24"/>
      <w:lang w:val="en-US" w:eastAsia="zh-CN" w:bidi="ar-SA"/>
    </w:rPr>
  </w:style>
  <w:style w:type="paragraph" w:customStyle="1" w:styleId="2020">
    <w:name w:val="标题4-1"/>
    <w:basedOn w:val="6"/>
    <w:semiHidden/>
    <w:qFormat/>
    <w:uiPriority w:val="0"/>
    <w:pPr>
      <w:keepLines w:val="0"/>
      <w:numPr>
        <w:numId w:val="34"/>
      </w:numPr>
      <w:tabs>
        <w:tab w:val="left" w:pos="10414"/>
        <w:tab w:val="left" w:pos="11374"/>
      </w:tabs>
      <w:spacing w:before="60" w:line="360" w:lineRule="auto"/>
      <w:ind w:left="864" w:hanging="144"/>
    </w:pPr>
    <w:rPr>
      <w:rFonts w:ascii="宋体" w:hAnsi="宋体"/>
      <w:b w:val="0"/>
      <w:kern w:val="0"/>
      <w:sz w:val="24"/>
      <w:szCs w:val="24"/>
    </w:rPr>
  </w:style>
  <w:style w:type="paragraph" w:customStyle="1" w:styleId="2021">
    <w:name w:val="二级段落"/>
    <w:basedOn w:val="1"/>
    <w:next w:val="1"/>
    <w:qFormat/>
    <w:uiPriority w:val="0"/>
    <w:pPr>
      <w:adjustRightInd w:val="0"/>
      <w:snapToGrid w:val="0"/>
      <w:spacing w:line="360" w:lineRule="auto"/>
      <w:ind w:firstLine="210" w:firstLineChars="210"/>
      <w:jc w:val="left"/>
    </w:pPr>
    <w:rPr>
      <w:rFonts w:eastAsia="黑体"/>
      <w:sz w:val="30"/>
    </w:rPr>
  </w:style>
  <w:style w:type="paragraph" w:customStyle="1" w:styleId="2022">
    <w:name w:val="正文文字xin"/>
    <w:basedOn w:val="1"/>
    <w:semiHidden/>
    <w:qFormat/>
    <w:uiPriority w:val="0"/>
    <w:pPr>
      <w:adjustRightInd w:val="0"/>
      <w:snapToGrid w:val="0"/>
      <w:spacing w:line="360" w:lineRule="auto"/>
      <w:ind w:firstLine="200" w:firstLineChars="200"/>
      <w:jc w:val="left"/>
    </w:pPr>
  </w:style>
  <w:style w:type="paragraph" w:customStyle="1" w:styleId="2023">
    <w:name w:val="03 一级标题"/>
    <w:next w:val="1"/>
    <w:qFormat/>
    <w:uiPriority w:val="0"/>
    <w:pPr>
      <w:snapToGrid w:val="0"/>
      <w:spacing w:before="100" w:beforeAutospacing="1" w:after="100" w:afterAutospacing="1"/>
      <w:jc w:val="center"/>
      <w:outlineLvl w:val="0"/>
    </w:pPr>
    <w:rPr>
      <w:rFonts w:ascii="Times New Roman" w:hAnsi="Times New Roman" w:eastAsia="宋体" w:cs="Times New Roman"/>
      <w:b/>
      <w:kern w:val="44"/>
      <w:sz w:val="32"/>
      <w:szCs w:val="32"/>
      <w:lang w:val="en-US" w:eastAsia="zh-CN" w:bidi="ar-SA"/>
    </w:rPr>
  </w:style>
  <w:style w:type="paragraph" w:customStyle="1" w:styleId="2024">
    <w:name w:val="02 二级标题"/>
    <w:next w:val="1"/>
    <w:qFormat/>
    <w:uiPriority w:val="0"/>
    <w:pPr>
      <w:tabs>
        <w:tab w:val="left" w:pos="1428"/>
      </w:tabs>
      <w:spacing w:beforeLines="50" w:line="800" w:lineRule="exact"/>
      <w:outlineLvl w:val="1"/>
    </w:pPr>
    <w:rPr>
      <w:rFonts w:ascii="Times New Roman" w:hAnsi="Times New Roman" w:eastAsia="宋体" w:cs="Times New Roman"/>
      <w:b/>
      <w:bCs/>
      <w:kern w:val="2"/>
      <w:sz w:val="24"/>
      <w:szCs w:val="24"/>
      <w:lang w:val="en-US" w:eastAsia="zh-CN" w:bidi="ar-SA"/>
    </w:rPr>
  </w:style>
  <w:style w:type="character" w:customStyle="1" w:styleId="2025">
    <w:name w:val="01 三级标题 Char1"/>
    <w:link w:val="2026"/>
    <w:qFormat/>
    <w:locked/>
    <w:uiPriority w:val="0"/>
    <w:rPr>
      <w:rFonts w:ascii="宋体" w:hAnsi="宋体"/>
      <w:b/>
      <w:spacing w:val="-2"/>
      <w:kern w:val="2"/>
      <w:sz w:val="30"/>
      <w:szCs w:val="30"/>
    </w:rPr>
  </w:style>
  <w:style w:type="paragraph" w:customStyle="1" w:styleId="2026">
    <w:name w:val="01 三级标题"/>
    <w:basedOn w:val="1"/>
    <w:next w:val="1"/>
    <w:link w:val="2025"/>
    <w:qFormat/>
    <w:uiPriority w:val="0"/>
    <w:pPr>
      <w:adjustRightInd w:val="0"/>
      <w:snapToGrid w:val="0"/>
      <w:spacing w:beforeLines="50" w:line="520" w:lineRule="exact"/>
      <w:ind w:firstLine="210" w:firstLineChars="210"/>
      <w:jc w:val="left"/>
      <w:outlineLvl w:val="2"/>
    </w:pPr>
    <w:rPr>
      <w:rFonts w:ascii="宋体" w:hAnsi="宋体"/>
      <w:b/>
      <w:spacing w:val="-2"/>
      <w:sz w:val="30"/>
      <w:szCs w:val="30"/>
    </w:rPr>
  </w:style>
  <w:style w:type="paragraph" w:customStyle="1" w:styleId="2027">
    <w:name w:val="04 四级标题"/>
    <w:next w:val="1"/>
    <w:qFormat/>
    <w:uiPriority w:val="0"/>
    <w:pPr>
      <w:spacing w:line="600" w:lineRule="exact"/>
    </w:pPr>
    <w:rPr>
      <w:rFonts w:ascii="宋体" w:hAnsi="宋体" w:eastAsia="宋体" w:cs="Times New Roman"/>
      <w:b/>
      <w:spacing w:val="-2"/>
      <w:kern w:val="2"/>
      <w:sz w:val="24"/>
      <w:szCs w:val="28"/>
      <w:lang w:val="en-US" w:eastAsia="zh-CN" w:bidi="ar-SA"/>
    </w:rPr>
  </w:style>
  <w:style w:type="character" w:customStyle="1" w:styleId="2028">
    <w:name w:val="05 表格标题 Char"/>
    <w:link w:val="2029"/>
    <w:qFormat/>
    <w:locked/>
    <w:uiPriority w:val="0"/>
    <w:rPr>
      <w:rFonts w:ascii="宋体" w:hAnsi="宋体"/>
      <w:kern w:val="2"/>
      <w:sz w:val="24"/>
      <w:szCs w:val="24"/>
    </w:rPr>
  </w:style>
  <w:style w:type="paragraph" w:customStyle="1" w:styleId="2029">
    <w:name w:val="05 表格标题"/>
    <w:link w:val="2028"/>
    <w:qFormat/>
    <w:uiPriority w:val="0"/>
    <w:pPr>
      <w:spacing w:beforeLines="50" w:line="360" w:lineRule="auto"/>
      <w:jc w:val="center"/>
    </w:pPr>
    <w:rPr>
      <w:rFonts w:ascii="宋体" w:hAnsi="宋体" w:eastAsia="宋体" w:cs="Times New Roman"/>
      <w:kern w:val="2"/>
      <w:sz w:val="24"/>
      <w:szCs w:val="24"/>
      <w:lang w:val="en-US" w:eastAsia="zh-CN" w:bidi="ar-SA"/>
    </w:rPr>
  </w:style>
  <w:style w:type="paragraph" w:customStyle="1" w:styleId="2030">
    <w:name w:val="表格东晓"/>
    <w:basedOn w:val="1"/>
    <w:semiHidden/>
    <w:qFormat/>
    <w:uiPriority w:val="0"/>
    <w:pPr>
      <w:widowControl/>
      <w:adjustRightInd w:val="0"/>
      <w:snapToGrid w:val="0"/>
      <w:spacing w:line="240" w:lineRule="exact"/>
      <w:jc w:val="center"/>
    </w:pPr>
    <w:rPr>
      <w:rFonts w:cs="Arial"/>
      <w:b/>
      <w:bCs/>
      <w:sz w:val="21"/>
      <w:szCs w:val="21"/>
    </w:rPr>
  </w:style>
  <w:style w:type="paragraph" w:customStyle="1" w:styleId="2031">
    <w:name w:val="标题2东晓"/>
    <w:basedOn w:val="1"/>
    <w:semiHidden/>
    <w:qFormat/>
    <w:uiPriority w:val="0"/>
    <w:pPr>
      <w:widowControl/>
      <w:adjustRightInd w:val="0"/>
      <w:snapToGrid w:val="0"/>
      <w:spacing w:before="120" w:after="120" w:line="360" w:lineRule="auto"/>
      <w:outlineLvl w:val="1"/>
    </w:pPr>
    <w:rPr>
      <w:rFonts w:cs="Arial"/>
      <w:b/>
      <w:bCs/>
      <w:sz w:val="30"/>
      <w:szCs w:val="30"/>
    </w:rPr>
  </w:style>
  <w:style w:type="paragraph" w:customStyle="1" w:styleId="2032">
    <w:name w:val="标题3东晓"/>
    <w:basedOn w:val="1"/>
    <w:semiHidden/>
    <w:qFormat/>
    <w:uiPriority w:val="0"/>
    <w:pPr>
      <w:widowControl/>
      <w:adjustRightInd w:val="0"/>
      <w:snapToGrid w:val="0"/>
      <w:spacing w:before="120" w:after="120" w:line="360" w:lineRule="auto"/>
      <w:outlineLvl w:val="2"/>
    </w:pPr>
    <w:rPr>
      <w:rFonts w:cs="Arial"/>
      <w:b/>
      <w:bCs/>
      <w:sz w:val="28"/>
      <w:szCs w:val="28"/>
    </w:rPr>
  </w:style>
  <w:style w:type="paragraph" w:customStyle="1" w:styleId="2033">
    <w:name w:val="标题4东晓"/>
    <w:basedOn w:val="1"/>
    <w:semiHidden/>
    <w:qFormat/>
    <w:uiPriority w:val="0"/>
    <w:pPr>
      <w:widowControl/>
      <w:adjustRightInd w:val="0"/>
      <w:snapToGrid w:val="0"/>
      <w:spacing w:before="120" w:after="120" w:line="360" w:lineRule="auto"/>
      <w:outlineLvl w:val="3"/>
    </w:pPr>
    <w:rPr>
      <w:rFonts w:cs="Arial"/>
      <w:b/>
      <w:bCs/>
    </w:rPr>
  </w:style>
  <w:style w:type="paragraph" w:customStyle="1" w:styleId="2034">
    <w:name w:val="修订11"/>
    <w:qFormat/>
    <w:uiPriority w:val="0"/>
    <w:pPr>
      <w:spacing w:beforeLines="50" w:line="360" w:lineRule="auto"/>
      <w:ind w:left="720" w:hanging="720"/>
      <w:jc w:val="both"/>
    </w:pPr>
    <w:rPr>
      <w:rFonts w:ascii="Times New Roman" w:hAnsi="Times New Roman" w:eastAsia="宋体" w:cs="Times New Roman"/>
      <w:kern w:val="2"/>
      <w:sz w:val="24"/>
      <w:szCs w:val="24"/>
      <w:lang w:val="en-US" w:eastAsia="zh-CN" w:bidi="ar-SA"/>
    </w:rPr>
  </w:style>
  <w:style w:type="paragraph" w:customStyle="1" w:styleId="2035">
    <w:name w:val="标题5xin"/>
    <w:basedOn w:val="1"/>
    <w:semiHidden/>
    <w:qFormat/>
    <w:uiPriority w:val="0"/>
    <w:pPr>
      <w:widowControl/>
      <w:autoSpaceDE w:val="0"/>
      <w:autoSpaceDN w:val="0"/>
      <w:adjustRightInd w:val="0"/>
      <w:snapToGrid w:val="0"/>
      <w:spacing w:line="360" w:lineRule="auto"/>
      <w:ind w:firstLine="482" w:firstLineChars="210"/>
      <w:jc w:val="left"/>
      <w:outlineLvl w:val="4"/>
    </w:pPr>
    <w:rPr>
      <w:sz w:val="20"/>
      <w:szCs w:val="21"/>
    </w:rPr>
  </w:style>
  <w:style w:type="paragraph" w:customStyle="1" w:styleId="2036">
    <w:name w:val="标题3 条文"/>
    <w:basedOn w:val="5"/>
    <w:semiHidden/>
    <w:qFormat/>
    <w:uiPriority w:val="0"/>
    <w:pPr>
      <w:keepNext w:val="0"/>
      <w:keepLines w:val="0"/>
      <w:numPr>
        <w:ilvl w:val="0"/>
        <w:numId w:val="0"/>
      </w:numPr>
      <w:autoSpaceDE w:val="0"/>
      <w:autoSpaceDN w:val="0"/>
      <w:adjustRightInd w:val="0"/>
      <w:snapToGrid w:val="0"/>
      <w:spacing w:beforeLines="200" w:line="460" w:lineRule="exact"/>
      <w:ind w:left="1418" w:hanging="567"/>
      <w:jc w:val="left"/>
    </w:pPr>
    <w:rPr>
      <w:rFonts w:hAnsi="华文中宋" w:eastAsia="宋体"/>
      <w:bCs w:val="0"/>
      <w:kern w:val="0"/>
      <w:sz w:val="28"/>
    </w:rPr>
  </w:style>
  <w:style w:type="character" w:customStyle="1" w:styleId="2037">
    <w:name w:val="z-窗体底端 Char"/>
    <w:basedOn w:val="133"/>
    <w:link w:val="2038"/>
    <w:qFormat/>
    <w:locked/>
    <w:uiPriority w:val="0"/>
    <w:rPr>
      <w:rFonts w:ascii="Arial" w:hAnsi="Arial" w:cs="Arial"/>
      <w:b/>
      <w:vanish/>
      <w:kern w:val="2"/>
      <w:sz w:val="16"/>
      <w:szCs w:val="16"/>
    </w:rPr>
  </w:style>
  <w:style w:type="paragraph" w:customStyle="1" w:styleId="2038">
    <w:name w:val="z-窗体底端11"/>
    <w:basedOn w:val="1"/>
    <w:next w:val="1"/>
    <w:link w:val="2037"/>
    <w:qFormat/>
    <w:uiPriority w:val="0"/>
    <w:pPr>
      <w:pBdr>
        <w:top w:val="single" w:color="auto" w:sz="6" w:space="1"/>
      </w:pBdr>
      <w:autoSpaceDE w:val="0"/>
      <w:autoSpaceDN w:val="0"/>
      <w:adjustRightInd w:val="0"/>
      <w:snapToGrid w:val="0"/>
      <w:spacing w:line="360" w:lineRule="auto"/>
      <w:ind w:firstLine="482" w:firstLineChars="210"/>
      <w:jc w:val="center"/>
    </w:pPr>
    <w:rPr>
      <w:rFonts w:ascii="Arial" w:hAnsi="Arial" w:cs="Arial"/>
      <w:b/>
      <w:vanish/>
      <w:sz w:val="16"/>
      <w:szCs w:val="16"/>
    </w:rPr>
  </w:style>
  <w:style w:type="character" w:customStyle="1" w:styleId="2039">
    <w:name w:val="z-窗体顶端 Char"/>
    <w:basedOn w:val="133"/>
    <w:link w:val="2040"/>
    <w:qFormat/>
    <w:locked/>
    <w:uiPriority w:val="0"/>
    <w:rPr>
      <w:rFonts w:ascii="Arial" w:hAnsi="Arial" w:cs="Arial"/>
      <w:b/>
      <w:vanish/>
      <w:kern w:val="2"/>
      <w:sz w:val="16"/>
      <w:szCs w:val="16"/>
    </w:rPr>
  </w:style>
  <w:style w:type="paragraph" w:customStyle="1" w:styleId="2040">
    <w:name w:val="z-窗体顶端1"/>
    <w:basedOn w:val="1"/>
    <w:next w:val="1"/>
    <w:link w:val="2039"/>
    <w:qFormat/>
    <w:uiPriority w:val="0"/>
    <w:pPr>
      <w:pBdr>
        <w:bottom w:val="single" w:color="auto" w:sz="6" w:space="1"/>
      </w:pBdr>
      <w:autoSpaceDE w:val="0"/>
      <w:autoSpaceDN w:val="0"/>
      <w:adjustRightInd w:val="0"/>
      <w:snapToGrid w:val="0"/>
      <w:spacing w:line="360" w:lineRule="auto"/>
      <w:ind w:firstLine="482" w:firstLineChars="210"/>
      <w:jc w:val="center"/>
    </w:pPr>
    <w:rPr>
      <w:rFonts w:ascii="Arial" w:hAnsi="Arial" w:cs="Arial"/>
      <w:b/>
      <w:vanish/>
      <w:sz w:val="16"/>
      <w:szCs w:val="16"/>
    </w:rPr>
  </w:style>
  <w:style w:type="paragraph" w:customStyle="1" w:styleId="2041">
    <w:name w:val="标题5，小节"/>
    <w:basedOn w:val="4"/>
    <w:semiHidden/>
    <w:qFormat/>
    <w:uiPriority w:val="0"/>
    <w:pPr>
      <w:keepNext w:val="0"/>
      <w:keepLines w:val="0"/>
      <w:numPr>
        <w:ilvl w:val="0"/>
        <w:numId w:val="0"/>
      </w:numPr>
      <w:tabs>
        <w:tab w:val="left" w:pos="2475"/>
      </w:tabs>
      <w:autoSpaceDE w:val="0"/>
      <w:autoSpaceDN w:val="0"/>
      <w:adjustRightInd w:val="0"/>
      <w:snapToGrid w:val="0"/>
      <w:spacing w:before="120" w:after="60" w:line="324" w:lineRule="auto"/>
      <w:ind w:firstLine="480"/>
      <w:jc w:val="left"/>
      <w:outlineLvl w:val="2"/>
    </w:pPr>
    <w:rPr>
      <w:rFonts w:ascii="宋体" w:hAnsi="宋体"/>
      <w:color w:val="000000"/>
      <w:kern w:val="0"/>
      <w:sz w:val="30"/>
      <w:szCs w:val="20"/>
    </w:rPr>
  </w:style>
  <w:style w:type="character" w:customStyle="1" w:styleId="2042">
    <w:name w:val="正文文本-zp Char"/>
    <w:link w:val="2043"/>
    <w:qFormat/>
    <w:locked/>
    <w:uiPriority w:val="0"/>
    <w:rPr>
      <w:sz w:val="24"/>
      <w:szCs w:val="28"/>
    </w:rPr>
  </w:style>
  <w:style w:type="paragraph" w:customStyle="1" w:styleId="2043">
    <w:name w:val="正文文本-zp"/>
    <w:basedOn w:val="1"/>
    <w:next w:val="1"/>
    <w:link w:val="2042"/>
    <w:qFormat/>
    <w:uiPriority w:val="0"/>
    <w:pPr>
      <w:wordWrap w:val="0"/>
      <w:autoSpaceDE w:val="0"/>
      <w:adjustRightInd w:val="0"/>
      <w:snapToGrid w:val="0"/>
      <w:spacing w:line="360" w:lineRule="auto"/>
      <w:ind w:firstLine="210" w:firstLineChars="210"/>
    </w:pPr>
    <w:rPr>
      <w:kern w:val="0"/>
      <w:szCs w:val="28"/>
    </w:rPr>
  </w:style>
  <w:style w:type="character" w:customStyle="1" w:styleId="2044">
    <w:name w:val="表前文字 Char"/>
    <w:link w:val="2045"/>
    <w:semiHidden/>
    <w:qFormat/>
    <w:locked/>
    <w:uiPriority w:val="0"/>
    <w:rPr>
      <w:rFonts w:cs="宋体"/>
      <w:kern w:val="2"/>
      <w:sz w:val="21"/>
    </w:rPr>
  </w:style>
  <w:style w:type="paragraph" w:customStyle="1" w:styleId="2045">
    <w:name w:val="表前文字"/>
    <w:basedOn w:val="2043"/>
    <w:link w:val="2044"/>
    <w:semiHidden/>
    <w:qFormat/>
    <w:uiPriority w:val="0"/>
    <w:pPr>
      <w:spacing w:beforeLines="50" w:line="240" w:lineRule="auto"/>
      <w:ind w:firstLine="0" w:firstLineChars="0"/>
      <w:jc w:val="center"/>
    </w:pPr>
    <w:rPr>
      <w:rFonts w:cs="宋体"/>
      <w:kern w:val="2"/>
      <w:sz w:val="21"/>
      <w:szCs w:val="20"/>
    </w:rPr>
  </w:style>
  <w:style w:type="paragraph" w:customStyle="1" w:styleId="2046">
    <w:name w:val="二级标题-烟台"/>
    <w:basedOn w:val="1"/>
    <w:semiHidden/>
    <w:qFormat/>
    <w:uiPriority w:val="0"/>
    <w:pPr>
      <w:autoSpaceDE w:val="0"/>
      <w:autoSpaceDN w:val="0"/>
      <w:adjustRightInd w:val="0"/>
      <w:snapToGrid w:val="0"/>
      <w:spacing w:before="120" w:after="120" w:line="360" w:lineRule="auto"/>
      <w:outlineLvl w:val="1"/>
    </w:pPr>
    <w:rPr>
      <w:rFonts w:cs="Arial"/>
      <w:b/>
      <w:bCs/>
      <w:sz w:val="30"/>
      <w:szCs w:val="30"/>
    </w:rPr>
  </w:style>
  <w:style w:type="paragraph" w:customStyle="1" w:styleId="2047">
    <w:name w:val="5级标题"/>
    <w:basedOn w:val="8"/>
    <w:semiHidden/>
    <w:qFormat/>
    <w:uiPriority w:val="0"/>
    <w:pPr>
      <w:keepLines w:val="0"/>
      <w:tabs>
        <w:tab w:val="left" w:pos="1008"/>
        <w:tab w:val="clear" w:pos="360"/>
      </w:tabs>
      <w:adjustRightInd w:val="0"/>
      <w:spacing w:before="0"/>
      <w:ind w:left="1008"/>
      <w:jc w:val="left"/>
    </w:pPr>
    <w:rPr>
      <w:bCs/>
      <w:kern w:val="44"/>
      <w:szCs w:val="32"/>
    </w:rPr>
  </w:style>
  <w:style w:type="paragraph" w:customStyle="1" w:styleId="2048">
    <w:name w:val="标题4_zw"/>
    <w:basedOn w:val="6"/>
    <w:qFormat/>
    <w:uiPriority w:val="0"/>
    <w:pPr>
      <w:numPr>
        <w:ilvl w:val="0"/>
        <w:numId w:val="0"/>
      </w:numPr>
      <w:spacing w:line="360" w:lineRule="auto"/>
      <w:jc w:val="left"/>
    </w:pPr>
    <w:rPr>
      <w:rFonts w:ascii="宋体" w:hAnsi="宋体"/>
      <w:kern w:val="0"/>
      <w:sz w:val="24"/>
      <w:szCs w:val="24"/>
    </w:rPr>
  </w:style>
  <w:style w:type="character" w:customStyle="1" w:styleId="2049">
    <w:name w:val="表头烟台 Char Char"/>
    <w:link w:val="2050"/>
    <w:qFormat/>
    <w:locked/>
    <w:uiPriority w:val="0"/>
    <w:rPr>
      <w:rFonts w:cs="Courier New"/>
      <w:szCs w:val="21"/>
    </w:rPr>
  </w:style>
  <w:style w:type="paragraph" w:customStyle="1" w:styleId="2050">
    <w:name w:val="表头烟台"/>
    <w:basedOn w:val="1"/>
    <w:link w:val="2049"/>
    <w:qFormat/>
    <w:uiPriority w:val="0"/>
    <w:pPr>
      <w:widowControl/>
      <w:adjustRightInd w:val="0"/>
      <w:snapToGrid w:val="0"/>
      <w:jc w:val="center"/>
    </w:pPr>
    <w:rPr>
      <w:rFonts w:cs="Courier New"/>
      <w:kern w:val="0"/>
      <w:sz w:val="20"/>
      <w:szCs w:val="21"/>
    </w:rPr>
  </w:style>
  <w:style w:type="character" w:customStyle="1" w:styleId="2051">
    <w:name w:val="06 图像标题 Char"/>
    <w:link w:val="2052"/>
    <w:qFormat/>
    <w:locked/>
    <w:uiPriority w:val="0"/>
    <w:rPr>
      <w:rFonts w:ascii="宋体" w:hAnsi="宋体"/>
      <w:sz w:val="24"/>
      <w:szCs w:val="24"/>
    </w:rPr>
  </w:style>
  <w:style w:type="paragraph" w:customStyle="1" w:styleId="2052">
    <w:name w:val="06 图像标题"/>
    <w:basedOn w:val="2029"/>
    <w:next w:val="1"/>
    <w:link w:val="2051"/>
    <w:qFormat/>
    <w:uiPriority w:val="0"/>
    <w:pPr>
      <w:spacing w:beforeLines="0" w:line="240" w:lineRule="auto"/>
    </w:pPr>
    <w:rPr>
      <w:kern w:val="0"/>
    </w:rPr>
  </w:style>
  <w:style w:type="paragraph" w:customStyle="1" w:styleId="2053">
    <w:name w:val="5号表内正文"/>
    <w:basedOn w:val="1"/>
    <w:next w:val="1"/>
    <w:semiHidden/>
    <w:qFormat/>
    <w:uiPriority w:val="0"/>
    <w:pPr>
      <w:widowControl/>
      <w:adjustRightInd w:val="0"/>
      <w:snapToGrid w:val="0"/>
      <w:spacing w:line="360" w:lineRule="auto"/>
      <w:ind w:firstLine="210" w:firstLineChars="210"/>
      <w:jc w:val="center"/>
    </w:pPr>
    <w:rPr>
      <w:color w:val="000000"/>
      <w:kern w:val="0"/>
      <w:szCs w:val="18"/>
    </w:rPr>
  </w:style>
  <w:style w:type="character" w:customStyle="1" w:styleId="2054">
    <w:name w:val="标题4尹东晓 Char"/>
    <w:link w:val="2055"/>
    <w:semiHidden/>
    <w:qFormat/>
    <w:locked/>
    <w:uiPriority w:val="0"/>
    <w:rPr>
      <w:rFonts w:ascii="宋体" w:hAnsi="宋体"/>
      <w:b/>
      <w:bCs/>
      <w:color w:val="000000"/>
      <w:sz w:val="24"/>
      <w:szCs w:val="24"/>
    </w:rPr>
  </w:style>
  <w:style w:type="paragraph" w:customStyle="1" w:styleId="2055">
    <w:name w:val="标题4尹东晓"/>
    <w:basedOn w:val="6"/>
    <w:link w:val="2054"/>
    <w:semiHidden/>
    <w:qFormat/>
    <w:uiPriority w:val="0"/>
    <w:pPr>
      <w:numPr>
        <w:ilvl w:val="0"/>
        <w:numId w:val="0"/>
      </w:numPr>
      <w:spacing w:before="120" w:after="120" w:line="360" w:lineRule="auto"/>
      <w:jc w:val="left"/>
    </w:pPr>
    <w:rPr>
      <w:rFonts w:ascii="宋体" w:hAnsi="宋体"/>
      <w:color w:val="000000"/>
      <w:kern w:val="0"/>
      <w:sz w:val="24"/>
      <w:szCs w:val="24"/>
    </w:rPr>
  </w:style>
  <w:style w:type="paragraph" w:customStyle="1" w:styleId="2056">
    <w:name w:val="标题3尹东晓"/>
    <w:basedOn w:val="1"/>
    <w:semiHidden/>
    <w:qFormat/>
    <w:uiPriority w:val="0"/>
    <w:pPr>
      <w:adjustRightInd w:val="0"/>
      <w:snapToGrid w:val="0"/>
      <w:spacing w:line="360" w:lineRule="auto"/>
      <w:ind w:firstLine="210" w:firstLineChars="210"/>
      <w:jc w:val="left"/>
      <w:outlineLvl w:val="2"/>
    </w:pPr>
    <w:rPr>
      <w:b/>
      <w:color w:val="000000"/>
      <w:kern w:val="0"/>
      <w:sz w:val="28"/>
      <w:szCs w:val="28"/>
    </w:rPr>
  </w:style>
  <w:style w:type="paragraph" w:customStyle="1" w:styleId="2057">
    <w:name w:val="标题2尹东晓"/>
    <w:basedOn w:val="4"/>
    <w:semiHidden/>
    <w:qFormat/>
    <w:uiPriority w:val="0"/>
    <w:pPr>
      <w:keepNext w:val="0"/>
      <w:keepLines w:val="0"/>
      <w:numPr>
        <w:ilvl w:val="0"/>
        <w:numId w:val="0"/>
      </w:numPr>
      <w:adjustRightInd w:val="0"/>
      <w:snapToGrid w:val="0"/>
      <w:jc w:val="left"/>
    </w:pPr>
    <w:rPr>
      <w:rFonts w:eastAsia="宋体"/>
      <w:color w:val="000000"/>
      <w:kern w:val="0"/>
      <w:sz w:val="30"/>
    </w:rPr>
  </w:style>
  <w:style w:type="paragraph" w:customStyle="1" w:styleId="2058">
    <w:name w:val="标题4xin"/>
    <w:basedOn w:val="6"/>
    <w:qFormat/>
    <w:uiPriority w:val="0"/>
    <w:pPr>
      <w:widowControl/>
      <w:numPr>
        <w:ilvl w:val="0"/>
        <w:numId w:val="0"/>
      </w:numPr>
      <w:tabs>
        <w:tab w:val="left" w:pos="864"/>
      </w:tabs>
      <w:spacing w:beforeLines="50" w:line="360" w:lineRule="auto"/>
      <w:jc w:val="left"/>
    </w:pPr>
    <w:rPr>
      <w:rFonts w:ascii="宋体" w:hAnsi="宋体"/>
      <w:kern w:val="0"/>
      <w:sz w:val="24"/>
      <w:szCs w:val="24"/>
    </w:rPr>
  </w:style>
  <w:style w:type="paragraph" w:customStyle="1" w:styleId="2059">
    <w:name w:val="标题2-2"/>
    <w:basedOn w:val="1"/>
    <w:qFormat/>
    <w:uiPriority w:val="0"/>
    <w:pPr>
      <w:autoSpaceDE w:val="0"/>
      <w:autoSpaceDN w:val="0"/>
      <w:adjustRightInd w:val="0"/>
      <w:snapToGrid w:val="0"/>
      <w:spacing w:before="120" w:after="20" w:line="300" w:lineRule="auto"/>
      <w:ind w:firstLine="210" w:firstLineChars="210"/>
      <w:outlineLvl w:val="1"/>
    </w:pPr>
    <w:rPr>
      <w:rFonts w:eastAsia="华文新魏"/>
      <w:b/>
      <w:bCs/>
      <w:kern w:val="0"/>
      <w:sz w:val="32"/>
      <w:szCs w:val="32"/>
      <w:lang w:val="zh-CN"/>
    </w:rPr>
  </w:style>
  <w:style w:type="paragraph" w:customStyle="1" w:styleId="2060">
    <w:name w:val="3级的标题"/>
    <w:basedOn w:val="1"/>
    <w:semiHidden/>
    <w:qFormat/>
    <w:uiPriority w:val="0"/>
    <w:pPr>
      <w:tabs>
        <w:tab w:val="left" w:pos="0"/>
      </w:tabs>
      <w:adjustRightInd w:val="0"/>
      <w:snapToGrid w:val="0"/>
      <w:spacing w:line="360" w:lineRule="auto"/>
      <w:ind w:firstLine="210" w:firstLineChars="210"/>
      <w:outlineLvl w:val="0"/>
    </w:pPr>
    <w:rPr>
      <w:b/>
    </w:rPr>
  </w:style>
  <w:style w:type="paragraph" w:customStyle="1" w:styleId="2061">
    <w:name w:val="四级标题-秦滨"/>
    <w:basedOn w:val="1"/>
    <w:qFormat/>
    <w:uiPriority w:val="99"/>
    <w:pPr>
      <w:adjustRightInd w:val="0"/>
      <w:snapToGrid w:val="0"/>
      <w:spacing w:line="360" w:lineRule="auto"/>
      <w:ind w:firstLine="210" w:firstLineChars="210"/>
    </w:pPr>
    <w:rPr>
      <w:szCs w:val="22"/>
    </w:rPr>
  </w:style>
  <w:style w:type="paragraph" w:customStyle="1" w:styleId="2062">
    <w:name w:val="三级标题-秦滨"/>
    <w:basedOn w:val="1"/>
    <w:qFormat/>
    <w:uiPriority w:val="99"/>
    <w:pPr>
      <w:adjustRightInd w:val="0"/>
      <w:snapToGrid w:val="0"/>
      <w:spacing w:line="360" w:lineRule="auto"/>
      <w:ind w:firstLine="210" w:firstLineChars="210"/>
    </w:pPr>
    <w:rPr>
      <w:szCs w:val="22"/>
    </w:rPr>
  </w:style>
  <w:style w:type="character" w:customStyle="1" w:styleId="2063">
    <w:name w:val="图表的标题 Char"/>
    <w:link w:val="2064"/>
    <w:qFormat/>
    <w:locked/>
    <w:uiPriority w:val="0"/>
    <w:rPr>
      <w:rFonts w:eastAsia="楷体"/>
      <w:color w:val="000000"/>
      <w:sz w:val="21"/>
      <w:szCs w:val="21"/>
    </w:rPr>
  </w:style>
  <w:style w:type="paragraph" w:customStyle="1" w:styleId="2064">
    <w:name w:val="图表的标题"/>
    <w:basedOn w:val="1"/>
    <w:link w:val="2063"/>
    <w:qFormat/>
    <w:uiPriority w:val="0"/>
    <w:pPr>
      <w:adjustRightInd w:val="0"/>
      <w:snapToGrid w:val="0"/>
      <w:spacing w:line="360" w:lineRule="auto"/>
      <w:jc w:val="center"/>
    </w:pPr>
    <w:rPr>
      <w:rFonts w:eastAsia="楷体"/>
      <w:color w:val="000000"/>
      <w:kern w:val="0"/>
      <w:sz w:val="21"/>
      <w:szCs w:val="21"/>
    </w:rPr>
  </w:style>
  <w:style w:type="paragraph" w:customStyle="1" w:styleId="2065">
    <w:name w:val="表格秦滨"/>
    <w:basedOn w:val="1"/>
    <w:qFormat/>
    <w:uiPriority w:val="0"/>
    <w:pPr>
      <w:adjustRightInd w:val="0"/>
      <w:snapToGrid w:val="0"/>
      <w:spacing w:line="360" w:lineRule="auto"/>
      <w:ind w:firstLine="210" w:firstLineChars="210"/>
    </w:pPr>
    <w:rPr>
      <w:szCs w:val="22"/>
    </w:rPr>
  </w:style>
  <w:style w:type="character" w:customStyle="1" w:styleId="2066">
    <w:name w:val="图标题样式 Char"/>
    <w:link w:val="2067"/>
    <w:semiHidden/>
    <w:qFormat/>
    <w:locked/>
    <w:uiPriority w:val="0"/>
    <w:rPr>
      <w:rFonts w:ascii="宋体" w:hAnsi="Courier New" w:cs="Courier New"/>
      <w:szCs w:val="21"/>
    </w:rPr>
  </w:style>
  <w:style w:type="paragraph" w:customStyle="1" w:styleId="2067">
    <w:name w:val="图标题样式"/>
    <w:basedOn w:val="679"/>
    <w:link w:val="2066"/>
    <w:semiHidden/>
    <w:qFormat/>
    <w:uiPriority w:val="0"/>
    <w:pPr>
      <w:adjustRightInd w:val="0"/>
      <w:snapToGrid w:val="0"/>
      <w:ind w:left="-158" w:leftChars="-75" w:firstLine="85" w:firstLineChars="85"/>
    </w:pPr>
    <w:rPr>
      <w:rFonts w:ascii="宋体" w:hAnsi="Courier New" w:cs="Courier New"/>
      <w:b w:val="0"/>
      <w:kern w:val="0"/>
      <w:sz w:val="20"/>
      <w:szCs w:val="21"/>
      <w:lang w:val="en-US"/>
    </w:rPr>
  </w:style>
  <w:style w:type="character" w:customStyle="1" w:styleId="2068">
    <w:name w:val="样式 表头4 + 段前: 0.35 行 Char"/>
    <w:link w:val="2069"/>
    <w:qFormat/>
    <w:locked/>
    <w:uiPriority w:val="0"/>
    <w:rPr>
      <w:rFonts w:ascii="宋体" w:hAnsi="宋体" w:cs="宋体"/>
      <w:b/>
      <w:bCs/>
      <w:sz w:val="28"/>
    </w:rPr>
  </w:style>
  <w:style w:type="paragraph" w:customStyle="1" w:styleId="2069">
    <w:name w:val="样式 表头4 + 段前: 0.35 行"/>
    <w:basedOn w:val="1"/>
    <w:link w:val="2068"/>
    <w:qFormat/>
    <w:uiPriority w:val="0"/>
    <w:pPr>
      <w:adjustRightInd w:val="0"/>
      <w:snapToGrid w:val="0"/>
      <w:jc w:val="center"/>
    </w:pPr>
    <w:rPr>
      <w:rFonts w:ascii="宋体" w:hAnsi="宋体" w:cs="宋体"/>
      <w:b/>
      <w:bCs/>
      <w:kern w:val="0"/>
      <w:sz w:val="28"/>
      <w:szCs w:val="20"/>
    </w:rPr>
  </w:style>
  <w:style w:type="character" w:customStyle="1" w:styleId="2070">
    <w:name w:val="四级标题 Char"/>
    <w:link w:val="2071"/>
    <w:qFormat/>
    <w:locked/>
    <w:uiPriority w:val="0"/>
    <w:rPr>
      <w:kern w:val="2"/>
      <w:sz w:val="24"/>
      <w:szCs w:val="22"/>
    </w:rPr>
  </w:style>
  <w:style w:type="paragraph" w:customStyle="1" w:styleId="2071">
    <w:name w:val="四级标题"/>
    <w:basedOn w:val="1"/>
    <w:link w:val="2070"/>
    <w:qFormat/>
    <w:uiPriority w:val="0"/>
    <w:pPr>
      <w:adjustRightInd w:val="0"/>
      <w:snapToGrid w:val="0"/>
      <w:spacing w:line="360" w:lineRule="auto"/>
      <w:ind w:firstLine="210" w:firstLineChars="210"/>
    </w:pPr>
    <w:rPr>
      <w:szCs w:val="22"/>
    </w:rPr>
  </w:style>
  <w:style w:type="paragraph" w:customStyle="1" w:styleId="2072">
    <w:name w:val="样式 标题 4款标题1.1.1.1(一)条，(一)标题 41. + 仿宋_GB2312 小四 非加粗"/>
    <w:basedOn w:val="6"/>
    <w:qFormat/>
    <w:uiPriority w:val="0"/>
    <w:pPr>
      <w:numPr>
        <w:ilvl w:val="0"/>
        <w:numId w:val="0"/>
      </w:numPr>
      <w:tabs>
        <w:tab w:val="left" w:pos="1620"/>
      </w:tabs>
      <w:spacing w:before="100" w:beforeAutospacing="1" w:after="100" w:afterAutospacing="1"/>
      <w:ind w:left="1620" w:leftChars="600" w:hanging="360" w:hangingChars="200"/>
    </w:pPr>
    <w:rPr>
      <w:rFonts w:ascii="仿宋_GB2312" w:hAnsi="仿宋_GB2312" w:eastAsia="仿宋_GB2312"/>
      <w:b w:val="0"/>
      <w:bCs w:val="0"/>
      <w:kern w:val="0"/>
      <w:sz w:val="24"/>
    </w:rPr>
  </w:style>
  <w:style w:type="paragraph" w:customStyle="1" w:styleId="2073">
    <w:name w:val="样式 周表目录 + 段前: 0 磅 段后: 0 周表目录"/>
    <w:basedOn w:val="1"/>
    <w:qFormat/>
    <w:uiPriority w:val="0"/>
    <w:pPr>
      <w:keepNext/>
      <w:adjustRightInd w:val="0"/>
      <w:snapToGrid w:val="0"/>
      <w:spacing w:line="300" w:lineRule="auto"/>
      <w:jc w:val="center"/>
    </w:pPr>
    <w:rPr>
      <w:rFonts w:ascii="宋体" w:hAnsi="宋体" w:cs="宋体"/>
      <w:b/>
      <w:bCs/>
      <w:spacing w:val="6"/>
      <w:sz w:val="21"/>
      <w:szCs w:val="20"/>
    </w:rPr>
  </w:style>
  <w:style w:type="character" w:customStyle="1" w:styleId="2074">
    <w:name w:val="4正文 Char"/>
    <w:link w:val="2075"/>
    <w:qFormat/>
    <w:locked/>
    <w:uiPriority w:val="0"/>
    <w:rPr>
      <w:rFonts w:ascii="宋体" w:hAnsi="宋体"/>
      <w:sz w:val="24"/>
      <w:szCs w:val="24"/>
    </w:rPr>
  </w:style>
  <w:style w:type="paragraph" w:customStyle="1" w:styleId="2075">
    <w:name w:val="4正文"/>
    <w:basedOn w:val="1"/>
    <w:link w:val="2074"/>
    <w:qFormat/>
    <w:uiPriority w:val="0"/>
    <w:pPr>
      <w:adjustRightInd w:val="0"/>
      <w:spacing w:before="120" w:after="120" w:line="400" w:lineRule="atLeast"/>
      <w:ind w:firstLine="200" w:firstLineChars="200"/>
      <w:jc w:val="left"/>
    </w:pPr>
    <w:rPr>
      <w:rFonts w:ascii="宋体" w:hAnsi="宋体"/>
      <w:kern w:val="0"/>
    </w:rPr>
  </w:style>
  <w:style w:type="paragraph" w:customStyle="1" w:styleId="2076">
    <w:name w:val="样式 段落样式 Char + 字符缩放: 100% 加宽量  1 磅"/>
    <w:basedOn w:val="1"/>
    <w:qFormat/>
    <w:uiPriority w:val="0"/>
    <w:pPr>
      <w:keepNext/>
      <w:suppressLineNumbers/>
      <w:suppressAutoHyphens/>
      <w:topLinePunct/>
      <w:adjustRightInd w:val="0"/>
      <w:snapToGrid w:val="0"/>
      <w:spacing w:line="480" w:lineRule="atLeast"/>
      <w:ind w:firstLine="482"/>
    </w:pPr>
    <w:rPr>
      <w:kern w:val="0"/>
      <w:sz w:val="28"/>
      <w:szCs w:val="28"/>
    </w:rPr>
  </w:style>
  <w:style w:type="character" w:customStyle="1" w:styleId="2077">
    <w:name w:val="样式 －正文 + 首行缩进:  2 字符2 Char"/>
    <w:link w:val="2078"/>
    <w:qFormat/>
    <w:locked/>
    <w:uiPriority w:val="0"/>
    <w:rPr>
      <w:spacing w:val="8"/>
      <w:kern w:val="2"/>
      <w:sz w:val="28"/>
      <w:szCs w:val="28"/>
    </w:rPr>
  </w:style>
  <w:style w:type="paragraph" w:customStyle="1" w:styleId="2078">
    <w:name w:val="样式 －正文 + 首行缩进:  2 字符2"/>
    <w:basedOn w:val="1"/>
    <w:link w:val="2077"/>
    <w:qFormat/>
    <w:uiPriority w:val="0"/>
    <w:pPr>
      <w:widowControl/>
      <w:overflowPunct w:val="0"/>
      <w:autoSpaceDE w:val="0"/>
      <w:autoSpaceDN w:val="0"/>
      <w:adjustRightInd w:val="0"/>
      <w:spacing w:line="360" w:lineRule="auto"/>
      <w:ind w:firstLine="200" w:firstLineChars="200"/>
      <w:jc w:val="left"/>
    </w:pPr>
    <w:rPr>
      <w:spacing w:val="8"/>
      <w:sz w:val="28"/>
      <w:szCs w:val="28"/>
    </w:rPr>
  </w:style>
  <w:style w:type="paragraph" w:customStyle="1" w:styleId="2079">
    <w:name w:val="样式 图2-1 段落图编号+ + 段前: 0.5 行"/>
    <w:basedOn w:val="1"/>
    <w:qFormat/>
    <w:uiPriority w:val="0"/>
    <w:pPr>
      <w:tabs>
        <w:tab w:val="left" w:pos="360"/>
        <w:tab w:val="left" w:pos="720"/>
        <w:tab w:val="left" w:pos="795"/>
        <w:tab w:val="left" w:pos="960"/>
        <w:tab w:val="left" w:pos="1200"/>
        <w:tab w:val="center" w:pos="4320"/>
      </w:tabs>
      <w:spacing w:beforeLines="50" w:line="360" w:lineRule="auto"/>
      <w:ind w:hanging="360"/>
      <w:outlineLvl w:val="8"/>
    </w:pPr>
    <w:rPr>
      <w:b/>
      <w:spacing w:val="8"/>
      <w:kern w:val="0"/>
      <w:sz w:val="28"/>
      <w:szCs w:val="28"/>
    </w:rPr>
  </w:style>
  <w:style w:type="paragraph" w:customStyle="1" w:styleId="2080">
    <w:name w:val="标题4 job"/>
    <w:next w:val="1"/>
    <w:qFormat/>
    <w:uiPriority w:val="0"/>
    <w:pPr>
      <w:spacing w:beforeLines="50" w:line="360" w:lineRule="auto"/>
      <w:jc w:val="both"/>
      <w:outlineLvl w:val="3"/>
    </w:pPr>
    <w:rPr>
      <w:rFonts w:ascii="Times New Roman" w:hAnsi="Times New Roman" w:eastAsia="宋体" w:cs="Times New Roman"/>
      <w:b/>
      <w:bCs/>
      <w:kern w:val="2"/>
      <w:sz w:val="24"/>
      <w:szCs w:val="28"/>
      <w:lang w:val="en-US" w:eastAsia="zh-CN" w:bidi="ar-SA"/>
    </w:rPr>
  </w:style>
  <w:style w:type="character" w:customStyle="1" w:styleId="2081">
    <w:name w:val="my 正文 Char"/>
    <w:link w:val="2082"/>
    <w:semiHidden/>
    <w:qFormat/>
    <w:locked/>
    <w:uiPriority w:val="0"/>
    <w:rPr>
      <w:sz w:val="24"/>
      <w:szCs w:val="24"/>
    </w:rPr>
  </w:style>
  <w:style w:type="paragraph" w:customStyle="1" w:styleId="2082">
    <w:name w:val="my 正文"/>
    <w:basedOn w:val="1"/>
    <w:link w:val="2081"/>
    <w:semiHidden/>
    <w:qFormat/>
    <w:uiPriority w:val="0"/>
    <w:pPr>
      <w:adjustRightInd w:val="0"/>
      <w:snapToGrid w:val="0"/>
      <w:spacing w:line="360" w:lineRule="auto"/>
      <w:ind w:firstLine="200" w:firstLineChars="200"/>
      <w:jc w:val="left"/>
    </w:pPr>
    <w:rPr>
      <w:kern w:val="0"/>
    </w:rPr>
  </w:style>
  <w:style w:type="character" w:customStyle="1" w:styleId="2083">
    <w:name w:val="正文秦滨 Char Char"/>
    <w:link w:val="2084"/>
    <w:qFormat/>
    <w:locked/>
    <w:uiPriority w:val="0"/>
    <w:rPr>
      <w:kern w:val="2"/>
      <w:sz w:val="24"/>
      <w:szCs w:val="24"/>
    </w:rPr>
  </w:style>
  <w:style w:type="paragraph" w:customStyle="1" w:styleId="2084">
    <w:name w:val="正文秦滨"/>
    <w:basedOn w:val="34"/>
    <w:link w:val="2083"/>
    <w:qFormat/>
    <w:uiPriority w:val="0"/>
    <w:pPr>
      <w:adjustRightInd w:val="0"/>
      <w:snapToGrid w:val="0"/>
      <w:spacing w:line="360" w:lineRule="auto"/>
      <w:ind w:firstLine="200" w:firstLineChars="200"/>
      <w:jc w:val="left"/>
    </w:pPr>
    <w:rPr>
      <w:sz w:val="24"/>
    </w:rPr>
  </w:style>
  <w:style w:type="paragraph" w:customStyle="1" w:styleId="2085">
    <w:name w:val="一级标题-秦滨"/>
    <w:basedOn w:val="84"/>
    <w:qFormat/>
    <w:uiPriority w:val="0"/>
    <w:pPr>
      <w:pageBreakBefore/>
      <w:autoSpaceDE w:val="0"/>
      <w:autoSpaceDN w:val="0"/>
      <w:adjustRightInd w:val="0"/>
      <w:snapToGrid w:val="0"/>
      <w:spacing w:before="0" w:after="0"/>
      <w:jc w:val="left"/>
    </w:pPr>
    <w:rPr>
      <w:rFonts w:ascii="Times New Roman" w:hAnsi="Times New Roman"/>
    </w:rPr>
  </w:style>
  <w:style w:type="character" w:customStyle="1" w:styleId="2086">
    <w:name w:val="标准正文 Char Char"/>
    <w:qFormat/>
    <w:locked/>
    <w:uiPriority w:val="0"/>
    <w:rPr>
      <w:kern w:val="2"/>
      <w:sz w:val="24"/>
      <w:szCs w:val="24"/>
    </w:rPr>
  </w:style>
  <w:style w:type="paragraph" w:customStyle="1" w:styleId="2087">
    <w:name w:val="样式 首行缩进:  2 字符1"/>
    <w:basedOn w:val="1"/>
    <w:qFormat/>
    <w:uiPriority w:val="0"/>
    <w:pPr>
      <w:spacing w:line="460" w:lineRule="exact"/>
      <w:ind w:firstLine="200" w:firstLineChars="200"/>
    </w:pPr>
    <w:rPr>
      <w:rFonts w:eastAsia="仿宋_GB2312"/>
      <w:sz w:val="28"/>
      <w:szCs w:val="20"/>
    </w:rPr>
  </w:style>
  <w:style w:type="paragraph" w:customStyle="1" w:styleId="2088">
    <w:name w:val="Char Char1 Char Char Char Char"/>
    <w:basedOn w:val="1"/>
    <w:next w:val="1"/>
    <w:qFormat/>
    <w:uiPriority w:val="0"/>
    <w:pPr>
      <w:spacing w:line="360" w:lineRule="auto"/>
      <w:ind w:firstLine="200" w:firstLineChars="200"/>
    </w:pPr>
    <w:rPr>
      <w:rFonts w:ascii="宋体" w:hAnsi="宋体" w:cs="宋体"/>
    </w:rPr>
  </w:style>
  <w:style w:type="paragraph" w:customStyle="1" w:styleId="2089">
    <w:name w:val="Char Char5 Char Char Char Char Char Char Char Char Char Char"/>
    <w:basedOn w:val="1"/>
    <w:next w:val="1"/>
    <w:qFormat/>
    <w:uiPriority w:val="0"/>
    <w:pPr>
      <w:spacing w:line="360" w:lineRule="auto"/>
      <w:ind w:firstLine="200" w:firstLineChars="200"/>
    </w:pPr>
    <w:rPr>
      <w:rFonts w:ascii="宋体" w:hAnsi="宋体" w:cs="宋体"/>
    </w:rPr>
  </w:style>
  <w:style w:type="character" w:customStyle="1" w:styleId="2090">
    <w:name w:val="SSEC 正文 字符"/>
    <w:link w:val="2091"/>
    <w:qFormat/>
    <w:locked/>
    <w:uiPriority w:val="0"/>
    <w:rPr>
      <w:rFonts w:ascii="宋体" w:hAnsi="宋体"/>
      <w:kern w:val="2"/>
      <w:sz w:val="24"/>
      <w:szCs w:val="24"/>
    </w:rPr>
  </w:style>
  <w:style w:type="paragraph" w:customStyle="1" w:styleId="2091">
    <w:name w:val="SSEC 正文"/>
    <w:link w:val="2090"/>
    <w:qFormat/>
    <w:uiPriority w:val="0"/>
    <w:pPr>
      <w:widowControl w:val="0"/>
      <w:adjustRightInd w:val="0"/>
      <w:snapToGrid w:val="0"/>
      <w:spacing w:line="328" w:lineRule="auto"/>
      <w:ind w:firstLine="200" w:firstLineChars="200"/>
      <w:jc w:val="both"/>
    </w:pPr>
    <w:rPr>
      <w:rFonts w:ascii="宋体" w:hAnsi="宋体" w:eastAsia="宋体" w:cs="Times New Roman"/>
      <w:kern w:val="2"/>
      <w:sz w:val="24"/>
      <w:szCs w:val="24"/>
      <w:lang w:val="en-US" w:eastAsia="zh-CN" w:bidi="ar-SA"/>
    </w:rPr>
  </w:style>
  <w:style w:type="character" w:customStyle="1" w:styleId="2092">
    <w:name w:val="标题 5 Char"/>
    <w:basedOn w:val="133"/>
    <w:qFormat/>
    <w:uiPriority w:val="0"/>
    <w:rPr>
      <w:rFonts w:hint="default" w:ascii="Times New Roman" w:hAnsi="Times New Roman" w:eastAsia="宋体" w:cs="Times New Roman"/>
      <w:b/>
      <w:bCs/>
      <w:sz w:val="28"/>
      <w:szCs w:val="28"/>
    </w:rPr>
  </w:style>
  <w:style w:type="character" w:customStyle="1" w:styleId="2093">
    <w:name w:val="标题 8 Char"/>
    <w:basedOn w:val="133"/>
    <w:qFormat/>
    <w:uiPriority w:val="0"/>
    <w:rPr>
      <w:rFonts w:hint="default" w:ascii="Calibri Light" w:hAnsi="Calibri Light" w:eastAsia="宋体" w:cs="Times New Roman"/>
      <w:sz w:val="24"/>
      <w:szCs w:val="24"/>
    </w:rPr>
  </w:style>
  <w:style w:type="character" w:customStyle="1" w:styleId="2094">
    <w:name w:val="标题 9 Char"/>
    <w:basedOn w:val="133"/>
    <w:qFormat/>
    <w:uiPriority w:val="0"/>
    <w:rPr>
      <w:rFonts w:hint="default" w:ascii="Calibri Light" w:hAnsi="Calibri Light" w:eastAsia="宋体" w:cs="Times New Roman"/>
      <w:szCs w:val="21"/>
    </w:rPr>
  </w:style>
  <w:style w:type="character" w:customStyle="1" w:styleId="2095">
    <w:name w:val="04 四级标题 Char"/>
    <w:semiHidden/>
    <w:qFormat/>
    <w:uiPriority w:val="0"/>
    <w:rPr>
      <w:rFonts w:hint="eastAsia" w:ascii="宋体" w:hAnsi="宋体" w:eastAsia="宋体"/>
      <w:b/>
      <w:spacing w:val="-2"/>
      <w:kern w:val="2"/>
      <w:sz w:val="26"/>
      <w:szCs w:val="28"/>
      <w:lang w:val="en-US" w:eastAsia="zh-CN" w:bidi="ar-SA"/>
    </w:rPr>
  </w:style>
  <w:style w:type="character" w:customStyle="1" w:styleId="2096">
    <w:name w:val="表头样式 Char Char"/>
    <w:semiHidden/>
    <w:qFormat/>
    <w:uiPriority w:val="0"/>
    <w:rPr>
      <w:rFonts w:hint="eastAsia" w:ascii="宋体" w:hAnsi="宋体" w:eastAsia="宋体" w:cs="宋体"/>
      <w:kern w:val="2"/>
      <w:sz w:val="21"/>
      <w:szCs w:val="21"/>
      <w:lang w:val="en-US" w:eastAsia="zh-CN" w:bidi="ar-SA"/>
    </w:rPr>
  </w:style>
  <w:style w:type="character" w:customStyle="1" w:styleId="2097">
    <w:name w:val="正文文本缩进 3 Char1"/>
    <w:basedOn w:val="133"/>
    <w:qFormat/>
    <w:uiPriority w:val="0"/>
    <w:rPr>
      <w:rFonts w:hint="default" w:ascii="Times New Roman" w:hAnsi="Times New Roman" w:eastAsia="宋体" w:cs="Times New Roman"/>
      <w:sz w:val="16"/>
      <w:szCs w:val="16"/>
    </w:rPr>
  </w:style>
  <w:style w:type="character" w:customStyle="1" w:styleId="2098">
    <w:name w:val="样式 字符缩放: 100%"/>
    <w:qFormat/>
    <w:uiPriority w:val="0"/>
    <w:rPr>
      <w:spacing w:val="0"/>
      <w:w w:val="100"/>
      <w:position w:val="0"/>
    </w:rPr>
  </w:style>
  <w:style w:type="character" w:customStyle="1" w:styleId="2099">
    <w:name w:val="z-窗体底端 Char1"/>
    <w:basedOn w:val="133"/>
    <w:qFormat/>
    <w:uiPriority w:val="0"/>
    <w:rPr>
      <w:rFonts w:hint="default" w:ascii="Arial" w:hAnsi="Arial" w:cs="Arial"/>
      <w:vanish/>
      <w:kern w:val="2"/>
      <w:sz w:val="16"/>
      <w:szCs w:val="16"/>
    </w:rPr>
  </w:style>
  <w:style w:type="paragraph" w:customStyle="1" w:styleId="2100">
    <w:name w:val="z-窗体顶端2"/>
    <w:basedOn w:val="1"/>
    <w:next w:val="1"/>
    <w:link w:val="2101"/>
    <w:unhideWhenUsed/>
    <w:qFormat/>
    <w:uiPriority w:val="0"/>
    <w:pPr>
      <w:pBdr>
        <w:bottom w:val="single" w:color="auto" w:sz="6" w:space="1"/>
      </w:pBdr>
      <w:adjustRightInd w:val="0"/>
      <w:snapToGrid w:val="0"/>
      <w:spacing w:line="360" w:lineRule="auto"/>
      <w:ind w:firstLine="210" w:firstLineChars="210"/>
      <w:jc w:val="center"/>
    </w:pPr>
    <w:rPr>
      <w:rFonts w:ascii="Arial" w:hAnsi="Arial" w:cs="Arial"/>
      <w:vanish/>
      <w:sz w:val="16"/>
      <w:szCs w:val="16"/>
    </w:rPr>
  </w:style>
  <w:style w:type="character" w:customStyle="1" w:styleId="2101">
    <w:name w:val="z-窗体顶端 Char2"/>
    <w:basedOn w:val="133"/>
    <w:link w:val="2100"/>
    <w:semiHidden/>
    <w:qFormat/>
    <w:uiPriority w:val="0"/>
    <w:rPr>
      <w:rFonts w:ascii="Arial" w:hAnsi="Arial" w:cs="Arial"/>
      <w:vanish/>
      <w:kern w:val="2"/>
      <w:sz w:val="16"/>
      <w:szCs w:val="16"/>
    </w:rPr>
  </w:style>
  <w:style w:type="character" w:customStyle="1" w:styleId="2102">
    <w:name w:val="z-窗体顶端 Char1"/>
    <w:basedOn w:val="133"/>
    <w:semiHidden/>
    <w:qFormat/>
    <w:uiPriority w:val="99"/>
    <w:rPr>
      <w:rFonts w:hint="default" w:ascii="Arial" w:hAnsi="Arial" w:cs="Arial"/>
      <w:vanish/>
      <w:kern w:val="2"/>
      <w:sz w:val="16"/>
      <w:szCs w:val="16"/>
    </w:rPr>
  </w:style>
  <w:style w:type="table" w:customStyle="1" w:styleId="2103">
    <w:name w:val="网格型6"/>
    <w:basedOn w:val="88"/>
    <w:qFormat/>
    <w:uiPriority w:val="0"/>
    <w:rPr>
      <w:rFonts w:ascii="Calibri" w:hAnsi="Calibri"/>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Pr>
  </w:style>
  <w:style w:type="paragraph" w:customStyle="1" w:styleId="2104">
    <w:name w:val="二级标题-秦滨"/>
    <w:basedOn w:val="2011"/>
    <w:qFormat/>
    <w:uiPriority w:val="0"/>
    <w:pPr>
      <w:spacing w:before="156" w:after="156"/>
      <w:jc w:val="left"/>
    </w:pPr>
  </w:style>
  <w:style w:type="paragraph" w:customStyle="1" w:styleId="2105">
    <w:name w:val="表格内容居中"/>
    <w:link w:val="2106"/>
    <w:qFormat/>
    <w:uiPriority w:val="0"/>
    <w:pPr>
      <w:jc w:val="center"/>
    </w:pPr>
    <w:rPr>
      <w:rFonts w:ascii="Times New Roman" w:hAnsi="Times New Roman" w:eastAsia="宋体" w:cs="Times New Roman"/>
      <w:bCs/>
      <w:kern w:val="2"/>
      <w:sz w:val="21"/>
      <w:szCs w:val="32"/>
      <w:lang w:val="en-US" w:eastAsia="zh-CN" w:bidi="ar-SA"/>
    </w:rPr>
  </w:style>
  <w:style w:type="character" w:customStyle="1" w:styleId="2106">
    <w:name w:val="表格内容居中 Char"/>
    <w:basedOn w:val="133"/>
    <w:link w:val="2105"/>
    <w:qFormat/>
    <w:uiPriority w:val="0"/>
    <w:rPr>
      <w:bCs/>
      <w:kern w:val="2"/>
      <w:sz w:val="21"/>
      <w:szCs w:val="32"/>
    </w:rPr>
  </w:style>
  <w:style w:type="paragraph" w:customStyle="1" w:styleId="2107">
    <w:name w:val="报告正文小四"/>
    <w:basedOn w:val="1"/>
    <w:link w:val="2108"/>
    <w:qFormat/>
    <w:uiPriority w:val="0"/>
    <w:pPr>
      <w:widowControl/>
      <w:adjustRightInd w:val="0"/>
      <w:snapToGrid w:val="0"/>
      <w:spacing w:before="120" w:line="420" w:lineRule="atLeast"/>
      <w:ind w:firstLine="510" w:firstLineChars="200"/>
      <w:jc w:val="left"/>
    </w:pPr>
    <w:rPr>
      <w:rFonts w:cstheme="majorBidi"/>
      <w:kern w:val="0"/>
      <w:szCs w:val="20"/>
    </w:rPr>
  </w:style>
  <w:style w:type="character" w:customStyle="1" w:styleId="2108">
    <w:name w:val="报告正文小四 Char"/>
    <w:link w:val="2107"/>
    <w:qFormat/>
    <w:uiPriority w:val="0"/>
    <w:rPr>
      <w:rFonts w:cstheme="majorBidi"/>
      <w:sz w:val="24"/>
    </w:rPr>
  </w:style>
  <w:style w:type="character" w:customStyle="1" w:styleId="2109">
    <w:name w:val="环评正文 Char1"/>
    <w:qFormat/>
    <w:uiPriority w:val="0"/>
    <w:rPr>
      <w:kern w:val="2"/>
      <w:sz w:val="21"/>
      <w:szCs w:val="24"/>
    </w:rPr>
  </w:style>
  <w:style w:type="character" w:customStyle="1" w:styleId="2110">
    <w:name w:val="不明显强调2"/>
    <w:qFormat/>
    <w:uiPriority w:val="19"/>
    <w:rPr>
      <w:i/>
      <w:color w:val="5A5A5A"/>
    </w:rPr>
  </w:style>
  <w:style w:type="character" w:customStyle="1" w:styleId="2111">
    <w:name w:val="结束语 Char2"/>
    <w:qFormat/>
    <w:uiPriority w:val="0"/>
    <w:rPr>
      <w:rFonts w:ascii="宋体" w:eastAsia="宋体"/>
      <w:sz w:val="21"/>
      <w:szCs w:val="21"/>
    </w:rPr>
  </w:style>
  <w:style w:type="character" w:customStyle="1" w:styleId="2112">
    <w:name w:val="a91"/>
    <w:qFormat/>
    <w:uiPriority w:val="0"/>
    <w:rPr>
      <w:spacing w:val="560"/>
      <w:sz w:val="18"/>
      <w:szCs w:val="18"/>
    </w:rPr>
  </w:style>
  <w:style w:type="character" w:customStyle="1" w:styleId="2113">
    <w:name w:val="文字框 Char Char"/>
    <w:qFormat/>
    <w:uiPriority w:val="0"/>
    <w:rPr>
      <w:rFonts w:ascii="宋体" w:eastAsia="宋体"/>
      <w:kern w:val="2"/>
      <w:sz w:val="21"/>
      <w:lang w:val="en-US" w:eastAsia="zh-CN" w:bidi="ar-SA"/>
    </w:rPr>
  </w:style>
  <w:style w:type="character" w:customStyle="1" w:styleId="2114">
    <w:name w:val="正文文本缩进 3 Char2"/>
    <w:qFormat/>
    <w:uiPriority w:val="0"/>
    <w:rPr>
      <w:sz w:val="16"/>
      <w:szCs w:val="16"/>
    </w:rPr>
  </w:style>
  <w:style w:type="character" w:customStyle="1" w:styleId="2115">
    <w:name w:val="fix91"/>
    <w:qFormat/>
    <w:uiPriority w:val="0"/>
    <w:rPr>
      <w:rFonts w:hint="default" w:ascii="Arial" w:hAnsi="Arial"/>
      <w:sz w:val="18"/>
    </w:rPr>
  </w:style>
  <w:style w:type="character" w:customStyle="1" w:styleId="2116">
    <w:name w:val="zw1"/>
    <w:qFormat/>
    <w:uiPriority w:val="0"/>
    <w:rPr>
      <w:rFonts w:hint="eastAsia" w:ascii="宋体" w:hAnsi="宋体" w:eastAsia="宋体"/>
      <w:sz w:val="22"/>
      <w:szCs w:val="22"/>
    </w:rPr>
  </w:style>
  <w:style w:type="character" w:customStyle="1" w:styleId="2117">
    <w:name w:val="样式 正文文本缩进 3 + 小四 段前: 6 磅 段后: 6 磅 行距: 1.5 倍行距 Char"/>
    <w:qFormat/>
    <w:uiPriority w:val="0"/>
    <w:rPr>
      <w:rFonts w:eastAsia="宋体" w:cs="宋体"/>
      <w:kern w:val="2"/>
      <w:sz w:val="24"/>
      <w:szCs w:val="16"/>
      <w:lang w:val="en-US" w:eastAsia="zh-CN" w:bidi="ar-SA"/>
    </w:rPr>
  </w:style>
  <w:style w:type="character" w:customStyle="1" w:styleId="2118">
    <w:name w:val="文档结构图 Char2"/>
    <w:qFormat/>
    <w:uiPriority w:val="0"/>
    <w:rPr>
      <w:rFonts w:ascii="Microsoft YaHei UI" w:eastAsia="Microsoft YaHei UI"/>
      <w:kern w:val="2"/>
      <w:sz w:val="18"/>
      <w:szCs w:val="18"/>
    </w:rPr>
  </w:style>
  <w:style w:type="character" w:customStyle="1" w:styleId="2119">
    <w:name w:val="样式 黑色"/>
    <w:qFormat/>
    <w:uiPriority w:val="0"/>
    <w:rPr>
      <w:rFonts w:ascii="宋体" w:eastAsia="宋体"/>
      <w:color w:val="000000"/>
      <w:sz w:val="24"/>
      <w:szCs w:val="24"/>
      <w:lang w:val="en-US" w:eastAsia="en-US" w:bidi="ar-SA"/>
    </w:rPr>
  </w:style>
  <w:style w:type="character" w:customStyle="1" w:styleId="2120">
    <w:name w:val="注释标题 Char2"/>
    <w:qFormat/>
    <w:uiPriority w:val="0"/>
    <w:rPr>
      <w:rFonts w:ascii="Calibri" w:hAnsi="Calibri" w:eastAsia="宋体" w:cs="Times New Roman"/>
      <w:kern w:val="0"/>
      <w:sz w:val="24"/>
      <w:szCs w:val="24"/>
    </w:rPr>
  </w:style>
  <w:style w:type="character" w:customStyle="1" w:styleId="2121">
    <w:name w:val="dxj正文 Char"/>
    <w:qFormat/>
    <w:uiPriority w:val="0"/>
    <w:rPr>
      <w:rFonts w:eastAsia="宋体"/>
      <w:kern w:val="2"/>
      <w:sz w:val="24"/>
      <w:szCs w:val="24"/>
      <w:lang w:val="en-US" w:eastAsia="zh-CN" w:bidi="ar-SA"/>
    </w:rPr>
  </w:style>
  <w:style w:type="character" w:customStyle="1" w:styleId="2122">
    <w:name w:val="HTML 代码1"/>
    <w:qFormat/>
    <w:uiPriority w:val="0"/>
    <w:rPr>
      <w:rFonts w:ascii="黑体" w:eastAsia="黑体" w:cs="Courier New"/>
      <w:sz w:val="24"/>
      <w:szCs w:val="24"/>
      <w:lang w:bidi="ar-SA"/>
    </w:rPr>
  </w:style>
  <w:style w:type="character" w:customStyle="1" w:styleId="2123">
    <w:name w:val="结束语 Char3"/>
    <w:qFormat/>
    <w:uiPriority w:val="0"/>
  </w:style>
  <w:style w:type="character" w:customStyle="1" w:styleId="2124">
    <w:name w:val="签名 Char3"/>
    <w:qFormat/>
    <w:uiPriority w:val="0"/>
  </w:style>
  <w:style w:type="character" w:customStyle="1" w:styleId="2125">
    <w:name w:val="文档结构图 Char5"/>
    <w:qFormat/>
    <w:uiPriority w:val="0"/>
    <w:rPr>
      <w:rFonts w:ascii="宋体" w:eastAsia="宋体"/>
      <w:sz w:val="18"/>
      <w:szCs w:val="18"/>
    </w:rPr>
  </w:style>
  <w:style w:type="character" w:customStyle="1" w:styleId="2126">
    <w:name w:val="结束语 Char1"/>
    <w:qFormat/>
    <w:uiPriority w:val="0"/>
    <w:rPr>
      <w:rFonts w:ascii="Calibri" w:hAnsi="Calibri" w:eastAsia="宋体" w:cs="Times New Roman"/>
      <w:kern w:val="0"/>
      <w:sz w:val="24"/>
      <w:szCs w:val="24"/>
    </w:rPr>
  </w:style>
  <w:style w:type="character" w:customStyle="1" w:styleId="2127">
    <w:name w:val="正文文本缩进 2 Char3"/>
    <w:qFormat/>
    <w:uiPriority w:val="0"/>
    <w:rPr>
      <w:rFonts w:ascii="Times New Roman" w:hAnsi="Times New Roman" w:eastAsia="宋体" w:cs="Times New Roman"/>
      <w:szCs w:val="24"/>
      <w:lang w:bidi="ar-SA"/>
    </w:rPr>
  </w:style>
  <w:style w:type="character" w:customStyle="1" w:styleId="2128">
    <w:name w:val="不明显参考2"/>
    <w:qFormat/>
    <w:uiPriority w:val="31"/>
    <w:rPr>
      <w:sz w:val="24"/>
      <w:szCs w:val="24"/>
      <w:u w:val="single"/>
    </w:rPr>
  </w:style>
  <w:style w:type="character" w:customStyle="1" w:styleId="2129">
    <w:name w:val="明显参考11"/>
    <w:qFormat/>
    <w:uiPriority w:val="0"/>
    <w:rPr>
      <w:b/>
      <w:sz w:val="24"/>
      <w:u w:val="single"/>
    </w:rPr>
  </w:style>
  <w:style w:type="character" w:customStyle="1" w:styleId="2130">
    <w:name w:val="style391"/>
    <w:qFormat/>
    <w:uiPriority w:val="0"/>
    <w:rPr>
      <w:sz w:val="18"/>
      <w:szCs w:val="18"/>
    </w:rPr>
  </w:style>
  <w:style w:type="character" w:customStyle="1" w:styleId="2131">
    <w:name w:val="style111"/>
    <w:qFormat/>
    <w:uiPriority w:val="0"/>
    <w:rPr>
      <w:rFonts w:ascii="宋体" w:hAnsi="宋体" w:eastAsia="宋体" w:cs="宋体"/>
      <w:kern w:val="2"/>
      <w:sz w:val="21"/>
      <w:szCs w:val="21"/>
      <w:lang w:val="en-US" w:eastAsia="zh-CN" w:bidi="ar-SA"/>
    </w:rPr>
  </w:style>
  <w:style w:type="character" w:customStyle="1" w:styleId="2132">
    <w:name w:val="style221"/>
    <w:qFormat/>
    <w:uiPriority w:val="0"/>
    <w:rPr>
      <w:sz w:val="36"/>
    </w:rPr>
  </w:style>
  <w:style w:type="character" w:customStyle="1" w:styleId="2133">
    <w:name w:val="er1"/>
    <w:qFormat/>
    <w:uiPriority w:val="0"/>
    <w:rPr>
      <w:rFonts w:hint="default"/>
      <w:color w:val="000000"/>
      <w:sz w:val="22"/>
      <w:szCs w:val="22"/>
    </w:rPr>
  </w:style>
  <w:style w:type="character" w:customStyle="1" w:styleId="2134">
    <w:name w:val="文章正文 Char2"/>
    <w:qFormat/>
    <w:uiPriority w:val="0"/>
    <w:rPr>
      <w:rFonts w:ascii="宋体" w:hAnsi="宋体" w:eastAsia="宋体"/>
      <w:kern w:val="2"/>
      <w:sz w:val="24"/>
      <w:szCs w:val="24"/>
      <w:lang w:val="en-US" w:eastAsia="zh-CN" w:bidi="ar-SA"/>
    </w:rPr>
  </w:style>
  <w:style w:type="character" w:customStyle="1" w:styleId="2135">
    <w:name w:val="标题 a Char"/>
    <w:qFormat/>
    <w:uiPriority w:val="0"/>
    <w:rPr>
      <w:rFonts w:ascii="Arial" w:hAnsi="Arial" w:eastAsia="黑体"/>
      <w:b/>
      <w:bCs/>
      <w:kern w:val="2"/>
      <w:sz w:val="28"/>
      <w:szCs w:val="28"/>
      <w:lang w:val="en-US" w:eastAsia="zh-CN" w:bidi="ar-SA"/>
    </w:rPr>
  </w:style>
  <w:style w:type="character" w:customStyle="1" w:styleId="2136">
    <w:name w:val="样式 正文缩进 + 仿宋_GB2312 四号 Char"/>
    <w:qFormat/>
    <w:uiPriority w:val="0"/>
    <w:rPr>
      <w:rFonts w:ascii="仿宋_GB2312" w:hAnsi="仿宋_GB2312" w:eastAsia="仿宋_GB2312"/>
      <w:sz w:val="24"/>
      <w:szCs w:val="24"/>
      <w:lang w:val="en-US" w:eastAsia="zh-CN" w:bidi="ar-SA"/>
    </w:rPr>
  </w:style>
  <w:style w:type="character" w:customStyle="1" w:styleId="2137">
    <w:name w:val="H7 Char3"/>
    <w:qFormat/>
    <w:uiPriority w:val="0"/>
    <w:rPr>
      <w:rFonts w:eastAsia="宋体"/>
      <w:b/>
      <w:bCs/>
      <w:sz w:val="24"/>
      <w:szCs w:val="24"/>
      <w:lang w:val="en-US" w:eastAsia="zh-CN" w:bidi="ar-SA"/>
    </w:rPr>
  </w:style>
  <w:style w:type="character" w:customStyle="1" w:styleId="2138">
    <w:name w:val="style21"/>
    <w:qFormat/>
    <w:uiPriority w:val="0"/>
    <w:rPr>
      <w:spacing w:val="384"/>
      <w:sz w:val="28"/>
      <w:szCs w:val="28"/>
    </w:rPr>
  </w:style>
  <w:style w:type="character" w:customStyle="1" w:styleId="2139">
    <w:name w:val="文章正文 Char Char"/>
    <w:qFormat/>
    <w:uiPriority w:val="0"/>
    <w:rPr>
      <w:rFonts w:ascii="宋体" w:hAnsi="宋体" w:eastAsia="宋体"/>
      <w:kern w:val="2"/>
      <w:sz w:val="24"/>
      <w:szCs w:val="24"/>
      <w:lang w:val="en-US" w:eastAsia="zh-CN" w:bidi="ar-SA"/>
    </w:rPr>
  </w:style>
  <w:style w:type="character" w:customStyle="1" w:styleId="2140">
    <w:name w:val="日期 Char2"/>
    <w:qFormat/>
    <w:uiPriority w:val="0"/>
    <w:rPr>
      <w:kern w:val="2"/>
      <w:sz w:val="24"/>
      <w:szCs w:val="24"/>
    </w:rPr>
  </w:style>
  <w:style w:type="character" w:customStyle="1" w:styleId="2141">
    <w:name w:val="pt91"/>
    <w:qFormat/>
    <w:uiPriority w:val="0"/>
    <w:rPr>
      <w:color w:val="000000"/>
      <w:sz w:val="18"/>
      <w:szCs w:val="18"/>
    </w:rPr>
  </w:style>
  <w:style w:type="character" w:customStyle="1" w:styleId="2142">
    <w:name w:val="页脚 Char2"/>
    <w:qFormat/>
    <w:uiPriority w:val="0"/>
    <w:rPr>
      <w:sz w:val="18"/>
      <w:szCs w:val="18"/>
    </w:rPr>
  </w:style>
  <w:style w:type="character" w:customStyle="1" w:styleId="2143">
    <w:name w:val="批注框文本 Char2"/>
    <w:qFormat/>
    <w:uiPriority w:val="0"/>
    <w:rPr>
      <w:kern w:val="2"/>
      <w:sz w:val="18"/>
      <w:szCs w:val="18"/>
    </w:rPr>
  </w:style>
  <w:style w:type="character" w:customStyle="1" w:styleId="2144">
    <w:name w:val="cauc-0 Char Char"/>
    <w:qFormat/>
    <w:uiPriority w:val="0"/>
    <w:rPr>
      <w:kern w:val="2"/>
      <w:sz w:val="24"/>
      <w:szCs w:val="24"/>
      <w:lang w:val="en-US" w:eastAsia="zh-CN" w:bidi="ar-SA"/>
    </w:rPr>
  </w:style>
  <w:style w:type="character" w:customStyle="1" w:styleId="2145">
    <w:name w:val="L标题4L Char"/>
    <w:qFormat/>
    <w:uiPriority w:val="0"/>
    <w:rPr>
      <w:rFonts w:eastAsia="宋体"/>
      <w:b/>
      <w:sz w:val="24"/>
      <w:szCs w:val="24"/>
      <w:lang w:bidi="ar-SA"/>
    </w:rPr>
  </w:style>
  <w:style w:type="character" w:customStyle="1" w:styleId="2146">
    <w:name w:val="批注文字 Char2"/>
    <w:qFormat/>
    <w:uiPriority w:val="0"/>
    <w:rPr>
      <w:rFonts w:ascii="Calibri" w:hAnsi="Calibri" w:eastAsia="宋体" w:cs="Times New Roman"/>
      <w:kern w:val="0"/>
      <w:sz w:val="24"/>
      <w:szCs w:val="24"/>
    </w:rPr>
  </w:style>
  <w:style w:type="character" w:customStyle="1" w:styleId="2147">
    <w:name w:val="正文YHY Char Char"/>
    <w:qFormat/>
    <w:uiPriority w:val="0"/>
    <w:rPr>
      <w:rFonts w:eastAsia="宋体"/>
      <w:sz w:val="24"/>
      <w:szCs w:val="24"/>
    </w:rPr>
  </w:style>
  <w:style w:type="character" w:customStyle="1" w:styleId="2148">
    <w:name w:val="文档结构图 Char4"/>
    <w:qFormat/>
    <w:uiPriority w:val="0"/>
    <w:rPr>
      <w:rFonts w:ascii="Times New Roman" w:hAnsi="Times New Roman" w:eastAsia="宋体" w:cs="Times New Roman"/>
      <w:szCs w:val="24"/>
      <w:shd w:val="clear" w:color="auto" w:fill="000080"/>
      <w:lang w:bidi="ar-SA"/>
    </w:rPr>
  </w:style>
  <w:style w:type="character" w:customStyle="1" w:styleId="2149">
    <w:name w:val="文章 Char"/>
    <w:qFormat/>
    <w:uiPriority w:val="0"/>
    <w:rPr>
      <w:rFonts w:eastAsia="宋体"/>
      <w:sz w:val="24"/>
      <w:szCs w:val="24"/>
      <w:lang w:val="en-US" w:eastAsia="zh-CN" w:bidi="ar-SA"/>
    </w:rPr>
  </w:style>
  <w:style w:type="character" w:customStyle="1" w:styleId="2150">
    <w:name w:val="Char Char26"/>
    <w:qFormat/>
    <w:uiPriority w:val="0"/>
    <w:rPr>
      <w:rFonts w:ascii="Times New Roman" w:hAnsi="Times New Roman" w:eastAsia="宋体" w:cs="Times New Roman"/>
      <w:b/>
      <w:kern w:val="2"/>
      <w:sz w:val="36"/>
      <w:szCs w:val="20"/>
      <w:lang w:bidi="ar-SA"/>
    </w:rPr>
  </w:style>
  <w:style w:type="character" w:customStyle="1" w:styleId="2151">
    <w:name w:val="标题 Char2"/>
    <w:qFormat/>
    <w:uiPriority w:val="0"/>
    <w:rPr>
      <w:rFonts w:ascii="Cambria" w:hAnsi="Cambria" w:eastAsia="宋体" w:cs="Times New Roman"/>
      <w:b/>
      <w:bCs/>
      <w:kern w:val="0"/>
      <w:sz w:val="32"/>
      <w:szCs w:val="32"/>
    </w:rPr>
  </w:style>
  <w:style w:type="character" w:customStyle="1" w:styleId="2152">
    <w:name w:val="t_blue_01"/>
    <w:qFormat/>
    <w:uiPriority w:val="0"/>
    <w:rPr>
      <w:rFonts w:ascii="宋体" w:eastAsia="宋体"/>
      <w:sz w:val="24"/>
      <w:szCs w:val="20"/>
    </w:rPr>
  </w:style>
  <w:style w:type="character" w:customStyle="1" w:styleId="2153">
    <w:name w:val="批注文字 Char"/>
    <w:qFormat/>
    <w:uiPriority w:val="99"/>
    <w:rPr>
      <w:rFonts w:ascii="Times New Roman" w:hAnsi="Times New Roman"/>
      <w:kern w:val="2"/>
      <w:sz w:val="21"/>
      <w:szCs w:val="24"/>
    </w:rPr>
  </w:style>
  <w:style w:type="character" w:customStyle="1" w:styleId="2154">
    <w:name w:val="HTML 地址 Char2"/>
    <w:semiHidden/>
    <w:qFormat/>
    <w:uiPriority w:val="99"/>
    <w:rPr>
      <w:rFonts w:ascii="Calibri" w:hAnsi="Calibri" w:eastAsia="宋体" w:cs="Times New Roman"/>
      <w:i/>
      <w:iCs/>
      <w:kern w:val="0"/>
      <w:sz w:val="24"/>
      <w:szCs w:val="24"/>
    </w:rPr>
  </w:style>
  <w:style w:type="character" w:customStyle="1" w:styleId="2155">
    <w:name w:val="电子邮件签名 Char3"/>
    <w:qFormat/>
    <w:uiPriority w:val="0"/>
  </w:style>
  <w:style w:type="character" w:customStyle="1" w:styleId="2156">
    <w:name w:val="正文文字 2 Char Char"/>
    <w:qFormat/>
    <w:uiPriority w:val="0"/>
    <w:rPr>
      <w:rFonts w:eastAsia="宋体"/>
      <w:kern w:val="2"/>
      <w:sz w:val="21"/>
      <w:szCs w:val="24"/>
      <w:lang w:val="en-US" w:eastAsia="zh-CN" w:bidi="ar-SA"/>
    </w:rPr>
  </w:style>
  <w:style w:type="character" w:customStyle="1" w:styleId="2157">
    <w:name w:val="注释标题 Char1"/>
    <w:qFormat/>
    <w:uiPriority w:val="0"/>
  </w:style>
  <w:style w:type="character" w:customStyle="1" w:styleId="2158">
    <w:name w:val="样式 宋体 四号 加粗"/>
    <w:qFormat/>
    <w:uiPriority w:val="0"/>
    <w:rPr>
      <w:rFonts w:ascii="宋体" w:hAnsi="宋体"/>
      <w:bCs/>
      <w:sz w:val="28"/>
    </w:rPr>
  </w:style>
  <w:style w:type="character" w:customStyle="1" w:styleId="2159">
    <w:name w:val="bigfont"/>
    <w:qFormat/>
    <w:uiPriority w:val="0"/>
  </w:style>
  <w:style w:type="character" w:customStyle="1" w:styleId="2160">
    <w:name w:val="样式 标题 2标题 21标题 121标题 2 Char1 Char节H2节标题 1.1节标题 1.1 Char... Char"/>
    <w:qFormat/>
    <w:uiPriority w:val="0"/>
    <w:rPr>
      <w:rFonts w:eastAsia="宋体"/>
      <w:sz w:val="24"/>
      <w:lang w:val="zh-CN" w:eastAsia="zh-CN" w:bidi="ar-SA"/>
    </w:rPr>
  </w:style>
  <w:style w:type="character" w:customStyle="1" w:styleId="2161">
    <w:name w:val="H7 Char4"/>
    <w:qFormat/>
    <w:uiPriority w:val="0"/>
    <w:rPr>
      <w:rFonts w:eastAsia="宋体"/>
      <w:b/>
      <w:bCs/>
      <w:sz w:val="24"/>
      <w:szCs w:val="24"/>
      <w:lang w:val="en-US" w:eastAsia="zh-CN" w:bidi="ar-SA"/>
    </w:rPr>
  </w:style>
  <w:style w:type="character" w:customStyle="1" w:styleId="2162">
    <w:name w:val="s"/>
    <w:qFormat/>
    <w:uiPriority w:val="0"/>
  </w:style>
  <w:style w:type="character" w:customStyle="1" w:styleId="2163">
    <w:name w:val="电子邮件签名 Char1"/>
    <w:qFormat/>
    <w:uiPriority w:val="0"/>
    <w:rPr>
      <w:rFonts w:ascii="Calibri" w:hAnsi="Calibri" w:eastAsia="宋体" w:cs="Times New Roman"/>
      <w:kern w:val="0"/>
      <w:sz w:val="24"/>
      <w:szCs w:val="24"/>
    </w:rPr>
  </w:style>
  <w:style w:type="character" w:customStyle="1" w:styleId="2164">
    <w:name w:val="l17-z105"/>
    <w:qFormat/>
    <w:uiPriority w:val="0"/>
  </w:style>
  <w:style w:type="character" w:customStyle="1" w:styleId="2165">
    <w:name w:val="txt181"/>
    <w:qFormat/>
    <w:uiPriority w:val="0"/>
    <w:rPr>
      <w:rFonts w:hint="eastAsia" w:ascii="宋体" w:hAnsi="宋体" w:eastAsia="宋体"/>
      <w:b/>
      <w:bCs/>
      <w:sz w:val="38"/>
      <w:szCs w:val="38"/>
      <w:u w:val="none"/>
    </w:rPr>
  </w:style>
  <w:style w:type="character" w:customStyle="1" w:styleId="2166">
    <w:name w:val="普通文字 Char Char Char Char Char C Char Char Char Char Char"/>
    <w:qFormat/>
    <w:uiPriority w:val="0"/>
    <w:rPr>
      <w:rFonts w:ascii="宋体" w:hAnsi="Courier New" w:eastAsia="宋体"/>
      <w:kern w:val="2"/>
      <w:sz w:val="21"/>
      <w:lang w:val="en-US" w:eastAsia="zh-CN" w:bidi="ar-SA"/>
    </w:rPr>
  </w:style>
  <w:style w:type="character" w:customStyle="1" w:styleId="2167">
    <w:name w:val="font71"/>
    <w:qFormat/>
    <w:uiPriority w:val="0"/>
    <w:rPr>
      <w:rFonts w:hint="default" w:ascii="Times New Roman" w:hAnsi="Times New Roman" w:cs="Times New Roman"/>
      <w:i/>
      <w:color w:val="000000"/>
      <w:sz w:val="20"/>
      <w:szCs w:val="20"/>
      <w:u w:val="none"/>
    </w:rPr>
  </w:style>
  <w:style w:type="character" w:customStyle="1" w:styleId="2168">
    <w:name w:val="正文文本 2 Char2"/>
    <w:qFormat/>
    <w:uiPriority w:val="0"/>
  </w:style>
  <w:style w:type="character" w:customStyle="1" w:styleId="2169">
    <w:name w:val="日期 Char3"/>
    <w:qFormat/>
    <w:uiPriority w:val="0"/>
    <w:rPr>
      <w:rFonts w:ascii="Times New Roman" w:hAnsi="Times New Roman" w:eastAsia="宋体" w:cs="Times New Roman"/>
      <w:szCs w:val="24"/>
      <w:lang w:bidi="ar-SA"/>
    </w:rPr>
  </w:style>
  <w:style w:type="character" w:customStyle="1" w:styleId="2170">
    <w:name w:val="表文字 Char1"/>
    <w:qFormat/>
    <w:uiPriority w:val="0"/>
    <w:rPr>
      <w:rFonts w:eastAsia="宋体"/>
      <w:sz w:val="24"/>
      <w:lang w:val="en-US" w:eastAsia="zh-CN" w:bidi="ar-SA"/>
    </w:rPr>
  </w:style>
  <w:style w:type="character" w:customStyle="1" w:styleId="2171">
    <w:name w:val="fix101"/>
    <w:qFormat/>
    <w:uiPriority w:val="0"/>
    <w:rPr>
      <w:rFonts w:hint="default" w:ascii="Arial" w:hAnsi="Arial"/>
      <w:sz w:val="20"/>
    </w:rPr>
  </w:style>
  <w:style w:type="character" w:customStyle="1" w:styleId="2172">
    <w:name w:val="Char Char23"/>
    <w:qFormat/>
    <w:uiPriority w:val="0"/>
    <w:rPr>
      <w:rFonts w:ascii="Arial" w:hAnsi="Arial" w:eastAsia="黑体"/>
      <w:b/>
      <w:bCs/>
      <w:kern w:val="2"/>
      <w:sz w:val="28"/>
      <w:szCs w:val="28"/>
      <w:lang w:val="en-US" w:eastAsia="zh-CN" w:bidi="ar-SA"/>
    </w:rPr>
  </w:style>
  <w:style w:type="character" w:customStyle="1" w:styleId="2173">
    <w:name w:val="样式51 Char Char"/>
    <w:qFormat/>
    <w:uiPriority w:val="0"/>
    <w:rPr>
      <w:rFonts w:hAnsi="宋体" w:eastAsia="宋体"/>
      <w:kern w:val="2"/>
      <w:sz w:val="24"/>
      <w:szCs w:val="24"/>
      <w:lang w:val="en-US" w:eastAsia="zh-CN" w:bidi="ar-SA"/>
    </w:rPr>
  </w:style>
  <w:style w:type="character" w:customStyle="1" w:styleId="2174">
    <w:name w:val="正文文字缩进 3 Char Char1"/>
    <w:qFormat/>
    <w:uiPriority w:val="0"/>
    <w:rPr>
      <w:rFonts w:eastAsia="宋体"/>
      <w:kern w:val="2"/>
      <w:sz w:val="16"/>
      <w:szCs w:val="16"/>
      <w:lang w:val="en-US" w:eastAsia="zh-CN" w:bidi="ar-SA"/>
    </w:rPr>
  </w:style>
  <w:style w:type="character" w:customStyle="1" w:styleId="2175">
    <w:name w:val="样式52 Char Char"/>
    <w:qFormat/>
    <w:uiPriority w:val="0"/>
    <w:rPr>
      <w:rFonts w:eastAsia="宋体"/>
      <w:b/>
      <w:kern w:val="2"/>
      <w:sz w:val="24"/>
      <w:szCs w:val="24"/>
      <w:lang w:val="en-US" w:eastAsia="zh-CN" w:bidi="ar-SA"/>
    </w:rPr>
  </w:style>
  <w:style w:type="character" w:customStyle="1" w:styleId="2176">
    <w:name w:val="asg1"/>
    <w:qFormat/>
    <w:uiPriority w:val="0"/>
    <w:rPr>
      <w:sz w:val="18"/>
      <w:szCs w:val="18"/>
    </w:rPr>
  </w:style>
  <w:style w:type="character" w:customStyle="1" w:styleId="2177">
    <w:name w:val="正文文字 2 Char Char5"/>
    <w:semiHidden/>
    <w:qFormat/>
    <w:uiPriority w:val="0"/>
    <w:rPr>
      <w:rFonts w:eastAsia="宋体"/>
      <w:spacing w:val="-10"/>
      <w:kern w:val="2"/>
      <w:sz w:val="21"/>
      <w:szCs w:val="24"/>
      <w:lang w:val="en-US" w:eastAsia="zh-CN" w:bidi="ar-SA"/>
    </w:rPr>
  </w:style>
  <w:style w:type="character" w:customStyle="1" w:styleId="2178">
    <w:name w:val="H8 Char1"/>
    <w:qFormat/>
    <w:uiPriority w:val="0"/>
    <w:rPr>
      <w:rFonts w:ascii="Arial" w:hAnsi="Arial" w:eastAsia="黑体"/>
      <w:sz w:val="24"/>
      <w:szCs w:val="24"/>
      <w:lang w:val="en-US" w:eastAsia="zh-CN" w:bidi="ar-SA"/>
    </w:rPr>
  </w:style>
  <w:style w:type="character" w:customStyle="1" w:styleId="2179">
    <w:name w:val="样式 标题 4标题 14H4My title 4款标题1.1.1.1 + (中文) 宋体 非加粗 段前: 12 磅..."/>
    <w:qFormat/>
    <w:uiPriority w:val="0"/>
    <w:rPr>
      <w:sz w:val="24"/>
      <w:szCs w:val="24"/>
    </w:rPr>
  </w:style>
  <w:style w:type="character" w:customStyle="1" w:styleId="2180">
    <w:name w:val="a页眉 Char Char"/>
    <w:qFormat/>
    <w:uiPriority w:val="0"/>
    <w:rPr>
      <w:rFonts w:eastAsia="宋体"/>
      <w:kern w:val="2"/>
      <w:sz w:val="18"/>
      <w:szCs w:val="18"/>
      <w:lang w:val="en-US" w:eastAsia="zh-CN" w:bidi="ar-SA"/>
    </w:rPr>
  </w:style>
  <w:style w:type="character" w:customStyle="1" w:styleId="2181">
    <w:name w:val="unnamed1"/>
    <w:qFormat/>
    <w:uiPriority w:val="0"/>
  </w:style>
  <w:style w:type="character" w:customStyle="1" w:styleId="2182">
    <w:name w:val="标题 3 Char Char Char Char Char Char Char Char Char Char Char Char Char Char Char Char"/>
    <w:qFormat/>
    <w:uiPriority w:val="0"/>
    <w:rPr>
      <w:rFonts w:ascii="宋体" w:hAnsi="宋体" w:eastAsia="宋体"/>
      <w:szCs w:val="32"/>
    </w:rPr>
  </w:style>
  <w:style w:type="character" w:customStyle="1" w:styleId="2183">
    <w:name w:val="文档结构图 Char1"/>
    <w:qFormat/>
    <w:uiPriority w:val="0"/>
    <w:rPr>
      <w:kern w:val="2"/>
      <w:sz w:val="21"/>
      <w:szCs w:val="24"/>
      <w:shd w:val="clear" w:color="auto" w:fill="000080"/>
    </w:rPr>
  </w:style>
  <w:style w:type="character" w:customStyle="1" w:styleId="2184">
    <w:name w:val="articlebody1"/>
    <w:qFormat/>
    <w:uiPriority w:val="0"/>
    <w:rPr>
      <w:sz w:val="21"/>
      <w:szCs w:val="21"/>
    </w:rPr>
  </w:style>
  <w:style w:type="character" w:customStyle="1" w:styleId="2185">
    <w:name w:val="H9 Char4"/>
    <w:qFormat/>
    <w:uiPriority w:val="0"/>
    <w:rPr>
      <w:rFonts w:ascii="Arial" w:hAnsi="Arial" w:eastAsia="黑体"/>
      <w:sz w:val="21"/>
      <w:szCs w:val="21"/>
      <w:lang w:val="en-US" w:eastAsia="zh-CN" w:bidi="ar-SA"/>
    </w:rPr>
  </w:style>
  <w:style w:type="character" w:customStyle="1" w:styleId="2186">
    <w:name w:val="物探标题 1 Char"/>
    <w:qFormat/>
    <w:uiPriority w:val="0"/>
    <w:rPr>
      <w:rFonts w:ascii="方正小标宋简体" w:hAnsi="华文中宋" w:eastAsia="方正小标宋简体"/>
      <w:b/>
      <w:kern w:val="44"/>
      <w:sz w:val="30"/>
      <w:szCs w:val="30"/>
      <w:lang w:val="en-US" w:eastAsia="zh-CN" w:bidi="ar-SA"/>
    </w:rPr>
  </w:style>
  <w:style w:type="character" w:customStyle="1" w:styleId="2187">
    <w:name w:val="首行缩进（正文） Char1"/>
    <w:qFormat/>
    <w:uiPriority w:val="0"/>
    <w:rPr>
      <w:rFonts w:ascii="宋体" w:hAnsi="宋体" w:eastAsia="宋体"/>
      <w:kern w:val="2"/>
      <w:sz w:val="24"/>
      <w:szCs w:val="24"/>
      <w:lang w:val="en-US" w:eastAsia="zh-CN" w:bidi="ar-SA"/>
    </w:rPr>
  </w:style>
  <w:style w:type="character" w:customStyle="1" w:styleId="2188">
    <w:name w:val="正文文字 2 Char Char2"/>
    <w:semiHidden/>
    <w:qFormat/>
    <w:uiPriority w:val="0"/>
    <w:rPr>
      <w:rFonts w:eastAsia="宋体"/>
      <w:spacing w:val="-10"/>
      <w:kern w:val="2"/>
      <w:sz w:val="21"/>
      <w:szCs w:val="24"/>
      <w:lang w:val="en-US" w:eastAsia="zh-CN" w:bidi="ar-SA"/>
    </w:rPr>
  </w:style>
  <w:style w:type="character" w:customStyle="1" w:styleId="2189">
    <w:name w:val="样式 段落样式 + (西文) 宋体 小四 黑色 Char Char"/>
    <w:qFormat/>
    <w:uiPriority w:val="0"/>
    <w:rPr>
      <w:rFonts w:eastAsia="宋体"/>
      <w:snapToGrid/>
      <w:color w:val="000000"/>
      <w:w w:val="90"/>
      <w:kern w:val="24"/>
      <w:sz w:val="24"/>
      <w:szCs w:val="21"/>
      <w:lang w:val="en-US" w:eastAsia="zh-CN" w:bidi="ar-SA"/>
    </w:rPr>
  </w:style>
  <w:style w:type="character" w:customStyle="1" w:styleId="2190">
    <w:name w:val="a标题 3 Char Char"/>
    <w:qFormat/>
    <w:uiPriority w:val="0"/>
    <w:rPr>
      <w:rFonts w:ascii="黑体" w:eastAsia="宋体"/>
      <w:b/>
      <w:sz w:val="28"/>
      <w:lang w:val="en-GB" w:eastAsia="zh-CN" w:bidi="ar-SA"/>
    </w:rPr>
  </w:style>
  <w:style w:type="character" w:customStyle="1" w:styleId="2191">
    <w:name w:val="headline-content3"/>
    <w:qFormat/>
    <w:uiPriority w:val="0"/>
  </w:style>
  <w:style w:type="character" w:customStyle="1" w:styleId="2192">
    <w:name w:val="orange1"/>
    <w:qFormat/>
    <w:uiPriority w:val="0"/>
    <w:rPr>
      <w:color w:val="FF6600"/>
    </w:rPr>
  </w:style>
  <w:style w:type="character" w:customStyle="1" w:styleId="2193">
    <w:name w:val="报告 Char1"/>
    <w:qFormat/>
    <w:uiPriority w:val="0"/>
    <w:rPr>
      <w:sz w:val="24"/>
    </w:rPr>
  </w:style>
  <w:style w:type="character" w:customStyle="1" w:styleId="2194">
    <w:name w:val="样式 标题 1标题 1 Char标题1章节H1h11headingHeader 1st Pageh1 chap..."/>
    <w:semiHidden/>
    <w:qFormat/>
    <w:uiPriority w:val="0"/>
    <w:rPr>
      <w:rFonts w:ascii="Times New Roman" w:eastAsia="仿宋_GB2312"/>
      <w:sz w:val="28"/>
    </w:rPr>
  </w:style>
  <w:style w:type="character" w:customStyle="1" w:styleId="2195">
    <w:name w:val="text_black1"/>
    <w:qFormat/>
    <w:uiPriority w:val="0"/>
    <w:rPr>
      <w:color w:val="000000"/>
      <w:sz w:val="24"/>
      <w:szCs w:val="24"/>
    </w:rPr>
  </w:style>
  <w:style w:type="character" w:customStyle="1" w:styleId="2196">
    <w:name w:val="title11"/>
    <w:qFormat/>
    <w:uiPriority w:val="0"/>
  </w:style>
  <w:style w:type="character" w:customStyle="1" w:styleId="2197">
    <w:name w:val="正文文字缩进 Char Char"/>
    <w:qFormat/>
    <w:uiPriority w:val="0"/>
    <w:rPr>
      <w:rFonts w:eastAsia="宋体"/>
      <w:kern w:val="2"/>
      <w:sz w:val="21"/>
      <w:szCs w:val="24"/>
      <w:lang w:val="en-US" w:eastAsia="zh-CN" w:bidi="ar-SA"/>
    </w:rPr>
  </w:style>
  <w:style w:type="character" w:customStyle="1" w:styleId="2198">
    <w:name w:val="页眉 Char2"/>
    <w:qFormat/>
    <w:uiPriority w:val="99"/>
    <w:rPr>
      <w:kern w:val="2"/>
      <w:sz w:val="18"/>
      <w:szCs w:val="18"/>
    </w:rPr>
  </w:style>
  <w:style w:type="character" w:customStyle="1" w:styleId="2199">
    <w:name w:val="正文文本缩进 2 Char2"/>
    <w:qFormat/>
    <w:uiPriority w:val="0"/>
  </w:style>
  <w:style w:type="character" w:customStyle="1" w:styleId="2200">
    <w:name w:val="正文文本 3 Char1"/>
    <w:qFormat/>
    <w:uiPriority w:val="0"/>
    <w:rPr>
      <w:sz w:val="16"/>
      <w:szCs w:val="16"/>
    </w:rPr>
  </w:style>
  <w:style w:type="character" w:customStyle="1" w:styleId="2201">
    <w:name w:val="Footer Char1"/>
    <w:semiHidden/>
    <w:qFormat/>
    <w:locked/>
    <w:uiPriority w:val="0"/>
    <w:rPr>
      <w:rFonts w:ascii="Times New Roman" w:hAnsi="Times New Roman" w:cs="Times New Roman"/>
      <w:sz w:val="18"/>
      <w:szCs w:val="18"/>
    </w:rPr>
  </w:style>
  <w:style w:type="character" w:customStyle="1" w:styleId="2202">
    <w:name w:val="HTML 预设格式 Char2"/>
    <w:qFormat/>
    <w:uiPriority w:val="0"/>
    <w:rPr>
      <w:rFonts w:ascii="Courier New" w:hAnsi="Courier New" w:cs="Courier New"/>
      <w:sz w:val="20"/>
      <w:szCs w:val="20"/>
      <w:lang w:bidi="ar-SA"/>
    </w:rPr>
  </w:style>
  <w:style w:type="character" w:customStyle="1" w:styleId="2203">
    <w:name w:val="p11"/>
    <w:qFormat/>
    <w:uiPriority w:val="0"/>
    <w:rPr>
      <w:rFonts w:hint="eastAsia" w:ascii="宋体" w:hAnsi="宋体" w:eastAsia="宋体"/>
      <w:sz w:val="18"/>
      <w:szCs w:val="18"/>
    </w:rPr>
  </w:style>
  <w:style w:type="character" w:customStyle="1" w:styleId="2204">
    <w:name w:val="td71"/>
    <w:qFormat/>
    <w:uiPriority w:val="0"/>
    <w:rPr>
      <w:color w:val="3B3B3B"/>
      <w:sz w:val="21"/>
      <w:szCs w:val="21"/>
    </w:rPr>
  </w:style>
  <w:style w:type="character" w:customStyle="1" w:styleId="2205">
    <w:name w:val="px14"/>
    <w:qFormat/>
    <w:uiPriority w:val="0"/>
  </w:style>
  <w:style w:type="character" w:customStyle="1" w:styleId="2206">
    <w:name w:val="页脚 Char Char"/>
    <w:qFormat/>
    <w:uiPriority w:val="0"/>
    <w:rPr>
      <w:rFonts w:eastAsia="宋体"/>
      <w:kern w:val="2"/>
      <w:sz w:val="18"/>
      <w:szCs w:val="18"/>
      <w:lang w:val="en-US" w:eastAsia="zh-CN" w:bidi="ar-SA"/>
    </w:rPr>
  </w:style>
  <w:style w:type="character" w:customStyle="1" w:styleId="2207">
    <w:name w:val="样式 标题 2 + 非加粗 Char"/>
    <w:qFormat/>
    <w:uiPriority w:val="0"/>
    <w:rPr>
      <w:rFonts w:eastAsia="黑体"/>
      <w:b/>
      <w:bCs/>
      <w:kern w:val="2"/>
      <w:sz w:val="32"/>
      <w:szCs w:val="32"/>
      <w:lang w:val="en-US" w:eastAsia="zh-CN"/>
    </w:rPr>
  </w:style>
  <w:style w:type="character" w:customStyle="1" w:styleId="2208">
    <w:name w:val="bt21"/>
    <w:qFormat/>
    <w:uiPriority w:val="0"/>
    <w:rPr>
      <w:rFonts w:hint="eastAsia" w:ascii="黑体" w:eastAsia="黑体"/>
      <w:sz w:val="24"/>
      <w:szCs w:val="24"/>
    </w:rPr>
  </w:style>
  <w:style w:type="character" w:customStyle="1" w:styleId="2209">
    <w:name w:val="信息标题 Char1"/>
    <w:qFormat/>
    <w:uiPriority w:val="0"/>
    <w:rPr>
      <w:rFonts w:ascii="Cambria" w:hAnsi="Cambria" w:eastAsia="宋体" w:cs="Times New Roman"/>
      <w:kern w:val="0"/>
      <w:sz w:val="24"/>
      <w:szCs w:val="24"/>
      <w:shd w:val="pct20" w:color="auto" w:fill="auto"/>
    </w:rPr>
  </w:style>
  <w:style w:type="character" w:customStyle="1" w:styleId="2210">
    <w:name w:val="copyright1"/>
    <w:qFormat/>
    <w:uiPriority w:val="0"/>
    <w:rPr>
      <w:rFonts w:hint="default"/>
      <w:color w:val="000000"/>
    </w:rPr>
  </w:style>
  <w:style w:type="character" w:customStyle="1" w:styleId="2211">
    <w:name w:val="正文文字缩进 2 Char Char1"/>
    <w:semiHidden/>
    <w:qFormat/>
    <w:uiPriority w:val="0"/>
    <w:rPr>
      <w:rFonts w:eastAsia="宋体"/>
      <w:kern w:val="2"/>
      <w:sz w:val="24"/>
      <w:szCs w:val="28"/>
      <w:lang w:val="en-US" w:eastAsia="zh-CN" w:bidi="ar-SA"/>
    </w:rPr>
  </w:style>
  <w:style w:type="character" w:customStyle="1" w:styleId="2212">
    <w:name w:val="txt1"/>
    <w:qFormat/>
    <w:uiPriority w:val="0"/>
    <w:rPr>
      <w:sz w:val="20"/>
      <w:szCs w:val="20"/>
    </w:rPr>
  </w:style>
  <w:style w:type="character" w:customStyle="1" w:styleId="2213">
    <w:name w:val="font91"/>
    <w:qFormat/>
    <w:uiPriority w:val="0"/>
    <w:rPr>
      <w:rFonts w:hint="eastAsia" w:ascii="宋体" w:hAnsi="宋体" w:eastAsia="宋体"/>
      <w:color w:val="000000"/>
      <w:sz w:val="18"/>
      <w:szCs w:val="18"/>
      <w:u w:val="none"/>
      <w:vertAlign w:val="superscript"/>
    </w:rPr>
  </w:style>
  <w:style w:type="character" w:customStyle="1" w:styleId="2214">
    <w:name w:val="105font"/>
    <w:qFormat/>
    <w:uiPriority w:val="0"/>
  </w:style>
  <w:style w:type="character" w:customStyle="1" w:styleId="2215">
    <w:name w:val="Char Char31"/>
    <w:qFormat/>
    <w:uiPriority w:val="0"/>
    <w:rPr>
      <w:kern w:val="2"/>
      <w:sz w:val="18"/>
      <w:szCs w:val="18"/>
    </w:rPr>
  </w:style>
  <w:style w:type="character" w:customStyle="1" w:styleId="2216">
    <w:name w:val="H9 Char1"/>
    <w:qFormat/>
    <w:uiPriority w:val="0"/>
    <w:rPr>
      <w:rFonts w:ascii="Arial" w:hAnsi="Arial" w:eastAsia="黑体"/>
      <w:sz w:val="21"/>
      <w:szCs w:val="21"/>
      <w:lang w:val="en-US" w:eastAsia="zh-CN" w:bidi="ar-SA"/>
    </w:rPr>
  </w:style>
  <w:style w:type="character" w:customStyle="1" w:styleId="2217">
    <w:name w:val="文章正文 Char1"/>
    <w:qFormat/>
    <w:uiPriority w:val="0"/>
    <w:rPr>
      <w:rFonts w:ascii="宋体" w:hAnsi="宋体" w:eastAsia="宋体"/>
      <w:kern w:val="2"/>
      <w:sz w:val="24"/>
      <w:szCs w:val="24"/>
      <w:lang w:val="en-US" w:eastAsia="zh-CN" w:bidi="ar-SA"/>
    </w:rPr>
  </w:style>
  <w:style w:type="character" w:customStyle="1" w:styleId="2218">
    <w:name w:val="a标题 1 Char Char"/>
    <w:qFormat/>
    <w:uiPriority w:val="0"/>
    <w:rPr>
      <w:rFonts w:eastAsia="宋体"/>
      <w:b/>
      <w:bCs/>
      <w:kern w:val="44"/>
      <w:sz w:val="44"/>
      <w:szCs w:val="44"/>
      <w:lang w:val="en-US" w:eastAsia="zh-CN" w:bidi="ar-SA"/>
    </w:rPr>
  </w:style>
  <w:style w:type="character" w:customStyle="1" w:styleId="2219">
    <w:name w:val="aspmaker1"/>
    <w:qFormat/>
    <w:uiPriority w:val="0"/>
    <w:rPr>
      <w:rFonts w:ascii="Verdana" w:hAnsi="Verdana"/>
      <w:sz w:val="20"/>
      <w:szCs w:val="20"/>
    </w:rPr>
  </w:style>
  <w:style w:type="character" w:customStyle="1" w:styleId="2220">
    <w:name w:val="正文文本 Char3"/>
    <w:qFormat/>
    <w:uiPriority w:val="0"/>
    <w:rPr>
      <w:kern w:val="2"/>
      <w:sz w:val="24"/>
      <w:szCs w:val="24"/>
    </w:rPr>
  </w:style>
  <w:style w:type="character" w:customStyle="1" w:styleId="2221">
    <w:name w:val="H5 Char4"/>
    <w:qFormat/>
    <w:uiPriority w:val="0"/>
    <w:rPr>
      <w:rFonts w:eastAsia="宋体"/>
      <w:b/>
      <w:bCs/>
      <w:sz w:val="28"/>
      <w:szCs w:val="28"/>
      <w:lang w:val="en-US" w:eastAsia="zh-CN" w:bidi="ar-SA"/>
    </w:rPr>
  </w:style>
  <w:style w:type="character" w:customStyle="1" w:styleId="2222">
    <w:name w:val="报告标题3 Char"/>
    <w:qFormat/>
    <w:uiPriority w:val="0"/>
    <w:rPr>
      <w:rFonts w:ascii="Arial" w:hAnsi="Arial" w:eastAsia="宋体"/>
      <w:b/>
      <w:color w:val="000000"/>
      <w:kern w:val="2"/>
      <w:sz w:val="24"/>
      <w:szCs w:val="32"/>
      <w:lang w:val="en-US" w:eastAsia="zh-CN" w:bidi="ar-SA"/>
    </w:rPr>
  </w:style>
  <w:style w:type="character" w:customStyle="1" w:styleId="2223">
    <w:name w:val="table Char"/>
    <w:qFormat/>
    <w:uiPriority w:val="0"/>
    <w:rPr>
      <w:rFonts w:ascii="宋体" w:eastAsia="宋体"/>
      <w:color w:val="000000"/>
      <w:sz w:val="24"/>
      <w:lang w:val="en-US" w:eastAsia="zh-CN" w:bidi="ar-SA"/>
    </w:rPr>
  </w:style>
  <w:style w:type="character" w:customStyle="1" w:styleId="2224">
    <w:name w:val="样式 标题 4h44标题 4 Char款标题1.1.1.11.1.1.1标题 4.1.1.1.1款标41.1...."/>
    <w:semiHidden/>
    <w:qFormat/>
    <w:uiPriority w:val="0"/>
    <w:rPr>
      <w:rFonts w:eastAsia="仿宋_GB2312"/>
      <w:sz w:val="24"/>
      <w:szCs w:val="24"/>
    </w:rPr>
  </w:style>
  <w:style w:type="character" w:customStyle="1" w:styleId="2225">
    <w:name w:val="232321"/>
    <w:qFormat/>
    <w:uiPriority w:val="0"/>
  </w:style>
  <w:style w:type="character" w:customStyle="1" w:styleId="2226">
    <w:name w:val="unnamed31"/>
    <w:qFormat/>
    <w:uiPriority w:val="0"/>
    <w:rPr>
      <w:color w:val="000000"/>
      <w:spacing w:val="0"/>
      <w:sz w:val="20"/>
      <w:szCs w:val="20"/>
      <w:u w:val="none"/>
    </w:rPr>
  </w:style>
  <w:style w:type="character" w:customStyle="1" w:styleId="2227">
    <w:name w:val="粤东核电报告正文 Char Char"/>
    <w:qFormat/>
    <w:uiPriority w:val="0"/>
    <w:rPr>
      <w:rFonts w:ascii="宋体" w:hAnsi="宋体" w:eastAsia="宋体" w:cs="宋体"/>
      <w:b/>
      <w:kern w:val="2"/>
      <w:sz w:val="24"/>
      <w:szCs w:val="24"/>
      <w:lang w:val="en-US" w:eastAsia="zh-CN" w:bidi="ar-SA"/>
    </w:rPr>
  </w:style>
  <w:style w:type="character" w:customStyle="1" w:styleId="2228">
    <w:name w:val="even Char Char"/>
    <w:qFormat/>
    <w:uiPriority w:val="0"/>
    <w:rPr>
      <w:rFonts w:eastAsia="宋体"/>
      <w:kern w:val="2"/>
      <w:sz w:val="18"/>
      <w:szCs w:val="18"/>
      <w:lang w:val="en-US" w:eastAsia="zh-CN" w:bidi="ar-SA"/>
    </w:rPr>
  </w:style>
  <w:style w:type="character" w:customStyle="1" w:styleId="2229">
    <w:name w:val="样式 仿宋_GB2312 四号"/>
    <w:qFormat/>
    <w:uiPriority w:val="0"/>
    <w:rPr>
      <w:rFonts w:ascii="仿宋_GB2312" w:hAnsi="仿宋_GB2312" w:eastAsia="仿宋_GB2312"/>
      <w:kern w:val="0"/>
      <w:sz w:val="24"/>
    </w:rPr>
  </w:style>
  <w:style w:type="character" w:customStyle="1" w:styleId="2230">
    <w:name w:val="样式 宋体 四号 黑色 行距: 1.5 倍行距 Char"/>
    <w:qFormat/>
    <w:uiPriority w:val="0"/>
    <w:rPr>
      <w:rFonts w:eastAsia="宋体"/>
      <w:color w:val="000000"/>
      <w:kern w:val="2"/>
      <w:sz w:val="24"/>
      <w:szCs w:val="24"/>
      <w:lang w:val="en-US" w:eastAsia="zh-CN" w:bidi="ar-SA"/>
    </w:rPr>
  </w:style>
  <w:style w:type="character" w:customStyle="1" w:styleId="2231">
    <w:name w:val="正文正 Char"/>
    <w:qFormat/>
    <w:uiPriority w:val="0"/>
    <w:rPr>
      <w:rFonts w:ascii="宋体" w:hAnsi="宋体"/>
      <w:kern w:val="2"/>
      <w:sz w:val="24"/>
      <w:szCs w:val="24"/>
    </w:rPr>
  </w:style>
  <w:style w:type="character" w:customStyle="1" w:styleId="2232">
    <w:name w:val="电子邮件签名 Char2"/>
    <w:qFormat/>
    <w:uiPriority w:val="0"/>
    <w:rPr>
      <w:rFonts w:ascii="宋体" w:eastAsia="宋体"/>
      <w:sz w:val="21"/>
      <w:szCs w:val="21"/>
    </w:rPr>
  </w:style>
  <w:style w:type="character" w:customStyle="1" w:styleId="2233">
    <w:name w:val="样式6 Char Char"/>
    <w:qFormat/>
    <w:uiPriority w:val="0"/>
    <w:rPr>
      <w:rFonts w:eastAsia="宋体"/>
      <w:sz w:val="24"/>
      <w:szCs w:val="24"/>
      <w:lang w:val="en-US" w:eastAsia="zh-CN" w:bidi="ar-SA"/>
    </w:rPr>
  </w:style>
  <w:style w:type="character" w:customStyle="1" w:styleId="2234">
    <w:name w:val="我的正文 Char Char"/>
    <w:qFormat/>
    <w:uiPriority w:val="0"/>
    <w:rPr>
      <w:rFonts w:eastAsia="宋体"/>
      <w:kern w:val="2"/>
      <w:sz w:val="28"/>
      <w:szCs w:val="24"/>
      <w:lang w:val="en-US" w:eastAsia="zh-CN" w:bidi="ar-SA"/>
    </w:rPr>
  </w:style>
  <w:style w:type="character" w:customStyle="1" w:styleId="2235">
    <w:name w:val="Char Char33"/>
    <w:qFormat/>
    <w:uiPriority w:val="0"/>
    <w:rPr>
      <w:rFonts w:ascii="宋体" w:hAnsi="Courier New" w:eastAsia="宋体" w:cs="Courier New"/>
      <w:kern w:val="2"/>
      <w:sz w:val="21"/>
      <w:szCs w:val="21"/>
      <w:lang w:val="en-US" w:eastAsia="zh-CN" w:bidi="ar-SA"/>
    </w:rPr>
  </w:style>
  <w:style w:type="character" w:customStyle="1" w:styleId="2236">
    <w:name w:val="生物质发电表 Char Char"/>
    <w:qFormat/>
    <w:uiPriority w:val="0"/>
    <w:rPr>
      <w:rFonts w:ascii="宋体" w:hAnsi="Calibri" w:eastAsia="宋体" w:cs="Arial Unicode MS"/>
      <w:color w:val="000000"/>
      <w:sz w:val="24"/>
      <w:szCs w:val="21"/>
      <w:lang w:val="en-US" w:eastAsia="zh-CN" w:bidi="ar-SA"/>
    </w:rPr>
  </w:style>
  <w:style w:type="character" w:customStyle="1" w:styleId="2237">
    <w:name w:val="样式 7表格(治) + (中文) 黑体 加粗 Char"/>
    <w:qFormat/>
    <w:uiPriority w:val="0"/>
    <w:rPr>
      <w:bCs/>
      <w:color w:val="000000"/>
      <w:kern w:val="2"/>
      <w:sz w:val="24"/>
      <w:lang w:bidi="ar-SA"/>
    </w:rPr>
  </w:style>
  <w:style w:type="character" w:customStyle="1" w:styleId="2238">
    <w:name w:val="articlebody"/>
    <w:qFormat/>
    <w:uiPriority w:val="0"/>
  </w:style>
  <w:style w:type="character" w:customStyle="1" w:styleId="2239">
    <w:name w:val="批注文字 Char3"/>
    <w:qFormat/>
    <w:uiPriority w:val="0"/>
    <w:rPr>
      <w:rFonts w:ascii="Times New Roman" w:hAnsi="Times New Roman" w:eastAsia="宋体" w:cs="Times New Roman"/>
      <w:kern w:val="0"/>
      <w:szCs w:val="21"/>
      <w:lang w:bidi="ar-SA"/>
    </w:rPr>
  </w:style>
  <w:style w:type="character" w:customStyle="1" w:styleId="2240">
    <w:name w:val="font41"/>
    <w:qFormat/>
    <w:uiPriority w:val="0"/>
    <w:rPr>
      <w:rFonts w:hint="default" w:ascii="Times New Roman" w:hAnsi="Times New Roman" w:cs="Times New Roman"/>
      <w:b/>
      <w:color w:val="000000"/>
      <w:sz w:val="18"/>
      <w:szCs w:val="18"/>
      <w:u w:val="none"/>
    </w:rPr>
  </w:style>
  <w:style w:type="character" w:customStyle="1" w:styleId="2241">
    <w:name w:val="H9 Char3"/>
    <w:qFormat/>
    <w:uiPriority w:val="0"/>
    <w:rPr>
      <w:rFonts w:ascii="Arial" w:hAnsi="Arial" w:eastAsia="黑体"/>
      <w:sz w:val="21"/>
      <w:szCs w:val="21"/>
      <w:lang w:val="en-US" w:eastAsia="zh-CN" w:bidi="ar-SA"/>
    </w:rPr>
  </w:style>
  <w:style w:type="character" w:customStyle="1" w:styleId="2242">
    <w:name w:val="Char Char32"/>
    <w:qFormat/>
    <w:uiPriority w:val="0"/>
    <w:rPr>
      <w:kern w:val="2"/>
      <w:sz w:val="18"/>
      <w:szCs w:val="18"/>
    </w:rPr>
  </w:style>
  <w:style w:type="character" w:customStyle="1" w:styleId="2243">
    <w:name w:val="g Char2"/>
    <w:qFormat/>
    <w:uiPriority w:val="0"/>
    <w:rPr>
      <w:rFonts w:eastAsia="宋体"/>
      <w:kern w:val="2"/>
      <w:sz w:val="18"/>
      <w:szCs w:val="18"/>
      <w:lang w:val="en-US" w:eastAsia="zh-CN" w:bidi="ar-SA"/>
    </w:rPr>
  </w:style>
  <w:style w:type="character" w:customStyle="1" w:styleId="2244">
    <w:name w:val="正文文字 Char Char1"/>
    <w:qFormat/>
    <w:uiPriority w:val="0"/>
    <w:rPr>
      <w:rFonts w:eastAsia="宋体"/>
      <w:kern w:val="2"/>
      <w:sz w:val="21"/>
      <w:szCs w:val="24"/>
      <w:lang w:val="en-US" w:eastAsia="zh-CN" w:bidi="ar-SA"/>
    </w:rPr>
  </w:style>
  <w:style w:type="character" w:customStyle="1" w:styleId="2245">
    <w:name w:val="未命名1"/>
    <w:qFormat/>
    <w:uiPriority w:val="0"/>
  </w:style>
  <w:style w:type="character" w:customStyle="1" w:styleId="2246">
    <w:name w:val="页眉 Char Char"/>
    <w:qFormat/>
    <w:uiPriority w:val="0"/>
    <w:rPr>
      <w:rFonts w:eastAsia="宋体"/>
      <w:kern w:val="2"/>
      <w:sz w:val="18"/>
      <w:szCs w:val="18"/>
      <w:lang w:val="en-US" w:eastAsia="zh-CN" w:bidi="ar-SA"/>
    </w:rPr>
  </w:style>
  <w:style w:type="character" w:customStyle="1" w:styleId="2247">
    <w:name w:val="a11"/>
    <w:qFormat/>
    <w:uiPriority w:val="0"/>
    <w:rPr>
      <w:spacing w:val="330"/>
      <w:sz w:val="20"/>
      <w:szCs w:val="20"/>
    </w:rPr>
  </w:style>
  <w:style w:type="character" w:customStyle="1" w:styleId="2248">
    <w:name w:val="~ Char Char"/>
    <w:qFormat/>
    <w:uiPriority w:val="0"/>
    <w:rPr>
      <w:rFonts w:eastAsia="宋体"/>
      <w:b/>
      <w:bCs/>
      <w:kern w:val="2"/>
      <w:sz w:val="24"/>
      <w:szCs w:val="32"/>
      <w:lang w:val="en-US" w:eastAsia="zh-CN" w:bidi="ar-SA"/>
    </w:rPr>
  </w:style>
  <w:style w:type="character" w:customStyle="1" w:styleId="2249">
    <w:name w:val="Char Char10"/>
    <w:qFormat/>
    <w:uiPriority w:val="0"/>
    <w:rPr>
      <w:rFonts w:eastAsia="宋体"/>
      <w:kern w:val="2"/>
      <w:sz w:val="18"/>
      <w:lang w:val="en-US" w:eastAsia="zh-CN" w:bidi="ar-SA"/>
    </w:rPr>
  </w:style>
  <w:style w:type="character" w:customStyle="1" w:styleId="2250">
    <w:name w:val="read"/>
    <w:qFormat/>
    <w:uiPriority w:val="0"/>
  </w:style>
  <w:style w:type="character" w:customStyle="1" w:styleId="2251">
    <w:name w:val="正文文本 Char2"/>
    <w:qFormat/>
    <w:uiPriority w:val="99"/>
    <w:rPr>
      <w:kern w:val="2"/>
      <w:sz w:val="21"/>
      <w:szCs w:val="24"/>
    </w:rPr>
  </w:style>
  <w:style w:type="character" w:customStyle="1" w:styleId="2252">
    <w:name w:val="H8 Char3"/>
    <w:qFormat/>
    <w:uiPriority w:val="0"/>
    <w:rPr>
      <w:rFonts w:ascii="Arial" w:hAnsi="Arial" w:eastAsia="黑体"/>
      <w:sz w:val="24"/>
      <w:szCs w:val="24"/>
      <w:lang w:val="en-US" w:eastAsia="zh-CN" w:bidi="ar-SA"/>
    </w:rPr>
  </w:style>
  <w:style w:type="character" w:customStyle="1" w:styleId="2253">
    <w:name w:val="1级-标题 1 Char Char"/>
    <w:qFormat/>
    <w:uiPriority w:val="0"/>
    <w:rPr>
      <w:rFonts w:ascii="宋体" w:hAnsi="宋体"/>
      <w:b/>
      <w:bCs/>
      <w:spacing w:val="20"/>
      <w:kern w:val="44"/>
      <w:sz w:val="36"/>
      <w:szCs w:val="36"/>
    </w:rPr>
  </w:style>
  <w:style w:type="character" w:customStyle="1" w:styleId="2254">
    <w:name w:val="textcontents1"/>
    <w:qFormat/>
    <w:uiPriority w:val="0"/>
    <w:rPr>
      <w:color w:val="000000"/>
      <w:sz w:val="21"/>
      <w:szCs w:val="21"/>
    </w:rPr>
  </w:style>
  <w:style w:type="character" w:customStyle="1" w:styleId="2255">
    <w:name w:val="正文文字 2 Char Char3"/>
    <w:qFormat/>
    <w:uiPriority w:val="0"/>
    <w:rPr>
      <w:rFonts w:eastAsia="宋体"/>
      <w:spacing w:val="-10"/>
      <w:kern w:val="2"/>
      <w:sz w:val="21"/>
      <w:szCs w:val="24"/>
      <w:lang w:val="en-US" w:eastAsia="zh-CN" w:bidi="ar-SA"/>
    </w:rPr>
  </w:style>
  <w:style w:type="character" w:customStyle="1" w:styleId="2256">
    <w:name w:val="H9 Char"/>
    <w:qFormat/>
    <w:uiPriority w:val="0"/>
    <w:rPr>
      <w:rFonts w:ascii="Arial" w:hAnsi="Arial" w:eastAsia="黑体"/>
      <w:kern w:val="2"/>
      <w:sz w:val="21"/>
      <w:szCs w:val="21"/>
      <w:lang w:val="en-US" w:eastAsia="zh-CN" w:bidi="ar-SA"/>
    </w:rPr>
  </w:style>
  <w:style w:type="character" w:customStyle="1" w:styleId="2257">
    <w:name w:val="Style 12 pt"/>
    <w:qFormat/>
    <w:uiPriority w:val="0"/>
    <w:rPr>
      <w:rFonts w:ascii="Arial" w:hAnsi="Arial" w:eastAsia="仿宋"/>
      <w:sz w:val="30"/>
    </w:rPr>
  </w:style>
  <w:style w:type="character" w:customStyle="1" w:styleId="2258">
    <w:name w:val="postbody1"/>
    <w:qFormat/>
    <w:uiPriority w:val="0"/>
    <w:rPr>
      <w:sz w:val="20"/>
    </w:rPr>
  </w:style>
  <w:style w:type="character" w:customStyle="1" w:styleId="2259">
    <w:name w:val="articletitle1"/>
    <w:qFormat/>
    <w:uiPriority w:val="0"/>
    <w:rPr>
      <w:sz w:val="30"/>
      <w:szCs w:val="30"/>
    </w:rPr>
  </w:style>
  <w:style w:type="character" w:customStyle="1" w:styleId="2260">
    <w:name w:val="style91"/>
    <w:qFormat/>
    <w:uiPriority w:val="0"/>
    <w:rPr>
      <w:sz w:val="20"/>
      <w:szCs w:val="20"/>
    </w:rPr>
  </w:style>
  <w:style w:type="character" w:customStyle="1" w:styleId="2261">
    <w:name w:val="llyf141"/>
    <w:qFormat/>
    <w:uiPriority w:val="0"/>
    <w:rPr>
      <w:sz w:val="21"/>
      <w:szCs w:val="21"/>
    </w:rPr>
  </w:style>
  <w:style w:type="character" w:customStyle="1" w:styleId="2262">
    <w:name w:val="Char Char27"/>
    <w:qFormat/>
    <w:uiPriority w:val="0"/>
    <w:rPr>
      <w:rFonts w:ascii="Times New Roman" w:hAnsi="Times New Roman" w:eastAsia="宋体" w:cs="Times New Roman"/>
      <w:kern w:val="0"/>
      <w:sz w:val="24"/>
      <w:szCs w:val="20"/>
      <w:lang w:bidi="ar-SA"/>
    </w:rPr>
  </w:style>
  <w:style w:type="character" w:customStyle="1" w:styleId="2263">
    <w:name w:val="自动4 Char"/>
    <w:qFormat/>
    <w:uiPriority w:val="0"/>
    <w:rPr>
      <w:rFonts w:ascii="宋体" w:hAnsi="宋体" w:eastAsia="宋体" w:cs="宋体"/>
      <w:color w:val="000000"/>
      <w:kern w:val="2"/>
      <w:sz w:val="24"/>
      <w:szCs w:val="24"/>
      <w:lang w:val="en-US" w:eastAsia="zh-CN" w:bidi="ar-SA"/>
    </w:rPr>
  </w:style>
  <w:style w:type="character" w:customStyle="1" w:styleId="2264">
    <w:name w:val="文本块 Char"/>
    <w:qFormat/>
    <w:uiPriority w:val="0"/>
    <w:rPr>
      <w:rFonts w:eastAsia="宋体"/>
      <w:kern w:val="2"/>
      <w:sz w:val="21"/>
      <w:szCs w:val="24"/>
      <w:lang w:val="en-US" w:eastAsia="zh-CN" w:bidi="ar-SA"/>
    </w:rPr>
  </w:style>
  <w:style w:type="character" w:customStyle="1" w:styleId="2265">
    <w:name w:val="正文首行缩进 Char3"/>
    <w:qFormat/>
    <w:uiPriority w:val="0"/>
    <w:rPr>
      <w:rFonts w:ascii="Times New Roman" w:hAnsi="Times New Roman" w:eastAsia="宋体" w:cs="Times New Roman"/>
      <w:kern w:val="0"/>
      <w:szCs w:val="21"/>
      <w:lang w:bidi="ar-SA"/>
    </w:rPr>
  </w:style>
  <w:style w:type="character" w:customStyle="1" w:styleId="2266">
    <w:name w:val="物探标题3 Char Char"/>
    <w:qFormat/>
    <w:uiPriority w:val="0"/>
    <w:rPr>
      <w:rFonts w:ascii="宋体" w:hAnsi="宋体"/>
      <w:b/>
      <w:bCs/>
      <w:color w:val="000000"/>
      <w:sz w:val="24"/>
      <w:szCs w:val="24"/>
    </w:rPr>
  </w:style>
  <w:style w:type="character" w:customStyle="1" w:styleId="2267">
    <w:name w:val="big"/>
    <w:qFormat/>
    <w:uiPriority w:val="0"/>
  </w:style>
  <w:style w:type="character" w:customStyle="1" w:styleId="2268">
    <w:name w:val="H6 Char3"/>
    <w:qFormat/>
    <w:uiPriority w:val="0"/>
    <w:rPr>
      <w:rFonts w:ascii="Arial" w:hAnsi="Arial" w:eastAsia="黑体"/>
      <w:b/>
      <w:bCs/>
      <w:sz w:val="24"/>
      <w:szCs w:val="24"/>
      <w:lang w:val="en-US" w:eastAsia="zh-CN" w:bidi="ar-SA"/>
    </w:rPr>
  </w:style>
  <w:style w:type="character" w:customStyle="1" w:styleId="2269">
    <w:name w:val="Header Char"/>
    <w:qFormat/>
    <w:locked/>
    <w:uiPriority w:val="0"/>
    <w:rPr>
      <w:rFonts w:ascii="宋体" w:hAnsi="宋体" w:eastAsia="仿宋_GB2312" w:cs="宋体"/>
      <w:kern w:val="2"/>
      <w:sz w:val="18"/>
      <w:szCs w:val="18"/>
      <w:lang w:val="en-US" w:eastAsia="zh-CN" w:bidi="ar-SA"/>
    </w:rPr>
  </w:style>
  <w:style w:type="character" w:customStyle="1" w:styleId="2270">
    <w:name w:val="Draft Char"/>
    <w:qFormat/>
    <w:uiPriority w:val="0"/>
    <w:rPr>
      <w:kern w:val="2"/>
      <w:sz w:val="18"/>
      <w:szCs w:val="18"/>
    </w:rPr>
  </w:style>
  <w:style w:type="character" w:customStyle="1" w:styleId="2271">
    <w:name w:val="fix111"/>
    <w:qFormat/>
    <w:uiPriority w:val="0"/>
    <w:rPr>
      <w:rFonts w:hint="default" w:ascii="Arial" w:hAnsi="Arial"/>
      <w:sz w:val="22"/>
    </w:rPr>
  </w:style>
  <w:style w:type="character" w:customStyle="1" w:styleId="2272">
    <w:name w:val="新 5 Char Char"/>
    <w:qFormat/>
    <w:uiPriority w:val="0"/>
    <w:rPr>
      <w:rFonts w:eastAsia="宋体"/>
      <w:b/>
      <w:bCs/>
      <w:sz w:val="28"/>
      <w:szCs w:val="28"/>
      <w:lang w:val="en-US" w:eastAsia="zh-CN" w:bidi="ar-SA"/>
    </w:rPr>
  </w:style>
  <w:style w:type="character" w:customStyle="1" w:styleId="2273">
    <w:name w:val="样式 样式 标题 4 + (西文) Times New Roman (中文) 宋体 小四 非加粗 + Char"/>
    <w:qFormat/>
    <w:uiPriority w:val="0"/>
  </w:style>
  <w:style w:type="character" w:customStyle="1" w:styleId="2274">
    <w:name w:val="bt11"/>
    <w:qFormat/>
    <w:uiPriority w:val="0"/>
    <w:rPr>
      <w:rFonts w:hint="eastAsia" w:ascii="黑体" w:eastAsia="黑体"/>
      <w:color w:val="000000"/>
      <w:sz w:val="28"/>
      <w:szCs w:val="28"/>
    </w:rPr>
  </w:style>
  <w:style w:type="character" w:customStyle="1" w:styleId="2275">
    <w:name w:val="H6 Char Char"/>
    <w:qFormat/>
    <w:uiPriority w:val="0"/>
    <w:rPr>
      <w:rFonts w:ascii="Arial" w:hAnsi="Arial" w:eastAsia="黑体"/>
      <w:b/>
      <w:bCs/>
      <w:sz w:val="24"/>
      <w:szCs w:val="24"/>
      <w:lang w:val="en-US" w:eastAsia="zh-CN" w:bidi="ar-SA"/>
    </w:rPr>
  </w:style>
  <w:style w:type="character" w:customStyle="1" w:styleId="2276">
    <w:name w:val="签名 Char1"/>
    <w:qFormat/>
    <w:uiPriority w:val="0"/>
    <w:rPr>
      <w:rFonts w:ascii="Calibri" w:hAnsi="Calibri" w:eastAsia="宋体" w:cs="Times New Roman"/>
      <w:kern w:val="0"/>
      <w:sz w:val="24"/>
      <w:szCs w:val="24"/>
    </w:rPr>
  </w:style>
  <w:style w:type="character" w:customStyle="1" w:styleId="2277">
    <w:name w:val="标题 2 Char Char Char Char Char Char Char Char Char Char Char Char1"/>
    <w:qFormat/>
    <w:uiPriority w:val="0"/>
    <w:rPr>
      <w:rFonts w:ascii="宋体" w:hAnsi="宋体"/>
      <w:b/>
      <w:bCs/>
      <w:spacing w:val="20"/>
      <w:kern w:val="2"/>
      <w:sz w:val="32"/>
      <w:szCs w:val="32"/>
      <w:lang w:bidi="he-IL"/>
    </w:rPr>
  </w:style>
  <w:style w:type="character" w:customStyle="1" w:styleId="2278">
    <w:name w:val="p141"/>
    <w:qFormat/>
    <w:uiPriority w:val="0"/>
    <w:rPr>
      <w:sz w:val="21"/>
      <w:szCs w:val="21"/>
    </w:rPr>
  </w:style>
  <w:style w:type="character" w:customStyle="1" w:styleId="2279">
    <w:name w:val="Char Char28"/>
    <w:qFormat/>
    <w:uiPriority w:val="0"/>
    <w:rPr>
      <w:rFonts w:ascii="Times New Roman" w:hAnsi="Times New Roman" w:eastAsia="宋体" w:cs="Times New Roman"/>
      <w:sz w:val="24"/>
      <w:szCs w:val="24"/>
      <w:lang w:bidi="ar-SA"/>
    </w:rPr>
  </w:style>
  <w:style w:type="character" w:customStyle="1" w:styleId="2280">
    <w:name w:val="Char Char Char Char Char1"/>
    <w:qFormat/>
    <w:uiPriority w:val="0"/>
    <w:rPr>
      <w:rFonts w:ascii="Arial" w:hAnsi="Arial" w:eastAsia="黑体" w:cs="Arial"/>
      <w:kern w:val="2"/>
      <w:lang w:val="en-US" w:eastAsia="zh-CN" w:bidi="ar-SA"/>
    </w:rPr>
  </w:style>
  <w:style w:type="character" w:customStyle="1" w:styleId="2281">
    <w:name w:val="H5 Char3"/>
    <w:qFormat/>
    <w:uiPriority w:val="0"/>
    <w:rPr>
      <w:rFonts w:eastAsia="宋体"/>
      <w:b/>
      <w:bCs/>
      <w:sz w:val="28"/>
      <w:szCs w:val="28"/>
      <w:lang w:val="en-US" w:eastAsia="zh-CN" w:bidi="ar-SA"/>
    </w:rPr>
  </w:style>
  <w:style w:type="character" w:customStyle="1" w:styleId="2282">
    <w:name w:val="search_content1"/>
    <w:qFormat/>
    <w:uiPriority w:val="0"/>
    <w:rPr>
      <w:sz w:val="20"/>
      <w:szCs w:val="20"/>
    </w:rPr>
  </w:style>
  <w:style w:type="character" w:customStyle="1" w:styleId="2283">
    <w:name w:val="样式 标题 3标题 13 + (中文) 宋体 小四 行距: 1.5 倍行距 Char"/>
    <w:qFormat/>
    <w:uiPriority w:val="0"/>
    <w:rPr>
      <w:rFonts w:eastAsia="宋体" w:cs="宋体"/>
      <w:b/>
      <w:bCs/>
      <w:kern w:val="2"/>
      <w:sz w:val="24"/>
      <w:szCs w:val="32"/>
      <w:lang w:val="en-US" w:eastAsia="zh-CN" w:bidi="ar-SA"/>
    </w:rPr>
  </w:style>
  <w:style w:type="character" w:customStyle="1" w:styleId="2284">
    <w:name w:val="HTML 地址 Char1"/>
    <w:qFormat/>
    <w:uiPriority w:val="0"/>
    <w:rPr>
      <w:i/>
      <w:iCs/>
      <w:kern w:val="2"/>
      <w:sz w:val="21"/>
      <w:szCs w:val="24"/>
    </w:rPr>
  </w:style>
  <w:style w:type="character" w:customStyle="1" w:styleId="2285">
    <w:name w:val="esu4261"/>
    <w:qFormat/>
    <w:uiPriority w:val="0"/>
  </w:style>
  <w:style w:type="character" w:customStyle="1" w:styleId="2286">
    <w:name w:val="hj"/>
    <w:qFormat/>
    <w:uiPriority w:val="0"/>
  </w:style>
  <w:style w:type="character" w:customStyle="1" w:styleId="2287">
    <w:name w:val="main1"/>
    <w:qFormat/>
    <w:uiPriority w:val="0"/>
  </w:style>
  <w:style w:type="character" w:customStyle="1" w:styleId="2288">
    <w:name w:val="4级（小）标题 Char"/>
    <w:qFormat/>
    <w:uiPriority w:val="0"/>
    <w:rPr>
      <w:rFonts w:eastAsia="宋体"/>
      <w:b/>
      <w:kern w:val="2"/>
      <w:sz w:val="24"/>
      <w:szCs w:val="24"/>
      <w:lang w:val="en-US" w:eastAsia="zh-CN" w:bidi="ar-SA"/>
    </w:rPr>
  </w:style>
  <w:style w:type="character" w:customStyle="1" w:styleId="2289">
    <w:name w:val="样式 题注 + Char"/>
    <w:qFormat/>
    <w:uiPriority w:val="0"/>
    <w:rPr>
      <w:rFonts w:eastAsia="宋体"/>
      <w:b/>
      <w:sz w:val="24"/>
      <w:szCs w:val="24"/>
      <w:u w:color="000000"/>
      <w:lang w:val="en-US" w:eastAsia="zh-CN" w:bidi="ar-SA"/>
    </w:rPr>
  </w:style>
  <w:style w:type="character" w:customStyle="1" w:styleId="2290">
    <w:name w:val="Font Style44"/>
    <w:qFormat/>
    <w:uiPriority w:val="0"/>
    <w:rPr>
      <w:rFonts w:ascii="Arial" w:hAnsi="Arial" w:cs="Arial"/>
      <w:sz w:val="16"/>
      <w:szCs w:val="16"/>
    </w:rPr>
  </w:style>
  <w:style w:type="character" w:customStyle="1" w:styleId="2291">
    <w:name w:val="o12"/>
    <w:qFormat/>
    <w:uiPriority w:val="0"/>
  </w:style>
  <w:style w:type="character" w:customStyle="1" w:styleId="2292">
    <w:name w:val="表头 Char2"/>
    <w:qFormat/>
    <w:uiPriority w:val="0"/>
    <w:rPr>
      <w:rFonts w:ascii="黑体" w:eastAsia="黑体"/>
      <w:snapToGrid w:val="0"/>
      <w:spacing w:val="4"/>
      <w:sz w:val="24"/>
    </w:rPr>
  </w:style>
  <w:style w:type="character" w:customStyle="1" w:styleId="2293">
    <w:name w:val="质表名"/>
    <w:qFormat/>
    <w:uiPriority w:val="0"/>
    <w:rPr>
      <w:rFonts w:ascii="黑体" w:hAnsi="宋体" w:eastAsia="黑体"/>
      <w:sz w:val="28"/>
    </w:rPr>
  </w:style>
  <w:style w:type="character" w:customStyle="1" w:styleId="2294">
    <w:name w:val="H6 Char2"/>
    <w:qFormat/>
    <w:uiPriority w:val="0"/>
    <w:rPr>
      <w:rFonts w:ascii="Arial" w:hAnsi="Arial" w:eastAsia="黑体"/>
      <w:b/>
      <w:bCs/>
      <w:sz w:val="24"/>
      <w:szCs w:val="24"/>
    </w:rPr>
  </w:style>
  <w:style w:type="character" w:customStyle="1" w:styleId="2295">
    <w:name w:val="样式35 Char"/>
    <w:qFormat/>
    <w:uiPriority w:val="0"/>
    <w:rPr>
      <w:rFonts w:ascii="宋体" w:hAnsi="宋体" w:eastAsia="宋体"/>
      <w:bCs/>
      <w:color w:val="000000"/>
      <w:kern w:val="2"/>
      <w:sz w:val="24"/>
      <w:szCs w:val="24"/>
      <w:lang w:val="en-US" w:eastAsia="zh-CN" w:bidi="ar-SA"/>
    </w:rPr>
  </w:style>
  <w:style w:type="character" w:customStyle="1" w:styleId="2296">
    <w:name w:val="123YJ Char Char1"/>
    <w:qFormat/>
    <w:uiPriority w:val="0"/>
    <w:rPr>
      <w:rFonts w:eastAsia="宋体"/>
      <w:kern w:val="2"/>
      <w:sz w:val="18"/>
      <w:szCs w:val="18"/>
      <w:lang w:val="en-US" w:eastAsia="zh-CN" w:bidi="ar-SA"/>
    </w:rPr>
  </w:style>
  <w:style w:type="character" w:customStyle="1" w:styleId="2297">
    <w:name w:val="font2"/>
    <w:qFormat/>
    <w:uiPriority w:val="0"/>
    <w:rPr>
      <w:color w:val="336633"/>
      <w:sz w:val="21"/>
    </w:rPr>
  </w:style>
  <w:style w:type="character" w:customStyle="1" w:styleId="2298">
    <w:name w:val="nota"/>
    <w:qFormat/>
    <w:uiPriority w:val="0"/>
    <w:rPr>
      <w:i/>
      <w:iCs/>
      <w:sz w:val="20"/>
    </w:rPr>
  </w:style>
  <w:style w:type="character" w:customStyle="1" w:styleId="2299">
    <w:name w:val="样式42 Char"/>
    <w:qFormat/>
    <w:uiPriority w:val="0"/>
    <w:rPr>
      <w:rFonts w:ascii="宋体" w:hAnsi="宋体" w:eastAsia="宋体"/>
      <w:bCs/>
      <w:color w:val="000000"/>
      <w:kern w:val="2"/>
      <w:sz w:val="24"/>
      <w:szCs w:val="24"/>
      <w:lang w:val="en-US" w:eastAsia="zh-CN" w:bidi="ar-SA"/>
    </w:rPr>
  </w:style>
  <w:style w:type="character" w:customStyle="1" w:styleId="2300">
    <w:name w:val="javascript"/>
    <w:qFormat/>
    <w:uiPriority w:val="0"/>
    <w:rPr>
      <w:rFonts w:ascii="宋体" w:hAnsi="宋体" w:eastAsia="宋体" w:cs="宋体"/>
      <w:kern w:val="2"/>
      <w:sz w:val="24"/>
      <w:szCs w:val="24"/>
      <w:lang w:val="en-US" w:eastAsia="zh-CN" w:bidi="ar-SA"/>
    </w:rPr>
  </w:style>
  <w:style w:type="character" w:customStyle="1" w:styleId="2301">
    <w:name w:val="(一) Char"/>
    <w:qFormat/>
    <w:uiPriority w:val="0"/>
    <w:rPr>
      <w:rFonts w:ascii="Arial" w:hAnsi="Arial" w:eastAsia="黑体"/>
      <w:b/>
      <w:bCs/>
      <w:kern w:val="2"/>
      <w:sz w:val="28"/>
      <w:szCs w:val="28"/>
    </w:rPr>
  </w:style>
  <w:style w:type="character" w:customStyle="1" w:styleId="2302">
    <w:name w:val=".biaoti"/>
    <w:qFormat/>
    <w:uiPriority w:val="0"/>
  </w:style>
  <w:style w:type="character" w:customStyle="1" w:styleId="2303">
    <w:name w:val="报告表格内文 Char"/>
    <w:qFormat/>
    <w:uiPriority w:val="0"/>
    <w:rPr>
      <w:rFonts w:eastAsia="宋体"/>
      <w:bCs/>
      <w:color w:val="000000"/>
      <w:kern w:val="2"/>
      <w:sz w:val="21"/>
      <w:szCs w:val="24"/>
      <w:lang w:val="en-US" w:eastAsia="zh-CN" w:bidi="ar-SA"/>
    </w:rPr>
  </w:style>
  <w:style w:type="character" w:customStyle="1" w:styleId="2304">
    <w:name w:val="标题 3(CYM) Char Char"/>
    <w:qFormat/>
    <w:uiPriority w:val="0"/>
    <w:rPr>
      <w:rFonts w:ascii="Arial Unicode MS" w:hAnsi="Arial Unicode MS" w:eastAsia="Arial Unicode MS" w:cs="Arial Unicode MS"/>
      <w:b/>
      <w:bCs/>
      <w:color w:val="000000"/>
      <w:sz w:val="27"/>
      <w:szCs w:val="27"/>
      <w:lang w:val="en-US" w:eastAsia="zh-CN" w:bidi="ar-SA"/>
    </w:rPr>
  </w:style>
  <w:style w:type="character" w:customStyle="1" w:styleId="2305">
    <w:name w:val="g Char3"/>
    <w:qFormat/>
    <w:uiPriority w:val="0"/>
    <w:rPr>
      <w:rFonts w:eastAsia="宋体"/>
      <w:kern w:val="2"/>
      <w:sz w:val="18"/>
      <w:szCs w:val="18"/>
      <w:lang w:val="en-US" w:eastAsia="zh-CN" w:bidi="ar-SA"/>
    </w:rPr>
  </w:style>
  <w:style w:type="character" w:customStyle="1" w:styleId="2306">
    <w:name w:val="6表(图)头(治) Char"/>
    <w:qFormat/>
    <w:uiPriority w:val="0"/>
    <w:rPr>
      <w:rFonts w:eastAsia="黑体"/>
      <w:b/>
      <w:sz w:val="28"/>
      <w:lang w:val="en-US" w:eastAsia="zh-CN" w:bidi="ar-SA"/>
    </w:rPr>
  </w:style>
  <w:style w:type="character" w:customStyle="1" w:styleId="2307">
    <w:name w:val="副标题 Char3"/>
    <w:qFormat/>
    <w:uiPriority w:val="0"/>
    <w:rPr>
      <w:rFonts w:ascii="Cambria" w:hAnsi="Cambria" w:eastAsia="宋体" w:cs="Times New Roman"/>
      <w:b/>
      <w:bCs/>
      <w:kern w:val="28"/>
      <w:sz w:val="32"/>
      <w:szCs w:val="32"/>
      <w:lang w:bidi="ar-SA"/>
    </w:rPr>
  </w:style>
  <w:style w:type="character" w:customStyle="1" w:styleId="2308">
    <w:name w:val="样式 正文 + Char"/>
    <w:qFormat/>
    <w:uiPriority w:val="0"/>
    <w:rPr>
      <w:sz w:val="24"/>
      <w:szCs w:val="24"/>
      <w:lang w:bidi="ar-SA"/>
    </w:rPr>
  </w:style>
  <w:style w:type="character" w:customStyle="1" w:styleId="2309">
    <w:name w:val="表文字居中 Char"/>
    <w:semiHidden/>
    <w:qFormat/>
    <w:uiPriority w:val="0"/>
    <w:rPr>
      <w:rFonts w:ascii="Arial" w:hAnsi="Arial"/>
      <w:kern w:val="2"/>
      <w:sz w:val="21"/>
      <w:lang w:val="en-US" w:eastAsia="zh-CN" w:bidi="ar-SA"/>
    </w:rPr>
  </w:style>
  <w:style w:type="character" w:customStyle="1" w:styleId="2310">
    <w:name w:val="信息标题 Char2"/>
    <w:qFormat/>
    <w:uiPriority w:val="0"/>
    <w:rPr>
      <w:rFonts w:ascii="Cambria" w:hAnsi="Cambria" w:eastAsia="宋体" w:cs="黑体"/>
      <w:sz w:val="24"/>
      <w:szCs w:val="24"/>
      <w:shd w:val="pct20" w:color="auto" w:fill="auto"/>
      <w:lang w:bidi="ar-SA"/>
    </w:rPr>
  </w:style>
  <w:style w:type="character" w:customStyle="1" w:styleId="2311">
    <w:name w:val="f141"/>
    <w:qFormat/>
    <w:uiPriority w:val="0"/>
    <w:rPr>
      <w:rFonts w:ascii="宋体" w:eastAsia="宋体" w:cs="Courier New"/>
      <w:kern w:val="2"/>
      <w:sz w:val="21"/>
      <w:szCs w:val="21"/>
      <w:lang w:val="en-US" w:eastAsia="zh-CN" w:bidi="ar-SA"/>
    </w:rPr>
  </w:style>
  <w:style w:type="character" w:customStyle="1" w:styleId="2312">
    <w:name w:val="样式23 Char Char"/>
    <w:qFormat/>
    <w:uiPriority w:val="0"/>
    <w:rPr>
      <w:rFonts w:ascii="黑体" w:hAnsi="Times New Roman" w:eastAsia="黑体" w:cs="Times New Roman"/>
      <w:color w:val="000000"/>
      <w:kern w:val="0"/>
      <w:szCs w:val="21"/>
    </w:rPr>
  </w:style>
  <w:style w:type="character" w:customStyle="1" w:styleId="2313">
    <w:name w:val="标题 13 Char Char"/>
    <w:qFormat/>
    <w:uiPriority w:val="0"/>
    <w:rPr>
      <w:rFonts w:ascii="Arial Unicode MS" w:hAnsi="Arial Unicode MS" w:eastAsia="Arial Unicode MS" w:cs="Arial Unicode MS"/>
      <w:b/>
      <w:bCs/>
      <w:color w:val="000000"/>
      <w:kern w:val="2"/>
      <w:sz w:val="27"/>
      <w:szCs w:val="27"/>
      <w:lang w:val="en-US" w:eastAsia="zh-CN" w:bidi="ar-SA"/>
    </w:rPr>
  </w:style>
  <w:style w:type="character" w:customStyle="1" w:styleId="2314">
    <w:name w:val="页眉 Char3"/>
    <w:qFormat/>
    <w:locked/>
    <w:uiPriority w:val="0"/>
    <w:rPr>
      <w:rFonts w:eastAsia="宋体"/>
      <w:sz w:val="18"/>
    </w:rPr>
  </w:style>
  <w:style w:type="character" w:customStyle="1" w:styleId="2315">
    <w:name w:val="标题 13 Char5"/>
    <w:qFormat/>
    <w:uiPriority w:val="0"/>
    <w:rPr>
      <w:rFonts w:ascii="Arial Unicode MS" w:hAnsi="Arial Unicode MS" w:eastAsia="Arial Unicode MS" w:cs="Arial Unicode MS"/>
      <w:b/>
      <w:bCs/>
      <w:color w:val="000000"/>
      <w:sz w:val="27"/>
      <w:szCs w:val="27"/>
      <w:lang w:val="en-US" w:eastAsia="zh-CN" w:bidi="ar-SA"/>
    </w:rPr>
  </w:style>
  <w:style w:type="character" w:customStyle="1" w:styleId="2316">
    <w:name w:val="表题 Char"/>
    <w:qFormat/>
    <w:uiPriority w:val="0"/>
    <w:rPr>
      <w:rFonts w:ascii="宋体" w:eastAsia="宋体"/>
      <w:b/>
      <w:color w:val="000000"/>
      <w:sz w:val="28"/>
      <w:lang w:val="en-US" w:eastAsia="zh-CN" w:bidi="ar-SA"/>
    </w:rPr>
  </w:style>
  <w:style w:type="character" w:customStyle="1" w:styleId="2317">
    <w:name w:val="图题 Char Char Char Char Char"/>
    <w:qFormat/>
    <w:uiPriority w:val="0"/>
    <w:rPr>
      <w:rFonts w:eastAsia="宋体"/>
      <w:kern w:val="2"/>
      <w:sz w:val="21"/>
      <w:szCs w:val="21"/>
      <w:lang w:val="en-US" w:eastAsia="zh-CN" w:bidi="ar-SA"/>
    </w:rPr>
  </w:style>
  <w:style w:type="character" w:customStyle="1" w:styleId="2318">
    <w:name w:val="题注 Char1 Char"/>
    <w:qFormat/>
    <w:uiPriority w:val="0"/>
    <w:rPr>
      <w:rFonts w:ascii="Arial" w:hAnsi="Arial" w:eastAsia="黑体" w:cs="Arial"/>
      <w:kern w:val="2"/>
      <w:lang w:val="en-US" w:eastAsia="zh-CN" w:bidi="ar-SA"/>
    </w:rPr>
  </w:style>
  <w:style w:type="character" w:customStyle="1" w:styleId="2319">
    <w:name w:val="正文首行缩进 2 Char2"/>
    <w:qFormat/>
    <w:uiPriority w:val="0"/>
    <w:rPr>
      <w:kern w:val="2"/>
      <w:sz w:val="21"/>
      <w:szCs w:val="24"/>
    </w:rPr>
  </w:style>
  <w:style w:type="character" w:customStyle="1" w:styleId="2320">
    <w:name w:val="称呼 Char2"/>
    <w:qFormat/>
    <w:uiPriority w:val="0"/>
    <w:rPr>
      <w:rFonts w:ascii="Calibri" w:hAnsi="Calibri" w:eastAsia="宋体" w:cs="Times New Roman"/>
      <w:kern w:val="0"/>
      <w:sz w:val="24"/>
      <w:szCs w:val="24"/>
    </w:rPr>
  </w:style>
  <w:style w:type="character" w:customStyle="1" w:styleId="2321">
    <w:name w:val="批注框文本 Char3"/>
    <w:qFormat/>
    <w:uiPriority w:val="0"/>
    <w:rPr>
      <w:kern w:val="2"/>
      <w:sz w:val="18"/>
      <w:szCs w:val="18"/>
    </w:rPr>
  </w:style>
  <w:style w:type="character" w:customStyle="1" w:styleId="2322">
    <w:name w:val="日期 Char4"/>
    <w:qFormat/>
    <w:uiPriority w:val="0"/>
    <w:rPr>
      <w:rFonts w:ascii="宋体" w:eastAsia="宋体"/>
      <w:sz w:val="21"/>
      <w:szCs w:val="21"/>
    </w:rPr>
  </w:style>
  <w:style w:type="character" w:customStyle="1" w:styleId="2323">
    <w:name w:val="信息标题 Char3"/>
    <w:qFormat/>
    <w:uiPriority w:val="0"/>
    <w:rPr>
      <w:rFonts w:ascii="Cambria" w:hAnsi="Cambria" w:eastAsia="宋体" w:cs="Times New Roman"/>
      <w:sz w:val="24"/>
      <w:szCs w:val="24"/>
      <w:shd w:val="pct20" w:color="auto" w:fill="auto"/>
      <w:lang w:bidi="ar-SA"/>
    </w:rPr>
  </w:style>
  <w:style w:type="character" w:customStyle="1" w:styleId="2324">
    <w:name w:val="条目 Char"/>
    <w:qFormat/>
    <w:uiPriority w:val="0"/>
    <w:rPr>
      <w:rFonts w:ascii="华文细黑" w:hAnsi="华文细黑" w:eastAsia="华文细黑"/>
      <w:kern w:val="2"/>
      <w:sz w:val="24"/>
      <w:lang w:val="en-US" w:eastAsia="zh-CN" w:bidi="ar-SA"/>
    </w:rPr>
  </w:style>
  <w:style w:type="character" w:customStyle="1" w:styleId="2325">
    <w:name w:val="105w1"/>
    <w:qFormat/>
    <w:uiPriority w:val="0"/>
    <w:rPr>
      <w:rFonts w:hint="default" w:ascii="ˎ̥" w:hAnsi="ˎ̥"/>
      <w:sz w:val="29"/>
      <w:szCs w:val="29"/>
    </w:rPr>
  </w:style>
  <w:style w:type="character" w:customStyle="1" w:styleId="2326">
    <w:name w:val="注释标题 Char3"/>
    <w:qFormat/>
    <w:uiPriority w:val="0"/>
  </w:style>
  <w:style w:type="character" w:customStyle="1" w:styleId="2327">
    <w:name w:val="正文文本 Char4"/>
    <w:qFormat/>
    <w:uiPriority w:val="0"/>
    <w:rPr>
      <w:rFonts w:ascii="Times New Roman" w:hAnsi="Times New Roman" w:eastAsia="宋体" w:cs="Times New Roman"/>
      <w:kern w:val="0"/>
      <w:szCs w:val="21"/>
      <w:lang w:bidi="ar-SA"/>
    </w:rPr>
  </w:style>
  <w:style w:type="character" w:customStyle="1" w:styleId="2328">
    <w:name w:val="批注主题 Char3"/>
    <w:qFormat/>
    <w:uiPriority w:val="0"/>
    <w:rPr>
      <w:rFonts w:ascii="Calibri" w:hAnsi="Calibri" w:eastAsia="宋体" w:cs="Times New Roman"/>
      <w:b/>
      <w:bCs/>
      <w:kern w:val="0"/>
      <w:sz w:val="24"/>
      <w:szCs w:val="24"/>
    </w:rPr>
  </w:style>
  <w:style w:type="character" w:customStyle="1" w:styleId="2329">
    <w:name w:val="标题 13 Char4"/>
    <w:qFormat/>
    <w:uiPriority w:val="0"/>
    <w:rPr>
      <w:rFonts w:eastAsia="宋体"/>
      <w:b/>
      <w:bCs/>
      <w:kern w:val="2"/>
      <w:sz w:val="32"/>
      <w:szCs w:val="32"/>
      <w:lang w:val="en-US" w:eastAsia="zh-CN" w:bidi="ar-SA"/>
    </w:rPr>
  </w:style>
  <w:style w:type="character" w:customStyle="1" w:styleId="2330">
    <w:name w:val="css-text3"/>
    <w:qFormat/>
    <w:uiPriority w:val="0"/>
  </w:style>
  <w:style w:type="character" w:customStyle="1" w:styleId="2331">
    <w:name w:val="fh1"/>
    <w:qFormat/>
    <w:uiPriority w:val="0"/>
    <w:rPr>
      <w:color w:val="000000"/>
      <w:sz w:val="24"/>
      <w:szCs w:val="24"/>
      <w:u w:val="none"/>
    </w:rPr>
  </w:style>
  <w:style w:type="character" w:customStyle="1" w:styleId="2332">
    <w:name w:val="style1 style2"/>
    <w:qFormat/>
    <w:uiPriority w:val="0"/>
  </w:style>
  <w:style w:type="character" w:customStyle="1" w:styleId="2333">
    <w:name w:val="批注主题 Char1"/>
    <w:qFormat/>
    <w:uiPriority w:val="0"/>
    <w:rPr>
      <w:b/>
      <w:bCs/>
      <w:kern w:val="2"/>
      <w:sz w:val="24"/>
      <w:szCs w:val="24"/>
    </w:rPr>
  </w:style>
  <w:style w:type="character" w:customStyle="1" w:styleId="2334">
    <w:name w:val="表内文字 Char Char"/>
    <w:qFormat/>
    <w:uiPriority w:val="0"/>
    <w:rPr>
      <w:rFonts w:ascii="宋体" w:hAnsi="Courier New" w:eastAsia="宋体" w:cs="Courier New"/>
      <w:color w:val="000000"/>
      <w:kern w:val="2"/>
      <w:sz w:val="21"/>
      <w:szCs w:val="21"/>
      <w:lang w:val="en-US" w:eastAsia="zh-CN" w:bidi="ar-SA"/>
    </w:rPr>
  </w:style>
  <w:style w:type="character" w:customStyle="1" w:styleId="2335">
    <w:name w:val="目标题 1) Char Char1"/>
    <w:qFormat/>
    <w:uiPriority w:val="0"/>
    <w:rPr>
      <w:rFonts w:ascii="Times New Roman" w:hAnsi="Times New Roman" w:eastAsia="宋体" w:cs="Times New Roman"/>
      <w:i/>
      <w:iCs/>
      <w:sz w:val="24"/>
      <w:szCs w:val="24"/>
    </w:rPr>
  </w:style>
  <w:style w:type="character" w:customStyle="1" w:styleId="2336">
    <w:name w:val="批注主题 Char2"/>
    <w:qFormat/>
    <w:uiPriority w:val="0"/>
    <w:rPr>
      <w:rFonts w:ascii="Times New Roman" w:hAnsi="Times New Roman" w:eastAsia="宋体" w:cs="Times New Roman"/>
      <w:b/>
      <w:bCs/>
      <w:kern w:val="0"/>
      <w:szCs w:val="24"/>
      <w:lang w:bidi="ar-SA"/>
    </w:rPr>
  </w:style>
  <w:style w:type="character" w:customStyle="1" w:styleId="2337">
    <w:name w:val="样式 标题 2标题21.1H2h2第一层条2Header 2nd PageA.B.C.h2 main head..."/>
    <w:semiHidden/>
    <w:qFormat/>
    <w:uiPriority w:val="0"/>
    <w:rPr>
      <w:rFonts w:ascii="Times New Roman" w:hAnsi="Times New Roman" w:eastAsia="仿宋_GB2312"/>
      <w:sz w:val="24"/>
    </w:rPr>
  </w:style>
  <w:style w:type="character" w:customStyle="1" w:styleId="2338">
    <w:name w:val="font61"/>
    <w:qFormat/>
    <w:uiPriority w:val="0"/>
    <w:rPr>
      <w:rFonts w:hint="eastAsia" w:ascii="宋体" w:hAnsi="宋体" w:eastAsia="宋体" w:cs="宋体"/>
      <w:b/>
      <w:color w:val="000000"/>
      <w:sz w:val="18"/>
      <w:szCs w:val="18"/>
      <w:u w:val="none"/>
    </w:rPr>
  </w:style>
  <w:style w:type="character" w:customStyle="1" w:styleId="2339">
    <w:name w:val="我的表格 Char"/>
    <w:qFormat/>
    <w:uiPriority w:val="0"/>
    <w:rPr>
      <w:rFonts w:eastAsia="宋体"/>
      <w:kern w:val="2"/>
      <w:sz w:val="21"/>
      <w:lang w:val="en-US" w:eastAsia="zh-CN" w:bidi="ar-SA"/>
    </w:rPr>
  </w:style>
  <w:style w:type="character" w:customStyle="1" w:styleId="2340">
    <w:name w:val="标题 1环评 Char Char"/>
    <w:qFormat/>
    <w:uiPriority w:val="0"/>
    <w:rPr>
      <w:rFonts w:eastAsia="仿宋_GB2312"/>
      <w:b/>
      <w:bCs/>
      <w:kern w:val="44"/>
      <w:sz w:val="30"/>
      <w:szCs w:val="30"/>
      <w:lang w:val="en-US" w:eastAsia="zh-CN" w:bidi="ar-SA"/>
    </w:rPr>
  </w:style>
  <w:style w:type="character" w:customStyle="1" w:styleId="2341">
    <w:name w:val="Font Style109"/>
    <w:qFormat/>
    <w:uiPriority w:val="0"/>
    <w:rPr>
      <w:rFonts w:ascii="Arial" w:hAnsi="Arial" w:cs="Arial"/>
      <w:i/>
      <w:iCs/>
      <w:sz w:val="16"/>
      <w:szCs w:val="16"/>
    </w:rPr>
  </w:style>
  <w:style w:type="character" w:customStyle="1" w:styleId="2342">
    <w:name w:val="contenttext11"/>
    <w:qFormat/>
    <w:uiPriority w:val="0"/>
    <w:rPr>
      <w:rFonts w:hint="eastAsia" w:ascii="宋体" w:hAnsi="宋体" w:eastAsia="宋体"/>
      <w:color w:val="000000"/>
      <w:spacing w:val="240"/>
      <w:sz w:val="24"/>
      <w:szCs w:val="24"/>
    </w:rPr>
  </w:style>
  <w:style w:type="character" w:customStyle="1" w:styleId="2343">
    <w:name w:val="安评正文 Char"/>
    <w:semiHidden/>
    <w:qFormat/>
    <w:uiPriority w:val="0"/>
    <w:rPr>
      <w:rFonts w:eastAsia="宋体"/>
      <w:color w:val="000000"/>
      <w:kern w:val="2"/>
      <w:sz w:val="24"/>
      <w:lang w:bidi="ar-SA"/>
    </w:rPr>
  </w:style>
  <w:style w:type="character" w:customStyle="1" w:styleId="2344">
    <w:name w:val="H8 Char4"/>
    <w:qFormat/>
    <w:uiPriority w:val="0"/>
    <w:rPr>
      <w:rFonts w:ascii="Arial" w:hAnsi="Arial" w:eastAsia="黑体"/>
      <w:sz w:val="24"/>
      <w:szCs w:val="24"/>
      <w:lang w:val="en-US" w:eastAsia="zh-CN" w:bidi="ar-SA"/>
    </w:rPr>
  </w:style>
  <w:style w:type="character" w:customStyle="1" w:styleId="2345">
    <w:name w:val="ued21"/>
    <w:qFormat/>
    <w:uiPriority w:val="0"/>
    <w:rPr>
      <w:rFonts w:hint="eastAsia" w:ascii="宋体" w:hAnsi="宋体" w:eastAsia="宋体"/>
      <w:color w:val="000000"/>
      <w:sz w:val="18"/>
      <w:szCs w:val="18"/>
    </w:rPr>
  </w:style>
  <w:style w:type="character" w:customStyle="1" w:styleId="2346">
    <w:name w:val="123YJ Char Char2"/>
    <w:qFormat/>
    <w:uiPriority w:val="0"/>
    <w:rPr>
      <w:rFonts w:eastAsia="宋体"/>
      <w:kern w:val="2"/>
      <w:sz w:val="18"/>
      <w:szCs w:val="18"/>
      <w:lang w:val="en-US" w:eastAsia="zh-CN" w:bidi="ar-SA"/>
    </w:rPr>
  </w:style>
  <w:style w:type="character" w:customStyle="1" w:styleId="2347">
    <w:name w:val="H6 Char4"/>
    <w:qFormat/>
    <w:uiPriority w:val="0"/>
    <w:rPr>
      <w:rFonts w:ascii="Arial" w:hAnsi="Arial" w:eastAsia="黑体"/>
      <w:b/>
      <w:bCs/>
      <w:sz w:val="24"/>
      <w:szCs w:val="24"/>
      <w:lang w:val="en-US" w:eastAsia="zh-CN" w:bidi="ar-SA"/>
    </w:rPr>
  </w:style>
  <w:style w:type="character" w:customStyle="1" w:styleId="2348">
    <w:name w:val="headline-content2"/>
    <w:qFormat/>
    <w:uiPriority w:val="0"/>
  </w:style>
  <w:style w:type="character" w:customStyle="1" w:styleId="2349">
    <w:name w:val="text31"/>
    <w:qFormat/>
    <w:uiPriority w:val="0"/>
    <w:rPr>
      <w:rFonts w:ascii="宋体" w:eastAsia="宋体"/>
      <w:sz w:val="20"/>
    </w:rPr>
  </w:style>
  <w:style w:type="character" w:customStyle="1" w:styleId="2350">
    <w:name w:val="detailtitle1"/>
    <w:qFormat/>
    <w:uiPriority w:val="0"/>
  </w:style>
  <w:style w:type="character" w:customStyle="1" w:styleId="2351">
    <w:name w:val="正文文本缩进 Char3"/>
    <w:qFormat/>
    <w:uiPriority w:val="0"/>
  </w:style>
  <w:style w:type="character" w:customStyle="1" w:styleId="2352">
    <w:name w:val="H5 Char Char"/>
    <w:qFormat/>
    <w:uiPriority w:val="0"/>
    <w:rPr>
      <w:rFonts w:eastAsia="宋体"/>
      <w:b/>
      <w:bCs/>
      <w:kern w:val="2"/>
      <w:sz w:val="28"/>
      <w:szCs w:val="28"/>
      <w:lang w:val="en-US" w:eastAsia="zh-CN" w:bidi="ar-SA"/>
    </w:rPr>
  </w:style>
  <w:style w:type="character" w:customStyle="1" w:styleId="2353">
    <w:name w:val="批注引用1"/>
    <w:qFormat/>
    <w:uiPriority w:val="0"/>
    <w:rPr>
      <w:sz w:val="21"/>
      <w:szCs w:val="21"/>
    </w:rPr>
  </w:style>
  <w:style w:type="character" w:customStyle="1" w:styleId="2354">
    <w:name w:val="Char Char25"/>
    <w:qFormat/>
    <w:uiPriority w:val="0"/>
    <w:rPr>
      <w:rFonts w:eastAsia="宋体"/>
      <w:snapToGrid/>
      <w:sz w:val="24"/>
      <w:lang w:val="en-US" w:eastAsia="zh-CN" w:bidi="ar-SA"/>
    </w:rPr>
  </w:style>
  <w:style w:type="character" w:customStyle="1" w:styleId="2355">
    <w:name w:val="报告正文 Char1"/>
    <w:qFormat/>
    <w:uiPriority w:val="0"/>
    <w:rPr>
      <w:rFonts w:eastAsia="宋体"/>
      <w:color w:val="000000"/>
      <w:kern w:val="2"/>
      <w:sz w:val="24"/>
      <w:szCs w:val="24"/>
      <w:lang w:val="en-US" w:eastAsia="zh-CN" w:bidi="ar-SA"/>
    </w:rPr>
  </w:style>
  <w:style w:type="character" w:customStyle="1" w:styleId="2356">
    <w:name w:val="样式 标题 4 + (西文) Times New Roman (中文) 宋体 小四 非加粗 Char"/>
    <w:qFormat/>
    <w:uiPriority w:val="0"/>
    <w:rPr>
      <w:rFonts w:ascii="Arial" w:hAnsi="Arial" w:eastAsia="黑体"/>
      <w:b/>
      <w:bCs/>
      <w:kern w:val="2"/>
      <w:sz w:val="28"/>
      <w:szCs w:val="28"/>
      <w:lang w:val="en-US" w:eastAsia="zh-CN" w:bidi="ar-SA"/>
    </w:rPr>
  </w:style>
  <w:style w:type="character" w:customStyle="1" w:styleId="2357">
    <w:name w:val="正文文字缩进 3 Char Char2"/>
    <w:semiHidden/>
    <w:qFormat/>
    <w:uiPriority w:val="0"/>
    <w:rPr>
      <w:rFonts w:eastAsia="宋体"/>
      <w:kern w:val="2"/>
      <w:sz w:val="16"/>
      <w:szCs w:val="16"/>
      <w:lang w:val="en-US" w:eastAsia="zh-CN" w:bidi="ar-SA"/>
    </w:rPr>
  </w:style>
  <w:style w:type="character" w:customStyle="1" w:styleId="2358">
    <w:name w:val="正文文本 2 Char1"/>
    <w:qFormat/>
    <w:uiPriority w:val="0"/>
    <w:rPr>
      <w:rFonts w:eastAsia="宋体"/>
      <w:kern w:val="2"/>
      <w:sz w:val="21"/>
      <w:szCs w:val="24"/>
      <w:lang w:val="en-US" w:eastAsia="zh-CN" w:bidi="ar-SA"/>
    </w:rPr>
  </w:style>
  <w:style w:type="character" w:customStyle="1" w:styleId="2359">
    <w:name w:val="表格文字 Char Char"/>
    <w:qFormat/>
    <w:uiPriority w:val="0"/>
  </w:style>
  <w:style w:type="character" w:customStyle="1" w:styleId="2360">
    <w:name w:val="标题 13 Char3"/>
    <w:qFormat/>
    <w:uiPriority w:val="0"/>
    <w:rPr>
      <w:rFonts w:eastAsia="宋体"/>
      <w:b/>
      <w:bCs/>
      <w:kern w:val="2"/>
      <w:sz w:val="32"/>
      <w:szCs w:val="32"/>
      <w:lang w:val="en-US" w:eastAsia="zh-CN" w:bidi="ar-SA"/>
    </w:rPr>
  </w:style>
  <w:style w:type="character" w:customStyle="1" w:styleId="2361">
    <w:name w:val="段落样式 Char"/>
    <w:qFormat/>
    <w:uiPriority w:val="0"/>
    <w:rPr>
      <w:rFonts w:eastAsia="宋体"/>
      <w:snapToGrid/>
      <w:w w:val="90"/>
      <w:kern w:val="2"/>
      <w:sz w:val="28"/>
      <w:szCs w:val="21"/>
      <w:lang w:val="en-US" w:eastAsia="zh-CN" w:bidi="ar-SA"/>
    </w:rPr>
  </w:style>
  <w:style w:type="character" w:customStyle="1" w:styleId="2362">
    <w:name w:val="正文文字 2 Char Char1"/>
    <w:qFormat/>
    <w:uiPriority w:val="0"/>
    <w:rPr>
      <w:rFonts w:ascii="Times New Roman" w:hAnsi="Times New Roman" w:eastAsia="宋体" w:cs="Times New Roman"/>
      <w:szCs w:val="20"/>
    </w:rPr>
  </w:style>
  <w:style w:type="character" w:customStyle="1" w:styleId="2363">
    <w:name w:val="表－左对齐 Char"/>
    <w:qFormat/>
    <w:uiPriority w:val="0"/>
    <w:rPr>
      <w:rFonts w:eastAsia="宋体" w:cs="Arial"/>
      <w:sz w:val="21"/>
      <w:szCs w:val="21"/>
      <w:lang w:val="en-US" w:eastAsia="ja-JP" w:bidi="ar-SA"/>
    </w:rPr>
  </w:style>
  <w:style w:type="character" w:customStyle="1" w:styleId="2364">
    <w:name w:val="表格中的文字 Char"/>
    <w:semiHidden/>
    <w:qFormat/>
    <w:uiPriority w:val="0"/>
    <w:rPr>
      <w:rFonts w:ascii="宋体" w:hAnsi="宋体" w:eastAsia="宋体"/>
      <w:sz w:val="21"/>
      <w:lang w:bidi="ar-SA"/>
    </w:rPr>
  </w:style>
  <w:style w:type="character" w:customStyle="1" w:styleId="2365">
    <w:name w:val="正文文本 3 Char2"/>
    <w:qFormat/>
    <w:uiPriority w:val="0"/>
    <w:rPr>
      <w:kern w:val="2"/>
      <w:sz w:val="16"/>
      <w:szCs w:val="16"/>
    </w:rPr>
  </w:style>
  <w:style w:type="character" w:customStyle="1" w:styleId="2366">
    <w:name w:val="正文 + 首行缩进2 厘米 Char"/>
    <w:semiHidden/>
    <w:qFormat/>
    <w:uiPriority w:val="0"/>
    <w:rPr>
      <w:rFonts w:ascii="仿宋_GB2312" w:hAnsi="仿宋_GB2312" w:eastAsia="宋体"/>
      <w:kern w:val="2"/>
      <w:sz w:val="24"/>
      <w:szCs w:val="28"/>
      <w:lang w:bidi="ar-SA"/>
    </w:rPr>
  </w:style>
  <w:style w:type="character" w:customStyle="1" w:styleId="2367">
    <w:name w:val="称呼 Char1"/>
    <w:qFormat/>
    <w:uiPriority w:val="0"/>
    <w:rPr>
      <w:kern w:val="2"/>
      <w:sz w:val="21"/>
      <w:szCs w:val="24"/>
    </w:rPr>
  </w:style>
  <w:style w:type="character" w:customStyle="1" w:styleId="2368">
    <w:name w:val="cucd-3 Char Char"/>
    <w:qFormat/>
    <w:uiPriority w:val="0"/>
    <w:rPr>
      <w:b/>
      <w:kern w:val="2"/>
      <w:sz w:val="28"/>
      <w:szCs w:val="24"/>
      <w:lang w:val="en-US" w:eastAsia="zh-CN" w:bidi="ar-SA"/>
    </w:rPr>
  </w:style>
  <w:style w:type="character" w:customStyle="1" w:styleId="2369">
    <w:name w:val="d11"/>
    <w:qFormat/>
    <w:uiPriority w:val="0"/>
    <w:rPr>
      <w:rFonts w:ascii="宋体" w:eastAsia="宋体" w:cs="宋体"/>
      <w:kern w:val="2"/>
      <w:sz w:val="20"/>
      <w:szCs w:val="20"/>
      <w:lang w:val="en-US" w:eastAsia="zh-CN" w:bidi="ar-SA"/>
    </w:rPr>
  </w:style>
  <w:style w:type="character" w:customStyle="1" w:styleId="2370">
    <w:name w:val="文章正文样式 Char Char Char Char Char"/>
    <w:qFormat/>
    <w:uiPriority w:val="0"/>
    <w:rPr>
      <w:rFonts w:ascii="宋体" w:hAnsi="宋体" w:eastAsia="宋体" w:cs="宋体"/>
      <w:kern w:val="2"/>
      <w:sz w:val="24"/>
      <w:lang w:val="en-US" w:eastAsia="zh-CN" w:bidi="ar-SA"/>
    </w:rPr>
  </w:style>
  <w:style w:type="character" w:customStyle="1" w:styleId="2371">
    <w:name w:val="文档结构图 Char3"/>
    <w:qFormat/>
    <w:uiPriority w:val="0"/>
    <w:rPr>
      <w:rFonts w:ascii="宋体" w:eastAsia="宋体"/>
      <w:kern w:val="2"/>
      <w:sz w:val="18"/>
      <w:szCs w:val="18"/>
    </w:rPr>
  </w:style>
  <w:style w:type="character" w:customStyle="1" w:styleId="2372">
    <w:name w:val="Heading 2 Char Char"/>
    <w:qFormat/>
    <w:uiPriority w:val="0"/>
    <w:rPr>
      <w:rFonts w:ascii="Cambria" w:hAnsi="Cambria" w:eastAsia="宋体" w:cs="Times New Roman"/>
      <w:b/>
      <w:bCs/>
      <w:kern w:val="2"/>
      <w:sz w:val="32"/>
      <w:szCs w:val="32"/>
    </w:rPr>
  </w:style>
  <w:style w:type="character" w:customStyle="1" w:styleId="2373">
    <w:name w:val="报告标题3 Char Char"/>
    <w:qFormat/>
    <w:uiPriority w:val="0"/>
    <w:rPr>
      <w:rFonts w:ascii="Arial" w:hAnsi="Arial" w:eastAsia="宋体"/>
      <w:b/>
      <w:color w:val="000000"/>
      <w:kern w:val="2"/>
      <w:sz w:val="24"/>
      <w:szCs w:val="32"/>
      <w:lang w:val="en-US" w:eastAsia="zh-CN" w:bidi="ar-SA"/>
    </w:rPr>
  </w:style>
  <w:style w:type="character" w:customStyle="1" w:styleId="2374">
    <w:name w:val="正文文本缩进 Char2"/>
    <w:qFormat/>
    <w:uiPriority w:val="0"/>
    <w:rPr>
      <w:rFonts w:ascii="宋体" w:eastAsia="宋体"/>
      <w:sz w:val="21"/>
      <w:szCs w:val="21"/>
    </w:rPr>
  </w:style>
  <w:style w:type="character" w:customStyle="1" w:styleId="2375">
    <w:name w:val="标题42 Char"/>
    <w:qFormat/>
    <w:uiPriority w:val="0"/>
    <w:rPr>
      <w:rFonts w:ascii="宋体" w:hAnsi="宋体" w:eastAsia="宋体" w:cs="宋体"/>
      <w:color w:val="000000"/>
      <w:kern w:val="2"/>
      <w:sz w:val="24"/>
      <w:szCs w:val="24"/>
      <w:lang w:val="en-US" w:eastAsia="zh-CN" w:bidi="ar-SA"/>
    </w:rPr>
  </w:style>
  <w:style w:type="character" w:customStyle="1" w:styleId="2376">
    <w:name w:val="表格正文 Char Char"/>
    <w:qFormat/>
    <w:uiPriority w:val="0"/>
    <w:rPr>
      <w:rFonts w:ascii="仿宋_GB2312" w:eastAsia="仿宋_GB2312" w:cs="宋体"/>
      <w:sz w:val="21"/>
      <w:szCs w:val="21"/>
      <w:lang w:val="en-US" w:eastAsia="zh-CN" w:bidi="ar-SA"/>
    </w:rPr>
  </w:style>
  <w:style w:type="character" w:customStyle="1" w:styleId="2377">
    <w:name w:val="正文文字缩进 3 Char Char"/>
    <w:qFormat/>
    <w:uiPriority w:val="0"/>
    <w:rPr>
      <w:rFonts w:eastAsia="宋体"/>
      <w:kern w:val="2"/>
      <w:sz w:val="16"/>
      <w:szCs w:val="16"/>
      <w:lang w:val="en-US" w:eastAsia="zh-CN" w:bidi="ar-SA"/>
    </w:rPr>
  </w:style>
  <w:style w:type="character" w:customStyle="1" w:styleId="2378">
    <w:name w:val="5文章(治) Char"/>
    <w:qFormat/>
    <w:uiPriority w:val="0"/>
    <w:rPr>
      <w:rFonts w:eastAsia="宋体"/>
      <w:color w:val="000000"/>
      <w:sz w:val="24"/>
      <w:lang w:val="en-US" w:eastAsia="zh-CN" w:bidi="ar-SA"/>
    </w:rPr>
  </w:style>
  <w:style w:type="character" w:customStyle="1" w:styleId="2379">
    <w:name w:val="正文文本 3 Char3"/>
    <w:qFormat/>
    <w:uiPriority w:val="0"/>
    <w:rPr>
      <w:rFonts w:ascii="Times New Roman" w:hAnsi="Times New Roman" w:eastAsia="宋体" w:cs="Times New Roman"/>
      <w:szCs w:val="20"/>
      <w:lang w:bidi="ar-SA"/>
    </w:rPr>
  </w:style>
  <w:style w:type="character" w:customStyle="1" w:styleId="2380">
    <w:name w:val="书籍标题11"/>
    <w:qFormat/>
    <w:uiPriority w:val="0"/>
    <w:rPr>
      <w:rFonts w:ascii="Cambria" w:hAnsi="Cambria" w:eastAsia="宋体"/>
      <w:b/>
      <w:i/>
      <w:sz w:val="24"/>
      <w:szCs w:val="24"/>
    </w:rPr>
  </w:style>
  <w:style w:type="character" w:customStyle="1" w:styleId="2381">
    <w:name w:val="正文首行缩进 2 Char3"/>
    <w:qFormat/>
    <w:uiPriority w:val="0"/>
    <w:rPr>
      <w:rFonts w:ascii="Times New Roman" w:hAnsi="Times New Roman" w:eastAsia="宋体" w:cs="Times New Roman"/>
      <w:sz w:val="21"/>
      <w:szCs w:val="24"/>
      <w:lang w:bidi="ar-SA"/>
    </w:rPr>
  </w:style>
  <w:style w:type="character" w:customStyle="1" w:styleId="2382">
    <w:name w:val="页码1"/>
    <w:qFormat/>
    <w:uiPriority w:val="0"/>
    <w:rPr>
      <w:rFonts w:ascii="宋体" w:eastAsia="宋体"/>
      <w:sz w:val="24"/>
      <w:szCs w:val="20"/>
    </w:rPr>
  </w:style>
  <w:style w:type="character" w:customStyle="1" w:styleId="2383">
    <w:name w:val="副标题 Char2"/>
    <w:qFormat/>
    <w:uiPriority w:val="0"/>
    <w:rPr>
      <w:rFonts w:ascii="楷体_GB2312" w:eastAsia="楷体_GB2312" w:cs="Times New Roman"/>
      <w:b/>
      <w:spacing w:val="40"/>
      <w:kern w:val="0"/>
      <w:sz w:val="36"/>
      <w:szCs w:val="20"/>
      <w:lang w:bidi="ar-SA"/>
    </w:rPr>
  </w:style>
  <w:style w:type="character" w:customStyle="1" w:styleId="2384">
    <w:name w:val="正文文本 2 Char3"/>
    <w:qFormat/>
    <w:uiPriority w:val="0"/>
    <w:rPr>
      <w:rFonts w:ascii="宋体" w:eastAsia="宋体"/>
      <w:sz w:val="21"/>
      <w:szCs w:val="21"/>
    </w:rPr>
  </w:style>
  <w:style w:type="character" w:customStyle="1" w:styleId="2385">
    <w:name w:val="二级序号 Char"/>
    <w:qFormat/>
    <w:uiPriority w:val="0"/>
    <w:rPr>
      <w:rFonts w:eastAsia="宋体"/>
      <w:spacing w:val="20"/>
      <w:kern w:val="2"/>
      <w:sz w:val="24"/>
      <w:szCs w:val="24"/>
      <w:lang w:val="en-US" w:eastAsia="zh-CN" w:bidi="ar-SA"/>
    </w:rPr>
  </w:style>
  <w:style w:type="character" w:customStyle="1" w:styleId="2386">
    <w:name w:val="签名 Char2"/>
    <w:qFormat/>
    <w:uiPriority w:val="0"/>
    <w:rPr>
      <w:kern w:val="2"/>
      <w:sz w:val="24"/>
      <w:szCs w:val="24"/>
    </w:rPr>
  </w:style>
  <w:style w:type="character" w:customStyle="1" w:styleId="2387">
    <w:name w:val="副标题 Char1"/>
    <w:qFormat/>
    <w:uiPriority w:val="0"/>
    <w:rPr>
      <w:rFonts w:ascii="Cambria" w:hAnsi="Cambria" w:cs="Times New Roman"/>
      <w:b/>
      <w:bCs/>
      <w:kern w:val="28"/>
      <w:sz w:val="32"/>
      <w:szCs w:val="32"/>
      <w:lang w:bidi="ar-SA"/>
    </w:rPr>
  </w:style>
  <w:style w:type="character" w:customStyle="1" w:styleId="2388">
    <w:name w:val="页眉 Char4"/>
    <w:semiHidden/>
    <w:qFormat/>
    <w:uiPriority w:val="99"/>
    <w:rPr>
      <w:rFonts w:ascii="Calibri" w:hAnsi="Calibri" w:eastAsia="宋体" w:cs="Times New Roman"/>
      <w:kern w:val="0"/>
      <w:sz w:val="18"/>
      <w:szCs w:val="18"/>
    </w:rPr>
  </w:style>
  <w:style w:type="character" w:customStyle="1" w:styleId="2389">
    <w:name w:val="江波正文 Char"/>
    <w:semiHidden/>
    <w:qFormat/>
    <w:uiPriority w:val="0"/>
    <w:rPr>
      <w:rFonts w:hAnsi="仿宋_GB2312" w:eastAsia="仿宋_GB2312"/>
      <w:kern w:val="2"/>
      <w:sz w:val="28"/>
      <w:szCs w:val="28"/>
      <w:lang w:val="en-US" w:eastAsia="zh-CN" w:bidi="ar-SA"/>
    </w:rPr>
  </w:style>
  <w:style w:type="paragraph" w:customStyle="1" w:styleId="2390">
    <w:name w:val="标题 3YHY"/>
    <w:basedOn w:val="5"/>
    <w:next w:val="388"/>
    <w:link w:val="2391"/>
    <w:qFormat/>
    <w:uiPriority w:val="0"/>
    <w:pPr>
      <w:keepNext w:val="0"/>
      <w:keepLines w:val="0"/>
      <w:widowControl/>
      <w:numPr>
        <w:numId w:val="35"/>
      </w:numPr>
      <w:adjustRightInd w:val="0"/>
      <w:snapToGrid w:val="0"/>
      <w:spacing w:beforeLines="50" w:afterLines="50" w:line="360" w:lineRule="auto"/>
      <w:jc w:val="left"/>
    </w:pPr>
    <w:rPr>
      <w:rFonts w:ascii="Calibri" w:hAnsi="Calibri" w:eastAsia="宋体" w:cs="Arial Unicode MS"/>
      <w:bCs w:val="0"/>
      <w:iCs/>
      <w:smallCaps/>
      <w:color w:val="000000"/>
      <w:spacing w:val="5"/>
      <w:kern w:val="0"/>
      <w:sz w:val="24"/>
      <w:szCs w:val="24"/>
    </w:rPr>
  </w:style>
  <w:style w:type="character" w:customStyle="1" w:styleId="2391">
    <w:name w:val="标题 3YHY Char"/>
    <w:link w:val="2390"/>
    <w:qFormat/>
    <w:uiPriority w:val="0"/>
    <w:rPr>
      <w:rFonts w:ascii="Calibri" w:hAnsi="Calibri" w:cs="Arial Unicode MS"/>
      <w:b/>
      <w:iCs/>
      <w:smallCaps/>
      <w:color w:val="000000"/>
      <w:spacing w:val="5"/>
      <w:sz w:val="24"/>
      <w:szCs w:val="24"/>
    </w:rPr>
  </w:style>
  <w:style w:type="paragraph" w:customStyle="1" w:styleId="2392">
    <w:name w:val="样式50"/>
    <w:basedOn w:val="1"/>
    <w:link w:val="2393"/>
    <w:qFormat/>
    <w:uiPriority w:val="99"/>
    <w:pPr>
      <w:keepNext/>
      <w:keepLines/>
      <w:widowControl/>
      <w:tabs>
        <w:tab w:val="left" w:pos="540"/>
        <w:tab w:val="left" w:pos="720"/>
      </w:tabs>
      <w:spacing w:before="50" w:after="50" w:line="360" w:lineRule="auto"/>
      <w:ind w:left="720" w:hanging="720" w:firstLineChars="200"/>
      <w:jc w:val="left"/>
      <w:outlineLvl w:val="1"/>
    </w:pPr>
    <w:rPr>
      <w:rFonts w:ascii="宋体" w:hAnsi="宋体" w:cs="MS Sans Serif"/>
      <w:b/>
      <w:color w:val="000000"/>
      <w:kern w:val="0"/>
      <w:sz w:val="28"/>
      <w:szCs w:val="20"/>
    </w:rPr>
  </w:style>
  <w:style w:type="character" w:customStyle="1" w:styleId="2393">
    <w:name w:val="样式50 Char"/>
    <w:link w:val="2392"/>
    <w:qFormat/>
    <w:uiPriority w:val="99"/>
    <w:rPr>
      <w:rFonts w:ascii="宋体" w:hAnsi="宋体" w:cs="MS Sans Serif"/>
      <w:b/>
      <w:color w:val="000000"/>
      <w:sz w:val="28"/>
    </w:rPr>
  </w:style>
  <w:style w:type="paragraph" w:customStyle="1" w:styleId="2394">
    <w:name w:val="样式 宋体 小四 加粗 行距: 1.5 倍行距"/>
    <w:basedOn w:val="1"/>
    <w:qFormat/>
    <w:uiPriority w:val="0"/>
    <w:pPr>
      <w:widowControl/>
      <w:spacing w:line="360" w:lineRule="auto"/>
      <w:ind w:right="210" w:rightChars="100" w:firstLine="480" w:firstLineChars="200"/>
      <w:jc w:val="left"/>
    </w:pPr>
    <w:rPr>
      <w:rFonts w:hAnsi="宋体" w:cstheme="majorBidi"/>
      <w:bCs/>
      <w:color w:val="FF00FF"/>
      <w:kern w:val="0"/>
    </w:rPr>
  </w:style>
  <w:style w:type="paragraph" w:customStyle="1" w:styleId="2395">
    <w:name w:val="强条"/>
    <w:basedOn w:val="2396"/>
    <w:link w:val="2397"/>
    <w:qFormat/>
    <w:uiPriority w:val="0"/>
    <w:rPr>
      <w:rFonts w:ascii="黑体" w:eastAsia="黑体"/>
    </w:rPr>
  </w:style>
  <w:style w:type="paragraph" w:customStyle="1" w:styleId="2396">
    <w:name w:val="正文 文本"/>
    <w:basedOn w:val="86"/>
    <w:link w:val="2630"/>
    <w:qFormat/>
    <w:uiPriority w:val="0"/>
    <w:pPr>
      <w:widowControl/>
      <w:adjustRightInd/>
      <w:snapToGrid/>
      <w:spacing w:after="120" w:line="288" w:lineRule="auto"/>
      <w:ind w:firstLine="480"/>
      <w:jc w:val="left"/>
    </w:pPr>
    <w:rPr>
      <w:rFonts w:cstheme="majorBidi"/>
      <w:kern w:val="0"/>
      <w:sz w:val="24"/>
      <w:lang w:val="zh-CN"/>
    </w:rPr>
  </w:style>
  <w:style w:type="character" w:customStyle="1" w:styleId="2397">
    <w:name w:val="强条 Char"/>
    <w:link w:val="2395"/>
    <w:qFormat/>
    <w:uiPriority w:val="0"/>
    <w:rPr>
      <w:rFonts w:ascii="黑体" w:eastAsia="黑体" w:cstheme="majorBidi"/>
      <w:sz w:val="24"/>
      <w:szCs w:val="24"/>
      <w:lang w:val="zh-CN"/>
    </w:rPr>
  </w:style>
  <w:style w:type="paragraph" w:customStyle="1" w:styleId="2398">
    <w:name w:val="引言"/>
    <w:basedOn w:val="1"/>
    <w:next w:val="1"/>
    <w:qFormat/>
    <w:uiPriority w:val="0"/>
    <w:pPr>
      <w:widowControl/>
      <w:spacing w:line="360" w:lineRule="auto"/>
      <w:ind w:firstLine="200" w:firstLineChars="200"/>
      <w:jc w:val="center"/>
    </w:pPr>
    <w:rPr>
      <w:rFonts w:cstheme="majorBidi"/>
      <w:bCs/>
      <w:kern w:val="0"/>
      <w:szCs w:val="21"/>
    </w:rPr>
  </w:style>
  <w:style w:type="paragraph" w:customStyle="1" w:styleId="2399">
    <w:name w:val="GB-1"/>
    <w:qFormat/>
    <w:uiPriority w:val="0"/>
    <w:pPr>
      <w:keepNext/>
      <w:autoSpaceDE w:val="0"/>
      <w:autoSpaceDN w:val="0"/>
      <w:spacing w:beforeLines="50" w:afterLines="50" w:line="360" w:lineRule="auto"/>
      <w:outlineLvl w:val="0"/>
    </w:pPr>
    <w:rPr>
      <w:rFonts w:ascii="黑体" w:hAnsi="Times New Roman" w:eastAsia="黑体" w:cstheme="majorBidi"/>
      <w:sz w:val="21"/>
      <w:szCs w:val="21"/>
      <w:lang w:val="en-US" w:eastAsia="zh-CN" w:bidi="ar-SA"/>
    </w:rPr>
  </w:style>
  <w:style w:type="paragraph" w:customStyle="1" w:styleId="2400">
    <w:name w:val="中文报告书"/>
    <w:basedOn w:val="1"/>
    <w:qFormat/>
    <w:uiPriority w:val="0"/>
    <w:pPr>
      <w:widowControl/>
      <w:adjustRightInd w:val="0"/>
      <w:spacing w:after="80" w:line="420" w:lineRule="atLeast"/>
      <w:ind w:firstLine="200" w:firstLineChars="200"/>
      <w:jc w:val="left"/>
      <w:textAlignment w:val="baseline"/>
    </w:pPr>
    <w:rPr>
      <w:rFonts w:cstheme="majorBidi"/>
      <w:kern w:val="0"/>
      <w:szCs w:val="20"/>
    </w:rPr>
  </w:style>
  <w:style w:type="paragraph" w:customStyle="1" w:styleId="2401">
    <w:name w:val="标题一（无序号）"/>
    <w:basedOn w:val="1"/>
    <w:qFormat/>
    <w:uiPriority w:val="0"/>
    <w:pPr>
      <w:keepNext/>
      <w:keepLines/>
      <w:widowControl/>
      <w:adjustRightInd w:val="0"/>
      <w:snapToGrid w:val="0"/>
      <w:spacing w:before="600" w:after="720" w:line="400" w:lineRule="atLeast"/>
      <w:ind w:firstLine="200" w:firstLineChars="200"/>
      <w:jc w:val="center"/>
      <w:outlineLvl w:val="0"/>
    </w:pPr>
    <w:rPr>
      <w:rFonts w:ascii="黑体" w:hAnsi="宋体" w:eastAsia="黑体" w:cs="宋体"/>
      <w:bCs/>
      <w:kern w:val="44"/>
      <w:sz w:val="30"/>
      <w:szCs w:val="20"/>
    </w:rPr>
  </w:style>
  <w:style w:type="paragraph" w:customStyle="1" w:styleId="2402">
    <w:name w:val="061209正文样式"/>
    <w:basedOn w:val="7"/>
    <w:link w:val="2403"/>
    <w:qFormat/>
    <w:uiPriority w:val="0"/>
    <w:pPr>
      <w:widowControl/>
      <w:adjustRightInd w:val="0"/>
      <w:snapToGrid w:val="0"/>
      <w:spacing w:line="360" w:lineRule="auto"/>
      <w:ind w:firstLine="560"/>
      <w:textAlignment w:val="center"/>
    </w:pPr>
    <w:rPr>
      <w:rFonts w:ascii="宋体" w:hAnsi="宋体" w:cstheme="majorBidi"/>
      <w:bCs/>
      <w:kern w:val="0"/>
      <w:sz w:val="28"/>
      <w:szCs w:val="28"/>
    </w:rPr>
  </w:style>
  <w:style w:type="character" w:customStyle="1" w:styleId="2403">
    <w:name w:val="061209正文样式 Char Char"/>
    <w:link w:val="2402"/>
    <w:qFormat/>
    <w:uiPriority w:val="0"/>
    <w:rPr>
      <w:rFonts w:ascii="宋体" w:hAnsi="宋体" w:cstheme="majorBidi"/>
      <w:bCs/>
      <w:sz w:val="28"/>
      <w:szCs w:val="28"/>
    </w:rPr>
  </w:style>
  <w:style w:type="paragraph" w:customStyle="1" w:styleId="2404">
    <w:name w:val="CM73"/>
    <w:basedOn w:val="397"/>
    <w:next w:val="397"/>
    <w:qFormat/>
    <w:uiPriority w:val="0"/>
    <w:pPr>
      <w:spacing w:after="340" w:line="360" w:lineRule="auto"/>
    </w:pPr>
    <w:rPr>
      <w:rFonts w:hAnsi="Times New Roman" w:cs="Times New Roman"/>
      <w:color w:val="auto"/>
    </w:rPr>
  </w:style>
  <w:style w:type="paragraph" w:customStyle="1" w:styleId="2405">
    <w:name w:val="7表格(治)"/>
    <w:link w:val="2406"/>
    <w:qFormat/>
    <w:uiPriority w:val="0"/>
    <w:pPr>
      <w:snapToGrid w:val="0"/>
      <w:jc w:val="center"/>
    </w:pPr>
    <w:rPr>
      <w:rFonts w:ascii="Times New Roman" w:hAnsi="Times New Roman" w:eastAsia="宋体" w:cs="Times New Roman"/>
      <w:b/>
      <w:color w:val="000000"/>
      <w:sz w:val="18"/>
      <w:szCs w:val="21"/>
      <w:lang w:val="en-US" w:eastAsia="zh-CN" w:bidi="ar-SA"/>
    </w:rPr>
  </w:style>
  <w:style w:type="character" w:customStyle="1" w:styleId="2406">
    <w:name w:val="7表格(治) Char"/>
    <w:link w:val="2405"/>
    <w:uiPriority w:val="0"/>
    <w:rPr>
      <w:b/>
      <w:color w:val="000000"/>
      <w:sz w:val="18"/>
      <w:szCs w:val="21"/>
    </w:rPr>
  </w:style>
  <w:style w:type="character" w:customStyle="1" w:styleId="2407">
    <w:name w:val="图表正文 Char"/>
    <w:link w:val="517"/>
    <w:qFormat/>
    <w:uiPriority w:val="0"/>
    <w:rPr>
      <w:rFonts w:ascii="宋体" w:hAnsi="宋体" w:cs="宋体"/>
      <w:sz w:val="21"/>
      <w:szCs w:val="21"/>
    </w:rPr>
  </w:style>
  <w:style w:type="paragraph" w:customStyle="1" w:styleId="2408">
    <w:name w:val="CM23"/>
    <w:basedOn w:val="397"/>
    <w:next w:val="397"/>
    <w:qFormat/>
    <w:uiPriority w:val="0"/>
    <w:pPr>
      <w:spacing w:line="480" w:lineRule="atLeast"/>
    </w:pPr>
    <w:rPr>
      <w:rFonts w:hAnsi="Times New Roman" w:cs="Times New Roman"/>
      <w:color w:val="auto"/>
    </w:rPr>
  </w:style>
  <w:style w:type="paragraph" w:customStyle="1" w:styleId="2409">
    <w:name w:val="公式样式1"/>
    <w:basedOn w:val="1"/>
    <w:qFormat/>
    <w:uiPriority w:val="0"/>
    <w:pPr>
      <w:widowControl/>
      <w:spacing w:line="360" w:lineRule="auto"/>
      <w:ind w:firstLine="235" w:firstLineChars="200"/>
      <w:jc w:val="left"/>
    </w:pPr>
    <w:rPr>
      <w:rFonts w:cstheme="majorBidi"/>
      <w:kern w:val="0"/>
      <w:szCs w:val="20"/>
    </w:rPr>
  </w:style>
  <w:style w:type="character" w:customStyle="1" w:styleId="2410">
    <w:name w:val="文章 Char1"/>
    <w:link w:val="958"/>
    <w:qFormat/>
    <w:uiPriority w:val="0"/>
    <w:rPr>
      <w:rFonts w:ascii="宋体" w:hAnsi="Garamond"/>
      <w:spacing w:val="2"/>
      <w:kern w:val="2"/>
      <w:sz w:val="24"/>
      <w:szCs w:val="24"/>
    </w:rPr>
  </w:style>
  <w:style w:type="paragraph" w:customStyle="1" w:styleId="2411">
    <w:name w:val="表头HYL"/>
    <w:basedOn w:val="1"/>
    <w:qFormat/>
    <w:uiPriority w:val="0"/>
    <w:pPr>
      <w:widowControl/>
      <w:spacing w:line="360" w:lineRule="auto"/>
      <w:ind w:firstLine="200" w:firstLineChars="200"/>
      <w:jc w:val="center"/>
    </w:pPr>
    <w:rPr>
      <w:rFonts w:ascii="黑体" w:hAnsi="宋体" w:eastAsia="黑体" w:cs="宋体"/>
      <w:kern w:val="0"/>
      <w:szCs w:val="21"/>
    </w:rPr>
  </w:style>
  <w:style w:type="paragraph" w:customStyle="1" w:styleId="2412">
    <w:name w:val="表内式样"/>
    <w:link w:val="2413"/>
    <w:qFormat/>
    <w:uiPriority w:val="0"/>
    <w:pPr>
      <w:widowControl w:val="0"/>
      <w:spacing w:line="360" w:lineRule="auto"/>
      <w:jc w:val="center"/>
    </w:pPr>
    <w:rPr>
      <w:rFonts w:ascii="Times New Roman" w:hAnsi="Times New Roman" w:eastAsiaTheme="majorEastAsia" w:cstheme="majorBidi"/>
      <w:kern w:val="2"/>
      <w:sz w:val="21"/>
      <w:szCs w:val="21"/>
      <w:lang w:val="en-US" w:eastAsia="zh-CN" w:bidi="ar-SA"/>
    </w:rPr>
  </w:style>
  <w:style w:type="character" w:customStyle="1" w:styleId="2413">
    <w:name w:val="表内式样 Char"/>
    <w:link w:val="2412"/>
    <w:qFormat/>
    <w:uiPriority w:val="0"/>
    <w:rPr>
      <w:rFonts w:eastAsiaTheme="majorEastAsia" w:cstheme="majorBidi"/>
      <w:kern w:val="2"/>
      <w:sz w:val="21"/>
      <w:szCs w:val="21"/>
    </w:rPr>
  </w:style>
  <w:style w:type="paragraph" w:customStyle="1" w:styleId="2414">
    <w:name w:val="样式72"/>
    <w:basedOn w:val="1"/>
    <w:uiPriority w:val="0"/>
    <w:pPr>
      <w:widowControl/>
      <w:autoSpaceDE w:val="0"/>
      <w:autoSpaceDN w:val="0"/>
      <w:adjustRightInd w:val="0"/>
      <w:spacing w:beforeLines="50" w:afterLines="50" w:line="360" w:lineRule="auto"/>
      <w:ind w:firstLine="200" w:firstLineChars="200"/>
      <w:jc w:val="center"/>
    </w:pPr>
    <w:rPr>
      <w:rFonts w:ascii="宋体" w:hAnsi="宋体" w:cs="MS Sans Serif"/>
      <w:b/>
      <w:color w:val="000000"/>
      <w:kern w:val="0"/>
      <w:szCs w:val="20"/>
    </w:rPr>
  </w:style>
  <w:style w:type="paragraph" w:customStyle="1" w:styleId="2415">
    <w:name w:val="电镀正文"/>
    <w:basedOn w:val="7"/>
    <w:link w:val="2416"/>
    <w:qFormat/>
    <w:uiPriority w:val="0"/>
    <w:pPr>
      <w:widowControl/>
      <w:spacing w:line="312" w:lineRule="auto"/>
      <w:ind w:firstLine="200"/>
    </w:pPr>
    <w:rPr>
      <w:rFonts w:ascii="宋体" w:hAnsi="宋体" w:cstheme="majorBidi"/>
      <w:kern w:val="0"/>
    </w:rPr>
  </w:style>
  <w:style w:type="character" w:customStyle="1" w:styleId="2416">
    <w:name w:val="电镀正文 Char"/>
    <w:link w:val="2415"/>
    <w:qFormat/>
    <w:uiPriority w:val="0"/>
    <w:rPr>
      <w:rFonts w:ascii="宋体" w:hAnsi="宋体" w:cstheme="majorBidi"/>
      <w:sz w:val="24"/>
      <w:szCs w:val="24"/>
    </w:rPr>
  </w:style>
  <w:style w:type="paragraph" w:customStyle="1" w:styleId="2417">
    <w:name w:val="公文正文"/>
    <w:basedOn w:val="1"/>
    <w:qFormat/>
    <w:uiPriority w:val="99"/>
    <w:pPr>
      <w:widowControl/>
      <w:spacing w:line="600" w:lineRule="exact"/>
      <w:ind w:firstLine="200" w:firstLineChars="200"/>
      <w:jc w:val="left"/>
    </w:pPr>
    <w:rPr>
      <w:rFonts w:eastAsia="方正仿宋_GBK" w:cstheme="majorBidi"/>
      <w:kern w:val="0"/>
      <w:sz w:val="32"/>
    </w:rPr>
  </w:style>
  <w:style w:type="paragraph" w:customStyle="1" w:styleId="2418">
    <w:name w:val="报告表正文"/>
    <w:basedOn w:val="1"/>
    <w:qFormat/>
    <w:uiPriority w:val="0"/>
    <w:pPr>
      <w:widowControl/>
      <w:adjustRightInd w:val="0"/>
      <w:spacing w:line="300" w:lineRule="auto"/>
      <w:ind w:left="113" w:right="113" w:firstLine="200" w:firstLineChars="200"/>
      <w:jc w:val="left"/>
      <w:textAlignment w:val="baseline"/>
    </w:pPr>
    <w:rPr>
      <w:rFonts w:cstheme="majorBidi"/>
      <w:kern w:val="0"/>
      <w:szCs w:val="20"/>
    </w:rPr>
  </w:style>
  <w:style w:type="paragraph" w:customStyle="1" w:styleId="2419">
    <w:name w:val="无间隔11"/>
    <w:qFormat/>
    <w:uiPriority w:val="0"/>
    <w:pPr>
      <w:widowControl w:val="0"/>
      <w:spacing w:line="360" w:lineRule="auto"/>
      <w:ind w:firstLine="465"/>
      <w:jc w:val="both"/>
    </w:pPr>
    <w:rPr>
      <w:rFonts w:ascii="等线" w:hAnsi="等线" w:eastAsia="等线" w:cstheme="majorBidi"/>
      <w:kern w:val="2"/>
      <w:sz w:val="24"/>
      <w:szCs w:val="22"/>
      <w:lang w:val="en-US" w:eastAsia="zh-CN" w:bidi="ar-SA"/>
    </w:rPr>
  </w:style>
  <w:style w:type="paragraph" w:customStyle="1" w:styleId="2420">
    <w:name w:val="样式 正文文本 + 首行缩进:  2 字符"/>
    <w:basedOn w:val="34"/>
    <w:link w:val="2421"/>
    <w:qFormat/>
    <w:uiPriority w:val="0"/>
    <w:pPr>
      <w:widowControl/>
      <w:spacing w:line="420" w:lineRule="auto"/>
      <w:ind w:firstLine="560" w:firstLineChars="200"/>
      <w:jc w:val="left"/>
    </w:pPr>
    <w:rPr>
      <w:rFonts w:cs="宋体"/>
      <w:kern w:val="0"/>
      <w:sz w:val="24"/>
    </w:rPr>
  </w:style>
  <w:style w:type="character" w:customStyle="1" w:styleId="2421">
    <w:name w:val="样式 正文文本 + 首行缩进:  2 字符 Char"/>
    <w:link w:val="2420"/>
    <w:qFormat/>
    <w:uiPriority w:val="0"/>
    <w:rPr>
      <w:rFonts w:cs="宋体"/>
      <w:sz w:val="24"/>
      <w:szCs w:val="24"/>
    </w:rPr>
  </w:style>
  <w:style w:type="character" w:customStyle="1" w:styleId="2422">
    <w:name w:val="正文文本 Char5"/>
    <w:basedOn w:val="133"/>
    <w:semiHidden/>
    <w:qFormat/>
    <w:uiPriority w:val="99"/>
  </w:style>
  <w:style w:type="paragraph" w:customStyle="1" w:styleId="2423">
    <w:name w:val="自动表头"/>
    <w:basedOn w:val="1"/>
    <w:link w:val="2424"/>
    <w:qFormat/>
    <w:uiPriority w:val="0"/>
    <w:pPr>
      <w:widowControl/>
      <w:autoSpaceDE w:val="0"/>
      <w:autoSpaceDN w:val="0"/>
      <w:adjustRightInd w:val="0"/>
      <w:spacing w:before="50" w:after="50" w:line="440" w:lineRule="exact"/>
      <w:ind w:firstLine="538" w:firstLineChars="255"/>
      <w:jc w:val="left"/>
    </w:pPr>
    <w:rPr>
      <w:rFonts w:eastAsia="黑体" w:cstheme="majorBidi"/>
      <w:b/>
      <w:kern w:val="0"/>
      <w:sz w:val="20"/>
      <w:szCs w:val="21"/>
    </w:rPr>
  </w:style>
  <w:style w:type="character" w:customStyle="1" w:styleId="2424">
    <w:name w:val="自动表头 Char"/>
    <w:link w:val="2423"/>
    <w:qFormat/>
    <w:uiPriority w:val="0"/>
    <w:rPr>
      <w:rFonts w:eastAsia="黑体" w:cstheme="majorBidi"/>
      <w:b/>
      <w:szCs w:val="21"/>
    </w:rPr>
  </w:style>
  <w:style w:type="paragraph" w:customStyle="1" w:styleId="2425">
    <w:name w:val="样式 第三标题 + 宋体"/>
    <w:basedOn w:val="2426"/>
    <w:qFormat/>
    <w:uiPriority w:val="0"/>
    <w:pPr>
      <w:keepNext/>
      <w:tabs>
        <w:tab w:val="left" w:pos="720"/>
      </w:tabs>
      <w:snapToGrid/>
    </w:pPr>
    <w:rPr>
      <w:rFonts w:ascii="宋体"/>
      <w:b w:val="0"/>
      <w:bCs/>
      <w:color w:val="000000"/>
      <w:sz w:val="32"/>
      <w:szCs w:val="32"/>
    </w:rPr>
  </w:style>
  <w:style w:type="paragraph" w:customStyle="1" w:styleId="2426">
    <w:name w:val="第三标题"/>
    <w:basedOn w:val="5"/>
    <w:qFormat/>
    <w:uiPriority w:val="0"/>
    <w:pPr>
      <w:keepNext w:val="0"/>
      <w:keepLines w:val="0"/>
      <w:widowControl/>
      <w:numPr>
        <w:ilvl w:val="0"/>
        <w:numId w:val="0"/>
      </w:numPr>
      <w:tabs>
        <w:tab w:val="left" w:pos="720"/>
      </w:tabs>
      <w:adjustRightInd w:val="0"/>
      <w:snapToGrid w:val="0"/>
      <w:spacing w:beforeLines="50" w:afterLines="50" w:line="360" w:lineRule="auto"/>
      <w:ind w:firstLine="200"/>
      <w:jc w:val="left"/>
    </w:pPr>
    <w:rPr>
      <w:rFonts w:ascii="Calibri" w:hAnsi="Calibri" w:cs="Arial"/>
      <w:bCs w:val="0"/>
      <w:iCs/>
      <w:smallCaps/>
      <w:spacing w:val="5"/>
      <w:kern w:val="0"/>
      <w:sz w:val="28"/>
    </w:rPr>
  </w:style>
  <w:style w:type="paragraph" w:customStyle="1" w:styleId="2427">
    <w:name w:val="样式53"/>
    <w:basedOn w:val="563"/>
    <w:link w:val="2428"/>
    <w:qFormat/>
    <w:uiPriority w:val="0"/>
    <w:pPr>
      <w:widowControl/>
      <w:tabs>
        <w:tab w:val="left" w:pos="-480"/>
      </w:tabs>
      <w:jc w:val="left"/>
    </w:pPr>
    <w:rPr>
      <w:rFonts w:ascii="宋体" w:hAnsi="宋体" w:eastAsia="宋体" w:cstheme="majorBidi"/>
      <w:kern w:val="0"/>
    </w:rPr>
  </w:style>
  <w:style w:type="character" w:customStyle="1" w:styleId="2428">
    <w:name w:val="样式53 Char"/>
    <w:link w:val="2427"/>
    <w:qFormat/>
    <w:uiPriority w:val="0"/>
    <w:rPr>
      <w:rFonts w:ascii="宋体" w:hAnsi="宋体" w:cstheme="majorBidi"/>
      <w:sz w:val="24"/>
      <w:szCs w:val="24"/>
    </w:rPr>
  </w:style>
  <w:style w:type="paragraph" w:customStyle="1" w:styleId="2429">
    <w:name w:val="CM45"/>
    <w:basedOn w:val="397"/>
    <w:next w:val="397"/>
    <w:qFormat/>
    <w:uiPriority w:val="0"/>
    <w:pPr>
      <w:spacing w:line="500" w:lineRule="atLeast"/>
    </w:pPr>
    <w:rPr>
      <w:rFonts w:ascii="仿宋_GB2312" w:eastAsia="仿宋_GB2312" w:cs="Times New Roman"/>
      <w:color w:val="auto"/>
      <w:szCs w:val="20"/>
    </w:rPr>
  </w:style>
  <w:style w:type="paragraph" w:customStyle="1" w:styleId="2430">
    <w:name w:val="样式 标题 1 + 黑体"/>
    <w:basedOn w:val="3"/>
    <w:link w:val="2431"/>
    <w:qFormat/>
    <w:uiPriority w:val="0"/>
    <w:pPr>
      <w:keepNext w:val="0"/>
      <w:widowControl/>
      <w:numPr>
        <w:numId w:val="35"/>
      </w:numPr>
      <w:tabs>
        <w:tab w:val="left" w:pos="432"/>
        <w:tab w:val="clear" w:pos="0"/>
      </w:tabs>
      <w:autoSpaceDE w:val="0"/>
      <w:autoSpaceDN w:val="0"/>
      <w:adjustRightInd w:val="0"/>
      <w:snapToGrid w:val="0"/>
      <w:spacing w:line="360" w:lineRule="auto"/>
      <w:contextualSpacing/>
      <w:jc w:val="left"/>
    </w:pPr>
    <w:rPr>
      <w:rFonts w:ascii="黑体" w:hAnsi="黑体" w:cstheme="majorBidi"/>
      <w:smallCaps/>
      <w:spacing w:val="5"/>
      <w:kern w:val="0"/>
      <w:sz w:val="30"/>
      <w:lang w:val="zh-CN"/>
    </w:rPr>
  </w:style>
  <w:style w:type="character" w:customStyle="1" w:styleId="2431">
    <w:name w:val="样式 标题 1 + 黑体 Char"/>
    <w:link w:val="2430"/>
    <w:qFormat/>
    <w:uiPriority w:val="0"/>
    <w:rPr>
      <w:rFonts w:ascii="黑体" w:hAnsi="黑体" w:eastAsia="黑体" w:cstheme="majorBidi"/>
      <w:b/>
      <w:smallCaps/>
      <w:spacing w:val="5"/>
      <w:sz w:val="30"/>
      <w:szCs w:val="36"/>
      <w:lang w:val="zh-CN"/>
    </w:rPr>
  </w:style>
  <w:style w:type="paragraph" w:customStyle="1" w:styleId="2432">
    <w:name w:val="样式79"/>
    <w:basedOn w:val="1"/>
    <w:qFormat/>
    <w:uiPriority w:val="0"/>
    <w:pPr>
      <w:keepNext/>
      <w:keepLines/>
      <w:widowControl/>
      <w:spacing w:beforeLines="50" w:afterLines="50" w:line="360" w:lineRule="auto"/>
      <w:ind w:firstLine="200" w:firstLineChars="200"/>
      <w:jc w:val="left"/>
      <w:outlineLvl w:val="0"/>
    </w:pPr>
    <w:rPr>
      <w:rFonts w:eastAsia="黑体" w:cstheme="majorBidi"/>
      <w:bCs/>
      <w:kern w:val="44"/>
      <w:sz w:val="32"/>
      <w:szCs w:val="32"/>
    </w:rPr>
  </w:style>
  <w:style w:type="paragraph" w:customStyle="1" w:styleId="2433">
    <w:name w:val="封面正文"/>
    <w:qFormat/>
    <w:uiPriority w:val="0"/>
    <w:pPr>
      <w:spacing w:line="360" w:lineRule="auto"/>
      <w:jc w:val="both"/>
    </w:pPr>
    <w:rPr>
      <w:rFonts w:asciiTheme="majorHAnsi" w:hAnsiTheme="majorHAnsi" w:eastAsiaTheme="majorEastAsia" w:cstheme="majorBidi"/>
      <w:sz w:val="22"/>
      <w:szCs w:val="22"/>
      <w:lang w:val="en-US" w:eastAsia="zh-CN" w:bidi="ar-SA"/>
    </w:rPr>
  </w:style>
  <w:style w:type="paragraph" w:customStyle="1" w:styleId="2434">
    <w:name w:val="环评标题2.."/>
    <w:basedOn w:val="3"/>
    <w:next w:val="1"/>
    <w:semiHidden/>
    <w:qFormat/>
    <w:uiPriority w:val="99"/>
    <w:pPr>
      <w:keepNext w:val="0"/>
      <w:widowControl/>
      <w:numPr>
        <w:numId w:val="0"/>
      </w:numPr>
      <w:tabs>
        <w:tab w:val="clear" w:pos="0"/>
      </w:tabs>
      <w:spacing w:before="156" w:after="156" w:line="360" w:lineRule="auto"/>
      <w:contextualSpacing/>
      <w:jc w:val="left"/>
    </w:pPr>
    <w:rPr>
      <w:rFonts w:cs="宋体"/>
      <w:b w:val="0"/>
      <w:bCs/>
      <w:smallCaps/>
      <w:spacing w:val="5"/>
      <w:kern w:val="0"/>
      <w:sz w:val="28"/>
      <w:szCs w:val="20"/>
    </w:rPr>
  </w:style>
  <w:style w:type="paragraph" w:customStyle="1" w:styleId="2435">
    <w:name w:val="样式 标题 2Se标题 21标题 121标题 2 Char1 Char节H2节标题 1.1节标题 1.1 Ch...1"/>
    <w:basedOn w:val="4"/>
    <w:qFormat/>
    <w:uiPriority w:val="0"/>
    <w:pPr>
      <w:keepNext w:val="0"/>
      <w:keepLines w:val="0"/>
      <w:widowControl/>
      <w:numPr>
        <w:numId w:val="35"/>
      </w:numPr>
      <w:spacing w:before="156" w:after="156"/>
      <w:ind w:left="105" w:leftChars="50" w:right="105" w:rightChars="50"/>
      <w:jc w:val="left"/>
    </w:pPr>
    <w:rPr>
      <w:rFonts w:ascii="Arial" w:hAnsi="Arial" w:eastAsia="宋体" w:cs="宋体"/>
      <w:bCs w:val="0"/>
      <w:smallCaps/>
      <w:kern w:val="0"/>
      <w:sz w:val="28"/>
      <w:szCs w:val="20"/>
    </w:rPr>
  </w:style>
  <w:style w:type="paragraph" w:customStyle="1" w:styleId="2436">
    <w:name w:val="默认段落字体 Para Char Char Char Char Char Char Char Char Char Char Char Char Char Char Char Char Char Char Char"/>
    <w:basedOn w:val="5"/>
    <w:qFormat/>
    <w:uiPriority w:val="0"/>
    <w:pPr>
      <w:keepNext w:val="0"/>
      <w:keepLines w:val="0"/>
      <w:widowControl/>
      <w:numPr>
        <w:ilvl w:val="0"/>
        <w:numId w:val="0"/>
      </w:numPr>
      <w:tabs>
        <w:tab w:val="left" w:pos="851"/>
        <w:tab w:val="left" w:pos="900"/>
      </w:tabs>
      <w:adjustRightInd w:val="0"/>
      <w:snapToGrid w:val="0"/>
      <w:spacing w:before="120" w:after="120" w:line="360" w:lineRule="auto"/>
      <w:ind w:left="-12" w:leftChars="-12" w:firstLine="200"/>
      <w:jc w:val="left"/>
    </w:pPr>
    <w:rPr>
      <w:rFonts w:ascii="宋体" w:hAnsi="宋体" w:eastAsia="仿宋_GB2312" w:cstheme="majorBidi"/>
      <w:b w:val="0"/>
      <w:iCs/>
      <w:smallCaps/>
      <w:spacing w:val="5"/>
      <w:kern w:val="0"/>
      <w:sz w:val="28"/>
      <w:szCs w:val="20"/>
    </w:rPr>
  </w:style>
  <w:style w:type="paragraph" w:customStyle="1" w:styleId="2437">
    <w:name w:val="样式89"/>
    <w:basedOn w:val="1"/>
    <w:qFormat/>
    <w:uiPriority w:val="0"/>
    <w:pPr>
      <w:widowControl/>
      <w:adjustRightInd w:val="0"/>
      <w:spacing w:before="214" w:line="360" w:lineRule="auto"/>
      <w:ind w:firstLine="200" w:firstLineChars="200"/>
      <w:jc w:val="center"/>
    </w:pPr>
    <w:rPr>
      <w:rFonts w:ascii="黑体" w:eastAsia="黑体" w:cstheme="majorBidi"/>
      <w:b/>
      <w:bCs/>
      <w:color w:val="000000"/>
      <w:kern w:val="0"/>
      <w:sz w:val="20"/>
      <w:szCs w:val="21"/>
    </w:rPr>
  </w:style>
  <w:style w:type="paragraph" w:customStyle="1" w:styleId="2438">
    <w:name w:val="样式 标题 2标题 2 Char + 自动设置 首行缩进:  1.13 厘米"/>
    <w:basedOn w:val="4"/>
    <w:link w:val="2439"/>
    <w:qFormat/>
    <w:uiPriority w:val="0"/>
    <w:pPr>
      <w:keepNext w:val="0"/>
      <w:keepLines w:val="0"/>
      <w:widowControl/>
      <w:numPr>
        <w:ilvl w:val="0"/>
        <w:numId w:val="0"/>
      </w:numPr>
      <w:spacing w:line="500" w:lineRule="exact"/>
      <w:jc w:val="left"/>
    </w:pPr>
    <w:rPr>
      <w:rFonts w:ascii="T" w:hAnsi="T" w:cs="宋体"/>
      <w:b w:val="0"/>
      <w:bCs w:val="0"/>
      <w:smallCaps/>
      <w:kern w:val="0"/>
      <w:sz w:val="28"/>
      <w:szCs w:val="21"/>
    </w:rPr>
  </w:style>
  <w:style w:type="character" w:customStyle="1" w:styleId="2439">
    <w:name w:val="样式 标题 2标题 2 Char + 自动设置 首行缩进:  1.13 厘米 Char"/>
    <w:link w:val="2438"/>
    <w:qFormat/>
    <w:uiPriority w:val="0"/>
    <w:rPr>
      <w:rFonts w:ascii="T" w:hAnsi="T" w:eastAsia="黑体" w:cs="宋体"/>
      <w:smallCaps/>
      <w:sz w:val="28"/>
      <w:szCs w:val="21"/>
    </w:rPr>
  </w:style>
  <w:style w:type="character" w:customStyle="1" w:styleId="2440">
    <w:name w:val="表号 Char2"/>
    <w:link w:val="728"/>
    <w:qFormat/>
    <w:uiPriority w:val="0"/>
    <w:rPr>
      <w:rFonts w:ascii="宋体"/>
      <w:spacing w:val="10"/>
      <w:sz w:val="21"/>
      <w:szCs w:val="24"/>
    </w:rPr>
  </w:style>
  <w:style w:type="paragraph" w:customStyle="1" w:styleId="2441">
    <w:name w:val="列表(L)"/>
    <w:basedOn w:val="66"/>
    <w:link w:val="2442"/>
    <w:qFormat/>
    <w:uiPriority w:val="0"/>
    <w:pPr>
      <w:widowControl/>
      <w:snapToGrid w:val="0"/>
      <w:spacing w:line="360" w:lineRule="auto"/>
      <w:ind w:left="0" w:firstLine="0" w:firstLineChars="0"/>
      <w:jc w:val="left"/>
    </w:pPr>
    <w:rPr>
      <w:rFonts w:ascii="Calibri" w:hAnsi="Calibri" w:cs="宋体"/>
      <w:kern w:val="0"/>
      <w:sz w:val="20"/>
      <w:szCs w:val="20"/>
    </w:rPr>
  </w:style>
  <w:style w:type="character" w:customStyle="1" w:styleId="2442">
    <w:name w:val="列表(L) Char"/>
    <w:link w:val="2441"/>
    <w:qFormat/>
    <w:uiPriority w:val="0"/>
    <w:rPr>
      <w:rFonts w:ascii="Calibri" w:hAnsi="Calibri" w:cs="宋体"/>
    </w:rPr>
  </w:style>
  <w:style w:type="paragraph" w:customStyle="1" w:styleId="2443">
    <w:name w:val="样式88"/>
    <w:basedOn w:val="1"/>
    <w:qFormat/>
    <w:uiPriority w:val="0"/>
    <w:pPr>
      <w:keepNext/>
      <w:keepLines/>
      <w:widowControl/>
      <w:adjustRightInd w:val="0"/>
      <w:spacing w:before="120" w:after="120" w:line="520" w:lineRule="exact"/>
      <w:ind w:firstLine="200" w:firstLineChars="200"/>
      <w:jc w:val="left"/>
      <w:outlineLvl w:val="2"/>
    </w:pPr>
    <w:rPr>
      <w:rFonts w:ascii="宋体" w:hAnsi="宋体" w:eastAsia="黑体" w:cstheme="majorBidi"/>
      <w:b/>
      <w:kern w:val="0"/>
      <w:szCs w:val="20"/>
    </w:rPr>
  </w:style>
  <w:style w:type="paragraph" w:customStyle="1" w:styleId="2444">
    <w:name w:val="正缩1"/>
    <w:basedOn w:val="1"/>
    <w:link w:val="2445"/>
    <w:uiPriority w:val="0"/>
    <w:pPr>
      <w:widowControl/>
      <w:adjustRightInd w:val="0"/>
      <w:snapToGrid w:val="0"/>
      <w:spacing w:line="500" w:lineRule="exact"/>
      <w:ind w:firstLine="567" w:firstLineChars="200"/>
      <w:jc w:val="left"/>
    </w:pPr>
    <w:rPr>
      <w:rFonts w:eastAsia="仿宋_GB2312" w:cstheme="majorBidi"/>
      <w:color w:val="000000"/>
      <w:kern w:val="0"/>
      <w:sz w:val="28"/>
      <w:szCs w:val="20"/>
    </w:rPr>
  </w:style>
  <w:style w:type="character" w:customStyle="1" w:styleId="2445">
    <w:name w:val="正缩1 Char"/>
    <w:link w:val="2444"/>
    <w:qFormat/>
    <w:uiPriority w:val="0"/>
    <w:rPr>
      <w:rFonts w:eastAsia="仿宋_GB2312" w:cstheme="majorBidi"/>
      <w:color w:val="000000"/>
      <w:sz w:val="28"/>
    </w:rPr>
  </w:style>
  <w:style w:type="paragraph" w:customStyle="1" w:styleId="2446">
    <w:name w:val="正文格式 Char Char Char"/>
    <w:basedOn w:val="1"/>
    <w:link w:val="2447"/>
    <w:uiPriority w:val="0"/>
    <w:pPr>
      <w:widowControl/>
      <w:spacing w:line="360" w:lineRule="auto"/>
      <w:ind w:firstLine="482" w:firstLineChars="200"/>
      <w:jc w:val="left"/>
    </w:pPr>
    <w:rPr>
      <w:rFonts w:ascii="宋体" w:cs="宋体"/>
      <w:kern w:val="0"/>
    </w:rPr>
  </w:style>
  <w:style w:type="character" w:customStyle="1" w:styleId="2447">
    <w:name w:val="正文格式 Char Char Char Char"/>
    <w:link w:val="2446"/>
    <w:qFormat/>
    <w:uiPriority w:val="0"/>
    <w:rPr>
      <w:rFonts w:ascii="宋体" w:cs="宋体"/>
      <w:sz w:val="24"/>
      <w:szCs w:val="24"/>
    </w:rPr>
  </w:style>
  <w:style w:type="paragraph" w:customStyle="1" w:styleId="2448">
    <w:name w:val="海南化工城正文"/>
    <w:basedOn w:val="1"/>
    <w:link w:val="2449"/>
    <w:qFormat/>
    <w:uiPriority w:val="0"/>
    <w:pPr>
      <w:widowControl/>
      <w:spacing w:line="324" w:lineRule="auto"/>
      <w:ind w:firstLine="480" w:firstLineChars="200"/>
      <w:jc w:val="left"/>
    </w:pPr>
    <w:rPr>
      <w:rFonts w:ascii="宋体" w:hAnsi="宋体" w:cs="宋体"/>
      <w:kern w:val="0"/>
      <w:szCs w:val="20"/>
    </w:rPr>
  </w:style>
  <w:style w:type="character" w:customStyle="1" w:styleId="2449">
    <w:name w:val="海南化工城正文 Char"/>
    <w:link w:val="2448"/>
    <w:qFormat/>
    <w:uiPriority w:val="0"/>
    <w:rPr>
      <w:rFonts w:ascii="宋体" w:hAnsi="宋体" w:cs="宋体"/>
      <w:sz w:val="24"/>
    </w:rPr>
  </w:style>
  <w:style w:type="paragraph" w:customStyle="1" w:styleId="2450">
    <w:name w:val="首行缩进（正文）"/>
    <w:basedOn w:val="1"/>
    <w:link w:val="2451"/>
    <w:qFormat/>
    <w:uiPriority w:val="0"/>
    <w:pPr>
      <w:widowControl/>
      <w:spacing w:line="300" w:lineRule="auto"/>
      <w:ind w:firstLine="410" w:firstLineChars="171"/>
      <w:jc w:val="left"/>
    </w:pPr>
    <w:rPr>
      <w:rFonts w:ascii="宋体" w:hAnsi="宋体" w:cstheme="majorBidi"/>
      <w:kern w:val="0"/>
    </w:rPr>
  </w:style>
  <w:style w:type="character" w:customStyle="1" w:styleId="2451">
    <w:name w:val="首行缩进（正文） Char"/>
    <w:link w:val="2450"/>
    <w:qFormat/>
    <w:uiPriority w:val="0"/>
    <w:rPr>
      <w:rFonts w:ascii="宋体" w:hAnsi="宋体" w:cstheme="majorBidi"/>
      <w:sz w:val="24"/>
      <w:szCs w:val="24"/>
    </w:rPr>
  </w:style>
  <w:style w:type="paragraph" w:customStyle="1" w:styleId="2452">
    <w:name w:val="样式141"/>
    <w:basedOn w:val="2453"/>
    <w:qFormat/>
    <w:uiPriority w:val="0"/>
    <w:pPr>
      <w:keepNext/>
      <w:keepLines/>
      <w:spacing w:beforeLines="0" w:afterLines="0"/>
      <w:outlineLvl w:val="1"/>
    </w:pPr>
    <w:rPr>
      <w:rFonts w:ascii="黑体" w:hAnsi="黑体" w:eastAsia="黑体"/>
      <w:bCs/>
      <w:color w:val="000000"/>
      <w:sz w:val="28"/>
      <w:szCs w:val="24"/>
    </w:rPr>
  </w:style>
  <w:style w:type="paragraph" w:customStyle="1" w:styleId="2453">
    <w:name w:val="样式100"/>
    <w:basedOn w:val="1"/>
    <w:semiHidden/>
    <w:uiPriority w:val="0"/>
    <w:pPr>
      <w:widowControl/>
      <w:spacing w:beforeLines="50" w:afterLines="100" w:line="360" w:lineRule="auto"/>
      <w:ind w:firstLine="200" w:firstLineChars="200"/>
      <w:jc w:val="left"/>
    </w:pPr>
    <w:rPr>
      <w:rFonts w:cstheme="majorBidi"/>
      <w:b/>
      <w:kern w:val="0"/>
      <w:sz w:val="32"/>
      <w:szCs w:val="32"/>
    </w:rPr>
  </w:style>
  <w:style w:type="paragraph" w:customStyle="1" w:styleId="2454">
    <w:name w:val="段落样式"/>
    <w:basedOn w:val="1"/>
    <w:uiPriority w:val="0"/>
    <w:pPr>
      <w:keepNext/>
      <w:widowControl/>
      <w:suppressLineNumbers/>
      <w:suppressAutoHyphens/>
      <w:topLinePunct/>
      <w:adjustRightInd w:val="0"/>
      <w:snapToGrid w:val="0"/>
      <w:spacing w:line="360" w:lineRule="auto"/>
      <w:ind w:firstLine="482" w:firstLineChars="200"/>
      <w:jc w:val="left"/>
      <w:textAlignment w:val="baseline"/>
    </w:pPr>
    <w:rPr>
      <w:rFonts w:cstheme="majorBidi"/>
      <w:color w:val="000000"/>
      <w:kern w:val="0"/>
    </w:rPr>
  </w:style>
  <w:style w:type="paragraph" w:customStyle="1" w:styleId="2455">
    <w:name w:val="样式 首行缩进:  2 字符 字符缩放: 100%"/>
    <w:basedOn w:val="1"/>
    <w:qFormat/>
    <w:uiPriority w:val="0"/>
    <w:pPr>
      <w:framePr w:hSpace="180" w:wrap="around" w:vAnchor="text" w:hAnchor="margin" w:xAlign="center" w:y="99"/>
      <w:widowControl/>
      <w:spacing w:line="360" w:lineRule="auto"/>
      <w:ind w:firstLine="200" w:firstLineChars="200"/>
      <w:jc w:val="center"/>
    </w:pPr>
    <w:rPr>
      <w:rFonts w:cstheme="majorBidi"/>
      <w:kern w:val="0"/>
    </w:rPr>
  </w:style>
  <w:style w:type="paragraph" w:customStyle="1" w:styleId="2456">
    <w:name w:val="18"/>
    <w:basedOn w:val="1"/>
    <w:qFormat/>
    <w:uiPriority w:val="0"/>
    <w:pPr>
      <w:widowControl/>
      <w:spacing w:before="100" w:beforeAutospacing="1" w:after="100" w:afterAutospacing="1" w:line="440" w:lineRule="atLeast"/>
      <w:ind w:firstLine="200" w:firstLineChars="200"/>
      <w:jc w:val="left"/>
    </w:pPr>
    <w:rPr>
      <w:rFonts w:hint="eastAsia" w:ascii="宋体" w:hAnsi="宋体" w:cstheme="majorBidi"/>
      <w:kern w:val="0"/>
    </w:rPr>
  </w:style>
  <w:style w:type="paragraph" w:customStyle="1" w:styleId="2457">
    <w:name w:val="WPS Plain"/>
    <w:uiPriority w:val="0"/>
    <w:pPr>
      <w:spacing w:line="360" w:lineRule="auto"/>
    </w:pPr>
    <w:rPr>
      <w:rFonts w:ascii="Times New Roman" w:hAnsi="Times New Roman" w:eastAsiaTheme="majorEastAsia" w:cstheme="majorBidi"/>
      <w:sz w:val="22"/>
      <w:szCs w:val="22"/>
      <w:lang w:val="en-US" w:eastAsia="zh-CN" w:bidi="ar-SA"/>
    </w:rPr>
  </w:style>
  <w:style w:type="paragraph" w:customStyle="1" w:styleId="2458">
    <w:name w:val="二级条标题 Char"/>
    <w:basedOn w:val="2459"/>
    <w:next w:val="1"/>
    <w:qFormat/>
    <w:uiPriority w:val="0"/>
    <w:pPr>
      <w:tabs>
        <w:tab w:val="left" w:pos="360"/>
      </w:tabs>
      <w:ind w:left="735"/>
      <w:outlineLvl w:val="3"/>
    </w:pPr>
  </w:style>
  <w:style w:type="paragraph" w:customStyle="1" w:styleId="2459">
    <w:name w:val="一级条标题 Char"/>
    <w:basedOn w:val="1"/>
    <w:next w:val="1"/>
    <w:qFormat/>
    <w:uiPriority w:val="0"/>
    <w:pPr>
      <w:widowControl/>
      <w:spacing w:line="360" w:lineRule="auto"/>
      <w:ind w:left="840" w:firstLine="200" w:firstLineChars="200"/>
      <w:jc w:val="left"/>
      <w:outlineLvl w:val="2"/>
    </w:pPr>
    <w:rPr>
      <w:rFonts w:ascii="黑体" w:eastAsia="黑体" w:cstheme="majorBidi"/>
      <w:kern w:val="0"/>
      <w:szCs w:val="20"/>
    </w:rPr>
  </w:style>
  <w:style w:type="paragraph" w:customStyle="1" w:styleId="2460">
    <w:name w:val="表1表2"/>
    <w:basedOn w:val="1"/>
    <w:qFormat/>
    <w:uiPriority w:val="0"/>
    <w:pPr>
      <w:widowControl/>
      <w:autoSpaceDE w:val="0"/>
      <w:autoSpaceDN w:val="0"/>
      <w:adjustRightInd w:val="0"/>
      <w:spacing w:line="360" w:lineRule="auto"/>
      <w:ind w:firstLine="200" w:firstLineChars="200"/>
      <w:jc w:val="center"/>
      <w:textAlignment w:val="center"/>
    </w:pPr>
    <w:rPr>
      <w:rFonts w:eastAsia="仿宋_GB2312" w:cstheme="majorBidi"/>
      <w:kern w:val="0"/>
      <w:szCs w:val="21"/>
    </w:rPr>
  </w:style>
  <w:style w:type="paragraph" w:customStyle="1" w:styleId="2461">
    <w:name w:val="reader-word-layer reader-word-s1-22"/>
    <w:basedOn w:val="1"/>
    <w:qFormat/>
    <w:uiPriority w:val="99"/>
    <w:pPr>
      <w:widowControl/>
      <w:spacing w:before="100" w:beforeAutospacing="1" w:after="100" w:afterAutospacing="1" w:line="360" w:lineRule="auto"/>
      <w:ind w:firstLine="200" w:firstLineChars="200"/>
      <w:jc w:val="left"/>
    </w:pPr>
    <w:rPr>
      <w:rFonts w:ascii="宋体" w:hAnsi="宋体" w:cs="宋体"/>
      <w:kern w:val="0"/>
    </w:rPr>
  </w:style>
  <w:style w:type="paragraph" w:customStyle="1" w:styleId="2462">
    <w:name w:val="报告标题4"/>
    <w:basedOn w:val="2463"/>
    <w:qFormat/>
    <w:uiPriority w:val="0"/>
    <w:pPr>
      <w:tabs>
        <w:tab w:val="left" w:pos="-480"/>
        <w:tab w:val="left" w:pos="0"/>
        <w:tab w:val="left" w:pos="567"/>
        <w:tab w:val="left" w:pos="864"/>
      </w:tabs>
      <w:ind w:left="-480"/>
      <w:outlineLvl w:val="3"/>
    </w:pPr>
    <w:rPr>
      <w:rFonts w:eastAsia="等线"/>
      <w:b w:val="0"/>
    </w:rPr>
  </w:style>
  <w:style w:type="paragraph" w:customStyle="1" w:styleId="2463">
    <w:name w:val="报告标题2"/>
    <w:basedOn w:val="4"/>
    <w:link w:val="2562"/>
    <w:uiPriority w:val="0"/>
    <w:pPr>
      <w:keepNext w:val="0"/>
      <w:keepLines w:val="0"/>
      <w:widowControl/>
      <w:numPr>
        <w:ilvl w:val="0"/>
        <w:numId w:val="0"/>
      </w:numPr>
      <w:tabs>
        <w:tab w:val="left" w:pos="0"/>
        <w:tab w:val="left" w:pos="567"/>
      </w:tabs>
      <w:spacing w:before="260" w:beforeLines="50"/>
      <w:ind w:left="567" w:hanging="567"/>
      <w:jc w:val="left"/>
    </w:pPr>
    <w:rPr>
      <w:rFonts w:ascii="Arial" w:hAnsi="Arial" w:eastAsia="宋体"/>
      <w:smallCaps/>
      <w:color w:val="000000"/>
      <w:kern w:val="0"/>
      <w:sz w:val="28"/>
      <w:szCs w:val="28"/>
    </w:rPr>
  </w:style>
  <w:style w:type="paragraph" w:customStyle="1" w:styleId="2464">
    <w:name w:val="样式 标题 2标题 21标题 121标题 2 Char1 Char节H2节标题 1.1节标题 1.1 Char..."/>
    <w:basedOn w:val="4"/>
    <w:uiPriority w:val="0"/>
    <w:pPr>
      <w:keepNext w:val="0"/>
      <w:keepLines w:val="0"/>
      <w:widowControl/>
      <w:numPr>
        <w:ilvl w:val="0"/>
        <w:numId w:val="0"/>
      </w:numPr>
      <w:adjustRightInd w:val="0"/>
      <w:snapToGrid w:val="0"/>
      <w:spacing w:before="260" w:beforeLines="80"/>
      <w:jc w:val="left"/>
      <w:textAlignment w:val="baseline"/>
    </w:pPr>
    <w:rPr>
      <w:smallCaps/>
      <w:kern w:val="0"/>
      <w:sz w:val="28"/>
      <w:szCs w:val="20"/>
    </w:rPr>
  </w:style>
  <w:style w:type="paragraph" w:customStyle="1" w:styleId="2465">
    <w:name w:val="样式64"/>
    <w:basedOn w:val="1"/>
    <w:uiPriority w:val="0"/>
    <w:pPr>
      <w:widowControl/>
      <w:tabs>
        <w:tab w:val="left" w:pos="1320"/>
      </w:tabs>
      <w:spacing w:beforeLines="50" w:afterLines="50" w:line="360" w:lineRule="auto"/>
      <w:ind w:firstLine="480" w:firstLineChars="200"/>
      <w:jc w:val="left"/>
    </w:pPr>
    <w:rPr>
      <w:rFonts w:ascii="宋体" w:hAnsi="宋体" w:cstheme="majorBidi"/>
      <w:color w:val="000000"/>
      <w:kern w:val="0"/>
    </w:rPr>
  </w:style>
  <w:style w:type="paragraph" w:customStyle="1" w:styleId="2466">
    <w:name w:val="样式 首行缩进:  0.95 厘米"/>
    <w:basedOn w:val="1"/>
    <w:uiPriority w:val="0"/>
    <w:pPr>
      <w:widowControl/>
      <w:spacing w:line="360" w:lineRule="auto"/>
      <w:ind w:firstLine="200" w:firstLineChars="200"/>
      <w:jc w:val="left"/>
    </w:pPr>
    <w:rPr>
      <w:rFonts w:cs="宋体"/>
      <w:kern w:val="0"/>
      <w:szCs w:val="20"/>
    </w:rPr>
  </w:style>
  <w:style w:type="paragraph" w:customStyle="1" w:styleId="2467">
    <w:name w:val="样式 (西文) Times New Roman (符号) 宋体 加粗 居中 行距: 1.5 倍行距"/>
    <w:basedOn w:val="1"/>
    <w:qFormat/>
    <w:uiPriority w:val="0"/>
    <w:pPr>
      <w:widowControl/>
      <w:spacing w:line="360" w:lineRule="auto"/>
      <w:ind w:firstLine="200" w:firstLineChars="200"/>
      <w:jc w:val="center"/>
    </w:pPr>
    <w:rPr>
      <w:rFonts w:hAnsi="宋体" w:cs="宋体"/>
      <w:b/>
      <w:bCs/>
      <w:kern w:val="0"/>
      <w:szCs w:val="20"/>
    </w:rPr>
  </w:style>
  <w:style w:type="paragraph" w:customStyle="1" w:styleId="2468">
    <w:name w:val="表格11"/>
    <w:basedOn w:val="1"/>
    <w:qFormat/>
    <w:uiPriority w:val="0"/>
    <w:pPr>
      <w:widowControl/>
      <w:adjustRightInd w:val="0"/>
      <w:snapToGrid w:val="0"/>
      <w:spacing w:line="360" w:lineRule="auto"/>
      <w:ind w:firstLine="200" w:firstLineChars="200"/>
      <w:jc w:val="center"/>
    </w:pPr>
    <w:rPr>
      <w:rFonts w:cstheme="majorBidi"/>
      <w:kern w:val="0"/>
      <w:szCs w:val="20"/>
    </w:rPr>
  </w:style>
  <w:style w:type="paragraph" w:customStyle="1" w:styleId="2469">
    <w:name w:val="正文～!"/>
    <w:basedOn w:val="1"/>
    <w:link w:val="2470"/>
    <w:qFormat/>
    <w:uiPriority w:val="0"/>
    <w:pPr>
      <w:widowControl/>
      <w:adjustRightInd w:val="0"/>
      <w:snapToGrid w:val="0"/>
      <w:spacing w:line="360" w:lineRule="auto"/>
      <w:ind w:right="-57" w:rightChars="-27" w:firstLine="560" w:firstLineChars="200"/>
      <w:jc w:val="left"/>
    </w:pPr>
    <w:rPr>
      <w:rFonts w:eastAsia="仿宋_GB2312" w:cstheme="majorBidi"/>
      <w:kern w:val="0"/>
      <w:sz w:val="28"/>
      <w:szCs w:val="20"/>
    </w:rPr>
  </w:style>
  <w:style w:type="character" w:customStyle="1" w:styleId="2470">
    <w:name w:val="正文～! Char Char"/>
    <w:link w:val="2469"/>
    <w:qFormat/>
    <w:uiPriority w:val="0"/>
    <w:rPr>
      <w:rFonts w:eastAsia="仿宋_GB2312" w:cstheme="majorBidi"/>
      <w:sz w:val="28"/>
    </w:rPr>
  </w:style>
  <w:style w:type="paragraph" w:customStyle="1" w:styleId="2471">
    <w:name w:val="GH1_08段落文字"/>
    <w:link w:val="2472"/>
    <w:qFormat/>
    <w:uiPriority w:val="0"/>
    <w:pPr>
      <w:spacing w:line="360" w:lineRule="auto"/>
      <w:ind w:firstLine="200" w:firstLineChars="200"/>
      <w:jc w:val="both"/>
    </w:pPr>
    <w:rPr>
      <w:rFonts w:asciiTheme="majorHAnsi" w:hAnsiTheme="majorHAnsi" w:eastAsiaTheme="majorEastAsia" w:cstheme="majorBidi"/>
      <w:sz w:val="24"/>
      <w:szCs w:val="24"/>
      <w:lang w:val="en-US" w:eastAsia="zh-CN" w:bidi="ar-SA"/>
    </w:rPr>
  </w:style>
  <w:style w:type="character" w:customStyle="1" w:styleId="2472">
    <w:name w:val="GH1_08段落文字 Char Char"/>
    <w:link w:val="2471"/>
    <w:qFormat/>
    <w:uiPriority w:val="0"/>
    <w:rPr>
      <w:rFonts w:asciiTheme="majorHAnsi" w:hAnsiTheme="majorHAnsi" w:eastAsiaTheme="majorEastAsia" w:cstheme="majorBidi"/>
      <w:sz w:val="24"/>
      <w:szCs w:val="24"/>
    </w:rPr>
  </w:style>
  <w:style w:type="paragraph" w:customStyle="1" w:styleId="2473">
    <w:name w:val="样式 标题 2 + 小四 段前: 0.5 行 段后: 0.5 行 行距: 单倍行距"/>
    <w:basedOn w:val="4"/>
    <w:link w:val="2474"/>
    <w:uiPriority w:val="0"/>
    <w:pPr>
      <w:keepNext w:val="0"/>
      <w:keepLines w:val="0"/>
      <w:widowControl/>
      <w:numPr>
        <w:ilvl w:val="0"/>
        <w:numId w:val="0"/>
      </w:numPr>
      <w:tabs>
        <w:tab w:val="left" w:pos="284"/>
      </w:tabs>
      <w:wordWrap w:val="0"/>
      <w:topLinePunct/>
      <w:snapToGrid w:val="0"/>
      <w:spacing w:before="260" w:beforeLines="50" w:after="260" w:afterLines="50"/>
      <w:jc w:val="left"/>
      <w:textAlignment w:val="baseline"/>
    </w:pPr>
    <w:rPr>
      <w:rFonts w:ascii="Arial" w:hAnsi="Arial" w:eastAsia="新宋体" w:cs="宋体"/>
      <w:bCs w:val="0"/>
      <w:smallCaps/>
      <w:color w:val="000000"/>
      <w:kern w:val="0"/>
      <w:sz w:val="24"/>
      <w:szCs w:val="20"/>
    </w:rPr>
  </w:style>
  <w:style w:type="character" w:customStyle="1" w:styleId="2474">
    <w:name w:val="样式 标题 2 + 小四 段前: 0.5 行 段后: 0.5 行 行距: 单倍行距 Char"/>
    <w:link w:val="2473"/>
    <w:qFormat/>
    <w:uiPriority w:val="0"/>
    <w:rPr>
      <w:rFonts w:ascii="Arial" w:hAnsi="Arial" w:eastAsia="新宋体" w:cs="宋体"/>
      <w:b/>
      <w:smallCaps/>
      <w:color w:val="000000"/>
      <w:sz w:val="24"/>
    </w:rPr>
  </w:style>
  <w:style w:type="paragraph" w:customStyle="1" w:styleId="2475">
    <w:name w:val="aaa"/>
    <w:basedOn w:val="1"/>
    <w:link w:val="2476"/>
    <w:qFormat/>
    <w:uiPriority w:val="0"/>
    <w:pPr>
      <w:widowControl/>
      <w:snapToGrid w:val="0"/>
      <w:spacing w:line="360" w:lineRule="auto"/>
      <w:ind w:firstLine="480" w:firstLineChars="200"/>
      <w:jc w:val="left"/>
    </w:pPr>
    <w:rPr>
      <w:rFonts w:cstheme="majorBidi"/>
      <w:kern w:val="0"/>
      <w:szCs w:val="20"/>
    </w:rPr>
  </w:style>
  <w:style w:type="character" w:customStyle="1" w:styleId="2476">
    <w:name w:val="aaa Char"/>
    <w:link w:val="2475"/>
    <w:uiPriority w:val="0"/>
    <w:rPr>
      <w:rFonts w:cstheme="majorBidi"/>
      <w:sz w:val="24"/>
    </w:rPr>
  </w:style>
  <w:style w:type="paragraph" w:customStyle="1" w:styleId="2477">
    <w:name w:val="样式 标题 2 + 黑体"/>
    <w:basedOn w:val="4"/>
    <w:link w:val="2478"/>
    <w:qFormat/>
    <w:uiPriority w:val="0"/>
    <w:pPr>
      <w:keepNext w:val="0"/>
      <w:keepLines w:val="0"/>
      <w:widowControl/>
      <w:numPr>
        <w:ilvl w:val="0"/>
        <w:numId w:val="0"/>
      </w:numPr>
      <w:autoSpaceDE w:val="0"/>
      <w:autoSpaceDN w:val="0"/>
      <w:adjustRightInd w:val="0"/>
      <w:snapToGrid w:val="0"/>
      <w:jc w:val="left"/>
    </w:pPr>
    <w:rPr>
      <w:rFonts w:ascii="黑体" w:hAnsi="黑体" w:cs="黑体"/>
      <w:bCs w:val="0"/>
      <w:smallCaps/>
      <w:kern w:val="0"/>
      <w:sz w:val="28"/>
      <w:szCs w:val="28"/>
      <w:lang w:val="zh-CN"/>
    </w:rPr>
  </w:style>
  <w:style w:type="character" w:customStyle="1" w:styleId="2478">
    <w:name w:val="样式 标题 2 + 黑体 Char"/>
    <w:link w:val="2477"/>
    <w:qFormat/>
    <w:uiPriority w:val="0"/>
    <w:rPr>
      <w:rFonts w:ascii="黑体" w:hAnsi="黑体" w:eastAsia="黑体" w:cs="黑体"/>
      <w:b/>
      <w:smallCaps/>
      <w:sz w:val="28"/>
      <w:szCs w:val="28"/>
      <w:lang w:val="zh-CN"/>
    </w:rPr>
  </w:style>
  <w:style w:type="paragraph" w:customStyle="1" w:styleId="2479">
    <w:name w:val="图文字"/>
    <w:basedOn w:val="1"/>
    <w:qFormat/>
    <w:uiPriority w:val="0"/>
    <w:pPr>
      <w:widowControl/>
      <w:spacing w:line="280" w:lineRule="exact"/>
      <w:ind w:firstLine="200" w:firstLineChars="200"/>
      <w:jc w:val="center"/>
    </w:pPr>
    <w:rPr>
      <w:rFonts w:ascii="宋体" w:hAnsi="宋体" w:cstheme="majorBidi"/>
      <w:kern w:val="0"/>
    </w:rPr>
  </w:style>
  <w:style w:type="paragraph" w:customStyle="1" w:styleId="2480">
    <w:name w:val="MY标题2"/>
    <w:basedOn w:val="4"/>
    <w:link w:val="2481"/>
    <w:qFormat/>
    <w:uiPriority w:val="0"/>
    <w:pPr>
      <w:keepNext w:val="0"/>
      <w:keepLines w:val="0"/>
      <w:widowControl/>
      <w:numPr>
        <w:ilvl w:val="0"/>
        <w:numId w:val="0"/>
      </w:numPr>
      <w:tabs>
        <w:tab w:val="left" w:pos="567"/>
      </w:tabs>
      <w:spacing w:before="156" w:after="156"/>
      <w:ind w:left="567" w:hanging="567"/>
      <w:jc w:val="left"/>
    </w:pPr>
    <w:rPr>
      <w:rFonts w:ascii="Calibri" w:hAnsi="宋体" w:cs="宋体"/>
      <w:bCs w:val="0"/>
      <w:smallCaps/>
      <w:color w:val="000000"/>
      <w:kern w:val="0"/>
      <w:sz w:val="30"/>
      <w:szCs w:val="20"/>
    </w:rPr>
  </w:style>
  <w:style w:type="character" w:customStyle="1" w:styleId="2481">
    <w:name w:val="MY标题2 Char"/>
    <w:link w:val="2480"/>
    <w:uiPriority w:val="0"/>
    <w:rPr>
      <w:rFonts w:ascii="Calibri" w:hAnsi="宋体" w:eastAsia="黑体" w:cs="宋体"/>
      <w:b/>
      <w:smallCaps/>
      <w:color w:val="000000"/>
      <w:sz w:val="30"/>
    </w:rPr>
  </w:style>
  <w:style w:type="character" w:customStyle="1" w:styleId="2482">
    <w:name w:val="xl24 Char"/>
    <w:link w:val="236"/>
    <w:uiPriority w:val="0"/>
    <w:rPr>
      <w:rFonts w:ascii="宋体" w:hAnsi="宋体"/>
      <w:sz w:val="24"/>
      <w:szCs w:val="21"/>
    </w:rPr>
  </w:style>
  <w:style w:type="paragraph" w:customStyle="1" w:styleId="2483">
    <w:name w:val="文本矿山"/>
    <w:basedOn w:val="1"/>
    <w:link w:val="2484"/>
    <w:qFormat/>
    <w:uiPriority w:val="0"/>
    <w:pPr>
      <w:widowControl/>
      <w:spacing w:beforeLines="50" w:afterLines="50" w:line="360" w:lineRule="auto"/>
      <w:ind w:firstLine="480" w:firstLineChars="200"/>
      <w:jc w:val="left"/>
    </w:pPr>
    <w:rPr>
      <w:rFonts w:ascii="宋体" w:hAnsi="宋体" w:cstheme="majorBidi"/>
      <w:kern w:val="0"/>
    </w:rPr>
  </w:style>
  <w:style w:type="character" w:customStyle="1" w:styleId="2484">
    <w:name w:val="文本矿山 Char"/>
    <w:link w:val="2483"/>
    <w:qFormat/>
    <w:uiPriority w:val="0"/>
    <w:rPr>
      <w:rFonts w:ascii="宋体" w:hAnsi="宋体" w:cstheme="majorBidi"/>
      <w:sz w:val="24"/>
      <w:szCs w:val="24"/>
    </w:rPr>
  </w:style>
  <w:style w:type="character" w:customStyle="1" w:styleId="2485">
    <w:name w:val="正文(首行缩进2字) Char"/>
    <w:link w:val="786"/>
    <w:qFormat/>
    <w:uiPriority w:val="0"/>
    <w:rPr>
      <w:rFonts w:ascii="宋体" w:hAnsi="宋体"/>
      <w:bCs/>
      <w:sz w:val="24"/>
    </w:rPr>
  </w:style>
  <w:style w:type="paragraph" w:customStyle="1" w:styleId="2486">
    <w:name w:val="MY标题3"/>
    <w:basedOn w:val="5"/>
    <w:link w:val="2487"/>
    <w:qFormat/>
    <w:uiPriority w:val="0"/>
    <w:pPr>
      <w:keepNext w:val="0"/>
      <w:keepLines w:val="0"/>
      <w:widowControl/>
      <w:numPr>
        <w:ilvl w:val="0"/>
        <w:numId w:val="0"/>
      </w:numPr>
      <w:tabs>
        <w:tab w:val="left" w:pos="1135"/>
      </w:tabs>
      <w:adjustRightInd w:val="0"/>
      <w:snapToGrid w:val="0"/>
      <w:spacing w:before="156" w:after="156" w:line="360" w:lineRule="auto"/>
      <w:ind w:left="1135" w:hanging="851"/>
      <w:jc w:val="left"/>
    </w:pPr>
    <w:rPr>
      <w:rFonts w:ascii="Calibri" w:hAnsi="宋体" w:cs="宋体"/>
      <w:bCs w:val="0"/>
      <w:iCs/>
      <w:smallCaps/>
      <w:color w:val="000000"/>
      <w:spacing w:val="5"/>
      <w:kern w:val="0"/>
      <w:sz w:val="28"/>
      <w:szCs w:val="20"/>
    </w:rPr>
  </w:style>
  <w:style w:type="character" w:customStyle="1" w:styleId="2487">
    <w:name w:val="MY标题3 Char"/>
    <w:link w:val="2486"/>
    <w:qFormat/>
    <w:uiPriority w:val="0"/>
    <w:rPr>
      <w:rFonts w:ascii="Calibri" w:hAnsi="宋体" w:eastAsia="黑体" w:cs="宋体"/>
      <w:b/>
      <w:iCs/>
      <w:smallCaps/>
      <w:color w:val="000000"/>
      <w:spacing w:val="5"/>
      <w:sz w:val="28"/>
    </w:rPr>
  </w:style>
  <w:style w:type="paragraph" w:customStyle="1" w:styleId="2488">
    <w:name w:val="xl144"/>
    <w:basedOn w:val="1"/>
    <w:uiPriority w:val="0"/>
    <w:pPr>
      <w:widowControl/>
      <w:pBdr>
        <w:top w:val="single" w:color="auto" w:sz="4" w:space="0"/>
        <w:left w:val="single" w:color="auto" w:sz="4" w:space="0"/>
        <w:bottom w:val="single" w:color="auto" w:sz="4" w:space="0"/>
        <w:right w:val="single" w:color="auto" w:sz="4" w:space="0"/>
      </w:pBdr>
      <w:shd w:val="clear" w:color="000000" w:fill="FFFFFF"/>
      <w:spacing w:before="100" w:beforeAutospacing="1" w:after="100" w:afterAutospacing="1" w:line="360" w:lineRule="auto"/>
      <w:ind w:firstLine="200" w:firstLineChars="200"/>
      <w:jc w:val="center"/>
    </w:pPr>
    <w:rPr>
      <w:rFonts w:ascii="宋体" w:hAnsi="宋体" w:cs="宋体"/>
      <w:kern w:val="0"/>
      <w:sz w:val="20"/>
      <w:szCs w:val="20"/>
    </w:rPr>
  </w:style>
  <w:style w:type="character" w:customStyle="1" w:styleId="2489">
    <w:name w:val="首行缩进2字符 Char"/>
    <w:link w:val="1831"/>
    <w:uiPriority w:val="0"/>
    <w:rPr>
      <w:kern w:val="2"/>
    </w:rPr>
  </w:style>
  <w:style w:type="paragraph" w:customStyle="1" w:styleId="2490">
    <w:name w:val="样式28"/>
    <w:basedOn w:val="1"/>
    <w:link w:val="2491"/>
    <w:uiPriority w:val="0"/>
    <w:pPr>
      <w:widowControl/>
      <w:spacing w:line="360" w:lineRule="auto"/>
      <w:ind w:firstLine="480" w:firstLineChars="200"/>
      <w:jc w:val="left"/>
    </w:pPr>
    <w:rPr>
      <w:rFonts w:cstheme="majorBidi"/>
      <w:kern w:val="0"/>
    </w:rPr>
  </w:style>
  <w:style w:type="character" w:customStyle="1" w:styleId="2491">
    <w:name w:val="样式28 Char"/>
    <w:link w:val="2490"/>
    <w:qFormat/>
    <w:uiPriority w:val="0"/>
    <w:rPr>
      <w:rFonts w:cstheme="majorBidi"/>
      <w:sz w:val="24"/>
      <w:szCs w:val="24"/>
    </w:rPr>
  </w:style>
  <w:style w:type="paragraph" w:customStyle="1" w:styleId="2492">
    <w:name w:val="生物质发电正文"/>
    <w:basedOn w:val="1"/>
    <w:link w:val="2493"/>
    <w:qFormat/>
    <w:uiPriority w:val="0"/>
    <w:pPr>
      <w:widowControl/>
      <w:suppressAutoHyphens/>
      <w:adjustRightInd w:val="0"/>
      <w:snapToGrid w:val="0"/>
      <w:spacing w:line="324" w:lineRule="auto"/>
      <w:ind w:firstLine="200" w:firstLineChars="200"/>
      <w:jc w:val="left"/>
      <w:textAlignment w:val="baseline"/>
    </w:pPr>
    <w:rPr>
      <w:rFonts w:ascii="宋体" w:hAnsi="宋体" w:cstheme="majorBidi"/>
      <w:bCs/>
      <w:kern w:val="0"/>
    </w:rPr>
  </w:style>
  <w:style w:type="character" w:customStyle="1" w:styleId="2493">
    <w:name w:val="生物质发电正文 Char"/>
    <w:link w:val="2492"/>
    <w:qFormat/>
    <w:uiPriority w:val="0"/>
    <w:rPr>
      <w:rFonts w:ascii="宋体" w:hAnsi="宋体" w:cstheme="majorBidi"/>
      <w:bCs/>
      <w:sz w:val="24"/>
      <w:szCs w:val="24"/>
    </w:rPr>
  </w:style>
  <w:style w:type="paragraph" w:customStyle="1" w:styleId="2494">
    <w:name w:val="样式145"/>
    <w:basedOn w:val="1"/>
    <w:qFormat/>
    <w:uiPriority w:val="0"/>
    <w:pPr>
      <w:keepNext/>
      <w:keepLines/>
      <w:widowControl/>
      <w:tabs>
        <w:tab w:val="left" w:pos="900"/>
        <w:tab w:val="left" w:pos="1080"/>
        <w:tab w:val="left" w:pos="1248"/>
      </w:tabs>
      <w:spacing w:line="360" w:lineRule="auto"/>
      <w:ind w:left="1276" w:hanging="708" w:firstLineChars="200"/>
      <w:jc w:val="left"/>
      <w:outlineLvl w:val="3"/>
    </w:pPr>
    <w:rPr>
      <w:rFonts w:ascii="宋体" w:hAnsi="宋体" w:cs="MS Sans Serif"/>
      <w:bCs/>
      <w:color w:val="000000"/>
      <w:kern w:val="0"/>
      <w:szCs w:val="28"/>
      <w:lang w:val="zh-CN"/>
    </w:rPr>
  </w:style>
  <w:style w:type="paragraph" w:customStyle="1" w:styleId="2495">
    <w:name w:val="样式44"/>
    <w:basedOn w:val="1"/>
    <w:link w:val="2496"/>
    <w:qFormat/>
    <w:uiPriority w:val="0"/>
    <w:pPr>
      <w:widowControl/>
      <w:spacing w:before="120" w:after="120" w:line="360" w:lineRule="auto"/>
      <w:ind w:firstLine="480" w:firstLineChars="200"/>
      <w:jc w:val="left"/>
    </w:pPr>
    <w:rPr>
      <w:rFonts w:cstheme="majorBidi"/>
      <w:color w:val="000000"/>
      <w:kern w:val="0"/>
      <w:szCs w:val="20"/>
    </w:rPr>
  </w:style>
  <w:style w:type="character" w:customStyle="1" w:styleId="2496">
    <w:name w:val="样式44 Char"/>
    <w:link w:val="2495"/>
    <w:uiPriority w:val="0"/>
    <w:rPr>
      <w:rFonts w:cstheme="majorBidi"/>
      <w:color w:val="000000"/>
      <w:sz w:val="24"/>
    </w:rPr>
  </w:style>
  <w:style w:type="paragraph" w:customStyle="1" w:styleId="2497">
    <w:name w:val="样式 样式 标题 3标题 13标题 3 Char1 Char Char Char标题 31ReHead 3 WSAh3B... ..."/>
    <w:basedOn w:val="2498"/>
    <w:link w:val="2499"/>
    <w:uiPriority w:val="0"/>
    <w:rPr>
      <w:rFonts w:ascii="Calibri" w:hAnsi="Calibri" w:eastAsia="宋体" w:cs="宋体"/>
      <w:bCs/>
      <w:szCs w:val="20"/>
    </w:rPr>
  </w:style>
  <w:style w:type="paragraph" w:customStyle="1" w:styleId="2498">
    <w:name w:val="样式 标题 3标题 13标题 3 Char1 Char Char Char标题 31ReHead 3 WSAh3B..."/>
    <w:basedOn w:val="5"/>
    <w:qFormat/>
    <w:uiPriority w:val="0"/>
    <w:pPr>
      <w:keepNext w:val="0"/>
      <w:keepLines w:val="0"/>
      <w:widowControl/>
      <w:numPr>
        <w:ilvl w:val="0"/>
        <w:numId w:val="0"/>
      </w:numPr>
      <w:adjustRightInd w:val="0"/>
      <w:snapToGrid w:val="0"/>
      <w:spacing w:beforeLines="50" w:afterLines="20" w:line="360" w:lineRule="auto"/>
      <w:jc w:val="left"/>
    </w:pPr>
    <w:rPr>
      <w:rFonts w:ascii="黑体" w:cstheme="majorBidi"/>
      <w:b w:val="0"/>
      <w:bCs w:val="0"/>
      <w:iCs/>
      <w:smallCaps/>
      <w:spacing w:val="5"/>
      <w:kern w:val="0"/>
      <w:sz w:val="24"/>
      <w:szCs w:val="24"/>
      <w:lang w:val="zh-CN"/>
    </w:rPr>
  </w:style>
  <w:style w:type="character" w:customStyle="1" w:styleId="2499">
    <w:name w:val="样式 样式 标题 3标题 13标题 3 Char1 Char Char Char标题 31ReHead 3 WSAh3B... ... Char"/>
    <w:link w:val="2497"/>
    <w:qFormat/>
    <w:uiPriority w:val="0"/>
    <w:rPr>
      <w:rFonts w:ascii="Calibri" w:hAnsi="Calibri" w:cs="宋体"/>
      <w:bCs/>
      <w:iCs/>
      <w:smallCaps/>
      <w:spacing w:val="5"/>
      <w:sz w:val="24"/>
      <w:lang w:val="zh-CN"/>
    </w:rPr>
  </w:style>
  <w:style w:type="paragraph" w:customStyle="1" w:styleId="2500">
    <w:name w:val="样式25"/>
    <w:basedOn w:val="561"/>
    <w:link w:val="2501"/>
    <w:qFormat/>
    <w:uiPriority w:val="0"/>
    <w:pPr>
      <w:keepNext/>
      <w:keepLines/>
      <w:widowControl/>
      <w:tabs>
        <w:tab w:val="left" w:pos="360"/>
        <w:tab w:val="left" w:pos="540"/>
        <w:tab w:val="left" w:pos="992"/>
      </w:tabs>
      <w:spacing w:beforeLines="50" w:afterLines="50"/>
      <w:ind w:hanging="1296"/>
      <w:jc w:val="left"/>
      <w:outlineLvl w:val="1"/>
    </w:pPr>
    <w:rPr>
      <w:rFonts w:hAnsi="宋体" w:cstheme="majorBidi"/>
      <w:b/>
      <w:kern w:val="0"/>
      <w:sz w:val="28"/>
      <w:szCs w:val="28"/>
    </w:rPr>
  </w:style>
  <w:style w:type="character" w:customStyle="1" w:styleId="2501">
    <w:name w:val="样式25 Char"/>
    <w:link w:val="2500"/>
    <w:qFormat/>
    <w:uiPriority w:val="0"/>
    <w:rPr>
      <w:rFonts w:ascii="黑体" w:hAnsi="宋体" w:eastAsia="黑体" w:cstheme="majorBidi"/>
      <w:b/>
      <w:sz w:val="28"/>
      <w:szCs w:val="28"/>
    </w:rPr>
  </w:style>
  <w:style w:type="paragraph" w:customStyle="1" w:styleId="2502">
    <w:name w:val="样式34"/>
    <w:basedOn w:val="1"/>
    <w:link w:val="2503"/>
    <w:qFormat/>
    <w:uiPriority w:val="0"/>
    <w:pPr>
      <w:keepNext/>
      <w:keepLines/>
      <w:widowControl/>
      <w:tabs>
        <w:tab w:val="left" w:pos="360"/>
        <w:tab w:val="left" w:pos="540"/>
        <w:tab w:val="left" w:pos="720"/>
        <w:tab w:val="left" w:pos="1440"/>
      </w:tabs>
      <w:spacing w:beforeLines="50" w:afterLines="50" w:line="360" w:lineRule="auto"/>
      <w:ind w:left="1740" w:firstLine="200" w:firstLineChars="200"/>
      <w:jc w:val="left"/>
      <w:outlineLvl w:val="2"/>
    </w:pPr>
    <w:rPr>
      <w:rFonts w:eastAsia="黑体" w:cstheme="majorBidi"/>
      <w:kern w:val="0"/>
      <w:szCs w:val="32"/>
    </w:rPr>
  </w:style>
  <w:style w:type="character" w:customStyle="1" w:styleId="2503">
    <w:name w:val="样式34 Char"/>
    <w:link w:val="2502"/>
    <w:qFormat/>
    <w:uiPriority w:val="0"/>
    <w:rPr>
      <w:rFonts w:eastAsia="黑体" w:cstheme="majorBidi"/>
      <w:sz w:val="24"/>
      <w:szCs w:val="32"/>
    </w:rPr>
  </w:style>
  <w:style w:type="paragraph" w:customStyle="1" w:styleId="2504">
    <w:name w:val="样式52"/>
    <w:basedOn w:val="1"/>
    <w:link w:val="2505"/>
    <w:qFormat/>
    <w:uiPriority w:val="0"/>
    <w:pPr>
      <w:keepNext/>
      <w:keepLines/>
      <w:widowControl/>
      <w:tabs>
        <w:tab w:val="left" w:pos="540"/>
      </w:tabs>
      <w:adjustRightInd w:val="0"/>
      <w:snapToGrid w:val="0"/>
      <w:spacing w:line="360" w:lineRule="auto"/>
      <w:ind w:firstLine="200" w:firstLineChars="200"/>
      <w:jc w:val="left"/>
      <w:outlineLvl w:val="2"/>
    </w:pPr>
    <w:rPr>
      <w:rFonts w:cstheme="majorBidi"/>
      <w:b/>
      <w:kern w:val="0"/>
    </w:rPr>
  </w:style>
  <w:style w:type="character" w:customStyle="1" w:styleId="2505">
    <w:name w:val="样式52 Char"/>
    <w:link w:val="2504"/>
    <w:qFormat/>
    <w:uiPriority w:val="0"/>
    <w:rPr>
      <w:rFonts w:cstheme="majorBidi"/>
      <w:b/>
      <w:sz w:val="24"/>
      <w:szCs w:val="24"/>
    </w:rPr>
  </w:style>
  <w:style w:type="paragraph" w:customStyle="1" w:styleId="2506">
    <w:name w:val="CM69"/>
    <w:basedOn w:val="397"/>
    <w:next w:val="397"/>
    <w:qFormat/>
    <w:uiPriority w:val="0"/>
    <w:pPr>
      <w:spacing w:after="135" w:line="360" w:lineRule="auto"/>
    </w:pPr>
    <w:rPr>
      <w:rFonts w:hAnsi="Times New Roman" w:cs="Times New Roman"/>
      <w:color w:val="auto"/>
    </w:rPr>
  </w:style>
  <w:style w:type="paragraph" w:customStyle="1" w:styleId="2507">
    <w:name w:val="大表内容"/>
    <w:uiPriority w:val="99"/>
    <w:pPr>
      <w:snapToGrid w:val="0"/>
      <w:spacing w:line="360" w:lineRule="auto"/>
      <w:jc w:val="center"/>
    </w:pPr>
    <w:rPr>
      <w:rFonts w:ascii="Times New Roman" w:hAnsi="Times New Roman" w:eastAsiaTheme="majorEastAsia" w:cstheme="majorBidi"/>
      <w:sz w:val="21"/>
      <w:szCs w:val="22"/>
      <w:lang w:val="en-US" w:eastAsia="zh-CN" w:bidi="ar-SA"/>
    </w:rPr>
  </w:style>
  <w:style w:type="paragraph" w:customStyle="1" w:styleId="2508">
    <w:name w:val="CM71"/>
    <w:basedOn w:val="397"/>
    <w:next w:val="397"/>
    <w:qFormat/>
    <w:uiPriority w:val="99"/>
    <w:pPr>
      <w:spacing w:after="280" w:line="360" w:lineRule="auto"/>
    </w:pPr>
    <w:rPr>
      <w:rFonts w:hAnsi="Times New Roman" w:cs="Times New Roman"/>
      <w:color w:val="auto"/>
    </w:rPr>
  </w:style>
  <w:style w:type="paragraph" w:customStyle="1" w:styleId="2509">
    <w:name w:val="报告书"/>
    <w:basedOn w:val="1"/>
    <w:uiPriority w:val="0"/>
    <w:pPr>
      <w:widowControl/>
      <w:autoSpaceDE w:val="0"/>
      <w:autoSpaceDN w:val="0"/>
      <w:adjustRightInd w:val="0"/>
      <w:spacing w:line="360" w:lineRule="auto"/>
      <w:ind w:firstLine="505" w:firstLineChars="200"/>
      <w:jc w:val="left"/>
      <w:textAlignment w:val="bottom"/>
    </w:pPr>
    <w:rPr>
      <w:rFonts w:cstheme="majorBidi"/>
      <w:kern w:val="0"/>
      <w:szCs w:val="20"/>
    </w:rPr>
  </w:style>
  <w:style w:type="paragraph" w:customStyle="1" w:styleId="2510">
    <w:name w:val="Char Char Char Char Char Char Char Char Char Char Char Char Char Char Char Char Char Char Char Char Char Char3"/>
    <w:basedOn w:val="1"/>
    <w:next w:val="1"/>
    <w:qFormat/>
    <w:uiPriority w:val="0"/>
    <w:pPr>
      <w:widowControl/>
      <w:spacing w:line="360" w:lineRule="auto"/>
      <w:ind w:firstLine="200" w:firstLineChars="200"/>
      <w:jc w:val="left"/>
    </w:pPr>
    <w:rPr>
      <w:rFonts w:ascii="宋体" w:cs="宋体"/>
      <w:kern w:val="0"/>
    </w:rPr>
  </w:style>
  <w:style w:type="paragraph" w:customStyle="1" w:styleId="2511">
    <w:name w:val="正文2 Char Char Char"/>
    <w:basedOn w:val="1"/>
    <w:uiPriority w:val="0"/>
    <w:pPr>
      <w:widowControl/>
      <w:spacing w:before="100" w:beforeAutospacing="1" w:after="100" w:afterAutospacing="1" w:line="360" w:lineRule="auto"/>
      <w:ind w:firstLine="200" w:firstLineChars="200"/>
      <w:jc w:val="left"/>
    </w:pPr>
    <w:rPr>
      <w:rFonts w:cstheme="majorBidi"/>
      <w:kern w:val="0"/>
      <w:szCs w:val="21"/>
    </w:rPr>
  </w:style>
  <w:style w:type="paragraph" w:customStyle="1" w:styleId="2512">
    <w:name w:val="CM6"/>
    <w:basedOn w:val="397"/>
    <w:next w:val="397"/>
    <w:qFormat/>
    <w:uiPriority w:val="99"/>
    <w:pPr>
      <w:spacing w:line="478" w:lineRule="atLeast"/>
    </w:pPr>
    <w:rPr>
      <w:rFonts w:hAnsi="Times New Roman" w:cs="Times New Roman"/>
      <w:color w:val="auto"/>
    </w:rPr>
  </w:style>
  <w:style w:type="paragraph" w:customStyle="1" w:styleId="2513">
    <w:name w:val="普标题1"/>
    <w:basedOn w:val="2514"/>
    <w:link w:val="2515"/>
    <w:qFormat/>
    <w:uiPriority w:val="99"/>
    <w:rPr>
      <w:b/>
    </w:rPr>
  </w:style>
  <w:style w:type="paragraph" w:customStyle="1" w:styleId="2514">
    <w:name w:val="第一条"/>
    <w:basedOn w:val="1"/>
    <w:link w:val="2534"/>
    <w:uiPriority w:val="99"/>
    <w:pPr>
      <w:widowControl/>
      <w:spacing w:after="120" w:line="288" w:lineRule="auto"/>
      <w:ind w:left="420" w:firstLine="200" w:firstLineChars="200"/>
      <w:jc w:val="left"/>
    </w:pPr>
    <w:rPr>
      <w:rFonts w:cstheme="majorBidi"/>
      <w:kern w:val="0"/>
      <w:lang w:val="zh-CN"/>
    </w:rPr>
  </w:style>
  <w:style w:type="character" w:customStyle="1" w:styleId="2515">
    <w:name w:val="普标题1 Char"/>
    <w:link w:val="2513"/>
    <w:uiPriority w:val="99"/>
    <w:rPr>
      <w:rFonts w:cstheme="majorBidi"/>
      <w:b/>
      <w:sz w:val="24"/>
      <w:szCs w:val="24"/>
      <w:lang w:val="zh-CN"/>
    </w:rPr>
  </w:style>
  <w:style w:type="paragraph" w:customStyle="1" w:styleId="2516">
    <w:name w:val="全部"/>
    <w:basedOn w:val="1"/>
    <w:link w:val="2517"/>
    <w:qFormat/>
    <w:uiPriority w:val="0"/>
    <w:pPr>
      <w:widowControl/>
      <w:spacing w:beforeLines="50" w:afterLines="50" w:line="360" w:lineRule="auto"/>
      <w:ind w:firstLine="480" w:firstLineChars="200"/>
      <w:jc w:val="left"/>
    </w:pPr>
    <w:rPr>
      <w:rFonts w:ascii="宋体" w:hAnsi="宋体" w:cstheme="majorBidi"/>
      <w:color w:val="000000"/>
      <w:kern w:val="0"/>
    </w:rPr>
  </w:style>
  <w:style w:type="character" w:customStyle="1" w:styleId="2517">
    <w:name w:val="全部 Char"/>
    <w:link w:val="2516"/>
    <w:uiPriority w:val="0"/>
    <w:rPr>
      <w:rFonts w:ascii="宋体" w:hAnsi="宋体" w:cstheme="majorBidi"/>
      <w:color w:val="000000"/>
      <w:sz w:val="24"/>
      <w:szCs w:val="24"/>
    </w:rPr>
  </w:style>
  <w:style w:type="paragraph" w:customStyle="1" w:styleId="2518">
    <w:name w:val="样式 报告 + 首行缩进:  2 字符 Char"/>
    <w:basedOn w:val="1"/>
    <w:link w:val="2519"/>
    <w:qFormat/>
    <w:uiPriority w:val="0"/>
    <w:pPr>
      <w:widowControl/>
      <w:overflowPunct w:val="0"/>
      <w:autoSpaceDE w:val="0"/>
      <w:autoSpaceDN w:val="0"/>
      <w:adjustRightInd w:val="0"/>
      <w:spacing w:before="120" w:after="120" w:line="400" w:lineRule="atLeast"/>
      <w:ind w:firstLine="480" w:firstLineChars="200"/>
      <w:jc w:val="left"/>
      <w:textAlignment w:val="baseline"/>
    </w:pPr>
    <w:rPr>
      <w:rFonts w:cstheme="majorBidi"/>
      <w:kern w:val="0"/>
      <w:szCs w:val="20"/>
    </w:rPr>
  </w:style>
  <w:style w:type="character" w:customStyle="1" w:styleId="2519">
    <w:name w:val="样式 报告 + 首行缩进:  2 字符 Char Char"/>
    <w:link w:val="2518"/>
    <w:qFormat/>
    <w:uiPriority w:val="0"/>
    <w:rPr>
      <w:rFonts w:cstheme="majorBidi"/>
      <w:sz w:val="24"/>
    </w:rPr>
  </w:style>
  <w:style w:type="paragraph" w:customStyle="1" w:styleId="2520">
    <w:name w:val="样式 样式 Arial 三号 左 段前: 4.65 磅 + 首行缩进:  2 字符"/>
    <w:basedOn w:val="1"/>
    <w:qFormat/>
    <w:uiPriority w:val="0"/>
    <w:pPr>
      <w:widowControl/>
      <w:spacing w:before="60" w:line="480" w:lineRule="exact"/>
      <w:ind w:firstLine="200" w:firstLineChars="200"/>
      <w:jc w:val="left"/>
    </w:pPr>
    <w:rPr>
      <w:rFonts w:ascii="Arial" w:hAnsi="Arial" w:cs="Arial"/>
      <w:kern w:val="0"/>
      <w:sz w:val="32"/>
      <w:szCs w:val="32"/>
    </w:rPr>
  </w:style>
  <w:style w:type="paragraph" w:customStyle="1" w:styleId="2521">
    <w:name w:val="报告表格内文"/>
    <w:basedOn w:val="39"/>
    <w:qFormat/>
    <w:uiPriority w:val="0"/>
    <w:pPr>
      <w:widowControl/>
      <w:tabs>
        <w:tab w:val="left" w:pos="0"/>
      </w:tabs>
      <w:adjustRightInd w:val="0"/>
      <w:spacing w:after="0" w:line="400" w:lineRule="exact"/>
      <w:ind w:left="0" w:leftChars="0" w:right="0" w:rightChars="0" w:firstLine="200" w:firstLineChars="200"/>
      <w:jc w:val="center"/>
    </w:pPr>
    <w:rPr>
      <w:rFonts w:cstheme="majorBidi"/>
      <w:bCs/>
      <w:color w:val="000000"/>
      <w:kern w:val="0"/>
      <w:sz w:val="21"/>
    </w:rPr>
  </w:style>
  <w:style w:type="paragraph" w:customStyle="1" w:styleId="2522">
    <w:name w:val="首行缩进两字"/>
    <w:basedOn w:val="1"/>
    <w:qFormat/>
    <w:uiPriority w:val="99"/>
    <w:pPr>
      <w:widowControl/>
      <w:spacing w:line="360" w:lineRule="auto"/>
      <w:ind w:firstLine="560" w:firstLineChars="200"/>
      <w:jc w:val="left"/>
    </w:pPr>
    <w:rPr>
      <w:rFonts w:ascii="宋体" w:hAnsi="宋体" w:cstheme="majorBidi"/>
      <w:kern w:val="0"/>
      <w:sz w:val="28"/>
    </w:rPr>
  </w:style>
  <w:style w:type="paragraph" w:customStyle="1" w:styleId="2523">
    <w:name w:val="我"/>
    <w:basedOn w:val="1"/>
    <w:link w:val="2524"/>
    <w:qFormat/>
    <w:uiPriority w:val="0"/>
    <w:pPr>
      <w:widowControl/>
      <w:tabs>
        <w:tab w:val="left" w:pos="0"/>
      </w:tabs>
      <w:adjustRightInd w:val="0"/>
      <w:snapToGrid w:val="0"/>
      <w:spacing w:line="520" w:lineRule="exact"/>
      <w:ind w:firstLine="200" w:firstLineChars="200"/>
      <w:jc w:val="left"/>
    </w:pPr>
    <w:rPr>
      <w:rFonts w:cs="宋体"/>
      <w:kern w:val="0"/>
      <w:sz w:val="28"/>
      <w:szCs w:val="28"/>
    </w:rPr>
  </w:style>
  <w:style w:type="character" w:customStyle="1" w:styleId="2524">
    <w:name w:val="我 Char"/>
    <w:link w:val="2523"/>
    <w:qFormat/>
    <w:uiPriority w:val="0"/>
    <w:rPr>
      <w:rFonts w:cs="宋体"/>
      <w:sz w:val="28"/>
      <w:szCs w:val="28"/>
    </w:rPr>
  </w:style>
  <w:style w:type="paragraph" w:customStyle="1" w:styleId="2525">
    <w:name w:val="样式 标题 3 + Times New Roman 段后: 7.8 磅"/>
    <w:basedOn w:val="5"/>
    <w:qFormat/>
    <w:uiPriority w:val="0"/>
    <w:pPr>
      <w:keepNext w:val="0"/>
      <w:keepLines w:val="0"/>
      <w:widowControl/>
      <w:numPr>
        <w:ilvl w:val="0"/>
        <w:numId w:val="0"/>
      </w:numPr>
      <w:adjustRightInd w:val="0"/>
      <w:snapToGrid w:val="0"/>
      <w:spacing w:afterLines="50" w:line="360" w:lineRule="auto"/>
      <w:jc w:val="left"/>
    </w:pPr>
    <w:rPr>
      <w:rFonts w:ascii="黑体" w:eastAsia="华文楷体" w:cs="宋体"/>
      <w:b w:val="0"/>
      <w:bCs w:val="0"/>
      <w:iCs/>
      <w:smallCaps/>
      <w:spacing w:val="5"/>
      <w:kern w:val="0"/>
      <w:sz w:val="28"/>
      <w:szCs w:val="20"/>
    </w:rPr>
  </w:style>
  <w:style w:type="paragraph" w:customStyle="1" w:styleId="2526">
    <w:name w:val="样式 标题二 Char + 褐色 首行缩进:  2 字符 段前: 1.3 行 段后: 1 行"/>
    <w:basedOn w:val="1"/>
    <w:qFormat/>
    <w:uiPriority w:val="0"/>
    <w:pPr>
      <w:widowControl/>
      <w:spacing w:beforeLines="130" w:afterLines="100" w:line="420" w:lineRule="auto"/>
      <w:ind w:firstLine="200" w:firstLineChars="200"/>
      <w:jc w:val="left"/>
      <w:textAlignment w:val="baseline"/>
      <w:outlineLvl w:val="2"/>
    </w:pPr>
    <w:rPr>
      <w:rFonts w:hint="eastAsia" w:ascii="宋体" w:hAnsi="宋体" w:eastAsia="黑体" w:cstheme="majorBidi"/>
      <w:b/>
      <w:kern w:val="0"/>
      <w:szCs w:val="20"/>
      <w:u w:color="000000"/>
    </w:rPr>
  </w:style>
  <w:style w:type="paragraph" w:customStyle="1" w:styleId="2527">
    <w:name w:val="正文小四环评"/>
    <w:link w:val="2528"/>
    <w:qFormat/>
    <w:uiPriority w:val="0"/>
    <w:pPr>
      <w:spacing w:before="100" w:beforeAutospacing="1" w:after="100" w:afterAutospacing="1" w:line="360" w:lineRule="auto"/>
      <w:ind w:firstLine="200" w:firstLineChars="200"/>
    </w:pPr>
    <w:rPr>
      <w:rFonts w:ascii="宋体" w:hAnsi="宋体" w:eastAsiaTheme="majorEastAsia" w:cstheme="majorBidi"/>
      <w:bCs/>
      <w:color w:val="000000"/>
      <w:sz w:val="24"/>
      <w:szCs w:val="24"/>
      <w:lang w:val="en-US" w:eastAsia="zh-CN" w:bidi="ar-SA"/>
    </w:rPr>
  </w:style>
  <w:style w:type="character" w:customStyle="1" w:styleId="2528">
    <w:name w:val="正文小四环评 Char"/>
    <w:link w:val="2527"/>
    <w:qFormat/>
    <w:uiPriority w:val="0"/>
    <w:rPr>
      <w:rFonts w:ascii="宋体" w:hAnsi="宋体" w:eastAsiaTheme="majorEastAsia" w:cstheme="majorBidi"/>
      <w:bCs/>
      <w:color w:val="000000"/>
      <w:sz w:val="24"/>
      <w:szCs w:val="24"/>
    </w:rPr>
  </w:style>
  <w:style w:type="paragraph" w:customStyle="1" w:styleId="2529">
    <w:name w:val="表格YHY"/>
    <w:basedOn w:val="1"/>
    <w:link w:val="2530"/>
    <w:qFormat/>
    <w:uiPriority w:val="0"/>
    <w:pPr>
      <w:widowControl/>
      <w:spacing w:line="360" w:lineRule="auto"/>
      <w:ind w:right="-40" w:firstLine="200" w:firstLineChars="200"/>
      <w:jc w:val="center"/>
    </w:pPr>
    <w:rPr>
      <w:rFonts w:cstheme="majorBidi"/>
      <w:bCs/>
      <w:kern w:val="0"/>
      <w:szCs w:val="21"/>
    </w:rPr>
  </w:style>
  <w:style w:type="character" w:customStyle="1" w:styleId="2530">
    <w:name w:val="表格YHY Char"/>
    <w:link w:val="2529"/>
    <w:qFormat/>
    <w:uiPriority w:val="0"/>
    <w:rPr>
      <w:rFonts w:cstheme="majorBidi"/>
      <w:bCs/>
      <w:sz w:val="24"/>
      <w:szCs w:val="21"/>
    </w:rPr>
  </w:style>
  <w:style w:type="paragraph" w:customStyle="1" w:styleId="2531">
    <w:name w:val="正文段落S"/>
    <w:basedOn w:val="1"/>
    <w:qFormat/>
    <w:uiPriority w:val="99"/>
    <w:pPr>
      <w:widowControl/>
      <w:spacing w:line="360" w:lineRule="auto"/>
      <w:ind w:firstLine="420" w:firstLineChars="200"/>
      <w:jc w:val="left"/>
    </w:pPr>
    <w:rPr>
      <w:rFonts w:eastAsia="仿宋_GB2312" w:cstheme="majorBidi"/>
      <w:kern w:val="0"/>
      <w:szCs w:val="20"/>
    </w:rPr>
  </w:style>
  <w:style w:type="paragraph" w:customStyle="1" w:styleId="2532">
    <w:name w:val="表 1"/>
    <w:uiPriority w:val="0"/>
    <w:pPr>
      <w:spacing w:afterLines="50" w:line="360" w:lineRule="auto"/>
      <w:jc w:val="center"/>
    </w:pPr>
    <w:rPr>
      <w:rFonts w:ascii="Arial" w:hAnsi="Arial" w:eastAsia="仿宋_GB2312" w:cstheme="majorBidi"/>
      <w:kern w:val="2"/>
      <w:sz w:val="28"/>
      <w:szCs w:val="28"/>
      <w:lang w:val="en-US" w:eastAsia="zh-CN" w:bidi="ar-SA"/>
    </w:rPr>
  </w:style>
  <w:style w:type="character" w:customStyle="1" w:styleId="2533">
    <w:name w:val="5 Char1"/>
    <w:link w:val="854"/>
    <w:qFormat/>
    <w:uiPriority w:val="99"/>
    <w:rPr>
      <w:rFonts w:ascii="宋体" w:hAnsi="Courier New"/>
      <w:kern w:val="2"/>
      <w:sz w:val="28"/>
    </w:rPr>
  </w:style>
  <w:style w:type="character" w:customStyle="1" w:styleId="2534">
    <w:name w:val="第一条 Char"/>
    <w:link w:val="2514"/>
    <w:uiPriority w:val="99"/>
    <w:rPr>
      <w:rFonts w:cstheme="majorBidi"/>
      <w:sz w:val="24"/>
      <w:szCs w:val="24"/>
      <w:lang w:val="zh-CN"/>
    </w:rPr>
  </w:style>
  <w:style w:type="paragraph" w:customStyle="1" w:styleId="2535">
    <w:name w:val="样式 左"/>
    <w:basedOn w:val="1"/>
    <w:qFormat/>
    <w:uiPriority w:val="0"/>
    <w:pPr>
      <w:widowControl/>
      <w:spacing w:line="360" w:lineRule="auto"/>
      <w:ind w:right="100" w:rightChars="100" w:firstLine="200" w:firstLineChars="200"/>
      <w:jc w:val="left"/>
    </w:pPr>
    <w:rPr>
      <w:rFonts w:ascii="Plotter" w:hAnsi="Plotter" w:cs="宋体"/>
      <w:kern w:val="0"/>
      <w:szCs w:val="20"/>
    </w:rPr>
  </w:style>
  <w:style w:type="paragraph" w:customStyle="1" w:styleId="2536">
    <w:name w:val="样式46"/>
    <w:basedOn w:val="7"/>
    <w:link w:val="2537"/>
    <w:qFormat/>
    <w:uiPriority w:val="0"/>
    <w:pPr>
      <w:widowControl/>
      <w:overflowPunct w:val="0"/>
      <w:autoSpaceDE w:val="0"/>
      <w:autoSpaceDN w:val="0"/>
      <w:adjustRightInd w:val="0"/>
      <w:snapToGrid w:val="0"/>
      <w:spacing w:beforeLines="50" w:afterLines="50" w:line="360" w:lineRule="auto"/>
      <w:ind w:firstLine="480"/>
      <w:textAlignment w:val="bottom"/>
    </w:pPr>
    <w:rPr>
      <w:rFonts w:ascii="Calibri" w:hAnsi="Calibri" w:cstheme="majorBidi"/>
      <w:kern w:val="0"/>
      <w:szCs w:val="20"/>
    </w:rPr>
  </w:style>
  <w:style w:type="character" w:customStyle="1" w:styleId="2537">
    <w:name w:val="样式46 Char"/>
    <w:link w:val="2536"/>
    <w:qFormat/>
    <w:uiPriority w:val="0"/>
    <w:rPr>
      <w:rFonts w:ascii="Calibri" w:hAnsi="Calibri" w:cstheme="majorBidi"/>
      <w:sz w:val="24"/>
    </w:rPr>
  </w:style>
  <w:style w:type="paragraph" w:customStyle="1" w:styleId="2538">
    <w:name w:val="报告1"/>
    <w:basedOn w:val="2539"/>
    <w:uiPriority w:val="0"/>
    <w:pPr>
      <w:autoSpaceDE/>
      <w:autoSpaceDN/>
    </w:pPr>
  </w:style>
  <w:style w:type="paragraph" w:customStyle="1" w:styleId="2539">
    <w:name w:val="报告"/>
    <w:basedOn w:val="1"/>
    <w:link w:val="2642"/>
    <w:qFormat/>
    <w:uiPriority w:val="0"/>
    <w:pPr>
      <w:widowControl/>
      <w:autoSpaceDE w:val="0"/>
      <w:autoSpaceDN w:val="0"/>
      <w:adjustRightInd w:val="0"/>
      <w:spacing w:line="360" w:lineRule="auto"/>
      <w:ind w:firstLine="505" w:firstLineChars="200"/>
      <w:jc w:val="left"/>
      <w:textAlignment w:val="baseline"/>
    </w:pPr>
    <w:rPr>
      <w:rFonts w:cstheme="majorBidi"/>
      <w:kern w:val="0"/>
      <w:szCs w:val="20"/>
    </w:rPr>
  </w:style>
  <w:style w:type="paragraph" w:customStyle="1" w:styleId="2540">
    <w:name w:val="表头YHY"/>
    <w:basedOn w:val="8"/>
    <w:link w:val="2541"/>
    <w:qFormat/>
    <w:uiPriority w:val="0"/>
    <w:pPr>
      <w:keepNext w:val="0"/>
      <w:keepLines w:val="0"/>
      <w:widowControl/>
      <w:numPr>
        <w:numId w:val="35"/>
      </w:numPr>
      <w:snapToGrid/>
      <w:spacing w:before="0" w:line="240" w:lineRule="auto"/>
      <w:jc w:val="center"/>
    </w:pPr>
    <w:rPr>
      <w:rFonts w:ascii="黑体" w:hAnsi="Calibri" w:eastAsia="黑体" w:cs="宋体"/>
      <w:b w:val="0"/>
      <w:iCs/>
      <w:kern w:val="0"/>
      <w:sz w:val="20"/>
      <w:szCs w:val="21"/>
    </w:rPr>
  </w:style>
  <w:style w:type="character" w:customStyle="1" w:styleId="2541">
    <w:name w:val="表头YHY Char"/>
    <w:link w:val="2540"/>
    <w:qFormat/>
    <w:uiPriority w:val="0"/>
    <w:rPr>
      <w:rFonts w:ascii="黑体" w:hAnsi="Calibri" w:eastAsia="黑体" w:cs="宋体"/>
      <w:iCs/>
      <w:szCs w:val="21"/>
      <w:lang w:bidi="zh-CN"/>
    </w:rPr>
  </w:style>
  <w:style w:type="paragraph" w:customStyle="1" w:styleId="2542">
    <w:name w:val="上标"/>
    <w:next w:val="1"/>
    <w:link w:val="2543"/>
    <w:uiPriority w:val="0"/>
    <w:pPr>
      <w:spacing w:line="360" w:lineRule="auto"/>
      <w:ind w:firstLine="480"/>
    </w:pPr>
    <w:rPr>
      <w:rFonts w:asciiTheme="majorHAnsi" w:hAnsiTheme="majorHAnsi" w:eastAsiaTheme="majorEastAsia" w:cstheme="majorBidi"/>
      <w:sz w:val="24"/>
      <w:szCs w:val="24"/>
      <w:vertAlign w:val="superscript"/>
      <w:lang w:val="en-US" w:eastAsia="zh-CN" w:bidi="ar-SA"/>
    </w:rPr>
  </w:style>
  <w:style w:type="character" w:customStyle="1" w:styleId="2543">
    <w:name w:val="上标 Char"/>
    <w:link w:val="2542"/>
    <w:qFormat/>
    <w:uiPriority w:val="0"/>
    <w:rPr>
      <w:rFonts w:asciiTheme="majorHAnsi" w:hAnsiTheme="majorHAnsi" w:eastAsiaTheme="majorEastAsia" w:cstheme="majorBidi"/>
      <w:sz w:val="24"/>
      <w:szCs w:val="24"/>
      <w:vertAlign w:val="superscript"/>
    </w:rPr>
  </w:style>
  <w:style w:type="paragraph" w:customStyle="1" w:styleId="2544">
    <w:name w:val="样式75"/>
    <w:basedOn w:val="178"/>
    <w:link w:val="2545"/>
    <w:qFormat/>
    <w:uiPriority w:val="0"/>
    <w:pPr>
      <w:keepNext w:val="0"/>
      <w:widowControl/>
      <w:tabs>
        <w:tab w:val="clear" w:pos="0"/>
      </w:tabs>
      <w:spacing w:beforeLines="50" w:afterLines="50"/>
      <w:ind w:firstLine="480" w:firstLineChars="200"/>
      <w:jc w:val="left"/>
      <w:outlineLvl w:val="9"/>
    </w:pPr>
    <w:rPr>
      <w:rFonts w:ascii="Calibri" w:hAnsi="Calibri" w:eastAsia="宋体" w:cs="Times New Roman"/>
      <w:bCs w:val="0"/>
      <w:kern w:val="0"/>
      <w:sz w:val="24"/>
      <w:szCs w:val="24"/>
    </w:rPr>
  </w:style>
  <w:style w:type="character" w:customStyle="1" w:styleId="2545">
    <w:name w:val="样式75 Char"/>
    <w:link w:val="2544"/>
    <w:qFormat/>
    <w:uiPriority w:val="0"/>
    <w:rPr>
      <w:rFonts w:ascii="Calibri" w:hAnsi="Calibri"/>
      <w:sz w:val="24"/>
      <w:szCs w:val="24"/>
    </w:rPr>
  </w:style>
  <w:style w:type="paragraph" w:customStyle="1" w:styleId="2546">
    <w:name w:val="font"/>
    <w:basedOn w:val="1"/>
    <w:qFormat/>
    <w:uiPriority w:val="0"/>
    <w:pPr>
      <w:widowControl/>
      <w:spacing w:before="100" w:beforeAutospacing="1" w:after="100" w:afterAutospacing="1" w:line="360" w:lineRule="auto"/>
      <w:ind w:firstLine="200" w:firstLineChars="200"/>
      <w:jc w:val="left"/>
    </w:pPr>
    <w:rPr>
      <w:rFonts w:ascii="Arial Unicode MS" w:hAnsi="Arial Unicode MS" w:eastAsia="Arial Unicode MS" w:cs="Arial Unicode MS"/>
      <w:kern w:val="0"/>
      <w:szCs w:val="20"/>
    </w:rPr>
  </w:style>
  <w:style w:type="paragraph" w:customStyle="1" w:styleId="2547">
    <w:name w:val="文章正文文字 Char"/>
    <w:basedOn w:val="1"/>
    <w:link w:val="2548"/>
    <w:semiHidden/>
    <w:qFormat/>
    <w:uiPriority w:val="0"/>
    <w:pPr>
      <w:widowControl/>
      <w:spacing w:line="520" w:lineRule="exact"/>
      <w:ind w:firstLine="200" w:firstLineChars="200"/>
      <w:jc w:val="left"/>
    </w:pPr>
    <w:rPr>
      <w:rFonts w:cstheme="majorBidi"/>
      <w:kern w:val="0"/>
    </w:rPr>
  </w:style>
  <w:style w:type="character" w:customStyle="1" w:styleId="2548">
    <w:name w:val="文章正文文字 Char Char"/>
    <w:link w:val="2547"/>
    <w:semiHidden/>
    <w:qFormat/>
    <w:uiPriority w:val="0"/>
    <w:rPr>
      <w:rFonts w:cstheme="majorBidi"/>
      <w:sz w:val="24"/>
      <w:szCs w:val="24"/>
    </w:rPr>
  </w:style>
  <w:style w:type="paragraph" w:customStyle="1" w:styleId="2549">
    <w:name w:val="表格 32"/>
    <w:basedOn w:val="1"/>
    <w:qFormat/>
    <w:uiPriority w:val="0"/>
    <w:pPr>
      <w:widowControl/>
      <w:autoSpaceDE w:val="0"/>
      <w:autoSpaceDN w:val="0"/>
      <w:adjustRightInd w:val="0"/>
      <w:spacing w:line="360" w:lineRule="auto"/>
      <w:ind w:firstLine="200" w:firstLineChars="200"/>
      <w:jc w:val="center"/>
      <w:textAlignment w:val="baseline"/>
    </w:pPr>
    <w:rPr>
      <w:rFonts w:cstheme="majorBidi"/>
      <w:kern w:val="0"/>
      <w:szCs w:val="20"/>
    </w:rPr>
  </w:style>
  <w:style w:type="paragraph" w:customStyle="1" w:styleId="2550">
    <w:name w:val="自动2"/>
    <w:basedOn w:val="1"/>
    <w:link w:val="2551"/>
    <w:qFormat/>
    <w:uiPriority w:val="0"/>
    <w:pPr>
      <w:keepNext/>
      <w:keepLines/>
      <w:widowControl/>
      <w:tabs>
        <w:tab w:val="left" w:pos="540"/>
        <w:tab w:val="left" w:pos="720"/>
      </w:tabs>
      <w:spacing w:before="50" w:after="50" w:line="360" w:lineRule="auto"/>
      <w:ind w:left="720" w:hanging="720" w:firstLineChars="200"/>
      <w:jc w:val="left"/>
      <w:outlineLvl w:val="1"/>
    </w:pPr>
    <w:rPr>
      <w:rFonts w:ascii="Wingdings" w:eastAsia="Wingdings" w:cs="MS Sans Serif"/>
      <w:b/>
      <w:color w:val="000000"/>
      <w:kern w:val="0"/>
      <w:sz w:val="28"/>
      <w:szCs w:val="20"/>
    </w:rPr>
  </w:style>
  <w:style w:type="character" w:customStyle="1" w:styleId="2551">
    <w:name w:val="自动2 Char"/>
    <w:link w:val="2550"/>
    <w:qFormat/>
    <w:uiPriority w:val="0"/>
    <w:rPr>
      <w:rFonts w:ascii="Wingdings" w:eastAsia="Wingdings" w:cs="MS Sans Serif"/>
      <w:b/>
      <w:color w:val="000000"/>
      <w:sz w:val="28"/>
    </w:rPr>
  </w:style>
  <w:style w:type="paragraph" w:customStyle="1" w:styleId="2552">
    <w:name w:val="样式37"/>
    <w:basedOn w:val="1"/>
    <w:link w:val="2553"/>
    <w:qFormat/>
    <w:uiPriority w:val="0"/>
    <w:pPr>
      <w:widowControl/>
      <w:spacing w:beforeLines="50" w:afterLines="50" w:line="360" w:lineRule="auto"/>
      <w:ind w:firstLine="480" w:firstLineChars="200"/>
      <w:jc w:val="left"/>
    </w:pPr>
    <w:rPr>
      <w:rFonts w:ascii="宋体" w:hAnsi="宋体" w:cs="宋体"/>
      <w:color w:val="000000"/>
      <w:kern w:val="0"/>
    </w:rPr>
  </w:style>
  <w:style w:type="character" w:customStyle="1" w:styleId="2553">
    <w:name w:val="样式37 Char"/>
    <w:link w:val="2552"/>
    <w:qFormat/>
    <w:uiPriority w:val="0"/>
    <w:rPr>
      <w:rFonts w:ascii="宋体" w:hAnsi="宋体" w:cs="宋体"/>
      <w:color w:val="000000"/>
      <w:sz w:val="24"/>
      <w:szCs w:val="24"/>
    </w:rPr>
  </w:style>
  <w:style w:type="paragraph" w:customStyle="1" w:styleId="2554">
    <w:name w:val="正文表格"/>
    <w:basedOn w:val="1"/>
    <w:qFormat/>
    <w:uiPriority w:val="0"/>
    <w:pPr>
      <w:widowControl/>
      <w:spacing w:line="360" w:lineRule="auto"/>
      <w:ind w:firstLine="200" w:firstLineChars="200"/>
      <w:jc w:val="center"/>
    </w:pPr>
    <w:rPr>
      <w:rFonts w:ascii="宋体" w:hAnsi="宋体" w:cstheme="majorBidi"/>
      <w:kern w:val="0"/>
      <w:szCs w:val="20"/>
    </w:rPr>
  </w:style>
  <w:style w:type="paragraph" w:customStyle="1" w:styleId="2555">
    <w:name w:val="样式62"/>
    <w:basedOn w:val="1"/>
    <w:qFormat/>
    <w:uiPriority w:val="0"/>
    <w:pPr>
      <w:widowControl/>
      <w:spacing w:beforeLines="50" w:afterLines="50" w:line="360" w:lineRule="auto"/>
      <w:ind w:firstLine="480" w:firstLineChars="200"/>
      <w:jc w:val="left"/>
    </w:pPr>
    <w:rPr>
      <w:rFonts w:cstheme="majorBidi"/>
      <w:kern w:val="0"/>
    </w:rPr>
  </w:style>
  <w:style w:type="paragraph" w:customStyle="1" w:styleId="2556">
    <w:name w:val="esu426"/>
    <w:basedOn w:val="1"/>
    <w:qFormat/>
    <w:uiPriority w:val="99"/>
    <w:pPr>
      <w:widowControl/>
      <w:spacing w:before="100" w:beforeAutospacing="1" w:after="100" w:afterAutospacing="1" w:line="360" w:lineRule="auto"/>
      <w:ind w:firstLine="200" w:firstLineChars="200"/>
      <w:jc w:val="left"/>
    </w:pPr>
    <w:rPr>
      <w:rFonts w:ascii="宋体" w:hAnsi="宋体" w:cs="宋体"/>
      <w:kern w:val="0"/>
    </w:rPr>
  </w:style>
  <w:style w:type="paragraph" w:customStyle="1" w:styleId="2557">
    <w:name w:val="0916正文样式"/>
    <w:basedOn w:val="1"/>
    <w:link w:val="2558"/>
    <w:qFormat/>
    <w:uiPriority w:val="0"/>
    <w:pPr>
      <w:widowControl/>
      <w:adjustRightInd w:val="0"/>
      <w:snapToGrid w:val="0"/>
      <w:spacing w:line="336" w:lineRule="auto"/>
      <w:ind w:firstLine="200" w:firstLineChars="200"/>
      <w:jc w:val="left"/>
    </w:pPr>
    <w:rPr>
      <w:rFonts w:ascii="宋体" w:hAnsi="ˎ̥" w:cstheme="majorBidi"/>
      <w:kern w:val="0"/>
      <w:sz w:val="28"/>
      <w:szCs w:val="28"/>
    </w:rPr>
  </w:style>
  <w:style w:type="character" w:customStyle="1" w:styleId="2558">
    <w:name w:val="0916正文样式 Char"/>
    <w:link w:val="2557"/>
    <w:qFormat/>
    <w:uiPriority w:val="0"/>
    <w:rPr>
      <w:rFonts w:ascii="宋体" w:hAnsi="ˎ̥" w:cstheme="majorBidi"/>
      <w:sz w:val="28"/>
      <w:szCs w:val="28"/>
    </w:rPr>
  </w:style>
  <w:style w:type="paragraph" w:customStyle="1" w:styleId="2559">
    <w:name w:val="Char Char110"/>
    <w:basedOn w:val="1"/>
    <w:qFormat/>
    <w:uiPriority w:val="0"/>
    <w:pPr>
      <w:widowControl/>
      <w:tabs>
        <w:tab w:val="left" w:pos="632"/>
      </w:tabs>
      <w:spacing w:line="360" w:lineRule="auto"/>
      <w:ind w:left="632" w:hanging="432" w:firstLineChars="200"/>
      <w:jc w:val="left"/>
    </w:pPr>
    <w:rPr>
      <w:rFonts w:ascii="宋体" w:cs="宋体"/>
      <w:kern w:val="0"/>
    </w:rPr>
  </w:style>
  <w:style w:type="paragraph" w:customStyle="1" w:styleId="2560">
    <w:name w:val="我的标题2"/>
    <w:basedOn w:val="1"/>
    <w:link w:val="2561"/>
    <w:qFormat/>
    <w:uiPriority w:val="0"/>
    <w:pPr>
      <w:widowControl/>
      <w:spacing w:line="360" w:lineRule="auto"/>
      <w:ind w:firstLine="200" w:firstLineChars="200"/>
      <w:jc w:val="left"/>
      <w:outlineLvl w:val="1"/>
    </w:pPr>
    <w:rPr>
      <w:rFonts w:cstheme="majorBidi"/>
      <w:b/>
      <w:kern w:val="0"/>
      <w:sz w:val="30"/>
    </w:rPr>
  </w:style>
  <w:style w:type="character" w:customStyle="1" w:styleId="2561">
    <w:name w:val="我的标题2 Char"/>
    <w:link w:val="2560"/>
    <w:qFormat/>
    <w:uiPriority w:val="0"/>
    <w:rPr>
      <w:rFonts w:cstheme="majorBidi"/>
      <w:b/>
      <w:sz w:val="30"/>
      <w:szCs w:val="24"/>
    </w:rPr>
  </w:style>
  <w:style w:type="character" w:customStyle="1" w:styleId="2562">
    <w:name w:val="报告标题2 Char"/>
    <w:link w:val="2463"/>
    <w:uiPriority w:val="0"/>
    <w:rPr>
      <w:rFonts w:ascii="Arial" w:hAnsi="Arial"/>
      <w:b/>
      <w:bCs/>
      <w:smallCaps/>
      <w:color w:val="000000"/>
      <w:sz w:val="28"/>
      <w:szCs w:val="28"/>
    </w:rPr>
  </w:style>
  <w:style w:type="paragraph" w:customStyle="1" w:styleId="2563">
    <w:name w:val="Char2 Char Char Char Char Char Char Char Char Char1"/>
    <w:basedOn w:val="1"/>
    <w:qFormat/>
    <w:uiPriority w:val="0"/>
    <w:pPr>
      <w:widowControl/>
      <w:spacing w:line="360" w:lineRule="auto"/>
      <w:ind w:firstLine="200" w:firstLineChars="200"/>
      <w:jc w:val="left"/>
    </w:pPr>
    <w:rPr>
      <w:rFonts w:ascii="宋体" w:cs="宋体"/>
      <w:kern w:val="0"/>
    </w:rPr>
  </w:style>
  <w:style w:type="paragraph" w:customStyle="1" w:styleId="2564">
    <w:name w:val="样式 生物质发电正文 + Times New Roman 加粗 首行缩进:  2 字符"/>
    <w:basedOn w:val="1"/>
    <w:link w:val="2565"/>
    <w:qFormat/>
    <w:uiPriority w:val="0"/>
    <w:pPr>
      <w:widowControl/>
      <w:suppressAutoHyphens/>
      <w:adjustRightInd w:val="0"/>
      <w:snapToGrid w:val="0"/>
      <w:spacing w:line="324" w:lineRule="auto"/>
      <w:ind w:firstLine="482" w:firstLineChars="200"/>
      <w:jc w:val="left"/>
      <w:textAlignment w:val="baseline"/>
    </w:pPr>
    <w:rPr>
      <w:rFonts w:cs="宋体"/>
      <w:bCs/>
      <w:kern w:val="0"/>
      <w:szCs w:val="20"/>
    </w:rPr>
  </w:style>
  <w:style w:type="character" w:customStyle="1" w:styleId="2565">
    <w:name w:val="样式 生物质发电正文 + Times New Roman 加粗 首行缩进:  2 字符 Char"/>
    <w:link w:val="2564"/>
    <w:qFormat/>
    <w:uiPriority w:val="0"/>
    <w:rPr>
      <w:rFonts w:cs="宋体"/>
      <w:bCs/>
      <w:sz w:val="24"/>
    </w:rPr>
  </w:style>
  <w:style w:type="paragraph" w:customStyle="1" w:styleId="2566">
    <w:name w:val="GH1文本_02条款"/>
    <w:link w:val="2567"/>
    <w:qFormat/>
    <w:uiPriority w:val="0"/>
    <w:pPr>
      <w:widowControl w:val="0"/>
      <w:tabs>
        <w:tab w:val="left" w:pos="1320"/>
        <w:tab w:val="left" w:pos="1588"/>
      </w:tabs>
      <w:spacing w:line="360" w:lineRule="auto"/>
      <w:ind w:left="1320" w:hanging="420"/>
      <w:outlineLvl w:val="2"/>
    </w:pPr>
    <w:rPr>
      <w:rFonts w:asciiTheme="majorHAnsi" w:hAnsiTheme="majorHAnsi" w:eastAsiaTheme="majorEastAsia" w:cstheme="majorBidi"/>
      <w:sz w:val="28"/>
      <w:szCs w:val="24"/>
      <w:lang w:val="en-US" w:eastAsia="zh-CN" w:bidi="ar-SA"/>
    </w:rPr>
  </w:style>
  <w:style w:type="character" w:customStyle="1" w:styleId="2567">
    <w:name w:val="GH1文本_02条款 Char Char"/>
    <w:link w:val="2566"/>
    <w:qFormat/>
    <w:uiPriority w:val="0"/>
    <w:rPr>
      <w:rFonts w:asciiTheme="majorHAnsi" w:hAnsiTheme="majorHAnsi" w:eastAsiaTheme="majorEastAsia" w:cstheme="majorBidi"/>
      <w:sz w:val="28"/>
      <w:szCs w:val="24"/>
    </w:rPr>
  </w:style>
  <w:style w:type="paragraph" w:customStyle="1" w:styleId="2568">
    <w:name w:val="样式68"/>
    <w:basedOn w:val="1"/>
    <w:qFormat/>
    <w:uiPriority w:val="0"/>
    <w:pPr>
      <w:widowControl/>
      <w:spacing w:line="360" w:lineRule="auto"/>
      <w:ind w:right="-40" w:firstLine="200" w:firstLineChars="200"/>
      <w:jc w:val="center"/>
    </w:pPr>
    <w:rPr>
      <w:rFonts w:ascii="宋体" w:hAnsi="宋体" w:cstheme="majorBidi"/>
      <w:b/>
      <w:bCs/>
      <w:kern w:val="0"/>
      <w:szCs w:val="21"/>
    </w:rPr>
  </w:style>
  <w:style w:type="paragraph" w:customStyle="1" w:styleId="2569">
    <w:name w:val="正文-1"/>
    <w:basedOn w:val="35"/>
    <w:link w:val="2570"/>
    <w:qFormat/>
    <w:uiPriority w:val="0"/>
    <w:pPr>
      <w:widowControl/>
      <w:snapToGrid w:val="0"/>
      <w:ind w:firstLine="180" w:firstLineChars="180"/>
      <w:jc w:val="left"/>
    </w:pPr>
    <w:rPr>
      <w:rFonts w:ascii="Calibri" w:hAnsi="Calibri" w:cstheme="majorBidi"/>
      <w:spacing w:val="4"/>
      <w:kern w:val="18"/>
      <w:szCs w:val="30"/>
    </w:rPr>
  </w:style>
  <w:style w:type="character" w:customStyle="1" w:styleId="2570">
    <w:name w:val="正文-1 Char"/>
    <w:link w:val="2569"/>
    <w:qFormat/>
    <w:uiPriority w:val="0"/>
    <w:rPr>
      <w:rFonts w:ascii="Calibri" w:hAnsi="Calibri" w:cstheme="majorBidi"/>
      <w:spacing w:val="4"/>
      <w:kern w:val="18"/>
      <w:sz w:val="24"/>
      <w:szCs w:val="30"/>
    </w:rPr>
  </w:style>
  <w:style w:type="paragraph" w:customStyle="1" w:styleId="2571">
    <w:name w:val="wangjunbo.bullet"/>
    <w:basedOn w:val="1"/>
    <w:qFormat/>
    <w:uiPriority w:val="0"/>
    <w:pPr>
      <w:widowControl/>
      <w:spacing w:line="320" w:lineRule="exact"/>
      <w:ind w:firstLine="200" w:firstLineChars="200"/>
      <w:jc w:val="center"/>
    </w:pPr>
    <w:rPr>
      <w:rFonts w:cstheme="majorBidi"/>
      <w:kern w:val="0"/>
      <w:szCs w:val="20"/>
    </w:rPr>
  </w:style>
  <w:style w:type="paragraph" w:customStyle="1" w:styleId="2572">
    <w:name w:val="样式29"/>
    <w:basedOn w:val="1"/>
    <w:link w:val="2573"/>
    <w:uiPriority w:val="0"/>
    <w:pPr>
      <w:widowControl/>
      <w:spacing w:line="360" w:lineRule="auto"/>
      <w:ind w:firstLine="1132" w:firstLineChars="539"/>
      <w:jc w:val="left"/>
    </w:pPr>
    <w:rPr>
      <w:rFonts w:ascii="黑体" w:eastAsia="黑体" w:cstheme="majorBidi"/>
      <w:kern w:val="0"/>
      <w:sz w:val="20"/>
      <w:szCs w:val="21"/>
    </w:rPr>
  </w:style>
  <w:style w:type="character" w:customStyle="1" w:styleId="2573">
    <w:name w:val="样式29 Char"/>
    <w:link w:val="2572"/>
    <w:uiPriority w:val="0"/>
    <w:rPr>
      <w:rFonts w:ascii="黑体" w:eastAsia="黑体" w:cstheme="majorBidi"/>
      <w:szCs w:val="21"/>
    </w:rPr>
  </w:style>
  <w:style w:type="paragraph" w:customStyle="1" w:styleId="2574">
    <w:name w:val="纯文本2"/>
    <w:basedOn w:val="1"/>
    <w:uiPriority w:val="0"/>
    <w:pPr>
      <w:widowControl/>
      <w:adjustRightInd w:val="0"/>
      <w:snapToGrid w:val="0"/>
      <w:spacing w:line="360" w:lineRule="auto"/>
      <w:ind w:firstLine="200" w:firstLineChars="200"/>
      <w:jc w:val="left"/>
    </w:pPr>
    <w:rPr>
      <w:rFonts w:hint="eastAsia" w:ascii="宋体" w:hAnsi="Courier New" w:cs="宋体"/>
      <w:kern w:val="0"/>
      <w:szCs w:val="20"/>
    </w:rPr>
  </w:style>
  <w:style w:type="paragraph" w:customStyle="1" w:styleId="2575">
    <w:name w:val="样式 样式 标题 3标题 13标题 3 Char1 Char Char Char标题 31ReHead 3 WSAh3B... ...2"/>
    <w:basedOn w:val="1"/>
    <w:uiPriority w:val="0"/>
    <w:pPr>
      <w:keepNext/>
      <w:keepLines/>
      <w:widowControl/>
      <w:spacing w:beforeLines="50" w:afterLines="50" w:line="460" w:lineRule="exact"/>
      <w:ind w:firstLine="200" w:firstLineChars="200"/>
      <w:jc w:val="left"/>
      <w:outlineLvl w:val="2"/>
    </w:pPr>
    <w:rPr>
      <w:rFonts w:ascii="宋体" w:hAnsi="宋体" w:cs="宋体"/>
      <w:b/>
      <w:bCs/>
      <w:color w:val="000000"/>
      <w:kern w:val="0"/>
      <w:szCs w:val="20"/>
    </w:rPr>
  </w:style>
  <w:style w:type="character" w:customStyle="1" w:styleId="2576">
    <w:name w:val="zhang正文 Char"/>
    <w:link w:val="780"/>
    <w:qFormat/>
    <w:uiPriority w:val="0"/>
    <w:rPr>
      <w:rFonts w:eastAsia="楷体_GB2312"/>
      <w:sz w:val="28"/>
    </w:rPr>
  </w:style>
  <w:style w:type="paragraph" w:customStyle="1" w:styleId="2577">
    <w:name w:val="自动4"/>
    <w:basedOn w:val="1"/>
    <w:qFormat/>
    <w:uiPriority w:val="0"/>
    <w:pPr>
      <w:keepNext/>
      <w:keepLines/>
      <w:widowControl/>
      <w:tabs>
        <w:tab w:val="left" w:pos="1131"/>
      </w:tabs>
      <w:spacing w:beforeLines="50" w:afterLines="50" w:line="360" w:lineRule="auto"/>
      <w:ind w:firstLine="200" w:firstLineChars="200"/>
      <w:jc w:val="left"/>
      <w:outlineLvl w:val="3"/>
    </w:pPr>
    <w:rPr>
      <w:rFonts w:cstheme="majorBidi"/>
      <w:b/>
      <w:bCs/>
      <w:kern w:val="0"/>
    </w:rPr>
  </w:style>
  <w:style w:type="paragraph" w:customStyle="1" w:styleId="2578">
    <w:name w:val="表中"/>
    <w:basedOn w:val="1"/>
    <w:uiPriority w:val="0"/>
    <w:pPr>
      <w:widowControl/>
      <w:adjustRightInd w:val="0"/>
      <w:snapToGrid w:val="0"/>
      <w:spacing w:line="360" w:lineRule="auto"/>
      <w:ind w:firstLine="200" w:firstLineChars="200"/>
      <w:jc w:val="center"/>
    </w:pPr>
    <w:rPr>
      <w:rFonts w:ascii="宋体" w:hAnsi="宋体" w:cs="宋体"/>
      <w:kern w:val="0"/>
    </w:rPr>
  </w:style>
  <w:style w:type="paragraph" w:customStyle="1" w:styleId="2579">
    <w:name w:val="Char1 Char Char Char Char Char Char Char Char Char Char Char Char"/>
    <w:basedOn w:val="1"/>
    <w:qFormat/>
    <w:uiPriority w:val="0"/>
    <w:pPr>
      <w:widowControl/>
      <w:spacing w:line="360" w:lineRule="auto"/>
      <w:ind w:firstLine="200" w:firstLineChars="200"/>
      <w:jc w:val="left"/>
    </w:pPr>
    <w:rPr>
      <w:rFonts w:ascii="宋体" w:hAnsi="宋体" w:cs="宋体"/>
      <w:kern w:val="0"/>
    </w:rPr>
  </w:style>
  <w:style w:type="paragraph" w:customStyle="1" w:styleId="2580">
    <w:name w:val="质正文"/>
    <w:basedOn w:val="1"/>
    <w:uiPriority w:val="0"/>
    <w:pPr>
      <w:widowControl/>
      <w:adjustRightInd w:val="0"/>
      <w:snapToGrid w:val="0"/>
      <w:spacing w:line="360" w:lineRule="auto"/>
      <w:ind w:firstLine="200" w:firstLineChars="200"/>
      <w:jc w:val="left"/>
    </w:pPr>
    <w:rPr>
      <w:rFonts w:ascii="宋体" w:cstheme="majorBidi"/>
      <w:kern w:val="0"/>
    </w:rPr>
  </w:style>
  <w:style w:type="paragraph" w:customStyle="1" w:styleId="2581">
    <w:name w:val="论文标题"/>
    <w:basedOn w:val="1"/>
    <w:qFormat/>
    <w:uiPriority w:val="0"/>
    <w:pPr>
      <w:widowControl/>
      <w:spacing w:line="300" w:lineRule="auto"/>
      <w:ind w:firstLine="200" w:firstLineChars="200"/>
      <w:jc w:val="center"/>
    </w:pPr>
    <w:rPr>
      <w:rFonts w:cs="宋体"/>
      <w:b/>
      <w:bCs/>
      <w:kern w:val="0"/>
      <w:sz w:val="44"/>
      <w:szCs w:val="20"/>
    </w:rPr>
  </w:style>
  <w:style w:type="paragraph" w:customStyle="1" w:styleId="2582">
    <w:name w:val="第1章表题"/>
    <w:basedOn w:val="1"/>
    <w:uiPriority w:val="0"/>
    <w:pPr>
      <w:widowControl/>
      <w:adjustRightInd w:val="0"/>
      <w:snapToGrid w:val="0"/>
      <w:spacing w:before="120" w:after="60" w:line="440" w:lineRule="exact"/>
      <w:ind w:firstLine="200" w:firstLineChars="200"/>
      <w:jc w:val="left"/>
      <w:textAlignment w:val="baseline"/>
    </w:pPr>
    <w:rPr>
      <w:rFonts w:ascii="仿宋_GB2312" w:eastAsia="黑体" w:cstheme="majorBidi"/>
      <w:kern w:val="0"/>
      <w:szCs w:val="20"/>
    </w:rPr>
  </w:style>
  <w:style w:type="paragraph" w:customStyle="1" w:styleId="2583">
    <w:name w:val="样式 标题 4 + (西文) Times New Roman (中文) 宋体 小四 非加粗"/>
    <w:basedOn w:val="6"/>
    <w:qFormat/>
    <w:uiPriority w:val="0"/>
    <w:pPr>
      <w:keepNext w:val="0"/>
      <w:keepLines w:val="0"/>
      <w:widowControl/>
      <w:numPr>
        <w:numId w:val="35"/>
      </w:numPr>
      <w:spacing w:line="500" w:lineRule="exact"/>
      <w:jc w:val="left"/>
    </w:pPr>
    <w:rPr>
      <w:rFonts w:ascii="宋体" w:hAnsi="宋体" w:eastAsia="黑体"/>
      <w:b w:val="0"/>
      <w:color w:val="000000"/>
      <w:spacing w:val="5"/>
      <w:kern w:val="0"/>
      <w:szCs w:val="24"/>
    </w:rPr>
  </w:style>
  <w:style w:type="paragraph" w:customStyle="1" w:styleId="2584">
    <w:name w:val="封面标准名称"/>
    <w:uiPriority w:val="0"/>
    <w:pPr>
      <w:framePr w:w="9638" w:h="6917" w:hRule="exact" w:wrap="around" w:vAnchor="margin" w:hAnchor="margin" w:xAlign="center" w:y="5955" w:anchorLock="1"/>
      <w:widowControl w:val="0"/>
      <w:spacing w:line="680" w:lineRule="exact"/>
      <w:jc w:val="center"/>
      <w:textAlignment w:val="center"/>
    </w:pPr>
    <w:rPr>
      <w:rFonts w:ascii="黑体" w:hAnsi="Times New Roman" w:eastAsia="黑体" w:cstheme="majorBidi"/>
      <w:sz w:val="52"/>
      <w:szCs w:val="22"/>
      <w:lang w:val="en-US" w:eastAsia="zh-CN" w:bidi="ar-SA"/>
    </w:rPr>
  </w:style>
  <w:style w:type="paragraph" w:customStyle="1" w:styleId="2585">
    <w:name w:val="zxz5"/>
    <w:next w:val="1"/>
    <w:qFormat/>
    <w:uiPriority w:val="0"/>
    <w:pPr>
      <w:tabs>
        <w:tab w:val="left" w:pos="0"/>
      </w:tabs>
      <w:spacing w:line="360" w:lineRule="auto"/>
      <w:jc w:val="center"/>
    </w:pPr>
    <w:rPr>
      <w:rFonts w:ascii="宋体" w:hAnsi="宋体" w:eastAsia="Times New Roman" w:cs="宋体"/>
      <w:bCs/>
      <w:kern w:val="2"/>
      <w:sz w:val="18"/>
      <w:szCs w:val="18"/>
      <w:lang w:val="en-US" w:eastAsia="zh-CN" w:bidi="ar-SA"/>
    </w:rPr>
  </w:style>
  <w:style w:type="paragraph" w:customStyle="1" w:styleId="2586">
    <w:name w:val="样式104"/>
    <w:basedOn w:val="1"/>
    <w:semiHidden/>
    <w:qFormat/>
    <w:uiPriority w:val="0"/>
    <w:pPr>
      <w:keepNext/>
      <w:keepLines/>
      <w:widowControl/>
      <w:spacing w:line="480" w:lineRule="exact"/>
      <w:ind w:firstLine="200" w:firstLineChars="200"/>
      <w:jc w:val="left"/>
      <w:outlineLvl w:val="3"/>
    </w:pPr>
    <w:rPr>
      <w:rFonts w:cstheme="majorBidi"/>
      <w:b/>
      <w:kern w:val="0"/>
    </w:rPr>
  </w:style>
  <w:style w:type="paragraph" w:customStyle="1" w:styleId="2587">
    <w:name w:val="电镀表"/>
    <w:basedOn w:val="1"/>
    <w:link w:val="2588"/>
    <w:uiPriority w:val="0"/>
    <w:pPr>
      <w:widowControl/>
      <w:autoSpaceDE w:val="0"/>
      <w:autoSpaceDN w:val="0"/>
      <w:adjustRightInd w:val="0"/>
      <w:spacing w:line="360" w:lineRule="auto"/>
      <w:ind w:firstLine="200" w:firstLineChars="200"/>
      <w:jc w:val="center"/>
      <w:textAlignment w:val="center"/>
    </w:pPr>
    <w:rPr>
      <w:rFonts w:cstheme="majorBidi"/>
      <w:w w:val="105"/>
      <w:kern w:val="10"/>
      <w:szCs w:val="21"/>
    </w:rPr>
  </w:style>
  <w:style w:type="character" w:customStyle="1" w:styleId="2588">
    <w:name w:val="电镀表 Char"/>
    <w:link w:val="2587"/>
    <w:qFormat/>
    <w:uiPriority w:val="0"/>
    <w:rPr>
      <w:rFonts w:cstheme="majorBidi"/>
      <w:w w:val="105"/>
      <w:kern w:val="10"/>
      <w:sz w:val="24"/>
      <w:szCs w:val="21"/>
    </w:rPr>
  </w:style>
  <w:style w:type="paragraph" w:customStyle="1" w:styleId="2589">
    <w:name w:val="12"/>
    <w:basedOn w:val="1"/>
    <w:next w:val="70"/>
    <w:uiPriority w:val="0"/>
    <w:pPr>
      <w:widowControl/>
      <w:spacing w:line="360" w:lineRule="auto"/>
      <w:ind w:firstLine="616" w:firstLineChars="200"/>
      <w:jc w:val="left"/>
    </w:pPr>
    <w:rPr>
      <w:rFonts w:ascii="宋体" w:cstheme="majorBidi"/>
      <w:kern w:val="0"/>
      <w:sz w:val="28"/>
      <w:szCs w:val="20"/>
    </w:rPr>
  </w:style>
  <w:style w:type="paragraph" w:customStyle="1" w:styleId="2590">
    <w:name w:val="样式 标题 2标题 21标题 121标题 1.1节标题 1.14.1 + Arial 四号 段前: 0.5 行..."/>
    <w:basedOn w:val="4"/>
    <w:qFormat/>
    <w:uiPriority w:val="0"/>
    <w:pPr>
      <w:keepNext w:val="0"/>
      <w:keepLines w:val="0"/>
      <w:widowControl/>
      <w:numPr>
        <w:ilvl w:val="0"/>
        <w:numId w:val="0"/>
      </w:numPr>
      <w:spacing w:before="260" w:beforeLines="50" w:after="260" w:afterLines="50"/>
      <w:jc w:val="left"/>
    </w:pPr>
    <w:rPr>
      <w:rFonts w:ascii="Arial" w:hAnsi="宋体" w:eastAsia="宋体" w:cs="宋体"/>
      <w:b w:val="0"/>
      <w:bCs w:val="0"/>
      <w:smallCaps/>
      <w:kern w:val="0"/>
      <w:sz w:val="24"/>
      <w:szCs w:val="20"/>
    </w:rPr>
  </w:style>
  <w:style w:type="character" w:customStyle="1" w:styleId="2591">
    <w:name w:val="1正文段落 Char"/>
    <w:link w:val="1384"/>
    <w:qFormat/>
    <w:uiPriority w:val="0"/>
    <w:rPr>
      <w:sz w:val="24"/>
      <w:szCs w:val="24"/>
    </w:rPr>
  </w:style>
  <w:style w:type="paragraph" w:customStyle="1" w:styleId="2592">
    <w:name w:val="样式56"/>
    <w:basedOn w:val="2504"/>
    <w:link w:val="2593"/>
    <w:uiPriority w:val="0"/>
    <w:rPr>
      <w:b w:val="0"/>
      <w:sz w:val="20"/>
      <w:szCs w:val="20"/>
    </w:rPr>
  </w:style>
  <w:style w:type="character" w:customStyle="1" w:styleId="2593">
    <w:name w:val="样式56 Char"/>
    <w:link w:val="2592"/>
    <w:uiPriority w:val="0"/>
    <w:rPr>
      <w:rFonts w:cstheme="majorBidi"/>
    </w:rPr>
  </w:style>
  <w:style w:type="paragraph" w:customStyle="1" w:styleId="2594">
    <w:name w:val="Losange 3"/>
    <w:basedOn w:val="2595"/>
    <w:qFormat/>
    <w:uiPriority w:val="0"/>
    <w:pPr>
      <w:tabs>
        <w:tab w:val="left" w:pos="360"/>
      </w:tabs>
      <w:ind w:left="360" w:hanging="360" w:hangingChars="200"/>
    </w:pPr>
  </w:style>
  <w:style w:type="paragraph" w:customStyle="1" w:styleId="2595">
    <w:name w:val="Losange 1"/>
    <w:basedOn w:val="2596"/>
    <w:qFormat/>
    <w:uiPriority w:val="0"/>
    <w:pPr>
      <w:ind w:left="1531" w:hanging="397"/>
    </w:pPr>
  </w:style>
  <w:style w:type="paragraph" w:customStyle="1" w:styleId="2596">
    <w:name w:val="Retrait 1"/>
    <w:basedOn w:val="1"/>
    <w:qFormat/>
    <w:uiPriority w:val="0"/>
    <w:pPr>
      <w:widowControl/>
      <w:overflowPunct w:val="0"/>
      <w:autoSpaceDE w:val="0"/>
      <w:autoSpaceDN w:val="0"/>
      <w:adjustRightInd w:val="0"/>
      <w:spacing w:before="120" w:line="360" w:lineRule="auto"/>
      <w:ind w:left="851" w:firstLine="200" w:firstLineChars="200"/>
      <w:jc w:val="left"/>
      <w:textAlignment w:val="baseline"/>
    </w:pPr>
    <w:rPr>
      <w:rFonts w:ascii="Arial" w:hAnsi="Arial" w:cstheme="majorBidi"/>
      <w:color w:val="000000"/>
      <w:kern w:val="0"/>
      <w:lang w:val="en-GB"/>
    </w:rPr>
  </w:style>
  <w:style w:type="paragraph" w:customStyle="1" w:styleId="2597">
    <w:name w:val="无线页眉"/>
    <w:basedOn w:val="57"/>
    <w:qFormat/>
    <w:uiPriority w:val="99"/>
    <w:pPr>
      <w:widowControl/>
      <w:pBdr>
        <w:bottom w:val="none" w:color="auto" w:sz="0" w:space="0"/>
      </w:pBdr>
      <w:spacing w:line="360" w:lineRule="auto"/>
      <w:ind w:firstLine="480" w:firstLineChars="200"/>
    </w:pPr>
    <w:rPr>
      <w:rFonts w:cstheme="majorBidi"/>
      <w:kern w:val="0"/>
      <w:szCs w:val="20"/>
    </w:rPr>
  </w:style>
  <w:style w:type="paragraph" w:customStyle="1" w:styleId="2598">
    <w:name w:val="样式 Arial 三号 左 段前: 4.65 磅 行距: 固定值 24 磅"/>
    <w:basedOn w:val="1"/>
    <w:qFormat/>
    <w:uiPriority w:val="0"/>
    <w:pPr>
      <w:widowControl/>
      <w:spacing w:before="60" w:line="480" w:lineRule="exact"/>
      <w:ind w:firstLine="200" w:firstLineChars="200"/>
      <w:jc w:val="left"/>
    </w:pPr>
    <w:rPr>
      <w:rFonts w:ascii="Arial" w:hAnsi="Arial" w:cs="Arial"/>
      <w:kern w:val="0"/>
      <w:sz w:val="32"/>
      <w:szCs w:val="32"/>
    </w:rPr>
  </w:style>
  <w:style w:type="paragraph" w:customStyle="1" w:styleId="2599">
    <w:name w:val="xl19"/>
    <w:basedOn w:val="1"/>
    <w:uiPriority w:val="99"/>
    <w:pPr>
      <w:widowControl/>
      <w:pBdr>
        <w:top w:val="single" w:color="auto" w:sz="4" w:space="0"/>
        <w:left w:val="single" w:color="auto" w:sz="4" w:space="0"/>
        <w:bottom w:val="single" w:color="auto" w:sz="4" w:space="0"/>
        <w:right w:val="single" w:color="auto" w:sz="4" w:space="0"/>
      </w:pBdr>
      <w:spacing w:before="100" w:beforeAutospacing="1" w:after="100" w:afterAutospacing="1" w:line="360" w:lineRule="auto"/>
      <w:ind w:firstLine="200" w:firstLineChars="200"/>
      <w:jc w:val="center"/>
    </w:pPr>
    <w:rPr>
      <w:rFonts w:ascii="宋体" w:hAnsi="宋体" w:cs="宋体"/>
      <w:kern w:val="0"/>
    </w:rPr>
  </w:style>
  <w:style w:type="paragraph" w:customStyle="1" w:styleId="2600">
    <w:name w:val="正文(首行缩进)宋旭峰"/>
    <w:basedOn w:val="7"/>
    <w:link w:val="2601"/>
    <w:qFormat/>
    <w:uiPriority w:val="0"/>
    <w:pPr>
      <w:widowControl/>
      <w:spacing w:line="360" w:lineRule="auto"/>
      <w:ind w:firstLine="480"/>
      <w:contextualSpacing/>
    </w:pPr>
    <w:rPr>
      <w:rFonts w:ascii="Calibri" w:hAnsi="Calibri" w:cstheme="majorBidi"/>
      <w:kern w:val="0"/>
    </w:rPr>
  </w:style>
  <w:style w:type="character" w:customStyle="1" w:styleId="2601">
    <w:name w:val="正文(首行缩进)宋旭峰 Char Char"/>
    <w:link w:val="2600"/>
    <w:qFormat/>
    <w:uiPriority w:val="0"/>
    <w:rPr>
      <w:rFonts w:ascii="Calibri" w:hAnsi="Calibri" w:cstheme="majorBidi"/>
      <w:sz w:val="24"/>
      <w:szCs w:val="24"/>
    </w:rPr>
  </w:style>
  <w:style w:type="paragraph" w:customStyle="1" w:styleId="2602">
    <w:name w:val="reader-word-layer reader-word-s1-24"/>
    <w:basedOn w:val="1"/>
    <w:uiPriority w:val="99"/>
    <w:pPr>
      <w:widowControl/>
      <w:spacing w:before="100" w:beforeAutospacing="1" w:after="100" w:afterAutospacing="1" w:line="360" w:lineRule="auto"/>
      <w:ind w:firstLine="200" w:firstLineChars="200"/>
      <w:jc w:val="left"/>
    </w:pPr>
    <w:rPr>
      <w:rFonts w:ascii="宋体" w:hAnsi="宋体" w:cs="宋体"/>
      <w:kern w:val="0"/>
    </w:rPr>
  </w:style>
  <w:style w:type="paragraph" w:customStyle="1" w:styleId="2603">
    <w:name w:val="样式 样式 标题 1标题 11一、标题 1 Char章 + Times New Roman 小三 非加粗 黑色 行距:... +..."/>
    <w:basedOn w:val="1"/>
    <w:qFormat/>
    <w:uiPriority w:val="0"/>
    <w:pPr>
      <w:keepNext/>
      <w:keepLines/>
      <w:widowControl/>
      <w:spacing w:before="156" w:after="156" w:line="460" w:lineRule="exact"/>
      <w:ind w:firstLine="200" w:firstLineChars="200"/>
      <w:jc w:val="left"/>
      <w:outlineLvl w:val="0"/>
    </w:pPr>
    <w:rPr>
      <w:rFonts w:eastAsia="黑体" w:cs="宋体"/>
      <w:color w:val="000000"/>
      <w:kern w:val="44"/>
      <w:sz w:val="30"/>
      <w:szCs w:val="20"/>
    </w:rPr>
  </w:style>
  <w:style w:type="paragraph" w:customStyle="1" w:styleId="2604">
    <w:name w:val="样式43"/>
    <w:basedOn w:val="1"/>
    <w:link w:val="2605"/>
    <w:uiPriority w:val="0"/>
    <w:pPr>
      <w:widowControl/>
      <w:spacing w:line="360" w:lineRule="auto"/>
      <w:ind w:firstLine="480" w:firstLineChars="200"/>
      <w:jc w:val="left"/>
    </w:pPr>
    <w:rPr>
      <w:rFonts w:cstheme="majorBidi"/>
      <w:kern w:val="0"/>
      <w:lang w:val="zh-CN"/>
    </w:rPr>
  </w:style>
  <w:style w:type="character" w:customStyle="1" w:styleId="2605">
    <w:name w:val="样式43 Char"/>
    <w:link w:val="2604"/>
    <w:qFormat/>
    <w:uiPriority w:val="0"/>
    <w:rPr>
      <w:rFonts w:cstheme="majorBidi"/>
      <w:sz w:val="24"/>
      <w:szCs w:val="24"/>
      <w:lang w:val="zh-CN"/>
    </w:rPr>
  </w:style>
  <w:style w:type="paragraph" w:customStyle="1" w:styleId="2606">
    <w:name w:val="8.7正文格式"/>
    <w:basedOn w:val="1"/>
    <w:link w:val="2607"/>
    <w:qFormat/>
    <w:uiPriority w:val="0"/>
    <w:pPr>
      <w:widowControl/>
      <w:spacing w:line="500" w:lineRule="exact"/>
      <w:ind w:firstLine="560" w:firstLineChars="200"/>
      <w:jc w:val="left"/>
    </w:pPr>
    <w:rPr>
      <w:rFonts w:cs="宋体"/>
      <w:kern w:val="0"/>
      <w:sz w:val="28"/>
      <w:szCs w:val="20"/>
    </w:rPr>
  </w:style>
  <w:style w:type="character" w:customStyle="1" w:styleId="2607">
    <w:name w:val="8.7正文格式 Char"/>
    <w:link w:val="2606"/>
    <w:qFormat/>
    <w:uiPriority w:val="0"/>
    <w:rPr>
      <w:rFonts w:cs="宋体"/>
      <w:sz w:val="28"/>
    </w:rPr>
  </w:style>
  <w:style w:type="paragraph" w:customStyle="1" w:styleId="2608">
    <w:name w:val="标题样式1"/>
    <w:basedOn w:val="3"/>
    <w:link w:val="2609"/>
    <w:qFormat/>
    <w:uiPriority w:val="0"/>
    <w:pPr>
      <w:keepNext w:val="0"/>
      <w:widowControl/>
      <w:numPr>
        <w:numId w:val="0"/>
      </w:numPr>
      <w:tabs>
        <w:tab w:val="clear" w:pos="0"/>
      </w:tabs>
      <w:spacing w:line="360" w:lineRule="auto"/>
      <w:contextualSpacing/>
      <w:jc w:val="left"/>
    </w:pPr>
    <w:rPr>
      <w:rFonts w:ascii="黑体" w:hAnsi="Calibri" w:cstheme="majorBidi"/>
      <w:bCs/>
      <w:smallCaps/>
      <w:spacing w:val="5"/>
      <w:kern w:val="0"/>
      <w:sz w:val="28"/>
      <w:szCs w:val="20"/>
    </w:rPr>
  </w:style>
  <w:style w:type="character" w:customStyle="1" w:styleId="2609">
    <w:name w:val="标题样式1 Char"/>
    <w:link w:val="2608"/>
    <w:uiPriority w:val="0"/>
    <w:rPr>
      <w:rFonts w:ascii="黑体" w:hAnsi="Calibri" w:eastAsia="黑体" w:cstheme="majorBidi"/>
      <w:b/>
      <w:bCs/>
      <w:smallCaps/>
      <w:spacing w:val="5"/>
      <w:sz w:val="28"/>
    </w:rPr>
  </w:style>
  <w:style w:type="paragraph" w:customStyle="1" w:styleId="2610">
    <w:name w:val="样式 标题 2 + 段后: 16.3 磅"/>
    <w:basedOn w:val="4"/>
    <w:qFormat/>
    <w:uiPriority w:val="99"/>
    <w:pPr>
      <w:keepNext w:val="0"/>
      <w:keepLines w:val="0"/>
      <w:widowControl/>
      <w:numPr>
        <w:ilvl w:val="0"/>
        <w:numId w:val="0"/>
      </w:numPr>
      <w:tabs>
        <w:tab w:val="left" w:pos="840"/>
      </w:tabs>
      <w:spacing w:before="260" w:after="326" w:line="312" w:lineRule="auto"/>
      <w:ind w:left="840" w:hanging="420"/>
      <w:jc w:val="left"/>
    </w:pPr>
    <w:rPr>
      <w:bCs w:val="0"/>
      <w:smallCaps/>
      <w:kern w:val="0"/>
      <w:sz w:val="24"/>
      <w:szCs w:val="24"/>
    </w:rPr>
  </w:style>
  <w:style w:type="paragraph" w:customStyle="1" w:styleId="2611">
    <w:name w:val="样式 标准正文 + 首行缩进:  2 字符"/>
    <w:basedOn w:val="1"/>
    <w:qFormat/>
    <w:uiPriority w:val="99"/>
    <w:pPr>
      <w:widowControl/>
      <w:spacing w:line="500" w:lineRule="exact"/>
      <w:ind w:firstLine="200" w:firstLineChars="200"/>
      <w:jc w:val="left"/>
    </w:pPr>
    <w:rPr>
      <w:rFonts w:ascii="宋体" w:hAnsi="宋体" w:cs="宋体"/>
      <w:color w:val="000000"/>
      <w:kern w:val="0"/>
      <w:sz w:val="28"/>
      <w:szCs w:val="20"/>
    </w:rPr>
  </w:style>
  <w:style w:type="paragraph" w:customStyle="1" w:styleId="2612">
    <w:name w:val="样式 表格 + 宋体 居中"/>
    <w:basedOn w:val="1"/>
    <w:qFormat/>
    <w:uiPriority w:val="0"/>
    <w:pPr>
      <w:widowControl/>
      <w:spacing w:line="360" w:lineRule="auto"/>
      <w:ind w:firstLine="200" w:firstLineChars="200"/>
      <w:jc w:val="center"/>
      <w:textAlignment w:val="center"/>
    </w:pPr>
    <w:rPr>
      <w:rFonts w:cstheme="majorBidi"/>
      <w:kern w:val="0"/>
      <w:szCs w:val="20"/>
    </w:rPr>
  </w:style>
  <w:style w:type="paragraph" w:customStyle="1" w:styleId="2613">
    <w:name w:val="文档结构图1"/>
    <w:basedOn w:val="1"/>
    <w:qFormat/>
    <w:uiPriority w:val="0"/>
    <w:pPr>
      <w:widowControl/>
      <w:shd w:val="clear" w:color="auto" w:fill="000080"/>
      <w:tabs>
        <w:tab w:val="left" w:pos="0"/>
      </w:tabs>
      <w:adjustRightInd w:val="0"/>
      <w:snapToGrid w:val="0"/>
      <w:spacing w:line="360" w:lineRule="auto"/>
      <w:ind w:right="-40" w:firstLine="595" w:firstLineChars="200"/>
      <w:jc w:val="left"/>
      <w:textAlignment w:val="center"/>
    </w:pPr>
    <w:rPr>
      <w:rFonts w:cstheme="majorBidi"/>
      <w:kern w:val="0"/>
      <w:szCs w:val="20"/>
    </w:rPr>
  </w:style>
  <w:style w:type="paragraph" w:customStyle="1" w:styleId="2614">
    <w:name w:val="附录"/>
    <w:basedOn w:val="1"/>
    <w:uiPriority w:val="0"/>
    <w:pPr>
      <w:widowControl/>
      <w:spacing w:before="120" w:after="120" w:line="360" w:lineRule="auto"/>
      <w:ind w:left="567" w:hanging="567" w:firstLineChars="200"/>
      <w:jc w:val="center"/>
    </w:pPr>
    <w:rPr>
      <w:rFonts w:eastAsia="楷体_GB2312" w:cstheme="majorBidi"/>
      <w:b/>
      <w:bCs/>
      <w:spacing w:val="60"/>
      <w:kern w:val="0"/>
      <w:sz w:val="28"/>
      <w:szCs w:val="20"/>
    </w:rPr>
  </w:style>
  <w:style w:type="paragraph" w:customStyle="1" w:styleId="2615">
    <w:name w:val="正文样式-"/>
    <w:basedOn w:val="1"/>
    <w:qFormat/>
    <w:uiPriority w:val="0"/>
    <w:pPr>
      <w:widowControl/>
      <w:spacing w:line="360" w:lineRule="auto"/>
      <w:ind w:firstLine="200" w:firstLineChars="200"/>
      <w:jc w:val="left"/>
    </w:pPr>
    <w:rPr>
      <w:rFonts w:cs="宋体"/>
      <w:color w:val="000000"/>
      <w:kern w:val="0"/>
      <w:szCs w:val="20"/>
    </w:rPr>
  </w:style>
  <w:style w:type="paragraph" w:customStyle="1" w:styleId="2616">
    <w:name w:val="标题3（新）"/>
    <w:basedOn w:val="1"/>
    <w:next w:val="1"/>
    <w:qFormat/>
    <w:uiPriority w:val="0"/>
    <w:pPr>
      <w:widowControl/>
      <w:spacing w:line="240" w:lineRule="atLeast"/>
      <w:ind w:firstLine="200" w:firstLineChars="200"/>
      <w:jc w:val="left"/>
      <w:outlineLvl w:val="2"/>
    </w:pPr>
    <w:rPr>
      <w:rFonts w:ascii="宋体" w:eastAsia="黑体" w:cstheme="majorBidi"/>
      <w:kern w:val="0"/>
      <w:sz w:val="28"/>
      <w:szCs w:val="22"/>
    </w:rPr>
  </w:style>
  <w:style w:type="character" w:customStyle="1" w:styleId="2617">
    <w:name w:val="样式6 Char1"/>
    <w:qFormat/>
    <w:uiPriority w:val="0"/>
    <w:rPr>
      <w:rFonts w:ascii="创艺简魏碑" w:hAnsi="创艺简魏碑" w:eastAsia="创艺简魏碑" w:cs="MS Sans Serif"/>
      <w:color w:val="000000"/>
      <w:kern w:val="6"/>
      <w:sz w:val="24"/>
      <w:lang w:val="en-GB"/>
    </w:rPr>
  </w:style>
  <w:style w:type="paragraph" w:customStyle="1" w:styleId="2618">
    <w:name w:val="CM39"/>
    <w:basedOn w:val="397"/>
    <w:next w:val="397"/>
    <w:uiPriority w:val="0"/>
    <w:pPr>
      <w:spacing w:line="480" w:lineRule="atLeast"/>
    </w:pPr>
    <w:rPr>
      <w:rFonts w:hAnsi="Times New Roman" w:cs="Times New Roman"/>
      <w:color w:val="auto"/>
    </w:rPr>
  </w:style>
  <w:style w:type="paragraph" w:customStyle="1" w:styleId="2619">
    <w:name w:val="样式 标题 11.标题 1一、1 南陵标题 1h11.标题 1 Char标题 1 Char Char Char Ch..."/>
    <w:basedOn w:val="3"/>
    <w:qFormat/>
    <w:uiPriority w:val="0"/>
    <w:pPr>
      <w:keepNext w:val="0"/>
      <w:widowControl/>
      <w:numPr>
        <w:numId w:val="0"/>
      </w:numPr>
      <w:tabs>
        <w:tab w:val="clear" w:pos="0"/>
      </w:tabs>
      <w:spacing w:line="360" w:lineRule="auto"/>
      <w:contextualSpacing/>
      <w:jc w:val="left"/>
    </w:pPr>
    <w:rPr>
      <w:rFonts w:ascii="黑体" w:cs="宋体"/>
      <w:b w:val="0"/>
      <w:bCs/>
      <w:smallCaps/>
      <w:spacing w:val="5"/>
      <w:kern w:val="0"/>
      <w:sz w:val="32"/>
      <w:szCs w:val="20"/>
    </w:rPr>
  </w:style>
  <w:style w:type="paragraph" w:customStyle="1" w:styleId="2620">
    <w:name w:val="码头正文"/>
    <w:basedOn w:val="7"/>
    <w:qFormat/>
    <w:uiPriority w:val="0"/>
    <w:pPr>
      <w:widowControl/>
      <w:spacing w:line="360" w:lineRule="auto"/>
      <w:ind w:firstLine="480"/>
    </w:pPr>
    <w:rPr>
      <w:rFonts w:ascii="宋体" w:hAnsi="等线" w:eastAsia="等线" w:cstheme="majorBidi"/>
      <w:kern w:val="0"/>
      <w:szCs w:val="22"/>
      <w:u w:color="000000"/>
    </w:rPr>
  </w:style>
  <w:style w:type="paragraph" w:customStyle="1" w:styleId="2621">
    <w:name w:val="我的正文小四"/>
    <w:basedOn w:val="1"/>
    <w:qFormat/>
    <w:uiPriority w:val="0"/>
    <w:pPr>
      <w:widowControl/>
      <w:spacing w:line="360" w:lineRule="auto"/>
      <w:ind w:firstLine="480" w:firstLineChars="200"/>
      <w:jc w:val="left"/>
    </w:pPr>
    <w:rPr>
      <w:rFonts w:cstheme="majorBidi"/>
      <w:kern w:val="0"/>
    </w:rPr>
  </w:style>
  <w:style w:type="paragraph" w:customStyle="1" w:styleId="2622">
    <w:name w:val="样式91"/>
    <w:basedOn w:val="7"/>
    <w:link w:val="2623"/>
    <w:qFormat/>
    <w:uiPriority w:val="0"/>
    <w:pPr>
      <w:widowControl/>
      <w:overflowPunct w:val="0"/>
      <w:autoSpaceDE w:val="0"/>
      <w:autoSpaceDN w:val="0"/>
      <w:adjustRightInd w:val="0"/>
      <w:spacing w:beforeLines="50" w:afterLines="50" w:line="360" w:lineRule="auto"/>
      <w:ind w:firstLine="480"/>
    </w:pPr>
    <w:rPr>
      <w:rFonts w:ascii="宋体" w:hAnsi="宋体" w:cs="黑体"/>
      <w:kern w:val="0"/>
      <w:sz w:val="28"/>
    </w:rPr>
  </w:style>
  <w:style w:type="character" w:customStyle="1" w:styleId="2623">
    <w:name w:val="样式91 Char"/>
    <w:link w:val="2622"/>
    <w:qFormat/>
    <w:uiPriority w:val="0"/>
    <w:rPr>
      <w:rFonts w:ascii="宋体" w:hAnsi="宋体" w:cs="黑体"/>
      <w:sz w:val="28"/>
      <w:szCs w:val="24"/>
    </w:rPr>
  </w:style>
  <w:style w:type="paragraph" w:customStyle="1" w:styleId="2624">
    <w:name w:val="自动A"/>
    <w:basedOn w:val="1"/>
    <w:link w:val="2625"/>
    <w:uiPriority w:val="0"/>
    <w:pPr>
      <w:widowControl/>
      <w:spacing w:beforeLines="50" w:afterLines="50" w:line="360" w:lineRule="auto"/>
      <w:ind w:firstLine="480" w:firstLineChars="200"/>
      <w:jc w:val="left"/>
    </w:pPr>
    <w:rPr>
      <w:rFonts w:ascii="宋体" w:hAnsi="宋体" w:cs="宋体"/>
      <w:color w:val="000000"/>
      <w:kern w:val="0"/>
      <w:szCs w:val="20"/>
    </w:rPr>
  </w:style>
  <w:style w:type="character" w:customStyle="1" w:styleId="2625">
    <w:name w:val="自动A Char"/>
    <w:link w:val="2624"/>
    <w:qFormat/>
    <w:uiPriority w:val="0"/>
    <w:rPr>
      <w:rFonts w:ascii="宋体" w:hAnsi="宋体" w:cs="宋体"/>
      <w:color w:val="000000"/>
      <w:sz w:val="24"/>
    </w:rPr>
  </w:style>
  <w:style w:type="paragraph" w:customStyle="1" w:styleId="2626">
    <w:name w:val="样式 文章正文 + 小四"/>
    <w:basedOn w:val="848"/>
    <w:link w:val="2627"/>
    <w:uiPriority w:val="0"/>
    <w:pPr>
      <w:widowControl/>
      <w:spacing w:before="0" w:after="0"/>
      <w:jc w:val="left"/>
    </w:pPr>
    <w:rPr>
      <w:rFonts w:ascii="Calibri" w:hAnsi="Calibri" w:cstheme="majorBidi"/>
      <w:kern w:val="0"/>
      <w:sz w:val="20"/>
      <w:szCs w:val="20"/>
    </w:rPr>
  </w:style>
  <w:style w:type="character" w:customStyle="1" w:styleId="2627">
    <w:name w:val="样式 文章正文 + 小四 Char"/>
    <w:link w:val="2626"/>
    <w:qFormat/>
    <w:uiPriority w:val="0"/>
    <w:rPr>
      <w:rFonts w:ascii="Calibri" w:hAnsi="Calibri" w:cstheme="majorBidi"/>
    </w:rPr>
  </w:style>
  <w:style w:type="character" w:customStyle="1" w:styleId="2628">
    <w:name w:val="样式 标题 2标题 21标题 121节H2SeHead wsa2标题 1.1 + 黑体 四号 非加粗 Char"/>
    <w:link w:val="392"/>
    <w:uiPriority w:val="0"/>
    <w:rPr>
      <w:rFonts w:ascii="黑体" w:hAnsi="黑体" w:eastAsia="黑体"/>
      <w:kern w:val="2"/>
      <w:sz w:val="28"/>
      <w:szCs w:val="32"/>
    </w:rPr>
  </w:style>
  <w:style w:type="paragraph" w:customStyle="1" w:styleId="2629">
    <w:name w:val="样式90"/>
    <w:basedOn w:val="1"/>
    <w:qFormat/>
    <w:uiPriority w:val="0"/>
    <w:pPr>
      <w:widowControl/>
      <w:adjustRightInd w:val="0"/>
      <w:snapToGrid w:val="0"/>
      <w:spacing w:beforeLines="50" w:afterLines="50" w:line="360" w:lineRule="auto"/>
      <w:ind w:firstLine="200" w:firstLineChars="200"/>
      <w:jc w:val="center"/>
    </w:pPr>
    <w:rPr>
      <w:rFonts w:cstheme="majorBidi"/>
      <w:b/>
      <w:kern w:val="0"/>
      <w:szCs w:val="21"/>
    </w:rPr>
  </w:style>
  <w:style w:type="character" w:customStyle="1" w:styleId="2630">
    <w:name w:val="正文 文本 Char"/>
    <w:link w:val="2396"/>
    <w:qFormat/>
    <w:uiPriority w:val="0"/>
    <w:rPr>
      <w:rFonts w:cstheme="majorBidi"/>
      <w:sz w:val="24"/>
      <w:szCs w:val="24"/>
      <w:lang w:val="zh-CN"/>
    </w:rPr>
  </w:style>
  <w:style w:type="paragraph" w:customStyle="1" w:styleId="2631">
    <w:name w:val="样式 标题 3标题 13ReHead 3 WSAh3B HeadH3..标题 3 Char Char标题 3 ..."/>
    <w:basedOn w:val="5"/>
    <w:link w:val="2632"/>
    <w:qFormat/>
    <w:uiPriority w:val="0"/>
    <w:pPr>
      <w:keepNext w:val="0"/>
      <w:keepLines w:val="0"/>
      <w:widowControl/>
      <w:numPr>
        <w:ilvl w:val="0"/>
        <w:numId w:val="0"/>
      </w:numPr>
      <w:adjustRightInd w:val="0"/>
      <w:snapToGrid w:val="0"/>
      <w:spacing w:beforeLines="50" w:afterLines="50" w:line="360" w:lineRule="auto"/>
      <w:jc w:val="left"/>
    </w:pPr>
    <w:rPr>
      <w:rFonts w:ascii="Calibri" w:hAnsi="Calibri" w:eastAsia="宋体" w:cs="宋体"/>
      <w:bCs w:val="0"/>
      <w:iCs/>
      <w:smallCaps/>
      <w:spacing w:val="5"/>
      <w:kern w:val="0"/>
      <w:sz w:val="24"/>
      <w:szCs w:val="24"/>
    </w:rPr>
  </w:style>
  <w:style w:type="character" w:customStyle="1" w:styleId="2632">
    <w:name w:val="样式 标题 3标题 13ReHead 3 WSAh3B HeadH3..标题 3 Char Char标题 3 ... Char"/>
    <w:link w:val="2631"/>
    <w:qFormat/>
    <w:uiPriority w:val="0"/>
    <w:rPr>
      <w:rFonts w:ascii="Calibri" w:hAnsi="Calibri" w:cs="宋体"/>
      <w:b/>
      <w:iCs/>
      <w:smallCaps/>
      <w:spacing w:val="5"/>
      <w:sz w:val="24"/>
      <w:szCs w:val="24"/>
    </w:rPr>
  </w:style>
  <w:style w:type="paragraph" w:customStyle="1" w:styleId="2633">
    <w:name w:val="表格标题（居中）"/>
    <w:basedOn w:val="45"/>
    <w:qFormat/>
    <w:uiPriority w:val="0"/>
    <w:pPr>
      <w:widowControl/>
      <w:tabs>
        <w:tab w:val="left" w:pos="1260"/>
      </w:tabs>
      <w:snapToGrid w:val="0"/>
      <w:spacing w:beforeLines="50" w:afterLines="50" w:line="240" w:lineRule="auto"/>
      <w:ind w:firstLine="200" w:firstLineChars="200"/>
      <w:jc w:val="center"/>
      <w:textAlignment w:val="auto"/>
    </w:pPr>
    <w:rPr>
      <w:rFonts w:ascii="Times New Roman" w:hAnsi="Times New Roman" w:eastAsia="黑体"/>
      <w:color w:val="000000"/>
      <w:sz w:val="24"/>
      <w:szCs w:val="20"/>
    </w:rPr>
  </w:style>
  <w:style w:type="paragraph" w:customStyle="1" w:styleId="2634">
    <w:name w:val="正文正"/>
    <w:basedOn w:val="1"/>
    <w:link w:val="2635"/>
    <w:qFormat/>
    <w:uiPriority w:val="0"/>
    <w:pPr>
      <w:widowControl/>
      <w:spacing w:line="360" w:lineRule="auto"/>
      <w:ind w:firstLine="480" w:firstLineChars="200"/>
      <w:jc w:val="left"/>
    </w:pPr>
    <w:rPr>
      <w:rFonts w:ascii="宋体" w:hAnsi="宋体" w:cstheme="majorBidi"/>
      <w:kern w:val="0"/>
    </w:rPr>
  </w:style>
  <w:style w:type="character" w:customStyle="1" w:styleId="2635">
    <w:name w:val="正文正 Char Char"/>
    <w:link w:val="2634"/>
    <w:qFormat/>
    <w:uiPriority w:val="0"/>
    <w:rPr>
      <w:rFonts w:ascii="宋体" w:hAnsi="宋体" w:cstheme="majorBidi"/>
      <w:sz w:val="24"/>
      <w:szCs w:val="24"/>
    </w:rPr>
  </w:style>
  <w:style w:type="paragraph" w:customStyle="1" w:styleId="2636">
    <w:name w:val="表格体"/>
    <w:basedOn w:val="1"/>
    <w:uiPriority w:val="0"/>
    <w:pPr>
      <w:widowControl/>
      <w:adjustRightInd w:val="0"/>
      <w:snapToGrid w:val="0"/>
      <w:spacing w:line="360" w:lineRule="auto"/>
      <w:ind w:firstLine="200" w:firstLineChars="200"/>
      <w:jc w:val="center"/>
    </w:pPr>
    <w:rPr>
      <w:rFonts w:cstheme="majorBidi"/>
      <w:bCs/>
      <w:kern w:val="0"/>
    </w:rPr>
  </w:style>
  <w:style w:type="paragraph" w:customStyle="1" w:styleId="2637">
    <w:name w:val="样式23"/>
    <w:basedOn w:val="1"/>
    <w:link w:val="2638"/>
    <w:qFormat/>
    <w:uiPriority w:val="0"/>
    <w:pPr>
      <w:keepNext/>
      <w:keepLines/>
      <w:widowControl/>
      <w:tabs>
        <w:tab w:val="left" w:pos="360"/>
        <w:tab w:val="left" w:pos="540"/>
      </w:tabs>
      <w:spacing w:beforeLines="50" w:afterLines="50" w:line="360" w:lineRule="auto"/>
      <w:ind w:firstLine="200" w:firstLineChars="200"/>
      <w:jc w:val="left"/>
      <w:outlineLvl w:val="1"/>
    </w:pPr>
    <w:rPr>
      <w:rFonts w:ascii="宋体" w:hAnsi="宋体" w:eastAsia="黑体" w:cstheme="majorBidi"/>
      <w:kern w:val="0"/>
      <w:sz w:val="28"/>
      <w:szCs w:val="28"/>
    </w:rPr>
  </w:style>
  <w:style w:type="character" w:customStyle="1" w:styleId="2638">
    <w:name w:val="样式23 Char"/>
    <w:link w:val="2637"/>
    <w:qFormat/>
    <w:uiPriority w:val="0"/>
    <w:rPr>
      <w:rFonts w:ascii="宋体" w:hAnsi="宋体" w:eastAsia="黑体" w:cstheme="majorBidi"/>
      <w:sz w:val="28"/>
      <w:szCs w:val="28"/>
    </w:rPr>
  </w:style>
  <w:style w:type="paragraph" w:customStyle="1" w:styleId="2639">
    <w:name w:val="赵正文"/>
    <w:basedOn w:val="1"/>
    <w:qFormat/>
    <w:uiPriority w:val="0"/>
    <w:pPr>
      <w:widowControl/>
      <w:spacing w:line="360" w:lineRule="auto"/>
      <w:ind w:firstLine="200" w:firstLineChars="200"/>
      <w:jc w:val="left"/>
    </w:pPr>
    <w:rPr>
      <w:rFonts w:cstheme="majorBidi"/>
      <w:bCs/>
      <w:kern w:val="0"/>
    </w:rPr>
  </w:style>
  <w:style w:type="paragraph" w:customStyle="1" w:styleId="2640">
    <w:name w:val="CM40"/>
    <w:basedOn w:val="397"/>
    <w:next w:val="397"/>
    <w:qFormat/>
    <w:uiPriority w:val="99"/>
    <w:pPr>
      <w:spacing w:line="480" w:lineRule="atLeast"/>
    </w:pPr>
    <w:rPr>
      <w:rFonts w:hAnsi="Times New Roman" w:cs="Times New Roman"/>
      <w:color w:val="auto"/>
    </w:rPr>
  </w:style>
  <w:style w:type="paragraph" w:customStyle="1" w:styleId="2641">
    <w:name w:val="正文-叶"/>
    <w:basedOn w:val="1"/>
    <w:qFormat/>
    <w:uiPriority w:val="0"/>
    <w:pPr>
      <w:widowControl/>
      <w:topLinePunct/>
      <w:spacing w:line="312" w:lineRule="auto"/>
      <w:ind w:firstLine="465" w:firstLineChars="200"/>
      <w:jc w:val="left"/>
    </w:pPr>
    <w:rPr>
      <w:rFonts w:cstheme="majorBidi"/>
      <w:kern w:val="0"/>
      <w:szCs w:val="20"/>
    </w:rPr>
  </w:style>
  <w:style w:type="character" w:customStyle="1" w:styleId="2642">
    <w:name w:val="报告 Char"/>
    <w:link w:val="2539"/>
    <w:qFormat/>
    <w:locked/>
    <w:uiPriority w:val="0"/>
    <w:rPr>
      <w:rFonts w:cstheme="majorBidi"/>
      <w:sz w:val="24"/>
    </w:rPr>
  </w:style>
  <w:style w:type="character" w:customStyle="1" w:styleId="2643">
    <w:name w:val="表 Char"/>
    <w:link w:val="367"/>
    <w:qFormat/>
    <w:uiPriority w:val="0"/>
    <w:rPr>
      <w:kern w:val="10"/>
      <w:sz w:val="24"/>
      <w:szCs w:val="24"/>
      <w:lang w:bidi="he-IL"/>
    </w:rPr>
  </w:style>
  <w:style w:type="paragraph" w:customStyle="1" w:styleId="2644">
    <w:name w:val="样式 标题3YHY + 黑色 段前: 0.5 行 段后: 0.5 行"/>
    <w:basedOn w:val="1"/>
    <w:link w:val="2645"/>
    <w:uiPriority w:val="0"/>
    <w:pPr>
      <w:keepNext/>
      <w:keepLines/>
      <w:widowControl/>
      <w:spacing w:beforeLines="50" w:afterLines="50" w:line="360" w:lineRule="auto"/>
      <w:ind w:firstLine="200" w:firstLineChars="200"/>
      <w:jc w:val="left"/>
      <w:outlineLvl w:val="2"/>
    </w:pPr>
    <w:rPr>
      <w:rFonts w:cstheme="majorBidi"/>
      <w:b/>
      <w:bCs/>
      <w:color w:val="000000"/>
      <w:kern w:val="0"/>
    </w:rPr>
  </w:style>
  <w:style w:type="character" w:customStyle="1" w:styleId="2645">
    <w:name w:val="样式 标题3YHY + 黑色 段前: 0.5 行 段后: 0.5 行 Char"/>
    <w:link w:val="2644"/>
    <w:qFormat/>
    <w:uiPriority w:val="0"/>
    <w:rPr>
      <w:rFonts w:cstheme="majorBidi"/>
      <w:b/>
      <w:bCs/>
      <w:color w:val="000000"/>
      <w:sz w:val="24"/>
      <w:szCs w:val="24"/>
    </w:rPr>
  </w:style>
  <w:style w:type="paragraph" w:customStyle="1" w:styleId="2646">
    <w:name w:val="表样式1"/>
    <w:basedOn w:val="1"/>
    <w:qFormat/>
    <w:uiPriority w:val="0"/>
    <w:pPr>
      <w:widowControl/>
      <w:spacing w:line="380" w:lineRule="exact"/>
      <w:ind w:right="-275" w:rightChars="-131" w:firstLine="200" w:firstLineChars="200"/>
      <w:jc w:val="left"/>
    </w:pPr>
    <w:rPr>
      <w:rFonts w:ascii="宋体" w:hAnsi="宋体" w:cstheme="majorBidi"/>
      <w:kern w:val="0"/>
      <w:szCs w:val="21"/>
    </w:rPr>
  </w:style>
  <w:style w:type="paragraph" w:customStyle="1" w:styleId="2647">
    <w:name w:val="小四表文居中"/>
    <w:qFormat/>
    <w:uiPriority w:val="0"/>
    <w:pPr>
      <w:widowControl w:val="0"/>
      <w:snapToGrid w:val="0"/>
      <w:spacing w:line="360" w:lineRule="auto"/>
      <w:jc w:val="center"/>
    </w:pPr>
    <w:rPr>
      <w:rFonts w:ascii="Times New Roman" w:hAnsi="Times New Roman" w:eastAsiaTheme="majorEastAsia" w:cstheme="majorBidi"/>
      <w:kern w:val="2"/>
      <w:sz w:val="21"/>
      <w:szCs w:val="24"/>
      <w:lang w:val="en-US" w:eastAsia="zh-CN" w:bidi="ar-SA"/>
    </w:rPr>
  </w:style>
  <w:style w:type="paragraph" w:customStyle="1" w:styleId="2648">
    <w:name w:val="字紧0.2"/>
    <w:basedOn w:val="1"/>
    <w:link w:val="2649"/>
    <w:qFormat/>
    <w:uiPriority w:val="0"/>
    <w:pPr>
      <w:widowControl/>
      <w:adjustRightInd w:val="0"/>
      <w:snapToGrid w:val="0"/>
      <w:spacing w:line="336" w:lineRule="auto"/>
      <w:ind w:firstLine="200" w:firstLineChars="200"/>
      <w:jc w:val="left"/>
    </w:pPr>
    <w:rPr>
      <w:rFonts w:ascii="宋体" w:hAnsi="宋体" w:cstheme="majorBidi"/>
      <w:bCs/>
      <w:color w:val="000000"/>
      <w:spacing w:val="-4"/>
      <w:kern w:val="0"/>
      <w:sz w:val="28"/>
      <w:szCs w:val="28"/>
    </w:rPr>
  </w:style>
  <w:style w:type="character" w:customStyle="1" w:styleId="2649">
    <w:name w:val="字紧0.2 Char1"/>
    <w:link w:val="2648"/>
    <w:qFormat/>
    <w:uiPriority w:val="0"/>
    <w:rPr>
      <w:rFonts w:ascii="宋体" w:hAnsi="宋体" w:cstheme="majorBidi"/>
      <w:bCs/>
      <w:color w:val="000000"/>
      <w:spacing w:val="-4"/>
      <w:sz w:val="28"/>
      <w:szCs w:val="28"/>
    </w:rPr>
  </w:style>
  <w:style w:type="paragraph" w:customStyle="1" w:styleId="2650">
    <w:name w:val="CM74"/>
    <w:basedOn w:val="397"/>
    <w:next w:val="397"/>
    <w:uiPriority w:val="99"/>
    <w:pPr>
      <w:spacing w:after="195" w:line="360" w:lineRule="auto"/>
    </w:pPr>
    <w:rPr>
      <w:rFonts w:hAnsi="Times New Roman" w:cs="Times New Roman"/>
      <w:color w:val="auto"/>
    </w:rPr>
  </w:style>
  <w:style w:type="paragraph" w:customStyle="1" w:styleId="2651">
    <w:name w:val="中大表格内容"/>
    <w:basedOn w:val="2652"/>
    <w:qFormat/>
    <w:uiPriority w:val="0"/>
    <w:pPr>
      <w:spacing w:line="240" w:lineRule="auto"/>
      <w:jc w:val="center"/>
    </w:pPr>
    <w:rPr>
      <w:sz w:val="21"/>
      <w:szCs w:val="21"/>
    </w:rPr>
  </w:style>
  <w:style w:type="paragraph" w:customStyle="1" w:styleId="2652">
    <w:name w:val="中大正文"/>
    <w:basedOn w:val="1"/>
    <w:uiPriority w:val="0"/>
    <w:pPr>
      <w:widowControl/>
      <w:autoSpaceDE w:val="0"/>
      <w:autoSpaceDN w:val="0"/>
      <w:adjustRightInd w:val="0"/>
      <w:snapToGrid w:val="0"/>
      <w:spacing w:line="360" w:lineRule="auto"/>
      <w:ind w:firstLine="200" w:firstLineChars="200"/>
      <w:jc w:val="left"/>
    </w:pPr>
    <w:rPr>
      <w:rFonts w:cs="Arial"/>
      <w:kern w:val="0"/>
      <w:szCs w:val="22"/>
      <w:lang w:val="zh-CN"/>
    </w:rPr>
  </w:style>
  <w:style w:type="paragraph" w:customStyle="1" w:styleId="2653">
    <w:name w:val="样式30"/>
    <w:basedOn w:val="1"/>
    <w:link w:val="2654"/>
    <w:qFormat/>
    <w:uiPriority w:val="0"/>
    <w:pPr>
      <w:widowControl/>
      <w:snapToGrid w:val="0"/>
      <w:spacing w:beforeLines="50" w:afterLines="50" w:line="360" w:lineRule="auto"/>
      <w:ind w:firstLine="200" w:firstLineChars="200"/>
      <w:jc w:val="left"/>
    </w:pPr>
    <w:rPr>
      <w:rFonts w:cstheme="majorBidi"/>
      <w:color w:val="000000"/>
      <w:kern w:val="0"/>
      <w:szCs w:val="20"/>
    </w:rPr>
  </w:style>
  <w:style w:type="character" w:customStyle="1" w:styleId="2654">
    <w:name w:val="样式30 Char"/>
    <w:link w:val="2653"/>
    <w:qFormat/>
    <w:uiPriority w:val="0"/>
    <w:rPr>
      <w:rFonts w:cstheme="majorBidi"/>
      <w:color w:val="000000"/>
      <w:sz w:val="24"/>
    </w:rPr>
  </w:style>
  <w:style w:type="paragraph" w:customStyle="1" w:styleId="2655">
    <w:name w:val="表格03"/>
    <w:basedOn w:val="1"/>
    <w:qFormat/>
    <w:uiPriority w:val="0"/>
    <w:pPr>
      <w:widowControl/>
      <w:spacing w:line="400" w:lineRule="exact"/>
      <w:ind w:firstLine="200" w:firstLineChars="200"/>
      <w:jc w:val="center"/>
    </w:pPr>
    <w:rPr>
      <w:rFonts w:cstheme="majorBidi"/>
      <w:kern w:val="0"/>
      <w:szCs w:val="21"/>
    </w:rPr>
  </w:style>
  <w:style w:type="paragraph" w:customStyle="1" w:styleId="2656">
    <w:name w:val="CM7"/>
    <w:basedOn w:val="397"/>
    <w:next w:val="397"/>
    <w:qFormat/>
    <w:uiPriority w:val="0"/>
    <w:pPr>
      <w:spacing w:line="471" w:lineRule="atLeast"/>
    </w:pPr>
    <w:rPr>
      <w:rFonts w:hAnsi="Times New Roman" w:cs="Times New Roman"/>
      <w:color w:val="auto"/>
    </w:rPr>
  </w:style>
  <w:style w:type="paragraph" w:customStyle="1" w:styleId="2657">
    <w:name w:val="CM43"/>
    <w:basedOn w:val="397"/>
    <w:next w:val="397"/>
    <w:qFormat/>
    <w:uiPriority w:val="99"/>
    <w:pPr>
      <w:spacing w:line="480" w:lineRule="atLeast"/>
    </w:pPr>
    <w:rPr>
      <w:rFonts w:hAnsi="Times New Roman" w:cs="Times New Roman"/>
      <w:color w:val="auto"/>
    </w:rPr>
  </w:style>
  <w:style w:type="paragraph" w:customStyle="1" w:styleId="2658">
    <w:name w:val="F正文"/>
    <w:qFormat/>
    <w:uiPriority w:val="0"/>
    <w:pPr>
      <w:widowControl w:val="0"/>
      <w:adjustRightInd w:val="0"/>
      <w:spacing w:line="360" w:lineRule="atLeast"/>
      <w:textAlignment w:val="baseline"/>
    </w:pPr>
    <w:rPr>
      <w:rFonts w:ascii="Times New Roman" w:hAnsi="Times New Roman" w:eastAsiaTheme="majorEastAsia" w:cstheme="majorBidi"/>
      <w:spacing w:val="12"/>
      <w:sz w:val="24"/>
      <w:szCs w:val="22"/>
      <w:lang w:val="en-US" w:eastAsia="zh-CN" w:bidi="ar-SA"/>
    </w:rPr>
  </w:style>
  <w:style w:type="paragraph" w:customStyle="1" w:styleId="2659">
    <w:name w:val="样式 宋体"/>
    <w:basedOn w:val="1"/>
    <w:qFormat/>
    <w:uiPriority w:val="0"/>
    <w:pPr>
      <w:widowControl/>
      <w:spacing w:line="360" w:lineRule="auto"/>
      <w:ind w:firstLine="200" w:firstLineChars="200"/>
      <w:jc w:val="left"/>
    </w:pPr>
    <w:rPr>
      <w:rFonts w:ascii="宋体" w:hAnsi="宋体" w:cs="宋体"/>
      <w:kern w:val="0"/>
      <w:szCs w:val="20"/>
    </w:rPr>
  </w:style>
  <w:style w:type="paragraph" w:customStyle="1" w:styleId="2660">
    <w:name w:val="3 Char"/>
    <w:basedOn w:val="1"/>
    <w:qFormat/>
    <w:uiPriority w:val="99"/>
    <w:pPr>
      <w:widowControl/>
      <w:spacing w:line="360" w:lineRule="auto"/>
      <w:ind w:firstLine="200" w:firstLineChars="200"/>
      <w:jc w:val="left"/>
    </w:pPr>
    <w:rPr>
      <w:rFonts w:cstheme="majorBidi"/>
      <w:kern w:val="0"/>
      <w:szCs w:val="21"/>
    </w:rPr>
  </w:style>
  <w:style w:type="paragraph" w:customStyle="1" w:styleId="2661">
    <w:name w:val="char"/>
    <w:basedOn w:val="1"/>
    <w:uiPriority w:val="0"/>
    <w:pPr>
      <w:widowControl/>
      <w:spacing w:after="160" w:line="240" w:lineRule="exact"/>
      <w:ind w:firstLine="200" w:firstLineChars="200"/>
      <w:jc w:val="left"/>
    </w:pPr>
    <w:rPr>
      <w:rFonts w:ascii="Verdana" w:hAnsi="Verdana" w:eastAsia="仿宋_GB2312" w:cs="”“Times New Roman”“"/>
      <w:kern w:val="0"/>
      <w:szCs w:val="20"/>
      <w:lang w:eastAsia="en-US"/>
    </w:rPr>
  </w:style>
  <w:style w:type="paragraph" w:customStyle="1" w:styleId="2662">
    <w:name w:val="样式 宋体 四号1"/>
    <w:basedOn w:val="1"/>
    <w:next w:val="44"/>
    <w:qFormat/>
    <w:uiPriority w:val="0"/>
    <w:pPr>
      <w:widowControl/>
      <w:spacing w:line="360" w:lineRule="auto"/>
      <w:ind w:firstLine="560" w:firstLineChars="200"/>
      <w:jc w:val="left"/>
    </w:pPr>
    <w:rPr>
      <w:rFonts w:ascii="宋体" w:hAnsi="宋体" w:cs="宋体"/>
      <w:kern w:val="0"/>
      <w:sz w:val="28"/>
      <w:szCs w:val="20"/>
    </w:rPr>
  </w:style>
  <w:style w:type="character" w:customStyle="1" w:styleId="2663">
    <w:name w:val="正文(首行缩进) Char"/>
    <w:link w:val="366"/>
    <w:qFormat/>
    <w:uiPriority w:val="0"/>
    <w:rPr>
      <w:rFonts w:ascii="宋体" w:hAnsi="宋体"/>
      <w:snapToGrid w:val="0"/>
      <w:sz w:val="24"/>
      <w:szCs w:val="24"/>
    </w:rPr>
  </w:style>
  <w:style w:type="paragraph" w:customStyle="1" w:styleId="2664">
    <w:name w:val="样式115"/>
    <w:basedOn w:val="1"/>
    <w:link w:val="2665"/>
    <w:qFormat/>
    <w:uiPriority w:val="0"/>
    <w:pPr>
      <w:widowControl/>
      <w:spacing w:beforeLines="50" w:afterLines="50" w:line="360" w:lineRule="auto"/>
      <w:ind w:firstLine="480" w:firstLineChars="200"/>
      <w:jc w:val="left"/>
    </w:pPr>
    <w:rPr>
      <w:rFonts w:cstheme="majorBidi"/>
      <w:kern w:val="0"/>
    </w:rPr>
  </w:style>
  <w:style w:type="character" w:customStyle="1" w:styleId="2665">
    <w:name w:val="样式115 Char"/>
    <w:link w:val="2664"/>
    <w:qFormat/>
    <w:uiPriority w:val="0"/>
    <w:rPr>
      <w:rFonts w:cstheme="majorBidi"/>
      <w:sz w:val="24"/>
      <w:szCs w:val="24"/>
    </w:rPr>
  </w:style>
  <w:style w:type="paragraph" w:customStyle="1" w:styleId="2666">
    <w:name w:val="正文小4黑体"/>
    <w:basedOn w:val="2667"/>
    <w:link w:val="2668"/>
    <w:qFormat/>
    <w:uiPriority w:val="0"/>
    <w:pPr>
      <w:jc w:val="center"/>
    </w:pPr>
    <w:rPr>
      <w:b/>
    </w:rPr>
  </w:style>
  <w:style w:type="paragraph" w:customStyle="1" w:styleId="2667">
    <w:name w:val="正文小4"/>
    <w:basedOn w:val="34"/>
    <w:next w:val="34"/>
    <w:link w:val="2731"/>
    <w:qFormat/>
    <w:uiPriority w:val="0"/>
    <w:pPr>
      <w:widowControl/>
      <w:spacing w:line="360" w:lineRule="auto"/>
      <w:ind w:firstLine="200" w:firstLineChars="200"/>
      <w:jc w:val="left"/>
    </w:pPr>
    <w:rPr>
      <w:rFonts w:cstheme="majorBidi"/>
      <w:kern w:val="0"/>
      <w:sz w:val="24"/>
    </w:rPr>
  </w:style>
  <w:style w:type="character" w:customStyle="1" w:styleId="2668">
    <w:name w:val="正文小4黑体 Char"/>
    <w:link w:val="2666"/>
    <w:qFormat/>
    <w:uiPriority w:val="0"/>
    <w:rPr>
      <w:rFonts w:cstheme="majorBidi"/>
      <w:b/>
      <w:sz w:val="24"/>
      <w:szCs w:val="24"/>
    </w:rPr>
  </w:style>
  <w:style w:type="character" w:customStyle="1" w:styleId="2669">
    <w:name w:val="样式9 Char"/>
    <w:link w:val="621"/>
    <w:qFormat/>
    <w:uiPriority w:val="0"/>
    <w:rPr>
      <w:kern w:val="2"/>
      <w:sz w:val="18"/>
      <w:szCs w:val="18"/>
    </w:rPr>
  </w:style>
  <w:style w:type="paragraph" w:customStyle="1" w:styleId="2670">
    <w:name w:val="Char Char Char Char Char Char Char Char Char Char Char Char Char Char Char Char Char Char"/>
    <w:basedOn w:val="1"/>
    <w:qFormat/>
    <w:uiPriority w:val="0"/>
    <w:pPr>
      <w:widowControl/>
      <w:spacing w:line="360" w:lineRule="auto"/>
      <w:ind w:firstLine="200" w:firstLineChars="200"/>
      <w:jc w:val="left"/>
    </w:pPr>
    <w:rPr>
      <w:rFonts w:cstheme="majorBidi"/>
      <w:kern w:val="0"/>
    </w:rPr>
  </w:style>
  <w:style w:type="character" w:customStyle="1" w:styleId="2671">
    <w:name w:val="我的标题3 Char"/>
    <w:link w:val="379"/>
    <w:qFormat/>
    <w:uiPriority w:val="0"/>
    <w:rPr>
      <w:rFonts w:eastAsia="黑体"/>
      <w:kern w:val="2"/>
      <w:sz w:val="28"/>
      <w:szCs w:val="24"/>
    </w:rPr>
  </w:style>
  <w:style w:type="paragraph" w:customStyle="1" w:styleId="2672">
    <w:name w:val="_Style 4"/>
    <w:basedOn w:val="1"/>
    <w:qFormat/>
    <w:uiPriority w:val="99"/>
    <w:pPr>
      <w:widowControl/>
      <w:spacing w:line="360" w:lineRule="auto"/>
      <w:ind w:firstLine="200" w:firstLineChars="200"/>
      <w:jc w:val="left"/>
    </w:pPr>
    <w:rPr>
      <w:rFonts w:cstheme="majorBidi"/>
      <w:kern w:val="0"/>
      <w:szCs w:val="20"/>
    </w:rPr>
  </w:style>
  <w:style w:type="paragraph" w:customStyle="1" w:styleId="2673">
    <w:name w:val="CM27"/>
    <w:basedOn w:val="397"/>
    <w:next w:val="397"/>
    <w:qFormat/>
    <w:uiPriority w:val="0"/>
    <w:pPr>
      <w:spacing w:line="480" w:lineRule="atLeast"/>
    </w:pPr>
    <w:rPr>
      <w:rFonts w:hAnsi="Times New Roman" w:cs="Times New Roman"/>
      <w:color w:val="auto"/>
    </w:rPr>
  </w:style>
  <w:style w:type="paragraph" w:customStyle="1" w:styleId="2674">
    <w:name w:val="样式47"/>
    <w:basedOn w:val="1"/>
    <w:uiPriority w:val="0"/>
    <w:pPr>
      <w:widowControl/>
      <w:adjustRightInd w:val="0"/>
      <w:snapToGrid w:val="0"/>
      <w:spacing w:before="50" w:after="50" w:line="360" w:lineRule="auto"/>
      <w:ind w:firstLine="480" w:firstLineChars="200"/>
      <w:jc w:val="left"/>
    </w:pPr>
    <w:rPr>
      <w:rFonts w:cstheme="majorBidi"/>
      <w:color w:val="000000"/>
      <w:kern w:val="0"/>
    </w:rPr>
  </w:style>
  <w:style w:type="paragraph" w:customStyle="1" w:styleId="2675">
    <w:name w:val="default"/>
    <w:basedOn w:val="1"/>
    <w:uiPriority w:val="99"/>
    <w:pPr>
      <w:widowControl/>
      <w:spacing w:before="100" w:beforeAutospacing="1" w:after="100" w:afterAutospacing="1" w:line="360" w:lineRule="auto"/>
      <w:ind w:firstLine="200" w:firstLineChars="200"/>
      <w:jc w:val="left"/>
    </w:pPr>
    <w:rPr>
      <w:rFonts w:ascii="宋体" w:hAnsi="宋体" w:cs="宋体"/>
      <w:kern w:val="0"/>
    </w:rPr>
  </w:style>
  <w:style w:type="paragraph" w:customStyle="1" w:styleId="2676">
    <w:name w:val="样式92"/>
    <w:basedOn w:val="1"/>
    <w:qFormat/>
    <w:uiPriority w:val="0"/>
    <w:pPr>
      <w:widowControl/>
      <w:spacing w:line="360" w:lineRule="auto"/>
      <w:ind w:firstLine="207" w:firstLineChars="98"/>
      <w:jc w:val="center"/>
    </w:pPr>
    <w:rPr>
      <w:rFonts w:cstheme="majorBidi"/>
      <w:b/>
      <w:color w:val="000000"/>
      <w:kern w:val="0"/>
      <w:szCs w:val="21"/>
    </w:rPr>
  </w:style>
  <w:style w:type="paragraph" w:customStyle="1" w:styleId="2677">
    <w:name w:val="样式 标题 2标题 21标题 121标题 2 Char1 Char节H2节标题 1.1节标题 1.1 Char...2"/>
    <w:basedOn w:val="4"/>
    <w:link w:val="2678"/>
    <w:qFormat/>
    <w:uiPriority w:val="0"/>
    <w:pPr>
      <w:keepNext w:val="0"/>
      <w:keepLines w:val="0"/>
      <w:widowControl/>
      <w:numPr>
        <w:ilvl w:val="0"/>
        <w:numId w:val="0"/>
      </w:numPr>
      <w:tabs>
        <w:tab w:val="left" w:pos="567"/>
      </w:tabs>
      <w:adjustRightInd w:val="0"/>
      <w:spacing w:before="260" w:beforeLines="100" w:after="100"/>
      <w:ind w:left="567" w:hanging="567"/>
      <w:jc w:val="left"/>
      <w:textAlignment w:val="baseline"/>
    </w:pPr>
    <w:rPr>
      <w:rFonts w:ascii="Calibri" w:hAnsi="Calibri"/>
      <w:b w:val="0"/>
      <w:smallCaps/>
      <w:color w:val="000000"/>
      <w:kern w:val="0"/>
      <w:sz w:val="28"/>
      <w:szCs w:val="20"/>
    </w:rPr>
  </w:style>
  <w:style w:type="character" w:customStyle="1" w:styleId="2678">
    <w:name w:val="样式 标题 2标题 21标题 121标题 2 Char1 Char节H2节标题 1.1节标题 1.1 Char...2 Char"/>
    <w:link w:val="2677"/>
    <w:qFormat/>
    <w:uiPriority w:val="0"/>
    <w:rPr>
      <w:rFonts w:ascii="Calibri" w:hAnsi="Calibri" w:eastAsia="黑体"/>
      <w:bCs/>
      <w:smallCaps/>
      <w:color w:val="000000"/>
      <w:sz w:val="28"/>
    </w:rPr>
  </w:style>
  <w:style w:type="paragraph" w:customStyle="1" w:styleId="2679">
    <w:name w:val="Char Char Char Char Char Char1 Char2"/>
    <w:basedOn w:val="1"/>
    <w:qFormat/>
    <w:uiPriority w:val="99"/>
    <w:pPr>
      <w:widowControl/>
      <w:spacing w:after="160" w:line="240" w:lineRule="exact"/>
      <w:ind w:firstLine="200" w:firstLineChars="200"/>
      <w:jc w:val="left"/>
    </w:pPr>
    <w:rPr>
      <w:rFonts w:ascii="Arial" w:hAnsi="Arial" w:eastAsia="Times New Roman" w:cs="Verdana"/>
      <w:b/>
      <w:kern w:val="0"/>
      <w:szCs w:val="20"/>
      <w:lang w:eastAsia="en-US"/>
    </w:rPr>
  </w:style>
  <w:style w:type="paragraph" w:customStyle="1" w:styleId="2680">
    <w:name w:val="样式51"/>
    <w:basedOn w:val="621"/>
    <w:link w:val="2681"/>
    <w:qFormat/>
    <w:uiPriority w:val="0"/>
    <w:pPr>
      <w:keepNext/>
      <w:keepLines/>
      <w:widowControl/>
      <w:pBdr>
        <w:top w:val="none" w:color="auto" w:sz="0" w:space="0"/>
      </w:pBdr>
      <w:tabs>
        <w:tab w:val="left" w:pos="720"/>
        <w:tab w:val="clear" w:pos="4153"/>
        <w:tab w:val="clear" w:pos="8306"/>
      </w:tabs>
      <w:snapToGrid/>
      <w:spacing w:before="50" w:after="50" w:line="360" w:lineRule="auto"/>
      <w:ind w:left="720" w:hanging="720" w:firstLineChars="200"/>
      <w:outlineLvl w:val="2"/>
    </w:pPr>
    <w:rPr>
      <w:rFonts w:ascii="宋体" w:hAnsi="宋体" w:cs="MS Sans Serif"/>
      <w:b/>
      <w:color w:val="000000"/>
      <w:kern w:val="0"/>
      <w:sz w:val="24"/>
      <w:szCs w:val="20"/>
    </w:rPr>
  </w:style>
  <w:style w:type="character" w:customStyle="1" w:styleId="2681">
    <w:name w:val="样式51 Char"/>
    <w:link w:val="2680"/>
    <w:qFormat/>
    <w:uiPriority w:val="0"/>
    <w:rPr>
      <w:rFonts w:ascii="宋体" w:hAnsi="宋体" w:cs="MS Sans Serif"/>
      <w:b/>
      <w:color w:val="000000"/>
      <w:sz w:val="24"/>
    </w:rPr>
  </w:style>
  <w:style w:type="paragraph" w:customStyle="1" w:styleId="2682">
    <w:name w:val="Char Char Char Char Char Char Char Char Char Char Char Char Char Char Char Char Char Char Char Char Char Char Char Char Char Char Char Char Char Char Char Char Char Char Char Char Char Char Char Char Char Char Char"/>
    <w:basedOn w:val="1"/>
    <w:next w:val="1"/>
    <w:uiPriority w:val="0"/>
    <w:pPr>
      <w:widowControl/>
      <w:spacing w:line="360" w:lineRule="auto"/>
      <w:ind w:firstLine="200" w:firstLineChars="200"/>
      <w:jc w:val="left"/>
    </w:pPr>
    <w:rPr>
      <w:rFonts w:cstheme="majorBidi"/>
      <w:kern w:val="0"/>
      <w:szCs w:val="20"/>
    </w:rPr>
  </w:style>
  <w:style w:type="paragraph" w:customStyle="1" w:styleId="2683">
    <w:name w:val="CM28"/>
    <w:basedOn w:val="397"/>
    <w:next w:val="397"/>
    <w:qFormat/>
    <w:uiPriority w:val="0"/>
    <w:pPr>
      <w:spacing w:line="480" w:lineRule="atLeast"/>
    </w:pPr>
    <w:rPr>
      <w:rFonts w:hAnsi="Times New Roman" w:cs="Times New Roman"/>
      <w:color w:val="auto"/>
    </w:rPr>
  </w:style>
  <w:style w:type="character" w:customStyle="1" w:styleId="2684">
    <w:name w:val="表注 Char"/>
    <w:link w:val="486"/>
    <w:qFormat/>
    <w:uiPriority w:val="0"/>
    <w:rPr>
      <w:b/>
      <w:bCs/>
      <w:spacing w:val="20"/>
      <w:sz w:val="28"/>
      <w:szCs w:val="28"/>
    </w:rPr>
  </w:style>
  <w:style w:type="paragraph" w:customStyle="1" w:styleId="2685">
    <w:name w:val="样式 样式 样式 华文细黑 + 首行缩进:  2 字符 + 首行缩进:  2 字符"/>
    <w:basedOn w:val="1"/>
    <w:qFormat/>
    <w:uiPriority w:val="99"/>
    <w:pPr>
      <w:widowControl/>
      <w:snapToGrid w:val="0"/>
      <w:spacing w:beforeLines="50" w:afterLines="50" w:line="480" w:lineRule="exact"/>
      <w:ind w:firstLine="200" w:firstLineChars="200"/>
      <w:jc w:val="left"/>
    </w:pPr>
    <w:rPr>
      <w:rFonts w:ascii="仿宋_GB2312" w:hAnsi="华文细黑" w:eastAsia="仿宋_GB2312" w:cs="宋体"/>
      <w:kern w:val="0"/>
      <w:sz w:val="28"/>
      <w:szCs w:val="20"/>
      <w:lang w:val="zh-CN"/>
    </w:rPr>
  </w:style>
  <w:style w:type="paragraph" w:customStyle="1" w:styleId="2686">
    <w:name w:val="我的样式（正文）"/>
    <w:basedOn w:val="1"/>
    <w:qFormat/>
    <w:uiPriority w:val="0"/>
    <w:pPr>
      <w:widowControl/>
      <w:spacing w:line="440" w:lineRule="exact"/>
      <w:ind w:firstLine="200" w:firstLineChars="200"/>
      <w:jc w:val="left"/>
    </w:pPr>
    <w:rPr>
      <w:rFonts w:ascii="宋体" w:cstheme="majorBidi"/>
      <w:kern w:val="0"/>
      <w:sz w:val="28"/>
      <w:szCs w:val="20"/>
    </w:rPr>
  </w:style>
  <w:style w:type="character" w:customStyle="1" w:styleId="2687">
    <w:name w:val="表名 Char1"/>
    <w:qFormat/>
    <w:uiPriority w:val="0"/>
    <w:rPr>
      <w:rFonts w:ascii="Times New Roman" w:hAnsi="Times New Roman" w:eastAsia="黑体"/>
      <w:sz w:val="24"/>
    </w:rPr>
  </w:style>
  <w:style w:type="paragraph" w:customStyle="1" w:styleId="2688">
    <w:name w:val="样式 表头 + 段前: 0.5 行 行距: 1.5 倍行距"/>
    <w:basedOn w:val="45"/>
    <w:link w:val="2689"/>
    <w:qFormat/>
    <w:uiPriority w:val="99"/>
    <w:pPr>
      <w:widowControl/>
      <w:overflowPunct w:val="0"/>
      <w:autoSpaceDE w:val="0"/>
      <w:autoSpaceDN w:val="0"/>
      <w:spacing w:before="120" w:beforeLines="50" w:line="360" w:lineRule="auto"/>
      <w:ind w:firstLine="422" w:firstLineChars="200"/>
      <w:textAlignment w:val="bottom"/>
    </w:pPr>
    <w:rPr>
      <w:rFonts w:ascii="黑体" w:hAnsi="宋体" w:eastAsia="黑体" w:cstheme="majorBidi"/>
      <w:b/>
      <w:bCs/>
      <w:kern w:val="2"/>
      <w:szCs w:val="22"/>
      <w:u w:color="000000"/>
    </w:rPr>
  </w:style>
  <w:style w:type="character" w:customStyle="1" w:styleId="2689">
    <w:name w:val="样式 表头 + 段前: 0.5 行 行距: 1.5 倍行距 Char"/>
    <w:link w:val="2688"/>
    <w:qFormat/>
    <w:uiPriority w:val="99"/>
    <w:rPr>
      <w:rFonts w:ascii="黑体" w:hAnsi="宋体" w:eastAsia="黑体" w:cstheme="majorBidi"/>
      <w:b/>
      <w:bCs/>
      <w:kern w:val="2"/>
      <w:sz w:val="21"/>
      <w:szCs w:val="22"/>
      <w:u w:color="000000"/>
    </w:rPr>
  </w:style>
  <w:style w:type="paragraph" w:customStyle="1" w:styleId="2690">
    <w:name w:val="图文框"/>
    <w:basedOn w:val="1"/>
    <w:qFormat/>
    <w:uiPriority w:val="0"/>
    <w:pPr>
      <w:widowControl/>
      <w:spacing w:line="360" w:lineRule="auto"/>
      <w:ind w:firstLine="200" w:firstLineChars="200"/>
      <w:jc w:val="center"/>
    </w:pPr>
    <w:rPr>
      <w:rFonts w:cstheme="majorBidi"/>
      <w:kern w:val="18"/>
    </w:rPr>
  </w:style>
  <w:style w:type="paragraph" w:customStyle="1" w:styleId="2691">
    <w:name w:val="列出段落12"/>
    <w:basedOn w:val="1"/>
    <w:link w:val="2692"/>
    <w:uiPriority w:val="0"/>
    <w:pPr>
      <w:widowControl/>
      <w:spacing w:line="360" w:lineRule="auto"/>
      <w:ind w:firstLine="420" w:firstLineChars="200"/>
      <w:jc w:val="left"/>
    </w:pPr>
    <w:rPr>
      <w:rFonts w:ascii="等线" w:hAnsi="等线" w:eastAsia="等线" w:cstheme="majorBidi"/>
      <w:kern w:val="0"/>
      <w:szCs w:val="22"/>
    </w:rPr>
  </w:style>
  <w:style w:type="character" w:customStyle="1" w:styleId="2692">
    <w:name w:val="列出段落 Char"/>
    <w:link w:val="2691"/>
    <w:qFormat/>
    <w:uiPriority w:val="0"/>
    <w:rPr>
      <w:rFonts w:ascii="等线" w:hAnsi="等线" w:eastAsia="等线" w:cstheme="majorBidi"/>
      <w:sz w:val="24"/>
      <w:szCs w:val="22"/>
    </w:rPr>
  </w:style>
  <w:style w:type="paragraph" w:customStyle="1" w:styleId="2693">
    <w:name w:val="Char1 Char Char Char"/>
    <w:basedOn w:val="1"/>
    <w:uiPriority w:val="0"/>
    <w:pPr>
      <w:widowControl/>
      <w:spacing w:line="360" w:lineRule="auto"/>
      <w:ind w:firstLine="200" w:firstLineChars="200"/>
      <w:jc w:val="left"/>
    </w:pPr>
    <w:rPr>
      <w:rFonts w:cstheme="majorBidi"/>
      <w:kern w:val="0"/>
    </w:rPr>
  </w:style>
  <w:style w:type="paragraph" w:customStyle="1" w:styleId="2694">
    <w:name w:val="xl135"/>
    <w:basedOn w:val="1"/>
    <w:qFormat/>
    <w:uiPriority w:val="0"/>
    <w:pPr>
      <w:widowControl/>
      <w:pBdr>
        <w:top w:val="single" w:color="auto" w:sz="4" w:space="0"/>
        <w:left w:val="single" w:color="auto" w:sz="4" w:space="0"/>
        <w:bottom w:val="single" w:color="auto" w:sz="4" w:space="0"/>
        <w:right w:val="single" w:color="auto" w:sz="4" w:space="0"/>
      </w:pBdr>
      <w:shd w:val="clear" w:color="000000" w:fill="FFFFFF"/>
      <w:spacing w:before="100" w:beforeAutospacing="1" w:after="100" w:afterAutospacing="1" w:line="360" w:lineRule="auto"/>
      <w:ind w:firstLine="200" w:firstLineChars="200"/>
      <w:jc w:val="center"/>
    </w:pPr>
    <w:rPr>
      <w:rFonts w:ascii="宋体" w:hAnsi="宋体" w:cs="宋体"/>
      <w:b/>
      <w:bCs/>
      <w:kern w:val="0"/>
      <w:sz w:val="20"/>
      <w:szCs w:val="20"/>
    </w:rPr>
  </w:style>
  <w:style w:type="paragraph" w:customStyle="1" w:styleId="2695">
    <w:name w:val="Char Char Char Char21"/>
    <w:basedOn w:val="1"/>
    <w:qFormat/>
    <w:uiPriority w:val="99"/>
    <w:pPr>
      <w:widowControl/>
      <w:spacing w:line="360" w:lineRule="auto"/>
      <w:ind w:firstLine="200" w:firstLineChars="200"/>
      <w:jc w:val="left"/>
    </w:pPr>
    <w:rPr>
      <w:rFonts w:ascii="宋体" w:hAnsi="宋体" w:cs="宋体"/>
      <w:kern w:val="0"/>
    </w:rPr>
  </w:style>
  <w:style w:type="paragraph" w:customStyle="1" w:styleId="2696">
    <w:name w:val="MY正文"/>
    <w:basedOn w:val="1"/>
    <w:link w:val="2697"/>
    <w:qFormat/>
    <w:uiPriority w:val="0"/>
    <w:pPr>
      <w:widowControl/>
      <w:spacing w:line="300" w:lineRule="auto"/>
      <w:ind w:firstLine="480" w:firstLineChars="200"/>
      <w:jc w:val="left"/>
    </w:pPr>
    <w:rPr>
      <w:rFonts w:cs="宋体"/>
      <w:color w:val="000000"/>
      <w:kern w:val="0"/>
      <w:szCs w:val="20"/>
    </w:rPr>
  </w:style>
  <w:style w:type="character" w:customStyle="1" w:styleId="2697">
    <w:name w:val="MY正文 Char"/>
    <w:link w:val="2696"/>
    <w:qFormat/>
    <w:uiPriority w:val="0"/>
    <w:rPr>
      <w:rFonts w:cs="宋体"/>
      <w:color w:val="000000"/>
      <w:sz w:val="24"/>
    </w:rPr>
  </w:style>
  <w:style w:type="paragraph" w:customStyle="1" w:styleId="2698">
    <w:name w:val="样式 标题 1 + 四号"/>
    <w:basedOn w:val="3"/>
    <w:link w:val="2699"/>
    <w:qFormat/>
    <w:uiPriority w:val="0"/>
    <w:pPr>
      <w:keepNext w:val="0"/>
      <w:widowControl/>
      <w:numPr>
        <w:numId w:val="0"/>
      </w:numPr>
      <w:tabs>
        <w:tab w:val="clear" w:pos="0"/>
      </w:tabs>
      <w:spacing w:line="360" w:lineRule="auto"/>
      <w:contextualSpacing/>
    </w:pPr>
    <w:rPr>
      <w:rFonts w:ascii="Calibri" w:hAnsi="宋体" w:eastAsia="宋体" w:cstheme="majorBidi"/>
      <w:smallCaps/>
      <w:spacing w:val="5"/>
      <w:kern w:val="0"/>
      <w:sz w:val="28"/>
      <w:szCs w:val="32"/>
    </w:rPr>
  </w:style>
  <w:style w:type="character" w:customStyle="1" w:styleId="2699">
    <w:name w:val="样式 标题 1 + 四号 Char"/>
    <w:link w:val="2698"/>
    <w:qFormat/>
    <w:uiPriority w:val="0"/>
    <w:rPr>
      <w:rFonts w:ascii="Calibri" w:hAnsi="宋体" w:cstheme="majorBidi"/>
      <w:b/>
      <w:smallCaps/>
      <w:spacing w:val="5"/>
      <w:sz w:val="28"/>
      <w:szCs w:val="32"/>
    </w:rPr>
  </w:style>
  <w:style w:type="paragraph" w:customStyle="1" w:styleId="2700">
    <w:name w:val="lmy正文"/>
    <w:basedOn w:val="1"/>
    <w:link w:val="2701"/>
    <w:qFormat/>
    <w:uiPriority w:val="0"/>
    <w:pPr>
      <w:widowControl/>
      <w:autoSpaceDE w:val="0"/>
      <w:autoSpaceDN w:val="0"/>
      <w:adjustRightInd w:val="0"/>
      <w:spacing w:line="300" w:lineRule="auto"/>
      <w:ind w:firstLine="480" w:firstLineChars="200"/>
      <w:jc w:val="left"/>
    </w:pPr>
    <w:rPr>
      <w:rFonts w:ascii="宋体" w:hAnsi="宋体" w:cstheme="majorBidi"/>
      <w:color w:val="000000"/>
      <w:kern w:val="0"/>
    </w:rPr>
  </w:style>
  <w:style w:type="character" w:customStyle="1" w:styleId="2701">
    <w:name w:val="lmy正文 Char"/>
    <w:link w:val="2700"/>
    <w:qFormat/>
    <w:uiPriority w:val="0"/>
    <w:rPr>
      <w:rFonts w:ascii="宋体" w:hAnsi="宋体" w:cstheme="majorBidi"/>
      <w:color w:val="000000"/>
      <w:sz w:val="24"/>
      <w:szCs w:val="24"/>
    </w:rPr>
  </w:style>
  <w:style w:type="paragraph" w:customStyle="1" w:styleId="2702">
    <w:name w:val="ENFI正文"/>
    <w:basedOn w:val="1"/>
    <w:link w:val="2703"/>
    <w:qFormat/>
    <w:uiPriority w:val="0"/>
    <w:pPr>
      <w:widowControl/>
      <w:adjustRightInd w:val="0"/>
      <w:snapToGrid w:val="0"/>
      <w:spacing w:line="500" w:lineRule="exact"/>
      <w:ind w:firstLine="567" w:firstLineChars="200"/>
      <w:jc w:val="left"/>
    </w:pPr>
    <w:rPr>
      <w:rFonts w:eastAsia="仿宋_GB2312" w:cstheme="majorBidi"/>
      <w:color w:val="000000"/>
      <w:kern w:val="0"/>
      <w:sz w:val="28"/>
      <w:szCs w:val="20"/>
    </w:rPr>
  </w:style>
  <w:style w:type="character" w:customStyle="1" w:styleId="2703">
    <w:name w:val="ENFI正文 Char Char"/>
    <w:link w:val="2702"/>
    <w:uiPriority w:val="0"/>
    <w:rPr>
      <w:rFonts w:eastAsia="仿宋_GB2312" w:cstheme="majorBidi"/>
      <w:color w:val="000000"/>
      <w:sz w:val="28"/>
    </w:rPr>
  </w:style>
  <w:style w:type="paragraph" w:customStyle="1" w:styleId="2704">
    <w:name w:val="样式54"/>
    <w:basedOn w:val="1"/>
    <w:link w:val="2705"/>
    <w:uiPriority w:val="0"/>
    <w:pPr>
      <w:widowControl/>
      <w:autoSpaceDE w:val="0"/>
      <w:autoSpaceDN w:val="0"/>
      <w:adjustRightInd w:val="0"/>
      <w:spacing w:beforeLines="50" w:afterLines="50" w:line="360" w:lineRule="auto"/>
      <w:ind w:firstLine="480" w:firstLineChars="200"/>
      <w:jc w:val="left"/>
    </w:pPr>
    <w:rPr>
      <w:rFonts w:cstheme="majorBidi"/>
      <w:color w:val="0000FF"/>
      <w:kern w:val="0"/>
      <w:u w:val="single"/>
    </w:rPr>
  </w:style>
  <w:style w:type="character" w:customStyle="1" w:styleId="2705">
    <w:name w:val="样式54 Char"/>
    <w:link w:val="2704"/>
    <w:qFormat/>
    <w:uiPriority w:val="0"/>
    <w:rPr>
      <w:rFonts w:cstheme="majorBidi"/>
      <w:color w:val="0000FF"/>
      <w:sz w:val="24"/>
      <w:szCs w:val="24"/>
      <w:u w:val="single"/>
    </w:rPr>
  </w:style>
  <w:style w:type="paragraph" w:customStyle="1" w:styleId="2706">
    <w:name w:val="样式 标题 3a标题 3标题 13标题 3 Char1 Char Char Char标题 31ReHead 3 WS...1"/>
    <w:basedOn w:val="5"/>
    <w:link w:val="2707"/>
    <w:qFormat/>
    <w:uiPriority w:val="0"/>
    <w:pPr>
      <w:keepNext w:val="0"/>
      <w:keepLines w:val="0"/>
      <w:widowControl/>
      <w:numPr>
        <w:ilvl w:val="0"/>
        <w:numId w:val="0"/>
      </w:numPr>
      <w:tabs>
        <w:tab w:val="left" w:pos="720"/>
      </w:tabs>
      <w:adjustRightInd w:val="0"/>
      <w:snapToGrid w:val="0"/>
      <w:spacing w:before="120" w:after="120" w:line="360" w:lineRule="auto"/>
      <w:ind w:left="720" w:hanging="720"/>
      <w:jc w:val="left"/>
    </w:pPr>
    <w:rPr>
      <w:rFonts w:ascii="宋体" w:hAnsi="宋体" w:eastAsia="宋体" w:cstheme="majorBidi"/>
      <w:bCs w:val="0"/>
      <w:iCs/>
      <w:smallCaps/>
      <w:spacing w:val="5"/>
      <w:kern w:val="0"/>
      <w:sz w:val="24"/>
      <w:szCs w:val="26"/>
      <w:lang w:val="en-GB"/>
    </w:rPr>
  </w:style>
  <w:style w:type="character" w:customStyle="1" w:styleId="2707">
    <w:name w:val="样式 标题 3a标题 3标题 13标题 3 Char1 Char Char Char标题 31ReHead 3 WS...1 Char"/>
    <w:link w:val="2706"/>
    <w:qFormat/>
    <w:uiPriority w:val="0"/>
    <w:rPr>
      <w:rFonts w:ascii="宋体" w:hAnsi="宋体" w:cstheme="majorBidi"/>
      <w:b/>
      <w:iCs/>
      <w:smallCaps/>
      <w:spacing w:val="5"/>
      <w:sz w:val="24"/>
      <w:szCs w:val="26"/>
      <w:lang w:val="en-GB"/>
    </w:rPr>
  </w:style>
  <w:style w:type="paragraph" w:customStyle="1" w:styleId="2708">
    <w:name w:val="二级标题"/>
    <w:basedOn w:val="4"/>
    <w:link w:val="2709"/>
    <w:qFormat/>
    <w:uiPriority w:val="0"/>
    <w:pPr>
      <w:keepNext w:val="0"/>
      <w:keepLines w:val="0"/>
      <w:widowControl/>
      <w:numPr>
        <w:ilvl w:val="0"/>
        <w:numId w:val="0"/>
      </w:numPr>
      <w:spacing w:before="260" w:beforeLines="50" w:after="260" w:afterLines="50"/>
      <w:jc w:val="left"/>
    </w:pPr>
    <w:rPr>
      <w:rFonts w:ascii="宋体" w:hAnsi="宋体" w:eastAsia="宋体"/>
      <w:b w:val="0"/>
      <w:bCs w:val="0"/>
      <w:smallCaps/>
      <w:kern w:val="0"/>
      <w:sz w:val="24"/>
      <w:szCs w:val="24"/>
    </w:rPr>
  </w:style>
  <w:style w:type="character" w:customStyle="1" w:styleId="2709">
    <w:name w:val="二级标题 Char"/>
    <w:link w:val="2708"/>
    <w:qFormat/>
    <w:uiPriority w:val="0"/>
    <w:rPr>
      <w:rFonts w:ascii="宋体" w:hAnsi="宋体"/>
      <w:smallCaps/>
      <w:sz w:val="24"/>
      <w:szCs w:val="24"/>
    </w:rPr>
  </w:style>
  <w:style w:type="character" w:customStyle="1" w:styleId="2710">
    <w:name w:val="表文 Char"/>
    <w:link w:val="1319"/>
    <w:qFormat/>
    <w:uiPriority w:val="0"/>
    <w:rPr>
      <w:sz w:val="21"/>
    </w:rPr>
  </w:style>
  <w:style w:type="paragraph" w:customStyle="1" w:styleId="2711">
    <w:name w:val="样式 标题 3标题 3 Char Char Char标题 3 Char Char Char Char Char Char标..."/>
    <w:basedOn w:val="5"/>
    <w:link w:val="2712"/>
    <w:qFormat/>
    <w:uiPriority w:val="0"/>
    <w:pPr>
      <w:keepNext w:val="0"/>
      <w:keepLines w:val="0"/>
      <w:widowControl/>
      <w:numPr>
        <w:ilvl w:val="0"/>
        <w:numId w:val="0"/>
      </w:numPr>
      <w:tabs>
        <w:tab w:val="left" w:pos="720"/>
      </w:tabs>
      <w:adjustRightInd w:val="0"/>
      <w:snapToGrid w:val="0"/>
      <w:spacing w:line="360" w:lineRule="auto"/>
      <w:jc w:val="left"/>
    </w:pPr>
    <w:rPr>
      <w:rFonts w:ascii="Plotter" w:hAnsi="Plotter" w:eastAsia="宋体" w:cstheme="majorBidi"/>
      <w:iCs/>
      <w:smallCaps/>
      <w:spacing w:val="5"/>
      <w:kern w:val="0"/>
      <w:sz w:val="24"/>
      <w:szCs w:val="20"/>
    </w:rPr>
  </w:style>
  <w:style w:type="character" w:customStyle="1" w:styleId="2712">
    <w:name w:val="样式 标题 3标题 3 Char Char Char标题 3 Char Char Char Char Char Char标... Char"/>
    <w:link w:val="2711"/>
    <w:uiPriority w:val="0"/>
    <w:rPr>
      <w:rFonts w:ascii="Plotter" w:hAnsi="Plotter" w:cstheme="majorBidi"/>
      <w:b/>
      <w:bCs/>
      <w:iCs/>
      <w:smallCaps/>
      <w:spacing w:val="5"/>
      <w:sz w:val="24"/>
    </w:rPr>
  </w:style>
  <w:style w:type="paragraph" w:customStyle="1" w:styleId="2713">
    <w:name w:val="样式61"/>
    <w:basedOn w:val="1"/>
    <w:link w:val="2714"/>
    <w:qFormat/>
    <w:uiPriority w:val="0"/>
    <w:pPr>
      <w:widowControl/>
      <w:spacing w:line="360" w:lineRule="auto"/>
      <w:ind w:firstLine="480" w:firstLineChars="200"/>
      <w:jc w:val="left"/>
    </w:pPr>
    <w:rPr>
      <w:rFonts w:cstheme="majorBidi"/>
      <w:color w:val="000000"/>
      <w:kern w:val="0"/>
    </w:rPr>
  </w:style>
  <w:style w:type="character" w:customStyle="1" w:styleId="2714">
    <w:name w:val="样式61 Char"/>
    <w:link w:val="2713"/>
    <w:qFormat/>
    <w:uiPriority w:val="0"/>
    <w:rPr>
      <w:rFonts w:cstheme="majorBidi"/>
      <w:color w:val="000000"/>
      <w:sz w:val="24"/>
      <w:szCs w:val="24"/>
    </w:rPr>
  </w:style>
  <w:style w:type="paragraph" w:customStyle="1" w:styleId="2715">
    <w:name w:val="样式 标题 3 Char标题 13 Char标题 3 Char1标题 3 Char Char Char标题 3 Char..."/>
    <w:basedOn w:val="3"/>
    <w:link w:val="2716"/>
    <w:qFormat/>
    <w:uiPriority w:val="0"/>
    <w:pPr>
      <w:keepNext w:val="0"/>
      <w:widowControl/>
      <w:numPr>
        <w:numId w:val="0"/>
      </w:numPr>
      <w:tabs>
        <w:tab w:val="clear" w:pos="0"/>
      </w:tabs>
      <w:spacing w:before="120" w:after="330" w:line="360" w:lineRule="auto"/>
      <w:contextualSpacing/>
      <w:jc w:val="left"/>
    </w:pPr>
    <w:rPr>
      <w:rFonts w:ascii="Arial" w:hAnsi="Arial" w:eastAsia="宋体" w:cs="Arial"/>
      <w:b w:val="0"/>
      <w:bCs/>
      <w:smallCaps/>
      <w:spacing w:val="5"/>
      <w:kern w:val="0"/>
      <w:sz w:val="24"/>
    </w:rPr>
  </w:style>
  <w:style w:type="character" w:customStyle="1" w:styleId="2716">
    <w:name w:val="样式 标题 3 Char标题 13 Char标题 3 Char1标题 3 Char Char Char标题 3 Char... Char"/>
    <w:link w:val="2715"/>
    <w:qFormat/>
    <w:uiPriority w:val="0"/>
    <w:rPr>
      <w:rFonts w:ascii="Arial" w:hAnsi="Arial" w:cs="Arial"/>
      <w:bCs/>
      <w:smallCaps/>
      <w:spacing w:val="5"/>
      <w:sz w:val="24"/>
      <w:szCs w:val="36"/>
    </w:rPr>
  </w:style>
  <w:style w:type="paragraph" w:customStyle="1" w:styleId="2717">
    <w:name w:val="文章正文样式 Char1 Char"/>
    <w:basedOn w:val="1"/>
    <w:link w:val="2718"/>
    <w:qFormat/>
    <w:uiPriority w:val="0"/>
    <w:pPr>
      <w:widowControl/>
      <w:spacing w:line="520" w:lineRule="exact"/>
      <w:ind w:firstLine="200" w:firstLineChars="200"/>
      <w:jc w:val="left"/>
    </w:pPr>
    <w:rPr>
      <w:rFonts w:ascii="宋体" w:hAnsi="宋体" w:cs="宋体"/>
      <w:kern w:val="0"/>
      <w:szCs w:val="20"/>
    </w:rPr>
  </w:style>
  <w:style w:type="character" w:customStyle="1" w:styleId="2718">
    <w:name w:val="文章正文样式 Char1 Char Char"/>
    <w:link w:val="2717"/>
    <w:uiPriority w:val="0"/>
    <w:rPr>
      <w:rFonts w:ascii="宋体" w:hAnsi="宋体" w:cs="宋体"/>
      <w:sz w:val="24"/>
    </w:rPr>
  </w:style>
  <w:style w:type="paragraph" w:customStyle="1" w:styleId="2719">
    <w:name w:val="湛江生物质发电正文"/>
    <w:basedOn w:val="1"/>
    <w:link w:val="2720"/>
    <w:qFormat/>
    <w:uiPriority w:val="0"/>
    <w:pPr>
      <w:widowControl/>
      <w:spacing w:line="324" w:lineRule="auto"/>
      <w:ind w:firstLine="480" w:firstLineChars="200"/>
      <w:jc w:val="left"/>
    </w:pPr>
    <w:rPr>
      <w:rFonts w:ascii="宋体" w:hAnsi="宋体" w:cs="宋体"/>
      <w:kern w:val="0"/>
      <w:szCs w:val="20"/>
    </w:rPr>
  </w:style>
  <w:style w:type="character" w:customStyle="1" w:styleId="2720">
    <w:name w:val="湛江生物质发电正文 Char Char"/>
    <w:link w:val="2719"/>
    <w:qFormat/>
    <w:uiPriority w:val="0"/>
    <w:rPr>
      <w:rFonts w:ascii="宋体" w:hAnsi="宋体" w:cs="宋体"/>
      <w:sz w:val="24"/>
    </w:rPr>
  </w:style>
  <w:style w:type="paragraph" w:customStyle="1" w:styleId="2721">
    <w:name w:val="样式41"/>
    <w:basedOn w:val="4"/>
    <w:link w:val="2722"/>
    <w:uiPriority w:val="0"/>
    <w:pPr>
      <w:keepNext w:val="0"/>
      <w:keepLines w:val="0"/>
      <w:widowControl/>
      <w:numPr>
        <w:ilvl w:val="0"/>
        <w:numId w:val="0"/>
      </w:numPr>
      <w:spacing w:before="260" w:after="260"/>
      <w:jc w:val="left"/>
    </w:pPr>
    <w:rPr>
      <w:rFonts w:ascii="宋体" w:hAnsi="宋体" w:eastAsia="宋体" w:cs="仿宋_GB2312"/>
      <w:bCs w:val="0"/>
      <w:smallCaps/>
      <w:color w:val="000000"/>
      <w:kern w:val="0"/>
      <w:sz w:val="28"/>
      <w:szCs w:val="28"/>
    </w:rPr>
  </w:style>
  <w:style w:type="character" w:customStyle="1" w:styleId="2722">
    <w:name w:val="样式41 Char"/>
    <w:link w:val="2721"/>
    <w:qFormat/>
    <w:uiPriority w:val="0"/>
    <w:rPr>
      <w:rFonts w:ascii="宋体" w:hAnsi="宋体" w:cs="仿宋_GB2312"/>
      <w:b/>
      <w:smallCaps/>
      <w:color w:val="000000"/>
      <w:sz w:val="28"/>
      <w:szCs w:val="28"/>
    </w:rPr>
  </w:style>
  <w:style w:type="paragraph" w:customStyle="1" w:styleId="2723">
    <w:name w:val="报告标题1"/>
    <w:basedOn w:val="3"/>
    <w:link w:val="2724"/>
    <w:qFormat/>
    <w:uiPriority w:val="0"/>
    <w:pPr>
      <w:keepNext w:val="0"/>
      <w:widowControl/>
      <w:numPr>
        <w:numId w:val="0"/>
      </w:numPr>
      <w:tabs>
        <w:tab w:val="left" w:pos="425"/>
      </w:tabs>
      <w:spacing w:line="360" w:lineRule="auto"/>
      <w:ind w:left="360" w:hanging="360"/>
      <w:contextualSpacing/>
      <w:jc w:val="left"/>
    </w:pPr>
    <w:rPr>
      <w:rFonts w:ascii="Arial" w:hAnsi="Arial" w:eastAsia="等线" w:cstheme="majorBidi"/>
      <w:smallCaps/>
      <w:color w:val="000000"/>
      <w:spacing w:val="5"/>
      <w:sz w:val="30"/>
      <w:szCs w:val="24"/>
    </w:rPr>
  </w:style>
  <w:style w:type="character" w:customStyle="1" w:styleId="2724">
    <w:name w:val="报告标题1 Char"/>
    <w:link w:val="2723"/>
    <w:qFormat/>
    <w:uiPriority w:val="0"/>
    <w:rPr>
      <w:rFonts w:ascii="Arial" w:hAnsi="Arial" w:eastAsia="等线" w:cstheme="majorBidi"/>
      <w:b/>
      <w:smallCaps/>
      <w:color w:val="000000"/>
      <w:spacing w:val="5"/>
      <w:kern w:val="2"/>
      <w:sz w:val="30"/>
      <w:szCs w:val="24"/>
    </w:rPr>
  </w:style>
  <w:style w:type="paragraph" w:customStyle="1" w:styleId="2725">
    <w:name w:val="样式11111"/>
    <w:basedOn w:val="1"/>
    <w:link w:val="2726"/>
    <w:qFormat/>
    <w:uiPriority w:val="0"/>
    <w:pPr>
      <w:widowControl/>
      <w:spacing w:beforeLines="50" w:afterLines="50" w:line="360" w:lineRule="auto"/>
      <w:ind w:firstLine="480" w:firstLineChars="200"/>
      <w:jc w:val="left"/>
    </w:pPr>
    <w:rPr>
      <w:rFonts w:ascii="宋体" w:hAnsi="宋体" w:cs="宋体"/>
      <w:color w:val="000000"/>
      <w:kern w:val="0"/>
    </w:rPr>
  </w:style>
  <w:style w:type="character" w:customStyle="1" w:styleId="2726">
    <w:name w:val="样式11111 Char"/>
    <w:link w:val="2725"/>
    <w:qFormat/>
    <w:uiPriority w:val="0"/>
    <w:rPr>
      <w:rFonts w:ascii="宋体" w:hAnsi="宋体" w:cs="宋体"/>
      <w:color w:val="000000"/>
      <w:sz w:val="24"/>
      <w:szCs w:val="24"/>
    </w:rPr>
  </w:style>
  <w:style w:type="paragraph" w:customStyle="1" w:styleId="2727">
    <w:name w:val="宗兴正文"/>
    <w:basedOn w:val="1"/>
    <w:link w:val="2728"/>
    <w:qFormat/>
    <w:uiPriority w:val="0"/>
    <w:pPr>
      <w:widowControl/>
      <w:adjustRightInd w:val="0"/>
      <w:snapToGrid w:val="0"/>
      <w:spacing w:before="93" w:after="93" w:line="360" w:lineRule="auto"/>
      <w:ind w:left="228" w:leftChars="228" w:firstLine="200" w:firstLineChars="200"/>
      <w:jc w:val="left"/>
    </w:pPr>
    <w:rPr>
      <w:rFonts w:ascii="宋体" w:cstheme="majorBidi"/>
      <w:b/>
      <w:kern w:val="0"/>
      <w:szCs w:val="20"/>
      <w:lang w:val="zh-CN"/>
    </w:rPr>
  </w:style>
  <w:style w:type="character" w:customStyle="1" w:styleId="2728">
    <w:name w:val="宗兴正文 Char"/>
    <w:link w:val="2727"/>
    <w:qFormat/>
    <w:uiPriority w:val="0"/>
    <w:rPr>
      <w:rFonts w:ascii="宋体" w:cstheme="majorBidi"/>
      <w:b/>
      <w:sz w:val="24"/>
      <w:lang w:val="zh-CN"/>
    </w:rPr>
  </w:style>
  <w:style w:type="paragraph" w:customStyle="1" w:styleId="2729">
    <w:name w:val="自定义正文 Char Char Char Char Char Char Char Char Char Char Char Char Char"/>
    <w:link w:val="2730"/>
    <w:qFormat/>
    <w:uiPriority w:val="0"/>
    <w:pPr>
      <w:widowControl w:val="0"/>
      <w:topLinePunct/>
      <w:adjustRightInd w:val="0"/>
      <w:snapToGrid w:val="0"/>
      <w:spacing w:line="360" w:lineRule="auto"/>
      <w:ind w:firstLine="510"/>
      <w:jc w:val="both"/>
    </w:pPr>
    <w:rPr>
      <w:rFonts w:asciiTheme="majorHAnsi" w:hAnsiTheme="majorHAnsi" w:eastAsiaTheme="majorEastAsia" w:cstheme="majorBidi"/>
      <w:position w:val="-28"/>
      <w:sz w:val="28"/>
      <w:szCs w:val="28"/>
      <w:lang w:val="en-US" w:eastAsia="zh-CN" w:bidi="ar-SA"/>
    </w:rPr>
  </w:style>
  <w:style w:type="character" w:customStyle="1" w:styleId="2730">
    <w:name w:val="自定义正文 Char Char Char Char Char Char Char Char Char Char Char Char Char Char"/>
    <w:link w:val="2729"/>
    <w:uiPriority w:val="0"/>
    <w:rPr>
      <w:rFonts w:asciiTheme="majorHAnsi" w:hAnsiTheme="majorHAnsi" w:eastAsiaTheme="majorEastAsia" w:cstheme="majorBidi"/>
      <w:position w:val="-28"/>
      <w:sz w:val="28"/>
      <w:szCs w:val="28"/>
    </w:rPr>
  </w:style>
  <w:style w:type="character" w:customStyle="1" w:styleId="2731">
    <w:name w:val="正文小4 Char"/>
    <w:link w:val="2667"/>
    <w:qFormat/>
    <w:uiPriority w:val="0"/>
    <w:rPr>
      <w:rFonts w:cstheme="majorBidi"/>
      <w:sz w:val="24"/>
      <w:szCs w:val="24"/>
    </w:rPr>
  </w:style>
  <w:style w:type="paragraph" w:customStyle="1" w:styleId="2732">
    <w:name w:val="全部文体"/>
    <w:basedOn w:val="1"/>
    <w:link w:val="2733"/>
    <w:qFormat/>
    <w:uiPriority w:val="0"/>
    <w:pPr>
      <w:widowControl/>
      <w:autoSpaceDE w:val="0"/>
      <w:autoSpaceDN w:val="0"/>
      <w:adjustRightInd w:val="0"/>
      <w:spacing w:beforeLines="50" w:afterLines="50" w:line="360" w:lineRule="auto"/>
      <w:ind w:firstLine="480" w:firstLineChars="200"/>
      <w:jc w:val="left"/>
    </w:pPr>
    <w:rPr>
      <w:rFonts w:cstheme="majorBidi"/>
      <w:color w:val="000000"/>
      <w:kern w:val="0"/>
    </w:rPr>
  </w:style>
  <w:style w:type="character" w:customStyle="1" w:styleId="2733">
    <w:name w:val="全部文体 Char"/>
    <w:link w:val="2732"/>
    <w:qFormat/>
    <w:uiPriority w:val="0"/>
    <w:rPr>
      <w:rFonts w:cstheme="majorBidi"/>
      <w:color w:val="000000"/>
      <w:sz w:val="24"/>
      <w:szCs w:val="24"/>
    </w:rPr>
  </w:style>
  <w:style w:type="paragraph" w:customStyle="1" w:styleId="2734">
    <w:name w:val="正文段落"/>
    <w:basedOn w:val="1"/>
    <w:link w:val="2735"/>
    <w:qFormat/>
    <w:uiPriority w:val="0"/>
    <w:pPr>
      <w:widowControl/>
      <w:spacing w:line="500" w:lineRule="exact"/>
      <w:ind w:firstLine="200" w:firstLineChars="200"/>
      <w:jc w:val="left"/>
    </w:pPr>
    <w:rPr>
      <w:rFonts w:cstheme="majorBidi"/>
      <w:kern w:val="0"/>
    </w:rPr>
  </w:style>
  <w:style w:type="character" w:customStyle="1" w:styleId="2735">
    <w:name w:val="正文段落 Char"/>
    <w:link w:val="2734"/>
    <w:qFormat/>
    <w:uiPriority w:val="0"/>
    <w:rPr>
      <w:rFonts w:cstheme="majorBidi"/>
      <w:sz w:val="24"/>
      <w:szCs w:val="24"/>
    </w:rPr>
  </w:style>
  <w:style w:type="paragraph" w:customStyle="1" w:styleId="2736">
    <w:name w:val="样式36"/>
    <w:basedOn w:val="388"/>
    <w:link w:val="2737"/>
    <w:qFormat/>
    <w:uiPriority w:val="0"/>
    <w:pPr>
      <w:widowControl/>
      <w:spacing w:before="120" w:after="120"/>
      <w:ind w:firstLine="480"/>
      <w:jc w:val="left"/>
    </w:pPr>
    <w:rPr>
      <w:rFonts w:ascii="宋体" w:hAnsi="宋体"/>
      <w:color w:val="000000"/>
      <w:kern w:val="0"/>
    </w:rPr>
  </w:style>
  <w:style w:type="character" w:customStyle="1" w:styleId="2737">
    <w:name w:val="样式36 Char"/>
    <w:link w:val="2736"/>
    <w:qFormat/>
    <w:uiPriority w:val="0"/>
    <w:rPr>
      <w:rFonts w:ascii="宋体" w:hAnsi="宋体" w:cs="宋体"/>
      <w:color w:val="000000"/>
      <w:sz w:val="24"/>
      <w:szCs w:val="24"/>
    </w:rPr>
  </w:style>
  <w:style w:type="paragraph" w:customStyle="1" w:styleId="2738">
    <w:name w:val="小四宋居中1.0"/>
    <w:basedOn w:val="1"/>
    <w:next w:val="1"/>
    <w:qFormat/>
    <w:uiPriority w:val="0"/>
    <w:pPr>
      <w:widowControl/>
      <w:spacing w:line="360" w:lineRule="auto"/>
      <w:ind w:firstLine="200" w:firstLineChars="200"/>
      <w:jc w:val="center"/>
    </w:pPr>
    <w:rPr>
      <w:rFonts w:ascii="仿宋_GB2312" w:eastAsia="仿宋_GB2312" w:cstheme="majorBidi"/>
      <w:kern w:val="0"/>
      <w:szCs w:val="20"/>
    </w:rPr>
  </w:style>
  <w:style w:type="paragraph" w:customStyle="1" w:styleId="2739">
    <w:name w:val="正文小4黑体左"/>
    <w:basedOn w:val="1"/>
    <w:link w:val="2740"/>
    <w:qFormat/>
    <w:uiPriority w:val="0"/>
    <w:pPr>
      <w:widowControl/>
      <w:spacing w:line="360" w:lineRule="auto"/>
      <w:ind w:firstLine="200" w:firstLineChars="200"/>
      <w:jc w:val="left"/>
    </w:pPr>
    <w:rPr>
      <w:rFonts w:cstheme="majorBidi"/>
      <w:b/>
      <w:kern w:val="0"/>
    </w:rPr>
  </w:style>
  <w:style w:type="character" w:customStyle="1" w:styleId="2740">
    <w:name w:val="正文小4黑体左 Char"/>
    <w:link w:val="2739"/>
    <w:qFormat/>
    <w:uiPriority w:val="0"/>
    <w:rPr>
      <w:rFonts w:cstheme="majorBidi"/>
      <w:b/>
      <w:sz w:val="24"/>
      <w:szCs w:val="24"/>
    </w:rPr>
  </w:style>
  <w:style w:type="paragraph" w:customStyle="1" w:styleId="2741">
    <w:name w:val="表体"/>
    <w:basedOn w:val="1"/>
    <w:link w:val="2742"/>
    <w:qFormat/>
    <w:uiPriority w:val="0"/>
    <w:pPr>
      <w:widowControl/>
      <w:spacing w:line="360" w:lineRule="auto"/>
      <w:ind w:firstLine="200" w:firstLineChars="200"/>
      <w:jc w:val="center"/>
    </w:pPr>
    <w:rPr>
      <w:rFonts w:cstheme="majorBidi"/>
      <w:kern w:val="0"/>
      <w:sz w:val="20"/>
      <w:szCs w:val="21"/>
    </w:rPr>
  </w:style>
  <w:style w:type="character" w:customStyle="1" w:styleId="2742">
    <w:name w:val="表体 Char"/>
    <w:link w:val="2741"/>
    <w:qFormat/>
    <w:uiPriority w:val="0"/>
    <w:rPr>
      <w:rFonts w:cstheme="majorBidi"/>
      <w:szCs w:val="21"/>
    </w:rPr>
  </w:style>
  <w:style w:type="paragraph" w:customStyle="1" w:styleId="2743">
    <w:name w:val="样式 样式 首行缩进:  1.01 厘米 + Times New Roman"/>
    <w:basedOn w:val="804"/>
    <w:link w:val="2744"/>
    <w:qFormat/>
    <w:uiPriority w:val="0"/>
    <w:pPr>
      <w:widowControl/>
      <w:spacing w:line="240" w:lineRule="auto"/>
      <w:ind w:firstLine="200" w:firstLineChars="200"/>
      <w:jc w:val="left"/>
    </w:pPr>
    <w:rPr>
      <w:rFonts w:ascii="Calibri" w:hAnsi="Calibri" w:eastAsia="宋体" w:cstheme="majorBidi"/>
      <w:kern w:val="0"/>
      <w:sz w:val="24"/>
      <w:szCs w:val="24"/>
    </w:rPr>
  </w:style>
  <w:style w:type="character" w:customStyle="1" w:styleId="2744">
    <w:name w:val="样式 样式 首行缩进:  1.01 厘米 + Times New Roman Char"/>
    <w:link w:val="2743"/>
    <w:qFormat/>
    <w:uiPriority w:val="0"/>
    <w:rPr>
      <w:rFonts w:ascii="Calibri" w:hAnsi="Calibri" w:cstheme="majorBidi"/>
      <w:color w:val="000000"/>
      <w:sz w:val="24"/>
      <w:szCs w:val="24"/>
    </w:rPr>
  </w:style>
  <w:style w:type="paragraph" w:customStyle="1" w:styleId="2745">
    <w:name w:val="样式45"/>
    <w:basedOn w:val="1"/>
    <w:link w:val="2746"/>
    <w:qFormat/>
    <w:uiPriority w:val="0"/>
    <w:pPr>
      <w:widowControl/>
      <w:spacing w:beforeLines="50" w:afterLines="50" w:line="360" w:lineRule="auto"/>
      <w:ind w:firstLine="480" w:firstLineChars="200"/>
      <w:jc w:val="left"/>
    </w:pPr>
    <w:rPr>
      <w:rFonts w:ascii="宋体" w:hAnsi="宋体" w:cstheme="majorBidi"/>
      <w:color w:val="000000"/>
      <w:kern w:val="0"/>
    </w:rPr>
  </w:style>
  <w:style w:type="character" w:customStyle="1" w:styleId="2746">
    <w:name w:val="样式45 Char"/>
    <w:link w:val="2745"/>
    <w:qFormat/>
    <w:uiPriority w:val="0"/>
    <w:rPr>
      <w:rFonts w:ascii="宋体" w:hAnsi="宋体" w:cstheme="majorBidi"/>
      <w:color w:val="000000"/>
      <w:sz w:val="24"/>
      <w:szCs w:val="24"/>
    </w:rPr>
  </w:style>
  <w:style w:type="paragraph" w:customStyle="1" w:styleId="2747">
    <w:name w:val="三级条标题 Char"/>
    <w:basedOn w:val="1"/>
    <w:link w:val="2748"/>
    <w:qFormat/>
    <w:uiPriority w:val="0"/>
    <w:pPr>
      <w:widowControl/>
      <w:spacing w:line="360" w:lineRule="auto"/>
      <w:ind w:firstLine="200" w:firstLineChars="200"/>
      <w:jc w:val="left"/>
    </w:pPr>
    <w:rPr>
      <w:rFonts w:cstheme="majorBidi"/>
      <w:kern w:val="0"/>
      <w:sz w:val="20"/>
    </w:rPr>
  </w:style>
  <w:style w:type="character" w:customStyle="1" w:styleId="2748">
    <w:name w:val="三级条标题 Char Char"/>
    <w:link w:val="2747"/>
    <w:qFormat/>
    <w:uiPriority w:val="0"/>
    <w:rPr>
      <w:rFonts w:cstheme="majorBidi"/>
      <w:szCs w:val="24"/>
    </w:rPr>
  </w:style>
  <w:style w:type="paragraph" w:customStyle="1" w:styleId="2749">
    <w:name w:val="正文0"/>
    <w:basedOn w:val="1"/>
    <w:qFormat/>
    <w:uiPriority w:val="0"/>
    <w:pPr>
      <w:widowControl/>
      <w:tabs>
        <w:tab w:val="left" w:pos="724"/>
        <w:tab w:val="left" w:pos="920"/>
      </w:tabs>
      <w:spacing w:before="300" w:after="300" w:line="360" w:lineRule="auto"/>
      <w:ind w:left="724" w:hanging="720" w:firstLineChars="200"/>
      <w:jc w:val="left"/>
    </w:pPr>
    <w:rPr>
      <w:rFonts w:cstheme="majorBidi"/>
      <w:b/>
      <w:kern w:val="0"/>
      <w:sz w:val="30"/>
    </w:rPr>
  </w:style>
  <w:style w:type="paragraph" w:customStyle="1" w:styleId="2750">
    <w:name w:val="正文缩二"/>
    <w:basedOn w:val="1"/>
    <w:link w:val="2751"/>
    <w:qFormat/>
    <w:uiPriority w:val="0"/>
    <w:pPr>
      <w:widowControl/>
      <w:tabs>
        <w:tab w:val="left" w:pos="8820"/>
      </w:tabs>
      <w:spacing w:line="360" w:lineRule="auto"/>
      <w:ind w:firstLine="200" w:firstLineChars="200"/>
      <w:jc w:val="left"/>
    </w:pPr>
    <w:rPr>
      <w:rFonts w:ascii="宋体" w:hAnsi="宋体" w:cstheme="majorBidi"/>
      <w:kern w:val="0"/>
      <w:szCs w:val="72"/>
    </w:rPr>
  </w:style>
  <w:style w:type="character" w:customStyle="1" w:styleId="2751">
    <w:name w:val="正文缩二 Char"/>
    <w:link w:val="2750"/>
    <w:qFormat/>
    <w:uiPriority w:val="0"/>
    <w:rPr>
      <w:rFonts w:ascii="宋体" w:hAnsi="宋体" w:cstheme="majorBidi"/>
      <w:sz w:val="24"/>
      <w:szCs w:val="72"/>
    </w:rPr>
  </w:style>
  <w:style w:type="paragraph" w:customStyle="1" w:styleId="2752">
    <w:name w:val="东方工业区"/>
    <w:basedOn w:val="2448"/>
    <w:link w:val="2753"/>
    <w:qFormat/>
    <w:uiPriority w:val="0"/>
    <w:rPr>
      <w:rFonts w:ascii="Calibri" w:hAnsi="Calibri" w:cs="Times New Roman"/>
      <w:sz w:val="20"/>
    </w:rPr>
  </w:style>
  <w:style w:type="character" w:customStyle="1" w:styleId="2753">
    <w:name w:val="东方工业区 Char"/>
    <w:link w:val="2752"/>
    <w:qFormat/>
    <w:uiPriority w:val="0"/>
    <w:rPr>
      <w:rFonts w:ascii="Calibri" w:hAnsi="Calibri"/>
    </w:rPr>
  </w:style>
  <w:style w:type="paragraph" w:customStyle="1" w:styleId="2754">
    <w:name w:val="环调标题3"/>
    <w:basedOn w:val="5"/>
    <w:qFormat/>
    <w:uiPriority w:val="0"/>
    <w:pPr>
      <w:keepNext w:val="0"/>
      <w:keepLines w:val="0"/>
      <w:widowControl/>
      <w:numPr>
        <w:ilvl w:val="0"/>
        <w:numId w:val="0"/>
      </w:numPr>
      <w:tabs>
        <w:tab w:val="left" w:pos="0"/>
      </w:tabs>
      <w:adjustRightInd w:val="0"/>
      <w:snapToGrid w:val="0"/>
      <w:spacing w:beforeLines="50" w:afterLines="50" w:line="360" w:lineRule="auto"/>
      <w:ind w:firstLine="200"/>
      <w:jc w:val="left"/>
    </w:pPr>
    <w:rPr>
      <w:rFonts w:ascii="Calibri" w:hAnsi="Calibri" w:cs="Arial"/>
      <w:b w:val="0"/>
      <w:bCs w:val="0"/>
      <w:iCs/>
      <w:smallCaps/>
      <w:spacing w:val="5"/>
      <w:kern w:val="0"/>
      <w:sz w:val="28"/>
    </w:rPr>
  </w:style>
  <w:style w:type="paragraph" w:customStyle="1" w:styleId="2755">
    <w:name w:val="样式40"/>
    <w:basedOn w:val="1"/>
    <w:link w:val="2756"/>
    <w:qFormat/>
    <w:uiPriority w:val="0"/>
    <w:pPr>
      <w:widowControl/>
      <w:spacing w:beforeLines="50" w:afterLines="50" w:line="360" w:lineRule="auto"/>
      <w:ind w:firstLine="480" w:firstLineChars="200"/>
      <w:jc w:val="left"/>
    </w:pPr>
    <w:rPr>
      <w:rFonts w:hAnsi="宋体" w:cstheme="majorBidi"/>
      <w:color w:val="000000"/>
      <w:kern w:val="0"/>
    </w:rPr>
  </w:style>
  <w:style w:type="character" w:customStyle="1" w:styleId="2756">
    <w:name w:val="样式40 Char"/>
    <w:link w:val="2755"/>
    <w:qFormat/>
    <w:uiPriority w:val="0"/>
    <w:rPr>
      <w:rFonts w:hAnsi="宋体" w:cstheme="majorBidi"/>
      <w:color w:val="000000"/>
      <w:sz w:val="24"/>
      <w:szCs w:val="24"/>
    </w:rPr>
  </w:style>
  <w:style w:type="paragraph" w:customStyle="1" w:styleId="2757">
    <w:name w:val="样式77"/>
    <w:basedOn w:val="1"/>
    <w:link w:val="2758"/>
    <w:qFormat/>
    <w:uiPriority w:val="0"/>
    <w:pPr>
      <w:keepNext/>
      <w:keepLines/>
      <w:widowControl/>
      <w:tabs>
        <w:tab w:val="left" w:pos="2175"/>
      </w:tabs>
      <w:spacing w:beforeLines="50" w:afterLines="50" w:line="360" w:lineRule="auto"/>
      <w:ind w:firstLine="200" w:firstLineChars="200"/>
      <w:jc w:val="left"/>
      <w:outlineLvl w:val="3"/>
    </w:pPr>
    <w:rPr>
      <w:rFonts w:ascii="黑体" w:hAnsi="宋体" w:eastAsia="黑体" w:cs="黑体"/>
      <w:bCs/>
      <w:kern w:val="0"/>
    </w:rPr>
  </w:style>
  <w:style w:type="character" w:customStyle="1" w:styleId="2758">
    <w:name w:val="样式77 Char"/>
    <w:link w:val="2757"/>
    <w:qFormat/>
    <w:uiPriority w:val="0"/>
    <w:rPr>
      <w:rFonts w:ascii="黑体" w:hAnsi="宋体" w:eastAsia="黑体" w:cs="黑体"/>
      <w:bCs/>
      <w:sz w:val="24"/>
      <w:szCs w:val="24"/>
    </w:rPr>
  </w:style>
  <w:style w:type="paragraph" w:customStyle="1" w:styleId="2759">
    <w:name w:val="aa正文"/>
    <w:basedOn w:val="1"/>
    <w:link w:val="2760"/>
    <w:qFormat/>
    <w:uiPriority w:val="0"/>
    <w:pPr>
      <w:widowControl/>
      <w:topLinePunct/>
      <w:spacing w:line="500" w:lineRule="exact"/>
      <w:ind w:firstLine="200" w:firstLineChars="200"/>
      <w:jc w:val="left"/>
      <w:textAlignment w:val="baseline"/>
    </w:pPr>
    <w:rPr>
      <w:rFonts w:cstheme="majorBidi"/>
      <w:bCs/>
      <w:color w:val="000000"/>
      <w:kern w:val="0"/>
    </w:rPr>
  </w:style>
  <w:style w:type="character" w:customStyle="1" w:styleId="2760">
    <w:name w:val="aa正文 Char"/>
    <w:link w:val="2759"/>
    <w:qFormat/>
    <w:uiPriority w:val="0"/>
    <w:rPr>
      <w:rFonts w:cstheme="majorBidi"/>
      <w:bCs/>
      <w:color w:val="000000"/>
      <w:sz w:val="24"/>
      <w:szCs w:val="24"/>
    </w:rPr>
  </w:style>
  <w:style w:type="paragraph" w:customStyle="1" w:styleId="2761">
    <w:name w:val="样式 标题 3 + 小四"/>
    <w:basedOn w:val="5"/>
    <w:link w:val="2762"/>
    <w:qFormat/>
    <w:uiPriority w:val="0"/>
    <w:pPr>
      <w:keepNext w:val="0"/>
      <w:keepLines w:val="0"/>
      <w:widowControl/>
      <w:numPr>
        <w:ilvl w:val="0"/>
        <w:numId w:val="0"/>
      </w:numPr>
      <w:adjustRightInd w:val="0"/>
      <w:snapToGrid w:val="0"/>
      <w:spacing w:beforeLines="50" w:afterLines="50" w:line="360" w:lineRule="auto"/>
      <w:jc w:val="left"/>
    </w:pPr>
    <w:rPr>
      <w:rFonts w:ascii="Calibri" w:hAnsi="Calibri" w:eastAsia="宋体" w:cstheme="majorBidi"/>
      <w:bCs w:val="0"/>
      <w:iCs/>
      <w:smallCaps/>
      <w:spacing w:val="5"/>
      <w:kern w:val="0"/>
      <w:sz w:val="24"/>
      <w:szCs w:val="24"/>
    </w:rPr>
  </w:style>
  <w:style w:type="character" w:customStyle="1" w:styleId="2762">
    <w:name w:val="样式 标题 3 + 小四 Char"/>
    <w:link w:val="2761"/>
    <w:qFormat/>
    <w:uiPriority w:val="0"/>
    <w:rPr>
      <w:rFonts w:ascii="Calibri" w:hAnsi="Calibri" w:cstheme="majorBidi"/>
      <w:b/>
      <w:iCs/>
      <w:smallCaps/>
      <w:spacing w:val="5"/>
      <w:sz w:val="24"/>
      <w:szCs w:val="24"/>
    </w:rPr>
  </w:style>
  <w:style w:type="paragraph" w:customStyle="1" w:styleId="2763">
    <w:name w:val="Char Char Char Char Char Char Char Char Char Char Char Char Char Char Char Char Char Char1 Char Char Char Char Char Char Char Char Char Char Char Char1 Char Char Char1"/>
    <w:basedOn w:val="1"/>
    <w:next w:val="1"/>
    <w:qFormat/>
    <w:uiPriority w:val="0"/>
    <w:pPr>
      <w:widowControl/>
      <w:spacing w:line="360" w:lineRule="auto"/>
      <w:ind w:firstLine="200" w:firstLineChars="200"/>
      <w:jc w:val="left"/>
    </w:pPr>
    <w:rPr>
      <w:rFonts w:ascii="宋体" w:cs="宋体"/>
      <w:kern w:val="0"/>
    </w:rPr>
  </w:style>
  <w:style w:type="paragraph" w:customStyle="1" w:styleId="2764">
    <w:name w:val="样式39"/>
    <w:basedOn w:val="2490"/>
    <w:link w:val="2765"/>
    <w:qFormat/>
    <w:uiPriority w:val="0"/>
    <w:rPr>
      <w:sz w:val="20"/>
      <w:szCs w:val="20"/>
    </w:rPr>
  </w:style>
  <w:style w:type="character" w:customStyle="1" w:styleId="2765">
    <w:name w:val="样式39 Char"/>
    <w:link w:val="2764"/>
    <w:qFormat/>
    <w:uiPriority w:val="0"/>
    <w:rPr>
      <w:rFonts w:cstheme="majorBidi"/>
    </w:rPr>
  </w:style>
  <w:style w:type="paragraph" w:customStyle="1" w:styleId="2766">
    <w:name w:val="环评表头"/>
    <w:link w:val="2767"/>
    <w:qFormat/>
    <w:uiPriority w:val="0"/>
    <w:pPr>
      <w:adjustRightInd w:val="0"/>
      <w:spacing w:line="360" w:lineRule="auto"/>
      <w:jc w:val="center"/>
    </w:pPr>
    <w:rPr>
      <w:rFonts w:asciiTheme="majorHAnsi" w:hAnsiTheme="majorHAnsi" w:eastAsiaTheme="majorEastAsia" w:cstheme="majorBidi"/>
      <w:b/>
      <w:bCs/>
      <w:spacing w:val="-18"/>
      <w:kern w:val="44"/>
      <w:sz w:val="24"/>
      <w:szCs w:val="30"/>
      <w:lang w:val="en-US" w:eastAsia="zh-CN" w:bidi="ar-SA"/>
    </w:rPr>
  </w:style>
  <w:style w:type="character" w:customStyle="1" w:styleId="2767">
    <w:name w:val="环评表头 Char"/>
    <w:link w:val="2766"/>
    <w:qFormat/>
    <w:uiPriority w:val="0"/>
    <w:rPr>
      <w:rFonts w:asciiTheme="majorHAnsi" w:hAnsiTheme="majorHAnsi" w:eastAsiaTheme="majorEastAsia" w:cstheme="majorBidi"/>
      <w:b/>
      <w:bCs/>
      <w:spacing w:val="-18"/>
      <w:kern w:val="44"/>
      <w:sz w:val="24"/>
      <w:szCs w:val="30"/>
    </w:rPr>
  </w:style>
  <w:style w:type="paragraph" w:customStyle="1" w:styleId="2768">
    <w:name w:val="正文小四"/>
    <w:link w:val="2769"/>
    <w:qFormat/>
    <w:uiPriority w:val="0"/>
    <w:pPr>
      <w:spacing w:afterLines="50" w:line="360" w:lineRule="auto"/>
      <w:ind w:firstLine="200" w:firstLineChars="200"/>
    </w:pPr>
    <w:rPr>
      <w:rFonts w:asciiTheme="majorHAnsi" w:hAnsiTheme="majorHAnsi" w:eastAsiaTheme="majorEastAsia" w:cstheme="majorBidi"/>
      <w:sz w:val="24"/>
      <w:szCs w:val="24"/>
      <w:lang w:val="en-US" w:eastAsia="zh-CN" w:bidi="ar-SA"/>
    </w:rPr>
  </w:style>
  <w:style w:type="character" w:customStyle="1" w:styleId="2769">
    <w:name w:val="正文小四 Char"/>
    <w:link w:val="2768"/>
    <w:qFormat/>
    <w:uiPriority w:val="0"/>
    <w:rPr>
      <w:rFonts w:asciiTheme="majorHAnsi" w:hAnsiTheme="majorHAnsi" w:eastAsiaTheme="majorEastAsia" w:cstheme="majorBidi"/>
      <w:sz w:val="24"/>
      <w:szCs w:val="24"/>
    </w:rPr>
  </w:style>
  <w:style w:type="paragraph" w:customStyle="1" w:styleId="2770">
    <w:name w:val="图标标题"/>
    <w:basedOn w:val="1"/>
    <w:link w:val="2771"/>
    <w:qFormat/>
    <w:uiPriority w:val="0"/>
    <w:pPr>
      <w:widowControl/>
      <w:spacing w:line="360" w:lineRule="auto"/>
      <w:ind w:firstLine="200" w:firstLineChars="200"/>
      <w:jc w:val="center"/>
    </w:pPr>
    <w:rPr>
      <w:rFonts w:eastAsia="黑体" w:cs="宋体"/>
      <w:kern w:val="0"/>
      <w:szCs w:val="20"/>
    </w:rPr>
  </w:style>
  <w:style w:type="character" w:customStyle="1" w:styleId="2771">
    <w:name w:val="图标标题 Char"/>
    <w:link w:val="2770"/>
    <w:qFormat/>
    <w:uiPriority w:val="0"/>
    <w:rPr>
      <w:rFonts w:eastAsia="黑体" w:cs="宋体"/>
      <w:sz w:val="24"/>
    </w:rPr>
  </w:style>
  <w:style w:type="paragraph" w:customStyle="1" w:styleId="2772">
    <w:name w:val="Normal Char"/>
    <w:link w:val="2773"/>
    <w:qFormat/>
    <w:uiPriority w:val="0"/>
    <w:pPr>
      <w:widowControl w:val="0"/>
      <w:adjustRightInd w:val="0"/>
      <w:spacing w:line="360" w:lineRule="atLeast"/>
      <w:textAlignment w:val="baseline"/>
    </w:pPr>
    <w:rPr>
      <w:rFonts w:ascii="宋体" w:hAnsiTheme="majorHAnsi" w:eastAsiaTheme="majorEastAsia" w:cstheme="majorBidi"/>
      <w:sz w:val="34"/>
      <w:szCs w:val="24"/>
      <w:lang w:val="en-US" w:eastAsia="zh-CN" w:bidi="ar-SA"/>
    </w:rPr>
  </w:style>
  <w:style w:type="character" w:customStyle="1" w:styleId="2773">
    <w:name w:val="Normal Char Char"/>
    <w:link w:val="2772"/>
    <w:qFormat/>
    <w:uiPriority w:val="0"/>
    <w:rPr>
      <w:rFonts w:ascii="宋体" w:hAnsiTheme="majorHAnsi" w:eastAsiaTheme="majorEastAsia" w:cstheme="majorBidi"/>
      <w:sz w:val="34"/>
      <w:szCs w:val="24"/>
    </w:rPr>
  </w:style>
  <w:style w:type="paragraph" w:customStyle="1" w:styleId="2774">
    <w:name w:val="n标题 3"/>
    <w:next w:val="2768"/>
    <w:link w:val="2775"/>
    <w:qFormat/>
    <w:uiPriority w:val="0"/>
    <w:pPr>
      <w:spacing w:line="360" w:lineRule="auto"/>
      <w:outlineLvl w:val="2"/>
    </w:pPr>
    <w:rPr>
      <w:rFonts w:ascii="Arial" w:hAnsi="Arial" w:eastAsiaTheme="majorEastAsia" w:cstheme="majorBidi"/>
      <w:b/>
      <w:bCs/>
      <w:sz w:val="24"/>
      <w:szCs w:val="24"/>
      <w:lang w:val="en-US" w:eastAsia="zh-CN" w:bidi="ar-SA"/>
    </w:rPr>
  </w:style>
  <w:style w:type="character" w:customStyle="1" w:styleId="2775">
    <w:name w:val="n标题 3 Char"/>
    <w:link w:val="2774"/>
    <w:qFormat/>
    <w:uiPriority w:val="0"/>
    <w:rPr>
      <w:rFonts w:ascii="Arial" w:hAnsi="Arial" w:eastAsiaTheme="majorEastAsia" w:cstheme="majorBidi"/>
      <w:b/>
      <w:bCs/>
      <w:sz w:val="24"/>
      <w:szCs w:val="24"/>
    </w:rPr>
  </w:style>
  <w:style w:type="paragraph" w:customStyle="1" w:styleId="2776">
    <w:name w:val="段落"/>
    <w:basedOn w:val="1"/>
    <w:qFormat/>
    <w:uiPriority w:val="0"/>
    <w:pPr>
      <w:widowControl/>
      <w:spacing w:line="360" w:lineRule="auto"/>
      <w:ind w:firstLine="560" w:firstLineChars="200"/>
      <w:jc w:val="left"/>
    </w:pPr>
    <w:rPr>
      <w:rFonts w:ascii="宋体" w:hAnsi="宋体" w:cstheme="majorBidi"/>
      <w:color w:val="000000"/>
      <w:kern w:val="0"/>
      <w:sz w:val="28"/>
      <w:szCs w:val="20"/>
    </w:rPr>
  </w:style>
  <w:style w:type="paragraph" w:customStyle="1" w:styleId="2777">
    <w:name w:val="常用正文"/>
    <w:basedOn w:val="1"/>
    <w:link w:val="2778"/>
    <w:qFormat/>
    <w:uiPriority w:val="0"/>
    <w:pPr>
      <w:widowControl/>
      <w:spacing w:line="360" w:lineRule="auto"/>
      <w:ind w:firstLine="200" w:firstLineChars="200"/>
      <w:jc w:val="left"/>
    </w:pPr>
    <w:rPr>
      <w:rFonts w:cstheme="majorBidi"/>
      <w:kern w:val="0"/>
      <w:sz w:val="20"/>
      <w:szCs w:val="21"/>
    </w:rPr>
  </w:style>
  <w:style w:type="character" w:customStyle="1" w:styleId="2778">
    <w:name w:val="常用正文 Char"/>
    <w:link w:val="2777"/>
    <w:qFormat/>
    <w:uiPriority w:val="0"/>
    <w:rPr>
      <w:rFonts w:cstheme="majorBidi"/>
      <w:szCs w:val="21"/>
    </w:rPr>
  </w:style>
  <w:style w:type="paragraph" w:customStyle="1" w:styleId="2779">
    <w:name w:val="明显引用1"/>
    <w:basedOn w:val="1"/>
    <w:next w:val="1"/>
    <w:qFormat/>
    <w:uiPriority w:val="30"/>
    <w:pPr>
      <w:widowControl/>
      <w:spacing w:line="360" w:lineRule="auto"/>
      <w:ind w:left="720" w:right="720" w:firstLine="200" w:firstLineChars="200"/>
      <w:jc w:val="left"/>
    </w:pPr>
    <w:rPr>
      <w:rFonts w:cstheme="majorBidi"/>
      <w:b/>
      <w:i/>
      <w:kern w:val="0"/>
      <w:szCs w:val="20"/>
    </w:rPr>
  </w:style>
  <w:style w:type="paragraph" w:customStyle="1" w:styleId="2780">
    <w:name w:val="hb3"/>
    <w:basedOn w:val="5"/>
    <w:link w:val="2781"/>
    <w:qFormat/>
    <w:uiPriority w:val="0"/>
    <w:pPr>
      <w:keepNext w:val="0"/>
      <w:keepLines w:val="0"/>
      <w:widowControl/>
      <w:numPr>
        <w:ilvl w:val="0"/>
        <w:numId w:val="0"/>
      </w:numPr>
      <w:adjustRightInd w:val="0"/>
      <w:snapToGrid w:val="0"/>
      <w:spacing w:line="360" w:lineRule="auto"/>
      <w:jc w:val="left"/>
      <w:textAlignment w:val="baseline"/>
    </w:pPr>
    <w:rPr>
      <w:rFonts w:ascii="宋体" w:hAnsi="宋体" w:eastAsia="宋体" w:cstheme="majorBidi"/>
      <w:bCs w:val="0"/>
      <w:iCs/>
      <w:smallCaps/>
      <w:spacing w:val="5"/>
      <w:kern w:val="0"/>
      <w:sz w:val="24"/>
      <w:szCs w:val="26"/>
    </w:rPr>
  </w:style>
  <w:style w:type="character" w:customStyle="1" w:styleId="2781">
    <w:name w:val="hb3 Char"/>
    <w:link w:val="2780"/>
    <w:qFormat/>
    <w:uiPriority w:val="0"/>
    <w:rPr>
      <w:rFonts w:ascii="宋体" w:hAnsi="宋体" w:cstheme="majorBidi"/>
      <w:b/>
      <w:iCs/>
      <w:smallCaps/>
      <w:spacing w:val="5"/>
      <w:sz w:val="24"/>
      <w:szCs w:val="26"/>
    </w:rPr>
  </w:style>
  <w:style w:type="paragraph" w:customStyle="1" w:styleId="2782">
    <w:name w:val="君邦正文"/>
    <w:basedOn w:val="1"/>
    <w:link w:val="2783"/>
    <w:qFormat/>
    <w:uiPriority w:val="0"/>
    <w:pPr>
      <w:widowControl/>
      <w:spacing w:after="60" w:line="360" w:lineRule="auto"/>
      <w:ind w:firstLine="200" w:firstLineChars="200"/>
      <w:jc w:val="left"/>
    </w:pPr>
    <w:rPr>
      <w:rFonts w:cstheme="majorBidi"/>
      <w:kern w:val="0"/>
      <w:szCs w:val="20"/>
    </w:rPr>
  </w:style>
  <w:style w:type="character" w:customStyle="1" w:styleId="2783">
    <w:name w:val="君邦正文 Char2"/>
    <w:link w:val="2782"/>
    <w:qFormat/>
    <w:uiPriority w:val="0"/>
    <w:rPr>
      <w:rFonts w:cstheme="majorBidi"/>
      <w:sz w:val="24"/>
    </w:rPr>
  </w:style>
  <w:style w:type="paragraph" w:customStyle="1" w:styleId="2784">
    <w:name w:val="标题3YHY"/>
    <w:basedOn w:val="5"/>
    <w:next w:val="6"/>
    <w:link w:val="2785"/>
    <w:qFormat/>
    <w:uiPriority w:val="0"/>
    <w:pPr>
      <w:keepNext w:val="0"/>
      <w:keepLines w:val="0"/>
      <w:widowControl/>
      <w:numPr>
        <w:ilvl w:val="0"/>
        <w:numId w:val="0"/>
      </w:numPr>
      <w:adjustRightInd w:val="0"/>
      <w:snapToGrid w:val="0"/>
      <w:spacing w:beforeLines="50" w:afterLines="50" w:line="360" w:lineRule="auto"/>
      <w:jc w:val="left"/>
    </w:pPr>
    <w:rPr>
      <w:rFonts w:ascii="等线" w:hAnsi="等线" w:eastAsia="等线" w:cstheme="majorBidi"/>
      <w:b w:val="0"/>
      <w:iCs/>
      <w:smallCaps/>
      <w:spacing w:val="5"/>
      <w:kern w:val="0"/>
      <w:sz w:val="24"/>
      <w:szCs w:val="24"/>
    </w:rPr>
  </w:style>
  <w:style w:type="character" w:customStyle="1" w:styleId="2785">
    <w:name w:val="标题3YHY Char"/>
    <w:link w:val="2784"/>
    <w:qFormat/>
    <w:uiPriority w:val="0"/>
    <w:rPr>
      <w:rFonts w:ascii="等线" w:hAnsi="等线" w:eastAsia="等线" w:cstheme="majorBidi"/>
      <w:bCs/>
      <w:iCs/>
      <w:smallCaps/>
      <w:spacing w:val="5"/>
      <w:sz w:val="24"/>
      <w:szCs w:val="24"/>
    </w:rPr>
  </w:style>
  <w:style w:type="paragraph" w:customStyle="1" w:styleId="2786">
    <w:name w:val="正文首行缩进2个字"/>
    <w:basedOn w:val="1"/>
    <w:link w:val="2787"/>
    <w:qFormat/>
    <w:uiPriority w:val="0"/>
    <w:pPr>
      <w:widowControl/>
      <w:spacing w:line="360" w:lineRule="auto"/>
      <w:ind w:firstLine="480" w:firstLineChars="200"/>
      <w:jc w:val="left"/>
    </w:pPr>
    <w:rPr>
      <w:rFonts w:cstheme="majorBidi"/>
      <w:kern w:val="0"/>
    </w:rPr>
  </w:style>
  <w:style w:type="character" w:customStyle="1" w:styleId="2787">
    <w:name w:val="正文首行缩进2个字 Char"/>
    <w:link w:val="2786"/>
    <w:qFormat/>
    <w:uiPriority w:val="0"/>
    <w:rPr>
      <w:rFonts w:cstheme="majorBidi"/>
      <w:sz w:val="24"/>
      <w:szCs w:val="24"/>
    </w:rPr>
  </w:style>
  <w:style w:type="paragraph" w:customStyle="1" w:styleId="2788">
    <w:name w:val="样式 表头YHY + 五号 自动设置"/>
    <w:basedOn w:val="2540"/>
    <w:link w:val="2789"/>
    <w:qFormat/>
    <w:uiPriority w:val="0"/>
    <w:rPr>
      <w:rFonts w:ascii="Calibri" w:eastAsia="宋体" w:cs="Times New Roman"/>
      <w:bCs/>
      <w:szCs w:val="20"/>
    </w:rPr>
  </w:style>
  <w:style w:type="character" w:customStyle="1" w:styleId="2789">
    <w:name w:val="样式 表头YHY + 五号 自动设置 Char"/>
    <w:link w:val="2788"/>
    <w:qFormat/>
    <w:uiPriority w:val="0"/>
    <w:rPr>
      <w:rFonts w:ascii="Calibri" w:hAnsi="Calibri"/>
      <w:bCs/>
      <w:iCs/>
      <w:lang w:bidi="zh-CN"/>
    </w:rPr>
  </w:style>
  <w:style w:type="paragraph" w:customStyle="1" w:styleId="2790">
    <w:name w:val="样式 表格 + 两端对齐"/>
    <w:basedOn w:val="1"/>
    <w:link w:val="2791"/>
    <w:semiHidden/>
    <w:qFormat/>
    <w:uiPriority w:val="0"/>
    <w:pPr>
      <w:keepNext/>
      <w:widowControl/>
      <w:tabs>
        <w:tab w:val="left" w:pos="3660"/>
      </w:tabs>
      <w:snapToGrid w:val="0"/>
      <w:spacing w:before="100" w:beforeAutospacing="1" w:after="100" w:afterAutospacing="1" w:line="360" w:lineRule="auto"/>
      <w:ind w:firstLine="200" w:firstLineChars="200"/>
      <w:jc w:val="left"/>
    </w:pPr>
    <w:rPr>
      <w:rFonts w:ascii="黑体" w:hAnsi="Arial" w:cstheme="majorBidi"/>
      <w:kern w:val="0"/>
      <w:szCs w:val="28"/>
    </w:rPr>
  </w:style>
  <w:style w:type="character" w:customStyle="1" w:styleId="2791">
    <w:name w:val="样式 表格 + 两端对齐 Char"/>
    <w:link w:val="2790"/>
    <w:semiHidden/>
    <w:qFormat/>
    <w:uiPriority w:val="0"/>
    <w:rPr>
      <w:rFonts w:ascii="黑体" w:hAnsi="Arial" w:cstheme="majorBidi"/>
      <w:sz w:val="24"/>
      <w:szCs w:val="28"/>
    </w:rPr>
  </w:style>
  <w:style w:type="paragraph" w:customStyle="1" w:styleId="2792">
    <w:name w:val="1.3行"/>
    <w:basedOn w:val="1"/>
    <w:link w:val="2793"/>
    <w:qFormat/>
    <w:uiPriority w:val="0"/>
    <w:pPr>
      <w:widowControl/>
      <w:adjustRightInd w:val="0"/>
      <w:snapToGrid w:val="0"/>
      <w:spacing w:line="312" w:lineRule="auto"/>
      <w:ind w:firstLine="200" w:firstLineChars="200"/>
      <w:jc w:val="left"/>
      <w:textAlignment w:val="center"/>
    </w:pPr>
    <w:rPr>
      <w:rFonts w:ascii="宋体" w:hAnsi="宋体" w:cstheme="majorBidi"/>
      <w:color w:val="000000"/>
      <w:kern w:val="0"/>
      <w:sz w:val="28"/>
    </w:rPr>
  </w:style>
  <w:style w:type="character" w:customStyle="1" w:styleId="2793">
    <w:name w:val="1.3行 Char"/>
    <w:link w:val="2792"/>
    <w:qFormat/>
    <w:uiPriority w:val="0"/>
    <w:rPr>
      <w:rFonts w:ascii="宋体" w:hAnsi="宋体" w:cstheme="majorBidi"/>
      <w:color w:val="000000"/>
      <w:sz w:val="28"/>
      <w:szCs w:val="24"/>
    </w:rPr>
  </w:style>
  <w:style w:type="paragraph" w:customStyle="1" w:styleId="2794">
    <w:name w:val="样式 样式 小四 段前: 7.8 磅 段后: 7.8 磅 行距: 1.5 倍行距 + 首行缩进:  2 字符"/>
    <w:basedOn w:val="1"/>
    <w:link w:val="2795"/>
    <w:qFormat/>
    <w:uiPriority w:val="0"/>
    <w:pPr>
      <w:widowControl/>
      <w:spacing w:line="360" w:lineRule="auto"/>
      <w:ind w:firstLine="200" w:firstLineChars="200"/>
      <w:jc w:val="center"/>
    </w:pPr>
    <w:rPr>
      <w:rFonts w:cstheme="majorBidi"/>
      <w:b/>
      <w:kern w:val="0"/>
      <w:sz w:val="20"/>
      <w:szCs w:val="21"/>
    </w:rPr>
  </w:style>
  <w:style w:type="character" w:customStyle="1" w:styleId="2795">
    <w:name w:val="样式 样式 小四 段前: 7.8 磅 段后: 7.8 磅 行距: 1.5 倍行距 + 首行缩进:  2 字符 Char"/>
    <w:link w:val="2794"/>
    <w:uiPriority w:val="0"/>
    <w:rPr>
      <w:rFonts w:cstheme="majorBidi"/>
      <w:b/>
      <w:szCs w:val="21"/>
    </w:rPr>
  </w:style>
  <w:style w:type="character" w:customStyle="1" w:styleId="2796">
    <w:name w:val="样式 样式 首行缩进:  1.01 厘米 + 首行缩进:  2 字符 Char"/>
    <w:link w:val="805"/>
    <w:qFormat/>
    <w:uiPriority w:val="0"/>
    <w:rPr>
      <w:rFonts w:ascii="黑体" w:eastAsia="黑体" w:cs="宋体"/>
      <w:color w:val="000000"/>
      <w:kern w:val="2"/>
      <w:sz w:val="28"/>
      <w:szCs w:val="28"/>
    </w:rPr>
  </w:style>
  <w:style w:type="paragraph" w:customStyle="1" w:styleId="2797">
    <w:name w:val="正文（首行缩进）"/>
    <w:basedOn w:val="1"/>
    <w:link w:val="2798"/>
    <w:qFormat/>
    <w:uiPriority w:val="0"/>
    <w:pPr>
      <w:widowControl/>
      <w:adjustRightInd w:val="0"/>
      <w:snapToGrid w:val="0"/>
      <w:spacing w:line="360" w:lineRule="auto"/>
      <w:ind w:firstLine="200" w:firstLineChars="200"/>
      <w:jc w:val="left"/>
    </w:pPr>
    <w:rPr>
      <w:rFonts w:ascii="宋体" w:hAnsi="宋体" w:cs="宋体"/>
      <w:color w:val="000000"/>
      <w:kern w:val="0"/>
      <w:szCs w:val="20"/>
    </w:rPr>
  </w:style>
  <w:style w:type="character" w:customStyle="1" w:styleId="2798">
    <w:name w:val="正文（首行缩进） Char"/>
    <w:link w:val="2797"/>
    <w:qFormat/>
    <w:uiPriority w:val="0"/>
    <w:rPr>
      <w:rFonts w:ascii="宋体" w:hAnsi="宋体" w:cs="宋体"/>
      <w:color w:val="000000"/>
      <w:sz w:val="24"/>
    </w:rPr>
  </w:style>
  <w:style w:type="paragraph" w:customStyle="1" w:styleId="2799">
    <w:name w:val="样式 表头YHY + 自动设置"/>
    <w:basedOn w:val="2540"/>
    <w:link w:val="2800"/>
    <w:qFormat/>
    <w:uiPriority w:val="0"/>
    <w:rPr>
      <w:rFonts w:ascii="Calibri" w:eastAsia="宋体" w:cs="Times New Roman"/>
      <w:bCs/>
      <w:szCs w:val="20"/>
    </w:rPr>
  </w:style>
  <w:style w:type="character" w:customStyle="1" w:styleId="2800">
    <w:name w:val="样式 表头YHY + 自动设置 Char"/>
    <w:link w:val="2799"/>
    <w:qFormat/>
    <w:uiPriority w:val="0"/>
    <w:rPr>
      <w:rFonts w:ascii="Calibri" w:hAnsi="Calibri"/>
      <w:bCs/>
      <w:iCs/>
      <w:lang w:bidi="zh-CN"/>
    </w:rPr>
  </w:style>
  <w:style w:type="paragraph" w:customStyle="1" w:styleId="2801">
    <w:name w:val="一级标题"/>
    <w:basedOn w:val="3"/>
    <w:link w:val="2802"/>
    <w:uiPriority w:val="0"/>
    <w:pPr>
      <w:keepNext w:val="0"/>
      <w:widowControl/>
      <w:numPr>
        <w:numId w:val="0"/>
      </w:numPr>
      <w:tabs>
        <w:tab w:val="left" w:pos="720"/>
        <w:tab w:val="clear" w:pos="0"/>
      </w:tabs>
      <w:spacing w:before="340" w:beforeLines="50" w:after="330" w:afterLines="50" w:line="360" w:lineRule="auto"/>
      <w:ind w:left="720" w:hanging="720"/>
      <w:contextualSpacing/>
      <w:jc w:val="left"/>
    </w:pPr>
    <w:rPr>
      <w:rFonts w:ascii="黑体" w:hAnsi="Arial Unicode MS" w:cs="Arial Unicode MS"/>
      <w:smallCaps/>
      <w:spacing w:val="5"/>
      <w:kern w:val="0"/>
      <w:sz w:val="30"/>
      <w:szCs w:val="30"/>
    </w:rPr>
  </w:style>
  <w:style w:type="character" w:customStyle="1" w:styleId="2802">
    <w:name w:val="一级标题 Char"/>
    <w:link w:val="2801"/>
    <w:qFormat/>
    <w:uiPriority w:val="0"/>
    <w:rPr>
      <w:rFonts w:ascii="黑体" w:hAnsi="Arial Unicode MS" w:eastAsia="黑体" w:cs="Arial Unicode MS"/>
      <w:b/>
      <w:smallCaps/>
      <w:spacing w:val="5"/>
      <w:sz w:val="30"/>
      <w:szCs w:val="30"/>
    </w:rPr>
  </w:style>
  <w:style w:type="paragraph" w:customStyle="1" w:styleId="2803">
    <w:name w:val="仿宋体"/>
    <w:basedOn w:val="1"/>
    <w:qFormat/>
    <w:uiPriority w:val="99"/>
    <w:pPr>
      <w:widowControl/>
      <w:spacing w:line="844" w:lineRule="atLeast"/>
      <w:ind w:firstLine="419" w:firstLineChars="200"/>
      <w:jc w:val="left"/>
      <w:textAlignment w:val="baseline"/>
    </w:pPr>
    <w:rPr>
      <w:rFonts w:ascii="宋体" w:hAnsi="宋体" w:eastAsia="仿宋_GB2312" w:cs="宋体"/>
      <w:color w:val="000000"/>
      <w:kern w:val="0"/>
      <w:sz w:val="31"/>
      <w:szCs w:val="20"/>
      <w:u w:color="000000"/>
    </w:rPr>
  </w:style>
  <w:style w:type="paragraph" w:customStyle="1" w:styleId="2804">
    <w:name w:val="封面标准文稿编辑信息"/>
    <w:qFormat/>
    <w:uiPriority w:val="0"/>
    <w:pPr>
      <w:spacing w:before="180" w:line="180" w:lineRule="exact"/>
      <w:jc w:val="center"/>
    </w:pPr>
    <w:rPr>
      <w:rFonts w:ascii="宋体" w:hAnsi="Times New Roman" w:eastAsiaTheme="majorEastAsia" w:cstheme="majorBidi"/>
      <w:sz w:val="21"/>
      <w:szCs w:val="22"/>
      <w:lang w:val="en-US" w:eastAsia="zh-CN" w:bidi="ar-SA"/>
    </w:rPr>
  </w:style>
  <w:style w:type="paragraph" w:customStyle="1" w:styleId="2805">
    <w:name w:val="标题 2YHY"/>
    <w:basedOn w:val="4"/>
    <w:link w:val="2806"/>
    <w:qFormat/>
    <w:uiPriority w:val="0"/>
    <w:pPr>
      <w:keepNext w:val="0"/>
      <w:keepLines w:val="0"/>
      <w:widowControl/>
      <w:numPr>
        <w:ilvl w:val="0"/>
        <w:numId w:val="0"/>
      </w:numPr>
      <w:spacing w:before="260" w:beforeLines="50" w:after="260" w:afterLines="50"/>
      <w:jc w:val="left"/>
    </w:pPr>
    <w:rPr>
      <w:rFonts w:ascii="Calibri" w:hAnsi="Calibri" w:cs="Arial Unicode MS"/>
      <w:bCs w:val="0"/>
      <w:smallCaps/>
      <w:color w:val="000000"/>
      <w:kern w:val="0"/>
      <w:sz w:val="28"/>
      <w:szCs w:val="28"/>
    </w:rPr>
  </w:style>
  <w:style w:type="character" w:customStyle="1" w:styleId="2806">
    <w:name w:val="标题 2YHY Char"/>
    <w:link w:val="2805"/>
    <w:qFormat/>
    <w:uiPriority w:val="0"/>
    <w:rPr>
      <w:rFonts w:ascii="Calibri" w:hAnsi="Calibri" w:eastAsia="黑体" w:cs="Arial Unicode MS"/>
      <w:b/>
      <w:smallCaps/>
      <w:color w:val="000000"/>
      <w:sz w:val="28"/>
      <w:szCs w:val="28"/>
    </w:rPr>
  </w:style>
  <w:style w:type="paragraph" w:customStyle="1" w:styleId="2807">
    <w:name w:val="GH1_03一、标题"/>
    <w:next w:val="1"/>
    <w:qFormat/>
    <w:uiPriority w:val="99"/>
    <w:pPr>
      <w:keepNext/>
      <w:spacing w:line="360" w:lineRule="auto"/>
      <w:jc w:val="both"/>
      <w:outlineLvl w:val="2"/>
    </w:pPr>
    <w:rPr>
      <w:rFonts w:ascii="Times New Roman" w:hAnsi="Times New Roman" w:eastAsia="黑体" w:cstheme="majorBidi"/>
      <w:b/>
      <w:kern w:val="2"/>
      <w:sz w:val="32"/>
      <w:szCs w:val="24"/>
      <w:lang w:val="en-US" w:eastAsia="zh-CN" w:bidi="ar-SA"/>
    </w:rPr>
  </w:style>
  <w:style w:type="paragraph" w:customStyle="1" w:styleId="2808">
    <w:name w:val="样式 样式 样式 样式 正文缩进 + 首行缩进:  2 字符 + 首行缩进:  2 字符2 + 首行缩进:  2 字符 + 首行..."/>
    <w:basedOn w:val="1"/>
    <w:qFormat/>
    <w:uiPriority w:val="0"/>
    <w:pPr>
      <w:widowControl/>
      <w:spacing w:beforeLines="25" w:afterLines="25" w:line="400" w:lineRule="exact"/>
      <w:ind w:firstLine="200" w:firstLineChars="200"/>
      <w:jc w:val="left"/>
    </w:pPr>
    <w:rPr>
      <w:rFonts w:cs="宋体"/>
      <w:kern w:val="0"/>
      <w:sz w:val="28"/>
      <w:szCs w:val="20"/>
    </w:rPr>
  </w:style>
  <w:style w:type="paragraph" w:customStyle="1" w:styleId="2809">
    <w:name w:val="样式 三江正文 + 左侧:  2 字符"/>
    <w:basedOn w:val="1"/>
    <w:link w:val="2810"/>
    <w:qFormat/>
    <w:uiPriority w:val="0"/>
    <w:pPr>
      <w:widowControl/>
      <w:spacing w:line="360" w:lineRule="auto"/>
      <w:ind w:firstLine="200" w:firstLineChars="200"/>
      <w:jc w:val="left"/>
    </w:pPr>
    <w:rPr>
      <w:rFonts w:cs="宋体"/>
      <w:kern w:val="0"/>
      <w:szCs w:val="20"/>
    </w:rPr>
  </w:style>
  <w:style w:type="character" w:customStyle="1" w:styleId="2810">
    <w:name w:val="样式 三江正文 + 左侧:  2 字符 Char"/>
    <w:link w:val="2809"/>
    <w:qFormat/>
    <w:uiPriority w:val="0"/>
    <w:rPr>
      <w:rFonts w:cs="宋体"/>
      <w:sz w:val="24"/>
    </w:rPr>
  </w:style>
  <w:style w:type="paragraph" w:customStyle="1" w:styleId="2811">
    <w:name w:val="基准标题"/>
    <w:basedOn w:val="34"/>
    <w:next w:val="34"/>
    <w:link w:val="2812"/>
    <w:qFormat/>
    <w:uiPriority w:val="0"/>
    <w:pPr>
      <w:widowControl/>
      <w:snapToGrid w:val="0"/>
      <w:spacing w:before="80" w:after="80" w:line="360" w:lineRule="auto"/>
      <w:ind w:firstLine="200" w:firstLineChars="200"/>
      <w:jc w:val="center"/>
    </w:pPr>
    <w:rPr>
      <w:rFonts w:cstheme="majorBidi"/>
      <w:kern w:val="0"/>
    </w:rPr>
  </w:style>
  <w:style w:type="character" w:customStyle="1" w:styleId="2812">
    <w:name w:val="基准标题 Char"/>
    <w:link w:val="2811"/>
    <w:uiPriority w:val="0"/>
    <w:rPr>
      <w:rFonts w:cstheme="majorBidi"/>
      <w:sz w:val="18"/>
      <w:szCs w:val="24"/>
    </w:rPr>
  </w:style>
  <w:style w:type="paragraph" w:customStyle="1" w:styleId="2813">
    <w:name w:val="样式85"/>
    <w:basedOn w:val="1"/>
    <w:link w:val="2814"/>
    <w:qFormat/>
    <w:uiPriority w:val="0"/>
    <w:pPr>
      <w:widowControl/>
      <w:spacing w:before="156" w:after="156" w:line="360" w:lineRule="auto"/>
      <w:ind w:firstLine="480" w:firstLineChars="200"/>
      <w:jc w:val="left"/>
    </w:pPr>
    <w:rPr>
      <w:rFonts w:ascii="宋体" w:cstheme="majorBidi"/>
      <w:color w:val="000000"/>
      <w:kern w:val="0"/>
    </w:rPr>
  </w:style>
  <w:style w:type="character" w:customStyle="1" w:styleId="2814">
    <w:name w:val="样式85 Char"/>
    <w:link w:val="2813"/>
    <w:qFormat/>
    <w:uiPriority w:val="0"/>
    <w:rPr>
      <w:rFonts w:ascii="宋体" w:cstheme="majorBidi"/>
      <w:color w:val="000000"/>
      <w:sz w:val="24"/>
      <w:szCs w:val="24"/>
    </w:rPr>
  </w:style>
  <w:style w:type="paragraph" w:customStyle="1" w:styleId="2815">
    <w:name w:val="文本文字"/>
    <w:basedOn w:val="1"/>
    <w:qFormat/>
    <w:uiPriority w:val="0"/>
    <w:pPr>
      <w:widowControl/>
      <w:overflowPunct w:val="0"/>
      <w:autoSpaceDE w:val="0"/>
      <w:autoSpaceDN w:val="0"/>
      <w:adjustRightInd w:val="0"/>
      <w:spacing w:line="240" w:lineRule="atLeast"/>
      <w:ind w:firstLine="200" w:firstLineChars="200"/>
      <w:jc w:val="left"/>
      <w:textAlignment w:val="baseline"/>
    </w:pPr>
    <w:rPr>
      <w:rFonts w:eastAsia="仿宋_GB2312" w:cstheme="majorBidi"/>
      <w:kern w:val="0"/>
      <w:sz w:val="28"/>
      <w:szCs w:val="20"/>
    </w:rPr>
  </w:style>
  <w:style w:type="paragraph" w:customStyle="1" w:styleId="2816">
    <w:name w:val="48"/>
    <w:basedOn w:val="1"/>
    <w:qFormat/>
    <w:uiPriority w:val="0"/>
    <w:pPr>
      <w:widowControl/>
      <w:snapToGrid w:val="0"/>
      <w:spacing w:before="120" w:after="120" w:line="360" w:lineRule="auto"/>
      <w:ind w:firstLine="200" w:firstLineChars="200"/>
      <w:jc w:val="left"/>
    </w:pPr>
    <w:rPr>
      <w:rFonts w:hint="eastAsia" w:ascii="黑体" w:hAnsi="宋体" w:eastAsia="黑体" w:cstheme="majorBidi"/>
      <w:b/>
      <w:bCs/>
      <w:color w:val="000000"/>
      <w:kern w:val="0"/>
      <w:szCs w:val="21"/>
    </w:rPr>
  </w:style>
  <w:style w:type="paragraph" w:customStyle="1" w:styleId="2817">
    <w:name w:val="自动1"/>
    <w:basedOn w:val="1"/>
    <w:qFormat/>
    <w:uiPriority w:val="0"/>
    <w:pPr>
      <w:keepNext/>
      <w:keepLines/>
      <w:widowControl/>
      <w:numPr>
        <w:ilvl w:val="0"/>
        <w:numId w:val="36"/>
      </w:numPr>
      <w:tabs>
        <w:tab w:val="left" w:pos="432"/>
      </w:tabs>
      <w:spacing w:beforeLines="50" w:afterLines="50" w:line="360" w:lineRule="auto"/>
      <w:ind w:firstLine="200" w:firstLineChars="200"/>
      <w:jc w:val="left"/>
      <w:outlineLvl w:val="0"/>
    </w:pPr>
    <w:rPr>
      <w:rFonts w:ascii="黑体" w:hAnsi="Arial Unicode MS" w:eastAsia="黑体" w:cs="Arial Unicode MS"/>
      <w:b/>
      <w:bCs/>
      <w:color w:val="000000"/>
      <w:kern w:val="44"/>
      <w:sz w:val="30"/>
      <w:szCs w:val="30"/>
    </w:rPr>
  </w:style>
  <w:style w:type="paragraph" w:customStyle="1" w:styleId="2818">
    <w:name w:val="佛表"/>
    <w:basedOn w:val="66"/>
    <w:qFormat/>
    <w:uiPriority w:val="0"/>
    <w:pPr>
      <w:widowControl/>
      <w:spacing w:line="360" w:lineRule="auto"/>
      <w:ind w:left="0" w:firstLine="0" w:firstLineChars="0"/>
      <w:jc w:val="center"/>
    </w:pPr>
    <w:rPr>
      <w:rFonts w:ascii="仿宋_GB2312" w:hAnsi="宋体" w:eastAsia="仿宋_GB2312" w:cstheme="majorBidi"/>
      <w:kern w:val="0"/>
      <w:szCs w:val="21"/>
    </w:rPr>
  </w:style>
  <w:style w:type="paragraph" w:customStyle="1" w:styleId="2819">
    <w:name w:val="样式 宋体 小四 两端对齐 首行缩进:  0.85 厘米 行距: 1.5 倍行距"/>
    <w:basedOn w:val="1"/>
    <w:qFormat/>
    <w:uiPriority w:val="0"/>
    <w:pPr>
      <w:widowControl/>
      <w:spacing w:line="360" w:lineRule="auto"/>
      <w:ind w:firstLine="482" w:firstLineChars="200"/>
      <w:jc w:val="left"/>
    </w:pPr>
    <w:rPr>
      <w:rFonts w:cstheme="majorBidi"/>
      <w:kern w:val="0"/>
      <w:szCs w:val="20"/>
    </w:rPr>
  </w:style>
  <w:style w:type="paragraph" w:customStyle="1" w:styleId="2820">
    <w:name w:val="四号 行距: 固定值 25 磅"/>
    <w:basedOn w:val="1"/>
    <w:qFormat/>
    <w:uiPriority w:val="0"/>
    <w:pPr>
      <w:widowControl/>
      <w:adjustRightInd w:val="0"/>
      <w:snapToGrid w:val="0"/>
      <w:spacing w:line="340" w:lineRule="exact"/>
      <w:ind w:firstLine="422" w:firstLineChars="200"/>
      <w:jc w:val="center"/>
    </w:pPr>
    <w:rPr>
      <w:rFonts w:ascii="宋体" w:hAnsi="宋体" w:cstheme="majorBidi"/>
      <w:b/>
      <w:kern w:val="0"/>
      <w:szCs w:val="21"/>
      <w:lang w:val="zh-CN"/>
    </w:rPr>
  </w:style>
  <w:style w:type="paragraph" w:customStyle="1" w:styleId="2821">
    <w:name w:val="样式 标题 1标题 11一、 + 小三 行距: 1.5 倍行距"/>
    <w:basedOn w:val="3"/>
    <w:qFormat/>
    <w:uiPriority w:val="0"/>
    <w:pPr>
      <w:keepNext w:val="0"/>
      <w:widowControl/>
      <w:numPr>
        <w:numId w:val="0"/>
      </w:numPr>
      <w:tabs>
        <w:tab w:val="clear" w:pos="0"/>
      </w:tabs>
      <w:spacing w:line="360" w:lineRule="auto"/>
      <w:contextualSpacing/>
      <w:jc w:val="left"/>
    </w:pPr>
    <w:rPr>
      <w:rFonts w:ascii="黑体" w:cs="宋体"/>
      <w:smallCaps/>
      <w:spacing w:val="5"/>
      <w:kern w:val="0"/>
      <w:sz w:val="30"/>
      <w:szCs w:val="20"/>
    </w:rPr>
  </w:style>
  <w:style w:type="paragraph" w:customStyle="1" w:styleId="2822">
    <w:name w:val="地质报告正文"/>
    <w:basedOn w:val="1"/>
    <w:uiPriority w:val="0"/>
    <w:pPr>
      <w:widowControl/>
      <w:spacing w:line="360" w:lineRule="auto"/>
      <w:ind w:firstLine="200" w:firstLineChars="200"/>
      <w:jc w:val="left"/>
    </w:pPr>
    <w:rPr>
      <w:rFonts w:cstheme="majorBidi"/>
      <w:kern w:val="0"/>
      <w:sz w:val="28"/>
    </w:rPr>
  </w:style>
  <w:style w:type="paragraph" w:customStyle="1" w:styleId="2823">
    <w:name w:val="样式 样式 首行缩进:  2 字符 行距: 1.5 倍行距 + 首行缩进:  2 字符1"/>
    <w:basedOn w:val="1"/>
    <w:qFormat/>
    <w:uiPriority w:val="0"/>
    <w:pPr>
      <w:widowControl/>
      <w:adjustRightInd w:val="0"/>
      <w:snapToGrid w:val="0"/>
      <w:spacing w:line="460" w:lineRule="exact"/>
      <w:ind w:firstLine="200" w:firstLineChars="200"/>
      <w:jc w:val="left"/>
    </w:pPr>
    <w:rPr>
      <w:rFonts w:cstheme="majorBidi"/>
      <w:kern w:val="0"/>
    </w:rPr>
  </w:style>
  <w:style w:type="paragraph" w:customStyle="1" w:styleId="2824">
    <w:name w:val="xl17"/>
    <w:basedOn w:val="1"/>
    <w:qFormat/>
    <w:uiPriority w:val="0"/>
    <w:pPr>
      <w:widowControl/>
      <w:spacing w:before="100" w:beforeAutospacing="1" w:after="100" w:afterAutospacing="1" w:line="360" w:lineRule="auto"/>
      <w:ind w:firstLine="200" w:firstLineChars="200"/>
      <w:jc w:val="left"/>
    </w:pPr>
    <w:rPr>
      <w:rFonts w:eastAsia="Arial Unicode MS" w:cstheme="majorBidi"/>
      <w:kern w:val="0"/>
    </w:rPr>
  </w:style>
  <w:style w:type="paragraph" w:customStyle="1" w:styleId="2825">
    <w:name w:val="样式 样式 标题 2标题 21标题 121标题 2 Char1 Char节H2节标题 1.1节标题 1.1 Char... +"/>
    <w:basedOn w:val="2464"/>
    <w:qFormat/>
    <w:uiPriority w:val="0"/>
    <w:pPr>
      <w:snapToGrid/>
      <w:spacing w:beforeLines="0" w:after="100" w:line="460" w:lineRule="exact"/>
    </w:pPr>
    <w:rPr>
      <w:rFonts w:cs="宋体"/>
      <w:bCs w:val="0"/>
      <w:color w:val="000000"/>
      <w:kern w:val="2"/>
    </w:rPr>
  </w:style>
  <w:style w:type="paragraph" w:customStyle="1" w:styleId="2826">
    <w:name w:val="样式 样式 左侧:  2 字符 段后: 0.5 行 + 首行缩进:  2 字符 段后: 0.5 行"/>
    <w:basedOn w:val="1"/>
    <w:qFormat/>
    <w:uiPriority w:val="0"/>
    <w:pPr>
      <w:widowControl/>
      <w:spacing w:afterLines="50" w:line="360" w:lineRule="auto"/>
      <w:ind w:firstLine="560" w:firstLineChars="200"/>
      <w:jc w:val="left"/>
    </w:pPr>
    <w:rPr>
      <w:rFonts w:eastAsia="仿宋_GB2312" w:cstheme="majorBidi"/>
      <w:kern w:val="0"/>
      <w:sz w:val="28"/>
      <w:szCs w:val="28"/>
    </w:rPr>
  </w:style>
  <w:style w:type="paragraph" w:customStyle="1" w:styleId="2827">
    <w:name w:val="a3"/>
    <w:basedOn w:val="1"/>
    <w:uiPriority w:val="0"/>
    <w:pPr>
      <w:widowControl/>
      <w:spacing w:before="100" w:beforeAutospacing="1" w:after="100" w:afterAutospacing="1" w:line="360" w:lineRule="auto"/>
      <w:ind w:firstLine="200" w:firstLineChars="200"/>
      <w:jc w:val="left"/>
    </w:pPr>
    <w:rPr>
      <w:rFonts w:ascii="宋体" w:hAnsi="宋体" w:cstheme="majorBidi"/>
      <w:color w:val="000000"/>
      <w:kern w:val="0"/>
    </w:rPr>
  </w:style>
  <w:style w:type="paragraph" w:customStyle="1" w:styleId="2828">
    <w:name w:val="文章正文样式"/>
    <w:basedOn w:val="1"/>
    <w:link w:val="2829"/>
    <w:qFormat/>
    <w:uiPriority w:val="0"/>
    <w:pPr>
      <w:widowControl/>
      <w:spacing w:line="520" w:lineRule="exact"/>
      <w:ind w:firstLine="480" w:firstLineChars="200"/>
      <w:jc w:val="left"/>
    </w:pPr>
    <w:rPr>
      <w:rFonts w:ascii="宋体" w:hAnsi="宋体" w:cs="宋体"/>
      <w:kern w:val="0"/>
      <w:szCs w:val="20"/>
    </w:rPr>
  </w:style>
  <w:style w:type="character" w:customStyle="1" w:styleId="2829">
    <w:name w:val="文章正文样式 Char"/>
    <w:link w:val="2828"/>
    <w:qFormat/>
    <w:uiPriority w:val="0"/>
    <w:rPr>
      <w:rFonts w:ascii="宋体" w:hAnsi="宋体" w:cs="宋体"/>
      <w:sz w:val="24"/>
    </w:rPr>
  </w:style>
  <w:style w:type="paragraph" w:customStyle="1" w:styleId="2830">
    <w:name w:val="p1"/>
    <w:basedOn w:val="1"/>
    <w:uiPriority w:val="99"/>
    <w:pPr>
      <w:widowControl/>
      <w:spacing w:before="100" w:beforeAutospacing="1" w:after="100" w:afterAutospacing="1" w:line="360" w:lineRule="auto"/>
      <w:ind w:firstLine="465" w:firstLineChars="200"/>
      <w:jc w:val="left"/>
    </w:pPr>
    <w:rPr>
      <w:rFonts w:ascii="ˎ̥" w:hAnsi="ˎ̥" w:cstheme="majorBidi"/>
      <w:kern w:val="0"/>
      <w:szCs w:val="20"/>
    </w:rPr>
  </w:style>
  <w:style w:type="paragraph" w:customStyle="1" w:styleId="2831">
    <w:name w:val="自动3"/>
    <w:basedOn w:val="1"/>
    <w:link w:val="2832"/>
    <w:uiPriority w:val="0"/>
    <w:pPr>
      <w:keepNext/>
      <w:keepLines/>
      <w:widowControl/>
      <w:tabs>
        <w:tab w:val="left" w:pos="1418"/>
      </w:tabs>
      <w:spacing w:beforeLines="50" w:afterLines="50" w:line="360" w:lineRule="auto"/>
      <w:ind w:left="1418" w:hanging="567" w:firstLineChars="200"/>
      <w:jc w:val="left"/>
      <w:outlineLvl w:val="2"/>
    </w:pPr>
    <w:rPr>
      <w:rFonts w:ascii="宋体" w:hAnsi="宋体" w:cs="Arial Unicode MS"/>
      <w:b/>
      <w:color w:val="000000"/>
      <w:kern w:val="0"/>
    </w:rPr>
  </w:style>
  <w:style w:type="character" w:customStyle="1" w:styleId="2832">
    <w:name w:val="自动3 Char"/>
    <w:link w:val="2831"/>
    <w:qFormat/>
    <w:uiPriority w:val="0"/>
    <w:rPr>
      <w:rFonts w:ascii="宋体" w:hAnsi="宋体" w:cs="Arial Unicode MS"/>
      <w:b/>
      <w:color w:val="000000"/>
      <w:sz w:val="24"/>
      <w:szCs w:val="24"/>
    </w:rPr>
  </w:style>
  <w:style w:type="paragraph" w:customStyle="1" w:styleId="2833">
    <w:name w:val="样式 样式 样式 标题 3标题 13标题 3 Char1 Char Char Char标题 31ReHead 3 WSAh3B...."/>
    <w:basedOn w:val="1"/>
    <w:qFormat/>
    <w:uiPriority w:val="0"/>
    <w:pPr>
      <w:keepNext/>
      <w:keepLines/>
      <w:widowControl/>
      <w:spacing w:beforeLines="50" w:afterLines="50" w:line="460" w:lineRule="exact"/>
      <w:ind w:firstLine="200" w:firstLineChars="200"/>
      <w:jc w:val="left"/>
      <w:outlineLvl w:val="2"/>
    </w:pPr>
    <w:rPr>
      <w:rFonts w:cs="宋体"/>
      <w:b/>
      <w:bCs/>
      <w:color w:val="000000"/>
      <w:kern w:val="0"/>
      <w:szCs w:val="20"/>
    </w:rPr>
  </w:style>
  <w:style w:type="character" w:customStyle="1" w:styleId="2834">
    <w:name w:val="表格1 Char1"/>
    <w:qFormat/>
    <w:uiPriority w:val="0"/>
    <w:rPr>
      <w:rFonts w:ascii="宋体" w:hAnsi="宋体"/>
      <w:szCs w:val="24"/>
    </w:rPr>
  </w:style>
  <w:style w:type="paragraph" w:customStyle="1" w:styleId="2835">
    <w:name w:val="样式 行距: 固定值 28 磅"/>
    <w:basedOn w:val="1"/>
    <w:qFormat/>
    <w:uiPriority w:val="0"/>
    <w:pPr>
      <w:widowControl/>
      <w:spacing w:line="500" w:lineRule="exact"/>
      <w:ind w:firstLine="692" w:firstLineChars="250"/>
      <w:jc w:val="left"/>
    </w:pPr>
    <w:rPr>
      <w:rFonts w:ascii="宋体" w:hAnsi="宋体" w:cs="宋体"/>
      <w:kern w:val="0"/>
      <w:sz w:val="28"/>
      <w:szCs w:val="20"/>
    </w:rPr>
  </w:style>
  <w:style w:type="paragraph" w:customStyle="1" w:styleId="2836">
    <w:name w:val="样式 标题 3物探标题3 + 字符缩放: 80%"/>
    <w:basedOn w:val="1"/>
    <w:next w:val="1"/>
    <w:qFormat/>
    <w:uiPriority w:val="0"/>
    <w:pPr>
      <w:widowControl/>
      <w:tabs>
        <w:tab w:val="left" w:pos="328"/>
        <w:tab w:val="left" w:pos="1134"/>
      </w:tabs>
      <w:spacing w:line="440" w:lineRule="exact"/>
      <w:ind w:firstLine="200" w:firstLineChars="200"/>
      <w:jc w:val="left"/>
      <w:outlineLvl w:val="2"/>
    </w:pPr>
    <w:rPr>
      <w:rFonts w:cstheme="majorBidi"/>
      <w:bCs/>
      <w:kern w:val="0"/>
    </w:rPr>
  </w:style>
  <w:style w:type="paragraph" w:customStyle="1" w:styleId="2837">
    <w:name w:val="封面文字1"/>
    <w:basedOn w:val="1"/>
    <w:qFormat/>
    <w:uiPriority w:val="0"/>
    <w:pPr>
      <w:widowControl/>
      <w:spacing w:line="300" w:lineRule="auto"/>
      <w:ind w:firstLine="200" w:firstLineChars="200"/>
      <w:jc w:val="center"/>
    </w:pPr>
    <w:rPr>
      <w:rFonts w:ascii="宋体" w:cstheme="majorBidi"/>
      <w:b/>
      <w:kern w:val="0"/>
      <w:sz w:val="44"/>
    </w:rPr>
  </w:style>
  <w:style w:type="paragraph" w:customStyle="1" w:styleId="2838">
    <w:name w:val="样式 正文缩进 + 左侧:  0.37 厘米 右侧:  0.37 厘米"/>
    <w:basedOn w:val="397"/>
    <w:next w:val="397"/>
    <w:qFormat/>
    <w:uiPriority w:val="0"/>
    <w:pPr>
      <w:spacing w:line="360" w:lineRule="auto"/>
    </w:pPr>
    <w:rPr>
      <w:rFonts w:ascii="宋体" w:hAnsi="Times New Roman" w:cs="Times New Roman" w:eastAsiaTheme="majorEastAsia"/>
      <w:color w:val="auto"/>
    </w:rPr>
  </w:style>
  <w:style w:type="paragraph" w:customStyle="1" w:styleId="2839">
    <w:name w:val="备注"/>
    <w:basedOn w:val="1"/>
    <w:qFormat/>
    <w:uiPriority w:val="0"/>
    <w:pPr>
      <w:widowControl/>
      <w:tabs>
        <w:tab w:val="left" w:pos="547"/>
        <w:tab w:val="left" w:pos="1080"/>
      </w:tabs>
      <w:spacing w:line="400" w:lineRule="atLeast"/>
      <w:ind w:firstLine="200" w:firstLineChars="200"/>
      <w:jc w:val="left"/>
    </w:pPr>
    <w:rPr>
      <w:rFonts w:cstheme="majorBidi"/>
      <w:kern w:val="0"/>
      <w:szCs w:val="21"/>
    </w:rPr>
  </w:style>
  <w:style w:type="paragraph" w:customStyle="1" w:styleId="2840">
    <w:name w:val="日期11"/>
    <w:basedOn w:val="1"/>
    <w:next w:val="1"/>
    <w:qFormat/>
    <w:uiPriority w:val="0"/>
    <w:pPr>
      <w:widowControl/>
      <w:autoSpaceDE w:val="0"/>
      <w:autoSpaceDN w:val="0"/>
      <w:adjustRightInd w:val="0"/>
      <w:spacing w:line="360" w:lineRule="auto"/>
      <w:ind w:firstLine="200" w:firstLineChars="200"/>
      <w:jc w:val="left"/>
      <w:textAlignment w:val="baseline"/>
    </w:pPr>
    <w:rPr>
      <w:rFonts w:cstheme="majorBidi"/>
      <w:spacing w:val="5"/>
      <w:kern w:val="0"/>
      <w:szCs w:val="20"/>
    </w:rPr>
  </w:style>
  <w:style w:type="paragraph" w:customStyle="1" w:styleId="2841">
    <w:name w:val="5正文"/>
    <w:basedOn w:val="1"/>
    <w:qFormat/>
    <w:uiPriority w:val="0"/>
    <w:pPr>
      <w:widowControl/>
      <w:tabs>
        <w:tab w:val="left" w:pos="4500"/>
      </w:tabs>
      <w:spacing w:line="360" w:lineRule="auto"/>
      <w:ind w:firstLine="480" w:firstLineChars="200"/>
      <w:jc w:val="left"/>
    </w:pPr>
    <w:rPr>
      <w:rFonts w:ascii="宋体" w:hAnsi="宋体" w:cstheme="majorBidi"/>
      <w:bCs/>
      <w:kern w:val="0"/>
    </w:rPr>
  </w:style>
  <w:style w:type="paragraph" w:customStyle="1" w:styleId="2842">
    <w:name w:val="样式4，正文11"/>
    <w:basedOn w:val="1"/>
    <w:uiPriority w:val="99"/>
    <w:pPr>
      <w:widowControl/>
      <w:spacing w:line="360" w:lineRule="auto"/>
      <w:ind w:right="187" w:rightChars="89" w:firstLine="480" w:firstLineChars="200"/>
      <w:jc w:val="left"/>
    </w:pPr>
    <w:rPr>
      <w:rFonts w:ascii="宋体" w:hAnsi="宋体" w:cstheme="majorBidi"/>
      <w:color w:val="000000"/>
      <w:kern w:val="13"/>
      <w:position w:val="-12"/>
    </w:rPr>
  </w:style>
  <w:style w:type="paragraph" w:customStyle="1" w:styleId="2843">
    <w:name w:val="样式 标题1YHY + 段前: 0.5 行 段后: 0.5 行"/>
    <w:basedOn w:val="1"/>
    <w:uiPriority w:val="0"/>
    <w:pPr>
      <w:keepNext/>
      <w:keepLines/>
      <w:widowControl/>
      <w:spacing w:beforeLines="50" w:afterLines="50" w:line="360" w:lineRule="auto"/>
      <w:ind w:firstLine="200" w:firstLineChars="200"/>
      <w:jc w:val="left"/>
      <w:outlineLvl w:val="0"/>
    </w:pPr>
    <w:rPr>
      <w:rFonts w:eastAsia="黑体" w:cs="宋体"/>
      <w:b/>
      <w:bCs/>
      <w:kern w:val="44"/>
      <w:sz w:val="30"/>
      <w:szCs w:val="20"/>
    </w:rPr>
  </w:style>
  <w:style w:type="paragraph" w:customStyle="1" w:styleId="2844">
    <w:name w:val="样式 样式 自动表头 + (西文) 黑体 五号 加粗 行距: 单倍行距 + 加粗"/>
    <w:basedOn w:val="1"/>
    <w:uiPriority w:val="0"/>
    <w:pPr>
      <w:widowControl/>
      <w:autoSpaceDE w:val="0"/>
      <w:autoSpaceDN w:val="0"/>
      <w:adjustRightInd w:val="0"/>
      <w:spacing w:beforeLines="50" w:afterLines="50" w:line="360" w:lineRule="auto"/>
      <w:ind w:firstLine="422" w:firstLineChars="200"/>
      <w:jc w:val="left"/>
    </w:pPr>
    <w:rPr>
      <w:rFonts w:ascii="黑体" w:hAnsi="宋体" w:cs="宋体"/>
      <w:b/>
      <w:bCs/>
      <w:color w:val="000000"/>
      <w:kern w:val="0"/>
      <w:szCs w:val="20"/>
    </w:rPr>
  </w:style>
  <w:style w:type="paragraph" w:customStyle="1" w:styleId="2845">
    <w:name w:val="样式 标题 1 + 宋体"/>
    <w:basedOn w:val="3"/>
    <w:qFormat/>
    <w:uiPriority w:val="0"/>
    <w:pPr>
      <w:keepNext w:val="0"/>
      <w:widowControl/>
      <w:numPr>
        <w:numId w:val="0"/>
      </w:numPr>
      <w:tabs>
        <w:tab w:val="clear" w:pos="0"/>
      </w:tabs>
      <w:spacing w:line="360" w:lineRule="auto"/>
      <w:contextualSpacing/>
    </w:pPr>
    <w:rPr>
      <w:rFonts w:ascii="宋体" w:hAnsi="宋体" w:eastAsia="宋体" w:cstheme="majorBidi"/>
      <w:smallCaps/>
      <w:spacing w:val="5"/>
      <w:sz w:val="32"/>
      <w:szCs w:val="32"/>
    </w:rPr>
  </w:style>
  <w:style w:type="paragraph" w:customStyle="1" w:styleId="2846">
    <w:name w:val="样式 标题 4标题 14H4 + 小四 非加粗"/>
    <w:basedOn w:val="6"/>
    <w:qFormat/>
    <w:uiPriority w:val="0"/>
    <w:pPr>
      <w:keepNext w:val="0"/>
      <w:keepLines w:val="0"/>
      <w:widowControl/>
      <w:numPr>
        <w:ilvl w:val="0"/>
        <w:numId w:val="0"/>
      </w:numPr>
      <w:tabs>
        <w:tab w:val="left" w:pos="425"/>
        <w:tab w:val="left" w:pos="1680"/>
      </w:tabs>
      <w:spacing w:before="280" w:after="290" w:afterLines="50" w:line="377" w:lineRule="auto"/>
      <w:ind w:left="1680" w:hanging="420"/>
      <w:contextualSpacing/>
      <w:jc w:val="left"/>
    </w:pPr>
    <w:rPr>
      <w:rFonts w:ascii="宋体" w:hAnsi="宋体" w:cs="宋体"/>
      <w:bCs w:val="0"/>
      <w:color w:val="000000"/>
      <w:spacing w:val="5"/>
      <w:kern w:val="0"/>
      <w:sz w:val="24"/>
      <w:szCs w:val="24"/>
    </w:rPr>
  </w:style>
  <w:style w:type="paragraph" w:customStyle="1" w:styleId="2847">
    <w:name w:val="样式74"/>
    <w:basedOn w:val="1"/>
    <w:qFormat/>
    <w:uiPriority w:val="0"/>
    <w:pPr>
      <w:keepNext/>
      <w:keepLines/>
      <w:widowControl/>
      <w:tabs>
        <w:tab w:val="left" w:pos="360"/>
        <w:tab w:val="left" w:pos="900"/>
        <w:tab w:val="left" w:pos="1080"/>
      </w:tabs>
      <w:spacing w:line="360" w:lineRule="auto"/>
      <w:ind w:firstLine="200" w:firstLineChars="200"/>
      <w:jc w:val="left"/>
      <w:outlineLvl w:val="3"/>
    </w:pPr>
    <w:rPr>
      <w:rFonts w:ascii="宋体" w:hAnsi="宋体" w:cstheme="majorBidi"/>
      <w:color w:val="000000"/>
      <w:kern w:val="0"/>
      <w:szCs w:val="28"/>
    </w:rPr>
  </w:style>
  <w:style w:type="paragraph" w:customStyle="1" w:styleId="2848">
    <w:name w:val="bg"/>
    <w:basedOn w:val="1"/>
    <w:qFormat/>
    <w:uiPriority w:val="99"/>
    <w:pPr>
      <w:widowControl/>
      <w:spacing w:line="360" w:lineRule="auto"/>
      <w:ind w:firstLine="200" w:firstLineChars="200"/>
      <w:jc w:val="left"/>
    </w:pPr>
    <w:rPr>
      <w:rFonts w:cstheme="majorBidi"/>
      <w:kern w:val="0"/>
    </w:rPr>
  </w:style>
  <w:style w:type="paragraph" w:customStyle="1" w:styleId="2849">
    <w:name w:val="目录标题"/>
    <w:basedOn w:val="1"/>
    <w:next w:val="1"/>
    <w:qFormat/>
    <w:uiPriority w:val="0"/>
    <w:pPr>
      <w:widowControl/>
      <w:spacing w:before="566" w:after="544" w:line="566" w:lineRule="atLeast"/>
      <w:ind w:firstLine="419" w:firstLineChars="200"/>
      <w:jc w:val="center"/>
      <w:textAlignment w:val="baseline"/>
    </w:pPr>
    <w:rPr>
      <w:rFonts w:ascii="Arial" w:eastAsia="黑体" w:cstheme="majorBidi"/>
      <w:color w:val="000000"/>
      <w:spacing w:val="566"/>
      <w:kern w:val="0"/>
      <w:sz w:val="54"/>
      <w:szCs w:val="20"/>
      <w:u w:color="000000"/>
    </w:rPr>
  </w:style>
  <w:style w:type="paragraph" w:customStyle="1" w:styleId="2850">
    <w:name w:val="样式58"/>
    <w:basedOn w:val="1"/>
    <w:qFormat/>
    <w:uiPriority w:val="0"/>
    <w:pPr>
      <w:widowControl/>
      <w:spacing w:beforeLines="50" w:afterLines="50" w:line="360" w:lineRule="auto"/>
      <w:ind w:firstLine="480" w:firstLineChars="200"/>
      <w:jc w:val="left"/>
    </w:pPr>
    <w:rPr>
      <w:rFonts w:ascii="宋体" w:hAnsi="宋体" w:cstheme="majorBidi"/>
      <w:color w:val="0000FF"/>
      <w:kern w:val="0"/>
      <w:lang w:val="zh-CN"/>
    </w:rPr>
  </w:style>
  <w:style w:type="paragraph" w:customStyle="1" w:styleId="2851">
    <w:name w:val="标"/>
    <w:basedOn w:val="2768"/>
    <w:semiHidden/>
    <w:qFormat/>
    <w:uiPriority w:val="99"/>
    <w:pPr>
      <w:widowControl w:val="0"/>
      <w:tabs>
        <w:tab w:val="left" w:pos="360"/>
        <w:tab w:val="left" w:pos="425"/>
        <w:tab w:val="left" w:pos="720"/>
        <w:tab w:val="left" w:pos="960"/>
      </w:tabs>
      <w:adjustRightInd w:val="0"/>
      <w:snapToGrid w:val="0"/>
      <w:spacing w:afterLines="0"/>
      <w:ind w:left="360" w:right="210" w:rightChars="100" w:hanging="360"/>
    </w:pPr>
    <w:rPr>
      <w:rFonts w:ascii="等线" w:hAnsi="等线" w:eastAsia="等线"/>
    </w:rPr>
  </w:style>
  <w:style w:type="paragraph" w:customStyle="1" w:styleId="2852">
    <w:name w:val="GB-1.1.1.1.1"/>
    <w:basedOn w:val="2853"/>
    <w:qFormat/>
    <w:uiPriority w:val="0"/>
    <w:pPr>
      <w:outlineLvl w:val="4"/>
    </w:pPr>
    <w:rPr>
      <w:szCs w:val="21"/>
    </w:rPr>
  </w:style>
  <w:style w:type="paragraph" w:customStyle="1" w:styleId="2853">
    <w:name w:val="GB-1.1.1.1"/>
    <w:basedOn w:val="2854"/>
    <w:qFormat/>
    <w:uiPriority w:val="0"/>
    <w:pPr>
      <w:adjustRightInd/>
      <w:outlineLvl w:val="3"/>
    </w:pPr>
  </w:style>
  <w:style w:type="paragraph" w:customStyle="1" w:styleId="2854">
    <w:name w:val="GB-1.1.1"/>
    <w:basedOn w:val="2855"/>
    <w:qFormat/>
    <w:uiPriority w:val="0"/>
    <w:pPr>
      <w:adjustRightInd w:val="0"/>
      <w:outlineLvl w:val="2"/>
    </w:pPr>
    <w:rPr>
      <w:rFonts w:ascii="宋体" w:eastAsia="宋体"/>
    </w:rPr>
  </w:style>
  <w:style w:type="paragraph" w:customStyle="1" w:styleId="2855">
    <w:name w:val="GB-1.1"/>
    <w:qFormat/>
    <w:uiPriority w:val="0"/>
    <w:pPr>
      <w:spacing w:line="360" w:lineRule="auto"/>
      <w:outlineLvl w:val="1"/>
    </w:pPr>
    <w:rPr>
      <w:rFonts w:ascii="黑体" w:hAnsi="宋体" w:eastAsia="黑体" w:cstheme="majorBidi"/>
      <w:sz w:val="21"/>
      <w:szCs w:val="22"/>
      <w:lang w:val="en-US" w:eastAsia="zh-CN" w:bidi="ar-SA"/>
    </w:rPr>
  </w:style>
  <w:style w:type="character" w:customStyle="1" w:styleId="2856">
    <w:name w:val="样式 标题 4 + 宋体 小四 非加粗 Char"/>
    <w:link w:val="395"/>
    <w:qFormat/>
    <w:uiPriority w:val="0"/>
    <w:rPr>
      <w:rFonts w:ascii="宋体" w:hAnsi="宋体"/>
      <w:b/>
      <w:bCs/>
      <w:kern w:val="2"/>
      <w:sz w:val="24"/>
      <w:szCs w:val="28"/>
    </w:rPr>
  </w:style>
  <w:style w:type="paragraph" w:customStyle="1" w:styleId="2857">
    <w:name w:val="样式 图表"/>
    <w:basedOn w:val="1"/>
    <w:qFormat/>
    <w:uiPriority w:val="0"/>
    <w:pPr>
      <w:widowControl/>
      <w:adjustRightInd w:val="0"/>
      <w:spacing w:line="360" w:lineRule="auto"/>
      <w:ind w:firstLine="200" w:firstLineChars="200"/>
      <w:jc w:val="center"/>
      <w:textAlignment w:val="baseline"/>
    </w:pPr>
    <w:rPr>
      <w:rFonts w:cstheme="majorBidi"/>
      <w:b/>
      <w:bCs/>
      <w:kern w:val="0"/>
    </w:rPr>
  </w:style>
  <w:style w:type="paragraph" w:customStyle="1" w:styleId="2858">
    <w:name w:val="样式 四号 行距: 固定值 25 磅 + 行距: 固定值 25 磅"/>
    <w:basedOn w:val="2820"/>
    <w:qFormat/>
    <w:uiPriority w:val="0"/>
    <w:pPr>
      <w:spacing w:line="240" w:lineRule="auto"/>
      <w:ind w:firstLine="0"/>
      <w:jc w:val="both"/>
    </w:pPr>
    <w:rPr>
      <w:rFonts w:cs="宋体"/>
      <w:b w:val="0"/>
      <w:sz w:val="28"/>
      <w:szCs w:val="20"/>
    </w:rPr>
  </w:style>
  <w:style w:type="paragraph" w:customStyle="1" w:styleId="2859">
    <w:name w:val="图名称 Char Char Char Char Char Char Char Char Char Char"/>
    <w:basedOn w:val="1"/>
    <w:qFormat/>
    <w:uiPriority w:val="0"/>
    <w:pPr>
      <w:widowControl/>
      <w:tabs>
        <w:tab w:val="left" w:pos="-120"/>
      </w:tabs>
      <w:spacing w:before="60" w:line="310" w:lineRule="atLeast"/>
      <w:ind w:firstLine="200" w:firstLineChars="200"/>
      <w:jc w:val="center"/>
    </w:pPr>
    <w:rPr>
      <w:rFonts w:ascii="黑体" w:hAnsi="宋体" w:eastAsia="黑体" w:cs="宋体"/>
      <w:b/>
      <w:bCs/>
      <w:kern w:val="0"/>
      <w:szCs w:val="28"/>
    </w:rPr>
  </w:style>
  <w:style w:type="paragraph" w:customStyle="1" w:styleId="2860">
    <w:name w:val="样式55"/>
    <w:basedOn w:val="2721"/>
    <w:qFormat/>
    <w:uiPriority w:val="0"/>
    <w:pPr>
      <w:tabs>
        <w:tab w:val="left" w:pos="2175"/>
      </w:tabs>
      <w:spacing w:beforeLines="50" w:afterLines="50"/>
      <w:outlineLvl w:val="3"/>
    </w:pPr>
    <w:rPr>
      <w:rFonts w:ascii="Times New Roman" w:hAnsi="Times New Roman" w:eastAsia="等线" w:cs="Times New Roman"/>
      <w:b w:val="0"/>
      <w:color w:val="auto"/>
      <w:sz w:val="24"/>
      <w:szCs w:val="24"/>
    </w:rPr>
  </w:style>
  <w:style w:type="paragraph" w:customStyle="1" w:styleId="2861">
    <w:name w:val="YHY"/>
    <w:basedOn w:val="1"/>
    <w:qFormat/>
    <w:uiPriority w:val="0"/>
    <w:pPr>
      <w:widowControl/>
      <w:spacing w:beforeLines="50" w:afterLines="50" w:line="360" w:lineRule="auto"/>
      <w:ind w:firstLine="200" w:firstLineChars="200"/>
      <w:jc w:val="left"/>
    </w:pPr>
    <w:rPr>
      <w:rFonts w:cs="宋体"/>
      <w:kern w:val="0"/>
      <w:szCs w:val="20"/>
    </w:rPr>
  </w:style>
  <w:style w:type="paragraph" w:customStyle="1" w:styleId="2862">
    <w:name w:val="样式 样式 样式 样式2 + 首行缩进:  2 字符 + 首行缩进:  2 字符 + 首行缩进:  2 字符"/>
    <w:basedOn w:val="1"/>
    <w:qFormat/>
    <w:uiPriority w:val="0"/>
    <w:pPr>
      <w:widowControl/>
      <w:autoSpaceDE w:val="0"/>
      <w:autoSpaceDN w:val="0"/>
      <w:adjustRightInd w:val="0"/>
      <w:spacing w:line="420" w:lineRule="auto"/>
      <w:ind w:firstLine="480" w:firstLineChars="200"/>
      <w:jc w:val="left"/>
    </w:pPr>
    <w:rPr>
      <w:rFonts w:ascii="宋体" w:cstheme="majorBidi"/>
      <w:kern w:val="0"/>
    </w:rPr>
  </w:style>
  <w:style w:type="paragraph" w:customStyle="1" w:styleId="2863">
    <w:name w:val="自动标题3"/>
    <w:basedOn w:val="1"/>
    <w:qFormat/>
    <w:uiPriority w:val="99"/>
    <w:pPr>
      <w:widowControl/>
      <w:tabs>
        <w:tab w:val="left" w:pos="720"/>
      </w:tabs>
      <w:spacing w:line="360" w:lineRule="auto"/>
      <w:ind w:left="720" w:hanging="720" w:firstLineChars="200"/>
      <w:jc w:val="left"/>
    </w:pPr>
    <w:rPr>
      <w:rFonts w:cstheme="majorBidi"/>
      <w:kern w:val="0"/>
      <w:sz w:val="28"/>
    </w:rPr>
  </w:style>
  <w:style w:type="paragraph" w:customStyle="1" w:styleId="2864">
    <w:name w:val="样式59"/>
    <w:basedOn w:val="621"/>
    <w:link w:val="2865"/>
    <w:qFormat/>
    <w:uiPriority w:val="0"/>
    <w:pPr>
      <w:keepNext/>
      <w:keepLines/>
      <w:widowControl/>
      <w:pBdr>
        <w:top w:val="none" w:color="auto" w:sz="0" w:space="0"/>
      </w:pBdr>
      <w:tabs>
        <w:tab w:val="clear" w:pos="4153"/>
        <w:tab w:val="clear" w:pos="8306"/>
      </w:tabs>
      <w:snapToGrid/>
      <w:spacing w:before="50" w:after="50" w:line="360" w:lineRule="auto"/>
      <w:ind w:left="720" w:hanging="720" w:firstLineChars="200"/>
      <w:outlineLvl w:val="2"/>
    </w:pPr>
    <w:rPr>
      <w:rFonts w:ascii="等线" w:hAnsi="等线" w:eastAsia="等线"/>
      <w:b/>
      <w:bCs/>
      <w:kern w:val="0"/>
      <w:sz w:val="24"/>
      <w:szCs w:val="24"/>
      <w:lang w:val="en-GB"/>
    </w:rPr>
  </w:style>
  <w:style w:type="character" w:customStyle="1" w:styleId="2865">
    <w:name w:val="样式59 Char"/>
    <w:link w:val="2864"/>
    <w:qFormat/>
    <w:uiPriority w:val="0"/>
    <w:rPr>
      <w:rFonts w:ascii="等线" w:hAnsi="等线" w:eastAsia="等线"/>
      <w:b/>
      <w:bCs/>
      <w:sz w:val="24"/>
      <w:szCs w:val="24"/>
      <w:lang w:val="en-GB"/>
    </w:rPr>
  </w:style>
  <w:style w:type="paragraph" w:customStyle="1" w:styleId="2866">
    <w:name w:val="自动标题1"/>
    <w:basedOn w:val="1"/>
    <w:qFormat/>
    <w:uiPriority w:val="0"/>
    <w:pPr>
      <w:keepNext/>
      <w:keepLines/>
      <w:pageBreakBefore/>
      <w:widowControl/>
      <w:spacing w:after="120" w:line="200" w:lineRule="atLeast"/>
      <w:ind w:firstLine="200" w:firstLineChars="200"/>
      <w:jc w:val="left"/>
      <w:outlineLvl w:val="0"/>
    </w:pPr>
    <w:rPr>
      <w:rFonts w:ascii="黑体" w:eastAsia="黑体" w:cstheme="majorBidi"/>
      <w:b/>
      <w:kern w:val="44"/>
      <w:sz w:val="32"/>
      <w:szCs w:val="20"/>
    </w:rPr>
  </w:style>
  <w:style w:type="paragraph" w:customStyle="1" w:styleId="2867">
    <w:name w:val="00 标题2"/>
    <w:basedOn w:val="5"/>
    <w:qFormat/>
    <w:uiPriority w:val="0"/>
    <w:pPr>
      <w:keepNext w:val="0"/>
      <w:keepLines w:val="0"/>
      <w:widowControl/>
      <w:numPr>
        <w:ilvl w:val="0"/>
        <w:numId w:val="0"/>
      </w:numPr>
      <w:adjustRightInd w:val="0"/>
      <w:snapToGrid w:val="0"/>
      <w:spacing w:beforeLines="50" w:afterLines="50" w:line="300" w:lineRule="auto"/>
      <w:jc w:val="left"/>
    </w:pPr>
    <w:rPr>
      <w:rFonts w:ascii="黑体" w:cstheme="majorBidi"/>
      <w:b w:val="0"/>
      <w:bCs w:val="0"/>
      <w:iCs/>
      <w:smallCaps/>
      <w:spacing w:val="5"/>
      <w:kern w:val="0"/>
    </w:rPr>
  </w:style>
  <w:style w:type="paragraph" w:customStyle="1" w:styleId="2868">
    <w:name w:val="style1"/>
    <w:basedOn w:val="1"/>
    <w:qFormat/>
    <w:uiPriority w:val="0"/>
    <w:pPr>
      <w:widowControl/>
      <w:spacing w:before="100" w:beforeAutospacing="1" w:after="100" w:afterAutospacing="1" w:line="360" w:lineRule="atLeast"/>
      <w:ind w:firstLine="200" w:firstLineChars="200"/>
      <w:jc w:val="left"/>
    </w:pPr>
    <w:rPr>
      <w:rFonts w:ascii="宋体" w:hAnsi="宋体" w:cs="宋体"/>
      <w:b/>
      <w:bCs/>
      <w:kern w:val="0"/>
      <w:szCs w:val="21"/>
    </w:rPr>
  </w:style>
  <w:style w:type="paragraph" w:customStyle="1" w:styleId="2869">
    <w:name w:val="项目名称"/>
    <w:basedOn w:val="1"/>
    <w:qFormat/>
    <w:uiPriority w:val="99"/>
    <w:pPr>
      <w:widowControl/>
      <w:adjustRightInd w:val="0"/>
      <w:spacing w:line="100" w:lineRule="atLeast"/>
      <w:ind w:firstLine="15" w:firstLineChars="7"/>
      <w:jc w:val="center"/>
      <w:textAlignment w:val="baseline"/>
    </w:pPr>
    <w:rPr>
      <w:rFonts w:ascii="楷体_GB2312" w:hAnsi="宋体" w:eastAsia="楷体_GB2312" w:cstheme="majorBidi"/>
      <w:kern w:val="0"/>
      <w:szCs w:val="32"/>
    </w:rPr>
  </w:style>
  <w:style w:type="paragraph" w:customStyle="1" w:styleId="2870">
    <w:name w:val="样式 样式 首行缩进:  2 字符 + 首行缩进:  2 字符"/>
    <w:basedOn w:val="1"/>
    <w:qFormat/>
    <w:uiPriority w:val="0"/>
    <w:pPr>
      <w:widowControl/>
      <w:snapToGrid w:val="0"/>
      <w:spacing w:line="360" w:lineRule="auto"/>
      <w:ind w:firstLine="502" w:firstLineChars="200"/>
      <w:jc w:val="left"/>
    </w:pPr>
    <w:rPr>
      <w:rFonts w:cs="宋体"/>
      <w:kern w:val="0"/>
      <w:szCs w:val="20"/>
    </w:rPr>
  </w:style>
  <w:style w:type="paragraph" w:customStyle="1" w:styleId="2871">
    <w:name w:val="正式文本"/>
    <w:basedOn w:val="1"/>
    <w:qFormat/>
    <w:uiPriority w:val="0"/>
    <w:pPr>
      <w:widowControl/>
      <w:spacing w:line="360" w:lineRule="auto"/>
      <w:ind w:firstLine="71" w:firstLineChars="71"/>
      <w:jc w:val="left"/>
    </w:pPr>
    <w:rPr>
      <w:rFonts w:ascii="仿宋_GB2312" w:eastAsia="仿宋_GB2312" w:cstheme="majorBidi"/>
      <w:kern w:val="0"/>
      <w:sz w:val="28"/>
      <w:szCs w:val="21"/>
    </w:rPr>
  </w:style>
  <w:style w:type="paragraph" w:customStyle="1" w:styleId="2872">
    <w:name w:val="样式119"/>
    <w:basedOn w:val="1"/>
    <w:link w:val="2873"/>
    <w:qFormat/>
    <w:uiPriority w:val="0"/>
    <w:pPr>
      <w:keepNext/>
      <w:keepLines/>
      <w:widowControl/>
      <w:tabs>
        <w:tab w:val="left" w:pos="851"/>
      </w:tabs>
      <w:adjustRightInd w:val="0"/>
      <w:spacing w:before="156" w:after="156" w:line="360" w:lineRule="auto"/>
      <w:ind w:left="851" w:firstLine="200" w:firstLineChars="200"/>
      <w:jc w:val="left"/>
      <w:outlineLvl w:val="2"/>
    </w:pPr>
    <w:rPr>
      <w:rFonts w:ascii="宋体" w:hAnsi="宋体" w:cstheme="majorBidi"/>
      <w:bCs/>
      <w:color w:val="000000"/>
      <w:kern w:val="0"/>
      <w:szCs w:val="32"/>
    </w:rPr>
  </w:style>
  <w:style w:type="character" w:customStyle="1" w:styleId="2873">
    <w:name w:val="样式119 Char"/>
    <w:link w:val="2872"/>
    <w:qFormat/>
    <w:uiPriority w:val="0"/>
    <w:rPr>
      <w:rFonts w:ascii="宋体" w:hAnsi="宋体" w:cstheme="majorBidi"/>
      <w:bCs/>
      <w:color w:val="000000"/>
      <w:sz w:val="24"/>
      <w:szCs w:val="32"/>
    </w:rPr>
  </w:style>
  <w:style w:type="paragraph" w:customStyle="1" w:styleId="2874">
    <w:name w:val="cas_content"/>
    <w:basedOn w:val="1"/>
    <w:qFormat/>
    <w:uiPriority w:val="0"/>
    <w:pPr>
      <w:widowControl/>
      <w:spacing w:before="100" w:beforeAutospacing="1" w:after="100" w:afterAutospacing="1" w:line="360" w:lineRule="auto"/>
      <w:ind w:firstLine="200" w:firstLineChars="200"/>
      <w:jc w:val="left"/>
    </w:pPr>
    <w:rPr>
      <w:rFonts w:ascii="宋体" w:hAnsi="宋体" w:cs="宋体"/>
      <w:kern w:val="0"/>
    </w:rPr>
  </w:style>
  <w:style w:type="paragraph" w:customStyle="1" w:styleId="2875">
    <w:name w:val="1.1.1.1样式 标题 4"/>
    <w:basedOn w:val="6"/>
    <w:qFormat/>
    <w:uiPriority w:val="0"/>
    <w:pPr>
      <w:keepNext w:val="0"/>
      <w:keepLines w:val="0"/>
      <w:widowControl/>
      <w:numPr>
        <w:ilvl w:val="0"/>
        <w:numId w:val="0"/>
      </w:numPr>
      <w:tabs>
        <w:tab w:val="left" w:pos="864"/>
      </w:tabs>
      <w:spacing w:before="280" w:after="290" w:afterLines="50" w:line="360" w:lineRule="auto"/>
      <w:ind w:left="864" w:hanging="864"/>
      <w:contextualSpacing/>
      <w:jc w:val="left"/>
    </w:pPr>
    <w:rPr>
      <w:rFonts w:cs="宋体"/>
      <w:b w:val="0"/>
      <w:bCs w:val="0"/>
      <w:color w:val="000000"/>
      <w:spacing w:val="5"/>
      <w:kern w:val="0"/>
      <w:sz w:val="24"/>
      <w:szCs w:val="20"/>
    </w:rPr>
  </w:style>
  <w:style w:type="paragraph" w:customStyle="1" w:styleId="2876">
    <w:name w:val="body"/>
    <w:basedOn w:val="1"/>
    <w:qFormat/>
    <w:uiPriority w:val="0"/>
    <w:pPr>
      <w:widowControl/>
      <w:spacing w:line="360" w:lineRule="auto"/>
      <w:ind w:firstLine="200" w:firstLineChars="200"/>
      <w:jc w:val="left"/>
    </w:pPr>
    <w:rPr>
      <w:rFonts w:ascii="宋体" w:hAnsi="宋体" w:cs="宋体"/>
      <w:kern w:val="0"/>
    </w:rPr>
  </w:style>
  <w:style w:type="paragraph" w:customStyle="1" w:styleId="2877">
    <w:name w:val="Char Char Char1 Char Char Char Char Char Char Char Char Char Char Char Char Char Char Char Char"/>
    <w:basedOn w:val="1"/>
    <w:qFormat/>
    <w:uiPriority w:val="0"/>
    <w:pPr>
      <w:widowControl/>
      <w:spacing w:line="360" w:lineRule="auto"/>
      <w:ind w:firstLine="200" w:firstLineChars="200"/>
      <w:jc w:val="left"/>
    </w:pPr>
    <w:rPr>
      <w:rFonts w:cstheme="majorBidi"/>
      <w:kern w:val="0"/>
      <w:szCs w:val="20"/>
    </w:rPr>
  </w:style>
  <w:style w:type="paragraph" w:customStyle="1" w:styleId="2878">
    <w:name w:val="样式 样式 表头 + 段前: 0.5 行 行距: 1.5 倍行距 + 段前: 0.5 行1"/>
    <w:basedOn w:val="2688"/>
    <w:link w:val="2879"/>
    <w:qFormat/>
    <w:uiPriority w:val="99"/>
    <w:rPr>
      <w:sz w:val="24"/>
    </w:rPr>
  </w:style>
  <w:style w:type="character" w:customStyle="1" w:styleId="2879">
    <w:name w:val="样式 样式 表头 + 段前: 0.5 行 行距: 1.5 倍行距 + 段前: 0.5 行1 Char"/>
    <w:link w:val="2878"/>
    <w:qFormat/>
    <w:uiPriority w:val="99"/>
    <w:rPr>
      <w:rFonts w:ascii="黑体" w:hAnsi="宋体" w:eastAsia="黑体" w:cstheme="majorBidi"/>
      <w:b/>
      <w:bCs/>
      <w:kern w:val="2"/>
      <w:sz w:val="24"/>
      <w:szCs w:val="22"/>
      <w:u w:color="000000"/>
    </w:rPr>
  </w:style>
  <w:style w:type="paragraph" w:customStyle="1" w:styleId="2880">
    <w:name w:val="sw_one"/>
    <w:basedOn w:val="1"/>
    <w:uiPriority w:val="99"/>
    <w:pPr>
      <w:widowControl/>
      <w:spacing w:before="100" w:beforeAutospacing="1" w:after="100" w:afterAutospacing="1" w:line="360" w:lineRule="auto"/>
      <w:ind w:firstLine="573" w:firstLineChars="200"/>
      <w:jc w:val="left"/>
    </w:pPr>
    <w:rPr>
      <w:rFonts w:ascii="Arial Unicode MS" w:hAnsi="Arial Unicode MS" w:cs="Arial Unicode MS"/>
      <w:kern w:val="0"/>
    </w:rPr>
  </w:style>
  <w:style w:type="paragraph" w:customStyle="1" w:styleId="2881">
    <w:name w:val="样式 标题四 + (中文) 宋体 首行缩进:  2 字符"/>
    <w:basedOn w:val="7"/>
    <w:qFormat/>
    <w:uiPriority w:val="99"/>
    <w:pPr>
      <w:keepNext/>
      <w:keepLines/>
      <w:widowControl/>
      <w:tabs>
        <w:tab w:val="left" w:pos="1346"/>
      </w:tabs>
      <w:spacing w:before="280" w:after="290" w:line="500" w:lineRule="exact"/>
      <w:ind w:left="1346" w:hanging="864"/>
      <w:outlineLvl w:val="3"/>
    </w:pPr>
    <w:rPr>
      <w:rFonts w:ascii="宋体" w:hAnsi="宋体" w:eastAsia="等线" w:cs="宋体"/>
      <w:b w:val="0"/>
      <w:bCs/>
      <w:kern w:val="0"/>
      <w:szCs w:val="22"/>
    </w:rPr>
  </w:style>
  <w:style w:type="paragraph" w:customStyle="1" w:styleId="2882">
    <w:name w:val="16"/>
    <w:basedOn w:val="1"/>
    <w:qFormat/>
    <w:uiPriority w:val="0"/>
    <w:pPr>
      <w:widowControl/>
      <w:snapToGrid w:val="0"/>
      <w:spacing w:before="100" w:beforeAutospacing="1" w:after="100" w:afterAutospacing="1" w:line="360" w:lineRule="auto"/>
      <w:ind w:firstLine="200" w:firstLineChars="200"/>
      <w:jc w:val="center"/>
      <w:textAlignment w:val="bottom"/>
    </w:pPr>
    <w:rPr>
      <w:rFonts w:hint="eastAsia" w:ascii="宋体" w:hAnsi="宋体" w:cs="Arial Unicode MS"/>
      <w:kern w:val="0"/>
      <w:sz w:val="28"/>
      <w:szCs w:val="28"/>
    </w:rPr>
  </w:style>
  <w:style w:type="paragraph" w:customStyle="1" w:styleId="2883">
    <w:name w:val="样式 首行缩进:  2 字符3"/>
    <w:basedOn w:val="1"/>
    <w:semiHidden/>
    <w:qFormat/>
    <w:uiPriority w:val="0"/>
    <w:pPr>
      <w:widowControl/>
      <w:adjustRightInd w:val="0"/>
      <w:snapToGrid w:val="0"/>
      <w:spacing w:line="360" w:lineRule="auto"/>
      <w:ind w:firstLine="200" w:firstLineChars="200"/>
      <w:jc w:val="left"/>
    </w:pPr>
    <w:rPr>
      <w:rFonts w:cs="宋体"/>
      <w:kern w:val="0"/>
      <w:szCs w:val="20"/>
    </w:rPr>
  </w:style>
  <w:style w:type="paragraph" w:customStyle="1" w:styleId="2884">
    <w:name w:val="表格，内容"/>
    <w:basedOn w:val="1"/>
    <w:qFormat/>
    <w:uiPriority w:val="0"/>
    <w:pPr>
      <w:widowControl/>
      <w:spacing w:line="360" w:lineRule="auto"/>
      <w:ind w:firstLine="200" w:firstLineChars="200"/>
      <w:jc w:val="center"/>
    </w:pPr>
    <w:rPr>
      <w:rFonts w:ascii="宋体" w:hAnsi="宋体" w:cs="宋体"/>
      <w:spacing w:val="10"/>
      <w:kern w:val="44"/>
    </w:rPr>
  </w:style>
  <w:style w:type="paragraph" w:customStyle="1" w:styleId="2885">
    <w:name w:val="CM106"/>
    <w:basedOn w:val="397"/>
    <w:next w:val="397"/>
    <w:qFormat/>
    <w:uiPriority w:val="99"/>
    <w:pPr>
      <w:spacing w:after="140" w:line="360" w:lineRule="auto"/>
    </w:pPr>
    <w:rPr>
      <w:rFonts w:ascii="黑体" w:hAnsi="Times New Roman" w:eastAsia="黑体" w:cs="黑体"/>
      <w:color w:val="auto"/>
    </w:rPr>
  </w:style>
  <w:style w:type="paragraph" w:customStyle="1" w:styleId="2886">
    <w:name w:val="样式 表格 32 + 首行缩进:  2 字符"/>
    <w:basedOn w:val="1"/>
    <w:uiPriority w:val="0"/>
    <w:pPr>
      <w:widowControl/>
      <w:autoSpaceDE w:val="0"/>
      <w:autoSpaceDN w:val="0"/>
      <w:adjustRightInd w:val="0"/>
      <w:spacing w:line="0" w:lineRule="atLeast"/>
      <w:ind w:firstLine="200" w:firstLineChars="200"/>
      <w:jc w:val="center"/>
      <w:textAlignment w:val="baseline"/>
    </w:pPr>
    <w:rPr>
      <w:rFonts w:cs="宋体"/>
      <w:kern w:val="0"/>
      <w:szCs w:val="21"/>
    </w:rPr>
  </w:style>
  <w:style w:type="paragraph" w:customStyle="1" w:styleId="2887">
    <w:name w:val="Char2 Char Char Char Char Char Char Char Char Char"/>
    <w:basedOn w:val="1"/>
    <w:qFormat/>
    <w:uiPriority w:val="0"/>
    <w:pPr>
      <w:widowControl/>
      <w:spacing w:line="360" w:lineRule="auto"/>
      <w:ind w:firstLine="200" w:firstLineChars="200"/>
      <w:jc w:val="left"/>
    </w:pPr>
    <w:rPr>
      <w:rFonts w:ascii="宋体" w:hAnsi="宋体" w:cs="宋体"/>
      <w:kern w:val="0"/>
    </w:rPr>
  </w:style>
  <w:style w:type="paragraph" w:customStyle="1" w:styleId="2888">
    <w:name w:val="样式 样式 标题 4 + (西文) Times New Roman (中文) 宋体 小四 非加粗 +"/>
    <w:basedOn w:val="2583"/>
    <w:qFormat/>
    <w:uiPriority w:val="0"/>
  </w:style>
  <w:style w:type="paragraph" w:customStyle="1" w:styleId="2889">
    <w:name w:val="目录标题1"/>
    <w:basedOn w:val="1"/>
    <w:next w:val="1"/>
    <w:qFormat/>
    <w:uiPriority w:val="99"/>
    <w:pPr>
      <w:widowControl/>
      <w:spacing w:before="566" w:after="544" w:line="566" w:lineRule="atLeast"/>
      <w:ind w:firstLine="419" w:firstLineChars="200"/>
      <w:jc w:val="center"/>
      <w:textAlignment w:val="baseline"/>
    </w:pPr>
    <w:rPr>
      <w:rFonts w:ascii="Arial" w:eastAsia="黑体" w:cstheme="majorBidi"/>
      <w:color w:val="000000"/>
      <w:spacing w:val="566"/>
      <w:kern w:val="0"/>
      <w:sz w:val="54"/>
      <w:szCs w:val="20"/>
      <w:u w:color="000000"/>
    </w:rPr>
  </w:style>
  <w:style w:type="paragraph" w:customStyle="1" w:styleId="2890">
    <w:name w:val="标题一"/>
    <w:basedOn w:val="1"/>
    <w:qFormat/>
    <w:uiPriority w:val="0"/>
    <w:pPr>
      <w:widowControl/>
      <w:spacing w:beforeLines="50" w:afterLines="100" w:line="360" w:lineRule="auto"/>
      <w:ind w:firstLine="200" w:firstLineChars="200"/>
      <w:jc w:val="center"/>
    </w:pPr>
    <w:rPr>
      <w:rFonts w:ascii="宋体" w:hAnsi="宋体" w:cs="宋体"/>
      <w:b/>
      <w:kern w:val="0"/>
      <w:sz w:val="36"/>
    </w:rPr>
  </w:style>
  <w:style w:type="paragraph" w:customStyle="1" w:styleId="2891">
    <w:name w:val="xl150"/>
    <w:basedOn w:val="1"/>
    <w:qFormat/>
    <w:uiPriority w:val="0"/>
    <w:pPr>
      <w:widowControl/>
      <w:pBdr>
        <w:left w:val="single" w:color="auto" w:sz="4" w:space="0"/>
        <w:bottom w:val="single" w:color="auto" w:sz="4" w:space="0"/>
        <w:right w:val="single" w:color="auto" w:sz="4" w:space="0"/>
      </w:pBdr>
      <w:spacing w:before="100" w:beforeAutospacing="1" w:after="100" w:afterAutospacing="1" w:line="360" w:lineRule="auto"/>
      <w:ind w:firstLine="200" w:firstLineChars="200"/>
      <w:jc w:val="center"/>
      <w:textAlignment w:val="bottom"/>
    </w:pPr>
    <w:rPr>
      <w:rFonts w:ascii="宋体" w:hAnsi="宋体" w:cs="宋体"/>
      <w:kern w:val="0"/>
      <w:sz w:val="20"/>
      <w:szCs w:val="20"/>
    </w:rPr>
  </w:style>
  <w:style w:type="paragraph" w:customStyle="1" w:styleId="2892">
    <w:name w:val="样式137"/>
    <w:basedOn w:val="1"/>
    <w:qFormat/>
    <w:uiPriority w:val="0"/>
    <w:pPr>
      <w:keepNext/>
      <w:keepLines/>
      <w:widowControl/>
      <w:tabs>
        <w:tab w:val="left" w:pos="540"/>
      </w:tabs>
      <w:spacing w:before="156" w:after="156" w:line="360" w:lineRule="auto"/>
      <w:ind w:firstLine="200" w:firstLineChars="200"/>
      <w:jc w:val="left"/>
      <w:outlineLvl w:val="1"/>
    </w:pPr>
    <w:rPr>
      <w:rFonts w:ascii="黑体" w:hAnsi="黑体" w:eastAsia="黑体" w:cstheme="majorBidi"/>
      <w:b/>
      <w:bCs/>
      <w:color w:val="000000"/>
      <w:kern w:val="0"/>
      <w:sz w:val="28"/>
    </w:rPr>
  </w:style>
  <w:style w:type="paragraph" w:customStyle="1" w:styleId="2893">
    <w:name w:val="样式 段落样式 + 行距: 最小值 25 磅"/>
    <w:basedOn w:val="2454"/>
    <w:qFormat/>
    <w:uiPriority w:val="0"/>
    <w:pPr>
      <w:spacing w:line="500" w:lineRule="atLeast"/>
      <w:ind w:firstLine="560"/>
    </w:pPr>
    <w:rPr>
      <w:rFonts w:cs="宋体"/>
      <w:color w:val="auto"/>
      <w:kern w:val="2"/>
    </w:rPr>
  </w:style>
  <w:style w:type="paragraph" w:customStyle="1" w:styleId="2894">
    <w:name w:val="样式 宋体 10 磅 居中 行距: 单倍行距"/>
    <w:basedOn w:val="1"/>
    <w:qFormat/>
    <w:uiPriority w:val="0"/>
    <w:pPr>
      <w:widowControl/>
      <w:spacing w:line="360" w:lineRule="auto"/>
      <w:ind w:firstLine="200" w:firstLineChars="200"/>
      <w:jc w:val="center"/>
    </w:pPr>
    <w:rPr>
      <w:rFonts w:ascii="宋体" w:hAnsi="宋体" w:cs="宋体"/>
      <w:kern w:val="0"/>
      <w:sz w:val="20"/>
      <w:szCs w:val="20"/>
    </w:rPr>
  </w:style>
  <w:style w:type="paragraph" w:customStyle="1" w:styleId="2895">
    <w:name w:val="14"/>
    <w:basedOn w:val="1"/>
    <w:qFormat/>
    <w:uiPriority w:val="0"/>
    <w:pPr>
      <w:widowControl/>
      <w:spacing w:after="160" w:line="240" w:lineRule="exact"/>
      <w:ind w:firstLine="200" w:firstLineChars="200"/>
      <w:jc w:val="left"/>
    </w:pPr>
    <w:rPr>
      <w:rFonts w:cstheme="majorBidi"/>
      <w:kern w:val="0"/>
      <w:szCs w:val="20"/>
    </w:rPr>
  </w:style>
  <w:style w:type="paragraph" w:customStyle="1" w:styleId="2896">
    <w:name w:val="标题06"/>
    <w:basedOn w:val="1"/>
    <w:qFormat/>
    <w:uiPriority w:val="0"/>
    <w:pPr>
      <w:widowControl/>
      <w:adjustRightInd w:val="0"/>
      <w:spacing w:before="2040" w:line="400" w:lineRule="atLeast"/>
      <w:ind w:firstLine="200" w:firstLineChars="200"/>
      <w:jc w:val="left"/>
      <w:textAlignment w:val="baseline"/>
    </w:pPr>
    <w:rPr>
      <w:rFonts w:eastAsia="黑体" w:cstheme="majorBidi"/>
      <w:spacing w:val="10"/>
      <w:kern w:val="0"/>
      <w:sz w:val="28"/>
    </w:rPr>
  </w:style>
  <w:style w:type="paragraph" w:customStyle="1" w:styleId="2897">
    <w:name w:val="样式73"/>
    <w:basedOn w:val="1"/>
    <w:qFormat/>
    <w:uiPriority w:val="0"/>
    <w:pPr>
      <w:keepNext/>
      <w:keepLines/>
      <w:widowControl/>
      <w:spacing w:beforeLines="50" w:afterLines="50" w:line="360" w:lineRule="auto"/>
      <w:ind w:firstLine="200" w:firstLineChars="200"/>
      <w:jc w:val="left"/>
      <w:outlineLvl w:val="0"/>
    </w:pPr>
    <w:rPr>
      <w:rFonts w:eastAsia="黑体" w:cstheme="majorBidi"/>
      <w:bCs/>
      <w:kern w:val="44"/>
      <w:sz w:val="32"/>
      <w:szCs w:val="32"/>
    </w:rPr>
  </w:style>
  <w:style w:type="paragraph" w:customStyle="1" w:styleId="2898">
    <w:name w:val="样式 标题 2H2h2heading 2+ Indent: Left 0.25 in二级节名1.1  heading...2"/>
    <w:basedOn w:val="4"/>
    <w:uiPriority w:val="0"/>
    <w:pPr>
      <w:keepNext w:val="0"/>
      <w:keepLines w:val="0"/>
      <w:widowControl/>
      <w:numPr>
        <w:ilvl w:val="0"/>
        <w:numId w:val="0"/>
      </w:numPr>
      <w:tabs>
        <w:tab w:val="left" w:pos="0"/>
      </w:tabs>
      <w:spacing w:before="260" w:beforeLines="100" w:line="520" w:lineRule="exact"/>
      <w:jc w:val="left"/>
    </w:pPr>
    <w:rPr>
      <w:rFonts w:ascii="宋体" w:hAnsi="宋体" w:eastAsia="宋体" w:cs="宋体"/>
      <w:bCs w:val="0"/>
      <w:smallCaps/>
      <w:kern w:val="0"/>
      <w:sz w:val="30"/>
      <w:szCs w:val="20"/>
      <w:lang w:val="zh-CN"/>
    </w:rPr>
  </w:style>
  <w:style w:type="paragraph" w:customStyle="1" w:styleId="2899">
    <w:name w:val="样式 标题 2标题 21标题 121 + Times New Roman 小三 段前: 0 磅 段后: 0 磅 行..."/>
    <w:basedOn w:val="4"/>
    <w:qFormat/>
    <w:uiPriority w:val="99"/>
    <w:pPr>
      <w:keepNext w:val="0"/>
      <w:keepLines w:val="0"/>
      <w:widowControl/>
      <w:numPr>
        <w:ilvl w:val="0"/>
        <w:numId w:val="0"/>
      </w:numPr>
      <w:tabs>
        <w:tab w:val="left" w:pos="1058"/>
      </w:tabs>
      <w:spacing w:line="500" w:lineRule="exact"/>
      <w:ind w:left="1058" w:hanging="576"/>
      <w:jc w:val="left"/>
    </w:pPr>
    <w:rPr>
      <w:rFonts w:cs="宋体"/>
      <w:bCs w:val="0"/>
      <w:smallCaps/>
      <w:kern w:val="0"/>
      <w:sz w:val="30"/>
      <w:szCs w:val="20"/>
    </w:rPr>
  </w:style>
  <w:style w:type="paragraph" w:customStyle="1" w:styleId="2900">
    <w:name w:val="样式 段落样式 + (西文) 宋体 小四 黑色 Char"/>
    <w:basedOn w:val="2454"/>
    <w:qFormat/>
    <w:uiPriority w:val="0"/>
    <w:pPr>
      <w:spacing w:line="480" w:lineRule="atLeast"/>
    </w:pPr>
    <w:rPr>
      <w:kern w:val="24"/>
      <w:szCs w:val="21"/>
    </w:rPr>
  </w:style>
  <w:style w:type="paragraph" w:customStyle="1" w:styleId="2901">
    <w:name w:val="Char Char Char2 Char"/>
    <w:basedOn w:val="1"/>
    <w:uiPriority w:val="0"/>
    <w:pPr>
      <w:widowControl/>
      <w:spacing w:line="360" w:lineRule="auto"/>
      <w:ind w:firstLine="200" w:firstLineChars="200"/>
      <w:jc w:val="left"/>
    </w:pPr>
    <w:rPr>
      <w:rFonts w:ascii="宋体" w:hAnsi="宋体" w:cs="宋体"/>
      <w:kern w:val="0"/>
    </w:rPr>
  </w:style>
  <w:style w:type="paragraph" w:customStyle="1" w:styleId="2902">
    <w:name w:val="正文修改样式"/>
    <w:basedOn w:val="70"/>
    <w:qFormat/>
    <w:uiPriority w:val="99"/>
    <w:pPr>
      <w:widowControl/>
      <w:spacing w:beforeLines="50" w:afterLines="50" w:line="360" w:lineRule="auto"/>
      <w:ind w:firstLine="480" w:firstLineChars="200"/>
      <w:jc w:val="left"/>
    </w:pPr>
    <w:rPr>
      <w:rFonts w:hAnsi="宋体" w:eastAsia="等线" w:cstheme="majorBidi"/>
      <w:color w:val="000000"/>
      <w:kern w:val="0"/>
      <w:szCs w:val="21"/>
    </w:rPr>
  </w:style>
  <w:style w:type="paragraph" w:customStyle="1" w:styleId="2903">
    <w:name w:val="样式 仿宋_GB2312 四号 首行缩进:  1 厘米 行距: 最小值 21 磅"/>
    <w:basedOn w:val="1"/>
    <w:qFormat/>
    <w:uiPriority w:val="0"/>
    <w:pPr>
      <w:widowControl/>
      <w:spacing w:line="420" w:lineRule="atLeast"/>
      <w:ind w:firstLine="567" w:firstLineChars="200"/>
      <w:jc w:val="left"/>
    </w:pPr>
    <w:rPr>
      <w:rFonts w:ascii="仿宋_GB2312" w:cs="宋体"/>
      <w:kern w:val="0"/>
      <w:sz w:val="28"/>
      <w:szCs w:val="20"/>
    </w:rPr>
  </w:style>
  <w:style w:type="paragraph" w:customStyle="1" w:styleId="2904">
    <w:name w:val="标题2+黑体+四"/>
    <w:basedOn w:val="4"/>
    <w:qFormat/>
    <w:uiPriority w:val="0"/>
    <w:pPr>
      <w:keepNext w:val="0"/>
      <w:keepLines w:val="0"/>
      <w:widowControl/>
      <w:numPr>
        <w:ilvl w:val="0"/>
        <w:numId w:val="0"/>
      </w:numPr>
      <w:adjustRightInd w:val="0"/>
      <w:spacing w:before="100" w:after="100"/>
      <w:jc w:val="left"/>
      <w:textAlignment w:val="baseline"/>
    </w:pPr>
    <w:rPr>
      <w:rFonts w:ascii="黑体"/>
      <w:b w:val="0"/>
      <w:smallCaps/>
      <w:kern w:val="0"/>
      <w:sz w:val="28"/>
      <w:szCs w:val="28"/>
    </w:rPr>
  </w:style>
  <w:style w:type="paragraph" w:customStyle="1" w:styleId="2905">
    <w:name w:val="圆点"/>
    <w:qFormat/>
    <w:uiPriority w:val="0"/>
    <w:pPr>
      <w:tabs>
        <w:tab w:val="left" w:pos="1242"/>
      </w:tabs>
      <w:snapToGrid w:val="0"/>
      <w:spacing w:line="360" w:lineRule="auto"/>
    </w:pPr>
    <w:rPr>
      <w:rFonts w:ascii="宋体" w:hAnsi="宋体" w:eastAsiaTheme="majorEastAsia" w:cstheme="majorBidi"/>
      <w:snapToGrid w:val="0"/>
      <w:color w:val="000000"/>
      <w:sz w:val="24"/>
      <w:szCs w:val="22"/>
      <w:lang w:val="en-US" w:eastAsia="zh-CN" w:bidi="ar-SA"/>
    </w:rPr>
  </w:style>
  <w:style w:type="paragraph" w:customStyle="1" w:styleId="2906">
    <w:name w:val="標準（日本語）"/>
    <w:basedOn w:val="1"/>
    <w:uiPriority w:val="0"/>
    <w:pPr>
      <w:widowControl/>
      <w:overflowPunct w:val="0"/>
      <w:adjustRightInd w:val="0"/>
      <w:spacing w:afterLines="50" w:line="360" w:lineRule="auto"/>
      <w:ind w:firstLine="465" w:firstLineChars="200"/>
      <w:jc w:val="left"/>
    </w:pPr>
    <w:rPr>
      <w:rFonts w:eastAsia="MS Mincho" w:cstheme="majorBidi"/>
      <w:kern w:val="0"/>
      <w:szCs w:val="20"/>
      <w:lang w:eastAsia="ja-JP"/>
    </w:rPr>
  </w:style>
  <w:style w:type="paragraph" w:customStyle="1" w:styleId="2907">
    <w:name w:val="a"/>
    <w:basedOn w:val="1"/>
    <w:uiPriority w:val="99"/>
    <w:pPr>
      <w:widowControl/>
      <w:spacing w:before="100" w:beforeAutospacing="1" w:after="100" w:afterAutospacing="1" w:line="360" w:lineRule="auto"/>
      <w:ind w:firstLine="200" w:firstLineChars="200"/>
      <w:jc w:val="left"/>
    </w:pPr>
    <w:rPr>
      <w:rFonts w:ascii="ˎ̥" w:hAnsi="ˎ̥" w:cs="宋体"/>
      <w:kern w:val="0"/>
    </w:rPr>
  </w:style>
  <w:style w:type="paragraph" w:customStyle="1" w:styleId="2908">
    <w:name w:val="表格001"/>
    <w:basedOn w:val="1"/>
    <w:qFormat/>
    <w:uiPriority w:val="0"/>
    <w:pPr>
      <w:widowControl/>
      <w:spacing w:line="360" w:lineRule="auto"/>
      <w:ind w:firstLine="200" w:firstLineChars="200"/>
      <w:jc w:val="center"/>
    </w:pPr>
    <w:rPr>
      <w:rFonts w:cstheme="majorBidi"/>
      <w:kern w:val="0"/>
      <w:szCs w:val="20"/>
    </w:rPr>
  </w:style>
  <w:style w:type="paragraph" w:customStyle="1" w:styleId="2909">
    <w:name w:val="正文 + 居中"/>
    <w:basedOn w:val="1"/>
    <w:qFormat/>
    <w:uiPriority w:val="0"/>
    <w:pPr>
      <w:widowControl/>
      <w:spacing w:line="320" w:lineRule="exact"/>
      <w:ind w:firstLine="200" w:firstLineChars="200"/>
      <w:jc w:val="center"/>
    </w:pPr>
    <w:rPr>
      <w:rFonts w:cstheme="majorBidi"/>
      <w:kern w:val="0"/>
    </w:rPr>
  </w:style>
  <w:style w:type="paragraph" w:customStyle="1" w:styleId="2910">
    <w:name w:val="样式70"/>
    <w:basedOn w:val="55"/>
    <w:link w:val="2911"/>
    <w:qFormat/>
    <w:uiPriority w:val="0"/>
    <w:pPr>
      <w:widowControl/>
      <w:pBdr>
        <w:top w:val="single" w:color="auto" w:sz="4" w:space="1"/>
      </w:pBdr>
      <w:tabs>
        <w:tab w:val="left" w:pos="1551"/>
        <w:tab w:val="center" w:pos="4535"/>
      </w:tabs>
      <w:spacing w:line="360" w:lineRule="auto"/>
      <w:ind w:firstLine="200" w:firstLineChars="200"/>
      <w:jc w:val="distribute"/>
    </w:pPr>
    <w:rPr>
      <w:rFonts w:ascii="等线" w:hAnsi="等线" w:cstheme="majorBidi"/>
      <w:kern w:val="0"/>
      <w:szCs w:val="22"/>
    </w:rPr>
  </w:style>
  <w:style w:type="character" w:customStyle="1" w:styleId="2911">
    <w:name w:val="样式70 Char"/>
    <w:link w:val="2910"/>
    <w:qFormat/>
    <w:uiPriority w:val="0"/>
    <w:rPr>
      <w:rFonts w:ascii="等线" w:hAnsi="等线" w:cstheme="majorBidi"/>
      <w:sz w:val="18"/>
      <w:szCs w:val="22"/>
    </w:rPr>
  </w:style>
  <w:style w:type="paragraph" w:customStyle="1" w:styleId="2912">
    <w:name w:val="样式114"/>
    <w:basedOn w:val="2913"/>
    <w:qFormat/>
    <w:uiPriority w:val="0"/>
    <w:pPr>
      <w:keepNext/>
      <w:keepLines/>
      <w:tabs>
        <w:tab w:val="left" w:pos="900"/>
        <w:tab w:val="left" w:pos="992"/>
        <w:tab w:val="left" w:pos="1080"/>
      </w:tabs>
      <w:spacing w:beforeLines="0" w:after="156"/>
      <w:ind w:left="992" w:firstLine="0"/>
      <w:outlineLvl w:val="3"/>
    </w:pPr>
    <w:rPr>
      <w:rFonts w:ascii="宋体" w:hAnsi="宋体" w:eastAsia="宋体" w:cs="MS Sans Serif"/>
      <w:b w:val="0"/>
      <w:bCs/>
      <w:szCs w:val="28"/>
    </w:rPr>
  </w:style>
  <w:style w:type="paragraph" w:customStyle="1" w:styleId="2913">
    <w:name w:val="样式19"/>
    <w:basedOn w:val="7"/>
    <w:qFormat/>
    <w:uiPriority w:val="0"/>
    <w:pPr>
      <w:widowControl/>
      <w:spacing w:beforeLines="50" w:afterLines="50" w:line="360" w:lineRule="auto"/>
      <w:ind w:firstLine="480"/>
    </w:pPr>
    <w:rPr>
      <w:rFonts w:ascii="等线" w:hAnsi="等线" w:eastAsia="等线" w:cstheme="majorBidi"/>
      <w:kern w:val="0"/>
    </w:rPr>
  </w:style>
  <w:style w:type="paragraph" w:customStyle="1" w:styleId="2914">
    <w:name w:val="acee正文"/>
    <w:basedOn w:val="1"/>
    <w:uiPriority w:val="99"/>
    <w:pPr>
      <w:widowControl/>
      <w:adjustRightInd w:val="0"/>
      <w:snapToGrid w:val="0"/>
      <w:spacing w:line="360" w:lineRule="auto"/>
      <w:ind w:firstLine="482" w:firstLineChars="200"/>
      <w:jc w:val="left"/>
    </w:pPr>
    <w:rPr>
      <w:rFonts w:ascii="楷体_GB2312" w:hAnsi="宋体" w:eastAsia="仿宋_GB2312" w:cstheme="majorBidi"/>
      <w:b/>
      <w:kern w:val="0"/>
    </w:rPr>
  </w:style>
  <w:style w:type="paragraph" w:customStyle="1" w:styleId="2915">
    <w:name w:val="正文文本缩进 21"/>
    <w:basedOn w:val="1"/>
    <w:qFormat/>
    <w:uiPriority w:val="0"/>
    <w:pPr>
      <w:widowControl/>
      <w:adjustRightInd w:val="0"/>
      <w:spacing w:line="360" w:lineRule="auto"/>
      <w:ind w:firstLine="560" w:firstLineChars="200"/>
      <w:jc w:val="left"/>
      <w:textAlignment w:val="baseline"/>
    </w:pPr>
    <w:rPr>
      <w:rFonts w:cstheme="majorBidi"/>
      <w:kern w:val="0"/>
      <w:sz w:val="28"/>
      <w:szCs w:val="20"/>
    </w:rPr>
  </w:style>
  <w:style w:type="paragraph" w:customStyle="1" w:styleId="2916">
    <w:name w:val="正文（韶关规划）"/>
    <w:basedOn w:val="87"/>
    <w:qFormat/>
    <w:uiPriority w:val="0"/>
    <w:pPr>
      <w:widowControl/>
      <w:tabs>
        <w:tab w:val="left" w:pos="7996"/>
        <w:tab w:val="clear" w:pos="964"/>
        <w:tab w:val="clear" w:pos="1172"/>
      </w:tabs>
      <w:autoSpaceDE w:val="0"/>
      <w:autoSpaceDN w:val="0"/>
      <w:adjustRightInd w:val="0"/>
      <w:snapToGrid w:val="0"/>
      <w:spacing w:beforeLines="50" w:after="120" w:line="360" w:lineRule="auto"/>
      <w:ind w:left="0" w:firstLine="480" w:firstLineChars="200"/>
      <w:jc w:val="left"/>
    </w:pPr>
    <w:rPr>
      <w:rFonts w:ascii="Times New Roman" w:hAnsi="Times New Roman" w:eastAsia="方正宋三简体" w:cstheme="majorBidi"/>
      <w:color w:val="000000"/>
      <w:kern w:val="0"/>
      <w:sz w:val="24"/>
    </w:rPr>
  </w:style>
  <w:style w:type="paragraph" w:customStyle="1" w:styleId="2917">
    <w:name w:val="标题 3，第三标题"/>
    <w:basedOn w:val="1"/>
    <w:semiHidden/>
    <w:qFormat/>
    <w:uiPriority w:val="0"/>
    <w:pPr>
      <w:widowControl/>
      <w:tabs>
        <w:tab w:val="left" w:pos="628"/>
        <w:tab w:val="left" w:pos="1727"/>
        <w:tab w:val="left" w:pos="1820"/>
        <w:tab w:val="left" w:pos="1884"/>
        <w:tab w:val="left" w:pos="2660"/>
        <w:tab w:val="left" w:pos="5460"/>
      </w:tabs>
      <w:snapToGrid w:val="0"/>
      <w:spacing w:beforeLines="50" w:afterLines="50" w:line="440" w:lineRule="exact"/>
      <w:ind w:left="1820" w:hanging="420" w:firstLineChars="200"/>
      <w:jc w:val="left"/>
      <w:outlineLvl w:val="2"/>
    </w:pPr>
    <w:rPr>
      <w:rFonts w:eastAsia="黑体" w:cs="宋体"/>
      <w:kern w:val="0"/>
      <w:szCs w:val="20"/>
    </w:rPr>
  </w:style>
  <w:style w:type="paragraph" w:customStyle="1" w:styleId="2918">
    <w:name w:val="样式69"/>
    <w:basedOn w:val="1"/>
    <w:link w:val="2919"/>
    <w:uiPriority w:val="0"/>
    <w:pPr>
      <w:widowControl/>
      <w:pBdr>
        <w:top w:val="single" w:color="auto" w:sz="4" w:space="1"/>
      </w:pBdr>
      <w:spacing w:line="360" w:lineRule="auto"/>
      <w:ind w:firstLine="200" w:firstLineChars="200"/>
      <w:jc w:val="left"/>
    </w:pPr>
    <w:rPr>
      <w:rFonts w:ascii="宋体" w:hAnsi="宋体" w:cstheme="majorBidi"/>
      <w:kern w:val="0"/>
      <w:sz w:val="18"/>
      <w:szCs w:val="22"/>
    </w:rPr>
  </w:style>
  <w:style w:type="character" w:customStyle="1" w:styleId="2919">
    <w:name w:val="样式69 Char"/>
    <w:link w:val="2918"/>
    <w:uiPriority w:val="0"/>
    <w:rPr>
      <w:rFonts w:ascii="宋体" w:hAnsi="宋体" w:cstheme="majorBidi"/>
      <w:sz w:val="18"/>
      <w:szCs w:val="22"/>
    </w:rPr>
  </w:style>
  <w:style w:type="paragraph" w:customStyle="1" w:styleId="2920">
    <w:name w:val="示例"/>
    <w:next w:val="7"/>
    <w:uiPriority w:val="0"/>
    <w:pPr>
      <w:tabs>
        <w:tab w:val="left" w:pos="816"/>
        <w:tab w:val="left" w:pos="840"/>
      </w:tabs>
      <w:spacing w:line="360" w:lineRule="auto"/>
      <w:ind w:left="840" w:firstLine="419" w:firstLineChars="233"/>
      <w:jc w:val="both"/>
    </w:pPr>
    <w:rPr>
      <w:rFonts w:ascii="宋体" w:hAnsi="Times New Roman" w:eastAsiaTheme="majorEastAsia" w:cstheme="majorBidi"/>
      <w:sz w:val="18"/>
      <w:szCs w:val="22"/>
      <w:lang w:val="en-US" w:eastAsia="zh-CN" w:bidi="ar-SA"/>
    </w:rPr>
  </w:style>
  <w:style w:type="paragraph" w:customStyle="1" w:styleId="2921">
    <w:name w:val="Char1 Char Char Char Char Char Char2 Char Char Char Char Char Char"/>
    <w:basedOn w:val="1"/>
    <w:qFormat/>
    <w:uiPriority w:val="0"/>
    <w:pPr>
      <w:widowControl/>
      <w:spacing w:line="360" w:lineRule="auto"/>
      <w:ind w:firstLine="200" w:firstLineChars="200"/>
      <w:jc w:val="left"/>
    </w:pPr>
    <w:rPr>
      <w:rFonts w:cstheme="majorBidi"/>
      <w:kern w:val="0"/>
    </w:rPr>
  </w:style>
  <w:style w:type="paragraph" w:customStyle="1" w:styleId="2922">
    <w:name w:val="CM103"/>
    <w:basedOn w:val="397"/>
    <w:next w:val="397"/>
    <w:qFormat/>
    <w:uiPriority w:val="99"/>
    <w:pPr>
      <w:spacing w:after="288" w:line="360" w:lineRule="auto"/>
    </w:pPr>
    <w:rPr>
      <w:rFonts w:ascii="黑体" w:hAnsi="Times New Roman" w:eastAsia="黑体" w:cs="黑体"/>
      <w:color w:val="auto"/>
    </w:rPr>
  </w:style>
  <w:style w:type="paragraph" w:customStyle="1" w:styleId="2923">
    <w:name w:val="GH1文本_04段落文字 + 左侧:  6 字符 悬挂缩进: 6 字符 + 左侧:  6 字符 + 左侧..."/>
    <w:qFormat/>
    <w:uiPriority w:val="99"/>
    <w:pPr>
      <w:widowControl w:val="0"/>
      <w:spacing w:line="360" w:lineRule="auto"/>
      <w:ind w:left="839" w:firstLine="482"/>
    </w:pPr>
    <w:rPr>
      <w:rFonts w:ascii="Times New Roman" w:hAnsi="Times New Roman" w:cs="宋体" w:eastAsiaTheme="majorEastAsia"/>
      <w:kern w:val="2"/>
      <w:sz w:val="24"/>
      <w:szCs w:val="22"/>
      <w:lang w:val="en-US" w:eastAsia="zh-CN" w:bidi="ar-SA"/>
    </w:rPr>
  </w:style>
  <w:style w:type="paragraph" w:customStyle="1" w:styleId="2924">
    <w:name w:val="正文999"/>
    <w:basedOn w:val="1"/>
    <w:qFormat/>
    <w:uiPriority w:val="0"/>
    <w:pPr>
      <w:widowControl/>
      <w:spacing w:line="360" w:lineRule="auto"/>
      <w:ind w:firstLine="480" w:firstLineChars="200"/>
      <w:jc w:val="left"/>
    </w:pPr>
    <w:rPr>
      <w:rFonts w:ascii="宋体" w:hAnsi="宋体" w:cstheme="majorBidi"/>
      <w:kern w:val="0"/>
    </w:rPr>
  </w:style>
  <w:style w:type="paragraph" w:customStyle="1" w:styleId="2925">
    <w:name w:val="正文缩进2"/>
    <w:basedOn w:val="1"/>
    <w:next w:val="45"/>
    <w:uiPriority w:val="0"/>
    <w:pPr>
      <w:widowControl/>
      <w:spacing w:line="360" w:lineRule="auto"/>
      <w:ind w:left="280" w:firstLine="590" w:firstLineChars="200"/>
      <w:jc w:val="right"/>
    </w:pPr>
    <w:rPr>
      <w:rFonts w:cstheme="majorBidi"/>
      <w:kern w:val="0"/>
      <w:sz w:val="28"/>
      <w:szCs w:val="20"/>
    </w:rPr>
  </w:style>
  <w:style w:type="paragraph" w:customStyle="1" w:styleId="2926">
    <w:name w:val="List Paragraph1"/>
    <w:basedOn w:val="1"/>
    <w:qFormat/>
    <w:uiPriority w:val="99"/>
    <w:pPr>
      <w:widowControl/>
      <w:spacing w:line="360" w:lineRule="auto"/>
      <w:ind w:firstLine="420" w:firstLineChars="200"/>
      <w:jc w:val="left"/>
    </w:pPr>
    <w:rPr>
      <w:rFonts w:cstheme="majorBidi"/>
      <w:kern w:val="0"/>
      <w:szCs w:val="21"/>
    </w:rPr>
  </w:style>
  <w:style w:type="paragraph" w:customStyle="1" w:styleId="2927">
    <w:name w:val="环评标题3"/>
    <w:basedOn w:val="3"/>
    <w:uiPriority w:val="0"/>
    <w:pPr>
      <w:keepNext w:val="0"/>
      <w:widowControl/>
      <w:numPr>
        <w:numId w:val="0"/>
      </w:numPr>
      <w:tabs>
        <w:tab w:val="clear" w:pos="0"/>
      </w:tabs>
      <w:spacing w:line="360" w:lineRule="auto"/>
      <w:contextualSpacing/>
      <w:jc w:val="left"/>
      <w:outlineLvl w:val="2"/>
    </w:pPr>
    <w:rPr>
      <w:rFonts w:eastAsia="宋体" w:cstheme="majorBidi"/>
      <w:smallCaps/>
      <w:spacing w:val="-16"/>
      <w:kern w:val="0"/>
      <w:sz w:val="28"/>
      <w:szCs w:val="30"/>
    </w:rPr>
  </w:style>
  <w:style w:type="paragraph" w:customStyle="1" w:styleId="2928">
    <w:name w:val="aa表名"/>
    <w:basedOn w:val="2759"/>
    <w:uiPriority w:val="0"/>
    <w:pPr>
      <w:spacing w:beforeLines="50"/>
    </w:pPr>
    <w:rPr>
      <w:rFonts w:ascii="等线" w:hAnsi="等线" w:eastAsia="等线"/>
    </w:rPr>
  </w:style>
  <w:style w:type="paragraph" w:customStyle="1" w:styleId="2929">
    <w:name w:val="样式116"/>
    <w:basedOn w:val="1"/>
    <w:qFormat/>
    <w:uiPriority w:val="0"/>
    <w:pPr>
      <w:widowControl/>
      <w:overflowPunct w:val="0"/>
      <w:autoSpaceDE w:val="0"/>
      <w:autoSpaceDN w:val="0"/>
      <w:adjustRightInd w:val="0"/>
      <w:spacing w:beforeLines="50" w:afterLines="10" w:line="360" w:lineRule="auto"/>
      <w:ind w:firstLine="200" w:firstLineChars="200"/>
      <w:jc w:val="center"/>
      <w:textAlignment w:val="bottom"/>
    </w:pPr>
    <w:rPr>
      <w:rFonts w:ascii="黑体" w:cstheme="majorBidi"/>
      <w:b/>
      <w:color w:val="000000"/>
      <w:kern w:val="0"/>
      <w:szCs w:val="21"/>
      <w:lang w:val="zh-CN"/>
    </w:rPr>
  </w:style>
  <w:style w:type="paragraph" w:customStyle="1" w:styleId="2930">
    <w:name w:val="GH1_09表格文字"/>
    <w:qFormat/>
    <w:uiPriority w:val="99"/>
    <w:pPr>
      <w:spacing w:line="360" w:lineRule="auto"/>
      <w:outlineLvl w:val="8"/>
    </w:pPr>
    <w:rPr>
      <w:rFonts w:ascii="Times New Roman" w:hAnsi="Times New Roman" w:eastAsiaTheme="majorEastAsia" w:cstheme="majorBidi"/>
      <w:kern w:val="2"/>
      <w:sz w:val="21"/>
      <w:szCs w:val="24"/>
      <w:lang w:val="en-US" w:eastAsia="zh-CN" w:bidi="ar-SA"/>
    </w:rPr>
  </w:style>
  <w:style w:type="paragraph" w:customStyle="1" w:styleId="2931">
    <w:name w:val="二号标题样式"/>
    <w:basedOn w:val="1"/>
    <w:link w:val="2932"/>
    <w:qFormat/>
    <w:uiPriority w:val="0"/>
    <w:pPr>
      <w:keepNext/>
      <w:keepLines/>
      <w:widowControl/>
      <w:spacing w:beforeLines="50" w:afterLines="50" w:line="520" w:lineRule="exact"/>
      <w:ind w:firstLine="200" w:firstLineChars="200"/>
      <w:jc w:val="left"/>
      <w:outlineLvl w:val="2"/>
    </w:pPr>
    <w:rPr>
      <w:rFonts w:ascii="Arial" w:hAnsi="Arial" w:eastAsia="黑体" w:cs="宋体"/>
      <w:kern w:val="0"/>
      <w:sz w:val="28"/>
      <w:szCs w:val="20"/>
    </w:rPr>
  </w:style>
  <w:style w:type="character" w:customStyle="1" w:styleId="2932">
    <w:name w:val="二号标题样式 Char"/>
    <w:link w:val="2931"/>
    <w:qFormat/>
    <w:uiPriority w:val="0"/>
    <w:rPr>
      <w:rFonts w:ascii="Arial" w:hAnsi="Arial" w:eastAsia="黑体" w:cs="宋体"/>
      <w:sz w:val="28"/>
    </w:rPr>
  </w:style>
  <w:style w:type="paragraph" w:customStyle="1" w:styleId="2933">
    <w:name w:val="样式 左侧:  0 厘米 悬挂缩进: 5.96 字符 行距: 固定值 28 磅"/>
    <w:basedOn w:val="1"/>
    <w:qFormat/>
    <w:uiPriority w:val="0"/>
    <w:pPr>
      <w:widowControl/>
      <w:spacing w:line="500" w:lineRule="exact"/>
      <w:ind w:firstLine="200" w:firstLineChars="200"/>
      <w:jc w:val="left"/>
    </w:pPr>
    <w:rPr>
      <w:rFonts w:ascii="宋体" w:hAnsi="宋体" w:cs="宋体"/>
      <w:kern w:val="0"/>
      <w:sz w:val="28"/>
      <w:szCs w:val="20"/>
    </w:rPr>
  </w:style>
  <w:style w:type="paragraph" w:customStyle="1" w:styleId="2934">
    <w:name w:val="正文 + 宋体"/>
    <w:basedOn w:val="1"/>
    <w:qFormat/>
    <w:uiPriority w:val="0"/>
    <w:pPr>
      <w:widowControl/>
      <w:spacing w:line="360" w:lineRule="auto"/>
      <w:ind w:firstLine="420" w:firstLineChars="200"/>
      <w:jc w:val="left"/>
    </w:pPr>
    <w:rPr>
      <w:rFonts w:ascii="宋体" w:hAnsi="宋体" w:cstheme="majorBidi"/>
      <w:kern w:val="0"/>
    </w:rPr>
  </w:style>
  <w:style w:type="paragraph" w:customStyle="1" w:styleId="2935">
    <w:name w:val="学校论文正文"/>
    <w:basedOn w:val="1"/>
    <w:uiPriority w:val="0"/>
    <w:pPr>
      <w:widowControl/>
      <w:spacing w:line="400" w:lineRule="exact"/>
      <w:ind w:firstLine="200" w:firstLineChars="200"/>
      <w:jc w:val="left"/>
    </w:pPr>
    <w:rPr>
      <w:rFonts w:cstheme="majorBidi"/>
      <w:bCs/>
      <w:kern w:val="0"/>
    </w:rPr>
  </w:style>
  <w:style w:type="paragraph" w:customStyle="1" w:styleId="2936">
    <w:name w:val="表内"/>
    <w:basedOn w:val="1631"/>
    <w:qFormat/>
    <w:uiPriority w:val="0"/>
    <w:pPr>
      <w:spacing w:line="240" w:lineRule="auto"/>
      <w:ind w:firstLine="0"/>
      <w:jc w:val="center"/>
    </w:pPr>
    <w:rPr>
      <w:rFonts w:ascii="Cambria" w:hAnsi="Cambria" w:eastAsia="黑体" w:cstheme="majorBidi"/>
      <w:bCs/>
      <w:iCs/>
      <w:smallCaps/>
      <w:spacing w:val="5"/>
      <w:sz w:val="21"/>
    </w:rPr>
  </w:style>
  <w:style w:type="paragraph" w:customStyle="1" w:styleId="2937">
    <w:name w:val="附录表标题"/>
    <w:next w:val="7"/>
    <w:uiPriority w:val="0"/>
    <w:pPr>
      <w:tabs>
        <w:tab w:val="left" w:pos="360"/>
      </w:tabs>
      <w:spacing w:line="360" w:lineRule="auto"/>
      <w:jc w:val="center"/>
      <w:textAlignment w:val="baseline"/>
    </w:pPr>
    <w:rPr>
      <w:rFonts w:ascii="黑体" w:hAnsi="Times New Roman" w:eastAsia="黑体" w:cstheme="majorBidi"/>
      <w:kern w:val="21"/>
      <w:sz w:val="21"/>
      <w:szCs w:val="22"/>
      <w:lang w:val="en-US" w:eastAsia="zh-CN" w:bidi="ar-SA"/>
    </w:rPr>
  </w:style>
  <w:style w:type="paragraph" w:customStyle="1" w:styleId="2938">
    <w:name w:val="样式 标题 3a标题 3标题 13标题 3 Char1 Char Char Char标题 31ReHead 3 WS...2"/>
    <w:basedOn w:val="5"/>
    <w:qFormat/>
    <w:uiPriority w:val="0"/>
    <w:pPr>
      <w:keepNext w:val="0"/>
      <w:keepLines w:val="0"/>
      <w:widowControl/>
      <w:numPr>
        <w:ilvl w:val="0"/>
        <w:numId w:val="0"/>
      </w:numPr>
      <w:tabs>
        <w:tab w:val="left" w:pos="825"/>
      </w:tabs>
      <w:adjustRightInd w:val="0"/>
      <w:snapToGrid w:val="0"/>
      <w:spacing w:before="120" w:after="120" w:line="360" w:lineRule="auto"/>
      <w:ind w:left="825" w:hanging="720"/>
      <w:jc w:val="left"/>
    </w:pPr>
    <w:rPr>
      <w:rFonts w:ascii="黑体" w:hAnsi="黑体" w:cstheme="majorBidi"/>
      <w:b w:val="0"/>
      <w:iCs/>
      <w:smallCaps/>
      <w:spacing w:val="5"/>
      <w:kern w:val="0"/>
      <w:sz w:val="24"/>
    </w:rPr>
  </w:style>
  <w:style w:type="paragraph" w:customStyle="1" w:styleId="2939">
    <w:name w:val="重点句1"/>
    <w:basedOn w:val="1"/>
    <w:qFormat/>
    <w:uiPriority w:val="0"/>
    <w:pPr>
      <w:widowControl/>
      <w:spacing w:after="240" w:line="440" w:lineRule="exact"/>
      <w:ind w:firstLine="480" w:firstLineChars="200"/>
      <w:jc w:val="left"/>
    </w:pPr>
    <w:rPr>
      <w:rFonts w:ascii="黑体" w:hAnsi="宋体" w:eastAsia="华文中宋" w:cs="宋体"/>
      <w:b/>
      <w:bCs/>
      <w:kern w:val="0"/>
      <w:szCs w:val="20"/>
    </w:rPr>
  </w:style>
  <w:style w:type="paragraph" w:customStyle="1" w:styleId="2940">
    <w:name w:val="报告标题3"/>
    <w:basedOn w:val="5"/>
    <w:qFormat/>
    <w:uiPriority w:val="0"/>
    <w:pPr>
      <w:keepNext w:val="0"/>
      <w:keepLines w:val="0"/>
      <w:widowControl/>
      <w:numPr>
        <w:ilvl w:val="0"/>
        <w:numId w:val="0"/>
      </w:numPr>
      <w:tabs>
        <w:tab w:val="left" w:pos="0"/>
      </w:tabs>
      <w:adjustRightInd w:val="0"/>
      <w:snapToGrid w:val="0"/>
      <w:spacing w:line="360" w:lineRule="auto"/>
      <w:jc w:val="left"/>
    </w:pPr>
    <w:rPr>
      <w:rFonts w:ascii="Arial" w:hAnsi="Arial" w:cstheme="majorBidi"/>
      <w:b w:val="0"/>
      <w:iCs/>
      <w:smallCaps/>
      <w:color w:val="000000"/>
      <w:spacing w:val="5"/>
      <w:kern w:val="0"/>
      <w:sz w:val="24"/>
    </w:rPr>
  </w:style>
  <w:style w:type="paragraph" w:customStyle="1" w:styleId="2941">
    <w:name w:val="标题 1YHY"/>
    <w:basedOn w:val="3"/>
    <w:qFormat/>
    <w:uiPriority w:val="0"/>
    <w:pPr>
      <w:keepNext w:val="0"/>
      <w:widowControl/>
      <w:numPr>
        <w:numId w:val="0"/>
      </w:numPr>
      <w:tabs>
        <w:tab w:val="clear" w:pos="0"/>
      </w:tabs>
      <w:spacing w:before="340" w:beforeLines="50" w:after="330" w:afterLines="50" w:line="360" w:lineRule="auto"/>
      <w:contextualSpacing/>
      <w:jc w:val="left"/>
    </w:pPr>
    <w:rPr>
      <w:rFonts w:cs="宋体"/>
      <w:bCs/>
      <w:smallCaps/>
      <w:color w:val="000000"/>
      <w:spacing w:val="5"/>
      <w:kern w:val="0"/>
      <w:sz w:val="30"/>
      <w:szCs w:val="30"/>
    </w:rPr>
  </w:style>
  <w:style w:type="paragraph" w:customStyle="1" w:styleId="2942">
    <w:name w:val="headlines"/>
    <w:basedOn w:val="1"/>
    <w:qFormat/>
    <w:uiPriority w:val="99"/>
    <w:pPr>
      <w:widowControl/>
      <w:spacing w:before="100" w:beforeAutospacing="1" w:after="100" w:afterAutospacing="1" w:line="360" w:lineRule="auto"/>
      <w:ind w:firstLine="200" w:firstLineChars="200"/>
      <w:jc w:val="center"/>
    </w:pPr>
    <w:rPr>
      <w:rFonts w:ascii="等线" w:hAnsi="等线" w:cstheme="majorBidi"/>
      <w:color w:val="FF0000"/>
      <w:kern w:val="0"/>
      <w:sz w:val="36"/>
      <w:szCs w:val="36"/>
    </w:rPr>
  </w:style>
  <w:style w:type="paragraph" w:customStyle="1" w:styleId="2943">
    <w:name w:val="样式118"/>
    <w:basedOn w:val="180"/>
    <w:qFormat/>
    <w:uiPriority w:val="0"/>
    <w:pPr>
      <w:keepLines/>
      <w:widowControl/>
      <w:tabs>
        <w:tab w:val="clear" w:pos="0"/>
      </w:tabs>
      <w:spacing w:beforeLines="50" w:afterLines="50" w:line="360" w:lineRule="auto"/>
      <w:ind w:firstLine="200" w:firstLineChars="200"/>
      <w:jc w:val="both"/>
    </w:pPr>
    <w:rPr>
      <w:rFonts w:ascii="Calibri" w:hAnsi="Calibri" w:cstheme="majorBidi"/>
      <w:bCs w:val="0"/>
      <w:color w:val="000000"/>
    </w:rPr>
  </w:style>
  <w:style w:type="paragraph" w:customStyle="1" w:styleId="2944">
    <w:name w:val="标题2YHY"/>
    <w:basedOn w:val="4"/>
    <w:next w:val="5"/>
    <w:qFormat/>
    <w:uiPriority w:val="0"/>
    <w:pPr>
      <w:keepNext w:val="0"/>
      <w:keepLines w:val="0"/>
      <w:widowControl/>
      <w:numPr>
        <w:ilvl w:val="0"/>
        <w:numId w:val="0"/>
      </w:numPr>
      <w:spacing w:before="260" w:beforeLines="50" w:after="260" w:afterLines="50"/>
      <w:jc w:val="left"/>
    </w:pPr>
    <w:rPr>
      <w:rFonts w:cs="宋体"/>
      <w:bCs w:val="0"/>
      <w:smallCaps/>
      <w:kern w:val="0"/>
      <w:sz w:val="28"/>
      <w:szCs w:val="28"/>
    </w:rPr>
  </w:style>
  <w:style w:type="paragraph" w:customStyle="1" w:styleId="2945">
    <w:name w:val="样式 标题 5 + 居中 段前: 0 磅 段后: 0 磅 行距: 1.5 倍行距"/>
    <w:basedOn w:val="8"/>
    <w:uiPriority w:val="0"/>
    <w:pPr>
      <w:keepNext w:val="0"/>
      <w:keepLines w:val="0"/>
      <w:widowControl/>
      <w:tabs>
        <w:tab w:val="clear" w:pos="360"/>
      </w:tabs>
      <w:snapToGrid/>
      <w:spacing w:before="0" w:line="500" w:lineRule="exact"/>
      <w:jc w:val="center"/>
    </w:pPr>
    <w:rPr>
      <w:rFonts w:cs="宋体"/>
      <w:iCs/>
      <w:kern w:val="0"/>
      <w:szCs w:val="20"/>
    </w:rPr>
  </w:style>
  <w:style w:type="paragraph" w:customStyle="1" w:styleId="2946">
    <w:name w:val="封面文字"/>
    <w:basedOn w:val="1"/>
    <w:qFormat/>
    <w:uiPriority w:val="99"/>
    <w:pPr>
      <w:widowControl/>
      <w:spacing w:before="100" w:beforeAutospacing="1" w:line="360" w:lineRule="auto"/>
      <w:ind w:firstLine="200" w:firstLineChars="200"/>
      <w:jc w:val="center"/>
    </w:pPr>
    <w:rPr>
      <w:rFonts w:ascii="仿宋_GB2312" w:eastAsia="仿宋_GB2312" w:cstheme="majorBidi"/>
      <w:b/>
      <w:kern w:val="0"/>
      <w:sz w:val="48"/>
    </w:rPr>
  </w:style>
  <w:style w:type="paragraph" w:customStyle="1" w:styleId="2947">
    <w:name w:val="acee01"/>
    <w:basedOn w:val="1"/>
    <w:qFormat/>
    <w:uiPriority w:val="0"/>
    <w:pPr>
      <w:widowControl/>
      <w:spacing w:line="480" w:lineRule="exact"/>
      <w:ind w:firstLine="200" w:firstLineChars="200"/>
      <w:jc w:val="left"/>
      <w:outlineLvl w:val="0"/>
    </w:pPr>
    <w:rPr>
      <w:rFonts w:cstheme="majorBidi"/>
      <w:b/>
      <w:kern w:val="0"/>
    </w:rPr>
  </w:style>
  <w:style w:type="paragraph" w:customStyle="1" w:styleId="2948">
    <w:name w:val="CM90"/>
    <w:basedOn w:val="397"/>
    <w:next w:val="397"/>
    <w:qFormat/>
    <w:uiPriority w:val="99"/>
    <w:pPr>
      <w:spacing w:line="360" w:lineRule="auto"/>
    </w:pPr>
    <w:rPr>
      <w:rFonts w:ascii="黑体" w:hAnsi="Times New Roman" w:eastAsia="黑体" w:cs="Times New Roman"/>
      <w:color w:val="auto"/>
    </w:rPr>
  </w:style>
  <w:style w:type="paragraph" w:customStyle="1" w:styleId="2949">
    <w:name w:val="标题附件2"/>
    <w:basedOn w:val="35"/>
    <w:qFormat/>
    <w:uiPriority w:val="0"/>
    <w:pPr>
      <w:widowControl/>
      <w:spacing w:beforeLines="50" w:afterLines="50" w:line="240" w:lineRule="auto"/>
      <w:ind w:firstLine="171" w:firstLineChars="171"/>
      <w:jc w:val="left"/>
    </w:pPr>
    <w:rPr>
      <w:rFonts w:ascii="Times New Roman" w:hAnsi="Times New Roman" w:eastAsia="黑体" w:cstheme="majorBidi"/>
      <w:kern w:val="0"/>
      <w:sz w:val="28"/>
      <w:szCs w:val="20"/>
    </w:rPr>
  </w:style>
  <w:style w:type="paragraph" w:customStyle="1" w:styleId="2950">
    <w:name w:val="GB-条文"/>
    <w:qFormat/>
    <w:uiPriority w:val="0"/>
    <w:pPr>
      <w:widowControl w:val="0"/>
      <w:adjustRightInd w:val="0"/>
      <w:snapToGrid w:val="0"/>
      <w:spacing w:line="360" w:lineRule="auto"/>
      <w:ind w:firstLine="420" w:firstLineChars="200"/>
      <w:jc w:val="both"/>
    </w:pPr>
    <w:rPr>
      <w:rFonts w:ascii="宋体" w:hAnsi="宋体" w:eastAsiaTheme="majorEastAsia" w:cstheme="majorBidi"/>
      <w:sz w:val="21"/>
      <w:szCs w:val="22"/>
      <w:lang w:val="en-US" w:eastAsia="zh-CN" w:bidi="ar-SA"/>
    </w:rPr>
  </w:style>
  <w:style w:type="paragraph" w:customStyle="1" w:styleId="2951">
    <w:name w:val="样式101"/>
    <w:basedOn w:val="1"/>
    <w:semiHidden/>
    <w:uiPriority w:val="0"/>
    <w:pPr>
      <w:widowControl/>
      <w:spacing w:beforeLines="50" w:afterLines="50" w:line="480" w:lineRule="exact"/>
      <w:ind w:firstLine="200" w:firstLineChars="200"/>
      <w:jc w:val="left"/>
    </w:pPr>
    <w:rPr>
      <w:rFonts w:cstheme="majorBidi"/>
      <w:b/>
      <w:kern w:val="0"/>
      <w:sz w:val="28"/>
    </w:rPr>
  </w:style>
  <w:style w:type="paragraph" w:customStyle="1" w:styleId="2952">
    <w:name w:val="特殊文字"/>
    <w:basedOn w:val="1"/>
    <w:qFormat/>
    <w:uiPriority w:val="0"/>
    <w:pPr>
      <w:widowControl/>
      <w:overflowPunct w:val="0"/>
      <w:autoSpaceDE w:val="0"/>
      <w:autoSpaceDN w:val="0"/>
      <w:adjustRightInd w:val="0"/>
      <w:spacing w:line="360" w:lineRule="auto"/>
      <w:ind w:firstLine="200" w:firstLineChars="200"/>
      <w:jc w:val="left"/>
      <w:textAlignment w:val="baseline"/>
    </w:pPr>
    <w:rPr>
      <w:rFonts w:eastAsia="仿宋_GB2312" w:cstheme="majorBidi"/>
      <w:kern w:val="0"/>
      <w:sz w:val="28"/>
      <w:szCs w:val="20"/>
    </w:rPr>
  </w:style>
  <w:style w:type="paragraph" w:customStyle="1" w:styleId="2953">
    <w:name w:val="样式 正文文字缩进 + 小四 首行缩进:  2 字符1"/>
    <w:basedOn w:val="35"/>
    <w:qFormat/>
    <w:uiPriority w:val="0"/>
    <w:pPr>
      <w:widowControl/>
      <w:spacing w:afterLines="50" w:line="400" w:lineRule="exact"/>
      <w:ind w:firstLine="200" w:firstLineChars="200"/>
      <w:jc w:val="left"/>
    </w:pPr>
    <w:rPr>
      <w:rFonts w:ascii="Times New Roman" w:hAnsi="Times New Roman" w:eastAsia="华文楷体" w:cs="宋体"/>
      <w:kern w:val="0"/>
      <w:sz w:val="28"/>
      <w:szCs w:val="20"/>
    </w:rPr>
  </w:style>
  <w:style w:type="paragraph" w:customStyle="1" w:styleId="2954">
    <w:name w:val="环评标题1"/>
    <w:next w:val="2708"/>
    <w:qFormat/>
    <w:uiPriority w:val="99"/>
    <w:pPr>
      <w:spacing w:beforeLines="100" w:afterLines="100" w:line="360" w:lineRule="auto"/>
      <w:outlineLvl w:val="0"/>
    </w:pPr>
    <w:rPr>
      <w:rFonts w:ascii="Times New Roman" w:hAnsi="Times New Roman" w:eastAsia="黑体" w:cstheme="majorBidi"/>
      <w:b/>
      <w:bCs/>
      <w:kern w:val="44"/>
      <w:sz w:val="32"/>
      <w:szCs w:val="30"/>
      <w:lang w:val="en-US" w:eastAsia="zh-CN" w:bidi="ar-SA"/>
    </w:rPr>
  </w:style>
  <w:style w:type="paragraph" w:customStyle="1" w:styleId="2955">
    <w:name w:val="表心"/>
    <w:basedOn w:val="1"/>
    <w:qFormat/>
    <w:uiPriority w:val="99"/>
    <w:pPr>
      <w:widowControl/>
      <w:spacing w:line="360" w:lineRule="auto"/>
      <w:ind w:firstLine="200" w:firstLineChars="200"/>
      <w:jc w:val="left"/>
    </w:pPr>
    <w:rPr>
      <w:rFonts w:cstheme="majorBidi"/>
      <w:color w:val="000000"/>
      <w:kern w:val="0"/>
      <w:szCs w:val="20"/>
    </w:rPr>
  </w:style>
  <w:style w:type="paragraph" w:customStyle="1" w:styleId="2956">
    <w:name w:val="二级无"/>
    <w:basedOn w:val="694"/>
    <w:qFormat/>
    <w:uiPriority w:val="0"/>
    <w:pPr>
      <w:numPr>
        <w:ilvl w:val="0"/>
        <w:numId w:val="0"/>
      </w:numPr>
      <w:spacing w:line="360" w:lineRule="auto"/>
      <w:ind w:left="540"/>
      <w:contextualSpacing/>
      <w:jc w:val="left"/>
    </w:pPr>
    <w:rPr>
      <w:rFonts w:ascii="宋体" w:eastAsia="宋体" w:cstheme="majorBidi"/>
      <w:bCs/>
      <w:smallCaps/>
      <w:spacing w:val="5"/>
      <w:szCs w:val="21"/>
    </w:rPr>
  </w:style>
  <w:style w:type="paragraph" w:customStyle="1" w:styleId="2957">
    <w:name w:val="样式 标题 2 + 首行缩进:  2 字符"/>
    <w:basedOn w:val="4"/>
    <w:qFormat/>
    <w:uiPriority w:val="0"/>
    <w:pPr>
      <w:keepNext w:val="0"/>
      <w:keepLines w:val="0"/>
      <w:widowControl/>
      <w:numPr>
        <w:ilvl w:val="0"/>
        <w:numId w:val="0"/>
      </w:numPr>
      <w:adjustRightInd w:val="0"/>
      <w:snapToGrid w:val="0"/>
      <w:spacing w:before="260" w:beforeLines="50" w:after="260" w:afterLines="20"/>
      <w:jc w:val="left"/>
    </w:pPr>
    <w:rPr>
      <w:rFonts w:ascii="宋体" w:hAnsi="Arial" w:eastAsia="宋体"/>
      <w:b w:val="0"/>
      <w:smallCaps/>
      <w:spacing w:val="-10"/>
      <w:kern w:val="0"/>
      <w:sz w:val="28"/>
      <w:szCs w:val="28"/>
    </w:rPr>
  </w:style>
  <w:style w:type="paragraph" w:customStyle="1" w:styleId="2958">
    <w:name w:val="样式 样式 行距: 固定值 28 磅 + 首行缩进:  2.5 字符"/>
    <w:basedOn w:val="2835"/>
    <w:qFormat/>
    <w:uiPriority w:val="0"/>
    <w:pPr>
      <w:spacing w:line="312" w:lineRule="auto"/>
    </w:pPr>
  </w:style>
  <w:style w:type="paragraph" w:customStyle="1" w:styleId="2959">
    <w:name w:val="表内5S"/>
    <w:basedOn w:val="1"/>
    <w:qFormat/>
    <w:uiPriority w:val="0"/>
    <w:pPr>
      <w:widowControl/>
      <w:spacing w:line="300" w:lineRule="exact"/>
      <w:ind w:firstLine="200" w:firstLineChars="200"/>
      <w:jc w:val="left"/>
    </w:pPr>
    <w:rPr>
      <w:rFonts w:ascii="宋体" w:hAnsi="宋体" w:eastAsia="方正宋三简体" w:cstheme="majorBidi"/>
      <w:kern w:val="0"/>
      <w:szCs w:val="20"/>
    </w:rPr>
  </w:style>
  <w:style w:type="paragraph" w:customStyle="1" w:styleId="2960">
    <w:name w:val="样式 标题 3明阳3 + 行距: 固定值 12 磅"/>
    <w:basedOn w:val="5"/>
    <w:qFormat/>
    <w:uiPriority w:val="0"/>
    <w:pPr>
      <w:keepNext w:val="0"/>
      <w:keepLines w:val="0"/>
      <w:widowControl/>
      <w:numPr>
        <w:ilvl w:val="0"/>
        <w:numId w:val="0"/>
      </w:numPr>
      <w:adjustRightInd w:val="0"/>
      <w:snapToGrid w:val="0"/>
      <w:spacing w:line="360" w:lineRule="auto"/>
      <w:jc w:val="left"/>
    </w:pPr>
    <w:rPr>
      <w:rFonts w:ascii="黑体" w:cs="宋体"/>
      <w:b w:val="0"/>
      <w:bCs w:val="0"/>
      <w:iCs/>
      <w:smallCaps/>
      <w:spacing w:val="5"/>
      <w:kern w:val="0"/>
      <w:sz w:val="28"/>
      <w:szCs w:val="20"/>
    </w:rPr>
  </w:style>
  <w:style w:type="paragraph" w:customStyle="1" w:styleId="2961">
    <w:name w:val="样式 标题 2H2h2heading 2+ Indent: Left 0.25 in二级节名1.1  heading..."/>
    <w:basedOn w:val="4"/>
    <w:qFormat/>
    <w:uiPriority w:val="0"/>
    <w:pPr>
      <w:keepNext w:val="0"/>
      <w:keepLines w:val="0"/>
      <w:widowControl/>
      <w:numPr>
        <w:ilvl w:val="0"/>
        <w:numId w:val="0"/>
      </w:numPr>
      <w:tabs>
        <w:tab w:val="left" w:pos="0"/>
        <w:tab w:val="left" w:pos="420"/>
      </w:tabs>
      <w:spacing w:before="260" w:beforeLines="100" w:line="520" w:lineRule="exact"/>
      <w:jc w:val="left"/>
    </w:pPr>
    <w:rPr>
      <w:rFonts w:ascii="宋体" w:hAnsi="宋体" w:eastAsia="宋体" w:cs="宋体"/>
      <w:bCs w:val="0"/>
      <w:smallCaps/>
      <w:kern w:val="0"/>
      <w:sz w:val="30"/>
      <w:szCs w:val="20"/>
      <w:lang w:val="zh-CN"/>
    </w:rPr>
  </w:style>
  <w:style w:type="paragraph" w:customStyle="1" w:styleId="2962">
    <w:name w:val="declear1"/>
    <w:basedOn w:val="1"/>
    <w:qFormat/>
    <w:uiPriority w:val="0"/>
    <w:pPr>
      <w:widowControl/>
      <w:spacing w:after="30" w:line="240" w:lineRule="atLeast"/>
      <w:ind w:firstLine="200" w:firstLineChars="200"/>
      <w:jc w:val="left"/>
    </w:pPr>
    <w:rPr>
      <w:rFonts w:ascii="宋体" w:hAnsi="宋体" w:cs="宋体"/>
      <w:vanish/>
      <w:color w:val="999999"/>
      <w:kern w:val="0"/>
      <w:sz w:val="18"/>
      <w:szCs w:val="18"/>
    </w:rPr>
  </w:style>
  <w:style w:type="paragraph" w:customStyle="1" w:styleId="2963">
    <w:name w:val="方块流程"/>
    <w:basedOn w:val="1"/>
    <w:qFormat/>
    <w:uiPriority w:val="0"/>
    <w:pPr>
      <w:widowControl/>
      <w:tabs>
        <w:tab w:val="left" w:pos="0"/>
      </w:tabs>
      <w:topLinePunct/>
      <w:adjustRightInd w:val="0"/>
      <w:snapToGrid w:val="0"/>
      <w:spacing w:line="360" w:lineRule="auto"/>
      <w:ind w:firstLine="200" w:firstLineChars="200"/>
      <w:jc w:val="center"/>
      <w:textAlignment w:val="center"/>
    </w:pPr>
    <w:rPr>
      <w:rFonts w:cstheme="majorBidi"/>
      <w:color w:val="000000"/>
      <w:kern w:val="0"/>
      <w:szCs w:val="20"/>
    </w:rPr>
  </w:style>
  <w:style w:type="paragraph" w:customStyle="1" w:styleId="2964">
    <w:name w:val="图表内文字"/>
    <w:basedOn w:val="1"/>
    <w:uiPriority w:val="0"/>
    <w:pPr>
      <w:widowControl/>
      <w:adjustRightInd w:val="0"/>
      <w:snapToGrid w:val="0"/>
      <w:spacing w:line="360" w:lineRule="auto"/>
      <w:ind w:firstLine="200" w:firstLineChars="200"/>
      <w:jc w:val="left"/>
    </w:pPr>
    <w:rPr>
      <w:rFonts w:ascii="宋体" w:cstheme="majorBidi"/>
      <w:kern w:val="0"/>
    </w:rPr>
  </w:style>
  <w:style w:type="paragraph" w:customStyle="1" w:styleId="2965">
    <w:name w:val="芳标题3（大）"/>
    <w:basedOn w:val="1"/>
    <w:uiPriority w:val="0"/>
    <w:pPr>
      <w:widowControl/>
      <w:spacing w:line="360" w:lineRule="auto"/>
      <w:ind w:firstLine="200" w:firstLineChars="200"/>
      <w:jc w:val="left"/>
    </w:pPr>
    <w:rPr>
      <w:rFonts w:ascii="Arial" w:hAnsi="Arial" w:eastAsia="黑体" w:cstheme="majorBidi"/>
      <w:kern w:val="0"/>
    </w:rPr>
  </w:style>
  <w:style w:type="paragraph" w:customStyle="1" w:styleId="2966">
    <w:name w:val="xl18"/>
    <w:basedOn w:val="1"/>
    <w:qFormat/>
    <w:uiPriority w:val="0"/>
    <w:pPr>
      <w:widowControl/>
      <w:spacing w:before="100" w:beforeAutospacing="1" w:after="100" w:afterAutospacing="1" w:line="360" w:lineRule="auto"/>
      <w:ind w:firstLine="200" w:firstLineChars="200"/>
      <w:jc w:val="left"/>
    </w:pPr>
    <w:rPr>
      <w:rFonts w:eastAsia="Arial Unicode MS" w:cstheme="majorBidi"/>
      <w:kern w:val="0"/>
    </w:rPr>
  </w:style>
  <w:style w:type="paragraph" w:customStyle="1" w:styleId="2967">
    <w:name w:val="1-表内"/>
    <w:basedOn w:val="1"/>
    <w:qFormat/>
    <w:uiPriority w:val="0"/>
    <w:pPr>
      <w:widowControl/>
      <w:spacing w:line="360" w:lineRule="auto"/>
      <w:ind w:firstLine="200" w:firstLineChars="200"/>
      <w:jc w:val="left"/>
    </w:pPr>
    <w:rPr>
      <w:rFonts w:ascii="宋体" w:hAnsi="宋体" w:cs="宋体"/>
      <w:kern w:val="0"/>
      <w:szCs w:val="21"/>
    </w:rPr>
  </w:style>
  <w:style w:type="paragraph" w:customStyle="1" w:styleId="2968">
    <w:name w:val="我的标题4"/>
    <w:basedOn w:val="379"/>
    <w:qFormat/>
    <w:uiPriority w:val="0"/>
    <w:pPr>
      <w:widowControl/>
      <w:spacing w:line="360" w:lineRule="auto"/>
      <w:ind w:firstLine="200" w:firstLineChars="200"/>
      <w:jc w:val="left"/>
    </w:pPr>
    <w:rPr>
      <w:rFonts w:ascii="等线" w:hAnsi="等线" w:eastAsia="宋体" w:cstheme="majorBidi"/>
      <w:b/>
      <w:kern w:val="0"/>
      <w:szCs w:val="20"/>
    </w:rPr>
  </w:style>
  <w:style w:type="paragraph" w:customStyle="1" w:styleId="2969">
    <w:name w:val="样式 标题 3标题3H3h33rd level第二层条3heading 3- bodyh3bh3ah3 su..."/>
    <w:basedOn w:val="5"/>
    <w:qFormat/>
    <w:uiPriority w:val="0"/>
    <w:pPr>
      <w:keepNext w:val="0"/>
      <w:keepLines w:val="0"/>
      <w:widowControl/>
      <w:numPr>
        <w:ilvl w:val="0"/>
        <w:numId w:val="0"/>
      </w:numPr>
      <w:tabs>
        <w:tab w:val="left" w:pos="720"/>
      </w:tabs>
      <w:adjustRightInd w:val="0"/>
      <w:snapToGrid w:val="0"/>
      <w:spacing w:before="156" w:line="360" w:lineRule="auto"/>
      <w:ind w:left="720" w:hanging="720"/>
      <w:jc w:val="left"/>
    </w:pPr>
    <w:rPr>
      <w:rFonts w:ascii="黑体" w:eastAsia="仿宋_GB2312" w:cs="宋体"/>
      <w:b w:val="0"/>
      <w:bCs w:val="0"/>
      <w:iCs/>
      <w:smallCaps/>
      <w:spacing w:val="5"/>
      <w:kern w:val="0"/>
      <w:sz w:val="24"/>
      <w:szCs w:val="20"/>
    </w:rPr>
  </w:style>
  <w:style w:type="paragraph" w:customStyle="1" w:styleId="2970">
    <w:name w:val="样式 标题2YHY + 黑色 段前: 0.5 行 段后: 0.5 行"/>
    <w:basedOn w:val="1"/>
    <w:uiPriority w:val="0"/>
    <w:pPr>
      <w:keepNext/>
      <w:keepLines/>
      <w:widowControl/>
      <w:spacing w:beforeLines="50" w:afterLines="50" w:line="360" w:lineRule="auto"/>
      <w:ind w:firstLine="200" w:firstLineChars="200"/>
      <w:jc w:val="left"/>
      <w:outlineLvl w:val="1"/>
    </w:pPr>
    <w:rPr>
      <w:rFonts w:ascii="Arial" w:hAnsi="Arial" w:eastAsia="黑体" w:cs="宋体"/>
      <w:b/>
      <w:bCs/>
      <w:color w:val="000000"/>
      <w:kern w:val="0"/>
      <w:sz w:val="28"/>
      <w:szCs w:val="20"/>
    </w:rPr>
  </w:style>
  <w:style w:type="paragraph" w:customStyle="1" w:styleId="2971">
    <w:name w:val="河，表后"/>
    <w:basedOn w:val="1"/>
    <w:qFormat/>
    <w:uiPriority w:val="0"/>
    <w:pPr>
      <w:widowControl/>
      <w:spacing w:line="240" w:lineRule="exact"/>
      <w:ind w:firstLine="480" w:firstLineChars="200"/>
      <w:jc w:val="left"/>
    </w:pPr>
    <w:rPr>
      <w:rFonts w:ascii="ˎ̥" w:hAnsi="ˎ̥" w:cstheme="majorBidi"/>
      <w:bCs/>
      <w:color w:val="000000"/>
      <w:kern w:val="0"/>
      <w:szCs w:val="20"/>
    </w:rPr>
  </w:style>
  <w:style w:type="paragraph" w:customStyle="1" w:styleId="2972">
    <w:name w:val="排版正文"/>
    <w:basedOn w:val="1"/>
    <w:next w:val="1"/>
    <w:qFormat/>
    <w:uiPriority w:val="0"/>
    <w:pPr>
      <w:widowControl/>
      <w:adjustRightInd w:val="0"/>
      <w:snapToGrid w:val="0"/>
      <w:spacing w:line="460" w:lineRule="exact"/>
      <w:ind w:firstLine="510" w:firstLineChars="200"/>
      <w:jc w:val="left"/>
    </w:pPr>
    <w:rPr>
      <w:rFonts w:cstheme="majorBidi"/>
      <w:kern w:val="0"/>
      <w:sz w:val="26"/>
      <w:szCs w:val="20"/>
    </w:rPr>
  </w:style>
  <w:style w:type="paragraph" w:customStyle="1" w:styleId="2973">
    <w:name w:val="标题12"/>
    <w:basedOn w:val="3"/>
    <w:qFormat/>
    <w:uiPriority w:val="0"/>
    <w:pPr>
      <w:keepNext w:val="0"/>
      <w:pageBreakBefore/>
      <w:widowControl/>
      <w:numPr>
        <w:numId w:val="0"/>
      </w:numPr>
      <w:tabs>
        <w:tab w:val="left" w:pos="1620"/>
        <w:tab w:val="clear" w:pos="0"/>
      </w:tabs>
      <w:spacing w:after="120" w:line="200" w:lineRule="atLeast"/>
      <w:ind w:firstLine="200"/>
      <w:contextualSpacing/>
      <w:jc w:val="left"/>
    </w:pPr>
    <w:rPr>
      <w:rFonts w:ascii="黑体" w:hAnsi="Cambria" w:cstheme="majorBidi"/>
      <w:bCs/>
      <w:smallCaps/>
      <w:spacing w:val="5"/>
      <w:kern w:val="32"/>
      <w:sz w:val="30"/>
      <w:szCs w:val="20"/>
    </w:rPr>
  </w:style>
  <w:style w:type="paragraph" w:customStyle="1" w:styleId="2974">
    <w:name w:val="列表2"/>
    <w:basedOn w:val="66"/>
    <w:qFormat/>
    <w:uiPriority w:val="0"/>
    <w:pPr>
      <w:widowControl/>
      <w:adjustRightInd w:val="0"/>
      <w:snapToGrid w:val="0"/>
      <w:spacing w:line="400" w:lineRule="exact"/>
      <w:ind w:left="0" w:firstLine="0" w:firstLineChars="0"/>
      <w:jc w:val="left"/>
    </w:pPr>
    <w:rPr>
      <w:rFonts w:cstheme="majorBidi"/>
      <w:kern w:val="0"/>
      <w:szCs w:val="20"/>
    </w:rPr>
  </w:style>
  <w:style w:type="paragraph" w:customStyle="1" w:styleId="2975">
    <w:name w:val="正文7"/>
    <w:qFormat/>
    <w:uiPriority w:val="0"/>
    <w:pPr>
      <w:widowControl w:val="0"/>
      <w:adjustRightInd w:val="0"/>
      <w:spacing w:line="315" w:lineRule="atLeast"/>
    </w:pPr>
    <w:rPr>
      <w:rFonts w:ascii="宋体" w:hAnsiTheme="majorHAnsi" w:eastAsiaTheme="majorEastAsia" w:cstheme="majorBidi"/>
      <w:sz w:val="24"/>
      <w:szCs w:val="22"/>
      <w:lang w:val="en-US" w:eastAsia="zh-CN" w:bidi="ar-SA"/>
    </w:rPr>
  </w:style>
  <w:style w:type="paragraph" w:customStyle="1" w:styleId="2976">
    <w:name w:val="样式 标题 3标题 13标题 3 Char1 Char Char Char标题 31ReHead 3 WSAh3B...1"/>
    <w:basedOn w:val="5"/>
    <w:qFormat/>
    <w:uiPriority w:val="0"/>
    <w:pPr>
      <w:keepNext w:val="0"/>
      <w:keepLines w:val="0"/>
      <w:widowControl/>
      <w:numPr>
        <w:ilvl w:val="0"/>
        <w:numId w:val="0"/>
      </w:numPr>
      <w:adjustRightInd w:val="0"/>
      <w:snapToGrid w:val="0"/>
      <w:spacing w:beforeLines="80" w:afterLines="20" w:line="360" w:lineRule="auto"/>
      <w:jc w:val="left"/>
    </w:pPr>
    <w:rPr>
      <w:rFonts w:ascii="黑体" w:cs="宋体"/>
      <w:b w:val="0"/>
      <w:bCs w:val="0"/>
      <w:iCs/>
      <w:smallCaps/>
      <w:spacing w:val="5"/>
      <w:kern w:val="0"/>
      <w:sz w:val="24"/>
      <w:szCs w:val="20"/>
      <w:lang w:val="zh-CN"/>
    </w:rPr>
  </w:style>
  <w:style w:type="paragraph" w:customStyle="1" w:styleId="2977">
    <w:name w:val="개요 1.1"/>
    <w:qFormat/>
    <w:uiPriority w:val="99"/>
    <w:pPr>
      <w:widowControl w:val="0"/>
      <w:tabs>
        <w:tab w:val="left" w:pos="800"/>
        <w:tab w:val="left" w:pos="1600"/>
        <w:tab w:val="left" w:pos="2400"/>
        <w:tab w:val="left" w:pos="3200"/>
        <w:tab w:val="left" w:pos="4000"/>
        <w:tab w:val="left" w:pos="4800"/>
        <w:tab w:val="left" w:pos="5600"/>
        <w:tab w:val="left" w:pos="6400"/>
        <w:tab w:val="left" w:pos="7200"/>
        <w:tab w:val="left" w:pos="8000"/>
        <w:tab w:val="left" w:pos="8800"/>
        <w:tab w:val="left" w:pos="9600"/>
        <w:tab w:val="left" w:pos="10400"/>
        <w:tab w:val="left" w:pos="11200"/>
        <w:tab w:val="left" w:pos="12000"/>
        <w:tab w:val="left" w:pos="12800"/>
        <w:tab w:val="left" w:pos="13600"/>
        <w:tab w:val="left" w:pos="14400"/>
        <w:tab w:val="left" w:pos="15200"/>
        <w:tab w:val="left" w:pos="16000"/>
        <w:tab w:val="left" w:pos="16800"/>
        <w:tab w:val="left" w:pos="17600"/>
        <w:tab w:val="left" w:pos="18400"/>
        <w:tab w:val="left" w:pos="19200"/>
        <w:tab w:val="left" w:pos="20000"/>
        <w:tab w:val="left" w:pos="20800"/>
        <w:tab w:val="left" w:pos="21600"/>
        <w:tab w:val="left" w:pos="22400"/>
        <w:tab w:val="left" w:pos="23200"/>
        <w:tab w:val="left" w:pos="24000"/>
        <w:tab w:val="left" w:pos="24800"/>
      </w:tabs>
      <w:wordWrap w:val="0"/>
      <w:autoSpaceDE w:val="0"/>
      <w:autoSpaceDN w:val="0"/>
      <w:adjustRightInd w:val="0"/>
      <w:spacing w:line="333" w:lineRule="auto"/>
      <w:ind w:left="200"/>
      <w:jc w:val="both"/>
    </w:pPr>
    <w:rPr>
      <w:rFonts w:ascii="Batang" w:hAnsi="Times New Roman" w:eastAsia="Batang" w:cstheme="majorBidi"/>
      <w:b/>
      <w:bCs/>
      <w:color w:val="000000"/>
      <w:sz w:val="28"/>
      <w:szCs w:val="28"/>
      <w:lang w:val="en-US" w:eastAsia="ko-KR" w:bidi="ar-SA"/>
    </w:rPr>
  </w:style>
  <w:style w:type="paragraph" w:customStyle="1" w:styleId="2978">
    <w:name w:val="5号字行距1.0首行缩2"/>
    <w:basedOn w:val="1"/>
    <w:qFormat/>
    <w:uiPriority w:val="0"/>
    <w:pPr>
      <w:widowControl/>
      <w:spacing w:line="360" w:lineRule="auto"/>
      <w:ind w:firstLine="200" w:firstLineChars="200"/>
      <w:jc w:val="left"/>
    </w:pPr>
    <w:rPr>
      <w:rFonts w:cstheme="majorBidi"/>
      <w:kern w:val="0"/>
    </w:rPr>
  </w:style>
  <w:style w:type="paragraph" w:customStyle="1" w:styleId="2979">
    <w:name w:val="样式 样式 样式 行距: 固定值 28 磅 + 首行缩进:  2.5 字符 + 首行缩进:  2.5 字符"/>
    <w:basedOn w:val="2958"/>
    <w:qFormat/>
    <w:uiPriority w:val="0"/>
    <w:pPr>
      <w:spacing w:line="500" w:lineRule="exact"/>
      <w:ind w:firstLine="250"/>
    </w:pPr>
  </w:style>
  <w:style w:type="paragraph" w:customStyle="1" w:styleId="2980">
    <w:name w:val="正文部分"/>
    <w:basedOn w:val="1"/>
    <w:qFormat/>
    <w:uiPriority w:val="0"/>
    <w:pPr>
      <w:keepNext/>
      <w:keepLines/>
      <w:widowControl/>
      <w:spacing w:before="100" w:after="100" w:line="360" w:lineRule="auto"/>
      <w:ind w:firstLine="200" w:firstLineChars="200"/>
      <w:jc w:val="left"/>
      <w:outlineLvl w:val="2"/>
    </w:pPr>
    <w:rPr>
      <w:rFonts w:ascii="Arial" w:hAnsi="Arial" w:cstheme="majorBidi"/>
      <w:b/>
      <w:bCs/>
      <w:kern w:val="0"/>
      <w:sz w:val="28"/>
      <w:szCs w:val="32"/>
    </w:rPr>
  </w:style>
  <w:style w:type="paragraph" w:customStyle="1" w:styleId="2981">
    <w:name w:val="样式 标题 2H2h2heading 2+ Indent: Left 0.25 in二级节名1.1  heading...3"/>
    <w:basedOn w:val="4"/>
    <w:qFormat/>
    <w:uiPriority w:val="0"/>
    <w:pPr>
      <w:keepNext w:val="0"/>
      <w:keepLines w:val="0"/>
      <w:widowControl/>
      <w:numPr>
        <w:ilvl w:val="0"/>
        <w:numId w:val="0"/>
      </w:numPr>
      <w:tabs>
        <w:tab w:val="left" w:pos="0"/>
      </w:tabs>
      <w:spacing w:before="260" w:beforeLines="100" w:line="520" w:lineRule="exact"/>
      <w:jc w:val="left"/>
    </w:pPr>
    <w:rPr>
      <w:rFonts w:ascii="宋体" w:hAnsi="宋体" w:eastAsia="宋体" w:cs="宋体"/>
      <w:bCs w:val="0"/>
      <w:smallCaps/>
      <w:kern w:val="0"/>
      <w:sz w:val="30"/>
      <w:szCs w:val="20"/>
      <w:lang w:val="zh-CN"/>
    </w:rPr>
  </w:style>
  <w:style w:type="paragraph" w:customStyle="1" w:styleId="2982">
    <w:name w:val="样式 行距: 1.5 倍行距"/>
    <w:basedOn w:val="1"/>
    <w:qFormat/>
    <w:uiPriority w:val="0"/>
    <w:pPr>
      <w:widowControl/>
      <w:spacing w:line="360" w:lineRule="auto"/>
      <w:ind w:firstLine="420" w:firstLineChars="200"/>
      <w:jc w:val="left"/>
    </w:pPr>
    <w:rPr>
      <w:rFonts w:cs="宋体"/>
      <w:kern w:val="0"/>
      <w:szCs w:val="20"/>
    </w:rPr>
  </w:style>
  <w:style w:type="paragraph" w:customStyle="1" w:styleId="2983">
    <w:name w:val="湛宝标题"/>
    <w:basedOn w:val="22"/>
    <w:qFormat/>
    <w:uiPriority w:val="0"/>
    <w:pPr>
      <w:widowControl/>
      <w:spacing w:beforeLines="50" w:afterLines="50" w:line="360" w:lineRule="auto"/>
      <w:ind w:firstLine="200" w:firstLineChars="200"/>
    </w:pPr>
    <w:rPr>
      <w:rFonts w:ascii="Arial" w:hAnsi="Arial" w:cs="Arial"/>
      <w:bCs/>
      <w:caps/>
      <w:spacing w:val="10"/>
      <w:kern w:val="0"/>
      <w:szCs w:val="18"/>
      <w:u w:color="000000"/>
    </w:rPr>
  </w:style>
  <w:style w:type="paragraph" w:customStyle="1" w:styleId="2984">
    <w:name w:val="样式 样式 标题1 + 行距: 1.5 倍行距"/>
    <w:basedOn w:val="1"/>
    <w:qFormat/>
    <w:uiPriority w:val="0"/>
    <w:pPr>
      <w:keepNext/>
      <w:keepLines/>
      <w:widowControl/>
      <w:tabs>
        <w:tab w:val="left" w:pos="432"/>
      </w:tabs>
      <w:spacing w:line="360" w:lineRule="auto"/>
      <w:ind w:left="432" w:hanging="432" w:firstLineChars="200"/>
      <w:jc w:val="left"/>
      <w:outlineLvl w:val="0"/>
    </w:pPr>
    <w:rPr>
      <w:rFonts w:ascii="宋体" w:hAnsi="宋体" w:eastAsia="黑体" w:cs="宋体"/>
      <w:b/>
      <w:bCs/>
      <w:kern w:val="44"/>
      <w:sz w:val="30"/>
      <w:szCs w:val="20"/>
    </w:rPr>
  </w:style>
  <w:style w:type="paragraph" w:customStyle="1" w:styleId="2985">
    <w:name w:val="表题格式"/>
    <w:basedOn w:val="1"/>
    <w:qFormat/>
    <w:uiPriority w:val="0"/>
    <w:pPr>
      <w:widowControl/>
      <w:spacing w:line="440" w:lineRule="exact"/>
      <w:ind w:firstLine="377" w:firstLineChars="377"/>
      <w:jc w:val="left"/>
    </w:pPr>
    <w:rPr>
      <w:rFonts w:eastAsia="黑体" w:cstheme="majorBidi"/>
      <w:kern w:val="0"/>
      <w:szCs w:val="20"/>
    </w:rPr>
  </w:style>
  <w:style w:type="paragraph" w:customStyle="1" w:styleId="2986">
    <w:name w:val="正文文本缩进 31"/>
    <w:basedOn w:val="1"/>
    <w:qFormat/>
    <w:uiPriority w:val="0"/>
    <w:pPr>
      <w:widowControl/>
      <w:tabs>
        <w:tab w:val="left" w:pos="0"/>
      </w:tabs>
      <w:adjustRightInd w:val="0"/>
      <w:snapToGrid w:val="0"/>
      <w:spacing w:line="360" w:lineRule="auto"/>
      <w:ind w:right="-40" w:firstLine="420" w:firstLineChars="200"/>
      <w:jc w:val="left"/>
      <w:textAlignment w:val="center"/>
    </w:pPr>
    <w:rPr>
      <w:rFonts w:cstheme="majorBidi"/>
      <w:kern w:val="0"/>
      <w:szCs w:val="20"/>
    </w:rPr>
  </w:style>
  <w:style w:type="paragraph" w:customStyle="1" w:styleId="2987">
    <w:name w:val="a表头"/>
    <w:basedOn w:val="1"/>
    <w:next w:val="2988"/>
    <w:qFormat/>
    <w:uiPriority w:val="0"/>
    <w:pPr>
      <w:widowControl/>
      <w:spacing w:beforeLines="50" w:afterLines="50" w:line="360" w:lineRule="auto"/>
      <w:ind w:firstLine="200" w:firstLineChars="200"/>
      <w:jc w:val="center"/>
    </w:pPr>
    <w:rPr>
      <w:rFonts w:eastAsia="黑体" w:cstheme="majorBidi"/>
      <w:b/>
      <w:kern w:val="0"/>
    </w:rPr>
  </w:style>
  <w:style w:type="paragraph" w:customStyle="1" w:styleId="2988">
    <w:name w:val="a表格"/>
    <w:basedOn w:val="1"/>
    <w:qFormat/>
    <w:uiPriority w:val="0"/>
    <w:pPr>
      <w:widowControl/>
      <w:adjustRightInd w:val="0"/>
      <w:snapToGrid w:val="0"/>
      <w:spacing w:beforeLines="50" w:afterLines="50" w:line="360" w:lineRule="auto"/>
      <w:ind w:firstLine="200" w:firstLineChars="200"/>
      <w:jc w:val="left"/>
    </w:pPr>
    <w:rPr>
      <w:rFonts w:cstheme="majorBidi"/>
      <w:kern w:val="0"/>
    </w:rPr>
  </w:style>
  <w:style w:type="paragraph" w:customStyle="1" w:styleId="2989">
    <w:name w:val="报告表格表头"/>
    <w:basedOn w:val="39"/>
    <w:qFormat/>
    <w:uiPriority w:val="0"/>
    <w:pPr>
      <w:widowControl/>
      <w:tabs>
        <w:tab w:val="left" w:pos="0"/>
      </w:tabs>
      <w:spacing w:after="0" w:line="360" w:lineRule="auto"/>
      <w:ind w:left="0" w:leftChars="0" w:right="0" w:rightChars="0" w:firstLine="400" w:firstLineChars="400"/>
      <w:jc w:val="left"/>
    </w:pPr>
    <w:rPr>
      <w:rFonts w:cstheme="majorBidi"/>
      <w:b/>
      <w:bCs/>
      <w:color w:val="000000"/>
      <w:kern w:val="0"/>
    </w:rPr>
  </w:style>
  <w:style w:type="paragraph" w:customStyle="1" w:styleId="2990">
    <w:name w:val="样式35"/>
    <w:basedOn w:val="1"/>
    <w:qFormat/>
    <w:uiPriority w:val="0"/>
    <w:pPr>
      <w:widowControl/>
      <w:adjustRightInd w:val="0"/>
      <w:snapToGrid w:val="0"/>
      <w:spacing w:line="360" w:lineRule="auto"/>
      <w:ind w:firstLine="1995" w:firstLineChars="950"/>
      <w:jc w:val="left"/>
    </w:pPr>
    <w:rPr>
      <w:rFonts w:ascii="黑体" w:hAnsi="宋体" w:eastAsia="黑体" w:cstheme="majorBidi"/>
      <w:kern w:val="0"/>
      <w:szCs w:val="21"/>
    </w:rPr>
  </w:style>
  <w:style w:type="paragraph" w:customStyle="1" w:styleId="2991">
    <w:name w:val="样式 列表 + 居中"/>
    <w:basedOn w:val="66"/>
    <w:qFormat/>
    <w:uiPriority w:val="0"/>
    <w:pPr>
      <w:widowControl/>
      <w:snapToGrid w:val="0"/>
      <w:spacing w:line="360" w:lineRule="auto"/>
      <w:ind w:left="0" w:firstLine="0" w:firstLineChars="0"/>
      <w:jc w:val="center"/>
    </w:pPr>
    <w:rPr>
      <w:rFonts w:cstheme="majorBidi"/>
      <w:kern w:val="0"/>
      <w:szCs w:val="20"/>
    </w:rPr>
  </w:style>
  <w:style w:type="paragraph" w:customStyle="1" w:styleId="2992">
    <w:name w:val="_Style 49"/>
    <w:basedOn w:val="1"/>
    <w:next w:val="7"/>
    <w:qFormat/>
    <w:uiPriority w:val="0"/>
    <w:pPr>
      <w:widowControl/>
      <w:spacing w:line="440" w:lineRule="exact"/>
      <w:ind w:firstLine="420" w:firstLineChars="200"/>
      <w:jc w:val="left"/>
    </w:pPr>
    <w:rPr>
      <w:rFonts w:ascii="宋体" w:hAnsi="宋体" w:cs="宋体"/>
      <w:kern w:val="0"/>
      <w:szCs w:val="20"/>
    </w:rPr>
  </w:style>
  <w:style w:type="paragraph" w:customStyle="1" w:styleId="2993">
    <w:name w:val="样式 样式 标题 2H2h2heading 2+ Indent: Left 0.25 in二级节名1.1  heading......1"/>
    <w:basedOn w:val="2981"/>
    <w:qFormat/>
    <w:uiPriority w:val="0"/>
  </w:style>
  <w:style w:type="paragraph" w:customStyle="1" w:styleId="2994">
    <w:name w:val="brdrw15brsp20 tqctx4153t"/>
    <w:qFormat/>
    <w:uiPriority w:val="0"/>
    <w:pPr>
      <w:widowControl w:val="0"/>
      <w:pBdr>
        <w:bottom w:val="single" w:color="auto" w:sz="6" w:space="0"/>
      </w:pBdr>
      <w:adjustRightInd w:val="0"/>
      <w:spacing w:line="312" w:lineRule="atLeast"/>
      <w:jc w:val="center"/>
      <w:textAlignment w:val="baseline"/>
    </w:pPr>
    <w:rPr>
      <w:rFonts w:ascii="Times New Roman" w:hAnsi="Times New Roman" w:eastAsiaTheme="majorEastAsia" w:cstheme="majorBidi"/>
      <w:sz w:val="21"/>
      <w:szCs w:val="22"/>
      <w:lang w:val="en-US" w:eastAsia="zh-CN" w:bidi="ar-SA"/>
    </w:rPr>
  </w:style>
  <w:style w:type="paragraph" w:customStyle="1" w:styleId="2995">
    <w:name w:val="xl20"/>
    <w:basedOn w:val="1"/>
    <w:qFormat/>
    <w:uiPriority w:val="99"/>
    <w:pPr>
      <w:widowControl/>
      <w:pBdr>
        <w:top w:val="single" w:color="auto" w:sz="4" w:space="0"/>
        <w:left w:val="single" w:color="auto" w:sz="4" w:space="0"/>
        <w:bottom w:val="single" w:color="auto" w:sz="4" w:space="0"/>
        <w:right w:val="single" w:color="auto" w:sz="4" w:space="0"/>
      </w:pBdr>
      <w:spacing w:before="100" w:beforeAutospacing="1" w:after="100" w:afterAutospacing="1" w:line="360" w:lineRule="auto"/>
      <w:ind w:firstLine="200" w:firstLineChars="200"/>
      <w:jc w:val="center"/>
    </w:pPr>
    <w:rPr>
      <w:rFonts w:ascii="宋体" w:hAnsi="宋体" w:cs="宋体"/>
      <w:kern w:val="0"/>
    </w:rPr>
  </w:style>
  <w:style w:type="paragraph" w:customStyle="1" w:styleId="2996">
    <w:name w:val="样式 标题 2标题 21标题 121标题 2 Char1 CharH2SeHead wsa2标题 1.1 + 行..."/>
    <w:basedOn w:val="4"/>
    <w:qFormat/>
    <w:uiPriority w:val="0"/>
    <w:pPr>
      <w:keepNext w:val="0"/>
      <w:keepLines w:val="0"/>
      <w:widowControl/>
      <w:numPr>
        <w:ilvl w:val="0"/>
        <w:numId w:val="0"/>
      </w:numPr>
      <w:adjustRightInd w:val="0"/>
      <w:spacing w:before="100" w:after="100" w:line="460" w:lineRule="exact"/>
      <w:jc w:val="left"/>
      <w:textAlignment w:val="baseline"/>
    </w:pPr>
    <w:rPr>
      <w:rFonts w:ascii="黑体"/>
      <w:b w:val="0"/>
      <w:bCs w:val="0"/>
      <w:smallCaps/>
      <w:color w:val="000000"/>
      <w:kern w:val="0"/>
      <w:sz w:val="30"/>
    </w:rPr>
  </w:style>
  <w:style w:type="paragraph" w:customStyle="1" w:styleId="2997">
    <w:name w:val="样式 样式 一大点 + 四号 段前: 0.5 行 段后: 0.5 行 + 段前: 0.5 行 段后: 0.5 行"/>
    <w:basedOn w:val="1"/>
    <w:qFormat/>
    <w:uiPriority w:val="99"/>
    <w:pPr>
      <w:keepNext/>
      <w:keepLines/>
      <w:widowControl/>
      <w:overflowPunct w:val="0"/>
      <w:adjustRightInd w:val="0"/>
      <w:snapToGrid w:val="0"/>
      <w:spacing w:beforeLines="50" w:afterLines="50" w:line="360" w:lineRule="auto"/>
      <w:ind w:firstLine="200" w:firstLineChars="200"/>
      <w:jc w:val="left"/>
      <w:textAlignment w:val="baseline"/>
      <w:outlineLvl w:val="5"/>
    </w:pPr>
    <w:rPr>
      <w:rFonts w:ascii="Arial" w:hAnsi="Arial" w:eastAsia="黑体" w:cs="宋体"/>
      <w:b/>
      <w:bCs/>
      <w:spacing w:val="20"/>
      <w:kern w:val="0"/>
      <w:sz w:val="28"/>
      <w:szCs w:val="20"/>
    </w:rPr>
  </w:style>
  <w:style w:type="paragraph" w:customStyle="1" w:styleId="2998">
    <w:name w:val="样式1111"/>
    <w:basedOn w:val="1"/>
    <w:qFormat/>
    <w:uiPriority w:val="0"/>
    <w:pPr>
      <w:widowControl/>
      <w:spacing w:beforeLines="50" w:afterLines="50" w:line="360" w:lineRule="auto"/>
      <w:ind w:firstLine="480" w:firstLineChars="200"/>
      <w:jc w:val="left"/>
    </w:pPr>
    <w:rPr>
      <w:rFonts w:eastAsia="Times New Roman" w:cstheme="majorBidi"/>
      <w:kern w:val="0"/>
    </w:rPr>
  </w:style>
  <w:style w:type="paragraph" w:customStyle="1" w:styleId="2999">
    <w:name w:val="样式 标题 3 + 首行缩进:  2 字符 段前: 8.15 磅 段后: 8.15 磅2"/>
    <w:basedOn w:val="5"/>
    <w:qFormat/>
    <w:uiPriority w:val="99"/>
    <w:pPr>
      <w:keepNext w:val="0"/>
      <w:keepLines w:val="0"/>
      <w:widowControl/>
      <w:numPr>
        <w:ilvl w:val="0"/>
        <w:numId w:val="0"/>
      </w:numPr>
      <w:tabs>
        <w:tab w:val="left" w:pos="1260"/>
      </w:tabs>
      <w:adjustRightInd w:val="0"/>
      <w:snapToGrid w:val="0"/>
      <w:spacing w:before="163" w:after="163" w:line="240" w:lineRule="atLeast"/>
      <w:ind w:left="1260" w:firstLine="482"/>
      <w:jc w:val="left"/>
    </w:pPr>
    <w:rPr>
      <w:rFonts w:ascii="Arial Unicode MS" w:hAnsi="Arial Unicode MS" w:cstheme="majorBidi"/>
      <w:b w:val="0"/>
      <w:iCs/>
      <w:smallCaps/>
      <w:spacing w:val="5"/>
      <w:kern w:val="0"/>
      <w:sz w:val="24"/>
      <w:szCs w:val="24"/>
    </w:rPr>
  </w:style>
  <w:style w:type="paragraph" w:customStyle="1" w:styleId="3000">
    <w:name w:val="特殊标题３"/>
    <w:basedOn w:val="1"/>
    <w:qFormat/>
    <w:uiPriority w:val="0"/>
    <w:pPr>
      <w:widowControl/>
      <w:overflowPunct w:val="0"/>
      <w:autoSpaceDE w:val="0"/>
      <w:autoSpaceDN w:val="0"/>
      <w:adjustRightInd w:val="0"/>
      <w:spacing w:line="360" w:lineRule="auto"/>
      <w:ind w:firstLine="200" w:firstLineChars="200"/>
      <w:jc w:val="left"/>
      <w:textAlignment w:val="baseline"/>
    </w:pPr>
    <w:rPr>
      <w:rFonts w:eastAsia="仿宋_GB2312" w:cstheme="majorBidi"/>
      <w:kern w:val="0"/>
      <w:sz w:val="28"/>
      <w:szCs w:val="20"/>
    </w:rPr>
  </w:style>
  <w:style w:type="paragraph" w:customStyle="1" w:styleId="3001">
    <w:name w:val="居中"/>
    <w:basedOn w:val="1"/>
    <w:qFormat/>
    <w:uiPriority w:val="99"/>
    <w:pPr>
      <w:widowControl/>
      <w:spacing w:line="360" w:lineRule="auto"/>
      <w:ind w:firstLine="200" w:firstLineChars="200"/>
      <w:jc w:val="center"/>
    </w:pPr>
    <w:rPr>
      <w:rFonts w:ascii="宋体" w:hAnsi="宋体" w:cs="宋体"/>
      <w:kern w:val="0"/>
    </w:rPr>
  </w:style>
  <w:style w:type="paragraph" w:customStyle="1" w:styleId="3002">
    <w:name w:val="样式 (符号) 宋体 小四 段前: 6 磅 段后: 6 磅 行距: 1.5 倍行距1"/>
    <w:basedOn w:val="1"/>
    <w:qFormat/>
    <w:uiPriority w:val="0"/>
    <w:pPr>
      <w:widowControl/>
      <w:spacing w:beforeLines="50" w:afterLines="50" w:line="360" w:lineRule="auto"/>
      <w:ind w:firstLine="200" w:firstLineChars="200"/>
      <w:jc w:val="left"/>
    </w:pPr>
    <w:rPr>
      <w:rFonts w:hAnsi="宋体" w:cstheme="majorBidi"/>
      <w:kern w:val="0"/>
      <w:szCs w:val="20"/>
    </w:rPr>
  </w:style>
  <w:style w:type="character" w:customStyle="1" w:styleId="3003">
    <w:name w:val="xl28 Char"/>
    <w:link w:val="164"/>
    <w:qFormat/>
    <w:locked/>
    <w:uiPriority w:val="0"/>
    <w:rPr>
      <w:rFonts w:hAnsi="宋体"/>
      <w:sz w:val="18"/>
      <w:szCs w:val="18"/>
    </w:rPr>
  </w:style>
  <w:style w:type="paragraph" w:customStyle="1" w:styleId="3004">
    <w:name w:val="样式 样式 标题 2H2h2heading 2+ Indent: Left 0.25 in二级节名1.1  heading......"/>
    <w:basedOn w:val="2961"/>
    <w:qFormat/>
    <w:uiPriority w:val="0"/>
  </w:style>
  <w:style w:type="paragraph" w:customStyle="1" w:styleId="3005">
    <w:name w:val="msonormal style1 style3"/>
    <w:basedOn w:val="1"/>
    <w:qFormat/>
    <w:uiPriority w:val="99"/>
    <w:pPr>
      <w:widowControl/>
      <w:spacing w:before="100" w:beforeAutospacing="1" w:after="100" w:afterAutospacing="1" w:line="360" w:lineRule="auto"/>
      <w:ind w:firstLine="200" w:firstLineChars="200"/>
      <w:jc w:val="left"/>
    </w:pPr>
    <w:rPr>
      <w:rFonts w:ascii="宋体" w:hAnsi="宋体" w:cs="宋体"/>
      <w:kern w:val="0"/>
    </w:rPr>
  </w:style>
  <w:style w:type="paragraph" w:customStyle="1" w:styleId="3006">
    <w:name w:val="正文-第几条"/>
    <w:basedOn w:val="1"/>
    <w:qFormat/>
    <w:uiPriority w:val="0"/>
    <w:pPr>
      <w:widowControl/>
      <w:numPr>
        <w:ilvl w:val="0"/>
        <w:numId w:val="37"/>
      </w:numPr>
      <w:tabs>
        <w:tab w:val="left" w:pos="900"/>
        <w:tab w:val="left" w:pos="1021"/>
      </w:tabs>
      <w:spacing w:line="360" w:lineRule="auto"/>
      <w:ind w:firstLine="200" w:firstLineChars="200"/>
      <w:jc w:val="left"/>
    </w:pPr>
    <w:rPr>
      <w:rFonts w:cstheme="majorBidi"/>
      <w:kern w:val="0"/>
    </w:rPr>
  </w:style>
  <w:style w:type="paragraph" w:customStyle="1" w:styleId="3007">
    <w:name w:val="样式 样式 标题 2标题 21标题 121标题 2 Char1 Char节H2节标题 1.1节标题 1.1 Char... + ..."/>
    <w:basedOn w:val="1"/>
    <w:qFormat/>
    <w:uiPriority w:val="0"/>
    <w:pPr>
      <w:widowControl/>
      <w:adjustRightInd w:val="0"/>
      <w:spacing w:before="156" w:after="156" w:line="460" w:lineRule="exact"/>
      <w:ind w:firstLine="200" w:firstLineChars="200"/>
      <w:jc w:val="left"/>
      <w:textAlignment w:val="baseline"/>
      <w:outlineLvl w:val="1"/>
    </w:pPr>
    <w:rPr>
      <w:rFonts w:eastAsia="黑体" w:cs="宋体"/>
      <w:b/>
      <w:bCs/>
      <w:color w:val="000000"/>
      <w:kern w:val="0"/>
      <w:sz w:val="28"/>
      <w:szCs w:val="20"/>
    </w:rPr>
  </w:style>
  <w:style w:type="paragraph" w:customStyle="1" w:styleId="3008">
    <w:name w:val="样式49"/>
    <w:basedOn w:val="563"/>
    <w:qFormat/>
    <w:uiPriority w:val="0"/>
    <w:pPr>
      <w:widowControl/>
      <w:tabs>
        <w:tab w:val="left" w:pos="-480"/>
      </w:tabs>
      <w:jc w:val="left"/>
    </w:pPr>
    <w:rPr>
      <w:rFonts w:ascii="等线" w:hAnsi="宋体" w:eastAsia="宋体" w:cstheme="majorBidi"/>
    </w:rPr>
  </w:style>
  <w:style w:type="paragraph" w:customStyle="1" w:styleId="3009">
    <w:name w:val="项目符号2"/>
    <w:basedOn w:val="3010"/>
    <w:qFormat/>
    <w:uiPriority w:val="0"/>
    <w:pPr>
      <w:tabs>
        <w:tab w:val="left" w:pos="360"/>
      </w:tabs>
      <w:spacing w:line="312" w:lineRule="auto"/>
      <w:ind w:left="850" w:hanging="425"/>
    </w:pPr>
    <w:rPr>
      <w:b/>
    </w:rPr>
  </w:style>
  <w:style w:type="paragraph" w:customStyle="1" w:styleId="3010">
    <w:name w:val="项目符号1"/>
    <w:basedOn w:val="1"/>
    <w:qFormat/>
    <w:uiPriority w:val="0"/>
    <w:pPr>
      <w:widowControl/>
      <w:spacing w:line="336" w:lineRule="auto"/>
      <w:ind w:firstLine="200" w:firstLineChars="200"/>
      <w:jc w:val="left"/>
    </w:pPr>
    <w:rPr>
      <w:rFonts w:ascii="宋体" w:hAnsi="宋体" w:cstheme="majorBidi"/>
      <w:color w:val="000000"/>
      <w:kern w:val="0"/>
      <w:szCs w:val="20"/>
    </w:rPr>
  </w:style>
  <w:style w:type="paragraph" w:customStyle="1" w:styleId="3011">
    <w:name w:val="表格内容1"/>
    <w:basedOn w:val="1"/>
    <w:qFormat/>
    <w:uiPriority w:val="0"/>
    <w:pPr>
      <w:widowControl/>
      <w:tabs>
        <w:tab w:val="left" w:pos="1535"/>
        <w:tab w:val="left" w:pos="3105"/>
        <w:tab w:val="left" w:pos="3880"/>
        <w:tab w:val="center" w:pos="4153"/>
        <w:tab w:val="left" w:pos="4676"/>
        <w:tab w:val="left" w:pos="6247"/>
        <w:tab w:val="left" w:pos="7740"/>
        <w:tab w:val="right" w:pos="8306"/>
        <w:tab w:val="left" w:pos="9288"/>
      </w:tabs>
      <w:autoSpaceDE w:val="0"/>
      <w:autoSpaceDN w:val="0"/>
      <w:adjustRightInd w:val="0"/>
      <w:snapToGrid w:val="0"/>
      <w:spacing w:line="360" w:lineRule="auto"/>
      <w:ind w:firstLine="200" w:firstLineChars="200"/>
      <w:jc w:val="center"/>
      <w:textAlignment w:val="baseline"/>
    </w:pPr>
    <w:rPr>
      <w:rFonts w:ascii="仿宋_GB2312" w:hAnsi="宋体" w:eastAsia="仿宋_GB2312" w:cstheme="majorBidi"/>
      <w:color w:val="FF0000"/>
      <w:kern w:val="0"/>
      <w:szCs w:val="21"/>
    </w:rPr>
  </w:style>
  <w:style w:type="paragraph" w:customStyle="1" w:styleId="3012">
    <w:name w:val="ALT+Z"/>
    <w:basedOn w:val="1"/>
    <w:qFormat/>
    <w:uiPriority w:val="0"/>
    <w:pPr>
      <w:widowControl/>
      <w:spacing w:line="500" w:lineRule="exact"/>
      <w:ind w:firstLine="200" w:firstLineChars="200"/>
      <w:jc w:val="left"/>
    </w:pPr>
    <w:rPr>
      <w:rFonts w:cstheme="majorBidi"/>
      <w:kern w:val="0"/>
    </w:rPr>
  </w:style>
  <w:style w:type="paragraph" w:customStyle="1" w:styleId="3013">
    <w:name w:val="标准书眉_偶数页"/>
    <w:basedOn w:val="1"/>
    <w:next w:val="1"/>
    <w:qFormat/>
    <w:uiPriority w:val="0"/>
    <w:pPr>
      <w:widowControl/>
      <w:tabs>
        <w:tab w:val="center" w:pos="4154"/>
        <w:tab w:val="right" w:pos="8306"/>
      </w:tabs>
      <w:spacing w:after="120" w:line="360" w:lineRule="auto"/>
      <w:ind w:firstLine="200" w:firstLineChars="200"/>
      <w:jc w:val="left"/>
    </w:pPr>
    <w:rPr>
      <w:rFonts w:cstheme="majorBidi"/>
      <w:kern w:val="0"/>
      <w:szCs w:val="20"/>
    </w:rPr>
  </w:style>
  <w:style w:type="paragraph" w:customStyle="1" w:styleId="3014">
    <w:name w:val="wg"/>
    <w:basedOn w:val="1"/>
    <w:qFormat/>
    <w:uiPriority w:val="0"/>
    <w:pPr>
      <w:widowControl/>
      <w:spacing w:line="360" w:lineRule="auto"/>
      <w:ind w:firstLine="200" w:firstLineChars="200"/>
      <w:jc w:val="left"/>
    </w:pPr>
    <w:rPr>
      <w:rFonts w:cstheme="majorBidi"/>
      <w:kern w:val="0"/>
      <w:sz w:val="28"/>
      <w:szCs w:val="20"/>
    </w:rPr>
  </w:style>
  <w:style w:type="paragraph" w:customStyle="1" w:styleId="3015">
    <w:name w:val="扉页"/>
    <w:basedOn w:val="1"/>
    <w:qFormat/>
    <w:uiPriority w:val="0"/>
    <w:pPr>
      <w:widowControl/>
      <w:spacing w:line="400" w:lineRule="exact"/>
      <w:ind w:firstLine="2258" w:firstLineChars="1071"/>
      <w:jc w:val="left"/>
    </w:pPr>
    <w:rPr>
      <w:rFonts w:cs="宋体"/>
      <w:bCs/>
      <w:kern w:val="0"/>
      <w:sz w:val="30"/>
      <w:szCs w:val="20"/>
    </w:rPr>
  </w:style>
  <w:style w:type="paragraph" w:customStyle="1" w:styleId="3016">
    <w:name w:val="标题 1 + 段前: 0.5 行 段后: 0.5 行1"/>
    <w:basedOn w:val="1"/>
    <w:semiHidden/>
    <w:qFormat/>
    <w:uiPriority w:val="0"/>
    <w:pPr>
      <w:widowControl/>
      <w:tabs>
        <w:tab w:val="left" w:pos="1340"/>
      </w:tabs>
      <w:spacing w:before="120" w:after="120" w:line="360" w:lineRule="auto"/>
      <w:ind w:left="1340" w:hanging="420" w:firstLineChars="200"/>
      <w:jc w:val="left"/>
      <w:outlineLvl w:val="0"/>
    </w:pPr>
    <w:rPr>
      <w:rFonts w:eastAsia="黑体" w:cs="宋体"/>
      <w:kern w:val="0"/>
      <w:sz w:val="28"/>
      <w:szCs w:val="20"/>
    </w:rPr>
  </w:style>
  <w:style w:type="paragraph" w:customStyle="1" w:styleId="3017">
    <w:name w:val="样式38"/>
    <w:basedOn w:val="2723"/>
    <w:qFormat/>
    <w:uiPriority w:val="0"/>
    <w:pPr>
      <w:ind w:left="0" w:firstLine="0"/>
    </w:pPr>
    <w:rPr>
      <w:bCs/>
      <w:szCs w:val="20"/>
    </w:rPr>
  </w:style>
  <w:style w:type="paragraph" w:customStyle="1" w:styleId="3018">
    <w:name w:val="样式 段落样式 + (西文) 宋体 小四 黑色"/>
    <w:basedOn w:val="1"/>
    <w:qFormat/>
    <w:uiPriority w:val="0"/>
    <w:pPr>
      <w:keepNext/>
      <w:widowControl/>
      <w:suppressLineNumbers/>
      <w:suppressAutoHyphens/>
      <w:topLinePunct/>
      <w:adjustRightInd w:val="0"/>
      <w:snapToGrid w:val="0"/>
      <w:spacing w:line="480" w:lineRule="atLeast"/>
      <w:ind w:firstLine="482" w:firstLineChars="200"/>
      <w:jc w:val="left"/>
      <w:textAlignment w:val="baseline"/>
    </w:pPr>
    <w:rPr>
      <w:rFonts w:cstheme="majorBidi"/>
      <w:color w:val="000000"/>
      <w:w w:val="90"/>
      <w:kern w:val="24"/>
      <w:szCs w:val="21"/>
    </w:rPr>
  </w:style>
  <w:style w:type="paragraph" w:customStyle="1" w:styleId="3019">
    <w:name w:val="小点"/>
    <w:qFormat/>
    <w:uiPriority w:val="99"/>
    <w:pPr>
      <w:tabs>
        <w:tab w:val="left" w:pos="840"/>
      </w:tabs>
      <w:adjustRightInd w:val="0"/>
      <w:snapToGrid w:val="0"/>
      <w:spacing w:line="360" w:lineRule="auto"/>
      <w:ind w:left="840" w:hanging="360"/>
    </w:pPr>
    <w:rPr>
      <w:rFonts w:ascii="宋体" w:hAnsi="宋体" w:cs="宋体" w:eastAsiaTheme="majorEastAsia"/>
      <w:sz w:val="24"/>
      <w:szCs w:val="24"/>
      <w:lang w:val="en-US" w:eastAsia="zh-CN" w:bidi="ar-SA"/>
    </w:rPr>
  </w:style>
  <w:style w:type="paragraph" w:customStyle="1" w:styleId="3020">
    <w:name w:val="佛山正文"/>
    <w:basedOn w:val="1"/>
    <w:qFormat/>
    <w:uiPriority w:val="0"/>
    <w:pPr>
      <w:widowControl/>
      <w:snapToGrid w:val="0"/>
      <w:spacing w:line="360" w:lineRule="auto"/>
      <w:ind w:firstLine="454" w:firstLineChars="216"/>
      <w:jc w:val="left"/>
    </w:pPr>
    <w:rPr>
      <w:rFonts w:ascii="仿宋_GB2312" w:hAnsi="宋体" w:eastAsia="仿宋_GB2312" w:cstheme="majorBidi"/>
      <w:kern w:val="0"/>
      <w:szCs w:val="21"/>
    </w:rPr>
  </w:style>
  <w:style w:type="paragraph" w:customStyle="1" w:styleId="3021">
    <w:name w:val="样式67"/>
    <w:basedOn w:val="1"/>
    <w:link w:val="3022"/>
    <w:qFormat/>
    <w:uiPriority w:val="0"/>
    <w:pPr>
      <w:keepNext/>
      <w:keepLines/>
      <w:widowControl/>
      <w:spacing w:beforeLines="50" w:afterLines="50" w:line="360" w:lineRule="auto"/>
      <w:ind w:firstLine="200" w:firstLineChars="200"/>
      <w:jc w:val="left"/>
      <w:outlineLvl w:val="2"/>
    </w:pPr>
    <w:rPr>
      <w:rFonts w:cstheme="majorBidi"/>
      <w:b/>
      <w:bCs/>
      <w:kern w:val="0"/>
    </w:rPr>
  </w:style>
  <w:style w:type="character" w:customStyle="1" w:styleId="3022">
    <w:name w:val="样式67 Char"/>
    <w:link w:val="3021"/>
    <w:qFormat/>
    <w:uiPriority w:val="0"/>
    <w:rPr>
      <w:rFonts w:cstheme="majorBidi"/>
      <w:b/>
      <w:bCs/>
      <w:sz w:val="24"/>
      <w:szCs w:val="24"/>
    </w:rPr>
  </w:style>
  <w:style w:type="paragraph" w:customStyle="1" w:styleId="3023">
    <w:name w:val="样式 标题 5 + 居中"/>
    <w:basedOn w:val="8"/>
    <w:qFormat/>
    <w:uiPriority w:val="0"/>
    <w:pPr>
      <w:keepNext w:val="0"/>
      <w:keepLines w:val="0"/>
      <w:widowControl/>
      <w:tabs>
        <w:tab w:val="clear" w:pos="360"/>
      </w:tabs>
      <w:snapToGrid/>
      <w:spacing w:before="0" w:line="500" w:lineRule="exact"/>
      <w:jc w:val="center"/>
    </w:pPr>
    <w:rPr>
      <w:rFonts w:cs="宋体"/>
      <w:iCs/>
      <w:kern w:val="0"/>
      <w:szCs w:val="20"/>
    </w:rPr>
  </w:style>
  <w:style w:type="paragraph" w:customStyle="1" w:styleId="3024">
    <w:name w:val="文章正文文字"/>
    <w:basedOn w:val="1"/>
    <w:qFormat/>
    <w:uiPriority w:val="0"/>
    <w:pPr>
      <w:widowControl/>
      <w:spacing w:line="520" w:lineRule="exact"/>
      <w:ind w:firstLine="200" w:firstLineChars="200"/>
      <w:jc w:val="left"/>
    </w:pPr>
    <w:rPr>
      <w:rFonts w:cstheme="majorBidi"/>
      <w:kern w:val="0"/>
    </w:rPr>
  </w:style>
  <w:style w:type="paragraph" w:customStyle="1" w:styleId="3025">
    <w:name w:val="19"/>
    <w:basedOn w:val="1"/>
    <w:qFormat/>
    <w:uiPriority w:val="0"/>
    <w:pPr>
      <w:widowControl/>
      <w:pBdr>
        <w:bottom w:val="single" w:color="000000" w:sz="4" w:space="0"/>
      </w:pBdr>
      <w:snapToGrid w:val="0"/>
      <w:spacing w:before="100" w:after="100" w:line="500" w:lineRule="atLeast"/>
      <w:ind w:firstLine="200" w:firstLineChars="200"/>
      <w:jc w:val="center"/>
    </w:pPr>
    <w:rPr>
      <w:rFonts w:hint="eastAsia" w:ascii="宋体" w:hAnsi="宋体" w:cs="Arial Unicode MS"/>
      <w:kern w:val="0"/>
    </w:rPr>
  </w:style>
  <w:style w:type="paragraph" w:customStyle="1" w:styleId="3026">
    <w:name w:val="寄信人地址1"/>
    <w:basedOn w:val="1"/>
    <w:qFormat/>
    <w:uiPriority w:val="0"/>
    <w:pPr>
      <w:widowControl/>
      <w:snapToGrid w:val="0"/>
      <w:spacing w:line="360" w:lineRule="auto"/>
      <w:ind w:firstLine="200" w:firstLineChars="200"/>
      <w:jc w:val="left"/>
    </w:pPr>
    <w:rPr>
      <w:rFonts w:ascii="Arial" w:hAnsi="Arial" w:cs="Arial"/>
      <w:kern w:val="0"/>
      <w:szCs w:val="20"/>
    </w:rPr>
  </w:style>
  <w:style w:type="paragraph" w:customStyle="1" w:styleId="3027">
    <w:name w:val="小小标题"/>
    <w:basedOn w:val="1"/>
    <w:qFormat/>
    <w:uiPriority w:val="99"/>
    <w:pPr>
      <w:widowControl/>
      <w:adjustRightInd w:val="0"/>
      <w:spacing w:line="360" w:lineRule="atLeast"/>
      <w:ind w:firstLine="200" w:firstLineChars="200"/>
      <w:jc w:val="left"/>
      <w:textAlignment w:val="baseline"/>
    </w:pPr>
    <w:rPr>
      <w:rFonts w:ascii="宋体" w:cstheme="majorBidi"/>
      <w:spacing w:val="20"/>
      <w:kern w:val="0"/>
      <w:szCs w:val="20"/>
    </w:rPr>
  </w:style>
  <w:style w:type="paragraph" w:customStyle="1" w:styleId="3028">
    <w:name w:val="样式33"/>
    <w:basedOn w:val="1"/>
    <w:link w:val="3029"/>
    <w:qFormat/>
    <w:uiPriority w:val="0"/>
    <w:pPr>
      <w:keepNext/>
      <w:keepLines/>
      <w:widowControl/>
      <w:tabs>
        <w:tab w:val="left" w:pos="720"/>
        <w:tab w:val="left" w:pos="900"/>
      </w:tabs>
      <w:spacing w:beforeLines="50" w:afterLines="50" w:line="360" w:lineRule="auto"/>
      <w:ind w:left="708" w:hanging="708" w:firstLineChars="200"/>
      <w:jc w:val="left"/>
      <w:outlineLvl w:val="3"/>
    </w:pPr>
    <w:rPr>
      <w:rFonts w:cstheme="majorBidi"/>
      <w:kern w:val="0"/>
      <w:szCs w:val="28"/>
    </w:rPr>
  </w:style>
  <w:style w:type="character" w:customStyle="1" w:styleId="3029">
    <w:name w:val="样式33 Char"/>
    <w:link w:val="3028"/>
    <w:qFormat/>
    <w:uiPriority w:val="0"/>
    <w:rPr>
      <w:rFonts w:cstheme="majorBidi"/>
      <w:sz w:val="24"/>
      <w:szCs w:val="28"/>
    </w:rPr>
  </w:style>
  <w:style w:type="paragraph" w:customStyle="1" w:styleId="3030">
    <w:name w:val="2-正文"/>
    <w:basedOn w:val="1"/>
    <w:qFormat/>
    <w:uiPriority w:val="0"/>
    <w:pPr>
      <w:widowControl/>
      <w:spacing w:line="480" w:lineRule="exact"/>
      <w:ind w:firstLine="480" w:firstLineChars="200"/>
      <w:jc w:val="left"/>
    </w:pPr>
    <w:rPr>
      <w:rFonts w:ascii="宋体" w:hAnsi="宋体" w:cstheme="majorBidi"/>
      <w:kern w:val="0"/>
      <w:szCs w:val="20"/>
    </w:rPr>
  </w:style>
  <w:style w:type="paragraph" w:customStyle="1" w:styleId="3031">
    <w:name w:val="样式 自动表头 + (西文) 黑体 五号 加粗 行距: 单倍行距"/>
    <w:basedOn w:val="2423"/>
    <w:qFormat/>
    <w:uiPriority w:val="0"/>
    <w:pPr>
      <w:spacing w:beforeLines="50" w:afterLines="50" w:line="240" w:lineRule="auto"/>
      <w:ind w:firstLine="422" w:firstLineChars="200"/>
    </w:pPr>
    <w:rPr>
      <w:rFonts w:ascii="黑体" w:hAnsi="等线" w:eastAsia="宋体" w:cs="宋体"/>
      <w:bCs/>
      <w:szCs w:val="20"/>
    </w:rPr>
  </w:style>
  <w:style w:type="character" w:customStyle="1" w:styleId="3032">
    <w:name w:val="正文样式1 Char"/>
    <w:link w:val="962"/>
    <w:qFormat/>
    <w:uiPriority w:val="0"/>
    <w:rPr>
      <w:kern w:val="28"/>
      <w:sz w:val="28"/>
    </w:rPr>
  </w:style>
  <w:style w:type="character" w:customStyle="1" w:styleId="3033">
    <w:name w:val="p0 Char"/>
    <w:link w:val="1305"/>
    <w:qFormat/>
    <w:locked/>
    <w:uiPriority w:val="99"/>
    <w:rPr>
      <w:sz w:val="21"/>
      <w:szCs w:val="21"/>
    </w:rPr>
  </w:style>
  <w:style w:type="paragraph" w:customStyle="1" w:styleId="3034">
    <w:name w:val="Char Char Char1 Char Char Char Char Char Char Char Char Char Char Char Char1 Char Char Char Char Char Char Char Char Char Char"/>
    <w:basedOn w:val="1"/>
    <w:qFormat/>
    <w:uiPriority w:val="99"/>
    <w:pPr>
      <w:widowControl/>
      <w:spacing w:line="360" w:lineRule="auto"/>
      <w:ind w:firstLine="200" w:firstLineChars="200"/>
      <w:jc w:val="left"/>
    </w:pPr>
    <w:rPr>
      <w:rFonts w:cstheme="majorBidi"/>
      <w:kern w:val="0"/>
    </w:rPr>
  </w:style>
  <w:style w:type="paragraph" w:customStyle="1" w:styleId="3035">
    <w:name w:val="样式10001"/>
    <w:basedOn w:val="1"/>
    <w:qFormat/>
    <w:uiPriority w:val="0"/>
    <w:pPr>
      <w:widowControl/>
      <w:spacing w:beforeLines="50" w:afterLines="50" w:line="360" w:lineRule="auto"/>
      <w:ind w:firstLine="480" w:firstLineChars="200"/>
      <w:jc w:val="left"/>
    </w:pPr>
    <w:rPr>
      <w:rFonts w:cstheme="majorBidi"/>
      <w:color w:val="000000"/>
      <w:kern w:val="0"/>
    </w:rPr>
  </w:style>
  <w:style w:type="paragraph" w:customStyle="1" w:styleId="3036">
    <w:name w:val="样式 标题 3 + 首行缩进:  2 字符 段前: 8.15 磅 段后: 8.15 磅3"/>
    <w:basedOn w:val="5"/>
    <w:qFormat/>
    <w:uiPriority w:val="99"/>
    <w:pPr>
      <w:keepNext w:val="0"/>
      <w:keepLines w:val="0"/>
      <w:widowControl/>
      <w:numPr>
        <w:ilvl w:val="0"/>
        <w:numId w:val="0"/>
      </w:numPr>
      <w:tabs>
        <w:tab w:val="left" w:pos="1260"/>
      </w:tabs>
      <w:adjustRightInd w:val="0"/>
      <w:snapToGrid w:val="0"/>
      <w:spacing w:before="163" w:after="163" w:line="240" w:lineRule="atLeast"/>
      <w:ind w:left="1260" w:hanging="420"/>
      <w:jc w:val="left"/>
    </w:pPr>
    <w:rPr>
      <w:rFonts w:ascii="Arial Unicode MS" w:hAnsi="Arial Unicode MS" w:cstheme="majorBidi"/>
      <w:b w:val="0"/>
      <w:iCs/>
      <w:smallCaps/>
      <w:spacing w:val="5"/>
      <w:kern w:val="0"/>
      <w:sz w:val="24"/>
      <w:szCs w:val="24"/>
    </w:rPr>
  </w:style>
  <w:style w:type="paragraph" w:customStyle="1" w:styleId="3037">
    <w:name w:val="17"/>
    <w:basedOn w:val="1"/>
    <w:qFormat/>
    <w:uiPriority w:val="0"/>
    <w:pPr>
      <w:widowControl/>
      <w:snapToGrid w:val="0"/>
      <w:spacing w:before="156" w:after="156" w:line="360" w:lineRule="auto"/>
      <w:ind w:firstLine="200" w:firstLineChars="200"/>
      <w:jc w:val="left"/>
    </w:pPr>
    <w:rPr>
      <w:rFonts w:hint="eastAsia" w:ascii="黑体" w:hAnsi="Arial Unicode MS" w:eastAsia="黑体" w:cs="Arial Unicode MS"/>
      <w:b/>
      <w:bCs/>
      <w:color w:val="000000"/>
      <w:kern w:val="0"/>
      <w:szCs w:val="21"/>
    </w:rPr>
  </w:style>
  <w:style w:type="paragraph" w:customStyle="1" w:styleId="3038">
    <w:name w:val="小3黑顶"/>
    <w:basedOn w:val="4"/>
    <w:qFormat/>
    <w:uiPriority w:val="99"/>
    <w:pPr>
      <w:keepNext w:val="0"/>
      <w:keepLines w:val="0"/>
      <w:widowControl/>
      <w:numPr>
        <w:ilvl w:val="0"/>
        <w:numId w:val="0"/>
      </w:numPr>
      <w:tabs>
        <w:tab w:val="left" w:pos="840"/>
      </w:tabs>
      <w:spacing w:before="360" w:after="240"/>
      <w:ind w:left="840" w:hanging="420"/>
      <w:jc w:val="left"/>
    </w:pPr>
    <w:rPr>
      <w:rFonts w:ascii="黑体" w:hAnsi="宋体" w:eastAsia="仿宋_GB2312"/>
      <w:smallCaps/>
      <w:color w:val="000000"/>
      <w:kern w:val="0"/>
      <w:sz w:val="30"/>
    </w:rPr>
  </w:style>
  <w:style w:type="paragraph" w:customStyle="1" w:styleId="3039">
    <w:name w:val="10.3.11"/>
    <w:basedOn w:val="1"/>
    <w:qFormat/>
    <w:uiPriority w:val="0"/>
    <w:pPr>
      <w:widowControl/>
      <w:adjustRightInd w:val="0"/>
      <w:snapToGrid w:val="0"/>
      <w:spacing w:line="336" w:lineRule="auto"/>
      <w:ind w:firstLine="200" w:firstLineChars="200"/>
      <w:jc w:val="left"/>
    </w:pPr>
    <w:rPr>
      <w:rFonts w:ascii="宋体" w:cstheme="majorBidi"/>
      <w:kern w:val="0"/>
      <w:sz w:val="28"/>
      <w:szCs w:val="28"/>
    </w:rPr>
  </w:style>
  <w:style w:type="paragraph" w:customStyle="1" w:styleId="3040">
    <w:name w:val="样式 样式 宋体 四号 行距: 固定值 25 磅1 + 首行缩进:  2 字符"/>
    <w:basedOn w:val="1"/>
    <w:qFormat/>
    <w:uiPriority w:val="0"/>
    <w:pPr>
      <w:widowControl/>
      <w:spacing w:before="120" w:after="120" w:line="360" w:lineRule="auto"/>
      <w:ind w:firstLine="200" w:firstLineChars="200"/>
      <w:jc w:val="center"/>
      <w:outlineLvl w:val="3"/>
    </w:pPr>
    <w:rPr>
      <w:rFonts w:ascii="宋体" w:hAnsi="黑体" w:eastAsia="黑体" w:cstheme="majorBidi"/>
      <w:kern w:val="0"/>
      <w:szCs w:val="21"/>
    </w:rPr>
  </w:style>
  <w:style w:type="paragraph" w:customStyle="1" w:styleId="3041">
    <w:name w:val="样式 标题 1标题 11一、 + (中文) 黑体 三号"/>
    <w:basedOn w:val="3"/>
    <w:qFormat/>
    <w:uiPriority w:val="99"/>
    <w:pPr>
      <w:keepNext w:val="0"/>
      <w:widowControl/>
      <w:numPr>
        <w:numId w:val="0"/>
      </w:numPr>
      <w:tabs>
        <w:tab w:val="left" w:pos="914"/>
        <w:tab w:val="clear" w:pos="0"/>
      </w:tabs>
      <w:spacing w:before="340" w:after="330" w:line="578" w:lineRule="auto"/>
      <w:ind w:left="914" w:hanging="432"/>
      <w:contextualSpacing/>
      <w:jc w:val="left"/>
    </w:pPr>
    <w:rPr>
      <w:rFonts w:ascii="宋体" w:hAnsi="宋体" w:cs="宋体"/>
      <w:smallCaps/>
      <w:spacing w:val="5"/>
      <w:kern w:val="0"/>
      <w:sz w:val="32"/>
    </w:rPr>
  </w:style>
  <w:style w:type="paragraph" w:customStyle="1" w:styleId="3042">
    <w:name w:val="表列"/>
    <w:basedOn w:val="1"/>
    <w:qFormat/>
    <w:uiPriority w:val="0"/>
    <w:pPr>
      <w:widowControl/>
      <w:adjustRightInd w:val="0"/>
      <w:spacing w:line="240" w:lineRule="atLeast"/>
      <w:ind w:firstLine="200" w:firstLineChars="200"/>
      <w:jc w:val="left"/>
      <w:textAlignment w:val="baseline"/>
    </w:pPr>
    <w:rPr>
      <w:rFonts w:cstheme="majorBidi"/>
      <w:kern w:val="0"/>
      <w:szCs w:val="20"/>
    </w:rPr>
  </w:style>
  <w:style w:type="paragraph" w:customStyle="1" w:styleId="3043">
    <w:name w:val="表目"/>
    <w:basedOn w:val="1"/>
    <w:qFormat/>
    <w:uiPriority w:val="0"/>
    <w:pPr>
      <w:widowControl/>
      <w:adjustRightInd w:val="0"/>
      <w:spacing w:line="300" w:lineRule="auto"/>
      <w:ind w:firstLine="200" w:firstLineChars="200"/>
      <w:jc w:val="center"/>
      <w:textAlignment w:val="center"/>
    </w:pPr>
    <w:rPr>
      <w:rFonts w:cstheme="majorBidi"/>
      <w:b/>
      <w:kern w:val="0"/>
      <w:szCs w:val="20"/>
    </w:rPr>
  </w:style>
  <w:style w:type="paragraph" w:customStyle="1" w:styleId="3044">
    <w:name w:val="样式 标题3"/>
    <w:basedOn w:val="5"/>
    <w:qFormat/>
    <w:uiPriority w:val="0"/>
    <w:pPr>
      <w:keepNext w:val="0"/>
      <w:keepLines w:val="0"/>
      <w:widowControl/>
      <w:numPr>
        <w:ilvl w:val="0"/>
        <w:numId w:val="0"/>
      </w:numPr>
      <w:tabs>
        <w:tab w:val="left" w:pos="720"/>
      </w:tabs>
      <w:adjustRightInd w:val="0"/>
      <w:snapToGrid w:val="0"/>
      <w:spacing w:beforeLines="50" w:afterLines="50" w:line="360" w:lineRule="auto"/>
      <w:ind w:left="1440" w:hanging="720"/>
      <w:jc w:val="left"/>
    </w:pPr>
    <w:rPr>
      <w:rFonts w:ascii="黑体" w:cstheme="majorBidi"/>
      <w:b w:val="0"/>
      <w:bCs w:val="0"/>
      <w:iCs/>
      <w:smallCaps/>
      <w:spacing w:val="5"/>
      <w:kern w:val="0"/>
      <w:sz w:val="24"/>
    </w:rPr>
  </w:style>
  <w:style w:type="paragraph" w:customStyle="1" w:styleId="3045">
    <w:name w:val="样式 样式31 + 段前: 0.5 行 段后: 0.5 行"/>
    <w:basedOn w:val="3046"/>
    <w:qFormat/>
    <w:uiPriority w:val="0"/>
    <w:pPr>
      <w:keepLines/>
      <w:tabs>
        <w:tab w:val="left" w:pos="0"/>
        <w:tab w:val="left" w:pos="425"/>
      </w:tabs>
      <w:spacing w:before="156" w:after="156"/>
      <w:ind w:hanging="420"/>
      <w:jc w:val="both"/>
    </w:pPr>
    <w:rPr>
      <w:rFonts w:ascii="黑体" w:hAnsi="Arial Unicode MS" w:eastAsia="黑体" w:cs="宋体"/>
      <w:bCs w:val="0"/>
      <w:kern w:val="44"/>
    </w:rPr>
  </w:style>
  <w:style w:type="paragraph" w:customStyle="1" w:styleId="3046">
    <w:name w:val="样式31"/>
    <w:basedOn w:val="2723"/>
    <w:qFormat/>
    <w:uiPriority w:val="0"/>
    <w:pPr>
      <w:ind w:left="0" w:firstLine="0"/>
    </w:pPr>
    <w:rPr>
      <w:bCs/>
      <w:szCs w:val="20"/>
    </w:rPr>
  </w:style>
  <w:style w:type="paragraph" w:customStyle="1" w:styleId="3047">
    <w:name w:val="biao2"/>
    <w:basedOn w:val="1"/>
    <w:qFormat/>
    <w:uiPriority w:val="0"/>
    <w:pPr>
      <w:widowControl/>
      <w:spacing w:before="100" w:beforeAutospacing="1" w:after="100" w:afterAutospacing="1" w:line="360" w:lineRule="auto"/>
      <w:ind w:firstLine="200" w:firstLineChars="200"/>
      <w:jc w:val="left"/>
    </w:pPr>
    <w:rPr>
      <w:rFonts w:ascii="Arial Unicode MS" w:hAnsi="Arial Unicode MS" w:cstheme="majorBidi"/>
      <w:kern w:val="0"/>
      <w:szCs w:val="20"/>
    </w:rPr>
  </w:style>
  <w:style w:type="paragraph" w:customStyle="1" w:styleId="3048">
    <w:name w:val="样式 正文缩进 + 仿宋_GB2312 四号"/>
    <w:basedOn w:val="7"/>
    <w:qFormat/>
    <w:uiPriority w:val="0"/>
    <w:pPr>
      <w:widowControl/>
      <w:spacing w:line="360" w:lineRule="auto"/>
      <w:ind w:firstLine="200"/>
    </w:pPr>
    <w:rPr>
      <w:rFonts w:ascii="仿宋_GB2312" w:hAnsi="仿宋_GB2312" w:eastAsia="仿宋_GB2312" w:cstheme="majorBidi"/>
      <w:kern w:val="0"/>
      <w:szCs w:val="22"/>
    </w:rPr>
  </w:style>
  <w:style w:type="character" w:customStyle="1" w:styleId="3049">
    <w:name w:val="图表名称 Char"/>
    <w:link w:val="680"/>
    <w:qFormat/>
    <w:locked/>
    <w:uiPriority w:val="99"/>
    <w:rPr>
      <w:b/>
      <w:kern w:val="2"/>
      <w:sz w:val="24"/>
      <w:szCs w:val="24"/>
      <w:lang w:val="zh-CN" w:eastAsia="zh-CN"/>
    </w:rPr>
  </w:style>
  <w:style w:type="paragraph" w:customStyle="1" w:styleId="3050">
    <w:name w:val="样式 纯文本 + 黑体 首行缩进:  2 字符"/>
    <w:basedOn w:val="45"/>
    <w:qFormat/>
    <w:uiPriority w:val="0"/>
    <w:pPr>
      <w:widowControl/>
      <w:tabs>
        <w:tab w:val="left" w:pos="900"/>
        <w:tab w:val="left" w:pos="1620"/>
      </w:tabs>
      <w:adjustRightInd/>
      <w:spacing w:line="240" w:lineRule="auto"/>
      <w:ind w:left="538" w:firstLine="480" w:firstLineChars="200"/>
      <w:jc w:val="left"/>
      <w:textAlignment w:val="auto"/>
    </w:pPr>
    <w:rPr>
      <w:rFonts w:ascii="黑体" w:eastAsia="等线" w:cs="宋体"/>
      <w:b/>
      <w:bCs/>
      <w:sz w:val="24"/>
      <w:szCs w:val="20"/>
    </w:rPr>
  </w:style>
  <w:style w:type="paragraph" w:customStyle="1" w:styleId="3051">
    <w:name w:val="样式 标题 3 + 宋体 四号"/>
    <w:basedOn w:val="5"/>
    <w:qFormat/>
    <w:uiPriority w:val="0"/>
    <w:pPr>
      <w:keepNext w:val="0"/>
      <w:keepLines w:val="0"/>
      <w:widowControl/>
      <w:numPr>
        <w:ilvl w:val="0"/>
        <w:numId w:val="0"/>
      </w:numPr>
      <w:adjustRightInd w:val="0"/>
      <w:snapToGrid w:val="0"/>
      <w:spacing w:before="140" w:after="140" w:line="360" w:lineRule="auto"/>
      <w:jc w:val="left"/>
    </w:pPr>
    <w:rPr>
      <w:rFonts w:ascii="宋体" w:hAnsi="宋体" w:cstheme="majorBidi"/>
      <w:b w:val="0"/>
      <w:bCs w:val="0"/>
      <w:iCs/>
      <w:smallCaps/>
      <w:spacing w:val="5"/>
      <w:kern w:val="0"/>
      <w:sz w:val="28"/>
    </w:rPr>
  </w:style>
  <w:style w:type="paragraph" w:customStyle="1" w:styleId="3052">
    <w:name w:val="reader-word-layer reader-word-s1-20 reader-word-s1-21"/>
    <w:basedOn w:val="1"/>
    <w:qFormat/>
    <w:uiPriority w:val="99"/>
    <w:pPr>
      <w:widowControl/>
      <w:spacing w:before="100" w:beforeAutospacing="1" w:after="100" w:afterAutospacing="1" w:line="360" w:lineRule="auto"/>
      <w:ind w:firstLine="200" w:firstLineChars="200"/>
      <w:jc w:val="left"/>
    </w:pPr>
    <w:rPr>
      <w:rFonts w:ascii="宋体" w:hAnsi="宋体" w:cs="宋体"/>
      <w:kern w:val="0"/>
    </w:rPr>
  </w:style>
  <w:style w:type="paragraph" w:customStyle="1" w:styleId="3053">
    <w:name w:val="粤东核电报告正文"/>
    <w:basedOn w:val="1"/>
    <w:qFormat/>
    <w:uiPriority w:val="0"/>
    <w:pPr>
      <w:widowControl/>
      <w:spacing w:line="360" w:lineRule="auto"/>
      <w:ind w:right="210" w:firstLine="480" w:firstLineChars="200"/>
      <w:jc w:val="left"/>
    </w:pPr>
    <w:rPr>
      <w:rFonts w:ascii="宋体" w:hAnsi="宋体" w:cs="宋体"/>
      <w:kern w:val="0"/>
    </w:rPr>
  </w:style>
  <w:style w:type="paragraph" w:customStyle="1" w:styleId="3054">
    <w:name w:val="Char2 Char Char Char"/>
    <w:basedOn w:val="1"/>
    <w:qFormat/>
    <w:uiPriority w:val="0"/>
    <w:pPr>
      <w:widowControl/>
      <w:spacing w:line="360" w:lineRule="auto"/>
      <w:ind w:firstLine="200" w:firstLineChars="200"/>
      <w:jc w:val="left"/>
    </w:pPr>
    <w:rPr>
      <w:rFonts w:ascii="宋体" w:hAnsi="宋体" w:cs="宋体"/>
      <w:kern w:val="0"/>
    </w:rPr>
  </w:style>
  <w:style w:type="paragraph" w:customStyle="1" w:styleId="3055">
    <w:name w:val="普通(网站)2"/>
    <w:basedOn w:val="1"/>
    <w:qFormat/>
    <w:uiPriority w:val="0"/>
    <w:pPr>
      <w:widowControl/>
      <w:spacing w:before="100" w:beforeAutospacing="1" w:after="100" w:afterAutospacing="1" w:line="360" w:lineRule="auto"/>
      <w:ind w:firstLine="200" w:firstLineChars="200"/>
      <w:jc w:val="left"/>
    </w:pPr>
    <w:rPr>
      <w:rFonts w:ascii="宋体" w:cstheme="majorBidi"/>
      <w:kern w:val="0"/>
      <w:szCs w:val="20"/>
    </w:rPr>
  </w:style>
  <w:style w:type="paragraph" w:customStyle="1" w:styleId="3056">
    <w:name w:val="小节标题"/>
    <w:basedOn w:val="1"/>
    <w:next w:val="1"/>
    <w:qFormat/>
    <w:uiPriority w:val="0"/>
    <w:pPr>
      <w:widowControl/>
      <w:spacing w:before="175" w:after="102" w:line="351" w:lineRule="atLeast"/>
      <w:ind w:firstLine="200" w:firstLineChars="200"/>
      <w:jc w:val="left"/>
      <w:textAlignment w:val="baseline"/>
    </w:pPr>
    <w:rPr>
      <w:rFonts w:eastAsia="黑体" w:cstheme="majorBidi"/>
      <w:color w:val="000000"/>
      <w:kern w:val="0"/>
      <w:szCs w:val="20"/>
      <w:u w:color="000000"/>
    </w:rPr>
  </w:style>
  <w:style w:type="paragraph" w:customStyle="1" w:styleId="3057">
    <w:name w:val="un"/>
    <w:basedOn w:val="1"/>
    <w:qFormat/>
    <w:uiPriority w:val="99"/>
    <w:pPr>
      <w:widowControl/>
      <w:spacing w:before="100" w:beforeAutospacing="1" w:after="100" w:afterAutospacing="1" w:line="450" w:lineRule="atLeast"/>
      <w:ind w:firstLine="200" w:firstLineChars="200"/>
      <w:jc w:val="left"/>
    </w:pPr>
    <w:rPr>
      <w:rFonts w:ascii="宋体" w:hAnsi="宋体" w:cstheme="majorBidi"/>
      <w:color w:val="000000"/>
      <w:kern w:val="0"/>
      <w:sz w:val="18"/>
      <w:szCs w:val="18"/>
    </w:rPr>
  </w:style>
  <w:style w:type="paragraph" w:customStyle="1" w:styleId="3058">
    <w:name w:val="样式57"/>
    <w:basedOn w:val="1"/>
    <w:qFormat/>
    <w:uiPriority w:val="0"/>
    <w:pPr>
      <w:keepNext/>
      <w:keepLines/>
      <w:widowControl/>
      <w:spacing w:beforeLines="50" w:afterLines="50" w:line="360" w:lineRule="auto"/>
      <w:ind w:firstLine="200" w:firstLineChars="200"/>
      <w:jc w:val="left"/>
      <w:outlineLvl w:val="1"/>
    </w:pPr>
    <w:rPr>
      <w:rFonts w:eastAsia="黑体" w:cstheme="majorBidi"/>
      <w:b/>
      <w:bCs/>
      <w:kern w:val="0"/>
      <w:sz w:val="28"/>
      <w:szCs w:val="28"/>
    </w:rPr>
  </w:style>
  <w:style w:type="paragraph" w:customStyle="1" w:styleId="3059">
    <w:name w:val="样式 +中文正文 行距: 1.5 倍行距 首行缩进:  2 字符"/>
    <w:basedOn w:val="1"/>
    <w:qFormat/>
    <w:uiPriority w:val="0"/>
    <w:pPr>
      <w:widowControl/>
      <w:spacing w:line="360" w:lineRule="auto"/>
      <w:ind w:firstLine="480" w:firstLineChars="200"/>
      <w:jc w:val="left"/>
    </w:pPr>
    <w:rPr>
      <w:rFonts w:ascii="宋体" w:hAnsi="宋体" w:cs="宋体"/>
      <w:kern w:val="0"/>
      <w:szCs w:val="20"/>
      <w:lang w:eastAsia="en-US" w:bidi="en-US"/>
    </w:rPr>
  </w:style>
  <w:style w:type="paragraph" w:customStyle="1" w:styleId="3060">
    <w:name w:val="111111111"/>
    <w:basedOn w:val="1"/>
    <w:qFormat/>
    <w:uiPriority w:val="99"/>
    <w:pPr>
      <w:keepNext/>
      <w:keepLines/>
      <w:widowControl/>
      <w:tabs>
        <w:tab w:val="left" w:pos="840"/>
      </w:tabs>
      <w:spacing w:beforeLines="50" w:afterLines="50" w:line="360" w:lineRule="auto"/>
      <w:ind w:left="840" w:hanging="360" w:firstLineChars="200"/>
      <w:jc w:val="left"/>
      <w:outlineLvl w:val="0"/>
    </w:pPr>
    <w:rPr>
      <w:rFonts w:ascii="黑体" w:hAnsi="Arial Unicode MS" w:eastAsia="黑体" w:cs="Arial Unicode MS"/>
      <w:b/>
      <w:bCs/>
      <w:color w:val="000000"/>
      <w:kern w:val="44"/>
      <w:sz w:val="30"/>
      <w:szCs w:val="30"/>
    </w:rPr>
  </w:style>
  <w:style w:type="paragraph" w:customStyle="1" w:styleId="3061">
    <w:name w:val="标题三"/>
    <w:basedOn w:val="1"/>
    <w:qFormat/>
    <w:uiPriority w:val="0"/>
    <w:pPr>
      <w:widowControl/>
      <w:snapToGrid w:val="0"/>
      <w:spacing w:beforeLines="50" w:line="460" w:lineRule="exact"/>
      <w:ind w:firstLine="200" w:firstLineChars="200"/>
      <w:jc w:val="left"/>
      <w:outlineLvl w:val="2"/>
    </w:pPr>
    <w:rPr>
      <w:rFonts w:eastAsia="楷体_GB2312" w:cstheme="majorBidi"/>
      <w:b/>
      <w:kern w:val="0"/>
      <w:sz w:val="28"/>
      <w:szCs w:val="28"/>
    </w:rPr>
  </w:style>
  <w:style w:type="paragraph" w:customStyle="1" w:styleId="3062">
    <w:name w:val="样式 样式 样式 标题 2H2h2heading 2+ Indent: Left 0.25 in二级节名1.1  heading..."/>
    <w:basedOn w:val="3004"/>
    <w:qFormat/>
    <w:uiPriority w:val="0"/>
    <w:pPr>
      <w:tabs>
        <w:tab w:val="left" w:pos="3045"/>
      </w:tabs>
      <w:ind w:left="-2"/>
    </w:pPr>
  </w:style>
  <w:style w:type="paragraph" w:customStyle="1" w:styleId="3063">
    <w:name w:val="样式 正文缩进正文缩进 Char表格标题标题4正文不缩进s4正文2首行缩进两字正文缩进1 + 首行缩进:  2 ..."/>
    <w:basedOn w:val="7"/>
    <w:qFormat/>
    <w:uiPriority w:val="0"/>
    <w:pPr>
      <w:widowControl/>
      <w:spacing w:line="360" w:lineRule="auto"/>
      <w:ind w:firstLine="480"/>
    </w:pPr>
    <w:rPr>
      <w:rFonts w:ascii="宋体" w:hAnsi="宋体" w:eastAsia="等线" w:cstheme="majorBidi"/>
      <w:kern w:val="0"/>
      <w:szCs w:val="22"/>
    </w:rPr>
  </w:style>
  <w:style w:type="paragraph" w:customStyle="1" w:styleId="3064">
    <w:name w:val="字母编号列项（一级）"/>
    <w:qFormat/>
    <w:uiPriority w:val="0"/>
    <w:pPr>
      <w:spacing w:line="360" w:lineRule="auto"/>
      <w:ind w:left="840" w:leftChars="200" w:hanging="420" w:hangingChars="200"/>
      <w:jc w:val="both"/>
    </w:pPr>
    <w:rPr>
      <w:rFonts w:ascii="宋体" w:hAnsi="Times New Roman" w:eastAsiaTheme="majorEastAsia" w:cstheme="majorBidi"/>
      <w:sz w:val="21"/>
      <w:szCs w:val="22"/>
      <w:lang w:val="en-US" w:eastAsia="zh-CN" w:bidi="ar-SA"/>
    </w:rPr>
  </w:style>
  <w:style w:type="paragraph" w:customStyle="1" w:styleId="3065">
    <w:name w:val="In Table"/>
    <w:basedOn w:val="1"/>
    <w:qFormat/>
    <w:uiPriority w:val="0"/>
    <w:pPr>
      <w:widowControl/>
      <w:tabs>
        <w:tab w:val="left" w:pos="2200"/>
        <w:tab w:val="left" w:pos="3960"/>
        <w:tab w:val="left" w:pos="5280"/>
      </w:tabs>
      <w:spacing w:before="96" w:after="96" w:line="0" w:lineRule="atLeast"/>
      <w:ind w:firstLine="200" w:firstLineChars="200"/>
      <w:jc w:val="center"/>
    </w:pPr>
    <w:rPr>
      <w:rFonts w:ascii="Tahoma" w:hAnsi="Tahoma" w:eastAsia="华文中宋" w:cstheme="majorBidi"/>
      <w:kern w:val="0"/>
      <w:szCs w:val="20"/>
    </w:rPr>
  </w:style>
  <w:style w:type="paragraph" w:customStyle="1" w:styleId="3066">
    <w:name w:val="样式71"/>
    <w:basedOn w:val="1"/>
    <w:qFormat/>
    <w:uiPriority w:val="0"/>
    <w:pPr>
      <w:widowControl/>
      <w:spacing w:beforeLines="50" w:afterLines="50" w:line="360" w:lineRule="auto"/>
      <w:ind w:firstLine="480" w:firstLineChars="200"/>
      <w:jc w:val="left"/>
    </w:pPr>
    <w:rPr>
      <w:rFonts w:hAnsi="宋体" w:cstheme="majorBidi"/>
      <w:color w:val="000000"/>
      <w:kern w:val="0"/>
      <w:lang w:val="zh-CN"/>
    </w:rPr>
  </w:style>
  <w:style w:type="paragraph" w:customStyle="1" w:styleId="3067">
    <w:name w:val="样式 标题 1标题 11一、 + Times New Roman 行距: 固定值 23 磅"/>
    <w:basedOn w:val="3"/>
    <w:qFormat/>
    <w:uiPriority w:val="0"/>
    <w:pPr>
      <w:keepNext w:val="0"/>
      <w:widowControl/>
      <w:numPr>
        <w:numId w:val="0"/>
      </w:numPr>
      <w:tabs>
        <w:tab w:val="clear" w:pos="0"/>
      </w:tabs>
      <w:spacing w:line="460" w:lineRule="exact"/>
      <w:contextualSpacing/>
      <w:jc w:val="left"/>
    </w:pPr>
    <w:rPr>
      <w:rFonts w:ascii="黑体" w:cs="宋体"/>
      <w:b w:val="0"/>
      <w:smallCaps/>
      <w:spacing w:val="5"/>
      <w:kern w:val="0"/>
      <w:sz w:val="32"/>
      <w:szCs w:val="32"/>
    </w:rPr>
  </w:style>
  <w:style w:type="paragraph" w:customStyle="1" w:styleId="3068">
    <w:name w:val="样式 标题 2标题 21标题 121标题 2 Char1 Char节H2节标题 1.1节标题 1.1 Char...1"/>
    <w:basedOn w:val="4"/>
    <w:qFormat/>
    <w:uiPriority w:val="0"/>
    <w:pPr>
      <w:keepNext w:val="0"/>
      <w:keepLines w:val="0"/>
      <w:widowControl/>
      <w:numPr>
        <w:ilvl w:val="0"/>
        <w:numId w:val="0"/>
      </w:numPr>
      <w:adjustRightInd w:val="0"/>
      <w:spacing w:before="260" w:after="260"/>
      <w:jc w:val="left"/>
      <w:textAlignment w:val="baseline"/>
    </w:pPr>
    <w:rPr>
      <w:rFonts w:ascii="黑体" w:hAnsi="黑体"/>
      <w:smallCaps/>
      <w:color w:val="000000"/>
      <w:kern w:val="0"/>
      <w:sz w:val="28"/>
      <w:szCs w:val="20"/>
    </w:rPr>
  </w:style>
  <w:style w:type="paragraph" w:customStyle="1" w:styleId="3069">
    <w:name w:val="样式83"/>
    <w:basedOn w:val="1"/>
    <w:qFormat/>
    <w:uiPriority w:val="0"/>
    <w:pPr>
      <w:keepNext/>
      <w:keepLines/>
      <w:widowControl/>
      <w:numPr>
        <w:ilvl w:val="2"/>
        <w:numId w:val="38"/>
      </w:numPr>
      <w:tabs>
        <w:tab w:val="left" w:pos="920"/>
        <w:tab w:val="left" w:pos="1740"/>
      </w:tabs>
      <w:spacing w:beforeLines="50" w:afterLines="50" w:line="360" w:lineRule="auto"/>
      <w:ind w:firstLine="200" w:firstLineChars="200"/>
      <w:jc w:val="left"/>
      <w:outlineLvl w:val="2"/>
    </w:pPr>
    <w:rPr>
      <w:rFonts w:ascii="宋体" w:hAnsi="宋体" w:cstheme="majorBidi"/>
      <w:b/>
      <w:color w:val="000000"/>
      <w:kern w:val="0"/>
      <w:szCs w:val="32"/>
    </w:rPr>
  </w:style>
  <w:style w:type="paragraph" w:customStyle="1" w:styleId="3070">
    <w:name w:val="Char Char Char Char Char Char Char Char Char Char Char Char Char Char Char Char Char Char1 Char Char Char Char Char Char Char Char Char Char Char Char1 Char Char Char"/>
    <w:basedOn w:val="1"/>
    <w:next w:val="1"/>
    <w:qFormat/>
    <w:uiPriority w:val="0"/>
    <w:pPr>
      <w:widowControl/>
      <w:spacing w:line="360" w:lineRule="auto"/>
      <w:ind w:firstLine="200" w:firstLineChars="200"/>
      <w:jc w:val="left"/>
    </w:pPr>
    <w:rPr>
      <w:rFonts w:ascii="宋体" w:hAnsi="宋体" w:cs="宋体"/>
      <w:kern w:val="0"/>
    </w:rPr>
  </w:style>
  <w:style w:type="paragraph" w:customStyle="1" w:styleId="3071">
    <w:name w:val="图注"/>
    <w:basedOn w:val="1"/>
    <w:qFormat/>
    <w:uiPriority w:val="0"/>
    <w:pPr>
      <w:widowControl/>
      <w:spacing w:before="120" w:after="120" w:line="360" w:lineRule="auto"/>
      <w:ind w:firstLine="200" w:firstLineChars="200"/>
      <w:jc w:val="center"/>
    </w:pPr>
    <w:rPr>
      <w:rFonts w:eastAsia="黑体" w:cstheme="majorBidi"/>
      <w:b/>
      <w:kern w:val="0"/>
      <w:szCs w:val="20"/>
    </w:rPr>
  </w:style>
  <w:style w:type="paragraph" w:customStyle="1" w:styleId="3072">
    <w:name w:val="样式 标题 2 + 非加粗"/>
    <w:basedOn w:val="4"/>
    <w:qFormat/>
    <w:uiPriority w:val="99"/>
    <w:pPr>
      <w:keepNext w:val="0"/>
      <w:keepLines w:val="0"/>
      <w:widowControl/>
      <w:numPr>
        <w:ilvl w:val="0"/>
        <w:numId w:val="0"/>
      </w:numPr>
      <w:tabs>
        <w:tab w:val="left" w:pos="840"/>
      </w:tabs>
      <w:spacing w:before="260" w:after="260" w:line="312" w:lineRule="auto"/>
      <w:ind w:left="840" w:hanging="420"/>
      <w:jc w:val="left"/>
    </w:pPr>
    <w:rPr>
      <w:bCs w:val="0"/>
      <w:smallCaps/>
      <w:kern w:val="0"/>
      <w:sz w:val="24"/>
      <w:szCs w:val="24"/>
    </w:rPr>
  </w:style>
  <w:style w:type="paragraph" w:customStyle="1" w:styleId="3073">
    <w:name w:val="HTML 预设格式1"/>
    <w:basedOn w:val="1"/>
    <w:qFormat/>
    <w:uiPriority w:val="0"/>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Lines="50" w:line="360" w:lineRule="auto"/>
      <w:ind w:firstLine="200" w:firstLineChars="200"/>
      <w:jc w:val="left"/>
    </w:pPr>
    <w:rPr>
      <w:rFonts w:ascii="Courier New" w:hAnsi="Courier New" w:cs="Courier New"/>
      <w:kern w:val="0"/>
      <w:sz w:val="20"/>
      <w:szCs w:val="20"/>
    </w:rPr>
  </w:style>
  <w:style w:type="paragraph" w:customStyle="1" w:styleId="3074">
    <w:name w:val="设计院说明书正文"/>
    <w:basedOn w:val="1"/>
    <w:qFormat/>
    <w:uiPriority w:val="0"/>
    <w:pPr>
      <w:widowControl/>
      <w:spacing w:line="560" w:lineRule="exact"/>
      <w:ind w:firstLine="200" w:firstLineChars="200"/>
      <w:jc w:val="left"/>
    </w:pPr>
    <w:rPr>
      <w:rFonts w:ascii="Arial Unicode MS" w:hAnsi="Arial Unicode MS" w:eastAsia="幼圆" w:cs="宋体"/>
      <w:kern w:val="0"/>
      <w:szCs w:val="28"/>
    </w:rPr>
  </w:style>
  <w:style w:type="paragraph" w:customStyle="1" w:styleId="3075">
    <w:name w:val="表标题1"/>
    <w:basedOn w:val="1"/>
    <w:next w:val="1"/>
    <w:qFormat/>
    <w:uiPriority w:val="0"/>
    <w:pPr>
      <w:widowControl/>
      <w:spacing w:beforeLines="50" w:after="120" w:line="300" w:lineRule="auto"/>
      <w:ind w:firstLine="200" w:firstLineChars="200"/>
      <w:jc w:val="center"/>
    </w:pPr>
    <w:rPr>
      <w:rFonts w:ascii="宋体" w:hAnsi="宋体" w:cs="宋体"/>
      <w:kern w:val="0"/>
      <w:szCs w:val="20"/>
    </w:rPr>
  </w:style>
  <w:style w:type="paragraph" w:customStyle="1" w:styleId="3076">
    <w:name w:val="样式 标题 3 + 首行缩进:  2 字符 段前: 8.15 磅 段后: 8.15 磅1"/>
    <w:basedOn w:val="5"/>
    <w:qFormat/>
    <w:uiPriority w:val="99"/>
    <w:pPr>
      <w:keepNext w:val="0"/>
      <w:keepLines w:val="0"/>
      <w:widowControl/>
      <w:numPr>
        <w:ilvl w:val="0"/>
        <w:numId w:val="0"/>
      </w:numPr>
      <w:tabs>
        <w:tab w:val="left" w:pos="1260"/>
      </w:tabs>
      <w:adjustRightInd w:val="0"/>
      <w:snapToGrid w:val="0"/>
      <w:spacing w:before="163" w:after="163" w:line="240" w:lineRule="atLeast"/>
      <w:ind w:left="1260" w:firstLine="482"/>
      <w:jc w:val="left"/>
    </w:pPr>
    <w:rPr>
      <w:rFonts w:ascii="Arial Unicode MS" w:hAnsi="Arial Unicode MS" w:cstheme="majorBidi"/>
      <w:b w:val="0"/>
      <w:iCs/>
      <w:smallCaps/>
      <w:spacing w:val="5"/>
      <w:kern w:val="0"/>
      <w:sz w:val="24"/>
      <w:szCs w:val="24"/>
    </w:rPr>
  </w:style>
  <w:style w:type="paragraph" w:customStyle="1" w:styleId="3077">
    <w:name w:val="123456"/>
    <w:basedOn w:val="1"/>
    <w:qFormat/>
    <w:uiPriority w:val="0"/>
    <w:pPr>
      <w:widowControl/>
      <w:spacing w:before="120" w:after="120" w:line="360" w:lineRule="auto"/>
      <w:ind w:firstLine="200" w:firstLineChars="200"/>
      <w:jc w:val="left"/>
    </w:pPr>
    <w:rPr>
      <w:rFonts w:cstheme="majorBidi"/>
      <w:kern w:val="0"/>
    </w:rPr>
  </w:style>
  <w:style w:type="paragraph" w:customStyle="1" w:styleId="3078">
    <w:name w:val="粤东核电报告正文 Char"/>
    <w:basedOn w:val="1"/>
    <w:qFormat/>
    <w:uiPriority w:val="0"/>
    <w:pPr>
      <w:widowControl/>
      <w:spacing w:line="360" w:lineRule="auto"/>
      <w:ind w:right="210" w:firstLine="480" w:firstLineChars="200"/>
      <w:jc w:val="left"/>
    </w:pPr>
    <w:rPr>
      <w:rFonts w:ascii="宋体" w:hAnsi="宋体" w:cs="宋体"/>
      <w:b/>
      <w:kern w:val="0"/>
    </w:rPr>
  </w:style>
  <w:style w:type="paragraph" w:customStyle="1" w:styleId="3079">
    <w:name w:val="样式 标题 2Se标题 21标题 121标题 2 Char1 Char节H2节标题 1.1节标题 1.1 Ch...2"/>
    <w:basedOn w:val="4"/>
    <w:qFormat/>
    <w:uiPriority w:val="0"/>
    <w:pPr>
      <w:keepNext w:val="0"/>
      <w:keepLines w:val="0"/>
      <w:widowControl/>
      <w:numPr>
        <w:ilvl w:val="0"/>
        <w:numId w:val="0"/>
      </w:numPr>
      <w:spacing w:before="156" w:after="156"/>
      <w:ind w:left="50" w:leftChars="50" w:right="50" w:rightChars="50"/>
      <w:jc w:val="left"/>
    </w:pPr>
    <w:rPr>
      <w:rFonts w:eastAsia="宋体" w:cs="宋体"/>
      <w:bCs w:val="0"/>
      <w:smallCaps/>
      <w:kern w:val="0"/>
      <w:sz w:val="28"/>
      <w:szCs w:val="28"/>
    </w:rPr>
  </w:style>
  <w:style w:type="paragraph" w:customStyle="1" w:styleId="3080">
    <w:name w:val="样式 正文 + 四号 加粗 首行缩进:  0 厘米"/>
    <w:basedOn w:val="2777"/>
    <w:qFormat/>
    <w:uiPriority w:val="0"/>
    <w:pPr>
      <w:jc w:val="center"/>
    </w:pPr>
    <w:rPr>
      <w:rFonts w:ascii="等线" w:hAnsi="等线" w:eastAsia="等线"/>
      <w:b/>
      <w:bCs/>
      <w:sz w:val="28"/>
    </w:rPr>
  </w:style>
  <w:style w:type="paragraph" w:customStyle="1" w:styleId="3081">
    <w:name w:val="样式 样式 四号 行距: 1.5 倍行距 首行缩进:  2 字符1 + 首行缩进:  2 字符"/>
    <w:basedOn w:val="1"/>
    <w:qFormat/>
    <w:uiPriority w:val="99"/>
    <w:pPr>
      <w:widowControl/>
      <w:spacing w:line="360" w:lineRule="auto"/>
      <w:ind w:firstLine="200" w:firstLineChars="200"/>
      <w:jc w:val="left"/>
    </w:pPr>
    <w:rPr>
      <w:rFonts w:cs="宋体"/>
      <w:kern w:val="0"/>
      <w:sz w:val="28"/>
      <w:szCs w:val="20"/>
    </w:rPr>
  </w:style>
  <w:style w:type="paragraph" w:customStyle="1" w:styleId="3082">
    <w:name w:val="一级"/>
    <w:basedOn w:val="3"/>
    <w:qFormat/>
    <w:uiPriority w:val="0"/>
    <w:pPr>
      <w:keepNext w:val="0"/>
      <w:widowControl/>
      <w:numPr>
        <w:numId w:val="0"/>
      </w:numPr>
      <w:tabs>
        <w:tab w:val="clear" w:pos="0"/>
      </w:tabs>
      <w:adjustRightInd w:val="0"/>
      <w:snapToGrid w:val="0"/>
      <w:spacing w:line="360" w:lineRule="auto"/>
      <w:contextualSpacing/>
    </w:pPr>
    <w:rPr>
      <w:rFonts w:ascii="黑体" w:cstheme="majorBidi"/>
      <w:b w:val="0"/>
      <w:bCs/>
      <w:smallCaps/>
      <w:spacing w:val="5"/>
      <w:kern w:val="0"/>
      <w:szCs w:val="30"/>
    </w:rPr>
  </w:style>
  <w:style w:type="paragraph" w:customStyle="1" w:styleId="3083">
    <w:name w:val="Char Char Char Char Char Char Char Char Char Char Char Char"/>
    <w:basedOn w:val="1"/>
    <w:qFormat/>
    <w:uiPriority w:val="0"/>
    <w:pPr>
      <w:widowControl/>
      <w:spacing w:after="160" w:line="240" w:lineRule="exact"/>
      <w:ind w:firstLine="200" w:firstLineChars="200"/>
      <w:jc w:val="left"/>
    </w:pPr>
    <w:rPr>
      <w:rFonts w:ascii="Verdana" w:hAnsi="Verdana" w:cstheme="majorBidi"/>
      <w:kern w:val="0"/>
      <w:sz w:val="20"/>
      <w:szCs w:val="20"/>
      <w:lang w:eastAsia="en-US"/>
    </w:rPr>
  </w:style>
  <w:style w:type="paragraph" w:customStyle="1" w:styleId="3084">
    <w:name w:val="正文1 Char Char Char"/>
    <w:basedOn w:val="1"/>
    <w:qFormat/>
    <w:uiPriority w:val="0"/>
    <w:pPr>
      <w:widowControl/>
      <w:adjustRightInd w:val="0"/>
      <w:snapToGrid w:val="0"/>
      <w:spacing w:line="360" w:lineRule="auto"/>
      <w:ind w:firstLine="200" w:firstLineChars="200"/>
      <w:jc w:val="left"/>
    </w:pPr>
    <w:rPr>
      <w:rFonts w:cstheme="majorBidi"/>
      <w:kern w:val="0"/>
      <w:szCs w:val="20"/>
    </w:rPr>
  </w:style>
  <w:style w:type="paragraph" w:customStyle="1" w:styleId="3085">
    <w:name w:val="2222222"/>
    <w:basedOn w:val="1"/>
    <w:qFormat/>
    <w:uiPriority w:val="99"/>
    <w:pPr>
      <w:keepNext/>
      <w:keepLines/>
      <w:widowControl/>
      <w:numPr>
        <w:ilvl w:val="1"/>
        <w:numId w:val="39"/>
      </w:numPr>
      <w:tabs>
        <w:tab w:val="left" w:pos="720"/>
      </w:tabs>
      <w:spacing w:before="50" w:after="50" w:line="360" w:lineRule="auto"/>
      <w:ind w:firstLine="200" w:firstLineChars="200"/>
      <w:jc w:val="left"/>
      <w:outlineLvl w:val="1"/>
    </w:pPr>
    <w:rPr>
      <w:rFonts w:ascii="黑体" w:hAnsi="Arial" w:eastAsia="黑体" w:cstheme="majorBidi"/>
      <w:b/>
      <w:bCs/>
      <w:color w:val="000000"/>
      <w:kern w:val="0"/>
      <w:sz w:val="28"/>
      <w:szCs w:val="28"/>
    </w:rPr>
  </w:style>
  <w:style w:type="paragraph" w:customStyle="1" w:styleId="3086">
    <w:name w:val="样式 标题 1标题 11一、标题 1 Char章 + Times New Roman 小三 非加粗 黑色 行距:..."/>
    <w:basedOn w:val="3"/>
    <w:qFormat/>
    <w:uiPriority w:val="0"/>
    <w:pPr>
      <w:keepNext w:val="0"/>
      <w:widowControl/>
      <w:numPr>
        <w:numId w:val="0"/>
      </w:numPr>
      <w:tabs>
        <w:tab w:val="clear" w:pos="0"/>
      </w:tabs>
      <w:spacing w:line="460" w:lineRule="exact"/>
      <w:contextualSpacing/>
      <w:jc w:val="left"/>
    </w:pPr>
    <w:rPr>
      <w:rFonts w:cs="宋体"/>
      <w:b w:val="0"/>
      <w:bCs/>
      <w:smallCaps/>
      <w:color w:val="000000"/>
      <w:spacing w:val="5"/>
      <w:kern w:val="0"/>
      <w:sz w:val="30"/>
      <w:szCs w:val="20"/>
    </w:rPr>
  </w:style>
  <w:style w:type="paragraph" w:customStyle="1" w:styleId="3087">
    <w:name w:val="填表内容"/>
    <w:basedOn w:val="1"/>
    <w:qFormat/>
    <w:uiPriority w:val="99"/>
    <w:pPr>
      <w:widowControl/>
      <w:adjustRightInd w:val="0"/>
      <w:spacing w:line="480" w:lineRule="exact"/>
      <w:ind w:firstLine="560" w:firstLineChars="200"/>
      <w:jc w:val="left"/>
      <w:textAlignment w:val="baseline"/>
    </w:pPr>
    <w:rPr>
      <w:rFonts w:ascii="楷体_GB2312" w:eastAsia="楷体_GB2312" w:cstheme="majorBidi"/>
      <w:kern w:val="0"/>
      <w:sz w:val="28"/>
      <w:szCs w:val="20"/>
    </w:rPr>
  </w:style>
  <w:style w:type="paragraph" w:customStyle="1" w:styleId="3088">
    <w:name w:val="正文 宋体 小四 行距: 1.5 倍行距"/>
    <w:basedOn w:val="1"/>
    <w:qFormat/>
    <w:uiPriority w:val="0"/>
    <w:pPr>
      <w:widowControl/>
      <w:spacing w:line="360" w:lineRule="auto"/>
      <w:ind w:firstLine="480" w:firstLineChars="200"/>
      <w:jc w:val="left"/>
    </w:pPr>
    <w:rPr>
      <w:rFonts w:ascii="宋体" w:cs="宋体"/>
      <w:kern w:val="0"/>
      <w:szCs w:val="20"/>
    </w:rPr>
  </w:style>
  <w:style w:type="paragraph" w:customStyle="1" w:styleId="3089">
    <w:name w:val="表格头"/>
    <w:basedOn w:val="1"/>
    <w:link w:val="3090"/>
    <w:qFormat/>
    <w:uiPriority w:val="0"/>
    <w:pPr>
      <w:widowControl/>
      <w:adjustRightInd w:val="0"/>
      <w:snapToGrid w:val="0"/>
      <w:spacing w:line="460" w:lineRule="exact"/>
      <w:ind w:firstLine="200" w:firstLineChars="200"/>
      <w:jc w:val="left"/>
    </w:pPr>
    <w:rPr>
      <w:rFonts w:cstheme="majorBidi"/>
      <w:b/>
      <w:kern w:val="0"/>
    </w:rPr>
  </w:style>
  <w:style w:type="character" w:customStyle="1" w:styleId="3090">
    <w:name w:val="表格头 Char"/>
    <w:link w:val="3089"/>
    <w:qFormat/>
    <w:uiPriority w:val="0"/>
    <w:rPr>
      <w:rFonts w:cstheme="majorBidi"/>
      <w:b/>
      <w:sz w:val="24"/>
      <w:szCs w:val="24"/>
    </w:rPr>
  </w:style>
  <w:style w:type="paragraph" w:customStyle="1" w:styleId="3091">
    <w:name w:val="样式 标题 3标题 3 Char标题 3 Char Char条标题1.1.1H31.1.1标题 31.1标题 3 +..."/>
    <w:basedOn w:val="5"/>
    <w:qFormat/>
    <w:uiPriority w:val="0"/>
    <w:pPr>
      <w:keepNext w:val="0"/>
      <w:keepLines w:val="0"/>
      <w:widowControl/>
      <w:numPr>
        <w:ilvl w:val="0"/>
        <w:numId w:val="0"/>
      </w:numPr>
      <w:tabs>
        <w:tab w:val="left" w:pos="0"/>
        <w:tab w:val="left" w:pos="630"/>
      </w:tabs>
      <w:adjustRightInd w:val="0"/>
      <w:snapToGrid w:val="0"/>
      <w:spacing w:line="500" w:lineRule="exact"/>
      <w:jc w:val="left"/>
    </w:pPr>
    <w:rPr>
      <w:rFonts w:ascii="宋体" w:hAnsi="宋体" w:cs="宋体"/>
      <w:iCs/>
      <w:smallCaps/>
      <w:spacing w:val="5"/>
      <w:kern w:val="0"/>
      <w:sz w:val="28"/>
      <w:szCs w:val="20"/>
    </w:rPr>
  </w:style>
  <w:style w:type="paragraph" w:customStyle="1" w:styleId="3092">
    <w:name w:val="xl21"/>
    <w:basedOn w:val="1"/>
    <w:qFormat/>
    <w:uiPriority w:val="0"/>
    <w:pPr>
      <w:widowControl/>
      <w:spacing w:before="100" w:beforeAutospacing="1" w:after="100" w:afterAutospacing="1" w:line="360" w:lineRule="auto"/>
      <w:ind w:firstLine="200" w:firstLineChars="200"/>
      <w:jc w:val="center"/>
    </w:pPr>
    <w:rPr>
      <w:rFonts w:ascii="宋体" w:hAnsi="宋体" w:cs="宋体"/>
      <w:kern w:val="0"/>
    </w:rPr>
  </w:style>
  <w:style w:type="paragraph" w:customStyle="1" w:styleId="3093">
    <w:name w:val="Char Char1 Char Char Char Char Char Char Char"/>
    <w:basedOn w:val="1"/>
    <w:qFormat/>
    <w:uiPriority w:val="0"/>
    <w:pPr>
      <w:widowControl/>
      <w:spacing w:line="360" w:lineRule="auto"/>
      <w:ind w:firstLine="200" w:firstLineChars="200"/>
      <w:jc w:val="left"/>
    </w:pPr>
    <w:rPr>
      <w:rFonts w:cstheme="majorBidi"/>
      <w:kern w:val="0"/>
    </w:rPr>
  </w:style>
  <w:style w:type="paragraph" w:customStyle="1" w:styleId="3094">
    <w:name w:val="1标题3级"/>
    <w:basedOn w:val="1"/>
    <w:qFormat/>
    <w:uiPriority w:val="0"/>
    <w:pPr>
      <w:widowControl/>
      <w:snapToGrid w:val="0"/>
      <w:spacing w:line="360" w:lineRule="auto"/>
      <w:ind w:firstLine="200" w:firstLineChars="200"/>
      <w:jc w:val="left"/>
    </w:pPr>
    <w:rPr>
      <w:rFonts w:eastAsia="仿宋_GB2312" w:cstheme="majorBidi"/>
      <w:kern w:val="0"/>
      <w:sz w:val="28"/>
      <w:szCs w:val="20"/>
    </w:rPr>
  </w:style>
  <w:style w:type="paragraph" w:customStyle="1" w:styleId="3095">
    <w:name w:val="TOC 标题21"/>
    <w:basedOn w:val="3"/>
    <w:next w:val="1"/>
    <w:unhideWhenUsed/>
    <w:qFormat/>
    <w:uiPriority w:val="0"/>
    <w:pPr>
      <w:keepNext w:val="0"/>
      <w:widowControl/>
      <w:numPr>
        <w:numId w:val="0"/>
      </w:numPr>
      <w:tabs>
        <w:tab w:val="clear" w:pos="0"/>
      </w:tabs>
      <w:spacing w:before="480" w:line="276" w:lineRule="auto"/>
      <w:contextualSpacing/>
      <w:jc w:val="left"/>
      <w:outlineLvl w:val="9"/>
    </w:pPr>
    <w:rPr>
      <w:rFonts w:ascii="等线 Light" w:hAnsi="等线 Light" w:eastAsia="等线 Light" w:cstheme="majorBidi"/>
      <w:smallCaps/>
      <w:color w:val="2E74B5"/>
      <w:spacing w:val="5"/>
      <w:kern w:val="0"/>
      <w:sz w:val="28"/>
      <w:szCs w:val="28"/>
    </w:rPr>
  </w:style>
  <w:style w:type="paragraph" w:customStyle="1" w:styleId="3096">
    <w:name w:val="reader-word-layer reader-word-s1-17"/>
    <w:basedOn w:val="1"/>
    <w:qFormat/>
    <w:uiPriority w:val="99"/>
    <w:pPr>
      <w:widowControl/>
      <w:spacing w:before="100" w:beforeAutospacing="1" w:after="100" w:afterAutospacing="1" w:line="360" w:lineRule="auto"/>
      <w:ind w:firstLine="200" w:firstLineChars="200"/>
      <w:jc w:val="left"/>
    </w:pPr>
    <w:rPr>
      <w:rFonts w:ascii="宋体" w:hAnsi="宋体" w:cs="宋体"/>
      <w:kern w:val="0"/>
    </w:rPr>
  </w:style>
  <w:style w:type="paragraph" w:customStyle="1" w:styleId="3097">
    <w:name w:val="样式 标题 3"/>
    <w:basedOn w:val="5"/>
    <w:uiPriority w:val="0"/>
    <w:pPr>
      <w:keepNext w:val="0"/>
      <w:keepLines w:val="0"/>
      <w:widowControl/>
      <w:numPr>
        <w:ilvl w:val="0"/>
        <w:numId w:val="0"/>
      </w:numPr>
      <w:adjustRightInd w:val="0"/>
      <w:snapToGrid w:val="0"/>
      <w:spacing w:line="360" w:lineRule="auto"/>
      <w:jc w:val="left"/>
    </w:pPr>
    <w:rPr>
      <w:rFonts w:ascii="宋体" w:hAnsi="宋体" w:cstheme="majorBidi"/>
      <w:b w:val="0"/>
      <w:bCs w:val="0"/>
      <w:iCs/>
      <w:smallCaps/>
      <w:spacing w:val="20"/>
      <w:kern w:val="11"/>
      <w:sz w:val="28"/>
      <w:szCs w:val="20"/>
      <w:lang w:val="zh-CN"/>
    </w:rPr>
  </w:style>
  <w:style w:type="paragraph" w:customStyle="1" w:styleId="3098">
    <w:name w:val="1111111"/>
    <w:basedOn w:val="1"/>
    <w:qFormat/>
    <w:uiPriority w:val="0"/>
    <w:pPr>
      <w:widowControl/>
      <w:autoSpaceDE w:val="0"/>
      <w:autoSpaceDN w:val="0"/>
      <w:adjustRightInd w:val="0"/>
      <w:spacing w:line="360" w:lineRule="auto"/>
      <w:ind w:firstLine="200" w:firstLineChars="200"/>
      <w:jc w:val="left"/>
    </w:pPr>
    <w:rPr>
      <w:rFonts w:ascii="宋体" w:hAnsi="宋体" w:eastAsia="黑体" w:cs="宋体"/>
      <w:b/>
      <w:bCs/>
      <w:kern w:val="0"/>
      <w:sz w:val="28"/>
      <w:szCs w:val="32"/>
    </w:rPr>
  </w:style>
  <w:style w:type="paragraph" w:customStyle="1" w:styleId="3099">
    <w:name w:val="质表单位"/>
    <w:basedOn w:val="1"/>
    <w:qFormat/>
    <w:uiPriority w:val="0"/>
    <w:pPr>
      <w:widowControl/>
      <w:spacing w:line="360" w:lineRule="auto"/>
      <w:ind w:firstLine="200" w:firstLineChars="200"/>
      <w:jc w:val="center"/>
    </w:pPr>
    <w:rPr>
      <w:rFonts w:ascii="宋体" w:hAnsi="宋体" w:cstheme="majorBidi"/>
      <w:kern w:val="0"/>
    </w:rPr>
  </w:style>
  <w:style w:type="paragraph" w:customStyle="1" w:styleId="3100">
    <w:name w:val="Definition Term"/>
    <w:basedOn w:val="1"/>
    <w:next w:val="1"/>
    <w:qFormat/>
    <w:uiPriority w:val="0"/>
    <w:pPr>
      <w:widowControl/>
      <w:autoSpaceDE w:val="0"/>
      <w:autoSpaceDN w:val="0"/>
      <w:adjustRightInd w:val="0"/>
      <w:spacing w:line="360" w:lineRule="auto"/>
      <w:ind w:firstLine="200" w:firstLineChars="200"/>
      <w:jc w:val="left"/>
    </w:pPr>
    <w:rPr>
      <w:rFonts w:cstheme="majorBidi"/>
      <w:kern w:val="0"/>
      <w:szCs w:val="20"/>
    </w:rPr>
  </w:style>
  <w:style w:type="paragraph" w:customStyle="1" w:styleId="3101">
    <w:name w:val="Heading Base"/>
    <w:basedOn w:val="34"/>
    <w:next w:val="34"/>
    <w:qFormat/>
    <w:uiPriority w:val="0"/>
    <w:pPr>
      <w:widowControl/>
      <w:spacing w:line="360" w:lineRule="auto"/>
      <w:ind w:firstLine="200" w:firstLineChars="200"/>
      <w:jc w:val="left"/>
    </w:pPr>
    <w:rPr>
      <w:rFonts w:cstheme="majorBidi"/>
      <w:kern w:val="0"/>
      <w:szCs w:val="20"/>
    </w:rPr>
  </w:style>
  <w:style w:type="paragraph" w:customStyle="1" w:styleId="3102">
    <w:name w:val="样式 标题 4标题 a标题 4 Char + 行距: 固定值 25 磅"/>
    <w:basedOn w:val="6"/>
    <w:qFormat/>
    <w:uiPriority w:val="0"/>
    <w:pPr>
      <w:keepNext w:val="0"/>
      <w:keepLines w:val="0"/>
      <w:widowControl/>
      <w:numPr>
        <w:ilvl w:val="0"/>
        <w:numId w:val="0"/>
      </w:numPr>
      <w:tabs>
        <w:tab w:val="left" w:pos="0"/>
      </w:tabs>
      <w:spacing w:before="280" w:after="290" w:afterLines="50" w:line="360" w:lineRule="auto"/>
      <w:jc w:val="left"/>
    </w:pPr>
    <w:rPr>
      <w:rFonts w:ascii="宋体" w:hAnsi="宋体" w:cs="宋体"/>
      <w:bCs w:val="0"/>
      <w:color w:val="000000"/>
      <w:spacing w:val="5"/>
      <w:kern w:val="0"/>
      <w:sz w:val="24"/>
      <w:szCs w:val="24"/>
      <w:lang w:val="zh-CN"/>
    </w:rPr>
  </w:style>
  <w:style w:type="paragraph" w:customStyle="1" w:styleId="3103">
    <w:name w:val="样式66"/>
    <w:basedOn w:val="1"/>
    <w:qFormat/>
    <w:uiPriority w:val="0"/>
    <w:pPr>
      <w:widowControl/>
      <w:spacing w:line="360" w:lineRule="auto"/>
      <w:ind w:firstLine="480" w:firstLineChars="200"/>
      <w:jc w:val="left"/>
    </w:pPr>
    <w:rPr>
      <w:rFonts w:cstheme="majorBidi"/>
      <w:kern w:val="0"/>
    </w:rPr>
  </w:style>
  <w:style w:type="paragraph" w:customStyle="1" w:styleId="3104">
    <w:name w:val="标准条文"/>
    <w:basedOn w:val="397"/>
    <w:next w:val="397"/>
    <w:qFormat/>
    <w:uiPriority w:val="0"/>
    <w:pPr>
      <w:spacing w:line="360" w:lineRule="auto"/>
    </w:pPr>
    <w:rPr>
      <w:rFonts w:ascii="Times New Roman" w:hAnsi="Times New Roman" w:cs="Times New Roman" w:eastAsiaTheme="majorEastAsia"/>
      <w:color w:val="auto"/>
    </w:rPr>
  </w:style>
  <w:style w:type="paragraph" w:customStyle="1" w:styleId="3105">
    <w:name w:val="样式 标题 3标题 13 + (中文) 宋体 小四 行距: 1.5 倍行距"/>
    <w:basedOn w:val="5"/>
    <w:qFormat/>
    <w:uiPriority w:val="0"/>
    <w:pPr>
      <w:keepNext w:val="0"/>
      <w:keepLines w:val="0"/>
      <w:widowControl/>
      <w:numPr>
        <w:ilvl w:val="0"/>
        <w:numId w:val="0"/>
      </w:numPr>
      <w:adjustRightInd w:val="0"/>
      <w:snapToGrid w:val="0"/>
      <w:spacing w:line="360" w:lineRule="auto"/>
      <w:jc w:val="left"/>
    </w:pPr>
    <w:rPr>
      <w:rFonts w:ascii="黑体" w:cs="宋体"/>
      <w:b w:val="0"/>
      <w:bCs w:val="0"/>
      <w:iCs/>
      <w:smallCaps/>
      <w:spacing w:val="5"/>
      <w:kern w:val="0"/>
      <w:sz w:val="24"/>
    </w:rPr>
  </w:style>
  <w:style w:type="paragraph" w:customStyle="1" w:styleId="3106">
    <w:name w:val="T正文"/>
    <w:basedOn w:val="1"/>
    <w:next w:val="1"/>
    <w:qFormat/>
    <w:uiPriority w:val="0"/>
    <w:pPr>
      <w:widowControl/>
      <w:autoSpaceDE w:val="0"/>
      <w:autoSpaceDN w:val="0"/>
      <w:adjustRightInd w:val="0"/>
      <w:spacing w:line="360" w:lineRule="auto"/>
      <w:ind w:firstLine="200" w:firstLineChars="200"/>
      <w:jc w:val="left"/>
    </w:pPr>
    <w:rPr>
      <w:rFonts w:ascii="楷体_GB2312" w:hAnsi="宋体" w:eastAsia="楷体_GB2312" w:cs="宋体"/>
      <w:kern w:val="0"/>
    </w:rPr>
  </w:style>
  <w:style w:type="paragraph" w:customStyle="1" w:styleId="3107">
    <w:name w:val="样式42"/>
    <w:basedOn w:val="6"/>
    <w:qFormat/>
    <w:uiPriority w:val="0"/>
    <w:pPr>
      <w:keepNext w:val="0"/>
      <w:keepLines w:val="0"/>
      <w:widowControl/>
      <w:numPr>
        <w:ilvl w:val="0"/>
        <w:numId w:val="0"/>
      </w:numPr>
      <w:spacing w:before="120" w:after="120" w:line="377" w:lineRule="auto"/>
      <w:jc w:val="left"/>
    </w:pPr>
    <w:rPr>
      <w:rFonts w:ascii="宋体" w:hAnsi="宋体" w:cs="仿宋_GB2312"/>
      <w:bCs w:val="0"/>
      <w:color w:val="000000"/>
      <w:spacing w:val="5"/>
      <w:kern w:val="0"/>
      <w:sz w:val="24"/>
      <w:szCs w:val="24"/>
    </w:rPr>
  </w:style>
  <w:style w:type="paragraph" w:customStyle="1" w:styleId="3108">
    <w:name w:val="环正文"/>
    <w:basedOn w:val="1"/>
    <w:qFormat/>
    <w:uiPriority w:val="0"/>
    <w:pPr>
      <w:widowControl/>
      <w:suppressAutoHyphens/>
      <w:adjustRightInd w:val="0"/>
      <w:snapToGrid w:val="0"/>
      <w:spacing w:line="460" w:lineRule="atLeast"/>
      <w:ind w:firstLine="549" w:firstLineChars="200"/>
      <w:jc w:val="left"/>
      <w:textAlignment w:val="baseline"/>
    </w:pPr>
    <w:rPr>
      <w:rFonts w:ascii="宋体" w:hAnsi="宋体" w:cstheme="majorBidi"/>
      <w:kern w:val="0"/>
      <w:szCs w:val="20"/>
    </w:rPr>
  </w:style>
  <w:style w:type="paragraph" w:customStyle="1" w:styleId="3109">
    <w:name w:val="小3楷顶"/>
    <w:basedOn w:val="3038"/>
    <w:qFormat/>
    <w:uiPriority w:val="99"/>
    <w:pPr>
      <w:spacing w:before="240"/>
    </w:pPr>
    <w:rPr>
      <w:rFonts w:eastAsia="楷体_GB2312"/>
    </w:rPr>
  </w:style>
  <w:style w:type="paragraph" w:customStyle="1" w:styleId="3110">
    <w:name w:val="样式65"/>
    <w:basedOn w:val="1"/>
    <w:qFormat/>
    <w:uiPriority w:val="0"/>
    <w:pPr>
      <w:widowControl/>
      <w:spacing w:beforeLines="50" w:afterLines="50" w:line="360" w:lineRule="auto"/>
      <w:ind w:firstLine="480" w:firstLineChars="200"/>
      <w:jc w:val="left"/>
    </w:pPr>
    <w:rPr>
      <w:rFonts w:cstheme="majorBidi"/>
      <w:kern w:val="0"/>
    </w:rPr>
  </w:style>
  <w:style w:type="paragraph" w:customStyle="1" w:styleId="3111">
    <w:name w:val="样式 标题 3 + 加粗"/>
    <w:basedOn w:val="5"/>
    <w:qFormat/>
    <w:uiPriority w:val="0"/>
    <w:pPr>
      <w:keepNext w:val="0"/>
      <w:keepLines w:val="0"/>
      <w:widowControl/>
      <w:numPr>
        <w:ilvl w:val="0"/>
        <w:numId w:val="0"/>
      </w:numPr>
      <w:adjustRightInd w:val="0"/>
      <w:snapToGrid w:val="0"/>
      <w:spacing w:line="360" w:lineRule="auto"/>
      <w:jc w:val="left"/>
    </w:pPr>
    <w:rPr>
      <w:rFonts w:ascii="黑体" w:cstheme="majorBidi"/>
      <w:b w:val="0"/>
      <w:bCs w:val="0"/>
      <w:iCs/>
      <w:smallCaps/>
      <w:spacing w:val="5"/>
      <w:kern w:val="0"/>
      <w:sz w:val="24"/>
      <w:szCs w:val="24"/>
    </w:rPr>
  </w:style>
  <w:style w:type="paragraph" w:customStyle="1" w:styleId="3112">
    <w:name w:val="样式84"/>
    <w:basedOn w:val="490"/>
    <w:qFormat/>
    <w:uiPriority w:val="0"/>
    <w:pPr>
      <w:widowControl/>
      <w:overflowPunct w:val="0"/>
      <w:autoSpaceDE w:val="0"/>
      <w:autoSpaceDN w:val="0"/>
      <w:adjustRightInd w:val="0"/>
      <w:spacing w:afterLines="10"/>
      <w:ind w:firstLine="200"/>
      <w:jc w:val="center"/>
      <w:textAlignment w:val="bottom"/>
      <w:outlineLvl w:val="9"/>
    </w:pPr>
    <w:rPr>
      <w:rFonts w:ascii="黑体" w:hAnsi="等线" w:eastAsia="黑体" w:cstheme="majorBidi"/>
      <w:bCs w:val="0"/>
      <w:color w:val="000000"/>
      <w:kern w:val="0"/>
      <w:sz w:val="20"/>
      <w:szCs w:val="21"/>
      <w:lang w:val="zh-CN"/>
    </w:rPr>
  </w:style>
  <w:style w:type="paragraph" w:customStyle="1" w:styleId="3113">
    <w:name w:val="Plain Text1"/>
    <w:basedOn w:val="1"/>
    <w:qFormat/>
    <w:uiPriority w:val="0"/>
    <w:pPr>
      <w:widowControl/>
      <w:adjustRightInd w:val="0"/>
      <w:spacing w:line="360" w:lineRule="auto"/>
      <w:ind w:firstLine="465" w:firstLineChars="200"/>
      <w:jc w:val="left"/>
      <w:textAlignment w:val="baseline"/>
    </w:pPr>
    <w:rPr>
      <w:rFonts w:ascii="宋体" w:hAnsi="Courier New" w:cstheme="majorBidi"/>
      <w:kern w:val="0"/>
      <w:szCs w:val="20"/>
    </w:rPr>
  </w:style>
  <w:style w:type="character" w:customStyle="1" w:styleId="3114">
    <w:name w:val="正文001 Char"/>
    <w:link w:val="690"/>
    <w:qFormat/>
    <w:uiPriority w:val="0"/>
    <w:rPr>
      <w:kern w:val="2"/>
      <w:sz w:val="24"/>
    </w:rPr>
  </w:style>
  <w:style w:type="paragraph" w:customStyle="1" w:styleId="3115">
    <w:name w:val="스타일"/>
    <w:qFormat/>
    <w:uiPriority w:val="99"/>
    <w:pPr>
      <w:widowControl w:val="0"/>
      <w:tabs>
        <w:tab w:val="left" w:pos="800"/>
        <w:tab w:val="left" w:pos="1600"/>
        <w:tab w:val="left" w:pos="2400"/>
        <w:tab w:val="left" w:pos="3200"/>
        <w:tab w:val="left" w:pos="4000"/>
        <w:tab w:val="left" w:pos="4800"/>
        <w:tab w:val="left" w:pos="5600"/>
        <w:tab w:val="left" w:pos="6400"/>
        <w:tab w:val="left" w:pos="7200"/>
        <w:tab w:val="left" w:pos="8000"/>
        <w:tab w:val="left" w:pos="8800"/>
        <w:tab w:val="left" w:pos="9600"/>
        <w:tab w:val="left" w:pos="10400"/>
        <w:tab w:val="left" w:pos="11200"/>
        <w:tab w:val="left" w:pos="12000"/>
        <w:tab w:val="left" w:pos="12800"/>
        <w:tab w:val="left" w:pos="13600"/>
        <w:tab w:val="left" w:pos="14400"/>
        <w:tab w:val="left" w:pos="15200"/>
        <w:tab w:val="left" w:pos="16000"/>
        <w:tab w:val="left" w:pos="16800"/>
        <w:tab w:val="left" w:pos="17600"/>
        <w:tab w:val="left" w:pos="18400"/>
        <w:tab w:val="left" w:pos="19200"/>
        <w:tab w:val="left" w:pos="20000"/>
        <w:tab w:val="left" w:pos="20800"/>
        <w:tab w:val="left" w:pos="21600"/>
        <w:tab w:val="left" w:pos="22400"/>
        <w:tab w:val="left" w:pos="23200"/>
        <w:tab w:val="left" w:pos="24000"/>
        <w:tab w:val="left" w:pos="24800"/>
      </w:tabs>
      <w:wordWrap w:val="0"/>
      <w:autoSpaceDE w:val="0"/>
      <w:autoSpaceDN w:val="0"/>
      <w:adjustRightInd w:val="0"/>
      <w:spacing w:line="370" w:lineRule="auto"/>
      <w:jc w:val="both"/>
    </w:pPr>
    <w:rPr>
      <w:rFonts w:ascii="Batang" w:hAnsi="Times New Roman" w:eastAsia="Batang" w:cstheme="majorBidi"/>
      <w:b/>
      <w:bCs/>
      <w:color w:val="000000"/>
      <w:sz w:val="32"/>
      <w:szCs w:val="32"/>
      <w:lang w:val="en-US" w:eastAsia="ko-KR" w:bidi="ar-SA"/>
    </w:rPr>
  </w:style>
  <w:style w:type="paragraph" w:customStyle="1" w:styleId="3116">
    <w:name w:val="正文 + (西文) 宋体"/>
    <w:basedOn w:val="1"/>
    <w:qFormat/>
    <w:uiPriority w:val="99"/>
    <w:pPr>
      <w:widowControl/>
      <w:tabs>
        <w:tab w:val="left" w:pos="360"/>
      </w:tabs>
      <w:spacing w:line="360" w:lineRule="auto"/>
      <w:ind w:left="360" w:firstLine="510" w:firstLineChars="200"/>
      <w:jc w:val="left"/>
    </w:pPr>
    <w:rPr>
      <w:rFonts w:ascii="宋体" w:hAnsi="宋体" w:eastAsia="仿宋_GB2312" w:cstheme="majorBidi"/>
      <w:kern w:val="0"/>
    </w:rPr>
  </w:style>
  <w:style w:type="paragraph" w:customStyle="1" w:styleId="3117">
    <w:name w:val="自动标题33333"/>
    <w:basedOn w:val="871"/>
    <w:qFormat/>
    <w:uiPriority w:val="99"/>
    <w:pPr>
      <w:keepNext w:val="0"/>
      <w:keepLines w:val="0"/>
      <w:widowControl/>
      <w:numPr>
        <w:ilvl w:val="0"/>
      </w:numPr>
      <w:adjustRightInd w:val="0"/>
      <w:snapToGrid w:val="0"/>
      <w:spacing w:before="120" w:after="120"/>
      <w:jc w:val="left"/>
    </w:pPr>
    <w:rPr>
      <w:rFonts w:eastAsia="黑体"/>
      <w:b w:val="0"/>
      <w:bCs/>
      <w:iCs/>
      <w:smallCaps/>
      <w:color w:val="000000"/>
      <w:spacing w:val="5"/>
      <w:kern w:val="0"/>
    </w:rPr>
  </w:style>
  <w:style w:type="paragraph" w:customStyle="1" w:styleId="3118">
    <w:name w:val="样式 标题 3 + 首行缩进:  2 字符 段前: 8.15 磅 段后: 8.15 磅"/>
    <w:basedOn w:val="5"/>
    <w:qFormat/>
    <w:uiPriority w:val="99"/>
    <w:pPr>
      <w:keepNext w:val="0"/>
      <w:keepLines w:val="0"/>
      <w:widowControl/>
      <w:numPr>
        <w:ilvl w:val="0"/>
        <w:numId w:val="0"/>
      </w:numPr>
      <w:tabs>
        <w:tab w:val="left" w:pos="1260"/>
      </w:tabs>
      <w:adjustRightInd w:val="0"/>
      <w:snapToGrid w:val="0"/>
      <w:spacing w:before="163" w:after="163" w:line="240" w:lineRule="atLeast"/>
      <w:ind w:left="1260" w:firstLine="482"/>
      <w:jc w:val="left"/>
    </w:pPr>
    <w:rPr>
      <w:rFonts w:ascii="Arial Unicode MS" w:hAnsi="Arial Unicode MS" w:cstheme="majorBidi"/>
      <w:b w:val="0"/>
      <w:iCs/>
      <w:smallCaps/>
      <w:spacing w:val="5"/>
      <w:kern w:val="0"/>
      <w:sz w:val="24"/>
      <w:szCs w:val="24"/>
    </w:rPr>
  </w:style>
  <w:style w:type="paragraph" w:customStyle="1" w:styleId="3119">
    <w:name w:val="表格内文字"/>
    <w:basedOn w:val="1"/>
    <w:qFormat/>
    <w:uiPriority w:val="0"/>
    <w:pPr>
      <w:widowControl/>
      <w:kinsoku w:val="0"/>
      <w:wordWrap w:val="0"/>
      <w:overflowPunct w:val="0"/>
      <w:spacing w:line="425" w:lineRule="atLeast"/>
      <w:ind w:firstLine="200" w:firstLineChars="200"/>
      <w:jc w:val="center"/>
      <w:textAlignment w:val="baseline"/>
    </w:pPr>
    <w:rPr>
      <w:rFonts w:cstheme="majorBidi"/>
      <w:color w:val="000000"/>
      <w:kern w:val="0"/>
      <w:szCs w:val="20"/>
      <w:u w:color="000000"/>
    </w:rPr>
  </w:style>
  <w:style w:type="paragraph" w:customStyle="1" w:styleId="3120">
    <w:name w:val="Char Char Char Char Char Char Char Char Char Char Char Char Char Char Char Char Char Char Char Char Char Char2"/>
    <w:basedOn w:val="1"/>
    <w:next w:val="1"/>
    <w:qFormat/>
    <w:uiPriority w:val="0"/>
    <w:pPr>
      <w:widowControl/>
      <w:spacing w:line="360" w:lineRule="auto"/>
      <w:ind w:firstLine="200" w:firstLineChars="200"/>
      <w:jc w:val="left"/>
    </w:pPr>
    <w:rPr>
      <w:rFonts w:cs="宋体"/>
      <w:kern w:val="0"/>
    </w:rPr>
  </w:style>
  <w:style w:type="paragraph" w:customStyle="1" w:styleId="3121">
    <w:name w:val="正文（模板）"/>
    <w:basedOn w:val="1"/>
    <w:link w:val="3122"/>
    <w:qFormat/>
    <w:uiPriority w:val="0"/>
    <w:pPr>
      <w:widowControl/>
      <w:spacing w:line="360" w:lineRule="auto"/>
      <w:ind w:firstLine="480" w:firstLineChars="200"/>
      <w:jc w:val="left"/>
    </w:pPr>
    <w:rPr>
      <w:rFonts w:cstheme="majorBidi"/>
      <w:color w:val="000000"/>
      <w:kern w:val="0"/>
      <w:szCs w:val="22"/>
    </w:rPr>
  </w:style>
  <w:style w:type="character" w:customStyle="1" w:styleId="3122">
    <w:name w:val="正文（模板） Char"/>
    <w:link w:val="3121"/>
    <w:qFormat/>
    <w:uiPriority w:val="0"/>
    <w:rPr>
      <w:rFonts w:cstheme="majorBidi"/>
      <w:color w:val="000000"/>
      <w:sz w:val="24"/>
      <w:szCs w:val="22"/>
    </w:rPr>
  </w:style>
  <w:style w:type="paragraph" w:customStyle="1" w:styleId="3123">
    <w:name w:val="333333333"/>
    <w:basedOn w:val="1"/>
    <w:qFormat/>
    <w:uiPriority w:val="0"/>
    <w:pPr>
      <w:keepNext/>
      <w:keepLines/>
      <w:widowControl/>
      <w:tabs>
        <w:tab w:val="left" w:pos="680"/>
      </w:tabs>
      <w:spacing w:before="50" w:after="50" w:line="360" w:lineRule="auto"/>
      <w:ind w:left="720" w:hanging="720" w:firstLineChars="200"/>
      <w:jc w:val="left"/>
      <w:outlineLvl w:val="2"/>
    </w:pPr>
    <w:rPr>
      <w:rFonts w:ascii="宋体" w:hAnsi="宋体" w:cs="Arial Unicode MS"/>
      <w:b/>
      <w:color w:val="000000"/>
      <w:kern w:val="0"/>
    </w:rPr>
  </w:style>
  <w:style w:type="paragraph" w:customStyle="1" w:styleId="3124">
    <w:name w:val="自动标题4"/>
    <w:basedOn w:val="1"/>
    <w:qFormat/>
    <w:uiPriority w:val="0"/>
    <w:pPr>
      <w:keepNext/>
      <w:keepLines/>
      <w:widowControl/>
      <w:numPr>
        <w:ilvl w:val="3"/>
        <w:numId w:val="40"/>
      </w:numPr>
      <w:tabs>
        <w:tab w:val="left" w:pos="1680"/>
      </w:tabs>
      <w:spacing w:beforeLines="50" w:afterLines="50" w:line="360" w:lineRule="auto"/>
      <w:ind w:firstLine="200" w:firstLineChars="200"/>
      <w:jc w:val="left"/>
      <w:outlineLvl w:val="3"/>
    </w:pPr>
    <w:rPr>
      <w:rFonts w:ascii="宋体" w:hAnsi="宋体" w:cstheme="majorBidi"/>
      <w:bCs/>
      <w:color w:val="000000"/>
      <w:kern w:val="0"/>
    </w:rPr>
  </w:style>
  <w:style w:type="paragraph" w:customStyle="1" w:styleId="3125">
    <w:name w:val="Char Char1 Char Char Char Char Char Char Char Char Char Char Char Char Char Char"/>
    <w:basedOn w:val="1"/>
    <w:qFormat/>
    <w:uiPriority w:val="0"/>
    <w:pPr>
      <w:widowControl/>
      <w:spacing w:after="160" w:line="240" w:lineRule="exact"/>
      <w:ind w:firstLine="200" w:firstLineChars="200"/>
      <w:jc w:val="left"/>
    </w:pPr>
    <w:rPr>
      <w:rFonts w:ascii="Verdana" w:hAnsi="Verdana" w:cstheme="majorBidi"/>
      <w:kern w:val="0"/>
      <w:sz w:val="20"/>
      <w:szCs w:val="20"/>
      <w:lang w:eastAsia="en-US"/>
    </w:rPr>
  </w:style>
  <w:style w:type="paragraph" w:customStyle="1" w:styleId="3126">
    <w:name w:val="其他标准称谓"/>
    <w:qFormat/>
    <w:uiPriority w:val="0"/>
    <w:pPr>
      <w:spacing w:line="0" w:lineRule="atLeast"/>
      <w:jc w:val="distribute"/>
    </w:pPr>
    <w:rPr>
      <w:rFonts w:ascii="黑体" w:hAnsi="宋体" w:eastAsia="黑体" w:cstheme="majorBidi"/>
      <w:sz w:val="52"/>
      <w:szCs w:val="22"/>
      <w:lang w:val="en-US" w:eastAsia="zh-CN" w:bidi="ar-SA"/>
    </w:rPr>
  </w:style>
  <w:style w:type="paragraph" w:customStyle="1" w:styleId="3127">
    <w:name w:val="000 正文"/>
    <w:basedOn w:val="1"/>
    <w:qFormat/>
    <w:uiPriority w:val="0"/>
    <w:pPr>
      <w:widowControl/>
      <w:spacing w:beforeLines="50" w:afterLines="50" w:line="324" w:lineRule="auto"/>
      <w:ind w:firstLine="200" w:firstLineChars="200"/>
      <w:jc w:val="left"/>
    </w:pPr>
    <w:rPr>
      <w:rFonts w:cstheme="majorBidi"/>
      <w:kern w:val="0"/>
    </w:rPr>
  </w:style>
  <w:style w:type="paragraph" w:customStyle="1" w:styleId="3128">
    <w:name w:val="图目"/>
    <w:basedOn w:val="1"/>
    <w:qFormat/>
    <w:uiPriority w:val="0"/>
    <w:pPr>
      <w:widowControl/>
      <w:adjustRightInd w:val="0"/>
      <w:snapToGrid w:val="0"/>
      <w:spacing w:beforeLines="50" w:line="440" w:lineRule="atLeast"/>
      <w:ind w:firstLine="200" w:firstLineChars="200"/>
      <w:jc w:val="center"/>
      <w:textAlignment w:val="baseline"/>
    </w:pPr>
    <w:rPr>
      <w:rFonts w:ascii="仿宋_GB2312" w:hAnsi="Arial" w:eastAsia="仿宋_GB2312" w:cs="Arial"/>
      <w:spacing w:val="10"/>
      <w:kern w:val="0"/>
      <w:position w:val="12"/>
      <w:sz w:val="28"/>
      <w:szCs w:val="20"/>
    </w:rPr>
  </w:style>
  <w:style w:type="paragraph" w:customStyle="1" w:styleId="3129">
    <w:name w:val="样式 标题 5 + 行距: 固定值 25 磅"/>
    <w:basedOn w:val="8"/>
    <w:qFormat/>
    <w:uiPriority w:val="0"/>
    <w:pPr>
      <w:keepNext w:val="0"/>
      <w:keepLines w:val="0"/>
      <w:widowControl/>
      <w:tabs>
        <w:tab w:val="left" w:pos="0"/>
        <w:tab w:val="clear" w:pos="360"/>
      </w:tabs>
      <w:snapToGrid/>
      <w:spacing w:before="0" w:line="500" w:lineRule="exact"/>
      <w:jc w:val="left"/>
    </w:pPr>
    <w:rPr>
      <w:rFonts w:ascii="仿宋" w:hAnsi="仿宋" w:cs="宋体"/>
      <w:b w:val="0"/>
      <w:bCs/>
      <w:iCs/>
      <w:kern w:val="0"/>
      <w:szCs w:val="20"/>
      <w:lang w:val="zh-CN"/>
    </w:rPr>
  </w:style>
  <w:style w:type="paragraph" w:customStyle="1" w:styleId="3130">
    <w:name w:val="表 头"/>
    <w:basedOn w:val="1"/>
    <w:qFormat/>
    <w:uiPriority w:val="0"/>
    <w:pPr>
      <w:widowControl/>
      <w:adjustRightInd w:val="0"/>
      <w:spacing w:before="120" w:after="120" w:line="360" w:lineRule="atLeast"/>
      <w:ind w:firstLine="200" w:firstLineChars="200"/>
      <w:jc w:val="center"/>
    </w:pPr>
    <w:rPr>
      <w:rFonts w:eastAsia="黑体" w:cstheme="majorBidi"/>
      <w:spacing w:val="10"/>
      <w:kern w:val="0"/>
      <w:szCs w:val="20"/>
    </w:rPr>
  </w:style>
  <w:style w:type="paragraph" w:customStyle="1" w:styleId="3131">
    <w:name w:val="学校规范标题4"/>
    <w:basedOn w:val="6"/>
    <w:qFormat/>
    <w:uiPriority w:val="0"/>
    <w:pPr>
      <w:keepNext w:val="0"/>
      <w:keepLines w:val="0"/>
      <w:widowControl/>
      <w:numPr>
        <w:ilvl w:val="0"/>
        <w:numId w:val="0"/>
      </w:numPr>
      <w:spacing w:before="240" w:after="120" w:line="360" w:lineRule="auto"/>
      <w:jc w:val="left"/>
    </w:pPr>
    <w:rPr>
      <w:rFonts w:ascii="宋体" w:hAnsi="宋体" w:eastAsia="黑体"/>
      <w:color w:val="000000"/>
      <w:spacing w:val="5"/>
      <w:kern w:val="0"/>
      <w:sz w:val="24"/>
      <w:szCs w:val="24"/>
    </w:rPr>
  </w:style>
  <w:style w:type="paragraph" w:customStyle="1" w:styleId="3132">
    <w:name w:val="小2黑"/>
    <w:basedOn w:val="4"/>
    <w:qFormat/>
    <w:uiPriority w:val="99"/>
    <w:pPr>
      <w:keepNext w:val="0"/>
      <w:keepLines w:val="0"/>
      <w:widowControl/>
      <w:numPr>
        <w:ilvl w:val="0"/>
        <w:numId w:val="0"/>
      </w:numPr>
      <w:tabs>
        <w:tab w:val="left" w:pos="840"/>
      </w:tabs>
      <w:spacing w:before="260" w:after="260" w:line="540" w:lineRule="exact"/>
      <w:ind w:left="840" w:hanging="420"/>
      <w:jc w:val="left"/>
    </w:pPr>
    <w:rPr>
      <w:rFonts w:ascii="黑体" w:hAnsi="Arial" w:eastAsia="仿宋_GB2312"/>
      <w:smallCaps/>
      <w:color w:val="000000"/>
      <w:kern w:val="0"/>
      <w:sz w:val="36"/>
      <w:szCs w:val="28"/>
    </w:rPr>
  </w:style>
  <w:style w:type="paragraph" w:customStyle="1" w:styleId="3133">
    <w:name w:val="ENFI表体"/>
    <w:basedOn w:val="1"/>
    <w:qFormat/>
    <w:uiPriority w:val="0"/>
    <w:pPr>
      <w:widowControl/>
      <w:adjustRightInd w:val="0"/>
      <w:snapToGrid w:val="0"/>
      <w:spacing w:line="240" w:lineRule="atLeast"/>
      <w:ind w:firstLine="200" w:firstLineChars="200"/>
      <w:jc w:val="center"/>
    </w:pPr>
    <w:rPr>
      <w:rFonts w:eastAsia="仿宋_GB2312" w:cstheme="majorBidi"/>
      <w:kern w:val="0"/>
      <w:szCs w:val="20"/>
    </w:rPr>
  </w:style>
  <w:style w:type="paragraph" w:customStyle="1" w:styleId="3134">
    <w:name w:val="四号 1.5倍行距 宋体 Timenewrome"/>
    <w:basedOn w:val="1"/>
    <w:next w:val="1"/>
    <w:qFormat/>
    <w:uiPriority w:val="99"/>
    <w:pPr>
      <w:widowControl/>
      <w:spacing w:line="360" w:lineRule="auto"/>
      <w:ind w:firstLine="200" w:firstLineChars="200"/>
      <w:jc w:val="left"/>
    </w:pPr>
    <w:rPr>
      <w:rFonts w:cstheme="majorBidi"/>
      <w:kern w:val="0"/>
      <w:szCs w:val="21"/>
    </w:rPr>
  </w:style>
  <w:style w:type="paragraph" w:customStyle="1" w:styleId="3135">
    <w:name w:val="样式 (中文) 楷体_GB2312 小四 黑色 居中 首行缩进:  0.85 厘米 段前: 18 磅 段后: 6 磅..."/>
    <w:basedOn w:val="1"/>
    <w:qFormat/>
    <w:uiPriority w:val="99"/>
    <w:pPr>
      <w:widowControl/>
      <w:spacing w:line="360" w:lineRule="auto"/>
      <w:ind w:firstLine="200" w:firstLineChars="200"/>
      <w:jc w:val="center"/>
    </w:pPr>
    <w:rPr>
      <w:rFonts w:cs="宋体"/>
      <w:color w:val="000000"/>
      <w:kern w:val="0"/>
      <w:szCs w:val="20"/>
    </w:rPr>
  </w:style>
  <w:style w:type="paragraph" w:customStyle="1" w:styleId="3136">
    <w:name w:val="1四级标题"/>
    <w:basedOn w:val="1835"/>
    <w:qFormat/>
    <w:uiPriority w:val="99"/>
    <w:pPr>
      <w:tabs>
        <w:tab w:val="left" w:pos="360"/>
        <w:tab w:val="clear" w:pos="425"/>
        <w:tab w:val="clear" w:pos="709"/>
        <w:tab w:val="clear" w:pos="1440"/>
      </w:tabs>
      <w:spacing w:beforeLines="50" w:afterLines="50" w:line="360" w:lineRule="auto"/>
      <w:ind w:left="0" w:firstLine="0"/>
      <w:contextualSpacing/>
      <w:jc w:val="center"/>
    </w:pPr>
    <w:rPr>
      <w:rFonts w:eastAsia="宋体" w:cs="宋体"/>
      <w:bCs/>
      <w:smallCaps/>
      <w:spacing w:val="5"/>
      <w:sz w:val="24"/>
    </w:rPr>
  </w:style>
  <w:style w:type="paragraph" w:customStyle="1" w:styleId="3137">
    <w:name w:val="标题 2，节"/>
    <w:basedOn w:val="4"/>
    <w:qFormat/>
    <w:uiPriority w:val="0"/>
    <w:pPr>
      <w:keepNext w:val="0"/>
      <w:keepLines w:val="0"/>
      <w:widowControl/>
      <w:numPr>
        <w:ilvl w:val="0"/>
        <w:numId w:val="0"/>
      </w:numPr>
      <w:spacing w:before="260" w:beforeLines="50" w:after="260" w:line="416" w:lineRule="auto"/>
      <w:jc w:val="left"/>
    </w:pPr>
    <w:rPr>
      <w:rFonts w:ascii="宋体" w:hAnsi="宋体" w:eastAsia="宋体"/>
      <w:bCs w:val="0"/>
      <w:smallCaps/>
      <w:kern w:val="0"/>
      <w:sz w:val="24"/>
      <w:szCs w:val="28"/>
    </w:rPr>
  </w:style>
  <w:style w:type="paragraph" w:customStyle="1" w:styleId="3138">
    <w:name w:val="小标题2"/>
    <w:basedOn w:val="1"/>
    <w:qFormat/>
    <w:uiPriority w:val="0"/>
    <w:pPr>
      <w:widowControl/>
      <w:tabs>
        <w:tab w:val="left" w:pos="5400"/>
      </w:tabs>
      <w:overflowPunct w:val="0"/>
      <w:spacing w:line="336" w:lineRule="auto"/>
      <w:ind w:firstLine="480" w:firstLineChars="200"/>
      <w:jc w:val="left"/>
    </w:pPr>
    <w:rPr>
      <w:rFonts w:cstheme="majorBidi"/>
      <w:kern w:val="0"/>
    </w:rPr>
  </w:style>
  <w:style w:type="paragraph" w:customStyle="1" w:styleId="3139">
    <w:name w:val="文本块1"/>
    <w:basedOn w:val="1"/>
    <w:qFormat/>
    <w:uiPriority w:val="0"/>
    <w:pPr>
      <w:widowControl/>
      <w:spacing w:afterLines="50" w:line="360" w:lineRule="auto"/>
      <w:ind w:left="700" w:leftChars="700" w:right="700" w:rightChars="700" w:firstLine="200" w:firstLineChars="200"/>
      <w:jc w:val="left"/>
    </w:pPr>
    <w:rPr>
      <w:rFonts w:cstheme="majorBidi"/>
      <w:kern w:val="0"/>
      <w:szCs w:val="21"/>
    </w:rPr>
  </w:style>
  <w:style w:type="paragraph" w:customStyle="1" w:styleId="3140">
    <w:name w:val="样式 宋体 四号"/>
    <w:basedOn w:val="1"/>
    <w:next w:val="44"/>
    <w:qFormat/>
    <w:uiPriority w:val="0"/>
    <w:pPr>
      <w:widowControl/>
      <w:spacing w:line="360" w:lineRule="auto"/>
      <w:ind w:firstLine="560" w:firstLineChars="200"/>
      <w:jc w:val="left"/>
    </w:pPr>
    <w:rPr>
      <w:rFonts w:ascii="宋体" w:hAnsi="宋体" w:cs="宋体"/>
      <w:kern w:val="0"/>
      <w:sz w:val="28"/>
      <w:szCs w:val="20"/>
    </w:rPr>
  </w:style>
  <w:style w:type="paragraph" w:customStyle="1" w:styleId="3141">
    <w:name w:val="文档结构图2"/>
    <w:basedOn w:val="1"/>
    <w:qFormat/>
    <w:uiPriority w:val="99"/>
    <w:pPr>
      <w:widowControl/>
      <w:spacing w:line="360" w:lineRule="auto"/>
      <w:ind w:firstLine="200" w:firstLineChars="200"/>
      <w:jc w:val="left"/>
    </w:pPr>
    <w:rPr>
      <w:rFonts w:ascii="宋体" w:cstheme="majorBidi"/>
      <w:kern w:val="0"/>
      <w:sz w:val="18"/>
      <w:szCs w:val="18"/>
    </w:rPr>
  </w:style>
  <w:style w:type="paragraph" w:customStyle="1" w:styleId="3142">
    <w:name w:val="样式 标题 1第一标题 + 段前: 0.3 行 段后: 0.3 行"/>
    <w:basedOn w:val="3"/>
    <w:semiHidden/>
    <w:qFormat/>
    <w:uiPriority w:val="0"/>
    <w:pPr>
      <w:keepNext w:val="0"/>
      <w:widowControl/>
      <w:numPr>
        <w:ilvl w:val="0"/>
        <w:numId w:val="0"/>
      </w:numPr>
      <w:tabs>
        <w:tab w:val="left" w:pos="1340"/>
        <w:tab w:val="clear" w:pos="0"/>
      </w:tabs>
      <w:autoSpaceDE w:val="0"/>
      <w:autoSpaceDN w:val="0"/>
      <w:adjustRightInd w:val="0"/>
      <w:spacing w:before="340" w:beforeLines="50" w:after="330" w:afterLines="30" w:line="360" w:lineRule="auto"/>
      <w:ind w:left="1340" w:hanging="420"/>
      <w:contextualSpacing/>
      <w:jc w:val="left"/>
    </w:pPr>
    <w:rPr>
      <w:rFonts w:cs="宋体"/>
      <w:b w:val="0"/>
      <w:bCs/>
      <w:smallCaps/>
      <w:spacing w:val="5"/>
      <w:kern w:val="0"/>
      <w:sz w:val="32"/>
      <w:szCs w:val="20"/>
      <w:lang w:val="zh-CN"/>
    </w:rPr>
  </w:style>
  <w:style w:type="paragraph" w:customStyle="1" w:styleId="3143">
    <w:name w:val="3级标题 + 黑体"/>
    <w:basedOn w:val="1"/>
    <w:link w:val="3144"/>
    <w:qFormat/>
    <w:uiPriority w:val="0"/>
    <w:pPr>
      <w:widowControl/>
      <w:overflowPunct w:val="0"/>
      <w:autoSpaceDE w:val="0"/>
      <w:autoSpaceDN w:val="0"/>
      <w:adjustRightInd w:val="0"/>
      <w:spacing w:before="20" w:after="20" w:line="360" w:lineRule="auto"/>
      <w:ind w:firstLine="200" w:firstLineChars="200"/>
      <w:jc w:val="left"/>
      <w:textAlignment w:val="baseline"/>
      <w:outlineLvl w:val="2"/>
    </w:pPr>
    <w:rPr>
      <w:rFonts w:ascii="黑体" w:hAnsi="黑体" w:eastAsia="黑体" w:cstheme="majorBidi"/>
      <w:kern w:val="20"/>
      <w:szCs w:val="20"/>
    </w:rPr>
  </w:style>
  <w:style w:type="character" w:customStyle="1" w:styleId="3144">
    <w:name w:val="3级标题 + 黑体 Char"/>
    <w:link w:val="3143"/>
    <w:qFormat/>
    <w:uiPriority w:val="0"/>
    <w:rPr>
      <w:rFonts w:ascii="黑体" w:hAnsi="黑体" w:eastAsia="黑体" w:cstheme="majorBidi"/>
      <w:kern w:val="20"/>
      <w:sz w:val="24"/>
    </w:rPr>
  </w:style>
  <w:style w:type="paragraph" w:customStyle="1" w:styleId="3145">
    <w:name w:val="dc"/>
    <w:basedOn w:val="1"/>
    <w:qFormat/>
    <w:uiPriority w:val="0"/>
    <w:pPr>
      <w:widowControl/>
      <w:spacing w:before="100" w:beforeAutospacing="1" w:after="100" w:afterAutospacing="1" w:line="270" w:lineRule="atLeast"/>
      <w:ind w:firstLine="200" w:firstLineChars="200"/>
      <w:jc w:val="left"/>
    </w:pPr>
    <w:rPr>
      <w:rFonts w:ascii="宋体" w:hAnsi="宋体" w:cstheme="majorBidi"/>
      <w:kern w:val="0"/>
      <w:sz w:val="18"/>
      <w:szCs w:val="20"/>
    </w:rPr>
  </w:style>
  <w:style w:type="paragraph" w:customStyle="1" w:styleId="3146">
    <w:name w:val="样式 样式 段前: 4.65 磅 行距: 多倍行距 1.15 字行 + 首行缩进:  2 字符"/>
    <w:basedOn w:val="1"/>
    <w:qFormat/>
    <w:uiPriority w:val="0"/>
    <w:pPr>
      <w:widowControl/>
      <w:tabs>
        <w:tab w:val="left" w:pos="720"/>
      </w:tabs>
      <w:spacing w:before="93" w:line="312" w:lineRule="auto"/>
      <w:ind w:left="720" w:hanging="720" w:firstLineChars="200"/>
      <w:jc w:val="left"/>
    </w:pPr>
    <w:rPr>
      <w:rFonts w:cs="宋体"/>
      <w:kern w:val="0"/>
      <w:szCs w:val="20"/>
    </w:rPr>
  </w:style>
  <w:style w:type="paragraph" w:customStyle="1" w:styleId="3147">
    <w:name w:val="样式 标题 1标题 1环评标题 11一、标题 1 Char章 + Times New Roman 加粗 黑色 两..."/>
    <w:next w:val="84"/>
    <w:semiHidden/>
    <w:qFormat/>
    <w:uiPriority w:val="99"/>
    <w:pPr>
      <w:spacing w:before="156" w:after="156" w:line="360" w:lineRule="auto"/>
      <w:jc w:val="both"/>
    </w:pPr>
    <w:rPr>
      <w:rFonts w:ascii="Times New Roman" w:hAnsi="Times New Roman" w:eastAsia="黑体" w:cs="宋体"/>
      <w:b/>
      <w:bCs/>
      <w:color w:val="000000"/>
      <w:kern w:val="44"/>
      <w:sz w:val="30"/>
      <w:szCs w:val="22"/>
      <w:lang w:val="en-US" w:eastAsia="zh-CN" w:bidi="ar-SA"/>
    </w:rPr>
  </w:style>
  <w:style w:type="paragraph" w:customStyle="1" w:styleId="3148">
    <w:name w:val="正文文本 31"/>
    <w:basedOn w:val="1"/>
    <w:qFormat/>
    <w:uiPriority w:val="0"/>
    <w:pPr>
      <w:widowControl/>
      <w:suppressAutoHyphens/>
      <w:spacing w:line="360" w:lineRule="auto"/>
      <w:ind w:firstLine="200" w:firstLineChars="200"/>
      <w:jc w:val="left"/>
    </w:pPr>
    <w:rPr>
      <w:rFonts w:cstheme="majorBidi"/>
      <w:kern w:val="1"/>
      <w:lang w:eastAsia="ar-SA"/>
    </w:rPr>
  </w:style>
  <w:style w:type="paragraph" w:customStyle="1" w:styleId="3149">
    <w:name w:val="样式 样式 样式 标题 2H2h2heading 2+ Indent: Left 0.25 in二级节名1.1  heading...1"/>
    <w:basedOn w:val="2993"/>
    <w:qFormat/>
    <w:uiPriority w:val="0"/>
    <w:pPr>
      <w:spacing w:before="240"/>
    </w:pPr>
  </w:style>
  <w:style w:type="paragraph" w:customStyle="1" w:styleId="3150">
    <w:name w:val="样式63"/>
    <w:basedOn w:val="1"/>
    <w:qFormat/>
    <w:uiPriority w:val="0"/>
    <w:pPr>
      <w:widowControl/>
      <w:spacing w:beforeLines="50" w:afterLines="50" w:line="360" w:lineRule="auto"/>
      <w:ind w:firstLine="480" w:firstLineChars="200"/>
      <w:jc w:val="left"/>
    </w:pPr>
    <w:rPr>
      <w:rFonts w:cstheme="majorBidi"/>
      <w:kern w:val="0"/>
    </w:rPr>
  </w:style>
  <w:style w:type="paragraph" w:customStyle="1" w:styleId="3151">
    <w:name w:val="左侧"/>
    <w:semiHidden/>
    <w:qFormat/>
    <w:uiPriority w:val="0"/>
    <w:pPr>
      <w:spacing w:line="280" w:lineRule="exact"/>
      <w:jc w:val="center"/>
    </w:pPr>
    <w:rPr>
      <w:rFonts w:ascii="Batang" w:hAnsi="Batang" w:eastAsiaTheme="majorEastAsia" w:cstheme="majorBidi"/>
      <w:color w:val="000000"/>
      <w:sz w:val="21"/>
      <w:szCs w:val="22"/>
      <w:lang w:val="en-US" w:eastAsia="zh-CN" w:bidi="ar-SA"/>
    </w:rPr>
  </w:style>
  <w:style w:type="paragraph" w:customStyle="1" w:styleId="3152">
    <w:name w:val="正文图标题"/>
    <w:next w:val="7"/>
    <w:qFormat/>
    <w:uiPriority w:val="0"/>
    <w:pPr>
      <w:tabs>
        <w:tab w:val="left" w:pos="420"/>
        <w:tab w:val="left" w:pos="1080"/>
      </w:tabs>
      <w:spacing w:line="360" w:lineRule="auto"/>
      <w:ind w:left="1080" w:hanging="420"/>
      <w:jc w:val="center"/>
    </w:pPr>
    <w:rPr>
      <w:rFonts w:ascii="黑体" w:hAnsi="Times New Roman" w:eastAsia="黑体" w:cstheme="majorBidi"/>
      <w:sz w:val="21"/>
      <w:szCs w:val="22"/>
      <w:lang w:val="en-US" w:eastAsia="zh-CN" w:bidi="ar-SA"/>
    </w:rPr>
  </w:style>
  <w:style w:type="paragraph" w:customStyle="1" w:styleId="3153">
    <w:name w:val="样式 纯文本 + 黑体"/>
    <w:basedOn w:val="45"/>
    <w:qFormat/>
    <w:uiPriority w:val="0"/>
    <w:pPr>
      <w:widowControl/>
      <w:tabs>
        <w:tab w:val="left" w:pos="1620"/>
      </w:tabs>
      <w:adjustRightInd/>
      <w:spacing w:line="240" w:lineRule="auto"/>
      <w:ind w:firstLine="200" w:firstLineChars="200"/>
      <w:jc w:val="left"/>
      <w:textAlignment w:val="auto"/>
    </w:pPr>
    <w:rPr>
      <w:rFonts w:ascii="黑体" w:hAnsi="黑体" w:eastAsia="等线"/>
      <w:bCs/>
      <w:sz w:val="24"/>
      <w:szCs w:val="20"/>
    </w:rPr>
  </w:style>
  <w:style w:type="paragraph" w:customStyle="1" w:styleId="3154">
    <w:name w:val="Char Char Char Char Char Char Char1 Char Char Char"/>
    <w:basedOn w:val="1"/>
    <w:qFormat/>
    <w:uiPriority w:val="0"/>
    <w:pPr>
      <w:widowControl/>
      <w:tabs>
        <w:tab w:val="left" w:pos="1404"/>
      </w:tabs>
      <w:spacing w:before="100" w:beforeAutospacing="1" w:after="100" w:afterAutospacing="1" w:line="360" w:lineRule="auto"/>
      <w:ind w:left="1404" w:hanging="420" w:firstLineChars="200"/>
      <w:jc w:val="left"/>
    </w:pPr>
    <w:rPr>
      <w:rFonts w:ascii="ˎ̥" w:hAnsi="ˎ̥" w:eastAsia="仿宋_GB2312" w:cs="宋体"/>
      <w:color w:val="51585D"/>
      <w:kern w:val="0"/>
      <w:sz w:val="32"/>
      <w:szCs w:val="18"/>
    </w:rPr>
  </w:style>
  <w:style w:type="paragraph" w:customStyle="1" w:styleId="3155">
    <w:name w:val="样式 小五 居中 段前: 0.2 行 段后: 0.2 行 行距: 最小值 12 磅"/>
    <w:basedOn w:val="1"/>
    <w:qFormat/>
    <w:uiPriority w:val="99"/>
    <w:pPr>
      <w:widowControl/>
      <w:snapToGrid w:val="0"/>
      <w:spacing w:line="240" w:lineRule="atLeast"/>
      <w:ind w:firstLine="200" w:firstLineChars="200"/>
      <w:jc w:val="center"/>
    </w:pPr>
    <w:rPr>
      <w:rFonts w:cs="宋体"/>
      <w:kern w:val="0"/>
      <w:sz w:val="18"/>
      <w:szCs w:val="20"/>
    </w:rPr>
  </w:style>
  <w:style w:type="paragraph" w:customStyle="1" w:styleId="3156">
    <w:name w:val="样式 标题 4 + 左"/>
    <w:basedOn w:val="6"/>
    <w:qFormat/>
    <w:uiPriority w:val="0"/>
    <w:pPr>
      <w:keepNext w:val="0"/>
      <w:keepLines w:val="0"/>
      <w:widowControl/>
      <w:numPr>
        <w:ilvl w:val="0"/>
        <w:numId w:val="0"/>
      </w:numPr>
      <w:tabs>
        <w:tab w:val="left" w:pos="360"/>
      </w:tabs>
      <w:spacing w:line="440" w:lineRule="exact"/>
      <w:ind w:left="864" w:hanging="864"/>
      <w:jc w:val="left"/>
    </w:pPr>
    <w:rPr>
      <w:color w:val="000000"/>
      <w:spacing w:val="5"/>
      <w:kern w:val="24"/>
      <w:sz w:val="24"/>
      <w:szCs w:val="24"/>
    </w:rPr>
  </w:style>
  <w:style w:type="paragraph" w:customStyle="1" w:styleId="3157">
    <w:name w:val="普通表格1"/>
    <w:basedOn w:val="45"/>
    <w:qFormat/>
    <w:uiPriority w:val="0"/>
    <w:pPr>
      <w:widowControl/>
      <w:adjustRightInd/>
      <w:snapToGrid w:val="0"/>
      <w:spacing w:beforeLines="50" w:afterLines="50" w:line="380" w:lineRule="exact"/>
      <w:ind w:firstLine="200" w:firstLineChars="200"/>
      <w:jc w:val="left"/>
      <w:textAlignment w:val="auto"/>
    </w:pPr>
    <w:rPr>
      <w:rFonts w:ascii="Times New Roman" w:hAnsi="Times New Roman"/>
      <w:sz w:val="20"/>
    </w:rPr>
  </w:style>
  <w:style w:type="paragraph" w:customStyle="1" w:styleId="3158">
    <w:name w:val="环评标题2"/>
    <w:basedOn w:val="3"/>
    <w:qFormat/>
    <w:uiPriority w:val="0"/>
    <w:pPr>
      <w:keepNext w:val="0"/>
      <w:widowControl/>
      <w:numPr>
        <w:numId w:val="0"/>
      </w:numPr>
      <w:tabs>
        <w:tab w:val="clear" w:pos="0"/>
      </w:tabs>
      <w:spacing w:before="120" w:after="156" w:line="360" w:lineRule="auto"/>
      <w:contextualSpacing/>
      <w:jc w:val="left"/>
    </w:pPr>
    <w:rPr>
      <w:rFonts w:cs="宋体"/>
      <w:b w:val="0"/>
      <w:bCs/>
      <w:smallCaps/>
      <w:color w:val="000000"/>
      <w:spacing w:val="5"/>
      <w:kern w:val="0"/>
      <w:sz w:val="30"/>
      <w:szCs w:val="20"/>
    </w:rPr>
  </w:style>
  <w:style w:type="paragraph" w:customStyle="1" w:styleId="3159">
    <w:name w:val="CM3"/>
    <w:basedOn w:val="1"/>
    <w:next w:val="1"/>
    <w:qFormat/>
    <w:uiPriority w:val="0"/>
    <w:pPr>
      <w:widowControl/>
      <w:autoSpaceDE w:val="0"/>
      <w:autoSpaceDN w:val="0"/>
      <w:adjustRightInd w:val="0"/>
      <w:spacing w:line="480" w:lineRule="atLeast"/>
      <w:ind w:firstLine="200" w:firstLineChars="200"/>
      <w:jc w:val="left"/>
    </w:pPr>
    <w:rPr>
      <w:rFonts w:ascii="TTE1CFADF8t00" w:eastAsia="TTE1CFADF8t00" w:cstheme="majorBidi"/>
      <w:kern w:val="0"/>
    </w:rPr>
  </w:style>
  <w:style w:type="paragraph" w:customStyle="1" w:styleId="3160">
    <w:name w:val="标题1YHY"/>
    <w:basedOn w:val="1"/>
    <w:next w:val="1"/>
    <w:qFormat/>
    <w:uiPriority w:val="0"/>
    <w:pPr>
      <w:keepNext/>
      <w:keepLines/>
      <w:widowControl/>
      <w:tabs>
        <w:tab w:val="left" w:pos="567"/>
      </w:tabs>
      <w:spacing w:beforeLines="50" w:afterLines="50" w:line="360" w:lineRule="auto"/>
      <w:ind w:firstLine="200" w:firstLineChars="200"/>
      <w:jc w:val="left"/>
      <w:outlineLvl w:val="0"/>
    </w:pPr>
    <w:rPr>
      <w:rFonts w:ascii="黑体" w:eastAsia="黑体" w:cs="宋体"/>
      <w:b/>
      <w:kern w:val="44"/>
      <w:sz w:val="30"/>
      <w:szCs w:val="30"/>
    </w:rPr>
  </w:style>
  <w:style w:type="paragraph" w:customStyle="1" w:styleId="3161">
    <w:name w:val="BG1"/>
    <w:basedOn w:val="1"/>
    <w:qFormat/>
    <w:uiPriority w:val="0"/>
    <w:pPr>
      <w:widowControl/>
      <w:autoSpaceDE w:val="0"/>
      <w:autoSpaceDN w:val="0"/>
      <w:spacing w:line="336" w:lineRule="auto"/>
      <w:ind w:firstLine="200" w:firstLineChars="200"/>
      <w:jc w:val="center"/>
    </w:pPr>
    <w:rPr>
      <w:rFonts w:cstheme="majorBidi"/>
      <w:kern w:val="0"/>
    </w:rPr>
  </w:style>
  <w:style w:type="character" w:customStyle="1" w:styleId="3162">
    <w:name w:val="文字 Char"/>
    <w:link w:val="1640"/>
    <w:qFormat/>
    <w:uiPriority w:val="99"/>
    <w:rPr>
      <w:rFonts w:ascii="宋体" w:hAnsi="宋体" w:cs="宋体"/>
      <w:color w:val="000000"/>
      <w:spacing w:val="6"/>
      <w:sz w:val="28"/>
    </w:rPr>
  </w:style>
  <w:style w:type="paragraph" w:customStyle="1" w:styleId="3163">
    <w:name w:val="样式60"/>
    <w:basedOn w:val="1"/>
    <w:qFormat/>
    <w:uiPriority w:val="0"/>
    <w:pPr>
      <w:keepNext/>
      <w:keepLines/>
      <w:widowControl/>
      <w:tabs>
        <w:tab w:val="left" w:pos="2175"/>
      </w:tabs>
      <w:spacing w:beforeLines="50" w:afterLines="50" w:line="360" w:lineRule="auto"/>
      <w:ind w:firstLine="200" w:firstLineChars="200"/>
      <w:jc w:val="left"/>
      <w:outlineLvl w:val="3"/>
    </w:pPr>
    <w:rPr>
      <w:rFonts w:cstheme="majorBidi"/>
      <w:bCs/>
      <w:kern w:val="0"/>
    </w:rPr>
  </w:style>
  <w:style w:type="paragraph" w:customStyle="1" w:styleId="3164">
    <w:name w:val="湛江沥青正文"/>
    <w:basedOn w:val="1"/>
    <w:qFormat/>
    <w:uiPriority w:val="0"/>
    <w:pPr>
      <w:widowControl/>
      <w:spacing w:line="360" w:lineRule="auto"/>
      <w:ind w:firstLine="480" w:firstLineChars="200"/>
      <w:jc w:val="left"/>
    </w:pPr>
    <w:rPr>
      <w:rFonts w:ascii="宋体" w:hAnsi="宋体" w:cstheme="majorBidi"/>
      <w:kern w:val="0"/>
    </w:rPr>
  </w:style>
  <w:style w:type="paragraph" w:customStyle="1" w:styleId="3165">
    <w:name w:val="结束语1"/>
    <w:basedOn w:val="1"/>
    <w:qFormat/>
    <w:uiPriority w:val="0"/>
    <w:pPr>
      <w:widowControl/>
      <w:spacing w:afterLines="50" w:line="360" w:lineRule="auto"/>
      <w:ind w:left="4252" w:firstLine="200" w:firstLineChars="200"/>
      <w:jc w:val="left"/>
    </w:pPr>
    <w:rPr>
      <w:rFonts w:ascii="Arial" w:hAnsi="Arial" w:eastAsia="MS Gothic" w:cstheme="majorBidi"/>
      <w:spacing w:val="-5"/>
      <w:kern w:val="0"/>
      <w:sz w:val="20"/>
      <w:szCs w:val="21"/>
      <w:lang w:eastAsia="ja-JP"/>
    </w:rPr>
  </w:style>
  <w:style w:type="paragraph" w:customStyle="1" w:styleId="3166">
    <w:name w:val="Normal1"/>
    <w:qFormat/>
    <w:uiPriority w:val="0"/>
    <w:pPr>
      <w:widowControl w:val="0"/>
      <w:adjustRightInd w:val="0"/>
      <w:spacing w:line="360" w:lineRule="atLeast"/>
      <w:textAlignment w:val="baseline"/>
    </w:pPr>
    <w:rPr>
      <w:rFonts w:ascii="宋体" w:hAnsi="Times New Roman" w:eastAsiaTheme="majorEastAsia" w:cstheme="majorBidi"/>
      <w:sz w:val="34"/>
      <w:szCs w:val="22"/>
      <w:lang w:val="en-US" w:eastAsia="zh-CN" w:bidi="ar-SA"/>
    </w:rPr>
  </w:style>
  <w:style w:type="paragraph" w:customStyle="1" w:styleId="3167">
    <w:name w:val="样式 标题 3标题 13 + 四号"/>
    <w:basedOn w:val="5"/>
    <w:qFormat/>
    <w:uiPriority w:val="99"/>
    <w:pPr>
      <w:keepNext w:val="0"/>
      <w:keepLines w:val="0"/>
      <w:widowControl/>
      <w:numPr>
        <w:ilvl w:val="0"/>
        <w:numId w:val="0"/>
      </w:numPr>
      <w:tabs>
        <w:tab w:val="left" w:pos="1202"/>
      </w:tabs>
      <w:adjustRightInd w:val="0"/>
      <w:snapToGrid w:val="0"/>
      <w:spacing w:line="360" w:lineRule="auto"/>
      <w:ind w:left="1202" w:hanging="720"/>
      <w:jc w:val="left"/>
    </w:pPr>
    <w:rPr>
      <w:rFonts w:ascii="黑体" w:cstheme="majorBidi"/>
      <w:b w:val="0"/>
      <w:bCs w:val="0"/>
      <w:iCs/>
      <w:smallCaps/>
      <w:spacing w:val="5"/>
      <w:kern w:val="0"/>
      <w:sz w:val="28"/>
    </w:rPr>
  </w:style>
  <w:style w:type="paragraph" w:customStyle="1" w:styleId="3168">
    <w:name w:val="质标4"/>
    <w:basedOn w:val="1"/>
    <w:qFormat/>
    <w:uiPriority w:val="0"/>
    <w:pPr>
      <w:widowControl/>
      <w:adjustRightInd w:val="0"/>
      <w:snapToGrid w:val="0"/>
      <w:spacing w:line="360" w:lineRule="auto"/>
      <w:ind w:firstLine="200" w:firstLineChars="200"/>
      <w:jc w:val="left"/>
    </w:pPr>
    <w:rPr>
      <w:rFonts w:ascii="楷体_GB2312" w:eastAsia="楷体_GB2312" w:cstheme="majorBidi"/>
      <w:kern w:val="0"/>
      <w:sz w:val="28"/>
    </w:rPr>
  </w:style>
  <w:style w:type="paragraph" w:customStyle="1" w:styleId="3169">
    <w:name w:val="样式 正文缩进正文缩进 Char首行缩进两字s4文本条款 + 宋体"/>
    <w:basedOn w:val="7"/>
    <w:qFormat/>
    <w:uiPriority w:val="0"/>
    <w:pPr>
      <w:widowControl/>
      <w:adjustRightInd w:val="0"/>
      <w:snapToGrid w:val="0"/>
      <w:spacing w:beforeLines="50" w:afterLines="50" w:line="360" w:lineRule="auto"/>
    </w:pPr>
    <w:rPr>
      <w:rFonts w:ascii="宋体" w:hAnsi="宋体" w:eastAsia="等线" w:cstheme="majorBidi"/>
      <w:kern w:val="0"/>
      <w:szCs w:val="22"/>
    </w:rPr>
  </w:style>
  <w:style w:type="paragraph" w:customStyle="1" w:styleId="3170">
    <w:name w:val="样式 (西文) 宋体 小四 行距: 1.5 倍行距"/>
    <w:basedOn w:val="1"/>
    <w:qFormat/>
    <w:uiPriority w:val="0"/>
    <w:pPr>
      <w:widowControl/>
      <w:spacing w:line="360" w:lineRule="auto"/>
      <w:ind w:firstLine="480" w:firstLineChars="200"/>
      <w:jc w:val="left"/>
    </w:pPr>
    <w:rPr>
      <w:rFonts w:ascii="宋体" w:hAnsi="宋体" w:cs="宋体"/>
      <w:kern w:val="0"/>
      <w:szCs w:val="20"/>
    </w:rPr>
  </w:style>
  <w:style w:type="paragraph" w:customStyle="1" w:styleId="3171">
    <w:name w:val="CM8"/>
    <w:basedOn w:val="1"/>
    <w:next w:val="1"/>
    <w:qFormat/>
    <w:uiPriority w:val="0"/>
    <w:pPr>
      <w:widowControl/>
      <w:autoSpaceDE w:val="0"/>
      <w:autoSpaceDN w:val="0"/>
      <w:adjustRightInd w:val="0"/>
      <w:spacing w:after="320" w:line="360" w:lineRule="auto"/>
      <w:ind w:firstLine="200" w:firstLineChars="200"/>
      <w:jc w:val="left"/>
    </w:pPr>
    <w:rPr>
      <w:rFonts w:ascii="TTE1CFADF8t00" w:eastAsia="TTE1CFADF8t00" w:cstheme="majorBidi"/>
      <w:kern w:val="0"/>
    </w:rPr>
  </w:style>
  <w:style w:type="paragraph" w:customStyle="1" w:styleId="3172">
    <w:name w:val="Char1 Char Char Char Char Char Char"/>
    <w:basedOn w:val="1"/>
    <w:qFormat/>
    <w:uiPriority w:val="0"/>
    <w:pPr>
      <w:widowControl/>
      <w:spacing w:line="360" w:lineRule="auto"/>
      <w:ind w:left="-48" w:firstLine="200" w:firstLineChars="200"/>
      <w:jc w:val="left"/>
    </w:pPr>
    <w:rPr>
      <w:rFonts w:cstheme="majorBidi"/>
      <w:kern w:val="0"/>
    </w:rPr>
  </w:style>
  <w:style w:type="paragraph" w:customStyle="1" w:styleId="3173">
    <w:name w:val="黄埔正文"/>
    <w:qFormat/>
    <w:uiPriority w:val="0"/>
    <w:pPr>
      <w:spacing w:beforeLines="50" w:line="440" w:lineRule="exact"/>
      <w:ind w:firstLine="480"/>
      <w:jc w:val="both"/>
    </w:pPr>
    <w:rPr>
      <w:rFonts w:ascii="宋体" w:hAnsi="Times New Roman" w:eastAsiaTheme="majorEastAsia" w:cstheme="majorBidi"/>
      <w:color w:val="000000"/>
      <w:kern w:val="2"/>
      <w:sz w:val="24"/>
      <w:szCs w:val="22"/>
      <w:lang w:val="en-US" w:eastAsia="zh-CN" w:bidi="ar-SA"/>
    </w:rPr>
  </w:style>
  <w:style w:type="paragraph" w:customStyle="1" w:styleId="3174">
    <w:name w:val="GB-段"/>
    <w:uiPriority w:val="0"/>
    <w:pPr>
      <w:widowControl w:val="0"/>
      <w:spacing w:line="360" w:lineRule="auto"/>
      <w:ind w:firstLine="200" w:firstLineChars="200"/>
      <w:jc w:val="both"/>
    </w:pPr>
    <w:rPr>
      <w:rFonts w:ascii="宋体" w:hAnsi="宋体" w:eastAsiaTheme="majorEastAsia" w:cstheme="majorBidi"/>
      <w:sz w:val="21"/>
      <w:szCs w:val="22"/>
      <w:lang w:val="en-US" w:eastAsia="zh-CN" w:bidi="ar-SA"/>
    </w:rPr>
  </w:style>
  <w:style w:type="paragraph" w:customStyle="1" w:styleId="3175">
    <w:name w:val="其他表格"/>
    <w:basedOn w:val="1"/>
    <w:qFormat/>
    <w:uiPriority w:val="0"/>
    <w:pPr>
      <w:widowControl/>
      <w:spacing w:line="360" w:lineRule="exact"/>
      <w:ind w:firstLine="630" w:firstLineChars="300"/>
      <w:jc w:val="left"/>
    </w:pPr>
    <w:rPr>
      <w:rFonts w:ascii="宋体" w:hAnsi="宋体" w:cstheme="majorBidi"/>
      <w:color w:val="FF0000"/>
      <w:kern w:val="0"/>
      <w:szCs w:val="21"/>
    </w:rPr>
  </w:style>
  <w:style w:type="paragraph" w:customStyle="1" w:styleId="3176">
    <w:name w:val="1文章"/>
    <w:basedOn w:val="1"/>
    <w:link w:val="3177"/>
    <w:qFormat/>
    <w:uiPriority w:val="99"/>
    <w:pPr>
      <w:widowControl/>
      <w:snapToGrid w:val="0"/>
      <w:spacing w:line="360" w:lineRule="auto"/>
      <w:ind w:firstLine="573" w:firstLineChars="200"/>
      <w:jc w:val="left"/>
      <w:outlineLvl w:val="4"/>
    </w:pPr>
    <w:rPr>
      <w:rFonts w:eastAsia="仿宋_GB2312" w:cstheme="majorBidi"/>
      <w:kern w:val="0"/>
      <w:sz w:val="28"/>
    </w:rPr>
  </w:style>
  <w:style w:type="character" w:customStyle="1" w:styleId="3177">
    <w:name w:val="1文章 Char"/>
    <w:link w:val="3176"/>
    <w:qFormat/>
    <w:uiPriority w:val="99"/>
    <w:rPr>
      <w:rFonts w:eastAsia="仿宋_GB2312" w:cstheme="majorBidi"/>
      <w:sz w:val="28"/>
      <w:szCs w:val="24"/>
    </w:rPr>
  </w:style>
  <w:style w:type="paragraph" w:customStyle="1" w:styleId="3178">
    <w:name w:val="样式 段落1 + 自动设置"/>
    <w:basedOn w:val="645"/>
    <w:qFormat/>
    <w:uiPriority w:val="0"/>
    <w:pPr>
      <w:widowControl/>
      <w:ind w:firstLine="420"/>
      <w:jc w:val="center"/>
      <w:textAlignment w:val="auto"/>
    </w:pPr>
    <w:rPr>
      <w:rFonts w:ascii="黑体" w:eastAsia="黑体" w:cs="宋体"/>
      <w:bCs w:val="0"/>
      <w:spacing w:val="0"/>
      <w:kern w:val="0"/>
      <w:sz w:val="20"/>
      <w:szCs w:val="21"/>
    </w:rPr>
  </w:style>
  <w:style w:type="paragraph" w:customStyle="1" w:styleId="3179">
    <w:name w:val="样式 样式 仿宋_GB2312 段前: 0.5 行 段后: 6 磅 行距: 1.5 倍行距 + 首行缩进:  2 字符 段后:...2"/>
    <w:basedOn w:val="1"/>
    <w:qFormat/>
    <w:uiPriority w:val="0"/>
    <w:pPr>
      <w:widowControl/>
      <w:adjustRightInd w:val="0"/>
      <w:snapToGrid w:val="0"/>
      <w:spacing w:afterLines="100" w:line="300" w:lineRule="auto"/>
      <w:ind w:firstLine="200" w:firstLineChars="200"/>
      <w:jc w:val="left"/>
    </w:pPr>
    <w:rPr>
      <w:rFonts w:ascii="仿宋_GB2312" w:eastAsia="仿宋_GB2312" w:cs="宋体"/>
      <w:kern w:val="0"/>
      <w:sz w:val="28"/>
      <w:szCs w:val="20"/>
    </w:rPr>
  </w:style>
  <w:style w:type="paragraph" w:customStyle="1" w:styleId="3180">
    <w:name w:val="小标题（3黑）"/>
    <w:basedOn w:val="3"/>
    <w:qFormat/>
    <w:uiPriority w:val="99"/>
    <w:pPr>
      <w:keepNext w:val="0"/>
      <w:widowControl/>
      <w:numPr>
        <w:numId w:val="0"/>
      </w:numPr>
      <w:suppressLineNumbers/>
      <w:tabs>
        <w:tab w:val="left" w:pos="1260"/>
        <w:tab w:val="clear" w:pos="0"/>
      </w:tabs>
      <w:adjustRightInd w:val="0"/>
      <w:snapToGrid w:val="0"/>
      <w:spacing w:line="500" w:lineRule="exact"/>
      <w:ind w:left="1260" w:firstLine="567"/>
      <w:contextualSpacing/>
      <w:jc w:val="left"/>
    </w:pPr>
    <w:rPr>
      <w:rFonts w:ascii="仿宋_GB2312" w:cstheme="majorBidi"/>
      <w:bCs/>
      <w:smallCaps/>
      <w:spacing w:val="5"/>
      <w:kern w:val="0"/>
      <w:sz w:val="32"/>
      <w:szCs w:val="20"/>
    </w:rPr>
  </w:style>
  <w:style w:type="paragraph" w:customStyle="1" w:styleId="3181">
    <w:name w:val="105v"/>
    <w:basedOn w:val="1"/>
    <w:qFormat/>
    <w:uiPriority w:val="99"/>
    <w:pPr>
      <w:widowControl/>
      <w:spacing w:before="100" w:beforeAutospacing="1" w:after="100" w:afterAutospacing="1" w:line="360" w:lineRule="auto"/>
      <w:ind w:firstLine="200" w:firstLineChars="200"/>
      <w:jc w:val="left"/>
    </w:pPr>
    <w:rPr>
      <w:rFonts w:ascii="宋体" w:hAnsi="宋体" w:cstheme="majorBidi"/>
      <w:kern w:val="0"/>
      <w:szCs w:val="21"/>
    </w:rPr>
  </w:style>
  <w:style w:type="paragraph" w:customStyle="1" w:styleId="3182">
    <w:name w:val="样式103"/>
    <w:basedOn w:val="5"/>
    <w:qFormat/>
    <w:uiPriority w:val="0"/>
    <w:pPr>
      <w:keepNext w:val="0"/>
      <w:keepLines w:val="0"/>
      <w:widowControl/>
      <w:numPr>
        <w:ilvl w:val="0"/>
        <w:numId w:val="0"/>
      </w:numPr>
      <w:tabs>
        <w:tab w:val="left" w:pos="1140"/>
      </w:tabs>
      <w:adjustRightInd w:val="0"/>
      <w:snapToGrid w:val="0"/>
      <w:spacing w:afterLines="50" w:line="480" w:lineRule="exact"/>
      <w:ind w:left="1140" w:hanging="420"/>
      <w:jc w:val="left"/>
    </w:pPr>
    <w:rPr>
      <w:rFonts w:ascii="黑体" w:cstheme="majorBidi"/>
      <w:b w:val="0"/>
      <w:bCs w:val="0"/>
      <w:iCs/>
      <w:smallCaps/>
      <w:spacing w:val="5"/>
      <w:kern w:val="0"/>
      <w:sz w:val="24"/>
      <w:szCs w:val="24"/>
    </w:rPr>
  </w:style>
  <w:style w:type="paragraph" w:customStyle="1" w:styleId="3183">
    <w:name w:val="标题002"/>
    <w:basedOn w:val="1"/>
    <w:semiHidden/>
    <w:qFormat/>
    <w:uiPriority w:val="0"/>
    <w:pPr>
      <w:widowControl/>
      <w:spacing w:before="160" w:line="480" w:lineRule="exact"/>
      <w:ind w:firstLine="200" w:firstLineChars="200"/>
      <w:jc w:val="left"/>
      <w:outlineLvl w:val="1"/>
    </w:pPr>
    <w:rPr>
      <w:rFonts w:cstheme="majorBidi"/>
      <w:b/>
      <w:kern w:val="0"/>
      <w:sz w:val="28"/>
      <w:szCs w:val="20"/>
    </w:rPr>
  </w:style>
  <w:style w:type="paragraph" w:customStyle="1" w:styleId="3184">
    <w:name w:val="文本框文字1"/>
    <w:qFormat/>
    <w:uiPriority w:val="0"/>
    <w:pPr>
      <w:spacing w:line="360" w:lineRule="auto"/>
      <w:jc w:val="center"/>
    </w:pPr>
    <w:rPr>
      <w:rFonts w:ascii="Times New Roman" w:hAnsi="Times New Roman" w:eastAsiaTheme="majorEastAsia" w:cstheme="majorBidi"/>
      <w:sz w:val="24"/>
      <w:szCs w:val="22"/>
      <w:lang w:val="en-US" w:eastAsia="zh-CN" w:bidi="ar-SA"/>
    </w:rPr>
  </w:style>
  <w:style w:type="paragraph" w:customStyle="1" w:styleId="3185">
    <w:name w:val="8.7表头"/>
    <w:basedOn w:val="1"/>
    <w:qFormat/>
    <w:uiPriority w:val="0"/>
    <w:pPr>
      <w:widowControl/>
      <w:spacing w:line="460" w:lineRule="exact"/>
      <w:ind w:firstLine="200" w:firstLineChars="200"/>
      <w:jc w:val="center"/>
    </w:pPr>
    <w:rPr>
      <w:rFonts w:cs="宋体"/>
      <w:b/>
      <w:bCs/>
      <w:kern w:val="0"/>
      <w:sz w:val="28"/>
      <w:szCs w:val="20"/>
    </w:rPr>
  </w:style>
  <w:style w:type="paragraph" w:customStyle="1" w:styleId="3186">
    <w:name w:val="page-current"/>
    <w:basedOn w:val="1"/>
    <w:qFormat/>
    <w:uiPriority w:val="0"/>
    <w:pPr>
      <w:widowControl/>
      <w:spacing w:before="100" w:beforeAutospacing="1" w:after="100" w:afterAutospacing="1" w:line="360" w:lineRule="auto"/>
      <w:ind w:firstLine="200" w:firstLineChars="200"/>
      <w:jc w:val="left"/>
    </w:pPr>
    <w:rPr>
      <w:rFonts w:ascii="宋体" w:cs="宋体"/>
      <w:kern w:val="0"/>
      <w:szCs w:val="21"/>
    </w:rPr>
  </w:style>
  <w:style w:type="paragraph" w:customStyle="1" w:styleId="3187">
    <w:name w:val="框图文字1"/>
    <w:basedOn w:val="1"/>
    <w:qFormat/>
    <w:uiPriority w:val="0"/>
    <w:pPr>
      <w:widowControl/>
      <w:adjustRightInd w:val="0"/>
      <w:snapToGrid w:val="0"/>
      <w:spacing w:beforeLines="25" w:line="360" w:lineRule="auto"/>
      <w:ind w:firstLine="200" w:firstLineChars="200"/>
      <w:jc w:val="center"/>
    </w:pPr>
    <w:rPr>
      <w:rFonts w:cstheme="majorBidi"/>
      <w:kern w:val="0"/>
      <w:sz w:val="18"/>
    </w:rPr>
  </w:style>
  <w:style w:type="paragraph" w:customStyle="1" w:styleId="3188">
    <w:name w:val="point"/>
    <w:basedOn w:val="1"/>
    <w:qFormat/>
    <w:uiPriority w:val="0"/>
    <w:pPr>
      <w:widowControl/>
      <w:tabs>
        <w:tab w:val="left" w:pos="840"/>
      </w:tabs>
      <w:spacing w:line="360" w:lineRule="auto"/>
      <w:ind w:left="992" w:hanging="677" w:firstLineChars="200"/>
      <w:jc w:val="left"/>
    </w:pPr>
    <w:rPr>
      <w:rFonts w:cstheme="majorBidi"/>
      <w:kern w:val="0"/>
      <w:sz w:val="28"/>
      <w:szCs w:val="20"/>
    </w:rPr>
  </w:style>
  <w:style w:type="paragraph" w:customStyle="1" w:styleId="3189">
    <w:name w:val="Lux 正文"/>
    <w:basedOn w:val="1"/>
    <w:qFormat/>
    <w:uiPriority w:val="0"/>
    <w:pPr>
      <w:widowControl/>
      <w:spacing w:before="80" w:after="80" w:line="500" w:lineRule="exact"/>
      <w:ind w:firstLine="200" w:firstLineChars="200"/>
      <w:jc w:val="left"/>
    </w:pPr>
    <w:rPr>
      <w:rFonts w:cstheme="majorBidi"/>
      <w:kern w:val="0"/>
      <w:szCs w:val="20"/>
    </w:rPr>
  </w:style>
  <w:style w:type="paragraph" w:customStyle="1" w:styleId="3190">
    <w:name w:val="样式32"/>
    <w:basedOn w:val="182"/>
    <w:qFormat/>
    <w:uiPriority w:val="0"/>
    <w:pPr>
      <w:widowControl/>
      <w:numPr>
        <w:ilvl w:val="0"/>
        <w:numId w:val="0"/>
      </w:numPr>
      <w:tabs>
        <w:tab w:val="left" w:pos="360"/>
        <w:tab w:val="left" w:pos="540"/>
      </w:tabs>
      <w:spacing w:beforeLines="50" w:afterLines="50"/>
      <w:ind w:hanging="1107" w:firstLineChars="200"/>
      <w:jc w:val="left"/>
    </w:pPr>
    <w:rPr>
      <w:rFonts w:ascii="等线" w:hAnsi="等线" w:cstheme="majorBidi"/>
      <w:b w:val="0"/>
      <w:bCs w:val="0"/>
      <w:kern w:val="0"/>
      <w:sz w:val="28"/>
      <w:szCs w:val="28"/>
    </w:rPr>
  </w:style>
  <w:style w:type="paragraph" w:customStyle="1" w:styleId="3191">
    <w:name w:val="样式 样式1 + 居中"/>
    <w:basedOn w:val="1"/>
    <w:qFormat/>
    <w:uiPriority w:val="0"/>
    <w:pPr>
      <w:widowControl/>
      <w:spacing w:line="360" w:lineRule="auto"/>
      <w:ind w:firstLine="200" w:firstLineChars="200"/>
      <w:jc w:val="center"/>
    </w:pPr>
    <w:rPr>
      <w:rFonts w:cstheme="majorBidi"/>
      <w:kern w:val="0"/>
      <w:szCs w:val="20"/>
    </w:rPr>
  </w:style>
  <w:style w:type="paragraph" w:customStyle="1" w:styleId="3192">
    <w:name w:val="样式48"/>
    <w:basedOn w:val="1"/>
    <w:qFormat/>
    <w:uiPriority w:val="0"/>
    <w:pPr>
      <w:widowControl/>
      <w:adjustRightInd w:val="0"/>
      <w:snapToGrid w:val="0"/>
      <w:spacing w:before="50" w:after="50" w:line="360" w:lineRule="auto"/>
      <w:ind w:firstLine="480" w:firstLineChars="200"/>
      <w:jc w:val="left"/>
    </w:pPr>
    <w:rPr>
      <w:rFonts w:cstheme="majorBidi"/>
      <w:color w:val="000000"/>
      <w:kern w:val="0"/>
    </w:rPr>
  </w:style>
  <w:style w:type="paragraph" w:customStyle="1" w:styleId="3193">
    <w:name w:val="样式 行距: 固定值 23 磅"/>
    <w:basedOn w:val="1"/>
    <w:qFormat/>
    <w:uiPriority w:val="0"/>
    <w:pPr>
      <w:widowControl/>
      <w:spacing w:line="360" w:lineRule="auto"/>
      <w:ind w:firstLine="2168" w:firstLineChars="900"/>
      <w:jc w:val="left"/>
    </w:pPr>
    <w:rPr>
      <w:rFonts w:cstheme="majorBidi"/>
      <w:b/>
      <w:color w:val="000000"/>
      <w:kern w:val="0"/>
    </w:rPr>
  </w:style>
  <w:style w:type="paragraph" w:customStyle="1" w:styleId="3194">
    <w:name w:val="基准页眉样式"/>
    <w:basedOn w:val="34"/>
    <w:qFormat/>
    <w:uiPriority w:val="0"/>
    <w:pPr>
      <w:keepLines/>
      <w:widowControl/>
      <w:tabs>
        <w:tab w:val="center" w:pos="-18551"/>
        <w:tab w:val="right" w:pos="4320"/>
      </w:tabs>
      <w:spacing w:line="240" w:lineRule="atLeast"/>
      <w:ind w:firstLine="200" w:firstLineChars="200"/>
      <w:jc w:val="center"/>
    </w:pPr>
    <w:rPr>
      <w:rFonts w:ascii="Garamond" w:hAnsi="Garamond" w:cstheme="majorBidi"/>
      <w:smallCaps/>
      <w:spacing w:val="15"/>
      <w:kern w:val="0"/>
      <w:sz w:val="24"/>
      <w:szCs w:val="20"/>
    </w:rPr>
  </w:style>
  <w:style w:type="paragraph" w:customStyle="1" w:styleId="3195">
    <w:name w:val="表格文字（韶关规划）"/>
    <w:basedOn w:val="1"/>
    <w:qFormat/>
    <w:uiPriority w:val="0"/>
    <w:pPr>
      <w:widowControl/>
      <w:tabs>
        <w:tab w:val="left" w:pos="7996"/>
      </w:tabs>
      <w:autoSpaceDE w:val="0"/>
      <w:autoSpaceDN w:val="0"/>
      <w:adjustRightInd w:val="0"/>
      <w:snapToGrid w:val="0"/>
      <w:spacing w:line="264" w:lineRule="auto"/>
      <w:ind w:firstLine="200" w:firstLineChars="200"/>
      <w:jc w:val="center"/>
    </w:pPr>
    <w:rPr>
      <w:rFonts w:cstheme="majorBidi"/>
      <w:bCs/>
      <w:kern w:val="0"/>
      <w:szCs w:val="21"/>
      <w:lang w:val="zh-CN"/>
    </w:rPr>
  </w:style>
  <w:style w:type="paragraph" w:customStyle="1" w:styleId="3196">
    <w:name w:val="样式 正文缩进正文（首行缩进两字）正文（首行缩进两字） Char Char Char Char Char Char Char..."/>
    <w:basedOn w:val="7"/>
    <w:qFormat/>
    <w:uiPriority w:val="0"/>
    <w:pPr>
      <w:widowControl/>
      <w:spacing w:line="312" w:lineRule="auto"/>
      <w:ind w:firstLine="539"/>
    </w:pPr>
    <w:rPr>
      <w:rFonts w:ascii="Calibri" w:hAnsi="Calibri" w:cstheme="majorBidi"/>
      <w:kern w:val="0"/>
      <w:sz w:val="28"/>
      <w:szCs w:val="20"/>
    </w:rPr>
  </w:style>
  <w:style w:type="paragraph" w:customStyle="1" w:styleId="3197">
    <w:name w:val="Char Char Char Char22"/>
    <w:basedOn w:val="1"/>
    <w:qFormat/>
    <w:uiPriority w:val="99"/>
    <w:pPr>
      <w:widowControl/>
      <w:spacing w:line="360" w:lineRule="auto"/>
      <w:ind w:firstLine="200" w:firstLineChars="200"/>
      <w:jc w:val="left"/>
    </w:pPr>
    <w:rPr>
      <w:rFonts w:ascii="宋体" w:hAnsi="宋体" w:cs="宋体"/>
      <w:kern w:val="0"/>
    </w:rPr>
  </w:style>
  <w:style w:type="paragraph" w:customStyle="1" w:styleId="3198">
    <w:name w:val="Char Char Char Char31"/>
    <w:basedOn w:val="1"/>
    <w:qFormat/>
    <w:uiPriority w:val="99"/>
    <w:pPr>
      <w:widowControl/>
      <w:snapToGrid w:val="0"/>
      <w:spacing w:line="360" w:lineRule="auto"/>
      <w:ind w:firstLine="200" w:firstLineChars="200"/>
      <w:jc w:val="left"/>
    </w:pPr>
    <w:rPr>
      <w:rFonts w:eastAsia="仿宋_GB2312" w:cstheme="majorBidi"/>
      <w:kern w:val="0"/>
    </w:rPr>
  </w:style>
  <w:style w:type="paragraph" w:customStyle="1" w:styleId="3199">
    <w:name w:val="_Style 176"/>
    <w:qFormat/>
    <w:uiPriority w:val="99"/>
    <w:pPr>
      <w:spacing w:line="360" w:lineRule="auto"/>
    </w:pPr>
    <w:rPr>
      <w:rFonts w:ascii="等线" w:hAnsi="等线" w:eastAsia="等线" w:cstheme="majorBidi"/>
      <w:kern w:val="2"/>
      <w:sz w:val="21"/>
      <w:szCs w:val="22"/>
      <w:lang w:val="en-US" w:eastAsia="zh-CN" w:bidi="ar-SA"/>
    </w:rPr>
  </w:style>
  <w:style w:type="paragraph" w:customStyle="1" w:styleId="3200">
    <w:name w:val="Char Char Char Char Char Char1 Char1"/>
    <w:basedOn w:val="1"/>
    <w:qFormat/>
    <w:uiPriority w:val="0"/>
    <w:pPr>
      <w:widowControl/>
      <w:spacing w:after="160" w:line="240" w:lineRule="exact"/>
      <w:ind w:firstLine="200" w:firstLineChars="200"/>
      <w:jc w:val="left"/>
    </w:pPr>
    <w:rPr>
      <w:rFonts w:ascii="Arial" w:hAnsi="Arial" w:eastAsia="Times New Roman" w:cs="Verdana"/>
      <w:b/>
      <w:kern w:val="0"/>
      <w:szCs w:val="20"/>
      <w:lang w:eastAsia="en-US"/>
    </w:rPr>
  </w:style>
  <w:style w:type="paragraph" w:customStyle="1" w:styleId="3201">
    <w:name w:val="样式127"/>
    <w:basedOn w:val="2664"/>
    <w:link w:val="3202"/>
    <w:qFormat/>
    <w:uiPriority w:val="0"/>
    <w:pPr>
      <w:spacing w:before="120" w:after="120"/>
    </w:pPr>
    <w:rPr>
      <w:color w:val="0000FF"/>
      <w:u w:val="single"/>
    </w:rPr>
  </w:style>
  <w:style w:type="character" w:customStyle="1" w:styleId="3202">
    <w:name w:val="样式127 Char"/>
    <w:link w:val="3201"/>
    <w:qFormat/>
    <w:uiPriority w:val="0"/>
    <w:rPr>
      <w:rFonts w:cstheme="majorBidi"/>
      <w:color w:val="0000FF"/>
      <w:sz w:val="24"/>
      <w:szCs w:val="24"/>
      <w:u w:val="single"/>
    </w:rPr>
  </w:style>
  <w:style w:type="paragraph" w:customStyle="1" w:styleId="3203">
    <w:name w:val="二号标题样式 Char Char Char Char Char"/>
    <w:basedOn w:val="1"/>
    <w:link w:val="3204"/>
    <w:qFormat/>
    <w:uiPriority w:val="0"/>
    <w:pPr>
      <w:keepNext/>
      <w:keepLines/>
      <w:widowControl/>
      <w:spacing w:beforeLines="50" w:afterLines="50" w:line="520" w:lineRule="exact"/>
      <w:ind w:firstLine="200" w:firstLineChars="200"/>
      <w:jc w:val="left"/>
      <w:outlineLvl w:val="2"/>
    </w:pPr>
    <w:rPr>
      <w:rFonts w:ascii="Arial" w:hAnsi="Arial" w:eastAsia="黑体" w:cs="宋体"/>
      <w:kern w:val="0"/>
      <w:sz w:val="28"/>
      <w:szCs w:val="20"/>
    </w:rPr>
  </w:style>
  <w:style w:type="character" w:customStyle="1" w:styleId="3204">
    <w:name w:val="二号标题样式 Char Char Char Char Char Char"/>
    <w:link w:val="3203"/>
    <w:qFormat/>
    <w:uiPriority w:val="0"/>
    <w:rPr>
      <w:rFonts w:ascii="Arial" w:hAnsi="Arial" w:eastAsia="黑体" w:cs="宋体"/>
      <w:sz w:val="28"/>
    </w:rPr>
  </w:style>
  <w:style w:type="paragraph" w:customStyle="1" w:styleId="3205">
    <w:name w:val="表格文字 Char Char Char Char"/>
    <w:basedOn w:val="1"/>
    <w:link w:val="3206"/>
    <w:qFormat/>
    <w:uiPriority w:val="0"/>
    <w:pPr>
      <w:widowControl/>
      <w:spacing w:line="360" w:lineRule="exact"/>
      <w:ind w:firstLine="200" w:firstLineChars="200"/>
      <w:jc w:val="center"/>
    </w:pPr>
    <w:rPr>
      <w:rFonts w:cstheme="majorBidi"/>
      <w:kern w:val="0"/>
      <w:sz w:val="20"/>
      <w:szCs w:val="20"/>
    </w:rPr>
  </w:style>
  <w:style w:type="character" w:customStyle="1" w:styleId="3206">
    <w:name w:val="表格文字 Char Char Char Char Char"/>
    <w:link w:val="3205"/>
    <w:qFormat/>
    <w:uiPriority w:val="0"/>
    <w:rPr>
      <w:rFonts w:cstheme="majorBidi"/>
    </w:rPr>
  </w:style>
  <w:style w:type="paragraph" w:customStyle="1" w:styleId="3207">
    <w:name w:val="cucd-0"/>
    <w:link w:val="3208"/>
    <w:qFormat/>
    <w:uiPriority w:val="0"/>
    <w:pPr>
      <w:spacing w:line="360" w:lineRule="auto"/>
      <w:ind w:firstLine="480" w:firstLineChars="200"/>
    </w:pPr>
    <w:rPr>
      <w:rFonts w:asciiTheme="majorHAnsi" w:hAnsiTheme="majorHAnsi" w:eastAsiaTheme="majorEastAsia" w:cstheme="majorBidi"/>
      <w:kern w:val="2"/>
      <w:sz w:val="24"/>
      <w:szCs w:val="24"/>
      <w:lang w:val="en-US" w:eastAsia="zh-CN" w:bidi="ar-SA"/>
    </w:rPr>
  </w:style>
  <w:style w:type="character" w:customStyle="1" w:styleId="3208">
    <w:name w:val="cucd-0 Char"/>
    <w:link w:val="3207"/>
    <w:qFormat/>
    <w:uiPriority w:val="0"/>
    <w:rPr>
      <w:rFonts w:asciiTheme="majorHAnsi" w:hAnsiTheme="majorHAnsi" w:eastAsiaTheme="majorEastAsia" w:cstheme="majorBidi"/>
      <w:kern w:val="2"/>
      <w:sz w:val="24"/>
      <w:szCs w:val="24"/>
    </w:rPr>
  </w:style>
  <w:style w:type="paragraph" w:customStyle="1" w:styleId="3209">
    <w:name w:val="CUCD-0"/>
    <w:basedOn w:val="1"/>
    <w:qFormat/>
    <w:uiPriority w:val="0"/>
    <w:pPr>
      <w:widowControl/>
      <w:spacing w:line="360" w:lineRule="auto"/>
      <w:ind w:firstLine="200" w:firstLineChars="200"/>
      <w:jc w:val="left"/>
    </w:pPr>
    <w:rPr>
      <w:rFonts w:ascii="Arial" w:hAnsi="Arial" w:cstheme="majorBidi"/>
      <w:kern w:val="0"/>
      <w:szCs w:val="22"/>
    </w:rPr>
  </w:style>
  <w:style w:type="paragraph" w:customStyle="1" w:styleId="3210">
    <w:name w:val="8 Char"/>
    <w:basedOn w:val="1"/>
    <w:qFormat/>
    <w:uiPriority w:val="0"/>
    <w:pPr>
      <w:widowControl/>
      <w:spacing w:line="360" w:lineRule="auto"/>
      <w:ind w:firstLine="480" w:firstLineChars="200"/>
      <w:jc w:val="left"/>
    </w:pPr>
    <w:rPr>
      <w:rFonts w:cstheme="majorBidi"/>
      <w:kern w:val="10"/>
      <w:szCs w:val="20"/>
    </w:rPr>
  </w:style>
  <w:style w:type="paragraph" w:customStyle="1" w:styleId="3211">
    <w:name w:val="样式1 Char Char Char Char"/>
    <w:basedOn w:val="80"/>
    <w:link w:val="3212"/>
    <w:qFormat/>
    <w:uiPriority w:val="0"/>
    <w:pPr>
      <w:widowControl w:val="0"/>
      <w:tabs>
        <w:tab w:val="left" w:pos="425"/>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adjustRightInd w:val="0"/>
      <w:spacing w:line="312" w:lineRule="atLeast"/>
      <w:ind w:firstLine="200" w:firstLineChars="200"/>
      <w:jc w:val="both"/>
      <w:textAlignment w:val="baseline"/>
    </w:pPr>
    <w:rPr>
      <w:rFonts w:cs="Times New Roman"/>
    </w:rPr>
  </w:style>
  <w:style w:type="character" w:customStyle="1" w:styleId="3212">
    <w:name w:val="样式1 Char Char Char Char Char"/>
    <w:link w:val="3211"/>
    <w:qFormat/>
    <w:uiPriority w:val="0"/>
    <w:rPr>
      <w:rFonts w:ascii="宋体" w:hAnsi="宋体"/>
      <w:sz w:val="24"/>
      <w:szCs w:val="24"/>
    </w:rPr>
  </w:style>
  <w:style w:type="paragraph" w:customStyle="1" w:styleId="3213">
    <w:name w:val="一级序号"/>
    <w:basedOn w:val="86"/>
    <w:link w:val="3214"/>
    <w:qFormat/>
    <w:uiPriority w:val="0"/>
    <w:pPr>
      <w:widowControl/>
      <w:tabs>
        <w:tab w:val="left" w:pos="425"/>
      </w:tabs>
      <w:adjustRightInd/>
      <w:snapToGrid/>
      <w:spacing w:line="360" w:lineRule="auto"/>
      <w:ind w:left="436" w:firstLine="560" w:firstLineChars="0"/>
      <w:jc w:val="left"/>
    </w:pPr>
    <w:rPr>
      <w:rFonts w:ascii="宋体" w:hAnsi="宋体" w:cstheme="majorBidi"/>
      <w:spacing w:val="20"/>
      <w:kern w:val="0"/>
      <w:sz w:val="24"/>
      <w:lang w:bidi="he-IL"/>
    </w:rPr>
  </w:style>
  <w:style w:type="character" w:customStyle="1" w:styleId="3214">
    <w:name w:val="一级序号 Char"/>
    <w:link w:val="3213"/>
    <w:qFormat/>
    <w:uiPriority w:val="0"/>
    <w:rPr>
      <w:rFonts w:ascii="宋体" w:hAnsi="宋体" w:cstheme="majorBidi"/>
      <w:spacing w:val="20"/>
      <w:sz w:val="24"/>
      <w:szCs w:val="24"/>
      <w:lang w:bidi="he-IL"/>
    </w:rPr>
  </w:style>
  <w:style w:type="paragraph" w:customStyle="1" w:styleId="3215">
    <w:name w:val="二级 序号"/>
    <w:basedOn w:val="1"/>
    <w:link w:val="3216"/>
    <w:qFormat/>
    <w:uiPriority w:val="0"/>
    <w:pPr>
      <w:widowControl/>
      <w:tabs>
        <w:tab w:val="left" w:pos="425"/>
      </w:tabs>
      <w:spacing w:line="360" w:lineRule="auto"/>
      <w:ind w:left="425" w:firstLine="560" w:firstLineChars="200"/>
      <w:jc w:val="left"/>
    </w:pPr>
    <w:rPr>
      <w:rFonts w:cstheme="majorBidi"/>
      <w:spacing w:val="20"/>
      <w:kern w:val="0"/>
    </w:rPr>
  </w:style>
  <w:style w:type="character" w:customStyle="1" w:styleId="3216">
    <w:name w:val="二级 序号 Char"/>
    <w:link w:val="3215"/>
    <w:qFormat/>
    <w:uiPriority w:val="0"/>
    <w:rPr>
      <w:rFonts w:cstheme="majorBidi"/>
      <w:spacing w:val="20"/>
      <w:sz w:val="24"/>
      <w:szCs w:val="24"/>
    </w:rPr>
  </w:style>
  <w:style w:type="paragraph" w:customStyle="1" w:styleId="3217">
    <w:name w:val="cucd-2"/>
    <w:next w:val="3218"/>
    <w:link w:val="3220"/>
    <w:qFormat/>
    <w:uiPriority w:val="0"/>
    <w:pPr>
      <w:tabs>
        <w:tab w:val="left" w:pos="567"/>
      </w:tabs>
      <w:spacing w:line="360" w:lineRule="auto"/>
      <w:ind w:left="567" w:hanging="567"/>
      <w:outlineLvl w:val="1"/>
    </w:pPr>
    <w:rPr>
      <w:rFonts w:eastAsia="黑体" w:asciiTheme="majorHAnsi" w:hAnsiTheme="majorHAnsi" w:cstheme="majorBidi"/>
      <w:b/>
      <w:sz w:val="30"/>
      <w:szCs w:val="24"/>
      <w:lang w:val="en-US" w:eastAsia="zh-CN" w:bidi="ar-SA"/>
    </w:rPr>
  </w:style>
  <w:style w:type="paragraph" w:customStyle="1" w:styleId="3218">
    <w:name w:val="cucd-3"/>
    <w:next w:val="3219"/>
    <w:link w:val="3221"/>
    <w:qFormat/>
    <w:uiPriority w:val="0"/>
    <w:pPr>
      <w:spacing w:line="360" w:lineRule="auto"/>
      <w:outlineLvl w:val="3"/>
    </w:pPr>
    <w:rPr>
      <w:rFonts w:ascii="黑体" w:hAnsi="黑体" w:eastAsia="黑体" w:cstheme="majorBidi"/>
      <w:kern w:val="2"/>
      <w:sz w:val="24"/>
      <w:szCs w:val="24"/>
      <w:lang w:val="en-US" w:eastAsia="zh-CN" w:bidi="ar-SA"/>
    </w:rPr>
  </w:style>
  <w:style w:type="paragraph" w:customStyle="1" w:styleId="3219">
    <w:name w:val="cucd-4"/>
    <w:next w:val="3207"/>
    <w:link w:val="3222"/>
    <w:qFormat/>
    <w:uiPriority w:val="0"/>
    <w:pPr>
      <w:adjustRightInd w:val="0"/>
      <w:snapToGrid w:val="0"/>
      <w:spacing w:line="360" w:lineRule="auto"/>
      <w:outlineLvl w:val="3"/>
    </w:pPr>
    <w:rPr>
      <w:rFonts w:ascii="黑体" w:hAnsi="黑体" w:eastAsia="黑体" w:cstheme="majorBidi"/>
      <w:kern w:val="2"/>
      <w:sz w:val="24"/>
      <w:szCs w:val="24"/>
      <w:lang w:val="en-US" w:eastAsia="zh-CN" w:bidi="ar-SA"/>
    </w:rPr>
  </w:style>
  <w:style w:type="character" w:customStyle="1" w:styleId="3220">
    <w:name w:val="cucd-2 Char1"/>
    <w:link w:val="3217"/>
    <w:qFormat/>
    <w:uiPriority w:val="0"/>
    <w:rPr>
      <w:rFonts w:eastAsia="黑体" w:asciiTheme="majorHAnsi" w:hAnsiTheme="majorHAnsi" w:cstheme="majorBidi"/>
      <w:b/>
      <w:sz w:val="30"/>
      <w:szCs w:val="24"/>
    </w:rPr>
  </w:style>
  <w:style w:type="character" w:customStyle="1" w:styleId="3221">
    <w:name w:val="cucd-3 Char1"/>
    <w:link w:val="3218"/>
    <w:qFormat/>
    <w:uiPriority w:val="0"/>
    <w:rPr>
      <w:rFonts w:ascii="黑体" w:hAnsi="黑体" w:eastAsia="黑体" w:cstheme="majorBidi"/>
      <w:kern w:val="2"/>
      <w:sz w:val="24"/>
      <w:szCs w:val="24"/>
    </w:rPr>
  </w:style>
  <w:style w:type="character" w:customStyle="1" w:styleId="3222">
    <w:name w:val="cucd-4 Char"/>
    <w:link w:val="3219"/>
    <w:qFormat/>
    <w:uiPriority w:val="0"/>
    <w:rPr>
      <w:rFonts w:ascii="黑体" w:hAnsi="黑体" w:eastAsia="黑体" w:cstheme="majorBidi"/>
      <w:kern w:val="2"/>
      <w:sz w:val="24"/>
      <w:szCs w:val="24"/>
    </w:rPr>
  </w:style>
  <w:style w:type="paragraph" w:customStyle="1" w:styleId="3223">
    <w:name w:val="电子邮件签名1"/>
    <w:basedOn w:val="1"/>
    <w:next w:val="1"/>
    <w:link w:val="3224"/>
    <w:qFormat/>
    <w:uiPriority w:val="0"/>
    <w:pPr>
      <w:widowControl/>
      <w:spacing w:beforeLines="50" w:afterLines="50" w:line="360" w:lineRule="auto"/>
      <w:ind w:firstLine="200" w:firstLineChars="200"/>
      <w:jc w:val="left"/>
    </w:pPr>
    <w:rPr>
      <w:rFonts w:cstheme="majorBidi"/>
      <w:kern w:val="0"/>
    </w:rPr>
  </w:style>
  <w:style w:type="character" w:customStyle="1" w:styleId="3224">
    <w:name w:val="电子邮件签名 Char"/>
    <w:link w:val="3223"/>
    <w:qFormat/>
    <w:uiPriority w:val="0"/>
    <w:rPr>
      <w:rFonts w:cstheme="majorBidi"/>
      <w:sz w:val="24"/>
      <w:szCs w:val="24"/>
    </w:rPr>
  </w:style>
  <w:style w:type="paragraph" w:customStyle="1" w:styleId="3225">
    <w:name w:val="新正文"/>
    <w:basedOn w:val="1"/>
    <w:link w:val="3226"/>
    <w:qFormat/>
    <w:uiPriority w:val="0"/>
    <w:pPr>
      <w:widowControl/>
      <w:spacing w:line="480" w:lineRule="exact"/>
      <w:ind w:firstLine="482" w:firstLineChars="200"/>
      <w:jc w:val="left"/>
    </w:pPr>
    <w:rPr>
      <w:rFonts w:ascii="仿宋_GB2312" w:eastAsia="仿宋_GB2312" w:cstheme="majorBidi"/>
      <w:bCs/>
      <w:kern w:val="0"/>
      <w:sz w:val="28"/>
      <w:szCs w:val="20"/>
    </w:rPr>
  </w:style>
  <w:style w:type="character" w:customStyle="1" w:styleId="3226">
    <w:name w:val="新正文 Char"/>
    <w:link w:val="3225"/>
    <w:qFormat/>
    <w:uiPriority w:val="0"/>
    <w:rPr>
      <w:rFonts w:ascii="仿宋_GB2312" w:eastAsia="仿宋_GB2312" w:cstheme="majorBidi"/>
      <w:bCs/>
      <w:sz w:val="28"/>
    </w:rPr>
  </w:style>
  <w:style w:type="paragraph" w:customStyle="1" w:styleId="3227">
    <w:name w:val="样式93"/>
    <w:basedOn w:val="1"/>
    <w:link w:val="3228"/>
    <w:qFormat/>
    <w:uiPriority w:val="0"/>
    <w:pPr>
      <w:widowControl/>
      <w:spacing w:line="520" w:lineRule="exact"/>
      <w:ind w:firstLine="200" w:firstLineChars="200"/>
      <w:jc w:val="left"/>
    </w:pPr>
    <w:rPr>
      <w:rFonts w:ascii="宋体" w:hAnsi="宋体" w:eastAsia="仿宋_GB2312" w:cstheme="majorBidi"/>
      <w:kern w:val="11"/>
      <w:szCs w:val="20"/>
    </w:rPr>
  </w:style>
  <w:style w:type="character" w:customStyle="1" w:styleId="3228">
    <w:name w:val="样式93 Char"/>
    <w:link w:val="3227"/>
    <w:qFormat/>
    <w:uiPriority w:val="0"/>
    <w:rPr>
      <w:rFonts w:ascii="宋体" w:hAnsi="宋体" w:eastAsia="仿宋_GB2312" w:cstheme="majorBidi"/>
      <w:kern w:val="11"/>
      <w:sz w:val="24"/>
    </w:rPr>
  </w:style>
  <w:style w:type="paragraph" w:customStyle="1" w:styleId="3229">
    <w:name w:val="表格名称1"/>
    <w:basedOn w:val="1"/>
    <w:link w:val="3230"/>
    <w:qFormat/>
    <w:uiPriority w:val="0"/>
    <w:pPr>
      <w:widowControl/>
      <w:spacing w:line="500" w:lineRule="exact"/>
      <w:ind w:firstLine="482" w:firstLineChars="200"/>
      <w:jc w:val="center"/>
    </w:pPr>
    <w:rPr>
      <w:rFonts w:cstheme="majorBidi"/>
      <w:b/>
      <w:kern w:val="0"/>
      <w:u w:val="single"/>
    </w:rPr>
  </w:style>
  <w:style w:type="character" w:customStyle="1" w:styleId="3230">
    <w:name w:val="表格名称1 Char"/>
    <w:link w:val="3229"/>
    <w:qFormat/>
    <w:uiPriority w:val="0"/>
    <w:rPr>
      <w:rFonts w:cstheme="majorBidi"/>
      <w:b/>
      <w:sz w:val="24"/>
      <w:szCs w:val="24"/>
      <w:u w:val="single"/>
    </w:rPr>
  </w:style>
  <w:style w:type="paragraph" w:customStyle="1" w:styleId="3231">
    <w:name w:val="8说明(治)"/>
    <w:basedOn w:val="1"/>
    <w:next w:val="1"/>
    <w:link w:val="3232"/>
    <w:qFormat/>
    <w:uiPriority w:val="0"/>
    <w:pPr>
      <w:widowControl/>
      <w:spacing w:line="360" w:lineRule="auto"/>
      <w:ind w:firstLine="435" w:firstLineChars="200"/>
      <w:jc w:val="left"/>
    </w:pPr>
    <w:rPr>
      <w:rFonts w:eastAsia="仿宋_GB2312" w:cstheme="majorBidi"/>
      <w:kern w:val="0"/>
      <w:sz w:val="20"/>
    </w:rPr>
  </w:style>
  <w:style w:type="character" w:customStyle="1" w:styleId="3232">
    <w:name w:val="8说明(治) Char"/>
    <w:link w:val="3231"/>
    <w:qFormat/>
    <w:uiPriority w:val="0"/>
    <w:rPr>
      <w:rFonts w:eastAsia="仿宋_GB2312" w:cstheme="majorBidi"/>
      <w:szCs w:val="24"/>
    </w:rPr>
  </w:style>
  <w:style w:type="paragraph" w:customStyle="1" w:styleId="3233">
    <w:name w:val="易三级标题"/>
    <w:basedOn w:val="1"/>
    <w:link w:val="3234"/>
    <w:qFormat/>
    <w:uiPriority w:val="0"/>
    <w:pPr>
      <w:keepNext/>
      <w:keepLines/>
      <w:widowControl/>
      <w:spacing w:beforeLines="50" w:afterLines="50" w:line="360" w:lineRule="auto"/>
      <w:ind w:firstLine="200" w:firstLineChars="200"/>
      <w:jc w:val="left"/>
      <w:outlineLvl w:val="2"/>
    </w:pPr>
    <w:rPr>
      <w:rFonts w:eastAsia="黑体" w:cstheme="majorBidi"/>
      <w:bCs/>
      <w:kern w:val="0"/>
      <w:sz w:val="28"/>
      <w:szCs w:val="28"/>
    </w:rPr>
  </w:style>
  <w:style w:type="character" w:customStyle="1" w:styleId="3234">
    <w:name w:val="易三级标题 Char"/>
    <w:link w:val="3233"/>
    <w:qFormat/>
    <w:uiPriority w:val="0"/>
    <w:rPr>
      <w:rFonts w:eastAsia="黑体" w:cstheme="majorBidi"/>
      <w:bCs/>
      <w:sz w:val="28"/>
      <w:szCs w:val="28"/>
    </w:rPr>
  </w:style>
  <w:style w:type="paragraph" w:customStyle="1" w:styleId="3235">
    <w:name w:val="签名1"/>
    <w:basedOn w:val="1"/>
    <w:next w:val="1"/>
    <w:link w:val="3236"/>
    <w:qFormat/>
    <w:uiPriority w:val="0"/>
    <w:pPr>
      <w:widowControl/>
      <w:spacing w:beforeLines="50" w:afterLines="50" w:line="360" w:lineRule="auto"/>
      <w:ind w:left="100" w:leftChars="2100" w:firstLine="200" w:firstLineChars="200"/>
      <w:jc w:val="left"/>
    </w:pPr>
    <w:rPr>
      <w:rFonts w:cstheme="majorBidi"/>
      <w:kern w:val="0"/>
    </w:rPr>
  </w:style>
  <w:style w:type="character" w:customStyle="1" w:styleId="3236">
    <w:name w:val="签名 Char"/>
    <w:link w:val="3235"/>
    <w:qFormat/>
    <w:uiPriority w:val="0"/>
    <w:rPr>
      <w:rFonts w:cstheme="majorBidi"/>
      <w:sz w:val="24"/>
      <w:szCs w:val="24"/>
    </w:rPr>
  </w:style>
  <w:style w:type="paragraph" w:customStyle="1" w:styleId="3237">
    <w:name w:val="cucd-1"/>
    <w:next w:val="3217"/>
    <w:link w:val="3238"/>
    <w:qFormat/>
    <w:uiPriority w:val="0"/>
    <w:pPr>
      <w:pageBreakBefore/>
      <w:tabs>
        <w:tab w:val="left" w:pos="425"/>
      </w:tabs>
      <w:spacing w:beforeLines="100" w:afterLines="50" w:line="360" w:lineRule="auto"/>
      <w:ind w:left="425" w:hanging="425"/>
      <w:jc w:val="center"/>
      <w:outlineLvl w:val="0"/>
    </w:pPr>
    <w:rPr>
      <w:rFonts w:eastAsia="黑体" w:asciiTheme="majorHAnsi" w:hAnsiTheme="majorHAnsi" w:cstheme="majorBidi"/>
      <w:b/>
      <w:sz w:val="36"/>
      <w:szCs w:val="24"/>
      <w:lang w:val="en-US" w:eastAsia="zh-CN" w:bidi="ar-SA"/>
    </w:rPr>
  </w:style>
  <w:style w:type="character" w:customStyle="1" w:styleId="3238">
    <w:name w:val="cucd-1 Char"/>
    <w:link w:val="3237"/>
    <w:qFormat/>
    <w:uiPriority w:val="0"/>
    <w:rPr>
      <w:rFonts w:eastAsia="黑体" w:asciiTheme="majorHAnsi" w:hAnsiTheme="majorHAnsi" w:cstheme="majorBidi"/>
      <w:b/>
      <w:sz w:val="36"/>
      <w:szCs w:val="24"/>
    </w:rPr>
  </w:style>
  <w:style w:type="paragraph" w:customStyle="1" w:styleId="3239">
    <w:name w:val="样式 表格文字 Char + 段前: 0.5 行"/>
    <w:basedOn w:val="1"/>
    <w:link w:val="3240"/>
    <w:qFormat/>
    <w:uiPriority w:val="0"/>
    <w:pPr>
      <w:widowControl/>
      <w:spacing w:beforeLines="50" w:line="360" w:lineRule="auto"/>
      <w:ind w:firstLine="200" w:firstLineChars="200"/>
      <w:jc w:val="center"/>
    </w:pPr>
    <w:rPr>
      <w:rFonts w:cs="宋体"/>
      <w:kern w:val="0"/>
      <w:szCs w:val="20"/>
    </w:rPr>
  </w:style>
  <w:style w:type="character" w:customStyle="1" w:styleId="3240">
    <w:name w:val="样式 表格文字 Char + 段前: 0.5 行 Char"/>
    <w:link w:val="3239"/>
    <w:qFormat/>
    <w:uiPriority w:val="0"/>
    <w:rPr>
      <w:rFonts w:cs="宋体"/>
      <w:sz w:val="24"/>
    </w:rPr>
  </w:style>
  <w:style w:type="paragraph" w:customStyle="1" w:styleId="3241">
    <w:name w:val="HTML 地址1"/>
    <w:basedOn w:val="1"/>
    <w:next w:val="1"/>
    <w:link w:val="3242"/>
    <w:qFormat/>
    <w:uiPriority w:val="0"/>
    <w:pPr>
      <w:widowControl/>
      <w:spacing w:beforeLines="50" w:afterLines="50" w:line="360" w:lineRule="auto"/>
      <w:ind w:firstLine="200" w:firstLineChars="200"/>
      <w:jc w:val="left"/>
    </w:pPr>
    <w:rPr>
      <w:rFonts w:cstheme="majorBidi"/>
      <w:i/>
      <w:iCs/>
      <w:kern w:val="0"/>
    </w:rPr>
  </w:style>
  <w:style w:type="character" w:customStyle="1" w:styleId="3242">
    <w:name w:val="HTML 地址 Char"/>
    <w:link w:val="3241"/>
    <w:qFormat/>
    <w:uiPriority w:val="0"/>
    <w:rPr>
      <w:rFonts w:cstheme="majorBidi"/>
      <w:i/>
      <w:iCs/>
      <w:sz w:val="24"/>
      <w:szCs w:val="24"/>
    </w:rPr>
  </w:style>
  <w:style w:type="paragraph" w:customStyle="1" w:styleId="3243">
    <w:name w:val="样式 标题 3 + 首行缩进:  2 字符"/>
    <w:basedOn w:val="5"/>
    <w:qFormat/>
    <w:uiPriority w:val="0"/>
    <w:pPr>
      <w:keepNext w:val="0"/>
      <w:keepLines w:val="0"/>
      <w:widowControl/>
      <w:numPr>
        <w:ilvl w:val="0"/>
        <w:numId w:val="0"/>
      </w:numPr>
      <w:tabs>
        <w:tab w:val="left" w:pos="952"/>
      </w:tabs>
      <w:adjustRightInd w:val="0"/>
      <w:snapToGrid w:val="0"/>
      <w:spacing w:line="300" w:lineRule="auto"/>
      <w:ind w:left="952" w:hanging="680"/>
      <w:jc w:val="left"/>
    </w:pPr>
    <w:rPr>
      <w:rFonts w:ascii="Cambria" w:hAnsi="Cambria" w:cs="宋体"/>
      <w:bCs w:val="0"/>
      <w:iCs/>
      <w:smallCaps/>
      <w:spacing w:val="5"/>
      <w:kern w:val="0"/>
      <w:sz w:val="28"/>
      <w:szCs w:val="20"/>
    </w:rPr>
  </w:style>
  <w:style w:type="paragraph" w:customStyle="1" w:styleId="3244">
    <w:name w:val="正文标准格式1"/>
    <w:basedOn w:val="1"/>
    <w:link w:val="3245"/>
    <w:qFormat/>
    <w:uiPriority w:val="0"/>
    <w:pPr>
      <w:widowControl/>
      <w:spacing w:line="360" w:lineRule="auto"/>
      <w:ind w:firstLine="600" w:firstLineChars="200"/>
      <w:jc w:val="left"/>
    </w:pPr>
    <w:rPr>
      <w:rFonts w:ascii="仿宋_GB2312" w:hAnsi="宋体" w:eastAsia="仿宋_GB2312" w:cstheme="majorBidi"/>
      <w:kern w:val="0"/>
      <w:sz w:val="30"/>
    </w:rPr>
  </w:style>
  <w:style w:type="character" w:customStyle="1" w:styleId="3245">
    <w:name w:val="正文标准格式1 Char"/>
    <w:link w:val="3244"/>
    <w:qFormat/>
    <w:uiPriority w:val="0"/>
    <w:rPr>
      <w:rFonts w:ascii="仿宋_GB2312" w:hAnsi="宋体" w:eastAsia="仿宋_GB2312" w:cstheme="majorBidi"/>
      <w:sz w:val="30"/>
      <w:szCs w:val="24"/>
    </w:rPr>
  </w:style>
  <w:style w:type="paragraph" w:customStyle="1" w:styleId="3246">
    <w:name w:val="自动编号"/>
    <w:next w:val="1"/>
    <w:link w:val="3247"/>
    <w:qFormat/>
    <w:uiPriority w:val="0"/>
    <w:pPr>
      <w:tabs>
        <w:tab w:val="left" w:pos="-480"/>
      </w:tabs>
      <w:spacing w:line="360" w:lineRule="auto"/>
      <w:ind w:left="360" w:hanging="360"/>
    </w:pPr>
    <w:rPr>
      <w:rFonts w:ascii="宋体" w:hAnsi="宋体" w:eastAsiaTheme="majorEastAsia" w:cstheme="majorBidi"/>
      <w:spacing w:val="20"/>
      <w:sz w:val="24"/>
      <w:szCs w:val="24"/>
      <w:lang w:val="en-US" w:eastAsia="zh-CN" w:bidi="he-IL"/>
    </w:rPr>
  </w:style>
  <w:style w:type="character" w:customStyle="1" w:styleId="3247">
    <w:name w:val="自动编号 Char"/>
    <w:link w:val="3246"/>
    <w:qFormat/>
    <w:uiPriority w:val="0"/>
    <w:rPr>
      <w:rFonts w:ascii="宋体" w:hAnsi="宋体" w:eastAsiaTheme="majorEastAsia" w:cstheme="majorBidi"/>
      <w:spacing w:val="20"/>
      <w:sz w:val="24"/>
      <w:szCs w:val="24"/>
      <w:lang w:bidi="he-IL"/>
    </w:rPr>
  </w:style>
  <w:style w:type="paragraph" w:customStyle="1" w:styleId="3248">
    <w:name w:val="样式 表头"/>
    <w:link w:val="3249"/>
    <w:qFormat/>
    <w:uiPriority w:val="0"/>
    <w:pPr>
      <w:spacing w:beforeLines="50" w:line="360" w:lineRule="auto"/>
      <w:jc w:val="center"/>
    </w:pPr>
    <w:rPr>
      <w:rFonts w:eastAsia="黑体" w:asciiTheme="majorHAnsi" w:hAnsiTheme="majorHAnsi" w:cstheme="majorBidi"/>
      <w:b/>
      <w:bCs/>
      <w:sz w:val="24"/>
      <w:szCs w:val="24"/>
      <w:lang w:val="en-US" w:eastAsia="zh-CN" w:bidi="ar-SA"/>
    </w:rPr>
  </w:style>
  <w:style w:type="character" w:customStyle="1" w:styleId="3249">
    <w:name w:val="样式 表头 Char"/>
    <w:link w:val="3248"/>
    <w:qFormat/>
    <w:uiPriority w:val="0"/>
    <w:rPr>
      <w:rFonts w:eastAsia="黑体" w:asciiTheme="majorHAnsi" w:hAnsiTheme="majorHAnsi" w:cstheme="majorBidi"/>
      <w:b/>
      <w:bCs/>
      <w:sz w:val="24"/>
      <w:szCs w:val="24"/>
    </w:rPr>
  </w:style>
  <w:style w:type="paragraph" w:customStyle="1" w:styleId="3250">
    <w:name w:val="表格字体"/>
    <w:basedOn w:val="1"/>
    <w:link w:val="3251"/>
    <w:qFormat/>
    <w:uiPriority w:val="0"/>
    <w:pPr>
      <w:widowControl/>
      <w:adjustRightInd w:val="0"/>
      <w:spacing w:beforeLines="20" w:line="360" w:lineRule="auto"/>
      <w:ind w:firstLine="200" w:firstLineChars="200"/>
      <w:jc w:val="center"/>
    </w:pPr>
    <w:rPr>
      <w:rFonts w:cstheme="majorBidi"/>
      <w:kern w:val="0"/>
      <w:sz w:val="20"/>
      <w:szCs w:val="21"/>
    </w:rPr>
  </w:style>
  <w:style w:type="character" w:customStyle="1" w:styleId="3251">
    <w:name w:val="表格字体 Char"/>
    <w:link w:val="3250"/>
    <w:qFormat/>
    <w:uiPriority w:val="0"/>
    <w:rPr>
      <w:rFonts w:cstheme="majorBidi"/>
      <w:szCs w:val="21"/>
    </w:rPr>
  </w:style>
  <w:style w:type="paragraph" w:customStyle="1" w:styleId="3252">
    <w:name w:val="4标题(治)"/>
    <w:basedOn w:val="1"/>
    <w:next w:val="1"/>
    <w:link w:val="3253"/>
    <w:qFormat/>
    <w:uiPriority w:val="0"/>
    <w:pPr>
      <w:widowControl/>
      <w:adjustRightInd w:val="0"/>
      <w:snapToGrid w:val="0"/>
      <w:spacing w:line="360" w:lineRule="auto"/>
      <w:ind w:firstLine="200" w:firstLineChars="200"/>
      <w:jc w:val="left"/>
      <w:textAlignment w:val="baseline"/>
      <w:outlineLvl w:val="3"/>
    </w:pPr>
    <w:rPr>
      <w:rFonts w:eastAsia="黑体" w:cstheme="majorBidi"/>
      <w:kern w:val="0"/>
      <w:sz w:val="28"/>
      <w:szCs w:val="20"/>
    </w:rPr>
  </w:style>
  <w:style w:type="character" w:customStyle="1" w:styleId="3253">
    <w:name w:val="4标题(治) Char"/>
    <w:link w:val="3252"/>
    <w:qFormat/>
    <w:uiPriority w:val="0"/>
    <w:rPr>
      <w:rFonts w:eastAsia="黑体" w:cstheme="majorBidi"/>
      <w:sz w:val="28"/>
    </w:rPr>
  </w:style>
  <w:style w:type="character" w:customStyle="1" w:styleId="3254">
    <w:name w:val="cucd-TB-Head Char"/>
    <w:qFormat/>
    <w:uiPriority w:val="0"/>
    <w:rPr>
      <w:rFonts w:eastAsia="黑体"/>
      <w:sz w:val="24"/>
      <w:szCs w:val="24"/>
    </w:rPr>
  </w:style>
  <w:style w:type="paragraph" w:customStyle="1" w:styleId="3255">
    <w:name w:val="样式 标题 4款标题1.1.1.1标题 4 Char Char标题 4 Char四表格1目H4H41L4Mi...1"/>
    <w:basedOn w:val="6"/>
    <w:link w:val="3256"/>
    <w:qFormat/>
    <w:uiPriority w:val="0"/>
    <w:pPr>
      <w:keepNext w:val="0"/>
      <w:keepLines w:val="0"/>
      <w:widowControl/>
      <w:numPr>
        <w:ilvl w:val="0"/>
        <w:numId w:val="0"/>
      </w:numPr>
      <w:adjustRightInd w:val="0"/>
      <w:snapToGrid w:val="0"/>
      <w:spacing w:line="360" w:lineRule="auto"/>
      <w:ind w:left="1134" w:hanging="1134"/>
      <w:jc w:val="center"/>
      <w:textAlignment w:val="baseline"/>
    </w:pPr>
    <w:rPr>
      <w:rFonts w:ascii="仿宋_GB2312" w:hAnsi="仿宋_GB2312" w:eastAsia="仿宋_GB2312"/>
      <w:b w:val="0"/>
      <w:spacing w:val="5"/>
      <w:kern w:val="0"/>
      <w:sz w:val="24"/>
      <w:szCs w:val="20"/>
    </w:rPr>
  </w:style>
  <w:style w:type="character" w:customStyle="1" w:styleId="3256">
    <w:name w:val="样式 标题 4款标题1.1.1.1标题 4 Char Char标题 4 Char四表格1目H4H41L4Mi...1 Char"/>
    <w:link w:val="3255"/>
    <w:qFormat/>
    <w:uiPriority w:val="0"/>
    <w:rPr>
      <w:rFonts w:ascii="仿宋_GB2312" w:hAnsi="仿宋_GB2312" w:eastAsia="仿宋_GB2312"/>
      <w:bCs/>
      <w:spacing w:val="5"/>
      <w:sz w:val="24"/>
    </w:rPr>
  </w:style>
  <w:style w:type="paragraph" w:customStyle="1" w:styleId="3257">
    <w:name w:val="2标题(治)"/>
    <w:basedOn w:val="4"/>
    <w:link w:val="3258"/>
    <w:qFormat/>
    <w:uiPriority w:val="0"/>
    <w:pPr>
      <w:keepNext w:val="0"/>
      <w:keepLines w:val="0"/>
      <w:widowControl/>
      <w:numPr>
        <w:ilvl w:val="0"/>
        <w:numId w:val="0"/>
      </w:numPr>
      <w:tabs>
        <w:tab w:val="center" w:pos="567"/>
      </w:tabs>
      <w:adjustRightInd w:val="0"/>
      <w:snapToGrid w:val="0"/>
      <w:ind w:firstLine="200"/>
      <w:jc w:val="left"/>
    </w:pPr>
    <w:rPr>
      <w:rFonts w:ascii="Calibri" w:hAnsi="Calibri"/>
      <w:smallCaps/>
      <w:kern w:val="0"/>
      <w:szCs w:val="20"/>
    </w:rPr>
  </w:style>
  <w:style w:type="character" w:customStyle="1" w:styleId="3258">
    <w:name w:val="2标题(治) Char"/>
    <w:link w:val="3257"/>
    <w:qFormat/>
    <w:uiPriority w:val="0"/>
    <w:rPr>
      <w:rFonts w:ascii="Calibri" w:hAnsi="Calibri" w:eastAsia="黑体"/>
      <w:b/>
      <w:bCs/>
      <w:smallCaps/>
      <w:sz w:val="32"/>
    </w:rPr>
  </w:style>
  <w:style w:type="paragraph" w:customStyle="1" w:styleId="3259">
    <w:name w:val="样式 四号 首行缩进:  0.85 厘米 段前: 1.25 磅 段后: 1.25 磅 行距: 多倍行距 1.25 字行"/>
    <w:basedOn w:val="1"/>
    <w:link w:val="3260"/>
    <w:qFormat/>
    <w:uiPriority w:val="0"/>
    <w:pPr>
      <w:widowControl/>
      <w:spacing w:before="60" w:after="60" w:line="300" w:lineRule="auto"/>
      <w:ind w:firstLine="482" w:firstLineChars="200"/>
      <w:jc w:val="left"/>
    </w:pPr>
    <w:rPr>
      <w:rFonts w:cs="宋体"/>
      <w:kern w:val="0"/>
      <w:sz w:val="28"/>
      <w:szCs w:val="20"/>
    </w:rPr>
  </w:style>
  <w:style w:type="character" w:customStyle="1" w:styleId="3260">
    <w:name w:val="样式 四号 首行缩进:  0.85 厘米 段前: 1.25 磅 段后: 1.25 磅 行距: 多倍行距 1.25 字行 Char"/>
    <w:link w:val="3259"/>
    <w:qFormat/>
    <w:uiPriority w:val="0"/>
    <w:rPr>
      <w:rFonts w:cs="宋体"/>
      <w:sz w:val="28"/>
    </w:rPr>
  </w:style>
  <w:style w:type="paragraph" w:customStyle="1" w:styleId="3261">
    <w:name w:val="样式78"/>
    <w:basedOn w:val="1"/>
    <w:link w:val="3262"/>
    <w:qFormat/>
    <w:uiPriority w:val="0"/>
    <w:pPr>
      <w:widowControl/>
      <w:spacing w:beforeLines="50" w:afterLines="50" w:line="360" w:lineRule="auto"/>
      <w:ind w:firstLine="480" w:firstLineChars="200"/>
      <w:jc w:val="left"/>
    </w:pPr>
    <w:rPr>
      <w:rFonts w:cstheme="majorBidi"/>
      <w:kern w:val="0"/>
    </w:rPr>
  </w:style>
  <w:style w:type="character" w:customStyle="1" w:styleId="3262">
    <w:name w:val="样式78 Char"/>
    <w:link w:val="3261"/>
    <w:qFormat/>
    <w:uiPriority w:val="0"/>
    <w:rPr>
      <w:rFonts w:cstheme="majorBidi"/>
      <w:sz w:val="24"/>
      <w:szCs w:val="24"/>
    </w:rPr>
  </w:style>
  <w:style w:type="paragraph" w:customStyle="1" w:styleId="3263">
    <w:name w:val="样式 样式 样式 样式 样式 样式 宋体 首行缩进:  1.06 厘米 + 首行缩进:  2 字符 + 首行缩进:  2 字符 ...3"/>
    <w:basedOn w:val="1"/>
    <w:link w:val="3264"/>
    <w:qFormat/>
    <w:uiPriority w:val="0"/>
    <w:pPr>
      <w:widowControl/>
      <w:adjustRightInd w:val="0"/>
      <w:spacing w:line="360" w:lineRule="auto"/>
      <w:ind w:firstLine="480" w:firstLineChars="200"/>
      <w:jc w:val="left"/>
    </w:pPr>
    <w:rPr>
      <w:rFonts w:ascii="宋体" w:hAnsi="宋体" w:cs="宋体"/>
      <w:kern w:val="0"/>
    </w:rPr>
  </w:style>
  <w:style w:type="character" w:customStyle="1" w:styleId="3264">
    <w:name w:val="样式 样式 样式 样式 样式 样式 宋体 首行缩进:  1.06 厘米 + 首行缩进:  2 字符 + 首行缩进:  2 字符 ...3 Char"/>
    <w:link w:val="3263"/>
    <w:qFormat/>
    <w:uiPriority w:val="0"/>
    <w:rPr>
      <w:rFonts w:ascii="宋体" w:hAnsi="宋体" w:cs="宋体"/>
      <w:sz w:val="24"/>
      <w:szCs w:val="24"/>
    </w:rPr>
  </w:style>
  <w:style w:type="paragraph" w:customStyle="1" w:styleId="3265">
    <w:name w:val="列表 21"/>
    <w:basedOn w:val="1"/>
    <w:qFormat/>
    <w:uiPriority w:val="0"/>
    <w:pPr>
      <w:widowControl/>
      <w:spacing w:afterLines="50" w:line="360" w:lineRule="auto"/>
      <w:ind w:left="840" w:hanging="420" w:firstLineChars="200"/>
      <w:jc w:val="left"/>
    </w:pPr>
    <w:rPr>
      <w:rFonts w:cstheme="majorBidi"/>
      <w:kern w:val="0"/>
      <w:szCs w:val="21"/>
    </w:rPr>
  </w:style>
  <w:style w:type="paragraph" w:customStyle="1" w:styleId="3266">
    <w:name w:val="称呼1"/>
    <w:basedOn w:val="1"/>
    <w:next w:val="1"/>
    <w:link w:val="3267"/>
    <w:qFormat/>
    <w:uiPriority w:val="0"/>
    <w:pPr>
      <w:widowControl/>
      <w:spacing w:beforeLines="50" w:afterLines="50" w:line="360" w:lineRule="auto"/>
      <w:ind w:firstLine="200" w:firstLineChars="200"/>
      <w:jc w:val="left"/>
    </w:pPr>
    <w:rPr>
      <w:rFonts w:cstheme="majorBidi"/>
      <w:kern w:val="0"/>
    </w:rPr>
  </w:style>
  <w:style w:type="character" w:customStyle="1" w:styleId="3267">
    <w:name w:val="称呼 Char"/>
    <w:link w:val="3266"/>
    <w:qFormat/>
    <w:uiPriority w:val="0"/>
    <w:rPr>
      <w:rFonts w:cstheme="majorBidi"/>
      <w:sz w:val="24"/>
      <w:szCs w:val="24"/>
    </w:rPr>
  </w:style>
  <w:style w:type="paragraph" w:customStyle="1" w:styleId="3268">
    <w:name w:val="样式 标题 4款标题1.1.1.1标题 4 Char Char标题 4 Char四表格1目H4H41L4Mi...3"/>
    <w:basedOn w:val="6"/>
    <w:link w:val="3269"/>
    <w:qFormat/>
    <w:uiPriority w:val="0"/>
    <w:pPr>
      <w:keepNext w:val="0"/>
      <w:keepLines w:val="0"/>
      <w:widowControl/>
      <w:numPr>
        <w:ilvl w:val="0"/>
        <w:numId w:val="0"/>
      </w:numPr>
      <w:adjustRightInd w:val="0"/>
      <w:snapToGrid w:val="0"/>
      <w:spacing w:line="360" w:lineRule="auto"/>
      <w:ind w:left="1334" w:leftChars="200" w:hanging="1134"/>
      <w:jc w:val="center"/>
      <w:textAlignment w:val="baseline"/>
    </w:pPr>
    <w:rPr>
      <w:rFonts w:ascii="宋体" w:hAnsi="宋体"/>
      <w:b w:val="0"/>
      <w:color w:val="000000"/>
      <w:spacing w:val="5"/>
      <w:kern w:val="0"/>
      <w:sz w:val="24"/>
      <w:szCs w:val="20"/>
    </w:rPr>
  </w:style>
  <w:style w:type="character" w:customStyle="1" w:styleId="3269">
    <w:name w:val="样式 标题 4款标题1.1.1.1标题 4 Char Char标题 4 Char四表格1目H4H41L4Mi...3 Char"/>
    <w:link w:val="3268"/>
    <w:qFormat/>
    <w:uiPriority w:val="0"/>
    <w:rPr>
      <w:rFonts w:ascii="宋体" w:hAnsi="宋体"/>
      <w:bCs/>
      <w:color w:val="000000"/>
      <w:spacing w:val="5"/>
      <w:sz w:val="24"/>
    </w:rPr>
  </w:style>
  <w:style w:type="paragraph" w:customStyle="1" w:styleId="3270">
    <w:name w:val="cucd-TB"/>
    <w:link w:val="3271"/>
    <w:qFormat/>
    <w:uiPriority w:val="0"/>
    <w:pPr>
      <w:spacing w:line="360" w:lineRule="auto"/>
      <w:jc w:val="center"/>
    </w:pPr>
    <w:rPr>
      <w:rFonts w:asciiTheme="majorHAnsi" w:hAnsiTheme="majorHAnsi" w:eastAsiaTheme="majorEastAsia" w:cstheme="majorBidi"/>
      <w:sz w:val="22"/>
      <w:szCs w:val="24"/>
      <w:lang w:val="en-US" w:eastAsia="zh-CN" w:bidi="ar-SA"/>
    </w:rPr>
  </w:style>
  <w:style w:type="character" w:customStyle="1" w:styleId="3271">
    <w:name w:val="cucd-TB Char"/>
    <w:link w:val="3270"/>
    <w:qFormat/>
    <w:uiPriority w:val="0"/>
    <w:rPr>
      <w:rFonts w:asciiTheme="majorHAnsi" w:hAnsiTheme="majorHAnsi" w:eastAsiaTheme="majorEastAsia" w:cstheme="majorBidi"/>
      <w:sz w:val="22"/>
      <w:szCs w:val="24"/>
    </w:rPr>
  </w:style>
  <w:style w:type="paragraph" w:customStyle="1" w:styleId="3272">
    <w:name w:val="样式76"/>
    <w:basedOn w:val="1"/>
    <w:link w:val="3273"/>
    <w:qFormat/>
    <w:uiPriority w:val="0"/>
    <w:pPr>
      <w:keepNext/>
      <w:keepLines/>
      <w:widowControl/>
      <w:tabs>
        <w:tab w:val="left" w:pos="2175"/>
      </w:tabs>
      <w:spacing w:beforeLines="50" w:afterLines="50" w:line="360" w:lineRule="auto"/>
      <w:ind w:firstLine="200" w:firstLineChars="200"/>
      <w:jc w:val="left"/>
      <w:outlineLvl w:val="2"/>
    </w:pPr>
    <w:rPr>
      <w:rFonts w:ascii="黑体" w:hAnsi="宋体" w:eastAsia="黑体" w:cs="黑体"/>
      <w:bCs/>
      <w:kern w:val="0"/>
      <w:sz w:val="28"/>
      <w:szCs w:val="28"/>
    </w:rPr>
  </w:style>
  <w:style w:type="character" w:customStyle="1" w:styleId="3273">
    <w:name w:val="样式76 Char"/>
    <w:link w:val="3272"/>
    <w:qFormat/>
    <w:uiPriority w:val="0"/>
    <w:rPr>
      <w:rFonts w:ascii="黑体" w:hAnsi="宋体" w:eastAsia="黑体" w:cs="黑体"/>
      <w:bCs/>
      <w:sz w:val="28"/>
      <w:szCs w:val="28"/>
    </w:rPr>
  </w:style>
  <w:style w:type="paragraph" w:customStyle="1" w:styleId="3274">
    <w:name w:val="报告书正文 Char Char Char Char Char Char Char Char Char Char Char Char Char"/>
    <w:basedOn w:val="1"/>
    <w:link w:val="3275"/>
    <w:qFormat/>
    <w:uiPriority w:val="0"/>
    <w:pPr>
      <w:widowControl/>
      <w:spacing w:line="300" w:lineRule="auto"/>
      <w:ind w:firstLine="480" w:firstLineChars="200"/>
      <w:jc w:val="left"/>
    </w:pPr>
    <w:rPr>
      <w:rFonts w:cstheme="majorBidi"/>
      <w:color w:val="000000"/>
      <w:kern w:val="0"/>
    </w:rPr>
  </w:style>
  <w:style w:type="character" w:customStyle="1" w:styleId="3275">
    <w:name w:val="报告书正文 Char Char Char Char Char Char Char Char Char Char Char Char Char Char"/>
    <w:link w:val="3274"/>
    <w:qFormat/>
    <w:uiPriority w:val="0"/>
    <w:rPr>
      <w:rFonts w:cstheme="majorBidi"/>
      <w:color w:val="000000"/>
      <w:sz w:val="24"/>
      <w:szCs w:val="24"/>
    </w:rPr>
  </w:style>
  <w:style w:type="paragraph" w:customStyle="1" w:styleId="3276">
    <w:name w:val="jb仿宋_GB2312"/>
    <w:basedOn w:val="1"/>
    <w:link w:val="3277"/>
    <w:qFormat/>
    <w:uiPriority w:val="0"/>
    <w:pPr>
      <w:widowControl/>
      <w:snapToGrid w:val="0"/>
      <w:spacing w:line="560" w:lineRule="exact"/>
      <w:ind w:firstLine="560" w:firstLineChars="200"/>
      <w:jc w:val="left"/>
    </w:pPr>
    <w:rPr>
      <w:rFonts w:hAnsi="仿宋_GB2312" w:cstheme="majorBidi"/>
      <w:kern w:val="0"/>
      <w:szCs w:val="20"/>
    </w:rPr>
  </w:style>
  <w:style w:type="character" w:customStyle="1" w:styleId="3277">
    <w:name w:val="jb仿宋_GB2312 Char"/>
    <w:link w:val="3276"/>
    <w:qFormat/>
    <w:uiPriority w:val="0"/>
    <w:rPr>
      <w:rFonts w:hAnsi="仿宋_GB2312" w:cstheme="majorBidi"/>
      <w:sz w:val="24"/>
    </w:rPr>
  </w:style>
  <w:style w:type="paragraph" w:customStyle="1" w:styleId="3278">
    <w:name w:val="Lux 表格标题"/>
    <w:basedOn w:val="1"/>
    <w:link w:val="3279"/>
    <w:uiPriority w:val="0"/>
    <w:pPr>
      <w:widowControl/>
      <w:spacing w:line="360" w:lineRule="auto"/>
      <w:ind w:left="420" w:firstLine="200" w:firstLineChars="200"/>
      <w:jc w:val="center"/>
    </w:pPr>
    <w:rPr>
      <w:rFonts w:ascii="宋体" w:hAnsi="宋体" w:cstheme="majorBidi"/>
      <w:kern w:val="0"/>
      <w:szCs w:val="20"/>
    </w:rPr>
  </w:style>
  <w:style w:type="character" w:customStyle="1" w:styleId="3279">
    <w:name w:val="Lux 表格标题 Char"/>
    <w:link w:val="3278"/>
    <w:qFormat/>
    <w:uiPriority w:val="0"/>
    <w:rPr>
      <w:rFonts w:ascii="宋体" w:hAnsi="宋体" w:cstheme="majorBidi"/>
      <w:sz w:val="24"/>
    </w:rPr>
  </w:style>
  <w:style w:type="character" w:customStyle="1" w:styleId="3280">
    <w:name w:val="+正文 Char"/>
    <w:link w:val="286"/>
    <w:qFormat/>
    <w:uiPriority w:val="0"/>
    <w:rPr>
      <w:kern w:val="2"/>
      <w:sz w:val="28"/>
      <w:szCs w:val="28"/>
    </w:rPr>
  </w:style>
  <w:style w:type="paragraph" w:customStyle="1" w:styleId="3281">
    <w:name w:val="样式 7表格(治) + (西文) 宋体 (中文) 黑体 加粗 黑色"/>
    <w:basedOn w:val="2405"/>
    <w:link w:val="3282"/>
    <w:qFormat/>
    <w:uiPriority w:val="0"/>
    <w:rPr>
      <w:rFonts w:hAnsi="Calibri"/>
      <w:b w:val="0"/>
      <w:bCs/>
      <w:szCs w:val="20"/>
    </w:rPr>
  </w:style>
  <w:style w:type="character" w:customStyle="1" w:styleId="3282">
    <w:name w:val="样式 7表格(治) + (西文) 宋体 (中文) 黑体 加粗 黑色 Char"/>
    <w:link w:val="3281"/>
    <w:qFormat/>
    <w:uiPriority w:val="0"/>
    <w:rPr>
      <w:rFonts w:hAnsi="Calibri" w:asciiTheme="majorHAnsi" w:eastAsiaTheme="majorEastAsia" w:cstheme="majorBidi"/>
      <w:b/>
      <w:bCs/>
      <w:color w:val="000000"/>
      <w:sz w:val="24"/>
    </w:rPr>
  </w:style>
  <w:style w:type="paragraph" w:customStyle="1" w:styleId="3283">
    <w:name w:val="样式 自动A +"/>
    <w:basedOn w:val="2624"/>
    <w:link w:val="3284"/>
    <w:qFormat/>
    <w:uiPriority w:val="0"/>
    <w:pPr>
      <w:widowControl w:val="0"/>
      <w:jc w:val="both"/>
    </w:pPr>
    <w:rPr>
      <w:rFonts w:ascii="Calibri" w:hAnsi="Calibri" w:cs="黑体"/>
    </w:rPr>
  </w:style>
  <w:style w:type="character" w:customStyle="1" w:styleId="3284">
    <w:name w:val="样式 自动A + Char"/>
    <w:link w:val="3283"/>
    <w:qFormat/>
    <w:uiPriority w:val="0"/>
    <w:rPr>
      <w:rFonts w:ascii="Calibri" w:hAnsi="Calibri" w:cs="黑体"/>
      <w:color w:val="000000"/>
      <w:sz w:val="24"/>
    </w:rPr>
  </w:style>
  <w:style w:type="paragraph" w:customStyle="1" w:styleId="3285">
    <w:name w:val="正文ABC"/>
    <w:basedOn w:val="1"/>
    <w:link w:val="3286"/>
    <w:qFormat/>
    <w:uiPriority w:val="0"/>
    <w:pPr>
      <w:widowControl/>
      <w:snapToGrid w:val="0"/>
      <w:spacing w:line="360" w:lineRule="auto"/>
      <w:ind w:firstLine="560" w:firstLineChars="200"/>
      <w:jc w:val="left"/>
      <w:textAlignment w:val="center"/>
    </w:pPr>
    <w:rPr>
      <w:rFonts w:ascii="宋体" w:cstheme="majorBidi"/>
      <w:spacing w:val="20"/>
      <w:kern w:val="0"/>
    </w:rPr>
  </w:style>
  <w:style w:type="character" w:customStyle="1" w:styleId="3286">
    <w:name w:val="正文ABC Char"/>
    <w:link w:val="3285"/>
    <w:qFormat/>
    <w:uiPriority w:val="0"/>
    <w:rPr>
      <w:rFonts w:ascii="宋体" w:cstheme="majorBidi"/>
      <w:spacing w:val="20"/>
      <w:sz w:val="24"/>
      <w:szCs w:val="24"/>
    </w:rPr>
  </w:style>
  <w:style w:type="paragraph" w:customStyle="1" w:styleId="3287">
    <w:name w:val="样式81"/>
    <w:basedOn w:val="3272"/>
    <w:qFormat/>
    <w:uiPriority w:val="0"/>
    <w:rPr>
      <w:rFonts w:ascii="Times New Roman"/>
    </w:rPr>
  </w:style>
  <w:style w:type="paragraph" w:customStyle="1" w:styleId="3288">
    <w:name w:val="修改后"/>
    <w:basedOn w:val="2624"/>
    <w:link w:val="3289"/>
    <w:qFormat/>
    <w:uiPriority w:val="0"/>
    <w:pPr>
      <w:widowControl w:val="0"/>
      <w:jc w:val="both"/>
    </w:pPr>
    <w:rPr>
      <w:rFonts w:ascii="Calibri" w:hAnsi="Calibri" w:cs="黑体"/>
      <w:shd w:val="clear" w:color="auto" w:fill="00FFFF"/>
    </w:rPr>
  </w:style>
  <w:style w:type="character" w:customStyle="1" w:styleId="3289">
    <w:name w:val="修改后 Char"/>
    <w:link w:val="3288"/>
    <w:qFormat/>
    <w:uiPriority w:val="0"/>
    <w:rPr>
      <w:rFonts w:ascii="Calibri" w:hAnsi="Calibri" w:cs="黑体"/>
      <w:color w:val="000000"/>
      <w:sz w:val="24"/>
    </w:rPr>
  </w:style>
  <w:style w:type="character" w:customStyle="1" w:styleId="3290">
    <w:name w:val="正文首行缩进 Char2"/>
    <w:link w:val="333"/>
    <w:qFormat/>
    <w:uiPriority w:val="0"/>
    <w:rPr>
      <w:rFonts w:ascii="宋体"/>
      <w:sz w:val="24"/>
      <w:szCs w:val="24"/>
    </w:rPr>
  </w:style>
  <w:style w:type="paragraph" w:customStyle="1" w:styleId="3291">
    <w:name w:val="lux 表格 标题"/>
    <w:next w:val="1"/>
    <w:link w:val="3292"/>
    <w:qFormat/>
    <w:uiPriority w:val="0"/>
    <w:pPr>
      <w:spacing w:beforeLines="50" w:afterLines="50" w:line="360" w:lineRule="auto"/>
      <w:ind w:firstLine="482"/>
      <w:jc w:val="center"/>
    </w:pPr>
    <w:rPr>
      <w:rFonts w:eastAsia="黑体" w:asciiTheme="majorHAnsi" w:hAnsiTheme="majorHAnsi" w:cstheme="majorBidi"/>
      <w:bCs/>
      <w:sz w:val="24"/>
      <w:szCs w:val="21"/>
      <w:lang w:val="en-US" w:eastAsia="zh-CN" w:bidi="ar-SA"/>
    </w:rPr>
  </w:style>
  <w:style w:type="character" w:customStyle="1" w:styleId="3292">
    <w:name w:val="lux 表格 标题 Char Char"/>
    <w:link w:val="3291"/>
    <w:qFormat/>
    <w:uiPriority w:val="0"/>
    <w:rPr>
      <w:rFonts w:eastAsia="黑体" w:asciiTheme="majorHAnsi" w:hAnsiTheme="majorHAnsi" w:cstheme="majorBidi"/>
      <w:bCs/>
      <w:sz w:val="24"/>
      <w:szCs w:val="21"/>
    </w:rPr>
  </w:style>
  <w:style w:type="paragraph" w:customStyle="1" w:styleId="3293">
    <w:name w:val="3标题(治)"/>
    <w:basedOn w:val="5"/>
    <w:link w:val="3294"/>
    <w:qFormat/>
    <w:uiPriority w:val="0"/>
    <w:pPr>
      <w:keepNext w:val="0"/>
      <w:keepLines w:val="0"/>
      <w:widowControl/>
      <w:numPr>
        <w:ilvl w:val="0"/>
        <w:numId w:val="0"/>
      </w:numPr>
      <w:adjustRightInd w:val="0"/>
      <w:snapToGrid w:val="0"/>
      <w:spacing w:after="60" w:line="360" w:lineRule="auto"/>
      <w:ind w:firstLine="200"/>
      <w:jc w:val="left"/>
    </w:pPr>
    <w:rPr>
      <w:rFonts w:ascii="Calibri" w:hAnsi="Calibri" w:eastAsia="宋体" w:cstheme="majorBidi"/>
      <w:b w:val="0"/>
      <w:bCs w:val="0"/>
      <w:iCs/>
      <w:smallCaps/>
      <w:spacing w:val="5"/>
      <w:kern w:val="0"/>
      <w:sz w:val="28"/>
      <w:szCs w:val="26"/>
    </w:rPr>
  </w:style>
  <w:style w:type="character" w:customStyle="1" w:styleId="3294">
    <w:name w:val="3标题(治) Char"/>
    <w:link w:val="3293"/>
    <w:qFormat/>
    <w:uiPriority w:val="0"/>
    <w:rPr>
      <w:rFonts w:ascii="Calibri" w:hAnsi="Calibri" w:cstheme="majorBidi"/>
      <w:iCs/>
      <w:smallCaps/>
      <w:spacing w:val="5"/>
      <w:sz w:val="28"/>
      <w:szCs w:val="26"/>
    </w:rPr>
  </w:style>
  <w:style w:type="paragraph" w:customStyle="1" w:styleId="3295">
    <w:name w:val="样式80"/>
    <w:basedOn w:val="2414"/>
    <w:link w:val="3296"/>
    <w:qFormat/>
    <w:uiPriority w:val="0"/>
    <w:pPr>
      <w:tabs>
        <w:tab w:val="left" w:pos="1022"/>
      </w:tabs>
      <w:autoSpaceDE/>
      <w:autoSpaceDN/>
      <w:adjustRightInd/>
      <w:jc w:val="both"/>
    </w:pPr>
    <w:rPr>
      <w:rFonts w:ascii="Calibri" w:hAnsi="Calibri" w:cs="Times New Roman"/>
      <w:b w:val="0"/>
      <w:szCs w:val="28"/>
    </w:rPr>
  </w:style>
  <w:style w:type="character" w:customStyle="1" w:styleId="3296">
    <w:name w:val="样式80 Char"/>
    <w:link w:val="3295"/>
    <w:qFormat/>
    <w:uiPriority w:val="0"/>
    <w:rPr>
      <w:rFonts w:ascii="Calibri" w:hAnsi="Calibri"/>
      <w:color w:val="000000"/>
      <w:sz w:val="24"/>
      <w:szCs w:val="28"/>
    </w:rPr>
  </w:style>
  <w:style w:type="paragraph" w:customStyle="1" w:styleId="3297">
    <w:name w:val="标4 Char Char Char"/>
    <w:basedOn w:val="178"/>
    <w:link w:val="3298"/>
    <w:qFormat/>
    <w:uiPriority w:val="0"/>
    <w:pPr>
      <w:keepNext w:val="0"/>
      <w:widowControl/>
      <w:tabs>
        <w:tab w:val="clear" w:pos="0"/>
      </w:tabs>
      <w:spacing w:line="560" w:lineRule="atLeast"/>
      <w:ind w:firstLine="200" w:firstLineChars="200"/>
      <w:jc w:val="left"/>
      <w:outlineLvl w:val="3"/>
    </w:pPr>
    <w:rPr>
      <w:rFonts w:ascii="宋体" w:hAnsi="宋体" w:eastAsia="宋体"/>
      <w:bCs w:val="0"/>
      <w:kern w:val="0"/>
      <w:sz w:val="24"/>
      <w:szCs w:val="30"/>
    </w:rPr>
  </w:style>
  <w:style w:type="character" w:customStyle="1" w:styleId="3298">
    <w:name w:val="标4 Char Char Char Char"/>
    <w:link w:val="3297"/>
    <w:qFormat/>
    <w:uiPriority w:val="0"/>
    <w:rPr>
      <w:rFonts w:ascii="宋体" w:hAnsi="宋体" w:cs="宋体"/>
      <w:sz w:val="24"/>
      <w:szCs w:val="30"/>
    </w:rPr>
  </w:style>
  <w:style w:type="paragraph" w:customStyle="1" w:styleId="3299">
    <w:name w:val="表蕊"/>
    <w:basedOn w:val="1"/>
    <w:link w:val="3300"/>
    <w:qFormat/>
    <w:uiPriority w:val="0"/>
    <w:pPr>
      <w:widowControl/>
      <w:adjustRightInd w:val="0"/>
      <w:spacing w:line="320" w:lineRule="atLeast"/>
      <w:ind w:firstLine="200" w:firstLineChars="200"/>
      <w:jc w:val="left"/>
      <w:textAlignment w:val="baseline"/>
    </w:pPr>
    <w:rPr>
      <w:rFonts w:eastAsia="楷体_GB2312" w:cstheme="majorBidi"/>
      <w:spacing w:val="-10"/>
      <w:kern w:val="0"/>
      <w:sz w:val="20"/>
      <w:szCs w:val="21"/>
    </w:rPr>
  </w:style>
  <w:style w:type="character" w:customStyle="1" w:styleId="3300">
    <w:name w:val="表蕊 Char1"/>
    <w:link w:val="3299"/>
    <w:qFormat/>
    <w:uiPriority w:val="0"/>
    <w:rPr>
      <w:rFonts w:eastAsia="楷体_GB2312" w:cstheme="majorBidi"/>
      <w:spacing w:val="-10"/>
      <w:szCs w:val="21"/>
    </w:rPr>
  </w:style>
  <w:style w:type="paragraph" w:customStyle="1" w:styleId="3301">
    <w:name w:val="ch中文正文"/>
    <w:link w:val="3302"/>
    <w:qFormat/>
    <w:uiPriority w:val="0"/>
    <w:pPr>
      <w:spacing w:beforeLines="50" w:afterLines="50" w:line="360" w:lineRule="auto"/>
      <w:ind w:firstLine="200" w:firstLineChars="200"/>
    </w:pPr>
    <w:rPr>
      <w:rFonts w:asciiTheme="majorHAnsi" w:hAnsiTheme="majorHAnsi" w:eastAsiaTheme="majorEastAsia" w:cstheme="majorBidi"/>
      <w:sz w:val="24"/>
      <w:szCs w:val="22"/>
      <w:lang w:val="en-US" w:eastAsia="zh-CN" w:bidi="ar-SA"/>
    </w:rPr>
  </w:style>
  <w:style w:type="character" w:customStyle="1" w:styleId="3302">
    <w:name w:val="ch中文正文 Char"/>
    <w:link w:val="3301"/>
    <w:qFormat/>
    <w:uiPriority w:val="0"/>
    <w:rPr>
      <w:rFonts w:asciiTheme="majorHAnsi" w:hAnsiTheme="majorHAnsi" w:eastAsiaTheme="majorEastAsia" w:cstheme="majorBidi"/>
      <w:sz w:val="24"/>
      <w:szCs w:val="22"/>
    </w:rPr>
  </w:style>
  <w:style w:type="paragraph" w:customStyle="1" w:styleId="3303">
    <w:name w:val="1级标题"/>
    <w:basedOn w:val="2619"/>
    <w:link w:val="3304"/>
    <w:qFormat/>
    <w:uiPriority w:val="0"/>
    <w:pPr>
      <w:tabs>
        <w:tab w:val="left" w:pos="432"/>
      </w:tabs>
    </w:pPr>
  </w:style>
  <w:style w:type="character" w:customStyle="1" w:styleId="3304">
    <w:name w:val="1级标题 Char"/>
    <w:link w:val="3303"/>
    <w:qFormat/>
    <w:uiPriority w:val="0"/>
    <w:rPr>
      <w:rFonts w:ascii="黑体" w:eastAsia="黑体" w:cs="宋体"/>
      <w:bCs/>
      <w:smallCaps/>
      <w:spacing w:val="5"/>
      <w:sz w:val="32"/>
    </w:rPr>
  </w:style>
  <w:style w:type="paragraph" w:customStyle="1" w:styleId="3305">
    <w:name w:val="cauc-0"/>
    <w:link w:val="3306"/>
    <w:qFormat/>
    <w:uiPriority w:val="0"/>
    <w:pPr>
      <w:spacing w:line="360" w:lineRule="auto"/>
      <w:ind w:firstLine="480" w:firstLineChars="200"/>
    </w:pPr>
    <w:rPr>
      <w:rFonts w:asciiTheme="majorHAnsi" w:hAnsiTheme="majorHAnsi" w:eastAsiaTheme="majorEastAsia" w:cstheme="majorBidi"/>
      <w:sz w:val="24"/>
      <w:szCs w:val="24"/>
      <w:lang w:val="en-US" w:eastAsia="zh-CN" w:bidi="ar-SA"/>
    </w:rPr>
  </w:style>
  <w:style w:type="character" w:customStyle="1" w:styleId="3306">
    <w:name w:val="cauc-0 Char1"/>
    <w:link w:val="3305"/>
    <w:qFormat/>
    <w:uiPriority w:val="0"/>
    <w:rPr>
      <w:rFonts w:asciiTheme="majorHAnsi" w:hAnsiTheme="majorHAnsi" w:eastAsiaTheme="majorEastAsia" w:cstheme="majorBidi"/>
      <w:sz w:val="24"/>
      <w:szCs w:val="24"/>
    </w:rPr>
  </w:style>
  <w:style w:type="paragraph" w:customStyle="1" w:styleId="3307">
    <w:name w:val="样式 黑色 首行缩进:  2 字符"/>
    <w:basedOn w:val="1"/>
    <w:qFormat/>
    <w:uiPriority w:val="0"/>
    <w:pPr>
      <w:widowControl/>
      <w:snapToGrid w:val="0"/>
      <w:spacing w:line="360" w:lineRule="auto"/>
      <w:ind w:firstLine="200" w:firstLineChars="200"/>
      <w:jc w:val="left"/>
    </w:pPr>
    <w:rPr>
      <w:rFonts w:cs="宋体"/>
      <w:color w:val="000000"/>
      <w:kern w:val="0"/>
      <w:szCs w:val="20"/>
    </w:rPr>
  </w:style>
  <w:style w:type="paragraph" w:customStyle="1" w:styleId="3308">
    <w:name w:val="正文楷体"/>
    <w:basedOn w:val="1"/>
    <w:qFormat/>
    <w:uiPriority w:val="0"/>
    <w:pPr>
      <w:widowControl/>
      <w:spacing w:line="360" w:lineRule="auto"/>
      <w:ind w:firstLine="200" w:firstLineChars="200"/>
      <w:jc w:val="left"/>
    </w:pPr>
    <w:rPr>
      <w:rFonts w:eastAsia="楷体_GB2312" w:cstheme="majorBidi"/>
      <w:bCs/>
      <w:kern w:val="0"/>
      <w:szCs w:val="20"/>
    </w:rPr>
  </w:style>
  <w:style w:type="paragraph" w:customStyle="1" w:styleId="3309">
    <w:name w:val="样式 电镀正文 + 首行缩进:  2 字符"/>
    <w:basedOn w:val="2415"/>
    <w:qFormat/>
    <w:uiPriority w:val="0"/>
    <w:pPr>
      <w:spacing w:line="324" w:lineRule="auto"/>
    </w:pPr>
    <w:rPr>
      <w:rFonts w:hAnsi="Calibri" w:cs="Arial"/>
      <w:sz w:val="28"/>
      <w:szCs w:val="20"/>
    </w:rPr>
  </w:style>
  <w:style w:type="paragraph" w:customStyle="1" w:styleId="3310">
    <w:name w:val="xl134"/>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360" w:lineRule="auto"/>
      <w:ind w:firstLine="200" w:firstLineChars="200"/>
      <w:jc w:val="center"/>
    </w:pPr>
    <w:rPr>
      <w:rFonts w:ascii="宋体" w:hAnsi="宋体" w:cs="宋体"/>
      <w:b/>
      <w:bCs/>
      <w:kern w:val="0"/>
      <w:sz w:val="20"/>
      <w:szCs w:val="20"/>
    </w:rPr>
  </w:style>
  <w:style w:type="paragraph" w:customStyle="1" w:styleId="3311">
    <w:name w:val="文档结构图11"/>
    <w:basedOn w:val="1"/>
    <w:qFormat/>
    <w:uiPriority w:val="0"/>
    <w:pPr>
      <w:widowControl/>
      <w:shd w:val="clear" w:color="auto" w:fill="000080"/>
      <w:tabs>
        <w:tab w:val="left" w:pos="0"/>
      </w:tabs>
      <w:adjustRightInd w:val="0"/>
      <w:snapToGrid w:val="0"/>
      <w:spacing w:line="360" w:lineRule="auto"/>
      <w:ind w:right="-40" w:firstLine="595" w:firstLineChars="200"/>
      <w:jc w:val="left"/>
      <w:textAlignment w:val="center"/>
    </w:pPr>
    <w:rPr>
      <w:rFonts w:cstheme="majorBidi"/>
      <w:kern w:val="0"/>
      <w:szCs w:val="20"/>
    </w:rPr>
  </w:style>
  <w:style w:type="paragraph" w:customStyle="1" w:styleId="3312">
    <w:name w:val="表底说明"/>
    <w:basedOn w:val="1"/>
    <w:qFormat/>
    <w:uiPriority w:val="0"/>
    <w:pPr>
      <w:widowControl/>
      <w:spacing w:line="360" w:lineRule="auto"/>
      <w:ind w:firstLine="200" w:firstLineChars="200"/>
      <w:jc w:val="left"/>
    </w:pPr>
    <w:rPr>
      <w:rFonts w:cs="Arial"/>
      <w:kern w:val="0"/>
      <w:sz w:val="18"/>
      <w:szCs w:val="22"/>
    </w:rPr>
  </w:style>
  <w:style w:type="paragraph" w:customStyle="1" w:styleId="3313">
    <w:name w:val="横页眉"/>
    <w:basedOn w:val="1"/>
    <w:next w:val="57"/>
    <w:qFormat/>
    <w:uiPriority w:val="0"/>
    <w:pPr>
      <w:widowControl/>
      <w:pBdr>
        <w:bottom w:val="double" w:color="auto" w:sz="6" w:space="1"/>
      </w:pBdr>
      <w:tabs>
        <w:tab w:val="center" w:pos="6623"/>
        <w:tab w:val="right" w:pos="13245"/>
      </w:tabs>
      <w:adjustRightInd w:val="0"/>
      <w:spacing w:line="324" w:lineRule="auto"/>
      <w:ind w:firstLine="510" w:firstLineChars="200"/>
      <w:jc w:val="left"/>
    </w:pPr>
    <w:rPr>
      <w:rFonts w:cstheme="majorBidi"/>
      <w:kern w:val="0"/>
      <w:szCs w:val="20"/>
    </w:rPr>
  </w:style>
  <w:style w:type="paragraph" w:customStyle="1" w:styleId="3314">
    <w:name w:val="xl154"/>
    <w:basedOn w:val="1"/>
    <w:qFormat/>
    <w:uiPriority w:val="0"/>
    <w:pPr>
      <w:widowControl/>
      <w:pBdr>
        <w:left w:val="single" w:color="auto" w:sz="4" w:space="0"/>
        <w:bottom w:val="single" w:color="auto" w:sz="4" w:space="0"/>
        <w:right w:val="single" w:color="auto" w:sz="4" w:space="0"/>
      </w:pBdr>
      <w:shd w:val="clear" w:color="000000" w:fill="FFFFFF"/>
      <w:spacing w:before="100" w:beforeAutospacing="1" w:after="100" w:afterAutospacing="1" w:line="360" w:lineRule="auto"/>
      <w:ind w:firstLine="200" w:firstLineChars="200"/>
      <w:jc w:val="center"/>
    </w:pPr>
    <w:rPr>
      <w:rFonts w:ascii="宋体" w:hAnsi="宋体" w:cs="宋体"/>
      <w:b/>
      <w:bCs/>
      <w:color w:val="000000"/>
      <w:kern w:val="0"/>
      <w:sz w:val="20"/>
      <w:szCs w:val="20"/>
    </w:rPr>
  </w:style>
  <w:style w:type="paragraph" w:customStyle="1" w:styleId="3315">
    <w:name w:val="正文段"/>
    <w:basedOn w:val="1"/>
    <w:qFormat/>
    <w:uiPriority w:val="0"/>
    <w:pPr>
      <w:widowControl/>
      <w:spacing w:line="360" w:lineRule="auto"/>
      <w:ind w:firstLine="420" w:firstLineChars="200"/>
      <w:jc w:val="left"/>
    </w:pPr>
    <w:rPr>
      <w:rFonts w:cstheme="majorBidi"/>
      <w:kern w:val="0"/>
      <w:szCs w:val="20"/>
    </w:rPr>
  </w:style>
  <w:style w:type="paragraph" w:customStyle="1" w:styleId="3316">
    <w:name w:val="样式 标题 3 + 华文中宋 小三 段前: 6 磅 段后: 6 磅 行距: 多倍行距 1.4 字行"/>
    <w:basedOn w:val="5"/>
    <w:qFormat/>
    <w:uiPriority w:val="0"/>
    <w:pPr>
      <w:keepNext w:val="0"/>
      <w:keepLines w:val="0"/>
      <w:widowControl/>
      <w:numPr>
        <w:ilvl w:val="0"/>
        <w:numId w:val="0"/>
      </w:numPr>
      <w:tabs>
        <w:tab w:val="left" w:pos="42"/>
        <w:tab w:val="left" w:pos="720"/>
        <w:tab w:val="left" w:pos="861"/>
      </w:tabs>
      <w:adjustRightInd w:val="0"/>
      <w:snapToGrid w:val="0"/>
      <w:spacing w:beforeLines="50" w:afterLines="50" w:line="360" w:lineRule="auto"/>
      <w:ind w:left="694" w:hanging="720"/>
      <w:jc w:val="left"/>
    </w:pPr>
    <w:rPr>
      <w:rFonts w:ascii="华文中宋" w:hAnsi="Arial Unicode MS" w:eastAsia="华文中宋" w:cs="Arial"/>
      <w:b w:val="0"/>
      <w:bCs w:val="0"/>
      <w:iCs/>
      <w:smallCaps/>
      <w:color w:val="000000"/>
      <w:spacing w:val="5"/>
      <w:kern w:val="0"/>
      <w:szCs w:val="30"/>
    </w:rPr>
  </w:style>
  <w:style w:type="paragraph" w:customStyle="1" w:styleId="3317">
    <w:name w:val="图标"/>
    <w:basedOn w:val="1"/>
    <w:qFormat/>
    <w:uiPriority w:val="0"/>
    <w:pPr>
      <w:widowControl/>
      <w:tabs>
        <w:tab w:val="left" w:pos="1920"/>
      </w:tabs>
      <w:spacing w:line="400" w:lineRule="atLeast"/>
      <w:ind w:firstLine="200" w:firstLineChars="200"/>
      <w:jc w:val="center"/>
    </w:pPr>
    <w:rPr>
      <w:rFonts w:cstheme="majorBidi"/>
      <w:bCs/>
      <w:color w:val="000000"/>
      <w:kern w:val="0"/>
      <w:szCs w:val="21"/>
    </w:rPr>
  </w:style>
  <w:style w:type="paragraph" w:customStyle="1" w:styleId="3318">
    <w:name w:val="编号正文"/>
    <w:basedOn w:val="7"/>
    <w:qFormat/>
    <w:uiPriority w:val="0"/>
    <w:pPr>
      <w:widowControl/>
      <w:snapToGrid w:val="0"/>
      <w:spacing w:line="360" w:lineRule="auto"/>
      <w:ind w:firstLine="200"/>
    </w:pPr>
    <w:rPr>
      <w:rFonts w:ascii="Calibri" w:hAnsi="Calibri" w:cs="Arial"/>
      <w:color w:val="000000"/>
      <w:kern w:val="0"/>
      <w:sz w:val="28"/>
      <w:szCs w:val="18"/>
    </w:rPr>
  </w:style>
  <w:style w:type="paragraph" w:customStyle="1" w:styleId="3319">
    <w:name w:val="xl136"/>
    <w:basedOn w:val="1"/>
    <w:qFormat/>
    <w:uiPriority w:val="0"/>
    <w:pPr>
      <w:widowControl/>
      <w:pBdr>
        <w:top w:val="single" w:color="auto" w:sz="4" w:space="0"/>
        <w:left w:val="single" w:color="auto" w:sz="4" w:space="0"/>
        <w:bottom w:val="single" w:color="auto" w:sz="4" w:space="0"/>
        <w:right w:val="single" w:color="auto" w:sz="4" w:space="0"/>
      </w:pBdr>
      <w:shd w:val="clear" w:color="000000" w:fill="FFFFFF"/>
      <w:spacing w:before="100" w:beforeAutospacing="1" w:after="100" w:afterAutospacing="1" w:line="360" w:lineRule="auto"/>
      <w:ind w:firstLine="200" w:firstLineChars="200"/>
      <w:jc w:val="center"/>
    </w:pPr>
    <w:rPr>
      <w:rFonts w:ascii="宋体" w:hAnsi="宋体" w:cs="宋体"/>
      <w:b/>
      <w:bCs/>
      <w:kern w:val="0"/>
      <w:sz w:val="20"/>
      <w:szCs w:val="20"/>
    </w:rPr>
  </w:style>
  <w:style w:type="paragraph" w:customStyle="1" w:styleId="3320">
    <w:name w:val="xl137"/>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360" w:lineRule="auto"/>
      <w:ind w:firstLine="200" w:firstLineChars="200"/>
      <w:jc w:val="left"/>
    </w:pPr>
    <w:rPr>
      <w:rFonts w:ascii="宋体" w:hAnsi="宋体" w:cs="宋体"/>
      <w:kern w:val="0"/>
      <w:sz w:val="20"/>
      <w:szCs w:val="20"/>
    </w:rPr>
  </w:style>
  <w:style w:type="paragraph" w:customStyle="1" w:styleId="3321">
    <w:name w:val="正文仿宋"/>
    <w:basedOn w:val="1"/>
    <w:qFormat/>
    <w:uiPriority w:val="0"/>
    <w:pPr>
      <w:widowControl/>
      <w:adjustRightInd w:val="0"/>
      <w:snapToGrid w:val="0"/>
      <w:spacing w:line="360" w:lineRule="auto"/>
      <w:ind w:firstLine="567" w:firstLineChars="200"/>
      <w:jc w:val="left"/>
    </w:pPr>
    <w:rPr>
      <w:rFonts w:eastAsia="仿宋_GB2312" w:cstheme="majorBidi"/>
      <w:kern w:val="0"/>
      <w:szCs w:val="20"/>
    </w:rPr>
  </w:style>
  <w:style w:type="paragraph" w:customStyle="1" w:styleId="3322">
    <w:name w:val="Normal (Web)1"/>
    <w:basedOn w:val="1"/>
    <w:qFormat/>
    <w:uiPriority w:val="0"/>
    <w:pPr>
      <w:widowControl/>
      <w:spacing w:before="100" w:beforeAutospacing="1" w:after="100" w:afterAutospacing="1" w:line="360" w:lineRule="auto"/>
      <w:ind w:firstLine="200" w:firstLineChars="200"/>
      <w:jc w:val="left"/>
    </w:pPr>
    <w:rPr>
      <w:rFonts w:ascii="宋体" w:cstheme="majorBidi"/>
      <w:kern w:val="0"/>
      <w:szCs w:val="20"/>
    </w:rPr>
  </w:style>
  <w:style w:type="paragraph" w:customStyle="1" w:styleId="3323">
    <w:name w:val="正文31"/>
    <w:qFormat/>
    <w:uiPriority w:val="0"/>
    <w:pPr>
      <w:widowControl w:val="0"/>
      <w:adjustRightInd w:val="0"/>
      <w:spacing w:line="315" w:lineRule="atLeast"/>
      <w:textAlignment w:val="baseline"/>
    </w:pPr>
    <w:rPr>
      <w:rFonts w:ascii="宋体" w:hAnsiTheme="majorHAnsi" w:eastAsiaTheme="majorEastAsia" w:cstheme="majorBidi"/>
      <w:sz w:val="24"/>
      <w:szCs w:val="22"/>
      <w:lang w:val="en-US" w:eastAsia="zh-CN" w:bidi="ar-SA"/>
    </w:rPr>
  </w:style>
  <w:style w:type="paragraph" w:customStyle="1" w:styleId="3324">
    <w:name w:val="样式 标题 1 + 居中"/>
    <w:basedOn w:val="3"/>
    <w:qFormat/>
    <w:uiPriority w:val="0"/>
    <w:pPr>
      <w:keepNext w:val="0"/>
      <w:widowControl/>
      <w:numPr>
        <w:numId w:val="0"/>
      </w:numPr>
      <w:tabs>
        <w:tab w:val="clear" w:pos="0"/>
      </w:tabs>
      <w:autoSpaceDE w:val="0"/>
      <w:spacing w:line="600" w:lineRule="auto"/>
      <w:ind w:firstLine="200"/>
      <w:contextualSpacing/>
    </w:pPr>
    <w:rPr>
      <w:rFonts w:ascii="Cambria" w:hAnsi="Cambria" w:eastAsia="宋体" w:cs="宋体"/>
      <w:smallCaps/>
      <w:spacing w:val="5"/>
      <w:kern w:val="32"/>
      <w:sz w:val="32"/>
      <w:szCs w:val="32"/>
    </w:rPr>
  </w:style>
  <w:style w:type="paragraph" w:customStyle="1" w:styleId="3325">
    <w:name w:val="项目"/>
    <w:basedOn w:val="1"/>
    <w:qFormat/>
    <w:uiPriority w:val="0"/>
    <w:pPr>
      <w:widowControl/>
      <w:adjustRightInd w:val="0"/>
      <w:spacing w:before="60" w:line="320" w:lineRule="atLeast"/>
      <w:ind w:left="400" w:leftChars="400" w:firstLine="200" w:firstLineChars="200"/>
      <w:jc w:val="left"/>
    </w:pPr>
    <w:rPr>
      <w:rFonts w:cstheme="majorBidi"/>
      <w:kern w:val="0"/>
      <w:szCs w:val="20"/>
    </w:rPr>
  </w:style>
  <w:style w:type="paragraph" w:customStyle="1" w:styleId="3326">
    <w:name w:val="myformat_content Char"/>
    <w:basedOn w:val="1"/>
    <w:qFormat/>
    <w:uiPriority w:val="0"/>
    <w:pPr>
      <w:widowControl/>
      <w:spacing w:beforeLines="50" w:afterLines="50" w:line="360" w:lineRule="exact"/>
      <w:ind w:firstLine="200" w:firstLineChars="200"/>
      <w:jc w:val="left"/>
    </w:pPr>
    <w:rPr>
      <w:rFonts w:cstheme="majorBidi"/>
      <w:kern w:val="0"/>
      <w:szCs w:val="20"/>
    </w:rPr>
  </w:style>
  <w:style w:type="paragraph" w:customStyle="1" w:styleId="3327">
    <w:name w:val="Char Char Char1 Char Char Char1"/>
    <w:basedOn w:val="1"/>
    <w:qFormat/>
    <w:uiPriority w:val="0"/>
    <w:pPr>
      <w:widowControl/>
      <w:spacing w:line="360" w:lineRule="auto"/>
      <w:ind w:firstLine="200" w:firstLineChars="200"/>
      <w:jc w:val="left"/>
    </w:pPr>
    <w:rPr>
      <w:rFonts w:ascii="宋体" w:cs="宋体"/>
      <w:kern w:val="0"/>
      <w:szCs w:val="20"/>
    </w:rPr>
  </w:style>
  <w:style w:type="paragraph" w:customStyle="1" w:styleId="3328">
    <w:name w:val="样式96"/>
    <w:basedOn w:val="3227"/>
    <w:qFormat/>
    <w:uiPriority w:val="0"/>
    <w:pPr>
      <w:spacing w:beforeLines="50" w:afterLines="50" w:line="360" w:lineRule="auto"/>
      <w:ind w:firstLine="480"/>
    </w:pPr>
    <w:rPr>
      <w:rFonts w:hAnsi="Courier New" w:eastAsia="宋体" w:cs="Courier New"/>
      <w:kern w:val="2"/>
      <w:szCs w:val="24"/>
    </w:rPr>
  </w:style>
  <w:style w:type="paragraph" w:customStyle="1" w:styleId="3329">
    <w:name w:val="xl143"/>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360" w:lineRule="auto"/>
      <w:ind w:firstLine="200" w:firstLineChars="200"/>
      <w:jc w:val="center"/>
    </w:pPr>
    <w:rPr>
      <w:rFonts w:ascii="宋体" w:hAnsi="宋体" w:cs="宋体"/>
      <w:kern w:val="0"/>
      <w:sz w:val="20"/>
      <w:szCs w:val="20"/>
    </w:rPr>
  </w:style>
  <w:style w:type="paragraph" w:customStyle="1" w:styleId="3330">
    <w:name w:val="样式 四号 行距: 1.5 倍行距 首行缩进:  2 字符"/>
    <w:basedOn w:val="1"/>
    <w:qFormat/>
    <w:uiPriority w:val="0"/>
    <w:pPr>
      <w:widowControl/>
      <w:spacing w:line="360" w:lineRule="auto"/>
      <w:ind w:firstLine="200" w:firstLineChars="200"/>
      <w:jc w:val="left"/>
    </w:pPr>
    <w:rPr>
      <w:rFonts w:cs="宋体"/>
      <w:kern w:val="0"/>
      <w:sz w:val="28"/>
      <w:szCs w:val="20"/>
    </w:rPr>
  </w:style>
  <w:style w:type="paragraph" w:customStyle="1" w:styleId="3331">
    <w:name w:val="样式 正文缩进正文缩进 Char正文缩进1 Char正文缩进1正文（首行缩进两字） Char正文缩进 Char Cha..."/>
    <w:basedOn w:val="7"/>
    <w:qFormat/>
    <w:uiPriority w:val="0"/>
    <w:pPr>
      <w:widowControl/>
      <w:spacing w:beforeLines="50" w:line="360" w:lineRule="auto"/>
      <w:ind w:firstLine="567"/>
    </w:pPr>
    <w:rPr>
      <w:rFonts w:ascii="Calibri" w:hAnsi="Calibri" w:cs="宋体"/>
      <w:kern w:val="0"/>
      <w:szCs w:val="20"/>
    </w:rPr>
  </w:style>
  <w:style w:type="paragraph" w:customStyle="1" w:styleId="3332">
    <w:name w:val="样式 hh5-图名与表名 + 加粗 Char"/>
    <w:basedOn w:val="1"/>
    <w:qFormat/>
    <w:uiPriority w:val="0"/>
    <w:pPr>
      <w:widowControl/>
      <w:spacing w:line="300" w:lineRule="exact"/>
      <w:ind w:firstLine="200" w:firstLineChars="200"/>
      <w:jc w:val="center"/>
    </w:pPr>
    <w:rPr>
      <w:rFonts w:ascii="黑体" w:eastAsia="黑体" w:cs="Arial"/>
      <w:b/>
      <w:bCs/>
      <w:kern w:val="0"/>
      <w:szCs w:val="22"/>
    </w:rPr>
  </w:style>
  <w:style w:type="paragraph" w:customStyle="1" w:styleId="3333">
    <w:name w:val="T表格"/>
    <w:qFormat/>
    <w:uiPriority w:val="0"/>
    <w:pPr>
      <w:spacing w:line="360" w:lineRule="auto"/>
      <w:jc w:val="center"/>
    </w:pPr>
    <w:rPr>
      <w:rFonts w:asciiTheme="majorHAnsi" w:hAnsiTheme="majorHAnsi" w:eastAsiaTheme="majorEastAsia" w:cstheme="majorBidi"/>
      <w:sz w:val="22"/>
      <w:szCs w:val="22"/>
      <w:lang w:val="en-US" w:eastAsia="zh-CN" w:bidi="ar-SA"/>
    </w:rPr>
  </w:style>
  <w:style w:type="paragraph" w:customStyle="1" w:styleId="3334">
    <w:name w:val="表内文"/>
    <w:basedOn w:val="7"/>
    <w:qFormat/>
    <w:uiPriority w:val="0"/>
    <w:pPr>
      <w:widowControl/>
      <w:spacing w:beforeLines="10" w:afterLines="10"/>
      <w:ind w:firstLine="200"/>
    </w:pPr>
    <w:rPr>
      <w:rFonts w:ascii="新宋体" w:hAnsi="Calibri" w:eastAsia="新宋体" w:cs="Arial"/>
      <w:spacing w:val="1"/>
      <w:w w:val="90"/>
      <w:kern w:val="0"/>
      <w:sz w:val="22"/>
      <w:szCs w:val="16"/>
    </w:rPr>
  </w:style>
  <w:style w:type="paragraph" w:customStyle="1" w:styleId="3335">
    <w:name w:val="ST20_1"/>
    <w:basedOn w:val="1"/>
    <w:qFormat/>
    <w:uiPriority w:val="0"/>
    <w:pPr>
      <w:widowControl/>
      <w:autoSpaceDE w:val="0"/>
      <w:autoSpaceDN w:val="0"/>
      <w:adjustRightInd w:val="0"/>
      <w:spacing w:line="312" w:lineRule="atLeast"/>
      <w:ind w:firstLine="200" w:firstLineChars="200"/>
      <w:jc w:val="center"/>
    </w:pPr>
    <w:rPr>
      <w:rFonts w:ascii="宋体" w:cstheme="majorBidi"/>
      <w:kern w:val="0"/>
      <w:szCs w:val="20"/>
    </w:rPr>
  </w:style>
  <w:style w:type="paragraph" w:customStyle="1" w:styleId="3336">
    <w:name w:val="样式 小四 行距: 1.5 倍行距 首行缩进:  2 字符"/>
    <w:basedOn w:val="1"/>
    <w:qFormat/>
    <w:uiPriority w:val="0"/>
    <w:pPr>
      <w:widowControl/>
      <w:spacing w:line="360" w:lineRule="auto"/>
      <w:ind w:firstLine="200" w:firstLineChars="200"/>
      <w:jc w:val="left"/>
    </w:pPr>
    <w:rPr>
      <w:rFonts w:cs="宋体"/>
      <w:kern w:val="0"/>
      <w:szCs w:val="20"/>
    </w:rPr>
  </w:style>
  <w:style w:type="paragraph" w:customStyle="1" w:styleId="3337">
    <w:name w:val="样式 标题 1 + (中文) 楷体_GB2312 段前: 15.6 磅 段后: 7.8 磅 行距: 固定值 25 磅"/>
    <w:basedOn w:val="3"/>
    <w:qFormat/>
    <w:uiPriority w:val="0"/>
    <w:pPr>
      <w:keepNext w:val="0"/>
      <w:widowControl/>
      <w:numPr>
        <w:numId w:val="0"/>
      </w:numPr>
      <w:tabs>
        <w:tab w:val="left" w:pos="5760"/>
        <w:tab w:val="clear" w:pos="0"/>
      </w:tabs>
      <w:spacing w:before="100" w:beforeAutospacing="1" w:after="100" w:afterAutospacing="1" w:line="640" w:lineRule="exact"/>
      <w:ind w:firstLine="200"/>
      <w:contextualSpacing/>
    </w:pPr>
    <w:rPr>
      <w:rFonts w:ascii="Cambria" w:hAnsi="Cambria" w:eastAsia="楷体_GB2312" w:cs="宋体"/>
      <w:smallCaps/>
      <w:spacing w:val="5"/>
      <w:kern w:val="32"/>
      <w:sz w:val="32"/>
      <w:szCs w:val="20"/>
    </w:rPr>
  </w:style>
  <w:style w:type="paragraph" w:customStyle="1" w:styleId="3338">
    <w:name w:val="hao01-0"/>
    <w:qFormat/>
    <w:uiPriority w:val="0"/>
    <w:pPr>
      <w:spacing w:line="360" w:lineRule="auto"/>
      <w:ind w:firstLine="200" w:firstLineChars="200"/>
    </w:pPr>
    <w:rPr>
      <w:rFonts w:asciiTheme="majorHAnsi" w:hAnsiTheme="majorHAnsi" w:eastAsiaTheme="majorEastAsia" w:cstheme="majorBidi"/>
      <w:kern w:val="2"/>
      <w:sz w:val="24"/>
      <w:szCs w:val="24"/>
      <w:lang w:val="en-US" w:eastAsia="zh-CN" w:bidi="ar-SA"/>
    </w:rPr>
  </w:style>
  <w:style w:type="paragraph" w:customStyle="1" w:styleId="3339">
    <w:name w:val="Char4 Char Char Char Char Char Char"/>
    <w:basedOn w:val="1"/>
    <w:qFormat/>
    <w:uiPriority w:val="0"/>
    <w:pPr>
      <w:widowControl/>
      <w:spacing w:line="360" w:lineRule="auto"/>
      <w:ind w:firstLine="200" w:firstLineChars="200"/>
      <w:jc w:val="left"/>
    </w:pPr>
    <w:rPr>
      <w:rFonts w:cstheme="majorBidi"/>
      <w:kern w:val="0"/>
      <w:szCs w:val="20"/>
    </w:rPr>
  </w:style>
  <w:style w:type="paragraph" w:customStyle="1" w:styleId="3340">
    <w:name w:val="注释"/>
    <w:basedOn w:val="1"/>
    <w:qFormat/>
    <w:uiPriority w:val="0"/>
    <w:pPr>
      <w:widowControl/>
      <w:spacing w:line="360" w:lineRule="exact"/>
      <w:ind w:firstLine="200" w:firstLineChars="200"/>
      <w:jc w:val="left"/>
    </w:pPr>
    <w:rPr>
      <w:rFonts w:cstheme="majorBidi"/>
      <w:kern w:val="0"/>
      <w:szCs w:val="22"/>
    </w:rPr>
  </w:style>
  <w:style w:type="paragraph" w:customStyle="1" w:styleId="3341">
    <w:name w:val="环调标题1"/>
    <w:basedOn w:val="3"/>
    <w:qFormat/>
    <w:uiPriority w:val="0"/>
    <w:pPr>
      <w:keepNext w:val="0"/>
      <w:widowControl/>
      <w:numPr>
        <w:numId w:val="0"/>
      </w:numPr>
      <w:tabs>
        <w:tab w:val="clear" w:pos="0"/>
      </w:tabs>
      <w:snapToGrid w:val="0"/>
      <w:spacing w:before="340" w:beforeLines="100" w:after="330" w:afterLines="100" w:line="360" w:lineRule="auto"/>
      <w:ind w:firstLine="200"/>
      <w:contextualSpacing/>
      <w:jc w:val="left"/>
    </w:pPr>
    <w:rPr>
      <w:rFonts w:ascii="Calibri" w:hAnsi="Calibri" w:eastAsia="宋体" w:cs="Arial"/>
      <w:smallCaps/>
      <w:spacing w:val="5"/>
      <w:kern w:val="32"/>
      <w:sz w:val="32"/>
      <w:szCs w:val="32"/>
    </w:rPr>
  </w:style>
  <w:style w:type="paragraph" w:customStyle="1" w:styleId="3342">
    <w:name w:val="正文王"/>
    <w:basedOn w:val="45"/>
    <w:qFormat/>
    <w:uiPriority w:val="0"/>
    <w:pPr>
      <w:widowControl/>
      <w:adjustRightInd/>
      <w:snapToGrid w:val="0"/>
      <w:spacing w:line="440" w:lineRule="exact"/>
      <w:ind w:firstLine="200" w:firstLineChars="200"/>
      <w:jc w:val="left"/>
      <w:textAlignment w:val="auto"/>
    </w:pPr>
    <w:rPr>
      <w:rFonts w:ascii="Arial" w:hAnsi="Arial"/>
      <w:sz w:val="20"/>
      <w:szCs w:val="20"/>
    </w:rPr>
  </w:style>
  <w:style w:type="paragraph" w:customStyle="1" w:styleId="3343">
    <w:name w:val="表头及表尾"/>
    <w:qFormat/>
    <w:uiPriority w:val="0"/>
    <w:pPr>
      <w:tabs>
        <w:tab w:val="center" w:pos="4200"/>
        <w:tab w:val="right" w:pos="8400"/>
      </w:tabs>
      <w:adjustRightInd w:val="0"/>
      <w:snapToGrid w:val="0"/>
      <w:spacing w:line="360" w:lineRule="auto"/>
    </w:pPr>
    <w:rPr>
      <w:rFonts w:asciiTheme="majorHAnsi" w:hAnsiTheme="majorHAnsi" w:eastAsiaTheme="majorEastAsia" w:cstheme="majorBidi"/>
      <w:b/>
      <w:sz w:val="22"/>
      <w:szCs w:val="21"/>
      <w:lang w:val="en-US" w:eastAsia="zh-CN" w:bidi="ar-SA"/>
    </w:rPr>
  </w:style>
  <w:style w:type="paragraph" w:customStyle="1" w:styleId="3344">
    <w:name w:val="纯文本3"/>
    <w:basedOn w:val="1"/>
    <w:qFormat/>
    <w:uiPriority w:val="0"/>
    <w:pPr>
      <w:widowControl/>
      <w:spacing w:line="360" w:lineRule="auto"/>
      <w:ind w:firstLine="200" w:firstLineChars="200"/>
      <w:jc w:val="left"/>
    </w:pPr>
    <w:rPr>
      <w:rFonts w:ascii="宋体" w:cs="宋体"/>
      <w:kern w:val="0"/>
      <w:szCs w:val="21"/>
    </w:rPr>
  </w:style>
  <w:style w:type="paragraph" w:customStyle="1" w:styleId="3345">
    <w:name w:val="表的内容"/>
    <w:basedOn w:val="1"/>
    <w:next w:val="1"/>
    <w:qFormat/>
    <w:uiPriority w:val="0"/>
    <w:pPr>
      <w:widowControl/>
      <w:spacing w:line="360" w:lineRule="auto"/>
      <w:ind w:firstLine="200" w:firstLineChars="200"/>
      <w:jc w:val="left"/>
    </w:pPr>
    <w:rPr>
      <w:rFonts w:cstheme="majorBidi"/>
      <w:kern w:val="0"/>
      <w:position w:val="-20"/>
      <w:szCs w:val="20"/>
    </w:rPr>
  </w:style>
  <w:style w:type="paragraph" w:customStyle="1" w:styleId="3346">
    <w:name w:val="表格文字（居中）"/>
    <w:basedOn w:val="1"/>
    <w:qFormat/>
    <w:uiPriority w:val="0"/>
    <w:pPr>
      <w:widowControl/>
      <w:spacing w:line="360" w:lineRule="auto"/>
      <w:ind w:firstLine="200" w:firstLineChars="200"/>
      <w:jc w:val="center"/>
    </w:pPr>
    <w:rPr>
      <w:rFonts w:cstheme="majorBidi"/>
      <w:kern w:val="0"/>
      <w:szCs w:val="20"/>
    </w:rPr>
  </w:style>
  <w:style w:type="paragraph" w:customStyle="1" w:styleId="3347">
    <w:name w:val="hao01-T"/>
    <w:next w:val="3338"/>
    <w:qFormat/>
    <w:uiPriority w:val="0"/>
    <w:pPr>
      <w:spacing w:line="360" w:lineRule="auto"/>
      <w:jc w:val="center"/>
    </w:pPr>
    <w:rPr>
      <w:rFonts w:asciiTheme="majorHAnsi" w:hAnsiTheme="majorHAnsi" w:eastAsiaTheme="majorEastAsia" w:cstheme="majorBidi"/>
      <w:kern w:val="2"/>
      <w:sz w:val="24"/>
      <w:szCs w:val="22"/>
      <w:lang w:val="en-US" w:eastAsia="zh-CN" w:bidi="ar-SA"/>
    </w:rPr>
  </w:style>
  <w:style w:type="paragraph" w:customStyle="1" w:styleId="3348">
    <w:name w:val="样式86"/>
    <w:basedOn w:val="2757"/>
    <w:qFormat/>
    <w:uiPriority w:val="0"/>
    <w:rPr>
      <w:rFonts w:hAnsi="Calibri" w:cs="Arial"/>
      <w:bCs w:val="0"/>
    </w:rPr>
  </w:style>
  <w:style w:type="paragraph" w:customStyle="1" w:styleId="3349">
    <w:name w:val="xl153"/>
    <w:basedOn w:val="1"/>
    <w:qFormat/>
    <w:uiPriority w:val="0"/>
    <w:pPr>
      <w:widowControl/>
      <w:pBdr>
        <w:top w:val="single" w:color="auto" w:sz="4" w:space="0"/>
        <w:left w:val="single" w:color="auto" w:sz="4" w:space="0"/>
        <w:bottom w:val="single" w:color="auto" w:sz="4" w:space="0"/>
        <w:right w:val="single" w:color="auto" w:sz="4" w:space="0"/>
      </w:pBdr>
      <w:shd w:val="clear" w:color="000000" w:fill="FFFFFF"/>
      <w:spacing w:before="100" w:beforeAutospacing="1" w:after="100" w:afterAutospacing="1" w:line="360" w:lineRule="auto"/>
      <w:ind w:firstLine="200" w:firstLineChars="200"/>
      <w:jc w:val="left"/>
    </w:pPr>
    <w:rPr>
      <w:rFonts w:ascii="宋体" w:hAnsi="宋体" w:cs="宋体"/>
      <w:b/>
      <w:bCs/>
      <w:kern w:val="0"/>
      <w:sz w:val="20"/>
      <w:szCs w:val="20"/>
    </w:rPr>
  </w:style>
  <w:style w:type="paragraph" w:customStyle="1" w:styleId="3350">
    <w:name w:val="样式 首行缩进:  2 字符 行距: 1.5 倍行距"/>
    <w:basedOn w:val="1"/>
    <w:qFormat/>
    <w:uiPriority w:val="0"/>
    <w:pPr>
      <w:widowControl/>
      <w:spacing w:line="400" w:lineRule="exact"/>
      <w:ind w:firstLine="200" w:firstLineChars="200"/>
      <w:jc w:val="left"/>
    </w:pPr>
    <w:rPr>
      <w:rFonts w:cstheme="majorBidi"/>
      <w:kern w:val="0"/>
      <w:szCs w:val="20"/>
    </w:rPr>
  </w:style>
  <w:style w:type="paragraph" w:customStyle="1" w:styleId="3351">
    <w:name w:val="样式 标题 1 + 段前: 0.5 行 段后: 0.5 行"/>
    <w:basedOn w:val="3"/>
    <w:qFormat/>
    <w:uiPriority w:val="0"/>
    <w:pPr>
      <w:keepNext w:val="0"/>
      <w:widowControl/>
      <w:numPr>
        <w:ilvl w:val="0"/>
        <w:numId w:val="0"/>
      </w:numPr>
      <w:tabs>
        <w:tab w:val="left" w:pos="425"/>
        <w:tab w:val="clear" w:pos="0"/>
      </w:tabs>
      <w:spacing w:before="340" w:beforeLines="50" w:after="330" w:afterLines="50" w:line="360" w:lineRule="auto"/>
      <w:ind w:firstLine="200"/>
      <w:contextualSpacing/>
      <w:jc w:val="left"/>
    </w:pPr>
    <w:rPr>
      <w:rFonts w:ascii="Cambria" w:hAnsi="Cambria" w:cs="宋体"/>
      <w:b w:val="0"/>
      <w:bCs/>
      <w:smallCaps/>
      <w:spacing w:val="5"/>
      <w:kern w:val="32"/>
      <w:sz w:val="30"/>
      <w:szCs w:val="20"/>
    </w:rPr>
  </w:style>
  <w:style w:type="paragraph" w:customStyle="1" w:styleId="3352">
    <w:name w:val="样式 正文首行缩进:  2 字符 + 首行缩进:  2 字符"/>
    <w:basedOn w:val="1"/>
    <w:qFormat/>
    <w:uiPriority w:val="0"/>
    <w:pPr>
      <w:widowControl/>
      <w:spacing w:line="360" w:lineRule="auto"/>
      <w:ind w:firstLine="480" w:firstLineChars="200"/>
      <w:jc w:val="left"/>
    </w:pPr>
    <w:rPr>
      <w:rFonts w:cstheme="majorBidi"/>
      <w:kern w:val="0"/>
      <w:szCs w:val="20"/>
    </w:rPr>
  </w:style>
  <w:style w:type="paragraph" w:customStyle="1" w:styleId="3353">
    <w:name w:val="1安宁正文"/>
    <w:basedOn w:val="1"/>
    <w:qFormat/>
    <w:uiPriority w:val="0"/>
    <w:pPr>
      <w:widowControl/>
      <w:spacing w:line="360" w:lineRule="auto"/>
      <w:ind w:firstLine="560" w:firstLineChars="200"/>
      <w:jc w:val="left"/>
    </w:pPr>
    <w:rPr>
      <w:rFonts w:cs="宋体"/>
      <w:kern w:val="0"/>
      <w:sz w:val="28"/>
      <w:szCs w:val="20"/>
    </w:rPr>
  </w:style>
  <w:style w:type="paragraph" w:customStyle="1" w:styleId="3354">
    <w:name w:val="环小四文中说明"/>
    <w:qFormat/>
    <w:uiPriority w:val="0"/>
    <w:pPr>
      <w:widowControl w:val="0"/>
      <w:spacing w:beforeLines="50" w:afterLines="50" w:line="500" w:lineRule="exact"/>
      <w:ind w:firstLine="200" w:firstLineChars="200"/>
      <w:jc w:val="both"/>
    </w:pPr>
    <w:rPr>
      <w:rFonts w:ascii="宋体" w:cs="Arial" w:hAnsiTheme="majorHAnsi" w:eastAsiaTheme="majorEastAsia"/>
      <w:kern w:val="2"/>
      <w:sz w:val="24"/>
      <w:szCs w:val="24"/>
      <w:lang w:val="en-US" w:eastAsia="zh-CN" w:bidi="ar-SA"/>
    </w:rPr>
  </w:style>
  <w:style w:type="paragraph" w:customStyle="1" w:styleId="3355">
    <w:name w:val="正文文本 23"/>
    <w:basedOn w:val="1"/>
    <w:uiPriority w:val="0"/>
    <w:pPr>
      <w:widowControl/>
      <w:overflowPunct w:val="0"/>
      <w:autoSpaceDE w:val="0"/>
      <w:autoSpaceDN w:val="0"/>
      <w:spacing w:line="360" w:lineRule="auto"/>
      <w:ind w:left="991" w:hanging="567" w:firstLineChars="200"/>
      <w:jc w:val="left"/>
    </w:pPr>
    <w:rPr>
      <w:rFonts w:cstheme="majorBidi"/>
      <w:kern w:val="0"/>
      <w:sz w:val="28"/>
      <w:szCs w:val="20"/>
    </w:rPr>
  </w:style>
  <w:style w:type="paragraph" w:customStyle="1" w:styleId="3356">
    <w:name w:val="环调标题2"/>
    <w:basedOn w:val="4"/>
    <w:qFormat/>
    <w:uiPriority w:val="0"/>
    <w:pPr>
      <w:keepNext w:val="0"/>
      <w:keepLines w:val="0"/>
      <w:widowControl/>
      <w:numPr>
        <w:ilvl w:val="0"/>
        <w:numId w:val="0"/>
      </w:numPr>
      <w:snapToGrid w:val="0"/>
      <w:spacing w:before="260" w:beforeLines="50" w:after="260" w:afterLines="50"/>
      <w:ind w:left="100" w:leftChars="100" w:right="100" w:rightChars="100" w:firstLine="200"/>
      <w:jc w:val="left"/>
    </w:pPr>
    <w:rPr>
      <w:rFonts w:ascii="Calibri" w:hAnsi="Calibri" w:eastAsia="宋体" w:cs="Arial"/>
      <w:i/>
      <w:iCs/>
      <w:smallCaps/>
      <w:kern w:val="0"/>
      <w:sz w:val="30"/>
      <w:szCs w:val="28"/>
    </w:rPr>
  </w:style>
  <w:style w:type="paragraph" w:customStyle="1" w:styleId="3357">
    <w:name w:val="样式87"/>
    <w:basedOn w:val="2757"/>
    <w:qFormat/>
    <w:uiPriority w:val="0"/>
    <w:rPr>
      <w:rFonts w:ascii="Times New Roman" w:cs="Arial"/>
    </w:rPr>
  </w:style>
  <w:style w:type="paragraph" w:customStyle="1" w:styleId="3358">
    <w:name w:val="5文章(治)"/>
    <w:basedOn w:val="1"/>
    <w:qFormat/>
    <w:uiPriority w:val="0"/>
    <w:pPr>
      <w:widowControl/>
      <w:spacing w:line="360" w:lineRule="auto"/>
      <w:ind w:firstLine="560" w:firstLineChars="200"/>
      <w:jc w:val="left"/>
    </w:pPr>
    <w:rPr>
      <w:rFonts w:eastAsia="楷体_GB2312" w:cstheme="majorBidi"/>
      <w:kern w:val="0"/>
      <w:sz w:val="28"/>
      <w:szCs w:val="20"/>
    </w:rPr>
  </w:style>
  <w:style w:type="paragraph" w:customStyle="1" w:styleId="3359">
    <w:name w:val="第二标题"/>
    <w:basedOn w:val="4"/>
    <w:qFormat/>
    <w:uiPriority w:val="0"/>
    <w:pPr>
      <w:keepNext w:val="0"/>
      <w:keepLines w:val="0"/>
      <w:widowControl/>
      <w:numPr>
        <w:ilvl w:val="0"/>
        <w:numId w:val="0"/>
      </w:numPr>
      <w:tabs>
        <w:tab w:val="left" w:pos="0"/>
      </w:tabs>
      <w:adjustRightInd w:val="0"/>
      <w:snapToGrid w:val="0"/>
      <w:spacing w:before="260" w:beforeLines="50" w:after="260" w:afterLines="50"/>
      <w:ind w:firstLine="200"/>
      <w:jc w:val="left"/>
    </w:pPr>
    <w:rPr>
      <w:rFonts w:ascii="Calibri" w:hAnsi="Calibri" w:eastAsia="宋体" w:cs="Arial"/>
      <w:i/>
      <w:iCs/>
      <w:smallCaps/>
      <w:kern w:val="0"/>
      <w:sz w:val="30"/>
      <w:szCs w:val="22"/>
    </w:rPr>
  </w:style>
  <w:style w:type="paragraph" w:customStyle="1" w:styleId="3360">
    <w:name w:val="样式129"/>
    <w:basedOn w:val="1"/>
    <w:qFormat/>
    <w:uiPriority w:val="0"/>
    <w:pPr>
      <w:widowControl/>
      <w:adjustRightInd w:val="0"/>
      <w:spacing w:line="260" w:lineRule="exact"/>
      <w:ind w:firstLine="200" w:firstLineChars="200"/>
      <w:jc w:val="center"/>
    </w:pPr>
    <w:rPr>
      <w:rFonts w:cstheme="majorBidi"/>
      <w:bCs/>
      <w:color w:val="000000"/>
      <w:kern w:val="0"/>
      <w:sz w:val="20"/>
      <w:szCs w:val="13"/>
    </w:rPr>
  </w:style>
  <w:style w:type="paragraph" w:customStyle="1" w:styleId="3361">
    <w:name w:val="5 Char"/>
    <w:basedOn w:val="1"/>
    <w:qFormat/>
    <w:uiPriority w:val="0"/>
    <w:pPr>
      <w:widowControl/>
      <w:spacing w:line="360" w:lineRule="auto"/>
      <w:ind w:firstLine="200" w:firstLineChars="200"/>
      <w:jc w:val="left"/>
    </w:pPr>
    <w:rPr>
      <w:rFonts w:cstheme="majorBidi"/>
      <w:kern w:val="0"/>
      <w:szCs w:val="20"/>
    </w:rPr>
  </w:style>
  <w:style w:type="paragraph" w:customStyle="1" w:styleId="3362">
    <w:name w:val="封面2"/>
    <w:basedOn w:val="1"/>
    <w:qFormat/>
    <w:uiPriority w:val="0"/>
    <w:pPr>
      <w:widowControl/>
      <w:spacing w:line="360" w:lineRule="auto"/>
      <w:ind w:firstLine="200" w:firstLineChars="200"/>
      <w:jc w:val="center"/>
    </w:pPr>
    <w:rPr>
      <w:rFonts w:cstheme="majorBidi"/>
      <w:b/>
      <w:kern w:val="0"/>
      <w:sz w:val="44"/>
      <w:szCs w:val="20"/>
    </w:rPr>
  </w:style>
  <w:style w:type="paragraph" w:customStyle="1" w:styleId="3363">
    <w:name w:val="正文样式一"/>
    <w:basedOn w:val="1"/>
    <w:qFormat/>
    <w:uiPriority w:val="0"/>
    <w:pPr>
      <w:widowControl/>
      <w:spacing w:line="400" w:lineRule="atLeast"/>
      <w:ind w:firstLine="510" w:firstLineChars="200"/>
      <w:jc w:val="left"/>
    </w:pPr>
    <w:rPr>
      <w:rFonts w:cstheme="majorBidi"/>
      <w:kern w:val="0"/>
      <w:szCs w:val="20"/>
    </w:rPr>
  </w:style>
  <w:style w:type="paragraph" w:customStyle="1" w:styleId="3364">
    <w:name w:val="样式 四号 首行缩进:  2 字符"/>
    <w:basedOn w:val="1"/>
    <w:qFormat/>
    <w:uiPriority w:val="0"/>
    <w:pPr>
      <w:widowControl/>
      <w:spacing w:line="360" w:lineRule="auto"/>
      <w:ind w:firstLine="200" w:firstLineChars="200"/>
      <w:jc w:val="left"/>
    </w:pPr>
    <w:rPr>
      <w:rFonts w:cs="宋体"/>
      <w:kern w:val="0"/>
      <w:sz w:val="28"/>
      <w:szCs w:val="20"/>
    </w:rPr>
  </w:style>
  <w:style w:type="paragraph" w:customStyle="1" w:styleId="3365">
    <w:name w:val="沥青表"/>
    <w:basedOn w:val="1"/>
    <w:qFormat/>
    <w:uiPriority w:val="0"/>
    <w:pPr>
      <w:widowControl/>
      <w:adjustRightInd w:val="0"/>
      <w:spacing w:line="0" w:lineRule="atLeast"/>
      <w:ind w:firstLine="200" w:firstLineChars="200"/>
      <w:jc w:val="center"/>
    </w:pPr>
    <w:rPr>
      <w:rFonts w:cstheme="majorBidi"/>
      <w:spacing w:val="10"/>
      <w:kern w:val="0"/>
      <w:szCs w:val="20"/>
    </w:rPr>
  </w:style>
  <w:style w:type="paragraph" w:customStyle="1" w:styleId="3366">
    <w:name w:val="Char1 Char Char Char Char Char Char1"/>
    <w:basedOn w:val="1"/>
    <w:uiPriority w:val="0"/>
    <w:pPr>
      <w:widowControl/>
      <w:spacing w:line="360" w:lineRule="auto"/>
      <w:ind w:left="-48" w:firstLine="200" w:firstLineChars="200"/>
      <w:jc w:val="left"/>
    </w:pPr>
    <w:rPr>
      <w:rFonts w:cstheme="majorBidi"/>
      <w:kern w:val="0"/>
    </w:rPr>
  </w:style>
  <w:style w:type="paragraph" w:customStyle="1" w:styleId="3367">
    <w:name w:val="中气附件"/>
    <w:basedOn w:val="3"/>
    <w:qFormat/>
    <w:uiPriority w:val="0"/>
    <w:pPr>
      <w:keepNext w:val="0"/>
      <w:widowControl/>
      <w:numPr>
        <w:numId w:val="0"/>
      </w:numPr>
      <w:tabs>
        <w:tab w:val="clear" w:pos="0"/>
      </w:tabs>
      <w:spacing w:before="240" w:after="240" w:line="360" w:lineRule="auto"/>
      <w:ind w:firstLine="200"/>
      <w:contextualSpacing/>
      <w:jc w:val="right"/>
    </w:pPr>
    <w:rPr>
      <w:rFonts w:ascii="黑体" w:hAnsi="Cambria" w:cs="Arial"/>
      <w:b w:val="0"/>
      <w:smallCaps/>
      <w:spacing w:val="5"/>
      <w:kern w:val="32"/>
      <w:sz w:val="32"/>
      <w:szCs w:val="32"/>
    </w:rPr>
  </w:style>
  <w:style w:type="paragraph" w:customStyle="1" w:styleId="3368">
    <w:name w:val="表目录"/>
    <w:basedOn w:val="1"/>
    <w:qFormat/>
    <w:uiPriority w:val="0"/>
    <w:pPr>
      <w:widowControl/>
      <w:adjustRightInd w:val="0"/>
      <w:snapToGrid w:val="0"/>
      <w:spacing w:line="360" w:lineRule="auto"/>
      <w:ind w:firstLine="200" w:firstLineChars="200"/>
      <w:jc w:val="left"/>
    </w:pPr>
    <w:rPr>
      <w:rFonts w:ascii="黑体" w:eastAsia="黑体" w:cstheme="majorBidi"/>
      <w:kern w:val="0"/>
      <w:szCs w:val="20"/>
    </w:rPr>
  </w:style>
  <w:style w:type="paragraph" w:customStyle="1" w:styleId="3369">
    <w:name w:val="xl148"/>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360" w:lineRule="auto"/>
      <w:ind w:firstLine="200" w:firstLineChars="200"/>
      <w:jc w:val="center"/>
    </w:pPr>
    <w:rPr>
      <w:rFonts w:ascii="宋体" w:hAnsi="宋体" w:cs="宋体"/>
      <w:kern w:val="0"/>
      <w:sz w:val="20"/>
      <w:szCs w:val="20"/>
    </w:rPr>
  </w:style>
  <w:style w:type="paragraph" w:customStyle="1" w:styleId="3370">
    <w:name w:val="文本框文字"/>
    <w:basedOn w:val="1"/>
    <w:qFormat/>
    <w:uiPriority w:val="0"/>
    <w:pPr>
      <w:widowControl/>
      <w:spacing w:line="360" w:lineRule="auto"/>
      <w:ind w:firstLine="200" w:firstLineChars="200"/>
      <w:jc w:val="center"/>
    </w:pPr>
    <w:rPr>
      <w:rFonts w:cstheme="majorBidi"/>
      <w:kern w:val="0"/>
    </w:rPr>
  </w:style>
  <w:style w:type="paragraph" w:customStyle="1" w:styleId="3371">
    <w:name w:val="xl141"/>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360" w:lineRule="auto"/>
      <w:ind w:firstLine="200" w:firstLineChars="200"/>
      <w:jc w:val="center"/>
    </w:pPr>
    <w:rPr>
      <w:rFonts w:ascii="宋体" w:hAnsi="宋体" w:cs="宋体"/>
      <w:kern w:val="0"/>
      <w:sz w:val="20"/>
      <w:szCs w:val="20"/>
    </w:rPr>
  </w:style>
  <w:style w:type="paragraph" w:customStyle="1" w:styleId="3372">
    <w:name w:val="图表目录1"/>
    <w:basedOn w:val="1"/>
    <w:next w:val="1"/>
    <w:qFormat/>
    <w:uiPriority w:val="0"/>
    <w:pPr>
      <w:widowControl/>
      <w:spacing w:afterLines="50" w:line="360" w:lineRule="auto"/>
      <w:ind w:left="400" w:leftChars="200" w:hanging="200" w:hangingChars="200"/>
      <w:jc w:val="left"/>
    </w:pPr>
    <w:rPr>
      <w:rFonts w:cstheme="majorBidi"/>
      <w:kern w:val="0"/>
      <w:szCs w:val="21"/>
    </w:rPr>
  </w:style>
  <w:style w:type="paragraph" w:customStyle="1" w:styleId="3373">
    <w:name w:val="三级"/>
    <w:basedOn w:val="5"/>
    <w:qFormat/>
    <w:uiPriority w:val="0"/>
    <w:pPr>
      <w:keepNext w:val="0"/>
      <w:keepLines w:val="0"/>
      <w:widowControl/>
      <w:numPr>
        <w:ilvl w:val="0"/>
        <w:numId w:val="0"/>
      </w:numPr>
      <w:adjustRightInd w:val="0"/>
      <w:snapToGrid w:val="0"/>
      <w:spacing w:beforeLines="50" w:afterLines="50" w:line="360" w:lineRule="auto"/>
      <w:ind w:firstLine="200"/>
      <w:jc w:val="left"/>
    </w:pPr>
    <w:rPr>
      <w:rFonts w:ascii="黑体" w:hAnsi="宋体" w:cstheme="majorBidi"/>
      <w:bCs w:val="0"/>
      <w:iCs/>
      <w:smallCaps/>
      <w:spacing w:val="5"/>
      <w:kern w:val="0"/>
      <w:sz w:val="24"/>
      <w:szCs w:val="26"/>
    </w:rPr>
  </w:style>
  <w:style w:type="paragraph" w:customStyle="1" w:styleId="3374">
    <w:name w:val="封面1"/>
    <w:basedOn w:val="1"/>
    <w:qFormat/>
    <w:uiPriority w:val="0"/>
    <w:pPr>
      <w:widowControl/>
      <w:pBdr>
        <w:top w:val="single" w:color="auto" w:sz="4" w:space="0"/>
        <w:left w:val="single" w:color="auto" w:sz="4" w:space="0"/>
        <w:bottom w:val="single" w:color="auto" w:sz="4" w:space="0"/>
        <w:right w:val="single" w:color="auto" w:sz="4" w:space="0"/>
      </w:pBdr>
      <w:spacing w:line="300" w:lineRule="auto"/>
      <w:ind w:firstLine="200" w:firstLineChars="200"/>
      <w:jc w:val="left"/>
    </w:pPr>
    <w:rPr>
      <w:rFonts w:cstheme="majorBidi"/>
      <w:b/>
      <w:bCs/>
      <w:color w:val="000000"/>
      <w:kern w:val="0"/>
      <w:sz w:val="32"/>
      <w:szCs w:val="20"/>
    </w:rPr>
  </w:style>
  <w:style w:type="paragraph" w:customStyle="1" w:styleId="3375">
    <w:name w:val="样式 标题 3 + 段前: 0.5 行 段后: 0.5 行"/>
    <w:basedOn w:val="6"/>
    <w:qFormat/>
    <w:uiPriority w:val="0"/>
    <w:pPr>
      <w:keepNext w:val="0"/>
      <w:keepLines w:val="0"/>
      <w:widowControl/>
      <w:numPr>
        <w:ilvl w:val="0"/>
        <w:numId w:val="0"/>
      </w:numPr>
      <w:tabs>
        <w:tab w:val="left" w:pos="2132"/>
      </w:tabs>
      <w:spacing w:before="280" w:after="290" w:afterLines="50" w:line="360" w:lineRule="auto"/>
      <w:ind w:left="864" w:hanging="864"/>
      <w:jc w:val="left"/>
    </w:pPr>
    <w:rPr>
      <w:rFonts w:ascii="Calibri" w:hAnsi="Calibri" w:cs="宋体"/>
      <w:b w:val="0"/>
      <w:bCs w:val="0"/>
      <w:spacing w:val="5"/>
      <w:kern w:val="0"/>
      <w:sz w:val="24"/>
      <w:szCs w:val="20"/>
    </w:rPr>
  </w:style>
  <w:style w:type="paragraph" w:customStyle="1" w:styleId="3376">
    <w:name w:val="little"/>
    <w:basedOn w:val="1"/>
    <w:qFormat/>
    <w:uiPriority w:val="0"/>
    <w:pPr>
      <w:widowControl/>
      <w:spacing w:before="100" w:beforeAutospacing="1" w:after="100" w:afterAutospacing="1" w:line="360" w:lineRule="auto"/>
      <w:ind w:firstLine="200" w:firstLineChars="200"/>
      <w:jc w:val="left"/>
    </w:pPr>
    <w:rPr>
      <w:rFonts w:ascii="宋体" w:cs="宋体"/>
      <w:kern w:val="0"/>
      <w:szCs w:val="20"/>
    </w:rPr>
  </w:style>
  <w:style w:type="paragraph" w:customStyle="1" w:styleId="3377">
    <w:name w:val="表格文字（小五）"/>
    <w:basedOn w:val="76"/>
    <w:next w:val="7"/>
    <w:qFormat/>
    <w:uiPriority w:val="0"/>
    <w:pPr>
      <w:widowControl/>
      <w:tabs>
        <w:tab w:val="left" w:pos="3720"/>
      </w:tabs>
      <w:autoSpaceDE w:val="0"/>
      <w:autoSpaceDN w:val="0"/>
      <w:spacing w:line="300" w:lineRule="exact"/>
      <w:ind w:firstLine="200" w:firstLineChars="200"/>
      <w:jc w:val="center"/>
      <w:textAlignment w:val="bottom"/>
    </w:pPr>
    <w:rPr>
      <w:rFonts w:ascii="宋体" w:hAnsi="宋体" w:cstheme="majorBidi"/>
      <w:kern w:val="0"/>
      <w:sz w:val="18"/>
    </w:rPr>
  </w:style>
  <w:style w:type="paragraph" w:customStyle="1" w:styleId="3378">
    <w:name w:val="索引 11"/>
    <w:basedOn w:val="1"/>
    <w:next w:val="1"/>
    <w:qFormat/>
    <w:uiPriority w:val="0"/>
    <w:pPr>
      <w:widowControl/>
      <w:adjustRightInd w:val="0"/>
      <w:snapToGrid w:val="0"/>
      <w:spacing w:before="56" w:afterLines="50" w:line="240" w:lineRule="exact"/>
      <w:ind w:firstLine="200" w:firstLineChars="200"/>
      <w:jc w:val="center"/>
    </w:pPr>
    <w:rPr>
      <w:rFonts w:cstheme="majorBidi"/>
      <w:spacing w:val="-10"/>
      <w:kern w:val="0"/>
      <w:szCs w:val="21"/>
    </w:rPr>
  </w:style>
  <w:style w:type="paragraph" w:customStyle="1" w:styleId="3379">
    <w:name w:val="纯文本4"/>
    <w:basedOn w:val="1"/>
    <w:qFormat/>
    <w:uiPriority w:val="0"/>
    <w:pPr>
      <w:widowControl/>
      <w:adjustRightInd w:val="0"/>
      <w:spacing w:line="360" w:lineRule="auto"/>
      <w:ind w:firstLine="465" w:firstLineChars="200"/>
      <w:jc w:val="left"/>
      <w:textAlignment w:val="baseline"/>
    </w:pPr>
    <w:rPr>
      <w:rFonts w:ascii="宋体" w:cstheme="majorBidi"/>
      <w:kern w:val="0"/>
      <w:szCs w:val="20"/>
    </w:rPr>
  </w:style>
  <w:style w:type="paragraph" w:customStyle="1" w:styleId="3380">
    <w:name w:val="文档结构图12"/>
    <w:basedOn w:val="1"/>
    <w:qFormat/>
    <w:uiPriority w:val="0"/>
    <w:pPr>
      <w:widowControl/>
      <w:shd w:val="clear" w:color="auto" w:fill="000080"/>
      <w:tabs>
        <w:tab w:val="left" w:pos="0"/>
      </w:tabs>
      <w:adjustRightInd w:val="0"/>
      <w:snapToGrid w:val="0"/>
      <w:spacing w:line="360" w:lineRule="auto"/>
      <w:ind w:right="-40" w:firstLine="595" w:firstLineChars="200"/>
      <w:jc w:val="left"/>
      <w:textAlignment w:val="center"/>
    </w:pPr>
    <w:rPr>
      <w:rFonts w:cstheme="majorBidi"/>
      <w:kern w:val="0"/>
      <w:szCs w:val="20"/>
    </w:rPr>
  </w:style>
  <w:style w:type="paragraph" w:customStyle="1" w:styleId="3381">
    <w:name w:val="批注框文本 Char Char"/>
    <w:basedOn w:val="1"/>
    <w:qFormat/>
    <w:uiPriority w:val="0"/>
    <w:pPr>
      <w:widowControl/>
      <w:spacing w:line="360" w:lineRule="auto"/>
      <w:ind w:firstLine="200" w:firstLineChars="200"/>
      <w:jc w:val="left"/>
    </w:pPr>
    <w:rPr>
      <w:rFonts w:cstheme="majorBidi"/>
      <w:kern w:val="0"/>
      <w:sz w:val="18"/>
      <w:szCs w:val="20"/>
    </w:rPr>
  </w:style>
  <w:style w:type="paragraph" w:customStyle="1" w:styleId="3382">
    <w:name w:val="xl140"/>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360" w:lineRule="auto"/>
      <w:ind w:firstLine="200" w:firstLineChars="200"/>
      <w:jc w:val="center"/>
    </w:pPr>
    <w:rPr>
      <w:rFonts w:ascii="宋体" w:hAnsi="宋体" w:cs="宋体"/>
      <w:kern w:val="0"/>
      <w:sz w:val="20"/>
      <w:szCs w:val="20"/>
    </w:rPr>
  </w:style>
  <w:style w:type="paragraph" w:customStyle="1" w:styleId="3383">
    <w:name w:val="xl152"/>
    <w:basedOn w:val="1"/>
    <w:uiPriority w:val="0"/>
    <w:pPr>
      <w:widowControl/>
      <w:pBdr>
        <w:top w:val="single" w:color="auto" w:sz="4" w:space="0"/>
        <w:left w:val="single" w:color="auto" w:sz="4" w:space="0"/>
        <w:bottom w:val="single" w:color="auto" w:sz="4" w:space="0"/>
      </w:pBdr>
      <w:shd w:val="clear" w:color="000000" w:fill="FFFFFF"/>
      <w:spacing w:before="100" w:beforeAutospacing="1" w:after="100" w:afterAutospacing="1" w:line="360" w:lineRule="auto"/>
      <w:ind w:firstLine="200" w:firstLineChars="200"/>
      <w:jc w:val="center"/>
    </w:pPr>
    <w:rPr>
      <w:rFonts w:ascii="宋体" w:hAnsi="宋体" w:cs="宋体"/>
      <w:b/>
      <w:bCs/>
      <w:kern w:val="0"/>
      <w:szCs w:val="22"/>
    </w:rPr>
  </w:style>
  <w:style w:type="paragraph" w:customStyle="1" w:styleId="3384">
    <w:name w:val="xl146"/>
    <w:basedOn w:val="1"/>
    <w:qFormat/>
    <w:uiPriority w:val="0"/>
    <w:pPr>
      <w:widowControl/>
      <w:pBdr>
        <w:top w:val="single" w:color="auto" w:sz="4" w:space="0"/>
        <w:left w:val="single" w:color="auto" w:sz="4" w:space="0"/>
        <w:bottom w:val="single" w:color="auto" w:sz="4" w:space="0"/>
        <w:right w:val="single" w:color="auto" w:sz="4" w:space="0"/>
      </w:pBdr>
      <w:shd w:val="clear" w:color="000000" w:fill="FFFFFF"/>
      <w:spacing w:before="100" w:beforeAutospacing="1" w:after="100" w:afterAutospacing="1" w:line="360" w:lineRule="auto"/>
      <w:ind w:firstLine="200" w:firstLineChars="200"/>
      <w:jc w:val="center"/>
    </w:pPr>
    <w:rPr>
      <w:rFonts w:ascii="宋体" w:hAnsi="宋体" w:cs="宋体"/>
      <w:kern w:val="0"/>
      <w:sz w:val="20"/>
      <w:szCs w:val="20"/>
    </w:rPr>
  </w:style>
  <w:style w:type="paragraph" w:customStyle="1" w:styleId="3385">
    <w:name w:val="缺省文本"/>
    <w:qFormat/>
    <w:uiPriority w:val="0"/>
    <w:pPr>
      <w:widowControl w:val="0"/>
      <w:autoSpaceDE w:val="0"/>
      <w:autoSpaceDN w:val="0"/>
      <w:adjustRightInd w:val="0"/>
      <w:spacing w:line="360" w:lineRule="auto"/>
    </w:pPr>
    <w:rPr>
      <w:rFonts w:asciiTheme="majorHAnsi" w:hAnsiTheme="majorHAnsi" w:eastAsiaTheme="majorEastAsia" w:cstheme="majorBidi"/>
      <w:color w:val="000000"/>
      <w:sz w:val="22"/>
      <w:szCs w:val="24"/>
      <w:lang w:val="en-US" w:eastAsia="zh-CN" w:bidi="ar-SA"/>
    </w:rPr>
  </w:style>
  <w:style w:type="paragraph" w:customStyle="1" w:styleId="3386">
    <w:name w:val="样式98"/>
    <w:basedOn w:val="1"/>
    <w:qFormat/>
    <w:uiPriority w:val="0"/>
    <w:pPr>
      <w:widowControl/>
      <w:adjustRightInd w:val="0"/>
      <w:spacing w:afterLines="50" w:line="315" w:lineRule="atLeast"/>
      <w:ind w:firstLine="200" w:firstLineChars="200"/>
      <w:jc w:val="left"/>
    </w:pPr>
    <w:rPr>
      <w:rFonts w:cstheme="majorBidi"/>
      <w:kern w:val="0"/>
      <w:szCs w:val="20"/>
    </w:rPr>
  </w:style>
  <w:style w:type="paragraph" w:customStyle="1" w:styleId="3387">
    <w:name w:val="中气表头"/>
    <w:basedOn w:val="1"/>
    <w:qFormat/>
    <w:uiPriority w:val="0"/>
    <w:pPr>
      <w:widowControl/>
      <w:spacing w:line="360" w:lineRule="auto"/>
      <w:ind w:firstLine="200" w:firstLineChars="200"/>
      <w:jc w:val="center"/>
    </w:pPr>
    <w:rPr>
      <w:rFonts w:ascii="黑体" w:eastAsia="黑体" w:cs="Arial"/>
      <w:b/>
      <w:kern w:val="0"/>
      <w:szCs w:val="21"/>
    </w:rPr>
  </w:style>
  <w:style w:type="paragraph" w:customStyle="1" w:styleId="3388">
    <w:name w:val="MFS正文 Char Char"/>
    <w:basedOn w:val="86"/>
    <w:qFormat/>
    <w:uiPriority w:val="0"/>
    <w:pPr>
      <w:widowControl/>
      <w:spacing w:before="93" w:after="120" w:line="360" w:lineRule="auto"/>
      <w:jc w:val="left"/>
    </w:pPr>
    <w:rPr>
      <w:rFonts w:eastAsia="楷体_GB2312" w:cstheme="majorBidi"/>
      <w:kern w:val="0"/>
      <w:sz w:val="24"/>
      <w:szCs w:val="20"/>
    </w:rPr>
  </w:style>
  <w:style w:type="paragraph" w:customStyle="1" w:styleId="3389">
    <w:name w:val="样式 报告 + 首行缩进:  2 字符 段前: 3 磅 段后: 3 磅"/>
    <w:basedOn w:val="1"/>
    <w:qFormat/>
    <w:uiPriority w:val="0"/>
    <w:pPr>
      <w:widowControl/>
      <w:overflowPunct w:val="0"/>
      <w:autoSpaceDE w:val="0"/>
      <w:autoSpaceDN w:val="0"/>
      <w:adjustRightInd w:val="0"/>
      <w:spacing w:before="60" w:after="60" w:line="400" w:lineRule="atLeast"/>
      <w:ind w:firstLine="200" w:firstLineChars="200"/>
      <w:jc w:val="left"/>
    </w:pPr>
    <w:rPr>
      <w:rFonts w:cs="宋体"/>
      <w:kern w:val="0"/>
      <w:szCs w:val="20"/>
    </w:rPr>
  </w:style>
  <w:style w:type="paragraph" w:customStyle="1" w:styleId="3390">
    <w:name w:val="xl138"/>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360" w:lineRule="auto"/>
      <w:ind w:firstLine="200" w:firstLineChars="200"/>
      <w:jc w:val="center"/>
    </w:pPr>
    <w:rPr>
      <w:rFonts w:ascii="宋体" w:hAnsi="宋体" w:cs="宋体"/>
      <w:kern w:val="0"/>
      <w:sz w:val="20"/>
      <w:szCs w:val="20"/>
    </w:rPr>
  </w:style>
  <w:style w:type="paragraph" w:customStyle="1" w:styleId="3391">
    <w:name w:val="xl142"/>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360" w:lineRule="auto"/>
      <w:ind w:firstLine="200" w:firstLineChars="200"/>
      <w:jc w:val="left"/>
    </w:pPr>
    <w:rPr>
      <w:rFonts w:ascii="宋体" w:hAnsi="宋体" w:cs="宋体"/>
      <w:kern w:val="0"/>
      <w:sz w:val="20"/>
      <w:szCs w:val="20"/>
    </w:rPr>
  </w:style>
  <w:style w:type="paragraph" w:customStyle="1" w:styleId="3392">
    <w:name w:val="段落1 Char"/>
    <w:basedOn w:val="1"/>
    <w:qFormat/>
    <w:uiPriority w:val="0"/>
    <w:pPr>
      <w:widowControl/>
      <w:adjustRightInd w:val="0"/>
      <w:spacing w:line="440" w:lineRule="exact"/>
      <w:ind w:firstLine="200" w:firstLineChars="200"/>
      <w:jc w:val="left"/>
    </w:pPr>
    <w:rPr>
      <w:rFonts w:cstheme="majorBidi"/>
      <w:spacing w:val="8"/>
      <w:kern w:val="0"/>
      <w:szCs w:val="20"/>
    </w:rPr>
  </w:style>
  <w:style w:type="paragraph" w:customStyle="1" w:styleId="3393">
    <w:name w:val="样式 标题 2 + 宋体"/>
    <w:basedOn w:val="4"/>
    <w:qFormat/>
    <w:uiPriority w:val="0"/>
    <w:pPr>
      <w:keepNext w:val="0"/>
      <w:keepLines w:val="0"/>
      <w:widowControl/>
      <w:numPr>
        <w:ilvl w:val="0"/>
        <w:numId w:val="0"/>
      </w:numPr>
      <w:tabs>
        <w:tab w:val="left" w:pos="992"/>
        <w:tab w:val="right" w:pos="8640"/>
      </w:tabs>
      <w:overflowPunct w:val="0"/>
      <w:autoSpaceDE w:val="0"/>
      <w:autoSpaceDN w:val="0"/>
      <w:adjustRightInd w:val="0"/>
      <w:spacing w:before="260" w:beforeLines="50"/>
      <w:ind w:left="991" w:right="482" w:hanging="567"/>
      <w:jc w:val="left"/>
    </w:pPr>
    <w:rPr>
      <w:rFonts w:ascii="宋体" w:hAnsi="Arial Unicode MS" w:eastAsia="宋体"/>
      <w:b w:val="0"/>
      <w:bCs w:val="0"/>
      <w:i/>
      <w:iCs/>
      <w:smallCaps/>
      <w:kern w:val="28"/>
      <w:sz w:val="28"/>
    </w:rPr>
  </w:style>
  <w:style w:type="paragraph" w:customStyle="1" w:styleId="3394">
    <w:name w:val="1图名"/>
    <w:basedOn w:val="1"/>
    <w:qFormat/>
    <w:uiPriority w:val="0"/>
    <w:pPr>
      <w:widowControl/>
      <w:spacing w:line="360" w:lineRule="auto"/>
      <w:ind w:firstLine="560" w:firstLineChars="200"/>
      <w:jc w:val="center"/>
    </w:pPr>
    <w:rPr>
      <w:rFonts w:cs="宋体"/>
      <w:kern w:val="0"/>
      <w:sz w:val="28"/>
      <w:szCs w:val="20"/>
    </w:rPr>
  </w:style>
  <w:style w:type="paragraph" w:customStyle="1" w:styleId="3395">
    <w:name w:val="正文zz"/>
    <w:qFormat/>
    <w:uiPriority w:val="0"/>
    <w:pPr>
      <w:spacing w:line="360" w:lineRule="auto"/>
      <w:ind w:firstLine="200" w:firstLineChars="200"/>
    </w:pPr>
    <w:rPr>
      <w:rFonts w:cs="Arial" w:asciiTheme="majorHAnsi" w:hAnsiTheme="majorHAnsi" w:eastAsiaTheme="majorEastAsia"/>
      <w:kern w:val="2"/>
      <w:sz w:val="24"/>
      <w:szCs w:val="24"/>
      <w:lang w:val="en-US" w:eastAsia="zh-CN" w:bidi="ar-SA"/>
    </w:rPr>
  </w:style>
  <w:style w:type="paragraph" w:customStyle="1" w:styleId="3396">
    <w:name w:val="自定义正文 Char Char Char Char"/>
    <w:qFormat/>
    <w:uiPriority w:val="0"/>
    <w:pPr>
      <w:widowControl w:val="0"/>
      <w:topLinePunct/>
      <w:adjustRightInd w:val="0"/>
      <w:snapToGrid w:val="0"/>
      <w:spacing w:line="360" w:lineRule="auto"/>
      <w:ind w:firstLine="510"/>
      <w:jc w:val="both"/>
    </w:pPr>
    <w:rPr>
      <w:rFonts w:asciiTheme="majorHAnsi" w:hAnsiTheme="majorHAnsi" w:eastAsiaTheme="majorEastAsia" w:cstheme="majorBidi"/>
      <w:kern w:val="2"/>
      <w:position w:val="-28"/>
      <w:sz w:val="28"/>
      <w:szCs w:val="28"/>
      <w:lang w:val="en-US" w:eastAsia="zh-CN" w:bidi="ar-SA"/>
    </w:rPr>
  </w:style>
  <w:style w:type="paragraph" w:customStyle="1" w:styleId="3397">
    <w:name w:val="编号"/>
    <w:basedOn w:val="2652"/>
    <w:qFormat/>
    <w:uiPriority w:val="0"/>
    <w:pPr>
      <w:tabs>
        <w:tab w:val="left" w:pos="1140"/>
        <w:tab w:val="left" w:pos="2585"/>
      </w:tabs>
      <w:ind w:left="1140" w:hanging="720"/>
    </w:pPr>
  </w:style>
  <w:style w:type="paragraph" w:customStyle="1" w:styleId="3398">
    <w:name w:val="Char Char1 Char Char Char Char Char Char Char Char Char Char Char Char Char Char Char Char Char Char Char Char1 Char1"/>
    <w:basedOn w:val="1"/>
    <w:qFormat/>
    <w:uiPriority w:val="0"/>
    <w:pPr>
      <w:widowControl/>
      <w:spacing w:line="360" w:lineRule="auto"/>
      <w:ind w:firstLine="200" w:firstLineChars="200"/>
      <w:jc w:val="left"/>
    </w:pPr>
    <w:rPr>
      <w:rFonts w:ascii="宋体" w:cs="宋体"/>
      <w:kern w:val="0"/>
    </w:rPr>
  </w:style>
  <w:style w:type="paragraph" w:customStyle="1" w:styleId="3399">
    <w:name w:val="目录1"/>
    <w:basedOn w:val="1"/>
    <w:next w:val="1"/>
    <w:qFormat/>
    <w:uiPriority w:val="0"/>
    <w:pPr>
      <w:widowControl/>
      <w:spacing w:beforeLines="30" w:afterLines="30" w:line="400" w:lineRule="exact"/>
      <w:ind w:firstLine="200" w:firstLineChars="200"/>
      <w:jc w:val="left"/>
    </w:pPr>
    <w:rPr>
      <w:rFonts w:ascii="Arial" w:hAnsi="Arial" w:eastAsia="黑体" w:cstheme="majorBidi"/>
      <w:spacing w:val="10"/>
      <w:w w:val="90"/>
      <w:kern w:val="21"/>
      <w:szCs w:val="20"/>
    </w:rPr>
  </w:style>
  <w:style w:type="paragraph" w:customStyle="1" w:styleId="3400">
    <w:name w:val="我的样式"/>
    <w:basedOn w:val="1"/>
    <w:qFormat/>
    <w:uiPriority w:val="0"/>
    <w:pPr>
      <w:widowControl/>
      <w:spacing w:line="360" w:lineRule="auto"/>
      <w:ind w:firstLine="230" w:firstLineChars="230"/>
      <w:jc w:val="left"/>
    </w:pPr>
    <w:rPr>
      <w:rFonts w:cstheme="majorBidi"/>
      <w:kern w:val="0"/>
      <w:szCs w:val="20"/>
    </w:rPr>
  </w:style>
  <w:style w:type="paragraph" w:customStyle="1" w:styleId="3401">
    <w:name w:val="目录4"/>
    <w:basedOn w:val="44"/>
    <w:next w:val="1"/>
    <w:qFormat/>
    <w:uiPriority w:val="0"/>
    <w:pPr>
      <w:widowControl/>
      <w:tabs>
        <w:tab w:val="right" w:leader="dot" w:pos="8313"/>
      </w:tabs>
      <w:autoSpaceDE w:val="0"/>
      <w:autoSpaceDN w:val="0"/>
      <w:spacing w:line="360" w:lineRule="auto"/>
      <w:ind w:firstLine="1531" w:firstLineChars="200"/>
    </w:pPr>
    <w:rPr>
      <w:rFonts w:hAnsi="Times New Roman" w:eastAsia="仿宋体" w:cstheme="majorBidi"/>
      <w:b/>
      <w:bCs/>
      <w:i w:val="0"/>
      <w:kern w:val="0"/>
      <w:sz w:val="28"/>
    </w:rPr>
  </w:style>
  <w:style w:type="paragraph" w:customStyle="1" w:styleId="3402">
    <w:name w:val="xl145"/>
    <w:basedOn w:val="1"/>
    <w:qFormat/>
    <w:uiPriority w:val="0"/>
    <w:pPr>
      <w:widowControl/>
      <w:pBdr>
        <w:top w:val="single" w:color="auto" w:sz="4" w:space="0"/>
        <w:left w:val="single" w:color="auto" w:sz="4" w:space="0"/>
        <w:bottom w:val="single" w:color="auto" w:sz="4" w:space="0"/>
        <w:right w:val="single" w:color="auto" w:sz="4" w:space="0"/>
      </w:pBdr>
      <w:shd w:val="clear" w:color="000000" w:fill="FFFFFF"/>
      <w:spacing w:before="100" w:beforeAutospacing="1" w:after="100" w:afterAutospacing="1" w:line="360" w:lineRule="auto"/>
      <w:ind w:firstLine="200" w:firstLineChars="200"/>
      <w:jc w:val="center"/>
    </w:pPr>
    <w:rPr>
      <w:rFonts w:ascii="宋体" w:hAnsi="宋体" w:cs="宋体"/>
      <w:kern w:val="0"/>
      <w:sz w:val="20"/>
      <w:szCs w:val="20"/>
    </w:rPr>
  </w:style>
  <w:style w:type="paragraph" w:customStyle="1" w:styleId="3403">
    <w:name w:val="正文样式3"/>
    <w:basedOn w:val="1"/>
    <w:uiPriority w:val="0"/>
    <w:pPr>
      <w:widowControl/>
      <w:adjustRightInd w:val="0"/>
      <w:spacing w:line="20" w:lineRule="atLeast"/>
      <w:ind w:firstLine="200" w:firstLineChars="200"/>
      <w:jc w:val="center"/>
    </w:pPr>
    <w:rPr>
      <w:rFonts w:cstheme="majorBidi"/>
      <w:kern w:val="0"/>
      <w:szCs w:val="20"/>
    </w:rPr>
  </w:style>
  <w:style w:type="paragraph" w:customStyle="1" w:styleId="3404">
    <w:name w:val="Char1 Char Char Char1"/>
    <w:basedOn w:val="1"/>
    <w:qFormat/>
    <w:uiPriority w:val="0"/>
    <w:pPr>
      <w:widowControl/>
      <w:spacing w:line="360" w:lineRule="auto"/>
      <w:ind w:firstLine="200" w:firstLineChars="200"/>
      <w:jc w:val="left"/>
    </w:pPr>
    <w:rPr>
      <w:rFonts w:cstheme="majorBidi"/>
      <w:kern w:val="0"/>
    </w:rPr>
  </w:style>
  <w:style w:type="paragraph" w:customStyle="1" w:styleId="3405">
    <w:name w:val="Char Char Char Char Char Char1 Char Char Char Char"/>
    <w:basedOn w:val="1"/>
    <w:qFormat/>
    <w:uiPriority w:val="0"/>
    <w:pPr>
      <w:widowControl/>
      <w:spacing w:after="160" w:line="240" w:lineRule="exact"/>
      <w:ind w:firstLine="200" w:firstLineChars="200"/>
      <w:jc w:val="left"/>
    </w:pPr>
    <w:rPr>
      <w:rFonts w:ascii="Verdana" w:hAnsi="Verdana" w:eastAsia="仿宋_GB2312" w:cstheme="majorBidi"/>
      <w:kern w:val="0"/>
      <w:sz w:val="30"/>
      <w:szCs w:val="30"/>
      <w:lang w:eastAsia="en-US"/>
    </w:rPr>
  </w:style>
  <w:style w:type="paragraph" w:customStyle="1" w:styleId="3406">
    <w:name w:val="xl139"/>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360" w:lineRule="auto"/>
      <w:ind w:firstLine="200" w:firstLineChars="200"/>
      <w:jc w:val="center"/>
      <w:textAlignment w:val="bottom"/>
    </w:pPr>
    <w:rPr>
      <w:rFonts w:ascii="宋体" w:hAnsi="宋体" w:cs="宋体"/>
      <w:kern w:val="0"/>
      <w:sz w:val="20"/>
      <w:szCs w:val="20"/>
    </w:rPr>
  </w:style>
  <w:style w:type="paragraph" w:customStyle="1" w:styleId="3407">
    <w:name w:val="xl149"/>
    <w:basedOn w:val="1"/>
    <w:uiPriority w:val="0"/>
    <w:pPr>
      <w:widowControl/>
      <w:pBdr>
        <w:left w:val="single" w:color="auto" w:sz="4" w:space="0"/>
        <w:bottom w:val="single" w:color="auto" w:sz="4" w:space="0"/>
        <w:right w:val="single" w:color="auto" w:sz="4" w:space="0"/>
      </w:pBdr>
      <w:spacing w:before="100" w:beforeAutospacing="1" w:after="100" w:afterAutospacing="1" w:line="360" w:lineRule="auto"/>
      <w:ind w:firstLine="200" w:firstLineChars="200"/>
      <w:jc w:val="center"/>
    </w:pPr>
    <w:rPr>
      <w:rFonts w:ascii="宋体" w:hAnsi="宋体" w:cs="宋体"/>
      <w:kern w:val="0"/>
      <w:sz w:val="20"/>
      <w:szCs w:val="20"/>
    </w:rPr>
  </w:style>
  <w:style w:type="paragraph" w:customStyle="1" w:styleId="3408">
    <w:name w:val="xl147"/>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360" w:lineRule="auto"/>
      <w:ind w:firstLine="200" w:firstLineChars="200"/>
      <w:jc w:val="left"/>
    </w:pPr>
    <w:rPr>
      <w:rFonts w:ascii="宋体" w:hAnsi="宋体" w:cs="宋体"/>
      <w:kern w:val="0"/>
      <w:sz w:val="20"/>
      <w:szCs w:val="20"/>
    </w:rPr>
  </w:style>
  <w:style w:type="paragraph" w:customStyle="1" w:styleId="3409">
    <w:name w:val="Char Char Char1 Char Char Char Char Char Char"/>
    <w:basedOn w:val="26"/>
    <w:qFormat/>
    <w:uiPriority w:val="0"/>
    <w:pPr>
      <w:widowControl/>
      <w:adjustRightInd w:val="0"/>
      <w:spacing w:line="436" w:lineRule="exact"/>
      <w:ind w:left="357" w:firstLine="200" w:firstLineChars="200"/>
      <w:jc w:val="left"/>
      <w:outlineLvl w:val="3"/>
    </w:pPr>
    <w:rPr>
      <w:rFonts w:ascii="Tahoma" w:hAnsi="Tahoma" w:cstheme="majorBidi"/>
      <w:b/>
      <w:kern w:val="0"/>
      <w:sz w:val="21"/>
      <w:szCs w:val="20"/>
    </w:rPr>
  </w:style>
  <w:style w:type="paragraph" w:customStyle="1" w:styleId="3410">
    <w:name w:val="正文（使用）"/>
    <w:basedOn w:val="7"/>
    <w:qFormat/>
    <w:uiPriority w:val="0"/>
    <w:pPr>
      <w:widowControl/>
      <w:spacing w:line="180" w:lineRule="auto"/>
      <w:ind w:firstLine="520"/>
    </w:pPr>
    <w:rPr>
      <w:rFonts w:ascii="宋体" w:hAnsi="宋体" w:cstheme="majorBidi"/>
      <w:spacing w:val="8"/>
      <w:kern w:val="0"/>
    </w:rPr>
  </w:style>
  <w:style w:type="paragraph" w:customStyle="1" w:styleId="3411">
    <w:name w:val="xl151"/>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360" w:lineRule="auto"/>
      <w:ind w:firstLine="200" w:firstLineChars="200"/>
      <w:jc w:val="center"/>
    </w:pPr>
    <w:rPr>
      <w:rFonts w:ascii="宋体" w:hAnsi="宋体" w:cs="宋体"/>
      <w:kern w:val="0"/>
      <w:szCs w:val="21"/>
    </w:rPr>
  </w:style>
  <w:style w:type="paragraph" w:customStyle="1" w:styleId="3412">
    <w:name w:val="Char Char Char1 Char Char Char"/>
    <w:basedOn w:val="1"/>
    <w:qFormat/>
    <w:uiPriority w:val="0"/>
    <w:pPr>
      <w:widowControl/>
      <w:spacing w:line="360" w:lineRule="auto"/>
      <w:ind w:firstLine="200" w:firstLineChars="200"/>
      <w:jc w:val="left"/>
    </w:pPr>
    <w:rPr>
      <w:rFonts w:ascii="宋体" w:cs="宋体"/>
      <w:kern w:val="0"/>
      <w:szCs w:val="20"/>
    </w:rPr>
  </w:style>
  <w:style w:type="paragraph" w:customStyle="1" w:styleId="3413">
    <w:name w:val="环调标题"/>
    <w:basedOn w:val="3"/>
    <w:qFormat/>
    <w:uiPriority w:val="0"/>
    <w:pPr>
      <w:keepNext w:val="0"/>
      <w:widowControl/>
      <w:numPr>
        <w:numId w:val="0"/>
      </w:numPr>
      <w:tabs>
        <w:tab w:val="clear" w:pos="0"/>
      </w:tabs>
      <w:snapToGrid w:val="0"/>
      <w:spacing w:before="340" w:beforeLines="100" w:after="330" w:afterLines="100" w:line="360" w:lineRule="auto"/>
      <w:ind w:firstLine="200"/>
      <w:contextualSpacing/>
    </w:pPr>
    <w:rPr>
      <w:rFonts w:ascii="Calibri" w:hAnsi="Calibri" w:eastAsia="宋体" w:cs="Arial"/>
      <w:smallCaps/>
      <w:spacing w:val="5"/>
      <w:kern w:val="32"/>
    </w:rPr>
  </w:style>
  <w:style w:type="paragraph" w:customStyle="1" w:styleId="3414">
    <w:name w:val="Char Char2 Char Char Char Char Char Char Char"/>
    <w:basedOn w:val="1"/>
    <w:qFormat/>
    <w:uiPriority w:val="0"/>
    <w:pPr>
      <w:widowControl/>
      <w:spacing w:line="360" w:lineRule="auto"/>
      <w:ind w:firstLine="200" w:firstLineChars="200"/>
      <w:jc w:val="left"/>
    </w:pPr>
    <w:rPr>
      <w:rFonts w:ascii="宋体" w:cs="宋体"/>
      <w:kern w:val="0"/>
      <w:szCs w:val="20"/>
    </w:rPr>
  </w:style>
  <w:style w:type="paragraph" w:customStyle="1" w:styleId="3415">
    <w:name w:val="a0"/>
    <w:basedOn w:val="1"/>
    <w:qFormat/>
    <w:uiPriority w:val="0"/>
    <w:pPr>
      <w:widowControl/>
      <w:spacing w:before="100" w:beforeAutospacing="1" w:after="100" w:afterAutospacing="1" w:line="360" w:lineRule="auto"/>
      <w:ind w:firstLine="200" w:firstLineChars="200"/>
      <w:jc w:val="left"/>
    </w:pPr>
    <w:rPr>
      <w:rFonts w:ascii="宋体" w:cs="宋体"/>
      <w:color w:val="000000"/>
      <w:kern w:val="0"/>
      <w:szCs w:val="20"/>
    </w:rPr>
  </w:style>
  <w:style w:type="paragraph" w:customStyle="1" w:styleId="3416">
    <w:name w:val="样式128"/>
    <w:basedOn w:val="3201"/>
    <w:qFormat/>
    <w:uiPriority w:val="0"/>
    <w:pPr>
      <w:snapToGrid w:val="0"/>
      <w:spacing w:beforeLines="0" w:afterLines="0" w:line="240" w:lineRule="atLeast"/>
      <w:ind w:firstLine="0"/>
      <w:jc w:val="center"/>
    </w:pPr>
    <w:rPr>
      <w:color w:val="000000"/>
      <w:szCs w:val="28"/>
      <w:u w:val="none"/>
    </w:rPr>
  </w:style>
  <w:style w:type="paragraph" w:customStyle="1" w:styleId="3417">
    <w:name w:val="p9"/>
    <w:basedOn w:val="1"/>
    <w:uiPriority w:val="0"/>
    <w:pPr>
      <w:widowControl/>
      <w:spacing w:before="100" w:beforeAutospacing="1" w:after="100" w:afterAutospacing="1" w:line="320" w:lineRule="atLeast"/>
      <w:ind w:firstLine="200" w:firstLineChars="200"/>
      <w:jc w:val="left"/>
    </w:pPr>
    <w:rPr>
      <w:rFonts w:ascii="Arial Unicode MS" w:hAnsi="Arial Unicode MS" w:eastAsia="Arial Unicode MS" w:cstheme="majorBidi"/>
      <w:kern w:val="0"/>
      <w:sz w:val="18"/>
      <w:szCs w:val="20"/>
    </w:rPr>
  </w:style>
  <w:style w:type="paragraph" w:customStyle="1" w:styleId="3418">
    <w:name w:val="Char4 Char Char Char Char Char Char1"/>
    <w:basedOn w:val="1"/>
    <w:uiPriority w:val="0"/>
    <w:pPr>
      <w:widowControl/>
      <w:spacing w:line="360" w:lineRule="auto"/>
      <w:ind w:firstLine="200" w:firstLineChars="200"/>
      <w:jc w:val="left"/>
    </w:pPr>
    <w:rPr>
      <w:rFonts w:ascii="宋体" w:hAnsi="宋体" w:cs="宋体"/>
      <w:kern w:val="0"/>
    </w:rPr>
  </w:style>
  <w:style w:type="paragraph" w:customStyle="1" w:styleId="3419">
    <w:name w:val="图表文字"/>
    <w:basedOn w:val="7"/>
    <w:qFormat/>
    <w:uiPriority w:val="0"/>
    <w:pPr>
      <w:widowControl/>
      <w:ind w:firstLine="200"/>
    </w:pPr>
    <w:rPr>
      <w:rFonts w:ascii="Calibri" w:hAnsi="Calibri" w:cstheme="majorBidi"/>
      <w:kern w:val="0"/>
      <w:sz w:val="21"/>
      <w:szCs w:val="21"/>
    </w:rPr>
  </w:style>
  <w:style w:type="paragraph" w:customStyle="1" w:styleId="3420">
    <w:name w:val="13"/>
    <w:basedOn w:val="1"/>
    <w:next w:val="45"/>
    <w:qFormat/>
    <w:uiPriority w:val="0"/>
    <w:pPr>
      <w:widowControl/>
      <w:spacing w:line="312" w:lineRule="auto"/>
      <w:ind w:firstLine="624" w:firstLineChars="200"/>
      <w:jc w:val="left"/>
    </w:pPr>
    <w:rPr>
      <w:rFonts w:hint="eastAsia" w:ascii="宋体" w:hAnsi="Courier New" w:cstheme="majorBidi"/>
      <w:w w:val="110"/>
      <w:kern w:val="0"/>
    </w:rPr>
  </w:style>
  <w:style w:type="paragraph" w:customStyle="1" w:styleId="3421">
    <w:name w:val="表标头"/>
    <w:basedOn w:val="1"/>
    <w:qFormat/>
    <w:uiPriority w:val="0"/>
    <w:pPr>
      <w:widowControl/>
      <w:spacing w:before="60" w:after="60" w:line="240" w:lineRule="atLeast"/>
      <w:ind w:firstLine="200" w:firstLineChars="200"/>
      <w:jc w:val="center"/>
    </w:pPr>
    <w:rPr>
      <w:rFonts w:cs="Arial"/>
      <w:b/>
      <w:bCs/>
      <w:kern w:val="0"/>
      <w:szCs w:val="22"/>
    </w:rPr>
  </w:style>
  <w:style w:type="character" w:customStyle="1" w:styleId="3422">
    <w:name w:val="列表项目符号 字符"/>
    <w:link w:val="24"/>
    <w:uiPriority w:val="0"/>
    <w:rPr>
      <w:rFonts w:ascii="宋体"/>
      <w:kern w:val="2"/>
      <w:sz w:val="24"/>
      <w:szCs w:val="24"/>
    </w:rPr>
  </w:style>
  <w:style w:type="character" w:customStyle="1" w:styleId="3423">
    <w:name w:val="引用 Char2"/>
    <w:basedOn w:val="133"/>
    <w:qFormat/>
    <w:uiPriority w:val="99"/>
    <w:rPr>
      <w:i/>
      <w:iCs/>
      <w:color w:val="000000" w:themeColor="text1"/>
      <w14:textFill>
        <w14:solidFill>
          <w14:schemeClr w14:val="tx1"/>
        </w14:solidFill>
      </w14:textFill>
    </w:rPr>
  </w:style>
  <w:style w:type="character" w:customStyle="1" w:styleId="3424">
    <w:name w:val="明显引用 Char2"/>
    <w:basedOn w:val="133"/>
    <w:qFormat/>
    <w:uiPriority w:val="99"/>
    <w:rPr>
      <w:b/>
      <w:bCs/>
      <w:i/>
      <w:iCs/>
      <w:color w:val="5B9BD5" w:themeColor="accent1"/>
      <w14:textFill>
        <w14:solidFill>
          <w14:schemeClr w14:val="accent1"/>
        </w14:solidFill>
      </w14:textFill>
    </w:rPr>
  </w:style>
  <w:style w:type="paragraph" w:customStyle="1" w:styleId="3425">
    <w:name w:val="格式-表格"/>
    <w:basedOn w:val="1"/>
    <w:link w:val="3426"/>
    <w:qFormat/>
    <w:uiPriority w:val="0"/>
    <w:pPr>
      <w:widowControl/>
      <w:ind w:firstLine="200" w:firstLineChars="200"/>
      <w:jc w:val="center"/>
    </w:pPr>
    <w:rPr>
      <w:kern w:val="0"/>
      <w:sz w:val="20"/>
      <w:szCs w:val="21"/>
    </w:rPr>
  </w:style>
  <w:style w:type="character" w:customStyle="1" w:styleId="3426">
    <w:name w:val="格式-表格 Char"/>
    <w:link w:val="3425"/>
    <w:qFormat/>
    <w:uiPriority w:val="0"/>
    <w:rPr>
      <w:szCs w:val="21"/>
    </w:rPr>
  </w:style>
  <w:style w:type="paragraph" w:customStyle="1" w:styleId="3427">
    <w:name w:val="2  级标题"/>
    <w:basedOn w:val="64"/>
    <w:qFormat/>
    <w:uiPriority w:val="0"/>
    <w:pPr>
      <w:keepNext/>
      <w:widowControl/>
      <w:numPr>
        <w:ilvl w:val="1"/>
        <w:numId w:val="41"/>
      </w:numPr>
      <w:adjustRightInd w:val="0"/>
      <w:snapToGrid w:val="0"/>
      <w:spacing w:before="260" w:beforeLines="150" w:afterLines="50" w:line="360" w:lineRule="auto"/>
      <w:ind w:firstLine="0" w:firstLineChars="200"/>
      <w:jc w:val="both"/>
    </w:pPr>
    <w:rPr>
      <w:rFonts w:ascii="Times New Roman" w:hAnsi="Times New Roman" w:eastAsia="黑体" w:cs="Times New Roman"/>
      <w:b w:val="0"/>
      <w:iCs/>
      <w:kern w:val="0"/>
      <w:sz w:val="28"/>
      <w:szCs w:val="24"/>
      <w:lang w:val="zh-CN"/>
    </w:rPr>
  </w:style>
  <w:style w:type="paragraph" w:customStyle="1" w:styleId="3428">
    <w:name w:val="1  级标题"/>
    <w:basedOn w:val="84"/>
    <w:qFormat/>
    <w:uiPriority w:val="0"/>
    <w:pPr>
      <w:numPr>
        <w:ilvl w:val="0"/>
        <w:numId w:val="41"/>
      </w:numPr>
      <w:adjustRightInd w:val="0"/>
      <w:snapToGrid w:val="0"/>
      <w:spacing w:before="340" w:after="330" w:line="240" w:lineRule="auto"/>
      <w:ind w:firstLine="0" w:firstLineChars="200"/>
    </w:pPr>
    <w:rPr>
      <w:rFonts w:ascii="Calibri" w:hAnsi="Calibri" w:eastAsia="黑体" w:cs="Calibri"/>
      <w:b w:val="0"/>
      <w:bCs w:val="0"/>
      <w:sz w:val="30"/>
      <w:szCs w:val="20"/>
      <w:lang w:val="zh-CN"/>
    </w:rPr>
  </w:style>
  <w:style w:type="character" w:customStyle="1" w:styleId="3429">
    <w:name w:val="报告书正文-宇宏 Char Char"/>
    <w:link w:val="3430"/>
    <w:qFormat/>
    <w:uiPriority w:val="0"/>
    <w:rPr>
      <w:kern w:val="2"/>
      <w:sz w:val="24"/>
      <w:szCs w:val="24"/>
    </w:rPr>
  </w:style>
  <w:style w:type="paragraph" w:customStyle="1" w:styleId="3430">
    <w:name w:val="报告书正文-宇宏"/>
    <w:basedOn w:val="1"/>
    <w:link w:val="3429"/>
    <w:qFormat/>
    <w:uiPriority w:val="0"/>
    <w:pPr>
      <w:spacing w:line="480" w:lineRule="exact"/>
      <w:ind w:firstLine="200" w:firstLineChars="200"/>
    </w:pPr>
  </w:style>
  <w:style w:type="character" w:customStyle="1" w:styleId="3431">
    <w:name w:val="正文（环） Char"/>
    <w:basedOn w:val="133"/>
    <w:link w:val="3432"/>
    <w:qFormat/>
    <w:locked/>
    <w:uiPriority w:val="0"/>
    <w:rPr>
      <w:rFonts w:cstheme="minorBidi"/>
      <w:kern w:val="2"/>
      <w:sz w:val="24"/>
      <w:szCs w:val="24"/>
    </w:rPr>
  </w:style>
  <w:style w:type="paragraph" w:customStyle="1" w:styleId="3432">
    <w:name w:val="正文（环）"/>
    <w:basedOn w:val="1"/>
    <w:link w:val="3431"/>
    <w:qFormat/>
    <w:uiPriority w:val="0"/>
    <w:pPr>
      <w:spacing w:line="360" w:lineRule="auto"/>
      <w:ind w:firstLine="200" w:firstLineChars="200"/>
    </w:pPr>
    <w:rPr>
      <w:rFonts w:cstheme="minorBidi"/>
    </w:rPr>
  </w:style>
  <w:style w:type="character" w:customStyle="1" w:styleId="3433">
    <w:name w:val="fontstyle01"/>
    <w:basedOn w:val="133"/>
    <w:qFormat/>
    <w:uiPriority w:val="0"/>
    <w:rPr>
      <w:rFonts w:hint="eastAsia" w:ascii="宋体" w:hAnsi="宋体" w:eastAsia="宋体"/>
      <w:color w:val="000000"/>
      <w:sz w:val="24"/>
      <w:szCs w:val="24"/>
    </w:rPr>
  </w:style>
  <w:style w:type="character" w:customStyle="1" w:styleId="3434">
    <w:name w:val="fontstyle21"/>
    <w:basedOn w:val="133"/>
    <w:qFormat/>
    <w:uiPriority w:val="0"/>
    <w:rPr>
      <w:rFonts w:hint="default" w:ascii="TimesNewRomanPSMT" w:hAnsi="TimesNewRomanPSMT"/>
      <w:color w:val="000000"/>
      <w:sz w:val="24"/>
      <w:szCs w:val="24"/>
    </w:rPr>
  </w:style>
  <w:style w:type="paragraph" w:customStyle="1" w:styleId="3435">
    <w:name w:val="报告正文格式"/>
    <w:basedOn w:val="1"/>
    <w:qFormat/>
    <w:uiPriority w:val="0"/>
    <w:pPr>
      <w:spacing w:line="360" w:lineRule="auto"/>
      <w:ind w:firstLine="480" w:firstLineChars="200"/>
    </w:pPr>
    <w:rPr>
      <w:szCs w:val="20"/>
    </w:rPr>
  </w:style>
  <w:style w:type="paragraph" w:customStyle="1" w:styleId="3436">
    <w:name w:val="编号-正文章条4级标题和3级条(不进目录)"/>
    <w:basedOn w:val="1"/>
    <w:qFormat/>
    <w:uiPriority w:val="0"/>
    <w:pPr>
      <w:ind w:firstLine="200" w:firstLineChars="200"/>
      <w:outlineLvl w:val="3"/>
    </w:pPr>
    <w:rPr>
      <w:rFonts w:ascii="Arial" w:hAnsi="Arial"/>
    </w:rPr>
  </w:style>
  <w:style w:type="character" w:customStyle="1" w:styleId="3437">
    <w:name w:val="fontstyle11"/>
    <w:basedOn w:val="133"/>
    <w:qFormat/>
    <w:uiPriority w:val="0"/>
    <w:rPr>
      <w:rFonts w:hint="default" w:ascii="Arial" w:hAnsi="Arial" w:cs="Arial"/>
      <w:color w:val="000000"/>
      <w:sz w:val="22"/>
      <w:szCs w:val="22"/>
    </w:rPr>
  </w:style>
  <w:style w:type="character" w:customStyle="1" w:styleId="3438">
    <w:name w:val="fontstyle31"/>
    <w:basedOn w:val="133"/>
    <w:qFormat/>
    <w:uiPriority w:val="0"/>
    <w:rPr>
      <w:rFonts w:hint="default" w:ascii="TimesNewRoman" w:hAnsi="TimesNewRoman"/>
      <w:color w:val="000000"/>
      <w:sz w:val="24"/>
      <w:szCs w:val="24"/>
    </w:rPr>
  </w:style>
  <w:style w:type="paragraph" w:customStyle="1" w:styleId="3439">
    <w:name w:val="标准文字"/>
    <w:basedOn w:val="1"/>
    <w:link w:val="3440"/>
    <w:uiPriority w:val="0"/>
    <w:pPr>
      <w:spacing w:line="360" w:lineRule="auto"/>
      <w:ind w:firstLine="560" w:firstLineChars="200"/>
    </w:pPr>
    <w:rPr>
      <w:rFonts w:eastAsia="仿宋_GB2312"/>
      <w:kern w:val="0"/>
      <w:sz w:val="28"/>
      <w:szCs w:val="28"/>
    </w:rPr>
  </w:style>
  <w:style w:type="character" w:customStyle="1" w:styleId="3440">
    <w:name w:val="标准文字 Char"/>
    <w:link w:val="3439"/>
    <w:qFormat/>
    <w:locked/>
    <w:uiPriority w:val="0"/>
    <w:rPr>
      <w:rFonts w:eastAsia="仿宋_GB2312"/>
      <w:sz w:val="28"/>
      <w:szCs w:val="28"/>
    </w:rPr>
  </w:style>
  <w:style w:type="character" w:customStyle="1" w:styleId="3441">
    <w:name w:val="Display Equation (Aurora) Char"/>
    <w:link w:val="3442"/>
    <w:qFormat/>
    <w:uiPriority w:val="0"/>
    <w:rPr>
      <w:rFonts w:eastAsia="仿宋_GB2312"/>
      <w:color w:val="FF0000"/>
      <w:lang w:bidi="en-US"/>
    </w:rPr>
  </w:style>
  <w:style w:type="paragraph" w:customStyle="1" w:styleId="3442">
    <w:name w:val="Display Equation (Aurora)"/>
    <w:basedOn w:val="1"/>
    <w:link w:val="3441"/>
    <w:qFormat/>
    <w:uiPriority w:val="0"/>
    <w:pPr>
      <w:tabs>
        <w:tab w:val="center" w:pos="4252"/>
        <w:tab w:val="right" w:pos="8504"/>
      </w:tabs>
      <w:adjustRightInd w:val="0"/>
      <w:ind w:firstLine="480" w:firstLineChars="200"/>
      <w:textAlignment w:val="baseline"/>
    </w:pPr>
    <w:rPr>
      <w:rFonts w:eastAsia="仿宋_GB2312"/>
      <w:color w:val="FF0000"/>
      <w:kern w:val="0"/>
      <w:sz w:val="20"/>
      <w:szCs w:val="20"/>
      <w:lang w:bidi="en-US"/>
    </w:rPr>
  </w:style>
  <w:style w:type="character" w:customStyle="1" w:styleId="3443">
    <w:name w:val="EIA-正文 Char"/>
    <w:link w:val="3444"/>
    <w:qFormat/>
    <w:uiPriority w:val="0"/>
    <w:rPr>
      <w:rFonts w:eastAsia="仿宋_GB2312"/>
      <w:lang w:bidi="en-US"/>
    </w:rPr>
  </w:style>
  <w:style w:type="paragraph" w:customStyle="1" w:styleId="3444">
    <w:name w:val="EIA-正文"/>
    <w:basedOn w:val="1"/>
    <w:link w:val="3443"/>
    <w:qFormat/>
    <w:uiPriority w:val="0"/>
    <w:pPr>
      <w:widowControl/>
      <w:spacing w:line="360" w:lineRule="auto"/>
      <w:ind w:firstLine="200" w:firstLineChars="200"/>
      <w:jc w:val="left"/>
    </w:pPr>
    <w:rPr>
      <w:rFonts w:eastAsia="仿宋_GB2312"/>
      <w:kern w:val="0"/>
      <w:sz w:val="20"/>
      <w:szCs w:val="20"/>
      <w:lang w:bidi="en-US"/>
    </w:rPr>
  </w:style>
  <w:style w:type="character" w:customStyle="1" w:styleId="3445">
    <w:name w:val="表格正文（环） Char"/>
    <w:link w:val="3446"/>
    <w:locked/>
    <w:uiPriority w:val="0"/>
    <w:rPr>
      <w:kern w:val="2"/>
      <w:sz w:val="21"/>
      <w:szCs w:val="24"/>
    </w:rPr>
  </w:style>
  <w:style w:type="paragraph" w:customStyle="1" w:styleId="3446">
    <w:name w:val="表格正文（环）"/>
    <w:basedOn w:val="1"/>
    <w:link w:val="3445"/>
    <w:qFormat/>
    <w:uiPriority w:val="0"/>
    <w:pPr>
      <w:ind w:firstLine="200" w:firstLineChars="200"/>
      <w:jc w:val="center"/>
    </w:pPr>
    <w:rPr>
      <w:sz w:val="21"/>
    </w:rPr>
  </w:style>
  <w:style w:type="character" w:customStyle="1" w:styleId="3447">
    <w:name w:val="fontstyle41"/>
    <w:basedOn w:val="133"/>
    <w:uiPriority w:val="0"/>
    <w:rPr>
      <w:rFonts w:hint="default" w:ascii="TT216o01" w:hAnsi="TT216o01"/>
      <w:color w:val="000000"/>
      <w:sz w:val="24"/>
      <w:szCs w:val="24"/>
    </w:rPr>
  </w:style>
  <w:style w:type="character" w:customStyle="1" w:styleId="3448">
    <w:name w:val="表格正文 Char1"/>
    <w:basedOn w:val="133"/>
    <w:qFormat/>
    <w:uiPriority w:val="0"/>
    <w:rPr>
      <w:rFonts w:ascii="Times New Roman" w:hAnsi="Times New Roman" w:eastAsia="宋体" w:cs="Times New Roman"/>
      <w:color w:val="000000"/>
      <w:kern w:val="0"/>
      <w:sz w:val="20"/>
      <w:szCs w:val="20"/>
    </w:rPr>
  </w:style>
  <w:style w:type="paragraph" w:customStyle="1" w:styleId="3449">
    <w:name w:val="【表格】"/>
    <w:next w:val="86"/>
    <w:qFormat/>
    <w:uiPriority w:val="0"/>
    <w:pPr>
      <w:jc w:val="center"/>
    </w:pPr>
    <w:rPr>
      <w:rFonts w:ascii="Times New Roman" w:hAnsi="Times New Roman" w:eastAsia="宋体" w:cs="Times New Roman"/>
      <w:sz w:val="21"/>
      <w:szCs w:val="24"/>
      <w:lang w:val="en-US" w:eastAsia="zh-CN" w:bidi="ar-SA"/>
    </w:rPr>
  </w:style>
  <w:style w:type="paragraph" w:customStyle="1" w:styleId="3450">
    <w:name w:val="??"/>
    <w:qFormat/>
    <w:uiPriority w:val="0"/>
    <w:pPr>
      <w:widowControl w:val="0"/>
      <w:autoSpaceDE w:val="0"/>
      <w:autoSpaceDN w:val="0"/>
      <w:adjustRightInd w:val="0"/>
      <w:spacing w:line="460" w:lineRule="exact"/>
      <w:ind w:firstLine="510"/>
      <w:textAlignment w:val="baseline"/>
    </w:pPr>
    <w:rPr>
      <w:rFonts w:ascii="Times New Roman" w:hAnsi="Times New Roman" w:eastAsia="宋体" w:cs="Times New Roman"/>
      <w:sz w:val="24"/>
      <w:lang w:val="en-US" w:eastAsia="zh-CN" w:bidi="ar-SA"/>
    </w:rPr>
  </w:style>
  <w:style w:type="character" w:customStyle="1" w:styleId="3451">
    <w:name w:val="正文01 Char2"/>
    <w:basedOn w:val="133"/>
    <w:qFormat/>
    <w:uiPriority w:val="0"/>
    <w:rPr>
      <w:rFonts w:ascii="Times New Roman" w:hAnsi="Times New Roman" w:eastAsia="宋体" w:cs="Times New Roman"/>
      <w:color w:val="000000"/>
      <w:kern w:val="0"/>
      <w:szCs w:val="21"/>
    </w:rPr>
  </w:style>
  <w:style w:type="paragraph" w:customStyle="1" w:styleId="3452">
    <w:name w:val="正文2020"/>
    <w:basedOn w:val="1"/>
    <w:qFormat/>
    <w:uiPriority w:val="0"/>
    <w:pPr>
      <w:spacing w:line="360" w:lineRule="auto"/>
      <w:ind w:firstLine="200" w:firstLineChars="200"/>
    </w:pPr>
    <w:rPr>
      <w:szCs w:val="22"/>
      <w:lang w:bidi="en-US"/>
    </w:rPr>
  </w:style>
  <w:style w:type="character" w:customStyle="1" w:styleId="3453">
    <w:name w:val="未处理的提及1"/>
    <w:basedOn w:val="133"/>
    <w:unhideWhenUsed/>
    <w:qFormat/>
    <w:uiPriority w:val="99"/>
    <w:rPr>
      <w:color w:val="605E5C"/>
      <w:shd w:val="clear" w:color="auto" w:fill="E1DFDD"/>
    </w:rPr>
  </w:style>
  <w:style w:type="paragraph" w:customStyle="1" w:styleId="3454">
    <w:name w:val="1图标题"/>
    <w:basedOn w:val="1"/>
    <w:next w:val="1"/>
    <w:qFormat/>
    <w:uiPriority w:val="0"/>
    <w:pPr>
      <w:widowControl/>
      <w:spacing w:afterLines="50" w:line="360" w:lineRule="auto"/>
      <w:jc w:val="center"/>
    </w:pPr>
    <w:rPr>
      <w:rFonts w:eastAsia="黑体"/>
      <w:kern w:val="0"/>
      <w:sz w:val="21"/>
    </w:rPr>
  </w:style>
  <w:style w:type="character" w:customStyle="1" w:styleId="3455">
    <w:name w:val="未处理的提及2"/>
    <w:basedOn w:val="133"/>
    <w:unhideWhenUsed/>
    <w:qFormat/>
    <w:uiPriority w:val="99"/>
    <w:rPr>
      <w:color w:val="605E5C"/>
      <w:shd w:val="clear" w:color="auto" w:fill="E1DFDD"/>
    </w:rPr>
  </w:style>
  <w:style w:type="character" w:customStyle="1" w:styleId="3456">
    <w:name w:val="不明显参考11"/>
    <w:qFormat/>
    <w:uiPriority w:val="31"/>
    <w:rPr>
      <w:smallCaps/>
      <w:color w:val="5A5A5A"/>
    </w:rPr>
  </w:style>
  <w:style w:type="character" w:customStyle="1" w:styleId="3457">
    <w:name w:val="明显强调31"/>
    <w:qFormat/>
    <w:uiPriority w:val="21"/>
    <w:rPr>
      <w:i/>
      <w:iCs/>
      <w:caps/>
      <w:spacing w:val="10"/>
      <w:sz w:val="20"/>
      <w:szCs w:val="20"/>
    </w:rPr>
  </w:style>
  <w:style w:type="paragraph" w:customStyle="1" w:styleId="3458">
    <w:name w:val="z-窗体顶端21"/>
    <w:basedOn w:val="1"/>
    <w:next w:val="1"/>
    <w:semiHidden/>
    <w:unhideWhenUsed/>
    <w:qFormat/>
    <w:uiPriority w:val="0"/>
    <w:pPr>
      <w:pBdr>
        <w:bottom w:val="single" w:color="auto" w:sz="6" w:space="1"/>
      </w:pBdr>
      <w:adjustRightInd w:val="0"/>
      <w:snapToGrid w:val="0"/>
      <w:spacing w:line="360" w:lineRule="auto"/>
      <w:ind w:firstLine="210" w:firstLineChars="210"/>
      <w:jc w:val="center"/>
    </w:pPr>
    <w:rPr>
      <w:rFonts w:ascii="Arial" w:hAnsi="Arial" w:cs="Arial"/>
      <w:vanish/>
      <w:sz w:val="16"/>
      <w:szCs w:val="16"/>
    </w:rPr>
  </w:style>
  <w:style w:type="character" w:customStyle="1" w:styleId="3459">
    <w:name w:val="未处理的提及22"/>
    <w:basedOn w:val="133"/>
    <w:semiHidden/>
    <w:unhideWhenUsed/>
    <w:qFormat/>
    <w:uiPriority w:val="99"/>
    <w:rPr>
      <w:color w:val="605E5C"/>
      <w:shd w:val="clear" w:color="auto" w:fill="E1DFDD"/>
    </w:rPr>
  </w:style>
  <w:style w:type="paragraph" w:customStyle="1" w:styleId="3460">
    <w:name w:val="正正文"/>
    <w:basedOn w:val="1"/>
    <w:link w:val="3461"/>
    <w:qFormat/>
    <w:uiPriority w:val="0"/>
    <w:pPr>
      <w:widowControl/>
      <w:spacing w:line="360" w:lineRule="exact"/>
      <w:ind w:firstLine="200" w:firstLineChars="200"/>
      <w:jc w:val="left"/>
    </w:pPr>
    <w:rPr>
      <w:kern w:val="0"/>
      <w:sz w:val="21"/>
      <w:szCs w:val="21"/>
    </w:rPr>
  </w:style>
  <w:style w:type="character" w:customStyle="1" w:styleId="3461">
    <w:name w:val="正正文 字符"/>
    <w:link w:val="3460"/>
    <w:qFormat/>
    <w:uiPriority w:val="0"/>
    <w:rPr>
      <w:sz w:val="21"/>
      <w:szCs w:val="21"/>
    </w:rPr>
  </w:style>
  <w:style w:type="character" w:customStyle="1" w:styleId="3462">
    <w:name w:val="表中文字 字符"/>
    <w:link w:val="1928"/>
    <w:qFormat/>
    <w:uiPriority w:val="0"/>
    <w:rPr>
      <w:sz w:val="21"/>
      <w:szCs w:val="21"/>
      <w:lang w:eastAsia="zh-TW"/>
    </w:rPr>
  </w:style>
  <w:style w:type="paragraph" w:customStyle="1" w:styleId="3463">
    <w:name w:val="表格内"/>
    <w:basedOn w:val="1"/>
    <w:qFormat/>
    <w:uiPriority w:val="0"/>
    <w:pPr>
      <w:spacing w:line="280" w:lineRule="exact"/>
    </w:pPr>
    <w:rPr>
      <w:sz w:val="21"/>
      <w:szCs w:val="22"/>
    </w:rPr>
  </w:style>
  <w:style w:type="paragraph" w:customStyle="1" w:styleId="3464">
    <w:name w:val="小表格中内容"/>
    <w:basedOn w:val="1"/>
    <w:qFormat/>
    <w:uiPriority w:val="0"/>
    <w:pPr>
      <w:shd w:val="solid" w:color="FFFFFF" w:fill="auto"/>
      <w:tabs>
        <w:tab w:val="left" w:pos="960"/>
      </w:tabs>
      <w:autoSpaceDN w:val="0"/>
      <w:jc w:val="center"/>
    </w:pPr>
    <w:rPr>
      <w:rFonts w:ascii="宋体" w:hAnsi="宋体"/>
      <w:kern w:val="0"/>
      <w:sz w:val="21"/>
      <w:szCs w:val="21"/>
      <w:lang w:eastAsia="en-US"/>
    </w:rPr>
  </w:style>
  <w:style w:type="table" w:customStyle="1" w:styleId="3465">
    <w:name w:val="网格型7"/>
    <w:basedOn w:val="88"/>
    <w:qFormat/>
    <w:uiPriority w:val="0"/>
    <w:rPr>
      <w:rFonts w:ascii="Calibri" w:hAnsi="Calibri"/>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Pr>
  </w:style>
  <w:style w:type="table" w:customStyle="1" w:styleId="3466">
    <w:name w:val="TableGrid1"/>
    <w:qFormat/>
    <w:uiPriority w:val="0"/>
    <w:rPr>
      <w:rFonts w:ascii="等线" w:hAnsi="等线" w:eastAsia="等线"/>
      <w:kern w:val="2"/>
      <w:sz w:val="21"/>
      <w:szCs w:val="22"/>
    </w:rPr>
    <w:tblPr>
      <w:tblLayout w:type="fixed"/>
      <w:tblCellMar>
        <w:top w:w="0" w:type="dxa"/>
        <w:left w:w="0" w:type="dxa"/>
        <w:bottom w:w="0" w:type="dxa"/>
        <w:right w:w="0" w:type="dxa"/>
      </w:tblCellMar>
    </w:tblPr>
  </w:style>
  <w:style w:type="character" w:customStyle="1" w:styleId="3467">
    <w:name w:val="未处理的提及21"/>
    <w:basedOn w:val="133"/>
    <w:unhideWhenUsed/>
    <w:qFormat/>
    <w:uiPriority w:val="99"/>
    <w:rPr>
      <w:color w:val="605E5C"/>
      <w:shd w:val="clear" w:color="auto" w:fill="E1DFDD"/>
    </w:rPr>
  </w:style>
  <w:style w:type="table" w:customStyle="1" w:styleId="3468">
    <w:name w:val="111"/>
    <w:basedOn w:val="89"/>
    <w:qFormat/>
    <w:uiPriority w:val="0"/>
    <w:pPr>
      <w:jc w:val="center"/>
    </w:pPr>
    <w:rPr>
      <w:rFonts w:eastAsia="Times New Roman"/>
      <w:sz w:val="21"/>
      <w:szCs w:val="21"/>
    </w:rPr>
    <w:tblPr>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Layout w:type="fixed"/>
    </w:tblPr>
    <w:tcPr>
      <w:vAlign w:val="center"/>
    </w:tcPr>
  </w:style>
  <w:style w:type="character" w:customStyle="1" w:styleId="3469">
    <w:name w:val="15"/>
    <w:basedOn w:val="133"/>
    <w:qFormat/>
    <w:uiPriority w:val="0"/>
    <w:rPr>
      <w:rFonts w:hint="default" w:ascii="Times New Roman" w:hAnsi="Times New Roman" w:cs="Times New Roman"/>
      <w:sz w:val="24"/>
      <w:szCs w:val="24"/>
    </w:rPr>
  </w:style>
  <w:style w:type="paragraph" w:customStyle="1" w:styleId="3470">
    <w:name w:val="默认段落"/>
    <w:basedOn w:val="1"/>
    <w:qFormat/>
    <w:uiPriority w:val="0"/>
    <w:pPr>
      <w:topLinePunct/>
      <w:adjustRightInd w:val="0"/>
      <w:snapToGrid w:val="0"/>
      <w:spacing w:line="360" w:lineRule="auto"/>
      <w:ind w:firstLine="200" w:firstLineChars="200"/>
    </w:pPr>
    <w:rPr>
      <w:rFonts w:ascii="Calibri" w:hAnsi="Calibri"/>
      <w:kern w:val="0"/>
    </w:rPr>
  </w:style>
  <w:style w:type="character" w:customStyle="1" w:styleId="3471">
    <w:name w:val="表格文字112 Char"/>
    <w:link w:val="3472"/>
    <w:qFormat/>
    <w:locked/>
    <w:uiPriority w:val="0"/>
    <w:rPr>
      <w:sz w:val="21"/>
      <w:szCs w:val="24"/>
    </w:rPr>
  </w:style>
  <w:style w:type="paragraph" w:customStyle="1" w:styleId="3472">
    <w:name w:val="表格文字112"/>
    <w:basedOn w:val="1"/>
    <w:link w:val="3471"/>
    <w:qFormat/>
    <w:uiPriority w:val="0"/>
    <w:pPr>
      <w:wordWrap w:val="0"/>
      <w:autoSpaceDE w:val="0"/>
      <w:autoSpaceDN w:val="0"/>
      <w:adjustRightInd w:val="0"/>
      <w:jc w:val="center"/>
    </w:pPr>
    <w:rPr>
      <w:kern w:val="0"/>
      <w:sz w:val="21"/>
    </w:rPr>
  </w:style>
  <w:style w:type="paragraph" w:customStyle="1" w:styleId="3473">
    <w:name w:val="Char Char1 Char Char"/>
    <w:basedOn w:val="1"/>
    <w:uiPriority w:val="0"/>
    <w:rPr>
      <w:sz w:val="28"/>
      <w:szCs w:val="28"/>
    </w:rPr>
  </w:style>
  <w:style w:type="character" w:customStyle="1" w:styleId="3474">
    <w:name w:val="f14"/>
    <w:uiPriority w:val="0"/>
  </w:style>
  <w:style w:type="character" w:customStyle="1" w:styleId="3475">
    <w:name w:val="报告书正文 Char Char Char Char"/>
    <w:qFormat/>
    <w:uiPriority w:val="0"/>
    <w:rPr>
      <w:rFonts w:ascii="宋体" w:hAnsi="宋体" w:eastAsia="宋体"/>
      <w:kern w:val="2"/>
      <w:sz w:val="24"/>
      <w:szCs w:val="24"/>
      <w:lang w:val="en-US" w:eastAsia="zh-CN" w:bidi="ar-SA"/>
    </w:rPr>
  </w:style>
  <w:style w:type="paragraph" w:customStyle="1" w:styleId="3476">
    <w:name w:val="GH1文本04"/>
    <w:uiPriority w:val="0"/>
    <w:pPr>
      <w:spacing w:line="360" w:lineRule="auto"/>
    </w:pPr>
    <w:rPr>
      <w:rFonts w:ascii="Times New Roman" w:hAnsi="Times New Roman" w:eastAsia="宋体" w:cs="Times New Roman"/>
      <w:lang w:val="en-US" w:eastAsia="zh-CN" w:bidi="ar-SA"/>
    </w:rPr>
  </w:style>
  <w:style w:type="character" w:customStyle="1" w:styleId="3477">
    <w:name w:val="style4"/>
    <w:uiPriority w:val="0"/>
  </w:style>
  <w:style w:type="paragraph" w:customStyle="1" w:styleId="3478">
    <w:name w:val="表哥哥"/>
    <w:basedOn w:val="1"/>
    <w:link w:val="3479"/>
    <w:uiPriority w:val="0"/>
    <w:pPr>
      <w:adjustRightInd w:val="0"/>
      <w:snapToGrid w:val="0"/>
      <w:spacing w:line="120" w:lineRule="atLeast"/>
      <w:jc w:val="center"/>
    </w:pPr>
    <w:rPr>
      <w:sz w:val="21"/>
      <w:szCs w:val="21"/>
    </w:rPr>
  </w:style>
  <w:style w:type="character" w:customStyle="1" w:styleId="3479">
    <w:name w:val="表哥哥 Char"/>
    <w:link w:val="3478"/>
    <w:qFormat/>
    <w:uiPriority w:val="0"/>
    <w:rPr>
      <w:kern w:val="2"/>
      <w:sz w:val="21"/>
      <w:szCs w:val="21"/>
    </w:rPr>
  </w:style>
  <w:style w:type="paragraph" w:customStyle="1" w:styleId="3480">
    <w:name w:val="样式 三级标题 + 四号 非加粗"/>
    <w:basedOn w:val="1"/>
    <w:uiPriority w:val="0"/>
    <w:pPr>
      <w:keepNext/>
      <w:keepLines/>
      <w:spacing w:before="62" w:after="62" w:line="360" w:lineRule="auto"/>
      <w:jc w:val="left"/>
      <w:outlineLvl w:val="2"/>
    </w:pPr>
    <w:rPr>
      <w:rFonts w:cs="宋体"/>
      <w:b/>
      <w:sz w:val="28"/>
      <w:szCs w:val="20"/>
    </w:rPr>
  </w:style>
  <w:style w:type="paragraph" w:customStyle="1" w:styleId="3481">
    <w:name w:val="正正正"/>
    <w:basedOn w:val="86"/>
    <w:link w:val="3482"/>
    <w:qFormat/>
    <w:uiPriority w:val="0"/>
    <w:pPr>
      <w:widowControl/>
      <w:adjustRightInd/>
      <w:snapToGrid/>
      <w:spacing w:line="360" w:lineRule="auto"/>
    </w:pPr>
    <w:rPr>
      <w:color w:val="000000"/>
      <w:kern w:val="0"/>
      <w:sz w:val="24"/>
    </w:rPr>
  </w:style>
  <w:style w:type="character" w:customStyle="1" w:styleId="3482">
    <w:name w:val="正正正 Char"/>
    <w:link w:val="3481"/>
    <w:qFormat/>
    <w:uiPriority w:val="0"/>
    <w:rPr>
      <w:color w:val="000000"/>
      <w:sz w:val="24"/>
      <w:szCs w:val="24"/>
    </w:rPr>
  </w:style>
  <w:style w:type="paragraph" w:customStyle="1" w:styleId="3483">
    <w:name w:val="超伦表头"/>
    <w:basedOn w:val="22"/>
    <w:uiPriority w:val="0"/>
    <w:pPr>
      <w:adjustRightInd w:val="0"/>
    </w:pPr>
    <w:rPr>
      <w:sz w:val="21"/>
    </w:rPr>
  </w:style>
  <w:style w:type="table" w:customStyle="1" w:styleId="3484">
    <w:name w:val="网格型11"/>
    <w:basedOn w:val="88"/>
    <w:qFormat/>
    <w:uiPriority w:val="5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Pr>
  </w:style>
  <w:style w:type="paragraph" w:customStyle="1" w:styleId="3485">
    <w:name w:val="【正文】"/>
    <w:basedOn w:val="1"/>
    <w:link w:val="3486"/>
    <w:uiPriority w:val="0"/>
    <w:pPr>
      <w:spacing w:before="120" w:after="120" w:line="312" w:lineRule="auto"/>
      <w:ind w:firstLine="200" w:firstLineChars="200"/>
    </w:pPr>
    <w:rPr>
      <w:kern w:val="0"/>
      <w:szCs w:val="20"/>
      <w:lang w:val="zh-CN"/>
    </w:rPr>
  </w:style>
  <w:style w:type="character" w:customStyle="1" w:styleId="3486">
    <w:name w:val="【正文】 Char"/>
    <w:link w:val="3485"/>
    <w:uiPriority w:val="0"/>
    <w:rPr>
      <w:sz w:val="24"/>
      <w:lang w:val="zh-CN" w:eastAsia="zh-CN"/>
    </w:rPr>
  </w:style>
  <w:style w:type="paragraph" w:customStyle="1" w:styleId="3487">
    <w:name w:val="_Style 5"/>
    <w:basedOn w:val="1"/>
    <w:uiPriority w:val="0"/>
    <w:pPr>
      <w:widowControl/>
      <w:spacing w:line="360" w:lineRule="auto"/>
      <w:ind w:firstLine="200" w:firstLineChars="200"/>
      <w:jc w:val="left"/>
    </w:pPr>
    <w:rPr>
      <w:rFonts w:ascii="宋体" w:hAnsi="宋体" w:cs="宋体"/>
      <w:kern w:val="0"/>
    </w:rPr>
  </w:style>
  <w:style w:type="paragraph" w:customStyle="1" w:styleId="3488">
    <w:name w:val="图表标题"/>
    <w:basedOn w:val="1009"/>
    <w:qFormat/>
    <w:uiPriority w:val="0"/>
    <w:pPr>
      <w:keepNext/>
      <w:widowControl/>
      <w:autoSpaceDE/>
      <w:autoSpaceDN/>
      <w:snapToGrid/>
      <w:spacing w:line="312" w:lineRule="atLeast"/>
      <w:ind w:firstLine="200" w:firstLineChars="200"/>
    </w:pPr>
    <w:rPr>
      <w:rFonts w:ascii="宋体" w:hAnsi="宋体" w:cs="宋体"/>
      <w:b/>
      <w:lang w:bidi="en-US"/>
    </w:rPr>
  </w:style>
  <w:style w:type="character" w:customStyle="1" w:styleId="3489">
    <w:name w:val="表头样式 字符"/>
    <w:qFormat/>
    <w:uiPriority w:val="0"/>
    <w:rPr>
      <w:b/>
      <w:kern w:val="28"/>
      <w:sz w:val="21"/>
      <w:szCs w:val="21"/>
      <w:lang w:val="zh-CN"/>
    </w:rPr>
  </w:style>
  <w:style w:type="paragraph" w:customStyle="1" w:styleId="3490">
    <w:name w:val="Char Char3 Char Char"/>
    <w:basedOn w:val="1"/>
    <w:uiPriority w:val="0"/>
    <w:pPr>
      <w:spacing w:line="360" w:lineRule="auto"/>
      <w:ind w:firstLine="200" w:firstLineChars="200"/>
    </w:pPr>
    <w:rPr>
      <w:rFonts w:ascii="宋体" w:hAnsi="宋体" w:cs="宋体"/>
    </w:rPr>
  </w:style>
  <w:style w:type="paragraph" w:customStyle="1" w:styleId="3491">
    <w:name w:val="Char Char Char Char Char Char1 Char Char Char1 Char Char Char Char Char Char Char Char Char Char Char Char Char Char Char1 Char Char Char1 Char Char Char Char Char Char1 Char Char Char Char Char Char Char"/>
    <w:basedOn w:val="1"/>
    <w:uiPriority w:val="0"/>
    <w:pPr>
      <w:spacing w:line="360" w:lineRule="auto"/>
      <w:ind w:firstLine="200" w:firstLineChars="200"/>
    </w:pPr>
    <w:rPr>
      <w:rFonts w:ascii="宋体" w:hAnsi="宋体" w:cs="宋体"/>
    </w:rPr>
  </w:style>
  <w:style w:type="character" w:customStyle="1" w:styleId="3492">
    <w:name w:val="NormalCharacter"/>
    <w:uiPriority w:val="0"/>
  </w:style>
  <w:style w:type="character" w:customStyle="1" w:styleId="3493">
    <w:name w:val="纯文本 字符1"/>
    <w:uiPriority w:val="0"/>
    <w:rPr>
      <w:rFonts w:ascii="宋体" w:hAnsi="Courier New" w:eastAsia="宋体"/>
      <w:kern w:val="2"/>
      <w:sz w:val="21"/>
      <w:lang w:val="en-US" w:eastAsia="zh-CN" w:bidi="ar-SA"/>
    </w:rPr>
  </w:style>
  <w:style w:type="paragraph" w:customStyle="1" w:styleId="3494">
    <w:name w:val="修订2"/>
    <w:unhideWhenUsed/>
    <w:uiPriority w:val="99"/>
    <w:rPr>
      <w:rFonts w:ascii="Times New Roman" w:hAnsi="Times New Roman" w:eastAsia="宋体" w:cs="Times New Roman"/>
      <w:kern w:val="2"/>
      <w:sz w:val="21"/>
      <w:szCs w:val="24"/>
      <w:lang w:val="en-US" w:eastAsia="zh-CN" w:bidi="ar-SA"/>
    </w:rPr>
  </w:style>
  <w:style w:type="character" w:customStyle="1" w:styleId="3495">
    <w:name w:val="标题 7 Char2"/>
    <w:qFormat/>
    <w:uiPriority w:val="9"/>
    <w:rPr>
      <w:rFonts w:ascii="Times New Roman" w:hAnsi="Times New Roman" w:eastAsia="宋体"/>
      <w:b/>
      <w:bCs/>
      <w:kern w:val="2"/>
      <w:sz w:val="24"/>
      <w:szCs w:val="24"/>
    </w:rPr>
  </w:style>
  <w:style w:type="character" w:customStyle="1" w:styleId="3496">
    <w:name w:val="批注文字 Char5"/>
    <w:qFormat/>
    <w:uiPriority w:val="99"/>
    <w:rPr>
      <w:rFonts w:ascii="Calibri" w:hAnsi="Calibri" w:eastAsia="宋体" w:cs="Times New Roman"/>
      <w:kern w:val="0"/>
      <w:sz w:val="24"/>
      <w:lang w:eastAsia="en-US"/>
    </w:rPr>
  </w:style>
  <w:style w:type="character" w:customStyle="1" w:styleId="3497">
    <w:name w:val="纯文本 Char3"/>
    <w:qFormat/>
    <w:uiPriority w:val="0"/>
    <w:rPr>
      <w:rFonts w:ascii="宋体" w:hAnsi="Courier New" w:eastAsia="宋体"/>
      <w:sz w:val="21"/>
      <w:szCs w:val="24"/>
    </w:rPr>
  </w:style>
  <w:style w:type="character" w:customStyle="1" w:styleId="3498">
    <w:name w:val="正文首行缩进 Char4"/>
    <w:qFormat/>
    <w:uiPriority w:val="0"/>
    <w:rPr>
      <w:rFonts w:ascii="Times New Roman" w:hAnsi="Times New Roman" w:eastAsia="宋体"/>
      <w:sz w:val="24"/>
    </w:rPr>
  </w:style>
  <w:style w:type="paragraph" w:customStyle="1" w:styleId="3499">
    <w:name w:val="正文罗"/>
    <w:basedOn w:val="1"/>
    <w:uiPriority w:val="0"/>
    <w:pPr>
      <w:jc w:val="left"/>
    </w:pPr>
    <w:rPr>
      <w:rFonts w:ascii="Calibri" w:hAnsi="Calibri" w:cs="宋体"/>
      <w:color w:val="000000"/>
      <w:szCs w:val="22"/>
      <w:lang w:eastAsia="en-US"/>
    </w:rPr>
  </w:style>
  <w:style w:type="paragraph" w:customStyle="1" w:styleId="3500">
    <w:name w:val="21"/>
    <w:basedOn w:val="35"/>
    <w:next w:val="87"/>
    <w:unhideWhenUsed/>
    <w:uiPriority w:val="99"/>
    <w:pPr>
      <w:spacing w:before="120" w:after="120" w:line="240" w:lineRule="auto"/>
      <w:ind w:left="420" w:leftChars="200" w:firstLine="420"/>
      <w:jc w:val="left"/>
    </w:pPr>
    <w:rPr>
      <w:rFonts w:ascii="Times New Roman" w:hAnsi="Times New Roman"/>
      <w:kern w:val="0"/>
      <w:szCs w:val="22"/>
      <w:lang w:eastAsia="en-US"/>
    </w:rPr>
  </w:style>
  <w:style w:type="paragraph" w:customStyle="1" w:styleId="3501">
    <w:name w:val="列表段落1"/>
    <w:basedOn w:val="1"/>
    <w:uiPriority w:val="0"/>
    <w:pPr>
      <w:adjustRightInd w:val="0"/>
      <w:spacing w:line="360" w:lineRule="auto"/>
      <w:ind w:firstLine="420" w:firstLineChars="200"/>
    </w:pPr>
  </w:style>
  <w:style w:type="paragraph" w:customStyle="1" w:styleId="3502">
    <w:name w:val="TOC 标题4"/>
    <w:basedOn w:val="3"/>
    <w:next w:val="1"/>
    <w:qFormat/>
    <w:uiPriority w:val="39"/>
    <w:pPr>
      <w:keepLines/>
      <w:numPr>
        <w:numId w:val="0"/>
      </w:numPr>
      <w:tabs>
        <w:tab w:val="clear" w:pos="0"/>
      </w:tabs>
      <w:spacing w:before="480" w:line="276" w:lineRule="auto"/>
      <w:jc w:val="left"/>
      <w:outlineLvl w:val="9"/>
    </w:pPr>
    <w:rPr>
      <w:rFonts w:ascii="Cambria" w:hAnsi="Cambria" w:eastAsia="宋体"/>
      <w:bCs/>
      <w:color w:val="365F91"/>
      <w:kern w:val="0"/>
      <w:sz w:val="28"/>
      <w:szCs w:val="28"/>
    </w:rPr>
  </w:style>
  <w:style w:type="character" w:customStyle="1" w:styleId="3503">
    <w:name w:val="文本条款 Char1"/>
    <w:uiPriority w:val="0"/>
    <w:rPr>
      <w:rFonts w:eastAsia="宋体" w:cs="宋体"/>
      <w:b/>
      <w:bCs/>
      <w:color w:val="000000"/>
      <w:kern w:val="2"/>
      <w:sz w:val="28"/>
      <w:szCs w:val="24"/>
      <w:lang w:val="en-US" w:eastAsia="zh-CN" w:bidi="ar-SA"/>
    </w:rPr>
  </w:style>
  <w:style w:type="paragraph" w:customStyle="1" w:styleId="3504">
    <w:name w:val="列出段落3"/>
    <w:basedOn w:val="1"/>
    <w:uiPriority w:val="0"/>
    <w:pPr>
      <w:ind w:firstLine="420" w:firstLineChars="200"/>
    </w:pPr>
    <w:rPr>
      <w:rFonts w:ascii="Calibri" w:hAnsi="Calibri" w:cs="宋体"/>
      <w:kern w:val="0"/>
      <w:sz w:val="21"/>
    </w:rPr>
  </w:style>
  <w:style w:type="character" w:customStyle="1" w:styleId="3505">
    <w:name w:val="不明显强调3"/>
    <w:qFormat/>
    <w:uiPriority w:val="19"/>
    <w:rPr>
      <w:i/>
      <w:iCs/>
    </w:rPr>
  </w:style>
  <w:style w:type="character" w:customStyle="1" w:styleId="3506">
    <w:name w:val="明显强调4"/>
    <w:qFormat/>
    <w:uiPriority w:val="21"/>
    <w:rPr>
      <w:i/>
      <w:iCs/>
      <w:caps/>
      <w:spacing w:val="10"/>
      <w:sz w:val="20"/>
      <w:szCs w:val="20"/>
    </w:rPr>
  </w:style>
  <w:style w:type="character" w:customStyle="1" w:styleId="3507">
    <w:name w:val="不明显参考3"/>
    <w:qFormat/>
    <w:uiPriority w:val="31"/>
    <w:rPr>
      <w:smallCaps/>
      <w:color w:val="C0504D"/>
      <w:u w:val="single"/>
    </w:rPr>
  </w:style>
  <w:style w:type="character" w:customStyle="1" w:styleId="3508">
    <w:name w:val="明显参考2"/>
    <w:qFormat/>
    <w:uiPriority w:val="32"/>
    <w:rPr>
      <w:rFonts w:hint="default" w:ascii="Calibri" w:hAnsi="Calibri" w:eastAsia="宋体" w:cs="Times New Roman"/>
      <w:b/>
      <w:bCs/>
      <w:i/>
      <w:iCs/>
      <w:color w:val="622423"/>
    </w:rPr>
  </w:style>
  <w:style w:type="character" w:customStyle="1" w:styleId="3509">
    <w:name w:val="书籍标题2"/>
    <w:qFormat/>
    <w:uiPriority w:val="33"/>
    <w:rPr>
      <w:caps/>
      <w:color w:val="622423"/>
      <w:spacing w:val="5"/>
      <w:u w:color="622423"/>
    </w:rPr>
  </w:style>
  <w:style w:type="character" w:customStyle="1" w:styleId="3510">
    <w:name w:val="纯文本 字符2"/>
    <w:locked/>
    <w:uiPriority w:val="0"/>
    <w:rPr>
      <w:rFonts w:hint="eastAsia" w:ascii="宋体" w:hAnsi="Courier New" w:eastAsia="宋体" w:cs="宋体"/>
      <w:spacing w:val="-2"/>
      <w:kern w:val="0"/>
      <w:sz w:val="21"/>
      <w:szCs w:val="21"/>
    </w:rPr>
  </w:style>
  <w:style w:type="character" w:customStyle="1" w:styleId="3511">
    <w:name w:val="列表段落 字符"/>
    <w:locked/>
    <w:uiPriority w:val="34"/>
    <w:rPr>
      <w:rFonts w:ascii="Times New Roman" w:hAnsi="Times New Roman"/>
      <w:kern w:val="2"/>
      <w:sz w:val="24"/>
      <w:szCs w:val="21"/>
    </w:rPr>
  </w:style>
  <w:style w:type="character" w:customStyle="1" w:styleId="3512">
    <w:name w:val="题注 字符"/>
    <w:qFormat/>
    <w:uiPriority w:val="35"/>
    <w:rPr>
      <w:rFonts w:ascii="Times New Roman" w:hAnsi="Times New Roman"/>
      <w:b/>
      <w:kern w:val="2"/>
      <w:sz w:val="21"/>
    </w:rPr>
  </w:style>
  <w:style w:type="character" w:customStyle="1" w:styleId="3513">
    <w:name w:val="未处理的提及3"/>
    <w:unhideWhenUsed/>
    <w:uiPriority w:val="99"/>
    <w:rPr>
      <w:color w:val="605E5C"/>
      <w:shd w:val="clear" w:color="auto" w:fill="E1DFDD"/>
    </w:rPr>
  </w:style>
  <w:style w:type="paragraph" w:customStyle="1" w:styleId="3514">
    <w:name w:val="列出段落5"/>
    <w:basedOn w:val="1"/>
    <w:uiPriority w:val="34"/>
    <w:pPr>
      <w:ind w:firstLine="420" w:firstLineChars="200"/>
      <w:jc w:val="left"/>
    </w:pPr>
    <w:rPr>
      <w:rFonts w:ascii="Calibri" w:hAnsi="Calibri"/>
      <w:kern w:val="0"/>
      <w:szCs w:val="22"/>
      <w:lang w:eastAsia="en-US"/>
    </w:rPr>
  </w:style>
  <w:style w:type="paragraph" w:customStyle="1" w:styleId="3515">
    <w:name w:val="_Style 2"/>
    <w:basedOn w:val="1"/>
    <w:uiPriority w:val="34"/>
    <w:pPr>
      <w:ind w:firstLine="420" w:firstLineChars="200"/>
      <w:jc w:val="left"/>
    </w:pPr>
    <w:rPr>
      <w:rFonts w:ascii="Calibri" w:hAnsi="Calibri"/>
      <w:kern w:val="0"/>
      <w:lang w:eastAsia="en-US"/>
    </w:rPr>
  </w:style>
  <w:style w:type="paragraph" w:customStyle="1" w:styleId="3516">
    <w:name w:val="样式 宋体 居中"/>
    <w:basedOn w:val="1"/>
    <w:uiPriority w:val="0"/>
    <w:pPr>
      <w:jc w:val="left"/>
    </w:pPr>
    <w:rPr>
      <w:rFonts w:ascii="宋体" w:hAnsi="宋体" w:cs="宋体"/>
      <w:kern w:val="28"/>
      <w:szCs w:val="20"/>
      <w:lang w:eastAsia="en-US"/>
    </w:rPr>
  </w:style>
  <w:style w:type="table" w:customStyle="1" w:styleId="3517">
    <w:name w:val="网格型9"/>
    <w:basedOn w:val="88"/>
    <w:uiPriority w:val="5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Pr>
  </w:style>
  <w:style w:type="table" w:customStyle="1" w:styleId="3518">
    <w:name w:val="网格型91"/>
    <w:basedOn w:val="88"/>
    <w:uiPriority w:val="5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Pr>
  </w:style>
  <w:style w:type="character" w:customStyle="1" w:styleId="3519">
    <w:name w:val="页眉 字符1"/>
    <w:uiPriority w:val="99"/>
    <w:rPr>
      <w:sz w:val="18"/>
      <w:szCs w:val="18"/>
    </w:rPr>
  </w:style>
  <w:style w:type="character" w:customStyle="1" w:styleId="3520">
    <w:name w:val="页脚 字符1"/>
    <w:uiPriority w:val="99"/>
    <w:rPr>
      <w:sz w:val="18"/>
      <w:szCs w:val="18"/>
    </w:rPr>
  </w:style>
  <w:style w:type="character" w:customStyle="1" w:styleId="3521">
    <w:name w:val="标题 3 Char Char2"/>
    <w:uiPriority w:val="0"/>
    <w:rPr>
      <w:rFonts w:ascii="宋体" w:eastAsia="宋体"/>
      <w:b/>
      <w:snapToGrid w:val="0"/>
      <w:spacing w:val="4"/>
      <w:sz w:val="28"/>
      <w:szCs w:val="28"/>
      <w:lang w:val="en-US" w:eastAsia="zh-CN" w:bidi="ar-SA"/>
    </w:rPr>
  </w:style>
  <w:style w:type="character" w:customStyle="1" w:styleId="3522">
    <w:name w:val="访问过的超链接1"/>
    <w:unhideWhenUsed/>
    <w:uiPriority w:val="99"/>
    <w:rPr>
      <w:color w:val="954F72"/>
      <w:u w:val="single"/>
    </w:rPr>
  </w:style>
  <w:style w:type="character" w:customStyle="1" w:styleId="3523">
    <w:name w:val="普通文字 Char2"/>
    <w:uiPriority w:val="0"/>
    <w:rPr>
      <w:rFonts w:ascii="宋体" w:hAnsi="Courier New" w:eastAsia="宋体" w:cs="Times New Roman"/>
      <w:szCs w:val="20"/>
    </w:rPr>
  </w:style>
  <w:style w:type="character" w:customStyle="1" w:styleId="3524">
    <w:name w:val="段 Char"/>
    <w:uiPriority w:val="0"/>
    <w:rPr>
      <w:rFonts w:ascii="宋体"/>
    </w:rPr>
  </w:style>
  <w:style w:type="character" w:customStyle="1" w:styleId="3525">
    <w:name w:val="正文文本缩进 3 字符1"/>
    <w:uiPriority w:val="0"/>
    <w:rPr>
      <w:rFonts w:ascii="宋体" w:hAnsi="Times New Roman" w:eastAsia="宋体"/>
      <w:bCs/>
      <w:color w:val="FF0000"/>
      <w:sz w:val="24"/>
      <w:szCs w:val="24"/>
    </w:rPr>
  </w:style>
  <w:style w:type="paragraph" w:customStyle="1" w:styleId="3526">
    <w:name w:val="Char Char Char Char Char Char1 Char"/>
    <w:basedOn w:val="1"/>
    <w:uiPriority w:val="0"/>
    <w:pPr>
      <w:snapToGrid w:val="0"/>
      <w:spacing w:line="440" w:lineRule="atLeast"/>
      <w:ind w:firstLine="200" w:firstLineChars="200"/>
      <w:jc w:val="left"/>
    </w:pPr>
    <w:rPr>
      <w:rFonts w:ascii="宋体" w:eastAsia="Times New Roman"/>
      <w:b/>
      <w:kern w:val="0"/>
      <w:sz w:val="36"/>
    </w:rPr>
  </w:style>
  <w:style w:type="paragraph" w:customStyle="1" w:styleId="3527">
    <w:name w:val="正文首行缩进 21"/>
    <w:basedOn w:val="35"/>
    <w:uiPriority w:val="0"/>
    <w:pPr>
      <w:spacing w:after="120" w:line="240" w:lineRule="auto"/>
      <w:ind w:firstLine="210" w:firstLineChars="200"/>
      <w:jc w:val="left"/>
    </w:pPr>
    <w:rPr>
      <w:rFonts w:ascii="Times New Roman" w:hAnsi="Times New Roman"/>
      <w:kern w:val="0"/>
      <w:sz w:val="21"/>
    </w:rPr>
  </w:style>
  <w:style w:type="paragraph" w:customStyle="1" w:styleId="3528">
    <w:name w:val="索引 21"/>
    <w:basedOn w:val="1"/>
    <w:next w:val="1"/>
    <w:uiPriority w:val="0"/>
    <w:pPr>
      <w:spacing w:line="360" w:lineRule="auto"/>
      <w:ind w:left="200" w:leftChars="200" w:firstLine="200" w:firstLineChars="200"/>
      <w:jc w:val="left"/>
    </w:pPr>
    <w:rPr>
      <w:kern w:val="0"/>
      <w:sz w:val="28"/>
      <w:szCs w:val="20"/>
    </w:rPr>
  </w:style>
  <w:style w:type="paragraph" w:customStyle="1" w:styleId="3529">
    <w:name w:val="索引 31"/>
    <w:basedOn w:val="1"/>
    <w:next w:val="1"/>
    <w:uiPriority w:val="0"/>
    <w:pPr>
      <w:spacing w:line="360" w:lineRule="auto"/>
      <w:ind w:left="400" w:leftChars="400" w:firstLine="200" w:firstLineChars="200"/>
      <w:jc w:val="left"/>
    </w:pPr>
    <w:rPr>
      <w:kern w:val="0"/>
      <w:sz w:val="28"/>
      <w:szCs w:val="20"/>
    </w:rPr>
  </w:style>
  <w:style w:type="paragraph" w:customStyle="1" w:styleId="3530">
    <w:name w:val="索引 41"/>
    <w:basedOn w:val="1"/>
    <w:next w:val="1"/>
    <w:uiPriority w:val="0"/>
    <w:pPr>
      <w:spacing w:line="140" w:lineRule="atLeast"/>
      <w:ind w:left="600" w:leftChars="600" w:firstLine="200" w:firstLineChars="200"/>
      <w:jc w:val="left"/>
    </w:pPr>
    <w:rPr>
      <w:kern w:val="0"/>
      <w:sz w:val="28"/>
      <w:szCs w:val="20"/>
    </w:rPr>
  </w:style>
  <w:style w:type="paragraph" w:customStyle="1" w:styleId="3531">
    <w:name w:val="索引 91"/>
    <w:basedOn w:val="1"/>
    <w:next w:val="1"/>
    <w:uiPriority w:val="0"/>
    <w:pPr>
      <w:spacing w:line="360" w:lineRule="auto"/>
      <w:ind w:left="1890" w:hanging="210" w:firstLineChars="200"/>
      <w:jc w:val="left"/>
    </w:pPr>
    <w:rPr>
      <w:kern w:val="0"/>
    </w:rPr>
  </w:style>
  <w:style w:type="paragraph" w:customStyle="1" w:styleId="3532">
    <w:name w:val="引文目录1"/>
    <w:basedOn w:val="1"/>
    <w:next w:val="1"/>
    <w:uiPriority w:val="0"/>
    <w:pPr>
      <w:spacing w:line="360" w:lineRule="auto"/>
      <w:ind w:left="420" w:leftChars="200" w:firstLine="200" w:firstLineChars="200"/>
      <w:jc w:val="left"/>
    </w:pPr>
    <w:rPr>
      <w:kern w:val="0"/>
    </w:rPr>
  </w:style>
  <w:style w:type="character" w:customStyle="1" w:styleId="3533">
    <w:name w:val="批注框文本 字符1"/>
    <w:uiPriority w:val="99"/>
    <w:rPr>
      <w:rFonts w:ascii="Times New Roman" w:hAnsi="Times New Roman" w:eastAsia="宋体"/>
      <w:sz w:val="18"/>
      <w:szCs w:val="18"/>
    </w:rPr>
  </w:style>
  <w:style w:type="character" w:customStyle="1" w:styleId="3534">
    <w:name w:val="明显引用 字符1"/>
    <w:uiPriority w:val="30"/>
    <w:rPr>
      <w:rFonts w:ascii="Times New Roman" w:hAnsi="Times New Roman" w:eastAsia="宋体"/>
      <w:i/>
      <w:iCs/>
      <w:color w:val="4F81BD"/>
      <w:sz w:val="24"/>
    </w:rPr>
  </w:style>
  <w:style w:type="table" w:customStyle="1" w:styleId="3535">
    <w:name w:val="灰度表格1121"/>
    <w:basedOn w:val="88"/>
    <w:qFormat/>
    <w:uiPriority w:val="59"/>
    <w:rPr>
      <w:rFonts w:ascii="Cambria" w:hAnsi="Cambria"/>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Pr>
  </w:style>
  <w:style w:type="table" w:customStyle="1" w:styleId="3536">
    <w:name w:val="Table Normal2"/>
    <w:unhideWhenUsed/>
    <w:qFormat/>
    <w:uiPriority w:val="2"/>
    <w:pPr>
      <w:widowControl w:val="0"/>
      <w:autoSpaceDE w:val="0"/>
      <w:autoSpaceDN w:val="0"/>
    </w:pPr>
    <w:rPr>
      <w:rFonts w:ascii="Calibri" w:hAnsi="Calibri"/>
      <w:sz w:val="22"/>
      <w:szCs w:val="22"/>
      <w:lang w:eastAsia="en-US"/>
    </w:rPr>
    <w:tblPr>
      <w:tblLayout w:type="fixed"/>
      <w:tblCellMar>
        <w:top w:w="0" w:type="dxa"/>
        <w:left w:w="0" w:type="dxa"/>
        <w:bottom w:w="0" w:type="dxa"/>
        <w:right w:w="0" w:type="dxa"/>
      </w:tblCellMar>
    </w:tblPr>
  </w:style>
  <w:style w:type="paragraph" w:customStyle="1" w:styleId="3537">
    <w:name w:val="索引 22"/>
    <w:basedOn w:val="1"/>
    <w:next w:val="1"/>
    <w:uiPriority w:val="0"/>
    <w:pPr>
      <w:spacing w:line="360" w:lineRule="auto"/>
      <w:ind w:left="200" w:leftChars="200" w:firstLine="200" w:firstLineChars="200"/>
      <w:jc w:val="left"/>
    </w:pPr>
    <w:rPr>
      <w:kern w:val="0"/>
      <w:sz w:val="28"/>
      <w:szCs w:val="20"/>
    </w:rPr>
  </w:style>
  <w:style w:type="paragraph" w:customStyle="1" w:styleId="3538">
    <w:name w:val="索引 32"/>
    <w:basedOn w:val="1"/>
    <w:next w:val="1"/>
    <w:uiPriority w:val="0"/>
    <w:pPr>
      <w:spacing w:line="360" w:lineRule="auto"/>
      <w:ind w:left="400" w:leftChars="400" w:firstLine="200" w:firstLineChars="200"/>
      <w:jc w:val="left"/>
    </w:pPr>
    <w:rPr>
      <w:kern w:val="0"/>
      <w:sz w:val="28"/>
      <w:szCs w:val="20"/>
    </w:rPr>
  </w:style>
  <w:style w:type="paragraph" w:customStyle="1" w:styleId="3539">
    <w:name w:val="索引 42"/>
    <w:basedOn w:val="1"/>
    <w:next w:val="1"/>
    <w:uiPriority w:val="0"/>
    <w:pPr>
      <w:spacing w:line="140" w:lineRule="atLeast"/>
      <w:ind w:left="600" w:leftChars="600" w:firstLine="200" w:firstLineChars="200"/>
      <w:jc w:val="left"/>
    </w:pPr>
    <w:rPr>
      <w:kern w:val="0"/>
      <w:sz w:val="28"/>
      <w:szCs w:val="20"/>
    </w:rPr>
  </w:style>
  <w:style w:type="paragraph" w:customStyle="1" w:styleId="3540">
    <w:name w:val="索引 92"/>
    <w:basedOn w:val="1"/>
    <w:next w:val="1"/>
    <w:uiPriority w:val="0"/>
    <w:pPr>
      <w:spacing w:line="360" w:lineRule="auto"/>
      <w:ind w:left="1890" w:hanging="210" w:firstLineChars="200"/>
      <w:jc w:val="left"/>
    </w:pPr>
    <w:rPr>
      <w:kern w:val="0"/>
    </w:rPr>
  </w:style>
  <w:style w:type="paragraph" w:customStyle="1" w:styleId="3541">
    <w:name w:val="引文目录2"/>
    <w:basedOn w:val="1"/>
    <w:next w:val="1"/>
    <w:uiPriority w:val="0"/>
    <w:pPr>
      <w:spacing w:line="360" w:lineRule="auto"/>
      <w:ind w:left="420" w:leftChars="200" w:firstLine="200" w:firstLineChars="200"/>
      <w:jc w:val="left"/>
    </w:pPr>
    <w:rPr>
      <w:kern w:val="0"/>
    </w:rPr>
  </w:style>
  <w:style w:type="table" w:customStyle="1" w:styleId="3542">
    <w:name w:val="灰度表格1122"/>
    <w:basedOn w:val="88"/>
    <w:qFormat/>
    <w:uiPriority w:val="59"/>
    <w:rPr>
      <w:rFonts w:ascii="Cambria" w:hAnsi="Cambria"/>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Pr>
  </w:style>
  <w:style w:type="table" w:customStyle="1" w:styleId="3543">
    <w:name w:val="Table Normal3"/>
    <w:unhideWhenUsed/>
    <w:qFormat/>
    <w:uiPriority w:val="2"/>
    <w:pPr>
      <w:widowControl w:val="0"/>
      <w:autoSpaceDE w:val="0"/>
      <w:autoSpaceDN w:val="0"/>
    </w:pPr>
    <w:rPr>
      <w:rFonts w:ascii="Calibri" w:hAnsi="Calibri"/>
      <w:sz w:val="22"/>
      <w:szCs w:val="22"/>
      <w:lang w:eastAsia="en-US"/>
    </w:rPr>
    <w:tblPr>
      <w:tblLayout w:type="fixed"/>
      <w:tblCellMar>
        <w:top w:w="0" w:type="dxa"/>
        <w:left w:w="0" w:type="dxa"/>
        <w:bottom w:w="0" w:type="dxa"/>
        <w:right w:w="0" w:type="dxa"/>
      </w:tblCellMar>
    </w:tblPr>
  </w:style>
  <w:style w:type="table" w:customStyle="1" w:styleId="3544">
    <w:name w:val="网格型（OPCC）1"/>
    <w:basedOn w:val="88"/>
    <w:qFormat/>
    <w:uiPriority w:val="39"/>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Pr>
  </w:style>
  <w:style w:type="paragraph" w:customStyle="1" w:styleId="3545">
    <w:name w:val="Char Char1 Char Char1"/>
    <w:basedOn w:val="1"/>
    <w:uiPriority w:val="0"/>
    <w:rPr>
      <w:sz w:val="28"/>
      <w:szCs w:val="28"/>
    </w:rPr>
  </w:style>
  <w:style w:type="paragraph" w:customStyle="1" w:styleId="3546">
    <w:name w:val="表头罗"/>
    <w:uiPriority w:val="0"/>
    <w:pPr>
      <w:spacing w:line="360" w:lineRule="auto"/>
      <w:ind w:firstLine="11"/>
      <w:jc w:val="center"/>
    </w:pPr>
    <w:rPr>
      <w:rFonts w:ascii="Times New Roman" w:hAnsi="Times New Roman" w:eastAsia="宋体" w:cs="Times New Roman"/>
      <w:b/>
      <w:iCs/>
      <w:kern w:val="2"/>
      <w:sz w:val="21"/>
      <w:szCs w:val="21"/>
      <w:lang w:val="en-US" w:eastAsia="zh-CN" w:bidi="ar-SA"/>
    </w:rPr>
  </w:style>
  <w:style w:type="character" w:customStyle="1" w:styleId="3547">
    <w:name w:val="标题 1 字符1"/>
    <w:uiPriority w:val="9"/>
    <w:rPr>
      <w:rFonts w:eastAsia="黑体"/>
      <w:b/>
      <w:kern w:val="2"/>
      <w:sz w:val="36"/>
      <w:szCs w:val="36"/>
    </w:rPr>
  </w:style>
  <w:style w:type="character" w:customStyle="1" w:styleId="3548">
    <w:name w:val="标题 2 字符1"/>
    <w:uiPriority w:val="9"/>
    <w:rPr>
      <w:rFonts w:eastAsia="黑体"/>
      <w:b/>
      <w:bCs/>
      <w:kern w:val="2"/>
      <w:sz w:val="32"/>
      <w:szCs w:val="30"/>
    </w:rPr>
  </w:style>
  <w:style w:type="character" w:customStyle="1" w:styleId="3549">
    <w:name w:val="标题 3 字符2"/>
    <w:locked/>
    <w:uiPriority w:val="9"/>
    <w:rPr>
      <w:rFonts w:eastAsia="黑体"/>
      <w:b/>
      <w:bCs/>
      <w:kern w:val="2"/>
      <w:sz w:val="30"/>
      <w:szCs w:val="28"/>
    </w:rPr>
  </w:style>
  <w:style w:type="character" w:customStyle="1" w:styleId="3550">
    <w:name w:val="标题 4 字符2"/>
    <w:locked/>
    <w:uiPriority w:val="9"/>
    <w:rPr>
      <w:b/>
      <w:bCs/>
      <w:kern w:val="2"/>
      <w:sz w:val="28"/>
      <w:szCs w:val="28"/>
    </w:rPr>
  </w:style>
  <w:style w:type="character" w:customStyle="1" w:styleId="3551">
    <w:name w:val="标题 5 字符1"/>
    <w:locked/>
    <w:uiPriority w:val="0"/>
    <w:rPr>
      <w:rFonts w:eastAsia="宋体" w:cs="宋体"/>
      <w:b/>
      <w:bCs/>
      <w:color w:val="000000"/>
      <w:kern w:val="2"/>
      <w:sz w:val="28"/>
      <w:szCs w:val="24"/>
      <w:lang w:val="en-US" w:eastAsia="zh-CN" w:bidi="ar-SA"/>
    </w:rPr>
  </w:style>
  <w:style w:type="character" w:customStyle="1" w:styleId="3552">
    <w:name w:val="标题 6 字符1"/>
    <w:locked/>
    <w:uiPriority w:val="0"/>
    <w:rPr>
      <w:rFonts w:ascii="Arial" w:hAnsi="Arial" w:eastAsia="黑体" w:cs="宋体"/>
      <w:b/>
      <w:bCs/>
      <w:color w:val="000000"/>
      <w:kern w:val="2"/>
      <w:sz w:val="24"/>
      <w:szCs w:val="24"/>
      <w:lang w:val="en-US" w:eastAsia="zh-CN" w:bidi="ar-SA"/>
    </w:rPr>
  </w:style>
  <w:style w:type="character" w:customStyle="1" w:styleId="3553">
    <w:name w:val="正文文本缩进 字符1"/>
    <w:locked/>
    <w:uiPriority w:val="0"/>
    <w:rPr>
      <w:rFonts w:ascii="宋体" w:hAnsi="宋体" w:eastAsia="宋体" w:cs="宋体"/>
      <w:b/>
      <w:bCs/>
      <w:color w:val="000000"/>
      <w:kern w:val="2"/>
      <w:sz w:val="24"/>
      <w:szCs w:val="24"/>
      <w:lang w:val="en-US" w:eastAsia="zh-CN" w:bidi="ar-SA"/>
    </w:rPr>
  </w:style>
  <w:style w:type="character" w:customStyle="1" w:styleId="3554">
    <w:name w:val="正文文本缩进 2 字符1"/>
    <w:uiPriority w:val="0"/>
    <w:rPr>
      <w:rFonts w:ascii="宋体" w:hAnsi="宋体" w:eastAsia="宋体" w:cs="宋体"/>
      <w:b/>
      <w:bCs/>
      <w:color w:val="000000"/>
      <w:kern w:val="2"/>
      <w:sz w:val="24"/>
      <w:szCs w:val="24"/>
      <w:lang w:val="en-US" w:eastAsia="zh-CN" w:bidi="ar-SA"/>
    </w:rPr>
  </w:style>
  <w:style w:type="character" w:customStyle="1" w:styleId="3555">
    <w:name w:val="正文文本 字符1"/>
    <w:locked/>
    <w:uiPriority w:val="0"/>
    <w:rPr>
      <w:rFonts w:eastAsia="宋体" w:cs="宋体"/>
      <w:b/>
      <w:bCs/>
      <w:color w:val="000000"/>
      <w:kern w:val="2"/>
      <w:sz w:val="18"/>
      <w:szCs w:val="24"/>
      <w:lang w:val="en-US" w:eastAsia="zh-CN" w:bidi="ar-SA"/>
    </w:rPr>
  </w:style>
  <w:style w:type="character" w:customStyle="1" w:styleId="3556">
    <w:name w:val="正文文本 2 字符1"/>
    <w:locked/>
    <w:uiPriority w:val="0"/>
    <w:rPr>
      <w:rFonts w:eastAsia="宋体" w:cs="宋体"/>
      <w:b/>
      <w:bCs/>
      <w:color w:val="000000"/>
      <w:kern w:val="2"/>
      <w:sz w:val="21"/>
      <w:szCs w:val="24"/>
      <w:lang w:val="en-US" w:eastAsia="zh-CN" w:bidi="ar-SA"/>
    </w:rPr>
  </w:style>
  <w:style w:type="character" w:customStyle="1" w:styleId="3557">
    <w:name w:val="普通(网站) 字符1"/>
    <w:locked/>
    <w:uiPriority w:val="0"/>
    <w:rPr>
      <w:rFonts w:ascii="宋体" w:hAnsi="宋体" w:eastAsia="宋体" w:cs="宋体"/>
      <w:b/>
      <w:bCs/>
      <w:color w:val="000000"/>
      <w:kern w:val="2"/>
      <w:sz w:val="24"/>
      <w:szCs w:val="24"/>
      <w:lang w:val="en-US" w:eastAsia="zh-CN" w:bidi="ar-SA"/>
    </w:rPr>
  </w:style>
  <w:style w:type="character" w:customStyle="1" w:styleId="3558">
    <w:name w:val="日期 字符1"/>
    <w:locked/>
    <w:uiPriority w:val="0"/>
    <w:rPr>
      <w:rFonts w:eastAsia="宋体" w:cs="宋体"/>
      <w:b/>
      <w:bCs/>
      <w:color w:val="000000"/>
      <w:kern w:val="2"/>
      <w:sz w:val="21"/>
      <w:szCs w:val="24"/>
      <w:lang w:val="en-US" w:eastAsia="zh-CN" w:bidi="ar-SA"/>
    </w:rPr>
  </w:style>
  <w:style w:type="character" w:customStyle="1" w:styleId="3559">
    <w:name w:val="标题 字符1"/>
    <w:locked/>
    <w:uiPriority w:val="0"/>
    <w:rPr>
      <w:rFonts w:ascii="Arial" w:hAnsi="Arial" w:eastAsia="宋体" w:cs="Arial"/>
      <w:b/>
      <w:bCs/>
      <w:color w:val="000000"/>
      <w:kern w:val="2"/>
      <w:sz w:val="32"/>
      <w:szCs w:val="32"/>
      <w:lang w:val="en-US" w:eastAsia="zh-CN" w:bidi="ar-SA"/>
    </w:rPr>
  </w:style>
  <w:style w:type="character" w:customStyle="1" w:styleId="3560">
    <w:name w:val="批注文字 字符1"/>
    <w:uiPriority w:val="0"/>
    <w:rPr>
      <w:rFonts w:eastAsia="黑体" w:cs="宋体"/>
      <w:color w:val="000000"/>
      <w:kern w:val="2"/>
      <w:sz w:val="21"/>
      <w:szCs w:val="24"/>
      <w:lang w:val="zh-CN" w:eastAsia="zh-CN" w:bidi="ar-SA"/>
    </w:rPr>
  </w:style>
  <w:style w:type="character" w:customStyle="1" w:styleId="3561">
    <w:name w:val="批注主题 字符1"/>
    <w:uiPriority w:val="0"/>
    <w:rPr>
      <w:rFonts w:eastAsia="黑体" w:cs="宋体"/>
      <w:b/>
      <w:bCs/>
      <w:color w:val="000000"/>
      <w:kern w:val="2"/>
      <w:sz w:val="24"/>
      <w:szCs w:val="24"/>
      <w:lang w:val="zh-CN" w:eastAsia="zh-CN" w:bidi="ar-SA"/>
    </w:rPr>
  </w:style>
  <w:style w:type="character" w:customStyle="1" w:styleId="3562">
    <w:name w:val="注释标题 字符1"/>
    <w:uiPriority w:val="0"/>
    <w:rPr>
      <w:rFonts w:ascii="宋体"/>
      <w:kern w:val="2"/>
      <w:sz w:val="28"/>
      <w:szCs w:val="24"/>
    </w:rPr>
  </w:style>
  <w:style w:type="character" w:customStyle="1" w:styleId="3563">
    <w:name w:val="HTML 预设格式 字符1"/>
    <w:uiPriority w:val="0"/>
    <w:rPr>
      <w:rFonts w:ascii="宋体" w:hAnsi="宋体" w:cs="宋体"/>
      <w:sz w:val="24"/>
      <w:szCs w:val="24"/>
    </w:rPr>
  </w:style>
  <w:style w:type="character" w:customStyle="1" w:styleId="3564">
    <w:name w:val="文档结构图 字符1"/>
    <w:semiHidden/>
    <w:uiPriority w:val="99"/>
    <w:rPr>
      <w:kern w:val="2"/>
      <w:sz w:val="24"/>
      <w:szCs w:val="24"/>
      <w:shd w:val="clear" w:color="auto" w:fill="000080"/>
    </w:rPr>
  </w:style>
  <w:style w:type="character" w:customStyle="1" w:styleId="3565">
    <w:name w:val="标题 9 字符1"/>
    <w:uiPriority w:val="0"/>
    <w:rPr>
      <w:rFonts w:ascii="Arial" w:hAnsi="Arial" w:eastAsia="黑体"/>
      <w:kern w:val="2"/>
      <w:sz w:val="24"/>
      <w:szCs w:val="24"/>
    </w:rPr>
  </w:style>
  <w:style w:type="character" w:customStyle="1" w:styleId="3566">
    <w:name w:val="标题 8 字符1"/>
    <w:uiPriority w:val="0"/>
    <w:rPr>
      <w:rFonts w:ascii="Arial" w:hAnsi="Arial" w:eastAsia="黑体"/>
      <w:kern w:val="2"/>
      <w:sz w:val="24"/>
      <w:szCs w:val="24"/>
    </w:rPr>
  </w:style>
  <w:style w:type="character" w:customStyle="1" w:styleId="3567">
    <w:name w:val="标题 7 字符1"/>
    <w:uiPriority w:val="0"/>
    <w:rPr>
      <w:b/>
      <w:kern w:val="2"/>
      <w:sz w:val="24"/>
      <w:szCs w:val="24"/>
    </w:rPr>
  </w:style>
  <w:style w:type="character" w:customStyle="1" w:styleId="3568">
    <w:name w:val="称呼 字符1"/>
    <w:uiPriority w:val="0"/>
    <w:rPr>
      <w:rFonts w:eastAsia="黑体" w:cs="宋体"/>
      <w:color w:val="000000"/>
      <w:kern w:val="2"/>
      <w:sz w:val="24"/>
      <w:szCs w:val="24"/>
      <w:lang w:val="en-US" w:eastAsia="zh-CN" w:bidi="ar-SA"/>
    </w:rPr>
  </w:style>
  <w:style w:type="character" w:customStyle="1" w:styleId="3569">
    <w:name w:val="脚注文本 字符1"/>
    <w:uiPriority w:val="0"/>
    <w:rPr>
      <w:rFonts w:eastAsia="黑体" w:cs="宋体"/>
      <w:color w:val="000000"/>
      <w:kern w:val="2"/>
      <w:sz w:val="18"/>
      <w:szCs w:val="18"/>
      <w:lang w:val="en-US" w:eastAsia="zh-CN" w:bidi="ar-SA"/>
    </w:rPr>
  </w:style>
  <w:style w:type="character" w:customStyle="1" w:styleId="3570">
    <w:name w:val="正文文本 3 字符1"/>
    <w:uiPriority w:val="0"/>
    <w:rPr>
      <w:kern w:val="2"/>
      <w:sz w:val="24"/>
      <w:szCs w:val="24"/>
    </w:rPr>
  </w:style>
  <w:style w:type="character" w:customStyle="1" w:styleId="3571">
    <w:name w:val="z-窗体底端 字符1"/>
    <w:uiPriority w:val="0"/>
    <w:rPr>
      <w:rFonts w:ascii="Arial" w:hAnsi="Arial" w:cs="Arial"/>
      <w:vanish/>
      <w:kern w:val="2"/>
      <w:sz w:val="16"/>
      <w:szCs w:val="16"/>
    </w:rPr>
  </w:style>
  <w:style w:type="character" w:customStyle="1" w:styleId="3572">
    <w:name w:val="z-窗体顶端 字符"/>
    <w:semiHidden/>
    <w:uiPriority w:val="0"/>
    <w:rPr>
      <w:rFonts w:ascii="Arial" w:hAnsi="Arial" w:eastAsia="宋体" w:cs="Arial"/>
      <w:vanish/>
      <w:kern w:val="2"/>
      <w:sz w:val="16"/>
      <w:szCs w:val="16"/>
    </w:rPr>
  </w:style>
  <w:style w:type="table" w:customStyle="1" w:styleId="3573">
    <w:name w:val="网格型8"/>
    <w:basedOn w:val="88"/>
    <w:qFormat/>
    <w:uiPriority w:val="59"/>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Pr>
  </w:style>
  <w:style w:type="table" w:customStyle="1" w:styleId="3574">
    <w:name w:val="典雅型2"/>
    <w:basedOn w:val="88"/>
    <w:uiPriority w:val="0"/>
    <w:pPr>
      <w:widowControl w:val="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Layout w:type="fixed"/>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3575">
    <w:name w:val="简明型 11"/>
    <w:basedOn w:val="88"/>
    <w:uiPriority w:val="0"/>
    <w:pPr>
      <w:widowControl w:val="0"/>
      <w:jc w:val="both"/>
    </w:pPr>
    <w:rPr>
      <w:rFonts w:ascii="Calibri" w:hAnsi="Calibri"/>
    </w:rPr>
    <w:tblPr>
      <w:tblBorders>
        <w:top w:val="single" w:color="008000" w:sz="12" w:space="0"/>
        <w:bottom w:val="single" w:color="008000" w:sz="12" w:space="0"/>
      </w:tblBorders>
      <w:tblLayout w:type="fixed"/>
    </w:tblPr>
    <w:tcPr>
      <w:shd w:val="clear" w:color="auto" w:fill="auto"/>
    </w:tcPr>
    <w:tblStylePr w:type="firstRow">
      <w:tcPr>
        <w:tcBorders>
          <w:top w:val="nil"/>
          <w:left w:val="nil"/>
          <w:bottom w:val="single" w:color="008000" w:sz="6" w:space="0"/>
          <w:right w:val="nil"/>
          <w:insideH w:val="nil"/>
          <w:insideV w:val="nil"/>
          <w:tl2br w:val="nil"/>
          <w:tr2bl w:val="nil"/>
        </w:tcBorders>
      </w:tcPr>
    </w:tblStylePr>
    <w:tblStylePr w:type="lastRow">
      <w:tcPr>
        <w:tcBorders>
          <w:top w:val="single" w:color="008000" w:sz="6" w:space="0"/>
          <w:left w:val="nil"/>
          <w:bottom w:val="nil"/>
          <w:right w:val="nil"/>
          <w:insideH w:val="nil"/>
          <w:insideV w:val="nil"/>
          <w:tl2br w:val="nil"/>
          <w:tr2bl w:val="nil"/>
        </w:tcBorders>
      </w:tcPr>
    </w:tblStylePr>
  </w:style>
  <w:style w:type="table" w:customStyle="1" w:styleId="3576">
    <w:name w:val="网格型 12"/>
    <w:basedOn w:val="88"/>
    <w:uiPriority w:val="0"/>
    <w:pPr>
      <w:widowControl w:val="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Pr>
    <w:tcPr>
      <w:shd w:val="clear" w:color="auto" w:fill="auto"/>
    </w:tcPr>
    <w:tblStylePr w:type="lastRow">
      <w:rPr>
        <w:i/>
        <w:iCs/>
      </w:rPr>
      <w:tcPr>
        <w:tcBorders>
          <w:top w:val="nil"/>
          <w:left w:val="nil"/>
          <w:bottom w:val="nil"/>
          <w:right w:val="nil"/>
          <w:insideH w:val="nil"/>
          <w:insideV w:val="nil"/>
          <w:tl2br w:val="nil"/>
          <w:tr2bl w:val="nil"/>
        </w:tcBorders>
      </w:tcPr>
    </w:tblStylePr>
    <w:tblStylePr w:type="lastCol">
      <w:rPr>
        <w:i/>
        <w:iCs/>
      </w:rPr>
      <w:tcPr>
        <w:tcBorders>
          <w:top w:val="nil"/>
          <w:left w:val="nil"/>
          <w:bottom w:val="nil"/>
          <w:right w:val="nil"/>
          <w:insideH w:val="nil"/>
          <w:insideV w:val="nil"/>
          <w:tl2br w:val="nil"/>
          <w:tr2bl w:val="nil"/>
        </w:tcBorders>
      </w:tcPr>
    </w:tblStylePr>
    <w:tblStylePr w:type="nwCell">
      <w:tcPr>
        <w:tcBorders>
          <w:top w:val="nil"/>
          <w:left w:val="nil"/>
          <w:bottom w:val="nil"/>
          <w:right w:val="nil"/>
          <w:insideH w:val="nil"/>
          <w:insideV w:val="nil"/>
          <w:tl2br w:val="single" w:color="000000" w:sz="6" w:space="0"/>
          <w:tr2bl w:val="nil"/>
        </w:tcBorders>
      </w:tcPr>
    </w:tblStylePr>
  </w:style>
  <w:style w:type="table" w:customStyle="1" w:styleId="3577">
    <w:name w:val="网格型 52"/>
    <w:basedOn w:val="88"/>
    <w:uiPriority w:val="0"/>
    <w:pPr>
      <w:widowControl w:val="0"/>
      <w:jc w:val="both"/>
    </w:pPr>
    <w:tblP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Pr>
    <w:tblStylePr w:type="firstRow">
      <w:tcPr>
        <w:tcBorders>
          <w:top w:val="nil"/>
          <w:left w:val="nil"/>
          <w:bottom w:val="single" w:color="000000" w:sz="12" w:space="0"/>
          <w:right w:val="nil"/>
          <w:insideH w:val="nil"/>
          <w:insideV w:val="nil"/>
          <w:tl2br w:val="nil"/>
          <w:tr2bl w:val="nil"/>
        </w:tcBorders>
      </w:tcPr>
    </w:tblStylePr>
    <w:tblStylePr w:type="lastRow">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nwCell">
      <w:tcPr>
        <w:tcBorders>
          <w:top w:val="nil"/>
          <w:left w:val="nil"/>
          <w:bottom w:val="nil"/>
          <w:right w:val="nil"/>
          <w:insideH w:val="nil"/>
          <w:insideV w:val="nil"/>
          <w:tl2br w:val="single" w:color="000000" w:sz="6" w:space="0"/>
          <w:tr2bl w:val="nil"/>
        </w:tcBorders>
      </w:tcPr>
    </w:tblStylePr>
  </w:style>
  <w:style w:type="table" w:customStyle="1" w:styleId="3578">
    <w:name w:val="网格型 73"/>
    <w:basedOn w:val="88"/>
    <w:uiPriority w:val="0"/>
    <w:pPr>
      <w:widowControl w:val="0"/>
      <w:jc w:val="both"/>
    </w:pPr>
    <w:rPr>
      <w:b/>
      <w:bCs/>
    </w:rPr>
    <w:tblP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Pr>
    <w:tblStylePr w:type="firstRow">
      <w:rPr>
        <w:b w:val="0"/>
        <w:bCs w:val="0"/>
      </w:rPr>
      <w:tcPr>
        <w:tcBorders>
          <w:top w:val="nil"/>
          <w:left w:val="nil"/>
          <w:bottom w:val="single" w:color="000000" w:sz="12" w:space="0"/>
          <w:right w:val="nil"/>
          <w:insideH w:val="nil"/>
          <w:insideV w:val="nil"/>
          <w:tl2br w:val="nil"/>
          <w:tr2bl w:val="nil"/>
        </w:tcBorders>
      </w:tcPr>
    </w:tblStylePr>
    <w:tblStylePr w:type="lastRow">
      <w:rPr>
        <w:b w:val="0"/>
        <w:bCs w:val="0"/>
      </w:rPr>
      <w:tcPr>
        <w:tcBorders>
          <w:top w:val="single" w:color="000000" w:sz="6" w:space="0"/>
          <w:left w:val="nil"/>
          <w:bottom w:val="nil"/>
          <w:right w:val="nil"/>
          <w:insideH w:val="nil"/>
          <w:insideV w:val="nil"/>
          <w:tl2br w:val="nil"/>
          <w:tr2bl w:val="nil"/>
        </w:tcBorders>
      </w:tcPr>
    </w:tblStylePr>
    <w:tblStylePr w:type="firstCol">
      <w:rPr>
        <w:b w:val="0"/>
        <w:bCs w:val="0"/>
      </w:rPr>
      <w:tcPr>
        <w:tcBorders>
          <w:top w:val="nil"/>
          <w:left w:val="nil"/>
          <w:bottom w:val="nil"/>
          <w:right w:val="nil"/>
          <w:insideH w:val="nil"/>
          <w:insideV w:val="nil"/>
          <w:tl2br w:val="nil"/>
          <w:tr2bl w:val="nil"/>
        </w:tcBorders>
      </w:tcPr>
    </w:tblStylePr>
    <w:tblStylePr w:type="lastCol">
      <w:rPr>
        <w:b w:val="0"/>
        <w:bCs w:val="0"/>
      </w:rPr>
      <w:tcPr>
        <w:tcBorders>
          <w:top w:val="nil"/>
          <w:left w:val="nil"/>
          <w:bottom w:val="nil"/>
          <w:right w:val="nil"/>
          <w:insideH w:val="nil"/>
          <w:insideV w:val="nil"/>
          <w:tl2br w:val="nil"/>
          <w:tr2bl w:val="nil"/>
        </w:tcBorders>
      </w:tcPr>
    </w:tblStylePr>
    <w:tblStylePr w:type="nwCell">
      <w:tcPr>
        <w:tcBorders>
          <w:top w:val="nil"/>
          <w:left w:val="nil"/>
          <w:bottom w:val="nil"/>
          <w:right w:val="nil"/>
          <w:insideH w:val="nil"/>
          <w:insideV w:val="nil"/>
          <w:tl2br w:val="single" w:color="000000" w:sz="6" w:space="0"/>
          <w:tr2bl w:val="nil"/>
        </w:tcBorders>
      </w:tcPr>
    </w:tblStylePr>
  </w:style>
  <w:style w:type="table" w:customStyle="1" w:styleId="3579">
    <w:name w:val="网格型21"/>
    <w:basedOn w:val="88"/>
    <w:qFormat/>
    <w:uiPriority w:val="39"/>
    <w:rPr>
      <w:rFonts w:ascii="Calibri" w:hAnsi="Calibri"/>
      <w:kern w:val="2"/>
      <w:sz w:val="21"/>
      <w:szCs w:val="2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Pr>
  </w:style>
  <w:style w:type="table" w:customStyle="1" w:styleId="3580">
    <w:name w:val="Table Normal4"/>
    <w:unhideWhenUsed/>
    <w:qFormat/>
    <w:uiPriority w:val="2"/>
    <w:pPr>
      <w:widowControl w:val="0"/>
    </w:pPr>
    <w:rPr>
      <w:sz w:val="22"/>
      <w:szCs w:val="22"/>
      <w:lang w:eastAsia="en-US"/>
    </w:rPr>
    <w:tblPr>
      <w:tblLayout w:type="fixed"/>
      <w:tblCellMar>
        <w:top w:w="0" w:type="dxa"/>
        <w:left w:w="0" w:type="dxa"/>
        <w:bottom w:w="0" w:type="dxa"/>
        <w:right w:w="0" w:type="dxa"/>
      </w:tblCellMar>
    </w:tblPr>
  </w:style>
  <w:style w:type="table" w:customStyle="1" w:styleId="3581">
    <w:name w:val="Table Normal11"/>
    <w:semiHidden/>
    <w:qFormat/>
    <w:uiPriority w:val="2"/>
    <w:pPr>
      <w:widowControl w:val="0"/>
    </w:pPr>
    <w:rPr>
      <w:rFonts w:ascii="Calibri" w:hAnsi="Calibri" w:eastAsia="Times New Roman"/>
      <w:sz w:val="22"/>
      <w:szCs w:val="22"/>
      <w:lang w:eastAsia="en-US"/>
    </w:rPr>
    <w:tblPr>
      <w:tblLayout w:type="fixed"/>
      <w:tblCellMar>
        <w:top w:w="0" w:type="dxa"/>
        <w:left w:w="0" w:type="dxa"/>
        <w:bottom w:w="0" w:type="dxa"/>
        <w:right w:w="0" w:type="dxa"/>
      </w:tblCellMar>
    </w:tblPr>
  </w:style>
  <w:style w:type="table" w:customStyle="1" w:styleId="3582">
    <w:name w:val="毛的表格11"/>
    <w:basedOn w:val="88"/>
    <w:semiHidden/>
    <w:uiPriority w:val="0"/>
    <w:pPr>
      <w:jc w:val="center"/>
    </w:pPr>
    <w:tblP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Pr>
    <w:tcPr>
      <w:vAlign w:val="center"/>
    </w:tcPr>
  </w:style>
  <w:style w:type="table" w:customStyle="1" w:styleId="3583">
    <w:name w:val="浅色底纹 - 强调文字颜色 111"/>
    <w:basedOn w:val="88"/>
    <w:uiPriority w:val="60"/>
    <w:rPr>
      <w:rFonts w:ascii="Calibri" w:hAnsi="Calibri"/>
      <w:color w:val="365F91"/>
      <w:sz w:val="22"/>
    </w:rPr>
    <w:tblPr>
      <w:tblBorders>
        <w:top w:val="single" w:color="4F81BD" w:sz="8" w:space="0"/>
        <w:bottom w:val="single" w:color="4F81BD" w:sz="8" w:space="0"/>
      </w:tblBorders>
      <w:tblLayout w:type="fixed"/>
    </w:tblPr>
    <w:tblStylePr w:type="firstRow">
      <w:pPr>
        <w:spacing w:before="0" w:beforeLines="0" w:beforeAutospacing="0" w:after="0" w:afterLines="0" w:afterAutospacing="0" w:line="240" w:lineRule="auto"/>
      </w:pPr>
      <w:rPr>
        <w:b/>
        <w:bCs/>
      </w:rPr>
      <w:tcPr>
        <w:tcBorders>
          <w:top w:val="single" w:color="4F81BD" w:sz="8" w:space="0"/>
          <w:left w:val="nil"/>
          <w:bottom w:val="single" w:color="4F81BD" w:sz="8" w:space="0"/>
          <w:right w:val="nil"/>
          <w:insideH w:val="nil"/>
          <w:insideV w:val="nil"/>
          <w:tl2br w:val="nil"/>
          <w:tr2bl w:val="nil"/>
        </w:tcBorders>
      </w:tcPr>
    </w:tblStylePr>
    <w:tblStylePr w:type="lastRow">
      <w:pPr>
        <w:spacing w:before="0" w:beforeLines="0" w:beforeAutospacing="0" w:after="0" w:afterLines="0" w:afterAutospacing="0" w:line="240" w:lineRule="auto"/>
      </w:pPr>
      <w:rPr>
        <w:b/>
        <w:bCs/>
      </w:rPr>
      <w:tcPr>
        <w:tcBorders>
          <w:top w:val="single" w:color="4F81BD" w:sz="8" w:space="0"/>
          <w:left w:val="nil"/>
          <w:bottom w:val="single" w:color="4F81BD" w:sz="8" w:space="0"/>
          <w:right w:val="nil"/>
          <w:insideH w:val="nil"/>
          <w:insideV w:val="nil"/>
          <w:tl2br w:val="nil"/>
          <w:tr2bl w:val="nil"/>
        </w:tcBorders>
      </w:tcPr>
    </w:tblStylePr>
    <w:tblStylePr w:type="firstCol">
      <w:rPr>
        <w:b/>
        <w:bCs/>
      </w:rPr>
    </w:tblStylePr>
    <w:tblStylePr w:type="lastCol">
      <w:rPr>
        <w:b/>
        <w:bCs/>
      </w:rPr>
    </w:tblStylePr>
    <w:tblStylePr w:type="band1Vert">
      <w:tcPr>
        <w:tcBorders>
          <w:top w:val="nil"/>
          <w:left w:val="nil"/>
          <w:bottom w:val="nil"/>
          <w:right w:val="nil"/>
          <w:insideH w:val="nil"/>
          <w:insideV w:val="nil"/>
          <w:tl2br w:val="nil"/>
          <w:tr2bl w:val="nil"/>
        </w:tcBorders>
        <w:shd w:val="clear" w:color="auto" w:fill="D3DFEE"/>
      </w:tcPr>
    </w:tblStylePr>
    <w:tblStylePr w:type="band1Horz">
      <w:tcPr>
        <w:tcBorders>
          <w:top w:val="nil"/>
          <w:left w:val="nil"/>
          <w:bottom w:val="nil"/>
          <w:right w:val="nil"/>
          <w:insideH w:val="nil"/>
          <w:insideV w:val="nil"/>
          <w:tl2br w:val="nil"/>
          <w:tr2bl w:val="nil"/>
        </w:tcBorders>
        <w:shd w:val="clear" w:color="auto" w:fill="D3DFEE"/>
      </w:tcPr>
    </w:tblStylePr>
  </w:style>
  <w:style w:type="table" w:customStyle="1" w:styleId="3584">
    <w:name w:val="典雅型211"/>
    <w:basedOn w:val="88"/>
    <w:uiPriority w:val="0"/>
    <w:pPr>
      <w:widowControl w:val="0"/>
      <w:jc w:val="center"/>
    </w:pPr>
    <w:tblPr>
      <w:tblBorders>
        <w:top w:val="single" w:color="000000" w:sz="12" w:space="0"/>
        <w:bottom w:val="single" w:color="000000" w:sz="12" w:space="0"/>
        <w:insideH w:val="single" w:color="000000" w:sz="6" w:space="0"/>
        <w:insideV w:val="single" w:color="000000" w:sz="6" w:space="0"/>
      </w:tblBorders>
      <w:tblLayout w:type="fixed"/>
    </w:tblPr>
    <w:tcPr>
      <w:vAlign w:val="center"/>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3585">
    <w:name w:val="1111"/>
    <w:basedOn w:val="89"/>
    <w:qFormat/>
    <w:uiPriority w:val="0"/>
    <w:pPr>
      <w:jc w:val="center"/>
    </w:pPr>
    <w:rPr>
      <w:rFonts w:eastAsia="Times New Roman"/>
      <w:sz w:val="21"/>
      <w:szCs w:val="21"/>
    </w:rPr>
    <w:tblPr>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Layout w:type="fixed"/>
    </w:tblPr>
    <w:tcPr>
      <w:vAlign w:val="center"/>
    </w:tcPr>
  </w:style>
  <w:style w:type="table" w:customStyle="1" w:styleId="3586">
    <w:name w:val="专业网格1"/>
    <w:basedOn w:val="88"/>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Pr>
  </w:style>
  <w:style w:type="table" w:customStyle="1" w:styleId="3587">
    <w:name w:val="专业网格2"/>
    <w:basedOn w:val="88"/>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Pr>
  </w:style>
  <w:style w:type="table" w:customStyle="1" w:styleId="3588">
    <w:name w:val="Table Normal5"/>
    <w:unhideWhenUsed/>
    <w:qFormat/>
    <w:uiPriority w:val="2"/>
    <w:pPr>
      <w:widowControl w:val="0"/>
    </w:pPr>
    <w:rPr>
      <w:sz w:val="22"/>
      <w:szCs w:val="22"/>
      <w:lang w:eastAsia="en-US"/>
    </w:rPr>
    <w:tblPr>
      <w:tblLayout w:type="fixed"/>
      <w:tblCellMar>
        <w:top w:w="0" w:type="dxa"/>
        <w:left w:w="0" w:type="dxa"/>
        <w:bottom w:w="0" w:type="dxa"/>
        <w:right w:w="0" w:type="dxa"/>
      </w:tblCellMar>
    </w:tblPr>
  </w:style>
  <w:style w:type="paragraph" w:customStyle="1" w:styleId="3589">
    <w:name w:val="s-5"/>
    <w:basedOn w:val="1"/>
    <w:uiPriority w:val="0"/>
    <w:pPr>
      <w:widowControl/>
      <w:pBdr>
        <w:top w:val="single" w:color="000000" w:sz="4" w:space="0"/>
        <w:left w:val="single" w:color="000000" w:sz="4" w:space="0"/>
        <w:bottom w:val="single" w:color="000000" w:sz="4" w:space="0"/>
        <w:right w:val="single" w:color="000000" w:sz="4" w:space="0"/>
      </w:pBdr>
      <w:spacing w:before="100" w:beforeAutospacing="1" w:after="100" w:afterAutospacing="1"/>
      <w:jc w:val="center"/>
      <w:textAlignment w:val="center"/>
    </w:pPr>
    <w:rPr>
      <w:rFonts w:ascii="宋体" w:hAnsi="宋体" w:cs="宋体"/>
      <w:color w:val="000000"/>
      <w:kern w:val="0"/>
      <w:sz w:val="22"/>
      <w:szCs w:val="22"/>
    </w:rPr>
  </w:style>
  <w:style w:type="paragraph" w:customStyle="1" w:styleId="3590">
    <w:name w:val="s-2"/>
    <w:basedOn w:val="1"/>
    <w:uiPriority w:val="0"/>
    <w:pPr>
      <w:widowControl/>
      <w:pBdr>
        <w:top w:val="single" w:color="000000" w:sz="4" w:space="0"/>
        <w:left w:val="single" w:color="000000" w:sz="4" w:space="0"/>
        <w:bottom w:val="single" w:color="000000" w:sz="4" w:space="0"/>
        <w:right w:val="single" w:color="000000" w:sz="4" w:space="0"/>
      </w:pBdr>
      <w:spacing w:before="100" w:beforeAutospacing="1" w:after="100" w:afterAutospacing="1"/>
      <w:jc w:val="center"/>
      <w:textAlignment w:val="center"/>
    </w:pPr>
    <w:rPr>
      <w:rFonts w:ascii="宋体" w:hAnsi="宋体" w:cs="宋体"/>
      <w:color w:val="000000"/>
      <w:kern w:val="0"/>
      <w:sz w:val="22"/>
      <w:szCs w:val="22"/>
    </w:rPr>
  </w:style>
  <w:style w:type="paragraph" w:customStyle="1" w:styleId="3591">
    <w:name w:val="s-4"/>
    <w:basedOn w:val="1"/>
    <w:uiPriority w:val="0"/>
    <w:pPr>
      <w:widowControl/>
      <w:pBdr>
        <w:top w:val="single" w:color="000000" w:sz="4" w:space="0"/>
        <w:left w:val="single" w:color="000000" w:sz="4" w:space="0"/>
        <w:bottom w:val="single" w:color="000000" w:sz="4" w:space="0"/>
        <w:right w:val="single" w:color="000000" w:sz="4" w:space="0"/>
      </w:pBdr>
      <w:spacing w:before="100" w:beforeAutospacing="1" w:after="100" w:afterAutospacing="1"/>
      <w:jc w:val="center"/>
      <w:textAlignment w:val="center"/>
    </w:pPr>
    <w:rPr>
      <w:rFonts w:ascii="宋体" w:hAnsi="宋体" w:cs="宋体"/>
      <w:color w:val="000000"/>
      <w:kern w:val="0"/>
      <w:sz w:val="22"/>
      <w:szCs w:val="22"/>
    </w:rPr>
  </w:style>
  <w:style w:type="table" w:customStyle="1" w:styleId="3592">
    <w:name w:val="专业网格3"/>
    <w:basedOn w:val="88"/>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Pr>
  </w:style>
  <w:style w:type="table" w:customStyle="1" w:styleId="3593">
    <w:name w:val="专业网格4"/>
    <w:basedOn w:val="88"/>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Pr>
  </w:style>
  <w:style w:type="table" w:customStyle="1" w:styleId="3594">
    <w:name w:val="专业网格5"/>
    <w:basedOn w:val="88"/>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Pr>
  </w:style>
  <w:style w:type="table" w:customStyle="1" w:styleId="3595">
    <w:name w:val="专业网格6"/>
    <w:basedOn w:val="88"/>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Pr>
  </w:style>
  <w:style w:type="table" w:customStyle="1" w:styleId="3596">
    <w:name w:val="专业网格7"/>
    <w:basedOn w:val="88"/>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Pr>
  </w:style>
  <w:style w:type="table" w:customStyle="1" w:styleId="3597">
    <w:name w:val="专业网格8"/>
    <w:basedOn w:val="88"/>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Pr>
  </w:style>
  <w:style w:type="table" w:customStyle="1" w:styleId="3598">
    <w:name w:val="专业网格9"/>
    <w:basedOn w:val="88"/>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Pr>
  </w:style>
  <w:style w:type="table" w:customStyle="1" w:styleId="3599">
    <w:name w:val="专业网格10"/>
    <w:basedOn w:val="88"/>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Pr>
  </w:style>
  <w:style w:type="table" w:customStyle="1" w:styleId="3600">
    <w:name w:val="专业网格11"/>
    <w:basedOn w:val="88"/>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Pr>
  </w:style>
  <w:style w:type="paragraph" w:customStyle="1" w:styleId="3601">
    <w:name w:val="Table Text"/>
    <w:basedOn w:val="1"/>
    <w:semiHidden/>
    <w:qFormat/>
    <w:uiPriority w:val="0"/>
    <w:pPr>
      <w:widowControl/>
      <w:kinsoku w:val="0"/>
      <w:autoSpaceDE w:val="0"/>
      <w:autoSpaceDN w:val="0"/>
      <w:adjustRightInd w:val="0"/>
      <w:snapToGrid w:val="0"/>
      <w:jc w:val="left"/>
    </w:pPr>
    <w:rPr>
      <w:rFonts w:ascii="微软雅黑" w:hAnsi="微软雅黑" w:eastAsia="微软雅黑" w:cs="微软雅黑"/>
      <w:color w:val="000000"/>
      <w:kern w:val="0"/>
      <w:sz w:val="16"/>
      <w:szCs w:val="16"/>
      <w:lang w:eastAsia="en-US"/>
    </w:rPr>
  </w:style>
  <w:style w:type="table" w:customStyle="1" w:styleId="3602">
    <w:name w:val="网格型10"/>
    <w:basedOn w:val="88"/>
    <w:uiPriority w:val="59"/>
    <w:rPr>
      <w:rFonts w:ascii="Calibri" w:hAnsi="Calibri"/>
      <w:kern w:val="2"/>
      <w:sz w:val="21"/>
      <w:szCs w:val="2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Pr>
  </w:style>
  <w:style w:type="table" w:customStyle="1" w:styleId="3603">
    <w:name w:val="网格型13"/>
    <w:basedOn w:val="88"/>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Pr>
  </w:style>
  <w:style w:type="table" w:customStyle="1" w:styleId="3604">
    <w:name w:val="网格型14"/>
    <w:basedOn w:val="88"/>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Pr>
  </w:style>
  <w:style w:type="table" w:customStyle="1" w:styleId="3605">
    <w:name w:val="网格型15"/>
    <w:basedOn w:val="88"/>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Pr>
  </w:style>
  <w:style w:type="table" w:customStyle="1" w:styleId="3606">
    <w:name w:val="网格型16"/>
    <w:basedOn w:val="88"/>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Pr>
  </w:style>
  <w:style w:type="table" w:customStyle="1" w:styleId="3607">
    <w:name w:val="网格型17"/>
    <w:basedOn w:val="88"/>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Pr>
  </w:style>
  <w:style w:type="table" w:customStyle="1" w:styleId="3608">
    <w:name w:val="网格型18"/>
    <w:basedOn w:val="88"/>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Pr>
  </w:style>
  <w:style w:type="table" w:customStyle="1" w:styleId="3609">
    <w:name w:val="网格型19"/>
    <w:basedOn w:val="88"/>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Pr>
  </w:style>
  <w:style w:type="table" w:customStyle="1" w:styleId="3610">
    <w:name w:val="网格型20"/>
    <w:basedOn w:val="88"/>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Pr>
  </w:style>
  <w:style w:type="table" w:customStyle="1" w:styleId="3611">
    <w:name w:val="网格型22"/>
    <w:basedOn w:val="88"/>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Pr>
  </w:style>
  <w:style w:type="table" w:customStyle="1" w:styleId="3612">
    <w:name w:val="网格型24"/>
    <w:basedOn w:val="88"/>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Pr>
  </w:style>
  <w:style w:type="table" w:customStyle="1" w:styleId="3613">
    <w:name w:val="网格型25"/>
    <w:basedOn w:val="88"/>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Pr>
  </w:style>
  <w:style w:type="table" w:customStyle="1" w:styleId="3614">
    <w:name w:val="网格型26"/>
    <w:basedOn w:val="88"/>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Pr>
  </w:style>
  <w:style w:type="table" w:customStyle="1" w:styleId="3615">
    <w:name w:val="表格类型2"/>
    <w:basedOn w:val="88"/>
    <w:qFormat/>
    <w:uiPriority w:val="39"/>
    <w:rPr>
      <w:rFonts w:ascii="Calibri" w:hAnsi="Calibri"/>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Pr>
  </w:style>
  <w:style w:type="table" w:customStyle="1" w:styleId="3616">
    <w:name w:val="表格类型3"/>
    <w:basedOn w:val="88"/>
    <w:qFormat/>
    <w:uiPriority w:val="39"/>
    <w:rPr>
      <w:rFonts w:ascii="Calibri" w:hAnsi="Calibri"/>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Pr>
  </w:style>
  <w:style w:type="table" w:customStyle="1" w:styleId="3617">
    <w:name w:val="网格型27"/>
    <w:basedOn w:val="88"/>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Pr>
  </w:style>
  <w:style w:type="paragraph" w:customStyle="1" w:styleId="3618">
    <w:name w:val="Char Char Char Char Char Char Char Char Char Char Char Char Char Char Char Char Char Char1 Char Char Char Char Char Char Char Char Char2 Char"/>
    <w:basedOn w:val="1"/>
    <w:uiPriority w:val="0"/>
    <w:pPr>
      <w:widowControl/>
      <w:spacing w:after="160" w:line="240" w:lineRule="exact"/>
      <w:jc w:val="left"/>
    </w:pPr>
    <w:rPr>
      <w:rFonts w:ascii="Arial" w:hAnsi="Arial" w:eastAsia="Times New Roman" w:cs="Verdana"/>
      <w:b/>
      <w:kern w:val="0"/>
      <w:lang w:eastAsia="en-US"/>
    </w:rPr>
  </w:style>
</w:styles>
</file>

<file path=word/_rels/document.xml.rels><?xml version="1.0" encoding="UTF-8" standalone="yes"?>
<Relationships xmlns="http://schemas.openxmlformats.org/package/2006/relationships"><Relationship Id="rId99" Type="http://schemas.openxmlformats.org/officeDocument/2006/relationships/image" Target="media/image66.wmf"/><Relationship Id="rId98" Type="http://schemas.openxmlformats.org/officeDocument/2006/relationships/image" Target="media/image65.wmf"/><Relationship Id="rId97" Type="http://schemas.openxmlformats.org/officeDocument/2006/relationships/image" Target="media/image64.wmf"/><Relationship Id="rId96" Type="http://schemas.openxmlformats.org/officeDocument/2006/relationships/image" Target="media/image63.wmf"/><Relationship Id="rId95" Type="http://schemas.openxmlformats.org/officeDocument/2006/relationships/image" Target="media/image62.wmf"/><Relationship Id="rId94" Type="http://schemas.openxmlformats.org/officeDocument/2006/relationships/image" Target="media/image61.wmf"/><Relationship Id="rId93" Type="http://schemas.openxmlformats.org/officeDocument/2006/relationships/image" Target="media/image60.wmf"/><Relationship Id="rId92" Type="http://schemas.openxmlformats.org/officeDocument/2006/relationships/image" Target="media/image59.wmf"/><Relationship Id="rId91" Type="http://schemas.openxmlformats.org/officeDocument/2006/relationships/image" Target="media/image58.wmf"/><Relationship Id="rId90" Type="http://schemas.openxmlformats.org/officeDocument/2006/relationships/image" Target="media/image57.wmf"/><Relationship Id="rId9" Type="http://schemas.openxmlformats.org/officeDocument/2006/relationships/header" Target="header4.xml"/><Relationship Id="rId89" Type="http://schemas.openxmlformats.org/officeDocument/2006/relationships/image" Target="media/image56.wmf"/><Relationship Id="rId88" Type="http://schemas.openxmlformats.org/officeDocument/2006/relationships/image" Target="media/image55.wmf"/><Relationship Id="rId87" Type="http://schemas.openxmlformats.org/officeDocument/2006/relationships/image" Target="media/image54.wmf"/><Relationship Id="rId86" Type="http://schemas.openxmlformats.org/officeDocument/2006/relationships/image" Target="media/image53.wmf"/><Relationship Id="rId85" Type="http://schemas.openxmlformats.org/officeDocument/2006/relationships/image" Target="media/image52.wmf"/><Relationship Id="rId84" Type="http://schemas.openxmlformats.org/officeDocument/2006/relationships/image" Target="media/image51.wmf"/><Relationship Id="rId83" Type="http://schemas.openxmlformats.org/officeDocument/2006/relationships/image" Target="media/image50.wmf"/><Relationship Id="rId82" Type="http://schemas.openxmlformats.org/officeDocument/2006/relationships/image" Target="media/image49.wmf"/><Relationship Id="rId81" Type="http://schemas.openxmlformats.org/officeDocument/2006/relationships/image" Target="media/image48.wmf"/><Relationship Id="rId80" Type="http://schemas.openxmlformats.org/officeDocument/2006/relationships/image" Target="media/image47.wmf"/><Relationship Id="rId8" Type="http://schemas.openxmlformats.org/officeDocument/2006/relationships/header" Target="header3.xml"/><Relationship Id="rId79" Type="http://schemas.openxmlformats.org/officeDocument/2006/relationships/image" Target="media/image46.wmf"/><Relationship Id="rId78" Type="http://schemas.openxmlformats.org/officeDocument/2006/relationships/image" Target="media/image45.wmf"/><Relationship Id="rId77" Type="http://schemas.openxmlformats.org/officeDocument/2006/relationships/image" Target="media/image44.wmf"/><Relationship Id="rId76" Type="http://schemas.openxmlformats.org/officeDocument/2006/relationships/image" Target="media/image43.wmf"/><Relationship Id="rId75" Type="http://schemas.openxmlformats.org/officeDocument/2006/relationships/image" Target="media/image42.wmf"/><Relationship Id="rId74" Type="http://schemas.openxmlformats.org/officeDocument/2006/relationships/image" Target="media/image41.wmf"/><Relationship Id="rId73" Type="http://schemas.openxmlformats.org/officeDocument/2006/relationships/image" Target="media/image40.wmf"/><Relationship Id="rId72" Type="http://schemas.openxmlformats.org/officeDocument/2006/relationships/image" Target="media/image39.wmf"/><Relationship Id="rId71" Type="http://schemas.openxmlformats.org/officeDocument/2006/relationships/image" Target="media/image38.wmf"/><Relationship Id="rId70" Type="http://schemas.openxmlformats.org/officeDocument/2006/relationships/image" Target="media/image37.png"/><Relationship Id="rId7" Type="http://schemas.openxmlformats.org/officeDocument/2006/relationships/footer" Target="footer3.xml"/><Relationship Id="rId69" Type="http://schemas.openxmlformats.org/officeDocument/2006/relationships/image" Target="media/image36.png"/><Relationship Id="rId68" Type="http://schemas.openxmlformats.org/officeDocument/2006/relationships/image" Target="media/image35.emf"/><Relationship Id="rId67" Type="http://schemas.openxmlformats.org/officeDocument/2006/relationships/image" Target="media/image34.png"/><Relationship Id="rId66" Type="http://schemas.openxmlformats.org/officeDocument/2006/relationships/image" Target="media/image33.png"/><Relationship Id="rId65" Type="http://schemas.openxmlformats.org/officeDocument/2006/relationships/image" Target="media/image32.png"/><Relationship Id="rId64" Type="http://schemas.openxmlformats.org/officeDocument/2006/relationships/image" Target="media/image31.png"/><Relationship Id="rId63" Type="http://schemas.openxmlformats.org/officeDocument/2006/relationships/image" Target="media/image30.wmf"/><Relationship Id="rId62" Type="http://schemas.openxmlformats.org/officeDocument/2006/relationships/oleObject" Target="embeddings/oleObject1.bin"/><Relationship Id="rId61" Type="http://schemas.openxmlformats.org/officeDocument/2006/relationships/image" Target="media/image29.jpeg"/><Relationship Id="rId60" Type="http://schemas.openxmlformats.org/officeDocument/2006/relationships/image" Target="media/image28.png"/><Relationship Id="rId6" Type="http://schemas.openxmlformats.org/officeDocument/2006/relationships/footer" Target="footer2.xml"/><Relationship Id="rId59" Type="http://schemas.openxmlformats.org/officeDocument/2006/relationships/image" Target="media/image27.png"/><Relationship Id="rId58" Type="http://schemas.openxmlformats.org/officeDocument/2006/relationships/image" Target="media/image26.png"/><Relationship Id="rId57" Type="http://schemas.openxmlformats.org/officeDocument/2006/relationships/image" Target="media/image25.png"/><Relationship Id="rId56" Type="http://schemas.openxmlformats.org/officeDocument/2006/relationships/image" Target="media/image24.png"/><Relationship Id="rId55" Type="http://schemas.openxmlformats.org/officeDocument/2006/relationships/image" Target="media/image23.png"/><Relationship Id="rId54" Type="http://schemas.openxmlformats.org/officeDocument/2006/relationships/image" Target="media/image22.png"/><Relationship Id="rId53" Type="http://schemas.openxmlformats.org/officeDocument/2006/relationships/image" Target="media/image21.png"/><Relationship Id="rId52" Type="http://schemas.openxmlformats.org/officeDocument/2006/relationships/image" Target="media/image20.emf"/><Relationship Id="rId51" Type="http://schemas.openxmlformats.org/officeDocument/2006/relationships/image" Target="media/image19.jpeg"/><Relationship Id="rId50" Type="http://schemas.openxmlformats.org/officeDocument/2006/relationships/image" Target="media/image18.jpeg"/><Relationship Id="rId5" Type="http://schemas.openxmlformats.org/officeDocument/2006/relationships/footer" Target="footer1.xml"/><Relationship Id="rId49" Type="http://schemas.openxmlformats.org/officeDocument/2006/relationships/image" Target="media/image17.png"/><Relationship Id="rId48" Type="http://schemas.openxmlformats.org/officeDocument/2006/relationships/image" Target="media/image16.png"/><Relationship Id="rId47" Type="http://schemas.openxmlformats.org/officeDocument/2006/relationships/image" Target="media/image15.png"/><Relationship Id="rId46" Type="http://schemas.openxmlformats.org/officeDocument/2006/relationships/image" Target="media/image14.jpeg"/><Relationship Id="rId45" Type="http://schemas.openxmlformats.org/officeDocument/2006/relationships/image" Target="media/image13.jpeg"/><Relationship Id="rId44" Type="http://schemas.openxmlformats.org/officeDocument/2006/relationships/image" Target="media/image12.png"/><Relationship Id="rId43" Type="http://schemas.openxmlformats.org/officeDocument/2006/relationships/image" Target="media/image11.jpeg"/><Relationship Id="rId42" Type="http://schemas.openxmlformats.org/officeDocument/2006/relationships/image" Target="media/image10.jpeg"/><Relationship Id="rId41" Type="http://schemas.openxmlformats.org/officeDocument/2006/relationships/image" Target="media/image9.jpeg"/><Relationship Id="rId40" Type="http://schemas.openxmlformats.org/officeDocument/2006/relationships/image" Target="media/image8.jpeg"/><Relationship Id="rId4" Type="http://schemas.openxmlformats.org/officeDocument/2006/relationships/header" Target="header2.xml"/><Relationship Id="rId39" Type="http://schemas.openxmlformats.org/officeDocument/2006/relationships/image" Target="media/image7.jpeg"/><Relationship Id="rId38" Type="http://schemas.openxmlformats.org/officeDocument/2006/relationships/image" Target="media/image6.jpeg"/><Relationship Id="rId37" Type="http://schemas.openxmlformats.org/officeDocument/2006/relationships/image" Target="media/image5.jpeg"/><Relationship Id="rId36" Type="http://schemas.openxmlformats.org/officeDocument/2006/relationships/image" Target="media/image4.png"/><Relationship Id="rId35" Type="http://schemas.openxmlformats.org/officeDocument/2006/relationships/image" Target="media/image3.jpeg"/><Relationship Id="rId34" Type="http://schemas.openxmlformats.org/officeDocument/2006/relationships/image" Target="media/image2.jpeg"/><Relationship Id="rId33" Type="http://schemas.openxmlformats.org/officeDocument/2006/relationships/image" Target="media/image1.wmf"/><Relationship Id="rId32" Type="http://schemas.openxmlformats.org/officeDocument/2006/relationships/theme" Target="theme/theme1.xml"/><Relationship Id="rId31" Type="http://schemas.openxmlformats.org/officeDocument/2006/relationships/footer" Target="footer11.xml"/><Relationship Id="rId30" Type="http://schemas.openxmlformats.org/officeDocument/2006/relationships/header" Target="header18.xml"/><Relationship Id="rId3" Type="http://schemas.openxmlformats.org/officeDocument/2006/relationships/header" Target="header1.xml"/><Relationship Id="rId29" Type="http://schemas.openxmlformats.org/officeDocument/2006/relationships/header" Target="header17.xml"/><Relationship Id="rId28" Type="http://schemas.openxmlformats.org/officeDocument/2006/relationships/header" Target="header16.xml"/><Relationship Id="rId27" Type="http://schemas.openxmlformats.org/officeDocument/2006/relationships/header" Target="header15.xml"/><Relationship Id="rId26" Type="http://schemas.openxmlformats.org/officeDocument/2006/relationships/header" Target="header14.xml"/><Relationship Id="rId25" Type="http://schemas.openxmlformats.org/officeDocument/2006/relationships/header" Target="header13.xml"/><Relationship Id="rId24" Type="http://schemas.openxmlformats.org/officeDocument/2006/relationships/header" Target="header12.xml"/><Relationship Id="rId23" Type="http://schemas.openxmlformats.org/officeDocument/2006/relationships/header" Target="header11.xml"/><Relationship Id="rId220" Type="http://schemas.openxmlformats.org/officeDocument/2006/relationships/fontTable" Target="fontTable.xml"/><Relationship Id="rId22" Type="http://schemas.openxmlformats.org/officeDocument/2006/relationships/header" Target="header10.xml"/><Relationship Id="rId219" Type="http://schemas.openxmlformats.org/officeDocument/2006/relationships/numbering" Target="numbering.xml"/><Relationship Id="rId218" Type="http://schemas.openxmlformats.org/officeDocument/2006/relationships/customXml" Target="../customXml/item1.xml"/><Relationship Id="rId217" Type="http://schemas.openxmlformats.org/officeDocument/2006/relationships/image" Target="media/image155.emf"/><Relationship Id="rId216" Type="http://schemas.openxmlformats.org/officeDocument/2006/relationships/image" Target="media/image154.png"/><Relationship Id="rId215" Type="http://schemas.openxmlformats.org/officeDocument/2006/relationships/image" Target="media/image153.jpeg"/><Relationship Id="rId214" Type="http://schemas.openxmlformats.org/officeDocument/2006/relationships/image" Target="media/image152.wmf"/><Relationship Id="rId213" Type="http://schemas.openxmlformats.org/officeDocument/2006/relationships/image" Target="media/image151.wmf"/><Relationship Id="rId212" Type="http://schemas.openxmlformats.org/officeDocument/2006/relationships/image" Target="media/image150.wmf"/><Relationship Id="rId211" Type="http://schemas.openxmlformats.org/officeDocument/2006/relationships/image" Target="media/image149.wmf"/><Relationship Id="rId210" Type="http://schemas.openxmlformats.org/officeDocument/2006/relationships/image" Target="media/image148.wmf"/><Relationship Id="rId21" Type="http://schemas.openxmlformats.org/officeDocument/2006/relationships/footer" Target="footer10.xml"/><Relationship Id="rId209" Type="http://schemas.openxmlformats.org/officeDocument/2006/relationships/image" Target="media/image147.wmf"/><Relationship Id="rId208" Type="http://schemas.openxmlformats.org/officeDocument/2006/relationships/image" Target="media/image146.wmf"/><Relationship Id="rId207" Type="http://schemas.openxmlformats.org/officeDocument/2006/relationships/image" Target="media/image145.wmf"/><Relationship Id="rId206" Type="http://schemas.openxmlformats.org/officeDocument/2006/relationships/image" Target="media/image144.wmf"/><Relationship Id="rId205" Type="http://schemas.openxmlformats.org/officeDocument/2006/relationships/image" Target="media/image143.wmf"/><Relationship Id="rId204" Type="http://schemas.openxmlformats.org/officeDocument/2006/relationships/image" Target="media/image142.wmf"/><Relationship Id="rId203" Type="http://schemas.openxmlformats.org/officeDocument/2006/relationships/image" Target="media/image141.wmf"/><Relationship Id="rId202" Type="http://schemas.openxmlformats.org/officeDocument/2006/relationships/image" Target="media/image140.wmf"/><Relationship Id="rId201" Type="http://schemas.openxmlformats.org/officeDocument/2006/relationships/image" Target="media/image139.wmf"/><Relationship Id="rId200" Type="http://schemas.openxmlformats.org/officeDocument/2006/relationships/image" Target="media/image138.wmf"/><Relationship Id="rId20" Type="http://schemas.openxmlformats.org/officeDocument/2006/relationships/footer" Target="footer9.xml"/><Relationship Id="rId2" Type="http://schemas.openxmlformats.org/officeDocument/2006/relationships/settings" Target="settings.xml"/><Relationship Id="rId199" Type="http://schemas.openxmlformats.org/officeDocument/2006/relationships/image" Target="media/image137.wmf"/><Relationship Id="rId198" Type="http://schemas.openxmlformats.org/officeDocument/2006/relationships/image" Target="media/image136.wmf"/><Relationship Id="rId197" Type="http://schemas.openxmlformats.org/officeDocument/2006/relationships/image" Target="media/image135.wmf"/><Relationship Id="rId196" Type="http://schemas.openxmlformats.org/officeDocument/2006/relationships/image" Target="media/image134.wmf"/><Relationship Id="rId195" Type="http://schemas.openxmlformats.org/officeDocument/2006/relationships/image" Target="media/image133.wmf"/><Relationship Id="rId194" Type="http://schemas.openxmlformats.org/officeDocument/2006/relationships/image" Target="media/image132.wmf"/><Relationship Id="rId193" Type="http://schemas.openxmlformats.org/officeDocument/2006/relationships/image" Target="media/image131.wmf"/><Relationship Id="rId192" Type="http://schemas.openxmlformats.org/officeDocument/2006/relationships/image" Target="media/image130.wmf"/><Relationship Id="rId191" Type="http://schemas.openxmlformats.org/officeDocument/2006/relationships/image" Target="media/image129.wmf"/><Relationship Id="rId190" Type="http://schemas.openxmlformats.org/officeDocument/2006/relationships/image" Target="media/image128.wmf"/><Relationship Id="rId19" Type="http://schemas.openxmlformats.org/officeDocument/2006/relationships/header" Target="header9.xml"/><Relationship Id="rId189" Type="http://schemas.openxmlformats.org/officeDocument/2006/relationships/image" Target="media/image127.wmf"/><Relationship Id="rId188" Type="http://schemas.openxmlformats.org/officeDocument/2006/relationships/image" Target="media/image126.wmf"/><Relationship Id="rId187" Type="http://schemas.openxmlformats.org/officeDocument/2006/relationships/image" Target="media/image125.wmf"/><Relationship Id="rId186" Type="http://schemas.openxmlformats.org/officeDocument/2006/relationships/image" Target="media/image124.wmf"/><Relationship Id="rId185" Type="http://schemas.openxmlformats.org/officeDocument/2006/relationships/image" Target="media/image123.wmf"/><Relationship Id="rId184" Type="http://schemas.openxmlformats.org/officeDocument/2006/relationships/image" Target="media/image122.wmf"/><Relationship Id="rId183" Type="http://schemas.openxmlformats.org/officeDocument/2006/relationships/image" Target="media/image121.wmf"/><Relationship Id="rId182" Type="http://schemas.openxmlformats.org/officeDocument/2006/relationships/image" Target="media/image120.wmf"/><Relationship Id="rId181" Type="http://schemas.openxmlformats.org/officeDocument/2006/relationships/image" Target="media/image119.wmf"/><Relationship Id="rId180" Type="http://schemas.openxmlformats.org/officeDocument/2006/relationships/image" Target="media/image118.wmf"/><Relationship Id="rId18" Type="http://schemas.openxmlformats.org/officeDocument/2006/relationships/header" Target="header8.xml"/><Relationship Id="rId179" Type="http://schemas.openxmlformats.org/officeDocument/2006/relationships/image" Target="media/image117.wmf"/><Relationship Id="rId178" Type="http://schemas.openxmlformats.org/officeDocument/2006/relationships/image" Target="media/image116.wmf"/><Relationship Id="rId177" Type="http://schemas.openxmlformats.org/officeDocument/2006/relationships/image" Target="media/image115.wmf"/><Relationship Id="rId176" Type="http://schemas.openxmlformats.org/officeDocument/2006/relationships/image" Target="media/image114.jpeg"/><Relationship Id="rId175" Type="http://schemas.openxmlformats.org/officeDocument/2006/relationships/image" Target="media/image113.wmf"/><Relationship Id="rId174" Type="http://schemas.openxmlformats.org/officeDocument/2006/relationships/oleObject" Target="embeddings/oleObject30.bin"/><Relationship Id="rId173" Type="http://schemas.openxmlformats.org/officeDocument/2006/relationships/image" Target="media/image112.wmf"/><Relationship Id="rId172" Type="http://schemas.openxmlformats.org/officeDocument/2006/relationships/oleObject" Target="embeddings/oleObject29.bin"/><Relationship Id="rId171" Type="http://schemas.openxmlformats.org/officeDocument/2006/relationships/image" Target="media/image111.jpeg"/><Relationship Id="rId170" Type="http://schemas.openxmlformats.org/officeDocument/2006/relationships/image" Target="media/image110.wmf"/><Relationship Id="rId17" Type="http://schemas.openxmlformats.org/officeDocument/2006/relationships/footer" Target="footer8.xml"/><Relationship Id="rId169" Type="http://schemas.openxmlformats.org/officeDocument/2006/relationships/oleObject" Target="embeddings/oleObject28.bin"/><Relationship Id="rId168" Type="http://schemas.openxmlformats.org/officeDocument/2006/relationships/image" Target="media/image109.wmf"/><Relationship Id="rId167" Type="http://schemas.openxmlformats.org/officeDocument/2006/relationships/oleObject" Target="embeddings/oleObject27.bin"/><Relationship Id="rId166" Type="http://schemas.openxmlformats.org/officeDocument/2006/relationships/image" Target="media/image108.wmf"/><Relationship Id="rId165" Type="http://schemas.openxmlformats.org/officeDocument/2006/relationships/oleObject" Target="embeddings/oleObject26.bin"/><Relationship Id="rId164" Type="http://schemas.openxmlformats.org/officeDocument/2006/relationships/image" Target="media/image107.wmf"/><Relationship Id="rId163" Type="http://schemas.openxmlformats.org/officeDocument/2006/relationships/oleObject" Target="embeddings/oleObject25.bin"/><Relationship Id="rId162" Type="http://schemas.openxmlformats.org/officeDocument/2006/relationships/image" Target="media/image106.wmf"/><Relationship Id="rId161" Type="http://schemas.openxmlformats.org/officeDocument/2006/relationships/oleObject" Target="embeddings/oleObject24.bin"/><Relationship Id="rId160" Type="http://schemas.openxmlformats.org/officeDocument/2006/relationships/image" Target="media/image105.wmf"/><Relationship Id="rId16" Type="http://schemas.openxmlformats.org/officeDocument/2006/relationships/footer" Target="footer7.xml"/><Relationship Id="rId159" Type="http://schemas.openxmlformats.org/officeDocument/2006/relationships/oleObject" Target="embeddings/oleObject23.bin"/><Relationship Id="rId158" Type="http://schemas.openxmlformats.org/officeDocument/2006/relationships/image" Target="media/image104.wmf"/><Relationship Id="rId157" Type="http://schemas.openxmlformats.org/officeDocument/2006/relationships/oleObject" Target="embeddings/oleObject22.bin"/><Relationship Id="rId156" Type="http://schemas.openxmlformats.org/officeDocument/2006/relationships/image" Target="media/image103.wmf"/><Relationship Id="rId155" Type="http://schemas.openxmlformats.org/officeDocument/2006/relationships/oleObject" Target="embeddings/oleObject21.bin"/><Relationship Id="rId154" Type="http://schemas.openxmlformats.org/officeDocument/2006/relationships/image" Target="media/image102.wmf"/><Relationship Id="rId153" Type="http://schemas.openxmlformats.org/officeDocument/2006/relationships/oleObject" Target="embeddings/oleObject20.bin"/><Relationship Id="rId152" Type="http://schemas.openxmlformats.org/officeDocument/2006/relationships/image" Target="media/image101.wmf"/><Relationship Id="rId151" Type="http://schemas.openxmlformats.org/officeDocument/2006/relationships/oleObject" Target="embeddings/oleObject19.bin"/><Relationship Id="rId150" Type="http://schemas.openxmlformats.org/officeDocument/2006/relationships/image" Target="media/image100.wmf"/><Relationship Id="rId15" Type="http://schemas.openxmlformats.org/officeDocument/2006/relationships/footer" Target="footer6.xml"/><Relationship Id="rId149" Type="http://schemas.openxmlformats.org/officeDocument/2006/relationships/oleObject" Target="embeddings/oleObject18.bin"/><Relationship Id="rId148" Type="http://schemas.openxmlformats.org/officeDocument/2006/relationships/image" Target="media/image99.wmf"/><Relationship Id="rId147" Type="http://schemas.openxmlformats.org/officeDocument/2006/relationships/oleObject" Target="embeddings/oleObject17.bin"/><Relationship Id="rId146" Type="http://schemas.openxmlformats.org/officeDocument/2006/relationships/image" Target="media/image98.wmf"/><Relationship Id="rId145" Type="http://schemas.openxmlformats.org/officeDocument/2006/relationships/oleObject" Target="embeddings/oleObject16.bin"/><Relationship Id="rId144" Type="http://schemas.openxmlformats.org/officeDocument/2006/relationships/image" Target="media/image97.wmf"/><Relationship Id="rId143" Type="http://schemas.openxmlformats.org/officeDocument/2006/relationships/oleObject" Target="embeddings/oleObject15.bin"/><Relationship Id="rId142" Type="http://schemas.openxmlformats.org/officeDocument/2006/relationships/image" Target="media/image96.wmf"/><Relationship Id="rId141" Type="http://schemas.openxmlformats.org/officeDocument/2006/relationships/oleObject" Target="embeddings/oleObject14.bin"/><Relationship Id="rId140" Type="http://schemas.openxmlformats.org/officeDocument/2006/relationships/image" Target="media/image95.wmf"/><Relationship Id="rId14" Type="http://schemas.openxmlformats.org/officeDocument/2006/relationships/header" Target="header7.xml"/><Relationship Id="rId139" Type="http://schemas.openxmlformats.org/officeDocument/2006/relationships/oleObject" Target="embeddings/oleObject13.bin"/><Relationship Id="rId138" Type="http://schemas.openxmlformats.org/officeDocument/2006/relationships/image" Target="media/image94.wmf"/><Relationship Id="rId137" Type="http://schemas.openxmlformats.org/officeDocument/2006/relationships/oleObject" Target="embeddings/oleObject12.bin"/><Relationship Id="rId136" Type="http://schemas.openxmlformats.org/officeDocument/2006/relationships/image" Target="media/image93.wmf"/><Relationship Id="rId135" Type="http://schemas.openxmlformats.org/officeDocument/2006/relationships/oleObject" Target="embeddings/oleObject11.bin"/><Relationship Id="rId134" Type="http://schemas.openxmlformats.org/officeDocument/2006/relationships/image" Target="media/image92.wmf"/><Relationship Id="rId133" Type="http://schemas.openxmlformats.org/officeDocument/2006/relationships/oleObject" Target="embeddings/oleObject10.bin"/><Relationship Id="rId132" Type="http://schemas.openxmlformats.org/officeDocument/2006/relationships/image" Target="media/image91.png"/><Relationship Id="rId131" Type="http://schemas.openxmlformats.org/officeDocument/2006/relationships/image" Target="media/image90.wmf"/><Relationship Id="rId130" Type="http://schemas.openxmlformats.org/officeDocument/2006/relationships/image" Target="media/image89.wmf"/><Relationship Id="rId13" Type="http://schemas.openxmlformats.org/officeDocument/2006/relationships/header" Target="header6.xml"/><Relationship Id="rId129" Type="http://schemas.openxmlformats.org/officeDocument/2006/relationships/image" Target="media/image88.wmf"/><Relationship Id="rId128" Type="http://schemas.openxmlformats.org/officeDocument/2006/relationships/image" Target="media/image87.wmf"/><Relationship Id="rId127" Type="http://schemas.openxmlformats.org/officeDocument/2006/relationships/image" Target="media/image86.wmf"/><Relationship Id="rId126" Type="http://schemas.openxmlformats.org/officeDocument/2006/relationships/image" Target="media/image85.wmf"/><Relationship Id="rId125" Type="http://schemas.openxmlformats.org/officeDocument/2006/relationships/image" Target="media/image84.wmf"/><Relationship Id="rId124" Type="http://schemas.openxmlformats.org/officeDocument/2006/relationships/image" Target="media/image83.png"/><Relationship Id="rId123" Type="http://schemas.openxmlformats.org/officeDocument/2006/relationships/image" Target="media/image82.wmf"/><Relationship Id="rId122" Type="http://schemas.openxmlformats.org/officeDocument/2006/relationships/oleObject" Target="embeddings/oleObject9.bin"/><Relationship Id="rId121" Type="http://schemas.openxmlformats.org/officeDocument/2006/relationships/image" Target="media/image81.wmf"/><Relationship Id="rId120" Type="http://schemas.openxmlformats.org/officeDocument/2006/relationships/oleObject" Target="embeddings/oleObject8.bin"/><Relationship Id="rId12" Type="http://schemas.openxmlformats.org/officeDocument/2006/relationships/header" Target="header5.xml"/><Relationship Id="rId119" Type="http://schemas.openxmlformats.org/officeDocument/2006/relationships/image" Target="media/image80.wmf"/><Relationship Id="rId118" Type="http://schemas.openxmlformats.org/officeDocument/2006/relationships/oleObject" Target="embeddings/oleObject7.bin"/><Relationship Id="rId117" Type="http://schemas.openxmlformats.org/officeDocument/2006/relationships/image" Target="media/image79.wmf"/><Relationship Id="rId116" Type="http://schemas.openxmlformats.org/officeDocument/2006/relationships/oleObject" Target="embeddings/oleObject6.bin"/><Relationship Id="rId115" Type="http://schemas.openxmlformats.org/officeDocument/2006/relationships/image" Target="media/image78.wmf"/><Relationship Id="rId114" Type="http://schemas.openxmlformats.org/officeDocument/2006/relationships/oleObject" Target="embeddings/oleObject5.bin"/><Relationship Id="rId113" Type="http://schemas.openxmlformats.org/officeDocument/2006/relationships/image" Target="media/image77.wmf"/><Relationship Id="rId112" Type="http://schemas.openxmlformats.org/officeDocument/2006/relationships/oleObject" Target="embeddings/oleObject4.bin"/><Relationship Id="rId111" Type="http://schemas.openxmlformats.org/officeDocument/2006/relationships/image" Target="media/image76.wmf"/><Relationship Id="rId110" Type="http://schemas.openxmlformats.org/officeDocument/2006/relationships/oleObject" Target="embeddings/oleObject3.bin"/><Relationship Id="rId11" Type="http://schemas.openxmlformats.org/officeDocument/2006/relationships/footer" Target="footer5.xml"/><Relationship Id="rId109" Type="http://schemas.openxmlformats.org/officeDocument/2006/relationships/image" Target="media/image75.wmf"/><Relationship Id="rId108" Type="http://schemas.openxmlformats.org/officeDocument/2006/relationships/oleObject" Target="embeddings/oleObject2.bin"/><Relationship Id="rId107" Type="http://schemas.openxmlformats.org/officeDocument/2006/relationships/image" Target="media/image74.wmf"/><Relationship Id="rId106" Type="http://schemas.openxmlformats.org/officeDocument/2006/relationships/image" Target="media/image73.wmf"/><Relationship Id="rId105" Type="http://schemas.openxmlformats.org/officeDocument/2006/relationships/image" Target="media/image72.wmf"/><Relationship Id="rId104" Type="http://schemas.openxmlformats.org/officeDocument/2006/relationships/image" Target="media/image71.wmf"/><Relationship Id="rId103" Type="http://schemas.openxmlformats.org/officeDocument/2006/relationships/image" Target="media/image70.wmf"/><Relationship Id="rId102" Type="http://schemas.openxmlformats.org/officeDocument/2006/relationships/image" Target="media/image69.wmf"/><Relationship Id="rId101" Type="http://schemas.openxmlformats.org/officeDocument/2006/relationships/image" Target="media/image68.wmf"/><Relationship Id="rId100" Type="http://schemas.openxmlformats.org/officeDocument/2006/relationships/image" Target="media/image67.wmf"/><Relationship Id="rId10" Type="http://schemas.openxmlformats.org/officeDocument/2006/relationships/footer" Target="footer4.xml"/><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281</Pages>
  <Words>14028</Words>
  <Characters>16120</Characters>
  <Lines>1583</Lines>
  <Paragraphs>445</Paragraphs>
  <TotalTime>0</TotalTime>
  <ScaleCrop>false</ScaleCrop>
  <LinksUpToDate>false</LinksUpToDate>
  <CharactersWithSpaces>16466</CharactersWithSpaces>
  <Application>WPS Office_11.8.2.8621_F1E327BC-269C-435d-A152-05C5408002CA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2024-11-21T02:08:00Z</dcterms:created>
  <dc:creator>黄</dc:creator>
  <cp:lastModifiedBy>无色相系黑白灰</cp:lastModifiedBy>
  <cp:lastPrinted>2024-11-21T03:38:00Z</cp:lastPrinted>
  <dcterms:modified xsi:type="dcterms:W3CDTF">2024-11-28T02:22:17Z</dcterms:modified>
  <dc:title>1总  论</dc:title>
  <cp:revision>6</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2052-11.8.2.8621</vt:lpwstr>
  </property>
  <property fmtid="{D5CDD505-2E9C-101B-9397-08002B2CF9AE}" pid="3" name="ICV">
    <vt:lpwstr>8FC3107DFF284FD2BE9859F137190A5A_12</vt:lpwstr>
  </property>
</Properties>
</file>